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emf" ContentType="image/x-emf"/>
  <Default Extension="png" ContentType="image/png"/>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8799110">
      <w:pPr>
        <w:rPr>
          <w:rFonts w:hint="default" w:ascii="Times New Roman" w:hAnsi="Times New Roman" w:eastAsia="宋体" w:cs="Times New Roman"/>
          <w:color w:val="auto"/>
          <w:sz w:val="36"/>
          <w:szCs w:val="36"/>
        </w:rPr>
      </w:pPr>
    </w:p>
    <w:p w14:paraId="70FD8597">
      <w:pPr>
        <w:rPr>
          <w:rFonts w:hint="default" w:ascii="Times New Roman" w:hAnsi="Times New Roman" w:eastAsia="宋体" w:cs="Times New Roman"/>
          <w:color w:val="auto"/>
          <w:sz w:val="36"/>
          <w:szCs w:val="36"/>
        </w:rPr>
      </w:pPr>
    </w:p>
    <w:p w14:paraId="1451EF93">
      <w:pPr>
        <w:rPr>
          <w:rFonts w:hint="default" w:ascii="Times New Roman" w:hAnsi="Times New Roman" w:eastAsia="宋体" w:cs="Times New Roman"/>
          <w:color w:val="auto"/>
          <w:sz w:val="36"/>
          <w:szCs w:val="36"/>
        </w:rPr>
      </w:pPr>
    </w:p>
    <w:p w14:paraId="0DE7C038">
      <w:pPr>
        <w:rPr>
          <w:rFonts w:hint="default" w:ascii="Times New Roman" w:hAnsi="Times New Roman" w:eastAsia="宋体" w:cs="Times New Roman"/>
          <w:color w:val="auto"/>
          <w:sz w:val="36"/>
          <w:szCs w:val="36"/>
        </w:rPr>
      </w:pPr>
    </w:p>
    <w:p w14:paraId="7A55B13D">
      <w:pPr>
        <w:rPr>
          <w:rFonts w:hint="default" w:ascii="Times New Roman" w:hAnsi="Times New Roman" w:eastAsia="宋体" w:cs="Times New Roman"/>
          <w:color w:val="auto"/>
          <w:sz w:val="36"/>
          <w:szCs w:val="36"/>
        </w:rPr>
      </w:pPr>
    </w:p>
    <w:p w14:paraId="165DDBB9">
      <w:pPr>
        <w:adjustRightInd w:val="0"/>
        <w:snapToGrid w:val="0"/>
        <w:jc w:val="center"/>
        <w:outlineLvl w:val="9"/>
        <w:rPr>
          <w:rFonts w:hint="default" w:ascii="Times New Roman" w:hAnsi="Times New Roman" w:eastAsia="宋体" w:cs="Times New Roman"/>
          <w:bCs/>
          <w:color w:val="auto"/>
          <w:sz w:val="72"/>
          <w:szCs w:val="72"/>
        </w:rPr>
      </w:pPr>
      <w:bookmarkStart w:id="0" w:name="_Toc22028"/>
      <w:bookmarkStart w:id="1" w:name="_Toc220"/>
      <w:bookmarkStart w:id="2" w:name="_Toc32235"/>
      <w:bookmarkStart w:id="3" w:name="_Toc27503"/>
      <w:bookmarkStart w:id="4" w:name="_Toc12339"/>
      <w:bookmarkStart w:id="5" w:name="_Toc28606"/>
      <w:bookmarkStart w:id="6" w:name="_Toc1388"/>
      <w:r>
        <w:rPr>
          <w:rFonts w:hint="default" w:ascii="Times New Roman" w:hAnsi="Times New Roman" w:eastAsia="宋体" w:cs="Times New Roman"/>
          <w:bCs/>
          <w:color w:val="auto"/>
          <w:sz w:val="72"/>
          <w:szCs w:val="72"/>
        </w:rPr>
        <w:t>建设项目环境影响报告表</w:t>
      </w:r>
      <w:bookmarkEnd w:id="0"/>
      <w:bookmarkEnd w:id="1"/>
      <w:bookmarkEnd w:id="2"/>
      <w:bookmarkEnd w:id="3"/>
      <w:bookmarkEnd w:id="4"/>
      <w:bookmarkEnd w:id="5"/>
      <w:bookmarkEnd w:id="6"/>
    </w:p>
    <w:p w14:paraId="5E08A64E">
      <w:pPr>
        <w:adjustRightInd w:val="0"/>
        <w:snapToGrid w:val="0"/>
        <w:spacing w:before="192" w:beforeLines="80"/>
        <w:jc w:val="center"/>
        <w:rPr>
          <w:rFonts w:hint="default" w:ascii="Times New Roman" w:hAnsi="Times New Roman" w:eastAsia="宋体" w:cs="Times New Roman"/>
          <w:bCs/>
          <w:color w:val="auto"/>
          <w:sz w:val="48"/>
          <w:szCs w:val="48"/>
        </w:rPr>
      </w:pPr>
      <w:r>
        <w:rPr>
          <w:rFonts w:hint="default" w:ascii="Times New Roman" w:hAnsi="Times New Roman" w:eastAsia="宋体" w:cs="Times New Roman"/>
          <w:bCs/>
          <w:color w:val="auto"/>
          <w:sz w:val="48"/>
          <w:szCs w:val="48"/>
        </w:rPr>
        <w:t>（污染影响类）</w:t>
      </w:r>
    </w:p>
    <w:p w14:paraId="715B2669">
      <w:pPr>
        <w:adjustRightInd w:val="0"/>
        <w:snapToGrid w:val="0"/>
        <w:spacing w:line="288" w:lineRule="auto"/>
        <w:jc w:val="center"/>
        <w:outlineLvl w:val="9"/>
        <w:rPr>
          <w:rFonts w:hint="default" w:ascii="Times New Roman" w:hAnsi="Times New Roman" w:eastAsia="宋体" w:cs="Times New Roman"/>
          <w:color w:val="auto"/>
          <w:kern w:val="44"/>
          <w:sz w:val="44"/>
          <w:szCs w:val="44"/>
        </w:rPr>
      </w:pPr>
    </w:p>
    <w:p w14:paraId="6BCA9EB1">
      <w:pPr>
        <w:jc w:val="center"/>
        <w:rPr>
          <w:rFonts w:hint="default" w:ascii="Times New Roman" w:hAnsi="Times New Roman" w:eastAsia="宋体" w:cs="Times New Roman"/>
          <w:color w:val="auto"/>
          <w:sz w:val="52"/>
          <w:szCs w:val="52"/>
        </w:rPr>
      </w:pPr>
    </w:p>
    <w:p w14:paraId="5CC9B761">
      <w:pPr>
        <w:ind w:firstLine="1040"/>
        <w:rPr>
          <w:rFonts w:hint="default" w:ascii="Times New Roman" w:hAnsi="Times New Roman" w:eastAsia="宋体" w:cs="Times New Roman"/>
          <w:color w:val="auto"/>
          <w:sz w:val="44"/>
          <w:szCs w:val="44"/>
        </w:rPr>
      </w:pPr>
    </w:p>
    <w:p w14:paraId="194F2772">
      <w:pPr>
        <w:ind w:firstLine="1040"/>
        <w:rPr>
          <w:rFonts w:hint="default" w:ascii="Times New Roman" w:hAnsi="Times New Roman" w:eastAsia="宋体" w:cs="Times New Roman"/>
          <w:color w:val="auto"/>
          <w:sz w:val="44"/>
          <w:szCs w:val="44"/>
        </w:rPr>
      </w:pPr>
    </w:p>
    <w:p w14:paraId="7EF26840">
      <w:pPr>
        <w:ind w:firstLine="1040"/>
        <w:rPr>
          <w:rFonts w:hint="default" w:ascii="Times New Roman" w:hAnsi="Times New Roman" w:eastAsia="宋体" w:cs="Times New Roman"/>
          <w:color w:val="auto"/>
          <w:sz w:val="44"/>
          <w:szCs w:val="44"/>
        </w:rPr>
      </w:pPr>
    </w:p>
    <w:p w14:paraId="2E5DF93A">
      <w:pPr>
        <w:ind w:firstLine="1040"/>
        <w:rPr>
          <w:rFonts w:hint="default" w:ascii="Times New Roman" w:hAnsi="Times New Roman" w:eastAsia="宋体" w:cs="Times New Roman"/>
          <w:color w:val="auto"/>
          <w:sz w:val="44"/>
          <w:szCs w:val="44"/>
        </w:rPr>
      </w:pPr>
    </w:p>
    <w:p w14:paraId="13B4BF33">
      <w:pPr>
        <w:adjustRightInd w:val="0"/>
        <w:snapToGrid w:val="0"/>
        <w:spacing w:line="288" w:lineRule="auto"/>
        <w:ind w:firstLine="1040"/>
        <w:rPr>
          <w:rFonts w:hint="default" w:ascii="Times New Roman" w:hAnsi="Times New Roman" w:eastAsia="宋体" w:cs="Times New Roman"/>
          <w:color w:val="auto"/>
          <w:sz w:val="32"/>
          <w:szCs w:val="32"/>
          <w:lang w:val="en-US" w:eastAsia="zh-CN"/>
        </w:rPr>
      </w:pPr>
      <w:r>
        <w:rPr>
          <w:rFonts w:hint="default" w:ascii="Times New Roman" w:hAnsi="Times New Roman" w:eastAsia="宋体" w:cs="Times New Roman"/>
          <w:color w:val="auto"/>
          <w:sz w:val="32"/>
          <w:szCs w:val="32"/>
        </w:rPr>
        <w:t>项目名称：</w:t>
      </w:r>
      <w:r>
        <w:rPr>
          <w:rFonts w:hint="default" w:ascii="Times New Roman" w:hAnsi="Times New Roman" w:eastAsia="宋体" w:cs="Times New Roman"/>
          <w:color w:val="auto"/>
          <w:sz w:val="32"/>
          <w:szCs w:val="32"/>
          <w:u w:val="single"/>
          <w:lang w:eastAsia="zh-CN"/>
        </w:rPr>
        <w:t>中创新能源汽车用压铸动力外壳项目</w:t>
      </w:r>
    </w:p>
    <w:p w14:paraId="5F0A6467">
      <w:pPr>
        <w:adjustRightInd w:val="0"/>
        <w:snapToGrid w:val="0"/>
        <w:spacing w:line="288" w:lineRule="auto"/>
        <w:ind w:firstLine="1040"/>
        <w:rPr>
          <w:rFonts w:hint="default" w:ascii="Times New Roman" w:hAnsi="Times New Roman" w:eastAsia="宋体" w:cs="Times New Roman"/>
          <w:color w:val="auto"/>
          <w:sz w:val="32"/>
          <w:szCs w:val="32"/>
        </w:rPr>
      </w:pPr>
      <w:r>
        <w:rPr>
          <w:rFonts w:hint="default" w:ascii="Times New Roman" w:hAnsi="Times New Roman" w:eastAsia="宋体" w:cs="Times New Roman"/>
          <w:color w:val="auto"/>
          <w:sz w:val="32"/>
          <w:szCs w:val="32"/>
        </w:rPr>
        <w:t>建设单位（盖章）：</w:t>
      </w:r>
      <w:r>
        <w:rPr>
          <w:rFonts w:hint="default" w:ascii="Times New Roman" w:hAnsi="Times New Roman" w:eastAsia="宋体" w:cs="Times New Roman"/>
          <w:color w:val="auto"/>
          <w:spacing w:val="-11"/>
          <w:sz w:val="32"/>
          <w:szCs w:val="32"/>
          <w:u w:val="single"/>
          <w:lang w:eastAsia="zh-CN"/>
        </w:rPr>
        <w:t>湖南中创空天新材料股份有限公司</w:t>
      </w:r>
    </w:p>
    <w:p w14:paraId="5A91BA83">
      <w:pPr>
        <w:adjustRightInd w:val="0"/>
        <w:snapToGrid w:val="0"/>
        <w:spacing w:line="288" w:lineRule="auto"/>
        <w:ind w:firstLine="1040"/>
        <w:rPr>
          <w:rFonts w:hint="default" w:ascii="Times New Roman" w:hAnsi="Times New Roman" w:eastAsia="宋体" w:cs="Times New Roman"/>
          <w:color w:val="auto"/>
          <w:sz w:val="32"/>
          <w:szCs w:val="32"/>
        </w:rPr>
      </w:pPr>
      <w:r>
        <w:rPr>
          <w:rFonts w:hint="default" w:ascii="Times New Roman" w:hAnsi="Times New Roman" w:eastAsia="宋体" w:cs="Times New Roman"/>
          <w:color w:val="auto"/>
          <w:sz w:val="32"/>
          <w:szCs w:val="32"/>
        </w:rPr>
        <w:t>编制日期：</w:t>
      </w:r>
      <w:r>
        <w:rPr>
          <w:rFonts w:hint="default" w:ascii="Times New Roman" w:hAnsi="Times New Roman" w:eastAsia="宋体" w:cs="Times New Roman"/>
          <w:color w:val="auto"/>
          <w:sz w:val="32"/>
          <w:szCs w:val="32"/>
          <w:u w:val="single"/>
        </w:rPr>
        <w:t xml:space="preserve"> 202</w:t>
      </w:r>
      <w:r>
        <w:rPr>
          <w:rFonts w:hint="default" w:ascii="Times New Roman" w:hAnsi="Times New Roman" w:eastAsia="宋体" w:cs="Times New Roman"/>
          <w:color w:val="auto"/>
          <w:sz w:val="32"/>
          <w:szCs w:val="32"/>
          <w:u w:val="single"/>
          <w:lang w:val="en-US" w:eastAsia="zh-CN"/>
        </w:rPr>
        <w:t>5</w:t>
      </w:r>
      <w:r>
        <w:rPr>
          <w:rFonts w:hint="default" w:ascii="Times New Roman" w:hAnsi="Times New Roman" w:eastAsia="宋体" w:cs="Times New Roman"/>
          <w:color w:val="auto"/>
          <w:sz w:val="32"/>
          <w:szCs w:val="32"/>
          <w:u w:val="single"/>
        </w:rPr>
        <w:t>年</w:t>
      </w:r>
      <w:r>
        <w:rPr>
          <w:rFonts w:hint="default" w:ascii="Times New Roman" w:hAnsi="Times New Roman" w:eastAsia="宋体" w:cs="Times New Roman"/>
          <w:color w:val="auto"/>
          <w:sz w:val="32"/>
          <w:szCs w:val="32"/>
          <w:u w:val="single"/>
          <w:lang w:val="en-US" w:eastAsia="zh-CN"/>
        </w:rPr>
        <w:t>7</w:t>
      </w:r>
      <w:r>
        <w:rPr>
          <w:rFonts w:hint="default" w:ascii="Times New Roman" w:hAnsi="Times New Roman" w:eastAsia="宋体" w:cs="Times New Roman"/>
          <w:color w:val="auto"/>
          <w:sz w:val="32"/>
          <w:szCs w:val="32"/>
          <w:u w:val="single"/>
        </w:rPr>
        <w:t xml:space="preserve">月 </w:t>
      </w:r>
    </w:p>
    <w:p w14:paraId="6B1C85FA">
      <w:pPr>
        <w:adjustRightInd w:val="0"/>
        <w:snapToGrid w:val="0"/>
        <w:spacing w:line="288" w:lineRule="auto"/>
        <w:ind w:firstLine="1040"/>
        <w:rPr>
          <w:rFonts w:hint="default" w:ascii="Times New Roman" w:hAnsi="Times New Roman" w:eastAsia="宋体" w:cs="Times New Roman"/>
          <w:color w:val="auto"/>
          <w:sz w:val="36"/>
          <w:szCs w:val="36"/>
        </w:rPr>
      </w:pPr>
      <w:bookmarkStart w:id="7" w:name="_Hlk57884087"/>
    </w:p>
    <w:p w14:paraId="0D0048A5">
      <w:pPr>
        <w:adjustRightInd w:val="0"/>
        <w:snapToGrid w:val="0"/>
        <w:spacing w:line="288" w:lineRule="auto"/>
        <w:ind w:firstLine="1040"/>
        <w:rPr>
          <w:rFonts w:hint="default" w:ascii="Times New Roman" w:hAnsi="Times New Roman" w:eastAsia="宋体" w:cs="Times New Roman"/>
          <w:color w:val="auto"/>
          <w:sz w:val="36"/>
          <w:szCs w:val="36"/>
        </w:rPr>
      </w:pPr>
    </w:p>
    <w:p w14:paraId="6462DA8B">
      <w:pPr>
        <w:adjustRightInd w:val="0"/>
        <w:snapToGrid w:val="0"/>
        <w:spacing w:line="288" w:lineRule="auto"/>
        <w:ind w:firstLine="1040"/>
        <w:rPr>
          <w:rFonts w:hint="default" w:ascii="Times New Roman" w:hAnsi="Times New Roman" w:eastAsia="宋体" w:cs="Times New Roman"/>
          <w:color w:val="auto"/>
          <w:sz w:val="36"/>
          <w:szCs w:val="36"/>
        </w:rPr>
      </w:pPr>
    </w:p>
    <w:p w14:paraId="74F05653">
      <w:pPr>
        <w:adjustRightInd w:val="0"/>
        <w:snapToGrid w:val="0"/>
        <w:spacing w:line="288" w:lineRule="auto"/>
        <w:ind w:firstLine="1040"/>
        <w:rPr>
          <w:rFonts w:hint="default" w:ascii="Times New Roman" w:hAnsi="Times New Roman" w:eastAsia="宋体" w:cs="Times New Roman"/>
          <w:color w:val="auto"/>
          <w:sz w:val="36"/>
          <w:szCs w:val="36"/>
        </w:rPr>
      </w:pPr>
    </w:p>
    <w:bookmarkEnd w:id="7"/>
    <w:p w14:paraId="72FA0434">
      <w:pPr>
        <w:adjustRightInd w:val="0"/>
        <w:snapToGrid w:val="0"/>
        <w:spacing w:line="288" w:lineRule="auto"/>
        <w:jc w:val="center"/>
        <w:rPr>
          <w:rFonts w:hint="default" w:ascii="Times New Roman" w:hAnsi="Times New Roman" w:eastAsia="宋体" w:cs="Times New Roman"/>
          <w:color w:val="auto"/>
          <w:sz w:val="36"/>
          <w:szCs w:val="36"/>
        </w:rPr>
      </w:pPr>
      <w:r>
        <w:rPr>
          <w:rFonts w:hint="default" w:ascii="Times New Roman" w:hAnsi="Times New Roman" w:eastAsia="宋体" w:cs="Times New Roman"/>
          <w:color w:val="auto"/>
          <w:sz w:val="36"/>
          <w:szCs w:val="36"/>
        </w:rPr>
        <w:t>中华人民共和国生态环境部制</w:t>
      </w:r>
    </w:p>
    <w:p w14:paraId="29B42077">
      <w:pPr>
        <w:adjustRightInd w:val="0"/>
        <w:snapToGrid w:val="0"/>
        <w:spacing w:line="288" w:lineRule="auto"/>
        <w:ind w:firstLine="1040"/>
        <w:rPr>
          <w:rFonts w:hint="default" w:ascii="Times New Roman" w:hAnsi="Times New Roman" w:eastAsia="宋体" w:cs="Times New Roman"/>
          <w:color w:val="auto"/>
          <w:sz w:val="36"/>
          <w:szCs w:val="36"/>
        </w:rPr>
        <w:sectPr>
          <w:footerReference r:id="rId3" w:type="default"/>
          <w:footerReference r:id="rId4" w:type="even"/>
          <w:pgSz w:w="11906" w:h="16838"/>
          <w:pgMar w:top="1701" w:right="1531" w:bottom="1701" w:left="1531" w:header="851" w:footer="1077" w:gutter="0"/>
          <w:pgBorders>
            <w:top w:val="none" w:sz="0" w:space="0"/>
            <w:left w:val="none" w:sz="0" w:space="0"/>
            <w:bottom w:val="none" w:sz="0" w:space="0"/>
            <w:right w:val="none" w:sz="0" w:space="0"/>
          </w:pgBorders>
          <w:pgNumType w:start="3"/>
          <w:cols w:space="720" w:num="1"/>
          <w:docGrid w:linePitch="312" w:charSpace="0"/>
        </w:sectPr>
      </w:pPr>
    </w:p>
    <w:p w14:paraId="3BF299C5">
      <w:pPr>
        <w:rPr>
          <w:rFonts w:hint="default" w:ascii="Times New Roman" w:hAnsi="Times New Roman" w:eastAsia="宋体" w:cs="Times New Roman"/>
          <w:color w:val="auto"/>
        </w:rPr>
      </w:pPr>
      <w:r>
        <w:rPr>
          <w:rFonts w:hint="default" w:ascii="Times New Roman" w:hAnsi="Times New Roman" w:eastAsia="宋体" w:cs="Times New Roman"/>
          <w:color w:val="auto"/>
        </w:rPr>
        <w:drawing>
          <wp:anchor distT="0" distB="0" distL="114300" distR="114300" simplePos="0" relativeHeight="251663360" behindDoc="0" locked="0" layoutInCell="1" allowOverlap="1">
            <wp:simplePos x="0" y="0"/>
            <wp:positionH relativeFrom="column">
              <wp:posOffset>-873760</wp:posOffset>
            </wp:positionH>
            <wp:positionV relativeFrom="paragraph">
              <wp:posOffset>-953135</wp:posOffset>
            </wp:positionV>
            <wp:extent cx="7375525" cy="10352405"/>
            <wp:effectExtent l="0" t="0" r="3175" b="10795"/>
            <wp:wrapNone/>
            <wp:docPr id="5" name="图片 5" descr="中创新能源汽车用压铸动力外壳项目资质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中创新能源汽车用压铸动力外壳项目资质页"/>
                    <pic:cNvPicPr>
                      <a:picLocks noChangeAspect="1"/>
                    </pic:cNvPicPr>
                  </pic:nvPicPr>
                  <pic:blipFill>
                    <a:blip r:embed="rId11"/>
                    <a:stretch>
                      <a:fillRect/>
                    </a:stretch>
                  </pic:blipFill>
                  <pic:spPr>
                    <a:xfrm>
                      <a:off x="0" y="0"/>
                      <a:ext cx="7375525" cy="10352405"/>
                    </a:xfrm>
                    <a:prstGeom prst="rect">
                      <a:avLst/>
                    </a:prstGeom>
                  </pic:spPr>
                </pic:pic>
              </a:graphicData>
            </a:graphic>
          </wp:anchor>
        </w:drawing>
      </w:r>
      <w:r>
        <w:rPr>
          <w:rFonts w:hint="default" w:ascii="Times New Roman" w:hAnsi="Times New Roman" w:eastAsia="宋体" w:cs="Times New Roman"/>
          <w:color w:val="auto"/>
        </w:rPr>
        <w:br w:type="page"/>
      </w:r>
    </w:p>
    <w:p w14:paraId="6FE788DF">
      <w:pPr>
        <w:rPr>
          <w:rFonts w:hint="default" w:ascii="Times New Roman" w:hAnsi="Times New Roman" w:eastAsia="宋体" w:cs="Times New Roman"/>
          <w:color w:val="auto"/>
        </w:rPr>
      </w:pPr>
      <w:r>
        <w:rPr>
          <w:rFonts w:hint="default" w:ascii="Times New Roman" w:hAnsi="Times New Roman" w:eastAsia="宋体" w:cs="Times New Roman"/>
          <w:color w:val="auto"/>
        </w:rPr>
        <w:drawing>
          <wp:anchor distT="0" distB="0" distL="114300" distR="114300" simplePos="0" relativeHeight="251662336" behindDoc="0" locked="0" layoutInCell="1" allowOverlap="1">
            <wp:simplePos x="0" y="0"/>
            <wp:positionH relativeFrom="column">
              <wp:posOffset>-881380</wp:posOffset>
            </wp:positionH>
            <wp:positionV relativeFrom="paragraph">
              <wp:posOffset>-952500</wp:posOffset>
            </wp:positionV>
            <wp:extent cx="7348220" cy="10398125"/>
            <wp:effectExtent l="0" t="0" r="5080" b="3175"/>
            <wp:wrapNone/>
            <wp:docPr id="164" name="图片 164" descr="中创后箱体项目---建设项目环境影响报告书（表）编制情况承诺书.doc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64" descr="中创后箱体项目---建设项目环境影响报告书（表）编制情况承诺书.doc_01"/>
                    <pic:cNvPicPr>
                      <a:picLocks noChangeAspect="1"/>
                    </pic:cNvPicPr>
                  </pic:nvPicPr>
                  <pic:blipFill>
                    <a:blip r:embed="rId12"/>
                    <a:stretch>
                      <a:fillRect/>
                    </a:stretch>
                  </pic:blipFill>
                  <pic:spPr>
                    <a:xfrm>
                      <a:off x="0" y="0"/>
                      <a:ext cx="7348220" cy="10398125"/>
                    </a:xfrm>
                    <a:prstGeom prst="rect">
                      <a:avLst/>
                    </a:prstGeom>
                  </pic:spPr>
                </pic:pic>
              </a:graphicData>
            </a:graphic>
          </wp:anchor>
        </w:drawing>
      </w:r>
      <w:r>
        <w:rPr>
          <w:rFonts w:hint="default" w:ascii="Times New Roman" w:hAnsi="Times New Roman" w:eastAsia="宋体" w:cs="Times New Roman"/>
          <w:color w:val="auto"/>
        </w:rPr>
        <w:br w:type="page"/>
      </w:r>
    </w:p>
    <w:p w14:paraId="5A062566">
      <w:pPr>
        <w:rPr>
          <w:rFonts w:hint="default" w:ascii="Times New Roman" w:hAnsi="Times New Roman" w:eastAsia="宋体" w:cs="Times New Roman"/>
          <w:color w:val="auto"/>
        </w:rPr>
      </w:pPr>
      <w:r>
        <w:rPr>
          <w:rFonts w:hint="default" w:ascii="Times New Roman" w:hAnsi="Times New Roman" w:eastAsia="宋体" w:cs="Times New Roman"/>
          <w:color w:val="auto"/>
        </w:rPr>
        <w:drawing>
          <wp:inline distT="0" distB="0" distL="114300" distR="114300">
            <wp:extent cx="5598795" cy="2796540"/>
            <wp:effectExtent l="0" t="0" r="1905" b="3810"/>
            <wp:docPr id="1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1"/>
                    <pic:cNvPicPr>
                      <a:picLocks noChangeAspect="1"/>
                    </pic:cNvPicPr>
                  </pic:nvPicPr>
                  <pic:blipFill>
                    <a:blip r:embed="rId13"/>
                    <a:stretch>
                      <a:fillRect/>
                    </a:stretch>
                  </pic:blipFill>
                  <pic:spPr>
                    <a:xfrm>
                      <a:off x="0" y="0"/>
                      <a:ext cx="5598795" cy="2796540"/>
                    </a:xfrm>
                    <a:prstGeom prst="rect">
                      <a:avLst/>
                    </a:prstGeom>
                    <a:noFill/>
                    <a:ln>
                      <a:noFill/>
                    </a:ln>
                  </pic:spPr>
                </pic:pic>
              </a:graphicData>
            </a:graphic>
          </wp:inline>
        </w:drawing>
      </w:r>
    </w:p>
    <w:p w14:paraId="0782D5CE">
      <w:pPr>
        <w:rPr>
          <w:rFonts w:hint="default" w:ascii="Times New Roman" w:hAnsi="Times New Roman" w:eastAsia="宋体" w:cs="Times New Roman"/>
          <w:color w:val="auto"/>
        </w:rPr>
      </w:pPr>
    </w:p>
    <w:p w14:paraId="4CFAFF80">
      <w:pPr>
        <w:rPr>
          <w:rFonts w:hint="default" w:ascii="Times New Roman" w:hAnsi="Times New Roman" w:eastAsia="宋体" w:cs="Times New Roman"/>
          <w:color w:val="auto"/>
        </w:rPr>
      </w:pPr>
    </w:p>
    <w:p w14:paraId="334D26DE">
      <w:pPr>
        <w:rPr>
          <w:rFonts w:hint="default" w:ascii="Times New Roman" w:hAnsi="Times New Roman" w:eastAsia="宋体" w:cs="Times New Roman"/>
          <w:color w:val="auto"/>
        </w:rPr>
      </w:pPr>
      <w:r>
        <w:rPr>
          <w:rFonts w:hint="default" w:ascii="Times New Roman" w:hAnsi="Times New Roman" w:eastAsia="宋体" w:cs="Times New Roman"/>
          <w:color w:val="auto"/>
        </w:rPr>
        <w:drawing>
          <wp:inline distT="0" distB="0" distL="114300" distR="114300">
            <wp:extent cx="5598795" cy="2796540"/>
            <wp:effectExtent l="0" t="0" r="1905" b="3810"/>
            <wp:docPr id="1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2"/>
                    <pic:cNvPicPr>
                      <a:picLocks noChangeAspect="1"/>
                    </pic:cNvPicPr>
                  </pic:nvPicPr>
                  <pic:blipFill>
                    <a:blip r:embed="rId14"/>
                    <a:stretch>
                      <a:fillRect/>
                    </a:stretch>
                  </pic:blipFill>
                  <pic:spPr>
                    <a:xfrm>
                      <a:off x="0" y="0"/>
                      <a:ext cx="5598795" cy="2796540"/>
                    </a:xfrm>
                    <a:prstGeom prst="rect">
                      <a:avLst/>
                    </a:prstGeom>
                    <a:noFill/>
                    <a:ln>
                      <a:noFill/>
                    </a:ln>
                  </pic:spPr>
                </pic:pic>
              </a:graphicData>
            </a:graphic>
          </wp:inline>
        </w:drawing>
      </w:r>
    </w:p>
    <w:p w14:paraId="33952A67">
      <w:pPr>
        <w:rPr>
          <w:rFonts w:hint="default" w:ascii="Times New Roman" w:hAnsi="Times New Roman" w:eastAsia="宋体" w:cs="Times New Roman"/>
          <w:color w:val="auto"/>
        </w:rPr>
      </w:pPr>
    </w:p>
    <w:p w14:paraId="31ABBDF4">
      <w:pPr>
        <w:rPr>
          <w:rFonts w:hint="default" w:ascii="Times New Roman" w:hAnsi="Times New Roman" w:eastAsia="宋体" w:cs="Times New Roman"/>
          <w:color w:val="auto"/>
        </w:rPr>
      </w:pPr>
    </w:p>
    <w:p w14:paraId="2ABF73E1">
      <w:pPr>
        <w:rPr>
          <w:rFonts w:hint="default" w:ascii="Times New Roman" w:hAnsi="Times New Roman" w:eastAsia="宋体" w:cs="Times New Roman"/>
          <w:color w:val="auto"/>
        </w:rPr>
      </w:pPr>
    </w:p>
    <w:p w14:paraId="673DDCE2">
      <w:pPr>
        <w:rPr>
          <w:rFonts w:hint="default" w:ascii="Times New Roman" w:hAnsi="Times New Roman" w:eastAsia="宋体" w:cs="Times New Roman"/>
          <w:color w:val="auto"/>
        </w:rPr>
      </w:pPr>
    </w:p>
    <w:p w14:paraId="1F555D86">
      <w:pPr>
        <w:rPr>
          <w:rFonts w:hint="default" w:ascii="Times New Roman" w:hAnsi="Times New Roman" w:eastAsia="宋体" w:cs="Times New Roman"/>
          <w:color w:val="auto"/>
        </w:rPr>
      </w:pPr>
    </w:p>
    <w:p w14:paraId="79D877E3">
      <w:pPr>
        <w:rPr>
          <w:rFonts w:hint="default" w:ascii="Times New Roman" w:hAnsi="Times New Roman" w:eastAsia="宋体" w:cs="Times New Roman"/>
          <w:color w:val="auto"/>
        </w:rPr>
      </w:pPr>
    </w:p>
    <w:p w14:paraId="4294C290">
      <w:pPr>
        <w:rPr>
          <w:rFonts w:hint="default" w:ascii="Times New Roman" w:hAnsi="Times New Roman" w:eastAsia="宋体" w:cs="Times New Roman"/>
          <w:color w:val="auto"/>
        </w:rPr>
      </w:pPr>
    </w:p>
    <w:p w14:paraId="6DE88ADE">
      <w:pPr>
        <w:rPr>
          <w:rFonts w:hint="default" w:ascii="Times New Roman" w:hAnsi="Times New Roman" w:eastAsia="宋体" w:cs="Times New Roman"/>
          <w:color w:val="auto"/>
        </w:rPr>
      </w:pPr>
    </w:p>
    <w:p w14:paraId="214C0376">
      <w:pPr>
        <w:rPr>
          <w:rFonts w:hint="default" w:ascii="Times New Roman" w:hAnsi="Times New Roman" w:eastAsia="宋体" w:cs="Times New Roman"/>
          <w:color w:val="auto"/>
        </w:rPr>
      </w:pPr>
    </w:p>
    <w:p w14:paraId="7D4E96E8">
      <w:pPr>
        <w:rPr>
          <w:rFonts w:hint="default" w:ascii="Times New Roman" w:hAnsi="Times New Roman" w:eastAsia="宋体" w:cs="Times New Roman"/>
          <w:color w:val="auto"/>
        </w:rPr>
      </w:pPr>
    </w:p>
    <w:p w14:paraId="7EA83EDE">
      <w:pPr>
        <w:rPr>
          <w:rFonts w:hint="default" w:ascii="Times New Roman" w:hAnsi="Times New Roman" w:eastAsia="宋体" w:cs="Times New Roman"/>
          <w:color w:val="auto"/>
        </w:rPr>
      </w:pPr>
    </w:p>
    <w:p w14:paraId="2F34E2FA">
      <w:pPr>
        <w:rPr>
          <w:rFonts w:hint="default" w:ascii="Times New Roman" w:hAnsi="Times New Roman" w:eastAsia="宋体" w:cs="Times New Roman"/>
          <w:color w:val="auto"/>
        </w:rPr>
      </w:pPr>
    </w:p>
    <w:p w14:paraId="1C867E44">
      <w:pPr>
        <w:rPr>
          <w:rFonts w:hint="default" w:ascii="Times New Roman" w:hAnsi="Times New Roman" w:eastAsia="宋体" w:cs="Times New Roman"/>
          <w:color w:val="auto"/>
        </w:rPr>
      </w:pPr>
    </w:p>
    <w:p w14:paraId="061986F2">
      <w:pPr>
        <w:rPr>
          <w:rFonts w:hint="default" w:ascii="Times New Roman" w:hAnsi="Times New Roman" w:eastAsia="宋体" w:cs="Times New Roman"/>
          <w:color w:val="auto"/>
        </w:rPr>
      </w:pPr>
    </w:p>
    <w:p w14:paraId="658E2771">
      <w:pPr>
        <w:rPr>
          <w:rFonts w:hint="default" w:ascii="Times New Roman" w:hAnsi="Times New Roman" w:eastAsia="宋体" w:cs="Times New Roman"/>
          <w:color w:val="auto"/>
        </w:rPr>
      </w:pPr>
    </w:p>
    <w:p w14:paraId="328019C0">
      <w:pPr>
        <w:rPr>
          <w:rFonts w:hint="default" w:ascii="Times New Roman" w:hAnsi="Times New Roman" w:eastAsia="宋体" w:cs="Times New Roman"/>
          <w:color w:val="auto"/>
        </w:rPr>
      </w:pPr>
    </w:p>
    <w:p w14:paraId="5D2C11E5">
      <w:pPr>
        <w:rPr>
          <w:rFonts w:hint="default" w:ascii="Times New Roman" w:hAnsi="Times New Roman" w:eastAsia="宋体" w:cs="Times New Roman"/>
          <w:color w:val="auto"/>
        </w:rPr>
      </w:pPr>
    </w:p>
    <w:p w14:paraId="77195BEA">
      <w:pPr>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drawing>
          <wp:inline distT="0" distB="0" distL="114300" distR="114300">
            <wp:extent cx="5615305" cy="7945755"/>
            <wp:effectExtent l="0" t="0" r="4445" b="17145"/>
            <wp:docPr id="21" name="图片 21" descr="任森华---参保证明缴费明细-20250820101219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任森华---参保证明缴费明细-20250820101219_01"/>
                    <pic:cNvPicPr>
                      <a:picLocks noChangeAspect="1"/>
                    </pic:cNvPicPr>
                  </pic:nvPicPr>
                  <pic:blipFill>
                    <a:blip r:embed="rId15"/>
                    <a:stretch>
                      <a:fillRect/>
                    </a:stretch>
                  </pic:blipFill>
                  <pic:spPr>
                    <a:xfrm>
                      <a:off x="0" y="0"/>
                      <a:ext cx="5615305" cy="7945755"/>
                    </a:xfrm>
                    <a:prstGeom prst="rect">
                      <a:avLst/>
                    </a:prstGeom>
                  </pic:spPr>
                </pic:pic>
              </a:graphicData>
            </a:graphic>
          </wp:inline>
        </w:drawing>
      </w:r>
    </w:p>
    <w:p w14:paraId="670E1C8E">
      <w:pPr>
        <w:jc w:val="center"/>
        <w:rPr>
          <w:rFonts w:hint="default" w:ascii="Times New Roman" w:hAnsi="Times New Roman" w:eastAsia="宋体" w:cs="Times New Roman"/>
          <w:snapToGrid w:val="0"/>
          <w:color w:val="auto"/>
          <w:sz w:val="44"/>
          <w:szCs w:val="44"/>
          <w:u w:val="none" w:color="auto"/>
        </w:rPr>
      </w:pPr>
      <w:r>
        <w:rPr>
          <w:rFonts w:hint="default" w:ascii="Times New Roman" w:hAnsi="Times New Roman" w:eastAsia="宋体" w:cs="Times New Roman"/>
          <w:snapToGrid w:val="0"/>
          <w:color w:val="auto"/>
          <w:sz w:val="44"/>
          <w:szCs w:val="44"/>
          <w:u w:val="none" w:color="auto"/>
        </w:rPr>
        <w:drawing>
          <wp:inline distT="0" distB="0" distL="114300" distR="114300">
            <wp:extent cx="5612765" cy="3932555"/>
            <wp:effectExtent l="0" t="0" r="6985" b="10795"/>
            <wp:docPr id="20" name="图片 20" descr="任森华环评工程师证书(中创后箱体项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任森华环评工程师证书(中创后箱体项目)"/>
                    <pic:cNvPicPr>
                      <a:picLocks noChangeAspect="1"/>
                    </pic:cNvPicPr>
                  </pic:nvPicPr>
                  <pic:blipFill>
                    <a:blip r:embed="rId16"/>
                    <a:stretch>
                      <a:fillRect/>
                    </a:stretch>
                  </pic:blipFill>
                  <pic:spPr>
                    <a:xfrm>
                      <a:off x="0" y="0"/>
                      <a:ext cx="5612765" cy="3932555"/>
                    </a:xfrm>
                    <a:prstGeom prst="rect">
                      <a:avLst/>
                    </a:prstGeom>
                  </pic:spPr>
                </pic:pic>
              </a:graphicData>
            </a:graphic>
          </wp:inline>
        </w:drawing>
      </w:r>
    </w:p>
    <w:p w14:paraId="4AD7A152">
      <w:pPr>
        <w:jc w:val="center"/>
        <w:rPr>
          <w:rFonts w:hint="default" w:ascii="Times New Roman" w:hAnsi="Times New Roman" w:eastAsia="宋体" w:cs="Times New Roman"/>
          <w:snapToGrid w:val="0"/>
          <w:color w:val="auto"/>
          <w:sz w:val="44"/>
          <w:szCs w:val="44"/>
          <w:u w:val="none" w:color="auto"/>
        </w:rPr>
      </w:pPr>
    </w:p>
    <w:p w14:paraId="789AB2DE">
      <w:pPr>
        <w:jc w:val="center"/>
        <w:rPr>
          <w:rFonts w:hint="default" w:ascii="Times New Roman" w:hAnsi="Times New Roman" w:eastAsia="宋体" w:cs="Times New Roman"/>
          <w:snapToGrid w:val="0"/>
          <w:color w:val="auto"/>
          <w:sz w:val="44"/>
          <w:szCs w:val="44"/>
          <w:u w:val="none" w:color="auto"/>
        </w:rPr>
      </w:pPr>
    </w:p>
    <w:p w14:paraId="642787F7">
      <w:pPr>
        <w:rPr>
          <w:rFonts w:hint="default" w:ascii="Times New Roman" w:hAnsi="Times New Roman" w:eastAsia="宋体" w:cs="Times New Roman"/>
          <w:snapToGrid w:val="0"/>
          <w:color w:val="auto"/>
          <w:sz w:val="44"/>
          <w:szCs w:val="44"/>
          <w:u w:val="none" w:color="auto"/>
        </w:rPr>
      </w:pPr>
      <w:r>
        <w:rPr>
          <w:rFonts w:hint="default" w:ascii="Times New Roman" w:hAnsi="Times New Roman" w:eastAsia="宋体" w:cs="Times New Roman"/>
          <w:snapToGrid w:val="0"/>
          <w:color w:val="auto"/>
          <w:sz w:val="44"/>
          <w:szCs w:val="44"/>
          <w:u w:val="none" w:color="auto"/>
        </w:rPr>
        <w:br w:type="page"/>
      </w:r>
    </w:p>
    <w:p w14:paraId="4059A66B">
      <w:pPr>
        <w:jc w:val="center"/>
        <w:rPr>
          <w:rFonts w:hint="default" w:ascii="Times New Roman" w:hAnsi="Times New Roman" w:eastAsia="宋体" w:cs="Times New Roman"/>
          <w:snapToGrid w:val="0"/>
          <w:color w:val="auto"/>
          <w:sz w:val="28"/>
          <w:szCs w:val="28"/>
          <w:u w:val="none" w:color="auto"/>
        </w:rPr>
      </w:pPr>
      <w:r>
        <w:rPr>
          <w:rFonts w:hint="default" w:ascii="Times New Roman" w:hAnsi="Times New Roman" w:eastAsia="宋体" w:cs="Times New Roman"/>
          <w:snapToGrid w:val="0"/>
          <w:color w:val="auto"/>
          <w:sz w:val="28"/>
          <w:szCs w:val="28"/>
          <w:u w:val="none" w:color="auto"/>
        </w:rPr>
        <w:drawing>
          <wp:inline distT="0" distB="0" distL="114300" distR="114300">
            <wp:extent cx="4110355" cy="3081655"/>
            <wp:effectExtent l="0" t="0" r="4445" b="4445"/>
            <wp:docPr id="39" name="图片 39" descr="0fc6bfc62601a3bad929d8f5f1adc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0fc6bfc62601a3bad929d8f5f1adc35"/>
                    <pic:cNvPicPr>
                      <a:picLocks noChangeAspect="1"/>
                    </pic:cNvPicPr>
                  </pic:nvPicPr>
                  <pic:blipFill>
                    <a:blip r:embed="rId17"/>
                    <a:stretch>
                      <a:fillRect/>
                    </a:stretch>
                  </pic:blipFill>
                  <pic:spPr>
                    <a:xfrm>
                      <a:off x="0" y="0"/>
                      <a:ext cx="4110355" cy="3081655"/>
                    </a:xfrm>
                    <a:prstGeom prst="rect">
                      <a:avLst/>
                    </a:prstGeom>
                  </pic:spPr>
                </pic:pic>
              </a:graphicData>
            </a:graphic>
          </wp:inline>
        </w:drawing>
      </w:r>
    </w:p>
    <w:p w14:paraId="4AFDBA9B">
      <w:pPr>
        <w:jc w:val="center"/>
        <w:rPr>
          <w:rFonts w:hint="default" w:ascii="Times New Roman" w:hAnsi="Times New Roman" w:eastAsia="宋体" w:cs="Times New Roman"/>
          <w:snapToGrid w:val="0"/>
          <w:color w:val="auto"/>
          <w:sz w:val="28"/>
          <w:szCs w:val="28"/>
          <w:u w:val="none" w:color="auto"/>
          <w:lang w:val="en-US" w:eastAsia="zh-CN"/>
        </w:rPr>
      </w:pPr>
      <w:r>
        <w:rPr>
          <w:rFonts w:hint="default" w:ascii="Times New Roman" w:hAnsi="Times New Roman" w:eastAsia="宋体" w:cs="Times New Roman"/>
          <w:snapToGrid w:val="0"/>
          <w:color w:val="auto"/>
          <w:sz w:val="28"/>
          <w:szCs w:val="28"/>
          <w:u w:val="none" w:color="auto"/>
          <w:lang w:val="en-US" w:eastAsia="zh-CN"/>
        </w:rPr>
        <w:t>中创空天厂区</w:t>
      </w:r>
    </w:p>
    <w:p w14:paraId="091BE950">
      <w:pPr>
        <w:jc w:val="center"/>
        <w:rPr>
          <w:rFonts w:hint="default" w:ascii="Times New Roman" w:hAnsi="Times New Roman" w:eastAsia="宋体" w:cs="Times New Roman"/>
          <w:snapToGrid w:val="0"/>
          <w:color w:val="auto"/>
          <w:sz w:val="28"/>
          <w:szCs w:val="28"/>
          <w:u w:val="none" w:color="auto"/>
        </w:rPr>
      </w:pPr>
      <w:r>
        <w:rPr>
          <w:rFonts w:hint="default" w:ascii="Times New Roman" w:hAnsi="Times New Roman" w:eastAsia="宋体" w:cs="Times New Roman"/>
          <w:snapToGrid w:val="0"/>
          <w:color w:val="auto"/>
          <w:sz w:val="28"/>
          <w:szCs w:val="28"/>
          <w:u w:val="none" w:color="auto"/>
        </w:rPr>
        <w:drawing>
          <wp:inline distT="0" distB="0" distL="114300" distR="114300">
            <wp:extent cx="4109720" cy="3081020"/>
            <wp:effectExtent l="0" t="0" r="5080" b="5080"/>
            <wp:docPr id="40" name="图片 40" descr="a2c8416841d41850e96d1ef489cb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a2c8416841d41850e96d1ef489cb966"/>
                    <pic:cNvPicPr>
                      <a:picLocks noChangeAspect="1"/>
                    </pic:cNvPicPr>
                  </pic:nvPicPr>
                  <pic:blipFill>
                    <a:blip r:embed="rId18"/>
                    <a:stretch>
                      <a:fillRect/>
                    </a:stretch>
                  </pic:blipFill>
                  <pic:spPr>
                    <a:xfrm>
                      <a:off x="0" y="0"/>
                      <a:ext cx="4109720" cy="3081020"/>
                    </a:xfrm>
                    <a:prstGeom prst="rect">
                      <a:avLst/>
                    </a:prstGeom>
                  </pic:spPr>
                </pic:pic>
              </a:graphicData>
            </a:graphic>
          </wp:inline>
        </w:drawing>
      </w:r>
    </w:p>
    <w:p w14:paraId="55721A82">
      <w:pPr>
        <w:jc w:val="center"/>
        <w:rPr>
          <w:rFonts w:hint="default" w:ascii="Times New Roman" w:hAnsi="Times New Roman" w:eastAsia="宋体" w:cs="Times New Roman"/>
          <w:snapToGrid w:val="0"/>
          <w:color w:val="auto"/>
          <w:sz w:val="28"/>
          <w:szCs w:val="28"/>
          <w:u w:val="none" w:color="auto"/>
        </w:rPr>
      </w:pPr>
      <w:r>
        <w:rPr>
          <w:rFonts w:hint="default" w:ascii="Times New Roman" w:hAnsi="Times New Roman" w:eastAsia="宋体" w:cs="Times New Roman"/>
          <w:snapToGrid w:val="0"/>
          <w:color w:val="auto"/>
          <w:sz w:val="28"/>
          <w:szCs w:val="28"/>
          <w:u w:val="none" w:color="auto"/>
        </w:rPr>
        <w:t>临港高新产业园区</w:t>
      </w:r>
    </w:p>
    <w:p w14:paraId="4AE8A00A">
      <w:pPr>
        <w:jc w:val="center"/>
        <w:rPr>
          <w:rFonts w:hint="default" w:ascii="Times New Roman" w:hAnsi="Times New Roman" w:eastAsia="宋体" w:cs="Times New Roman"/>
          <w:snapToGrid w:val="0"/>
          <w:color w:val="auto"/>
          <w:sz w:val="44"/>
          <w:szCs w:val="44"/>
          <w:u w:val="none" w:color="auto"/>
        </w:rPr>
      </w:pPr>
      <w:r>
        <w:rPr>
          <w:rFonts w:hint="default" w:ascii="Times New Roman" w:hAnsi="Times New Roman" w:eastAsia="宋体" w:cs="Times New Roman"/>
          <w:snapToGrid w:val="0"/>
          <w:color w:val="auto"/>
          <w:sz w:val="44"/>
          <w:szCs w:val="44"/>
          <w:u w:val="none" w:color="auto"/>
        </w:rPr>
        <w:br w:type="page"/>
      </w:r>
    </w:p>
    <w:p w14:paraId="1FA2B3AA">
      <w:pPr>
        <w:pStyle w:val="23"/>
        <w:tabs>
          <w:tab w:val="right" w:leader="dot" w:pos="8844"/>
        </w:tabs>
        <w:jc w:val="center"/>
        <w:rPr>
          <w:rFonts w:hint="default" w:ascii="Times New Roman" w:hAnsi="Times New Roman" w:eastAsia="宋体" w:cs="Times New Roman"/>
          <w:snapToGrid w:val="0"/>
          <w:color w:val="auto"/>
          <w:sz w:val="44"/>
          <w:szCs w:val="44"/>
          <w:u w:val="none" w:color="auto"/>
        </w:rPr>
      </w:pPr>
      <w:r>
        <w:rPr>
          <w:rFonts w:hint="default" w:ascii="Times New Roman" w:hAnsi="Times New Roman" w:eastAsia="宋体" w:cs="Times New Roman"/>
          <w:snapToGrid w:val="0"/>
          <w:color w:val="auto"/>
          <w:sz w:val="44"/>
          <w:szCs w:val="44"/>
          <w:u w:val="none" w:color="auto"/>
        </w:rPr>
        <w:t>目  录</w:t>
      </w:r>
    </w:p>
    <w:p w14:paraId="4C03972A">
      <w:pPr>
        <w:rPr>
          <w:rFonts w:hint="default" w:ascii="Times New Roman" w:hAnsi="Times New Roman" w:eastAsia="宋体" w:cs="Times New Roman"/>
          <w:color w:val="auto"/>
          <w:u w:val="none" w:color="auto"/>
        </w:rPr>
      </w:pPr>
    </w:p>
    <w:p w14:paraId="7D880D87">
      <w:pPr>
        <w:pStyle w:val="23"/>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rPr>
          <w:sz w:val="28"/>
          <w:szCs w:val="36"/>
        </w:rPr>
      </w:pPr>
      <w:r>
        <w:rPr>
          <w:rFonts w:hint="default" w:ascii="Times New Roman" w:hAnsi="Times New Roman" w:eastAsia="宋体" w:cs="Times New Roman"/>
          <w:snapToGrid w:val="0"/>
          <w:color w:val="auto"/>
          <w:sz w:val="28"/>
          <w:szCs w:val="28"/>
          <w:u w:val="none" w:color="auto"/>
        </w:rPr>
        <w:fldChar w:fldCharType="begin"/>
      </w:r>
      <w:r>
        <w:rPr>
          <w:rFonts w:hint="default" w:ascii="Times New Roman" w:hAnsi="Times New Roman" w:eastAsia="宋体" w:cs="Times New Roman"/>
          <w:snapToGrid w:val="0"/>
          <w:color w:val="auto"/>
          <w:sz w:val="28"/>
          <w:szCs w:val="28"/>
          <w:u w:val="none" w:color="auto"/>
        </w:rPr>
        <w:instrText xml:space="preserve">TOC \o "1-1" \h \u </w:instrText>
      </w:r>
      <w:r>
        <w:rPr>
          <w:rFonts w:hint="default" w:ascii="Times New Roman" w:hAnsi="Times New Roman" w:eastAsia="宋体" w:cs="Times New Roman"/>
          <w:snapToGrid w:val="0"/>
          <w:color w:val="auto"/>
          <w:sz w:val="28"/>
          <w:szCs w:val="28"/>
          <w:u w:val="none" w:color="auto"/>
        </w:rPr>
        <w:fldChar w:fldCharType="separate"/>
      </w:r>
      <w:r>
        <w:rPr>
          <w:rFonts w:hint="default" w:ascii="Times New Roman" w:hAnsi="Times New Roman" w:eastAsia="宋体" w:cs="Times New Roman"/>
          <w:snapToGrid w:val="0"/>
          <w:color w:val="auto"/>
          <w:sz w:val="28"/>
          <w:szCs w:val="40"/>
          <w:u w:val="none" w:color="auto"/>
        </w:rPr>
        <w:fldChar w:fldCharType="begin"/>
      </w:r>
      <w:r>
        <w:rPr>
          <w:rFonts w:hint="default" w:ascii="Times New Roman" w:hAnsi="Times New Roman" w:eastAsia="宋体" w:cs="Times New Roman"/>
          <w:snapToGrid w:val="0"/>
          <w:sz w:val="28"/>
          <w:szCs w:val="40"/>
        </w:rPr>
        <w:instrText xml:space="preserve"> HYPERLINK \l _Toc10636 </w:instrText>
      </w:r>
      <w:r>
        <w:rPr>
          <w:rFonts w:hint="default" w:ascii="Times New Roman" w:hAnsi="Times New Roman" w:eastAsia="宋体" w:cs="Times New Roman"/>
          <w:snapToGrid w:val="0"/>
          <w:sz w:val="28"/>
          <w:szCs w:val="40"/>
        </w:rPr>
        <w:fldChar w:fldCharType="separate"/>
      </w:r>
      <w:r>
        <w:rPr>
          <w:rFonts w:hint="default" w:ascii="Times New Roman" w:hAnsi="Times New Roman" w:eastAsia="宋体" w:cs="Times New Roman"/>
          <w:bCs/>
          <w:snapToGrid w:val="0"/>
          <w:sz w:val="28"/>
          <w:szCs w:val="40"/>
        </w:rPr>
        <w:t>一、建设项目基本情况</w:t>
      </w:r>
      <w:r>
        <w:rPr>
          <w:sz w:val="28"/>
          <w:szCs w:val="36"/>
        </w:rPr>
        <w:tab/>
      </w:r>
      <w:r>
        <w:rPr>
          <w:sz w:val="28"/>
          <w:szCs w:val="36"/>
        </w:rPr>
        <w:fldChar w:fldCharType="begin"/>
      </w:r>
      <w:r>
        <w:rPr>
          <w:sz w:val="28"/>
          <w:szCs w:val="36"/>
        </w:rPr>
        <w:instrText xml:space="preserve"> PAGEREF _Toc10636 \h </w:instrText>
      </w:r>
      <w:r>
        <w:rPr>
          <w:sz w:val="28"/>
          <w:szCs w:val="36"/>
        </w:rPr>
        <w:fldChar w:fldCharType="separate"/>
      </w:r>
      <w:r>
        <w:rPr>
          <w:sz w:val="28"/>
          <w:szCs w:val="36"/>
        </w:rPr>
        <w:t>1</w:t>
      </w:r>
      <w:r>
        <w:rPr>
          <w:sz w:val="28"/>
          <w:szCs w:val="36"/>
        </w:rPr>
        <w:fldChar w:fldCharType="end"/>
      </w:r>
      <w:r>
        <w:rPr>
          <w:rFonts w:hint="default" w:ascii="Times New Roman" w:hAnsi="Times New Roman" w:eastAsia="宋体" w:cs="Times New Roman"/>
          <w:snapToGrid w:val="0"/>
          <w:color w:val="auto"/>
          <w:sz w:val="28"/>
          <w:szCs w:val="40"/>
          <w:u w:val="none" w:color="auto"/>
        </w:rPr>
        <w:fldChar w:fldCharType="end"/>
      </w:r>
    </w:p>
    <w:p w14:paraId="095A0A6A">
      <w:pPr>
        <w:pStyle w:val="23"/>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rPr>
          <w:sz w:val="28"/>
          <w:szCs w:val="36"/>
        </w:rPr>
      </w:pPr>
      <w:r>
        <w:rPr>
          <w:rFonts w:hint="default" w:ascii="Times New Roman" w:hAnsi="Times New Roman" w:eastAsia="宋体" w:cs="Times New Roman"/>
          <w:snapToGrid w:val="0"/>
          <w:color w:val="auto"/>
          <w:sz w:val="28"/>
          <w:szCs w:val="40"/>
          <w:u w:val="none" w:color="auto"/>
        </w:rPr>
        <w:fldChar w:fldCharType="begin"/>
      </w:r>
      <w:r>
        <w:rPr>
          <w:rFonts w:hint="default" w:ascii="Times New Roman" w:hAnsi="Times New Roman" w:eastAsia="宋体" w:cs="Times New Roman"/>
          <w:snapToGrid w:val="0"/>
          <w:sz w:val="28"/>
          <w:szCs w:val="40"/>
        </w:rPr>
        <w:instrText xml:space="preserve"> HYPERLINK \l _Toc17990 </w:instrText>
      </w:r>
      <w:r>
        <w:rPr>
          <w:rFonts w:hint="default" w:ascii="Times New Roman" w:hAnsi="Times New Roman" w:eastAsia="宋体" w:cs="Times New Roman"/>
          <w:snapToGrid w:val="0"/>
          <w:sz w:val="28"/>
          <w:szCs w:val="40"/>
        </w:rPr>
        <w:fldChar w:fldCharType="separate"/>
      </w:r>
      <w:r>
        <w:rPr>
          <w:rFonts w:hint="default" w:ascii="Times New Roman" w:hAnsi="Times New Roman" w:eastAsia="宋体" w:cs="Times New Roman"/>
          <w:bCs/>
          <w:snapToGrid w:val="0"/>
          <w:sz w:val="28"/>
          <w:szCs w:val="40"/>
        </w:rPr>
        <w:t>二、建设项目工程分析</w:t>
      </w:r>
      <w:r>
        <w:rPr>
          <w:sz w:val="28"/>
          <w:szCs w:val="36"/>
        </w:rPr>
        <w:tab/>
      </w:r>
      <w:r>
        <w:rPr>
          <w:sz w:val="28"/>
          <w:szCs w:val="36"/>
        </w:rPr>
        <w:fldChar w:fldCharType="begin"/>
      </w:r>
      <w:r>
        <w:rPr>
          <w:sz w:val="28"/>
          <w:szCs w:val="36"/>
        </w:rPr>
        <w:instrText xml:space="preserve"> PAGEREF _Toc17990 \h </w:instrText>
      </w:r>
      <w:r>
        <w:rPr>
          <w:sz w:val="28"/>
          <w:szCs w:val="36"/>
        </w:rPr>
        <w:fldChar w:fldCharType="separate"/>
      </w:r>
      <w:r>
        <w:rPr>
          <w:sz w:val="28"/>
          <w:szCs w:val="36"/>
        </w:rPr>
        <w:t>25</w:t>
      </w:r>
      <w:r>
        <w:rPr>
          <w:sz w:val="28"/>
          <w:szCs w:val="36"/>
        </w:rPr>
        <w:fldChar w:fldCharType="end"/>
      </w:r>
      <w:r>
        <w:rPr>
          <w:rFonts w:hint="default" w:ascii="Times New Roman" w:hAnsi="Times New Roman" w:eastAsia="宋体" w:cs="Times New Roman"/>
          <w:snapToGrid w:val="0"/>
          <w:color w:val="auto"/>
          <w:sz w:val="28"/>
          <w:szCs w:val="40"/>
          <w:u w:val="none" w:color="auto"/>
        </w:rPr>
        <w:fldChar w:fldCharType="end"/>
      </w:r>
    </w:p>
    <w:p w14:paraId="549B589C">
      <w:pPr>
        <w:pStyle w:val="23"/>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rPr>
          <w:sz w:val="28"/>
          <w:szCs w:val="36"/>
        </w:rPr>
      </w:pPr>
      <w:r>
        <w:rPr>
          <w:rFonts w:hint="default" w:ascii="Times New Roman" w:hAnsi="Times New Roman" w:eastAsia="宋体" w:cs="Times New Roman"/>
          <w:snapToGrid w:val="0"/>
          <w:color w:val="auto"/>
          <w:sz w:val="28"/>
          <w:szCs w:val="40"/>
          <w:u w:val="none" w:color="auto"/>
        </w:rPr>
        <w:fldChar w:fldCharType="begin"/>
      </w:r>
      <w:r>
        <w:rPr>
          <w:rFonts w:hint="default" w:ascii="Times New Roman" w:hAnsi="Times New Roman" w:eastAsia="宋体" w:cs="Times New Roman"/>
          <w:snapToGrid w:val="0"/>
          <w:sz w:val="28"/>
          <w:szCs w:val="40"/>
        </w:rPr>
        <w:instrText xml:space="preserve"> HYPERLINK \l _Toc21722 </w:instrText>
      </w:r>
      <w:r>
        <w:rPr>
          <w:rFonts w:hint="default" w:ascii="Times New Roman" w:hAnsi="Times New Roman" w:eastAsia="宋体" w:cs="Times New Roman"/>
          <w:snapToGrid w:val="0"/>
          <w:sz w:val="28"/>
          <w:szCs w:val="40"/>
        </w:rPr>
        <w:fldChar w:fldCharType="separate"/>
      </w:r>
      <w:r>
        <w:rPr>
          <w:rFonts w:hint="default" w:ascii="Times New Roman" w:hAnsi="Times New Roman" w:eastAsia="宋体" w:cs="Times New Roman"/>
          <w:bCs/>
          <w:snapToGrid w:val="0"/>
          <w:sz w:val="28"/>
          <w:szCs w:val="40"/>
        </w:rPr>
        <w:t>三、区域环境质量现状、环境保护目标及评价标准</w:t>
      </w:r>
      <w:r>
        <w:rPr>
          <w:sz w:val="28"/>
          <w:szCs w:val="36"/>
        </w:rPr>
        <w:tab/>
      </w:r>
      <w:r>
        <w:rPr>
          <w:sz w:val="28"/>
          <w:szCs w:val="36"/>
        </w:rPr>
        <w:fldChar w:fldCharType="begin"/>
      </w:r>
      <w:r>
        <w:rPr>
          <w:sz w:val="28"/>
          <w:szCs w:val="36"/>
        </w:rPr>
        <w:instrText xml:space="preserve"> PAGEREF _Toc21722 \h </w:instrText>
      </w:r>
      <w:r>
        <w:rPr>
          <w:sz w:val="28"/>
          <w:szCs w:val="36"/>
        </w:rPr>
        <w:fldChar w:fldCharType="separate"/>
      </w:r>
      <w:r>
        <w:rPr>
          <w:sz w:val="28"/>
          <w:szCs w:val="36"/>
        </w:rPr>
        <w:t>85</w:t>
      </w:r>
      <w:r>
        <w:rPr>
          <w:sz w:val="28"/>
          <w:szCs w:val="36"/>
        </w:rPr>
        <w:fldChar w:fldCharType="end"/>
      </w:r>
      <w:r>
        <w:rPr>
          <w:rFonts w:hint="default" w:ascii="Times New Roman" w:hAnsi="Times New Roman" w:eastAsia="宋体" w:cs="Times New Roman"/>
          <w:snapToGrid w:val="0"/>
          <w:color w:val="auto"/>
          <w:sz w:val="28"/>
          <w:szCs w:val="40"/>
          <w:u w:val="none" w:color="auto"/>
        </w:rPr>
        <w:fldChar w:fldCharType="end"/>
      </w:r>
    </w:p>
    <w:p w14:paraId="2F93D803">
      <w:pPr>
        <w:pStyle w:val="23"/>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rPr>
          <w:sz w:val="28"/>
          <w:szCs w:val="36"/>
        </w:rPr>
      </w:pPr>
      <w:r>
        <w:rPr>
          <w:rFonts w:hint="default" w:ascii="Times New Roman" w:hAnsi="Times New Roman" w:eastAsia="宋体" w:cs="Times New Roman"/>
          <w:snapToGrid w:val="0"/>
          <w:color w:val="auto"/>
          <w:sz w:val="28"/>
          <w:szCs w:val="40"/>
          <w:u w:val="none" w:color="auto"/>
        </w:rPr>
        <w:fldChar w:fldCharType="begin"/>
      </w:r>
      <w:r>
        <w:rPr>
          <w:rFonts w:hint="default" w:ascii="Times New Roman" w:hAnsi="Times New Roman" w:eastAsia="宋体" w:cs="Times New Roman"/>
          <w:snapToGrid w:val="0"/>
          <w:sz w:val="28"/>
          <w:szCs w:val="40"/>
        </w:rPr>
        <w:instrText xml:space="preserve"> HYPERLINK \l _Toc8072 </w:instrText>
      </w:r>
      <w:r>
        <w:rPr>
          <w:rFonts w:hint="default" w:ascii="Times New Roman" w:hAnsi="Times New Roman" w:eastAsia="宋体" w:cs="Times New Roman"/>
          <w:snapToGrid w:val="0"/>
          <w:sz w:val="28"/>
          <w:szCs w:val="40"/>
        </w:rPr>
        <w:fldChar w:fldCharType="separate"/>
      </w:r>
      <w:r>
        <w:rPr>
          <w:rFonts w:hint="default" w:ascii="Times New Roman" w:hAnsi="Times New Roman" w:eastAsia="宋体" w:cs="Times New Roman"/>
          <w:bCs/>
          <w:snapToGrid w:val="0"/>
          <w:sz w:val="28"/>
          <w:szCs w:val="40"/>
        </w:rPr>
        <w:t>四、主要环境影响和保护措施</w:t>
      </w:r>
      <w:r>
        <w:rPr>
          <w:sz w:val="28"/>
          <w:szCs w:val="36"/>
        </w:rPr>
        <w:tab/>
      </w:r>
      <w:r>
        <w:rPr>
          <w:sz w:val="28"/>
          <w:szCs w:val="36"/>
        </w:rPr>
        <w:fldChar w:fldCharType="begin"/>
      </w:r>
      <w:r>
        <w:rPr>
          <w:sz w:val="28"/>
          <w:szCs w:val="36"/>
        </w:rPr>
        <w:instrText xml:space="preserve"> PAGEREF _Toc8072 \h </w:instrText>
      </w:r>
      <w:r>
        <w:rPr>
          <w:sz w:val="28"/>
          <w:szCs w:val="36"/>
        </w:rPr>
        <w:fldChar w:fldCharType="separate"/>
      </w:r>
      <w:r>
        <w:rPr>
          <w:sz w:val="28"/>
          <w:szCs w:val="36"/>
        </w:rPr>
        <w:t>94</w:t>
      </w:r>
      <w:r>
        <w:rPr>
          <w:sz w:val="28"/>
          <w:szCs w:val="36"/>
        </w:rPr>
        <w:fldChar w:fldCharType="end"/>
      </w:r>
      <w:r>
        <w:rPr>
          <w:rFonts w:hint="default" w:ascii="Times New Roman" w:hAnsi="Times New Roman" w:eastAsia="宋体" w:cs="Times New Roman"/>
          <w:snapToGrid w:val="0"/>
          <w:color w:val="auto"/>
          <w:sz w:val="28"/>
          <w:szCs w:val="40"/>
          <w:u w:val="none" w:color="auto"/>
        </w:rPr>
        <w:fldChar w:fldCharType="end"/>
      </w:r>
    </w:p>
    <w:p w14:paraId="48BD0E59">
      <w:pPr>
        <w:pStyle w:val="23"/>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rPr>
          <w:sz w:val="28"/>
          <w:szCs w:val="36"/>
        </w:rPr>
      </w:pPr>
      <w:r>
        <w:rPr>
          <w:rFonts w:hint="default" w:ascii="Times New Roman" w:hAnsi="Times New Roman" w:eastAsia="宋体" w:cs="Times New Roman"/>
          <w:snapToGrid w:val="0"/>
          <w:color w:val="auto"/>
          <w:sz w:val="28"/>
          <w:szCs w:val="40"/>
          <w:u w:val="none" w:color="auto"/>
        </w:rPr>
        <w:fldChar w:fldCharType="begin"/>
      </w:r>
      <w:r>
        <w:rPr>
          <w:rFonts w:hint="default" w:ascii="Times New Roman" w:hAnsi="Times New Roman" w:eastAsia="宋体" w:cs="Times New Roman"/>
          <w:snapToGrid w:val="0"/>
          <w:sz w:val="28"/>
          <w:szCs w:val="40"/>
        </w:rPr>
        <w:instrText xml:space="preserve"> HYPERLINK \l _Toc11821 </w:instrText>
      </w:r>
      <w:r>
        <w:rPr>
          <w:rFonts w:hint="default" w:ascii="Times New Roman" w:hAnsi="Times New Roman" w:eastAsia="宋体" w:cs="Times New Roman"/>
          <w:snapToGrid w:val="0"/>
          <w:sz w:val="28"/>
          <w:szCs w:val="40"/>
        </w:rPr>
        <w:fldChar w:fldCharType="separate"/>
      </w:r>
      <w:r>
        <w:rPr>
          <w:rFonts w:hint="default" w:ascii="Times New Roman" w:hAnsi="Times New Roman" w:eastAsia="宋体" w:cs="Times New Roman"/>
          <w:bCs/>
          <w:snapToGrid w:val="0"/>
          <w:sz w:val="28"/>
          <w:szCs w:val="40"/>
        </w:rPr>
        <w:t>五、环境保护措施监督检查清单</w:t>
      </w:r>
      <w:r>
        <w:rPr>
          <w:sz w:val="28"/>
          <w:szCs w:val="36"/>
        </w:rPr>
        <w:tab/>
      </w:r>
      <w:r>
        <w:rPr>
          <w:sz w:val="28"/>
          <w:szCs w:val="36"/>
        </w:rPr>
        <w:fldChar w:fldCharType="begin"/>
      </w:r>
      <w:r>
        <w:rPr>
          <w:sz w:val="28"/>
          <w:szCs w:val="36"/>
        </w:rPr>
        <w:instrText xml:space="preserve"> PAGEREF _Toc11821 \h </w:instrText>
      </w:r>
      <w:r>
        <w:rPr>
          <w:sz w:val="28"/>
          <w:szCs w:val="36"/>
        </w:rPr>
        <w:fldChar w:fldCharType="separate"/>
      </w:r>
      <w:r>
        <w:rPr>
          <w:sz w:val="28"/>
          <w:szCs w:val="36"/>
        </w:rPr>
        <w:t>163</w:t>
      </w:r>
      <w:r>
        <w:rPr>
          <w:sz w:val="28"/>
          <w:szCs w:val="36"/>
        </w:rPr>
        <w:fldChar w:fldCharType="end"/>
      </w:r>
      <w:r>
        <w:rPr>
          <w:rFonts w:hint="default" w:ascii="Times New Roman" w:hAnsi="Times New Roman" w:eastAsia="宋体" w:cs="Times New Roman"/>
          <w:snapToGrid w:val="0"/>
          <w:color w:val="auto"/>
          <w:sz w:val="28"/>
          <w:szCs w:val="40"/>
          <w:u w:val="none" w:color="auto"/>
        </w:rPr>
        <w:fldChar w:fldCharType="end"/>
      </w:r>
    </w:p>
    <w:p w14:paraId="1134CA9D">
      <w:pPr>
        <w:pStyle w:val="23"/>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rPr>
          <w:sz w:val="28"/>
          <w:szCs w:val="36"/>
        </w:rPr>
      </w:pPr>
      <w:r>
        <w:rPr>
          <w:rFonts w:hint="default" w:ascii="Times New Roman" w:hAnsi="Times New Roman" w:eastAsia="宋体" w:cs="Times New Roman"/>
          <w:snapToGrid w:val="0"/>
          <w:color w:val="auto"/>
          <w:sz w:val="28"/>
          <w:szCs w:val="40"/>
          <w:u w:val="none" w:color="auto"/>
        </w:rPr>
        <w:fldChar w:fldCharType="begin"/>
      </w:r>
      <w:r>
        <w:rPr>
          <w:rFonts w:hint="default" w:ascii="Times New Roman" w:hAnsi="Times New Roman" w:eastAsia="宋体" w:cs="Times New Roman"/>
          <w:snapToGrid w:val="0"/>
          <w:sz w:val="28"/>
          <w:szCs w:val="40"/>
        </w:rPr>
        <w:instrText xml:space="preserve"> HYPERLINK \l _Toc103 </w:instrText>
      </w:r>
      <w:r>
        <w:rPr>
          <w:rFonts w:hint="default" w:ascii="Times New Roman" w:hAnsi="Times New Roman" w:eastAsia="宋体" w:cs="Times New Roman"/>
          <w:snapToGrid w:val="0"/>
          <w:sz w:val="28"/>
          <w:szCs w:val="40"/>
        </w:rPr>
        <w:fldChar w:fldCharType="separate"/>
      </w:r>
      <w:r>
        <w:rPr>
          <w:rFonts w:hint="default" w:ascii="Times New Roman" w:hAnsi="Times New Roman" w:eastAsia="宋体" w:cs="Times New Roman"/>
          <w:bCs/>
          <w:snapToGrid w:val="0"/>
          <w:sz w:val="28"/>
          <w:szCs w:val="40"/>
        </w:rPr>
        <w:t>六、结论</w:t>
      </w:r>
      <w:r>
        <w:rPr>
          <w:sz w:val="28"/>
          <w:szCs w:val="36"/>
        </w:rPr>
        <w:tab/>
      </w:r>
      <w:r>
        <w:rPr>
          <w:sz w:val="28"/>
          <w:szCs w:val="36"/>
        </w:rPr>
        <w:fldChar w:fldCharType="begin"/>
      </w:r>
      <w:r>
        <w:rPr>
          <w:sz w:val="28"/>
          <w:szCs w:val="36"/>
        </w:rPr>
        <w:instrText xml:space="preserve"> PAGEREF _Toc103 \h </w:instrText>
      </w:r>
      <w:r>
        <w:rPr>
          <w:sz w:val="28"/>
          <w:szCs w:val="36"/>
        </w:rPr>
        <w:fldChar w:fldCharType="separate"/>
      </w:r>
      <w:r>
        <w:rPr>
          <w:sz w:val="28"/>
          <w:szCs w:val="36"/>
        </w:rPr>
        <w:t>165</w:t>
      </w:r>
      <w:r>
        <w:rPr>
          <w:sz w:val="28"/>
          <w:szCs w:val="36"/>
        </w:rPr>
        <w:fldChar w:fldCharType="end"/>
      </w:r>
      <w:r>
        <w:rPr>
          <w:rFonts w:hint="default" w:ascii="Times New Roman" w:hAnsi="Times New Roman" w:eastAsia="宋体" w:cs="Times New Roman"/>
          <w:snapToGrid w:val="0"/>
          <w:color w:val="auto"/>
          <w:sz w:val="28"/>
          <w:szCs w:val="40"/>
          <w:u w:val="none" w:color="auto"/>
        </w:rPr>
        <w:fldChar w:fldCharType="end"/>
      </w:r>
    </w:p>
    <w:p w14:paraId="2099E284">
      <w:pPr>
        <w:pStyle w:val="23"/>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rPr>
          <w:rFonts w:hint="eastAsia" w:ascii="Times New Roman" w:hAnsi="Times New Roman" w:eastAsia="宋体" w:cs="Times New Roman"/>
          <w:snapToGrid w:val="0"/>
          <w:color w:val="auto"/>
          <w:sz w:val="28"/>
          <w:szCs w:val="40"/>
          <w:u w:val="none" w:color="auto"/>
          <w:lang w:val="en-US" w:eastAsia="zh-CN"/>
        </w:rPr>
      </w:pPr>
      <w:r>
        <w:rPr>
          <w:rFonts w:hint="eastAsia" w:cs="Times New Roman"/>
          <w:snapToGrid w:val="0"/>
          <w:color w:val="auto"/>
          <w:sz w:val="28"/>
          <w:szCs w:val="40"/>
          <w:u w:val="none" w:color="auto"/>
          <w:lang w:val="en-US" w:eastAsia="zh-CN"/>
        </w:rPr>
        <w:t>附录</w:t>
      </w:r>
    </w:p>
    <w:p w14:paraId="450D1FDB">
      <w:pPr>
        <w:pStyle w:val="23"/>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rPr>
          <w:sz w:val="28"/>
          <w:szCs w:val="36"/>
        </w:rPr>
      </w:pPr>
      <w:r>
        <w:rPr>
          <w:rFonts w:hint="default" w:ascii="Times New Roman" w:hAnsi="Times New Roman" w:eastAsia="宋体" w:cs="Times New Roman"/>
          <w:snapToGrid w:val="0"/>
          <w:color w:val="auto"/>
          <w:sz w:val="28"/>
          <w:szCs w:val="40"/>
          <w:u w:val="none" w:color="auto"/>
        </w:rPr>
        <w:fldChar w:fldCharType="begin"/>
      </w:r>
      <w:r>
        <w:rPr>
          <w:rFonts w:hint="default" w:ascii="Times New Roman" w:hAnsi="Times New Roman" w:eastAsia="宋体" w:cs="Times New Roman"/>
          <w:snapToGrid w:val="0"/>
          <w:sz w:val="28"/>
          <w:szCs w:val="40"/>
        </w:rPr>
        <w:instrText xml:space="preserve"> HYPERLINK \l _Toc28842 </w:instrText>
      </w:r>
      <w:r>
        <w:rPr>
          <w:rFonts w:hint="default" w:ascii="Times New Roman" w:hAnsi="Times New Roman" w:eastAsia="宋体" w:cs="Times New Roman"/>
          <w:snapToGrid w:val="0"/>
          <w:sz w:val="28"/>
          <w:szCs w:val="40"/>
        </w:rPr>
        <w:fldChar w:fldCharType="separate"/>
      </w:r>
      <w:r>
        <w:rPr>
          <w:rFonts w:hint="default" w:ascii="Times New Roman" w:hAnsi="Times New Roman" w:eastAsia="宋体" w:cs="Times New Roman"/>
          <w:spacing w:val="-6"/>
          <w:sz w:val="28"/>
          <w:szCs w:val="56"/>
          <w:lang w:eastAsia="zh-CN"/>
        </w:rPr>
        <w:t>中创新能源汽车用压铸动力外壳项目（</w:t>
      </w:r>
      <w:r>
        <w:rPr>
          <w:rFonts w:hint="default" w:ascii="Times New Roman" w:hAnsi="Times New Roman" w:eastAsia="宋体" w:cs="Times New Roman"/>
          <w:spacing w:val="-6"/>
          <w:sz w:val="28"/>
          <w:szCs w:val="56"/>
          <w:lang w:val="en-US" w:eastAsia="zh-CN"/>
        </w:rPr>
        <w:t>中创空天厂区</w:t>
      </w:r>
      <w:r>
        <w:rPr>
          <w:rFonts w:hint="default" w:ascii="Times New Roman" w:hAnsi="Times New Roman" w:eastAsia="宋体" w:cs="Times New Roman"/>
          <w:spacing w:val="-6"/>
          <w:sz w:val="28"/>
          <w:szCs w:val="56"/>
          <w:lang w:eastAsia="zh-CN"/>
        </w:rPr>
        <w:t>）</w:t>
      </w:r>
      <w:r>
        <w:rPr>
          <w:rFonts w:hint="default" w:ascii="Times New Roman" w:hAnsi="Times New Roman" w:eastAsia="宋体" w:cs="Times New Roman"/>
          <w:spacing w:val="-6"/>
          <w:sz w:val="28"/>
          <w:szCs w:val="56"/>
        </w:rPr>
        <w:t>环境风险专项评价</w:t>
      </w:r>
      <w:r>
        <w:rPr>
          <w:sz w:val="28"/>
          <w:szCs w:val="36"/>
        </w:rPr>
        <w:tab/>
      </w:r>
      <w:r>
        <w:rPr>
          <w:sz w:val="28"/>
          <w:szCs w:val="36"/>
        </w:rPr>
        <w:fldChar w:fldCharType="begin"/>
      </w:r>
      <w:r>
        <w:rPr>
          <w:sz w:val="28"/>
          <w:szCs w:val="36"/>
        </w:rPr>
        <w:instrText xml:space="preserve"> PAGEREF _Toc28842 \h </w:instrText>
      </w:r>
      <w:r>
        <w:rPr>
          <w:sz w:val="28"/>
          <w:szCs w:val="36"/>
        </w:rPr>
        <w:fldChar w:fldCharType="separate"/>
      </w:r>
      <w:r>
        <w:rPr>
          <w:sz w:val="28"/>
          <w:szCs w:val="36"/>
        </w:rPr>
        <w:t>166</w:t>
      </w:r>
      <w:r>
        <w:rPr>
          <w:sz w:val="28"/>
          <w:szCs w:val="36"/>
        </w:rPr>
        <w:fldChar w:fldCharType="end"/>
      </w:r>
      <w:r>
        <w:rPr>
          <w:rFonts w:hint="default" w:ascii="Times New Roman" w:hAnsi="Times New Roman" w:eastAsia="宋体" w:cs="Times New Roman"/>
          <w:snapToGrid w:val="0"/>
          <w:color w:val="auto"/>
          <w:sz w:val="28"/>
          <w:szCs w:val="40"/>
          <w:u w:val="none" w:color="auto"/>
        </w:rPr>
        <w:fldChar w:fldCharType="end"/>
      </w:r>
    </w:p>
    <w:p w14:paraId="77228050">
      <w:pPr>
        <w:pStyle w:val="23"/>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rPr>
          <w:rFonts w:hint="eastAsia" w:ascii="Times New Roman" w:hAnsi="Times New Roman" w:eastAsia="宋体" w:cs="Times New Roman"/>
          <w:snapToGrid w:val="0"/>
          <w:color w:val="auto"/>
          <w:sz w:val="28"/>
          <w:szCs w:val="40"/>
          <w:u w:val="none" w:color="auto"/>
          <w:lang w:val="en-US" w:eastAsia="zh-CN"/>
        </w:rPr>
      </w:pPr>
      <w:r>
        <w:rPr>
          <w:rFonts w:hint="eastAsia" w:cs="Times New Roman"/>
          <w:snapToGrid w:val="0"/>
          <w:color w:val="auto"/>
          <w:sz w:val="28"/>
          <w:szCs w:val="40"/>
          <w:u w:val="none" w:color="auto"/>
          <w:lang w:val="en-US" w:eastAsia="zh-CN"/>
        </w:rPr>
        <w:t>附表</w:t>
      </w:r>
    </w:p>
    <w:p w14:paraId="1C302D34">
      <w:pPr>
        <w:pStyle w:val="23"/>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rPr>
          <w:sz w:val="28"/>
          <w:szCs w:val="36"/>
        </w:rPr>
      </w:pPr>
      <w:r>
        <w:rPr>
          <w:rFonts w:hint="default" w:ascii="Times New Roman" w:hAnsi="Times New Roman" w:eastAsia="宋体" w:cs="Times New Roman"/>
          <w:snapToGrid w:val="0"/>
          <w:color w:val="auto"/>
          <w:sz w:val="28"/>
          <w:szCs w:val="40"/>
          <w:u w:val="none" w:color="auto"/>
        </w:rPr>
        <w:fldChar w:fldCharType="begin"/>
      </w:r>
      <w:r>
        <w:rPr>
          <w:rFonts w:hint="default" w:ascii="Times New Roman" w:hAnsi="Times New Roman" w:eastAsia="宋体" w:cs="Times New Roman"/>
          <w:snapToGrid w:val="0"/>
          <w:sz w:val="28"/>
          <w:szCs w:val="40"/>
        </w:rPr>
        <w:instrText xml:space="preserve"> HYPERLINK \l _Toc15592 </w:instrText>
      </w:r>
      <w:r>
        <w:rPr>
          <w:rFonts w:hint="default" w:ascii="Times New Roman" w:hAnsi="Times New Roman" w:eastAsia="宋体" w:cs="Times New Roman"/>
          <w:snapToGrid w:val="0"/>
          <w:sz w:val="28"/>
          <w:szCs w:val="40"/>
        </w:rPr>
        <w:fldChar w:fldCharType="separate"/>
      </w:r>
      <w:r>
        <w:rPr>
          <w:rFonts w:hint="default" w:ascii="Times New Roman" w:hAnsi="Times New Roman" w:eastAsia="宋体" w:cs="Times New Roman"/>
          <w:bCs/>
          <w:snapToGrid w:val="0"/>
          <w:kern w:val="0"/>
          <w:sz w:val="28"/>
          <w:szCs w:val="36"/>
          <w:lang w:val="en-US" w:eastAsia="en-US" w:bidi="ar-SA"/>
        </w:rPr>
        <w:t>附表</w:t>
      </w:r>
      <w:r>
        <w:rPr>
          <w:rFonts w:hint="default" w:ascii="Times New Roman" w:hAnsi="Times New Roman" w:eastAsia="宋体" w:cs="Times New Roman"/>
          <w:bCs/>
          <w:snapToGrid w:val="0"/>
          <w:kern w:val="0"/>
          <w:sz w:val="28"/>
          <w:szCs w:val="36"/>
          <w:lang w:val="en-US" w:eastAsia="zh-CN" w:bidi="ar-SA"/>
        </w:rPr>
        <w:t>1</w:t>
      </w:r>
      <w:r>
        <w:rPr>
          <w:rFonts w:hint="default" w:ascii="Times New Roman" w:hAnsi="Times New Roman" w:eastAsia="宋体" w:cs="Times New Roman"/>
          <w:bCs/>
          <w:snapToGrid w:val="0"/>
          <w:kern w:val="0"/>
          <w:sz w:val="28"/>
          <w:szCs w:val="36"/>
          <w:lang w:val="en-US" w:eastAsia="en-US" w:bidi="ar-SA"/>
        </w:rPr>
        <w:t xml:space="preserve"> </w:t>
      </w:r>
      <w:r>
        <w:rPr>
          <w:rFonts w:hint="default" w:ascii="Times New Roman" w:hAnsi="Times New Roman" w:eastAsia="宋体" w:cs="Times New Roman"/>
          <w:bCs/>
          <w:snapToGrid w:val="0"/>
          <w:kern w:val="0"/>
          <w:sz w:val="28"/>
          <w:szCs w:val="36"/>
          <w:lang w:val="en-US" w:eastAsia="zh-CN" w:bidi="ar-SA"/>
        </w:rPr>
        <w:t xml:space="preserve"> </w:t>
      </w:r>
      <w:r>
        <w:rPr>
          <w:rFonts w:hint="default" w:ascii="Times New Roman" w:hAnsi="Times New Roman" w:eastAsia="宋体" w:cs="Times New Roman"/>
          <w:bCs/>
          <w:snapToGrid w:val="0"/>
          <w:kern w:val="0"/>
          <w:sz w:val="28"/>
          <w:szCs w:val="36"/>
          <w:lang w:val="en-US" w:eastAsia="en-US" w:bidi="ar-SA"/>
        </w:rPr>
        <w:t>建设项目环境风险评价自查表</w:t>
      </w:r>
      <w:r>
        <w:rPr>
          <w:sz w:val="28"/>
          <w:szCs w:val="36"/>
        </w:rPr>
        <w:tab/>
      </w:r>
      <w:r>
        <w:rPr>
          <w:sz w:val="28"/>
          <w:szCs w:val="36"/>
        </w:rPr>
        <w:fldChar w:fldCharType="begin"/>
      </w:r>
      <w:r>
        <w:rPr>
          <w:sz w:val="28"/>
          <w:szCs w:val="36"/>
        </w:rPr>
        <w:instrText xml:space="preserve"> PAGEREF _Toc15592 \h </w:instrText>
      </w:r>
      <w:r>
        <w:rPr>
          <w:sz w:val="28"/>
          <w:szCs w:val="36"/>
        </w:rPr>
        <w:fldChar w:fldCharType="separate"/>
      </w:r>
      <w:r>
        <w:rPr>
          <w:sz w:val="28"/>
          <w:szCs w:val="36"/>
        </w:rPr>
        <w:t>214</w:t>
      </w:r>
      <w:r>
        <w:rPr>
          <w:sz w:val="28"/>
          <w:szCs w:val="36"/>
        </w:rPr>
        <w:fldChar w:fldCharType="end"/>
      </w:r>
      <w:r>
        <w:rPr>
          <w:rFonts w:hint="default" w:ascii="Times New Roman" w:hAnsi="Times New Roman" w:eastAsia="宋体" w:cs="Times New Roman"/>
          <w:snapToGrid w:val="0"/>
          <w:color w:val="auto"/>
          <w:sz w:val="28"/>
          <w:szCs w:val="40"/>
          <w:u w:val="none" w:color="auto"/>
        </w:rPr>
        <w:fldChar w:fldCharType="end"/>
      </w:r>
    </w:p>
    <w:p w14:paraId="294FD7F9">
      <w:pPr>
        <w:pStyle w:val="23"/>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rPr>
          <w:sz w:val="28"/>
          <w:szCs w:val="36"/>
        </w:rPr>
      </w:pPr>
      <w:r>
        <w:rPr>
          <w:rFonts w:hint="default" w:ascii="Times New Roman" w:hAnsi="Times New Roman" w:eastAsia="宋体" w:cs="Times New Roman"/>
          <w:snapToGrid w:val="0"/>
          <w:color w:val="auto"/>
          <w:sz w:val="28"/>
          <w:szCs w:val="40"/>
          <w:u w:val="none" w:color="auto"/>
        </w:rPr>
        <w:fldChar w:fldCharType="begin"/>
      </w:r>
      <w:r>
        <w:rPr>
          <w:rFonts w:hint="default" w:ascii="Times New Roman" w:hAnsi="Times New Roman" w:eastAsia="宋体" w:cs="Times New Roman"/>
          <w:snapToGrid w:val="0"/>
          <w:sz w:val="28"/>
          <w:szCs w:val="40"/>
        </w:rPr>
        <w:instrText xml:space="preserve"> HYPERLINK \l _Toc11742 </w:instrText>
      </w:r>
      <w:r>
        <w:rPr>
          <w:rFonts w:hint="default" w:ascii="Times New Roman" w:hAnsi="Times New Roman" w:eastAsia="宋体" w:cs="Times New Roman"/>
          <w:snapToGrid w:val="0"/>
          <w:sz w:val="28"/>
          <w:szCs w:val="40"/>
        </w:rPr>
        <w:fldChar w:fldCharType="separate"/>
      </w:r>
      <w:r>
        <w:rPr>
          <w:rFonts w:hint="default" w:ascii="Times New Roman" w:hAnsi="Times New Roman" w:eastAsia="宋体" w:cs="Times New Roman"/>
          <w:bCs/>
          <w:snapToGrid w:val="0"/>
          <w:kern w:val="0"/>
          <w:sz w:val="28"/>
          <w:szCs w:val="36"/>
          <w:lang w:val="en-US" w:eastAsia="en-US" w:bidi="ar-SA"/>
        </w:rPr>
        <w:t>附表</w:t>
      </w:r>
      <w:r>
        <w:rPr>
          <w:rFonts w:hint="default" w:ascii="Times New Roman" w:hAnsi="Times New Roman" w:eastAsia="宋体" w:cs="Times New Roman"/>
          <w:bCs/>
          <w:snapToGrid w:val="0"/>
          <w:kern w:val="0"/>
          <w:sz w:val="28"/>
          <w:szCs w:val="36"/>
          <w:lang w:val="en-US" w:eastAsia="zh-CN" w:bidi="ar-SA"/>
        </w:rPr>
        <w:t>2：建设项目污染物排放量汇总表</w:t>
      </w:r>
      <w:r>
        <w:rPr>
          <w:sz w:val="28"/>
          <w:szCs w:val="36"/>
        </w:rPr>
        <w:tab/>
      </w:r>
      <w:r>
        <w:rPr>
          <w:sz w:val="28"/>
          <w:szCs w:val="36"/>
        </w:rPr>
        <w:fldChar w:fldCharType="begin"/>
      </w:r>
      <w:r>
        <w:rPr>
          <w:sz w:val="28"/>
          <w:szCs w:val="36"/>
        </w:rPr>
        <w:instrText xml:space="preserve"> PAGEREF _Toc11742 \h </w:instrText>
      </w:r>
      <w:r>
        <w:rPr>
          <w:sz w:val="28"/>
          <w:szCs w:val="36"/>
        </w:rPr>
        <w:fldChar w:fldCharType="separate"/>
      </w:r>
      <w:r>
        <w:rPr>
          <w:sz w:val="28"/>
          <w:szCs w:val="36"/>
        </w:rPr>
        <w:t>216</w:t>
      </w:r>
      <w:r>
        <w:rPr>
          <w:sz w:val="28"/>
          <w:szCs w:val="36"/>
        </w:rPr>
        <w:fldChar w:fldCharType="end"/>
      </w:r>
      <w:r>
        <w:rPr>
          <w:rFonts w:hint="default" w:ascii="Times New Roman" w:hAnsi="Times New Roman" w:eastAsia="宋体" w:cs="Times New Roman"/>
          <w:snapToGrid w:val="0"/>
          <w:color w:val="auto"/>
          <w:sz w:val="28"/>
          <w:szCs w:val="40"/>
          <w:u w:val="none" w:color="auto"/>
        </w:rPr>
        <w:fldChar w:fldCharType="end"/>
      </w:r>
    </w:p>
    <w:p w14:paraId="719A9D12">
      <w:pPr>
        <w:pStyle w:val="23"/>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rPr>
          <w:rFonts w:hint="eastAsia" w:ascii="Times New Roman" w:hAnsi="Times New Roman" w:eastAsia="宋体" w:cs="Times New Roman"/>
          <w:snapToGrid w:val="0"/>
          <w:color w:val="auto"/>
          <w:sz w:val="28"/>
          <w:szCs w:val="40"/>
          <w:u w:val="none" w:color="auto"/>
          <w:lang w:val="en-US" w:eastAsia="zh-CN"/>
        </w:rPr>
      </w:pPr>
      <w:r>
        <w:rPr>
          <w:rFonts w:hint="eastAsia" w:cs="Times New Roman"/>
          <w:snapToGrid w:val="0"/>
          <w:color w:val="auto"/>
          <w:sz w:val="28"/>
          <w:szCs w:val="40"/>
          <w:u w:val="none" w:color="auto"/>
          <w:lang w:val="en-US" w:eastAsia="zh-CN"/>
        </w:rPr>
        <w:t>附件</w:t>
      </w:r>
    </w:p>
    <w:p w14:paraId="032776B5">
      <w:pPr>
        <w:pStyle w:val="23"/>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rPr>
          <w:sz w:val="28"/>
          <w:szCs w:val="36"/>
        </w:rPr>
      </w:pPr>
      <w:r>
        <w:rPr>
          <w:rFonts w:hint="default" w:ascii="Times New Roman" w:hAnsi="Times New Roman" w:eastAsia="宋体" w:cs="Times New Roman"/>
          <w:snapToGrid w:val="0"/>
          <w:color w:val="auto"/>
          <w:sz w:val="28"/>
          <w:szCs w:val="40"/>
          <w:u w:val="none" w:color="auto"/>
        </w:rPr>
        <w:fldChar w:fldCharType="begin"/>
      </w:r>
      <w:r>
        <w:rPr>
          <w:rFonts w:hint="default" w:ascii="Times New Roman" w:hAnsi="Times New Roman" w:eastAsia="宋体" w:cs="Times New Roman"/>
          <w:snapToGrid w:val="0"/>
          <w:sz w:val="28"/>
          <w:szCs w:val="40"/>
        </w:rPr>
        <w:instrText xml:space="preserve"> HYPERLINK \l _Toc2157 </w:instrText>
      </w:r>
      <w:r>
        <w:rPr>
          <w:rFonts w:hint="default" w:ascii="Times New Roman" w:hAnsi="Times New Roman" w:eastAsia="宋体" w:cs="Times New Roman"/>
          <w:snapToGrid w:val="0"/>
          <w:sz w:val="28"/>
          <w:szCs w:val="40"/>
        </w:rPr>
        <w:fldChar w:fldCharType="separate"/>
      </w:r>
      <w:r>
        <w:rPr>
          <w:rFonts w:hint="default" w:ascii="Times New Roman" w:hAnsi="Times New Roman" w:eastAsia="宋体" w:cs="Times New Roman"/>
          <w:bCs/>
          <w:sz w:val="28"/>
          <w:szCs w:val="40"/>
        </w:rPr>
        <w:t>附件1  环评委托书</w:t>
      </w:r>
      <w:r>
        <w:rPr>
          <w:sz w:val="28"/>
          <w:szCs w:val="36"/>
        </w:rPr>
        <w:tab/>
      </w:r>
      <w:r>
        <w:rPr>
          <w:sz w:val="28"/>
          <w:szCs w:val="36"/>
        </w:rPr>
        <w:fldChar w:fldCharType="begin"/>
      </w:r>
      <w:r>
        <w:rPr>
          <w:sz w:val="28"/>
          <w:szCs w:val="36"/>
        </w:rPr>
        <w:instrText xml:space="preserve"> PAGEREF _Toc2157 \h </w:instrText>
      </w:r>
      <w:r>
        <w:rPr>
          <w:sz w:val="28"/>
          <w:szCs w:val="36"/>
        </w:rPr>
        <w:fldChar w:fldCharType="separate"/>
      </w:r>
      <w:r>
        <w:rPr>
          <w:sz w:val="28"/>
          <w:szCs w:val="36"/>
        </w:rPr>
        <w:t>219</w:t>
      </w:r>
      <w:r>
        <w:rPr>
          <w:sz w:val="28"/>
          <w:szCs w:val="36"/>
        </w:rPr>
        <w:fldChar w:fldCharType="end"/>
      </w:r>
      <w:r>
        <w:rPr>
          <w:rFonts w:hint="default" w:ascii="Times New Roman" w:hAnsi="Times New Roman" w:eastAsia="宋体" w:cs="Times New Roman"/>
          <w:snapToGrid w:val="0"/>
          <w:color w:val="auto"/>
          <w:sz w:val="28"/>
          <w:szCs w:val="40"/>
          <w:u w:val="none" w:color="auto"/>
        </w:rPr>
        <w:fldChar w:fldCharType="end"/>
      </w:r>
    </w:p>
    <w:p w14:paraId="055AA006">
      <w:pPr>
        <w:pStyle w:val="23"/>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rPr>
          <w:sz w:val="28"/>
          <w:szCs w:val="36"/>
        </w:rPr>
      </w:pPr>
      <w:r>
        <w:rPr>
          <w:rFonts w:hint="default" w:ascii="Times New Roman" w:hAnsi="Times New Roman" w:eastAsia="宋体" w:cs="Times New Roman"/>
          <w:snapToGrid w:val="0"/>
          <w:color w:val="auto"/>
          <w:sz w:val="28"/>
          <w:szCs w:val="40"/>
          <w:u w:val="none" w:color="auto"/>
        </w:rPr>
        <w:fldChar w:fldCharType="begin"/>
      </w:r>
      <w:r>
        <w:rPr>
          <w:rFonts w:hint="default" w:ascii="Times New Roman" w:hAnsi="Times New Roman" w:eastAsia="宋体" w:cs="Times New Roman"/>
          <w:snapToGrid w:val="0"/>
          <w:sz w:val="28"/>
          <w:szCs w:val="40"/>
        </w:rPr>
        <w:instrText xml:space="preserve"> HYPERLINK \l _Toc22431 </w:instrText>
      </w:r>
      <w:r>
        <w:rPr>
          <w:rFonts w:hint="default" w:ascii="Times New Roman" w:hAnsi="Times New Roman" w:eastAsia="宋体" w:cs="Times New Roman"/>
          <w:snapToGrid w:val="0"/>
          <w:sz w:val="28"/>
          <w:szCs w:val="40"/>
        </w:rPr>
        <w:fldChar w:fldCharType="separate"/>
      </w:r>
      <w:r>
        <w:rPr>
          <w:rFonts w:hint="default" w:ascii="Times New Roman" w:hAnsi="Times New Roman" w:eastAsia="宋体" w:cs="Times New Roman"/>
          <w:bCs/>
          <w:sz w:val="28"/>
          <w:szCs w:val="40"/>
        </w:rPr>
        <w:t>附件</w:t>
      </w:r>
      <w:r>
        <w:rPr>
          <w:rFonts w:hint="default" w:ascii="Times New Roman" w:hAnsi="Times New Roman" w:eastAsia="宋体" w:cs="Times New Roman"/>
          <w:bCs/>
          <w:sz w:val="28"/>
          <w:szCs w:val="40"/>
          <w:lang w:val="en-US" w:eastAsia="zh-CN"/>
        </w:rPr>
        <w:t>2</w:t>
      </w:r>
      <w:r>
        <w:rPr>
          <w:rFonts w:hint="default" w:ascii="Times New Roman" w:hAnsi="Times New Roman" w:eastAsia="宋体" w:cs="Times New Roman"/>
          <w:bCs/>
          <w:sz w:val="28"/>
          <w:szCs w:val="40"/>
        </w:rPr>
        <w:t xml:space="preserve">  </w:t>
      </w:r>
      <w:r>
        <w:rPr>
          <w:rFonts w:hint="default" w:ascii="Times New Roman" w:hAnsi="Times New Roman" w:eastAsia="宋体" w:cs="Times New Roman"/>
          <w:bCs/>
          <w:sz w:val="28"/>
          <w:szCs w:val="40"/>
          <w:lang w:val="en-US" w:eastAsia="zh-CN"/>
        </w:rPr>
        <w:t>发改立项备案表</w:t>
      </w:r>
      <w:r>
        <w:rPr>
          <w:sz w:val="28"/>
          <w:szCs w:val="36"/>
        </w:rPr>
        <w:tab/>
      </w:r>
      <w:r>
        <w:rPr>
          <w:sz w:val="28"/>
          <w:szCs w:val="36"/>
        </w:rPr>
        <w:fldChar w:fldCharType="begin"/>
      </w:r>
      <w:r>
        <w:rPr>
          <w:sz w:val="28"/>
          <w:szCs w:val="36"/>
        </w:rPr>
        <w:instrText xml:space="preserve"> PAGEREF _Toc22431 \h </w:instrText>
      </w:r>
      <w:r>
        <w:rPr>
          <w:sz w:val="28"/>
          <w:szCs w:val="36"/>
        </w:rPr>
        <w:fldChar w:fldCharType="separate"/>
      </w:r>
      <w:r>
        <w:rPr>
          <w:sz w:val="28"/>
          <w:szCs w:val="36"/>
        </w:rPr>
        <w:t>221</w:t>
      </w:r>
      <w:r>
        <w:rPr>
          <w:sz w:val="28"/>
          <w:szCs w:val="36"/>
        </w:rPr>
        <w:fldChar w:fldCharType="end"/>
      </w:r>
      <w:r>
        <w:rPr>
          <w:rFonts w:hint="default" w:ascii="Times New Roman" w:hAnsi="Times New Roman" w:eastAsia="宋体" w:cs="Times New Roman"/>
          <w:snapToGrid w:val="0"/>
          <w:color w:val="auto"/>
          <w:sz w:val="28"/>
          <w:szCs w:val="40"/>
          <w:u w:val="none" w:color="auto"/>
        </w:rPr>
        <w:fldChar w:fldCharType="end"/>
      </w:r>
    </w:p>
    <w:p w14:paraId="0823DB7C">
      <w:pPr>
        <w:pStyle w:val="23"/>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rPr>
          <w:sz w:val="28"/>
          <w:szCs w:val="36"/>
        </w:rPr>
      </w:pPr>
      <w:r>
        <w:rPr>
          <w:rFonts w:hint="default" w:ascii="Times New Roman" w:hAnsi="Times New Roman" w:eastAsia="宋体" w:cs="Times New Roman"/>
          <w:snapToGrid w:val="0"/>
          <w:color w:val="auto"/>
          <w:sz w:val="28"/>
          <w:szCs w:val="40"/>
          <w:u w:val="none" w:color="auto"/>
        </w:rPr>
        <w:fldChar w:fldCharType="begin"/>
      </w:r>
      <w:r>
        <w:rPr>
          <w:rFonts w:hint="default" w:ascii="Times New Roman" w:hAnsi="Times New Roman" w:eastAsia="宋体" w:cs="Times New Roman"/>
          <w:snapToGrid w:val="0"/>
          <w:sz w:val="28"/>
          <w:szCs w:val="40"/>
        </w:rPr>
        <w:instrText xml:space="preserve"> HYPERLINK \l _Toc22488 </w:instrText>
      </w:r>
      <w:r>
        <w:rPr>
          <w:rFonts w:hint="default" w:ascii="Times New Roman" w:hAnsi="Times New Roman" w:eastAsia="宋体" w:cs="Times New Roman"/>
          <w:snapToGrid w:val="0"/>
          <w:sz w:val="28"/>
          <w:szCs w:val="40"/>
        </w:rPr>
        <w:fldChar w:fldCharType="separate"/>
      </w:r>
      <w:r>
        <w:rPr>
          <w:rFonts w:hint="default" w:ascii="Times New Roman" w:hAnsi="Times New Roman" w:eastAsia="宋体" w:cs="Times New Roman"/>
          <w:bCs/>
          <w:sz w:val="28"/>
          <w:szCs w:val="40"/>
        </w:rPr>
        <w:t>附件</w:t>
      </w:r>
      <w:r>
        <w:rPr>
          <w:rFonts w:hint="default" w:ascii="Times New Roman" w:hAnsi="Times New Roman" w:eastAsia="宋体" w:cs="Times New Roman"/>
          <w:bCs/>
          <w:sz w:val="28"/>
          <w:szCs w:val="40"/>
          <w:lang w:val="en-US" w:eastAsia="zh-CN"/>
        </w:rPr>
        <w:t>3</w:t>
      </w:r>
      <w:r>
        <w:rPr>
          <w:rFonts w:hint="default" w:ascii="Times New Roman" w:hAnsi="Times New Roman" w:eastAsia="宋体" w:cs="Times New Roman"/>
          <w:bCs/>
          <w:sz w:val="28"/>
          <w:szCs w:val="40"/>
        </w:rPr>
        <w:t xml:space="preserve">  </w:t>
      </w:r>
      <w:r>
        <w:rPr>
          <w:rFonts w:hint="default" w:ascii="Times New Roman" w:hAnsi="Times New Roman" w:eastAsia="宋体" w:cs="Times New Roman"/>
          <w:bCs/>
          <w:sz w:val="28"/>
          <w:szCs w:val="40"/>
          <w:lang w:val="en-US" w:eastAsia="zh-CN"/>
        </w:rPr>
        <w:t>现有工程验收备案表</w:t>
      </w:r>
      <w:r>
        <w:rPr>
          <w:sz w:val="28"/>
          <w:szCs w:val="36"/>
        </w:rPr>
        <w:tab/>
      </w:r>
      <w:r>
        <w:rPr>
          <w:sz w:val="28"/>
          <w:szCs w:val="36"/>
        </w:rPr>
        <w:fldChar w:fldCharType="begin"/>
      </w:r>
      <w:r>
        <w:rPr>
          <w:sz w:val="28"/>
          <w:szCs w:val="36"/>
        </w:rPr>
        <w:instrText xml:space="preserve"> PAGEREF _Toc22488 \h </w:instrText>
      </w:r>
      <w:r>
        <w:rPr>
          <w:sz w:val="28"/>
          <w:szCs w:val="36"/>
        </w:rPr>
        <w:fldChar w:fldCharType="separate"/>
      </w:r>
      <w:r>
        <w:rPr>
          <w:sz w:val="28"/>
          <w:szCs w:val="36"/>
        </w:rPr>
        <w:t>223</w:t>
      </w:r>
      <w:r>
        <w:rPr>
          <w:sz w:val="28"/>
          <w:szCs w:val="36"/>
        </w:rPr>
        <w:fldChar w:fldCharType="end"/>
      </w:r>
      <w:r>
        <w:rPr>
          <w:rFonts w:hint="default" w:ascii="Times New Roman" w:hAnsi="Times New Roman" w:eastAsia="宋体" w:cs="Times New Roman"/>
          <w:snapToGrid w:val="0"/>
          <w:color w:val="auto"/>
          <w:sz w:val="28"/>
          <w:szCs w:val="40"/>
          <w:u w:val="none" w:color="auto"/>
        </w:rPr>
        <w:fldChar w:fldCharType="end"/>
      </w:r>
    </w:p>
    <w:p w14:paraId="664EC748">
      <w:pPr>
        <w:pStyle w:val="23"/>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rPr>
          <w:sz w:val="28"/>
          <w:szCs w:val="36"/>
        </w:rPr>
      </w:pPr>
      <w:r>
        <w:rPr>
          <w:rFonts w:hint="default" w:ascii="Times New Roman" w:hAnsi="Times New Roman" w:eastAsia="宋体" w:cs="Times New Roman"/>
          <w:snapToGrid w:val="0"/>
          <w:color w:val="auto"/>
          <w:sz w:val="28"/>
          <w:szCs w:val="40"/>
          <w:u w:val="none" w:color="auto"/>
        </w:rPr>
        <w:fldChar w:fldCharType="begin"/>
      </w:r>
      <w:r>
        <w:rPr>
          <w:rFonts w:hint="default" w:ascii="Times New Roman" w:hAnsi="Times New Roman" w:eastAsia="宋体" w:cs="Times New Roman"/>
          <w:snapToGrid w:val="0"/>
          <w:sz w:val="28"/>
          <w:szCs w:val="40"/>
        </w:rPr>
        <w:instrText xml:space="preserve"> HYPERLINK \l _Toc11884 </w:instrText>
      </w:r>
      <w:r>
        <w:rPr>
          <w:rFonts w:hint="default" w:ascii="Times New Roman" w:hAnsi="Times New Roman" w:eastAsia="宋体" w:cs="Times New Roman"/>
          <w:snapToGrid w:val="0"/>
          <w:sz w:val="28"/>
          <w:szCs w:val="40"/>
        </w:rPr>
        <w:fldChar w:fldCharType="separate"/>
      </w:r>
      <w:r>
        <w:rPr>
          <w:rFonts w:hint="default" w:ascii="Times New Roman" w:hAnsi="Times New Roman" w:eastAsia="宋体" w:cs="Times New Roman"/>
          <w:bCs/>
          <w:sz w:val="28"/>
          <w:szCs w:val="40"/>
        </w:rPr>
        <w:t>附件</w:t>
      </w:r>
      <w:r>
        <w:rPr>
          <w:rFonts w:hint="default" w:ascii="Times New Roman" w:hAnsi="Times New Roman" w:eastAsia="宋体" w:cs="Times New Roman"/>
          <w:bCs/>
          <w:sz w:val="28"/>
          <w:szCs w:val="40"/>
          <w:lang w:val="en-US" w:eastAsia="zh-CN"/>
        </w:rPr>
        <w:t>4</w:t>
      </w:r>
      <w:r>
        <w:rPr>
          <w:rFonts w:hint="default" w:ascii="Times New Roman" w:hAnsi="Times New Roman" w:eastAsia="宋体" w:cs="Times New Roman"/>
          <w:bCs/>
          <w:sz w:val="28"/>
          <w:szCs w:val="40"/>
        </w:rPr>
        <w:t xml:space="preserve">  </w:t>
      </w:r>
      <w:r>
        <w:rPr>
          <w:rFonts w:hint="default" w:ascii="Times New Roman" w:hAnsi="Times New Roman" w:eastAsia="宋体" w:cs="Times New Roman"/>
          <w:bCs/>
          <w:sz w:val="28"/>
          <w:szCs w:val="40"/>
          <w:lang w:val="en-US" w:eastAsia="zh-CN"/>
        </w:rPr>
        <w:t>营业执照</w:t>
      </w:r>
      <w:r>
        <w:rPr>
          <w:sz w:val="28"/>
          <w:szCs w:val="36"/>
        </w:rPr>
        <w:tab/>
      </w:r>
      <w:r>
        <w:rPr>
          <w:sz w:val="28"/>
          <w:szCs w:val="36"/>
        </w:rPr>
        <w:fldChar w:fldCharType="begin"/>
      </w:r>
      <w:r>
        <w:rPr>
          <w:sz w:val="28"/>
          <w:szCs w:val="36"/>
        </w:rPr>
        <w:instrText xml:space="preserve"> PAGEREF _Toc11884 \h </w:instrText>
      </w:r>
      <w:r>
        <w:rPr>
          <w:sz w:val="28"/>
          <w:szCs w:val="36"/>
        </w:rPr>
        <w:fldChar w:fldCharType="separate"/>
      </w:r>
      <w:r>
        <w:rPr>
          <w:sz w:val="28"/>
          <w:szCs w:val="36"/>
        </w:rPr>
        <w:t>225</w:t>
      </w:r>
      <w:r>
        <w:rPr>
          <w:sz w:val="28"/>
          <w:szCs w:val="36"/>
        </w:rPr>
        <w:fldChar w:fldCharType="end"/>
      </w:r>
      <w:r>
        <w:rPr>
          <w:rFonts w:hint="default" w:ascii="Times New Roman" w:hAnsi="Times New Roman" w:eastAsia="宋体" w:cs="Times New Roman"/>
          <w:snapToGrid w:val="0"/>
          <w:color w:val="auto"/>
          <w:sz w:val="28"/>
          <w:szCs w:val="40"/>
          <w:u w:val="none" w:color="auto"/>
        </w:rPr>
        <w:fldChar w:fldCharType="end"/>
      </w:r>
    </w:p>
    <w:p w14:paraId="54F70493">
      <w:pPr>
        <w:pStyle w:val="23"/>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rPr>
          <w:sz w:val="28"/>
          <w:szCs w:val="36"/>
        </w:rPr>
      </w:pPr>
      <w:r>
        <w:rPr>
          <w:rFonts w:hint="default" w:ascii="Times New Roman" w:hAnsi="Times New Roman" w:eastAsia="宋体" w:cs="Times New Roman"/>
          <w:snapToGrid w:val="0"/>
          <w:color w:val="auto"/>
          <w:sz w:val="28"/>
          <w:szCs w:val="40"/>
          <w:u w:val="none" w:color="auto"/>
        </w:rPr>
        <w:fldChar w:fldCharType="begin"/>
      </w:r>
      <w:r>
        <w:rPr>
          <w:rFonts w:hint="default" w:ascii="Times New Roman" w:hAnsi="Times New Roman" w:eastAsia="宋体" w:cs="Times New Roman"/>
          <w:snapToGrid w:val="0"/>
          <w:sz w:val="28"/>
          <w:szCs w:val="40"/>
        </w:rPr>
        <w:instrText xml:space="preserve"> HYPERLINK \l _Toc740 </w:instrText>
      </w:r>
      <w:r>
        <w:rPr>
          <w:rFonts w:hint="default" w:ascii="Times New Roman" w:hAnsi="Times New Roman" w:eastAsia="宋体" w:cs="Times New Roman"/>
          <w:snapToGrid w:val="0"/>
          <w:sz w:val="28"/>
          <w:szCs w:val="40"/>
        </w:rPr>
        <w:fldChar w:fldCharType="separate"/>
      </w:r>
      <w:r>
        <w:rPr>
          <w:rFonts w:hint="default" w:ascii="Times New Roman" w:hAnsi="Times New Roman" w:eastAsia="宋体" w:cs="Times New Roman"/>
          <w:bCs/>
          <w:sz w:val="28"/>
          <w:szCs w:val="48"/>
          <w:highlight w:val="none"/>
          <w:lang w:val="en-US" w:eastAsia="zh-CN"/>
        </w:rPr>
        <w:t>附件5-1  引用的监测报告</w:t>
      </w:r>
      <w:r>
        <w:rPr>
          <w:sz w:val="28"/>
          <w:szCs w:val="36"/>
        </w:rPr>
        <w:tab/>
      </w:r>
      <w:r>
        <w:rPr>
          <w:sz w:val="28"/>
          <w:szCs w:val="36"/>
        </w:rPr>
        <w:fldChar w:fldCharType="begin"/>
      </w:r>
      <w:r>
        <w:rPr>
          <w:sz w:val="28"/>
          <w:szCs w:val="36"/>
        </w:rPr>
        <w:instrText xml:space="preserve"> PAGEREF _Toc740 \h </w:instrText>
      </w:r>
      <w:r>
        <w:rPr>
          <w:sz w:val="28"/>
          <w:szCs w:val="36"/>
        </w:rPr>
        <w:fldChar w:fldCharType="separate"/>
      </w:r>
      <w:r>
        <w:rPr>
          <w:sz w:val="28"/>
          <w:szCs w:val="36"/>
        </w:rPr>
        <w:t>226</w:t>
      </w:r>
      <w:r>
        <w:rPr>
          <w:sz w:val="28"/>
          <w:szCs w:val="36"/>
        </w:rPr>
        <w:fldChar w:fldCharType="end"/>
      </w:r>
      <w:r>
        <w:rPr>
          <w:rFonts w:hint="default" w:ascii="Times New Roman" w:hAnsi="Times New Roman" w:eastAsia="宋体" w:cs="Times New Roman"/>
          <w:snapToGrid w:val="0"/>
          <w:color w:val="auto"/>
          <w:sz w:val="28"/>
          <w:szCs w:val="40"/>
          <w:u w:val="none" w:color="auto"/>
        </w:rPr>
        <w:fldChar w:fldCharType="end"/>
      </w:r>
    </w:p>
    <w:p w14:paraId="734C05C9">
      <w:pPr>
        <w:pStyle w:val="23"/>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rPr>
          <w:sz w:val="28"/>
          <w:szCs w:val="36"/>
        </w:rPr>
      </w:pPr>
      <w:r>
        <w:rPr>
          <w:rFonts w:hint="default" w:ascii="Times New Roman" w:hAnsi="Times New Roman" w:eastAsia="宋体" w:cs="Times New Roman"/>
          <w:snapToGrid w:val="0"/>
          <w:color w:val="auto"/>
          <w:sz w:val="28"/>
          <w:szCs w:val="40"/>
          <w:u w:val="none" w:color="auto"/>
        </w:rPr>
        <w:fldChar w:fldCharType="begin"/>
      </w:r>
      <w:r>
        <w:rPr>
          <w:rFonts w:hint="default" w:ascii="Times New Roman" w:hAnsi="Times New Roman" w:eastAsia="宋体" w:cs="Times New Roman"/>
          <w:snapToGrid w:val="0"/>
          <w:sz w:val="28"/>
          <w:szCs w:val="40"/>
        </w:rPr>
        <w:instrText xml:space="preserve"> HYPERLINK \l _Toc8977 </w:instrText>
      </w:r>
      <w:r>
        <w:rPr>
          <w:rFonts w:hint="default" w:ascii="Times New Roman" w:hAnsi="Times New Roman" w:eastAsia="宋体" w:cs="Times New Roman"/>
          <w:snapToGrid w:val="0"/>
          <w:sz w:val="28"/>
          <w:szCs w:val="40"/>
        </w:rPr>
        <w:fldChar w:fldCharType="separate"/>
      </w:r>
      <w:r>
        <w:rPr>
          <w:rFonts w:hint="default" w:ascii="Times New Roman" w:hAnsi="Times New Roman" w:eastAsia="宋体" w:cs="Times New Roman"/>
          <w:bCs/>
          <w:sz w:val="28"/>
          <w:szCs w:val="48"/>
          <w:highlight w:val="none"/>
          <w:lang w:val="en-US" w:eastAsia="zh-CN"/>
        </w:rPr>
        <w:t>附件5-2  例行监测报告</w:t>
      </w:r>
      <w:r>
        <w:rPr>
          <w:sz w:val="28"/>
          <w:szCs w:val="36"/>
        </w:rPr>
        <w:tab/>
      </w:r>
      <w:r>
        <w:rPr>
          <w:sz w:val="28"/>
          <w:szCs w:val="36"/>
        </w:rPr>
        <w:fldChar w:fldCharType="begin"/>
      </w:r>
      <w:r>
        <w:rPr>
          <w:sz w:val="28"/>
          <w:szCs w:val="36"/>
        </w:rPr>
        <w:instrText xml:space="preserve"> PAGEREF _Toc8977 \h </w:instrText>
      </w:r>
      <w:r>
        <w:rPr>
          <w:sz w:val="28"/>
          <w:szCs w:val="36"/>
        </w:rPr>
        <w:fldChar w:fldCharType="separate"/>
      </w:r>
      <w:r>
        <w:rPr>
          <w:sz w:val="28"/>
          <w:szCs w:val="36"/>
        </w:rPr>
        <w:t>233</w:t>
      </w:r>
      <w:r>
        <w:rPr>
          <w:sz w:val="28"/>
          <w:szCs w:val="36"/>
        </w:rPr>
        <w:fldChar w:fldCharType="end"/>
      </w:r>
      <w:r>
        <w:rPr>
          <w:rFonts w:hint="default" w:ascii="Times New Roman" w:hAnsi="Times New Roman" w:eastAsia="宋体" w:cs="Times New Roman"/>
          <w:snapToGrid w:val="0"/>
          <w:color w:val="auto"/>
          <w:sz w:val="28"/>
          <w:szCs w:val="40"/>
          <w:u w:val="none" w:color="auto"/>
        </w:rPr>
        <w:fldChar w:fldCharType="end"/>
      </w:r>
    </w:p>
    <w:p w14:paraId="50AFC378">
      <w:pPr>
        <w:pStyle w:val="23"/>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rPr>
          <w:sz w:val="28"/>
          <w:szCs w:val="36"/>
        </w:rPr>
      </w:pPr>
      <w:r>
        <w:rPr>
          <w:rFonts w:hint="default" w:ascii="Times New Roman" w:hAnsi="Times New Roman" w:eastAsia="宋体" w:cs="Times New Roman"/>
          <w:snapToGrid w:val="0"/>
          <w:color w:val="auto"/>
          <w:sz w:val="28"/>
          <w:szCs w:val="40"/>
          <w:u w:val="none" w:color="auto"/>
        </w:rPr>
        <w:fldChar w:fldCharType="begin"/>
      </w:r>
      <w:r>
        <w:rPr>
          <w:rFonts w:hint="default" w:ascii="Times New Roman" w:hAnsi="Times New Roman" w:eastAsia="宋体" w:cs="Times New Roman"/>
          <w:snapToGrid w:val="0"/>
          <w:sz w:val="28"/>
          <w:szCs w:val="40"/>
        </w:rPr>
        <w:instrText xml:space="preserve"> HYPERLINK \l _Toc14140 </w:instrText>
      </w:r>
      <w:r>
        <w:rPr>
          <w:rFonts w:hint="default" w:ascii="Times New Roman" w:hAnsi="Times New Roman" w:eastAsia="宋体" w:cs="Times New Roman"/>
          <w:snapToGrid w:val="0"/>
          <w:sz w:val="28"/>
          <w:szCs w:val="40"/>
        </w:rPr>
        <w:fldChar w:fldCharType="separate"/>
      </w:r>
      <w:r>
        <w:rPr>
          <w:rFonts w:hint="default" w:ascii="Times New Roman" w:hAnsi="Times New Roman" w:eastAsia="宋体" w:cs="Times New Roman"/>
          <w:bCs/>
          <w:sz w:val="28"/>
          <w:szCs w:val="48"/>
          <w:highlight w:val="none"/>
          <w:lang w:val="en-US" w:eastAsia="zh-CN"/>
        </w:rPr>
        <w:t>附件6  岳阳临港高新技术产业开发区跟踪评价审查意见</w:t>
      </w:r>
      <w:r>
        <w:rPr>
          <w:sz w:val="28"/>
          <w:szCs w:val="36"/>
        </w:rPr>
        <w:tab/>
      </w:r>
      <w:r>
        <w:rPr>
          <w:sz w:val="28"/>
          <w:szCs w:val="36"/>
        </w:rPr>
        <w:fldChar w:fldCharType="begin"/>
      </w:r>
      <w:r>
        <w:rPr>
          <w:sz w:val="28"/>
          <w:szCs w:val="36"/>
        </w:rPr>
        <w:instrText xml:space="preserve"> PAGEREF _Toc14140 \h </w:instrText>
      </w:r>
      <w:r>
        <w:rPr>
          <w:sz w:val="28"/>
          <w:szCs w:val="36"/>
        </w:rPr>
        <w:fldChar w:fldCharType="separate"/>
      </w:r>
      <w:r>
        <w:rPr>
          <w:sz w:val="28"/>
          <w:szCs w:val="36"/>
        </w:rPr>
        <w:t>242</w:t>
      </w:r>
      <w:r>
        <w:rPr>
          <w:sz w:val="28"/>
          <w:szCs w:val="36"/>
        </w:rPr>
        <w:fldChar w:fldCharType="end"/>
      </w:r>
      <w:r>
        <w:rPr>
          <w:rFonts w:hint="default" w:ascii="Times New Roman" w:hAnsi="Times New Roman" w:eastAsia="宋体" w:cs="Times New Roman"/>
          <w:snapToGrid w:val="0"/>
          <w:color w:val="auto"/>
          <w:sz w:val="28"/>
          <w:szCs w:val="40"/>
          <w:u w:val="none" w:color="auto"/>
        </w:rPr>
        <w:fldChar w:fldCharType="end"/>
      </w:r>
    </w:p>
    <w:p w14:paraId="227BD0DE">
      <w:pPr>
        <w:pStyle w:val="23"/>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rPr>
          <w:sz w:val="28"/>
          <w:szCs w:val="36"/>
        </w:rPr>
      </w:pPr>
      <w:r>
        <w:rPr>
          <w:rFonts w:hint="default" w:ascii="Times New Roman" w:hAnsi="Times New Roman" w:eastAsia="宋体" w:cs="Times New Roman"/>
          <w:snapToGrid w:val="0"/>
          <w:color w:val="auto"/>
          <w:sz w:val="28"/>
          <w:szCs w:val="40"/>
          <w:u w:val="none" w:color="auto"/>
        </w:rPr>
        <w:fldChar w:fldCharType="begin"/>
      </w:r>
      <w:r>
        <w:rPr>
          <w:rFonts w:hint="default" w:ascii="Times New Roman" w:hAnsi="Times New Roman" w:eastAsia="宋体" w:cs="Times New Roman"/>
          <w:snapToGrid w:val="0"/>
          <w:sz w:val="28"/>
          <w:szCs w:val="40"/>
        </w:rPr>
        <w:instrText xml:space="preserve"> HYPERLINK \l _Toc29782 </w:instrText>
      </w:r>
      <w:r>
        <w:rPr>
          <w:rFonts w:hint="default" w:ascii="Times New Roman" w:hAnsi="Times New Roman" w:eastAsia="宋体" w:cs="Times New Roman"/>
          <w:snapToGrid w:val="0"/>
          <w:sz w:val="28"/>
          <w:szCs w:val="40"/>
        </w:rPr>
        <w:fldChar w:fldCharType="separate"/>
      </w:r>
      <w:r>
        <w:rPr>
          <w:rFonts w:hint="default" w:ascii="Times New Roman" w:hAnsi="Times New Roman" w:eastAsia="宋体" w:cs="Times New Roman"/>
          <w:bCs/>
          <w:sz w:val="28"/>
          <w:szCs w:val="48"/>
          <w:highlight w:val="none"/>
          <w:lang w:val="en-US" w:eastAsia="zh-CN"/>
        </w:rPr>
        <w:t>附件7  生物质颗粒检验报告</w:t>
      </w:r>
      <w:r>
        <w:rPr>
          <w:sz w:val="28"/>
          <w:szCs w:val="36"/>
        </w:rPr>
        <w:tab/>
      </w:r>
      <w:r>
        <w:rPr>
          <w:sz w:val="28"/>
          <w:szCs w:val="36"/>
        </w:rPr>
        <w:fldChar w:fldCharType="begin"/>
      </w:r>
      <w:r>
        <w:rPr>
          <w:sz w:val="28"/>
          <w:szCs w:val="36"/>
        </w:rPr>
        <w:instrText xml:space="preserve"> PAGEREF _Toc29782 \h </w:instrText>
      </w:r>
      <w:r>
        <w:rPr>
          <w:sz w:val="28"/>
          <w:szCs w:val="36"/>
        </w:rPr>
        <w:fldChar w:fldCharType="separate"/>
      </w:r>
      <w:r>
        <w:rPr>
          <w:sz w:val="28"/>
          <w:szCs w:val="36"/>
        </w:rPr>
        <w:t>248</w:t>
      </w:r>
      <w:r>
        <w:rPr>
          <w:sz w:val="28"/>
          <w:szCs w:val="36"/>
        </w:rPr>
        <w:fldChar w:fldCharType="end"/>
      </w:r>
      <w:r>
        <w:rPr>
          <w:rFonts w:hint="default" w:ascii="Times New Roman" w:hAnsi="Times New Roman" w:eastAsia="宋体" w:cs="Times New Roman"/>
          <w:snapToGrid w:val="0"/>
          <w:color w:val="auto"/>
          <w:sz w:val="28"/>
          <w:szCs w:val="40"/>
          <w:u w:val="none" w:color="auto"/>
        </w:rPr>
        <w:fldChar w:fldCharType="end"/>
      </w:r>
    </w:p>
    <w:p w14:paraId="0D5224B6">
      <w:pPr>
        <w:pStyle w:val="23"/>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rPr>
          <w:sz w:val="28"/>
          <w:szCs w:val="36"/>
        </w:rPr>
      </w:pPr>
      <w:r>
        <w:rPr>
          <w:rFonts w:hint="default" w:ascii="Times New Roman" w:hAnsi="Times New Roman" w:eastAsia="宋体" w:cs="Times New Roman"/>
          <w:snapToGrid w:val="0"/>
          <w:color w:val="auto"/>
          <w:sz w:val="28"/>
          <w:szCs w:val="40"/>
          <w:u w:val="none" w:color="auto"/>
        </w:rPr>
        <w:fldChar w:fldCharType="begin"/>
      </w:r>
      <w:r>
        <w:rPr>
          <w:rFonts w:hint="default" w:ascii="Times New Roman" w:hAnsi="Times New Roman" w:eastAsia="宋体" w:cs="Times New Roman"/>
          <w:snapToGrid w:val="0"/>
          <w:sz w:val="28"/>
          <w:szCs w:val="40"/>
        </w:rPr>
        <w:instrText xml:space="preserve"> HYPERLINK \l _Toc2346 </w:instrText>
      </w:r>
      <w:r>
        <w:rPr>
          <w:rFonts w:hint="default" w:ascii="Times New Roman" w:hAnsi="Times New Roman" w:eastAsia="宋体" w:cs="Times New Roman"/>
          <w:snapToGrid w:val="0"/>
          <w:sz w:val="28"/>
          <w:szCs w:val="40"/>
        </w:rPr>
        <w:fldChar w:fldCharType="separate"/>
      </w:r>
      <w:r>
        <w:rPr>
          <w:rFonts w:hint="default" w:ascii="Times New Roman" w:hAnsi="Times New Roman" w:eastAsia="宋体" w:cs="Times New Roman"/>
          <w:bCs/>
          <w:sz w:val="28"/>
          <w:szCs w:val="48"/>
          <w:highlight w:val="none"/>
          <w:lang w:val="en-US" w:eastAsia="zh-CN"/>
        </w:rPr>
        <w:t>附件8  厂房租赁合同（截选）</w:t>
      </w:r>
      <w:r>
        <w:rPr>
          <w:sz w:val="28"/>
          <w:szCs w:val="36"/>
        </w:rPr>
        <w:tab/>
      </w:r>
      <w:r>
        <w:rPr>
          <w:sz w:val="28"/>
          <w:szCs w:val="36"/>
        </w:rPr>
        <w:fldChar w:fldCharType="begin"/>
      </w:r>
      <w:r>
        <w:rPr>
          <w:sz w:val="28"/>
          <w:szCs w:val="36"/>
        </w:rPr>
        <w:instrText xml:space="preserve"> PAGEREF _Toc2346 \h </w:instrText>
      </w:r>
      <w:r>
        <w:rPr>
          <w:sz w:val="28"/>
          <w:szCs w:val="36"/>
        </w:rPr>
        <w:fldChar w:fldCharType="separate"/>
      </w:r>
      <w:r>
        <w:rPr>
          <w:sz w:val="28"/>
          <w:szCs w:val="36"/>
        </w:rPr>
        <w:t>251</w:t>
      </w:r>
      <w:r>
        <w:rPr>
          <w:sz w:val="28"/>
          <w:szCs w:val="36"/>
        </w:rPr>
        <w:fldChar w:fldCharType="end"/>
      </w:r>
      <w:r>
        <w:rPr>
          <w:rFonts w:hint="default" w:ascii="Times New Roman" w:hAnsi="Times New Roman" w:eastAsia="宋体" w:cs="Times New Roman"/>
          <w:snapToGrid w:val="0"/>
          <w:color w:val="auto"/>
          <w:sz w:val="28"/>
          <w:szCs w:val="40"/>
          <w:u w:val="none" w:color="auto"/>
        </w:rPr>
        <w:fldChar w:fldCharType="end"/>
      </w:r>
    </w:p>
    <w:p w14:paraId="4EF7A756">
      <w:pPr>
        <w:pStyle w:val="23"/>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rPr>
          <w:sz w:val="28"/>
          <w:szCs w:val="36"/>
        </w:rPr>
      </w:pPr>
      <w:r>
        <w:rPr>
          <w:rFonts w:hint="default" w:ascii="Times New Roman" w:hAnsi="Times New Roman" w:eastAsia="宋体" w:cs="Times New Roman"/>
          <w:snapToGrid w:val="0"/>
          <w:color w:val="auto"/>
          <w:sz w:val="28"/>
          <w:szCs w:val="40"/>
          <w:u w:val="none" w:color="auto"/>
        </w:rPr>
        <w:fldChar w:fldCharType="begin"/>
      </w:r>
      <w:r>
        <w:rPr>
          <w:rFonts w:hint="default" w:ascii="Times New Roman" w:hAnsi="Times New Roman" w:eastAsia="宋体" w:cs="Times New Roman"/>
          <w:snapToGrid w:val="0"/>
          <w:sz w:val="28"/>
          <w:szCs w:val="40"/>
        </w:rPr>
        <w:instrText xml:space="preserve"> HYPERLINK \l _Toc31605 </w:instrText>
      </w:r>
      <w:r>
        <w:rPr>
          <w:rFonts w:hint="default" w:ascii="Times New Roman" w:hAnsi="Times New Roman" w:eastAsia="宋体" w:cs="Times New Roman"/>
          <w:snapToGrid w:val="0"/>
          <w:sz w:val="28"/>
          <w:szCs w:val="40"/>
        </w:rPr>
        <w:fldChar w:fldCharType="separate"/>
      </w:r>
      <w:r>
        <w:rPr>
          <w:rFonts w:hint="default" w:ascii="Times New Roman" w:hAnsi="Times New Roman" w:eastAsia="宋体" w:cs="Times New Roman"/>
          <w:bCs/>
          <w:sz w:val="28"/>
          <w:szCs w:val="48"/>
          <w:highlight w:val="none"/>
          <w:lang w:val="en-US" w:eastAsia="zh-CN"/>
        </w:rPr>
        <w:t xml:space="preserve">附件9  </w:t>
      </w:r>
      <w:r>
        <w:rPr>
          <w:rFonts w:hint="default" w:ascii="Times New Roman" w:hAnsi="Times New Roman" w:eastAsia="宋体" w:cs="Times New Roman"/>
          <w:bCs/>
          <w:sz w:val="28"/>
          <w:szCs w:val="48"/>
          <w:highlight w:val="none"/>
          <w:lang w:val="zh-CN" w:eastAsia="zh-CN"/>
        </w:rPr>
        <w:t>湖南中创空天新材料股份有限公司</w:t>
      </w:r>
      <w:r>
        <w:rPr>
          <w:rFonts w:hint="default" w:ascii="Times New Roman" w:hAnsi="Times New Roman" w:eastAsia="宋体" w:cs="Times New Roman"/>
          <w:bCs/>
          <w:sz w:val="28"/>
          <w:szCs w:val="48"/>
          <w:highlight w:val="none"/>
          <w:lang w:val="en-US" w:eastAsia="zh-CN"/>
        </w:rPr>
        <w:t>现有厂区用地规划许可文件</w:t>
      </w:r>
      <w:r>
        <w:rPr>
          <w:sz w:val="28"/>
          <w:szCs w:val="36"/>
        </w:rPr>
        <w:tab/>
      </w:r>
      <w:r>
        <w:rPr>
          <w:sz w:val="28"/>
          <w:szCs w:val="36"/>
        </w:rPr>
        <w:fldChar w:fldCharType="begin"/>
      </w:r>
      <w:r>
        <w:rPr>
          <w:sz w:val="28"/>
          <w:szCs w:val="36"/>
        </w:rPr>
        <w:instrText xml:space="preserve"> PAGEREF _Toc31605 \h </w:instrText>
      </w:r>
      <w:r>
        <w:rPr>
          <w:sz w:val="28"/>
          <w:szCs w:val="36"/>
        </w:rPr>
        <w:fldChar w:fldCharType="separate"/>
      </w:r>
      <w:r>
        <w:rPr>
          <w:sz w:val="28"/>
          <w:szCs w:val="36"/>
        </w:rPr>
        <w:t>256</w:t>
      </w:r>
      <w:r>
        <w:rPr>
          <w:sz w:val="28"/>
          <w:szCs w:val="36"/>
        </w:rPr>
        <w:fldChar w:fldCharType="end"/>
      </w:r>
      <w:r>
        <w:rPr>
          <w:rFonts w:hint="default" w:ascii="Times New Roman" w:hAnsi="Times New Roman" w:eastAsia="宋体" w:cs="Times New Roman"/>
          <w:snapToGrid w:val="0"/>
          <w:color w:val="auto"/>
          <w:sz w:val="28"/>
          <w:szCs w:val="40"/>
          <w:u w:val="none" w:color="auto"/>
        </w:rPr>
        <w:fldChar w:fldCharType="end"/>
      </w:r>
    </w:p>
    <w:p w14:paraId="51AAB6F0">
      <w:pPr>
        <w:pStyle w:val="23"/>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rPr>
          <w:sz w:val="28"/>
          <w:szCs w:val="36"/>
        </w:rPr>
      </w:pPr>
      <w:r>
        <w:rPr>
          <w:rFonts w:hint="default" w:ascii="Times New Roman" w:hAnsi="Times New Roman" w:eastAsia="宋体" w:cs="Times New Roman"/>
          <w:snapToGrid w:val="0"/>
          <w:color w:val="auto"/>
          <w:sz w:val="28"/>
          <w:szCs w:val="40"/>
          <w:u w:val="none" w:color="auto"/>
        </w:rPr>
        <w:fldChar w:fldCharType="begin"/>
      </w:r>
      <w:r>
        <w:rPr>
          <w:rFonts w:hint="default" w:ascii="Times New Roman" w:hAnsi="Times New Roman" w:eastAsia="宋体" w:cs="Times New Roman"/>
          <w:snapToGrid w:val="0"/>
          <w:sz w:val="28"/>
          <w:szCs w:val="40"/>
        </w:rPr>
        <w:instrText xml:space="preserve"> HYPERLINK \l _Toc4787 </w:instrText>
      </w:r>
      <w:r>
        <w:rPr>
          <w:rFonts w:hint="default" w:ascii="Times New Roman" w:hAnsi="Times New Roman" w:eastAsia="宋体" w:cs="Times New Roman"/>
          <w:snapToGrid w:val="0"/>
          <w:sz w:val="28"/>
          <w:szCs w:val="40"/>
        </w:rPr>
        <w:fldChar w:fldCharType="separate"/>
      </w:r>
      <w:r>
        <w:rPr>
          <w:rFonts w:hint="eastAsia"/>
          <w:bCs/>
          <w:sz w:val="28"/>
          <w:szCs w:val="36"/>
        </w:rPr>
        <w:t>附件</w:t>
      </w:r>
      <w:r>
        <w:rPr>
          <w:rFonts w:hint="eastAsia"/>
          <w:bCs/>
          <w:sz w:val="28"/>
          <w:szCs w:val="36"/>
          <w:lang w:val="en-US" w:eastAsia="zh-CN"/>
        </w:rPr>
        <w:t>10 现有工程环评批复</w:t>
      </w:r>
      <w:r>
        <w:rPr>
          <w:sz w:val="28"/>
          <w:szCs w:val="36"/>
        </w:rPr>
        <w:tab/>
      </w:r>
      <w:r>
        <w:rPr>
          <w:sz w:val="28"/>
          <w:szCs w:val="36"/>
        </w:rPr>
        <w:fldChar w:fldCharType="begin"/>
      </w:r>
      <w:r>
        <w:rPr>
          <w:sz w:val="28"/>
          <w:szCs w:val="36"/>
        </w:rPr>
        <w:instrText xml:space="preserve"> PAGEREF _Toc4787 \h </w:instrText>
      </w:r>
      <w:r>
        <w:rPr>
          <w:sz w:val="28"/>
          <w:szCs w:val="36"/>
        </w:rPr>
        <w:fldChar w:fldCharType="separate"/>
      </w:r>
      <w:r>
        <w:rPr>
          <w:sz w:val="28"/>
          <w:szCs w:val="36"/>
        </w:rPr>
        <w:t>257</w:t>
      </w:r>
      <w:r>
        <w:rPr>
          <w:sz w:val="28"/>
          <w:szCs w:val="36"/>
        </w:rPr>
        <w:fldChar w:fldCharType="end"/>
      </w:r>
      <w:r>
        <w:rPr>
          <w:rFonts w:hint="default" w:ascii="Times New Roman" w:hAnsi="Times New Roman" w:eastAsia="宋体" w:cs="Times New Roman"/>
          <w:snapToGrid w:val="0"/>
          <w:color w:val="auto"/>
          <w:sz w:val="28"/>
          <w:szCs w:val="40"/>
          <w:u w:val="none" w:color="auto"/>
        </w:rPr>
        <w:fldChar w:fldCharType="end"/>
      </w:r>
    </w:p>
    <w:p w14:paraId="38A959CD">
      <w:pPr>
        <w:pStyle w:val="23"/>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rPr>
          <w:rFonts w:hint="eastAsia" w:ascii="Times New Roman" w:hAnsi="Times New Roman" w:eastAsia="宋体" w:cs="Times New Roman"/>
          <w:snapToGrid w:val="0"/>
          <w:color w:val="auto"/>
          <w:sz w:val="28"/>
          <w:szCs w:val="40"/>
          <w:u w:val="none" w:color="auto"/>
          <w:lang w:val="en-US" w:eastAsia="zh-CN"/>
        </w:rPr>
      </w:pPr>
      <w:r>
        <w:rPr>
          <w:rFonts w:hint="eastAsia" w:cs="Times New Roman"/>
          <w:snapToGrid w:val="0"/>
          <w:color w:val="auto"/>
          <w:sz w:val="28"/>
          <w:szCs w:val="40"/>
          <w:u w:val="none" w:color="auto"/>
          <w:lang w:val="en-US" w:eastAsia="zh-CN"/>
        </w:rPr>
        <w:t>附图</w:t>
      </w:r>
    </w:p>
    <w:p w14:paraId="7AE4D4A7">
      <w:pPr>
        <w:pStyle w:val="23"/>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rPr>
          <w:sz w:val="28"/>
          <w:szCs w:val="36"/>
        </w:rPr>
      </w:pPr>
      <w:r>
        <w:rPr>
          <w:rFonts w:hint="default" w:ascii="Times New Roman" w:hAnsi="Times New Roman" w:eastAsia="宋体" w:cs="Times New Roman"/>
          <w:snapToGrid w:val="0"/>
          <w:color w:val="auto"/>
          <w:sz w:val="28"/>
          <w:szCs w:val="40"/>
          <w:u w:val="none" w:color="auto"/>
        </w:rPr>
        <w:fldChar w:fldCharType="begin"/>
      </w:r>
      <w:r>
        <w:rPr>
          <w:rFonts w:hint="default" w:ascii="Times New Roman" w:hAnsi="Times New Roman" w:eastAsia="宋体" w:cs="Times New Roman"/>
          <w:snapToGrid w:val="0"/>
          <w:sz w:val="28"/>
          <w:szCs w:val="40"/>
        </w:rPr>
        <w:instrText xml:space="preserve"> HYPERLINK \l _Toc16713 </w:instrText>
      </w:r>
      <w:r>
        <w:rPr>
          <w:rFonts w:hint="default" w:ascii="Times New Roman" w:hAnsi="Times New Roman" w:eastAsia="宋体" w:cs="Times New Roman"/>
          <w:snapToGrid w:val="0"/>
          <w:sz w:val="28"/>
          <w:szCs w:val="40"/>
        </w:rPr>
        <w:fldChar w:fldCharType="separate"/>
      </w:r>
      <w:r>
        <w:rPr>
          <w:rFonts w:hint="default" w:ascii="Times New Roman" w:hAnsi="Times New Roman" w:eastAsia="宋体" w:cs="Times New Roman"/>
          <w:bCs/>
          <w:sz w:val="28"/>
          <w:szCs w:val="40"/>
        </w:rPr>
        <w:t>附图1  项目所在地</w:t>
      </w:r>
      <w:r>
        <w:rPr>
          <w:sz w:val="28"/>
          <w:szCs w:val="36"/>
        </w:rPr>
        <w:tab/>
      </w:r>
      <w:r>
        <w:rPr>
          <w:sz w:val="28"/>
          <w:szCs w:val="36"/>
        </w:rPr>
        <w:fldChar w:fldCharType="begin"/>
      </w:r>
      <w:r>
        <w:rPr>
          <w:sz w:val="28"/>
          <w:szCs w:val="36"/>
        </w:rPr>
        <w:instrText xml:space="preserve"> PAGEREF _Toc16713 \h </w:instrText>
      </w:r>
      <w:r>
        <w:rPr>
          <w:sz w:val="28"/>
          <w:szCs w:val="36"/>
        </w:rPr>
        <w:fldChar w:fldCharType="separate"/>
      </w:r>
      <w:r>
        <w:rPr>
          <w:sz w:val="28"/>
          <w:szCs w:val="36"/>
        </w:rPr>
        <w:t>264</w:t>
      </w:r>
      <w:r>
        <w:rPr>
          <w:sz w:val="28"/>
          <w:szCs w:val="36"/>
        </w:rPr>
        <w:fldChar w:fldCharType="end"/>
      </w:r>
      <w:r>
        <w:rPr>
          <w:rFonts w:hint="default" w:ascii="Times New Roman" w:hAnsi="Times New Roman" w:eastAsia="宋体" w:cs="Times New Roman"/>
          <w:snapToGrid w:val="0"/>
          <w:color w:val="auto"/>
          <w:sz w:val="28"/>
          <w:szCs w:val="40"/>
          <w:u w:val="none" w:color="auto"/>
        </w:rPr>
        <w:fldChar w:fldCharType="end"/>
      </w:r>
    </w:p>
    <w:p w14:paraId="7F17E57F">
      <w:pPr>
        <w:pStyle w:val="23"/>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rPr>
          <w:sz w:val="28"/>
          <w:szCs w:val="36"/>
        </w:rPr>
      </w:pPr>
      <w:r>
        <w:rPr>
          <w:rFonts w:hint="default" w:ascii="Times New Roman" w:hAnsi="Times New Roman" w:eastAsia="宋体" w:cs="Times New Roman"/>
          <w:snapToGrid w:val="0"/>
          <w:color w:val="auto"/>
          <w:sz w:val="28"/>
          <w:szCs w:val="40"/>
          <w:u w:val="none" w:color="auto"/>
        </w:rPr>
        <w:fldChar w:fldCharType="begin"/>
      </w:r>
      <w:r>
        <w:rPr>
          <w:rFonts w:hint="default" w:ascii="Times New Roman" w:hAnsi="Times New Roman" w:eastAsia="宋体" w:cs="Times New Roman"/>
          <w:snapToGrid w:val="0"/>
          <w:sz w:val="28"/>
          <w:szCs w:val="40"/>
        </w:rPr>
        <w:instrText xml:space="preserve"> HYPERLINK \l _Toc23686 </w:instrText>
      </w:r>
      <w:r>
        <w:rPr>
          <w:rFonts w:hint="default" w:ascii="Times New Roman" w:hAnsi="Times New Roman" w:eastAsia="宋体" w:cs="Times New Roman"/>
          <w:snapToGrid w:val="0"/>
          <w:sz w:val="28"/>
          <w:szCs w:val="40"/>
        </w:rPr>
        <w:fldChar w:fldCharType="separate"/>
      </w:r>
      <w:r>
        <w:rPr>
          <w:rFonts w:hint="default" w:ascii="Times New Roman" w:hAnsi="Times New Roman" w:eastAsia="宋体" w:cs="Times New Roman"/>
          <w:bCs/>
          <w:sz w:val="28"/>
          <w:szCs w:val="40"/>
        </w:rPr>
        <w:t>附图2</w:t>
      </w:r>
      <w:r>
        <w:rPr>
          <w:rFonts w:hint="default" w:ascii="Times New Roman" w:hAnsi="Times New Roman" w:eastAsia="宋体" w:cs="Times New Roman"/>
          <w:bCs/>
          <w:sz w:val="28"/>
          <w:szCs w:val="40"/>
          <w:lang w:val="en-US" w:eastAsia="zh-CN"/>
        </w:rPr>
        <w:t>-1</w:t>
      </w:r>
      <w:r>
        <w:rPr>
          <w:rFonts w:hint="default" w:ascii="Times New Roman" w:hAnsi="Times New Roman" w:eastAsia="宋体" w:cs="Times New Roman"/>
          <w:bCs/>
          <w:sz w:val="28"/>
          <w:szCs w:val="40"/>
        </w:rPr>
        <w:t xml:space="preserve">  </w:t>
      </w:r>
      <w:r>
        <w:rPr>
          <w:rFonts w:hint="default" w:ascii="Times New Roman" w:hAnsi="Times New Roman" w:eastAsia="宋体" w:cs="Times New Roman"/>
          <w:bCs/>
          <w:sz w:val="28"/>
          <w:szCs w:val="40"/>
          <w:lang w:val="en-US" w:eastAsia="zh-CN"/>
        </w:rPr>
        <w:t>中创空天厂区大气评价范围及</w:t>
      </w:r>
      <w:r>
        <w:rPr>
          <w:rFonts w:hint="default" w:ascii="Times New Roman" w:hAnsi="Times New Roman" w:eastAsia="宋体" w:cs="Times New Roman"/>
          <w:bCs/>
          <w:sz w:val="28"/>
          <w:szCs w:val="40"/>
        </w:rPr>
        <w:t>环境敏感目标分布图</w:t>
      </w:r>
      <w:r>
        <w:rPr>
          <w:sz w:val="28"/>
          <w:szCs w:val="36"/>
        </w:rPr>
        <w:tab/>
      </w:r>
      <w:r>
        <w:rPr>
          <w:sz w:val="28"/>
          <w:szCs w:val="36"/>
        </w:rPr>
        <w:fldChar w:fldCharType="begin"/>
      </w:r>
      <w:r>
        <w:rPr>
          <w:sz w:val="28"/>
          <w:szCs w:val="36"/>
        </w:rPr>
        <w:instrText xml:space="preserve"> PAGEREF _Toc23686 \h </w:instrText>
      </w:r>
      <w:r>
        <w:rPr>
          <w:sz w:val="28"/>
          <w:szCs w:val="36"/>
        </w:rPr>
        <w:fldChar w:fldCharType="separate"/>
      </w:r>
      <w:r>
        <w:rPr>
          <w:sz w:val="28"/>
          <w:szCs w:val="36"/>
        </w:rPr>
        <w:t>265</w:t>
      </w:r>
      <w:r>
        <w:rPr>
          <w:sz w:val="28"/>
          <w:szCs w:val="36"/>
        </w:rPr>
        <w:fldChar w:fldCharType="end"/>
      </w:r>
      <w:r>
        <w:rPr>
          <w:rFonts w:hint="default" w:ascii="Times New Roman" w:hAnsi="Times New Roman" w:eastAsia="宋体" w:cs="Times New Roman"/>
          <w:snapToGrid w:val="0"/>
          <w:color w:val="auto"/>
          <w:sz w:val="28"/>
          <w:szCs w:val="40"/>
          <w:u w:val="none" w:color="auto"/>
        </w:rPr>
        <w:fldChar w:fldCharType="end"/>
      </w:r>
    </w:p>
    <w:p w14:paraId="587F668E">
      <w:pPr>
        <w:pStyle w:val="23"/>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rPr>
          <w:sz w:val="28"/>
          <w:szCs w:val="36"/>
        </w:rPr>
      </w:pPr>
      <w:r>
        <w:rPr>
          <w:rFonts w:hint="default" w:ascii="Times New Roman" w:hAnsi="Times New Roman" w:eastAsia="宋体" w:cs="Times New Roman"/>
          <w:snapToGrid w:val="0"/>
          <w:color w:val="auto"/>
          <w:sz w:val="28"/>
          <w:szCs w:val="40"/>
          <w:u w:val="none" w:color="auto"/>
        </w:rPr>
        <w:fldChar w:fldCharType="begin"/>
      </w:r>
      <w:r>
        <w:rPr>
          <w:rFonts w:hint="default" w:ascii="Times New Roman" w:hAnsi="Times New Roman" w:eastAsia="宋体" w:cs="Times New Roman"/>
          <w:snapToGrid w:val="0"/>
          <w:sz w:val="28"/>
          <w:szCs w:val="40"/>
        </w:rPr>
        <w:instrText xml:space="preserve"> HYPERLINK \l _Toc18946 </w:instrText>
      </w:r>
      <w:r>
        <w:rPr>
          <w:rFonts w:hint="default" w:ascii="Times New Roman" w:hAnsi="Times New Roman" w:eastAsia="宋体" w:cs="Times New Roman"/>
          <w:snapToGrid w:val="0"/>
          <w:sz w:val="28"/>
          <w:szCs w:val="40"/>
        </w:rPr>
        <w:fldChar w:fldCharType="separate"/>
      </w:r>
      <w:r>
        <w:rPr>
          <w:rFonts w:hint="default" w:ascii="Times New Roman" w:hAnsi="Times New Roman" w:eastAsia="宋体" w:cs="Times New Roman"/>
          <w:bCs/>
          <w:sz w:val="28"/>
          <w:szCs w:val="40"/>
        </w:rPr>
        <w:t>附图2</w:t>
      </w:r>
      <w:r>
        <w:rPr>
          <w:rFonts w:hint="default" w:ascii="Times New Roman" w:hAnsi="Times New Roman" w:eastAsia="宋体" w:cs="Times New Roman"/>
          <w:bCs/>
          <w:sz w:val="28"/>
          <w:szCs w:val="40"/>
          <w:lang w:val="en-US" w:eastAsia="zh-CN"/>
        </w:rPr>
        <w:t>-2</w:t>
      </w:r>
      <w:r>
        <w:rPr>
          <w:rFonts w:hint="default" w:ascii="Times New Roman" w:hAnsi="Times New Roman" w:eastAsia="宋体" w:cs="Times New Roman"/>
          <w:bCs/>
          <w:sz w:val="28"/>
          <w:szCs w:val="40"/>
        </w:rPr>
        <w:t xml:space="preserve">  </w:t>
      </w:r>
      <w:r>
        <w:rPr>
          <w:rFonts w:hint="default" w:ascii="Times New Roman" w:hAnsi="Times New Roman" w:eastAsia="宋体" w:cs="Times New Roman"/>
          <w:bCs/>
          <w:sz w:val="28"/>
          <w:szCs w:val="40"/>
          <w:lang w:val="en-US" w:eastAsia="zh-CN"/>
        </w:rPr>
        <w:t>临港高新产业园区大气评价范围及</w:t>
      </w:r>
      <w:r>
        <w:rPr>
          <w:rFonts w:hint="default" w:ascii="Times New Roman" w:hAnsi="Times New Roman" w:eastAsia="宋体" w:cs="Times New Roman"/>
          <w:bCs/>
          <w:sz w:val="28"/>
          <w:szCs w:val="40"/>
        </w:rPr>
        <w:t>环境敏感目标分布图</w:t>
      </w:r>
      <w:r>
        <w:rPr>
          <w:sz w:val="28"/>
          <w:szCs w:val="36"/>
        </w:rPr>
        <w:tab/>
      </w:r>
      <w:r>
        <w:rPr>
          <w:sz w:val="28"/>
          <w:szCs w:val="36"/>
        </w:rPr>
        <w:fldChar w:fldCharType="begin"/>
      </w:r>
      <w:r>
        <w:rPr>
          <w:sz w:val="28"/>
          <w:szCs w:val="36"/>
        </w:rPr>
        <w:instrText xml:space="preserve"> PAGEREF _Toc18946 \h </w:instrText>
      </w:r>
      <w:r>
        <w:rPr>
          <w:sz w:val="28"/>
          <w:szCs w:val="36"/>
        </w:rPr>
        <w:fldChar w:fldCharType="separate"/>
      </w:r>
      <w:r>
        <w:rPr>
          <w:sz w:val="28"/>
          <w:szCs w:val="36"/>
        </w:rPr>
        <w:t>266</w:t>
      </w:r>
      <w:r>
        <w:rPr>
          <w:sz w:val="28"/>
          <w:szCs w:val="36"/>
        </w:rPr>
        <w:fldChar w:fldCharType="end"/>
      </w:r>
      <w:r>
        <w:rPr>
          <w:rFonts w:hint="default" w:ascii="Times New Roman" w:hAnsi="Times New Roman" w:eastAsia="宋体" w:cs="Times New Roman"/>
          <w:snapToGrid w:val="0"/>
          <w:color w:val="auto"/>
          <w:sz w:val="28"/>
          <w:szCs w:val="40"/>
          <w:u w:val="none" w:color="auto"/>
        </w:rPr>
        <w:fldChar w:fldCharType="end"/>
      </w:r>
    </w:p>
    <w:p w14:paraId="0E1F92DB">
      <w:pPr>
        <w:pStyle w:val="23"/>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rPr>
          <w:sz w:val="28"/>
          <w:szCs w:val="36"/>
        </w:rPr>
      </w:pPr>
      <w:r>
        <w:rPr>
          <w:rFonts w:hint="default" w:ascii="Times New Roman" w:hAnsi="Times New Roman" w:eastAsia="宋体" w:cs="Times New Roman"/>
          <w:snapToGrid w:val="0"/>
          <w:color w:val="auto"/>
          <w:sz w:val="28"/>
          <w:szCs w:val="40"/>
          <w:u w:val="none" w:color="auto"/>
        </w:rPr>
        <w:fldChar w:fldCharType="begin"/>
      </w:r>
      <w:r>
        <w:rPr>
          <w:rFonts w:hint="default" w:ascii="Times New Roman" w:hAnsi="Times New Roman" w:eastAsia="宋体" w:cs="Times New Roman"/>
          <w:snapToGrid w:val="0"/>
          <w:sz w:val="28"/>
          <w:szCs w:val="40"/>
        </w:rPr>
        <w:instrText xml:space="preserve"> HYPERLINK \l _Toc26471 </w:instrText>
      </w:r>
      <w:r>
        <w:rPr>
          <w:rFonts w:hint="default" w:ascii="Times New Roman" w:hAnsi="Times New Roman" w:eastAsia="宋体" w:cs="Times New Roman"/>
          <w:snapToGrid w:val="0"/>
          <w:sz w:val="28"/>
          <w:szCs w:val="40"/>
        </w:rPr>
        <w:fldChar w:fldCharType="separate"/>
      </w:r>
      <w:r>
        <w:rPr>
          <w:rFonts w:hint="default" w:ascii="Times New Roman" w:hAnsi="Times New Roman" w:eastAsia="宋体" w:cs="Times New Roman"/>
          <w:bCs/>
          <w:sz w:val="28"/>
          <w:szCs w:val="40"/>
        </w:rPr>
        <w:t>附图</w:t>
      </w:r>
      <w:r>
        <w:rPr>
          <w:rFonts w:hint="default" w:ascii="Times New Roman" w:hAnsi="Times New Roman" w:eastAsia="宋体" w:cs="Times New Roman"/>
          <w:bCs/>
          <w:sz w:val="28"/>
          <w:szCs w:val="40"/>
          <w:lang w:val="en-US" w:eastAsia="zh-CN"/>
        </w:rPr>
        <w:t>3-1</w:t>
      </w:r>
      <w:r>
        <w:rPr>
          <w:rFonts w:hint="default" w:ascii="Times New Roman" w:hAnsi="Times New Roman" w:eastAsia="宋体" w:cs="Times New Roman"/>
          <w:bCs/>
          <w:sz w:val="28"/>
          <w:szCs w:val="40"/>
        </w:rPr>
        <w:t xml:space="preserve">  </w:t>
      </w:r>
      <w:r>
        <w:rPr>
          <w:rFonts w:hint="default" w:ascii="Times New Roman" w:hAnsi="Times New Roman" w:eastAsia="宋体" w:cs="Times New Roman"/>
          <w:bCs/>
          <w:sz w:val="28"/>
          <w:szCs w:val="40"/>
          <w:lang w:val="en-US" w:eastAsia="zh-CN"/>
        </w:rPr>
        <w:t>中创空天厂区声环境评价范围及</w:t>
      </w:r>
      <w:r>
        <w:rPr>
          <w:rFonts w:hint="default" w:ascii="Times New Roman" w:hAnsi="Times New Roman" w:eastAsia="宋体" w:cs="Times New Roman"/>
          <w:bCs/>
          <w:sz w:val="28"/>
          <w:szCs w:val="40"/>
        </w:rPr>
        <w:t>环境敏感目标分布图</w:t>
      </w:r>
      <w:r>
        <w:rPr>
          <w:sz w:val="28"/>
          <w:szCs w:val="36"/>
        </w:rPr>
        <w:tab/>
      </w:r>
      <w:r>
        <w:rPr>
          <w:sz w:val="28"/>
          <w:szCs w:val="36"/>
        </w:rPr>
        <w:fldChar w:fldCharType="begin"/>
      </w:r>
      <w:r>
        <w:rPr>
          <w:sz w:val="28"/>
          <w:szCs w:val="36"/>
        </w:rPr>
        <w:instrText xml:space="preserve"> PAGEREF _Toc26471 \h </w:instrText>
      </w:r>
      <w:r>
        <w:rPr>
          <w:sz w:val="28"/>
          <w:szCs w:val="36"/>
        </w:rPr>
        <w:fldChar w:fldCharType="separate"/>
      </w:r>
      <w:r>
        <w:rPr>
          <w:sz w:val="28"/>
          <w:szCs w:val="36"/>
        </w:rPr>
        <w:t>267</w:t>
      </w:r>
      <w:r>
        <w:rPr>
          <w:sz w:val="28"/>
          <w:szCs w:val="36"/>
        </w:rPr>
        <w:fldChar w:fldCharType="end"/>
      </w:r>
      <w:r>
        <w:rPr>
          <w:rFonts w:hint="default" w:ascii="Times New Roman" w:hAnsi="Times New Roman" w:eastAsia="宋体" w:cs="Times New Roman"/>
          <w:snapToGrid w:val="0"/>
          <w:color w:val="auto"/>
          <w:sz w:val="28"/>
          <w:szCs w:val="40"/>
          <w:u w:val="none" w:color="auto"/>
        </w:rPr>
        <w:fldChar w:fldCharType="end"/>
      </w:r>
    </w:p>
    <w:p w14:paraId="12EBE8F4">
      <w:pPr>
        <w:pStyle w:val="23"/>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rPr>
          <w:sz w:val="28"/>
          <w:szCs w:val="36"/>
        </w:rPr>
      </w:pPr>
      <w:r>
        <w:rPr>
          <w:rFonts w:hint="default" w:ascii="Times New Roman" w:hAnsi="Times New Roman" w:eastAsia="宋体" w:cs="Times New Roman"/>
          <w:snapToGrid w:val="0"/>
          <w:color w:val="auto"/>
          <w:sz w:val="28"/>
          <w:szCs w:val="40"/>
          <w:u w:val="none" w:color="auto"/>
        </w:rPr>
        <w:fldChar w:fldCharType="begin"/>
      </w:r>
      <w:r>
        <w:rPr>
          <w:rFonts w:hint="default" w:ascii="Times New Roman" w:hAnsi="Times New Roman" w:eastAsia="宋体" w:cs="Times New Roman"/>
          <w:snapToGrid w:val="0"/>
          <w:sz w:val="28"/>
          <w:szCs w:val="40"/>
        </w:rPr>
        <w:instrText xml:space="preserve"> HYPERLINK \l _Toc13149 </w:instrText>
      </w:r>
      <w:r>
        <w:rPr>
          <w:rFonts w:hint="default" w:ascii="Times New Roman" w:hAnsi="Times New Roman" w:eastAsia="宋体" w:cs="Times New Roman"/>
          <w:snapToGrid w:val="0"/>
          <w:sz w:val="28"/>
          <w:szCs w:val="40"/>
        </w:rPr>
        <w:fldChar w:fldCharType="separate"/>
      </w:r>
      <w:r>
        <w:rPr>
          <w:rFonts w:hint="default" w:ascii="Times New Roman" w:hAnsi="Times New Roman" w:eastAsia="宋体" w:cs="Times New Roman"/>
          <w:bCs/>
          <w:sz w:val="28"/>
          <w:szCs w:val="40"/>
        </w:rPr>
        <w:t>附图</w:t>
      </w:r>
      <w:r>
        <w:rPr>
          <w:rFonts w:hint="default" w:ascii="Times New Roman" w:hAnsi="Times New Roman" w:eastAsia="宋体" w:cs="Times New Roman"/>
          <w:bCs/>
          <w:sz w:val="28"/>
          <w:szCs w:val="40"/>
          <w:lang w:val="en-US" w:eastAsia="zh-CN"/>
        </w:rPr>
        <w:t>3-2</w:t>
      </w:r>
      <w:r>
        <w:rPr>
          <w:rFonts w:hint="default" w:ascii="Times New Roman" w:hAnsi="Times New Roman" w:eastAsia="宋体" w:cs="Times New Roman"/>
          <w:bCs/>
          <w:sz w:val="28"/>
          <w:szCs w:val="40"/>
        </w:rPr>
        <w:t xml:space="preserve">  </w:t>
      </w:r>
      <w:r>
        <w:rPr>
          <w:rFonts w:hint="default" w:ascii="Times New Roman" w:hAnsi="Times New Roman" w:eastAsia="宋体" w:cs="Times New Roman"/>
          <w:bCs/>
          <w:sz w:val="28"/>
          <w:szCs w:val="40"/>
          <w:lang w:val="en-US" w:eastAsia="zh-CN"/>
        </w:rPr>
        <w:t>临港高新产业园区声环境评价范围及</w:t>
      </w:r>
      <w:r>
        <w:rPr>
          <w:rFonts w:hint="default" w:ascii="Times New Roman" w:hAnsi="Times New Roman" w:eastAsia="宋体" w:cs="Times New Roman"/>
          <w:bCs/>
          <w:sz w:val="28"/>
          <w:szCs w:val="40"/>
        </w:rPr>
        <w:t>环境敏感目标分布图</w:t>
      </w:r>
      <w:r>
        <w:rPr>
          <w:sz w:val="28"/>
          <w:szCs w:val="36"/>
        </w:rPr>
        <w:tab/>
      </w:r>
      <w:r>
        <w:rPr>
          <w:sz w:val="28"/>
          <w:szCs w:val="36"/>
        </w:rPr>
        <w:fldChar w:fldCharType="begin"/>
      </w:r>
      <w:r>
        <w:rPr>
          <w:sz w:val="28"/>
          <w:szCs w:val="36"/>
        </w:rPr>
        <w:instrText xml:space="preserve"> PAGEREF _Toc13149 \h </w:instrText>
      </w:r>
      <w:r>
        <w:rPr>
          <w:sz w:val="28"/>
          <w:szCs w:val="36"/>
        </w:rPr>
        <w:fldChar w:fldCharType="separate"/>
      </w:r>
      <w:r>
        <w:rPr>
          <w:sz w:val="28"/>
          <w:szCs w:val="36"/>
        </w:rPr>
        <w:t>268</w:t>
      </w:r>
      <w:r>
        <w:rPr>
          <w:sz w:val="28"/>
          <w:szCs w:val="36"/>
        </w:rPr>
        <w:fldChar w:fldCharType="end"/>
      </w:r>
      <w:r>
        <w:rPr>
          <w:rFonts w:hint="default" w:ascii="Times New Roman" w:hAnsi="Times New Roman" w:eastAsia="宋体" w:cs="Times New Roman"/>
          <w:snapToGrid w:val="0"/>
          <w:color w:val="auto"/>
          <w:sz w:val="28"/>
          <w:szCs w:val="40"/>
          <w:u w:val="none" w:color="auto"/>
        </w:rPr>
        <w:fldChar w:fldCharType="end"/>
      </w:r>
    </w:p>
    <w:p w14:paraId="4173054D">
      <w:pPr>
        <w:pStyle w:val="23"/>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rPr>
          <w:sz w:val="28"/>
          <w:szCs w:val="36"/>
        </w:rPr>
      </w:pPr>
      <w:r>
        <w:rPr>
          <w:rFonts w:hint="default" w:ascii="Times New Roman" w:hAnsi="Times New Roman" w:eastAsia="宋体" w:cs="Times New Roman"/>
          <w:snapToGrid w:val="0"/>
          <w:color w:val="auto"/>
          <w:sz w:val="28"/>
          <w:szCs w:val="40"/>
          <w:u w:val="none" w:color="auto"/>
        </w:rPr>
        <w:fldChar w:fldCharType="begin"/>
      </w:r>
      <w:r>
        <w:rPr>
          <w:rFonts w:hint="default" w:ascii="Times New Roman" w:hAnsi="Times New Roman" w:eastAsia="宋体" w:cs="Times New Roman"/>
          <w:snapToGrid w:val="0"/>
          <w:sz w:val="28"/>
          <w:szCs w:val="40"/>
        </w:rPr>
        <w:instrText xml:space="preserve"> HYPERLINK \l _Toc8706 </w:instrText>
      </w:r>
      <w:r>
        <w:rPr>
          <w:rFonts w:hint="default" w:ascii="Times New Roman" w:hAnsi="Times New Roman" w:eastAsia="宋体" w:cs="Times New Roman"/>
          <w:snapToGrid w:val="0"/>
          <w:sz w:val="28"/>
          <w:szCs w:val="40"/>
        </w:rPr>
        <w:fldChar w:fldCharType="separate"/>
      </w:r>
      <w:r>
        <w:rPr>
          <w:rFonts w:hint="default" w:ascii="Times New Roman" w:hAnsi="Times New Roman" w:eastAsia="宋体" w:cs="Times New Roman"/>
          <w:bCs/>
          <w:sz w:val="28"/>
          <w:szCs w:val="40"/>
          <w:highlight w:val="none"/>
        </w:rPr>
        <w:t>附图</w:t>
      </w:r>
      <w:r>
        <w:rPr>
          <w:rFonts w:hint="default" w:ascii="Times New Roman" w:hAnsi="Times New Roman" w:eastAsia="宋体" w:cs="Times New Roman"/>
          <w:bCs/>
          <w:sz w:val="28"/>
          <w:szCs w:val="40"/>
          <w:highlight w:val="none"/>
          <w:lang w:val="en-US" w:eastAsia="zh-CN"/>
        </w:rPr>
        <w:t>4-1</w:t>
      </w:r>
      <w:r>
        <w:rPr>
          <w:rFonts w:hint="default" w:ascii="Times New Roman" w:hAnsi="Times New Roman" w:eastAsia="宋体" w:cs="Times New Roman"/>
          <w:bCs/>
          <w:sz w:val="28"/>
          <w:szCs w:val="40"/>
          <w:highlight w:val="none"/>
        </w:rPr>
        <w:t xml:space="preserve">  </w:t>
      </w:r>
      <w:r>
        <w:rPr>
          <w:rFonts w:hint="default" w:ascii="Times New Roman" w:hAnsi="Times New Roman" w:eastAsia="宋体" w:cs="Times New Roman"/>
          <w:bCs/>
          <w:sz w:val="28"/>
          <w:szCs w:val="40"/>
          <w:highlight w:val="none"/>
          <w:lang w:val="en-US" w:eastAsia="zh-CN"/>
        </w:rPr>
        <w:t>中创空天厂区总</w:t>
      </w:r>
      <w:r>
        <w:rPr>
          <w:rFonts w:hint="default" w:ascii="Times New Roman" w:hAnsi="Times New Roman" w:eastAsia="宋体" w:cs="Times New Roman"/>
          <w:bCs/>
          <w:sz w:val="28"/>
          <w:szCs w:val="40"/>
          <w:highlight w:val="none"/>
        </w:rPr>
        <w:t>平面布局图</w:t>
      </w:r>
      <w:r>
        <w:rPr>
          <w:sz w:val="28"/>
          <w:szCs w:val="36"/>
        </w:rPr>
        <w:tab/>
      </w:r>
      <w:r>
        <w:rPr>
          <w:sz w:val="28"/>
          <w:szCs w:val="36"/>
        </w:rPr>
        <w:fldChar w:fldCharType="begin"/>
      </w:r>
      <w:r>
        <w:rPr>
          <w:sz w:val="28"/>
          <w:szCs w:val="36"/>
        </w:rPr>
        <w:instrText xml:space="preserve"> PAGEREF _Toc8706 \h </w:instrText>
      </w:r>
      <w:r>
        <w:rPr>
          <w:sz w:val="28"/>
          <w:szCs w:val="36"/>
        </w:rPr>
        <w:fldChar w:fldCharType="separate"/>
      </w:r>
      <w:r>
        <w:rPr>
          <w:sz w:val="28"/>
          <w:szCs w:val="36"/>
        </w:rPr>
        <w:t>269</w:t>
      </w:r>
      <w:r>
        <w:rPr>
          <w:sz w:val="28"/>
          <w:szCs w:val="36"/>
        </w:rPr>
        <w:fldChar w:fldCharType="end"/>
      </w:r>
      <w:r>
        <w:rPr>
          <w:rFonts w:hint="default" w:ascii="Times New Roman" w:hAnsi="Times New Roman" w:eastAsia="宋体" w:cs="Times New Roman"/>
          <w:snapToGrid w:val="0"/>
          <w:color w:val="auto"/>
          <w:sz w:val="28"/>
          <w:szCs w:val="40"/>
          <w:u w:val="none" w:color="auto"/>
        </w:rPr>
        <w:fldChar w:fldCharType="end"/>
      </w:r>
    </w:p>
    <w:p w14:paraId="4EC1C200">
      <w:pPr>
        <w:pStyle w:val="23"/>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rPr>
          <w:sz w:val="28"/>
          <w:szCs w:val="36"/>
        </w:rPr>
      </w:pPr>
      <w:r>
        <w:rPr>
          <w:rFonts w:hint="default" w:ascii="Times New Roman" w:hAnsi="Times New Roman" w:eastAsia="宋体" w:cs="Times New Roman"/>
          <w:snapToGrid w:val="0"/>
          <w:color w:val="auto"/>
          <w:sz w:val="28"/>
          <w:szCs w:val="40"/>
          <w:u w:val="none" w:color="auto"/>
        </w:rPr>
        <w:fldChar w:fldCharType="begin"/>
      </w:r>
      <w:r>
        <w:rPr>
          <w:rFonts w:hint="default" w:ascii="Times New Roman" w:hAnsi="Times New Roman" w:eastAsia="宋体" w:cs="Times New Roman"/>
          <w:snapToGrid w:val="0"/>
          <w:sz w:val="28"/>
          <w:szCs w:val="40"/>
        </w:rPr>
        <w:instrText xml:space="preserve"> HYPERLINK \l _Toc25005 </w:instrText>
      </w:r>
      <w:r>
        <w:rPr>
          <w:rFonts w:hint="default" w:ascii="Times New Roman" w:hAnsi="Times New Roman" w:eastAsia="宋体" w:cs="Times New Roman"/>
          <w:snapToGrid w:val="0"/>
          <w:sz w:val="28"/>
          <w:szCs w:val="40"/>
        </w:rPr>
        <w:fldChar w:fldCharType="separate"/>
      </w:r>
      <w:r>
        <w:rPr>
          <w:rFonts w:hint="default" w:ascii="Times New Roman" w:hAnsi="Times New Roman" w:eastAsia="宋体" w:cs="Times New Roman"/>
          <w:bCs/>
          <w:sz w:val="28"/>
          <w:szCs w:val="40"/>
          <w:highlight w:val="none"/>
        </w:rPr>
        <w:t>附图</w:t>
      </w:r>
      <w:r>
        <w:rPr>
          <w:rFonts w:hint="default" w:ascii="Times New Roman" w:hAnsi="Times New Roman" w:eastAsia="宋体" w:cs="Times New Roman"/>
          <w:bCs/>
          <w:sz w:val="28"/>
          <w:szCs w:val="40"/>
          <w:highlight w:val="none"/>
          <w:lang w:val="en-US" w:eastAsia="zh-CN"/>
        </w:rPr>
        <w:t>4-2</w:t>
      </w:r>
      <w:r>
        <w:rPr>
          <w:rFonts w:hint="default" w:ascii="Times New Roman" w:hAnsi="Times New Roman" w:eastAsia="宋体" w:cs="Times New Roman"/>
          <w:bCs/>
          <w:sz w:val="28"/>
          <w:szCs w:val="40"/>
          <w:highlight w:val="none"/>
        </w:rPr>
        <w:t xml:space="preserve">  </w:t>
      </w:r>
      <w:r>
        <w:rPr>
          <w:rFonts w:hint="default" w:ascii="Times New Roman" w:hAnsi="Times New Roman" w:eastAsia="宋体" w:cs="Times New Roman"/>
          <w:bCs/>
          <w:sz w:val="28"/>
          <w:szCs w:val="40"/>
          <w:lang w:val="en-US" w:eastAsia="zh-CN"/>
        </w:rPr>
        <w:t>临港高新产业园区</w:t>
      </w:r>
      <w:r>
        <w:rPr>
          <w:rFonts w:hint="default" w:ascii="Times New Roman" w:hAnsi="Times New Roman" w:eastAsia="宋体" w:cs="Times New Roman"/>
          <w:bCs/>
          <w:sz w:val="28"/>
          <w:szCs w:val="40"/>
          <w:highlight w:val="none"/>
          <w:lang w:val="en-US" w:eastAsia="zh-CN"/>
        </w:rPr>
        <w:t>总</w:t>
      </w:r>
      <w:r>
        <w:rPr>
          <w:rFonts w:hint="default" w:ascii="Times New Roman" w:hAnsi="Times New Roman" w:eastAsia="宋体" w:cs="Times New Roman"/>
          <w:bCs/>
          <w:sz w:val="28"/>
          <w:szCs w:val="40"/>
          <w:highlight w:val="none"/>
        </w:rPr>
        <w:t>平面布局图</w:t>
      </w:r>
      <w:r>
        <w:rPr>
          <w:sz w:val="28"/>
          <w:szCs w:val="36"/>
        </w:rPr>
        <w:tab/>
      </w:r>
      <w:r>
        <w:rPr>
          <w:sz w:val="28"/>
          <w:szCs w:val="36"/>
        </w:rPr>
        <w:fldChar w:fldCharType="begin"/>
      </w:r>
      <w:r>
        <w:rPr>
          <w:sz w:val="28"/>
          <w:szCs w:val="36"/>
        </w:rPr>
        <w:instrText xml:space="preserve"> PAGEREF _Toc25005 \h </w:instrText>
      </w:r>
      <w:r>
        <w:rPr>
          <w:sz w:val="28"/>
          <w:szCs w:val="36"/>
        </w:rPr>
        <w:fldChar w:fldCharType="separate"/>
      </w:r>
      <w:r>
        <w:rPr>
          <w:sz w:val="28"/>
          <w:szCs w:val="36"/>
        </w:rPr>
        <w:t>270</w:t>
      </w:r>
      <w:r>
        <w:rPr>
          <w:sz w:val="28"/>
          <w:szCs w:val="36"/>
        </w:rPr>
        <w:fldChar w:fldCharType="end"/>
      </w:r>
      <w:r>
        <w:rPr>
          <w:rFonts w:hint="default" w:ascii="Times New Roman" w:hAnsi="Times New Roman" w:eastAsia="宋体" w:cs="Times New Roman"/>
          <w:snapToGrid w:val="0"/>
          <w:color w:val="auto"/>
          <w:sz w:val="28"/>
          <w:szCs w:val="40"/>
          <w:u w:val="none" w:color="auto"/>
        </w:rPr>
        <w:fldChar w:fldCharType="end"/>
      </w:r>
    </w:p>
    <w:p w14:paraId="5A5A2782">
      <w:pPr>
        <w:pStyle w:val="23"/>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rPr>
          <w:sz w:val="28"/>
          <w:szCs w:val="36"/>
        </w:rPr>
      </w:pPr>
      <w:r>
        <w:rPr>
          <w:rFonts w:hint="default" w:ascii="Times New Roman" w:hAnsi="Times New Roman" w:eastAsia="宋体" w:cs="Times New Roman"/>
          <w:snapToGrid w:val="0"/>
          <w:color w:val="auto"/>
          <w:sz w:val="28"/>
          <w:szCs w:val="40"/>
          <w:u w:val="none" w:color="auto"/>
        </w:rPr>
        <w:fldChar w:fldCharType="begin"/>
      </w:r>
      <w:r>
        <w:rPr>
          <w:rFonts w:hint="default" w:ascii="Times New Roman" w:hAnsi="Times New Roman" w:eastAsia="宋体" w:cs="Times New Roman"/>
          <w:snapToGrid w:val="0"/>
          <w:sz w:val="28"/>
          <w:szCs w:val="40"/>
        </w:rPr>
        <w:instrText xml:space="preserve"> HYPERLINK \l _Toc13898 </w:instrText>
      </w:r>
      <w:r>
        <w:rPr>
          <w:rFonts w:hint="default" w:ascii="Times New Roman" w:hAnsi="Times New Roman" w:eastAsia="宋体" w:cs="Times New Roman"/>
          <w:snapToGrid w:val="0"/>
          <w:sz w:val="28"/>
          <w:szCs w:val="40"/>
        </w:rPr>
        <w:fldChar w:fldCharType="separate"/>
      </w:r>
      <w:r>
        <w:rPr>
          <w:rFonts w:hint="default" w:ascii="Times New Roman" w:hAnsi="Times New Roman" w:eastAsia="宋体" w:cs="Times New Roman"/>
          <w:bCs/>
          <w:sz w:val="28"/>
          <w:szCs w:val="40"/>
          <w:highlight w:val="none"/>
        </w:rPr>
        <w:t>附图</w:t>
      </w:r>
      <w:r>
        <w:rPr>
          <w:rFonts w:hint="default" w:ascii="Times New Roman" w:hAnsi="Times New Roman" w:eastAsia="宋体" w:cs="Times New Roman"/>
          <w:bCs/>
          <w:sz w:val="28"/>
          <w:szCs w:val="40"/>
          <w:highlight w:val="none"/>
          <w:lang w:val="en-US" w:eastAsia="zh-CN"/>
        </w:rPr>
        <w:t>5-1</w:t>
      </w:r>
      <w:r>
        <w:rPr>
          <w:rFonts w:hint="default" w:ascii="Times New Roman" w:hAnsi="Times New Roman" w:eastAsia="宋体" w:cs="Times New Roman"/>
          <w:bCs/>
          <w:sz w:val="28"/>
          <w:szCs w:val="40"/>
          <w:highlight w:val="none"/>
        </w:rPr>
        <w:t xml:space="preserve">  </w:t>
      </w:r>
      <w:r>
        <w:rPr>
          <w:rFonts w:hint="default" w:ascii="Times New Roman" w:hAnsi="Times New Roman" w:eastAsia="宋体" w:cs="Times New Roman"/>
          <w:bCs/>
          <w:sz w:val="28"/>
          <w:szCs w:val="40"/>
          <w:highlight w:val="none"/>
          <w:lang w:val="en-US" w:eastAsia="zh-CN"/>
        </w:rPr>
        <w:t>铝合金熔铸一厂房改建区域</w:t>
      </w:r>
      <w:r>
        <w:rPr>
          <w:rFonts w:hint="default" w:ascii="Times New Roman" w:hAnsi="Times New Roman" w:eastAsia="宋体" w:cs="Times New Roman"/>
          <w:bCs/>
          <w:sz w:val="28"/>
          <w:szCs w:val="40"/>
          <w:highlight w:val="none"/>
        </w:rPr>
        <w:t>平面布局</w:t>
      </w:r>
      <w:r>
        <w:rPr>
          <w:rFonts w:hint="default" w:ascii="Times New Roman" w:hAnsi="Times New Roman" w:eastAsia="宋体" w:cs="Times New Roman"/>
          <w:bCs/>
          <w:sz w:val="28"/>
          <w:szCs w:val="40"/>
          <w:highlight w:val="none"/>
          <w:lang w:val="en-US" w:eastAsia="zh-CN"/>
        </w:rPr>
        <w:t>示意</w:t>
      </w:r>
      <w:r>
        <w:rPr>
          <w:rFonts w:hint="default" w:ascii="Times New Roman" w:hAnsi="Times New Roman" w:eastAsia="宋体" w:cs="Times New Roman"/>
          <w:bCs/>
          <w:sz w:val="28"/>
          <w:szCs w:val="40"/>
          <w:highlight w:val="none"/>
        </w:rPr>
        <w:t>图</w:t>
      </w:r>
      <w:r>
        <w:rPr>
          <w:sz w:val="28"/>
          <w:szCs w:val="36"/>
        </w:rPr>
        <w:tab/>
      </w:r>
      <w:r>
        <w:rPr>
          <w:sz w:val="28"/>
          <w:szCs w:val="36"/>
        </w:rPr>
        <w:fldChar w:fldCharType="begin"/>
      </w:r>
      <w:r>
        <w:rPr>
          <w:sz w:val="28"/>
          <w:szCs w:val="36"/>
        </w:rPr>
        <w:instrText xml:space="preserve"> PAGEREF _Toc13898 \h </w:instrText>
      </w:r>
      <w:r>
        <w:rPr>
          <w:sz w:val="28"/>
          <w:szCs w:val="36"/>
        </w:rPr>
        <w:fldChar w:fldCharType="separate"/>
      </w:r>
      <w:r>
        <w:rPr>
          <w:sz w:val="28"/>
          <w:szCs w:val="36"/>
        </w:rPr>
        <w:t>271</w:t>
      </w:r>
      <w:r>
        <w:rPr>
          <w:sz w:val="28"/>
          <w:szCs w:val="36"/>
        </w:rPr>
        <w:fldChar w:fldCharType="end"/>
      </w:r>
      <w:r>
        <w:rPr>
          <w:rFonts w:hint="default" w:ascii="Times New Roman" w:hAnsi="Times New Roman" w:eastAsia="宋体" w:cs="Times New Roman"/>
          <w:snapToGrid w:val="0"/>
          <w:color w:val="auto"/>
          <w:sz w:val="28"/>
          <w:szCs w:val="40"/>
          <w:u w:val="none" w:color="auto"/>
        </w:rPr>
        <w:fldChar w:fldCharType="end"/>
      </w:r>
    </w:p>
    <w:p w14:paraId="4BF11BE4">
      <w:pPr>
        <w:pStyle w:val="23"/>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rPr>
          <w:sz w:val="28"/>
          <w:szCs w:val="36"/>
        </w:rPr>
      </w:pPr>
      <w:r>
        <w:rPr>
          <w:rFonts w:hint="default" w:ascii="Times New Roman" w:hAnsi="Times New Roman" w:eastAsia="宋体" w:cs="Times New Roman"/>
          <w:snapToGrid w:val="0"/>
          <w:color w:val="auto"/>
          <w:sz w:val="28"/>
          <w:szCs w:val="40"/>
          <w:u w:val="none" w:color="auto"/>
        </w:rPr>
        <w:fldChar w:fldCharType="begin"/>
      </w:r>
      <w:r>
        <w:rPr>
          <w:rFonts w:hint="default" w:ascii="Times New Roman" w:hAnsi="Times New Roman" w:eastAsia="宋体" w:cs="Times New Roman"/>
          <w:snapToGrid w:val="0"/>
          <w:sz w:val="28"/>
          <w:szCs w:val="40"/>
        </w:rPr>
        <w:instrText xml:space="preserve"> HYPERLINK \l _Toc6726 </w:instrText>
      </w:r>
      <w:r>
        <w:rPr>
          <w:rFonts w:hint="default" w:ascii="Times New Roman" w:hAnsi="Times New Roman" w:eastAsia="宋体" w:cs="Times New Roman"/>
          <w:snapToGrid w:val="0"/>
          <w:sz w:val="28"/>
          <w:szCs w:val="40"/>
        </w:rPr>
        <w:fldChar w:fldCharType="separate"/>
      </w:r>
      <w:r>
        <w:rPr>
          <w:rFonts w:hint="default" w:ascii="Times New Roman" w:hAnsi="Times New Roman" w:eastAsia="宋体" w:cs="Times New Roman"/>
          <w:bCs/>
          <w:sz w:val="28"/>
          <w:szCs w:val="40"/>
          <w:highlight w:val="none"/>
        </w:rPr>
        <w:t>附图</w:t>
      </w:r>
      <w:r>
        <w:rPr>
          <w:rFonts w:hint="default" w:ascii="Times New Roman" w:hAnsi="Times New Roman" w:eastAsia="宋体" w:cs="Times New Roman"/>
          <w:bCs/>
          <w:sz w:val="28"/>
          <w:szCs w:val="40"/>
          <w:highlight w:val="none"/>
          <w:lang w:val="en-US" w:eastAsia="zh-CN"/>
        </w:rPr>
        <w:t>5-2</w:t>
      </w:r>
      <w:r>
        <w:rPr>
          <w:rFonts w:hint="default" w:ascii="Times New Roman" w:hAnsi="Times New Roman" w:eastAsia="宋体" w:cs="Times New Roman"/>
          <w:bCs/>
          <w:sz w:val="28"/>
          <w:szCs w:val="40"/>
          <w:highlight w:val="none"/>
        </w:rPr>
        <w:t xml:space="preserve">  </w:t>
      </w:r>
      <w:r>
        <w:rPr>
          <w:rFonts w:hint="default" w:ascii="Times New Roman" w:hAnsi="Times New Roman" w:eastAsia="宋体" w:cs="Times New Roman"/>
          <w:bCs/>
          <w:sz w:val="28"/>
          <w:szCs w:val="40"/>
          <w:highlight w:val="none"/>
          <w:lang w:val="en-US" w:eastAsia="zh-CN"/>
        </w:rPr>
        <w:t>铝合金熔铸二厂房区域</w:t>
      </w:r>
      <w:r>
        <w:rPr>
          <w:rFonts w:hint="default" w:ascii="Times New Roman" w:hAnsi="Times New Roman" w:eastAsia="宋体" w:cs="Times New Roman"/>
          <w:bCs/>
          <w:sz w:val="28"/>
          <w:szCs w:val="40"/>
          <w:highlight w:val="none"/>
        </w:rPr>
        <w:t>平面布局</w:t>
      </w:r>
      <w:r>
        <w:rPr>
          <w:rFonts w:hint="default" w:ascii="Times New Roman" w:hAnsi="Times New Roman" w:eastAsia="宋体" w:cs="Times New Roman"/>
          <w:bCs/>
          <w:sz w:val="28"/>
          <w:szCs w:val="40"/>
          <w:highlight w:val="none"/>
          <w:lang w:val="en-US" w:eastAsia="zh-CN"/>
        </w:rPr>
        <w:t>示意</w:t>
      </w:r>
      <w:r>
        <w:rPr>
          <w:rFonts w:hint="default" w:ascii="Times New Roman" w:hAnsi="Times New Roman" w:eastAsia="宋体" w:cs="Times New Roman"/>
          <w:bCs/>
          <w:sz w:val="28"/>
          <w:szCs w:val="40"/>
          <w:highlight w:val="none"/>
        </w:rPr>
        <w:t>图</w:t>
      </w:r>
      <w:r>
        <w:rPr>
          <w:sz w:val="28"/>
          <w:szCs w:val="36"/>
        </w:rPr>
        <w:tab/>
      </w:r>
      <w:r>
        <w:rPr>
          <w:sz w:val="28"/>
          <w:szCs w:val="36"/>
        </w:rPr>
        <w:fldChar w:fldCharType="begin"/>
      </w:r>
      <w:r>
        <w:rPr>
          <w:sz w:val="28"/>
          <w:szCs w:val="36"/>
        </w:rPr>
        <w:instrText xml:space="preserve"> PAGEREF _Toc6726 \h </w:instrText>
      </w:r>
      <w:r>
        <w:rPr>
          <w:sz w:val="28"/>
          <w:szCs w:val="36"/>
        </w:rPr>
        <w:fldChar w:fldCharType="separate"/>
      </w:r>
      <w:r>
        <w:rPr>
          <w:sz w:val="28"/>
          <w:szCs w:val="36"/>
        </w:rPr>
        <w:t>272</w:t>
      </w:r>
      <w:r>
        <w:rPr>
          <w:sz w:val="28"/>
          <w:szCs w:val="36"/>
        </w:rPr>
        <w:fldChar w:fldCharType="end"/>
      </w:r>
      <w:r>
        <w:rPr>
          <w:rFonts w:hint="default" w:ascii="Times New Roman" w:hAnsi="Times New Roman" w:eastAsia="宋体" w:cs="Times New Roman"/>
          <w:snapToGrid w:val="0"/>
          <w:color w:val="auto"/>
          <w:sz w:val="28"/>
          <w:szCs w:val="40"/>
          <w:u w:val="none" w:color="auto"/>
        </w:rPr>
        <w:fldChar w:fldCharType="end"/>
      </w:r>
    </w:p>
    <w:p w14:paraId="03A10F5F">
      <w:pPr>
        <w:pStyle w:val="23"/>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rPr>
          <w:sz w:val="28"/>
          <w:szCs w:val="36"/>
        </w:rPr>
      </w:pPr>
      <w:r>
        <w:rPr>
          <w:rFonts w:hint="default" w:ascii="Times New Roman" w:hAnsi="Times New Roman" w:eastAsia="宋体" w:cs="Times New Roman"/>
          <w:snapToGrid w:val="0"/>
          <w:color w:val="auto"/>
          <w:sz w:val="28"/>
          <w:szCs w:val="40"/>
          <w:u w:val="none" w:color="auto"/>
        </w:rPr>
        <w:fldChar w:fldCharType="begin"/>
      </w:r>
      <w:r>
        <w:rPr>
          <w:rFonts w:hint="default" w:ascii="Times New Roman" w:hAnsi="Times New Roman" w:eastAsia="宋体" w:cs="Times New Roman"/>
          <w:snapToGrid w:val="0"/>
          <w:sz w:val="28"/>
          <w:szCs w:val="40"/>
        </w:rPr>
        <w:instrText xml:space="preserve"> HYPERLINK \l _Toc13004 </w:instrText>
      </w:r>
      <w:r>
        <w:rPr>
          <w:rFonts w:hint="default" w:ascii="Times New Roman" w:hAnsi="Times New Roman" w:eastAsia="宋体" w:cs="Times New Roman"/>
          <w:snapToGrid w:val="0"/>
          <w:sz w:val="28"/>
          <w:szCs w:val="40"/>
        </w:rPr>
        <w:fldChar w:fldCharType="separate"/>
      </w:r>
      <w:r>
        <w:rPr>
          <w:rFonts w:hint="default" w:ascii="Times New Roman" w:hAnsi="Times New Roman" w:eastAsia="宋体" w:cs="Times New Roman"/>
          <w:bCs/>
          <w:sz w:val="28"/>
          <w:szCs w:val="40"/>
          <w:highlight w:val="none"/>
        </w:rPr>
        <w:t>附图</w:t>
      </w:r>
      <w:r>
        <w:rPr>
          <w:rFonts w:hint="default" w:ascii="Times New Roman" w:hAnsi="Times New Roman" w:eastAsia="宋体" w:cs="Times New Roman"/>
          <w:bCs/>
          <w:sz w:val="28"/>
          <w:szCs w:val="40"/>
          <w:highlight w:val="none"/>
          <w:lang w:val="en-US" w:eastAsia="zh-CN"/>
        </w:rPr>
        <w:t>5-3</w:t>
      </w:r>
      <w:r>
        <w:rPr>
          <w:rFonts w:hint="default" w:ascii="Times New Roman" w:hAnsi="Times New Roman" w:eastAsia="宋体" w:cs="Times New Roman"/>
          <w:bCs/>
          <w:sz w:val="28"/>
          <w:szCs w:val="40"/>
          <w:highlight w:val="none"/>
        </w:rPr>
        <w:t xml:space="preserve">  </w:t>
      </w:r>
      <w:r>
        <w:rPr>
          <w:rFonts w:hint="default" w:ascii="Times New Roman" w:hAnsi="Times New Roman" w:eastAsia="宋体" w:cs="Times New Roman"/>
          <w:bCs/>
          <w:sz w:val="28"/>
          <w:szCs w:val="40"/>
          <w:lang w:val="en-US" w:eastAsia="zh-CN"/>
        </w:rPr>
        <w:t>临港高新产业园区14#厂房</w:t>
      </w:r>
      <w:r>
        <w:rPr>
          <w:rFonts w:hint="default" w:ascii="Times New Roman" w:hAnsi="Times New Roman" w:eastAsia="宋体" w:cs="Times New Roman"/>
          <w:bCs/>
          <w:sz w:val="28"/>
          <w:szCs w:val="40"/>
          <w:highlight w:val="none"/>
        </w:rPr>
        <w:t>平面布局</w:t>
      </w:r>
      <w:r>
        <w:rPr>
          <w:rFonts w:hint="default" w:ascii="Times New Roman" w:hAnsi="Times New Roman" w:eastAsia="宋体" w:cs="Times New Roman"/>
          <w:bCs/>
          <w:sz w:val="28"/>
          <w:szCs w:val="40"/>
          <w:highlight w:val="none"/>
          <w:lang w:val="en-US" w:eastAsia="zh-CN"/>
        </w:rPr>
        <w:t>示意</w:t>
      </w:r>
      <w:r>
        <w:rPr>
          <w:rFonts w:hint="default" w:ascii="Times New Roman" w:hAnsi="Times New Roman" w:eastAsia="宋体" w:cs="Times New Roman"/>
          <w:bCs/>
          <w:sz w:val="28"/>
          <w:szCs w:val="40"/>
          <w:highlight w:val="none"/>
        </w:rPr>
        <w:t>图</w:t>
      </w:r>
      <w:r>
        <w:rPr>
          <w:sz w:val="28"/>
          <w:szCs w:val="36"/>
        </w:rPr>
        <w:tab/>
      </w:r>
      <w:r>
        <w:rPr>
          <w:sz w:val="28"/>
          <w:szCs w:val="36"/>
        </w:rPr>
        <w:fldChar w:fldCharType="begin"/>
      </w:r>
      <w:r>
        <w:rPr>
          <w:sz w:val="28"/>
          <w:szCs w:val="36"/>
        </w:rPr>
        <w:instrText xml:space="preserve"> PAGEREF _Toc13004 \h </w:instrText>
      </w:r>
      <w:r>
        <w:rPr>
          <w:sz w:val="28"/>
          <w:szCs w:val="36"/>
        </w:rPr>
        <w:fldChar w:fldCharType="separate"/>
      </w:r>
      <w:r>
        <w:rPr>
          <w:sz w:val="28"/>
          <w:szCs w:val="36"/>
        </w:rPr>
        <w:t>273</w:t>
      </w:r>
      <w:r>
        <w:rPr>
          <w:sz w:val="28"/>
          <w:szCs w:val="36"/>
        </w:rPr>
        <w:fldChar w:fldCharType="end"/>
      </w:r>
      <w:r>
        <w:rPr>
          <w:rFonts w:hint="default" w:ascii="Times New Roman" w:hAnsi="Times New Roman" w:eastAsia="宋体" w:cs="Times New Roman"/>
          <w:snapToGrid w:val="0"/>
          <w:color w:val="auto"/>
          <w:sz w:val="28"/>
          <w:szCs w:val="40"/>
          <w:u w:val="none" w:color="auto"/>
        </w:rPr>
        <w:fldChar w:fldCharType="end"/>
      </w:r>
    </w:p>
    <w:p w14:paraId="467D9B2A">
      <w:pPr>
        <w:pStyle w:val="23"/>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rPr>
          <w:sz w:val="28"/>
          <w:szCs w:val="36"/>
        </w:rPr>
      </w:pPr>
      <w:r>
        <w:rPr>
          <w:rFonts w:hint="default" w:ascii="Times New Roman" w:hAnsi="Times New Roman" w:eastAsia="宋体" w:cs="Times New Roman"/>
          <w:snapToGrid w:val="0"/>
          <w:color w:val="auto"/>
          <w:sz w:val="28"/>
          <w:szCs w:val="40"/>
          <w:u w:val="none" w:color="auto"/>
        </w:rPr>
        <w:fldChar w:fldCharType="begin"/>
      </w:r>
      <w:r>
        <w:rPr>
          <w:rFonts w:hint="default" w:ascii="Times New Roman" w:hAnsi="Times New Roman" w:eastAsia="宋体" w:cs="Times New Roman"/>
          <w:snapToGrid w:val="0"/>
          <w:sz w:val="28"/>
          <w:szCs w:val="40"/>
        </w:rPr>
        <w:instrText xml:space="preserve"> HYPERLINK \l _Toc7675 </w:instrText>
      </w:r>
      <w:r>
        <w:rPr>
          <w:rFonts w:hint="default" w:ascii="Times New Roman" w:hAnsi="Times New Roman" w:eastAsia="宋体" w:cs="Times New Roman"/>
          <w:snapToGrid w:val="0"/>
          <w:sz w:val="28"/>
          <w:szCs w:val="40"/>
        </w:rPr>
        <w:fldChar w:fldCharType="separate"/>
      </w:r>
      <w:r>
        <w:rPr>
          <w:rFonts w:hint="default" w:ascii="Times New Roman" w:hAnsi="Times New Roman" w:eastAsia="宋体" w:cs="Times New Roman"/>
          <w:bCs/>
          <w:sz w:val="28"/>
          <w:szCs w:val="40"/>
          <w:highlight w:val="none"/>
        </w:rPr>
        <w:t>附图</w:t>
      </w:r>
      <w:r>
        <w:rPr>
          <w:rFonts w:hint="default" w:ascii="Times New Roman" w:hAnsi="Times New Roman" w:eastAsia="宋体" w:cs="Times New Roman"/>
          <w:bCs/>
          <w:sz w:val="28"/>
          <w:szCs w:val="40"/>
          <w:highlight w:val="none"/>
          <w:lang w:val="en-US" w:eastAsia="zh-CN"/>
        </w:rPr>
        <w:t>5-4</w:t>
      </w:r>
      <w:r>
        <w:rPr>
          <w:rFonts w:hint="default" w:ascii="Times New Roman" w:hAnsi="Times New Roman" w:eastAsia="宋体" w:cs="Times New Roman"/>
          <w:bCs/>
          <w:sz w:val="28"/>
          <w:szCs w:val="40"/>
          <w:highlight w:val="none"/>
        </w:rPr>
        <w:t xml:space="preserve">  </w:t>
      </w:r>
      <w:r>
        <w:rPr>
          <w:rFonts w:hint="default" w:ascii="Times New Roman" w:hAnsi="Times New Roman" w:eastAsia="宋体" w:cs="Times New Roman"/>
          <w:bCs/>
          <w:sz w:val="28"/>
          <w:szCs w:val="40"/>
          <w:lang w:val="en-US" w:eastAsia="zh-CN"/>
        </w:rPr>
        <w:t>临港高新产业园区15#厂房</w:t>
      </w:r>
      <w:r>
        <w:rPr>
          <w:rFonts w:hint="default" w:ascii="Times New Roman" w:hAnsi="Times New Roman" w:eastAsia="宋体" w:cs="Times New Roman"/>
          <w:bCs/>
          <w:sz w:val="28"/>
          <w:szCs w:val="40"/>
          <w:highlight w:val="none"/>
        </w:rPr>
        <w:t>平面布局</w:t>
      </w:r>
      <w:r>
        <w:rPr>
          <w:rFonts w:hint="default" w:ascii="Times New Roman" w:hAnsi="Times New Roman" w:eastAsia="宋体" w:cs="Times New Roman"/>
          <w:bCs/>
          <w:sz w:val="28"/>
          <w:szCs w:val="40"/>
          <w:highlight w:val="none"/>
          <w:lang w:val="en-US" w:eastAsia="zh-CN"/>
        </w:rPr>
        <w:t>示意</w:t>
      </w:r>
      <w:r>
        <w:rPr>
          <w:rFonts w:hint="default" w:ascii="Times New Roman" w:hAnsi="Times New Roman" w:eastAsia="宋体" w:cs="Times New Roman"/>
          <w:bCs/>
          <w:sz w:val="28"/>
          <w:szCs w:val="40"/>
          <w:highlight w:val="none"/>
        </w:rPr>
        <w:t>图</w:t>
      </w:r>
      <w:r>
        <w:rPr>
          <w:sz w:val="28"/>
          <w:szCs w:val="36"/>
        </w:rPr>
        <w:tab/>
      </w:r>
      <w:r>
        <w:rPr>
          <w:sz w:val="28"/>
          <w:szCs w:val="36"/>
        </w:rPr>
        <w:fldChar w:fldCharType="begin"/>
      </w:r>
      <w:r>
        <w:rPr>
          <w:sz w:val="28"/>
          <w:szCs w:val="36"/>
        </w:rPr>
        <w:instrText xml:space="preserve"> PAGEREF _Toc7675 \h </w:instrText>
      </w:r>
      <w:r>
        <w:rPr>
          <w:sz w:val="28"/>
          <w:szCs w:val="36"/>
        </w:rPr>
        <w:fldChar w:fldCharType="separate"/>
      </w:r>
      <w:r>
        <w:rPr>
          <w:sz w:val="28"/>
          <w:szCs w:val="36"/>
        </w:rPr>
        <w:t>274</w:t>
      </w:r>
      <w:r>
        <w:rPr>
          <w:sz w:val="28"/>
          <w:szCs w:val="36"/>
        </w:rPr>
        <w:fldChar w:fldCharType="end"/>
      </w:r>
      <w:r>
        <w:rPr>
          <w:rFonts w:hint="default" w:ascii="Times New Roman" w:hAnsi="Times New Roman" w:eastAsia="宋体" w:cs="Times New Roman"/>
          <w:snapToGrid w:val="0"/>
          <w:color w:val="auto"/>
          <w:sz w:val="28"/>
          <w:szCs w:val="40"/>
          <w:u w:val="none" w:color="auto"/>
        </w:rPr>
        <w:fldChar w:fldCharType="end"/>
      </w:r>
    </w:p>
    <w:p w14:paraId="56563DBF">
      <w:pPr>
        <w:pStyle w:val="23"/>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rPr>
          <w:sz w:val="28"/>
          <w:szCs w:val="36"/>
        </w:rPr>
      </w:pPr>
      <w:r>
        <w:rPr>
          <w:rFonts w:hint="default" w:ascii="Times New Roman" w:hAnsi="Times New Roman" w:eastAsia="宋体" w:cs="Times New Roman"/>
          <w:snapToGrid w:val="0"/>
          <w:color w:val="auto"/>
          <w:sz w:val="28"/>
          <w:szCs w:val="40"/>
          <w:u w:val="none" w:color="auto"/>
        </w:rPr>
        <w:fldChar w:fldCharType="begin"/>
      </w:r>
      <w:r>
        <w:rPr>
          <w:rFonts w:hint="default" w:ascii="Times New Roman" w:hAnsi="Times New Roman" w:eastAsia="宋体" w:cs="Times New Roman"/>
          <w:snapToGrid w:val="0"/>
          <w:sz w:val="28"/>
          <w:szCs w:val="40"/>
        </w:rPr>
        <w:instrText xml:space="preserve"> HYPERLINK \l _Toc30623 </w:instrText>
      </w:r>
      <w:r>
        <w:rPr>
          <w:rFonts w:hint="default" w:ascii="Times New Roman" w:hAnsi="Times New Roman" w:eastAsia="宋体" w:cs="Times New Roman"/>
          <w:snapToGrid w:val="0"/>
          <w:sz w:val="28"/>
          <w:szCs w:val="40"/>
        </w:rPr>
        <w:fldChar w:fldCharType="separate"/>
      </w:r>
      <w:r>
        <w:rPr>
          <w:rFonts w:hint="default" w:ascii="Times New Roman" w:hAnsi="Times New Roman" w:eastAsia="宋体" w:cs="Times New Roman"/>
          <w:bCs/>
          <w:sz w:val="28"/>
          <w:szCs w:val="40"/>
          <w:highlight w:val="none"/>
        </w:rPr>
        <w:t>附图</w:t>
      </w:r>
      <w:r>
        <w:rPr>
          <w:rFonts w:hint="default" w:ascii="Times New Roman" w:hAnsi="Times New Roman" w:eastAsia="宋体" w:cs="Times New Roman"/>
          <w:bCs/>
          <w:sz w:val="28"/>
          <w:szCs w:val="40"/>
          <w:highlight w:val="none"/>
          <w:lang w:val="en-US" w:eastAsia="zh-CN"/>
        </w:rPr>
        <w:t>5-5</w:t>
      </w:r>
      <w:r>
        <w:rPr>
          <w:rFonts w:hint="default" w:ascii="Times New Roman" w:hAnsi="Times New Roman" w:eastAsia="宋体" w:cs="Times New Roman"/>
          <w:bCs/>
          <w:sz w:val="28"/>
          <w:szCs w:val="40"/>
          <w:highlight w:val="none"/>
        </w:rPr>
        <w:t xml:space="preserve">  </w:t>
      </w:r>
      <w:r>
        <w:rPr>
          <w:rFonts w:hint="default" w:ascii="Times New Roman" w:hAnsi="Times New Roman" w:eastAsia="宋体" w:cs="Times New Roman"/>
          <w:bCs/>
          <w:sz w:val="28"/>
          <w:szCs w:val="40"/>
          <w:lang w:val="en-US" w:eastAsia="zh-CN"/>
        </w:rPr>
        <w:t>临港高新产业园区21#厂房</w:t>
      </w:r>
      <w:r>
        <w:rPr>
          <w:rFonts w:hint="default" w:ascii="Times New Roman" w:hAnsi="Times New Roman" w:eastAsia="宋体" w:cs="Times New Roman"/>
          <w:bCs/>
          <w:sz w:val="28"/>
          <w:szCs w:val="40"/>
          <w:highlight w:val="none"/>
        </w:rPr>
        <w:t>平面布局</w:t>
      </w:r>
      <w:r>
        <w:rPr>
          <w:rFonts w:hint="default" w:ascii="Times New Roman" w:hAnsi="Times New Roman" w:eastAsia="宋体" w:cs="Times New Roman"/>
          <w:bCs/>
          <w:sz w:val="28"/>
          <w:szCs w:val="40"/>
          <w:highlight w:val="none"/>
          <w:lang w:val="en-US" w:eastAsia="zh-CN"/>
        </w:rPr>
        <w:t>示意</w:t>
      </w:r>
      <w:r>
        <w:rPr>
          <w:rFonts w:hint="default" w:ascii="Times New Roman" w:hAnsi="Times New Roman" w:eastAsia="宋体" w:cs="Times New Roman"/>
          <w:bCs/>
          <w:sz w:val="28"/>
          <w:szCs w:val="40"/>
          <w:highlight w:val="none"/>
        </w:rPr>
        <w:t>图</w:t>
      </w:r>
      <w:r>
        <w:rPr>
          <w:sz w:val="28"/>
          <w:szCs w:val="36"/>
        </w:rPr>
        <w:tab/>
      </w:r>
      <w:r>
        <w:rPr>
          <w:sz w:val="28"/>
          <w:szCs w:val="36"/>
        </w:rPr>
        <w:fldChar w:fldCharType="begin"/>
      </w:r>
      <w:r>
        <w:rPr>
          <w:sz w:val="28"/>
          <w:szCs w:val="36"/>
        </w:rPr>
        <w:instrText xml:space="preserve"> PAGEREF _Toc30623 \h </w:instrText>
      </w:r>
      <w:r>
        <w:rPr>
          <w:sz w:val="28"/>
          <w:szCs w:val="36"/>
        </w:rPr>
        <w:fldChar w:fldCharType="separate"/>
      </w:r>
      <w:r>
        <w:rPr>
          <w:sz w:val="28"/>
          <w:szCs w:val="36"/>
        </w:rPr>
        <w:t>275</w:t>
      </w:r>
      <w:r>
        <w:rPr>
          <w:sz w:val="28"/>
          <w:szCs w:val="36"/>
        </w:rPr>
        <w:fldChar w:fldCharType="end"/>
      </w:r>
      <w:r>
        <w:rPr>
          <w:rFonts w:hint="default" w:ascii="Times New Roman" w:hAnsi="Times New Roman" w:eastAsia="宋体" w:cs="Times New Roman"/>
          <w:snapToGrid w:val="0"/>
          <w:color w:val="auto"/>
          <w:sz w:val="28"/>
          <w:szCs w:val="40"/>
          <w:u w:val="none" w:color="auto"/>
        </w:rPr>
        <w:fldChar w:fldCharType="end"/>
      </w:r>
    </w:p>
    <w:p w14:paraId="594FB68B">
      <w:pPr>
        <w:pStyle w:val="23"/>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rPr>
          <w:sz w:val="28"/>
          <w:szCs w:val="36"/>
        </w:rPr>
      </w:pPr>
      <w:r>
        <w:rPr>
          <w:rFonts w:hint="default" w:ascii="Times New Roman" w:hAnsi="Times New Roman" w:eastAsia="宋体" w:cs="Times New Roman"/>
          <w:snapToGrid w:val="0"/>
          <w:color w:val="auto"/>
          <w:sz w:val="28"/>
          <w:szCs w:val="40"/>
          <w:u w:val="none" w:color="auto"/>
        </w:rPr>
        <w:fldChar w:fldCharType="begin"/>
      </w:r>
      <w:r>
        <w:rPr>
          <w:rFonts w:hint="default" w:ascii="Times New Roman" w:hAnsi="Times New Roman" w:eastAsia="宋体" w:cs="Times New Roman"/>
          <w:snapToGrid w:val="0"/>
          <w:sz w:val="28"/>
          <w:szCs w:val="40"/>
        </w:rPr>
        <w:instrText xml:space="preserve"> HYPERLINK \l _Toc11470 </w:instrText>
      </w:r>
      <w:r>
        <w:rPr>
          <w:rFonts w:hint="default" w:ascii="Times New Roman" w:hAnsi="Times New Roman" w:eastAsia="宋体" w:cs="Times New Roman"/>
          <w:snapToGrid w:val="0"/>
          <w:sz w:val="28"/>
          <w:szCs w:val="40"/>
        </w:rPr>
        <w:fldChar w:fldCharType="separate"/>
      </w:r>
      <w:r>
        <w:rPr>
          <w:rFonts w:hint="default" w:ascii="Times New Roman" w:hAnsi="Times New Roman" w:eastAsia="宋体" w:cs="Times New Roman"/>
          <w:bCs/>
          <w:sz w:val="28"/>
          <w:szCs w:val="40"/>
          <w:highlight w:val="none"/>
        </w:rPr>
        <w:t>附图</w:t>
      </w:r>
      <w:r>
        <w:rPr>
          <w:rFonts w:hint="default" w:ascii="Times New Roman" w:hAnsi="Times New Roman" w:eastAsia="宋体" w:cs="Times New Roman"/>
          <w:bCs/>
          <w:sz w:val="28"/>
          <w:szCs w:val="40"/>
          <w:highlight w:val="none"/>
          <w:lang w:val="en-US" w:eastAsia="zh-CN"/>
        </w:rPr>
        <w:t>5-6</w:t>
      </w:r>
      <w:r>
        <w:rPr>
          <w:rFonts w:hint="default" w:ascii="Times New Roman" w:hAnsi="Times New Roman" w:eastAsia="宋体" w:cs="Times New Roman"/>
          <w:bCs/>
          <w:sz w:val="28"/>
          <w:szCs w:val="40"/>
          <w:highlight w:val="none"/>
        </w:rPr>
        <w:t xml:space="preserve">  </w:t>
      </w:r>
      <w:r>
        <w:rPr>
          <w:rFonts w:hint="default" w:ascii="Times New Roman" w:hAnsi="Times New Roman" w:eastAsia="宋体" w:cs="Times New Roman"/>
          <w:bCs/>
          <w:sz w:val="28"/>
          <w:szCs w:val="40"/>
          <w:lang w:val="en-US" w:eastAsia="zh-CN"/>
        </w:rPr>
        <w:t>临港高新产业园区22#厂房</w:t>
      </w:r>
      <w:r>
        <w:rPr>
          <w:rFonts w:hint="default" w:ascii="Times New Roman" w:hAnsi="Times New Roman" w:eastAsia="宋体" w:cs="Times New Roman"/>
          <w:bCs/>
          <w:sz w:val="28"/>
          <w:szCs w:val="40"/>
          <w:highlight w:val="none"/>
        </w:rPr>
        <w:t>平面布局</w:t>
      </w:r>
      <w:r>
        <w:rPr>
          <w:rFonts w:hint="default" w:ascii="Times New Roman" w:hAnsi="Times New Roman" w:eastAsia="宋体" w:cs="Times New Roman"/>
          <w:bCs/>
          <w:sz w:val="28"/>
          <w:szCs w:val="40"/>
          <w:highlight w:val="none"/>
          <w:lang w:val="en-US" w:eastAsia="zh-CN"/>
        </w:rPr>
        <w:t>示意</w:t>
      </w:r>
      <w:r>
        <w:rPr>
          <w:rFonts w:hint="default" w:ascii="Times New Roman" w:hAnsi="Times New Roman" w:eastAsia="宋体" w:cs="Times New Roman"/>
          <w:bCs/>
          <w:sz w:val="28"/>
          <w:szCs w:val="40"/>
          <w:highlight w:val="none"/>
        </w:rPr>
        <w:t>图</w:t>
      </w:r>
      <w:r>
        <w:rPr>
          <w:sz w:val="28"/>
          <w:szCs w:val="36"/>
        </w:rPr>
        <w:tab/>
      </w:r>
      <w:r>
        <w:rPr>
          <w:sz w:val="28"/>
          <w:szCs w:val="36"/>
        </w:rPr>
        <w:fldChar w:fldCharType="begin"/>
      </w:r>
      <w:r>
        <w:rPr>
          <w:sz w:val="28"/>
          <w:szCs w:val="36"/>
        </w:rPr>
        <w:instrText xml:space="preserve"> PAGEREF _Toc11470 \h </w:instrText>
      </w:r>
      <w:r>
        <w:rPr>
          <w:sz w:val="28"/>
          <w:szCs w:val="36"/>
        </w:rPr>
        <w:fldChar w:fldCharType="separate"/>
      </w:r>
      <w:r>
        <w:rPr>
          <w:sz w:val="28"/>
          <w:szCs w:val="36"/>
        </w:rPr>
        <w:t>276</w:t>
      </w:r>
      <w:r>
        <w:rPr>
          <w:sz w:val="28"/>
          <w:szCs w:val="36"/>
        </w:rPr>
        <w:fldChar w:fldCharType="end"/>
      </w:r>
      <w:r>
        <w:rPr>
          <w:rFonts w:hint="default" w:ascii="Times New Roman" w:hAnsi="Times New Roman" w:eastAsia="宋体" w:cs="Times New Roman"/>
          <w:snapToGrid w:val="0"/>
          <w:color w:val="auto"/>
          <w:sz w:val="28"/>
          <w:szCs w:val="40"/>
          <w:u w:val="none" w:color="auto"/>
        </w:rPr>
        <w:fldChar w:fldCharType="end"/>
      </w:r>
    </w:p>
    <w:p w14:paraId="46456018">
      <w:pPr>
        <w:pStyle w:val="23"/>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rPr>
          <w:sz w:val="28"/>
          <w:szCs w:val="36"/>
        </w:rPr>
      </w:pPr>
      <w:r>
        <w:rPr>
          <w:rFonts w:hint="default" w:ascii="Times New Roman" w:hAnsi="Times New Roman" w:eastAsia="宋体" w:cs="Times New Roman"/>
          <w:snapToGrid w:val="0"/>
          <w:color w:val="auto"/>
          <w:sz w:val="28"/>
          <w:szCs w:val="40"/>
          <w:u w:val="none" w:color="auto"/>
        </w:rPr>
        <w:fldChar w:fldCharType="begin"/>
      </w:r>
      <w:r>
        <w:rPr>
          <w:rFonts w:hint="default" w:ascii="Times New Roman" w:hAnsi="Times New Roman" w:eastAsia="宋体" w:cs="Times New Roman"/>
          <w:snapToGrid w:val="0"/>
          <w:sz w:val="28"/>
          <w:szCs w:val="40"/>
        </w:rPr>
        <w:instrText xml:space="preserve"> HYPERLINK \l _Toc19420 </w:instrText>
      </w:r>
      <w:r>
        <w:rPr>
          <w:rFonts w:hint="default" w:ascii="Times New Roman" w:hAnsi="Times New Roman" w:eastAsia="宋体" w:cs="Times New Roman"/>
          <w:snapToGrid w:val="0"/>
          <w:sz w:val="28"/>
          <w:szCs w:val="40"/>
        </w:rPr>
        <w:fldChar w:fldCharType="separate"/>
      </w:r>
      <w:r>
        <w:rPr>
          <w:rFonts w:hint="default" w:ascii="Times New Roman" w:hAnsi="Times New Roman" w:eastAsia="宋体" w:cs="Times New Roman"/>
          <w:bCs/>
          <w:sz w:val="28"/>
          <w:szCs w:val="40"/>
          <w:highlight w:val="none"/>
        </w:rPr>
        <w:t>附图</w:t>
      </w:r>
      <w:r>
        <w:rPr>
          <w:rFonts w:hint="default" w:ascii="Times New Roman" w:hAnsi="Times New Roman" w:eastAsia="宋体" w:cs="Times New Roman"/>
          <w:bCs/>
          <w:sz w:val="28"/>
          <w:szCs w:val="40"/>
          <w:highlight w:val="none"/>
          <w:lang w:val="en-US" w:eastAsia="zh-CN"/>
        </w:rPr>
        <w:t xml:space="preserve">6 </w:t>
      </w:r>
      <w:r>
        <w:rPr>
          <w:rFonts w:hint="default" w:ascii="Times New Roman" w:hAnsi="Times New Roman" w:eastAsia="宋体" w:cs="Times New Roman"/>
          <w:bCs/>
          <w:sz w:val="28"/>
          <w:szCs w:val="40"/>
          <w:highlight w:val="none"/>
        </w:rPr>
        <w:t xml:space="preserve"> </w:t>
      </w:r>
      <w:r>
        <w:rPr>
          <w:rFonts w:hint="default" w:ascii="Times New Roman" w:hAnsi="Times New Roman" w:eastAsia="宋体" w:cs="Times New Roman"/>
          <w:bCs/>
          <w:sz w:val="28"/>
          <w:szCs w:val="40"/>
          <w:highlight w:val="none"/>
          <w:lang w:val="en-US" w:eastAsia="zh-CN"/>
        </w:rPr>
        <w:t>环境空气引用数据监测布点图</w:t>
      </w:r>
      <w:r>
        <w:rPr>
          <w:sz w:val="28"/>
          <w:szCs w:val="36"/>
        </w:rPr>
        <w:tab/>
      </w:r>
      <w:r>
        <w:rPr>
          <w:sz w:val="28"/>
          <w:szCs w:val="36"/>
        </w:rPr>
        <w:fldChar w:fldCharType="begin"/>
      </w:r>
      <w:r>
        <w:rPr>
          <w:sz w:val="28"/>
          <w:szCs w:val="36"/>
        </w:rPr>
        <w:instrText xml:space="preserve"> PAGEREF _Toc19420 \h </w:instrText>
      </w:r>
      <w:r>
        <w:rPr>
          <w:sz w:val="28"/>
          <w:szCs w:val="36"/>
        </w:rPr>
        <w:fldChar w:fldCharType="separate"/>
      </w:r>
      <w:r>
        <w:rPr>
          <w:sz w:val="28"/>
          <w:szCs w:val="36"/>
        </w:rPr>
        <w:t>277</w:t>
      </w:r>
      <w:r>
        <w:rPr>
          <w:sz w:val="28"/>
          <w:szCs w:val="36"/>
        </w:rPr>
        <w:fldChar w:fldCharType="end"/>
      </w:r>
      <w:r>
        <w:rPr>
          <w:rFonts w:hint="default" w:ascii="Times New Roman" w:hAnsi="Times New Roman" w:eastAsia="宋体" w:cs="Times New Roman"/>
          <w:snapToGrid w:val="0"/>
          <w:color w:val="auto"/>
          <w:sz w:val="28"/>
          <w:szCs w:val="40"/>
          <w:u w:val="none" w:color="auto"/>
        </w:rPr>
        <w:fldChar w:fldCharType="end"/>
      </w:r>
    </w:p>
    <w:p w14:paraId="3BDEE2A4">
      <w:pPr>
        <w:pStyle w:val="23"/>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rPr>
          <w:sz w:val="28"/>
          <w:szCs w:val="36"/>
        </w:rPr>
      </w:pPr>
      <w:r>
        <w:rPr>
          <w:rFonts w:hint="default" w:ascii="Times New Roman" w:hAnsi="Times New Roman" w:eastAsia="宋体" w:cs="Times New Roman"/>
          <w:snapToGrid w:val="0"/>
          <w:color w:val="auto"/>
          <w:sz w:val="28"/>
          <w:szCs w:val="40"/>
          <w:u w:val="none" w:color="auto"/>
        </w:rPr>
        <w:fldChar w:fldCharType="begin"/>
      </w:r>
      <w:r>
        <w:rPr>
          <w:rFonts w:hint="default" w:ascii="Times New Roman" w:hAnsi="Times New Roman" w:eastAsia="宋体" w:cs="Times New Roman"/>
          <w:snapToGrid w:val="0"/>
          <w:sz w:val="28"/>
          <w:szCs w:val="40"/>
        </w:rPr>
        <w:instrText xml:space="preserve"> HYPERLINK \l _Toc25619 </w:instrText>
      </w:r>
      <w:r>
        <w:rPr>
          <w:rFonts w:hint="default" w:ascii="Times New Roman" w:hAnsi="Times New Roman" w:eastAsia="宋体" w:cs="Times New Roman"/>
          <w:snapToGrid w:val="0"/>
          <w:sz w:val="28"/>
          <w:szCs w:val="40"/>
        </w:rPr>
        <w:fldChar w:fldCharType="separate"/>
      </w:r>
      <w:r>
        <w:rPr>
          <w:rFonts w:hint="default" w:ascii="Times New Roman" w:hAnsi="Times New Roman" w:eastAsia="宋体" w:cs="Times New Roman"/>
          <w:bCs/>
          <w:sz w:val="28"/>
          <w:szCs w:val="40"/>
          <w:highlight w:val="none"/>
          <w:lang w:val="en-US" w:eastAsia="zh-CN"/>
        </w:rPr>
        <w:t>附图7  岳阳市城区声环境功能区划图</w:t>
      </w:r>
      <w:r>
        <w:rPr>
          <w:sz w:val="28"/>
          <w:szCs w:val="36"/>
        </w:rPr>
        <w:tab/>
      </w:r>
      <w:r>
        <w:rPr>
          <w:sz w:val="28"/>
          <w:szCs w:val="36"/>
        </w:rPr>
        <w:fldChar w:fldCharType="begin"/>
      </w:r>
      <w:r>
        <w:rPr>
          <w:sz w:val="28"/>
          <w:szCs w:val="36"/>
        </w:rPr>
        <w:instrText xml:space="preserve"> PAGEREF _Toc25619 \h </w:instrText>
      </w:r>
      <w:r>
        <w:rPr>
          <w:sz w:val="28"/>
          <w:szCs w:val="36"/>
        </w:rPr>
        <w:fldChar w:fldCharType="separate"/>
      </w:r>
      <w:r>
        <w:rPr>
          <w:sz w:val="28"/>
          <w:szCs w:val="36"/>
        </w:rPr>
        <w:t>278</w:t>
      </w:r>
      <w:r>
        <w:rPr>
          <w:sz w:val="28"/>
          <w:szCs w:val="36"/>
        </w:rPr>
        <w:fldChar w:fldCharType="end"/>
      </w:r>
      <w:r>
        <w:rPr>
          <w:rFonts w:hint="default" w:ascii="Times New Roman" w:hAnsi="Times New Roman" w:eastAsia="宋体" w:cs="Times New Roman"/>
          <w:snapToGrid w:val="0"/>
          <w:color w:val="auto"/>
          <w:sz w:val="28"/>
          <w:szCs w:val="40"/>
          <w:u w:val="none" w:color="auto"/>
        </w:rPr>
        <w:fldChar w:fldCharType="end"/>
      </w:r>
    </w:p>
    <w:p w14:paraId="10C6C13F">
      <w:pPr>
        <w:pStyle w:val="23"/>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rPr>
          <w:sz w:val="28"/>
          <w:szCs w:val="36"/>
        </w:rPr>
      </w:pPr>
      <w:r>
        <w:rPr>
          <w:rFonts w:hint="default" w:ascii="Times New Roman" w:hAnsi="Times New Roman" w:eastAsia="宋体" w:cs="Times New Roman"/>
          <w:snapToGrid w:val="0"/>
          <w:color w:val="auto"/>
          <w:sz w:val="28"/>
          <w:szCs w:val="40"/>
          <w:u w:val="none" w:color="auto"/>
        </w:rPr>
        <w:fldChar w:fldCharType="begin"/>
      </w:r>
      <w:r>
        <w:rPr>
          <w:rFonts w:hint="default" w:ascii="Times New Roman" w:hAnsi="Times New Roman" w:eastAsia="宋体" w:cs="Times New Roman"/>
          <w:snapToGrid w:val="0"/>
          <w:sz w:val="28"/>
          <w:szCs w:val="40"/>
        </w:rPr>
        <w:instrText xml:space="preserve"> HYPERLINK \l _Toc26557 </w:instrText>
      </w:r>
      <w:r>
        <w:rPr>
          <w:rFonts w:hint="default" w:ascii="Times New Roman" w:hAnsi="Times New Roman" w:eastAsia="宋体" w:cs="Times New Roman"/>
          <w:snapToGrid w:val="0"/>
          <w:sz w:val="28"/>
          <w:szCs w:val="40"/>
        </w:rPr>
        <w:fldChar w:fldCharType="separate"/>
      </w:r>
      <w:r>
        <w:rPr>
          <w:rFonts w:hint="default" w:ascii="Times New Roman" w:hAnsi="Times New Roman" w:eastAsia="宋体" w:cs="Times New Roman"/>
          <w:bCs/>
          <w:snapToGrid w:val="0"/>
          <w:kern w:val="0"/>
          <w:sz w:val="28"/>
          <w:szCs w:val="36"/>
          <w:lang w:val="en-US" w:eastAsia="zh-CN" w:bidi="ar-SA"/>
        </w:rPr>
        <w:t>附图8  环境风险评价范围及敏感点分布</w:t>
      </w:r>
      <w:r>
        <w:rPr>
          <w:sz w:val="28"/>
          <w:szCs w:val="36"/>
        </w:rPr>
        <w:tab/>
      </w:r>
      <w:r>
        <w:rPr>
          <w:sz w:val="28"/>
          <w:szCs w:val="36"/>
        </w:rPr>
        <w:fldChar w:fldCharType="begin"/>
      </w:r>
      <w:r>
        <w:rPr>
          <w:sz w:val="28"/>
          <w:szCs w:val="36"/>
        </w:rPr>
        <w:instrText xml:space="preserve"> PAGEREF _Toc26557 \h </w:instrText>
      </w:r>
      <w:r>
        <w:rPr>
          <w:sz w:val="28"/>
          <w:szCs w:val="36"/>
        </w:rPr>
        <w:fldChar w:fldCharType="separate"/>
      </w:r>
      <w:r>
        <w:rPr>
          <w:sz w:val="28"/>
          <w:szCs w:val="36"/>
        </w:rPr>
        <w:t>279</w:t>
      </w:r>
      <w:r>
        <w:rPr>
          <w:sz w:val="28"/>
          <w:szCs w:val="36"/>
        </w:rPr>
        <w:fldChar w:fldCharType="end"/>
      </w:r>
      <w:r>
        <w:rPr>
          <w:rFonts w:hint="default" w:ascii="Times New Roman" w:hAnsi="Times New Roman" w:eastAsia="宋体" w:cs="Times New Roman"/>
          <w:snapToGrid w:val="0"/>
          <w:color w:val="auto"/>
          <w:sz w:val="28"/>
          <w:szCs w:val="40"/>
          <w:u w:val="none" w:color="auto"/>
        </w:rPr>
        <w:fldChar w:fldCharType="end"/>
      </w:r>
    </w:p>
    <w:p w14:paraId="4D031D46">
      <w:pPr>
        <w:pStyle w:val="23"/>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pPr>
      <w:r>
        <w:rPr>
          <w:rFonts w:hint="default" w:ascii="Times New Roman" w:hAnsi="Times New Roman" w:eastAsia="宋体" w:cs="Times New Roman"/>
          <w:snapToGrid w:val="0"/>
          <w:color w:val="auto"/>
          <w:sz w:val="28"/>
          <w:szCs w:val="40"/>
          <w:u w:val="none" w:color="auto"/>
        </w:rPr>
        <w:fldChar w:fldCharType="begin"/>
      </w:r>
      <w:r>
        <w:rPr>
          <w:rFonts w:hint="default" w:ascii="Times New Roman" w:hAnsi="Times New Roman" w:eastAsia="宋体" w:cs="Times New Roman"/>
          <w:snapToGrid w:val="0"/>
          <w:sz w:val="28"/>
          <w:szCs w:val="40"/>
        </w:rPr>
        <w:instrText xml:space="preserve"> HYPERLINK \l _Toc12931 </w:instrText>
      </w:r>
      <w:r>
        <w:rPr>
          <w:rFonts w:hint="default" w:ascii="Times New Roman" w:hAnsi="Times New Roman" w:eastAsia="宋体" w:cs="Times New Roman"/>
          <w:snapToGrid w:val="0"/>
          <w:sz w:val="28"/>
          <w:szCs w:val="40"/>
        </w:rPr>
        <w:fldChar w:fldCharType="separate"/>
      </w:r>
      <w:r>
        <w:rPr>
          <w:rFonts w:hint="default" w:ascii="Times New Roman" w:hAnsi="Times New Roman" w:eastAsia="宋体" w:cs="Times New Roman"/>
          <w:bCs/>
          <w:sz w:val="28"/>
          <w:szCs w:val="40"/>
          <w:highlight w:val="none"/>
        </w:rPr>
        <w:t>附图</w:t>
      </w:r>
      <w:r>
        <w:rPr>
          <w:rFonts w:hint="default" w:ascii="Times New Roman" w:hAnsi="Times New Roman" w:eastAsia="宋体" w:cs="Times New Roman"/>
          <w:bCs/>
          <w:sz w:val="28"/>
          <w:szCs w:val="40"/>
          <w:highlight w:val="none"/>
          <w:lang w:val="en-US" w:eastAsia="zh-CN"/>
        </w:rPr>
        <w:t xml:space="preserve">9 </w:t>
      </w:r>
      <w:r>
        <w:rPr>
          <w:rFonts w:hint="default" w:ascii="Times New Roman" w:hAnsi="Times New Roman" w:eastAsia="宋体" w:cs="Times New Roman"/>
          <w:bCs/>
          <w:sz w:val="28"/>
          <w:szCs w:val="40"/>
          <w:highlight w:val="none"/>
        </w:rPr>
        <w:t xml:space="preserve"> </w:t>
      </w:r>
      <w:r>
        <w:rPr>
          <w:rFonts w:hint="default" w:ascii="Times New Roman" w:hAnsi="Times New Roman" w:eastAsia="宋体" w:cs="Times New Roman"/>
          <w:bCs/>
          <w:sz w:val="28"/>
          <w:szCs w:val="40"/>
          <w:highlight w:val="none"/>
          <w:lang w:val="en-US" w:eastAsia="zh-CN"/>
        </w:rPr>
        <w:t>现有工程危废暂存库</w:t>
      </w:r>
      <w:r>
        <w:rPr>
          <w:sz w:val="28"/>
          <w:szCs w:val="36"/>
        </w:rPr>
        <w:tab/>
      </w:r>
      <w:r>
        <w:rPr>
          <w:sz w:val="28"/>
          <w:szCs w:val="36"/>
        </w:rPr>
        <w:fldChar w:fldCharType="begin"/>
      </w:r>
      <w:r>
        <w:rPr>
          <w:sz w:val="28"/>
          <w:szCs w:val="36"/>
        </w:rPr>
        <w:instrText xml:space="preserve"> PAGEREF _Toc12931 \h </w:instrText>
      </w:r>
      <w:r>
        <w:rPr>
          <w:sz w:val="28"/>
          <w:szCs w:val="36"/>
        </w:rPr>
        <w:fldChar w:fldCharType="separate"/>
      </w:r>
      <w:r>
        <w:rPr>
          <w:sz w:val="28"/>
          <w:szCs w:val="36"/>
        </w:rPr>
        <w:t>280</w:t>
      </w:r>
      <w:r>
        <w:rPr>
          <w:sz w:val="28"/>
          <w:szCs w:val="36"/>
        </w:rPr>
        <w:fldChar w:fldCharType="end"/>
      </w:r>
      <w:r>
        <w:rPr>
          <w:rFonts w:hint="default" w:ascii="Times New Roman" w:hAnsi="Times New Roman" w:eastAsia="宋体" w:cs="Times New Roman"/>
          <w:snapToGrid w:val="0"/>
          <w:color w:val="auto"/>
          <w:sz w:val="28"/>
          <w:szCs w:val="40"/>
          <w:u w:val="none" w:color="auto"/>
        </w:rPr>
        <w:fldChar w:fldCharType="end"/>
      </w:r>
    </w:p>
    <w:p w14:paraId="1FC3C9F5">
      <w:pPr>
        <w:pStyle w:val="23"/>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snapToGrid w:val="0"/>
          <w:color w:val="auto"/>
          <w:sz w:val="30"/>
          <w:szCs w:val="30"/>
          <w:u w:val="none" w:color="auto"/>
        </w:rPr>
      </w:pPr>
      <w:r>
        <w:rPr>
          <w:rFonts w:hint="default" w:ascii="Times New Roman" w:hAnsi="Times New Roman" w:eastAsia="宋体" w:cs="Times New Roman"/>
          <w:snapToGrid w:val="0"/>
          <w:color w:val="auto"/>
          <w:szCs w:val="28"/>
          <w:u w:val="none" w:color="auto"/>
        </w:rPr>
        <w:fldChar w:fldCharType="end"/>
      </w:r>
    </w:p>
    <w:p w14:paraId="433725EC">
      <w:pPr>
        <w:pStyle w:val="26"/>
        <w:jc w:val="center"/>
        <w:outlineLvl w:val="0"/>
        <w:rPr>
          <w:rFonts w:hint="default" w:ascii="Times New Roman" w:hAnsi="Times New Roman" w:eastAsia="宋体" w:cs="Times New Roman"/>
          <w:snapToGrid w:val="0"/>
          <w:color w:val="auto"/>
          <w:sz w:val="30"/>
          <w:szCs w:val="30"/>
          <w:u w:val="none" w:color="auto"/>
        </w:rPr>
        <w:sectPr>
          <w:footerReference r:id="rId5" w:type="default"/>
          <w:pgSz w:w="11906" w:h="16838"/>
          <w:pgMar w:top="1701" w:right="1531" w:bottom="1701" w:left="1531" w:header="851" w:footer="1077" w:gutter="0"/>
          <w:pgBorders>
            <w:top w:val="none" w:sz="0" w:space="0"/>
            <w:left w:val="none" w:sz="0" w:space="0"/>
            <w:bottom w:val="none" w:sz="0" w:space="0"/>
            <w:right w:val="none" w:sz="0" w:space="0"/>
          </w:pgBorders>
          <w:pgNumType w:start="1"/>
          <w:cols w:space="720" w:num="1"/>
          <w:docGrid w:linePitch="312" w:charSpace="0"/>
        </w:sectPr>
      </w:pPr>
    </w:p>
    <w:p w14:paraId="43EC22ED">
      <w:pPr>
        <w:pStyle w:val="26"/>
        <w:jc w:val="center"/>
        <w:outlineLvl w:val="0"/>
        <w:rPr>
          <w:rFonts w:hint="default" w:ascii="Times New Roman" w:hAnsi="Times New Roman" w:eastAsia="宋体" w:cs="Times New Roman"/>
          <w:b/>
          <w:bCs/>
          <w:snapToGrid w:val="0"/>
          <w:color w:val="auto"/>
          <w:sz w:val="30"/>
          <w:szCs w:val="30"/>
          <w:u w:val="none" w:color="auto"/>
        </w:rPr>
      </w:pPr>
      <w:bookmarkStart w:id="8" w:name="_Toc10636"/>
      <w:r>
        <w:rPr>
          <w:rFonts w:hint="default" w:ascii="Times New Roman" w:hAnsi="Times New Roman" w:eastAsia="宋体" w:cs="Times New Roman"/>
          <w:b/>
          <w:bCs/>
          <w:snapToGrid w:val="0"/>
          <w:color w:val="auto"/>
          <w:sz w:val="30"/>
          <w:szCs w:val="30"/>
          <w:u w:val="none" w:color="auto"/>
        </w:rPr>
        <w:t>一、建设项目基本情况</w:t>
      </w:r>
      <w:bookmarkEnd w:id="8"/>
    </w:p>
    <w:tbl>
      <w:tblPr>
        <w:tblStyle w:val="31"/>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1950"/>
        <w:gridCol w:w="2069"/>
        <w:gridCol w:w="2061"/>
        <w:gridCol w:w="2790"/>
      </w:tblGrid>
      <w:tr w14:paraId="743185B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950" w:type="dxa"/>
            <w:noWrap w:val="0"/>
            <w:tcMar>
              <w:top w:w="16" w:type="dxa"/>
              <w:left w:w="16" w:type="dxa"/>
              <w:right w:w="16" w:type="dxa"/>
            </w:tcMar>
            <w:vAlign w:val="center"/>
          </w:tcPr>
          <w:p w14:paraId="53EF6EC5">
            <w:pPr>
              <w:adjustRightInd w:val="0"/>
              <w:snapToGrid w:val="0"/>
              <w:jc w:val="center"/>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建设项目名称</w:t>
            </w:r>
          </w:p>
        </w:tc>
        <w:tc>
          <w:tcPr>
            <w:tcW w:w="6920" w:type="dxa"/>
            <w:gridSpan w:val="3"/>
            <w:noWrap w:val="0"/>
            <w:vAlign w:val="center"/>
          </w:tcPr>
          <w:p w14:paraId="76845BA7">
            <w:pPr>
              <w:adjustRightInd w:val="0"/>
              <w:snapToGrid w:val="0"/>
              <w:jc w:val="center"/>
              <w:rPr>
                <w:rFonts w:hint="default" w:ascii="Times New Roman" w:hAnsi="Times New Roman" w:eastAsia="宋体" w:cs="Times New Roman"/>
                <w:color w:val="auto"/>
                <w:sz w:val="24"/>
                <w:szCs w:val="24"/>
                <w:u w:val="none" w:color="auto"/>
                <w:lang w:eastAsia="zh-CN"/>
              </w:rPr>
            </w:pPr>
            <w:r>
              <w:rPr>
                <w:rFonts w:hint="default" w:ascii="Times New Roman" w:hAnsi="Times New Roman" w:eastAsia="宋体" w:cs="Times New Roman"/>
                <w:color w:val="auto"/>
                <w:sz w:val="24"/>
                <w:szCs w:val="24"/>
                <w:u w:val="none" w:color="auto"/>
                <w:lang w:val="en-US" w:eastAsia="zh-CN"/>
              </w:rPr>
              <w:t>中创新能源汽车用压铸动力外壳项目</w:t>
            </w:r>
          </w:p>
        </w:tc>
      </w:tr>
      <w:tr w14:paraId="42E13E8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950" w:type="dxa"/>
            <w:noWrap w:val="0"/>
            <w:tcMar>
              <w:top w:w="16" w:type="dxa"/>
              <w:left w:w="16" w:type="dxa"/>
              <w:right w:w="16" w:type="dxa"/>
            </w:tcMar>
            <w:vAlign w:val="center"/>
          </w:tcPr>
          <w:p w14:paraId="2DCA3B0E">
            <w:pPr>
              <w:adjustRightInd w:val="0"/>
              <w:snapToGrid w:val="0"/>
              <w:jc w:val="center"/>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项目代码</w:t>
            </w:r>
          </w:p>
        </w:tc>
        <w:tc>
          <w:tcPr>
            <w:tcW w:w="6920" w:type="dxa"/>
            <w:gridSpan w:val="3"/>
            <w:noWrap w:val="0"/>
            <w:vAlign w:val="center"/>
          </w:tcPr>
          <w:p w14:paraId="6A069BAA">
            <w:pPr>
              <w:adjustRightInd w:val="0"/>
              <w:snapToGrid w:val="0"/>
              <w:jc w:val="center"/>
              <w:rPr>
                <w:rFonts w:hint="default" w:ascii="Times New Roman" w:hAnsi="Times New Roman" w:eastAsia="宋体" w:cs="Times New Roman"/>
                <w:color w:val="auto"/>
                <w:sz w:val="24"/>
                <w:szCs w:val="24"/>
                <w:u w:val="none" w:color="auto"/>
                <w:lang w:val="en-US" w:eastAsia="zh-CN"/>
              </w:rPr>
            </w:pPr>
            <w:r>
              <w:rPr>
                <w:rFonts w:hint="default" w:ascii="Times New Roman" w:hAnsi="Times New Roman" w:eastAsia="宋体" w:cs="Times New Roman"/>
                <w:color w:val="auto"/>
                <w:sz w:val="24"/>
                <w:szCs w:val="24"/>
                <w:u w:val="none" w:color="auto"/>
                <w:lang w:val="en-US" w:eastAsia="zh-CN"/>
              </w:rPr>
              <w:t>2503-430600-04-05-183001</w:t>
            </w:r>
          </w:p>
        </w:tc>
      </w:tr>
      <w:tr w14:paraId="62B268E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950" w:type="dxa"/>
            <w:noWrap w:val="0"/>
            <w:tcMar>
              <w:top w:w="16" w:type="dxa"/>
              <w:left w:w="16" w:type="dxa"/>
              <w:right w:w="16" w:type="dxa"/>
            </w:tcMar>
            <w:vAlign w:val="center"/>
          </w:tcPr>
          <w:p w14:paraId="563CF7AB">
            <w:pPr>
              <w:adjustRightInd w:val="0"/>
              <w:snapToGrid w:val="0"/>
              <w:jc w:val="center"/>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建设单位联系人</w:t>
            </w:r>
          </w:p>
        </w:tc>
        <w:tc>
          <w:tcPr>
            <w:tcW w:w="2069" w:type="dxa"/>
            <w:noWrap w:val="0"/>
            <w:vAlign w:val="center"/>
          </w:tcPr>
          <w:p w14:paraId="38F76DD9">
            <w:pPr>
              <w:adjustRightInd w:val="0"/>
              <w:snapToGrid w:val="0"/>
              <w:jc w:val="center"/>
              <w:rPr>
                <w:rFonts w:hint="default" w:ascii="Times New Roman" w:hAnsi="Times New Roman" w:eastAsia="宋体" w:cs="Times New Roman"/>
                <w:color w:val="auto"/>
                <w:sz w:val="24"/>
                <w:szCs w:val="24"/>
                <w:u w:val="none" w:color="auto"/>
                <w:lang w:val="en-US" w:eastAsia="zh-CN"/>
              </w:rPr>
            </w:pPr>
            <w:r>
              <w:rPr>
                <w:rFonts w:hint="default" w:ascii="Times New Roman" w:hAnsi="Times New Roman" w:eastAsia="宋体" w:cs="Times New Roman"/>
                <w:color w:val="auto"/>
                <w:sz w:val="24"/>
                <w:szCs w:val="24"/>
                <w:u w:val="none" w:color="auto"/>
                <w:lang w:val="en-US" w:eastAsia="zh-CN"/>
              </w:rPr>
              <w:t>龙村</w:t>
            </w:r>
          </w:p>
        </w:tc>
        <w:tc>
          <w:tcPr>
            <w:tcW w:w="2061" w:type="dxa"/>
            <w:noWrap w:val="0"/>
            <w:vAlign w:val="center"/>
          </w:tcPr>
          <w:p w14:paraId="2DA1F177">
            <w:pPr>
              <w:adjustRightInd w:val="0"/>
              <w:snapToGrid w:val="0"/>
              <w:jc w:val="center"/>
              <w:rPr>
                <w:rFonts w:hint="default" w:ascii="Times New Roman" w:hAnsi="Times New Roman" w:eastAsia="宋体" w:cs="Times New Roman"/>
                <w:color w:val="auto"/>
                <w:sz w:val="24"/>
                <w:szCs w:val="24"/>
                <w:u w:val="none" w:color="auto"/>
                <w:lang w:val="en-US" w:eastAsia="zh-CN"/>
              </w:rPr>
            </w:pPr>
            <w:r>
              <w:rPr>
                <w:rFonts w:hint="default" w:ascii="Times New Roman" w:hAnsi="Times New Roman" w:eastAsia="宋体" w:cs="Times New Roman"/>
                <w:color w:val="auto"/>
                <w:sz w:val="24"/>
                <w:szCs w:val="24"/>
                <w:u w:val="none" w:color="auto"/>
              </w:rPr>
              <w:t>联系方式</w:t>
            </w:r>
          </w:p>
        </w:tc>
        <w:tc>
          <w:tcPr>
            <w:tcW w:w="2790" w:type="dxa"/>
            <w:noWrap w:val="0"/>
            <w:vAlign w:val="center"/>
          </w:tcPr>
          <w:p w14:paraId="0B3CBB9F">
            <w:pPr>
              <w:adjustRightInd w:val="0"/>
              <w:snapToGrid w:val="0"/>
              <w:jc w:val="center"/>
              <w:rPr>
                <w:rFonts w:hint="default" w:ascii="Times New Roman" w:hAnsi="Times New Roman" w:eastAsia="宋体" w:cs="Times New Roman"/>
                <w:color w:val="auto"/>
                <w:sz w:val="24"/>
                <w:szCs w:val="24"/>
                <w:u w:val="none" w:color="auto"/>
                <w:lang w:val="en-US" w:eastAsia="zh-CN"/>
              </w:rPr>
            </w:pPr>
            <w:r>
              <w:rPr>
                <w:rFonts w:hint="default" w:ascii="Times New Roman" w:hAnsi="Times New Roman" w:eastAsia="宋体" w:cs="Times New Roman"/>
                <w:color w:val="auto"/>
                <w:sz w:val="24"/>
                <w:szCs w:val="24"/>
                <w:u w:val="none" w:color="auto"/>
                <w:lang w:val="en-US" w:eastAsia="zh-CN"/>
              </w:rPr>
              <w:t>13873117086</w:t>
            </w:r>
          </w:p>
        </w:tc>
      </w:tr>
      <w:tr w14:paraId="0BB6764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36" w:hRule="atLeast"/>
          <w:jc w:val="center"/>
        </w:trPr>
        <w:tc>
          <w:tcPr>
            <w:tcW w:w="1950" w:type="dxa"/>
            <w:noWrap w:val="0"/>
            <w:tcMar>
              <w:top w:w="16" w:type="dxa"/>
              <w:left w:w="16" w:type="dxa"/>
              <w:right w:w="16" w:type="dxa"/>
            </w:tcMar>
            <w:vAlign w:val="center"/>
          </w:tcPr>
          <w:p w14:paraId="04388942">
            <w:pPr>
              <w:adjustRightInd w:val="0"/>
              <w:snapToGrid w:val="0"/>
              <w:jc w:val="center"/>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建设地点</w:t>
            </w:r>
          </w:p>
        </w:tc>
        <w:tc>
          <w:tcPr>
            <w:tcW w:w="6920" w:type="dxa"/>
            <w:gridSpan w:val="3"/>
            <w:noWrap w:val="0"/>
            <w:vAlign w:val="center"/>
          </w:tcPr>
          <w:p w14:paraId="645A1358">
            <w:pPr>
              <w:adjustRightInd w:val="0"/>
              <w:snapToGrid w:val="0"/>
              <w:jc w:val="center"/>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highlight w:val="none"/>
                <w:u w:val="none" w:color="auto"/>
                <w:lang w:val="en-US" w:eastAsia="zh-CN"/>
              </w:rPr>
              <w:t>湖南</w:t>
            </w:r>
            <w:r>
              <w:rPr>
                <w:rFonts w:hint="default" w:ascii="Times New Roman" w:hAnsi="Times New Roman" w:eastAsia="宋体" w:cs="Times New Roman"/>
                <w:color w:val="auto"/>
                <w:sz w:val="24"/>
                <w:szCs w:val="24"/>
                <w:highlight w:val="none"/>
                <w:u w:val="none" w:color="auto"/>
              </w:rPr>
              <w:t>省（自治区）</w:t>
            </w:r>
            <w:r>
              <w:rPr>
                <w:rFonts w:hint="default" w:ascii="Times New Roman" w:hAnsi="Times New Roman" w:eastAsia="宋体" w:cs="Times New Roman"/>
                <w:color w:val="auto"/>
                <w:sz w:val="24"/>
                <w:szCs w:val="24"/>
                <w:highlight w:val="none"/>
                <w:u w:val="none" w:color="auto"/>
                <w:lang w:val="en-US" w:eastAsia="zh-CN"/>
              </w:rPr>
              <w:t>岳阳</w:t>
            </w:r>
            <w:r>
              <w:rPr>
                <w:rFonts w:hint="default" w:ascii="Times New Roman" w:hAnsi="Times New Roman" w:eastAsia="宋体" w:cs="Times New Roman"/>
                <w:color w:val="auto"/>
                <w:sz w:val="24"/>
                <w:szCs w:val="24"/>
                <w:highlight w:val="none"/>
                <w:u w:val="none" w:color="auto"/>
              </w:rPr>
              <w:t>市</w:t>
            </w:r>
            <w:r>
              <w:rPr>
                <w:rFonts w:hint="default" w:ascii="Times New Roman" w:hAnsi="Times New Roman" w:eastAsia="宋体" w:cs="Times New Roman"/>
                <w:color w:val="auto"/>
                <w:sz w:val="24"/>
                <w:szCs w:val="24"/>
                <w:highlight w:val="none"/>
                <w:u w:val="none" w:color="auto"/>
                <w:lang w:val="en-US" w:eastAsia="zh-CN"/>
              </w:rPr>
              <w:t>云溪</w:t>
            </w:r>
            <w:r>
              <w:rPr>
                <w:rFonts w:hint="default" w:ascii="Times New Roman" w:hAnsi="Times New Roman" w:eastAsia="宋体" w:cs="Times New Roman"/>
                <w:color w:val="auto"/>
                <w:sz w:val="24"/>
                <w:szCs w:val="24"/>
                <w:highlight w:val="none"/>
                <w:u w:val="none" w:color="auto"/>
              </w:rPr>
              <w:t>（区）/乡（街道）</w:t>
            </w:r>
            <w:r>
              <w:rPr>
                <w:rFonts w:hint="default" w:ascii="Times New Roman" w:hAnsi="Times New Roman" w:eastAsia="宋体" w:cs="Times New Roman"/>
                <w:color w:val="auto"/>
                <w:sz w:val="24"/>
                <w:szCs w:val="24"/>
                <w:highlight w:val="none"/>
                <w:u w:val="none" w:color="auto"/>
                <w:lang w:val="en-US" w:eastAsia="zh-CN"/>
              </w:rPr>
              <w:t>湖南中创空天新材料有限公司现有厂区及</w:t>
            </w:r>
            <w:r>
              <w:rPr>
                <w:rFonts w:hint="default" w:ascii="Times New Roman" w:hAnsi="Times New Roman" w:eastAsia="宋体" w:cs="Times New Roman"/>
                <w:color w:val="auto"/>
                <w:sz w:val="24"/>
                <w:szCs w:val="24"/>
                <w:highlight w:val="none"/>
                <w:u w:val="none" w:color="auto"/>
              </w:rPr>
              <w:t>湖南城陵矶临港高新产业园</w:t>
            </w:r>
            <w:r>
              <w:rPr>
                <w:rFonts w:hint="default" w:ascii="Times New Roman" w:hAnsi="Times New Roman" w:eastAsia="宋体" w:cs="Times New Roman"/>
                <w:color w:val="auto"/>
                <w:sz w:val="24"/>
                <w:szCs w:val="24"/>
                <w:highlight w:val="none"/>
                <w:u w:val="none" w:color="auto"/>
                <w:lang w:val="en-US" w:eastAsia="zh-CN"/>
              </w:rPr>
              <w:t>14#栋、15#栋、21#栋、22#栋</w:t>
            </w:r>
          </w:p>
        </w:tc>
      </w:tr>
      <w:tr w14:paraId="57838D8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950" w:type="dxa"/>
            <w:noWrap w:val="0"/>
            <w:tcMar>
              <w:top w:w="16" w:type="dxa"/>
              <w:left w:w="16" w:type="dxa"/>
              <w:right w:w="16" w:type="dxa"/>
            </w:tcMar>
            <w:vAlign w:val="center"/>
          </w:tcPr>
          <w:p w14:paraId="37BA632A">
            <w:pPr>
              <w:adjustRightInd w:val="0"/>
              <w:snapToGrid w:val="0"/>
              <w:jc w:val="center"/>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地理坐标</w:t>
            </w:r>
          </w:p>
        </w:tc>
        <w:tc>
          <w:tcPr>
            <w:tcW w:w="6920" w:type="dxa"/>
            <w:gridSpan w:val="3"/>
            <w:noWrap w:val="0"/>
            <w:vAlign w:val="center"/>
          </w:tcPr>
          <w:p w14:paraId="64266FA8">
            <w:pPr>
              <w:adjustRightInd w:val="0"/>
              <w:snapToGrid w:val="0"/>
              <w:jc w:val="center"/>
              <w:rPr>
                <w:rFonts w:hint="default" w:ascii="Times New Roman" w:hAnsi="Times New Roman" w:eastAsia="宋体" w:cs="Times New Roman"/>
                <w:color w:val="auto"/>
                <w:sz w:val="24"/>
                <w:szCs w:val="24"/>
                <w:highlight w:val="none"/>
                <w:u w:val="none" w:color="auto"/>
                <w:lang w:val="en-US" w:eastAsia="zh-CN"/>
              </w:rPr>
            </w:pPr>
            <w:r>
              <w:rPr>
                <w:rFonts w:hint="default" w:ascii="Times New Roman" w:hAnsi="Times New Roman" w:eastAsia="宋体" w:cs="Times New Roman"/>
                <w:color w:val="auto"/>
                <w:sz w:val="24"/>
                <w:szCs w:val="24"/>
                <w:highlight w:val="none"/>
                <w:u w:val="none" w:color="auto"/>
                <w:lang w:val="en-US" w:eastAsia="zh-CN"/>
              </w:rPr>
              <w:t>湖南中创空天新材料有限公司现有厂区（113.204531,29.483848）</w:t>
            </w:r>
          </w:p>
          <w:p w14:paraId="5E7668D0">
            <w:pPr>
              <w:adjustRightInd w:val="0"/>
              <w:snapToGrid w:val="0"/>
              <w:jc w:val="center"/>
              <w:rPr>
                <w:rFonts w:hint="default" w:ascii="Times New Roman" w:hAnsi="Times New Roman" w:eastAsia="宋体" w:cs="Times New Roman"/>
                <w:color w:val="auto"/>
                <w:sz w:val="24"/>
                <w:szCs w:val="24"/>
                <w:highlight w:val="none"/>
                <w:u w:val="none" w:color="auto"/>
                <w:lang w:val="en-US" w:eastAsia="zh-CN"/>
              </w:rPr>
            </w:pPr>
            <w:r>
              <w:rPr>
                <w:rFonts w:hint="default" w:ascii="Times New Roman" w:hAnsi="Times New Roman" w:eastAsia="宋体" w:cs="Times New Roman"/>
                <w:color w:val="auto"/>
                <w:sz w:val="24"/>
                <w:szCs w:val="24"/>
                <w:highlight w:val="none"/>
                <w:u w:val="none" w:color="auto"/>
              </w:rPr>
              <w:t>湖南城陵矶临港高新产业园</w:t>
            </w:r>
            <w:r>
              <w:rPr>
                <w:rFonts w:hint="default" w:ascii="Times New Roman" w:hAnsi="Times New Roman" w:eastAsia="宋体" w:cs="Times New Roman"/>
                <w:color w:val="auto"/>
                <w:sz w:val="24"/>
                <w:szCs w:val="24"/>
                <w:highlight w:val="none"/>
                <w:u w:val="none" w:color="auto"/>
                <w:lang w:eastAsia="zh-CN"/>
              </w:rPr>
              <w:t>（113.200529,29.46665</w:t>
            </w:r>
            <w:r>
              <w:rPr>
                <w:rFonts w:hint="default" w:ascii="Times New Roman" w:hAnsi="Times New Roman" w:eastAsia="宋体" w:cs="Times New Roman"/>
                <w:color w:val="auto"/>
                <w:sz w:val="24"/>
                <w:szCs w:val="24"/>
                <w:highlight w:val="none"/>
                <w:u w:val="none" w:color="auto"/>
                <w:lang w:val="en-US" w:eastAsia="zh-CN"/>
              </w:rPr>
              <w:t>1</w:t>
            </w:r>
            <w:r>
              <w:rPr>
                <w:rFonts w:hint="default" w:ascii="Times New Roman" w:hAnsi="Times New Roman" w:eastAsia="宋体" w:cs="Times New Roman"/>
                <w:color w:val="auto"/>
                <w:sz w:val="24"/>
                <w:szCs w:val="24"/>
                <w:highlight w:val="none"/>
                <w:u w:val="none" w:color="auto"/>
                <w:lang w:eastAsia="zh-CN"/>
              </w:rPr>
              <w:t>）</w:t>
            </w:r>
          </w:p>
        </w:tc>
      </w:tr>
      <w:tr w14:paraId="2B040ED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1950" w:type="dxa"/>
            <w:noWrap w:val="0"/>
            <w:tcMar>
              <w:top w:w="16" w:type="dxa"/>
              <w:left w:w="16" w:type="dxa"/>
              <w:right w:w="16" w:type="dxa"/>
            </w:tcMar>
            <w:vAlign w:val="center"/>
          </w:tcPr>
          <w:p w14:paraId="6178AD2D">
            <w:pPr>
              <w:adjustRightInd w:val="0"/>
              <w:snapToGrid w:val="0"/>
              <w:jc w:val="center"/>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国民经济</w:t>
            </w:r>
          </w:p>
          <w:p w14:paraId="0E602683">
            <w:pPr>
              <w:adjustRightInd w:val="0"/>
              <w:snapToGrid w:val="0"/>
              <w:jc w:val="center"/>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行业类别</w:t>
            </w:r>
          </w:p>
        </w:tc>
        <w:tc>
          <w:tcPr>
            <w:tcW w:w="2069" w:type="dxa"/>
            <w:noWrap w:val="0"/>
            <w:vAlign w:val="center"/>
          </w:tcPr>
          <w:p w14:paraId="0093EE9E">
            <w:pPr>
              <w:adjustRightInd w:val="0"/>
              <w:snapToGrid w:val="0"/>
              <w:jc w:val="center"/>
              <w:rPr>
                <w:rFonts w:hint="default" w:ascii="Times New Roman" w:hAnsi="Times New Roman" w:eastAsia="宋体" w:cs="Times New Roman"/>
                <w:color w:val="auto"/>
                <w:sz w:val="24"/>
                <w:szCs w:val="24"/>
                <w:highlight w:val="none"/>
                <w:u w:val="none" w:color="auto"/>
                <w:lang w:val="en-US" w:eastAsia="zh-CN"/>
              </w:rPr>
            </w:pPr>
            <w:r>
              <w:rPr>
                <w:rFonts w:hint="default" w:ascii="Times New Roman" w:hAnsi="Times New Roman" w:eastAsia="宋体" w:cs="Times New Roman"/>
                <w:color w:val="auto"/>
                <w:sz w:val="24"/>
                <w:szCs w:val="24"/>
                <w:highlight w:val="none"/>
                <w:u w:val="none" w:color="auto"/>
                <w:lang w:val="en-US" w:eastAsia="zh-CN"/>
              </w:rPr>
              <w:t>C3670  汽车零部件及配件制造</w:t>
            </w:r>
          </w:p>
          <w:p w14:paraId="358BEEC5">
            <w:pPr>
              <w:adjustRightInd w:val="0"/>
              <w:snapToGrid w:val="0"/>
              <w:jc w:val="center"/>
              <w:rPr>
                <w:rFonts w:hint="default" w:ascii="Times New Roman" w:hAnsi="Times New Roman" w:eastAsia="宋体" w:cs="Times New Roman"/>
                <w:color w:val="auto"/>
                <w:sz w:val="24"/>
                <w:szCs w:val="24"/>
                <w:highlight w:val="none"/>
                <w:u w:val="none" w:color="auto"/>
                <w:lang w:val="en-US" w:eastAsia="zh-CN"/>
              </w:rPr>
            </w:pPr>
            <w:r>
              <w:rPr>
                <w:rFonts w:hint="default" w:ascii="Times New Roman" w:hAnsi="Times New Roman" w:eastAsia="宋体" w:cs="Times New Roman"/>
                <w:color w:val="auto"/>
                <w:sz w:val="24"/>
                <w:szCs w:val="24"/>
                <w:highlight w:val="none"/>
                <w:u w:val="none" w:color="auto"/>
                <w:lang w:val="en-US" w:eastAsia="zh-CN"/>
              </w:rPr>
              <w:t>C3240  有色金属合金制造</w:t>
            </w:r>
          </w:p>
          <w:p w14:paraId="6E3E10EC">
            <w:pPr>
              <w:adjustRightInd w:val="0"/>
              <w:snapToGrid w:val="0"/>
              <w:jc w:val="center"/>
              <w:rPr>
                <w:rFonts w:hint="default" w:ascii="Times New Roman" w:hAnsi="Times New Roman" w:eastAsia="宋体" w:cs="Times New Roman"/>
                <w:color w:val="auto"/>
                <w:sz w:val="24"/>
                <w:szCs w:val="24"/>
                <w:highlight w:val="none"/>
                <w:u w:val="none" w:color="auto"/>
                <w:lang w:val="en-US" w:eastAsia="zh-CN"/>
              </w:rPr>
            </w:pPr>
            <w:r>
              <w:rPr>
                <w:rFonts w:hint="default" w:ascii="Times New Roman" w:hAnsi="Times New Roman" w:eastAsia="宋体" w:cs="Times New Roman"/>
                <w:color w:val="auto"/>
                <w:sz w:val="24"/>
                <w:szCs w:val="24"/>
                <w:highlight w:val="none"/>
                <w:u w:val="none" w:color="auto"/>
                <w:lang w:val="en-US" w:eastAsia="zh-CN"/>
              </w:rPr>
              <w:t>C3392  有色金属铸造</w:t>
            </w:r>
          </w:p>
        </w:tc>
        <w:tc>
          <w:tcPr>
            <w:tcW w:w="2061" w:type="dxa"/>
            <w:noWrap w:val="0"/>
            <w:vAlign w:val="center"/>
          </w:tcPr>
          <w:p w14:paraId="62FAC020">
            <w:pPr>
              <w:adjustRightInd w:val="0"/>
              <w:snapToGrid w:val="0"/>
              <w:jc w:val="center"/>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建设项目</w:t>
            </w:r>
          </w:p>
          <w:p w14:paraId="50318503">
            <w:pPr>
              <w:adjustRightInd w:val="0"/>
              <w:snapToGrid w:val="0"/>
              <w:jc w:val="center"/>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行业类别</w:t>
            </w:r>
          </w:p>
        </w:tc>
        <w:tc>
          <w:tcPr>
            <w:tcW w:w="2790" w:type="dxa"/>
            <w:noWrap w:val="0"/>
            <w:vAlign w:val="center"/>
          </w:tcPr>
          <w:p w14:paraId="62AC0E1E">
            <w:pPr>
              <w:keepNext w:val="0"/>
              <w:keepLines w:val="0"/>
              <w:pageBreakBefore w:val="0"/>
              <w:widowControl w:val="0"/>
              <w:kinsoku/>
              <w:wordWrap/>
              <w:overflowPunct/>
              <w:topLinePunct/>
              <w:autoSpaceDE/>
              <w:autoSpaceDN/>
              <w:bidi w:val="0"/>
              <w:adjustRightInd/>
              <w:snapToGrid/>
              <w:jc w:val="center"/>
              <w:textAlignment w:val="auto"/>
              <w:rPr>
                <w:rFonts w:hint="default" w:ascii="Times New Roman" w:hAnsi="Times New Roman" w:eastAsia="宋体" w:cs="Times New Roman"/>
                <w:color w:val="auto"/>
                <w:sz w:val="24"/>
                <w:szCs w:val="24"/>
                <w:highlight w:val="none"/>
                <w:u w:val="none" w:color="auto"/>
                <w:lang w:val="en-US" w:eastAsia="zh-CN"/>
              </w:rPr>
            </w:pPr>
            <w:r>
              <w:rPr>
                <w:rFonts w:hint="default" w:ascii="Times New Roman" w:hAnsi="Times New Roman" w:eastAsia="宋体" w:cs="Times New Roman"/>
                <w:color w:val="auto"/>
                <w:sz w:val="24"/>
                <w:szCs w:val="24"/>
                <w:highlight w:val="none"/>
                <w:u w:val="none" w:color="auto"/>
                <w:lang w:val="en-US" w:eastAsia="zh-CN"/>
              </w:rPr>
              <w:t>三十三、汽车制造业 36中“71  汽车零部件及配件制造 367”的“其他（年用非溶剂型低VOCs含量涂料10吨以下的除外）”；</w:t>
            </w:r>
          </w:p>
          <w:p w14:paraId="644C8854">
            <w:pPr>
              <w:keepNext w:val="0"/>
              <w:keepLines w:val="0"/>
              <w:pageBreakBefore w:val="0"/>
              <w:widowControl w:val="0"/>
              <w:kinsoku/>
              <w:wordWrap/>
              <w:overflowPunct/>
              <w:topLinePunct/>
              <w:autoSpaceDE/>
              <w:autoSpaceDN/>
              <w:bidi w:val="0"/>
              <w:adjustRightInd/>
              <w:snapToGrid/>
              <w:jc w:val="center"/>
              <w:textAlignment w:val="auto"/>
              <w:rPr>
                <w:rFonts w:hint="default" w:ascii="Times New Roman" w:hAnsi="Times New Roman" w:eastAsia="宋体" w:cs="Times New Roman"/>
                <w:color w:val="auto"/>
                <w:sz w:val="24"/>
                <w:szCs w:val="24"/>
                <w:highlight w:val="none"/>
                <w:u w:val="none" w:color="auto"/>
                <w:lang w:val="en-US" w:eastAsia="zh-CN"/>
              </w:rPr>
            </w:pPr>
            <w:r>
              <w:rPr>
                <w:rFonts w:hint="default" w:ascii="Times New Roman" w:hAnsi="Times New Roman" w:eastAsia="宋体" w:cs="Times New Roman"/>
                <w:color w:val="auto"/>
                <w:sz w:val="24"/>
                <w:szCs w:val="24"/>
                <w:highlight w:val="none"/>
                <w:u w:val="none" w:color="auto"/>
                <w:lang w:val="en-US" w:eastAsia="zh-CN"/>
              </w:rPr>
              <w:t>二十九、有色金属冶炼和压延加工业 32中“64  有色金属合金制造 324”的“其他”；</w:t>
            </w:r>
          </w:p>
          <w:p w14:paraId="24341FA2">
            <w:pPr>
              <w:keepNext w:val="0"/>
              <w:keepLines w:val="0"/>
              <w:pageBreakBefore w:val="0"/>
              <w:widowControl w:val="0"/>
              <w:kinsoku/>
              <w:wordWrap/>
              <w:overflowPunct/>
              <w:topLinePunct/>
              <w:autoSpaceDE/>
              <w:autoSpaceDN/>
              <w:bidi w:val="0"/>
              <w:adjustRightInd/>
              <w:snapToGrid/>
              <w:jc w:val="center"/>
              <w:textAlignment w:val="auto"/>
              <w:rPr>
                <w:rFonts w:hint="default" w:ascii="Times New Roman" w:hAnsi="Times New Roman" w:eastAsia="宋体" w:cs="Times New Roman"/>
                <w:color w:val="auto"/>
                <w:sz w:val="24"/>
                <w:szCs w:val="24"/>
                <w:highlight w:val="none"/>
                <w:u w:val="none" w:color="auto"/>
                <w:lang w:val="en-US" w:eastAsia="zh-CN"/>
              </w:rPr>
            </w:pPr>
            <w:r>
              <w:rPr>
                <w:rFonts w:hint="default" w:ascii="Times New Roman" w:hAnsi="Times New Roman" w:eastAsia="宋体" w:cs="Times New Roman"/>
                <w:color w:val="auto"/>
                <w:sz w:val="24"/>
                <w:szCs w:val="24"/>
                <w:highlight w:val="none"/>
                <w:u w:val="none" w:color="auto"/>
                <w:lang w:val="en-US" w:eastAsia="zh-CN"/>
              </w:rPr>
              <w:t>三十、金属制品业 33中“67  金属表面处理及热处理加工”的“其他（年用非溶剂型低VOCs含量涂料10吨以下的除外）”和“68  铸造及其他金属制品制造 339”的“其他（仅分割、焊接、组装的除外）”</w:t>
            </w:r>
          </w:p>
        </w:tc>
      </w:tr>
      <w:tr w14:paraId="51D48BE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1950" w:type="dxa"/>
            <w:noWrap w:val="0"/>
            <w:tcMar>
              <w:top w:w="16" w:type="dxa"/>
              <w:left w:w="16" w:type="dxa"/>
              <w:right w:w="16" w:type="dxa"/>
            </w:tcMar>
            <w:vAlign w:val="center"/>
          </w:tcPr>
          <w:p w14:paraId="582CFADC">
            <w:pPr>
              <w:adjustRightInd w:val="0"/>
              <w:snapToGrid w:val="0"/>
              <w:jc w:val="center"/>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建设性质</w:t>
            </w:r>
          </w:p>
        </w:tc>
        <w:tc>
          <w:tcPr>
            <w:tcW w:w="2069" w:type="dxa"/>
            <w:noWrap w:val="0"/>
            <w:vAlign w:val="center"/>
          </w:tcPr>
          <w:p w14:paraId="0A0A646B">
            <w:pPr>
              <w:jc w:val="left"/>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lang w:eastAsia="zh-CN"/>
              </w:rPr>
              <w:t>☑</w:t>
            </w:r>
            <w:r>
              <w:rPr>
                <w:rFonts w:hint="default" w:ascii="Times New Roman" w:hAnsi="Times New Roman" w:eastAsia="宋体" w:cs="Times New Roman"/>
                <w:color w:val="auto"/>
                <w:sz w:val="24"/>
                <w:szCs w:val="24"/>
                <w:u w:val="none" w:color="auto"/>
              </w:rPr>
              <w:t>新建（迁建）</w:t>
            </w:r>
          </w:p>
          <w:p w14:paraId="34393477">
            <w:pPr>
              <w:jc w:val="left"/>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lang w:eastAsia="zh-CN"/>
              </w:rPr>
              <w:t>☑</w:t>
            </w:r>
            <w:r>
              <w:rPr>
                <w:rFonts w:hint="default" w:ascii="Times New Roman" w:hAnsi="Times New Roman" w:eastAsia="宋体" w:cs="Times New Roman"/>
                <w:color w:val="auto"/>
                <w:sz w:val="24"/>
                <w:szCs w:val="24"/>
                <w:u w:val="none" w:color="auto"/>
              </w:rPr>
              <w:t>改建</w:t>
            </w:r>
          </w:p>
          <w:p w14:paraId="09AEA8EB">
            <w:pPr>
              <w:jc w:val="left"/>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sym w:font="Wingdings 2" w:char="0052"/>
            </w:r>
            <w:r>
              <w:rPr>
                <w:rFonts w:hint="default" w:ascii="Times New Roman" w:hAnsi="Times New Roman" w:eastAsia="宋体" w:cs="Times New Roman"/>
                <w:color w:val="auto"/>
                <w:sz w:val="24"/>
                <w:szCs w:val="24"/>
                <w:u w:val="none" w:color="auto"/>
              </w:rPr>
              <w:t>扩建</w:t>
            </w:r>
          </w:p>
          <w:p w14:paraId="0B2A90B8">
            <w:pPr>
              <w:jc w:val="left"/>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□技术改造</w:t>
            </w:r>
          </w:p>
        </w:tc>
        <w:tc>
          <w:tcPr>
            <w:tcW w:w="2061" w:type="dxa"/>
            <w:noWrap w:val="0"/>
            <w:vAlign w:val="center"/>
          </w:tcPr>
          <w:p w14:paraId="39A2D775">
            <w:pPr>
              <w:adjustRightInd w:val="0"/>
              <w:snapToGrid w:val="0"/>
              <w:jc w:val="center"/>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建设项目</w:t>
            </w:r>
          </w:p>
          <w:p w14:paraId="264D2020">
            <w:pPr>
              <w:adjustRightInd w:val="0"/>
              <w:snapToGrid w:val="0"/>
              <w:jc w:val="center"/>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申报情形</w:t>
            </w:r>
          </w:p>
        </w:tc>
        <w:tc>
          <w:tcPr>
            <w:tcW w:w="2790" w:type="dxa"/>
            <w:noWrap w:val="0"/>
            <w:vAlign w:val="center"/>
          </w:tcPr>
          <w:p w14:paraId="00F92BE8">
            <w:pPr>
              <w:jc w:val="left"/>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lang w:eastAsia="zh-CN"/>
              </w:rPr>
              <w:sym w:font="Wingdings 2" w:char="0052"/>
            </w:r>
            <w:r>
              <w:rPr>
                <w:rFonts w:hint="default" w:ascii="Times New Roman" w:hAnsi="Times New Roman" w:eastAsia="宋体" w:cs="Times New Roman"/>
                <w:color w:val="auto"/>
                <w:sz w:val="24"/>
                <w:szCs w:val="24"/>
                <w:u w:val="none" w:color="auto"/>
              </w:rPr>
              <w:t xml:space="preserve">首次申报项目             </w:t>
            </w:r>
          </w:p>
          <w:p w14:paraId="50AE4C54">
            <w:pPr>
              <w:jc w:val="left"/>
              <w:rPr>
                <w:rFonts w:hint="default" w:ascii="Times New Roman" w:hAnsi="Times New Roman" w:eastAsia="宋体" w:cs="Times New Roman"/>
                <w:color w:val="auto"/>
                <w:spacing w:val="-6"/>
                <w:sz w:val="24"/>
                <w:szCs w:val="24"/>
                <w:u w:val="none" w:color="auto"/>
              </w:rPr>
            </w:pPr>
            <w:r>
              <w:rPr>
                <w:rFonts w:hint="default" w:ascii="Times New Roman" w:hAnsi="Times New Roman" w:eastAsia="宋体" w:cs="Times New Roman"/>
                <w:color w:val="auto"/>
                <w:sz w:val="24"/>
                <w:szCs w:val="24"/>
                <w:u w:val="none" w:color="auto"/>
              </w:rPr>
              <w:t>□</w:t>
            </w:r>
            <w:r>
              <w:rPr>
                <w:rFonts w:hint="default" w:ascii="Times New Roman" w:hAnsi="Times New Roman" w:eastAsia="宋体" w:cs="Times New Roman"/>
                <w:color w:val="auto"/>
                <w:spacing w:val="-6"/>
                <w:sz w:val="24"/>
                <w:szCs w:val="24"/>
                <w:u w:val="none" w:color="auto"/>
              </w:rPr>
              <w:t>不予批准后再次申报项目</w:t>
            </w:r>
          </w:p>
          <w:p w14:paraId="40CAF40A">
            <w:pPr>
              <w:jc w:val="left"/>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 xml:space="preserve">□超五年重新审核项目     </w:t>
            </w:r>
          </w:p>
          <w:p w14:paraId="3CA766E5">
            <w:pPr>
              <w:jc w:val="left"/>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sym w:font="Wingdings 2" w:char="00A3"/>
            </w:r>
            <w:r>
              <w:rPr>
                <w:rFonts w:hint="default" w:ascii="Times New Roman" w:hAnsi="Times New Roman" w:eastAsia="宋体" w:cs="Times New Roman"/>
                <w:color w:val="auto"/>
                <w:sz w:val="24"/>
                <w:szCs w:val="24"/>
                <w:u w:val="none" w:color="auto"/>
              </w:rPr>
              <w:t>重大变动重新报批项目</w:t>
            </w:r>
          </w:p>
        </w:tc>
      </w:tr>
      <w:tr w14:paraId="44285E7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1" w:hRule="atLeast"/>
          <w:jc w:val="center"/>
        </w:trPr>
        <w:tc>
          <w:tcPr>
            <w:tcW w:w="1950" w:type="dxa"/>
            <w:noWrap w:val="0"/>
            <w:tcMar>
              <w:top w:w="16" w:type="dxa"/>
              <w:left w:w="16" w:type="dxa"/>
              <w:right w:w="16" w:type="dxa"/>
            </w:tcMar>
            <w:vAlign w:val="center"/>
          </w:tcPr>
          <w:p w14:paraId="7633285B">
            <w:pPr>
              <w:adjustRightInd w:val="0"/>
              <w:snapToGrid w:val="0"/>
              <w:jc w:val="center"/>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项目审批（核准/</w:t>
            </w:r>
          </w:p>
          <w:p w14:paraId="59CC12A0">
            <w:pPr>
              <w:adjustRightInd w:val="0"/>
              <w:snapToGrid w:val="0"/>
              <w:jc w:val="center"/>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备案）部门（选填）</w:t>
            </w:r>
          </w:p>
        </w:tc>
        <w:tc>
          <w:tcPr>
            <w:tcW w:w="2069" w:type="dxa"/>
            <w:noWrap w:val="0"/>
            <w:vAlign w:val="center"/>
          </w:tcPr>
          <w:p w14:paraId="5C4CF393">
            <w:pPr>
              <w:adjustRightInd w:val="0"/>
              <w:snapToGrid w:val="0"/>
              <w:jc w:val="center"/>
              <w:rPr>
                <w:rFonts w:hint="default" w:ascii="Times New Roman" w:hAnsi="Times New Roman" w:eastAsia="宋体" w:cs="Times New Roman"/>
                <w:color w:val="auto"/>
                <w:sz w:val="24"/>
                <w:szCs w:val="24"/>
                <w:highlight w:val="none"/>
                <w:u w:val="none" w:color="auto"/>
                <w:lang w:val="en-US" w:eastAsia="zh-CN"/>
              </w:rPr>
            </w:pPr>
            <w:r>
              <w:rPr>
                <w:rFonts w:hint="default" w:ascii="Times New Roman" w:hAnsi="Times New Roman" w:eastAsia="宋体" w:cs="Times New Roman"/>
                <w:color w:val="auto"/>
                <w:sz w:val="24"/>
                <w:szCs w:val="24"/>
                <w:highlight w:val="none"/>
                <w:u w:val="none" w:color="auto"/>
                <w:lang w:val="en-US" w:eastAsia="zh-CN"/>
              </w:rPr>
              <w:t>岳阳市发展和改革委员会</w:t>
            </w:r>
          </w:p>
        </w:tc>
        <w:tc>
          <w:tcPr>
            <w:tcW w:w="2061" w:type="dxa"/>
            <w:noWrap w:val="0"/>
            <w:vAlign w:val="center"/>
          </w:tcPr>
          <w:p w14:paraId="15769644">
            <w:pPr>
              <w:adjustRightInd w:val="0"/>
              <w:snapToGrid w:val="0"/>
              <w:jc w:val="center"/>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项目审批（核准/</w:t>
            </w:r>
          </w:p>
          <w:p w14:paraId="2415EC59">
            <w:pPr>
              <w:adjustRightInd w:val="0"/>
              <w:snapToGrid w:val="0"/>
              <w:jc w:val="center"/>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备案）文号（选填）</w:t>
            </w:r>
          </w:p>
        </w:tc>
        <w:tc>
          <w:tcPr>
            <w:tcW w:w="2790" w:type="dxa"/>
            <w:noWrap w:val="0"/>
            <w:vAlign w:val="center"/>
          </w:tcPr>
          <w:p w14:paraId="0EB70E51">
            <w:pPr>
              <w:adjustRightInd w:val="0"/>
              <w:snapToGrid w:val="0"/>
              <w:jc w:val="center"/>
              <w:rPr>
                <w:rFonts w:hint="default" w:ascii="Times New Roman" w:hAnsi="Times New Roman" w:eastAsia="宋体" w:cs="Times New Roman"/>
                <w:color w:val="auto"/>
                <w:sz w:val="24"/>
                <w:szCs w:val="24"/>
                <w:highlight w:val="none"/>
                <w:u w:val="none" w:color="auto"/>
                <w:lang w:val="en-US" w:eastAsia="zh-CN"/>
              </w:rPr>
            </w:pPr>
            <w:r>
              <w:rPr>
                <w:rFonts w:hint="default" w:ascii="Times New Roman" w:hAnsi="Times New Roman" w:eastAsia="宋体" w:cs="Times New Roman"/>
                <w:color w:val="auto"/>
                <w:sz w:val="24"/>
                <w:szCs w:val="24"/>
                <w:highlight w:val="none"/>
                <w:u w:val="none" w:color="auto"/>
                <w:lang w:val="en-US" w:eastAsia="zh-CN"/>
              </w:rPr>
              <w:t>/</w:t>
            </w:r>
          </w:p>
        </w:tc>
      </w:tr>
      <w:tr w14:paraId="21A230E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950" w:type="dxa"/>
            <w:noWrap w:val="0"/>
            <w:tcMar>
              <w:top w:w="16" w:type="dxa"/>
              <w:left w:w="16" w:type="dxa"/>
              <w:right w:w="16" w:type="dxa"/>
            </w:tcMar>
            <w:vAlign w:val="center"/>
          </w:tcPr>
          <w:p w14:paraId="67FCA6EE">
            <w:pPr>
              <w:adjustRightInd w:val="0"/>
              <w:snapToGrid w:val="0"/>
              <w:jc w:val="center"/>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总投资（万元）</w:t>
            </w:r>
          </w:p>
        </w:tc>
        <w:tc>
          <w:tcPr>
            <w:tcW w:w="2069" w:type="dxa"/>
            <w:noWrap w:val="0"/>
            <w:vAlign w:val="center"/>
          </w:tcPr>
          <w:p w14:paraId="0DFF059D">
            <w:pPr>
              <w:adjustRightInd w:val="0"/>
              <w:snapToGrid w:val="0"/>
              <w:jc w:val="center"/>
              <w:rPr>
                <w:rFonts w:hint="default" w:ascii="Times New Roman" w:hAnsi="Times New Roman" w:eastAsia="宋体" w:cs="Times New Roman"/>
                <w:color w:val="auto"/>
                <w:sz w:val="24"/>
                <w:szCs w:val="24"/>
                <w:highlight w:val="none"/>
                <w:u w:val="none" w:color="auto"/>
                <w:lang w:val="en-US" w:eastAsia="zh-CN"/>
              </w:rPr>
            </w:pPr>
            <w:r>
              <w:rPr>
                <w:rFonts w:hint="default" w:ascii="Times New Roman" w:hAnsi="Times New Roman" w:eastAsia="宋体" w:cs="Times New Roman"/>
                <w:color w:val="auto"/>
                <w:sz w:val="24"/>
                <w:szCs w:val="24"/>
                <w:highlight w:val="none"/>
                <w:u w:val="none" w:color="auto"/>
                <w:lang w:val="en-US" w:eastAsia="zh-CN"/>
              </w:rPr>
              <w:t>20948.43</w:t>
            </w:r>
          </w:p>
        </w:tc>
        <w:tc>
          <w:tcPr>
            <w:tcW w:w="2061" w:type="dxa"/>
            <w:noWrap w:val="0"/>
            <w:tcMar>
              <w:top w:w="16" w:type="dxa"/>
              <w:left w:w="16" w:type="dxa"/>
              <w:right w:w="16" w:type="dxa"/>
            </w:tcMar>
            <w:vAlign w:val="center"/>
          </w:tcPr>
          <w:p w14:paraId="3E46C2D5">
            <w:pPr>
              <w:adjustRightInd w:val="0"/>
              <w:snapToGrid w:val="0"/>
              <w:jc w:val="center"/>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环保投资（万元）</w:t>
            </w:r>
          </w:p>
        </w:tc>
        <w:tc>
          <w:tcPr>
            <w:tcW w:w="2790" w:type="dxa"/>
            <w:noWrap w:val="0"/>
            <w:vAlign w:val="center"/>
          </w:tcPr>
          <w:p w14:paraId="24DB7DDC">
            <w:pPr>
              <w:adjustRightInd w:val="0"/>
              <w:snapToGrid w:val="0"/>
              <w:jc w:val="center"/>
              <w:rPr>
                <w:rFonts w:hint="default" w:ascii="Times New Roman" w:hAnsi="Times New Roman" w:eastAsia="宋体" w:cs="Times New Roman"/>
                <w:color w:val="auto"/>
                <w:sz w:val="24"/>
                <w:szCs w:val="24"/>
                <w:highlight w:val="none"/>
                <w:u w:val="none" w:color="auto"/>
                <w:lang w:val="en-US" w:eastAsia="zh-CN"/>
              </w:rPr>
            </w:pPr>
            <w:r>
              <w:rPr>
                <w:rFonts w:hint="default" w:ascii="Times New Roman" w:hAnsi="Times New Roman" w:eastAsia="宋体" w:cs="Times New Roman"/>
                <w:color w:val="auto"/>
                <w:sz w:val="24"/>
                <w:szCs w:val="24"/>
                <w:highlight w:val="none"/>
                <w:u w:val="none" w:color="auto"/>
                <w:lang w:val="en-US" w:eastAsia="zh-CN"/>
              </w:rPr>
              <w:t>342</w:t>
            </w:r>
          </w:p>
        </w:tc>
      </w:tr>
      <w:tr w14:paraId="5CE6B58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950" w:type="dxa"/>
            <w:noWrap w:val="0"/>
            <w:tcMar>
              <w:top w:w="16" w:type="dxa"/>
              <w:left w:w="16" w:type="dxa"/>
              <w:right w:w="16" w:type="dxa"/>
            </w:tcMar>
            <w:vAlign w:val="center"/>
          </w:tcPr>
          <w:p w14:paraId="4F77EB80">
            <w:pPr>
              <w:adjustRightInd w:val="0"/>
              <w:snapToGrid w:val="0"/>
              <w:jc w:val="center"/>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环保投资占比（%）</w:t>
            </w:r>
          </w:p>
        </w:tc>
        <w:tc>
          <w:tcPr>
            <w:tcW w:w="2069" w:type="dxa"/>
            <w:noWrap w:val="0"/>
            <w:vAlign w:val="center"/>
          </w:tcPr>
          <w:p w14:paraId="4F190C85">
            <w:pPr>
              <w:adjustRightInd w:val="0"/>
              <w:snapToGrid w:val="0"/>
              <w:jc w:val="center"/>
              <w:rPr>
                <w:rFonts w:hint="default" w:ascii="Times New Roman" w:hAnsi="Times New Roman" w:eastAsia="宋体" w:cs="Times New Roman"/>
                <w:color w:val="auto"/>
                <w:sz w:val="24"/>
                <w:szCs w:val="24"/>
                <w:highlight w:val="none"/>
                <w:u w:val="none" w:color="auto"/>
                <w:lang w:val="en-US" w:eastAsia="zh-CN"/>
              </w:rPr>
            </w:pPr>
            <w:r>
              <w:rPr>
                <w:rFonts w:hint="default" w:ascii="Times New Roman" w:hAnsi="Times New Roman" w:eastAsia="宋体" w:cs="Times New Roman"/>
                <w:color w:val="auto"/>
                <w:sz w:val="24"/>
                <w:szCs w:val="24"/>
                <w:highlight w:val="none"/>
                <w:u w:val="none" w:color="auto"/>
                <w:lang w:val="en-US" w:eastAsia="zh-CN"/>
              </w:rPr>
              <w:t>1.63</w:t>
            </w:r>
          </w:p>
        </w:tc>
        <w:tc>
          <w:tcPr>
            <w:tcW w:w="2061" w:type="dxa"/>
            <w:noWrap w:val="0"/>
            <w:tcMar>
              <w:top w:w="16" w:type="dxa"/>
              <w:left w:w="16" w:type="dxa"/>
              <w:right w:w="16" w:type="dxa"/>
            </w:tcMar>
            <w:vAlign w:val="center"/>
          </w:tcPr>
          <w:p w14:paraId="2765DA78">
            <w:pPr>
              <w:adjustRightInd w:val="0"/>
              <w:snapToGrid w:val="0"/>
              <w:jc w:val="center"/>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施工工期</w:t>
            </w:r>
          </w:p>
        </w:tc>
        <w:tc>
          <w:tcPr>
            <w:tcW w:w="2790" w:type="dxa"/>
            <w:noWrap w:val="0"/>
            <w:vAlign w:val="center"/>
          </w:tcPr>
          <w:p w14:paraId="79BA4AC8">
            <w:pPr>
              <w:adjustRightInd w:val="0"/>
              <w:snapToGrid w:val="0"/>
              <w:jc w:val="center"/>
              <w:rPr>
                <w:rFonts w:hint="default" w:ascii="Times New Roman" w:hAnsi="Times New Roman" w:eastAsia="宋体" w:cs="Times New Roman"/>
                <w:color w:val="auto"/>
                <w:sz w:val="24"/>
                <w:szCs w:val="24"/>
                <w:highlight w:val="none"/>
                <w:u w:val="none" w:color="auto"/>
                <w:lang w:val="en-US" w:eastAsia="zh-CN"/>
              </w:rPr>
            </w:pPr>
            <w:r>
              <w:rPr>
                <w:rFonts w:hint="default" w:ascii="Times New Roman" w:hAnsi="Times New Roman" w:eastAsia="宋体" w:cs="Times New Roman"/>
                <w:color w:val="auto"/>
                <w:sz w:val="24"/>
                <w:szCs w:val="24"/>
                <w:highlight w:val="none"/>
                <w:u w:val="none" w:color="auto"/>
                <w:lang w:val="en-US" w:eastAsia="zh-CN"/>
              </w:rPr>
              <w:t>6个月</w:t>
            </w:r>
          </w:p>
        </w:tc>
      </w:tr>
      <w:tr w14:paraId="1A5725C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950" w:type="dxa"/>
            <w:noWrap w:val="0"/>
            <w:tcMar>
              <w:top w:w="16" w:type="dxa"/>
              <w:left w:w="16" w:type="dxa"/>
              <w:right w:w="16" w:type="dxa"/>
            </w:tcMar>
            <w:vAlign w:val="center"/>
          </w:tcPr>
          <w:p w14:paraId="52563775">
            <w:pPr>
              <w:adjustRightInd w:val="0"/>
              <w:snapToGrid w:val="0"/>
              <w:jc w:val="center"/>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是否开工建设</w:t>
            </w:r>
          </w:p>
        </w:tc>
        <w:tc>
          <w:tcPr>
            <w:tcW w:w="2069" w:type="dxa"/>
            <w:noWrap w:val="0"/>
            <w:vAlign w:val="center"/>
          </w:tcPr>
          <w:p w14:paraId="6D4C5858">
            <w:pPr>
              <w:adjustRightInd w:val="0"/>
              <w:snapToGrid w:val="0"/>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lang w:eastAsia="zh-CN"/>
              </w:rPr>
              <w:sym w:font="Wingdings 2" w:char="00A3"/>
            </w:r>
            <w:r>
              <w:rPr>
                <w:rFonts w:hint="default" w:ascii="Times New Roman" w:hAnsi="Times New Roman" w:eastAsia="宋体" w:cs="Times New Roman"/>
                <w:color w:val="auto"/>
                <w:sz w:val="24"/>
                <w:szCs w:val="24"/>
                <w:highlight w:val="none"/>
                <w:u w:val="none" w:color="auto"/>
              </w:rPr>
              <w:t>否</w:t>
            </w:r>
          </w:p>
          <w:p w14:paraId="3F3CA7E8">
            <w:pPr>
              <w:adjustRightInd w:val="0"/>
              <w:snapToGrid w:val="0"/>
              <w:rPr>
                <w:rFonts w:hint="default" w:ascii="Times New Roman" w:hAnsi="Times New Roman" w:eastAsia="宋体" w:cs="Times New Roman"/>
                <w:color w:val="auto"/>
                <w:sz w:val="24"/>
                <w:szCs w:val="24"/>
                <w:highlight w:val="none"/>
                <w:u w:val="none" w:color="auto"/>
                <w:lang w:val="en-US" w:eastAsia="zh-CN"/>
              </w:rPr>
            </w:pPr>
            <w:r>
              <w:rPr>
                <w:rFonts w:hint="default" w:ascii="Times New Roman" w:hAnsi="Times New Roman" w:eastAsia="宋体" w:cs="Times New Roman"/>
                <w:color w:val="auto"/>
                <w:sz w:val="24"/>
                <w:szCs w:val="24"/>
                <w:highlight w:val="none"/>
                <w:u w:val="none" w:color="auto"/>
                <w:lang w:eastAsia="zh-CN"/>
              </w:rPr>
              <w:sym w:font="Wingdings 2" w:char="0052"/>
            </w:r>
            <w:r>
              <w:rPr>
                <w:rFonts w:hint="default" w:ascii="Times New Roman" w:hAnsi="Times New Roman" w:eastAsia="宋体" w:cs="Times New Roman"/>
                <w:color w:val="auto"/>
                <w:sz w:val="24"/>
                <w:szCs w:val="24"/>
                <w:highlight w:val="none"/>
                <w:u w:val="none" w:color="auto"/>
              </w:rPr>
              <w:t>是：</w:t>
            </w:r>
            <w:r>
              <w:rPr>
                <w:rFonts w:hint="default" w:ascii="Times New Roman" w:hAnsi="Times New Roman" w:eastAsia="宋体" w:cs="Times New Roman"/>
                <w:color w:val="auto"/>
                <w:sz w:val="24"/>
                <w:szCs w:val="24"/>
                <w:highlight w:val="none"/>
                <w:u w:val="none" w:color="auto"/>
                <w:lang w:val="en-US" w:eastAsia="zh-CN"/>
              </w:rPr>
              <w:t>本项目相关生产设备已进厂组装</w:t>
            </w:r>
          </w:p>
        </w:tc>
        <w:tc>
          <w:tcPr>
            <w:tcW w:w="2061" w:type="dxa"/>
            <w:noWrap w:val="0"/>
            <w:tcMar>
              <w:top w:w="16" w:type="dxa"/>
              <w:left w:w="16" w:type="dxa"/>
              <w:right w:w="16" w:type="dxa"/>
            </w:tcMar>
            <w:vAlign w:val="center"/>
          </w:tcPr>
          <w:p w14:paraId="369ABF50">
            <w:pPr>
              <w:adjustRightInd w:val="0"/>
              <w:snapToGrid w:val="0"/>
              <w:jc w:val="center"/>
              <w:rPr>
                <w:rFonts w:hint="default" w:ascii="Times New Roman" w:hAnsi="Times New Roman" w:eastAsia="宋体" w:cs="Times New Roman"/>
                <w:color w:val="auto"/>
                <w:spacing w:val="-6"/>
                <w:sz w:val="24"/>
                <w:szCs w:val="24"/>
                <w:highlight w:val="none"/>
                <w:u w:val="none" w:color="auto"/>
              </w:rPr>
            </w:pPr>
            <w:r>
              <w:rPr>
                <w:rFonts w:hint="default" w:ascii="Times New Roman" w:hAnsi="Times New Roman" w:eastAsia="宋体" w:cs="Times New Roman"/>
                <w:color w:val="auto"/>
                <w:spacing w:val="-6"/>
                <w:sz w:val="24"/>
                <w:szCs w:val="24"/>
                <w:highlight w:val="none"/>
                <w:u w:val="none" w:color="auto"/>
              </w:rPr>
              <w:t>用地（用海）</w:t>
            </w:r>
          </w:p>
          <w:p w14:paraId="7AEF180A">
            <w:pPr>
              <w:adjustRightInd w:val="0"/>
              <w:snapToGrid w:val="0"/>
              <w:jc w:val="center"/>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pacing w:val="-6"/>
                <w:sz w:val="24"/>
                <w:szCs w:val="24"/>
                <w:highlight w:val="none"/>
                <w:u w:val="none" w:color="auto"/>
              </w:rPr>
              <w:t>面积（m</w:t>
            </w:r>
            <w:r>
              <w:rPr>
                <w:rFonts w:hint="default" w:ascii="Times New Roman" w:hAnsi="Times New Roman" w:eastAsia="宋体" w:cs="Times New Roman"/>
                <w:color w:val="auto"/>
                <w:spacing w:val="-6"/>
                <w:sz w:val="24"/>
                <w:szCs w:val="24"/>
                <w:highlight w:val="none"/>
                <w:u w:val="none" w:color="auto"/>
                <w:vertAlign w:val="superscript"/>
              </w:rPr>
              <w:t>2</w:t>
            </w:r>
            <w:r>
              <w:rPr>
                <w:rFonts w:hint="default" w:ascii="Times New Roman" w:hAnsi="Times New Roman" w:eastAsia="宋体" w:cs="Times New Roman"/>
                <w:color w:val="auto"/>
                <w:spacing w:val="-6"/>
                <w:sz w:val="24"/>
                <w:szCs w:val="24"/>
                <w:highlight w:val="none"/>
                <w:u w:val="none" w:color="auto"/>
              </w:rPr>
              <w:t>）</w:t>
            </w:r>
          </w:p>
        </w:tc>
        <w:tc>
          <w:tcPr>
            <w:tcW w:w="2790" w:type="dxa"/>
            <w:noWrap w:val="0"/>
            <w:vAlign w:val="center"/>
          </w:tcPr>
          <w:p w14:paraId="3CB0A1EE">
            <w:pPr>
              <w:adjustRightInd w:val="0"/>
              <w:snapToGrid w:val="0"/>
              <w:jc w:val="center"/>
              <w:rPr>
                <w:rFonts w:hint="default" w:ascii="Times New Roman" w:hAnsi="Times New Roman" w:eastAsia="宋体" w:cs="Times New Roman"/>
                <w:color w:val="auto"/>
                <w:sz w:val="24"/>
                <w:szCs w:val="24"/>
                <w:highlight w:val="none"/>
                <w:u w:val="none" w:color="auto"/>
                <w:lang w:val="en-US" w:eastAsia="zh-CN"/>
              </w:rPr>
            </w:pPr>
            <w:r>
              <w:rPr>
                <w:rFonts w:hint="default" w:ascii="Times New Roman" w:hAnsi="Times New Roman" w:eastAsia="宋体" w:cs="Times New Roman"/>
                <w:color w:val="auto"/>
                <w:sz w:val="24"/>
                <w:szCs w:val="24"/>
                <w:highlight w:val="none"/>
                <w:u w:val="none" w:color="auto"/>
                <w:lang w:val="en-US" w:eastAsia="zh-CN"/>
              </w:rPr>
              <w:t>24399.67</w:t>
            </w:r>
          </w:p>
        </w:tc>
      </w:tr>
      <w:tr w14:paraId="517D034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950" w:type="dxa"/>
            <w:noWrap w:val="0"/>
            <w:vAlign w:val="center"/>
          </w:tcPr>
          <w:p w14:paraId="4CDD0D83">
            <w:pPr>
              <w:autoSpaceDE w:val="0"/>
              <w:autoSpaceDN w:val="0"/>
              <w:adjustRightInd w:val="0"/>
              <w:snapToGrid w:val="0"/>
              <w:jc w:val="center"/>
              <w:rPr>
                <w:rFonts w:hint="default" w:ascii="Times New Roman" w:hAnsi="Times New Roman" w:eastAsia="宋体" w:cs="Times New Roman"/>
                <w:color w:val="auto"/>
                <w:kern w:val="0"/>
                <w:sz w:val="24"/>
                <w:szCs w:val="24"/>
                <w:u w:val="none" w:color="auto"/>
              </w:rPr>
            </w:pPr>
            <w:r>
              <w:rPr>
                <w:rFonts w:hint="default" w:ascii="Times New Roman" w:hAnsi="Times New Roman" w:eastAsia="宋体" w:cs="Times New Roman"/>
                <w:color w:val="auto"/>
                <w:kern w:val="0"/>
                <w:sz w:val="24"/>
                <w:szCs w:val="24"/>
                <w:u w:val="none" w:color="auto"/>
              </w:rPr>
              <w:t>专项评价设置情况</w:t>
            </w:r>
          </w:p>
        </w:tc>
        <w:tc>
          <w:tcPr>
            <w:tcW w:w="6920" w:type="dxa"/>
            <w:gridSpan w:val="3"/>
            <w:noWrap w:val="0"/>
            <w:vAlign w:val="center"/>
          </w:tcPr>
          <w:p w14:paraId="7E4C1BB1">
            <w:pPr>
              <w:pStyle w:val="101"/>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《建设项目环境影响报告表编制技术指南（污染影响类）（试行）》中规定了项目专项设置原则，根据设置原则，本项目需设置专项评价，具体见</w:t>
            </w:r>
            <w:r>
              <w:rPr>
                <w:rFonts w:hint="default" w:ascii="Times New Roman" w:hAnsi="Times New Roman" w:eastAsia="宋体" w:cs="Times New Roman"/>
                <w:color w:val="auto"/>
                <w:highlight w:val="none"/>
                <w:u w:val="none" w:color="auto"/>
              </w:rPr>
              <w:fldChar w:fldCharType="begin"/>
            </w:r>
            <w:r>
              <w:rPr>
                <w:rFonts w:hint="default" w:ascii="Times New Roman" w:hAnsi="Times New Roman" w:eastAsia="宋体" w:cs="Times New Roman"/>
                <w:color w:val="auto"/>
                <w:highlight w:val="none"/>
                <w:u w:val="none" w:color="auto"/>
              </w:rPr>
              <w:instrText xml:space="preserve"> REF _Ref187756088 \n \h </w:instrText>
            </w:r>
            <w:r>
              <w:rPr>
                <w:rFonts w:hint="default" w:ascii="Times New Roman" w:hAnsi="Times New Roman" w:eastAsia="宋体" w:cs="Times New Roman"/>
                <w:color w:val="auto"/>
                <w:highlight w:val="none"/>
                <w:u w:val="none" w:color="auto"/>
              </w:rPr>
              <w:fldChar w:fldCharType="separate"/>
            </w:r>
            <w:r>
              <w:rPr>
                <w:rFonts w:hint="default" w:ascii="Times New Roman" w:hAnsi="Times New Roman" w:eastAsia="宋体" w:cs="Times New Roman"/>
                <w:color w:val="auto"/>
                <w:highlight w:val="none"/>
                <w:u w:val="none" w:color="auto"/>
              </w:rPr>
              <w:t>表1</w:t>
            </w:r>
            <w:r>
              <w:rPr>
                <w:rFonts w:hint="default" w:ascii="Times New Roman" w:hAnsi="Times New Roman" w:eastAsia="宋体" w:cs="Times New Roman"/>
                <w:color w:val="auto"/>
                <w:highlight w:val="none"/>
                <w:u w:val="none" w:color="auto"/>
              </w:rPr>
              <w:fldChar w:fldCharType="end"/>
            </w:r>
            <w:r>
              <w:rPr>
                <w:rFonts w:hint="default" w:ascii="Times New Roman" w:hAnsi="Times New Roman" w:eastAsia="宋体" w:cs="Times New Roman"/>
                <w:color w:val="auto"/>
                <w:highlight w:val="none"/>
                <w:u w:val="none" w:color="auto"/>
              </w:rPr>
              <w:t>。</w:t>
            </w:r>
          </w:p>
          <w:p w14:paraId="3ED80BA1">
            <w:pPr>
              <w:pStyle w:val="102"/>
              <w:bidi w:val="0"/>
              <w:ind w:left="420" w:leftChars="0" w:hanging="420" w:firstLineChars="0"/>
              <w:rPr>
                <w:rFonts w:hint="default" w:ascii="Times New Roman" w:hAnsi="Times New Roman" w:eastAsia="宋体" w:cs="Times New Roman"/>
                <w:color w:val="auto"/>
              </w:rPr>
            </w:pPr>
            <w:bookmarkStart w:id="9" w:name="_Ref187756088"/>
            <w:r>
              <w:rPr>
                <w:rFonts w:hint="default" w:ascii="Times New Roman" w:hAnsi="Times New Roman" w:eastAsia="宋体" w:cs="Times New Roman"/>
                <w:color w:val="auto"/>
              </w:rPr>
              <w:t>专项设置原则表</w:t>
            </w:r>
            <w:bookmarkEnd w:id="9"/>
          </w:p>
          <w:tbl>
            <w:tblPr>
              <w:tblStyle w:val="32"/>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04"/>
              <w:gridCol w:w="3912"/>
              <w:gridCol w:w="1675"/>
            </w:tblGrid>
            <w:tr w14:paraId="5DCB7F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825" w:type="pct"/>
                  <w:vMerge w:val="restart"/>
                  <w:vAlign w:val="center"/>
                </w:tcPr>
                <w:p w14:paraId="2497ADDE">
                  <w:pPr>
                    <w:pStyle w:val="103"/>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专项评价的类别</w:t>
                  </w:r>
                </w:p>
              </w:tc>
              <w:tc>
                <w:tcPr>
                  <w:tcW w:w="2923" w:type="pct"/>
                  <w:vMerge w:val="restart"/>
                  <w:vAlign w:val="center"/>
                </w:tcPr>
                <w:p w14:paraId="26157016">
                  <w:pPr>
                    <w:pStyle w:val="103"/>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设置原则</w:t>
                  </w:r>
                </w:p>
              </w:tc>
              <w:tc>
                <w:tcPr>
                  <w:tcW w:w="1251" w:type="pct"/>
                  <w:vMerge w:val="restart"/>
                  <w:vAlign w:val="center"/>
                </w:tcPr>
                <w:p w14:paraId="194EDAD8">
                  <w:pPr>
                    <w:pStyle w:val="103"/>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本项目情况</w:t>
                  </w:r>
                </w:p>
              </w:tc>
            </w:tr>
            <w:tr w14:paraId="45D3DE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825" w:type="pct"/>
                  <w:vMerge w:val="continue"/>
                  <w:vAlign w:val="center"/>
                </w:tcPr>
                <w:p w14:paraId="1514877C">
                  <w:pPr>
                    <w:pStyle w:val="103"/>
                    <w:rPr>
                      <w:rFonts w:hint="default" w:ascii="Times New Roman" w:hAnsi="Times New Roman" w:eastAsia="宋体" w:cs="Times New Roman"/>
                      <w:color w:val="auto"/>
                      <w:highlight w:val="none"/>
                      <w:u w:val="none" w:color="auto"/>
                    </w:rPr>
                  </w:pPr>
                </w:p>
              </w:tc>
              <w:tc>
                <w:tcPr>
                  <w:tcW w:w="2923" w:type="pct"/>
                  <w:vMerge w:val="continue"/>
                  <w:vAlign w:val="center"/>
                </w:tcPr>
                <w:p w14:paraId="5A014CB5">
                  <w:pPr>
                    <w:pStyle w:val="103"/>
                    <w:rPr>
                      <w:rFonts w:hint="default" w:ascii="Times New Roman" w:hAnsi="Times New Roman" w:eastAsia="宋体" w:cs="Times New Roman"/>
                      <w:color w:val="auto"/>
                      <w:highlight w:val="none"/>
                      <w:u w:val="none" w:color="auto"/>
                    </w:rPr>
                  </w:pPr>
                </w:p>
              </w:tc>
              <w:tc>
                <w:tcPr>
                  <w:tcW w:w="1251" w:type="pct"/>
                  <w:vMerge w:val="continue"/>
                  <w:vAlign w:val="center"/>
                </w:tcPr>
                <w:p w14:paraId="1124C8CD">
                  <w:pPr>
                    <w:pStyle w:val="103"/>
                    <w:rPr>
                      <w:rFonts w:hint="default" w:ascii="Times New Roman" w:hAnsi="Times New Roman" w:eastAsia="宋体" w:cs="Times New Roman"/>
                      <w:color w:val="auto"/>
                      <w:highlight w:val="none"/>
                      <w:u w:val="none" w:color="auto"/>
                    </w:rPr>
                  </w:pPr>
                </w:p>
              </w:tc>
            </w:tr>
            <w:tr w14:paraId="22306D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25" w:type="pct"/>
                  <w:vAlign w:val="center"/>
                </w:tcPr>
                <w:p w14:paraId="0BD415FD">
                  <w:pPr>
                    <w:pStyle w:val="103"/>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大气</w:t>
                  </w:r>
                </w:p>
              </w:tc>
              <w:tc>
                <w:tcPr>
                  <w:tcW w:w="2923" w:type="pct"/>
                  <w:vAlign w:val="center"/>
                </w:tcPr>
                <w:p w14:paraId="3B37E05C">
                  <w:pPr>
                    <w:pStyle w:val="103"/>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排放废气含有毒有害污染物</w:t>
                  </w:r>
                  <w:r>
                    <w:rPr>
                      <w:rFonts w:hint="default" w:ascii="Times New Roman" w:hAnsi="Times New Roman" w:eastAsia="宋体" w:cs="Times New Roman"/>
                      <w:color w:val="auto"/>
                      <w:highlight w:val="none"/>
                      <w:u w:val="none" w:color="auto"/>
                      <w:vertAlign w:val="superscript"/>
                    </w:rPr>
                    <w:t>1</w:t>
                  </w:r>
                  <w:r>
                    <w:rPr>
                      <w:rFonts w:hint="default" w:ascii="Times New Roman" w:hAnsi="Times New Roman" w:eastAsia="宋体" w:cs="Times New Roman"/>
                      <w:color w:val="auto"/>
                      <w:highlight w:val="none"/>
                      <w:u w:val="none" w:color="auto"/>
                    </w:rPr>
                    <w:t>、二噁英、苯并[a]芘、氰化物、氯气且厂界外500米范围内有环境空气保护目标</w:t>
                  </w:r>
                  <w:r>
                    <w:rPr>
                      <w:rFonts w:hint="default" w:ascii="Times New Roman" w:hAnsi="Times New Roman" w:eastAsia="宋体" w:cs="Times New Roman"/>
                      <w:color w:val="auto"/>
                      <w:highlight w:val="none"/>
                      <w:u w:val="none" w:color="auto"/>
                      <w:vertAlign w:val="superscript"/>
                    </w:rPr>
                    <w:t>2</w:t>
                  </w:r>
                  <w:r>
                    <w:rPr>
                      <w:rFonts w:hint="default" w:ascii="Times New Roman" w:hAnsi="Times New Roman" w:eastAsia="宋体" w:cs="Times New Roman"/>
                      <w:color w:val="auto"/>
                      <w:highlight w:val="none"/>
                      <w:u w:val="none" w:color="auto"/>
                    </w:rPr>
                    <w:t>的建设项目</w:t>
                  </w:r>
                </w:p>
              </w:tc>
              <w:tc>
                <w:tcPr>
                  <w:tcW w:w="1251" w:type="pct"/>
                  <w:vAlign w:val="center"/>
                </w:tcPr>
                <w:p w14:paraId="5D88B4FF">
                  <w:pPr>
                    <w:pStyle w:val="103"/>
                    <w:rPr>
                      <w:rFonts w:hint="default" w:ascii="Times New Roman" w:hAnsi="Times New Roman" w:eastAsia="宋体" w:cs="Times New Roman"/>
                      <w:color w:val="auto"/>
                      <w:highlight w:val="none"/>
                      <w:u w:val="none" w:color="auto"/>
                      <w:lang w:val="en-US" w:eastAsia="zh-CN"/>
                    </w:rPr>
                  </w:pPr>
                  <w:r>
                    <w:rPr>
                      <w:rFonts w:hint="default" w:ascii="Times New Roman" w:hAnsi="Times New Roman" w:eastAsia="宋体" w:cs="Times New Roman"/>
                      <w:color w:val="auto"/>
                      <w:highlight w:val="none"/>
                      <w:u w:val="none" w:color="auto"/>
                      <w:lang w:val="en-US" w:eastAsia="zh-CN"/>
                    </w:rPr>
                    <w:t>不涉及左述情形</w:t>
                  </w:r>
                </w:p>
              </w:tc>
            </w:tr>
            <w:tr w14:paraId="09D75A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25" w:type="pct"/>
                  <w:vAlign w:val="center"/>
                </w:tcPr>
                <w:p w14:paraId="41DA301B">
                  <w:pPr>
                    <w:pStyle w:val="103"/>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地表水</w:t>
                  </w:r>
                </w:p>
              </w:tc>
              <w:tc>
                <w:tcPr>
                  <w:tcW w:w="2923" w:type="pct"/>
                  <w:vAlign w:val="center"/>
                </w:tcPr>
                <w:p w14:paraId="76E92916">
                  <w:pPr>
                    <w:pStyle w:val="103"/>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新增工业废水直排建设项目（槽罐车外送污水处理厂的除外）；</w:t>
                  </w:r>
                </w:p>
                <w:p w14:paraId="4A32D674">
                  <w:pPr>
                    <w:pStyle w:val="103"/>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新增废水直排的污水集中处理厂</w:t>
                  </w:r>
                </w:p>
              </w:tc>
              <w:tc>
                <w:tcPr>
                  <w:tcW w:w="1675" w:type="dxa"/>
                  <w:vAlign w:val="center"/>
                </w:tcPr>
                <w:p w14:paraId="14BC05A9">
                  <w:pPr>
                    <w:pStyle w:val="103"/>
                    <w:rPr>
                      <w:rFonts w:hint="default" w:ascii="Times New Roman" w:hAnsi="Times New Roman" w:eastAsia="宋体" w:cs="Times New Roman"/>
                      <w:color w:val="auto"/>
                      <w:highlight w:val="none"/>
                      <w:u w:val="none" w:color="auto"/>
                      <w:lang w:val="en-US"/>
                    </w:rPr>
                  </w:pPr>
                  <w:r>
                    <w:rPr>
                      <w:rFonts w:hint="default" w:ascii="Times New Roman" w:hAnsi="Times New Roman" w:eastAsia="宋体" w:cs="Times New Roman"/>
                      <w:color w:val="auto"/>
                      <w:highlight w:val="none"/>
                      <w:u w:val="none" w:color="auto"/>
                      <w:lang w:val="en-US" w:eastAsia="zh-CN"/>
                    </w:rPr>
                    <w:t>不涉及左述废水直排情形</w:t>
                  </w:r>
                </w:p>
              </w:tc>
            </w:tr>
            <w:tr w14:paraId="7EA0D1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25" w:type="pct"/>
                  <w:vAlign w:val="center"/>
                </w:tcPr>
                <w:p w14:paraId="560BBBC0">
                  <w:pPr>
                    <w:pStyle w:val="103"/>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环境风险</w:t>
                  </w:r>
                </w:p>
              </w:tc>
              <w:tc>
                <w:tcPr>
                  <w:tcW w:w="2923" w:type="pct"/>
                  <w:vAlign w:val="center"/>
                </w:tcPr>
                <w:p w14:paraId="7FAC963B">
                  <w:pPr>
                    <w:pStyle w:val="103"/>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有毒有害和易燃易爆危险物质存储量超过临界量</w:t>
                  </w:r>
                  <w:r>
                    <w:rPr>
                      <w:rFonts w:hint="default" w:ascii="Times New Roman" w:hAnsi="Times New Roman" w:eastAsia="宋体" w:cs="Times New Roman"/>
                      <w:color w:val="auto"/>
                      <w:highlight w:val="none"/>
                      <w:u w:val="none" w:color="auto"/>
                      <w:vertAlign w:val="superscript"/>
                    </w:rPr>
                    <w:t>3</w:t>
                  </w:r>
                  <w:r>
                    <w:rPr>
                      <w:rFonts w:hint="default" w:ascii="Times New Roman" w:hAnsi="Times New Roman" w:eastAsia="宋体" w:cs="Times New Roman"/>
                      <w:color w:val="auto"/>
                      <w:highlight w:val="none"/>
                      <w:u w:val="none" w:color="auto"/>
                    </w:rPr>
                    <w:t>的建设项目</w:t>
                  </w:r>
                </w:p>
              </w:tc>
              <w:tc>
                <w:tcPr>
                  <w:tcW w:w="1251" w:type="pct"/>
                  <w:vAlign w:val="center"/>
                </w:tcPr>
                <w:p w14:paraId="202B706D">
                  <w:pPr>
                    <w:pStyle w:val="103"/>
                    <w:rPr>
                      <w:rFonts w:hint="default" w:ascii="Times New Roman" w:hAnsi="Times New Roman" w:eastAsia="宋体" w:cs="Times New Roman"/>
                      <w:snapToGrid w:val="0"/>
                      <w:color w:val="auto"/>
                      <w:highlight w:val="none"/>
                      <w:u w:val="none" w:color="auto"/>
                      <w:lang w:val="en-US" w:eastAsia="zh-CN"/>
                    </w:rPr>
                  </w:pPr>
                  <w:r>
                    <w:rPr>
                      <w:rFonts w:hint="default" w:ascii="Times New Roman" w:hAnsi="Times New Roman" w:eastAsia="宋体" w:cs="Times New Roman"/>
                      <w:snapToGrid w:val="0"/>
                      <w:color w:val="auto"/>
                      <w:highlight w:val="none"/>
                      <w:u w:val="none" w:color="auto"/>
                      <w:lang w:val="en-US" w:eastAsia="zh-CN"/>
                    </w:rPr>
                    <w:t>本项目依托的危废暂存间Q值＞1</w:t>
                  </w:r>
                </w:p>
              </w:tc>
            </w:tr>
            <w:tr w14:paraId="32AFB2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25" w:type="pct"/>
                  <w:vAlign w:val="center"/>
                </w:tcPr>
                <w:p w14:paraId="639EC0D6">
                  <w:pPr>
                    <w:pStyle w:val="103"/>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生态</w:t>
                  </w:r>
                </w:p>
              </w:tc>
              <w:tc>
                <w:tcPr>
                  <w:tcW w:w="2923" w:type="pct"/>
                  <w:vAlign w:val="center"/>
                </w:tcPr>
                <w:p w14:paraId="60316F38">
                  <w:pPr>
                    <w:pStyle w:val="103"/>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取水口下游500米范围内有重要水生生物的自然产卵场、索饵场、越冬场和洄游通道的新增河道取水的污染类建设项目</w:t>
                  </w:r>
                </w:p>
              </w:tc>
              <w:tc>
                <w:tcPr>
                  <w:tcW w:w="1251" w:type="pct"/>
                  <w:vAlign w:val="center"/>
                </w:tcPr>
                <w:p w14:paraId="0C37046E">
                  <w:pPr>
                    <w:pStyle w:val="103"/>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本项目不涉及取水口</w:t>
                  </w:r>
                </w:p>
              </w:tc>
            </w:tr>
            <w:tr w14:paraId="7A3CD7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25" w:type="pct"/>
                  <w:vAlign w:val="center"/>
                </w:tcPr>
                <w:p w14:paraId="62FED798">
                  <w:pPr>
                    <w:pStyle w:val="103"/>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海洋</w:t>
                  </w:r>
                </w:p>
              </w:tc>
              <w:tc>
                <w:tcPr>
                  <w:tcW w:w="2923" w:type="pct"/>
                  <w:vAlign w:val="center"/>
                </w:tcPr>
                <w:p w14:paraId="0EFAF4CE">
                  <w:pPr>
                    <w:pStyle w:val="103"/>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直接向海排放污染物的海洋工程建设项目</w:t>
                  </w:r>
                </w:p>
              </w:tc>
              <w:tc>
                <w:tcPr>
                  <w:tcW w:w="1251" w:type="pct"/>
                  <w:vAlign w:val="center"/>
                </w:tcPr>
                <w:p w14:paraId="7C2E1749">
                  <w:pPr>
                    <w:pStyle w:val="103"/>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不涉及</w:t>
                  </w:r>
                  <w:r>
                    <w:rPr>
                      <w:rFonts w:hint="default" w:ascii="Times New Roman" w:hAnsi="Times New Roman" w:eastAsia="宋体" w:cs="Times New Roman"/>
                      <w:color w:val="auto"/>
                      <w:highlight w:val="none"/>
                      <w:u w:val="none" w:color="auto"/>
                      <w:lang w:val="en-US" w:eastAsia="zh-CN"/>
                    </w:rPr>
                    <w:t>及左述情形</w:t>
                  </w:r>
                </w:p>
              </w:tc>
            </w:tr>
            <w:tr w14:paraId="47DBBF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000" w:type="pct"/>
                  <w:gridSpan w:val="3"/>
                  <w:vAlign w:val="center"/>
                </w:tcPr>
                <w:p w14:paraId="7E57FB8D">
                  <w:pPr>
                    <w:pStyle w:val="103"/>
                    <w:jc w:val="left"/>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备注：1.废气中有毒有害污染物指纳入《有毒有害大气污染物名录》的污染物（不包括无排放标准的污染物）。</w:t>
                  </w:r>
                </w:p>
                <w:p w14:paraId="5AF7D900">
                  <w:pPr>
                    <w:pStyle w:val="103"/>
                    <w:jc w:val="left"/>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2.环境空气保护目标指自然保护区、风景名胜区、居住区、文化区和农村地区中人群较集中的区域。</w:t>
                  </w:r>
                </w:p>
                <w:p w14:paraId="34A5E764">
                  <w:pPr>
                    <w:pStyle w:val="103"/>
                    <w:jc w:val="left"/>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3.临界量及其计算方法可参考《建设项目环境风险评价技术导则》（HJ169-2018）附录B、附录C。</w:t>
                  </w:r>
                </w:p>
              </w:tc>
            </w:tr>
          </w:tbl>
          <w:p w14:paraId="5F02FF22">
            <w:pPr>
              <w:autoSpaceDE w:val="0"/>
              <w:autoSpaceDN w:val="0"/>
              <w:adjustRightInd w:val="0"/>
              <w:snapToGrid w:val="0"/>
              <w:jc w:val="center"/>
              <w:rPr>
                <w:rFonts w:hint="default" w:ascii="Times New Roman" w:hAnsi="Times New Roman" w:eastAsia="宋体" w:cs="Times New Roman"/>
                <w:color w:val="auto"/>
                <w:kern w:val="0"/>
                <w:sz w:val="24"/>
                <w:szCs w:val="24"/>
                <w:u w:val="none" w:color="auto"/>
              </w:rPr>
            </w:pPr>
          </w:p>
        </w:tc>
      </w:tr>
      <w:tr w14:paraId="17E872A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950" w:type="dxa"/>
            <w:noWrap w:val="0"/>
            <w:vAlign w:val="center"/>
          </w:tcPr>
          <w:p w14:paraId="44ECC673">
            <w:pPr>
              <w:autoSpaceDE w:val="0"/>
              <w:autoSpaceDN w:val="0"/>
              <w:adjustRightInd w:val="0"/>
              <w:snapToGrid w:val="0"/>
              <w:jc w:val="center"/>
              <w:rPr>
                <w:rFonts w:hint="default" w:ascii="Times New Roman" w:hAnsi="Times New Roman" w:eastAsia="宋体" w:cs="Times New Roman"/>
                <w:color w:val="auto"/>
                <w:kern w:val="0"/>
                <w:sz w:val="24"/>
                <w:szCs w:val="24"/>
                <w:u w:val="none" w:color="auto"/>
              </w:rPr>
            </w:pPr>
            <w:r>
              <w:rPr>
                <w:rFonts w:hint="default" w:ascii="Times New Roman" w:hAnsi="Times New Roman" w:eastAsia="宋体" w:cs="Times New Roman"/>
                <w:color w:val="auto"/>
                <w:sz w:val="24"/>
                <w:szCs w:val="24"/>
                <w:u w:val="none" w:color="auto"/>
              </w:rPr>
              <w:t>规划情况</w:t>
            </w:r>
          </w:p>
        </w:tc>
        <w:tc>
          <w:tcPr>
            <w:tcW w:w="6920" w:type="dxa"/>
            <w:gridSpan w:val="3"/>
            <w:noWrap w:val="0"/>
            <w:vAlign w:val="center"/>
          </w:tcPr>
          <w:p w14:paraId="40CFFCB4">
            <w:pPr>
              <w:autoSpaceDE w:val="0"/>
              <w:autoSpaceDN w:val="0"/>
              <w:spacing w:line="360" w:lineRule="auto"/>
              <w:ind w:firstLine="480" w:firstLineChars="200"/>
              <w:rPr>
                <w:rFonts w:hint="default" w:ascii="Times New Roman" w:hAnsi="Times New Roman" w:eastAsia="宋体" w:cs="Times New Roman"/>
                <w:color w:val="auto"/>
                <w:kern w:val="0"/>
                <w:sz w:val="24"/>
                <w:szCs w:val="24"/>
                <w:u w:val="none" w:color="auto"/>
                <w:lang w:val="en-US" w:eastAsia="zh-CN"/>
              </w:rPr>
            </w:pPr>
            <w:r>
              <w:rPr>
                <w:rFonts w:hint="default" w:ascii="Times New Roman" w:hAnsi="Times New Roman" w:eastAsia="宋体" w:cs="Times New Roman"/>
                <w:color w:val="auto"/>
                <w:kern w:val="0"/>
                <w:sz w:val="24"/>
                <w:szCs w:val="24"/>
                <w:u w:val="none" w:color="auto"/>
                <w:lang w:val="en-US" w:eastAsia="zh-CN"/>
              </w:rPr>
              <w:t>规划名称：《湖南城陵矶临港产业新区总体规划（2011-2030）》；</w:t>
            </w:r>
          </w:p>
          <w:p w14:paraId="0AB862B5">
            <w:pPr>
              <w:autoSpaceDE w:val="0"/>
              <w:autoSpaceDN w:val="0"/>
              <w:spacing w:line="360" w:lineRule="auto"/>
              <w:ind w:firstLine="480" w:firstLineChars="200"/>
              <w:rPr>
                <w:rFonts w:hint="default" w:ascii="Times New Roman" w:hAnsi="Times New Roman" w:eastAsia="宋体" w:cs="Times New Roman"/>
                <w:color w:val="auto"/>
                <w:kern w:val="0"/>
                <w:sz w:val="24"/>
                <w:szCs w:val="24"/>
                <w:u w:val="none" w:color="auto"/>
                <w:lang w:val="en-US" w:eastAsia="zh-CN"/>
              </w:rPr>
            </w:pPr>
            <w:r>
              <w:rPr>
                <w:rFonts w:hint="default" w:ascii="Times New Roman" w:hAnsi="Times New Roman" w:eastAsia="宋体" w:cs="Times New Roman"/>
                <w:color w:val="auto"/>
                <w:kern w:val="0"/>
                <w:sz w:val="24"/>
                <w:szCs w:val="24"/>
                <w:u w:val="none" w:color="auto"/>
                <w:lang w:val="en-US" w:eastAsia="zh-CN"/>
              </w:rPr>
              <w:t>审批机关：由湖南省人民政府批准设立的省级园区；</w:t>
            </w:r>
          </w:p>
          <w:p w14:paraId="10060814">
            <w:pPr>
              <w:autoSpaceDE w:val="0"/>
              <w:autoSpaceDN w:val="0"/>
              <w:spacing w:line="360" w:lineRule="auto"/>
              <w:ind w:firstLine="480" w:firstLineChars="200"/>
              <w:rPr>
                <w:rFonts w:hint="default" w:ascii="Times New Roman" w:hAnsi="Times New Roman" w:eastAsia="宋体" w:cs="Times New Roman"/>
                <w:color w:val="auto"/>
                <w:kern w:val="0"/>
                <w:sz w:val="24"/>
                <w:szCs w:val="24"/>
                <w:u w:val="none" w:color="auto"/>
              </w:rPr>
            </w:pPr>
            <w:r>
              <w:rPr>
                <w:rFonts w:hint="default" w:ascii="Times New Roman" w:hAnsi="Times New Roman" w:eastAsia="宋体" w:cs="Times New Roman"/>
                <w:color w:val="auto"/>
                <w:kern w:val="0"/>
                <w:sz w:val="24"/>
                <w:szCs w:val="24"/>
                <w:u w:val="none" w:color="auto"/>
                <w:lang w:val="en-US" w:eastAsia="zh-CN"/>
              </w:rPr>
              <w:t>审批文号：湘政函[2012]86号</w:t>
            </w:r>
          </w:p>
        </w:tc>
      </w:tr>
      <w:tr w14:paraId="539EB58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61" w:hRule="atLeast"/>
          <w:jc w:val="center"/>
        </w:trPr>
        <w:tc>
          <w:tcPr>
            <w:tcW w:w="1950" w:type="dxa"/>
            <w:noWrap w:val="0"/>
            <w:vAlign w:val="center"/>
          </w:tcPr>
          <w:p w14:paraId="1CA117DC">
            <w:pPr>
              <w:adjustRightInd w:val="0"/>
              <w:snapToGrid w:val="0"/>
              <w:jc w:val="center"/>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规划环境影响</w:t>
            </w:r>
          </w:p>
          <w:p w14:paraId="6075601C">
            <w:pPr>
              <w:adjustRightInd w:val="0"/>
              <w:snapToGrid w:val="0"/>
              <w:jc w:val="center"/>
              <w:rPr>
                <w:rFonts w:hint="default" w:ascii="Times New Roman" w:hAnsi="Times New Roman" w:eastAsia="宋体" w:cs="Times New Roman"/>
                <w:color w:val="auto"/>
                <w:kern w:val="0"/>
                <w:sz w:val="24"/>
                <w:szCs w:val="24"/>
                <w:u w:val="none" w:color="auto"/>
              </w:rPr>
            </w:pPr>
            <w:r>
              <w:rPr>
                <w:rFonts w:hint="default" w:ascii="Times New Roman" w:hAnsi="Times New Roman" w:eastAsia="宋体" w:cs="Times New Roman"/>
                <w:color w:val="auto"/>
                <w:sz w:val="24"/>
                <w:szCs w:val="24"/>
                <w:u w:val="none" w:color="auto"/>
              </w:rPr>
              <w:t>评价情况</w:t>
            </w:r>
          </w:p>
        </w:tc>
        <w:tc>
          <w:tcPr>
            <w:tcW w:w="6920" w:type="dxa"/>
            <w:gridSpan w:val="3"/>
            <w:noWrap w:val="0"/>
            <w:vAlign w:val="center"/>
          </w:tcPr>
          <w:p w14:paraId="1F3DECE0">
            <w:pPr>
              <w:autoSpaceDE w:val="0"/>
              <w:autoSpaceDN w:val="0"/>
              <w:spacing w:line="360" w:lineRule="auto"/>
              <w:ind w:firstLine="480" w:firstLineChars="200"/>
              <w:rPr>
                <w:rFonts w:hint="default" w:ascii="Times New Roman" w:hAnsi="Times New Roman" w:eastAsia="宋体" w:cs="Times New Roman"/>
                <w:color w:val="auto"/>
                <w:kern w:val="0"/>
                <w:sz w:val="24"/>
                <w:szCs w:val="24"/>
                <w:u w:val="none" w:color="auto"/>
              </w:rPr>
            </w:pPr>
            <w:r>
              <w:rPr>
                <w:rFonts w:hint="default" w:ascii="Times New Roman" w:hAnsi="Times New Roman" w:eastAsia="宋体" w:cs="Times New Roman"/>
                <w:color w:val="auto"/>
                <w:kern w:val="0"/>
                <w:sz w:val="24"/>
                <w:szCs w:val="24"/>
                <w:u w:val="none" w:color="auto"/>
              </w:rPr>
              <w:t>2021年9月，湖南城陵矶临港产业新区管理委员会委托湖南景玺环保科技有限公司编制了《岳阳临港高新技术产业开发区环境影响跟踪评价报告书（报批稿）》，并于2021年10月取得了湖南省生态环境厅的批复，批复文号为湘环评函〔2021〕33号。</w:t>
            </w:r>
          </w:p>
        </w:tc>
      </w:tr>
      <w:tr w14:paraId="0EC903A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84" w:hRule="atLeast"/>
          <w:jc w:val="center"/>
        </w:trPr>
        <w:tc>
          <w:tcPr>
            <w:tcW w:w="1950" w:type="dxa"/>
            <w:noWrap w:val="0"/>
            <w:vAlign w:val="center"/>
          </w:tcPr>
          <w:p w14:paraId="58296658">
            <w:pPr>
              <w:autoSpaceDE w:val="0"/>
              <w:autoSpaceDN w:val="0"/>
              <w:adjustRightInd w:val="0"/>
              <w:snapToGrid w:val="0"/>
              <w:jc w:val="center"/>
              <w:rPr>
                <w:rFonts w:hint="default" w:ascii="Times New Roman" w:hAnsi="Times New Roman" w:eastAsia="宋体" w:cs="Times New Roman"/>
                <w:color w:val="auto"/>
                <w:kern w:val="0"/>
                <w:sz w:val="24"/>
                <w:szCs w:val="24"/>
                <w:u w:val="none" w:color="auto"/>
              </w:rPr>
            </w:pPr>
            <w:r>
              <w:rPr>
                <w:rFonts w:hint="default" w:ascii="Times New Roman" w:hAnsi="Times New Roman" w:eastAsia="宋体" w:cs="Times New Roman"/>
                <w:color w:val="auto"/>
                <w:kern w:val="0"/>
                <w:sz w:val="24"/>
                <w:szCs w:val="24"/>
                <w:u w:val="none" w:color="auto"/>
              </w:rPr>
              <w:t>规划及规划环境</w:t>
            </w:r>
          </w:p>
          <w:p w14:paraId="5286E382">
            <w:pPr>
              <w:autoSpaceDE w:val="0"/>
              <w:autoSpaceDN w:val="0"/>
              <w:adjustRightInd w:val="0"/>
              <w:snapToGrid w:val="0"/>
              <w:jc w:val="center"/>
              <w:rPr>
                <w:rFonts w:hint="default" w:ascii="Times New Roman" w:hAnsi="Times New Roman" w:eastAsia="宋体" w:cs="Times New Roman"/>
                <w:color w:val="auto"/>
                <w:kern w:val="0"/>
                <w:sz w:val="24"/>
                <w:szCs w:val="24"/>
                <w:u w:val="none" w:color="auto"/>
              </w:rPr>
            </w:pPr>
            <w:r>
              <w:rPr>
                <w:rFonts w:hint="default" w:ascii="Times New Roman" w:hAnsi="Times New Roman" w:eastAsia="宋体" w:cs="Times New Roman"/>
                <w:color w:val="auto"/>
                <w:kern w:val="0"/>
                <w:sz w:val="24"/>
                <w:szCs w:val="24"/>
                <w:u w:val="none" w:color="auto"/>
              </w:rPr>
              <w:t>影响评价符合性分析</w:t>
            </w:r>
          </w:p>
        </w:tc>
        <w:tc>
          <w:tcPr>
            <w:tcW w:w="6920" w:type="dxa"/>
            <w:gridSpan w:val="3"/>
            <w:noWrap w:val="0"/>
            <w:vAlign w:val="center"/>
          </w:tcPr>
          <w:p w14:paraId="6CB50C6B">
            <w:pPr>
              <w:autoSpaceDE w:val="0"/>
              <w:autoSpaceDN w:val="0"/>
              <w:adjustRightInd w:val="0"/>
              <w:snapToGrid w:val="0"/>
              <w:spacing w:line="360" w:lineRule="auto"/>
              <w:rPr>
                <w:rFonts w:hint="default" w:ascii="Times New Roman" w:hAnsi="Times New Roman" w:eastAsia="宋体" w:cs="Times New Roman"/>
                <w:b/>
                <w:bCs/>
                <w:color w:val="auto"/>
                <w:sz w:val="24"/>
                <w:szCs w:val="24"/>
                <w:u w:val="none" w:color="auto"/>
              </w:rPr>
            </w:pPr>
            <w:r>
              <w:rPr>
                <w:rFonts w:hint="default" w:ascii="Times New Roman" w:hAnsi="Times New Roman" w:eastAsia="宋体" w:cs="Times New Roman"/>
                <w:b/>
                <w:bCs/>
                <w:color w:val="auto"/>
                <w:sz w:val="24"/>
                <w:szCs w:val="24"/>
                <w:u w:val="none" w:color="auto"/>
              </w:rPr>
              <w:t>一、本项目与《湖南城陵矶临港产业新区规划》及《岳阳临港高新技术产业开发区环境影响跟踪评价报告书（报批稿）》符合性分析</w:t>
            </w:r>
          </w:p>
          <w:p w14:paraId="04FD9EB5">
            <w:pPr>
              <w:autoSpaceDE w:val="0"/>
              <w:autoSpaceDN w:val="0"/>
              <w:adjustRightInd w:val="0"/>
              <w:snapToGrid w:val="0"/>
              <w:spacing w:line="360" w:lineRule="auto"/>
              <w:ind w:firstLine="482" w:firstLineChars="200"/>
              <w:rPr>
                <w:rFonts w:hint="default" w:ascii="Times New Roman" w:hAnsi="Times New Roman" w:eastAsia="宋体" w:cs="Times New Roman"/>
                <w:b/>
                <w:bCs/>
                <w:color w:val="auto"/>
                <w:sz w:val="24"/>
                <w:szCs w:val="24"/>
                <w:u w:val="none" w:color="auto"/>
              </w:rPr>
            </w:pPr>
            <w:r>
              <w:rPr>
                <w:rFonts w:hint="default" w:ascii="Times New Roman" w:hAnsi="Times New Roman" w:eastAsia="宋体" w:cs="Times New Roman"/>
                <w:b/>
                <w:bCs/>
                <w:color w:val="auto"/>
                <w:sz w:val="24"/>
                <w:szCs w:val="24"/>
                <w:u w:val="none" w:color="auto"/>
              </w:rPr>
              <w:t>1、土地利用规划</w:t>
            </w:r>
          </w:p>
          <w:p w14:paraId="0F6C14B1">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lang w:val="en-US" w:eastAsia="zh-CN"/>
              </w:rPr>
              <w:t>本项目位于湖南城陵临港产业新区的湖南中创空天新材料股份有限公司现有厂区范围内的现有铝合金熔铸车间和现有原料库（拟改为熔铸二厂），以及湖南城陵矶临港高新产业园14#栋、15#栋、21#栋、22#栋</w:t>
            </w:r>
            <w:r>
              <w:rPr>
                <w:rFonts w:hint="default" w:ascii="Times New Roman" w:hAnsi="Times New Roman" w:eastAsia="宋体" w:cs="Times New Roman"/>
                <w:color w:val="auto"/>
                <w:sz w:val="24"/>
                <w:szCs w:val="24"/>
                <w:highlight w:val="none"/>
                <w:u w:val="none" w:color="auto"/>
              </w:rPr>
              <w:t>。</w:t>
            </w:r>
          </w:p>
          <w:p w14:paraId="03F792A5">
            <w:pPr>
              <w:autoSpaceDE w:val="0"/>
              <w:autoSpaceDN w:val="0"/>
              <w:adjustRightInd w:val="0"/>
              <w:snapToGrid w:val="0"/>
              <w:spacing w:line="360" w:lineRule="auto"/>
              <w:ind w:firstLine="480" w:firstLineChars="200"/>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highlight w:val="none"/>
                <w:u w:val="none" w:color="auto"/>
                <w:lang w:val="en-US" w:eastAsia="zh-CN"/>
              </w:rPr>
              <w:t>项目用地属于</w:t>
            </w:r>
            <w:r>
              <w:rPr>
                <w:rFonts w:hint="default" w:ascii="Times New Roman" w:hAnsi="Times New Roman" w:eastAsia="宋体" w:cs="Times New Roman"/>
                <w:color w:val="auto"/>
                <w:sz w:val="24"/>
                <w:szCs w:val="24"/>
                <w:highlight w:val="none"/>
                <w:u w:val="none" w:color="auto"/>
              </w:rPr>
              <w:t>湖南城陵矶临港产业</w:t>
            </w:r>
            <w:r>
              <w:rPr>
                <w:rFonts w:hint="default" w:ascii="Times New Roman" w:hAnsi="Times New Roman" w:eastAsia="宋体" w:cs="Times New Roman"/>
                <w:color w:val="auto"/>
                <w:sz w:val="24"/>
                <w:szCs w:val="24"/>
                <w:highlight w:val="none"/>
                <w:u w:val="none" w:color="auto"/>
                <w:lang w:val="en-US" w:eastAsia="zh-CN"/>
              </w:rPr>
              <w:t>核心区批复的范围内</w:t>
            </w:r>
            <w:r>
              <w:rPr>
                <w:rFonts w:hint="default" w:ascii="Times New Roman" w:hAnsi="Times New Roman" w:eastAsia="宋体" w:cs="Times New Roman"/>
                <w:color w:val="auto"/>
                <w:sz w:val="24"/>
                <w:szCs w:val="24"/>
                <w:highlight w:val="none"/>
                <w:u w:val="none" w:color="auto"/>
              </w:rPr>
              <w:t>。根据《湖南城陵矶临港产业新区总体规划(2011-2030年)》可知，所在产业园属于新港沿江产业区，项目所在地块属于工业用地，符合土地利用规划。</w:t>
            </w:r>
          </w:p>
          <w:p w14:paraId="71355C5F">
            <w:pPr>
              <w:autoSpaceDE w:val="0"/>
              <w:autoSpaceDN w:val="0"/>
              <w:adjustRightInd w:val="0"/>
              <w:snapToGrid w:val="0"/>
              <w:spacing w:line="360" w:lineRule="auto"/>
              <w:ind w:firstLine="482" w:firstLineChars="200"/>
              <w:rPr>
                <w:rFonts w:hint="default" w:ascii="Times New Roman" w:hAnsi="Times New Roman" w:eastAsia="宋体" w:cs="Times New Roman"/>
                <w:b/>
                <w:bCs/>
                <w:color w:val="auto"/>
                <w:sz w:val="24"/>
                <w:szCs w:val="24"/>
                <w:u w:val="none" w:color="auto"/>
              </w:rPr>
            </w:pPr>
            <w:r>
              <w:rPr>
                <w:rFonts w:hint="default" w:ascii="Times New Roman" w:hAnsi="Times New Roman" w:eastAsia="宋体" w:cs="Times New Roman"/>
                <w:b/>
                <w:bCs/>
                <w:color w:val="auto"/>
                <w:sz w:val="24"/>
                <w:szCs w:val="24"/>
                <w:u w:val="none" w:color="auto"/>
              </w:rPr>
              <w:t>2、产业定位</w:t>
            </w:r>
          </w:p>
          <w:p w14:paraId="0E6B6A83">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根据《岳阳临港高新技术产业开发区环境影响跟踪评价报告书(报批稿)》(以下简称“《跟踪评价报告》”)及《关于岳阳临港高新技术产业开发区环境影响跟踪评价工作意见的函》(湘环评函(2021)33号)提出的产业定位可知，岳阳临港高新技术产业开发区产业定位为新材料、高技术服务、高端装备制造和电子信息四大产业，其中高端装备制造区</w:t>
            </w:r>
            <w:r>
              <w:rPr>
                <w:rFonts w:hint="default" w:ascii="Times New Roman" w:hAnsi="Times New Roman" w:eastAsia="宋体" w:cs="Times New Roman"/>
                <w:color w:val="auto"/>
                <w:sz w:val="24"/>
                <w:szCs w:val="24"/>
                <w:highlight w:val="none"/>
                <w:u w:val="none" w:color="auto"/>
                <w:lang w:eastAsia="zh-CN"/>
              </w:rPr>
              <w:t>：</w:t>
            </w:r>
            <w:r>
              <w:rPr>
                <w:rFonts w:hint="default" w:ascii="Times New Roman" w:hAnsi="Times New Roman" w:eastAsia="宋体" w:cs="Times New Roman"/>
                <w:color w:val="auto"/>
                <w:sz w:val="24"/>
                <w:szCs w:val="24"/>
                <w:highlight w:val="none"/>
                <w:u w:val="none" w:color="auto"/>
              </w:rPr>
              <w:t>在长江大道以东、连城路以西、松阳湖路以南、兴港路以北规划布置。加快高端装备制造项目的招商引资力度，重点发展港口机械装备、工程建筑装备、化工机械装备和交通运输装备等产业，带动相关配套零部件发展。</w:t>
            </w:r>
          </w:p>
          <w:p w14:paraId="58430E79">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本项目产品主要用于</w:t>
            </w:r>
            <w:r>
              <w:rPr>
                <w:rFonts w:hint="default" w:ascii="Times New Roman" w:hAnsi="Times New Roman" w:eastAsia="宋体" w:cs="Times New Roman"/>
                <w:color w:val="auto"/>
                <w:sz w:val="24"/>
                <w:szCs w:val="24"/>
                <w:highlight w:val="none"/>
                <w:u w:val="none" w:color="auto"/>
                <w:lang w:val="en-US" w:eastAsia="zh-CN"/>
              </w:rPr>
              <w:t>新能源汽车</w:t>
            </w:r>
            <w:r>
              <w:rPr>
                <w:rFonts w:hint="default" w:ascii="Times New Roman" w:hAnsi="Times New Roman" w:eastAsia="宋体" w:cs="Times New Roman"/>
                <w:color w:val="auto"/>
                <w:sz w:val="24"/>
                <w:szCs w:val="24"/>
                <w:highlight w:val="none"/>
                <w:u w:val="none" w:color="auto"/>
              </w:rPr>
              <w:t>所用的</w:t>
            </w:r>
            <w:r>
              <w:rPr>
                <w:rFonts w:hint="default" w:ascii="Times New Roman" w:hAnsi="Times New Roman" w:eastAsia="宋体" w:cs="Times New Roman"/>
                <w:color w:val="auto"/>
                <w:sz w:val="24"/>
                <w:szCs w:val="24"/>
                <w:highlight w:val="none"/>
                <w:u w:val="none" w:color="auto"/>
                <w:lang w:val="en-US" w:eastAsia="zh-CN"/>
              </w:rPr>
              <w:t>动力外壳所需一体压铸高端铝合金材料及其部分组件</w:t>
            </w:r>
            <w:r>
              <w:rPr>
                <w:rFonts w:hint="default" w:ascii="Times New Roman" w:hAnsi="Times New Roman" w:eastAsia="宋体" w:cs="Times New Roman"/>
                <w:color w:val="auto"/>
                <w:sz w:val="24"/>
                <w:szCs w:val="24"/>
                <w:highlight w:val="none"/>
                <w:u w:val="none" w:color="auto"/>
              </w:rPr>
              <w:t>，具有较高的科技含量、产品附加值高等特点，因此项目的建设符合高端装备制造的产业定位。</w:t>
            </w:r>
          </w:p>
          <w:p w14:paraId="02233DCB">
            <w:pPr>
              <w:autoSpaceDE w:val="0"/>
              <w:autoSpaceDN w:val="0"/>
              <w:adjustRightInd w:val="0"/>
              <w:snapToGrid w:val="0"/>
              <w:spacing w:line="360" w:lineRule="auto"/>
              <w:ind w:firstLine="482" w:firstLineChars="200"/>
              <w:rPr>
                <w:rFonts w:hint="default" w:ascii="Times New Roman" w:hAnsi="Times New Roman" w:eastAsia="宋体" w:cs="Times New Roman"/>
                <w:b/>
                <w:bCs/>
                <w:color w:val="auto"/>
                <w:sz w:val="24"/>
                <w:szCs w:val="24"/>
                <w:u w:val="none" w:color="auto"/>
              </w:rPr>
            </w:pPr>
            <w:r>
              <w:rPr>
                <w:rFonts w:hint="default" w:ascii="Times New Roman" w:hAnsi="Times New Roman" w:eastAsia="宋体" w:cs="Times New Roman"/>
                <w:b/>
                <w:bCs/>
                <w:color w:val="auto"/>
                <w:sz w:val="24"/>
                <w:szCs w:val="24"/>
                <w:u w:val="none" w:color="auto"/>
              </w:rPr>
              <w:t>3、准入清单</w:t>
            </w:r>
          </w:p>
          <w:p w14:paraId="1B239A14">
            <w:pPr>
              <w:autoSpaceDE w:val="0"/>
              <w:autoSpaceDN w:val="0"/>
              <w:adjustRightInd w:val="0"/>
              <w:snapToGrid w:val="0"/>
              <w:spacing w:line="360" w:lineRule="auto"/>
              <w:ind w:firstLine="480" w:firstLineChars="200"/>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根据《岳阳临港高新技术产业开发区环境影响跟踪评价报告书（报批稿）》提出的准入清单</w:t>
            </w:r>
            <w:r>
              <w:rPr>
                <w:rFonts w:hint="default" w:ascii="Times New Roman" w:hAnsi="Times New Roman" w:eastAsia="宋体" w:cs="Times New Roman"/>
                <w:color w:val="auto"/>
                <w:sz w:val="24"/>
                <w:szCs w:val="24"/>
                <w:u w:val="none" w:color="auto"/>
                <w:lang w:val="en-US" w:eastAsia="zh-CN"/>
              </w:rPr>
              <w:t>及其环评批复</w:t>
            </w:r>
            <w:r>
              <w:rPr>
                <w:rFonts w:hint="default" w:ascii="Times New Roman" w:hAnsi="Times New Roman" w:eastAsia="宋体" w:cs="Times New Roman"/>
                <w:color w:val="auto"/>
                <w:sz w:val="24"/>
                <w:szCs w:val="24"/>
                <w:u w:val="none" w:color="auto"/>
              </w:rPr>
              <w:t>如下所示：</w:t>
            </w:r>
          </w:p>
          <w:p w14:paraId="55FF58D1">
            <w:pPr>
              <w:jc w:val="center"/>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表1-1  临港行业准入及准入条件一览表</w:t>
            </w:r>
          </w:p>
          <w:tbl>
            <w:tblPr>
              <w:tblStyle w:val="32"/>
              <w:tblW w:w="0" w:type="auto"/>
              <w:tblInd w:w="-1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321"/>
              <w:gridCol w:w="2652"/>
              <w:gridCol w:w="2695"/>
              <w:gridCol w:w="1026"/>
            </w:tblGrid>
            <w:tr w14:paraId="30B0EE1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21" w:type="dxa"/>
                  <w:tcBorders>
                    <w:tl2br w:val="nil"/>
                    <w:tr2bl w:val="nil"/>
                  </w:tcBorders>
                  <w:tcMar>
                    <w:top w:w="57" w:type="dxa"/>
                    <w:left w:w="51" w:type="dxa"/>
                    <w:bottom w:w="57" w:type="dxa"/>
                    <w:right w:w="51" w:type="dxa"/>
                  </w:tcMar>
                  <w:vAlign w:val="center"/>
                </w:tcPr>
                <w:p w14:paraId="5083EFE1">
                  <w:pPr>
                    <w:pStyle w:val="99"/>
                    <w:keepNext w:val="0"/>
                    <w:keepLines w:val="0"/>
                    <w:pageBreakBefore w:val="0"/>
                    <w:widowControl/>
                    <w:kinsoku/>
                    <w:wordWrap/>
                    <w:overflowPunct/>
                    <w:topLinePunct w:val="0"/>
                    <w:autoSpaceDE w:val="0"/>
                    <w:autoSpaceDN w:val="0"/>
                    <w:bidi w:val="0"/>
                    <w:adjustRightInd/>
                    <w:snapToGrid/>
                    <w:spacing w:line="240" w:lineRule="auto"/>
                    <w:ind w:left="0" w:firstLine="0" w:firstLineChars="0"/>
                    <w:jc w:val="center"/>
                    <w:textAlignment w:val="auto"/>
                    <w:rPr>
                      <w:rFonts w:hint="default" w:ascii="Times New Roman" w:hAnsi="Times New Roman" w:eastAsia="宋体" w:cs="Times New Roman"/>
                      <w:b/>
                      <w:bCs w:val="0"/>
                      <w:color w:val="auto"/>
                      <w:sz w:val="21"/>
                      <w:szCs w:val="21"/>
                      <w:u w:val="none" w:color="auto"/>
                      <w:lang w:val="en-US" w:eastAsia="zh-CN"/>
                    </w:rPr>
                  </w:pPr>
                  <w:r>
                    <w:rPr>
                      <w:rFonts w:hint="default" w:ascii="Times New Roman" w:hAnsi="Times New Roman" w:eastAsia="宋体" w:cs="Times New Roman"/>
                      <w:b/>
                      <w:bCs w:val="0"/>
                      <w:color w:val="auto"/>
                      <w:sz w:val="21"/>
                      <w:szCs w:val="21"/>
                      <w:u w:val="none" w:color="auto"/>
                      <w:lang w:val="en-US" w:eastAsia="zh-CN"/>
                    </w:rPr>
                    <w:t>类型</w:t>
                  </w:r>
                </w:p>
              </w:tc>
              <w:tc>
                <w:tcPr>
                  <w:tcW w:w="2652" w:type="dxa"/>
                  <w:tcBorders>
                    <w:tl2br w:val="nil"/>
                    <w:tr2bl w:val="nil"/>
                  </w:tcBorders>
                  <w:tcMar>
                    <w:top w:w="57" w:type="dxa"/>
                    <w:left w:w="51" w:type="dxa"/>
                    <w:bottom w:w="57" w:type="dxa"/>
                    <w:right w:w="51" w:type="dxa"/>
                  </w:tcMar>
                  <w:vAlign w:val="center"/>
                </w:tcPr>
                <w:p w14:paraId="1BD83F7D">
                  <w:pPr>
                    <w:pStyle w:val="99"/>
                    <w:keepNext w:val="0"/>
                    <w:keepLines w:val="0"/>
                    <w:pageBreakBefore w:val="0"/>
                    <w:widowControl/>
                    <w:kinsoku/>
                    <w:wordWrap/>
                    <w:overflowPunct/>
                    <w:topLinePunct w:val="0"/>
                    <w:autoSpaceDE w:val="0"/>
                    <w:autoSpaceDN w:val="0"/>
                    <w:bidi w:val="0"/>
                    <w:adjustRightInd/>
                    <w:snapToGrid/>
                    <w:spacing w:line="240" w:lineRule="auto"/>
                    <w:ind w:left="0" w:firstLine="0" w:firstLineChars="0"/>
                    <w:jc w:val="center"/>
                    <w:textAlignment w:val="auto"/>
                    <w:rPr>
                      <w:rFonts w:hint="default" w:ascii="Times New Roman" w:hAnsi="Times New Roman" w:eastAsia="宋体" w:cs="Times New Roman"/>
                      <w:b/>
                      <w:bCs w:val="0"/>
                      <w:color w:val="auto"/>
                      <w:sz w:val="21"/>
                      <w:szCs w:val="21"/>
                      <w:u w:val="none" w:color="auto"/>
                      <w:lang w:val="en-US" w:eastAsia="zh-CN"/>
                    </w:rPr>
                  </w:pPr>
                  <w:r>
                    <w:rPr>
                      <w:rFonts w:hint="default" w:ascii="Times New Roman" w:hAnsi="Times New Roman" w:eastAsia="宋体" w:cs="Times New Roman"/>
                      <w:b/>
                      <w:bCs w:val="0"/>
                      <w:color w:val="auto"/>
                      <w:sz w:val="21"/>
                      <w:szCs w:val="21"/>
                      <w:u w:val="none" w:color="auto"/>
                      <w:lang w:val="en-US" w:eastAsia="zh-CN"/>
                    </w:rPr>
                    <w:t>行业类别</w:t>
                  </w:r>
                </w:p>
              </w:tc>
              <w:tc>
                <w:tcPr>
                  <w:tcW w:w="2695" w:type="dxa"/>
                  <w:tcBorders>
                    <w:tl2br w:val="nil"/>
                    <w:tr2bl w:val="nil"/>
                  </w:tcBorders>
                  <w:tcMar>
                    <w:top w:w="57" w:type="dxa"/>
                    <w:left w:w="51" w:type="dxa"/>
                    <w:bottom w:w="57" w:type="dxa"/>
                    <w:right w:w="51" w:type="dxa"/>
                  </w:tcMar>
                  <w:vAlign w:val="center"/>
                </w:tcPr>
                <w:p w14:paraId="68D9B0B8">
                  <w:pPr>
                    <w:pStyle w:val="99"/>
                    <w:keepNext w:val="0"/>
                    <w:keepLines w:val="0"/>
                    <w:pageBreakBefore w:val="0"/>
                    <w:widowControl/>
                    <w:kinsoku/>
                    <w:wordWrap/>
                    <w:overflowPunct/>
                    <w:topLinePunct w:val="0"/>
                    <w:autoSpaceDE w:val="0"/>
                    <w:autoSpaceDN w:val="0"/>
                    <w:bidi w:val="0"/>
                    <w:adjustRightInd/>
                    <w:snapToGrid/>
                    <w:spacing w:line="240" w:lineRule="auto"/>
                    <w:ind w:left="0" w:firstLine="0" w:firstLineChars="0"/>
                    <w:jc w:val="center"/>
                    <w:textAlignment w:val="auto"/>
                    <w:rPr>
                      <w:rFonts w:hint="default" w:ascii="Times New Roman" w:hAnsi="Times New Roman" w:eastAsia="宋体" w:cs="Times New Roman"/>
                      <w:b/>
                      <w:bCs w:val="0"/>
                      <w:color w:val="auto"/>
                      <w:sz w:val="21"/>
                      <w:szCs w:val="21"/>
                      <w:u w:val="none" w:color="auto"/>
                      <w:lang w:val="en-US" w:eastAsia="zh-CN"/>
                    </w:rPr>
                  </w:pPr>
                  <w:r>
                    <w:rPr>
                      <w:rFonts w:hint="default" w:ascii="Times New Roman" w:hAnsi="Times New Roman" w:eastAsia="宋体" w:cs="Times New Roman"/>
                      <w:b/>
                      <w:bCs w:val="0"/>
                      <w:color w:val="auto"/>
                      <w:sz w:val="21"/>
                      <w:szCs w:val="21"/>
                      <w:u w:val="none" w:color="auto"/>
                      <w:lang w:val="en-US" w:eastAsia="zh-CN"/>
                    </w:rPr>
                    <w:t>本项目情况</w:t>
                  </w:r>
                </w:p>
              </w:tc>
              <w:tc>
                <w:tcPr>
                  <w:tcW w:w="1026" w:type="dxa"/>
                  <w:tcBorders>
                    <w:tl2br w:val="nil"/>
                    <w:tr2bl w:val="nil"/>
                  </w:tcBorders>
                  <w:tcMar>
                    <w:top w:w="57" w:type="dxa"/>
                    <w:left w:w="51" w:type="dxa"/>
                    <w:bottom w:w="57" w:type="dxa"/>
                    <w:right w:w="51" w:type="dxa"/>
                  </w:tcMar>
                  <w:vAlign w:val="center"/>
                </w:tcPr>
                <w:p w14:paraId="092611DE">
                  <w:pPr>
                    <w:pStyle w:val="99"/>
                    <w:keepNext w:val="0"/>
                    <w:keepLines w:val="0"/>
                    <w:pageBreakBefore w:val="0"/>
                    <w:widowControl/>
                    <w:kinsoku/>
                    <w:wordWrap/>
                    <w:overflowPunct/>
                    <w:topLinePunct w:val="0"/>
                    <w:autoSpaceDE w:val="0"/>
                    <w:autoSpaceDN w:val="0"/>
                    <w:bidi w:val="0"/>
                    <w:adjustRightInd/>
                    <w:snapToGrid/>
                    <w:spacing w:line="240" w:lineRule="auto"/>
                    <w:ind w:left="0" w:firstLine="0" w:firstLineChars="0"/>
                    <w:jc w:val="center"/>
                    <w:textAlignment w:val="auto"/>
                    <w:rPr>
                      <w:rFonts w:hint="default" w:ascii="Times New Roman" w:hAnsi="Times New Roman" w:eastAsia="宋体" w:cs="Times New Roman"/>
                      <w:b/>
                      <w:bCs w:val="0"/>
                      <w:color w:val="auto"/>
                      <w:sz w:val="21"/>
                      <w:szCs w:val="21"/>
                      <w:u w:val="none" w:color="auto"/>
                      <w:lang w:val="en-US" w:eastAsia="zh-CN"/>
                    </w:rPr>
                  </w:pPr>
                  <w:r>
                    <w:rPr>
                      <w:rFonts w:hint="default" w:ascii="Times New Roman" w:hAnsi="Times New Roman" w:eastAsia="宋体" w:cs="Times New Roman"/>
                      <w:b/>
                      <w:bCs w:val="0"/>
                      <w:color w:val="auto"/>
                      <w:sz w:val="21"/>
                      <w:szCs w:val="21"/>
                      <w:u w:val="none" w:color="auto"/>
                      <w:lang w:val="en-US" w:eastAsia="zh-CN"/>
                    </w:rPr>
                    <w:t>符合性分析</w:t>
                  </w:r>
                </w:p>
              </w:tc>
            </w:tr>
            <w:tr w14:paraId="6F47810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21" w:type="dxa"/>
                  <w:tcBorders>
                    <w:tl2br w:val="nil"/>
                    <w:tr2bl w:val="nil"/>
                  </w:tcBorders>
                  <w:tcMar>
                    <w:top w:w="57" w:type="dxa"/>
                    <w:left w:w="51" w:type="dxa"/>
                    <w:bottom w:w="57" w:type="dxa"/>
                    <w:right w:w="51" w:type="dxa"/>
                  </w:tcMar>
                  <w:vAlign w:val="center"/>
                </w:tcPr>
                <w:p w14:paraId="6F9C6190">
                  <w:pPr>
                    <w:pStyle w:val="99"/>
                    <w:keepNext w:val="0"/>
                    <w:keepLines w:val="0"/>
                    <w:pageBreakBefore w:val="0"/>
                    <w:widowControl/>
                    <w:kinsoku/>
                    <w:wordWrap/>
                    <w:overflowPunct/>
                    <w:topLinePunct w:val="0"/>
                    <w:autoSpaceDE w:val="0"/>
                    <w:autoSpaceDN w:val="0"/>
                    <w:bidi w:val="0"/>
                    <w:adjustRightInd/>
                    <w:snapToGrid/>
                    <w:spacing w:line="240" w:lineRule="auto"/>
                    <w:ind w:left="0"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总体要求</w:t>
                  </w:r>
                </w:p>
              </w:tc>
              <w:tc>
                <w:tcPr>
                  <w:tcW w:w="2652" w:type="dxa"/>
                  <w:tcBorders>
                    <w:tl2br w:val="nil"/>
                    <w:tr2bl w:val="nil"/>
                  </w:tcBorders>
                  <w:tcMar>
                    <w:top w:w="57" w:type="dxa"/>
                    <w:left w:w="51" w:type="dxa"/>
                    <w:bottom w:w="57" w:type="dxa"/>
                    <w:right w:w="51" w:type="dxa"/>
                  </w:tcMar>
                  <w:vAlign w:val="center"/>
                </w:tcPr>
                <w:p w14:paraId="51D7E0FB">
                  <w:pPr>
                    <w:pStyle w:val="99"/>
                    <w:keepNext w:val="0"/>
                    <w:keepLines w:val="0"/>
                    <w:pageBreakBefore w:val="0"/>
                    <w:widowControl/>
                    <w:kinsoku/>
                    <w:wordWrap/>
                    <w:overflowPunct/>
                    <w:topLinePunct w:val="0"/>
                    <w:autoSpaceDE w:val="0"/>
                    <w:autoSpaceDN w:val="0"/>
                    <w:bidi w:val="0"/>
                    <w:adjustRightInd/>
                    <w:snapToGrid/>
                    <w:spacing w:line="240" w:lineRule="auto"/>
                    <w:ind w:left="0" w:firstLine="0" w:firstLineChars="0"/>
                    <w:jc w:val="center"/>
                    <w:textAlignment w:val="auto"/>
                    <w:rPr>
                      <w:rFonts w:hint="default" w:ascii="Times New Roman" w:hAnsi="Times New Roman" w:eastAsia="宋体" w:cs="Times New Roman"/>
                      <w:color w:val="auto"/>
                      <w:sz w:val="21"/>
                      <w:szCs w:val="21"/>
                      <w:u w:val="none" w:color="auto"/>
                      <w:lang w:eastAsia="zh-CN"/>
                    </w:rPr>
                  </w:pPr>
                  <w:r>
                    <w:rPr>
                      <w:rFonts w:hint="default" w:ascii="Times New Roman" w:hAnsi="Times New Roman" w:eastAsia="宋体" w:cs="Times New Roman"/>
                      <w:color w:val="auto"/>
                      <w:sz w:val="21"/>
                      <w:szCs w:val="21"/>
                      <w:u w:val="none" w:color="auto"/>
                      <w:lang w:eastAsia="zh-CN"/>
                    </w:rPr>
                    <w:t>①不属于《产业结构调整指导目录》(2019年本)(</w:t>
                  </w:r>
                  <w:r>
                    <w:rPr>
                      <w:rFonts w:hint="default" w:ascii="Times New Roman" w:hAnsi="Times New Roman" w:eastAsia="宋体" w:cs="Times New Roman"/>
                      <w:color w:val="auto"/>
                      <w:sz w:val="21"/>
                      <w:szCs w:val="21"/>
                      <w:u w:val="none" w:color="auto"/>
                      <w:lang w:val="en-US" w:eastAsia="zh-CN"/>
                    </w:rPr>
                    <w:t>本次</w:t>
                  </w:r>
                  <w:r>
                    <w:rPr>
                      <w:rFonts w:hint="default" w:ascii="Times New Roman" w:hAnsi="Times New Roman" w:eastAsia="宋体" w:cs="Times New Roman"/>
                      <w:color w:val="auto"/>
                      <w:sz w:val="21"/>
                      <w:szCs w:val="21"/>
                      <w:u w:val="none" w:color="auto"/>
                      <w:lang w:eastAsia="zh-CN"/>
                    </w:rPr>
                    <w:t>按202</w:t>
                  </w:r>
                  <w:r>
                    <w:rPr>
                      <w:rFonts w:hint="default" w:ascii="Times New Roman" w:hAnsi="Times New Roman" w:eastAsia="宋体" w:cs="Times New Roman"/>
                      <w:color w:val="auto"/>
                      <w:sz w:val="21"/>
                      <w:szCs w:val="21"/>
                      <w:u w:val="none" w:color="auto"/>
                      <w:lang w:val="en-US" w:eastAsia="zh-CN"/>
                    </w:rPr>
                    <w:t>4</w:t>
                  </w:r>
                  <w:r>
                    <w:rPr>
                      <w:rFonts w:hint="default" w:ascii="Times New Roman" w:hAnsi="Times New Roman" w:eastAsia="宋体" w:cs="Times New Roman"/>
                      <w:color w:val="auto"/>
                      <w:sz w:val="21"/>
                      <w:szCs w:val="21"/>
                      <w:u w:val="none" w:color="auto"/>
                      <w:lang w:eastAsia="zh-CN"/>
                    </w:rPr>
                    <w:t>年本校核)淘汰类、禁止类。</w:t>
                  </w:r>
                </w:p>
                <w:p w14:paraId="39ADD0DE">
                  <w:pPr>
                    <w:pStyle w:val="99"/>
                    <w:keepNext w:val="0"/>
                    <w:keepLines w:val="0"/>
                    <w:pageBreakBefore w:val="0"/>
                    <w:widowControl/>
                    <w:kinsoku/>
                    <w:wordWrap/>
                    <w:overflowPunct/>
                    <w:topLinePunct w:val="0"/>
                    <w:autoSpaceDE w:val="0"/>
                    <w:autoSpaceDN w:val="0"/>
                    <w:bidi w:val="0"/>
                    <w:adjustRightInd/>
                    <w:snapToGrid/>
                    <w:spacing w:line="240" w:lineRule="auto"/>
                    <w:ind w:left="0" w:firstLine="0" w:firstLineChars="0"/>
                    <w:jc w:val="center"/>
                    <w:textAlignment w:val="auto"/>
                    <w:rPr>
                      <w:rFonts w:hint="default" w:ascii="Times New Roman" w:hAnsi="Times New Roman" w:eastAsia="宋体" w:cs="Times New Roman"/>
                      <w:color w:val="auto"/>
                      <w:sz w:val="21"/>
                      <w:szCs w:val="21"/>
                      <w:u w:val="none" w:color="auto"/>
                      <w:lang w:eastAsia="zh-CN"/>
                    </w:rPr>
                  </w:pPr>
                  <w:r>
                    <w:rPr>
                      <w:rFonts w:hint="default" w:ascii="Times New Roman" w:hAnsi="Times New Roman" w:eastAsia="宋体" w:cs="Times New Roman"/>
                      <w:color w:val="auto"/>
                      <w:sz w:val="21"/>
                      <w:szCs w:val="21"/>
                      <w:u w:val="none" w:color="auto"/>
                      <w:lang w:eastAsia="zh-CN"/>
                    </w:rPr>
                    <w:t>②满足园区产业定位及各行业准入条件。</w:t>
                  </w:r>
                </w:p>
              </w:tc>
              <w:tc>
                <w:tcPr>
                  <w:tcW w:w="2695" w:type="dxa"/>
                  <w:tcBorders>
                    <w:tl2br w:val="nil"/>
                    <w:tr2bl w:val="nil"/>
                  </w:tcBorders>
                  <w:tcMar>
                    <w:top w:w="57" w:type="dxa"/>
                    <w:left w:w="51" w:type="dxa"/>
                    <w:bottom w:w="57" w:type="dxa"/>
                    <w:right w:w="51" w:type="dxa"/>
                  </w:tcMar>
                  <w:vAlign w:val="center"/>
                </w:tcPr>
                <w:p w14:paraId="6E75B1B4">
                  <w:pPr>
                    <w:pStyle w:val="99"/>
                    <w:keepNext w:val="0"/>
                    <w:keepLines w:val="0"/>
                    <w:pageBreakBefore w:val="0"/>
                    <w:widowControl/>
                    <w:kinsoku/>
                    <w:wordWrap/>
                    <w:overflowPunct/>
                    <w:topLinePunct w:val="0"/>
                    <w:autoSpaceDE w:val="0"/>
                    <w:autoSpaceDN w:val="0"/>
                    <w:bidi w:val="0"/>
                    <w:adjustRightInd/>
                    <w:snapToGrid/>
                    <w:spacing w:line="240" w:lineRule="auto"/>
                    <w:ind w:left="0"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本项目不属于《产业结构调整指导目录》（2024年本）淘汰类、禁止类；项目产品为新能源汽车动力外壳一体压铸高端铝合金材料，符合园区产业定位</w:t>
                  </w:r>
                </w:p>
              </w:tc>
              <w:tc>
                <w:tcPr>
                  <w:tcW w:w="1026" w:type="dxa"/>
                  <w:tcBorders>
                    <w:tl2br w:val="nil"/>
                    <w:tr2bl w:val="nil"/>
                  </w:tcBorders>
                  <w:tcMar>
                    <w:top w:w="57" w:type="dxa"/>
                    <w:left w:w="51" w:type="dxa"/>
                    <w:bottom w:w="57" w:type="dxa"/>
                    <w:right w:w="51" w:type="dxa"/>
                  </w:tcMar>
                  <w:vAlign w:val="center"/>
                </w:tcPr>
                <w:p w14:paraId="08BC8FE2">
                  <w:pPr>
                    <w:pStyle w:val="99"/>
                    <w:keepNext w:val="0"/>
                    <w:keepLines w:val="0"/>
                    <w:pageBreakBefore w:val="0"/>
                    <w:widowControl/>
                    <w:kinsoku/>
                    <w:wordWrap/>
                    <w:overflowPunct/>
                    <w:topLinePunct w:val="0"/>
                    <w:autoSpaceDE w:val="0"/>
                    <w:autoSpaceDN w:val="0"/>
                    <w:bidi w:val="0"/>
                    <w:adjustRightInd/>
                    <w:snapToGrid/>
                    <w:spacing w:line="240" w:lineRule="auto"/>
                    <w:ind w:left="0"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符合</w:t>
                  </w:r>
                </w:p>
              </w:tc>
            </w:tr>
            <w:tr w14:paraId="41E13D1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21" w:type="dxa"/>
                  <w:tcBorders>
                    <w:tl2br w:val="nil"/>
                    <w:tr2bl w:val="nil"/>
                  </w:tcBorders>
                  <w:tcMar>
                    <w:top w:w="57" w:type="dxa"/>
                    <w:left w:w="51" w:type="dxa"/>
                    <w:bottom w:w="57" w:type="dxa"/>
                    <w:right w:w="51" w:type="dxa"/>
                  </w:tcMar>
                  <w:vAlign w:val="center"/>
                </w:tcPr>
                <w:p w14:paraId="7D358499">
                  <w:pPr>
                    <w:pStyle w:val="99"/>
                    <w:keepNext w:val="0"/>
                    <w:keepLines w:val="0"/>
                    <w:pageBreakBefore w:val="0"/>
                    <w:widowControl/>
                    <w:kinsoku/>
                    <w:wordWrap/>
                    <w:overflowPunct/>
                    <w:topLinePunct w:val="0"/>
                    <w:autoSpaceDE w:val="0"/>
                    <w:autoSpaceDN w:val="0"/>
                    <w:bidi w:val="0"/>
                    <w:adjustRightInd/>
                    <w:snapToGrid/>
                    <w:spacing w:line="240" w:lineRule="auto"/>
                    <w:ind w:left="0" w:firstLine="0" w:firstLineChars="0"/>
                    <w:jc w:val="center"/>
                    <w:textAlignment w:val="auto"/>
                    <w:rPr>
                      <w:rFonts w:hint="default" w:ascii="Times New Roman" w:hAnsi="Times New Roman" w:eastAsia="宋体" w:cs="Times New Roman"/>
                      <w:color w:val="auto"/>
                      <w:sz w:val="21"/>
                      <w:szCs w:val="21"/>
                      <w:u w:val="none" w:color="auto"/>
                      <w:lang w:eastAsia="zh-CN"/>
                    </w:rPr>
                  </w:pPr>
                  <w:r>
                    <w:rPr>
                      <w:rFonts w:hint="default" w:ascii="Times New Roman" w:hAnsi="Times New Roman" w:eastAsia="宋体" w:cs="Times New Roman"/>
                      <w:color w:val="auto"/>
                      <w:sz w:val="21"/>
                      <w:szCs w:val="21"/>
                      <w:u w:val="none" w:color="auto"/>
                      <w:lang w:eastAsia="zh-CN"/>
                    </w:rPr>
                    <w:t>鼓励类</w:t>
                  </w:r>
                </w:p>
              </w:tc>
              <w:tc>
                <w:tcPr>
                  <w:tcW w:w="2652" w:type="dxa"/>
                  <w:tcBorders>
                    <w:tl2br w:val="nil"/>
                    <w:tr2bl w:val="nil"/>
                  </w:tcBorders>
                  <w:tcMar>
                    <w:top w:w="57" w:type="dxa"/>
                    <w:left w:w="51" w:type="dxa"/>
                    <w:bottom w:w="57" w:type="dxa"/>
                    <w:right w:w="51" w:type="dxa"/>
                  </w:tcMar>
                  <w:vAlign w:val="center"/>
                </w:tcPr>
                <w:p w14:paraId="0E37DFF1">
                  <w:pPr>
                    <w:pStyle w:val="99"/>
                    <w:keepNext w:val="0"/>
                    <w:keepLines w:val="0"/>
                    <w:pageBreakBefore w:val="0"/>
                    <w:widowControl/>
                    <w:kinsoku/>
                    <w:wordWrap/>
                    <w:overflowPunct/>
                    <w:topLinePunct w:val="0"/>
                    <w:autoSpaceDE w:val="0"/>
                    <w:autoSpaceDN w:val="0"/>
                    <w:bidi w:val="0"/>
                    <w:adjustRightInd/>
                    <w:snapToGrid/>
                    <w:spacing w:line="240" w:lineRule="auto"/>
                    <w:ind w:left="0"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eastAsia="zh-CN"/>
                    </w:rPr>
                    <w:t>一类工业企业：企业技术研发机构、无工业</w:t>
                  </w:r>
                  <w:r>
                    <w:rPr>
                      <w:rFonts w:hint="default" w:ascii="Times New Roman" w:hAnsi="Times New Roman" w:eastAsia="宋体" w:cs="Times New Roman"/>
                      <w:color w:val="auto"/>
                      <w:sz w:val="21"/>
                      <w:szCs w:val="21"/>
                      <w:u w:val="none" w:color="auto"/>
                      <w:lang w:val="en-US" w:eastAsia="zh-CN"/>
                    </w:rPr>
                    <w:t>废</w:t>
                  </w:r>
                  <w:r>
                    <w:rPr>
                      <w:rFonts w:hint="default" w:ascii="Times New Roman" w:hAnsi="Times New Roman" w:eastAsia="宋体" w:cs="Times New Roman"/>
                      <w:color w:val="auto"/>
                      <w:sz w:val="21"/>
                      <w:szCs w:val="21"/>
                      <w:u w:val="none" w:color="auto"/>
                      <w:lang w:eastAsia="zh-CN"/>
                    </w:rPr>
                    <w:t>水、工艺废气</w:t>
                  </w:r>
                  <w:r>
                    <w:rPr>
                      <w:rFonts w:hint="default" w:ascii="Times New Roman" w:hAnsi="Times New Roman" w:eastAsia="宋体" w:cs="Times New Roman"/>
                      <w:color w:val="auto"/>
                      <w:sz w:val="21"/>
                      <w:szCs w:val="21"/>
                      <w:u w:val="none" w:color="auto"/>
                      <w:lang w:val="en-US" w:eastAsia="zh-CN"/>
                    </w:rPr>
                    <w:t>排</w:t>
                  </w:r>
                  <w:r>
                    <w:rPr>
                      <w:rFonts w:hint="default" w:ascii="Times New Roman" w:hAnsi="Times New Roman" w:eastAsia="宋体" w:cs="Times New Roman"/>
                      <w:color w:val="auto"/>
                      <w:sz w:val="21"/>
                      <w:szCs w:val="21"/>
                      <w:u w:val="none" w:color="auto"/>
                      <w:lang w:eastAsia="zh-CN"/>
                    </w:rPr>
                    <w:t>放的产业、现代物流、基础设施项目:交通运输、邮电通讯、供水、供热、供气、污水处理等</w:t>
                  </w:r>
                  <w:r>
                    <w:rPr>
                      <w:rFonts w:hint="default" w:ascii="Times New Roman" w:hAnsi="Times New Roman" w:eastAsia="宋体" w:cs="Times New Roman"/>
                      <w:color w:val="auto"/>
                      <w:sz w:val="21"/>
                      <w:szCs w:val="21"/>
                      <w:u w:val="none" w:color="auto"/>
                      <w:lang w:val="en-US" w:eastAsia="zh-CN"/>
                    </w:rPr>
                    <w:t>；</w:t>
                  </w:r>
                </w:p>
                <w:p w14:paraId="6FBA003F">
                  <w:pPr>
                    <w:pStyle w:val="99"/>
                    <w:keepNext w:val="0"/>
                    <w:keepLines w:val="0"/>
                    <w:pageBreakBefore w:val="0"/>
                    <w:widowControl/>
                    <w:kinsoku/>
                    <w:wordWrap/>
                    <w:overflowPunct/>
                    <w:topLinePunct w:val="0"/>
                    <w:autoSpaceDE w:val="0"/>
                    <w:autoSpaceDN w:val="0"/>
                    <w:bidi w:val="0"/>
                    <w:adjustRightInd/>
                    <w:snapToGrid/>
                    <w:spacing w:line="240" w:lineRule="auto"/>
                    <w:ind w:left="0" w:firstLine="0" w:firstLineChars="0"/>
                    <w:jc w:val="center"/>
                    <w:textAlignment w:val="auto"/>
                    <w:rPr>
                      <w:rFonts w:hint="default" w:ascii="Times New Roman" w:hAnsi="Times New Roman" w:eastAsia="宋体" w:cs="Times New Roman"/>
                      <w:color w:val="auto"/>
                      <w:sz w:val="21"/>
                      <w:szCs w:val="21"/>
                      <w:u w:val="none" w:color="auto"/>
                      <w:lang w:eastAsia="zh-CN"/>
                    </w:rPr>
                  </w:pPr>
                  <w:r>
                    <w:rPr>
                      <w:rFonts w:hint="default" w:ascii="Times New Roman" w:hAnsi="Times New Roman" w:eastAsia="宋体" w:cs="Times New Roman"/>
                      <w:color w:val="auto"/>
                      <w:sz w:val="21"/>
                      <w:szCs w:val="21"/>
                      <w:u w:val="none" w:color="auto"/>
                      <w:lang w:eastAsia="zh-CN"/>
                    </w:rPr>
                    <w:t>二类工业企业：先进机械制造业、环保新材料、高新技术产业:电子信息、环境保护工程。</w:t>
                  </w:r>
                </w:p>
              </w:tc>
              <w:tc>
                <w:tcPr>
                  <w:tcW w:w="2695" w:type="dxa"/>
                  <w:tcBorders>
                    <w:tl2br w:val="nil"/>
                    <w:tr2bl w:val="nil"/>
                  </w:tcBorders>
                  <w:tcMar>
                    <w:top w:w="57" w:type="dxa"/>
                    <w:left w:w="51" w:type="dxa"/>
                    <w:bottom w:w="57" w:type="dxa"/>
                    <w:right w:w="51" w:type="dxa"/>
                  </w:tcMar>
                  <w:vAlign w:val="center"/>
                </w:tcPr>
                <w:p w14:paraId="543303D3">
                  <w:pPr>
                    <w:pStyle w:val="99"/>
                    <w:keepNext w:val="0"/>
                    <w:keepLines w:val="0"/>
                    <w:pageBreakBefore w:val="0"/>
                    <w:widowControl/>
                    <w:kinsoku/>
                    <w:wordWrap/>
                    <w:overflowPunct/>
                    <w:topLinePunct w:val="0"/>
                    <w:autoSpaceDE w:val="0"/>
                    <w:autoSpaceDN w:val="0"/>
                    <w:bidi w:val="0"/>
                    <w:adjustRightInd/>
                    <w:snapToGrid/>
                    <w:spacing w:line="240" w:lineRule="auto"/>
                    <w:ind w:left="0" w:firstLine="0" w:firstLineChars="0"/>
                    <w:jc w:val="center"/>
                    <w:textAlignment w:val="auto"/>
                    <w:rPr>
                      <w:rFonts w:hint="default" w:ascii="Times New Roman" w:hAnsi="Times New Roman" w:eastAsia="宋体" w:cs="Times New Roman"/>
                      <w:color w:val="auto"/>
                      <w:sz w:val="21"/>
                      <w:szCs w:val="21"/>
                      <w:u w:val="none" w:color="auto"/>
                      <w:lang w:eastAsia="zh-CN"/>
                    </w:rPr>
                  </w:pPr>
                  <w:r>
                    <w:rPr>
                      <w:rFonts w:hint="default" w:ascii="Times New Roman" w:hAnsi="Times New Roman" w:eastAsia="宋体" w:cs="Times New Roman"/>
                      <w:color w:val="auto"/>
                      <w:sz w:val="21"/>
                      <w:szCs w:val="21"/>
                      <w:highlight w:val="none"/>
                      <w:u w:val="none" w:color="auto"/>
                      <w:lang w:eastAsia="zh-CN"/>
                    </w:rPr>
                    <w:t>项目产品</w:t>
                  </w:r>
                  <w:r>
                    <w:rPr>
                      <w:rFonts w:hint="default" w:ascii="Times New Roman" w:hAnsi="Times New Roman" w:eastAsia="宋体" w:cs="Times New Roman"/>
                      <w:color w:val="auto"/>
                      <w:sz w:val="21"/>
                      <w:szCs w:val="21"/>
                      <w:highlight w:val="none"/>
                      <w:u w:val="none" w:color="auto"/>
                      <w:lang w:val="en-US" w:eastAsia="zh-CN"/>
                    </w:rPr>
                    <w:t>为</w:t>
                  </w:r>
                  <w:r>
                    <w:rPr>
                      <w:rFonts w:hint="default" w:ascii="Times New Roman" w:hAnsi="Times New Roman" w:eastAsia="宋体" w:cs="Times New Roman"/>
                      <w:color w:val="auto"/>
                      <w:sz w:val="21"/>
                      <w:szCs w:val="21"/>
                      <w:highlight w:val="none"/>
                      <w:u w:val="none" w:color="auto"/>
                      <w:lang w:eastAsia="zh-CN"/>
                    </w:rPr>
                    <w:t>先进</w:t>
                  </w:r>
                  <w:r>
                    <w:rPr>
                      <w:rFonts w:hint="default" w:ascii="Times New Roman" w:hAnsi="Times New Roman" w:eastAsia="宋体" w:cs="Times New Roman"/>
                      <w:color w:val="auto"/>
                      <w:sz w:val="21"/>
                      <w:szCs w:val="21"/>
                      <w:highlight w:val="none"/>
                      <w:u w:val="none" w:color="auto"/>
                      <w:lang w:val="en-US" w:eastAsia="zh-CN"/>
                    </w:rPr>
                    <w:t>新能源汽车动力外壳，为一体压铸高端铝合金材料</w:t>
                  </w:r>
                  <w:r>
                    <w:rPr>
                      <w:rFonts w:hint="default" w:ascii="Times New Roman" w:hAnsi="Times New Roman" w:eastAsia="宋体" w:cs="Times New Roman"/>
                      <w:color w:val="auto"/>
                      <w:sz w:val="21"/>
                      <w:szCs w:val="21"/>
                      <w:highlight w:val="none"/>
                      <w:u w:val="none" w:color="auto"/>
                      <w:lang w:eastAsia="zh-CN"/>
                    </w:rPr>
                    <w:t>，因此符合《规划环评报告》二类工业划分</w:t>
                  </w:r>
                </w:p>
              </w:tc>
              <w:tc>
                <w:tcPr>
                  <w:tcW w:w="1026" w:type="dxa"/>
                  <w:tcBorders>
                    <w:tl2br w:val="nil"/>
                    <w:tr2bl w:val="nil"/>
                  </w:tcBorders>
                  <w:tcMar>
                    <w:top w:w="57" w:type="dxa"/>
                    <w:left w:w="51" w:type="dxa"/>
                    <w:bottom w:w="57" w:type="dxa"/>
                    <w:right w:w="51" w:type="dxa"/>
                  </w:tcMar>
                  <w:vAlign w:val="center"/>
                </w:tcPr>
                <w:p w14:paraId="7FAB4531">
                  <w:pPr>
                    <w:pStyle w:val="99"/>
                    <w:keepNext w:val="0"/>
                    <w:keepLines w:val="0"/>
                    <w:pageBreakBefore w:val="0"/>
                    <w:widowControl/>
                    <w:kinsoku/>
                    <w:wordWrap/>
                    <w:overflowPunct/>
                    <w:topLinePunct w:val="0"/>
                    <w:autoSpaceDE w:val="0"/>
                    <w:autoSpaceDN w:val="0"/>
                    <w:bidi w:val="0"/>
                    <w:adjustRightInd/>
                    <w:snapToGrid/>
                    <w:spacing w:line="240" w:lineRule="auto"/>
                    <w:ind w:left="0"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满足二类工业企业定位要求</w:t>
                  </w:r>
                </w:p>
              </w:tc>
            </w:tr>
            <w:tr w14:paraId="788B994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21" w:type="dxa"/>
                  <w:tcBorders>
                    <w:tl2br w:val="nil"/>
                    <w:tr2bl w:val="nil"/>
                  </w:tcBorders>
                  <w:tcMar>
                    <w:top w:w="57" w:type="dxa"/>
                    <w:left w:w="51" w:type="dxa"/>
                    <w:bottom w:w="57" w:type="dxa"/>
                    <w:right w:w="51" w:type="dxa"/>
                  </w:tcMar>
                  <w:vAlign w:val="center"/>
                </w:tcPr>
                <w:p w14:paraId="524E393D">
                  <w:pPr>
                    <w:pStyle w:val="99"/>
                    <w:keepNext w:val="0"/>
                    <w:keepLines w:val="0"/>
                    <w:pageBreakBefore w:val="0"/>
                    <w:widowControl/>
                    <w:kinsoku/>
                    <w:wordWrap/>
                    <w:overflowPunct/>
                    <w:topLinePunct w:val="0"/>
                    <w:autoSpaceDE w:val="0"/>
                    <w:autoSpaceDN w:val="0"/>
                    <w:bidi w:val="0"/>
                    <w:adjustRightInd/>
                    <w:snapToGrid/>
                    <w:spacing w:line="240" w:lineRule="auto"/>
                    <w:ind w:left="0" w:firstLine="0" w:firstLineChars="0"/>
                    <w:jc w:val="center"/>
                    <w:textAlignment w:val="auto"/>
                    <w:rPr>
                      <w:rFonts w:hint="default" w:ascii="Times New Roman" w:hAnsi="Times New Roman" w:eastAsia="宋体" w:cs="Times New Roman"/>
                      <w:color w:val="auto"/>
                      <w:sz w:val="21"/>
                      <w:szCs w:val="21"/>
                      <w:u w:val="none" w:color="auto"/>
                      <w:lang w:eastAsia="zh-CN"/>
                    </w:rPr>
                  </w:pPr>
                  <w:r>
                    <w:rPr>
                      <w:rFonts w:hint="default" w:ascii="Times New Roman" w:hAnsi="Times New Roman" w:eastAsia="宋体" w:cs="Times New Roman"/>
                      <w:color w:val="auto"/>
                      <w:sz w:val="21"/>
                      <w:szCs w:val="21"/>
                      <w:u w:val="none" w:color="auto"/>
                      <w:lang w:eastAsia="zh-CN"/>
                    </w:rPr>
                    <w:t>允许类</w:t>
                  </w:r>
                </w:p>
              </w:tc>
              <w:tc>
                <w:tcPr>
                  <w:tcW w:w="2652" w:type="dxa"/>
                  <w:tcBorders>
                    <w:tl2br w:val="nil"/>
                    <w:tr2bl w:val="nil"/>
                  </w:tcBorders>
                  <w:tcMar>
                    <w:top w:w="57" w:type="dxa"/>
                    <w:left w:w="51" w:type="dxa"/>
                    <w:bottom w:w="57" w:type="dxa"/>
                    <w:right w:w="51" w:type="dxa"/>
                  </w:tcMar>
                  <w:vAlign w:val="center"/>
                </w:tcPr>
                <w:p w14:paraId="6020387C">
                  <w:pPr>
                    <w:pStyle w:val="99"/>
                    <w:keepNext w:val="0"/>
                    <w:keepLines w:val="0"/>
                    <w:pageBreakBefore w:val="0"/>
                    <w:widowControl/>
                    <w:kinsoku/>
                    <w:wordWrap/>
                    <w:overflowPunct/>
                    <w:topLinePunct w:val="0"/>
                    <w:autoSpaceDE w:val="0"/>
                    <w:autoSpaceDN w:val="0"/>
                    <w:bidi w:val="0"/>
                    <w:adjustRightInd/>
                    <w:snapToGrid/>
                    <w:spacing w:line="240" w:lineRule="auto"/>
                    <w:ind w:left="0" w:firstLine="0" w:firstLineChars="0"/>
                    <w:jc w:val="center"/>
                    <w:textAlignment w:val="auto"/>
                    <w:rPr>
                      <w:rFonts w:hint="default" w:ascii="Times New Roman" w:hAnsi="Times New Roman" w:eastAsia="宋体" w:cs="Times New Roman"/>
                      <w:color w:val="auto"/>
                      <w:sz w:val="21"/>
                      <w:szCs w:val="21"/>
                      <w:u w:val="none" w:color="auto"/>
                      <w:lang w:eastAsia="zh-CN"/>
                    </w:rPr>
                  </w:pPr>
                  <w:r>
                    <w:rPr>
                      <w:rFonts w:hint="default" w:ascii="Times New Roman" w:hAnsi="Times New Roman" w:eastAsia="宋体" w:cs="Times New Roman"/>
                      <w:color w:val="auto"/>
                      <w:sz w:val="21"/>
                      <w:szCs w:val="21"/>
                      <w:u w:val="none" w:color="auto"/>
                      <w:lang w:eastAsia="zh-CN"/>
                    </w:rPr>
                    <w:t>二类工业企业：排污量小，物耗能耗低的与主导产业配套的相关产业。</w:t>
                  </w:r>
                </w:p>
              </w:tc>
              <w:tc>
                <w:tcPr>
                  <w:tcW w:w="2695" w:type="dxa"/>
                  <w:tcBorders>
                    <w:tl2br w:val="nil"/>
                    <w:tr2bl w:val="nil"/>
                  </w:tcBorders>
                  <w:tcMar>
                    <w:top w:w="57" w:type="dxa"/>
                    <w:left w:w="51" w:type="dxa"/>
                    <w:bottom w:w="57" w:type="dxa"/>
                    <w:right w:w="51" w:type="dxa"/>
                  </w:tcMar>
                  <w:vAlign w:val="center"/>
                </w:tcPr>
                <w:p w14:paraId="1EBB41D0">
                  <w:pPr>
                    <w:pStyle w:val="99"/>
                    <w:keepNext w:val="0"/>
                    <w:keepLines w:val="0"/>
                    <w:pageBreakBefore w:val="0"/>
                    <w:widowControl/>
                    <w:kinsoku/>
                    <w:wordWrap/>
                    <w:overflowPunct/>
                    <w:topLinePunct w:val="0"/>
                    <w:autoSpaceDE w:val="0"/>
                    <w:autoSpaceDN w:val="0"/>
                    <w:bidi w:val="0"/>
                    <w:adjustRightInd/>
                    <w:snapToGrid/>
                    <w:spacing w:line="240" w:lineRule="auto"/>
                    <w:ind w:left="0" w:firstLine="0" w:firstLineChars="0"/>
                    <w:jc w:val="center"/>
                    <w:textAlignment w:val="auto"/>
                    <w:rPr>
                      <w:rFonts w:hint="default" w:ascii="Times New Roman" w:hAnsi="Times New Roman" w:eastAsia="宋体" w:cs="Times New Roman"/>
                      <w:color w:val="auto"/>
                      <w:sz w:val="21"/>
                      <w:szCs w:val="21"/>
                      <w:u w:val="none" w:color="auto"/>
                      <w:lang w:eastAsia="zh-CN"/>
                    </w:rPr>
                  </w:pPr>
                  <w:r>
                    <w:rPr>
                      <w:rFonts w:hint="default" w:ascii="Times New Roman" w:hAnsi="Times New Roman" w:eastAsia="宋体" w:cs="Times New Roman"/>
                      <w:color w:val="auto"/>
                      <w:sz w:val="21"/>
                      <w:szCs w:val="21"/>
                      <w:highlight w:val="none"/>
                      <w:u w:val="none" w:color="auto"/>
                      <w:lang w:eastAsia="zh-CN"/>
                    </w:rPr>
                    <w:t>本项目</w:t>
                  </w:r>
                  <w:r>
                    <w:rPr>
                      <w:rFonts w:hint="default" w:ascii="Times New Roman" w:hAnsi="Times New Roman" w:eastAsia="宋体" w:cs="Times New Roman"/>
                      <w:color w:val="auto"/>
                      <w:sz w:val="21"/>
                      <w:szCs w:val="21"/>
                      <w:highlight w:val="none"/>
                      <w:u w:val="none" w:color="auto"/>
                      <w:lang w:val="en-US" w:eastAsia="zh-CN"/>
                    </w:rPr>
                    <w:t>不属于湖南省“两高”项目管理目录所列项目</w:t>
                  </w:r>
                  <w:r>
                    <w:rPr>
                      <w:rFonts w:hint="default" w:ascii="Times New Roman" w:hAnsi="Times New Roman" w:eastAsia="宋体" w:cs="Times New Roman"/>
                      <w:color w:val="auto"/>
                      <w:sz w:val="21"/>
                      <w:szCs w:val="21"/>
                      <w:highlight w:val="none"/>
                      <w:u w:val="none" w:color="auto"/>
                      <w:lang w:eastAsia="zh-CN"/>
                    </w:rPr>
                    <w:t>，经本次评价分析项目排放量整体而言较小</w:t>
                  </w:r>
                  <w:r>
                    <w:rPr>
                      <w:rFonts w:hint="default" w:ascii="Times New Roman" w:hAnsi="Times New Roman" w:eastAsia="宋体" w:cs="Times New Roman"/>
                      <w:color w:val="auto"/>
                      <w:sz w:val="21"/>
                      <w:szCs w:val="21"/>
                      <w:highlight w:val="none"/>
                      <w:u w:val="none" w:color="auto"/>
                    </w:rPr>
                    <w:t>，</w:t>
                  </w:r>
                  <w:r>
                    <w:rPr>
                      <w:rFonts w:hint="default" w:ascii="Times New Roman" w:hAnsi="Times New Roman" w:eastAsia="宋体" w:cs="Times New Roman"/>
                      <w:color w:val="auto"/>
                      <w:sz w:val="21"/>
                      <w:szCs w:val="21"/>
                      <w:highlight w:val="none"/>
                      <w:u w:val="none" w:color="auto"/>
                      <w:lang w:eastAsia="zh-CN"/>
                    </w:rPr>
                    <w:t>且项目符合</w:t>
                  </w:r>
                  <w:r>
                    <w:rPr>
                      <w:rFonts w:hint="default" w:ascii="Times New Roman" w:hAnsi="Times New Roman" w:eastAsia="宋体" w:cs="Times New Roman"/>
                      <w:color w:val="auto"/>
                      <w:sz w:val="21"/>
                      <w:szCs w:val="21"/>
                      <w:highlight w:val="none"/>
                      <w:u w:val="none" w:color="auto"/>
                    </w:rPr>
                    <w:t>主导产业</w:t>
                  </w:r>
                  <w:r>
                    <w:rPr>
                      <w:rFonts w:hint="default" w:ascii="Times New Roman" w:hAnsi="Times New Roman" w:eastAsia="宋体" w:cs="Times New Roman"/>
                      <w:color w:val="auto"/>
                      <w:sz w:val="21"/>
                      <w:szCs w:val="21"/>
                      <w:highlight w:val="none"/>
                      <w:u w:val="none" w:color="auto"/>
                      <w:lang w:eastAsia="zh-CN"/>
                    </w:rPr>
                    <w:t>定位要求</w:t>
                  </w:r>
                </w:p>
              </w:tc>
              <w:tc>
                <w:tcPr>
                  <w:tcW w:w="1026" w:type="dxa"/>
                  <w:tcBorders>
                    <w:tl2br w:val="nil"/>
                    <w:tr2bl w:val="nil"/>
                  </w:tcBorders>
                  <w:tcMar>
                    <w:top w:w="57" w:type="dxa"/>
                    <w:left w:w="51" w:type="dxa"/>
                    <w:bottom w:w="57" w:type="dxa"/>
                    <w:right w:w="51" w:type="dxa"/>
                  </w:tcMar>
                  <w:vAlign w:val="center"/>
                </w:tcPr>
                <w:p w14:paraId="66BC2604">
                  <w:pPr>
                    <w:pStyle w:val="99"/>
                    <w:keepNext w:val="0"/>
                    <w:keepLines w:val="0"/>
                    <w:pageBreakBefore w:val="0"/>
                    <w:widowControl/>
                    <w:kinsoku/>
                    <w:wordWrap/>
                    <w:overflowPunct/>
                    <w:topLinePunct w:val="0"/>
                    <w:autoSpaceDE w:val="0"/>
                    <w:autoSpaceDN w:val="0"/>
                    <w:bidi w:val="0"/>
                    <w:adjustRightInd/>
                    <w:snapToGrid/>
                    <w:spacing w:line="240" w:lineRule="auto"/>
                    <w:ind w:left="0"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符合</w:t>
                  </w:r>
                </w:p>
              </w:tc>
            </w:tr>
            <w:tr w14:paraId="2B5223E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21" w:type="dxa"/>
                  <w:tcBorders>
                    <w:tl2br w:val="nil"/>
                    <w:tr2bl w:val="nil"/>
                  </w:tcBorders>
                  <w:tcMar>
                    <w:top w:w="57" w:type="dxa"/>
                    <w:left w:w="51" w:type="dxa"/>
                    <w:bottom w:w="57" w:type="dxa"/>
                    <w:right w:w="51" w:type="dxa"/>
                  </w:tcMar>
                  <w:vAlign w:val="center"/>
                </w:tcPr>
                <w:p w14:paraId="1754DE8E">
                  <w:pPr>
                    <w:pStyle w:val="99"/>
                    <w:keepNext w:val="0"/>
                    <w:keepLines w:val="0"/>
                    <w:pageBreakBefore w:val="0"/>
                    <w:widowControl/>
                    <w:kinsoku/>
                    <w:wordWrap/>
                    <w:overflowPunct/>
                    <w:topLinePunct w:val="0"/>
                    <w:autoSpaceDE w:val="0"/>
                    <w:autoSpaceDN w:val="0"/>
                    <w:bidi w:val="0"/>
                    <w:adjustRightInd/>
                    <w:snapToGrid/>
                    <w:spacing w:line="240" w:lineRule="auto"/>
                    <w:ind w:left="0" w:firstLine="0" w:firstLineChars="0"/>
                    <w:jc w:val="center"/>
                    <w:textAlignment w:val="auto"/>
                    <w:rPr>
                      <w:rFonts w:hint="default" w:ascii="Times New Roman" w:hAnsi="Times New Roman" w:eastAsia="宋体" w:cs="Times New Roman"/>
                      <w:color w:val="auto"/>
                      <w:sz w:val="21"/>
                      <w:szCs w:val="21"/>
                      <w:u w:val="none" w:color="auto"/>
                      <w:lang w:eastAsia="zh-CN"/>
                    </w:rPr>
                  </w:pPr>
                  <w:r>
                    <w:rPr>
                      <w:rFonts w:hint="default" w:ascii="Times New Roman" w:hAnsi="Times New Roman" w:eastAsia="宋体" w:cs="Times New Roman"/>
                      <w:color w:val="auto"/>
                      <w:sz w:val="21"/>
                      <w:szCs w:val="21"/>
                      <w:u w:val="none" w:color="auto"/>
                      <w:lang w:eastAsia="zh-CN"/>
                    </w:rPr>
                    <w:t>限制类</w:t>
                  </w:r>
                </w:p>
              </w:tc>
              <w:tc>
                <w:tcPr>
                  <w:tcW w:w="2652" w:type="dxa"/>
                  <w:tcBorders>
                    <w:tl2br w:val="nil"/>
                    <w:tr2bl w:val="nil"/>
                  </w:tcBorders>
                  <w:tcMar>
                    <w:top w:w="57" w:type="dxa"/>
                    <w:left w:w="51" w:type="dxa"/>
                    <w:bottom w:w="57" w:type="dxa"/>
                    <w:right w:w="51" w:type="dxa"/>
                  </w:tcMar>
                  <w:vAlign w:val="center"/>
                </w:tcPr>
                <w:p w14:paraId="1CE13DD2">
                  <w:pPr>
                    <w:pStyle w:val="99"/>
                    <w:keepNext w:val="0"/>
                    <w:keepLines w:val="0"/>
                    <w:pageBreakBefore w:val="0"/>
                    <w:widowControl/>
                    <w:kinsoku/>
                    <w:wordWrap/>
                    <w:overflowPunct/>
                    <w:topLinePunct w:val="0"/>
                    <w:autoSpaceDE w:val="0"/>
                    <w:autoSpaceDN w:val="0"/>
                    <w:bidi w:val="0"/>
                    <w:adjustRightInd/>
                    <w:snapToGrid/>
                    <w:spacing w:line="240" w:lineRule="auto"/>
                    <w:ind w:left="0" w:firstLine="0" w:firstLineChars="0"/>
                    <w:jc w:val="center"/>
                    <w:textAlignment w:val="auto"/>
                    <w:rPr>
                      <w:rFonts w:hint="default" w:ascii="Times New Roman" w:hAnsi="Times New Roman" w:eastAsia="宋体" w:cs="Times New Roman"/>
                      <w:color w:val="auto"/>
                      <w:sz w:val="21"/>
                      <w:szCs w:val="21"/>
                      <w:u w:val="none" w:color="auto"/>
                      <w:lang w:eastAsia="zh-CN"/>
                    </w:rPr>
                  </w:pPr>
                  <w:r>
                    <w:rPr>
                      <w:rFonts w:hint="default" w:ascii="Times New Roman" w:hAnsi="Times New Roman" w:eastAsia="宋体" w:cs="Times New Roman"/>
                      <w:color w:val="auto"/>
                      <w:sz w:val="21"/>
                      <w:szCs w:val="21"/>
                      <w:u w:val="none" w:color="auto"/>
                      <w:lang w:eastAsia="zh-CN"/>
                    </w:rPr>
                    <w:t>①严格限制石化、有机化工等化工项目。</w:t>
                  </w:r>
                </w:p>
                <w:p w14:paraId="6DB538C3">
                  <w:pPr>
                    <w:pStyle w:val="99"/>
                    <w:keepNext w:val="0"/>
                    <w:keepLines w:val="0"/>
                    <w:pageBreakBefore w:val="0"/>
                    <w:widowControl/>
                    <w:kinsoku/>
                    <w:wordWrap/>
                    <w:overflowPunct/>
                    <w:topLinePunct w:val="0"/>
                    <w:autoSpaceDE w:val="0"/>
                    <w:autoSpaceDN w:val="0"/>
                    <w:bidi w:val="0"/>
                    <w:adjustRightInd/>
                    <w:snapToGrid/>
                    <w:spacing w:line="240" w:lineRule="auto"/>
                    <w:ind w:left="0" w:firstLine="0" w:firstLineChars="0"/>
                    <w:jc w:val="center"/>
                    <w:textAlignment w:val="auto"/>
                    <w:rPr>
                      <w:rFonts w:hint="default" w:ascii="Times New Roman" w:hAnsi="Times New Roman" w:eastAsia="宋体" w:cs="Times New Roman"/>
                      <w:color w:val="auto"/>
                      <w:sz w:val="21"/>
                      <w:szCs w:val="21"/>
                      <w:u w:val="none" w:color="auto"/>
                      <w:lang w:eastAsia="zh-CN"/>
                    </w:rPr>
                  </w:pPr>
                  <w:r>
                    <w:rPr>
                      <w:rFonts w:hint="default" w:ascii="Times New Roman" w:hAnsi="Times New Roman" w:eastAsia="宋体" w:cs="Times New Roman"/>
                      <w:color w:val="auto"/>
                      <w:sz w:val="21"/>
                      <w:szCs w:val="21"/>
                      <w:u w:val="none" w:color="auto"/>
                      <w:lang w:eastAsia="zh-CN"/>
                    </w:rPr>
                    <w:t>②严格限制石化、化工、家具制造、制药等高VOCs排放建设项目。</w:t>
                  </w:r>
                </w:p>
                <w:p w14:paraId="3F935B2C">
                  <w:pPr>
                    <w:pStyle w:val="99"/>
                    <w:keepNext w:val="0"/>
                    <w:keepLines w:val="0"/>
                    <w:pageBreakBefore w:val="0"/>
                    <w:widowControl/>
                    <w:kinsoku/>
                    <w:wordWrap/>
                    <w:overflowPunct/>
                    <w:topLinePunct w:val="0"/>
                    <w:autoSpaceDE w:val="0"/>
                    <w:autoSpaceDN w:val="0"/>
                    <w:bidi w:val="0"/>
                    <w:adjustRightInd/>
                    <w:snapToGrid/>
                    <w:spacing w:line="240" w:lineRule="auto"/>
                    <w:ind w:left="0" w:firstLine="0" w:firstLineChars="0"/>
                    <w:jc w:val="center"/>
                    <w:textAlignment w:val="auto"/>
                    <w:rPr>
                      <w:rFonts w:hint="default" w:ascii="Times New Roman" w:hAnsi="Times New Roman" w:eastAsia="宋体" w:cs="Times New Roman"/>
                      <w:color w:val="auto"/>
                      <w:sz w:val="21"/>
                      <w:szCs w:val="21"/>
                      <w:u w:val="none" w:color="auto"/>
                      <w:lang w:eastAsia="zh-CN"/>
                    </w:rPr>
                  </w:pPr>
                  <w:r>
                    <w:rPr>
                      <w:rFonts w:hint="default" w:ascii="Times New Roman" w:hAnsi="Times New Roman" w:eastAsia="宋体" w:cs="Times New Roman"/>
                      <w:color w:val="auto"/>
                      <w:sz w:val="21"/>
                      <w:szCs w:val="21"/>
                      <w:u w:val="none" w:color="auto"/>
                      <w:lang w:eastAsia="zh-CN"/>
                    </w:rPr>
                    <w:t>③一、二类工业企业:水耗、能耗较高的工业项目、现有生产能力大，市场容量小的项目</w:t>
                  </w:r>
                  <w:r>
                    <w:rPr>
                      <w:rFonts w:hint="default" w:ascii="Times New Roman" w:hAnsi="Times New Roman" w:eastAsia="宋体" w:cs="Times New Roman"/>
                      <w:color w:val="auto"/>
                      <w:sz w:val="21"/>
                      <w:szCs w:val="21"/>
                      <w:u w:val="none" w:color="auto"/>
                      <w:lang w:val="en-US" w:eastAsia="zh-CN"/>
                    </w:rPr>
                    <w:t>；</w:t>
                  </w:r>
                  <w:r>
                    <w:rPr>
                      <w:rFonts w:hint="default" w:ascii="Times New Roman" w:hAnsi="Times New Roman" w:eastAsia="宋体" w:cs="Times New Roman"/>
                      <w:color w:val="auto"/>
                      <w:sz w:val="21"/>
                      <w:szCs w:val="21"/>
                      <w:u w:val="none" w:color="auto"/>
                      <w:lang w:eastAsia="zh-CN"/>
                    </w:rPr>
                    <w:t>三类工业企业:制革工业、电工业、使用含汞、砷、</w:t>
                  </w:r>
                  <w:r>
                    <w:rPr>
                      <w:rFonts w:hint="default" w:ascii="Times New Roman" w:hAnsi="Times New Roman" w:eastAsia="宋体" w:cs="Times New Roman"/>
                      <w:color w:val="auto"/>
                      <w:sz w:val="21"/>
                      <w:szCs w:val="21"/>
                      <w:u w:val="none" w:color="auto"/>
                      <w:lang w:val="en-US" w:eastAsia="zh-CN"/>
                    </w:rPr>
                    <w:t>镉</w:t>
                  </w:r>
                  <w:r>
                    <w:rPr>
                      <w:rFonts w:hint="default" w:ascii="Times New Roman" w:hAnsi="Times New Roman" w:eastAsia="宋体" w:cs="Times New Roman"/>
                      <w:color w:val="auto"/>
                      <w:sz w:val="21"/>
                      <w:szCs w:val="21"/>
                      <w:u w:val="none" w:color="auto"/>
                      <w:lang w:eastAsia="zh-CN"/>
                    </w:rPr>
                    <w:t>、铬、铅、氰化物等为原料的项目、水耗、能耗较高的工业项目、现有生产能力大，市场容量小的项目。</w:t>
                  </w:r>
                </w:p>
              </w:tc>
              <w:tc>
                <w:tcPr>
                  <w:tcW w:w="2695" w:type="dxa"/>
                  <w:tcBorders>
                    <w:tl2br w:val="nil"/>
                    <w:tr2bl w:val="nil"/>
                  </w:tcBorders>
                  <w:tcMar>
                    <w:top w:w="57" w:type="dxa"/>
                    <w:left w:w="51" w:type="dxa"/>
                    <w:bottom w:w="57" w:type="dxa"/>
                    <w:right w:w="51" w:type="dxa"/>
                  </w:tcMar>
                  <w:vAlign w:val="center"/>
                </w:tcPr>
                <w:p w14:paraId="3E24E7C7">
                  <w:pPr>
                    <w:pStyle w:val="99"/>
                    <w:keepNext w:val="0"/>
                    <w:keepLines w:val="0"/>
                    <w:pageBreakBefore w:val="0"/>
                    <w:widowControl/>
                    <w:kinsoku/>
                    <w:wordWrap/>
                    <w:overflowPunct/>
                    <w:topLinePunct w:val="0"/>
                    <w:autoSpaceDE w:val="0"/>
                    <w:autoSpaceDN w:val="0"/>
                    <w:bidi w:val="0"/>
                    <w:adjustRightInd/>
                    <w:snapToGrid/>
                    <w:spacing w:line="240" w:lineRule="auto"/>
                    <w:ind w:left="0"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highlight w:val="none"/>
                      <w:u w:val="none" w:color="auto"/>
                      <w:lang w:eastAsia="zh-CN"/>
                    </w:rPr>
                    <w:t>本项目</w:t>
                  </w:r>
                  <w:r>
                    <w:rPr>
                      <w:rFonts w:hint="default" w:ascii="Times New Roman" w:hAnsi="Times New Roman" w:eastAsia="宋体" w:cs="Times New Roman"/>
                      <w:color w:val="auto"/>
                      <w:sz w:val="21"/>
                      <w:szCs w:val="21"/>
                      <w:highlight w:val="none"/>
                      <w:u w:val="none" w:color="auto"/>
                      <w:lang w:val="en-US" w:eastAsia="zh-CN"/>
                    </w:rPr>
                    <w:t>不属于化工项目，不属于高VOCs排放项目，不属于湖南省“两高”项目管理目录所列项目</w:t>
                  </w:r>
                  <w:r>
                    <w:rPr>
                      <w:rFonts w:hint="default" w:ascii="Times New Roman" w:hAnsi="Times New Roman" w:eastAsia="宋体" w:cs="Times New Roman"/>
                      <w:color w:val="auto"/>
                      <w:sz w:val="21"/>
                      <w:szCs w:val="21"/>
                      <w:highlight w:val="none"/>
                      <w:u w:val="none" w:color="auto"/>
                      <w:lang w:eastAsia="zh-CN"/>
                    </w:rPr>
                    <w:t>，</w:t>
                  </w:r>
                  <w:r>
                    <w:rPr>
                      <w:rFonts w:hint="default" w:ascii="Times New Roman" w:hAnsi="Times New Roman" w:eastAsia="宋体" w:cs="Times New Roman"/>
                      <w:color w:val="auto"/>
                      <w:sz w:val="21"/>
                      <w:szCs w:val="21"/>
                      <w:highlight w:val="none"/>
                      <w:u w:val="none" w:color="auto"/>
                      <w:lang w:val="en-US" w:eastAsia="zh-CN"/>
                    </w:rPr>
                    <w:t>不使用含汞、砷、镉、铬、铅、氰化物等为原料，项目产品为新能源汽车用压铸动力外壳，现状新能源汽车属于国家鼓励发展产业，市场需求大。</w:t>
                  </w:r>
                </w:p>
              </w:tc>
              <w:tc>
                <w:tcPr>
                  <w:tcW w:w="1026" w:type="dxa"/>
                  <w:tcBorders>
                    <w:tl2br w:val="nil"/>
                    <w:tr2bl w:val="nil"/>
                  </w:tcBorders>
                  <w:tcMar>
                    <w:top w:w="57" w:type="dxa"/>
                    <w:left w:w="51" w:type="dxa"/>
                    <w:bottom w:w="57" w:type="dxa"/>
                    <w:right w:w="51" w:type="dxa"/>
                  </w:tcMar>
                  <w:vAlign w:val="center"/>
                </w:tcPr>
                <w:p w14:paraId="68E28872">
                  <w:pPr>
                    <w:pStyle w:val="99"/>
                    <w:keepNext w:val="0"/>
                    <w:keepLines w:val="0"/>
                    <w:pageBreakBefore w:val="0"/>
                    <w:widowControl/>
                    <w:kinsoku/>
                    <w:wordWrap/>
                    <w:overflowPunct/>
                    <w:topLinePunct w:val="0"/>
                    <w:autoSpaceDE w:val="0"/>
                    <w:autoSpaceDN w:val="0"/>
                    <w:bidi w:val="0"/>
                    <w:adjustRightInd/>
                    <w:snapToGrid/>
                    <w:spacing w:line="240" w:lineRule="auto"/>
                    <w:ind w:left="0" w:firstLine="0" w:firstLineChars="0"/>
                    <w:jc w:val="center"/>
                    <w:textAlignment w:val="auto"/>
                    <w:rPr>
                      <w:rFonts w:hint="default" w:ascii="Times New Roman" w:hAnsi="Times New Roman" w:eastAsia="宋体" w:cs="Times New Roman"/>
                      <w:color w:val="auto"/>
                      <w:sz w:val="21"/>
                      <w:szCs w:val="21"/>
                      <w:u w:val="none" w:color="auto"/>
                      <w:lang w:eastAsia="zh-CN"/>
                    </w:rPr>
                  </w:pPr>
                  <w:r>
                    <w:rPr>
                      <w:rFonts w:hint="default" w:ascii="Times New Roman" w:hAnsi="Times New Roman" w:eastAsia="宋体" w:cs="Times New Roman"/>
                      <w:color w:val="auto"/>
                      <w:sz w:val="21"/>
                      <w:szCs w:val="21"/>
                      <w:highlight w:val="none"/>
                      <w:u w:val="none" w:color="auto"/>
                      <w:lang w:val="en-US" w:eastAsia="zh-CN"/>
                    </w:rPr>
                    <w:t>本项目不属于园区限制类项目</w:t>
                  </w:r>
                </w:p>
              </w:tc>
            </w:tr>
            <w:tr w14:paraId="3B0112D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21" w:type="dxa"/>
                  <w:vMerge w:val="restart"/>
                  <w:tcBorders>
                    <w:tl2br w:val="nil"/>
                    <w:tr2bl w:val="nil"/>
                  </w:tcBorders>
                  <w:tcMar>
                    <w:top w:w="57" w:type="dxa"/>
                    <w:left w:w="51" w:type="dxa"/>
                    <w:bottom w:w="57" w:type="dxa"/>
                    <w:right w:w="51" w:type="dxa"/>
                  </w:tcMar>
                  <w:vAlign w:val="center"/>
                </w:tcPr>
                <w:p w14:paraId="3C56B625">
                  <w:pPr>
                    <w:pStyle w:val="99"/>
                    <w:keepNext w:val="0"/>
                    <w:keepLines w:val="0"/>
                    <w:pageBreakBefore w:val="0"/>
                    <w:widowControl/>
                    <w:kinsoku/>
                    <w:wordWrap/>
                    <w:overflowPunct/>
                    <w:topLinePunct w:val="0"/>
                    <w:autoSpaceDE w:val="0"/>
                    <w:autoSpaceDN w:val="0"/>
                    <w:bidi w:val="0"/>
                    <w:adjustRightInd/>
                    <w:snapToGrid/>
                    <w:spacing w:line="240" w:lineRule="auto"/>
                    <w:ind w:left="0" w:firstLine="0" w:firstLineChars="0"/>
                    <w:jc w:val="center"/>
                    <w:textAlignment w:val="auto"/>
                    <w:rPr>
                      <w:rFonts w:hint="default" w:ascii="Times New Roman" w:hAnsi="Times New Roman" w:eastAsia="宋体" w:cs="Times New Roman"/>
                      <w:color w:val="auto"/>
                      <w:sz w:val="21"/>
                      <w:szCs w:val="21"/>
                      <w:u w:val="none" w:color="auto"/>
                      <w:lang w:eastAsia="zh-CN"/>
                    </w:rPr>
                  </w:pPr>
                  <w:r>
                    <w:rPr>
                      <w:rFonts w:hint="default" w:ascii="Times New Roman" w:hAnsi="Times New Roman" w:eastAsia="宋体" w:cs="Times New Roman"/>
                      <w:color w:val="auto"/>
                      <w:sz w:val="21"/>
                      <w:szCs w:val="21"/>
                      <w:u w:val="none" w:color="auto"/>
                      <w:lang w:eastAsia="zh-CN"/>
                    </w:rPr>
                    <w:t>禁止类</w:t>
                  </w:r>
                </w:p>
              </w:tc>
              <w:tc>
                <w:tcPr>
                  <w:tcW w:w="2652" w:type="dxa"/>
                  <w:tcBorders>
                    <w:tl2br w:val="nil"/>
                    <w:tr2bl w:val="nil"/>
                  </w:tcBorders>
                  <w:tcMar>
                    <w:top w:w="57" w:type="dxa"/>
                    <w:left w:w="51" w:type="dxa"/>
                    <w:bottom w:w="57" w:type="dxa"/>
                    <w:right w:w="51" w:type="dxa"/>
                  </w:tcMar>
                  <w:vAlign w:val="center"/>
                </w:tcPr>
                <w:p w14:paraId="526BB02D">
                  <w:pPr>
                    <w:pStyle w:val="99"/>
                    <w:keepNext w:val="0"/>
                    <w:keepLines w:val="0"/>
                    <w:pageBreakBefore w:val="0"/>
                    <w:widowControl/>
                    <w:kinsoku/>
                    <w:wordWrap/>
                    <w:overflowPunct/>
                    <w:topLinePunct w:val="0"/>
                    <w:autoSpaceDE w:val="0"/>
                    <w:autoSpaceDN w:val="0"/>
                    <w:bidi w:val="0"/>
                    <w:adjustRightInd/>
                    <w:snapToGrid/>
                    <w:spacing w:line="240" w:lineRule="auto"/>
                    <w:ind w:left="0" w:firstLine="0" w:firstLineChars="0"/>
                    <w:jc w:val="center"/>
                    <w:textAlignment w:val="auto"/>
                    <w:rPr>
                      <w:rFonts w:hint="default" w:ascii="Times New Roman" w:hAnsi="Times New Roman" w:eastAsia="宋体" w:cs="Times New Roman"/>
                      <w:color w:val="auto"/>
                      <w:sz w:val="21"/>
                      <w:szCs w:val="21"/>
                      <w:u w:val="none" w:color="auto"/>
                      <w:lang w:eastAsia="zh-CN"/>
                    </w:rPr>
                  </w:pPr>
                  <w:r>
                    <w:rPr>
                      <w:rFonts w:hint="default" w:ascii="Times New Roman" w:hAnsi="Times New Roman" w:eastAsia="宋体" w:cs="Times New Roman"/>
                      <w:bCs/>
                      <w:color w:val="auto"/>
                      <w:sz w:val="21"/>
                      <w:szCs w:val="21"/>
                      <w:highlight w:val="none"/>
                      <w:u w:val="none" w:color="auto"/>
                    </w:rPr>
                    <w:t>不符合核心区产业定位的一、二、三类工业企业项目；禁止铅、锌、铬等重污染冶炼行业；纺织印染、</w:t>
                  </w:r>
                  <w:r>
                    <w:rPr>
                      <w:rFonts w:hint="default" w:ascii="Times New Roman" w:hAnsi="Times New Roman" w:eastAsia="宋体" w:cs="Times New Roman"/>
                      <w:color w:val="auto"/>
                      <w:sz w:val="21"/>
                      <w:szCs w:val="21"/>
                      <w:highlight w:val="none"/>
                      <w:u w:val="none" w:color="auto"/>
                    </w:rPr>
                    <w:t>炼油、农药工业；</w:t>
                  </w:r>
                  <w:r>
                    <w:rPr>
                      <w:rFonts w:hint="default" w:ascii="Times New Roman" w:hAnsi="Times New Roman" w:eastAsia="宋体" w:cs="Times New Roman"/>
                      <w:bCs/>
                      <w:color w:val="auto"/>
                      <w:sz w:val="21"/>
                      <w:szCs w:val="21"/>
                      <w:highlight w:val="none"/>
                      <w:u w:val="none" w:color="auto"/>
                    </w:rPr>
                    <w:t>水处理设施不完善的企业禁止开工生产；纺织印染工业；致癌、致畸、致突变产品生产项目；来料加工的海外废金属、塑料、纸张工业；电力工业的小火力发电；国家明文禁止的“十五小”和“新五小”项目，以及大量增加SO</w:t>
                  </w:r>
                  <w:r>
                    <w:rPr>
                      <w:rFonts w:hint="default" w:ascii="Times New Roman" w:hAnsi="Times New Roman" w:eastAsia="宋体" w:cs="Times New Roman"/>
                      <w:bCs/>
                      <w:color w:val="auto"/>
                      <w:sz w:val="21"/>
                      <w:szCs w:val="21"/>
                      <w:highlight w:val="none"/>
                      <w:u w:val="none" w:color="auto"/>
                      <w:vertAlign w:val="subscript"/>
                    </w:rPr>
                    <w:t>2</w:t>
                  </w:r>
                  <w:r>
                    <w:rPr>
                      <w:rFonts w:hint="default" w:ascii="Times New Roman" w:hAnsi="Times New Roman" w:eastAsia="宋体" w:cs="Times New Roman"/>
                      <w:bCs/>
                      <w:color w:val="auto"/>
                      <w:sz w:val="21"/>
                      <w:szCs w:val="21"/>
                      <w:highlight w:val="none"/>
                      <w:u w:val="none" w:color="auto"/>
                    </w:rPr>
                    <w:t>、NOx、COD、NH</w:t>
                  </w:r>
                  <w:r>
                    <w:rPr>
                      <w:rFonts w:hint="default" w:ascii="Times New Roman" w:hAnsi="Times New Roman" w:eastAsia="宋体" w:cs="Times New Roman"/>
                      <w:bCs/>
                      <w:color w:val="auto"/>
                      <w:sz w:val="21"/>
                      <w:szCs w:val="21"/>
                      <w:highlight w:val="none"/>
                      <w:u w:val="none" w:color="auto"/>
                      <w:vertAlign w:val="subscript"/>
                    </w:rPr>
                    <w:t>3</w:t>
                  </w:r>
                  <w:r>
                    <w:rPr>
                      <w:rFonts w:hint="default" w:ascii="Times New Roman" w:hAnsi="Times New Roman" w:eastAsia="宋体" w:cs="Times New Roman"/>
                      <w:bCs/>
                      <w:color w:val="auto"/>
                      <w:sz w:val="21"/>
                      <w:szCs w:val="21"/>
                      <w:highlight w:val="none"/>
                      <w:u w:val="none" w:color="auto"/>
                    </w:rPr>
                    <w:t>-N排放的工业项目。</w:t>
                  </w:r>
                </w:p>
              </w:tc>
              <w:tc>
                <w:tcPr>
                  <w:tcW w:w="2695" w:type="dxa"/>
                  <w:tcBorders>
                    <w:tl2br w:val="nil"/>
                    <w:tr2bl w:val="nil"/>
                  </w:tcBorders>
                  <w:tcMar>
                    <w:top w:w="57" w:type="dxa"/>
                    <w:left w:w="51" w:type="dxa"/>
                    <w:bottom w:w="57" w:type="dxa"/>
                    <w:right w:w="51" w:type="dxa"/>
                  </w:tcMar>
                  <w:vAlign w:val="center"/>
                </w:tcPr>
                <w:p w14:paraId="343CC693">
                  <w:pPr>
                    <w:pStyle w:val="99"/>
                    <w:keepNext w:val="0"/>
                    <w:keepLines w:val="0"/>
                    <w:pageBreakBefore w:val="0"/>
                    <w:widowControl/>
                    <w:kinsoku/>
                    <w:wordWrap/>
                    <w:overflowPunct/>
                    <w:topLinePunct w:val="0"/>
                    <w:autoSpaceDE w:val="0"/>
                    <w:autoSpaceDN w:val="0"/>
                    <w:bidi w:val="0"/>
                    <w:adjustRightInd/>
                    <w:snapToGrid/>
                    <w:spacing w:line="240" w:lineRule="auto"/>
                    <w:ind w:left="0" w:firstLine="0" w:firstLineChars="0"/>
                    <w:jc w:val="center"/>
                    <w:textAlignment w:val="auto"/>
                    <w:rPr>
                      <w:rFonts w:hint="default" w:ascii="Times New Roman" w:hAnsi="Times New Roman" w:eastAsia="宋体" w:cs="Times New Roman"/>
                      <w:color w:val="auto"/>
                      <w:sz w:val="21"/>
                      <w:szCs w:val="21"/>
                      <w:u w:val="none" w:color="auto"/>
                      <w:lang w:eastAsia="zh-CN"/>
                    </w:rPr>
                  </w:pPr>
                  <w:r>
                    <w:rPr>
                      <w:rFonts w:hint="default" w:ascii="Times New Roman" w:hAnsi="Times New Roman" w:eastAsia="宋体" w:cs="Times New Roman"/>
                      <w:color w:val="auto"/>
                      <w:sz w:val="21"/>
                      <w:szCs w:val="21"/>
                      <w:u w:val="none" w:color="auto"/>
                      <w:lang w:eastAsia="zh-CN"/>
                    </w:rPr>
                    <w:t>本项目</w:t>
                  </w:r>
                  <w:r>
                    <w:rPr>
                      <w:rFonts w:hint="default" w:ascii="Times New Roman" w:hAnsi="Times New Roman" w:eastAsia="宋体" w:cs="Times New Roman"/>
                      <w:color w:val="auto"/>
                      <w:sz w:val="21"/>
                      <w:szCs w:val="21"/>
                      <w:u w:val="none" w:color="auto"/>
                      <w:lang w:val="en-US" w:eastAsia="zh-CN"/>
                    </w:rPr>
                    <w:t>为</w:t>
                  </w:r>
                  <w:r>
                    <w:rPr>
                      <w:rFonts w:hint="default" w:ascii="Times New Roman" w:hAnsi="Times New Roman" w:eastAsia="宋体" w:cs="Times New Roman"/>
                      <w:color w:val="auto"/>
                      <w:sz w:val="21"/>
                      <w:szCs w:val="21"/>
                      <w:u w:val="none" w:color="auto"/>
                      <w:lang w:eastAsia="zh-CN"/>
                    </w:rPr>
                    <w:t>符合核心产业定位的二类工业企业项目；根据本次评价分析，项目不属于铅、锌、铬等重污染冶炼行业；项目所在地污水处理厂已正常运行，且纳污范围已包含本项目所在区域；本项目属于有色金属</w:t>
                  </w:r>
                  <w:r>
                    <w:rPr>
                      <w:rFonts w:hint="default" w:ascii="Times New Roman" w:hAnsi="Times New Roman" w:eastAsia="宋体" w:cs="Times New Roman"/>
                      <w:color w:val="auto"/>
                      <w:sz w:val="21"/>
                      <w:szCs w:val="21"/>
                      <w:u w:val="none" w:color="auto"/>
                      <w:lang w:val="en-US" w:eastAsia="zh-CN"/>
                    </w:rPr>
                    <w:t>合金</w:t>
                  </w:r>
                  <w:r>
                    <w:rPr>
                      <w:rFonts w:hint="default" w:ascii="Times New Roman" w:hAnsi="Times New Roman" w:eastAsia="宋体" w:cs="Times New Roman"/>
                      <w:color w:val="auto"/>
                      <w:sz w:val="21"/>
                      <w:szCs w:val="21"/>
                      <w:u w:val="none" w:color="auto"/>
                      <w:lang w:eastAsia="zh-CN"/>
                    </w:rPr>
                    <w:t>制造及</w:t>
                  </w:r>
                  <w:r>
                    <w:rPr>
                      <w:rFonts w:hint="default" w:ascii="Times New Roman" w:hAnsi="Times New Roman" w:eastAsia="宋体" w:cs="Times New Roman"/>
                      <w:color w:val="auto"/>
                      <w:sz w:val="21"/>
                      <w:szCs w:val="21"/>
                      <w:u w:val="none" w:color="auto"/>
                      <w:lang w:val="en-US" w:eastAsia="zh-CN"/>
                    </w:rPr>
                    <w:t>铸造</w:t>
                  </w:r>
                  <w:r>
                    <w:rPr>
                      <w:rFonts w:hint="default" w:ascii="Times New Roman" w:hAnsi="Times New Roman" w:eastAsia="宋体" w:cs="Times New Roman"/>
                      <w:color w:val="auto"/>
                      <w:sz w:val="21"/>
                      <w:szCs w:val="21"/>
                      <w:u w:val="none" w:color="auto"/>
                      <w:lang w:eastAsia="zh-CN"/>
                    </w:rPr>
                    <w:t>，不属于冶炼行业，也不属于“十五小”和“新五小”企业，项目使用的原辅料不使用废金属料、金属矿石等。</w:t>
                  </w:r>
                </w:p>
              </w:tc>
              <w:tc>
                <w:tcPr>
                  <w:tcW w:w="1026" w:type="dxa"/>
                  <w:tcBorders>
                    <w:tl2br w:val="nil"/>
                    <w:tr2bl w:val="nil"/>
                  </w:tcBorders>
                  <w:tcMar>
                    <w:top w:w="57" w:type="dxa"/>
                    <w:left w:w="51" w:type="dxa"/>
                    <w:bottom w:w="57" w:type="dxa"/>
                    <w:right w:w="51" w:type="dxa"/>
                  </w:tcMar>
                  <w:vAlign w:val="center"/>
                </w:tcPr>
                <w:p w14:paraId="5FC64A7F">
                  <w:pPr>
                    <w:pStyle w:val="99"/>
                    <w:keepNext w:val="0"/>
                    <w:keepLines w:val="0"/>
                    <w:pageBreakBefore w:val="0"/>
                    <w:widowControl/>
                    <w:kinsoku/>
                    <w:wordWrap/>
                    <w:overflowPunct/>
                    <w:topLinePunct w:val="0"/>
                    <w:autoSpaceDE w:val="0"/>
                    <w:autoSpaceDN w:val="0"/>
                    <w:bidi w:val="0"/>
                    <w:adjustRightInd/>
                    <w:snapToGrid/>
                    <w:spacing w:line="240" w:lineRule="auto"/>
                    <w:ind w:left="0"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不属于禁止类</w:t>
                  </w:r>
                </w:p>
              </w:tc>
            </w:tr>
            <w:tr w14:paraId="0CFAEEF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21" w:type="dxa"/>
                  <w:vMerge w:val="continue"/>
                  <w:tcBorders>
                    <w:tl2br w:val="nil"/>
                    <w:tr2bl w:val="nil"/>
                  </w:tcBorders>
                  <w:tcMar>
                    <w:top w:w="57" w:type="dxa"/>
                    <w:left w:w="51" w:type="dxa"/>
                    <w:bottom w:w="57" w:type="dxa"/>
                    <w:right w:w="51" w:type="dxa"/>
                  </w:tcMar>
                  <w:vAlign w:val="center"/>
                </w:tcPr>
                <w:p w14:paraId="09DDFF46">
                  <w:pPr>
                    <w:pStyle w:val="99"/>
                    <w:keepNext w:val="0"/>
                    <w:keepLines w:val="0"/>
                    <w:pageBreakBefore w:val="0"/>
                    <w:widowControl/>
                    <w:kinsoku/>
                    <w:wordWrap/>
                    <w:overflowPunct/>
                    <w:topLinePunct w:val="0"/>
                    <w:autoSpaceDE w:val="0"/>
                    <w:autoSpaceDN w:val="0"/>
                    <w:bidi w:val="0"/>
                    <w:adjustRightInd/>
                    <w:snapToGrid/>
                    <w:spacing w:line="240" w:lineRule="auto"/>
                    <w:ind w:left="0" w:firstLine="0" w:firstLineChars="0"/>
                    <w:jc w:val="center"/>
                    <w:textAlignment w:val="auto"/>
                    <w:rPr>
                      <w:rFonts w:hint="default" w:ascii="Times New Roman" w:hAnsi="Times New Roman" w:eastAsia="宋体" w:cs="Times New Roman"/>
                      <w:color w:val="auto"/>
                      <w:sz w:val="21"/>
                      <w:szCs w:val="21"/>
                      <w:u w:val="none" w:color="auto"/>
                      <w:lang w:eastAsia="zh-CN"/>
                    </w:rPr>
                  </w:pPr>
                </w:p>
              </w:tc>
              <w:tc>
                <w:tcPr>
                  <w:tcW w:w="2652" w:type="dxa"/>
                  <w:tcBorders>
                    <w:tl2br w:val="nil"/>
                    <w:tr2bl w:val="nil"/>
                  </w:tcBorders>
                  <w:tcMar>
                    <w:top w:w="57" w:type="dxa"/>
                    <w:left w:w="51" w:type="dxa"/>
                    <w:bottom w:w="57" w:type="dxa"/>
                    <w:right w:w="51" w:type="dxa"/>
                  </w:tcMar>
                  <w:vAlign w:val="center"/>
                </w:tcPr>
                <w:p w14:paraId="61C61337">
                  <w:pPr>
                    <w:pStyle w:val="99"/>
                    <w:keepNext w:val="0"/>
                    <w:keepLines w:val="0"/>
                    <w:pageBreakBefore w:val="0"/>
                    <w:widowControl/>
                    <w:kinsoku/>
                    <w:wordWrap/>
                    <w:overflowPunct/>
                    <w:topLinePunct w:val="0"/>
                    <w:autoSpaceDE w:val="0"/>
                    <w:autoSpaceDN w:val="0"/>
                    <w:bidi w:val="0"/>
                    <w:adjustRightInd/>
                    <w:snapToGrid/>
                    <w:spacing w:line="240" w:lineRule="auto"/>
                    <w:ind w:left="0" w:firstLine="0" w:firstLineChars="0"/>
                    <w:jc w:val="center"/>
                    <w:textAlignment w:val="auto"/>
                    <w:rPr>
                      <w:rFonts w:hint="default" w:ascii="Times New Roman" w:hAnsi="Times New Roman" w:eastAsia="宋体" w:cs="Times New Roman"/>
                      <w:color w:val="auto"/>
                      <w:sz w:val="21"/>
                      <w:szCs w:val="21"/>
                      <w:u w:val="none" w:color="auto"/>
                      <w:lang w:eastAsia="zh-CN"/>
                    </w:rPr>
                  </w:pPr>
                  <w:r>
                    <w:rPr>
                      <w:rFonts w:hint="default" w:ascii="Times New Roman" w:hAnsi="Times New Roman" w:eastAsia="宋体" w:cs="Times New Roman"/>
                      <w:color w:val="auto"/>
                      <w:sz w:val="21"/>
                      <w:szCs w:val="21"/>
                      <w:u w:val="none" w:color="auto"/>
                      <w:lang w:eastAsia="zh-CN"/>
                    </w:rPr>
                    <w:t>长江岸线1公里范围内，严禁新建、扩建化工生产项目。</w:t>
                  </w:r>
                </w:p>
              </w:tc>
              <w:tc>
                <w:tcPr>
                  <w:tcW w:w="2695" w:type="dxa"/>
                  <w:tcBorders>
                    <w:tl2br w:val="nil"/>
                    <w:tr2bl w:val="nil"/>
                  </w:tcBorders>
                  <w:tcMar>
                    <w:top w:w="57" w:type="dxa"/>
                    <w:left w:w="51" w:type="dxa"/>
                    <w:bottom w:w="57" w:type="dxa"/>
                    <w:right w:w="51" w:type="dxa"/>
                  </w:tcMar>
                  <w:vAlign w:val="center"/>
                </w:tcPr>
                <w:p w14:paraId="615E5629">
                  <w:pPr>
                    <w:pStyle w:val="99"/>
                    <w:keepNext w:val="0"/>
                    <w:keepLines w:val="0"/>
                    <w:pageBreakBefore w:val="0"/>
                    <w:widowControl/>
                    <w:kinsoku/>
                    <w:wordWrap/>
                    <w:overflowPunct/>
                    <w:topLinePunct w:val="0"/>
                    <w:autoSpaceDE w:val="0"/>
                    <w:autoSpaceDN w:val="0"/>
                    <w:bidi w:val="0"/>
                    <w:adjustRightInd/>
                    <w:snapToGrid/>
                    <w:spacing w:line="240" w:lineRule="auto"/>
                    <w:ind w:left="0"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本项目不属于化工项目，且项目生产车间与长江的最近距离在1.2km左右</w:t>
                  </w:r>
                </w:p>
              </w:tc>
              <w:tc>
                <w:tcPr>
                  <w:tcW w:w="1026" w:type="dxa"/>
                  <w:vMerge w:val="restart"/>
                  <w:tcBorders>
                    <w:tl2br w:val="nil"/>
                    <w:tr2bl w:val="nil"/>
                  </w:tcBorders>
                  <w:tcMar>
                    <w:top w:w="57" w:type="dxa"/>
                    <w:left w:w="51" w:type="dxa"/>
                    <w:bottom w:w="57" w:type="dxa"/>
                    <w:right w:w="51" w:type="dxa"/>
                  </w:tcMar>
                  <w:vAlign w:val="center"/>
                </w:tcPr>
                <w:p w14:paraId="43815FD7">
                  <w:pPr>
                    <w:pStyle w:val="99"/>
                    <w:keepNext w:val="0"/>
                    <w:keepLines w:val="0"/>
                    <w:pageBreakBefore w:val="0"/>
                    <w:widowControl/>
                    <w:kinsoku/>
                    <w:wordWrap/>
                    <w:overflowPunct/>
                    <w:topLinePunct w:val="0"/>
                    <w:autoSpaceDE w:val="0"/>
                    <w:autoSpaceDN w:val="0"/>
                    <w:bidi w:val="0"/>
                    <w:adjustRightInd/>
                    <w:snapToGrid/>
                    <w:spacing w:line="240" w:lineRule="auto"/>
                    <w:ind w:left="0"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不属于禁止类</w:t>
                  </w:r>
                </w:p>
              </w:tc>
            </w:tr>
            <w:tr w14:paraId="566F582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21" w:type="dxa"/>
                  <w:vMerge w:val="continue"/>
                  <w:tcBorders>
                    <w:tl2br w:val="nil"/>
                    <w:tr2bl w:val="nil"/>
                  </w:tcBorders>
                  <w:tcMar>
                    <w:top w:w="57" w:type="dxa"/>
                    <w:left w:w="51" w:type="dxa"/>
                    <w:bottom w:w="57" w:type="dxa"/>
                    <w:right w:w="51" w:type="dxa"/>
                  </w:tcMar>
                  <w:vAlign w:val="center"/>
                </w:tcPr>
                <w:p w14:paraId="4F647E51">
                  <w:pPr>
                    <w:pStyle w:val="99"/>
                    <w:keepNext w:val="0"/>
                    <w:keepLines w:val="0"/>
                    <w:pageBreakBefore w:val="0"/>
                    <w:widowControl/>
                    <w:kinsoku/>
                    <w:wordWrap/>
                    <w:overflowPunct/>
                    <w:topLinePunct w:val="0"/>
                    <w:autoSpaceDE w:val="0"/>
                    <w:autoSpaceDN w:val="0"/>
                    <w:bidi w:val="0"/>
                    <w:adjustRightInd/>
                    <w:snapToGrid/>
                    <w:spacing w:line="240" w:lineRule="auto"/>
                    <w:ind w:left="0" w:firstLine="0" w:firstLineChars="0"/>
                    <w:jc w:val="center"/>
                    <w:textAlignment w:val="auto"/>
                    <w:rPr>
                      <w:rFonts w:hint="default" w:ascii="Times New Roman" w:hAnsi="Times New Roman" w:eastAsia="宋体" w:cs="Times New Roman"/>
                      <w:color w:val="auto"/>
                      <w:sz w:val="21"/>
                      <w:szCs w:val="21"/>
                      <w:u w:val="none" w:color="auto"/>
                      <w:lang w:eastAsia="zh-CN"/>
                    </w:rPr>
                  </w:pPr>
                </w:p>
              </w:tc>
              <w:tc>
                <w:tcPr>
                  <w:tcW w:w="2652" w:type="dxa"/>
                  <w:tcBorders>
                    <w:tl2br w:val="nil"/>
                    <w:tr2bl w:val="nil"/>
                  </w:tcBorders>
                  <w:tcMar>
                    <w:top w:w="57" w:type="dxa"/>
                    <w:left w:w="51" w:type="dxa"/>
                    <w:bottom w:w="57" w:type="dxa"/>
                    <w:right w:w="51" w:type="dxa"/>
                  </w:tcMar>
                  <w:vAlign w:val="center"/>
                </w:tcPr>
                <w:p w14:paraId="47F0B1D3">
                  <w:pPr>
                    <w:pStyle w:val="99"/>
                    <w:keepNext w:val="0"/>
                    <w:keepLines w:val="0"/>
                    <w:pageBreakBefore w:val="0"/>
                    <w:widowControl/>
                    <w:kinsoku/>
                    <w:wordWrap/>
                    <w:overflowPunct/>
                    <w:topLinePunct w:val="0"/>
                    <w:autoSpaceDE w:val="0"/>
                    <w:autoSpaceDN w:val="0"/>
                    <w:bidi w:val="0"/>
                    <w:adjustRightInd/>
                    <w:snapToGrid/>
                    <w:spacing w:line="240" w:lineRule="auto"/>
                    <w:ind w:left="0" w:firstLine="0" w:firstLineChars="0"/>
                    <w:jc w:val="center"/>
                    <w:textAlignment w:val="auto"/>
                    <w:rPr>
                      <w:rFonts w:hint="default" w:ascii="Times New Roman" w:hAnsi="Times New Roman" w:eastAsia="宋体" w:cs="Times New Roman"/>
                      <w:color w:val="auto"/>
                      <w:sz w:val="21"/>
                      <w:szCs w:val="21"/>
                      <w:u w:val="none" w:color="auto"/>
                      <w:lang w:eastAsia="zh-CN"/>
                    </w:rPr>
                  </w:pPr>
                  <w:r>
                    <w:rPr>
                      <w:rFonts w:hint="default" w:ascii="Times New Roman" w:hAnsi="Times New Roman" w:eastAsia="宋体" w:cs="Times New Roman"/>
                      <w:color w:val="auto"/>
                      <w:sz w:val="21"/>
                      <w:szCs w:val="21"/>
                      <w:u w:val="none" w:color="auto"/>
                      <w:lang w:eastAsia="zh-CN"/>
                    </w:rPr>
                    <w:t>长江岸线1公里范围内禁止新建、扩建磷矿、磷化工项目。</w:t>
                  </w:r>
                </w:p>
              </w:tc>
              <w:tc>
                <w:tcPr>
                  <w:tcW w:w="2695" w:type="dxa"/>
                  <w:tcBorders>
                    <w:tl2br w:val="nil"/>
                    <w:tr2bl w:val="nil"/>
                  </w:tcBorders>
                  <w:tcMar>
                    <w:top w:w="57" w:type="dxa"/>
                    <w:left w:w="51" w:type="dxa"/>
                    <w:bottom w:w="57" w:type="dxa"/>
                    <w:right w:w="51" w:type="dxa"/>
                  </w:tcMar>
                  <w:vAlign w:val="center"/>
                </w:tcPr>
                <w:p w14:paraId="0EB7368B">
                  <w:pPr>
                    <w:pStyle w:val="99"/>
                    <w:keepNext w:val="0"/>
                    <w:keepLines w:val="0"/>
                    <w:pageBreakBefore w:val="0"/>
                    <w:widowControl/>
                    <w:kinsoku/>
                    <w:wordWrap/>
                    <w:overflowPunct/>
                    <w:topLinePunct w:val="0"/>
                    <w:autoSpaceDE w:val="0"/>
                    <w:autoSpaceDN w:val="0"/>
                    <w:bidi w:val="0"/>
                    <w:adjustRightInd/>
                    <w:snapToGrid/>
                    <w:spacing w:line="240" w:lineRule="auto"/>
                    <w:ind w:left="0"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本项目不属于磷矿、磷化工项目</w:t>
                  </w:r>
                </w:p>
              </w:tc>
              <w:tc>
                <w:tcPr>
                  <w:tcW w:w="1026" w:type="dxa"/>
                  <w:vMerge w:val="continue"/>
                  <w:tcBorders>
                    <w:tl2br w:val="nil"/>
                    <w:tr2bl w:val="nil"/>
                  </w:tcBorders>
                  <w:tcMar>
                    <w:top w:w="57" w:type="dxa"/>
                    <w:left w:w="51" w:type="dxa"/>
                    <w:bottom w:w="57" w:type="dxa"/>
                    <w:right w:w="51" w:type="dxa"/>
                  </w:tcMar>
                  <w:vAlign w:val="center"/>
                </w:tcPr>
                <w:p w14:paraId="32FA50F9">
                  <w:pPr>
                    <w:pStyle w:val="99"/>
                    <w:keepNext w:val="0"/>
                    <w:keepLines w:val="0"/>
                    <w:pageBreakBefore w:val="0"/>
                    <w:widowControl/>
                    <w:kinsoku/>
                    <w:wordWrap/>
                    <w:overflowPunct/>
                    <w:topLinePunct w:val="0"/>
                    <w:autoSpaceDE w:val="0"/>
                    <w:autoSpaceDN w:val="0"/>
                    <w:bidi w:val="0"/>
                    <w:adjustRightInd/>
                    <w:snapToGrid/>
                    <w:spacing w:line="240" w:lineRule="auto"/>
                    <w:ind w:left="0" w:firstLine="0" w:firstLineChars="0"/>
                    <w:jc w:val="center"/>
                    <w:textAlignment w:val="auto"/>
                    <w:rPr>
                      <w:rFonts w:hint="default" w:ascii="Times New Roman" w:hAnsi="Times New Roman" w:eastAsia="宋体" w:cs="Times New Roman"/>
                      <w:color w:val="auto"/>
                      <w:sz w:val="21"/>
                      <w:szCs w:val="21"/>
                      <w:u w:val="none" w:color="auto"/>
                      <w:lang w:eastAsia="zh-CN"/>
                    </w:rPr>
                  </w:pPr>
                </w:p>
              </w:tc>
            </w:tr>
            <w:tr w14:paraId="051BC83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21" w:type="dxa"/>
                  <w:vMerge w:val="continue"/>
                  <w:tcBorders>
                    <w:tl2br w:val="nil"/>
                    <w:tr2bl w:val="nil"/>
                  </w:tcBorders>
                  <w:tcMar>
                    <w:top w:w="57" w:type="dxa"/>
                    <w:left w:w="51" w:type="dxa"/>
                    <w:bottom w:w="57" w:type="dxa"/>
                    <w:right w:w="51" w:type="dxa"/>
                  </w:tcMar>
                  <w:vAlign w:val="center"/>
                </w:tcPr>
                <w:p w14:paraId="615379AA">
                  <w:pPr>
                    <w:pStyle w:val="99"/>
                    <w:keepNext w:val="0"/>
                    <w:keepLines w:val="0"/>
                    <w:pageBreakBefore w:val="0"/>
                    <w:widowControl/>
                    <w:kinsoku/>
                    <w:wordWrap/>
                    <w:overflowPunct/>
                    <w:topLinePunct w:val="0"/>
                    <w:autoSpaceDE w:val="0"/>
                    <w:autoSpaceDN w:val="0"/>
                    <w:bidi w:val="0"/>
                    <w:adjustRightInd/>
                    <w:snapToGrid/>
                    <w:spacing w:line="240" w:lineRule="auto"/>
                    <w:ind w:left="0" w:firstLine="0" w:firstLineChars="0"/>
                    <w:jc w:val="center"/>
                    <w:textAlignment w:val="auto"/>
                    <w:rPr>
                      <w:rFonts w:hint="default" w:ascii="Times New Roman" w:hAnsi="Times New Roman" w:eastAsia="宋体" w:cs="Times New Roman"/>
                      <w:color w:val="auto"/>
                      <w:sz w:val="21"/>
                      <w:szCs w:val="21"/>
                      <w:u w:val="none" w:color="auto"/>
                      <w:lang w:eastAsia="zh-CN"/>
                    </w:rPr>
                  </w:pPr>
                </w:p>
              </w:tc>
              <w:tc>
                <w:tcPr>
                  <w:tcW w:w="2652" w:type="dxa"/>
                  <w:tcBorders>
                    <w:tl2br w:val="nil"/>
                    <w:tr2bl w:val="nil"/>
                  </w:tcBorders>
                  <w:tcMar>
                    <w:top w:w="57" w:type="dxa"/>
                    <w:left w:w="51" w:type="dxa"/>
                    <w:bottom w:w="57" w:type="dxa"/>
                    <w:right w:w="51" w:type="dxa"/>
                  </w:tcMar>
                  <w:vAlign w:val="center"/>
                </w:tcPr>
                <w:p w14:paraId="625C83B0">
                  <w:pPr>
                    <w:pStyle w:val="99"/>
                    <w:keepNext w:val="0"/>
                    <w:keepLines w:val="0"/>
                    <w:pageBreakBefore w:val="0"/>
                    <w:widowControl/>
                    <w:kinsoku/>
                    <w:wordWrap/>
                    <w:overflowPunct/>
                    <w:topLinePunct w:val="0"/>
                    <w:autoSpaceDE w:val="0"/>
                    <w:autoSpaceDN w:val="0"/>
                    <w:bidi w:val="0"/>
                    <w:adjustRightInd/>
                    <w:snapToGrid/>
                    <w:spacing w:line="240" w:lineRule="auto"/>
                    <w:ind w:left="0" w:firstLine="0" w:firstLineChars="0"/>
                    <w:jc w:val="center"/>
                    <w:textAlignment w:val="auto"/>
                    <w:rPr>
                      <w:rFonts w:hint="default" w:ascii="Times New Roman" w:hAnsi="Times New Roman" w:eastAsia="宋体" w:cs="Times New Roman"/>
                      <w:color w:val="auto"/>
                      <w:sz w:val="21"/>
                      <w:szCs w:val="21"/>
                      <w:u w:val="none" w:color="auto"/>
                      <w:lang w:eastAsia="zh-CN"/>
                    </w:rPr>
                  </w:pPr>
                  <w:r>
                    <w:rPr>
                      <w:rFonts w:hint="default" w:ascii="Times New Roman" w:hAnsi="Times New Roman" w:eastAsia="宋体" w:cs="Times New Roman"/>
                      <w:color w:val="auto"/>
                      <w:sz w:val="21"/>
                      <w:szCs w:val="21"/>
                      <w:u w:val="none" w:color="auto"/>
                      <w:lang w:eastAsia="zh-CN"/>
                    </w:rPr>
                    <w:t>严禁水泥等行业新增产能，对确有必要新建的必须实施等量或减量置换。</w:t>
                  </w:r>
                </w:p>
              </w:tc>
              <w:tc>
                <w:tcPr>
                  <w:tcW w:w="2695" w:type="dxa"/>
                  <w:tcBorders>
                    <w:tl2br w:val="nil"/>
                    <w:tr2bl w:val="nil"/>
                  </w:tcBorders>
                  <w:tcMar>
                    <w:top w:w="57" w:type="dxa"/>
                    <w:left w:w="51" w:type="dxa"/>
                    <w:bottom w:w="57" w:type="dxa"/>
                    <w:right w:w="51" w:type="dxa"/>
                  </w:tcMar>
                  <w:vAlign w:val="center"/>
                </w:tcPr>
                <w:p w14:paraId="435D1B39">
                  <w:pPr>
                    <w:pStyle w:val="99"/>
                    <w:keepNext w:val="0"/>
                    <w:keepLines w:val="0"/>
                    <w:pageBreakBefore w:val="0"/>
                    <w:widowControl/>
                    <w:kinsoku/>
                    <w:wordWrap/>
                    <w:overflowPunct/>
                    <w:topLinePunct w:val="0"/>
                    <w:autoSpaceDE w:val="0"/>
                    <w:autoSpaceDN w:val="0"/>
                    <w:bidi w:val="0"/>
                    <w:adjustRightInd/>
                    <w:snapToGrid/>
                    <w:spacing w:line="240" w:lineRule="auto"/>
                    <w:ind w:left="0"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本项目不属于水泥行业</w:t>
                  </w:r>
                </w:p>
              </w:tc>
              <w:tc>
                <w:tcPr>
                  <w:tcW w:w="1026" w:type="dxa"/>
                  <w:vMerge w:val="continue"/>
                  <w:tcBorders>
                    <w:tl2br w:val="nil"/>
                    <w:tr2bl w:val="nil"/>
                  </w:tcBorders>
                  <w:tcMar>
                    <w:top w:w="57" w:type="dxa"/>
                    <w:left w:w="51" w:type="dxa"/>
                    <w:bottom w:w="57" w:type="dxa"/>
                    <w:right w:w="51" w:type="dxa"/>
                  </w:tcMar>
                  <w:vAlign w:val="center"/>
                </w:tcPr>
                <w:p w14:paraId="3E128AFF">
                  <w:pPr>
                    <w:pStyle w:val="99"/>
                    <w:keepNext w:val="0"/>
                    <w:keepLines w:val="0"/>
                    <w:pageBreakBefore w:val="0"/>
                    <w:widowControl/>
                    <w:kinsoku/>
                    <w:wordWrap/>
                    <w:overflowPunct/>
                    <w:topLinePunct w:val="0"/>
                    <w:autoSpaceDE w:val="0"/>
                    <w:autoSpaceDN w:val="0"/>
                    <w:bidi w:val="0"/>
                    <w:adjustRightInd/>
                    <w:snapToGrid/>
                    <w:spacing w:line="240" w:lineRule="auto"/>
                    <w:ind w:left="0" w:firstLine="0" w:firstLineChars="0"/>
                    <w:jc w:val="center"/>
                    <w:textAlignment w:val="auto"/>
                    <w:rPr>
                      <w:rFonts w:hint="default" w:ascii="Times New Roman" w:hAnsi="Times New Roman" w:eastAsia="宋体" w:cs="Times New Roman"/>
                      <w:color w:val="auto"/>
                      <w:sz w:val="21"/>
                      <w:szCs w:val="21"/>
                      <w:u w:val="none" w:color="auto"/>
                      <w:lang w:eastAsia="zh-CN"/>
                    </w:rPr>
                  </w:pPr>
                </w:p>
              </w:tc>
            </w:tr>
            <w:tr w14:paraId="6287204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21" w:type="dxa"/>
                  <w:vMerge w:val="continue"/>
                  <w:tcBorders>
                    <w:tl2br w:val="nil"/>
                    <w:tr2bl w:val="nil"/>
                  </w:tcBorders>
                  <w:tcMar>
                    <w:top w:w="57" w:type="dxa"/>
                    <w:left w:w="51" w:type="dxa"/>
                    <w:bottom w:w="57" w:type="dxa"/>
                    <w:right w:w="51" w:type="dxa"/>
                  </w:tcMar>
                  <w:vAlign w:val="center"/>
                </w:tcPr>
                <w:p w14:paraId="12BF6CE4">
                  <w:pPr>
                    <w:pStyle w:val="99"/>
                    <w:keepNext w:val="0"/>
                    <w:keepLines w:val="0"/>
                    <w:pageBreakBefore w:val="0"/>
                    <w:widowControl/>
                    <w:kinsoku/>
                    <w:wordWrap/>
                    <w:overflowPunct/>
                    <w:topLinePunct w:val="0"/>
                    <w:autoSpaceDE w:val="0"/>
                    <w:autoSpaceDN w:val="0"/>
                    <w:bidi w:val="0"/>
                    <w:adjustRightInd/>
                    <w:snapToGrid/>
                    <w:spacing w:line="240" w:lineRule="auto"/>
                    <w:ind w:left="0" w:firstLine="0" w:firstLineChars="0"/>
                    <w:jc w:val="center"/>
                    <w:textAlignment w:val="auto"/>
                    <w:rPr>
                      <w:rFonts w:hint="default" w:ascii="Times New Roman" w:hAnsi="Times New Roman" w:eastAsia="宋体" w:cs="Times New Roman"/>
                      <w:color w:val="auto"/>
                      <w:sz w:val="21"/>
                      <w:szCs w:val="21"/>
                      <w:u w:val="none" w:color="auto"/>
                      <w:lang w:eastAsia="zh-CN"/>
                    </w:rPr>
                  </w:pPr>
                </w:p>
              </w:tc>
              <w:tc>
                <w:tcPr>
                  <w:tcW w:w="2652" w:type="dxa"/>
                  <w:tcBorders>
                    <w:tl2br w:val="nil"/>
                    <w:tr2bl w:val="nil"/>
                  </w:tcBorders>
                  <w:tcMar>
                    <w:top w:w="57" w:type="dxa"/>
                    <w:left w:w="51" w:type="dxa"/>
                    <w:bottom w:w="57" w:type="dxa"/>
                    <w:right w:w="51" w:type="dxa"/>
                  </w:tcMar>
                  <w:vAlign w:val="center"/>
                </w:tcPr>
                <w:p w14:paraId="4CBCD16C">
                  <w:pPr>
                    <w:pStyle w:val="99"/>
                    <w:keepNext w:val="0"/>
                    <w:keepLines w:val="0"/>
                    <w:pageBreakBefore w:val="0"/>
                    <w:widowControl/>
                    <w:kinsoku/>
                    <w:wordWrap/>
                    <w:overflowPunct/>
                    <w:topLinePunct w:val="0"/>
                    <w:autoSpaceDE w:val="0"/>
                    <w:autoSpaceDN w:val="0"/>
                    <w:bidi w:val="0"/>
                    <w:adjustRightInd/>
                    <w:snapToGrid/>
                    <w:spacing w:line="240" w:lineRule="auto"/>
                    <w:ind w:left="0" w:firstLine="0" w:firstLineChars="0"/>
                    <w:jc w:val="center"/>
                    <w:textAlignment w:val="auto"/>
                    <w:rPr>
                      <w:rFonts w:hint="default" w:ascii="Times New Roman" w:hAnsi="Times New Roman" w:eastAsia="宋体" w:cs="Times New Roman"/>
                      <w:color w:val="auto"/>
                      <w:sz w:val="21"/>
                      <w:szCs w:val="21"/>
                      <w:u w:val="none" w:color="auto"/>
                      <w:lang w:eastAsia="zh-CN"/>
                    </w:rPr>
                  </w:pPr>
                  <w:r>
                    <w:rPr>
                      <w:rFonts w:hint="default" w:ascii="Times New Roman" w:hAnsi="Times New Roman" w:eastAsia="宋体" w:cs="Times New Roman"/>
                      <w:color w:val="auto"/>
                      <w:sz w:val="21"/>
                      <w:szCs w:val="21"/>
                      <w:u w:val="none" w:color="auto"/>
                      <w:lang w:eastAsia="zh-CN"/>
                    </w:rPr>
                    <w:t>禁止新建、扩建法律法规和相关政策明令禁止的落后产能项目，对不符合要求的落后产能项目，依法依规退出。</w:t>
                  </w:r>
                </w:p>
              </w:tc>
              <w:tc>
                <w:tcPr>
                  <w:tcW w:w="2695" w:type="dxa"/>
                  <w:tcBorders>
                    <w:tl2br w:val="nil"/>
                    <w:tr2bl w:val="nil"/>
                  </w:tcBorders>
                  <w:tcMar>
                    <w:top w:w="57" w:type="dxa"/>
                    <w:left w:w="51" w:type="dxa"/>
                    <w:bottom w:w="57" w:type="dxa"/>
                    <w:right w:w="51" w:type="dxa"/>
                  </w:tcMar>
                  <w:vAlign w:val="center"/>
                </w:tcPr>
                <w:p w14:paraId="572DF93E">
                  <w:pPr>
                    <w:pStyle w:val="99"/>
                    <w:keepNext w:val="0"/>
                    <w:keepLines w:val="0"/>
                    <w:pageBreakBefore w:val="0"/>
                    <w:widowControl/>
                    <w:kinsoku/>
                    <w:wordWrap/>
                    <w:overflowPunct/>
                    <w:topLinePunct w:val="0"/>
                    <w:autoSpaceDE w:val="0"/>
                    <w:autoSpaceDN w:val="0"/>
                    <w:bidi w:val="0"/>
                    <w:adjustRightInd/>
                    <w:snapToGrid/>
                    <w:spacing w:line="240" w:lineRule="auto"/>
                    <w:ind w:left="0"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本项目为新能源汽车用压铸动力外壳制造项目，不属于落后产能项目</w:t>
                  </w:r>
                </w:p>
              </w:tc>
              <w:tc>
                <w:tcPr>
                  <w:tcW w:w="1026" w:type="dxa"/>
                  <w:vMerge w:val="continue"/>
                  <w:tcBorders>
                    <w:tl2br w:val="nil"/>
                    <w:tr2bl w:val="nil"/>
                  </w:tcBorders>
                  <w:tcMar>
                    <w:top w:w="57" w:type="dxa"/>
                    <w:left w:w="51" w:type="dxa"/>
                    <w:bottom w:w="57" w:type="dxa"/>
                    <w:right w:w="51" w:type="dxa"/>
                  </w:tcMar>
                  <w:vAlign w:val="center"/>
                </w:tcPr>
                <w:p w14:paraId="30A18634">
                  <w:pPr>
                    <w:pStyle w:val="99"/>
                    <w:keepNext w:val="0"/>
                    <w:keepLines w:val="0"/>
                    <w:pageBreakBefore w:val="0"/>
                    <w:widowControl/>
                    <w:kinsoku/>
                    <w:wordWrap/>
                    <w:overflowPunct/>
                    <w:topLinePunct w:val="0"/>
                    <w:autoSpaceDE w:val="0"/>
                    <w:autoSpaceDN w:val="0"/>
                    <w:bidi w:val="0"/>
                    <w:adjustRightInd/>
                    <w:snapToGrid/>
                    <w:spacing w:line="240" w:lineRule="auto"/>
                    <w:ind w:left="0" w:firstLine="0" w:firstLineChars="0"/>
                    <w:jc w:val="center"/>
                    <w:textAlignment w:val="auto"/>
                    <w:rPr>
                      <w:rFonts w:hint="default" w:ascii="Times New Roman" w:hAnsi="Times New Roman" w:eastAsia="宋体" w:cs="Times New Roman"/>
                      <w:color w:val="auto"/>
                      <w:sz w:val="21"/>
                      <w:szCs w:val="21"/>
                      <w:u w:val="none" w:color="auto"/>
                      <w:lang w:eastAsia="zh-CN"/>
                    </w:rPr>
                  </w:pPr>
                </w:p>
              </w:tc>
            </w:tr>
            <w:tr w14:paraId="7695306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21" w:type="dxa"/>
                  <w:tcBorders>
                    <w:tl2br w:val="nil"/>
                    <w:tr2bl w:val="nil"/>
                  </w:tcBorders>
                  <w:tcMar>
                    <w:top w:w="57" w:type="dxa"/>
                    <w:left w:w="51" w:type="dxa"/>
                    <w:bottom w:w="57" w:type="dxa"/>
                    <w:right w:w="51" w:type="dxa"/>
                  </w:tcMar>
                  <w:vAlign w:val="center"/>
                </w:tcPr>
                <w:p w14:paraId="3F631A0D">
                  <w:pPr>
                    <w:pStyle w:val="99"/>
                    <w:keepNext w:val="0"/>
                    <w:keepLines w:val="0"/>
                    <w:pageBreakBefore w:val="0"/>
                    <w:widowControl/>
                    <w:kinsoku/>
                    <w:wordWrap/>
                    <w:overflowPunct/>
                    <w:topLinePunct w:val="0"/>
                    <w:autoSpaceDE w:val="0"/>
                    <w:autoSpaceDN w:val="0"/>
                    <w:bidi w:val="0"/>
                    <w:adjustRightInd/>
                    <w:snapToGrid/>
                    <w:spacing w:line="240" w:lineRule="auto"/>
                    <w:ind w:left="0" w:firstLine="0" w:firstLineChars="0"/>
                    <w:jc w:val="center"/>
                    <w:textAlignment w:val="auto"/>
                    <w:rPr>
                      <w:rFonts w:hint="default" w:ascii="Times New Roman" w:hAnsi="Times New Roman" w:eastAsia="宋体" w:cs="Times New Roman"/>
                      <w:color w:val="auto"/>
                      <w:sz w:val="21"/>
                      <w:szCs w:val="21"/>
                      <w:u w:val="none" w:color="auto"/>
                      <w:lang w:eastAsia="zh-CN"/>
                    </w:rPr>
                  </w:pPr>
                  <w:r>
                    <w:rPr>
                      <w:rFonts w:hint="default" w:ascii="Times New Roman" w:hAnsi="Times New Roman" w:eastAsia="宋体" w:cs="Times New Roman"/>
                      <w:color w:val="auto"/>
                      <w:sz w:val="21"/>
                      <w:szCs w:val="21"/>
                      <w:u w:val="none" w:color="auto"/>
                      <w:lang w:eastAsia="zh-CN"/>
                    </w:rPr>
                    <w:t>环保指标要求</w:t>
                  </w:r>
                </w:p>
              </w:tc>
              <w:tc>
                <w:tcPr>
                  <w:tcW w:w="2652" w:type="dxa"/>
                  <w:tcBorders>
                    <w:tl2br w:val="nil"/>
                    <w:tr2bl w:val="nil"/>
                  </w:tcBorders>
                  <w:tcMar>
                    <w:top w:w="57" w:type="dxa"/>
                    <w:left w:w="51" w:type="dxa"/>
                    <w:bottom w:w="57" w:type="dxa"/>
                    <w:right w:w="51" w:type="dxa"/>
                  </w:tcMar>
                  <w:vAlign w:val="center"/>
                </w:tcPr>
                <w:p w14:paraId="12C619AF">
                  <w:pPr>
                    <w:pStyle w:val="99"/>
                    <w:keepNext w:val="0"/>
                    <w:keepLines w:val="0"/>
                    <w:pageBreakBefore w:val="0"/>
                    <w:widowControl/>
                    <w:kinsoku/>
                    <w:wordWrap/>
                    <w:overflowPunct/>
                    <w:topLinePunct w:val="0"/>
                    <w:autoSpaceDE w:val="0"/>
                    <w:autoSpaceDN w:val="0"/>
                    <w:bidi w:val="0"/>
                    <w:adjustRightInd/>
                    <w:snapToGrid/>
                    <w:spacing w:line="240" w:lineRule="auto"/>
                    <w:ind w:left="0" w:firstLine="0" w:firstLineChars="0"/>
                    <w:jc w:val="center"/>
                    <w:textAlignment w:val="auto"/>
                    <w:rPr>
                      <w:rFonts w:hint="default" w:ascii="Times New Roman" w:hAnsi="Times New Roman" w:eastAsia="宋体" w:cs="Times New Roman"/>
                      <w:color w:val="auto"/>
                      <w:sz w:val="21"/>
                      <w:szCs w:val="21"/>
                      <w:u w:val="none" w:color="auto"/>
                      <w:lang w:eastAsia="zh-CN"/>
                    </w:rPr>
                  </w:pPr>
                  <w:r>
                    <w:rPr>
                      <w:rFonts w:hint="default" w:ascii="Times New Roman" w:hAnsi="Times New Roman" w:eastAsia="宋体" w:cs="Times New Roman"/>
                      <w:color w:val="auto"/>
                      <w:sz w:val="21"/>
                      <w:szCs w:val="21"/>
                      <w:u w:val="none" w:color="auto"/>
                      <w:lang w:eastAsia="zh-CN"/>
                    </w:rPr>
                    <w:t>废水、废气处理率达100%</w:t>
                  </w:r>
                </w:p>
                <w:p w14:paraId="10CE46BE">
                  <w:pPr>
                    <w:pStyle w:val="99"/>
                    <w:keepNext w:val="0"/>
                    <w:keepLines w:val="0"/>
                    <w:pageBreakBefore w:val="0"/>
                    <w:widowControl/>
                    <w:kinsoku/>
                    <w:wordWrap/>
                    <w:overflowPunct/>
                    <w:topLinePunct w:val="0"/>
                    <w:autoSpaceDE w:val="0"/>
                    <w:autoSpaceDN w:val="0"/>
                    <w:bidi w:val="0"/>
                    <w:adjustRightInd/>
                    <w:snapToGrid/>
                    <w:spacing w:line="240" w:lineRule="auto"/>
                    <w:ind w:left="0" w:firstLine="0" w:firstLineChars="0"/>
                    <w:jc w:val="center"/>
                    <w:textAlignment w:val="auto"/>
                    <w:rPr>
                      <w:rFonts w:hint="default" w:ascii="Times New Roman" w:hAnsi="Times New Roman" w:eastAsia="宋体" w:cs="Times New Roman"/>
                      <w:color w:val="auto"/>
                      <w:sz w:val="21"/>
                      <w:szCs w:val="21"/>
                      <w:u w:val="none" w:color="auto"/>
                      <w:lang w:eastAsia="zh-CN"/>
                    </w:rPr>
                  </w:pPr>
                  <w:r>
                    <w:rPr>
                      <w:rFonts w:hint="default" w:ascii="Times New Roman" w:hAnsi="Times New Roman" w:eastAsia="宋体" w:cs="Times New Roman"/>
                      <w:color w:val="auto"/>
                      <w:sz w:val="21"/>
                      <w:szCs w:val="21"/>
                      <w:u w:val="none" w:color="auto"/>
                      <w:lang w:eastAsia="zh-CN"/>
                    </w:rPr>
                    <w:t>固度处置率达100%</w:t>
                  </w:r>
                </w:p>
                <w:p w14:paraId="1319C735">
                  <w:pPr>
                    <w:pStyle w:val="99"/>
                    <w:keepNext w:val="0"/>
                    <w:keepLines w:val="0"/>
                    <w:pageBreakBefore w:val="0"/>
                    <w:widowControl/>
                    <w:kinsoku/>
                    <w:wordWrap/>
                    <w:overflowPunct/>
                    <w:topLinePunct w:val="0"/>
                    <w:autoSpaceDE w:val="0"/>
                    <w:autoSpaceDN w:val="0"/>
                    <w:bidi w:val="0"/>
                    <w:adjustRightInd/>
                    <w:snapToGrid/>
                    <w:spacing w:line="240" w:lineRule="auto"/>
                    <w:ind w:left="0" w:firstLine="0" w:firstLineChars="0"/>
                    <w:jc w:val="center"/>
                    <w:textAlignment w:val="auto"/>
                    <w:rPr>
                      <w:rFonts w:hint="default" w:ascii="Times New Roman" w:hAnsi="Times New Roman" w:eastAsia="宋体" w:cs="Times New Roman"/>
                      <w:color w:val="auto"/>
                      <w:sz w:val="21"/>
                      <w:szCs w:val="21"/>
                      <w:u w:val="none" w:color="auto"/>
                      <w:lang w:eastAsia="zh-CN"/>
                    </w:rPr>
                  </w:pPr>
                  <w:r>
                    <w:rPr>
                      <w:rFonts w:hint="default" w:ascii="Times New Roman" w:hAnsi="Times New Roman" w:eastAsia="宋体" w:cs="Times New Roman"/>
                      <w:color w:val="auto"/>
                      <w:sz w:val="21"/>
                      <w:szCs w:val="21"/>
                      <w:u w:val="none" w:color="auto"/>
                      <w:lang w:eastAsia="zh-CN"/>
                    </w:rPr>
                    <w:t>污染物排放达标率100%</w:t>
                  </w:r>
                </w:p>
              </w:tc>
              <w:tc>
                <w:tcPr>
                  <w:tcW w:w="2695" w:type="dxa"/>
                  <w:tcBorders>
                    <w:tl2br w:val="nil"/>
                    <w:tr2bl w:val="nil"/>
                  </w:tcBorders>
                  <w:tcMar>
                    <w:top w:w="57" w:type="dxa"/>
                    <w:left w:w="51" w:type="dxa"/>
                    <w:bottom w:w="57" w:type="dxa"/>
                    <w:right w:w="51" w:type="dxa"/>
                  </w:tcMar>
                  <w:vAlign w:val="center"/>
                </w:tcPr>
                <w:p w14:paraId="3025F797">
                  <w:pPr>
                    <w:pStyle w:val="81"/>
                    <w:keepNext w:val="0"/>
                    <w:keepLines w:val="0"/>
                    <w:pageBreakBefore w:val="0"/>
                    <w:tabs>
                      <w:tab w:val="left" w:pos="1021"/>
                    </w:tabs>
                    <w:kinsoku/>
                    <w:wordWrap/>
                    <w:overflowPunct/>
                    <w:topLinePunct w:val="0"/>
                    <w:bidi w:val="0"/>
                    <w:adjustRightInd/>
                    <w:snapToGrid/>
                    <w:ind w:left="0" w:firstLine="0" w:firstLineChars="0"/>
                    <w:jc w:val="center"/>
                    <w:textAlignment w:val="auto"/>
                    <w:rPr>
                      <w:rFonts w:hint="default" w:ascii="Times New Roman" w:hAnsi="Times New Roman" w:eastAsia="宋体" w:cs="Times New Roman"/>
                      <w:color w:val="auto"/>
                      <w:sz w:val="21"/>
                      <w:szCs w:val="21"/>
                      <w:u w:val="none" w:color="auto"/>
                      <w:lang w:eastAsia="zh-CN"/>
                    </w:rPr>
                  </w:pPr>
                  <w:r>
                    <w:rPr>
                      <w:rFonts w:hint="default" w:ascii="Times New Roman" w:hAnsi="Times New Roman" w:eastAsia="宋体" w:cs="Times New Roman"/>
                      <w:color w:val="auto"/>
                      <w:sz w:val="21"/>
                      <w:szCs w:val="21"/>
                      <w:highlight w:val="none"/>
                      <w:u w:val="none" w:color="auto"/>
                    </w:rPr>
                    <w:t>建设单位在做好本次评价提出的相关环保措施的前提下，可满足</w:t>
                  </w:r>
                  <w:r>
                    <w:rPr>
                      <w:rFonts w:hint="default" w:ascii="Times New Roman" w:hAnsi="Times New Roman" w:eastAsia="宋体" w:cs="Times New Roman"/>
                      <w:color w:val="auto"/>
                      <w:sz w:val="21"/>
                      <w:szCs w:val="21"/>
                      <w:highlight w:val="none"/>
                      <w:u w:val="none" w:color="auto"/>
                      <w:lang w:eastAsia="zh-CN"/>
                    </w:rPr>
                    <w:t>左</w:t>
                  </w:r>
                  <w:r>
                    <w:rPr>
                      <w:rFonts w:hint="default" w:ascii="Times New Roman" w:hAnsi="Times New Roman" w:eastAsia="宋体" w:cs="Times New Roman"/>
                      <w:color w:val="auto"/>
                      <w:sz w:val="21"/>
                      <w:szCs w:val="21"/>
                      <w:highlight w:val="none"/>
                      <w:u w:val="none" w:color="auto"/>
                    </w:rPr>
                    <w:t>述环保指标要求</w:t>
                  </w:r>
                </w:p>
              </w:tc>
              <w:tc>
                <w:tcPr>
                  <w:tcW w:w="1026" w:type="dxa"/>
                  <w:tcBorders>
                    <w:tl2br w:val="nil"/>
                    <w:tr2bl w:val="nil"/>
                  </w:tcBorders>
                  <w:tcMar>
                    <w:top w:w="57" w:type="dxa"/>
                    <w:left w:w="51" w:type="dxa"/>
                    <w:bottom w:w="57" w:type="dxa"/>
                    <w:right w:w="51" w:type="dxa"/>
                  </w:tcMar>
                  <w:vAlign w:val="center"/>
                </w:tcPr>
                <w:p w14:paraId="35B3EC7A">
                  <w:pPr>
                    <w:pStyle w:val="81"/>
                    <w:keepNext w:val="0"/>
                    <w:keepLines w:val="0"/>
                    <w:pageBreakBefore w:val="0"/>
                    <w:tabs>
                      <w:tab w:val="left" w:pos="1021"/>
                    </w:tabs>
                    <w:kinsoku/>
                    <w:wordWrap/>
                    <w:overflowPunct/>
                    <w:topLinePunct w:val="0"/>
                    <w:bidi w:val="0"/>
                    <w:adjustRightInd/>
                    <w:snapToGrid/>
                    <w:ind w:left="0" w:firstLine="0" w:firstLineChars="0"/>
                    <w:jc w:val="center"/>
                    <w:textAlignment w:val="auto"/>
                    <w:rPr>
                      <w:rFonts w:hint="default" w:ascii="Times New Roman" w:hAnsi="Times New Roman" w:eastAsia="宋体" w:cs="Times New Roman"/>
                      <w:color w:val="auto"/>
                      <w:sz w:val="21"/>
                      <w:szCs w:val="21"/>
                      <w:u w:val="none" w:color="auto"/>
                      <w:lang w:eastAsia="zh-CN"/>
                    </w:rPr>
                  </w:pPr>
                  <w:r>
                    <w:rPr>
                      <w:rFonts w:hint="default" w:ascii="Times New Roman" w:hAnsi="Times New Roman" w:eastAsia="宋体" w:cs="Times New Roman"/>
                      <w:color w:val="auto"/>
                      <w:sz w:val="21"/>
                      <w:szCs w:val="21"/>
                      <w:highlight w:val="none"/>
                      <w:u w:val="none" w:color="auto"/>
                      <w:lang w:eastAsia="zh-CN"/>
                    </w:rPr>
                    <w:t>满足要求</w:t>
                  </w:r>
                </w:p>
              </w:tc>
            </w:tr>
            <w:tr w14:paraId="31C5C51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21" w:type="dxa"/>
                  <w:tcBorders>
                    <w:tl2br w:val="nil"/>
                    <w:tr2bl w:val="nil"/>
                  </w:tcBorders>
                  <w:tcMar>
                    <w:top w:w="57" w:type="dxa"/>
                    <w:left w:w="51" w:type="dxa"/>
                    <w:bottom w:w="57" w:type="dxa"/>
                    <w:right w:w="51" w:type="dxa"/>
                  </w:tcMar>
                  <w:vAlign w:val="center"/>
                </w:tcPr>
                <w:p w14:paraId="008C688D">
                  <w:pPr>
                    <w:pStyle w:val="99"/>
                    <w:keepNext w:val="0"/>
                    <w:keepLines w:val="0"/>
                    <w:pageBreakBefore w:val="0"/>
                    <w:widowControl/>
                    <w:kinsoku/>
                    <w:wordWrap/>
                    <w:overflowPunct/>
                    <w:topLinePunct w:val="0"/>
                    <w:autoSpaceDE w:val="0"/>
                    <w:autoSpaceDN w:val="0"/>
                    <w:bidi w:val="0"/>
                    <w:adjustRightInd/>
                    <w:snapToGrid/>
                    <w:spacing w:line="240" w:lineRule="auto"/>
                    <w:ind w:left="0" w:firstLine="0" w:firstLineChars="0"/>
                    <w:jc w:val="center"/>
                    <w:textAlignment w:val="auto"/>
                    <w:rPr>
                      <w:rFonts w:hint="default" w:ascii="Times New Roman" w:hAnsi="Times New Roman" w:eastAsia="宋体" w:cs="Times New Roman"/>
                      <w:color w:val="auto"/>
                      <w:sz w:val="21"/>
                      <w:szCs w:val="21"/>
                      <w:u w:val="none" w:color="auto"/>
                      <w:lang w:eastAsia="zh-CN"/>
                    </w:rPr>
                  </w:pPr>
                  <w:r>
                    <w:rPr>
                      <w:rFonts w:hint="default" w:ascii="Times New Roman" w:hAnsi="Times New Roman" w:eastAsia="宋体" w:cs="Times New Roman"/>
                      <w:color w:val="auto"/>
                      <w:sz w:val="21"/>
                      <w:szCs w:val="21"/>
                      <w:u w:val="none" w:color="auto"/>
                      <w:lang w:eastAsia="zh-CN"/>
                    </w:rPr>
                    <w:t>其他</w:t>
                  </w:r>
                </w:p>
              </w:tc>
              <w:tc>
                <w:tcPr>
                  <w:tcW w:w="2652" w:type="dxa"/>
                  <w:tcBorders>
                    <w:tl2br w:val="nil"/>
                    <w:tr2bl w:val="nil"/>
                  </w:tcBorders>
                  <w:tcMar>
                    <w:top w:w="57" w:type="dxa"/>
                    <w:left w:w="51" w:type="dxa"/>
                    <w:bottom w:w="57" w:type="dxa"/>
                    <w:right w:w="51" w:type="dxa"/>
                  </w:tcMar>
                  <w:vAlign w:val="center"/>
                </w:tcPr>
                <w:p w14:paraId="009F6CB0">
                  <w:pPr>
                    <w:pStyle w:val="99"/>
                    <w:keepNext w:val="0"/>
                    <w:keepLines w:val="0"/>
                    <w:pageBreakBefore w:val="0"/>
                    <w:widowControl/>
                    <w:kinsoku/>
                    <w:wordWrap/>
                    <w:overflowPunct/>
                    <w:topLinePunct w:val="0"/>
                    <w:autoSpaceDE w:val="0"/>
                    <w:autoSpaceDN w:val="0"/>
                    <w:bidi w:val="0"/>
                    <w:adjustRightInd/>
                    <w:snapToGrid/>
                    <w:spacing w:line="240" w:lineRule="auto"/>
                    <w:ind w:left="0" w:firstLine="0" w:firstLineChars="0"/>
                    <w:jc w:val="center"/>
                    <w:textAlignment w:val="auto"/>
                    <w:rPr>
                      <w:rFonts w:hint="default" w:ascii="Times New Roman" w:hAnsi="Times New Roman" w:eastAsia="宋体" w:cs="Times New Roman"/>
                      <w:color w:val="auto"/>
                      <w:sz w:val="21"/>
                      <w:szCs w:val="21"/>
                      <w:u w:val="none" w:color="auto"/>
                      <w:lang w:eastAsia="zh-CN"/>
                    </w:rPr>
                  </w:pPr>
                  <w:r>
                    <w:rPr>
                      <w:rFonts w:hint="default" w:ascii="Times New Roman" w:hAnsi="Times New Roman" w:eastAsia="宋体" w:cs="Times New Roman"/>
                      <w:color w:val="auto"/>
                      <w:sz w:val="21"/>
                      <w:szCs w:val="21"/>
                      <w:u w:val="none" w:color="auto"/>
                      <w:lang w:eastAsia="zh-CN"/>
                    </w:rPr>
                    <w:t>①三类工业用地仅允许用于涉及三类工业的高新企业引进和发展鼓励类高新技术项目的预留用地。</w:t>
                  </w:r>
                </w:p>
                <w:p w14:paraId="04F2E98E">
                  <w:pPr>
                    <w:pStyle w:val="99"/>
                    <w:keepNext w:val="0"/>
                    <w:keepLines w:val="0"/>
                    <w:pageBreakBefore w:val="0"/>
                    <w:widowControl/>
                    <w:kinsoku/>
                    <w:wordWrap/>
                    <w:overflowPunct/>
                    <w:topLinePunct w:val="0"/>
                    <w:autoSpaceDE w:val="0"/>
                    <w:autoSpaceDN w:val="0"/>
                    <w:bidi w:val="0"/>
                    <w:adjustRightInd/>
                    <w:snapToGrid/>
                    <w:spacing w:line="240" w:lineRule="auto"/>
                    <w:ind w:left="0" w:firstLine="0" w:firstLineChars="0"/>
                    <w:jc w:val="center"/>
                    <w:textAlignment w:val="auto"/>
                    <w:rPr>
                      <w:rFonts w:hint="default" w:ascii="Times New Roman" w:hAnsi="Times New Roman" w:eastAsia="宋体" w:cs="Times New Roman"/>
                      <w:color w:val="auto"/>
                      <w:sz w:val="21"/>
                      <w:szCs w:val="21"/>
                      <w:u w:val="none" w:color="auto"/>
                      <w:lang w:eastAsia="zh-CN"/>
                    </w:rPr>
                  </w:pPr>
                  <w:r>
                    <w:rPr>
                      <w:rFonts w:hint="default" w:ascii="Times New Roman" w:hAnsi="Times New Roman" w:eastAsia="宋体" w:cs="Times New Roman"/>
                      <w:color w:val="auto"/>
                      <w:sz w:val="21"/>
                      <w:szCs w:val="21"/>
                      <w:u w:val="none" w:color="auto"/>
                      <w:lang w:eastAsia="zh-CN"/>
                    </w:rPr>
                    <w:t>②开发区依托华能电厂进行集中供热，禁止使用原煤、重油为能源的项目进入。禁止工艺废气中有大量SO</w:t>
                  </w:r>
                  <w:r>
                    <w:rPr>
                      <w:rFonts w:hint="default" w:ascii="Times New Roman" w:hAnsi="Times New Roman" w:eastAsia="宋体" w:cs="Times New Roman"/>
                      <w:color w:val="auto"/>
                      <w:sz w:val="21"/>
                      <w:szCs w:val="21"/>
                      <w:u w:val="none" w:color="auto"/>
                      <w:vertAlign w:val="subscript"/>
                      <w:lang w:val="en-US" w:eastAsia="zh-CN"/>
                    </w:rPr>
                    <w:t>2</w:t>
                  </w:r>
                  <w:r>
                    <w:rPr>
                      <w:rFonts w:hint="default" w:ascii="Times New Roman" w:hAnsi="Times New Roman" w:eastAsia="宋体" w:cs="Times New Roman"/>
                      <w:color w:val="auto"/>
                      <w:sz w:val="21"/>
                      <w:szCs w:val="21"/>
                      <w:u w:val="none" w:color="auto"/>
                      <w:lang w:eastAsia="zh-CN"/>
                    </w:rPr>
                    <w:t>、NO</w:t>
                  </w:r>
                  <w:r>
                    <w:rPr>
                      <w:rFonts w:hint="default" w:ascii="Times New Roman" w:hAnsi="Times New Roman" w:eastAsia="宋体" w:cs="Times New Roman"/>
                      <w:color w:val="auto"/>
                      <w:sz w:val="21"/>
                      <w:szCs w:val="21"/>
                      <w:u w:val="none" w:color="auto"/>
                      <w:lang w:val="en-US" w:eastAsia="zh-CN"/>
                    </w:rPr>
                    <w:t>x</w:t>
                  </w:r>
                  <w:r>
                    <w:rPr>
                      <w:rFonts w:hint="default" w:ascii="Times New Roman" w:hAnsi="Times New Roman" w:eastAsia="宋体" w:cs="Times New Roman"/>
                      <w:color w:val="auto"/>
                      <w:sz w:val="21"/>
                      <w:szCs w:val="21"/>
                      <w:u w:val="none" w:color="auto"/>
                      <w:lang w:eastAsia="zh-CN"/>
                    </w:rPr>
                    <w:t>产生的产业。</w:t>
                  </w:r>
                </w:p>
                <w:p w14:paraId="78AB903A">
                  <w:pPr>
                    <w:pStyle w:val="99"/>
                    <w:keepNext w:val="0"/>
                    <w:keepLines w:val="0"/>
                    <w:pageBreakBefore w:val="0"/>
                    <w:widowControl/>
                    <w:kinsoku/>
                    <w:wordWrap/>
                    <w:overflowPunct/>
                    <w:topLinePunct w:val="0"/>
                    <w:autoSpaceDE w:val="0"/>
                    <w:autoSpaceDN w:val="0"/>
                    <w:bidi w:val="0"/>
                    <w:adjustRightInd/>
                    <w:snapToGrid/>
                    <w:spacing w:line="240" w:lineRule="auto"/>
                    <w:ind w:left="0" w:firstLine="0" w:firstLineChars="0"/>
                    <w:jc w:val="center"/>
                    <w:textAlignment w:val="auto"/>
                    <w:rPr>
                      <w:rFonts w:hint="default" w:ascii="Times New Roman" w:hAnsi="Times New Roman" w:eastAsia="宋体" w:cs="Times New Roman"/>
                      <w:color w:val="auto"/>
                      <w:sz w:val="21"/>
                      <w:szCs w:val="21"/>
                      <w:u w:val="none" w:color="auto"/>
                      <w:lang w:eastAsia="zh-CN"/>
                    </w:rPr>
                  </w:pPr>
                  <w:r>
                    <w:rPr>
                      <w:rFonts w:hint="default" w:ascii="Times New Roman" w:hAnsi="Times New Roman" w:eastAsia="宋体" w:cs="Times New Roman"/>
                      <w:color w:val="auto"/>
                      <w:sz w:val="21"/>
                      <w:szCs w:val="21"/>
                      <w:highlight w:val="none"/>
                      <w:u w:val="none" w:color="auto"/>
                      <w:lang w:eastAsia="zh-CN"/>
                    </w:rPr>
                    <w:t>③</w:t>
                  </w:r>
                  <w:r>
                    <w:rPr>
                      <w:rFonts w:hint="default" w:ascii="Times New Roman" w:hAnsi="Times New Roman" w:eastAsia="宋体" w:cs="Times New Roman"/>
                      <w:color w:val="auto"/>
                      <w:sz w:val="21"/>
                      <w:szCs w:val="21"/>
                      <w:highlight w:val="none"/>
                      <w:u w:val="none" w:color="auto"/>
                    </w:rPr>
                    <w:t>污水处理厂及管网建成运行前，限制水型污染企业准入。</w:t>
                  </w:r>
                </w:p>
              </w:tc>
              <w:tc>
                <w:tcPr>
                  <w:tcW w:w="2695" w:type="dxa"/>
                  <w:tcBorders>
                    <w:tl2br w:val="nil"/>
                    <w:tr2bl w:val="nil"/>
                  </w:tcBorders>
                  <w:tcMar>
                    <w:top w:w="57" w:type="dxa"/>
                    <w:left w:w="51" w:type="dxa"/>
                    <w:bottom w:w="57" w:type="dxa"/>
                    <w:right w:w="51" w:type="dxa"/>
                  </w:tcMar>
                  <w:vAlign w:val="center"/>
                </w:tcPr>
                <w:p w14:paraId="6A11AB68">
                  <w:pPr>
                    <w:pStyle w:val="81"/>
                    <w:keepNext w:val="0"/>
                    <w:keepLines w:val="0"/>
                    <w:pageBreakBefore w:val="0"/>
                    <w:tabs>
                      <w:tab w:val="left" w:pos="1021"/>
                    </w:tabs>
                    <w:kinsoku/>
                    <w:wordWrap/>
                    <w:overflowPunct/>
                    <w:topLinePunct w:val="0"/>
                    <w:bidi w:val="0"/>
                    <w:adjustRightInd/>
                    <w:snapToGrid/>
                    <w:ind w:left="0" w:firstLine="0" w:firstLineChars="0"/>
                    <w:jc w:val="center"/>
                    <w:textAlignment w:val="auto"/>
                    <w:rPr>
                      <w:rFonts w:hint="default" w:ascii="Times New Roman" w:hAnsi="Times New Roman" w:eastAsia="宋体" w:cs="Times New Roman"/>
                      <w:color w:val="auto"/>
                      <w:sz w:val="21"/>
                      <w:szCs w:val="21"/>
                      <w:highlight w:val="none"/>
                      <w:u w:val="none" w:color="auto"/>
                      <w:lang w:eastAsia="zh-CN"/>
                    </w:rPr>
                  </w:pPr>
                  <w:r>
                    <w:rPr>
                      <w:rFonts w:hint="default" w:ascii="Times New Roman" w:hAnsi="Times New Roman" w:eastAsia="宋体" w:cs="Times New Roman"/>
                      <w:color w:val="auto"/>
                      <w:sz w:val="21"/>
                      <w:szCs w:val="21"/>
                      <w:highlight w:val="none"/>
                      <w:u w:val="none" w:color="auto"/>
                      <w:lang w:eastAsia="zh-CN"/>
                    </w:rPr>
                    <w:t>①项目用地类型属于二类工业用地；</w:t>
                  </w:r>
                </w:p>
                <w:p w14:paraId="4EF0302B">
                  <w:pPr>
                    <w:pStyle w:val="81"/>
                    <w:keepNext w:val="0"/>
                    <w:keepLines w:val="0"/>
                    <w:pageBreakBefore w:val="0"/>
                    <w:tabs>
                      <w:tab w:val="left" w:pos="1021"/>
                    </w:tabs>
                    <w:kinsoku/>
                    <w:wordWrap/>
                    <w:overflowPunct/>
                    <w:topLinePunct w:val="0"/>
                    <w:bidi w:val="0"/>
                    <w:adjustRightInd/>
                    <w:snapToGrid/>
                    <w:ind w:left="0" w:firstLine="0" w:firstLineChars="0"/>
                    <w:jc w:val="center"/>
                    <w:textAlignment w:val="auto"/>
                    <w:rPr>
                      <w:rFonts w:hint="default" w:ascii="Times New Roman" w:hAnsi="Times New Roman" w:eastAsia="宋体" w:cs="Times New Roman"/>
                      <w:color w:val="auto"/>
                      <w:sz w:val="21"/>
                      <w:szCs w:val="21"/>
                      <w:highlight w:val="none"/>
                      <w:u w:val="none" w:color="auto"/>
                      <w:lang w:eastAsia="zh-CN"/>
                    </w:rPr>
                  </w:pPr>
                  <w:r>
                    <w:rPr>
                      <w:rFonts w:hint="default" w:ascii="Times New Roman" w:hAnsi="Times New Roman" w:eastAsia="宋体" w:cs="Times New Roman"/>
                      <w:color w:val="auto"/>
                      <w:sz w:val="21"/>
                      <w:szCs w:val="21"/>
                      <w:highlight w:val="none"/>
                      <w:u w:val="none" w:color="auto"/>
                      <w:lang w:eastAsia="zh-CN"/>
                    </w:rPr>
                    <w:t>②项目使用的能源主要为电能、天然气、</w:t>
                  </w:r>
                  <w:r>
                    <w:rPr>
                      <w:rFonts w:hint="default" w:ascii="Times New Roman" w:hAnsi="Times New Roman" w:eastAsia="宋体" w:cs="Times New Roman"/>
                      <w:color w:val="auto"/>
                      <w:sz w:val="21"/>
                      <w:szCs w:val="21"/>
                      <w:highlight w:val="none"/>
                      <w:u w:val="none" w:color="auto"/>
                      <w:lang w:val="en-US" w:eastAsia="zh-CN"/>
                    </w:rPr>
                    <w:t>生物质颗粒</w:t>
                  </w:r>
                  <w:r>
                    <w:rPr>
                      <w:rFonts w:hint="default" w:ascii="Times New Roman" w:hAnsi="Times New Roman" w:eastAsia="宋体" w:cs="Times New Roman"/>
                      <w:color w:val="auto"/>
                      <w:sz w:val="21"/>
                      <w:szCs w:val="21"/>
                      <w:highlight w:val="none"/>
                      <w:u w:val="none" w:color="auto"/>
                      <w:lang w:eastAsia="zh-CN"/>
                    </w:rPr>
                    <w:t>，不</w:t>
                  </w:r>
                  <w:r>
                    <w:rPr>
                      <w:rFonts w:hint="default" w:ascii="Times New Roman" w:hAnsi="Times New Roman" w:eastAsia="宋体" w:cs="Times New Roman"/>
                      <w:color w:val="auto"/>
                      <w:sz w:val="21"/>
                      <w:szCs w:val="21"/>
                      <w:highlight w:val="none"/>
                      <w:u w:val="none" w:color="auto"/>
                      <w:lang w:val="en-US" w:eastAsia="zh-CN"/>
                    </w:rPr>
                    <w:t>使</w:t>
                  </w:r>
                  <w:r>
                    <w:rPr>
                      <w:rFonts w:hint="default" w:ascii="Times New Roman" w:hAnsi="Times New Roman" w:eastAsia="宋体" w:cs="Times New Roman"/>
                      <w:color w:val="auto"/>
                      <w:sz w:val="21"/>
                      <w:szCs w:val="21"/>
                      <w:highlight w:val="none"/>
                      <w:u w:val="none" w:color="auto"/>
                      <w:lang w:eastAsia="zh-CN"/>
                    </w:rPr>
                    <w:t>用燃煤、燃油；</w:t>
                  </w:r>
                </w:p>
                <w:p w14:paraId="4CB3A589">
                  <w:pPr>
                    <w:pStyle w:val="81"/>
                    <w:keepNext w:val="0"/>
                    <w:keepLines w:val="0"/>
                    <w:pageBreakBefore w:val="0"/>
                    <w:tabs>
                      <w:tab w:val="left" w:pos="1021"/>
                    </w:tabs>
                    <w:kinsoku/>
                    <w:wordWrap/>
                    <w:overflowPunct/>
                    <w:topLinePunct w:val="0"/>
                    <w:bidi w:val="0"/>
                    <w:adjustRightInd/>
                    <w:snapToGrid/>
                    <w:ind w:left="0" w:firstLine="0" w:firstLineChars="0"/>
                    <w:jc w:val="center"/>
                    <w:textAlignment w:val="auto"/>
                    <w:rPr>
                      <w:rFonts w:hint="default" w:ascii="Times New Roman" w:hAnsi="Times New Roman" w:eastAsia="宋体" w:cs="Times New Roman"/>
                      <w:color w:val="auto"/>
                      <w:sz w:val="21"/>
                      <w:szCs w:val="21"/>
                      <w:u w:val="none" w:color="auto"/>
                      <w:lang w:eastAsia="zh-CN"/>
                    </w:rPr>
                  </w:pPr>
                  <w:r>
                    <w:rPr>
                      <w:rFonts w:hint="default" w:ascii="Times New Roman" w:hAnsi="Times New Roman" w:eastAsia="宋体" w:cs="Times New Roman"/>
                      <w:color w:val="auto"/>
                      <w:sz w:val="21"/>
                      <w:szCs w:val="21"/>
                      <w:highlight w:val="none"/>
                      <w:u w:val="none" w:color="auto"/>
                      <w:lang w:eastAsia="zh-CN"/>
                    </w:rPr>
                    <w:t>③项目所在片区已与湖南城陵矶新港区污水处理厂完成对接</w:t>
                  </w:r>
                </w:p>
              </w:tc>
              <w:tc>
                <w:tcPr>
                  <w:tcW w:w="1026" w:type="dxa"/>
                  <w:tcBorders>
                    <w:tl2br w:val="nil"/>
                    <w:tr2bl w:val="nil"/>
                  </w:tcBorders>
                  <w:tcMar>
                    <w:top w:w="57" w:type="dxa"/>
                    <w:left w:w="51" w:type="dxa"/>
                    <w:bottom w:w="57" w:type="dxa"/>
                    <w:right w:w="51" w:type="dxa"/>
                  </w:tcMar>
                  <w:vAlign w:val="center"/>
                </w:tcPr>
                <w:p w14:paraId="3FBA3B09">
                  <w:pPr>
                    <w:pStyle w:val="81"/>
                    <w:keepNext w:val="0"/>
                    <w:keepLines w:val="0"/>
                    <w:pageBreakBefore w:val="0"/>
                    <w:tabs>
                      <w:tab w:val="left" w:pos="1021"/>
                    </w:tabs>
                    <w:kinsoku/>
                    <w:wordWrap/>
                    <w:overflowPunct/>
                    <w:topLinePunct w:val="0"/>
                    <w:bidi w:val="0"/>
                    <w:adjustRightInd/>
                    <w:snapToGrid/>
                    <w:ind w:left="0" w:firstLine="0" w:firstLineChars="0"/>
                    <w:jc w:val="center"/>
                    <w:textAlignment w:val="auto"/>
                    <w:rPr>
                      <w:rFonts w:hint="default" w:ascii="Times New Roman" w:hAnsi="Times New Roman" w:eastAsia="宋体" w:cs="Times New Roman"/>
                      <w:color w:val="auto"/>
                      <w:sz w:val="21"/>
                      <w:szCs w:val="21"/>
                      <w:u w:val="none" w:color="auto"/>
                      <w:lang w:eastAsia="zh-CN"/>
                    </w:rPr>
                  </w:pPr>
                  <w:r>
                    <w:rPr>
                      <w:rFonts w:hint="default" w:ascii="Times New Roman" w:hAnsi="Times New Roman" w:eastAsia="宋体" w:cs="Times New Roman"/>
                      <w:color w:val="auto"/>
                      <w:sz w:val="21"/>
                      <w:szCs w:val="21"/>
                      <w:highlight w:val="none"/>
                      <w:u w:val="none" w:color="auto"/>
                      <w:lang w:eastAsia="zh-CN"/>
                    </w:rPr>
                    <w:t>满足要求</w:t>
                  </w:r>
                </w:p>
              </w:tc>
            </w:tr>
          </w:tbl>
          <w:p w14:paraId="1AA189A6">
            <w:pPr>
              <w:autoSpaceDE w:val="0"/>
              <w:autoSpaceDN w:val="0"/>
              <w:spacing w:line="360" w:lineRule="auto"/>
              <w:ind w:firstLine="480" w:firstLineChars="200"/>
              <w:contextualSpacing/>
              <w:rPr>
                <w:rFonts w:hint="default" w:ascii="Times New Roman" w:hAnsi="Times New Roman" w:eastAsia="宋体" w:cs="Times New Roman"/>
                <w:color w:val="auto"/>
                <w:sz w:val="24"/>
                <w:szCs w:val="24"/>
                <w:u w:val="none" w:color="auto"/>
                <w:lang w:eastAsia="zh-CN"/>
              </w:rPr>
            </w:pPr>
            <w:r>
              <w:rPr>
                <w:rFonts w:hint="default" w:ascii="Times New Roman" w:hAnsi="Times New Roman" w:eastAsia="宋体" w:cs="Times New Roman"/>
                <w:color w:val="auto"/>
                <w:sz w:val="24"/>
                <w:szCs w:val="24"/>
                <w:highlight w:val="none"/>
                <w:u w:val="none" w:color="auto"/>
                <w:lang w:eastAsia="zh-CN"/>
              </w:rPr>
              <w:t>本项目属于</w:t>
            </w:r>
            <w:r>
              <w:rPr>
                <w:rFonts w:hint="default" w:ascii="Times New Roman" w:hAnsi="Times New Roman" w:eastAsia="宋体" w:cs="Times New Roman"/>
                <w:color w:val="auto"/>
                <w:sz w:val="24"/>
                <w:szCs w:val="24"/>
                <w:highlight w:val="none"/>
                <w:u w:val="none" w:color="auto"/>
                <w:lang w:val="en-US" w:eastAsia="zh-CN"/>
              </w:rPr>
              <w:t>C3670  汽车零部件及配件制造、C3240  有色金属合金制造、C3392  有色金属铸造</w:t>
            </w:r>
            <w:r>
              <w:rPr>
                <w:rFonts w:hint="default" w:ascii="Times New Roman" w:hAnsi="Times New Roman" w:eastAsia="宋体" w:cs="Times New Roman"/>
                <w:color w:val="auto"/>
                <w:sz w:val="24"/>
                <w:szCs w:val="24"/>
                <w:highlight w:val="none"/>
                <w:u w:val="none" w:color="auto"/>
                <w:lang w:eastAsia="zh-CN"/>
              </w:rPr>
              <w:t>，不属于临港核心区的限制类和禁止类，无违反临港区规划准入制度的要求事例，属于该规划允许准入类产业。</w:t>
            </w:r>
          </w:p>
          <w:p w14:paraId="57CD436B">
            <w:pPr>
              <w:autoSpaceDE w:val="0"/>
              <w:autoSpaceDN w:val="0"/>
              <w:spacing w:line="360" w:lineRule="auto"/>
              <w:ind w:firstLine="480" w:firstLineChars="200"/>
              <w:contextualSpacing/>
              <w:rPr>
                <w:rFonts w:hint="default" w:ascii="Times New Roman" w:hAnsi="Times New Roman" w:eastAsia="宋体" w:cs="Times New Roman"/>
                <w:color w:val="auto"/>
                <w:kern w:val="21"/>
                <w:sz w:val="24"/>
                <w:szCs w:val="24"/>
                <w:u w:val="none" w:color="auto"/>
                <w:lang w:eastAsia="zh-CN"/>
              </w:rPr>
            </w:pPr>
            <w:r>
              <w:rPr>
                <w:rFonts w:hint="default" w:ascii="Times New Roman" w:hAnsi="Times New Roman" w:eastAsia="宋体" w:cs="Times New Roman"/>
                <w:color w:val="auto"/>
                <w:kern w:val="21"/>
                <w:sz w:val="24"/>
                <w:szCs w:val="24"/>
                <w:u w:val="none" w:color="auto"/>
                <w:lang w:eastAsia="zh-CN"/>
              </w:rPr>
              <w:t>本项目与规划环评批复相符性分析如下：</w:t>
            </w:r>
          </w:p>
          <w:p w14:paraId="6ED85D6F">
            <w:pPr>
              <w:jc w:val="center"/>
              <w:rPr>
                <w:rFonts w:hint="default" w:ascii="Times New Roman" w:hAnsi="Times New Roman" w:eastAsia="宋体" w:cs="Times New Roman"/>
                <w:b/>
                <w:bCs/>
                <w:color w:val="auto"/>
                <w:sz w:val="21"/>
                <w:szCs w:val="21"/>
                <w:u w:val="none" w:color="auto"/>
                <w:lang w:eastAsia="zh-CN"/>
              </w:rPr>
            </w:pPr>
            <w:r>
              <w:rPr>
                <w:rFonts w:hint="default" w:ascii="Times New Roman" w:hAnsi="Times New Roman" w:eastAsia="宋体" w:cs="Times New Roman"/>
                <w:b/>
                <w:bCs/>
                <w:color w:val="auto"/>
                <w:sz w:val="21"/>
                <w:szCs w:val="21"/>
                <w:u w:val="none" w:color="auto"/>
                <w:lang w:eastAsia="zh-CN"/>
              </w:rPr>
              <w:t>表1-2  与“湘环评函﹝20</w:t>
            </w:r>
            <w:r>
              <w:rPr>
                <w:rFonts w:hint="default" w:ascii="Times New Roman" w:hAnsi="Times New Roman" w:eastAsia="宋体" w:cs="Times New Roman"/>
                <w:b/>
                <w:bCs/>
                <w:color w:val="auto"/>
                <w:sz w:val="21"/>
                <w:szCs w:val="21"/>
                <w:u w:val="none" w:color="auto"/>
                <w:lang w:val="en-US" w:eastAsia="zh-CN"/>
              </w:rPr>
              <w:t>21</w:t>
            </w:r>
            <w:r>
              <w:rPr>
                <w:rFonts w:hint="default" w:ascii="Times New Roman" w:hAnsi="Times New Roman" w:eastAsia="宋体" w:cs="Times New Roman"/>
                <w:b/>
                <w:bCs/>
                <w:color w:val="auto"/>
                <w:sz w:val="21"/>
                <w:szCs w:val="21"/>
                <w:u w:val="none" w:color="auto"/>
                <w:lang w:eastAsia="zh-CN"/>
              </w:rPr>
              <w:t>﹞</w:t>
            </w:r>
            <w:r>
              <w:rPr>
                <w:rFonts w:hint="default" w:ascii="Times New Roman" w:hAnsi="Times New Roman" w:eastAsia="宋体" w:cs="Times New Roman"/>
                <w:b/>
                <w:bCs/>
                <w:color w:val="auto"/>
                <w:sz w:val="21"/>
                <w:szCs w:val="21"/>
                <w:u w:val="none" w:color="auto"/>
                <w:lang w:val="en-US" w:eastAsia="zh-CN"/>
              </w:rPr>
              <w:t>3</w:t>
            </w:r>
            <w:r>
              <w:rPr>
                <w:rFonts w:hint="default" w:ascii="Times New Roman" w:hAnsi="Times New Roman" w:eastAsia="宋体" w:cs="Times New Roman"/>
                <w:b/>
                <w:bCs/>
                <w:color w:val="auto"/>
                <w:sz w:val="21"/>
                <w:szCs w:val="21"/>
                <w:u w:val="none" w:color="auto"/>
                <w:lang w:eastAsia="zh-CN"/>
              </w:rPr>
              <w:t>3号批复”符合性分析</w:t>
            </w:r>
          </w:p>
          <w:tbl>
            <w:tblPr>
              <w:tblStyle w:val="31"/>
              <w:tblW w:w="4998" w:type="pct"/>
              <w:tblInd w:w="-1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547"/>
              <w:gridCol w:w="3436"/>
              <w:gridCol w:w="2356"/>
              <w:gridCol w:w="332"/>
            </w:tblGrid>
            <w:tr w14:paraId="1B1AE5D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9" w:type="pct"/>
                  <w:tcBorders>
                    <w:tl2br w:val="nil"/>
                    <w:tr2bl w:val="nil"/>
                  </w:tcBorders>
                  <w:noWrap w:val="0"/>
                  <w:vAlign w:val="center"/>
                </w:tcPr>
                <w:p w14:paraId="19606BB3">
                  <w:pPr>
                    <w:jc w:val="center"/>
                    <w:rPr>
                      <w:rFonts w:hint="default" w:ascii="Times New Roman" w:hAnsi="Times New Roman" w:eastAsia="宋体" w:cs="Times New Roman"/>
                      <w:b/>
                      <w:bCs w:val="0"/>
                      <w:color w:val="auto"/>
                      <w:sz w:val="21"/>
                      <w:szCs w:val="21"/>
                      <w:u w:val="none" w:color="auto"/>
                    </w:rPr>
                  </w:pPr>
                  <w:r>
                    <w:rPr>
                      <w:rFonts w:hint="default" w:ascii="Times New Roman" w:hAnsi="Times New Roman" w:eastAsia="宋体" w:cs="Times New Roman"/>
                      <w:b/>
                      <w:bCs w:val="0"/>
                      <w:color w:val="auto"/>
                      <w:sz w:val="21"/>
                      <w:szCs w:val="21"/>
                      <w:u w:val="none" w:color="auto"/>
                    </w:rPr>
                    <w:t>序号</w:t>
                  </w:r>
                </w:p>
              </w:tc>
              <w:tc>
                <w:tcPr>
                  <w:tcW w:w="2575" w:type="pct"/>
                  <w:tcBorders>
                    <w:tl2br w:val="nil"/>
                    <w:tr2bl w:val="nil"/>
                  </w:tcBorders>
                  <w:noWrap w:val="0"/>
                  <w:vAlign w:val="center"/>
                </w:tcPr>
                <w:p w14:paraId="04234B8B">
                  <w:pPr>
                    <w:jc w:val="center"/>
                    <w:rPr>
                      <w:rFonts w:hint="default" w:ascii="Times New Roman" w:hAnsi="Times New Roman" w:eastAsia="宋体" w:cs="Times New Roman"/>
                      <w:b/>
                      <w:bCs w:val="0"/>
                      <w:color w:val="auto"/>
                      <w:sz w:val="21"/>
                      <w:szCs w:val="21"/>
                      <w:u w:val="none" w:color="auto"/>
                    </w:rPr>
                  </w:pPr>
                  <w:r>
                    <w:rPr>
                      <w:rFonts w:hint="default" w:ascii="Times New Roman" w:hAnsi="Times New Roman" w:eastAsia="宋体" w:cs="Times New Roman"/>
                      <w:b/>
                      <w:bCs w:val="0"/>
                      <w:color w:val="auto"/>
                      <w:sz w:val="21"/>
                      <w:szCs w:val="21"/>
                      <w:u w:val="none" w:color="auto"/>
                    </w:rPr>
                    <w:t>湘环评</w:t>
                  </w:r>
                  <w:r>
                    <w:rPr>
                      <w:rFonts w:hint="default" w:ascii="Times New Roman" w:hAnsi="Times New Roman" w:eastAsia="宋体" w:cs="Times New Roman"/>
                      <w:b/>
                      <w:bCs w:val="0"/>
                      <w:color w:val="auto"/>
                      <w:sz w:val="21"/>
                      <w:szCs w:val="21"/>
                      <w:u w:val="none" w:color="auto"/>
                      <w:lang w:eastAsia="zh-CN"/>
                    </w:rPr>
                    <w:t>﹝</w:t>
                  </w:r>
                  <w:r>
                    <w:rPr>
                      <w:rFonts w:hint="default" w:ascii="Times New Roman" w:hAnsi="Times New Roman" w:eastAsia="宋体" w:cs="Times New Roman"/>
                      <w:b/>
                      <w:bCs w:val="0"/>
                      <w:color w:val="auto"/>
                      <w:sz w:val="21"/>
                      <w:szCs w:val="21"/>
                      <w:u w:val="none" w:color="auto"/>
                    </w:rPr>
                    <w:t>2021</w:t>
                  </w:r>
                  <w:r>
                    <w:rPr>
                      <w:rFonts w:hint="default" w:ascii="Times New Roman" w:hAnsi="Times New Roman" w:eastAsia="宋体" w:cs="Times New Roman"/>
                      <w:b/>
                      <w:bCs w:val="0"/>
                      <w:color w:val="auto"/>
                      <w:sz w:val="21"/>
                      <w:szCs w:val="21"/>
                      <w:u w:val="none" w:color="auto"/>
                      <w:lang w:eastAsia="zh-CN"/>
                    </w:rPr>
                    <w:t>﹞</w:t>
                  </w:r>
                  <w:r>
                    <w:rPr>
                      <w:rFonts w:hint="default" w:ascii="Times New Roman" w:hAnsi="Times New Roman" w:eastAsia="宋体" w:cs="Times New Roman"/>
                      <w:b/>
                      <w:bCs w:val="0"/>
                      <w:color w:val="auto"/>
                      <w:sz w:val="21"/>
                      <w:szCs w:val="21"/>
                      <w:u w:val="none" w:color="auto"/>
                    </w:rPr>
                    <w:t>33号</w:t>
                  </w:r>
                </w:p>
              </w:tc>
              <w:tc>
                <w:tcPr>
                  <w:tcW w:w="1765" w:type="pct"/>
                  <w:tcBorders>
                    <w:tl2br w:val="nil"/>
                    <w:tr2bl w:val="nil"/>
                  </w:tcBorders>
                  <w:noWrap w:val="0"/>
                  <w:vAlign w:val="center"/>
                </w:tcPr>
                <w:p w14:paraId="691D0EFE">
                  <w:pPr>
                    <w:jc w:val="center"/>
                    <w:rPr>
                      <w:rFonts w:hint="default" w:ascii="Times New Roman" w:hAnsi="Times New Roman" w:eastAsia="宋体" w:cs="Times New Roman"/>
                      <w:b/>
                      <w:bCs w:val="0"/>
                      <w:color w:val="auto"/>
                      <w:sz w:val="21"/>
                      <w:szCs w:val="21"/>
                      <w:u w:val="none" w:color="auto"/>
                    </w:rPr>
                  </w:pPr>
                  <w:r>
                    <w:rPr>
                      <w:rFonts w:hint="default" w:ascii="Times New Roman" w:hAnsi="Times New Roman" w:eastAsia="宋体" w:cs="Times New Roman"/>
                      <w:b/>
                      <w:bCs w:val="0"/>
                      <w:color w:val="auto"/>
                      <w:sz w:val="21"/>
                      <w:szCs w:val="21"/>
                      <w:u w:val="none" w:color="auto"/>
                    </w:rPr>
                    <w:t>本项目情况</w:t>
                  </w:r>
                </w:p>
              </w:tc>
              <w:tc>
                <w:tcPr>
                  <w:tcW w:w="248" w:type="pct"/>
                  <w:tcBorders>
                    <w:tl2br w:val="nil"/>
                    <w:tr2bl w:val="nil"/>
                  </w:tcBorders>
                  <w:noWrap w:val="0"/>
                  <w:vAlign w:val="center"/>
                </w:tcPr>
                <w:p w14:paraId="0694CD07">
                  <w:pPr>
                    <w:jc w:val="center"/>
                    <w:rPr>
                      <w:rFonts w:hint="default" w:ascii="Times New Roman" w:hAnsi="Times New Roman" w:eastAsia="宋体" w:cs="Times New Roman"/>
                      <w:b/>
                      <w:bCs w:val="0"/>
                      <w:color w:val="auto"/>
                      <w:sz w:val="21"/>
                      <w:szCs w:val="21"/>
                      <w:u w:val="none" w:color="auto"/>
                    </w:rPr>
                  </w:pPr>
                  <w:r>
                    <w:rPr>
                      <w:rFonts w:hint="default" w:ascii="Times New Roman" w:hAnsi="Times New Roman" w:eastAsia="宋体" w:cs="Times New Roman"/>
                      <w:b/>
                      <w:bCs w:val="0"/>
                      <w:color w:val="auto"/>
                      <w:sz w:val="21"/>
                      <w:szCs w:val="21"/>
                      <w:u w:val="none" w:color="auto"/>
                    </w:rPr>
                    <w:t>符合性</w:t>
                  </w:r>
                </w:p>
              </w:tc>
            </w:tr>
            <w:tr w14:paraId="048AC73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9" w:type="pct"/>
                  <w:tcBorders>
                    <w:tl2br w:val="nil"/>
                    <w:tr2bl w:val="nil"/>
                  </w:tcBorders>
                  <w:noWrap w:val="0"/>
                  <w:vAlign w:val="center"/>
                </w:tcPr>
                <w:p w14:paraId="27676499">
                  <w:pPr>
                    <w:jc w:val="center"/>
                    <w:rPr>
                      <w:rFonts w:hint="default" w:ascii="Times New Roman" w:hAnsi="Times New Roman" w:eastAsia="宋体" w:cs="Times New Roman"/>
                      <w:bCs/>
                      <w:color w:val="auto"/>
                      <w:sz w:val="21"/>
                      <w:szCs w:val="21"/>
                      <w:u w:val="none" w:color="auto"/>
                    </w:rPr>
                  </w:pPr>
                  <w:r>
                    <w:rPr>
                      <w:rFonts w:hint="default" w:ascii="Times New Roman" w:hAnsi="Times New Roman" w:eastAsia="宋体" w:cs="Times New Roman"/>
                      <w:bCs/>
                      <w:color w:val="auto"/>
                      <w:sz w:val="21"/>
                      <w:szCs w:val="21"/>
                      <w:u w:val="none" w:color="auto"/>
                    </w:rPr>
                    <w:t>1</w:t>
                  </w:r>
                </w:p>
              </w:tc>
              <w:tc>
                <w:tcPr>
                  <w:tcW w:w="2575" w:type="pct"/>
                  <w:tcBorders>
                    <w:tl2br w:val="nil"/>
                    <w:tr2bl w:val="nil"/>
                  </w:tcBorders>
                  <w:noWrap w:val="0"/>
                  <w:vAlign w:val="center"/>
                </w:tcPr>
                <w:p w14:paraId="757E5238">
                  <w:pPr>
                    <w:jc w:val="center"/>
                    <w:rPr>
                      <w:rFonts w:hint="default" w:ascii="Times New Roman" w:hAnsi="Times New Roman" w:eastAsia="宋体" w:cs="Times New Roman"/>
                      <w:bCs/>
                      <w:color w:val="auto"/>
                      <w:sz w:val="21"/>
                      <w:szCs w:val="21"/>
                      <w:u w:val="none" w:color="auto"/>
                    </w:rPr>
                  </w:pPr>
                  <w:r>
                    <w:rPr>
                      <w:rFonts w:hint="default" w:ascii="Times New Roman" w:hAnsi="Times New Roman" w:eastAsia="宋体" w:cs="Times New Roman"/>
                      <w:bCs/>
                      <w:color w:val="auto"/>
                      <w:sz w:val="21"/>
                      <w:szCs w:val="21"/>
                      <w:u w:val="none" w:color="auto"/>
                    </w:rPr>
                    <w:t>按程序做好园区规划调整。对位于临江1km范围内的企业，应在规定期限内完成关闭退出、搬迁改造工作。临近凌泊湖小区、亚泰花园等居住区的工业企业应强化污染防治设施的治理效果，并按《报告书》要求，设置一定距离的绿化隔离带，最大程度地避免对邻近居住区的不良环境影响；后续引进企业，应合理引导企业布局，确保各行业企业在其相应的规划产业片区内发展，严禁跨红线布局。</w:t>
                  </w:r>
                </w:p>
              </w:tc>
              <w:tc>
                <w:tcPr>
                  <w:tcW w:w="1765" w:type="pct"/>
                  <w:tcBorders>
                    <w:tl2br w:val="nil"/>
                    <w:tr2bl w:val="nil"/>
                  </w:tcBorders>
                  <w:noWrap w:val="0"/>
                  <w:vAlign w:val="center"/>
                </w:tcPr>
                <w:p w14:paraId="2F70F245">
                  <w:pPr>
                    <w:jc w:val="center"/>
                    <w:rPr>
                      <w:rFonts w:hint="default" w:ascii="Times New Roman" w:hAnsi="Times New Roman" w:eastAsia="宋体" w:cs="Times New Roman"/>
                      <w:bCs/>
                      <w:color w:val="auto"/>
                      <w:sz w:val="21"/>
                      <w:szCs w:val="21"/>
                      <w:u w:val="none" w:color="auto"/>
                    </w:rPr>
                  </w:pPr>
                  <w:r>
                    <w:rPr>
                      <w:rFonts w:hint="default" w:ascii="Times New Roman" w:hAnsi="Times New Roman" w:eastAsia="宋体" w:cs="Times New Roman"/>
                      <w:bCs/>
                      <w:color w:val="auto"/>
                      <w:sz w:val="21"/>
                      <w:szCs w:val="21"/>
                      <w:u w:val="none" w:color="auto"/>
                    </w:rPr>
                    <w:t>本项目</w:t>
                  </w:r>
                  <w:r>
                    <w:rPr>
                      <w:rFonts w:hint="default" w:ascii="Times New Roman" w:hAnsi="Times New Roman" w:eastAsia="宋体" w:cs="Times New Roman"/>
                      <w:bCs/>
                      <w:color w:val="auto"/>
                      <w:sz w:val="21"/>
                      <w:szCs w:val="21"/>
                      <w:u w:val="none" w:color="auto"/>
                      <w:lang w:val="en-US" w:eastAsia="zh-CN"/>
                    </w:rPr>
                    <w:t>与长江最近距离在1.2km左右，不属于临江1km</w:t>
                  </w:r>
                  <w:r>
                    <w:rPr>
                      <w:rFonts w:hint="default" w:ascii="Times New Roman" w:hAnsi="Times New Roman" w:eastAsia="宋体" w:cs="Times New Roman"/>
                      <w:bCs/>
                      <w:color w:val="auto"/>
                      <w:sz w:val="21"/>
                      <w:szCs w:val="21"/>
                      <w:u w:val="none" w:color="auto"/>
                    </w:rPr>
                    <w:t>企业，</w:t>
                  </w:r>
                  <w:r>
                    <w:rPr>
                      <w:rFonts w:hint="default" w:ascii="Times New Roman" w:hAnsi="Times New Roman" w:eastAsia="宋体" w:cs="Times New Roman"/>
                      <w:bCs/>
                      <w:color w:val="auto"/>
                      <w:sz w:val="21"/>
                      <w:szCs w:val="21"/>
                      <w:u w:val="none" w:color="auto"/>
                      <w:lang w:val="en-US" w:eastAsia="zh-CN"/>
                    </w:rPr>
                    <w:t>根据本次评价工程分析，建设单位在落实好本次评价提出的各项污染防治措施后，不会对项目地</w:t>
                  </w:r>
                  <w:r>
                    <w:rPr>
                      <w:rFonts w:hint="default" w:ascii="Times New Roman" w:hAnsi="Times New Roman" w:eastAsia="宋体" w:cs="Times New Roman"/>
                      <w:bCs/>
                      <w:color w:val="auto"/>
                      <w:sz w:val="21"/>
                      <w:szCs w:val="21"/>
                      <w:u w:val="none" w:color="auto"/>
                    </w:rPr>
                    <w:t>邻近居住区</w:t>
                  </w:r>
                  <w:r>
                    <w:rPr>
                      <w:rFonts w:hint="default" w:ascii="Times New Roman" w:hAnsi="Times New Roman" w:eastAsia="宋体" w:cs="Times New Roman"/>
                      <w:bCs/>
                      <w:color w:val="auto"/>
                      <w:sz w:val="21"/>
                      <w:szCs w:val="21"/>
                      <w:u w:val="none" w:color="auto"/>
                      <w:lang w:val="en-US" w:eastAsia="zh-CN"/>
                    </w:rPr>
                    <w:t>产生明显影响。</w:t>
                  </w:r>
                  <w:r>
                    <w:rPr>
                      <w:rFonts w:hint="default" w:ascii="Times New Roman" w:hAnsi="Times New Roman" w:eastAsia="宋体" w:cs="Times New Roman"/>
                      <w:bCs/>
                      <w:color w:val="auto"/>
                      <w:sz w:val="21"/>
                      <w:szCs w:val="21"/>
                      <w:u w:val="none" w:color="auto"/>
                      <w:lang w:eastAsia="zh-CN"/>
                    </w:rPr>
                    <w:t>符合产业片区规划。</w:t>
                  </w:r>
                </w:p>
              </w:tc>
              <w:tc>
                <w:tcPr>
                  <w:tcW w:w="248" w:type="pct"/>
                  <w:tcBorders>
                    <w:tl2br w:val="nil"/>
                    <w:tr2bl w:val="nil"/>
                  </w:tcBorders>
                  <w:noWrap w:val="0"/>
                  <w:vAlign w:val="center"/>
                </w:tcPr>
                <w:p w14:paraId="3CF228F5">
                  <w:pPr>
                    <w:jc w:val="center"/>
                    <w:rPr>
                      <w:rFonts w:hint="default" w:ascii="Times New Roman" w:hAnsi="Times New Roman" w:eastAsia="宋体" w:cs="Times New Roman"/>
                      <w:bCs/>
                      <w:color w:val="auto"/>
                      <w:sz w:val="21"/>
                      <w:szCs w:val="21"/>
                      <w:u w:val="none" w:color="auto"/>
                    </w:rPr>
                  </w:pPr>
                  <w:r>
                    <w:rPr>
                      <w:rFonts w:hint="default" w:ascii="Times New Roman" w:hAnsi="Times New Roman" w:eastAsia="宋体" w:cs="Times New Roman"/>
                      <w:bCs/>
                      <w:color w:val="auto"/>
                      <w:sz w:val="21"/>
                      <w:szCs w:val="21"/>
                      <w:u w:val="none" w:color="auto"/>
                    </w:rPr>
                    <w:t>符合</w:t>
                  </w:r>
                </w:p>
              </w:tc>
            </w:tr>
            <w:tr w14:paraId="0334AE1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9" w:type="pct"/>
                  <w:tcBorders>
                    <w:tl2br w:val="nil"/>
                    <w:tr2bl w:val="nil"/>
                  </w:tcBorders>
                  <w:noWrap w:val="0"/>
                  <w:vAlign w:val="center"/>
                </w:tcPr>
                <w:p w14:paraId="53B4BD10">
                  <w:pPr>
                    <w:jc w:val="center"/>
                    <w:rPr>
                      <w:rFonts w:hint="default" w:ascii="Times New Roman" w:hAnsi="Times New Roman" w:eastAsia="宋体" w:cs="Times New Roman"/>
                      <w:bCs/>
                      <w:color w:val="auto"/>
                      <w:sz w:val="21"/>
                      <w:szCs w:val="21"/>
                      <w:u w:val="none" w:color="auto"/>
                    </w:rPr>
                  </w:pPr>
                  <w:r>
                    <w:rPr>
                      <w:rFonts w:hint="default" w:ascii="Times New Roman" w:hAnsi="Times New Roman" w:eastAsia="宋体" w:cs="Times New Roman"/>
                      <w:bCs/>
                      <w:color w:val="auto"/>
                      <w:sz w:val="21"/>
                      <w:szCs w:val="21"/>
                      <w:u w:val="none" w:color="auto"/>
                    </w:rPr>
                    <w:t>2</w:t>
                  </w:r>
                </w:p>
              </w:tc>
              <w:tc>
                <w:tcPr>
                  <w:tcW w:w="2575" w:type="pct"/>
                  <w:tcBorders>
                    <w:tl2br w:val="nil"/>
                    <w:tr2bl w:val="nil"/>
                  </w:tcBorders>
                  <w:noWrap w:val="0"/>
                  <w:vAlign w:val="center"/>
                </w:tcPr>
                <w:p w14:paraId="01C5AF3B">
                  <w:pPr>
                    <w:jc w:val="center"/>
                    <w:rPr>
                      <w:rFonts w:hint="default" w:ascii="Times New Roman" w:hAnsi="Times New Roman" w:eastAsia="宋体" w:cs="Times New Roman"/>
                      <w:bCs/>
                      <w:color w:val="auto"/>
                      <w:sz w:val="21"/>
                      <w:szCs w:val="21"/>
                      <w:u w:val="none" w:color="auto"/>
                    </w:rPr>
                  </w:pPr>
                  <w:r>
                    <w:rPr>
                      <w:rFonts w:hint="default" w:ascii="Times New Roman" w:hAnsi="Times New Roman" w:eastAsia="宋体" w:cs="Times New Roman"/>
                      <w:bCs/>
                      <w:color w:val="auto"/>
                      <w:sz w:val="21"/>
                      <w:szCs w:val="21"/>
                      <w:u w:val="none" w:color="auto"/>
                    </w:rPr>
                    <w:t>进一步严格产业环境准入。岳阳临港新区后续发展与规划调整须符合岳阳临港新区“三线一单”环境准入要求、长江经济带发展负面清单指南(试行)及《报告书》提出的环境准入条件和负面清单要求。对不符合园区用地规划、产业定位的现有企业，按《报告书》建议要求企业强化污染防治措施，且不得在原址新增污染物排放量，同时，做好项目周边用地的控规工作。园区范围新建、改建和扩建“两高”项目应按照《关于加强重点行业建设项目区域削减措施监督管理的通知》要求，依据区域环境质量改善目标,制定配套区域污染物削减方案，采取有效的污染物区域削减措施，腾出足够的环境容量。入园企业应优先考虑使用清洁能源、能耗低、技术工艺先进、清洁生产和环境管理水平高、污染防治技术成熟的企业,须严格执行环境保护“三同时”制度，确保外排污染物满足排污许可证管控要求。</w:t>
                  </w:r>
                </w:p>
              </w:tc>
              <w:tc>
                <w:tcPr>
                  <w:tcW w:w="1765" w:type="pct"/>
                  <w:tcBorders>
                    <w:tl2br w:val="nil"/>
                    <w:tr2bl w:val="nil"/>
                  </w:tcBorders>
                  <w:noWrap w:val="0"/>
                  <w:vAlign w:val="center"/>
                </w:tcPr>
                <w:p w14:paraId="66CC6BEF">
                  <w:pPr>
                    <w:jc w:val="center"/>
                    <w:rPr>
                      <w:rFonts w:hint="default" w:ascii="Times New Roman" w:hAnsi="Times New Roman" w:eastAsia="宋体" w:cs="Times New Roman"/>
                      <w:bCs/>
                      <w:color w:val="auto"/>
                      <w:sz w:val="21"/>
                      <w:szCs w:val="21"/>
                      <w:u w:val="none" w:color="auto"/>
                    </w:rPr>
                  </w:pPr>
                  <w:r>
                    <w:rPr>
                      <w:rFonts w:hint="default" w:ascii="Times New Roman" w:hAnsi="Times New Roman" w:eastAsia="宋体" w:cs="Times New Roman"/>
                      <w:bCs/>
                      <w:color w:val="auto"/>
                      <w:sz w:val="21"/>
                      <w:szCs w:val="21"/>
                      <w:u w:val="none" w:color="auto"/>
                    </w:rPr>
                    <w:t>本项目已严格执行岳阳临港新区“三线一单”环境准入要求、长江经济带发展负面清单指南(试行)及《报告书》提出的环境准入条件和负面清单要求。符合园区用地规划及产业定位，本项目不属于两高项目，项目生产能耗</w:t>
                  </w:r>
                  <w:r>
                    <w:rPr>
                      <w:rFonts w:hint="default" w:ascii="Times New Roman" w:hAnsi="Times New Roman" w:eastAsia="宋体" w:cs="Times New Roman"/>
                      <w:bCs/>
                      <w:color w:val="auto"/>
                      <w:sz w:val="21"/>
                      <w:szCs w:val="21"/>
                      <w:u w:val="none" w:color="auto"/>
                      <w:lang w:val="en-US" w:eastAsia="zh-CN"/>
                    </w:rPr>
                    <w:t>较</w:t>
                  </w:r>
                  <w:r>
                    <w:rPr>
                      <w:rFonts w:hint="default" w:ascii="Times New Roman" w:hAnsi="Times New Roman" w:eastAsia="宋体" w:cs="Times New Roman"/>
                      <w:bCs/>
                      <w:color w:val="auto"/>
                      <w:sz w:val="21"/>
                      <w:szCs w:val="21"/>
                      <w:u w:val="none" w:color="auto"/>
                    </w:rPr>
                    <w:t>低，环评完成后按要求</w:t>
                  </w:r>
                  <w:r>
                    <w:rPr>
                      <w:rFonts w:hint="default" w:ascii="Times New Roman" w:hAnsi="Times New Roman" w:eastAsia="宋体" w:cs="Times New Roman"/>
                      <w:bCs/>
                      <w:color w:val="auto"/>
                      <w:sz w:val="21"/>
                      <w:szCs w:val="21"/>
                      <w:u w:val="none" w:color="auto"/>
                      <w:lang w:val="en-US" w:eastAsia="zh-CN"/>
                    </w:rPr>
                    <w:t>变更</w:t>
                  </w:r>
                  <w:r>
                    <w:rPr>
                      <w:rFonts w:hint="default" w:ascii="Times New Roman" w:hAnsi="Times New Roman" w:eastAsia="宋体" w:cs="Times New Roman"/>
                      <w:bCs/>
                      <w:color w:val="auto"/>
                      <w:sz w:val="21"/>
                      <w:szCs w:val="21"/>
                      <w:u w:val="none" w:color="auto"/>
                    </w:rPr>
                    <w:t>排污许可证，并满足其管控要求。</w:t>
                  </w:r>
                </w:p>
              </w:tc>
              <w:tc>
                <w:tcPr>
                  <w:tcW w:w="248" w:type="pct"/>
                  <w:tcBorders>
                    <w:tl2br w:val="nil"/>
                    <w:tr2bl w:val="nil"/>
                  </w:tcBorders>
                  <w:noWrap w:val="0"/>
                  <w:vAlign w:val="center"/>
                </w:tcPr>
                <w:p w14:paraId="31AF43B6">
                  <w:pPr>
                    <w:jc w:val="center"/>
                    <w:rPr>
                      <w:rFonts w:hint="default" w:ascii="Times New Roman" w:hAnsi="Times New Roman" w:eastAsia="宋体" w:cs="Times New Roman"/>
                      <w:bCs/>
                      <w:color w:val="auto"/>
                      <w:sz w:val="21"/>
                      <w:szCs w:val="21"/>
                      <w:u w:val="none" w:color="auto"/>
                    </w:rPr>
                  </w:pPr>
                  <w:r>
                    <w:rPr>
                      <w:rFonts w:hint="default" w:ascii="Times New Roman" w:hAnsi="Times New Roman" w:eastAsia="宋体" w:cs="Times New Roman"/>
                      <w:bCs/>
                      <w:color w:val="auto"/>
                      <w:sz w:val="21"/>
                      <w:szCs w:val="21"/>
                      <w:u w:val="none" w:color="auto"/>
                    </w:rPr>
                    <w:t>符合</w:t>
                  </w:r>
                </w:p>
              </w:tc>
            </w:tr>
            <w:tr w14:paraId="7D071F9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9" w:type="pct"/>
                  <w:tcBorders>
                    <w:tl2br w:val="nil"/>
                    <w:tr2bl w:val="nil"/>
                  </w:tcBorders>
                  <w:noWrap w:val="0"/>
                  <w:vAlign w:val="center"/>
                </w:tcPr>
                <w:p w14:paraId="12F4D37D">
                  <w:pPr>
                    <w:jc w:val="center"/>
                    <w:rPr>
                      <w:rFonts w:hint="default" w:ascii="Times New Roman" w:hAnsi="Times New Roman" w:eastAsia="宋体" w:cs="Times New Roman"/>
                      <w:bCs/>
                      <w:color w:val="auto"/>
                      <w:sz w:val="21"/>
                      <w:szCs w:val="21"/>
                      <w:u w:val="none" w:color="auto"/>
                    </w:rPr>
                  </w:pPr>
                  <w:r>
                    <w:rPr>
                      <w:rFonts w:hint="default" w:ascii="Times New Roman" w:hAnsi="Times New Roman" w:eastAsia="宋体" w:cs="Times New Roman"/>
                      <w:bCs/>
                      <w:color w:val="auto"/>
                      <w:sz w:val="21"/>
                      <w:szCs w:val="21"/>
                      <w:u w:val="none" w:color="auto"/>
                    </w:rPr>
                    <w:t>3</w:t>
                  </w:r>
                </w:p>
              </w:tc>
              <w:tc>
                <w:tcPr>
                  <w:tcW w:w="2575" w:type="pct"/>
                  <w:tcBorders>
                    <w:tl2br w:val="nil"/>
                    <w:tr2bl w:val="nil"/>
                  </w:tcBorders>
                  <w:noWrap w:val="0"/>
                  <w:vAlign w:val="center"/>
                </w:tcPr>
                <w:p w14:paraId="2938B973">
                  <w:pPr>
                    <w:jc w:val="center"/>
                    <w:rPr>
                      <w:rFonts w:hint="default" w:ascii="Times New Roman" w:hAnsi="Times New Roman" w:eastAsia="宋体" w:cs="Times New Roman"/>
                      <w:bCs/>
                      <w:color w:val="auto"/>
                      <w:sz w:val="21"/>
                      <w:szCs w:val="21"/>
                      <w:u w:val="none" w:color="auto"/>
                    </w:rPr>
                  </w:pPr>
                  <w:r>
                    <w:rPr>
                      <w:rFonts w:hint="default" w:ascii="Times New Roman" w:hAnsi="Times New Roman" w:eastAsia="宋体" w:cs="Times New Roman"/>
                      <w:bCs/>
                      <w:color w:val="auto"/>
                      <w:sz w:val="21"/>
                      <w:szCs w:val="21"/>
                      <w:u w:val="none" w:color="auto"/>
                    </w:rPr>
                    <w:t>进一步落实园区污染管控措施。岳阳临港新区应按开发进度完善区域雨污分流和污污分流系统、污水收集管网及集中污水处理设施建设，确保园区废水应收尽收，全部送至</w:t>
                  </w:r>
                  <w:r>
                    <w:rPr>
                      <w:rFonts w:hint="default" w:ascii="Times New Roman" w:hAnsi="Times New Roman" w:eastAsia="宋体" w:cs="Times New Roman"/>
                      <w:bCs/>
                      <w:color w:val="auto"/>
                      <w:sz w:val="21"/>
                      <w:szCs w:val="21"/>
                      <w:u w:val="none" w:color="auto"/>
                      <w:lang w:eastAsia="zh-CN"/>
                    </w:rPr>
                    <w:t>湖南城陵矶临港产业新区污水处理厂</w:t>
                  </w:r>
                  <w:r>
                    <w:rPr>
                      <w:rFonts w:hint="default" w:ascii="Times New Roman" w:hAnsi="Times New Roman" w:eastAsia="宋体" w:cs="Times New Roman"/>
                      <w:bCs/>
                      <w:color w:val="auto"/>
                      <w:sz w:val="21"/>
                      <w:szCs w:val="21"/>
                      <w:u w:val="none" w:color="auto"/>
                    </w:rPr>
                    <w:t>深度处理。加强污水处理设施日常运营维护，确保可长期稳定运行。鉴于白杨湖现阶段存在总磷超标现象,地方应按要求加快开展白杨湖综合环境整治与生态修复工作,配套污水管网在未完成对接区域，不得新增水污染排放的建设项目。优化能源结构，推广清洁能源。加强园区大气污染防治，加大对区内重点排污企业废气治理措施运行情况及废气无组织排放的监管，确保大气污染物达标排放，对治理设施不能有效运行的企业，采取停产措施。做好工业固体废物和生活垃圾的分类收集、转运、综合利用和无害化处理，建立完善的固废管理体系。对危险废物应严格按照国家有关规定综合利用或妥善处置，对危险废物产生企业和经营单位，应强化日常环境监管。园区须严格落实排污许可制度和污染物排放总量控制，重点抓好企业环保手续的完善，全面落实高新区内现有企业污染物特别排放限值控制要求，采取有效措施减少污染物排放总量，确保实现区域环境质量改善目标，促进园区发展与生态环境保护相协调。</w:t>
                  </w:r>
                </w:p>
              </w:tc>
              <w:tc>
                <w:tcPr>
                  <w:tcW w:w="1765" w:type="pct"/>
                  <w:tcBorders>
                    <w:tl2br w:val="nil"/>
                    <w:tr2bl w:val="nil"/>
                  </w:tcBorders>
                  <w:noWrap w:val="0"/>
                  <w:vAlign w:val="center"/>
                </w:tcPr>
                <w:p w14:paraId="2547CC29">
                  <w:pPr>
                    <w:jc w:val="center"/>
                    <w:rPr>
                      <w:rFonts w:hint="default" w:ascii="Times New Roman" w:hAnsi="Times New Roman" w:eastAsia="宋体" w:cs="Times New Roman"/>
                      <w:bCs/>
                      <w:color w:val="auto"/>
                      <w:sz w:val="21"/>
                      <w:szCs w:val="21"/>
                      <w:u w:val="none" w:color="auto"/>
                    </w:rPr>
                  </w:pPr>
                  <w:r>
                    <w:rPr>
                      <w:rFonts w:hint="default" w:ascii="Times New Roman" w:hAnsi="Times New Roman" w:eastAsia="宋体" w:cs="Times New Roman"/>
                      <w:bCs/>
                      <w:color w:val="auto"/>
                      <w:sz w:val="21"/>
                      <w:szCs w:val="21"/>
                      <w:u w:val="none" w:color="auto"/>
                      <w:lang w:val="en-US" w:eastAsia="zh-CN"/>
                    </w:rPr>
                    <w:t>项目中创空天厂区已</w:t>
                  </w:r>
                  <w:r>
                    <w:rPr>
                      <w:rFonts w:hint="default" w:ascii="Times New Roman" w:hAnsi="Times New Roman" w:eastAsia="宋体" w:cs="Times New Roman"/>
                      <w:bCs/>
                      <w:color w:val="auto"/>
                      <w:sz w:val="21"/>
                      <w:szCs w:val="21"/>
                      <w:u w:val="none" w:color="auto"/>
                    </w:rPr>
                    <w:t>实施雨污分流，</w:t>
                  </w:r>
                  <w:r>
                    <w:rPr>
                      <w:rFonts w:hint="default" w:ascii="Times New Roman" w:hAnsi="Times New Roman" w:eastAsia="宋体" w:cs="Times New Roman"/>
                      <w:bCs/>
                      <w:color w:val="auto"/>
                      <w:sz w:val="21"/>
                      <w:szCs w:val="21"/>
                      <w:u w:val="none" w:color="auto"/>
                      <w:lang w:val="en-US" w:eastAsia="zh-CN"/>
                    </w:rPr>
                    <w:t>两厂区的</w:t>
                  </w:r>
                  <w:r>
                    <w:rPr>
                      <w:rFonts w:hint="default" w:ascii="Times New Roman" w:hAnsi="Times New Roman" w:eastAsia="宋体" w:cs="Times New Roman"/>
                      <w:bCs/>
                      <w:color w:val="auto"/>
                      <w:sz w:val="21"/>
                      <w:szCs w:val="21"/>
                      <w:highlight w:val="none"/>
                      <w:u w:val="none" w:color="auto"/>
                      <w:lang w:eastAsia="zh-CN"/>
                    </w:rPr>
                    <w:t>生活污水依托现有的化粪池处理、</w:t>
                  </w:r>
                  <w:r>
                    <w:rPr>
                      <w:rFonts w:hint="default" w:ascii="Times New Roman" w:hAnsi="Times New Roman" w:eastAsia="宋体" w:cs="Times New Roman"/>
                      <w:bCs/>
                      <w:color w:val="auto"/>
                      <w:sz w:val="21"/>
                      <w:szCs w:val="21"/>
                      <w:highlight w:val="none"/>
                      <w:u w:val="none" w:color="auto"/>
                      <w:lang w:val="en-US" w:eastAsia="zh-CN"/>
                    </w:rPr>
                    <w:t>生产废水经生产废水处理站预处理，经预处理达标后通过企业总排口排入市政污水</w:t>
                  </w:r>
                  <w:r>
                    <w:rPr>
                      <w:rFonts w:hint="eastAsia" w:cs="Times New Roman"/>
                      <w:bCs/>
                      <w:color w:val="auto"/>
                      <w:sz w:val="21"/>
                      <w:szCs w:val="21"/>
                      <w:highlight w:val="none"/>
                      <w:u w:val="none" w:color="auto"/>
                      <w:lang w:val="en-US" w:eastAsia="zh-CN"/>
                    </w:rPr>
                    <w:t>管网</w:t>
                  </w:r>
                  <w:r>
                    <w:rPr>
                      <w:rFonts w:hint="default" w:ascii="Times New Roman" w:hAnsi="Times New Roman" w:eastAsia="宋体" w:cs="Times New Roman"/>
                      <w:bCs/>
                      <w:color w:val="auto"/>
                      <w:sz w:val="21"/>
                      <w:szCs w:val="21"/>
                      <w:highlight w:val="none"/>
                      <w:u w:val="none" w:color="auto"/>
                      <w:lang w:val="en-US" w:eastAsia="zh-CN"/>
                    </w:rPr>
                    <w:t>，</w:t>
                  </w:r>
                  <w:r>
                    <w:rPr>
                      <w:rFonts w:hint="default" w:ascii="Times New Roman" w:hAnsi="Times New Roman" w:eastAsia="宋体" w:cs="Times New Roman"/>
                      <w:bCs/>
                      <w:color w:val="auto"/>
                      <w:sz w:val="21"/>
                      <w:szCs w:val="21"/>
                      <w:highlight w:val="none"/>
                      <w:u w:val="none" w:color="auto"/>
                      <w:lang w:eastAsia="zh-CN"/>
                    </w:rPr>
                    <w:t>后汇</w:t>
                  </w:r>
                  <w:r>
                    <w:rPr>
                      <w:rFonts w:hint="default" w:ascii="Times New Roman" w:hAnsi="Times New Roman" w:eastAsia="宋体" w:cs="Times New Roman"/>
                      <w:bCs/>
                      <w:color w:val="auto"/>
                      <w:sz w:val="21"/>
                      <w:szCs w:val="21"/>
                      <w:highlight w:val="none"/>
                      <w:u w:val="none" w:color="auto"/>
                    </w:rPr>
                    <w:t>进入</w:t>
                  </w:r>
                  <w:r>
                    <w:rPr>
                      <w:rFonts w:hint="default" w:ascii="Times New Roman" w:hAnsi="Times New Roman" w:eastAsia="宋体" w:cs="Times New Roman"/>
                      <w:bCs/>
                      <w:color w:val="auto"/>
                      <w:sz w:val="21"/>
                      <w:szCs w:val="21"/>
                      <w:highlight w:val="none"/>
                      <w:u w:val="none" w:color="auto"/>
                      <w:lang w:eastAsia="zh-CN"/>
                    </w:rPr>
                    <w:t>湖南城陵矶临港产业新区污水处理厂</w:t>
                  </w:r>
                  <w:r>
                    <w:rPr>
                      <w:rFonts w:hint="default" w:ascii="Times New Roman" w:hAnsi="Times New Roman" w:eastAsia="宋体" w:cs="Times New Roman"/>
                      <w:bCs/>
                      <w:color w:val="auto"/>
                      <w:sz w:val="21"/>
                      <w:szCs w:val="21"/>
                      <w:highlight w:val="none"/>
                      <w:u w:val="none" w:color="auto"/>
                    </w:rPr>
                    <w:t>深度处理，达到《城镇污水处理厂污染物排放标准》(GB18918-2002)一级A标准后</w:t>
                  </w:r>
                  <w:r>
                    <w:rPr>
                      <w:rFonts w:hint="eastAsia" w:cs="Times New Roman"/>
                      <w:bCs/>
                      <w:color w:val="auto"/>
                      <w:sz w:val="21"/>
                      <w:szCs w:val="21"/>
                      <w:highlight w:val="none"/>
                      <w:u w:val="none" w:color="auto"/>
                      <w:lang w:eastAsia="zh-CN"/>
                    </w:rPr>
                    <w:t>外排</w:t>
                  </w:r>
                  <w:r>
                    <w:rPr>
                      <w:rFonts w:hint="default" w:ascii="Times New Roman" w:hAnsi="Times New Roman" w:eastAsia="宋体" w:cs="Times New Roman"/>
                      <w:bCs/>
                      <w:color w:val="auto"/>
                      <w:sz w:val="21"/>
                      <w:szCs w:val="21"/>
                      <w:highlight w:val="none"/>
                      <w:u w:val="none" w:color="auto"/>
                    </w:rPr>
                    <w:t>至象骨港，最终排入</w:t>
                  </w:r>
                  <w:r>
                    <w:rPr>
                      <w:rFonts w:hint="default" w:ascii="Times New Roman" w:hAnsi="Times New Roman" w:eastAsia="宋体" w:cs="Times New Roman"/>
                      <w:bCs/>
                      <w:color w:val="auto"/>
                      <w:sz w:val="21"/>
                      <w:szCs w:val="21"/>
                      <w:u w:val="none" w:color="auto"/>
                    </w:rPr>
                    <w:t>长江。</w:t>
                  </w:r>
                </w:p>
                <w:p w14:paraId="1FE56DD4">
                  <w:pPr>
                    <w:jc w:val="center"/>
                    <w:rPr>
                      <w:rFonts w:hint="default" w:ascii="Times New Roman" w:hAnsi="Times New Roman" w:eastAsia="宋体" w:cs="Times New Roman"/>
                      <w:bCs/>
                      <w:color w:val="auto"/>
                      <w:sz w:val="21"/>
                      <w:szCs w:val="21"/>
                      <w:u w:val="none" w:color="auto"/>
                    </w:rPr>
                  </w:pPr>
                  <w:r>
                    <w:rPr>
                      <w:rFonts w:hint="default" w:ascii="Times New Roman" w:hAnsi="Times New Roman" w:eastAsia="宋体" w:cs="Times New Roman"/>
                      <w:bCs/>
                      <w:color w:val="auto"/>
                      <w:sz w:val="21"/>
                      <w:szCs w:val="21"/>
                      <w:u w:val="none" w:color="auto"/>
                    </w:rPr>
                    <w:t>项目废气经采取措施后均可达标排放，项目固体废物及危险废物均可得到有效处置，</w:t>
                  </w:r>
                  <w:r>
                    <w:rPr>
                      <w:rFonts w:hint="eastAsia" w:cs="Times New Roman"/>
                      <w:bCs/>
                      <w:color w:val="auto"/>
                      <w:sz w:val="21"/>
                      <w:szCs w:val="21"/>
                      <w:u w:val="none" w:color="auto"/>
                      <w:lang w:val="en-US" w:eastAsia="zh-CN"/>
                    </w:rPr>
                    <w:t>对</w:t>
                  </w:r>
                  <w:r>
                    <w:rPr>
                      <w:rFonts w:hint="default" w:ascii="Times New Roman" w:hAnsi="Times New Roman" w:eastAsia="宋体" w:cs="Times New Roman"/>
                      <w:bCs/>
                      <w:color w:val="auto"/>
                      <w:sz w:val="21"/>
                      <w:szCs w:val="21"/>
                      <w:u w:val="none" w:color="auto"/>
                    </w:rPr>
                    <w:t>周边环境影响较小。</w:t>
                  </w:r>
                </w:p>
              </w:tc>
              <w:tc>
                <w:tcPr>
                  <w:tcW w:w="248" w:type="pct"/>
                  <w:tcBorders>
                    <w:tl2br w:val="nil"/>
                    <w:tr2bl w:val="nil"/>
                  </w:tcBorders>
                  <w:noWrap w:val="0"/>
                  <w:vAlign w:val="center"/>
                </w:tcPr>
                <w:p w14:paraId="697E9D95">
                  <w:pPr>
                    <w:jc w:val="center"/>
                    <w:rPr>
                      <w:rFonts w:hint="default" w:ascii="Times New Roman" w:hAnsi="Times New Roman" w:eastAsia="宋体" w:cs="Times New Roman"/>
                      <w:bCs/>
                      <w:color w:val="auto"/>
                      <w:sz w:val="21"/>
                      <w:szCs w:val="21"/>
                      <w:u w:val="none" w:color="auto"/>
                    </w:rPr>
                  </w:pPr>
                  <w:r>
                    <w:rPr>
                      <w:rFonts w:hint="default" w:ascii="Times New Roman" w:hAnsi="Times New Roman" w:eastAsia="宋体" w:cs="Times New Roman"/>
                      <w:bCs/>
                      <w:color w:val="auto"/>
                      <w:sz w:val="21"/>
                      <w:szCs w:val="21"/>
                      <w:u w:val="none" w:color="auto"/>
                    </w:rPr>
                    <w:t>符合</w:t>
                  </w:r>
                </w:p>
              </w:tc>
            </w:tr>
            <w:tr w14:paraId="7037CD4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9" w:type="pct"/>
                  <w:tcBorders>
                    <w:tl2br w:val="nil"/>
                    <w:tr2bl w:val="nil"/>
                  </w:tcBorders>
                  <w:noWrap w:val="0"/>
                  <w:vAlign w:val="center"/>
                </w:tcPr>
                <w:p w14:paraId="37B58285">
                  <w:pPr>
                    <w:jc w:val="center"/>
                    <w:rPr>
                      <w:rFonts w:hint="default" w:ascii="Times New Roman" w:hAnsi="Times New Roman" w:eastAsia="宋体" w:cs="Times New Roman"/>
                      <w:bCs/>
                      <w:color w:val="auto"/>
                      <w:sz w:val="21"/>
                      <w:szCs w:val="21"/>
                      <w:u w:val="none" w:color="auto"/>
                    </w:rPr>
                  </w:pPr>
                  <w:r>
                    <w:rPr>
                      <w:rFonts w:hint="default" w:ascii="Times New Roman" w:hAnsi="Times New Roman" w:eastAsia="宋体" w:cs="Times New Roman"/>
                      <w:bCs/>
                      <w:color w:val="auto"/>
                      <w:sz w:val="21"/>
                      <w:szCs w:val="21"/>
                      <w:u w:val="none" w:color="auto"/>
                    </w:rPr>
                    <w:t>4</w:t>
                  </w:r>
                </w:p>
              </w:tc>
              <w:tc>
                <w:tcPr>
                  <w:tcW w:w="2575" w:type="pct"/>
                  <w:tcBorders>
                    <w:tl2br w:val="nil"/>
                    <w:tr2bl w:val="nil"/>
                  </w:tcBorders>
                  <w:noWrap w:val="0"/>
                  <w:vAlign w:val="center"/>
                </w:tcPr>
                <w:p w14:paraId="0FE7A22A">
                  <w:pPr>
                    <w:jc w:val="center"/>
                    <w:rPr>
                      <w:rFonts w:hint="default" w:ascii="Times New Roman" w:hAnsi="Times New Roman" w:eastAsia="宋体" w:cs="Times New Roman"/>
                      <w:bCs/>
                      <w:color w:val="auto"/>
                      <w:sz w:val="21"/>
                      <w:szCs w:val="21"/>
                      <w:u w:val="none" w:color="auto"/>
                    </w:rPr>
                  </w:pPr>
                  <w:r>
                    <w:rPr>
                      <w:rFonts w:hint="default" w:ascii="Times New Roman" w:hAnsi="Times New Roman" w:eastAsia="宋体" w:cs="Times New Roman"/>
                      <w:bCs/>
                      <w:color w:val="auto"/>
                      <w:sz w:val="21"/>
                      <w:szCs w:val="21"/>
                      <w:u w:val="none" w:color="auto"/>
                    </w:rPr>
                    <w:t>完善园区环境监测体系。岳阳临港新区应严格落实跟踪评价提出的监测方案，鉴于其周边分布有湖南东洞庭湖国家级自然保护区、长江监利段四大家鱼国家级水产种质资源保护区、湖北长江新螺段白饔豚国家级自然保护区、湖南云溪白泥湖国家湿地公园、东洞庭湖江豚自然保护区等生态环境敏感点，应结合临港新区规划的功能分区、产业布局、重点企业分布、特征污染物的排放种类和状况等，建立健全区域环境空气、地表水、地下水、土壤等环境要素的监控体系，并按《报告书》提出的要求，对相应点位（断面）开展主要污染物及重金属跟踪监测。加强对临港新区重点排放单位、环保投诉较多企业的监督性监测。</w:t>
                  </w:r>
                </w:p>
              </w:tc>
              <w:tc>
                <w:tcPr>
                  <w:tcW w:w="1765" w:type="pct"/>
                  <w:tcBorders>
                    <w:tl2br w:val="nil"/>
                    <w:tr2bl w:val="nil"/>
                  </w:tcBorders>
                  <w:noWrap w:val="0"/>
                  <w:vAlign w:val="center"/>
                </w:tcPr>
                <w:p w14:paraId="6B1F82B6">
                  <w:pPr>
                    <w:jc w:val="center"/>
                    <w:rPr>
                      <w:rFonts w:hint="default" w:ascii="Times New Roman" w:hAnsi="Times New Roman" w:eastAsia="宋体" w:cs="Times New Roman"/>
                      <w:bCs/>
                      <w:color w:val="auto"/>
                      <w:sz w:val="21"/>
                      <w:szCs w:val="21"/>
                      <w:u w:val="none" w:color="auto"/>
                    </w:rPr>
                  </w:pPr>
                  <w:r>
                    <w:rPr>
                      <w:rFonts w:hint="default" w:ascii="Times New Roman" w:hAnsi="Times New Roman" w:eastAsia="宋体" w:cs="Times New Roman"/>
                      <w:bCs/>
                      <w:color w:val="auto"/>
                      <w:sz w:val="21"/>
                      <w:szCs w:val="21"/>
                      <w:u w:val="none" w:color="auto"/>
                    </w:rPr>
                    <w:t>本项目运营后，将按相关要求制订监测计划，并按计划落实日常监测。</w:t>
                  </w:r>
                </w:p>
              </w:tc>
              <w:tc>
                <w:tcPr>
                  <w:tcW w:w="248" w:type="pct"/>
                  <w:tcBorders>
                    <w:tl2br w:val="nil"/>
                    <w:tr2bl w:val="nil"/>
                  </w:tcBorders>
                  <w:noWrap w:val="0"/>
                  <w:vAlign w:val="center"/>
                </w:tcPr>
                <w:p w14:paraId="2BF0263E">
                  <w:pPr>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bCs/>
                      <w:color w:val="auto"/>
                      <w:sz w:val="21"/>
                      <w:szCs w:val="21"/>
                      <w:u w:val="none" w:color="auto"/>
                    </w:rPr>
                    <w:t>符合</w:t>
                  </w:r>
                </w:p>
              </w:tc>
            </w:tr>
            <w:tr w14:paraId="1B789CE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9" w:type="pct"/>
                  <w:tcBorders>
                    <w:tl2br w:val="nil"/>
                    <w:tr2bl w:val="nil"/>
                  </w:tcBorders>
                  <w:noWrap w:val="0"/>
                  <w:vAlign w:val="center"/>
                </w:tcPr>
                <w:p w14:paraId="7F388418">
                  <w:pPr>
                    <w:jc w:val="center"/>
                    <w:rPr>
                      <w:rFonts w:hint="default" w:ascii="Times New Roman" w:hAnsi="Times New Roman" w:eastAsia="宋体" w:cs="Times New Roman"/>
                      <w:bCs/>
                      <w:color w:val="auto"/>
                      <w:sz w:val="21"/>
                      <w:szCs w:val="21"/>
                      <w:u w:val="none" w:color="auto"/>
                    </w:rPr>
                  </w:pPr>
                  <w:r>
                    <w:rPr>
                      <w:rFonts w:hint="default" w:ascii="Times New Roman" w:hAnsi="Times New Roman" w:eastAsia="宋体" w:cs="Times New Roman"/>
                      <w:bCs/>
                      <w:color w:val="auto"/>
                      <w:sz w:val="21"/>
                      <w:szCs w:val="21"/>
                      <w:u w:val="none" w:color="auto"/>
                    </w:rPr>
                    <w:t>5</w:t>
                  </w:r>
                </w:p>
              </w:tc>
              <w:tc>
                <w:tcPr>
                  <w:tcW w:w="2575" w:type="pct"/>
                  <w:tcBorders>
                    <w:tl2br w:val="nil"/>
                    <w:tr2bl w:val="nil"/>
                  </w:tcBorders>
                  <w:noWrap w:val="0"/>
                  <w:vAlign w:val="center"/>
                </w:tcPr>
                <w:p w14:paraId="76EF86A7">
                  <w:pPr>
                    <w:jc w:val="center"/>
                    <w:rPr>
                      <w:rFonts w:hint="default" w:ascii="Times New Roman" w:hAnsi="Times New Roman" w:eastAsia="宋体" w:cs="Times New Roman"/>
                      <w:bCs/>
                      <w:color w:val="auto"/>
                      <w:sz w:val="21"/>
                      <w:szCs w:val="21"/>
                      <w:u w:val="none" w:color="auto"/>
                    </w:rPr>
                  </w:pPr>
                  <w:r>
                    <w:rPr>
                      <w:rFonts w:hint="default" w:ascii="Times New Roman" w:hAnsi="Times New Roman" w:eastAsia="宋体" w:cs="Times New Roman"/>
                      <w:bCs/>
                      <w:color w:val="auto"/>
                      <w:sz w:val="21"/>
                      <w:szCs w:val="21"/>
                      <w:u w:val="none" w:color="auto"/>
                    </w:rPr>
                    <w:t>健全园区环境风险防控体系。加强岳阳临港新区重要环境风险源管控，加强园区危险化学品储运的环境风险管理，严格落实应急响应联动机制，确保区域环境安全。</w:t>
                  </w:r>
                </w:p>
              </w:tc>
              <w:tc>
                <w:tcPr>
                  <w:tcW w:w="1765" w:type="pct"/>
                  <w:tcBorders>
                    <w:tl2br w:val="nil"/>
                    <w:tr2bl w:val="nil"/>
                  </w:tcBorders>
                  <w:noWrap w:val="0"/>
                  <w:vAlign w:val="center"/>
                </w:tcPr>
                <w:p w14:paraId="49B843B3">
                  <w:pPr>
                    <w:jc w:val="center"/>
                    <w:rPr>
                      <w:rFonts w:hint="default" w:ascii="Times New Roman" w:hAnsi="Times New Roman" w:eastAsia="宋体" w:cs="Times New Roman"/>
                      <w:bCs/>
                      <w:color w:val="auto"/>
                      <w:sz w:val="21"/>
                      <w:szCs w:val="21"/>
                      <w:u w:val="none" w:color="auto"/>
                    </w:rPr>
                  </w:pPr>
                  <w:r>
                    <w:rPr>
                      <w:rFonts w:hint="default" w:ascii="Times New Roman" w:hAnsi="Times New Roman" w:eastAsia="宋体" w:cs="Times New Roman"/>
                      <w:bCs/>
                      <w:color w:val="auto"/>
                      <w:sz w:val="21"/>
                      <w:szCs w:val="21"/>
                      <w:u w:val="none" w:color="auto"/>
                    </w:rPr>
                    <w:t>本项目投入运营后，将按要求</w:t>
                  </w:r>
                  <w:r>
                    <w:rPr>
                      <w:rFonts w:hint="default" w:ascii="Times New Roman" w:hAnsi="Times New Roman" w:eastAsia="宋体" w:cs="Times New Roman"/>
                      <w:bCs/>
                      <w:color w:val="auto"/>
                      <w:sz w:val="21"/>
                      <w:szCs w:val="21"/>
                      <w:u w:val="none" w:color="auto"/>
                      <w:lang w:val="en-US" w:eastAsia="zh-CN"/>
                    </w:rPr>
                    <w:t>进行</w:t>
                  </w:r>
                  <w:r>
                    <w:rPr>
                      <w:rFonts w:hint="default" w:ascii="Times New Roman" w:hAnsi="Times New Roman" w:eastAsia="宋体" w:cs="Times New Roman"/>
                      <w:bCs/>
                      <w:color w:val="auto"/>
                      <w:sz w:val="21"/>
                      <w:szCs w:val="21"/>
                      <w:u w:val="none" w:color="auto"/>
                    </w:rPr>
                    <w:t>突发环境事件应急预案</w:t>
                  </w:r>
                  <w:r>
                    <w:rPr>
                      <w:rFonts w:hint="default" w:ascii="Times New Roman" w:hAnsi="Times New Roman" w:eastAsia="宋体" w:cs="Times New Roman"/>
                      <w:bCs/>
                      <w:color w:val="auto"/>
                      <w:sz w:val="21"/>
                      <w:szCs w:val="21"/>
                      <w:u w:val="none" w:color="auto"/>
                      <w:lang w:val="en-US" w:eastAsia="zh-CN"/>
                    </w:rPr>
                    <w:t>修编</w:t>
                  </w:r>
                  <w:r>
                    <w:rPr>
                      <w:rFonts w:hint="default" w:ascii="Times New Roman" w:hAnsi="Times New Roman" w:eastAsia="宋体" w:cs="Times New Roman"/>
                      <w:bCs/>
                      <w:color w:val="auto"/>
                      <w:sz w:val="21"/>
                      <w:szCs w:val="21"/>
                      <w:u w:val="none" w:color="auto"/>
                    </w:rPr>
                    <w:t>，并与园区应急预案联动。</w:t>
                  </w:r>
                </w:p>
              </w:tc>
              <w:tc>
                <w:tcPr>
                  <w:tcW w:w="248" w:type="pct"/>
                  <w:tcBorders>
                    <w:tl2br w:val="nil"/>
                    <w:tr2bl w:val="nil"/>
                  </w:tcBorders>
                  <w:noWrap w:val="0"/>
                  <w:vAlign w:val="center"/>
                </w:tcPr>
                <w:p w14:paraId="0C3224B5">
                  <w:pPr>
                    <w:jc w:val="center"/>
                    <w:rPr>
                      <w:rFonts w:hint="default" w:ascii="Times New Roman" w:hAnsi="Times New Roman" w:eastAsia="宋体" w:cs="Times New Roman"/>
                      <w:bCs/>
                      <w:color w:val="auto"/>
                      <w:sz w:val="21"/>
                      <w:szCs w:val="21"/>
                      <w:u w:val="none" w:color="auto"/>
                    </w:rPr>
                  </w:pPr>
                  <w:r>
                    <w:rPr>
                      <w:rFonts w:hint="default" w:ascii="Times New Roman" w:hAnsi="Times New Roman" w:eastAsia="宋体" w:cs="Times New Roman"/>
                      <w:bCs/>
                      <w:color w:val="auto"/>
                      <w:sz w:val="21"/>
                      <w:szCs w:val="21"/>
                      <w:u w:val="none" w:color="auto"/>
                    </w:rPr>
                    <w:t>符合</w:t>
                  </w:r>
                </w:p>
              </w:tc>
            </w:tr>
            <w:tr w14:paraId="7E964CB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9" w:type="pct"/>
                  <w:tcBorders>
                    <w:tl2br w:val="nil"/>
                    <w:tr2bl w:val="nil"/>
                  </w:tcBorders>
                  <w:noWrap w:val="0"/>
                  <w:vAlign w:val="center"/>
                </w:tcPr>
                <w:p w14:paraId="05D8E0FE">
                  <w:pPr>
                    <w:jc w:val="center"/>
                    <w:rPr>
                      <w:rFonts w:hint="default" w:ascii="Times New Roman" w:hAnsi="Times New Roman" w:eastAsia="宋体" w:cs="Times New Roman"/>
                      <w:bCs/>
                      <w:color w:val="auto"/>
                      <w:sz w:val="21"/>
                      <w:szCs w:val="21"/>
                      <w:u w:val="none" w:color="auto"/>
                    </w:rPr>
                  </w:pPr>
                  <w:r>
                    <w:rPr>
                      <w:rFonts w:hint="default" w:ascii="Times New Roman" w:hAnsi="Times New Roman" w:eastAsia="宋体" w:cs="Times New Roman"/>
                      <w:bCs/>
                      <w:color w:val="auto"/>
                      <w:sz w:val="21"/>
                      <w:szCs w:val="21"/>
                      <w:u w:val="none" w:color="auto"/>
                    </w:rPr>
                    <w:t>6</w:t>
                  </w:r>
                </w:p>
              </w:tc>
              <w:tc>
                <w:tcPr>
                  <w:tcW w:w="2575" w:type="pct"/>
                  <w:tcBorders>
                    <w:tl2br w:val="nil"/>
                    <w:tr2bl w:val="nil"/>
                  </w:tcBorders>
                  <w:noWrap w:val="0"/>
                  <w:vAlign w:val="center"/>
                </w:tcPr>
                <w:p w14:paraId="5C76E662">
                  <w:pPr>
                    <w:jc w:val="center"/>
                    <w:rPr>
                      <w:rFonts w:hint="default" w:ascii="Times New Roman" w:hAnsi="Times New Roman" w:eastAsia="宋体" w:cs="Times New Roman"/>
                      <w:bCs/>
                      <w:color w:val="auto"/>
                      <w:sz w:val="21"/>
                      <w:szCs w:val="21"/>
                      <w:u w:val="none" w:color="auto"/>
                    </w:rPr>
                  </w:pPr>
                  <w:r>
                    <w:rPr>
                      <w:rFonts w:hint="default" w:ascii="Times New Roman" w:hAnsi="Times New Roman" w:eastAsia="宋体" w:cs="Times New Roman"/>
                      <w:bCs/>
                      <w:color w:val="auto"/>
                      <w:sz w:val="21"/>
                      <w:szCs w:val="21"/>
                      <w:u w:val="none" w:color="auto"/>
                    </w:rPr>
                    <w:t>加强对环境敏感点的保护。严格做好控规，杜绝在规划的工业用地上新增环境敏感目标、建设居民区。做好商业用地、居住用地周边的规划控制，在下一轮规划调整中应从提升指导性、可操作性的角度出发推动产业集中布局、降低环境影响，严格控制气型污染企业入驻，加强对现有企业的污染防治措施。按要求做好功能区及具体项目用地周边规划控制，岳阳临港新区应根据开发规划统筹制定拆迁安置方案，落实移民生产生活安置措施，防止移民再次安置和次生环境问题。</w:t>
                  </w:r>
                </w:p>
              </w:tc>
              <w:tc>
                <w:tcPr>
                  <w:tcW w:w="1765" w:type="pct"/>
                  <w:tcBorders>
                    <w:tl2br w:val="nil"/>
                    <w:tr2bl w:val="nil"/>
                  </w:tcBorders>
                  <w:noWrap w:val="0"/>
                  <w:vAlign w:val="center"/>
                </w:tcPr>
                <w:p w14:paraId="06929374">
                  <w:pPr>
                    <w:jc w:val="center"/>
                    <w:rPr>
                      <w:rFonts w:hint="default" w:ascii="Times New Roman" w:hAnsi="Times New Roman" w:eastAsia="宋体" w:cs="Times New Roman"/>
                      <w:bCs/>
                      <w:color w:val="auto"/>
                      <w:sz w:val="21"/>
                      <w:szCs w:val="21"/>
                      <w:u w:val="none" w:color="auto"/>
                    </w:rPr>
                  </w:pPr>
                  <w:r>
                    <w:rPr>
                      <w:rFonts w:hint="default" w:ascii="Times New Roman" w:hAnsi="Times New Roman" w:eastAsia="宋体" w:cs="Times New Roman"/>
                      <w:bCs/>
                      <w:color w:val="auto"/>
                      <w:sz w:val="21"/>
                      <w:szCs w:val="21"/>
                      <w:u w:val="none" w:color="auto"/>
                    </w:rPr>
                    <w:t>项目用地为</w:t>
                  </w:r>
                  <w:r>
                    <w:rPr>
                      <w:rFonts w:hint="default" w:ascii="Times New Roman" w:hAnsi="Times New Roman" w:eastAsia="宋体" w:cs="Times New Roman"/>
                      <w:bCs/>
                      <w:color w:val="auto"/>
                      <w:sz w:val="21"/>
                      <w:szCs w:val="21"/>
                      <w:u w:val="none" w:color="auto"/>
                      <w:lang w:eastAsia="zh-CN"/>
                    </w:rPr>
                    <w:t>二</w:t>
                  </w:r>
                  <w:r>
                    <w:rPr>
                      <w:rFonts w:hint="default" w:ascii="Times New Roman" w:hAnsi="Times New Roman" w:eastAsia="宋体" w:cs="Times New Roman"/>
                      <w:bCs/>
                      <w:color w:val="auto"/>
                      <w:sz w:val="21"/>
                      <w:szCs w:val="21"/>
                      <w:u w:val="none" w:color="auto"/>
                    </w:rPr>
                    <w:t>类工业用地，园区管委会同意项目入园。同时项目运营期将按要求落实各项污染防治措施，各类污染物经合理处理处置，废水、废气、噪声做到达标排放</w:t>
                  </w:r>
                  <w:r>
                    <w:rPr>
                      <w:rFonts w:hint="default" w:ascii="Times New Roman" w:hAnsi="Times New Roman" w:eastAsia="宋体" w:cs="Times New Roman"/>
                      <w:bCs/>
                      <w:color w:val="auto"/>
                      <w:sz w:val="21"/>
                      <w:szCs w:val="21"/>
                      <w:u w:val="none" w:color="auto"/>
                      <w:lang w:eastAsia="zh-CN"/>
                    </w:rPr>
                    <w:t>，</w:t>
                  </w:r>
                  <w:r>
                    <w:rPr>
                      <w:rFonts w:hint="default" w:ascii="Times New Roman" w:hAnsi="Times New Roman" w:eastAsia="宋体" w:cs="Times New Roman"/>
                      <w:bCs/>
                      <w:color w:val="auto"/>
                      <w:sz w:val="21"/>
                      <w:szCs w:val="21"/>
                      <w:u w:val="none" w:color="auto"/>
                      <w:lang w:val="en-US" w:eastAsia="zh-CN"/>
                    </w:rPr>
                    <w:t>最大程度减少对周边环境敏感点的影响</w:t>
                  </w:r>
                  <w:r>
                    <w:rPr>
                      <w:rFonts w:hint="default" w:ascii="Times New Roman" w:hAnsi="Times New Roman" w:eastAsia="宋体" w:cs="Times New Roman"/>
                      <w:bCs/>
                      <w:color w:val="auto"/>
                      <w:sz w:val="21"/>
                      <w:szCs w:val="21"/>
                      <w:u w:val="none" w:color="auto"/>
                    </w:rPr>
                    <w:t>。</w:t>
                  </w:r>
                </w:p>
              </w:tc>
              <w:tc>
                <w:tcPr>
                  <w:tcW w:w="248" w:type="pct"/>
                  <w:tcBorders>
                    <w:tl2br w:val="nil"/>
                    <w:tr2bl w:val="nil"/>
                  </w:tcBorders>
                  <w:noWrap w:val="0"/>
                  <w:vAlign w:val="center"/>
                </w:tcPr>
                <w:p w14:paraId="4FA91159">
                  <w:pPr>
                    <w:jc w:val="center"/>
                    <w:rPr>
                      <w:rFonts w:hint="default" w:ascii="Times New Roman" w:hAnsi="Times New Roman" w:eastAsia="宋体" w:cs="Times New Roman"/>
                      <w:bCs/>
                      <w:color w:val="auto"/>
                      <w:sz w:val="21"/>
                      <w:szCs w:val="21"/>
                      <w:u w:val="none" w:color="auto"/>
                    </w:rPr>
                  </w:pPr>
                  <w:r>
                    <w:rPr>
                      <w:rFonts w:hint="default" w:ascii="Times New Roman" w:hAnsi="Times New Roman" w:eastAsia="宋体" w:cs="Times New Roman"/>
                      <w:bCs/>
                      <w:color w:val="auto"/>
                      <w:sz w:val="21"/>
                      <w:szCs w:val="21"/>
                      <w:u w:val="none" w:color="auto"/>
                    </w:rPr>
                    <w:t>符合</w:t>
                  </w:r>
                </w:p>
              </w:tc>
            </w:tr>
            <w:tr w14:paraId="0D61518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9" w:type="pct"/>
                  <w:tcBorders>
                    <w:tl2br w:val="nil"/>
                    <w:tr2bl w:val="nil"/>
                  </w:tcBorders>
                  <w:noWrap w:val="0"/>
                  <w:vAlign w:val="center"/>
                </w:tcPr>
                <w:p w14:paraId="7815EFD7">
                  <w:pPr>
                    <w:jc w:val="center"/>
                    <w:rPr>
                      <w:rFonts w:hint="default" w:ascii="Times New Roman" w:hAnsi="Times New Roman" w:eastAsia="宋体" w:cs="Times New Roman"/>
                      <w:bCs/>
                      <w:color w:val="auto"/>
                      <w:sz w:val="21"/>
                      <w:szCs w:val="21"/>
                      <w:u w:val="none" w:color="auto"/>
                    </w:rPr>
                  </w:pPr>
                  <w:r>
                    <w:rPr>
                      <w:rFonts w:hint="default" w:ascii="Times New Roman" w:hAnsi="Times New Roman" w:eastAsia="宋体" w:cs="Times New Roman"/>
                      <w:bCs/>
                      <w:color w:val="auto"/>
                      <w:sz w:val="21"/>
                      <w:szCs w:val="21"/>
                      <w:u w:val="none" w:color="auto"/>
                    </w:rPr>
                    <w:t>7</w:t>
                  </w:r>
                </w:p>
              </w:tc>
              <w:tc>
                <w:tcPr>
                  <w:tcW w:w="2575" w:type="pct"/>
                  <w:tcBorders>
                    <w:tl2br w:val="nil"/>
                    <w:tr2bl w:val="nil"/>
                  </w:tcBorders>
                  <w:noWrap w:val="0"/>
                  <w:vAlign w:val="center"/>
                </w:tcPr>
                <w:p w14:paraId="1B9BEA34">
                  <w:pPr>
                    <w:jc w:val="center"/>
                    <w:rPr>
                      <w:rFonts w:hint="default" w:ascii="Times New Roman" w:hAnsi="Times New Roman" w:eastAsia="宋体" w:cs="Times New Roman"/>
                      <w:bCs/>
                      <w:color w:val="auto"/>
                      <w:sz w:val="21"/>
                      <w:szCs w:val="21"/>
                      <w:u w:val="none" w:color="auto"/>
                    </w:rPr>
                  </w:pPr>
                  <w:r>
                    <w:rPr>
                      <w:rFonts w:hint="default" w:ascii="Times New Roman" w:hAnsi="Times New Roman" w:eastAsia="宋体" w:cs="Times New Roman"/>
                      <w:bCs/>
                      <w:color w:val="auto"/>
                      <w:sz w:val="21"/>
                      <w:szCs w:val="21"/>
                      <w:u w:val="none" w:color="auto"/>
                    </w:rPr>
                    <w:t>做好园区后续开发过程中生态环境保护和水土保持。尽可能保留自然水体,施工期对土石方开挖、堆存及回填要实施围挡、护坡等措施，裸露地及时恢复植被，防止后续开发建设中的扬尘污染和水土流失。</w:t>
                  </w:r>
                </w:p>
              </w:tc>
              <w:tc>
                <w:tcPr>
                  <w:tcW w:w="1765" w:type="pct"/>
                  <w:tcBorders>
                    <w:tl2br w:val="nil"/>
                    <w:tr2bl w:val="nil"/>
                  </w:tcBorders>
                  <w:noWrap w:val="0"/>
                  <w:vAlign w:val="center"/>
                </w:tcPr>
                <w:p w14:paraId="1853F64A">
                  <w:pPr>
                    <w:jc w:val="center"/>
                    <w:rPr>
                      <w:rFonts w:hint="default" w:ascii="Times New Roman" w:hAnsi="Times New Roman" w:eastAsia="宋体" w:cs="Times New Roman"/>
                      <w:bCs/>
                      <w:color w:val="auto"/>
                      <w:sz w:val="21"/>
                      <w:szCs w:val="21"/>
                      <w:u w:val="none" w:color="auto"/>
                    </w:rPr>
                  </w:pPr>
                  <w:r>
                    <w:rPr>
                      <w:rFonts w:hint="default" w:ascii="Times New Roman" w:hAnsi="Times New Roman" w:eastAsia="宋体" w:cs="Times New Roman"/>
                      <w:bCs/>
                      <w:color w:val="auto"/>
                      <w:sz w:val="21"/>
                      <w:szCs w:val="21"/>
                      <w:u w:val="none" w:color="auto"/>
                      <w:lang w:eastAsia="zh-CN"/>
                    </w:rPr>
                    <w:t>本项目</w:t>
                  </w:r>
                  <w:r>
                    <w:rPr>
                      <w:rFonts w:hint="default" w:ascii="Times New Roman" w:hAnsi="Times New Roman" w:eastAsia="宋体" w:cs="Times New Roman"/>
                      <w:color w:val="auto"/>
                      <w:sz w:val="21"/>
                      <w:szCs w:val="21"/>
                      <w:highlight w:val="none"/>
                      <w:u w:val="none" w:color="auto"/>
                    </w:rPr>
                    <w:t>位于</w:t>
                  </w:r>
                  <w:r>
                    <w:rPr>
                      <w:rFonts w:hint="default" w:ascii="Times New Roman" w:hAnsi="Times New Roman" w:eastAsia="宋体" w:cs="Times New Roman"/>
                      <w:color w:val="auto"/>
                      <w:sz w:val="21"/>
                      <w:szCs w:val="21"/>
                      <w:highlight w:val="none"/>
                      <w:u w:val="none" w:color="auto"/>
                      <w:lang w:val="en-US" w:eastAsia="zh-CN"/>
                    </w:rPr>
                    <w:t>湖南中创空天新材料股份有限公司现有厂区内以及湖南城陵矶临港高新产业园内已建标准厂房</w:t>
                  </w:r>
                  <w:r>
                    <w:rPr>
                      <w:rFonts w:hint="default" w:ascii="Times New Roman" w:hAnsi="Times New Roman" w:eastAsia="宋体" w:cs="Times New Roman"/>
                      <w:bCs/>
                      <w:color w:val="auto"/>
                      <w:sz w:val="21"/>
                      <w:szCs w:val="21"/>
                      <w:u w:val="none" w:color="auto"/>
                      <w:lang w:val="en-US" w:eastAsia="zh-CN"/>
                    </w:rPr>
                    <w:t>，</w:t>
                  </w:r>
                  <w:r>
                    <w:rPr>
                      <w:rFonts w:hint="default" w:ascii="Times New Roman" w:hAnsi="Times New Roman" w:eastAsia="宋体" w:cs="Times New Roman"/>
                      <w:bCs/>
                      <w:color w:val="auto"/>
                      <w:sz w:val="21"/>
                      <w:szCs w:val="21"/>
                      <w:u w:val="none" w:color="auto"/>
                      <w:lang w:eastAsia="zh-CN"/>
                    </w:rPr>
                    <w:t>建设工程量</w:t>
                  </w:r>
                  <w:r>
                    <w:rPr>
                      <w:rFonts w:hint="default" w:ascii="Times New Roman" w:hAnsi="Times New Roman" w:eastAsia="宋体" w:cs="Times New Roman"/>
                      <w:bCs/>
                      <w:color w:val="auto"/>
                      <w:sz w:val="21"/>
                      <w:szCs w:val="21"/>
                      <w:u w:val="none" w:color="auto"/>
                      <w:lang w:val="en-US" w:eastAsia="zh-CN"/>
                    </w:rPr>
                    <w:t>很</w:t>
                  </w:r>
                  <w:r>
                    <w:rPr>
                      <w:rFonts w:hint="default" w:ascii="Times New Roman" w:hAnsi="Times New Roman" w:eastAsia="宋体" w:cs="Times New Roman"/>
                      <w:bCs/>
                      <w:color w:val="auto"/>
                      <w:sz w:val="21"/>
                      <w:szCs w:val="21"/>
                      <w:u w:val="none" w:color="auto"/>
                      <w:lang w:eastAsia="zh-CN"/>
                    </w:rPr>
                    <w:t>小，</w:t>
                  </w:r>
                  <w:r>
                    <w:rPr>
                      <w:rFonts w:hint="default" w:ascii="Times New Roman" w:hAnsi="Times New Roman" w:eastAsia="宋体" w:cs="Times New Roman"/>
                      <w:bCs/>
                      <w:color w:val="auto"/>
                      <w:sz w:val="21"/>
                      <w:szCs w:val="21"/>
                      <w:u w:val="none" w:color="auto"/>
                      <w:lang w:val="en-US" w:eastAsia="zh-CN"/>
                    </w:rPr>
                    <w:t>仅对现有车间或厂房进行改造、安装设备</w:t>
                  </w:r>
                  <w:r>
                    <w:rPr>
                      <w:rFonts w:hint="default" w:ascii="Times New Roman" w:hAnsi="Times New Roman" w:eastAsia="宋体" w:cs="Times New Roman"/>
                      <w:bCs/>
                      <w:color w:val="auto"/>
                      <w:sz w:val="21"/>
                      <w:szCs w:val="21"/>
                      <w:u w:val="none" w:color="auto"/>
                    </w:rPr>
                    <w:t>。</w:t>
                  </w:r>
                </w:p>
              </w:tc>
              <w:tc>
                <w:tcPr>
                  <w:tcW w:w="248" w:type="pct"/>
                  <w:tcBorders>
                    <w:tl2br w:val="nil"/>
                    <w:tr2bl w:val="nil"/>
                  </w:tcBorders>
                  <w:noWrap w:val="0"/>
                  <w:vAlign w:val="center"/>
                </w:tcPr>
                <w:p w14:paraId="7F625435">
                  <w:pPr>
                    <w:jc w:val="center"/>
                    <w:rPr>
                      <w:rFonts w:hint="default" w:ascii="Times New Roman" w:hAnsi="Times New Roman" w:eastAsia="宋体" w:cs="Times New Roman"/>
                      <w:bCs/>
                      <w:color w:val="auto"/>
                      <w:sz w:val="21"/>
                      <w:szCs w:val="21"/>
                      <w:u w:val="none" w:color="auto"/>
                    </w:rPr>
                  </w:pPr>
                  <w:r>
                    <w:rPr>
                      <w:rFonts w:hint="default" w:ascii="Times New Roman" w:hAnsi="Times New Roman" w:eastAsia="宋体" w:cs="Times New Roman"/>
                      <w:bCs/>
                      <w:color w:val="auto"/>
                      <w:sz w:val="21"/>
                      <w:szCs w:val="21"/>
                      <w:u w:val="none" w:color="auto"/>
                    </w:rPr>
                    <w:t>符合</w:t>
                  </w:r>
                </w:p>
              </w:tc>
            </w:tr>
          </w:tbl>
          <w:p w14:paraId="50F10A81">
            <w:pPr>
              <w:autoSpaceDE w:val="0"/>
              <w:autoSpaceDN w:val="0"/>
              <w:spacing w:line="360" w:lineRule="auto"/>
              <w:ind w:firstLine="480" w:firstLineChars="200"/>
              <w:contextualSpacing/>
              <w:rPr>
                <w:rFonts w:hint="default" w:ascii="Times New Roman" w:hAnsi="Times New Roman" w:eastAsia="宋体" w:cs="Times New Roman"/>
                <w:color w:val="auto"/>
                <w:kern w:val="21"/>
                <w:sz w:val="24"/>
                <w:szCs w:val="24"/>
                <w:u w:val="none" w:color="auto"/>
                <w:lang w:eastAsia="zh-CN"/>
              </w:rPr>
            </w:pPr>
            <w:r>
              <w:rPr>
                <w:rFonts w:hint="default" w:ascii="Times New Roman" w:hAnsi="Times New Roman" w:eastAsia="宋体" w:cs="Times New Roman"/>
                <w:color w:val="auto"/>
                <w:sz w:val="24"/>
                <w:szCs w:val="24"/>
                <w:u w:val="none" w:color="auto"/>
                <w:lang w:val="en-US" w:eastAsia="zh-CN"/>
              </w:rPr>
              <w:t>综上分析，本项目符合</w:t>
            </w:r>
            <w:r>
              <w:rPr>
                <w:rFonts w:hint="default" w:ascii="Times New Roman" w:hAnsi="Times New Roman" w:eastAsia="宋体" w:cs="Times New Roman"/>
                <w:color w:val="auto"/>
                <w:sz w:val="24"/>
                <w:szCs w:val="24"/>
                <w:u w:val="none" w:color="auto"/>
                <w:lang w:eastAsia="zh-CN"/>
              </w:rPr>
              <w:t>湖南城陵矶临港产业新区行业准入及准入</w:t>
            </w:r>
            <w:r>
              <w:rPr>
                <w:rFonts w:hint="default" w:ascii="Times New Roman" w:hAnsi="Times New Roman" w:eastAsia="宋体" w:cs="Times New Roman"/>
                <w:color w:val="auto"/>
                <w:sz w:val="24"/>
                <w:szCs w:val="24"/>
                <w:u w:val="none" w:color="auto"/>
                <w:lang w:val="en-US" w:eastAsia="zh-CN"/>
              </w:rPr>
              <w:t>要求</w:t>
            </w:r>
            <w:r>
              <w:rPr>
                <w:rFonts w:hint="default" w:ascii="Times New Roman" w:hAnsi="Times New Roman" w:eastAsia="宋体" w:cs="Times New Roman"/>
                <w:color w:val="auto"/>
                <w:sz w:val="24"/>
                <w:szCs w:val="24"/>
                <w:u w:val="none" w:color="auto"/>
                <w:lang w:eastAsia="zh-CN"/>
              </w:rPr>
              <w:t>。</w:t>
            </w:r>
          </w:p>
        </w:tc>
      </w:tr>
      <w:tr w14:paraId="2DAE722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950" w:type="dxa"/>
            <w:noWrap w:val="0"/>
            <w:vAlign w:val="center"/>
          </w:tcPr>
          <w:p w14:paraId="6E44E3FF">
            <w:pPr>
              <w:autoSpaceDE w:val="0"/>
              <w:autoSpaceDN w:val="0"/>
              <w:adjustRightInd w:val="0"/>
              <w:snapToGrid w:val="0"/>
              <w:jc w:val="center"/>
              <w:rPr>
                <w:rFonts w:hint="default" w:ascii="Times New Roman" w:hAnsi="Times New Roman" w:eastAsia="宋体" w:cs="Times New Roman"/>
                <w:color w:val="auto"/>
                <w:kern w:val="0"/>
                <w:sz w:val="24"/>
                <w:szCs w:val="24"/>
                <w:u w:val="none" w:color="auto"/>
              </w:rPr>
            </w:pPr>
            <w:r>
              <w:rPr>
                <w:rFonts w:hint="default" w:ascii="Times New Roman" w:hAnsi="Times New Roman" w:eastAsia="宋体" w:cs="Times New Roman"/>
                <w:color w:val="auto"/>
                <w:kern w:val="0"/>
                <w:sz w:val="24"/>
                <w:szCs w:val="24"/>
                <w:u w:val="none" w:color="auto"/>
              </w:rPr>
              <w:t>其他符合性分析</w:t>
            </w:r>
          </w:p>
        </w:tc>
        <w:tc>
          <w:tcPr>
            <w:tcW w:w="6920" w:type="dxa"/>
            <w:gridSpan w:val="3"/>
            <w:noWrap w:val="0"/>
            <w:vAlign w:val="center"/>
          </w:tcPr>
          <w:p w14:paraId="6F2BB14E">
            <w:pPr>
              <w:autoSpaceDE w:val="0"/>
              <w:autoSpaceDN w:val="0"/>
              <w:spacing w:line="360" w:lineRule="auto"/>
              <w:jc w:val="left"/>
              <w:rPr>
                <w:rFonts w:hint="default" w:ascii="Times New Roman" w:hAnsi="Times New Roman" w:eastAsia="宋体" w:cs="Times New Roman"/>
                <w:b/>
                <w:bCs/>
                <w:color w:val="auto"/>
                <w:sz w:val="24"/>
                <w:szCs w:val="24"/>
                <w:u w:val="none" w:color="auto"/>
              </w:rPr>
            </w:pPr>
            <w:r>
              <w:rPr>
                <w:rFonts w:hint="default" w:ascii="Times New Roman" w:hAnsi="Times New Roman" w:eastAsia="宋体" w:cs="Times New Roman"/>
                <w:b/>
                <w:bCs/>
                <w:color w:val="auto"/>
                <w:sz w:val="24"/>
                <w:szCs w:val="24"/>
                <w:u w:val="none" w:color="auto"/>
              </w:rPr>
              <w:t>一、项目产业政策</w:t>
            </w:r>
            <w:r>
              <w:rPr>
                <w:rFonts w:hint="default" w:ascii="Times New Roman" w:hAnsi="Times New Roman" w:eastAsia="宋体" w:cs="Times New Roman"/>
                <w:b/>
                <w:bCs/>
                <w:color w:val="auto"/>
                <w:kern w:val="0"/>
                <w:sz w:val="24"/>
                <w:szCs w:val="24"/>
                <w:u w:val="none" w:color="auto"/>
              </w:rPr>
              <w:t>符合性分析</w:t>
            </w:r>
          </w:p>
          <w:p w14:paraId="6404C078">
            <w:pPr>
              <w:spacing w:line="360" w:lineRule="auto"/>
              <w:ind w:firstLine="480" w:firstLineChars="200"/>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highlight w:val="none"/>
                <w:u w:val="none" w:color="auto"/>
                <w:lang w:eastAsia="zh-CN"/>
              </w:rPr>
              <w:t>本项目属于</w:t>
            </w:r>
            <w:r>
              <w:rPr>
                <w:rFonts w:hint="default" w:ascii="Times New Roman" w:hAnsi="Times New Roman" w:eastAsia="宋体" w:cs="Times New Roman"/>
                <w:color w:val="auto"/>
                <w:sz w:val="24"/>
                <w:szCs w:val="24"/>
                <w:highlight w:val="none"/>
                <w:u w:val="none" w:color="auto"/>
                <w:lang w:val="en-US" w:eastAsia="zh-CN"/>
              </w:rPr>
              <w:t>C3670  汽车零部件及配件制造、C3240  有色金属合金制造、C3392  有色金属铸造</w:t>
            </w:r>
            <w:r>
              <w:rPr>
                <w:rFonts w:hint="default" w:ascii="Times New Roman" w:hAnsi="Times New Roman" w:eastAsia="宋体" w:cs="Times New Roman"/>
                <w:color w:val="auto"/>
                <w:sz w:val="24"/>
                <w:szCs w:val="24"/>
                <w:highlight w:val="none"/>
                <w:u w:val="none" w:color="auto"/>
                <w:lang w:eastAsia="zh-CN"/>
              </w:rPr>
              <w:t>，</w:t>
            </w:r>
            <w:r>
              <w:rPr>
                <w:rFonts w:hint="default" w:ascii="Times New Roman" w:hAnsi="Times New Roman" w:eastAsia="宋体" w:cs="Times New Roman"/>
                <w:color w:val="auto"/>
                <w:sz w:val="24"/>
                <w:szCs w:val="24"/>
                <w:highlight w:val="none"/>
                <w:u w:val="none" w:color="auto"/>
                <w:lang w:val="en-US" w:eastAsia="zh-CN"/>
              </w:rPr>
              <w:t>项目有色合金制造采用单质金属进行混配，使用能源为生物质且配套</w:t>
            </w:r>
            <w:r>
              <w:rPr>
                <w:rFonts w:hint="default" w:ascii="Times New Roman" w:hAnsi="Times New Roman" w:eastAsia="宋体" w:cs="Times New Roman"/>
                <w:color w:val="auto"/>
                <w:sz w:val="24"/>
                <w:szCs w:val="24"/>
                <w:u w:val="none" w:color="auto"/>
                <w:lang w:val="en-US" w:eastAsia="zh-CN"/>
              </w:rPr>
              <w:t>废气处理措施（烟气冷却+多管重力除尘+布袋除尘），</w:t>
            </w:r>
            <w:r>
              <w:rPr>
                <w:rFonts w:hint="default" w:ascii="Times New Roman" w:hAnsi="Times New Roman" w:eastAsia="宋体" w:cs="Times New Roman"/>
                <w:color w:val="auto"/>
                <w:kern w:val="0"/>
                <w:sz w:val="24"/>
                <w:szCs w:val="24"/>
                <w:highlight w:val="none"/>
                <w:u w:val="none" w:color="auto"/>
              </w:rPr>
              <w:t>对照</w:t>
            </w:r>
            <w:bookmarkStart w:id="10" w:name="_Hlk77012176"/>
            <w:r>
              <w:rPr>
                <w:rFonts w:hint="default" w:ascii="Times New Roman" w:hAnsi="Times New Roman" w:eastAsia="宋体" w:cs="Times New Roman"/>
                <w:color w:val="auto"/>
                <w:kern w:val="0"/>
                <w:sz w:val="24"/>
                <w:szCs w:val="24"/>
                <w:highlight w:val="none"/>
                <w:u w:val="none" w:color="auto"/>
              </w:rPr>
              <w:t>《产业结构调整指导目录（2024年本）》，本项目不在限制类和淘汰类产业之列</w:t>
            </w:r>
            <w:r>
              <w:rPr>
                <w:rFonts w:hint="default" w:ascii="Times New Roman" w:hAnsi="Times New Roman" w:eastAsia="宋体" w:cs="Times New Roman"/>
                <w:color w:val="auto"/>
                <w:kern w:val="0"/>
                <w:sz w:val="24"/>
                <w:szCs w:val="24"/>
                <w:highlight w:val="none"/>
                <w:u w:val="none" w:color="auto"/>
                <w:lang w:val="en-US" w:eastAsia="zh-CN"/>
              </w:rPr>
              <w:t>；</w:t>
            </w:r>
            <w:r>
              <w:rPr>
                <w:rFonts w:hint="default" w:ascii="Times New Roman" w:hAnsi="Times New Roman" w:eastAsia="宋体" w:cs="Times New Roman"/>
                <w:color w:val="auto"/>
                <w:kern w:val="0"/>
                <w:sz w:val="24"/>
                <w:szCs w:val="24"/>
                <w:highlight w:val="none"/>
                <w:u w:val="none" w:color="auto"/>
              </w:rPr>
              <w:t>不在《市场准入负面清单（2022年版）》中</w:t>
            </w:r>
            <w:bookmarkEnd w:id="10"/>
            <w:r>
              <w:rPr>
                <w:rFonts w:hint="default" w:ascii="Times New Roman" w:hAnsi="Times New Roman" w:eastAsia="宋体" w:cs="Times New Roman"/>
                <w:color w:val="auto"/>
                <w:kern w:val="0"/>
                <w:sz w:val="24"/>
                <w:szCs w:val="24"/>
                <w:highlight w:val="none"/>
                <w:u w:val="none" w:color="auto"/>
                <w:lang w:eastAsia="zh-CN"/>
              </w:rPr>
              <w:t>，</w:t>
            </w:r>
            <w:r>
              <w:rPr>
                <w:rFonts w:hint="default" w:ascii="Times New Roman" w:hAnsi="Times New Roman" w:eastAsia="宋体" w:cs="Times New Roman"/>
                <w:color w:val="auto"/>
                <w:kern w:val="0"/>
                <w:sz w:val="24"/>
                <w:szCs w:val="24"/>
                <w:highlight w:val="none"/>
                <w:u w:val="none" w:color="auto"/>
                <w:lang w:val="en-US" w:eastAsia="zh-CN"/>
              </w:rPr>
              <w:t>项目建设符合国家当前产业政策</w:t>
            </w:r>
            <w:r>
              <w:rPr>
                <w:rFonts w:hint="default" w:ascii="Times New Roman" w:hAnsi="Times New Roman" w:eastAsia="宋体" w:cs="Times New Roman"/>
                <w:color w:val="auto"/>
                <w:sz w:val="24"/>
                <w:szCs w:val="24"/>
                <w:u w:val="none" w:color="auto"/>
              </w:rPr>
              <w:t>。</w:t>
            </w:r>
          </w:p>
          <w:p w14:paraId="29DDDD7A">
            <w:pPr>
              <w:autoSpaceDE w:val="0"/>
              <w:autoSpaceDN w:val="0"/>
              <w:spacing w:line="360" w:lineRule="auto"/>
              <w:jc w:val="left"/>
              <w:rPr>
                <w:rFonts w:hint="default" w:ascii="Times New Roman" w:hAnsi="Times New Roman" w:eastAsia="宋体" w:cs="Times New Roman"/>
                <w:b/>
                <w:bCs/>
                <w:color w:val="auto"/>
                <w:sz w:val="24"/>
                <w:szCs w:val="24"/>
                <w:u w:val="none" w:color="auto"/>
              </w:rPr>
            </w:pPr>
            <w:r>
              <w:rPr>
                <w:rFonts w:hint="default" w:ascii="Times New Roman" w:hAnsi="Times New Roman" w:eastAsia="宋体" w:cs="Times New Roman"/>
                <w:b/>
                <w:bCs/>
                <w:color w:val="auto"/>
                <w:sz w:val="24"/>
                <w:szCs w:val="24"/>
                <w:u w:val="none" w:color="auto"/>
              </w:rPr>
              <w:t>二、项目选址合理</w:t>
            </w:r>
            <w:r>
              <w:rPr>
                <w:rFonts w:hint="default" w:ascii="Times New Roman" w:hAnsi="Times New Roman" w:eastAsia="宋体" w:cs="Times New Roman"/>
                <w:b/>
                <w:bCs/>
                <w:color w:val="auto"/>
                <w:kern w:val="0"/>
                <w:sz w:val="24"/>
                <w:szCs w:val="24"/>
                <w:u w:val="none" w:color="auto"/>
              </w:rPr>
              <w:t>性分析</w:t>
            </w:r>
          </w:p>
          <w:p w14:paraId="15EDF8E7">
            <w:pPr>
              <w:spacing w:line="360" w:lineRule="auto"/>
              <w:ind w:firstLine="480" w:firstLineChars="200"/>
              <w:rPr>
                <w:rFonts w:hint="default" w:ascii="Times New Roman" w:hAnsi="Times New Roman" w:eastAsia="宋体" w:cs="Times New Roman"/>
                <w:color w:val="auto"/>
                <w:sz w:val="24"/>
                <w:szCs w:val="24"/>
                <w:highlight w:val="none"/>
                <w:u w:val="none" w:color="auto"/>
                <w:lang w:val="en-US" w:eastAsia="zh-CN"/>
              </w:rPr>
            </w:pPr>
            <w:r>
              <w:rPr>
                <w:rFonts w:hint="default" w:ascii="Times New Roman" w:hAnsi="Times New Roman" w:eastAsia="宋体" w:cs="Times New Roman"/>
                <w:color w:val="auto"/>
                <w:sz w:val="24"/>
                <w:szCs w:val="24"/>
                <w:highlight w:val="none"/>
                <w:u w:val="none" w:color="auto"/>
                <w:lang w:val="en-US" w:eastAsia="zh-CN"/>
              </w:rPr>
              <w:t>建项目选址位于</w:t>
            </w:r>
            <w:r>
              <w:rPr>
                <w:rFonts w:hint="default" w:ascii="Times New Roman" w:hAnsi="Times New Roman" w:eastAsia="宋体" w:cs="Times New Roman"/>
                <w:color w:val="auto"/>
                <w:sz w:val="24"/>
                <w:szCs w:val="24"/>
                <w:highlight w:val="none"/>
                <w:u w:val="none" w:color="auto"/>
              </w:rPr>
              <w:t>岳阳临港高新技术产业开发区</w:t>
            </w:r>
            <w:r>
              <w:rPr>
                <w:rFonts w:hint="default" w:ascii="Times New Roman" w:hAnsi="Times New Roman" w:eastAsia="宋体" w:cs="Times New Roman"/>
                <w:color w:val="auto"/>
                <w:sz w:val="24"/>
                <w:szCs w:val="24"/>
                <w:highlight w:val="none"/>
                <w:u w:val="none" w:color="auto"/>
                <w:lang w:val="en-US" w:eastAsia="zh-CN"/>
              </w:rPr>
              <w:t>，区域相关公用配套设施(供电、给排水、供热、通讯等)管网和线路系统已经完善；园区严格把控入驻企业类型，入驻的企业以新材料、高技术服务、高端装备制造和电子信息等轻污染行业企业为主。本项目污染较小，物耗能耗较低，与周边环境不相冲突；项目符合“三线一单”、准入要求等环境管理政策要求。</w:t>
            </w:r>
          </w:p>
          <w:p w14:paraId="3E38A1A5">
            <w:pPr>
              <w:spacing w:line="360" w:lineRule="auto"/>
              <w:ind w:firstLine="480" w:firstLineChars="200"/>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highlight w:val="none"/>
                <w:u w:val="none" w:color="auto"/>
                <w:lang w:val="en-US" w:eastAsia="zh-CN"/>
              </w:rPr>
              <w:t>综上所述，本项目选址是基本可行的</w:t>
            </w:r>
            <w:r>
              <w:rPr>
                <w:rFonts w:hint="default" w:ascii="Times New Roman" w:hAnsi="Times New Roman" w:eastAsia="宋体" w:cs="Times New Roman"/>
                <w:color w:val="auto"/>
                <w:sz w:val="24"/>
                <w:szCs w:val="24"/>
                <w:u w:val="none" w:color="auto"/>
              </w:rPr>
              <w:t>。</w:t>
            </w:r>
          </w:p>
          <w:p w14:paraId="01D53B20">
            <w:pPr>
              <w:autoSpaceDE w:val="0"/>
              <w:autoSpaceDN w:val="0"/>
              <w:spacing w:line="360" w:lineRule="auto"/>
              <w:jc w:val="left"/>
              <w:rPr>
                <w:rFonts w:hint="default" w:ascii="Times New Roman" w:hAnsi="Times New Roman" w:eastAsia="宋体" w:cs="Times New Roman"/>
                <w:b/>
                <w:bCs/>
                <w:color w:val="auto"/>
                <w:sz w:val="24"/>
                <w:szCs w:val="24"/>
                <w:highlight w:val="none"/>
                <w:u w:val="none" w:color="auto"/>
              </w:rPr>
            </w:pPr>
            <w:r>
              <w:rPr>
                <w:rFonts w:hint="default" w:ascii="Times New Roman" w:hAnsi="Times New Roman" w:eastAsia="宋体" w:cs="Times New Roman"/>
                <w:b/>
                <w:bCs/>
                <w:color w:val="auto"/>
                <w:sz w:val="24"/>
                <w:szCs w:val="24"/>
                <w:highlight w:val="none"/>
                <w:u w:val="none" w:color="auto"/>
              </w:rPr>
              <w:t>三、项目与《湖南省生态环境分区管控总体管控要求暨省级以上产业园区生态环境准入清单》（2023年版）符合性</w:t>
            </w:r>
            <w:r>
              <w:rPr>
                <w:rFonts w:hint="default" w:ascii="Times New Roman" w:hAnsi="Times New Roman" w:eastAsia="宋体" w:cs="Times New Roman"/>
                <w:b/>
                <w:bCs/>
                <w:color w:val="auto"/>
                <w:kern w:val="0"/>
                <w:sz w:val="24"/>
                <w:szCs w:val="24"/>
                <w:highlight w:val="none"/>
                <w:u w:val="none" w:color="auto"/>
              </w:rPr>
              <w:t>分析</w:t>
            </w:r>
          </w:p>
          <w:p w14:paraId="6AFB2C0C">
            <w:pPr>
              <w:spacing w:line="360" w:lineRule="auto"/>
              <w:ind w:firstLine="480" w:firstLineChars="200"/>
              <w:rPr>
                <w:rFonts w:hint="default" w:ascii="Times New Roman" w:hAnsi="Times New Roman" w:eastAsia="宋体" w:cs="Times New Roman"/>
                <w:b/>
                <w:bCs/>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lang w:val="en-US" w:eastAsia="zh-CN"/>
              </w:rPr>
              <w:t>本项目位于岳阳临港高新技术产业开发区，根据《湖南省生态环境分区管控总体管控要求暨省级以上产业园区生态环境准入清单》（2023年版），本项目与其符合性分析如下</w:t>
            </w:r>
            <w:r>
              <w:rPr>
                <w:rFonts w:hint="default" w:ascii="Times New Roman" w:hAnsi="Times New Roman" w:eastAsia="宋体" w:cs="Times New Roman"/>
                <w:color w:val="auto"/>
                <w:sz w:val="24"/>
                <w:szCs w:val="24"/>
                <w:highlight w:val="none"/>
                <w:u w:val="none" w:color="auto"/>
              </w:rPr>
              <w:t>：</w:t>
            </w:r>
          </w:p>
          <w:p w14:paraId="43BF80F0">
            <w:pPr>
              <w:jc w:val="center"/>
              <w:rPr>
                <w:rFonts w:hint="default" w:ascii="Times New Roman" w:hAnsi="Times New Roman" w:eastAsia="宋体" w:cs="Times New Roman"/>
                <w:b/>
                <w:bCs/>
                <w:color w:val="auto"/>
                <w:sz w:val="21"/>
                <w:szCs w:val="21"/>
                <w:highlight w:val="none"/>
                <w:u w:val="none" w:color="auto"/>
              </w:rPr>
            </w:pPr>
            <w:r>
              <w:rPr>
                <w:rFonts w:hint="default" w:ascii="Times New Roman" w:hAnsi="Times New Roman" w:eastAsia="宋体" w:cs="Times New Roman"/>
                <w:b/>
                <w:bCs/>
                <w:color w:val="auto"/>
                <w:sz w:val="21"/>
                <w:szCs w:val="21"/>
                <w:highlight w:val="none"/>
                <w:u w:val="none" w:color="auto"/>
              </w:rPr>
              <w:t>表1-</w:t>
            </w:r>
            <w:r>
              <w:rPr>
                <w:rFonts w:hint="default" w:ascii="Times New Roman" w:hAnsi="Times New Roman" w:eastAsia="宋体" w:cs="Times New Roman"/>
                <w:b/>
                <w:bCs/>
                <w:color w:val="auto"/>
                <w:sz w:val="21"/>
                <w:szCs w:val="21"/>
                <w:highlight w:val="none"/>
                <w:u w:val="none" w:color="auto"/>
                <w:lang w:val="en-US" w:eastAsia="zh-CN"/>
              </w:rPr>
              <w:t xml:space="preserve">3  </w:t>
            </w:r>
            <w:r>
              <w:rPr>
                <w:rFonts w:hint="default" w:ascii="Times New Roman" w:hAnsi="Times New Roman" w:eastAsia="宋体" w:cs="Times New Roman"/>
                <w:b/>
                <w:bCs/>
                <w:color w:val="auto"/>
                <w:sz w:val="21"/>
                <w:szCs w:val="21"/>
                <w:highlight w:val="none"/>
                <w:u w:val="none" w:color="auto"/>
              </w:rPr>
              <w:t>省级以上产业园区生态环境准入清单符合性分析</w:t>
            </w:r>
          </w:p>
          <w:tbl>
            <w:tblPr>
              <w:tblStyle w:val="31"/>
              <w:tblW w:w="4999" w:type="pct"/>
              <w:tblInd w:w="-15"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77"/>
              <w:gridCol w:w="3531"/>
              <w:gridCol w:w="2226"/>
              <w:gridCol w:w="439"/>
            </w:tblGrid>
            <w:tr w14:paraId="1D4F6B7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57" w:type="pct"/>
                  <w:tcBorders>
                    <w:tl2br w:val="nil"/>
                    <w:tr2bl w:val="nil"/>
                  </w:tcBorders>
                  <w:noWrap w:val="0"/>
                  <w:vAlign w:val="center"/>
                </w:tcPr>
                <w:p w14:paraId="463F21E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b/>
                      <w:color w:val="auto"/>
                      <w:sz w:val="21"/>
                      <w:szCs w:val="21"/>
                      <w:u w:val="none" w:color="auto"/>
                    </w:rPr>
                  </w:pPr>
                  <w:r>
                    <w:rPr>
                      <w:rFonts w:hint="default" w:ascii="Times New Roman" w:hAnsi="Times New Roman" w:eastAsia="宋体" w:cs="Times New Roman"/>
                      <w:b/>
                      <w:color w:val="auto"/>
                      <w:sz w:val="21"/>
                      <w:szCs w:val="21"/>
                      <w:u w:val="none" w:color="auto"/>
                    </w:rPr>
                    <w:t>管控</w:t>
                  </w:r>
                </w:p>
                <w:p w14:paraId="02113EB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b/>
                      <w:color w:val="auto"/>
                      <w:sz w:val="21"/>
                      <w:szCs w:val="21"/>
                      <w:u w:val="none" w:color="auto"/>
                    </w:rPr>
                  </w:pPr>
                  <w:r>
                    <w:rPr>
                      <w:rFonts w:hint="default" w:ascii="Times New Roman" w:hAnsi="Times New Roman" w:eastAsia="宋体" w:cs="Times New Roman"/>
                      <w:b/>
                      <w:color w:val="auto"/>
                      <w:sz w:val="21"/>
                      <w:szCs w:val="21"/>
                      <w:u w:val="none" w:color="auto"/>
                    </w:rPr>
                    <w:t>维度</w:t>
                  </w:r>
                </w:p>
              </w:tc>
              <w:tc>
                <w:tcPr>
                  <w:tcW w:w="2645" w:type="pct"/>
                  <w:tcBorders>
                    <w:tl2br w:val="nil"/>
                    <w:tr2bl w:val="nil"/>
                  </w:tcBorders>
                  <w:noWrap w:val="0"/>
                  <w:vAlign w:val="center"/>
                </w:tcPr>
                <w:p w14:paraId="4CF1AB0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b/>
                      <w:color w:val="auto"/>
                      <w:sz w:val="21"/>
                      <w:szCs w:val="21"/>
                      <w:u w:val="none" w:color="auto"/>
                    </w:rPr>
                  </w:pPr>
                  <w:r>
                    <w:rPr>
                      <w:rFonts w:hint="default" w:ascii="Times New Roman" w:hAnsi="Times New Roman" w:eastAsia="宋体" w:cs="Times New Roman"/>
                      <w:b/>
                      <w:color w:val="auto"/>
                      <w:sz w:val="21"/>
                      <w:szCs w:val="21"/>
                      <w:u w:val="none" w:color="auto"/>
                    </w:rPr>
                    <w:t>管控要求</w:t>
                  </w:r>
                </w:p>
              </w:tc>
              <w:tc>
                <w:tcPr>
                  <w:tcW w:w="1667" w:type="pct"/>
                  <w:tcBorders>
                    <w:tl2br w:val="nil"/>
                    <w:tr2bl w:val="nil"/>
                  </w:tcBorders>
                  <w:noWrap w:val="0"/>
                  <w:vAlign w:val="center"/>
                </w:tcPr>
                <w:p w14:paraId="404A235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b/>
                      <w:color w:val="auto"/>
                      <w:sz w:val="21"/>
                      <w:szCs w:val="21"/>
                      <w:u w:val="none" w:color="auto"/>
                    </w:rPr>
                  </w:pPr>
                  <w:r>
                    <w:rPr>
                      <w:rFonts w:hint="default" w:ascii="Times New Roman" w:hAnsi="Times New Roman" w:eastAsia="宋体" w:cs="Times New Roman"/>
                      <w:b/>
                      <w:color w:val="auto"/>
                      <w:sz w:val="21"/>
                      <w:szCs w:val="21"/>
                      <w:u w:val="none" w:color="auto"/>
                    </w:rPr>
                    <w:t>本项目情况</w:t>
                  </w:r>
                </w:p>
              </w:tc>
              <w:tc>
                <w:tcPr>
                  <w:tcW w:w="329" w:type="pct"/>
                  <w:tcBorders>
                    <w:tl2br w:val="nil"/>
                    <w:tr2bl w:val="nil"/>
                  </w:tcBorders>
                  <w:noWrap w:val="0"/>
                  <w:vAlign w:val="center"/>
                </w:tcPr>
                <w:p w14:paraId="5485FE5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b/>
                      <w:color w:val="auto"/>
                      <w:sz w:val="21"/>
                      <w:szCs w:val="21"/>
                      <w:u w:val="none" w:color="auto"/>
                    </w:rPr>
                  </w:pPr>
                  <w:r>
                    <w:rPr>
                      <w:rFonts w:hint="default" w:ascii="Times New Roman" w:hAnsi="Times New Roman" w:eastAsia="宋体" w:cs="Times New Roman"/>
                      <w:b/>
                      <w:color w:val="auto"/>
                      <w:sz w:val="21"/>
                      <w:szCs w:val="21"/>
                      <w:u w:val="none" w:color="auto"/>
                    </w:rPr>
                    <w:t>符合性分析</w:t>
                  </w:r>
                </w:p>
              </w:tc>
            </w:tr>
            <w:tr w14:paraId="2D9BEAF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57" w:type="pct"/>
                  <w:tcBorders>
                    <w:tl2br w:val="nil"/>
                    <w:tr2bl w:val="nil"/>
                  </w:tcBorders>
                  <w:noWrap w:val="0"/>
                  <w:vAlign w:val="center"/>
                </w:tcPr>
                <w:p w14:paraId="337A72B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生态保护红线</w:t>
                  </w:r>
                </w:p>
              </w:tc>
              <w:tc>
                <w:tcPr>
                  <w:tcW w:w="2645" w:type="pct"/>
                  <w:tcBorders>
                    <w:tl2br w:val="nil"/>
                    <w:tr2bl w:val="nil"/>
                  </w:tcBorders>
                  <w:noWrap w:val="0"/>
                  <w:vAlign w:val="center"/>
                </w:tcPr>
                <w:p w14:paraId="7D6C4A6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bCs/>
                      <w:color w:val="auto"/>
                      <w:sz w:val="21"/>
                      <w:szCs w:val="21"/>
                      <w:u w:val="none" w:color="auto"/>
                    </w:rPr>
                  </w:pPr>
                  <w:r>
                    <w:rPr>
                      <w:rFonts w:hint="default" w:ascii="Times New Roman" w:hAnsi="Times New Roman" w:eastAsia="宋体" w:cs="Times New Roman"/>
                      <w:color w:val="auto"/>
                      <w:sz w:val="21"/>
                      <w:szCs w:val="21"/>
                      <w:u w:val="none" w:color="auto"/>
                    </w:rPr>
                    <w:t>“生态保护红线”是生态空间范围内具有特殊重要生态功能必须实行强制性严格保护的区域。相关规划环评应将生态空间管控作为重要内容，规划区域涉及生态保护红线的，在规划环评结论和审查意见中应落实生态保护红线的管理要求，提出相应对策措施。除受自然条件限制、确实无法避让的铁路、公路、航道、防洪、管道、干渠、通讯、输变电等重要基础设施项目外，在生态保护红线范围内，严控各类开发建设活动，依法不予审批新建工业项目和矿产开发项目的环评文件。</w:t>
                  </w:r>
                </w:p>
              </w:tc>
              <w:tc>
                <w:tcPr>
                  <w:tcW w:w="1667" w:type="pct"/>
                  <w:tcBorders>
                    <w:tl2br w:val="nil"/>
                    <w:tr2bl w:val="nil"/>
                  </w:tcBorders>
                  <w:noWrap w:val="0"/>
                  <w:vAlign w:val="center"/>
                </w:tcPr>
                <w:p w14:paraId="6B1C939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本项目位于岳阳市城陵矶新港区临港产业新区，用地性质为</w:t>
                  </w:r>
                  <w:r>
                    <w:rPr>
                      <w:rFonts w:hint="default" w:ascii="Times New Roman" w:hAnsi="Times New Roman" w:eastAsia="宋体" w:cs="Times New Roman"/>
                      <w:color w:val="auto"/>
                      <w:sz w:val="21"/>
                      <w:szCs w:val="21"/>
                      <w:u w:val="none" w:color="auto"/>
                      <w:lang w:eastAsia="zh-CN"/>
                    </w:rPr>
                    <w:t>二</w:t>
                  </w:r>
                  <w:r>
                    <w:rPr>
                      <w:rFonts w:hint="default" w:ascii="Times New Roman" w:hAnsi="Times New Roman" w:eastAsia="宋体" w:cs="Times New Roman"/>
                      <w:color w:val="auto"/>
                      <w:sz w:val="21"/>
                      <w:szCs w:val="21"/>
                      <w:u w:val="none" w:color="auto"/>
                    </w:rPr>
                    <w:t>类工业用地，项目地不属于生态保护红线范围内。</w:t>
                  </w:r>
                </w:p>
              </w:tc>
              <w:tc>
                <w:tcPr>
                  <w:tcW w:w="329" w:type="pct"/>
                  <w:tcBorders>
                    <w:tl2br w:val="nil"/>
                    <w:tr2bl w:val="nil"/>
                  </w:tcBorders>
                  <w:noWrap w:val="0"/>
                  <w:vAlign w:val="center"/>
                </w:tcPr>
                <w:p w14:paraId="50CA195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bCs/>
                      <w:color w:val="auto"/>
                      <w:sz w:val="21"/>
                      <w:szCs w:val="21"/>
                      <w:u w:val="none" w:color="auto"/>
                    </w:rPr>
                  </w:pPr>
                  <w:r>
                    <w:rPr>
                      <w:rFonts w:hint="default" w:ascii="Times New Roman" w:hAnsi="Times New Roman" w:eastAsia="宋体" w:cs="Times New Roman"/>
                      <w:bCs/>
                      <w:color w:val="auto"/>
                      <w:sz w:val="21"/>
                      <w:szCs w:val="21"/>
                      <w:u w:val="none" w:color="auto"/>
                    </w:rPr>
                    <w:t>符合</w:t>
                  </w:r>
                </w:p>
              </w:tc>
            </w:tr>
            <w:tr w14:paraId="0EC36A9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57" w:type="pct"/>
                  <w:tcBorders>
                    <w:tl2br w:val="nil"/>
                    <w:tr2bl w:val="nil"/>
                  </w:tcBorders>
                  <w:noWrap w:val="0"/>
                  <w:vAlign w:val="center"/>
                </w:tcPr>
                <w:p w14:paraId="6ED0382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环境质量底线</w:t>
                  </w:r>
                </w:p>
              </w:tc>
              <w:tc>
                <w:tcPr>
                  <w:tcW w:w="2645" w:type="pct"/>
                  <w:tcBorders>
                    <w:tl2br w:val="nil"/>
                    <w:tr2bl w:val="nil"/>
                  </w:tcBorders>
                  <w:noWrap w:val="0"/>
                  <w:vAlign w:val="center"/>
                </w:tcPr>
                <w:p w14:paraId="4860E76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bCs/>
                      <w:color w:val="auto"/>
                      <w:sz w:val="21"/>
                      <w:szCs w:val="21"/>
                      <w:u w:val="none" w:color="auto"/>
                    </w:rPr>
                  </w:pPr>
                  <w:r>
                    <w:rPr>
                      <w:rFonts w:hint="default" w:ascii="Times New Roman" w:hAnsi="Times New Roman" w:eastAsia="宋体" w:cs="Times New Roman"/>
                      <w:color w:val="auto"/>
                      <w:sz w:val="21"/>
                      <w:szCs w:val="21"/>
                      <w:u w:val="none" w:color="auto"/>
                    </w:rPr>
                    <w:t>“环境质量底线”是国家和地方设置的大气、水和土壤环境质量目标，也是改善环境质量的基准线。有关规划环评应落实区域环境质量目标管理要求，提出区域或者行业污染物排放总量管控建议以及优化区域或行业发展布局、结构和规模的对策措施。</w:t>
                  </w:r>
                </w:p>
              </w:tc>
              <w:tc>
                <w:tcPr>
                  <w:tcW w:w="1667" w:type="pct"/>
                  <w:tcBorders>
                    <w:tl2br w:val="nil"/>
                    <w:tr2bl w:val="nil"/>
                  </w:tcBorders>
                  <w:noWrap w:val="0"/>
                  <w:vAlign w:val="center"/>
                </w:tcPr>
                <w:p w14:paraId="16BACA2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项目所在区域环境质量良好，本项目经落实提出的污染防治措施后均能合理处理处置或达标排放，不会导致当地的区域环境质量下降，区域环境质量基本能维持现状，因此符合环境质量底线要求。</w:t>
                  </w:r>
                </w:p>
              </w:tc>
              <w:tc>
                <w:tcPr>
                  <w:tcW w:w="329" w:type="pct"/>
                  <w:tcBorders>
                    <w:tl2br w:val="nil"/>
                    <w:tr2bl w:val="nil"/>
                  </w:tcBorders>
                  <w:noWrap w:val="0"/>
                  <w:vAlign w:val="center"/>
                </w:tcPr>
                <w:p w14:paraId="559A327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bCs/>
                      <w:color w:val="auto"/>
                      <w:sz w:val="21"/>
                      <w:szCs w:val="21"/>
                      <w:u w:val="none" w:color="auto"/>
                    </w:rPr>
                  </w:pPr>
                  <w:r>
                    <w:rPr>
                      <w:rFonts w:hint="default" w:ascii="Times New Roman" w:hAnsi="Times New Roman" w:eastAsia="宋体" w:cs="Times New Roman"/>
                      <w:bCs/>
                      <w:color w:val="auto"/>
                      <w:sz w:val="21"/>
                      <w:szCs w:val="21"/>
                      <w:u w:val="none" w:color="auto"/>
                    </w:rPr>
                    <w:t>符合</w:t>
                  </w:r>
                </w:p>
              </w:tc>
            </w:tr>
            <w:tr w14:paraId="770A0F1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57" w:type="pct"/>
                  <w:tcBorders>
                    <w:tl2br w:val="nil"/>
                    <w:tr2bl w:val="nil"/>
                  </w:tcBorders>
                  <w:noWrap w:val="0"/>
                  <w:vAlign w:val="center"/>
                </w:tcPr>
                <w:p w14:paraId="7BBDC7F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资源利用上线</w:t>
                  </w:r>
                </w:p>
              </w:tc>
              <w:tc>
                <w:tcPr>
                  <w:tcW w:w="2645" w:type="pct"/>
                  <w:tcBorders>
                    <w:tl2br w:val="nil"/>
                    <w:tr2bl w:val="nil"/>
                  </w:tcBorders>
                  <w:noWrap w:val="0"/>
                  <w:vAlign w:val="center"/>
                </w:tcPr>
                <w:p w14:paraId="221F79A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bCs/>
                      <w:color w:val="auto"/>
                      <w:sz w:val="21"/>
                      <w:szCs w:val="21"/>
                      <w:u w:val="none" w:color="auto"/>
                    </w:rPr>
                  </w:pPr>
                  <w:r>
                    <w:rPr>
                      <w:rFonts w:hint="default" w:ascii="Times New Roman" w:hAnsi="Times New Roman" w:eastAsia="宋体" w:cs="Times New Roman"/>
                      <w:color w:val="auto"/>
                      <w:sz w:val="21"/>
                      <w:szCs w:val="21"/>
                      <w:u w:val="none" w:color="auto"/>
                    </w:rPr>
                    <w:t>资源是环境的载体，“资源利用上线”地区能源、水、土地等资源消耗不得突破的“天花板”。相关规划环评应依据有关资源利用上线，对规划实施以及规划内项目的资源开发利用，区分不同行业，从能源资源开发等量或减量替代、开采方式和规模控制、利用效率和保护措施等方面提出建议，为规划编制和审批决策提供重要依据。</w:t>
                  </w:r>
                </w:p>
              </w:tc>
              <w:tc>
                <w:tcPr>
                  <w:tcW w:w="1667" w:type="pct"/>
                  <w:tcBorders>
                    <w:tl2br w:val="nil"/>
                    <w:tr2bl w:val="nil"/>
                  </w:tcBorders>
                  <w:noWrap w:val="0"/>
                  <w:vAlign w:val="center"/>
                </w:tcPr>
                <w:p w14:paraId="203F0E5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项目用水量较少，能源主要依托园区电网供电。项目所占资源较少，污染物排放量小，本项目不属于两高项目。符合资源利用上线要求。</w:t>
                  </w:r>
                </w:p>
              </w:tc>
              <w:tc>
                <w:tcPr>
                  <w:tcW w:w="329" w:type="pct"/>
                  <w:tcBorders>
                    <w:tl2br w:val="nil"/>
                    <w:tr2bl w:val="nil"/>
                  </w:tcBorders>
                  <w:noWrap w:val="0"/>
                  <w:vAlign w:val="center"/>
                </w:tcPr>
                <w:p w14:paraId="54C7B18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bCs/>
                      <w:color w:val="auto"/>
                      <w:sz w:val="21"/>
                      <w:szCs w:val="21"/>
                      <w:u w:val="none" w:color="auto"/>
                    </w:rPr>
                  </w:pPr>
                  <w:r>
                    <w:rPr>
                      <w:rFonts w:hint="default" w:ascii="Times New Roman" w:hAnsi="Times New Roman" w:eastAsia="宋体" w:cs="Times New Roman"/>
                      <w:bCs/>
                      <w:color w:val="auto"/>
                      <w:sz w:val="21"/>
                      <w:szCs w:val="21"/>
                      <w:u w:val="none" w:color="auto"/>
                    </w:rPr>
                    <w:t>符合</w:t>
                  </w:r>
                </w:p>
              </w:tc>
            </w:tr>
            <w:tr w14:paraId="1D7508C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57" w:type="pct"/>
                  <w:tcBorders>
                    <w:tl2br w:val="nil"/>
                    <w:tr2bl w:val="nil"/>
                  </w:tcBorders>
                  <w:noWrap w:val="0"/>
                  <w:vAlign w:val="center"/>
                </w:tcPr>
                <w:p w14:paraId="7DAD6DD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bCs/>
                      <w:color w:val="auto"/>
                      <w:sz w:val="21"/>
                      <w:szCs w:val="21"/>
                      <w:u w:val="none" w:color="auto"/>
                    </w:rPr>
                  </w:pPr>
                  <w:r>
                    <w:rPr>
                      <w:rFonts w:hint="default" w:ascii="Times New Roman" w:hAnsi="Times New Roman" w:eastAsia="宋体" w:cs="Times New Roman"/>
                      <w:bCs/>
                      <w:color w:val="auto"/>
                      <w:sz w:val="21"/>
                      <w:szCs w:val="21"/>
                      <w:u w:val="none" w:color="auto"/>
                    </w:rPr>
                    <w:t>空间布局约束</w:t>
                  </w:r>
                </w:p>
              </w:tc>
              <w:tc>
                <w:tcPr>
                  <w:tcW w:w="2645" w:type="pct"/>
                  <w:tcBorders>
                    <w:tl2br w:val="nil"/>
                    <w:tr2bl w:val="nil"/>
                  </w:tcBorders>
                  <w:noWrap w:val="0"/>
                  <w:vAlign w:val="center"/>
                </w:tcPr>
                <w:p w14:paraId="66477C7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rPr>
                    <w:t>（1.1）</w:t>
                  </w:r>
                  <w:r>
                    <w:rPr>
                      <w:rFonts w:hint="default" w:ascii="Times New Roman" w:hAnsi="Times New Roman" w:eastAsia="宋体" w:cs="Times New Roman"/>
                      <w:color w:val="auto"/>
                      <w:sz w:val="21"/>
                      <w:szCs w:val="21"/>
                      <w:u w:val="none" w:color="auto"/>
                      <w:lang w:val="en-US" w:eastAsia="zh-CN"/>
                    </w:rPr>
                    <w:t>对位于临江1km范围内的企业，应在规定期限内完成关闭退出、搬迁改造工作。临近居民区的工业企业应强化污染防治设施的治理效果；</w:t>
                  </w:r>
                </w:p>
                <w:p w14:paraId="2F4BF52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（1.2）</w:t>
                  </w:r>
                  <w:r>
                    <w:rPr>
                      <w:rFonts w:hint="default" w:ascii="Times New Roman" w:hAnsi="Times New Roman" w:eastAsia="宋体" w:cs="Times New Roman"/>
                      <w:color w:val="auto"/>
                      <w:sz w:val="21"/>
                      <w:szCs w:val="21"/>
                      <w:u w:val="none" w:color="auto"/>
                    </w:rPr>
                    <w:t>区域内三类工业用地仅允许用于涉及三类工业的高新企业引进和发展鼓励类高新技术项目的预留用地。</w:t>
                  </w:r>
                </w:p>
              </w:tc>
              <w:tc>
                <w:tcPr>
                  <w:tcW w:w="1667" w:type="pct"/>
                  <w:tcBorders>
                    <w:tl2br w:val="nil"/>
                    <w:tr2bl w:val="nil"/>
                  </w:tcBorders>
                  <w:noWrap w:val="0"/>
                  <w:vAlign w:val="center"/>
                </w:tcPr>
                <w:p w14:paraId="1D2CFCA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本项目与长江的最近</w:t>
                  </w:r>
                  <w:r>
                    <w:rPr>
                      <w:rFonts w:hint="eastAsia" w:cs="Times New Roman"/>
                      <w:color w:val="auto"/>
                      <w:sz w:val="21"/>
                      <w:szCs w:val="21"/>
                      <w:u w:val="none" w:color="auto"/>
                      <w:lang w:val="en-US" w:eastAsia="zh-CN"/>
                    </w:rPr>
                    <w:t>距离</w:t>
                  </w:r>
                  <w:r>
                    <w:rPr>
                      <w:rFonts w:hint="default" w:ascii="Times New Roman" w:hAnsi="Times New Roman" w:eastAsia="宋体" w:cs="Times New Roman"/>
                      <w:color w:val="auto"/>
                      <w:sz w:val="21"/>
                      <w:szCs w:val="21"/>
                      <w:u w:val="none" w:color="auto"/>
                      <w:lang w:val="en-US" w:eastAsia="zh-CN"/>
                    </w:rPr>
                    <w:t>为1.2km，不在临江1km范围内；本项目生产新能源汽车所用的动力外壳所需一体压铸高端铝合金材料及其部分组件，符合用地性质</w:t>
                  </w:r>
                </w:p>
              </w:tc>
              <w:tc>
                <w:tcPr>
                  <w:tcW w:w="329" w:type="pct"/>
                  <w:tcBorders>
                    <w:tl2br w:val="nil"/>
                    <w:tr2bl w:val="nil"/>
                  </w:tcBorders>
                  <w:noWrap w:val="0"/>
                  <w:vAlign w:val="center"/>
                </w:tcPr>
                <w:p w14:paraId="2D057B8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bCs/>
                      <w:color w:val="auto"/>
                      <w:sz w:val="21"/>
                      <w:szCs w:val="21"/>
                      <w:u w:val="none" w:color="auto"/>
                    </w:rPr>
                  </w:pPr>
                  <w:r>
                    <w:rPr>
                      <w:rFonts w:hint="default" w:ascii="Times New Roman" w:hAnsi="Times New Roman" w:eastAsia="宋体" w:cs="Times New Roman"/>
                      <w:bCs/>
                      <w:color w:val="auto"/>
                      <w:sz w:val="21"/>
                      <w:szCs w:val="21"/>
                      <w:u w:val="none" w:color="auto"/>
                    </w:rPr>
                    <w:t>符合</w:t>
                  </w:r>
                </w:p>
              </w:tc>
            </w:tr>
            <w:tr w14:paraId="19056FD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57" w:type="pct"/>
                  <w:tcBorders>
                    <w:tl2br w:val="nil"/>
                    <w:tr2bl w:val="nil"/>
                  </w:tcBorders>
                  <w:noWrap w:val="0"/>
                  <w:vAlign w:val="center"/>
                </w:tcPr>
                <w:p w14:paraId="0658F6B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bCs/>
                      <w:color w:val="auto"/>
                      <w:sz w:val="21"/>
                      <w:szCs w:val="21"/>
                      <w:u w:val="none" w:color="auto"/>
                    </w:rPr>
                  </w:pPr>
                  <w:r>
                    <w:rPr>
                      <w:rFonts w:hint="default" w:ascii="Times New Roman" w:hAnsi="Times New Roman" w:eastAsia="宋体" w:cs="Times New Roman"/>
                      <w:bCs/>
                      <w:color w:val="auto"/>
                      <w:sz w:val="21"/>
                      <w:szCs w:val="21"/>
                      <w:u w:val="none" w:color="auto"/>
                    </w:rPr>
                    <w:t>污染物排放管控</w:t>
                  </w:r>
                </w:p>
              </w:tc>
              <w:tc>
                <w:tcPr>
                  <w:tcW w:w="2645" w:type="pct"/>
                  <w:tcBorders>
                    <w:tl2br w:val="nil"/>
                    <w:tr2bl w:val="nil"/>
                  </w:tcBorders>
                  <w:noWrap w:val="0"/>
                  <w:vAlign w:val="center"/>
                </w:tcPr>
                <w:p w14:paraId="72336C0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（2.1）废水：</w:t>
                  </w:r>
                </w:p>
                <w:p w14:paraId="4BB970E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lang w:val="en-US" w:eastAsia="zh-CN"/>
                    </w:rPr>
                    <w:t>2.1.1）高新区各区块</w:t>
                  </w:r>
                  <w:r>
                    <w:rPr>
                      <w:rFonts w:hint="default" w:ascii="Times New Roman" w:hAnsi="Times New Roman" w:eastAsia="宋体" w:cs="Times New Roman"/>
                      <w:color w:val="auto"/>
                      <w:sz w:val="21"/>
                      <w:szCs w:val="21"/>
                      <w:u w:val="none" w:color="auto"/>
                    </w:rPr>
                    <w:t>排水实施雨污分流，</w:t>
                  </w:r>
                  <w:r>
                    <w:rPr>
                      <w:rFonts w:hint="default" w:ascii="Times New Roman" w:hAnsi="Times New Roman" w:eastAsia="宋体" w:cs="Times New Roman"/>
                      <w:color w:val="auto"/>
                      <w:sz w:val="21"/>
                      <w:szCs w:val="21"/>
                      <w:u w:val="none" w:color="auto"/>
                      <w:lang w:val="en-US" w:eastAsia="zh-CN"/>
                    </w:rPr>
                    <w:t>区块内污水纳入湖南</w:t>
                  </w:r>
                  <w:r>
                    <w:rPr>
                      <w:rFonts w:hint="default" w:ascii="Times New Roman" w:hAnsi="Times New Roman" w:eastAsia="宋体" w:cs="Times New Roman"/>
                      <w:color w:val="auto"/>
                      <w:sz w:val="21"/>
                      <w:szCs w:val="21"/>
                      <w:u w:val="none" w:color="auto"/>
                      <w:lang w:eastAsia="zh-CN"/>
                    </w:rPr>
                    <w:t>城陵矶临港产业新区污水处理厂</w:t>
                  </w:r>
                  <w:r>
                    <w:rPr>
                      <w:rFonts w:hint="default" w:ascii="Times New Roman" w:hAnsi="Times New Roman" w:eastAsia="宋体" w:cs="Times New Roman"/>
                      <w:color w:val="auto"/>
                      <w:sz w:val="21"/>
                      <w:szCs w:val="21"/>
                      <w:u w:val="none" w:color="auto"/>
                    </w:rPr>
                    <w:t>处理，达标后排入象骨港，最终排入长江。</w:t>
                  </w:r>
                  <w:r>
                    <w:rPr>
                      <w:rFonts w:hint="default" w:ascii="Times New Roman" w:hAnsi="Times New Roman" w:eastAsia="宋体" w:cs="Times New Roman"/>
                      <w:color w:val="auto"/>
                      <w:sz w:val="21"/>
                      <w:szCs w:val="21"/>
                      <w:u w:val="none" w:color="auto"/>
                      <w:lang w:val="en-US" w:eastAsia="zh-CN"/>
                    </w:rPr>
                    <w:t>高新区各区块</w:t>
                  </w:r>
                  <w:r>
                    <w:rPr>
                      <w:rFonts w:hint="default" w:ascii="Times New Roman" w:hAnsi="Times New Roman" w:eastAsia="宋体" w:cs="Times New Roman"/>
                      <w:color w:val="auto"/>
                      <w:sz w:val="21"/>
                      <w:szCs w:val="21"/>
                      <w:u w:val="none" w:color="auto"/>
                    </w:rPr>
                    <w:t>雨水经雨水管网排至白杨湖、松阳湖</w:t>
                  </w: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lang w:val="en-US" w:eastAsia="zh-CN"/>
                    </w:rPr>
                    <w:t>芭蕉湖</w:t>
                  </w:r>
                  <w:r>
                    <w:rPr>
                      <w:rFonts w:hint="default" w:ascii="Times New Roman" w:hAnsi="Times New Roman" w:eastAsia="宋体" w:cs="Times New Roman"/>
                      <w:color w:val="auto"/>
                      <w:sz w:val="21"/>
                      <w:szCs w:val="21"/>
                      <w:u w:val="none" w:color="auto"/>
                    </w:rPr>
                    <w:t>和象骨港。</w:t>
                  </w:r>
                </w:p>
                <w:p w14:paraId="4758B33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lang w:val="en-US" w:eastAsia="zh-CN"/>
                    </w:rPr>
                    <w:t>2.1.2）推进重点行业氮磷排放总量控制，强化监管，推动重点行业企业安装在线临近装置并稳定运行。</w:t>
                  </w:r>
                </w:p>
                <w:p w14:paraId="53EC6F7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（2.2）废气：</w:t>
                  </w:r>
                </w:p>
                <w:p w14:paraId="1D2D422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2.2.1）对各企业有工艺废气产出的生产节点，应配置废气收集与处理净化装置并确保正常运行、达标排放；加强生产工艺研究与技术改进，采取有效措施，减少工艺废气的无组织排放，入园企业各生产装置排放的废气须经处理达到相应排放标准。</w:t>
                  </w:r>
                </w:p>
                <w:p w14:paraId="1349B96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（2.2.2）</w:t>
                  </w:r>
                  <w:r>
                    <w:rPr>
                      <w:rFonts w:hint="default" w:ascii="Times New Roman" w:hAnsi="Times New Roman" w:eastAsia="宋体" w:cs="Times New Roman"/>
                      <w:color w:val="auto"/>
                      <w:sz w:val="21"/>
                      <w:szCs w:val="21"/>
                      <w:u w:val="none" w:color="auto"/>
                      <w:lang w:val="en-US" w:eastAsia="zh-CN"/>
                    </w:rPr>
                    <w:t>加快推进工业涂装、包装印刷等行业企业VOCs治理，根据企业原辅材料使用、污染排放控制设施、无组织排放收集措施、处置装置运行效果等方面，建立涉VOCs企业绩效分级管理机制</w:t>
                  </w:r>
                  <w:r>
                    <w:rPr>
                      <w:rFonts w:hint="default" w:ascii="Times New Roman" w:hAnsi="Times New Roman" w:eastAsia="宋体" w:cs="Times New Roman"/>
                      <w:color w:val="auto"/>
                      <w:sz w:val="21"/>
                      <w:szCs w:val="21"/>
                      <w:u w:val="none" w:color="auto"/>
                    </w:rPr>
                    <w:t>。</w:t>
                  </w:r>
                </w:p>
                <w:p w14:paraId="045AB1A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（2.3）</w:t>
                  </w:r>
                  <w:r>
                    <w:rPr>
                      <w:rFonts w:hint="default" w:ascii="Times New Roman" w:hAnsi="Times New Roman" w:eastAsia="宋体" w:cs="Times New Roman"/>
                      <w:color w:val="auto"/>
                      <w:sz w:val="21"/>
                      <w:szCs w:val="21"/>
                      <w:u w:val="none" w:color="auto"/>
                      <w:lang w:val="en-US" w:eastAsia="zh-CN"/>
                    </w:rPr>
                    <w:t>高新区内相关行业</w:t>
                  </w:r>
                  <w:r>
                    <w:rPr>
                      <w:rFonts w:hint="default" w:ascii="Times New Roman" w:hAnsi="Times New Roman" w:eastAsia="宋体" w:cs="Times New Roman"/>
                      <w:color w:val="auto"/>
                      <w:sz w:val="21"/>
                      <w:szCs w:val="21"/>
                      <w:u w:val="none" w:color="auto"/>
                    </w:rPr>
                    <w:t>污染物排放满足《湖南省生态环境厅关于执行污染物特别排放限值（第一批）的公告》中的要求。</w:t>
                  </w:r>
                </w:p>
                <w:p w14:paraId="2114FFA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（2.4）固体废弃物：</w:t>
                  </w:r>
                </w:p>
                <w:p w14:paraId="063D5F6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lang w:val="en-US" w:eastAsia="zh-CN"/>
                    </w:rPr>
                    <w:t>2.4.1）</w:t>
                  </w:r>
                  <w:r>
                    <w:rPr>
                      <w:rFonts w:hint="default" w:ascii="Times New Roman" w:hAnsi="Times New Roman" w:eastAsia="宋体" w:cs="Times New Roman"/>
                      <w:color w:val="auto"/>
                      <w:sz w:val="21"/>
                      <w:szCs w:val="21"/>
                      <w:u w:val="none" w:color="auto"/>
                    </w:rPr>
                    <w:t>做好</w:t>
                  </w:r>
                  <w:r>
                    <w:rPr>
                      <w:rFonts w:hint="default" w:ascii="Times New Roman" w:hAnsi="Times New Roman" w:eastAsia="宋体" w:cs="Times New Roman"/>
                      <w:color w:val="auto"/>
                      <w:sz w:val="21"/>
                      <w:szCs w:val="21"/>
                      <w:u w:val="none" w:color="auto"/>
                      <w:lang w:val="en-US" w:eastAsia="zh-CN"/>
                    </w:rPr>
                    <w:t>高新区</w:t>
                  </w:r>
                  <w:r>
                    <w:rPr>
                      <w:rFonts w:hint="default" w:ascii="Times New Roman" w:hAnsi="Times New Roman" w:eastAsia="宋体" w:cs="Times New Roman"/>
                      <w:color w:val="auto"/>
                      <w:sz w:val="21"/>
                      <w:szCs w:val="21"/>
                      <w:u w:val="none" w:color="auto"/>
                    </w:rPr>
                    <w:t>工业固体废物和生活垃圾的分类收集、转运，综合利用和无害化处理，建立统一的固废收集、贮存、运输、综合利用和安全处置的运营管理体系。</w:t>
                  </w:r>
                </w:p>
                <w:p w14:paraId="3C83B98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sz w:val="21"/>
                      <w:szCs w:val="21"/>
                      <w:u w:val="none" w:color="auto"/>
                      <w:lang w:eastAsia="zh-CN"/>
                    </w:rPr>
                  </w:pP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lang w:val="en-US" w:eastAsia="zh-CN"/>
                    </w:rPr>
                    <w:t>2.4.2）入围企业应推行使用清洁能源，采用能耗低、先进的工艺技术和污染防治措施。</w:t>
                  </w:r>
                  <w:r>
                    <w:rPr>
                      <w:rFonts w:hint="default" w:ascii="Times New Roman" w:hAnsi="Times New Roman" w:eastAsia="宋体" w:cs="Times New Roman"/>
                      <w:color w:val="auto"/>
                      <w:sz w:val="21"/>
                      <w:szCs w:val="21"/>
                      <w:u w:val="none" w:color="auto"/>
                    </w:rPr>
                    <w:t>推行清洁生产，减少固体废物产生量；加强固体废物的资源化进程，提高综合利用率</w:t>
                  </w:r>
                  <w:r>
                    <w:rPr>
                      <w:rFonts w:hint="default" w:ascii="Times New Roman" w:hAnsi="Times New Roman" w:eastAsia="宋体" w:cs="Times New Roman"/>
                      <w:color w:val="auto"/>
                      <w:sz w:val="21"/>
                      <w:szCs w:val="21"/>
                      <w:u w:val="none" w:color="auto"/>
                      <w:lang w:eastAsia="zh-CN"/>
                    </w:rPr>
                    <w:t>。</w:t>
                  </w:r>
                </w:p>
                <w:p w14:paraId="2A55E4A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lang w:val="en-US" w:eastAsia="zh-CN"/>
                    </w:rPr>
                    <w:t>2.4.3）</w:t>
                  </w:r>
                  <w:r>
                    <w:rPr>
                      <w:rFonts w:hint="default" w:ascii="Times New Roman" w:hAnsi="Times New Roman" w:eastAsia="宋体" w:cs="Times New Roman"/>
                      <w:color w:val="auto"/>
                      <w:sz w:val="21"/>
                      <w:szCs w:val="21"/>
                      <w:u w:val="none" w:color="auto"/>
                    </w:rPr>
                    <w:t>规范固体废物处理措施，对工业企业产生的固体废物特别是危险废物应按国家有关规定综合利用或妥善处置，严防二次污染。</w:t>
                  </w:r>
                </w:p>
              </w:tc>
              <w:tc>
                <w:tcPr>
                  <w:tcW w:w="1667" w:type="pct"/>
                  <w:tcBorders>
                    <w:tl2br w:val="nil"/>
                    <w:tr2bl w:val="nil"/>
                  </w:tcBorders>
                  <w:noWrap w:val="0"/>
                  <w:vAlign w:val="center"/>
                </w:tcPr>
                <w:p w14:paraId="19DFCE4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sz w:val="21"/>
                      <w:szCs w:val="21"/>
                      <w:highlight w:val="none"/>
                      <w:u w:val="none" w:color="auto"/>
                      <w:lang w:val="en-US" w:eastAsia="zh-CN"/>
                    </w:rPr>
                  </w:pPr>
                  <w:bookmarkStart w:id="11" w:name="_Toc16171"/>
                  <w:r>
                    <w:rPr>
                      <w:rFonts w:hint="default" w:ascii="Times New Roman" w:hAnsi="Times New Roman" w:eastAsia="宋体" w:cs="Times New Roman"/>
                      <w:color w:val="auto"/>
                      <w:sz w:val="21"/>
                      <w:szCs w:val="21"/>
                      <w:highlight w:val="none"/>
                      <w:u w:val="none" w:color="auto"/>
                      <w:lang w:val="en-US" w:eastAsia="zh-CN"/>
                    </w:rPr>
                    <w:t>废水：</w:t>
                  </w:r>
                </w:p>
                <w:p w14:paraId="582D07D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各厂区生产废水、生活污水经预处理后</w:t>
                  </w:r>
                  <w:r>
                    <w:rPr>
                      <w:rFonts w:hint="default" w:ascii="Times New Roman" w:hAnsi="Times New Roman" w:eastAsia="宋体" w:cs="Times New Roman"/>
                      <w:color w:val="auto"/>
                      <w:sz w:val="21"/>
                      <w:szCs w:val="21"/>
                      <w:highlight w:val="none"/>
                      <w:u w:val="none" w:color="auto"/>
                    </w:rPr>
                    <w:t>进入</w:t>
                  </w:r>
                  <w:r>
                    <w:rPr>
                      <w:rFonts w:hint="default" w:ascii="Times New Roman" w:hAnsi="Times New Roman" w:eastAsia="宋体" w:cs="Times New Roman"/>
                      <w:color w:val="auto"/>
                      <w:sz w:val="21"/>
                      <w:szCs w:val="21"/>
                      <w:highlight w:val="none"/>
                      <w:u w:val="none" w:color="auto"/>
                      <w:lang w:eastAsia="zh-CN"/>
                    </w:rPr>
                    <w:t>湖南城陵矶临港产业新区污水处理厂</w:t>
                  </w:r>
                  <w:r>
                    <w:rPr>
                      <w:rFonts w:hint="default" w:ascii="Times New Roman" w:hAnsi="Times New Roman" w:eastAsia="宋体" w:cs="Times New Roman"/>
                      <w:color w:val="auto"/>
                      <w:sz w:val="21"/>
                      <w:szCs w:val="21"/>
                      <w:highlight w:val="none"/>
                      <w:u w:val="none" w:color="auto"/>
                    </w:rPr>
                    <w:t>深度处理</w:t>
                  </w:r>
                  <w:r>
                    <w:rPr>
                      <w:rFonts w:hint="default" w:ascii="Times New Roman" w:hAnsi="Times New Roman" w:eastAsia="宋体" w:cs="Times New Roman"/>
                      <w:color w:val="auto"/>
                      <w:sz w:val="21"/>
                      <w:szCs w:val="21"/>
                      <w:highlight w:val="none"/>
                      <w:u w:val="none" w:color="auto"/>
                      <w:lang w:val="en-US" w:eastAsia="zh-CN"/>
                    </w:rPr>
                    <w:t>，达标后排入象骨港，最终排入长江。</w:t>
                  </w:r>
                  <w:bookmarkEnd w:id="11"/>
                </w:p>
                <w:p w14:paraId="273838D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废气：本项目</w:t>
                  </w:r>
                  <w:r>
                    <w:rPr>
                      <w:rFonts w:hint="default" w:ascii="Times New Roman" w:hAnsi="Times New Roman" w:eastAsia="宋体" w:cs="Times New Roman"/>
                      <w:bCs/>
                      <w:color w:val="auto"/>
                      <w:sz w:val="21"/>
                      <w:szCs w:val="21"/>
                      <w:highlight w:val="none"/>
                      <w:u w:val="none" w:color="auto"/>
                    </w:rPr>
                    <w:t>运营期主要产生</w:t>
                  </w:r>
                  <w:r>
                    <w:rPr>
                      <w:rFonts w:hint="default" w:ascii="Times New Roman" w:hAnsi="Times New Roman" w:eastAsia="宋体" w:cs="Times New Roman"/>
                      <w:bCs/>
                      <w:color w:val="auto"/>
                      <w:sz w:val="21"/>
                      <w:szCs w:val="21"/>
                      <w:highlight w:val="none"/>
                      <w:u w:val="none" w:color="auto"/>
                      <w:lang w:val="en-US" w:eastAsia="zh-CN"/>
                    </w:rPr>
                    <w:t>颗粒物、SO2、NOx等</w:t>
                  </w:r>
                  <w:r>
                    <w:rPr>
                      <w:rFonts w:hint="default" w:ascii="Times New Roman" w:hAnsi="Times New Roman" w:eastAsia="宋体" w:cs="Times New Roman"/>
                      <w:bCs/>
                      <w:color w:val="auto"/>
                      <w:sz w:val="21"/>
                      <w:szCs w:val="21"/>
                      <w:highlight w:val="none"/>
                      <w:u w:val="none" w:color="auto"/>
                    </w:rPr>
                    <w:t>，经处理后达标排放</w:t>
                  </w:r>
                  <w:r>
                    <w:rPr>
                      <w:rFonts w:hint="default" w:ascii="Times New Roman" w:hAnsi="Times New Roman" w:eastAsia="宋体" w:cs="Times New Roman"/>
                      <w:color w:val="auto"/>
                      <w:sz w:val="21"/>
                      <w:szCs w:val="21"/>
                      <w:highlight w:val="none"/>
                      <w:u w:val="none" w:color="auto"/>
                    </w:rPr>
                    <w:t>。优先选用低VOCs含量的原辅材料，各废气产出节点均设收集装置，废气经处理后达标排放。建设单位应加强日常管理，确保各处理设施正常运行，确保稳定达标排放。</w:t>
                  </w:r>
                </w:p>
                <w:p w14:paraId="1909AA9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固废：项目一般固体废物优先综合利用。项目生产过程中产生危险废物，交有资质单位处理。经上述处理后，项目产生的固废均能得到妥善处理处置。</w:t>
                  </w:r>
                </w:p>
              </w:tc>
              <w:tc>
                <w:tcPr>
                  <w:tcW w:w="329" w:type="pct"/>
                  <w:tcBorders>
                    <w:tl2br w:val="nil"/>
                    <w:tr2bl w:val="nil"/>
                  </w:tcBorders>
                  <w:noWrap w:val="0"/>
                  <w:vAlign w:val="center"/>
                </w:tcPr>
                <w:p w14:paraId="0B8032C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bCs/>
                      <w:color w:val="auto"/>
                      <w:sz w:val="21"/>
                      <w:szCs w:val="21"/>
                      <w:u w:val="none" w:color="auto"/>
                    </w:rPr>
                  </w:pPr>
                  <w:r>
                    <w:rPr>
                      <w:rFonts w:hint="default" w:ascii="Times New Roman" w:hAnsi="Times New Roman" w:eastAsia="宋体" w:cs="Times New Roman"/>
                      <w:bCs/>
                      <w:color w:val="auto"/>
                      <w:sz w:val="21"/>
                      <w:szCs w:val="21"/>
                      <w:u w:val="none" w:color="auto"/>
                    </w:rPr>
                    <w:t>符合</w:t>
                  </w:r>
                </w:p>
              </w:tc>
            </w:tr>
            <w:tr w14:paraId="7AB5F09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57" w:type="pct"/>
                  <w:tcBorders>
                    <w:tl2br w:val="nil"/>
                    <w:tr2bl w:val="nil"/>
                  </w:tcBorders>
                  <w:noWrap w:val="0"/>
                  <w:vAlign w:val="center"/>
                </w:tcPr>
                <w:p w14:paraId="178E71B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bCs/>
                      <w:color w:val="auto"/>
                      <w:sz w:val="21"/>
                      <w:szCs w:val="21"/>
                      <w:u w:val="none" w:color="auto"/>
                    </w:rPr>
                  </w:pPr>
                  <w:r>
                    <w:rPr>
                      <w:rFonts w:hint="default" w:ascii="Times New Roman" w:hAnsi="Times New Roman" w:eastAsia="宋体" w:cs="Times New Roman"/>
                      <w:bCs/>
                      <w:color w:val="auto"/>
                      <w:sz w:val="21"/>
                      <w:szCs w:val="21"/>
                      <w:u w:val="none" w:color="auto"/>
                    </w:rPr>
                    <w:t>环境风险防控</w:t>
                  </w:r>
                </w:p>
              </w:tc>
              <w:tc>
                <w:tcPr>
                  <w:tcW w:w="2645" w:type="pct"/>
                  <w:tcBorders>
                    <w:tl2br w:val="nil"/>
                    <w:tr2bl w:val="nil"/>
                  </w:tcBorders>
                  <w:noWrap w:val="0"/>
                  <w:vAlign w:val="center"/>
                </w:tcPr>
                <w:p w14:paraId="475B2C9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bCs/>
                      <w:color w:val="auto"/>
                      <w:sz w:val="21"/>
                      <w:szCs w:val="21"/>
                      <w:u w:val="none" w:color="auto"/>
                    </w:rPr>
                  </w:pPr>
                  <w:r>
                    <w:rPr>
                      <w:rFonts w:hint="default" w:ascii="Times New Roman" w:hAnsi="Times New Roman" w:eastAsia="宋体" w:cs="Times New Roman"/>
                      <w:bCs/>
                      <w:color w:val="auto"/>
                      <w:sz w:val="21"/>
                      <w:szCs w:val="21"/>
                      <w:u w:val="none" w:color="auto"/>
                    </w:rPr>
                    <w:t>（3.1）</w:t>
                  </w:r>
                  <w:r>
                    <w:rPr>
                      <w:rFonts w:hint="default" w:ascii="Times New Roman" w:hAnsi="Times New Roman" w:eastAsia="宋体" w:cs="Times New Roman"/>
                      <w:bCs/>
                      <w:color w:val="auto"/>
                      <w:sz w:val="21"/>
                      <w:szCs w:val="21"/>
                      <w:u w:val="none" w:color="auto"/>
                      <w:lang w:val="en-US" w:eastAsia="zh-CN"/>
                    </w:rPr>
                    <w:t>高新</w:t>
                  </w:r>
                  <w:r>
                    <w:rPr>
                      <w:rFonts w:hint="default" w:ascii="Times New Roman" w:hAnsi="Times New Roman" w:eastAsia="宋体" w:cs="Times New Roman"/>
                      <w:bCs/>
                      <w:color w:val="auto"/>
                      <w:sz w:val="21"/>
                      <w:szCs w:val="21"/>
                      <w:u w:val="none" w:color="auto"/>
                    </w:rPr>
                    <w:t>区</w:t>
                  </w:r>
                  <w:r>
                    <w:rPr>
                      <w:rFonts w:hint="default" w:ascii="Times New Roman" w:hAnsi="Times New Roman" w:eastAsia="宋体" w:cs="Times New Roman"/>
                      <w:bCs/>
                      <w:color w:val="auto"/>
                      <w:sz w:val="21"/>
                      <w:szCs w:val="21"/>
                      <w:u w:val="none" w:color="auto"/>
                      <w:lang w:val="en-US" w:eastAsia="zh-CN"/>
                    </w:rPr>
                    <w:t>各区块</w:t>
                  </w:r>
                  <w:r>
                    <w:rPr>
                      <w:rFonts w:hint="default" w:ascii="Times New Roman" w:hAnsi="Times New Roman" w:eastAsia="宋体" w:cs="Times New Roman"/>
                      <w:bCs/>
                      <w:color w:val="auto"/>
                      <w:sz w:val="21"/>
                      <w:szCs w:val="21"/>
                      <w:u w:val="none" w:color="auto"/>
                    </w:rPr>
                    <w:t>应建立健全环境风险防控体系，落实《湖南城陵矶新港区核心区突发环境事件应急预案》的相关要求，严防环境风险事故发生，提高应急处置能力。</w:t>
                  </w:r>
                </w:p>
                <w:p w14:paraId="5DEBC82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bCs/>
                      <w:color w:val="auto"/>
                      <w:sz w:val="21"/>
                      <w:szCs w:val="21"/>
                      <w:u w:val="none" w:color="auto"/>
                    </w:rPr>
                  </w:pPr>
                  <w:r>
                    <w:rPr>
                      <w:rFonts w:hint="default" w:ascii="Times New Roman" w:hAnsi="Times New Roman" w:eastAsia="宋体" w:cs="Times New Roman"/>
                      <w:bCs/>
                      <w:color w:val="auto"/>
                      <w:sz w:val="21"/>
                      <w:szCs w:val="21"/>
                      <w:u w:val="none" w:color="auto"/>
                    </w:rPr>
                    <w:t>（3.2）</w:t>
                  </w:r>
                  <w:r>
                    <w:rPr>
                      <w:rFonts w:hint="default" w:ascii="Times New Roman" w:hAnsi="Times New Roman" w:eastAsia="宋体" w:cs="Times New Roman"/>
                      <w:bCs/>
                      <w:color w:val="auto"/>
                      <w:sz w:val="21"/>
                      <w:szCs w:val="21"/>
                      <w:u w:val="none" w:color="auto"/>
                      <w:lang w:val="en-US" w:eastAsia="zh-CN"/>
                    </w:rPr>
                    <w:t>高新区应</w:t>
                  </w:r>
                  <w:r>
                    <w:rPr>
                      <w:rFonts w:hint="default" w:ascii="Times New Roman" w:hAnsi="Times New Roman" w:eastAsia="宋体" w:cs="Times New Roman"/>
                      <w:bCs/>
                      <w:color w:val="auto"/>
                      <w:sz w:val="21"/>
                      <w:szCs w:val="21"/>
                      <w:u w:val="none" w:color="auto"/>
                    </w:rPr>
                    <w:t>建立</w:t>
                  </w:r>
                  <w:r>
                    <w:rPr>
                      <w:rFonts w:hint="default" w:ascii="Times New Roman" w:hAnsi="Times New Roman" w:eastAsia="宋体" w:cs="Times New Roman"/>
                      <w:bCs/>
                      <w:color w:val="auto"/>
                      <w:sz w:val="21"/>
                      <w:szCs w:val="21"/>
                      <w:u w:val="none" w:color="auto"/>
                      <w:lang w:val="en-US" w:eastAsia="zh-CN"/>
                    </w:rPr>
                    <w:t>健全重污染天气预警和应急机制，针对不同的减排对象进行分类控制，最大限度降低重污染天气千万的危害，保障环境安全和公众身体健康</w:t>
                  </w:r>
                  <w:r>
                    <w:rPr>
                      <w:rFonts w:hint="default" w:ascii="Times New Roman" w:hAnsi="Times New Roman" w:eastAsia="宋体" w:cs="Times New Roman"/>
                      <w:bCs/>
                      <w:color w:val="auto"/>
                      <w:sz w:val="21"/>
                      <w:szCs w:val="21"/>
                      <w:u w:val="none" w:color="auto"/>
                    </w:rPr>
                    <w:t>。</w:t>
                  </w:r>
                </w:p>
                <w:p w14:paraId="6352400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bCs/>
                      <w:color w:val="auto"/>
                      <w:sz w:val="21"/>
                      <w:szCs w:val="21"/>
                      <w:u w:val="none" w:color="auto"/>
                    </w:rPr>
                  </w:pPr>
                  <w:r>
                    <w:rPr>
                      <w:rFonts w:hint="default" w:ascii="Times New Roman" w:hAnsi="Times New Roman" w:eastAsia="宋体" w:cs="Times New Roman"/>
                      <w:bCs/>
                      <w:color w:val="auto"/>
                      <w:sz w:val="21"/>
                      <w:szCs w:val="21"/>
                      <w:u w:val="none" w:color="auto"/>
                    </w:rPr>
                    <w:t>（3.3）</w:t>
                  </w:r>
                  <w:r>
                    <w:rPr>
                      <w:rFonts w:hint="default" w:ascii="Times New Roman" w:hAnsi="Times New Roman" w:eastAsia="宋体" w:cs="Times New Roman"/>
                      <w:bCs/>
                      <w:color w:val="auto"/>
                      <w:sz w:val="21"/>
                      <w:szCs w:val="21"/>
                      <w:u w:val="none" w:color="auto"/>
                      <w:lang w:val="en-US" w:eastAsia="zh-CN"/>
                    </w:rPr>
                    <w:t>高新区内</w:t>
                  </w:r>
                  <w:r>
                    <w:rPr>
                      <w:rFonts w:hint="default" w:ascii="Times New Roman" w:hAnsi="Times New Roman" w:eastAsia="宋体" w:cs="Times New Roman"/>
                      <w:bCs/>
                      <w:color w:val="auto"/>
                      <w:sz w:val="21"/>
                      <w:szCs w:val="21"/>
                      <w:u w:val="none" w:color="auto"/>
                    </w:rPr>
                    <w:t>可能发生突发环境事件的污染物排放企业，生产、储存、运输、使用危险化学品的企业，产生、收集、贮存危险废物的企业应当编制和实施环境应急预案；鼓励其他企业制定单独的环境应急预案，或在突发事件应急预案中制定环境应急预案专章，并备案。</w:t>
                  </w:r>
                </w:p>
                <w:p w14:paraId="2A21A3A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bCs/>
                      <w:color w:val="auto"/>
                      <w:sz w:val="21"/>
                      <w:szCs w:val="21"/>
                      <w:u w:val="none" w:color="auto"/>
                    </w:rPr>
                  </w:pPr>
                  <w:r>
                    <w:rPr>
                      <w:rFonts w:hint="default" w:ascii="Times New Roman" w:hAnsi="Times New Roman" w:eastAsia="宋体" w:cs="Times New Roman"/>
                      <w:bCs/>
                      <w:color w:val="auto"/>
                      <w:sz w:val="21"/>
                      <w:szCs w:val="21"/>
                      <w:u w:val="none" w:color="auto"/>
                    </w:rPr>
                    <w:t>（3.4）建设用地土壤风险防控：</w:t>
                  </w:r>
                  <w:r>
                    <w:rPr>
                      <w:rFonts w:hint="default" w:ascii="Times New Roman" w:hAnsi="Times New Roman" w:eastAsia="宋体" w:cs="Times New Roman"/>
                      <w:bCs/>
                      <w:color w:val="auto"/>
                      <w:sz w:val="21"/>
                      <w:szCs w:val="21"/>
                      <w:u w:val="none" w:color="auto"/>
                      <w:lang w:val="en-US" w:eastAsia="zh-CN"/>
                    </w:rPr>
                    <w:t>严格土壤污染重点</w:t>
                  </w:r>
                  <w:r>
                    <w:rPr>
                      <w:rFonts w:hint="eastAsia" w:cs="Times New Roman"/>
                      <w:bCs/>
                      <w:color w:val="auto"/>
                      <w:sz w:val="21"/>
                      <w:szCs w:val="21"/>
                      <w:u w:val="none" w:color="auto"/>
                      <w:lang w:val="en-US" w:eastAsia="zh-CN"/>
                    </w:rPr>
                    <w:t>监管</w:t>
                  </w:r>
                  <w:r>
                    <w:rPr>
                      <w:rFonts w:hint="default" w:ascii="Times New Roman" w:hAnsi="Times New Roman" w:eastAsia="宋体" w:cs="Times New Roman"/>
                      <w:bCs/>
                      <w:color w:val="auto"/>
                      <w:sz w:val="21"/>
                      <w:szCs w:val="21"/>
                      <w:u w:val="none" w:color="auto"/>
                      <w:lang w:val="en-US" w:eastAsia="zh-CN"/>
                    </w:rPr>
                    <w:t>单位和沿江化工企业搬迁腾退用地土壤污染风险管控，以用途变更为“一住两公”的地块为重点，依法开展土壤污染状况调查和</w:t>
                  </w:r>
                  <w:r>
                    <w:rPr>
                      <w:rFonts w:hint="eastAsia" w:cs="Times New Roman"/>
                      <w:bCs/>
                      <w:color w:val="auto"/>
                      <w:sz w:val="21"/>
                      <w:szCs w:val="21"/>
                      <w:u w:val="none" w:color="auto"/>
                      <w:lang w:val="en-US" w:eastAsia="zh-CN"/>
                    </w:rPr>
                    <w:t>风险评估</w:t>
                  </w:r>
                  <w:r>
                    <w:rPr>
                      <w:rFonts w:hint="default" w:ascii="Times New Roman" w:hAnsi="Times New Roman" w:eastAsia="宋体" w:cs="Times New Roman"/>
                      <w:bCs/>
                      <w:color w:val="auto"/>
                      <w:sz w:val="21"/>
                      <w:szCs w:val="21"/>
                      <w:u w:val="none" w:color="auto"/>
                      <w:lang w:val="en-US" w:eastAsia="zh-CN"/>
                    </w:rPr>
                    <w:t>。对纳入建设用地土壤污染风险管控和修复名录内的地块，移出名录前，不得核发建设工程规划许可证。对列入优先监管清单的地块，开展土壤污染调查和风险</w:t>
                  </w:r>
                  <w:r>
                    <w:rPr>
                      <w:rFonts w:hint="eastAsia" w:cs="Times New Roman"/>
                      <w:bCs/>
                      <w:color w:val="auto"/>
                      <w:sz w:val="21"/>
                      <w:szCs w:val="21"/>
                      <w:u w:val="none" w:color="auto"/>
                      <w:lang w:val="en-US" w:eastAsia="zh-CN"/>
                    </w:rPr>
                    <w:t>评估</w:t>
                  </w:r>
                  <w:r>
                    <w:rPr>
                      <w:rFonts w:hint="default" w:ascii="Times New Roman" w:hAnsi="Times New Roman" w:eastAsia="宋体" w:cs="Times New Roman"/>
                      <w:bCs/>
                      <w:color w:val="auto"/>
                      <w:sz w:val="21"/>
                      <w:szCs w:val="21"/>
                      <w:u w:val="none" w:color="auto"/>
                      <w:lang w:val="en-US" w:eastAsia="zh-CN"/>
                    </w:rPr>
                    <w:t>，按要求采取风险防控措施</w:t>
                  </w:r>
                  <w:r>
                    <w:rPr>
                      <w:rFonts w:hint="default" w:ascii="Times New Roman" w:hAnsi="Times New Roman" w:eastAsia="宋体" w:cs="Times New Roman"/>
                      <w:bCs/>
                      <w:color w:val="auto"/>
                      <w:sz w:val="21"/>
                      <w:szCs w:val="21"/>
                      <w:u w:val="none" w:color="auto"/>
                    </w:rPr>
                    <w:t>。</w:t>
                  </w:r>
                </w:p>
              </w:tc>
              <w:tc>
                <w:tcPr>
                  <w:tcW w:w="1667" w:type="pct"/>
                  <w:tcBorders>
                    <w:tl2br w:val="nil"/>
                    <w:tr2bl w:val="nil"/>
                  </w:tcBorders>
                  <w:noWrap w:val="0"/>
                  <w:vAlign w:val="center"/>
                </w:tcPr>
                <w:p w14:paraId="21C5AA0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bCs/>
                      <w:color w:val="auto"/>
                      <w:sz w:val="21"/>
                      <w:szCs w:val="21"/>
                      <w:u w:val="none" w:color="auto"/>
                    </w:rPr>
                  </w:pPr>
                  <w:r>
                    <w:rPr>
                      <w:rFonts w:hint="default" w:ascii="Times New Roman" w:hAnsi="Times New Roman" w:eastAsia="宋体" w:cs="Times New Roman"/>
                      <w:bCs/>
                      <w:color w:val="auto"/>
                      <w:sz w:val="21"/>
                      <w:szCs w:val="21"/>
                      <w:u w:val="none" w:color="auto"/>
                    </w:rPr>
                    <w:t>本项目投入运营后，将按要求</w:t>
                  </w:r>
                  <w:r>
                    <w:rPr>
                      <w:rFonts w:hint="default" w:ascii="Times New Roman" w:hAnsi="Times New Roman" w:eastAsia="宋体" w:cs="Times New Roman"/>
                      <w:bCs/>
                      <w:color w:val="auto"/>
                      <w:sz w:val="21"/>
                      <w:szCs w:val="21"/>
                      <w:u w:val="none" w:color="auto"/>
                      <w:lang w:val="en-US" w:eastAsia="zh-CN"/>
                    </w:rPr>
                    <w:t>对企业</w:t>
                  </w:r>
                  <w:r>
                    <w:rPr>
                      <w:rFonts w:hint="default" w:ascii="Times New Roman" w:hAnsi="Times New Roman" w:eastAsia="宋体" w:cs="Times New Roman"/>
                      <w:bCs/>
                      <w:color w:val="auto"/>
                      <w:sz w:val="21"/>
                      <w:szCs w:val="21"/>
                      <w:u w:val="none" w:color="auto"/>
                    </w:rPr>
                    <w:t>突发环境事件应急预案</w:t>
                  </w:r>
                  <w:r>
                    <w:rPr>
                      <w:rFonts w:hint="default" w:ascii="Times New Roman" w:hAnsi="Times New Roman" w:eastAsia="宋体" w:cs="Times New Roman"/>
                      <w:bCs/>
                      <w:color w:val="auto"/>
                      <w:sz w:val="21"/>
                      <w:szCs w:val="21"/>
                      <w:u w:val="none" w:color="auto"/>
                      <w:lang w:val="en-US" w:eastAsia="zh-CN"/>
                    </w:rPr>
                    <w:t>进行修编</w:t>
                  </w:r>
                  <w:r>
                    <w:rPr>
                      <w:rFonts w:hint="default" w:ascii="Times New Roman" w:hAnsi="Times New Roman" w:eastAsia="宋体" w:cs="Times New Roman"/>
                      <w:bCs/>
                      <w:color w:val="auto"/>
                      <w:sz w:val="21"/>
                      <w:szCs w:val="21"/>
                      <w:u w:val="none" w:color="auto"/>
                    </w:rPr>
                    <w:t>，并与园区应急预案联动。</w:t>
                  </w:r>
                </w:p>
                <w:p w14:paraId="1A7B0A9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bCs/>
                      <w:color w:val="auto"/>
                      <w:sz w:val="21"/>
                      <w:szCs w:val="21"/>
                      <w:u w:val="none" w:color="auto"/>
                      <w:lang w:val="en-US" w:eastAsia="zh-CN"/>
                    </w:rPr>
                  </w:pPr>
                  <w:r>
                    <w:rPr>
                      <w:rFonts w:hint="default" w:ascii="Times New Roman" w:hAnsi="Times New Roman" w:eastAsia="宋体" w:cs="Times New Roman"/>
                      <w:bCs/>
                      <w:color w:val="auto"/>
                      <w:sz w:val="21"/>
                      <w:szCs w:val="21"/>
                      <w:u w:val="none" w:color="auto"/>
                      <w:lang w:val="en-US" w:eastAsia="zh-CN"/>
                    </w:rPr>
                    <w:t>企业将按高新区重污染天气预警和应急减排等相关要求执行。</w:t>
                  </w:r>
                </w:p>
              </w:tc>
              <w:tc>
                <w:tcPr>
                  <w:tcW w:w="329" w:type="pct"/>
                  <w:tcBorders>
                    <w:tl2br w:val="nil"/>
                    <w:tr2bl w:val="nil"/>
                  </w:tcBorders>
                  <w:noWrap w:val="0"/>
                  <w:vAlign w:val="center"/>
                </w:tcPr>
                <w:p w14:paraId="4C08BC7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bCs/>
                      <w:color w:val="auto"/>
                      <w:sz w:val="21"/>
                      <w:szCs w:val="21"/>
                      <w:u w:val="none" w:color="auto"/>
                    </w:rPr>
                  </w:pPr>
                  <w:r>
                    <w:rPr>
                      <w:rFonts w:hint="default" w:ascii="Times New Roman" w:hAnsi="Times New Roman" w:eastAsia="宋体" w:cs="Times New Roman"/>
                      <w:bCs/>
                      <w:color w:val="auto"/>
                      <w:sz w:val="21"/>
                      <w:szCs w:val="21"/>
                      <w:u w:val="none" w:color="auto"/>
                    </w:rPr>
                    <w:t>符合</w:t>
                  </w:r>
                </w:p>
              </w:tc>
            </w:tr>
            <w:tr w14:paraId="38E61DF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57" w:type="pct"/>
                  <w:tcBorders>
                    <w:tl2br w:val="nil"/>
                    <w:tr2bl w:val="nil"/>
                  </w:tcBorders>
                  <w:noWrap w:val="0"/>
                  <w:vAlign w:val="center"/>
                </w:tcPr>
                <w:p w14:paraId="07ED4C0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bCs/>
                      <w:color w:val="auto"/>
                      <w:sz w:val="21"/>
                      <w:szCs w:val="21"/>
                      <w:u w:val="none" w:color="auto"/>
                    </w:rPr>
                  </w:pPr>
                  <w:r>
                    <w:rPr>
                      <w:rFonts w:hint="default" w:ascii="Times New Roman" w:hAnsi="Times New Roman" w:eastAsia="宋体" w:cs="Times New Roman"/>
                      <w:bCs/>
                      <w:color w:val="auto"/>
                      <w:sz w:val="21"/>
                      <w:szCs w:val="21"/>
                      <w:u w:val="none" w:color="auto"/>
                    </w:rPr>
                    <w:t>资源开发效率要求</w:t>
                  </w:r>
                </w:p>
              </w:tc>
              <w:tc>
                <w:tcPr>
                  <w:tcW w:w="2645" w:type="pct"/>
                  <w:tcBorders>
                    <w:tl2br w:val="nil"/>
                    <w:tr2bl w:val="nil"/>
                  </w:tcBorders>
                  <w:noWrap w:val="0"/>
                  <w:vAlign w:val="center"/>
                </w:tcPr>
                <w:p w14:paraId="04EA37C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bCs/>
                      <w:color w:val="auto"/>
                      <w:sz w:val="21"/>
                      <w:szCs w:val="21"/>
                      <w:u w:val="none" w:color="auto"/>
                    </w:rPr>
                  </w:pPr>
                  <w:r>
                    <w:rPr>
                      <w:rFonts w:hint="default" w:ascii="Times New Roman" w:hAnsi="Times New Roman" w:eastAsia="宋体" w:cs="Times New Roman"/>
                      <w:bCs/>
                      <w:color w:val="auto"/>
                      <w:sz w:val="21"/>
                      <w:szCs w:val="21"/>
                      <w:u w:val="none" w:color="auto"/>
                    </w:rPr>
                    <w:t>（4.1）能源：</w:t>
                  </w:r>
                </w:p>
                <w:p w14:paraId="0F655C0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bCs/>
                      <w:color w:val="auto"/>
                      <w:sz w:val="21"/>
                      <w:szCs w:val="21"/>
                      <w:u w:val="none" w:color="auto"/>
                    </w:rPr>
                  </w:pPr>
                  <w:r>
                    <w:rPr>
                      <w:rFonts w:hint="default" w:ascii="Times New Roman" w:hAnsi="Times New Roman" w:eastAsia="宋体" w:cs="Times New Roman"/>
                      <w:bCs/>
                      <w:color w:val="auto"/>
                      <w:sz w:val="21"/>
                      <w:szCs w:val="21"/>
                      <w:u w:val="none" w:color="auto"/>
                    </w:rPr>
                    <w:t>（4.1.1）开发区依托华能电厂进行集中供热，禁止使用以原煤、重油为能源的项目进入。</w:t>
                  </w:r>
                </w:p>
                <w:p w14:paraId="01FAE9F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bCs/>
                      <w:color w:val="auto"/>
                      <w:sz w:val="21"/>
                      <w:szCs w:val="21"/>
                      <w:u w:val="none" w:color="auto"/>
                    </w:rPr>
                  </w:pPr>
                  <w:r>
                    <w:rPr>
                      <w:rFonts w:hint="default" w:ascii="Times New Roman" w:hAnsi="Times New Roman" w:eastAsia="宋体" w:cs="Times New Roman"/>
                      <w:bCs/>
                      <w:color w:val="auto"/>
                      <w:sz w:val="21"/>
                      <w:szCs w:val="21"/>
                      <w:u w:val="none" w:color="auto"/>
                    </w:rPr>
                    <w:t>（4.1.2）</w:t>
                  </w:r>
                  <w:r>
                    <w:rPr>
                      <w:rFonts w:hint="default" w:ascii="Times New Roman" w:hAnsi="Times New Roman" w:eastAsia="宋体" w:cs="Times New Roman"/>
                      <w:bCs/>
                      <w:color w:val="auto"/>
                      <w:sz w:val="21"/>
                      <w:szCs w:val="21"/>
                      <w:u w:val="none" w:color="auto"/>
                      <w:lang w:val="en-US" w:eastAsia="zh-CN"/>
                    </w:rPr>
                    <w:t>高新区区域</w:t>
                  </w:r>
                  <w:r>
                    <w:rPr>
                      <w:rFonts w:hint="default" w:ascii="Times New Roman" w:hAnsi="Times New Roman" w:eastAsia="宋体" w:cs="Times New Roman"/>
                      <w:bCs/>
                      <w:color w:val="auto"/>
                      <w:sz w:val="21"/>
                      <w:szCs w:val="21"/>
                      <w:u w:val="none" w:color="auto"/>
                    </w:rPr>
                    <w:t>内能源消费主要为电力、天然气、蒸汽，无煤炭消费，202</w:t>
                  </w:r>
                  <w:r>
                    <w:rPr>
                      <w:rFonts w:hint="default" w:ascii="Times New Roman" w:hAnsi="Times New Roman" w:eastAsia="宋体" w:cs="Times New Roman"/>
                      <w:bCs/>
                      <w:color w:val="auto"/>
                      <w:sz w:val="21"/>
                      <w:szCs w:val="21"/>
                      <w:u w:val="none" w:color="auto"/>
                      <w:lang w:val="en-US" w:eastAsia="zh-CN"/>
                    </w:rPr>
                    <w:t>5</w:t>
                  </w:r>
                  <w:r>
                    <w:rPr>
                      <w:rFonts w:hint="default" w:ascii="Times New Roman" w:hAnsi="Times New Roman" w:eastAsia="宋体" w:cs="Times New Roman"/>
                      <w:bCs/>
                      <w:color w:val="auto"/>
                      <w:sz w:val="21"/>
                      <w:szCs w:val="21"/>
                      <w:u w:val="none" w:color="auto"/>
                    </w:rPr>
                    <w:t>年区域年综合能耗消费量预测当量值为</w:t>
                  </w:r>
                  <w:r>
                    <w:rPr>
                      <w:rFonts w:hint="default" w:ascii="Times New Roman" w:hAnsi="Times New Roman" w:eastAsia="宋体" w:cs="Times New Roman"/>
                      <w:bCs/>
                      <w:color w:val="auto"/>
                      <w:sz w:val="21"/>
                      <w:szCs w:val="21"/>
                      <w:u w:val="none" w:color="auto"/>
                      <w:lang w:val="en-US" w:eastAsia="zh-CN"/>
                    </w:rPr>
                    <w:t>978</w:t>
                  </w:r>
                  <w:r>
                    <w:rPr>
                      <w:rFonts w:hint="default" w:ascii="Times New Roman" w:hAnsi="Times New Roman" w:eastAsia="宋体" w:cs="Times New Roman"/>
                      <w:bCs/>
                      <w:color w:val="auto"/>
                      <w:sz w:val="21"/>
                      <w:szCs w:val="21"/>
                      <w:u w:val="none" w:color="auto"/>
                    </w:rPr>
                    <w:t>00吨标煤，</w:t>
                  </w:r>
                  <w:r>
                    <w:rPr>
                      <w:rFonts w:hint="default" w:ascii="Times New Roman" w:hAnsi="Times New Roman" w:eastAsia="宋体" w:cs="Times New Roman"/>
                      <w:bCs/>
                      <w:color w:val="auto"/>
                      <w:sz w:val="21"/>
                      <w:szCs w:val="21"/>
                      <w:u w:val="none" w:color="auto"/>
                      <w:lang w:val="en-US" w:eastAsia="zh-CN"/>
                    </w:rPr>
                    <w:t>2025年</w:t>
                  </w:r>
                  <w:r>
                    <w:rPr>
                      <w:rFonts w:hint="default" w:ascii="Times New Roman" w:hAnsi="Times New Roman" w:eastAsia="宋体" w:cs="Times New Roman"/>
                      <w:bCs/>
                      <w:color w:val="auto"/>
                      <w:sz w:val="21"/>
                      <w:szCs w:val="21"/>
                      <w:u w:val="none" w:color="auto"/>
                    </w:rPr>
                    <w:t>区域单位GDP能耗预测值为0.2</w:t>
                  </w:r>
                  <w:r>
                    <w:rPr>
                      <w:rFonts w:hint="default" w:ascii="Times New Roman" w:hAnsi="Times New Roman" w:eastAsia="宋体" w:cs="Times New Roman"/>
                      <w:bCs/>
                      <w:color w:val="auto"/>
                      <w:sz w:val="21"/>
                      <w:szCs w:val="21"/>
                      <w:u w:val="none" w:color="auto"/>
                      <w:lang w:val="en-US" w:eastAsia="zh-CN"/>
                    </w:rPr>
                    <w:t>2</w:t>
                  </w:r>
                  <w:r>
                    <w:rPr>
                      <w:rFonts w:hint="default" w:ascii="Times New Roman" w:hAnsi="Times New Roman" w:eastAsia="宋体" w:cs="Times New Roman"/>
                      <w:bCs/>
                      <w:color w:val="auto"/>
                      <w:sz w:val="21"/>
                      <w:szCs w:val="21"/>
                      <w:u w:val="none" w:color="auto"/>
                    </w:rPr>
                    <w:t>吨标煤/万元，消耗量当量控制在</w:t>
                  </w:r>
                  <w:r>
                    <w:rPr>
                      <w:rFonts w:hint="default" w:ascii="Times New Roman" w:hAnsi="Times New Roman" w:eastAsia="宋体" w:cs="Times New Roman"/>
                      <w:bCs/>
                      <w:color w:val="auto"/>
                      <w:sz w:val="21"/>
                      <w:szCs w:val="21"/>
                      <w:u w:val="none" w:color="auto"/>
                      <w:lang w:val="en-US" w:eastAsia="zh-CN"/>
                    </w:rPr>
                    <w:t>4641</w:t>
                  </w:r>
                  <w:r>
                    <w:rPr>
                      <w:rFonts w:hint="default" w:ascii="Times New Roman" w:hAnsi="Times New Roman" w:eastAsia="宋体" w:cs="Times New Roman"/>
                      <w:bCs/>
                      <w:color w:val="auto"/>
                      <w:sz w:val="21"/>
                      <w:szCs w:val="21"/>
                      <w:u w:val="none" w:color="auto"/>
                    </w:rPr>
                    <w:t>00吨标煤。</w:t>
                  </w:r>
                </w:p>
                <w:p w14:paraId="41575F7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bCs/>
                      <w:color w:val="auto"/>
                      <w:sz w:val="21"/>
                      <w:szCs w:val="21"/>
                      <w:u w:val="none" w:color="auto"/>
                      <w:lang w:val="en-US" w:eastAsia="zh-CN"/>
                    </w:rPr>
                  </w:pPr>
                  <w:r>
                    <w:rPr>
                      <w:rFonts w:hint="default" w:ascii="Times New Roman" w:hAnsi="Times New Roman" w:eastAsia="宋体" w:cs="Times New Roman"/>
                      <w:bCs/>
                      <w:color w:val="auto"/>
                      <w:sz w:val="21"/>
                      <w:szCs w:val="21"/>
                      <w:u w:val="none" w:color="auto"/>
                    </w:rPr>
                    <w:t>（4.1.3）</w:t>
                  </w:r>
                  <w:r>
                    <w:rPr>
                      <w:rFonts w:hint="default" w:ascii="Times New Roman" w:hAnsi="Times New Roman" w:eastAsia="宋体" w:cs="Times New Roman"/>
                      <w:bCs/>
                      <w:color w:val="auto"/>
                      <w:sz w:val="21"/>
                      <w:szCs w:val="21"/>
                      <w:u w:val="none" w:color="auto"/>
                      <w:lang w:val="en-US" w:eastAsia="zh-CN"/>
                    </w:rPr>
                    <w:t>禁燃区范围内不得新建、改建、扩建燃烧锅炉及高污染燃料燃用设施。</w:t>
                  </w:r>
                </w:p>
                <w:p w14:paraId="51809B5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bCs/>
                      <w:color w:val="auto"/>
                      <w:sz w:val="21"/>
                      <w:szCs w:val="21"/>
                      <w:u w:val="none" w:color="auto"/>
                    </w:rPr>
                  </w:pPr>
                  <w:r>
                    <w:rPr>
                      <w:rFonts w:hint="default" w:ascii="Times New Roman" w:hAnsi="Times New Roman" w:eastAsia="宋体" w:cs="Times New Roman"/>
                      <w:bCs/>
                      <w:color w:val="auto"/>
                      <w:sz w:val="21"/>
                      <w:szCs w:val="21"/>
                      <w:u w:val="none" w:color="auto"/>
                    </w:rPr>
                    <w:t>（4.2）水资源：</w:t>
                  </w:r>
                </w:p>
                <w:p w14:paraId="29EDDFE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bCs/>
                      <w:color w:val="auto"/>
                      <w:sz w:val="21"/>
                      <w:szCs w:val="21"/>
                      <w:u w:val="none" w:color="auto"/>
                      <w:lang w:val="en-US" w:eastAsia="zh-CN"/>
                    </w:rPr>
                  </w:pPr>
                  <w:r>
                    <w:rPr>
                      <w:rFonts w:hint="default" w:ascii="Times New Roman" w:hAnsi="Times New Roman" w:eastAsia="宋体" w:cs="Times New Roman"/>
                      <w:bCs/>
                      <w:color w:val="auto"/>
                      <w:sz w:val="21"/>
                      <w:szCs w:val="21"/>
                      <w:u w:val="none" w:color="auto"/>
                      <w:lang w:eastAsia="zh-CN"/>
                    </w:rPr>
                    <w:t>（</w:t>
                  </w:r>
                  <w:r>
                    <w:rPr>
                      <w:rFonts w:hint="default" w:ascii="Times New Roman" w:hAnsi="Times New Roman" w:eastAsia="宋体" w:cs="Times New Roman"/>
                      <w:bCs/>
                      <w:color w:val="auto"/>
                      <w:sz w:val="21"/>
                      <w:szCs w:val="21"/>
                      <w:u w:val="none" w:color="auto"/>
                      <w:lang w:val="en-US" w:eastAsia="zh-CN"/>
                    </w:rPr>
                    <w:t>4.2.1）强化生产用水管理，大力推广高效冷却、循环用水等节水工艺和技术，支持企业开展节水技术改造。</w:t>
                  </w:r>
                </w:p>
                <w:p w14:paraId="1FF62B2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bCs/>
                      <w:color w:val="auto"/>
                      <w:sz w:val="21"/>
                      <w:szCs w:val="21"/>
                      <w:u w:val="none" w:color="auto"/>
                      <w:lang w:val="en-US" w:eastAsia="zh-CN"/>
                    </w:rPr>
                  </w:pPr>
                  <w:r>
                    <w:rPr>
                      <w:rFonts w:hint="default" w:ascii="Times New Roman" w:hAnsi="Times New Roman" w:eastAsia="宋体" w:cs="Times New Roman"/>
                      <w:bCs/>
                      <w:color w:val="auto"/>
                      <w:sz w:val="21"/>
                      <w:szCs w:val="21"/>
                      <w:u w:val="none" w:color="auto"/>
                      <w:lang w:val="en-US" w:eastAsia="zh-CN"/>
                    </w:rPr>
                    <w:t>（4.2.2）</w:t>
                  </w:r>
                  <w:r>
                    <w:rPr>
                      <w:rFonts w:hint="default" w:ascii="Times New Roman" w:hAnsi="Times New Roman" w:eastAsia="宋体" w:cs="Times New Roman"/>
                      <w:bCs/>
                      <w:color w:val="auto"/>
                      <w:sz w:val="21"/>
                      <w:szCs w:val="21"/>
                      <w:u w:val="none" w:color="auto"/>
                    </w:rPr>
                    <w:t>积极</w:t>
                  </w:r>
                  <w:r>
                    <w:rPr>
                      <w:rFonts w:hint="default" w:ascii="Times New Roman" w:hAnsi="Times New Roman" w:eastAsia="宋体" w:cs="Times New Roman"/>
                      <w:bCs/>
                      <w:color w:val="auto"/>
                      <w:sz w:val="21"/>
                      <w:szCs w:val="21"/>
                      <w:u w:val="none" w:color="auto"/>
                      <w:lang w:val="en-US" w:eastAsia="zh-CN"/>
                    </w:rPr>
                    <w:t>推行水循环梯级利用，推动现有企业和高新区开展绿色高质量</w:t>
                  </w:r>
                  <w:r>
                    <w:rPr>
                      <w:rFonts w:hint="eastAsia" w:cs="Times New Roman"/>
                      <w:bCs/>
                      <w:color w:val="auto"/>
                      <w:sz w:val="21"/>
                      <w:szCs w:val="21"/>
                      <w:u w:val="none" w:color="auto"/>
                      <w:lang w:val="en-US" w:eastAsia="zh-CN"/>
                    </w:rPr>
                    <w:t>升级</w:t>
                  </w:r>
                  <w:r>
                    <w:rPr>
                      <w:rFonts w:hint="default" w:ascii="Times New Roman" w:hAnsi="Times New Roman" w:eastAsia="宋体" w:cs="Times New Roman"/>
                      <w:bCs/>
                      <w:color w:val="auto"/>
                      <w:sz w:val="21"/>
                      <w:szCs w:val="21"/>
                      <w:u w:val="none" w:color="auto"/>
                      <w:lang w:val="en-US" w:eastAsia="zh-CN"/>
                    </w:rPr>
                    <w:t>和循环化改造，促进企业间串联用水、分质用水，一水多用和循环利用。</w:t>
                  </w:r>
                </w:p>
                <w:p w14:paraId="2BD3479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bCs/>
                      <w:color w:val="auto"/>
                      <w:sz w:val="21"/>
                      <w:szCs w:val="21"/>
                      <w:u w:val="none" w:color="auto"/>
                    </w:rPr>
                  </w:pPr>
                  <w:r>
                    <w:rPr>
                      <w:rFonts w:hint="default" w:ascii="Times New Roman" w:hAnsi="Times New Roman" w:eastAsia="宋体" w:cs="Times New Roman"/>
                      <w:bCs/>
                      <w:color w:val="auto"/>
                      <w:sz w:val="21"/>
                      <w:szCs w:val="21"/>
                      <w:u w:val="none" w:color="auto"/>
                      <w:lang w:val="en-US" w:eastAsia="zh-CN"/>
                    </w:rPr>
                    <w:t>（4.2.3）</w:t>
                  </w:r>
                  <w:r>
                    <w:rPr>
                      <w:rFonts w:hint="default" w:ascii="Times New Roman" w:hAnsi="Times New Roman" w:eastAsia="宋体" w:cs="Times New Roman"/>
                      <w:bCs/>
                      <w:color w:val="auto"/>
                      <w:sz w:val="21"/>
                      <w:szCs w:val="21"/>
                      <w:u w:val="none" w:color="auto"/>
                    </w:rPr>
                    <w:t>202</w:t>
                  </w:r>
                  <w:r>
                    <w:rPr>
                      <w:rFonts w:hint="default" w:ascii="Times New Roman" w:hAnsi="Times New Roman" w:eastAsia="宋体" w:cs="Times New Roman"/>
                      <w:bCs/>
                      <w:color w:val="auto"/>
                      <w:sz w:val="21"/>
                      <w:szCs w:val="21"/>
                      <w:u w:val="none" w:color="auto"/>
                      <w:lang w:val="en-US" w:eastAsia="zh-CN"/>
                    </w:rPr>
                    <w:t>5</w:t>
                  </w:r>
                  <w:r>
                    <w:rPr>
                      <w:rFonts w:hint="default" w:ascii="Times New Roman" w:hAnsi="Times New Roman" w:eastAsia="宋体" w:cs="Times New Roman"/>
                      <w:bCs/>
                      <w:color w:val="auto"/>
                      <w:sz w:val="21"/>
                      <w:szCs w:val="21"/>
                      <w:u w:val="none" w:color="auto"/>
                    </w:rPr>
                    <w:t>年，</w:t>
                  </w:r>
                  <w:r>
                    <w:rPr>
                      <w:rFonts w:hint="default" w:ascii="Times New Roman" w:hAnsi="Times New Roman" w:eastAsia="宋体" w:cs="Times New Roman"/>
                      <w:bCs/>
                      <w:color w:val="auto"/>
                      <w:sz w:val="21"/>
                      <w:szCs w:val="21"/>
                      <w:u w:val="none" w:color="auto"/>
                      <w:lang w:val="en-US" w:eastAsia="zh-CN"/>
                    </w:rPr>
                    <w:t>高新区指标应符合相应行政区域的管控要求，</w:t>
                  </w:r>
                  <w:r>
                    <w:rPr>
                      <w:rFonts w:hint="default" w:ascii="Times New Roman" w:hAnsi="Times New Roman" w:eastAsia="宋体" w:cs="Times New Roman"/>
                      <w:bCs/>
                      <w:color w:val="auto"/>
                      <w:sz w:val="21"/>
                      <w:szCs w:val="21"/>
                      <w:u w:val="none" w:color="auto"/>
                    </w:rPr>
                    <w:t>云溪区</w:t>
                  </w:r>
                  <w:r>
                    <w:rPr>
                      <w:rFonts w:hint="default" w:ascii="Times New Roman" w:hAnsi="Times New Roman" w:eastAsia="宋体" w:cs="Times New Roman"/>
                      <w:bCs/>
                      <w:color w:val="auto"/>
                      <w:sz w:val="21"/>
                      <w:szCs w:val="21"/>
                      <w:u w:val="none" w:color="auto"/>
                      <w:lang w:val="en-US" w:eastAsia="zh-CN"/>
                    </w:rPr>
                    <w:t>用水总量2.30亿立方米，</w:t>
                  </w:r>
                  <w:r>
                    <w:rPr>
                      <w:rFonts w:hint="default" w:ascii="Times New Roman" w:hAnsi="Times New Roman" w:eastAsia="宋体" w:cs="Times New Roman"/>
                      <w:bCs/>
                      <w:color w:val="auto"/>
                      <w:sz w:val="21"/>
                      <w:szCs w:val="21"/>
                      <w:u w:val="none" w:color="auto"/>
                    </w:rPr>
                    <w:t>万元</w:t>
                  </w:r>
                  <w:r>
                    <w:rPr>
                      <w:rFonts w:hint="default" w:ascii="Times New Roman" w:hAnsi="Times New Roman" w:eastAsia="宋体" w:cs="Times New Roman"/>
                      <w:bCs/>
                      <w:color w:val="auto"/>
                      <w:sz w:val="21"/>
                      <w:szCs w:val="21"/>
                      <w:u w:val="none" w:color="auto"/>
                      <w:lang w:val="en-US" w:eastAsia="zh-CN"/>
                    </w:rPr>
                    <w:t>地区</w:t>
                  </w:r>
                  <w:r>
                    <w:rPr>
                      <w:rFonts w:hint="default" w:ascii="Times New Roman" w:hAnsi="Times New Roman" w:eastAsia="宋体" w:cs="Times New Roman"/>
                      <w:bCs/>
                      <w:color w:val="auto"/>
                      <w:sz w:val="21"/>
                      <w:szCs w:val="21"/>
                      <w:u w:val="none" w:color="auto"/>
                    </w:rPr>
                    <w:t>生产总值用水量</w:t>
                  </w:r>
                  <w:r>
                    <w:rPr>
                      <w:rFonts w:hint="default" w:ascii="Times New Roman" w:hAnsi="Times New Roman" w:eastAsia="宋体" w:cs="Times New Roman"/>
                      <w:bCs/>
                      <w:color w:val="auto"/>
                      <w:sz w:val="21"/>
                      <w:szCs w:val="21"/>
                      <w:u w:val="none" w:color="auto"/>
                      <w:lang w:val="en-US" w:eastAsia="zh-CN"/>
                    </w:rPr>
                    <w:t>比2020年下降6.68%，</w:t>
                  </w:r>
                  <w:r>
                    <w:rPr>
                      <w:rFonts w:hint="default" w:ascii="Times New Roman" w:hAnsi="Times New Roman" w:eastAsia="宋体" w:cs="Times New Roman"/>
                      <w:bCs/>
                      <w:color w:val="auto"/>
                      <w:sz w:val="21"/>
                      <w:szCs w:val="21"/>
                      <w:u w:val="none" w:color="auto"/>
                    </w:rPr>
                    <w:t>万元工业增加值用水量</w:t>
                  </w:r>
                  <w:r>
                    <w:rPr>
                      <w:rFonts w:hint="default" w:ascii="Times New Roman" w:hAnsi="Times New Roman" w:eastAsia="宋体" w:cs="Times New Roman"/>
                      <w:bCs/>
                      <w:color w:val="auto"/>
                      <w:sz w:val="21"/>
                      <w:szCs w:val="21"/>
                      <w:u w:val="none" w:color="auto"/>
                      <w:lang w:val="en-US" w:eastAsia="zh-CN"/>
                    </w:rPr>
                    <w:t>比2020年下降2.12%</w:t>
                  </w:r>
                  <w:r>
                    <w:rPr>
                      <w:rFonts w:hint="default" w:ascii="Times New Roman" w:hAnsi="Times New Roman" w:eastAsia="宋体" w:cs="Times New Roman"/>
                      <w:bCs/>
                      <w:color w:val="auto"/>
                      <w:sz w:val="21"/>
                      <w:szCs w:val="21"/>
                      <w:u w:val="none" w:color="auto"/>
                    </w:rPr>
                    <w:t>。</w:t>
                  </w:r>
                </w:p>
                <w:p w14:paraId="130506D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bCs/>
                      <w:color w:val="auto"/>
                      <w:sz w:val="21"/>
                      <w:szCs w:val="21"/>
                      <w:u w:val="none" w:color="auto"/>
                    </w:rPr>
                  </w:pPr>
                  <w:r>
                    <w:rPr>
                      <w:rFonts w:hint="default" w:ascii="Times New Roman" w:hAnsi="Times New Roman" w:eastAsia="宋体" w:cs="Times New Roman"/>
                      <w:bCs/>
                      <w:color w:val="auto"/>
                      <w:sz w:val="21"/>
                      <w:szCs w:val="21"/>
                      <w:u w:val="none" w:color="auto"/>
                    </w:rPr>
                    <w:t>（4.3）土地资源：</w:t>
                  </w:r>
                  <w:r>
                    <w:rPr>
                      <w:rFonts w:hint="default" w:ascii="Times New Roman" w:hAnsi="Times New Roman" w:eastAsia="宋体" w:cs="Times New Roman"/>
                      <w:bCs/>
                      <w:color w:val="auto"/>
                      <w:sz w:val="21"/>
                      <w:szCs w:val="21"/>
                      <w:u w:val="none" w:color="auto"/>
                      <w:lang w:val="en-US" w:eastAsia="zh-CN"/>
                    </w:rPr>
                    <w:t>在详细规划编制、用地预审与选址、用地报批、土地出让、规划许可、竣工验收等环节，全面推行工业项目建设用地引导指标和工业项目供地负面清单管理。省级园区工业用地固定资产投入强度达到260万元/亩，工业用地地均税收达到13万元/亩。</w:t>
                  </w:r>
                </w:p>
              </w:tc>
              <w:tc>
                <w:tcPr>
                  <w:tcW w:w="1667" w:type="pct"/>
                  <w:tcBorders>
                    <w:tl2br w:val="nil"/>
                    <w:tr2bl w:val="nil"/>
                  </w:tcBorders>
                  <w:noWrap w:val="0"/>
                  <w:vAlign w:val="center"/>
                </w:tcPr>
                <w:p w14:paraId="50B6430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bCs/>
                      <w:color w:val="auto"/>
                      <w:sz w:val="21"/>
                      <w:szCs w:val="21"/>
                      <w:u w:val="none" w:color="auto"/>
                    </w:rPr>
                  </w:pPr>
                  <w:r>
                    <w:rPr>
                      <w:rFonts w:hint="default" w:ascii="Times New Roman" w:hAnsi="Times New Roman" w:eastAsia="宋体" w:cs="Times New Roman"/>
                      <w:bCs/>
                      <w:color w:val="auto"/>
                      <w:sz w:val="21"/>
                      <w:szCs w:val="21"/>
                      <w:u w:val="none" w:color="auto"/>
                    </w:rPr>
                    <w:t>本项目使用电能</w:t>
                  </w:r>
                  <w:r>
                    <w:rPr>
                      <w:rFonts w:hint="default" w:ascii="Times New Roman" w:hAnsi="Times New Roman" w:eastAsia="宋体" w:cs="Times New Roman"/>
                      <w:bCs/>
                      <w:color w:val="auto"/>
                      <w:sz w:val="21"/>
                      <w:szCs w:val="21"/>
                      <w:u w:val="none" w:color="auto"/>
                      <w:lang w:eastAsia="zh-CN"/>
                    </w:rPr>
                    <w:t>、</w:t>
                  </w:r>
                  <w:r>
                    <w:rPr>
                      <w:rFonts w:hint="default" w:ascii="Times New Roman" w:hAnsi="Times New Roman" w:eastAsia="宋体" w:cs="Times New Roman"/>
                      <w:bCs/>
                      <w:color w:val="auto"/>
                      <w:sz w:val="21"/>
                      <w:szCs w:val="21"/>
                      <w:u w:val="none" w:color="auto"/>
                      <w:lang w:val="en-US" w:eastAsia="zh-CN"/>
                    </w:rPr>
                    <w:t>天然气和生物质颗粒为燃料</w:t>
                  </w:r>
                  <w:r>
                    <w:rPr>
                      <w:rFonts w:hint="default" w:ascii="Times New Roman" w:hAnsi="Times New Roman" w:eastAsia="宋体" w:cs="Times New Roman"/>
                      <w:bCs/>
                      <w:color w:val="auto"/>
                      <w:sz w:val="21"/>
                      <w:szCs w:val="21"/>
                      <w:u w:val="none" w:color="auto"/>
                    </w:rPr>
                    <w:t>，不涉及使用原煤、重油等能源。</w:t>
                  </w:r>
                </w:p>
                <w:p w14:paraId="5AE1850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bCs/>
                      <w:color w:val="auto"/>
                      <w:sz w:val="21"/>
                      <w:szCs w:val="21"/>
                      <w:u w:val="none" w:color="auto"/>
                      <w:lang w:val="en-US" w:eastAsia="zh-CN"/>
                    </w:rPr>
                  </w:pPr>
                  <w:r>
                    <w:rPr>
                      <w:rFonts w:hint="default" w:ascii="Times New Roman" w:hAnsi="Times New Roman" w:eastAsia="宋体" w:cs="Times New Roman"/>
                      <w:bCs/>
                      <w:color w:val="auto"/>
                      <w:sz w:val="21"/>
                      <w:szCs w:val="21"/>
                      <w:u w:val="none" w:color="auto"/>
                      <w:lang w:val="en-US" w:eastAsia="zh-CN"/>
                    </w:rPr>
                    <w:t>项目使用高效冷却，并提高水循环利用</w:t>
                  </w:r>
                </w:p>
              </w:tc>
              <w:tc>
                <w:tcPr>
                  <w:tcW w:w="329" w:type="pct"/>
                  <w:tcBorders>
                    <w:tl2br w:val="nil"/>
                    <w:tr2bl w:val="nil"/>
                  </w:tcBorders>
                  <w:noWrap w:val="0"/>
                  <w:vAlign w:val="center"/>
                </w:tcPr>
                <w:p w14:paraId="7F5C28C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bCs/>
                      <w:color w:val="auto"/>
                      <w:sz w:val="21"/>
                      <w:szCs w:val="21"/>
                      <w:u w:val="none" w:color="auto"/>
                    </w:rPr>
                  </w:pPr>
                  <w:r>
                    <w:rPr>
                      <w:rFonts w:hint="default" w:ascii="Times New Roman" w:hAnsi="Times New Roman" w:eastAsia="宋体" w:cs="Times New Roman"/>
                      <w:bCs/>
                      <w:color w:val="auto"/>
                      <w:sz w:val="21"/>
                      <w:szCs w:val="21"/>
                      <w:u w:val="none" w:color="auto"/>
                    </w:rPr>
                    <w:t>符合</w:t>
                  </w:r>
                </w:p>
              </w:tc>
            </w:tr>
          </w:tbl>
          <w:p w14:paraId="00469411">
            <w:pPr>
              <w:spacing w:line="360" w:lineRule="auto"/>
              <w:ind w:firstLine="480" w:firstLineChars="200"/>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按照上述分析内容，本项目的建设符合</w:t>
            </w:r>
            <w:r>
              <w:rPr>
                <w:rFonts w:hint="default" w:ascii="Times New Roman" w:hAnsi="Times New Roman" w:eastAsia="宋体" w:cs="Times New Roman"/>
                <w:color w:val="auto"/>
                <w:sz w:val="24"/>
                <w:szCs w:val="24"/>
                <w:highlight w:val="none"/>
                <w:u w:val="none" w:color="auto"/>
                <w:lang w:eastAsia="zh-CN"/>
              </w:rPr>
              <w:t>“</w:t>
            </w:r>
            <w:r>
              <w:rPr>
                <w:rFonts w:hint="default" w:ascii="Times New Roman" w:hAnsi="Times New Roman" w:eastAsia="宋体" w:cs="Times New Roman"/>
                <w:color w:val="auto"/>
                <w:sz w:val="24"/>
                <w:szCs w:val="24"/>
                <w:highlight w:val="none"/>
                <w:u w:val="none" w:color="auto"/>
                <w:lang w:val="en-US" w:eastAsia="zh-CN"/>
              </w:rPr>
              <w:t>三线一单</w:t>
            </w:r>
            <w:r>
              <w:rPr>
                <w:rFonts w:hint="default" w:ascii="Times New Roman" w:hAnsi="Times New Roman" w:eastAsia="宋体" w:cs="Times New Roman"/>
                <w:color w:val="auto"/>
                <w:sz w:val="24"/>
                <w:szCs w:val="24"/>
                <w:highlight w:val="none"/>
                <w:u w:val="none" w:color="auto"/>
                <w:lang w:eastAsia="zh-CN"/>
              </w:rPr>
              <w:t>”</w:t>
            </w:r>
            <w:r>
              <w:rPr>
                <w:rFonts w:hint="default" w:ascii="Times New Roman" w:hAnsi="Times New Roman" w:eastAsia="宋体" w:cs="Times New Roman"/>
                <w:color w:val="auto"/>
                <w:sz w:val="24"/>
                <w:szCs w:val="24"/>
                <w:highlight w:val="none"/>
                <w:u w:val="none" w:color="auto"/>
                <w:lang w:val="en-US" w:eastAsia="zh-CN"/>
              </w:rPr>
              <w:t>提出的相关要求</w:t>
            </w:r>
            <w:r>
              <w:rPr>
                <w:rFonts w:hint="default" w:ascii="Times New Roman" w:hAnsi="Times New Roman" w:eastAsia="宋体" w:cs="Times New Roman"/>
                <w:color w:val="auto"/>
                <w:sz w:val="24"/>
                <w:szCs w:val="24"/>
                <w:highlight w:val="none"/>
                <w:u w:val="none" w:color="auto"/>
              </w:rPr>
              <w:t>。</w:t>
            </w:r>
          </w:p>
          <w:p w14:paraId="6B368DC5">
            <w:pPr>
              <w:autoSpaceDE w:val="0"/>
              <w:autoSpaceDN w:val="0"/>
              <w:spacing w:line="360" w:lineRule="auto"/>
              <w:rPr>
                <w:rFonts w:hint="default" w:ascii="Times New Roman" w:hAnsi="Times New Roman" w:eastAsia="宋体" w:cs="Times New Roman"/>
                <w:b/>
                <w:bCs/>
                <w:color w:val="auto"/>
                <w:kern w:val="0"/>
                <w:sz w:val="24"/>
                <w:szCs w:val="24"/>
                <w:u w:val="none" w:color="auto"/>
              </w:rPr>
            </w:pPr>
            <w:r>
              <w:rPr>
                <w:rFonts w:hint="default" w:ascii="Times New Roman" w:hAnsi="Times New Roman" w:eastAsia="宋体" w:cs="Times New Roman"/>
                <w:b/>
                <w:bCs/>
                <w:color w:val="auto"/>
                <w:kern w:val="0"/>
                <w:sz w:val="24"/>
                <w:szCs w:val="24"/>
                <w:u w:val="none" w:color="auto"/>
                <w:lang w:val="en-US" w:eastAsia="zh-CN"/>
              </w:rPr>
              <w:t>四</w:t>
            </w:r>
            <w:r>
              <w:rPr>
                <w:rFonts w:hint="default" w:ascii="Times New Roman" w:hAnsi="Times New Roman" w:eastAsia="宋体" w:cs="Times New Roman"/>
                <w:b/>
                <w:bCs/>
                <w:color w:val="auto"/>
                <w:kern w:val="0"/>
                <w:sz w:val="24"/>
                <w:szCs w:val="24"/>
                <w:u w:val="none" w:color="auto"/>
              </w:rPr>
              <w:t>、与《湖南省长江经济带发展负面清单实施细则（试行，2022年版）》符合性分析</w:t>
            </w:r>
          </w:p>
          <w:p w14:paraId="0385BC1E">
            <w:pPr>
              <w:pStyle w:val="87"/>
              <w:topLinePunct w:val="0"/>
              <w:bidi w:val="0"/>
              <w:adjustRightInd/>
              <w:snapToGrid/>
              <w:spacing w:line="360" w:lineRule="auto"/>
              <w:rPr>
                <w:rFonts w:hint="default" w:ascii="Times New Roman" w:hAnsi="Times New Roman" w:eastAsia="宋体" w:cs="Times New Roman"/>
                <w:b/>
                <w:bCs/>
                <w:color w:val="auto"/>
                <w:sz w:val="24"/>
                <w:szCs w:val="24"/>
                <w:highlight w:val="yellow"/>
                <w:u w:val="none" w:color="auto"/>
              </w:rPr>
            </w:pPr>
            <w:r>
              <w:rPr>
                <w:rFonts w:hint="default" w:ascii="Times New Roman" w:hAnsi="Times New Roman" w:eastAsia="宋体" w:cs="Times New Roman"/>
                <w:color w:val="auto"/>
                <w:sz w:val="24"/>
                <w:szCs w:val="24"/>
                <w:highlight w:val="none"/>
                <w:u w:val="none" w:color="auto"/>
              </w:rPr>
              <w:t>根据</w:t>
            </w:r>
            <w:r>
              <w:rPr>
                <w:rFonts w:hint="default" w:ascii="Times New Roman" w:hAnsi="Times New Roman" w:eastAsia="宋体" w:cs="Times New Roman"/>
                <w:color w:val="auto"/>
                <w:sz w:val="24"/>
                <w:szCs w:val="24"/>
                <w:highlight w:val="none"/>
                <w:u w:val="none" w:color="auto"/>
                <w:lang w:eastAsia="zh-CN"/>
              </w:rPr>
              <w:t>《湖南省长江经济带发展负面清单实施细则（试行，2022年版）》，</w:t>
            </w:r>
            <w:r>
              <w:rPr>
                <w:rFonts w:hint="default" w:ascii="Times New Roman" w:hAnsi="Times New Roman" w:eastAsia="宋体" w:cs="Times New Roman"/>
                <w:color w:val="auto"/>
                <w:sz w:val="24"/>
                <w:szCs w:val="24"/>
                <w:highlight w:val="none"/>
                <w:u w:val="none" w:color="auto"/>
              </w:rPr>
              <w:t>对照分析与本项目有关的政策要求相符性分析：</w:t>
            </w:r>
          </w:p>
          <w:p w14:paraId="32D0A1BB">
            <w:pPr>
              <w:pStyle w:val="30"/>
              <w:tabs>
                <w:tab w:val="left" w:pos="1021"/>
              </w:tabs>
              <w:topLinePunct w:val="0"/>
              <w:bidi w:val="0"/>
              <w:adjustRightInd/>
              <w:snapToGrid/>
              <w:spacing w:after="0"/>
              <w:ind w:left="0" w:leftChars="0" w:firstLine="0" w:firstLineChars="0"/>
              <w:jc w:val="center"/>
              <w:rPr>
                <w:rFonts w:hint="default" w:ascii="Times New Roman" w:hAnsi="Times New Roman" w:eastAsia="宋体" w:cs="Times New Roman"/>
                <w:b/>
                <w:bCs/>
                <w:color w:val="auto"/>
                <w:sz w:val="21"/>
                <w:szCs w:val="21"/>
                <w:highlight w:val="none"/>
                <w:u w:val="none" w:color="auto"/>
              </w:rPr>
            </w:pPr>
            <w:r>
              <w:rPr>
                <w:rFonts w:hint="default" w:ascii="Times New Roman" w:hAnsi="Times New Roman" w:eastAsia="宋体" w:cs="Times New Roman"/>
                <w:b/>
                <w:bCs/>
                <w:color w:val="auto"/>
                <w:sz w:val="21"/>
                <w:szCs w:val="21"/>
                <w:highlight w:val="none"/>
                <w:u w:val="none" w:color="auto"/>
              </w:rPr>
              <w:t>表</w:t>
            </w:r>
            <w:r>
              <w:rPr>
                <w:rFonts w:hint="default" w:ascii="Times New Roman" w:hAnsi="Times New Roman" w:eastAsia="宋体" w:cs="Times New Roman"/>
                <w:b/>
                <w:bCs/>
                <w:color w:val="auto"/>
                <w:sz w:val="21"/>
                <w:szCs w:val="21"/>
                <w:highlight w:val="none"/>
                <w:u w:val="none" w:color="auto"/>
                <w:lang w:val="en-US" w:eastAsia="zh-CN"/>
              </w:rPr>
              <w:t>1-4</w:t>
            </w:r>
            <w:r>
              <w:rPr>
                <w:rFonts w:hint="default" w:ascii="Times New Roman" w:hAnsi="Times New Roman" w:eastAsia="宋体" w:cs="Times New Roman"/>
                <w:b/>
                <w:bCs/>
                <w:color w:val="auto"/>
                <w:sz w:val="21"/>
                <w:szCs w:val="21"/>
                <w:highlight w:val="none"/>
                <w:u w:val="none" w:color="auto"/>
              </w:rPr>
              <w:t xml:space="preserve">  与</w:t>
            </w:r>
            <w:r>
              <w:rPr>
                <w:rFonts w:hint="default" w:ascii="Times New Roman" w:hAnsi="Times New Roman" w:eastAsia="宋体" w:cs="Times New Roman"/>
                <w:b/>
                <w:bCs/>
                <w:color w:val="auto"/>
                <w:sz w:val="21"/>
                <w:szCs w:val="21"/>
                <w:highlight w:val="none"/>
                <w:u w:val="none" w:color="auto"/>
                <w:lang w:eastAsia="zh-CN"/>
              </w:rPr>
              <w:t>《湖南省长江经济带发展负面清单实施细则（试行，2022年版）》</w:t>
            </w:r>
            <w:r>
              <w:rPr>
                <w:rFonts w:hint="default" w:ascii="Times New Roman" w:hAnsi="Times New Roman" w:eastAsia="宋体" w:cs="Times New Roman"/>
                <w:b/>
                <w:bCs/>
                <w:color w:val="auto"/>
                <w:sz w:val="21"/>
                <w:szCs w:val="21"/>
                <w:highlight w:val="none"/>
                <w:u w:val="none" w:color="auto"/>
              </w:rPr>
              <w:t>相符性分析</w:t>
            </w:r>
          </w:p>
          <w:tbl>
            <w:tblPr>
              <w:tblStyle w:val="31"/>
              <w:tblW w:w="4997"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3755"/>
              <w:gridCol w:w="2050"/>
              <w:gridCol w:w="865"/>
            </w:tblGrid>
            <w:tr w14:paraId="1327317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blHeader/>
              </w:trPr>
              <w:tc>
                <w:tcPr>
                  <w:tcW w:w="2814" w:type="pct"/>
                  <w:noWrap w:val="0"/>
                  <w:vAlign w:val="center"/>
                </w:tcPr>
                <w:p w14:paraId="68F4B24A">
                  <w:pPr>
                    <w:pStyle w:val="30"/>
                    <w:tabs>
                      <w:tab w:val="left" w:pos="1021"/>
                    </w:tabs>
                    <w:topLinePunct w:val="0"/>
                    <w:bidi w:val="0"/>
                    <w:adjustRightInd/>
                    <w:snapToGrid/>
                    <w:spacing w:after="0"/>
                    <w:ind w:left="0" w:leftChars="0" w:firstLine="0" w:firstLineChars="0"/>
                    <w:jc w:val="center"/>
                    <w:rPr>
                      <w:rFonts w:hint="default" w:ascii="Times New Roman" w:hAnsi="Times New Roman" w:eastAsia="宋体" w:cs="Times New Roman"/>
                      <w:b/>
                      <w:bCs/>
                      <w:color w:val="auto"/>
                      <w:sz w:val="21"/>
                      <w:szCs w:val="21"/>
                      <w:highlight w:val="none"/>
                      <w:u w:val="none" w:color="auto"/>
                    </w:rPr>
                  </w:pPr>
                  <w:r>
                    <w:rPr>
                      <w:rFonts w:hint="default" w:ascii="Times New Roman" w:hAnsi="Times New Roman" w:eastAsia="宋体" w:cs="Times New Roman"/>
                      <w:b/>
                      <w:bCs/>
                      <w:color w:val="auto"/>
                      <w:sz w:val="21"/>
                      <w:szCs w:val="21"/>
                      <w:highlight w:val="none"/>
                      <w:u w:val="none" w:color="auto"/>
                    </w:rPr>
                    <w:t>与本项目有关的政策要求</w:t>
                  </w:r>
                </w:p>
              </w:tc>
              <w:tc>
                <w:tcPr>
                  <w:tcW w:w="1536" w:type="pct"/>
                  <w:noWrap w:val="0"/>
                  <w:vAlign w:val="center"/>
                </w:tcPr>
                <w:p w14:paraId="002E5AFF">
                  <w:pPr>
                    <w:pStyle w:val="30"/>
                    <w:tabs>
                      <w:tab w:val="left" w:pos="1021"/>
                    </w:tabs>
                    <w:topLinePunct w:val="0"/>
                    <w:bidi w:val="0"/>
                    <w:adjustRightInd/>
                    <w:snapToGrid/>
                    <w:spacing w:after="0"/>
                    <w:ind w:left="0" w:leftChars="0" w:firstLine="0" w:firstLineChars="0"/>
                    <w:jc w:val="center"/>
                    <w:rPr>
                      <w:rFonts w:hint="default" w:ascii="Times New Roman" w:hAnsi="Times New Roman" w:eastAsia="宋体" w:cs="Times New Roman"/>
                      <w:b/>
                      <w:bCs/>
                      <w:color w:val="auto"/>
                      <w:sz w:val="21"/>
                      <w:szCs w:val="21"/>
                      <w:highlight w:val="none"/>
                      <w:u w:val="none" w:color="auto"/>
                    </w:rPr>
                  </w:pPr>
                  <w:r>
                    <w:rPr>
                      <w:rFonts w:hint="default" w:ascii="Times New Roman" w:hAnsi="Times New Roman" w:eastAsia="宋体" w:cs="Times New Roman"/>
                      <w:b/>
                      <w:bCs/>
                      <w:color w:val="auto"/>
                      <w:sz w:val="21"/>
                      <w:szCs w:val="21"/>
                      <w:highlight w:val="none"/>
                      <w:u w:val="none" w:color="auto"/>
                    </w:rPr>
                    <w:t>项目情况</w:t>
                  </w:r>
                </w:p>
              </w:tc>
              <w:tc>
                <w:tcPr>
                  <w:tcW w:w="648" w:type="pct"/>
                  <w:noWrap w:val="0"/>
                  <w:vAlign w:val="center"/>
                </w:tcPr>
                <w:p w14:paraId="3D5620C5">
                  <w:pPr>
                    <w:pStyle w:val="30"/>
                    <w:tabs>
                      <w:tab w:val="left" w:pos="1021"/>
                    </w:tabs>
                    <w:topLinePunct w:val="0"/>
                    <w:bidi w:val="0"/>
                    <w:adjustRightInd/>
                    <w:snapToGrid/>
                    <w:spacing w:after="0"/>
                    <w:ind w:left="0" w:leftChars="0" w:firstLine="0" w:firstLineChars="0"/>
                    <w:jc w:val="center"/>
                    <w:rPr>
                      <w:rFonts w:hint="default" w:ascii="Times New Roman" w:hAnsi="Times New Roman" w:eastAsia="宋体" w:cs="Times New Roman"/>
                      <w:b/>
                      <w:bCs/>
                      <w:color w:val="auto"/>
                      <w:sz w:val="21"/>
                      <w:szCs w:val="21"/>
                      <w:highlight w:val="none"/>
                      <w:u w:val="none" w:color="auto"/>
                    </w:rPr>
                  </w:pPr>
                  <w:r>
                    <w:rPr>
                      <w:rFonts w:hint="default" w:ascii="Times New Roman" w:hAnsi="Times New Roman" w:eastAsia="宋体" w:cs="Times New Roman"/>
                      <w:b/>
                      <w:bCs/>
                      <w:color w:val="auto"/>
                      <w:sz w:val="21"/>
                      <w:szCs w:val="21"/>
                      <w:highlight w:val="none"/>
                      <w:u w:val="none" w:color="auto"/>
                    </w:rPr>
                    <w:t>相符性</w:t>
                  </w:r>
                </w:p>
              </w:tc>
            </w:tr>
            <w:tr w14:paraId="0CC2E3A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814" w:type="pct"/>
                  <w:noWrap w:val="0"/>
                  <w:vAlign w:val="center"/>
                </w:tcPr>
                <w:p w14:paraId="3DA64573">
                  <w:pPr>
                    <w:tabs>
                      <w:tab w:val="left" w:pos="1021"/>
                    </w:tabs>
                    <w:topLinePunct w:val="0"/>
                    <w:bidi w:val="0"/>
                    <w:adjustRightInd/>
                    <w:snapToGrid/>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禁止在自然保护区核心区、缓冲区的岸线和河段范围内投资建设以下旅游和生产经营项目：</w:t>
                  </w:r>
                </w:p>
                <w:p w14:paraId="3FB66EEE">
                  <w:pPr>
                    <w:tabs>
                      <w:tab w:val="left" w:pos="1021"/>
                    </w:tabs>
                    <w:topLinePunct w:val="0"/>
                    <w:bidi w:val="0"/>
                    <w:adjustRightInd/>
                    <w:snapToGrid/>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（一）高尔夫球场开发、房地产开发、索道建设、会所建设等项目；</w:t>
                  </w:r>
                </w:p>
                <w:p w14:paraId="24BBD423">
                  <w:pPr>
                    <w:tabs>
                      <w:tab w:val="left" w:pos="1021"/>
                    </w:tabs>
                    <w:topLinePunct w:val="0"/>
                    <w:bidi w:val="0"/>
                    <w:adjustRightInd/>
                    <w:snapToGrid/>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（二）光伏发电、风力发电、火力发电建设项目；</w:t>
                  </w:r>
                </w:p>
                <w:p w14:paraId="46EEBBC3">
                  <w:pPr>
                    <w:tabs>
                      <w:tab w:val="left" w:pos="1021"/>
                    </w:tabs>
                    <w:topLinePunct w:val="0"/>
                    <w:bidi w:val="0"/>
                    <w:adjustRightInd/>
                    <w:snapToGrid/>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（三）社会资金进行商业性探矿勘查</w:t>
                  </w: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rPr>
                    <w:t>以及不属于国家紧缺矿种资源的基础地质调查和矿产远景调查等公益性工作的设施建设；</w:t>
                  </w:r>
                </w:p>
                <w:p w14:paraId="724F939C">
                  <w:pPr>
                    <w:tabs>
                      <w:tab w:val="left" w:pos="1021"/>
                    </w:tabs>
                    <w:topLinePunct w:val="0"/>
                    <w:bidi w:val="0"/>
                    <w:adjustRightInd/>
                    <w:snapToGrid/>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（四）野生动物驯养繁殖、展览基地建设项目；</w:t>
                  </w:r>
                </w:p>
                <w:p w14:paraId="3D34F289">
                  <w:pPr>
                    <w:tabs>
                      <w:tab w:val="left" w:pos="1021"/>
                    </w:tabs>
                    <w:topLinePunct w:val="0"/>
                    <w:bidi w:val="0"/>
                    <w:adjustRightInd/>
                    <w:snapToGrid/>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（五）污染环境、破坏自然资源或自然景观的建设设施；</w:t>
                  </w:r>
                </w:p>
                <w:p w14:paraId="181E20FE">
                  <w:pPr>
                    <w:tabs>
                      <w:tab w:val="left" w:pos="1021"/>
                    </w:tabs>
                    <w:topLinePunct w:val="0"/>
                    <w:bidi w:val="0"/>
                    <w:adjustRightInd/>
                    <w:snapToGrid/>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（六）对自然保护区主要保护对象产生重大影响、改变自然生态系统完整性、原真性、破坏自然景观的设施；</w:t>
                  </w:r>
                </w:p>
                <w:p w14:paraId="0CFB6EAF">
                  <w:pPr>
                    <w:tabs>
                      <w:tab w:val="left" w:pos="1021"/>
                    </w:tabs>
                    <w:topLinePunct w:val="0"/>
                    <w:bidi w:val="0"/>
                    <w:adjustRightInd/>
                    <w:snapToGrid/>
                    <w:jc w:val="center"/>
                    <w:rPr>
                      <w:rFonts w:hint="default" w:ascii="Times New Roman" w:hAnsi="Times New Roman" w:eastAsia="宋体" w:cs="Times New Roman"/>
                      <w:b/>
                      <w:bCs/>
                      <w:color w:val="auto"/>
                      <w:sz w:val="21"/>
                      <w:szCs w:val="21"/>
                      <w:highlight w:val="none"/>
                      <w:u w:val="none" w:color="auto"/>
                    </w:rPr>
                  </w:pPr>
                  <w:r>
                    <w:rPr>
                      <w:rFonts w:hint="default" w:ascii="Times New Roman" w:hAnsi="Times New Roman" w:eastAsia="宋体" w:cs="Times New Roman"/>
                      <w:color w:val="auto"/>
                      <w:sz w:val="21"/>
                      <w:szCs w:val="21"/>
                      <w:u w:val="none" w:color="auto"/>
                    </w:rPr>
                    <w:t>（七）其他不符合自然保护区主体功能定位和国家禁止的设施。</w:t>
                  </w:r>
                </w:p>
              </w:tc>
              <w:tc>
                <w:tcPr>
                  <w:tcW w:w="1536" w:type="pct"/>
                  <w:noWrap w:val="0"/>
                  <w:vAlign w:val="center"/>
                </w:tcPr>
                <w:p w14:paraId="57B7A785">
                  <w:pPr>
                    <w:pStyle w:val="30"/>
                    <w:tabs>
                      <w:tab w:val="left" w:pos="1021"/>
                    </w:tabs>
                    <w:topLinePunct w:val="0"/>
                    <w:bidi w:val="0"/>
                    <w:adjustRightInd/>
                    <w:snapToGrid/>
                    <w:spacing w:after="0"/>
                    <w:ind w:left="0" w:leftChars="0" w:firstLine="0" w:firstLineChars="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不涉及</w:t>
                  </w:r>
                  <w:r>
                    <w:rPr>
                      <w:rFonts w:hint="default" w:ascii="Times New Roman" w:hAnsi="Times New Roman" w:eastAsia="宋体" w:cs="Times New Roman"/>
                      <w:color w:val="auto"/>
                      <w:sz w:val="21"/>
                      <w:szCs w:val="21"/>
                      <w:highlight w:val="none"/>
                      <w:u w:val="none" w:color="auto"/>
                      <w:lang w:val="zh-CN"/>
                    </w:rPr>
                    <w:t>自然保护区</w:t>
                  </w:r>
                  <w:r>
                    <w:rPr>
                      <w:rFonts w:hint="default" w:ascii="Times New Roman" w:hAnsi="Times New Roman" w:eastAsia="宋体" w:cs="Times New Roman"/>
                      <w:color w:val="auto"/>
                      <w:sz w:val="21"/>
                      <w:szCs w:val="21"/>
                      <w:u w:val="none" w:color="auto"/>
                    </w:rPr>
                    <w:t>核心区、缓冲区的岸线和河段范围</w:t>
                  </w:r>
                </w:p>
              </w:tc>
              <w:tc>
                <w:tcPr>
                  <w:tcW w:w="648" w:type="pct"/>
                  <w:noWrap w:val="0"/>
                  <w:vAlign w:val="center"/>
                </w:tcPr>
                <w:p w14:paraId="25C9E740">
                  <w:pPr>
                    <w:pStyle w:val="30"/>
                    <w:tabs>
                      <w:tab w:val="left" w:pos="1021"/>
                    </w:tabs>
                    <w:topLinePunct w:val="0"/>
                    <w:bidi w:val="0"/>
                    <w:adjustRightInd/>
                    <w:snapToGrid/>
                    <w:spacing w:after="0"/>
                    <w:ind w:left="0" w:leftChars="0" w:firstLine="0" w:firstLineChars="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相符</w:t>
                  </w:r>
                </w:p>
              </w:tc>
            </w:tr>
            <w:tr w14:paraId="35316BA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814" w:type="pct"/>
                  <w:noWrap w:val="0"/>
                  <w:vAlign w:val="center"/>
                </w:tcPr>
                <w:p w14:paraId="2B5B9F29">
                  <w:pPr>
                    <w:tabs>
                      <w:tab w:val="left" w:pos="1021"/>
                    </w:tabs>
                    <w:topLinePunct w:val="0"/>
                    <w:bidi w:val="0"/>
                    <w:adjustRightInd/>
                    <w:snapToGrid/>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禁止违反风景名胜区规划</w:t>
                  </w: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rPr>
                    <w:t>在风景名胜区内设立各类开发区和在核心景区内建设宾馆、招待所、培训中心、疗养院以及与风景名</w:t>
                  </w:r>
                  <w:r>
                    <w:rPr>
                      <w:rFonts w:hint="eastAsia" w:cs="Times New Roman"/>
                      <w:color w:val="auto"/>
                      <w:sz w:val="21"/>
                      <w:szCs w:val="21"/>
                      <w:u w:val="none" w:color="auto"/>
                      <w:lang w:eastAsia="zh-CN"/>
                    </w:rPr>
                    <w:t>胜区</w:t>
                  </w:r>
                  <w:r>
                    <w:rPr>
                      <w:rFonts w:hint="default" w:ascii="Times New Roman" w:hAnsi="Times New Roman" w:eastAsia="宋体" w:cs="Times New Roman"/>
                      <w:color w:val="auto"/>
                      <w:sz w:val="21"/>
                      <w:szCs w:val="21"/>
                      <w:u w:val="none" w:color="auto"/>
                    </w:rPr>
                    <w:t>资源保护无关的其他建筑物；已经建设的,应当按照风景名胜区规划</w:t>
                  </w: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rPr>
                    <w:t>逐步迁出</w:t>
                  </w:r>
                </w:p>
              </w:tc>
              <w:tc>
                <w:tcPr>
                  <w:tcW w:w="1536" w:type="pct"/>
                  <w:noWrap w:val="0"/>
                  <w:vAlign w:val="center"/>
                </w:tcPr>
                <w:p w14:paraId="451D27B1">
                  <w:pPr>
                    <w:tabs>
                      <w:tab w:val="left" w:pos="1021"/>
                    </w:tabs>
                    <w:topLinePunct w:val="0"/>
                    <w:bidi w:val="0"/>
                    <w:adjustRightInd/>
                    <w:snapToGrid/>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本项目不涉及风景名胜区</w:t>
                  </w:r>
                </w:p>
              </w:tc>
              <w:tc>
                <w:tcPr>
                  <w:tcW w:w="648" w:type="pct"/>
                  <w:noWrap w:val="0"/>
                  <w:vAlign w:val="center"/>
                </w:tcPr>
                <w:p w14:paraId="487C57E8">
                  <w:pPr>
                    <w:topLinePunct w:val="0"/>
                    <w:bidi w:val="0"/>
                    <w:adjustRightInd/>
                    <w:snapToGrid/>
                    <w:spacing w:after="0"/>
                    <w:ind w:left="0" w:leftChars="0" w:firstLine="0" w:firstLineChars="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相符</w:t>
                  </w:r>
                </w:p>
              </w:tc>
            </w:tr>
            <w:tr w14:paraId="10E11DB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814" w:type="pct"/>
                  <w:noWrap w:val="0"/>
                  <w:vAlign w:val="center"/>
                </w:tcPr>
                <w:p w14:paraId="60481350">
                  <w:pPr>
                    <w:tabs>
                      <w:tab w:val="left" w:pos="1021"/>
                    </w:tabs>
                    <w:topLinePunct w:val="0"/>
                    <w:bidi w:val="0"/>
                    <w:adjustRightInd/>
                    <w:snapToGrid/>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u w:val="none" w:color="auto"/>
                    </w:rPr>
                    <w:t>饮用水水源一级保护区内禁止新建、改建、扩建与供水设施和保护水源无关的建设项目</w:t>
                  </w: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rPr>
                    <w:t>以及网箱养殖、畜禽养殖、旅游等可能污染饮用水水体的投资建设项目；禁止向水域排放污水</w:t>
                  </w: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rPr>
                    <w:t>已设置的排污口必须拆除；不得设置与供水需要无关的码头</w:t>
                  </w: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rPr>
                    <w:t>禁止停靠船舶；禁止堆置和存放工业废渣、城市垃圾、粪便和其它废弃物；禁止设置油库；禁止使用含磷洗涤用品</w:t>
                  </w:r>
                  <w:r>
                    <w:rPr>
                      <w:rFonts w:hint="default" w:ascii="Times New Roman" w:hAnsi="Times New Roman" w:eastAsia="宋体" w:cs="Times New Roman"/>
                      <w:color w:val="auto"/>
                      <w:sz w:val="21"/>
                      <w:szCs w:val="21"/>
                      <w:u w:val="none" w:color="auto"/>
                      <w:lang w:eastAsia="zh-CN"/>
                    </w:rPr>
                    <w:t>。</w:t>
                  </w:r>
                </w:p>
              </w:tc>
              <w:tc>
                <w:tcPr>
                  <w:tcW w:w="1536" w:type="pct"/>
                  <w:vMerge w:val="restart"/>
                  <w:noWrap w:val="0"/>
                  <w:vAlign w:val="center"/>
                </w:tcPr>
                <w:p w14:paraId="0C5EF09A">
                  <w:pPr>
                    <w:pStyle w:val="30"/>
                    <w:tabs>
                      <w:tab w:val="left" w:pos="1021"/>
                    </w:tabs>
                    <w:topLinePunct w:val="0"/>
                    <w:bidi w:val="0"/>
                    <w:adjustRightInd/>
                    <w:snapToGrid/>
                    <w:spacing w:after="0"/>
                    <w:ind w:left="0" w:leftChars="0" w:firstLine="0" w:firstLineChars="0"/>
                    <w:jc w:val="center"/>
                    <w:rPr>
                      <w:rFonts w:hint="default" w:ascii="Times New Roman" w:hAnsi="Times New Roman" w:eastAsia="宋体" w:cs="Times New Roman"/>
                      <w:color w:val="auto"/>
                      <w:sz w:val="21"/>
                      <w:szCs w:val="21"/>
                      <w:highlight w:val="none"/>
                      <w:u w:val="none" w:color="auto"/>
                      <w:lang w:eastAsia="zh-CN"/>
                    </w:rPr>
                  </w:pPr>
                  <w:r>
                    <w:rPr>
                      <w:rFonts w:hint="default" w:ascii="Times New Roman" w:hAnsi="Times New Roman" w:eastAsia="宋体" w:cs="Times New Roman"/>
                      <w:color w:val="auto"/>
                      <w:sz w:val="21"/>
                      <w:szCs w:val="21"/>
                      <w:highlight w:val="none"/>
                      <w:u w:val="none" w:color="auto"/>
                      <w:lang w:eastAsia="zh-CN"/>
                    </w:rPr>
                    <w:t>本项目不涉及饮用水源保护区</w:t>
                  </w:r>
                </w:p>
              </w:tc>
              <w:tc>
                <w:tcPr>
                  <w:tcW w:w="648" w:type="pct"/>
                  <w:noWrap w:val="0"/>
                  <w:vAlign w:val="center"/>
                </w:tcPr>
                <w:p w14:paraId="0BC9C928">
                  <w:pPr>
                    <w:topLinePunct w:val="0"/>
                    <w:bidi w:val="0"/>
                    <w:adjustRightInd/>
                    <w:snapToGrid/>
                    <w:spacing w:after="0"/>
                    <w:ind w:left="0" w:leftChars="0" w:firstLine="0" w:firstLine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rPr>
                    <w:t>相符</w:t>
                  </w:r>
                </w:p>
              </w:tc>
            </w:tr>
            <w:tr w14:paraId="4A572FC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814" w:type="pct"/>
                  <w:noWrap w:val="0"/>
                  <w:vAlign w:val="center"/>
                </w:tcPr>
                <w:p w14:paraId="26D76D86">
                  <w:pPr>
                    <w:tabs>
                      <w:tab w:val="left" w:pos="1021"/>
                    </w:tabs>
                    <w:topLinePunct w:val="0"/>
                    <w:bidi w:val="0"/>
                    <w:adjustRightInd/>
                    <w:snapToGrid/>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u w:val="none" w:color="auto"/>
                      <w:lang w:eastAsia="zh-CN"/>
                    </w:rPr>
                    <w:t>饮用水水源二级保护区内禁止新建、改建、扩建向水体排放污染物的投资建设项目。原有排污口依法拆除或关闭。禁止设立装卸垃圾、粪便、油类和有毒物品的码头</w:t>
                  </w:r>
                </w:p>
              </w:tc>
              <w:tc>
                <w:tcPr>
                  <w:tcW w:w="1536" w:type="pct"/>
                  <w:vMerge w:val="continue"/>
                  <w:noWrap w:val="0"/>
                  <w:vAlign w:val="center"/>
                </w:tcPr>
                <w:p w14:paraId="44CD2490">
                  <w:pPr>
                    <w:pStyle w:val="30"/>
                    <w:tabs>
                      <w:tab w:val="left" w:pos="1021"/>
                    </w:tabs>
                    <w:topLinePunct w:val="0"/>
                    <w:bidi w:val="0"/>
                    <w:adjustRightInd/>
                    <w:snapToGrid/>
                    <w:spacing w:after="0"/>
                    <w:ind w:left="0" w:leftChars="0" w:firstLine="0" w:firstLineChars="0"/>
                    <w:jc w:val="center"/>
                    <w:rPr>
                      <w:rFonts w:hint="default" w:ascii="Times New Roman" w:hAnsi="Times New Roman" w:eastAsia="宋体" w:cs="Times New Roman"/>
                      <w:color w:val="auto"/>
                      <w:sz w:val="21"/>
                      <w:szCs w:val="21"/>
                      <w:highlight w:val="none"/>
                      <w:u w:val="none" w:color="auto"/>
                      <w:lang w:eastAsia="zh-CN"/>
                    </w:rPr>
                  </w:pPr>
                </w:p>
              </w:tc>
              <w:tc>
                <w:tcPr>
                  <w:tcW w:w="648" w:type="pct"/>
                  <w:noWrap w:val="0"/>
                  <w:vAlign w:val="center"/>
                </w:tcPr>
                <w:p w14:paraId="76619720">
                  <w:pPr>
                    <w:topLinePunct w:val="0"/>
                    <w:bidi w:val="0"/>
                    <w:adjustRightInd/>
                    <w:snapToGrid/>
                    <w:spacing w:after="0"/>
                    <w:ind w:left="0" w:leftChars="0" w:firstLine="0" w:firstLineChars="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相符</w:t>
                  </w:r>
                </w:p>
              </w:tc>
            </w:tr>
            <w:tr w14:paraId="1DF191C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814" w:type="pct"/>
                  <w:noWrap w:val="0"/>
                  <w:vAlign w:val="center"/>
                </w:tcPr>
                <w:p w14:paraId="3FA89093">
                  <w:pPr>
                    <w:tabs>
                      <w:tab w:val="left" w:pos="1021"/>
                    </w:tabs>
                    <w:topLinePunct w:val="0"/>
                    <w:bidi w:val="0"/>
                    <w:adjustRightInd/>
                    <w:snapToGrid/>
                    <w:jc w:val="center"/>
                    <w:rPr>
                      <w:rFonts w:hint="default" w:ascii="Times New Roman" w:hAnsi="Times New Roman" w:eastAsia="宋体" w:cs="Times New Roman"/>
                      <w:b/>
                      <w:bCs/>
                      <w:color w:val="auto"/>
                      <w:sz w:val="21"/>
                      <w:szCs w:val="21"/>
                      <w:highlight w:val="none"/>
                      <w:u w:val="none" w:color="auto"/>
                    </w:rPr>
                  </w:pPr>
                  <w:r>
                    <w:rPr>
                      <w:rFonts w:hint="default" w:ascii="Times New Roman" w:hAnsi="Times New Roman" w:eastAsia="宋体" w:cs="Times New Roman"/>
                      <w:color w:val="auto"/>
                      <w:sz w:val="21"/>
                      <w:szCs w:val="21"/>
                      <w:u w:val="none" w:color="auto"/>
                    </w:rPr>
                    <w:t>禁止在水产种质资源保护区的岸线和河段范围内新建排污口、实施非法围垦河道和围湖造田造地等投资建设项目。</w:t>
                  </w:r>
                </w:p>
              </w:tc>
              <w:tc>
                <w:tcPr>
                  <w:tcW w:w="1536" w:type="pct"/>
                  <w:noWrap w:val="0"/>
                  <w:vAlign w:val="center"/>
                </w:tcPr>
                <w:p w14:paraId="48FAF5B0">
                  <w:pPr>
                    <w:pStyle w:val="30"/>
                    <w:tabs>
                      <w:tab w:val="left" w:pos="1021"/>
                    </w:tabs>
                    <w:topLinePunct w:val="0"/>
                    <w:bidi w:val="0"/>
                    <w:adjustRightInd/>
                    <w:snapToGrid/>
                    <w:spacing w:after="0"/>
                    <w:ind w:left="0" w:leftChars="0" w:firstLine="0" w:firstLineChars="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rPr>
                    <w:t>项目废水经城陵矶新港区污水处理厂</w:t>
                  </w:r>
                  <w:r>
                    <w:rPr>
                      <w:rFonts w:hint="default" w:ascii="Times New Roman" w:hAnsi="Times New Roman" w:eastAsia="宋体" w:cs="Times New Roman"/>
                      <w:color w:val="auto"/>
                      <w:sz w:val="21"/>
                      <w:szCs w:val="21"/>
                      <w:highlight w:val="none"/>
                      <w:u w:val="none" w:color="auto"/>
                      <w:lang w:val="en-US" w:eastAsia="zh-CN"/>
                    </w:rPr>
                    <w:t>深度</w:t>
                  </w:r>
                  <w:r>
                    <w:rPr>
                      <w:rFonts w:hint="default" w:ascii="Times New Roman" w:hAnsi="Times New Roman" w:eastAsia="宋体" w:cs="Times New Roman"/>
                      <w:color w:val="auto"/>
                      <w:sz w:val="21"/>
                      <w:szCs w:val="21"/>
                      <w:highlight w:val="none"/>
                      <w:u w:val="none" w:color="auto"/>
                    </w:rPr>
                    <w:t>处理后通过已建排口排入</w:t>
                  </w:r>
                  <w:r>
                    <w:rPr>
                      <w:rFonts w:hint="default" w:ascii="Times New Roman" w:hAnsi="Times New Roman" w:eastAsia="宋体" w:cs="Times New Roman"/>
                      <w:color w:val="auto"/>
                      <w:sz w:val="21"/>
                      <w:szCs w:val="21"/>
                      <w:highlight w:val="none"/>
                      <w:u w:val="none" w:color="auto"/>
                      <w:lang w:eastAsia="zh-CN"/>
                    </w:rPr>
                    <w:t>象骨港，最终汇入</w:t>
                  </w:r>
                  <w:r>
                    <w:rPr>
                      <w:rFonts w:hint="default" w:ascii="Times New Roman" w:hAnsi="Times New Roman" w:eastAsia="宋体" w:cs="Times New Roman"/>
                      <w:color w:val="auto"/>
                      <w:sz w:val="21"/>
                      <w:szCs w:val="21"/>
                      <w:highlight w:val="none"/>
                      <w:u w:val="none" w:color="auto"/>
                    </w:rPr>
                    <w:t>长江</w:t>
                  </w:r>
                  <w:r>
                    <w:rPr>
                      <w:rFonts w:hint="default" w:ascii="Times New Roman" w:hAnsi="Times New Roman" w:eastAsia="宋体" w:cs="Times New Roman"/>
                      <w:color w:val="auto"/>
                      <w:sz w:val="21"/>
                      <w:szCs w:val="21"/>
                      <w:highlight w:val="none"/>
                      <w:u w:val="none" w:color="auto"/>
                      <w:lang w:eastAsia="zh-CN"/>
                    </w:rPr>
                    <w:t>，</w:t>
                  </w:r>
                  <w:r>
                    <w:rPr>
                      <w:rFonts w:hint="default" w:ascii="Times New Roman" w:hAnsi="Times New Roman" w:eastAsia="宋体" w:cs="Times New Roman"/>
                      <w:color w:val="auto"/>
                      <w:sz w:val="21"/>
                      <w:szCs w:val="21"/>
                      <w:highlight w:val="none"/>
                      <w:u w:val="none" w:color="auto"/>
                      <w:lang w:val="en-US" w:eastAsia="zh-CN"/>
                    </w:rPr>
                    <w:t>本项目不涉及新建排污口</w:t>
                  </w:r>
                </w:p>
              </w:tc>
              <w:tc>
                <w:tcPr>
                  <w:tcW w:w="648" w:type="pct"/>
                  <w:noWrap w:val="0"/>
                  <w:vAlign w:val="center"/>
                </w:tcPr>
                <w:p w14:paraId="462364F2">
                  <w:pPr>
                    <w:topLinePunct w:val="0"/>
                    <w:bidi w:val="0"/>
                    <w:adjustRightInd/>
                    <w:snapToGrid/>
                    <w:spacing w:after="0"/>
                    <w:ind w:left="0" w:leftChars="0" w:firstLine="0" w:firstLineChars="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相符</w:t>
                  </w:r>
                </w:p>
              </w:tc>
            </w:tr>
            <w:tr w14:paraId="2192D43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814" w:type="pct"/>
                  <w:noWrap w:val="0"/>
                  <w:vAlign w:val="center"/>
                </w:tcPr>
                <w:p w14:paraId="2204537C">
                  <w:pPr>
                    <w:tabs>
                      <w:tab w:val="left" w:pos="1021"/>
                    </w:tabs>
                    <w:topLinePunct w:val="0"/>
                    <w:bidi w:val="0"/>
                    <w:adjustRightInd/>
                    <w:snapToGrid/>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除《中华人民共和国防洪法》规定的紧急防汛期</w:t>
                  </w:r>
                  <w:r>
                    <w:rPr>
                      <w:rFonts w:hint="default" w:ascii="Times New Roman" w:hAnsi="Times New Roman" w:eastAsia="宋体" w:cs="Times New Roman"/>
                      <w:color w:val="auto"/>
                      <w:sz w:val="21"/>
                      <w:szCs w:val="21"/>
                      <w:u w:val="none" w:color="auto"/>
                      <w:lang w:eastAsia="zh-CN"/>
                    </w:rPr>
                    <w:t>采取</w:t>
                  </w:r>
                  <w:r>
                    <w:rPr>
                      <w:rFonts w:hint="default" w:ascii="Times New Roman" w:hAnsi="Times New Roman" w:eastAsia="宋体" w:cs="Times New Roman"/>
                      <w:color w:val="auto"/>
                      <w:sz w:val="21"/>
                      <w:szCs w:val="21"/>
                      <w:u w:val="none" w:color="auto"/>
                    </w:rPr>
                    <w:t>的紧急措施外</w:t>
                  </w: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rPr>
                    <w:t>禁止在国家湿地公园的岸线和河段范围内挖沙、采矿</w:t>
                  </w: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rPr>
                    <w:t>以及以下不符合主体功能定位的行为和活动：</w:t>
                  </w:r>
                </w:p>
                <w:p w14:paraId="375FC756">
                  <w:pPr>
                    <w:tabs>
                      <w:tab w:val="left" w:pos="1021"/>
                    </w:tabs>
                    <w:topLinePunct w:val="0"/>
                    <w:bidi w:val="0"/>
                    <w:adjustRightInd/>
                    <w:snapToGrid/>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（一）开（围）垦、填埋或者排干湿地。</w:t>
                  </w:r>
                </w:p>
                <w:p w14:paraId="3F46C40B">
                  <w:pPr>
                    <w:tabs>
                      <w:tab w:val="left" w:pos="1021"/>
                    </w:tabs>
                    <w:topLinePunct w:val="0"/>
                    <w:bidi w:val="0"/>
                    <w:adjustRightInd/>
                    <w:snapToGrid/>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（二）截断湿地水源。</w:t>
                  </w:r>
                </w:p>
                <w:p w14:paraId="19D809D2">
                  <w:pPr>
                    <w:tabs>
                      <w:tab w:val="left" w:pos="1021"/>
                    </w:tabs>
                    <w:topLinePunct w:val="0"/>
                    <w:bidi w:val="0"/>
                    <w:adjustRightInd/>
                    <w:snapToGrid/>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（三）倾倒有毒有害物质、废弃物、垃圾。</w:t>
                  </w:r>
                </w:p>
                <w:p w14:paraId="5299F54B">
                  <w:pPr>
                    <w:tabs>
                      <w:tab w:val="left" w:pos="1021"/>
                    </w:tabs>
                    <w:topLinePunct w:val="0"/>
                    <w:bidi w:val="0"/>
                    <w:adjustRightInd/>
                    <w:snapToGrid/>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（四）从事房地产、度假村、高尔夫球场、风力发电、光伏发电等任何不符合主体功能定位的建设项目和开发活动。</w:t>
                  </w:r>
                </w:p>
                <w:p w14:paraId="338CF359">
                  <w:pPr>
                    <w:tabs>
                      <w:tab w:val="left" w:pos="1021"/>
                    </w:tabs>
                    <w:topLinePunct w:val="0"/>
                    <w:bidi w:val="0"/>
                    <w:adjustRightInd/>
                    <w:snapToGrid/>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（五）破坏野生动物栖息地和迁徙通道、鱼类</w:t>
                  </w:r>
                  <w:r>
                    <w:rPr>
                      <w:rFonts w:hint="default" w:ascii="Times New Roman" w:hAnsi="Times New Roman" w:eastAsia="宋体" w:cs="Times New Roman"/>
                      <w:color w:val="auto"/>
                      <w:sz w:val="21"/>
                      <w:szCs w:val="21"/>
                      <w:u w:val="none" w:color="auto"/>
                      <w:lang w:eastAsia="zh-CN"/>
                    </w:rPr>
                    <w:t>洄</w:t>
                  </w:r>
                  <w:r>
                    <w:rPr>
                      <w:rFonts w:hint="default" w:ascii="Times New Roman" w:hAnsi="Times New Roman" w:eastAsia="宋体" w:cs="Times New Roman"/>
                      <w:color w:val="auto"/>
                      <w:sz w:val="21"/>
                      <w:szCs w:val="21"/>
                      <w:u w:val="none" w:color="auto"/>
                    </w:rPr>
                    <w:t>游通道</w:t>
                  </w: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rPr>
                    <w:t>滥采滥捕野生动植物。</w:t>
                  </w:r>
                </w:p>
                <w:p w14:paraId="3B0C661C">
                  <w:pPr>
                    <w:tabs>
                      <w:tab w:val="left" w:pos="1021"/>
                    </w:tabs>
                    <w:topLinePunct w:val="0"/>
                    <w:bidi w:val="0"/>
                    <w:adjustRightInd/>
                    <w:snapToGrid/>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（六）引入外来物种。</w:t>
                  </w:r>
                </w:p>
                <w:p w14:paraId="5DCB4181">
                  <w:pPr>
                    <w:tabs>
                      <w:tab w:val="left" w:pos="1021"/>
                    </w:tabs>
                    <w:topLinePunct w:val="0"/>
                    <w:bidi w:val="0"/>
                    <w:adjustRightInd/>
                    <w:snapToGrid/>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（七）擅自放牧、捕捞、取土、取水、排污、放生。</w:t>
                  </w:r>
                </w:p>
                <w:p w14:paraId="47AB0DED">
                  <w:pPr>
                    <w:tabs>
                      <w:tab w:val="left" w:pos="1021"/>
                    </w:tabs>
                    <w:topLinePunct w:val="0"/>
                    <w:bidi w:val="0"/>
                    <w:adjustRightInd/>
                    <w:snapToGrid/>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（八）其他破坏湿地及其生态功能的活动</w:t>
                  </w:r>
                </w:p>
              </w:tc>
              <w:tc>
                <w:tcPr>
                  <w:tcW w:w="1536" w:type="pct"/>
                  <w:noWrap w:val="0"/>
                  <w:vAlign w:val="center"/>
                </w:tcPr>
                <w:p w14:paraId="20D286EF">
                  <w:pPr>
                    <w:pStyle w:val="30"/>
                    <w:tabs>
                      <w:tab w:val="left" w:pos="1021"/>
                    </w:tabs>
                    <w:topLinePunct w:val="0"/>
                    <w:bidi w:val="0"/>
                    <w:adjustRightInd/>
                    <w:snapToGrid/>
                    <w:spacing w:after="0"/>
                    <w:ind w:left="0" w:leftChars="0" w:firstLine="0" w:firstLineChars="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本项目不涉及</w:t>
                  </w:r>
                  <w:r>
                    <w:rPr>
                      <w:rFonts w:hint="default" w:ascii="Times New Roman" w:hAnsi="Times New Roman" w:eastAsia="宋体" w:cs="Times New Roman"/>
                      <w:color w:val="auto"/>
                      <w:sz w:val="21"/>
                      <w:szCs w:val="21"/>
                      <w:u w:val="none" w:color="auto"/>
                    </w:rPr>
                    <w:t>国家湿地公园的岸线和河段范围</w:t>
                  </w:r>
                </w:p>
              </w:tc>
              <w:tc>
                <w:tcPr>
                  <w:tcW w:w="648" w:type="pct"/>
                  <w:noWrap w:val="0"/>
                  <w:vAlign w:val="center"/>
                </w:tcPr>
                <w:p w14:paraId="48B0DE40">
                  <w:pPr>
                    <w:topLinePunct w:val="0"/>
                    <w:bidi w:val="0"/>
                    <w:adjustRightInd/>
                    <w:snapToGrid/>
                    <w:spacing w:after="0"/>
                    <w:ind w:left="0" w:leftChars="0" w:firstLine="0" w:firstLineChars="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相符</w:t>
                  </w:r>
                </w:p>
              </w:tc>
            </w:tr>
            <w:tr w14:paraId="3D044AD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814" w:type="pct"/>
                  <w:noWrap w:val="0"/>
                  <w:vAlign w:val="center"/>
                </w:tcPr>
                <w:p w14:paraId="4A750D82">
                  <w:pPr>
                    <w:tabs>
                      <w:tab w:val="left" w:pos="1021"/>
                    </w:tabs>
                    <w:topLinePunct w:val="0"/>
                    <w:bidi w:val="0"/>
                    <w:adjustRightInd/>
                    <w:snapToGrid/>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禁止违法利用、占用长江流域河湖岸线。禁止在《长江岸线保护和开发利用总体规划》划定的岸线保护区和保留区内投资建设除事关公共安全及公众利益的防洪护岸、河道治理、供水、生态环境保护、航道整治、国家重要基础设施以外的项目。</w:t>
                  </w:r>
                </w:p>
                <w:p w14:paraId="15BCA77C">
                  <w:pPr>
                    <w:tabs>
                      <w:tab w:val="left" w:pos="1021"/>
                    </w:tabs>
                    <w:topLinePunct w:val="0"/>
                    <w:bidi w:val="0"/>
                    <w:adjustRightInd/>
                    <w:snapToGrid/>
                    <w:jc w:val="center"/>
                    <w:rPr>
                      <w:rFonts w:hint="default" w:ascii="Times New Roman" w:hAnsi="Times New Roman" w:eastAsia="宋体" w:cs="Times New Roman"/>
                      <w:color w:val="auto"/>
                      <w:sz w:val="21"/>
                      <w:szCs w:val="21"/>
                      <w:highlight w:val="none"/>
                      <w:u w:val="none" w:color="auto"/>
                      <w:lang w:val="zh-CN"/>
                    </w:rPr>
                  </w:pPr>
                  <w:r>
                    <w:rPr>
                      <w:rFonts w:hint="default" w:ascii="Times New Roman" w:hAnsi="Times New Roman" w:eastAsia="宋体" w:cs="Times New Roman"/>
                      <w:color w:val="auto"/>
                      <w:sz w:val="21"/>
                      <w:szCs w:val="21"/>
                      <w:u w:val="none" w:color="auto"/>
                    </w:rPr>
                    <w:t>禁止填湖造地、围湖造田及非法围垦河道</w:t>
                  </w: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rPr>
                    <w:t>禁止非法建设矮围网围、填埋湿地等侵占河湖水域或者违法利用、占用河湖岸线的行为</w:t>
                  </w:r>
                </w:p>
              </w:tc>
              <w:tc>
                <w:tcPr>
                  <w:tcW w:w="1536" w:type="pct"/>
                  <w:noWrap w:val="0"/>
                  <w:vAlign w:val="center"/>
                </w:tcPr>
                <w:p w14:paraId="324B2FA9">
                  <w:pPr>
                    <w:pStyle w:val="30"/>
                    <w:tabs>
                      <w:tab w:val="left" w:pos="1021"/>
                    </w:tabs>
                    <w:topLinePunct w:val="0"/>
                    <w:bidi w:val="0"/>
                    <w:adjustRightInd/>
                    <w:snapToGrid/>
                    <w:spacing w:after="0"/>
                    <w:ind w:left="0" w:leftChars="0" w:firstLine="0" w:firstLineChars="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本项目</w:t>
                  </w:r>
                  <w:r>
                    <w:rPr>
                      <w:rFonts w:hint="default" w:ascii="Times New Roman" w:hAnsi="Times New Roman" w:eastAsia="宋体" w:cs="Times New Roman"/>
                      <w:color w:val="auto"/>
                      <w:sz w:val="21"/>
                      <w:szCs w:val="21"/>
                      <w:highlight w:val="none"/>
                      <w:u w:val="none" w:color="auto"/>
                      <w:lang w:val="en-US" w:eastAsia="zh-CN"/>
                    </w:rPr>
                    <w:t>与长江最近的中创空天厂区</w:t>
                  </w:r>
                  <w:r>
                    <w:rPr>
                      <w:rFonts w:hint="default" w:ascii="Times New Roman" w:hAnsi="Times New Roman" w:eastAsia="宋体" w:cs="Times New Roman"/>
                      <w:color w:val="auto"/>
                      <w:sz w:val="21"/>
                      <w:szCs w:val="21"/>
                      <w:highlight w:val="none"/>
                      <w:u w:val="none" w:color="auto"/>
                    </w:rPr>
                    <w:t>边界距离长江岸线直线距离约</w:t>
                  </w:r>
                  <w:r>
                    <w:rPr>
                      <w:rFonts w:hint="default" w:ascii="Times New Roman" w:hAnsi="Times New Roman" w:eastAsia="宋体" w:cs="Times New Roman"/>
                      <w:color w:val="auto"/>
                      <w:sz w:val="21"/>
                      <w:szCs w:val="21"/>
                      <w:highlight w:val="none"/>
                      <w:u w:val="none" w:color="auto"/>
                      <w:lang w:val="en-US" w:eastAsia="zh-CN"/>
                    </w:rPr>
                    <w:t>1.35</w:t>
                  </w:r>
                  <w:r>
                    <w:rPr>
                      <w:rFonts w:hint="default" w:ascii="Times New Roman" w:hAnsi="Times New Roman" w:eastAsia="宋体" w:cs="Times New Roman"/>
                      <w:color w:val="auto"/>
                      <w:sz w:val="21"/>
                      <w:szCs w:val="21"/>
                      <w:highlight w:val="none"/>
                      <w:u w:val="none" w:color="auto"/>
                    </w:rPr>
                    <w:t>公里</w:t>
                  </w:r>
                  <w:r>
                    <w:rPr>
                      <w:rFonts w:hint="default" w:ascii="Times New Roman" w:hAnsi="Times New Roman" w:eastAsia="宋体" w:cs="Times New Roman"/>
                      <w:color w:val="auto"/>
                      <w:sz w:val="21"/>
                      <w:szCs w:val="21"/>
                      <w:highlight w:val="none"/>
                      <w:u w:val="none" w:color="auto"/>
                      <w:lang w:eastAsia="zh-CN"/>
                    </w:rPr>
                    <w:t>，</w:t>
                  </w:r>
                  <w:r>
                    <w:rPr>
                      <w:rFonts w:hint="default" w:ascii="Times New Roman" w:hAnsi="Times New Roman" w:eastAsia="宋体" w:cs="Times New Roman"/>
                      <w:color w:val="auto"/>
                      <w:sz w:val="21"/>
                      <w:szCs w:val="21"/>
                      <w:highlight w:val="none"/>
                      <w:u w:val="none" w:color="auto"/>
                    </w:rPr>
                    <w:t>不涉及《长江岸线保护和开发利用总体规划》划定的岸线保护区。不涉及《全囯重要江河湖泊水功能区划》划定的河段保护区</w:t>
                  </w:r>
                  <w:r>
                    <w:rPr>
                      <w:rFonts w:hint="default" w:ascii="Times New Roman" w:hAnsi="Times New Roman" w:eastAsia="宋体" w:cs="Times New Roman"/>
                      <w:color w:val="auto"/>
                      <w:sz w:val="21"/>
                      <w:szCs w:val="21"/>
                      <w:highlight w:val="none"/>
                      <w:u w:val="none" w:color="auto"/>
                      <w:lang w:eastAsia="zh-CN"/>
                    </w:rPr>
                    <w:t>，</w:t>
                  </w:r>
                  <w:r>
                    <w:rPr>
                      <w:rFonts w:hint="default" w:ascii="Times New Roman" w:hAnsi="Times New Roman" w:eastAsia="宋体" w:cs="Times New Roman"/>
                      <w:color w:val="auto"/>
                      <w:sz w:val="21"/>
                      <w:szCs w:val="21"/>
                      <w:highlight w:val="none"/>
                      <w:u w:val="none" w:color="auto"/>
                    </w:rPr>
                    <w:t>并符合岳阳市划定的蓝线、绿线要求。</w:t>
                  </w:r>
                </w:p>
              </w:tc>
              <w:tc>
                <w:tcPr>
                  <w:tcW w:w="648" w:type="pct"/>
                  <w:noWrap w:val="0"/>
                  <w:vAlign w:val="center"/>
                </w:tcPr>
                <w:p w14:paraId="74CF323A">
                  <w:pPr>
                    <w:topLinePunct w:val="0"/>
                    <w:bidi w:val="0"/>
                    <w:adjustRightInd/>
                    <w:snapToGrid/>
                    <w:spacing w:after="0"/>
                    <w:ind w:left="0" w:leftChars="0" w:firstLine="0" w:firstLineChars="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相符</w:t>
                  </w:r>
                </w:p>
              </w:tc>
            </w:tr>
            <w:tr w14:paraId="31538E6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814" w:type="pct"/>
                  <w:noWrap w:val="0"/>
                  <w:vAlign w:val="center"/>
                </w:tcPr>
                <w:p w14:paraId="686F9FF2">
                  <w:pPr>
                    <w:topLinePunct w:val="0"/>
                    <w:bidi w:val="0"/>
                    <w:adjustRightInd/>
                    <w:snapToGrid/>
                    <w:spacing w:after="0"/>
                    <w:ind w:left="0" w:leftChars="0" w:firstLine="0" w:firstLineChars="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禁止在《全国重要江河湖泊水功能区划》划定的河段及湖泊保护区、保留区内投资建设不利于水资源及自然生态保护的项目。</w:t>
                  </w:r>
                </w:p>
              </w:tc>
              <w:tc>
                <w:tcPr>
                  <w:tcW w:w="1536" w:type="pct"/>
                  <w:noWrap w:val="0"/>
                  <w:vAlign w:val="center"/>
                </w:tcPr>
                <w:p w14:paraId="2A5A27DF">
                  <w:pPr>
                    <w:topLinePunct w:val="0"/>
                    <w:bidi w:val="0"/>
                    <w:adjustRightInd/>
                    <w:snapToGrid/>
                    <w:spacing w:after="0"/>
                    <w:ind w:left="0" w:leftChars="0" w:firstLine="0" w:firstLineChars="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不涉及</w:t>
                  </w:r>
                  <w:r>
                    <w:rPr>
                      <w:rFonts w:hint="default" w:ascii="Times New Roman" w:hAnsi="Times New Roman" w:eastAsia="宋体" w:cs="Times New Roman"/>
                      <w:color w:val="auto"/>
                      <w:sz w:val="21"/>
                      <w:szCs w:val="21"/>
                      <w:highlight w:val="none"/>
                      <w:u w:val="none" w:color="auto"/>
                    </w:rPr>
                    <w:t>划定的河段及湖泊保护区、保留区</w:t>
                  </w:r>
                </w:p>
              </w:tc>
              <w:tc>
                <w:tcPr>
                  <w:tcW w:w="648" w:type="pct"/>
                  <w:noWrap w:val="0"/>
                  <w:vAlign w:val="center"/>
                </w:tcPr>
                <w:p w14:paraId="33914106">
                  <w:pPr>
                    <w:topLinePunct w:val="0"/>
                    <w:bidi w:val="0"/>
                    <w:adjustRightInd/>
                    <w:snapToGrid/>
                    <w:spacing w:after="0"/>
                    <w:ind w:left="0" w:leftChars="0" w:firstLine="0" w:firstLineChars="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相符</w:t>
                  </w:r>
                </w:p>
              </w:tc>
            </w:tr>
            <w:tr w14:paraId="041A41E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814" w:type="pct"/>
                  <w:noWrap w:val="0"/>
                  <w:vAlign w:val="center"/>
                </w:tcPr>
                <w:p w14:paraId="23502054">
                  <w:pPr>
                    <w:tabs>
                      <w:tab w:val="left" w:pos="1021"/>
                    </w:tabs>
                    <w:topLinePunct w:val="0"/>
                    <w:bidi w:val="0"/>
                    <w:adjustRightInd/>
                    <w:snapToGrid/>
                    <w:jc w:val="center"/>
                    <w:rPr>
                      <w:rFonts w:hint="default" w:ascii="Times New Roman" w:hAnsi="Times New Roman" w:eastAsia="宋体" w:cs="Times New Roman"/>
                      <w:color w:val="auto"/>
                      <w:sz w:val="21"/>
                      <w:szCs w:val="21"/>
                      <w:highlight w:val="none"/>
                      <w:u w:val="none" w:color="auto"/>
                      <w:lang w:val="zh-CN"/>
                    </w:rPr>
                  </w:pPr>
                  <w:r>
                    <w:rPr>
                      <w:rFonts w:hint="default" w:ascii="Times New Roman" w:hAnsi="Times New Roman" w:eastAsia="宋体" w:cs="Times New Roman"/>
                      <w:color w:val="auto"/>
                      <w:sz w:val="21"/>
                      <w:szCs w:val="21"/>
                      <w:u w:val="none" w:color="auto"/>
                    </w:rPr>
                    <w:t>禁止未经许可在长江干支流及湖泊新设、改设或扩大排污口</w:t>
                  </w:r>
                </w:p>
              </w:tc>
              <w:tc>
                <w:tcPr>
                  <w:tcW w:w="1536" w:type="pct"/>
                  <w:noWrap w:val="0"/>
                  <w:vAlign w:val="center"/>
                </w:tcPr>
                <w:p w14:paraId="5A529146">
                  <w:pPr>
                    <w:tabs>
                      <w:tab w:val="left" w:pos="1021"/>
                    </w:tabs>
                    <w:topLinePunct w:val="0"/>
                    <w:bidi w:val="0"/>
                    <w:adjustRightInd/>
                    <w:snapToGrid/>
                    <w:jc w:val="center"/>
                    <w:rPr>
                      <w:rFonts w:hint="default" w:ascii="Times New Roman" w:hAnsi="Times New Roman" w:eastAsia="宋体" w:cs="Times New Roman"/>
                      <w:color w:val="auto"/>
                      <w:sz w:val="21"/>
                      <w:szCs w:val="21"/>
                      <w:highlight w:val="none"/>
                      <w:u w:val="none" w:color="auto"/>
                      <w:lang w:val="zh-CN" w:eastAsia="zh-CN"/>
                    </w:rPr>
                  </w:pPr>
                  <w:r>
                    <w:rPr>
                      <w:rFonts w:hint="default" w:ascii="Times New Roman" w:hAnsi="Times New Roman" w:eastAsia="宋体" w:cs="Times New Roman"/>
                      <w:color w:val="auto"/>
                      <w:sz w:val="21"/>
                      <w:szCs w:val="21"/>
                      <w:highlight w:val="none"/>
                      <w:u w:val="none" w:color="auto"/>
                      <w:lang w:val="zh-CN" w:eastAsia="zh-CN"/>
                    </w:rPr>
                    <w:t>本项目废水依托</w:t>
                  </w:r>
                  <w:r>
                    <w:rPr>
                      <w:rFonts w:hint="default" w:ascii="Times New Roman" w:hAnsi="Times New Roman" w:eastAsia="宋体" w:cs="Times New Roman"/>
                      <w:color w:val="auto"/>
                      <w:sz w:val="21"/>
                      <w:szCs w:val="21"/>
                      <w:highlight w:val="none"/>
                      <w:u w:val="none" w:color="auto"/>
                      <w:lang w:val="zh-CN"/>
                    </w:rPr>
                    <w:t>城陵矶新港区污水处理厂</w:t>
                  </w:r>
                  <w:r>
                    <w:rPr>
                      <w:rFonts w:hint="default" w:ascii="Times New Roman" w:hAnsi="Times New Roman" w:eastAsia="宋体" w:cs="Times New Roman"/>
                      <w:color w:val="auto"/>
                      <w:sz w:val="21"/>
                      <w:szCs w:val="21"/>
                      <w:highlight w:val="none"/>
                      <w:u w:val="none" w:color="auto"/>
                      <w:lang w:val="zh-CN" w:eastAsia="zh-CN"/>
                    </w:rPr>
                    <w:t>，不新建或改扩建排污口</w:t>
                  </w:r>
                </w:p>
              </w:tc>
              <w:tc>
                <w:tcPr>
                  <w:tcW w:w="648" w:type="pct"/>
                  <w:noWrap w:val="0"/>
                  <w:vAlign w:val="center"/>
                </w:tcPr>
                <w:p w14:paraId="73714330">
                  <w:pPr>
                    <w:topLinePunct w:val="0"/>
                    <w:bidi w:val="0"/>
                    <w:adjustRightInd/>
                    <w:snapToGrid/>
                    <w:spacing w:after="0"/>
                    <w:ind w:left="0" w:leftChars="0" w:firstLine="0" w:firstLineChars="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相符</w:t>
                  </w:r>
                </w:p>
              </w:tc>
            </w:tr>
            <w:tr w14:paraId="35ABBE1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814" w:type="pct"/>
                  <w:noWrap w:val="0"/>
                  <w:vAlign w:val="center"/>
                </w:tcPr>
                <w:p w14:paraId="288F426B">
                  <w:pPr>
                    <w:tabs>
                      <w:tab w:val="left" w:pos="1021"/>
                    </w:tabs>
                    <w:topLinePunct w:val="0"/>
                    <w:bidi w:val="0"/>
                    <w:adjustRightInd/>
                    <w:snapToGrid/>
                    <w:jc w:val="center"/>
                    <w:rPr>
                      <w:rFonts w:hint="default" w:ascii="Times New Roman" w:hAnsi="Times New Roman" w:eastAsia="宋体" w:cs="Times New Roman"/>
                      <w:color w:val="auto"/>
                      <w:sz w:val="21"/>
                      <w:szCs w:val="21"/>
                      <w:highlight w:val="none"/>
                      <w:u w:val="none" w:color="auto"/>
                      <w:lang w:val="zh-CN"/>
                    </w:rPr>
                  </w:pPr>
                  <w:r>
                    <w:rPr>
                      <w:rFonts w:hint="default" w:ascii="Times New Roman" w:hAnsi="Times New Roman" w:eastAsia="宋体" w:cs="Times New Roman"/>
                      <w:color w:val="auto"/>
                      <w:sz w:val="21"/>
                      <w:szCs w:val="21"/>
                      <w:u w:val="none" w:color="auto"/>
                    </w:rPr>
                    <w:t>禁止在长江湖南段和洞庭湖、湘江、资江、沅江、澧水干流岸线一公里范围内新建、扩建化工园区和化工项目。禁止在长江湖南段岸线三公里范围内和湘江、资江、沅江、澧水岸线一公里范围内新建、改建、扩建尾矿库、冶炼渣库和磷石膏库</w:t>
                  </w: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rPr>
                    <w:t>以提升安全、生态环境保护水平为目的的改建除外</w:t>
                  </w:r>
                </w:p>
              </w:tc>
              <w:tc>
                <w:tcPr>
                  <w:tcW w:w="1536" w:type="pct"/>
                  <w:noWrap w:val="0"/>
                  <w:vAlign w:val="center"/>
                </w:tcPr>
                <w:p w14:paraId="696801F2">
                  <w:pPr>
                    <w:tabs>
                      <w:tab w:val="left" w:pos="1021"/>
                    </w:tabs>
                    <w:topLinePunct w:val="0"/>
                    <w:bidi w:val="0"/>
                    <w:adjustRightInd/>
                    <w:snapToGrid/>
                    <w:jc w:val="center"/>
                    <w:rPr>
                      <w:rFonts w:hint="default" w:ascii="Times New Roman" w:hAnsi="Times New Roman" w:eastAsia="宋体" w:cs="Times New Roman"/>
                      <w:color w:val="auto"/>
                      <w:sz w:val="21"/>
                      <w:szCs w:val="21"/>
                      <w:highlight w:val="none"/>
                      <w:u w:val="none" w:color="auto"/>
                      <w:lang w:val="zh-CN" w:eastAsia="zh-CN"/>
                    </w:rPr>
                  </w:pPr>
                  <w:r>
                    <w:rPr>
                      <w:rFonts w:hint="default" w:ascii="Times New Roman" w:hAnsi="Times New Roman" w:eastAsia="宋体" w:cs="Times New Roman"/>
                      <w:color w:val="auto"/>
                      <w:sz w:val="21"/>
                      <w:szCs w:val="21"/>
                      <w:highlight w:val="none"/>
                      <w:u w:val="none" w:color="auto"/>
                      <w:lang w:val="zh-CN" w:eastAsia="zh-CN"/>
                    </w:rPr>
                    <w:t>本项目不</w:t>
                  </w:r>
                  <w:r>
                    <w:rPr>
                      <w:rFonts w:hint="eastAsia" w:cs="Times New Roman"/>
                      <w:color w:val="auto"/>
                      <w:sz w:val="21"/>
                      <w:szCs w:val="21"/>
                      <w:highlight w:val="none"/>
                      <w:u w:val="none" w:color="auto"/>
                      <w:lang w:val="zh-CN" w:eastAsia="zh-CN"/>
                    </w:rPr>
                    <w:t>属于</w:t>
                  </w:r>
                  <w:r>
                    <w:rPr>
                      <w:rFonts w:hint="default" w:ascii="Times New Roman" w:hAnsi="Times New Roman" w:eastAsia="宋体" w:cs="Times New Roman"/>
                      <w:color w:val="auto"/>
                      <w:sz w:val="21"/>
                      <w:szCs w:val="21"/>
                      <w:highlight w:val="none"/>
                      <w:u w:val="none" w:color="auto"/>
                      <w:lang w:val="zh-CN" w:eastAsia="zh-CN"/>
                    </w:rPr>
                    <w:t>左述禁止类项目，</w:t>
                  </w:r>
                  <w:r>
                    <w:rPr>
                      <w:rFonts w:hint="default" w:ascii="Times New Roman" w:hAnsi="Times New Roman" w:eastAsia="宋体" w:cs="Times New Roman"/>
                      <w:color w:val="auto"/>
                      <w:sz w:val="21"/>
                      <w:szCs w:val="21"/>
                      <w:highlight w:val="none"/>
                      <w:u w:val="none" w:color="auto"/>
                    </w:rPr>
                    <w:t>本项目</w:t>
                  </w:r>
                  <w:r>
                    <w:rPr>
                      <w:rFonts w:hint="default" w:ascii="Times New Roman" w:hAnsi="Times New Roman" w:eastAsia="宋体" w:cs="Times New Roman"/>
                      <w:color w:val="auto"/>
                      <w:sz w:val="21"/>
                      <w:szCs w:val="21"/>
                      <w:highlight w:val="none"/>
                      <w:u w:val="none" w:color="auto"/>
                      <w:lang w:val="en-US" w:eastAsia="zh-CN"/>
                    </w:rPr>
                    <w:t>最近</w:t>
                  </w:r>
                  <w:r>
                    <w:rPr>
                      <w:rFonts w:hint="default" w:ascii="Times New Roman" w:hAnsi="Times New Roman" w:eastAsia="宋体" w:cs="Times New Roman"/>
                      <w:color w:val="auto"/>
                      <w:sz w:val="21"/>
                      <w:szCs w:val="21"/>
                      <w:highlight w:val="none"/>
                      <w:u w:val="none" w:color="auto"/>
                    </w:rPr>
                    <w:t>边界距离长江岸线直线距离约</w:t>
                  </w:r>
                  <w:r>
                    <w:rPr>
                      <w:rFonts w:hint="default" w:ascii="Times New Roman" w:hAnsi="Times New Roman" w:eastAsia="宋体" w:cs="Times New Roman"/>
                      <w:color w:val="auto"/>
                      <w:sz w:val="21"/>
                      <w:szCs w:val="21"/>
                      <w:highlight w:val="none"/>
                      <w:u w:val="none" w:color="auto"/>
                      <w:lang w:val="en-US" w:eastAsia="zh-CN"/>
                    </w:rPr>
                    <w:t>1.35</w:t>
                  </w:r>
                  <w:r>
                    <w:rPr>
                      <w:rFonts w:hint="default" w:ascii="Times New Roman" w:hAnsi="Times New Roman" w:eastAsia="宋体" w:cs="Times New Roman"/>
                      <w:color w:val="auto"/>
                      <w:sz w:val="21"/>
                      <w:szCs w:val="21"/>
                      <w:highlight w:val="none"/>
                      <w:u w:val="none" w:color="auto"/>
                    </w:rPr>
                    <w:t>公里</w:t>
                  </w:r>
                </w:p>
              </w:tc>
              <w:tc>
                <w:tcPr>
                  <w:tcW w:w="648" w:type="pct"/>
                  <w:noWrap w:val="0"/>
                  <w:vAlign w:val="center"/>
                </w:tcPr>
                <w:p w14:paraId="37EE76A7">
                  <w:pPr>
                    <w:topLinePunct w:val="0"/>
                    <w:bidi w:val="0"/>
                    <w:adjustRightInd/>
                    <w:snapToGrid/>
                    <w:spacing w:after="0"/>
                    <w:ind w:left="0" w:leftChars="0" w:firstLine="0" w:firstLineChars="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相符</w:t>
                  </w:r>
                </w:p>
              </w:tc>
            </w:tr>
            <w:tr w14:paraId="0707A15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814" w:type="pct"/>
                  <w:noWrap w:val="0"/>
                  <w:vAlign w:val="center"/>
                </w:tcPr>
                <w:p w14:paraId="5DD96031">
                  <w:pPr>
                    <w:tabs>
                      <w:tab w:val="left" w:pos="1021"/>
                    </w:tabs>
                    <w:topLinePunct w:val="0"/>
                    <w:bidi w:val="0"/>
                    <w:adjustRightInd/>
                    <w:snapToGrid/>
                    <w:jc w:val="center"/>
                    <w:rPr>
                      <w:rFonts w:hint="default" w:ascii="Times New Roman" w:hAnsi="Times New Roman" w:eastAsia="宋体" w:cs="Times New Roman"/>
                      <w:color w:val="auto"/>
                      <w:sz w:val="21"/>
                      <w:szCs w:val="21"/>
                      <w:highlight w:val="none"/>
                      <w:u w:val="none" w:color="auto"/>
                      <w:lang w:val="zh-CN"/>
                    </w:rPr>
                  </w:pPr>
                  <w:r>
                    <w:rPr>
                      <w:rFonts w:hint="default" w:ascii="Times New Roman" w:hAnsi="Times New Roman" w:eastAsia="宋体" w:cs="Times New Roman"/>
                      <w:color w:val="auto"/>
                      <w:sz w:val="21"/>
                      <w:szCs w:val="21"/>
                      <w:u w:val="none" w:color="auto"/>
                    </w:rPr>
                    <w:t>禁止在合规园区外新建、扩建钢铁、石化、化工、焦化、建材、有色、制浆造纸等高污染项目。高污染项目严格按照生态环境部《环境保护综合名录（2021年版）》有关要求执行</w:t>
                  </w:r>
                </w:p>
              </w:tc>
              <w:tc>
                <w:tcPr>
                  <w:tcW w:w="1536" w:type="pct"/>
                  <w:noWrap w:val="0"/>
                  <w:vAlign w:val="center"/>
                </w:tcPr>
                <w:p w14:paraId="3552C9EA">
                  <w:pPr>
                    <w:tabs>
                      <w:tab w:val="left" w:pos="1021"/>
                    </w:tabs>
                    <w:topLinePunct w:val="0"/>
                    <w:bidi w:val="0"/>
                    <w:adjustRightInd/>
                    <w:snapToGrid/>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zh-CN"/>
                    </w:rPr>
                    <w:t>本项目</w:t>
                  </w:r>
                  <w:r>
                    <w:rPr>
                      <w:rFonts w:hint="default" w:ascii="Times New Roman" w:hAnsi="Times New Roman" w:eastAsia="宋体" w:cs="Times New Roman"/>
                      <w:color w:val="auto"/>
                      <w:sz w:val="21"/>
                      <w:szCs w:val="21"/>
                      <w:highlight w:val="none"/>
                      <w:u w:val="none" w:color="auto"/>
                      <w:lang w:val="en-US" w:eastAsia="zh-CN"/>
                    </w:rPr>
                    <w:t>两厂区</w:t>
                  </w:r>
                  <w:r>
                    <w:rPr>
                      <w:rFonts w:hint="default" w:ascii="Times New Roman" w:hAnsi="Times New Roman" w:eastAsia="宋体" w:cs="Times New Roman"/>
                      <w:color w:val="auto"/>
                      <w:sz w:val="21"/>
                      <w:szCs w:val="21"/>
                      <w:highlight w:val="none"/>
                      <w:u w:val="none" w:color="auto"/>
                      <w:lang w:val="zh-CN"/>
                    </w:rPr>
                    <w:t>选址</w:t>
                  </w:r>
                  <w:r>
                    <w:rPr>
                      <w:rFonts w:hint="default" w:ascii="Times New Roman" w:hAnsi="Times New Roman" w:eastAsia="宋体" w:cs="Times New Roman"/>
                      <w:color w:val="auto"/>
                      <w:sz w:val="21"/>
                      <w:szCs w:val="21"/>
                      <w:highlight w:val="none"/>
                      <w:u w:val="none" w:color="auto"/>
                      <w:lang w:val="en-US" w:eastAsia="zh-CN"/>
                    </w:rPr>
                    <w:t>均</w:t>
                  </w:r>
                  <w:r>
                    <w:rPr>
                      <w:rFonts w:hint="default" w:ascii="Times New Roman" w:hAnsi="Times New Roman" w:eastAsia="宋体" w:cs="Times New Roman"/>
                      <w:color w:val="auto"/>
                      <w:sz w:val="21"/>
                      <w:szCs w:val="21"/>
                      <w:highlight w:val="none"/>
                      <w:u w:val="none" w:color="auto"/>
                      <w:lang w:val="zh-CN"/>
                    </w:rPr>
                    <w:t>位于湖南城陵矶临港产业新区产业核心区，</w:t>
                  </w:r>
                  <w:r>
                    <w:rPr>
                      <w:rFonts w:hint="default" w:ascii="Times New Roman" w:hAnsi="Times New Roman" w:eastAsia="宋体" w:cs="Times New Roman"/>
                      <w:color w:val="auto"/>
                      <w:sz w:val="21"/>
                      <w:szCs w:val="21"/>
                      <w:highlight w:val="none"/>
                      <w:u w:val="none" w:color="auto"/>
                      <w:lang w:val="en-US" w:eastAsia="zh-CN"/>
                    </w:rPr>
                    <w:t>属于合规园区（代码：S438090）</w:t>
                  </w:r>
                </w:p>
              </w:tc>
              <w:tc>
                <w:tcPr>
                  <w:tcW w:w="648" w:type="pct"/>
                  <w:noWrap w:val="0"/>
                  <w:vAlign w:val="center"/>
                </w:tcPr>
                <w:p w14:paraId="1646AE18">
                  <w:pPr>
                    <w:topLinePunct w:val="0"/>
                    <w:bidi w:val="0"/>
                    <w:adjustRightInd/>
                    <w:snapToGrid/>
                    <w:spacing w:after="0"/>
                    <w:ind w:left="0" w:leftChars="0" w:firstLine="0" w:firstLineChars="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相符</w:t>
                  </w:r>
                </w:p>
              </w:tc>
            </w:tr>
            <w:tr w14:paraId="65F5DC3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814" w:type="pct"/>
                  <w:noWrap w:val="0"/>
                  <w:vAlign w:val="center"/>
                </w:tcPr>
                <w:p w14:paraId="06DC43D9">
                  <w:pPr>
                    <w:tabs>
                      <w:tab w:val="left" w:pos="1021"/>
                    </w:tabs>
                    <w:topLinePunct w:val="0"/>
                    <w:bidi w:val="0"/>
                    <w:adjustRightInd/>
                    <w:snapToGrid/>
                    <w:jc w:val="center"/>
                    <w:rPr>
                      <w:rFonts w:hint="default" w:ascii="Times New Roman" w:hAnsi="Times New Roman" w:eastAsia="宋体" w:cs="Times New Roman"/>
                      <w:color w:val="auto"/>
                      <w:sz w:val="21"/>
                      <w:szCs w:val="21"/>
                      <w:highlight w:val="none"/>
                      <w:u w:val="none" w:color="auto"/>
                      <w:lang w:val="zh-CN"/>
                    </w:rPr>
                  </w:pPr>
                  <w:r>
                    <w:rPr>
                      <w:rFonts w:hint="default" w:ascii="Times New Roman" w:hAnsi="Times New Roman" w:eastAsia="宋体" w:cs="Times New Roman"/>
                      <w:color w:val="auto"/>
                      <w:sz w:val="21"/>
                      <w:szCs w:val="21"/>
                      <w:u w:val="none" w:color="auto"/>
                    </w:rPr>
                    <w:t>禁止新建、扩建法律法规和相关政策明令禁止的落后产能项目；对不符合要求的落后产能存量项目依法依规退出。禁止新建、扩建不符合国家产能置换要求的严重过剩产能行业（钢铁、水泥、电解铝、平板玻璃、船舶等行业）的项目。对确有必要新建、扩建的</w:t>
                  </w: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rPr>
                    <w:t>必须严格执行产能置换实施办法</w:t>
                  </w: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rPr>
                    <w:t>实施减量或等量置换</w:t>
                  </w: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rPr>
                    <w:t>依法依规办理有关手续。禁止新建、扩建不符合要求的高耗能高排放项目</w:t>
                  </w:r>
                </w:p>
              </w:tc>
              <w:tc>
                <w:tcPr>
                  <w:tcW w:w="1536" w:type="pct"/>
                  <w:noWrap w:val="0"/>
                  <w:vAlign w:val="center"/>
                </w:tcPr>
                <w:p w14:paraId="2633088C">
                  <w:pPr>
                    <w:tabs>
                      <w:tab w:val="left" w:pos="1021"/>
                    </w:tabs>
                    <w:topLinePunct w:val="0"/>
                    <w:bidi w:val="0"/>
                    <w:adjustRightInd/>
                    <w:snapToGrid/>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zh-CN" w:eastAsia="zh-CN"/>
                    </w:rPr>
                    <w:t>本项目不属于落后产能，其产品属于</w:t>
                  </w:r>
                  <w:r>
                    <w:rPr>
                      <w:rFonts w:hint="default" w:ascii="Times New Roman" w:hAnsi="Times New Roman" w:eastAsia="宋体" w:cs="Times New Roman"/>
                      <w:color w:val="auto"/>
                      <w:sz w:val="21"/>
                      <w:szCs w:val="21"/>
                      <w:highlight w:val="none"/>
                      <w:u w:val="none" w:color="auto"/>
                      <w:lang w:val="zh-CN"/>
                    </w:rPr>
                    <w:t>《产业结构调整指导目录（202</w:t>
                  </w:r>
                  <w:r>
                    <w:rPr>
                      <w:rFonts w:hint="default" w:ascii="Times New Roman" w:hAnsi="Times New Roman" w:eastAsia="宋体" w:cs="Times New Roman"/>
                      <w:color w:val="auto"/>
                      <w:sz w:val="21"/>
                      <w:szCs w:val="21"/>
                      <w:highlight w:val="none"/>
                      <w:u w:val="none" w:color="auto"/>
                      <w:lang w:val="en-US" w:eastAsia="zh-CN"/>
                    </w:rPr>
                    <w:t>4</w:t>
                  </w:r>
                  <w:r>
                    <w:rPr>
                      <w:rFonts w:hint="default" w:ascii="Times New Roman" w:hAnsi="Times New Roman" w:eastAsia="宋体" w:cs="Times New Roman"/>
                      <w:color w:val="auto"/>
                      <w:sz w:val="21"/>
                      <w:szCs w:val="21"/>
                      <w:highlight w:val="none"/>
                      <w:u w:val="none" w:color="auto"/>
                      <w:lang w:val="zh-CN"/>
                    </w:rPr>
                    <w:t>年）》</w:t>
                  </w:r>
                  <w:r>
                    <w:rPr>
                      <w:rFonts w:hint="default" w:ascii="Times New Roman" w:hAnsi="Times New Roman" w:eastAsia="宋体" w:cs="Times New Roman"/>
                      <w:color w:val="auto"/>
                      <w:sz w:val="21"/>
                      <w:szCs w:val="21"/>
                      <w:highlight w:val="none"/>
                      <w:u w:val="none" w:color="auto"/>
                      <w:lang w:val="en-US" w:eastAsia="zh-CN"/>
                    </w:rPr>
                    <w:t>允许类</w:t>
                  </w:r>
                </w:p>
              </w:tc>
              <w:tc>
                <w:tcPr>
                  <w:tcW w:w="648" w:type="pct"/>
                  <w:noWrap w:val="0"/>
                  <w:vAlign w:val="center"/>
                </w:tcPr>
                <w:p w14:paraId="0FD5AFA7">
                  <w:pPr>
                    <w:topLinePunct w:val="0"/>
                    <w:bidi w:val="0"/>
                    <w:adjustRightInd/>
                    <w:snapToGrid/>
                    <w:spacing w:after="0"/>
                    <w:ind w:left="0" w:leftChars="0" w:firstLine="0" w:firstLineChars="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相符</w:t>
                  </w:r>
                </w:p>
              </w:tc>
            </w:tr>
          </w:tbl>
          <w:p w14:paraId="6C3201B9">
            <w:pPr>
              <w:topLinePunct w:val="0"/>
              <w:bidi w:val="0"/>
              <w:adjustRightInd/>
              <w:snapToGrid/>
              <w:rPr>
                <w:rFonts w:hint="default" w:ascii="Times New Roman" w:hAnsi="Times New Roman" w:eastAsia="宋体" w:cs="Times New Roman"/>
                <w:b/>
                <w:bCs/>
                <w:color w:val="auto"/>
                <w:sz w:val="24"/>
                <w:szCs w:val="24"/>
                <w:highlight w:val="none"/>
                <w:u w:val="none" w:color="auto"/>
              </w:rPr>
            </w:pPr>
            <w:r>
              <w:rPr>
                <w:rFonts w:hint="default" w:ascii="Times New Roman" w:hAnsi="Times New Roman" w:eastAsia="宋体" w:cs="Times New Roman"/>
                <w:b/>
                <w:bCs/>
                <w:color w:val="auto"/>
                <w:sz w:val="24"/>
                <w:szCs w:val="24"/>
                <w:highlight w:val="none"/>
                <w:u w:val="none" w:color="auto"/>
                <w:lang w:eastAsia="zh-CN"/>
              </w:rPr>
              <w:t>注：</w:t>
            </w:r>
            <w:r>
              <w:rPr>
                <w:rFonts w:hint="default" w:ascii="Times New Roman" w:hAnsi="Times New Roman" w:eastAsia="宋体" w:cs="Times New Roman"/>
                <w:b/>
                <w:bCs/>
                <w:color w:val="auto"/>
                <w:sz w:val="24"/>
                <w:szCs w:val="24"/>
                <w:highlight w:val="none"/>
                <w:u w:val="none" w:color="auto"/>
              </w:rPr>
              <w:t>未列条款是因为本项目未涉及未列条款相关内容。</w:t>
            </w:r>
          </w:p>
          <w:p w14:paraId="291D534B">
            <w:pPr>
              <w:autoSpaceDE w:val="0"/>
              <w:autoSpaceDN w:val="0"/>
              <w:spacing w:line="360" w:lineRule="auto"/>
              <w:rPr>
                <w:rFonts w:hint="default" w:ascii="Times New Roman" w:hAnsi="Times New Roman" w:eastAsia="宋体" w:cs="Times New Roman"/>
                <w:b/>
                <w:bCs/>
                <w:color w:val="auto"/>
                <w:kern w:val="0"/>
                <w:sz w:val="24"/>
                <w:szCs w:val="24"/>
                <w:u w:val="none" w:color="auto"/>
                <w:lang w:val="en-US"/>
              </w:rPr>
            </w:pPr>
            <w:r>
              <w:rPr>
                <w:rFonts w:hint="default" w:ascii="Times New Roman" w:hAnsi="Times New Roman" w:eastAsia="宋体" w:cs="Times New Roman"/>
                <w:b/>
                <w:bCs/>
                <w:color w:val="auto"/>
                <w:kern w:val="0"/>
                <w:sz w:val="24"/>
                <w:szCs w:val="24"/>
                <w:u w:val="none" w:color="auto"/>
                <w:lang w:val="en-US" w:eastAsia="zh-CN"/>
              </w:rPr>
              <w:t>五、与《湖南省“两高”项目管理目录》的相符性分析</w:t>
            </w:r>
          </w:p>
          <w:p w14:paraId="222CF5BB">
            <w:pPr>
              <w:pStyle w:val="87"/>
              <w:numPr>
                <w:ilvl w:val="0"/>
                <w:numId w:val="0"/>
              </w:numPr>
              <w:topLinePunct w:val="0"/>
              <w:bidi w:val="0"/>
              <w:adjustRightInd/>
              <w:snapToGrid/>
              <w:spacing w:line="360" w:lineRule="auto"/>
              <w:ind w:firstLine="480" w:firstLineChars="200"/>
              <w:rPr>
                <w:rFonts w:hint="default" w:ascii="Times New Roman" w:hAnsi="Times New Roman" w:eastAsia="宋体" w:cs="Times New Roman"/>
                <w:b w:val="0"/>
                <w:bCs w:val="0"/>
                <w:i w:val="0"/>
                <w:iCs w:val="0"/>
                <w:color w:val="auto"/>
                <w:sz w:val="24"/>
                <w:szCs w:val="24"/>
                <w:u w:val="none" w:color="auto"/>
                <w:lang w:val="en-US" w:eastAsia="zh-CN"/>
              </w:rPr>
            </w:pPr>
            <w:r>
              <w:rPr>
                <w:rFonts w:hint="default" w:ascii="Times New Roman" w:hAnsi="Times New Roman" w:eastAsia="宋体" w:cs="Times New Roman"/>
                <w:i w:val="0"/>
                <w:iCs w:val="0"/>
                <w:color w:val="auto"/>
                <w:sz w:val="24"/>
                <w:szCs w:val="24"/>
                <w:u w:val="none" w:color="auto"/>
                <w:lang w:eastAsia="zh-CN"/>
              </w:rPr>
              <w:t>根据《</w:t>
            </w:r>
            <w:r>
              <w:rPr>
                <w:rFonts w:hint="default" w:ascii="Times New Roman" w:hAnsi="Times New Roman" w:eastAsia="宋体" w:cs="Times New Roman"/>
                <w:b w:val="0"/>
                <w:bCs w:val="0"/>
                <w:i w:val="0"/>
                <w:iCs w:val="0"/>
                <w:color w:val="auto"/>
                <w:sz w:val="24"/>
                <w:szCs w:val="24"/>
                <w:u w:val="none" w:color="auto"/>
                <w:lang w:val="en-US"/>
              </w:rPr>
              <w:t>关于印发&lt;湖南省“两高”项目管理名录&gt;的通知</w:t>
            </w:r>
            <w:r>
              <w:rPr>
                <w:rFonts w:hint="default" w:ascii="Times New Roman" w:hAnsi="Times New Roman" w:eastAsia="宋体" w:cs="Times New Roman"/>
                <w:i w:val="0"/>
                <w:iCs w:val="0"/>
                <w:color w:val="auto"/>
                <w:sz w:val="24"/>
                <w:szCs w:val="24"/>
                <w:u w:val="none" w:color="auto"/>
                <w:lang w:eastAsia="zh-CN"/>
              </w:rPr>
              <w:t>》</w:t>
            </w:r>
            <w:r>
              <w:rPr>
                <w:rFonts w:hint="default" w:ascii="Times New Roman" w:hAnsi="Times New Roman" w:eastAsia="宋体" w:cs="Times New Roman"/>
                <w:b w:val="0"/>
                <w:bCs w:val="0"/>
                <w:i w:val="0"/>
                <w:iCs w:val="0"/>
                <w:color w:val="auto"/>
                <w:sz w:val="24"/>
                <w:szCs w:val="24"/>
                <w:u w:val="none" w:color="auto"/>
                <w:lang w:val="en-US"/>
              </w:rPr>
              <w:t>（湖南省发展和改革委员会2021年12月24日）</w:t>
            </w:r>
            <w:r>
              <w:rPr>
                <w:rFonts w:hint="default" w:ascii="Times New Roman" w:hAnsi="Times New Roman" w:eastAsia="宋体" w:cs="Times New Roman"/>
                <w:b w:val="0"/>
                <w:bCs w:val="0"/>
                <w:i w:val="0"/>
                <w:iCs w:val="0"/>
                <w:color w:val="auto"/>
                <w:sz w:val="24"/>
                <w:szCs w:val="24"/>
                <w:u w:val="none" w:color="auto"/>
                <w:lang w:val="en-US" w:eastAsia="zh-CN"/>
              </w:rPr>
              <w:t>，本项目不属于“</w:t>
            </w:r>
            <w:r>
              <w:rPr>
                <w:rFonts w:hint="default" w:ascii="Times New Roman" w:hAnsi="Times New Roman" w:eastAsia="宋体" w:cs="Times New Roman"/>
                <w:b w:val="0"/>
                <w:bCs w:val="0"/>
                <w:i w:val="0"/>
                <w:iCs w:val="0"/>
                <w:color w:val="auto"/>
                <w:sz w:val="24"/>
                <w:szCs w:val="24"/>
                <w:u w:val="none" w:color="auto"/>
                <w:vertAlign w:val="baseline"/>
                <w:lang w:val="en-US" w:eastAsia="zh-CN"/>
              </w:rPr>
              <w:t>石化、化工、煤化工、</w:t>
            </w:r>
            <w:r>
              <w:rPr>
                <w:rFonts w:hint="default" w:ascii="Times New Roman" w:hAnsi="Times New Roman" w:eastAsia="宋体" w:cs="Times New Roman"/>
                <w:b w:val="0"/>
                <w:bCs w:val="0"/>
                <w:i w:val="0"/>
                <w:iCs w:val="0"/>
                <w:color w:val="auto"/>
                <w:sz w:val="24"/>
                <w:szCs w:val="24"/>
                <w:u w:val="none" w:color="auto"/>
                <w:lang w:val="en-US" w:eastAsia="zh-CN"/>
              </w:rPr>
              <w:t>焦化、钢铁、建材、有色、</w:t>
            </w:r>
            <w:r>
              <w:rPr>
                <w:rFonts w:hint="default" w:ascii="Times New Roman" w:hAnsi="Times New Roman" w:eastAsia="宋体" w:cs="Times New Roman"/>
                <w:b w:val="0"/>
                <w:bCs w:val="0"/>
                <w:i w:val="0"/>
                <w:iCs w:val="0"/>
                <w:color w:val="auto"/>
                <w:sz w:val="24"/>
                <w:szCs w:val="24"/>
                <w:u w:val="none" w:color="auto"/>
                <w:vertAlign w:val="baseline"/>
                <w:lang w:val="en-US" w:eastAsia="zh-CN"/>
              </w:rPr>
              <w:t>煤电及</w:t>
            </w:r>
            <w:r>
              <w:rPr>
                <w:rFonts w:hint="default" w:ascii="Times New Roman" w:hAnsi="Times New Roman" w:eastAsia="宋体" w:cs="Times New Roman"/>
                <w:i w:val="0"/>
                <w:iCs w:val="0"/>
                <w:color w:val="auto"/>
                <w:sz w:val="24"/>
                <w:szCs w:val="24"/>
                <w:u w:val="none" w:color="auto"/>
                <w:lang w:val="en-US" w:eastAsia="zh-CN"/>
              </w:rPr>
              <w:t>涉煤及煤制品、石油焦、渣油、重油等高污染燃料使用工业炉窑、锅炉的项目</w:t>
            </w:r>
            <w:r>
              <w:rPr>
                <w:rFonts w:hint="default" w:ascii="Times New Roman" w:hAnsi="Times New Roman" w:eastAsia="宋体" w:cs="Times New Roman"/>
                <w:b w:val="0"/>
                <w:bCs w:val="0"/>
                <w:i w:val="0"/>
                <w:iCs w:val="0"/>
                <w:color w:val="auto"/>
                <w:sz w:val="24"/>
                <w:szCs w:val="24"/>
                <w:u w:val="none" w:color="auto"/>
                <w:lang w:val="en-US" w:eastAsia="zh-CN"/>
              </w:rPr>
              <w:t>”。</w:t>
            </w:r>
          </w:p>
          <w:p w14:paraId="4A76E2CB">
            <w:pPr>
              <w:pStyle w:val="87"/>
              <w:numPr>
                <w:ilvl w:val="0"/>
                <w:numId w:val="0"/>
              </w:numPr>
              <w:topLinePunct w:val="0"/>
              <w:bidi w:val="0"/>
              <w:adjustRightInd/>
              <w:snapToGrid/>
              <w:spacing w:line="360" w:lineRule="auto"/>
              <w:ind w:firstLine="480" w:firstLineChars="200"/>
              <w:rPr>
                <w:rFonts w:hint="default" w:ascii="Times New Roman" w:hAnsi="Times New Roman" w:eastAsia="宋体" w:cs="Times New Roman"/>
                <w:b/>
                <w:bCs/>
                <w:color w:val="auto"/>
                <w:sz w:val="24"/>
                <w:szCs w:val="24"/>
                <w:highlight w:val="none"/>
                <w:u w:val="none" w:color="auto"/>
                <w:lang w:val="en-US" w:eastAsia="zh-CN"/>
              </w:rPr>
            </w:pPr>
            <w:r>
              <w:rPr>
                <w:rFonts w:hint="default" w:ascii="Times New Roman" w:hAnsi="Times New Roman" w:eastAsia="宋体" w:cs="Times New Roman"/>
                <w:b w:val="0"/>
                <w:bCs w:val="0"/>
                <w:i w:val="0"/>
                <w:iCs w:val="0"/>
                <w:color w:val="auto"/>
                <w:sz w:val="24"/>
                <w:szCs w:val="24"/>
                <w:u w:val="none" w:color="auto"/>
                <w:lang w:val="en-US" w:eastAsia="zh-CN"/>
              </w:rPr>
              <w:t>本项目能源为天然气、电能以及生物质燃料，且炉窑配套废气处理措施；项目采用单质金属进行混配生产铝合金即可，不涉及原矿冶炼、再生铝冶炼等。故本项目</w:t>
            </w:r>
            <w:r>
              <w:rPr>
                <w:rFonts w:hint="default" w:ascii="Times New Roman" w:hAnsi="Times New Roman" w:eastAsia="宋体" w:cs="Times New Roman"/>
                <w:i w:val="0"/>
                <w:iCs w:val="0"/>
                <w:color w:val="auto"/>
                <w:sz w:val="24"/>
                <w:szCs w:val="24"/>
                <w:u w:val="none" w:color="auto"/>
                <w:lang w:eastAsia="zh-CN"/>
              </w:rPr>
              <w:t>不属于</w:t>
            </w:r>
            <w:r>
              <w:rPr>
                <w:rFonts w:hint="default" w:ascii="Times New Roman" w:hAnsi="Times New Roman" w:eastAsia="宋体" w:cs="Times New Roman"/>
                <w:i w:val="0"/>
                <w:iCs w:val="0"/>
                <w:color w:val="auto"/>
                <w:sz w:val="24"/>
                <w:szCs w:val="24"/>
                <w:u w:val="none" w:color="auto"/>
                <w:lang w:val="en-US" w:eastAsia="zh-CN"/>
              </w:rPr>
              <w:t>上述文件中</w:t>
            </w:r>
            <w:r>
              <w:rPr>
                <w:rFonts w:hint="default" w:ascii="Times New Roman" w:hAnsi="Times New Roman" w:eastAsia="宋体" w:cs="Times New Roman"/>
                <w:b w:val="0"/>
                <w:bCs w:val="0"/>
                <w:i w:val="0"/>
                <w:iCs w:val="0"/>
                <w:color w:val="auto"/>
                <w:spacing w:val="0"/>
                <w:sz w:val="24"/>
                <w:szCs w:val="24"/>
                <w:u w:val="none" w:color="auto"/>
                <w:lang w:eastAsia="zh-CN"/>
              </w:rPr>
              <w:t>的“两高”项目。</w:t>
            </w:r>
          </w:p>
          <w:p w14:paraId="063B4086">
            <w:pPr>
              <w:autoSpaceDE w:val="0"/>
              <w:autoSpaceDN w:val="0"/>
              <w:spacing w:line="360" w:lineRule="auto"/>
              <w:rPr>
                <w:rFonts w:hint="default" w:ascii="Times New Roman" w:hAnsi="Times New Roman" w:eastAsia="宋体" w:cs="Times New Roman"/>
                <w:b/>
                <w:bCs/>
                <w:color w:val="auto"/>
                <w:spacing w:val="0"/>
                <w:kern w:val="0"/>
                <w:sz w:val="24"/>
                <w:szCs w:val="24"/>
                <w:highlight w:val="none"/>
                <w:u w:val="none" w:color="auto"/>
              </w:rPr>
            </w:pPr>
            <w:r>
              <w:rPr>
                <w:rFonts w:hint="default" w:ascii="Times New Roman" w:hAnsi="Times New Roman" w:eastAsia="宋体" w:cs="Times New Roman"/>
                <w:b/>
                <w:bCs/>
                <w:color w:val="auto"/>
                <w:spacing w:val="0"/>
                <w:kern w:val="0"/>
                <w:sz w:val="24"/>
                <w:szCs w:val="24"/>
                <w:u w:val="none" w:color="auto"/>
                <w:lang w:val="en-US" w:eastAsia="zh-CN"/>
              </w:rPr>
              <w:t>六、与</w:t>
            </w:r>
            <w:r>
              <w:rPr>
                <w:rFonts w:hint="default" w:ascii="Times New Roman" w:hAnsi="Times New Roman" w:eastAsia="宋体" w:cs="Times New Roman"/>
                <w:b/>
                <w:bCs/>
                <w:color w:val="auto"/>
                <w:spacing w:val="0"/>
                <w:kern w:val="0"/>
                <w:sz w:val="24"/>
                <w:szCs w:val="24"/>
                <w:highlight w:val="none"/>
                <w:u w:val="none" w:color="auto"/>
              </w:rPr>
              <w:t>《推动铸造和锻压行业高质量发展的指导意见》（工信部联通装〔2023〕40号）的相符性分析</w:t>
            </w:r>
          </w:p>
          <w:p w14:paraId="33316E21">
            <w:pPr>
              <w:pStyle w:val="87"/>
              <w:numPr>
                <w:ilvl w:val="0"/>
                <w:numId w:val="0"/>
              </w:numPr>
              <w:topLinePunct w:val="0"/>
              <w:bidi w:val="0"/>
              <w:adjustRightInd/>
              <w:snapToGrid/>
              <w:spacing w:line="360" w:lineRule="auto"/>
              <w:ind w:firstLine="480" w:firstLineChars="200"/>
              <w:rPr>
                <w:rFonts w:hint="default" w:ascii="Times New Roman" w:hAnsi="Times New Roman" w:eastAsia="宋体" w:cs="Times New Roman"/>
                <w:b w:val="0"/>
                <w:bCs w:val="0"/>
                <w:color w:val="auto"/>
                <w:sz w:val="24"/>
                <w:szCs w:val="24"/>
                <w:highlight w:val="none"/>
                <w:u w:val="none" w:color="auto"/>
                <w:lang w:val="en-US" w:eastAsia="zh-CN"/>
              </w:rPr>
            </w:pPr>
            <w:r>
              <w:rPr>
                <w:rFonts w:hint="default" w:ascii="Times New Roman" w:hAnsi="Times New Roman" w:eastAsia="宋体" w:cs="Times New Roman"/>
                <w:b w:val="0"/>
                <w:bCs w:val="0"/>
                <w:color w:val="auto"/>
                <w:sz w:val="24"/>
                <w:szCs w:val="24"/>
                <w:highlight w:val="none"/>
                <w:u w:val="none" w:color="auto"/>
                <w:lang w:val="en-US" w:eastAsia="zh-CN"/>
              </w:rPr>
              <w:t>本项目与行业发展指导意见相符性分析如下：</w:t>
            </w:r>
          </w:p>
          <w:p w14:paraId="7AD6CFDF">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b/>
                <w:bCs/>
                <w:color w:val="auto"/>
                <w:spacing w:val="0"/>
                <w:kern w:val="0"/>
                <w:sz w:val="21"/>
                <w:szCs w:val="21"/>
                <w:highlight w:val="none"/>
                <w:u w:val="none" w:color="auto"/>
              </w:rPr>
            </w:pPr>
            <w:bookmarkStart w:id="12" w:name="sys433038"/>
            <w:r>
              <w:rPr>
                <w:rFonts w:hint="default" w:ascii="Times New Roman" w:hAnsi="Times New Roman" w:eastAsia="宋体" w:cs="Times New Roman"/>
                <w:b/>
                <w:bCs/>
                <w:color w:val="auto"/>
                <w:spacing w:val="0"/>
                <w:kern w:val="0"/>
                <w:sz w:val="21"/>
                <w:szCs w:val="21"/>
                <w:highlight w:val="none"/>
                <w:u w:val="none" w:color="auto"/>
              </w:rPr>
              <w:t>表1-</w:t>
            </w:r>
            <w:r>
              <w:rPr>
                <w:rFonts w:hint="default" w:ascii="Times New Roman" w:hAnsi="Times New Roman" w:eastAsia="宋体" w:cs="Times New Roman"/>
                <w:b/>
                <w:bCs/>
                <w:color w:val="auto"/>
                <w:spacing w:val="0"/>
                <w:kern w:val="0"/>
                <w:sz w:val="21"/>
                <w:szCs w:val="21"/>
                <w:highlight w:val="none"/>
                <w:u w:val="none" w:color="auto"/>
                <w:lang w:val="en-US" w:eastAsia="zh-CN"/>
              </w:rPr>
              <w:t>5</w:t>
            </w:r>
            <w:r>
              <w:rPr>
                <w:rFonts w:hint="default" w:ascii="Times New Roman" w:hAnsi="Times New Roman" w:eastAsia="宋体" w:cs="Times New Roman"/>
                <w:b/>
                <w:bCs/>
                <w:color w:val="auto"/>
                <w:spacing w:val="0"/>
                <w:kern w:val="0"/>
                <w:sz w:val="21"/>
                <w:szCs w:val="21"/>
                <w:highlight w:val="none"/>
                <w:u w:val="none" w:color="auto"/>
              </w:rPr>
              <w:t xml:space="preserve"> 本项目与《推动铸造和锻压行业高质量发展的指导意见》相符性分析一览表</w:t>
            </w:r>
            <w:bookmarkEnd w:id="12"/>
          </w:p>
          <w:tbl>
            <w:tblPr>
              <w:tblStyle w:val="31"/>
              <w:tblW w:w="5000" w:type="pct"/>
              <w:tblInd w:w="-15"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
            <w:tblGrid>
              <w:gridCol w:w="497"/>
              <w:gridCol w:w="3384"/>
              <w:gridCol w:w="2291"/>
              <w:gridCol w:w="502"/>
            </w:tblGrid>
            <w:tr w14:paraId="4E3A0F7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372" w:type="pct"/>
                  <w:tcBorders>
                    <w:tl2br w:val="nil"/>
                    <w:tr2bl w:val="nil"/>
                  </w:tcBorders>
                  <w:vAlign w:val="center"/>
                </w:tcPr>
                <w:p w14:paraId="1DF19F91">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b/>
                      <w:color w:val="auto"/>
                      <w:kern w:val="21"/>
                      <w:sz w:val="21"/>
                      <w:szCs w:val="21"/>
                      <w:highlight w:val="none"/>
                      <w:u w:val="none" w:color="auto"/>
                    </w:rPr>
                  </w:pPr>
                  <w:r>
                    <w:rPr>
                      <w:rFonts w:hint="default" w:ascii="Times New Roman" w:hAnsi="Times New Roman" w:eastAsia="宋体" w:cs="Times New Roman"/>
                      <w:b/>
                      <w:color w:val="auto"/>
                      <w:kern w:val="21"/>
                      <w:sz w:val="21"/>
                      <w:szCs w:val="21"/>
                      <w:highlight w:val="none"/>
                      <w:u w:val="none" w:color="auto"/>
                    </w:rPr>
                    <w:t>序号</w:t>
                  </w:r>
                </w:p>
              </w:tc>
              <w:tc>
                <w:tcPr>
                  <w:tcW w:w="2536" w:type="pct"/>
                  <w:tcBorders>
                    <w:tl2br w:val="nil"/>
                    <w:tr2bl w:val="nil"/>
                  </w:tcBorders>
                  <w:vAlign w:val="center"/>
                </w:tcPr>
                <w:p w14:paraId="59833366">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b/>
                      <w:color w:val="auto"/>
                      <w:kern w:val="21"/>
                      <w:sz w:val="21"/>
                      <w:szCs w:val="21"/>
                      <w:highlight w:val="none"/>
                      <w:u w:val="none" w:color="auto"/>
                    </w:rPr>
                  </w:pPr>
                  <w:r>
                    <w:rPr>
                      <w:rFonts w:hint="default" w:ascii="Times New Roman" w:hAnsi="Times New Roman" w:eastAsia="宋体" w:cs="Times New Roman"/>
                      <w:b/>
                      <w:color w:val="auto"/>
                      <w:kern w:val="21"/>
                      <w:sz w:val="21"/>
                      <w:szCs w:val="21"/>
                      <w:highlight w:val="none"/>
                      <w:u w:val="none" w:color="auto"/>
                    </w:rPr>
                    <w:t>要求</w:t>
                  </w:r>
                </w:p>
              </w:tc>
              <w:tc>
                <w:tcPr>
                  <w:tcW w:w="1716" w:type="pct"/>
                  <w:tcBorders>
                    <w:tl2br w:val="nil"/>
                    <w:tr2bl w:val="nil"/>
                  </w:tcBorders>
                  <w:vAlign w:val="center"/>
                </w:tcPr>
                <w:p w14:paraId="1957B2F6">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b/>
                      <w:color w:val="auto"/>
                      <w:kern w:val="21"/>
                      <w:sz w:val="21"/>
                      <w:szCs w:val="21"/>
                      <w:highlight w:val="none"/>
                      <w:u w:val="none" w:color="auto"/>
                    </w:rPr>
                  </w:pPr>
                  <w:r>
                    <w:rPr>
                      <w:rFonts w:hint="default" w:ascii="Times New Roman" w:hAnsi="Times New Roman" w:eastAsia="宋体" w:cs="Times New Roman"/>
                      <w:b/>
                      <w:color w:val="auto"/>
                      <w:kern w:val="21"/>
                      <w:sz w:val="21"/>
                      <w:szCs w:val="21"/>
                      <w:highlight w:val="none"/>
                      <w:u w:val="none" w:color="auto"/>
                    </w:rPr>
                    <w:t>本项目情况</w:t>
                  </w:r>
                </w:p>
              </w:tc>
              <w:tc>
                <w:tcPr>
                  <w:tcW w:w="376" w:type="pct"/>
                  <w:tcBorders>
                    <w:tl2br w:val="nil"/>
                    <w:tr2bl w:val="nil"/>
                  </w:tcBorders>
                  <w:vAlign w:val="center"/>
                </w:tcPr>
                <w:p w14:paraId="54795837">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b/>
                      <w:color w:val="auto"/>
                      <w:kern w:val="21"/>
                      <w:sz w:val="21"/>
                      <w:szCs w:val="21"/>
                      <w:highlight w:val="none"/>
                      <w:u w:val="none" w:color="auto"/>
                    </w:rPr>
                  </w:pPr>
                  <w:r>
                    <w:rPr>
                      <w:rFonts w:hint="default" w:ascii="Times New Roman" w:hAnsi="Times New Roman" w:eastAsia="宋体" w:cs="Times New Roman"/>
                      <w:b/>
                      <w:color w:val="auto"/>
                      <w:kern w:val="21"/>
                      <w:sz w:val="21"/>
                      <w:szCs w:val="21"/>
                      <w:highlight w:val="none"/>
                      <w:u w:val="none" w:color="auto"/>
                    </w:rPr>
                    <w:t>相符性</w:t>
                  </w:r>
                </w:p>
              </w:tc>
            </w:tr>
            <w:tr w14:paraId="250B72F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372" w:type="pct"/>
                  <w:vMerge w:val="restart"/>
                  <w:tcBorders>
                    <w:tl2br w:val="nil"/>
                    <w:tr2bl w:val="nil"/>
                  </w:tcBorders>
                  <w:vAlign w:val="center"/>
                </w:tcPr>
                <w:p w14:paraId="246F5D9C">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color w:val="auto"/>
                      <w:kern w:val="21"/>
                      <w:sz w:val="21"/>
                      <w:szCs w:val="21"/>
                      <w:highlight w:val="none"/>
                      <w:u w:val="none" w:color="auto"/>
                      <w:shd w:val="clear" w:color="auto" w:fill="FFFFFF"/>
                    </w:rPr>
                  </w:pPr>
                  <w:r>
                    <w:rPr>
                      <w:rFonts w:hint="default" w:ascii="Times New Roman" w:hAnsi="Times New Roman" w:eastAsia="宋体" w:cs="Times New Roman"/>
                      <w:color w:val="auto"/>
                      <w:kern w:val="21"/>
                      <w:sz w:val="21"/>
                      <w:szCs w:val="21"/>
                      <w:highlight w:val="none"/>
                      <w:u w:val="none" w:color="auto"/>
                      <w:shd w:val="clear" w:color="auto" w:fill="FFFFFF"/>
                    </w:rPr>
                    <w:t>二、推进行业规范发展</w:t>
                  </w:r>
                </w:p>
              </w:tc>
              <w:tc>
                <w:tcPr>
                  <w:tcW w:w="2536" w:type="pct"/>
                  <w:tcBorders>
                    <w:tl2br w:val="nil"/>
                    <w:tr2bl w:val="nil"/>
                  </w:tcBorders>
                  <w:vAlign w:val="center"/>
                </w:tcPr>
                <w:p w14:paraId="5F66F14D">
                  <w:pPr>
                    <w:keepNext w:val="0"/>
                    <w:keepLines w:val="0"/>
                    <w:pageBreakBefore w:val="0"/>
                    <w:widowControl w:val="0"/>
                    <w:kinsoku/>
                    <w:wordWrap/>
                    <w:overflowPunct/>
                    <w:topLinePunct w:val="0"/>
                    <w:autoSpaceDE/>
                    <w:autoSpaceDN/>
                    <w:bidi w:val="0"/>
                    <w:adjustRightInd/>
                    <w:snapToGrid/>
                    <w:ind w:right="105" w:rightChars="50"/>
                    <w:textAlignment w:val="baseline"/>
                    <w:rPr>
                      <w:rFonts w:hint="default" w:ascii="Times New Roman" w:hAnsi="Times New Roman" w:eastAsia="宋体" w:cs="Times New Roman"/>
                      <w:color w:val="auto"/>
                      <w:kern w:val="21"/>
                      <w:sz w:val="21"/>
                      <w:szCs w:val="21"/>
                      <w:highlight w:val="none"/>
                      <w:u w:val="none" w:color="auto"/>
                      <w:shd w:val="clear" w:color="auto" w:fill="FFFFFF"/>
                    </w:rPr>
                  </w:pPr>
                  <w:r>
                    <w:rPr>
                      <w:rFonts w:hint="default" w:ascii="Times New Roman" w:hAnsi="Times New Roman" w:eastAsia="宋体" w:cs="Times New Roman"/>
                      <w:color w:val="auto"/>
                      <w:kern w:val="21"/>
                      <w:sz w:val="21"/>
                      <w:szCs w:val="21"/>
                      <w:highlight w:val="none"/>
                      <w:u w:val="none" w:color="auto"/>
                      <w:shd w:val="clear" w:color="auto" w:fill="FFFFFF"/>
                    </w:rPr>
                    <w:t>1. 推进产业结构优化。严格执行节能、环保、质量、安全技术等相关法律法规标准和《产业结构调整指导目录》等政策，依法依规淘汰工艺装备落后、污染物排放不达标、生产安全无保障的落后产能，鼓励大气污染防治重点区域加大淘汰落后力度。</w:t>
                  </w:r>
                  <w:bookmarkStart w:id="13" w:name="sys43911174"/>
                  <w:r>
                    <w:rPr>
                      <w:rFonts w:hint="default" w:ascii="Times New Roman" w:hAnsi="Times New Roman" w:eastAsia="宋体" w:cs="Times New Roman"/>
                      <w:color w:val="auto"/>
                      <w:kern w:val="21"/>
                      <w:sz w:val="21"/>
                      <w:szCs w:val="21"/>
                      <w:highlight w:val="none"/>
                      <w:u w:val="none" w:color="auto"/>
                      <w:shd w:val="clear" w:color="auto" w:fill="FFFFFF"/>
                    </w:rPr>
                    <w:t>铸造企业不得采用无芯工频感应电炉、无磁轭（≥0.25吨）铝壳中频感应电炉、水玻璃熔模精密铸造氯化硬化模壳、铝合金六氯乙烷精炼等淘汰类工艺和装备。</w:t>
                  </w:r>
                  <w:bookmarkEnd w:id="13"/>
                  <w:r>
                    <w:rPr>
                      <w:rFonts w:hint="default" w:ascii="Times New Roman" w:hAnsi="Times New Roman" w:eastAsia="宋体" w:cs="Times New Roman"/>
                      <w:color w:val="auto"/>
                      <w:kern w:val="21"/>
                      <w:sz w:val="21"/>
                      <w:szCs w:val="21"/>
                      <w:highlight w:val="none"/>
                      <w:u w:val="none" w:color="auto"/>
                      <w:shd w:val="clear" w:color="auto" w:fill="FFFFFF"/>
                    </w:rPr>
                    <w:t>加快存量项目升级改造，推进企业合理选择低污染、低能耗、经济高效的先进工艺技术，提升行业竞争能力。强化铸造和锻压与装备制造业协同布局，引导具备条件的企业入园集聚发展，提升产业链供应链协同配套能力，构建布局合理、错位互补，供需联动、协同发展的产业格局。</w:t>
                  </w:r>
                </w:p>
              </w:tc>
              <w:tc>
                <w:tcPr>
                  <w:tcW w:w="1716" w:type="pct"/>
                  <w:tcBorders>
                    <w:tl2br w:val="nil"/>
                    <w:tr2bl w:val="nil"/>
                  </w:tcBorders>
                  <w:vAlign w:val="center"/>
                </w:tcPr>
                <w:p w14:paraId="0B4409B1">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color w:val="auto"/>
                      <w:kern w:val="21"/>
                      <w:sz w:val="21"/>
                      <w:szCs w:val="21"/>
                      <w:highlight w:val="none"/>
                      <w:u w:val="none" w:color="auto"/>
                    </w:rPr>
                  </w:pPr>
                  <w:r>
                    <w:rPr>
                      <w:rFonts w:hint="default" w:ascii="Times New Roman" w:hAnsi="Times New Roman" w:eastAsia="宋体" w:cs="Times New Roman"/>
                      <w:color w:val="auto"/>
                      <w:kern w:val="21"/>
                      <w:sz w:val="21"/>
                      <w:szCs w:val="21"/>
                      <w:highlight w:val="none"/>
                      <w:u w:val="none" w:color="auto"/>
                    </w:rPr>
                    <w:t>本项目</w:t>
                  </w:r>
                  <w:r>
                    <w:rPr>
                      <w:rFonts w:hint="default" w:ascii="Times New Roman" w:hAnsi="Times New Roman" w:eastAsia="宋体" w:cs="Times New Roman"/>
                      <w:color w:val="auto"/>
                      <w:kern w:val="21"/>
                      <w:sz w:val="21"/>
                      <w:szCs w:val="21"/>
                      <w:highlight w:val="none"/>
                      <w:u w:val="none" w:color="auto"/>
                      <w:lang w:val="en-US" w:eastAsia="zh-CN"/>
                    </w:rPr>
                    <w:t>涉及</w:t>
                  </w:r>
                  <w:r>
                    <w:rPr>
                      <w:rFonts w:hint="default" w:ascii="Times New Roman" w:hAnsi="Times New Roman" w:eastAsia="宋体" w:cs="Times New Roman"/>
                      <w:color w:val="auto"/>
                      <w:kern w:val="21"/>
                      <w:sz w:val="21"/>
                      <w:szCs w:val="21"/>
                      <w:highlight w:val="none"/>
                      <w:u w:val="none" w:color="auto"/>
                    </w:rPr>
                    <w:t>有色金属铸造行业，属于《产业结构调整指导目录（2024年本）》中鼓励类“十四机械第11条”中“汽车、能源装备领域高性能关键铸件、锻件”，不涉及“限制类”，“淘汰类”；不属于《环境保护综合名录》</w:t>
                  </w:r>
                  <w:r>
                    <w:rPr>
                      <w:rFonts w:hint="default" w:ascii="Times New Roman" w:hAnsi="Times New Roman" w:eastAsia="宋体" w:cs="Times New Roman"/>
                      <w:color w:val="auto"/>
                      <w:kern w:val="21"/>
                      <w:sz w:val="21"/>
                      <w:szCs w:val="21"/>
                      <w:highlight w:val="none"/>
                      <w:u w:val="none" w:color="auto"/>
                      <w:lang w:eastAsia="zh-CN"/>
                    </w:rPr>
                    <w:t>（</w:t>
                  </w:r>
                  <w:r>
                    <w:rPr>
                      <w:rFonts w:hint="default" w:ascii="Times New Roman" w:hAnsi="Times New Roman" w:eastAsia="宋体" w:cs="Times New Roman"/>
                      <w:color w:val="auto"/>
                      <w:kern w:val="21"/>
                      <w:sz w:val="21"/>
                      <w:szCs w:val="21"/>
                      <w:highlight w:val="none"/>
                      <w:u w:val="none" w:color="auto"/>
                      <w:lang w:val="en-US" w:eastAsia="zh-CN"/>
                    </w:rPr>
                    <w:t>2021年</w:t>
                  </w:r>
                  <w:r>
                    <w:rPr>
                      <w:rFonts w:hint="default" w:ascii="Times New Roman" w:hAnsi="Times New Roman" w:eastAsia="宋体" w:cs="Times New Roman"/>
                      <w:color w:val="auto"/>
                      <w:kern w:val="21"/>
                      <w:sz w:val="21"/>
                      <w:szCs w:val="21"/>
                      <w:highlight w:val="none"/>
                      <w:u w:val="none" w:color="auto"/>
                      <w:lang w:eastAsia="zh-CN"/>
                    </w:rPr>
                    <w:t>）</w:t>
                  </w:r>
                  <w:r>
                    <w:rPr>
                      <w:rFonts w:hint="default" w:ascii="Times New Roman" w:hAnsi="Times New Roman" w:eastAsia="宋体" w:cs="Times New Roman"/>
                      <w:color w:val="auto"/>
                      <w:kern w:val="21"/>
                      <w:sz w:val="21"/>
                      <w:szCs w:val="21"/>
                      <w:highlight w:val="none"/>
                      <w:u w:val="none" w:color="auto"/>
                    </w:rPr>
                    <w:t>中的“高污染、高环境风险”。</w:t>
                  </w:r>
                </w:p>
                <w:p w14:paraId="4C34824C">
                  <w:pPr>
                    <w:keepNext w:val="0"/>
                    <w:keepLines w:val="0"/>
                    <w:pageBreakBefore w:val="0"/>
                    <w:widowControl w:val="0"/>
                    <w:kinsoku/>
                    <w:wordWrap/>
                    <w:overflowPunct/>
                    <w:topLinePunct w:val="0"/>
                    <w:autoSpaceDE/>
                    <w:autoSpaceDN/>
                    <w:bidi w:val="0"/>
                    <w:adjustRightInd/>
                    <w:snapToGrid/>
                    <w:ind w:right="105" w:rightChars="50"/>
                    <w:jc w:val="center"/>
                    <w:textAlignment w:val="baseline"/>
                    <w:rPr>
                      <w:rFonts w:hint="default" w:ascii="Times New Roman" w:hAnsi="Times New Roman" w:eastAsia="宋体" w:cs="Times New Roman"/>
                      <w:color w:val="auto"/>
                      <w:kern w:val="21"/>
                      <w:sz w:val="21"/>
                      <w:szCs w:val="21"/>
                      <w:highlight w:val="none"/>
                      <w:u w:val="none" w:color="auto"/>
                    </w:rPr>
                  </w:pPr>
                  <w:bookmarkStart w:id="14" w:name="sys441070"/>
                  <w:r>
                    <w:rPr>
                      <w:rFonts w:hint="default" w:ascii="Times New Roman" w:hAnsi="Times New Roman" w:eastAsia="宋体" w:cs="Times New Roman"/>
                      <w:color w:val="auto"/>
                      <w:kern w:val="21"/>
                      <w:sz w:val="21"/>
                      <w:szCs w:val="21"/>
                      <w:highlight w:val="none"/>
                      <w:u w:val="none" w:color="auto"/>
                      <w:shd w:val="clear" w:color="auto" w:fill="FFFFFF"/>
                    </w:rPr>
                    <w:t>本项目</w:t>
                  </w:r>
                  <w:r>
                    <w:rPr>
                      <w:rFonts w:hint="default" w:ascii="Times New Roman" w:hAnsi="Times New Roman" w:eastAsia="宋体" w:cs="Times New Roman"/>
                      <w:color w:val="auto"/>
                      <w:kern w:val="21"/>
                      <w:sz w:val="21"/>
                      <w:szCs w:val="21"/>
                      <w:highlight w:val="none"/>
                      <w:u w:val="none" w:color="auto"/>
                      <w:shd w:val="clear" w:color="auto" w:fill="FFFFFF"/>
                      <w:lang w:val="en-US" w:eastAsia="zh-CN"/>
                    </w:rPr>
                    <w:t>铸造工艺为压铸，</w:t>
                  </w:r>
                  <w:r>
                    <w:rPr>
                      <w:rFonts w:hint="default" w:ascii="Times New Roman" w:hAnsi="Times New Roman" w:eastAsia="宋体" w:cs="Times New Roman"/>
                      <w:color w:val="auto"/>
                      <w:kern w:val="21"/>
                      <w:sz w:val="21"/>
                      <w:szCs w:val="21"/>
                      <w:highlight w:val="none"/>
                      <w:u w:val="none" w:color="auto"/>
                      <w:shd w:val="clear" w:color="auto" w:fill="FFFFFF"/>
                    </w:rPr>
                    <w:t>不涉及无芯工频感应电炉、无磁轭（≥0.25吨）铝壳中频感应电炉、水玻璃熔模精密铸造氯化硬化模壳、铝合金六氯乙烷精炼等淘汰类工艺和装备。</w:t>
                  </w:r>
                  <w:bookmarkEnd w:id="14"/>
                </w:p>
              </w:tc>
              <w:tc>
                <w:tcPr>
                  <w:tcW w:w="376" w:type="pct"/>
                  <w:tcBorders>
                    <w:tl2br w:val="nil"/>
                    <w:tr2bl w:val="nil"/>
                  </w:tcBorders>
                  <w:vAlign w:val="center"/>
                </w:tcPr>
                <w:p w14:paraId="157783E4">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color w:val="auto"/>
                      <w:kern w:val="21"/>
                      <w:sz w:val="21"/>
                      <w:szCs w:val="21"/>
                      <w:highlight w:val="none"/>
                      <w:u w:val="none" w:color="auto"/>
                    </w:rPr>
                  </w:pPr>
                  <w:r>
                    <w:rPr>
                      <w:rFonts w:hint="default" w:ascii="Times New Roman" w:hAnsi="Times New Roman" w:eastAsia="宋体" w:cs="Times New Roman"/>
                      <w:color w:val="auto"/>
                      <w:kern w:val="21"/>
                      <w:sz w:val="21"/>
                      <w:szCs w:val="21"/>
                      <w:highlight w:val="none"/>
                      <w:u w:val="none" w:color="auto"/>
                    </w:rPr>
                    <w:t>相符</w:t>
                  </w:r>
                </w:p>
              </w:tc>
            </w:tr>
            <w:tr w14:paraId="4B43981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372" w:type="pct"/>
                  <w:vMerge w:val="continue"/>
                  <w:tcBorders>
                    <w:tl2br w:val="nil"/>
                    <w:tr2bl w:val="nil"/>
                  </w:tcBorders>
                  <w:vAlign w:val="center"/>
                </w:tcPr>
                <w:p w14:paraId="4346E704">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color w:val="auto"/>
                      <w:kern w:val="21"/>
                      <w:sz w:val="21"/>
                      <w:szCs w:val="21"/>
                      <w:highlight w:val="none"/>
                      <w:u w:val="none" w:color="auto"/>
                    </w:rPr>
                  </w:pPr>
                </w:p>
              </w:tc>
              <w:tc>
                <w:tcPr>
                  <w:tcW w:w="2536" w:type="pct"/>
                  <w:tcBorders>
                    <w:tl2br w:val="nil"/>
                    <w:tr2bl w:val="nil"/>
                  </w:tcBorders>
                  <w:vAlign w:val="center"/>
                </w:tcPr>
                <w:p w14:paraId="12196A82">
                  <w:pPr>
                    <w:keepNext w:val="0"/>
                    <w:keepLines w:val="0"/>
                    <w:pageBreakBefore w:val="0"/>
                    <w:widowControl w:val="0"/>
                    <w:kinsoku/>
                    <w:wordWrap/>
                    <w:overflowPunct/>
                    <w:topLinePunct w:val="0"/>
                    <w:autoSpaceDE/>
                    <w:autoSpaceDN/>
                    <w:bidi w:val="0"/>
                    <w:adjustRightInd/>
                    <w:snapToGrid/>
                    <w:ind w:right="105" w:rightChars="50"/>
                    <w:textAlignment w:val="baseline"/>
                    <w:rPr>
                      <w:rFonts w:hint="default" w:ascii="Times New Roman" w:hAnsi="Times New Roman" w:eastAsia="宋体" w:cs="Times New Roman"/>
                      <w:color w:val="auto"/>
                      <w:kern w:val="21"/>
                      <w:sz w:val="21"/>
                      <w:szCs w:val="21"/>
                      <w:highlight w:val="none"/>
                      <w:u w:val="none" w:color="auto"/>
                    </w:rPr>
                  </w:pPr>
                  <w:r>
                    <w:rPr>
                      <w:rFonts w:hint="default" w:ascii="Times New Roman" w:hAnsi="Times New Roman" w:eastAsia="宋体" w:cs="Times New Roman"/>
                      <w:color w:val="auto"/>
                      <w:kern w:val="21"/>
                      <w:sz w:val="21"/>
                      <w:szCs w:val="21"/>
                      <w:highlight w:val="none"/>
                      <w:u w:val="none" w:color="auto"/>
                    </w:rPr>
                    <w:t>2.支持高端项目建设。推动落实全国统一大市场建设，打通制约行业发展的关键堵点，引导各地结合实际谋划新建或改造升级的高端建设项目落地实施，支持企业围绕主机厂或重大项目配套生产，保障装备制造业产业链供应链安全稳定。严格审批新建、改扩建项目，确保项目备案、环评、排污许可、安评、节能审查等手续清晰、完备，项目建设符合国家相关法律法规标准要求。严格落实主要污染物排放总量控制、能源消耗总量和强度调控制度，坚决遏制不符合要求的项目盲目发展和低水平重复建设，防止产能盲目扩张，切实推进产业结构优化升级。</w:t>
                  </w:r>
                </w:p>
              </w:tc>
              <w:tc>
                <w:tcPr>
                  <w:tcW w:w="1716" w:type="pct"/>
                  <w:tcBorders>
                    <w:tl2br w:val="nil"/>
                    <w:tr2bl w:val="nil"/>
                  </w:tcBorders>
                  <w:vAlign w:val="center"/>
                </w:tcPr>
                <w:p w14:paraId="7417BFD6">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color w:val="auto"/>
                      <w:kern w:val="21"/>
                      <w:sz w:val="21"/>
                      <w:szCs w:val="21"/>
                      <w:highlight w:val="none"/>
                      <w:u w:val="none" w:color="auto"/>
                      <w:lang w:val="en-US" w:eastAsia="zh-CN"/>
                    </w:rPr>
                  </w:pPr>
                  <w:r>
                    <w:rPr>
                      <w:rFonts w:hint="default" w:ascii="Times New Roman" w:hAnsi="Times New Roman" w:eastAsia="宋体" w:cs="Times New Roman"/>
                      <w:color w:val="auto"/>
                      <w:kern w:val="21"/>
                      <w:sz w:val="21"/>
                      <w:szCs w:val="21"/>
                      <w:highlight w:val="none"/>
                      <w:u w:val="none" w:color="auto"/>
                    </w:rPr>
                    <w:t>建设单位通过优化产品的结构设计，降低了铸件表面粗糙度，使尺寸精度更高</w:t>
                  </w:r>
                  <w:r>
                    <w:rPr>
                      <w:rFonts w:hint="default" w:ascii="Times New Roman" w:hAnsi="Times New Roman" w:eastAsia="宋体" w:cs="Times New Roman"/>
                      <w:color w:val="auto"/>
                      <w:kern w:val="21"/>
                      <w:sz w:val="21"/>
                      <w:szCs w:val="21"/>
                      <w:highlight w:val="none"/>
                      <w:u w:val="none" w:color="auto"/>
                      <w:lang w:eastAsia="zh-CN"/>
                    </w:rPr>
                    <w:t>；</w:t>
                  </w:r>
                  <w:r>
                    <w:rPr>
                      <w:rFonts w:hint="default" w:ascii="Times New Roman" w:hAnsi="Times New Roman" w:eastAsia="宋体" w:cs="Times New Roman"/>
                      <w:color w:val="auto"/>
                      <w:kern w:val="21"/>
                      <w:sz w:val="21"/>
                      <w:szCs w:val="21"/>
                      <w:highlight w:val="none"/>
                      <w:u w:val="none" w:color="auto"/>
                      <w:lang w:val="en-US" w:eastAsia="zh-CN"/>
                    </w:rPr>
                    <w:t>并且配套后续机加工工艺，进一步提高铸件产品价值。</w:t>
                  </w:r>
                </w:p>
                <w:p w14:paraId="4E2760F0">
                  <w:pPr>
                    <w:keepNext w:val="0"/>
                    <w:keepLines w:val="0"/>
                    <w:pageBreakBefore w:val="0"/>
                    <w:widowControl w:val="0"/>
                    <w:kinsoku/>
                    <w:wordWrap/>
                    <w:overflowPunct/>
                    <w:topLinePunct w:val="0"/>
                    <w:autoSpaceDE/>
                    <w:autoSpaceDN/>
                    <w:bidi w:val="0"/>
                    <w:adjustRightInd/>
                    <w:snapToGrid/>
                    <w:ind w:right="105" w:rightChars="50"/>
                    <w:jc w:val="center"/>
                    <w:textAlignment w:val="baseline"/>
                    <w:rPr>
                      <w:rFonts w:hint="default" w:ascii="Times New Roman" w:hAnsi="Times New Roman" w:eastAsia="宋体" w:cs="Times New Roman"/>
                      <w:color w:val="auto"/>
                      <w:kern w:val="21"/>
                      <w:sz w:val="21"/>
                      <w:szCs w:val="21"/>
                      <w:highlight w:val="none"/>
                      <w:u w:val="none" w:color="auto"/>
                    </w:rPr>
                  </w:pPr>
                  <w:r>
                    <w:rPr>
                      <w:rFonts w:hint="default" w:ascii="Times New Roman" w:hAnsi="Times New Roman" w:eastAsia="宋体" w:cs="Times New Roman"/>
                      <w:color w:val="auto"/>
                      <w:kern w:val="21"/>
                      <w:sz w:val="21"/>
                      <w:szCs w:val="21"/>
                      <w:highlight w:val="none"/>
                      <w:u w:val="none" w:color="auto"/>
                    </w:rPr>
                    <w:t>本项目已于</w:t>
                  </w:r>
                  <w:r>
                    <w:rPr>
                      <w:rFonts w:hint="default" w:ascii="Times New Roman" w:hAnsi="Times New Roman" w:eastAsia="宋体" w:cs="Times New Roman"/>
                      <w:color w:val="auto"/>
                      <w:kern w:val="21"/>
                      <w:sz w:val="21"/>
                      <w:szCs w:val="21"/>
                      <w:highlight w:val="none"/>
                      <w:u w:val="none" w:color="auto"/>
                      <w:lang w:val="en-US" w:eastAsia="zh-CN"/>
                    </w:rPr>
                    <w:t>2025年3月31日在湖南省投资项目在线审批监管平台备案</w:t>
                  </w:r>
                  <w:r>
                    <w:rPr>
                      <w:rFonts w:hint="default" w:ascii="Times New Roman" w:hAnsi="Times New Roman" w:eastAsia="宋体" w:cs="Times New Roman"/>
                      <w:color w:val="auto"/>
                      <w:kern w:val="21"/>
                      <w:sz w:val="21"/>
                      <w:szCs w:val="21"/>
                      <w:highlight w:val="none"/>
                      <w:u w:val="none" w:color="auto"/>
                    </w:rPr>
                    <w:t>，本报告依照相关法律及导则要求对项目进行环境影响评价。建设单位须按照国家相关法律法规标</w:t>
                  </w:r>
                  <w:r>
                    <w:rPr>
                      <w:rFonts w:hint="eastAsia" w:cs="Times New Roman"/>
                      <w:color w:val="auto"/>
                      <w:kern w:val="21"/>
                      <w:sz w:val="21"/>
                      <w:szCs w:val="21"/>
                      <w:highlight w:val="none"/>
                      <w:u w:val="none" w:color="auto"/>
                      <w:lang w:eastAsia="zh-CN"/>
                    </w:rPr>
                    <w:t>准和</w:t>
                  </w:r>
                  <w:r>
                    <w:rPr>
                      <w:rFonts w:hint="default" w:ascii="Times New Roman" w:hAnsi="Times New Roman" w:eastAsia="宋体" w:cs="Times New Roman"/>
                      <w:color w:val="auto"/>
                      <w:kern w:val="21"/>
                      <w:sz w:val="21"/>
                      <w:szCs w:val="21"/>
                      <w:highlight w:val="none"/>
                      <w:u w:val="none" w:color="auto"/>
                    </w:rPr>
                    <w:t>要求完善后续、排污许可、安评、节能审查等手续，根据本报告及相关法律法规的要求。</w:t>
                  </w:r>
                </w:p>
              </w:tc>
              <w:tc>
                <w:tcPr>
                  <w:tcW w:w="376" w:type="pct"/>
                  <w:tcBorders>
                    <w:tl2br w:val="nil"/>
                    <w:tr2bl w:val="nil"/>
                  </w:tcBorders>
                  <w:vAlign w:val="center"/>
                </w:tcPr>
                <w:p w14:paraId="57BEBC1D">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color w:val="auto"/>
                      <w:kern w:val="21"/>
                      <w:sz w:val="21"/>
                      <w:szCs w:val="21"/>
                      <w:highlight w:val="none"/>
                      <w:u w:val="none" w:color="auto"/>
                    </w:rPr>
                  </w:pPr>
                  <w:r>
                    <w:rPr>
                      <w:rFonts w:hint="default" w:ascii="Times New Roman" w:hAnsi="Times New Roman" w:eastAsia="宋体" w:cs="Times New Roman"/>
                      <w:color w:val="auto"/>
                      <w:kern w:val="21"/>
                      <w:sz w:val="21"/>
                      <w:szCs w:val="21"/>
                      <w:highlight w:val="none"/>
                      <w:u w:val="none" w:color="auto"/>
                    </w:rPr>
                    <w:t>相符</w:t>
                  </w:r>
                </w:p>
              </w:tc>
            </w:tr>
            <w:tr w14:paraId="61EA18C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372" w:type="pct"/>
                  <w:vMerge w:val="continue"/>
                  <w:tcBorders>
                    <w:tl2br w:val="nil"/>
                    <w:tr2bl w:val="nil"/>
                  </w:tcBorders>
                  <w:vAlign w:val="center"/>
                </w:tcPr>
                <w:p w14:paraId="7B2DEE2F">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color w:val="auto"/>
                      <w:kern w:val="21"/>
                      <w:sz w:val="21"/>
                      <w:szCs w:val="21"/>
                      <w:highlight w:val="none"/>
                      <w:u w:val="none" w:color="auto"/>
                    </w:rPr>
                  </w:pPr>
                </w:p>
              </w:tc>
              <w:tc>
                <w:tcPr>
                  <w:tcW w:w="2536" w:type="pct"/>
                  <w:tcBorders>
                    <w:tl2br w:val="nil"/>
                    <w:tr2bl w:val="nil"/>
                  </w:tcBorders>
                  <w:vAlign w:val="center"/>
                </w:tcPr>
                <w:p w14:paraId="2C1786BF">
                  <w:pPr>
                    <w:keepNext w:val="0"/>
                    <w:keepLines w:val="0"/>
                    <w:pageBreakBefore w:val="0"/>
                    <w:widowControl w:val="0"/>
                    <w:kinsoku/>
                    <w:wordWrap/>
                    <w:overflowPunct/>
                    <w:topLinePunct w:val="0"/>
                    <w:autoSpaceDE/>
                    <w:autoSpaceDN/>
                    <w:bidi w:val="0"/>
                    <w:adjustRightInd/>
                    <w:snapToGrid/>
                    <w:ind w:right="105" w:rightChars="50"/>
                    <w:jc w:val="center"/>
                    <w:textAlignment w:val="baseline"/>
                    <w:rPr>
                      <w:rFonts w:hint="default" w:ascii="Times New Roman" w:hAnsi="Times New Roman" w:eastAsia="宋体" w:cs="Times New Roman"/>
                      <w:color w:val="auto"/>
                      <w:kern w:val="21"/>
                      <w:sz w:val="21"/>
                      <w:szCs w:val="21"/>
                      <w:highlight w:val="none"/>
                      <w:u w:val="none" w:color="auto"/>
                    </w:rPr>
                  </w:pPr>
                  <w:r>
                    <w:rPr>
                      <w:rFonts w:hint="default" w:ascii="Times New Roman" w:hAnsi="Times New Roman" w:eastAsia="宋体" w:cs="Times New Roman"/>
                      <w:color w:val="auto"/>
                      <w:kern w:val="21"/>
                      <w:sz w:val="21"/>
                      <w:szCs w:val="21"/>
                      <w:highlight w:val="none"/>
                      <w:u w:val="none" w:color="auto"/>
                    </w:rPr>
                    <w:t>3.规范行业监督管理。系统科学有序推进行业转型升级，避免政策执行“一刀切”和“层层加码”。充分发挥行业自治作用，加强行业自律建设。推动修订《铸造企业规范条件》(T/CFA0310021)，鼓励地方参照该条件引导铸造企业规范发展。严格区分锻压行业和钢铁行业生产工艺特征特点，避免锻压配套的炼钢判定为钢铁冶炼生产，也严禁以铸造和锻压名义违规新增钢铁产能、违规生产钢坯钢锭及上市销售。</w:t>
                  </w:r>
                </w:p>
              </w:tc>
              <w:tc>
                <w:tcPr>
                  <w:tcW w:w="1716" w:type="pct"/>
                  <w:tcBorders>
                    <w:tl2br w:val="nil"/>
                    <w:tr2bl w:val="nil"/>
                  </w:tcBorders>
                  <w:vAlign w:val="center"/>
                </w:tcPr>
                <w:p w14:paraId="1D992907">
                  <w:pPr>
                    <w:keepNext w:val="0"/>
                    <w:keepLines w:val="0"/>
                    <w:pageBreakBefore w:val="0"/>
                    <w:widowControl w:val="0"/>
                    <w:kinsoku/>
                    <w:wordWrap/>
                    <w:overflowPunct/>
                    <w:topLinePunct w:val="0"/>
                    <w:autoSpaceDE/>
                    <w:autoSpaceDN/>
                    <w:bidi w:val="0"/>
                    <w:adjustRightInd/>
                    <w:snapToGrid/>
                    <w:ind w:right="105" w:rightChars="50"/>
                    <w:jc w:val="center"/>
                    <w:textAlignment w:val="baseline"/>
                    <w:rPr>
                      <w:rFonts w:hint="default" w:ascii="Times New Roman" w:hAnsi="Times New Roman" w:eastAsia="宋体" w:cs="Times New Roman"/>
                      <w:color w:val="auto"/>
                      <w:kern w:val="21"/>
                      <w:sz w:val="21"/>
                      <w:szCs w:val="21"/>
                      <w:highlight w:val="none"/>
                      <w:u w:val="none" w:color="auto"/>
                    </w:rPr>
                  </w:pPr>
                  <w:r>
                    <w:rPr>
                      <w:rFonts w:hint="default" w:ascii="Times New Roman" w:hAnsi="Times New Roman" w:eastAsia="宋体" w:cs="Times New Roman"/>
                      <w:color w:val="auto"/>
                      <w:kern w:val="21"/>
                      <w:sz w:val="21"/>
                      <w:szCs w:val="21"/>
                      <w:highlight w:val="none"/>
                      <w:u w:val="none" w:color="auto"/>
                    </w:rPr>
                    <w:t>本项目不涉及钢铁冶炼生产。与《铸造企业规范条件》(T/CFA0310021)相符性分析详见报告本章第8条。</w:t>
                  </w:r>
                </w:p>
              </w:tc>
              <w:tc>
                <w:tcPr>
                  <w:tcW w:w="376" w:type="pct"/>
                  <w:tcBorders>
                    <w:tl2br w:val="nil"/>
                    <w:tr2bl w:val="nil"/>
                  </w:tcBorders>
                  <w:vAlign w:val="center"/>
                </w:tcPr>
                <w:p w14:paraId="17C7AAA4">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color w:val="auto"/>
                      <w:kern w:val="21"/>
                      <w:sz w:val="21"/>
                      <w:szCs w:val="21"/>
                      <w:highlight w:val="none"/>
                      <w:u w:val="none" w:color="auto"/>
                    </w:rPr>
                  </w:pPr>
                  <w:r>
                    <w:rPr>
                      <w:rFonts w:hint="default" w:ascii="Times New Roman" w:hAnsi="Times New Roman" w:eastAsia="宋体" w:cs="Times New Roman"/>
                      <w:color w:val="auto"/>
                      <w:kern w:val="21"/>
                      <w:sz w:val="21"/>
                      <w:szCs w:val="21"/>
                      <w:highlight w:val="none"/>
                      <w:u w:val="none" w:color="auto"/>
                    </w:rPr>
                    <w:t>相符</w:t>
                  </w:r>
                </w:p>
              </w:tc>
            </w:tr>
            <w:tr w14:paraId="695CCB1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372" w:type="pct"/>
                  <w:vMerge w:val="restart"/>
                  <w:tcBorders>
                    <w:tl2br w:val="nil"/>
                    <w:tr2bl w:val="nil"/>
                  </w:tcBorders>
                  <w:vAlign w:val="center"/>
                </w:tcPr>
                <w:p w14:paraId="6CC5D499">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color w:val="auto"/>
                      <w:kern w:val="21"/>
                      <w:sz w:val="21"/>
                      <w:szCs w:val="21"/>
                      <w:highlight w:val="none"/>
                      <w:u w:val="none" w:color="auto"/>
                    </w:rPr>
                  </w:pPr>
                  <w:r>
                    <w:rPr>
                      <w:rFonts w:hint="default" w:ascii="Times New Roman" w:hAnsi="Times New Roman" w:eastAsia="宋体" w:cs="Times New Roman"/>
                      <w:color w:val="auto"/>
                      <w:kern w:val="21"/>
                      <w:sz w:val="21"/>
                      <w:szCs w:val="21"/>
                      <w:highlight w:val="none"/>
                      <w:u w:val="none" w:color="auto"/>
                      <w:shd w:val="clear" w:color="auto" w:fill="FFFFFF"/>
                    </w:rPr>
                    <w:t>三、推进行业规范发展</w:t>
                  </w:r>
                </w:p>
              </w:tc>
              <w:tc>
                <w:tcPr>
                  <w:tcW w:w="2536" w:type="pct"/>
                  <w:tcBorders>
                    <w:tl2br w:val="nil"/>
                    <w:tr2bl w:val="nil"/>
                  </w:tcBorders>
                  <w:vAlign w:val="center"/>
                </w:tcPr>
                <w:p w14:paraId="7C79DBE7">
                  <w:pPr>
                    <w:keepNext w:val="0"/>
                    <w:keepLines w:val="0"/>
                    <w:pageBreakBefore w:val="0"/>
                    <w:widowControl w:val="0"/>
                    <w:kinsoku/>
                    <w:wordWrap/>
                    <w:overflowPunct/>
                    <w:topLinePunct w:val="0"/>
                    <w:autoSpaceDE/>
                    <w:autoSpaceDN/>
                    <w:bidi w:val="0"/>
                    <w:adjustRightInd/>
                    <w:snapToGrid/>
                    <w:ind w:right="105" w:rightChars="50"/>
                    <w:jc w:val="center"/>
                    <w:textAlignment w:val="baseline"/>
                    <w:rPr>
                      <w:rFonts w:hint="default" w:ascii="Times New Roman" w:hAnsi="Times New Roman" w:eastAsia="宋体" w:cs="Times New Roman"/>
                      <w:color w:val="auto"/>
                      <w:kern w:val="21"/>
                      <w:sz w:val="21"/>
                      <w:szCs w:val="21"/>
                      <w:highlight w:val="none"/>
                      <w:u w:val="none" w:color="auto"/>
                    </w:rPr>
                  </w:pPr>
                  <w:r>
                    <w:rPr>
                      <w:rFonts w:hint="default" w:ascii="Times New Roman" w:hAnsi="Times New Roman" w:eastAsia="宋体" w:cs="Times New Roman"/>
                      <w:color w:val="auto"/>
                      <w:kern w:val="21"/>
                      <w:sz w:val="21"/>
                      <w:szCs w:val="21"/>
                      <w:highlight w:val="none"/>
                      <w:u w:val="none" w:color="auto"/>
                    </w:rPr>
                    <w:t>1.加快绿色低碳转型。推进绿色方式贯穿铸造和锻压生产全流程，开发绿色原辅材料、推广绿色工艺、建设绿色工厂、发展绿色园区，深入推进园区循环化改造。推动企业依法披露环境信息，接受社会监督。积极开展清洁生产，做好节能监察执法、节能诊断服务工作，深入挖掘节能潜力。鼓励企业采用高效节能熔炼、热处理等设备，提高余热利用水平。推广短流程铸造，鼓励铸造行业冲天炉(10吨/小时及以下)改为电炉。推进铸造废砂再生处理技术应用、废旧金属循环再生与利用。推广整体化大型化短流程低成本锻压技术，推广环保润滑介质应用，加大非调质钢使用比例等。</w:t>
                  </w:r>
                </w:p>
              </w:tc>
              <w:tc>
                <w:tcPr>
                  <w:tcW w:w="1716" w:type="pct"/>
                  <w:tcBorders>
                    <w:tl2br w:val="nil"/>
                    <w:tr2bl w:val="nil"/>
                  </w:tcBorders>
                  <w:vAlign w:val="center"/>
                </w:tcPr>
                <w:p w14:paraId="4356CB78">
                  <w:pPr>
                    <w:keepNext w:val="0"/>
                    <w:keepLines w:val="0"/>
                    <w:pageBreakBefore w:val="0"/>
                    <w:widowControl w:val="0"/>
                    <w:kinsoku/>
                    <w:wordWrap/>
                    <w:overflowPunct/>
                    <w:topLinePunct w:val="0"/>
                    <w:autoSpaceDE/>
                    <w:autoSpaceDN/>
                    <w:bidi w:val="0"/>
                    <w:adjustRightInd/>
                    <w:snapToGrid/>
                    <w:ind w:right="105" w:rightChars="50"/>
                    <w:jc w:val="center"/>
                    <w:textAlignment w:val="baseline"/>
                    <w:rPr>
                      <w:rFonts w:hint="default" w:ascii="Times New Roman" w:hAnsi="Times New Roman" w:eastAsia="宋体" w:cs="Times New Roman"/>
                      <w:color w:val="auto"/>
                      <w:kern w:val="21"/>
                      <w:sz w:val="21"/>
                      <w:szCs w:val="21"/>
                      <w:highlight w:val="none"/>
                      <w:u w:val="none" w:color="auto"/>
                    </w:rPr>
                  </w:pPr>
                  <w:r>
                    <w:rPr>
                      <w:rFonts w:hint="default" w:ascii="Times New Roman" w:hAnsi="Times New Roman" w:eastAsia="宋体" w:cs="Times New Roman"/>
                      <w:color w:val="auto"/>
                      <w:kern w:val="21"/>
                      <w:sz w:val="21"/>
                      <w:szCs w:val="21"/>
                      <w:highlight w:val="none"/>
                      <w:u w:val="none" w:color="auto"/>
                    </w:rPr>
                    <w:t>本项目使用国家重点推广的自动化工艺与装备；项目建成后，</w:t>
                  </w:r>
                  <w:r>
                    <w:rPr>
                      <w:rFonts w:hint="default" w:ascii="Times New Roman" w:hAnsi="Times New Roman" w:eastAsia="宋体" w:cs="Times New Roman"/>
                      <w:color w:val="auto"/>
                      <w:kern w:val="21"/>
                      <w:sz w:val="21"/>
                      <w:szCs w:val="21"/>
                      <w:highlight w:val="none"/>
                      <w:u w:val="none" w:color="auto"/>
                      <w:lang w:val="en-US" w:eastAsia="zh-CN"/>
                    </w:rPr>
                    <w:t>本次评价要求</w:t>
                  </w:r>
                  <w:r>
                    <w:rPr>
                      <w:rFonts w:hint="default" w:ascii="Times New Roman" w:hAnsi="Times New Roman" w:eastAsia="宋体" w:cs="Times New Roman"/>
                      <w:color w:val="auto"/>
                      <w:kern w:val="21"/>
                      <w:sz w:val="21"/>
                      <w:szCs w:val="21"/>
                      <w:highlight w:val="none"/>
                      <w:u w:val="none" w:color="auto"/>
                    </w:rPr>
                    <w:t>建设单位按照相关规定开展清洁生产审核，并在生产过程中贯彻资源节约的原则。本项目采用高效节能熔炼、热处理设备，</w:t>
                  </w:r>
                </w:p>
                <w:p w14:paraId="69F62387">
                  <w:pPr>
                    <w:keepNext w:val="0"/>
                    <w:keepLines w:val="0"/>
                    <w:pageBreakBefore w:val="0"/>
                    <w:widowControl w:val="0"/>
                    <w:kinsoku/>
                    <w:wordWrap/>
                    <w:overflowPunct/>
                    <w:topLinePunct w:val="0"/>
                    <w:autoSpaceDE/>
                    <w:autoSpaceDN/>
                    <w:bidi w:val="0"/>
                    <w:adjustRightInd/>
                    <w:snapToGrid/>
                    <w:ind w:right="105" w:rightChars="50"/>
                    <w:jc w:val="center"/>
                    <w:textAlignment w:val="baseline"/>
                    <w:rPr>
                      <w:rFonts w:hint="default" w:ascii="Times New Roman" w:hAnsi="Times New Roman" w:eastAsia="宋体" w:cs="Times New Roman"/>
                      <w:color w:val="auto"/>
                      <w:kern w:val="21"/>
                      <w:sz w:val="21"/>
                      <w:szCs w:val="21"/>
                      <w:highlight w:val="yellow"/>
                      <w:u w:val="none" w:color="auto"/>
                      <w:lang w:val="en-US"/>
                    </w:rPr>
                  </w:pPr>
                  <w:r>
                    <w:rPr>
                      <w:rFonts w:hint="eastAsia" w:cs="Times New Roman"/>
                      <w:color w:val="auto"/>
                      <w:kern w:val="21"/>
                      <w:sz w:val="21"/>
                      <w:szCs w:val="21"/>
                      <w:highlight w:val="none"/>
                      <w:u w:val="none" w:color="auto"/>
                      <w:lang w:val="en-US" w:eastAsia="zh-CN"/>
                    </w:rPr>
                    <w:t>建设</w:t>
                  </w:r>
                  <w:r>
                    <w:rPr>
                      <w:rFonts w:hint="default" w:ascii="Times New Roman" w:hAnsi="Times New Roman" w:eastAsia="宋体" w:cs="Times New Roman"/>
                      <w:color w:val="auto"/>
                      <w:kern w:val="21"/>
                      <w:sz w:val="21"/>
                      <w:szCs w:val="21"/>
                      <w:highlight w:val="none"/>
                      <w:u w:val="none" w:color="auto"/>
                      <w:lang w:val="en-US" w:eastAsia="zh-CN"/>
                    </w:rPr>
                    <w:t>单位已委托专业机构编制《湖南中创空天新材料股份有限公司中创新能源汽车用压铸动力外壳项目节能报告》，本次评价要求建设单位严格落实该报告提出的各项节能措施。</w:t>
                  </w:r>
                </w:p>
              </w:tc>
              <w:tc>
                <w:tcPr>
                  <w:tcW w:w="376" w:type="pct"/>
                  <w:tcBorders>
                    <w:tl2br w:val="nil"/>
                    <w:tr2bl w:val="nil"/>
                  </w:tcBorders>
                  <w:vAlign w:val="center"/>
                </w:tcPr>
                <w:p w14:paraId="22BDE090">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color w:val="auto"/>
                      <w:kern w:val="21"/>
                      <w:sz w:val="21"/>
                      <w:szCs w:val="21"/>
                      <w:highlight w:val="none"/>
                      <w:u w:val="none" w:color="auto"/>
                    </w:rPr>
                  </w:pPr>
                  <w:r>
                    <w:rPr>
                      <w:rFonts w:hint="default" w:ascii="Times New Roman" w:hAnsi="Times New Roman" w:eastAsia="宋体" w:cs="Times New Roman"/>
                      <w:color w:val="auto"/>
                      <w:kern w:val="21"/>
                      <w:sz w:val="21"/>
                      <w:szCs w:val="21"/>
                      <w:highlight w:val="none"/>
                      <w:u w:val="none" w:color="auto"/>
                    </w:rPr>
                    <w:t>相符</w:t>
                  </w:r>
                </w:p>
              </w:tc>
            </w:tr>
            <w:tr w14:paraId="7CCF9BD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372" w:type="pct"/>
                  <w:vMerge w:val="continue"/>
                  <w:tcBorders>
                    <w:tl2br w:val="nil"/>
                    <w:tr2bl w:val="nil"/>
                  </w:tcBorders>
                  <w:vAlign w:val="center"/>
                </w:tcPr>
                <w:p w14:paraId="27E7A525">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color w:val="auto"/>
                      <w:kern w:val="21"/>
                      <w:sz w:val="21"/>
                      <w:szCs w:val="21"/>
                      <w:highlight w:val="none"/>
                      <w:u w:val="none" w:color="auto"/>
                    </w:rPr>
                  </w:pPr>
                </w:p>
              </w:tc>
              <w:tc>
                <w:tcPr>
                  <w:tcW w:w="2536" w:type="pct"/>
                  <w:tcBorders>
                    <w:tl2br w:val="nil"/>
                    <w:tr2bl w:val="nil"/>
                  </w:tcBorders>
                  <w:vAlign w:val="center"/>
                </w:tcPr>
                <w:p w14:paraId="7CB73EF9">
                  <w:pPr>
                    <w:keepNext w:val="0"/>
                    <w:keepLines w:val="0"/>
                    <w:pageBreakBefore w:val="0"/>
                    <w:widowControl w:val="0"/>
                    <w:kinsoku/>
                    <w:wordWrap/>
                    <w:overflowPunct/>
                    <w:topLinePunct w:val="0"/>
                    <w:autoSpaceDE/>
                    <w:autoSpaceDN/>
                    <w:bidi w:val="0"/>
                    <w:adjustRightInd/>
                    <w:snapToGrid/>
                    <w:ind w:right="105" w:rightChars="50"/>
                    <w:textAlignment w:val="baseline"/>
                    <w:rPr>
                      <w:rFonts w:hint="default" w:ascii="Times New Roman" w:hAnsi="Times New Roman" w:eastAsia="宋体" w:cs="Times New Roman"/>
                      <w:color w:val="auto"/>
                      <w:kern w:val="21"/>
                      <w:sz w:val="21"/>
                      <w:szCs w:val="21"/>
                      <w:highlight w:val="none"/>
                      <w:u w:val="none" w:color="auto"/>
                    </w:rPr>
                  </w:pPr>
                  <w:r>
                    <w:rPr>
                      <w:rFonts w:hint="default" w:ascii="Times New Roman" w:hAnsi="Times New Roman" w:eastAsia="宋体" w:cs="Times New Roman"/>
                      <w:color w:val="auto"/>
                      <w:kern w:val="21"/>
                      <w:sz w:val="21"/>
                      <w:szCs w:val="21"/>
                      <w:highlight w:val="none"/>
                      <w:u w:val="none" w:color="auto"/>
                    </w:rPr>
                    <w:t>2.提升环保治理水平。</w:t>
                  </w:r>
                  <w:bookmarkStart w:id="15" w:name="sys4581155"/>
                  <w:r>
                    <w:rPr>
                      <w:rFonts w:hint="default" w:ascii="Times New Roman" w:hAnsi="Times New Roman" w:eastAsia="宋体" w:cs="Times New Roman"/>
                      <w:color w:val="auto"/>
                      <w:kern w:val="21"/>
                      <w:sz w:val="21"/>
                      <w:szCs w:val="21"/>
                      <w:highlight w:val="none"/>
                      <w:u w:val="none" w:color="auto"/>
                    </w:rPr>
                    <w:t>依法申领排污许可证，严格持证排污、按证排污并按排污许可证规定落实自行监测、台账记录、执行报告、信息公开等要求。</w:t>
                  </w:r>
                  <w:bookmarkEnd w:id="15"/>
                  <w:r>
                    <w:rPr>
                      <w:rFonts w:hint="default" w:ascii="Times New Roman" w:hAnsi="Times New Roman" w:eastAsia="宋体" w:cs="Times New Roman"/>
                      <w:color w:val="auto"/>
                      <w:kern w:val="21"/>
                      <w:sz w:val="21"/>
                      <w:szCs w:val="21"/>
                      <w:highlight w:val="none"/>
                      <w:u w:val="none" w:color="auto"/>
                    </w:rPr>
                    <w:t>综合考虑生产工艺、原辅材料使用、无组织排放控制、污染治理设施运行效果等，建设一批达到重污染天气应对绩效分级A级水平的环保标杆企业，带动行业环保水平提升。铸造企业严格执行《铸造工业大气污染物排放标准》（GB39726-2020）及地方排放标准，加强无组织排放控制，不能稳定达标排放的，限期完成设施升级改造，不具备改造条件及改造后仍不能达标的，依法依规进行淘汰。鼓励铸造用生铁企业参照钢铁行业超低排放改造要求开展有组织、无组织和清洁运输超低排放改造，支持行业协会公示进展情况。</w:t>
                  </w:r>
                </w:p>
              </w:tc>
              <w:tc>
                <w:tcPr>
                  <w:tcW w:w="1716" w:type="pct"/>
                  <w:tcBorders>
                    <w:tl2br w:val="nil"/>
                    <w:tr2bl w:val="nil"/>
                  </w:tcBorders>
                  <w:vAlign w:val="center"/>
                </w:tcPr>
                <w:p w14:paraId="675BC16A">
                  <w:pPr>
                    <w:keepNext w:val="0"/>
                    <w:keepLines w:val="0"/>
                    <w:pageBreakBefore w:val="0"/>
                    <w:widowControl w:val="0"/>
                    <w:kinsoku/>
                    <w:wordWrap/>
                    <w:overflowPunct/>
                    <w:topLinePunct w:val="0"/>
                    <w:autoSpaceDE/>
                    <w:autoSpaceDN/>
                    <w:bidi w:val="0"/>
                    <w:adjustRightInd/>
                    <w:snapToGrid/>
                    <w:ind w:right="105" w:rightChars="50"/>
                    <w:jc w:val="center"/>
                    <w:textAlignment w:val="baseline"/>
                    <w:rPr>
                      <w:rFonts w:hint="default" w:ascii="Times New Roman" w:hAnsi="Times New Roman" w:eastAsia="宋体" w:cs="Times New Roman"/>
                      <w:color w:val="auto"/>
                      <w:kern w:val="21"/>
                      <w:sz w:val="21"/>
                      <w:szCs w:val="21"/>
                      <w:highlight w:val="none"/>
                      <w:u w:val="none" w:color="auto"/>
                    </w:rPr>
                  </w:pPr>
                  <w:bookmarkStart w:id="16" w:name="sys459078"/>
                  <w:r>
                    <w:rPr>
                      <w:rFonts w:hint="default" w:ascii="Times New Roman" w:hAnsi="Times New Roman" w:eastAsia="宋体" w:cs="Times New Roman"/>
                      <w:color w:val="auto"/>
                      <w:kern w:val="21"/>
                      <w:sz w:val="21"/>
                      <w:szCs w:val="21"/>
                      <w:highlight w:val="none"/>
                      <w:u w:val="none" w:color="auto"/>
                    </w:rPr>
                    <w:t>报告要求建设单位在项目运行前，依法</w:t>
                  </w:r>
                  <w:r>
                    <w:rPr>
                      <w:rFonts w:hint="default" w:ascii="Times New Roman" w:hAnsi="Times New Roman" w:eastAsia="宋体" w:cs="Times New Roman"/>
                      <w:color w:val="auto"/>
                      <w:kern w:val="21"/>
                      <w:sz w:val="21"/>
                      <w:szCs w:val="21"/>
                      <w:highlight w:val="none"/>
                      <w:u w:val="none" w:color="auto"/>
                      <w:lang w:val="en-US" w:eastAsia="zh-CN"/>
                    </w:rPr>
                    <w:t>进行企业</w:t>
                  </w:r>
                  <w:r>
                    <w:rPr>
                      <w:rFonts w:hint="default" w:ascii="Times New Roman" w:hAnsi="Times New Roman" w:eastAsia="宋体" w:cs="Times New Roman"/>
                      <w:color w:val="auto"/>
                      <w:kern w:val="21"/>
                      <w:sz w:val="21"/>
                      <w:szCs w:val="21"/>
                      <w:highlight w:val="none"/>
                      <w:u w:val="none" w:color="auto"/>
                    </w:rPr>
                    <w:t>排污许可证</w:t>
                  </w:r>
                  <w:r>
                    <w:rPr>
                      <w:rFonts w:hint="default" w:ascii="Times New Roman" w:hAnsi="Times New Roman" w:eastAsia="宋体" w:cs="Times New Roman"/>
                      <w:color w:val="auto"/>
                      <w:kern w:val="21"/>
                      <w:sz w:val="21"/>
                      <w:szCs w:val="21"/>
                      <w:highlight w:val="none"/>
                      <w:u w:val="none" w:color="auto"/>
                      <w:lang w:val="en-US" w:eastAsia="zh-CN"/>
                    </w:rPr>
                    <w:t>变更</w:t>
                  </w:r>
                  <w:r>
                    <w:rPr>
                      <w:rFonts w:hint="default" w:ascii="Times New Roman" w:hAnsi="Times New Roman" w:eastAsia="宋体" w:cs="Times New Roman"/>
                      <w:color w:val="auto"/>
                      <w:kern w:val="21"/>
                      <w:sz w:val="21"/>
                      <w:szCs w:val="21"/>
                      <w:highlight w:val="none"/>
                      <w:u w:val="none" w:color="auto"/>
                    </w:rPr>
                    <w:t>，项目生产过程中须严格持证排污、按证排污并按排污许可证规定落实自行监测、台账记录、执行报告、信息公开等要求。</w:t>
                  </w:r>
                  <w:bookmarkEnd w:id="16"/>
                </w:p>
                <w:p w14:paraId="1CF7E20D">
                  <w:pPr>
                    <w:keepNext w:val="0"/>
                    <w:keepLines w:val="0"/>
                    <w:pageBreakBefore w:val="0"/>
                    <w:widowControl w:val="0"/>
                    <w:kinsoku/>
                    <w:wordWrap/>
                    <w:overflowPunct/>
                    <w:topLinePunct w:val="0"/>
                    <w:autoSpaceDE/>
                    <w:autoSpaceDN/>
                    <w:bidi w:val="0"/>
                    <w:adjustRightInd/>
                    <w:snapToGrid/>
                    <w:jc w:val="center"/>
                    <w:rPr>
                      <w:rFonts w:hint="default" w:ascii="Times New Roman" w:hAnsi="Times New Roman" w:eastAsia="宋体" w:cs="Times New Roman"/>
                      <w:color w:val="auto"/>
                      <w:kern w:val="21"/>
                      <w:sz w:val="21"/>
                      <w:szCs w:val="21"/>
                      <w:highlight w:val="none"/>
                      <w:u w:val="none" w:color="auto"/>
                    </w:rPr>
                  </w:pPr>
                  <w:r>
                    <w:rPr>
                      <w:rFonts w:hint="default" w:ascii="Times New Roman" w:hAnsi="Times New Roman" w:eastAsia="宋体" w:cs="Times New Roman"/>
                      <w:color w:val="auto"/>
                      <w:kern w:val="21"/>
                      <w:sz w:val="21"/>
                      <w:szCs w:val="21"/>
                      <w:highlight w:val="none"/>
                      <w:u w:val="none" w:color="auto"/>
                    </w:rPr>
                    <w:t>根据企业提供资料以及本</w:t>
                  </w:r>
                  <w:r>
                    <w:rPr>
                      <w:rFonts w:hint="eastAsia" w:cs="Times New Roman"/>
                      <w:color w:val="auto"/>
                      <w:kern w:val="21"/>
                      <w:sz w:val="21"/>
                      <w:szCs w:val="21"/>
                      <w:highlight w:val="none"/>
                      <w:u w:val="none" w:color="auto"/>
                      <w:lang w:eastAsia="zh-CN"/>
                    </w:rPr>
                    <w:t>项目</w:t>
                  </w:r>
                  <w:r>
                    <w:rPr>
                      <w:rFonts w:hint="default" w:ascii="Times New Roman" w:hAnsi="Times New Roman" w:eastAsia="宋体" w:cs="Times New Roman"/>
                      <w:color w:val="auto"/>
                      <w:kern w:val="21"/>
                      <w:sz w:val="21"/>
                      <w:szCs w:val="21"/>
                      <w:highlight w:val="none"/>
                      <w:u w:val="none" w:color="auto"/>
                    </w:rPr>
                    <w:t>分析，各废气排口严格执行《铸造工业大气污染物排放标准》（GB39726-2020）、《大气污染物综合排放标准》（DB32/4041-2021）等标准达标排放，</w:t>
                  </w:r>
                  <w:r>
                    <w:rPr>
                      <w:rFonts w:hint="default" w:ascii="Times New Roman" w:hAnsi="Times New Roman" w:eastAsia="宋体" w:cs="Times New Roman"/>
                      <w:color w:val="auto"/>
                      <w:kern w:val="21"/>
                      <w:sz w:val="21"/>
                      <w:szCs w:val="21"/>
                      <w:highlight w:val="none"/>
                      <w:u w:val="none" w:color="auto"/>
                      <w:lang w:val="en-US" w:eastAsia="zh-CN"/>
                    </w:rPr>
                    <w:t>同时建设单位依据本次评价的措施后，尽可能提高废气收集效率，</w:t>
                  </w:r>
                  <w:r>
                    <w:rPr>
                      <w:rFonts w:hint="default" w:ascii="Times New Roman" w:hAnsi="Times New Roman" w:eastAsia="宋体" w:cs="Times New Roman"/>
                      <w:color w:val="auto"/>
                      <w:kern w:val="21"/>
                      <w:sz w:val="21"/>
                      <w:szCs w:val="21"/>
                      <w:highlight w:val="none"/>
                      <w:u w:val="none" w:color="auto"/>
                    </w:rPr>
                    <w:t>降低无组织排放。</w:t>
                  </w:r>
                </w:p>
              </w:tc>
              <w:tc>
                <w:tcPr>
                  <w:tcW w:w="376" w:type="pct"/>
                  <w:tcBorders>
                    <w:tl2br w:val="nil"/>
                    <w:tr2bl w:val="nil"/>
                  </w:tcBorders>
                  <w:vAlign w:val="center"/>
                </w:tcPr>
                <w:p w14:paraId="6CA7CF7B">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color w:val="auto"/>
                      <w:kern w:val="21"/>
                      <w:sz w:val="21"/>
                      <w:szCs w:val="21"/>
                      <w:highlight w:val="none"/>
                      <w:u w:val="none" w:color="auto"/>
                    </w:rPr>
                  </w:pPr>
                  <w:r>
                    <w:rPr>
                      <w:rFonts w:hint="default" w:ascii="Times New Roman" w:hAnsi="Times New Roman" w:eastAsia="宋体" w:cs="Times New Roman"/>
                      <w:color w:val="auto"/>
                      <w:kern w:val="21"/>
                      <w:sz w:val="21"/>
                      <w:szCs w:val="21"/>
                      <w:highlight w:val="none"/>
                      <w:u w:val="none" w:color="auto"/>
                    </w:rPr>
                    <w:t>相符</w:t>
                  </w:r>
                </w:p>
              </w:tc>
            </w:tr>
            <w:tr w14:paraId="37FA1B6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372" w:type="pct"/>
                  <w:tcBorders>
                    <w:tl2br w:val="nil"/>
                    <w:tr2bl w:val="nil"/>
                  </w:tcBorders>
                  <w:vAlign w:val="center"/>
                </w:tcPr>
                <w:p w14:paraId="43997DC3">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color w:val="auto"/>
                      <w:kern w:val="21"/>
                      <w:sz w:val="21"/>
                      <w:szCs w:val="21"/>
                      <w:highlight w:val="none"/>
                      <w:u w:val="none" w:color="auto"/>
                    </w:rPr>
                  </w:pPr>
                  <w:r>
                    <w:rPr>
                      <w:rFonts w:hint="default" w:ascii="Times New Roman" w:hAnsi="Times New Roman" w:eastAsia="宋体" w:cs="Times New Roman"/>
                      <w:color w:val="auto"/>
                      <w:kern w:val="21"/>
                      <w:sz w:val="21"/>
                      <w:szCs w:val="21"/>
                      <w:highlight w:val="none"/>
                      <w:u w:val="none" w:color="auto"/>
                      <w:shd w:val="clear" w:color="auto" w:fill="FFFFFF"/>
                    </w:rPr>
                    <w:t>四、推进行业智能化改造</w:t>
                  </w:r>
                </w:p>
              </w:tc>
              <w:tc>
                <w:tcPr>
                  <w:tcW w:w="2536" w:type="pct"/>
                  <w:tcBorders>
                    <w:tl2br w:val="nil"/>
                    <w:tr2bl w:val="nil"/>
                  </w:tcBorders>
                  <w:vAlign w:val="center"/>
                </w:tcPr>
                <w:p w14:paraId="727A7DC6">
                  <w:pPr>
                    <w:keepNext w:val="0"/>
                    <w:keepLines w:val="0"/>
                    <w:pageBreakBefore w:val="0"/>
                    <w:widowControl w:val="0"/>
                    <w:kinsoku/>
                    <w:wordWrap/>
                    <w:overflowPunct/>
                    <w:topLinePunct w:val="0"/>
                    <w:autoSpaceDE/>
                    <w:autoSpaceDN/>
                    <w:bidi w:val="0"/>
                    <w:adjustRightInd/>
                    <w:snapToGrid/>
                    <w:ind w:right="105" w:rightChars="50"/>
                    <w:textAlignment w:val="baseline"/>
                    <w:rPr>
                      <w:rFonts w:hint="default" w:ascii="Times New Roman" w:hAnsi="Times New Roman" w:eastAsia="宋体" w:cs="Times New Roman"/>
                      <w:color w:val="auto"/>
                      <w:kern w:val="21"/>
                      <w:sz w:val="21"/>
                      <w:szCs w:val="21"/>
                      <w:highlight w:val="none"/>
                      <w:u w:val="none" w:color="auto"/>
                    </w:rPr>
                  </w:pPr>
                  <w:r>
                    <w:rPr>
                      <w:rFonts w:hint="default" w:ascii="Times New Roman" w:hAnsi="Times New Roman" w:eastAsia="宋体" w:cs="Times New Roman"/>
                      <w:color w:val="auto"/>
                      <w:kern w:val="21"/>
                      <w:sz w:val="21"/>
                      <w:szCs w:val="21"/>
                      <w:highlight w:val="none"/>
                      <w:u w:val="none" w:color="auto"/>
                    </w:rPr>
                    <w:t>加快新一代信息技术与铸造和锻压生产全过程、全要素深度融合，支持企业利用数字化技术改造传统工艺装备及生产线，引导重点企业开展远程监测、故障诊断、预测性维护、产品质量控制等服务，加强数值模拟仿真技术在工艺优化中的应用，推动行业企业工艺革新、装备升级、管理优化和生产过程智能化。大力开展智能制造示范推广，梳理遴选一批铸造和锻压领域智能制造典型场景，建设一批智能制造示范工厂，培育一批优质系统解决方案供应商。强化铸造和锻压行业智能制造标准体系建设，鼓励企业开展智能制造能力成熟度评估</w:t>
                  </w:r>
                </w:p>
              </w:tc>
              <w:tc>
                <w:tcPr>
                  <w:tcW w:w="1716" w:type="pct"/>
                  <w:tcBorders>
                    <w:tl2br w:val="nil"/>
                    <w:tr2bl w:val="nil"/>
                  </w:tcBorders>
                  <w:vAlign w:val="center"/>
                </w:tcPr>
                <w:p w14:paraId="60381043">
                  <w:pPr>
                    <w:keepNext w:val="0"/>
                    <w:keepLines w:val="0"/>
                    <w:pageBreakBefore w:val="0"/>
                    <w:widowControl w:val="0"/>
                    <w:kinsoku/>
                    <w:wordWrap/>
                    <w:overflowPunct/>
                    <w:topLinePunct w:val="0"/>
                    <w:autoSpaceDE/>
                    <w:autoSpaceDN/>
                    <w:bidi w:val="0"/>
                    <w:adjustRightInd/>
                    <w:snapToGrid/>
                    <w:ind w:right="105" w:rightChars="50"/>
                    <w:jc w:val="center"/>
                    <w:textAlignment w:val="baseline"/>
                    <w:rPr>
                      <w:rFonts w:hint="default" w:ascii="Times New Roman" w:hAnsi="Times New Roman" w:eastAsia="宋体" w:cs="Times New Roman"/>
                      <w:color w:val="auto"/>
                      <w:kern w:val="21"/>
                      <w:sz w:val="21"/>
                      <w:szCs w:val="21"/>
                      <w:highlight w:val="none"/>
                      <w:u w:val="none" w:color="auto"/>
                    </w:rPr>
                  </w:pPr>
                  <w:r>
                    <w:rPr>
                      <w:rFonts w:hint="default" w:ascii="Times New Roman" w:hAnsi="Times New Roman" w:eastAsia="宋体" w:cs="Times New Roman"/>
                      <w:color w:val="auto"/>
                      <w:kern w:val="21"/>
                      <w:sz w:val="21"/>
                      <w:szCs w:val="21"/>
                      <w:highlight w:val="none"/>
                      <w:u w:val="none" w:color="auto"/>
                    </w:rPr>
                    <w:t>本项目涉及的环保设备与生产设备联动控制。所有设备都具有运行数据采集端口，最终建成后在厂区</w:t>
                  </w:r>
                  <w:r>
                    <w:rPr>
                      <w:rFonts w:hint="default" w:ascii="Times New Roman" w:hAnsi="Times New Roman" w:eastAsia="宋体" w:cs="Times New Roman"/>
                      <w:color w:val="auto"/>
                      <w:kern w:val="21"/>
                      <w:sz w:val="21"/>
                      <w:szCs w:val="21"/>
                      <w:highlight w:val="none"/>
                      <w:u w:val="none" w:color="auto"/>
                      <w:lang w:val="en-US" w:eastAsia="zh-CN"/>
                    </w:rPr>
                    <w:t>控制室内</w:t>
                  </w:r>
                  <w:r>
                    <w:rPr>
                      <w:rFonts w:hint="default" w:ascii="Times New Roman" w:hAnsi="Times New Roman" w:eastAsia="宋体" w:cs="Times New Roman"/>
                      <w:color w:val="auto"/>
                      <w:kern w:val="21"/>
                      <w:sz w:val="21"/>
                      <w:szCs w:val="21"/>
                      <w:highlight w:val="none"/>
                      <w:u w:val="none" w:color="auto"/>
                    </w:rPr>
                    <w:t>可以实时显示各生产设备的运行数据。达到生产过程的数字化管理水平。</w:t>
                  </w:r>
                </w:p>
              </w:tc>
              <w:tc>
                <w:tcPr>
                  <w:tcW w:w="376" w:type="pct"/>
                  <w:tcBorders>
                    <w:tl2br w:val="nil"/>
                    <w:tr2bl w:val="nil"/>
                  </w:tcBorders>
                  <w:vAlign w:val="center"/>
                </w:tcPr>
                <w:p w14:paraId="61D4B394">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color w:val="auto"/>
                      <w:kern w:val="21"/>
                      <w:sz w:val="21"/>
                      <w:szCs w:val="21"/>
                      <w:highlight w:val="none"/>
                      <w:u w:val="none" w:color="auto"/>
                    </w:rPr>
                  </w:pPr>
                  <w:r>
                    <w:rPr>
                      <w:rFonts w:hint="default" w:ascii="Times New Roman" w:hAnsi="Times New Roman" w:eastAsia="宋体" w:cs="Times New Roman"/>
                      <w:color w:val="auto"/>
                      <w:kern w:val="21"/>
                      <w:sz w:val="21"/>
                      <w:szCs w:val="21"/>
                      <w:highlight w:val="none"/>
                      <w:u w:val="none" w:color="auto"/>
                    </w:rPr>
                    <w:t>相符</w:t>
                  </w:r>
                </w:p>
              </w:tc>
            </w:tr>
          </w:tbl>
          <w:p w14:paraId="77D18DA7">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default" w:ascii="Times New Roman" w:hAnsi="Times New Roman" w:eastAsia="宋体" w:cs="Times New Roman"/>
                <w:color w:val="auto"/>
                <w:kern w:val="0"/>
                <w:sz w:val="24"/>
                <w:szCs w:val="24"/>
                <w:highlight w:val="yellow"/>
                <w:u w:val="none" w:color="auto"/>
              </w:rPr>
            </w:pPr>
            <w:r>
              <w:rPr>
                <w:rFonts w:hint="default" w:ascii="Times New Roman" w:hAnsi="Times New Roman" w:eastAsia="宋体" w:cs="Times New Roman"/>
                <w:color w:val="auto"/>
                <w:kern w:val="0"/>
                <w:sz w:val="24"/>
                <w:szCs w:val="24"/>
                <w:highlight w:val="none"/>
                <w:u w:val="none" w:color="auto"/>
              </w:rPr>
              <w:t>由上表可知：本项目建设与《推动铸造和锻压行业高质量发展的指导意见》（工信部联通装〔2023〕40号）的相关要求均相符。</w:t>
            </w:r>
          </w:p>
          <w:p w14:paraId="2F71092E">
            <w:pPr>
              <w:keepNext w:val="0"/>
              <w:keepLines w:val="0"/>
              <w:pageBreakBefore w:val="0"/>
              <w:widowControl w:val="0"/>
              <w:kinsoku/>
              <w:wordWrap/>
              <w:overflowPunct/>
              <w:topLinePunct w:val="0"/>
              <w:autoSpaceDE w:val="0"/>
              <w:autoSpaceDN w:val="0"/>
              <w:bidi w:val="0"/>
              <w:adjustRightInd/>
              <w:snapToGrid/>
              <w:spacing w:line="360" w:lineRule="auto"/>
              <w:textAlignment w:val="auto"/>
              <w:rPr>
                <w:rFonts w:hint="default" w:ascii="Times New Roman" w:hAnsi="Times New Roman" w:eastAsia="宋体" w:cs="Times New Roman"/>
                <w:b/>
                <w:bCs/>
                <w:color w:val="auto"/>
                <w:kern w:val="0"/>
                <w:sz w:val="24"/>
                <w:szCs w:val="24"/>
                <w:highlight w:val="none"/>
                <w:u w:val="none" w:color="auto"/>
              </w:rPr>
            </w:pPr>
            <w:r>
              <w:rPr>
                <w:rFonts w:hint="default" w:ascii="Times New Roman" w:hAnsi="Times New Roman" w:eastAsia="宋体" w:cs="Times New Roman"/>
                <w:b/>
                <w:bCs/>
                <w:color w:val="auto"/>
                <w:kern w:val="0"/>
                <w:sz w:val="24"/>
                <w:szCs w:val="24"/>
                <w:highlight w:val="none"/>
                <w:u w:val="none" w:color="auto"/>
                <w:lang w:val="en-US" w:eastAsia="zh-CN"/>
              </w:rPr>
              <w:t>七、</w:t>
            </w:r>
            <w:r>
              <w:rPr>
                <w:rFonts w:hint="default" w:ascii="Times New Roman" w:hAnsi="Times New Roman" w:eastAsia="宋体" w:cs="Times New Roman"/>
                <w:b/>
                <w:bCs/>
                <w:color w:val="auto"/>
                <w:kern w:val="0"/>
                <w:sz w:val="24"/>
                <w:szCs w:val="24"/>
                <w:highlight w:val="none"/>
                <w:u w:val="none" w:color="auto"/>
              </w:rPr>
              <w:t>与《铸造企业规范条件》（T/CFA0310021）相符性分析</w:t>
            </w:r>
          </w:p>
          <w:p w14:paraId="53D2984D">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default" w:ascii="Times New Roman" w:hAnsi="Times New Roman" w:eastAsia="宋体" w:cs="Times New Roman"/>
                <w:color w:val="auto"/>
                <w:kern w:val="0"/>
                <w:sz w:val="24"/>
                <w:szCs w:val="24"/>
                <w:highlight w:val="none"/>
                <w:u w:val="none" w:color="auto"/>
                <w:lang w:val="en-US" w:eastAsia="zh-CN"/>
              </w:rPr>
            </w:pPr>
            <w:r>
              <w:rPr>
                <w:rFonts w:hint="default" w:ascii="Times New Roman" w:hAnsi="Times New Roman" w:eastAsia="宋体" w:cs="Times New Roman"/>
                <w:color w:val="auto"/>
                <w:kern w:val="0"/>
                <w:sz w:val="24"/>
                <w:szCs w:val="24"/>
                <w:highlight w:val="none"/>
                <w:u w:val="none" w:color="auto"/>
                <w:lang w:val="en-US" w:eastAsia="zh-CN"/>
              </w:rPr>
              <w:t>本项目与规范条件相符性分析如下：</w:t>
            </w:r>
          </w:p>
          <w:p w14:paraId="1E7A02E1">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b/>
                <w:bCs/>
                <w:color w:val="auto"/>
                <w:kern w:val="0"/>
                <w:sz w:val="21"/>
                <w:szCs w:val="21"/>
                <w:highlight w:val="none"/>
                <w:u w:val="none" w:color="auto"/>
              </w:rPr>
            </w:pPr>
            <w:r>
              <w:rPr>
                <w:rFonts w:hint="default" w:ascii="Times New Roman" w:hAnsi="Times New Roman" w:eastAsia="宋体" w:cs="Times New Roman"/>
                <w:b/>
                <w:bCs/>
                <w:color w:val="auto"/>
                <w:kern w:val="0"/>
                <w:sz w:val="21"/>
                <w:szCs w:val="21"/>
                <w:highlight w:val="none"/>
                <w:u w:val="none" w:color="auto"/>
              </w:rPr>
              <w:t>表1-</w:t>
            </w:r>
            <w:r>
              <w:rPr>
                <w:rFonts w:hint="default" w:ascii="Times New Roman" w:hAnsi="Times New Roman" w:eastAsia="宋体" w:cs="Times New Roman"/>
                <w:b/>
                <w:bCs/>
                <w:color w:val="auto"/>
                <w:kern w:val="0"/>
                <w:sz w:val="21"/>
                <w:szCs w:val="21"/>
                <w:highlight w:val="none"/>
                <w:u w:val="none" w:color="auto"/>
                <w:lang w:val="en-US" w:eastAsia="zh-CN"/>
              </w:rPr>
              <w:t xml:space="preserve">6  </w:t>
            </w:r>
            <w:r>
              <w:rPr>
                <w:rFonts w:hint="default" w:ascii="Times New Roman" w:hAnsi="Times New Roman" w:eastAsia="宋体" w:cs="Times New Roman"/>
                <w:b/>
                <w:bCs/>
                <w:color w:val="auto"/>
                <w:kern w:val="0"/>
                <w:sz w:val="21"/>
                <w:szCs w:val="21"/>
                <w:highlight w:val="none"/>
                <w:u w:val="none" w:color="auto"/>
              </w:rPr>
              <w:t>本项目与《铸造企业规范条件》相符性分析一览表</w:t>
            </w:r>
          </w:p>
          <w:tbl>
            <w:tblPr>
              <w:tblStyle w:val="31"/>
              <w:tblW w:w="5000" w:type="pct"/>
              <w:tblInd w:w="-17"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
            <w:tblGrid>
              <w:gridCol w:w="278"/>
              <w:gridCol w:w="2714"/>
              <w:gridCol w:w="3157"/>
              <w:gridCol w:w="526"/>
            </w:tblGrid>
            <w:tr w14:paraId="5A2A706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208" w:type="pct"/>
                  <w:tcBorders>
                    <w:tl2br w:val="nil"/>
                    <w:tr2bl w:val="nil"/>
                  </w:tcBorders>
                  <w:vAlign w:val="center"/>
                </w:tcPr>
                <w:p w14:paraId="49CD2B0F">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b/>
                      <w:color w:val="auto"/>
                      <w:sz w:val="21"/>
                      <w:szCs w:val="21"/>
                      <w:highlight w:val="none"/>
                      <w:u w:val="none" w:color="auto"/>
                    </w:rPr>
                  </w:pPr>
                  <w:r>
                    <w:rPr>
                      <w:rFonts w:hint="default" w:ascii="Times New Roman" w:hAnsi="Times New Roman" w:eastAsia="宋体" w:cs="Times New Roman"/>
                      <w:b/>
                      <w:color w:val="auto"/>
                      <w:sz w:val="21"/>
                      <w:szCs w:val="21"/>
                      <w:highlight w:val="none"/>
                      <w:u w:val="none" w:color="auto"/>
                    </w:rPr>
                    <w:t>序号</w:t>
                  </w:r>
                </w:p>
              </w:tc>
              <w:tc>
                <w:tcPr>
                  <w:tcW w:w="2032" w:type="pct"/>
                  <w:tcBorders>
                    <w:tl2br w:val="nil"/>
                    <w:tr2bl w:val="nil"/>
                  </w:tcBorders>
                  <w:vAlign w:val="center"/>
                </w:tcPr>
                <w:p w14:paraId="5EF9B690">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b/>
                      <w:color w:val="auto"/>
                      <w:sz w:val="21"/>
                      <w:szCs w:val="21"/>
                      <w:highlight w:val="none"/>
                      <w:u w:val="none" w:color="auto"/>
                    </w:rPr>
                  </w:pPr>
                  <w:r>
                    <w:rPr>
                      <w:rFonts w:hint="default" w:ascii="Times New Roman" w:hAnsi="Times New Roman" w:eastAsia="宋体" w:cs="Times New Roman"/>
                      <w:b/>
                      <w:color w:val="auto"/>
                      <w:sz w:val="21"/>
                      <w:szCs w:val="21"/>
                      <w:highlight w:val="none"/>
                      <w:u w:val="none" w:color="auto"/>
                    </w:rPr>
                    <w:t>要求</w:t>
                  </w:r>
                </w:p>
              </w:tc>
              <w:tc>
                <w:tcPr>
                  <w:tcW w:w="2364" w:type="pct"/>
                  <w:tcBorders>
                    <w:tl2br w:val="nil"/>
                    <w:tr2bl w:val="nil"/>
                  </w:tcBorders>
                  <w:vAlign w:val="center"/>
                </w:tcPr>
                <w:p w14:paraId="2CDDA388">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b/>
                      <w:color w:val="auto"/>
                      <w:sz w:val="21"/>
                      <w:szCs w:val="21"/>
                      <w:highlight w:val="none"/>
                      <w:u w:val="none" w:color="auto"/>
                    </w:rPr>
                  </w:pPr>
                  <w:r>
                    <w:rPr>
                      <w:rFonts w:hint="default" w:ascii="Times New Roman" w:hAnsi="Times New Roman" w:eastAsia="宋体" w:cs="Times New Roman"/>
                      <w:b/>
                      <w:color w:val="auto"/>
                      <w:sz w:val="21"/>
                      <w:szCs w:val="21"/>
                      <w:highlight w:val="none"/>
                      <w:u w:val="none" w:color="auto"/>
                    </w:rPr>
                    <w:t>本项目情况</w:t>
                  </w:r>
                </w:p>
              </w:tc>
              <w:tc>
                <w:tcPr>
                  <w:tcW w:w="394" w:type="pct"/>
                  <w:tcBorders>
                    <w:tl2br w:val="nil"/>
                    <w:tr2bl w:val="nil"/>
                  </w:tcBorders>
                  <w:vAlign w:val="center"/>
                </w:tcPr>
                <w:p w14:paraId="4DD75D7D">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b/>
                      <w:color w:val="auto"/>
                      <w:sz w:val="21"/>
                      <w:szCs w:val="21"/>
                      <w:highlight w:val="none"/>
                      <w:u w:val="none" w:color="auto"/>
                    </w:rPr>
                  </w:pPr>
                  <w:r>
                    <w:rPr>
                      <w:rFonts w:hint="default" w:ascii="Times New Roman" w:hAnsi="Times New Roman" w:eastAsia="宋体" w:cs="Times New Roman"/>
                      <w:b/>
                      <w:color w:val="auto"/>
                      <w:sz w:val="21"/>
                      <w:szCs w:val="21"/>
                      <w:highlight w:val="none"/>
                      <w:u w:val="none" w:color="auto"/>
                    </w:rPr>
                    <w:t>相符性</w:t>
                  </w:r>
                </w:p>
              </w:tc>
            </w:tr>
            <w:tr w14:paraId="33F775B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208" w:type="pct"/>
                  <w:vMerge w:val="restart"/>
                  <w:tcBorders>
                    <w:tl2br w:val="nil"/>
                    <w:tr2bl w:val="nil"/>
                  </w:tcBorders>
                  <w:vAlign w:val="center"/>
                </w:tcPr>
                <w:p w14:paraId="29262FA0">
                  <w:pPr>
                    <w:keepNext w:val="0"/>
                    <w:keepLines w:val="0"/>
                    <w:pageBreakBefore w:val="0"/>
                    <w:widowControl w:val="0"/>
                    <w:kinsoku/>
                    <w:wordWrap/>
                    <w:overflowPunct/>
                    <w:topLinePunct w:val="0"/>
                    <w:autoSpaceDE/>
                    <w:autoSpaceDN/>
                    <w:bidi w:val="0"/>
                    <w:adjustRightInd/>
                    <w:snapToGrid/>
                    <w:ind w:right="105" w:rightChars="50"/>
                    <w:jc w:val="center"/>
                    <w:textAlignment w:val="baseline"/>
                    <w:rPr>
                      <w:rFonts w:hint="default" w:ascii="Times New Roman" w:hAnsi="Times New Roman" w:eastAsia="宋体" w:cs="Times New Roman"/>
                      <w:color w:val="auto"/>
                      <w:sz w:val="21"/>
                      <w:szCs w:val="21"/>
                      <w:highlight w:val="none"/>
                      <w:u w:val="none" w:color="auto"/>
                      <w:shd w:val="clear" w:color="auto" w:fill="FFFFFF"/>
                    </w:rPr>
                  </w:pPr>
                  <w:r>
                    <w:rPr>
                      <w:rFonts w:hint="default" w:ascii="Times New Roman" w:hAnsi="Times New Roman" w:eastAsia="宋体" w:cs="Times New Roman"/>
                      <w:color w:val="auto"/>
                      <w:sz w:val="21"/>
                      <w:szCs w:val="21"/>
                      <w:highlight w:val="none"/>
                      <w:u w:val="none" w:color="auto"/>
                      <w:shd w:val="clear" w:color="auto" w:fill="FFFFFF"/>
                    </w:rPr>
                    <w:t>4建设条件与布局</w:t>
                  </w:r>
                </w:p>
              </w:tc>
              <w:tc>
                <w:tcPr>
                  <w:tcW w:w="2032" w:type="pct"/>
                  <w:tcBorders>
                    <w:tl2br w:val="nil"/>
                    <w:tr2bl w:val="nil"/>
                  </w:tcBorders>
                  <w:vAlign w:val="center"/>
                </w:tcPr>
                <w:p w14:paraId="38FDE6AA">
                  <w:pPr>
                    <w:keepNext w:val="0"/>
                    <w:keepLines w:val="0"/>
                    <w:pageBreakBefore w:val="0"/>
                    <w:widowControl w:val="0"/>
                    <w:kinsoku/>
                    <w:wordWrap/>
                    <w:overflowPunct/>
                    <w:topLinePunct w:val="0"/>
                    <w:autoSpaceDE/>
                    <w:autoSpaceDN/>
                    <w:bidi w:val="0"/>
                    <w:adjustRightInd/>
                    <w:snapToGrid/>
                    <w:ind w:right="105" w:rightChars="50"/>
                    <w:jc w:val="center"/>
                    <w:textAlignment w:val="baseline"/>
                    <w:rPr>
                      <w:rFonts w:hint="default" w:ascii="Times New Roman" w:hAnsi="Times New Roman" w:eastAsia="宋体" w:cs="Times New Roman"/>
                      <w:color w:val="auto"/>
                      <w:sz w:val="21"/>
                      <w:szCs w:val="21"/>
                      <w:highlight w:val="none"/>
                      <w:u w:val="none" w:color="auto"/>
                      <w:shd w:val="clear" w:color="auto" w:fill="FFFFFF"/>
                    </w:rPr>
                  </w:pPr>
                  <w:r>
                    <w:rPr>
                      <w:rFonts w:hint="default" w:ascii="Times New Roman" w:hAnsi="Times New Roman" w:eastAsia="宋体" w:cs="Times New Roman"/>
                      <w:color w:val="auto"/>
                      <w:sz w:val="21"/>
                      <w:szCs w:val="21"/>
                      <w:highlight w:val="none"/>
                      <w:u w:val="none" w:color="auto"/>
                      <w:shd w:val="clear" w:color="auto" w:fill="FFFFFF"/>
                    </w:rPr>
                    <w:t>4.1企业的布局地址的确定应符合国家相关法律法规、产业政策以及各地方装备制造业和铸造行业的总体规划要求。</w:t>
                  </w:r>
                </w:p>
              </w:tc>
              <w:tc>
                <w:tcPr>
                  <w:tcW w:w="2364" w:type="pct"/>
                  <w:tcBorders>
                    <w:tl2br w:val="nil"/>
                    <w:tr2bl w:val="nil"/>
                  </w:tcBorders>
                  <w:vAlign w:val="center"/>
                </w:tcPr>
                <w:p w14:paraId="7F86E3EB">
                  <w:pPr>
                    <w:keepNext w:val="0"/>
                    <w:keepLines w:val="0"/>
                    <w:pageBreakBefore w:val="0"/>
                    <w:widowControl w:val="0"/>
                    <w:kinsoku/>
                    <w:wordWrap/>
                    <w:overflowPunct/>
                    <w:topLinePunct w:val="0"/>
                    <w:autoSpaceDE/>
                    <w:autoSpaceDN/>
                    <w:bidi w:val="0"/>
                    <w:adjustRightInd/>
                    <w:snapToGrid/>
                    <w:ind w:right="105" w:rightChars="50"/>
                    <w:jc w:val="center"/>
                    <w:textAlignment w:val="baseline"/>
                    <w:rPr>
                      <w:rFonts w:hint="default" w:ascii="Times New Roman" w:hAnsi="Times New Roman" w:eastAsia="宋体" w:cs="Times New Roman"/>
                      <w:color w:val="auto"/>
                      <w:sz w:val="21"/>
                      <w:szCs w:val="21"/>
                      <w:highlight w:val="none"/>
                      <w:u w:val="none" w:color="auto"/>
                    </w:rPr>
                  </w:pPr>
                  <w:bookmarkStart w:id="17" w:name="sys476080"/>
                  <w:r>
                    <w:rPr>
                      <w:rFonts w:hint="default" w:ascii="Times New Roman" w:hAnsi="Times New Roman" w:eastAsia="宋体" w:cs="Times New Roman"/>
                      <w:color w:val="auto"/>
                      <w:sz w:val="21"/>
                      <w:szCs w:val="21"/>
                      <w:highlight w:val="none"/>
                      <w:u w:val="none" w:color="auto"/>
                    </w:rPr>
                    <w:t>项目位于</w:t>
                  </w:r>
                  <w:r>
                    <w:rPr>
                      <w:rFonts w:hint="default" w:ascii="Times New Roman" w:hAnsi="Times New Roman" w:eastAsia="宋体" w:cs="Times New Roman"/>
                      <w:color w:val="auto"/>
                      <w:sz w:val="21"/>
                      <w:szCs w:val="21"/>
                      <w:highlight w:val="none"/>
                      <w:u w:val="none" w:color="auto"/>
                      <w:lang w:val="en-US" w:eastAsia="zh-CN"/>
                    </w:rPr>
                    <w:t>湖南中创空天新材料股份有限公司现有厂区内以及湖南城陵矶临港高新产业园内已建标准厂房</w:t>
                  </w:r>
                  <w:r>
                    <w:rPr>
                      <w:rFonts w:hint="default" w:ascii="Times New Roman" w:hAnsi="Times New Roman" w:eastAsia="宋体" w:cs="Times New Roman"/>
                      <w:color w:val="auto"/>
                      <w:sz w:val="21"/>
                      <w:szCs w:val="21"/>
                      <w:highlight w:val="none"/>
                      <w:u w:val="none" w:color="auto"/>
                    </w:rPr>
                    <w:t>，属于</w:t>
                  </w:r>
                  <w:r>
                    <w:rPr>
                      <w:rFonts w:hint="default" w:ascii="Times New Roman" w:hAnsi="Times New Roman" w:eastAsia="宋体" w:cs="Times New Roman"/>
                      <w:color w:val="auto"/>
                      <w:sz w:val="21"/>
                      <w:szCs w:val="21"/>
                      <w:highlight w:val="none"/>
                      <w:u w:val="none" w:color="auto"/>
                      <w:lang w:val="en-US" w:eastAsia="zh-CN"/>
                    </w:rPr>
                    <w:t>岳阳临港高新技术产业开发区规划</w:t>
                  </w:r>
                  <w:r>
                    <w:rPr>
                      <w:rFonts w:hint="default" w:ascii="Times New Roman" w:hAnsi="Times New Roman" w:eastAsia="宋体" w:cs="Times New Roman"/>
                      <w:color w:val="auto"/>
                      <w:sz w:val="21"/>
                      <w:szCs w:val="21"/>
                      <w:highlight w:val="none"/>
                      <w:u w:val="none" w:color="auto"/>
                    </w:rPr>
                    <w:t>范围内，本项目用地性质为工业用地，符合</w:t>
                  </w:r>
                  <w:r>
                    <w:rPr>
                      <w:rFonts w:hint="default" w:ascii="Times New Roman" w:hAnsi="Times New Roman" w:eastAsia="宋体" w:cs="Times New Roman"/>
                      <w:color w:val="auto"/>
                      <w:sz w:val="21"/>
                      <w:szCs w:val="21"/>
                      <w:highlight w:val="none"/>
                      <w:u w:val="none" w:color="auto"/>
                      <w:lang w:val="en-US" w:eastAsia="zh-CN"/>
                    </w:rPr>
                    <w:t>岳阳临港高新技术产业开发区</w:t>
                  </w:r>
                  <w:r>
                    <w:rPr>
                      <w:rFonts w:hint="default" w:ascii="Times New Roman" w:hAnsi="Times New Roman" w:eastAsia="宋体" w:cs="Times New Roman"/>
                      <w:color w:val="auto"/>
                      <w:sz w:val="21"/>
                      <w:szCs w:val="21"/>
                      <w:highlight w:val="none"/>
                      <w:u w:val="none" w:color="auto"/>
                    </w:rPr>
                    <w:t>土地利用规划。</w:t>
                  </w:r>
                  <w:bookmarkEnd w:id="17"/>
                  <w:r>
                    <w:rPr>
                      <w:rFonts w:hint="default" w:ascii="Times New Roman" w:hAnsi="Times New Roman" w:eastAsia="宋体" w:cs="Times New Roman"/>
                      <w:color w:val="auto"/>
                      <w:sz w:val="21"/>
                      <w:szCs w:val="21"/>
                      <w:highlight w:val="none"/>
                      <w:u w:val="none" w:color="auto"/>
                    </w:rPr>
                    <w:t>本项目</w:t>
                  </w:r>
                  <w:r>
                    <w:rPr>
                      <w:rFonts w:hint="default" w:ascii="Times New Roman" w:hAnsi="Times New Roman" w:eastAsia="宋体" w:cs="Times New Roman"/>
                      <w:color w:val="auto"/>
                      <w:sz w:val="21"/>
                      <w:szCs w:val="21"/>
                      <w:highlight w:val="none"/>
                      <w:u w:val="none" w:color="auto"/>
                      <w:lang w:val="en-US" w:eastAsia="zh-CN"/>
                    </w:rPr>
                    <w:t>涉及C3670  汽车零部件及配件制造、C3240  有色金属合金制造、C3392  有色金属铸造</w:t>
                  </w:r>
                  <w:bookmarkStart w:id="18" w:name="sys47610135"/>
                  <w:r>
                    <w:rPr>
                      <w:rFonts w:hint="default" w:ascii="Times New Roman" w:hAnsi="Times New Roman" w:eastAsia="宋体" w:cs="Times New Roman"/>
                      <w:color w:val="auto"/>
                      <w:sz w:val="21"/>
                      <w:szCs w:val="21"/>
                      <w:highlight w:val="none"/>
                      <w:u w:val="none" w:color="auto"/>
                      <w:lang w:eastAsia="zh-CN"/>
                    </w:rPr>
                    <w:t>，</w:t>
                  </w:r>
                  <w:r>
                    <w:rPr>
                      <w:rFonts w:hint="default" w:ascii="Times New Roman" w:hAnsi="Times New Roman" w:eastAsia="宋体" w:cs="Times New Roman"/>
                      <w:color w:val="auto"/>
                      <w:kern w:val="0"/>
                      <w:sz w:val="21"/>
                      <w:szCs w:val="21"/>
                      <w:highlight w:val="none"/>
                      <w:u w:val="none" w:color="auto"/>
                    </w:rPr>
                    <w:t>不属于《产业结构调整指导目录（2024年本）》中的限制类和淘汰类项目。</w:t>
                  </w:r>
                  <w:bookmarkEnd w:id="18"/>
                  <w:r>
                    <w:rPr>
                      <w:rFonts w:hint="default" w:ascii="Times New Roman" w:hAnsi="Times New Roman" w:eastAsia="宋体" w:cs="Times New Roman"/>
                      <w:bCs/>
                      <w:color w:val="auto"/>
                      <w:sz w:val="21"/>
                      <w:szCs w:val="21"/>
                      <w:highlight w:val="none"/>
                      <w:u w:val="none" w:color="auto"/>
                    </w:rPr>
                    <w:t>符合</w:t>
                  </w:r>
                  <w:r>
                    <w:rPr>
                      <w:rFonts w:hint="default" w:ascii="Times New Roman" w:hAnsi="Times New Roman" w:eastAsia="宋体" w:cs="Times New Roman"/>
                      <w:color w:val="auto"/>
                      <w:sz w:val="21"/>
                      <w:szCs w:val="21"/>
                      <w:highlight w:val="none"/>
                      <w:u w:val="none" w:color="auto"/>
                      <w:lang w:val="en-US" w:eastAsia="zh-CN"/>
                    </w:rPr>
                    <w:t>岳阳临港高新技术产业开发区</w:t>
                  </w:r>
                  <w:r>
                    <w:rPr>
                      <w:rFonts w:hint="default" w:ascii="Times New Roman" w:hAnsi="Times New Roman" w:eastAsia="宋体" w:cs="Times New Roman"/>
                      <w:bCs/>
                      <w:color w:val="auto"/>
                      <w:sz w:val="21"/>
                      <w:szCs w:val="21"/>
                      <w:highlight w:val="none"/>
                      <w:u w:val="none" w:color="auto"/>
                    </w:rPr>
                    <w:t>产业定位。</w:t>
                  </w:r>
                </w:p>
              </w:tc>
              <w:tc>
                <w:tcPr>
                  <w:tcW w:w="394" w:type="pct"/>
                  <w:tcBorders>
                    <w:tl2br w:val="nil"/>
                    <w:tr2bl w:val="nil"/>
                  </w:tcBorders>
                  <w:vAlign w:val="center"/>
                </w:tcPr>
                <w:p w14:paraId="74E2983E">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相符</w:t>
                  </w:r>
                </w:p>
              </w:tc>
            </w:tr>
            <w:tr w14:paraId="230BF0D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208" w:type="pct"/>
                  <w:vMerge w:val="continue"/>
                  <w:tcBorders>
                    <w:tl2br w:val="nil"/>
                    <w:tr2bl w:val="nil"/>
                  </w:tcBorders>
                  <w:vAlign w:val="center"/>
                </w:tcPr>
                <w:p w14:paraId="376AC1D2">
                  <w:pPr>
                    <w:keepNext w:val="0"/>
                    <w:keepLines w:val="0"/>
                    <w:pageBreakBefore w:val="0"/>
                    <w:widowControl w:val="0"/>
                    <w:kinsoku/>
                    <w:wordWrap/>
                    <w:overflowPunct/>
                    <w:topLinePunct w:val="0"/>
                    <w:autoSpaceDE/>
                    <w:autoSpaceDN/>
                    <w:bidi w:val="0"/>
                    <w:adjustRightInd/>
                    <w:snapToGrid/>
                    <w:ind w:right="105" w:rightChars="50"/>
                    <w:jc w:val="center"/>
                    <w:textAlignment w:val="baseline"/>
                    <w:rPr>
                      <w:rFonts w:hint="default" w:ascii="Times New Roman" w:hAnsi="Times New Roman" w:eastAsia="宋体" w:cs="Times New Roman"/>
                      <w:color w:val="auto"/>
                      <w:sz w:val="21"/>
                      <w:szCs w:val="21"/>
                      <w:highlight w:val="yellow"/>
                      <w:u w:val="none" w:color="auto"/>
                    </w:rPr>
                  </w:pPr>
                </w:p>
              </w:tc>
              <w:tc>
                <w:tcPr>
                  <w:tcW w:w="2032" w:type="pct"/>
                  <w:tcBorders>
                    <w:tl2br w:val="nil"/>
                    <w:tr2bl w:val="nil"/>
                  </w:tcBorders>
                  <w:vAlign w:val="center"/>
                </w:tcPr>
                <w:p w14:paraId="159A69D0">
                  <w:pPr>
                    <w:keepNext w:val="0"/>
                    <w:keepLines w:val="0"/>
                    <w:pageBreakBefore w:val="0"/>
                    <w:widowControl w:val="0"/>
                    <w:kinsoku/>
                    <w:wordWrap/>
                    <w:overflowPunct/>
                    <w:topLinePunct w:val="0"/>
                    <w:autoSpaceDE/>
                    <w:autoSpaceDN/>
                    <w:bidi w:val="0"/>
                    <w:adjustRightInd/>
                    <w:snapToGrid/>
                    <w:ind w:right="105" w:rightChars="50"/>
                    <w:jc w:val="center"/>
                    <w:textAlignment w:val="baseline"/>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4.2企业生产场所应依法取得土地使用权并符合土地使用性质。</w:t>
                  </w:r>
                </w:p>
              </w:tc>
              <w:tc>
                <w:tcPr>
                  <w:tcW w:w="2364" w:type="pct"/>
                  <w:tcBorders>
                    <w:tl2br w:val="nil"/>
                    <w:tr2bl w:val="nil"/>
                  </w:tcBorders>
                  <w:vAlign w:val="center"/>
                </w:tcPr>
                <w:p w14:paraId="5FD9FFD7">
                  <w:pPr>
                    <w:keepNext w:val="0"/>
                    <w:keepLines w:val="0"/>
                    <w:pageBreakBefore w:val="0"/>
                    <w:widowControl w:val="0"/>
                    <w:kinsoku/>
                    <w:wordWrap/>
                    <w:overflowPunct/>
                    <w:topLinePunct w:val="0"/>
                    <w:autoSpaceDE/>
                    <w:autoSpaceDN/>
                    <w:bidi w:val="0"/>
                    <w:adjustRightInd/>
                    <w:snapToGrid/>
                    <w:ind w:right="105" w:rightChars="50"/>
                    <w:jc w:val="center"/>
                    <w:textAlignment w:val="baseline"/>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湖南中创空天新材料股份有限公司现有厂区内已相关用地许可证明（附件9）；租赁的湖南城陵矶临港高新产业园内已建标准厂房已签订相关租赁合同（附件8），其中14#厂房租赁合同正处于签订流程中</w:t>
                  </w:r>
                </w:p>
              </w:tc>
              <w:tc>
                <w:tcPr>
                  <w:tcW w:w="394" w:type="pct"/>
                  <w:tcBorders>
                    <w:tl2br w:val="nil"/>
                    <w:tr2bl w:val="nil"/>
                  </w:tcBorders>
                  <w:vAlign w:val="center"/>
                </w:tcPr>
                <w:p w14:paraId="4938CC8C">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相符</w:t>
                  </w:r>
                </w:p>
              </w:tc>
            </w:tr>
            <w:tr w14:paraId="31A3C48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208" w:type="pct"/>
                  <w:vMerge w:val="restart"/>
                  <w:tcBorders>
                    <w:tl2br w:val="nil"/>
                    <w:tr2bl w:val="nil"/>
                  </w:tcBorders>
                  <w:vAlign w:val="center"/>
                </w:tcPr>
                <w:p w14:paraId="1C239471">
                  <w:pPr>
                    <w:keepNext w:val="0"/>
                    <w:keepLines w:val="0"/>
                    <w:pageBreakBefore w:val="0"/>
                    <w:widowControl w:val="0"/>
                    <w:kinsoku/>
                    <w:wordWrap/>
                    <w:overflowPunct/>
                    <w:topLinePunct w:val="0"/>
                    <w:autoSpaceDE/>
                    <w:autoSpaceDN/>
                    <w:bidi w:val="0"/>
                    <w:adjustRightInd/>
                    <w:snapToGrid/>
                    <w:ind w:right="105" w:rightChars="50"/>
                    <w:jc w:val="center"/>
                    <w:textAlignment w:val="baseline"/>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6生产工艺</w:t>
                  </w:r>
                </w:p>
              </w:tc>
              <w:tc>
                <w:tcPr>
                  <w:tcW w:w="2032" w:type="pct"/>
                  <w:tcBorders>
                    <w:tl2br w:val="nil"/>
                    <w:tr2bl w:val="nil"/>
                  </w:tcBorders>
                  <w:vAlign w:val="center"/>
                </w:tcPr>
                <w:p w14:paraId="1C028433">
                  <w:pPr>
                    <w:keepNext w:val="0"/>
                    <w:keepLines w:val="0"/>
                    <w:pageBreakBefore w:val="0"/>
                    <w:widowControl w:val="0"/>
                    <w:kinsoku/>
                    <w:wordWrap/>
                    <w:overflowPunct/>
                    <w:topLinePunct w:val="0"/>
                    <w:autoSpaceDE/>
                    <w:autoSpaceDN/>
                    <w:bidi w:val="0"/>
                    <w:adjustRightInd/>
                    <w:snapToGrid/>
                    <w:ind w:right="105" w:rightChars="50"/>
                    <w:jc w:val="center"/>
                    <w:textAlignment w:val="baseline"/>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6.1 企业应根据生产铸件的材质、品种、批量，合理选择低污染、低排放、低能耗、经济高效的铸造工艺。</w:t>
                  </w:r>
                </w:p>
              </w:tc>
              <w:tc>
                <w:tcPr>
                  <w:tcW w:w="2364" w:type="pct"/>
                  <w:tcBorders>
                    <w:tl2br w:val="nil"/>
                    <w:tr2bl w:val="nil"/>
                  </w:tcBorders>
                  <w:vAlign w:val="center"/>
                </w:tcPr>
                <w:p w14:paraId="27966781">
                  <w:pPr>
                    <w:keepNext w:val="0"/>
                    <w:keepLines w:val="0"/>
                    <w:pageBreakBefore w:val="0"/>
                    <w:widowControl w:val="0"/>
                    <w:kinsoku/>
                    <w:wordWrap/>
                    <w:overflowPunct/>
                    <w:topLinePunct w:val="0"/>
                    <w:autoSpaceDE/>
                    <w:autoSpaceDN/>
                    <w:bidi w:val="0"/>
                    <w:adjustRightInd/>
                    <w:snapToGrid/>
                    <w:ind w:right="105" w:rightChars="50"/>
                    <w:jc w:val="center"/>
                    <w:textAlignment w:val="baseline"/>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本项目使用国家重点推广的工艺与设备。本项目采用一体化压铸工艺。该工艺作为实现汽车轻量化的重要工艺，受到国家政策大力支持，与传统汽车制造业相比，整体结构一次成型，降低了过程中需要焊接的点位；从生产效率上来看，一次压铸成型仅需80-90s，传统制造采用冲压焊接成型，一个零部件需要至少2个小时完成。</w:t>
                  </w:r>
                </w:p>
              </w:tc>
              <w:tc>
                <w:tcPr>
                  <w:tcW w:w="394" w:type="pct"/>
                  <w:tcBorders>
                    <w:tl2br w:val="nil"/>
                    <w:tr2bl w:val="nil"/>
                  </w:tcBorders>
                  <w:vAlign w:val="center"/>
                </w:tcPr>
                <w:p w14:paraId="500D8492">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相符</w:t>
                  </w:r>
                </w:p>
              </w:tc>
            </w:tr>
            <w:tr w14:paraId="1C3E730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23" w:hRule="atLeast"/>
              </w:trPr>
              <w:tc>
                <w:tcPr>
                  <w:tcW w:w="208" w:type="pct"/>
                  <w:vMerge w:val="continue"/>
                  <w:tcBorders>
                    <w:tl2br w:val="nil"/>
                    <w:tr2bl w:val="nil"/>
                  </w:tcBorders>
                  <w:vAlign w:val="center"/>
                </w:tcPr>
                <w:p w14:paraId="72B77A08">
                  <w:pPr>
                    <w:keepNext w:val="0"/>
                    <w:keepLines w:val="0"/>
                    <w:pageBreakBefore w:val="0"/>
                    <w:widowControl w:val="0"/>
                    <w:kinsoku/>
                    <w:wordWrap/>
                    <w:overflowPunct/>
                    <w:topLinePunct w:val="0"/>
                    <w:autoSpaceDE/>
                    <w:autoSpaceDN/>
                    <w:bidi w:val="0"/>
                    <w:adjustRightInd/>
                    <w:snapToGrid/>
                    <w:ind w:right="105" w:rightChars="50"/>
                    <w:jc w:val="center"/>
                    <w:textAlignment w:val="baseline"/>
                    <w:rPr>
                      <w:rFonts w:hint="default" w:ascii="Times New Roman" w:hAnsi="Times New Roman" w:eastAsia="宋体" w:cs="Times New Roman"/>
                      <w:color w:val="auto"/>
                      <w:sz w:val="21"/>
                      <w:szCs w:val="21"/>
                      <w:highlight w:val="yellow"/>
                      <w:u w:val="none" w:color="auto"/>
                    </w:rPr>
                  </w:pPr>
                </w:p>
              </w:tc>
              <w:tc>
                <w:tcPr>
                  <w:tcW w:w="2032" w:type="pct"/>
                  <w:tcBorders>
                    <w:tl2br w:val="nil"/>
                    <w:tr2bl w:val="nil"/>
                  </w:tcBorders>
                  <w:vAlign w:val="center"/>
                </w:tcPr>
                <w:p w14:paraId="03D182F1">
                  <w:pPr>
                    <w:keepNext w:val="0"/>
                    <w:keepLines w:val="0"/>
                    <w:pageBreakBefore w:val="0"/>
                    <w:widowControl w:val="0"/>
                    <w:kinsoku/>
                    <w:wordWrap/>
                    <w:overflowPunct/>
                    <w:topLinePunct w:val="0"/>
                    <w:autoSpaceDE/>
                    <w:autoSpaceDN/>
                    <w:bidi w:val="0"/>
                    <w:adjustRightInd/>
                    <w:snapToGrid/>
                    <w:ind w:right="105" w:rightChars="50"/>
                    <w:jc w:val="center"/>
                    <w:textAlignment w:val="baseline"/>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6.2企业不应使用国家明令淘汰的生产工艺。不应采用</w:t>
                  </w:r>
                  <w:sdt>
                    <w:sdtPr>
                      <w:rPr>
                        <w:rFonts w:hint="default" w:ascii="Times New Roman" w:hAnsi="Times New Roman" w:eastAsia="宋体" w:cs="Times New Roman"/>
                        <w:color w:val="auto"/>
                        <w:sz w:val="21"/>
                        <w:szCs w:val="21"/>
                        <w:highlight w:val="none"/>
                        <w:u w:val="none" w:color="auto"/>
                      </w:rPr>
                      <w:alias w:val="易错词检查"/>
                      <w:id w:val="1140026"/>
                    </w:sdtPr>
                    <w:sdtEndPr>
                      <w:rPr>
                        <w:rFonts w:hint="default" w:ascii="Times New Roman" w:hAnsi="Times New Roman" w:eastAsia="宋体" w:cs="Times New Roman"/>
                        <w:color w:val="auto"/>
                        <w:sz w:val="21"/>
                        <w:szCs w:val="21"/>
                        <w:highlight w:val="none"/>
                        <w:u w:val="none" w:color="auto"/>
                      </w:rPr>
                    </w:sdtEndPr>
                    <w:sdtContent>
                      <w:bookmarkStart w:id="19" w:name="bkReivew1140026"/>
                      <w:r>
                        <w:rPr>
                          <w:rFonts w:hint="default" w:ascii="Times New Roman" w:hAnsi="Times New Roman" w:eastAsia="宋体" w:cs="Times New Roman"/>
                          <w:color w:val="auto"/>
                          <w:sz w:val="21"/>
                          <w:szCs w:val="21"/>
                          <w:highlight w:val="none"/>
                          <w:u w:val="none" w:color="auto"/>
                        </w:rPr>
                        <w:t>粘土砂</w:t>
                      </w:r>
                      <w:bookmarkEnd w:id="19"/>
                    </w:sdtContent>
                  </w:sdt>
                  <w:r>
                    <w:rPr>
                      <w:rFonts w:hint="default" w:ascii="Times New Roman" w:hAnsi="Times New Roman" w:eastAsia="宋体" w:cs="Times New Roman"/>
                      <w:color w:val="auto"/>
                      <w:sz w:val="21"/>
                      <w:szCs w:val="21"/>
                      <w:highlight w:val="none"/>
                      <w:u w:val="none" w:color="auto"/>
                    </w:rPr>
                    <w:t>干型/芯、油砂制芯、七O砂制型芯等落后铸造工艺；粘土砂工艺批量生产铸件不应采用手工造型；水玻璃熔模精密铸造模壳硬化不应采用氯化铵硬化工艺；铝合金精炼不应采用六氯乙烷等有毒有害的精炼剂。</w:t>
                  </w:r>
                </w:p>
              </w:tc>
              <w:tc>
                <w:tcPr>
                  <w:tcW w:w="2364" w:type="pct"/>
                  <w:tcBorders>
                    <w:tl2br w:val="nil"/>
                    <w:tr2bl w:val="nil"/>
                  </w:tcBorders>
                  <w:vAlign w:val="center"/>
                </w:tcPr>
                <w:p w14:paraId="1798F8BF">
                  <w:pPr>
                    <w:keepNext w:val="0"/>
                    <w:keepLines w:val="0"/>
                    <w:pageBreakBefore w:val="0"/>
                    <w:widowControl w:val="0"/>
                    <w:kinsoku/>
                    <w:wordWrap/>
                    <w:overflowPunct/>
                    <w:topLinePunct w:val="0"/>
                    <w:autoSpaceDE/>
                    <w:autoSpaceDN/>
                    <w:bidi w:val="0"/>
                    <w:adjustRightInd/>
                    <w:snapToGrid/>
                    <w:ind w:right="105" w:rightChars="50"/>
                    <w:jc w:val="center"/>
                    <w:textAlignment w:val="baseline"/>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项目</w:t>
                  </w:r>
                  <w:r>
                    <w:rPr>
                      <w:rFonts w:hint="default" w:ascii="Times New Roman" w:hAnsi="Times New Roman" w:eastAsia="宋体" w:cs="Times New Roman"/>
                      <w:color w:val="auto"/>
                      <w:sz w:val="21"/>
                      <w:szCs w:val="21"/>
                      <w:highlight w:val="none"/>
                      <w:u w:val="none" w:color="auto"/>
                      <w:lang w:val="en-US" w:eastAsia="zh-CN"/>
                    </w:rPr>
                    <w:t>不涉及</w:t>
                  </w:r>
                  <w:r>
                    <w:rPr>
                      <w:rFonts w:hint="default" w:ascii="Times New Roman" w:hAnsi="Times New Roman" w:eastAsia="宋体" w:cs="Times New Roman"/>
                      <w:color w:val="auto"/>
                      <w:sz w:val="21"/>
                      <w:szCs w:val="21"/>
                      <w:highlight w:val="none"/>
                      <w:u w:val="none" w:color="auto"/>
                    </w:rPr>
                    <w:t>制芯</w:t>
                  </w:r>
                  <w:r>
                    <w:rPr>
                      <w:rFonts w:hint="default" w:ascii="Times New Roman" w:hAnsi="Times New Roman" w:eastAsia="宋体" w:cs="Times New Roman"/>
                      <w:color w:val="auto"/>
                      <w:sz w:val="21"/>
                      <w:szCs w:val="21"/>
                      <w:highlight w:val="none"/>
                      <w:u w:val="none" w:color="auto"/>
                      <w:lang w:val="en-US" w:eastAsia="zh-CN"/>
                    </w:rPr>
                    <w:t>工艺，采用在钢制模具上喷涂脱模剂后直接进行压铸成型；本项目采用单质金属按配比进行合金制造，不涉及使用</w:t>
                  </w:r>
                  <w:r>
                    <w:rPr>
                      <w:rFonts w:hint="default" w:ascii="Times New Roman" w:hAnsi="Times New Roman" w:eastAsia="宋体" w:cs="Times New Roman"/>
                      <w:color w:val="auto"/>
                      <w:sz w:val="21"/>
                      <w:szCs w:val="21"/>
                      <w:highlight w:val="none"/>
                      <w:u w:val="none" w:color="auto"/>
                    </w:rPr>
                    <w:t>六氯乙烷等有毒有害的精炼剂</w:t>
                  </w:r>
                  <w:r>
                    <w:rPr>
                      <w:rFonts w:hint="default" w:ascii="Times New Roman" w:hAnsi="Times New Roman" w:eastAsia="宋体" w:cs="Times New Roman"/>
                      <w:color w:val="auto"/>
                      <w:sz w:val="21"/>
                      <w:szCs w:val="21"/>
                      <w:highlight w:val="none"/>
                      <w:u w:val="none" w:color="auto"/>
                      <w:lang w:val="en-US" w:eastAsia="zh-CN"/>
                    </w:rPr>
                    <w:t>。</w:t>
                  </w:r>
                </w:p>
              </w:tc>
              <w:tc>
                <w:tcPr>
                  <w:tcW w:w="394" w:type="pct"/>
                  <w:tcBorders>
                    <w:tl2br w:val="nil"/>
                    <w:tr2bl w:val="nil"/>
                  </w:tcBorders>
                  <w:vAlign w:val="center"/>
                </w:tcPr>
                <w:p w14:paraId="628B7CC5">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相符</w:t>
                  </w:r>
                </w:p>
              </w:tc>
            </w:tr>
            <w:tr w14:paraId="1B746CB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208" w:type="pct"/>
                  <w:vMerge w:val="continue"/>
                  <w:tcBorders>
                    <w:tl2br w:val="nil"/>
                    <w:tr2bl w:val="nil"/>
                  </w:tcBorders>
                  <w:vAlign w:val="center"/>
                </w:tcPr>
                <w:p w14:paraId="22D07944">
                  <w:pPr>
                    <w:keepNext w:val="0"/>
                    <w:keepLines w:val="0"/>
                    <w:pageBreakBefore w:val="0"/>
                    <w:widowControl w:val="0"/>
                    <w:kinsoku/>
                    <w:wordWrap/>
                    <w:overflowPunct/>
                    <w:topLinePunct w:val="0"/>
                    <w:autoSpaceDE/>
                    <w:autoSpaceDN/>
                    <w:bidi w:val="0"/>
                    <w:adjustRightInd/>
                    <w:snapToGrid/>
                    <w:ind w:right="105" w:rightChars="50"/>
                    <w:jc w:val="center"/>
                    <w:textAlignment w:val="baseline"/>
                    <w:rPr>
                      <w:rFonts w:hint="default" w:ascii="Times New Roman" w:hAnsi="Times New Roman" w:eastAsia="宋体" w:cs="Times New Roman"/>
                      <w:color w:val="auto"/>
                      <w:sz w:val="21"/>
                      <w:szCs w:val="21"/>
                      <w:highlight w:val="yellow"/>
                      <w:u w:val="none" w:color="auto"/>
                    </w:rPr>
                  </w:pPr>
                </w:p>
              </w:tc>
              <w:tc>
                <w:tcPr>
                  <w:tcW w:w="2032" w:type="pct"/>
                  <w:tcBorders>
                    <w:tl2br w:val="nil"/>
                    <w:tr2bl w:val="nil"/>
                  </w:tcBorders>
                  <w:vAlign w:val="center"/>
                </w:tcPr>
                <w:p w14:paraId="32C8DA61">
                  <w:pPr>
                    <w:keepNext w:val="0"/>
                    <w:keepLines w:val="0"/>
                    <w:pageBreakBefore w:val="0"/>
                    <w:widowControl w:val="0"/>
                    <w:kinsoku/>
                    <w:wordWrap/>
                    <w:overflowPunct/>
                    <w:topLinePunct w:val="0"/>
                    <w:autoSpaceDE/>
                    <w:autoSpaceDN/>
                    <w:bidi w:val="0"/>
                    <w:adjustRightInd/>
                    <w:snapToGrid/>
                    <w:ind w:right="105" w:rightChars="50"/>
                    <w:jc w:val="center"/>
                    <w:textAlignment w:val="baseline"/>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6.3新(改、扩)建</w:t>
                  </w:r>
                  <w:sdt>
                    <w:sdtPr>
                      <w:rPr>
                        <w:rFonts w:hint="default" w:ascii="Times New Roman" w:hAnsi="Times New Roman" w:eastAsia="宋体" w:cs="Times New Roman"/>
                        <w:color w:val="auto"/>
                        <w:sz w:val="21"/>
                        <w:szCs w:val="21"/>
                        <w:highlight w:val="none"/>
                        <w:u w:val="none" w:color="auto"/>
                      </w:rPr>
                      <w:alias w:val="易错词检查"/>
                      <w:id w:val="1001536"/>
                    </w:sdtPr>
                    <w:sdtEndPr>
                      <w:rPr>
                        <w:rFonts w:hint="default" w:ascii="Times New Roman" w:hAnsi="Times New Roman" w:eastAsia="宋体" w:cs="Times New Roman"/>
                        <w:color w:val="auto"/>
                        <w:sz w:val="21"/>
                        <w:szCs w:val="21"/>
                        <w:highlight w:val="none"/>
                        <w:u w:val="none" w:color="auto"/>
                      </w:rPr>
                    </w:sdtEndPr>
                    <w:sdtContent>
                      <w:bookmarkStart w:id="20" w:name="bkReivew1001536"/>
                      <w:r>
                        <w:rPr>
                          <w:rFonts w:hint="default" w:ascii="Times New Roman" w:hAnsi="Times New Roman" w:eastAsia="宋体" w:cs="Times New Roman"/>
                          <w:color w:val="auto"/>
                          <w:sz w:val="21"/>
                          <w:szCs w:val="21"/>
                          <w:highlight w:val="none"/>
                          <w:u w:val="none" w:color="auto"/>
                        </w:rPr>
                        <w:t>粘土</w:t>
                      </w:r>
                      <w:bookmarkEnd w:id="20"/>
                    </w:sdtContent>
                  </w:sdt>
                  <w:r>
                    <w:rPr>
                      <w:rFonts w:hint="default" w:ascii="Times New Roman" w:hAnsi="Times New Roman" w:eastAsia="宋体" w:cs="Times New Roman"/>
                      <w:color w:val="auto"/>
                      <w:sz w:val="21"/>
                      <w:szCs w:val="21"/>
                      <w:highlight w:val="none"/>
                      <w:u w:val="none" w:color="auto"/>
                    </w:rPr>
                    <w:t>砂型铸造项目应采用自动化造型；新（改、扩）建熔模精密铸造项目不应采用水玻璃熔模精密铸造工艺。</w:t>
                  </w:r>
                </w:p>
              </w:tc>
              <w:tc>
                <w:tcPr>
                  <w:tcW w:w="2364" w:type="pct"/>
                  <w:tcBorders>
                    <w:tl2br w:val="nil"/>
                    <w:tr2bl w:val="nil"/>
                  </w:tcBorders>
                  <w:vAlign w:val="center"/>
                </w:tcPr>
                <w:p w14:paraId="5E6E8950">
                  <w:pPr>
                    <w:keepNext w:val="0"/>
                    <w:keepLines w:val="0"/>
                    <w:pageBreakBefore w:val="0"/>
                    <w:widowControl w:val="0"/>
                    <w:kinsoku/>
                    <w:wordWrap/>
                    <w:overflowPunct/>
                    <w:topLinePunct w:val="0"/>
                    <w:autoSpaceDE/>
                    <w:autoSpaceDN/>
                    <w:bidi w:val="0"/>
                    <w:adjustRightInd/>
                    <w:snapToGrid/>
                    <w:ind w:right="105" w:rightChars="50"/>
                    <w:jc w:val="center"/>
                    <w:textAlignment w:val="baseline"/>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本项目</w:t>
                  </w:r>
                  <w:r>
                    <w:rPr>
                      <w:rFonts w:hint="default" w:ascii="Times New Roman" w:hAnsi="Times New Roman" w:eastAsia="宋体" w:cs="Times New Roman"/>
                      <w:color w:val="auto"/>
                      <w:sz w:val="21"/>
                      <w:szCs w:val="21"/>
                      <w:highlight w:val="none"/>
                      <w:u w:val="none" w:color="auto"/>
                      <w:lang w:val="en-US" w:eastAsia="zh-CN"/>
                    </w:rPr>
                    <w:t>采用在钢制模具上涂刷脱模剂后直接进行压铸成型，</w:t>
                  </w:r>
                  <w:r>
                    <w:rPr>
                      <w:rFonts w:hint="default" w:ascii="Times New Roman" w:hAnsi="Times New Roman" w:eastAsia="宋体" w:cs="Times New Roman"/>
                      <w:color w:val="auto"/>
                      <w:sz w:val="21"/>
                      <w:szCs w:val="21"/>
                      <w:highlight w:val="none"/>
                      <w:u w:val="none" w:color="auto"/>
                    </w:rPr>
                    <w:t>不涉及水玻璃熔模精密铸造工艺。</w:t>
                  </w:r>
                </w:p>
              </w:tc>
              <w:tc>
                <w:tcPr>
                  <w:tcW w:w="394" w:type="pct"/>
                  <w:tcBorders>
                    <w:tl2br w:val="nil"/>
                    <w:tr2bl w:val="nil"/>
                  </w:tcBorders>
                  <w:vAlign w:val="center"/>
                </w:tcPr>
                <w:p w14:paraId="5196A63E">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相符</w:t>
                  </w:r>
                </w:p>
              </w:tc>
            </w:tr>
            <w:tr w14:paraId="21BBC14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208" w:type="pct"/>
                  <w:vMerge w:val="restart"/>
                  <w:tcBorders>
                    <w:tl2br w:val="nil"/>
                    <w:tr2bl w:val="nil"/>
                  </w:tcBorders>
                  <w:vAlign w:val="center"/>
                </w:tcPr>
                <w:p w14:paraId="5C7C9528">
                  <w:pPr>
                    <w:keepNext w:val="0"/>
                    <w:keepLines w:val="0"/>
                    <w:pageBreakBefore w:val="0"/>
                    <w:widowControl w:val="0"/>
                    <w:kinsoku/>
                    <w:wordWrap/>
                    <w:overflowPunct/>
                    <w:topLinePunct w:val="0"/>
                    <w:autoSpaceDE/>
                    <w:autoSpaceDN/>
                    <w:bidi w:val="0"/>
                    <w:adjustRightInd/>
                    <w:snapToGrid/>
                    <w:ind w:right="105" w:rightChars="50"/>
                    <w:jc w:val="center"/>
                    <w:textAlignment w:val="baseline"/>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7生产装备</w:t>
                  </w:r>
                </w:p>
              </w:tc>
              <w:tc>
                <w:tcPr>
                  <w:tcW w:w="2032" w:type="pct"/>
                  <w:tcBorders>
                    <w:tl2br w:val="nil"/>
                    <w:tr2bl w:val="nil"/>
                  </w:tcBorders>
                  <w:vAlign w:val="center"/>
                </w:tcPr>
                <w:p w14:paraId="3272FB18">
                  <w:pPr>
                    <w:keepNext w:val="0"/>
                    <w:keepLines w:val="0"/>
                    <w:pageBreakBefore w:val="0"/>
                    <w:widowControl w:val="0"/>
                    <w:kinsoku/>
                    <w:wordWrap/>
                    <w:overflowPunct/>
                    <w:topLinePunct w:val="0"/>
                    <w:autoSpaceDE/>
                    <w:autoSpaceDN/>
                    <w:bidi w:val="0"/>
                    <w:adjustRightInd/>
                    <w:snapToGrid/>
                    <w:ind w:right="105" w:rightChars="50"/>
                    <w:jc w:val="center"/>
                    <w:textAlignment w:val="baseline"/>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7.1总则</w:t>
                  </w:r>
                </w:p>
                <w:p w14:paraId="0017A037">
                  <w:pPr>
                    <w:keepNext w:val="0"/>
                    <w:keepLines w:val="0"/>
                    <w:pageBreakBefore w:val="0"/>
                    <w:widowControl w:val="0"/>
                    <w:kinsoku/>
                    <w:wordWrap/>
                    <w:overflowPunct/>
                    <w:topLinePunct w:val="0"/>
                    <w:autoSpaceDE/>
                    <w:autoSpaceDN/>
                    <w:bidi w:val="0"/>
                    <w:adjustRightInd/>
                    <w:snapToGrid/>
                    <w:ind w:right="105" w:rightChars="50"/>
                    <w:jc w:val="center"/>
                    <w:textAlignment w:val="baseline"/>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7.1.1企业不应使用国家明令淘汰的生产装备，如：无芯工频感应电炉、0.25吨及以上无磁轭的铝壳中频感应电炉等。</w:t>
                  </w:r>
                </w:p>
                <w:p w14:paraId="2569FEF3">
                  <w:pPr>
                    <w:keepNext w:val="0"/>
                    <w:keepLines w:val="0"/>
                    <w:pageBreakBefore w:val="0"/>
                    <w:widowControl w:val="0"/>
                    <w:kinsoku/>
                    <w:wordWrap/>
                    <w:overflowPunct/>
                    <w:topLinePunct w:val="0"/>
                    <w:autoSpaceDE/>
                    <w:autoSpaceDN/>
                    <w:bidi w:val="0"/>
                    <w:adjustRightInd/>
                    <w:snapToGrid/>
                    <w:ind w:right="105" w:rightChars="50"/>
                    <w:jc w:val="center"/>
                    <w:textAlignment w:val="baseline"/>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7.1.2铸件生产企业采用冲天炉熔炼，其设备熔化率宜大于10吨/小时。</w:t>
                  </w:r>
                </w:p>
              </w:tc>
              <w:tc>
                <w:tcPr>
                  <w:tcW w:w="2364" w:type="pct"/>
                  <w:tcBorders>
                    <w:tl2br w:val="nil"/>
                    <w:tr2bl w:val="nil"/>
                  </w:tcBorders>
                  <w:vAlign w:val="center"/>
                </w:tcPr>
                <w:p w14:paraId="6E66871E">
                  <w:pPr>
                    <w:keepNext w:val="0"/>
                    <w:keepLines w:val="0"/>
                    <w:pageBreakBefore w:val="0"/>
                    <w:widowControl w:val="0"/>
                    <w:kinsoku/>
                    <w:wordWrap/>
                    <w:overflowPunct/>
                    <w:topLinePunct w:val="0"/>
                    <w:autoSpaceDE/>
                    <w:autoSpaceDN/>
                    <w:bidi w:val="0"/>
                    <w:adjustRightInd/>
                    <w:snapToGrid/>
                    <w:ind w:right="105" w:rightChars="50"/>
                    <w:jc w:val="center"/>
                    <w:textAlignment w:val="baseline"/>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本项目不使用国家明令淘汰的生产装备。不使用冲天炉熔炼。</w:t>
                  </w:r>
                </w:p>
              </w:tc>
              <w:tc>
                <w:tcPr>
                  <w:tcW w:w="394" w:type="pct"/>
                  <w:tcBorders>
                    <w:tl2br w:val="nil"/>
                    <w:tr2bl w:val="nil"/>
                  </w:tcBorders>
                  <w:vAlign w:val="center"/>
                </w:tcPr>
                <w:p w14:paraId="6E5A8561">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相符</w:t>
                  </w:r>
                </w:p>
              </w:tc>
            </w:tr>
            <w:tr w14:paraId="621011D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208" w:type="pct"/>
                  <w:vMerge w:val="continue"/>
                  <w:tcBorders>
                    <w:tl2br w:val="nil"/>
                    <w:tr2bl w:val="nil"/>
                  </w:tcBorders>
                  <w:vAlign w:val="center"/>
                </w:tcPr>
                <w:p w14:paraId="3AF21E40">
                  <w:pPr>
                    <w:keepNext w:val="0"/>
                    <w:keepLines w:val="0"/>
                    <w:pageBreakBefore w:val="0"/>
                    <w:widowControl w:val="0"/>
                    <w:kinsoku/>
                    <w:wordWrap/>
                    <w:overflowPunct/>
                    <w:topLinePunct w:val="0"/>
                    <w:autoSpaceDE/>
                    <w:autoSpaceDN/>
                    <w:bidi w:val="0"/>
                    <w:adjustRightInd/>
                    <w:snapToGrid/>
                    <w:ind w:right="105" w:rightChars="50"/>
                    <w:jc w:val="center"/>
                    <w:textAlignment w:val="baseline"/>
                    <w:rPr>
                      <w:rFonts w:hint="default" w:ascii="Times New Roman" w:hAnsi="Times New Roman" w:eastAsia="宋体" w:cs="Times New Roman"/>
                      <w:color w:val="auto"/>
                      <w:sz w:val="21"/>
                      <w:szCs w:val="21"/>
                      <w:highlight w:val="yellow"/>
                      <w:u w:val="none" w:color="auto"/>
                    </w:rPr>
                  </w:pPr>
                </w:p>
              </w:tc>
              <w:tc>
                <w:tcPr>
                  <w:tcW w:w="2032" w:type="pct"/>
                  <w:tcBorders>
                    <w:tl2br w:val="nil"/>
                    <w:tr2bl w:val="nil"/>
                  </w:tcBorders>
                  <w:vAlign w:val="center"/>
                </w:tcPr>
                <w:p w14:paraId="757F6134">
                  <w:pPr>
                    <w:keepNext w:val="0"/>
                    <w:keepLines w:val="0"/>
                    <w:pageBreakBefore w:val="0"/>
                    <w:widowControl w:val="0"/>
                    <w:kinsoku/>
                    <w:wordWrap/>
                    <w:overflowPunct/>
                    <w:topLinePunct w:val="0"/>
                    <w:autoSpaceDE/>
                    <w:autoSpaceDN/>
                    <w:bidi w:val="0"/>
                    <w:adjustRightInd/>
                    <w:snapToGrid/>
                    <w:ind w:right="105" w:rightChars="50"/>
                    <w:jc w:val="center"/>
                    <w:textAlignment w:val="baseline"/>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7.2熔炼(化)及炉前检测设备</w:t>
                  </w:r>
                </w:p>
                <w:p w14:paraId="5CC173EF">
                  <w:pPr>
                    <w:keepNext w:val="0"/>
                    <w:keepLines w:val="0"/>
                    <w:pageBreakBefore w:val="0"/>
                    <w:widowControl w:val="0"/>
                    <w:kinsoku/>
                    <w:wordWrap/>
                    <w:overflowPunct/>
                    <w:topLinePunct w:val="0"/>
                    <w:autoSpaceDE/>
                    <w:autoSpaceDN/>
                    <w:bidi w:val="0"/>
                    <w:adjustRightInd/>
                    <w:snapToGrid/>
                    <w:ind w:right="105" w:rightChars="50"/>
                    <w:jc w:val="center"/>
                    <w:textAlignment w:val="baseline"/>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7.2.1企业应配备与生产能力相匹配的熔炼（化）设备，如冲天炉、中频感应电炉、电弧炉、精炼炉（AOD、VOD、LF等）、电阻炉、燃气炉、保温炉等。</w:t>
                  </w:r>
                </w:p>
                <w:p w14:paraId="32C0ED92">
                  <w:pPr>
                    <w:keepNext w:val="0"/>
                    <w:keepLines w:val="0"/>
                    <w:pageBreakBefore w:val="0"/>
                    <w:widowControl w:val="0"/>
                    <w:kinsoku/>
                    <w:wordWrap/>
                    <w:overflowPunct/>
                    <w:topLinePunct w:val="0"/>
                    <w:autoSpaceDE/>
                    <w:autoSpaceDN/>
                    <w:bidi w:val="0"/>
                    <w:adjustRightInd/>
                    <w:snapToGrid/>
                    <w:ind w:right="105" w:rightChars="50"/>
                    <w:jc w:val="center"/>
                    <w:textAlignment w:val="baseline"/>
                    <w:rPr>
                      <w:rFonts w:hint="default" w:ascii="Times New Roman" w:hAnsi="Times New Roman" w:eastAsia="宋体" w:cs="Times New Roman"/>
                      <w:color w:val="auto"/>
                      <w:sz w:val="21"/>
                      <w:szCs w:val="21"/>
                      <w:highlight w:val="none"/>
                      <w:u w:val="none" w:color="auto"/>
                    </w:rPr>
                  </w:pPr>
                  <w:bookmarkStart w:id="21" w:name="sys503042"/>
                  <w:r>
                    <w:rPr>
                      <w:rFonts w:hint="default" w:ascii="Times New Roman" w:hAnsi="Times New Roman" w:eastAsia="宋体" w:cs="Times New Roman"/>
                      <w:color w:val="auto"/>
                      <w:sz w:val="21"/>
                      <w:szCs w:val="21"/>
                      <w:highlight w:val="none"/>
                      <w:u w:val="none" w:color="auto"/>
                    </w:rPr>
                    <w:t>7.2.2企业熔炼（化）设备炉前应配置必要的化学成分分析、金属液温度测量等检测仪器。</w:t>
                  </w:r>
                  <w:bookmarkEnd w:id="21"/>
                </w:p>
              </w:tc>
              <w:tc>
                <w:tcPr>
                  <w:tcW w:w="2364" w:type="pct"/>
                  <w:tcBorders>
                    <w:tl2br w:val="nil"/>
                    <w:tr2bl w:val="nil"/>
                  </w:tcBorders>
                  <w:vAlign w:val="center"/>
                </w:tcPr>
                <w:p w14:paraId="2E66C040">
                  <w:pPr>
                    <w:keepNext w:val="0"/>
                    <w:keepLines w:val="0"/>
                    <w:pageBreakBefore w:val="0"/>
                    <w:widowControl w:val="0"/>
                    <w:kinsoku/>
                    <w:wordWrap/>
                    <w:overflowPunct/>
                    <w:topLinePunct w:val="0"/>
                    <w:autoSpaceDE/>
                    <w:autoSpaceDN/>
                    <w:bidi w:val="0"/>
                    <w:adjustRightInd/>
                    <w:snapToGrid/>
                    <w:ind w:right="105" w:rightChars="50"/>
                    <w:jc w:val="center"/>
                    <w:textAlignment w:val="baseline"/>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根据本报告表中设备产能匹配性分析可知，建设单位已配备与生产能力相匹配的设备。</w:t>
                  </w:r>
                </w:p>
                <w:p w14:paraId="36EA124B">
                  <w:pPr>
                    <w:keepNext w:val="0"/>
                    <w:keepLines w:val="0"/>
                    <w:pageBreakBefore w:val="0"/>
                    <w:widowControl w:val="0"/>
                    <w:kinsoku/>
                    <w:wordWrap/>
                    <w:overflowPunct/>
                    <w:topLinePunct w:val="0"/>
                    <w:autoSpaceDE/>
                    <w:autoSpaceDN/>
                    <w:bidi w:val="0"/>
                    <w:adjustRightInd/>
                    <w:snapToGrid/>
                    <w:ind w:right="105" w:rightChars="50"/>
                    <w:jc w:val="center"/>
                    <w:textAlignment w:val="baseline"/>
                    <w:rPr>
                      <w:rFonts w:hint="default" w:ascii="Times New Roman" w:hAnsi="Times New Roman" w:eastAsia="宋体" w:cs="Times New Roman"/>
                      <w:color w:val="auto"/>
                      <w:sz w:val="21"/>
                      <w:szCs w:val="21"/>
                      <w:highlight w:val="none"/>
                      <w:u w:val="none" w:color="auto"/>
                    </w:rPr>
                  </w:pPr>
                  <w:bookmarkStart w:id="22" w:name="sys505031"/>
                  <w:r>
                    <w:rPr>
                      <w:rFonts w:hint="default" w:ascii="Times New Roman" w:hAnsi="Times New Roman" w:eastAsia="宋体" w:cs="Times New Roman"/>
                      <w:color w:val="auto"/>
                      <w:sz w:val="21"/>
                      <w:szCs w:val="21"/>
                      <w:highlight w:val="none"/>
                      <w:u w:val="none" w:color="auto"/>
                    </w:rPr>
                    <w:t>项目熔炼设备炉前配置了化学成分分析、金属液温度测量等检测仪器。</w:t>
                  </w:r>
                  <w:bookmarkEnd w:id="22"/>
                </w:p>
              </w:tc>
              <w:tc>
                <w:tcPr>
                  <w:tcW w:w="394" w:type="pct"/>
                  <w:tcBorders>
                    <w:tl2br w:val="nil"/>
                    <w:tr2bl w:val="nil"/>
                  </w:tcBorders>
                  <w:vAlign w:val="center"/>
                </w:tcPr>
                <w:p w14:paraId="4CCCA62E">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相符</w:t>
                  </w:r>
                </w:p>
              </w:tc>
            </w:tr>
            <w:tr w14:paraId="58A1ADE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208" w:type="pct"/>
                  <w:vMerge w:val="continue"/>
                  <w:tcBorders>
                    <w:tl2br w:val="nil"/>
                    <w:tr2bl w:val="nil"/>
                  </w:tcBorders>
                  <w:vAlign w:val="center"/>
                </w:tcPr>
                <w:p w14:paraId="1D8A65B7">
                  <w:pPr>
                    <w:keepNext w:val="0"/>
                    <w:keepLines w:val="0"/>
                    <w:pageBreakBefore w:val="0"/>
                    <w:widowControl w:val="0"/>
                    <w:kinsoku/>
                    <w:wordWrap/>
                    <w:overflowPunct/>
                    <w:topLinePunct w:val="0"/>
                    <w:autoSpaceDE/>
                    <w:autoSpaceDN/>
                    <w:bidi w:val="0"/>
                    <w:adjustRightInd/>
                    <w:snapToGrid/>
                    <w:ind w:right="105" w:rightChars="50"/>
                    <w:jc w:val="center"/>
                    <w:textAlignment w:val="baseline"/>
                    <w:rPr>
                      <w:rFonts w:hint="default" w:ascii="Times New Roman" w:hAnsi="Times New Roman" w:eastAsia="宋体" w:cs="Times New Roman"/>
                      <w:color w:val="auto"/>
                      <w:sz w:val="21"/>
                      <w:szCs w:val="21"/>
                      <w:highlight w:val="none"/>
                      <w:u w:val="none" w:color="auto"/>
                    </w:rPr>
                  </w:pPr>
                </w:p>
              </w:tc>
              <w:tc>
                <w:tcPr>
                  <w:tcW w:w="2032" w:type="pct"/>
                  <w:tcBorders>
                    <w:tl2br w:val="nil"/>
                    <w:tr2bl w:val="nil"/>
                  </w:tcBorders>
                  <w:vAlign w:val="center"/>
                </w:tcPr>
                <w:p w14:paraId="616CDED1">
                  <w:pPr>
                    <w:keepNext w:val="0"/>
                    <w:keepLines w:val="0"/>
                    <w:pageBreakBefore w:val="0"/>
                    <w:widowControl w:val="0"/>
                    <w:kinsoku/>
                    <w:wordWrap/>
                    <w:overflowPunct/>
                    <w:topLinePunct w:val="0"/>
                    <w:autoSpaceDE/>
                    <w:autoSpaceDN/>
                    <w:bidi w:val="0"/>
                    <w:adjustRightInd/>
                    <w:snapToGrid/>
                    <w:ind w:right="105" w:rightChars="50"/>
                    <w:jc w:val="center"/>
                    <w:textAlignment w:val="baseline"/>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7.3成型设备企业应配备与产品及生产能力相匹配的造型、制芯及</w:t>
                  </w:r>
                  <w:sdt>
                    <w:sdtPr>
                      <w:rPr>
                        <w:rFonts w:hint="default" w:ascii="Times New Roman" w:hAnsi="Times New Roman" w:eastAsia="宋体" w:cs="Times New Roman"/>
                        <w:color w:val="auto"/>
                        <w:sz w:val="21"/>
                        <w:szCs w:val="21"/>
                        <w:highlight w:val="none"/>
                        <w:u w:val="none" w:color="auto"/>
                      </w:rPr>
                      <w:alias w:val="易错词检查"/>
                      <w:id w:val="2073135"/>
                    </w:sdtPr>
                    <w:sdtEndPr>
                      <w:rPr>
                        <w:rFonts w:hint="default" w:ascii="Times New Roman" w:hAnsi="Times New Roman" w:eastAsia="宋体" w:cs="Times New Roman"/>
                        <w:color w:val="auto"/>
                        <w:sz w:val="21"/>
                        <w:szCs w:val="21"/>
                        <w:highlight w:val="none"/>
                        <w:u w:val="none" w:color="auto"/>
                      </w:rPr>
                    </w:sdtEndPr>
                    <w:sdtContent>
                      <w:bookmarkStart w:id="23" w:name="bkReivew2073135"/>
                      <w:r>
                        <w:rPr>
                          <w:rFonts w:hint="default" w:ascii="Times New Roman" w:hAnsi="Times New Roman" w:eastAsia="宋体" w:cs="Times New Roman"/>
                          <w:color w:val="auto"/>
                          <w:sz w:val="21"/>
                          <w:szCs w:val="21"/>
                          <w:highlight w:val="none"/>
                          <w:u w:val="none" w:color="auto"/>
                        </w:rPr>
                        <w:t>其它</w:t>
                      </w:r>
                      <w:bookmarkEnd w:id="23"/>
                    </w:sdtContent>
                  </w:sdt>
                  <w:r>
                    <w:rPr>
                      <w:rFonts w:hint="default" w:ascii="Times New Roman" w:hAnsi="Times New Roman" w:eastAsia="宋体" w:cs="Times New Roman"/>
                      <w:color w:val="auto"/>
                      <w:sz w:val="21"/>
                      <w:szCs w:val="21"/>
                      <w:highlight w:val="none"/>
                      <w:u w:val="none" w:color="auto"/>
                    </w:rPr>
                    <w:t>成型设备（线），如粘土砂造型机（线）、树脂砂混砂机、壳型（芯）机、铁模覆砂生产线、水玻璃砂生产线、消失模W法/实型铸造设备、离心铸造设备、压铸设备、低压铸造设备、重力铸造设备、挤压铸造设备、差铸造设备、熔模铸造设备（线）、制芯设备、快速成型设备等。</w:t>
                  </w:r>
                </w:p>
              </w:tc>
              <w:tc>
                <w:tcPr>
                  <w:tcW w:w="2364" w:type="pct"/>
                  <w:tcBorders>
                    <w:tl2br w:val="nil"/>
                    <w:tr2bl w:val="nil"/>
                  </w:tcBorders>
                  <w:vAlign w:val="center"/>
                </w:tcPr>
                <w:p w14:paraId="28ACE0C1">
                  <w:pPr>
                    <w:keepNext w:val="0"/>
                    <w:keepLines w:val="0"/>
                    <w:pageBreakBefore w:val="0"/>
                    <w:widowControl w:val="0"/>
                    <w:kinsoku/>
                    <w:wordWrap/>
                    <w:overflowPunct/>
                    <w:topLinePunct w:val="0"/>
                    <w:autoSpaceDE/>
                    <w:autoSpaceDN/>
                    <w:bidi w:val="0"/>
                    <w:adjustRightInd/>
                    <w:snapToGrid/>
                    <w:ind w:right="105" w:rightChars="50"/>
                    <w:jc w:val="center"/>
                    <w:textAlignment w:val="baseline"/>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本项目已配备与产品及生产能力相匹配的造型、压铸设备。</w:t>
                  </w:r>
                </w:p>
              </w:tc>
              <w:tc>
                <w:tcPr>
                  <w:tcW w:w="394" w:type="pct"/>
                  <w:tcBorders>
                    <w:tl2br w:val="nil"/>
                    <w:tr2bl w:val="nil"/>
                  </w:tcBorders>
                  <w:vAlign w:val="center"/>
                </w:tcPr>
                <w:p w14:paraId="0B370403">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相符</w:t>
                  </w:r>
                </w:p>
              </w:tc>
            </w:tr>
            <w:tr w14:paraId="6F17F71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208" w:type="pct"/>
                  <w:vMerge w:val="continue"/>
                  <w:tcBorders>
                    <w:tl2br w:val="nil"/>
                    <w:tr2bl w:val="nil"/>
                  </w:tcBorders>
                  <w:vAlign w:val="center"/>
                </w:tcPr>
                <w:p w14:paraId="4D991CFB">
                  <w:pPr>
                    <w:keepNext w:val="0"/>
                    <w:keepLines w:val="0"/>
                    <w:pageBreakBefore w:val="0"/>
                    <w:widowControl w:val="0"/>
                    <w:kinsoku/>
                    <w:wordWrap/>
                    <w:overflowPunct/>
                    <w:topLinePunct w:val="0"/>
                    <w:autoSpaceDE/>
                    <w:autoSpaceDN/>
                    <w:bidi w:val="0"/>
                    <w:adjustRightInd/>
                    <w:snapToGrid/>
                    <w:ind w:right="105" w:rightChars="50"/>
                    <w:jc w:val="center"/>
                    <w:textAlignment w:val="baseline"/>
                    <w:rPr>
                      <w:rFonts w:hint="default" w:ascii="Times New Roman" w:hAnsi="Times New Roman" w:eastAsia="宋体" w:cs="Times New Roman"/>
                      <w:color w:val="auto"/>
                      <w:sz w:val="21"/>
                      <w:szCs w:val="21"/>
                      <w:highlight w:val="none"/>
                      <w:u w:val="none" w:color="auto"/>
                    </w:rPr>
                  </w:pPr>
                </w:p>
              </w:tc>
              <w:tc>
                <w:tcPr>
                  <w:tcW w:w="2032" w:type="pct"/>
                  <w:tcBorders>
                    <w:tl2br w:val="nil"/>
                    <w:tr2bl w:val="nil"/>
                  </w:tcBorders>
                  <w:vAlign w:val="center"/>
                </w:tcPr>
                <w:p w14:paraId="05F9AD84">
                  <w:pPr>
                    <w:keepNext w:val="0"/>
                    <w:keepLines w:val="0"/>
                    <w:pageBreakBefore w:val="0"/>
                    <w:widowControl w:val="0"/>
                    <w:kinsoku/>
                    <w:wordWrap/>
                    <w:overflowPunct/>
                    <w:topLinePunct w:val="0"/>
                    <w:autoSpaceDE/>
                    <w:autoSpaceDN/>
                    <w:bidi w:val="0"/>
                    <w:adjustRightInd/>
                    <w:snapToGrid/>
                    <w:ind w:right="105" w:rightChars="50"/>
                    <w:jc w:val="center"/>
                    <w:textAlignment w:val="baseline"/>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7.4砂处理及砂再生设备：采用</w:t>
                  </w:r>
                  <w:sdt>
                    <w:sdtPr>
                      <w:rPr>
                        <w:rFonts w:hint="default" w:ascii="Times New Roman" w:hAnsi="Times New Roman" w:eastAsia="宋体" w:cs="Times New Roman"/>
                        <w:color w:val="auto"/>
                        <w:sz w:val="21"/>
                        <w:szCs w:val="21"/>
                        <w:highlight w:val="none"/>
                        <w:u w:val="none" w:color="auto"/>
                      </w:rPr>
                      <w:alias w:val="易错词检查"/>
                      <w:id w:val="83853"/>
                    </w:sdtPr>
                    <w:sdtEndPr>
                      <w:rPr>
                        <w:rFonts w:hint="default" w:ascii="Times New Roman" w:hAnsi="Times New Roman" w:eastAsia="宋体" w:cs="Times New Roman"/>
                        <w:color w:val="auto"/>
                        <w:sz w:val="21"/>
                        <w:szCs w:val="21"/>
                        <w:highlight w:val="none"/>
                        <w:u w:val="none" w:color="auto"/>
                      </w:rPr>
                    </w:sdtEndPr>
                    <w:sdtContent>
                      <w:bookmarkStart w:id="24" w:name="bkReivew83853"/>
                      <w:r>
                        <w:rPr>
                          <w:rFonts w:hint="default" w:ascii="Times New Roman" w:hAnsi="Times New Roman" w:eastAsia="宋体" w:cs="Times New Roman"/>
                          <w:color w:val="auto"/>
                          <w:sz w:val="21"/>
                          <w:szCs w:val="21"/>
                          <w:highlight w:val="none"/>
                          <w:u w:val="none" w:color="auto"/>
                        </w:rPr>
                        <w:t>粘土砂</w:t>
                      </w:r>
                      <w:bookmarkEnd w:id="24"/>
                    </w:sdtContent>
                  </w:sdt>
                  <w:r>
                    <w:rPr>
                      <w:rFonts w:hint="default" w:ascii="Times New Roman" w:hAnsi="Times New Roman" w:eastAsia="宋体" w:cs="Times New Roman"/>
                      <w:color w:val="auto"/>
                      <w:sz w:val="21"/>
                      <w:szCs w:val="21"/>
                      <w:highlight w:val="none"/>
                      <w:u w:val="none" w:color="auto"/>
                    </w:rPr>
                    <w:t>、树脂硬砂、醋硬化水玻璃砂铸造</w:t>
                  </w:r>
                  <w:r>
                    <w:rPr>
                      <w:rFonts w:hint="eastAsia" w:cs="Times New Roman"/>
                      <w:color w:val="auto"/>
                      <w:sz w:val="21"/>
                      <w:szCs w:val="21"/>
                      <w:highlight w:val="none"/>
                      <w:u w:val="none" w:color="auto"/>
                      <w:lang w:eastAsia="zh-CN"/>
                    </w:rPr>
                    <w:t>工艺</w:t>
                  </w:r>
                  <w:r>
                    <w:rPr>
                      <w:rFonts w:hint="default" w:ascii="Times New Roman" w:hAnsi="Times New Roman" w:eastAsia="宋体" w:cs="Times New Roman"/>
                      <w:color w:val="auto"/>
                      <w:sz w:val="21"/>
                      <w:szCs w:val="21"/>
                      <w:highlight w:val="none"/>
                      <w:u w:val="none" w:color="auto"/>
                    </w:rPr>
                    <w:t>的企业应配备完善的砂处理及砂再生设备，各种旧砂的回用率应达到以下求理：黏土砂（处理）≥95%；呋喃树脂自硬砂（再生）≥90%。</w:t>
                  </w:r>
                </w:p>
              </w:tc>
              <w:tc>
                <w:tcPr>
                  <w:tcW w:w="2364" w:type="pct"/>
                  <w:tcBorders>
                    <w:tl2br w:val="nil"/>
                    <w:tr2bl w:val="nil"/>
                  </w:tcBorders>
                  <w:vAlign w:val="center"/>
                </w:tcPr>
                <w:p w14:paraId="56825CBF">
                  <w:pPr>
                    <w:keepNext w:val="0"/>
                    <w:keepLines w:val="0"/>
                    <w:pageBreakBefore w:val="0"/>
                    <w:widowControl w:val="0"/>
                    <w:kinsoku/>
                    <w:wordWrap/>
                    <w:overflowPunct/>
                    <w:topLinePunct w:val="0"/>
                    <w:autoSpaceDE/>
                    <w:autoSpaceDN/>
                    <w:bidi w:val="0"/>
                    <w:adjustRightInd/>
                    <w:snapToGrid/>
                    <w:ind w:right="105" w:rightChars="50"/>
                    <w:jc w:val="center"/>
                    <w:textAlignment w:val="baseline"/>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本项目不涉及砂处理及砂再生设备。</w:t>
                  </w:r>
                </w:p>
              </w:tc>
              <w:tc>
                <w:tcPr>
                  <w:tcW w:w="394" w:type="pct"/>
                  <w:tcBorders>
                    <w:tl2br w:val="nil"/>
                    <w:tr2bl w:val="nil"/>
                  </w:tcBorders>
                  <w:vAlign w:val="center"/>
                </w:tcPr>
                <w:p w14:paraId="622CE347">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相符</w:t>
                  </w:r>
                </w:p>
              </w:tc>
            </w:tr>
            <w:tr w14:paraId="0EC7571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208" w:type="pct"/>
                  <w:vMerge w:val="restart"/>
                  <w:tcBorders>
                    <w:tl2br w:val="nil"/>
                    <w:tr2bl w:val="nil"/>
                  </w:tcBorders>
                  <w:vAlign w:val="center"/>
                </w:tcPr>
                <w:p w14:paraId="056F9842">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8质量控制</w:t>
                  </w:r>
                </w:p>
              </w:tc>
              <w:tc>
                <w:tcPr>
                  <w:tcW w:w="2032" w:type="pct"/>
                  <w:tcBorders>
                    <w:tl2br w:val="nil"/>
                    <w:tr2bl w:val="nil"/>
                  </w:tcBorders>
                  <w:vAlign w:val="center"/>
                </w:tcPr>
                <w:p w14:paraId="2530E08A">
                  <w:pPr>
                    <w:keepNext w:val="0"/>
                    <w:keepLines w:val="0"/>
                    <w:pageBreakBefore w:val="0"/>
                    <w:widowControl w:val="0"/>
                    <w:kinsoku/>
                    <w:wordWrap/>
                    <w:overflowPunct/>
                    <w:topLinePunct w:val="0"/>
                    <w:autoSpaceDE/>
                    <w:autoSpaceDN/>
                    <w:bidi w:val="0"/>
                    <w:adjustRightInd/>
                    <w:snapToGrid/>
                    <w:ind w:right="105" w:rightChars="50"/>
                    <w:jc w:val="center"/>
                    <w:textAlignment w:val="baseline"/>
                    <w:rPr>
                      <w:rFonts w:hint="default" w:ascii="Times New Roman" w:hAnsi="Times New Roman" w:eastAsia="宋体" w:cs="Times New Roman"/>
                      <w:color w:val="auto"/>
                      <w:sz w:val="21"/>
                      <w:szCs w:val="21"/>
                      <w:highlight w:val="none"/>
                      <w:u w:val="none" w:color="auto"/>
                    </w:rPr>
                  </w:pPr>
                  <w:bookmarkStart w:id="25" w:name="sys516067"/>
                  <w:r>
                    <w:rPr>
                      <w:rFonts w:hint="default" w:ascii="Times New Roman" w:hAnsi="Times New Roman" w:eastAsia="宋体" w:cs="Times New Roman"/>
                      <w:color w:val="auto"/>
                      <w:sz w:val="21"/>
                      <w:szCs w:val="21"/>
                      <w:highlight w:val="none"/>
                      <w:u w:val="none" w:color="auto"/>
                    </w:rPr>
                    <w:t>8.1企业应按照GB901(或IATF16949、GJB9001C、RBT048等)标准要求建立质量管理体系，通过认证并持续有效运行。</w:t>
                  </w:r>
                  <w:bookmarkEnd w:id="25"/>
                </w:p>
              </w:tc>
              <w:tc>
                <w:tcPr>
                  <w:tcW w:w="2364" w:type="pct"/>
                  <w:tcBorders>
                    <w:tl2br w:val="nil"/>
                    <w:tr2bl w:val="nil"/>
                  </w:tcBorders>
                  <w:vAlign w:val="center"/>
                </w:tcPr>
                <w:p w14:paraId="5F22C953">
                  <w:pPr>
                    <w:keepNext w:val="0"/>
                    <w:keepLines w:val="0"/>
                    <w:pageBreakBefore w:val="0"/>
                    <w:widowControl w:val="0"/>
                    <w:kinsoku/>
                    <w:wordWrap/>
                    <w:overflowPunct/>
                    <w:topLinePunct w:val="0"/>
                    <w:autoSpaceDE/>
                    <w:autoSpaceDN/>
                    <w:bidi w:val="0"/>
                    <w:adjustRightInd/>
                    <w:snapToGrid/>
                    <w:ind w:right="105" w:rightChars="50"/>
                    <w:jc w:val="center"/>
                    <w:textAlignment w:val="baseline"/>
                    <w:rPr>
                      <w:rFonts w:hint="default" w:ascii="Times New Roman" w:hAnsi="Times New Roman" w:eastAsia="宋体" w:cs="Times New Roman"/>
                      <w:color w:val="auto"/>
                      <w:sz w:val="21"/>
                      <w:szCs w:val="21"/>
                      <w:highlight w:val="none"/>
                      <w:u w:val="none" w:color="auto"/>
                    </w:rPr>
                  </w:pPr>
                  <w:bookmarkStart w:id="26" w:name="sys517073"/>
                  <w:r>
                    <w:rPr>
                      <w:rFonts w:hint="default" w:ascii="Times New Roman" w:hAnsi="Times New Roman" w:eastAsia="宋体" w:cs="Times New Roman"/>
                      <w:color w:val="auto"/>
                      <w:sz w:val="21"/>
                      <w:szCs w:val="21"/>
                      <w:highlight w:val="none"/>
                      <w:u w:val="none" w:color="auto"/>
                    </w:rPr>
                    <w:t>本项目建成后，建设单位应按照GB901(或IATF16949、GJB9001C、RBT048等)标准要求建立质量管理体系，通过认证并持续有效运行。</w:t>
                  </w:r>
                  <w:bookmarkEnd w:id="26"/>
                </w:p>
              </w:tc>
              <w:tc>
                <w:tcPr>
                  <w:tcW w:w="394" w:type="pct"/>
                  <w:tcBorders>
                    <w:tl2br w:val="nil"/>
                    <w:tr2bl w:val="nil"/>
                  </w:tcBorders>
                  <w:vAlign w:val="center"/>
                </w:tcPr>
                <w:p w14:paraId="54926206">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相符</w:t>
                  </w:r>
                </w:p>
              </w:tc>
            </w:tr>
            <w:tr w14:paraId="5ED7C64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208" w:type="pct"/>
                  <w:vMerge w:val="continue"/>
                  <w:tcBorders>
                    <w:tl2br w:val="nil"/>
                    <w:tr2bl w:val="nil"/>
                  </w:tcBorders>
                  <w:vAlign w:val="center"/>
                </w:tcPr>
                <w:p w14:paraId="10652889">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color w:val="auto"/>
                      <w:sz w:val="21"/>
                      <w:szCs w:val="21"/>
                      <w:highlight w:val="none"/>
                      <w:u w:val="none" w:color="auto"/>
                    </w:rPr>
                  </w:pPr>
                </w:p>
              </w:tc>
              <w:tc>
                <w:tcPr>
                  <w:tcW w:w="2032" w:type="pct"/>
                  <w:tcBorders>
                    <w:tl2br w:val="nil"/>
                    <w:tr2bl w:val="nil"/>
                  </w:tcBorders>
                  <w:vAlign w:val="center"/>
                </w:tcPr>
                <w:p w14:paraId="13D0CA11">
                  <w:pPr>
                    <w:keepNext w:val="0"/>
                    <w:keepLines w:val="0"/>
                    <w:pageBreakBefore w:val="0"/>
                    <w:widowControl w:val="0"/>
                    <w:kinsoku/>
                    <w:wordWrap/>
                    <w:overflowPunct/>
                    <w:topLinePunct w:val="0"/>
                    <w:autoSpaceDE/>
                    <w:autoSpaceDN/>
                    <w:bidi w:val="0"/>
                    <w:adjustRightInd/>
                    <w:snapToGrid/>
                    <w:ind w:right="105" w:rightChars="50"/>
                    <w:jc w:val="center"/>
                    <w:textAlignment w:val="baseline"/>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8.2企业应设置质量管理部门，并配备专职质量检测人员。</w:t>
                  </w:r>
                  <w:bookmarkStart w:id="27" w:name="sys5202743"/>
                  <w:r>
                    <w:rPr>
                      <w:rFonts w:hint="default" w:ascii="Times New Roman" w:hAnsi="Times New Roman" w:eastAsia="宋体" w:cs="Times New Roman"/>
                      <w:color w:val="auto"/>
                      <w:sz w:val="21"/>
                      <w:szCs w:val="21"/>
                      <w:highlight w:val="none"/>
                      <w:u w:val="none" w:color="auto"/>
                    </w:rPr>
                    <w:t>应配置与原辅材料、生产过程以及铸件质量相关的理化、计量、无损、型砂检测等检验检测设备。</w:t>
                  </w:r>
                  <w:bookmarkEnd w:id="27"/>
                </w:p>
              </w:tc>
              <w:tc>
                <w:tcPr>
                  <w:tcW w:w="2364" w:type="pct"/>
                  <w:tcBorders>
                    <w:tl2br w:val="nil"/>
                    <w:tr2bl w:val="nil"/>
                  </w:tcBorders>
                  <w:vAlign w:val="center"/>
                </w:tcPr>
                <w:p w14:paraId="4BE4ADCA">
                  <w:pPr>
                    <w:keepNext w:val="0"/>
                    <w:keepLines w:val="0"/>
                    <w:pageBreakBefore w:val="0"/>
                    <w:widowControl w:val="0"/>
                    <w:kinsoku/>
                    <w:wordWrap/>
                    <w:overflowPunct/>
                    <w:topLinePunct w:val="0"/>
                    <w:autoSpaceDE/>
                    <w:autoSpaceDN/>
                    <w:bidi w:val="0"/>
                    <w:adjustRightInd/>
                    <w:snapToGrid/>
                    <w:ind w:right="105" w:rightChars="50"/>
                    <w:jc w:val="center"/>
                    <w:textAlignment w:val="baseline"/>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项目建成后，建设单位设置质量管理部门，并配备专职质量检测人员。</w:t>
                  </w:r>
                  <w:bookmarkStart w:id="28" w:name="sys5213142"/>
                  <w:r>
                    <w:rPr>
                      <w:rFonts w:hint="default" w:ascii="Times New Roman" w:hAnsi="Times New Roman" w:eastAsia="宋体" w:cs="Times New Roman"/>
                      <w:color w:val="auto"/>
                      <w:sz w:val="21"/>
                      <w:szCs w:val="21"/>
                      <w:highlight w:val="none"/>
                      <w:u w:val="none" w:color="auto"/>
                    </w:rPr>
                    <w:t>配置与原辅材料、生产过程以及铸件质量相关的理化、计量、无损检测等检验检测设备。</w:t>
                  </w:r>
                  <w:bookmarkEnd w:id="28"/>
                </w:p>
              </w:tc>
              <w:tc>
                <w:tcPr>
                  <w:tcW w:w="394" w:type="pct"/>
                  <w:tcBorders>
                    <w:tl2br w:val="nil"/>
                    <w:tr2bl w:val="nil"/>
                  </w:tcBorders>
                  <w:vAlign w:val="center"/>
                </w:tcPr>
                <w:p w14:paraId="1EEC0064">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相符</w:t>
                  </w:r>
                </w:p>
              </w:tc>
            </w:tr>
            <w:tr w14:paraId="33FF66A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208" w:type="pct"/>
                  <w:vMerge w:val="continue"/>
                  <w:tcBorders>
                    <w:tl2br w:val="nil"/>
                    <w:tr2bl w:val="nil"/>
                  </w:tcBorders>
                  <w:vAlign w:val="center"/>
                </w:tcPr>
                <w:p w14:paraId="16DE9CB6">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color w:val="auto"/>
                      <w:sz w:val="21"/>
                      <w:szCs w:val="21"/>
                      <w:highlight w:val="none"/>
                      <w:u w:val="none" w:color="auto"/>
                    </w:rPr>
                  </w:pPr>
                </w:p>
              </w:tc>
              <w:tc>
                <w:tcPr>
                  <w:tcW w:w="2032" w:type="pct"/>
                  <w:tcBorders>
                    <w:tl2br w:val="nil"/>
                    <w:tr2bl w:val="nil"/>
                  </w:tcBorders>
                  <w:vAlign w:val="center"/>
                </w:tcPr>
                <w:p w14:paraId="752EC2D0">
                  <w:pPr>
                    <w:keepNext w:val="0"/>
                    <w:keepLines w:val="0"/>
                    <w:pageBreakBefore w:val="0"/>
                    <w:widowControl w:val="0"/>
                    <w:kinsoku/>
                    <w:wordWrap/>
                    <w:overflowPunct/>
                    <w:topLinePunct w:val="0"/>
                    <w:autoSpaceDE/>
                    <w:autoSpaceDN/>
                    <w:bidi w:val="0"/>
                    <w:adjustRightInd/>
                    <w:snapToGrid/>
                    <w:ind w:right="105" w:rightChars="50"/>
                    <w:jc w:val="center"/>
                    <w:textAlignment w:val="baseline"/>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8.3铸件的外观质量（尺寸精度、表面粗糙度等）、内在质量（化学成分、金相组织等）及力学性能等指标应符合规定的技术要求。</w:t>
                  </w:r>
                </w:p>
              </w:tc>
              <w:tc>
                <w:tcPr>
                  <w:tcW w:w="2364" w:type="pct"/>
                  <w:tcBorders>
                    <w:tl2br w:val="nil"/>
                    <w:tr2bl w:val="nil"/>
                  </w:tcBorders>
                  <w:vAlign w:val="center"/>
                </w:tcPr>
                <w:p w14:paraId="1DF49775">
                  <w:pPr>
                    <w:keepNext w:val="0"/>
                    <w:keepLines w:val="0"/>
                    <w:pageBreakBefore w:val="0"/>
                    <w:widowControl w:val="0"/>
                    <w:kinsoku/>
                    <w:wordWrap/>
                    <w:overflowPunct/>
                    <w:topLinePunct w:val="0"/>
                    <w:autoSpaceDE/>
                    <w:autoSpaceDN/>
                    <w:bidi w:val="0"/>
                    <w:adjustRightInd/>
                    <w:snapToGrid/>
                    <w:ind w:right="105" w:rightChars="50"/>
                    <w:jc w:val="center"/>
                    <w:textAlignment w:val="baseline"/>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项目建成后，生产的铸件各指标应符合规定的技术要求。</w:t>
                  </w:r>
                </w:p>
              </w:tc>
              <w:tc>
                <w:tcPr>
                  <w:tcW w:w="394" w:type="pct"/>
                  <w:tcBorders>
                    <w:tl2br w:val="nil"/>
                    <w:tr2bl w:val="nil"/>
                  </w:tcBorders>
                  <w:vAlign w:val="center"/>
                </w:tcPr>
                <w:p w14:paraId="4B631A93">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相符</w:t>
                  </w:r>
                </w:p>
              </w:tc>
            </w:tr>
            <w:tr w14:paraId="13773E2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208" w:type="pct"/>
                  <w:vMerge w:val="restart"/>
                  <w:tcBorders>
                    <w:tl2br w:val="nil"/>
                    <w:tr2bl w:val="nil"/>
                  </w:tcBorders>
                  <w:vAlign w:val="center"/>
                </w:tcPr>
                <w:p w14:paraId="6811C1B3">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9能源消耗</w:t>
                  </w:r>
                </w:p>
              </w:tc>
              <w:tc>
                <w:tcPr>
                  <w:tcW w:w="2032" w:type="pct"/>
                  <w:tcBorders>
                    <w:tl2br w:val="nil"/>
                    <w:tr2bl w:val="nil"/>
                  </w:tcBorders>
                  <w:vAlign w:val="center"/>
                </w:tcPr>
                <w:p w14:paraId="0C40D03D">
                  <w:pPr>
                    <w:keepNext w:val="0"/>
                    <w:keepLines w:val="0"/>
                    <w:pageBreakBefore w:val="0"/>
                    <w:widowControl w:val="0"/>
                    <w:kinsoku/>
                    <w:wordWrap/>
                    <w:overflowPunct/>
                    <w:topLinePunct w:val="0"/>
                    <w:autoSpaceDE/>
                    <w:autoSpaceDN/>
                    <w:bidi w:val="0"/>
                    <w:adjustRightInd/>
                    <w:snapToGrid/>
                    <w:ind w:right="105" w:rightChars="50"/>
                    <w:jc w:val="center"/>
                    <w:textAlignment w:val="baseline"/>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9.1企业应建立能源管理制度，可按照GBT23331要求建立能源管理体系，通过认证并持续有效运行。</w:t>
                  </w:r>
                </w:p>
              </w:tc>
              <w:tc>
                <w:tcPr>
                  <w:tcW w:w="2364" w:type="pct"/>
                  <w:tcBorders>
                    <w:tl2br w:val="nil"/>
                    <w:tr2bl w:val="nil"/>
                  </w:tcBorders>
                  <w:vAlign w:val="center"/>
                </w:tcPr>
                <w:p w14:paraId="2D817054">
                  <w:pPr>
                    <w:keepNext w:val="0"/>
                    <w:keepLines w:val="0"/>
                    <w:pageBreakBefore w:val="0"/>
                    <w:widowControl w:val="0"/>
                    <w:kinsoku/>
                    <w:wordWrap/>
                    <w:overflowPunct/>
                    <w:topLinePunct w:val="0"/>
                    <w:autoSpaceDE/>
                    <w:autoSpaceDN/>
                    <w:bidi w:val="0"/>
                    <w:adjustRightInd/>
                    <w:snapToGrid/>
                    <w:ind w:right="105" w:rightChars="50"/>
                    <w:jc w:val="center"/>
                    <w:textAlignment w:val="baseline"/>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项目建成后，企业建立能源管理体系，通过认证并持续有效运行。</w:t>
                  </w:r>
                </w:p>
              </w:tc>
              <w:tc>
                <w:tcPr>
                  <w:tcW w:w="394" w:type="pct"/>
                  <w:tcBorders>
                    <w:tl2br w:val="nil"/>
                    <w:tr2bl w:val="nil"/>
                  </w:tcBorders>
                  <w:vAlign w:val="center"/>
                </w:tcPr>
                <w:p w14:paraId="59BF1AE2">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相符</w:t>
                  </w:r>
                </w:p>
              </w:tc>
            </w:tr>
            <w:tr w14:paraId="742355D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23" w:hRule="atLeast"/>
              </w:trPr>
              <w:tc>
                <w:tcPr>
                  <w:tcW w:w="208" w:type="pct"/>
                  <w:vMerge w:val="continue"/>
                  <w:tcBorders>
                    <w:tl2br w:val="nil"/>
                    <w:tr2bl w:val="nil"/>
                  </w:tcBorders>
                  <w:vAlign w:val="center"/>
                </w:tcPr>
                <w:p w14:paraId="6098F14E">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color w:val="auto"/>
                      <w:sz w:val="21"/>
                      <w:szCs w:val="21"/>
                      <w:highlight w:val="yellow"/>
                      <w:u w:val="none" w:color="auto"/>
                    </w:rPr>
                  </w:pPr>
                </w:p>
              </w:tc>
              <w:tc>
                <w:tcPr>
                  <w:tcW w:w="2032" w:type="pct"/>
                  <w:tcBorders>
                    <w:tl2br w:val="nil"/>
                    <w:tr2bl w:val="nil"/>
                  </w:tcBorders>
                  <w:vAlign w:val="center"/>
                </w:tcPr>
                <w:p w14:paraId="666E1693">
                  <w:pPr>
                    <w:keepNext w:val="0"/>
                    <w:keepLines w:val="0"/>
                    <w:pageBreakBefore w:val="0"/>
                    <w:widowControl w:val="0"/>
                    <w:kinsoku/>
                    <w:wordWrap/>
                    <w:overflowPunct/>
                    <w:topLinePunct w:val="0"/>
                    <w:autoSpaceDE/>
                    <w:autoSpaceDN/>
                    <w:bidi w:val="0"/>
                    <w:adjustRightInd/>
                    <w:snapToGrid/>
                    <w:ind w:right="105" w:rightChars="50"/>
                    <w:jc w:val="center"/>
                    <w:textAlignment w:val="baseline"/>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9.2新（改、扩）建铸造项目应开展节能评估和节能审查。</w:t>
                  </w:r>
                </w:p>
              </w:tc>
              <w:tc>
                <w:tcPr>
                  <w:tcW w:w="2364" w:type="pct"/>
                  <w:tcBorders>
                    <w:tl2br w:val="nil"/>
                    <w:tr2bl w:val="nil"/>
                  </w:tcBorders>
                  <w:vAlign w:val="center"/>
                </w:tcPr>
                <w:p w14:paraId="2864EC0E">
                  <w:pPr>
                    <w:keepNext w:val="0"/>
                    <w:keepLines w:val="0"/>
                    <w:pageBreakBefore w:val="0"/>
                    <w:widowControl w:val="0"/>
                    <w:kinsoku/>
                    <w:wordWrap/>
                    <w:overflowPunct/>
                    <w:topLinePunct w:val="0"/>
                    <w:autoSpaceDE/>
                    <w:autoSpaceDN/>
                    <w:bidi w:val="0"/>
                    <w:adjustRightInd/>
                    <w:snapToGrid/>
                    <w:ind w:right="105" w:rightChars="50"/>
                    <w:jc w:val="center"/>
                    <w:textAlignment w:val="baseline"/>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企业已按照规定开展节能评估和节能审查。</w:t>
                  </w:r>
                </w:p>
              </w:tc>
              <w:tc>
                <w:tcPr>
                  <w:tcW w:w="394" w:type="pct"/>
                  <w:tcBorders>
                    <w:tl2br w:val="nil"/>
                    <w:tr2bl w:val="nil"/>
                  </w:tcBorders>
                  <w:vAlign w:val="center"/>
                </w:tcPr>
                <w:p w14:paraId="42C0A915">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相符</w:t>
                  </w:r>
                </w:p>
              </w:tc>
            </w:tr>
            <w:tr w14:paraId="7EE5314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208" w:type="pct"/>
                  <w:vMerge w:val="continue"/>
                  <w:tcBorders>
                    <w:tl2br w:val="nil"/>
                    <w:tr2bl w:val="nil"/>
                  </w:tcBorders>
                  <w:vAlign w:val="center"/>
                </w:tcPr>
                <w:p w14:paraId="0AA19A7D">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color w:val="auto"/>
                      <w:sz w:val="21"/>
                      <w:szCs w:val="21"/>
                      <w:highlight w:val="yellow"/>
                      <w:u w:val="none" w:color="auto"/>
                    </w:rPr>
                  </w:pPr>
                </w:p>
              </w:tc>
              <w:tc>
                <w:tcPr>
                  <w:tcW w:w="2032" w:type="pct"/>
                  <w:tcBorders>
                    <w:tl2br w:val="nil"/>
                    <w:tr2bl w:val="nil"/>
                  </w:tcBorders>
                  <w:vAlign w:val="center"/>
                </w:tcPr>
                <w:p w14:paraId="74B05E7C">
                  <w:pPr>
                    <w:keepNext w:val="0"/>
                    <w:keepLines w:val="0"/>
                    <w:pageBreakBefore w:val="0"/>
                    <w:widowControl w:val="0"/>
                    <w:kinsoku/>
                    <w:wordWrap/>
                    <w:overflowPunct/>
                    <w:topLinePunct w:val="0"/>
                    <w:autoSpaceDE/>
                    <w:autoSpaceDN/>
                    <w:bidi w:val="0"/>
                    <w:adjustRightInd/>
                    <w:snapToGrid/>
                    <w:ind w:right="105" w:rightChars="50"/>
                    <w:jc w:val="center"/>
                    <w:textAlignment w:val="baseline"/>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9.3企业主要熔炼（化）设备的能耗指标应满足表3~表9的规定，能耗计算参照JB/T14696的规定执行。</w:t>
                  </w:r>
                </w:p>
              </w:tc>
              <w:tc>
                <w:tcPr>
                  <w:tcW w:w="2364" w:type="pct"/>
                  <w:tcBorders>
                    <w:tl2br w:val="nil"/>
                    <w:tr2bl w:val="nil"/>
                  </w:tcBorders>
                  <w:vAlign w:val="center"/>
                </w:tcPr>
                <w:p w14:paraId="2D25BA47">
                  <w:pPr>
                    <w:keepNext w:val="0"/>
                    <w:keepLines w:val="0"/>
                    <w:pageBreakBefore w:val="0"/>
                    <w:widowControl w:val="0"/>
                    <w:kinsoku/>
                    <w:wordWrap/>
                    <w:overflowPunct/>
                    <w:topLinePunct w:val="0"/>
                    <w:autoSpaceDE/>
                    <w:autoSpaceDN/>
                    <w:bidi w:val="0"/>
                    <w:adjustRightInd/>
                    <w:snapToGrid/>
                    <w:ind w:right="105" w:rightChars="50"/>
                    <w:jc w:val="center"/>
                    <w:textAlignment w:val="baseline"/>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项目建成后，企业设备能耗满足相关规定要求。</w:t>
                  </w:r>
                </w:p>
              </w:tc>
              <w:tc>
                <w:tcPr>
                  <w:tcW w:w="394" w:type="pct"/>
                  <w:tcBorders>
                    <w:tl2br w:val="nil"/>
                    <w:tr2bl w:val="nil"/>
                  </w:tcBorders>
                  <w:vAlign w:val="center"/>
                </w:tcPr>
                <w:p w14:paraId="1B67F9C1">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相符</w:t>
                  </w:r>
                </w:p>
              </w:tc>
            </w:tr>
            <w:tr w14:paraId="3C7B522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208" w:type="pct"/>
                  <w:vMerge w:val="restart"/>
                  <w:tcBorders>
                    <w:tl2br w:val="nil"/>
                    <w:tr2bl w:val="nil"/>
                  </w:tcBorders>
                  <w:vAlign w:val="center"/>
                </w:tcPr>
                <w:p w14:paraId="39A0A4FF">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10环境保护</w:t>
                  </w:r>
                </w:p>
              </w:tc>
              <w:tc>
                <w:tcPr>
                  <w:tcW w:w="2032" w:type="pct"/>
                  <w:tcBorders>
                    <w:tl2br w:val="nil"/>
                    <w:tr2bl w:val="nil"/>
                  </w:tcBorders>
                  <w:vAlign w:val="center"/>
                </w:tcPr>
                <w:p w14:paraId="62E69EA1">
                  <w:pPr>
                    <w:keepNext w:val="0"/>
                    <w:keepLines w:val="0"/>
                    <w:pageBreakBefore w:val="0"/>
                    <w:widowControl w:val="0"/>
                    <w:kinsoku/>
                    <w:wordWrap/>
                    <w:overflowPunct/>
                    <w:topLinePunct w:val="0"/>
                    <w:autoSpaceDE/>
                    <w:autoSpaceDN/>
                    <w:bidi w:val="0"/>
                    <w:adjustRightInd/>
                    <w:snapToGrid/>
                    <w:ind w:right="105" w:rightChars="50"/>
                    <w:jc w:val="center"/>
                    <w:textAlignment w:val="baseline"/>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10.1企业应按HJ1115、HJ1200的要求，取得排污许可证，宜按照HJ1251的要求制定自行监测方案</w:t>
                  </w:r>
                </w:p>
              </w:tc>
              <w:tc>
                <w:tcPr>
                  <w:tcW w:w="2364" w:type="pct"/>
                  <w:tcBorders>
                    <w:tl2br w:val="nil"/>
                    <w:tr2bl w:val="nil"/>
                  </w:tcBorders>
                  <w:vAlign w:val="center"/>
                </w:tcPr>
                <w:p w14:paraId="44607814">
                  <w:pPr>
                    <w:keepNext w:val="0"/>
                    <w:keepLines w:val="0"/>
                    <w:pageBreakBefore w:val="0"/>
                    <w:widowControl w:val="0"/>
                    <w:kinsoku/>
                    <w:wordWrap/>
                    <w:overflowPunct/>
                    <w:topLinePunct w:val="0"/>
                    <w:autoSpaceDE/>
                    <w:autoSpaceDN/>
                    <w:bidi w:val="0"/>
                    <w:adjustRightInd/>
                    <w:snapToGrid/>
                    <w:ind w:right="105" w:rightChars="50"/>
                    <w:jc w:val="center"/>
                    <w:textAlignment w:val="baseline"/>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本项目运行前，建设企业应按HJ1115、HJ1200的要求，</w:t>
                  </w:r>
                  <w:r>
                    <w:rPr>
                      <w:rFonts w:hint="default" w:ascii="Times New Roman" w:hAnsi="Times New Roman" w:eastAsia="宋体" w:cs="Times New Roman"/>
                      <w:color w:val="auto"/>
                      <w:sz w:val="21"/>
                      <w:szCs w:val="21"/>
                      <w:highlight w:val="none"/>
                      <w:u w:val="none" w:color="auto"/>
                      <w:lang w:val="en-US" w:eastAsia="zh-CN"/>
                    </w:rPr>
                    <w:t>进行</w:t>
                  </w:r>
                  <w:r>
                    <w:rPr>
                      <w:rFonts w:hint="default" w:ascii="Times New Roman" w:hAnsi="Times New Roman" w:eastAsia="宋体" w:cs="Times New Roman"/>
                      <w:color w:val="auto"/>
                      <w:sz w:val="21"/>
                      <w:szCs w:val="21"/>
                      <w:highlight w:val="none"/>
                      <w:u w:val="none" w:color="auto"/>
                    </w:rPr>
                    <w:t>排污许可证</w:t>
                  </w:r>
                  <w:r>
                    <w:rPr>
                      <w:rFonts w:hint="default" w:ascii="Times New Roman" w:hAnsi="Times New Roman" w:eastAsia="宋体" w:cs="Times New Roman"/>
                      <w:color w:val="auto"/>
                      <w:sz w:val="21"/>
                      <w:szCs w:val="21"/>
                      <w:highlight w:val="none"/>
                      <w:u w:val="none" w:color="auto"/>
                      <w:lang w:val="en-US" w:eastAsia="zh-CN"/>
                    </w:rPr>
                    <w:t>变更</w:t>
                  </w:r>
                  <w:r>
                    <w:rPr>
                      <w:rFonts w:hint="default" w:ascii="Times New Roman" w:hAnsi="Times New Roman" w:eastAsia="宋体" w:cs="Times New Roman"/>
                      <w:color w:val="auto"/>
                      <w:sz w:val="21"/>
                      <w:szCs w:val="21"/>
                      <w:highlight w:val="none"/>
                      <w:u w:val="none" w:color="auto"/>
                    </w:rPr>
                    <w:t>；本报告提出具体监测要求；项目建成后，企业应当按规定实施自行检测方案。</w:t>
                  </w:r>
                </w:p>
              </w:tc>
              <w:tc>
                <w:tcPr>
                  <w:tcW w:w="394" w:type="pct"/>
                  <w:tcBorders>
                    <w:tl2br w:val="nil"/>
                    <w:tr2bl w:val="nil"/>
                  </w:tcBorders>
                  <w:vAlign w:val="center"/>
                </w:tcPr>
                <w:p w14:paraId="43EB7F31">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相符</w:t>
                  </w:r>
                </w:p>
              </w:tc>
            </w:tr>
            <w:tr w14:paraId="43FB20E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208" w:type="pct"/>
                  <w:vMerge w:val="continue"/>
                  <w:tcBorders>
                    <w:tl2br w:val="nil"/>
                    <w:tr2bl w:val="nil"/>
                  </w:tcBorders>
                  <w:vAlign w:val="center"/>
                </w:tcPr>
                <w:p w14:paraId="620C0D84">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color w:val="auto"/>
                      <w:sz w:val="21"/>
                      <w:szCs w:val="21"/>
                      <w:highlight w:val="none"/>
                      <w:u w:val="none" w:color="auto"/>
                    </w:rPr>
                  </w:pPr>
                </w:p>
              </w:tc>
              <w:tc>
                <w:tcPr>
                  <w:tcW w:w="2032" w:type="pct"/>
                  <w:tcBorders>
                    <w:tl2br w:val="nil"/>
                    <w:tr2bl w:val="nil"/>
                  </w:tcBorders>
                  <w:vAlign w:val="center"/>
                </w:tcPr>
                <w:p w14:paraId="036F6F40">
                  <w:pPr>
                    <w:keepNext w:val="0"/>
                    <w:keepLines w:val="0"/>
                    <w:pageBreakBefore w:val="0"/>
                    <w:widowControl w:val="0"/>
                    <w:kinsoku/>
                    <w:wordWrap/>
                    <w:overflowPunct/>
                    <w:topLinePunct w:val="0"/>
                    <w:autoSpaceDE/>
                    <w:autoSpaceDN/>
                    <w:bidi w:val="0"/>
                    <w:adjustRightInd/>
                    <w:snapToGrid/>
                    <w:ind w:right="105" w:rightChars="50"/>
                    <w:jc w:val="center"/>
                    <w:textAlignment w:val="baseline"/>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10.2企业大气污染物排放应符合GB39726的要求。应配置完善的环保处理装置，废气、废水、噪声、工业固体废物等排放与处置措施应符合国家及地方环保法规和标准的规定。</w:t>
                  </w:r>
                </w:p>
              </w:tc>
              <w:tc>
                <w:tcPr>
                  <w:tcW w:w="2364" w:type="pct"/>
                  <w:tcBorders>
                    <w:tl2br w:val="nil"/>
                    <w:tr2bl w:val="nil"/>
                  </w:tcBorders>
                  <w:vAlign w:val="center"/>
                </w:tcPr>
                <w:p w14:paraId="650BAC1C">
                  <w:pPr>
                    <w:keepNext w:val="0"/>
                    <w:keepLines w:val="0"/>
                    <w:pageBreakBefore w:val="0"/>
                    <w:widowControl w:val="0"/>
                    <w:kinsoku/>
                    <w:wordWrap/>
                    <w:overflowPunct/>
                    <w:topLinePunct w:val="0"/>
                    <w:autoSpaceDE/>
                    <w:autoSpaceDN/>
                    <w:bidi w:val="0"/>
                    <w:adjustRightInd/>
                    <w:snapToGrid/>
                    <w:ind w:right="105" w:rightChars="50"/>
                    <w:jc w:val="center"/>
                    <w:textAlignment w:val="baseline"/>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本项目生产过程产生的颗粒物采用多管重力除尘+布袋除尘</w:t>
                  </w:r>
                  <w:r>
                    <w:rPr>
                      <w:rFonts w:hint="default" w:ascii="Times New Roman" w:hAnsi="Times New Roman" w:eastAsia="宋体" w:cs="Times New Roman"/>
                      <w:color w:val="auto"/>
                      <w:sz w:val="21"/>
                      <w:szCs w:val="21"/>
                      <w:highlight w:val="none"/>
                      <w:u w:val="none" w:color="auto"/>
                      <w:lang w:val="en-US" w:eastAsia="zh-CN"/>
                    </w:rPr>
                    <w:t>等废气处理工艺</w:t>
                  </w:r>
                  <w:r>
                    <w:rPr>
                      <w:rFonts w:hint="default" w:ascii="Times New Roman" w:hAnsi="Times New Roman" w:eastAsia="宋体" w:cs="Times New Roman"/>
                      <w:color w:val="auto"/>
                      <w:sz w:val="21"/>
                      <w:szCs w:val="21"/>
                      <w:highlight w:val="none"/>
                      <w:u w:val="none" w:color="auto"/>
                    </w:rPr>
                    <w:t>，根据本报告分析，建设项目废气、废水、噪声、工业固体废物等排放与处置措施符合国家及地方环保法规和标准的规定。</w:t>
                  </w:r>
                </w:p>
              </w:tc>
              <w:tc>
                <w:tcPr>
                  <w:tcW w:w="394" w:type="pct"/>
                  <w:tcBorders>
                    <w:tl2br w:val="nil"/>
                    <w:tr2bl w:val="nil"/>
                  </w:tcBorders>
                  <w:vAlign w:val="center"/>
                </w:tcPr>
                <w:p w14:paraId="0BD6A16A">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相符</w:t>
                  </w:r>
                </w:p>
              </w:tc>
            </w:tr>
            <w:tr w14:paraId="2C5234E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23" w:hRule="atLeast"/>
              </w:trPr>
              <w:tc>
                <w:tcPr>
                  <w:tcW w:w="208" w:type="pct"/>
                  <w:vMerge w:val="continue"/>
                  <w:tcBorders>
                    <w:tl2br w:val="nil"/>
                    <w:tr2bl w:val="nil"/>
                  </w:tcBorders>
                  <w:vAlign w:val="center"/>
                </w:tcPr>
                <w:p w14:paraId="142AC72B">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color w:val="auto"/>
                      <w:sz w:val="21"/>
                      <w:szCs w:val="21"/>
                      <w:highlight w:val="none"/>
                      <w:u w:val="none" w:color="auto"/>
                    </w:rPr>
                  </w:pPr>
                </w:p>
              </w:tc>
              <w:tc>
                <w:tcPr>
                  <w:tcW w:w="2032" w:type="pct"/>
                  <w:tcBorders>
                    <w:tl2br w:val="nil"/>
                    <w:tr2bl w:val="nil"/>
                  </w:tcBorders>
                  <w:vAlign w:val="center"/>
                </w:tcPr>
                <w:p w14:paraId="48277065">
                  <w:pPr>
                    <w:keepNext w:val="0"/>
                    <w:keepLines w:val="0"/>
                    <w:pageBreakBefore w:val="0"/>
                    <w:widowControl w:val="0"/>
                    <w:kinsoku/>
                    <w:wordWrap/>
                    <w:overflowPunct/>
                    <w:topLinePunct w:val="0"/>
                    <w:autoSpaceDE/>
                    <w:autoSpaceDN/>
                    <w:bidi w:val="0"/>
                    <w:adjustRightInd/>
                    <w:snapToGrid/>
                    <w:ind w:right="105" w:rightChars="50"/>
                    <w:jc w:val="center"/>
                    <w:textAlignment w:val="baseline"/>
                    <w:rPr>
                      <w:rFonts w:hint="default" w:ascii="Times New Roman" w:hAnsi="Times New Roman" w:eastAsia="宋体" w:cs="Times New Roman"/>
                      <w:color w:val="auto"/>
                      <w:sz w:val="21"/>
                      <w:szCs w:val="21"/>
                      <w:highlight w:val="none"/>
                      <w:u w:val="none" w:color="auto"/>
                    </w:rPr>
                  </w:pPr>
                  <w:bookmarkStart w:id="29" w:name="sys548058"/>
                  <w:r>
                    <w:rPr>
                      <w:rFonts w:hint="default" w:ascii="Times New Roman" w:hAnsi="Times New Roman" w:eastAsia="宋体" w:cs="Times New Roman"/>
                      <w:color w:val="auto"/>
                      <w:sz w:val="21"/>
                      <w:szCs w:val="21"/>
                      <w:highlight w:val="none"/>
                      <w:u w:val="none" w:color="auto"/>
                    </w:rPr>
                    <w:t>10.3企业宜参照《重污染天气重点行业应急减排措施制定技术指南》的要求开展绩效分级管理，制定重污染天气应急减排措施。</w:t>
                  </w:r>
                  <w:bookmarkEnd w:id="29"/>
                </w:p>
              </w:tc>
              <w:tc>
                <w:tcPr>
                  <w:tcW w:w="2364" w:type="pct"/>
                  <w:tcBorders>
                    <w:tl2br w:val="nil"/>
                    <w:tr2bl w:val="nil"/>
                  </w:tcBorders>
                  <w:vAlign w:val="center"/>
                </w:tcPr>
                <w:p w14:paraId="2C0FC03D">
                  <w:pPr>
                    <w:keepNext w:val="0"/>
                    <w:keepLines w:val="0"/>
                    <w:pageBreakBefore w:val="0"/>
                    <w:widowControl w:val="0"/>
                    <w:kinsoku/>
                    <w:wordWrap/>
                    <w:overflowPunct/>
                    <w:topLinePunct w:val="0"/>
                    <w:autoSpaceDE/>
                    <w:autoSpaceDN/>
                    <w:bidi w:val="0"/>
                    <w:adjustRightInd/>
                    <w:snapToGrid/>
                    <w:ind w:right="105" w:rightChars="50"/>
                    <w:jc w:val="center"/>
                    <w:textAlignment w:val="baseline"/>
                    <w:rPr>
                      <w:rFonts w:hint="default" w:ascii="Times New Roman" w:hAnsi="Times New Roman" w:eastAsia="宋体" w:cs="Times New Roman"/>
                      <w:color w:val="auto"/>
                      <w:sz w:val="21"/>
                      <w:szCs w:val="21"/>
                      <w:highlight w:val="none"/>
                      <w:u w:val="none" w:color="auto"/>
                    </w:rPr>
                  </w:pPr>
                  <w:bookmarkStart w:id="30" w:name="sys549055"/>
                  <w:r>
                    <w:rPr>
                      <w:rFonts w:hint="default" w:ascii="Times New Roman" w:hAnsi="Times New Roman" w:eastAsia="宋体" w:cs="Times New Roman"/>
                      <w:color w:val="auto"/>
                      <w:sz w:val="21"/>
                      <w:szCs w:val="21"/>
                      <w:highlight w:val="none"/>
                      <w:u w:val="none" w:color="auto"/>
                    </w:rPr>
                    <w:t>建设单位</w:t>
                  </w:r>
                  <w:r>
                    <w:rPr>
                      <w:rFonts w:hint="default" w:ascii="Times New Roman" w:hAnsi="Times New Roman" w:eastAsia="宋体" w:cs="Times New Roman"/>
                      <w:color w:val="auto"/>
                      <w:sz w:val="21"/>
                      <w:szCs w:val="21"/>
                      <w:highlight w:val="none"/>
                      <w:u w:val="none" w:color="auto"/>
                      <w:lang w:val="en-US" w:eastAsia="zh-CN"/>
                    </w:rPr>
                    <w:t>将</w:t>
                  </w:r>
                  <w:r>
                    <w:rPr>
                      <w:rFonts w:hint="default" w:ascii="Times New Roman" w:hAnsi="Times New Roman" w:eastAsia="宋体" w:cs="Times New Roman"/>
                      <w:color w:val="auto"/>
                      <w:sz w:val="21"/>
                      <w:szCs w:val="21"/>
                      <w:highlight w:val="none"/>
                      <w:u w:val="none" w:color="auto"/>
                    </w:rPr>
                    <w:t>参照《重污染天气重点行业应急减排措施制定技术指南》的要求开展绩效分级管理，制定重污染天气应急减排措施。</w:t>
                  </w:r>
                  <w:bookmarkEnd w:id="30"/>
                </w:p>
              </w:tc>
              <w:tc>
                <w:tcPr>
                  <w:tcW w:w="394" w:type="pct"/>
                  <w:tcBorders>
                    <w:tl2br w:val="nil"/>
                    <w:tr2bl w:val="nil"/>
                  </w:tcBorders>
                  <w:vAlign w:val="center"/>
                </w:tcPr>
                <w:p w14:paraId="734EAD10">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相符</w:t>
                  </w:r>
                </w:p>
              </w:tc>
            </w:tr>
            <w:tr w14:paraId="7691F35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208" w:type="pct"/>
                  <w:vMerge w:val="continue"/>
                  <w:tcBorders>
                    <w:tl2br w:val="nil"/>
                    <w:tr2bl w:val="nil"/>
                  </w:tcBorders>
                  <w:vAlign w:val="center"/>
                </w:tcPr>
                <w:p w14:paraId="68C43F95">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color w:val="auto"/>
                      <w:sz w:val="21"/>
                      <w:szCs w:val="21"/>
                      <w:highlight w:val="none"/>
                      <w:u w:val="none" w:color="auto"/>
                    </w:rPr>
                  </w:pPr>
                </w:p>
              </w:tc>
              <w:tc>
                <w:tcPr>
                  <w:tcW w:w="2032" w:type="pct"/>
                  <w:tcBorders>
                    <w:tl2br w:val="nil"/>
                    <w:tr2bl w:val="nil"/>
                  </w:tcBorders>
                  <w:vAlign w:val="center"/>
                </w:tcPr>
                <w:p w14:paraId="4BC823C6">
                  <w:pPr>
                    <w:keepNext w:val="0"/>
                    <w:keepLines w:val="0"/>
                    <w:pageBreakBefore w:val="0"/>
                    <w:widowControl w:val="0"/>
                    <w:kinsoku/>
                    <w:wordWrap/>
                    <w:overflowPunct/>
                    <w:topLinePunct w:val="0"/>
                    <w:autoSpaceDE/>
                    <w:autoSpaceDN/>
                    <w:bidi w:val="0"/>
                    <w:adjustRightInd/>
                    <w:snapToGrid/>
                    <w:ind w:right="105" w:rightChars="50"/>
                    <w:jc w:val="center"/>
                    <w:textAlignment w:val="baseline"/>
                    <w:rPr>
                      <w:rFonts w:hint="default" w:ascii="Times New Roman" w:hAnsi="Times New Roman" w:eastAsia="宋体" w:cs="Times New Roman"/>
                      <w:color w:val="auto"/>
                      <w:sz w:val="21"/>
                      <w:szCs w:val="21"/>
                      <w:highlight w:val="none"/>
                      <w:u w:val="none" w:color="auto"/>
                    </w:rPr>
                  </w:pPr>
                  <w:bookmarkStart w:id="31" w:name="sys552041"/>
                  <w:r>
                    <w:rPr>
                      <w:rFonts w:hint="default" w:ascii="Times New Roman" w:hAnsi="Times New Roman" w:eastAsia="宋体" w:cs="Times New Roman"/>
                      <w:color w:val="auto"/>
                      <w:sz w:val="21"/>
                      <w:szCs w:val="21"/>
                      <w:highlight w:val="none"/>
                      <w:u w:val="none" w:color="auto"/>
                    </w:rPr>
                    <w:t>10.4企业可按照GB/T24001要求建立环境管理体系，通过认证并持续有效运行。</w:t>
                  </w:r>
                  <w:bookmarkEnd w:id="31"/>
                </w:p>
              </w:tc>
              <w:tc>
                <w:tcPr>
                  <w:tcW w:w="2364" w:type="pct"/>
                  <w:tcBorders>
                    <w:tl2br w:val="nil"/>
                    <w:tr2bl w:val="nil"/>
                  </w:tcBorders>
                  <w:vAlign w:val="center"/>
                </w:tcPr>
                <w:p w14:paraId="58114B4E">
                  <w:pPr>
                    <w:keepNext w:val="0"/>
                    <w:keepLines w:val="0"/>
                    <w:pageBreakBefore w:val="0"/>
                    <w:widowControl w:val="0"/>
                    <w:kinsoku/>
                    <w:wordWrap/>
                    <w:overflowPunct/>
                    <w:topLinePunct w:val="0"/>
                    <w:autoSpaceDE/>
                    <w:autoSpaceDN/>
                    <w:bidi w:val="0"/>
                    <w:adjustRightInd/>
                    <w:snapToGrid/>
                    <w:ind w:right="105" w:rightChars="50"/>
                    <w:jc w:val="center"/>
                    <w:textAlignment w:val="baseline"/>
                    <w:rPr>
                      <w:rFonts w:hint="default" w:ascii="Times New Roman" w:hAnsi="Times New Roman" w:eastAsia="宋体" w:cs="Times New Roman"/>
                      <w:color w:val="auto"/>
                      <w:sz w:val="21"/>
                      <w:szCs w:val="21"/>
                      <w:highlight w:val="none"/>
                      <w:u w:val="none" w:color="auto"/>
                    </w:rPr>
                  </w:pPr>
                  <w:bookmarkStart w:id="32" w:name="sys553039"/>
                  <w:r>
                    <w:rPr>
                      <w:rFonts w:hint="default" w:ascii="Times New Roman" w:hAnsi="Times New Roman" w:eastAsia="宋体" w:cs="Times New Roman"/>
                      <w:color w:val="auto"/>
                      <w:sz w:val="21"/>
                      <w:szCs w:val="21"/>
                      <w:highlight w:val="none"/>
                      <w:u w:val="none" w:color="auto"/>
                    </w:rPr>
                    <w:t>建设单位应按照GB/T24001要求建立环境管理体系，通过认证并持续有效运行。</w:t>
                  </w:r>
                  <w:bookmarkEnd w:id="32"/>
                </w:p>
              </w:tc>
              <w:tc>
                <w:tcPr>
                  <w:tcW w:w="394" w:type="pct"/>
                  <w:tcBorders>
                    <w:tl2br w:val="nil"/>
                    <w:tr2bl w:val="nil"/>
                  </w:tcBorders>
                  <w:vAlign w:val="center"/>
                </w:tcPr>
                <w:p w14:paraId="2A82CA27">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相符</w:t>
                  </w:r>
                </w:p>
              </w:tc>
            </w:tr>
            <w:tr w14:paraId="3D1A5FC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208" w:type="pct"/>
                  <w:vMerge w:val="restart"/>
                  <w:tcBorders>
                    <w:tl2br w:val="nil"/>
                    <w:tr2bl w:val="nil"/>
                  </w:tcBorders>
                  <w:vAlign w:val="center"/>
                </w:tcPr>
                <w:p w14:paraId="58311AC9">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11安全生产及职业健康</w:t>
                  </w:r>
                </w:p>
              </w:tc>
              <w:tc>
                <w:tcPr>
                  <w:tcW w:w="2032" w:type="pct"/>
                  <w:tcBorders>
                    <w:tl2br w:val="nil"/>
                    <w:tr2bl w:val="nil"/>
                  </w:tcBorders>
                  <w:vAlign w:val="center"/>
                </w:tcPr>
                <w:p w14:paraId="6EDD6443">
                  <w:pPr>
                    <w:keepNext w:val="0"/>
                    <w:keepLines w:val="0"/>
                    <w:pageBreakBefore w:val="0"/>
                    <w:widowControl w:val="0"/>
                    <w:kinsoku/>
                    <w:wordWrap/>
                    <w:overflowPunct/>
                    <w:topLinePunct w:val="0"/>
                    <w:autoSpaceDE/>
                    <w:autoSpaceDN/>
                    <w:bidi w:val="0"/>
                    <w:adjustRightInd/>
                    <w:snapToGrid/>
                    <w:ind w:right="105" w:rightChars="50"/>
                    <w:jc w:val="center"/>
                    <w:textAlignment w:val="baseline"/>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11.1企业应遵守国家安全生产相关法律法规和标准要求，建立健全安全设施并有效运行。</w:t>
                  </w:r>
                </w:p>
              </w:tc>
              <w:tc>
                <w:tcPr>
                  <w:tcW w:w="2364" w:type="pct"/>
                  <w:vMerge w:val="restart"/>
                  <w:tcBorders>
                    <w:tl2br w:val="nil"/>
                    <w:tr2bl w:val="nil"/>
                  </w:tcBorders>
                  <w:vAlign w:val="center"/>
                </w:tcPr>
                <w:p w14:paraId="3E5C56FA">
                  <w:pPr>
                    <w:keepNext w:val="0"/>
                    <w:keepLines w:val="0"/>
                    <w:pageBreakBefore w:val="0"/>
                    <w:widowControl w:val="0"/>
                    <w:kinsoku/>
                    <w:wordWrap/>
                    <w:overflowPunct/>
                    <w:topLinePunct w:val="0"/>
                    <w:autoSpaceDE/>
                    <w:autoSpaceDN/>
                    <w:bidi w:val="0"/>
                    <w:adjustRightInd/>
                    <w:snapToGrid/>
                    <w:ind w:right="105" w:rightChars="50"/>
                    <w:jc w:val="center"/>
                    <w:textAlignment w:val="baseline"/>
                    <w:rPr>
                      <w:rFonts w:hint="default" w:ascii="Times New Roman" w:hAnsi="Times New Roman" w:eastAsia="宋体" w:cs="Times New Roman"/>
                      <w:color w:val="auto"/>
                      <w:sz w:val="21"/>
                      <w:szCs w:val="21"/>
                      <w:highlight w:val="none"/>
                      <w:u w:val="none" w:color="auto"/>
                    </w:rPr>
                  </w:pPr>
                  <w:bookmarkStart w:id="33" w:name="sys557069"/>
                  <w:r>
                    <w:rPr>
                      <w:rFonts w:hint="default" w:ascii="Times New Roman" w:hAnsi="Times New Roman" w:eastAsia="宋体" w:cs="Times New Roman"/>
                      <w:color w:val="auto"/>
                      <w:sz w:val="21"/>
                      <w:szCs w:val="21"/>
                      <w:highlight w:val="none"/>
                      <w:u w:val="none" w:color="auto"/>
                    </w:rPr>
                    <w:t>建设单位须按文件要求遵守国家安全生产及国家职业健康相关法律法规和标准要求，建立健全安全设施及职业危害防治设施和职业卫生管理制度并有效运行；</w:t>
                  </w:r>
                  <w:bookmarkEnd w:id="33"/>
                  <w:r>
                    <w:rPr>
                      <w:rFonts w:hint="default" w:ascii="Times New Roman" w:hAnsi="Times New Roman" w:eastAsia="宋体" w:cs="Times New Roman"/>
                      <w:color w:val="auto"/>
                      <w:sz w:val="21"/>
                      <w:szCs w:val="21"/>
                      <w:highlight w:val="none"/>
                      <w:u w:val="none" w:color="auto"/>
                    </w:rPr>
                    <w:t>参照铸造领域相关安全标准开展安全生产管理；</w:t>
                  </w:r>
                  <w:bookmarkStart w:id="34" w:name="sys5579046"/>
                  <w:r>
                    <w:rPr>
                      <w:rFonts w:hint="default" w:ascii="Times New Roman" w:hAnsi="Times New Roman" w:eastAsia="宋体" w:cs="Times New Roman"/>
                      <w:color w:val="auto"/>
                      <w:sz w:val="21"/>
                      <w:szCs w:val="21"/>
                      <w:highlight w:val="none"/>
                      <w:u w:val="none" w:color="auto"/>
                    </w:rPr>
                    <w:t>建设单位须按照GBT45001标准要求建立职业健康安全管理体系，通过认证并持续有效运行；</w:t>
                  </w:r>
                  <w:bookmarkEnd w:id="34"/>
                  <w:bookmarkStart w:id="35" w:name="sys55713670"/>
                  <w:r>
                    <w:rPr>
                      <w:rFonts w:hint="default" w:ascii="Times New Roman" w:hAnsi="Times New Roman" w:eastAsia="宋体" w:cs="Times New Roman"/>
                      <w:color w:val="auto"/>
                      <w:sz w:val="21"/>
                      <w:szCs w:val="21"/>
                      <w:highlight w:val="none"/>
                      <w:u w:val="none" w:color="auto"/>
                    </w:rPr>
                    <w:t>特种作业人员、特种设备操作人员、计量人员、理化检验人员及无损探伤等特殊岗位的人员应具有经相应的资质门颁发的资格证书，持证上岗率须达100%。</w:t>
                  </w:r>
                  <w:bookmarkEnd w:id="35"/>
                </w:p>
              </w:tc>
              <w:tc>
                <w:tcPr>
                  <w:tcW w:w="394" w:type="pct"/>
                  <w:tcBorders>
                    <w:tl2br w:val="nil"/>
                    <w:tr2bl w:val="nil"/>
                  </w:tcBorders>
                  <w:vAlign w:val="center"/>
                </w:tcPr>
                <w:p w14:paraId="77817960">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相符</w:t>
                  </w:r>
                </w:p>
              </w:tc>
            </w:tr>
            <w:tr w14:paraId="676CC99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208" w:type="pct"/>
                  <w:vMerge w:val="continue"/>
                  <w:tcBorders>
                    <w:tl2br w:val="nil"/>
                    <w:tr2bl w:val="nil"/>
                  </w:tcBorders>
                  <w:vAlign w:val="center"/>
                </w:tcPr>
                <w:p w14:paraId="37D9DBC5">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color w:val="auto"/>
                      <w:sz w:val="21"/>
                      <w:szCs w:val="21"/>
                      <w:highlight w:val="yellow"/>
                      <w:u w:val="none" w:color="auto"/>
                    </w:rPr>
                  </w:pPr>
                </w:p>
              </w:tc>
              <w:tc>
                <w:tcPr>
                  <w:tcW w:w="2032" w:type="pct"/>
                  <w:tcBorders>
                    <w:tl2br w:val="nil"/>
                    <w:tr2bl w:val="nil"/>
                  </w:tcBorders>
                  <w:vAlign w:val="center"/>
                </w:tcPr>
                <w:p w14:paraId="3BD0D30F">
                  <w:pPr>
                    <w:keepNext w:val="0"/>
                    <w:keepLines w:val="0"/>
                    <w:pageBreakBefore w:val="0"/>
                    <w:widowControl w:val="0"/>
                    <w:kinsoku/>
                    <w:wordWrap/>
                    <w:overflowPunct/>
                    <w:topLinePunct w:val="0"/>
                    <w:autoSpaceDE/>
                    <w:autoSpaceDN/>
                    <w:bidi w:val="0"/>
                    <w:adjustRightInd/>
                    <w:snapToGrid/>
                    <w:ind w:right="105" w:rightChars="50"/>
                    <w:jc w:val="center"/>
                    <w:textAlignment w:val="baseline"/>
                    <w:rPr>
                      <w:rFonts w:hint="default" w:ascii="Times New Roman" w:hAnsi="Times New Roman" w:eastAsia="宋体" w:cs="Times New Roman"/>
                      <w:color w:val="auto"/>
                      <w:sz w:val="21"/>
                      <w:szCs w:val="21"/>
                      <w:highlight w:val="none"/>
                      <w:u w:val="none" w:color="auto"/>
                    </w:rPr>
                  </w:pPr>
                  <w:bookmarkStart w:id="36" w:name="sys560054"/>
                  <w:r>
                    <w:rPr>
                      <w:rFonts w:hint="default" w:ascii="Times New Roman" w:hAnsi="Times New Roman" w:eastAsia="宋体" w:cs="Times New Roman"/>
                      <w:color w:val="auto"/>
                      <w:sz w:val="21"/>
                      <w:szCs w:val="21"/>
                      <w:highlight w:val="none"/>
                      <w:u w:val="none" w:color="auto"/>
                    </w:rPr>
                    <w:t>11.2企业应遵守国家职业健康相关法律法规和标准要求，建立健全职业危害防治设施和职业卫生管理制度并有效运行。</w:t>
                  </w:r>
                  <w:bookmarkEnd w:id="36"/>
                </w:p>
              </w:tc>
              <w:tc>
                <w:tcPr>
                  <w:tcW w:w="2364" w:type="pct"/>
                  <w:vMerge w:val="continue"/>
                  <w:tcBorders>
                    <w:tl2br w:val="nil"/>
                    <w:tr2bl w:val="nil"/>
                  </w:tcBorders>
                  <w:vAlign w:val="center"/>
                </w:tcPr>
                <w:p w14:paraId="553DACA8">
                  <w:pPr>
                    <w:keepNext w:val="0"/>
                    <w:keepLines w:val="0"/>
                    <w:pageBreakBefore w:val="0"/>
                    <w:widowControl w:val="0"/>
                    <w:kinsoku/>
                    <w:wordWrap/>
                    <w:overflowPunct/>
                    <w:topLinePunct w:val="0"/>
                    <w:autoSpaceDE/>
                    <w:autoSpaceDN/>
                    <w:bidi w:val="0"/>
                    <w:adjustRightInd/>
                    <w:snapToGrid/>
                    <w:ind w:right="105" w:rightChars="50"/>
                    <w:jc w:val="center"/>
                    <w:textAlignment w:val="baseline"/>
                    <w:rPr>
                      <w:rFonts w:hint="default" w:ascii="Times New Roman" w:hAnsi="Times New Roman" w:eastAsia="宋体" w:cs="Times New Roman"/>
                      <w:color w:val="auto"/>
                      <w:sz w:val="21"/>
                      <w:szCs w:val="21"/>
                      <w:highlight w:val="none"/>
                      <w:u w:val="none" w:color="auto"/>
                    </w:rPr>
                  </w:pPr>
                </w:p>
              </w:tc>
              <w:tc>
                <w:tcPr>
                  <w:tcW w:w="394" w:type="pct"/>
                  <w:tcBorders>
                    <w:tl2br w:val="nil"/>
                    <w:tr2bl w:val="nil"/>
                  </w:tcBorders>
                  <w:vAlign w:val="center"/>
                </w:tcPr>
                <w:p w14:paraId="3A158A70">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相符</w:t>
                  </w:r>
                </w:p>
              </w:tc>
            </w:tr>
            <w:tr w14:paraId="134CCFA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208" w:type="pct"/>
                  <w:vMerge w:val="continue"/>
                  <w:tcBorders>
                    <w:tl2br w:val="nil"/>
                    <w:tr2bl w:val="nil"/>
                  </w:tcBorders>
                  <w:vAlign w:val="center"/>
                </w:tcPr>
                <w:p w14:paraId="537FB7EB">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color w:val="auto"/>
                      <w:sz w:val="21"/>
                      <w:szCs w:val="21"/>
                      <w:highlight w:val="yellow"/>
                      <w:u w:val="none" w:color="auto"/>
                    </w:rPr>
                  </w:pPr>
                </w:p>
              </w:tc>
              <w:tc>
                <w:tcPr>
                  <w:tcW w:w="2032" w:type="pct"/>
                  <w:tcBorders>
                    <w:tl2br w:val="nil"/>
                    <w:tr2bl w:val="nil"/>
                  </w:tcBorders>
                  <w:vAlign w:val="center"/>
                </w:tcPr>
                <w:p w14:paraId="65BFA66F">
                  <w:pPr>
                    <w:keepNext w:val="0"/>
                    <w:keepLines w:val="0"/>
                    <w:pageBreakBefore w:val="0"/>
                    <w:widowControl w:val="0"/>
                    <w:kinsoku/>
                    <w:wordWrap/>
                    <w:overflowPunct/>
                    <w:topLinePunct w:val="0"/>
                    <w:autoSpaceDE/>
                    <w:autoSpaceDN/>
                    <w:bidi w:val="0"/>
                    <w:adjustRightInd/>
                    <w:snapToGrid/>
                    <w:ind w:right="105" w:rightChars="50"/>
                    <w:jc w:val="center"/>
                    <w:textAlignment w:val="baseline"/>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11.3企业宜参照铸造领域相关安全标准开展安全生产管理</w:t>
                  </w:r>
                </w:p>
              </w:tc>
              <w:tc>
                <w:tcPr>
                  <w:tcW w:w="2364" w:type="pct"/>
                  <w:vMerge w:val="continue"/>
                  <w:tcBorders>
                    <w:tl2br w:val="nil"/>
                    <w:tr2bl w:val="nil"/>
                  </w:tcBorders>
                  <w:vAlign w:val="center"/>
                </w:tcPr>
                <w:p w14:paraId="0460D807">
                  <w:pPr>
                    <w:keepNext w:val="0"/>
                    <w:keepLines w:val="0"/>
                    <w:pageBreakBefore w:val="0"/>
                    <w:widowControl w:val="0"/>
                    <w:kinsoku/>
                    <w:wordWrap/>
                    <w:overflowPunct/>
                    <w:topLinePunct w:val="0"/>
                    <w:autoSpaceDE/>
                    <w:autoSpaceDN/>
                    <w:bidi w:val="0"/>
                    <w:adjustRightInd/>
                    <w:snapToGrid/>
                    <w:ind w:right="105" w:rightChars="50"/>
                    <w:jc w:val="center"/>
                    <w:textAlignment w:val="baseline"/>
                    <w:rPr>
                      <w:rFonts w:hint="default" w:ascii="Times New Roman" w:hAnsi="Times New Roman" w:eastAsia="宋体" w:cs="Times New Roman"/>
                      <w:color w:val="auto"/>
                      <w:sz w:val="21"/>
                      <w:szCs w:val="21"/>
                      <w:highlight w:val="none"/>
                      <w:u w:val="none" w:color="auto"/>
                    </w:rPr>
                  </w:pPr>
                </w:p>
              </w:tc>
              <w:tc>
                <w:tcPr>
                  <w:tcW w:w="394" w:type="pct"/>
                  <w:tcBorders>
                    <w:tl2br w:val="nil"/>
                    <w:tr2bl w:val="nil"/>
                  </w:tcBorders>
                  <w:vAlign w:val="center"/>
                </w:tcPr>
                <w:p w14:paraId="124C4702">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相符</w:t>
                  </w:r>
                </w:p>
              </w:tc>
            </w:tr>
            <w:tr w14:paraId="2197AFA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208" w:type="pct"/>
                  <w:vMerge w:val="continue"/>
                  <w:tcBorders>
                    <w:tl2br w:val="nil"/>
                    <w:tr2bl w:val="nil"/>
                  </w:tcBorders>
                  <w:vAlign w:val="center"/>
                </w:tcPr>
                <w:p w14:paraId="04C5F3F0">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color w:val="auto"/>
                      <w:sz w:val="21"/>
                      <w:szCs w:val="21"/>
                      <w:highlight w:val="yellow"/>
                      <w:u w:val="none" w:color="auto"/>
                    </w:rPr>
                  </w:pPr>
                </w:p>
              </w:tc>
              <w:tc>
                <w:tcPr>
                  <w:tcW w:w="2032" w:type="pct"/>
                  <w:tcBorders>
                    <w:tl2br w:val="nil"/>
                    <w:tr2bl w:val="nil"/>
                  </w:tcBorders>
                  <w:vAlign w:val="center"/>
                </w:tcPr>
                <w:p w14:paraId="392BE440">
                  <w:pPr>
                    <w:keepNext w:val="0"/>
                    <w:keepLines w:val="0"/>
                    <w:pageBreakBefore w:val="0"/>
                    <w:widowControl w:val="0"/>
                    <w:kinsoku/>
                    <w:wordWrap/>
                    <w:overflowPunct/>
                    <w:topLinePunct w:val="0"/>
                    <w:autoSpaceDE/>
                    <w:autoSpaceDN/>
                    <w:bidi w:val="0"/>
                    <w:adjustRightInd/>
                    <w:snapToGrid/>
                    <w:ind w:right="105" w:rightChars="50"/>
                    <w:jc w:val="center"/>
                    <w:textAlignment w:val="baseline"/>
                    <w:rPr>
                      <w:rFonts w:hint="default" w:ascii="Times New Roman" w:hAnsi="Times New Roman" w:eastAsia="宋体" w:cs="Times New Roman"/>
                      <w:color w:val="auto"/>
                      <w:sz w:val="21"/>
                      <w:szCs w:val="21"/>
                      <w:highlight w:val="none"/>
                      <w:u w:val="none" w:color="auto"/>
                    </w:rPr>
                  </w:pPr>
                  <w:bookmarkStart w:id="37" w:name="sys568046"/>
                  <w:r>
                    <w:rPr>
                      <w:rFonts w:hint="default" w:ascii="Times New Roman" w:hAnsi="Times New Roman" w:eastAsia="宋体" w:cs="Times New Roman"/>
                      <w:color w:val="auto"/>
                      <w:sz w:val="21"/>
                      <w:szCs w:val="21"/>
                      <w:highlight w:val="none"/>
                      <w:u w:val="none" w:color="auto"/>
                    </w:rPr>
                    <w:t>11.4企业可按照GBT45001标准要求建立职业健康安全管理体系，通过认证并持续有效运行。</w:t>
                  </w:r>
                  <w:bookmarkEnd w:id="37"/>
                </w:p>
              </w:tc>
              <w:tc>
                <w:tcPr>
                  <w:tcW w:w="2364" w:type="pct"/>
                  <w:vMerge w:val="continue"/>
                  <w:tcBorders>
                    <w:tl2br w:val="nil"/>
                    <w:tr2bl w:val="nil"/>
                  </w:tcBorders>
                  <w:vAlign w:val="center"/>
                </w:tcPr>
                <w:p w14:paraId="63E04F94">
                  <w:pPr>
                    <w:keepNext w:val="0"/>
                    <w:keepLines w:val="0"/>
                    <w:pageBreakBefore w:val="0"/>
                    <w:widowControl w:val="0"/>
                    <w:kinsoku/>
                    <w:wordWrap/>
                    <w:overflowPunct/>
                    <w:topLinePunct w:val="0"/>
                    <w:autoSpaceDE/>
                    <w:autoSpaceDN/>
                    <w:bidi w:val="0"/>
                    <w:adjustRightInd/>
                    <w:snapToGrid/>
                    <w:ind w:right="105" w:rightChars="50"/>
                    <w:jc w:val="center"/>
                    <w:textAlignment w:val="baseline"/>
                    <w:rPr>
                      <w:rFonts w:hint="default" w:ascii="Times New Roman" w:hAnsi="Times New Roman" w:eastAsia="宋体" w:cs="Times New Roman"/>
                      <w:color w:val="auto"/>
                      <w:sz w:val="21"/>
                      <w:szCs w:val="21"/>
                      <w:highlight w:val="none"/>
                      <w:u w:val="none" w:color="auto"/>
                    </w:rPr>
                  </w:pPr>
                </w:p>
              </w:tc>
              <w:tc>
                <w:tcPr>
                  <w:tcW w:w="394" w:type="pct"/>
                  <w:tcBorders>
                    <w:tl2br w:val="nil"/>
                    <w:tr2bl w:val="nil"/>
                  </w:tcBorders>
                  <w:vAlign w:val="center"/>
                </w:tcPr>
                <w:p w14:paraId="2F59C2EC">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相符</w:t>
                  </w:r>
                </w:p>
              </w:tc>
            </w:tr>
            <w:tr w14:paraId="07BA829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208" w:type="pct"/>
                  <w:vMerge w:val="continue"/>
                  <w:tcBorders>
                    <w:tl2br w:val="nil"/>
                    <w:tr2bl w:val="nil"/>
                  </w:tcBorders>
                  <w:vAlign w:val="center"/>
                </w:tcPr>
                <w:p w14:paraId="53396970">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color w:val="auto"/>
                      <w:sz w:val="21"/>
                      <w:szCs w:val="21"/>
                      <w:highlight w:val="yellow"/>
                      <w:u w:val="none" w:color="auto"/>
                    </w:rPr>
                  </w:pPr>
                </w:p>
              </w:tc>
              <w:tc>
                <w:tcPr>
                  <w:tcW w:w="2032" w:type="pct"/>
                  <w:tcBorders>
                    <w:tl2br w:val="nil"/>
                    <w:tr2bl w:val="nil"/>
                  </w:tcBorders>
                  <w:vAlign w:val="center"/>
                </w:tcPr>
                <w:p w14:paraId="5C8EBF22">
                  <w:pPr>
                    <w:keepNext w:val="0"/>
                    <w:keepLines w:val="0"/>
                    <w:pageBreakBefore w:val="0"/>
                    <w:widowControl w:val="0"/>
                    <w:kinsoku/>
                    <w:wordWrap/>
                    <w:overflowPunct/>
                    <w:topLinePunct w:val="0"/>
                    <w:autoSpaceDE/>
                    <w:autoSpaceDN/>
                    <w:bidi w:val="0"/>
                    <w:adjustRightInd/>
                    <w:snapToGrid/>
                    <w:ind w:right="105" w:rightChars="50"/>
                    <w:jc w:val="center"/>
                    <w:textAlignment w:val="baseline"/>
                    <w:rPr>
                      <w:rFonts w:hint="default" w:ascii="Times New Roman" w:hAnsi="Times New Roman" w:eastAsia="宋体" w:cs="Times New Roman"/>
                      <w:color w:val="auto"/>
                      <w:sz w:val="21"/>
                      <w:szCs w:val="21"/>
                      <w:highlight w:val="none"/>
                      <w:u w:val="none" w:color="auto"/>
                    </w:rPr>
                  </w:pPr>
                  <w:bookmarkStart w:id="38" w:name="sys572074"/>
                  <w:r>
                    <w:rPr>
                      <w:rFonts w:hint="default" w:ascii="Times New Roman" w:hAnsi="Times New Roman" w:eastAsia="宋体" w:cs="Times New Roman"/>
                      <w:color w:val="auto"/>
                      <w:sz w:val="21"/>
                      <w:szCs w:val="21"/>
                      <w:highlight w:val="none"/>
                      <w:u w:val="none" w:color="auto"/>
                    </w:rPr>
                    <w:t>11.5特种作业人员、特种设备操作人员、计量人员、理化检验人员及无损探伤等特殊岗位的人员应具有经相应的资质门颁发的资格证书，持证上岗率应达100%。</w:t>
                  </w:r>
                  <w:bookmarkEnd w:id="38"/>
                </w:p>
              </w:tc>
              <w:tc>
                <w:tcPr>
                  <w:tcW w:w="2364" w:type="pct"/>
                  <w:vMerge w:val="continue"/>
                  <w:tcBorders>
                    <w:tl2br w:val="nil"/>
                    <w:tr2bl w:val="nil"/>
                  </w:tcBorders>
                  <w:vAlign w:val="center"/>
                </w:tcPr>
                <w:p w14:paraId="6B476632">
                  <w:pPr>
                    <w:keepNext w:val="0"/>
                    <w:keepLines w:val="0"/>
                    <w:pageBreakBefore w:val="0"/>
                    <w:widowControl w:val="0"/>
                    <w:kinsoku/>
                    <w:wordWrap/>
                    <w:overflowPunct/>
                    <w:topLinePunct w:val="0"/>
                    <w:autoSpaceDE/>
                    <w:autoSpaceDN/>
                    <w:bidi w:val="0"/>
                    <w:adjustRightInd/>
                    <w:snapToGrid/>
                    <w:ind w:right="105" w:rightChars="50"/>
                    <w:jc w:val="center"/>
                    <w:textAlignment w:val="baseline"/>
                    <w:rPr>
                      <w:rFonts w:hint="default" w:ascii="Times New Roman" w:hAnsi="Times New Roman" w:eastAsia="宋体" w:cs="Times New Roman"/>
                      <w:color w:val="auto"/>
                      <w:sz w:val="21"/>
                      <w:szCs w:val="21"/>
                      <w:highlight w:val="none"/>
                      <w:u w:val="none" w:color="auto"/>
                    </w:rPr>
                  </w:pPr>
                </w:p>
              </w:tc>
              <w:tc>
                <w:tcPr>
                  <w:tcW w:w="394" w:type="pct"/>
                  <w:tcBorders>
                    <w:tl2br w:val="nil"/>
                    <w:tr2bl w:val="nil"/>
                  </w:tcBorders>
                  <w:vAlign w:val="center"/>
                </w:tcPr>
                <w:p w14:paraId="2D288D1E">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相符</w:t>
                  </w:r>
                </w:p>
              </w:tc>
            </w:tr>
          </w:tbl>
          <w:p w14:paraId="60109033">
            <w:pPr>
              <w:autoSpaceDE w:val="0"/>
              <w:autoSpaceDN w:val="0"/>
              <w:adjustRightInd w:val="0"/>
              <w:snapToGrid w:val="0"/>
              <w:spacing w:line="500" w:lineRule="exact"/>
              <w:ind w:firstLine="480" w:firstLineChars="200"/>
              <w:rPr>
                <w:rFonts w:hint="default" w:ascii="Times New Roman" w:hAnsi="Times New Roman" w:eastAsia="宋体" w:cs="Times New Roman"/>
                <w:color w:val="auto"/>
                <w:kern w:val="0"/>
                <w:sz w:val="24"/>
                <w:szCs w:val="24"/>
                <w:highlight w:val="none"/>
                <w:u w:val="none" w:color="auto"/>
              </w:rPr>
            </w:pPr>
            <w:r>
              <w:rPr>
                <w:rFonts w:hint="default" w:ascii="Times New Roman" w:hAnsi="Times New Roman" w:eastAsia="宋体" w:cs="Times New Roman"/>
                <w:color w:val="auto"/>
                <w:kern w:val="0"/>
                <w:sz w:val="24"/>
                <w:szCs w:val="24"/>
                <w:highlight w:val="none"/>
                <w:u w:val="none" w:color="auto"/>
              </w:rPr>
              <w:t>由上表可知：本项目建设与《铸造企业规范条件》（T/CFA0310021）的相关要求均相符。</w:t>
            </w:r>
          </w:p>
          <w:p w14:paraId="7A73CA43">
            <w:pPr>
              <w:keepNext w:val="0"/>
              <w:keepLines w:val="0"/>
              <w:pageBreakBefore w:val="0"/>
              <w:widowControl w:val="0"/>
              <w:kinsoku/>
              <w:wordWrap/>
              <w:overflowPunct/>
              <w:topLinePunct w:val="0"/>
              <w:autoSpaceDE w:val="0"/>
              <w:autoSpaceDN w:val="0"/>
              <w:bidi w:val="0"/>
              <w:adjustRightInd/>
              <w:snapToGrid/>
              <w:spacing w:line="360" w:lineRule="auto"/>
              <w:rPr>
                <w:rFonts w:hint="default" w:ascii="Times New Roman" w:hAnsi="Times New Roman" w:eastAsia="宋体" w:cs="Times New Roman"/>
                <w:b/>
                <w:bCs/>
                <w:color w:val="auto"/>
                <w:kern w:val="0"/>
                <w:sz w:val="24"/>
                <w:szCs w:val="24"/>
                <w:highlight w:val="none"/>
                <w:u w:val="none" w:color="auto"/>
              </w:rPr>
            </w:pPr>
            <w:r>
              <w:rPr>
                <w:rFonts w:hint="default" w:ascii="Times New Roman" w:hAnsi="Times New Roman" w:eastAsia="宋体" w:cs="Times New Roman"/>
                <w:b/>
                <w:bCs/>
                <w:color w:val="auto"/>
                <w:kern w:val="0"/>
                <w:sz w:val="24"/>
                <w:szCs w:val="24"/>
                <w:highlight w:val="none"/>
                <w:u w:val="none" w:color="auto"/>
                <w:lang w:val="en-US" w:eastAsia="zh-CN"/>
              </w:rPr>
              <w:t>八、</w:t>
            </w:r>
            <w:r>
              <w:rPr>
                <w:rFonts w:hint="default" w:ascii="Times New Roman" w:hAnsi="Times New Roman" w:eastAsia="宋体" w:cs="Times New Roman"/>
                <w:b/>
                <w:bCs/>
                <w:color w:val="auto"/>
                <w:kern w:val="0"/>
                <w:sz w:val="24"/>
                <w:szCs w:val="24"/>
                <w:highlight w:val="none"/>
                <w:u w:val="none" w:color="auto"/>
              </w:rPr>
              <w:t>与《铸造工业大气污染物排放标准》（GB39726—2020）相符性分析</w:t>
            </w:r>
          </w:p>
          <w:p w14:paraId="032E01DF">
            <w:pPr>
              <w:keepNext w:val="0"/>
              <w:keepLines w:val="0"/>
              <w:pageBreakBefore w:val="0"/>
              <w:widowControl w:val="0"/>
              <w:kinsoku/>
              <w:wordWrap/>
              <w:overflowPunct/>
              <w:topLinePunct w:val="0"/>
              <w:bidi w:val="0"/>
              <w:adjustRightInd/>
              <w:snapToGrid/>
              <w:spacing w:line="360" w:lineRule="auto"/>
              <w:ind w:firstLine="480" w:firstLineChars="200"/>
              <w:textAlignment w:val="baseline"/>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本项目与《铸造工业大气污染物排放标准》（GB39726—2020）的相符性分析详见下表。</w:t>
            </w:r>
          </w:p>
          <w:p w14:paraId="170A7ABE">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b/>
                <w:bCs/>
                <w:color w:val="auto"/>
                <w:kern w:val="0"/>
                <w:sz w:val="21"/>
                <w:szCs w:val="21"/>
                <w:highlight w:val="none"/>
                <w:u w:val="none" w:color="auto"/>
              </w:rPr>
            </w:pPr>
            <w:bookmarkStart w:id="39" w:name="sys697032"/>
            <w:r>
              <w:rPr>
                <w:rFonts w:hint="default" w:ascii="Times New Roman" w:hAnsi="Times New Roman" w:eastAsia="宋体" w:cs="Times New Roman"/>
                <w:b/>
                <w:bCs/>
                <w:color w:val="auto"/>
                <w:kern w:val="0"/>
                <w:sz w:val="21"/>
                <w:szCs w:val="21"/>
                <w:highlight w:val="none"/>
                <w:u w:val="none" w:color="auto"/>
              </w:rPr>
              <w:t>表1-</w:t>
            </w:r>
            <w:r>
              <w:rPr>
                <w:rFonts w:hint="default" w:ascii="Times New Roman" w:hAnsi="Times New Roman" w:eastAsia="宋体" w:cs="Times New Roman"/>
                <w:b/>
                <w:bCs/>
                <w:color w:val="auto"/>
                <w:kern w:val="0"/>
                <w:sz w:val="21"/>
                <w:szCs w:val="21"/>
                <w:highlight w:val="none"/>
                <w:u w:val="none" w:color="auto"/>
                <w:lang w:val="en-US" w:eastAsia="zh-CN"/>
              </w:rPr>
              <w:t xml:space="preserve">7  </w:t>
            </w:r>
            <w:r>
              <w:rPr>
                <w:rFonts w:hint="default" w:ascii="Times New Roman" w:hAnsi="Times New Roman" w:eastAsia="宋体" w:cs="Times New Roman"/>
                <w:b/>
                <w:bCs/>
                <w:color w:val="auto"/>
                <w:kern w:val="0"/>
                <w:sz w:val="21"/>
                <w:szCs w:val="21"/>
                <w:highlight w:val="none"/>
                <w:u w:val="none" w:color="auto"/>
              </w:rPr>
              <w:t>本项目与《铸造工业大气污染物排放标准》相符性分析一览表</w:t>
            </w:r>
            <w:bookmarkEnd w:id="39"/>
          </w:p>
          <w:tbl>
            <w:tblPr>
              <w:tblStyle w:val="31"/>
              <w:tblW w:w="5000" w:type="pct"/>
              <w:tblInd w:w="-15"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
            <w:tblGrid>
              <w:gridCol w:w="334"/>
              <w:gridCol w:w="4238"/>
              <w:gridCol w:w="1595"/>
              <w:gridCol w:w="507"/>
            </w:tblGrid>
            <w:tr w14:paraId="55CD5A3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50" w:type="pct"/>
                  <w:tcBorders>
                    <w:tl2br w:val="nil"/>
                    <w:tr2bl w:val="nil"/>
                  </w:tcBorders>
                  <w:tcMar>
                    <w:top w:w="57" w:type="dxa"/>
                    <w:left w:w="57" w:type="dxa"/>
                    <w:bottom w:w="57" w:type="dxa"/>
                    <w:right w:w="57" w:type="dxa"/>
                  </w:tcMar>
                  <w:vAlign w:val="center"/>
                </w:tcPr>
                <w:p w14:paraId="2721B100">
                  <w:pPr>
                    <w:keepNext w:val="0"/>
                    <w:keepLines w:val="0"/>
                    <w:pageBreakBefore w:val="0"/>
                    <w:widowControl w:val="0"/>
                    <w:kinsoku/>
                    <w:wordWrap/>
                    <w:overflowPunct/>
                    <w:topLinePunct w:val="0"/>
                    <w:autoSpaceDE/>
                    <w:autoSpaceDN/>
                    <w:bidi w:val="0"/>
                    <w:adjustRightInd/>
                    <w:snapToGrid/>
                    <w:ind w:right="0" w:rightChars="0"/>
                    <w:jc w:val="center"/>
                    <w:textAlignment w:val="baseline"/>
                    <w:rPr>
                      <w:rFonts w:hint="default" w:ascii="Times New Roman" w:hAnsi="Times New Roman" w:eastAsia="宋体" w:cs="Times New Roman"/>
                      <w:b/>
                      <w:color w:val="auto"/>
                      <w:sz w:val="21"/>
                      <w:szCs w:val="21"/>
                      <w:highlight w:val="none"/>
                      <w:u w:val="none" w:color="auto"/>
                    </w:rPr>
                  </w:pPr>
                  <w:r>
                    <w:rPr>
                      <w:rFonts w:hint="default" w:ascii="Times New Roman" w:hAnsi="Times New Roman" w:eastAsia="宋体" w:cs="Times New Roman"/>
                      <w:b/>
                      <w:color w:val="auto"/>
                      <w:sz w:val="21"/>
                      <w:szCs w:val="21"/>
                      <w:highlight w:val="none"/>
                      <w:u w:val="none" w:color="auto"/>
                    </w:rPr>
                    <w:t>序号</w:t>
                  </w:r>
                </w:p>
              </w:tc>
              <w:tc>
                <w:tcPr>
                  <w:tcW w:w="3175" w:type="pct"/>
                  <w:tcBorders>
                    <w:tl2br w:val="nil"/>
                    <w:tr2bl w:val="nil"/>
                  </w:tcBorders>
                  <w:tcMar>
                    <w:top w:w="57" w:type="dxa"/>
                    <w:left w:w="57" w:type="dxa"/>
                    <w:bottom w:w="57" w:type="dxa"/>
                    <w:right w:w="57" w:type="dxa"/>
                  </w:tcMar>
                  <w:vAlign w:val="center"/>
                </w:tcPr>
                <w:p w14:paraId="529004F8">
                  <w:pPr>
                    <w:keepNext w:val="0"/>
                    <w:keepLines w:val="0"/>
                    <w:pageBreakBefore w:val="0"/>
                    <w:widowControl w:val="0"/>
                    <w:kinsoku/>
                    <w:wordWrap/>
                    <w:overflowPunct/>
                    <w:topLinePunct w:val="0"/>
                    <w:autoSpaceDE/>
                    <w:autoSpaceDN/>
                    <w:bidi w:val="0"/>
                    <w:adjustRightInd/>
                    <w:snapToGrid/>
                    <w:ind w:right="0" w:rightChars="0"/>
                    <w:jc w:val="center"/>
                    <w:textAlignment w:val="baseline"/>
                    <w:rPr>
                      <w:rFonts w:hint="default" w:ascii="Times New Roman" w:hAnsi="Times New Roman" w:eastAsia="宋体" w:cs="Times New Roman"/>
                      <w:b/>
                      <w:color w:val="auto"/>
                      <w:sz w:val="21"/>
                      <w:szCs w:val="21"/>
                      <w:highlight w:val="none"/>
                      <w:u w:val="none" w:color="auto"/>
                    </w:rPr>
                  </w:pPr>
                  <w:r>
                    <w:rPr>
                      <w:rFonts w:hint="default" w:ascii="Times New Roman" w:hAnsi="Times New Roman" w:eastAsia="宋体" w:cs="Times New Roman"/>
                      <w:b/>
                      <w:color w:val="auto"/>
                      <w:sz w:val="21"/>
                      <w:szCs w:val="21"/>
                      <w:highlight w:val="none"/>
                      <w:u w:val="none" w:color="auto"/>
                    </w:rPr>
                    <w:t>要求</w:t>
                  </w:r>
                </w:p>
              </w:tc>
              <w:tc>
                <w:tcPr>
                  <w:tcW w:w="1194" w:type="pct"/>
                  <w:tcBorders>
                    <w:tl2br w:val="nil"/>
                    <w:tr2bl w:val="nil"/>
                  </w:tcBorders>
                  <w:tcMar>
                    <w:top w:w="57" w:type="dxa"/>
                    <w:left w:w="57" w:type="dxa"/>
                    <w:bottom w:w="57" w:type="dxa"/>
                    <w:right w:w="57" w:type="dxa"/>
                  </w:tcMar>
                  <w:vAlign w:val="center"/>
                </w:tcPr>
                <w:p w14:paraId="7A1B923B">
                  <w:pPr>
                    <w:keepNext w:val="0"/>
                    <w:keepLines w:val="0"/>
                    <w:pageBreakBefore w:val="0"/>
                    <w:widowControl w:val="0"/>
                    <w:kinsoku/>
                    <w:wordWrap/>
                    <w:overflowPunct/>
                    <w:topLinePunct w:val="0"/>
                    <w:autoSpaceDE/>
                    <w:autoSpaceDN/>
                    <w:bidi w:val="0"/>
                    <w:adjustRightInd/>
                    <w:snapToGrid/>
                    <w:ind w:right="0" w:rightChars="0"/>
                    <w:jc w:val="center"/>
                    <w:textAlignment w:val="baseline"/>
                    <w:rPr>
                      <w:rFonts w:hint="default" w:ascii="Times New Roman" w:hAnsi="Times New Roman" w:eastAsia="宋体" w:cs="Times New Roman"/>
                      <w:b/>
                      <w:color w:val="auto"/>
                      <w:sz w:val="21"/>
                      <w:szCs w:val="21"/>
                      <w:highlight w:val="none"/>
                      <w:u w:val="none" w:color="auto"/>
                    </w:rPr>
                  </w:pPr>
                  <w:r>
                    <w:rPr>
                      <w:rFonts w:hint="default" w:ascii="Times New Roman" w:hAnsi="Times New Roman" w:eastAsia="宋体" w:cs="Times New Roman"/>
                      <w:b/>
                      <w:color w:val="auto"/>
                      <w:sz w:val="21"/>
                      <w:szCs w:val="21"/>
                      <w:highlight w:val="none"/>
                      <w:u w:val="none" w:color="auto"/>
                    </w:rPr>
                    <w:t>本项目情况</w:t>
                  </w:r>
                </w:p>
              </w:tc>
              <w:tc>
                <w:tcPr>
                  <w:tcW w:w="379" w:type="pct"/>
                  <w:tcBorders>
                    <w:tl2br w:val="nil"/>
                    <w:tr2bl w:val="nil"/>
                  </w:tcBorders>
                  <w:tcMar>
                    <w:top w:w="57" w:type="dxa"/>
                    <w:left w:w="57" w:type="dxa"/>
                    <w:bottom w:w="57" w:type="dxa"/>
                    <w:right w:w="57" w:type="dxa"/>
                  </w:tcMar>
                  <w:vAlign w:val="center"/>
                </w:tcPr>
                <w:p w14:paraId="0EC5D01B">
                  <w:pPr>
                    <w:keepNext w:val="0"/>
                    <w:keepLines w:val="0"/>
                    <w:pageBreakBefore w:val="0"/>
                    <w:widowControl w:val="0"/>
                    <w:kinsoku/>
                    <w:wordWrap/>
                    <w:overflowPunct/>
                    <w:topLinePunct w:val="0"/>
                    <w:autoSpaceDE/>
                    <w:autoSpaceDN/>
                    <w:bidi w:val="0"/>
                    <w:adjustRightInd/>
                    <w:snapToGrid/>
                    <w:ind w:right="0" w:rightChars="0"/>
                    <w:jc w:val="center"/>
                    <w:textAlignment w:val="baseline"/>
                    <w:rPr>
                      <w:rFonts w:hint="default" w:ascii="Times New Roman" w:hAnsi="Times New Roman" w:eastAsia="宋体" w:cs="Times New Roman"/>
                      <w:b/>
                      <w:color w:val="auto"/>
                      <w:sz w:val="21"/>
                      <w:szCs w:val="21"/>
                      <w:highlight w:val="none"/>
                      <w:u w:val="none" w:color="auto"/>
                    </w:rPr>
                  </w:pPr>
                  <w:r>
                    <w:rPr>
                      <w:rFonts w:hint="default" w:ascii="Times New Roman" w:hAnsi="Times New Roman" w:eastAsia="宋体" w:cs="Times New Roman"/>
                      <w:b/>
                      <w:color w:val="auto"/>
                      <w:sz w:val="21"/>
                      <w:szCs w:val="21"/>
                      <w:highlight w:val="none"/>
                      <w:u w:val="none" w:color="auto"/>
                    </w:rPr>
                    <w:t>相符性</w:t>
                  </w:r>
                </w:p>
              </w:tc>
            </w:tr>
            <w:tr w14:paraId="49981FE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50" w:type="pct"/>
                  <w:tcBorders>
                    <w:tl2br w:val="nil"/>
                    <w:tr2bl w:val="nil"/>
                  </w:tcBorders>
                  <w:tcMar>
                    <w:top w:w="57" w:type="dxa"/>
                    <w:left w:w="57" w:type="dxa"/>
                    <w:bottom w:w="57" w:type="dxa"/>
                    <w:right w:w="57" w:type="dxa"/>
                  </w:tcMar>
                  <w:vAlign w:val="center"/>
                </w:tcPr>
                <w:p w14:paraId="420B224F">
                  <w:pPr>
                    <w:keepNext w:val="0"/>
                    <w:keepLines w:val="0"/>
                    <w:pageBreakBefore w:val="0"/>
                    <w:widowControl w:val="0"/>
                    <w:kinsoku/>
                    <w:wordWrap/>
                    <w:overflowPunct/>
                    <w:topLinePunct w:val="0"/>
                    <w:autoSpaceDE/>
                    <w:autoSpaceDN/>
                    <w:bidi w:val="0"/>
                    <w:adjustRightInd/>
                    <w:snapToGrid/>
                    <w:ind w:right="0" w:rightChars="0"/>
                    <w:jc w:val="center"/>
                    <w:textAlignment w:val="baseline"/>
                    <w:rPr>
                      <w:rFonts w:hint="default" w:ascii="Times New Roman" w:hAnsi="Times New Roman" w:eastAsia="宋体" w:cs="Times New Roman"/>
                      <w:color w:val="auto"/>
                      <w:sz w:val="21"/>
                      <w:szCs w:val="21"/>
                      <w:highlight w:val="none"/>
                      <w:u w:val="none" w:color="auto"/>
                      <w:shd w:val="clear" w:color="auto" w:fill="FFFFFF"/>
                    </w:rPr>
                  </w:pPr>
                  <w:r>
                    <w:rPr>
                      <w:rFonts w:hint="default" w:ascii="Times New Roman" w:hAnsi="Times New Roman" w:eastAsia="宋体" w:cs="Times New Roman"/>
                      <w:color w:val="auto"/>
                      <w:sz w:val="21"/>
                      <w:szCs w:val="21"/>
                      <w:highlight w:val="none"/>
                      <w:u w:val="none" w:color="auto"/>
                      <w:shd w:val="clear" w:color="auto" w:fill="FFFFFF"/>
                    </w:rPr>
                    <w:t>4有组织排放控制要求</w:t>
                  </w:r>
                </w:p>
              </w:tc>
              <w:tc>
                <w:tcPr>
                  <w:tcW w:w="3175" w:type="pct"/>
                  <w:tcBorders>
                    <w:tl2br w:val="nil"/>
                    <w:tr2bl w:val="nil"/>
                  </w:tcBorders>
                  <w:tcMar>
                    <w:top w:w="57" w:type="dxa"/>
                    <w:left w:w="57" w:type="dxa"/>
                    <w:bottom w:w="57" w:type="dxa"/>
                    <w:right w:w="57" w:type="dxa"/>
                  </w:tcMar>
                  <w:vAlign w:val="center"/>
                </w:tcPr>
                <w:p w14:paraId="4030163A">
                  <w:pPr>
                    <w:keepNext w:val="0"/>
                    <w:keepLines w:val="0"/>
                    <w:pageBreakBefore w:val="0"/>
                    <w:widowControl w:val="0"/>
                    <w:kinsoku/>
                    <w:wordWrap/>
                    <w:overflowPunct/>
                    <w:topLinePunct w:val="0"/>
                    <w:autoSpaceDE/>
                    <w:autoSpaceDN/>
                    <w:bidi w:val="0"/>
                    <w:adjustRightInd/>
                    <w:snapToGrid/>
                    <w:ind w:right="0" w:rightChars="0"/>
                    <w:jc w:val="center"/>
                    <w:textAlignment w:val="baseline"/>
                    <w:rPr>
                      <w:rFonts w:hint="default" w:ascii="Times New Roman" w:hAnsi="Times New Roman" w:eastAsia="宋体" w:cs="Times New Roman"/>
                      <w:color w:val="auto"/>
                      <w:sz w:val="21"/>
                      <w:szCs w:val="21"/>
                      <w:highlight w:val="none"/>
                      <w:u w:val="none" w:color="auto"/>
                      <w:shd w:val="clear" w:color="auto" w:fill="FFFFFF"/>
                    </w:rPr>
                  </w:pPr>
                  <w:bookmarkStart w:id="40" w:name="sys703047"/>
                  <w:r>
                    <w:rPr>
                      <w:rFonts w:hint="default" w:ascii="Times New Roman" w:hAnsi="Times New Roman" w:eastAsia="宋体" w:cs="Times New Roman"/>
                      <w:color w:val="auto"/>
                      <w:sz w:val="21"/>
                      <w:szCs w:val="21"/>
                      <w:highlight w:val="none"/>
                      <w:u w:val="none" w:color="auto"/>
                    </w:rPr>
                    <w:t>冲天炉烟气颗粒物、二氧化硫、氮氧化物浓度小时均值分别不高于40、200、300毫克/立方米；</w:t>
                  </w:r>
                  <w:bookmarkEnd w:id="40"/>
                  <w:bookmarkStart w:id="41" w:name="sys7034746"/>
                  <w:r>
                    <w:rPr>
                      <w:rFonts w:hint="default" w:ascii="Times New Roman" w:hAnsi="Times New Roman" w:eastAsia="宋体" w:cs="Times New Roman"/>
                      <w:color w:val="auto"/>
                      <w:sz w:val="21"/>
                      <w:szCs w:val="21"/>
                      <w:highlight w:val="none"/>
                      <w:u w:val="none" w:color="auto"/>
                    </w:rPr>
                    <w:t>燃气炉烟气颗粒物、二氧化硫、氮氧化物浓度小时均值分别不高于30、100、400毫克/立方米；</w:t>
                  </w:r>
                  <w:bookmarkEnd w:id="41"/>
                  <w:bookmarkStart w:id="42" w:name="sys70393162"/>
                  <w:r>
                    <w:rPr>
                      <w:rFonts w:hint="default" w:ascii="Times New Roman" w:hAnsi="Times New Roman" w:eastAsia="宋体" w:cs="Times New Roman"/>
                      <w:color w:val="auto"/>
                      <w:sz w:val="21"/>
                      <w:szCs w:val="21"/>
                      <w:highlight w:val="none"/>
                      <w:u w:val="none" w:color="auto"/>
                    </w:rPr>
                    <w:t>电弧炉、感应电炉、精炼炉等其他熔炼（化）炉、保温炉烟气颗粒物浓度小时均值不高于30毫克/立方米。自硬砂及干砂等造型设备、落砂机和抛（喷）丸机等清理设备、加砂和制芯设备、浇注区的颗粒物浓度小时均值不高于30毫克/立方米。砂处理及废砂再生设备烟气颗粒物、二氧化硫、氮氧化物浓度小时均值分别不高于30、150、300毫克/立方米；</w:t>
                  </w:r>
                  <w:bookmarkEnd w:id="42"/>
                  <w:bookmarkStart w:id="43" w:name="sys70325551"/>
                  <w:r>
                    <w:rPr>
                      <w:rFonts w:hint="default" w:ascii="Times New Roman" w:hAnsi="Times New Roman" w:eastAsia="宋体" w:cs="Times New Roman"/>
                      <w:color w:val="auto"/>
                      <w:sz w:val="21"/>
                      <w:szCs w:val="21"/>
                      <w:highlight w:val="none"/>
                      <w:u w:val="none" w:color="auto"/>
                    </w:rPr>
                    <w:t>铸件热处理设备烟气颗粒物、二氧化硫、氮氧化物浓度小时均值分别不高于30、100、300毫克/立方米。</w:t>
                  </w:r>
                  <w:bookmarkEnd w:id="43"/>
                  <w:bookmarkStart w:id="44" w:name="sys70330682"/>
                  <w:r>
                    <w:rPr>
                      <w:rFonts w:hint="default" w:ascii="Times New Roman" w:hAnsi="Times New Roman" w:eastAsia="宋体" w:cs="Times New Roman"/>
                      <w:color w:val="auto"/>
                      <w:sz w:val="21"/>
                      <w:szCs w:val="21"/>
                      <w:highlight w:val="none"/>
                      <w:u w:val="none" w:color="auto"/>
                    </w:rPr>
                    <w:t>表面涂装设备（线）烟气的颗粒物、苯、苯系物、NMHC（非甲烷总烃）、TVOC（总挥发性有机物）浓度小时均值分别不高于30、1、60、100、120毫克/立方米。</w:t>
                  </w:r>
                  <w:bookmarkEnd w:id="44"/>
                  <w:bookmarkStart w:id="45" w:name="sys70338832"/>
                  <w:r>
                    <w:rPr>
                      <w:rFonts w:hint="default" w:ascii="Times New Roman" w:hAnsi="Times New Roman" w:eastAsia="宋体" w:cs="Times New Roman"/>
                      <w:color w:val="auto"/>
                      <w:sz w:val="21"/>
                      <w:szCs w:val="21"/>
                      <w:highlight w:val="none"/>
                      <w:u w:val="none" w:color="auto"/>
                    </w:rPr>
                    <w:t>其他生产工序或设备、设施烟气颗粒物浓度不高于30毫克/立方米。</w:t>
                  </w:r>
                  <w:bookmarkEnd w:id="45"/>
                  <w:bookmarkStart w:id="46" w:name="sys70342056"/>
                  <w:r>
                    <w:rPr>
                      <w:rFonts w:hint="default" w:ascii="Times New Roman" w:hAnsi="Times New Roman" w:eastAsia="宋体" w:cs="Times New Roman"/>
                      <w:color w:val="auto"/>
                      <w:sz w:val="21"/>
                      <w:szCs w:val="21"/>
                      <w:highlight w:val="none"/>
                      <w:u w:val="none" w:color="auto"/>
                    </w:rPr>
                    <w:t>车间或生产设施排气中NMHC初始排放速率≥2kg/h的，VOCs（挥发性有机物）处理设施的处理效率不低于80%。</w:t>
                  </w:r>
                  <w:bookmarkEnd w:id="46"/>
                </w:p>
              </w:tc>
              <w:tc>
                <w:tcPr>
                  <w:tcW w:w="1194" w:type="pct"/>
                  <w:tcBorders>
                    <w:tl2br w:val="nil"/>
                    <w:tr2bl w:val="nil"/>
                  </w:tcBorders>
                  <w:tcMar>
                    <w:top w:w="57" w:type="dxa"/>
                    <w:left w:w="57" w:type="dxa"/>
                    <w:bottom w:w="57" w:type="dxa"/>
                    <w:right w:w="57" w:type="dxa"/>
                  </w:tcMar>
                  <w:vAlign w:val="center"/>
                </w:tcPr>
                <w:p w14:paraId="0FD18DA2">
                  <w:pPr>
                    <w:keepNext w:val="0"/>
                    <w:keepLines w:val="0"/>
                    <w:pageBreakBefore w:val="0"/>
                    <w:widowControl w:val="0"/>
                    <w:kinsoku/>
                    <w:wordWrap/>
                    <w:overflowPunct/>
                    <w:topLinePunct w:val="0"/>
                    <w:autoSpaceDE/>
                    <w:autoSpaceDN/>
                    <w:bidi w:val="0"/>
                    <w:adjustRightInd/>
                    <w:snapToGrid/>
                    <w:ind w:right="0" w:rightChars="0"/>
                    <w:jc w:val="center"/>
                    <w:textAlignment w:val="baseline"/>
                    <w:rPr>
                      <w:rFonts w:hint="default" w:ascii="Times New Roman" w:hAnsi="Times New Roman" w:eastAsia="宋体" w:cs="Times New Roman"/>
                      <w:color w:val="auto"/>
                      <w:sz w:val="21"/>
                      <w:szCs w:val="21"/>
                      <w:highlight w:val="none"/>
                      <w:u w:val="none" w:color="auto"/>
                      <w:lang w:val="en-US"/>
                    </w:rPr>
                  </w:pPr>
                  <w:bookmarkStart w:id="47" w:name="_Hlk169828599"/>
                  <w:bookmarkStart w:id="48" w:name="sys70413186"/>
                  <w:r>
                    <w:rPr>
                      <w:rFonts w:hint="default" w:ascii="Times New Roman" w:hAnsi="Times New Roman" w:eastAsia="宋体" w:cs="Times New Roman"/>
                      <w:color w:val="auto"/>
                      <w:sz w:val="21"/>
                      <w:szCs w:val="21"/>
                      <w:highlight w:val="none"/>
                      <w:u w:val="none" w:color="auto"/>
                      <w:lang w:val="en-US" w:eastAsia="zh-CN"/>
                    </w:rPr>
                    <w:t>本项目熔炼混配废气、生物质和天然气燃烧废气、铸造等废气经处理后</w:t>
                  </w:r>
                  <w:r>
                    <w:rPr>
                      <w:rFonts w:hint="eastAsia" w:cs="Times New Roman"/>
                      <w:color w:val="auto"/>
                      <w:sz w:val="21"/>
                      <w:szCs w:val="21"/>
                      <w:highlight w:val="none"/>
                      <w:u w:val="none" w:color="auto"/>
                      <w:lang w:val="en-US" w:eastAsia="zh-CN"/>
                    </w:rPr>
                    <w:t>能够</w:t>
                  </w:r>
                  <w:r>
                    <w:rPr>
                      <w:rFonts w:hint="default" w:ascii="Times New Roman" w:hAnsi="Times New Roman" w:eastAsia="宋体" w:cs="Times New Roman"/>
                      <w:color w:val="auto"/>
                      <w:sz w:val="21"/>
                      <w:szCs w:val="21"/>
                      <w:highlight w:val="none"/>
                      <w:u w:val="none" w:color="auto"/>
                      <w:lang w:val="en-US" w:eastAsia="zh-CN"/>
                    </w:rPr>
                    <w:t>满足相关废气排放标准要求</w:t>
                  </w:r>
                  <w:bookmarkEnd w:id="47"/>
                  <w:bookmarkEnd w:id="48"/>
                  <w:r>
                    <w:rPr>
                      <w:rFonts w:hint="default" w:ascii="Times New Roman" w:hAnsi="Times New Roman" w:eastAsia="宋体" w:cs="Times New Roman"/>
                      <w:color w:val="auto"/>
                      <w:sz w:val="21"/>
                      <w:szCs w:val="21"/>
                      <w:highlight w:val="none"/>
                      <w:u w:val="none" w:color="auto"/>
                      <w:lang w:val="en-US" w:eastAsia="zh-CN"/>
                    </w:rPr>
                    <w:t>，其中铸造工序产生的有机废气采用可行技术处理，能够满足左述要求。</w:t>
                  </w:r>
                </w:p>
              </w:tc>
              <w:tc>
                <w:tcPr>
                  <w:tcW w:w="379" w:type="pct"/>
                  <w:tcBorders>
                    <w:tl2br w:val="nil"/>
                    <w:tr2bl w:val="nil"/>
                  </w:tcBorders>
                  <w:tcMar>
                    <w:top w:w="57" w:type="dxa"/>
                    <w:left w:w="57" w:type="dxa"/>
                    <w:bottom w:w="57" w:type="dxa"/>
                    <w:right w:w="57" w:type="dxa"/>
                  </w:tcMar>
                  <w:vAlign w:val="center"/>
                </w:tcPr>
                <w:p w14:paraId="5CA6E415">
                  <w:pPr>
                    <w:keepNext w:val="0"/>
                    <w:keepLines w:val="0"/>
                    <w:pageBreakBefore w:val="0"/>
                    <w:widowControl w:val="0"/>
                    <w:kinsoku/>
                    <w:wordWrap/>
                    <w:overflowPunct/>
                    <w:topLinePunct w:val="0"/>
                    <w:autoSpaceDE/>
                    <w:autoSpaceDN/>
                    <w:bidi w:val="0"/>
                    <w:adjustRightInd/>
                    <w:snapToGrid/>
                    <w:ind w:right="0" w:rightChars="0"/>
                    <w:jc w:val="center"/>
                    <w:textAlignment w:val="baseline"/>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相符</w:t>
                  </w:r>
                </w:p>
                <w:p w14:paraId="75333C2A">
                  <w:pPr>
                    <w:keepNext w:val="0"/>
                    <w:keepLines w:val="0"/>
                    <w:pageBreakBefore w:val="0"/>
                    <w:widowControl w:val="0"/>
                    <w:kinsoku/>
                    <w:wordWrap/>
                    <w:overflowPunct/>
                    <w:topLinePunct w:val="0"/>
                    <w:autoSpaceDE/>
                    <w:autoSpaceDN/>
                    <w:bidi w:val="0"/>
                    <w:adjustRightInd/>
                    <w:snapToGrid/>
                    <w:ind w:right="0" w:rightChars="0"/>
                    <w:jc w:val="center"/>
                    <w:textAlignment w:val="baseline"/>
                    <w:rPr>
                      <w:rFonts w:hint="default" w:ascii="Times New Roman" w:hAnsi="Times New Roman" w:eastAsia="宋体" w:cs="Times New Roman"/>
                      <w:color w:val="auto"/>
                      <w:sz w:val="21"/>
                      <w:szCs w:val="21"/>
                      <w:highlight w:val="none"/>
                      <w:u w:val="none" w:color="auto"/>
                    </w:rPr>
                  </w:pPr>
                </w:p>
              </w:tc>
            </w:tr>
            <w:tr w14:paraId="2A656DC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50" w:type="pct"/>
                  <w:vMerge w:val="restart"/>
                  <w:tcBorders>
                    <w:tl2br w:val="nil"/>
                    <w:tr2bl w:val="nil"/>
                  </w:tcBorders>
                  <w:tcMar>
                    <w:top w:w="57" w:type="dxa"/>
                    <w:left w:w="57" w:type="dxa"/>
                    <w:bottom w:w="57" w:type="dxa"/>
                    <w:right w:w="57" w:type="dxa"/>
                  </w:tcMar>
                  <w:vAlign w:val="center"/>
                </w:tcPr>
                <w:p w14:paraId="01D26460">
                  <w:pPr>
                    <w:keepNext w:val="0"/>
                    <w:keepLines w:val="0"/>
                    <w:pageBreakBefore w:val="0"/>
                    <w:widowControl w:val="0"/>
                    <w:kinsoku/>
                    <w:wordWrap/>
                    <w:overflowPunct/>
                    <w:topLinePunct w:val="0"/>
                    <w:autoSpaceDE/>
                    <w:autoSpaceDN/>
                    <w:bidi w:val="0"/>
                    <w:adjustRightInd/>
                    <w:snapToGrid/>
                    <w:ind w:right="0" w:rightChars="0"/>
                    <w:jc w:val="center"/>
                    <w:textAlignment w:val="baseline"/>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5无组织排放控制要求</w:t>
                  </w:r>
                </w:p>
              </w:tc>
              <w:tc>
                <w:tcPr>
                  <w:tcW w:w="3175" w:type="pct"/>
                  <w:tcBorders>
                    <w:tl2br w:val="nil"/>
                    <w:tr2bl w:val="nil"/>
                  </w:tcBorders>
                  <w:tcMar>
                    <w:top w:w="57" w:type="dxa"/>
                    <w:left w:w="57" w:type="dxa"/>
                    <w:bottom w:w="57" w:type="dxa"/>
                    <w:right w:w="57" w:type="dxa"/>
                  </w:tcMar>
                  <w:vAlign w:val="center"/>
                </w:tcPr>
                <w:p w14:paraId="5CB8F762">
                  <w:pPr>
                    <w:keepNext w:val="0"/>
                    <w:keepLines w:val="0"/>
                    <w:pageBreakBefore w:val="0"/>
                    <w:widowControl w:val="0"/>
                    <w:kinsoku/>
                    <w:wordWrap/>
                    <w:overflowPunct/>
                    <w:topLinePunct w:val="0"/>
                    <w:autoSpaceDE/>
                    <w:autoSpaceDN/>
                    <w:bidi w:val="0"/>
                    <w:adjustRightInd/>
                    <w:snapToGrid/>
                    <w:ind w:right="0" w:rightChars="0"/>
                    <w:jc w:val="center"/>
                    <w:textAlignment w:val="baseline"/>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5.2颗粒物无组织排放控制措施</w:t>
                  </w:r>
                </w:p>
                <w:p w14:paraId="3EF760EA">
                  <w:pPr>
                    <w:keepNext w:val="0"/>
                    <w:keepLines w:val="0"/>
                    <w:pageBreakBefore w:val="0"/>
                    <w:widowControl w:val="0"/>
                    <w:kinsoku/>
                    <w:wordWrap/>
                    <w:overflowPunct/>
                    <w:topLinePunct w:val="0"/>
                    <w:autoSpaceDE/>
                    <w:autoSpaceDN/>
                    <w:bidi w:val="0"/>
                    <w:adjustRightInd/>
                    <w:snapToGrid/>
                    <w:ind w:right="0" w:rightChars="0"/>
                    <w:jc w:val="center"/>
                    <w:textAlignment w:val="baseline"/>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5.2.1物料储存</w:t>
                  </w:r>
                </w:p>
                <w:p w14:paraId="334DC394">
                  <w:pPr>
                    <w:keepNext w:val="0"/>
                    <w:keepLines w:val="0"/>
                    <w:pageBreakBefore w:val="0"/>
                    <w:widowControl w:val="0"/>
                    <w:kinsoku/>
                    <w:wordWrap/>
                    <w:overflowPunct/>
                    <w:topLinePunct w:val="0"/>
                    <w:autoSpaceDE/>
                    <w:autoSpaceDN/>
                    <w:bidi w:val="0"/>
                    <w:adjustRightInd/>
                    <w:snapToGrid/>
                    <w:ind w:right="0" w:rightChars="0"/>
                    <w:jc w:val="center"/>
                    <w:textAlignment w:val="baseline"/>
                    <w:rPr>
                      <w:rFonts w:hint="default" w:ascii="Times New Roman" w:hAnsi="Times New Roman" w:eastAsia="宋体" w:cs="Times New Roman"/>
                      <w:color w:val="auto"/>
                      <w:sz w:val="21"/>
                      <w:szCs w:val="21"/>
                      <w:highlight w:val="none"/>
                      <w:u w:val="none" w:color="auto"/>
                    </w:rPr>
                  </w:pPr>
                  <w:bookmarkStart w:id="49" w:name="sys710049"/>
                  <w:r>
                    <w:rPr>
                      <w:rFonts w:hint="default" w:ascii="Times New Roman" w:hAnsi="Times New Roman" w:eastAsia="宋体" w:cs="Times New Roman"/>
                      <w:color w:val="auto"/>
                      <w:sz w:val="21"/>
                      <w:szCs w:val="21"/>
                      <w:highlight w:val="none"/>
                      <w:u w:val="none" w:color="auto"/>
                    </w:rPr>
                    <w:t>5.2.1.1煤粉、膨润土等粉状物料和硅砂应袋装或罐装，并储存于封闭储库或半封闭料场（堆棚）中。</w:t>
                  </w:r>
                  <w:bookmarkEnd w:id="49"/>
                  <w:r>
                    <w:rPr>
                      <w:rFonts w:hint="default" w:ascii="Times New Roman" w:hAnsi="Times New Roman" w:eastAsia="宋体" w:cs="Times New Roman"/>
                      <w:color w:val="auto"/>
                      <w:sz w:val="21"/>
                      <w:szCs w:val="21"/>
                      <w:highlight w:val="none"/>
                      <w:u w:val="none" w:color="auto"/>
                    </w:rPr>
                    <w:t>半封闭料场（堆棚）应至少两面有围墙（围挡）及屋顶。</w:t>
                  </w:r>
                </w:p>
                <w:p w14:paraId="0A738C05">
                  <w:pPr>
                    <w:keepNext w:val="0"/>
                    <w:keepLines w:val="0"/>
                    <w:pageBreakBefore w:val="0"/>
                    <w:widowControl w:val="0"/>
                    <w:kinsoku/>
                    <w:wordWrap/>
                    <w:overflowPunct/>
                    <w:topLinePunct w:val="0"/>
                    <w:autoSpaceDE/>
                    <w:autoSpaceDN/>
                    <w:bidi w:val="0"/>
                    <w:adjustRightInd/>
                    <w:snapToGrid/>
                    <w:ind w:right="0" w:rightChars="0"/>
                    <w:jc w:val="center"/>
                    <w:textAlignment w:val="baseline"/>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5.2.1.2生铁、废钢、焦炭和铁合金等粒状、块状散装物料应储存于封闭储库、料仓中，或储存于半封闭料场（堆棚）中，或四周设置防风抑尘网、挡风墙，或采取覆盖措施。半封闭料场（堆棚）应至少两面有围墙（围挡）及屋顶；防风抑尘网、挡风墙高度应不低于堆存物料高度的1.1倍。</w:t>
                  </w:r>
                </w:p>
                <w:p w14:paraId="4B77F4A0">
                  <w:pPr>
                    <w:keepNext w:val="0"/>
                    <w:keepLines w:val="0"/>
                    <w:pageBreakBefore w:val="0"/>
                    <w:widowControl w:val="0"/>
                    <w:kinsoku/>
                    <w:wordWrap/>
                    <w:overflowPunct/>
                    <w:topLinePunct w:val="0"/>
                    <w:autoSpaceDE/>
                    <w:autoSpaceDN/>
                    <w:bidi w:val="0"/>
                    <w:adjustRightInd/>
                    <w:snapToGrid/>
                    <w:ind w:right="0" w:rightChars="0"/>
                    <w:jc w:val="center"/>
                    <w:textAlignment w:val="baseline"/>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5.2.2物料转移和输送</w:t>
                  </w:r>
                </w:p>
                <w:p w14:paraId="355F1694">
                  <w:pPr>
                    <w:keepNext w:val="0"/>
                    <w:keepLines w:val="0"/>
                    <w:pageBreakBefore w:val="0"/>
                    <w:widowControl w:val="0"/>
                    <w:kinsoku/>
                    <w:wordWrap/>
                    <w:overflowPunct/>
                    <w:topLinePunct w:val="0"/>
                    <w:autoSpaceDE/>
                    <w:autoSpaceDN/>
                    <w:bidi w:val="0"/>
                    <w:adjustRightInd/>
                    <w:snapToGrid/>
                    <w:ind w:right="0" w:rightChars="0"/>
                    <w:jc w:val="center"/>
                    <w:textAlignment w:val="baseline"/>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5.2.2.1粉状、粒状等易散发粉尘的物料厂内转移、输送过程，应封闭或采取覆盖等抑尘措施；</w:t>
                  </w:r>
                  <w:bookmarkStart w:id="50" w:name="sys7134636"/>
                  <w:r>
                    <w:rPr>
                      <w:rFonts w:hint="default" w:ascii="Times New Roman" w:hAnsi="Times New Roman" w:eastAsia="宋体" w:cs="Times New Roman"/>
                      <w:color w:val="auto"/>
                      <w:sz w:val="21"/>
                      <w:szCs w:val="21"/>
                      <w:highlight w:val="none"/>
                      <w:u w:val="none" w:color="auto"/>
                    </w:rPr>
                    <w:t>转移、输送、装卸过程中产尘点应采取集气除尘措施，或喷淋（雾）等抑尘措施。</w:t>
                  </w:r>
                  <w:bookmarkEnd w:id="50"/>
                </w:p>
                <w:p w14:paraId="53F06BAD">
                  <w:pPr>
                    <w:keepNext w:val="0"/>
                    <w:keepLines w:val="0"/>
                    <w:pageBreakBefore w:val="0"/>
                    <w:widowControl w:val="0"/>
                    <w:kinsoku/>
                    <w:wordWrap/>
                    <w:overflowPunct/>
                    <w:topLinePunct w:val="0"/>
                    <w:autoSpaceDE/>
                    <w:autoSpaceDN/>
                    <w:bidi w:val="0"/>
                    <w:adjustRightInd/>
                    <w:snapToGrid/>
                    <w:ind w:right="0" w:rightChars="0"/>
                    <w:jc w:val="center"/>
                    <w:textAlignment w:val="baseline"/>
                    <w:rPr>
                      <w:rFonts w:hint="default" w:ascii="Times New Roman" w:hAnsi="Times New Roman" w:eastAsia="宋体" w:cs="Times New Roman"/>
                      <w:color w:val="auto"/>
                      <w:sz w:val="21"/>
                      <w:szCs w:val="21"/>
                      <w:highlight w:val="none"/>
                      <w:u w:val="none" w:color="auto"/>
                    </w:rPr>
                  </w:pPr>
                  <w:bookmarkStart w:id="51" w:name="sys714038"/>
                  <w:r>
                    <w:rPr>
                      <w:rFonts w:hint="default" w:ascii="Times New Roman" w:hAnsi="Times New Roman" w:eastAsia="宋体" w:cs="Times New Roman"/>
                      <w:color w:val="auto"/>
                      <w:sz w:val="21"/>
                      <w:szCs w:val="21"/>
                      <w:highlight w:val="none"/>
                      <w:u w:val="none" w:color="auto"/>
                    </w:rPr>
                    <w:t>5.2.2.2除尘器卸灰口应采取遮挡等抑尘措施，除尘灰不得直接卸落到地面。</w:t>
                  </w:r>
                  <w:bookmarkEnd w:id="51"/>
                  <w:r>
                    <w:rPr>
                      <w:rFonts w:hint="default" w:ascii="Times New Roman" w:hAnsi="Times New Roman" w:eastAsia="宋体" w:cs="Times New Roman"/>
                      <w:color w:val="auto"/>
                      <w:sz w:val="21"/>
                      <w:szCs w:val="21"/>
                      <w:highlight w:val="none"/>
                      <w:u w:val="none" w:color="auto"/>
                    </w:rPr>
                    <w:t>除尘灰采取袋装、罐装等密闭措施收集、存放和运输。</w:t>
                  </w:r>
                </w:p>
                <w:p w14:paraId="258229CD">
                  <w:pPr>
                    <w:keepNext w:val="0"/>
                    <w:keepLines w:val="0"/>
                    <w:pageBreakBefore w:val="0"/>
                    <w:widowControl w:val="0"/>
                    <w:kinsoku/>
                    <w:wordWrap/>
                    <w:overflowPunct/>
                    <w:topLinePunct w:val="0"/>
                    <w:autoSpaceDE/>
                    <w:autoSpaceDN/>
                    <w:bidi w:val="0"/>
                    <w:adjustRightInd/>
                    <w:snapToGrid/>
                    <w:ind w:right="0" w:rightChars="0"/>
                    <w:jc w:val="center"/>
                    <w:textAlignment w:val="baseline"/>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5.2.2.3厂区道路应硬化，并采取定期清扫、洒水等措施，保持清洁。</w:t>
                  </w:r>
                </w:p>
                <w:p w14:paraId="495FA59D">
                  <w:pPr>
                    <w:keepNext w:val="0"/>
                    <w:keepLines w:val="0"/>
                    <w:pageBreakBefore w:val="0"/>
                    <w:widowControl w:val="0"/>
                    <w:kinsoku/>
                    <w:wordWrap/>
                    <w:overflowPunct/>
                    <w:topLinePunct w:val="0"/>
                    <w:autoSpaceDE/>
                    <w:autoSpaceDN/>
                    <w:bidi w:val="0"/>
                    <w:adjustRightInd/>
                    <w:snapToGrid/>
                    <w:ind w:right="0" w:rightChars="0"/>
                    <w:jc w:val="center"/>
                    <w:textAlignment w:val="baseline"/>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5.2.3铸造</w:t>
                  </w:r>
                </w:p>
                <w:p w14:paraId="756142BC">
                  <w:pPr>
                    <w:keepNext w:val="0"/>
                    <w:keepLines w:val="0"/>
                    <w:pageBreakBefore w:val="0"/>
                    <w:widowControl w:val="0"/>
                    <w:kinsoku/>
                    <w:wordWrap/>
                    <w:overflowPunct/>
                    <w:topLinePunct w:val="0"/>
                    <w:autoSpaceDE/>
                    <w:autoSpaceDN/>
                    <w:bidi w:val="0"/>
                    <w:adjustRightInd/>
                    <w:snapToGrid/>
                    <w:ind w:right="0" w:rightChars="0"/>
                    <w:jc w:val="center"/>
                    <w:textAlignment w:val="baseline"/>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5.2.3.1冲天炉加料口应为负压状态，防止粉尘外泄。</w:t>
                  </w:r>
                </w:p>
                <w:p w14:paraId="10DFAE77">
                  <w:pPr>
                    <w:keepNext w:val="0"/>
                    <w:keepLines w:val="0"/>
                    <w:pageBreakBefore w:val="0"/>
                    <w:widowControl w:val="0"/>
                    <w:kinsoku/>
                    <w:wordWrap/>
                    <w:overflowPunct/>
                    <w:topLinePunct w:val="0"/>
                    <w:autoSpaceDE/>
                    <w:autoSpaceDN/>
                    <w:bidi w:val="0"/>
                    <w:adjustRightInd/>
                    <w:snapToGrid/>
                    <w:ind w:right="0" w:rightChars="0"/>
                    <w:jc w:val="center"/>
                    <w:textAlignment w:val="baseline"/>
                    <w:rPr>
                      <w:rFonts w:hint="default" w:ascii="Times New Roman" w:hAnsi="Times New Roman" w:eastAsia="宋体" w:cs="Times New Roman"/>
                      <w:color w:val="auto"/>
                      <w:sz w:val="21"/>
                      <w:szCs w:val="21"/>
                      <w:highlight w:val="none"/>
                      <w:u w:val="none" w:color="auto"/>
                    </w:rPr>
                  </w:pPr>
                  <w:bookmarkStart w:id="52" w:name="sys718044"/>
                  <w:r>
                    <w:rPr>
                      <w:rFonts w:hint="default" w:ascii="Times New Roman" w:hAnsi="Times New Roman" w:eastAsia="宋体" w:cs="Times New Roman"/>
                      <w:color w:val="auto"/>
                      <w:sz w:val="21"/>
                      <w:szCs w:val="21"/>
                      <w:highlight w:val="none"/>
                      <w:u w:val="none" w:color="auto"/>
                    </w:rPr>
                    <w:t>5.2.3.2孕育、变质、炉外精炼等金属液处理工序产尘点应安装集气罩，并配备除尘设施。</w:t>
                  </w:r>
                  <w:bookmarkEnd w:id="52"/>
                </w:p>
                <w:p w14:paraId="66247647">
                  <w:pPr>
                    <w:keepNext w:val="0"/>
                    <w:keepLines w:val="0"/>
                    <w:pageBreakBefore w:val="0"/>
                    <w:widowControl w:val="0"/>
                    <w:kinsoku/>
                    <w:wordWrap/>
                    <w:overflowPunct/>
                    <w:topLinePunct w:val="0"/>
                    <w:autoSpaceDE/>
                    <w:autoSpaceDN/>
                    <w:bidi w:val="0"/>
                    <w:adjustRightInd/>
                    <w:snapToGrid/>
                    <w:ind w:right="0" w:rightChars="0"/>
                    <w:jc w:val="center"/>
                    <w:textAlignment w:val="baseline"/>
                    <w:rPr>
                      <w:rFonts w:hint="default" w:ascii="Times New Roman" w:hAnsi="Times New Roman" w:eastAsia="宋体" w:cs="Times New Roman"/>
                      <w:color w:val="auto"/>
                      <w:sz w:val="21"/>
                      <w:szCs w:val="21"/>
                      <w:highlight w:val="none"/>
                      <w:u w:val="none" w:color="auto"/>
                    </w:rPr>
                  </w:pPr>
                  <w:bookmarkStart w:id="53" w:name="sys719049"/>
                  <w:r>
                    <w:rPr>
                      <w:rFonts w:hint="default" w:ascii="Times New Roman" w:hAnsi="Times New Roman" w:eastAsia="宋体" w:cs="Times New Roman"/>
                      <w:color w:val="auto"/>
                      <w:sz w:val="21"/>
                      <w:szCs w:val="21"/>
                      <w:highlight w:val="none"/>
                      <w:u w:val="none" w:color="auto"/>
                    </w:rPr>
                    <w:t>5.2.3.3造型、制芯、浇注工序产尘点应安装集气罩并配备除尘设施，或采取喷淋（雾）等抑尘措施。</w:t>
                  </w:r>
                  <w:bookmarkEnd w:id="53"/>
                </w:p>
                <w:p w14:paraId="65359547">
                  <w:pPr>
                    <w:keepNext w:val="0"/>
                    <w:keepLines w:val="0"/>
                    <w:pageBreakBefore w:val="0"/>
                    <w:widowControl w:val="0"/>
                    <w:kinsoku/>
                    <w:wordWrap/>
                    <w:overflowPunct/>
                    <w:topLinePunct w:val="0"/>
                    <w:autoSpaceDE/>
                    <w:autoSpaceDN/>
                    <w:bidi w:val="0"/>
                    <w:adjustRightInd/>
                    <w:snapToGrid/>
                    <w:ind w:right="0" w:rightChars="0"/>
                    <w:jc w:val="center"/>
                    <w:textAlignment w:val="baseline"/>
                    <w:rPr>
                      <w:rFonts w:hint="default" w:ascii="Times New Roman" w:hAnsi="Times New Roman" w:eastAsia="宋体" w:cs="Times New Roman"/>
                      <w:color w:val="auto"/>
                      <w:sz w:val="21"/>
                      <w:szCs w:val="21"/>
                      <w:highlight w:val="none"/>
                      <w:u w:val="none" w:color="auto"/>
                    </w:rPr>
                  </w:pPr>
                  <w:bookmarkStart w:id="54" w:name="sys720041"/>
                  <w:r>
                    <w:rPr>
                      <w:rFonts w:hint="default" w:ascii="Times New Roman" w:hAnsi="Times New Roman" w:eastAsia="宋体" w:cs="Times New Roman"/>
                      <w:color w:val="auto"/>
                      <w:sz w:val="21"/>
                      <w:szCs w:val="21"/>
                      <w:highlight w:val="none"/>
                      <w:u w:val="none" w:color="auto"/>
                    </w:rPr>
                    <w:t>5.2.3.4落砂、抛丸清理、砂处理工序应在封闭空间内操作，废气收集至除尘设施；</w:t>
                  </w:r>
                  <w:bookmarkEnd w:id="54"/>
                  <w:bookmarkStart w:id="55" w:name="sys7204134"/>
                  <w:r>
                    <w:rPr>
                      <w:rFonts w:hint="default" w:ascii="Times New Roman" w:hAnsi="Times New Roman" w:eastAsia="宋体" w:cs="Times New Roman"/>
                      <w:color w:val="auto"/>
                      <w:sz w:val="21"/>
                      <w:szCs w:val="21"/>
                      <w:highlight w:val="none"/>
                      <w:u w:val="none" w:color="auto"/>
                    </w:rPr>
                    <w:t>未在封闭空间内操作的，应采用固定式、移动式集气设备，并配备除尘设施。</w:t>
                  </w:r>
                  <w:bookmarkEnd w:id="55"/>
                </w:p>
                <w:p w14:paraId="53ACC093">
                  <w:pPr>
                    <w:keepNext w:val="0"/>
                    <w:keepLines w:val="0"/>
                    <w:pageBreakBefore w:val="0"/>
                    <w:widowControl w:val="0"/>
                    <w:kinsoku/>
                    <w:wordWrap/>
                    <w:overflowPunct/>
                    <w:topLinePunct w:val="0"/>
                    <w:autoSpaceDE/>
                    <w:autoSpaceDN/>
                    <w:bidi w:val="0"/>
                    <w:adjustRightInd/>
                    <w:snapToGrid/>
                    <w:ind w:right="0" w:rightChars="0"/>
                    <w:jc w:val="center"/>
                    <w:textAlignment w:val="baseline"/>
                    <w:rPr>
                      <w:rFonts w:hint="default" w:ascii="Times New Roman" w:hAnsi="Times New Roman" w:eastAsia="宋体" w:cs="Times New Roman"/>
                      <w:color w:val="auto"/>
                      <w:sz w:val="21"/>
                      <w:szCs w:val="21"/>
                      <w:highlight w:val="none"/>
                      <w:u w:val="none" w:color="auto"/>
                    </w:rPr>
                  </w:pPr>
                  <w:bookmarkStart w:id="56" w:name="sys721055"/>
                  <w:r>
                    <w:rPr>
                      <w:rFonts w:hint="default" w:ascii="Times New Roman" w:hAnsi="Times New Roman" w:eastAsia="宋体" w:cs="Times New Roman"/>
                      <w:color w:val="auto"/>
                      <w:sz w:val="21"/>
                      <w:szCs w:val="21"/>
                      <w:highlight w:val="none"/>
                      <w:u w:val="none" w:color="auto"/>
                    </w:rPr>
                    <w:t>5.2.3.5清理（去除浇冒口、铲飞边毛刺等）和浇包、渣包的维修工序应在封闭空间内操作，废气收集至除尘设施；</w:t>
                  </w:r>
                  <w:bookmarkEnd w:id="56"/>
                  <w:r>
                    <w:rPr>
                      <w:rFonts w:hint="default" w:ascii="Times New Roman" w:hAnsi="Times New Roman" w:eastAsia="宋体" w:cs="Times New Roman"/>
                      <w:color w:val="auto"/>
                      <w:sz w:val="21"/>
                      <w:szCs w:val="21"/>
                      <w:highlight w:val="none"/>
                      <w:u w:val="none" w:color="auto"/>
                    </w:rPr>
                    <w:t>未在封闭空间内操作的，应采用固定式、移动式集气设备并配备除尘设施，或采取喷淋（雾）等抑尘措施。</w:t>
                  </w:r>
                </w:p>
                <w:p w14:paraId="020AD09F">
                  <w:pPr>
                    <w:keepNext w:val="0"/>
                    <w:keepLines w:val="0"/>
                    <w:pageBreakBefore w:val="0"/>
                    <w:widowControl w:val="0"/>
                    <w:kinsoku/>
                    <w:wordWrap/>
                    <w:overflowPunct/>
                    <w:topLinePunct w:val="0"/>
                    <w:autoSpaceDE/>
                    <w:autoSpaceDN/>
                    <w:bidi w:val="0"/>
                    <w:adjustRightInd/>
                    <w:snapToGrid/>
                    <w:ind w:right="0" w:rightChars="0"/>
                    <w:jc w:val="center"/>
                    <w:textAlignment w:val="baseline"/>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5.2.3.6车间外不得有可见烟粉尘</w:t>
                  </w:r>
                  <w:sdt>
                    <w:sdtPr>
                      <w:rPr>
                        <w:rFonts w:hint="default" w:ascii="Times New Roman" w:hAnsi="Times New Roman" w:eastAsia="宋体" w:cs="Times New Roman"/>
                        <w:color w:val="auto"/>
                        <w:sz w:val="21"/>
                        <w:szCs w:val="21"/>
                        <w:highlight w:val="none"/>
                        <w:u w:val="none" w:color="auto"/>
                      </w:rPr>
                      <w:alias w:val="易错词检查"/>
                      <w:id w:val="2011501"/>
                    </w:sdtPr>
                    <w:sdtEndPr>
                      <w:rPr>
                        <w:rFonts w:hint="default" w:ascii="Times New Roman" w:hAnsi="Times New Roman" w:eastAsia="宋体" w:cs="Times New Roman"/>
                        <w:color w:val="auto"/>
                        <w:sz w:val="21"/>
                        <w:szCs w:val="21"/>
                        <w:highlight w:val="none"/>
                        <w:u w:val="none" w:color="auto"/>
                      </w:rPr>
                    </w:sdtEndPr>
                    <w:sdtContent>
                      <w:bookmarkStart w:id="57" w:name="bkReivew2011501"/>
                      <w:r>
                        <w:rPr>
                          <w:rFonts w:hint="default" w:ascii="Times New Roman" w:hAnsi="Times New Roman" w:eastAsia="宋体" w:cs="Times New Roman"/>
                          <w:color w:val="auto"/>
                          <w:sz w:val="21"/>
                          <w:szCs w:val="21"/>
                          <w:highlight w:val="none"/>
                          <w:u w:val="none" w:color="auto"/>
                        </w:rPr>
                        <w:t>外逸</w:t>
                      </w:r>
                      <w:bookmarkEnd w:id="57"/>
                    </w:sdtContent>
                  </w:sdt>
                  <w:r>
                    <w:rPr>
                      <w:rFonts w:hint="default" w:ascii="Times New Roman" w:hAnsi="Times New Roman" w:eastAsia="宋体" w:cs="Times New Roman"/>
                      <w:color w:val="auto"/>
                      <w:sz w:val="21"/>
                      <w:szCs w:val="21"/>
                      <w:highlight w:val="none"/>
                      <w:u w:val="none" w:color="auto"/>
                    </w:rPr>
                    <w:t>。</w:t>
                  </w:r>
                </w:p>
                <w:p w14:paraId="55990789">
                  <w:pPr>
                    <w:keepNext w:val="0"/>
                    <w:keepLines w:val="0"/>
                    <w:pageBreakBefore w:val="0"/>
                    <w:widowControl w:val="0"/>
                    <w:kinsoku/>
                    <w:wordWrap/>
                    <w:overflowPunct/>
                    <w:topLinePunct w:val="0"/>
                    <w:autoSpaceDE/>
                    <w:autoSpaceDN/>
                    <w:bidi w:val="0"/>
                    <w:adjustRightInd/>
                    <w:snapToGrid/>
                    <w:ind w:right="0" w:rightChars="0"/>
                    <w:jc w:val="center"/>
                    <w:textAlignment w:val="baseline"/>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5.2.4颗粒物无组织排放特别控制要求</w:t>
                  </w:r>
                </w:p>
                <w:p w14:paraId="6AC308EE">
                  <w:pPr>
                    <w:keepNext w:val="0"/>
                    <w:keepLines w:val="0"/>
                    <w:pageBreakBefore w:val="0"/>
                    <w:widowControl w:val="0"/>
                    <w:kinsoku/>
                    <w:wordWrap/>
                    <w:overflowPunct/>
                    <w:topLinePunct w:val="0"/>
                    <w:autoSpaceDE/>
                    <w:autoSpaceDN/>
                    <w:bidi w:val="0"/>
                    <w:adjustRightInd/>
                    <w:snapToGrid/>
                    <w:ind w:right="0" w:rightChars="0"/>
                    <w:jc w:val="center"/>
                    <w:textAlignment w:val="baseline"/>
                    <w:rPr>
                      <w:rFonts w:hint="default" w:ascii="Times New Roman" w:hAnsi="Times New Roman" w:eastAsia="宋体" w:cs="Times New Roman"/>
                      <w:color w:val="auto"/>
                      <w:sz w:val="21"/>
                      <w:szCs w:val="21"/>
                      <w:highlight w:val="none"/>
                      <w:u w:val="none" w:color="auto"/>
                    </w:rPr>
                  </w:pPr>
                  <w:bookmarkStart w:id="58" w:name="sys724058"/>
                  <w:r>
                    <w:rPr>
                      <w:rFonts w:hint="default" w:ascii="Times New Roman" w:hAnsi="Times New Roman" w:eastAsia="宋体" w:cs="Times New Roman"/>
                      <w:color w:val="auto"/>
                      <w:sz w:val="21"/>
                      <w:szCs w:val="21"/>
                      <w:highlight w:val="none"/>
                      <w:u w:val="none" w:color="auto"/>
                    </w:rPr>
                    <w:t>5.2.4.1生铁、废钢、焦炭和铁合金等粒状、块状散装物料应储存于封闭储库、料仓中，或储存于半封闭料场（堆棚）中。</w:t>
                  </w:r>
                  <w:bookmarkEnd w:id="58"/>
                  <w:r>
                    <w:rPr>
                      <w:rFonts w:hint="default" w:ascii="Times New Roman" w:hAnsi="Times New Roman" w:eastAsia="宋体" w:cs="Times New Roman"/>
                      <w:color w:val="auto"/>
                      <w:sz w:val="21"/>
                      <w:szCs w:val="21"/>
                      <w:highlight w:val="none"/>
                      <w:u w:val="none" w:color="auto"/>
                    </w:rPr>
                    <w:t>半封闭料场（堆棚）应至少两面有围墙（围挡）及屋顶，并对物料采取覆盖、喷淋（雾）等抑尘措施。</w:t>
                  </w:r>
                </w:p>
                <w:p w14:paraId="573A7D75">
                  <w:pPr>
                    <w:keepNext w:val="0"/>
                    <w:keepLines w:val="0"/>
                    <w:pageBreakBefore w:val="0"/>
                    <w:widowControl w:val="0"/>
                    <w:kinsoku/>
                    <w:wordWrap/>
                    <w:overflowPunct/>
                    <w:topLinePunct w:val="0"/>
                    <w:autoSpaceDE/>
                    <w:autoSpaceDN/>
                    <w:bidi w:val="0"/>
                    <w:adjustRightInd/>
                    <w:snapToGrid/>
                    <w:ind w:right="0" w:rightChars="0"/>
                    <w:jc w:val="center"/>
                    <w:textAlignment w:val="baseline"/>
                    <w:rPr>
                      <w:rFonts w:hint="default" w:ascii="Times New Roman" w:hAnsi="Times New Roman" w:eastAsia="宋体" w:cs="Times New Roman"/>
                      <w:color w:val="auto"/>
                      <w:sz w:val="21"/>
                      <w:szCs w:val="21"/>
                      <w:highlight w:val="none"/>
                      <w:u w:val="none" w:color="auto"/>
                    </w:rPr>
                  </w:pPr>
                  <w:bookmarkStart w:id="59" w:name="sys725036"/>
                  <w:r>
                    <w:rPr>
                      <w:rFonts w:hint="default" w:ascii="Times New Roman" w:hAnsi="Times New Roman" w:eastAsia="宋体" w:cs="Times New Roman"/>
                      <w:color w:val="auto"/>
                      <w:sz w:val="21"/>
                      <w:szCs w:val="21"/>
                      <w:highlight w:val="none"/>
                      <w:u w:val="none" w:color="auto"/>
                    </w:rPr>
                    <w:t>5.2.4.2粉状、粒状等易散发粉尘的物料厂内转移、输送过程，应封闭；</w:t>
                  </w:r>
                  <w:bookmarkEnd w:id="59"/>
                  <w:bookmarkStart w:id="60" w:name="sys7253636"/>
                  <w:r>
                    <w:rPr>
                      <w:rFonts w:hint="default" w:ascii="Times New Roman" w:hAnsi="Times New Roman" w:eastAsia="宋体" w:cs="Times New Roman"/>
                      <w:color w:val="auto"/>
                      <w:sz w:val="21"/>
                      <w:szCs w:val="21"/>
                      <w:highlight w:val="none"/>
                      <w:u w:val="none" w:color="auto"/>
                    </w:rPr>
                    <w:t>转移、输送、装卸过程中产尘点应采取集气除尘措施，或喷淋（雾）等抑尘措施。</w:t>
                  </w:r>
                  <w:bookmarkEnd w:id="60"/>
                </w:p>
                <w:p w14:paraId="0C47C418">
                  <w:pPr>
                    <w:keepNext w:val="0"/>
                    <w:keepLines w:val="0"/>
                    <w:pageBreakBefore w:val="0"/>
                    <w:widowControl w:val="0"/>
                    <w:kinsoku/>
                    <w:wordWrap/>
                    <w:overflowPunct/>
                    <w:topLinePunct w:val="0"/>
                    <w:autoSpaceDE/>
                    <w:autoSpaceDN/>
                    <w:bidi w:val="0"/>
                    <w:adjustRightInd/>
                    <w:snapToGrid/>
                    <w:ind w:right="0" w:rightChars="0"/>
                    <w:jc w:val="center"/>
                    <w:textAlignment w:val="baseline"/>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5.2.4.3废钢、回炉料等原料加工工序应设置集气罩，并配备除尘设施。</w:t>
                  </w:r>
                  <w:bookmarkStart w:id="61" w:name="sys7263654"/>
                </w:p>
                <w:p w14:paraId="7F615AE9">
                  <w:pPr>
                    <w:keepNext w:val="0"/>
                    <w:keepLines w:val="0"/>
                    <w:pageBreakBefore w:val="0"/>
                    <w:widowControl w:val="0"/>
                    <w:kinsoku/>
                    <w:wordWrap/>
                    <w:overflowPunct/>
                    <w:topLinePunct w:val="0"/>
                    <w:autoSpaceDE/>
                    <w:autoSpaceDN/>
                    <w:bidi w:val="0"/>
                    <w:adjustRightInd/>
                    <w:snapToGrid/>
                    <w:ind w:right="0" w:rightChars="0"/>
                    <w:jc w:val="center"/>
                    <w:textAlignment w:val="baseline"/>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5.2.4.4清理（去除浇冒口、铲飞边毛刺等）和浇包、渣包的维修工序在封闭空间内操作，废气收集至除尘设施；</w:t>
                  </w:r>
                  <w:bookmarkEnd w:id="61"/>
                  <w:bookmarkStart w:id="62" w:name="sys7269033"/>
                  <w:r>
                    <w:rPr>
                      <w:rFonts w:hint="default" w:ascii="Times New Roman" w:hAnsi="Times New Roman" w:eastAsia="宋体" w:cs="Times New Roman"/>
                      <w:color w:val="auto"/>
                      <w:sz w:val="21"/>
                      <w:szCs w:val="21"/>
                      <w:highlight w:val="none"/>
                      <w:u w:val="none" w:color="auto"/>
                    </w:rPr>
                    <w:t>未在封闭空间内操作的，应采用固定式、移动式集气设备并配备除尘设施。</w:t>
                  </w:r>
                  <w:bookmarkEnd w:id="62"/>
                </w:p>
              </w:tc>
              <w:tc>
                <w:tcPr>
                  <w:tcW w:w="1194" w:type="pct"/>
                  <w:tcBorders>
                    <w:tl2br w:val="nil"/>
                    <w:tr2bl w:val="nil"/>
                  </w:tcBorders>
                  <w:tcMar>
                    <w:top w:w="57" w:type="dxa"/>
                    <w:left w:w="57" w:type="dxa"/>
                    <w:bottom w:w="57" w:type="dxa"/>
                    <w:right w:w="57" w:type="dxa"/>
                  </w:tcMar>
                  <w:vAlign w:val="center"/>
                </w:tcPr>
                <w:p w14:paraId="2B025FE2">
                  <w:pPr>
                    <w:keepNext w:val="0"/>
                    <w:keepLines w:val="0"/>
                    <w:pageBreakBefore w:val="0"/>
                    <w:widowControl w:val="0"/>
                    <w:kinsoku/>
                    <w:wordWrap/>
                    <w:overflowPunct/>
                    <w:topLinePunct w:val="0"/>
                    <w:autoSpaceDE/>
                    <w:autoSpaceDN/>
                    <w:bidi w:val="0"/>
                    <w:adjustRightInd/>
                    <w:snapToGrid/>
                    <w:ind w:right="0" w:rightChars="0"/>
                    <w:jc w:val="center"/>
                    <w:textAlignment w:val="baseline"/>
                    <w:rPr>
                      <w:rFonts w:hint="default" w:ascii="Times New Roman" w:hAnsi="Times New Roman" w:eastAsia="宋体" w:cs="Times New Roman"/>
                      <w:color w:val="auto"/>
                      <w:sz w:val="21"/>
                      <w:szCs w:val="21"/>
                      <w:highlight w:val="none"/>
                      <w:u w:val="none" w:color="auto"/>
                    </w:rPr>
                  </w:pPr>
                  <w:bookmarkStart w:id="63" w:name="_Hlk169828617"/>
                  <w:r>
                    <w:rPr>
                      <w:rFonts w:hint="default" w:ascii="Times New Roman" w:hAnsi="Times New Roman" w:eastAsia="宋体" w:cs="Times New Roman"/>
                      <w:color w:val="auto"/>
                      <w:sz w:val="21"/>
                      <w:szCs w:val="21"/>
                      <w:highlight w:val="none"/>
                      <w:u w:val="none" w:color="auto"/>
                    </w:rPr>
                    <w:t>5.2.1本次扩建项目袋装</w:t>
                  </w:r>
                  <w:r>
                    <w:rPr>
                      <w:rFonts w:hint="default" w:ascii="Times New Roman" w:hAnsi="Times New Roman" w:eastAsia="宋体" w:cs="Times New Roman"/>
                      <w:color w:val="auto"/>
                      <w:sz w:val="21"/>
                      <w:szCs w:val="21"/>
                      <w:highlight w:val="none"/>
                      <w:u w:val="none" w:color="auto"/>
                      <w:lang w:val="en-US" w:eastAsia="zh-CN"/>
                    </w:rPr>
                    <w:t>的</w:t>
                  </w:r>
                  <w:r>
                    <w:rPr>
                      <w:rFonts w:hint="default" w:ascii="Times New Roman" w:hAnsi="Times New Roman" w:eastAsia="宋体" w:cs="Times New Roman"/>
                      <w:color w:val="auto"/>
                      <w:sz w:val="21"/>
                      <w:szCs w:val="21"/>
                      <w:highlight w:val="none"/>
                      <w:u w:val="none" w:color="auto"/>
                    </w:rPr>
                    <w:t>粒状、块状散装物料</w:t>
                  </w:r>
                  <w:r>
                    <w:rPr>
                      <w:rFonts w:hint="default" w:ascii="Times New Roman" w:hAnsi="Times New Roman" w:eastAsia="宋体" w:cs="Times New Roman"/>
                      <w:color w:val="auto"/>
                      <w:sz w:val="21"/>
                      <w:szCs w:val="21"/>
                      <w:highlight w:val="none"/>
                      <w:u w:val="none" w:color="auto"/>
                      <w:lang w:val="en-US" w:eastAsia="zh-CN"/>
                    </w:rPr>
                    <w:t>均</w:t>
                  </w:r>
                  <w:r>
                    <w:rPr>
                      <w:rFonts w:hint="default" w:ascii="Times New Roman" w:hAnsi="Times New Roman" w:eastAsia="宋体" w:cs="Times New Roman"/>
                      <w:color w:val="auto"/>
                      <w:sz w:val="21"/>
                      <w:szCs w:val="21"/>
                      <w:highlight w:val="none"/>
                      <w:u w:val="none" w:color="auto"/>
                    </w:rPr>
                    <w:t>贮存于封闭储库。</w:t>
                  </w:r>
                </w:p>
                <w:p w14:paraId="26B4EAAA">
                  <w:pPr>
                    <w:keepNext w:val="0"/>
                    <w:keepLines w:val="0"/>
                    <w:pageBreakBefore w:val="0"/>
                    <w:widowControl w:val="0"/>
                    <w:kinsoku/>
                    <w:wordWrap/>
                    <w:overflowPunct/>
                    <w:topLinePunct w:val="0"/>
                    <w:autoSpaceDE/>
                    <w:autoSpaceDN/>
                    <w:bidi w:val="0"/>
                    <w:adjustRightInd/>
                    <w:snapToGrid/>
                    <w:ind w:right="0" w:rightChars="0"/>
                    <w:jc w:val="center"/>
                    <w:textAlignment w:val="baseline"/>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5.2.2粉状、粒状等易散发粉尘的物料转移过程保持</w:t>
                  </w:r>
                  <w:r>
                    <w:rPr>
                      <w:rFonts w:hint="default" w:ascii="Times New Roman" w:hAnsi="Times New Roman" w:eastAsia="宋体" w:cs="Times New Roman"/>
                      <w:color w:val="auto"/>
                      <w:sz w:val="21"/>
                      <w:szCs w:val="21"/>
                      <w:highlight w:val="none"/>
                      <w:u w:val="none" w:color="auto"/>
                      <w:lang w:val="en-US" w:eastAsia="zh-CN"/>
                    </w:rPr>
                    <w:t>包装袋完整</w:t>
                  </w:r>
                  <w:r>
                    <w:rPr>
                      <w:rFonts w:hint="default" w:ascii="Times New Roman" w:hAnsi="Times New Roman" w:eastAsia="宋体" w:cs="Times New Roman"/>
                      <w:color w:val="auto"/>
                      <w:sz w:val="21"/>
                      <w:szCs w:val="21"/>
                      <w:highlight w:val="none"/>
                      <w:u w:val="none" w:color="auto"/>
                    </w:rPr>
                    <w:t>封闭；除尘灰采取袋装收集、存放和运输；厂区道路已硬化，并且定期清扫、洒水保持清洁。</w:t>
                  </w:r>
                </w:p>
                <w:p w14:paraId="4E853CF3">
                  <w:pPr>
                    <w:keepNext w:val="0"/>
                    <w:keepLines w:val="0"/>
                    <w:pageBreakBefore w:val="0"/>
                    <w:widowControl w:val="0"/>
                    <w:kinsoku/>
                    <w:wordWrap/>
                    <w:overflowPunct/>
                    <w:topLinePunct w:val="0"/>
                    <w:autoSpaceDE/>
                    <w:autoSpaceDN/>
                    <w:bidi w:val="0"/>
                    <w:adjustRightInd/>
                    <w:snapToGrid/>
                    <w:ind w:right="0" w:rightChars="0"/>
                    <w:jc w:val="center"/>
                    <w:textAlignment w:val="baseline"/>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rPr>
                    <w:t>5.2.3本项目压铸工序产尘点安装集气罩并配备袋式除尘设施；</w:t>
                  </w:r>
                  <w:r>
                    <w:rPr>
                      <w:rFonts w:hint="default" w:ascii="Times New Roman" w:hAnsi="Times New Roman" w:eastAsia="宋体" w:cs="Times New Roman"/>
                      <w:color w:val="auto"/>
                      <w:sz w:val="21"/>
                      <w:szCs w:val="21"/>
                      <w:highlight w:val="none"/>
                      <w:u w:val="none" w:color="auto"/>
                      <w:lang w:val="en-US" w:eastAsia="zh-CN"/>
                    </w:rPr>
                    <w:t>机加工序采用的设备均自带布袋除尘设施进行处理处置；</w:t>
                  </w:r>
                </w:p>
                <w:p w14:paraId="54E9AB02">
                  <w:pPr>
                    <w:keepNext w:val="0"/>
                    <w:keepLines w:val="0"/>
                    <w:pageBreakBefore w:val="0"/>
                    <w:widowControl w:val="0"/>
                    <w:kinsoku/>
                    <w:wordWrap/>
                    <w:overflowPunct/>
                    <w:topLinePunct w:val="0"/>
                    <w:autoSpaceDE/>
                    <w:autoSpaceDN/>
                    <w:bidi w:val="0"/>
                    <w:adjustRightInd/>
                    <w:snapToGrid/>
                    <w:ind w:right="0" w:rightChars="0"/>
                    <w:jc w:val="center"/>
                    <w:textAlignment w:val="baseline"/>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5.2.4本项目铝锭储存于封闭料仓中；</w:t>
                  </w:r>
                  <w:r>
                    <w:rPr>
                      <w:rFonts w:hint="default" w:ascii="Times New Roman" w:hAnsi="Times New Roman" w:eastAsia="宋体" w:cs="Times New Roman"/>
                      <w:color w:val="auto"/>
                      <w:sz w:val="21"/>
                      <w:szCs w:val="21"/>
                      <w:highlight w:val="none"/>
                      <w:u w:val="none" w:color="auto"/>
                      <w:lang w:val="en-US" w:eastAsia="zh-CN"/>
                    </w:rPr>
                    <w:t>生物质颗粒</w:t>
                  </w:r>
                  <w:r>
                    <w:rPr>
                      <w:rFonts w:hint="default" w:ascii="Times New Roman" w:hAnsi="Times New Roman" w:eastAsia="宋体" w:cs="Times New Roman"/>
                      <w:color w:val="auto"/>
                      <w:sz w:val="21"/>
                      <w:szCs w:val="21"/>
                      <w:highlight w:val="none"/>
                      <w:u w:val="none" w:color="auto"/>
                    </w:rPr>
                    <w:t>为袋装贮存于封闭储库；</w:t>
                  </w:r>
                  <w:r>
                    <w:rPr>
                      <w:rFonts w:hint="default" w:ascii="Times New Roman" w:hAnsi="Times New Roman" w:eastAsia="宋体" w:cs="Times New Roman"/>
                      <w:color w:val="auto"/>
                      <w:sz w:val="21"/>
                      <w:szCs w:val="21"/>
                      <w:highlight w:val="none"/>
                      <w:u w:val="none" w:color="auto"/>
                      <w:lang w:val="en-US" w:eastAsia="zh-CN"/>
                    </w:rPr>
                    <w:t>压铸</w:t>
                  </w:r>
                  <w:r>
                    <w:rPr>
                      <w:rFonts w:hint="default" w:ascii="Times New Roman" w:hAnsi="Times New Roman" w:eastAsia="宋体" w:cs="Times New Roman"/>
                      <w:color w:val="auto"/>
                      <w:sz w:val="21"/>
                      <w:szCs w:val="21"/>
                      <w:highlight w:val="none"/>
                      <w:u w:val="none" w:color="auto"/>
                    </w:rPr>
                    <w:t>工序应设置集气罩，并配备除尘设施。</w:t>
                  </w:r>
                  <w:bookmarkEnd w:id="63"/>
                </w:p>
              </w:tc>
              <w:tc>
                <w:tcPr>
                  <w:tcW w:w="379" w:type="pct"/>
                  <w:tcBorders>
                    <w:tl2br w:val="nil"/>
                    <w:tr2bl w:val="nil"/>
                  </w:tcBorders>
                  <w:tcMar>
                    <w:top w:w="57" w:type="dxa"/>
                    <w:left w:w="57" w:type="dxa"/>
                    <w:bottom w:w="57" w:type="dxa"/>
                    <w:right w:w="57" w:type="dxa"/>
                  </w:tcMar>
                  <w:vAlign w:val="center"/>
                </w:tcPr>
                <w:p w14:paraId="23526124">
                  <w:pPr>
                    <w:keepNext w:val="0"/>
                    <w:keepLines w:val="0"/>
                    <w:pageBreakBefore w:val="0"/>
                    <w:widowControl w:val="0"/>
                    <w:kinsoku/>
                    <w:wordWrap/>
                    <w:overflowPunct/>
                    <w:topLinePunct w:val="0"/>
                    <w:autoSpaceDE/>
                    <w:autoSpaceDN/>
                    <w:bidi w:val="0"/>
                    <w:adjustRightInd/>
                    <w:snapToGrid/>
                    <w:ind w:right="0" w:rightChars="0"/>
                    <w:jc w:val="center"/>
                    <w:textAlignment w:val="baseline"/>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相符</w:t>
                  </w:r>
                </w:p>
              </w:tc>
            </w:tr>
            <w:tr w14:paraId="158ADC4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50" w:type="pct"/>
                  <w:vMerge w:val="continue"/>
                  <w:tcBorders>
                    <w:tl2br w:val="nil"/>
                    <w:tr2bl w:val="nil"/>
                  </w:tcBorders>
                  <w:tcMar>
                    <w:top w:w="57" w:type="dxa"/>
                    <w:left w:w="57" w:type="dxa"/>
                    <w:bottom w:w="57" w:type="dxa"/>
                    <w:right w:w="57" w:type="dxa"/>
                  </w:tcMar>
                  <w:vAlign w:val="center"/>
                </w:tcPr>
                <w:p w14:paraId="1030707D">
                  <w:pPr>
                    <w:keepNext w:val="0"/>
                    <w:keepLines w:val="0"/>
                    <w:pageBreakBefore w:val="0"/>
                    <w:widowControl w:val="0"/>
                    <w:kinsoku/>
                    <w:wordWrap/>
                    <w:overflowPunct/>
                    <w:topLinePunct w:val="0"/>
                    <w:autoSpaceDE/>
                    <w:autoSpaceDN/>
                    <w:bidi w:val="0"/>
                    <w:adjustRightInd/>
                    <w:snapToGrid/>
                    <w:ind w:right="0" w:rightChars="0"/>
                    <w:jc w:val="center"/>
                    <w:textAlignment w:val="baseline"/>
                    <w:rPr>
                      <w:rFonts w:hint="default" w:ascii="Times New Roman" w:hAnsi="Times New Roman" w:eastAsia="宋体" w:cs="Times New Roman"/>
                      <w:color w:val="auto"/>
                      <w:sz w:val="21"/>
                      <w:szCs w:val="21"/>
                      <w:highlight w:val="none"/>
                      <w:u w:val="none" w:color="auto"/>
                    </w:rPr>
                  </w:pPr>
                </w:p>
              </w:tc>
              <w:tc>
                <w:tcPr>
                  <w:tcW w:w="3175" w:type="pct"/>
                  <w:tcBorders>
                    <w:tl2br w:val="nil"/>
                    <w:tr2bl w:val="nil"/>
                  </w:tcBorders>
                  <w:tcMar>
                    <w:top w:w="57" w:type="dxa"/>
                    <w:left w:w="57" w:type="dxa"/>
                    <w:bottom w:w="57" w:type="dxa"/>
                    <w:right w:w="57" w:type="dxa"/>
                  </w:tcMar>
                  <w:vAlign w:val="center"/>
                </w:tcPr>
                <w:p w14:paraId="3C1F5DA4">
                  <w:pPr>
                    <w:keepNext w:val="0"/>
                    <w:keepLines w:val="0"/>
                    <w:pageBreakBefore w:val="0"/>
                    <w:widowControl w:val="0"/>
                    <w:kinsoku/>
                    <w:wordWrap/>
                    <w:overflowPunct/>
                    <w:topLinePunct w:val="0"/>
                    <w:autoSpaceDE/>
                    <w:autoSpaceDN/>
                    <w:bidi w:val="0"/>
                    <w:adjustRightInd/>
                    <w:snapToGrid/>
                    <w:ind w:right="0" w:rightChars="0"/>
                    <w:jc w:val="center"/>
                    <w:textAlignment w:val="baseline"/>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5.3VOCs无组织排放控制措施</w:t>
                  </w:r>
                </w:p>
                <w:p w14:paraId="1A583632">
                  <w:pPr>
                    <w:keepNext w:val="0"/>
                    <w:keepLines w:val="0"/>
                    <w:pageBreakBefore w:val="0"/>
                    <w:widowControl w:val="0"/>
                    <w:kinsoku/>
                    <w:wordWrap/>
                    <w:overflowPunct/>
                    <w:topLinePunct w:val="0"/>
                    <w:autoSpaceDE/>
                    <w:autoSpaceDN/>
                    <w:bidi w:val="0"/>
                    <w:adjustRightInd/>
                    <w:snapToGrid/>
                    <w:ind w:right="0" w:rightChars="0"/>
                    <w:jc w:val="center"/>
                    <w:textAlignment w:val="baseline"/>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5.3.1VOCs物料的储存、转移</w:t>
                  </w:r>
                </w:p>
                <w:p w14:paraId="1451FF61">
                  <w:pPr>
                    <w:keepNext w:val="0"/>
                    <w:keepLines w:val="0"/>
                    <w:pageBreakBefore w:val="0"/>
                    <w:widowControl w:val="0"/>
                    <w:kinsoku/>
                    <w:wordWrap/>
                    <w:overflowPunct/>
                    <w:topLinePunct w:val="0"/>
                    <w:autoSpaceDE/>
                    <w:autoSpaceDN/>
                    <w:bidi w:val="0"/>
                    <w:adjustRightInd/>
                    <w:snapToGrid/>
                    <w:ind w:right="0" w:rightChars="0"/>
                    <w:jc w:val="center"/>
                    <w:textAlignment w:val="baseline"/>
                    <w:rPr>
                      <w:rFonts w:hint="default" w:ascii="Times New Roman" w:hAnsi="Times New Roman" w:eastAsia="宋体" w:cs="Times New Roman"/>
                      <w:color w:val="auto"/>
                      <w:sz w:val="21"/>
                      <w:szCs w:val="21"/>
                      <w:highlight w:val="none"/>
                      <w:u w:val="none" w:color="auto"/>
                    </w:rPr>
                  </w:pPr>
                  <w:bookmarkStart w:id="64" w:name="sys732052"/>
                  <w:r>
                    <w:rPr>
                      <w:rFonts w:hint="default" w:ascii="Times New Roman" w:hAnsi="Times New Roman" w:eastAsia="宋体" w:cs="Times New Roman"/>
                      <w:color w:val="auto"/>
                      <w:sz w:val="21"/>
                      <w:szCs w:val="21"/>
                      <w:highlight w:val="none"/>
                      <w:u w:val="none" w:color="auto"/>
                    </w:rPr>
                    <w:t>5.3.1.1涂料、树脂、固化剂、稀释剂、清洗剂等VOCs物料应储存于密闭的容器、包装袋、储库中。</w:t>
                  </w:r>
                  <w:bookmarkEnd w:id="64"/>
                </w:p>
                <w:p w14:paraId="4523E691">
                  <w:pPr>
                    <w:keepNext w:val="0"/>
                    <w:keepLines w:val="0"/>
                    <w:pageBreakBefore w:val="0"/>
                    <w:widowControl w:val="0"/>
                    <w:kinsoku/>
                    <w:wordWrap/>
                    <w:overflowPunct/>
                    <w:topLinePunct w:val="0"/>
                    <w:autoSpaceDE/>
                    <w:autoSpaceDN/>
                    <w:bidi w:val="0"/>
                    <w:adjustRightInd/>
                    <w:snapToGrid/>
                    <w:ind w:right="0" w:rightChars="0"/>
                    <w:jc w:val="center"/>
                    <w:textAlignment w:val="baseline"/>
                    <w:rPr>
                      <w:rFonts w:hint="default" w:ascii="Times New Roman" w:hAnsi="Times New Roman" w:eastAsia="宋体" w:cs="Times New Roman"/>
                      <w:color w:val="auto"/>
                      <w:sz w:val="21"/>
                      <w:szCs w:val="21"/>
                      <w:highlight w:val="none"/>
                      <w:u w:val="none" w:color="auto"/>
                    </w:rPr>
                  </w:pPr>
                  <w:bookmarkStart w:id="65" w:name="sys733055"/>
                  <w:r>
                    <w:rPr>
                      <w:rFonts w:hint="default" w:ascii="Times New Roman" w:hAnsi="Times New Roman" w:eastAsia="宋体" w:cs="Times New Roman"/>
                      <w:color w:val="auto"/>
                      <w:sz w:val="21"/>
                      <w:szCs w:val="21"/>
                      <w:highlight w:val="none"/>
                      <w:u w:val="none" w:color="auto"/>
                    </w:rPr>
                    <w:t>5.3.1.2盛装VOCs物料的容器或包装袋应存放于室内，或存放于设置有雨棚、遮阳和防渗设施的专用场地。</w:t>
                  </w:r>
                  <w:bookmarkEnd w:id="65"/>
                  <w:bookmarkStart w:id="66" w:name="sys7335536"/>
                  <w:r>
                    <w:rPr>
                      <w:rFonts w:hint="default" w:ascii="Times New Roman" w:hAnsi="Times New Roman" w:eastAsia="宋体" w:cs="Times New Roman"/>
                      <w:color w:val="auto"/>
                      <w:sz w:val="21"/>
                      <w:szCs w:val="21"/>
                      <w:highlight w:val="none"/>
                      <w:u w:val="none" w:color="auto"/>
                    </w:rPr>
                    <w:t>盛装VOCs物料的容器或包装袋在非取用状态时应加盖、封口，保持密闭。</w:t>
                  </w:r>
                  <w:bookmarkEnd w:id="66"/>
                  <w:r>
                    <w:rPr>
                      <w:rFonts w:hint="default" w:ascii="Times New Roman" w:hAnsi="Times New Roman" w:eastAsia="宋体" w:cs="Times New Roman"/>
                      <w:color w:val="auto"/>
                      <w:sz w:val="21"/>
                      <w:szCs w:val="21"/>
                      <w:highlight w:val="none"/>
                      <w:u w:val="none" w:color="auto"/>
                    </w:rPr>
                    <w:t>转移VOCs物料时，应采用密闭容器。</w:t>
                  </w:r>
                </w:p>
                <w:p w14:paraId="0D5130AE">
                  <w:pPr>
                    <w:keepNext w:val="0"/>
                    <w:keepLines w:val="0"/>
                    <w:pageBreakBefore w:val="0"/>
                    <w:widowControl w:val="0"/>
                    <w:kinsoku/>
                    <w:wordWrap/>
                    <w:overflowPunct/>
                    <w:topLinePunct w:val="0"/>
                    <w:autoSpaceDE/>
                    <w:autoSpaceDN/>
                    <w:bidi w:val="0"/>
                    <w:adjustRightInd/>
                    <w:snapToGrid/>
                    <w:ind w:right="0" w:rightChars="0"/>
                    <w:jc w:val="center"/>
                    <w:textAlignment w:val="baseline"/>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5.3.1.3VOCs物料储库应满足3.24条对密闭空间的要求。</w:t>
                  </w:r>
                </w:p>
                <w:p w14:paraId="7EC53B2E">
                  <w:pPr>
                    <w:keepNext w:val="0"/>
                    <w:keepLines w:val="0"/>
                    <w:pageBreakBefore w:val="0"/>
                    <w:widowControl w:val="0"/>
                    <w:kinsoku/>
                    <w:wordWrap/>
                    <w:overflowPunct/>
                    <w:topLinePunct w:val="0"/>
                    <w:autoSpaceDE/>
                    <w:autoSpaceDN/>
                    <w:bidi w:val="0"/>
                    <w:adjustRightInd/>
                    <w:snapToGrid/>
                    <w:ind w:right="0" w:rightChars="0"/>
                    <w:jc w:val="center"/>
                    <w:textAlignment w:val="baseline"/>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5.3.2表面涂装</w:t>
                  </w:r>
                </w:p>
                <w:p w14:paraId="6F7C47D9">
                  <w:pPr>
                    <w:keepNext w:val="0"/>
                    <w:keepLines w:val="0"/>
                    <w:pageBreakBefore w:val="0"/>
                    <w:widowControl w:val="0"/>
                    <w:kinsoku/>
                    <w:wordWrap/>
                    <w:overflowPunct/>
                    <w:topLinePunct w:val="0"/>
                    <w:autoSpaceDE/>
                    <w:autoSpaceDN/>
                    <w:bidi w:val="0"/>
                    <w:adjustRightInd/>
                    <w:snapToGrid/>
                    <w:ind w:right="0" w:rightChars="0"/>
                    <w:jc w:val="center"/>
                    <w:textAlignment w:val="baseline"/>
                    <w:rPr>
                      <w:rFonts w:hint="default" w:ascii="Times New Roman" w:hAnsi="Times New Roman" w:eastAsia="宋体" w:cs="Times New Roman"/>
                      <w:color w:val="auto"/>
                      <w:sz w:val="21"/>
                      <w:szCs w:val="21"/>
                      <w:highlight w:val="none"/>
                      <w:u w:val="none" w:color="auto"/>
                    </w:rPr>
                  </w:pPr>
                  <w:bookmarkStart w:id="67" w:name="sys736039"/>
                  <w:r>
                    <w:rPr>
                      <w:rFonts w:hint="default" w:ascii="Times New Roman" w:hAnsi="Times New Roman" w:eastAsia="宋体" w:cs="Times New Roman"/>
                      <w:color w:val="auto"/>
                      <w:sz w:val="21"/>
                      <w:szCs w:val="21"/>
                      <w:highlight w:val="none"/>
                      <w:u w:val="none" w:color="auto"/>
                    </w:rPr>
                    <w:t>表面涂装的配料、涂装和清洗作业应在密闭空间内进行，废气应排至废气收集处理系统；</w:t>
                  </w:r>
                  <w:bookmarkEnd w:id="67"/>
                  <w:r>
                    <w:rPr>
                      <w:rFonts w:hint="default" w:ascii="Times New Roman" w:hAnsi="Times New Roman" w:eastAsia="宋体" w:cs="Times New Roman"/>
                      <w:color w:val="auto"/>
                      <w:sz w:val="21"/>
                      <w:szCs w:val="21"/>
                      <w:highlight w:val="none"/>
                      <w:u w:val="none" w:color="auto"/>
                    </w:rPr>
                    <w:t>无法密闭的，应采取局部气体收集处理措施。</w:t>
                  </w:r>
                </w:p>
                <w:p w14:paraId="0DDD3EA8">
                  <w:pPr>
                    <w:keepNext w:val="0"/>
                    <w:keepLines w:val="0"/>
                    <w:pageBreakBefore w:val="0"/>
                    <w:widowControl w:val="0"/>
                    <w:kinsoku/>
                    <w:wordWrap/>
                    <w:overflowPunct/>
                    <w:topLinePunct w:val="0"/>
                    <w:autoSpaceDE/>
                    <w:autoSpaceDN/>
                    <w:bidi w:val="0"/>
                    <w:adjustRightInd/>
                    <w:snapToGrid/>
                    <w:ind w:right="0" w:rightChars="0"/>
                    <w:jc w:val="center"/>
                    <w:textAlignment w:val="baseline"/>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5.3.4其他VOCs无组织排放控制要求</w:t>
                  </w:r>
                </w:p>
                <w:p w14:paraId="2D582A0D">
                  <w:pPr>
                    <w:keepNext w:val="0"/>
                    <w:keepLines w:val="0"/>
                    <w:pageBreakBefore w:val="0"/>
                    <w:widowControl w:val="0"/>
                    <w:kinsoku/>
                    <w:wordWrap/>
                    <w:overflowPunct/>
                    <w:topLinePunct w:val="0"/>
                    <w:autoSpaceDE/>
                    <w:autoSpaceDN/>
                    <w:bidi w:val="0"/>
                    <w:adjustRightInd/>
                    <w:snapToGrid/>
                    <w:ind w:right="0" w:rightChars="0"/>
                    <w:jc w:val="center"/>
                    <w:textAlignment w:val="baseline"/>
                    <w:rPr>
                      <w:rFonts w:hint="default" w:ascii="Times New Roman" w:hAnsi="Times New Roman" w:eastAsia="宋体" w:cs="Times New Roman"/>
                      <w:color w:val="auto"/>
                      <w:sz w:val="21"/>
                      <w:szCs w:val="21"/>
                      <w:highlight w:val="none"/>
                      <w:u w:val="none" w:color="auto"/>
                    </w:rPr>
                  </w:pPr>
                  <w:bookmarkStart w:id="68" w:name="sys738050"/>
                  <w:r>
                    <w:rPr>
                      <w:rFonts w:hint="default" w:ascii="Times New Roman" w:hAnsi="Times New Roman" w:eastAsia="宋体" w:cs="Times New Roman"/>
                      <w:color w:val="auto"/>
                      <w:sz w:val="21"/>
                      <w:szCs w:val="21"/>
                      <w:highlight w:val="none"/>
                      <w:u w:val="none" w:color="auto"/>
                    </w:rPr>
                    <w:t>设备与管线组件VOCs泄漏控制要求、敞开液面VOCs无组织排放控制要求，应符合GB37822的规定。</w:t>
                  </w:r>
                  <w:bookmarkEnd w:id="68"/>
                </w:p>
              </w:tc>
              <w:tc>
                <w:tcPr>
                  <w:tcW w:w="1194" w:type="pct"/>
                  <w:tcBorders>
                    <w:tl2br w:val="nil"/>
                    <w:tr2bl w:val="nil"/>
                  </w:tcBorders>
                  <w:tcMar>
                    <w:top w:w="57" w:type="dxa"/>
                    <w:left w:w="57" w:type="dxa"/>
                    <w:bottom w:w="57" w:type="dxa"/>
                    <w:right w:w="57" w:type="dxa"/>
                  </w:tcMar>
                  <w:vAlign w:val="center"/>
                </w:tcPr>
                <w:p w14:paraId="2A5208DE">
                  <w:pPr>
                    <w:keepNext w:val="0"/>
                    <w:keepLines w:val="0"/>
                    <w:pageBreakBefore w:val="0"/>
                    <w:widowControl w:val="0"/>
                    <w:kinsoku/>
                    <w:wordWrap/>
                    <w:overflowPunct/>
                    <w:topLinePunct w:val="0"/>
                    <w:autoSpaceDE/>
                    <w:autoSpaceDN/>
                    <w:bidi w:val="0"/>
                    <w:adjustRightInd/>
                    <w:snapToGrid/>
                    <w:ind w:right="0" w:rightChars="0"/>
                    <w:jc w:val="center"/>
                    <w:textAlignment w:val="baseline"/>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本项目已对各VOCs产生工序设置集气和处理设施，并要求进一步提高废气收集效率，经工程分析本项目有机废气经处理后可做到达标排放。</w:t>
                  </w:r>
                </w:p>
              </w:tc>
              <w:tc>
                <w:tcPr>
                  <w:tcW w:w="379" w:type="pct"/>
                  <w:tcBorders>
                    <w:tl2br w:val="nil"/>
                    <w:tr2bl w:val="nil"/>
                  </w:tcBorders>
                  <w:tcMar>
                    <w:top w:w="57" w:type="dxa"/>
                    <w:left w:w="57" w:type="dxa"/>
                    <w:bottom w:w="57" w:type="dxa"/>
                    <w:right w:w="57" w:type="dxa"/>
                  </w:tcMar>
                  <w:vAlign w:val="center"/>
                </w:tcPr>
                <w:p w14:paraId="282B05D1">
                  <w:pPr>
                    <w:keepNext w:val="0"/>
                    <w:keepLines w:val="0"/>
                    <w:pageBreakBefore w:val="0"/>
                    <w:widowControl w:val="0"/>
                    <w:kinsoku/>
                    <w:wordWrap/>
                    <w:overflowPunct/>
                    <w:topLinePunct w:val="0"/>
                    <w:autoSpaceDE/>
                    <w:autoSpaceDN/>
                    <w:bidi w:val="0"/>
                    <w:adjustRightInd/>
                    <w:snapToGrid/>
                    <w:ind w:right="0" w:rightChars="0"/>
                    <w:jc w:val="center"/>
                    <w:textAlignment w:val="baseline"/>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相符</w:t>
                  </w:r>
                </w:p>
              </w:tc>
            </w:tr>
            <w:tr w14:paraId="3482791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50" w:type="pct"/>
                  <w:vMerge w:val="continue"/>
                  <w:tcBorders>
                    <w:tl2br w:val="nil"/>
                    <w:tr2bl w:val="nil"/>
                  </w:tcBorders>
                  <w:tcMar>
                    <w:top w:w="57" w:type="dxa"/>
                    <w:left w:w="57" w:type="dxa"/>
                    <w:bottom w:w="57" w:type="dxa"/>
                    <w:right w:w="57" w:type="dxa"/>
                  </w:tcMar>
                  <w:vAlign w:val="center"/>
                </w:tcPr>
                <w:p w14:paraId="0B303502">
                  <w:pPr>
                    <w:keepNext w:val="0"/>
                    <w:keepLines w:val="0"/>
                    <w:pageBreakBefore w:val="0"/>
                    <w:widowControl w:val="0"/>
                    <w:kinsoku/>
                    <w:wordWrap/>
                    <w:overflowPunct/>
                    <w:topLinePunct w:val="0"/>
                    <w:autoSpaceDE/>
                    <w:autoSpaceDN/>
                    <w:bidi w:val="0"/>
                    <w:adjustRightInd/>
                    <w:snapToGrid/>
                    <w:ind w:right="0" w:rightChars="0"/>
                    <w:jc w:val="center"/>
                    <w:textAlignment w:val="baseline"/>
                    <w:rPr>
                      <w:rFonts w:hint="default" w:ascii="Times New Roman" w:hAnsi="Times New Roman" w:eastAsia="宋体" w:cs="Times New Roman"/>
                      <w:color w:val="auto"/>
                      <w:sz w:val="21"/>
                      <w:szCs w:val="21"/>
                      <w:highlight w:val="none"/>
                      <w:u w:val="none" w:color="auto"/>
                    </w:rPr>
                  </w:pPr>
                </w:p>
              </w:tc>
              <w:tc>
                <w:tcPr>
                  <w:tcW w:w="3175" w:type="pct"/>
                  <w:tcBorders>
                    <w:tl2br w:val="nil"/>
                    <w:tr2bl w:val="nil"/>
                  </w:tcBorders>
                  <w:tcMar>
                    <w:top w:w="57" w:type="dxa"/>
                    <w:left w:w="57" w:type="dxa"/>
                    <w:bottom w:w="57" w:type="dxa"/>
                    <w:right w:w="57" w:type="dxa"/>
                  </w:tcMar>
                  <w:vAlign w:val="center"/>
                </w:tcPr>
                <w:p w14:paraId="108C2201">
                  <w:pPr>
                    <w:keepNext w:val="0"/>
                    <w:keepLines w:val="0"/>
                    <w:pageBreakBefore w:val="0"/>
                    <w:widowControl w:val="0"/>
                    <w:kinsoku/>
                    <w:wordWrap/>
                    <w:overflowPunct/>
                    <w:topLinePunct w:val="0"/>
                    <w:autoSpaceDE/>
                    <w:autoSpaceDN/>
                    <w:bidi w:val="0"/>
                    <w:adjustRightInd/>
                    <w:snapToGrid/>
                    <w:ind w:right="0" w:rightChars="0"/>
                    <w:jc w:val="center"/>
                    <w:textAlignment w:val="baseline"/>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5.4运行与记录要求</w:t>
                  </w:r>
                </w:p>
                <w:p w14:paraId="6B01332A">
                  <w:pPr>
                    <w:keepNext w:val="0"/>
                    <w:keepLines w:val="0"/>
                    <w:pageBreakBefore w:val="0"/>
                    <w:widowControl w:val="0"/>
                    <w:kinsoku/>
                    <w:wordWrap/>
                    <w:overflowPunct/>
                    <w:topLinePunct w:val="0"/>
                    <w:autoSpaceDE/>
                    <w:autoSpaceDN/>
                    <w:bidi w:val="0"/>
                    <w:adjustRightInd/>
                    <w:snapToGrid/>
                    <w:ind w:right="0" w:rightChars="0"/>
                    <w:jc w:val="center"/>
                    <w:textAlignment w:val="baseline"/>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5.4.1VOCs无组织排放废气收集系统排风罩（集气罩）的设置应符合GB/T16758的规定。</w:t>
                  </w:r>
                  <w:bookmarkStart w:id="69" w:name="sys7435298"/>
                  <w:r>
                    <w:rPr>
                      <w:rFonts w:hint="default" w:ascii="Times New Roman" w:hAnsi="Times New Roman" w:eastAsia="宋体" w:cs="Times New Roman"/>
                      <w:color w:val="auto"/>
                      <w:sz w:val="21"/>
                      <w:szCs w:val="21"/>
                      <w:highlight w:val="none"/>
                      <w:u w:val="none" w:color="auto"/>
                    </w:rPr>
                    <w:t>采用外部排风罩的，应按GB/T16758、WS/T757—2016规定的方法测量控制风速，测量点应选取在距排风罩开口面最远处的VOCs无组织排放位置，控制风速不应低于0.3m/s。</w:t>
                  </w:r>
                  <w:bookmarkEnd w:id="69"/>
                </w:p>
                <w:p w14:paraId="536E3237">
                  <w:pPr>
                    <w:keepNext w:val="0"/>
                    <w:keepLines w:val="0"/>
                    <w:pageBreakBefore w:val="0"/>
                    <w:widowControl w:val="0"/>
                    <w:kinsoku/>
                    <w:wordWrap/>
                    <w:overflowPunct/>
                    <w:topLinePunct w:val="0"/>
                    <w:autoSpaceDE/>
                    <w:autoSpaceDN/>
                    <w:bidi w:val="0"/>
                    <w:adjustRightInd/>
                    <w:snapToGrid/>
                    <w:ind w:right="0" w:rightChars="0"/>
                    <w:jc w:val="center"/>
                    <w:textAlignment w:val="baseline"/>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5.4.3无组织排放废气收集处理系统应与生产工艺设备同步运行。</w:t>
                  </w:r>
                  <w:bookmarkStart w:id="70" w:name="sys7443250"/>
                  <w:r>
                    <w:rPr>
                      <w:rFonts w:hint="default" w:ascii="Times New Roman" w:hAnsi="Times New Roman" w:eastAsia="宋体" w:cs="Times New Roman"/>
                      <w:color w:val="auto"/>
                      <w:sz w:val="21"/>
                      <w:szCs w:val="21"/>
                      <w:highlight w:val="none"/>
                      <w:u w:val="none" w:color="auto"/>
                    </w:rPr>
                    <w:t>废气收集处理系统发生故障或检修时，对应的生产工艺设备应停止运行，待排除故障或检修完毕后同步投入使用；</w:t>
                  </w:r>
                  <w:bookmarkEnd w:id="70"/>
                  <w:bookmarkStart w:id="71" w:name="sys7448244"/>
                  <w:r>
                    <w:rPr>
                      <w:rFonts w:hint="default" w:ascii="Times New Roman" w:hAnsi="Times New Roman" w:eastAsia="宋体" w:cs="Times New Roman"/>
                      <w:color w:val="auto"/>
                      <w:sz w:val="21"/>
                      <w:szCs w:val="21"/>
                      <w:highlight w:val="none"/>
                      <w:u w:val="none" w:color="auto"/>
                    </w:rPr>
                    <w:t>生产工艺设备不能停止运行或不能及时停止运行的，应设置废气应急处理设施或采取其他替代措施。</w:t>
                  </w:r>
                  <w:bookmarkEnd w:id="71"/>
                </w:p>
              </w:tc>
              <w:tc>
                <w:tcPr>
                  <w:tcW w:w="1194" w:type="pct"/>
                  <w:tcBorders>
                    <w:tl2br w:val="nil"/>
                    <w:tr2bl w:val="nil"/>
                  </w:tcBorders>
                  <w:tcMar>
                    <w:top w:w="57" w:type="dxa"/>
                    <w:left w:w="57" w:type="dxa"/>
                    <w:bottom w:w="57" w:type="dxa"/>
                    <w:right w:w="57" w:type="dxa"/>
                  </w:tcMar>
                  <w:vAlign w:val="center"/>
                </w:tcPr>
                <w:p w14:paraId="4589536D">
                  <w:pPr>
                    <w:keepNext w:val="0"/>
                    <w:keepLines w:val="0"/>
                    <w:pageBreakBefore w:val="0"/>
                    <w:widowControl w:val="0"/>
                    <w:kinsoku/>
                    <w:wordWrap/>
                    <w:overflowPunct/>
                    <w:topLinePunct w:val="0"/>
                    <w:autoSpaceDE/>
                    <w:autoSpaceDN/>
                    <w:bidi w:val="0"/>
                    <w:adjustRightInd/>
                    <w:snapToGrid/>
                    <w:ind w:right="0" w:rightChars="0"/>
                    <w:jc w:val="center"/>
                    <w:textAlignment w:val="baseline"/>
                    <w:rPr>
                      <w:rFonts w:hint="default" w:ascii="Times New Roman" w:hAnsi="Times New Roman" w:eastAsia="宋体" w:cs="Times New Roman"/>
                      <w:color w:val="auto"/>
                      <w:sz w:val="21"/>
                      <w:szCs w:val="21"/>
                      <w:highlight w:val="none"/>
                      <w:u w:val="none" w:color="auto"/>
                    </w:rPr>
                  </w:pPr>
                  <w:bookmarkStart w:id="72" w:name="sys745067"/>
                  <w:r>
                    <w:rPr>
                      <w:rFonts w:hint="default" w:ascii="Times New Roman" w:hAnsi="Times New Roman" w:eastAsia="宋体" w:cs="Times New Roman"/>
                      <w:color w:val="auto"/>
                      <w:sz w:val="21"/>
                      <w:szCs w:val="21"/>
                      <w:highlight w:val="none"/>
                      <w:u w:val="none" w:color="auto"/>
                      <w:lang w:val="en-US" w:eastAsia="zh-CN"/>
                    </w:rPr>
                    <w:t>本次评价提出</w:t>
                  </w:r>
                  <w:sdt>
                    <w:sdtPr>
                      <w:rPr>
                        <w:rFonts w:hint="default" w:ascii="Times New Roman" w:hAnsi="Times New Roman" w:eastAsia="宋体" w:cs="Times New Roman"/>
                        <w:color w:val="auto"/>
                        <w:sz w:val="21"/>
                        <w:szCs w:val="21"/>
                        <w:highlight w:val="none"/>
                        <w:u w:val="none" w:color="auto"/>
                      </w:rPr>
                      <w:alias w:val="一致性检查"/>
                      <w:id w:val="1600919588"/>
                    </w:sdtPr>
                    <w:sdtEndPr>
                      <w:rPr>
                        <w:rFonts w:hint="default" w:ascii="Times New Roman" w:hAnsi="Times New Roman" w:eastAsia="宋体" w:cs="Times New Roman"/>
                        <w:color w:val="auto"/>
                        <w:sz w:val="21"/>
                        <w:szCs w:val="21"/>
                        <w:highlight w:val="none"/>
                        <w:u w:val="none" w:color="auto"/>
                      </w:rPr>
                    </w:sdtEndPr>
                    <w:sdtContent>
                      <w:r>
                        <w:rPr>
                          <w:rFonts w:hint="default" w:ascii="Times New Roman" w:hAnsi="Times New Roman" w:eastAsia="宋体" w:cs="Times New Roman"/>
                          <w:color w:val="auto"/>
                          <w:sz w:val="21"/>
                          <w:szCs w:val="21"/>
                          <w:highlight w:val="none"/>
                          <w:u w:val="none" w:color="auto"/>
                        </w:rPr>
                        <w:t>废气</w:t>
                      </w:r>
                    </w:sdtContent>
                  </w:sdt>
                  <w:r>
                    <w:rPr>
                      <w:rFonts w:hint="default" w:ascii="Times New Roman" w:hAnsi="Times New Roman" w:eastAsia="宋体" w:cs="Times New Roman"/>
                      <w:color w:val="auto"/>
                      <w:sz w:val="21"/>
                      <w:szCs w:val="21"/>
                      <w:highlight w:val="none"/>
                      <w:u w:val="none" w:color="auto"/>
                    </w:rPr>
                    <w:t>收集采用的</w:t>
                  </w:r>
                  <w:r>
                    <w:rPr>
                      <w:rFonts w:hint="default" w:ascii="Times New Roman" w:hAnsi="Times New Roman" w:eastAsia="宋体" w:cs="Times New Roman"/>
                      <w:color w:val="auto"/>
                      <w:kern w:val="0"/>
                      <w:sz w:val="21"/>
                      <w:szCs w:val="21"/>
                      <w:highlight w:val="none"/>
                      <w:u w:val="none" w:color="auto"/>
                    </w:rPr>
                    <w:t>集气罩</w:t>
                  </w:r>
                  <w:r>
                    <w:rPr>
                      <w:rFonts w:hint="default" w:ascii="Times New Roman" w:hAnsi="Times New Roman" w:eastAsia="宋体" w:cs="Times New Roman"/>
                      <w:color w:val="auto"/>
                      <w:kern w:val="0"/>
                      <w:sz w:val="21"/>
                      <w:szCs w:val="21"/>
                      <w:highlight w:val="none"/>
                      <w:u w:val="none" w:color="auto"/>
                      <w:lang w:val="en-US" w:eastAsia="zh-CN"/>
                    </w:rPr>
                    <w:t>外延设置软帘，进一步提高废气收集效率，</w:t>
                  </w:r>
                  <w:r>
                    <w:rPr>
                      <w:rFonts w:hint="default" w:ascii="Times New Roman" w:hAnsi="Times New Roman" w:eastAsia="宋体" w:cs="Times New Roman"/>
                      <w:color w:val="auto"/>
                      <w:kern w:val="0"/>
                      <w:sz w:val="21"/>
                      <w:szCs w:val="21"/>
                      <w:highlight w:val="none"/>
                      <w:u w:val="none" w:color="auto"/>
                    </w:rPr>
                    <w:t>符合GB/T16758的规定，</w:t>
                  </w:r>
                  <w:r>
                    <w:rPr>
                      <w:rFonts w:hint="default" w:ascii="Times New Roman" w:hAnsi="Times New Roman" w:eastAsia="宋体" w:cs="Times New Roman"/>
                      <w:color w:val="auto"/>
                      <w:kern w:val="0"/>
                      <w:sz w:val="21"/>
                      <w:szCs w:val="21"/>
                      <w:highlight w:val="none"/>
                      <w:u w:val="none" w:color="auto"/>
                      <w:lang w:val="en-US" w:eastAsia="zh-CN"/>
                    </w:rPr>
                    <w:t>同时本次评价要求</w:t>
                  </w:r>
                  <w:r>
                    <w:rPr>
                      <w:rFonts w:hint="default" w:ascii="Times New Roman" w:hAnsi="Times New Roman" w:eastAsia="宋体" w:cs="Times New Roman"/>
                      <w:color w:val="auto"/>
                      <w:kern w:val="0"/>
                      <w:sz w:val="21"/>
                      <w:szCs w:val="21"/>
                      <w:highlight w:val="none"/>
                      <w:u w:val="none" w:color="auto"/>
                    </w:rPr>
                    <w:t>在距排风罩开口面最远处的VOCs无组织排放位置，控制风速不应低于0.3m/s</w:t>
                  </w:r>
                  <w:r>
                    <w:rPr>
                      <w:rFonts w:hint="default" w:ascii="Times New Roman" w:hAnsi="Times New Roman" w:eastAsia="宋体" w:cs="Times New Roman"/>
                      <w:color w:val="auto"/>
                      <w:kern w:val="0"/>
                      <w:sz w:val="21"/>
                      <w:szCs w:val="21"/>
                      <w:highlight w:val="none"/>
                      <w:u w:val="none" w:color="auto"/>
                      <w:lang w:eastAsia="zh-CN"/>
                    </w:rPr>
                    <w:t>，</w:t>
                  </w:r>
                  <w:r>
                    <w:rPr>
                      <w:rFonts w:hint="default" w:ascii="Times New Roman" w:hAnsi="Times New Roman" w:eastAsia="宋体" w:cs="Times New Roman"/>
                      <w:color w:val="auto"/>
                      <w:kern w:val="0"/>
                      <w:sz w:val="21"/>
                      <w:szCs w:val="21"/>
                      <w:highlight w:val="none"/>
                      <w:u w:val="none" w:color="auto"/>
                      <w:lang w:val="en-US" w:eastAsia="zh-CN"/>
                    </w:rPr>
                    <w:t>若无法满足需求则进一步提高风量以满足要求</w:t>
                  </w:r>
                  <w:r>
                    <w:rPr>
                      <w:rFonts w:hint="default" w:ascii="Times New Roman" w:hAnsi="Times New Roman" w:eastAsia="宋体" w:cs="Times New Roman"/>
                      <w:color w:val="auto"/>
                      <w:sz w:val="21"/>
                      <w:szCs w:val="21"/>
                      <w:highlight w:val="none"/>
                      <w:u w:val="none" w:color="auto"/>
                    </w:rPr>
                    <w:t>。</w:t>
                  </w:r>
                  <w:bookmarkEnd w:id="72"/>
                </w:p>
              </w:tc>
              <w:tc>
                <w:tcPr>
                  <w:tcW w:w="379" w:type="pct"/>
                  <w:tcBorders>
                    <w:tl2br w:val="nil"/>
                    <w:tr2bl w:val="nil"/>
                  </w:tcBorders>
                  <w:tcMar>
                    <w:top w:w="57" w:type="dxa"/>
                    <w:left w:w="57" w:type="dxa"/>
                    <w:bottom w:w="57" w:type="dxa"/>
                    <w:right w:w="57" w:type="dxa"/>
                  </w:tcMar>
                  <w:vAlign w:val="center"/>
                </w:tcPr>
                <w:p w14:paraId="40526892">
                  <w:pPr>
                    <w:keepNext w:val="0"/>
                    <w:keepLines w:val="0"/>
                    <w:pageBreakBefore w:val="0"/>
                    <w:widowControl w:val="0"/>
                    <w:kinsoku/>
                    <w:wordWrap/>
                    <w:overflowPunct/>
                    <w:topLinePunct w:val="0"/>
                    <w:autoSpaceDE/>
                    <w:autoSpaceDN/>
                    <w:bidi w:val="0"/>
                    <w:adjustRightInd/>
                    <w:snapToGrid/>
                    <w:ind w:right="0" w:rightChars="0"/>
                    <w:jc w:val="center"/>
                    <w:textAlignment w:val="baseline"/>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相符</w:t>
                  </w:r>
                </w:p>
              </w:tc>
            </w:tr>
            <w:tr w14:paraId="7F82F2F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50" w:type="pct"/>
                  <w:vMerge w:val="restart"/>
                  <w:tcBorders>
                    <w:tl2br w:val="nil"/>
                    <w:tr2bl w:val="nil"/>
                  </w:tcBorders>
                  <w:tcMar>
                    <w:top w:w="57" w:type="dxa"/>
                    <w:left w:w="57" w:type="dxa"/>
                    <w:bottom w:w="57" w:type="dxa"/>
                    <w:right w:w="57" w:type="dxa"/>
                  </w:tcMar>
                  <w:vAlign w:val="center"/>
                </w:tcPr>
                <w:p w14:paraId="0C6B345B">
                  <w:pPr>
                    <w:keepNext w:val="0"/>
                    <w:keepLines w:val="0"/>
                    <w:pageBreakBefore w:val="0"/>
                    <w:widowControl w:val="0"/>
                    <w:kinsoku/>
                    <w:wordWrap/>
                    <w:overflowPunct/>
                    <w:topLinePunct w:val="0"/>
                    <w:autoSpaceDE/>
                    <w:autoSpaceDN/>
                    <w:bidi w:val="0"/>
                    <w:adjustRightInd/>
                    <w:snapToGrid/>
                    <w:ind w:right="0" w:rightChars="0"/>
                    <w:jc w:val="center"/>
                    <w:textAlignment w:val="baseline"/>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7污染物检测要求</w:t>
                  </w:r>
                </w:p>
              </w:tc>
              <w:tc>
                <w:tcPr>
                  <w:tcW w:w="3175" w:type="pct"/>
                  <w:tcBorders>
                    <w:tl2br w:val="nil"/>
                    <w:tr2bl w:val="nil"/>
                  </w:tcBorders>
                  <w:tcMar>
                    <w:top w:w="57" w:type="dxa"/>
                    <w:left w:w="57" w:type="dxa"/>
                    <w:bottom w:w="57" w:type="dxa"/>
                    <w:right w:w="57" w:type="dxa"/>
                  </w:tcMar>
                  <w:vAlign w:val="center"/>
                </w:tcPr>
                <w:p w14:paraId="07C43CDC">
                  <w:pPr>
                    <w:keepNext w:val="0"/>
                    <w:keepLines w:val="0"/>
                    <w:pageBreakBefore w:val="0"/>
                    <w:widowControl w:val="0"/>
                    <w:kinsoku/>
                    <w:wordWrap/>
                    <w:overflowPunct/>
                    <w:topLinePunct w:val="0"/>
                    <w:autoSpaceDE/>
                    <w:autoSpaceDN/>
                    <w:bidi w:val="0"/>
                    <w:adjustRightInd/>
                    <w:snapToGrid/>
                    <w:ind w:right="0" w:rightChars="0"/>
                    <w:jc w:val="center"/>
                    <w:textAlignment w:val="baseline"/>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7.1一般要求</w:t>
                  </w:r>
                </w:p>
                <w:p w14:paraId="56BC0CAB">
                  <w:pPr>
                    <w:keepNext w:val="0"/>
                    <w:keepLines w:val="0"/>
                    <w:pageBreakBefore w:val="0"/>
                    <w:widowControl w:val="0"/>
                    <w:kinsoku/>
                    <w:wordWrap/>
                    <w:overflowPunct/>
                    <w:topLinePunct w:val="0"/>
                    <w:autoSpaceDE/>
                    <w:autoSpaceDN/>
                    <w:bidi w:val="0"/>
                    <w:adjustRightInd/>
                    <w:snapToGrid/>
                    <w:ind w:right="0" w:rightChars="0"/>
                    <w:jc w:val="center"/>
                    <w:textAlignment w:val="baseline"/>
                    <w:rPr>
                      <w:rFonts w:hint="default" w:ascii="Times New Roman" w:hAnsi="Times New Roman" w:eastAsia="宋体" w:cs="Times New Roman"/>
                      <w:color w:val="auto"/>
                      <w:sz w:val="21"/>
                      <w:szCs w:val="21"/>
                      <w:highlight w:val="none"/>
                      <w:u w:val="none" w:color="auto"/>
                    </w:rPr>
                  </w:pPr>
                  <w:bookmarkStart w:id="73" w:name="sys749089"/>
                  <w:r>
                    <w:rPr>
                      <w:rFonts w:hint="default" w:ascii="Times New Roman" w:hAnsi="Times New Roman" w:eastAsia="宋体" w:cs="Times New Roman"/>
                      <w:color w:val="auto"/>
                      <w:sz w:val="21"/>
                      <w:szCs w:val="21"/>
                      <w:highlight w:val="none"/>
                      <w:u w:val="none" w:color="auto"/>
                    </w:rPr>
                    <w:t>7.1.1企业应按照有关法律、《环境监测管理办法》和HJ819等规定，建立企业监测制度，制订监测方案，对大气污染物排放状况开展自行监测，保存原始监测记录，并公布监测结果。</w:t>
                  </w:r>
                  <w:bookmarkEnd w:id="73"/>
                </w:p>
                <w:p w14:paraId="0E5F8770">
                  <w:pPr>
                    <w:keepNext w:val="0"/>
                    <w:keepLines w:val="0"/>
                    <w:pageBreakBefore w:val="0"/>
                    <w:widowControl w:val="0"/>
                    <w:kinsoku/>
                    <w:wordWrap/>
                    <w:overflowPunct/>
                    <w:topLinePunct w:val="0"/>
                    <w:autoSpaceDE/>
                    <w:autoSpaceDN/>
                    <w:bidi w:val="0"/>
                    <w:adjustRightInd/>
                    <w:snapToGrid/>
                    <w:ind w:right="0" w:rightChars="0"/>
                    <w:jc w:val="center"/>
                    <w:textAlignment w:val="baseline"/>
                    <w:rPr>
                      <w:rFonts w:hint="default" w:ascii="Times New Roman" w:hAnsi="Times New Roman" w:eastAsia="宋体" w:cs="Times New Roman"/>
                      <w:color w:val="auto"/>
                      <w:sz w:val="21"/>
                      <w:szCs w:val="21"/>
                      <w:highlight w:val="none"/>
                      <w:u w:val="none" w:color="auto"/>
                    </w:rPr>
                  </w:pPr>
                  <w:bookmarkStart w:id="74" w:name="sys750052"/>
                  <w:r>
                    <w:rPr>
                      <w:rFonts w:hint="default" w:ascii="Times New Roman" w:hAnsi="Times New Roman" w:eastAsia="宋体" w:cs="Times New Roman"/>
                      <w:color w:val="auto"/>
                      <w:sz w:val="21"/>
                      <w:szCs w:val="21"/>
                      <w:highlight w:val="none"/>
                      <w:u w:val="none" w:color="auto"/>
                    </w:rPr>
                    <w:t>7.1.2企业安装大气污染物排放自动监控设备的要求，按有关法律和《污染源自动监控管理办法》等规定执行。</w:t>
                  </w:r>
                  <w:bookmarkEnd w:id="74"/>
                </w:p>
                <w:p w14:paraId="2B7F78CA">
                  <w:pPr>
                    <w:keepNext w:val="0"/>
                    <w:keepLines w:val="0"/>
                    <w:pageBreakBefore w:val="0"/>
                    <w:widowControl w:val="0"/>
                    <w:kinsoku/>
                    <w:wordWrap/>
                    <w:overflowPunct/>
                    <w:topLinePunct w:val="0"/>
                    <w:autoSpaceDE/>
                    <w:autoSpaceDN/>
                    <w:bidi w:val="0"/>
                    <w:adjustRightInd/>
                    <w:snapToGrid/>
                    <w:ind w:right="0" w:rightChars="0"/>
                    <w:jc w:val="center"/>
                    <w:textAlignment w:val="baseline"/>
                    <w:rPr>
                      <w:rFonts w:hint="default" w:ascii="Times New Roman" w:hAnsi="Times New Roman" w:eastAsia="宋体" w:cs="Times New Roman"/>
                      <w:color w:val="auto"/>
                      <w:sz w:val="21"/>
                      <w:szCs w:val="21"/>
                      <w:highlight w:val="none"/>
                      <w:u w:val="none" w:color="auto"/>
                    </w:rPr>
                  </w:pPr>
                  <w:bookmarkStart w:id="75" w:name="sys751056"/>
                  <w:r>
                    <w:rPr>
                      <w:rFonts w:hint="default" w:ascii="Times New Roman" w:hAnsi="Times New Roman" w:eastAsia="宋体" w:cs="Times New Roman"/>
                      <w:color w:val="auto"/>
                      <w:sz w:val="21"/>
                      <w:szCs w:val="21"/>
                      <w:highlight w:val="none"/>
                      <w:u w:val="none" w:color="auto"/>
                    </w:rPr>
                    <w:t>7.1.3企业应按照环境监测管理规定和技术规范的要求，设计、建设、维护永久性采样口、采样测试平台和排污口标志。</w:t>
                  </w:r>
                  <w:bookmarkEnd w:id="75"/>
                </w:p>
                <w:p w14:paraId="01DB7A0E">
                  <w:pPr>
                    <w:keepNext w:val="0"/>
                    <w:keepLines w:val="0"/>
                    <w:pageBreakBefore w:val="0"/>
                    <w:widowControl w:val="0"/>
                    <w:kinsoku/>
                    <w:wordWrap/>
                    <w:overflowPunct/>
                    <w:topLinePunct w:val="0"/>
                    <w:autoSpaceDE/>
                    <w:autoSpaceDN/>
                    <w:bidi w:val="0"/>
                    <w:adjustRightInd/>
                    <w:snapToGrid/>
                    <w:ind w:right="0" w:rightChars="0"/>
                    <w:jc w:val="center"/>
                    <w:textAlignment w:val="baseline"/>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7.1.4大气污染物监测应在规定的监控位置进行，有废气处理设施的，应在处理设施后监测。</w:t>
                  </w:r>
                </w:p>
              </w:tc>
              <w:tc>
                <w:tcPr>
                  <w:tcW w:w="1194" w:type="pct"/>
                  <w:tcBorders>
                    <w:tl2br w:val="nil"/>
                    <w:tr2bl w:val="nil"/>
                  </w:tcBorders>
                  <w:tcMar>
                    <w:top w:w="57" w:type="dxa"/>
                    <w:left w:w="57" w:type="dxa"/>
                    <w:bottom w:w="57" w:type="dxa"/>
                    <w:right w:w="57" w:type="dxa"/>
                  </w:tcMar>
                  <w:vAlign w:val="center"/>
                </w:tcPr>
                <w:p w14:paraId="5BE61E8F">
                  <w:pPr>
                    <w:keepNext w:val="0"/>
                    <w:keepLines w:val="0"/>
                    <w:pageBreakBefore w:val="0"/>
                    <w:widowControl w:val="0"/>
                    <w:kinsoku/>
                    <w:wordWrap/>
                    <w:overflowPunct/>
                    <w:topLinePunct w:val="0"/>
                    <w:autoSpaceDE/>
                    <w:autoSpaceDN/>
                    <w:bidi w:val="0"/>
                    <w:adjustRightInd/>
                    <w:snapToGrid/>
                    <w:ind w:right="0" w:rightChars="0"/>
                    <w:jc w:val="center"/>
                    <w:textAlignment w:val="baseline"/>
                    <w:rPr>
                      <w:rFonts w:hint="default" w:ascii="Times New Roman" w:hAnsi="Times New Roman" w:eastAsia="宋体" w:cs="Times New Roman"/>
                      <w:color w:val="auto"/>
                      <w:sz w:val="21"/>
                      <w:szCs w:val="21"/>
                      <w:highlight w:val="none"/>
                      <w:u w:val="none" w:color="auto"/>
                    </w:rPr>
                  </w:pPr>
                  <w:bookmarkStart w:id="76" w:name="sys753087"/>
                  <w:r>
                    <w:rPr>
                      <w:rFonts w:hint="default" w:ascii="Times New Roman" w:hAnsi="Times New Roman" w:eastAsia="宋体" w:cs="Times New Roman"/>
                      <w:color w:val="auto"/>
                      <w:sz w:val="21"/>
                      <w:szCs w:val="21"/>
                      <w:highlight w:val="none"/>
                      <w:u w:val="none" w:color="auto"/>
                      <w:lang w:val="en-US" w:eastAsia="zh-CN"/>
                    </w:rPr>
                    <w:t>建设单位已</w:t>
                  </w:r>
                  <w:r>
                    <w:rPr>
                      <w:rFonts w:hint="default" w:ascii="Times New Roman" w:hAnsi="Times New Roman" w:eastAsia="宋体" w:cs="Times New Roman"/>
                      <w:color w:val="auto"/>
                      <w:sz w:val="21"/>
                      <w:szCs w:val="21"/>
                      <w:highlight w:val="none"/>
                      <w:u w:val="none" w:color="auto"/>
                    </w:rPr>
                    <w:t>按照有关法律、《环境监测管理办法》和HJ819等规定，建立企业监测制度，制订监测方案，对大气污染物排放状况开展自行监测，将保存原始监测记录，并公布监测结果。</w:t>
                  </w:r>
                  <w:bookmarkEnd w:id="76"/>
                  <w:bookmarkStart w:id="77" w:name="sys75312246"/>
                  <w:r>
                    <w:rPr>
                      <w:rFonts w:hint="default" w:ascii="Times New Roman" w:hAnsi="Times New Roman" w:eastAsia="宋体" w:cs="Times New Roman"/>
                      <w:color w:val="auto"/>
                      <w:sz w:val="21"/>
                      <w:szCs w:val="21"/>
                      <w:highlight w:val="none"/>
                      <w:u w:val="none" w:color="auto"/>
                    </w:rPr>
                    <w:t>永久性采样口、采样测试平台和排污口标志按照环境监测管理规定和技术规范的要求设计、建设、维护。</w:t>
                  </w:r>
                  <w:bookmarkEnd w:id="77"/>
                </w:p>
              </w:tc>
              <w:tc>
                <w:tcPr>
                  <w:tcW w:w="379" w:type="pct"/>
                  <w:tcBorders>
                    <w:tl2br w:val="nil"/>
                    <w:tr2bl w:val="nil"/>
                  </w:tcBorders>
                  <w:tcMar>
                    <w:top w:w="57" w:type="dxa"/>
                    <w:left w:w="57" w:type="dxa"/>
                    <w:bottom w:w="57" w:type="dxa"/>
                    <w:right w:w="57" w:type="dxa"/>
                  </w:tcMar>
                  <w:vAlign w:val="center"/>
                </w:tcPr>
                <w:p w14:paraId="262F4BFD">
                  <w:pPr>
                    <w:keepNext w:val="0"/>
                    <w:keepLines w:val="0"/>
                    <w:pageBreakBefore w:val="0"/>
                    <w:widowControl w:val="0"/>
                    <w:kinsoku/>
                    <w:wordWrap/>
                    <w:overflowPunct/>
                    <w:topLinePunct w:val="0"/>
                    <w:autoSpaceDE/>
                    <w:autoSpaceDN/>
                    <w:bidi w:val="0"/>
                    <w:adjustRightInd/>
                    <w:snapToGrid/>
                    <w:ind w:right="0" w:rightChars="0"/>
                    <w:jc w:val="center"/>
                    <w:textAlignment w:val="baseline"/>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相符</w:t>
                  </w:r>
                </w:p>
              </w:tc>
            </w:tr>
            <w:tr w14:paraId="4504D7F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50" w:type="pct"/>
                  <w:vMerge w:val="continue"/>
                  <w:tcBorders>
                    <w:tl2br w:val="nil"/>
                    <w:tr2bl w:val="nil"/>
                  </w:tcBorders>
                  <w:tcMar>
                    <w:top w:w="57" w:type="dxa"/>
                    <w:left w:w="57" w:type="dxa"/>
                    <w:bottom w:w="57" w:type="dxa"/>
                    <w:right w:w="57" w:type="dxa"/>
                  </w:tcMar>
                  <w:vAlign w:val="center"/>
                </w:tcPr>
                <w:p w14:paraId="5DAECCB5">
                  <w:pPr>
                    <w:keepNext w:val="0"/>
                    <w:keepLines w:val="0"/>
                    <w:pageBreakBefore w:val="0"/>
                    <w:widowControl w:val="0"/>
                    <w:kinsoku/>
                    <w:wordWrap/>
                    <w:overflowPunct/>
                    <w:topLinePunct w:val="0"/>
                    <w:autoSpaceDE/>
                    <w:autoSpaceDN/>
                    <w:bidi w:val="0"/>
                    <w:adjustRightInd/>
                    <w:snapToGrid/>
                    <w:ind w:right="0" w:rightChars="0"/>
                    <w:jc w:val="center"/>
                    <w:textAlignment w:val="baseline"/>
                    <w:rPr>
                      <w:rFonts w:hint="default" w:ascii="Times New Roman" w:hAnsi="Times New Roman" w:eastAsia="宋体" w:cs="Times New Roman"/>
                      <w:color w:val="auto"/>
                      <w:sz w:val="21"/>
                      <w:szCs w:val="21"/>
                      <w:highlight w:val="none"/>
                      <w:u w:val="none" w:color="auto"/>
                    </w:rPr>
                  </w:pPr>
                </w:p>
              </w:tc>
              <w:tc>
                <w:tcPr>
                  <w:tcW w:w="3175" w:type="pct"/>
                  <w:tcBorders>
                    <w:tl2br w:val="nil"/>
                    <w:tr2bl w:val="nil"/>
                  </w:tcBorders>
                  <w:tcMar>
                    <w:top w:w="57" w:type="dxa"/>
                    <w:left w:w="57" w:type="dxa"/>
                    <w:bottom w:w="57" w:type="dxa"/>
                    <w:right w:w="57" w:type="dxa"/>
                  </w:tcMar>
                  <w:vAlign w:val="center"/>
                </w:tcPr>
                <w:p w14:paraId="7D18B9A6">
                  <w:pPr>
                    <w:keepNext w:val="0"/>
                    <w:keepLines w:val="0"/>
                    <w:pageBreakBefore w:val="0"/>
                    <w:widowControl w:val="0"/>
                    <w:kinsoku/>
                    <w:wordWrap/>
                    <w:overflowPunct/>
                    <w:topLinePunct w:val="0"/>
                    <w:autoSpaceDE/>
                    <w:autoSpaceDN/>
                    <w:bidi w:val="0"/>
                    <w:adjustRightInd/>
                    <w:snapToGrid/>
                    <w:ind w:right="0" w:rightChars="0"/>
                    <w:jc w:val="center"/>
                    <w:textAlignment w:val="baseline"/>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7.2监测采样与分析方法</w:t>
                  </w:r>
                </w:p>
                <w:p w14:paraId="575A2F48">
                  <w:pPr>
                    <w:keepNext w:val="0"/>
                    <w:keepLines w:val="0"/>
                    <w:pageBreakBefore w:val="0"/>
                    <w:widowControl w:val="0"/>
                    <w:kinsoku/>
                    <w:wordWrap/>
                    <w:overflowPunct/>
                    <w:topLinePunct w:val="0"/>
                    <w:autoSpaceDE/>
                    <w:autoSpaceDN/>
                    <w:bidi w:val="0"/>
                    <w:adjustRightInd/>
                    <w:snapToGrid/>
                    <w:ind w:right="0" w:rightChars="0"/>
                    <w:jc w:val="center"/>
                    <w:textAlignment w:val="baseline"/>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7.2.1排气筒中大气污染物的监测采样按GB/T16157、HJ/T397、HJ732及HJ75、《固定污染源废气中非甲烷总烃排放连续监测技术指南（试行）》的规定执行。对于排放强度周期性波动的污染源，污染物排放监测时段应涵盖其排放强度大的时段。</w:t>
                  </w:r>
                </w:p>
                <w:p w14:paraId="2019B47C">
                  <w:pPr>
                    <w:keepNext w:val="0"/>
                    <w:keepLines w:val="0"/>
                    <w:pageBreakBefore w:val="0"/>
                    <w:widowControl w:val="0"/>
                    <w:kinsoku/>
                    <w:wordWrap/>
                    <w:overflowPunct/>
                    <w:topLinePunct w:val="0"/>
                    <w:autoSpaceDE/>
                    <w:autoSpaceDN/>
                    <w:bidi w:val="0"/>
                    <w:adjustRightInd/>
                    <w:snapToGrid/>
                    <w:ind w:right="0" w:rightChars="0"/>
                    <w:jc w:val="center"/>
                    <w:textAlignment w:val="baseline"/>
                    <w:rPr>
                      <w:rFonts w:hint="default" w:ascii="Times New Roman" w:hAnsi="Times New Roman" w:eastAsia="宋体" w:cs="Times New Roman"/>
                      <w:color w:val="auto"/>
                      <w:sz w:val="21"/>
                      <w:szCs w:val="21"/>
                      <w:highlight w:val="none"/>
                      <w:u w:val="none" w:color="auto"/>
                    </w:rPr>
                  </w:pPr>
                  <w:bookmarkStart w:id="78" w:name="sys758036"/>
                  <w:r>
                    <w:rPr>
                      <w:rFonts w:hint="default" w:ascii="Times New Roman" w:hAnsi="Times New Roman" w:eastAsia="宋体" w:cs="Times New Roman"/>
                      <w:color w:val="auto"/>
                      <w:sz w:val="21"/>
                      <w:szCs w:val="21"/>
                      <w:highlight w:val="none"/>
                      <w:u w:val="none" w:color="auto"/>
                    </w:rPr>
                    <w:t>7.2.2企业边界大气污染物的监测采样按HJ/T55的规定执行。</w:t>
                  </w:r>
                  <w:bookmarkEnd w:id="78"/>
                </w:p>
              </w:tc>
              <w:tc>
                <w:tcPr>
                  <w:tcW w:w="1194" w:type="pct"/>
                  <w:tcBorders>
                    <w:tl2br w:val="nil"/>
                    <w:tr2bl w:val="nil"/>
                  </w:tcBorders>
                  <w:tcMar>
                    <w:top w:w="57" w:type="dxa"/>
                    <w:left w:w="57" w:type="dxa"/>
                    <w:bottom w:w="57" w:type="dxa"/>
                    <w:right w:w="57" w:type="dxa"/>
                  </w:tcMar>
                  <w:vAlign w:val="center"/>
                </w:tcPr>
                <w:p w14:paraId="1420C3C7">
                  <w:pPr>
                    <w:keepNext w:val="0"/>
                    <w:keepLines w:val="0"/>
                    <w:pageBreakBefore w:val="0"/>
                    <w:widowControl w:val="0"/>
                    <w:kinsoku/>
                    <w:wordWrap/>
                    <w:overflowPunct/>
                    <w:topLinePunct w:val="0"/>
                    <w:autoSpaceDE/>
                    <w:autoSpaceDN/>
                    <w:bidi w:val="0"/>
                    <w:adjustRightInd/>
                    <w:snapToGrid/>
                    <w:ind w:right="0" w:rightChars="0"/>
                    <w:jc w:val="center"/>
                    <w:textAlignment w:val="baseline"/>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lang w:val="en-US" w:eastAsia="zh-CN"/>
                    </w:rPr>
                    <w:t>建设单位已</w:t>
                  </w:r>
                  <w:r>
                    <w:rPr>
                      <w:rFonts w:hint="default" w:ascii="Times New Roman" w:hAnsi="Times New Roman" w:eastAsia="宋体" w:cs="Times New Roman"/>
                      <w:color w:val="auto"/>
                      <w:sz w:val="21"/>
                      <w:szCs w:val="21"/>
                      <w:highlight w:val="none"/>
                      <w:u w:val="none" w:color="auto"/>
                    </w:rPr>
                    <w:t>建立企业监测制度，制订</w:t>
                  </w:r>
                  <w:r>
                    <w:rPr>
                      <w:rFonts w:hint="default" w:ascii="Times New Roman" w:hAnsi="Times New Roman" w:eastAsia="宋体" w:cs="Times New Roman"/>
                      <w:color w:val="auto"/>
                      <w:sz w:val="21"/>
                      <w:szCs w:val="21"/>
                      <w:highlight w:val="none"/>
                      <w:u w:val="none" w:color="auto"/>
                      <w:lang w:val="en-US" w:eastAsia="zh-CN"/>
                    </w:rPr>
                    <w:t>了</w:t>
                  </w:r>
                  <w:r>
                    <w:rPr>
                      <w:rFonts w:hint="default" w:ascii="Times New Roman" w:hAnsi="Times New Roman" w:eastAsia="宋体" w:cs="Times New Roman"/>
                      <w:color w:val="auto"/>
                      <w:sz w:val="21"/>
                      <w:szCs w:val="21"/>
                      <w:highlight w:val="none"/>
                      <w:u w:val="none" w:color="auto"/>
                    </w:rPr>
                    <w:t>监测方案，采样按GB/T16157、HJ/T397、HJ732及HJ75</w:t>
                  </w:r>
                  <w:r>
                    <w:rPr>
                      <w:rFonts w:hint="default" w:ascii="Times New Roman" w:hAnsi="Times New Roman" w:eastAsia="宋体" w:cs="Times New Roman"/>
                      <w:color w:val="auto"/>
                      <w:sz w:val="21"/>
                      <w:szCs w:val="21"/>
                      <w:highlight w:val="none"/>
                      <w:u w:val="none" w:color="auto"/>
                      <w:lang w:val="en-US" w:eastAsia="zh-CN"/>
                    </w:rPr>
                    <w:t>等</w:t>
                  </w:r>
                  <w:r>
                    <w:rPr>
                      <w:rFonts w:hint="default" w:ascii="Times New Roman" w:hAnsi="Times New Roman" w:eastAsia="宋体" w:cs="Times New Roman"/>
                      <w:color w:val="auto"/>
                      <w:sz w:val="21"/>
                      <w:szCs w:val="21"/>
                      <w:highlight w:val="none"/>
                      <w:u w:val="none" w:color="auto"/>
                    </w:rPr>
                    <w:t>规定执行，对大气污染物排放状况开展监测。</w:t>
                  </w:r>
                  <w:bookmarkStart w:id="79" w:name="sys75911030"/>
                  <w:r>
                    <w:rPr>
                      <w:rFonts w:hint="default" w:ascii="Times New Roman" w:hAnsi="Times New Roman" w:eastAsia="宋体" w:cs="Times New Roman"/>
                      <w:color w:val="auto"/>
                      <w:sz w:val="21"/>
                      <w:szCs w:val="21"/>
                      <w:highlight w:val="none"/>
                      <w:u w:val="none" w:color="auto"/>
                    </w:rPr>
                    <w:t>企业边界大气污染物的监测采样按HJ/T55的规定执行。</w:t>
                  </w:r>
                  <w:bookmarkEnd w:id="79"/>
                </w:p>
              </w:tc>
              <w:tc>
                <w:tcPr>
                  <w:tcW w:w="379" w:type="pct"/>
                  <w:tcBorders>
                    <w:tl2br w:val="nil"/>
                    <w:tr2bl w:val="nil"/>
                  </w:tcBorders>
                  <w:tcMar>
                    <w:top w:w="57" w:type="dxa"/>
                    <w:left w:w="57" w:type="dxa"/>
                    <w:bottom w:w="57" w:type="dxa"/>
                    <w:right w:w="57" w:type="dxa"/>
                  </w:tcMar>
                  <w:vAlign w:val="center"/>
                </w:tcPr>
                <w:p w14:paraId="4803634A">
                  <w:pPr>
                    <w:keepNext w:val="0"/>
                    <w:keepLines w:val="0"/>
                    <w:pageBreakBefore w:val="0"/>
                    <w:widowControl w:val="0"/>
                    <w:kinsoku/>
                    <w:wordWrap/>
                    <w:overflowPunct/>
                    <w:topLinePunct w:val="0"/>
                    <w:autoSpaceDE/>
                    <w:autoSpaceDN/>
                    <w:bidi w:val="0"/>
                    <w:adjustRightInd/>
                    <w:snapToGrid/>
                    <w:ind w:right="0" w:rightChars="0"/>
                    <w:jc w:val="center"/>
                    <w:textAlignment w:val="baseline"/>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相符</w:t>
                  </w:r>
                </w:p>
              </w:tc>
            </w:tr>
          </w:tbl>
          <w:p w14:paraId="78E3C2D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0"/>
                <w:sz w:val="24"/>
                <w:szCs w:val="24"/>
                <w:u w:val="none" w:color="auto"/>
                <w:lang w:val="en-US" w:eastAsia="zh-CN"/>
              </w:rPr>
            </w:pPr>
            <w:r>
              <w:rPr>
                <w:rFonts w:hint="default" w:ascii="Times New Roman" w:hAnsi="Times New Roman" w:eastAsia="宋体" w:cs="Times New Roman"/>
                <w:color w:val="auto"/>
                <w:sz w:val="24"/>
                <w:szCs w:val="24"/>
                <w:highlight w:val="none"/>
                <w:u w:val="none" w:color="auto"/>
              </w:rPr>
              <w:t>综上所述，本项目的建设与《铸造工业大气污染物排放标准》（GB39726—2020）相关要求相符</w:t>
            </w:r>
            <w:r>
              <w:rPr>
                <w:rFonts w:hint="default" w:ascii="Times New Roman" w:hAnsi="Times New Roman" w:eastAsia="宋体" w:cs="Times New Roman"/>
                <w:color w:val="auto"/>
                <w:sz w:val="24"/>
                <w:szCs w:val="24"/>
                <w:highlight w:val="none"/>
                <w:u w:val="none" w:color="auto"/>
                <w:lang w:eastAsia="zh-CN"/>
              </w:rPr>
              <w:t>。</w:t>
            </w:r>
          </w:p>
        </w:tc>
      </w:tr>
    </w:tbl>
    <w:p w14:paraId="08753CCC">
      <w:pPr>
        <w:spacing w:line="360" w:lineRule="auto"/>
        <w:outlineLvl w:val="0"/>
        <w:rPr>
          <w:rFonts w:hint="default" w:ascii="Times New Roman" w:hAnsi="Times New Roman" w:eastAsia="宋体" w:cs="Times New Roman"/>
          <w:color w:val="auto"/>
          <w:sz w:val="30"/>
          <w:u w:val="none" w:color="auto"/>
        </w:rPr>
        <w:sectPr>
          <w:footerReference r:id="rId6" w:type="default"/>
          <w:pgSz w:w="11906" w:h="16838"/>
          <w:pgMar w:top="1701" w:right="1531" w:bottom="1701" w:left="1531" w:header="851" w:footer="1077" w:gutter="0"/>
          <w:pgBorders>
            <w:top w:val="none" w:sz="0" w:space="0"/>
            <w:left w:val="none" w:sz="0" w:space="0"/>
            <w:bottom w:val="none" w:sz="0" w:space="0"/>
            <w:right w:val="none" w:sz="0" w:space="0"/>
          </w:pgBorders>
          <w:pgNumType w:fmt="decimal" w:start="1"/>
          <w:cols w:space="720" w:num="1"/>
          <w:docGrid w:linePitch="312" w:charSpace="0"/>
        </w:sectPr>
      </w:pPr>
    </w:p>
    <w:p w14:paraId="34593111">
      <w:pPr>
        <w:pStyle w:val="26"/>
        <w:jc w:val="center"/>
        <w:outlineLvl w:val="0"/>
        <w:rPr>
          <w:rFonts w:hint="default" w:ascii="Times New Roman" w:hAnsi="Times New Roman" w:eastAsia="宋体" w:cs="Times New Roman"/>
          <w:b/>
          <w:bCs/>
          <w:snapToGrid w:val="0"/>
          <w:color w:val="auto"/>
          <w:sz w:val="30"/>
          <w:szCs w:val="30"/>
          <w:u w:val="none" w:color="auto"/>
        </w:rPr>
      </w:pPr>
      <w:bookmarkStart w:id="80" w:name="_Toc17990"/>
      <w:r>
        <w:rPr>
          <w:rFonts w:hint="default" w:ascii="Times New Roman" w:hAnsi="Times New Roman" w:eastAsia="宋体" w:cs="Times New Roman"/>
          <w:b/>
          <w:bCs/>
          <w:snapToGrid w:val="0"/>
          <w:color w:val="auto"/>
          <w:sz w:val="30"/>
          <w:szCs w:val="30"/>
          <w:u w:val="none" w:color="auto"/>
        </w:rPr>
        <w:t>二、建设项目工程分析</w:t>
      </w:r>
      <w:bookmarkEnd w:id="80"/>
    </w:p>
    <w:tbl>
      <w:tblPr>
        <w:tblStyle w:val="31"/>
        <w:tblW w:w="9144"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25"/>
        <w:gridCol w:w="8719"/>
      </w:tblGrid>
      <w:tr w14:paraId="5F33A18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25" w:type="dxa"/>
            <w:noWrap w:val="0"/>
            <w:vAlign w:val="center"/>
          </w:tcPr>
          <w:p w14:paraId="4B8CD6D9">
            <w:pPr>
              <w:pStyle w:val="26"/>
              <w:adjustRightInd w:val="0"/>
              <w:snapToGrid w:val="0"/>
              <w:spacing w:before="0" w:beforeAutospacing="0" w:after="0" w:afterAutospacing="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建设内容</w:t>
            </w:r>
          </w:p>
        </w:tc>
        <w:tc>
          <w:tcPr>
            <w:tcW w:w="8719" w:type="dxa"/>
            <w:noWrap w:val="0"/>
            <w:vAlign w:val="top"/>
          </w:tcPr>
          <w:p w14:paraId="729ADA80">
            <w:pPr>
              <w:spacing w:line="360" w:lineRule="auto"/>
              <w:ind w:firstLine="482" w:firstLineChars="200"/>
              <w:rPr>
                <w:rFonts w:hint="default" w:ascii="Times New Roman" w:hAnsi="Times New Roman" w:eastAsia="宋体" w:cs="Times New Roman"/>
                <w:b/>
                <w:bCs/>
                <w:color w:val="auto"/>
                <w:sz w:val="24"/>
                <w:highlight w:val="none"/>
                <w:u w:val="none" w:color="auto"/>
                <w:lang w:val="en-US" w:eastAsia="zh-CN"/>
              </w:rPr>
            </w:pPr>
            <w:r>
              <w:rPr>
                <w:rFonts w:hint="default" w:ascii="Times New Roman" w:hAnsi="Times New Roman" w:eastAsia="宋体" w:cs="Times New Roman"/>
                <w:b/>
                <w:bCs/>
                <w:color w:val="auto"/>
                <w:sz w:val="24"/>
                <w:highlight w:val="none"/>
                <w:u w:val="none" w:color="auto"/>
                <w:lang w:val="en-US" w:eastAsia="zh-CN"/>
              </w:rPr>
              <w:t>1</w:t>
            </w:r>
            <w:r>
              <w:rPr>
                <w:rFonts w:hint="default" w:ascii="Times New Roman" w:hAnsi="Times New Roman" w:eastAsia="宋体" w:cs="Times New Roman"/>
                <w:b/>
                <w:bCs/>
                <w:color w:val="auto"/>
                <w:sz w:val="24"/>
                <w:highlight w:val="none"/>
                <w:u w:val="none" w:color="auto"/>
              </w:rPr>
              <w:t>、</w:t>
            </w:r>
            <w:r>
              <w:rPr>
                <w:rFonts w:hint="default" w:ascii="Times New Roman" w:hAnsi="Times New Roman" w:eastAsia="宋体" w:cs="Times New Roman"/>
                <w:b/>
                <w:bCs/>
                <w:color w:val="auto"/>
                <w:sz w:val="24"/>
                <w:highlight w:val="none"/>
                <w:u w:val="none" w:color="auto"/>
                <w:lang w:val="en-US" w:eastAsia="zh-CN"/>
              </w:rPr>
              <w:t>项目背景及项目由来</w:t>
            </w:r>
          </w:p>
          <w:p w14:paraId="4B521A70">
            <w:pPr>
              <w:widowControl w:val="0"/>
              <w:adjustRightInd/>
              <w:snapToGrid/>
              <w:spacing w:after="0" w:line="360" w:lineRule="auto"/>
              <w:ind w:firstLine="482" w:firstLineChars="200"/>
              <w:rPr>
                <w:rFonts w:hint="default" w:ascii="Times New Roman" w:hAnsi="Times New Roman" w:eastAsia="宋体" w:cs="Times New Roman"/>
                <w:b/>
                <w:bCs/>
                <w:color w:val="auto"/>
                <w:sz w:val="24"/>
                <w:highlight w:val="none"/>
                <w:u w:val="none" w:color="auto"/>
                <w:lang w:val="en-US" w:eastAsia="zh-CN"/>
              </w:rPr>
            </w:pPr>
            <w:r>
              <w:rPr>
                <w:rFonts w:hint="default" w:ascii="Times New Roman" w:hAnsi="Times New Roman" w:eastAsia="宋体" w:cs="Times New Roman"/>
                <w:b/>
                <w:bCs/>
                <w:color w:val="auto"/>
                <w:sz w:val="24"/>
                <w:highlight w:val="none"/>
                <w:u w:val="none" w:color="auto"/>
                <w:lang w:eastAsia="zh-CN"/>
              </w:rPr>
              <w:t>（</w:t>
            </w:r>
            <w:r>
              <w:rPr>
                <w:rFonts w:hint="default" w:ascii="Times New Roman" w:hAnsi="Times New Roman" w:eastAsia="宋体" w:cs="Times New Roman"/>
                <w:b/>
                <w:bCs/>
                <w:color w:val="auto"/>
                <w:sz w:val="24"/>
                <w:highlight w:val="none"/>
                <w:u w:val="none" w:color="auto"/>
                <w:lang w:val="en-US" w:eastAsia="zh-CN"/>
              </w:rPr>
              <w:t>1</w:t>
            </w:r>
            <w:r>
              <w:rPr>
                <w:rFonts w:hint="default" w:ascii="Times New Roman" w:hAnsi="Times New Roman" w:eastAsia="宋体" w:cs="Times New Roman"/>
                <w:b/>
                <w:bCs/>
                <w:color w:val="auto"/>
                <w:sz w:val="24"/>
                <w:highlight w:val="none"/>
                <w:u w:val="none" w:color="auto"/>
                <w:lang w:eastAsia="zh-CN"/>
              </w:rPr>
              <w:t>）</w:t>
            </w:r>
            <w:r>
              <w:rPr>
                <w:rFonts w:hint="default" w:ascii="Times New Roman" w:hAnsi="Times New Roman" w:eastAsia="宋体" w:cs="Times New Roman"/>
                <w:b/>
                <w:bCs/>
                <w:color w:val="auto"/>
                <w:sz w:val="24"/>
                <w:highlight w:val="none"/>
                <w:u w:val="none" w:color="auto"/>
                <w:lang w:val="en-US" w:eastAsia="zh-CN"/>
              </w:rPr>
              <w:t>项目背景</w:t>
            </w:r>
          </w:p>
          <w:p w14:paraId="2685FD5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近年来，全球环境污染与能源紧缺问题日益凸显，汽车作为石油消耗和二氧化碳排放的大户，需要进行革命性的变革。从汽车产业的发展趋势来看，智能化、车联网和新能源汽车是最终的解决方案。其中，新能源汽车具有全新的动力系统和电气系统架构，更容易与电子技术、信息技术融合，未来有望成为智能汽车的最佳载体。在国家大力发展新能源汽车的宏观背景下，湖南省也大力推进新能源汽车产业发展，根据湖南省工业和信息化厅印发的《湖南省汽车产业发展规划》，力争到2025年，湖南汽车产量突破150万辆，其中新能源汽车100万辆以上，汽车产业产值突破3000亿元；到2035年，汽车产业规模进一步扩大，核心技术取得重大突破，将湖南建设成为产业链最完备、配套能力最强的省份之一。公开信息显示，目前湖南省汽车制造业现有规模以上企业超过400家，其中整车制造类生产企业18家，拥有长沙比亚迪、南车时代电动、长沙众泰、北汽株洲等一批有品牌、有实力的新能源汽车整车生产企业，生产范围涵盖新能源乘用车、客车、专用车全领域，并形成了新能源整车、电机电控、动力电池和电池材料在内的较为完整的产业链，整车年生产能力达150万辆，庞大的市场规模给汽车铝合金零部件带来了广阔的市场需求。</w:t>
            </w:r>
          </w:p>
          <w:p w14:paraId="6B74CCC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湖南中创空天新材料股份有限公司成立于2019年，是以中南大学钟掘院士团队世界一流技术为支撑、由湖南省国资委牵头组建的混合所有制企业。公司聚焦国家战略需求，利用院士团队自主开发的20余项国际先进铝、镁、钛轻合金材料及构件制造核心技术，引进集成了具有世界先进水平的高性能铝合金、铝锂合金熔铸生产线，自主研发了大型锻压件生产线与环筒件生产线、大型高精度钣金件生产线、大规格复杂断面型材挤压生产线，打造了国内唯一材料与构件一体化制造平台，形成了国内独有的数字化、智能化的材料与构件一体化先进制造体系。在新能源汽车用材的应用领域，公司拥有36MN、14.5MN等多条铝合金挤压生产线、铝合金电机壳精加工自动线、大型电池托盘加工生产线，具备从铝合金挤压成型，以及铝合金坯料精密机加工成品的全流程配套服务能力。产品主要涉及新能源汽车用门槛梁、电池托盘、控制臂、电机壳、阀体、防撞梁、前后纵梁、顶盖等铝合金挤压及机械加工类成品。</w:t>
            </w:r>
          </w:p>
          <w:p w14:paraId="27DF747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u w:val="none" w:color="auto"/>
                <w:lang w:val="en-US" w:eastAsia="zh-CN"/>
              </w:rPr>
            </w:pPr>
            <w:r>
              <w:rPr>
                <w:rFonts w:hint="default" w:ascii="Times New Roman" w:hAnsi="Times New Roman" w:eastAsia="宋体" w:cs="Times New Roman"/>
                <w:color w:val="auto"/>
                <w:sz w:val="24"/>
                <w:szCs w:val="24"/>
                <w:u w:val="none" w:color="auto"/>
                <w:lang w:val="en-US" w:eastAsia="zh-CN"/>
              </w:rPr>
              <w:t>2020年3月，建设单位委托湖南博咨环境技术咨询服务有限公司编制完成了《湖南中创空天新材料股份有限公司产业化基地建设项目（一期）环境影响报告书》，并于2020年6月2日取得环评批复（岳港环批[2020]5号）。因实际建设过程中根据实际情况进行了适当调整，2022年4月，委托岳阳达峰环保科技有限公司编制完成了《湖南中创空天新材料股份有限公司产业化基地建设项目（一期）重大变动环境影响报告书》，并在2023年3月23日取得变更环评批复（岳港环批[2023]3号）。该项目在2023年9月5日完成了竣工环境保护验收监测报告，并取得竣工验收备案表（岳港环验备[2023]11号）。2023年6月5日完成了排污许可重新申报（证号：91430600MA4R1D8G1W001S），在2023年7月20日完成了应急预案备案。</w:t>
            </w:r>
          </w:p>
          <w:p w14:paraId="611F10F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highlight w:val="yellow"/>
                <w:u w:val="none" w:color="auto"/>
                <w:lang w:val="en-US" w:eastAsia="zh-CN"/>
              </w:rPr>
            </w:pPr>
            <w:r>
              <w:rPr>
                <w:rFonts w:hint="default" w:ascii="Times New Roman" w:hAnsi="Times New Roman" w:eastAsia="宋体" w:cs="Times New Roman"/>
                <w:color w:val="auto"/>
                <w:sz w:val="24"/>
                <w:szCs w:val="24"/>
                <w:highlight w:val="none"/>
                <w:u w:val="none" w:color="auto"/>
                <w:lang w:val="en-US" w:eastAsia="zh-CN"/>
              </w:rPr>
              <w:t>2023年8月，委托岳阳达峰环保科技有限公司编制完成了《年加工镁合金180吨扩建项目》，并于2023年10月19日取得承诺制审批（岳港环评[2023]11号），但目前该项目处于长期停产，也未进行竣工验收。</w:t>
            </w:r>
          </w:p>
          <w:p w14:paraId="26C6C60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lang w:val="en-US" w:eastAsia="zh-CN"/>
              </w:rPr>
              <w:t>建设单位</w:t>
            </w:r>
            <w:r>
              <w:rPr>
                <w:rFonts w:hint="default" w:ascii="Times New Roman" w:hAnsi="Times New Roman" w:eastAsia="宋体" w:cs="Times New Roman"/>
                <w:color w:val="auto"/>
                <w:sz w:val="24"/>
                <w:szCs w:val="24"/>
                <w:highlight w:val="none"/>
                <w:u w:val="none" w:color="auto"/>
              </w:rPr>
              <w:t>作为新能源汽车龙头企业比亚迪多年以来稳定的电机外壳供应商，近年来比亚迪新能源汽车市场份额逐年提升以及在新能源汽车快速发展的背景下，公司现有厂区产能已无法满足逐年增长的订单需求，亟需扩大生产，稳定、持续、高质量地供应所需零部件，以适应市场发展。</w:t>
            </w:r>
            <w:r>
              <w:rPr>
                <w:rFonts w:hint="default" w:ascii="Times New Roman" w:hAnsi="Times New Roman" w:eastAsia="宋体" w:cs="Times New Roman"/>
                <w:color w:val="auto"/>
                <w:sz w:val="24"/>
                <w:szCs w:val="24"/>
                <w:highlight w:val="none"/>
                <w:u w:val="none" w:color="auto"/>
                <w:lang w:val="en-US" w:eastAsia="zh-CN"/>
              </w:rPr>
              <w:t>另外，</w:t>
            </w:r>
            <w:r>
              <w:rPr>
                <w:rFonts w:hint="default" w:ascii="Times New Roman" w:hAnsi="Times New Roman" w:eastAsia="宋体" w:cs="Times New Roman"/>
                <w:color w:val="auto"/>
                <w:sz w:val="24"/>
                <w:szCs w:val="24"/>
                <w:highlight w:val="none"/>
                <w:u w:val="none" w:color="auto"/>
              </w:rPr>
              <w:t>2024年5月28日，比亚迪发布第五代DMI超级混动技术，作为比亚迪最先进的新能源技术载体，历经五代的创新和迭代，实现了整车架构平台化。而用于该平台装配的电机壳体，要求采用高品质铝合金一体化精密压铸件。</w:t>
            </w:r>
          </w:p>
          <w:p w14:paraId="29347C81">
            <w:pPr>
              <w:keepNext w:val="0"/>
              <w:keepLines w:val="0"/>
              <w:pageBreakBefore w:val="0"/>
              <w:widowControl w:val="0"/>
              <w:kinsoku/>
              <w:wordWrap/>
              <w:overflowPunct/>
              <w:topLinePunct w:val="0"/>
              <w:autoSpaceDE/>
              <w:autoSpaceDN/>
              <w:bidi w:val="0"/>
              <w:adjustRightInd/>
              <w:snapToGrid/>
              <w:spacing w:after="0" w:line="360" w:lineRule="auto"/>
              <w:ind w:firstLine="480" w:firstLineChars="200"/>
              <w:textAlignment w:val="auto"/>
              <w:rPr>
                <w:rFonts w:hint="default" w:ascii="Times New Roman" w:hAnsi="Times New Roman" w:eastAsia="宋体" w:cs="Times New Roman"/>
                <w:color w:val="auto"/>
                <w:sz w:val="24"/>
                <w:szCs w:val="24"/>
                <w:u w:val="none" w:color="auto"/>
                <w:lang w:val="en-US" w:eastAsia="zh-CN"/>
              </w:rPr>
            </w:pPr>
            <w:r>
              <w:rPr>
                <w:rFonts w:hint="default" w:ascii="Times New Roman" w:hAnsi="Times New Roman" w:eastAsia="宋体" w:cs="Times New Roman"/>
                <w:color w:val="auto"/>
                <w:sz w:val="24"/>
                <w:szCs w:val="24"/>
                <w:highlight w:val="none"/>
                <w:u w:val="none" w:color="auto"/>
              </w:rPr>
              <w:t>基于以上背景，中创空天</w:t>
            </w:r>
            <w:r>
              <w:rPr>
                <w:rFonts w:hint="default" w:ascii="Times New Roman" w:hAnsi="Times New Roman" w:eastAsia="宋体" w:cs="Times New Roman"/>
                <w:color w:val="auto"/>
                <w:sz w:val="24"/>
                <w:szCs w:val="24"/>
                <w:highlight w:val="none"/>
                <w:u w:val="none" w:color="auto"/>
                <w:lang w:val="en-US" w:eastAsia="zh-CN"/>
              </w:rPr>
              <w:t>拟</w:t>
            </w:r>
            <w:r>
              <w:rPr>
                <w:rFonts w:hint="default" w:ascii="Times New Roman" w:hAnsi="Times New Roman" w:eastAsia="宋体" w:cs="Times New Roman"/>
                <w:color w:val="auto"/>
                <w:sz w:val="24"/>
                <w:szCs w:val="24"/>
                <w:highlight w:val="none"/>
                <w:u w:val="none" w:color="auto"/>
              </w:rPr>
              <w:t>利用已建成的厂房进行适应性改造，实施年产40万件新能源汽车配套后箱体压铸件的生产能力，满足比亚迪公司和省内新能源汽车市场日渐增长的外协订单需求，以适应相关行业和市场发展需求，提高企业核心竞争力，提高我国装备制造领域供应链自主可控水平。项目的实施可实现新能源汽车关键技术产品的产业化应用，有效提升新能源汽车的使用性能，推动新能源产业的技术升级。</w:t>
            </w:r>
          </w:p>
          <w:p w14:paraId="654DA51F">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 w:val="0"/>
                <w:bCs/>
                <w:color w:val="auto"/>
                <w:sz w:val="24"/>
                <w:szCs w:val="24"/>
                <w:highlight w:val="none"/>
                <w:u w:val="none" w:color="auto"/>
                <w:lang w:val="en-US" w:eastAsia="zh-CN"/>
              </w:rPr>
            </w:pPr>
            <w:r>
              <w:rPr>
                <w:rFonts w:hint="default" w:ascii="Times New Roman" w:hAnsi="Times New Roman" w:eastAsia="宋体" w:cs="Times New Roman"/>
                <w:b w:val="0"/>
                <w:bCs/>
                <w:color w:val="auto"/>
                <w:sz w:val="24"/>
                <w:szCs w:val="24"/>
                <w:highlight w:val="none"/>
                <w:u w:val="none" w:color="auto"/>
                <w:lang w:val="en-US" w:eastAsia="zh-CN"/>
              </w:rPr>
              <w:t>（2）项目由来</w:t>
            </w:r>
          </w:p>
          <w:p w14:paraId="31D972AF">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Cs/>
                <w:color w:val="auto"/>
                <w:sz w:val="24"/>
                <w:szCs w:val="24"/>
                <w:highlight w:val="none"/>
                <w:u w:val="none" w:color="auto"/>
              </w:rPr>
            </w:pPr>
            <w:r>
              <w:rPr>
                <w:rFonts w:hint="default" w:ascii="Times New Roman" w:hAnsi="Times New Roman" w:eastAsia="宋体" w:cs="Times New Roman"/>
                <w:bCs/>
                <w:color w:val="auto"/>
                <w:sz w:val="24"/>
                <w:szCs w:val="24"/>
                <w:highlight w:val="none"/>
                <w:u w:val="none" w:color="auto"/>
                <w:lang w:val="en-US" w:eastAsia="zh-CN"/>
              </w:rPr>
              <w:t>本项目采用单质铝与单质合金元素混配生产铝合金后进行浇注、压铸形成动力外壳后再进行机加工，项目不使用铝矿、再生铝和合金元素生产铝液。</w:t>
            </w:r>
            <w:r>
              <w:rPr>
                <w:rFonts w:hint="default" w:ascii="Times New Roman" w:hAnsi="Times New Roman" w:eastAsia="宋体" w:cs="Times New Roman"/>
                <w:bCs/>
                <w:color w:val="auto"/>
                <w:sz w:val="24"/>
                <w:szCs w:val="24"/>
                <w:highlight w:val="none"/>
                <w:u w:val="none" w:color="auto"/>
              </w:rPr>
              <w:t>根据《中华人民共和国环境保护法》以及《建设项目环境保护管理条例》《中华人民共和国环境影响</w:t>
            </w:r>
            <w:bookmarkStart w:id="81" w:name="bkConsis2062103"/>
            <w:sdt>
              <w:sdtPr>
                <w:rPr>
                  <w:rFonts w:hint="default" w:ascii="Times New Roman" w:hAnsi="Times New Roman" w:eastAsia="宋体" w:cs="Times New Roman"/>
                  <w:color w:val="auto"/>
                  <w:sz w:val="24"/>
                  <w:szCs w:val="24"/>
                  <w:highlight w:val="none"/>
                  <w:u w:val="none" w:color="auto"/>
                </w:rPr>
                <w:alias w:val="一致性检查"/>
                <w:id w:val="2062103"/>
              </w:sdtPr>
              <w:sdtEndPr>
                <w:rPr>
                  <w:rFonts w:hint="default" w:ascii="Times New Roman" w:hAnsi="Times New Roman" w:eastAsia="宋体" w:cs="Times New Roman"/>
                  <w:color w:val="auto"/>
                  <w:sz w:val="24"/>
                  <w:szCs w:val="24"/>
                  <w:highlight w:val="none"/>
                  <w:u w:val="none" w:color="auto"/>
                </w:rPr>
              </w:sdtEndPr>
              <w:sdtContent>
                <w:r>
                  <w:rPr>
                    <w:rFonts w:hint="default" w:ascii="Times New Roman" w:hAnsi="Times New Roman" w:eastAsia="宋体" w:cs="Times New Roman"/>
                    <w:bCs/>
                    <w:color w:val="auto"/>
                    <w:sz w:val="24"/>
                    <w:szCs w:val="24"/>
                    <w:highlight w:val="none"/>
                    <w:u w:val="none" w:color="auto"/>
                  </w:rPr>
                  <w:t>评价</w:t>
                </w:r>
                <w:bookmarkEnd w:id="81"/>
              </w:sdtContent>
            </w:sdt>
            <w:r>
              <w:rPr>
                <w:rFonts w:hint="default" w:ascii="Times New Roman" w:hAnsi="Times New Roman" w:eastAsia="宋体" w:cs="Times New Roman"/>
                <w:bCs/>
                <w:color w:val="auto"/>
                <w:sz w:val="24"/>
                <w:szCs w:val="24"/>
                <w:highlight w:val="none"/>
                <w:u w:val="none" w:color="auto"/>
              </w:rPr>
              <w:t>法》</w:t>
            </w:r>
            <w:r>
              <w:rPr>
                <w:rFonts w:hint="default" w:ascii="Times New Roman" w:hAnsi="Times New Roman" w:eastAsia="宋体" w:cs="Times New Roman"/>
                <w:color w:val="auto"/>
                <w:sz w:val="24"/>
                <w:u w:val="none" w:color="auto"/>
              </w:rPr>
              <w:t>，该项目须开展环境影响评价工作。</w:t>
            </w:r>
          </w:p>
          <w:p w14:paraId="53C9CB5B">
            <w:pPr>
              <w:spacing w:line="360" w:lineRule="auto"/>
              <w:ind w:firstLine="480" w:firstLineChars="200"/>
              <w:rPr>
                <w:rFonts w:hint="default" w:ascii="Times New Roman" w:hAnsi="Times New Roman" w:eastAsia="宋体" w:cs="Times New Roman"/>
                <w:bCs/>
                <w:color w:val="auto"/>
                <w:sz w:val="24"/>
                <w:u w:val="none" w:color="auto"/>
              </w:rPr>
            </w:pPr>
            <w:r>
              <w:rPr>
                <w:rFonts w:hint="default" w:ascii="Times New Roman" w:hAnsi="Times New Roman" w:eastAsia="宋体" w:cs="Times New Roman"/>
                <w:bCs/>
                <w:color w:val="auto"/>
                <w:sz w:val="24"/>
                <w:szCs w:val="24"/>
                <w:highlight w:val="none"/>
                <w:u w:val="none" w:color="auto"/>
                <w:lang w:val="en-US" w:eastAsia="zh-CN"/>
              </w:rPr>
              <w:t>建设单位委托岳阳达峰环保科技有限公司承担该项目的环境影响评价工作，</w:t>
            </w:r>
            <w:r>
              <w:rPr>
                <w:rFonts w:hint="default" w:ascii="Times New Roman" w:hAnsi="Times New Roman" w:eastAsia="宋体" w:cs="Times New Roman"/>
                <w:bCs/>
                <w:color w:val="auto"/>
                <w:sz w:val="24"/>
                <w:szCs w:val="24"/>
                <w:highlight w:val="none"/>
                <w:u w:val="none" w:color="auto"/>
              </w:rPr>
              <w:t>环评单位接受委托后，经过现场踏勘，并对项目所处区域的自然环境等进行了调查</w:t>
            </w:r>
            <w:r>
              <w:rPr>
                <w:rFonts w:hint="default" w:ascii="Times New Roman" w:hAnsi="Times New Roman" w:eastAsia="宋体" w:cs="Times New Roman"/>
                <w:bCs/>
                <w:color w:val="auto"/>
                <w:sz w:val="24"/>
                <w:u w:val="none" w:color="auto"/>
              </w:rPr>
              <w:t>，按照环境影响评价技术导则</w:t>
            </w:r>
            <w:r>
              <w:rPr>
                <w:rFonts w:hint="default" w:ascii="Times New Roman" w:hAnsi="Times New Roman" w:eastAsia="宋体" w:cs="Times New Roman"/>
                <w:bCs/>
                <w:color w:val="auto"/>
                <w:sz w:val="24"/>
                <w:u w:val="none" w:color="auto"/>
                <w:lang w:eastAsia="zh-CN"/>
              </w:rPr>
              <w:t>、</w:t>
            </w:r>
            <w:r>
              <w:rPr>
                <w:rFonts w:hint="default" w:ascii="Times New Roman" w:hAnsi="Times New Roman" w:eastAsia="宋体" w:cs="Times New Roman"/>
                <w:bCs/>
                <w:color w:val="auto"/>
                <w:sz w:val="24"/>
                <w:u w:val="none" w:color="auto"/>
                <w:lang w:val="en-US" w:eastAsia="zh-CN"/>
              </w:rPr>
              <w:t>指南等</w:t>
            </w:r>
            <w:r>
              <w:rPr>
                <w:rFonts w:hint="default" w:ascii="Times New Roman" w:hAnsi="Times New Roman" w:eastAsia="宋体" w:cs="Times New Roman"/>
                <w:bCs/>
                <w:color w:val="auto"/>
                <w:sz w:val="24"/>
                <w:u w:val="none" w:color="auto"/>
              </w:rPr>
              <w:t>的要求，编制该项目的环境影响报告</w:t>
            </w:r>
            <w:r>
              <w:rPr>
                <w:rFonts w:hint="default" w:ascii="Times New Roman" w:hAnsi="Times New Roman" w:eastAsia="宋体" w:cs="Times New Roman"/>
                <w:color w:val="auto"/>
                <w:sz w:val="24"/>
                <w:u w:val="none" w:color="auto"/>
              </w:rPr>
              <w:t>。按照《建设项目环境影响评价分类管理名录》（2021年版）的规定，本项目环评类别判定见下表：</w:t>
            </w:r>
          </w:p>
          <w:p w14:paraId="7F8B3D7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u w:val="none" w:color="auto"/>
              </w:rPr>
            </w:pPr>
            <w:r>
              <w:rPr>
                <w:rFonts w:hint="default" w:ascii="Times New Roman" w:hAnsi="Times New Roman" w:eastAsia="宋体" w:cs="Times New Roman"/>
                <w:b/>
                <w:bCs/>
                <w:color w:val="auto"/>
                <w:u w:val="none" w:color="auto"/>
              </w:rPr>
              <w:t>表2-1 项目环评类别判定表</w:t>
            </w:r>
          </w:p>
          <w:tbl>
            <w:tblPr>
              <w:tblStyle w:val="98"/>
              <w:tblW w:w="5000"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1544"/>
              <w:gridCol w:w="1812"/>
              <w:gridCol w:w="2375"/>
              <w:gridCol w:w="1280"/>
              <w:gridCol w:w="1462"/>
            </w:tblGrid>
            <w:tr w14:paraId="3F51D44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73" w:hRule="atLeast"/>
              </w:trPr>
              <w:tc>
                <w:tcPr>
                  <w:tcW w:w="4136" w:type="pct"/>
                  <w:gridSpan w:val="4"/>
                  <w:tcBorders>
                    <w:tl2br w:val="nil"/>
                    <w:tr2bl w:val="nil"/>
                  </w:tcBorders>
                  <w:vAlign w:val="center"/>
                </w:tcPr>
                <w:p w14:paraId="7FC0123C">
                  <w:pPr>
                    <w:jc w:val="center"/>
                    <w:rPr>
                      <w:rFonts w:hint="default" w:ascii="Times New Roman" w:hAnsi="Times New Roman" w:eastAsia="宋体" w:cs="Times New Roman"/>
                      <w:b/>
                      <w:bCs/>
                      <w:color w:val="auto"/>
                      <w:u w:val="none" w:color="auto"/>
                    </w:rPr>
                  </w:pPr>
                  <w:r>
                    <w:rPr>
                      <w:rFonts w:hint="default" w:ascii="Times New Roman" w:hAnsi="Times New Roman" w:eastAsia="宋体" w:cs="Times New Roman"/>
                      <w:b/>
                      <w:bCs/>
                      <w:color w:val="auto"/>
                      <w:u w:val="none" w:color="auto"/>
                    </w:rPr>
                    <w:t>《建设项目环境影响评价分类管理名录》（2021年版）相关规定</w:t>
                  </w:r>
                </w:p>
              </w:tc>
              <w:tc>
                <w:tcPr>
                  <w:tcW w:w="863" w:type="pct"/>
                  <w:vMerge w:val="restart"/>
                  <w:tcBorders>
                    <w:tl2br w:val="nil"/>
                    <w:tr2bl w:val="nil"/>
                  </w:tcBorders>
                  <w:vAlign w:val="center"/>
                </w:tcPr>
                <w:p w14:paraId="06888B3A">
                  <w:pPr>
                    <w:jc w:val="center"/>
                    <w:rPr>
                      <w:rFonts w:hint="default" w:ascii="Times New Roman" w:hAnsi="Times New Roman" w:eastAsia="宋体" w:cs="Times New Roman"/>
                      <w:b/>
                      <w:bCs/>
                      <w:color w:val="auto"/>
                      <w:u w:val="none" w:color="auto"/>
                    </w:rPr>
                  </w:pPr>
                  <w:r>
                    <w:rPr>
                      <w:rFonts w:hint="default" w:ascii="Times New Roman" w:hAnsi="Times New Roman" w:eastAsia="宋体" w:cs="Times New Roman"/>
                      <w:b/>
                      <w:bCs/>
                      <w:color w:val="auto"/>
                      <w:u w:val="none" w:color="auto"/>
                    </w:rPr>
                    <w:t>本项目情况</w:t>
                  </w:r>
                </w:p>
              </w:tc>
            </w:tr>
            <w:tr w14:paraId="5410C8B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72" w:hRule="atLeast"/>
              </w:trPr>
              <w:tc>
                <w:tcPr>
                  <w:tcW w:w="3381" w:type="pct"/>
                  <w:gridSpan w:val="3"/>
                  <w:tcBorders>
                    <w:tl2br w:val="nil"/>
                    <w:tr2bl w:val="nil"/>
                  </w:tcBorders>
                  <w:vAlign w:val="center"/>
                </w:tcPr>
                <w:p w14:paraId="4148DDEA">
                  <w:pPr>
                    <w:jc w:val="center"/>
                    <w:rPr>
                      <w:rFonts w:hint="default" w:ascii="Times New Roman" w:hAnsi="Times New Roman" w:eastAsia="宋体" w:cs="Times New Roman"/>
                      <w:b/>
                      <w:bCs/>
                      <w:color w:val="auto"/>
                      <w:u w:val="none" w:color="auto"/>
                    </w:rPr>
                  </w:pPr>
                  <w:r>
                    <w:rPr>
                      <w:rFonts w:hint="default" w:ascii="Times New Roman" w:hAnsi="Times New Roman" w:eastAsia="宋体" w:cs="Times New Roman"/>
                      <w:b/>
                      <w:bCs/>
                      <w:color w:val="auto"/>
                      <w:u w:val="none" w:color="auto"/>
                    </w:rPr>
                    <w:t>项目类别</w:t>
                  </w:r>
                </w:p>
              </w:tc>
              <w:tc>
                <w:tcPr>
                  <w:tcW w:w="755" w:type="pct"/>
                  <w:tcBorders>
                    <w:tl2br w:val="nil"/>
                    <w:tr2bl w:val="nil"/>
                  </w:tcBorders>
                  <w:vAlign w:val="center"/>
                </w:tcPr>
                <w:p w14:paraId="2376301A">
                  <w:pPr>
                    <w:jc w:val="center"/>
                    <w:rPr>
                      <w:rFonts w:hint="default" w:ascii="Times New Roman" w:hAnsi="Times New Roman" w:eastAsia="宋体" w:cs="Times New Roman"/>
                      <w:b/>
                      <w:bCs/>
                      <w:color w:val="auto"/>
                      <w:u w:val="none" w:color="auto"/>
                    </w:rPr>
                  </w:pPr>
                  <w:r>
                    <w:rPr>
                      <w:rFonts w:hint="default" w:ascii="Times New Roman" w:hAnsi="Times New Roman" w:eastAsia="宋体" w:cs="Times New Roman"/>
                      <w:b/>
                      <w:bCs/>
                      <w:color w:val="auto"/>
                      <w:u w:val="none" w:color="auto"/>
                    </w:rPr>
                    <w:t>环评类别</w:t>
                  </w:r>
                </w:p>
              </w:tc>
              <w:tc>
                <w:tcPr>
                  <w:tcW w:w="863" w:type="pct"/>
                  <w:vMerge w:val="continue"/>
                  <w:tcBorders>
                    <w:tl2br w:val="nil"/>
                    <w:tr2bl w:val="nil"/>
                  </w:tcBorders>
                  <w:vAlign w:val="center"/>
                </w:tcPr>
                <w:p w14:paraId="082023F9">
                  <w:pPr>
                    <w:jc w:val="center"/>
                    <w:rPr>
                      <w:rFonts w:hint="default" w:ascii="Times New Roman" w:hAnsi="Times New Roman" w:eastAsia="宋体" w:cs="Times New Roman"/>
                      <w:color w:val="auto"/>
                      <w:u w:val="none" w:color="auto"/>
                    </w:rPr>
                  </w:pPr>
                </w:p>
              </w:tc>
            </w:tr>
            <w:tr w14:paraId="37B2FB5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865" w:hRule="atLeast"/>
              </w:trPr>
              <w:tc>
                <w:tcPr>
                  <w:tcW w:w="911" w:type="pct"/>
                  <w:tcBorders>
                    <w:tl2br w:val="nil"/>
                    <w:tr2bl w:val="nil"/>
                  </w:tcBorders>
                  <w:vAlign w:val="center"/>
                </w:tcPr>
                <w:p w14:paraId="16E6E169">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val="en-US" w:eastAsia="zh-CN"/>
                    </w:rPr>
                    <w:t>三十三、汽车制造业 36</w:t>
                  </w:r>
                </w:p>
              </w:tc>
              <w:tc>
                <w:tcPr>
                  <w:tcW w:w="1069" w:type="pct"/>
                  <w:tcBorders>
                    <w:tl2br w:val="nil"/>
                    <w:tr2bl w:val="nil"/>
                  </w:tcBorders>
                  <w:vAlign w:val="center"/>
                </w:tcPr>
                <w:p w14:paraId="09CD187E">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71  汽车零部件及配件制造 367</w:t>
                  </w:r>
                </w:p>
              </w:tc>
              <w:tc>
                <w:tcPr>
                  <w:tcW w:w="1401" w:type="pct"/>
                  <w:tcBorders>
                    <w:tl2br w:val="nil"/>
                    <w:tr2bl w:val="nil"/>
                  </w:tcBorders>
                  <w:vAlign w:val="center"/>
                </w:tcPr>
                <w:p w14:paraId="6F309F9E">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其他（年用非溶剂型低VOCs含量涂料10吨以下的除外）</w:t>
                  </w:r>
                </w:p>
              </w:tc>
              <w:tc>
                <w:tcPr>
                  <w:tcW w:w="755" w:type="pct"/>
                  <w:tcBorders>
                    <w:tl2br w:val="nil"/>
                    <w:tr2bl w:val="nil"/>
                  </w:tcBorders>
                  <w:vAlign w:val="center"/>
                </w:tcPr>
                <w:p w14:paraId="026C9629">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报告表</w:t>
                  </w:r>
                </w:p>
              </w:tc>
              <w:tc>
                <w:tcPr>
                  <w:tcW w:w="863" w:type="pct"/>
                  <w:tcBorders>
                    <w:tl2br w:val="nil"/>
                    <w:tr2bl w:val="nil"/>
                  </w:tcBorders>
                  <w:vAlign w:val="center"/>
                </w:tcPr>
                <w:p w14:paraId="1AC94D9B">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其他（年用非溶剂型低VOCs含量涂料10吨以下的除外）</w:t>
                  </w:r>
                </w:p>
              </w:tc>
            </w:tr>
            <w:tr w14:paraId="1913C87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119" w:hRule="atLeast"/>
              </w:trPr>
              <w:tc>
                <w:tcPr>
                  <w:tcW w:w="911" w:type="pct"/>
                  <w:tcBorders>
                    <w:tl2br w:val="nil"/>
                    <w:tr2bl w:val="nil"/>
                  </w:tcBorders>
                  <w:vAlign w:val="center"/>
                </w:tcPr>
                <w:p w14:paraId="68603242">
                  <w:pPr>
                    <w:jc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二十九、有色金属冶炼和压延加工业 32</w:t>
                  </w:r>
                </w:p>
              </w:tc>
              <w:tc>
                <w:tcPr>
                  <w:tcW w:w="1069" w:type="pct"/>
                  <w:tcBorders>
                    <w:tl2br w:val="nil"/>
                    <w:tr2bl w:val="nil"/>
                  </w:tcBorders>
                  <w:vAlign w:val="center"/>
                </w:tcPr>
                <w:p w14:paraId="4D74F407">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64  有色金属合金制造 324</w:t>
                  </w:r>
                </w:p>
              </w:tc>
              <w:tc>
                <w:tcPr>
                  <w:tcW w:w="1401" w:type="pct"/>
                  <w:tcBorders>
                    <w:tl2br w:val="nil"/>
                    <w:tr2bl w:val="nil"/>
                  </w:tcBorders>
                  <w:vAlign w:val="center"/>
                </w:tcPr>
                <w:p w14:paraId="1AC29985">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其他</w:t>
                  </w:r>
                </w:p>
              </w:tc>
              <w:tc>
                <w:tcPr>
                  <w:tcW w:w="755" w:type="pct"/>
                  <w:tcBorders>
                    <w:tl2br w:val="nil"/>
                    <w:tr2bl w:val="nil"/>
                  </w:tcBorders>
                  <w:vAlign w:val="center"/>
                </w:tcPr>
                <w:p w14:paraId="36884927">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报告表</w:t>
                  </w:r>
                </w:p>
              </w:tc>
              <w:tc>
                <w:tcPr>
                  <w:tcW w:w="863" w:type="pct"/>
                  <w:tcBorders>
                    <w:tl2br w:val="nil"/>
                    <w:tr2bl w:val="nil"/>
                  </w:tcBorders>
                  <w:shd w:val="clear" w:color="auto" w:fill="auto"/>
                  <w:vAlign w:val="center"/>
                </w:tcPr>
                <w:p w14:paraId="256B1BBC">
                  <w:pPr>
                    <w:jc w:val="center"/>
                    <w:rPr>
                      <w:rFonts w:hint="default" w:ascii="Times New Roman" w:hAnsi="Times New Roman" w:eastAsia="宋体" w:cs="Times New Roman"/>
                      <w:color w:val="auto"/>
                      <w:kern w:val="2"/>
                      <w:sz w:val="21"/>
                      <w:szCs w:val="24"/>
                      <w:u w:val="none" w:color="auto"/>
                      <w:lang w:val="en-US" w:eastAsia="zh-CN" w:bidi="ar-SA"/>
                    </w:rPr>
                  </w:pPr>
                  <w:r>
                    <w:rPr>
                      <w:rFonts w:hint="default" w:ascii="Times New Roman" w:hAnsi="Times New Roman" w:eastAsia="宋体" w:cs="Times New Roman"/>
                      <w:color w:val="auto"/>
                      <w:u w:val="none" w:color="auto"/>
                    </w:rPr>
                    <w:t>其他</w:t>
                  </w:r>
                  <w:r>
                    <w:rPr>
                      <w:rFonts w:hint="default" w:ascii="Times New Roman" w:hAnsi="Times New Roman" w:eastAsia="宋体" w:cs="Times New Roman"/>
                      <w:color w:val="auto"/>
                      <w:u w:val="none" w:color="auto"/>
                      <w:lang w:eastAsia="zh-CN"/>
                    </w:rPr>
                    <w:t>（</w:t>
                  </w:r>
                  <w:r>
                    <w:rPr>
                      <w:rFonts w:hint="default" w:ascii="Times New Roman" w:hAnsi="Times New Roman" w:eastAsia="宋体" w:cs="Times New Roman"/>
                      <w:color w:val="auto"/>
                      <w:u w:val="none" w:color="auto"/>
                      <w:lang w:val="en-US" w:eastAsia="zh-CN"/>
                    </w:rPr>
                    <w:t>利用单质金属混配</w:t>
                  </w:r>
                  <w:r>
                    <w:rPr>
                      <w:rFonts w:hint="default" w:ascii="Times New Roman" w:hAnsi="Times New Roman" w:eastAsia="宋体" w:cs="Times New Roman"/>
                      <w:color w:val="auto"/>
                      <w:u w:val="none" w:color="auto"/>
                      <w:lang w:eastAsia="zh-CN"/>
                    </w:rPr>
                    <w:t>）</w:t>
                  </w:r>
                </w:p>
              </w:tc>
            </w:tr>
            <w:tr w14:paraId="3418E2F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119" w:hRule="atLeast"/>
              </w:trPr>
              <w:tc>
                <w:tcPr>
                  <w:tcW w:w="911" w:type="pct"/>
                  <w:vMerge w:val="restart"/>
                  <w:tcBorders>
                    <w:tl2br w:val="nil"/>
                    <w:tr2bl w:val="nil"/>
                  </w:tcBorders>
                  <w:shd w:val="clear" w:color="auto" w:fill="auto"/>
                  <w:vAlign w:val="center"/>
                </w:tcPr>
                <w:p w14:paraId="1B31D824">
                  <w:pPr>
                    <w:jc w:val="center"/>
                    <w:rPr>
                      <w:rFonts w:hint="default" w:ascii="Times New Roman" w:hAnsi="Times New Roman" w:eastAsia="宋体" w:cs="Times New Roman"/>
                      <w:color w:val="auto"/>
                      <w:kern w:val="2"/>
                      <w:sz w:val="21"/>
                      <w:szCs w:val="24"/>
                      <w:u w:val="none" w:color="auto"/>
                      <w:lang w:val="en-US" w:eastAsia="zh-CN" w:bidi="ar-SA"/>
                    </w:rPr>
                  </w:pPr>
                  <w:r>
                    <w:rPr>
                      <w:rFonts w:hint="default" w:ascii="Times New Roman" w:hAnsi="Times New Roman" w:eastAsia="宋体" w:cs="Times New Roman"/>
                      <w:color w:val="auto"/>
                      <w:u w:val="none" w:color="auto"/>
                    </w:rPr>
                    <w:t>三十、金属制品业33</w:t>
                  </w:r>
                </w:p>
              </w:tc>
              <w:tc>
                <w:tcPr>
                  <w:tcW w:w="1069" w:type="pct"/>
                  <w:tcBorders>
                    <w:tl2br w:val="nil"/>
                    <w:tr2bl w:val="nil"/>
                  </w:tcBorders>
                  <w:shd w:val="clear" w:color="auto" w:fill="auto"/>
                  <w:vAlign w:val="center"/>
                </w:tcPr>
                <w:p w14:paraId="6732DC82">
                  <w:pPr>
                    <w:jc w:val="center"/>
                    <w:rPr>
                      <w:rFonts w:hint="default" w:ascii="Times New Roman" w:hAnsi="Times New Roman" w:eastAsia="宋体" w:cs="Times New Roman"/>
                      <w:color w:val="auto"/>
                      <w:kern w:val="2"/>
                      <w:sz w:val="21"/>
                      <w:szCs w:val="24"/>
                      <w:u w:val="none" w:color="auto"/>
                      <w:lang w:val="en-US" w:eastAsia="zh-CN" w:bidi="ar-SA"/>
                    </w:rPr>
                  </w:pPr>
                  <w:r>
                    <w:rPr>
                      <w:rFonts w:hint="default" w:ascii="Times New Roman" w:hAnsi="Times New Roman" w:eastAsia="宋体" w:cs="Times New Roman"/>
                      <w:color w:val="auto"/>
                      <w:u w:val="none" w:color="auto"/>
                    </w:rPr>
                    <w:t>67 金属表面处理及热处理加工</w:t>
                  </w:r>
                </w:p>
              </w:tc>
              <w:tc>
                <w:tcPr>
                  <w:tcW w:w="1401" w:type="pct"/>
                  <w:tcBorders>
                    <w:tl2br w:val="nil"/>
                    <w:tr2bl w:val="nil"/>
                  </w:tcBorders>
                  <w:shd w:val="clear" w:color="auto" w:fill="auto"/>
                  <w:vAlign w:val="center"/>
                </w:tcPr>
                <w:p w14:paraId="65F022B6">
                  <w:pPr>
                    <w:jc w:val="center"/>
                    <w:rPr>
                      <w:rFonts w:hint="default" w:ascii="Times New Roman" w:hAnsi="Times New Roman" w:eastAsia="宋体" w:cs="Times New Roman"/>
                      <w:color w:val="auto"/>
                      <w:kern w:val="2"/>
                      <w:sz w:val="21"/>
                      <w:szCs w:val="24"/>
                      <w:u w:val="none" w:color="auto"/>
                      <w:lang w:val="en-US" w:eastAsia="zh-CN" w:bidi="ar-SA"/>
                    </w:rPr>
                  </w:pPr>
                  <w:r>
                    <w:rPr>
                      <w:rFonts w:hint="default" w:ascii="Times New Roman" w:hAnsi="Times New Roman" w:eastAsia="宋体" w:cs="Times New Roman"/>
                      <w:color w:val="auto"/>
                      <w:u w:val="none" w:color="auto"/>
                    </w:rPr>
                    <w:t>其他（年用非溶剂型低VOCs含量涂料10吨以下的除外）</w:t>
                  </w:r>
                </w:p>
              </w:tc>
              <w:tc>
                <w:tcPr>
                  <w:tcW w:w="755" w:type="pct"/>
                  <w:tcBorders>
                    <w:tl2br w:val="nil"/>
                    <w:tr2bl w:val="nil"/>
                  </w:tcBorders>
                  <w:shd w:val="clear" w:color="auto" w:fill="auto"/>
                  <w:vAlign w:val="center"/>
                </w:tcPr>
                <w:p w14:paraId="48BAD382">
                  <w:pPr>
                    <w:jc w:val="center"/>
                    <w:rPr>
                      <w:rFonts w:hint="default" w:ascii="Times New Roman" w:hAnsi="Times New Roman" w:eastAsia="宋体" w:cs="Times New Roman"/>
                      <w:color w:val="auto"/>
                      <w:kern w:val="2"/>
                      <w:sz w:val="21"/>
                      <w:szCs w:val="24"/>
                      <w:u w:val="none" w:color="auto"/>
                      <w:lang w:val="en-US" w:eastAsia="zh-CN" w:bidi="ar-SA"/>
                    </w:rPr>
                  </w:pPr>
                  <w:r>
                    <w:rPr>
                      <w:rFonts w:hint="default" w:ascii="Times New Roman" w:hAnsi="Times New Roman" w:eastAsia="宋体" w:cs="Times New Roman"/>
                      <w:color w:val="auto"/>
                      <w:u w:val="none" w:color="auto"/>
                    </w:rPr>
                    <w:t>报告表</w:t>
                  </w:r>
                </w:p>
              </w:tc>
              <w:tc>
                <w:tcPr>
                  <w:tcW w:w="863" w:type="pct"/>
                  <w:tcBorders>
                    <w:tl2br w:val="nil"/>
                    <w:tr2bl w:val="nil"/>
                  </w:tcBorders>
                  <w:shd w:val="clear" w:color="auto" w:fill="auto"/>
                  <w:vAlign w:val="center"/>
                </w:tcPr>
                <w:p w14:paraId="4051EF26">
                  <w:pPr>
                    <w:jc w:val="center"/>
                    <w:rPr>
                      <w:rFonts w:hint="default" w:ascii="Times New Roman" w:hAnsi="Times New Roman" w:eastAsia="宋体" w:cs="Times New Roman"/>
                      <w:color w:val="auto"/>
                      <w:kern w:val="2"/>
                      <w:sz w:val="21"/>
                      <w:szCs w:val="24"/>
                      <w:u w:val="none" w:color="auto"/>
                      <w:lang w:val="en-US" w:eastAsia="zh-CN" w:bidi="ar-SA"/>
                    </w:rPr>
                  </w:pPr>
                  <w:r>
                    <w:rPr>
                      <w:rFonts w:hint="default" w:ascii="Times New Roman" w:hAnsi="Times New Roman" w:eastAsia="宋体" w:cs="Times New Roman"/>
                      <w:color w:val="auto"/>
                      <w:u w:val="none" w:color="auto"/>
                    </w:rPr>
                    <w:t>其他（年用非溶剂型低VOCs含量涂料10吨以下的除外）</w:t>
                  </w:r>
                </w:p>
              </w:tc>
            </w:tr>
            <w:tr w14:paraId="3D8B3A0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119" w:hRule="atLeast"/>
              </w:trPr>
              <w:tc>
                <w:tcPr>
                  <w:tcW w:w="911" w:type="pct"/>
                  <w:vMerge w:val="continue"/>
                  <w:tcBorders>
                    <w:tl2br w:val="nil"/>
                    <w:tr2bl w:val="nil"/>
                  </w:tcBorders>
                  <w:shd w:val="clear" w:color="auto" w:fill="auto"/>
                  <w:vAlign w:val="center"/>
                </w:tcPr>
                <w:p w14:paraId="06E61DBD">
                  <w:pPr>
                    <w:jc w:val="center"/>
                    <w:rPr>
                      <w:rFonts w:hint="default" w:ascii="Times New Roman" w:hAnsi="Times New Roman" w:eastAsia="宋体" w:cs="Times New Roman"/>
                      <w:color w:val="auto"/>
                      <w:kern w:val="2"/>
                      <w:sz w:val="21"/>
                      <w:szCs w:val="24"/>
                      <w:u w:val="none" w:color="auto"/>
                      <w:lang w:val="en-US" w:eastAsia="zh-CN" w:bidi="ar-SA"/>
                    </w:rPr>
                  </w:pPr>
                </w:p>
              </w:tc>
              <w:tc>
                <w:tcPr>
                  <w:tcW w:w="1069" w:type="pct"/>
                  <w:tcBorders>
                    <w:tl2br w:val="nil"/>
                    <w:tr2bl w:val="nil"/>
                  </w:tcBorders>
                  <w:shd w:val="clear" w:color="auto" w:fill="auto"/>
                  <w:vAlign w:val="center"/>
                </w:tcPr>
                <w:p w14:paraId="0FBA3CA0">
                  <w:pPr>
                    <w:jc w:val="center"/>
                    <w:rPr>
                      <w:rFonts w:hint="default" w:ascii="Times New Roman" w:hAnsi="Times New Roman" w:eastAsia="宋体" w:cs="Times New Roman"/>
                      <w:color w:val="auto"/>
                      <w:kern w:val="2"/>
                      <w:sz w:val="21"/>
                      <w:szCs w:val="24"/>
                      <w:u w:val="none" w:color="auto"/>
                      <w:lang w:val="en-US" w:eastAsia="zh-CN" w:bidi="ar-SA"/>
                    </w:rPr>
                  </w:pPr>
                  <w:r>
                    <w:rPr>
                      <w:rFonts w:hint="default" w:ascii="Times New Roman" w:hAnsi="Times New Roman" w:eastAsia="宋体" w:cs="Times New Roman"/>
                      <w:color w:val="auto"/>
                      <w:u w:val="none" w:color="auto"/>
                    </w:rPr>
                    <w:t>68 铸造及其他金属品制造339</w:t>
                  </w:r>
                </w:p>
              </w:tc>
              <w:tc>
                <w:tcPr>
                  <w:tcW w:w="1401" w:type="pct"/>
                  <w:tcBorders>
                    <w:tl2br w:val="nil"/>
                    <w:tr2bl w:val="nil"/>
                  </w:tcBorders>
                  <w:shd w:val="clear" w:color="auto" w:fill="auto"/>
                  <w:vAlign w:val="center"/>
                </w:tcPr>
                <w:p w14:paraId="35AFB3A2">
                  <w:pPr>
                    <w:jc w:val="center"/>
                    <w:rPr>
                      <w:rFonts w:hint="default" w:ascii="Times New Roman" w:hAnsi="Times New Roman" w:eastAsia="宋体" w:cs="Times New Roman"/>
                      <w:color w:val="auto"/>
                      <w:kern w:val="2"/>
                      <w:sz w:val="21"/>
                      <w:szCs w:val="24"/>
                      <w:u w:val="none" w:color="auto"/>
                      <w:lang w:val="en-US" w:eastAsia="zh-CN" w:bidi="ar-SA"/>
                    </w:rPr>
                  </w:pPr>
                  <w:r>
                    <w:rPr>
                      <w:rFonts w:hint="default" w:ascii="Times New Roman" w:hAnsi="Times New Roman" w:eastAsia="宋体" w:cs="Times New Roman"/>
                      <w:color w:val="auto"/>
                      <w:u w:val="none" w:color="auto"/>
                    </w:rPr>
                    <w:t>其他(仅分割、焊接、组装的除外)</w:t>
                  </w:r>
                </w:p>
              </w:tc>
              <w:tc>
                <w:tcPr>
                  <w:tcW w:w="755" w:type="pct"/>
                  <w:tcBorders>
                    <w:tl2br w:val="nil"/>
                    <w:tr2bl w:val="nil"/>
                  </w:tcBorders>
                  <w:shd w:val="clear" w:color="auto" w:fill="auto"/>
                  <w:vAlign w:val="center"/>
                </w:tcPr>
                <w:p w14:paraId="18AD6C97">
                  <w:pPr>
                    <w:jc w:val="center"/>
                    <w:rPr>
                      <w:rFonts w:hint="default" w:ascii="Times New Roman" w:hAnsi="Times New Roman" w:eastAsia="宋体" w:cs="Times New Roman"/>
                      <w:color w:val="auto"/>
                      <w:kern w:val="2"/>
                      <w:sz w:val="21"/>
                      <w:szCs w:val="24"/>
                      <w:u w:val="none" w:color="auto"/>
                      <w:lang w:val="en-US" w:eastAsia="zh-CN" w:bidi="ar-SA"/>
                    </w:rPr>
                  </w:pPr>
                  <w:r>
                    <w:rPr>
                      <w:rFonts w:hint="default" w:ascii="Times New Roman" w:hAnsi="Times New Roman" w:eastAsia="宋体" w:cs="Times New Roman"/>
                      <w:color w:val="auto"/>
                      <w:u w:val="none" w:color="auto"/>
                    </w:rPr>
                    <w:t>报告表</w:t>
                  </w:r>
                </w:p>
              </w:tc>
              <w:tc>
                <w:tcPr>
                  <w:tcW w:w="863" w:type="pct"/>
                  <w:tcBorders>
                    <w:tl2br w:val="nil"/>
                    <w:tr2bl w:val="nil"/>
                  </w:tcBorders>
                  <w:shd w:val="clear" w:color="auto" w:fill="auto"/>
                  <w:vAlign w:val="center"/>
                </w:tcPr>
                <w:p w14:paraId="046B7EC4">
                  <w:pPr>
                    <w:jc w:val="center"/>
                    <w:rPr>
                      <w:rFonts w:hint="default" w:ascii="Times New Roman" w:hAnsi="Times New Roman" w:eastAsia="宋体" w:cs="Times New Roman"/>
                      <w:color w:val="auto"/>
                      <w:kern w:val="2"/>
                      <w:sz w:val="21"/>
                      <w:szCs w:val="24"/>
                      <w:u w:val="none" w:color="auto"/>
                      <w:lang w:val="en-US" w:eastAsia="zh-CN" w:bidi="ar-SA"/>
                    </w:rPr>
                  </w:pPr>
                  <w:r>
                    <w:rPr>
                      <w:rFonts w:hint="default" w:ascii="Times New Roman" w:hAnsi="Times New Roman" w:eastAsia="宋体" w:cs="Times New Roman"/>
                      <w:color w:val="auto"/>
                      <w:u w:val="none" w:color="auto"/>
                    </w:rPr>
                    <w:t>其他</w:t>
                  </w:r>
                </w:p>
              </w:tc>
            </w:tr>
          </w:tbl>
          <w:p w14:paraId="35696438">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Cs/>
                <w:color w:val="auto"/>
                <w:sz w:val="24"/>
                <w:szCs w:val="24"/>
                <w:highlight w:val="none"/>
                <w:u w:val="none" w:color="auto"/>
              </w:rPr>
            </w:pPr>
            <w:r>
              <w:rPr>
                <w:rFonts w:hint="default" w:ascii="Times New Roman" w:hAnsi="Times New Roman" w:eastAsia="宋体" w:cs="Times New Roman"/>
                <w:color w:val="auto"/>
                <w:sz w:val="24"/>
                <w:u w:val="none" w:color="auto"/>
              </w:rPr>
              <w:t>综上，本项目应编制环境影响报告表。</w:t>
            </w:r>
          </w:p>
          <w:p w14:paraId="4F2AFE18">
            <w:pPr>
              <w:pStyle w:val="7"/>
              <w:keepNext w:val="0"/>
              <w:keepLines w:val="0"/>
              <w:pageBreakBefore w:val="0"/>
              <w:widowControl w:val="0"/>
              <w:kinsoku/>
              <w:wordWrap/>
              <w:overflowPunct/>
              <w:topLinePunct w:val="0"/>
              <w:autoSpaceDE/>
              <w:autoSpaceDN/>
              <w:bidi w:val="0"/>
              <w:adjustRightInd/>
              <w:snapToGrid/>
              <w:spacing w:line="360" w:lineRule="auto"/>
              <w:ind w:left="0" w:firstLine="482" w:firstLineChars="200"/>
              <w:jc w:val="left"/>
              <w:textAlignment w:val="auto"/>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val="en-US" w:eastAsia="zh-CN"/>
              </w:rPr>
              <w:t>2</w:t>
            </w:r>
            <w:r>
              <w:rPr>
                <w:rFonts w:hint="default" w:ascii="Times New Roman" w:hAnsi="Times New Roman" w:eastAsia="宋体" w:cs="Times New Roman"/>
                <w:color w:val="auto"/>
                <w:u w:val="none" w:color="auto"/>
                <w:lang w:val="en-US"/>
              </w:rPr>
              <w:t>、</w:t>
            </w:r>
            <w:r>
              <w:rPr>
                <w:rFonts w:hint="default" w:ascii="Times New Roman" w:hAnsi="Times New Roman" w:eastAsia="宋体" w:cs="Times New Roman"/>
                <w:color w:val="auto"/>
                <w:u w:val="none" w:color="auto"/>
              </w:rPr>
              <w:t>项目基本概况</w:t>
            </w:r>
          </w:p>
          <w:p w14:paraId="6F3F65FB">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Cs/>
                <w:color w:val="auto"/>
                <w:sz w:val="24"/>
                <w:highlight w:val="none"/>
                <w:u w:val="none" w:color="auto"/>
              </w:rPr>
            </w:pPr>
            <w:r>
              <w:rPr>
                <w:rFonts w:hint="default" w:ascii="Times New Roman" w:hAnsi="Times New Roman" w:eastAsia="宋体" w:cs="Times New Roman"/>
                <w:b/>
                <w:bCs w:val="0"/>
                <w:color w:val="auto"/>
                <w:sz w:val="24"/>
                <w:highlight w:val="none"/>
                <w:u w:val="none" w:color="auto"/>
              </w:rPr>
              <w:t>项目名称：</w:t>
            </w:r>
            <w:r>
              <w:rPr>
                <w:rFonts w:hint="default" w:ascii="Times New Roman" w:hAnsi="Times New Roman" w:eastAsia="宋体" w:cs="Times New Roman"/>
                <w:bCs/>
                <w:color w:val="auto"/>
                <w:sz w:val="24"/>
                <w:highlight w:val="none"/>
                <w:u w:val="none" w:color="auto"/>
              </w:rPr>
              <w:t>中创新能源汽车用压铸动力外壳项目；</w:t>
            </w:r>
          </w:p>
          <w:p w14:paraId="6E3845C4">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Cs/>
                <w:color w:val="auto"/>
                <w:sz w:val="24"/>
                <w:highlight w:val="none"/>
                <w:u w:val="none" w:color="auto"/>
              </w:rPr>
            </w:pPr>
            <w:r>
              <w:rPr>
                <w:rFonts w:hint="default" w:ascii="Times New Roman" w:hAnsi="Times New Roman" w:eastAsia="宋体" w:cs="Times New Roman"/>
                <w:b/>
                <w:bCs w:val="0"/>
                <w:color w:val="auto"/>
                <w:sz w:val="24"/>
                <w:highlight w:val="none"/>
                <w:u w:val="none" w:color="auto"/>
              </w:rPr>
              <w:t>建设单位：</w:t>
            </w:r>
            <w:r>
              <w:rPr>
                <w:rFonts w:hint="default" w:ascii="Times New Roman" w:hAnsi="Times New Roman" w:eastAsia="宋体" w:cs="Times New Roman"/>
                <w:bCs/>
                <w:color w:val="auto"/>
                <w:sz w:val="24"/>
                <w:highlight w:val="none"/>
                <w:u w:val="none" w:color="auto"/>
              </w:rPr>
              <w:t>湖南中创空天新材料股份有限公司；</w:t>
            </w:r>
          </w:p>
          <w:p w14:paraId="7FD96C81">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Cs/>
                <w:color w:val="auto"/>
                <w:sz w:val="24"/>
                <w:highlight w:val="none"/>
                <w:u w:val="none" w:color="auto"/>
              </w:rPr>
            </w:pPr>
            <w:r>
              <w:rPr>
                <w:rFonts w:hint="default" w:ascii="Times New Roman" w:hAnsi="Times New Roman" w:eastAsia="宋体" w:cs="Times New Roman"/>
                <w:b/>
                <w:bCs w:val="0"/>
                <w:color w:val="auto"/>
                <w:sz w:val="24"/>
                <w:highlight w:val="none"/>
                <w:u w:val="none" w:color="auto"/>
              </w:rPr>
              <w:t>建设地点：</w:t>
            </w:r>
            <w:r>
              <w:rPr>
                <w:rFonts w:hint="default" w:ascii="Times New Roman" w:hAnsi="Times New Roman" w:eastAsia="宋体" w:cs="Times New Roman"/>
                <w:bCs/>
                <w:color w:val="auto"/>
                <w:sz w:val="24"/>
                <w:highlight w:val="none"/>
                <w:u w:val="none" w:color="auto"/>
              </w:rPr>
              <w:t>岳阳市</w:t>
            </w:r>
            <w:r>
              <w:rPr>
                <w:rFonts w:hint="default" w:ascii="Times New Roman" w:hAnsi="Times New Roman" w:eastAsia="宋体" w:cs="Times New Roman"/>
                <w:bCs/>
                <w:color w:val="auto"/>
                <w:sz w:val="24"/>
                <w:highlight w:val="none"/>
                <w:u w:val="none" w:color="auto"/>
                <w:lang w:val="en-US" w:eastAsia="zh-CN"/>
              </w:rPr>
              <w:t>城陵矶新港区</w:t>
            </w:r>
            <w:r>
              <w:rPr>
                <w:rFonts w:hint="default" w:ascii="Times New Roman" w:hAnsi="Times New Roman" w:eastAsia="宋体" w:cs="Times New Roman"/>
                <w:bCs/>
                <w:color w:val="auto"/>
                <w:sz w:val="24"/>
                <w:highlight w:val="none"/>
                <w:u w:val="none" w:color="auto"/>
              </w:rPr>
              <w:t>湖南中创空天新材料股份有限公司</w:t>
            </w:r>
            <w:r>
              <w:rPr>
                <w:rFonts w:hint="default" w:ascii="Times New Roman" w:hAnsi="Times New Roman" w:eastAsia="宋体" w:cs="Times New Roman"/>
                <w:bCs/>
                <w:color w:val="auto"/>
                <w:sz w:val="24"/>
                <w:highlight w:val="none"/>
                <w:u w:val="none" w:color="auto"/>
                <w:lang w:eastAsia="zh-CN"/>
              </w:rPr>
              <w:t>（</w:t>
            </w:r>
            <w:r>
              <w:rPr>
                <w:rFonts w:hint="default" w:ascii="Times New Roman" w:hAnsi="Times New Roman" w:eastAsia="宋体" w:cs="Times New Roman"/>
                <w:bCs/>
                <w:color w:val="auto"/>
                <w:sz w:val="24"/>
                <w:highlight w:val="none"/>
                <w:u w:val="none" w:color="auto"/>
                <w:lang w:val="en-US" w:eastAsia="zh-CN"/>
              </w:rPr>
              <w:t>下简称“中创空天厂区”）及临港高新产业园区</w:t>
            </w:r>
            <w:r>
              <w:rPr>
                <w:rFonts w:hint="default" w:ascii="Times New Roman" w:hAnsi="Times New Roman" w:eastAsia="宋体" w:cs="Times New Roman"/>
                <w:color w:val="auto"/>
                <w:sz w:val="24"/>
                <w:szCs w:val="24"/>
                <w:highlight w:val="none"/>
                <w:u w:val="none" w:color="auto"/>
                <w:lang w:val="en-US" w:eastAsia="zh-CN"/>
              </w:rPr>
              <w:t>14#栋、15#栋、21#栋、22#栋</w:t>
            </w:r>
            <w:r>
              <w:rPr>
                <w:rFonts w:hint="default" w:ascii="Times New Roman" w:hAnsi="Times New Roman" w:eastAsia="宋体" w:cs="Times New Roman"/>
                <w:bCs/>
                <w:color w:val="auto"/>
                <w:sz w:val="24"/>
                <w:highlight w:val="none"/>
                <w:u w:val="none" w:color="auto"/>
              </w:rPr>
              <w:t>；</w:t>
            </w:r>
          </w:p>
          <w:p w14:paraId="7230C071">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bCs w:val="0"/>
                <w:color w:val="auto"/>
                <w:sz w:val="24"/>
                <w:highlight w:val="none"/>
                <w:u w:val="none" w:color="auto"/>
              </w:rPr>
            </w:pPr>
            <w:r>
              <w:rPr>
                <w:rFonts w:hint="default" w:ascii="Times New Roman" w:hAnsi="Times New Roman" w:eastAsia="宋体" w:cs="Times New Roman"/>
                <w:b/>
                <w:bCs w:val="0"/>
                <w:color w:val="auto"/>
                <w:sz w:val="24"/>
                <w:highlight w:val="none"/>
                <w:u w:val="none" w:color="auto"/>
              </w:rPr>
              <w:t>建设性质：</w:t>
            </w:r>
          </w:p>
          <w:p w14:paraId="5A20E02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auto"/>
                <w:sz w:val="24"/>
                <w:highlight w:val="none"/>
                <w:u w:val="none" w:color="auto"/>
                <w:lang w:val="en-US" w:eastAsia="zh-CN"/>
              </w:rPr>
            </w:pPr>
            <w:r>
              <w:rPr>
                <w:rFonts w:hint="default" w:ascii="Times New Roman" w:hAnsi="Times New Roman" w:eastAsia="宋体" w:cs="Times New Roman"/>
                <w:bCs/>
                <w:color w:val="auto"/>
                <w:sz w:val="24"/>
                <w:highlight w:val="none"/>
                <w:u w:val="none" w:color="auto"/>
                <w:lang w:val="en-US" w:eastAsia="zh-CN"/>
              </w:rPr>
              <w:t>中创空天厂区：改</w:t>
            </w:r>
            <w:r>
              <w:rPr>
                <w:rFonts w:hint="default" w:ascii="Times New Roman" w:hAnsi="Times New Roman" w:eastAsia="宋体" w:cs="Times New Roman"/>
                <w:bCs/>
                <w:color w:val="auto"/>
                <w:sz w:val="24"/>
                <w:highlight w:val="none"/>
                <w:u w:val="none" w:color="auto"/>
              </w:rPr>
              <w:t>扩建</w:t>
            </w:r>
          </w:p>
          <w:p w14:paraId="5AFCA82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bCs w:val="0"/>
                <w:color w:val="auto"/>
                <w:sz w:val="24"/>
                <w:highlight w:val="none"/>
                <w:u w:val="none" w:color="auto"/>
                <w:lang w:val="en-US" w:eastAsia="zh-CN"/>
              </w:rPr>
            </w:pPr>
            <w:r>
              <w:rPr>
                <w:rFonts w:hint="default" w:ascii="Times New Roman" w:hAnsi="Times New Roman" w:eastAsia="宋体" w:cs="Times New Roman"/>
                <w:bCs/>
                <w:color w:val="auto"/>
                <w:sz w:val="24"/>
                <w:highlight w:val="none"/>
                <w:u w:val="none" w:color="auto"/>
                <w:lang w:val="en-US" w:eastAsia="zh-CN"/>
              </w:rPr>
              <w:t>临港高新产业园区：新建</w:t>
            </w:r>
          </w:p>
          <w:p w14:paraId="57EF0C05">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bCs w:val="0"/>
                <w:color w:val="auto"/>
                <w:sz w:val="24"/>
                <w:szCs w:val="24"/>
                <w:highlight w:val="none"/>
                <w:u w:val="none" w:color="auto"/>
                <w:lang w:eastAsia="zh-CN"/>
              </w:rPr>
            </w:pPr>
            <w:r>
              <w:rPr>
                <w:rFonts w:hint="default" w:ascii="Times New Roman" w:hAnsi="Times New Roman" w:eastAsia="宋体" w:cs="Times New Roman"/>
                <w:b/>
                <w:bCs w:val="0"/>
                <w:color w:val="auto"/>
                <w:sz w:val="24"/>
                <w:szCs w:val="24"/>
                <w:highlight w:val="none"/>
                <w:u w:val="none" w:color="auto"/>
              </w:rPr>
              <w:t>建设</w:t>
            </w:r>
            <w:r>
              <w:rPr>
                <w:rFonts w:hint="default" w:ascii="Times New Roman" w:hAnsi="Times New Roman" w:eastAsia="宋体" w:cs="Times New Roman"/>
                <w:b/>
                <w:bCs w:val="0"/>
                <w:color w:val="auto"/>
                <w:sz w:val="24"/>
                <w:szCs w:val="24"/>
                <w:highlight w:val="none"/>
                <w:u w:val="none" w:color="auto"/>
                <w:lang w:val="en-US" w:eastAsia="zh-CN"/>
              </w:rPr>
              <w:t>内容</w:t>
            </w:r>
            <w:r>
              <w:rPr>
                <w:rFonts w:hint="default" w:ascii="Times New Roman" w:hAnsi="Times New Roman" w:eastAsia="宋体" w:cs="Times New Roman"/>
                <w:b/>
                <w:bCs w:val="0"/>
                <w:color w:val="auto"/>
                <w:sz w:val="24"/>
                <w:szCs w:val="24"/>
                <w:highlight w:val="none"/>
                <w:u w:val="none" w:color="auto"/>
              </w:rPr>
              <w:t>：</w:t>
            </w:r>
          </w:p>
          <w:p w14:paraId="705D13A8">
            <w:pPr>
              <w:keepNext w:val="0"/>
              <w:keepLines w:val="0"/>
              <w:pageBreakBefore w:val="0"/>
              <w:widowControl w:val="0"/>
              <w:numPr>
                <w:ilvl w:val="0"/>
                <w:numId w:val="4"/>
              </w:numPr>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color w:val="auto"/>
                <w:sz w:val="24"/>
                <w:szCs w:val="24"/>
                <w:u w:val="none" w:color="auto"/>
                <w:lang w:val="en-US" w:eastAsia="zh-CN"/>
              </w:rPr>
            </w:pPr>
            <w:r>
              <w:rPr>
                <w:rFonts w:hint="default" w:ascii="Times New Roman" w:hAnsi="Times New Roman" w:eastAsia="宋体" w:cs="Times New Roman"/>
                <w:b/>
                <w:bCs/>
                <w:color w:val="auto"/>
                <w:sz w:val="24"/>
                <w:szCs w:val="24"/>
                <w:u w:val="none" w:color="auto"/>
                <w:lang w:eastAsia="zh-CN"/>
              </w:rPr>
              <w:t>中创空天厂区：</w:t>
            </w:r>
            <w:r>
              <w:rPr>
                <w:rFonts w:hint="default" w:ascii="Times New Roman" w:hAnsi="Times New Roman" w:eastAsia="宋体" w:cs="Times New Roman"/>
                <w:bCs/>
                <w:color w:val="auto"/>
                <w:sz w:val="24"/>
                <w:szCs w:val="24"/>
                <w:highlight w:val="none"/>
                <w:u w:val="none" w:color="auto"/>
                <w:lang w:val="en-US" w:eastAsia="zh-CN"/>
              </w:rPr>
              <w:t>对</w:t>
            </w:r>
            <w:r>
              <w:rPr>
                <w:rFonts w:hint="default" w:ascii="Times New Roman" w:hAnsi="Times New Roman" w:eastAsia="宋体" w:cs="Times New Roman"/>
                <w:color w:val="auto"/>
                <w:sz w:val="24"/>
                <w:szCs w:val="24"/>
                <w:u w:val="none" w:color="auto"/>
                <w:lang w:eastAsia="zh-CN"/>
              </w:rPr>
              <w:t>中创空天厂区</w:t>
            </w:r>
            <w:r>
              <w:rPr>
                <w:rFonts w:hint="default" w:ascii="Times New Roman" w:hAnsi="Times New Roman" w:eastAsia="宋体" w:cs="Times New Roman"/>
                <w:color w:val="auto"/>
                <w:sz w:val="24"/>
                <w:szCs w:val="24"/>
                <w:u w:val="none" w:color="auto"/>
                <w:lang w:val="en-US" w:eastAsia="zh-CN"/>
              </w:rPr>
              <w:t>原料库一半区域进行改建建设铝合金熔铸二厂</w:t>
            </w:r>
            <w:r>
              <w:rPr>
                <w:rFonts w:hint="default" w:ascii="Times New Roman" w:hAnsi="Times New Roman" w:eastAsia="宋体" w:cs="Times New Roman"/>
                <w:color w:val="auto"/>
                <w:sz w:val="24"/>
                <w:szCs w:val="24"/>
                <w:highlight w:val="none"/>
                <w:u w:val="none" w:color="auto"/>
                <w:lang w:val="en-US" w:eastAsia="zh-CN"/>
              </w:rPr>
              <w:t>（8738.15</w:t>
            </w:r>
            <w:r>
              <w:rPr>
                <w:rFonts w:hint="default" w:ascii="Times New Roman" w:hAnsi="Times New Roman" w:eastAsia="宋体" w:cs="Times New Roman"/>
                <w:color w:val="auto"/>
                <w:sz w:val="24"/>
                <w:szCs w:val="24"/>
                <w:highlight w:val="none"/>
                <w:u w:val="none" w:color="auto"/>
              </w:rPr>
              <w:t>m</w:t>
            </w:r>
            <w:r>
              <w:rPr>
                <w:rFonts w:hint="default" w:ascii="Times New Roman" w:hAnsi="Times New Roman" w:eastAsia="宋体" w:cs="Times New Roman"/>
                <w:color w:val="auto"/>
                <w:sz w:val="24"/>
                <w:szCs w:val="24"/>
                <w:highlight w:val="none"/>
                <w:u w:val="none" w:color="auto"/>
                <w:vertAlign w:val="superscript"/>
              </w:rPr>
              <w:t>2</w:t>
            </w:r>
            <w:r>
              <w:rPr>
                <w:rFonts w:hint="default" w:ascii="Times New Roman" w:hAnsi="Times New Roman" w:eastAsia="宋体" w:cs="Times New Roman"/>
                <w:color w:val="auto"/>
                <w:sz w:val="24"/>
                <w:szCs w:val="24"/>
                <w:highlight w:val="none"/>
                <w:u w:val="none" w:color="auto"/>
                <w:lang w:val="en-US" w:eastAsia="zh-CN"/>
              </w:rPr>
              <w:t>）、同时利用原</w:t>
            </w:r>
            <w:r>
              <w:rPr>
                <w:rFonts w:hint="default" w:ascii="Times New Roman" w:hAnsi="Times New Roman" w:eastAsia="宋体" w:cs="Times New Roman"/>
                <w:color w:val="auto"/>
                <w:sz w:val="24"/>
                <w:szCs w:val="24"/>
                <w:highlight w:val="none"/>
                <w:u w:val="none" w:color="auto"/>
              </w:rPr>
              <w:t>铝合金熔铸车间</w:t>
            </w:r>
            <w:r>
              <w:rPr>
                <w:rFonts w:hint="default" w:ascii="Times New Roman" w:hAnsi="Times New Roman" w:eastAsia="宋体" w:cs="Times New Roman"/>
                <w:color w:val="auto"/>
                <w:sz w:val="24"/>
                <w:szCs w:val="24"/>
                <w:highlight w:val="none"/>
                <w:u w:val="none" w:color="auto"/>
                <w:lang w:eastAsia="zh-CN"/>
              </w:rPr>
              <w:t>（</w:t>
            </w:r>
            <w:r>
              <w:rPr>
                <w:rFonts w:hint="default" w:ascii="Times New Roman" w:hAnsi="Times New Roman" w:eastAsia="宋体" w:cs="Times New Roman"/>
                <w:color w:val="auto"/>
                <w:sz w:val="24"/>
                <w:szCs w:val="24"/>
                <w:highlight w:val="none"/>
                <w:u w:val="none" w:color="auto"/>
                <w:lang w:val="en-US" w:eastAsia="zh-CN"/>
              </w:rPr>
              <w:t>改名为“铝合金熔铸一厂”</w:t>
            </w:r>
            <w:r>
              <w:rPr>
                <w:rFonts w:hint="default" w:ascii="Times New Roman" w:hAnsi="Times New Roman" w:eastAsia="宋体" w:cs="Times New Roman"/>
                <w:color w:val="auto"/>
                <w:sz w:val="24"/>
                <w:szCs w:val="24"/>
                <w:highlight w:val="none"/>
                <w:u w:val="none" w:color="auto"/>
                <w:lang w:eastAsia="zh-CN"/>
              </w:rPr>
              <w:t>）</w:t>
            </w:r>
            <w:r>
              <w:rPr>
                <w:rFonts w:hint="default" w:ascii="Times New Roman" w:hAnsi="Times New Roman" w:eastAsia="宋体" w:cs="Times New Roman"/>
                <w:color w:val="auto"/>
                <w:sz w:val="24"/>
                <w:szCs w:val="24"/>
                <w:highlight w:val="none"/>
                <w:u w:val="none" w:color="auto"/>
                <w:lang w:val="en-US" w:eastAsia="zh-CN"/>
              </w:rPr>
              <w:t>预留区域（4076.8</w:t>
            </w:r>
            <w:r>
              <w:rPr>
                <w:rFonts w:hint="default" w:ascii="Times New Roman" w:hAnsi="Times New Roman" w:eastAsia="宋体" w:cs="Times New Roman"/>
                <w:color w:val="auto"/>
                <w:sz w:val="24"/>
                <w:szCs w:val="24"/>
                <w:highlight w:val="none"/>
                <w:u w:val="none" w:color="auto"/>
              </w:rPr>
              <w:t>m</w:t>
            </w:r>
            <w:r>
              <w:rPr>
                <w:rFonts w:hint="default" w:ascii="Times New Roman" w:hAnsi="Times New Roman" w:eastAsia="宋体" w:cs="Times New Roman"/>
                <w:color w:val="auto"/>
                <w:sz w:val="24"/>
                <w:szCs w:val="24"/>
                <w:highlight w:val="none"/>
                <w:u w:val="none" w:color="auto"/>
                <w:vertAlign w:val="superscript"/>
              </w:rPr>
              <w:t>2</w:t>
            </w:r>
            <w:r>
              <w:rPr>
                <w:rFonts w:hint="default" w:ascii="Times New Roman" w:hAnsi="Times New Roman" w:eastAsia="宋体" w:cs="Times New Roman"/>
                <w:color w:val="auto"/>
                <w:sz w:val="24"/>
                <w:szCs w:val="24"/>
                <w:highlight w:val="none"/>
                <w:u w:val="none" w:color="auto"/>
                <w:lang w:val="en-US" w:eastAsia="zh-CN"/>
              </w:rPr>
              <w:t>）进行配套设施（包含：空调、通风、防排烟、消火栓等设施及以上内容的相关管线设施）的改造，此外配套新建一间配电间（117.63</w:t>
            </w:r>
            <w:r>
              <w:rPr>
                <w:rFonts w:hint="default" w:ascii="Times New Roman" w:hAnsi="Times New Roman" w:eastAsia="宋体" w:cs="Times New Roman"/>
                <w:color w:val="auto"/>
                <w:sz w:val="24"/>
                <w:szCs w:val="24"/>
                <w:highlight w:val="none"/>
                <w:u w:val="none" w:color="auto"/>
              </w:rPr>
              <w:t>m</w:t>
            </w:r>
            <w:r>
              <w:rPr>
                <w:rFonts w:hint="default" w:ascii="Times New Roman" w:hAnsi="Times New Roman" w:eastAsia="宋体" w:cs="Times New Roman"/>
                <w:color w:val="auto"/>
                <w:sz w:val="24"/>
                <w:szCs w:val="24"/>
                <w:highlight w:val="none"/>
                <w:u w:val="none" w:color="auto"/>
                <w:vertAlign w:val="superscript"/>
              </w:rPr>
              <w:t>2</w:t>
            </w:r>
            <w:r>
              <w:rPr>
                <w:rFonts w:hint="default" w:ascii="Times New Roman" w:hAnsi="Times New Roman" w:eastAsia="宋体" w:cs="Times New Roman"/>
                <w:color w:val="auto"/>
                <w:sz w:val="24"/>
                <w:szCs w:val="24"/>
                <w:u w:val="none" w:color="auto"/>
                <w:lang w:val="en-US" w:eastAsia="zh-CN"/>
              </w:rPr>
              <w:t>），总建筑面积约</w:t>
            </w:r>
            <w:r>
              <w:rPr>
                <w:rFonts w:hint="default" w:ascii="Times New Roman" w:hAnsi="Times New Roman" w:eastAsia="宋体" w:cs="Times New Roman"/>
                <w:color w:val="auto"/>
                <w:sz w:val="24"/>
                <w:szCs w:val="24"/>
                <w:highlight w:val="none"/>
                <w:u w:val="none" w:color="auto"/>
                <w:lang w:val="en-US" w:eastAsia="zh-CN"/>
              </w:rPr>
              <w:t>为12932.58</w:t>
            </w:r>
            <w:r>
              <w:rPr>
                <w:rFonts w:hint="default" w:ascii="Times New Roman" w:hAnsi="Times New Roman" w:eastAsia="宋体" w:cs="Times New Roman"/>
                <w:color w:val="auto"/>
                <w:sz w:val="24"/>
                <w:szCs w:val="24"/>
                <w:highlight w:val="none"/>
                <w:u w:val="none" w:color="auto"/>
              </w:rPr>
              <w:t>m</w:t>
            </w:r>
            <w:r>
              <w:rPr>
                <w:rFonts w:hint="default" w:ascii="Times New Roman" w:hAnsi="Times New Roman" w:eastAsia="宋体" w:cs="Times New Roman"/>
                <w:color w:val="auto"/>
                <w:sz w:val="24"/>
                <w:szCs w:val="24"/>
                <w:highlight w:val="none"/>
                <w:u w:val="none" w:color="auto"/>
                <w:vertAlign w:val="superscript"/>
              </w:rPr>
              <w:t>2</w:t>
            </w:r>
            <w:r>
              <w:rPr>
                <w:rFonts w:hint="default" w:ascii="Times New Roman" w:hAnsi="Times New Roman" w:eastAsia="宋体" w:cs="Times New Roman"/>
                <w:color w:val="auto"/>
                <w:sz w:val="24"/>
                <w:szCs w:val="24"/>
                <w:highlight w:val="none"/>
                <w:u w:val="none" w:color="auto"/>
                <w:lang w:val="en-US" w:eastAsia="zh-CN"/>
              </w:rPr>
              <w:t>；</w:t>
            </w:r>
            <w:r>
              <w:rPr>
                <w:rFonts w:hint="default" w:ascii="Times New Roman" w:hAnsi="Times New Roman" w:eastAsia="宋体" w:cs="Times New Roman"/>
                <w:color w:val="auto"/>
                <w:sz w:val="24"/>
                <w:szCs w:val="24"/>
                <w:u w:val="none" w:color="auto"/>
                <w:lang w:val="en-US" w:eastAsia="zh-CN"/>
              </w:rPr>
              <w:t>铝合金熔铸一厂改建区域设置</w:t>
            </w:r>
            <w:r>
              <w:rPr>
                <w:rFonts w:hint="default" w:ascii="Times New Roman" w:hAnsi="Times New Roman" w:eastAsia="宋体" w:cs="Times New Roman"/>
                <w:color w:val="auto"/>
                <w:sz w:val="24"/>
                <w:szCs w:val="24"/>
                <w:u w:val="none" w:color="auto"/>
              </w:rPr>
              <w:t>2台3500t压铸岛</w:t>
            </w:r>
            <w:r>
              <w:rPr>
                <w:rFonts w:hint="default" w:ascii="Times New Roman" w:hAnsi="Times New Roman" w:eastAsia="宋体" w:cs="Times New Roman"/>
                <w:color w:val="auto"/>
                <w:sz w:val="24"/>
                <w:szCs w:val="24"/>
                <w:u w:val="none" w:color="auto"/>
                <w:lang w:eastAsia="zh-CN"/>
              </w:rPr>
              <w:t>，</w:t>
            </w:r>
            <w:r>
              <w:rPr>
                <w:rFonts w:hint="default" w:ascii="Times New Roman" w:hAnsi="Times New Roman" w:eastAsia="宋体" w:cs="Times New Roman"/>
                <w:color w:val="auto"/>
                <w:sz w:val="24"/>
                <w:szCs w:val="24"/>
                <w:u w:val="none" w:color="auto"/>
                <w:lang w:val="en-US" w:eastAsia="zh-CN"/>
              </w:rPr>
              <w:t>作为</w:t>
            </w:r>
            <w:r>
              <w:rPr>
                <w:rFonts w:hint="default" w:ascii="Times New Roman" w:hAnsi="Times New Roman" w:eastAsia="宋体" w:cs="Times New Roman"/>
                <w:color w:val="auto"/>
                <w:sz w:val="24"/>
                <w:szCs w:val="24"/>
                <w:u w:val="none" w:color="auto"/>
              </w:rPr>
              <w:t>压铸工段的生产车间</w:t>
            </w:r>
            <w:r>
              <w:rPr>
                <w:rFonts w:hint="default" w:ascii="Times New Roman" w:hAnsi="Times New Roman" w:eastAsia="宋体" w:cs="Times New Roman"/>
                <w:color w:val="auto"/>
                <w:sz w:val="24"/>
                <w:szCs w:val="24"/>
                <w:u w:val="none" w:color="auto"/>
                <w:lang w:val="en-US" w:eastAsia="zh-CN"/>
              </w:rPr>
              <w:t>；铝合金熔铸二厂主要建设</w:t>
            </w:r>
            <w:r>
              <w:rPr>
                <w:rFonts w:hint="default" w:ascii="Times New Roman" w:hAnsi="Times New Roman" w:eastAsia="宋体" w:cs="Times New Roman"/>
                <w:color w:val="auto"/>
                <w:sz w:val="24"/>
                <w:szCs w:val="24"/>
                <w:u w:val="none" w:color="auto"/>
              </w:rPr>
              <w:t>1条铝水熔炼生产线</w:t>
            </w:r>
            <w:r>
              <w:rPr>
                <w:rFonts w:hint="default" w:ascii="Times New Roman" w:hAnsi="Times New Roman" w:eastAsia="宋体" w:cs="Times New Roman"/>
                <w:color w:val="auto"/>
                <w:sz w:val="24"/>
                <w:szCs w:val="24"/>
                <w:u w:val="none" w:color="auto"/>
                <w:lang w:eastAsia="zh-CN"/>
              </w:rPr>
              <w:t>，</w:t>
            </w:r>
            <w:r>
              <w:rPr>
                <w:rFonts w:hint="default" w:ascii="Times New Roman" w:hAnsi="Times New Roman" w:eastAsia="宋体" w:cs="Times New Roman"/>
                <w:color w:val="auto"/>
                <w:sz w:val="24"/>
                <w:szCs w:val="24"/>
                <w:u w:val="none" w:color="auto"/>
                <w:lang w:val="en-US" w:eastAsia="zh-CN"/>
              </w:rPr>
              <w:t>作为铝合金生产车间。</w:t>
            </w:r>
          </w:p>
          <w:p w14:paraId="0372BD89">
            <w:pPr>
              <w:keepNext w:val="0"/>
              <w:keepLines w:val="0"/>
              <w:pageBreakBefore w:val="0"/>
              <w:widowControl w:val="0"/>
              <w:numPr>
                <w:ilvl w:val="0"/>
                <w:numId w:val="4"/>
              </w:numPr>
              <w:kinsoku/>
              <w:wordWrap/>
              <w:overflowPunct/>
              <w:topLinePunct w:val="0"/>
              <w:autoSpaceDE/>
              <w:autoSpaceDN/>
              <w:bidi w:val="0"/>
              <w:adjustRightInd/>
              <w:snapToGrid/>
              <w:spacing w:line="360" w:lineRule="auto"/>
              <w:ind w:left="0" w:leftChars="0" w:firstLine="482" w:firstLineChars="200"/>
              <w:textAlignment w:val="auto"/>
              <w:rPr>
                <w:rFonts w:hint="default" w:ascii="Times New Roman" w:hAnsi="Times New Roman" w:eastAsia="宋体" w:cs="Times New Roman"/>
                <w:bCs/>
                <w:color w:val="auto"/>
                <w:sz w:val="24"/>
                <w:szCs w:val="24"/>
                <w:highlight w:val="none"/>
                <w:u w:val="none" w:color="auto"/>
                <w:vertAlign w:val="baseline"/>
                <w:lang w:val="en-US" w:eastAsia="zh-CN"/>
              </w:rPr>
            </w:pPr>
            <w:r>
              <w:rPr>
                <w:rFonts w:hint="default" w:ascii="Times New Roman" w:hAnsi="Times New Roman" w:eastAsia="宋体" w:cs="Times New Roman"/>
                <w:b/>
                <w:bCs/>
                <w:color w:val="auto"/>
                <w:sz w:val="24"/>
                <w:szCs w:val="24"/>
                <w:highlight w:val="none"/>
                <w:u w:val="none" w:color="auto"/>
                <w:lang w:val="en-US" w:eastAsia="zh-CN"/>
              </w:rPr>
              <w:t>临港高新产业园区：</w:t>
            </w:r>
            <w:r>
              <w:rPr>
                <w:rFonts w:hint="default" w:ascii="Times New Roman" w:hAnsi="Times New Roman" w:eastAsia="宋体" w:cs="Times New Roman"/>
                <w:color w:val="auto"/>
                <w:sz w:val="24"/>
                <w:szCs w:val="24"/>
                <w:highlight w:val="none"/>
                <w:u w:val="none" w:color="auto"/>
                <w:lang w:val="en-US" w:eastAsia="zh-CN"/>
              </w:rPr>
              <w:t>在临港高新产业园区内租用14#栋、15#栋、21#栋、22#栋厂房，各厂房均为丙类单层标准厂房，建筑面积均为2896.18m</w:t>
            </w:r>
            <w:r>
              <w:rPr>
                <w:rFonts w:hint="default" w:ascii="Times New Roman" w:hAnsi="Times New Roman" w:eastAsia="宋体" w:cs="Times New Roman"/>
                <w:color w:val="auto"/>
                <w:sz w:val="24"/>
                <w:szCs w:val="24"/>
                <w:highlight w:val="none"/>
                <w:u w:val="none" w:color="auto"/>
                <w:vertAlign w:val="superscript"/>
                <w:lang w:val="en-US" w:eastAsia="zh-CN"/>
              </w:rPr>
              <w:t>2</w:t>
            </w:r>
            <w:r>
              <w:rPr>
                <w:rFonts w:hint="default" w:ascii="Times New Roman" w:hAnsi="Times New Roman" w:eastAsia="宋体" w:cs="Times New Roman"/>
                <w:color w:val="auto"/>
                <w:sz w:val="24"/>
                <w:szCs w:val="24"/>
                <w:highlight w:val="none"/>
                <w:u w:val="none" w:color="auto"/>
                <w:lang w:val="en-US" w:eastAsia="zh-CN"/>
              </w:rPr>
              <w:t>/栋，合计4栋标准厂房总建筑面积11584.72m</w:t>
            </w:r>
            <w:r>
              <w:rPr>
                <w:rFonts w:hint="default" w:ascii="Times New Roman" w:hAnsi="Times New Roman" w:eastAsia="宋体" w:cs="Times New Roman"/>
                <w:color w:val="auto"/>
                <w:sz w:val="24"/>
                <w:szCs w:val="24"/>
                <w:highlight w:val="none"/>
                <w:u w:val="none" w:color="auto"/>
                <w:vertAlign w:val="superscript"/>
                <w:lang w:val="en-US" w:eastAsia="zh-CN"/>
              </w:rPr>
              <w:t>2</w:t>
            </w:r>
            <w:r>
              <w:rPr>
                <w:rFonts w:hint="default" w:ascii="Times New Roman" w:hAnsi="Times New Roman" w:eastAsia="宋体" w:cs="Times New Roman"/>
                <w:color w:val="auto"/>
                <w:sz w:val="24"/>
                <w:szCs w:val="24"/>
                <w:highlight w:val="none"/>
                <w:u w:val="none" w:color="auto"/>
                <w:vertAlign w:val="baseline"/>
                <w:lang w:val="en-US" w:eastAsia="zh-CN"/>
              </w:rPr>
              <w:t>进行配套设施改造</w:t>
            </w:r>
            <w:r>
              <w:rPr>
                <w:rFonts w:hint="default" w:ascii="Times New Roman" w:hAnsi="Times New Roman" w:eastAsia="宋体" w:cs="Times New Roman"/>
                <w:color w:val="auto"/>
                <w:sz w:val="24"/>
                <w:szCs w:val="24"/>
                <w:highlight w:val="none"/>
                <w:u w:val="none" w:color="auto"/>
                <w:lang w:val="en-US" w:eastAsia="zh-CN"/>
              </w:rPr>
              <w:t>（包含：空调、通风、防排烟、消火栓等设施及以上内容的相关管线设施）</w:t>
            </w:r>
            <w:r>
              <w:rPr>
                <w:rFonts w:hint="default" w:ascii="Times New Roman" w:hAnsi="Times New Roman" w:eastAsia="宋体" w:cs="Times New Roman"/>
                <w:color w:val="auto"/>
                <w:sz w:val="24"/>
                <w:szCs w:val="24"/>
                <w:highlight w:val="none"/>
                <w:u w:val="none" w:color="auto"/>
                <w:vertAlign w:val="baseline"/>
                <w:lang w:val="en-US" w:eastAsia="zh-CN"/>
              </w:rPr>
              <w:t>，在</w:t>
            </w:r>
            <w:r>
              <w:rPr>
                <w:rFonts w:hint="default" w:ascii="Times New Roman" w:hAnsi="Times New Roman" w:eastAsia="宋体" w:cs="Times New Roman"/>
                <w:color w:val="auto"/>
                <w:sz w:val="24"/>
                <w:szCs w:val="24"/>
                <w:highlight w:val="none"/>
                <w:u w:val="none" w:color="auto"/>
                <w:lang w:val="en-US" w:eastAsia="zh-CN"/>
              </w:rPr>
              <w:t>15#栋、21#栋、22#栋厂房分别设置1</w:t>
            </w:r>
            <w:r>
              <w:rPr>
                <w:rFonts w:hint="default" w:ascii="Times New Roman" w:hAnsi="Times New Roman" w:eastAsia="宋体" w:cs="Times New Roman"/>
                <w:color w:val="auto"/>
                <w:sz w:val="24"/>
                <w:szCs w:val="24"/>
                <w:highlight w:val="none"/>
                <w:u w:val="none" w:color="auto"/>
                <w:vertAlign w:val="baseline"/>
                <w:lang w:val="en-US" w:eastAsia="zh-CN"/>
              </w:rPr>
              <w:t>条机加生产线及配套工模具，作为机加工段车间；14</w:t>
            </w:r>
            <w:r>
              <w:rPr>
                <w:rFonts w:hint="default" w:ascii="Times New Roman" w:hAnsi="Times New Roman" w:eastAsia="宋体" w:cs="Times New Roman"/>
                <w:color w:val="auto"/>
                <w:sz w:val="24"/>
                <w:szCs w:val="24"/>
                <w:highlight w:val="none"/>
                <w:u w:val="none" w:color="auto"/>
                <w:lang w:val="en-US" w:eastAsia="zh-CN"/>
              </w:rPr>
              <w:t>#栋作为项目半成品、成品的周转仓库。</w:t>
            </w:r>
          </w:p>
          <w:p w14:paraId="3BFA0E5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u w:val="none" w:color="auto"/>
                <w:lang w:val="en-US" w:eastAsia="zh-CN"/>
              </w:rPr>
            </w:pPr>
            <w:r>
              <w:rPr>
                <w:rFonts w:hint="default" w:ascii="Times New Roman" w:hAnsi="Times New Roman" w:eastAsia="宋体" w:cs="Times New Roman"/>
                <w:color w:val="auto"/>
                <w:sz w:val="24"/>
                <w:szCs w:val="24"/>
                <w:u w:val="none" w:color="auto"/>
                <w:lang w:val="en-US" w:eastAsia="zh-CN"/>
              </w:rPr>
              <w:t>（3）建设配套建设室内外水电气管网等设施。</w:t>
            </w:r>
          </w:p>
          <w:p w14:paraId="3ED7F429">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Cs/>
                <w:color w:val="auto"/>
                <w:sz w:val="24"/>
                <w:highlight w:val="yellow"/>
                <w:u w:val="none" w:color="auto"/>
                <w:lang w:val="en-US" w:eastAsia="zh-CN"/>
              </w:rPr>
            </w:pPr>
            <w:r>
              <w:rPr>
                <w:rFonts w:hint="default" w:ascii="Times New Roman" w:hAnsi="Times New Roman" w:eastAsia="宋体" w:cs="Times New Roman"/>
                <w:b/>
                <w:bCs w:val="0"/>
                <w:color w:val="auto"/>
                <w:sz w:val="24"/>
                <w:highlight w:val="none"/>
                <w:u w:val="none" w:color="auto"/>
                <w:lang w:val="en-US" w:eastAsia="zh-CN"/>
              </w:rPr>
              <w:t>建设规模：</w:t>
            </w:r>
            <w:r>
              <w:rPr>
                <w:rFonts w:hint="default" w:ascii="Times New Roman" w:hAnsi="Times New Roman" w:eastAsia="宋体" w:cs="Times New Roman"/>
                <w:bCs/>
                <w:color w:val="auto"/>
                <w:sz w:val="24"/>
                <w:szCs w:val="24"/>
                <w:highlight w:val="none"/>
                <w:u w:val="none" w:color="auto"/>
                <w:lang w:eastAsia="zh-CN"/>
              </w:rPr>
              <w:t>年产38万件后箱体铸件和42万件挤压电机壳机加工的生产能力，</w:t>
            </w:r>
            <w:r>
              <w:rPr>
                <w:rFonts w:hint="default" w:ascii="Times New Roman" w:hAnsi="Times New Roman" w:eastAsia="宋体" w:cs="Times New Roman"/>
                <w:bCs/>
                <w:color w:val="auto"/>
                <w:sz w:val="24"/>
                <w:szCs w:val="24"/>
                <w:highlight w:val="none"/>
                <w:u w:val="none" w:color="auto"/>
                <w:lang w:val="en-US" w:eastAsia="zh-CN"/>
              </w:rPr>
              <w:t>中间产品9200吨铝合金外售</w:t>
            </w:r>
            <w:r>
              <w:rPr>
                <w:rFonts w:hint="default" w:ascii="Times New Roman" w:hAnsi="Times New Roman" w:eastAsia="宋体" w:cs="Times New Roman"/>
                <w:bCs/>
                <w:color w:val="auto"/>
                <w:sz w:val="24"/>
                <w:szCs w:val="24"/>
                <w:highlight w:val="none"/>
                <w:u w:val="none" w:color="auto"/>
                <w:lang w:eastAsia="zh-CN"/>
              </w:rPr>
              <w:t>。</w:t>
            </w:r>
          </w:p>
          <w:p w14:paraId="7DBEACD8">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Cs/>
                <w:color w:val="auto"/>
                <w:sz w:val="24"/>
                <w:highlight w:val="yellow"/>
                <w:u w:val="none" w:color="auto"/>
              </w:rPr>
            </w:pPr>
            <w:r>
              <w:rPr>
                <w:rFonts w:hint="default" w:ascii="Times New Roman" w:hAnsi="Times New Roman" w:eastAsia="宋体" w:cs="Times New Roman"/>
                <w:b/>
                <w:bCs w:val="0"/>
                <w:color w:val="auto"/>
                <w:sz w:val="24"/>
                <w:highlight w:val="none"/>
                <w:u w:val="none" w:color="auto"/>
              </w:rPr>
              <w:t>总投资：</w:t>
            </w:r>
            <w:r>
              <w:rPr>
                <w:rFonts w:hint="default" w:ascii="Times New Roman" w:hAnsi="Times New Roman" w:eastAsia="宋体" w:cs="Times New Roman"/>
                <w:bCs/>
                <w:color w:val="auto"/>
                <w:sz w:val="24"/>
                <w:highlight w:val="none"/>
                <w:u w:val="none" w:color="auto"/>
                <w:lang w:val="en-US" w:eastAsia="zh-CN"/>
              </w:rPr>
              <w:t>20948.43</w:t>
            </w:r>
            <w:r>
              <w:rPr>
                <w:rFonts w:hint="default" w:ascii="Times New Roman" w:hAnsi="Times New Roman" w:eastAsia="宋体" w:cs="Times New Roman"/>
                <w:bCs/>
                <w:color w:val="auto"/>
                <w:sz w:val="24"/>
                <w:highlight w:val="none"/>
                <w:u w:val="none" w:color="auto"/>
              </w:rPr>
              <w:t>万元人民币，环保投资</w:t>
            </w:r>
            <w:r>
              <w:rPr>
                <w:rFonts w:hint="default" w:ascii="Times New Roman" w:hAnsi="Times New Roman" w:eastAsia="宋体" w:cs="Times New Roman"/>
                <w:bCs/>
                <w:color w:val="auto"/>
                <w:sz w:val="24"/>
                <w:highlight w:val="none"/>
                <w:u w:val="none" w:color="auto"/>
                <w:lang w:val="en-US" w:eastAsia="zh-CN"/>
              </w:rPr>
              <w:t>342</w:t>
            </w:r>
            <w:r>
              <w:rPr>
                <w:rFonts w:hint="default" w:ascii="Times New Roman" w:hAnsi="Times New Roman" w:eastAsia="宋体" w:cs="Times New Roman"/>
                <w:bCs/>
                <w:color w:val="auto"/>
                <w:sz w:val="24"/>
                <w:highlight w:val="none"/>
                <w:u w:val="none" w:color="auto"/>
              </w:rPr>
              <w:t>人民币，占总投资的</w:t>
            </w:r>
            <w:r>
              <w:rPr>
                <w:rFonts w:hint="default" w:ascii="Times New Roman" w:hAnsi="Times New Roman" w:eastAsia="宋体" w:cs="Times New Roman"/>
                <w:bCs/>
                <w:color w:val="auto"/>
                <w:sz w:val="24"/>
                <w:highlight w:val="none"/>
                <w:u w:val="none" w:color="auto"/>
                <w:lang w:val="en-US" w:eastAsia="zh-CN"/>
              </w:rPr>
              <w:t>1.63</w:t>
            </w:r>
            <w:r>
              <w:rPr>
                <w:rFonts w:hint="default" w:ascii="Times New Roman" w:hAnsi="Times New Roman" w:eastAsia="宋体" w:cs="Times New Roman"/>
                <w:bCs/>
                <w:color w:val="auto"/>
                <w:sz w:val="24"/>
                <w:highlight w:val="none"/>
                <w:u w:val="none" w:color="auto"/>
              </w:rPr>
              <w:t>%；</w:t>
            </w:r>
          </w:p>
          <w:p w14:paraId="28C72DB3">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bCs w:val="0"/>
                <w:color w:val="auto"/>
                <w:sz w:val="24"/>
                <w:highlight w:val="none"/>
                <w:u w:val="none" w:color="auto"/>
                <w:lang w:val="en-US" w:eastAsia="zh-CN"/>
              </w:rPr>
            </w:pPr>
            <w:bookmarkStart w:id="82" w:name="bkConsis51456"/>
            <w:r>
              <w:rPr>
                <w:rFonts w:hint="default" w:ascii="Times New Roman" w:hAnsi="Times New Roman" w:eastAsia="宋体" w:cs="Times New Roman"/>
                <w:b/>
                <w:bCs w:val="0"/>
                <w:color w:val="auto"/>
                <w:sz w:val="24"/>
                <w:highlight w:val="none"/>
                <w:u w:val="none" w:color="auto"/>
                <w:lang w:val="en-US" w:eastAsia="zh-CN"/>
              </w:rPr>
              <w:t>劳动</w:t>
            </w:r>
            <w:sdt>
              <w:sdtPr>
                <w:rPr>
                  <w:rFonts w:hint="default" w:ascii="Times New Roman" w:hAnsi="Times New Roman" w:eastAsia="宋体" w:cs="Times New Roman"/>
                  <w:b/>
                  <w:bCs w:val="0"/>
                  <w:color w:val="auto"/>
                  <w:highlight w:val="none"/>
                  <w:u w:val="none" w:color="auto"/>
                  <w:lang w:val="en-US"/>
                </w:rPr>
                <w:alias w:val="一致性检查"/>
                <w:id w:val="51456"/>
              </w:sdtPr>
              <w:sdtEndPr>
                <w:rPr>
                  <w:rFonts w:hint="default" w:ascii="Times New Roman" w:hAnsi="Times New Roman" w:eastAsia="宋体" w:cs="Times New Roman"/>
                  <w:b/>
                  <w:bCs w:val="0"/>
                  <w:color w:val="auto"/>
                  <w:highlight w:val="none"/>
                  <w:u w:val="none" w:color="auto"/>
                  <w:lang w:val="en-US"/>
                </w:rPr>
              </w:sdtEndPr>
              <w:sdtContent>
                <w:r>
                  <w:rPr>
                    <w:rFonts w:hint="default" w:ascii="Times New Roman" w:hAnsi="Times New Roman" w:eastAsia="宋体" w:cs="Times New Roman"/>
                    <w:b/>
                    <w:bCs w:val="0"/>
                    <w:color w:val="auto"/>
                    <w:sz w:val="24"/>
                    <w:highlight w:val="none"/>
                    <w:u w:val="none" w:color="auto"/>
                  </w:rPr>
                  <w:t>定员</w:t>
                </w:r>
                <w:bookmarkEnd w:id="82"/>
              </w:sdtContent>
            </w:sdt>
            <w:r>
              <w:rPr>
                <w:rFonts w:hint="default" w:ascii="Times New Roman" w:hAnsi="Times New Roman" w:eastAsia="宋体" w:cs="Times New Roman"/>
                <w:b/>
                <w:bCs w:val="0"/>
                <w:color w:val="auto"/>
                <w:sz w:val="24"/>
                <w:szCs w:val="32"/>
                <w:highlight w:val="none"/>
                <w:u w:val="none" w:color="auto"/>
                <w:lang w:val="en-US" w:eastAsia="zh-CN"/>
              </w:rPr>
              <w:t>及</w:t>
            </w:r>
            <w:r>
              <w:rPr>
                <w:rFonts w:hint="default" w:ascii="Times New Roman" w:hAnsi="Times New Roman" w:eastAsia="宋体" w:cs="Times New Roman"/>
                <w:b/>
                <w:bCs w:val="0"/>
                <w:color w:val="auto"/>
                <w:sz w:val="24"/>
                <w:highlight w:val="none"/>
                <w:u w:val="none" w:color="auto"/>
                <w:lang w:val="en-US" w:eastAsia="zh-CN"/>
              </w:rPr>
              <w:t>工作制度：</w:t>
            </w:r>
          </w:p>
          <w:p w14:paraId="4991EC71">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bCs w:val="0"/>
                <w:color w:val="auto"/>
                <w:sz w:val="24"/>
                <w:highlight w:val="none"/>
                <w:u w:val="none" w:color="auto"/>
                <w:lang w:val="en-US" w:eastAsia="zh-CN"/>
              </w:rPr>
            </w:pPr>
            <w:r>
              <w:rPr>
                <w:rFonts w:hint="default" w:ascii="Times New Roman" w:hAnsi="Times New Roman" w:eastAsia="宋体" w:cs="Times New Roman"/>
                <w:b/>
                <w:bCs w:val="0"/>
                <w:color w:val="auto"/>
                <w:sz w:val="24"/>
                <w:highlight w:val="none"/>
                <w:u w:val="none" w:color="auto"/>
                <w:lang w:val="en-US" w:eastAsia="zh-CN"/>
              </w:rPr>
              <w:t>①</w:t>
            </w:r>
            <w:r>
              <w:rPr>
                <w:rFonts w:hint="default" w:ascii="Times New Roman" w:hAnsi="Times New Roman" w:eastAsia="宋体" w:cs="Times New Roman"/>
                <w:b/>
                <w:bCs w:val="0"/>
                <w:color w:val="auto"/>
                <w:sz w:val="24"/>
                <w:szCs w:val="24"/>
                <w:u w:val="none" w:color="auto"/>
                <w:lang w:eastAsia="zh-CN"/>
              </w:rPr>
              <w:t>中创空天厂区</w:t>
            </w:r>
          </w:p>
          <w:p w14:paraId="4437023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color w:val="auto"/>
                <w:sz w:val="24"/>
                <w:highlight w:val="none"/>
                <w:u w:val="none" w:color="auto"/>
                <w:lang w:val="en-US" w:eastAsia="zh-CN"/>
              </w:rPr>
            </w:pPr>
            <w:r>
              <w:rPr>
                <w:rFonts w:hint="default" w:ascii="Times New Roman" w:hAnsi="Times New Roman" w:eastAsia="宋体" w:cs="Times New Roman"/>
                <w:b w:val="0"/>
                <w:bCs/>
                <w:color w:val="auto"/>
                <w:sz w:val="24"/>
                <w:highlight w:val="none"/>
                <w:u w:val="none" w:color="auto"/>
                <w:lang w:val="en-US" w:eastAsia="zh-CN"/>
              </w:rPr>
              <w:t>铝水熔炼工段：劳动定员为新增员工56人，铝水熔炼工段采用三班制，每班8h，全年工作330天。</w:t>
            </w:r>
          </w:p>
          <w:p w14:paraId="443FFBE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color w:val="auto"/>
                <w:sz w:val="24"/>
                <w:highlight w:val="none"/>
                <w:u w:val="none" w:color="auto"/>
                <w:lang w:val="en-US" w:eastAsia="zh-CN"/>
              </w:rPr>
            </w:pPr>
            <w:r>
              <w:rPr>
                <w:rFonts w:hint="default" w:ascii="Times New Roman" w:hAnsi="Times New Roman" w:eastAsia="宋体" w:cs="Times New Roman"/>
                <w:b w:val="0"/>
                <w:bCs/>
                <w:color w:val="auto"/>
                <w:sz w:val="24"/>
                <w:highlight w:val="none"/>
                <w:u w:val="none" w:color="auto"/>
                <w:lang w:val="en-US" w:eastAsia="zh-CN"/>
              </w:rPr>
              <w:t>压铸工段：劳动定员为新增员工10人，压铸工段采用三班制，每班8h，全年工作330天。</w:t>
            </w:r>
          </w:p>
          <w:p w14:paraId="03795B4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b w:val="0"/>
                <w:bCs/>
                <w:color w:val="auto"/>
                <w:sz w:val="24"/>
                <w:highlight w:val="none"/>
                <w:u w:val="none" w:color="auto"/>
                <w:lang w:val="en-US" w:eastAsia="zh-CN"/>
              </w:rPr>
              <w:t>上述新增员工均在厂区内住宿、就餐。</w:t>
            </w:r>
          </w:p>
          <w:p w14:paraId="6AF7A19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color w:val="auto"/>
                <w:sz w:val="24"/>
                <w:highlight w:val="none"/>
                <w:u w:val="none" w:color="auto"/>
                <w:lang w:val="en-US" w:eastAsia="zh-CN"/>
              </w:rPr>
            </w:pPr>
            <w:r>
              <w:rPr>
                <w:rFonts w:hint="default" w:ascii="Times New Roman" w:hAnsi="Times New Roman" w:eastAsia="宋体" w:cs="Times New Roman"/>
                <w:b w:val="0"/>
                <w:bCs/>
                <w:color w:val="auto"/>
                <w:sz w:val="24"/>
                <w:highlight w:val="none"/>
                <w:u w:val="none" w:color="auto"/>
                <w:lang w:val="en-US" w:eastAsia="zh-CN"/>
              </w:rPr>
              <w:t>②</w:t>
            </w:r>
            <w:r>
              <w:rPr>
                <w:rFonts w:hint="default" w:ascii="Times New Roman" w:hAnsi="Times New Roman" w:eastAsia="宋体" w:cs="Times New Roman"/>
                <w:b/>
                <w:bCs/>
                <w:color w:val="auto"/>
                <w:sz w:val="24"/>
                <w:szCs w:val="24"/>
                <w:highlight w:val="none"/>
                <w:u w:val="none" w:color="auto"/>
                <w:lang w:val="en-US" w:eastAsia="zh-CN"/>
              </w:rPr>
              <w:t>临港高新产业园区：</w:t>
            </w:r>
          </w:p>
          <w:p w14:paraId="37994C4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auto"/>
                <w:sz w:val="24"/>
                <w:highlight w:val="yellow"/>
                <w:u w:val="none" w:color="auto"/>
                <w:lang w:val="en-US" w:eastAsia="zh-CN"/>
              </w:rPr>
            </w:pPr>
            <w:r>
              <w:rPr>
                <w:rFonts w:hint="default" w:ascii="Times New Roman" w:hAnsi="Times New Roman" w:eastAsia="宋体" w:cs="Times New Roman"/>
                <w:b w:val="0"/>
                <w:bCs/>
                <w:color w:val="auto"/>
                <w:sz w:val="24"/>
                <w:highlight w:val="none"/>
                <w:u w:val="none" w:color="auto"/>
                <w:lang w:val="en-US" w:eastAsia="zh-CN"/>
              </w:rPr>
              <w:t>劳动定员为新增员工111人，机加工段采用两班制，每班8h，全年工作300天，</w:t>
            </w:r>
            <w:r>
              <w:rPr>
                <w:rFonts w:hint="default" w:ascii="Times New Roman" w:hAnsi="Times New Roman" w:eastAsia="宋体" w:cs="Times New Roman"/>
                <w:bCs/>
                <w:color w:val="auto"/>
                <w:sz w:val="24"/>
                <w:highlight w:val="none"/>
                <w:u w:val="none" w:color="auto"/>
                <w:lang w:val="en-US" w:eastAsia="zh-CN"/>
              </w:rPr>
              <w:t>依托临港高新产业园区食堂用餐，不提供住宿。</w:t>
            </w:r>
          </w:p>
          <w:p w14:paraId="32C89CA5">
            <w:pPr>
              <w:pStyle w:val="2"/>
              <w:spacing w:line="240" w:lineRule="auto"/>
              <w:ind w:firstLine="482" w:firstLineChars="200"/>
              <w:rPr>
                <w:rFonts w:hint="default" w:ascii="Times New Roman" w:hAnsi="Times New Roman" w:eastAsia="宋体" w:cs="Times New Roman"/>
                <w:b/>
                <w:bCs/>
                <w:color w:val="auto"/>
                <w:sz w:val="24"/>
                <w:szCs w:val="24"/>
                <w:u w:val="none" w:color="auto"/>
              </w:rPr>
            </w:pPr>
            <w:r>
              <w:rPr>
                <w:rFonts w:hint="default" w:ascii="Times New Roman" w:hAnsi="Times New Roman" w:eastAsia="宋体" w:cs="Times New Roman"/>
                <w:b/>
                <w:bCs/>
                <w:color w:val="auto"/>
                <w:sz w:val="24"/>
                <w:szCs w:val="24"/>
                <w:u w:val="none" w:color="auto"/>
                <w:lang w:val="en-US" w:eastAsia="zh-CN"/>
              </w:rPr>
              <w:t>3</w:t>
            </w:r>
            <w:r>
              <w:rPr>
                <w:rFonts w:hint="default" w:ascii="Times New Roman" w:hAnsi="Times New Roman" w:eastAsia="宋体" w:cs="Times New Roman"/>
                <w:b/>
                <w:bCs/>
                <w:color w:val="auto"/>
                <w:sz w:val="24"/>
                <w:szCs w:val="24"/>
                <w:u w:val="none" w:color="auto"/>
              </w:rPr>
              <w:t>、建设项目工程概况</w:t>
            </w:r>
          </w:p>
          <w:p w14:paraId="7409C4BD">
            <w:pPr>
              <w:spacing w:line="360" w:lineRule="auto"/>
              <w:ind w:firstLine="480" w:firstLineChars="200"/>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项目主要建设内容具体情况如下表2-</w:t>
            </w:r>
            <w:r>
              <w:rPr>
                <w:rFonts w:hint="default" w:ascii="Times New Roman" w:hAnsi="Times New Roman" w:eastAsia="宋体" w:cs="Times New Roman"/>
                <w:color w:val="auto"/>
                <w:sz w:val="24"/>
                <w:szCs w:val="24"/>
                <w:u w:val="none" w:color="auto"/>
                <w:lang w:val="en-US" w:eastAsia="zh-CN"/>
              </w:rPr>
              <w:t>2</w:t>
            </w:r>
            <w:r>
              <w:rPr>
                <w:rFonts w:hint="default" w:ascii="Times New Roman" w:hAnsi="Times New Roman" w:eastAsia="宋体" w:cs="Times New Roman"/>
                <w:color w:val="auto"/>
                <w:sz w:val="24"/>
                <w:szCs w:val="24"/>
                <w:u w:val="none" w:color="auto"/>
              </w:rPr>
              <w:t>所示。</w:t>
            </w:r>
          </w:p>
          <w:p w14:paraId="0A99A092">
            <w:pPr>
              <w:jc w:val="center"/>
              <w:rPr>
                <w:rFonts w:hint="default" w:ascii="Times New Roman" w:hAnsi="Times New Roman" w:eastAsia="宋体" w:cs="Times New Roman"/>
                <w:b/>
                <w:bCs/>
                <w:color w:val="auto"/>
                <w:u w:val="none" w:color="auto"/>
              </w:rPr>
            </w:pPr>
            <w:r>
              <w:rPr>
                <w:rFonts w:hint="default" w:ascii="Times New Roman" w:hAnsi="Times New Roman" w:eastAsia="宋体" w:cs="Times New Roman"/>
                <w:b/>
                <w:bCs/>
                <w:color w:val="auto"/>
                <w:u w:val="none" w:color="auto"/>
              </w:rPr>
              <w:t>表2-</w:t>
            </w:r>
            <w:r>
              <w:rPr>
                <w:rFonts w:hint="default" w:ascii="Times New Roman" w:hAnsi="Times New Roman" w:eastAsia="宋体" w:cs="Times New Roman"/>
                <w:b/>
                <w:bCs/>
                <w:color w:val="auto"/>
                <w:u w:val="none" w:color="auto"/>
                <w:lang w:val="en-US" w:eastAsia="zh-CN"/>
              </w:rPr>
              <w:t>2</w:t>
            </w:r>
            <w:r>
              <w:rPr>
                <w:rFonts w:hint="default" w:ascii="Times New Roman" w:hAnsi="Times New Roman" w:eastAsia="宋体" w:cs="Times New Roman"/>
                <w:b/>
                <w:bCs/>
                <w:color w:val="auto"/>
                <w:u w:val="none" w:color="auto"/>
              </w:rPr>
              <w:t xml:space="preserve">  建设内容及规模</w:t>
            </w:r>
          </w:p>
          <w:tbl>
            <w:tblPr>
              <w:tblStyle w:val="32"/>
              <w:tblW w:w="4997" w:type="pct"/>
              <w:tblInd w:w="-1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512"/>
              <w:gridCol w:w="759"/>
              <w:gridCol w:w="356"/>
              <w:gridCol w:w="752"/>
              <w:gridCol w:w="2141"/>
              <w:gridCol w:w="2494"/>
              <w:gridCol w:w="1455"/>
            </w:tblGrid>
            <w:tr w14:paraId="4B67DC1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02" w:type="pct"/>
                  <w:tcBorders>
                    <w:tl2br w:val="nil"/>
                    <w:tr2bl w:val="nil"/>
                  </w:tcBorders>
                  <w:vAlign w:val="center"/>
                </w:tcPr>
                <w:p w14:paraId="42B65FEE">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b/>
                      <w:bCs/>
                      <w:color w:val="auto"/>
                      <w:sz w:val="21"/>
                      <w:szCs w:val="21"/>
                      <w:highlight w:val="none"/>
                      <w:u w:val="none" w:color="auto"/>
                      <w:lang w:val="en-US" w:eastAsia="zh-CN"/>
                    </w:rPr>
                  </w:pPr>
                  <w:r>
                    <w:rPr>
                      <w:rFonts w:hint="default" w:ascii="Times New Roman" w:hAnsi="Times New Roman" w:eastAsia="宋体" w:cs="Times New Roman"/>
                      <w:b/>
                      <w:bCs/>
                      <w:color w:val="auto"/>
                      <w:sz w:val="21"/>
                      <w:szCs w:val="21"/>
                      <w:highlight w:val="none"/>
                      <w:u w:val="none" w:color="auto"/>
                      <w:lang w:val="en-US" w:eastAsia="zh-CN"/>
                    </w:rPr>
                    <w:t>工程类别</w:t>
                  </w:r>
                </w:p>
              </w:tc>
              <w:tc>
                <w:tcPr>
                  <w:tcW w:w="1102" w:type="pct"/>
                  <w:gridSpan w:val="3"/>
                  <w:tcBorders>
                    <w:tl2br w:val="nil"/>
                    <w:tr2bl w:val="nil"/>
                  </w:tcBorders>
                  <w:vAlign w:val="center"/>
                </w:tcPr>
                <w:p w14:paraId="1575B8DC">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b/>
                      <w:bCs/>
                      <w:color w:val="auto"/>
                      <w:sz w:val="21"/>
                      <w:szCs w:val="21"/>
                      <w:highlight w:val="none"/>
                      <w:u w:val="none" w:color="auto"/>
                      <w:lang w:val="en-US" w:eastAsia="zh-CN"/>
                    </w:rPr>
                  </w:pPr>
                  <w:r>
                    <w:rPr>
                      <w:rFonts w:hint="default" w:ascii="Times New Roman" w:hAnsi="Times New Roman" w:eastAsia="宋体" w:cs="Times New Roman"/>
                      <w:b/>
                      <w:bCs/>
                      <w:color w:val="auto"/>
                      <w:sz w:val="21"/>
                      <w:szCs w:val="21"/>
                      <w:highlight w:val="none"/>
                      <w:u w:val="none" w:color="auto"/>
                      <w:lang w:val="en-US" w:eastAsia="zh-CN"/>
                    </w:rPr>
                    <w:t>工程名称</w:t>
                  </w:r>
                </w:p>
              </w:tc>
              <w:tc>
                <w:tcPr>
                  <w:tcW w:w="1264" w:type="pct"/>
                  <w:tcBorders>
                    <w:tl2br w:val="nil"/>
                    <w:tr2bl w:val="nil"/>
                  </w:tcBorders>
                  <w:vAlign w:val="center"/>
                </w:tcPr>
                <w:p w14:paraId="5B499A46">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b/>
                      <w:bCs/>
                      <w:color w:val="auto"/>
                      <w:sz w:val="21"/>
                      <w:szCs w:val="21"/>
                      <w:highlight w:val="none"/>
                      <w:u w:val="none" w:color="auto"/>
                      <w:lang w:val="en-US" w:eastAsia="zh-CN"/>
                    </w:rPr>
                  </w:pPr>
                  <w:r>
                    <w:rPr>
                      <w:rFonts w:hint="default" w:ascii="Times New Roman" w:hAnsi="Times New Roman" w:eastAsia="宋体" w:cs="Times New Roman"/>
                      <w:b/>
                      <w:bCs/>
                      <w:color w:val="auto"/>
                      <w:sz w:val="21"/>
                      <w:szCs w:val="21"/>
                      <w:highlight w:val="none"/>
                      <w:u w:val="none" w:color="auto"/>
                      <w:lang w:val="en-US" w:eastAsia="zh-CN"/>
                    </w:rPr>
                    <w:t>原工程内容</w:t>
                  </w:r>
                </w:p>
              </w:tc>
              <w:tc>
                <w:tcPr>
                  <w:tcW w:w="1472" w:type="pct"/>
                  <w:tcBorders>
                    <w:tl2br w:val="nil"/>
                    <w:tr2bl w:val="nil"/>
                  </w:tcBorders>
                  <w:vAlign w:val="center"/>
                </w:tcPr>
                <w:p w14:paraId="66D89C2B">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b/>
                      <w:bCs/>
                      <w:color w:val="auto"/>
                      <w:sz w:val="21"/>
                      <w:szCs w:val="21"/>
                      <w:highlight w:val="none"/>
                      <w:u w:val="none" w:color="auto"/>
                      <w:lang w:val="en-US" w:eastAsia="zh-CN"/>
                    </w:rPr>
                  </w:pPr>
                  <w:r>
                    <w:rPr>
                      <w:rFonts w:hint="default" w:ascii="Times New Roman" w:hAnsi="Times New Roman" w:eastAsia="宋体" w:cs="Times New Roman"/>
                      <w:b/>
                      <w:bCs/>
                      <w:color w:val="auto"/>
                      <w:sz w:val="21"/>
                      <w:szCs w:val="21"/>
                      <w:highlight w:val="none"/>
                      <w:u w:val="none" w:color="auto"/>
                      <w:lang w:val="en-US" w:eastAsia="zh-CN"/>
                    </w:rPr>
                    <w:t>本项目工程内容</w:t>
                  </w:r>
                </w:p>
              </w:tc>
              <w:tc>
                <w:tcPr>
                  <w:tcW w:w="859" w:type="pct"/>
                  <w:tcBorders>
                    <w:tl2br w:val="nil"/>
                    <w:tr2bl w:val="nil"/>
                  </w:tcBorders>
                  <w:vAlign w:val="center"/>
                </w:tcPr>
                <w:p w14:paraId="5F875BA0">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b/>
                      <w:bCs/>
                      <w:color w:val="auto"/>
                      <w:sz w:val="21"/>
                      <w:szCs w:val="21"/>
                      <w:highlight w:val="none"/>
                      <w:u w:val="none" w:color="auto"/>
                      <w:lang w:val="en-US" w:eastAsia="zh-CN"/>
                    </w:rPr>
                  </w:pPr>
                  <w:r>
                    <w:rPr>
                      <w:rFonts w:hint="default" w:ascii="Times New Roman" w:hAnsi="Times New Roman" w:eastAsia="宋体" w:cs="Times New Roman"/>
                      <w:b/>
                      <w:bCs/>
                      <w:color w:val="auto"/>
                      <w:sz w:val="21"/>
                      <w:szCs w:val="21"/>
                      <w:highlight w:val="none"/>
                      <w:u w:val="none" w:color="auto"/>
                      <w:lang w:val="en-US" w:eastAsia="zh-CN"/>
                    </w:rPr>
                    <w:t>备注</w:t>
                  </w:r>
                </w:p>
              </w:tc>
            </w:tr>
            <w:tr w14:paraId="342C39F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02" w:type="pct"/>
                  <w:vMerge w:val="restart"/>
                  <w:tcBorders>
                    <w:tl2br w:val="nil"/>
                    <w:tr2bl w:val="nil"/>
                  </w:tcBorders>
                  <w:vAlign w:val="center"/>
                </w:tcPr>
                <w:p w14:paraId="63BE543D">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主体工程</w:t>
                  </w:r>
                </w:p>
              </w:tc>
              <w:tc>
                <w:tcPr>
                  <w:tcW w:w="448" w:type="pct"/>
                  <w:vMerge w:val="restart"/>
                  <w:tcBorders>
                    <w:tl2br w:val="nil"/>
                    <w:tr2bl w:val="nil"/>
                  </w:tcBorders>
                  <w:vAlign w:val="center"/>
                </w:tcPr>
                <w:p w14:paraId="5A9E3741">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中创空天厂区</w:t>
                  </w:r>
                </w:p>
              </w:tc>
              <w:tc>
                <w:tcPr>
                  <w:tcW w:w="654" w:type="pct"/>
                  <w:gridSpan w:val="2"/>
                  <w:tcBorders>
                    <w:tl2br w:val="nil"/>
                    <w:tr2bl w:val="nil"/>
                  </w:tcBorders>
                  <w:shd w:val="clear" w:color="auto" w:fill="auto"/>
                  <w:vAlign w:val="center"/>
                </w:tcPr>
                <w:p w14:paraId="39B33E55">
                  <w:pPr>
                    <w:keepNext w:val="0"/>
                    <w:keepLines w:val="0"/>
                    <w:pageBreakBefore w:val="0"/>
                    <w:kinsoku/>
                    <w:wordWrap/>
                    <w:overflowPunct/>
                    <w:topLinePunct w:val="0"/>
                    <w:autoSpaceDE/>
                    <w:autoSpaceDN/>
                    <w:bidi w:val="0"/>
                    <w:adjustRightInd/>
                    <w:snapToGrid/>
                    <w:spacing w:line="240" w:lineRule="auto"/>
                    <w:ind w:right="0" w:rightChars="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lang w:val="en-US" w:eastAsia="zh-CN"/>
                    </w:rPr>
                    <w:t>熔铸二厂</w:t>
                  </w:r>
                </w:p>
              </w:tc>
              <w:tc>
                <w:tcPr>
                  <w:tcW w:w="1264" w:type="pct"/>
                  <w:tcBorders>
                    <w:tl2br w:val="nil"/>
                    <w:tr2bl w:val="nil"/>
                  </w:tcBorders>
                  <w:vAlign w:val="center"/>
                </w:tcPr>
                <w:p w14:paraId="7EDFD3F4">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原料库</w:t>
                  </w:r>
                </w:p>
              </w:tc>
              <w:tc>
                <w:tcPr>
                  <w:tcW w:w="1472" w:type="pct"/>
                  <w:tcBorders>
                    <w:tl2br w:val="nil"/>
                    <w:tr2bl w:val="nil"/>
                  </w:tcBorders>
                  <w:vAlign w:val="center"/>
                </w:tcPr>
                <w:p w14:paraId="4E77DBF5">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1F，总建筑面积8738.15m</w:t>
                  </w:r>
                  <w:r>
                    <w:rPr>
                      <w:rFonts w:hint="default" w:ascii="Times New Roman" w:hAnsi="Times New Roman" w:eastAsia="宋体" w:cs="Times New Roman"/>
                      <w:color w:val="auto"/>
                      <w:sz w:val="21"/>
                      <w:szCs w:val="21"/>
                      <w:highlight w:val="none"/>
                      <w:u w:val="none" w:color="auto"/>
                      <w:vertAlign w:val="superscript"/>
                      <w:lang w:val="en-US" w:eastAsia="zh-CN"/>
                    </w:rPr>
                    <w:t>2</w:t>
                  </w:r>
                  <w:r>
                    <w:rPr>
                      <w:rFonts w:hint="default" w:ascii="Times New Roman" w:hAnsi="Times New Roman" w:eastAsia="宋体" w:cs="Times New Roman"/>
                      <w:color w:val="auto"/>
                      <w:sz w:val="21"/>
                      <w:szCs w:val="21"/>
                      <w:highlight w:val="none"/>
                      <w:u w:val="none" w:color="auto"/>
                      <w:lang w:val="en-US" w:eastAsia="zh-CN"/>
                    </w:rPr>
                    <w:t>，高11.25m，丁类，钢结构，布置1条铝水熔化生产线及配套设施，在厂房东南角外设变配电房、制氮站等辅助用房</w:t>
                  </w:r>
                </w:p>
              </w:tc>
              <w:tc>
                <w:tcPr>
                  <w:tcW w:w="859" w:type="pct"/>
                  <w:tcBorders>
                    <w:tl2br w:val="nil"/>
                    <w:tr2bl w:val="nil"/>
                  </w:tcBorders>
                  <w:vAlign w:val="center"/>
                </w:tcPr>
                <w:p w14:paraId="477E8403">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现有工程无熔铸二厂，</w:t>
                  </w:r>
                </w:p>
                <w:p w14:paraId="76726E19">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利用中创空天厂区原原料库进行改建，新增隔墙和辅助用房</w:t>
                  </w:r>
                </w:p>
              </w:tc>
            </w:tr>
            <w:tr w14:paraId="5E21030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02" w:type="pct"/>
                  <w:vMerge w:val="continue"/>
                  <w:tcBorders>
                    <w:tl2br w:val="nil"/>
                    <w:tr2bl w:val="nil"/>
                  </w:tcBorders>
                  <w:vAlign w:val="center"/>
                </w:tcPr>
                <w:p w14:paraId="282A4BCB">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rPr>
                  </w:pPr>
                </w:p>
              </w:tc>
              <w:tc>
                <w:tcPr>
                  <w:tcW w:w="448" w:type="pct"/>
                  <w:vMerge w:val="continue"/>
                  <w:tcBorders>
                    <w:tl2br w:val="nil"/>
                    <w:tr2bl w:val="nil"/>
                  </w:tcBorders>
                  <w:vAlign w:val="center"/>
                </w:tcPr>
                <w:p w14:paraId="6672124D">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p>
              </w:tc>
              <w:tc>
                <w:tcPr>
                  <w:tcW w:w="654" w:type="pct"/>
                  <w:gridSpan w:val="2"/>
                  <w:tcBorders>
                    <w:tl2br w:val="nil"/>
                    <w:tr2bl w:val="nil"/>
                  </w:tcBorders>
                  <w:shd w:val="clear" w:color="auto" w:fill="auto"/>
                  <w:vAlign w:val="center"/>
                </w:tcPr>
                <w:p w14:paraId="7B508991">
                  <w:pPr>
                    <w:keepNext w:val="0"/>
                    <w:keepLines w:val="0"/>
                    <w:pageBreakBefore w:val="0"/>
                    <w:kinsoku/>
                    <w:wordWrap/>
                    <w:overflowPunct/>
                    <w:topLinePunct w:val="0"/>
                    <w:autoSpaceDE/>
                    <w:autoSpaceDN/>
                    <w:bidi w:val="0"/>
                    <w:adjustRightInd/>
                    <w:snapToGrid/>
                    <w:spacing w:line="240" w:lineRule="auto"/>
                    <w:ind w:right="0" w:rightChars="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lang w:val="en-US" w:eastAsia="zh-CN"/>
                    </w:rPr>
                    <w:t>铝合金熔铸一厂（原铝合金熔铸厂）</w:t>
                  </w:r>
                </w:p>
              </w:tc>
              <w:tc>
                <w:tcPr>
                  <w:tcW w:w="1264" w:type="pct"/>
                  <w:tcBorders>
                    <w:tl2br w:val="nil"/>
                    <w:tr2bl w:val="nil"/>
                  </w:tcBorders>
                  <w:vAlign w:val="center"/>
                </w:tcPr>
                <w:p w14:paraId="320972CA">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lang w:eastAsia="zh-CN"/>
                    </w:rPr>
                  </w:pPr>
                  <w:r>
                    <w:rPr>
                      <w:rFonts w:hint="default" w:ascii="Times New Roman" w:hAnsi="Times New Roman" w:eastAsia="宋体" w:cs="Times New Roman"/>
                      <w:color w:val="auto"/>
                      <w:sz w:val="21"/>
                      <w:szCs w:val="21"/>
                      <w:highlight w:val="none"/>
                      <w:u w:val="none" w:color="auto"/>
                      <w:lang w:val="en-US" w:eastAsia="zh-CN"/>
                    </w:rPr>
                    <w:t>1F，丁类，钢结构，</w:t>
                  </w:r>
                  <w:r>
                    <w:rPr>
                      <w:rFonts w:hint="eastAsia" w:cs="Times New Roman"/>
                      <w:color w:val="auto"/>
                      <w:sz w:val="21"/>
                      <w:szCs w:val="21"/>
                      <w:highlight w:val="none"/>
                      <w:u w:val="none" w:color="auto"/>
                      <w:lang w:val="en-US" w:eastAsia="zh-CN"/>
                    </w:rPr>
                    <w:t>建</w:t>
                  </w:r>
                  <w:r>
                    <w:rPr>
                      <w:rFonts w:hint="default" w:ascii="Times New Roman" w:hAnsi="Times New Roman" w:eastAsia="宋体" w:cs="Times New Roman"/>
                      <w:color w:val="auto"/>
                      <w:sz w:val="21"/>
                      <w:szCs w:val="21"/>
                      <w:highlight w:val="none"/>
                      <w:u w:val="none" w:color="auto"/>
                    </w:rPr>
                    <w:t>筑占地面积为17945.87 m²，建筑面积为18173.13 m²，女儿墙高度19.00m</w:t>
                  </w:r>
                  <w:r>
                    <w:rPr>
                      <w:rFonts w:hint="default" w:ascii="Times New Roman" w:hAnsi="Times New Roman" w:eastAsia="宋体" w:cs="Times New Roman"/>
                      <w:color w:val="auto"/>
                      <w:sz w:val="21"/>
                      <w:szCs w:val="21"/>
                      <w:highlight w:val="none"/>
                      <w:u w:val="none" w:color="auto"/>
                      <w:lang w:eastAsia="zh-CN"/>
                    </w:rPr>
                    <w:t>。</w:t>
                  </w:r>
                </w:p>
                <w:p w14:paraId="7D08A611">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rPr>
                    <w:t>厂房由西往东为4×30m跨厂房+12m跨辅房，其中A~B跨设16t行车2台，B~E跨每跨均设32t行车2台；南北方向柱距均为9m</w:t>
                  </w:r>
                </w:p>
              </w:tc>
              <w:tc>
                <w:tcPr>
                  <w:tcW w:w="1472" w:type="pct"/>
                  <w:tcBorders>
                    <w:tl2br w:val="nil"/>
                    <w:tr2bl w:val="nil"/>
                  </w:tcBorders>
                  <w:vAlign w:val="center"/>
                </w:tcPr>
                <w:p w14:paraId="1AA34A04">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1F，本次使用厂房空置区域，面积约4076.8m</w:t>
                  </w:r>
                  <w:r>
                    <w:rPr>
                      <w:rFonts w:hint="default" w:ascii="Times New Roman" w:hAnsi="Times New Roman" w:eastAsia="宋体" w:cs="Times New Roman"/>
                      <w:color w:val="auto"/>
                      <w:sz w:val="21"/>
                      <w:szCs w:val="21"/>
                      <w:highlight w:val="none"/>
                      <w:u w:val="none" w:color="auto"/>
                      <w:vertAlign w:val="superscript"/>
                      <w:lang w:val="en-US" w:eastAsia="zh-CN"/>
                    </w:rPr>
                    <w:t>2</w:t>
                  </w:r>
                  <w:r>
                    <w:rPr>
                      <w:rFonts w:hint="default" w:ascii="Times New Roman" w:hAnsi="Times New Roman" w:eastAsia="宋体" w:cs="Times New Roman"/>
                      <w:color w:val="auto"/>
                      <w:sz w:val="21"/>
                      <w:szCs w:val="21"/>
                      <w:highlight w:val="none"/>
                      <w:u w:val="none" w:color="auto"/>
                      <w:lang w:val="en-US" w:eastAsia="zh-CN"/>
                    </w:rPr>
                    <w:t>，新增2条压铸生产线（2台3500吨压铸岛）及</w:t>
                  </w:r>
                  <w:r>
                    <w:rPr>
                      <w:rFonts w:hint="default" w:ascii="Times New Roman" w:hAnsi="Times New Roman" w:eastAsia="宋体" w:cs="Times New Roman"/>
                      <w:i w:val="0"/>
                      <w:iCs w:val="0"/>
                      <w:color w:val="auto"/>
                      <w:sz w:val="21"/>
                      <w:szCs w:val="21"/>
                      <w:highlight w:val="none"/>
                      <w:u w:val="none" w:color="auto"/>
                      <w:lang w:val="en-US" w:eastAsia="zh-CN"/>
                    </w:rPr>
                    <w:t>配电房及物料、产品周转区、</w:t>
                  </w:r>
                  <w:r>
                    <w:rPr>
                      <w:rFonts w:hint="default" w:ascii="Times New Roman" w:hAnsi="Times New Roman" w:eastAsia="宋体" w:cs="Times New Roman"/>
                      <w:color w:val="auto"/>
                      <w:sz w:val="21"/>
                      <w:szCs w:val="21"/>
                      <w:highlight w:val="none"/>
                      <w:u w:val="none" w:color="auto"/>
                      <w:lang w:val="en-US" w:eastAsia="zh-CN"/>
                    </w:rPr>
                    <w:t>修模区等配套设施；</w:t>
                  </w:r>
                </w:p>
                <w:p w14:paraId="24A76FD7">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其余工程内容不变。</w:t>
                  </w:r>
                </w:p>
              </w:tc>
              <w:tc>
                <w:tcPr>
                  <w:tcW w:w="859" w:type="pct"/>
                  <w:tcBorders>
                    <w:tl2br w:val="nil"/>
                    <w:tr2bl w:val="nil"/>
                  </w:tcBorders>
                  <w:vAlign w:val="center"/>
                </w:tcPr>
                <w:p w14:paraId="6F1E04BC">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利用控制区域改建，现有工程内容不变</w:t>
                  </w:r>
                </w:p>
              </w:tc>
            </w:tr>
            <w:tr w14:paraId="2399CAF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02" w:type="pct"/>
                  <w:vMerge w:val="continue"/>
                  <w:tcBorders>
                    <w:tl2br w:val="nil"/>
                    <w:tr2bl w:val="nil"/>
                  </w:tcBorders>
                  <w:vAlign w:val="center"/>
                </w:tcPr>
                <w:p w14:paraId="4355751A">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rPr>
                  </w:pPr>
                </w:p>
              </w:tc>
              <w:tc>
                <w:tcPr>
                  <w:tcW w:w="448" w:type="pct"/>
                  <w:vMerge w:val="restart"/>
                  <w:tcBorders>
                    <w:tl2br w:val="nil"/>
                    <w:tr2bl w:val="nil"/>
                  </w:tcBorders>
                  <w:vAlign w:val="center"/>
                </w:tcPr>
                <w:p w14:paraId="3B1DF09C">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临港高新产业园区</w:t>
                  </w:r>
                </w:p>
              </w:tc>
              <w:tc>
                <w:tcPr>
                  <w:tcW w:w="654" w:type="pct"/>
                  <w:gridSpan w:val="2"/>
                  <w:vMerge w:val="restart"/>
                  <w:tcBorders>
                    <w:tl2br w:val="nil"/>
                    <w:tr2bl w:val="nil"/>
                  </w:tcBorders>
                  <w:vAlign w:val="center"/>
                </w:tcPr>
                <w:p w14:paraId="3FA197E0">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机加车间</w:t>
                  </w:r>
                </w:p>
              </w:tc>
              <w:tc>
                <w:tcPr>
                  <w:tcW w:w="1264" w:type="pct"/>
                  <w:tcBorders>
                    <w:tl2br w:val="nil"/>
                    <w:tr2bl w:val="nil"/>
                  </w:tcBorders>
                  <w:shd w:val="clear" w:color="auto" w:fill="auto"/>
                  <w:vAlign w:val="center"/>
                </w:tcPr>
                <w:p w14:paraId="544F943A">
                  <w:pPr>
                    <w:keepNext w:val="0"/>
                    <w:keepLines w:val="0"/>
                    <w:pageBreakBefore w:val="0"/>
                    <w:kinsoku/>
                    <w:wordWrap/>
                    <w:overflowPunct/>
                    <w:topLinePunct w:val="0"/>
                    <w:autoSpaceDE/>
                    <w:autoSpaceDN/>
                    <w:bidi w:val="0"/>
                    <w:adjustRightInd/>
                    <w:snapToGrid/>
                    <w:spacing w:line="240" w:lineRule="auto"/>
                    <w:ind w:right="0" w:rightChars="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lang w:val="en-US" w:eastAsia="zh-CN"/>
                    </w:rPr>
                    <w:t>15#栋、21#栋、22#栋各栋参数一致：1栋，1F（局部两层），建筑面积</w:t>
                  </w:r>
                  <w:r>
                    <w:rPr>
                      <w:rFonts w:hint="default" w:ascii="Times New Roman" w:hAnsi="Times New Roman" w:eastAsia="宋体" w:cs="Times New Roman"/>
                      <w:color w:val="auto"/>
                      <w:sz w:val="21"/>
                      <w:szCs w:val="21"/>
                      <w:highlight w:val="none"/>
                      <w:u w:val="none" w:color="auto"/>
                    </w:rPr>
                    <w:t>2896.18</w:t>
                  </w:r>
                  <w:r>
                    <w:rPr>
                      <w:rFonts w:hint="default" w:ascii="Times New Roman" w:hAnsi="Times New Roman" w:eastAsia="宋体" w:cs="Times New Roman"/>
                      <w:color w:val="auto"/>
                      <w:sz w:val="21"/>
                      <w:szCs w:val="21"/>
                      <w:highlight w:val="none"/>
                      <w:u w:val="none" w:color="auto"/>
                      <w:lang w:val="en-US" w:eastAsia="zh-CN"/>
                    </w:rPr>
                    <w:t>m</w:t>
                  </w:r>
                  <w:r>
                    <w:rPr>
                      <w:rFonts w:hint="default" w:ascii="Times New Roman" w:hAnsi="Times New Roman" w:eastAsia="宋体" w:cs="Times New Roman"/>
                      <w:color w:val="auto"/>
                      <w:sz w:val="21"/>
                      <w:szCs w:val="21"/>
                      <w:highlight w:val="none"/>
                      <w:u w:val="none" w:color="auto"/>
                      <w:vertAlign w:val="superscript"/>
                      <w:lang w:val="en-US" w:eastAsia="zh-CN"/>
                    </w:rPr>
                    <w:t>2</w:t>
                  </w:r>
                  <w:r>
                    <w:rPr>
                      <w:rFonts w:hint="default" w:ascii="Times New Roman" w:hAnsi="Times New Roman" w:eastAsia="宋体" w:cs="Times New Roman"/>
                      <w:color w:val="auto"/>
                      <w:sz w:val="21"/>
                      <w:szCs w:val="21"/>
                      <w:highlight w:val="none"/>
                      <w:u w:val="none" w:color="auto"/>
                      <w:lang w:val="en-US" w:eastAsia="zh-CN"/>
                    </w:rPr>
                    <w:t>，建筑高度10.35m，丙类标准厂房</w:t>
                  </w:r>
                </w:p>
              </w:tc>
              <w:tc>
                <w:tcPr>
                  <w:tcW w:w="1472" w:type="pct"/>
                  <w:tcBorders>
                    <w:tl2br w:val="nil"/>
                    <w:tr2bl w:val="nil"/>
                  </w:tcBorders>
                  <w:shd w:val="clear" w:color="auto" w:fill="auto"/>
                  <w:vAlign w:val="center"/>
                </w:tcPr>
                <w:p w14:paraId="56431E40">
                  <w:pPr>
                    <w:keepNext w:val="0"/>
                    <w:keepLines w:val="0"/>
                    <w:pageBreakBefore w:val="0"/>
                    <w:kinsoku/>
                    <w:wordWrap/>
                    <w:overflowPunct/>
                    <w:topLinePunct w:val="0"/>
                    <w:autoSpaceDE/>
                    <w:autoSpaceDN/>
                    <w:bidi w:val="0"/>
                    <w:adjustRightInd/>
                    <w:snapToGrid/>
                    <w:spacing w:line="240" w:lineRule="auto"/>
                    <w:ind w:right="0" w:rightChars="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lang w:val="en-US" w:eastAsia="zh-CN"/>
                    </w:rPr>
                    <w:t>15#栋、21#栋、22#栋各栋参数一致，仅设置功能不一致：1栋，1F（局部两层），建筑面积</w:t>
                  </w:r>
                  <w:r>
                    <w:rPr>
                      <w:rFonts w:hint="default" w:ascii="Times New Roman" w:hAnsi="Times New Roman" w:eastAsia="宋体" w:cs="Times New Roman"/>
                      <w:color w:val="auto"/>
                      <w:sz w:val="21"/>
                      <w:szCs w:val="21"/>
                      <w:highlight w:val="none"/>
                      <w:u w:val="none" w:color="auto"/>
                    </w:rPr>
                    <w:t>2896.18</w:t>
                  </w:r>
                  <w:r>
                    <w:rPr>
                      <w:rFonts w:hint="default" w:ascii="Times New Roman" w:hAnsi="Times New Roman" w:eastAsia="宋体" w:cs="Times New Roman"/>
                      <w:color w:val="auto"/>
                      <w:sz w:val="21"/>
                      <w:szCs w:val="21"/>
                      <w:highlight w:val="none"/>
                      <w:u w:val="none" w:color="auto"/>
                      <w:lang w:val="en-US" w:eastAsia="zh-CN"/>
                    </w:rPr>
                    <w:t>m</w:t>
                  </w:r>
                  <w:r>
                    <w:rPr>
                      <w:rFonts w:hint="default" w:ascii="Times New Roman" w:hAnsi="Times New Roman" w:eastAsia="宋体" w:cs="Times New Roman"/>
                      <w:color w:val="auto"/>
                      <w:sz w:val="21"/>
                      <w:szCs w:val="21"/>
                      <w:highlight w:val="none"/>
                      <w:u w:val="none" w:color="auto"/>
                      <w:vertAlign w:val="superscript"/>
                      <w:lang w:val="en-US" w:eastAsia="zh-CN"/>
                    </w:rPr>
                    <w:t>2</w:t>
                  </w:r>
                  <w:r>
                    <w:rPr>
                      <w:rFonts w:hint="default" w:ascii="Times New Roman" w:hAnsi="Times New Roman" w:eastAsia="宋体" w:cs="Times New Roman"/>
                      <w:color w:val="auto"/>
                      <w:sz w:val="21"/>
                      <w:szCs w:val="21"/>
                      <w:highlight w:val="none"/>
                      <w:u w:val="none" w:color="auto"/>
                      <w:lang w:val="en-US" w:eastAsia="zh-CN"/>
                    </w:rPr>
                    <w:t>，建筑高度10.35m，丙类标准厂房（现状空置）</w:t>
                  </w:r>
                </w:p>
              </w:tc>
              <w:tc>
                <w:tcPr>
                  <w:tcW w:w="859" w:type="pct"/>
                  <w:vMerge w:val="restart"/>
                  <w:tcBorders>
                    <w:tl2br w:val="nil"/>
                    <w:tr2bl w:val="nil"/>
                  </w:tcBorders>
                  <w:vAlign w:val="center"/>
                </w:tcPr>
                <w:p w14:paraId="77AA073B">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租赁临港高新产业园15#、21#、22#栋空置标准厂房新建相关生产线</w:t>
                  </w:r>
                </w:p>
              </w:tc>
            </w:tr>
            <w:tr w14:paraId="69B1B14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02" w:type="pct"/>
                  <w:vMerge w:val="continue"/>
                  <w:tcBorders>
                    <w:tl2br w:val="nil"/>
                    <w:tr2bl w:val="nil"/>
                  </w:tcBorders>
                  <w:vAlign w:val="center"/>
                </w:tcPr>
                <w:p w14:paraId="0CF4733F">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rPr>
                  </w:pPr>
                </w:p>
              </w:tc>
              <w:tc>
                <w:tcPr>
                  <w:tcW w:w="448" w:type="pct"/>
                  <w:vMerge w:val="continue"/>
                  <w:tcBorders>
                    <w:tl2br w:val="nil"/>
                    <w:tr2bl w:val="nil"/>
                  </w:tcBorders>
                  <w:vAlign w:val="center"/>
                </w:tcPr>
                <w:p w14:paraId="223FE284">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p>
              </w:tc>
              <w:tc>
                <w:tcPr>
                  <w:tcW w:w="654" w:type="pct"/>
                  <w:gridSpan w:val="2"/>
                  <w:vMerge w:val="continue"/>
                  <w:tcBorders>
                    <w:tl2br w:val="nil"/>
                    <w:tr2bl w:val="nil"/>
                  </w:tcBorders>
                  <w:vAlign w:val="center"/>
                </w:tcPr>
                <w:p w14:paraId="09BE520C">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p>
              </w:tc>
              <w:tc>
                <w:tcPr>
                  <w:tcW w:w="1264" w:type="pct"/>
                  <w:tcBorders>
                    <w:tl2br w:val="nil"/>
                    <w:tr2bl w:val="nil"/>
                  </w:tcBorders>
                  <w:shd w:val="clear" w:color="auto" w:fill="auto"/>
                  <w:vAlign w:val="center"/>
                </w:tcPr>
                <w:p w14:paraId="26E6E9F9">
                  <w:pPr>
                    <w:keepNext w:val="0"/>
                    <w:keepLines w:val="0"/>
                    <w:pageBreakBefore w:val="0"/>
                    <w:kinsoku/>
                    <w:wordWrap/>
                    <w:overflowPunct/>
                    <w:topLinePunct w:val="0"/>
                    <w:autoSpaceDE/>
                    <w:autoSpaceDN/>
                    <w:bidi w:val="0"/>
                    <w:adjustRightInd/>
                    <w:snapToGrid/>
                    <w:spacing w:line="240" w:lineRule="auto"/>
                    <w:ind w:right="0" w:rightChars="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lang w:val="en-US" w:eastAsia="zh-CN"/>
                    </w:rPr>
                    <w:t>15#栋：厂房空置</w:t>
                  </w:r>
                </w:p>
              </w:tc>
              <w:tc>
                <w:tcPr>
                  <w:tcW w:w="1472" w:type="pct"/>
                  <w:tcBorders>
                    <w:tl2br w:val="nil"/>
                    <w:tr2bl w:val="nil"/>
                  </w:tcBorders>
                  <w:shd w:val="clear" w:color="auto" w:fill="auto"/>
                  <w:vAlign w:val="center"/>
                </w:tcPr>
                <w:p w14:paraId="27C6F29D">
                  <w:pPr>
                    <w:keepNext w:val="0"/>
                    <w:keepLines w:val="0"/>
                    <w:pageBreakBefore w:val="0"/>
                    <w:kinsoku/>
                    <w:wordWrap/>
                    <w:overflowPunct/>
                    <w:topLinePunct w:val="0"/>
                    <w:autoSpaceDE/>
                    <w:autoSpaceDN/>
                    <w:bidi w:val="0"/>
                    <w:adjustRightInd/>
                    <w:snapToGrid/>
                    <w:spacing w:line="240" w:lineRule="auto"/>
                    <w:ind w:right="0" w:rightChars="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lang w:val="en-US" w:eastAsia="zh-CN"/>
                    </w:rPr>
                    <w:t>15#栋：设置1条机加生产线，主要加工生产</w:t>
                  </w:r>
                </w:p>
              </w:tc>
              <w:tc>
                <w:tcPr>
                  <w:tcW w:w="859" w:type="pct"/>
                  <w:vMerge w:val="continue"/>
                  <w:tcBorders>
                    <w:tl2br w:val="nil"/>
                    <w:tr2bl w:val="nil"/>
                  </w:tcBorders>
                  <w:vAlign w:val="center"/>
                </w:tcPr>
                <w:p w14:paraId="27BAC105">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p>
              </w:tc>
            </w:tr>
            <w:tr w14:paraId="2B91205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02" w:type="pct"/>
                  <w:vMerge w:val="continue"/>
                  <w:tcBorders>
                    <w:tl2br w:val="nil"/>
                    <w:tr2bl w:val="nil"/>
                  </w:tcBorders>
                  <w:vAlign w:val="center"/>
                </w:tcPr>
                <w:p w14:paraId="492EDED8">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rPr>
                  </w:pPr>
                </w:p>
              </w:tc>
              <w:tc>
                <w:tcPr>
                  <w:tcW w:w="448" w:type="pct"/>
                  <w:vMerge w:val="continue"/>
                  <w:tcBorders>
                    <w:tl2br w:val="nil"/>
                    <w:tr2bl w:val="nil"/>
                  </w:tcBorders>
                  <w:vAlign w:val="center"/>
                </w:tcPr>
                <w:p w14:paraId="04057D9C">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p>
              </w:tc>
              <w:tc>
                <w:tcPr>
                  <w:tcW w:w="654" w:type="pct"/>
                  <w:gridSpan w:val="2"/>
                  <w:vMerge w:val="continue"/>
                  <w:tcBorders>
                    <w:tl2br w:val="nil"/>
                    <w:tr2bl w:val="nil"/>
                  </w:tcBorders>
                  <w:vAlign w:val="center"/>
                </w:tcPr>
                <w:p w14:paraId="6F529BBA">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p>
              </w:tc>
              <w:tc>
                <w:tcPr>
                  <w:tcW w:w="1264" w:type="pct"/>
                  <w:tcBorders>
                    <w:tl2br w:val="nil"/>
                    <w:tr2bl w:val="nil"/>
                  </w:tcBorders>
                  <w:shd w:val="clear" w:color="auto" w:fill="auto"/>
                  <w:vAlign w:val="center"/>
                </w:tcPr>
                <w:p w14:paraId="72B2154A">
                  <w:pPr>
                    <w:keepNext w:val="0"/>
                    <w:keepLines w:val="0"/>
                    <w:pageBreakBefore w:val="0"/>
                    <w:kinsoku/>
                    <w:wordWrap/>
                    <w:overflowPunct/>
                    <w:topLinePunct w:val="0"/>
                    <w:autoSpaceDE/>
                    <w:autoSpaceDN/>
                    <w:bidi w:val="0"/>
                    <w:adjustRightInd/>
                    <w:snapToGrid/>
                    <w:spacing w:line="240" w:lineRule="auto"/>
                    <w:ind w:right="0" w:rightChars="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lang w:val="en-US" w:eastAsia="zh-CN"/>
                    </w:rPr>
                    <w:t>21#栋：厂房空置</w:t>
                  </w:r>
                </w:p>
              </w:tc>
              <w:tc>
                <w:tcPr>
                  <w:tcW w:w="1472" w:type="pct"/>
                  <w:tcBorders>
                    <w:tl2br w:val="nil"/>
                    <w:tr2bl w:val="nil"/>
                  </w:tcBorders>
                  <w:shd w:val="clear" w:color="auto" w:fill="auto"/>
                  <w:vAlign w:val="center"/>
                </w:tcPr>
                <w:p w14:paraId="731D2704">
                  <w:pPr>
                    <w:keepNext w:val="0"/>
                    <w:keepLines w:val="0"/>
                    <w:pageBreakBefore w:val="0"/>
                    <w:kinsoku/>
                    <w:wordWrap/>
                    <w:overflowPunct/>
                    <w:topLinePunct w:val="0"/>
                    <w:autoSpaceDE/>
                    <w:autoSpaceDN/>
                    <w:bidi w:val="0"/>
                    <w:adjustRightInd/>
                    <w:snapToGrid/>
                    <w:spacing w:line="240" w:lineRule="auto"/>
                    <w:ind w:right="0" w:rightChars="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lang w:val="en-US" w:eastAsia="zh-CN"/>
                    </w:rPr>
                    <w:t>21#栋：设置1条机加生产线，主要加工生产，配备1套</w:t>
                  </w:r>
                  <w:r>
                    <w:rPr>
                      <w:rFonts w:hint="default" w:ascii="Times New Roman" w:hAnsi="Times New Roman" w:eastAsia="宋体" w:cs="Times New Roman"/>
                      <w:color w:val="auto"/>
                      <w:kern w:val="0"/>
                      <w:sz w:val="21"/>
                      <w:szCs w:val="21"/>
                      <w:highlight w:val="none"/>
                      <w:u w:val="none" w:color="auto"/>
                      <w:lang w:val="en-US" w:eastAsia="zh-CN" w:bidi="ar"/>
                    </w:rPr>
                    <w:t>浸渗设备</w:t>
                  </w:r>
                </w:p>
              </w:tc>
              <w:tc>
                <w:tcPr>
                  <w:tcW w:w="859" w:type="pct"/>
                  <w:vMerge w:val="continue"/>
                  <w:tcBorders>
                    <w:tl2br w:val="nil"/>
                    <w:tr2bl w:val="nil"/>
                  </w:tcBorders>
                  <w:vAlign w:val="center"/>
                </w:tcPr>
                <w:p w14:paraId="628CC9C7">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p>
              </w:tc>
            </w:tr>
            <w:tr w14:paraId="101BDE5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02" w:type="pct"/>
                  <w:vMerge w:val="continue"/>
                  <w:tcBorders>
                    <w:tl2br w:val="nil"/>
                    <w:tr2bl w:val="nil"/>
                  </w:tcBorders>
                  <w:vAlign w:val="center"/>
                </w:tcPr>
                <w:p w14:paraId="389882DD">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rPr>
                  </w:pPr>
                </w:p>
              </w:tc>
              <w:tc>
                <w:tcPr>
                  <w:tcW w:w="448" w:type="pct"/>
                  <w:vMerge w:val="continue"/>
                  <w:tcBorders>
                    <w:tl2br w:val="nil"/>
                    <w:tr2bl w:val="nil"/>
                  </w:tcBorders>
                  <w:vAlign w:val="center"/>
                </w:tcPr>
                <w:p w14:paraId="57A2A6DA">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rPr>
                  </w:pPr>
                </w:p>
              </w:tc>
              <w:tc>
                <w:tcPr>
                  <w:tcW w:w="654" w:type="pct"/>
                  <w:gridSpan w:val="2"/>
                  <w:vMerge w:val="continue"/>
                  <w:tcBorders>
                    <w:tl2br w:val="nil"/>
                    <w:tr2bl w:val="nil"/>
                  </w:tcBorders>
                  <w:vAlign w:val="center"/>
                </w:tcPr>
                <w:p w14:paraId="5C13D2B8">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rPr>
                  </w:pPr>
                </w:p>
              </w:tc>
              <w:tc>
                <w:tcPr>
                  <w:tcW w:w="1264" w:type="pct"/>
                  <w:tcBorders>
                    <w:tl2br w:val="nil"/>
                    <w:tr2bl w:val="nil"/>
                  </w:tcBorders>
                  <w:shd w:val="clear" w:color="auto" w:fill="auto"/>
                  <w:vAlign w:val="center"/>
                </w:tcPr>
                <w:p w14:paraId="55F8E8F9">
                  <w:pPr>
                    <w:keepNext w:val="0"/>
                    <w:keepLines w:val="0"/>
                    <w:pageBreakBefore w:val="0"/>
                    <w:kinsoku/>
                    <w:wordWrap/>
                    <w:overflowPunct/>
                    <w:topLinePunct w:val="0"/>
                    <w:autoSpaceDE/>
                    <w:autoSpaceDN/>
                    <w:bidi w:val="0"/>
                    <w:adjustRightInd/>
                    <w:snapToGrid/>
                    <w:spacing w:line="240" w:lineRule="auto"/>
                    <w:ind w:right="0" w:rightChars="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lang w:val="en-US" w:eastAsia="zh-CN"/>
                    </w:rPr>
                    <w:t>22#栋：厂房空置</w:t>
                  </w:r>
                </w:p>
              </w:tc>
              <w:tc>
                <w:tcPr>
                  <w:tcW w:w="1472" w:type="pct"/>
                  <w:tcBorders>
                    <w:tl2br w:val="nil"/>
                    <w:tr2bl w:val="nil"/>
                  </w:tcBorders>
                  <w:shd w:val="clear" w:color="auto" w:fill="auto"/>
                  <w:vAlign w:val="center"/>
                </w:tcPr>
                <w:p w14:paraId="61E58FF2">
                  <w:pPr>
                    <w:keepNext w:val="0"/>
                    <w:keepLines w:val="0"/>
                    <w:pageBreakBefore w:val="0"/>
                    <w:kinsoku/>
                    <w:wordWrap/>
                    <w:overflowPunct/>
                    <w:topLinePunct w:val="0"/>
                    <w:autoSpaceDE/>
                    <w:autoSpaceDN/>
                    <w:bidi w:val="0"/>
                    <w:adjustRightInd/>
                    <w:snapToGrid/>
                    <w:spacing w:line="240" w:lineRule="auto"/>
                    <w:ind w:right="0" w:rightChars="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lang w:val="en-US" w:eastAsia="zh-CN"/>
                    </w:rPr>
                    <w:t>22#栋：设置1条机加生产线，主要加工生产</w:t>
                  </w:r>
                </w:p>
              </w:tc>
              <w:tc>
                <w:tcPr>
                  <w:tcW w:w="859" w:type="pct"/>
                  <w:vMerge w:val="continue"/>
                  <w:tcBorders>
                    <w:tl2br w:val="nil"/>
                    <w:tr2bl w:val="nil"/>
                  </w:tcBorders>
                  <w:vAlign w:val="center"/>
                </w:tcPr>
                <w:p w14:paraId="154001C0">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p>
              </w:tc>
            </w:tr>
            <w:tr w14:paraId="6E168D4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02" w:type="pct"/>
                  <w:vMerge w:val="restart"/>
                  <w:tcBorders>
                    <w:tl2br w:val="nil"/>
                    <w:tr2bl w:val="nil"/>
                  </w:tcBorders>
                  <w:vAlign w:val="center"/>
                </w:tcPr>
                <w:p w14:paraId="21B278BF">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辅助工程</w:t>
                  </w:r>
                </w:p>
              </w:tc>
              <w:tc>
                <w:tcPr>
                  <w:tcW w:w="448" w:type="pct"/>
                  <w:vMerge w:val="restart"/>
                  <w:tcBorders>
                    <w:tl2br w:val="nil"/>
                    <w:tr2bl w:val="nil"/>
                  </w:tcBorders>
                  <w:vAlign w:val="center"/>
                </w:tcPr>
                <w:p w14:paraId="7A6E1C97">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生产辅助间</w:t>
                  </w:r>
                </w:p>
              </w:tc>
              <w:tc>
                <w:tcPr>
                  <w:tcW w:w="654" w:type="pct"/>
                  <w:gridSpan w:val="2"/>
                  <w:vMerge w:val="restart"/>
                  <w:tcBorders>
                    <w:tl2br w:val="nil"/>
                    <w:tr2bl w:val="nil"/>
                  </w:tcBorders>
                  <w:vAlign w:val="center"/>
                </w:tcPr>
                <w:p w14:paraId="4A4F0B99">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中创空天厂区</w:t>
                  </w:r>
                </w:p>
              </w:tc>
              <w:tc>
                <w:tcPr>
                  <w:tcW w:w="1264" w:type="pct"/>
                  <w:tcBorders>
                    <w:tl2br w:val="nil"/>
                    <w:tr2bl w:val="nil"/>
                  </w:tcBorders>
                  <w:vAlign w:val="center"/>
                </w:tcPr>
                <w:p w14:paraId="094A651C">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w:t>
                  </w:r>
                </w:p>
              </w:tc>
              <w:tc>
                <w:tcPr>
                  <w:tcW w:w="1472" w:type="pct"/>
                  <w:tcBorders>
                    <w:tl2br w:val="nil"/>
                    <w:tr2bl w:val="nil"/>
                  </w:tcBorders>
                  <w:vAlign w:val="center"/>
                </w:tcPr>
                <w:p w14:paraId="228715EB">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铝水熔化辅助间设置于熔铸二厂外东南角，内设变配电房、制氮站等</w:t>
                  </w:r>
                </w:p>
              </w:tc>
              <w:tc>
                <w:tcPr>
                  <w:tcW w:w="859" w:type="pct"/>
                  <w:tcBorders>
                    <w:tl2br w:val="nil"/>
                    <w:tr2bl w:val="nil"/>
                  </w:tcBorders>
                  <w:vAlign w:val="center"/>
                </w:tcPr>
                <w:p w14:paraId="4A6126BB">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新建</w:t>
                  </w:r>
                </w:p>
              </w:tc>
            </w:tr>
            <w:tr w14:paraId="27AB9EF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02" w:type="pct"/>
                  <w:vMerge w:val="continue"/>
                  <w:tcBorders>
                    <w:tl2br w:val="nil"/>
                    <w:tr2bl w:val="nil"/>
                  </w:tcBorders>
                  <w:vAlign w:val="center"/>
                </w:tcPr>
                <w:p w14:paraId="36725AC7">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p>
              </w:tc>
              <w:tc>
                <w:tcPr>
                  <w:tcW w:w="448" w:type="pct"/>
                  <w:vMerge w:val="continue"/>
                  <w:tcBorders>
                    <w:tl2br w:val="nil"/>
                    <w:tr2bl w:val="nil"/>
                  </w:tcBorders>
                  <w:vAlign w:val="center"/>
                </w:tcPr>
                <w:p w14:paraId="3E0E5B50">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p>
              </w:tc>
              <w:tc>
                <w:tcPr>
                  <w:tcW w:w="654" w:type="pct"/>
                  <w:gridSpan w:val="2"/>
                  <w:vMerge w:val="continue"/>
                  <w:tcBorders>
                    <w:tl2br w:val="nil"/>
                    <w:tr2bl w:val="nil"/>
                  </w:tcBorders>
                  <w:vAlign w:val="center"/>
                </w:tcPr>
                <w:p w14:paraId="2DC346A9">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p>
              </w:tc>
              <w:tc>
                <w:tcPr>
                  <w:tcW w:w="1264" w:type="pct"/>
                  <w:tcBorders>
                    <w:tl2br w:val="nil"/>
                    <w:tr2bl w:val="nil"/>
                  </w:tcBorders>
                  <w:vAlign w:val="center"/>
                </w:tcPr>
                <w:p w14:paraId="5B12D2D8">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办公楼、食堂、会议室、宿舍楼等</w:t>
                  </w:r>
                </w:p>
              </w:tc>
              <w:tc>
                <w:tcPr>
                  <w:tcW w:w="1472" w:type="pct"/>
                  <w:tcBorders>
                    <w:tl2br w:val="nil"/>
                    <w:tr2bl w:val="nil"/>
                  </w:tcBorders>
                  <w:shd w:val="clear" w:color="auto" w:fill="auto"/>
                  <w:vAlign w:val="center"/>
                </w:tcPr>
                <w:p w14:paraId="3A20001A">
                  <w:pPr>
                    <w:keepNext w:val="0"/>
                    <w:keepLines w:val="0"/>
                    <w:pageBreakBefore w:val="0"/>
                    <w:kinsoku/>
                    <w:wordWrap/>
                    <w:overflowPunct/>
                    <w:topLinePunct w:val="0"/>
                    <w:autoSpaceDE/>
                    <w:autoSpaceDN/>
                    <w:bidi w:val="0"/>
                    <w:adjustRightInd/>
                    <w:snapToGrid/>
                    <w:spacing w:line="240" w:lineRule="auto"/>
                    <w:ind w:right="0" w:rightChars="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lang w:val="en-US" w:eastAsia="zh-CN"/>
                    </w:rPr>
                    <w:t>办公楼、食堂、会议室、宿舍楼等</w:t>
                  </w:r>
                </w:p>
              </w:tc>
              <w:tc>
                <w:tcPr>
                  <w:tcW w:w="859" w:type="pct"/>
                  <w:tcBorders>
                    <w:tl2br w:val="nil"/>
                    <w:tr2bl w:val="nil"/>
                  </w:tcBorders>
                  <w:vAlign w:val="center"/>
                </w:tcPr>
                <w:p w14:paraId="4C54DD97">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依托现有</w:t>
                  </w:r>
                </w:p>
              </w:tc>
            </w:tr>
            <w:tr w14:paraId="3AC2894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02" w:type="pct"/>
                  <w:vMerge w:val="continue"/>
                  <w:tcBorders>
                    <w:tl2br w:val="nil"/>
                    <w:tr2bl w:val="nil"/>
                  </w:tcBorders>
                  <w:vAlign w:val="center"/>
                </w:tcPr>
                <w:p w14:paraId="75B2080B">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p>
              </w:tc>
              <w:tc>
                <w:tcPr>
                  <w:tcW w:w="448" w:type="pct"/>
                  <w:vMerge w:val="continue"/>
                  <w:tcBorders>
                    <w:tl2br w:val="nil"/>
                    <w:tr2bl w:val="nil"/>
                  </w:tcBorders>
                  <w:vAlign w:val="center"/>
                </w:tcPr>
                <w:p w14:paraId="1E919112">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p>
              </w:tc>
              <w:tc>
                <w:tcPr>
                  <w:tcW w:w="654" w:type="pct"/>
                  <w:gridSpan w:val="2"/>
                  <w:tcBorders>
                    <w:tl2br w:val="nil"/>
                    <w:tr2bl w:val="nil"/>
                  </w:tcBorders>
                  <w:vAlign w:val="center"/>
                </w:tcPr>
                <w:p w14:paraId="33DD696F">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临港高新产业园区</w:t>
                  </w:r>
                </w:p>
              </w:tc>
              <w:tc>
                <w:tcPr>
                  <w:tcW w:w="1264" w:type="pct"/>
                  <w:tcBorders>
                    <w:tl2br w:val="nil"/>
                    <w:tr2bl w:val="nil"/>
                  </w:tcBorders>
                  <w:vAlign w:val="center"/>
                </w:tcPr>
                <w:p w14:paraId="2912BBCD">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15#栋、21#栋、22#栋均西侧有空置二层生产辅助间</w:t>
                  </w:r>
                </w:p>
              </w:tc>
              <w:tc>
                <w:tcPr>
                  <w:tcW w:w="1472" w:type="pct"/>
                  <w:tcBorders>
                    <w:tl2br w:val="nil"/>
                    <w:tr2bl w:val="nil"/>
                  </w:tcBorders>
                  <w:vAlign w:val="center"/>
                </w:tcPr>
                <w:p w14:paraId="3DE96E07">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15#栋、21#栋、22#栋厂房西侧两层生产辅助用房：一层布置变配电房、卫生间，二层布置生产辅助用房</w:t>
                  </w:r>
                </w:p>
              </w:tc>
              <w:tc>
                <w:tcPr>
                  <w:tcW w:w="859" w:type="pct"/>
                  <w:tcBorders>
                    <w:tl2br w:val="nil"/>
                    <w:tr2bl w:val="nil"/>
                  </w:tcBorders>
                  <w:vAlign w:val="center"/>
                </w:tcPr>
                <w:p w14:paraId="12450A59">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新建</w:t>
                  </w:r>
                </w:p>
              </w:tc>
            </w:tr>
            <w:tr w14:paraId="5144C51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02" w:type="pct"/>
                  <w:vMerge w:val="restart"/>
                  <w:tcBorders>
                    <w:tl2br w:val="nil"/>
                    <w:tr2bl w:val="nil"/>
                  </w:tcBorders>
                  <w:vAlign w:val="center"/>
                </w:tcPr>
                <w:p w14:paraId="59C8DBD5">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储运工程</w:t>
                  </w:r>
                </w:p>
              </w:tc>
              <w:tc>
                <w:tcPr>
                  <w:tcW w:w="448" w:type="pct"/>
                  <w:vMerge w:val="restart"/>
                  <w:tcBorders>
                    <w:tl2br w:val="nil"/>
                    <w:tr2bl w:val="nil"/>
                  </w:tcBorders>
                  <w:vAlign w:val="center"/>
                </w:tcPr>
                <w:p w14:paraId="6B3F98C2">
                  <w:pPr>
                    <w:keepNext w:val="0"/>
                    <w:keepLines w:val="0"/>
                    <w:pageBreakBefore w:val="0"/>
                    <w:kinsoku/>
                    <w:wordWrap/>
                    <w:overflowPunct/>
                    <w:topLinePunct w:val="0"/>
                    <w:autoSpaceDE/>
                    <w:autoSpaceDN/>
                    <w:bidi w:val="0"/>
                    <w:adjustRightInd/>
                    <w:snapToGrid/>
                    <w:spacing w:line="240" w:lineRule="auto"/>
                    <w:ind w:right="0" w:rightChars="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中创空天厂区</w:t>
                  </w:r>
                </w:p>
              </w:tc>
              <w:tc>
                <w:tcPr>
                  <w:tcW w:w="654" w:type="pct"/>
                  <w:gridSpan w:val="2"/>
                  <w:tcBorders>
                    <w:tl2br w:val="nil"/>
                    <w:tr2bl w:val="nil"/>
                  </w:tcBorders>
                  <w:vAlign w:val="center"/>
                </w:tcPr>
                <w:p w14:paraId="79B096FA">
                  <w:pPr>
                    <w:keepNext w:val="0"/>
                    <w:keepLines w:val="0"/>
                    <w:pageBreakBefore w:val="0"/>
                    <w:kinsoku/>
                    <w:wordWrap/>
                    <w:overflowPunct/>
                    <w:topLinePunct w:val="0"/>
                    <w:autoSpaceDE/>
                    <w:autoSpaceDN/>
                    <w:bidi w:val="0"/>
                    <w:adjustRightInd/>
                    <w:snapToGrid/>
                    <w:spacing w:line="240" w:lineRule="auto"/>
                    <w:ind w:right="0" w:rightChars="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原料库</w:t>
                  </w:r>
                </w:p>
              </w:tc>
              <w:tc>
                <w:tcPr>
                  <w:tcW w:w="1264" w:type="pct"/>
                  <w:tcBorders>
                    <w:tl2br w:val="nil"/>
                    <w:tr2bl w:val="nil"/>
                  </w:tcBorders>
                  <w:vAlign w:val="center"/>
                </w:tcPr>
                <w:p w14:paraId="7938A1B7">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1F，总建筑面积17476.3m</w:t>
                  </w:r>
                  <w:r>
                    <w:rPr>
                      <w:rFonts w:hint="default" w:ascii="Times New Roman" w:hAnsi="Times New Roman" w:eastAsia="宋体" w:cs="Times New Roman"/>
                      <w:color w:val="auto"/>
                      <w:sz w:val="21"/>
                      <w:szCs w:val="21"/>
                      <w:highlight w:val="none"/>
                      <w:u w:val="none" w:color="auto"/>
                      <w:vertAlign w:val="superscript"/>
                      <w:lang w:val="en-US" w:eastAsia="zh-CN"/>
                    </w:rPr>
                    <w:t>2</w:t>
                  </w:r>
                  <w:r>
                    <w:rPr>
                      <w:rFonts w:hint="default" w:ascii="Times New Roman" w:hAnsi="Times New Roman" w:eastAsia="宋体" w:cs="Times New Roman"/>
                      <w:color w:val="auto"/>
                      <w:sz w:val="21"/>
                      <w:szCs w:val="21"/>
                      <w:highlight w:val="none"/>
                      <w:u w:val="none" w:color="auto"/>
                      <w:lang w:val="en-US" w:eastAsia="zh-CN"/>
                    </w:rPr>
                    <w:t>，建筑（女儿墙）高8.55m，戊类，钢结构，内设混凝土框架结构辅助用房</w:t>
                  </w:r>
                </w:p>
              </w:tc>
              <w:tc>
                <w:tcPr>
                  <w:tcW w:w="1472" w:type="pct"/>
                  <w:tcBorders>
                    <w:tl2br w:val="nil"/>
                    <w:tr2bl w:val="nil"/>
                  </w:tcBorders>
                  <w:vAlign w:val="center"/>
                </w:tcPr>
                <w:p w14:paraId="48A00352">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1F，总建筑面积8738.15m</w:t>
                  </w:r>
                  <w:r>
                    <w:rPr>
                      <w:rFonts w:hint="default" w:ascii="Times New Roman" w:hAnsi="Times New Roman" w:eastAsia="宋体" w:cs="Times New Roman"/>
                      <w:color w:val="auto"/>
                      <w:sz w:val="21"/>
                      <w:szCs w:val="21"/>
                      <w:highlight w:val="none"/>
                      <w:u w:val="none" w:color="auto"/>
                      <w:vertAlign w:val="superscript"/>
                      <w:lang w:val="en-US" w:eastAsia="zh-CN"/>
                    </w:rPr>
                    <w:t>2</w:t>
                  </w:r>
                  <w:r>
                    <w:rPr>
                      <w:rFonts w:hint="default" w:ascii="Times New Roman" w:hAnsi="Times New Roman" w:eastAsia="宋体" w:cs="Times New Roman"/>
                      <w:color w:val="auto"/>
                      <w:sz w:val="21"/>
                      <w:szCs w:val="21"/>
                      <w:highlight w:val="none"/>
                      <w:u w:val="none" w:color="auto"/>
                      <w:lang w:val="en-US" w:eastAsia="zh-CN"/>
                    </w:rPr>
                    <w:t>，建筑（女儿墙）高8.55m；在建筑中部新增一堵到顶隔墙，隔墙西侧为原料库，隔墙东侧布置1条铝水熔化生产线及配套设施</w:t>
                  </w:r>
                </w:p>
              </w:tc>
              <w:tc>
                <w:tcPr>
                  <w:tcW w:w="859" w:type="pct"/>
                  <w:tcBorders>
                    <w:tl2br w:val="nil"/>
                    <w:tr2bl w:val="nil"/>
                  </w:tcBorders>
                  <w:vAlign w:val="center"/>
                </w:tcPr>
                <w:p w14:paraId="715F9078">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改建；一半区域改建为熔铸二厂</w:t>
                  </w:r>
                </w:p>
              </w:tc>
            </w:tr>
            <w:tr w14:paraId="57EFD80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02" w:type="pct"/>
                  <w:vMerge w:val="continue"/>
                  <w:tcBorders>
                    <w:tl2br w:val="nil"/>
                    <w:tr2bl w:val="nil"/>
                  </w:tcBorders>
                  <w:vAlign w:val="center"/>
                </w:tcPr>
                <w:p w14:paraId="1F0E411B">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p>
              </w:tc>
              <w:tc>
                <w:tcPr>
                  <w:tcW w:w="448" w:type="pct"/>
                  <w:vMerge w:val="continue"/>
                  <w:tcBorders>
                    <w:tl2br w:val="nil"/>
                    <w:tr2bl w:val="nil"/>
                  </w:tcBorders>
                  <w:vAlign w:val="center"/>
                </w:tcPr>
                <w:p w14:paraId="6B4BA602">
                  <w:pPr>
                    <w:keepNext w:val="0"/>
                    <w:keepLines w:val="0"/>
                    <w:pageBreakBefore w:val="0"/>
                    <w:kinsoku/>
                    <w:wordWrap/>
                    <w:overflowPunct/>
                    <w:topLinePunct w:val="0"/>
                    <w:autoSpaceDE/>
                    <w:autoSpaceDN/>
                    <w:bidi w:val="0"/>
                    <w:adjustRightInd/>
                    <w:snapToGrid/>
                    <w:spacing w:line="240" w:lineRule="auto"/>
                    <w:ind w:right="0" w:rightChars="0"/>
                    <w:jc w:val="center"/>
                    <w:textAlignment w:val="auto"/>
                    <w:rPr>
                      <w:rFonts w:hint="default" w:ascii="Times New Roman" w:hAnsi="Times New Roman" w:eastAsia="宋体" w:cs="Times New Roman"/>
                      <w:color w:val="auto"/>
                      <w:sz w:val="21"/>
                      <w:szCs w:val="21"/>
                      <w:highlight w:val="none"/>
                      <w:u w:val="none" w:color="auto"/>
                      <w:lang w:val="en-US" w:eastAsia="zh-CN"/>
                    </w:rPr>
                  </w:pPr>
                </w:p>
              </w:tc>
              <w:tc>
                <w:tcPr>
                  <w:tcW w:w="654" w:type="pct"/>
                  <w:gridSpan w:val="2"/>
                  <w:tcBorders>
                    <w:tl2br w:val="nil"/>
                    <w:tr2bl w:val="nil"/>
                  </w:tcBorders>
                  <w:vAlign w:val="center"/>
                </w:tcPr>
                <w:p w14:paraId="1DFBE78D">
                  <w:pPr>
                    <w:keepNext w:val="0"/>
                    <w:keepLines w:val="0"/>
                    <w:pageBreakBefore w:val="0"/>
                    <w:kinsoku/>
                    <w:wordWrap/>
                    <w:overflowPunct/>
                    <w:topLinePunct w:val="0"/>
                    <w:autoSpaceDE/>
                    <w:autoSpaceDN/>
                    <w:bidi w:val="0"/>
                    <w:adjustRightInd/>
                    <w:snapToGrid/>
                    <w:spacing w:line="240" w:lineRule="auto"/>
                    <w:ind w:right="0" w:rightChars="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铝合金熔铸一厂（原铝合金熔铸厂）</w:t>
                  </w:r>
                </w:p>
              </w:tc>
              <w:tc>
                <w:tcPr>
                  <w:tcW w:w="1264" w:type="pct"/>
                  <w:tcBorders>
                    <w:tl2br w:val="nil"/>
                    <w:tr2bl w:val="nil"/>
                  </w:tcBorders>
                  <w:vAlign w:val="center"/>
                </w:tcPr>
                <w:p w14:paraId="3F9C833C">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w:t>
                  </w:r>
                </w:p>
              </w:tc>
              <w:tc>
                <w:tcPr>
                  <w:tcW w:w="1472" w:type="pct"/>
                  <w:tcBorders>
                    <w:tl2br w:val="nil"/>
                    <w:tr2bl w:val="nil"/>
                  </w:tcBorders>
                  <w:vAlign w:val="center"/>
                </w:tcPr>
                <w:p w14:paraId="424D4EE8">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在项目拟建区域内设置约1500m</w:t>
                  </w:r>
                  <w:r>
                    <w:rPr>
                      <w:rFonts w:hint="default" w:ascii="Times New Roman" w:hAnsi="Times New Roman" w:eastAsia="宋体" w:cs="Times New Roman"/>
                      <w:color w:val="auto"/>
                      <w:sz w:val="21"/>
                      <w:szCs w:val="21"/>
                      <w:highlight w:val="none"/>
                      <w:u w:val="none" w:color="auto"/>
                      <w:vertAlign w:val="superscript"/>
                      <w:lang w:val="en-US" w:eastAsia="zh-CN"/>
                    </w:rPr>
                    <w:t>2</w:t>
                  </w:r>
                  <w:r>
                    <w:rPr>
                      <w:rFonts w:hint="default" w:ascii="Times New Roman" w:hAnsi="Times New Roman" w:eastAsia="宋体" w:cs="Times New Roman"/>
                      <w:color w:val="auto"/>
                      <w:sz w:val="21"/>
                      <w:szCs w:val="21"/>
                      <w:highlight w:val="none"/>
                      <w:u w:val="none" w:color="auto"/>
                      <w:lang w:val="en-US" w:eastAsia="zh-CN"/>
                    </w:rPr>
                    <w:t>的压铸半成品周转区域</w:t>
                  </w:r>
                </w:p>
              </w:tc>
              <w:tc>
                <w:tcPr>
                  <w:tcW w:w="859" w:type="pct"/>
                  <w:tcBorders>
                    <w:tl2br w:val="nil"/>
                    <w:tr2bl w:val="nil"/>
                  </w:tcBorders>
                  <w:vAlign w:val="center"/>
                </w:tcPr>
                <w:p w14:paraId="2D1F47D7">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新建</w:t>
                  </w:r>
                </w:p>
              </w:tc>
            </w:tr>
            <w:tr w14:paraId="1E91910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02" w:type="pct"/>
                  <w:vMerge w:val="continue"/>
                  <w:tcBorders>
                    <w:tl2br w:val="nil"/>
                    <w:tr2bl w:val="nil"/>
                  </w:tcBorders>
                  <w:vAlign w:val="center"/>
                </w:tcPr>
                <w:p w14:paraId="6288F30B">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rPr>
                  </w:pPr>
                </w:p>
              </w:tc>
              <w:tc>
                <w:tcPr>
                  <w:tcW w:w="448" w:type="pct"/>
                  <w:tcBorders>
                    <w:tl2br w:val="nil"/>
                    <w:tr2bl w:val="nil"/>
                  </w:tcBorders>
                  <w:vAlign w:val="center"/>
                </w:tcPr>
                <w:p w14:paraId="21EC9D70">
                  <w:pPr>
                    <w:keepNext w:val="0"/>
                    <w:keepLines w:val="0"/>
                    <w:pageBreakBefore w:val="0"/>
                    <w:kinsoku/>
                    <w:wordWrap/>
                    <w:overflowPunct/>
                    <w:topLinePunct w:val="0"/>
                    <w:autoSpaceDE/>
                    <w:autoSpaceDN/>
                    <w:bidi w:val="0"/>
                    <w:adjustRightInd/>
                    <w:snapToGrid/>
                    <w:spacing w:line="240" w:lineRule="auto"/>
                    <w:ind w:right="0" w:rightChars="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临港高新产业园区</w:t>
                  </w:r>
                </w:p>
              </w:tc>
              <w:tc>
                <w:tcPr>
                  <w:tcW w:w="654" w:type="pct"/>
                  <w:gridSpan w:val="2"/>
                  <w:tcBorders>
                    <w:tl2br w:val="nil"/>
                    <w:tr2bl w:val="nil"/>
                  </w:tcBorders>
                  <w:vAlign w:val="center"/>
                </w:tcPr>
                <w:p w14:paraId="47F56884">
                  <w:pPr>
                    <w:keepNext w:val="0"/>
                    <w:keepLines w:val="0"/>
                    <w:pageBreakBefore w:val="0"/>
                    <w:kinsoku/>
                    <w:wordWrap/>
                    <w:overflowPunct/>
                    <w:topLinePunct w:val="0"/>
                    <w:autoSpaceDE/>
                    <w:autoSpaceDN/>
                    <w:bidi w:val="0"/>
                    <w:adjustRightInd/>
                    <w:snapToGrid/>
                    <w:spacing w:line="240" w:lineRule="auto"/>
                    <w:ind w:right="0" w:rightChars="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半成品库、成品库</w:t>
                  </w:r>
                </w:p>
              </w:tc>
              <w:tc>
                <w:tcPr>
                  <w:tcW w:w="1264" w:type="pct"/>
                  <w:tcBorders>
                    <w:tl2br w:val="nil"/>
                    <w:tr2bl w:val="nil"/>
                  </w:tcBorders>
                  <w:vAlign w:val="center"/>
                </w:tcPr>
                <w:p w14:paraId="768A5845">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14#栋：厂房空置</w:t>
                  </w:r>
                </w:p>
              </w:tc>
              <w:tc>
                <w:tcPr>
                  <w:tcW w:w="1472" w:type="pct"/>
                  <w:tcBorders>
                    <w:tl2br w:val="nil"/>
                    <w:tr2bl w:val="nil"/>
                  </w:tcBorders>
                  <w:vAlign w:val="center"/>
                </w:tcPr>
                <w:p w14:paraId="488DD270">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利用14#厂房作为压铸后的半成品、机加后的成品周转仓库</w:t>
                  </w:r>
                </w:p>
              </w:tc>
              <w:tc>
                <w:tcPr>
                  <w:tcW w:w="859" w:type="pct"/>
                  <w:tcBorders>
                    <w:tl2br w:val="nil"/>
                    <w:tr2bl w:val="nil"/>
                  </w:tcBorders>
                  <w:vAlign w:val="center"/>
                </w:tcPr>
                <w:p w14:paraId="735DE66B">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新建</w:t>
                  </w:r>
                </w:p>
              </w:tc>
            </w:tr>
            <w:tr w14:paraId="01C4B61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02" w:type="pct"/>
                  <w:vMerge w:val="restart"/>
                  <w:tcBorders>
                    <w:tl2br w:val="nil"/>
                    <w:tr2bl w:val="nil"/>
                  </w:tcBorders>
                  <w:vAlign w:val="center"/>
                </w:tcPr>
                <w:p w14:paraId="1319C6D9">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公用工程</w:t>
                  </w:r>
                </w:p>
              </w:tc>
              <w:tc>
                <w:tcPr>
                  <w:tcW w:w="1102" w:type="pct"/>
                  <w:gridSpan w:val="3"/>
                  <w:tcBorders>
                    <w:tl2br w:val="nil"/>
                    <w:tr2bl w:val="nil"/>
                  </w:tcBorders>
                  <w:vAlign w:val="center"/>
                </w:tcPr>
                <w:p w14:paraId="49A888A9">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给水</w:t>
                  </w:r>
                </w:p>
              </w:tc>
              <w:tc>
                <w:tcPr>
                  <w:tcW w:w="2736" w:type="pct"/>
                  <w:gridSpan w:val="2"/>
                  <w:tcBorders>
                    <w:tl2br w:val="nil"/>
                    <w:tr2bl w:val="nil"/>
                  </w:tcBorders>
                  <w:vAlign w:val="center"/>
                </w:tcPr>
                <w:p w14:paraId="5FFD5E09">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b w:val="0"/>
                      <w:bCs/>
                      <w:color w:val="auto"/>
                      <w:sz w:val="21"/>
                      <w:szCs w:val="21"/>
                      <w:highlight w:val="none"/>
                      <w:u w:val="none" w:color="auto"/>
                      <w:lang w:eastAsia="zh-CN"/>
                    </w:rPr>
                    <w:t>中创空天厂区、</w:t>
                  </w:r>
                  <w:r>
                    <w:rPr>
                      <w:rFonts w:hint="default" w:ascii="Times New Roman" w:hAnsi="Times New Roman" w:eastAsia="宋体" w:cs="Times New Roman"/>
                      <w:color w:val="auto"/>
                      <w:sz w:val="21"/>
                      <w:szCs w:val="21"/>
                      <w:highlight w:val="none"/>
                      <w:u w:val="none" w:color="auto"/>
                      <w:lang w:val="en-US" w:eastAsia="zh-CN"/>
                    </w:rPr>
                    <w:t>临港高新产业园区接市政给水管网</w:t>
                  </w:r>
                </w:p>
              </w:tc>
              <w:tc>
                <w:tcPr>
                  <w:tcW w:w="859" w:type="pct"/>
                  <w:tcBorders>
                    <w:tl2br w:val="nil"/>
                    <w:tr2bl w:val="nil"/>
                  </w:tcBorders>
                  <w:vAlign w:val="center"/>
                </w:tcPr>
                <w:p w14:paraId="60A23057">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依托现有</w:t>
                  </w:r>
                </w:p>
              </w:tc>
            </w:tr>
            <w:tr w14:paraId="17FBB44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02" w:type="pct"/>
                  <w:vMerge w:val="continue"/>
                  <w:tcBorders>
                    <w:tl2br w:val="nil"/>
                    <w:tr2bl w:val="nil"/>
                  </w:tcBorders>
                  <w:vAlign w:val="center"/>
                </w:tcPr>
                <w:p w14:paraId="42CCA451">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p>
              </w:tc>
              <w:tc>
                <w:tcPr>
                  <w:tcW w:w="448" w:type="pct"/>
                  <w:vMerge w:val="restart"/>
                  <w:tcBorders>
                    <w:tl2br w:val="nil"/>
                    <w:tr2bl w:val="nil"/>
                  </w:tcBorders>
                  <w:vAlign w:val="center"/>
                </w:tcPr>
                <w:p w14:paraId="14B32AF1">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排水</w:t>
                  </w:r>
                </w:p>
              </w:tc>
              <w:tc>
                <w:tcPr>
                  <w:tcW w:w="654" w:type="pct"/>
                  <w:gridSpan w:val="2"/>
                  <w:tcBorders>
                    <w:tl2br w:val="nil"/>
                    <w:tr2bl w:val="nil"/>
                  </w:tcBorders>
                  <w:vAlign w:val="center"/>
                </w:tcPr>
                <w:p w14:paraId="7F26BDAE">
                  <w:pPr>
                    <w:keepNext w:val="0"/>
                    <w:keepLines w:val="0"/>
                    <w:pageBreakBefore w:val="0"/>
                    <w:kinsoku/>
                    <w:wordWrap/>
                    <w:overflowPunct/>
                    <w:topLinePunct w:val="0"/>
                    <w:autoSpaceDE/>
                    <w:autoSpaceDN/>
                    <w:bidi w:val="0"/>
                    <w:adjustRightInd/>
                    <w:snapToGrid/>
                    <w:spacing w:line="240" w:lineRule="auto"/>
                    <w:ind w:right="0" w:rightChars="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中创空天厂区</w:t>
                  </w:r>
                </w:p>
              </w:tc>
              <w:tc>
                <w:tcPr>
                  <w:tcW w:w="2736" w:type="pct"/>
                  <w:gridSpan w:val="2"/>
                  <w:vMerge w:val="restart"/>
                  <w:tcBorders>
                    <w:tl2br w:val="nil"/>
                    <w:tr2bl w:val="nil"/>
                  </w:tcBorders>
                  <w:vAlign w:val="center"/>
                </w:tcPr>
                <w:p w14:paraId="4993EA92">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雨污分流，雨水接市政雨水管，</w:t>
                  </w:r>
                  <w:r>
                    <w:rPr>
                      <w:rFonts w:hint="default" w:ascii="Times New Roman" w:hAnsi="Times New Roman" w:eastAsia="宋体" w:cs="Times New Roman"/>
                      <w:color w:val="auto"/>
                      <w:sz w:val="21"/>
                      <w:szCs w:val="21"/>
                      <w:highlight w:val="none"/>
                      <w:u w:val="none" w:color="auto"/>
                    </w:rPr>
                    <w:t>经象骨港最终进入长江内；生活污水、生产废水等废水分别经预处理达到相关标准要求后通过市政污水管网进入湖南城陵矶临港产业新区污水处理厂处理达标后经象骨港汇入长江</w:t>
                  </w:r>
                </w:p>
              </w:tc>
              <w:tc>
                <w:tcPr>
                  <w:tcW w:w="859" w:type="pct"/>
                  <w:tcBorders>
                    <w:tl2br w:val="nil"/>
                    <w:tr2bl w:val="nil"/>
                  </w:tcBorders>
                  <w:vAlign w:val="center"/>
                </w:tcPr>
                <w:p w14:paraId="04DD4EF1">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依托厂区现有工程</w:t>
                  </w:r>
                </w:p>
              </w:tc>
            </w:tr>
            <w:tr w14:paraId="4669423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02" w:type="pct"/>
                  <w:vMerge w:val="continue"/>
                  <w:tcBorders>
                    <w:tl2br w:val="nil"/>
                    <w:tr2bl w:val="nil"/>
                  </w:tcBorders>
                  <w:vAlign w:val="center"/>
                </w:tcPr>
                <w:p w14:paraId="4088B4DA">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p>
              </w:tc>
              <w:tc>
                <w:tcPr>
                  <w:tcW w:w="448" w:type="pct"/>
                  <w:vMerge w:val="continue"/>
                  <w:tcBorders>
                    <w:tl2br w:val="nil"/>
                    <w:tr2bl w:val="nil"/>
                  </w:tcBorders>
                  <w:vAlign w:val="center"/>
                </w:tcPr>
                <w:p w14:paraId="63514137">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p>
              </w:tc>
              <w:tc>
                <w:tcPr>
                  <w:tcW w:w="654" w:type="pct"/>
                  <w:gridSpan w:val="2"/>
                  <w:tcBorders>
                    <w:tl2br w:val="nil"/>
                    <w:tr2bl w:val="nil"/>
                  </w:tcBorders>
                  <w:vAlign w:val="center"/>
                </w:tcPr>
                <w:p w14:paraId="33D68185">
                  <w:pPr>
                    <w:keepNext w:val="0"/>
                    <w:keepLines w:val="0"/>
                    <w:pageBreakBefore w:val="0"/>
                    <w:kinsoku/>
                    <w:wordWrap/>
                    <w:overflowPunct/>
                    <w:topLinePunct w:val="0"/>
                    <w:autoSpaceDE/>
                    <w:autoSpaceDN/>
                    <w:bidi w:val="0"/>
                    <w:adjustRightInd/>
                    <w:snapToGrid/>
                    <w:spacing w:line="240" w:lineRule="auto"/>
                    <w:ind w:right="0" w:rightChars="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临港高新产业园区</w:t>
                  </w:r>
                </w:p>
              </w:tc>
              <w:tc>
                <w:tcPr>
                  <w:tcW w:w="2736" w:type="pct"/>
                  <w:gridSpan w:val="2"/>
                  <w:vMerge w:val="continue"/>
                  <w:tcBorders>
                    <w:tl2br w:val="nil"/>
                    <w:tr2bl w:val="nil"/>
                  </w:tcBorders>
                  <w:vAlign w:val="center"/>
                </w:tcPr>
                <w:p w14:paraId="2FA44830">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p>
              </w:tc>
              <w:tc>
                <w:tcPr>
                  <w:tcW w:w="859" w:type="pct"/>
                  <w:tcBorders>
                    <w:tl2br w:val="nil"/>
                    <w:tr2bl w:val="nil"/>
                  </w:tcBorders>
                  <w:vAlign w:val="center"/>
                </w:tcPr>
                <w:p w14:paraId="7DFB144E">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依托临港高新产业园区现有工程</w:t>
                  </w:r>
                </w:p>
              </w:tc>
            </w:tr>
            <w:tr w14:paraId="41CF386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02" w:type="pct"/>
                  <w:vMerge w:val="continue"/>
                  <w:tcBorders>
                    <w:tl2br w:val="nil"/>
                    <w:tr2bl w:val="nil"/>
                  </w:tcBorders>
                  <w:vAlign w:val="center"/>
                </w:tcPr>
                <w:p w14:paraId="49AFA651">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p>
              </w:tc>
              <w:tc>
                <w:tcPr>
                  <w:tcW w:w="448" w:type="pct"/>
                  <w:vMerge w:val="restart"/>
                  <w:tcBorders>
                    <w:tl2br w:val="nil"/>
                    <w:tr2bl w:val="nil"/>
                  </w:tcBorders>
                  <w:vAlign w:val="center"/>
                </w:tcPr>
                <w:p w14:paraId="6CF3B30A">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供电</w:t>
                  </w:r>
                </w:p>
              </w:tc>
              <w:tc>
                <w:tcPr>
                  <w:tcW w:w="654" w:type="pct"/>
                  <w:gridSpan w:val="2"/>
                  <w:tcBorders>
                    <w:tl2br w:val="nil"/>
                    <w:tr2bl w:val="nil"/>
                  </w:tcBorders>
                  <w:vAlign w:val="center"/>
                </w:tcPr>
                <w:p w14:paraId="0CCA9995">
                  <w:pPr>
                    <w:keepNext w:val="0"/>
                    <w:keepLines w:val="0"/>
                    <w:pageBreakBefore w:val="0"/>
                    <w:kinsoku/>
                    <w:wordWrap/>
                    <w:overflowPunct/>
                    <w:topLinePunct w:val="0"/>
                    <w:autoSpaceDE/>
                    <w:autoSpaceDN/>
                    <w:bidi w:val="0"/>
                    <w:adjustRightInd/>
                    <w:snapToGrid/>
                    <w:spacing w:line="240" w:lineRule="auto"/>
                    <w:ind w:right="0" w:rightChars="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中创空天厂区</w:t>
                  </w:r>
                </w:p>
              </w:tc>
              <w:tc>
                <w:tcPr>
                  <w:tcW w:w="2736" w:type="pct"/>
                  <w:gridSpan w:val="2"/>
                  <w:tcBorders>
                    <w:tl2br w:val="nil"/>
                    <w:tr2bl w:val="nil"/>
                  </w:tcBorders>
                  <w:vAlign w:val="center"/>
                </w:tcPr>
                <w:p w14:paraId="4C6C34F0">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中创空天厂区供电接厂区10kV配电站；</w:t>
                  </w:r>
                </w:p>
              </w:tc>
              <w:tc>
                <w:tcPr>
                  <w:tcW w:w="859" w:type="pct"/>
                  <w:tcBorders>
                    <w:tl2br w:val="nil"/>
                    <w:tr2bl w:val="nil"/>
                  </w:tcBorders>
                  <w:vAlign w:val="center"/>
                </w:tcPr>
                <w:p w14:paraId="55FABE8A">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依托现有</w:t>
                  </w:r>
                </w:p>
              </w:tc>
            </w:tr>
            <w:tr w14:paraId="3151ADA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02" w:type="pct"/>
                  <w:vMerge w:val="continue"/>
                  <w:tcBorders>
                    <w:tl2br w:val="nil"/>
                    <w:tr2bl w:val="nil"/>
                  </w:tcBorders>
                  <w:vAlign w:val="center"/>
                </w:tcPr>
                <w:p w14:paraId="60DBF1D0">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p>
              </w:tc>
              <w:tc>
                <w:tcPr>
                  <w:tcW w:w="448" w:type="pct"/>
                  <w:vMerge w:val="continue"/>
                  <w:tcBorders>
                    <w:tl2br w:val="nil"/>
                    <w:tr2bl w:val="nil"/>
                  </w:tcBorders>
                  <w:vAlign w:val="center"/>
                </w:tcPr>
                <w:p w14:paraId="1309E5D2">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p>
              </w:tc>
              <w:tc>
                <w:tcPr>
                  <w:tcW w:w="654" w:type="pct"/>
                  <w:gridSpan w:val="2"/>
                  <w:tcBorders>
                    <w:tl2br w:val="nil"/>
                    <w:tr2bl w:val="nil"/>
                  </w:tcBorders>
                  <w:vAlign w:val="center"/>
                </w:tcPr>
                <w:p w14:paraId="45ED40B1">
                  <w:pPr>
                    <w:keepNext w:val="0"/>
                    <w:keepLines w:val="0"/>
                    <w:pageBreakBefore w:val="0"/>
                    <w:kinsoku/>
                    <w:wordWrap/>
                    <w:overflowPunct/>
                    <w:topLinePunct w:val="0"/>
                    <w:autoSpaceDE/>
                    <w:autoSpaceDN/>
                    <w:bidi w:val="0"/>
                    <w:adjustRightInd/>
                    <w:snapToGrid/>
                    <w:spacing w:line="240" w:lineRule="auto"/>
                    <w:ind w:right="0" w:rightChars="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临港高新产业园区</w:t>
                  </w:r>
                </w:p>
              </w:tc>
              <w:tc>
                <w:tcPr>
                  <w:tcW w:w="2736" w:type="pct"/>
                  <w:gridSpan w:val="2"/>
                  <w:tcBorders>
                    <w:tl2br w:val="nil"/>
                    <w:tr2bl w:val="nil"/>
                  </w:tcBorders>
                  <w:vAlign w:val="center"/>
                </w:tcPr>
                <w:p w14:paraId="3B8E76D1">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供电接临港高新产业园配电站，项目15#栋、21#栋、22#厂房内均新增1个变配电房</w:t>
                  </w:r>
                </w:p>
              </w:tc>
              <w:tc>
                <w:tcPr>
                  <w:tcW w:w="859" w:type="pct"/>
                  <w:tcBorders>
                    <w:tl2br w:val="nil"/>
                    <w:tr2bl w:val="nil"/>
                  </w:tcBorders>
                  <w:vAlign w:val="center"/>
                </w:tcPr>
                <w:p w14:paraId="35873DA4">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新建变配电房</w:t>
                  </w:r>
                </w:p>
              </w:tc>
            </w:tr>
            <w:tr w14:paraId="63417FF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02" w:type="pct"/>
                  <w:vMerge w:val="continue"/>
                  <w:tcBorders>
                    <w:tl2br w:val="nil"/>
                    <w:tr2bl w:val="nil"/>
                  </w:tcBorders>
                  <w:vAlign w:val="center"/>
                </w:tcPr>
                <w:p w14:paraId="03CA0741">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p>
              </w:tc>
              <w:tc>
                <w:tcPr>
                  <w:tcW w:w="448" w:type="pct"/>
                  <w:tcBorders>
                    <w:tl2br w:val="nil"/>
                    <w:tr2bl w:val="nil"/>
                  </w:tcBorders>
                  <w:vAlign w:val="center"/>
                </w:tcPr>
                <w:p w14:paraId="07E5FA53">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天然气</w:t>
                  </w:r>
                </w:p>
              </w:tc>
              <w:tc>
                <w:tcPr>
                  <w:tcW w:w="654" w:type="pct"/>
                  <w:gridSpan w:val="2"/>
                  <w:vMerge w:val="restart"/>
                  <w:tcBorders>
                    <w:tl2br w:val="nil"/>
                    <w:tr2bl w:val="nil"/>
                  </w:tcBorders>
                  <w:shd w:val="clear" w:color="auto" w:fill="auto"/>
                  <w:vAlign w:val="center"/>
                </w:tcPr>
                <w:p w14:paraId="66222CA1">
                  <w:pPr>
                    <w:keepNext w:val="0"/>
                    <w:keepLines w:val="0"/>
                    <w:pageBreakBefore w:val="0"/>
                    <w:kinsoku/>
                    <w:wordWrap/>
                    <w:overflowPunct/>
                    <w:topLinePunct w:val="0"/>
                    <w:autoSpaceDE/>
                    <w:autoSpaceDN/>
                    <w:bidi w:val="0"/>
                    <w:adjustRightInd/>
                    <w:snapToGrid/>
                    <w:spacing w:line="240" w:lineRule="auto"/>
                    <w:ind w:right="0" w:rightChars="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lang w:val="en-US" w:eastAsia="zh-CN"/>
                    </w:rPr>
                    <w:t>中创空天厂区</w:t>
                  </w:r>
                </w:p>
              </w:tc>
              <w:tc>
                <w:tcPr>
                  <w:tcW w:w="2736" w:type="pct"/>
                  <w:gridSpan w:val="2"/>
                  <w:tcBorders>
                    <w:tl2br w:val="nil"/>
                    <w:tr2bl w:val="nil"/>
                  </w:tcBorders>
                  <w:vAlign w:val="center"/>
                </w:tcPr>
                <w:p w14:paraId="47F7AA21">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rPr>
                    <w:t>项目熔铸二厂新增熔化炉、保温炉需使用天然气。设备合计天然气用气量约</w:t>
                  </w:r>
                  <w:r>
                    <w:rPr>
                      <w:rFonts w:hint="default" w:ascii="Times New Roman" w:hAnsi="Times New Roman" w:eastAsia="宋体" w:cs="Times New Roman"/>
                      <w:color w:val="auto"/>
                      <w:sz w:val="21"/>
                      <w:szCs w:val="21"/>
                      <w:highlight w:val="none"/>
                      <w:u w:val="none" w:color="auto"/>
                      <w:lang w:val="en-US" w:eastAsia="zh-CN"/>
                    </w:rPr>
                    <w:t>712N</w:t>
                  </w:r>
                  <w:r>
                    <w:rPr>
                      <w:rFonts w:hint="default" w:ascii="Times New Roman" w:hAnsi="Times New Roman" w:eastAsia="宋体" w:cs="Times New Roman"/>
                      <w:color w:val="auto"/>
                      <w:sz w:val="21"/>
                      <w:szCs w:val="21"/>
                      <w:highlight w:val="none"/>
                      <w:u w:val="none" w:color="auto"/>
                    </w:rPr>
                    <w:t>m</w:t>
                  </w:r>
                  <w:r>
                    <w:rPr>
                      <w:rFonts w:hint="default" w:ascii="Times New Roman" w:hAnsi="Times New Roman" w:eastAsia="宋体" w:cs="Times New Roman"/>
                      <w:color w:val="auto"/>
                      <w:sz w:val="21"/>
                      <w:szCs w:val="21"/>
                      <w:highlight w:val="none"/>
                      <w:u w:val="none" w:color="auto"/>
                      <w:vertAlign w:val="superscript"/>
                    </w:rPr>
                    <w:t>3</w:t>
                  </w:r>
                  <w:r>
                    <w:rPr>
                      <w:rFonts w:hint="default" w:ascii="Times New Roman" w:hAnsi="Times New Roman" w:eastAsia="宋体" w:cs="Times New Roman"/>
                      <w:color w:val="auto"/>
                      <w:sz w:val="21"/>
                      <w:szCs w:val="21"/>
                      <w:highlight w:val="none"/>
                      <w:u w:val="none" w:color="auto"/>
                    </w:rPr>
                    <w:t>/h，用气压力0.</w:t>
                  </w:r>
                  <w:r>
                    <w:rPr>
                      <w:rFonts w:hint="default" w:ascii="Times New Roman" w:hAnsi="Times New Roman" w:eastAsia="宋体" w:cs="Times New Roman"/>
                      <w:color w:val="auto"/>
                      <w:sz w:val="21"/>
                      <w:szCs w:val="21"/>
                      <w:highlight w:val="none"/>
                      <w:u w:val="none" w:color="auto"/>
                      <w:lang w:val="en-US" w:eastAsia="zh-CN"/>
                    </w:rPr>
                    <w:t>2</w:t>
                  </w:r>
                  <w:r>
                    <w:rPr>
                      <w:rFonts w:hint="default" w:ascii="Times New Roman" w:hAnsi="Times New Roman" w:eastAsia="宋体" w:cs="Times New Roman"/>
                      <w:color w:val="auto"/>
                      <w:sz w:val="21"/>
                      <w:szCs w:val="21"/>
                      <w:highlight w:val="none"/>
                      <w:u w:val="none" w:color="auto"/>
                    </w:rPr>
                    <w:t>M</w:t>
                  </w:r>
                  <w:r>
                    <w:rPr>
                      <w:rFonts w:hint="default" w:ascii="Times New Roman" w:hAnsi="Times New Roman" w:eastAsia="宋体" w:cs="Times New Roman"/>
                      <w:color w:val="auto"/>
                      <w:sz w:val="21"/>
                      <w:szCs w:val="21"/>
                      <w:highlight w:val="none"/>
                      <w:u w:val="none" w:color="auto"/>
                      <w:lang w:val="en-GB"/>
                    </w:rPr>
                    <w:t>Pa</w:t>
                  </w:r>
                  <w:r>
                    <w:rPr>
                      <w:rFonts w:hint="default" w:ascii="Times New Roman" w:hAnsi="Times New Roman" w:eastAsia="宋体" w:cs="Times New Roman"/>
                      <w:color w:val="auto"/>
                      <w:sz w:val="21"/>
                      <w:szCs w:val="21"/>
                      <w:highlight w:val="none"/>
                      <w:u w:val="none" w:color="auto"/>
                      <w:lang w:val="en-GB" w:eastAsia="zh-CN"/>
                    </w:rPr>
                    <w:t>，</w:t>
                  </w:r>
                  <w:r>
                    <w:rPr>
                      <w:rFonts w:hint="default" w:ascii="Times New Roman" w:hAnsi="Times New Roman" w:eastAsia="宋体" w:cs="Times New Roman"/>
                      <w:color w:val="auto"/>
                      <w:sz w:val="21"/>
                      <w:szCs w:val="21"/>
                      <w:highlight w:val="none"/>
                      <w:u w:val="none" w:color="auto"/>
                      <w:lang w:val="en-US" w:eastAsia="zh-CN"/>
                    </w:rPr>
                    <w:t>项目天然气由市政供气管网接入</w:t>
                  </w:r>
                </w:p>
              </w:tc>
              <w:tc>
                <w:tcPr>
                  <w:tcW w:w="859" w:type="pct"/>
                  <w:tcBorders>
                    <w:tl2br w:val="nil"/>
                    <w:tr2bl w:val="nil"/>
                  </w:tcBorders>
                  <w:vAlign w:val="center"/>
                </w:tcPr>
                <w:p w14:paraId="5C5274E1">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依托现有配气站，新建接入厂房管网</w:t>
                  </w:r>
                </w:p>
              </w:tc>
            </w:tr>
            <w:tr w14:paraId="578E4C0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02" w:type="pct"/>
                  <w:vMerge w:val="continue"/>
                  <w:tcBorders>
                    <w:tl2br w:val="nil"/>
                    <w:tr2bl w:val="nil"/>
                  </w:tcBorders>
                  <w:vAlign w:val="center"/>
                </w:tcPr>
                <w:p w14:paraId="372D6755">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p>
              </w:tc>
              <w:tc>
                <w:tcPr>
                  <w:tcW w:w="448" w:type="pct"/>
                  <w:tcBorders>
                    <w:tl2br w:val="nil"/>
                    <w:tr2bl w:val="nil"/>
                  </w:tcBorders>
                  <w:shd w:val="clear" w:color="auto" w:fill="auto"/>
                  <w:vAlign w:val="center"/>
                </w:tcPr>
                <w:p w14:paraId="43B1B3AA">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lang w:val="en-US" w:eastAsia="zh-CN"/>
                    </w:rPr>
                    <w:t>氮气供应</w:t>
                  </w:r>
                </w:p>
              </w:tc>
              <w:tc>
                <w:tcPr>
                  <w:tcW w:w="654" w:type="pct"/>
                  <w:gridSpan w:val="2"/>
                  <w:vMerge w:val="continue"/>
                  <w:tcBorders>
                    <w:tl2br w:val="nil"/>
                    <w:tr2bl w:val="nil"/>
                  </w:tcBorders>
                  <w:shd w:val="clear" w:color="auto" w:fill="auto"/>
                  <w:vAlign w:val="center"/>
                </w:tcPr>
                <w:p w14:paraId="7FE66FCE">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p>
              </w:tc>
              <w:tc>
                <w:tcPr>
                  <w:tcW w:w="2736" w:type="pct"/>
                  <w:gridSpan w:val="2"/>
                  <w:tcBorders>
                    <w:tl2br w:val="nil"/>
                    <w:tr2bl w:val="nil"/>
                  </w:tcBorders>
                  <w:shd w:val="clear" w:color="auto" w:fill="auto"/>
                  <w:vAlign w:val="center"/>
                </w:tcPr>
                <w:p w14:paraId="06C74B74">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lang w:val="en-US" w:eastAsia="zh-CN"/>
                    </w:rPr>
                    <w:t>项</w:t>
                  </w:r>
                  <w:r>
                    <w:rPr>
                      <w:rFonts w:hint="default" w:ascii="Times New Roman" w:hAnsi="Times New Roman" w:eastAsia="宋体" w:cs="Times New Roman"/>
                      <w:color w:val="auto"/>
                      <w:sz w:val="21"/>
                      <w:szCs w:val="21"/>
                      <w:highlight w:val="none"/>
                      <w:u w:val="none" w:color="auto"/>
                    </w:rPr>
                    <w:t>目熔铸二厂新增的铝水设备需使用氮气。氮气使用量约3</w:t>
                  </w:r>
                  <w:r>
                    <w:rPr>
                      <w:rFonts w:hint="default" w:ascii="Times New Roman" w:hAnsi="Times New Roman" w:eastAsia="宋体" w:cs="Times New Roman"/>
                      <w:color w:val="auto"/>
                      <w:sz w:val="21"/>
                      <w:szCs w:val="21"/>
                      <w:highlight w:val="none"/>
                      <w:u w:val="none" w:color="auto"/>
                      <w:lang w:val="en-US" w:eastAsia="zh-CN"/>
                    </w:rPr>
                    <w:t>0</w:t>
                  </w:r>
                  <w:r>
                    <w:rPr>
                      <w:rFonts w:hint="default" w:ascii="Times New Roman" w:hAnsi="Times New Roman" w:eastAsia="宋体" w:cs="Times New Roman"/>
                      <w:color w:val="auto"/>
                      <w:sz w:val="21"/>
                      <w:szCs w:val="21"/>
                      <w:highlight w:val="none"/>
                      <w:u w:val="none" w:color="auto"/>
                    </w:rPr>
                    <w:t>Nm</w:t>
                  </w:r>
                  <w:r>
                    <w:rPr>
                      <w:rFonts w:hint="default" w:ascii="Times New Roman" w:hAnsi="Times New Roman" w:eastAsia="宋体" w:cs="Times New Roman"/>
                      <w:color w:val="auto"/>
                      <w:sz w:val="21"/>
                      <w:szCs w:val="21"/>
                      <w:highlight w:val="none"/>
                      <w:u w:val="none" w:color="auto"/>
                      <w:vertAlign w:val="superscript"/>
                    </w:rPr>
                    <w:t>3</w:t>
                  </w:r>
                  <w:r>
                    <w:rPr>
                      <w:rFonts w:hint="default" w:ascii="Times New Roman" w:hAnsi="Times New Roman" w:eastAsia="宋体" w:cs="Times New Roman"/>
                      <w:color w:val="auto"/>
                      <w:sz w:val="21"/>
                      <w:szCs w:val="21"/>
                      <w:highlight w:val="none"/>
                      <w:u w:val="none" w:color="auto"/>
                    </w:rPr>
                    <w:t>/h，纯度99.99%</w:t>
                  </w:r>
                  <w:r>
                    <w:rPr>
                      <w:rFonts w:hint="default" w:ascii="Times New Roman" w:hAnsi="Times New Roman" w:eastAsia="宋体" w:cs="Times New Roman"/>
                      <w:color w:val="auto"/>
                      <w:sz w:val="21"/>
                      <w:szCs w:val="21"/>
                      <w:highlight w:val="none"/>
                      <w:u w:val="none" w:color="auto"/>
                      <w:lang w:eastAsia="zh-CN"/>
                    </w:rPr>
                    <w:t>。</w:t>
                  </w:r>
                  <w:r>
                    <w:rPr>
                      <w:rFonts w:hint="default" w:ascii="Times New Roman" w:hAnsi="Times New Roman" w:eastAsia="宋体" w:cs="Times New Roman"/>
                      <w:color w:val="auto"/>
                      <w:sz w:val="21"/>
                      <w:szCs w:val="21"/>
                      <w:highlight w:val="none"/>
                      <w:u w:val="none" w:color="auto"/>
                    </w:rPr>
                    <w:t>在熔铸二厂新增制氮站</w:t>
                  </w:r>
                </w:p>
              </w:tc>
              <w:tc>
                <w:tcPr>
                  <w:tcW w:w="859" w:type="pct"/>
                  <w:tcBorders>
                    <w:tl2br w:val="nil"/>
                    <w:tr2bl w:val="nil"/>
                  </w:tcBorders>
                  <w:shd w:val="clear" w:color="auto" w:fill="auto"/>
                  <w:vAlign w:val="center"/>
                </w:tcPr>
                <w:p w14:paraId="38241F7F">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lang w:val="en-US" w:eastAsia="zh-CN"/>
                    </w:rPr>
                    <w:t>新建</w:t>
                  </w:r>
                </w:p>
              </w:tc>
            </w:tr>
            <w:tr w14:paraId="7762AC4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02" w:type="pct"/>
                  <w:vMerge w:val="continue"/>
                  <w:tcBorders>
                    <w:tl2br w:val="nil"/>
                    <w:tr2bl w:val="nil"/>
                  </w:tcBorders>
                  <w:vAlign w:val="center"/>
                </w:tcPr>
                <w:p w14:paraId="3D459874">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p>
              </w:tc>
              <w:tc>
                <w:tcPr>
                  <w:tcW w:w="448" w:type="pct"/>
                  <w:tcBorders>
                    <w:tl2br w:val="nil"/>
                    <w:tr2bl w:val="nil"/>
                  </w:tcBorders>
                  <w:shd w:val="clear" w:color="auto" w:fill="auto"/>
                  <w:vAlign w:val="center"/>
                </w:tcPr>
                <w:p w14:paraId="0BB1190F">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lang w:val="en-US" w:eastAsia="zh-CN"/>
                    </w:rPr>
                    <w:t>氩气供应</w:t>
                  </w:r>
                </w:p>
              </w:tc>
              <w:tc>
                <w:tcPr>
                  <w:tcW w:w="654" w:type="pct"/>
                  <w:gridSpan w:val="2"/>
                  <w:vMerge w:val="continue"/>
                  <w:tcBorders>
                    <w:tl2br w:val="nil"/>
                    <w:tr2bl w:val="nil"/>
                  </w:tcBorders>
                  <w:shd w:val="clear" w:color="auto" w:fill="auto"/>
                  <w:vAlign w:val="center"/>
                </w:tcPr>
                <w:p w14:paraId="5F5F0EEA">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p>
              </w:tc>
              <w:tc>
                <w:tcPr>
                  <w:tcW w:w="2736" w:type="pct"/>
                  <w:gridSpan w:val="2"/>
                  <w:tcBorders>
                    <w:tl2br w:val="nil"/>
                    <w:tr2bl w:val="nil"/>
                  </w:tcBorders>
                  <w:shd w:val="clear" w:color="auto" w:fill="auto"/>
                  <w:vAlign w:val="center"/>
                </w:tcPr>
                <w:p w14:paraId="669357DE">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rPr>
                    <w:t>熔铸二厂新增的铝水设备需使用氩气。氩气使用量按1</w:t>
                  </w:r>
                  <w:r>
                    <w:rPr>
                      <w:rFonts w:hint="default" w:ascii="Times New Roman" w:hAnsi="Times New Roman" w:eastAsia="宋体" w:cs="Times New Roman"/>
                      <w:color w:val="auto"/>
                      <w:sz w:val="21"/>
                      <w:szCs w:val="21"/>
                      <w:highlight w:val="none"/>
                      <w:u w:val="none" w:color="auto"/>
                      <w:lang w:val="en-US" w:eastAsia="zh-CN"/>
                    </w:rPr>
                    <w:t>.8</w:t>
                  </w:r>
                  <w:r>
                    <w:rPr>
                      <w:rFonts w:hint="default" w:ascii="Times New Roman" w:hAnsi="Times New Roman" w:eastAsia="宋体" w:cs="Times New Roman"/>
                      <w:color w:val="auto"/>
                      <w:sz w:val="21"/>
                      <w:szCs w:val="21"/>
                      <w:highlight w:val="none"/>
                      <w:u w:val="none" w:color="auto"/>
                    </w:rPr>
                    <w:t>Nm</w:t>
                  </w:r>
                  <w:r>
                    <w:rPr>
                      <w:rFonts w:hint="default" w:ascii="Times New Roman" w:hAnsi="Times New Roman" w:eastAsia="宋体" w:cs="Times New Roman"/>
                      <w:color w:val="auto"/>
                      <w:sz w:val="21"/>
                      <w:szCs w:val="21"/>
                      <w:highlight w:val="none"/>
                      <w:u w:val="none" w:color="auto"/>
                      <w:vertAlign w:val="superscript"/>
                    </w:rPr>
                    <w:t>3</w:t>
                  </w:r>
                  <w:r>
                    <w:rPr>
                      <w:rFonts w:hint="default" w:ascii="Times New Roman" w:hAnsi="Times New Roman" w:eastAsia="宋体" w:cs="Times New Roman"/>
                      <w:color w:val="auto"/>
                      <w:sz w:val="21"/>
                      <w:szCs w:val="21"/>
                      <w:highlight w:val="none"/>
                      <w:u w:val="none" w:color="auto"/>
                    </w:rPr>
                    <w:t>/h设计</w:t>
                  </w:r>
                  <w:r>
                    <w:rPr>
                      <w:rFonts w:hint="default" w:ascii="Times New Roman" w:hAnsi="Times New Roman" w:eastAsia="宋体" w:cs="Times New Roman"/>
                      <w:color w:val="auto"/>
                      <w:sz w:val="21"/>
                      <w:szCs w:val="21"/>
                      <w:highlight w:val="none"/>
                      <w:u w:val="none" w:color="auto"/>
                      <w:lang w:eastAsia="zh-CN"/>
                    </w:rPr>
                    <w:t>。</w:t>
                  </w:r>
                  <w:r>
                    <w:rPr>
                      <w:rFonts w:hint="default" w:ascii="Times New Roman" w:hAnsi="Times New Roman" w:eastAsia="宋体" w:cs="Times New Roman"/>
                      <w:color w:val="auto"/>
                      <w:sz w:val="21"/>
                      <w:szCs w:val="21"/>
                      <w:highlight w:val="none"/>
                      <w:u w:val="none" w:color="auto"/>
                    </w:rPr>
                    <w:t>氩气由厂区现有氩气站和氩气管道直接供应</w:t>
                  </w:r>
                </w:p>
              </w:tc>
              <w:tc>
                <w:tcPr>
                  <w:tcW w:w="859" w:type="pct"/>
                  <w:tcBorders>
                    <w:tl2br w:val="nil"/>
                    <w:tr2bl w:val="nil"/>
                  </w:tcBorders>
                  <w:shd w:val="clear" w:color="auto" w:fill="auto"/>
                  <w:vAlign w:val="center"/>
                </w:tcPr>
                <w:p w14:paraId="0BF567FE">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lang w:val="en-US" w:eastAsia="zh-CN"/>
                    </w:rPr>
                    <w:t>依托中创人天现有氩气供应系统</w:t>
                  </w:r>
                </w:p>
              </w:tc>
            </w:tr>
            <w:tr w14:paraId="3828C12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02" w:type="pct"/>
                  <w:vMerge w:val="continue"/>
                  <w:tcBorders>
                    <w:tl2br w:val="nil"/>
                    <w:tr2bl w:val="nil"/>
                  </w:tcBorders>
                  <w:vAlign w:val="center"/>
                </w:tcPr>
                <w:p w14:paraId="4E4E4B2F">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p>
              </w:tc>
              <w:tc>
                <w:tcPr>
                  <w:tcW w:w="448" w:type="pct"/>
                  <w:vMerge w:val="restart"/>
                  <w:tcBorders>
                    <w:tl2br w:val="nil"/>
                    <w:tr2bl w:val="nil"/>
                  </w:tcBorders>
                  <w:vAlign w:val="center"/>
                </w:tcPr>
                <w:p w14:paraId="27DAA866">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压缩空气</w:t>
                  </w:r>
                </w:p>
              </w:tc>
              <w:tc>
                <w:tcPr>
                  <w:tcW w:w="654" w:type="pct"/>
                  <w:gridSpan w:val="2"/>
                  <w:tcBorders>
                    <w:tl2br w:val="nil"/>
                    <w:tr2bl w:val="nil"/>
                  </w:tcBorders>
                  <w:vAlign w:val="center"/>
                </w:tcPr>
                <w:p w14:paraId="3798C1C8">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中创空天厂区</w:t>
                  </w:r>
                </w:p>
              </w:tc>
              <w:tc>
                <w:tcPr>
                  <w:tcW w:w="2736" w:type="pct"/>
                  <w:gridSpan w:val="2"/>
                  <w:tcBorders>
                    <w:tl2br w:val="nil"/>
                    <w:tr2bl w:val="nil"/>
                  </w:tcBorders>
                  <w:vAlign w:val="center"/>
                </w:tcPr>
                <w:p w14:paraId="57B342F2">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熔铸二厂、铝合金熔铸车间所需压缩空气均由中创空天厂区现有空压站集中供应</w:t>
                  </w:r>
                </w:p>
              </w:tc>
              <w:tc>
                <w:tcPr>
                  <w:tcW w:w="859" w:type="pct"/>
                  <w:tcBorders>
                    <w:tl2br w:val="nil"/>
                    <w:tr2bl w:val="nil"/>
                  </w:tcBorders>
                  <w:vAlign w:val="center"/>
                </w:tcPr>
                <w:p w14:paraId="6BD9C675">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依托中创空天现有</w:t>
                  </w:r>
                </w:p>
              </w:tc>
            </w:tr>
            <w:tr w14:paraId="12414CA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02" w:type="pct"/>
                  <w:vMerge w:val="continue"/>
                  <w:tcBorders>
                    <w:tl2br w:val="nil"/>
                    <w:tr2bl w:val="nil"/>
                  </w:tcBorders>
                  <w:vAlign w:val="center"/>
                </w:tcPr>
                <w:p w14:paraId="585CFFE7">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p>
              </w:tc>
              <w:tc>
                <w:tcPr>
                  <w:tcW w:w="448" w:type="pct"/>
                  <w:vMerge w:val="continue"/>
                  <w:tcBorders>
                    <w:tl2br w:val="nil"/>
                    <w:tr2bl w:val="nil"/>
                  </w:tcBorders>
                  <w:vAlign w:val="center"/>
                </w:tcPr>
                <w:p w14:paraId="3866E81E">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p>
              </w:tc>
              <w:tc>
                <w:tcPr>
                  <w:tcW w:w="654" w:type="pct"/>
                  <w:gridSpan w:val="2"/>
                  <w:tcBorders>
                    <w:tl2br w:val="nil"/>
                    <w:tr2bl w:val="nil"/>
                  </w:tcBorders>
                  <w:vAlign w:val="center"/>
                </w:tcPr>
                <w:p w14:paraId="0D2BCD19">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临港高新产业园区</w:t>
                  </w:r>
                </w:p>
              </w:tc>
              <w:tc>
                <w:tcPr>
                  <w:tcW w:w="2736" w:type="pct"/>
                  <w:gridSpan w:val="2"/>
                  <w:tcBorders>
                    <w:tl2br w:val="nil"/>
                    <w:tr2bl w:val="nil"/>
                  </w:tcBorders>
                  <w:shd w:val="clear" w:color="auto" w:fill="auto"/>
                  <w:vAlign w:val="center"/>
                </w:tcPr>
                <w:p w14:paraId="290612B8">
                  <w:pPr>
                    <w:keepNext w:val="0"/>
                    <w:keepLines w:val="0"/>
                    <w:pageBreakBefore w:val="0"/>
                    <w:kinsoku/>
                    <w:wordWrap/>
                    <w:overflowPunct/>
                    <w:topLinePunct w:val="0"/>
                    <w:autoSpaceDE/>
                    <w:autoSpaceDN/>
                    <w:bidi w:val="0"/>
                    <w:adjustRightInd/>
                    <w:snapToGrid/>
                    <w:spacing w:line="240" w:lineRule="auto"/>
                    <w:ind w:right="0" w:rightChars="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rPr>
                    <w:t>15#、21#、2</w:t>
                  </w:r>
                  <w:r>
                    <w:rPr>
                      <w:rFonts w:hint="default" w:ascii="Times New Roman" w:hAnsi="Times New Roman" w:eastAsia="宋体" w:cs="Times New Roman"/>
                      <w:color w:val="auto"/>
                      <w:sz w:val="21"/>
                      <w:szCs w:val="21"/>
                      <w:highlight w:val="none"/>
                      <w:u w:val="none" w:color="auto"/>
                      <w:lang w:val="en-US" w:eastAsia="zh-CN"/>
                    </w:rPr>
                    <w:t>2</w:t>
                  </w:r>
                  <w:r>
                    <w:rPr>
                      <w:rFonts w:hint="default" w:ascii="Times New Roman" w:hAnsi="Times New Roman" w:eastAsia="宋体" w:cs="Times New Roman"/>
                      <w:color w:val="auto"/>
                      <w:sz w:val="21"/>
                      <w:szCs w:val="21"/>
                      <w:highlight w:val="none"/>
                      <w:u w:val="none" w:color="auto"/>
                    </w:rPr>
                    <w:t>#栋厂房拟分别新增空压站</w:t>
                  </w:r>
                  <w:r>
                    <w:rPr>
                      <w:rFonts w:hint="default" w:ascii="Times New Roman" w:hAnsi="Times New Roman" w:eastAsia="宋体" w:cs="Times New Roman"/>
                      <w:color w:val="auto"/>
                      <w:sz w:val="21"/>
                      <w:szCs w:val="21"/>
                      <w:highlight w:val="none"/>
                      <w:u w:val="none" w:color="auto"/>
                      <w:lang w:eastAsia="zh-CN"/>
                    </w:rPr>
                    <w:t>，</w:t>
                  </w:r>
                  <w:r>
                    <w:rPr>
                      <w:rFonts w:hint="default" w:ascii="Times New Roman" w:hAnsi="Times New Roman" w:eastAsia="宋体" w:cs="Times New Roman"/>
                      <w:color w:val="auto"/>
                      <w:sz w:val="21"/>
                      <w:szCs w:val="21"/>
                      <w:highlight w:val="none"/>
                      <w:u w:val="none" w:color="auto"/>
                      <w:lang w:val="en-US" w:eastAsia="zh-CN"/>
                    </w:rPr>
                    <w:t>均为1用1备</w:t>
                  </w:r>
                </w:p>
              </w:tc>
              <w:tc>
                <w:tcPr>
                  <w:tcW w:w="859" w:type="pct"/>
                  <w:tcBorders>
                    <w:tl2br w:val="nil"/>
                    <w:tr2bl w:val="nil"/>
                  </w:tcBorders>
                  <w:vAlign w:val="center"/>
                </w:tcPr>
                <w:p w14:paraId="050928B2">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新增</w:t>
                  </w:r>
                </w:p>
              </w:tc>
            </w:tr>
            <w:tr w14:paraId="7830D86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02" w:type="pct"/>
                  <w:vMerge w:val="continue"/>
                  <w:tcBorders>
                    <w:tl2br w:val="nil"/>
                    <w:tr2bl w:val="nil"/>
                  </w:tcBorders>
                  <w:vAlign w:val="center"/>
                </w:tcPr>
                <w:p w14:paraId="3A169EA7">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p>
              </w:tc>
              <w:tc>
                <w:tcPr>
                  <w:tcW w:w="448" w:type="pct"/>
                  <w:tcBorders>
                    <w:tl2br w:val="nil"/>
                    <w:tr2bl w:val="nil"/>
                  </w:tcBorders>
                  <w:shd w:val="clear" w:color="auto" w:fill="auto"/>
                  <w:vAlign w:val="center"/>
                </w:tcPr>
                <w:p w14:paraId="5E5CADAF">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lang w:val="en-US" w:eastAsia="zh-CN"/>
                    </w:rPr>
                    <w:t>循环水系统</w:t>
                  </w:r>
                </w:p>
              </w:tc>
              <w:tc>
                <w:tcPr>
                  <w:tcW w:w="654" w:type="pct"/>
                  <w:gridSpan w:val="2"/>
                  <w:vMerge w:val="restart"/>
                  <w:tcBorders>
                    <w:tl2br w:val="nil"/>
                    <w:tr2bl w:val="nil"/>
                  </w:tcBorders>
                  <w:shd w:val="clear" w:color="auto" w:fill="auto"/>
                  <w:vAlign w:val="center"/>
                </w:tcPr>
                <w:p w14:paraId="009EC337">
                  <w:pPr>
                    <w:keepNext w:val="0"/>
                    <w:keepLines w:val="0"/>
                    <w:pageBreakBefore w:val="0"/>
                    <w:kinsoku/>
                    <w:wordWrap/>
                    <w:overflowPunct/>
                    <w:topLinePunct w:val="0"/>
                    <w:autoSpaceDE/>
                    <w:autoSpaceDN/>
                    <w:bidi w:val="0"/>
                    <w:adjustRightInd/>
                    <w:snapToGrid/>
                    <w:spacing w:line="240" w:lineRule="auto"/>
                    <w:ind w:right="0" w:rightChars="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中创空天厂区</w:t>
                  </w:r>
                </w:p>
              </w:tc>
              <w:tc>
                <w:tcPr>
                  <w:tcW w:w="2736" w:type="pct"/>
                  <w:gridSpan w:val="2"/>
                  <w:tcBorders>
                    <w:tl2br w:val="nil"/>
                    <w:tr2bl w:val="nil"/>
                  </w:tcBorders>
                  <w:shd w:val="clear" w:color="auto" w:fill="auto"/>
                  <w:vAlign w:val="center"/>
                </w:tcPr>
                <w:p w14:paraId="2CE10931">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rPr>
                    <w:t>铝合金熔铸车间新增的压铸机、冷却水槽、模温机等设备需供应循环冷却水，循环冷却水最大流量约78m</w:t>
                  </w:r>
                  <w:r>
                    <w:rPr>
                      <w:rFonts w:hint="default" w:ascii="Times New Roman" w:hAnsi="Times New Roman" w:eastAsia="宋体" w:cs="Times New Roman"/>
                      <w:color w:val="auto"/>
                      <w:sz w:val="21"/>
                      <w:szCs w:val="21"/>
                      <w:highlight w:val="none"/>
                      <w:u w:val="none" w:color="auto"/>
                      <w:vertAlign w:val="superscript"/>
                    </w:rPr>
                    <w:t>3</w:t>
                  </w:r>
                  <w:r>
                    <w:rPr>
                      <w:rFonts w:hint="default" w:ascii="Times New Roman" w:hAnsi="Times New Roman" w:eastAsia="宋体" w:cs="Times New Roman"/>
                      <w:color w:val="auto"/>
                      <w:sz w:val="21"/>
                      <w:szCs w:val="21"/>
                      <w:highlight w:val="none"/>
                      <w:u w:val="none" w:color="auto"/>
                    </w:rPr>
                    <w:t>/h</w:t>
                  </w:r>
                  <w:r>
                    <w:rPr>
                      <w:rFonts w:hint="default" w:ascii="Times New Roman" w:hAnsi="Times New Roman" w:eastAsia="宋体" w:cs="Times New Roman"/>
                      <w:color w:val="auto"/>
                      <w:sz w:val="21"/>
                      <w:szCs w:val="21"/>
                      <w:highlight w:val="none"/>
                      <w:u w:val="none" w:color="auto"/>
                      <w:lang w:eastAsia="zh-CN"/>
                    </w:rPr>
                    <w:t>，</w:t>
                  </w:r>
                  <w:r>
                    <w:rPr>
                      <w:rFonts w:hint="default" w:ascii="Times New Roman" w:hAnsi="Times New Roman" w:eastAsia="宋体" w:cs="Times New Roman"/>
                      <w:color w:val="auto"/>
                      <w:sz w:val="21"/>
                      <w:szCs w:val="21"/>
                      <w:highlight w:val="none"/>
                      <w:u w:val="none" w:color="auto"/>
                    </w:rPr>
                    <w:t>利用中创空天厂区现有循环水站集中供应，循环水管道就近接入厂区循环水管网</w:t>
                  </w:r>
                </w:p>
              </w:tc>
              <w:tc>
                <w:tcPr>
                  <w:tcW w:w="859" w:type="pct"/>
                  <w:tcBorders>
                    <w:tl2br w:val="nil"/>
                    <w:tr2bl w:val="nil"/>
                  </w:tcBorders>
                  <w:shd w:val="clear" w:color="auto" w:fill="auto"/>
                  <w:vAlign w:val="center"/>
                </w:tcPr>
                <w:p w14:paraId="3006FFD9">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lang w:val="en-US" w:eastAsia="zh-CN"/>
                    </w:rPr>
                    <w:t>依托中创空天厂区现有循环水站</w:t>
                  </w:r>
                </w:p>
              </w:tc>
            </w:tr>
            <w:tr w14:paraId="02A42BB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02" w:type="pct"/>
                  <w:vMerge w:val="continue"/>
                  <w:tcBorders>
                    <w:tl2br w:val="nil"/>
                    <w:tr2bl w:val="nil"/>
                  </w:tcBorders>
                  <w:vAlign w:val="center"/>
                </w:tcPr>
                <w:p w14:paraId="675E5EB6">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p>
              </w:tc>
              <w:tc>
                <w:tcPr>
                  <w:tcW w:w="448" w:type="pct"/>
                  <w:tcBorders>
                    <w:tl2br w:val="nil"/>
                    <w:tr2bl w:val="nil"/>
                  </w:tcBorders>
                  <w:shd w:val="clear" w:color="auto" w:fill="auto"/>
                  <w:vAlign w:val="center"/>
                </w:tcPr>
                <w:p w14:paraId="6D3C9412">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lang w:val="en-US" w:eastAsia="zh-CN"/>
                    </w:rPr>
                    <w:t>应急水系统</w:t>
                  </w:r>
                </w:p>
              </w:tc>
              <w:tc>
                <w:tcPr>
                  <w:tcW w:w="654" w:type="pct"/>
                  <w:gridSpan w:val="2"/>
                  <w:vMerge w:val="continue"/>
                  <w:tcBorders>
                    <w:tl2br w:val="nil"/>
                    <w:tr2bl w:val="nil"/>
                  </w:tcBorders>
                  <w:shd w:val="clear" w:color="auto" w:fill="auto"/>
                  <w:vAlign w:val="center"/>
                </w:tcPr>
                <w:p w14:paraId="235E25E5">
                  <w:pPr>
                    <w:keepNext w:val="0"/>
                    <w:keepLines w:val="0"/>
                    <w:pageBreakBefore w:val="0"/>
                    <w:kinsoku/>
                    <w:wordWrap/>
                    <w:overflowPunct/>
                    <w:topLinePunct w:val="0"/>
                    <w:autoSpaceDE/>
                    <w:autoSpaceDN/>
                    <w:bidi w:val="0"/>
                    <w:adjustRightInd/>
                    <w:snapToGrid/>
                    <w:spacing w:line="240" w:lineRule="auto"/>
                    <w:ind w:right="0" w:rightChars="0"/>
                    <w:jc w:val="center"/>
                    <w:textAlignment w:val="auto"/>
                    <w:rPr>
                      <w:rFonts w:hint="default" w:ascii="Times New Roman" w:hAnsi="Times New Roman" w:eastAsia="宋体" w:cs="Times New Roman"/>
                      <w:color w:val="auto"/>
                      <w:sz w:val="21"/>
                      <w:szCs w:val="21"/>
                      <w:highlight w:val="none"/>
                      <w:u w:val="none" w:color="auto"/>
                      <w:lang w:val="en-US" w:eastAsia="zh-CN"/>
                    </w:rPr>
                  </w:pPr>
                </w:p>
              </w:tc>
              <w:tc>
                <w:tcPr>
                  <w:tcW w:w="2736" w:type="pct"/>
                  <w:gridSpan w:val="2"/>
                  <w:tcBorders>
                    <w:tl2br w:val="nil"/>
                    <w:tr2bl w:val="nil"/>
                  </w:tcBorders>
                  <w:shd w:val="clear" w:color="auto" w:fill="auto"/>
                  <w:vAlign w:val="center"/>
                </w:tcPr>
                <w:p w14:paraId="3CE5B4B5">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rPr>
                    <w:t>项目铝水熔化炉、保温炉、铸锭机、压铸机等设备采用循环冷却水冷却，需设置应急水源，拟利用</w:t>
                  </w:r>
                  <w:r>
                    <w:rPr>
                      <w:rFonts w:hint="default" w:ascii="Times New Roman" w:hAnsi="Times New Roman" w:eastAsia="宋体" w:cs="Times New Roman"/>
                      <w:color w:val="auto"/>
                      <w:sz w:val="21"/>
                      <w:szCs w:val="21"/>
                      <w:highlight w:val="none"/>
                      <w:u w:val="none" w:color="auto"/>
                      <w:lang w:eastAsia="zh-CN"/>
                    </w:rPr>
                    <w:t>中创空天厂区</w:t>
                  </w:r>
                  <w:r>
                    <w:rPr>
                      <w:rFonts w:hint="default" w:ascii="Times New Roman" w:hAnsi="Times New Roman" w:eastAsia="宋体" w:cs="Times New Roman"/>
                      <w:color w:val="auto"/>
                      <w:sz w:val="21"/>
                      <w:szCs w:val="21"/>
                      <w:highlight w:val="none"/>
                      <w:u w:val="none" w:color="auto"/>
                    </w:rPr>
                    <w:t>应急水塔及已建设完成的厂区应急水管网直接接管供应</w:t>
                  </w:r>
                </w:p>
              </w:tc>
              <w:tc>
                <w:tcPr>
                  <w:tcW w:w="859" w:type="pct"/>
                  <w:tcBorders>
                    <w:tl2br w:val="nil"/>
                    <w:tr2bl w:val="nil"/>
                  </w:tcBorders>
                  <w:shd w:val="clear" w:color="auto" w:fill="auto"/>
                  <w:vAlign w:val="center"/>
                </w:tcPr>
                <w:p w14:paraId="62645EEF">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lang w:val="en-US" w:eastAsia="zh-CN"/>
                    </w:rPr>
                    <w:t>依托中创空天厂区应急水供应系统</w:t>
                  </w:r>
                </w:p>
              </w:tc>
            </w:tr>
            <w:tr w14:paraId="30D4570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6" w:hRule="atLeast"/>
              </w:trPr>
              <w:tc>
                <w:tcPr>
                  <w:tcW w:w="302" w:type="pct"/>
                  <w:vMerge w:val="restart"/>
                  <w:tcBorders>
                    <w:tl2br w:val="nil"/>
                    <w:tr2bl w:val="nil"/>
                  </w:tcBorders>
                  <w:vAlign w:val="center"/>
                </w:tcPr>
                <w:p w14:paraId="2D6056A4">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环保工程</w:t>
                  </w:r>
                </w:p>
              </w:tc>
              <w:tc>
                <w:tcPr>
                  <w:tcW w:w="448" w:type="pct"/>
                  <w:vMerge w:val="restart"/>
                  <w:tcBorders>
                    <w:tl2br w:val="nil"/>
                    <w:tr2bl w:val="nil"/>
                  </w:tcBorders>
                  <w:vAlign w:val="center"/>
                </w:tcPr>
                <w:p w14:paraId="085A914F">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b w:val="0"/>
                      <w:bCs w:val="0"/>
                      <w:color w:val="auto"/>
                      <w:sz w:val="21"/>
                      <w:szCs w:val="21"/>
                      <w:highlight w:val="none"/>
                      <w:u w:val="none" w:color="auto"/>
                      <w:lang w:val="en-US" w:eastAsia="zh-CN"/>
                    </w:rPr>
                    <w:t>废气</w:t>
                  </w:r>
                </w:p>
              </w:tc>
              <w:tc>
                <w:tcPr>
                  <w:tcW w:w="210" w:type="pct"/>
                  <w:vMerge w:val="restart"/>
                  <w:tcBorders>
                    <w:tl2br w:val="nil"/>
                    <w:tr2bl w:val="nil"/>
                  </w:tcBorders>
                  <w:vAlign w:val="center"/>
                </w:tcPr>
                <w:p w14:paraId="5B85B7F3">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中创空天厂区</w:t>
                  </w:r>
                </w:p>
              </w:tc>
              <w:tc>
                <w:tcPr>
                  <w:tcW w:w="443" w:type="pct"/>
                  <w:tcBorders>
                    <w:tl2br w:val="nil"/>
                    <w:tr2bl w:val="nil"/>
                  </w:tcBorders>
                  <w:shd w:val="clear" w:color="auto" w:fill="auto"/>
                  <w:vAlign w:val="center"/>
                </w:tcPr>
                <w:p w14:paraId="79A86992">
                  <w:pPr>
                    <w:keepNext w:val="0"/>
                    <w:keepLines w:val="0"/>
                    <w:pageBreakBefore w:val="0"/>
                    <w:kinsoku/>
                    <w:wordWrap/>
                    <w:overflowPunct/>
                    <w:topLinePunct w:val="0"/>
                    <w:autoSpaceDE/>
                    <w:autoSpaceDN/>
                    <w:bidi w:val="0"/>
                    <w:adjustRightInd/>
                    <w:snapToGrid/>
                    <w:spacing w:line="240" w:lineRule="auto"/>
                    <w:ind w:right="0" w:rightChars="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lang w:val="en-US" w:eastAsia="zh-CN"/>
                    </w:rPr>
                    <w:t>熔铸二厂</w:t>
                  </w:r>
                </w:p>
              </w:tc>
              <w:tc>
                <w:tcPr>
                  <w:tcW w:w="2736" w:type="pct"/>
                  <w:gridSpan w:val="2"/>
                  <w:tcBorders>
                    <w:tl2br w:val="nil"/>
                    <w:tr2bl w:val="nil"/>
                  </w:tcBorders>
                  <w:vAlign w:val="center"/>
                </w:tcPr>
                <w:p w14:paraId="20CB0BAD">
                  <w:pPr>
                    <w:keepNext w:val="0"/>
                    <w:keepLines w:val="0"/>
                    <w:pageBreakBefore w:val="0"/>
                    <w:kinsoku/>
                    <w:wordWrap/>
                    <w:overflowPunct/>
                    <w:topLinePunct w:val="0"/>
                    <w:autoSpaceDE/>
                    <w:autoSpaceDN/>
                    <w:bidi w:val="0"/>
                    <w:adjustRightInd/>
                    <w:snapToGrid/>
                    <w:spacing w:line="240" w:lineRule="auto"/>
                    <w:ind w:right="0"/>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50t双室熔化炉、35t熔化炉、45t熔化炉</w:t>
                  </w:r>
                  <w:r>
                    <w:rPr>
                      <w:rFonts w:hint="default" w:ascii="Times New Roman" w:hAnsi="Times New Roman" w:eastAsia="宋体" w:cs="Times New Roman"/>
                      <w:color w:val="auto"/>
                      <w:sz w:val="21"/>
                      <w:szCs w:val="21"/>
                      <w:highlight w:val="none"/>
                      <w:u w:val="none" w:color="auto"/>
                    </w:rPr>
                    <w:t>废气</w:t>
                  </w:r>
                  <w:r>
                    <w:rPr>
                      <w:rFonts w:hint="default" w:ascii="Times New Roman" w:hAnsi="Times New Roman" w:eastAsia="宋体" w:cs="Times New Roman"/>
                      <w:color w:val="auto"/>
                      <w:sz w:val="21"/>
                      <w:szCs w:val="21"/>
                      <w:highlight w:val="none"/>
                      <w:u w:val="none" w:color="auto"/>
                      <w:lang w:eastAsia="zh-CN"/>
                    </w:rPr>
                    <w:t>、</w:t>
                  </w:r>
                  <w:r>
                    <w:rPr>
                      <w:rFonts w:hint="default" w:ascii="Times New Roman" w:hAnsi="Times New Roman" w:eastAsia="宋体" w:cs="Times New Roman"/>
                      <w:color w:val="auto"/>
                      <w:sz w:val="21"/>
                      <w:szCs w:val="21"/>
                      <w:highlight w:val="none"/>
                      <w:u w:val="none" w:color="auto"/>
                      <w:lang w:val="en-US" w:eastAsia="zh-CN"/>
                    </w:rPr>
                    <w:t>35t保温炉</w:t>
                  </w:r>
                  <w:r>
                    <w:rPr>
                      <w:rFonts w:hint="default" w:ascii="Times New Roman" w:hAnsi="Times New Roman" w:eastAsia="宋体" w:cs="Times New Roman"/>
                      <w:color w:val="auto"/>
                      <w:sz w:val="21"/>
                      <w:szCs w:val="21"/>
                      <w:highlight w:val="none"/>
                      <w:u w:val="none" w:color="auto"/>
                    </w:rPr>
                    <w:t>：</w:t>
                  </w:r>
                  <w:r>
                    <w:rPr>
                      <w:rFonts w:hint="default" w:ascii="Times New Roman" w:hAnsi="Times New Roman" w:eastAsia="宋体" w:cs="Times New Roman"/>
                      <w:color w:val="auto"/>
                      <w:sz w:val="21"/>
                      <w:szCs w:val="21"/>
                      <w:highlight w:val="none"/>
                      <w:u w:val="none" w:color="auto"/>
                      <w:lang w:val="en-US" w:eastAsia="zh-CN"/>
                    </w:rPr>
                    <w:t>生物质颗粒、天然气燃烧废气、熔化废气、扒渣、精炼除气、</w:t>
                  </w:r>
                  <w:r>
                    <w:rPr>
                      <w:rFonts w:hint="default" w:ascii="Times New Roman" w:hAnsi="Times New Roman" w:eastAsia="宋体" w:cs="Times New Roman"/>
                      <w:color w:val="auto"/>
                      <w:sz w:val="21"/>
                      <w:szCs w:val="21"/>
                      <w:highlight w:val="none"/>
                      <w:u w:val="none" w:color="auto"/>
                    </w:rPr>
                    <w:t>铝渣处理</w:t>
                  </w:r>
                  <w:r>
                    <w:rPr>
                      <w:rFonts w:hint="default" w:ascii="Times New Roman" w:hAnsi="Times New Roman" w:eastAsia="宋体" w:cs="Times New Roman"/>
                      <w:color w:val="auto"/>
                      <w:sz w:val="21"/>
                      <w:szCs w:val="21"/>
                      <w:highlight w:val="none"/>
                      <w:u w:val="none" w:color="auto"/>
                      <w:lang w:val="en-US" w:eastAsia="zh-CN"/>
                    </w:rPr>
                    <w:t>装置等工序废气</w:t>
                  </w:r>
                  <w:r>
                    <w:rPr>
                      <w:rFonts w:hint="default" w:ascii="Times New Roman" w:hAnsi="Times New Roman" w:eastAsia="宋体" w:cs="Times New Roman"/>
                      <w:color w:val="auto"/>
                      <w:sz w:val="21"/>
                      <w:szCs w:val="21"/>
                      <w:highlight w:val="none"/>
                      <w:u w:val="none" w:color="auto"/>
                    </w:rPr>
                    <w:t>经集气罩收集混合后，</w:t>
                  </w:r>
                  <w:r>
                    <w:rPr>
                      <w:rFonts w:hint="default" w:ascii="Times New Roman" w:hAnsi="Times New Roman" w:eastAsia="宋体" w:cs="Times New Roman"/>
                      <w:color w:val="auto"/>
                      <w:sz w:val="21"/>
                      <w:szCs w:val="21"/>
                      <w:highlight w:val="none"/>
                      <w:u w:val="none" w:color="auto"/>
                      <w:lang w:val="en-US" w:eastAsia="zh-CN"/>
                    </w:rPr>
                    <w:t>进入TA010废气处理系统（烟气冷却+多管重力除尘+布袋除尘）处理，达标后经20m高排气筒（DA010）排放</w:t>
                  </w:r>
                </w:p>
              </w:tc>
              <w:tc>
                <w:tcPr>
                  <w:tcW w:w="859" w:type="pct"/>
                  <w:vMerge w:val="restart"/>
                  <w:tcBorders>
                    <w:tl2br w:val="nil"/>
                    <w:tr2bl w:val="nil"/>
                  </w:tcBorders>
                  <w:vAlign w:val="center"/>
                </w:tcPr>
                <w:p w14:paraId="06A560C4">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本次新增</w:t>
                  </w:r>
                </w:p>
              </w:tc>
            </w:tr>
            <w:tr w14:paraId="4450C1A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67" w:hRule="atLeast"/>
              </w:trPr>
              <w:tc>
                <w:tcPr>
                  <w:tcW w:w="302" w:type="pct"/>
                  <w:vMerge w:val="continue"/>
                  <w:tcBorders>
                    <w:tl2br w:val="nil"/>
                    <w:tr2bl w:val="nil"/>
                  </w:tcBorders>
                  <w:vAlign w:val="center"/>
                </w:tcPr>
                <w:p w14:paraId="13317061">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p>
              </w:tc>
              <w:tc>
                <w:tcPr>
                  <w:tcW w:w="448" w:type="pct"/>
                  <w:vMerge w:val="continue"/>
                  <w:tcBorders>
                    <w:tl2br w:val="nil"/>
                    <w:tr2bl w:val="nil"/>
                  </w:tcBorders>
                  <w:vAlign w:val="center"/>
                </w:tcPr>
                <w:p w14:paraId="35CE2624">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p>
              </w:tc>
              <w:tc>
                <w:tcPr>
                  <w:tcW w:w="210" w:type="pct"/>
                  <w:vMerge w:val="continue"/>
                  <w:tcBorders>
                    <w:tl2br w:val="nil"/>
                    <w:tr2bl w:val="nil"/>
                  </w:tcBorders>
                  <w:vAlign w:val="center"/>
                </w:tcPr>
                <w:p w14:paraId="68A2D9A1">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p>
              </w:tc>
              <w:tc>
                <w:tcPr>
                  <w:tcW w:w="443" w:type="pct"/>
                  <w:vMerge w:val="restart"/>
                  <w:tcBorders>
                    <w:tl2br w:val="nil"/>
                    <w:tr2bl w:val="nil"/>
                  </w:tcBorders>
                  <w:shd w:val="clear" w:color="auto" w:fill="auto"/>
                  <w:vAlign w:val="center"/>
                </w:tcPr>
                <w:p w14:paraId="458AA308">
                  <w:pPr>
                    <w:keepNext w:val="0"/>
                    <w:keepLines w:val="0"/>
                    <w:pageBreakBefore w:val="0"/>
                    <w:kinsoku/>
                    <w:wordWrap/>
                    <w:overflowPunct/>
                    <w:topLinePunct w:val="0"/>
                    <w:autoSpaceDE/>
                    <w:autoSpaceDN/>
                    <w:bidi w:val="0"/>
                    <w:adjustRightInd/>
                    <w:snapToGrid/>
                    <w:spacing w:line="240" w:lineRule="auto"/>
                    <w:ind w:right="0" w:rightChars="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lang w:val="en-US" w:eastAsia="zh-CN"/>
                    </w:rPr>
                    <w:t>熔铸一厂</w:t>
                  </w:r>
                </w:p>
              </w:tc>
              <w:tc>
                <w:tcPr>
                  <w:tcW w:w="2736" w:type="pct"/>
                  <w:gridSpan w:val="2"/>
                  <w:tcBorders>
                    <w:tl2br w:val="nil"/>
                    <w:tr2bl w:val="nil"/>
                  </w:tcBorders>
                  <w:vAlign w:val="center"/>
                </w:tcPr>
                <w:p w14:paraId="376AB153">
                  <w:pPr>
                    <w:keepNext w:val="0"/>
                    <w:keepLines w:val="0"/>
                    <w:pageBreakBefore w:val="0"/>
                    <w:kinsoku/>
                    <w:wordWrap/>
                    <w:overflowPunct/>
                    <w:topLinePunct w:val="0"/>
                    <w:autoSpaceDE/>
                    <w:autoSpaceDN/>
                    <w:bidi w:val="0"/>
                    <w:adjustRightInd/>
                    <w:snapToGrid/>
                    <w:spacing w:line="240" w:lineRule="auto"/>
                    <w:ind w:right="0"/>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压铸岛工序废气经集气罩收集后，进入TA011废气处理系统（布袋除尘+活性炭吸附）处理，达标后经20m高排气筒（DA011）排放</w:t>
                  </w:r>
                </w:p>
              </w:tc>
              <w:tc>
                <w:tcPr>
                  <w:tcW w:w="859" w:type="pct"/>
                  <w:vMerge w:val="continue"/>
                  <w:tcBorders>
                    <w:tl2br w:val="nil"/>
                    <w:tr2bl w:val="nil"/>
                  </w:tcBorders>
                  <w:vAlign w:val="center"/>
                </w:tcPr>
                <w:p w14:paraId="0586E210">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p>
              </w:tc>
            </w:tr>
            <w:tr w14:paraId="463BD7F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67" w:hRule="atLeast"/>
              </w:trPr>
              <w:tc>
                <w:tcPr>
                  <w:tcW w:w="302" w:type="pct"/>
                  <w:vMerge w:val="continue"/>
                  <w:tcBorders>
                    <w:tl2br w:val="nil"/>
                    <w:tr2bl w:val="nil"/>
                  </w:tcBorders>
                  <w:vAlign w:val="center"/>
                </w:tcPr>
                <w:p w14:paraId="52046089">
                  <w:pPr>
                    <w:keepNext w:val="0"/>
                    <w:keepLines w:val="0"/>
                    <w:pageBreakBefore w:val="0"/>
                    <w:kinsoku/>
                    <w:wordWrap/>
                    <w:overflowPunct/>
                    <w:topLinePunct w:val="0"/>
                    <w:autoSpaceDE/>
                    <w:autoSpaceDN/>
                    <w:bidi w:val="0"/>
                    <w:adjustRightInd/>
                    <w:snapToGrid/>
                    <w:spacing w:line="240" w:lineRule="auto"/>
                    <w:ind w:right="0"/>
                    <w:textAlignment w:val="auto"/>
                    <w:rPr>
                      <w:rFonts w:hint="default" w:ascii="Times New Roman" w:hAnsi="Times New Roman" w:eastAsia="宋体" w:cs="Times New Roman"/>
                      <w:color w:val="auto"/>
                      <w:sz w:val="21"/>
                      <w:szCs w:val="21"/>
                      <w:highlight w:val="none"/>
                      <w:u w:val="none" w:color="auto"/>
                    </w:rPr>
                  </w:pPr>
                </w:p>
              </w:tc>
              <w:tc>
                <w:tcPr>
                  <w:tcW w:w="448" w:type="pct"/>
                  <w:vMerge w:val="continue"/>
                  <w:tcBorders>
                    <w:tl2br w:val="nil"/>
                    <w:tr2bl w:val="nil"/>
                  </w:tcBorders>
                  <w:vAlign w:val="center"/>
                </w:tcPr>
                <w:p w14:paraId="3B1DC933">
                  <w:pPr>
                    <w:keepNext w:val="0"/>
                    <w:keepLines w:val="0"/>
                    <w:pageBreakBefore w:val="0"/>
                    <w:kinsoku/>
                    <w:wordWrap/>
                    <w:overflowPunct/>
                    <w:topLinePunct w:val="0"/>
                    <w:autoSpaceDE/>
                    <w:autoSpaceDN/>
                    <w:bidi w:val="0"/>
                    <w:adjustRightInd/>
                    <w:snapToGrid/>
                    <w:spacing w:line="240" w:lineRule="auto"/>
                    <w:ind w:right="0"/>
                    <w:textAlignment w:val="auto"/>
                    <w:rPr>
                      <w:rFonts w:hint="default" w:ascii="Times New Roman" w:hAnsi="Times New Roman" w:eastAsia="宋体" w:cs="Times New Roman"/>
                      <w:color w:val="auto"/>
                      <w:sz w:val="21"/>
                      <w:szCs w:val="21"/>
                      <w:highlight w:val="none"/>
                      <w:u w:val="none" w:color="auto"/>
                    </w:rPr>
                  </w:pPr>
                </w:p>
              </w:tc>
              <w:tc>
                <w:tcPr>
                  <w:tcW w:w="210" w:type="pct"/>
                  <w:vMerge w:val="continue"/>
                  <w:tcBorders>
                    <w:tl2br w:val="nil"/>
                    <w:tr2bl w:val="nil"/>
                  </w:tcBorders>
                  <w:vAlign w:val="center"/>
                </w:tcPr>
                <w:p w14:paraId="7D93320F">
                  <w:pPr>
                    <w:keepNext w:val="0"/>
                    <w:keepLines w:val="0"/>
                    <w:pageBreakBefore w:val="0"/>
                    <w:kinsoku/>
                    <w:wordWrap/>
                    <w:overflowPunct/>
                    <w:topLinePunct w:val="0"/>
                    <w:autoSpaceDE/>
                    <w:autoSpaceDN/>
                    <w:bidi w:val="0"/>
                    <w:adjustRightInd/>
                    <w:snapToGrid/>
                    <w:spacing w:line="240" w:lineRule="auto"/>
                    <w:ind w:right="0"/>
                    <w:textAlignment w:val="auto"/>
                    <w:rPr>
                      <w:rFonts w:hint="default" w:ascii="Times New Roman" w:hAnsi="Times New Roman" w:eastAsia="宋体" w:cs="Times New Roman"/>
                      <w:color w:val="auto"/>
                      <w:sz w:val="21"/>
                      <w:szCs w:val="21"/>
                      <w:highlight w:val="none"/>
                      <w:u w:val="none" w:color="auto"/>
                    </w:rPr>
                  </w:pPr>
                </w:p>
              </w:tc>
              <w:tc>
                <w:tcPr>
                  <w:tcW w:w="443" w:type="pct"/>
                  <w:vMerge w:val="continue"/>
                  <w:tcBorders>
                    <w:tl2br w:val="nil"/>
                    <w:tr2bl w:val="nil"/>
                  </w:tcBorders>
                  <w:shd w:val="clear" w:color="auto" w:fill="auto"/>
                  <w:vAlign w:val="center"/>
                </w:tcPr>
                <w:p w14:paraId="0DBB5989">
                  <w:pPr>
                    <w:keepNext w:val="0"/>
                    <w:keepLines w:val="0"/>
                    <w:pageBreakBefore w:val="0"/>
                    <w:kinsoku/>
                    <w:wordWrap/>
                    <w:overflowPunct/>
                    <w:topLinePunct w:val="0"/>
                    <w:autoSpaceDE/>
                    <w:autoSpaceDN/>
                    <w:bidi w:val="0"/>
                    <w:adjustRightInd/>
                    <w:snapToGrid/>
                    <w:spacing w:line="240" w:lineRule="auto"/>
                    <w:ind w:right="0"/>
                    <w:textAlignment w:val="auto"/>
                    <w:rPr>
                      <w:rFonts w:hint="default" w:ascii="Times New Roman" w:hAnsi="Times New Roman" w:eastAsia="宋体" w:cs="Times New Roman"/>
                      <w:color w:val="auto"/>
                      <w:sz w:val="21"/>
                      <w:szCs w:val="21"/>
                      <w:highlight w:val="none"/>
                      <w:u w:val="none" w:color="auto"/>
                    </w:rPr>
                  </w:pPr>
                </w:p>
              </w:tc>
              <w:tc>
                <w:tcPr>
                  <w:tcW w:w="2736" w:type="pct"/>
                  <w:gridSpan w:val="2"/>
                  <w:tcBorders>
                    <w:tl2br w:val="nil"/>
                    <w:tr2bl w:val="nil"/>
                  </w:tcBorders>
                  <w:vAlign w:val="center"/>
                </w:tcPr>
                <w:p w14:paraId="4E178B8A">
                  <w:pPr>
                    <w:keepNext w:val="0"/>
                    <w:keepLines w:val="0"/>
                    <w:pageBreakBefore w:val="0"/>
                    <w:kinsoku/>
                    <w:wordWrap/>
                    <w:overflowPunct/>
                    <w:topLinePunct w:val="0"/>
                    <w:autoSpaceDE/>
                    <w:autoSpaceDN/>
                    <w:bidi w:val="0"/>
                    <w:adjustRightInd/>
                    <w:snapToGrid/>
                    <w:spacing w:line="240" w:lineRule="auto"/>
                    <w:ind w:right="0"/>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激光打标设备通过自带布袋除尘设施，处理后车间内排放</w:t>
                  </w:r>
                </w:p>
              </w:tc>
              <w:tc>
                <w:tcPr>
                  <w:tcW w:w="859" w:type="pct"/>
                  <w:vMerge w:val="continue"/>
                  <w:tcBorders>
                    <w:tl2br w:val="nil"/>
                    <w:tr2bl w:val="nil"/>
                  </w:tcBorders>
                  <w:vAlign w:val="center"/>
                </w:tcPr>
                <w:p w14:paraId="65EFA0AB">
                  <w:pPr>
                    <w:keepNext w:val="0"/>
                    <w:keepLines w:val="0"/>
                    <w:pageBreakBefore w:val="0"/>
                    <w:kinsoku/>
                    <w:wordWrap/>
                    <w:overflowPunct/>
                    <w:topLinePunct w:val="0"/>
                    <w:autoSpaceDE/>
                    <w:autoSpaceDN/>
                    <w:bidi w:val="0"/>
                    <w:adjustRightInd/>
                    <w:snapToGrid/>
                    <w:spacing w:line="240" w:lineRule="auto"/>
                    <w:ind w:right="0"/>
                    <w:textAlignment w:val="auto"/>
                    <w:rPr>
                      <w:rFonts w:hint="default" w:ascii="Times New Roman" w:hAnsi="Times New Roman" w:eastAsia="宋体" w:cs="Times New Roman"/>
                      <w:color w:val="auto"/>
                      <w:sz w:val="21"/>
                      <w:szCs w:val="21"/>
                      <w:highlight w:val="none"/>
                      <w:u w:val="none" w:color="auto"/>
                      <w:lang w:val="en-US" w:eastAsia="zh-CN"/>
                    </w:rPr>
                  </w:pPr>
                </w:p>
              </w:tc>
            </w:tr>
            <w:tr w14:paraId="358CFD6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6" w:hRule="atLeast"/>
              </w:trPr>
              <w:tc>
                <w:tcPr>
                  <w:tcW w:w="302" w:type="pct"/>
                  <w:vMerge w:val="continue"/>
                  <w:tcBorders>
                    <w:tl2br w:val="nil"/>
                    <w:tr2bl w:val="nil"/>
                  </w:tcBorders>
                  <w:vAlign w:val="center"/>
                </w:tcPr>
                <w:p w14:paraId="4CE0D3B4">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p>
              </w:tc>
              <w:tc>
                <w:tcPr>
                  <w:tcW w:w="448" w:type="pct"/>
                  <w:vMerge w:val="continue"/>
                  <w:tcBorders>
                    <w:tl2br w:val="nil"/>
                    <w:tr2bl w:val="nil"/>
                  </w:tcBorders>
                  <w:vAlign w:val="center"/>
                </w:tcPr>
                <w:p w14:paraId="40D55F2A">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p>
              </w:tc>
              <w:tc>
                <w:tcPr>
                  <w:tcW w:w="210" w:type="pct"/>
                  <w:vMerge w:val="continue"/>
                  <w:tcBorders>
                    <w:tl2br w:val="nil"/>
                    <w:tr2bl w:val="nil"/>
                  </w:tcBorders>
                  <w:shd w:val="clear" w:color="auto" w:fill="auto"/>
                  <w:vAlign w:val="center"/>
                </w:tcPr>
                <w:p w14:paraId="1E446215">
                  <w:pPr>
                    <w:keepNext w:val="0"/>
                    <w:keepLines w:val="0"/>
                    <w:pageBreakBefore w:val="0"/>
                    <w:kinsoku/>
                    <w:wordWrap/>
                    <w:overflowPunct/>
                    <w:topLinePunct w:val="0"/>
                    <w:autoSpaceDE/>
                    <w:autoSpaceDN/>
                    <w:bidi w:val="0"/>
                    <w:adjustRightInd/>
                    <w:snapToGrid/>
                    <w:spacing w:line="240" w:lineRule="auto"/>
                    <w:ind w:right="0" w:rightChars="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p>
              </w:tc>
              <w:tc>
                <w:tcPr>
                  <w:tcW w:w="443" w:type="pct"/>
                  <w:tcBorders>
                    <w:tl2br w:val="nil"/>
                    <w:tr2bl w:val="nil"/>
                  </w:tcBorders>
                  <w:shd w:val="clear" w:color="auto" w:fill="auto"/>
                  <w:vAlign w:val="center"/>
                </w:tcPr>
                <w:p w14:paraId="4838024B">
                  <w:pPr>
                    <w:keepNext w:val="0"/>
                    <w:keepLines w:val="0"/>
                    <w:pageBreakBefore w:val="0"/>
                    <w:kinsoku/>
                    <w:wordWrap/>
                    <w:overflowPunct/>
                    <w:topLinePunct w:val="0"/>
                    <w:autoSpaceDE/>
                    <w:autoSpaceDN/>
                    <w:bidi w:val="0"/>
                    <w:adjustRightInd/>
                    <w:snapToGrid/>
                    <w:spacing w:line="240" w:lineRule="auto"/>
                    <w:ind w:right="0" w:rightChars="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b w:val="0"/>
                      <w:bCs w:val="0"/>
                      <w:color w:val="auto"/>
                      <w:sz w:val="21"/>
                      <w:szCs w:val="21"/>
                      <w:highlight w:val="none"/>
                      <w:u w:val="none" w:color="auto"/>
                    </w:rPr>
                    <w:t>车间内未被收集的无组织排放的废气</w:t>
                  </w:r>
                </w:p>
              </w:tc>
              <w:tc>
                <w:tcPr>
                  <w:tcW w:w="2736" w:type="pct"/>
                  <w:gridSpan w:val="2"/>
                  <w:tcBorders>
                    <w:tl2br w:val="nil"/>
                    <w:tr2bl w:val="nil"/>
                  </w:tcBorders>
                  <w:shd w:val="clear" w:color="auto" w:fill="auto"/>
                  <w:vAlign w:val="center"/>
                </w:tcPr>
                <w:p w14:paraId="4CC3CB35">
                  <w:pPr>
                    <w:keepNext w:val="0"/>
                    <w:keepLines w:val="0"/>
                    <w:pageBreakBefore w:val="0"/>
                    <w:kinsoku/>
                    <w:wordWrap/>
                    <w:overflowPunct/>
                    <w:topLinePunct w:val="0"/>
                    <w:autoSpaceDE/>
                    <w:autoSpaceDN/>
                    <w:bidi w:val="0"/>
                    <w:adjustRightInd/>
                    <w:snapToGrid/>
                    <w:spacing w:line="240" w:lineRule="auto"/>
                    <w:ind w:right="0" w:rightChars="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rPr>
                    <w:t>加强车间通风，通过自然排风和</w:t>
                  </w:r>
                  <w:r>
                    <w:rPr>
                      <w:rFonts w:hint="default" w:ascii="Times New Roman" w:hAnsi="Times New Roman" w:eastAsia="宋体" w:cs="Times New Roman"/>
                      <w:color w:val="auto"/>
                      <w:sz w:val="21"/>
                      <w:szCs w:val="21"/>
                      <w:highlight w:val="none"/>
                      <w:u w:val="none" w:color="auto"/>
                      <w:lang w:eastAsia="zh-CN"/>
                    </w:rPr>
                    <w:t>排放扇强制排放</w:t>
                  </w:r>
                  <w:r>
                    <w:rPr>
                      <w:rFonts w:hint="default" w:ascii="Times New Roman" w:hAnsi="Times New Roman" w:eastAsia="宋体" w:cs="Times New Roman"/>
                      <w:color w:val="auto"/>
                      <w:sz w:val="21"/>
                      <w:szCs w:val="21"/>
                      <w:highlight w:val="none"/>
                      <w:u w:val="none" w:color="auto"/>
                    </w:rPr>
                    <w:t>相结合的方式，排入大气。</w:t>
                  </w:r>
                </w:p>
              </w:tc>
              <w:tc>
                <w:tcPr>
                  <w:tcW w:w="859" w:type="pct"/>
                  <w:vMerge w:val="continue"/>
                  <w:tcBorders>
                    <w:tl2br w:val="nil"/>
                    <w:tr2bl w:val="nil"/>
                  </w:tcBorders>
                  <w:vAlign w:val="center"/>
                </w:tcPr>
                <w:p w14:paraId="0A000BC3">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p>
              </w:tc>
            </w:tr>
            <w:tr w14:paraId="24B0073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6" w:hRule="atLeast"/>
              </w:trPr>
              <w:tc>
                <w:tcPr>
                  <w:tcW w:w="302" w:type="pct"/>
                  <w:vMerge w:val="continue"/>
                  <w:tcBorders>
                    <w:tl2br w:val="nil"/>
                    <w:tr2bl w:val="nil"/>
                  </w:tcBorders>
                  <w:vAlign w:val="center"/>
                </w:tcPr>
                <w:p w14:paraId="1CCC57D3">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p>
              </w:tc>
              <w:tc>
                <w:tcPr>
                  <w:tcW w:w="448" w:type="pct"/>
                  <w:vMerge w:val="continue"/>
                  <w:tcBorders>
                    <w:tl2br w:val="nil"/>
                    <w:tr2bl w:val="nil"/>
                  </w:tcBorders>
                  <w:vAlign w:val="center"/>
                </w:tcPr>
                <w:p w14:paraId="27218A1E">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p>
              </w:tc>
              <w:tc>
                <w:tcPr>
                  <w:tcW w:w="654" w:type="pct"/>
                  <w:gridSpan w:val="2"/>
                  <w:vMerge w:val="restart"/>
                  <w:tcBorders>
                    <w:tl2br w:val="nil"/>
                    <w:tr2bl w:val="nil"/>
                  </w:tcBorders>
                  <w:shd w:val="clear" w:color="auto" w:fill="auto"/>
                  <w:vAlign w:val="center"/>
                </w:tcPr>
                <w:p w14:paraId="138A3C27">
                  <w:pPr>
                    <w:keepNext w:val="0"/>
                    <w:keepLines w:val="0"/>
                    <w:pageBreakBefore w:val="0"/>
                    <w:kinsoku/>
                    <w:wordWrap/>
                    <w:overflowPunct/>
                    <w:topLinePunct w:val="0"/>
                    <w:autoSpaceDE/>
                    <w:autoSpaceDN/>
                    <w:bidi w:val="0"/>
                    <w:adjustRightInd/>
                    <w:snapToGrid/>
                    <w:spacing w:line="240" w:lineRule="auto"/>
                    <w:ind w:right="0" w:rightChars="0"/>
                    <w:jc w:val="center"/>
                    <w:textAlignment w:val="auto"/>
                    <w:rPr>
                      <w:rFonts w:hint="default" w:ascii="Times New Roman" w:hAnsi="Times New Roman" w:eastAsia="宋体" w:cs="Times New Roman"/>
                      <w:b w:val="0"/>
                      <w:bCs w:val="0"/>
                      <w:color w:val="auto"/>
                      <w:sz w:val="21"/>
                      <w:szCs w:val="21"/>
                      <w:highlight w:val="none"/>
                      <w:u w:val="none" w:color="auto"/>
                    </w:rPr>
                  </w:pPr>
                  <w:r>
                    <w:rPr>
                      <w:rFonts w:hint="default" w:ascii="Times New Roman" w:hAnsi="Times New Roman" w:eastAsia="宋体" w:cs="Times New Roman"/>
                      <w:i w:val="0"/>
                      <w:iCs w:val="0"/>
                      <w:color w:val="auto"/>
                      <w:kern w:val="0"/>
                      <w:sz w:val="21"/>
                      <w:szCs w:val="21"/>
                      <w:highlight w:val="none"/>
                      <w:u w:val="none" w:color="auto"/>
                      <w:lang w:val="en-US" w:eastAsia="zh-CN" w:bidi="ar"/>
                    </w:rPr>
                    <w:t>临港高新产业园区</w:t>
                  </w:r>
                </w:p>
              </w:tc>
              <w:tc>
                <w:tcPr>
                  <w:tcW w:w="2736" w:type="pct"/>
                  <w:gridSpan w:val="2"/>
                  <w:tcBorders>
                    <w:tl2br w:val="nil"/>
                    <w:tr2bl w:val="nil"/>
                  </w:tcBorders>
                  <w:shd w:val="clear" w:color="auto" w:fill="auto"/>
                  <w:vAlign w:val="center"/>
                </w:tcPr>
                <w:p w14:paraId="5D419794">
                  <w:pPr>
                    <w:keepNext w:val="0"/>
                    <w:keepLines w:val="0"/>
                    <w:pageBreakBefore w:val="0"/>
                    <w:kinsoku/>
                    <w:wordWrap/>
                    <w:overflowPunct/>
                    <w:topLinePunct w:val="0"/>
                    <w:autoSpaceDE/>
                    <w:autoSpaceDN/>
                    <w:bidi w:val="0"/>
                    <w:adjustRightInd/>
                    <w:snapToGrid/>
                    <w:spacing w:line="240" w:lineRule="auto"/>
                    <w:ind w:right="0" w:rightChars="0"/>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lang w:val="en-US" w:eastAsia="zh-CN"/>
                    </w:rPr>
                    <w:t>激光打标设备通过自带布袋除尘设施，处理后车间内排放</w:t>
                  </w:r>
                </w:p>
              </w:tc>
              <w:tc>
                <w:tcPr>
                  <w:tcW w:w="859" w:type="pct"/>
                  <w:vMerge w:val="continue"/>
                  <w:tcBorders>
                    <w:tl2br w:val="nil"/>
                    <w:tr2bl w:val="nil"/>
                  </w:tcBorders>
                  <w:vAlign w:val="center"/>
                </w:tcPr>
                <w:p w14:paraId="4C7253CD">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p>
              </w:tc>
            </w:tr>
            <w:tr w14:paraId="32D5B54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6" w:hRule="atLeast"/>
              </w:trPr>
              <w:tc>
                <w:tcPr>
                  <w:tcW w:w="302" w:type="pct"/>
                  <w:vMerge w:val="continue"/>
                  <w:tcBorders>
                    <w:tl2br w:val="nil"/>
                    <w:tr2bl w:val="nil"/>
                  </w:tcBorders>
                  <w:vAlign w:val="center"/>
                </w:tcPr>
                <w:p w14:paraId="446FE9FA">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p>
              </w:tc>
              <w:tc>
                <w:tcPr>
                  <w:tcW w:w="448" w:type="pct"/>
                  <w:vMerge w:val="continue"/>
                  <w:tcBorders>
                    <w:tl2br w:val="nil"/>
                    <w:tr2bl w:val="nil"/>
                  </w:tcBorders>
                  <w:vAlign w:val="center"/>
                </w:tcPr>
                <w:p w14:paraId="46F2F80A">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p>
              </w:tc>
              <w:tc>
                <w:tcPr>
                  <w:tcW w:w="654" w:type="pct"/>
                  <w:gridSpan w:val="2"/>
                  <w:vMerge w:val="continue"/>
                  <w:tcBorders>
                    <w:tl2br w:val="nil"/>
                    <w:tr2bl w:val="nil"/>
                  </w:tcBorders>
                  <w:shd w:val="clear" w:color="auto" w:fill="auto"/>
                  <w:vAlign w:val="center"/>
                </w:tcPr>
                <w:p w14:paraId="01CFDF6B">
                  <w:pPr>
                    <w:keepNext w:val="0"/>
                    <w:keepLines w:val="0"/>
                    <w:pageBreakBefore w:val="0"/>
                    <w:kinsoku/>
                    <w:wordWrap/>
                    <w:overflowPunct/>
                    <w:topLinePunct w:val="0"/>
                    <w:autoSpaceDE/>
                    <w:autoSpaceDN/>
                    <w:bidi w:val="0"/>
                    <w:adjustRightInd/>
                    <w:snapToGrid/>
                    <w:spacing w:line="240" w:lineRule="auto"/>
                    <w:ind w:right="0" w:rightChars="0"/>
                    <w:jc w:val="center"/>
                    <w:textAlignment w:val="auto"/>
                    <w:rPr>
                      <w:rFonts w:hint="default" w:ascii="Times New Roman" w:hAnsi="Times New Roman" w:eastAsia="宋体" w:cs="Times New Roman"/>
                      <w:i w:val="0"/>
                      <w:iCs w:val="0"/>
                      <w:color w:val="auto"/>
                      <w:kern w:val="0"/>
                      <w:sz w:val="21"/>
                      <w:szCs w:val="21"/>
                      <w:highlight w:val="none"/>
                      <w:u w:val="none" w:color="auto"/>
                      <w:lang w:val="en-US" w:eastAsia="zh-CN" w:bidi="ar"/>
                    </w:rPr>
                  </w:pPr>
                </w:p>
              </w:tc>
              <w:tc>
                <w:tcPr>
                  <w:tcW w:w="2736" w:type="pct"/>
                  <w:gridSpan w:val="2"/>
                  <w:tcBorders>
                    <w:tl2br w:val="nil"/>
                    <w:tr2bl w:val="nil"/>
                  </w:tcBorders>
                  <w:shd w:val="clear" w:color="auto" w:fill="auto"/>
                  <w:vAlign w:val="center"/>
                </w:tcPr>
                <w:p w14:paraId="0A3AABE9">
                  <w:pPr>
                    <w:keepNext w:val="0"/>
                    <w:keepLines w:val="0"/>
                    <w:pageBreakBefore w:val="0"/>
                    <w:kinsoku/>
                    <w:wordWrap/>
                    <w:overflowPunct/>
                    <w:topLinePunct w:val="0"/>
                    <w:autoSpaceDE/>
                    <w:autoSpaceDN/>
                    <w:bidi w:val="0"/>
                    <w:adjustRightInd/>
                    <w:snapToGrid/>
                    <w:spacing w:line="240" w:lineRule="auto"/>
                    <w:ind w:right="0" w:rightChars="0"/>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去毛刺设备自带布袋除尘设施，处理后车间内排放</w:t>
                  </w:r>
                </w:p>
              </w:tc>
              <w:tc>
                <w:tcPr>
                  <w:tcW w:w="859" w:type="pct"/>
                  <w:vMerge w:val="continue"/>
                  <w:tcBorders>
                    <w:tl2br w:val="nil"/>
                    <w:tr2bl w:val="nil"/>
                  </w:tcBorders>
                  <w:vAlign w:val="center"/>
                </w:tcPr>
                <w:p w14:paraId="3D07C667">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p>
              </w:tc>
            </w:tr>
            <w:tr w14:paraId="51B4BF6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6" w:hRule="atLeast"/>
              </w:trPr>
              <w:tc>
                <w:tcPr>
                  <w:tcW w:w="302" w:type="pct"/>
                  <w:vMerge w:val="continue"/>
                  <w:tcBorders>
                    <w:tl2br w:val="nil"/>
                    <w:tr2bl w:val="nil"/>
                  </w:tcBorders>
                  <w:vAlign w:val="center"/>
                </w:tcPr>
                <w:p w14:paraId="0879B5F8">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p>
              </w:tc>
              <w:tc>
                <w:tcPr>
                  <w:tcW w:w="448" w:type="pct"/>
                  <w:vMerge w:val="continue"/>
                  <w:tcBorders>
                    <w:tl2br w:val="nil"/>
                    <w:tr2bl w:val="nil"/>
                  </w:tcBorders>
                  <w:vAlign w:val="center"/>
                </w:tcPr>
                <w:p w14:paraId="6BDB6266">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p>
              </w:tc>
              <w:tc>
                <w:tcPr>
                  <w:tcW w:w="654" w:type="pct"/>
                  <w:gridSpan w:val="2"/>
                  <w:vMerge w:val="continue"/>
                  <w:tcBorders>
                    <w:tl2br w:val="nil"/>
                    <w:tr2bl w:val="nil"/>
                  </w:tcBorders>
                  <w:shd w:val="clear" w:color="auto" w:fill="auto"/>
                  <w:vAlign w:val="center"/>
                </w:tcPr>
                <w:p w14:paraId="6E815120">
                  <w:pPr>
                    <w:keepNext w:val="0"/>
                    <w:keepLines w:val="0"/>
                    <w:pageBreakBefore w:val="0"/>
                    <w:kinsoku/>
                    <w:wordWrap/>
                    <w:overflowPunct/>
                    <w:topLinePunct w:val="0"/>
                    <w:autoSpaceDE/>
                    <w:autoSpaceDN/>
                    <w:bidi w:val="0"/>
                    <w:adjustRightInd/>
                    <w:snapToGrid/>
                    <w:spacing w:line="240" w:lineRule="auto"/>
                    <w:ind w:right="0" w:rightChars="0"/>
                    <w:jc w:val="center"/>
                    <w:textAlignment w:val="auto"/>
                    <w:rPr>
                      <w:rFonts w:hint="default" w:ascii="Times New Roman" w:hAnsi="Times New Roman" w:eastAsia="宋体" w:cs="Times New Roman"/>
                      <w:i w:val="0"/>
                      <w:iCs w:val="0"/>
                      <w:color w:val="auto"/>
                      <w:kern w:val="0"/>
                      <w:sz w:val="21"/>
                      <w:szCs w:val="21"/>
                      <w:highlight w:val="none"/>
                      <w:u w:val="none" w:color="auto"/>
                      <w:lang w:val="en-US" w:eastAsia="zh-CN" w:bidi="ar"/>
                    </w:rPr>
                  </w:pPr>
                </w:p>
              </w:tc>
              <w:tc>
                <w:tcPr>
                  <w:tcW w:w="2736" w:type="pct"/>
                  <w:gridSpan w:val="2"/>
                  <w:tcBorders>
                    <w:tl2br w:val="nil"/>
                    <w:tr2bl w:val="nil"/>
                  </w:tcBorders>
                  <w:shd w:val="clear" w:color="auto" w:fill="auto"/>
                  <w:vAlign w:val="center"/>
                </w:tcPr>
                <w:p w14:paraId="6618CB19">
                  <w:pPr>
                    <w:keepNext w:val="0"/>
                    <w:keepLines w:val="0"/>
                    <w:pageBreakBefore w:val="0"/>
                    <w:kinsoku/>
                    <w:wordWrap/>
                    <w:overflowPunct/>
                    <w:topLinePunct w:val="0"/>
                    <w:autoSpaceDE/>
                    <w:autoSpaceDN/>
                    <w:bidi w:val="0"/>
                    <w:adjustRightInd/>
                    <w:snapToGrid/>
                    <w:spacing w:line="240" w:lineRule="auto"/>
                    <w:ind w:right="0" w:rightChars="0"/>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CNC精加工工序产生的油雾废气经相关机加设备均配套静电油雾分离器，处理后车间内排放</w:t>
                  </w:r>
                </w:p>
              </w:tc>
              <w:tc>
                <w:tcPr>
                  <w:tcW w:w="859" w:type="pct"/>
                  <w:vMerge w:val="continue"/>
                  <w:tcBorders>
                    <w:tl2br w:val="nil"/>
                    <w:tr2bl w:val="nil"/>
                  </w:tcBorders>
                  <w:vAlign w:val="center"/>
                </w:tcPr>
                <w:p w14:paraId="4162DD9A">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p>
              </w:tc>
            </w:tr>
            <w:tr w14:paraId="02FD1D7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6" w:hRule="atLeast"/>
              </w:trPr>
              <w:tc>
                <w:tcPr>
                  <w:tcW w:w="302" w:type="pct"/>
                  <w:vMerge w:val="continue"/>
                  <w:tcBorders>
                    <w:tl2br w:val="nil"/>
                    <w:tr2bl w:val="nil"/>
                  </w:tcBorders>
                  <w:vAlign w:val="center"/>
                </w:tcPr>
                <w:p w14:paraId="6CDA06B2">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p>
              </w:tc>
              <w:tc>
                <w:tcPr>
                  <w:tcW w:w="448" w:type="pct"/>
                  <w:vMerge w:val="continue"/>
                  <w:tcBorders>
                    <w:tl2br w:val="nil"/>
                    <w:tr2bl w:val="nil"/>
                  </w:tcBorders>
                  <w:vAlign w:val="center"/>
                </w:tcPr>
                <w:p w14:paraId="17ED2745">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p>
              </w:tc>
              <w:tc>
                <w:tcPr>
                  <w:tcW w:w="654" w:type="pct"/>
                  <w:gridSpan w:val="2"/>
                  <w:vMerge w:val="continue"/>
                  <w:tcBorders>
                    <w:tl2br w:val="nil"/>
                    <w:tr2bl w:val="nil"/>
                  </w:tcBorders>
                  <w:shd w:val="clear" w:color="auto" w:fill="auto"/>
                  <w:vAlign w:val="center"/>
                </w:tcPr>
                <w:p w14:paraId="61BE33C5">
                  <w:pPr>
                    <w:keepNext w:val="0"/>
                    <w:keepLines w:val="0"/>
                    <w:pageBreakBefore w:val="0"/>
                    <w:kinsoku/>
                    <w:wordWrap/>
                    <w:overflowPunct/>
                    <w:topLinePunct w:val="0"/>
                    <w:autoSpaceDE/>
                    <w:autoSpaceDN/>
                    <w:bidi w:val="0"/>
                    <w:adjustRightInd/>
                    <w:snapToGrid/>
                    <w:spacing w:line="240" w:lineRule="auto"/>
                    <w:ind w:right="0" w:rightChars="0"/>
                    <w:jc w:val="center"/>
                    <w:textAlignment w:val="auto"/>
                    <w:rPr>
                      <w:rFonts w:hint="default" w:ascii="Times New Roman" w:hAnsi="Times New Roman" w:eastAsia="宋体" w:cs="Times New Roman"/>
                      <w:i w:val="0"/>
                      <w:iCs w:val="0"/>
                      <w:color w:val="auto"/>
                      <w:kern w:val="0"/>
                      <w:sz w:val="21"/>
                      <w:szCs w:val="21"/>
                      <w:highlight w:val="none"/>
                      <w:u w:val="none" w:color="auto"/>
                      <w:lang w:val="en-US" w:eastAsia="zh-CN" w:bidi="ar"/>
                    </w:rPr>
                  </w:pPr>
                </w:p>
              </w:tc>
              <w:tc>
                <w:tcPr>
                  <w:tcW w:w="2736" w:type="pct"/>
                  <w:gridSpan w:val="2"/>
                  <w:tcBorders>
                    <w:tl2br w:val="nil"/>
                    <w:tr2bl w:val="nil"/>
                  </w:tcBorders>
                  <w:shd w:val="clear" w:color="auto" w:fill="auto"/>
                  <w:vAlign w:val="center"/>
                </w:tcPr>
                <w:p w14:paraId="1269006F">
                  <w:pPr>
                    <w:keepNext w:val="0"/>
                    <w:keepLines w:val="0"/>
                    <w:pageBreakBefore w:val="0"/>
                    <w:kinsoku/>
                    <w:wordWrap/>
                    <w:overflowPunct/>
                    <w:topLinePunct w:val="0"/>
                    <w:autoSpaceDE/>
                    <w:autoSpaceDN/>
                    <w:bidi w:val="0"/>
                    <w:adjustRightInd/>
                    <w:snapToGrid/>
                    <w:spacing w:line="240" w:lineRule="auto"/>
                    <w:ind w:right="0" w:rightChars="0"/>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浸渗处理废气通过管道直接与设备连接，经收集后进入TA012废气处理系统（干湿分离器+二级活性炭吸附）处理</w:t>
                  </w:r>
                  <w:r>
                    <w:rPr>
                      <w:rFonts w:hint="eastAsia" w:cs="Times New Roman"/>
                      <w:color w:val="auto"/>
                      <w:sz w:val="21"/>
                      <w:szCs w:val="21"/>
                      <w:highlight w:val="none"/>
                      <w:u w:val="none" w:color="auto"/>
                      <w:lang w:val="en-US" w:eastAsia="zh-CN"/>
                    </w:rPr>
                    <w:t>，</w:t>
                  </w:r>
                  <w:r>
                    <w:rPr>
                      <w:rFonts w:hint="default" w:ascii="Times New Roman" w:hAnsi="Times New Roman" w:eastAsia="宋体" w:cs="Times New Roman"/>
                      <w:color w:val="auto"/>
                      <w:sz w:val="21"/>
                      <w:szCs w:val="21"/>
                      <w:highlight w:val="none"/>
                      <w:u w:val="none" w:color="auto"/>
                      <w:lang w:val="en-US" w:eastAsia="zh-CN"/>
                    </w:rPr>
                    <w:t>达标后经15m高排气筒（DA012）排放</w:t>
                  </w:r>
                </w:p>
              </w:tc>
              <w:tc>
                <w:tcPr>
                  <w:tcW w:w="859" w:type="pct"/>
                  <w:vMerge w:val="continue"/>
                  <w:tcBorders>
                    <w:tl2br w:val="nil"/>
                    <w:tr2bl w:val="nil"/>
                  </w:tcBorders>
                  <w:vAlign w:val="center"/>
                </w:tcPr>
                <w:p w14:paraId="3B7ADE19">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p>
              </w:tc>
            </w:tr>
            <w:tr w14:paraId="6F16A28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6" w:hRule="atLeast"/>
              </w:trPr>
              <w:tc>
                <w:tcPr>
                  <w:tcW w:w="302" w:type="pct"/>
                  <w:vMerge w:val="continue"/>
                  <w:tcBorders>
                    <w:tl2br w:val="nil"/>
                    <w:tr2bl w:val="nil"/>
                  </w:tcBorders>
                  <w:vAlign w:val="center"/>
                </w:tcPr>
                <w:p w14:paraId="4CF9BF6B">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p>
              </w:tc>
              <w:tc>
                <w:tcPr>
                  <w:tcW w:w="448" w:type="pct"/>
                  <w:vMerge w:val="restart"/>
                  <w:tcBorders>
                    <w:tl2br w:val="nil"/>
                    <w:tr2bl w:val="nil"/>
                  </w:tcBorders>
                  <w:vAlign w:val="center"/>
                </w:tcPr>
                <w:p w14:paraId="3D4A280F">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废水</w:t>
                  </w:r>
                </w:p>
              </w:tc>
              <w:tc>
                <w:tcPr>
                  <w:tcW w:w="654" w:type="pct"/>
                  <w:gridSpan w:val="2"/>
                  <w:vMerge w:val="restart"/>
                  <w:tcBorders>
                    <w:tl2br w:val="nil"/>
                    <w:tr2bl w:val="nil"/>
                  </w:tcBorders>
                  <w:shd w:val="clear" w:color="auto" w:fill="auto"/>
                  <w:vAlign w:val="center"/>
                </w:tcPr>
                <w:p w14:paraId="4F0E01BB">
                  <w:pPr>
                    <w:keepNext w:val="0"/>
                    <w:keepLines w:val="0"/>
                    <w:pageBreakBefore w:val="0"/>
                    <w:kinsoku/>
                    <w:wordWrap/>
                    <w:overflowPunct/>
                    <w:topLinePunct w:val="0"/>
                    <w:autoSpaceDE/>
                    <w:autoSpaceDN/>
                    <w:bidi w:val="0"/>
                    <w:adjustRightInd/>
                    <w:snapToGrid/>
                    <w:spacing w:line="240" w:lineRule="auto"/>
                    <w:ind w:right="0" w:rightChars="0"/>
                    <w:jc w:val="center"/>
                    <w:textAlignment w:val="auto"/>
                    <w:rPr>
                      <w:rFonts w:hint="default" w:ascii="Times New Roman" w:hAnsi="Times New Roman" w:eastAsia="宋体" w:cs="Times New Roman"/>
                      <w:i w:val="0"/>
                      <w:iCs w:val="0"/>
                      <w:color w:val="auto"/>
                      <w:kern w:val="0"/>
                      <w:sz w:val="21"/>
                      <w:szCs w:val="21"/>
                      <w:highlight w:val="none"/>
                      <w:u w:val="none" w:color="auto"/>
                      <w:lang w:val="en-US" w:eastAsia="zh-CN" w:bidi="ar"/>
                    </w:rPr>
                  </w:pPr>
                  <w:r>
                    <w:rPr>
                      <w:rFonts w:hint="default" w:ascii="Times New Roman" w:hAnsi="Times New Roman" w:eastAsia="宋体" w:cs="Times New Roman"/>
                      <w:color w:val="auto"/>
                      <w:sz w:val="21"/>
                      <w:szCs w:val="21"/>
                      <w:highlight w:val="none"/>
                      <w:u w:val="none" w:color="auto"/>
                      <w:lang w:val="en-US" w:eastAsia="zh-CN"/>
                    </w:rPr>
                    <w:t>中创空天厂区</w:t>
                  </w:r>
                </w:p>
              </w:tc>
              <w:tc>
                <w:tcPr>
                  <w:tcW w:w="2736" w:type="pct"/>
                  <w:gridSpan w:val="2"/>
                  <w:tcBorders>
                    <w:tl2br w:val="nil"/>
                    <w:tr2bl w:val="nil"/>
                  </w:tcBorders>
                  <w:shd w:val="clear" w:color="auto" w:fill="auto"/>
                  <w:vAlign w:val="center"/>
                </w:tcPr>
                <w:p w14:paraId="23F04861">
                  <w:pPr>
                    <w:keepNext w:val="0"/>
                    <w:keepLines w:val="0"/>
                    <w:pageBreakBefore w:val="0"/>
                    <w:kinsoku/>
                    <w:wordWrap/>
                    <w:overflowPunct/>
                    <w:topLinePunct w:val="0"/>
                    <w:autoSpaceDE/>
                    <w:autoSpaceDN/>
                    <w:bidi w:val="0"/>
                    <w:adjustRightInd/>
                    <w:snapToGrid/>
                    <w:spacing w:line="240" w:lineRule="auto"/>
                    <w:ind w:right="0" w:rightChars="0"/>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生活污水经化粪池处理后通过总排口DW001排入市政污水管网，进入城陵矶新港区污水处理厂</w:t>
                  </w:r>
                </w:p>
              </w:tc>
              <w:tc>
                <w:tcPr>
                  <w:tcW w:w="859" w:type="pct"/>
                  <w:vMerge w:val="restart"/>
                  <w:tcBorders>
                    <w:tl2br w:val="nil"/>
                    <w:tr2bl w:val="nil"/>
                  </w:tcBorders>
                  <w:vAlign w:val="center"/>
                </w:tcPr>
                <w:p w14:paraId="29DB7835">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依托现有设施及管网</w:t>
                  </w:r>
                </w:p>
              </w:tc>
            </w:tr>
            <w:tr w14:paraId="020CB6E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6" w:hRule="atLeast"/>
              </w:trPr>
              <w:tc>
                <w:tcPr>
                  <w:tcW w:w="302" w:type="pct"/>
                  <w:vMerge w:val="continue"/>
                  <w:tcBorders>
                    <w:tl2br w:val="nil"/>
                    <w:tr2bl w:val="nil"/>
                  </w:tcBorders>
                  <w:vAlign w:val="center"/>
                </w:tcPr>
                <w:p w14:paraId="35DBDFA7">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p>
              </w:tc>
              <w:tc>
                <w:tcPr>
                  <w:tcW w:w="448" w:type="pct"/>
                  <w:vMerge w:val="continue"/>
                  <w:tcBorders>
                    <w:tl2br w:val="nil"/>
                    <w:tr2bl w:val="nil"/>
                  </w:tcBorders>
                  <w:vAlign w:val="center"/>
                </w:tcPr>
                <w:p w14:paraId="159C2404">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p>
              </w:tc>
              <w:tc>
                <w:tcPr>
                  <w:tcW w:w="654" w:type="pct"/>
                  <w:gridSpan w:val="2"/>
                  <w:vMerge w:val="continue"/>
                  <w:tcBorders>
                    <w:tl2br w:val="nil"/>
                    <w:tr2bl w:val="nil"/>
                  </w:tcBorders>
                  <w:shd w:val="clear" w:color="auto" w:fill="auto"/>
                  <w:vAlign w:val="center"/>
                </w:tcPr>
                <w:p w14:paraId="4CB55485">
                  <w:pPr>
                    <w:keepNext w:val="0"/>
                    <w:keepLines w:val="0"/>
                    <w:pageBreakBefore w:val="0"/>
                    <w:kinsoku/>
                    <w:wordWrap/>
                    <w:overflowPunct/>
                    <w:topLinePunct w:val="0"/>
                    <w:autoSpaceDE/>
                    <w:autoSpaceDN/>
                    <w:bidi w:val="0"/>
                    <w:adjustRightInd/>
                    <w:snapToGrid/>
                    <w:spacing w:line="240" w:lineRule="auto"/>
                    <w:ind w:right="0" w:rightChars="0"/>
                    <w:jc w:val="center"/>
                    <w:textAlignment w:val="auto"/>
                    <w:rPr>
                      <w:rFonts w:hint="default" w:ascii="Times New Roman" w:hAnsi="Times New Roman" w:eastAsia="宋体" w:cs="Times New Roman"/>
                      <w:color w:val="auto"/>
                      <w:sz w:val="21"/>
                      <w:szCs w:val="21"/>
                      <w:highlight w:val="none"/>
                      <w:u w:val="none" w:color="auto"/>
                      <w:lang w:val="en-US" w:eastAsia="zh-CN"/>
                    </w:rPr>
                  </w:pPr>
                </w:p>
              </w:tc>
              <w:tc>
                <w:tcPr>
                  <w:tcW w:w="2736" w:type="pct"/>
                  <w:gridSpan w:val="2"/>
                  <w:tcBorders>
                    <w:tl2br w:val="nil"/>
                    <w:tr2bl w:val="nil"/>
                  </w:tcBorders>
                  <w:shd w:val="clear" w:color="auto" w:fill="auto"/>
                  <w:vAlign w:val="center"/>
                </w:tcPr>
                <w:p w14:paraId="1A9279B3">
                  <w:pPr>
                    <w:keepNext w:val="0"/>
                    <w:keepLines w:val="0"/>
                    <w:pageBreakBefore w:val="0"/>
                    <w:kinsoku/>
                    <w:wordWrap/>
                    <w:overflowPunct/>
                    <w:topLinePunct w:val="0"/>
                    <w:autoSpaceDE/>
                    <w:autoSpaceDN/>
                    <w:bidi w:val="0"/>
                    <w:adjustRightInd/>
                    <w:snapToGrid/>
                    <w:spacing w:line="240" w:lineRule="auto"/>
                    <w:ind w:right="0" w:rightChars="0"/>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生产废水</w:t>
                  </w:r>
                  <w:r>
                    <w:rPr>
                      <w:rFonts w:hint="eastAsia" w:cs="Times New Roman"/>
                      <w:color w:val="auto"/>
                      <w:sz w:val="21"/>
                      <w:szCs w:val="21"/>
                      <w:highlight w:val="none"/>
                      <w:u w:val="none" w:color="auto"/>
                      <w:lang w:val="en-US" w:eastAsia="zh-CN"/>
                    </w:rPr>
                    <w:t>经</w:t>
                  </w:r>
                  <w:r>
                    <w:rPr>
                      <w:rFonts w:hint="default" w:ascii="Times New Roman" w:hAnsi="Times New Roman" w:eastAsia="宋体" w:cs="Times New Roman"/>
                      <w:color w:val="auto"/>
                      <w:sz w:val="21"/>
                      <w:szCs w:val="21"/>
                      <w:highlight w:val="none"/>
                      <w:u w:val="none" w:color="auto"/>
                      <w:lang w:val="en-US" w:eastAsia="zh-CN"/>
                    </w:rPr>
                    <w:t>铝合金熔铸二厂相关设备间接冷却水外排，通过总排口DW001排入市政污水管网，进入城陵矶新港区污水处理厂</w:t>
                  </w:r>
                </w:p>
              </w:tc>
              <w:tc>
                <w:tcPr>
                  <w:tcW w:w="859" w:type="pct"/>
                  <w:vMerge w:val="continue"/>
                  <w:tcBorders>
                    <w:tl2br w:val="nil"/>
                    <w:tr2bl w:val="nil"/>
                  </w:tcBorders>
                  <w:vAlign w:val="center"/>
                </w:tcPr>
                <w:p w14:paraId="5311ABE4">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p>
              </w:tc>
            </w:tr>
            <w:tr w14:paraId="6691C41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6" w:hRule="atLeast"/>
              </w:trPr>
              <w:tc>
                <w:tcPr>
                  <w:tcW w:w="302" w:type="pct"/>
                  <w:vMerge w:val="continue"/>
                  <w:tcBorders>
                    <w:tl2br w:val="nil"/>
                    <w:tr2bl w:val="nil"/>
                  </w:tcBorders>
                  <w:vAlign w:val="center"/>
                </w:tcPr>
                <w:p w14:paraId="1385747E">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p>
              </w:tc>
              <w:tc>
                <w:tcPr>
                  <w:tcW w:w="448" w:type="pct"/>
                  <w:vMerge w:val="continue"/>
                  <w:tcBorders>
                    <w:tl2br w:val="nil"/>
                    <w:tr2bl w:val="nil"/>
                  </w:tcBorders>
                  <w:vAlign w:val="center"/>
                </w:tcPr>
                <w:p w14:paraId="0080F053">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p>
              </w:tc>
              <w:tc>
                <w:tcPr>
                  <w:tcW w:w="654" w:type="pct"/>
                  <w:gridSpan w:val="2"/>
                  <w:vMerge w:val="restart"/>
                  <w:tcBorders>
                    <w:tl2br w:val="nil"/>
                    <w:tr2bl w:val="nil"/>
                  </w:tcBorders>
                  <w:shd w:val="clear" w:color="auto" w:fill="auto"/>
                  <w:vAlign w:val="center"/>
                </w:tcPr>
                <w:p w14:paraId="234F448D">
                  <w:pPr>
                    <w:keepNext w:val="0"/>
                    <w:keepLines w:val="0"/>
                    <w:pageBreakBefore w:val="0"/>
                    <w:kinsoku/>
                    <w:wordWrap/>
                    <w:overflowPunct/>
                    <w:topLinePunct w:val="0"/>
                    <w:autoSpaceDE/>
                    <w:autoSpaceDN/>
                    <w:bidi w:val="0"/>
                    <w:adjustRightInd/>
                    <w:snapToGrid/>
                    <w:spacing w:line="240" w:lineRule="auto"/>
                    <w:ind w:right="0" w:rightChars="0"/>
                    <w:jc w:val="center"/>
                    <w:textAlignment w:val="auto"/>
                    <w:rPr>
                      <w:rFonts w:hint="default" w:ascii="Times New Roman" w:hAnsi="Times New Roman" w:eastAsia="宋体" w:cs="Times New Roman"/>
                      <w:i w:val="0"/>
                      <w:iCs w:val="0"/>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临港高新产业园区</w:t>
                  </w:r>
                </w:p>
              </w:tc>
              <w:tc>
                <w:tcPr>
                  <w:tcW w:w="2736" w:type="pct"/>
                  <w:gridSpan w:val="2"/>
                  <w:tcBorders>
                    <w:tl2br w:val="nil"/>
                    <w:tr2bl w:val="nil"/>
                  </w:tcBorders>
                  <w:shd w:val="clear" w:color="auto" w:fill="auto"/>
                  <w:vAlign w:val="center"/>
                </w:tcPr>
                <w:p w14:paraId="5C3EDBE2">
                  <w:pPr>
                    <w:keepNext w:val="0"/>
                    <w:keepLines w:val="0"/>
                    <w:pageBreakBefore w:val="0"/>
                    <w:kinsoku/>
                    <w:wordWrap/>
                    <w:overflowPunct/>
                    <w:topLinePunct w:val="0"/>
                    <w:autoSpaceDE/>
                    <w:autoSpaceDN/>
                    <w:bidi w:val="0"/>
                    <w:adjustRightInd/>
                    <w:snapToGrid/>
                    <w:spacing w:line="240" w:lineRule="auto"/>
                    <w:ind w:right="0" w:rightChars="0"/>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生产废水高压清洗废水、热水固化罐废水进入TW004废水处理站（</w:t>
                  </w:r>
                  <w:r>
                    <w:rPr>
                      <w:rFonts w:hint="default" w:ascii="Times New Roman" w:hAnsi="Times New Roman" w:eastAsia="宋体" w:cs="Times New Roman"/>
                      <w:i w:val="0"/>
                      <w:iCs w:val="0"/>
                      <w:color w:val="auto"/>
                      <w:kern w:val="0"/>
                      <w:sz w:val="21"/>
                      <w:szCs w:val="21"/>
                      <w:u w:val="none" w:color="auto"/>
                      <w:lang w:val="en-US" w:eastAsia="zh-CN" w:bidi="ar"/>
                    </w:rPr>
                    <w:t>调节池+pH调节+混凝气浮+两级水解酸化+生物接触氧化+二沉池+清水池</w:t>
                  </w:r>
                  <w:r>
                    <w:rPr>
                      <w:rFonts w:hint="default" w:ascii="Times New Roman" w:hAnsi="Times New Roman" w:eastAsia="宋体" w:cs="Times New Roman"/>
                      <w:color w:val="auto"/>
                      <w:sz w:val="21"/>
                      <w:szCs w:val="21"/>
                      <w:highlight w:val="none"/>
                      <w:u w:val="none" w:color="auto"/>
                      <w:lang w:val="en-US" w:eastAsia="zh-CN"/>
                    </w:rPr>
                    <w:t>）处理后，经DW002排入市政污水管网，进入城陵矶新港区污水处理厂</w:t>
                  </w:r>
                </w:p>
              </w:tc>
              <w:tc>
                <w:tcPr>
                  <w:tcW w:w="859" w:type="pct"/>
                  <w:tcBorders>
                    <w:tl2br w:val="nil"/>
                    <w:tr2bl w:val="nil"/>
                  </w:tcBorders>
                  <w:vAlign w:val="center"/>
                </w:tcPr>
                <w:p w14:paraId="57786DF6">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新建废水处理站，并配套新建管网</w:t>
                  </w:r>
                </w:p>
              </w:tc>
            </w:tr>
            <w:tr w14:paraId="5DDBB3A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6" w:hRule="atLeast"/>
              </w:trPr>
              <w:tc>
                <w:tcPr>
                  <w:tcW w:w="302" w:type="pct"/>
                  <w:vMerge w:val="continue"/>
                  <w:tcBorders>
                    <w:tl2br w:val="nil"/>
                    <w:tr2bl w:val="nil"/>
                  </w:tcBorders>
                  <w:vAlign w:val="center"/>
                </w:tcPr>
                <w:p w14:paraId="340B2321">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p>
              </w:tc>
              <w:tc>
                <w:tcPr>
                  <w:tcW w:w="448" w:type="pct"/>
                  <w:vMerge w:val="continue"/>
                  <w:tcBorders>
                    <w:tl2br w:val="nil"/>
                    <w:tr2bl w:val="nil"/>
                  </w:tcBorders>
                  <w:vAlign w:val="center"/>
                </w:tcPr>
                <w:p w14:paraId="27032F65">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p>
              </w:tc>
              <w:tc>
                <w:tcPr>
                  <w:tcW w:w="654" w:type="pct"/>
                  <w:gridSpan w:val="2"/>
                  <w:vMerge w:val="continue"/>
                  <w:tcBorders>
                    <w:tl2br w:val="nil"/>
                    <w:tr2bl w:val="nil"/>
                  </w:tcBorders>
                  <w:shd w:val="clear" w:color="auto" w:fill="auto"/>
                  <w:vAlign w:val="center"/>
                </w:tcPr>
                <w:p w14:paraId="33DA89A2">
                  <w:pPr>
                    <w:keepNext w:val="0"/>
                    <w:keepLines w:val="0"/>
                    <w:pageBreakBefore w:val="0"/>
                    <w:kinsoku/>
                    <w:wordWrap/>
                    <w:overflowPunct/>
                    <w:topLinePunct w:val="0"/>
                    <w:autoSpaceDE/>
                    <w:autoSpaceDN/>
                    <w:bidi w:val="0"/>
                    <w:adjustRightInd/>
                    <w:snapToGrid/>
                    <w:spacing w:line="240" w:lineRule="auto"/>
                    <w:ind w:right="0" w:rightChars="0"/>
                    <w:jc w:val="center"/>
                    <w:textAlignment w:val="auto"/>
                    <w:rPr>
                      <w:rFonts w:hint="default" w:ascii="Times New Roman" w:hAnsi="Times New Roman" w:eastAsia="宋体" w:cs="Times New Roman"/>
                      <w:i w:val="0"/>
                      <w:iCs w:val="0"/>
                      <w:color w:val="auto"/>
                      <w:kern w:val="0"/>
                      <w:sz w:val="21"/>
                      <w:szCs w:val="21"/>
                      <w:highlight w:val="none"/>
                      <w:u w:val="none" w:color="auto"/>
                      <w:lang w:val="en-US" w:eastAsia="zh-CN" w:bidi="ar"/>
                    </w:rPr>
                  </w:pPr>
                </w:p>
              </w:tc>
              <w:tc>
                <w:tcPr>
                  <w:tcW w:w="2736" w:type="pct"/>
                  <w:gridSpan w:val="2"/>
                  <w:tcBorders>
                    <w:tl2br w:val="nil"/>
                    <w:tr2bl w:val="nil"/>
                  </w:tcBorders>
                  <w:shd w:val="clear" w:color="auto" w:fill="auto"/>
                  <w:vAlign w:val="center"/>
                </w:tcPr>
                <w:p w14:paraId="7AED5124">
                  <w:pPr>
                    <w:keepNext w:val="0"/>
                    <w:keepLines w:val="0"/>
                    <w:pageBreakBefore w:val="0"/>
                    <w:kinsoku/>
                    <w:wordWrap/>
                    <w:overflowPunct/>
                    <w:topLinePunct w:val="0"/>
                    <w:autoSpaceDE/>
                    <w:autoSpaceDN/>
                    <w:bidi w:val="0"/>
                    <w:adjustRightInd/>
                    <w:snapToGrid/>
                    <w:spacing w:line="240" w:lineRule="auto"/>
                    <w:ind w:right="0" w:rightChars="0"/>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生活污水经各栋厂房配套的化粪池处理后分别通过DW003、DW004、DW005排入市政污水管网，进入城陵矶新港区污水处理厂</w:t>
                  </w:r>
                </w:p>
              </w:tc>
              <w:tc>
                <w:tcPr>
                  <w:tcW w:w="859" w:type="pct"/>
                  <w:tcBorders>
                    <w:tl2br w:val="nil"/>
                    <w:tr2bl w:val="nil"/>
                  </w:tcBorders>
                  <w:vAlign w:val="center"/>
                </w:tcPr>
                <w:p w14:paraId="3D973FB1">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依托</w:t>
                  </w:r>
                  <w:r>
                    <w:rPr>
                      <w:rFonts w:hint="default" w:ascii="Times New Roman" w:hAnsi="Times New Roman" w:eastAsia="宋体" w:cs="Times New Roman"/>
                      <w:i w:val="0"/>
                      <w:iCs w:val="0"/>
                      <w:color w:val="auto"/>
                      <w:kern w:val="0"/>
                      <w:sz w:val="21"/>
                      <w:szCs w:val="21"/>
                      <w:highlight w:val="none"/>
                      <w:u w:val="none" w:color="auto"/>
                      <w:lang w:val="en-US" w:eastAsia="zh-CN" w:bidi="ar"/>
                    </w:rPr>
                    <w:t>临港高新产业园区现有设施</w:t>
                  </w:r>
                </w:p>
              </w:tc>
            </w:tr>
            <w:tr w14:paraId="32941F3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6" w:hRule="atLeast"/>
              </w:trPr>
              <w:tc>
                <w:tcPr>
                  <w:tcW w:w="302" w:type="pct"/>
                  <w:vMerge w:val="continue"/>
                  <w:tcBorders>
                    <w:tl2br w:val="nil"/>
                    <w:tr2bl w:val="nil"/>
                  </w:tcBorders>
                  <w:vAlign w:val="center"/>
                </w:tcPr>
                <w:p w14:paraId="3F0E9FBF">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p>
              </w:tc>
              <w:tc>
                <w:tcPr>
                  <w:tcW w:w="448" w:type="pct"/>
                  <w:vMerge w:val="restart"/>
                  <w:tcBorders>
                    <w:tl2br w:val="nil"/>
                    <w:tr2bl w:val="nil"/>
                  </w:tcBorders>
                  <w:vAlign w:val="center"/>
                </w:tcPr>
                <w:p w14:paraId="207A5136">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噪声</w:t>
                  </w:r>
                </w:p>
              </w:tc>
              <w:tc>
                <w:tcPr>
                  <w:tcW w:w="654" w:type="pct"/>
                  <w:gridSpan w:val="2"/>
                  <w:tcBorders>
                    <w:tl2br w:val="nil"/>
                    <w:tr2bl w:val="nil"/>
                  </w:tcBorders>
                  <w:shd w:val="clear" w:color="auto" w:fill="auto"/>
                  <w:vAlign w:val="center"/>
                </w:tcPr>
                <w:p w14:paraId="157A7328">
                  <w:pPr>
                    <w:keepNext w:val="0"/>
                    <w:keepLines w:val="0"/>
                    <w:pageBreakBefore w:val="0"/>
                    <w:kinsoku/>
                    <w:wordWrap/>
                    <w:overflowPunct/>
                    <w:topLinePunct w:val="0"/>
                    <w:autoSpaceDE/>
                    <w:autoSpaceDN/>
                    <w:bidi w:val="0"/>
                    <w:adjustRightInd/>
                    <w:snapToGrid/>
                    <w:spacing w:line="240" w:lineRule="auto"/>
                    <w:ind w:right="0" w:rightChars="0"/>
                    <w:jc w:val="center"/>
                    <w:textAlignment w:val="auto"/>
                    <w:rPr>
                      <w:rFonts w:hint="default" w:ascii="Times New Roman" w:hAnsi="Times New Roman" w:eastAsia="宋体" w:cs="Times New Roman"/>
                      <w:i w:val="0"/>
                      <w:iCs w:val="0"/>
                      <w:color w:val="auto"/>
                      <w:kern w:val="0"/>
                      <w:sz w:val="21"/>
                      <w:szCs w:val="21"/>
                      <w:highlight w:val="none"/>
                      <w:u w:val="none" w:color="auto"/>
                      <w:lang w:val="en-US" w:eastAsia="zh-CN" w:bidi="ar"/>
                    </w:rPr>
                  </w:pPr>
                  <w:r>
                    <w:rPr>
                      <w:rFonts w:hint="default" w:ascii="Times New Roman" w:hAnsi="Times New Roman" w:eastAsia="宋体" w:cs="Times New Roman"/>
                      <w:color w:val="auto"/>
                      <w:sz w:val="21"/>
                      <w:szCs w:val="21"/>
                      <w:highlight w:val="none"/>
                      <w:u w:val="none" w:color="auto"/>
                      <w:lang w:val="en-US" w:eastAsia="zh-CN"/>
                    </w:rPr>
                    <w:t>中创空天厂区</w:t>
                  </w:r>
                </w:p>
              </w:tc>
              <w:tc>
                <w:tcPr>
                  <w:tcW w:w="2736" w:type="pct"/>
                  <w:gridSpan w:val="2"/>
                  <w:tcBorders>
                    <w:tl2br w:val="nil"/>
                    <w:tr2bl w:val="nil"/>
                  </w:tcBorders>
                  <w:shd w:val="clear" w:color="auto" w:fill="auto"/>
                  <w:vAlign w:val="center"/>
                </w:tcPr>
                <w:p w14:paraId="3BF270D1">
                  <w:pPr>
                    <w:keepNext w:val="0"/>
                    <w:keepLines w:val="0"/>
                    <w:pageBreakBefore w:val="0"/>
                    <w:kinsoku/>
                    <w:wordWrap/>
                    <w:overflowPunct/>
                    <w:topLinePunct w:val="0"/>
                    <w:autoSpaceDE/>
                    <w:autoSpaceDN/>
                    <w:bidi w:val="0"/>
                    <w:adjustRightInd/>
                    <w:snapToGrid/>
                    <w:spacing w:line="240" w:lineRule="auto"/>
                    <w:ind w:right="0" w:rightChars="0"/>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rPr>
                    <w:t>选用低噪声设备</w:t>
                  </w:r>
                  <w:r>
                    <w:rPr>
                      <w:rFonts w:hint="default" w:ascii="Times New Roman" w:hAnsi="Times New Roman" w:eastAsia="宋体" w:cs="Times New Roman"/>
                      <w:color w:val="auto"/>
                      <w:sz w:val="21"/>
                      <w:szCs w:val="21"/>
                      <w:highlight w:val="none"/>
                      <w:u w:val="none" w:color="auto"/>
                      <w:lang w:eastAsia="zh-CN"/>
                    </w:rPr>
                    <w:t>、</w:t>
                  </w:r>
                  <w:r>
                    <w:rPr>
                      <w:rFonts w:hint="default" w:ascii="Times New Roman" w:hAnsi="Times New Roman" w:eastAsia="宋体" w:cs="Times New Roman"/>
                      <w:color w:val="auto"/>
                      <w:sz w:val="21"/>
                      <w:szCs w:val="21"/>
                      <w:highlight w:val="none"/>
                      <w:u w:val="none" w:color="auto"/>
                      <w:lang w:val="en-US" w:eastAsia="zh-CN"/>
                    </w:rPr>
                    <w:t>基础减震等</w:t>
                  </w:r>
                  <w:r>
                    <w:rPr>
                      <w:rFonts w:hint="default" w:ascii="Times New Roman" w:hAnsi="Times New Roman" w:eastAsia="宋体" w:cs="Times New Roman"/>
                      <w:color w:val="auto"/>
                      <w:sz w:val="21"/>
                      <w:szCs w:val="21"/>
                      <w:highlight w:val="none"/>
                      <w:u w:val="none" w:color="auto"/>
                    </w:rPr>
                    <w:t>，</w:t>
                  </w:r>
                  <w:r>
                    <w:rPr>
                      <w:rFonts w:hint="default" w:ascii="Times New Roman" w:hAnsi="Times New Roman" w:eastAsia="宋体" w:cs="Times New Roman"/>
                      <w:color w:val="auto"/>
                      <w:sz w:val="21"/>
                      <w:szCs w:val="21"/>
                      <w:highlight w:val="none"/>
                      <w:u w:val="none" w:color="auto"/>
                      <w:lang w:val="en-US" w:eastAsia="zh-CN"/>
                    </w:rPr>
                    <w:t>同时对于高噪声设备</w:t>
                  </w:r>
                  <w:r>
                    <w:rPr>
                      <w:rFonts w:hint="default" w:ascii="Times New Roman" w:hAnsi="Times New Roman" w:eastAsia="宋体" w:cs="Times New Roman"/>
                      <w:color w:val="auto"/>
                      <w:sz w:val="21"/>
                      <w:szCs w:val="21"/>
                      <w:highlight w:val="none"/>
                      <w:u w:val="none" w:color="auto"/>
                    </w:rPr>
                    <w:t>采取安装消音器、设置于单独的风机室内等措施进行消音减噪。</w:t>
                  </w:r>
                </w:p>
              </w:tc>
              <w:tc>
                <w:tcPr>
                  <w:tcW w:w="859" w:type="pct"/>
                  <w:vMerge w:val="restart"/>
                  <w:tcBorders>
                    <w:tl2br w:val="nil"/>
                    <w:tr2bl w:val="nil"/>
                  </w:tcBorders>
                  <w:vAlign w:val="center"/>
                </w:tcPr>
                <w:p w14:paraId="07B75F1F">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新建</w:t>
                  </w:r>
                </w:p>
              </w:tc>
            </w:tr>
            <w:tr w14:paraId="4CDBEB7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6" w:hRule="atLeast"/>
              </w:trPr>
              <w:tc>
                <w:tcPr>
                  <w:tcW w:w="302" w:type="pct"/>
                  <w:vMerge w:val="continue"/>
                  <w:tcBorders>
                    <w:tl2br w:val="nil"/>
                    <w:tr2bl w:val="nil"/>
                  </w:tcBorders>
                  <w:vAlign w:val="center"/>
                </w:tcPr>
                <w:p w14:paraId="4506A7B4">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p>
              </w:tc>
              <w:tc>
                <w:tcPr>
                  <w:tcW w:w="448" w:type="pct"/>
                  <w:vMerge w:val="continue"/>
                  <w:tcBorders>
                    <w:tl2br w:val="nil"/>
                    <w:tr2bl w:val="nil"/>
                  </w:tcBorders>
                  <w:vAlign w:val="center"/>
                </w:tcPr>
                <w:p w14:paraId="329BAD49">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p>
              </w:tc>
              <w:tc>
                <w:tcPr>
                  <w:tcW w:w="654" w:type="pct"/>
                  <w:gridSpan w:val="2"/>
                  <w:tcBorders>
                    <w:tl2br w:val="nil"/>
                    <w:tr2bl w:val="nil"/>
                  </w:tcBorders>
                  <w:shd w:val="clear" w:color="auto" w:fill="auto"/>
                  <w:vAlign w:val="center"/>
                </w:tcPr>
                <w:p w14:paraId="79C5492F">
                  <w:pPr>
                    <w:keepNext w:val="0"/>
                    <w:keepLines w:val="0"/>
                    <w:pageBreakBefore w:val="0"/>
                    <w:kinsoku/>
                    <w:wordWrap/>
                    <w:overflowPunct/>
                    <w:topLinePunct w:val="0"/>
                    <w:autoSpaceDE/>
                    <w:autoSpaceDN/>
                    <w:bidi w:val="0"/>
                    <w:adjustRightInd/>
                    <w:snapToGrid/>
                    <w:spacing w:line="240" w:lineRule="auto"/>
                    <w:ind w:right="0" w:rightChars="0"/>
                    <w:jc w:val="center"/>
                    <w:textAlignment w:val="auto"/>
                    <w:rPr>
                      <w:rFonts w:hint="default" w:ascii="Times New Roman" w:hAnsi="Times New Roman" w:eastAsia="宋体" w:cs="Times New Roman"/>
                      <w:i w:val="0"/>
                      <w:iCs w:val="0"/>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临港高新产业园区</w:t>
                  </w:r>
                </w:p>
              </w:tc>
              <w:tc>
                <w:tcPr>
                  <w:tcW w:w="2736" w:type="pct"/>
                  <w:gridSpan w:val="2"/>
                  <w:tcBorders>
                    <w:tl2br w:val="nil"/>
                    <w:tr2bl w:val="nil"/>
                  </w:tcBorders>
                  <w:shd w:val="clear" w:color="auto" w:fill="auto"/>
                  <w:vAlign w:val="center"/>
                </w:tcPr>
                <w:p w14:paraId="746FC3DB">
                  <w:pPr>
                    <w:keepNext w:val="0"/>
                    <w:keepLines w:val="0"/>
                    <w:pageBreakBefore w:val="0"/>
                    <w:kinsoku/>
                    <w:wordWrap/>
                    <w:overflowPunct/>
                    <w:topLinePunct w:val="0"/>
                    <w:autoSpaceDE/>
                    <w:autoSpaceDN/>
                    <w:bidi w:val="0"/>
                    <w:adjustRightInd/>
                    <w:snapToGrid/>
                    <w:spacing w:line="240" w:lineRule="auto"/>
                    <w:ind w:right="0" w:rightChars="0"/>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rPr>
                    <w:t>设计将空压机配置在单独的机房内，并安装消音器，以降低空压机设备噪声，并在机房内墙采用吸声材料贴面</w:t>
                  </w:r>
                  <w:r>
                    <w:rPr>
                      <w:rFonts w:hint="default" w:ascii="Times New Roman" w:hAnsi="Times New Roman" w:eastAsia="宋体" w:cs="Times New Roman"/>
                      <w:color w:val="auto"/>
                      <w:sz w:val="21"/>
                      <w:szCs w:val="21"/>
                      <w:highlight w:val="none"/>
                      <w:u w:val="none" w:color="auto"/>
                      <w:lang w:eastAsia="zh-CN"/>
                    </w:rPr>
                    <w:t>；</w:t>
                  </w:r>
                  <w:r>
                    <w:rPr>
                      <w:rFonts w:hint="default" w:ascii="Times New Roman" w:hAnsi="Times New Roman" w:eastAsia="宋体" w:cs="Times New Roman"/>
                      <w:color w:val="auto"/>
                      <w:sz w:val="21"/>
                      <w:szCs w:val="21"/>
                      <w:highlight w:val="none"/>
                      <w:u w:val="none" w:color="auto"/>
                      <w:lang w:val="en-US" w:eastAsia="zh-CN"/>
                    </w:rPr>
                    <w:t>对15#、21#、22#栋厂房墙体采用传统复合结构（如岩棉+双层石膏板）或其他等效降噪措施</w:t>
                  </w:r>
                </w:p>
              </w:tc>
              <w:tc>
                <w:tcPr>
                  <w:tcW w:w="859" w:type="pct"/>
                  <w:vMerge w:val="continue"/>
                  <w:tcBorders>
                    <w:tl2br w:val="nil"/>
                    <w:tr2bl w:val="nil"/>
                  </w:tcBorders>
                  <w:vAlign w:val="center"/>
                </w:tcPr>
                <w:p w14:paraId="7E822C89">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p>
              </w:tc>
            </w:tr>
            <w:tr w14:paraId="13FD04B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02" w:type="pct"/>
                  <w:vMerge w:val="continue"/>
                  <w:tcBorders>
                    <w:tl2br w:val="nil"/>
                    <w:tr2bl w:val="nil"/>
                  </w:tcBorders>
                  <w:vAlign w:val="center"/>
                </w:tcPr>
                <w:p w14:paraId="2342DCAA">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p>
              </w:tc>
              <w:tc>
                <w:tcPr>
                  <w:tcW w:w="448" w:type="pct"/>
                  <w:vMerge w:val="restart"/>
                  <w:tcBorders>
                    <w:tl2br w:val="nil"/>
                    <w:tr2bl w:val="nil"/>
                  </w:tcBorders>
                  <w:vAlign w:val="center"/>
                </w:tcPr>
                <w:p w14:paraId="75821A92">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固体废物</w:t>
                  </w:r>
                </w:p>
              </w:tc>
              <w:tc>
                <w:tcPr>
                  <w:tcW w:w="654" w:type="pct"/>
                  <w:gridSpan w:val="2"/>
                  <w:vMerge w:val="restart"/>
                  <w:tcBorders>
                    <w:tl2br w:val="nil"/>
                    <w:tr2bl w:val="nil"/>
                  </w:tcBorders>
                  <w:vAlign w:val="center"/>
                </w:tcPr>
                <w:p w14:paraId="5ACDF049">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中创空天厂区</w:t>
                  </w:r>
                </w:p>
              </w:tc>
              <w:tc>
                <w:tcPr>
                  <w:tcW w:w="2736" w:type="pct"/>
                  <w:gridSpan w:val="2"/>
                  <w:tcBorders>
                    <w:tl2br w:val="nil"/>
                    <w:tr2bl w:val="nil"/>
                  </w:tcBorders>
                  <w:vAlign w:val="center"/>
                </w:tcPr>
                <w:p w14:paraId="79ADF38A">
                  <w:pPr>
                    <w:pStyle w:val="2"/>
                    <w:keepNext w:val="0"/>
                    <w:keepLines w:val="0"/>
                    <w:pageBreakBefore w:val="0"/>
                    <w:kinsoku/>
                    <w:wordWrap/>
                    <w:overflowPunct/>
                    <w:topLinePunct w:val="0"/>
                    <w:autoSpaceDE/>
                    <w:autoSpaceDN/>
                    <w:bidi w:val="0"/>
                    <w:adjustRightInd/>
                    <w:snapToGrid/>
                    <w:spacing w:before="0" w:after="0" w:line="240" w:lineRule="auto"/>
                    <w:ind w:right="0"/>
                    <w:textAlignment w:val="auto"/>
                    <w:rPr>
                      <w:rFonts w:hint="default" w:ascii="Times New Roman" w:hAnsi="Times New Roman" w:eastAsia="宋体" w:cs="Times New Roman"/>
                      <w:b/>
                      <w:bCs/>
                      <w:color w:val="auto"/>
                      <w:sz w:val="21"/>
                      <w:szCs w:val="21"/>
                      <w:highlight w:val="none"/>
                      <w:u w:val="none" w:color="auto"/>
                    </w:rPr>
                  </w:pPr>
                  <w:r>
                    <w:rPr>
                      <w:rFonts w:hint="default" w:ascii="Times New Roman" w:hAnsi="Times New Roman" w:eastAsia="宋体" w:cs="Times New Roman"/>
                      <w:b/>
                      <w:bCs/>
                      <w:color w:val="auto"/>
                      <w:kern w:val="0"/>
                      <w:sz w:val="21"/>
                      <w:szCs w:val="21"/>
                      <w:highlight w:val="none"/>
                      <w:u w:val="none" w:color="auto"/>
                    </w:rPr>
                    <w:t>一般固废贮存区：</w:t>
                  </w:r>
                  <w:r>
                    <w:rPr>
                      <w:rFonts w:hint="default" w:ascii="Times New Roman" w:hAnsi="Times New Roman" w:eastAsia="宋体" w:cs="Times New Roman"/>
                      <w:color w:val="auto"/>
                      <w:kern w:val="0"/>
                      <w:sz w:val="21"/>
                      <w:szCs w:val="21"/>
                      <w:highlight w:val="none"/>
                      <w:u w:val="none" w:color="auto"/>
                    </w:rPr>
                    <w:t>为固体废物</w:t>
                  </w:r>
                  <w:r>
                    <w:rPr>
                      <w:rFonts w:hint="default" w:ascii="Times New Roman" w:hAnsi="Times New Roman" w:eastAsia="宋体" w:cs="Times New Roman"/>
                      <w:color w:val="auto"/>
                      <w:kern w:val="0"/>
                      <w:sz w:val="21"/>
                      <w:szCs w:val="21"/>
                      <w:highlight w:val="none"/>
                      <w:u w:val="none" w:color="auto"/>
                      <w:lang w:eastAsia="zh-CN"/>
                    </w:rPr>
                    <w:t>间，</w:t>
                  </w:r>
                  <w:r>
                    <w:rPr>
                      <w:rFonts w:hint="default" w:ascii="Times New Roman" w:hAnsi="Times New Roman" w:eastAsia="宋体" w:cs="Times New Roman"/>
                      <w:color w:val="auto"/>
                      <w:kern w:val="0"/>
                      <w:sz w:val="21"/>
                      <w:szCs w:val="21"/>
                      <w:highlight w:val="none"/>
                      <w:u w:val="none" w:color="auto"/>
                    </w:rPr>
                    <w:t>主要收集一般固废，</w:t>
                  </w:r>
                  <w:r>
                    <w:rPr>
                      <w:rFonts w:hint="default" w:ascii="Times New Roman" w:hAnsi="Times New Roman" w:eastAsia="宋体" w:cs="Times New Roman"/>
                      <w:color w:val="auto"/>
                      <w:kern w:val="0"/>
                      <w:sz w:val="21"/>
                      <w:szCs w:val="21"/>
                      <w:highlight w:val="none"/>
                      <w:u w:val="none" w:color="auto"/>
                      <w:lang w:val="en-US" w:eastAsia="zh-CN"/>
                    </w:rPr>
                    <w:t>拟设置位于铝合金熔铸二厂西北角</w:t>
                  </w:r>
                  <w:r>
                    <w:rPr>
                      <w:rFonts w:hint="default" w:ascii="Times New Roman" w:hAnsi="Times New Roman" w:eastAsia="宋体" w:cs="Times New Roman"/>
                      <w:color w:val="auto"/>
                      <w:kern w:val="0"/>
                      <w:sz w:val="21"/>
                      <w:szCs w:val="21"/>
                      <w:highlight w:val="none"/>
                      <w:u w:val="none" w:color="auto"/>
                    </w:rPr>
                    <w:t>，占地</w:t>
                  </w:r>
                  <w:r>
                    <w:rPr>
                      <w:rFonts w:hint="default" w:ascii="Times New Roman" w:hAnsi="Times New Roman" w:eastAsia="宋体" w:cs="Times New Roman"/>
                      <w:color w:val="auto"/>
                      <w:kern w:val="0"/>
                      <w:sz w:val="21"/>
                      <w:szCs w:val="21"/>
                      <w:highlight w:val="none"/>
                      <w:u w:val="none" w:color="auto"/>
                      <w:lang w:val="en-US" w:eastAsia="zh-CN"/>
                    </w:rPr>
                    <w:t>5</w:t>
                  </w:r>
                  <w:r>
                    <w:rPr>
                      <w:rFonts w:hint="default" w:ascii="Times New Roman" w:hAnsi="Times New Roman" w:eastAsia="宋体" w:cs="Times New Roman"/>
                      <w:color w:val="auto"/>
                      <w:kern w:val="0"/>
                      <w:sz w:val="21"/>
                      <w:szCs w:val="21"/>
                      <w:highlight w:val="none"/>
                      <w:u w:val="none" w:color="auto"/>
                    </w:rPr>
                    <w:t>0m</w:t>
                  </w:r>
                  <w:r>
                    <w:rPr>
                      <w:rFonts w:hint="default" w:ascii="Times New Roman" w:hAnsi="Times New Roman" w:eastAsia="宋体" w:cs="Times New Roman"/>
                      <w:color w:val="auto"/>
                      <w:kern w:val="0"/>
                      <w:sz w:val="21"/>
                      <w:szCs w:val="21"/>
                      <w:highlight w:val="none"/>
                      <w:u w:val="none" w:color="auto"/>
                      <w:vertAlign w:val="superscript"/>
                    </w:rPr>
                    <w:t>2</w:t>
                  </w:r>
                  <w:r>
                    <w:rPr>
                      <w:rFonts w:hint="default" w:ascii="Times New Roman" w:hAnsi="Times New Roman" w:eastAsia="宋体" w:cs="Times New Roman"/>
                      <w:color w:val="auto"/>
                      <w:kern w:val="0"/>
                      <w:sz w:val="21"/>
                      <w:szCs w:val="21"/>
                      <w:highlight w:val="none"/>
                      <w:u w:val="none" w:color="auto"/>
                    </w:rPr>
                    <w:t>。一般固废经暂存后或进行回用、或外售进行综合利用。</w:t>
                  </w:r>
                </w:p>
              </w:tc>
              <w:tc>
                <w:tcPr>
                  <w:tcW w:w="859" w:type="pct"/>
                  <w:tcBorders>
                    <w:tl2br w:val="nil"/>
                    <w:tr2bl w:val="nil"/>
                  </w:tcBorders>
                  <w:vAlign w:val="center"/>
                </w:tcPr>
                <w:p w14:paraId="10D14D68">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新建</w:t>
                  </w:r>
                </w:p>
              </w:tc>
            </w:tr>
            <w:tr w14:paraId="141E758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02" w:type="pct"/>
                  <w:vMerge w:val="continue"/>
                  <w:tcBorders>
                    <w:tl2br w:val="nil"/>
                    <w:tr2bl w:val="nil"/>
                  </w:tcBorders>
                  <w:vAlign w:val="center"/>
                </w:tcPr>
                <w:p w14:paraId="17C8F5EA">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p>
              </w:tc>
              <w:tc>
                <w:tcPr>
                  <w:tcW w:w="448" w:type="pct"/>
                  <w:vMerge w:val="continue"/>
                  <w:tcBorders>
                    <w:tl2br w:val="nil"/>
                    <w:tr2bl w:val="nil"/>
                  </w:tcBorders>
                  <w:vAlign w:val="center"/>
                </w:tcPr>
                <w:p w14:paraId="50F7F496">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p>
              </w:tc>
              <w:tc>
                <w:tcPr>
                  <w:tcW w:w="654" w:type="pct"/>
                  <w:gridSpan w:val="2"/>
                  <w:vMerge w:val="continue"/>
                  <w:tcBorders>
                    <w:tl2br w:val="nil"/>
                    <w:tr2bl w:val="nil"/>
                  </w:tcBorders>
                  <w:vAlign w:val="center"/>
                </w:tcPr>
                <w:p w14:paraId="51D5C660">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p>
              </w:tc>
              <w:tc>
                <w:tcPr>
                  <w:tcW w:w="2736" w:type="pct"/>
                  <w:gridSpan w:val="2"/>
                  <w:tcBorders>
                    <w:tl2br w:val="nil"/>
                    <w:tr2bl w:val="nil"/>
                  </w:tcBorders>
                  <w:vAlign w:val="center"/>
                </w:tcPr>
                <w:p w14:paraId="43A137F7">
                  <w:pPr>
                    <w:keepNext w:val="0"/>
                    <w:keepLines w:val="0"/>
                    <w:pageBreakBefore w:val="0"/>
                    <w:kinsoku/>
                    <w:wordWrap/>
                    <w:overflowPunct/>
                    <w:topLinePunct w:val="0"/>
                    <w:autoSpaceDE/>
                    <w:autoSpaceDN/>
                    <w:bidi w:val="0"/>
                    <w:adjustRightInd/>
                    <w:snapToGrid/>
                    <w:spacing w:line="20" w:lineRule="atLeast"/>
                    <w:ind w:right="0"/>
                    <w:jc w:val="both"/>
                    <w:textAlignment w:val="auto"/>
                    <w:rPr>
                      <w:rFonts w:hint="default" w:ascii="Times New Roman" w:hAnsi="Times New Roman" w:eastAsia="宋体" w:cs="Times New Roman"/>
                      <w:b/>
                      <w:bCs/>
                      <w:color w:val="auto"/>
                      <w:sz w:val="21"/>
                      <w:szCs w:val="21"/>
                      <w:highlight w:val="none"/>
                      <w:u w:val="none" w:color="auto"/>
                    </w:rPr>
                  </w:pPr>
                  <w:r>
                    <w:rPr>
                      <w:rFonts w:hint="default" w:ascii="Times New Roman" w:hAnsi="Times New Roman" w:eastAsia="宋体" w:cs="Times New Roman"/>
                      <w:b/>
                      <w:bCs/>
                      <w:color w:val="auto"/>
                      <w:sz w:val="21"/>
                      <w:szCs w:val="21"/>
                      <w:highlight w:val="none"/>
                      <w:u w:val="none" w:color="auto"/>
                    </w:rPr>
                    <w:t>危废贮存区：</w:t>
                  </w:r>
                </w:p>
                <w:p w14:paraId="4EDFEBDE">
                  <w:pPr>
                    <w:pStyle w:val="2"/>
                    <w:keepNext w:val="0"/>
                    <w:keepLines w:val="0"/>
                    <w:pageBreakBefore w:val="0"/>
                    <w:kinsoku/>
                    <w:wordWrap/>
                    <w:overflowPunct/>
                    <w:topLinePunct w:val="0"/>
                    <w:autoSpaceDE/>
                    <w:autoSpaceDN/>
                    <w:bidi w:val="0"/>
                    <w:adjustRightInd/>
                    <w:spacing w:before="0" w:after="0" w:line="20" w:lineRule="atLeast"/>
                    <w:ind w:right="0"/>
                    <w:textAlignment w:val="auto"/>
                    <w:rPr>
                      <w:rFonts w:hint="default" w:ascii="Times New Roman" w:hAnsi="Times New Roman" w:eastAsia="宋体" w:cs="Times New Roman"/>
                      <w:b w:val="0"/>
                      <w:bCs w:val="0"/>
                      <w:color w:val="auto"/>
                      <w:sz w:val="21"/>
                      <w:szCs w:val="21"/>
                      <w:highlight w:val="none"/>
                      <w:u w:val="none" w:color="auto"/>
                      <w:lang w:val="en-US" w:eastAsia="zh-CN"/>
                    </w:rPr>
                  </w:pPr>
                  <w:r>
                    <w:rPr>
                      <w:rFonts w:hint="default" w:ascii="Times New Roman" w:hAnsi="Times New Roman" w:eastAsia="宋体" w:cs="Times New Roman"/>
                      <w:b w:val="0"/>
                      <w:bCs w:val="0"/>
                      <w:color w:val="auto"/>
                      <w:sz w:val="21"/>
                      <w:szCs w:val="21"/>
                      <w:highlight w:val="none"/>
                      <w:u w:val="none" w:color="auto"/>
                      <w:lang w:val="en-US" w:eastAsia="zh-CN"/>
                    </w:rPr>
                    <w:t>依托中创空天厂区危废暂存库，该库分别设置TS001、TS002、TS003，占地面积均为100m</w:t>
                  </w:r>
                  <w:r>
                    <w:rPr>
                      <w:rFonts w:hint="default" w:ascii="Times New Roman" w:hAnsi="Times New Roman" w:eastAsia="宋体" w:cs="Times New Roman"/>
                      <w:b w:val="0"/>
                      <w:bCs w:val="0"/>
                      <w:color w:val="auto"/>
                      <w:sz w:val="21"/>
                      <w:szCs w:val="21"/>
                      <w:highlight w:val="none"/>
                      <w:u w:val="none" w:color="auto"/>
                      <w:vertAlign w:val="superscript"/>
                      <w:lang w:val="en-US" w:eastAsia="zh-CN"/>
                    </w:rPr>
                    <w:t>2</w:t>
                  </w:r>
                  <w:r>
                    <w:rPr>
                      <w:rFonts w:hint="default" w:ascii="Times New Roman" w:hAnsi="Times New Roman" w:eastAsia="宋体" w:cs="Times New Roman"/>
                      <w:b w:val="0"/>
                      <w:bCs w:val="0"/>
                      <w:color w:val="auto"/>
                      <w:sz w:val="21"/>
                      <w:szCs w:val="21"/>
                      <w:highlight w:val="none"/>
                      <w:u w:val="none" w:color="auto"/>
                      <w:lang w:val="en-US" w:eastAsia="zh-CN"/>
                    </w:rPr>
                    <w:t>，其中各功能为：</w:t>
                  </w:r>
                </w:p>
                <w:p w14:paraId="664EB234">
                  <w:pPr>
                    <w:pStyle w:val="2"/>
                    <w:keepNext w:val="0"/>
                    <w:keepLines w:val="0"/>
                    <w:pageBreakBefore w:val="0"/>
                    <w:kinsoku/>
                    <w:wordWrap/>
                    <w:overflowPunct/>
                    <w:topLinePunct w:val="0"/>
                    <w:autoSpaceDE/>
                    <w:autoSpaceDN/>
                    <w:bidi w:val="0"/>
                    <w:adjustRightInd/>
                    <w:spacing w:before="0" w:after="0" w:line="20" w:lineRule="atLeast"/>
                    <w:ind w:right="0"/>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TS001危废暂存间主要暂存蚀洗槽铝残渣等；</w:t>
                  </w:r>
                </w:p>
                <w:p w14:paraId="75B7A642">
                  <w:pPr>
                    <w:pStyle w:val="2"/>
                    <w:keepNext w:val="0"/>
                    <w:keepLines w:val="0"/>
                    <w:pageBreakBefore w:val="0"/>
                    <w:kinsoku/>
                    <w:wordWrap/>
                    <w:overflowPunct/>
                    <w:topLinePunct w:val="0"/>
                    <w:autoSpaceDE/>
                    <w:autoSpaceDN/>
                    <w:bidi w:val="0"/>
                    <w:adjustRightInd/>
                    <w:spacing w:before="0" w:after="0" w:line="20" w:lineRule="atLeast"/>
                    <w:ind w:right="0"/>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TS002危废暂存间主要暂存废矿物油类物质；</w:t>
                  </w:r>
                  <w:r>
                    <w:rPr>
                      <w:rFonts w:hint="default" w:ascii="Times New Roman" w:hAnsi="Times New Roman" w:eastAsia="宋体" w:cs="Times New Roman"/>
                      <w:b w:val="0"/>
                      <w:bCs w:val="0"/>
                      <w:color w:val="auto"/>
                      <w:sz w:val="21"/>
                      <w:szCs w:val="21"/>
                      <w:highlight w:val="none"/>
                      <w:u w:val="none" w:color="auto"/>
                      <w:lang w:val="en-US" w:eastAsia="zh-CN"/>
                    </w:rPr>
                    <w:t>TS003</w:t>
                  </w:r>
                  <w:r>
                    <w:rPr>
                      <w:rFonts w:hint="default" w:ascii="Times New Roman" w:hAnsi="Times New Roman" w:eastAsia="宋体" w:cs="Times New Roman"/>
                      <w:color w:val="auto"/>
                      <w:sz w:val="21"/>
                      <w:szCs w:val="21"/>
                      <w:highlight w:val="none"/>
                      <w:u w:val="none" w:color="auto"/>
                      <w:lang w:val="en-US" w:eastAsia="zh-CN"/>
                    </w:rPr>
                    <w:t>危废暂存间主要暂存收集到的铝灰尘、铝灰渣及二次铝灰渣；</w:t>
                  </w:r>
                </w:p>
                <w:p w14:paraId="0A82D2AD">
                  <w:pPr>
                    <w:pStyle w:val="2"/>
                    <w:keepNext w:val="0"/>
                    <w:keepLines w:val="0"/>
                    <w:pageBreakBefore w:val="0"/>
                    <w:kinsoku/>
                    <w:wordWrap/>
                    <w:overflowPunct/>
                    <w:topLinePunct w:val="0"/>
                    <w:autoSpaceDE/>
                    <w:autoSpaceDN/>
                    <w:bidi w:val="0"/>
                    <w:adjustRightInd/>
                    <w:spacing w:before="0" w:after="0" w:line="20" w:lineRule="atLeast"/>
                    <w:ind w:right="0"/>
                    <w:textAlignment w:val="auto"/>
                    <w:rPr>
                      <w:rFonts w:hint="default" w:ascii="Times New Roman" w:hAnsi="Times New Roman" w:eastAsia="宋体" w:cs="Times New Roman"/>
                      <w:b/>
                      <w:bCs/>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lang w:val="en-US" w:eastAsia="zh-CN"/>
                    </w:rPr>
                    <w:t>主要依托TS002、TS003暂存本项目危废，经暂存后</w:t>
                  </w:r>
                  <w:r>
                    <w:rPr>
                      <w:rFonts w:hint="default" w:ascii="Times New Roman" w:hAnsi="Times New Roman" w:eastAsia="宋体" w:cs="Times New Roman"/>
                      <w:color w:val="auto"/>
                      <w:kern w:val="0"/>
                      <w:sz w:val="21"/>
                      <w:szCs w:val="21"/>
                      <w:highlight w:val="none"/>
                      <w:u w:val="none" w:color="auto"/>
                    </w:rPr>
                    <w:t>定期交由资质单位进行处置。</w:t>
                  </w:r>
                </w:p>
              </w:tc>
              <w:tc>
                <w:tcPr>
                  <w:tcW w:w="859" w:type="pct"/>
                  <w:tcBorders>
                    <w:tl2br w:val="nil"/>
                    <w:tr2bl w:val="nil"/>
                  </w:tcBorders>
                  <w:vAlign w:val="center"/>
                </w:tcPr>
                <w:p w14:paraId="3D177624">
                  <w:pPr>
                    <w:keepNext w:val="0"/>
                    <w:keepLines w:val="0"/>
                    <w:pageBreakBefore w:val="0"/>
                    <w:kinsoku/>
                    <w:wordWrap/>
                    <w:overflowPunct/>
                    <w:topLinePunct w:val="0"/>
                    <w:autoSpaceDE/>
                    <w:autoSpaceDN/>
                    <w:bidi w:val="0"/>
                    <w:adjustRightInd/>
                    <w:snapToGrid/>
                    <w:spacing w:line="20" w:lineRule="atLeast"/>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依托现有</w:t>
                  </w:r>
                </w:p>
              </w:tc>
            </w:tr>
            <w:tr w14:paraId="23C01F5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02" w:type="pct"/>
                  <w:vMerge w:val="continue"/>
                  <w:tcBorders>
                    <w:tl2br w:val="nil"/>
                    <w:tr2bl w:val="nil"/>
                  </w:tcBorders>
                  <w:vAlign w:val="center"/>
                </w:tcPr>
                <w:p w14:paraId="39D8F044">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p>
              </w:tc>
              <w:tc>
                <w:tcPr>
                  <w:tcW w:w="448" w:type="pct"/>
                  <w:vMerge w:val="continue"/>
                  <w:tcBorders>
                    <w:tl2br w:val="nil"/>
                    <w:tr2bl w:val="nil"/>
                  </w:tcBorders>
                  <w:vAlign w:val="center"/>
                </w:tcPr>
                <w:p w14:paraId="1BB0EB42">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p>
              </w:tc>
              <w:tc>
                <w:tcPr>
                  <w:tcW w:w="654" w:type="pct"/>
                  <w:gridSpan w:val="2"/>
                  <w:tcBorders>
                    <w:tl2br w:val="nil"/>
                    <w:tr2bl w:val="nil"/>
                  </w:tcBorders>
                  <w:vAlign w:val="center"/>
                </w:tcPr>
                <w:p w14:paraId="72452C98">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i w:val="0"/>
                      <w:iCs w:val="0"/>
                      <w:color w:val="auto"/>
                      <w:kern w:val="0"/>
                      <w:sz w:val="21"/>
                      <w:szCs w:val="21"/>
                      <w:highlight w:val="none"/>
                      <w:u w:val="none" w:color="auto"/>
                      <w:lang w:val="en-US" w:eastAsia="zh-CN" w:bidi="ar"/>
                    </w:rPr>
                    <w:t>临港高新产业园区</w:t>
                  </w:r>
                </w:p>
              </w:tc>
              <w:tc>
                <w:tcPr>
                  <w:tcW w:w="2736" w:type="pct"/>
                  <w:gridSpan w:val="2"/>
                  <w:tcBorders>
                    <w:tl2br w:val="nil"/>
                    <w:tr2bl w:val="nil"/>
                  </w:tcBorders>
                  <w:vAlign w:val="center"/>
                </w:tcPr>
                <w:p w14:paraId="4295F2CE">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在14#厂房内分别设TS004一般固废暂存间（50m</w:t>
                  </w:r>
                  <w:r>
                    <w:rPr>
                      <w:rFonts w:hint="default" w:ascii="Times New Roman" w:hAnsi="Times New Roman" w:eastAsia="宋体" w:cs="Times New Roman"/>
                      <w:color w:val="auto"/>
                      <w:sz w:val="21"/>
                      <w:szCs w:val="21"/>
                      <w:highlight w:val="none"/>
                      <w:u w:val="none" w:color="auto"/>
                      <w:vertAlign w:val="superscript"/>
                      <w:lang w:val="en-US" w:eastAsia="zh-CN"/>
                    </w:rPr>
                    <w:t>2</w:t>
                  </w:r>
                  <w:r>
                    <w:rPr>
                      <w:rFonts w:hint="default" w:ascii="Times New Roman" w:hAnsi="Times New Roman" w:eastAsia="宋体" w:cs="Times New Roman"/>
                      <w:color w:val="auto"/>
                      <w:sz w:val="21"/>
                      <w:szCs w:val="21"/>
                      <w:highlight w:val="none"/>
                      <w:u w:val="none" w:color="auto"/>
                      <w:lang w:val="en-US" w:eastAsia="zh-CN"/>
                    </w:rPr>
                    <w:t>）和TS005危险固废暂存间（20m</w:t>
                  </w:r>
                  <w:r>
                    <w:rPr>
                      <w:rFonts w:hint="default" w:ascii="Times New Roman" w:hAnsi="Times New Roman" w:eastAsia="宋体" w:cs="Times New Roman"/>
                      <w:color w:val="auto"/>
                      <w:sz w:val="21"/>
                      <w:szCs w:val="21"/>
                      <w:highlight w:val="none"/>
                      <w:u w:val="none" w:color="auto"/>
                      <w:vertAlign w:val="superscript"/>
                      <w:lang w:val="en-US" w:eastAsia="zh-CN"/>
                    </w:rPr>
                    <w:t>2</w:t>
                  </w:r>
                  <w:r>
                    <w:rPr>
                      <w:rFonts w:hint="default" w:ascii="Times New Roman" w:hAnsi="Times New Roman" w:eastAsia="宋体" w:cs="Times New Roman"/>
                      <w:color w:val="auto"/>
                      <w:sz w:val="21"/>
                      <w:szCs w:val="21"/>
                      <w:highlight w:val="none"/>
                      <w:u w:val="none" w:color="auto"/>
                      <w:lang w:val="en-US" w:eastAsia="zh-CN"/>
                    </w:rPr>
                    <w:t>），</w:t>
                  </w:r>
                  <w:r>
                    <w:rPr>
                      <w:rFonts w:hint="default" w:ascii="Times New Roman" w:hAnsi="Times New Roman" w:eastAsia="宋体" w:cs="Times New Roman"/>
                      <w:color w:val="auto"/>
                      <w:kern w:val="0"/>
                      <w:sz w:val="21"/>
                      <w:szCs w:val="21"/>
                      <w:highlight w:val="none"/>
                      <w:u w:val="none" w:color="auto"/>
                    </w:rPr>
                    <w:t>一般固废经暂存后或进行回用、或外售进行综合利用</w:t>
                  </w:r>
                  <w:r>
                    <w:rPr>
                      <w:rFonts w:hint="default" w:ascii="Times New Roman" w:hAnsi="Times New Roman" w:eastAsia="宋体" w:cs="Times New Roman"/>
                      <w:color w:val="auto"/>
                      <w:kern w:val="0"/>
                      <w:sz w:val="21"/>
                      <w:szCs w:val="21"/>
                      <w:highlight w:val="none"/>
                      <w:u w:val="none" w:color="auto"/>
                      <w:lang w:eastAsia="zh-CN"/>
                    </w:rPr>
                    <w:t>；</w:t>
                  </w:r>
                  <w:r>
                    <w:rPr>
                      <w:rFonts w:hint="default" w:ascii="Times New Roman" w:hAnsi="Times New Roman" w:eastAsia="宋体" w:cs="Times New Roman"/>
                      <w:color w:val="auto"/>
                      <w:kern w:val="0"/>
                      <w:sz w:val="21"/>
                      <w:szCs w:val="21"/>
                      <w:highlight w:val="none"/>
                      <w:u w:val="none" w:color="auto"/>
                      <w:lang w:val="en-US" w:eastAsia="zh-CN"/>
                    </w:rPr>
                    <w:t>危废</w:t>
                  </w:r>
                  <w:r>
                    <w:rPr>
                      <w:rFonts w:hint="default" w:ascii="Times New Roman" w:hAnsi="Times New Roman" w:eastAsia="宋体" w:cs="Times New Roman"/>
                      <w:color w:val="auto"/>
                      <w:sz w:val="21"/>
                      <w:szCs w:val="21"/>
                      <w:highlight w:val="none"/>
                      <w:u w:val="none" w:color="auto"/>
                      <w:lang w:val="en-US" w:eastAsia="zh-CN"/>
                    </w:rPr>
                    <w:t>经暂存后</w:t>
                  </w:r>
                  <w:r>
                    <w:rPr>
                      <w:rFonts w:hint="default" w:ascii="Times New Roman" w:hAnsi="Times New Roman" w:eastAsia="宋体" w:cs="Times New Roman"/>
                      <w:color w:val="auto"/>
                      <w:kern w:val="0"/>
                      <w:sz w:val="21"/>
                      <w:szCs w:val="21"/>
                      <w:highlight w:val="none"/>
                      <w:u w:val="none" w:color="auto"/>
                    </w:rPr>
                    <w:t>定期交由资质单位进行处置。</w:t>
                  </w:r>
                </w:p>
              </w:tc>
              <w:tc>
                <w:tcPr>
                  <w:tcW w:w="859" w:type="pct"/>
                  <w:tcBorders>
                    <w:tl2br w:val="nil"/>
                    <w:tr2bl w:val="nil"/>
                  </w:tcBorders>
                  <w:vAlign w:val="center"/>
                </w:tcPr>
                <w:p w14:paraId="3EB81396">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新建</w:t>
                  </w:r>
                </w:p>
              </w:tc>
            </w:tr>
          </w:tbl>
          <w:p w14:paraId="0540137A">
            <w:pPr>
              <w:pStyle w:val="2"/>
              <w:keepNext w:val="0"/>
              <w:keepLines w:val="0"/>
              <w:pageBreakBefore w:val="0"/>
              <w:kinsoku/>
              <w:wordWrap/>
              <w:overflowPunct/>
              <w:topLinePunct w:val="0"/>
              <w:autoSpaceDE/>
              <w:autoSpaceDN/>
              <w:bidi w:val="0"/>
              <w:adjustRightInd/>
              <w:snapToGrid/>
              <w:spacing w:before="0" w:after="0" w:line="360" w:lineRule="auto"/>
              <w:ind w:right="0" w:firstLine="482" w:firstLineChars="200"/>
              <w:textAlignment w:val="auto"/>
              <w:rPr>
                <w:rFonts w:hint="default" w:ascii="Times New Roman" w:hAnsi="Times New Roman" w:eastAsia="宋体" w:cs="Times New Roman"/>
                <w:b/>
                <w:bCs/>
                <w:color w:val="auto"/>
                <w:sz w:val="24"/>
                <w:szCs w:val="24"/>
                <w:highlight w:val="none"/>
                <w:u w:val="none" w:color="auto"/>
                <w:lang w:val="en-US" w:eastAsia="zh-CN"/>
              </w:rPr>
            </w:pPr>
            <w:r>
              <w:rPr>
                <w:rFonts w:hint="default" w:ascii="Times New Roman" w:hAnsi="Times New Roman" w:eastAsia="宋体" w:cs="Times New Roman"/>
                <w:b/>
                <w:bCs/>
                <w:color w:val="auto"/>
                <w:sz w:val="24"/>
                <w:szCs w:val="24"/>
                <w:highlight w:val="none"/>
                <w:u w:val="none" w:color="auto"/>
                <w:lang w:val="en-US" w:eastAsia="zh-CN"/>
              </w:rPr>
              <w:t>中创空天厂区依托原有工程可行性分析：</w:t>
            </w:r>
          </w:p>
          <w:p w14:paraId="6FC0FCB3">
            <w:pPr>
              <w:keepNext w:val="0"/>
              <w:keepLines w:val="0"/>
              <w:pageBreakBefore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val="0"/>
                <w:bCs w:val="0"/>
                <w:color w:val="auto"/>
                <w:sz w:val="24"/>
                <w:szCs w:val="21"/>
                <w:highlight w:val="none"/>
                <w:u w:val="none" w:color="auto"/>
                <w:lang w:val="en-US" w:eastAsia="zh-CN"/>
              </w:rPr>
            </w:pPr>
            <w:r>
              <w:rPr>
                <w:rFonts w:hint="default" w:ascii="Times New Roman" w:hAnsi="Times New Roman" w:eastAsia="宋体" w:cs="Times New Roman"/>
                <w:b/>
                <w:bCs/>
                <w:color w:val="auto"/>
                <w:sz w:val="24"/>
                <w:szCs w:val="21"/>
                <w:highlight w:val="none"/>
                <w:u w:val="none" w:color="auto"/>
                <w:lang w:val="en-US" w:eastAsia="zh-CN"/>
              </w:rPr>
              <w:t>（1）生产厂房：</w:t>
            </w:r>
            <w:r>
              <w:rPr>
                <w:rFonts w:hint="default" w:ascii="Times New Roman" w:hAnsi="Times New Roman" w:eastAsia="宋体" w:cs="Times New Roman"/>
                <w:b w:val="0"/>
                <w:bCs w:val="0"/>
                <w:color w:val="auto"/>
                <w:sz w:val="24"/>
                <w:szCs w:val="21"/>
                <w:highlight w:val="none"/>
                <w:u w:val="none" w:color="auto"/>
                <w:lang w:val="en-US" w:eastAsia="zh-CN"/>
              </w:rPr>
              <w:t>本项目铝水和压铸车间在中创空天厂区熔铸二厂（原原料库）和铝合金熔铸车间内进行，厂房均为已建，其中熔铸二厂现状未利用，仅需对厂房进行适当改造符合丁类厂房相关要求，同时新增隔墙和辅助用房满足本项目需求；本项目压铸在现有铝合金熔铸车间内布置，利用中创空天厂区铝合金熔铸车间A~C跨交1~8柱区域（空置区）新增变配电房、新增设备等相关设施，并在B~C跨增设1台32t行车，无需进行建筑改造。</w:t>
            </w:r>
          </w:p>
          <w:p w14:paraId="1E6DA5E0">
            <w:pPr>
              <w:keepNext w:val="0"/>
              <w:keepLines w:val="0"/>
              <w:pageBreakBefore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bCs/>
                <w:color w:val="auto"/>
                <w:sz w:val="24"/>
                <w:szCs w:val="21"/>
                <w:highlight w:val="none"/>
                <w:u w:val="none" w:color="auto"/>
                <w:lang w:val="en-US" w:eastAsia="zh-CN"/>
              </w:rPr>
            </w:pPr>
            <w:r>
              <w:rPr>
                <w:rFonts w:hint="default" w:ascii="Times New Roman" w:hAnsi="Times New Roman" w:eastAsia="宋体" w:cs="Times New Roman"/>
                <w:b/>
                <w:bCs/>
                <w:color w:val="auto"/>
                <w:sz w:val="24"/>
                <w:szCs w:val="21"/>
                <w:highlight w:val="none"/>
                <w:u w:val="none" w:color="auto"/>
                <w:lang w:val="en-US" w:eastAsia="zh-CN"/>
              </w:rPr>
              <w:t>（2）辅助工程：</w:t>
            </w:r>
          </w:p>
          <w:p w14:paraId="68ED928A">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val="0"/>
                <w:color w:val="auto"/>
                <w:sz w:val="24"/>
                <w:szCs w:val="21"/>
                <w:highlight w:val="none"/>
                <w:u w:val="none" w:color="auto"/>
                <w:lang w:val="en-US" w:eastAsia="zh-CN"/>
              </w:rPr>
            </w:pPr>
            <w:r>
              <w:rPr>
                <w:rFonts w:hint="default" w:ascii="Times New Roman" w:hAnsi="Times New Roman" w:eastAsia="宋体" w:cs="Times New Roman"/>
                <w:b w:val="0"/>
                <w:bCs w:val="0"/>
                <w:color w:val="auto"/>
                <w:sz w:val="24"/>
                <w:szCs w:val="21"/>
                <w:highlight w:val="none"/>
                <w:u w:val="none" w:color="auto"/>
                <w:lang w:val="en-US" w:eastAsia="zh-CN"/>
              </w:rPr>
              <w:t>中创空天公司现状建设有1栋研发楼，内设展厅、报告厅、办公室、会议室及中心实验室，同时厂区内现有1栋食堂，临港高新产业园区内亦设置有园区食堂，满足本项目新增员工住宿、就餐需求。</w:t>
            </w:r>
          </w:p>
          <w:p w14:paraId="023DCE7A">
            <w:pPr>
              <w:pStyle w:val="27"/>
              <w:keepNext w:val="0"/>
              <w:keepLines w:val="0"/>
              <w:pageBreakBefore w:val="0"/>
              <w:widowControl w:val="0"/>
              <w:kinsoku/>
              <w:wordWrap/>
              <w:overflowPunct/>
              <w:topLinePunct w:val="0"/>
              <w:autoSpaceDE/>
              <w:autoSpaceDN/>
              <w:bidi w:val="0"/>
              <w:adjustRightInd/>
              <w:snapToGrid/>
              <w:spacing w:before="0" w:after="0" w:line="360" w:lineRule="auto"/>
              <w:ind w:firstLine="482" w:firstLineChars="200"/>
              <w:textAlignment w:val="auto"/>
              <w:outlineLvl w:val="9"/>
              <w:rPr>
                <w:rFonts w:hint="default" w:ascii="Times New Roman" w:hAnsi="Times New Roman" w:eastAsia="宋体" w:cs="Times New Roman"/>
                <w:b/>
                <w:bCs/>
                <w:color w:val="auto"/>
                <w:sz w:val="24"/>
                <w:szCs w:val="21"/>
                <w:highlight w:val="none"/>
                <w:u w:val="none" w:color="auto"/>
                <w:lang w:val="en-US" w:eastAsia="zh-CN"/>
              </w:rPr>
            </w:pPr>
            <w:bookmarkStart w:id="83" w:name="_Toc17251"/>
            <w:r>
              <w:rPr>
                <w:rFonts w:hint="default" w:ascii="Times New Roman" w:hAnsi="Times New Roman" w:eastAsia="宋体" w:cs="Times New Roman"/>
                <w:b/>
                <w:bCs/>
                <w:color w:val="auto"/>
                <w:sz w:val="24"/>
                <w:szCs w:val="21"/>
                <w:highlight w:val="none"/>
                <w:u w:val="none" w:color="auto"/>
                <w:lang w:val="en-US" w:eastAsia="zh-CN"/>
              </w:rPr>
              <w:t>（3）公用工程</w:t>
            </w:r>
            <w:bookmarkEnd w:id="83"/>
          </w:p>
          <w:p w14:paraId="3B388143">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val="0"/>
                <w:color w:val="auto"/>
                <w:sz w:val="24"/>
                <w:szCs w:val="21"/>
                <w:highlight w:val="none"/>
                <w:u w:val="none" w:color="auto"/>
                <w:lang w:val="en-US" w:eastAsia="zh-CN"/>
              </w:rPr>
            </w:pPr>
            <w:r>
              <w:rPr>
                <w:rFonts w:hint="default" w:ascii="Times New Roman" w:hAnsi="Times New Roman" w:eastAsia="宋体" w:cs="Times New Roman"/>
                <w:b w:val="0"/>
                <w:bCs w:val="0"/>
                <w:color w:val="auto"/>
                <w:sz w:val="24"/>
                <w:szCs w:val="21"/>
                <w:highlight w:val="none"/>
                <w:u w:val="none" w:color="auto"/>
                <w:lang w:val="en-US" w:eastAsia="zh-CN"/>
              </w:rPr>
              <w:t>1）氩气供应</w:t>
            </w:r>
          </w:p>
          <w:p w14:paraId="43184BED">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val="0"/>
                <w:color w:val="auto"/>
                <w:sz w:val="24"/>
                <w:szCs w:val="21"/>
                <w:highlight w:val="none"/>
                <w:u w:val="none" w:color="auto"/>
                <w:lang w:val="en-US" w:eastAsia="zh-CN"/>
              </w:rPr>
            </w:pPr>
            <w:r>
              <w:rPr>
                <w:rFonts w:hint="default" w:ascii="Times New Roman" w:hAnsi="Times New Roman" w:eastAsia="宋体" w:cs="Times New Roman"/>
                <w:b w:val="0"/>
                <w:bCs w:val="0"/>
                <w:color w:val="auto"/>
                <w:sz w:val="24"/>
                <w:szCs w:val="21"/>
                <w:highlight w:val="none"/>
                <w:u w:val="none" w:color="auto"/>
                <w:lang w:val="en-US" w:eastAsia="zh-CN"/>
              </w:rPr>
              <w:t>本项目熔铸二厂新增的铝水设备需使用氩气。根据设计资料，本项目氩气供应能力约为100Nm</w:t>
            </w:r>
            <w:r>
              <w:rPr>
                <w:rFonts w:hint="default" w:ascii="Times New Roman" w:hAnsi="Times New Roman" w:eastAsia="宋体" w:cs="Times New Roman"/>
                <w:b w:val="0"/>
                <w:bCs w:val="0"/>
                <w:color w:val="auto"/>
                <w:sz w:val="24"/>
                <w:szCs w:val="21"/>
                <w:highlight w:val="none"/>
                <w:u w:val="none" w:color="auto"/>
                <w:vertAlign w:val="superscript"/>
                <w:lang w:val="en-US" w:eastAsia="zh-CN"/>
              </w:rPr>
              <w:t>3</w:t>
            </w:r>
            <w:r>
              <w:rPr>
                <w:rFonts w:hint="default" w:ascii="Times New Roman" w:hAnsi="Times New Roman" w:eastAsia="宋体" w:cs="Times New Roman"/>
                <w:b w:val="0"/>
                <w:bCs w:val="0"/>
                <w:color w:val="auto"/>
                <w:sz w:val="24"/>
                <w:szCs w:val="21"/>
                <w:highlight w:val="none"/>
                <w:u w:val="none" w:color="auto"/>
                <w:lang w:val="en-US" w:eastAsia="zh-CN"/>
              </w:rPr>
              <w:t>/h，中创空天现状在铝合金熔铸车间辅助车间建设有1#氩气站，在铝锂熔铸车间辅助车间建设2#氩气站设置有1个氩气站，厂区现有氩气平均使用为43.4Nm</w:t>
            </w:r>
            <w:r>
              <w:rPr>
                <w:rFonts w:hint="default" w:ascii="Times New Roman" w:hAnsi="Times New Roman" w:eastAsia="宋体" w:cs="Times New Roman"/>
                <w:b w:val="0"/>
                <w:bCs w:val="0"/>
                <w:color w:val="auto"/>
                <w:sz w:val="24"/>
                <w:szCs w:val="21"/>
                <w:highlight w:val="none"/>
                <w:u w:val="none" w:color="auto"/>
                <w:vertAlign w:val="superscript"/>
                <w:lang w:val="en-US" w:eastAsia="zh-CN"/>
              </w:rPr>
              <w:t>3</w:t>
            </w:r>
            <w:r>
              <w:rPr>
                <w:rFonts w:hint="default" w:ascii="Times New Roman" w:hAnsi="Times New Roman" w:eastAsia="宋体" w:cs="Times New Roman"/>
                <w:b w:val="0"/>
                <w:bCs w:val="0"/>
                <w:color w:val="auto"/>
                <w:sz w:val="24"/>
                <w:szCs w:val="21"/>
                <w:highlight w:val="none"/>
                <w:u w:val="none" w:color="auto"/>
                <w:lang w:val="en-US" w:eastAsia="zh-CN"/>
              </w:rPr>
              <w:t>/h，剩余规模为56.6Nm</w:t>
            </w:r>
            <w:r>
              <w:rPr>
                <w:rFonts w:hint="default" w:ascii="Times New Roman" w:hAnsi="Times New Roman" w:eastAsia="宋体" w:cs="Times New Roman"/>
                <w:b w:val="0"/>
                <w:bCs w:val="0"/>
                <w:color w:val="auto"/>
                <w:sz w:val="24"/>
                <w:szCs w:val="21"/>
                <w:highlight w:val="none"/>
                <w:u w:val="none" w:color="auto"/>
                <w:vertAlign w:val="superscript"/>
                <w:lang w:val="en-US" w:eastAsia="zh-CN"/>
              </w:rPr>
              <w:t>3</w:t>
            </w:r>
            <w:r>
              <w:rPr>
                <w:rFonts w:hint="default" w:ascii="Times New Roman" w:hAnsi="Times New Roman" w:eastAsia="宋体" w:cs="Times New Roman"/>
                <w:b w:val="0"/>
                <w:bCs w:val="0"/>
                <w:color w:val="auto"/>
                <w:sz w:val="24"/>
                <w:szCs w:val="21"/>
                <w:highlight w:val="none"/>
                <w:u w:val="none" w:color="auto"/>
                <w:lang w:val="en-US" w:eastAsia="zh-CN"/>
              </w:rPr>
              <w:t>/h，可满足本项目氩气使用需求（1.8Nm</w:t>
            </w:r>
            <w:r>
              <w:rPr>
                <w:rFonts w:hint="default" w:ascii="Times New Roman" w:hAnsi="Times New Roman" w:eastAsia="宋体" w:cs="Times New Roman"/>
                <w:b w:val="0"/>
                <w:bCs w:val="0"/>
                <w:color w:val="auto"/>
                <w:sz w:val="24"/>
                <w:szCs w:val="21"/>
                <w:highlight w:val="none"/>
                <w:u w:val="none" w:color="auto"/>
                <w:vertAlign w:val="superscript"/>
                <w:lang w:val="en-US" w:eastAsia="zh-CN"/>
              </w:rPr>
              <w:t>3</w:t>
            </w:r>
            <w:r>
              <w:rPr>
                <w:rFonts w:hint="default" w:ascii="Times New Roman" w:hAnsi="Times New Roman" w:eastAsia="宋体" w:cs="Times New Roman"/>
                <w:b w:val="0"/>
                <w:bCs w:val="0"/>
                <w:color w:val="auto"/>
                <w:sz w:val="24"/>
                <w:szCs w:val="21"/>
                <w:highlight w:val="none"/>
                <w:u w:val="none" w:color="auto"/>
                <w:lang w:val="en-US" w:eastAsia="zh-CN"/>
              </w:rPr>
              <w:t>/h）。</w:t>
            </w:r>
          </w:p>
          <w:p w14:paraId="22D3142F">
            <w:pPr>
              <w:pStyle w:val="2"/>
              <w:topLinePunct w:val="0"/>
              <w:bidi w:val="0"/>
              <w:adjustRightInd/>
              <w:snapToGrid/>
              <w:spacing w:after="0" w:line="360" w:lineRule="auto"/>
              <w:ind w:firstLine="480" w:firstLineChars="200"/>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lang w:val="en-US" w:eastAsia="zh-CN"/>
              </w:rPr>
              <w:t>2</w:t>
            </w:r>
            <w:r>
              <w:rPr>
                <w:rFonts w:hint="default" w:ascii="Times New Roman" w:hAnsi="Times New Roman" w:eastAsia="宋体" w:cs="Times New Roman"/>
                <w:color w:val="auto"/>
                <w:sz w:val="24"/>
                <w:szCs w:val="24"/>
                <w:highlight w:val="none"/>
                <w:u w:val="none" w:color="auto"/>
              </w:rPr>
              <w:t>）压缩</w:t>
            </w:r>
            <w:r>
              <w:rPr>
                <w:rFonts w:hint="default" w:ascii="Times New Roman" w:hAnsi="Times New Roman" w:eastAsia="宋体" w:cs="Times New Roman"/>
                <w:b w:val="0"/>
                <w:bCs w:val="0"/>
                <w:color w:val="auto"/>
                <w:sz w:val="24"/>
                <w:szCs w:val="21"/>
                <w:highlight w:val="none"/>
                <w:u w:val="none" w:color="auto"/>
                <w:lang w:val="en-US" w:eastAsia="zh-CN"/>
              </w:rPr>
              <w:t>供应</w:t>
            </w:r>
          </w:p>
          <w:p w14:paraId="3A695B09">
            <w:pPr>
              <w:pStyle w:val="2"/>
              <w:topLinePunct w:val="0"/>
              <w:bidi w:val="0"/>
              <w:adjustRightInd/>
              <w:snapToGrid/>
              <w:spacing w:after="0" w:line="360" w:lineRule="auto"/>
              <w:ind w:firstLine="480" w:firstLineChars="200"/>
              <w:rPr>
                <w:rFonts w:hint="default" w:ascii="Times New Roman" w:hAnsi="Times New Roman" w:eastAsia="宋体" w:cs="Times New Roman"/>
                <w:color w:val="auto"/>
                <w:sz w:val="24"/>
                <w:szCs w:val="24"/>
                <w:highlight w:val="none"/>
                <w:u w:val="none" w:color="auto"/>
                <w:lang w:val="en-US" w:eastAsia="zh-CN"/>
              </w:rPr>
            </w:pPr>
            <w:r>
              <w:rPr>
                <w:rFonts w:hint="default" w:ascii="Times New Roman" w:hAnsi="Times New Roman" w:eastAsia="宋体" w:cs="Times New Roman"/>
                <w:color w:val="auto"/>
                <w:sz w:val="24"/>
                <w:szCs w:val="24"/>
                <w:highlight w:val="none"/>
                <w:u w:val="none" w:color="auto"/>
                <w:lang w:val="en-US" w:eastAsia="zh-CN"/>
              </w:rPr>
              <w:t>根据建设单位同的现有工程资料</w:t>
            </w:r>
            <w:r>
              <w:rPr>
                <w:rFonts w:hint="default" w:ascii="Times New Roman" w:hAnsi="Times New Roman" w:eastAsia="宋体" w:cs="Times New Roman"/>
                <w:color w:val="auto"/>
                <w:sz w:val="24"/>
                <w:szCs w:val="24"/>
                <w:highlight w:val="none"/>
                <w:u w:val="none" w:color="auto"/>
                <w:lang w:eastAsia="zh-CN"/>
              </w:rPr>
              <w:t>，</w:t>
            </w:r>
            <w:r>
              <w:rPr>
                <w:rFonts w:hint="default" w:ascii="Times New Roman" w:hAnsi="Times New Roman" w:eastAsia="宋体" w:cs="Times New Roman"/>
                <w:color w:val="auto"/>
                <w:sz w:val="24"/>
                <w:szCs w:val="24"/>
                <w:highlight w:val="none"/>
                <w:u w:val="none" w:color="auto"/>
                <w:lang w:val="en-US" w:eastAsia="zh-CN"/>
              </w:rPr>
              <w:t>厂区内现有空压站</w:t>
            </w:r>
            <w:r>
              <w:rPr>
                <w:rFonts w:hint="default" w:ascii="Times New Roman" w:hAnsi="Times New Roman" w:eastAsia="宋体" w:cs="Times New Roman"/>
                <w:color w:val="auto"/>
                <w:sz w:val="24"/>
                <w:szCs w:val="24"/>
                <w:highlight w:val="none"/>
                <w:u w:val="none" w:color="auto"/>
              </w:rPr>
              <w:t>低压（0.4-0.6MPa）压缩空气</w:t>
            </w:r>
            <w:r>
              <w:rPr>
                <w:rFonts w:hint="default" w:ascii="Times New Roman" w:hAnsi="Times New Roman" w:eastAsia="宋体" w:cs="Times New Roman"/>
                <w:color w:val="auto"/>
                <w:sz w:val="24"/>
                <w:szCs w:val="24"/>
                <w:highlight w:val="none"/>
                <w:u w:val="none" w:color="auto"/>
                <w:lang w:val="en-US" w:eastAsia="zh-CN"/>
              </w:rPr>
              <w:t>供给</w:t>
            </w:r>
            <w:r>
              <w:rPr>
                <w:rFonts w:hint="default" w:ascii="Times New Roman" w:hAnsi="Times New Roman" w:eastAsia="宋体" w:cs="Times New Roman"/>
                <w:color w:val="auto"/>
                <w:sz w:val="24"/>
                <w:szCs w:val="24"/>
                <w:highlight w:val="none"/>
                <w:u w:val="none" w:color="auto"/>
              </w:rPr>
              <w:t>量为60.78Nm</w:t>
            </w:r>
            <w:r>
              <w:rPr>
                <w:rFonts w:hint="default" w:ascii="Times New Roman" w:hAnsi="Times New Roman" w:eastAsia="宋体" w:cs="Times New Roman"/>
                <w:color w:val="auto"/>
                <w:sz w:val="24"/>
                <w:szCs w:val="24"/>
                <w:highlight w:val="none"/>
                <w:u w:val="none" w:color="auto"/>
                <w:vertAlign w:val="superscript"/>
              </w:rPr>
              <w:t>3</w:t>
            </w:r>
            <w:r>
              <w:rPr>
                <w:rFonts w:hint="default" w:ascii="Times New Roman" w:hAnsi="Times New Roman" w:eastAsia="宋体" w:cs="Times New Roman"/>
                <w:color w:val="auto"/>
                <w:sz w:val="24"/>
                <w:szCs w:val="24"/>
                <w:highlight w:val="none"/>
                <w:u w:val="none" w:color="auto"/>
              </w:rPr>
              <w:t>/min；高压（0.69-0.75MPa）压缩空气</w:t>
            </w:r>
            <w:r>
              <w:rPr>
                <w:rFonts w:hint="default" w:ascii="Times New Roman" w:hAnsi="Times New Roman" w:eastAsia="宋体" w:cs="Times New Roman"/>
                <w:color w:val="auto"/>
                <w:sz w:val="24"/>
                <w:szCs w:val="24"/>
                <w:highlight w:val="none"/>
                <w:u w:val="none" w:color="auto"/>
                <w:lang w:val="en-US" w:eastAsia="zh-CN"/>
              </w:rPr>
              <w:t>供给</w:t>
            </w:r>
            <w:r>
              <w:rPr>
                <w:rFonts w:hint="default" w:ascii="Times New Roman" w:hAnsi="Times New Roman" w:eastAsia="宋体" w:cs="Times New Roman"/>
                <w:color w:val="auto"/>
                <w:sz w:val="24"/>
                <w:szCs w:val="24"/>
                <w:highlight w:val="none"/>
                <w:u w:val="none" w:color="auto"/>
              </w:rPr>
              <w:t>量为31.82Nm</w:t>
            </w:r>
            <w:r>
              <w:rPr>
                <w:rFonts w:hint="default" w:ascii="Times New Roman" w:hAnsi="Times New Roman" w:eastAsia="宋体" w:cs="Times New Roman"/>
                <w:color w:val="auto"/>
                <w:sz w:val="24"/>
                <w:szCs w:val="24"/>
                <w:highlight w:val="none"/>
                <w:u w:val="none" w:color="auto"/>
                <w:vertAlign w:val="superscript"/>
              </w:rPr>
              <w:t>3</w:t>
            </w:r>
            <w:r>
              <w:rPr>
                <w:rFonts w:hint="default" w:ascii="Times New Roman" w:hAnsi="Times New Roman" w:eastAsia="宋体" w:cs="Times New Roman"/>
                <w:color w:val="auto"/>
                <w:sz w:val="24"/>
                <w:szCs w:val="24"/>
                <w:highlight w:val="none"/>
                <w:u w:val="none" w:color="auto"/>
              </w:rPr>
              <w:t>/min</w:t>
            </w:r>
            <w:r>
              <w:rPr>
                <w:rFonts w:hint="default" w:ascii="Times New Roman" w:hAnsi="Times New Roman" w:eastAsia="宋体" w:cs="Times New Roman"/>
                <w:color w:val="auto"/>
                <w:sz w:val="24"/>
                <w:szCs w:val="24"/>
                <w:highlight w:val="none"/>
                <w:u w:val="none" w:color="auto"/>
                <w:lang w:eastAsia="zh-CN"/>
              </w:rPr>
              <w:t>，</w:t>
            </w:r>
            <w:r>
              <w:rPr>
                <w:rFonts w:hint="default" w:ascii="Times New Roman" w:hAnsi="Times New Roman" w:eastAsia="宋体" w:cs="Times New Roman"/>
                <w:color w:val="auto"/>
                <w:sz w:val="24"/>
                <w:szCs w:val="24"/>
                <w:highlight w:val="none"/>
                <w:u w:val="none" w:color="auto"/>
                <w:lang w:val="en-US" w:eastAsia="zh-CN"/>
              </w:rPr>
              <w:t>最大供给量为92.6</w:t>
            </w:r>
            <w:r>
              <w:rPr>
                <w:rFonts w:hint="default" w:ascii="Times New Roman" w:hAnsi="Times New Roman" w:eastAsia="宋体" w:cs="Times New Roman"/>
                <w:color w:val="auto"/>
                <w:sz w:val="24"/>
                <w:szCs w:val="24"/>
                <w:highlight w:val="none"/>
                <w:u w:val="none" w:color="auto"/>
              </w:rPr>
              <w:t>Nm</w:t>
            </w:r>
            <w:r>
              <w:rPr>
                <w:rFonts w:hint="default" w:ascii="Times New Roman" w:hAnsi="Times New Roman" w:eastAsia="宋体" w:cs="Times New Roman"/>
                <w:color w:val="auto"/>
                <w:sz w:val="24"/>
                <w:szCs w:val="24"/>
                <w:highlight w:val="none"/>
                <w:u w:val="none" w:color="auto"/>
                <w:vertAlign w:val="superscript"/>
              </w:rPr>
              <w:t>3</w:t>
            </w:r>
            <w:r>
              <w:rPr>
                <w:rFonts w:hint="default" w:ascii="Times New Roman" w:hAnsi="Times New Roman" w:eastAsia="宋体" w:cs="Times New Roman"/>
                <w:color w:val="auto"/>
                <w:sz w:val="24"/>
                <w:szCs w:val="24"/>
                <w:highlight w:val="none"/>
                <w:u w:val="none" w:color="auto"/>
              </w:rPr>
              <w:t>/min</w:t>
            </w:r>
            <w:r>
              <w:rPr>
                <w:rFonts w:hint="default" w:ascii="Times New Roman" w:hAnsi="Times New Roman" w:eastAsia="宋体" w:cs="Times New Roman"/>
                <w:color w:val="auto"/>
                <w:sz w:val="24"/>
                <w:szCs w:val="24"/>
                <w:highlight w:val="none"/>
                <w:u w:val="none" w:color="auto"/>
                <w:lang w:eastAsia="zh-CN"/>
              </w:rPr>
              <w:t>（</w:t>
            </w:r>
            <w:r>
              <w:rPr>
                <w:rFonts w:hint="default" w:ascii="Times New Roman" w:hAnsi="Times New Roman" w:eastAsia="宋体" w:cs="Times New Roman"/>
                <w:color w:val="auto"/>
                <w:sz w:val="24"/>
                <w:szCs w:val="24"/>
                <w:highlight w:val="none"/>
                <w:u w:val="none" w:color="auto"/>
                <w:lang w:val="en-US" w:eastAsia="zh-CN"/>
              </w:rPr>
              <w:t>5556</w:t>
            </w:r>
            <w:r>
              <w:rPr>
                <w:rFonts w:hint="default" w:ascii="Times New Roman" w:hAnsi="Times New Roman" w:eastAsia="宋体" w:cs="Times New Roman"/>
                <w:color w:val="auto"/>
                <w:sz w:val="24"/>
                <w:szCs w:val="24"/>
                <w:highlight w:val="none"/>
                <w:u w:val="none" w:color="auto"/>
              </w:rPr>
              <w:t>Nm</w:t>
            </w:r>
            <w:r>
              <w:rPr>
                <w:rFonts w:hint="default" w:ascii="Times New Roman" w:hAnsi="Times New Roman" w:eastAsia="宋体" w:cs="Times New Roman"/>
                <w:color w:val="auto"/>
                <w:sz w:val="24"/>
                <w:szCs w:val="24"/>
                <w:highlight w:val="none"/>
                <w:u w:val="none" w:color="auto"/>
                <w:vertAlign w:val="superscript"/>
              </w:rPr>
              <w:t>3</w:t>
            </w:r>
            <w:r>
              <w:rPr>
                <w:rFonts w:hint="default" w:ascii="Times New Roman" w:hAnsi="Times New Roman" w:eastAsia="宋体" w:cs="Times New Roman"/>
                <w:color w:val="auto"/>
                <w:sz w:val="24"/>
                <w:szCs w:val="24"/>
                <w:highlight w:val="none"/>
                <w:u w:val="none" w:color="auto"/>
              </w:rPr>
              <w:t>/</w:t>
            </w:r>
            <w:r>
              <w:rPr>
                <w:rFonts w:hint="default" w:ascii="Times New Roman" w:hAnsi="Times New Roman" w:eastAsia="宋体" w:cs="Times New Roman"/>
                <w:color w:val="auto"/>
                <w:sz w:val="24"/>
                <w:szCs w:val="24"/>
                <w:highlight w:val="none"/>
                <w:u w:val="none" w:color="auto"/>
                <w:lang w:val="en-US" w:eastAsia="zh-CN"/>
              </w:rPr>
              <w:t>h</w:t>
            </w:r>
            <w:r>
              <w:rPr>
                <w:rFonts w:hint="default" w:ascii="Times New Roman" w:hAnsi="Times New Roman" w:eastAsia="宋体" w:cs="Times New Roman"/>
                <w:color w:val="auto"/>
                <w:sz w:val="24"/>
                <w:szCs w:val="24"/>
                <w:highlight w:val="none"/>
                <w:u w:val="none" w:color="auto"/>
                <w:lang w:eastAsia="zh-CN"/>
              </w:rPr>
              <w:t>）。</w:t>
            </w:r>
            <w:r>
              <w:rPr>
                <w:rFonts w:hint="default" w:ascii="Times New Roman" w:hAnsi="Times New Roman" w:eastAsia="宋体" w:cs="Times New Roman"/>
                <w:color w:val="auto"/>
                <w:sz w:val="24"/>
                <w:szCs w:val="24"/>
                <w:highlight w:val="none"/>
                <w:u w:val="none" w:color="auto"/>
                <w:lang w:val="en-US" w:eastAsia="zh-CN"/>
              </w:rPr>
              <w:t>目前消耗量仅约60%，剩余2222.4</w:t>
            </w:r>
            <w:r>
              <w:rPr>
                <w:rFonts w:hint="default" w:ascii="Times New Roman" w:hAnsi="Times New Roman" w:eastAsia="宋体" w:cs="Times New Roman"/>
                <w:color w:val="auto"/>
                <w:sz w:val="24"/>
                <w:szCs w:val="24"/>
                <w:highlight w:val="none"/>
                <w:u w:val="none" w:color="auto"/>
              </w:rPr>
              <w:t>Nm</w:t>
            </w:r>
            <w:r>
              <w:rPr>
                <w:rFonts w:hint="default" w:ascii="Times New Roman" w:hAnsi="Times New Roman" w:eastAsia="宋体" w:cs="Times New Roman"/>
                <w:color w:val="auto"/>
                <w:sz w:val="24"/>
                <w:szCs w:val="24"/>
                <w:highlight w:val="none"/>
                <w:u w:val="none" w:color="auto"/>
                <w:vertAlign w:val="superscript"/>
              </w:rPr>
              <w:t>3</w:t>
            </w:r>
            <w:r>
              <w:rPr>
                <w:rFonts w:hint="default" w:ascii="Times New Roman" w:hAnsi="Times New Roman" w:eastAsia="宋体" w:cs="Times New Roman"/>
                <w:color w:val="auto"/>
                <w:sz w:val="24"/>
                <w:szCs w:val="24"/>
                <w:highlight w:val="none"/>
                <w:u w:val="none" w:color="auto"/>
              </w:rPr>
              <w:t>/</w:t>
            </w:r>
            <w:r>
              <w:rPr>
                <w:rFonts w:hint="default" w:ascii="Times New Roman" w:hAnsi="Times New Roman" w:eastAsia="宋体" w:cs="Times New Roman"/>
                <w:color w:val="auto"/>
                <w:sz w:val="24"/>
                <w:szCs w:val="24"/>
                <w:highlight w:val="none"/>
                <w:u w:val="none" w:color="auto"/>
                <w:lang w:val="en-US" w:eastAsia="zh-CN"/>
              </w:rPr>
              <w:t>h</w:t>
            </w:r>
          </w:p>
          <w:p w14:paraId="52CA6A0C">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val="0"/>
                <w:color w:val="auto"/>
                <w:sz w:val="24"/>
                <w:szCs w:val="21"/>
                <w:highlight w:val="none"/>
                <w:u w:val="none" w:color="auto"/>
                <w:lang w:val="en-US" w:eastAsia="zh-CN"/>
              </w:rPr>
            </w:pPr>
            <w:r>
              <w:rPr>
                <w:rFonts w:hint="default" w:ascii="Times New Roman" w:hAnsi="Times New Roman" w:eastAsia="宋体" w:cs="Times New Roman"/>
                <w:b w:val="0"/>
                <w:bCs w:val="0"/>
                <w:color w:val="auto"/>
                <w:sz w:val="24"/>
                <w:szCs w:val="21"/>
                <w:highlight w:val="none"/>
                <w:u w:val="none" w:color="auto"/>
                <w:lang w:val="en-US" w:eastAsia="zh-CN"/>
              </w:rPr>
              <w:t>根据建设单位提供的本项目设计资料，预计熔铸二厂压缩空气最大耗量为 239</w:t>
            </w:r>
            <w:r>
              <w:rPr>
                <w:rFonts w:hint="default" w:ascii="Times New Roman" w:hAnsi="Times New Roman" w:eastAsia="宋体" w:cs="Times New Roman"/>
                <w:color w:val="auto"/>
                <w:sz w:val="24"/>
                <w:szCs w:val="24"/>
                <w:highlight w:val="none"/>
                <w:u w:val="none" w:color="auto"/>
              </w:rPr>
              <w:t>N</w:t>
            </w:r>
            <w:r>
              <w:rPr>
                <w:rFonts w:hint="default" w:ascii="Times New Roman" w:hAnsi="Times New Roman" w:eastAsia="宋体" w:cs="Times New Roman"/>
                <w:b w:val="0"/>
                <w:bCs w:val="0"/>
                <w:color w:val="auto"/>
                <w:sz w:val="24"/>
                <w:szCs w:val="21"/>
                <w:highlight w:val="none"/>
                <w:u w:val="none" w:color="auto"/>
                <w:lang w:val="en-US" w:eastAsia="zh-CN"/>
              </w:rPr>
              <w:t>m</w:t>
            </w:r>
            <w:r>
              <w:rPr>
                <w:rFonts w:hint="default" w:ascii="Times New Roman" w:hAnsi="Times New Roman" w:eastAsia="宋体" w:cs="Times New Roman"/>
                <w:color w:val="auto"/>
                <w:sz w:val="24"/>
                <w:szCs w:val="24"/>
                <w:highlight w:val="none"/>
                <w:u w:val="none" w:color="auto"/>
                <w:vertAlign w:val="superscript"/>
              </w:rPr>
              <w:t>3</w:t>
            </w:r>
            <w:r>
              <w:rPr>
                <w:rFonts w:hint="default" w:ascii="Times New Roman" w:hAnsi="Times New Roman" w:eastAsia="宋体" w:cs="Times New Roman"/>
                <w:color w:val="auto"/>
                <w:sz w:val="24"/>
                <w:szCs w:val="24"/>
                <w:highlight w:val="none"/>
                <w:u w:val="none" w:color="auto"/>
              </w:rPr>
              <w:t>/</w:t>
            </w:r>
            <w:r>
              <w:rPr>
                <w:rFonts w:hint="default" w:ascii="Times New Roman" w:hAnsi="Times New Roman" w:eastAsia="宋体" w:cs="Times New Roman"/>
                <w:color w:val="auto"/>
                <w:sz w:val="24"/>
                <w:szCs w:val="24"/>
                <w:highlight w:val="none"/>
                <w:u w:val="none" w:color="auto"/>
                <w:lang w:val="en-US" w:eastAsia="zh-CN"/>
              </w:rPr>
              <w:t>h</w:t>
            </w:r>
            <w:r>
              <w:rPr>
                <w:rFonts w:hint="default" w:ascii="Times New Roman" w:hAnsi="Times New Roman" w:eastAsia="宋体" w:cs="Times New Roman"/>
                <w:b w:val="0"/>
                <w:bCs w:val="0"/>
                <w:color w:val="auto"/>
                <w:sz w:val="24"/>
                <w:szCs w:val="21"/>
                <w:highlight w:val="none"/>
                <w:u w:val="none" w:color="auto"/>
                <w:lang w:val="en-US" w:eastAsia="zh-CN"/>
              </w:rPr>
              <w:t>,铝合金熔铸车间压缩空气最大耗量为603.6</w:t>
            </w:r>
            <w:r>
              <w:rPr>
                <w:rFonts w:hint="default" w:ascii="Times New Roman" w:hAnsi="Times New Roman" w:eastAsia="宋体" w:cs="Times New Roman"/>
                <w:color w:val="auto"/>
                <w:sz w:val="24"/>
                <w:szCs w:val="24"/>
                <w:highlight w:val="none"/>
                <w:u w:val="none" w:color="auto"/>
              </w:rPr>
              <w:t>N</w:t>
            </w:r>
            <w:r>
              <w:rPr>
                <w:rFonts w:hint="default" w:ascii="Times New Roman" w:hAnsi="Times New Roman" w:eastAsia="宋体" w:cs="Times New Roman"/>
                <w:b w:val="0"/>
                <w:bCs w:val="0"/>
                <w:color w:val="auto"/>
                <w:sz w:val="24"/>
                <w:szCs w:val="21"/>
                <w:highlight w:val="none"/>
                <w:u w:val="none" w:color="auto"/>
                <w:lang w:val="en-US" w:eastAsia="zh-CN"/>
              </w:rPr>
              <w:t>m</w:t>
            </w:r>
            <w:r>
              <w:rPr>
                <w:rFonts w:hint="default" w:ascii="Times New Roman" w:hAnsi="Times New Roman" w:eastAsia="宋体" w:cs="Times New Roman"/>
                <w:color w:val="auto"/>
                <w:sz w:val="24"/>
                <w:szCs w:val="24"/>
                <w:highlight w:val="none"/>
                <w:u w:val="none" w:color="auto"/>
                <w:vertAlign w:val="superscript"/>
              </w:rPr>
              <w:t>3</w:t>
            </w:r>
            <w:r>
              <w:rPr>
                <w:rFonts w:hint="default" w:ascii="Times New Roman" w:hAnsi="Times New Roman" w:eastAsia="宋体" w:cs="Times New Roman"/>
                <w:color w:val="auto"/>
                <w:sz w:val="24"/>
                <w:szCs w:val="24"/>
                <w:highlight w:val="none"/>
                <w:u w:val="none" w:color="auto"/>
              </w:rPr>
              <w:t>/</w:t>
            </w:r>
            <w:r>
              <w:rPr>
                <w:rFonts w:hint="default" w:ascii="Times New Roman" w:hAnsi="Times New Roman" w:eastAsia="宋体" w:cs="Times New Roman"/>
                <w:color w:val="auto"/>
                <w:sz w:val="24"/>
                <w:szCs w:val="24"/>
                <w:highlight w:val="none"/>
                <w:u w:val="none" w:color="auto"/>
                <w:lang w:val="en-US" w:eastAsia="zh-CN"/>
              </w:rPr>
              <w:t>h</w:t>
            </w:r>
            <w:r>
              <w:rPr>
                <w:rFonts w:hint="default" w:ascii="Times New Roman" w:hAnsi="Times New Roman" w:eastAsia="宋体" w:cs="Times New Roman"/>
                <w:b w:val="0"/>
                <w:bCs w:val="0"/>
                <w:color w:val="auto"/>
                <w:sz w:val="24"/>
                <w:szCs w:val="21"/>
                <w:highlight w:val="none"/>
                <w:u w:val="none" w:color="auto"/>
                <w:lang w:val="en-US" w:eastAsia="zh-CN"/>
              </w:rPr>
              <w:t>，合计新增消耗量842.6</w:t>
            </w:r>
            <w:r>
              <w:rPr>
                <w:rFonts w:hint="default" w:ascii="Times New Roman" w:hAnsi="Times New Roman" w:eastAsia="宋体" w:cs="Times New Roman"/>
                <w:color w:val="auto"/>
                <w:sz w:val="24"/>
                <w:szCs w:val="24"/>
                <w:highlight w:val="none"/>
                <w:u w:val="none" w:color="auto"/>
              </w:rPr>
              <w:t>N</w:t>
            </w:r>
            <w:r>
              <w:rPr>
                <w:rFonts w:hint="default" w:ascii="Times New Roman" w:hAnsi="Times New Roman" w:eastAsia="宋体" w:cs="Times New Roman"/>
                <w:b w:val="0"/>
                <w:bCs w:val="0"/>
                <w:color w:val="auto"/>
                <w:sz w:val="24"/>
                <w:szCs w:val="21"/>
                <w:highlight w:val="none"/>
                <w:u w:val="none" w:color="auto"/>
                <w:lang w:val="en-US" w:eastAsia="zh-CN"/>
              </w:rPr>
              <w:t>m</w:t>
            </w:r>
            <w:r>
              <w:rPr>
                <w:rFonts w:hint="default" w:ascii="Times New Roman" w:hAnsi="Times New Roman" w:eastAsia="宋体" w:cs="Times New Roman"/>
                <w:color w:val="auto"/>
                <w:sz w:val="24"/>
                <w:szCs w:val="24"/>
                <w:highlight w:val="none"/>
                <w:u w:val="none" w:color="auto"/>
                <w:vertAlign w:val="superscript"/>
              </w:rPr>
              <w:t>3</w:t>
            </w:r>
            <w:r>
              <w:rPr>
                <w:rFonts w:hint="default" w:ascii="Times New Roman" w:hAnsi="Times New Roman" w:eastAsia="宋体" w:cs="Times New Roman"/>
                <w:color w:val="auto"/>
                <w:sz w:val="24"/>
                <w:szCs w:val="24"/>
                <w:highlight w:val="none"/>
                <w:u w:val="none" w:color="auto"/>
              </w:rPr>
              <w:t>/</w:t>
            </w:r>
            <w:r>
              <w:rPr>
                <w:rFonts w:hint="default" w:ascii="Times New Roman" w:hAnsi="Times New Roman" w:eastAsia="宋体" w:cs="Times New Roman"/>
                <w:color w:val="auto"/>
                <w:sz w:val="24"/>
                <w:szCs w:val="24"/>
                <w:highlight w:val="none"/>
                <w:u w:val="none" w:color="auto"/>
                <w:lang w:val="en-US" w:eastAsia="zh-CN"/>
              </w:rPr>
              <w:t>h，占剩余供给量的37.9%，因此</w:t>
            </w:r>
            <w:r>
              <w:rPr>
                <w:rFonts w:hint="eastAsia" w:cs="Times New Roman"/>
                <w:color w:val="auto"/>
                <w:sz w:val="24"/>
                <w:szCs w:val="24"/>
                <w:highlight w:val="none"/>
                <w:u w:val="none" w:color="auto"/>
                <w:lang w:val="en-US" w:eastAsia="zh-CN"/>
              </w:rPr>
              <w:t>能够满足</w:t>
            </w:r>
            <w:r>
              <w:rPr>
                <w:rFonts w:hint="default" w:ascii="Times New Roman" w:hAnsi="Times New Roman" w:eastAsia="宋体" w:cs="Times New Roman"/>
                <w:color w:val="auto"/>
                <w:sz w:val="24"/>
                <w:szCs w:val="24"/>
                <w:highlight w:val="none"/>
                <w:u w:val="none" w:color="auto"/>
                <w:lang w:val="en-US" w:eastAsia="zh-CN"/>
              </w:rPr>
              <w:t>依托需求。</w:t>
            </w:r>
          </w:p>
          <w:p w14:paraId="7AE72FB4">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val="0"/>
                <w:color w:val="auto"/>
                <w:sz w:val="24"/>
                <w:szCs w:val="21"/>
                <w:highlight w:val="none"/>
                <w:u w:val="none" w:color="auto"/>
                <w:lang w:val="en-US" w:eastAsia="zh-CN"/>
              </w:rPr>
            </w:pPr>
            <w:r>
              <w:rPr>
                <w:rFonts w:hint="default" w:ascii="Times New Roman" w:hAnsi="Times New Roman" w:eastAsia="宋体" w:cs="Times New Roman"/>
                <w:b w:val="0"/>
                <w:bCs w:val="0"/>
                <w:color w:val="auto"/>
                <w:sz w:val="24"/>
                <w:szCs w:val="21"/>
                <w:highlight w:val="none"/>
                <w:u w:val="none" w:color="auto"/>
                <w:lang w:val="en-US" w:eastAsia="zh-CN"/>
              </w:rPr>
              <w:t>3）循环水系统</w:t>
            </w:r>
          </w:p>
          <w:p w14:paraId="3BDB994D">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val="0"/>
                <w:color w:val="auto"/>
                <w:sz w:val="24"/>
                <w:szCs w:val="21"/>
                <w:highlight w:val="none"/>
                <w:u w:val="none" w:color="auto"/>
                <w:lang w:val="en-US" w:eastAsia="zh-CN"/>
              </w:rPr>
            </w:pPr>
            <w:r>
              <w:rPr>
                <w:rFonts w:hint="default" w:ascii="Times New Roman" w:hAnsi="Times New Roman" w:eastAsia="宋体" w:cs="Times New Roman"/>
                <w:b w:val="0"/>
                <w:bCs w:val="0"/>
                <w:color w:val="auto"/>
                <w:sz w:val="24"/>
                <w:szCs w:val="21"/>
                <w:highlight w:val="none"/>
                <w:u w:val="none" w:color="auto"/>
                <w:lang w:val="en-US" w:eastAsia="zh-CN"/>
              </w:rPr>
              <w:t>铝合金熔铸车间新增的压铸机、冷却水槽、模温机等设备需供应循环冷却水，循环冷却水最大流量约78m</w:t>
            </w:r>
            <w:r>
              <w:rPr>
                <w:rFonts w:hint="default" w:ascii="Times New Roman" w:hAnsi="Times New Roman" w:eastAsia="宋体" w:cs="Times New Roman"/>
                <w:b w:val="0"/>
                <w:bCs w:val="0"/>
                <w:color w:val="auto"/>
                <w:sz w:val="24"/>
                <w:szCs w:val="21"/>
                <w:highlight w:val="none"/>
                <w:u w:val="none" w:color="auto"/>
                <w:vertAlign w:val="superscript"/>
                <w:lang w:val="en-US" w:eastAsia="zh-CN"/>
              </w:rPr>
              <w:t>3</w:t>
            </w:r>
            <w:r>
              <w:rPr>
                <w:rFonts w:hint="default" w:ascii="Times New Roman" w:hAnsi="Times New Roman" w:eastAsia="宋体" w:cs="Times New Roman"/>
                <w:b w:val="0"/>
                <w:bCs w:val="0"/>
                <w:color w:val="auto"/>
                <w:sz w:val="24"/>
                <w:szCs w:val="21"/>
                <w:highlight w:val="none"/>
                <w:u w:val="none" w:color="auto"/>
                <w:lang w:val="en-US" w:eastAsia="zh-CN"/>
              </w:rPr>
              <w:t>/h。中创空天厂区现状设置有1套净循环水系统，供水能力为31016m</w:t>
            </w:r>
            <w:r>
              <w:rPr>
                <w:rFonts w:hint="default" w:ascii="Times New Roman" w:hAnsi="Times New Roman" w:eastAsia="宋体" w:cs="Times New Roman"/>
                <w:b w:val="0"/>
                <w:bCs w:val="0"/>
                <w:color w:val="auto"/>
                <w:sz w:val="24"/>
                <w:szCs w:val="21"/>
                <w:highlight w:val="none"/>
                <w:u w:val="none" w:color="auto"/>
                <w:vertAlign w:val="superscript"/>
                <w:lang w:val="en-US" w:eastAsia="zh-CN"/>
              </w:rPr>
              <w:t>3</w:t>
            </w:r>
            <w:r>
              <w:rPr>
                <w:rFonts w:hint="default" w:ascii="Times New Roman" w:hAnsi="Times New Roman" w:eastAsia="宋体" w:cs="Times New Roman"/>
                <w:b w:val="0"/>
                <w:bCs w:val="0"/>
                <w:color w:val="auto"/>
                <w:sz w:val="24"/>
                <w:szCs w:val="21"/>
                <w:highlight w:val="none"/>
                <w:u w:val="none" w:color="auto"/>
                <w:lang w:val="en-US" w:eastAsia="zh-CN"/>
              </w:rPr>
              <w:t>/d，供水压力为0.4MPa，供水温度≤32℃，富余流量、设计压力和供水温度均能满足本项目循环水要求。</w:t>
            </w:r>
          </w:p>
          <w:p w14:paraId="0DA9DEF0">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val="0"/>
                <w:color w:val="auto"/>
                <w:sz w:val="24"/>
                <w:szCs w:val="21"/>
                <w:highlight w:val="none"/>
                <w:u w:val="none" w:color="auto"/>
                <w:lang w:val="en-US" w:eastAsia="zh-CN"/>
              </w:rPr>
            </w:pPr>
            <w:r>
              <w:rPr>
                <w:rFonts w:hint="default" w:ascii="Times New Roman" w:hAnsi="Times New Roman" w:eastAsia="宋体" w:cs="Times New Roman"/>
                <w:b w:val="0"/>
                <w:bCs w:val="0"/>
                <w:color w:val="auto"/>
                <w:sz w:val="24"/>
                <w:szCs w:val="21"/>
                <w:highlight w:val="none"/>
                <w:u w:val="none" w:color="auto"/>
                <w:lang w:val="en-US" w:eastAsia="zh-CN"/>
              </w:rPr>
              <w:t>4）应急水系统</w:t>
            </w:r>
          </w:p>
          <w:p w14:paraId="2E860314">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val="0"/>
                <w:color w:val="auto"/>
                <w:sz w:val="24"/>
                <w:szCs w:val="21"/>
                <w:highlight w:val="none"/>
                <w:u w:val="none" w:color="auto"/>
                <w:lang w:val="en-US" w:eastAsia="zh-CN"/>
              </w:rPr>
            </w:pPr>
            <w:r>
              <w:rPr>
                <w:rFonts w:hint="default" w:ascii="Times New Roman" w:hAnsi="Times New Roman" w:eastAsia="宋体" w:cs="Times New Roman"/>
                <w:b w:val="0"/>
                <w:bCs w:val="0"/>
                <w:color w:val="auto"/>
                <w:sz w:val="24"/>
                <w:szCs w:val="21"/>
                <w:highlight w:val="none"/>
                <w:u w:val="none" w:color="auto"/>
                <w:lang w:val="en-US" w:eastAsia="zh-CN"/>
              </w:rPr>
              <w:t>本项目铝水熔化炉、保温炉、铸锭机、压铸机等设备采用循环冷却水冷却，需设置应急水源。中创空天厂区现状已设置有1套应急水系统供循环水系统故障状态下熔铸车间铸造机等设备冷却用水，水塔高30米，有效容积300m</w:t>
            </w:r>
            <w:r>
              <w:rPr>
                <w:rFonts w:hint="default" w:ascii="Times New Roman" w:hAnsi="Times New Roman" w:eastAsia="宋体" w:cs="Times New Roman"/>
                <w:b w:val="0"/>
                <w:bCs w:val="0"/>
                <w:color w:val="auto"/>
                <w:sz w:val="24"/>
                <w:szCs w:val="21"/>
                <w:highlight w:val="none"/>
                <w:u w:val="none" w:color="auto"/>
                <w:vertAlign w:val="superscript"/>
                <w:lang w:val="en-US" w:eastAsia="zh-CN"/>
              </w:rPr>
              <w:t>3</w:t>
            </w:r>
            <w:r>
              <w:rPr>
                <w:rFonts w:hint="default" w:ascii="Times New Roman" w:hAnsi="Times New Roman" w:eastAsia="宋体" w:cs="Times New Roman"/>
                <w:b w:val="0"/>
                <w:bCs w:val="0"/>
                <w:color w:val="auto"/>
                <w:sz w:val="24"/>
                <w:szCs w:val="21"/>
                <w:highlight w:val="none"/>
                <w:u w:val="none" w:color="auto"/>
                <w:lang w:val="en-US" w:eastAsia="zh-CN"/>
              </w:rPr>
              <w:t>，能满足本项目应急水供应需求。</w:t>
            </w:r>
          </w:p>
          <w:p w14:paraId="216B754C">
            <w:pPr>
              <w:spacing w:line="360" w:lineRule="auto"/>
              <w:ind w:firstLine="480" w:firstLineChars="200"/>
              <w:rPr>
                <w:rFonts w:hint="default" w:ascii="Times New Roman" w:hAnsi="Times New Roman" w:eastAsia="宋体" w:cs="Times New Roman"/>
                <w:b w:val="0"/>
                <w:bCs w:val="0"/>
                <w:color w:val="auto"/>
                <w:sz w:val="24"/>
                <w:szCs w:val="21"/>
                <w:highlight w:val="none"/>
                <w:u w:val="none" w:color="auto"/>
                <w:lang w:val="en-US" w:eastAsia="zh-CN"/>
              </w:rPr>
            </w:pPr>
            <w:r>
              <w:rPr>
                <w:rFonts w:hint="default" w:ascii="Times New Roman" w:hAnsi="Times New Roman" w:eastAsia="宋体" w:cs="Times New Roman"/>
                <w:b w:val="0"/>
                <w:bCs w:val="0"/>
                <w:color w:val="auto"/>
                <w:sz w:val="24"/>
                <w:szCs w:val="21"/>
                <w:highlight w:val="none"/>
                <w:u w:val="none" w:color="auto"/>
                <w:lang w:val="en-US" w:eastAsia="zh-CN"/>
              </w:rPr>
              <w:t>5）危废贮存区</w:t>
            </w:r>
          </w:p>
          <w:p w14:paraId="50BE0DCD">
            <w:pPr>
              <w:spacing w:line="360" w:lineRule="auto"/>
              <w:ind w:firstLine="480" w:firstLineChars="200"/>
              <w:rPr>
                <w:rFonts w:hint="default" w:ascii="Times New Roman" w:hAnsi="Times New Roman" w:eastAsia="宋体" w:cs="Times New Roman"/>
                <w:b w:val="0"/>
                <w:bCs w:val="0"/>
                <w:color w:val="auto"/>
                <w:sz w:val="24"/>
                <w:szCs w:val="21"/>
                <w:highlight w:val="none"/>
                <w:u w:val="none" w:color="auto"/>
                <w:lang w:val="en-US" w:eastAsia="zh-CN"/>
              </w:rPr>
            </w:pPr>
            <w:r>
              <w:rPr>
                <w:rFonts w:hint="default" w:ascii="Times New Roman" w:hAnsi="Times New Roman" w:eastAsia="宋体" w:cs="Times New Roman"/>
                <w:b w:val="0"/>
                <w:bCs w:val="0"/>
                <w:color w:val="auto"/>
                <w:sz w:val="24"/>
                <w:szCs w:val="21"/>
                <w:highlight w:val="none"/>
                <w:u w:val="none" w:color="auto"/>
                <w:lang w:val="en-US" w:eastAsia="zh-CN"/>
              </w:rPr>
              <w:t>中创空天现状建设有1座危废暂存库（内设3个危废暂存间），本项目依托现有TS002、TS003暂存间，其中TS002主要存放废液压油、废润滑油、废汽缸油等废矿物油，占地面积100m</w:t>
            </w:r>
            <w:r>
              <w:rPr>
                <w:rFonts w:hint="default" w:ascii="Times New Roman" w:hAnsi="Times New Roman" w:eastAsia="宋体" w:cs="Times New Roman"/>
                <w:b w:val="0"/>
                <w:bCs w:val="0"/>
                <w:color w:val="auto"/>
                <w:sz w:val="24"/>
                <w:szCs w:val="21"/>
                <w:highlight w:val="none"/>
                <w:u w:val="none" w:color="auto"/>
                <w:vertAlign w:val="superscript"/>
                <w:lang w:val="en-US" w:eastAsia="zh-CN"/>
              </w:rPr>
              <w:t>2</w:t>
            </w:r>
            <w:r>
              <w:rPr>
                <w:rFonts w:hint="default" w:ascii="Times New Roman" w:hAnsi="Times New Roman" w:eastAsia="宋体" w:cs="Times New Roman"/>
                <w:b w:val="0"/>
                <w:bCs w:val="0"/>
                <w:color w:val="auto"/>
                <w:sz w:val="24"/>
                <w:szCs w:val="21"/>
                <w:highlight w:val="none"/>
                <w:u w:val="none" w:color="auto"/>
                <w:lang w:val="en-US" w:eastAsia="zh-CN"/>
              </w:rPr>
              <w:t>；TS003主要存放铝灰渣、二次铝灰渣等危废，厂区所产危废收集暂存后委托有资质单位处理。本项目所产危废类型与现有工程暂存类型基本一致，通过缩短危险废物在场内暂存时间，现有危废贮存设施满足本项目要求。</w:t>
            </w:r>
          </w:p>
          <w:p w14:paraId="05533B43">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val="0"/>
                <w:color w:val="auto"/>
                <w:sz w:val="24"/>
                <w:szCs w:val="21"/>
                <w:highlight w:val="none"/>
                <w:u w:val="none" w:color="auto"/>
                <w:lang w:val="en-US" w:eastAsia="zh-CN"/>
              </w:rPr>
            </w:pPr>
            <w:r>
              <w:rPr>
                <w:rFonts w:hint="default" w:ascii="Times New Roman" w:hAnsi="Times New Roman" w:eastAsia="宋体" w:cs="Times New Roman"/>
                <w:b w:val="0"/>
                <w:bCs w:val="0"/>
                <w:color w:val="auto"/>
                <w:sz w:val="24"/>
                <w:szCs w:val="21"/>
                <w:highlight w:val="none"/>
                <w:u w:val="none" w:color="auto"/>
                <w:lang w:val="en-US" w:eastAsia="zh-CN"/>
              </w:rPr>
              <w:t>以TS002危废暂存间为例，</w:t>
            </w:r>
            <w:r>
              <w:rPr>
                <w:rFonts w:hint="default" w:ascii="Times New Roman" w:hAnsi="Times New Roman" w:eastAsia="宋体" w:cs="Times New Roman"/>
                <w:color w:val="auto"/>
                <w:spacing w:val="0"/>
                <w:kern w:val="0"/>
                <w:sz w:val="24"/>
                <w:u w:val="none" w:color="auto"/>
                <w:lang w:val="en-US" w:eastAsia="zh-CN"/>
              </w:rPr>
              <w:t>其暂存能力约为90t。建设单位贮存周期通常为8-10天，本次按周转最小量计算（按10天周转一次），则预计年周转量约为2970t/a，现有工程年周转量≤1000t/a（按1000t/a计），剩余1970t/a周转能力，本次评价</w:t>
            </w:r>
            <w:r>
              <w:rPr>
                <w:rFonts w:hint="default" w:ascii="Times New Roman" w:hAnsi="Times New Roman" w:eastAsia="宋体" w:cs="Times New Roman"/>
                <w:b w:val="0"/>
                <w:bCs/>
                <w:color w:val="auto"/>
                <w:spacing w:val="0"/>
                <w:sz w:val="24"/>
                <w:highlight w:val="none"/>
                <w:u w:val="none" w:color="auto"/>
                <w:lang w:val="en-US" w:eastAsia="zh-CN"/>
              </w:rPr>
              <w:t>二次铝灰渣、除尘灰渣合计量约为402.8185t/a，占剩余量的20.45%，因此周转能力</w:t>
            </w:r>
            <w:r>
              <w:rPr>
                <w:rFonts w:hint="eastAsia" w:cs="Times New Roman"/>
                <w:b w:val="0"/>
                <w:bCs/>
                <w:color w:val="auto"/>
                <w:spacing w:val="0"/>
                <w:sz w:val="24"/>
                <w:highlight w:val="none"/>
                <w:u w:val="none" w:color="auto"/>
                <w:lang w:val="en-US" w:eastAsia="zh-CN"/>
              </w:rPr>
              <w:t>能够满足</w:t>
            </w:r>
            <w:r>
              <w:rPr>
                <w:rFonts w:hint="default" w:ascii="Times New Roman" w:hAnsi="Times New Roman" w:eastAsia="宋体" w:cs="Times New Roman"/>
                <w:b w:val="0"/>
                <w:bCs/>
                <w:color w:val="auto"/>
                <w:spacing w:val="0"/>
                <w:sz w:val="24"/>
                <w:highlight w:val="none"/>
                <w:u w:val="none" w:color="auto"/>
                <w:lang w:val="en-US" w:eastAsia="zh-CN"/>
              </w:rPr>
              <w:t>项目依托需求。</w:t>
            </w:r>
            <w:r>
              <w:rPr>
                <w:rFonts w:hint="default" w:ascii="Times New Roman" w:hAnsi="Times New Roman" w:eastAsia="宋体" w:cs="Times New Roman"/>
                <w:color w:val="auto"/>
                <w:spacing w:val="0"/>
                <w:kern w:val="0"/>
                <w:sz w:val="24"/>
                <w:u w:val="none" w:color="auto"/>
                <w:lang w:val="en-US" w:eastAsia="zh-CN"/>
              </w:rPr>
              <w:t>本次依托的区域为铝灰渣及二次灰渣暂存库，与本项目产生的</w:t>
            </w:r>
            <w:r>
              <w:rPr>
                <w:rFonts w:hint="default" w:ascii="Times New Roman" w:hAnsi="Times New Roman" w:eastAsia="宋体" w:cs="Times New Roman"/>
                <w:b w:val="0"/>
                <w:bCs/>
                <w:color w:val="auto"/>
                <w:spacing w:val="0"/>
                <w:sz w:val="24"/>
                <w:highlight w:val="none"/>
                <w:u w:val="none" w:color="auto"/>
                <w:lang w:val="en-US" w:eastAsia="zh-CN"/>
              </w:rPr>
              <w:t>二次铝灰渣、除尘灰渣性质、危废类别代码等均一致，因此暂存类别具备相容性。</w:t>
            </w:r>
            <w:r>
              <w:rPr>
                <w:rFonts w:hint="default" w:ascii="Times New Roman" w:hAnsi="Times New Roman" w:eastAsia="宋体" w:cs="Times New Roman"/>
                <w:color w:val="auto"/>
                <w:spacing w:val="0"/>
                <w:kern w:val="0"/>
                <w:sz w:val="24"/>
                <w:u w:val="none" w:color="auto"/>
                <w:lang w:val="en-US" w:eastAsia="zh-CN"/>
              </w:rPr>
              <w:t>本项目依托的铝灰渣及二次灰渣暂存库位于中创空天厂区内，无需跨区域、跨厂区暂存，暂存转移路线具备可行性。因此本项目依托中创空天厂区危废暂存间（铝灰渣及二次灰渣暂存库）具备可行性。</w:t>
            </w:r>
          </w:p>
          <w:p w14:paraId="149C6B34">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val="0"/>
                <w:color w:val="auto"/>
                <w:sz w:val="24"/>
                <w:szCs w:val="21"/>
                <w:highlight w:val="none"/>
                <w:u w:val="none" w:color="auto"/>
                <w:lang w:val="en-US" w:eastAsia="zh-CN"/>
              </w:rPr>
            </w:pPr>
            <w:r>
              <w:rPr>
                <w:rFonts w:hint="default" w:ascii="Times New Roman" w:hAnsi="Times New Roman" w:eastAsia="宋体" w:cs="Times New Roman"/>
                <w:b w:val="0"/>
                <w:bCs w:val="0"/>
                <w:color w:val="auto"/>
                <w:sz w:val="24"/>
                <w:szCs w:val="21"/>
                <w:highlight w:val="none"/>
                <w:u w:val="none" w:color="auto"/>
                <w:lang w:val="en-US" w:eastAsia="zh-CN"/>
              </w:rPr>
              <w:t>6）废水处理设施</w:t>
            </w:r>
          </w:p>
          <w:p w14:paraId="43CDB6DA">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val="0"/>
                <w:color w:val="auto"/>
                <w:sz w:val="24"/>
                <w:szCs w:val="21"/>
                <w:highlight w:val="none"/>
                <w:u w:val="none" w:color="auto"/>
                <w:lang w:val="en-US" w:eastAsia="zh-CN"/>
              </w:rPr>
            </w:pPr>
            <w:r>
              <w:rPr>
                <w:rFonts w:hint="default" w:ascii="Times New Roman" w:hAnsi="Times New Roman" w:eastAsia="宋体" w:cs="Times New Roman"/>
                <w:b w:val="0"/>
                <w:bCs w:val="0"/>
                <w:color w:val="auto"/>
                <w:sz w:val="24"/>
                <w:szCs w:val="21"/>
                <w:highlight w:val="none"/>
                <w:u w:val="none" w:color="auto"/>
                <w:lang w:val="en-US" w:eastAsia="zh-CN"/>
              </w:rPr>
              <w:t>中创空天厂区职工生活区、办公区及生产厂区均设置有生活污水收集和预处理设施（隔油池、化粪池），本项目中创空天厂区新增员工未超出中创空天生活配套相关设施规模要求，因此中创空天厂区现有隔油池、化粪池能够满足项目生活废水处理。</w:t>
            </w:r>
          </w:p>
          <w:p w14:paraId="35B3C636">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val="0"/>
                <w:color w:val="auto"/>
                <w:sz w:val="24"/>
                <w:szCs w:val="21"/>
                <w:highlight w:val="none"/>
                <w:u w:val="none" w:color="auto"/>
                <w:lang w:val="en-US" w:eastAsia="zh-CN"/>
              </w:rPr>
            </w:pPr>
            <w:r>
              <w:rPr>
                <w:rFonts w:hint="default" w:ascii="Times New Roman" w:hAnsi="Times New Roman" w:eastAsia="宋体" w:cs="Times New Roman"/>
                <w:b w:val="0"/>
                <w:bCs w:val="0"/>
                <w:color w:val="auto"/>
                <w:sz w:val="24"/>
                <w:szCs w:val="21"/>
                <w:highlight w:val="none"/>
                <w:u w:val="none" w:color="auto"/>
                <w:lang w:val="en-US" w:eastAsia="zh-CN"/>
              </w:rPr>
              <w:t>中创空天现状设置1座处理规模为480m</w:t>
            </w:r>
            <w:r>
              <w:rPr>
                <w:rFonts w:hint="default" w:ascii="Times New Roman" w:hAnsi="Times New Roman" w:eastAsia="宋体" w:cs="Times New Roman"/>
                <w:b w:val="0"/>
                <w:bCs w:val="0"/>
                <w:color w:val="auto"/>
                <w:sz w:val="24"/>
                <w:szCs w:val="21"/>
                <w:highlight w:val="none"/>
                <w:u w:val="none" w:color="auto"/>
                <w:vertAlign w:val="superscript"/>
                <w:lang w:val="en-US" w:eastAsia="zh-CN"/>
              </w:rPr>
              <w:t>3</w:t>
            </w:r>
            <w:r>
              <w:rPr>
                <w:rFonts w:hint="default" w:ascii="Times New Roman" w:hAnsi="Times New Roman" w:eastAsia="宋体" w:cs="Times New Roman"/>
                <w:b w:val="0"/>
                <w:bCs w:val="0"/>
                <w:color w:val="auto"/>
                <w:sz w:val="24"/>
                <w:szCs w:val="21"/>
                <w:highlight w:val="none"/>
                <w:u w:val="none" w:color="auto"/>
                <w:lang w:val="en-US" w:eastAsia="zh-CN"/>
              </w:rPr>
              <w:t>/d的废水处理设施，废水处理工艺为调节—气浮—中和—絮凝沉淀等工艺，厂内生产废水经废水处理站处理达到《污水综合排放标准》（GB8978-1996）中表4三级标准以及湖南城陵矶临港产业新区污水处理厂接管标准要求，直接排入市政污水管网，经城市污水处理厂处理达到《城镇污水处理厂污染物排放标准》（GB18918-2002）一级A标准经象骨港汇入长江。</w:t>
            </w:r>
          </w:p>
          <w:p w14:paraId="2C6993F6">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val="0"/>
                <w:color w:val="auto"/>
                <w:sz w:val="24"/>
                <w:szCs w:val="21"/>
                <w:highlight w:val="none"/>
                <w:u w:val="none" w:color="auto"/>
                <w:lang w:val="en-US" w:eastAsia="zh-CN"/>
              </w:rPr>
            </w:pPr>
            <w:r>
              <w:rPr>
                <w:rFonts w:hint="default" w:ascii="Times New Roman" w:hAnsi="Times New Roman" w:eastAsia="宋体" w:cs="Times New Roman"/>
                <w:b w:val="0"/>
                <w:bCs w:val="0"/>
                <w:color w:val="auto"/>
                <w:sz w:val="24"/>
                <w:szCs w:val="21"/>
                <w:highlight w:val="none"/>
                <w:u w:val="none" w:color="auto"/>
                <w:lang w:val="en-US" w:eastAsia="zh-CN"/>
              </w:rPr>
              <w:t>根据建设单位提供的资料显示，自生产以来厂区废水处理设施最大处理量为334.86m</w:t>
            </w:r>
            <w:r>
              <w:rPr>
                <w:rFonts w:hint="default" w:ascii="Times New Roman" w:hAnsi="Times New Roman" w:eastAsia="宋体" w:cs="Times New Roman"/>
                <w:b w:val="0"/>
                <w:bCs w:val="0"/>
                <w:color w:val="auto"/>
                <w:sz w:val="24"/>
                <w:szCs w:val="21"/>
                <w:highlight w:val="none"/>
                <w:u w:val="none" w:color="auto"/>
                <w:vertAlign w:val="superscript"/>
                <w:lang w:val="en-US" w:eastAsia="zh-CN"/>
              </w:rPr>
              <w:t>3</w:t>
            </w:r>
            <w:r>
              <w:rPr>
                <w:rFonts w:hint="default" w:ascii="Times New Roman" w:hAnsi="Times New Roman" w:eastAsia="宋体" w:cs="Times New Roman"/>
                <w:b w:val="0"/>
                <w:bCs w:val="0"/>
                <w:color w:val="auto"/>
                <w:sz w:val="24"/>
                <w:szCs w:val="21"/>
                <w:highlight w:val="none"/>
                <w:u w:val="none" w:color="auto"/>
                <w:lang w:val="en-US" w:eastAsia="zh-CN"/>
              </w:rPr>
              <w:t>/d，剩余容量约为145.14m</w:t>
            </w:r>
            <w:r>
              <w:rPr>
                <w:rFonts w:hint="default" w:ascii="Times New Roman" w:hAnsi="Times New Roman" w:eastAsia="宋体" w:cs="Times New Roman"/>
                <w:b w:val="0"/>
                <w:bCs w:val="0"/>
                <w:color w:val="auto"/>
                <w:sz w:val="24"/>
                <w:szCs w:val="21"/>
                <w:highlight w:val="none"/>
                <w:u w:val="none" w:color="auto"/>
                <w:vertAlign w:val="superscript"/>
                <w:lang w:val="en-US" w:eastAsia="zh-CN"/>
              </w:rPr>
              <w:t>3</w:t>
            </w:r>
            <w:r>
              <w:rPr>
                <w:rFonts w:hint="default" w:ascii="Times New Roman" w:hAnsi="Times New Roman" w:eastAsia="宋体" w:cs="Times New Roman"/>
                <w:b w:val="0"/>
                <w:bCs w:val="0"/>
                <w:color w:val="auto"/>
                <w:sz w:val="24"/>
                <w:szCs w:val="21"/>
                <w:highlight w:val="none"/>
                <w:u w:val="none" w:color="auto"/>
                <w:lang w:val="en-US" w:eastAsia="zh-CN"/>
              </w:rPr>
              <w:t>/d，本项目进入废水处理站的量为495m</w:t>
            </w:r>
            <w:r>
              <w:rPr>
                <w:rFonts w:hint="default" w:ascii="Times New Roman" w:hAnsi="Times New Roman" w:eastAsia="宋体" w:cs="Times New Roman"/>
                <w:b w:val="0"/>
                <w:bCs w:val="0"/>
                <w:color w:val="auto"/>
                <w:sz w:val="24"/>
                <w:szCs w:val="21"/>
                <w:highlight w:val="none"/>
                <w:u w:val="none" w:color="auto"/>
                <w:vertAlign w:val="superscript"/>
                <w:lang w:val="en-US" w:eastAsia="zh-CN"/>
              </w:rPr>
              <w:t>3</w:t>
            </w:r>
            <w:r>
              <w:rPr>
                <w:rFonts w:hint="default" w:ascii="Times New Roman" w:hAnsi="Times New Roman" w:eastAsia="宋体" w:cs="Times New Roman"/>
                <w:b w:val="0"/>
                <w:bCs w:val="0"/>
                <w:color w:val="auto"/>
                <w:sz w:val="24"/>
                <w:szCs w:val="21"/>
                <w:highlight w:val="none"/>
                <w:u w:val="none" w:color="auto"/>
                <w:lang w:val="en-US" w:eastAsia="zh-CN"/>
              </w:rPr>
              <w:t>/a（15m</w:t>
            </w:r>
            <w:r>
              <w:rPr>
                <w:rFonts w:hint="default" w:ascii="Times New Roman" w:hAnsi="Times New Roman" w:eastAsia="宋体" w:cs="Times New Roman"/>
                <w:b w:val="0"/>
                <w:bCs w:val="0"/>
                <w:color w:val="auto"/>
                <w:sz w:val="24"/>
                <w:szCs w:val="21"/>
                <w:highlight w:val="none"/>
                <w:u w:val="none" w:color="auto"/>
                <w:vertAlign w:val="superscript"/>
                <w:lang w:val="en-US" w:eastAsia="zh-CN"/>
              </w:rPr>
              <w:t>3</w:t>
            </w:r>
            <w:r>
              <w:rPr>
                <w:rFonts w:hint="default" w:ascii="Times New Roman" w:hAnsi="Times New Roman" w:eastAsia="宋体" w:cs="Times New Roman"/>
                <w:b w:val="0"/>
                <w:bCs w:val="0"/>
                <w:color w:val="auto"/>
                <w:sz w:val="24"/>
                <w:szCs w:val="21"/>
                <w:highlight w:val="none"/>
                <w:u w:val="none" w:color="auto"/>
                <w:lang w:val="en-US" w:eastAsia="zh-CN"/>
              </w:rPr>
              <w:t>/次），废水处理工艺和剩余容量均满足本项目废水处理要求，不会对现有废水处理系统产生冲击。</w:t>
            </w:r>
          </w:p>
          <w:p w14:paraId="17E0E5CE">
            <w:pPr>
              <w:pStyle w:val="2"/>
              <w:keepNext w:val="0"/>
              <w:keepLines w:val="0"/>
              <w:pageBreakBefore w:val="0"/>
              <w:widowControl/>
              <w:kinsoku/>
              <w:wordWrap/>
              <w:overflowPunct/>
              <w:topLinePunct w:val="0"/>
              <w:autoSpaceDE/>
              <w:autoSpaceDN/>
              <w:bidi w:val="0"/>
              <w:adjustRightInd/>
              <w:snapToGrid/>
              <w:spacing w:before="0" w:after="0" w:line="360" w:lineRule="auto"/>
              <w:ind w:right="0" w:firstLine="482" w:firstLineChars="200"/>
              <w:textAlignment w:val="auto"/>
              <w:rPr>
                <w:rFonts w:hint="default" w:ascii="Times New Roman" w:hAnsi="Times New Roman" w:eastAsia="宋体" w:cs="Times New Roman"/>
                <w:b/>
                <w:bCs/>
                <w:color w:val="auto"/>
                <w:sz w:val="24"/>
                <w:szCs w:val="28"/>
                <w:u w:val="none" w:color="auto"/>
              </w:rPr>
            </w:pPr>
            <w:r>
              <w:rPr>
                <w:rFonts w:hint="default" w:ascii="Times New Roman" w:hAnsi="Times New Roman" w:eastAsia="宋体" w:cs="Times New Roman"/>
                <w:b/>
                <w:bCs/>
                <w:color w:val="auto"/>
                <w:sz w:val="24"/>
                <w:szCs w:val="28"/>
                <w:u w:val="none" w:color="auto"/>
                <w:lang w:val="en-US" w:eastAsia="zh-CN"/>
              </w:rPr>
              <w:t>4</w:t>
            </w:r>
            <w:r>
              <w:rPr>
                <w:rFonts w:hint="default" w:ascii="Times New Roman" w:hAnsi="Times New Roman" w:eastAsia="宋体" w:cs="Times New Roman"/>
                <w:b/>
                <w:bCs/>
                <w:color w:val="auto"/>
                <w:sz w:val="24"/>
                <w:szCs w:val="28"/>
                <w:u w:val="none" w:color="auto"/>
              </w:rPr>
              <w:t>、产品方案</w:t>
            </w:r>
          </w:p>
          <w:p w14:paraId="08E5F947">
            <w:pPr>
              <w:pStyle w:val="2"/>
              <w:keepNext w:val="0"/>
              <w:keepLines w:val="0"/>
              <w:pageBreakBefore w:val="0"/>
              <w:widowControl/>
              <w:kinsoku/>
              <w:wordWrap/>
              <w:overflowPunct/>
              <w:topLinePunct w:val="0"/>
              <w:autoSpaceDE/>
              <w:autoSpaceDN/>
              <w:bidi w:val="0"/>
              <w:adjustRightInd/>
              <w:snapToGrid/>
              <w:spacing w:before="0" w:after="0" w:line="360" w:lineRule="auto"/>
              <w:ind w:right="0" w:firstLine="480" w:firstLineChars="200"/>
              <w:textAlignment w:val="auto"/>
              <w:rPr>
                <w:rFonts w:hint="default" w:ascii="Times New Roman" w:hAnsi="Times New Roman" w:eastAsia="宋体" w:cs="Times New Roman"/>
                <w:color w:val="auto"/>
                <w:sz w:val="24"/>
                <w:szCs w:val="28"/>
                <w:u w:val="none" w:color="auto"/>
              </w:rPr>
            </w:pPr>
            <w:r>
              <w:rPr>
                <w:rFonts w:hint="default" w:ascii="Times New Roman" w:hAnsi="Times New Roman" w:eastAsia="宋体" w:cs="Times New Roman"/>
                <w:color w:val="auto"/>
                <w:sz w:val="24"/>
                <w:szCs w:val="28"/>
                <w:u w:val="none" w:color="auto"/>
              </w:rPr>
              <w:t>主要产品</w:t>
            </w:r>
            <w:r>
              <w:rPr>
                <w:rFonts w:hint="default" w:ascii="Times New Roman" w:hAnsi="Times New Roman" w:eastAsia="宋体" w:cs="Times New Roman"/>
                <w:color w:val="auto"/>
                <w:sz w:val="24"/>
                <w:szCs w:val="28"/>
                <w:u w:val="none" w:color="auto"/>
                <w:lang w:val="en-US" w:eastAsia="zh-CN"/>
              </w:rPr>
              <w:t>及产能</w:t>
            </w:r>
            <w:r>
              <w:rPr>
                <w:rFonts w:hint="default" w:ascii="Times New Roman" w:hAnsi="Times New Roman" w:eastAsia="宋体" w:cs="Times New Roman"/>
                <w:color w:val="auto"/>
                <w:sz w:val="24"/>
                <w:szCs w:val="28"/>
                <w:u w:val="none" w:color="auto"/>
              </w:rPr>
              <w:t>如表2-</w:t>
            </w:r>
            <w:r>
              <w:rPr>
                <w:rFonts w:hint="default" w:ascii="Times New Roman" w:hAnsi="Times New Roman" w:eastAsia="宋体" w:cs="Times New Roman"/>
                <w:color w:val="auto"/>
                <w:sz w:val="24"/>
                <w:szCs w:val="28"/>
                <w:u w:val="none" w:color="auto"/>
                <w:lang w:val="en-US" w:eastAsia="zh-CN"/>
              </w:rPr>
              <w:t>3</w:t>
            </w:r>
            <w:r>
              <w:rPr>
                <w:rFonts w:hint="default" w:ascii="Times New Roman" w:hAnsi="Times New Roman" w:eastAsia="宋体" w:cs="Times New Roman"/>
                <w:color w:val="auto"/>
                <w:sz w:val="24"/>
                <w:szCs w:val="28"/>
                <w:u w:val="none" w:color="auto"/>
              </w:rPr>
              <w:t>所示。</w:t>
            </w:r>
          </w:p>
          <w:p w14:paraId="18B52552">
            <w:pPr>
              <w:pStyle w:val="45"/>
              <w:rPr>
                <w:rFonts w:hint="default" w:ascii="Times New Roman" w:hAnsi="Times New Roman" w:eastAsia="宋体" w:cs="Times New Roman"/>
                <w:color w:val="auto"/>
                <w:u w:val="none" w:color="auto"/>
                <w:lang w:eastAsia="zh-CN"/>
              </w:rPr>
            </w:pPr>
            <w:r>
              <w:rPr>
                <w:rFonts w:hint="default" w:ascii="Times New Roman" w:hAnsi="Times New Roman" w:eastAsia="宋体" w:cs="Times New Roman"/>
                <w:color w:val="auto"/>
                <w:u w:val="none" w:color="auto"/>
              </w:rPr>
              <w:t>表2-</w:t>
            </w:r>
            <w:r>
              <w:rPr>
                <w:rFonts w:hint="default" w:ascii="Times New Roman" w:hAnsi="Times New Roman" w:eastAsia="宋体" w:cs="Times New Roman"/>
                <w:color w:val="auto"/>
                <w:u w:val="none" w:color="auto"/>
                <w:lang w:val="en-US" w:eastAsia="zh-CN"/>
              </w:rPr>
              <w:t>3</w:t>
            </w:r>
            <w:r>
              <w:rPr>
                <w:rFonts w:hint="default" w:ascii="Times New Roman" w:hAnsi="Times New Roman" w:eastAsia="宋体" w:cs="Times New Roman"/>
                <w:color w:val="auto"/>
                <w:u w:val="none" w:color="auto"/>
              </w:rPr>
              <w:t xml:space="preserve"> 产品</w:t>
            </w:r>
            <w:r>
              <w:rPr>
                <w:rFonts w:hint="default" w:ascii="Times New Roman" w:hAnsi="Times New Roman" w:eastAsia="宋体" w:cs="Times New Roman"/>
                <w:color w:val="auto"/>
                <w:u w:val="none" w:color="auto"/>
                <w:lang w:val="en-US" w:eastAsia="zh-CN"/>
              </w:rPr>
              <w:t>方案</w:t>
            </w:r>
          </w:p>
          <w:tbl>
            <w:tblPr>
              <w:tblStyle w:val="31"/>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73"/>
              <w:gridCol w:w="1003"/>
              <w:gridCol w:w="1009"/>
              <w:gridCol w:w="1235"/>
              <w:gridCol w:w="1342"/>
              <w:gridCol w:w="3108"/>
            </w:tblGrid>
            <w:tr w14:paraId="4C1BD35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56" w:type="pct"/>
                  <w:tcBorders>
                    <w:tl2br w:val="nil"/>
                    <w:tr2bl w:val="nil"/>
                  </w:tcBorders>
                  <w:vAlign w:val="center"/>
                </w:tcPr>
                <w:p w14:paraId="76E083EF">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b/>
                      <w:color w:val="auto"/>
                      <w:szCs w:val="21"/>
                      <w:highlight w:val="none"/>
                      <w:u w:val="none" w:color="auto"/>
                    </w:rPr>
                  </w:pPr>
                  <w:r>
                    <w:rPr>
                      <w:rFonts w:hint="default" w:ascii="Times New Roman" w:hAnsi="Times New Roman" w:eastAsia="宋体" w:cs="Times New Roman"/>
                      <w:b/>
                      <w:color w:val="auto"/>
                      <w:szCs w:val="21"/>
                      <w:highlight w:val="none"/>
                      <w:u w:val="none" w:color="auto"/>
                    </w:rPr>
                    <w:t>序号</w:t>
                  </w:r>
                </w:p>
              </w:tc>
              <w:tc>
                <w:tcPr>
                  <w:tcW w:w="1187" w:type="pct"/>
                  <w:gridSpan w:val="2"/>
                  <w:tcBorders>
                    <w:tl2br w:val="nil"/>
                    <w:tr2bl w:val="nil"/>
                  </w:tcBorders>
                  <w:vAlign w:val="center"/>
                </w:tcPr>
                <w:p w14:paraId="1E325BBE">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b/>
                      <w:color w:val="auto"/>
                      <w:szCs w:val="21"/>
                      <w:highlight w:val="none"/>
                      <w:u w:val="none" w:color="auto"/>
                    </w:rPr>
                  </w:pPr>
                  <w:r>
                    <w:rPr>
                      <w:rFonts w:hint="default" w:ascii="Times New Roman" w:hAnsi="Times New Roman" w:eastAsia="宋体" w:cs="Times New Roman"/>
                      <w:b/>
                      <w:color w:val="auto"/>
                      <w:szCs w:val="21"/>
                      <w:highlight w:val="none"/>
                      <w:u w:val="none" w:color="auto"/>
                    </w:rPr>
                    <w:t>产品</w:t>
                  </w:r>
                </w:p>
              </w:tc>
              <w:tc>
                <w:tcPr>
                  <w:tcW w:w="729" w:type="pct"/>
                  <w:tcBorders>
                    <w:tl2br w:val="nil"/>
                    <w:tr2bl w:val="nil"/>
                  </w:tcBorders>
                  <w:vAlign w:val="center"/>
                </w:tcPr>
                <w:p w14:paraId="0CF63B81">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b/>
                      <w:color w:val="auto"/>
                      <w:szCs w:val="21"/>
                      <w:highlight w:val="none"/>
                      <w:u w:val="none" w:color="auto"/>
                      <w:lang w:eastAsia="zh-CN"/>
                    </w:rPr>
                  </w:pPr>
                  <w:r>
                    <w:rPr>
                      <w:rFonts w:hint="default" w:ascii="Times New Roman" w:hAnsi="Times New Roman" w:eastAsia="宋体" w:cs="Times New Roman"/>
                      <w:b/>
                      <w:color w:val="auto"/>
                      <w:szCs w:val="21"/>
                      <w:highlight w:val="none"/>
                      <w:u w:val="none" w:color="auto"/>
                      <w:lang w:val="en-US" w:eastAsia="zh-CN"/>
                    </w:rPr>
                    <w:t>单位</w:t>
                  </w:r>
                </w:p>
              </w:tc>
              <w:tc>
                <w:tcPr>
                  <w:tcW w:w="792" w:type="pct"/>
                  <w:tcBorders>
                    <w:tl2br w:val="nil"/>
                    <w:tr2bl w:val="nil"/>
                  </w:tcBorders>
                  <w:vAlign w:val="center"/>
                </w:tcPr>
                <w:p w14:paraId="5D556F2C">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b/>
                      <w:color w:val="auto"/>
                      <w:szCs w:val="21"/>
                      <w:highlight w:val="none"/>
                      <w:u w:val="none" w:color="auto"/>
                      <w:lang w:val="en-US" w:eastAsia="zh-CN"/>
                    </w:rPr>
                  </w:pPr>
                  <w:r>
                    <w:rPr>
                      <w:rFonts w:hint="default" w:ascii="Times New Roman" w:hAnsi="Times New Roman" w:eastAsia="宋体" w:cs="Times New Roman"/>
                      <w:b/>
                      <w:color w:val="auto"/>
                      <w:szCs w:val="21"/>
                      <w:highlight w:val="none"/>
                      <w:u w:val="none" w:color="auto"/>
                      <w:lang w:val="en-US" w:eastAsia="zh-CN"/>
                    </w:rPr>
                    <w:t>设计能力</w:t>
                  </w:r>
                </w:p>
              </w:tc>
              <w:tc>
                <w:tcPr>
                  <w:tcW w:w="1833" w:type="pct"/>
                  <w:tcBorders>
                    <w:tl2br w:val="nil"/>
                    <w:tr2bl w:val="nil"/>
                  </w:tcBorders>
                  <w:vAlign w:val="center"/>
                </w:tcPr>
                <w:p w14:paraId="6A1B11A4">
                  <w:pPr>
                    <w:keepNext w:val="0"/>
                    <w:keepLines w:val="0"/>
                    <w:pageBreakBefore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b/>
                      <w:color w:val="auto"/>
                      <w:szCs w:val="21"/>
                      <w:highlight w:val="none"/>
                      <w:u w:val="none" w:color="auto"/>
                      <w:lang w:val="en-US" w:eastAsia="zh-CN"/>
                    </w:rPr>
                  </w:pPr>
                  <w:r>
                    <w:rPr>
                      <w:rFonts w:hint="default" w:ascii="Times New Roman" w:hAnsi="Times New Roman" w:eastAsia="宋体" w:cs="Times New Roman"/>
                      <w:b/>
                      <w:color w:val="auto"/>
                      <w:szCs w:val="21"/>
                      <w:highlight w:val="none"/>
                      <w:u w:val="none" w:color="auto"/>
                      <w:lang w:val="en-US" w:eastAsia="zh-CN"/>
                    </w:rPr>
                    <w:t>规格</w:t>
                  </w:r>
                </w:p>
              </w:tc>
            </w:tr>
            <w:tr w14:paraId="01D73E5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6" w:type="pct"/>
                  <w:tcBorders>
                    <w:tl2br w:val="nil"/>
                    <w:tr2bl w:val="nil"/>
                  </w:tcBorders>
                  <w:vAlign w:val="center"/>
                </w:tcPr>
                <w:p w14:paraId="774B6232">
                  <w:pPr>
                    <w:pStyle w:val="2"/>
                    <w:keepNext w:val="0"/>
                    <w:keepLines w:val="0"/>
                    <w:pageBreakBefore w:val="0"/>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1</w:t>
                  </w:r>
                </w:p>
              </w:tc>
              <w:tc>
                <w:tcPr>
                  <w:tcW w:w="592" w:type="pct"/>
                  <w:vMerge w:val="restart"/>
                  <w:tcBorders>
                    <w:tl2br w:val="nil"/>
                    <w:tr2bl w:val="nil"/>
                  </w:tcBorders>
                  <w:vAlign w:val="center"/>
                </w:tcPr>
                <w:p w14:paraId="22030A95">
                  <w:pPr>
                    <w:pStyle w:val="2"/>
                    <w:keepNext w:val="0"/>
                    <w:keepLines w:val="0"/>
                    <w:pageBreakBefore w:val="0"/>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汽车用压铸动力外壳</w:t>
                  </w:r>
                </w:p>
              </w:tc>
              <w:tc>
                <w:tcPr>
                  <w:tcW w:w="595" w:type="pct"/>
                  <w:tcBorders>
                    <w:tl2br w:val="nil"/>
                    <w:tr2bl w:val="nil"/>
                  </w:tcBorders>
                  <w:shd w:val="clear" w:color="auto" w:fill="auto"/>
                  <w:vAlign w:val="center"/>
                </w:tcPr>
                <w:p w14:paraId="089231AA">
                  <w:pPr>
                    <w:pStyle w:val="2"/>
                    <w:keepNext w:val="0"/>
                    <w:keepLines w:val="0"/>
                    <w:pageBreakBefore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color w:val="auto"/>
                      <w:kern w:val="0"/>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rPr>
                    <w:t>后箱体A/D</w:t>
                  </w:r>
                </w:p>
              </w:tc>
              <w:tc>
                <w:tcPr>
                  <w:tcW w:w="729" w:type="pct"/>
                  <w:tcBorders>
                    <w:tl2br w:val="nil"/>
                    <w:tr2bl w:val="nil"/>
                  </w:tcBorders>
                  <w:vAlign w:val="center"/>
                </w:tcPr>
                <w:p w14:paraId="69B9B7B0">
                  <w:pPr>
                    <w:pStyle w:val="2"/>
                    <w:keepNext w:val="0"/>
                    <w:keepLines w:val="0"/>
                    <w:pageBreakBefore w:val="0"/>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万件/a</w:t>
                  </w:r>
                </w:p>
              </w:tc>
              <w:tc>
                <w:tcPr>
                  <w:tcW w:w="792" w:type="pct"/>
                  <w:tcBorders>
                    <w:tl2br w:val="nil"/>
                    <w:tr2bl w:val="nil"/>
                  </w:tcBorders>
                  <w:vAlign w:val="center"/>
                </w:tcPr>
                <w:p w14:paraId="14C8D8AC">
                  <w:pPr>
                    <w:pStyle w:val="2"/>
                    <w:keepNext w:val="0"/>
                    <w:keepLines w:val="0"/>
                    <w:pageBreakBefore w:val="0"/>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19</w:t>
                  </w:r>
                </w:p>
              </w:tc>
              <w:tc>
                <w:tcPr>
                  <w:tcW w:w="1833" w:type="pct"/>
                  <w:tcBorders>
                    <w:tl2br w:val="nil"/>
                    <w:tr2bl w:val="nil"/>
                  </w:tcBorders>
                  <w:vAlign w:val="center"/>
                </w:tcPr>
                <w:p w14:paraId="0EEA97EB">
                  <w:pPr>
                    <w:ind w:firstLine="105" w:firstLineChars="50"/>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lang w:val="en-US" w:eastAsia="zh-CN"/>
                    </w:rPr>
                    <w:t>A型：</w:t>
                  </w:r>
                  <w:r>
                    <w:rPr>
                      <w:rFonts w:hint="default" w:ascii="Times New Roman" w:hAnsi="Times New Roman" w:eastAsia="宋体" w:cs="Times New Roman"/>
                      <w:color w:val="auto"/>
                      <w:szCs w:val="21"/>
                      <w:u w:val="none" w:color="auto"/>
                    </w:rPr>
                    <w:t>外部宽度1360mm，内部宽度935mm，深度1045mm，高度500mm</w:t>
                  </w:r>
                </w:p>
                <w:p w14:paraId="43ECE34B">
                  <w:pPr>
                    <w:ind w:firstLine="105" w:firstLineChars="5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Cs w:val="21"/>
                      <w:u w:val="none" w:color="auto"/>
                      <w:lang w:val="en-US" w:eastAsia="zh-CN"/>
                    </w:rPr>
                    <w:t>D型：</w:t>
                  </w:r>
                  <w:r>
                    <w:rPr>
                      <w:rFonts w:hint="default" w:ascii="Times New Roman" w:hAnsi="Times New Roman" w:eastAsia="宋体" w:cs="Times New Roman"/>
                      <w:color w:val="auto"/>
                      <w:u w:val="none" w:color="auto"/>
                    </w:rPr>
                    <w:t>深度1055mm，宽度1005mm，高度760mm</w:t>
                  </w:r>
                </w:p>
              </w:tc>
            </w:tr>
            <w:tr w14:paraId="4A96079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6" w:type="pct"/>
                  <w:tcBorders>
                    <w:tl2br w:val="nil"/>
                    <w:tr2bl w:val="nil"/>
                  </w:tcBorders>
                  <w:vAlign w:val="center"/>
                </w:tcPr>
                <w:p w14:paraId="0B234C9E">
                  <w:pPr>
                    <w:pStyle w:val="2"/>
                    <w:keepNext w:val="0"/>
                    <w:keepLines w:val="0"/>
                    <w:pageBreakBefore w:val="0"/>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2</w:t>
                  </w:r>
                </w:p>
              </w:tc>
              <w:tc>
                <w:tcPr>
                  <w:tcW w:w="592" w:type="pct"/>
                  <w:vMerge w:val="continue"/>
                  <w:tcBorders>
                    <w:tl2br w:val="nil"/>
                    <w:tr2bl w:val="nil"/>
                  </w:tcBorders>
                  <w:vAlign w:val="center"/>
                </w:tcPr>
                <w:p w14:paraId="643EEFFC">
                  <w:pPr>
                    <w:pStyle w:val="2"/>
                    <w:keepNext w:val="0"/>
                    <w:keepLines w:val="0"/>
                    <w:pageBreakBefore w:val="0"/>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宋体" w:cs="Times New Roman"/>
                      <w:color w:val="auto"/>
                      <w:sz w:val="21"/>
                      <w:szCs w:val="21"/>
                      <w:highlight w:val="none"/>
                      <w:u w:val="none" w:color="auto"/>
                    </w:rPr>
                  </w:pPr>
                </w:p>
              </w:tc>
              <w:tc>
                <w:tcPr>
                  <w:tcW w:w="595" w:type="pct"/>
                  <w:tcBorders>
                    <w:tl2br w:val="nil"/>
                    <w:tr2bl w:val="nil"/>
                  </w:tcBorders>
                  <w:shd w:val="clear" w:color="auto" w:fill="auto"/>
                  <w:vAlign w:val="center"/>
                </w:tcPr>
                <w:p w14:paraId="7CBF31F7">
                  <w:pPr>
                    <w:pStyle w:val="2"/>
                    <w:keepNext w:val="0"/>
                    <w:keepLines w:val="0"/>
                    <w:pageBreakBefore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color w:val="auto"/>
                      <w:kern w:val="0"/>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rPr>
                    <w:t>后箱体E</w:t>
                  </w:r>
                </w:p>
              </w:tc>
              <w:tc>
                <w:tcPr>
                  <w:tcW w:w="729" w:type="pct"/>
                  <w:tcBorders>
                    <w:tl2br w:val="nil"/>
                    <w:tr2bl w:val="nil"/>
                  </w:tcBorders>
                  <w:shd w:val="clear" w:color="auto" w:fill="auto"/>
                  <w:vAlign w:val="center"/>
                </w:tcPr>
                <w:p w14:paraId="5D89854A">
                  <w:pPr>
                    <w:pStyle w:val="2"/>
                    <w:keepNext w:val="0"/>
                    <w:keepLines w:val="0"/>
                    <w:pageBreakBefore w:val="0"/>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万件/a</w:t>
                  </w:r>
                </w:p>
              </w:tc>
              <w:tc>
                <w:tcPr>
                  <w:tcW w:w="792" w:type="pct"/>
                  <w:tcBorders>
                    <w:tl2br w:val="nil"/>
                    <w:tr2bl w:val="nil"/>
                  </w:tcBorders>
                  <w:shd w:val="clear" w:color="auto" w:fill="auto"/>
                  <w:vAlign w:val="center"/>
                </w:tcPr>
                <w:p w14:paraId="7FCB538D">
                  <w:pPr>
                    <w:pStyle w:val="2"/>
                    <w:keepNext w:val="0"/>
                    <w:keepLines w:val="0"/>
                    <w:pageBreakBefore w:val="0"/>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19</w:t>
                  </w:r>
                </w:p>
              </w:tc>
              <w:tc>
                <w:tcPr>
                  <w:tcW w:w="1833" w:type="pct"/>
                  <w:tcBorders>
                    <w:tl2br w:val="nil"/>
                    <w:tr2bl w:val="nil"/>
                  </w:tcBorders>
                  <w:shd w:val="clear" w:color="auto" w:fill="auto"/>
                  <w:vAlign w:val="center"/>
                </w:tcPr>
                <w:p w14:paraId="4797D244">
                  <w:pPr>
                    <w:ind w:firstLine="105" w:firstLineChars="5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u w:val="none" w:color="auto"/>
                    </w:rPr>
                    <w:t>长1060mm，短边665mm，宽度830mm，高度830mm</w:t>
                  </w:r>
                </w:p>
              </w:tc>
            </w:tr>
            <w:tr w14:paraId="4A47ADD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56" w:type="pct"/>
                  <w:tcBorders>
                    <w:tl2br w:val="nil"/>
                    <w:tr2bl w:val="nil"/>
                  </w:tcBorders>
                  <w:vAlign w:val="center"/>
                </w:tcPr>
                <w:p w14:paraId="08EB9C7A">
                  <w:pPr>
                    <w:pStyle w:val="2"/>
                    <w:keepNext w:val="0"/>
                    <w:keepLines w:val="0"/>
                    <w:pageBreakBefore w:val="0"/>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3</w:t>
                  </w:r>
                </w:p>
              </w:tc>
              <w:tc>
                <w:tcPr>
                  <w:tcW w:w="1187" w:type="pct"/>
                  <w:gridSpan w:val="2"/>
                  <w:tcBorders>
                    <w:tl2br w:val="nil"/>
                    <w:tr2bl w:val="nil"/>
                  </w:tcBorders>
                  <w:vAlign w:val="center"/>
                </w:tcPr>
                <w:p w14:paraId="51DE9F8E">
                  <w:pPr>
                    <w:pStyle w:val="2"/>
                    <w:keepNext w:val="0"/>
                    <w:keepLines w:val="0"/>
                    <w:pageBreakBefore w:val="0"/>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铝合金铸锭</w:t>
                  </w:r>
                </w:p>
              </w:tc>
              <w:tc>
                <w:tcPr>
                  <w:tcW w:w="729" w:type="pct"/>
                  <w:tcBorders>
                    <w:tl2br w:val="nil"/>
                    <w:tr2bl w:val="nil"/>
                  </w:tcBorders>
                  <w:vAlign w:val="center"/>
                </w:tcPr>
                <w:p w14:paraId="649BDD01">
                  <w:pPr>
                    <w:pStyle w:val="2"/>
                    <w:keepNext w:val="0"/>
                    <w:keepLines w:val="0"/>
                    <w:pageBreakBefore w:val="0"/>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吨</w:t>
                  </w:r>
                </w:p>
              </w:tc>
              <w:tc>
                <w:tcPr>
                  <w:tcW w:w="792" w:type="pct"/>
                  <w:tcBorders>
                    <w:tl2br w:val="nil"/>
                    <w:tr2bl w:val="nil"/>
                  </w:tcBorders>
                  <w:vAlign w:val="center"/>
                </w:tcPr>
                <w:p w14:paraId="4A7A6813">
                  <w:pPr>
                    <w:pStyle w:val="2"/>
                    <w:keepNext w:val="0"/>
                    <w:keepLines w:val="0"/>
                    <w:pageBreakBefore w:val="0"/>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9200</w:t>
                  </w:r>
                </w:p>
              </w:tc>
              <w:tc>
                <w:tcPr>
                  <w:tcW w:w="1833" w:type="pct"/>
                  <w:tcBorders>
                    <w:tl2br w:val="nil"/>
                    <w:tr2bl w:val="nil"/>
                  </w:tcBorders>
                  <w:vAlign w:val="center"/>
                </w:tcPr>
                <w:p w14:paraId="594BFB41">
                  <w:pPr>
                    <w:pStyle w:val="2"/>
                    <w:keepNext w:val="0"/>
                    <w:keepLines w:val="0"/>
                    <w:pageBreakBefore w:val="0"/>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p>
              </w:tc>
            </w:tr>
            <w:tr w14:paraId="74B3892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6" w:type="pct"/>
                  <w:tcBorders>
                    <w:tl2br w:val="nil"/>
                    <w:tr2bl w:val="nil"/>
                  </w:tcBorders>
                  <w:vAlign w:val="center"/>
                </w:tcPr>
                <w:p w14:paraId="04C4E751">
                  <w:pPr>
                    <w:pStyle w:val="2"/>
                    <w:keepNext w:val="0"/>
                    <w:keepLines w:val="0"/>
                    <w:pageBreakBefore w:val="0"/>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4</w:t>
                  </w:r>
                </w:p>
              </w:tc>
              <w:tc>
                <w:tcPr>
                  <w:tcW w:w="1187" w:type="pct"/>
                  <w:gridSpan w:val="2"/>
                  <w:tcBorders>
                    <w:tl2br w:val="nil"/>
                    <w:tr2bl w:val="nil"/>
                  </w:tcBorders>
                  <w:vAlign w:val="center"/>
                </w:tcPr>
                <w:p w14:paraId="328140B3">
                  <w:pPr>
                    <w:pStyle w:val="2"/>
                    <w:keepNext w:val="0"/>
                    <w:keepLines w:val="0"/>
                    <w:pageBreakBefore w:val="0"/>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Ф180 铝挤压电机壳</w:t>
                  </w:r>
                </w:p>
              </w:tc>
              <w:tc>
                <w:tcPr>
                  <w:tcW w:w="729" w:type="pct"/>
                  <w:tcBorders>
                    <w:tl2br w:val="nil"/>
                    <w:tr2bl w:val="nil"/>
                  </w:tcBorders>
                  <w:vAlign w:val="center"/>
                </w:tcPr>
                <w:p w14:paraId="58870316">
                  <w:pPr>
                    <w:keepNext w:val="0"/>
                    <w:keepLines w:val="0"/>
                    <w:pageBreakBefore w:val="0"/>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万件/a</w:t>
                  </w:r>
                </w:p>
              </w:tc>
              <w:tc>
                <w:tcPr>
                  <w:tcW w:w="792" w:type="pct"/>
                  <w:tcBorders>
                    <w:tl2br w:val="nil"/>
                    <w:tr2bl w:val="nil"/>
                  </w:tcBorders>
                  <w:vAlign w:val="center"/>
                </w:tcPr>
                <w:p w14:paraId="4464965F">
                  <w:pPr>
                    <w:pStyle w:val="2"/>
                    <w:keepNext w:val="0"/>
                    <w:keepLines w:val="0"/>
                    <w:pageBreakBefore w:val="0"/>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36</w:t>
                  </w:r>
                </w:p>
              </w:tc>
              <w:tc>
                <w:tcPr>
                  <w:tcW w:w="1833" w:type="pct"/>
                  <w:tcBorders>
                    <w:tl2br w:val="nil"/>
                    <w:tr2bl w:val="nil"/>
                  </w:tcBorders>
                  <w:vAlign w:val="center"/>
                </w:tcPr>
                <w:p w14:paraId="245BDBC4">
                  <w:pPr>
                    <w:pStyle w:val="2"/>
                    <w:keepNext w:val="0"/>
                    <w:keepLines w:val="0"/>
                    <w:pageBreakBefore w:val="0"/>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p>
              </w:tc>
            </w:tr>
            <w:tr w14:paraId="1B99BCA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6" w:type="pct"/>
                  <w:tcBorders>
                    <w:tl2br w:val="nil"/>
                    <w:tr2bl w:val="nil"/>
                  </w:tcBorders>
                  <w:vAlign w:val="center"/>
                </w:tcPr>
                <w:p w14:paraId="6DE22244">
                  <w:pPr>
                    <w:pStyle w:val="2"/>
                    <w:keepNext w:val="0"/>
                    <w:keepLines w:val="0"/>
                    <w:pageBreakBefore w:val="0"/>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5</w:t>
                  </w:r>
                </w:p>
              </w:tc>
              <w:tc>
                <w:tcPr>
                  <w:tcW w:w="1187" w:type="pct"/>
                  <w:gridSpan w:val="2"/>
                  <w:tcBorders>
                    <w:tl2br w:val="nil"/>
                    <w:tr2bl w:val="nil"/>
                  </w:tcBorders>
                  <w:vAlign w:val="center"/>
                </w:tcPr>
                <w:p w14:paraId="7C53D199">
                  <w:pPr>
                    <w:pStyle w:val="2"/>
                    <w:keepNext w:val="0"/>
                    <w:keepLines w:val="0"/>
                    <w:pageBreakBefore w:val="0"/>
                    <w:tabs>
                      <w:tab w:val="left" w:pos="570"/>
                    </w:tabs>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Ф154 铝挤压电机壳</w:t>
                  </w:r>
                </w:p>
              </w:tc>
              <w:tc>
                <w:tcPr>
                  <w:tcW w:w="729" w:type="pct"/>
                  <w:tcBorders>
                    <w:tl2br w:val="nil"/>
                    <w:tr2bl w:val="nil"/>
                  </w:tcBorders>
                  <w:vAlign w:val="center"/>
                </w:tcPr>
                <w:p w14:paraId="13085140">
                  <w:pPr>
                    <w:keepNext w:val="0"/>
                    <w:keepLines w:val="0"/>
                    <w:pageBreakBefore w:val="0"/>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万件/a</w:t>
                  </w:r>
                </w:p>
              </w:tc>
              <w:tc>
                <w:tcPr>
                  <w:tcW w:w="792" w:type="pct"/>
                  <w:tcBorders>
                    <w:tl2br w:val="nil"/>
                    <w:tr2bl w:val="nil"/>
                  </w:tcBorders>
                  <w:vAlign w:val="center"/>
                </w:tcPr>
                <w:p w14:paraId="25BD22CF">
                  <w:pPr>
                    <w:pStyle w:val="2"/>
                    <w:keepNext w:val="0"/>
                    <w:keepLines w:val="0"/>
                    <w:pageBreakBefore w:val="0"/>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6</w:t>
                  </w:r>
                </w:p>
              </w:tc>
              <w:tc>
                <w:tcPr>
                  <w:tcW w:w="1833" w:type="pct"/>
                  <w:tcBorders>
                    <w:tl2br w:val="nil"/>
                    <w:tr2bl w:val="nil"/>
                  </w:tcBorders>
                  <w:vAlign w:val="center"/>
                </w:tcPr>
                <w:p w14:paraId="31476089">
                  <w:pPr>
                    <w:pStyle w:val="2"/>
                    <w:keepNext w:val="0"/>
                    <w:keepLines w:val="0"/>
                    <w:pageBreakBefore w:val="0"/>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宋体" w:cs="Times New Roman"/>
                      <w:color w:val="auto"/>
                      <w:sz w:val="21"/>
                      <w:szCs w:val="21"/>
                      <w:highlight w:val="none"/>
                      <w:u w:val="none" w:color="auto"/>
                      <w:lang w:val="en-US" w:eastAsia="zh-CN"/>
                    </w:rPr>
                  </w:pPr>
                </w:p>
              </w:tc>
            </w:tr>
          </w:tbl>
          <w:p w14:paraId="38665B1E">
            <w:pPr>
              <w:pStyle w:val="2"/>
              <w:keepNext w:val="0"/>
              <w:keepLines w:val="0"/>
              <w:pageBreakBefore w:val="0"/>
              <w:widowControl/>
              <w:kinsoku/>
              <w:wordWrap/>
              <w:overflowPunct/>
              <w:topLinePunct w:val="0"/>
              <w:autoSpaceDE/>
              <w:autoSpaceDN/>
              <w:bidi w:val="0"/>
              <w:adjustRightInd/>
              <w:snapToGrid/>
              <w:spacing w:before="0" w:after="0" w:line="240" w:lineRule="auto"/>
              <w:ind w:right="0" w:firstLine="0" w:firstLineChars="0"/>
              <w:textAlignment w:val="auto"/>
              <w:rPr>
                <w:rFonts w:hint="default" w:ascii="Times New Roman" w:hAnsi="Times New Roman" w:eastAsia="宋体" w:cs="Times New Roman"/>
                <w:b/>
                <w:bCs/>
                <w:color w:val="auto"/>
                <w:sz w:val="21"/>
                <w:szCs w:val="21"/>
                <w:u w:val="none" w:color="auto"/>
                <w:lang w:val="en-US" w:eastAsia="zh-CN"/>
              </w:rPr>
            </w:pPr>
            <w:r>
              <w:rPr>
                <w:rFonts w:hint="default" w:ascii="Times New Roman" w:hAnsi="Times New Roman" w:eastAsia="宋体" w:cs="Times New Roman"/>
                <w:b/>
                <w:bCs/>
                <w:color w:val="auto"/>
                <w:sz w:val="21"/>
                <w:szCs w:val="21"/>
                <w:u w:val="none" w:color="auto"/>
                <w:lang w:val="en-US" w:eastAsia="zh-CN"/>
              </w:rPr>
              <w:t>注：本项目产品产能均为新增产能，不涉及原有产品产能，同时铝合金熔铸一厂的产品产能及其种类涉及二级保密要求，故不在本次环评中单列出，仅进行说明。</w:t>
            </w:r>
          </w:p>
          <w:p w14:paraId="1CF34B01">
            <w:pPr>
              <w:pStyle w:val="2"/>
              <w:spacing w:line="240" w:lineRule="auto"/>
              <w:ind w:firstLine="482" w:firstLineChars="200"/>
              <w:rPr>
                <w:rFonts w:hint="default" w:ascii="Times New Roman" w:hAnsi="Times New Roman" w:eastAsia="宋体" w:cs="Times New Roman"/>
                <w:b/>
                <w:bCs/>
                <w:color w:val="auto"/>
                <w:sz w:val="24"/>
                <w:szCs w:val="28"/>
                <w:u w:val="none" w:color="auto"/>
              </w:rPr>
            </w:pPr>
            <w:r>
              <w:rPr>
                <w:rFonts w:hint="default" w:ascii="Times New Roman" w:hAnsi="Times New Roman" w:eastAsia="宋体" w:cs="Times New Roman"/>
                <w:b/>
                <w:bCs/>
                <w:color w:val="auto"/>
                <w:sz w:val="24"/>
                <w:szCs w:val="28"/>
                <w:u w:val="none" w:color="auto"/>
                <w:lang w:val="en-US" w:eastAsia="zh-CN"/>
              </w:rPr>
              <w:t>5</w:t>
            </w:r>
            <w:r>
              <w:rPr>
                <w:rFonts w:hint="default" w:ascii="Times New Roman" w:hAnsi="Times New Roman" w:eastAsia="宋体" w:cs="Times New Roman"/>
                <w:b/>
                <w:bCs/>
                <w:color w:val="auto"/>
                <w:sz w:val="24"/>
                <w:szCs w:val="28"/>
                <w:u w:val="none" w:color="auto"/>
              </w:rPr>
              <w:t>、主要原辅材料及能源消耗</w:t>
            </w:r>
          </w:p>
          <w:p w14:paraId="4A615DFF">
            <w:pPr>
              <w:pStyle w:val="2"/>
              <w:snapToGrid/>
              <w:spacing w:before="0" w:after="0" w:line="360" w:lineRule="auto"/>
              <w:ind w:right="0" w:firstLine="480" w:firstLineChars="200"/>
              <w:rPr>
                <w:rFonts w:hint="default" w:ascii="Times New Roman" w:hAnsi="Times New Roman" w:eastAsia="宋体" w:cs="Times New Roman"/>
                <w:color w:val="auto"/>
                <w:sz w:val="24"/>
                <w:szCs w:val="28"/>
                <w:highlight w:val="none"/>
                <w:u w:val="none" w:color="auto"/>
              </w:rPr>
            </w:pPr>
            <w:r>
              <w:rPr>
                <w:rFonts w:hint="default" w:ascii="Times New Roman" w:hAnsi="Times New Roman" w:eastAsia="宋体" w:cs="Times New Roman"/>
                <w:color w:val="auto"/>
                <w:sz w:val="24"/>
                <w:szCs w:val="28"/>
                <w:highlight w:val="none"/>
                <w:u w:val="none" w:color="auto"/>
              </w:rPr>
              <w:t>本项目</w:t>
            </w:r>
            <w:r>
              <w:rPr>
                <w:rFonts w:hint="default" w:ascii="Times New Roman" w:hAnsi="Times New Roman" w:eastAsia="宋体" w:cs="Times New Roman"/>
                <w:color w:val="auto"/>
                <w:sz w:val="24"/>
                <w:szCs w:val="28"/>
                <w:highlight w:val="none"/>
                <w:u w:val="none" w:color="auto"/>
                <w:lang w:val="en-US" w:eastAsia="zh-CN"/>
              </w:rPr>
              <w:t>不对现有产能、原辅料造成影响，所用原辅料均为新增，具体</w:t>
            </w:r>
            <w:r>
              <w:rPr>
                <w:rFonts w:hint="default" w:ascii="Times New Roman" w:hAnsi="Times New Roman" w:eastAsia="宋体" w:cs="Times New Roman"/>
                <w:color w:val="auto"/>
                <w:sz w:val="24"/>
                <w:szCs w:val="28"/>
                <w:highlight w:val="none"/>
                <w:u w:val="none" w:color="auto"/>
              </w:rPr>
              <w:t>涉及的主要原辅材料及能源消耗情况</w:t>
            </w:r>
            <w:r>
              <w:rPr>
                <w:rFonts w:hint="default" w:ascii="Times New Roman" w:hAnsi="Times New Roman" w:eastAsia="宋体" w:cs="Times New Roman"/>
                <w:color w:val="auto"/>
                <w:sz w:val="24"/>
                <w:szCs w:val="28"/>
                <w:highlight w:val="none"/>
                <w:u w:val="none" w:color="auto"/>
                <w:lang w:val="en-US" w:eastAsia="zh-CN"/>
              </w:rPr>
              <w:t>详见</w:t>
            </w:r>
            <w:r>
              <w:rPr>
                <w:rFonts w:hint="default" w:ascii="Times New Roman" w:hAnsi="Times New Roman" w:eastAsia="宋体" w:cs="Times New Roman"/>
                <w:color w:val="auto"/>
                <w:sz w:val="24"/>
                <w:szCs w:val="28"/>
                <w:highlight w:val="none"/>
                <w:u w:val="none" w:color="auto"/>
              </w:rPr>
              <w:t>表2-</w:t>
            </w:r>
            <w:r>
              <w:rPr>
                <w:rFonts w:hint="default" w:ascii="Times New Roman" w:hAnsi="Times New Roman" w:eastAsia="宋体" w:cs="Times New Roman"/>
                <w:color w:val="auto"/>
                <w:sz w:val="24"/>
                <w:szCs w:val="28"/>
                <w:highlight w:val="none"/>
                <w:u w:val="none" w:color="auto"/>
                <w:lang w:val="en-US" w:eastAsia="zh-CN"/>
              </w:rPr>
              <w:t>4</w:t>
            </w:r>
            <w:r>
              <w:rPr>
                <w:rFonts w:hint="default" w:ascii="Times New Roman" w:hAnsi="Times New Roman" w:eastAsia="宋体" w:cs="Times New Roman"/>
                <w:color w:val="auto"/>
                <w:sz w:val="24"/>
                <w:szCs w:val="28"/>
                <w:highlight w:val="none"/>
                <w:u w:val="none" w:color="auto"/>
              </w:rPr>
              <w:t>。</w:t>
            </w:r>
          </w:p>
          <w:p w14:paraId="76887E87">
            <w:pPr>
              <w:pStyle w:val="45"/>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表2-</w:t>
            </w:r>
            <w:r>
              <w:rPr>
                <w:rFonts w:hint="default" w:ascii="Times New Roman" w:hAnsi="Times New Roman" w:eastAsia="宋体" w:cs="Times New Roman"/>
                <w:color w:val="auto"/>
                <w:highlight w:val="none"/>
                <w:u w:val="none" w:color="auto"/>
                <w:lang w:val="en-US" w:eastAsia="zh-CN"/>
              </w:rPr>
              <w:t xml:space="preserve">4  </w:t>
            </w:r>
            <w:r>
              <w:rPr>
                <w:rFonts w:hint="default" w:ascii="Times New Roman" w:hAnsi="Times New Roman" w:eastAsia="宋体" w:cs="Times New Roman"/>
                <w:color w:val="auto"/>
                <w:highlight w:val="none"/>
                <w:u w:val="none" w:color="auto"/>
              </w:rPr>
              <w:t>原辅材料及能源清单</w:t>
            </w:r>
          </w:p>
          <w:tbl>
            <w:tblPr>
              <w:tblStyle w:val="31"/>
              <w:tblW w:w="4997"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61"/>
              <w:gridCol w:w="1463"/>
              <w:gridCol w:w="883"/>
              <w:gridCol w:w="1140"/>
              <w:gridCol w:w="1368"/>
              <w:gridCol w:w="1452"/>
              <w:gridCol w:w="1401"/>
            </w:tblGrid>
            <w:tr w14:paraId="36E1E2F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49" w:type="pct"/>
                  <w:tcBorders>
                    <w:tl2br w:val="nil"/>
                    <w:tr2bl w:val="nil"/>
                  </w:tcBorders>
                  <w:vAlign w:val="center"/>
                </w:tcPr>
                <w:p w14:paraId="5EBD4597">
                  <w:pPr>
                    <w:snapToGrid w:val="0"/>
                    <w:spacing w:line="340" w:lineRule="exact"/>
                    <w:jc w:val="center"/>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序号</w:t>
                  </w:r>
                </w:p>
              </w:tc>
              <w:tc>
                <w:tcPr>
                  <w:tcW w:w="863" w:type="pct"/>
                  <w:tcBorders>
                    <w:tl2br w:val="nil"/>
                    <w:tr2bl w:val="nil"/>
                  </w:tcBorders>
                  <w:vAlign w:val="center"/>
                </w:tcPr>
                <w:p w14:paraId="0FC28839">
                  <w:pPr>
                    <w:snapToGrid w:val="0"/>
                    <w:spacing w:line="340" w:lineRule="exact"/>
                    <w:jc w:val="center"/>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材料名称</w:t>
                  </w:r>
                </w:p>
              </w:tc>
              <w:tc>
                <w:tcPr>
                  <w:tcW w:w="521" w:type="pct"/>
                  <w:tcBorders>
                    <w:tl2br w:val="nil"/>
                    <w:tr2bl w:val="nil"/>
                  </w:tcBorders>
                  <w:vAlign w:val="center"/>
                </w:tcPr>
                <w:p w14:paraId="56D37977">
                  <w:pPr>
                    <w:snapToGrid w:val="0"/>
                    <w:spacing w:line="340" w:lineRule="exact"/>
                    <w:jc w:val="center"/>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单位</w:t>
                  </w:r>
                </w:p>
              </w:tc>
              <w:tc>
                <w:tcPr>
                  <w:tcW w:w="673" w:type="pct"/>
                  <w:tcBorders>
                    <w:tl2br w:val="nil"/>
                    <w:tr2bl w:val="nil"/>
                  </w:tcBorders>
                  <w:vAlign w:val="center"/>
                </w:tcPr>
                <w:p w14:paraId="07ACBDF7">
                  <w:pPr>
                    <w:snapToGrid w:val="0"/>
                    <w:spacing w:line="340" w:lineRule="exact"/>
                    <w:jc w:val="center"/>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年用量</w:t>
                  </w:r>
                </w:p>
              </w:tc>
              <w:tc>
                <w:tcPr>
                  <w:tcW w:w="807" w:type="pct"/>
                  <w:tcBorders>
                    <w:tl2br w:val="nil"/>
                    <w:tr2bl w:val="nil"/>
                  </w:tcBorders>
                  <w:vAlign w:val="center"/>
                </w:tcPr>
                <w:p w14:paraId="08831FA6">
                  <w:pPr>
                    <w:snapToGrid w:val="0"/>
                    <w:spacing w:line="340" w:lineRule="exact"/>
                    <w:jc w:val="center"/>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最大储存量</w:t>
                  </w:r>
                </w:p>
              </w:tc>
              <w:tc>
                <w:tcPr>
                  <w:tcW w:w="857" w:type="pct"/>
                  <w:tcBorders>
                    <w:tl2br w:val="nil"/>
                    <w:tr2bl w:val="nil"/>
                  </w:tcBorders>
                  <w:vAlign w:val="center"/>
                </w:tcPr>
                <w:p w14:paraId="23D4E6D4">
                  <w:pPr>
                    <w:snapToGrid w:val="0"/>
                    <w:spacing w:line="340" w:lineRule="exact"/>
                    <w:jc w:val="center"/>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规格</w:t>
                  </w:r>
                </w:p>
              </w:tc>
              <w:tc>
                <w:tcPr>
                  <w:tcW w:w="827" w:type="pct"/>
                  <w:tcBorders>
                    <w:tl2br w:val="nil"/>
                    <w:tr2bl w:val="nil"/>
                  </w:tcBorders>
                  <w:vAlign w:val="center"/>
                </w:tcPr>
                <w:p w14:paraId="5274EBF5">
                  <w:pPr>
                    <w:snapToGrid w:val="0"/>
                    <w:spacing w:line="340" w:lineRule="exact"/>
                    <w:jc w:val="center"/>
                    <w:rPr>
                      <w:rFonts w:hint="default" w:ascii="Times New Roman" w:hAnsi="Times New Roman" w:eastAsia="宋体" w:cs="Times New Roman"/>
                      <w:b/>
                      <w:bCs/>
                      <w:color w:val="auto"/>
                      <w:sz w:val="21"/>
                      <w:szCs w:val="21"/>
                      <w:u w:val="none" w:color="auto"/>
                      <w:lang w:val="en-US" w:eastAsia="zh-CN"/>
                    </w:rPr>
                  </w:pPr>
                  <w:r>
                    <w:rPr>
                      <w:rFonts w:hint="default" w:ascii="Times New Roman" w:hAnsi="Times New Roman" w:eastAsia="宋体" w:cs="Times New Roman"/>
                      <w:b/>
                      <w:bCs/>
                      <w:color w:val="auto"/>
                      <w:sz w:val="21"/>
                      <w:szCs w:val="21"/>
                      <w:u w:val="none" w:color="auto"/>
                      <w:lang w:val="en-US" w:eastAsia="zh-CN"/>
                    </w:rPr>
                    <w:t>使用工序</w:t>
                  </w:r>
                </w:p>
              </w:tc>
            </w:tr>
            <w:tr w14:paraId="118DB04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9" w:type="pct"/>
                  <w:tcBorders>
                    <w:tl2br w:val="nil"/>
                    <w:tr2bl w:val="nil"/>
                  </w:tcBorders>
                  <w:vAlign w:val="center"/>
                </w:tcPr>
                <w:p w14:paraId="29111A05">
                  <w:pPr>
                    <w:snapToGrid w:val="0"/>
                    <w:spacing w:line="340" w:lineRule="exact"/>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1</w:t>
                  </w:r>
                </w:p>
              </w:tc>
              <w:tc>
                <w:tcPr>
                  <w:tcW w:w="863" w:type="pct"/>
                  <w:tcBorders>
                    <w:tl2br w:val="nil"/>
                    <w:tr2bl w:val="nil"/>
                  </w:tcBorders>
                  <w:vAlign w:val="center"/>
                </w:tcPr>
                <w:p w14:paraId="0F878E2D">
                  <w:pPr>
                    <w:snapToGrid w:val="0"/>
                    <w:spacing w:line="340" w:lineRule="exact"/>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铝锭</w:t>
                  </w:r>
                </w:p>
              </w:tc>
              <w:tc>
                <w:tcPr>
                  <w:tcW w:w="521" w:type="pct"/>
                  <w:tcBorders>
                    <w:tl2br w:val="nil"/>
                    <w:tr2bl w:val="nil"/>
                  </w:tcBorders>
                  <w:vAlign w:val="center"/>
                </w:tcPr>
                <w:p w14:paraId="2F5D46F8">
                  <w:pPr>
                    <w:snapToGrid w:val="0"/>
                    <w:spacing w:line="340" w:lineRule="exact"/>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万t/a</w:t>
                  </w:r>
                </w:p>
              </w:tc>
              <w:tc>
                <w:tcPr>
                  <w:tcW w:w="673" w:type="pct"/>
                  <w:tcBorders>
                    <w:tl2br w:val="nil"/>
                    <w:tr2bl w:val="nil"/>
                  </w:tcBorders>
                  <w:vAlign w:val="center"/>
                </w:tcPr>
                <w:p w14:paraId="3C482280">
                  <w:pPr>
                    <w:widowControl/>
                    <w:jc w:val="center"/>
                    <w:textAlignment w:val="center"/>
                    <w:rPr>
                      <w:rFonts w:hint="default" w:ascii="Times New Roman" w:hAnsi="Times New Roman" w:eastAsia="宋体" w:cs="Times New Roman"/>
                      <w:color w:val="auto"/>
                      <w:sz w:val="21"/>
                      <w:szCs w:val="21"/>
                      <w:u w:val="none" w:color="auto"/>
                    </w:rPr>
                  </w:pPr>
                  <w:r>
                    <w:rPr>
                      <w:rStyle w:val="48"/>
                      <w:rFonts w:hint="default" w:ascii="Times New Roman" w:hAnsi="Times New Roman" w:eastAsia="宋体" w:cs="Times New Roman"/>
                      <w:b w:val="0"/>
                      <w:bCs w:val="0"/>
                      <w:color w:val="auto"/>
                      <w:sz w:val="21"/>
                      <w:szCs w:val="21"/>
                      <w:u w:val="none" w:color="auto"/>
                      <w:lang w:bidi="ar"/>
                    </w:rPr>
                    <w:t>3.15</w:t>
                  </w:r>
                </w:p>
              </w:tc>
              <w:tc>
                <w:tcPr>
                  <w:tcW w:w="807" w:type="pct"/>
                  <w:tcBorders>
                    <w:tl2br w:val="nil"/>
                    <w:tr2bl w:val="nil"/>
                  </w:tcBorders>
                  <w:vAlign w:val="center"/>
                </w:tcPr>
                <w:p w14:paraId="7CCE88F0">
                  <w:pPr>
                    <w:widowControl/>
                    <w:jc w:val="center"/>
                    <w:textAlignment w:val="center"/>
                    <w:rPr>
                      <w:rFonts w:hint="default" w:ascii="Times New Roman" w:hAnsi="Times New Roman" w:eastAsia="宋体" w:cs="Times New Roman"/>
                      <w:color w:val="auto"/>
                      <w:sz w:val="21"/>
                      <w:szCs w:val="21"/>
                      <w:u w:val="none" w:color="auto"/>
                    </w:rPr>
                  </w:pPr>
                  <w:r>
                    <w:rPr>
                      <w:rStyle w:val="48"/>
                      <w:rFonts w:hint="default" w:ascii="Times New Roman" w:hAnsi="Times New Roman" w:eastAsia="宋体" w:cs="Times New Roman"/>
                      <w:b w:val="0"/>
                      <w:bCs w:val="0"/>
                      <w:color w:val="auto"/>
                      <w:sz w:val="21"/>
                      <w:szCs w:val="21"/>
                      <w:u w:val="none" w:color="auto"/>
                      <w:lang w:bidi="ar"/>
                    </w:rPr>
                    <w:t>1100</w:t>
                  </w:r>
                </w:p>
              </w:tc>
              <w:tc>
                <w:tcPr>
                  <w:tcW w:w="857" w:type="pct"/>
                  <w:tcBorders>
                    <w:tl2br w:val="nil"/>
                    <w:tr2bl w:val="nil"/>
                  </w:tcBorders>
                  <w:vAlign w:val="center"/>
                </w:tcPr>
                <w:p w14:paraId="7E64197F">
                  <w:pPr>
                    <w:widowControl/>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kern w:val="0"/>
                      <w:sz w:val="21"/>
                      <w:szCs w:val="21"/>
                      <w:u w:val="none" w:color="auto"/>
                      <w:lang w:bidi="ar"/>
                    </w:rPr>
                    <w:t>A00级（≥99.7% Al）</w:t>
                  </w:r>
                </w:p>
              </w:tc>
              <w:tc>
                <w:tcPr>
                  <w:tcW w:w="827" w:type="pct"/>
                  <w:vMerge w:val="restart"/>
                  <w:tcBorders>
                    <w:tl2br w:val="nil"/>
                    <w:tr2bl w:val="nil"/>
                  </w:tcBorders>
                  <w:vAlign w:val="center"/>
                </w:tcPr>
                <w:p w14:paraId="50D5F6FD">
                  <w:pPr>
                    <w:widowControl/>
                    <w:jc w:val="center"/>
                    <w:textAlignment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铝合金制造</w:t>
                  </w:r>
                </w:p>
              </w:tc>
            </w:tr>
            <w:tr w14:paraId="4411A1C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49" w:type="pct"/>
                  <w:tcBorders>
                    <w:tl2br w:val="nil"/>
                    <w:tr2bl w:val="nil"/>
                  </w:tcBorders>
                  <w:shd w:val="clear" w:color="auto" w:fill="auto"/>
                  <w:vAlign w:val="center"/>
                </w:tcPr>
                <w:p w14:paraId="5E775F42">
                  <w:pPr>
                    <w:snapToGrid w:val="0"/>
                    <w:spacing w:line="340" w:lineRule="exact"/>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2</w:t>
                  </w:r>
                </w:p>
              </w:tc>
              <w:tc>
                <w:tcPr>
                  <w:tcW w:w="863" w:type="pct"/>
                  <w:tcBorders>
                    <w:tl2br w:val="nil"/>
                    <w:tr2bl w:val="nil"/>
                  </w:tcBorders>
                  <w:vAlign w:val="center"/>
                </w:tcPr>
                <w:p w14:paraId="5ABA6183">
                  <w:pPr>
                    <w:snapToGrid w:val="0"/>
                    <w:spacing w:line="340" w:lineRule="exact"/>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铜板</w:t>
                  </w:r>
                </w:p>
              </w:tc>
              <w:tc>
                <w:tcPr>
                  <w:tcW w:w="521" w:type="pct"/>
                  <w:tcBorders>
                    <w:tl2br w:val="nil"/>
                    <w:tr2bl w:val="nil"/>
                  </w:tcBorders>
                  <w:vAlign w:val="center"/>
                </w:tcPr>
                <w:p w14:paraId="71F07CEF">
                  <w:pPr>
                    <w:snapToGrid w:val="0"/>
                    <w:spacing w:line="340" w:lineRule="exact"/>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t/a</w:t>
                  </w:r>
                </w:p>
              </w:tc>
              <w:tc>
                <w:tcPr>
                  <w:tcW w:w="673" w:type="pct"/>
                  <w:tcBorders>
                    <w:tl2br w:val="nil"/>
                    <w:tr2bl w:val="nil"/>
                  </w:tcBorders>
                  <w:vAlign w:val="center"/>
                </w:tcPr>
                <w:p w14:paraId="1068F749">
                  <w:pPr>
                    <w:widowControl/>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615</w:t>
                  </w:r>
                </w:p>
              </w:tc>
              <w:tc>
                <w:tcPr>
                  <w:tcW w:w="807" w:type="pct"/>
                  <w:tcBorders>
                    <w:tl2br w:val="nil"/>
                    <w:tr2bl w:val="nil"/>
                  </w:tcBorders>
                  <w:vAlign w:val="center"/>
                </w:tcPr>
                <w:p w14:paraId="78DBF831">
                  <w:pPr>
                    <w:widowControl/>
                    <w:jc w:val="center"/>
                    <w:textAlignment w:val="center"/>
                    <w:rPr>
                      <w:rFonts w:hint="default" w:ascii="Times New Roman" w:hAnsi="Times New Roman" w:eastAsia="宋体" w:cs="Times New Roman"/>
                      <w:color w:val="auto"/>
                      <w:sz w:val="21"/>
                      <w:szCs w:val="21"/>
                      <w:u w:val="none" w:color="auto"/>
                    </w:rPr>
                  </w:pPr>
                  <w:r>
                    <w:rPr>
                      <w:rStyle w:val="48"/>
                      <w:rFonts w:hint="default" w:ascii="Times New Roman" w:hAnsi="Times New Roman" w:eastAsia="宋体" w:cs="Times New Roman"/>
                      <w:b w:val="0"/>
                      <w:bCs w:val="0"/>
                      <w:color w:val="auto"/>
                      <w:sz w:val="21"/>
                      <w:szCs w:val="21"/>
                      <w:u w:val="none" w:color="auto"/>
                      <w:lang w:bidi="ar"/>
                    </w:rPr>
                    <w:t>110</w:t>
                  </w:r>
                </w:p>
              </w:tc>
              <w:tc>
                <w:tcPr>
                  <w:tcW w:w="857" w:type="pct"/>
                  <w:tcBorders>
                    <w:tl2br w:val="nil"/>
                    <w:tr2bl w:val="nil"/>
                  </w:tcBorders>
                  <w:vAlign w:val="center"/>
                </w:tcPr>
                <w:p w14:paraId="3AFF1A70">
                  <w:pPr>
                    <w:widowControl/>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kern w:val="0"/>
                      <w:sz w:val="21"/>
                      <w:szCs w:val="21"/>
                      <w:u w:val="none" w:color="auto"/>
                      <w:lang w:bidi="ar"/>
                    </w:rPr>
                    <w:t>T2（≥99.9% Cu）</w:t>
                  </w:r>
                </w:p>
              </w:tc>
              <w:tc>
                <w:tcPr>
                  <w:tcW w:w="827" w:type="pct"/>
                  <w:vMerge w:val="continue"/>
                  <w:tcBorders>
                    <w:tl2br w:val="nil"/>
                    <w:tr2bl w:val="nil"/>
                  </w:tcBorders>
                  <w:vAlign w:val="center"/>
                </w:tcPr>
                <w:p w14:paraId="22C26D7D">
                  <w:pPr>
                    <w:widowControl/>
                    <w:jc w:val="center"/>
                    <w:textAlignment w:val="center"/>
                    <w:rPr>
                      <w:rFonts w:hint="default" w:ascii="Times New Roman" w:hAnsi="Times New Roman" w:eastAsia="宋体" w:cs="Times New Roman"/>
                      <w:color w:val="auto"/>
                      <w:sz w:val="21"/>
                      <w:szCs w:val="21"/>
                      <w:u w:val="none" w:color="auto"/>
                    </w:rPr>
                  </w:pPr>
                </w:p>
              </w:tc>
            </w:tr>
            <w:tr w14:paraId="13DC85E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9" w:type="pct"/>
                  <w:tcBorders>
                    <w:tl2br w:val="nil"/>
                    <w:tr2bl w:val="nil"/>
                  </w:tcBorders>
                  <w:shd w:val="clear" w:color="auto" w:fill="auto"/>
                  <w:vAlign w:val="center"/>
                </w:tcPr>
                <w:p w14:paraId="19BABF5A">
                  <w:pPr>
                    <w:snapToGrid w:val="0"/>
                    <w:spacing w:line="340" w:lineRule="exact"/>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3</w:t>
                  </w:r>
                </w:p>
              </w:tc>
              <w:tc>
                <w:tcPr>
                  <w:tcW w:w="863" w:type="pct"/>
                  <w:tcBorders>
                    <w:tl2br w:val="nil"/>
                    <w:tr2bl w:val="nil"/>
                  </w:tcBorders>
                  <w:vAlign w:val="center"/>
                </w:tcPr>
                <w:p w14:paraId="3CEBBA70">
                  <w:pPr>
                    <w:snapToGrid w:val="0"/>
                    <w:spacing w:line="340" w:lineRule="exact"/>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硅锭</w:t>
                  </w:r>
                </w:p>
              </w:tc>
              <w:tc>
                <w:tcPr>
                  <w:tcW w:w="521" w:type="pct"/>
                  <w:tcBorders>
                    <w:tl2br w:val="nil"/>
                    <w:tr2bl w:val="nil"/>
                  </w:tcBorders>
                  <w:vAlign w:val="center"/>
                </w:tcPr>
                <w:p w14:paraId="341F85CF">
                  <w:pPr>
                    <w:snapToGrid w:val="0"/>
                    <w:spacing w:line="340" w:lineRule="exact"/>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t/a</w:t>
                  </w:r>
                </w:p>
              </w:tc>
              <w:tc>
                <w:tcPr>
                  <w:tcW w:w="673" w:type="pct"/>
                  <w:tcBorders>
                    <w:tl2br w:val="nil"/>
                    <w:tr2bl w:val="nil"/>
                  </w:tcBorders>
                  <w:vAlign w:val="center"/>
                </w:tcPr>
                <w:p w14:paraId="12A8E006">
                  <w:pPr>
                    <w:widowControl/>
                    <w:jc w:val="center"/>
                    <w:textAlignment w:val="center"/>
                    <w:rPr>
                      <w:rFonts w:hint="default" w:ascii="Times New Roman" w:hAnsi="Times New Roman" w:eastAsia="宋体" w:cs="Times New Roman"/>
                      <w:b/>
                      <w:bCs/>
                      <w:color w:val="auto"/>
                      <w:sz w:val="21"/>
                      <w:szCs w:val="21"/>
                      <w:u w:val="none" w:color="auto"/>
                    </w:rPr>
                  </w:pPr>
                  <w:r>
                    <w:rPr>
                      <w:rStyle w:val="48"/>
                      <w:rFonts w:hint="default" w:ascii="Times New Roman" w:hAnsi="Times New Roman" w:eastAsia="宋体" w:cs="Times New Roman"/>
                      <w:b w:val="0"/>
                      <w:bCs w:val="0"/>
                      <w:color w:val="auto"/>
                      <w:sz w:val="21"/>
                      <w:szCs w:val="21"/>
                      <w:u w:val="none" w:color="auto"/>
                      <w:lang w:bidi="ar"/>
                    </w:rPr>
                    <w:t>3900</w:t>
                  </w:r>
                </w:p>
              </w:tc>
              <w:tc>
                <w:tcPr>
                  <w:tcW w:w="807" w:type="pct"/>
                  <w:tcBorders>
                    <w:tl2br w:val="nil"/>
                    <w:tr2bl w:val="nil"/>
                  </w:tcBorders>
                  <w:vAlign w:val="center"/>
                </w:tcPr>
                <w:p w14:paraId="47AF2E41">
                  <w:pPr>
                    <w:widowControl/>
                    <w:jc w:val="center"/>
                    <w:textAlignment w:val="center"/>
                    <w:rPr>
                      <w:rFonts w:hint="default" w:ascii="Times New Roman" w:hAnsi="Times New Roman" w:eastAsia="宋体" w:cs="Times New Roman"/>
                      <w:color w:val="auto"/>
                      <w:sz w:val="21"/>
                      <w:szCs w:val="21"/>
                      <w:u w:val="none" w:color="auto"/>
                    </w:rPr>
                  </w:pPr>
                  <w:r>
                    <w:rPr>
                      <w:rStyle w:val="48"/>
                      <w:rFonts w:hint="default" w:ascii="Times New Roman" w:hAnsi="Times New Roman" w:eastAsia="宋体" w:cs="Times New Roman"/>
                      <w:b w:val="0"/>
                      <w:bCs w:val="0"/>
                      <w:color w:val="auto"/>
                      <w:sz w:val="21"/>
                      <w:szCs w:val="21"/>
                      <w:u w:val="none" w:color="auto"/>
                      <w:lang w:bidi="ar"/>
                    </w:rPr>
                    <w:t>800</w:t>
                  </w:r>
                </w:p>
              </w:tc>
              <w:tc>
                <w:tcPr>
                  <w:tcW w:w="857" w:type="pct"/>
                  <w:tcBorders>
                    <w:tl2br w:val="nil"/>
                    <w:tr2bl w:val="nil"/>
                  </w:tcBorders>
                  <w:vAlign w:val="center"/>
                </w:tcPr>
                <w:p w14:paraId="205C0B57">
                  <w:pPr>
                    <w:widowControl/>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kern w:val="0"/>
                      <w:sz w:val="21"/>
                      <w:szCs w:val="21"/>
                      <w:u w:val="none" w:color="auto"/>
                      <w:lang w:bidi="ar"/>
                    </w:rPr>
                    <w:t>冶金级（≥98.5% Si）</w:t>
                  </w:r>
                </w:p>
              </w:tc>
              <w:tc>
                <w:tcPr>
                  <w:tcW w:w="827" w:type="pct"/>
                  <w:vMerge w:val="continue"/>
                  <w:tcBorders>
                    <w:tl2br w:val="nil"/>
                    <w:tr2bl w:val="nil"/>
                  </w:tcBorders>
                  <w:vAlign w:val="center"/>
                </w:tcPr>
                <w:p w14:paraId="36E29276">
                  <w:pPr>
                    <w:widowControl/>
                    <w:jc w:val="center"/>
                    <w:textAlignment w:val="center"/>
                    <w:rPr>
                      <w:rFonts w:hint="default" w:ascii="Times New Roman" w:hAnsi="Times New Roman" w:eastAsia="宋体" w:cs="Times New Roman"/>
                      <w:color w:val="auto"/>
                      <w:sz w:val="21"/>
                      <w:szCs w:val="21"/>
                      <w:u w:val="none" w:color="auto"/>
                    </w:rPr>
                  </w:pPr>
                </w:p>
              </w:tc>
            </w:tr>
            <w:tr w14:paraId="14EDF72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9" w:type="pct"/>
                  <w:tcBorders>
                    <w:tl2br w:val="nil"/>
                    <w:tr2bl w:val="nil"/>
                  </w:tcBorders>
                  <w:shd w:val="clear" w:color="auto" w:fill="auto"/>
                  <w:vAlign w:val="center"/>
                </w:tcPr>
                <w:p w14:paraId="0FC8461C">
                  <w:pPr>
                    <w:snapToGrid w:val="0"/>
                    <w:spacing w:line="340" w:lineRule="exact"/>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4</w:t>
                  </w:r>
                </w:p>
              </w:tc>
              <w:tc>
                <w:tcPr>
                  <w:tcW w:w="863" w:type="pct"/>
                  <w:tcBorders>
                    <w:tl2br w:val="nil"/>
                    <w:tr2bl w:val="nil"/>
                  </w:tcBorders>
                  <w:shd w:val="clear" w:color="auto" w:fill="auto"/>
                  <w:vAlign w:val="center"/>
                </w:tcPr>
                <w:p w14:paraId="7B072B90">
                  <w:pPr>
                    <w:snapToGrid w:val="0"/>
                    <w:spacing w:line="340" w:lineRule="exact"/>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天然气</w:t>
                  </w:r>
                </w:p>
              </w:tc>
              <w:tc>
                <w:tcPr>
                  <w:tcW w:w="521" w:type="pct"/>
                  <w:tcBorders>
                    <w:tl2br w:val="nil"/>
                    <w:tr2bl w:val="nil"/>
                  </w:tcBorders>
                  <w:shd w:val="clear" w:color="auto" w:fill="auto"/>
                  <w:vAlign w:val="center"/>
                </w:tcPr>
                <w:p w14:paraId="21069166">
                  <w:pPr>
                    <w:snapToGrid w:val="0"/>
                    <w:spacing w:line="340" w:lineRule="exact"/>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万m</w:t>
                  </w:r>
                  <w:r>
                    <w:rPr>
                      <w:rFonts w:hint="default" w:ascii="Times New Roman" w:hAnsi="Times New Roman" w:eastAsia="宋体" w:cs="Times New Roman"/>
                      <w:color w:val="auto"/>
                      <w:sz w:val="21"/>
                      <w:szCs w:val="21"/>
                      <w:u w:val="none" w:color="auto"/>
                      <w:vertAlign w:val="superscript"/>
                    </w:rPr>
                    <w:t>3</w:t>
                  </w:r>
                  <w:r>
                    <w:rPr>
                      <w:rFonts w:hint="default" w:ascii="Times New Roman" w:hAnsi="Times New Roman" w:eastAsia="宋体" w:cs="Times New Roman"/>
                      <w:color w:val="auto"/>
                      <w:sz w:val="21"/>
                      <w:szCs w:val="21"/>
                      <w:u w:val="none" w:color="auto"/>
                    </w:rPr>
                    <w:t>/a</w:t>
                  </w:r>
                </w:p>
              </w:tc>
              <w:tc>
                <w:tcPr>
                  <w:tcW w:w="673" w:type="pct"/>
                  <w:tcBorders>
                    <w:tl2br w:val="nil"/>
                    <w:tr2bl w:val="nil"/>
                  </w:tcBorders>
                  <w:shd w:val="clear" w:color="auto" w:fill="auto"/>
                  <w:vAlign w:val="center"/>
                </w:tcPr>
                <w:p w14:paraId="291E4C9B">
                  <w:pPr>
                    <w:widowControl/>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30</w:t>
                  </w:r>
                </w:p>
              </w:tc>
              <w:tc>
                <w:tcPr>
                  <w:tcW w:w="807" w:type="pct"/>
                  <w:tcBorders>
                    <w:tl2br w:val="nil"/>
                    <w:tr2bl w:val="nil"/>
                  </w:tcBorders>
                  <w:vAlign w:val="center"/>
                </w:tcPr>
                <w:p w14:paraId="2D674E45">
                  <w:pPr>
                    <w:widowControl/>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w:t>
                  </w:r>
                </w:p>
              </w:tc>
              <w:tc>
                <w:tcPr>
                  <w:tcW w:w="857" w:type="pct"/>
                  <w:tcBorders>
                    <w:tl2br w:val="nil"/>
                    <w:tr2bl w:val="nil"/>
                  </w:tcBorders>
                  <w:vAlign w:val="center"/>
                </w:tcPr>
                <w:p w14:paraId="3499C9C8">
                  <w:pPr>
                    <w:widowControl/>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kern w:val="0"/>
                      <w:sz w:val="21"/>
                      <w:szCs w:val="21"/>
                      <w:u w:val="none" w:color="auto"/>
                      <w:lang w:bidi="ar"/>
                    </w:rPr>
                    <w:t>工业用（≥35MJ/m³）</w:t>
                  </w:r>
                </w:p>
              </w:tc>
              <w:tc>
                <w:tcPr>
                  <w:tcW w:w="827" w:type="pct"/>
                  <w:vMerge w:val="continue"/>
                  <w:tcBorders>
                    <w:tl2br w:val="nil"/>
                    <w:tr2bl w:val="nil"/>
                  </w:tcBorders>
                  <w:vAlign w:val="center"/>
                </w:tcPr>
                <w:p w14:paraId="1D863076">
                  <w:pPr>
                    <w:widowControl/>
                    <w:jc w:val="center"/>
                    <w:textAlignment w:val="center"/>
                    <w:rPr>
                      <w:rFonts w:hint="default" w:ascii="Times New Roman" w:hAnsi="Times New Roman" w:eastAsia="宋体" w:cs="Times New Roman"/>
                      <w:color w:val="auto"/>
                      <w:sz w:val="21"/>
                      <w:szCs w:val="21"/>
                      <w:u w:val="none" w:color="auto"/>
                    </w:rPr>
                  </w:pPr>
                </w:p>
              </w:tc>
            </w:tr>
            <w:tr w14:paraId="503E78F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9" w:type="pct"/>
                  <w:tcBorders>
                    <w:tl2br w:val="nil"/>
                    <w:tr2bl w:val="nil"/>
                  </w:tcBorders>
                  <w:shd w:val="clear" w:color="auto" w:fill="auto"/>
                  <w:vAlign w:val="center"/>
                </w:tcPr>
                <w:p w14:paraId="58EB7DA7">
                  <w:pPr>
                    <w:snapToGrid w:val="0"/>
                    <w:spacing w:line="340" w:lineRule="exact"/>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5</w:t>
                  </w:r>
                </w:p>
              </w:tc>
              <w:tc>
                <w:tcPr>
                  <w:tcW w:w="863" w:type="pct"/>
                  <w:tcBorders>
                    <w:tl2br w:val="nil"/>
                    <w:tr2bl w:val="nil"/>
                  </w:tcBorders>
                  <w:shd w:val="clear" w:color="auto" w:fill="auto"/>
                  <w:vAlign w:val="center"/>
                </w:tcPr>
                <w:p w14:paraId="58DEA019">
                  <w:pPr>
                    <w:snapToGrid w:val="0"/>
                    <w:spacing w:line="340" w:lineRule="exact"/>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氩气</w:t>
                  </w:r>
                </w:p>
              </w:tc>
              <w:tc>
                <w:tcPr>
                  <w:tcW w:w="521" w:type="pct"/>
                  <w:tcBorders>
                    <w:tl2br w:val="nil"/>
                    <w:tr2bl w:val="nil"/>
                  </w:tcBorders>
                  <w:shd w:val="clear" w:color="auto" w:fill="auto"/>
                  <w:vAlign w:val="center"/>
                </w:tcPr>
                <w:p w14:paraId="42524752">
                  <w:pPr>
                    <w:snapToGrid w:val="0"/>
                    <w:spacing w:line="340" w:lineRule="exact"/>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m</w:t>
                  </w:r>
                  <w:r>
                    <w:rPr>
                      <w:rFonts w:hint="default" w:ascii="Times New Roman" w:hAnsi="Times New Roman" w:eastAsia="宋体" w:cs="Times New Roman"/>
                      <w:color w:val="auto"/>
                      <w:sz w:val="21"/>
                      <w:szCs w:val="21"/>
                      <w:u w:val="none" w:color="auto"/>
                      <w:vertAlign w:val="superscript"/>
                    </w:rPr>
                    <w:t>3</w:t>
                  </w:r>
                  <w:r>
                    <w:rPr>
                      <w:rFonts w:hint="default" w:ascii="Times New Roman" w:hAnsi="Times New Roman" w:eastAsia="宋体" w:cs="Times New Roman"/>
                      <w:color w:val="auto"/>
                      <w:sz w:val="21"/>
                      <w:szCs w:val="21"/>
                      <w:u w:val="none" w:color="auto"/>
                    </w:rPr>
                    <w:t>/a</w:t>
                  </w:r>
                </w:p>
              </w:tc>
              <w:tc>
                <w:tcPr>
                  <w:tcW w:w="673" w:type="pct"/>
                  <w:tcBorders>
                    <w:tl2br w:val="nil"/>
                    <w:tr2bl w:val="nil"/>
                  </w:tcBorders>
                  <w:shd w:val="clear" w:color="auto" w:fill="auto"/>
                  <w:vAlign w:val="center"/>
                </w:tcPr>
                <w:p w14:paraId="68EF511D">
                  <w:pPr>
                    <w:widowControl/>
                    <w:jc w:val="center"/>
                    <w:textAlignment w:val="center"/>
                    <w:rPr>
                      <w:rFonts w:hint="default" w:ascii="Times New Roman" w:hAnsi="Times New Roman" w:eastAsia="宋体" w:cs="Times New Roman"/>
                      <w:color w:val="auto"/>
                      <w:sz w:val="21"/>
                      <w:szCs w:val="21"/>
                      <w:u w:val="none" w:color="auto"/>
                    </w:rPr>
                  </w:pPr>
                  <w:r>
                    <w:rPr>
                      <w:rStyle w:val="48"/>
                      <w:rFonts w:hint="default" w:ascii="Times New Roman" w:hAnsi="Times New Roman" w:eastAsia="宋体" w:cs="Times New Roman"/>
                      <w:b w:val="0"/>
                      <w:bCs w:val="0"/>
                      <w:color w:val="auto"/>
                      <w:sz w:val="21"/>
                      <w:szCs w:val="21"/>
                      <w:u w:val="none" w:color="auto"/>
                      <w:lang w:bidi="ar"/>
                    </w:rPr>
                    <w:t>4000</w:t>
                  </w:r>
                </w:p>
              </w:tc>
              <w:tc>
                <w:tcPr>
                  <w:tcW w:w="807" w:type="pct"/>
                  <w:tcBorders>
                    <w:tl2br w:val="nil"/>
                    <w:tr2bl w:val="nil"/>
                  </w:tcBorders>
                  <w:vAlign w:val="center"/>
                </w:tcPr>
                <w:p w14:paraId="2DD63E39">
                  <w:pPr>
                    <w:widowControl/>
                    <w:jc w:val="center"/>
                    <w:textAlignment w:val="center"/>
                    <w:rPr>
                      <w:rFonts w:hint="default" w:ascii="Times New Roman" w:hAnsi="Times New Roman" w:eastAsia="宋体" w:cs="Times New Roman"/>
                      <w:color w:val="auto"/>
                      <w:sz w:val="21"/>
                      <w:szCs w:val="21"/>
                      <w:u w:val="none" w:color="auto"/>
                    </w:rPr>
                  </w:pPr>
                  <w:r>
                    <w:rPr>
                      <w:rStyle w:val="48"/>
                      <w:rFonts w:hint="default" w:ascii="Times New Roman" w:hAnsi="Times New Roman" w:eastAsia="宋体" w:cs="Times New Roman"/>
                      <w:b w:val="0"/>
                      <w:bCs w:val="0"/>
                      <w:color w:val="auto"/>
                      <w:sz w:val="21"/>
                      <w:szCs w:val="21"/>
                      <w:u w:val="none" w:color="auto"/>
                      <w:lang w:bidi="ar"/>
                    </w:rPr>
                    <w:t>200</w:t>
                  </w:r>
                </w:p>
              </w:tc>
              <w:tc>
                <w:tcPr>
                  <w:tcW w:w="857" w:type="pct"/>
                  <w:tcBorders>
                    <w:tl2br w:val="nil"/>
                    <w:tr2bl w:val="nil"/>
                  </w:tcBorders>
                  <w:vAlign w:val="center"/>
                </w:tcPr>
                <w:p w14:paraId="193795BD">
                  <w:pPr>
                    <w:widowControl/>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kern w:val="0"/>
                      <w:sz w:val="21"/>
                      <w:szCs w:val="21"/>
                      <w:u w:val="none" w:color="auto"/>
                      <w:lang w:bidi="ar"/>
                    </w:rPr>
                    <w:t>高纯（≥99.999%）</w:t>
                  </w:r>
                </w:p>
              </w:tc>
              <w:tc>
                <w:tcPr>
                  <w:tcW w:w="827" w:type="pct"/>
                  <w:vMerge w:val="continue"/>
                  <w:tcBorders>
                    <w:tl2br w:val="nil"/>
                    <w:tr2bl w:val="nil"/>
                  </w:tcBorders>
                  <w:vAlign w:val="center"/>
                </w:tcPr>
                <w:p w14:paraId="349C275B">
                  <w:pPr>
                    <w:widowControl/>
                    <w:jc w:val="center"/>
                    <w:textAlignment w:val="center"/>
                    <w:rPr>
                      <w:rFonts w:hint="default" w:ascii="Times New Roman" w:hAnsi="Times New Roman" w:eastAsia="宋体" w:cs="Times New Roman"/>
                      <w:color w:val="auto"/>
                      <w:sz w:val="21"/>
                      <w:szCs w:val="21"/>
                      <w:u w:val="none" w:color="auto"/>
                    </w:rPr>
                  </w:pPr>
                </w:p>
              </w:tc>
            </w:tr>
            <w:tr w14:paraId="25D3069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9" w:type="pct"/>
                  <w:tcBorders>
                    <w:tl2br w:val="nil"/>
                    <w:tr2bl w:val="nil"/>
                  </w:tcBorders>
                  <w:shd w:val="clear" w:color="auto" w:fill="auto"/>
                  <w:vAlign w:val="center"/>
                </w:tcPr>
                <w:p w14:paraId="52F18B84">
                  <w:pPr>
                    <w:snapToGrid w:val="0"/>
                    <w:spacing w:line="340" w:lineRule="exact"/>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6</w:t>
                  </w:r>
                </w:p>
              </w:tc>
              <w:tc>
                <w:tcPr>
                  <w:tcW w:w="863" w:type="pct"/>
                  <w:tcBorders>
                    <w:tl2br w:val="nil"/>
                    <w:tr2bl w:val="nil"/>
                  </w:tcBorders>
                  <w:shd w:val="clear" w:color="auto" w:fill="auto"/>
                  <w:vAlign w:val="center"/>
                </w:tcPr>
                <w:p w14:paraId="2F9369BF">
                  <w:pPr>
                    <w:snapToGrid w:val="0"/>
                    <w:spacing w:line="340" w:lineRule="exact"/>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氮气</w:t>
                  </w:r>
                </w:p>
              </w:tc>
              <w:tc>
                <w:tcPr>
                  <w:tcW w:w="521" w:type="pct"/>
                  <w:tcBorders>
                    <w:tl2br w:val="nil"/>
                    <w:tr2bl w:val="nil"/>
                  </w:tcBorders>
                  <w:shd w:val="clear" w:color="auto" w:fill="auto"/>
                  <w:vAlign w:val="center"/>
                </w:tcPr>
                <w:p w14:paraId="4C33ACD8">
                  <w:pPr>
                    <w:snapToGrid w:val="0"/>
                    <w:spacing w:line="340" w:lineRule="exact"/>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m</w:t>
                  </w:r>
                  <w:r>
                    <w:rPr>
                      <w:rFonts w:hint="default" w:ascii="Times New Roman" w:hAnsi="Times New Roman" w:eastAsia="宋体" w:cs="Times New Roman"/>
                      <w:color w:val="auto"/>
                      <w:sz w:val="21"/>
                      <w:szCs w:val="21"/>
                      <w:u w:val="none" w:color="auto"/>
                      <w:vertAlign w:val="superscript"/>
                    </w:rPr>
                    <w:t>3</w:t>
                  </w:r>
                  <w:r>
                    <w:rPr>
                      <w:rFonts w:hint="default" w:ascii="Times New Roman" w:hAnsi="Times New Roman" w:eastAsia="宋体" w:cs="Times New Roman"/>
                      <w:color w:val="auto"/>
                      <w:sz w:val="21"/>
                      <w:szCs w:val="21"/>
                      <w:u w:val="none" w:color="auto"/>
                    </w:rPr>
                    <w:t>/a</w:t>
                  </w:r>
                </w:p>
              </w:tc>
              <w:tc>
                <w:tcPr>
                  <w:tcW w:w="673" w:type="pct"/>
                  <w:tcBorders>
                    <w:tl2br w:val="nil"/>
                    <w:tr2bl w:val="nil"/>
                  </w:tcBorders>
                  <w:shd w:val="clear" w:color="auto" w:fill="auto"/>
                  <w:vAlign w:val="center"/>
                </w:tcPr>
                <w:p w14:paraId="6C8EACF4">
                  <w:pPr>
                    <w:widowControl/>
                    <w:jc w:val="center"/>
                    <w:textAlignment w:val="center"/>
                    <w:rPr>
                      <w:rFonts w:hint="default" w:ascii="Times New Roman" w:hAnsi="Times New Roman" w:eastAsia="宋体" w:cs="Times New Roman"/>
                      <w:color w:val="auto"/>
                      <w:sz w:val="21"/>
                      <w:szCs w:val="21"/>
                      <w:u w:val="none" w:color="auto"/>
                    </w:rPr>
                  </w:pPr>
                  <w:r>
                    <w:rPr>
                      <w:rStyle w:val="48"/>
                      <w:rFonts w:hint="default" w:ascii="Times New Roman" w:hAnsi="Times New Roman" w:eastAsia="宋体" w:cs="Times New Roman"/>
                      <w:b w:val="0"/>
                      <w:bCs w:val="0"/>
                      <w:color w:val="auto"/>
                      <w:sz w:val="21"/>
                      <w:szCs w:val="21"/>
                      <w:highlight w:val="none"/>
                      <w:u w:val="none" w:color="auto"/>
                      <w:lang w:bidi="ar"/>
                    </w:rPr>
                    <w:t>20000</w:t>
                  </w:r>
                </w:p>
              </w:tc>
              <w:tc>
                <w:tcPr>
                  <w:tcW w:w="807" w:type="pct"/>
                  <w:tcBorders>
                    <w:tl2br w:val="nil"/>
                    <w:tr2bl w:val="nil"/>
                  </w:tcBorders>
                  <w:vAlign w:val="center"/>
                </w:tcPr>
                <w:p w14:paraId="583CE456">
                  <w:pPr>
                    <w:widowControl/>
                    <w:jc w:val="center"/>
                    <w:textAlignment w:val="center"/>
                    <w:rPr>
                      <w:rFonts w:hint="default" w:ascii="Times New Roman" w:hAnsi="Times New Roman" w:eastAsia="宋体" w:cs="Times New Roman"/>
                      <w:color w:val="auto"/>
                      <w:sz w:val="21"/>
                      <w:szCs w:val="21"/>
                      <w:u w:val="none" w:color="auto"/>
                    </w:rPr>
                  </w:pPr>
                  <w:r>
                    <w:rPr>
                      <w:rStyle w:val="48"/>
                      <w:rFonts w:hint="default" w:ascii="Times New Roman" w:hAnsi="Times New Roman" w:eastAsia="宋体" w:cs="Times New Roman"/>
                      <w:b w:val="0"/>
                      <w:bCs w:val="0"/>
                      <w:color w:val="auto"/>
                      <w:sz w:val="21"/>
                      <w:szCs w:val="21"/>
                      <w:u w:val="none" w:color="auto"/>
                      <w:lang w:bidi="ar"/>
                    </w:rPr>
                    <w:t>100</w:t>
                  </w:r>
                </w:p>
              </w:tc>
              <w:tc>
                <w:tcPr>
                  <w:tcW w:w="857" w:type="pct"/>
                  <w:tcBorders>
                    <w:tl2br w:val="nil"/>
                    <w:tr2bl w:val="nil"/>
                  </w:tcBorders>
                  <w:vAlign w:val="center"/>
                </w:tcPr>
                <w:p w14:paraId="60EB0EEB">
                  <w:pPr>
                    <w:widowControl/>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kern w:val="0"/>
                      <w:sz w:val="21"/>
                      <w:szCs w:val="21"/>
                      <w:u w:val="none" w:color="auto"/>
                      <w:lang w:bidi="ar"/>
                    </w:rPr>
                    <w:t>工业级（≥99.5%）</w:t>
                  </w:r>
                </w:p>
              </w:tc>
              <w:tc>
                <w:tcPr>
                  <w:tcW w:w="827" w:type="pct"/>
                  <w:vMerge w:val="continue"/>
                  <w:tcBorders>
                    <w:tl2br w:val="nil"/>
                    <w:tr2bl w:val="nil"/>
                  </w:tcBorders>
                  <w:vAlign w:val="center"/>
                </w:tcPr>
                <w:p w14:paraId="11F83191">
                  <w:pPr>
                    <w:widowControl/>
                    <w:jc w:val="center"/>
                    <w:textAlignment w:val="center"/>
                    <w:rPr>
                      <w:rFonts w:hint="default" w:ascii="Times New Roman" w:hAnsi="Times New Roman" w:eastAsia="宋体" w:cs="Times New Roman"/>
                      <w:color w:val="auto"/>
                      <w:sz w:val="21"/>
                      <w:szCs w:val="21"/>
                      <w:u w:val="none" w:color="auto"/>
                    </w:rPr>
                  </w:pPr>
                </w:p>
              </w:tc>
            </w:tr>
            <w:tr w14:paraId="3B2FEAB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9" w:type="pct"/>
                  <w:tcBorders>
                    <w:tl2br w:val="nil"/>
                    <w:tr2bl w:val="nil"/>
                  </w:tcBorders>
                  <w:shd w:val="clear" w:color="auto" w:fill="auto"/>
                  <w:vAlign w:val="center"/>
                </w:tcPr>
                <w:p w14:paraId="6D094EC0">
                  <w:pPr>
                    <w:snapToGrid w:val="0"/>
                    <w:spacing w:line="340" w:lineRule="exact"/>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7</w:t>
                  </w:r>
                </w:p>
              </w:tc>
              <w:tc>
                <w:tcPr>
                  <w:tcW w:w="863" w:type="pct"/>
                  <w:tcBorders>
                    <w:tl2br w:val="nil"/>
                    <w:tr2bl w:val="nil"/>
                  </w:tcBorders>
                  <w:shd w:val="clear" w:color="auto" w:fill="auto"/>
                  <w:vAlign w:val="center"/>
                </w:tcPr>
                <w:p w14:paraId="59CC1C85">
                  <w:pPr>
                    <w:snapToGrid w:val="0"/>
                    <w:spacing w:line="340" w:lineRule="exact"/>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生物质颗粒</w:t>
                  </w:r>
                </w:p>
              </w:tc>
              <w:tc>
                <w:tcPr>
                  <w:tcW w:w="521" w:type="pct"/>
                  <w:tcBorders>
                    <w:tl2br w:val="nil"/>
                    <w:tr2bl w:val="nil"/>
                  </w:tcBorders>
                  <w:shd w:val="clear" w:color="auto" w:fill="auto"/>
                  <w:vAlign w:val="center"/>
                </w:tcPr>
                <w:p w14:paraId="07B92DF5">
                  <w:pPr>
                    <w:snapToGrid w:val="0"/>
                    <w:spacing w:line="340" w:lineRule="exact"/>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t/a</w:t>
                  </w:r>
                </w:p>
              </w:tc>
              <w:tc>
                <w:tcPr>
                  <w:tcW w:w="673" w:type="pct"/>
                  <w:tcBorders>
                    <w:tl2br w:val="nil"/>
                    <w:tr2bl w:val="nil"/>
                  </w:tcBorders>
                  <w:shd w:val="clear" w:color="auto" w:fill="auto"/>
                  <w:vAlign w:val="center"/>
                </w:tcPr>
                <w:p w14:paraId="5E2B479E">
                  <w:pPr>
                    <w:widowControl/>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16000</w:t>
                  </w:r>
                </w:p>
              </w:tc>
              <w:tc>
                <w:tcPr>
                  <w:tcW w:w="807" w:type="pct"/>
                  <w:tcBorders>
                    <w:tl2br w:val="nil"/>
                    <w:tr2bl w:val="nil"/>
                  </w:tcBorders>
                  <w:vAlign w:val="center"/>
                </w:tcPr>
                <w:p w14:paraId="3F016868">
                  <w:pPr>
                    <w:widowControl/>
                    <w:jc w:val="center"/>
                    <w:textAlignment w:val="center"/>
                    <w:rPr>
                      <w:rFonts w:hint="default" w:ascii="Times New Roman" w:hAnsi="Times New Roman" w:eastAsia="宋体" w:cs="Times New Roman"/>
                      <w:color w:val="auto"/>
                      <w:sz w:val="21"/>
                      <w:szCs w:val="21"/>
                      <w:u w:val="none" w:color="auto"/>
                    </w:rPr>
                  </w:pPr>
                  <w:r>
                    <w:rPr>
                      <w:rStyle w:val="48"/>
                      <w:rFonts w:hint="default" w:ascii="Times New Roman" w:hAnsi="Times New Roman" w:eastAsia="宋体" w:cs="Times New Roman"/>
                      <w:b w:val="0"/>
                      <w:bCs w:val="0"/>
                      <w:color w:val="auto"/>
                      <w:sz w:val="21"/>
                      <w:szCs w:val="21"/>
                      <w:u w:val="none" w:color="auto"/>
                      <w:lang w:bidi="ar"/>
                    </w:rPr>
                    <w:t>2500</w:t>
                  </w:r>
                </w:p>
              </w:tc>
              <w:tc>
                <w:tcPr>
                  <w:tcW w:w="857" w:type="pct"/>
                  <w:tcBorders>
                    <w:tl2br w:val="nil"/>
                    <w:tr2bl w:val="nil"/>
                  </w:tcBorders>
                  <w:vAlign w:val="center"/>
                </w:tcPr>
                <w:p w14:paraId="2543C2A3">
                  <w:pPr>
                    <w:widowControl/>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kern w:val="0"/>
                      <w:sz w:val="21"/>
                      <w:szCs w:val="21"/>
                      <w:u w:val="none" w:color="auto"/>
                      <w:lang w:bidi="ar"/>
                    </w:rPr>
                    <w:t>热值≥4000kcal/kg</w:t>
                  </w:r>
                </w:p>
              </w:tc>
              <w:tc>
                <w:tcPr>
                  <w:tcW w:w="827" w:type="pct"/>
                  <w:vMerge w:val="continue"/>
                  <w:tcBorders>
                    <w:tl2br w:val="nil"/>
                    <w:tr2bl w:val="nil"/>
                  </w:tcBorders>
                  <w:vAlign w:val="center"/>
                </w:tcPr>
                <w:p w14:paraId="6E455E9A">
                  <w:pPr>
                    <w:widowControl/>
                    <w:jc w:val="center"/>
                    <w:textAlignment w:val="center"/>
                    <w:rPr>
                      <w:rFonts w:hint="default" w:ascii="Times New Roman" w:hAnsi="Times New Roman" w:eastAsia="宋体" w:cs="Times New Roman"/>
                      <w:color w:val="auto"/>
                      <w:sz w:val="21"/>
                      <w:szCs w:val="21"/>
                      <w:u w:val="none" w:color="auto"/>
                    </w:rPr>
                  </w:pPr>
                </w:p>
              </w:tc>
            </w:tr>
            <w:tr w14:paraId="5D8BB68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9" w:type="pct"/>
                  <w:tcBorders>
                    <w:tl2br w:val="nil"/>
                    <w:tr2bl w:val="nil"/>
                  </w:tcBorders>
                  <w:shd w:val="clear" w:color="auto" w:fill="auto"/>
                  <w:vAlign w:val="center"/>
                </w:tcPr>
                <w:p w14:paraId="1AABDD97">
                  <w:pPr>
                    <w:snapToGrid w:val="0"/>
                    <w:spacing w:line="340" w:lineRule="exact"/>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8</w:t>
                  </w:r>
                </w:p>
              </w:tc>
              <w:tc>
                <w:tcPr>
                  <w:tcW w:w="863" w:type="pct"/>
                  <w:tcBorders>
                    <w:tl2br w:val="nil"/>
                    <w:tr2bl w:val="nil"/>
                  </w:tcBorders>
                  <w:shd w:val="clear" w:color="auto" w:fill="auto"/>
                  <w:vAlign w:val="center"/>
                </w:tcPr>
                <w:p w14:paraId="7FA7B889">
                  <w:pPr>
                    <w:snapToGrid w:val="0"/>
                    <w:spacing w:line="340" w:lineRule="exact"/>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脱模剂</w:t>
                  </w:r>
                </w:p>
              </w:tc>
              <w:tc>
                <w:tcPr>
                  <w:tcW w:w="521" w:type="pct"/>
                  <w:tcBorders>
                    <w:tl2br w:val="nil"/>
                    <w:tr2bl w:val="nil"/>
                  </w:tcBorders>
                  <w:vAlign w:val="center"/>
                </w:tcPr>
                <w:p w14:paraId="781FA569">
                  <w:pPr>
                    <w:snapToGrid w:val="0"/>
                    <w:spacing w:line="340" w:lineRule="exact"/>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t/a</w:t>
                  </w:r>
                </w:p>
              </w:tc>
              <w:tc>
                <w:tcPr>
                  <w:tcW w:w="673" w:type="pct"/>
                  <w:tcBorders>
                    <w:tl2br w:val="nil"/>
                    <w:tr2bl w:val="nil"/>
                  </w:tcBorders>
                  <w:vAlign w:val="center"/>
                </w:tcPr>
                <w:p w14:paraId="38129DC4">
                  <w:pPr>
                    <w:widowControl/>
                    <w:jc w:val="center"/>
                    <w:textAlignment w:val="center"/>
                    <w:rPr>
                      <w:rFonts w:hint="default" w:ascii="Times New Roman" w:hAnsi="Times New Roman" w:eastAsia="宋体" w:cs="Times New Roman"/>
                      <w:color w:val="auto"/>
                      <w:sz w:val="21"/>
                      <w:szCs w:val="21"/>
                      <w:u w:val="none" w:color="auto"/>
                    </w:rPr>
                  </w:pPr>
                  <w:r>
                    <w:rPr>
                      <w:rStyle w:val="48"/>
                      <w:rFonts w:hint="default" w:ascii="Times New Roman" w:hAnsi="Times New Roman" w:eastAsia="宋体" w:cs="Times New Roman"/>
                      <w:b w:val="0"/>
                      <w:bCs w:val="0"/>
                      <w:color w:val="auto"/>
                      <w:sz w:val="21"/>
                      <w:szCs w:val="21"/>
                      <w:u w:val="none" w:color="auto"/>
                      <w:lang w:bidi="ar"/>
                    </w:rPr>
                    <w:t>165</w:t>
                  </w:r>
                </w:p>
              </w:tc>
              <w:tc>
                <w:tcPr>
                  <w:tcW w:w="807" w:type="pct"/>
                  <w:tcBorders>
                    <w:tl2br w:val="nil"/>
                    <w:tr2bl w:val="nil"/>
                  </w:tcBorders>
                  <w:vAlign w:val="center"/>
                </w:tcPr>
                <w:p w14:paraId="62DD7942">
                  <w:pPr>
                    <w:widowControl/>
                    <w:jc w:val="center"/>
                    <w:textAlignment w:val="center"/>
                    <w:rPr>
                      <w:rFonts w:hint="default" w:ascii="Times New Roman" w:hAnsi="Times New Roman" w:eastAsia="宋体" w:cs="Times New Roman"/>
                      <w:color w:val="auto"/>
                      <w:sz w:val="21"/>
                      <w:szCs w:val="21"/>
                      <w:u w:val="none" w:color="auto"/>
                    </w:rPr>
                  </w:pPr>
                  <w:r>
                    <w:rPr>
                      <w:rStyle w:val="48"/>
                      <w:rFonts w:hint="default" w:ascii="Times New Roman" w:hAnsi="Times New Roman" w:eastAsia="宋体" w:cs="Times New Roman"/>
                      <w:b w:val="0"/>
                      <w:bCs w:val="0"/>
                      <w:color w:val="auto"/>
                      <w:sz w:val="21"/>
                      <w:szCs w:val="21"/>
                      <w:u w:val="none" w:color="auto"/>
                      <w:lang w:bidi="ar"/>
                    </w:rPr>
                    <w:t>30</w:t>
                  </w:r>
                </w:p>
              </w:tc>
              <w:tc>
                <w:tcPr>
                  <w:tcW w:w="857" w:type="pct"/>
                  <w:tcBorders>
                    <w:tl2br w:val="nil"/>
                    <w:tr2bl w:val="nil"/>
                  </w:tcBorders>
                  <w:vAlign w:val="center"/>
                </w:tcPr>
                <w:p w14:paraId="33DA94C0">
                  <w:pPr>
                    <w:widowControl/>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kern w:val="0"/>
                      <w:sz w:val="21"/>
                      <w:szCs w:val="21"/>
                      <w:u w:val="none" w:color="auto"/>
                      <w:lang w:bidi="ar"/>
                    </w:rPr>
                    <w:t>水基（耐温≥700℃）</w:t>
                  </w:r>
                </w:p>
              </w:tc>
              <w:tc>
                <w:tcPr>
                  <w:tcW w:w="827" w:type="pct"/>
                  <w:vMerge w:val="restart"/>
                  <w:tcBorders>
                    <w:tl2br w:val="nil"/>
                    <w:tr2bl w:val="nil"/>
                  </w:tcBorders>
                  <w:vAlign w:val="center"/>
                </w:tcPr>
                <w:p w14:paraId="36C85D9A">
                  <w:pPr>
                    <w:widowControl/>
                    <w:jc w:val="center"/>
                    <w:textAlignment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压铸工序</w:t>
                  </w:r>
                </w:p>
              </w:tc>
            </w:tr>
            <w:tr w14:paraId="55369EB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49" w:type="pct"/>
                  <w:tcBorders>
                    <w:tl2br w:val="nil"/>
                    <w:tr2bl w:val="nil"/>
                  </w:tcBorders>
                  <w:shd w:val="clear" w:color="auto" w:fill="auto"/>
                  <w:vAlign w:val="center"/>
                </w:tcPr>
                <w:p w14:paraId="0048115F">
                  <w:pPr>
                    <w:snapToGrid w:val="0"/>
                    <w:spacing w:line="340" w:lineRule="exact"/>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9</w:t>
                  </w:r>
                </w:p>
              </w:tc>
              <w:tc>
                <w:tcPr>
                  <w:tcW w:w="863" w:type="pct"/>
                  <w:tcBorders>
                    <w:tl2br w:val="nil"/>
                    <w:tr2bl w:val="nil"/>
                  </w:tcBorders>
                  <w:vAlign w:val="center"/>
                </w:tcPr>
                <w:p w14:paraId="495045D2">
                  <w:pPr>
                    <w:snapToGrid w:val="0"/>
                    <w:spacing w:line="340" w:lineRule="exact"/>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液压油</w:t>
                  </w:r>
                </w:p>
              </w:tc>
              <w:tc>
                <w:tcPr>
                  <w:tcW w:w="521" w:type="pct"/>
                  <w:tcBorders>
                    <w:tl2br w:val="nil"/>
                    <w:tr2bl w:val="nil"/>
                  </w:tcBorders>
                  <w:vAlign w:val="center"/>
                </w:tcPr>
                <w:p w14:paraId="0DD22B90">
                  <w:pPr>
                    <w:snapToGrid w:val="0"/>
                    <w:spacing w:line="340" w:lineRule="exact"/>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t/a</w:t>
                  </w:r>
                </w:p>
              </w:tc>
              <w:tc>
                <w:tcPr>
                  <w:tcW w:w="673" w:type="pct"/>
                  <w:tcBorders>
                    <w:tl2br w:val="nil"/>
                    <w:tr2bl w:val="nil"/>
                  </w:tcBorders>
                  <w:vAlign w:val="center"/>
                </w:tcPr>
                <w:p w14:paraId="79F9C0B4">
                  <w:pPr>
                    <w:widowControl/>
                    <w:jc w:val="center"/>
                    <w:textAlignment w:val="center"/>
                    <w:rPr>
                      <w:rFonts w:hint="default" w:ascii="Times New Roman" w:hAnsi="Times New Roman" w:eastAsia="宋体" w:cs="Times New Roman"/>
                      <w:color w:val="auto"/>
                      <w:kern w:val="0"/>
                      <w:sz w:val="21"/>
                      <w:szCs w:val="21"/>
                      <w:u w:val="none" w:color="auto"/>
                      <w:lang w:bidi="ar"/>
                    </w:rPr>
                  </w:pPr>
                  <w:r>
                    <w:rPr>
                      <w:rStyle w:val="48"/>
                      <w:rFonts w:hint="default" w:ascii="Times New Roman" w:hAnsi="Times New Roman" w:eastAsia="宋体" w:cs="Times New Roman"/>
                      <w:b w:val="0"/>
                      <w:bCs w:val="0"/>
                      <w:color w:val="auto"/>
                      <w:sz w:val="21"/>
                      <w:szCs w:val="21"/>
                      <w:u w:val="none" w:color="auto"/>
                      <w:lang w:bidi="ar"/>
                    </w:rPr>
                    <w:t>15</w:t>
                  </w:r>
                </w:p>
              </w:tc>
              <w:tc>
                <w:tcPr>
                  <w:tcW w:w="807" w:type="pct"/>
                  <w:tcBorders>
                    <w:tl2br w:val="nil"/>
                    <w:tr2bl w:val="nil"/>
                  </w:tcBorders>
                  <w:vAlign w:val="center"/>
                </w:tcPr>
                <w:p w14:paraId="562FFD5A">
                  <w:pPr>
                    <w:widowControl/>
                    <w:jc w:val="center"/>
                    <w:textAlignment w:val="center"/>
                    <w:rPr>
                      <w:rFonts w:hint="default" w:ascii="Times New Roman" w:hAnsi="Times New Roman" w:eastAsia="宋体" w:cs="Times New Roman"/>
                      <w:color w:val="auto"/>
                      <w:sz w:val="21"/>
                      <w:szCs w:val="21"/>
                      <w:u w:val="none" w:color="auto"/>
                    </w:rPr>
                  </w:pPr>
                  <w:r>
                    <w:rPr>
                      <w:rStyle w:val="48"/>
                      <w:rFonts w:hint="default" w:ascii="Times New Roman" w:hAnsi="Times New Roman" w:eastAsia="宋体" w:cs="Times New Roman"/>
                      <w:b w:val="0"/>
                      <w:bCs w:val="0"/>
                      <w:color w:val="auto"/>
                      <w:sz w:val="21"/>
                      <w:szCs w:val="21"/>
                      <w:u w:val="none" w:color="auto"/>
                      <w:lang w:bidi="ar"/>
                    </w:rPr>
                    <w:t>5</w:t>
                  </w:r>
                </w:p>
              </w:tc>
              <w:tc>
                <w:tcPr>
                  <w:tcW w:w="857" w:type="pct"/>
                  <w:tcBorders>
                    <w:tl2br w:val="nil"/>
                    <w:tr2bl w:val="nil"/>
                  </w:tcBorders>
                  <w:vAlign w:val="center"/>
                </w:tcPr>
                <w:p w14:paraId="5F3C56B1">
                  <w:pPr>
                    <w:widowControl/>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kern w:val="0"/>
                      <w:sz w:val="21"/>
                      <w:szCs w:val="21"/>
                      <w:u w:val="none" w:color="auto"/>
                      <w:lang w:bidi="ar"/>
                    </w:rPr>
                    <w:t>ISO VG46</w:t>
                  </w:r>
                </w:p>
              </w:tc>
              <w:tc>
                <w:tcPr>
                  <w:tcW w:w="827" w:type="pct"/>
                  <w:vMerge w:val="continue"/>
                  <w:tcBorders>
                    <w:tl2br w:val="nil"/>
                    <w:tr2bl w:val="nil"/>
                  </w:tcBorders>
                  <w:vAlign w:val="center"/>
                </w:tcPr>
                <w:p w14:paraId="06B337A1">
                  <w:pPr>
                    <w:widowControl/>
                    <w:jc w:val="center"/>
                    <w:textAlignment w:val="center"/>
                    <w:rPr>
                      <w:rFonts w:hint="default" w:ascii="Times New Roman" w:hAnsi="Times New Roman" w:eastAsia="宋体" w:cs="Times New Roman"/>
                      <w:color w:val="auto"/>
                      <w:sz w:val="21"/>
                      <w:szCs w:val="21"/>
                      <w:u w:val="none" w:color="auto"/>
                    </w:rPr>
                  </w:pPr>
                </w:p>
              </w:tc>
            </w:tr>
            <w:tr w14:paraId="61B0C72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9" w:type="pct"/>
                  <w:tcBorders>
                    <w:tl2br w:val="nil"/>
                    <w:tr2bl w:val="nil"/>
                  </w:tcBorders>
                  <w:shd w:val="clear" w:color="auto" w:fill="auto"/>
                  <w:vAlign w:val="center"/>
                </w:tcPr>
                <w:p w14:paraId="203AD99F">
                  <w:pPr>
                    <w:snapToGrid w:val="0"/>
                    <w:spacing w:line="340" w:lineRule="exact"/>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10</w:t>
                  </w:r>
                </w:p>
              </w:tc>
              <w:tc>
                <w:tcPr>
                  <w:tcW w:w="863" w:type="pct"/>
                  <w:tcBorders>
                    <w:tl2br w:val="nil"/>
                    <w:tr2bl w:val="nil"/>
                  </w:tcBorders>
                  <w:vAlign w:val="center"/>
                </w:tcPr>
                <w:p w14:paraId="4DC062D4">
                  <w:pPr>
                    <w:snapToGrid w:val="0"/>
                    <w:spacing w:line="340" w:lineRule="exact"/>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润滑油</w:t>
                  </w:r>
                </w:p>
              </w:tc>
              <w:tc>
                <w:tcPr>
                  <w:tcW w:w="521" w:type="pct"/>
                  <w:tcBorders>
                    <w:tl2br w:val="nil"/>
                    <w:tr2bl w:val="nil"/>
                  </w:tcBorders>
                  <w:vAlign w:val="center"/>
                </w:tcPr>
                <w:p w14:paraId="37371EFB">
                  <w:pPr>
                    <w:snapToGrid w:val="0"/>
                    <w:spacing w:line="340" w:lineRule="exact"/>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t/a</w:t>
                  </w:r>
                </w:p>
              </w:tc>
              <w:tc>
                <w:tcPr>
                  <w:tcW w:w="673" w:type="pct"/>
                  <w:tcBorders>
                    <w:tl2br w:val="nil"/>
                    <w:tr2bl w:val="nil"/>
                  </w:tcBorders>
                  <w:vAlign w:val="center"/>
                </w:tcPr>
                <w:p w14:paraId="4EFB7A56">
                  <w:pPr>
                    <w:widowControl/>
                    <w:jc w:val="center"/>
                    <w:textAlignment w:val="center"/>
                    <w:rPr>
                      <w:rFonts w:hint="default" w:ascii="Times New Roman" w:hAnsi="Times New Roman" w:eastAsia="宋体" w:cs="Times New Roman"/>
                      <w:color w:val="auto"/>
                      <w:kern w:val="0"/>
                      <w:sz w:val="21"/>
                      <w:szCs w:val="21"/>
                      <w:u w:val="none" w:color="auto"/>
                      <w:lang w:bidi="ar"/>
                    </w:rPr>
                  </w:pPr>
                  <w:r>
                    <w:rPr>
                      <w:rStyle w:val="48"/>
                      <w:rFonts w:hint="default" w:ascii="Times New Roman" w:hAnsi="Times New Roman" w:eastAsia="宋体" w:cs="Times New Roman"/>
                      <w:b w:val="0"/>
                      <w:bCs w:val="0"/>
                      <w:color w:val="auto"/>
                      <w:sz w:val="21"/>
                      <w:szCs w:val="21"/>
                      <w:u w:val="none" w:color="auto"/>
                      <w:lang w:bidi="ar"/>
                    </w:rPr>
                    <w:t>8</w:t>
                  </w:r>
                </w:p>
              </w:tc>
              <w:tc>
                <w:tcPr>
                  <w:tcW w:w="807" w:type="pct"/>
                  <w:tcBorders>
                    <w:tl2br w:val="nil"/>
                    <w:tr2bl w:val="nil"/>
                  </w:tcBorders>
                  <w:vAlign w:val="center"/>
                </w:tcPr>
                <w:p w14:paraId="469BB35C">
                  <w:pPr>
                    <w:widowControl/>
                    <w:jc w:val="center"/>
                    <w:textAlignment w:val="center"/>
                    <w:rPr>
                      <w:rFonts w:hint="default" w:ascii="Times New Roman" w:hAnsi="Times New Roman" w:eastAsia="宋体" w:cs="Times New Roman"/>
                      <w:color w:val="auto"/>
                      <w:sz w:val="21"/>
                      <w:szCs w:val="21"/>
                      <w:u w:val="none" w:color="auto"/>
                    </w:rPr>
                  </w:pPr>
                  <w:r>
                    <w:rPr>
                      <w:rStyle w:val="48"/>
                      <w:rFonts w:hint="default" w:ascii="Times New Roman" w:hAnsi="Times New Roman" w:eastAsia="宋体" w:cs="Times New Roman"/>
                      <w:b w:val="0"/>
                      <w:bCs w:val="0"/>
                      <w:color w:val="auto"/>
                      <w:sz w:val="21"/>
                      <w:szCs w:val="21"/>
                      <w:u w:val="none" w:color="auto"/>
                      <w:lang w:bidi="ar"/>
                    </w:rPr>
                    <w:t>3</w:t>
                  </w:r>
                </w:p>
              </w:tc>
              <w:tc>
                <w:tcPr>
                  <w:tcW w:w="857" w:type="pct"/>
                  <w:tcBorders>
                    <w:tl2br w:val="nil"/>
                    <w:tr2bl w:val="nil"/>
                  </w:tcBorders>
                  <w:vAlign w:val="center"/>
                </w:tcPr>
                <w:p w14:paraId="7E207E6E">
                  <w:pPr>
                    <w:widowControl/>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kern w:val="0"/>
                      <w:sz w:val="21"/>
                      <w:szCs w:val="21"/>
                      <w:u w:val="none" w:color="auto"/>
                      <w:lang w:bidi="ar"/>
                    </w:rPr>
                    <w:t>合成齿轮油</w:t>
                  </w:r>
                </w:p>
              </w:tc>
              <w:tc>
                <w:tcPr>
                  <w:tcW w:w="827" w:type="pct"/>
                  <w:tcBorders>
                    <w:tl2br w:val="nil"/>
                    <w:tr2bl w:val="nil"/>
                  </w:tcBorders>
                  <w:vAlign w:val="center"/>
                </w:tcPr>
                <w:p w14:paraId="60C3A087">
                  <w:pPr>
                    <w:widowControl/>
                    <w:jc w:val="center"/>
                    <w:textAlignment w:val="center"/>
                    <w:rPr>
                      <w:rFonts w:hint="default" w:ascii="Times New Roman" w:hAnsi="Times New Roman" w:eastAsia="宋体" w:cs="Times New Roman"/>
                      <w:color w:val="auto"/>
                      <w:sz w:val="21"/>
                      <w:szCs w:val="21"/>
                      <w:u w:val="none" w:color="auto"/>
                      <w:lang w:val="en-US"/>
                    </w:rPr>
                  </w:pPr>
                  <w:r>
                    <w:rPr>
                      <w:rFonts w:hint="default" w:ascii="Times New Roman" w:hAnsi="Times New Roman" w:eastAsia="宋体" w:cs="Times New Roman"/>
                      <w:color w:val="auto"/>
                      <w:sz w:val="21"/>
                      <w:szCs w:val="21"/>
                      <w:u w:val="none" w:color="auto"/>
                      <w:lang w:val="en-US" w:eastAsia="zh-CN"/>
                    </w:rPr>
                    <w:t>压铸工序/机加工序</w:t>
                  </w:r>
                </w:p>
              </w:tc>
            </w:tr>
            <w:tr w14:paraId="7CC6E29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449" w:type="pct"/>
                  <w:tcBorders>
                    <w:tl2br w:val="nil"/>
                    <w:tr2bl w:val="nil"/>
                  </w:tcBorders>
                  <w:shd w:val="clear" w:color="auto" w:fill="auto"/>
                  <w:vAlign w:val="center"/>
                </w:tcPr>
                <w:p w14:paraId="299099E6">
                  <w:pPr>
                    <w:snapToGrid w:val="0"/>
                    <w:spacing w:line="340" w:lineRule="exact"/>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11</w:t>
                  </w:r>
                </w:p>
              </w:tc>
              <w:tc>
                <w:tcPr>
                  <w:tcW w:w="863" w:type="pct"/>
                  <w:tcBorders>
                    <w:tl2br w:val="nil"/>
                    <w:tr2bl w:val="nil"/>
                  </w:tcBorders>
                  <w:vAlign w:val="center"/>
                </w:tcPr>
                <w:p w14:paraId="1C4ABA75">
                  <w:pPr>
                    <w:snapToGrid w:val="0"/>
                    <w:spacing w:line="340" w:lineRule="exact"/>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导热油</w:t>
                  </w:r>
                </w:p>
              </w:tc>
              <w:tc>
                <w:tcPr>
                  <w:tcW w:w="521" w:type="pct"/>
                  <w:tcBorders>
                    <w:tl2br w:val="nil"/>
                    <w:tr2bl w:val="nil"/>
                  </w:tcBorders>
                  <w:vAlign w:val="center"/>
                </w:tcPr>
                <w:p w14:paraId="2DC5B03F">
                  <w:pPr>
                    <w:snapToGrid w:val="0"/>
                    <w:spacing w:line="340" w:lineRule="exact"/>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t/</w:t>
                  </w:r>
                  <w:r>
                    <w:rPr>
                      <w:rFonts w:hint="default" w:ascii="Times New Roman" w:hAnsi="Times New Roman" w:eastAsia="宋体" w:cs="Times New Roman"/>
                      <w:color w:val="auto"/>
                      <w:sz w:val="21"/>
                      <w:szCs w:val="21"/>
                      <w:u w:val="none" w:color="auto"/>
                      <w:lang w:val="en-US" w:eastAsia="zh-CN"/>
                    </w:rPr>
                    <w:t>2</w:t>
                  </w:r>
                  <w:r>
                    <w:rPr>
                      <w:rFonts w:hint="default" w:ascii="Times New Roman" w:hAnsi="Times New Roman" w:eastAsia="宋体" w:cs="Times New Roman"/>
                      <w:color w:val="auto"/>
                      <w:sz w:val="21"/>
                      <w:szCs w:val="21"/>
                      <w:u w:val="none" w:color="auto"/>
                    </w:rPr>
                    <w:t>a</w:t>
                  </w:r>
                </w:p>
              </w:tc>
              <w:tc>
                <w:tcPr>
                  <w:tcW w:w="673" w:type="pct"/>
                  <w:tcBorders>
                    <w:tl2br w:val="nil"/>
                    <w:tr2bl w:val="nil"/>
                  </w:tcBorders>
                  <w:vAlign w:val="center"/>
                </w:tcPr>
                <w:p w14:paraId="24FA9D4C">
                  <w:pPr>
                    <w:widowControl/>
                    <w:jc w:val="center"/>
                    <w:textAlignment w:val="center"/>
                    <w:rPr>
                      <w:rFonts w:hint="default" w:ascii="Times New Roman" w:hAnsi="Times New Roman" w:eastAsia="宋体" w:cs="Times New Roman"/>
                      <w:color w:val="auto"/>
                      <w:kern w:val="0"/>
                      <w:sz w:val="21"/>
                      <w:szCs w:val="21"/>
                      <w:u w:val="none" w:color="auto"/>
                      <w:lang w:bidi="ar"/>
                    </w:rPr>
                  </w:pPr>
                  <w:r>
                    <w:rPr>
                      <w:rStyle w:val="48"/>
                      <w:rFonts w:hint="default" w:ascii="Times New Roman" w:hAnsi="Times New Roman" w:eastAsia="宋体" w:cs="Times New Roman"/>
                      <w:b w:val="0"/>
                      <w:bCs w:val="0"/>
                      <w:color w:val="auto"/>
                      <w:sz w:val="21"/>
                      <w:szCs w:val="21"/>
                      <w:u w:val="none" w:color="auto"/>
                      <w:lang w:bidi="ar"/>
                    </w:rPr>
                    <w:t>4</w:t>
                  </w:r>
                </w:p>
              </w:tc>
              <w:tc>
                <w:tcPr>
                  <w:tcW w:w="807" w:type="pct"/>
                  <w:tcBorders>
                    <w:tl2br w:val="nil"/>
                    <w:tr2bl w:val="nil"/>
                  </w:tcBorders>
                  <w:vAlign w:val="center"/>
                </w:tcPr>
                <w:p w14:paraId="6DA9C48F">
                  <w:pPr>
                    <w:widowControl/>
                    <w:jc w:val="center"/>
                    <w:textAlignment w:val="center"/>
                    <w:rPr>
                      <w:rFonts w:hint="default" w:ascii="Times New Roman" w:hAnsi="Times New Roman" w:eastAsia="宋体" w:cs="Times New Roman"/>
                      <w:color w:val="auto"/>
                      <w:sz w:val="21"/>
                      <w:szCs w:val="21"/>
                      <w:u w:val="none" w:color="auto"/>
                      <w:lang w:eastAsia="zh-CN"/>
                    </w:rPr>
                  </w:pPr>
                  <w:r>
                    <w:rPr>
                      <w:rStyle w:val="48"/>
                      <w:rFonts w:hint="default" w:ascii="Times New Roman" w:hAnsi="Times New Roman" w:eastAsia="宋体" w:cs="Times New Roman"/>
                      <w:b w:val="0"/>
                      <w:bCs w:val="0"/>
                      <w:color w:val="auto"/>
                      <w:sz w:val="21"/>
                      <w:szCs w:val="21"/>
                      <w:u w:val="none" w:color="auto"/>
                      <w:lang w:val="en-US" w:eastAsia="zh-CN" w:bidi="ar"/>
                    </w:rPr>
                    <w:t>/</w:t>
                  </w:r>
                </w:p>
              </w:tc>
              <w:tc>
                <w:tcPr>
                  <w:tcW w:w="857" w:type="pct"/>
                  <w:tcBorders>
                    <w:tl2br w:val="nil"/>
                    <w:tr2bl w:val="nil"/>
                  </w:tcBorders>
                  <w:vAlign w:val="center"/>
                </w:tcPr>
                <w:p w14:paraId="17705B57">
                  <w:pPr>
                    <w:widowControl/>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kern w:val="0"/>
                      <w:sz w:val="21"/>
                      <w:szCs w:val="21"/>
                      <w:u w:val="none" w:color="auto"/>
                      <w:lang w:bidi="ar"/>
                    </w:rPr>
                    <w:t>矿物型（300℃）</w:t>
                  </w:r>
                </w:p>
              </w:tc>
              <w:tc>
                <w:tcPr>
                  <w:tcW w:w="827" w:type="pct"/>
                  <w:tcBorders>
                    <w:tl2br w:val="nil"/>
                    <w:tr2bl w:val="nil"/>
                  </w:tcBorders>
                  <w:vAlign w:val="center"/>
                </w:tcPr>
                <w:p w14:paraId="4B78B668">
                  <w:pPr>
                    <w:widowControl/>
                    <w:jc w:val="center"/>
                    <w:textAlignment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压铸工序中模温机内</w:t>
                  </w:r>
                </w:p>
              </w:tc>
            </w:tr>
            <w:tr w14:paraId="3DE81FE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9" w:type="pct"/>
                  <w:tcBorders>
                    <w:tl2br w:val="nil"/>
                    <w:tr2bl w:val="nil"/>
                  </w:tcBorders>
                  <w:shd w:val="clear" w:color="auto" w:fill="auto"/>
                  <w:vAlign w:val="center"/>
                </w:tcPr>
                <w:p w14:paraId="5563A917">
                  <w:pPr>
                    <w:snapToGrid w:val="0"/>
                    <w:spacing w:line="340" w:lineRule="exact"/>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12</w:t>
                  </w:r>
                </w:p>
              </w:tc>
              <w:tc>
                <w:tcPr>
                  <w:tcW w:w="863" w:type="pct"/>
                  <w:tcBorders>
                    <w:tl2br w:val="nil"/>
                    <w:tr2bl w:val="nil"/>
                  </w:tcBorders>
                  <w:vAlign w:val="center"/>
                </w:tcPr>
                <w:p w14:paraId="1E6D0B79">
                  <w:pPr>
                    <w:snapToGrid w:val="0"/>
                    <w:spacing w:line="340" w:lineRule="exact"/>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rPr>
                    <w:t>浸渗</w:t>
                  </w:r>
                  <w:r>
                    <w:rPr>
                      <w:rFonts w:hint="default" w:ascii="Times New Roman" w:hAnsi="Times New Roman" w:eastAsia="宋体" w:cs="Times New Roman"/>
                      <w:color w:val="auto"/>
                      <w:sz w:val="21"/>
                      <w:szCs w:val="21"/>
                      <w:u w:val="none" w:color="auto"/>
                      <w:lang w:val="en-US" w:eastAsia="zh-CN"/>
                    </w:rPr>
                    <w:t>剂</w:t>
                  </w:r>
                </w:p>
              </w:tc>
              <w:tc>
                <w:tcPr>
                  <w:tcW w:w="521" w:type="pct"/>
                  <w:tcBorders>
                    <w:tl2br w:val="nil"/>
                    <w:tr2bl w:val="nil"/>
                  </w:tcBorders>
                  <w:vAlign w:val="center"/>
                </w:tcPr>
                <w:p w14:paraId="68548803">
                  <w:pPr>
                    <w:snapToGrid w:val="0"/>
                    <w:spacing w:line="340" w:lineRule="exact"/>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t/a</w:t>
                  </w:r>
                </w:p>
              </w:tc>
              <w:tc>
                <w:tcPr>
                  <w:tcW w:w="673" w:type="pct"/>
                  <w:tcBorders>
                    <w:tl2br w:val="nil"/>
                    <w:tr2bl w:val="nil"/>
                  </w:tcBorders>
                  <w:vAlign w:val="center"/>
                </w:tcPr>
                <w:p w14:paraId="2E4C8F85">
                  <w:pPr>
                    <w:widowControl/>
                    <w:jc w:val="center"/>
                    <w:textAlignment w:val="center"/>
                    <w:rPr>
                      <w:rFonts w:hint="default" w:ascii="Times New Roman" w:hAnsi="Times New Roman" w:eastAsia="宋体" w:cs="Times New Roman"/>
                      <w:color w:val="auto"/>
                      <w:kern w:val="0"/>
                      <w:sz w:val="21"/>
                      <w:szCs w:val="21"/>
                      <w:u w:val="none" w:color="auto"/>
                      <w:lang w:val="en-US" w:eastAsia="zh-CN" w:bidi="ar"/>
                    </w:rPr>
                  </w:pPr>
                  <w:r>
                    <w:rPr>
                      <w:rStyle w:val="48"/>
                      <w:rFonts w:hint="default" w:ascii="Times New Roman" w:hAnsi="Times New Roman" w:eastAsia="宋体" w:cs="Times New Roman"/>
                      <w:b w:val="0"/>
                      <w:bCs w:val="0"/>
                      <w:color w:val="auto"/>
                      <w:sz w:val="21"/>
                      <w:szCs w:val="21"/>
                      <w:u w:val="none" w:color="auto"/>
                      <w:lang w:val="en-US" w:eastAsia="zh-CN" w:bidi="ar"/>
                    </w:rPr>
                    <w:t>0.44</w:t>
                  </w:r>
                </w:p>
              </w:tc>
              <w:tc>
                <w:tcPr>
                  <w:tcW w:w="807" w:type="pct"/>
                  <w:tcBorders>
                    <w:tl2br w:val="nil"/>
                    <w:tr2bl w:val="nil"/>
                  </w:tcBorders>
                  <w:vAlign w:val="center"/>
                </w:tcPr>
                <w:p w14:paraId="10FF1900">
                  <w:pPr>
                    <w:widowControl/>
                    <w:jc w:val="center"/>
                    <w:textAlignment w:val="center"/>
                    <w:rPr>
                      <w:rFonts w:hint="default" w:ascii="Times New Roman" w:hAnsi="Times New Roman" w:eastAsia="宋体" w:cs="Times New Roman"/>
                      <w:color w:val="auto"/>
                      <w:sz w:val="21"/>
                      <w:szCs w:val="21"/>
                      <w:u w:val="none" w:color="auto"/>
                    </w:rPr>
                  </w:pPr>
                  <w:r>
                    <w:rPr>
                      <w:rStyle w:val="48"/>
                      <w:rFonts w:hint="default" w:ascii="Times New Roman" w:hAnsi="Times New Roman" w:eastAsia="宋体" w:cs="Times New Roman"/>
                      <w:b w:val="0"/>
                      <w:bCs w:val="0"/>
                      <w:color w:val="auto"/>
                      <w:sz w:val="21"/>
                      <w:szCs w:val="21"/>
                      <w:u w:val="none" w:color="auto"/>
                      <w:lang w:bidi="ar"/>
                    </w:rPr>
                    <w:t>0.1</w:t>
                  </w:r>
                </w:p>
              </w:tc>
              <w:tc>
                <w:tcPr>
                  <w:tcW w:w="857" w:type="pct"/>
                  <w:tcBorders>
                    <w:tl2br w:val="nil"/>
                    <w:tr2bl w:val="nil"/>
                  </w:tcBorders>
                  <w:vAlign w:val="center"/>
                </w:tcPr>
                <w:p w14:paraId="1BA19EC9">
                  <w:pPr>
                    <w:widowControl/>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丙烯类有机浸渗剂</w:t>
                  </w:r>
                </w:p>
              </w:tc>
              <w:tc>
                <w:tcPr>
                  <w:tcW w:w="827" w:type="pct"/>
                  <w:vMerge w:val="restart"/>
                  <w:tcBorders>
                    <w:tl2br w:val="nil"/>
                    <w:tr2bl w:val="nil"/>
                  </w:tcBorders>
                  <w:vAlign w:val="center"/>
                </w:tcPr>
                <w:p w14:paraId="0E288B8C">
                  <w:pPr>
                    <w:widowControl/>
                    <w:jc w:val="center"/>
                    <w:textAlignment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（1）机加工序，其中缓蚀剂添加在切削液中；</w:t>
                  </w:r>
                </w:p>
                <w:p w14:paraId="79FA97C6">
                  <w:pPr>
                    <w:widowControl/>
                    <w:jc w:val="center"/>
                    <w:textAlignment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（2）本项目切削液经过滤棉处理后循环使用，第一次为全部在线量（25t），后期仅做补充</w:t>
                  </w:r>
                </w:p>
              </w:tc>
            </w:tr>
            <w:tr w14:paraId="0681275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9" w:type="pct"/>
                  <w:tcBorders>
                    <w:tl2br w:val="nil"/>
                    <w:tr2bl w:val="nil"/>
                  </w:tcBorders>
                  <w:shd w:val="clear" w:color="auto" w:fill="auto"/>
                  <w:vAlign w:val="center"/>
                </w:tcPr>
                <w:p w14:paraId="3960E583">
                  <w:pPr>
                    <w:snapToGrid w:val="0"/>
                    <w:spacing w:line="340" w:lineRule="exact"/>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13</w:t>
                  </w:r>
                </w:p>
              </w:tc>
              <w:tc>
                <w:tcPr>
                  <w:tcW w:w="863" w:type="pct"/>
                  <w:tcBorders>
                    <w:tl2br w:val="nil"/>
                    <w:tr2bl w:val="nil"/>
                  </w:tcBorders>
                  <w:shd w:val="clear" w:color="auto" w:fill="auto"/>
                  <w:vAlign w:val="center"/>
                </w:tcPr>
                <w:p w14:paraId="33F53BD8">
                  <w:pPr>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缓蚀剂</w:t>
                  </w:r>
                </w:p>
              </w:tc>
              <w:tc>
                <w:tcPr>
                  <w:tcW w:w="521" w:type="pct"/>
                  <w:tcBorders>
                    <w:tl2br w:val="nil"/>
                    <w:tr2bl w:val="nil"/>
                  </w:tcBorders>
                  <w:vAlign w:val="center"/>
                </w:tcPr>
                <w:p w14:paraId="4259F55D">
                  <w:pPr>
                    <w:snapToGrid w:val="0"/>
                    <w:spacing w:line="340" w:lineRule="exact"/>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t/a</w:t>
                  </w:r>
                </w:p>
              </w:tc>
              <w:tc>
                <w:tcPr>
                  <w:tcW w:w="673" w:type="pct"/>
                  <w:tcBorders>
                    <w:tl2br w:val="nil"/>
                    <w:tr2bl w:val="nil"/>
                  </w:tcBorders>
                  <w:vAlign w:val="center"/>
                </w:tcPr>
                <w:p w14:paraId="0BCB472E">
                  <w:pPr>
                    <w:widowControl/>
                    <w:jc w:val="center"/>
                    <w:textAlignment w:val="center"/>
                    <w:rPr>
                      <w:rFonts w:hint="default" w:ascii="Times New Roman" w:hAnsi="Times New Roman" w:eastAsia="宋体" w:cs="Times New Roman"/>
                      <w:color w:val="auto"/>
                      <w:kern w:val="0"/>
                      <w:sz w:val="21"/>
                      <w:szCs w:val="21"/>
                      <w:u w:val="none" w:color="auto"/>
                      <w:lang w:bidi="ar"/>
                    </w:rPr>
                  </w:pPr>
                  <w:r>
                    <w:rPr>
                      <w:rStyle w:val="48"/>
                      <w:rFonts w:hint="default" w:ascii="Times New Roman" w:hAnsi="Times New Roman" w:eastAsia="宋体" w:cs="Times New Roman"/>
                      <w:b w:val="0"/>
                      <w:bCs w:val="0"/>
                      <w:color w:val="auto"/>
                      <w:sz w:val="21"/>
                      <w:szCs w:val="21"/>
                      <w:u w:val="none" w:color="auto"/>
                      <w:lang w:bidi="ar"/>
                    </w:rPr>
                    <w:t>5</w:t>
                  </w:r>
                </w:p>
              </w:tc>
              <w:tc>
                <w:tcPr>
                  <w:tcW w:w="807" w:type="pct"/>
                  <w:tcBorders>
                    <w:tl2br w:val="nil"/>
                    <w:tr2bl w:val="nil"/>
                  </w:tcBorders>
                  <w:vAlign w:val="center"/>
                </w:tcPr>
                <w:p w14:paraId="35A4D041">
                  <w:pPr>
                    <w:widowControl/>
                    <w:jc w:val="center"/>
                    <w:textAlignment w:val="center"/>
                    <w:rPr>
                      <w:rFonts w:hint="default" w:ascii="Times New Roman" w:hAnsi="Times New Roman" w:eastAsia="宋体" w:cs="Times New Roman"/>
                      <w:color w:val="auto"/>
                      <w:sz w:val="21"/>
                      <w:szCs w:val="21"/>
                      <w:u w:val="none" w:color="auto"/>
                    </w:rPr>
                  </w:pPr>
                  <w:r>
                    <w:rPr>
                      <w:rStyle w:val="48"/>
                      <w:rFonts w:hint="default" w:ascii="Times New Roman" w:hAnsi="Times New Roman" w:eastAsia="宋体" w:cs="Times New Roman"/>
                      <w:b w:val="0"/>
                      <w:bCs w:val="0"/>
                      <w:color w:val="auto"/>
                      <w:sz w:val="21"/>
                      <w:szCs w:val="21"/>
                      <w:u w:val="none" w:color="auto"/>
                      <w:lang w:bidi="ar"/>
                    </w:rPr>
                    <w:t>1</w:t>
                  </w:r>
                </w:p>
              </w:tc>
              <w:tc>
                <w:tcPr>
                  <w:tcW w:w="857" w:type="pct"/>
                  <w:tcBorders>
                    <w:tl2br w:val="nil"/>
                    <w:tr2bl w:val="nil"/>
                  </w:tcBorders>
                  <w:vAlign w:val="center"/>
                </w:tcPr>
                <w:p w14:paraId="3DA05450">
                  <w:pPr>
                    <w:widowControl/>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kern w:val="0"/>
                      <w:sz w:val="21"/>
                      <w:szCs w:val="21"/>
                      <w:u w:val="none" w:color="auto"/>
                      <w:lang w:bidi="ar"/>
                    </w:rPr>
                    <w:t>水性环保型</w:t>
                  </w:r>
                </w:p>
              </w:tc>
              <w:tc>
                <w:tcPr>
                  <w:tcW w:w="827" w:type="pct"/>
                  <w:vMerge w:val="continue"/>
                  <w:tcBorders>
                    <w:tl2br w:val="nil"/>
                    <w:tr2bl w:val="nil"/>
                  </w:tcBorders>
                  <w:vAlign w:val="center"/>
                </w:tcPr>
                <w:p w14:paraId="20AD7BFC">
                  <w:pPr>
                    <w:widowControl/>
                    <w:jc w:val="center"/>
                    <w:textAlignment w:val="center"/>
                    <w:rPr>
                      <w:rFonts w:hint="default" w:ascii="Times New Roman" w:hAnsi="Times New Roman" w:eastAsia="宋体" w:cs="Times New Roman"/>
                      <w:color w:val="auto"/>
                      <w:sz w:val="21"/>
                      <w:szCs w:val="21"/>
                      <w:u w:val="none" w:color="auto"/>
                    </w:rPr>
                  </w:pPr>
                </w:p>
              </w:tc>
            </w:tr>
            <w:tr w14:paraId="61E87B2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23" w:hRule="atLeast"/>
                <w:jc w:val="center"/>
              </w:trPr>
              <w:tc>
                <w:tcPr>
                  <w:tcW w:w="449" w:type="pct"/>
                  <w:tcBorders>
                    <w:tl2br w:val="nil"/>
                    <w:tr2bl w:val="nil"/>
                  </w:tcBorders>
                  <w:shd w:val="clear" w:color="auto" w:fill="auto"/>
                  <w:vAlign w:val="center"/>
                </w:tcPr>
                <w:p w14:paraId="518B5197">
                  <w:pPr>
                    <w:snapToGrid w:val="0"/>
                    <w:spacing w:line="340" w:lineRule="exact"/>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14</w:t>
                  </w:r>
                </w:p>
              </w:tc>
              <w:tc>
                <w:tcPr>
                  <w:tcW w:w="863" w:type="pct"/>
                  <w:tcBorders>
                    <w:tl2br w:val="nil"/>
                    <w:tr2bl w:val="nil"/>
                  </w:tcBorders>
                  <w:shd w:val="clear" w:color="auto" w:fill="auto"/>
                  <w:vAlign w:val="center"/>
                </w:tcPr>
                <w:p w14:paraId="265C2065">
                  <w:pPr>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清洗剂</w:t>
                  </w:r>
                </w:p>
              </w:tc>
              <w:tc>
                <w:tcPr>
                  <w:tcW w:w="521" w:type="pct"/>
                  <w:tcBorders>
                    <w:tl2br w:val="nil"/>
                    <w:tr2bl w:val="nil"/>
                  </w:tcBorders>
                  <w:vAlign w:val="center"/>
                </w:tcPr>
                <w:p w14:paraId="3AC3F3B1">
                  <w:pPr>
                    <w:snapToGrid w:val="0"/>
                    <w:spacing w:line="340" w:lineRule="exact"/>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t/a</w:t>
                  </w:r>
                </w:p>
              </w:tc>
              <w:tc>
                <w:tcPr>
                  <w:tcW w:w="673" w:type="pct"/>
                  <w:tcBorders>
                    <w:tl2br w:val="nil"/>
                    <w:tr2bl w:val="nil"/>
                  </w:tcBorders>
                  <w:vAlign w:val="center"/>
                </w:tcPr>
                <w:p w14:paraId="4A0F82A0">
                  <w:pPr>
                    <w:widowControl/>
                    <w:jc w:val="center"/>
                    <w:textAlignment w:val="center"/>
                    <w:rPr>
                      <w:rFonts w:hint="default" w:ascii="Times New Roman" w:hAnsi="Times New Roman" w:eastAsia="宋体" w:cs="Times New Roman"/>
                      <w:color w:val="auto"/>
                      <w:kern w:val="0"/>
                      <w:sz w:val="21"/>
                      <w:szCs w:val="21"/>
                      <w:u w:val="none" w:color="auto"/>
                      <w:lang w:bidi="ar"/>
                    </w:rPr>
                  </w:pPr>
                  <w:r>
                    <w:rPr>
                      <w:rStyle w:val="48"/>
                      <w:rFonts w:hint="default" w:ascii="Times New Roman" w:hAnsi="Times New Roman" w:eastAsia="宋体" w:cs="Times New Roman"/>
                      <w:b w:val="0"/>
                      <w:bCs w:val="0"/>
                      <w:color w:val="auto"/>
                      <w:sz w:val="21"/>
                      <w:szCs w:val="21"/>
                      <w:u w:val="none" w:color="auto"/>
                      <w:lang w:bidi="ar"/>
                    </w:rPr>
                    <w:t>25</w:t>
                  </w:r>
                </w:p>
              </w:tc>
              <w:tc>
                <w:tcPr>
                  <w:tcW w:w="807" w:type="pct"/>
                  <w:tcBorders>
                    <w:tl2br w:val="nil"/>
                    <w:tr2bl w:val="nil"/>
                  </w:tcBorders>
                  <w:vAlign w:val="center"/>
                </w:tcPr>
                <w:p w14:paraId="2E4E59DE">
                  <w:pPr>
                    <w:widowControl/>
                    <w:jc w:val="center"/>
                    <w:textAlignment w:val="center"/>
                    <w:rPr>
                      <w:rFonts w:hint="default" w:ascii="Times New Roman" w:hAnsi="Times New Roman" w:eastAsia="宋体" w:cs="Times New Roman"/>
                      <w:color w:val="auto"/>
                      <w:sz w:val="21"/>
                      <w:szCs w:val="21"/>
                      <w:u w:val="none" w:color="auto"/>
                    </w:rPr>
                  </w:pPr>
                  <w:r>
                    <w:rPr>
                      <w:rStyle w:val="48"/>
                      <w:rFonts w:hint="default" w:ascii="Times New Roman" w:hAnsi="Times New Roman" w:eastAsia="宋体" w:cs="Times New Roman"/>
                      <w:b w:val="0"/>
                      <w:bCs w:val="0"/>
                      <w:color w:val="auto"/>
                      <w:sz w:val="21"/>
                      <w:szCs w:val="21"/>
                      <w:u w:val="none" w:color="auto"/>
                      <w:lang w:bidi="ar"/>
                    </w:rPr>
                    <w:t>6</w:t>
                  </w:r>
                </w:p>
              </w:tc>
              <w:tc>
                <w:tcPr>
                  <w:tcW w:w="857" w:type="pct"/>
                  <w:tcBorders>
                    <w:tl2br w:val="nil"/>
                    <w:tr2bl w:val="nil"/>
                  </w:tcBorders>
                  <w:vAlign w:val="center"/>
                </w:tcPr>
                <w:p w14:paraId="3D542DA4">
                  <w:pPr>
                    <w:widowControl/>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kern w:val="0"/>
                      <w:sz w:val="21"/>
                      <w:szCs w:val="21"/>
                      <w:u w:val="none" w:color="auto"/>
                      <w:lang w:bidi="ar"/>
                    </w:rPr>
                    <w:t>中性脱脂剂</w:t>
                  </w:r>
                </w:p>
              </w:tc>
              <w:tc>
                <w:tcPr>
                  <w:tcW w:w="827" w:type="pct"/>
                  <w:vMerge w:val="continue"/>
                  <w:tcBorders>
                    <w:tl2br w:val="nil"/>
                    <w:tr2bl w:val="nil"/>
                  </w:tcBorders>
                  <w:vAlign w:val="center"/>
                </w:tcPr>
                <w:p w14:paraId="15995053">
                  <w:pPr>
                    <w:widowControl/>
                    <w:jc w:val="center"/>
                    <w:textAlignment w:val="center"/>
                    <w:rPr>
                      <w:rFonts w:hint="default" w:ascii="Times New Roman" w:hAnsi="Times New Roman" w:eastAsia="宋体" w:cs="Times New Roman"/>
                      <w:color w:val="auto"/>
                      <w:sz w:val="21"/>
                      <w:szCs w:val="21"/>
                      <w:u w:val="none" w:color="auto"/>
                    </w:rPr>
                  </w:pPr>
                </w:p>
              </w:tc>
            </w:tr>
            <w:tr w14:paraId="7733E2A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9" w:type="pct"/>
                  <w:tcBorders>
                    <w:tl2br w:val="nil"/>
                    <w:tr2bl w:val="nil"/>
                  </w:tcBorders>
                  <w:shd w:val="clear" w:color="auto" w:fill="auto"/>
                  <w:vAlign w:val="center"/>
                </w:tcPr>
                <w:p w14:paraId="5CA2690A">
                  <w:pPr>
                    <w:snapToGrid w:val="0"/>
                    <w:spacing w:line="340" w:lineRule="exact"/>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15</w:t>
                  </w:r>
                </w:p>
              </w:tc>
              <w:tc>
                <w:tcPr>
                  <w:tcW w:w="863" w:type="pct"/>
                  <w:tcBorders>
                    <w:tl2br w:val="nil"/>
                    <w:tr2bl w:val="nil"/>
                  </w:tcBorders>
                  <w:shd w:val="clear" w:color="auto" w:fill="auto"/>
                  <w:vAlign w:val="center"/>
                </w:tcPr>
                <w:p w14:paraId="3313180A">
                  <w:pPr>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切削液</w:t>
                  </w:r>
                </w:p>
              </w:tc>
              <w:tc>
                <w:tcPr>
                  <w:tcW w:w="521" w:type="pct"/>
                  <w:tcBorders>
                    <w:tl2br w:val="nil"/>
                    <w:tr2bl w:val="nil"/>
                  </w:tcBorders>
                  <w:vAlign w:val="center"/>
                </w:tcPr>
                <w:p w14:paraId="6A50159B">
                  <w:pPr>
                    <w:snapToGrid w:val="0"/>
                    <w:spacing w:line="340" w:lineRule="exact"/>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t/a</w:t>
                  </w:r>
                </w:p>
              </w:tc>
              <w:tc>
                <w:tcPr>
                  <w:tcW w:w="673" w:type="pct"/>
                  <w:tcBorders>
                    <w:tl2br w:val="nil"/>
                    <w:tr2bl w:val="nil"/>
                  </w:tcBorders>
                  <w:vAlign w:val="center"/>
                </w:tcPr>
                <w:p w14:paraId="18BF7511">
                  <w:pPr>
                    <w:widowControl/>
                    <w:jc w:val="center"/>
                    <w:textAlignment w:val="center"/>
                    <w:rPr>
                      <w:rFonts w:hint="default" w:ascii="Times New Roman" w:hAnsi="Times New Roman" w:eastAsia="宋体" w:cs="Times New Roman"/>
                      <w:color w:val="auto"/>
                      <w:kern w:val="0"/>
                      <w:sz w:val="21"/>
                      <w:szCs w:val="21"/>
                      <w:u w:val="none" w:color="auto"/>
                      <w:lang w:eastAsia="zh-CN" w:bidi="ar"/>
                    </w:rPr>
                  </w:pPr>
                  <w:r>
                    <w:rPr>
                      <w:rStyle w:val="48"/>
                      <w:rFonts w:hint="default" w:ascii="Times New Roman" w:hAnsi="Times New Roman" w:eastAsia="宋体" w:cs="Times New Roman"/>
                      <w:b w:val="0"/>
                      <w:bCs w:val="0"/>
                      <w:color w:val="auto"/>
                      <w:sz w:val="21"/>
                      <w:szCs w:val="21"/>
                      <w:u w:val="none" w:color="auto"/>
                      <w:lang w:bidi="ar"/>
                    </w:rPr>
                    <w:t>25</w:t>
                  </w:r>
                  <w:r>
                    <w:rPr>
                      <w:rStyle w:val="48"/>
                      <w:rFonts w:hint="default" w:ascii="Times New Roman" w:hAnsi="Times New Roman" w:eastAsia="宋体" w:cs="Times New Roman"/>
                      <w:b w:val="0"/>
                      <w:bCs w:val="0"/>
                      <w:color w:val="auto"/>
                      <w:sz w:val="21"/>
                      <w:szCs w:val="21"/>
                      <w:u w:val="none" w:color="auto"/>
                      <w:lang w:eastAsia="zh-CN" w:bidi="ar"/>
                    </w:rPr>
                    <w:t>（</w:t>
                  </w:r>
                  <w:r>
                    <w:rPr>
                      <w:rStyle w:val="48"/>
                      <w:rFonts w:hint="default" w:ascii="Times New Roman" w:hAnsi="Times New Roman" w:eastAsia="宋体" w:cs="Times New Roman"/>
                      <w:b w:val="0"/>
                      <w:bCs w:val="0"/>
                      <w:color w:val="auto"/>
                      <w:sz w:val="21"/>
                      <w:szCs w:val="21"/>
                      <w:u w:val="none" w:color="auto"/>
                      <w:lang w:val="en-US" w:eastAsia="zh-CN" w:bidi="ar"/>
                    </w:rPr>
                    <w:t>第一次</w:t>
                  </w:r>
                  <w:r>
                    <w:rPr>
                      <w:rStyle w:val="48"/>
                      <w:rFonts w:hint="default" w:ascii="Times New Roman" w:hAnsi="Times New Roman" w:eastAsia="宋体" w:cs="Times New Roman"/>
                      <w:b w:val="0"/>
                      <w:bCs w:val="0"/>
                      <w:color w:val="auto"/>
                      <w:sz w:val="21"/>
                      <w:szCs w:val="21"/>
                      <w:u w:val="none" w:color="auto"/>
                      <w:lang w:eastAsia="zh-CN" w:bidi="ar"/>
                    </w:rPr>
                    <w:t>）</w:t>
                  </w:r>
                </w:p>
              </w:tc>
              <w:tc>
                <w:tcPr>
                  <w:tcW w:w="807" w:type="pct"/>
                  <w:tcBorders>
                    <w:tl2br w:val="nil"/>
                    <w:tr2bl w:val="nil"/>
                  </w:tcBorders>
                  <w:vAlign w:val="center"/>
                </w:tcPr>
                <w:p w14:paraId="0196FCB2">
                  <w:pPr>
                    <w:widowControl/>
                    <w:jc w:val="center"/>
                    <w:textAlignment w:val="center"/>
                    <w:rPr>
                      <w:rFonts w:hint="default" w:ascii="Times New Roman" w:hAnsi="Times New Roman" w:eastAsia="宋体" w:cs="Times New Roman"/>
                      <w:color w:val="auto"/>
                      <w:sz w:val="21"/>
                      <w:szCs w:val="21"/>
                      <w:u w:val="none" w:color="auto"/>
                      <w:lang w:eastAsia="zh-CN"/>
                    </w:rPr>
                  </w:pPr>
                  <w:r>
                    <w:rPr>
                      <w:rFonts w:hint="default" w:ascii="Times New Roman" w:hAnsi="Times New Roman" w:eastAsia="宋体" w:cs="Times New Roman"/>
                      <w:color w:val="auto"/>
                      <w:sz w:val="21"/>
                      <w:szCs w:val="21"/>
                      <w:u w:val="none" w:color="auto"/>
                    </w:rPr>
                    <w:t>5</w:t>
                  </w: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lang w:val="en-US" w:eastAsia="zh-CN"/>
                    </w:rPr>
                    <w:t>仅做补充</w:t>
                  </w:r>
                  <w:r>
                    <w:rPr>
                      <w:rFonts w:hint="default" w:ascii="Times New Roman" w:hAnsi="Times New Roman" w:eastAsia="宋体" w:cs="Times New Roman"/>
                      <w:color w:val="auto"/>
                      <w:sz w:val="21"/>
                      <w:szCs w:val="21"/>
                      <w:u w:val="none" w:color="auto"/>
                      <w:lang w:eastAsia="zh-CN"/>
                    </w:rPr>
                    <w:t>）</w:t>
                  </w:r>
                </w:p>
              </w:tc>
              <w:tc>
                <w:tcPr>
                  <w:tcW w:w="857" w:type="pct"/>
                  <w:tcBorders>
                    <w:tl2br w:val="nil"/>
                    <w:tr2bl w:val="nil"/>
                  </w:tcBorders>
                  <w:vAlign w:val="center"/>
                </w:tcPr>
                <w:p w14:paraId="0D00458A">
                  <w:pPr>
                    <w:widowControl/>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kern w:val="0"/>
                      <w:sz w:val="21"/>
                      <w:szCs w:val="21"/>
                      <w:u w:val="none" w:color="auto"/>
                      <w:lang w:bidi="ar"/>
                    </w:rPr>
                    <w:t>半合成型</w:t>
                  </w:r>
                </w:p>
              </w:tc>
              <w:tc>
                <w:tcPr>
                  <w:tcW w:w="827" w:type="pct"/>
                  <w:vMerge w:val="continue"/>
                  <w:tcBorders>
                    <w:tl2br w:val="nil"/>
                    <w:tr2bl w:val="nil"/>
                  </w:tcBorders>
                  <w:vAlign w:val="center"/>
                </w:tcPr>
                <w:p w14:paraId="5FFA24A9">
                  <w:pPr>
                    <w:widowControl/>
                    <w:jc w:val="center"/>
                    <w:textAlignment w:val="center"/>
                    <w:rPr>
                      <w:rFonts w:hint="default" w:ascii="Times New Roman" w:hAnsi="Times New Roman" w:eastAsia="宋体" w:cs="Times New Roman"/>
                      <w:color w:val="auto"/>
                      <w:sz w:val="21"/>
                      <w:szCs w:val="21"/>
                      <w:u w:val="none" w:color="auto"/>
                    </w:rPr>
                  </w:pPr>
                </w:p>
              </w:tc>
            </w:tr>
            <w:tr w14:paraId="1AF6161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9" w:type="pct"/>
                  <w:tcBorders>
                    <w:tl2br w:val="nil"/>
                    <w:tr2bl w:val="nil"/>
                  </w:tcBorders>
                  <w:shd w:val="clear" w:color="auto" w:fill="auto"/>
                  <w:vAlign w:val="center"/>
                </w:tcPr>
                <w:p w14:paraId="4B210E0B">
                  <w:pPr>
                    <w:snapToGrid w:val="0"/>
                    <w:spacing w:line="340" w:lineRule="exact"/>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16</w:t>
                  </w:r>
                </w:p>
              </w:tc>
              <w:tc>
                <w:tcPr>
                  <w:tcW w:w="863" w:type="pct"/>
                  <w:tcBorders>
                    <w:tl2br w:val="nil"/>
                    <w:tr2bl w:val="nil"/>
                  </w:tcBorders>
                  <w:shd w:val="clear" w:color="auto" w:fill="auto"/>
                  <w:vAlign w:val="center"/>
                </w:tcPr>
                <w:p w14:paraId="23C144BD">
                  <w:pPr>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切削液过滤棉</w:t>
                  </w:r>
                </w:p>
              </w:tc>
              <w:tc>
                <w:tcPr>
                  <w:tcW w:w="521" w:type="pct"/>
                  <w:tcBorders>
                    <w:tl2br w:val="nil"/>
                    <w:tr2bl w:val="nil"/>
                  </w:tcBorders>
                  <w:vAlign w:val="center"/>
                </w:tcPr>
                <w:p w14:paraId="59D8393D">
                  <w:pPr>
                    <w:snapToGrid w:val="0"/>
                    <w:spacing w:line="340" w:lineRule="exact"/>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t/a</w:t>
                  </w:r>
                </w:p>
              </w:tc>
              <w:tc>
                <w:tcPr>
                  <w:tcW w:w="673" w:type="pct"/>
                  <w:tcBorders>
                    <w:tl2br w:val="nil"/>
                    <w:tr2bl w:val="nil"/>
                  </w:tcBorders>
                  <w:vAlign w:val="center"/>
                </w:tcPr>
                <w:p w14:paraId="6D8082F4">
                  <w:pPr>
                    <w:widowControl/>
                    <w:jc w:val="center"/>
                    <w:textAlignment w:val="center"/>
                    <w:rPr>
                      <w:rFonts w:hint="default" w:ascii="Times New Roman" w:hAnsi="Times New Roman" w:eastAsia="宋体" w:cs="Times New Roman"/>
                      <w:color w:val="auto"/>
                      <w:kern w:val="0"/>
                      <w:sz w:val="21"/>
                      <w:szCs w:val="21"/>
                      <w:u w:val="none" w:color="auto"/>
                      <w:lang w:val="en-US" w:eastAsia="zh-CN" w:bidi="ar"/>
                    </w:rPr>
                  </w:pPr>
                  <w:r>
                    <w:rPr>
                      <w:rStyle w:val="48"/>
                      <w:rFonts w:hint="default" w:ascii="Times New Roman" w:hAnsi="Times New Roman" w:eastAsia="宋体" w:cs="Times New Roman"/>
                      <w:b w:val="0"/>
                      <w:bCs w:val="0"/>
                      <w:color w:val="auto"/>
                      <w:sz w:val="21"/>
                      <w:szCs w:val="21"/>
                      <w:u w:val="none" w:color="auto"/>
                      <w:lang w:val="en-US" w:eastAsia="zh-CN" w:bidi="ar"/>
                    </w:rPr>
                    <w:t>16</w:t>
                  </w:r>
                </w:p>
              </w:tc>
              <w:tc>
                <w:tcPr>
                  <w:tcW w:w="807" w:type="pct"/>
                  <w:tcBorders>
                    <w:tl2br w:val="nil"/>
                    <w:tr2bl w:val="nil"/>
                  </w:tcBorders>
                  <w:vAlign w:val="center"/>
                </w:tcPr>
                <w:p w14:paraId="43456ADF">
                  <w:pPr>
                    <w:widowControl/>
                    <w:jc w:val="center"/>
                    <w:textAlignment w:val="center"/>
                    <w:rPr>
                      <w:rFonts w:hint="default" w:ascii="Times New Roman" w:hAnsi="Times New Roman" w:eastAsia="宋体" w:cs="Times New Roman"/>
                      <w:color w:val="auto"/>
                      <w:sz w:val="21"/>
                      <w:szCs w:val="21"/>
                      <w:u w:val="none" w:color="auto"/>
                    </w:rPr>
                  </w:pPr>
                  <w:r>
                    <w:rPr>
                      <w:rStyle w:val="48"/>
                      <w:rFonts w:hint="default" w:ascii="Times New Roman" w:hAnsi="Times New Roman" w:eastAsia="宋体" w:cs="Times New Roman"/>
                      <w:b w:val="0"/>
                      <w:bCs w:val="0"/>
                      <w:color w:val="auto"/>
                      <w:sz w:val="21"/>
                      <w:szCs w:val="21"/>
                      <w:u w:val="none" w:color="auto"/>
                      <w:lang w:bidi="ar"/>
                    </w:rPr>
                    <w:t>2</w:t>
                  </w:r>
                </w:p>
              </w:tc>
              <w:tc>
                <w:tcPr>
                  <w:tcW w:w="857" w:type="pct"/>
                  <w:tcBorders>
                    <w:tl2br w:val="nil"/>
                    <w:tr2bl w:val="nil"/>
                  </w:tcBorders>
                  <w:vAlign w:val="center"/>
                </w:tcPr>
                <w:p w14:paraId="3C806482">
                  <w:pPr>
                    <w:widowControl/>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kern w:val="0"/>
                      <w:sz w:val="21"/>
                      <w:szCs w:val="21"/>
                      <w:u w:val="none" w:color="auto"/>
                      <w:lang w:bidi="ar"/>
                    </w:rPr>
                    <w:t>聚酯纤维（25μm）</w:t>
                  </w:r>
                </w:p>
              </w:tc>
              <w:tc>
                <w:tcPr>
                  <w:tcW w:w="827" w:type="pct"/>
                  <w:vMerge w:val="continue"/>
                  <w:tcBorders>
                    <w:tl2br w:val="nil"/>
                    <w:tr2bl w:val="nil"/>
                  </w:tcBorders>
                  <w:vAlign w:val="center"/>
                </w:tcPr>
                <w:p w14:paraId="1493FBFE">
                  <w:pPr>
                    <w:widowControl/>
                    <w:jc w:val="center"/>
                    <w:textAlignment w:val="center"/>
                    <w:rPr>
                      <w:rFonts w:hint="default" w:ascii="Times New Roman" w:hAnsi="Times New Roman" w:eastAsia="宋体" w:cs="Times New Roman"/>
                      <w:color w:val="auto"/>
                      <w:sz w:val="21"/>
                      <w:szCs w:val="21"/>
                      <w:u w:val="none" w:color="auto"/>
                    </w:rPr>
                  </w:pPr>
                </w:p>
              </w:tc>
            </w:tr>
            <w:tr w14:paraId="12AD726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9" w:type="pct"/>
                  <w:tcBorders>
                    <w:tl2br w:val="nil"/>
                    <w:tr2bl w:val="nil"/>
                  </w:tcBorders>
                  <w:shd w:val="clear" w:color="auto" w:fill="auto"/>
                  <w:vAlign w:val="center"/>
                </w:tcPr>
                <w:p w14:paraId="24C36F80">
                  <w:pPr>
                    <w:snapToGrid w:val="0"/>
                    <w:spacing w:line="340" w:lineRule="exact"/>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17</w:t>
                  </w:r>
                </w:p>
              </w:tc>
              <w:tc>
                <w:tcPr>
                  <w:tcW w:w="863" w:type="pct"/>
                  <w:tcBorders>
                    <w:tl2br w:val="nil"/>
                    <w:tr2bl w:val="nil"/>
                  </w:tcBorders>
                  <w:shd w:val="clear" w:color="auto" w:fill="auto"/>
                  <w:vAlign w:val="center"/>
                </w:tcPr>
                <w:p w14:paraId="5EC7F0EB">
                  <w:pPr>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刀具</w:t>
                  </w:r>
                </w:p>
              </w:tc>
              <w:tc>
                <w:tcPr>
                  <w:tcW w:w="521" w:type="pct"/>
                  <w:tcBorders>
                    <w:tl2br w:val="nil"/>
                    <w:tr2bl w:val="nil"/>
                  </w:tcBorders>
                  <w:vAlign w:val="center"/>
                </w:tcPr>
                <w:p w14:paraId="778C8467">
                  <w:pPr>
                    <w:snapToGrid w:val="0"/>
                    <w:spacing w:line="340" w:lineRule="exact"/>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把/a</w:t>
                  </w:r>
                </w:p>
              </w:tc>
              <w:tc>
                <w:tcPr>
                  <w:tcW w:w="673" w:type="pct"/>
                  <w:tcBorders>
                    <w:tl2br w:val="nil"/>
                    <w:tr2bl w:val="nil"/>
                  </w:tcBorders>
                  <w:vAlign w:val="center"/>
                </w:tcPr>
                <w:p w14:paraId="38B31883">
                  <w:pPr>
                    <w:widowControl/>
                    <w:jc w:val="center"/>
                    <w:textAlignment w:val="center"/>
                    <w:rPr>
                      <w:rFonts w:hint="default" w:ascii="Times New Roman" w:hAnsi="Times New Roman" w:eastAsia="宋体" w:cs="Times New Roman"/>
                      <w:color w:val="auto"/>
                      <w:kern w:val="0"/>
                      <w:sz w:val="21"/>
                      <w:szCs w:val="21"/>
                      <w:u w:val="none" w:color="auto"/>
                      <w:lang w:bidi="ar"/>
                    </w:rPr>
                  </w:pPr>
                  <w:r>
                    <w:rPr>
                      <w:rStyle w:val="48"/>
                      <w:rFonts w:hint="default" w:ascii="Times New Roman" w:hAnsi="Times New Roman" w:eastAsia="宋体" w:cs="Times New Roman"/>
                      <w:b w:val="0"/>
                      <w:bCs w:val="0"/>
                      <w:color w:val="auto"/>
                      <w:sz w:val="21"/>
                      <w:szCs w:val="21"/>
                      <w:u w:val="none" w:color="auto"/>
                      <w:lang w:bidi="ar"/>
                    </w:rPr>
                    <w:t>5000</w:t>
                  </w:r>
                </w:p>
              </w:tc>
              <w:tc>
                <w:tcPr>
                  <w:tcW w:w="807" w:type="pct"/>
                  <w:tcBorders>
                    <w:tl2br w:val="nil"/>
                    <w:tr2bl w:val="nil"/>
                  </w:tcBorders>
                  <w:vAlign w:val="center"/>
                </w:tcPr>
                <w:p w14:paraId="31E869B6">
                  <w:pPr>
                    <w:widowControl/>
                    <w:jc w:val="center"/>
                    <w:textAlignment w:val="center"/>
                    <w:rPr>
                      <w:rFonts w:hint="default" w:ascii="Times New Roman" w:hAnsi="Times New Roman" w:eastAsia="宋体" w:cs="Times New Roman"/>
                      <w:color w:val="auto"/>
                      <w:sz w:val="21"/>
                      <w:szCs w:val="21"/>
                      <w:u w:val="none" w:color="auto"/>
                    </w:rPr>
                  </w:pPr>
                  <w:r>
                    <w:rPr>
                      <w:rStyle w:val="48"/>
                      <w:rFonts w:hint="default" w:ascii="Times New Roman" w:hAnsi="Times New Roman" w:eastAsia="宋体" w:cs="Times New Roman"/>
                      <w:b w:val="0"/>
                      <w:bCs w:val="0"/>
                      <w:color w:val="auto"/>
                      <w:sz w:val="21"/>
                      <w:szCs w:val="21"/>
                      <w:u w:val="none" w:color="auto"/>
                      <w:lang w:bidi="ar"/>
                    </w:rPr>
                    <w:t>1000</w:t>
                  </w:r>
                </w:p>
              </w:tc>
              <w:tc>
                <w:tcPr>
                  <w:tcW w:w="857" w:type="pct"/>
                  <w:tcBorders>
                    <w:tl2br w:val="nil"/>
                    <w:tr2bl w:val="nil"/>
                  </w:tcBorders>
                  <w:vAlign w:val="center"/>
                </w:tcPr>
                <w:p w14:paraId="6E288E86">
                  <w:pPr>
                    <w:widowControl/>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kern w:val="0"/>
                      <w:sz w:val="21"/>
                      <w:szCs w:val="21"/>
                      <w:u w:val="none" w:color="auto"/>
                      <w:lang w:bidi="ar"/>
                    </w:rPr>
                    <w:t>硬质合金涂层</w:t>
                  </w:r>
                </w:p>
              </w:tc>
              <w:tc>
                <w:tcPr>
                  <w:tcW w:w="827" w:type="pct"/>
                  <w:vMerge w:val="continue"/>
                  <w:tcBorders>
                    <w:tl2br w:val="nil"/>
                    <w:tr2bl w:val="nil"/>
                  </w:tcBorders>
                  <w:vAlign w:val="center"/>
                </w:tcPr>
                <w:p w14:paraId="4F93CED9">
                  <w:pPr>
                    <w:widowControl/>
                    <w:jc w:val="center"/>
                    <w:textAlignment w:val="center"/>
                    <w:rPr>
                      <w:rFonts w:hint="default" w:ascii="Times New Roman" w:hAnsi="Times New Roman" w:eastAsia="宋体" w:cs="Times New Roman"/>
                      <w:color w:val="auto"/>
                      <w:sz w:val="21"/>
                      <w:szCs w:val="21"/>
                      <w:u w:val="none" w:color="auto"/>
                    </w:rPr>
                  </w:pPr>
                </w:p>
              </w:tc>
            </w:tr>
            <w:tr w14:paraId="5883139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9" w:type="pct"/>
                  <w:tcBorders>
                    <w:tl2br w:val="nil"/>
                    <w:tr2bl w:val="nil"/>
                  </w:tcBorders>
                  <w:shd w:val="clear" w:color="auto" w:fill="auto"/>
                  <w:vAlign w:val="center"/>
                </w:tcPr>
                <w:p w14:paraId="056DBC96">
                  <w:pPr>
                    <w:snapToGrid w:val="0"/>
                    <w:spacing w:line="340" w:lineRule="exact"/>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18</w:t>
                  </w:r>
                </w:p>
              </w:tc>
              <w:tc>
                <w:tcPr>
                  <w:tcW w:w="863" w:type="pct"/>
                  <w:tcBorders>
                    <w:tl2br w:val="nil"/>
                    <w:tr2bl w:val="nil"/>
                  </w:tcBorders>
                  <w:shd w:val="clear" w:color="auto" w:fill="auto"/>
                  <w:vAlign w:val="center"/>
                </w:tcPr>
                <w:p w14:paraId="3F0173C9">
                  <w:pPr>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砂带</w:t>
                  </w:r>
                </w:p>
              </w:tc>
              <w:tc>
                <w:tcPr>
                  <w:tcW w:w="521" w:type="pct"/>
                  <w:tcBorders>
                    <w:tl2br w:val="nil"/>
                    <w:tr2bl w:val="nil"/>
                  </w:tcBorders>
                  <w:vAlign w:val="center"/>
                </w:tcPr>
                <w:p w14:paraId="5B5250A0">
                  <w:pPr>
                    <w:snapToGrid w:val="0"/>
                    <w:spacing w:line="340" w:lineRule="exact"/>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m/a</w:t>
                  </w:r>
                </w:p>
              </w:tc>
              <w:tc>
                <w:tcPr>
                  <w:tcW w:w="673" w:type="pct"/>
                  <w:tcBorders>
                    <w:tl2br w:val="nil"/>
                    <w:tr2bl w:val="nil"/>
                  </w:tcBorders>
                  <w:vAlign w:val="center"/>
                </w:tcPr>
                <w:p w14:paraId="5F5A5927">
                  <w:pPr>
                    <w:widowControl/>
                    <w:jc w:val="center"/>
                    <w:textAlignment w:val="center"/>
                    <w:rPr>
                      <w:rFonts w:hint="default" w:ascii="Times New Roman" w:hAnsi="Times New Roman" w:eastAsia="宋体" w:cs="Times New Roman"/>
                      <w:color w:val="auto"/>
                      <w:kern w:val="0"/>
                      <w:sz w:val="21"/>
                      <w:szCs w:val="21"/>
                      <w:u w:val="none" w:color="auto"/>
                      <w:lang w:bidi="ar"/>
                    </w:rPr>
                  </w:pPr>
                  <w:r>
                    <w:rPr>
                      <w:rStyle w:val="48"/>
                      <w:rFonts w:hint="default" w:ascii="Times New Roman" w:hAnsi="Times New Roman" w:eastAsia="宋体" w:cs="Times New Roman"/>
                      <w:b w:val="0"/>
                      <w:bCs w:val="0"/>
                      <w:color w:val="auto"/>
                      <w:sz w:val="21"/>
                      <w:szCs w:val="21"/>
                      <w:u w:val="none" w:color="auto"/>
                      <w:lang w:bidi="ar"/>
                    </w:rPr>
                    <w:t>12000</w:t>
                  </w:r>
                </w:p>
              </w:tc>
              <w:tc>
                <w:tcPr>
                  <w:tcW w:w="807" w:type="pct"/>
                  <w:tcBorders>
                    <w:tl2br w:val="nil"/>
                    <w:tr2bl w:val="nil"/>
                  </w:tcBorders>
                  <w:vAlign w:val="center"/>
                </w:tcPr>
                <w:p w14:paraId="1450A4BE">
                  <w:pPr>
                    <w:widowControl/>
                    <w:jc w:val="center"/>
                    <w:textAlignment w:val="center"/>
                    <w:rPr>
                      <w:rFonts w:hint="default" w:ascii="Times New Roman" w:hAnsi="Times New Roman" w:eastAsia="宋体" w:cs="Times New Roman"/>
                      <w:color w:val="auto"/>
                      <w:sz w:val="21"/>
                      <w:szCs w:val="21"/>
                      <w:u w:val="none" w:color="auto"/>
                    </w:rPr>
                  </w:pPr>
                  <w:r>
                    <w:rPr>
                      <w:rStyle w:val="48"/>
                      <w:rFonts w:hint="default" w:ascii="Times New Roman" w:hAnsi="Times New Roman" w:eastAsia="宋体" w:cs="Times New Roman"/>
                      <w:b w:val="0"/>
                      <w:bCs w:val="0"/>
                      <w:color w:val="auto"/>
                      <w:sz w:val="21"/>
                      <w:szCs w:val="21"/>
                      <w:u w:val="none" w:color="auto"/>
                      <w:lang w:bidi="ar"/>
                    </w:rPr>
                    <w:t>3000</w:t>
                  </w:r>
                </w:p>
              </w:tc>
              <w:tc>
                <w:tcPr>
                  <w:tcW w:w="857" w:type="pct"/>
                  <w:tcBorders>
                    <w:tl2br w:val="nil"/>
                    <w:tr2bl w:val="nil"/>
                  </w:tcBorders>
                  <w:vAlign w:val="center"/>
                </w:tcPr>
                <w:p w14:paraId="69C1E30F">
                  <w:pPr>
                    <w:widowControl/>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kern w:val="0"/>
                      <w:sz w:val="21"/>
                      <w:szCs w:val="21"/>
                      <w:u w:val="none" w:color="auto"/>
                      <w:lang w:bidi="ar"/>
                    </w:rPr>
                    <w:t>锆刚玉（P80-P240）</w:t>
                  </w:r>
                </w:p>
              </w:tc>
              <w:tc>
                <w:tcPr>
                  <w:tcW w:w="827" w:type="pct"/>
                  <w:vMerge w:val="continue"/>
                  <w:tcBorders>
                    <w:tl2br w:val="nil"/>
                    <w:tr2bl w:val="nil"/>
                  </w:tcBorders>
                  <w:vAlign w:val="center"/>
                </w:tcPr>
                <w:p w14:paraId="216DA674">
                  <w:pPr>
                    <w:widowControl/>
                    <w:jc w:val="center"/>
                    <w:textAlignment w:val="center"/>
                    <w:rPr>
                      <w:rFonts w:hint="default" w:ascii="Times New Roman" w:hAnsi="Times New Roman" w:eastAsia="宋体" w:cs="Times New Roman"/>
                      <w:color w:val="auto"/>
                      <w:sz w:val="21"/>
                      <w:szCs w:val="21"/>
                      <w:u w:val="none" w:color="auto"/>
                    </w:rPr>
                  </w:pPr>
                </w:p>
              </w:tc>
            </w:tr>
            <w:tr w14:paraId="2DF0E0C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23" w:hRule="atLeast"/>
                <w:jc w:val="center"/>
              </w:trPr>
              <w:tc>
                <w:tcPr>
                  <w:tcW w:w="449" w:type="pct"/>
                  <w:tcBorders>
                    <w:tl2br w:val="nil"/>
                    <w:tr2bl w:val="nil"/>
                  </w:tcBorders>
                  <w:shd w:val="clear" w:color="auto" w:fill="auto"/>
                  <w:vAlign w:val="center"/>
                </w:tcPr>
                <w:p w14:paraId="062D0522">
                  <w:pPr>
                    <w:snapToGrid w:val="0"/>
                    <w:spacing w:line="340" w:lineRule="exact"/>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19</w:t>
                  </w:r>
                </w:p>
              </w:tc>
              <w:tc>
                <w:tcPr>
                  <w:tcW w:w="863" w:type="pct"/>
                  <w:tcBorders>
                    <w:tl2br w:val="nil"/>
                    <w:tr2bl w:val="nil"/>
                  </w:tcBorders>
                  <w:shd w:val="clear" w:color="auto" w:fill="auto"/>
                  <w:vAlign w:val="center"/>
                </w:tcPr>
                <w:p w14:paraId="7E50C956">
                  <w:pPr>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润滑油</w:t>
                  </w:r>
                </w:p>
              </w:tc>
              <w:tc>
                <w:tcPr>
                  <w:tcW w:w="521" w:type="pct"/>
                  <w:tcBorders>
                    <w:tl2br w:val="nil"/>
                    <w:tr2bl w:val="nil"/>
                  </w:tcBorders>
                  <w:vAlign w:val="center"/>
                </w:tcPr>
                <w:p w14:paraId="15587129">
                  <w:pPr>
                    <w:snapToGrid w:val="0"/>
                    <w:spacing w:line="340" w:lineRule="exact"/>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t/a</w:t>
                  </w:r>
                </w:p>
              </w:tc>
              <w:tc>
                <w:tcPr>
                  <w:tcW w:w="673" w:type="pct"/>
                  <w:tcBorders>
                    <w:tl2br w:val="nil"/>
                    <w:tr2bl w:val="nil"/>
                  </w:tcBorders>
                  <w:vAlign w:val="center"/>
                </w:tcPr>
                <w:p w14:paraId="5986E393">
                  <w:pPr>
                    <w:widowControl/>
                    <w:jc w:val="center"/>
                    <w:textAlignment w:val="center"/>
                    <w:rPr>
                      <w:rStyle w:val="48"/>
                      <w:rFonts w:hint="default" w:ascii="Times New Roman" w:hAnsi="Times New Roman" w:eastAsia="宋体" w:cs="Times New Roman"/>
                      <w:b w:val="0"/>
                      <w:bCs w:val="0"/>
                      <w:color w:val="auto"/>
                      <w:sz w:val="21"/>
                      <w:szCs w:val="21"/>
                      <w:u w:val="none" w:color="auto"/>
                      <w:lang w:val="en-US" w:eastAsia="zh-CN" w:bidi="ar"/>
                    </w:rPr>
                  </w:pPr>
                  <w:r>
                    <w:rPr>
                      <w:rStyle w:val="48"/>
                      <w:rFonts w:hint="default" w:ascii="Times New Roman" w:hAnsi="Times New Roman" w:eastAsia="宋体" w:cs="Times New Roman"/>
                      <w:b w:val="0"/>
                      <w:bCs w:val="0"/>
                      <w:color w:val="auto"/>
                      <w:sz w:val="21"/>
                      <w:szCs w:val="21"/>
                      <w:u w:val="none" w:color="auto"/>
                      <w:lang w:val="en-US" w:eastAsia="zh-CN" w:bidi="ar"/>
                    </w:rPr>
                    <w:t>2.5</w:t>
                  </w:r>
                </w:p>
              </w:tc>
              <w:tc>
                <w:tcPr>
                  <w:tcW w:w="807" w:type="pct"/>
                  <w:tcBorders>
                    <w:tl2br w:val="nil"/>
                    <w:tr2bl w:val="nil"/>
                  </w:tcBorders>
                  <w:shd w:val="clear" w:color="auto" w:fill="auto"/>
                  <w:vAlign w:val="center"/>
                </w:tcPr>
                <w:p w14:paraId="199F8A1C">
                  <w:pPr>
                    <w:widowControl/>
                    <w:jc w:val="center"/>
                    <w:textAlignment w:val="center"/>
                    <w:rPr>
                      <w:rFonts w:hint="default" w:ascii="Times New Roman" w:hAnsi="Times New Roman" w:eastAsia="宋体" w:cs="Times New Roman"/>
                      <w:b w:val="0"/>
                      <w:bCs w:val="0"/>
                      <w:color w:val="auto"/>
                      <w:kern w:val="2"/>
                      <w:sz w:val="21"/>
                      <w:szCs w:val="21"/>
                      <w:u w:val="none" w:color="auto"/>
                      <w:lang w:val="en-US" w:eastAsia="zh-CN" w:bidi="ar"/>
                    </w:rPr>
                  </w:pPr>
                  <w:r>
                    <w:rPr>
                      <w:rFonts w:hint="default" w:ascii="Times New Roman" w:hAnsi="Times New Roman" w:eastAsia="宋体" w:cs="Times New Roman"/>
                      <w:color w:val="auto"/>
                      <w:sz w:val="21"/>
                      <w:szCs w:val="21"/>
                      <w:u w:val="none" w:color="auto"/>
                      <w:lang w:val="en-US" w:eastAsia="zh-CN"/>
                    </w:rPr>
                    <w:t>0.6</w:t>
                  </w:r>
                </w:p>
              </w:tc>
              <w:tc>
                <w:tcPr>
                  <w:tcW w:w="857" w:type="pct"/>
                  <w:tcBorders>
                    <w:tl2br w:val="nil"/>
                    <w:tr2bl w:val="nil"/>
                  </w:tcBorders>
                  <w:vAlign w:val="center"/>
                </w:tcPr>
                <w:p w14:paraId="28ED35AB">
                  <w:pPr>
                    <w:widowControl/>
                    <w:jc w:val="center"/>
                    <w:textAlignment w:val="center"/>
                    <w:rPr>
                      <w:rFonts w:hint="default" w:ascii="Times New Roman" w:hAnsi="Times New Roman" w:eastAsia="宋体" w:cs="Times New Roman"/>
                      <w:color w:val="auto"/>
                      <w:kern w:val="0"/>
                      <w:sz w:val="21"/>
                      <w:szCs w:val="21"/>
                      <w:u w:val="none" w:color="auto"/>
                      <w:lang w:bidi="ar"/>
                    </w:rPr>
                  </w:pPr>
                  <w:r>
                    <w:rPr>
                      <w:rFonts w:hint="default" w:ascii="Times New Roman" w:hAnsi="Times New Roman" w:eastAsia="宋体" w:cs="Times New Roman"/>
                      <w:color w:val="auto"/>
                      <w:kern w:val="0"/>
                      <w:sz w:val="21"/>
                      <w:szCs w:val="21"/>
                      <w:u w:val="none" w:color="auto"/>
                      <w:lang w:bidi="ar"/>
                    </w:rPr>
                    <w:t>合成齿轮油</w:t>
                  </w:r>
                </w:p>
              </w:tc>
              <w:tc>
                <w:tcPr>
                  <w:tcW w:w="827" w:type="pct"/>
                  <w:tcBorders>
                    <w:tl2br w:val="nil"/>
                    <w:tr2bl w:val="nil"/>
                  </w:tcBorders>
                  <w:vAlign w:val="center"/>
                </w:tcPr>
                <w:p w14:paraId="590CFCE3">
                  <w:pPr>
                    <w:widowControl/>
                    <w:jc w:val="center"/>
                    <w:textAlignment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机加工序</w:t>
                  </w:r>
                </w:p>
              </w:tc>
            </w:tr>
            <w:tr w14:paraId="5A1D2E3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9" w:type="pct"/>
                  <w:tcBorders>
                    <w:tl2br w:val="nil"/>
                    <w:tr2bl w:val="nil"/>
                  </w:tcBorders>
                  <w:shd w:val="clear" w:color="auto" w:fill="auto"/>
                  <w:vAlign w:val="center"/>
                </w:tcPr>
                <w:p w14:paraId="18A5DBE5">
                  <w:pPr>
                    <w:snapToGrid w:val="0"/>
                    <w:spacing w:line="340" w:lineRule="exact"/>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kern w:val="2"/>
                      <w:sz w:val="21"/>
                      <w:szCs w:val="21"/>
                      <w:u w:val="none" w:color="auto"/>
                      <w:lang w:val="en-US" w:eastAsia="zh-CN" w:bidi="ar-SA"/>
                    </w:rPr>
                    <w:t>20</w:t>
                  </w:r>
                </w:p>
              </w:tc>
              <w:tc>
                <w:tcPr>
                  <w:tcW w:w="863" w:type="pct"/>
                  <w:tcBorders>
                    <w:tl2br w:val="nil"/>
                    <w:tr2bl w:val="nil"/>
                  </w:tcBorders>
                  <w:shd w:val="clear" w:color="auto" w:fill="auto"/>
                  <w:vAlign w:val="center"/>
                </w:tcPr>
                <w:p w14:paraId="74697E1C">
                  <w:pPr>
                    <w:snapToGrid w:val="0"/>
                    <w:spacing w:line="340" w:lineRule="exact"/>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压缩空气</w:t>
                  </w:r>
                </w:p>
              </w:tc>
              <w:tc>
                <w:tcPr>
                  <w:tcW w:w="521" w:type="pct"/>
                  <w:tcBorders>
                    <w:tl2br w:val="nil"/>
                    <w:tr2bl w:val="nil"/>
                  </w:tcBorders>
                  <w:shd w:val="clear" w:color="auto" w:fill="auto"/>
                  <w:vAlign w:val="center"/>
                </w:tcPr>
                <w:p w14:paraId="1029C4D1">
                  <w:pPr>
                    <w:snapToGrid w:val="0"/>
                    <w:spacing w:line="340" w:lineRule="exact"/>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万m</w:t>
                  </w:r>
                  <w:r>
                    <w:rPr>
                      <w:rFonts w:hint="default" w:ascii="Times New Roman" w:hAnsi="Times New Roman" w:eastAsia="宋体" w:cs="Times New Roman"/>
                      <w:color w:val="auto"/>
                      <w:sz w:val="21"/>
                      <w:szCs w:val="21"/>
                      <w:u w:val="none" w:color="auto"/>
                      <w:vertAlign w:val="superscript"/>
                    </w:rPr>
                    <w:t>3</w:t>
                  </w:r>
                  <w:r>
                    <w:rPr>
                      <w:rFonts w:hint="default" w:ascii="Times New Roman" w:hAnsi="Times New Roman" w:eastAsia="宋体" w:cs="Times New Roman"/>
                      <w:color w:val="auto"/>
                      <w:sz w:val="21"/>
                      <w:szCs w:val="21"/>
                      <w:u w:val="none" w:color="auto"/>
                    </w:rPr>
                    <w:t>/a</w:t>
                  </w:r>
                </w:p>
              </w:tc>
              <w:tc>
                <w:tcPr>
                  <w:tcW w:w="673" w:type="pct"/>
                  <w:tcBorders>
                    <w:tl2br w:val="nil"/>
                    <w:tr2bl w:val="nil"/>
                  </w:tcBorders>
                  <w:shd w:val="clear" w:color="auto" w:fill="auto"/>
                  <w:vAlign w:val="center"/>
                </w:tcPr>
                <w:p w14:paraId="7796EE0B">
                  <w:pPr>
                    <w:widowControl/>
                    <w:jc w:val="center"/>
                    <w:textAlignment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170</w:t>
                  </w:r>
                </w:p>
              </w:tc>
              <w:tc>
                <w:tcPr>
                  <w:tcW w:w="807" w:type="pct"/>
                  <w:tcBorders>
                    <w:tl2br w:val="nil"/>
                    <w:tr2bl w:val="nil"/>
                  </w:tcBorders>
                  <w:shd w:val="clear" w:color="auto" w:fill="auto"/>
                  <w:vAlign w:val="center"/>
                </w:tcPr>
                <w:p w14:paraId="7D63E533">
                  <w:pPr>
                    <w:widowControl/>
                    <w:jc w:val="center"/>
                    <w:textAlignment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w:t>
                  </w:r>
                </w:p>
              </w:tc>
              <w:tc>
                <w:tcPr>
                  <w:tcW w:w="857" w:type="pct"/>
                  <w:tcBorders>
                    <w:tl2br w:val="nil"/>
                    <w:tr2bl w:val="nil"/>
                  </w:tcBorders>
                  <w:shd w:val="clear" w:color="auto" w:fill="auto"/>
                  <w:vAlign w:val="center"/>
                </w:tcPr>
                <w:p w14:paraId="36483399">
                  <w:pPr>
                    <w:widowControl/>
                    <w:jc w:val="center"/>
                    <w:textAlignment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kern w:val="0"/>
                      <w:sz w:val="21"/>
                      <w:szCs w:val="21"/>
                      <w:u w:val="none" w:color="auto"/>
                      <w:lang w:bidi="ar"/>
                    </w:rPr>
                    <w:t>0.7MPa（无油）</w:t>
                  </w:r>
                </w:p>
              </w:tc>
              <w:tc>
                <w:tcPr>
                  <w:tcW w:w="827" w:type="pct"/>
                  <w:tcBorders>
                    <w:tl2br w:val="nil"/>
                    <w:tr2bl w:val="nil"/>
                  </w:tcBorders>
                  <w:vAlign w:val="center"/>
                </w:tcPr>
                <w:p w14:paraId="5F1A9D45">
                  <w:pPr>
                    <w:widowControl/>
                    <w:jc w:val="center"/>
                    <w:textAlignment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各生产工序</w:t>
                  </w:r>
                </w:p>
              </w:tc>
            </w:tr>
            <w:tr w14:paraId="5F065D9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9" w:type="pct"/>
                  <w:tcBorders>
                    <w:tl2br w:val="nil"/>
                    <w:tr2bl w:val="nil"/>
                  </w:tcBorders>
                  <w:shd w:val="clear" w:color="auto" w:fill="auto"/>
                  <w:vAlign w:val="center"/>
                </w:tcPr>
                <w:p w14:paraId="64594C9A">
                  <w:pPr>
                    <w:snapToGrid w:val="0"/>
                    <w:spacing w:line="340" w:lineRule="exact"/>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21</w:t>
                  </w:r>
                </w:p>
              </w:tc>
              <w:tc>
                <w:tcPr>
                  <w:tcW w:w="863" w:type="pct"/>
                  <w:tcBorders>
                    <w:tl2br w:val="nil"/>
                    <w:tr2bl w:val="nil"/>
                  </w:tcBorders>
                  <w:shd w:val="clear" w:color="auto" w:fill="auto"/>
                  <w:vAlign w:val="center"/>
                </w:tcPr>
                <w:p w14:paraId="50575C31">
                  <w:pPr>
                    <w:snapToGrid w:val="0"/>
                    <w:spacing w:line="340" w:lineRule="exact"/>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电</w:t>
                  </w:r>
                </w:p>
              </w:tc>
              <w:tc>
                <w:tcPr>
                  <w:tcW w:w="521" w:type="pct"/>
                  <w:tcBorders>
                    <w:tl2br w:val="nil"/>
                    <w:tr2bl w:val="nil"/>
                  </w:tcBorders>
                  <w:shd w:val="clear" w:color="auto" w:fill="auto"/>
                  <w:vAlign w:val="center"/>
                </w:tcPr>
                <w:p w14:paraId="536521CA">
                  <w:pPr>
                    <w:snapToGrid w:val="0"/>
                    <w:spacing w:line="340" w:lineRule="exact"/>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万kW·h/a</w:t>
                  </w:r>
                </w:p>
              </w:tc>
              <w:tc>
                <w:tcPr>
                  <w:tcW w:w="673" w:type="pct"/>
                  <w:tcBorders>
                    <w:tl2br w:val="nil"/>
                    <w:tr2bl w:val="nil"/>
                  </w:tcBorders>
                  <w:shd w:val="clear" w:color="auto" w:fill="auto"/>
                  <w:vAlign w:val="center"/>
                </w:tcPr>
                <w:p w14:paraId="2CDB54F6">
                  <w:pPr>
                    <w:widowControl/>
                    <w:jc w:val="center"/>
                    <w:textAlignment w:val="center"/>
                    <w:rPr>
                      <w:rFonts w:hint="default" w:ascii="Times New Roman" w:hAnsi="Times New Roman" w:eastAsia="宋体" w:cs="Times New Roman"/>
                      <w:color w:val="auto"/>
                      <w:kern w:val="2"/>
                      <w:sz w:val="21"/>
                      <w:szCs w:val="21"/>
                      <w:u w:val="none" w:color="auto"/>
                      <w:lang w:val="en-US" w:eastAsia="zh-CN" w:bidi="ar-SA"/>
                    </w:rPr>
                  </w:pPr>
                  <w:r>
                    <w:rPr>
                      <w:rStyle w:val="48"/>
                      <w:rFonts w:hint="default" w:ascii="Times New Roman" w:hAnsi="Times New Roman" w:eastAsia="宋体" w:cs="Times New Roman"/>
                      <w:b w:val="0"/>
                      <w:bCs w:val="0"/>
                      <w:color w:val="auto"/>
                      <w:sz w:val="21"/>
                      <w:szCs w:val="21"/>
                      <w:highlight w:val="none"/>
                      <w:u w:val="none" w:color="auto"/>
                      <w:lang w:bidi="ar"/>
                    </w:rPr>
                    <w:t>2740.3</w:t>
                  </w:r>
                </w:p>
              </w:tc>
              <w:tc>
                <w:tcPr>
                  <w:tcW w:w="807" w:type="pct"/>
                  <w:tcBorders>
                    <w:tl2br w:val="nil"/>
                    <w:tr2bl w:val="nil"/>
                  </w:tcBorders>
                  <w:shd w:val="clear" w:color="auto" w:fill="auto"/>
                  <w:vAlign w:val="center"/>
                </w:tcPr>
                <w:p w14:paraId="59828D57">
                  <w:pPr>
                    <w:widowControl/>
                    <w:jc w:val="center"/>
                    <w:textAlignment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w:t>
                  </w:r>
                </w:p>
              </w:tc>
              <w:tc>
                <w:tcPr>
                  <w:tcW w:w="857" w:type="pct"/>
                  <w:tcBorders>
                    <w:tl2br w:val="nil"/>
                    <w:tr2bl w:val="nil"/>
                  </w:tcBorders>
                  <w:shd w:val="clear" w:color="auto" w:fill="auto"/>
                  <w:vAlign w:val="center"/>
                </w:tcPr>
                <w:p w14:paraId="1242A6DE">
                  <w:pPr>
                    <w:widowControl/>
                    <w:jc w:val="center"/>
                    <w:textAlignment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kern w:val="0"/>
                      <w:sz w:val="21"/>
                      <w:szCs w:val="21"/>
                      <w:u w:val="none" w:color="auto"/>
                      <w:lang w:bidi="ar"/>
                    </w:rPr>
                    <w:t>380V/50Hz</w:t>
                  </w:r>
                </w:p>
              </w:tc>
              <w:tc>
                <w:tcPr>
                  <w:tcW w:w="827" w:type="pct"/>
                  <w:tcBorders>
                    <w:tl2br w:val="nil"/>
                    <w:tr2bl w:val="nil"/>
                  </w:tcBorders>
                  <w:shd w:val="clear" w:color="auto" w:fill="auto"/>
                  <w:vAlign w:val="center"/>
                </w:tcPr>
                <w:p w14:paraId="62A76D69">
                  <w:pPr>
                    <w:widowControl/>
                    <w:jc w:val="center"/>
                    <w:textAlignment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kern w:val="0"/>
                      <w:sz w:val="21"/>
                      <w:szCs w:val="21"/>
                      <w:u w:val="none" w:color="auto"/>
                      <w:lang w:bidi="ar"/>
                    </w:rPr>
                    <w:t>能源</w:t>
                  </w:r>
                </w:p>
              </w:tc>
            </w:tr>
            <w:tr w14:paraId="65A0C08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9" w:type="pct"/>
                  <w:tcBorders>
                    <w:tl2br w:val="nil"/>
                    <w:tr2bl w:val="nil"/>
                  </w:tcBorders>
                  <w:shd w:val="clear" w:color="auto" w:fill="auto"/>
                  <w:vAlign w:val="center"/>
                </w:tcPr>
                <w:p w14:paraId="1ACA1988">
                  <w:pPr>
                    <w:snapToGrid w:val="0"/>
                    <w:spacing w:line="340" w:lineRule="exact"/>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22</w:t>
                  </w:r>
                </w:p>
              </w:tc>
              <w:tc>
                <w:tcPr>
                  <w:tcW w:w="863" w:type="pct"/>
                  <w:tcBorders>
                    <w:tl2br w:val="nil"/>
                    <w:tr2bl w:val="nil"/>
                  </w:tcBorders>
                  <w:shd w:val="clear" w:color="auto" w:fill="auto"/>
                  <w:vAlign w:val="center"/>
                </w:tcPr>
                <w:p w14:paraId="78F204B9">
                  <w:pPr>
                    <w:snapToGrid w:val="0"/>
                    <w:spacing w:line="340" w:lineRule="exact"/>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新鲜水</w:t>
                  </w:r>
                </w:p>
              </w:tc>
              <w:tc>
                <w:tcPr>
                  <w:tcW w:w="521" w:type="pct"/>
                  <w:tcBorders>
                    <w:tl2br w:val="nil"/>
                    <w:tr2bl w:val="nil"/>
                  </w:tcBorders>
                  <w:shd w:val="clear" w:color="auto" w:fill="auto"/>
                  <w:vAlign w:val="center"/>
                </w:tcPr>
                <w:p w14:paraId="46EF391B">
                  <w:pPr>
                    <w:snapToGrid w:val="0"/>
                    <w:spacing w:line="340" w:lineRule="exact"/>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t/a</w:t>
                  </w:r>
                </w:p>
              </w:tc>
              <w:tc>
                <w:tcPr>
                  <w:tcW w:w="673" w:type="pct"/>
                  <w:tcBorders>
                    <w:tl2br w:val="nil"/>
                    <w:tr2bl w:val="nil"/>
                  </w:tcBorders>
                  <w:shd w:val="clear" w:color="auto" w:fill="auto"/>
                  <w:vAlign w:val="center"/>
                </w:tcPr>
                <w:p w14:paraId="6C8FE78F">
                  <w:pPr>
                    <w:snapToGrid w:val="0"/>
                    <w:spacing w:line="340" w:lineRule="exact"/>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38452.425</w:t>
                  </w:r>
                </w:p>
              </w:tc>
              <w:tc>
                <w:tcPr>
                  <w:tcW w:w="807" w:type="pct"/>
                  <w:tcBorders>
                    <w:tl2br w:val="nil"/>
                    <w:tr2bl w:val="nil"/>
                  </w:tcBorders>
                  <w:shd w:val="clear" w:color="auto" w:fill="auto"/>
                  <w:vAlign w:val="center"/>
                </w:tcPr>
                <w:p w14:paraId="39E1B821">
                  <w:pPr>
                    <w:snapToGrid w:val="0"/>
                    <w:spacing w:line="340" w:lineRule="exact"/>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w:t>
                  </w:r>
                </w:p>
              </w:tc>
              <w:tc>
                <w:tcPr>
                  <w:tcW w:w="857" w:type="pct"/>
                  <w:tcBorders>
                    <w:tl2br w:val="nil"/>
                    <w:tr2bl w:val="nil"/>
                  </w:tcBorders>
                  <w:shd w:val="clear" w:color="auto" w:fill="auto"/>
                  <w:vAlign w:val="center"/>
                </w:tcPr>
                <w:p w14:paraId="600368EA">
                  <w:pPr>
                    <w:snapToGrid w:val="0"/>
                    <w:spacing w:line="340" w:lineRule="exact"/>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w:t>
                  </w:r>
                </w:p>
              </w:tc>
              <w:tc>
                <w:tcPr>
                  <w:tcW w:w="827" w:type="pct"/>
                  <w:tcBorders>
                    <w:tl2br w:val="nil"/>
                    <w:tr2bl w:val="nil"/>
                  </w:tcBorders>
                  <w:shd w:val="clear" w:color="auto" w:fill="auto"/>
                  <w:vAlign w:val="center"/>
                </w:tcPr>
                <w:p w14:paraId="71871171">
                  <w:pPr>
                    <w:widowControl/>
                    <w:jc w:val="center"/>
                    <w:textAlignment w:val="center"/>
                    <w:rPr>
                      <w:rFonts w:hint="default" w:ascii="Times New Roman" w:hAnsi="Times New Roman" w:eastAsia="宋体" w:cs="Times New Roman"/>
                      <w:color w:val="auto"/>
                      <w:kern w:val="0"/>
                      <w:sz w:val="21"/>
                      <w:szCs w:val="21"/>
                      <w:u w:val="none" w:color="auto"/>
                      <w:lang w:bidi="ar"/>
                    </w:rPr>
                  </w:pPr>
                  <w:r>
                    <w:rPr>
                      <w:rFonts w:hint="default" w:ascii="Times New Roman" w:hAnsi="Times New Roman" w:eastAsia="宋体" w:cs="Times New Roman"/>
                      <w:color w:val="auto"/>
                      <w:sz w:val="21"/>
                      <w:szCs w:val="21"/>
                      <w:u w:val="none" w:color="auto"/>
                    </w:rPr>
                    <w:t>/</w:t>
                  </w:r>
                </w:p>
              </w:tc>
            </w:tr>
            <w:tr w14:paraId="24C5162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9" w:type="pct"/>
                  <w:tcBorders>
                    <w:tl2br w:val="nil"/>
                    <w:tr2bl w:val="nil"/>
                  </w:tcBorders>
                  <w:shd w:val="clear" w:color="auto" w:fill="auto"/>
                  <w:vAlign w:val="center"/>
                </w:tcPr>
                <w:p w14:paraId="5A6FB7AE">
                  <w:pPr>
                    <w:snapToGrid w:val="0"/>
                    <w:spacing w:line="340" w:lineRule="exact"/>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23</w:t>
                  </w:r>
                </w:p>
              </w:tc>
              <w:tc>
                <w:tcPr>
                  <w:tcW w:w="863" w:type="pct"/>
                  <w:tcBorders>
                    <w:tl2br w:val="nil"/>
                    <w:tr2bl w:val="nil"/>
                  </w:tcBorders>
                  <w:shd w:val="clear" w:color="auto" w:fill="auto"/>
                  <w:vAlign w:val="center"/>
                </w:tcPr>
                <w:p w14:paraId="5F595499">
                  <w:pPr>
                    <w:snapToGrid w:val="0"/>
                    <w:spacing w:line="340" w:lineRule="exact"/>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PAC</w:t>
                  </w:r>
                </w:p>
              </w:tc>
              <w:tc>
                <w:tcPr>
                  <w:tcW w:w="521" w:type="pct"/>
                  <w:tcBorders>
                    <w:tl2br w:val="nil"/>
                    <w:tr2bl w:val="nil"/>
                  </w:tcBorders>
                  <w:shd w:val="clear" w:color="auto" w:fill="auto"/>
                  <w:vAlign w:val="center"/>
                </w:tcPr>
                <w:p w14:paraId="6976C00B">
                  <w:pPr>
                    <w:snapToGrid w:val="0"/>
                    <w:spacing w:line="340" w:lineRule="exact"/>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t/a</w:t>
                  </w:r>
                </w:p>
              </w:tc>
              <w:tc>
                <w:tcPr>
                  <w:tcW w:w="673" w:type="pct"/>
                  <w:tcBorders>
                    <w:tl2br w:val="nil"/>
                    <w:tr2bl w:val="nil"/>
                  </w:tcBorders>
                  <w:shd w:val="clear" w:color="auto" w:fill="auto"/>
                  <w:vAlign w:val="center"/>
                </w:tcPr>
                <w:p w14:paraId="7F2ED648">
                  <w:pPr>
                    <w:widowControl/>
                    <w:jc w:val="center"/>
                    <w:textAlignment w:val="center"/>
                    <w:rPr>
                      <w:rStyle w:val="48"/>
                      <w:rFonts w:hint="default" w:ascii="Times New Roman" w:hAnsi="Times New Roman" w:eastAsia="宋体" w:cs="Times New Roman"/>
                      <w:b w:val="0"/>
                      <w:bCs w:val="0"/>
                      <w:color w:val="auto"/>
                      <w:sz w:val="21"/>
                      <w:szCs w:val="21"/>
                      <w:highlight w:val="none"/>
                      <w:u w:val="none" w:color="auto"/>
                      <w:lang w:val="en-US" w:eastAsia="zh-CN" w:bidi="ar"/>
                    </w:rPr>
                  </w:pPr>
                  <w:r>
                    <w:rPr>
                      <w:rStyle w:val="48"/>
                      <w:rFonts w:hint="default" w:ascii="Times New Roman" w:hAnsi="Times New Roman" w:eastAsia="宋体" w:cs="Times New Roman"/>
                      <w:b w:val="0"/>
                      <w:bCs w:val="0"/>
                      <w:color w:val="auto"/>
                      <w:sz w:val="21"/>
                      <w:szCs w:val="21"/>
                      <w:highlight w:val="none"/>
                      <w:u w:val="none" w:color="auto"/>
                      <w:lang w:val="en-US" w:eastAsia="zh-CN" w:bidi="ar"/>
                    </w:rPr>
                    <w:t>4.32</w:t>
                  </w:r>
                </w:p>
              </w:tc>
              <w:tc>
                <w:tcPr>
                  <w:tcW w:w="807" w:type="pct"/>
                  <w:tcBorders>
                    <w:tl2br w:val="nil"/>
                    <w:tr2bl w:val="nil"/>
                  </w:tcBorders>
                  <w:shd w:val="clear" w:color="auto" w:fill="auto"/>
                  <w:vAlign w:val="center"/>
                </w:tcPr>
                <w:p w14:paraId="331B0662">
                  <w:pPr>
                    <w:widowControl/>
                    <w:jc w:val="center"/>
                    <w:textAlignment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0.2（设备配套容器内）</w:t>
                  </w:r>
                </w:p>
              </w:tc>
              <w:tc>
                <w:tcPr>
                  <w:tcW w:w="857" w:type="pct"/>
                  <w:tcBorders>
                    <w:tl2br w:val="nil"/>
                    <w:tr2bl w:val="nil"/>
                  </w:tcBorders>
                  <w:shd w:val="clear" w:color="auto" w:fill="auto"/>
                  <w:vAlign w:val="center"/>
                </w:tcPr>
                <w:p w14:paraId="2CE7C757">
                  <w:pPr>
                    <w:widowControl/>
                    <w:jc w:val="center"/>
                    <w:textAlignment w:val="center"/>
                    <w:rPr>
                      <w:rFonts w:hint="default" w:ascii="Times New Roman" w:hAnsi="Times New Roman" w:eastAsia="宋体" w:cs="Times New Roman"/>
                      <w:color w:val="auto"/>
                      <w:kern w:val="0"/>
                      <w:sz w:val="21"/>
                      <w:szCs w:val="21"/>
                      <w:u w:val="none" w:color="auto"/>
                      <w:lang w:val="en-US" w:eastAsia="zh-CN" w:bidi="ar"/>
                    </w:rPr>
                  </w:pPr>
                  <w:r>
                    <w:rPr>
                      <w:rFonts w:hint="default" w:ascii="Times New Roman" w:hAnsi="Times New Roman" w:eastAsia="宋体" w:cs="Times New Roman"/>
                      <w:color w:val="auto"/>
                      <w:kern w:val="0"/>
                      <w:sz w:val="21"/>
                      <w:szCs w:val="21"/>
                      <w:u w:val="none" w:color="auto"/>
                      <w:lang w:val="en-US" w:eastAsia="zh-CN" w:bidi="ar"/>
                    </w:rPr>
                    <w:t>/</w:t>
                  </w:r>
                </w:p>
              </w:tc>
              <w:tc>
                <w:tcPr>
                  <w:tcW w:w="827" w:type="pct"/>
                  <w:vMerge w:val="restart"/>
                  <w:tcBorders>
                    <w:tl2br w:val="nil"/>
                    <w:tr2bl w:val="nil"/>
                  </w:tcBorders>
                  <w:shd w:val="clear" w:color="auto" w:fill="auto"/>
                  <w:vAlign w:val="center"/>
                </w:tcPr>
                <w:p w14:paraId="1CB35F84">
                  <w:pPr>
                    <w:widowControl/>
                    <w:jc w:val="center"/>
                    <w:textAlignment w:val="center"/>
                    <w:rPr>
                      <w:rFonts w:hint="default" w:ascii="Times New Roman" w:hAnsi="Times New Roman" w:eastAsia="宋体" w:cs="Times New Roman"/>
                      <w:color w:val="auto"/>
                      <w:kern w:val="0"/>
                      <w:sz w:val="21"/>
                      <w:szCs w:val="21"/>
                      <w:u w:val="none" w:color="auto"/>
                      <w:lang w:val="en-US" w:eastAsia="zh-CN" w:bidi="ar"/>
                    </w:rPr>
                  </w:pPr>
                  <w:r>
                    <w:rPr>
                      <w:rFonts w:hint="default" w:ascii="Times New Roman" w:hAnsi="Times New Roman" w:eastAsia="宋体" w:cs="Times New Roman"/>
                      <w:color w:val="auto"/>
                      <w:kern w:val="0"/>
                      <w:sz w:val="21"/>
                      <w:szCs w:val="21"/>
                      <w:u w:val="none" w:color="auto"/>
                      <w:lang w:val="en-US" w:eastAsia="zh-CN" w:bidi="ar"/>
                    </w:rPr>
                    <w:t>TW004废水处理站</w:t>
                  </w:r>
                </w:p>
              </w:tc>
            </w:tr>
            <w:tr w14:paraId="3F3056B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9" w:type="pct"/>
                  <w:tcBorders>
                    <w:tl2br w:val="nil"/>
                    <w:tr2bl w:val="nil"/>
                  </w:tcBorders>
                  <w:shd w:val="clear" w:color="auto" w:fill="auto"/>
                  <w:vAlign w:val="center"/>
                </w:tcPr>
                <w:p w14:paraId="2FA65578">
                  <w:pPr>
                    <w:snapToGrid w:val="0"/>
                    <w:spacing w:line="340" w:lineRule="exact"/>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kern w:val="2"/>
                      <w:sz w:val="21"/>
                      <w:szCs w:val="21"/>
                      <w:u w:val="none" w:color="auto"/>
                      <w:lang w:val="en-US" w:eastAsia="zh-CN" w:bidi="ar-SA"/>
                    </w:rPr>
                    <w:t>24</w:t>
                  </w:r>
                </w:p>
              </w:tc>
              <w:tc>
                <w:tcPr>
                  <w:tcW w:w="863" w:type="pct"/>
                  <w:tcBorders>
                    <w:tl2br w:val="nil"/>
                    <w:tr2bl w:val="nil"/>
                  </w:tcBorders>
                  <w:shd w:val="clear" w:color="auto" w:fill="auto"/>
                  <w:vAlign w:val="center"/>
                </w:tcPr>
                <w:p w14:paraId="0A3466C7">
                  <w:pPr>
                    <w:snapToGrid w:val="0"/>
                    <w:spacing w:line="340" w:lineRule="exact"/>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PAM</w:t>
                  </w:r>
                </w:p>
              </w:tc>
              <w:tc>
                <w:tcPr>
                  <w:tcW w:w="521" w:type="pct"/>
                  <w:tcBorders>
                    <w:tl2br w:val="nil"/>
                    <w:tr2bl w:val="nil"/>
                  </w:tcBorders>
                  <w:shd w:val="clear" w:color="auto" w:fill="auto"/>
                  <w:vAlign w:val="center"/>
                </w:tcPr>
                <w:p w14:paraId="5DF413CF">
                  <w:pPr>
                    <w:snapToGrid w:val="0"/>
                    <w:spacing w:line="340" w:lineRule="exact"/>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t/a</w:t>
                  </w:r>
                </w:p>
              </w:tc>
              <w:tc>
                <w:tcPr>
                  <w:tcW w:w="673" w:type="pct"/>
                  <w:tcBorders>
                    <w:tl2br w:val="nil"/>
                    <w:tr2bl w:val="nil"/>
                  </w:tcBorders>
                  <w:shd w:val="clear" w:color="auto" w:fill="auto"/>
                  <w:vAlign w:val="center"/>
                </w:tcPr>
                <w:p w14:paraId="1D071CCE">
                  <w:pPr>
                    <w:widowControl/>
                    <w:jc w:val="center"/>
                    <w:textAlignment w:val="center"/>
                    <w:rPr>
                      <w:rStyle w:val="48"/>
                      <w:rFonts w:hint="default" w:ascii="Times New Roman" w:hAnsi="Times New Roman" w:eastAsia="宋体" w:cs="Times New Roman"/>
                      <w:b w:val="0"/>
                      <w:bCs w:val="0"/>
                      <w:color w:val="auto"/>
                      <w:sz w:val="21"/>
                      <w:szCs w:val="21"/>
                      <w:highlight w:val="none"/>
                      <w:u w:val="none" w:color="auto"/>
                      <w:lang w:val="en-US" w:eastAsia="zh-CN" w:bidi="ar"/>
                    </w:rPr>
                  </w:pPr>
                  <w:r>
                    <w:rPr>
                      <w:rStyle w:val="48"/>
                      <w:rFonts w:hint="default" w:ascii="Times New Roman" w:hAnsi="Times New Roman" w:eastAsia="宋体" w:cs="Times New Roman"/>
                      <w:b w:val="0"/>
                      <w:bCs w:val="0"/>
                      <w:color w:val="auto"/>
                      <w:sz w:val="21"/>
                      <w:szCs w:val="21"/>
                      <w:highlight w:val="none"/>
                      <w:u w:val="none" w:color="auto"/>
                      <w:lang w:val="en-US" w:eastAsia="zh-CN" w:bidi="ar"/>
                    </w:rPr>
                    <w:t>0.432</w:t>
                  </w:r>
                </w:p>
              </w:tc>
              <w:tc>
                <w:tcPr>
                  <w:tcW w:w="807" w:type="pct"/>
                  <w:tcBorders>
                    <w:tl2br w:val="nil"/>
                    <w:tr2bl w:val="nil"/>
                  </w:tcBorders>
                  <w:shd w:val="clear" w:color="auto" w:fill="auto"/>
                  <w:vAlign w:val="center"/>
                </w:tcPr>
                <w:p w14:paraId="0A418A5C">
                  <w:pPr>
                    <w:widowControl/>
                    <w:jc w:val="center"/>
                    <w:textAlignment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0.2（设备配套容器内）</w:t>
                  </w:r>
                </w:p>
              </w:tc>
              <w:tc>
                <w:tcPr>
                  <w:tcW w:w="857" w:type="pct"/>
                  <w:tcBorders>
                    <w:tl2br w:val="nil"/>
                    <w:tr2bl w:val="nil"/>
                  </w:tcBorders>
                  <w:shd w:val="clear" w:color="auto" w:fill="auto"/>
                  <w:vAlign w:val="center"/>
                </w:tcPr>
                <w:p w14:paraId="6753D94F">
                  <w:pPr>
                    <w:widowControl/>
                    <w:jc w:val="center"/>
                    <w:textAlignment w:val="center"/>
                    <w:rPr>
                      <w:rFonts w:hint="default" w:ascii="Times New Roman" w:hAnsi="Times New Roman" w:eastAsia="宋体" w:cs="Times New Roman"/>
                      <w:color w:val="auto"/>
                      <w:kern w:val="0"/>
                      <w:sz w:val="21"/>
                      <w:szCs w:val="21"/>
                      <w:u w:val="none" w:color="auto"/>
                      <w:lang w:val="en-US" w:eastAsia="zh-CN" w:bidi="ar"/>
                    </w:rPr>
                  </w:pPr>
                  <w:r>
                    <w:rPr>
                      <w:rFonts w:hint="default" w:ascii="Times New Roman" w:hAnsi="Times New Roman" w:eastAsia="宋体" w:cs="Times New Roman"/>
                      <w:color w:val="auto"/>
                      <w:kern w:val="0"/>
                      <w:sz w:val="21"/>
                      <w:szCs w:val="21"/>
                      <w:u w:val="none" w:color="auto"/>
                      <w:lang w:val="en-US" w:eastAsia="zh-CN" w:bidi="ar"/>
                    </w:rPr>
                    <w:t>/</w:t>
                  </w:r>
                </w:p>
              </w:tc>
              <w:tc>
                <w:tcPr>
                  <w:tcW w:w="827" w:type="pct"/>
                  <w:vMerge w:val="continue"/>
                  <w:tcBorders>
                    <w:tl2br w:val="nil"/>
                    <w:tr2bl w:val="nil"/>
                  </w:tcBorders>
                  <w:shd w:val="clear" w:color="auto" w:fill="auto"/>
                  <w:vAlign w:val="center"/>
                </w:tcPr>
                <w:p w14:paraId="67F5C8C5">
                  <w:pPr>
                    <w:widowControl/>
                    <w:jc w:val="center"/>
                    <w:textAlignment w:val="center"/>
                    <w:rPr>
                      <w:rFonts w:hint="default" w:ascii="Times New Roman" w:hAnsi="Times New Roman" w:eastAsia="宋体" w:cs="Times New Roman"/>
                      <w:color w:val="auto"/>
                      <w:kern w:val="0"/>
                      <w:sz w:val="21"/>
                      <w:szCs w:val="21"/>
                      <w:u w:val="none" w:color="auto"/>
                      <w:lang w:bidi="ar"/>
                    </w:rPr>
                  </w:pPr>
                </w:p>
              </w:tc>
            </w:tr>
          </w:tbl>
          <w:p w14:paraId="32D04C87">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b/>
                <w:bCs/>
                <w:color w:val="auto"/>
                <w:sz w:val="21"/>
                <w:szCs w:val="21"/>
                <w:highlight w:val="none"/>
                <w:u w:val="none" w:color="auto"/>
                <w:lang w:val="en-US" w:eastAsia="zh-CN"/>
              </w:rPr>
            </w:pPr>
            <w:r>
              <w:rPr>
                <w:rFonts w:hint="default" w:ascii="Times New Roman" w:hAnsi="Times New Roman" w:eastAsia="宋体" w:cs="Times New Roman"/>
                <w:b/>
                <w:bCs/>
                <w:color w:val="auto"/>
                <w:sz w:val="21"/>
                <w:szCs w:val="21"/>
                <w:highlight w:val="none"/>
                <w:u w:val="none" w:color="auto"/>
                <w:lang w:val="en-US" w:eastAsia="zh-CN"/>
              </w:rPr>
              <w:t>注：现有铝合金熔铸一厂所用原辅料均涉及二级保密要求，本次评价不予列出。</w:t>
            </w:r>
          </w:p>
          <w:p w14:paraId="6F4F4787">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default" w:ascii="Times New Roman" w:hAnsi="Times New Roman" w:eastAsia="宋体" w:cs="Times New Roman"/>
                <w:b/>
                <w:bCs/>
                <w:color w:val="auto"/>
                <w:sz w:val="24"/>
                <w:szCs w:val="24"/>
                <w:highlight w:val="none"/>
                <w:u w:val="none" w:color="auto"/>
              </w:rPr>
            </w:pPr>
            <w:r>
              <w:rPr>
                <w:rFonts w:hint="default" w:ascii="Times New Roman" w:hAnsi="Times New Roman" w:eastAsia="宋体" w:cs="Times New Roman"/>
                <w:b/>
                <w:bCs/>
                <w:color w:val="auto"/>
                <w:sz w:val="24"/>
                <w:szCs w:val="24"/>
                <w:highlight w:val="none"/>
                <w:u w:val="none" w:color="auto"/>
              </w:rPr>
              <w:t>原辅料理化性质：</w:t>
            </w:r>
          </w:p>
          <w:p w14:paraId="48C8F5A2">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color w:val="auto"/>
                <w:sz w:val="24"/>
                <w:szCs w:val="32"/>
                <w:u w:val="none" w:color="auto"/>
                <w:lang w:eastAsia="zh-CN"/>
              </w:rPr>
            </w:pPr>
            <w:r>
              <w:rPr>
                <w:rFonts w:hint="default" w:ascii="Times New Roman" w:hAnsi="Times New Roman" w:eastAsia="宋体" w:cs="Times New Roman"/>
                <w:b/>
                <w:bCs/>
                <w:color w:val="auto"/>
                <w:sz w:val="24"/>
                <w:szCs w:val="32"/>
                <w:u w:val="none" w:color="auto"/>
              </w:rPr>
              <w:t>铝锭</w:t>
            </w:r>
            <w:r>
              <w:rPr>
                <w:rFonts w:hint="default" w:ascii="Times New Roman" w:hAnsi="Times New Roman" w:eastAsia="宋体" w:cs="Times New Roman"/>
                <w:b/>
                <w:bCs/>
                <w:color w:val="auto"/>
                <w:sz w:val="24"/>
                <w:szCs w:val="32"/>
                <w:u w:val="none" w:color="auto"/>
                <w:lang w:eastAsia="zh-CN"/>
              </w:rPr>
              <w:t>（</w:t>
            </w:r>
            <w:r>
              <w:rPr>
                <w:rFonts w:hint="default" w:ascii="Times New Roman" w:hAnsi="Times New Roman" w:eastAsia="宋体" w:cs="Times New Roman"/>
                <w:b/>
                <w:bCs/>
                <w:color w:val="auto"/>
                <w:sz w:val="24"/>
                <w:szCs w:val="32"/>
                <w:u w:val="none" w:color="auto"/>
              </w:rPr>
              <w:t>A00级（Al≥99.7%）</w:t>
            </w:r>
            <w:r>
              <w:rPr>
                <w:rFonts w:hint="default" w:ascii="Times New Roman" w:hAnsi="Times New Roman" w:eastAsia="宋体" w:cs="Times New Roman"/>
                <w:b/>
                <w:bCs/>
                <w:color w:val="auto"/>
                <w:sz w:val="24"/>
                <w:szCs w:val="32"/>
                <w:u w:val="none" w:color="auto"/>
                <w:lang w:eastAsia="zh-CN"/>
              </w:rPr>
              <w:t>）：</w:t>
            </w:r>
            <w:r>
              <w:rPr>
                <w:rFonts w:hint="default" w:ascii="Times New Roman" w:hAnsi="Times New Roman" w:eastAsia="宋体" w:cs="Times New Roman"/>
                <w:color w:val="auto"/>
                <w:sz w:val="24"/>
                <w:szCs w:val="32"/>
                <w:u w:val="none" w:color="auto"/>
                <w:lang w:eastAsia="zh-CN"/>
              </w:rPr>
              <w:t>银白色金属，密度2.7g/cm³，熔点660.3℃，导电导热性能优异，抗腐蚀性强，广泛应用于航空航天、建筑、电力等领域。其轻质高强的特性使其成为制造飞机、汽车的关键材料，同时在电子设备中也扮演重要角色。</w:t>
            </w:r>
          </w:p>
          <w:p w14:paraId="4FA91938">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color w:val="auto"/>
                <w:sz w:val="24"/>
                <w:szCs w:val="32"/>
                <w:u w:val="none" w:color="auto"/>
                <w:lang w:eastAsia="zh-CN"/>
              </w:rPr>
            </w:pPr>
            <w:r>
              <w:rPr>
                <w:rFonts w:hint="default" w:ascii="Times New Roman" w:hAnsi="Times New Roman" w:eastAsia="宋体" w:cs="Times New Roman"/>
                <w:b/>
                <w:bCs/>
                <w:color w:val="auto"/>
                <w:sz w:val="24"/>
                <w:szCs w:val="32"/>
                <w:u w:val="none" w:color="auto"/>
              </w:rPr>
              <w:t>铜板</w:t>
            </w:r>
            <w:r>
              <w:rPr>
                <w:rFonts w:hint="default" w:ascii="Times New Roman" w:hAnsi="Times New Roman" w:eastAsia="宋体" w:cs="Times New Roman"/>
                <w:b/>
                <w:bCs/>
                <w:color w:val="auto"/>
                <w:sz w:val="24"/>
                <w:szCs w:val="32"/>
                <w:u w:val="none" w:color="auto"/>
                <w:lang w:eastAsia="zh-CN"/>
              </w:rPr>
              <w:t>（</w:t>
            </w:r>
            <w:r>
              <w:rPr>
                <w:rFonts w:hint="default" w:ascii="Times New Roman" w:hAnsi="Times New Roman" w:eastAsia="宋体" w:cs="Times New Roman"/>
                <w:b/>
                <w:bCs/>
                <w:color w:val="auto"/>
                <w:sz w:val="24"/>
                <w:szCs w:val="32"/>
                <w:u w:val="none" w:color="auto"/>
              </w:rPr>
              <w:t>T2（Cu≥99.9%）</w:t>
            </w:r>
            <w:r>
              <w:rPr>
                <w:rFonts w:hint="default" w:ascii="Times New Roman" w:hAnsi="Times New Roman" w:eastAsia="宋体" w:cs="Times New Roman"/>
                <w:b/>
                <w:bCs/>
                <w:color w:val="auto"/>
                <w:sz w:val="24"/>
                <w:szCs w:val="32"/>
                <w:u w:val="none" w:color="auto"/>
                <w:lang w:eastAsia="zh-CN"/>
              </w:rPr>
              <w:t>）：</w:t>
            </w:r>
            <w:r>
              <w:rPr>
                <w:rFonts w:hint="default" w:ascii="Times New Roman" w:hAnsi="Times New Roman" w:eastAsia="宋体" w:cs="Times New Roman"/>
                <w:color w:val="auto"/>
                <w:sz w:val="24"/>
                <w:szCs w:val="32"/>
                <w:u w:val="none" w:color="auto"/>
                <w:lang w:eastAsia="zh-CN"/>
              </w:rPr>
              <w:t>紫红色金属，密度8.96g/cm³，熔点1083℃，导电性极佳，耐腐蚀，广泛用于电气、电子、建筑行业。其优良的导热性能使其在散热系统中不可或缺，同时在造币、艺术品制作中也具有重要地位。</w:t>
            </w:r>
          </w:p>
          <w:p w14:paraId="26346FCA">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color w:val="auto"/>
                <w:sz w:val="24"/>
                <w:szCs w:val="32"/>
                <w:u w:val="none" w:color="auto"/>
                <w:lang w:eastAsia="zh-CN"/>
              </w:rPr>
            </w:pPr>
            <w:r>
              <w:rPr>
                <w:rFonts w:hint="default" w:ascii="Times New Roman" w:hAnsi="Times New Roman" w:eastAsia="宋体" w:cs="Times New Roman"/>
                <w:b/>
                <w:bCs/>
                <w:color w:val="auto"/>
                <w:sz w:val="24"/>
                <w:szCs w:val="32"/>
                <w:u w:val="none" w:color="auto"/>
              </w:rPr>
              <w:t>硅锭</w:t>
            </w:r>
            <w:r>
              <w:rPr>
                <w:rFonts w:hint="default" w:ascii="Times New Roman" w:hAnsi="Times New Roman" w:eastAsia="宋体" w:cs="Times New Roman"/>
                <w:b/>
                <w:bCs/>
                <w:color w:val="auto"/>
                <w:sz w:val="24"/>
                <w:szCs w:val="32"/>
                <w:u w:val="none" w:color="auto"/>
                <w:lang w:eastAsia="zh-CN"/>
              </w:rPr>
              <w:t>（</w:t>
            </w:r>
            <w:r>
              <w:rPr>
                <w:rFonts w:hint="default" w:ascii="Times New Roman" w:hAnsi="Times New Roman" w:eastAsia="宋体" w:cs="Times New Roman"/>
                <w:b/>
                <w:bCs/>
                <w:color w:val="auto"/>
                <w:sz w:val="24"/>
                <w:szCs w:val="32"/>
                <w:u w:val="none" w:color="auto"/>
              </w:rPr>
              <w:t>冶金级（≥98.5% Si）</w:t>
            </w:r>
            <w:r>
              <w:rPr>
                <w:rFonts w:hint="default" w:ascii="Times New Roman" w:hAnsi="Times New Roman" w:eastAsia="宋体" w:cs="Times New Roman"/>
                <w:b/>
                <w:bCs/>
                <w:color w:val="auto"/>
                <w:sz w:val="24"/>
                <w:szCs w:val="32"/>
                <w:u w:val="none" w:color="auto"/>
                <w:lang w:eastAsia="zh-CN"/>
              </w:rPr>
              <w:t>）：</w:t>
            </w:r>
            <w:r>
              <w:rPr>
                <w:rFonts w:hint="default" w:ascii="Times New Roman" w:hAnsi="Times New Roman" w:eastAsia="宋体" w:cs="Times New Roman"/>
                <w:color w:val="auto"/>
                <w:sz w:val="24"/>
                <w:szCs w:val="32"/>
                <w:u w:val="none" w:color="auto"/>
                <w:lang w:eastAsia="zh-CN"/>
              </w:rPr>
              <w:t>灰黑色固体，密度2.33g/cm³，熔点1414℃，半导体特性显著，广泛应用于光伏、电子、化工领域。其高纯度形态是制造太阳能电池的关键材料，同时在合金制造和陶瓷生产中也发挥重要作用。</w:t>
            </w:r>
          </w:p>
          <w:p w14:paraId="6170112C">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color w:val="auto"/>
                <w:sz w:val="24"/>
                <w:szCs w:val="32"/>
                <w:u w:val="none" w:color="auto"/>
                <w:lang w:eastAsia="zh-CN"/>
              </w:rPr>
            </w:pPr>
            <w:r>
              <w:rPr>
                <w:rFonts w:hint="default" w:ascii="Times New Roman" w:hAnsi="Times New Roman" w:eastAsia="宋体" w:cs="Times New Roman"/>
                <w:b/>
                <w:bCs/>
                <w:color w:val="auto"/>
                <w:sz w:val="24"/>
                <w:szCs w:val="32"/>
                <w:u w:val="none" w:color="auto"/>
              </w:rPr>
              <w:t>天然气</w:t>
            </w:r>
            <w:r>
              <w:rPr>
                <w:rFonts w:hint="default" w:ascii="Times New Roman" w:hAnsi="Times New Roman" w:eastAsia="宋体" w:cs="Times New Roman"/>
                <w:b/>
                <w:bCs/>
                <w:color w:val="auto"/>
                <w:sz w:val="24"/>
                <w:szCs w:val="32"/>
                <w:u w:val="none" w:color="auto"/>
                <w:lang w:eastAsia="zh-CN"/>
              </w:rPr>
              <w:t>：</w:t>
            </w:r>
            <w:r>
              <w:rPr>
                <w:rFonts w:hint="default" w:ascii="Times New Roman" w:hAnsi="Times New Roman" w:eastAsia="宋体" w:cs="Times New Roman"/>
                <w:color w:val="auto"/>
                <w:sz w:val="24"/>
                <w:szCs w:val="32"/>
                <w:u w:val="none" w:color="auto"/>
                <w:lang w:eastAsia="zh-CN"/>
              </w:rPr>
              <w:t>无色无味气体，密度0.7174kg/m³，主要成分甲烷，热值高，清洁环保，广泛用于居民生活、工业燃料及发电。其输送便捷、燃烧效率高的特点，使其在能源结构中占据重要地位，尤其在冬季供暖和城市燃气供应中不可或缺。天然气作为清洁能源，不仅减少环境污染，还助力可持续发展，其战略储备对国家安全至关重要。</w:t>
            </w:r>
          </w:p>
          <w:p w14:paraId="24778F16">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color w:val="auto"/>
                <w:sz w:val="24"/>
                <w:szCs w:val="32"/>
                <w:u w:val="none" w:color="auto"/>
                <w:lang w:eastAsia="zh-CN"/>
              </w:rPr>
            </w:pPr>
            <w:r>
              <w:rPr>
                <w:rFonts w:hint="default" w:ascii="Times New Roman" w:hAnsi="Times New Roman" w:eastAsia="宋体" w:cs="Times New Roman"/>
                <w:b/>
                <w:bCs/>
                <w:color w:val="auto"/>
                <w:sz w:val="24"/>
                <w:szCs w:val="32"/>
                <w:u w:val="none" w:color="auto"/>
              </w:rPr>
              <w:t>氩气</w:t>
            </w:r>
            <w:r>
              <w:rPr>
                <w:rFonts w:hint="default" w:ascii="Times New Roman" w:hAnsi="Times New Roman" w:eastAsia="宋体" w:cs="Times New Roman"/>
                <w:b/>
                <w:bCs/>
                <w:color w:val="auto"/>
                <w:sz w:val="24"/>
                <w:szCs w:val="32"/>
                <w:u w:val="none" w:color="auto"/>
                <w:lang w:eastAsia="zh-CN"/>
              </w:rPr>
              <w:t>：</w:t>
            </w:r>
            <w:r>
              <w:rPr>
                <w:rFonts w:hint="default" w:ascii="Times New Roman" w:hAnsi="Times New Roman" w:eastAsia="宋体" w:cs="Times New Roman"/>
                <w:color w:val="auto"/>
                <w:sz w:val="24"/>
                <w:szCs w:val="32"/>
                <w:u w:val="none" w:color="auto"/>
                <w:lang w:eastAsia="zh-CN"/>
              </w:rPr>
              <w:t>无色无味惰性气体，密度1.784kg/m³，化学性质稳定，广泛用于焊接、金属加工及半导体制造。其保护气氛的特性，确保高温作业中材料不氧化，提升产品质量。氩气在航空航天、电子行业的精密制造中不可或缺，同时也在医疗领域的低温手术中发挥重要作用，保障国家安全与科技进步。</w:t>
            </w:r>
          </w:p>
          <w:p w14:paraId="18C31DF5">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color w:val="auto"/>
                <w:sz w:val="24"/>
                <w:szCs w:val="32"/>
                <w:u w:val="none" w:color="auto"/>
                <w:lang w:eastAsia="zh-CN"/>
              </w:rPr>
            </w:pPr>
            <w:r>
              <w:rPr>
                <w:rFonts w:hint="default" w:ascii="Times New Roman" w:hAnsi="Times New Roman" w:eastAsia="宋体" w:cs="Times New Roman"/>
                <w:b/>
                <w:bCs/>
                <w:color w:val="auto"/>
                <w:sz w:val="24"/>
                <w:szCs w:val="32"/>
                <w:u w:val="none" w:color="auto"/>
              </w:rPr>
              <w:t>氮气</w:t>
            </w:r>
            <w:r>
              <w:rPr>
                <w:rFonts w:hint="default" w:ascii="Times New Roman" w:hAnsi="Times New Roman" w:eastAsia="宋体" w:cs="Times New Roman"/>
                <w:b/>
                <w:bCs/>
                <w:color w:val="auto"/>
                <w:sz w:val="24"/>
                <w:szCs w:val="32"/>
                <w:u w:val="none" w:color="auto"/>
                <w:lang w:eastAsia="zh-CN"/>
              </w:rPr>
              <w:t>：</w:t>
            </w:r>
            <w:r>
              <w:rPr>
                <w:rFonts w:hint="default" w:ascii="Times New Roman" w:hAnsi="Times New Roman" w:eastAsia="宋体" w:cs="Times New Roman"/>
                <w:color w:val="auto"/>
                <w:sz w:val="24"/>
                <w:szCs w:val="32"/>
                <w:u w:val="none" w:color="auto"/>
                <w:lang w:eastAsia="zh-CN"/>
              </w:rPr>
              <w:t>无色无味惰性气体，密度1.251kg/m³，化学性质极稳定，广泛用于食品保鲜、工业冷却及电子制造。其低温液态形式在超导研究中至关重要，同时在医疗领域的液氮冷冻治疗中也扮演关键角色，保障食品安全与科技进步。</w:t>
            </w:r>
          </w:p>
          <w:p w14:paraId="66F16540">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color w:val="auto"/>
                <w:sz w:val="24"/>
                <w:szCs w:val="32"/>
                <w:u w:val="none" w:color="auto"/>
                <w:lang w:eastAsia="zh-CN"/>
              </w:rPr>
            </w:pPr>
            <w:r>
              <w:rPr>
                <w:rFonts w:hint="default" w:ascii="Times New Roman" w:hAnsi="Times New Roman" w:eastAsia="宋体" w:cs="Times New Roman"/>
                <w:b/>
                <w:bCs/>
                <w:color w:val="auto"/>
                <w:sz w:val="24"/>
                <w:szCs w:val="32"/>
                <w:u w:val="none" w:color="auto"/>
              </w:rPr>
              <w:t>生物质颗粒</w:t>
            </w:r>
            <w:r>
              <w:rPr>
                <w:rFonts w:hint="default" w:ascii="Times New Roman" w:hAnsi="Times New Roman" w:eastAsia="宋体" w:cs="Times New Roman"/>
                <w:b/>
                <w:bCs/>
                <w:color w:val="auto"/>
                <w:sz w:val="24"/>
                <w:szCs w:val="32"/>
                <w:u w:val="none" w:color="auto"/>
                <w:lang w:eastAsia="zh-CN"/>
              </w:rPr>
              <w:t>：</w:t>
            </w:r>
            <w:r>
              <w:rPr>
                <w:rFonts w:hint="default" w:ascii="Times New Roman" w:hAnsi="Times New Roman" w:eastAsia="宋体" w:cs="Times New Roman"/>
                <w:color w:val="auto"/>
                <w:sz w:val="24"/>
                <w:szCs w:val="32"/>
                <w:u w:val="none" w:color="auto"/>
                <w:lang w:eastAsia="zh-CN"/>
              </w:rPr>
              <w:t>棕黑色固体，密度约1.1-1.3g/cm³，热值高，环保可再生，广泛用于供暖、发电及工业燃料。其原料来源广泛，燃烧后排放低，助力节能减排，提升能源利用效率，尤其在农村地区替代传统燃料，促进生态环境改善和可持续发展。</w:t>
            </w:r>
          </w:p>
          <w:p w14:paraId="2F83D957">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color w:val="auto"/>
                <w:sz w:val="24"/>
                <w:szCs w:val="32"/>
                <w:u w:val="none" w:color="auto"/>
                <w:lang w:val="en-US" w:eastAsia="zh-CN"/>
              </w:rPr>
            </w:pPr>
            <w:r>
              <w:rPr>
                <w:rFonts w:hint="default" w:ascii="Times New Roman" w:hAnsi="Times New Roman" w:eastAsia="宋体" w:cs="Times New Roman"/>
                <w:b/>
                <w:bCs/>
                <w:color w:val="auto"/>
                <w:sz w:val="24"/>
                <w:szCs w:val="32"/>
                <w:u w:val="none" w:color="auto"/>
              </w:rPr>
              <w:t>脱模剂</w:t>
            </w:r>
            <w:r>
              <w:rPr>
                <w:rFonts w:hint="default" w:ascii="Times New Roman" w:hAnsi="Times New Roman" w:eastAsia="宋体" w:cs="Times New Roman"/>
                <w:b/>
                <w:bCs/>
                <w:color w:val="auto"/>
                <w:sz w:val="24"/>
                <w:szCs w:val="32"/>
                <w:u w:val="none" w:color="auto"/>
                <w:lang w:eastAsia="zh-CN"/>
              </w:rPr>
              <w:t>（</w:t>
            </w:r>
            <w:r>
              <w:rPr>
                <w:rFonts w:hint="default" w:ascii="Times New Roman" w:hAnsi="Times New Roman" w:eastAsia="宋体" w:cs="Times New Roman"/>
                <w:b/>
                <w:bCs/>
                <w:color w:val="auto"/>
                <w:sz w:val="24"/>
                <w:szCs w:val="32"/>
                <w:u w:val="none" w:color="auto"/>
              </w:rPr>
              <w:t>水基（耐温≥700℃）</w:t>
            </w:r>
            <w:r>
              <w:rPr>
                <w:rFonts w:hint="default" w:ascii="Times New Roman" w:hAnsi="Times New Roman" w:eastAsia="宋体" w:cs="Times New Roman"/>
                <w:b/>
                <w:bCs/>
                <w:color w:val="auto"/>
                <w:sz w:val="24"/>
                <w:szCs w:val="32"/>
                <w:u w:val="none" w:color="auto"/>
                <w:lang w:eastAsia="zh-CN"/>
              </w:rPr>
              <w:t>：</w:t>
            </w:r>
            <w:r>
              <w:rPr>
                <w:rFonts w:hint="default" w:ascii="Times New Roman" w:hAnsi="Times New Roman" w:eastAsia="宋体" w:cs="Times New Roman"/>
                <w:color w:val="auto"/>
                <w:sz w:val="24"/>
                <w:szCs w:val="32"/>
                <w:u w:val="none" w:color="auto"/>
                <w:lang w:eastAsia="zh-CN"/>
              </w:rPr>
              <w:t>透明液体，密度1.0-1.2g/cm³，</w:t>
            </w:r>
            <w:r>
              <w:rPr>
                <w:rFonts w:hint="default" w:ascii="Times New Roman" w:hAnsi="Times New Roman" w:eastAsia="宋体" w:cs="Times New Roman"/>
                <w:color w:val="auto"/>
                <w:sz w:val="24"/>
                <w:szCs w:val="32"/>
                <w:u w:val="none" w:color="auto"/>
                <w:lang w:val="en-US" w:eastAsia="zh-CN"/>
              </w:rPr>
              <w:t>采用环保型脱模剂（不含重金属、氯元素等）。</w:t>
            </w:r>
            <w:r>
              <w:rPr>
                <w:rFonts w:hint="default" w:ascii="Times New Roman" w:hAnsi="Times New Roman" w:eastAsia="宋体" w:cs="Times New Roman"/>
                <w:color w:val="auto"/>
                <w:sz w:val="24"/>
                <w:szCs w:val="32"/>
                <w:u w:val="none" w:color="auto"/>
                <w:lang w:eastAsia="zh-CN"/>
              </w:rPr>
              <w:t>耐高温，润滑性强，广泛应用于模具制造、铸造及塑料加工。其环保特性减少污染，提升产品表面光洁度，降低生产成本，保障工业生产高效运行，助力制造业绿色发展。其环保特性减少污染，提升产品表面光洁度，降低生产成本，保障工业生产高效运行，助力制造业绿色发展。</w:t>
            </w:r>
          </w:p>
          <w:p w14:paraId="62DF9822">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color w:val="auto"/>
                <w:sz w:val="24"/>
                <w:szCs w:val="32"/>
                <w:u w:val="none" w:color="auto"/>
                <w:lang w:eastAsia="zh-CN"/>
              </w:rPr>
            </w:pPr>
            <w:r>
              <w:rPr>
                <w:rFonts w:hint="default" w:ascii="Times New Roman" w:hAnsi="Times New Roman" w:eastAsia="宋体" w:cs="Times New Roman"/>
                <w:b/>
                <w:bCs/>
                <w:color w:val="auto"/>
                <w:sz w:val="24"/>
                <w:szCs w:val="32"/>
                <w:u w:val="none" w:color="auto"/>
              </w:rPr>
              <w:t>液压油</w:t>
            </w:r>
            <w:r>
              <w:rPr>
                <w:rFonts w:hint="default" w:ascii="Times New Roman" w:hAnsi="Times New Roman" w:eastAsia="宋体" w:cs="Times New Roman"/>
                <w:b/>
                <w:bCs/>
                <w:color w:val="auto"/>
                <w:sz w:val="24"/>
                <w:szCs w:val="32"/>
                <w:u w:val="none" w:color="auto"/>
                <w:lang w:eastAsia="zh-CN"/>
              </w:rPr>
              <w:t>（</w:t>
            </w:r>
            <w:r>
              <w:rPr>
                <w:rFonts w:hint="default" w:ascii="Times New Roman" w:hAnsi="Times New Roman" w:eastAsia="宋体" w:cs="Times New Roman"/>
                <w:b/>
                <w:bCs/>
                <w:color w:val="auto"/>
                <w:sz w:val="24"/>
                <w:szCs w:val="32"/>
                <w:u w:val="none" w:color="auto"/>
              </w:rPr>
              <w:t>合成齿轮油</w:t>
            </w:r>
            <w:r>
              <w:rPr>
                <w:rFonts w:hint="default" w:ascii="Times New Roman" w:hAnsi="Times New Roman" w:eastAsia="宋体" w:cs="Times New Roman"/>
                <w:b/>
                <w:bCs/>
                <w:color w:val="auto"/>
                <w:sz w:val="24"/>
                <w:szCs w:val="32"/>
                <w:u w:val="none" w:color="auto"/>
                <w:lang w:eastAsia="zh-CN"/>
              </w:rPr>
              <w:t>）：</w:t>
            </w:r>
            <w:r>
              <w:rPr>
                <w:rFonts w:hint="default" w:ascii="Times New Roman" w:hAnsi="Times New Roman" w:eastAsia="宋体" w:cs="Times New Roman"/>
                <w:color w:val="auto"/>
                <w:sz w:val="24"/>
                <w:szCs w:val="32"/>
                <w:u w:val="none" w:color="auto"/>
                <w:lang w:eastAsia="zh-CN"/>
              </w:rPr>
              <w:t>透明液体，密度0.85-0.95g/cm³，耐高压，润滑性优异，广泛应用于工程机械、汽车制造及工业传动系统。其高性能减少设备磨损，延长使用寿命，提升工作效率，保障工业生产稳定运行，助力制造业高质量发展。液压油的环保配方还减少环境污染，符合可持续发展要求。</w:t>
            </w:r>
          </w:p>
          <w:p w14:paraId="5B87AAB4">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color w:val="auto"/>
                <w:sz w:val="24"/>
                <w:szCs w:val="32"/>
                <w:u w:val="none" w:color="auto"/>
                <w:lang w:eastAsia="zh-CN"/>
              </w:rPr>
            </w:pPr>
            <w:r>
              <w:rPr>
                <w:rFonts w:hint="default" w:ascii="Times New Roman" w:hAnsi="Times New Roman" w:eastAsia="宋体" w:cs="Times New Roman"/>
                <w:b/>
                <w:bCs/>
                <w:color w:val="auto"/>
                <w:sz w:val="24"/>
                <w:szCs w:val="32"/>
                <w:u w:val="none" w:color="auto"/>
              </w:rPr>
              <w:t>润滑油</w:t>
            </w:r>
            <w:r>
              <w:rPr>
                <w:rFonts w:hint="default" w:ascii="Times New Roman" w:hAnsi="Times New Roman" w:eastAsia="宋体" w:cs="Times New Roman"/>
                <w:b/>
                <w:bCs/>
                <w:color w:val="auto"/>
                <w:sz w:val="24"/>
                <w:szCs w:val="32"/>
                <w:u w:val="none" w:color="auto"/>
                <w:lang w:eastAsia="zh-CN"/>
              </w:rPr>
              <w:t>（</w:t>
            </w:r>
            <w:r>
              <w:rPr>
                <w:rFonts w:hint="default" w:ascii="Times New Roman" w:hAnsi="Times New Roman" w:eastAsia="宋体" w:cs="Times New Roman"/>
                <w:b/>
                <w:bCs/>
                <w:color w:val="auto"/>
                <w:sz w:val="24"/>
                <w:szCs w:val="32"/>
                <w:u w:val="none" w:color="auto"/>
              </w:rPr>
              <w:t>ISO VG46</w:t>
            </w:r>
            <w:r>
              <w:rPr>
                <w:rFonts w:hint="default" w:ascii="Times New Roman" w:hAnsi="Times New Roman" w:eastAsia="宋体" w:cs="Times New Roman"/>
                <w:b/>
                <w:bCs/>
                <w:color w:val="auto"/>
                <w:sz w:val="24"/>
                <w:szCs w:val="32"/>
                <w:u w:val="none" w:color="auto"/>
                <w:lang w:eastAsia="zh-CN"/>
              </w:rPr>
              <w:t>）：</w:t>
            </w:r>
            <w:r>
              <w:rPr>
                <w:rFonts w:hint="default" w:ascii="Times New Roman" w:hAnsi="Times New Roman" w:eastAsia="宋体" w:cs="Times New Roman"/>
                <w:color w:val="auto"/>
                <w:sz w:val="24"/>
                <w:szCs w:val="32"/>
                <w:u w:val="none" w:color="auto"/>
                <w:lang w:eastAsia="zh-CN"/>
              </w:rPr>
              <w:t>透明液体，密度约0.85g/cm³，粘度适中，广泛应用于机械润滑、轴承保护及液压系统。其优异的抗氧化性和抗磨损性，有效延长设备寿命，提升运行效率，确保工业生产稳定。润滑油的高效润滑性能，减少能源消耗，降低维护成本，助力企业实现绿色低碳发展，推动制造业向高效、环保方向转型升级。</w:t>
            </w:r>
          </w:p>
          <w:p w14:paraId="23044E83">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color w:val="auto"/>
                <w:sz w:val="24"/>
                <w:szCs w:val="32"/>
                <w:u w:val="none" w:color="auto"/>
              </w:rPr>
            </w:pPr>
            <w:r>
              <w:rPr>
                <w:rFonts w:hint="default" w:ascii="Times New Roman" w:hAnsi="Times New Roman" w:eastAsia="宋体" w:cs="Times New Roman"/>
                <w:b/>
                <w:bCs/>
                <w:color w:val="auto"/>
                <w:sz w:val="24"/>
                <w:szCs w:val="32"/>
                <w:u w:val="none" w:color="auto"/>
              </w:rPr>
              <w:t>导热油</w:t>
            </w:r>
            <w:r>
              <w:rPr>
                <w:rFonts w:hint="default" w:ascii="Times New Roman" w:hAnsi="Times New Roman" w:eastAsia="宋体" w:cs="Times New Roman"/>
                <w:b/>
                <w:bCs/>
                <w:color w:val="auto"/>
                <w:sz w:val="24"/>
                <w:szCs w:val="32"/>
                <w:u w:val="none" w:color="auto"/>
                <w:lang w:eastAsia="zh-CN"/>
              </w:rPr>
              <w:t>（</w:t>
            </w:r>
            <w:r>
              <w:rPr>
                <w:rFonts w:hint="default" w:ascii="Times New Roman" w:hAnsi="Times New Roman" w:eastAsia="宋体" w:cs="Times New Roman"/>
                <w:b/>
                <w:bCs/>
                <w:color w:val="auto"/>
                <w:sz w:val="24"/>
                <w:szCs w:val="32"/>
                <w:u w:val="none" w:color="auto"/>
              </w:rPr>
              <w:t>矿物型</w:t>
            </w:r>
            <w:r>
              <w:rPr>
                <w:rFonts w:hint="default" w:ascii="Times New Roman" w:hAnsi="Times New Roman" w:eastAsia="宋体" w:cs="Times New Roman"/>
                <w:b/>
                <w:bCs/>
                <w:color w:val="auto"/>
                <w:sz w:val="24"/>
                <w:szCs w:val="32"/>
                <w:u w:val="none" w:color="auto"/>
                <w:lang w:eastAsia="zh-CN"/>
              </w:rPr>
              <w:t>）：</w:t>
            </w:r>
            <w:r>
              <w:rPr>
                <w:rFonts w:hint="default" w:ascii="Times New Roman" w:hAnsi="Times New Roman" w:eastAsia="宋体" w:cs="Times New Roman"/>
                <w:color w:val="auto"/>
                <w:sz w:val="24"/>
                <w:szCs w:val="32"/>
                <w:u w:val="none" w:color="auto"/>
                <w:lang w:eastAsia="zh-CN"/>
              </w:rPr>
              <w:t>棕黑色液体，密度约0.85-0.95g/cm³，耐高温，导热性能优异，广泛应用于化工、纺织及食品加工行业。其高效热传导特性，确保设备稳定运行，提升生产效率，降低能耗，助力企业实现节能减排目标，推动行业绿色发展。</w:t>
            </w:r>
          </w:p>
          <w:p w14:paraId="12A92BBB">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color w:val="auto"/>
                <w:sz w:val="24"/>
                <w:szCs w:val="32"/>
                <w:u w:val="none" w:color="auto"/>
                <w:lang w:eastAsia="zh-CN"/>
              </w:rPr>
            </w:pPr>
            <w:r>
              <w:rPr>
                <w:rFonts w:hint="default" w:ascii="Times New Roman" w:hAnsi="Times New Roman" w:eastAsia="宋体" w:cs="Times New Roman"/>
                <w:b/>
                <w:bCs/>
                <w:color w:val="auto"/>
                <w:sz w:val="24"/>
                <w:szCs w:val="32"/>
                <w:u w:val="none" w:color="auto"/>
                <w:lang w:eastAsia="zh-CN"/>
              </w:rPr>
              <w:t>浸渗剂（</w:t>
            </w:r>
            <w:r>
              <w:rPr>
                <w:rFonts w:hint="default" w:ascii="Times New Roman" w:hAnsi="Times New Roman" w:eastAsia="宋体" w:cs="Times New Roman"/>
                <w:b/>
                <w:bCs/>
                <w:color w:val="auto"/>
                <w:sz w:val="24"/>
                <w:szCs w:val="24"/>
                <w:u w:val="none" w:color="auto"/>
              </w:rPr>
              <w:t>水性</w:t>
            </w:r>
            <w:r>
              <w:rPr>
                <w:rFonts w:hint="default" w:ascii="Times New Roman" w:hAnsi="Times New Roman" w:eastAsia="宋体" w:cs="Times New Roman"/>
                <w:b/>
                <w:bCs/>
                <w:color w:val="auto"/>
                <w:sz w:val="24"/>
                <w:szCs w:val="32"/>
                <w:u w:val="none" w:color="auto"/>
                <w:lang w:eastAsia="zh-CN"/>
              </w:rPr>
              <w:t>）：</w:t>
            </w:r>
            <w:r>
              <w:rPr>
                <w:rFonts w:hint="default" w:ascii="Times New Roman" w:hAnsi="Times New Roman" w:eastAsia="宋体" w:cs="Times New Roman"/>
                <w:color w:val="auto"/>
                <w:sz w:val="24"/>
                <w:szCs w:val="32"/>
                <w:u w:val="none" w:color="auto"/>
                <w:lang w:eastAsia="zh-CN"/>
              </w:rPr>
              <w:t>无色透明液体，密度约1.0-1.2g/cm³，环保无毒，广泛应用于金属铸造、粉末冶金及电子元器件制造。其优异的渗透性和密封性，有效提升产品致密性和耐久性，减少缺陷，降低废品率，保障产品质量，助力制造业精细化发展和绿色生产。</w:t>
            </w:r>
          </w:p>
          <w:p w14:paraId="01107113">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color w:val="auto"/>
                <w:sz w:val="24"/>
                <w:szCs w:val="32"/>
                <w:u w:val="none" w:color="auto"/>
                <w:lang w:eastAsia="zh-CN"/>
              </w:rPr>
            </w:pPr>
            <w:r>
              <w:rPr>
                <w:rFonts w:hint="default" w:ascii="Times New Roman" w:hAnsi="Times New Roman" w:eastAsia="宋体" w:cs="Times New Roman"/>
                <w:b/>
                <w:bCs/>
                <w:color w:val="auto"/>
                <w:sz w:val="24"/>
                <w:szCs w:val="32"/>
                <w:u w:val="none" w:color="auto"/>
              </w:rPr>
              <w:t>缓蚀剂</w:t>
            </w:r>
            <w:r>
              <w:rPr>
                <w:rFonts w:hint="default" w:ascii="Times New Roman" w:hAnsi="Times New Roman" w:eastAsia="宋体" w:cs="Times New Roman"/>
                <w:b/>
                <w:bCs/>
                <w:color w:val="auto"/>
                <w:sz w:val="24"/>
                <w:szCs w:val="32"/>
                <w:u w:val="none" w:color="auto"/>
                <w:lang w:eastAsia="zh-CN"/>
              </w:rPr>
              <w:t>（水性环保型）：</w:t>
            </w:r>
            <w:r>
              <w:rPr>
                <w:rFonts w:hint="default" w:ascii="Times New Roman" w:hAnsi="Times New Roman" w:eastAsia="宋体" w:cs="Times New Roman"/>
                <w:color w:val="auto"/>
                <w:sz w:val="24"/>
                <w:szCs w:val="32"/>
                <w:u w:val="none" w:color="auto"/>
                <w:lang w:eastAsia="zh-CN"/>
              </w:rPr>
              <w:t>无色透明液体，密度约1.0-1.1g/cm³，环保无毒，广泛应用于金属防腐蚀、设备维护及工业水处理。其高效缓蚀性能，有效延长设备使用寿命，降低维护成本，减少腐蚀污染，保障生产安全，助力企业实现绿色环保和可持续发展目标。</w:t>
            </w:r>
          </w:p>
          <w:p w14:paraId="0CEC1A7D">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color w:val="auto"/>
                <w:sz w:val="24"/>
                <w:szCs w:val="32"/>
                <w:u w:val="none" w:color="auto"/>
                <w:lang w:eastAsia="zh-CN"/>
              </w:rPr>
            </w:pPr>
            <w:r>
              <w:rPr>
                <w:rFonts w:hint="default" w:ascii="Times New Roman" w:hAnsi="Times New Roman" w:eastAsia="宋体" w:cs="Times New Roman"/>
                <w:b/>
                <w:bCs/>
                <w:color w:val="auto"/>
                <w:sz w:val="24"/>
                <w:szCs w:val="32"/>
                <w:u w:val="none" w:color="auto"/>
              </w:rPr>
              <w:t>清洗剂</w:t>
            </w:r>
            <w:r>
              <w:rPr>
                <w:rFonts w:hint="default" w:ascii="Times New Roman" w:hAnsi="Times New Roman" w:eastAsia="宋体" w:cs="Times New Roman"/>
                <w:b/>
                <w:bCs/>
                <w:color w:val="auto"/>
                <w:sz w:val="24"/>
                <w:szCs w:val="32"/>
                <w:u w:val="none" w:color="auto"/>
                <w:lang w:eastAsia="zh-CN"/>
              </w:rPr>
              <w:t>（中性脱脂剂）：</w:t>
            </w:r>
            <w:r>
              <w:rPr>
                <w:rFonts w:hint="default" w:ascii="Times New Roman" w:hAnsi="Times New Roman" w:eastAsia="宋体" w:cs="Times New Roman"/>
                <w:color w:val="auto"/>
                <w:sz w:val="24"/>
                <w:szCs w:val="32"/>
                <w:u w:val="none" w:color="auto"/>
                <w:lang w:eastAsia="zh-CN"/>
              </w:rPr>
              <w:t>无色透明液体，密度约1.0-1.2g/cm³，环保无害，广泛应用于金属清洗、设备保养及工业去污。其高效去脂能力，迅速清除表面污垢，提升清洁效果，减少化学残留，保障设备正常运行，助力企业实现高效清洁和环保生产目标。</w:t>
            </w:r>
          </w:p>
          <w:p w14:paraId="3A259815">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color w:val="auto"/>
                <w:sz w:val="24"/>
                <w:szCs w:val="32"/>
                <w:u w:val="none" w:color="auto"/>
                <w:lang w:eastAsia="zh-CN"/>
              </w:rPr>
            </w:pPr>
            <w:r>
              <w:rPr>
                <w:rFonts w:hint="default" w:ascii="Times New Roman" w:hAnsi="Times New Roman" w:eastAsia="宋体" w:cs="Times New Roman"/>
                <w:b/>
                <w:bCs/>
                <w:color w:val="auto"/>
                <w:sz w:val="24"/>
                <w:szCs w:val="32"/>
                <w:u w:val="none" w:color="auto"/>
              </w:rPr>
              <w:t>切削液</w:t>
            </w:r>
            <w:r>
              <w:rPr>
                <w:rFonts w:hint="default" w:ascii="Times New Roman" w:hAnsi="Times New Roman" w:eastAsia="宋体" w:cs="Times New Roman"/>
                <w:b/>
                <w:bCs/>
                <w:color w:val="auto"/>
                <w:sz w:val="24"/>
                <w:szCs w:val="32"/>
                <w:u w:val="none" w:color="auto"/>
                <w:lang w:eastAsia="zh-CN"/>
              </w:rPr>
              <w:t>（半合成型）：</w:t>
            </w:r>
            <w:r>
              <w:rPr>
                <w:rFonts w:hint="default" w:ascii="Times New Roman" w:hAnsi="Times New Roman" w:eastAsia="宋体" w:cs="Times New Roman"/>
                <w:color w:val="auto"/>
                <w:sz w:val="24"/>
                <w:szCs w:val="32"/>
                <w:u w:val="none" w:color="auto"/>
                <w:lang w:eastAsia="zh-CN"/>
              </w:rPr>
              <w:t>淡黄色液体，密度约0.95-1.0g/cm³，润滑冷却性能卓越，广泛应用于金属切削、研磨及加工中心。其优异的润滑性和冷却效果，有效降低刀具磨损，提升加工精度，减少能耗，保障生产效率，助力制造业实现高效、精准、环保的加工目标。</w:t>
            </w:r>
          </w:p>
          <w:p w14:paraId="355B27B9">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color w:val="auto"/>
                <w:sz w:val="24"/>
                <w:szCs w:val="32"/>
                <w:u w:val="none" w:color="auto"/>
                <w:lang w:eastAsia="zh-CN"/>
              </w:rPr>
            </w:pPr>
            <w:r>
              <w:rPr>
                <w:rFonts w:hint="default" w:ascii="Times New Roman" w:hAnsi="Times New Roman" w:eastAsia="宋体" w:cs="Times New Roman"/>
                <w:b/>
                <w:bCs/>
                <w:color w:val="auto"/>
                <w:sz w:val="24"/>
                <w:szCs w:val="32"/>
                <w:u w:val="none" w:color="auto"/>
              </w:rPr>
              <w:t>切削液过滤棉</w:t>
            </w:r>
            <w:r>
              <w:rPr>
                <w:rFonts w:hint="default" w:ascii="Times New Roman" w:hAnsi="Times New Roman" w:eastAsia="宋体" w:cs="Times New Roman"/>
                <w:b/>
                <w:bCs/>
                <w:color w:val="auto"/>
                <w:sz w:val="24"/>
                <w:szCs w:val="32"/>
                <w:u w:val="none" w:color="auto"/>
                <w:lang w:eastAsia="zh-CN"/>
              </w:rPr>
              <w:t>（聚酯纤维（25μm））：</w:t>
            </w:r>
            <w:r>
              <w:rPr>
                <w:rFonts w:hint="default" w:ascii="Times New Roman" w:hAnsi="Times New Roman" w:eastAsia="宋体" w:cs="Times New Roman"/>
                <w:color w:val="auto"/>
                <w:sz w:val="24"/>
                <w:szCs w:val="32"/>
                <w:u w:val="none" w:color="auto"/>
                <w:lang w:eastAsia="zh-CN"/>
              </w:rPr>
              <w:t>白色絮状物，密度约0.1-0.2g/cm³，高效过滤切削液中的杂质，延长使用寿命，提升加工精度，减少环境污染，保障设备稳定运行，助力企业实现绿色高效生产目标。</w:t>
            </w:r>
          </w:p>
          <w:p w14:paraId="00F6FFC3">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color w:val="auto"/>
                <w:sz w:val="24"/>
                <w:szCs w:val="32"/>
                <w:u w:val="none" w:color="auto"/>
                <w:lang w:eastAsia="zh-CN"/>
              </w:rPr>
            </w:pPr>
            <w:r>
              <w:rPr>
                <w:rFonts w:hint="default" w:ascii="Times New Roman" w:hAnsi="Times New Roman" w:eastAsia="宋体" w:cs="Times New Roman"/>
                <w:b/>
                <w:bCs/>
                <w:color w:val="auto"/>
                <w:sz w:val="24"/>
                <w:szCs w:val="32"/>
                <w:u w:val="none" w:color="auto"/>
              </w:rPr>
              <w:t>压缩空气</w:t>
            </w:r>
            <w:r>
              <w:rPr>
                <w:rFonts w:hint="default" w:ascii="Times New Roman" w:hAnsi="Times New Roman" w:eastAsia="宋体" w:cs="Times New Roman"/>
                <w:b/>
                <w:bCs/>
                <w:color w:val="auto"/>
                <w:sz w:val="24"/>
                <w:szCs w:val="32"/>
                <w:u w:val="none" w:color="auto"/>
                <w:lang w:eastAsia="zh-CN"/>
              </w:rPr>
              <w:t>：</w:t>
            </w:r>
            <w:r>
              <w:rPr>
                <w:rFonts w:hint="default" w:ascii="Times New Roman" w:hAnsi="Times New Roman" w:eastAsia="宋体" w:cs="Times New Roman"/>
                <w:color w:val="auto"/>
                <w:sz w:val="24"/>
                <w:szCs w:val="32"/>
                <w:u w:val="none" w:color="auto"/>
                <w:lang w:eastAsia="zh-CN"/>
              </w:rPr>
              <w:t>无色无味气体，密度约1.2-1.4kg/m³，</w:t>
            </w:r>
            <w:r>
              <w:rPr>
                <w:rFonts w:hint="default" w:ascii="Times New Roman" w:hAnsi="Times New Roman" w:eastAsia="宋体" w:cs="Times New Roman"/>
                <w:color w:val="auto"/>
                <w:sz w:val="24"/>
                <w:szCs w:val="32"/>
                <w:u w:val="none" w:color="auto"/>
                <w:lang w:val="en-US" w:eastAsia="zh-CN"/>
              </w:rPr>
              <w:t>工作压力可达0.7-1.0MPa，广泛应用于气动设备、喷涂及仪表控制。</w:t>
            </w:r>
            <w:r>
              <w:rPr>
                <w:rFonts w:hint="default" w:ascii="Times New Roman" w:hAnsi="Times New Roman" w:eastAsia="宋体" w:cs="Times New Roman"/>
                <w:color w:val="auto"/>
                <w:sz w:val="24"/>
                <w:szCs w:val="32"/>
                <w:u w:val="none" w:color="auto"/>
                <w:lang w:eastAsia="zh-CN"/>
              </w:rPr>
              <w:t>广泛应用于工业生产中的动力源和清洁介质。其高效压缩性能，确保设备稳定运行，提升生产效率，降低能耗，助力企业实现节能减排目标，推动行业绿色发展。</w:t>
            </w:r>
          </w:p>
          <w:p w14:paraId="516EAF16">
            <w:pPr>
              <w:pStyle w:val="2"/>
              <w:spacing w:line="240" w:lineRule="auto"/>
              <w:ind w:firstLine="482" w:firstLineChars="200"/>
              <w:rPr>
                <w:rFonts w:hint="default" w:ascii="Times New Roman" w:hAnsi="Times New Roman" w:eastAsia="宋体" w:cs="Times New Roman"/>
                <w:b/>
                <w:bCs/>
                <w:color w:val="auto"/>
                <w:sz w:val="24"/>
                <w:szCs w:val="24"/>
                <w:u w:val="none" w:color="auto"/>
              </w:rPr>
            </w:pPr>
            <w:r>
              <w:rPr>
                <w:rFonts w:hint="default" w:ascii="Times New Roman" w:hAnsi="Times New Roman" w:eastAsia="宋体" w:cs="Times New Roman"/>
                <w:b/>
                <w:bCs/>
                <w:color w:val="auto"/>
                <w:sz w:val="24"/>
                <w:szCs w:val="24"/>
                <w:u w:val="none" w:color="auto"/>
              </w:rPr>
              <w:t>5、主要生产设备</w:t>
            </w:r>
          </w:p>
          <w:p w14:paraId="7D9DC1A5">
            <w:pPr>
              <w:pStyle w:val="2"/>
              <w:keepNext w:val="0"/>
              <w:keepLines w:val="0"/>
              <w:pageBreakBefore w:val="0"/>
              <w:widowControl/>
              <w:kinsoku/>
              <w:wordWrap/>
              <w:overflowPunct/>
              <w:topLinePunct w:val="0"/>
              <w:autoSpaceDE/>
              <w:autoSpaceDN/>
              <w:bidi w:val="0"/>
              <w:adjustRightInd/>
              <w:snapToGrid/>
              <w:spacing w:before="0" w:after="0" w:line="360" w:lineRule="auto"/>
              <w:ind w:right="113" w:firstLine="480" w:firstLineChars="200"/>
              <w:textAlignment w:val="auto"/>
              <w:rPr>
                <w:rFonts w:hint="default" w:ascii="Times New Roman" w:hAnsi="Times New Roman" w:eastAsia="宋体" w:cs="Times New Roman"/>
                <w:color w:val="auto"/>
                <w:u w:val="none" w:color="auto"/>
              </w:rPr>
            </w:pPr>
            <w:r>
              <w:rPr>
                <w:rFonts w:hint="default" w:ascii="Times New Roman" w:hAnsi="Times New Roman" w:eastAsia="宋体" w:cs="Times New Roman"/>
                <w:bCs/>
                <w:color w:val="auto"/>
                <w:sz w:val="24"/>
                <w:szCs w:val="21"/>
                <w:highlight w:val="none"/>
                <w:u w:val="none" w:color="auto"/>
              </w:rPr>
              <w:t>本项目生产设备</w:t>
            </w:r>
            <w:r>
              <w:rPr>
                <w:rFonts w:hint="default" w:ascii="Times New Roman" w:hAnsi="Times New Roman" w:eastAsia="宋体" w:cs="Times New Roman"/>
                <w:bCs/>
                <w:color w:val="auto"/>
                <w:sz w:val="24"/>
                <w:szCs w:val="21"/>
                <w:highlight w:val="none"/>
                <w:u w:val="none" w:color="auto"/>
                <w:lang w:val="en-US" w:eastAsia="zh-CN"/>
              </w:rPr>
              <w:t>全部为新增，</w:t>
            </w:r>
            <w:r>
              <w:rPr>
                <w:rFonts w:hint="default" w:ascii="Times New Roman" w:hAnsi="Times New Roman" w:eastAsia="宋体" w:cs="Times New Roman"/>
                <w:bCs/>
                <w:color w:val="auto"/>
                <w:sz w:val="24"/>
                <w:szCs w:val="21"/>
                <w:highlight w:val="none"/>
                <w:u w:val="none" w:color="auto"/>
              </w:rPr>
              <w:t>主要生产设备</w:t>
            </w:r>
            <w:r>
              <w:rPr>
                <w:rFonts w:hint="default" w:ascii="Times New Roman" w:hAnsi="Times New Roman" w:eastAsia="宋体" w:cs="Times New Roman"/>
                <w:color w:val="auto"/>
                <w:sz w:val="24"/>
                <w:szCs w:val="24"/>
                <w:u w:val="none" w:color="auto"/>
                <w:lang w:val="en-US" w:eastAsia="zh-CN"/>
              </w:rPr>
              <w:t>具体详</w:t>
            </w:r>
            <w:r>
              <w:rPr>
                <w:rFonts w:hint="default" w:ascii="Times New Roman" w:hAnsi="Times New Roman" w:eastAsia="宋体" w:cs="Times New Roman"/>
                <w:color w:val="auto"/>
                <w:sz w:val="24"/>
                <w:szCs w:val="24"/>
                <w:u w:val="none" w:color="auto"/>
              </w:rPr>
              <w:t>见表2-</w:t>
            </w:r>
            <w:r>
              <w:rPr>
                <w:rFonts w:hint="default" w:ascii="Times New Roman" w:hAnsi="Times New Roman" w:eastAsia="宋体" w:cs="Times New Roman"/>
                <w:color w:val="auto"/>
                <w:sz w:val="24"/>
                <w:szCs w:val="24"/>
                <w:u w:val="none" w:color="auto"/>
                <w:lang w:val="en-US" w:eastAsia="zh-CN"/>
              </w:rPr>
              <w:t>5</w:t>
            </w:r>
            <w:r>
              <w:rPr>
                <w:rFonts w:hint="default" w:ascii="Times New Roman" w:hAnsi="Times New Roman" w:eastAsia="宋体" w:cs="Times New Roman"/>
                <w:color w:val="auto"/>
                <w:sz w:val="24"/>
                <w:szCs w:val="24"/>
                <w:u w:val="none" w:color="auto"/>
              </w:rPr>
              <w:t>。</w:t>
            </w:r>
          </w:p>
          <w:p w14:paraId="532FEE5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highlight w:val="none"/>
                <w:u w:val="none" w:color="auto"/>
              </w:rPr>
            </w:pPr>
            <w:r>
              <w:rPr>
                <w:rFonts w:hint="default" w:ascii="Times New Roman" w:hAnsi="Times New Roman" w:eastAsia="宋体" w:cs="Times New Roman"/>
                <w:b/>
                <w:bCs/>
                <w:color w:val="auto"/>
                <w:sz w:val="21"/>
                <w:szCs w:val="21"/>
                <w:highlight w:val="none"/>
                <w:u w:val="none" w:color="auto"/>
              </w:rPr>
              <w:t>表2-</w:t>
            </w:r>
            <w:r>
              <w:rPr>
                <w:rFonts w:hint="default" w:ascii="Times New Roman" w:hAnsi="Times New Roman" w:eastAsia="宋体" w:cs="Times New Roman"/>
                <w:b/>
                <w:bCs/>
                <w:color w:val="auto"/>
                <w:sz w:val="21"/>
                <w:szCs w:val="21"/>
                <w:highlight w:val="none"/>
                <w:u w:val="none" w:color="auto"/>
                <w:lang w:val="en-US" w:eastAsia="zh-CN"/>
              </w:rPr>
              <w:t>5  主要生产</w:t>
            </w:r>
            <w:r>
              <w:rPr>
                <w:rFonts w:hint="default" w:ascii="Times New Roman" w:hAnsi="Times New Roman" w:eastAsia="宋体" w:cs="Times New Roman"/>
                <w:b/>
                <w:bCs/>
                <w:color w:val="auto"/>
                <w:sz w:val="21"/>
                <w:szCs w:val="21"/>
                <w:highlight w:val="none"/>
                <w:u w:val="none" w:color="auto"/>
              </w:rPr>
              <w:t>设备清单</w:t>
            </w:r>
          </w:p>
          <w:tbl>
            <w:tblPr>
              <w:tblStyle w:val="31"/>
              <w:tblW w:w="4996" w:type="pct"/>
              <w:tblInd w:w="-5"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Layout w:type="fixed"/>
              <w:tblCellMar>
                <w:top w:w="0" w:type="dxa"/>
                <w:left w:w="108" w:type="dxa"/>
                <w:bottom w:w="0" w:type="dxa"/>
                <w:right w:w="108" w:type="dxa"/>
              </w:tblCellMar>
            </w:tblPr>
            <w:tblGrid>
              <w:gridCol w:w="342"/>
              <w:gridCol w:w="343"/>
              <w:gridCol w:w="2372"/>
              <w:gridCol w:w="1516"/>
              <w:gridCol w:w="1046"/>
              <w:gridCol w:w="2848"/>
            </w:tblGrid>
            <w:tr w14:paraId="5AFACAA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12" w:hRule="atLeast"/>
              </w:trPr>
              <w:tc>
                <w:tcPr>
                  <w:tcW w:w="5000" w:type="pct"/>
                  <w:gridSpan w:val="6"/>
                  <w:tcBorders>
                    <w:tl2br w:val="nil"/>
                    <w:tr2bl w:val="nil"/>
                  </w:tcBorders>
                  <w:shd w:val="clear" w:color="auto" w:fill="auto"/>
                  <w:vAlign w:val="center"/>
                </w:tcPr>
                <w:p w14:paraId="76FC550E">
                  <w:pPr>
                    <w:keepNext w:val="0"/>
                    <w:keepLines w:val="0"/>
                    <w:widowControl/>
                    <w:suppressLineNumbers w:val="0"/>
                    <w:jc w:val="center"/>
                    <w:textAlignment w:val="center"/>
                    <w:rPr>
                      <w:rFonts w:hint="default" w:ascii="Times New Roman" w:hAnsi="Times New Roman" w:eastAsia="宋体" w:cs="Times New Roman"/>
                      <w:i w:val="0"/>
                      <w:iCs w:val="0"/>
                      <w:snapToGrid w:val="0"/>
                      <w:color w:val="auto"/>
                      <w:kern w:val="0"/>
                      <w:sz w:val="21"/>
                      <w:szCs w:val="21"/>
                      <w:highlight w:val="none"/>
                      <w:u w:val="none" w:color="auto"/>
                      <w:lang w:val="en-US" w:eastAsia="zh-CN" w:bidi="ar"/>
                    </w:rPr>
                  </w:pPr>
                  <w:r>
                    <w:rPr>
                      <w:rFonts w:hint="default" w:ascii="Times New Roman" w:hAnsi="Times New Roman" w:eastAsia="宋体" w:cs="Times New Roman"/>
                      <w:b/>
                      <w:bCs/>
                      <w:color w:val="auto"/>
                      <w:sz w:val="21"/>
                      <w:szCs w:val="21"/>
                      <w:highlight w:val="none"/>
                      <w:u w:val="none" w:color="auto"/>
                      <w:lang w:eastAsia="zh-CN"/>
                    </w:rPr>
                    <w:t>中创空天厂区：</w:t>
                  </w:r>
                  <w:r>
                    <w:rPr>
                      <w:rFonts w:hint="default" w:ascii="Times New Roman" w:hAnsi="Times New Roman" w:eastAsia="宋体" w:cs="Times New Roman"/>
                      <w:b/>
                      <w:bCs/>
                      <w:i w:val="0"/>
                      <w:iCs w:val="0"/>
                      <w:color w:val="auto"/>
                      <w:kern w:val="0"/>
                      <w:sz w:val="21"/>
                      <w:szCs w:val="21"/>
                      <w:highlight w:val="none"/>
                      <w:u w:val="none" w:color="auto"/>
                      <w:lang w:val="en-US" w:eastAsia="zh-CN" w:bidi="ar"/>
                    </w:rPr>
                    <w:t>铝合金熔铸二厂</w:t>
                  </w:r>
                </w:p>
              </w:tc>
            </w:tr>
            <w:tr w14:paraId="23DF509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42" w:hRule="exact"/>
              </w:trPr>
              <w:tc>
                <w:tcPr>
                  <w:tcW w:w="404" w:type="pct"/>
                  <w:gridSpan w:val="2"/>
                  <w:tcBorders>
                    <w:tl2br w:val="nil"/>
                    <w:tr2bl w:val="nil"/>
                  </w:tcBorders>
                  <w:shd w:val="clear" w:color="auto" w:fill="auto"/>
                  <w:vAlign w:val="center"/>
                </w:tcPr>
                <w:p w14:paraId="03EF5B7F">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color="auto"/>
                    </w:rPr>
                  </w:pPr>
                  <w:r>
                    <w:rPr>
                      <w:rFonts w:hint="default" w:ascii="Times New Roman" w:hAnsi="Times New Roman" w:eastAsia="宋体" w:cs="Times New Roman"/>
                      <w:b/>
                      <w:bCs/>
                      <w:i w:val="0"/>
                      <w:iCs w:val="0"/>
                      <w:snapToGrid w:val="0"/>
                      <w:color w:val="auto"/>
                      <w:kern w:val="0"/>
                      <w:sz w:val="21"/>
                      <w:szCs w:val="21"/>
                      <w:highlight w:val="none"/>
                      <w:u w:val="none" w:color="auto"/>
                      <w:lang w:val="en-US" w:eastAsia="zh-CN" w:bidi="ar"/>
                    </w:rPr>
                    <w:t>序号</w:t>
                  </w:r>
                </w:p>
              </w:tc>
              <w:tc>
                <w:tcPr>
                  <w:tcW w:w="1400" w:type="pct"/>
                  <w:tcBorders>
                    <w:tl2br w:val="nil"/>
                    <w:tr2bl w:val="nil"/>
                  </w:tcBorders>
                  <w:shd w:val="clear" w:color="auto" w:fill="auto"/>
                  <w:vAlign w:val="center"/>
                </w:tcPr>
                <w:p w14:paraId="49E06F21">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color="auto"/>
                    </w:rPr>
                  </w:pPr>
                  <w:r>
                    <w:rPr>
                      <w:rFonts w:hint="default" w:ascii="Times New Roman" w:hAnsi="Times New Roman" w:eastAsia="宋体" w:cs="Times New Roman"/>
                      <w:b/>
                      <w:bCs/>
                      <w:i w:val="0"/>
                      <w:iCs w:val="0"/>
                      <w:snapToGrid w:val="0"/>
                      <w:color w:val="auto"/>
                      <w:kern w:val="0"/>
                      <w:sz w:val="21"/>
                      <w:szCs w:val="21"/>
                      <w:highlight w:val="none"/>
                      <w:u w:val="none" w:color="auto"/>
                      <w:lang w:val="en-US" w:eastAsia="zh-CN" w:bidi="ar"/>
                    </w:rPr>
                    <w:t>设备名称</w:t>
                  </w:r>
                </w:p>
              </w:tc>
              <w:tc>
                <w:tcPr>
                  <w:tcW w:w="895" w:type="pct"/>
                  <w:tcBorders>
                    <w:tl2br w:val="nil"/>
                    <w:tr2bl w:val="nil"/>
                  </w:tcBorders>
                  <w:shd w:val="clear" w:color="auto" w:fill="auto"/>
                  <w:vAlign w:val="center"/>
                </w:tcPr>
                <w:p w14:paraId="38325089">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color="auto"/>
                    </w:rPr>
                  </w:pPr>
                  <w:r>
                    <w:rPr>
                      <w:rFonts w:hint="default" w:ascii="Times New Roman" w:hAnsi="Times New Roman" w:eastAsia="宋体" w:cs="Times New Roman"/>
                      <w:b/>
                      <w:bCs/>
                      <w:i w:val="0"/>
                      <w:iCs w:val="0"/>
                      <w:snapToGrid w:val="0"/>
                      <w:color w:val="auto"/>
                      <w:kern w:val="0"/>
                      <w:sz w:val="21"/>
                      <w:szCs w:val="21"/>
                      <w:highlight w:val="none"/>
                      <w:u w:val="none" w:color="auto"/>
                      <w:lang w:val="en-US" w:eastAsia="zh-CN" w:bidi="ar"/>
                    </w:rPr>
                    <w:t>单位</w:t>
                  </w:r>
                </w:p>
              </w:tc>
              <w:tc>
                <w:tcPr>
                  <w:tcW w:w="617" w:type="pct"/>
                  <w:tcBorders>
                    <w:tl2br w:val="nil"/>
                    <w:tr2bl w:val="nil"/>
                  </w:tcBorders>
                  <w:shd w:val="clear" w:color="auto" w:fill="auto"/>
                  <w:vAlign w:val="center"/>
                </w:tcPr>
                <w:p w14:paraId="7DF87A65">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color="auto"/>
                    </w:rPr>
                  </w:pPr>
                  <w:r>
                    <w:rPr>
                      <w:rFonts w:hint="default" w:ascii="Times New Roman" w:hAnsi="Times New Roman" w:eastAsia="宋体" w:cs="Times New Roman"/>
                      <w:b/>
                      <w:bCs/>
                      <w:i w:val="0"/>
                      <w:iCs w:val="0"/>
                      <w:snapToGrid w:val="0"/>
                      <w:color w:val="auto"/>
                      <w:kern w:val="0"/>
                      <w:sz w:val="21"/>
                      <w:szCs w:val="21"/>
                      <w:highlight w:val="none"/>
                      <w:u w:val="none" w:color="auto"/>
                      <w:lang w:val="en-US" w:eastAsia="zh-CN" w:bidi="ar"/>
                    </w:rPr>
                    <w:t>数量</w:t>
                  </w:r>
                </w:p>
              </w:tc>
              <w:tc>
                <w:tcPr>
                  <w:tcW w:w="1681" w:type="pct"/>
                  <w:tcBorders>
                    <w:tl2br w:val="nil"/>
                    <w:tr2bl w:val="nil"/>
                  </w:tcBorders>
                  <w:shd w:val="clear" w:color="auto" w:fill="auto"/>
                  <w:vAlign w:val="center"/>
                </w:tcPr>
                <w:p w14:paraId="7EA3BCCD">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color="auto"/>
                      <w:lang w:val="en-US"/>
                    </w:rPr>
                  </w:pPr>
                  <w:r>
                    <w:rPr>
                      <w:rFonts w:hint="default" w:ascii="Times New Roman" w:hAnsi="Times New Roman" w:eastAsia="宋体" w:cs="Times New Roman"/>
                      <w:b/>
                      <w:bCs/>
                      <w:i w:val="0"/>
                      <w:iCs w:val="0"/>
                      <w:snapToGrid w:val="0"/>
                      <w:color w:val="auto"/>
                      <w:kern w:val="0"/>
                      <w:sz w:val="21"/>
                      <w:szCs w:val="21"/>
                      <w:highlight w:val="none"/>
                      <w:u w:val="none" w:color="auto"/>
                      <w:lang w:val="en-US" w:eastAsia="zh-CN" w:bidi="ar"/>
                    </w:rPr>
                    <w:t>规格</w:t>
                  </w:r>
                </w:p>
              </w:tc>
            </w:tr>
            <w:tr w14:paraId="48EF657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trPr>
              <w:tc>
                <w:tcPr>
                  <w:tcW w:w="404" w:type="pct"/>
                  <w:gridSpan w:val="2"/>
                  <w:tcBorders>
                    <w:tl2br w:val="nil"/>
                    <w:tr2bl w:val="nil"/>
                  </w:tcBorders>
                  <w:shd w:val="clear" w:color="auto" w:fill="auto"/>
                  <w:vAlign w:val="center"/>
                </w:tcPr>
                <w:p w14:paraId="35AE2AD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i w:val="0"/>
                      <w:iCs w:val="0"/>
                      <w:snapToGrid w:val="0"/>
                      <w:color w:val="auto"/>
                      <w:kern w:val="0"/>
                      <w:sz w:val="21"/>
                      <w:szCs w:val="21"/>
                      <w:highlight w:val="none"/>
                      <w:u w:val="none" w:color="auto"/>
                      <w:lang w:val="en-US" w:eastAsia="zh-CN" w:bidi="ar"/>
                    </w:rPr>
                    <w:t>1</w:t>
                  </w:r>
                </w:p>
              </w:tc>
              <w:tc>
                <w:tcPr>
                  <w:tcW w:w="1400" w:type="pct"/>
                  <w:tcBorders>
                    <w:tl2br w:val="nil"/>
                    <w:tr2bl w:val="nil"/>
                  </w:tcBorders>
                  <w:shd w:val="clear" w:color="auto" w:fill="auto"/>
                  <w:noWrap/>
                  <w:vAlign w:val="center"/>
                </w:tcPr>
                <w:p w14:paraId="55BF6B9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i w:val="0"/>
                      <w:iCs w:val="0"/>
                      <w:snapToGrid w:val="0"/>
                      <w:color w:val="auto"/>
                      <w:kern w:val="0"/>
                      <w:sz w:val="21"/>
                      <w:szCs w:val="21"/>
                      <w:highlight w:val="none"/>
                      <w:u w:val="none" w:color="auto"/>
                      <w:lang w:val="en-US" w:eastAsia="zh-CN" w:bidi="ar"/>
                    </w:rPr>
                    <w:t>50t</w:t>
                  </w:r>
                  <w:r>
                    <w:rPr>
                      <w:rStyle w:val="82"/>
                      <w:rFonts w:hint="default" w:ascii="Times New Roman" w:hAnsi="Times New Roman" w:eastAsia="宋体" w:cs="Times New Roman"/>
                      <w:snapToGrid w:val="0"/>
                      <w:color w:val="auto"/>
                      <w:sz w:val="21"/>
                      <w:szCs w:val="21"/>
                      <w:highlight w:val="none"/>
                      <w:u w:val="none" w:color="auto"/>
                      <w:lang w:val="en-US" w:eastAsia="zh-CN" w:bidi="ar"/>
                    </w:rPr>
                    <w:t>熔化炉</w:t>
                  </w:r>
                </w:p>
              </w:tc>
              <w:tc>
                <w:tcPr>
                  <w:tcW w:w="895" w:type="pct"/>
                  <w:tcBorders>
                    <w:tl2br w:val="nil"/>
                    <w:tr2bl w:val="nil"/>
                  </w:tcBorders>
                  <w:shd w:val="clear" w:color="auto" w:fill="auto"/>
                  <w:vAlign w:val="center"/>
                </w:tcPr>
                <w:p w14:paraId="7A9B1AF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i w:val="0"/>
                      <w:iCs w:val="0"/>
                      <w:snapToGrid w:val="0"/>
                      <w:color w:val="auto"/>
                      <w:kern w:val="0"/>
                      <w:sz w:val="21"/>
                      <w:szCs w:val="21"/>
                      <w:highlight w:val="none"/>
                      <w:u w:val="none" w:color="auto"/>
                      <w:lang w:val="en-US" w:eastAsia="zh-CN" w:bidi="ar"/>
                    </w:rPr>
                    <w:t>台</w:t>
                  </w:r>
                </w:p>
              </w:tc>
              <w:tc>
                <w:tcPr>
                  <w:tcW w:w="617" w:type="pct"/>
                  <w:tcBorders>
                    <w:tl2br w:val="nil"/>
                    <w:tr2bl w:val="nil"/>
                  </w:tcBorders>
                  <w:shd w:val="clear" w:color="auto" w:fill="auto"/>
                  <w:vAlign w:val="center"/>
                </w:tcPr>
                <w:p w14:paraId="228D36A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i w:val="0"/>
                      <w:iCs w:val="0"/>
                      <w:snapToGrid w:val="0"/>
                      <w:color w:val="auto"/>
                      <w:kern w:val="0"/>
                      <w:sz w:val="21"/>
                      <w:szCs w:val="21"/>
                      <w:highlight w:val="none"/>
                      <w:u w:val="none" w:color="auto"/>
                      <w:lang w:val="en-US" w:eastAsia="zh-CN" w:bidi="ar"/>
                    </w:rPr>
                    <w:t>1</w:t>
                  </w:r>
                </w:p>
              </w:tc>
              <w:tc>
                <w:tcPr>
                  <w:tcW w:w="1681" w:type="pct"/>
                  <w:tcBorders>
                    <w:tl2br w:val="nil"/>
                    <w:tr2bl w:val="nil"/>
                  </w:tcBorders>
                  <w:shd w:val="clear" w:color="auto" w:fill="auto"/>
                  <w:vAlign w:val="center"/>
                </w:tcPr>
                <w:p w14:paraId="598E9BF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i w:val="0"/>
                      <w:iCs w:val="0"/>
                      <w:snapToGrid w:val="0"/>
                      <w:color w:val="auto"/>
                      <w:kern w:val="0"/>
                      <w:sz w:val="21"/>
                      <w:szCs w:val="21"/>
                      <w:highlight w:val="none"/>
                      <w:u w:val="none" w:color="auto"/>
                      <w:lang w:val="en-US" w:eastAsia="zh-CN" w:bidi="ar"/>
                    </w:rPr>
                    <w:t>50t</w:t>
                  </w:r>
                </w:p>
              </w:tc>
            </w:tr>
            <w:tr w14:paraId="2711792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trPr>
              <w:tc>
                <w:tcPr>
                  <w:tcW w:w="404" w:type="pct"/>
                  <w:gridSpan w:val="2"/>
                  <w:tcBorders>
                    <w:tl2br w:val="nil"/>
                    <w:tr2bl w:val="nil"/>
                  </w:tcBorders>
                  <w:shd w:val="clear" w:color="auto" w:fill="auto"/>
                  <w:vAlign w:val="center"/>
                </w:tcPr>
                <w:p w14:paraId="3915382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i w:val="0"/>
                      <w:iCs w:val="0"/>
                      <w:snapToGrid w:val="0"/>
                      <w:color w:val="auto"/>
                      <w:kern w:val="0"/>
                      <w:sz w:val="21"/>
                      <w:szCs w:val="21"/>
                      <w:highlight w:val="none"/>
                      <w:u w:val="none" w:color="auto"/>
                      <w:lang w:val="en-US" w:eastAsia="zh-CN" w:bidi="ar"/>
                    </w:rPr>
                    <w:t>2</w:t>
                  </w:r>
                </w:p>
              </w:tc>
              <w:tc>
                <w:tcPr>
                  <w:tcW w:w="1400" w:type="pct"/>
                  <w:tcBorders>
                    <w:tl2br w:val="nil"/>
                    <w:tr2bl w:val="nil"/>
                  </w:tcBorders>
                  <w:shd w:val="clear" w:color="auto" w:fill="auto"/>
                  <w:noWrap/>
                  <w:vAlign w:val="center"/>
                </w:tcPr>
                <w:p w14:paraId="01DCC63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i w:val="0"/>
                      <w:iCs w:val="0"/>
                      <w:snapToGrid w:val="0"/>
                      <w:color w:val="auto"/>
                      <w:kern w:val="0"/>
                      <w:sz w:val="21"/>
                      <w:szCs w:val="21"/>
                      <w:highlight w:val="none"/>
                      <w:u w:val="none" w:color="auto"/>
                      <w:lang w:val="en-US" w:eastAsia="zh-CN" w:bidi="ar"/>
                    </w:rPr>
                    <w:t>45t</w:t>
                  </w:r>
                  <w:r>
                    <w:rPr>
                      <w:rStyle w:val="82"/>
                      <w:rFonts w:hint="default" w:ascii="Times New Roman" w:hAnsi="Times New Roman" w:eastAsia="宋体" w:cs="Times New Roman"/>
                      <w:snapToGrid w:val="0"/>
                      <w:color w:val="auto"/>
                      <w:sz w:val="21"/>
                      <w:szCs w:val="21"/>
                      <w:highlight w:val="none"/>
                      <w:u w:val="none" w:color="auto"/>
                      <w:lang w:val="en-US" w:eastAsia="zh-CN" w:bidi="ar"/>
                    </w:rPr>
                    <w:t>熔化炉</w:t>
                  </w:r>
                </w:p>
              </w:tc>
              <w:tc>
                <w:tcPr>
                  <w:tcW w:w="895" w:type="pct"/>
                  <w:tcBorders>
                    <w:tl2br w:val="nil"/>
                    <w:tr2bl w:val="nil"/>
                  </w:tcBorders>
                  <w:shd w:val="clear" w:color="auto" w:fill="auto"/>
                  <w:vAlign w:val="center"/>
                </w:tcPr>
                <w:p w14:paraId="12E10EC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i w:val="0"/>
                      <w:iCs w:val="0"/>
                      <w:snapToGrid w:val="0"/>
                      <w:color w:val="auto"/>
                      <w:kern w:val="0"/>
                      <w:sz w:val="21"/>
                      <w:szCs w:val="21"/>
                      <w:highlight w:val="none"/>
                      <w:u w:val="none" w:color="auto"/>
                      <w:lang w:val="en-US" w:eastAsia="zh-CN" w:bidi="ar"/>
                    </w:rPr>
                    <w:t>台</w:t>
                  </w:r>
                </w:p>
              </w:tc>
              <w:tc>
                <w:tcPr>
                  <w:tcW w:w="617" w:type="pct"/>
                  <w:tcBorders>
                    <w:tl2br w:val="nil"/>
                    <w:tr2bl w:val="nil"/>
                  </w:tcBorders>
                  <w:shd w:val="clear" w:color="auto" w:fill="auto"/>
                  <w:vAlign w:val="center"/>
                </w:tcPr>
                <w:p w14:paraId="2CC51DA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i w:val="0"/>
                      <w:iCs w:val="0"/>
                      <w:snapToGrid w:val="0"/>
                      <w:color w:val="auto"/>
                      <w:kern w:val="0"/>
                      <w:sz w:val="21"/>
                      <w:szCs w:val="21"/>
                      <w:highlight w:val="none"/>
                      <w:u w:val="none" w:color="auto"/>
                      <w:lang w:val="en-US" w:eastAsia="zh-CN" w:bidi="ar"/>
                    </w:rPr>
                    <w:t>1</w:t>
                  </w:r>
                </w:p>
              </w:tc>
              <w:tc>
                <w:tcPr>
                  <w:tcW w:w="1681" w:type="pct"/>
                  <w:tcBorders>
                    <w:tl2br w:val="nil"/>
                    <w:tr2bl w:val="nil"/>
                  </w:tcBorders>
                  <w:shd w:val="clear" w:color="auto" w:fill="auto"/>
                  <w:vAlign w:val="center"/>
                </w:tcPr>
                <w:p w14:paraId="48E6421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i w:val="0"/>
                      <w:iCs w:val="0"/>
                      <w:snapToGrid w:val="0"/>
                      <w:color w:val="auto"/>
                      <w:kern w:val="0"/>
                      <w:sz w:val="21"/>
                      <w:szCs w:val="21"/>
                      <w:highlight w:val="none"/>
                      <w:u w:val="none" w:color="auto"/>
                      <w:lang w:val="en-US" w:eastAsia="zh-CN" w:bidi="ar"/>
                    </w:rPr>
                    <w:t>45t</w:t>
                  </w:r>
                </w:p>
              </w:tc>
            </w:tr>
            <w:tr w14:paraId="16DBE85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trPr>
              <w:tc>
                <w:tcPr>
                  <w:tcW w:w="404" w:type="pct"/>
                  <w:gridSpan w:val="2"/>
                  <w:tcBorders>
                    <w:tl2br w:val="nil"/>
                    <w:tr2bl w:val="nil"/>
                  </w:tcBorders>
                  <w:shd w:val="clear" w:color="auto" w:fill="auto"/>
                  <w:vAlign w:val="center"/>
                </w:tcPr>
                <w:p w14:paraId="03D2E68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i w:val="0"/>
                      <w:iCs w:val="0"/>
                      <w:snapToGrid w:val="0"/>
                      <w:color w:val="auto"/>
                      <w:kern w:val="0"/>
                      <w:sz w:val="21"/>
                      <w:szCs w:val="21"/>
                      <w:highlight w:val="none"/>
                      <w:u w:val="none" w:color="auto"/>
                      <w:lang w:val="en-US" w:eastAsia="zh-CN" w:bidi="ar"/>
                    </w:rPr>
                    <w:t>3</w:t>
                  </w:r>
                </w:p>
              </w:tc>
              <w:tc>
                <w:tcPr>
                  <w:tcW w:w="1400" w:type="pct"/>
                  <w:tcBorders>
                    <w:tl2br w:val="nil"/>
                    <w:tr2bl w:val="nil"/>
                  </w:tcBorders>
                  <w:shd w:val="clear" w:color="auto" w:fill="auto"/>
                  <w:noWrap/>
                  <w:vAlign w:val="center"/>
                </w:tcPr>
                <w:p w14:paraId="019200B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i w:val="0"/>
                      <w:iCs w:val="0"/>
                      <w:snapToGrid w:val="0"/>
                      <w:color w:val="auto"/>
                      <w:kern w:val="0"/>
                      <w:sz w:val="21"/>
                      <w:szCs w:val="21"/>
                      <w:highlight w:val="none"/>
                      <w:u w:val="none" w:color="auto"/>
                      <w:lang w:val="en-US" w:eastAsia="zh-CN" w:bidi="ar"/>
                    </w:rPr>
                    <w:t>35t</w:t>
                  </w:r>
                  <w:r>
                    <w:rPr>
                      <w:rStyle w:val="82"/>
                      <w:rFonts w:hint="default" w:ascii="Times New Roman" w:hAnsi="Times New Roman" w:eastAsia="宋体" w:cs="Times New Roman"/>
                      <w:snapToGrid w:val="0"/>
                      <w:color w:val="auto"/>
                      <w:sz w:val="21"/>
                      <w:szCs w:val="21"/>
                      <w:highlight w:val="none"/>
                      <w:u w:val="none" w:color="auto"/>
                      <w:lang w:val="en-US" w:eastAsia="zh-CN" w:bidi="ar"/>
                    </w:rPr>
                    <w:t>熔化炉</w:t>
                  </w:r>
                </w:p>
              </w:tc>
              <w:tc>
                <w:tcPr>
                  <w:tcW w:w="895" w:type="pct"/>
                  <w:tcBorders>
                    <w:tl2br w:val="nil"/>
                    <w:tr2bl w:val="nil"/>
                  </w:tcBorders>
                  <w:shd w:val="clear" w:color="auto" w:fill="auto"/>
                  <w:vAlign w:val="center"/>
                </w:tcPr>
                <w:p w14:paraId="7CD512A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i w:val="0"/>
                      <w:iCs w:val="0"/>
                      <w:snapToGrid w:val="0"/>
                      <w:color w:val="auto"/>
                      <w:kern w:val="0"/>
                      <w:sz w:val="21"/>
                      <w:szCs w:val="21"/>
                      <w:highlight w:val="none"/>
                      <w:u w:val="none" w:color="auto"/>
                      <w:lang w:val="en-US" w:eastAsia="zh-CN" w:bidi="ar"/>
                    </w:rPr>
                    <w:t>台</w:t>
                  </w:r>
                </w:p>
              </w:tc>
              <w:tc>
                <w:tcPr>
                  <w:tcW w:w="617" w:type="pct"/>
                  <w:tcBorders>
                    <w:tl2br w:val="nil"/>
                    <w:tr2bl w:val="nil"/>
                  </w:tcBorders>
                  <w:shd w:val="clear" w:color="auto" w:fill="auto"/>
                  <w:vAlign w:val="center"/>
                </w:tcPr>
                <w:p w14:paraId="7296FC8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i w:val="0"/>
                      <w:iCs w:val="0"/>
                      <w:snapToGrid w:val="0"/>
                      <w:color w:val="auto"/>
                      <w:kern w:val="0"/>
                      <w:sz w:val="21"/>
                      <w:szCs w:val="21"/>
                      <w:highlight w:val="none"/>
                      <w:u w:val="none" w:color="auto"/>
                      <w:lang w:val="en-US" w:eastAsia="zh-CN" w:bidi="ar"/>
                    </w:rPr>
                    <w:t>1</w:t>
                  </w:r>
                </w:p>
              </w:tc>
              <w:tc>
                <w:tcPr>
                  <w:tcW w:w="1681" w:type="pct"/>
                  <w:tcBorders>
                    <w:tl2br w:val="nil"/>
                    <w:tr2bl w:val="nil"/>
                  </w:tcBorders>
                  <w:shd w:val="clear" w:color="auto" w:fill="auto"/>
                  <w:vAlign w:val="center"/>
                </w:tcPr>
                <w:p w14:paraId="237CFF0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i w:val="0"/>
                      <w:iCs w:val="0"/>
                      <w:snapToGrid w:val="0"/>
                      <w:color w:val="auto"/>
                      <w:kern w:val="0"/>
                      <w:sz w:val="21"/>
                      <w:szCs w:val="21"/>
                      <w:highlight w:val="none"/>
                      <w:u w:val="none" w:color="auto"/>
                      <w:lang w:val="en-US" w:eastAsia="zh-CN" w:bidi="ar"/>
                    </w:rPr>
                    <w:t>35t</w:t>
                  </w:r>
                </w:p>
              </w:tc>
            </w:tr>
            <w:tr w14:paraId="0864510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trPr>
              <w:tc>
                <w:tcPr>
                  <w:tcW w:w="404" w:type="pct"/>
                  <w:gridSpan w:val="2"/>
                  <w:tcBorders>
                    <w:tl2br w:val="nil"/>
                    <w:tr2bl w:val="nil"/>
                  </w:tcBorders>
                  <w:shd w:val="clear" w:color="auto" w:fill="auto"/>
                  <w:vAlign w:val="center"/>
                </w:tcPr>
                <w:p w14:paraId="64D2452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i w:val="0"/>
                      <w:iCs w:val="0"/>
                      <w:snapToGrid w:val="0"/>
                      <w:color w:val="auto"/>
                      <w:kern w:val="0"/>
                      <w:sz w:val="21"/>
                      <w:szCs w:val="21"/>
                      <w:highlight w:val="none"/>
                      <w:u w:val="none" w:color="auto"/>
                      <w:lang w:val="en-US" w:eastAsia="zh-CN" w:bidi="ar"/>
                    </w:rPr>
                    <w:t>4</w:t>
                  </w:r>
                </w:p>
              </w:tc>
              <w:tc>
                <w:tcPr>
                  <w:tcW w:w="1400" w:type="pct"/>
                  <w:tcBorders>
                    <w:tl2br w:val="nil"/>
                    <w:tr2bl w:val="nil"/>
                  </w:tcBorders>
                  <w:shd w:val="clear" w:color="auto" w:fill="auto"/>
                  <w:noWrap/>
                  <w:vAlign w:val="center"/>
                </w:tcPr>
                <w:p w14:paraId="2DECF59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i w:val="0"/>
                      <w:iCs w:val="0"/>
                      <w:snapToGrid w:val="0"/>
                      <w:color w:val="auto"/>
                      <w:kern w:val="0"/>
                      <w:sz w:val="21"/>
                      <w:szCs w:val="21"/>
                      <w:highlight w:val="none"/>
                      <w:u w:val="none" w:color="auto"/>
                      <w:lang w:val="en-US" w:eastAsia="zh-CN" w:bidi="ar"/>
                    </w:rPr>
                    <w:t>35t</w:t>
                  </w:r>
                  <w:r>
                    <w:rPr>
                      <w:rStyle w:val="82"/>
                      <w:rFonts w:hint="default" w:ascii="Times New Roman" w:hAnsi="Times New Roman" w:eastAsia="宋体" w:cs="Times New Roman"/>
                      <w:snapToGrid w:val="0"/>
                      <w:color w:val="auto"/>
                      <w:sz w:val="21"/>
                      <w:szCs w:val="21"/>
                      <w:highlight w:val="none"/>
                      <w:u w:val="none" w:color="auto"/>
                      <w:lang w:val="en-US" w:eastAsia="zh-CN" w:bidi="ar"/>
                    </w:rPr>
                    <w:t>保温炉</w:t>
                  </w:r>
                </w:p>
              </w:tc>
              <w:tc>
                <w:tcPr>
                  <w:tcW w:w="895" w:type="pct"/>
                  <w:tcBorders>
                    <w:tl2br w:val="nil"/>
                    <w:tr2bl w:val="nil"/>
                  </w:tcBorders>
                  <w:shd w:val="clear" w:color="auto" w:fill="auto"/>
                  <w:vAlign w:val="center"/>
                </w:tcPr>
                <w:p w14:paraId="5005844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i w:val="0"/>
                      <w:iCs w:val="0"/>
                      <w:snapToGrid w:val="0"/>
                      <w:color w:val="auto"/>
                      <w:kern w:val="0"/>
                      <w:sz w:val="21"/>
                      <w:szCs w:val="21"/>
                      <w:highlight w:val="none"/>
                      <w:u w:val="none" w:color="auto"/>
                      <w:lang w:val="en-US" w:eastAsia="zh-CN" w:bidi="ar"/>
                    </w:rPr>
                    <w:t>台</w:t>
                  </w:r>
                </w:p>
              </w:tc>
              <w:tc>
                <w:tcPr>
                  <w:tcW w:w="617" w:type="pct"/>
                  <w:tcBorders>
                    <w:tl2br w:val="nil"/>
                    <w:tr2bl w:val="nil"/>
                  </w:tcBorders>
                  <w:shd w:val="clear" w:color="auto" w:fill="auto"/>
                  <w:vAlign w:val="center"/>
                </w:tcPr>
                <w:p w14:paraId="7384B26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i w:val="0"/>
                      <w:iCs w:val="0"/>
                      <w:snapToGrid w:val="0"/>
                      <w:color w:val="auto"/>
                      <w:kern w:val="0"/>
                      <w:sz w:val="21"/>
                      <w:szCs w:val="21"/>
                      <w:highlight w:val="none"/>
                      <w:u w:val="none" w:color="auto"/>
                      <w:lang w:val="en-US" w:eastAsia="zh-CN" w:bidi="ar"/>
                    </w:rPr>
                    <w:t>1</w:t>
                  </w:r>
                </w:p>
              </w:tc>
              <w:tc>
                <w:tcPr>
                  <w:tcW w:w="1681" w:type="pct"/>
                  <w:tcBorders>
                    <w:tl2br w:val="nil"/>
                    <w:tr2bl w:val="nil"/>
                  </w:tcBorders>
                  <w:shd w:val="clear" w:color="auto" w:fill="auto"/>
                  <w:vAlign w:val="center"/>
                </w:tcPr>
                <w:p w14:paraId="1D15F78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i w:val="0"/>
                      <w:iCs w:val="0"/>
                      <w:snapToGrid w:val="0"/>
                      <w:color w:val="auto"/>
                      <w:kern w:val="0"/>
                      <w:sz w:val="21"/>
                      <w:szCs w:val="21"/>
                      <w:highlight w:val="none"/>
                      <w:u w:val="none" w:color="auto"/>
                      <w:lang w:val="en-US" w:eastAsia="zh-CN" w:bidi="ar"/>
                    </w:rPr>
                    <w:t>35t</w:t>
                  </w:r>
                </w:p>
              </w:tc>
            </w:tr>
            <w:tr w14:paraId="7ACD0D4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404" w:type="pct"/>
                  <w:gridSpan w:val="2"/>
                  <w:tcBorders>
                    <w:tl2br w:val="nil"/>
                    <w:tr2bl w:val="nil"/>
                  </w:tcBorders>
                  <w:shd w:val="clear" w:color="auto" w:fill="auto"/>
                  <w:vAlign w:val="center"/>
                </w:tcPr>
                <w:p w14:paraId="3BDC787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i w:val="0"/>
                      <w:iCs w:val="0"/>
                      <w:snapToGrid w:val="0"/>
                      <w:color w:val="auto"/>
                      <w:kern w:val="0"/>
                      <w:sz w:val="21"/>
                      <w:szCs w:val="21"/>
                      <w:highlight w:val="none"/>
                      <w:u w:val="none" w:color="auto"/>
                      <w:lang w:val="en-US" w:eastAsia="zh-CN" w:bidi="ar"/>
                    </w:rPr>
                    <w:t>5</w:t>
                  </w:r>
                </w:p>
              </w:tc>
              <w:tc>
                <w:tcPr>
                  <w:tcW w:w="1400" w:type="pct"/>
                  <w:tcBorders>
                    <w:tl2br w:val="nil"/>
                    <w:tr2bl w:val="nil"/>
                  </w:tcBorders>
                  <w:shd w:val="clear" w:color="auto" w:fill="auto"/>
                  <w:vAlign w:val="center"/>
                </w:tcPr>
                <w:p w14:paraId="33C0263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i w:val="0"/>
                      <w:iCs w:val="0"/>
                      <w:snapToGrid w:val="0"/>
                      <w:color w:val="auto"/>
                      <w:kern w:val="0"/>
                      <w:sz w:val="21"/>
                      <w:szCs w:val="21"/>
                      <w:highlight w:val="none"/>
                      <w:u w:val="none" w:color="auto"/>
                      <w:lang w:val="en-US" w:eastAsia="zh-CN" w:bidi="ar"/>
                    </w:rPr>
                    <w:t>铝液提升泵</w:t>
                  </w:r>
                </w:p>
              </w:tc>
              <w:tc>
                <w:tcPr>
                  <w:tcW w:w="895" w:type="pct"/>
                  <w:tcBorders>
                    <w:tl2br w:val="nil"/>
                    <w:tr2bl w:val="nil"/>
                  </w:tcBorders>
                  <w:shd w:val="clear" w:color="auto" w:fill="auto"/>
                  <w:vAlign w:val="center"/>
                </w:tcPr>
                <w:p w14:paraId="6D273BE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i w:val="0"/>
                      <w:iCs w:val="0"/>
                      <w:snapToGrid w:val="0"/>
                      <w:color w:val="auto"/>
                      <w:kern w:val="0"/>
                      <w:sz w:val="21"/>
                      <w:szCs w:val="21"/>
                      <w:highlight w:val="none"/>
                      <w:u w:val="none" w:color="auto"/>
                      <w:lang w:val="en-US" w:eastAsia="zh-CN" w:bidi="ar"/>
                    </w:rPr>
                    <w:t>套</w:t>
                  </w:r>
                </w:p>
              </w:tc>
              <w:tc>
                <w:tcPr>
                  <w:tcW w:w="617" w:type="pct"/>
                  <w:tcBorders>
                    <w:tl2br w:val="nil"/>
                    <w:tr2bl w:val="nil"/>
                  </w:tcBorders>
                  <w:shd w:val="clear" w:color="auto" w:fill="auto"/>
                  <w:vAlign w:val="center"/>
                </w:tcPr>
                <w:p w14:paraId="3FB6043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i w:val="0"/>
                      <w:iCs w:val="0"/>
                      <w:snapToGrid w:val="0"/>
                      <w:color w:val="auto"/>
                      <w:kern w:val="0"/>
                      <w:sz w:val="21"/>
                      <w:szCs w:val="21"/>
                      <w:highlight w:val="none"/>
                      <w:u w:val="none" w:color="auto"/>
                      <w:lang w:val="en-US" w:eastAsia="zh-CN" w:bidi="ar"/>
                    </w:rPr>
                    <w:t>3</w:t>
                  </w:r>
                </w:p>
              </w:tc>
              <w:tc>
                <w:tcPr>
                  <w:tcW w:w="1681" w:type="pct"/>
                  <w:tcBorders>
                    <w:tl2br w:val="nil"/>
                    <w:tr2bl w:val="nil"/>
                  </w:tcBorders>
                  <w:shd w:val="clear" w:color="auto" w:fill="auto"/>
                  <w:noWrap/>
                  <w:vAlign w:val="center"/>
                </w:tcPr>
                <w:p w14:paraId="24709A7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i w:val="0"/>
                      <w:iCs w:val="0"/>
                      <w:snapToGrid w:val="0"/>
                      <w:color w:val="auto"/>
                      <w:kern w:val="0"/>
                      <w:sz w:val="21"/>
                      <w:szCs w:val="21"/>
                      <w:highlight w:val="none"/>
                      <w:u w:val="none" w:color="auto"/>
                      <w:lang w:val="en-US" w:eastAsia="zh-CN" w:bidi="ar"/>
                    </w:rPr>
                    <w:t>特质耐高温设备，总功率</w:t>
                  </w:r>
                  <w:r>
                    <w:rPr>
                      <w:rStyle w:val="50"/>
                      <w:rFonts w:hint="default" w:ascii="Times New Roman" w:hAnsi="Times New Roman" w:eastAsia="宋体" w:cs="Times New Roman"/>
                      <w:snapToGrid w:val="0"/>
                      <w:color w:val="auto"/>
                      <w:sz w:val="21"/>
                      <w:szCs w:val="21"/>
                      <w:highlight w:val="none"/>
                      <w:u w:val="none" w:color="auto"/>
                      <w:lang w:val="en-US" w:eastAsia="zh-CN" w:bidi="ar"/>
                    </w:rPr>
                    <w:t>66kW</w:t>
                  </w:r>
                </w:p>
              </w:tc>
            </w:tr>
            <w:tr w14:paraId="72E529F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404" w:type="pct"/>
                  <w:gridSpan w:val="2"/>
                  <w:tcBorders>
                    <w:tl2br w:val="nil"/>
                    <w:tr2bl w:val="nil"/>
                  </w:tcBorders>
                  <w:shd w:val="clear" w:color="auto" w:fill="auto"/>
                  <w:vAlign w:val="center"/>
                </w:tcPr>
                <w:p w14:paraId="4A186B8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i w:val="0"/>
                      <w:iCs w:val="0"/>
                      <w:snapToGrid w:val="0"/>
                      <w:color w:val="auto"/>
                      <w:kern w:val="0"/>
                      <w:sz w:val="21"/>
                      <w:szCs w:val="21"/>
                      <w:highlight w:val="none"/>
                      <w:u w:val="none" w:color="auto"/>
                      <w:lang w:val="en-US" w:eastAsia="zh-CN" w:bidi="ar"/>
                    </w:rPr>
                    <w:t>6</w:t>
                  </w:r>
                </w:p>
              </w:tc>
              <w:tc>
                <w:tcPr>
                  <w:tcW w:w="1400" w:type="pct"/>
                  <w:tcBorders>
                    <w:tl2br w:val="nil"/>
                    <w:tr2bl w:val="nil"/>
                  </w:tcBorders>
                  <w:shd w:val="clear" w:color="auto" w:fill="auto"/>
                  <w:vAlign w:val="center"/>
                </w:tcPr>
                <w:p w14:paraId="3653F7C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i w:val="0"/>
                      <w:iCs w:val="0"/>
                      <w:snapToGrid w:val="0"/>
                      <w:color w:val="auto"/>
                      <w:kern w:val="0"/>
                      <w:sz w:val="21"/>
                      <w:szCs w:val="21"/>
                      <w:highlight w:val="none"/>
                      <w:u w:val="none" w:color="auto"/>
                      <w:lang w:val="en-US" w:eastAsia="zh-CN" w:bidi="ar"/>
                    </w:rPr>
                    <w:t>制氮机</w:t>
                  </w:r>
                </w:p>
              </w:tc>
              <w:tc>
                <w:tcPr>
                  <w:tcW w:w="895" w:type="pct"/>
                  <w:tcBorders>
                    <w:tl2br w:val="nil"/>
                    <w:tr2bl w:val="nil"/>
                  </w:tcBorders>
                  <w:shd w:val="clear" w:color="auto" w:fill="auto"/>
                  <w:vAlign w:val="center"/>
                </w:tcPr>
                <w:p w14:paraId="22FA6B5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i w:val="0"/>
                      <w:iCs w:val="0"/>
                      <w:snapToGrid w:val="0"/>
                      <w:color w:val="auto"/>
                      <w:kern w:val="0"/>
                      <w:sz w:val="21"/>
                      <w:szCs w:val="21"/>
                      <w:highlight w:val="none"/>
                      <w:u w:val="none" w:color="auto"/>
                      <w:lang w:val="en-US" w:eastAsia="zh-CN" w:bidi="ar"/>
                    </w:rPr>
                    <w:t>套</w:t>
                  </w:r>
                </w:p>
              </w:tc>
              <w:tc>
                <w:tcPr>
                  <w:tcW w:w="617" w:type="pct"/>
                  <w:tcBorders>
                    <w:tl2br w:val="nil"/>
                    <w:tr2bl w:val="nil"/>
                  </w:tcBorders>
                  <w:shd w:val="clear" w:color="auto" w:fill="auto"/>
                  <w:vAlign w:val="center"/>
                </w:tcPr>
                <w:p w14:paraId="75235CD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i w:val="0"/>
                      <w:iCs w:val="0"/>
                      <w:snapToGrid w:val="0"/>
                      <w:color w:val="auto"/>
                      <w:kern w:val="0"/>
                      <w:sz w:val="21"/>
                      <w:szCs w:val="21"/>
                      <w:highlight w:val="none"/>
                      <w:u w:val="none" w:color="auto"/>
                      <w:lang w:val="en-US" w:eastAsia="zh-CN" w:bidi="ar"/>
                    </w:rPr>
                    <w:t>1</w:t>
                  </w:r>
                </w:p>
              </w:tc>
              <w:tc>
                <w:tcPr>
                  <w:tcW w:w="1681" w:type="pct"/>
                  <w:tcBorders>
                    <w:tl2br w:val="nil"/>
                    <w:tr2bl w:val="nil"/>
                  </w:tcBorders>
                  <w:shd w:val="clear" w:color="auto" w:fill="auto"/>
                  <w:vAlign w:val="center"/>
                </w:tcPr>
                <w:p w14:paraId="0483786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i w:val="0"/>
                      <w:iCs w:val="0"/>
                      <w:snapToGrid w:val="0"/>
                      <w:color w:val="auto"/>
                      <w:kern w:val="0"/>
                      <w:sz w:val="21"/>
                      <w:szCs w:val="21"/>
                      <w:highlight w:val="none"/>
                      <w:u w:val="none" w:color="auto"/>
                      <w:lang w:val="en-US" w:eastAsia="zh-CN" w:bidi="ar"/>
                    </w:rPr>
                    <w:t>15Nm³/h</w:t>
                  </w:r>
                </w:p>
              </w:tc>
            </w:tr>
            <w:tr w14:paraId="3AF2C21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404" w:type="pct"/>
                  <w:gridSpan w:val="2"/>
                  <w:tcBorders>
                    <w:tl2br w:val="nil"/>
                    <w:tr2bl w:val="nil"/>
                  </w:tcBorders>
                  <w:shd w:val="clear" w:color="auto" w:fill="auto"/>
                  <w:vAlign w:val="center"/>
                </w:tcPr>
                <w:p w14:paraId="67C931C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i w:val="0"/>
                      <w:iCs w:val="0"/>
                      <w:snapToGrid w:val="0"/>
                      <w:color w:val="auto"/>
                      <w:kern w:val="0"/>
                      <w:sz w:val="21"/>
                      <w:szCs w:val="21"/>
                      <w:highlight w:val="none"/>
                      <w:u w:val="none" w:color="auto"/>
                      <w:lang w:val="en-US" w:eastAsia="zh-CN" w:bidi="ar"/>
                    </w:rPr>
                    <w:t>7</w:t>
                  </w:r>
                </w:p>
              </w:tc>
              <w:tc>
                <w:tcPr>
                  <w:tcW w:w="1400" w:type="pct"/>
                  <w:tcBorders>
                    <w:tl2br w:val="nil"/>
                    <w:tr2bl w:val="nil"/>
                  </w:tcBorders>
                  <w:shd w:val="clear" w:color="auto" w:fill="auto"/>
                  <w:vAlign w:val="center"/>
                </w:tcPr>
                <w:p w14:paraId="7BA898C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i w:val="0"/>
                      <w:iCs w:val="0"/>
                      <w:snapToGrid w:val="0"/>
                      <w:color w:val="auto"/>
                      <w:kern w:val="0"/>
                      <w:sz w:val="21"/>
                      <w:szCs w:val="21"/>
                      <w:highlight w:val="none"/>
                      <w:u w:val="none" w:color="auto"/>
                      <w:lang w:val="en-US" w:eastAsia="zh-CN" w:bidi="ar"/>
                    </w:rPr>
                    <w:t>地磅</w:t>
                  </w:r>
                  <w:r>
                    <w:rPr>
                      <w:rStyle w:val="51"/>
                      <w:rFonts w:hint="default" w:ascii="Times New Roman" w:hAnsi="Times New Roman" w:eastAsia="宋体" w:cs="Times New Roman"/>
                      <w:snapToGrid w:val="0"/>
                      <w:color w:val="auto"/>
                      <w:sz w:val="21"/>
                      <w:szCs w:val="21"/>
                      <w:highlight w:val="none"/>
                      <w:u w:val="none" w:color="auto"/>
                      <w:lang w:val="en-US" w:eastAsia="zh-CN" w:bidi="ar"/>
                    </w:rPr>
                    <w:t>20t</w:t>
                  </w:r>
                </w:p>
              </w:tc>
              <w:tc>
                <w:tcPr>
                  <w:tcW w:w="895" w:type="pct"/>
                  <w:tcBorders>
                    <w:tl2br w:val="nil"/>
                    <w:tr2bl w:val="nil"/>
                  </w:tcBorders>
                  <w:shd w:val="clear" w:color="auto" w:fill="auto"/>
                  <w:vAlign w:val="center"/>
                </w:tcPr>
                <w:p w14:paraId="56A0D36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i w:val="0"/>
                      <w:iCs w:val="0"/>
                      <w:snapToGrid w:val="0"/>
                      <w:color w:val="auto"/>
                      <w:kern w:val="0"/>
                      <w:sz w:val="21"/>
                      <w:szCs w:val="21"/>
                      <w:highlight w:val="none"/>
                      <w:u w:val="none" w:color="auto"/>
                      <w:lang w:val="en-US" w:eastAsia="zh-CN" w:bidi="ar"/>
                    </w:rPr>
                    <w:t>台</w:t>
                  </w:r>
                </w:p>
              </w:tc>
              <w:tc>
                <w:tcPr>
                  <w:tcW w:w="617" w:type="pct"/>
                  <w:tcBorders>
                    <w:tl2br w:val="nil"/>
                    <w:tr2bl w:val="nil"/>
                  </w:tcBorders>
                  <w:shd w:val="clear" w:color="auto" w:fill="auto"/>
                  <w:vAlign w:val="center"/>
                </w:tcPr>
                <w:p w14:paraId="4294D4D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i w:val="0"/>
                      <w:iCs w:val="0"/>
                      <w:snapToGrid w:val="0"/>
                      <w:color w:val="auto"/>
                      <w:kern w:val="0"/>
                      <w:sz w:val="21"/>
                      <w:szCs w:val="21"/>
                      <w:highlight w:val="none"/>
                      <w:u w:val="none" w:color="auto"/>
                      <w:lang w:val="en-US" w:eastAsia="zh-CN" w:bidi="ar"/>
                    </w:rPr>
                    <w:t>1</w:t>
                  </w:r>
                </w:p>
              </w:tc>
              <w:tc>
                <w:tcPr>
                  <w:tcW w:w="1681" w:type="pct"/>
                  <w:tcBorders>
                    <w:tl2br w:val="nil"/>
                    <w:tr2bl w:val="nil"/>
                  </w:tcBorders>
                  <w:shd w:val="clear" w:color="auto" w:fill="auto"/>
                  <w:vAlign w:val="center"/>
                </w:tcPr>
                <w:p w14:paraId="778323E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i w:val="0"/>
                      <w:iCs w:val="0"/>
                      <w:snapToGrid w:val="0"/>
                      <w:color w:val="auto"/>
                      <w:kern w:val="0"/>
                      <w:sz w:val="21"/>
                      <w:szCs w:val="21"/>
                      <w:highlight w:val="none"/>
                      <w:u w:val="none" w:color="auto"/>
                      <w:lang w:val="en-US" w:eastAsia="zh-CN" w:bidi="ar"/>
                    </w:rPr>
                    <w:t>20t</w:t>
                  </w:r>
                </w:p>
              </w:tc>
            </w:tr>
            <w:tr w14:paraId="13E866A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trPr>
              <w:tc>
                <w:tcPr>
                  <w:tcW w:w="404" w:type="pct"/>
                  <w:gridSpan w:val="2"/>
                  <w:tcBorders>
                    <w:tl2br w:val="nil"/>
                    <w:tr2bl w:val="nil"/>
                  </w:tcBorders>
                  <w:shd w:val="clear" w:color="auto" w:fill="auto"/>
                  <w:vAlign w:val="center"/>
                </w:tcPr>
                <w:p w14:paraId="440214F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i w:val="0"/>
                      <w:iCs w:val="0"/>
                      <w:snapToGrid w:val="0"/>
                      <w:color w:val="auto"/>
                      <w:kern w:val="0"/>
                      <w:sz w:val="21"/>
                      <w:szCs w:val="21"/>
                      <w:highlight w:val="none"/>
                      <w:u w:val="none" w:color="auto"/>
                      <w:lang w:val="en-US" w:eastAsia="zh-CN" w:bidi="ar"/>
                    </w:rPr>
                    <w:t>8</w:t>
                  </w:r>
                </w:p>
              </w:tc>
              <w:tc>
                <w:tcPr>
                  <w:tcW w:w="1400" w:type="pct"/>
                  <w:tcBorders>
                    <w:tl2br w:val="nil"/>
                    <w:tr2bl w:val="nil"/>
                  </w:tcBorders>
                  <w:shd w:val="clear" w:color="auto" w:fill="auto"/>
                  <w:vAlign w:val="center"/>
                </w:tcPr>
                <w:p w14:paraId="147A35D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i w:val="0"/>
                      <w:iCs w:val="0"/>
                      <w:snapToGrid w:val="0"/>
                      <w:color w:val="auto"/>
                      <w:kern w:val="0"/>
                      <w:sz w:val="21"/>
                      <w:szCs w:val="21"/>
                      <w:highlight w:val="none"/>
                      <w:u w:val="none" w:color="auto"/>
                      <w:lang w:val="en-US" w:eastAsia="zh-CN" w:bidi="ar"/>
                    </w:rPr>
                    <w:t>地磅</w:t>
                  </w:r>
                  <w:r>
                    <w:rPr>
                      <w:rStyle w:val="51"/>
                      <w:rFonts w:hint="default" w:ascii="Times New Roman" w:hAnsi="Times New Roman" w:eastAsia="宋体" w:cs="Times New Roman"/>
                      <w:snapToGrid w:val="0"/>
                      <w:color w:val="auto"/>
                      <w:sz w:val="21"/>
                      <w:szCs w:val="21"/>
                      <w:highlight w:val="none"/>
                      <w:u w:val="none" w:color="auto"/>
                      <w:lang w:val="en-US" w:eastAsia="zh-CN" w:bidi="ar"/>
                    </w:rPr>
                    <w:t>5t</w:t>
                  </w:r>
                </w:p>
              </w:tc>
              <w:tc>
                <w:tcPr>
                  <w:tcW w:w="895" w:type="pct"/>
                  <w:tcBorders>
                    <w:tl2br w:val="nil"/>
                    <w:tr2bl w:val="nil"/>
                  </w:tcBorders>
                  <w:shd w:val="clear" w:color="auto" w:fill="auto"/>
                  <w:vAlign w:val="center"/>
                </w:tcPr>
                <w:p w14:paraId="28B0D3A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i w:val="0"/>
                      <w:iCs w:val="0"/>
                      <w:snapToGrid w:val="0"/>
                      <w:color w:val="auto"/>
                      <w:kern w:val="0"/>
                      <w:sz w:val="21"/>
                      <w:szCs w:val="21"/>
                      <w:highlight w:val="none"/>
                      <w:u w:val="none" w:color="auto"/>
                      <w:lang w:val="en-US" w:eastAsia="zh-CN" w:bidi="ar"/>
                    </w:rPr>
                    <w:t>台</w:t>
                  </w:r>
                </w:p>
              </w:tc>
              <w:tc>
                <w:tcPr>
                  <w:tcW w:w="617" w:type="pct"/>
                  <w:tcBorders>
                    <w:tl2br w:val="nil"/>
                    <w:tr2bl w:val="nil"/>
                  </w:tcBorders>
                  <w:shd w:val="clear" w:color="auto" w:fill="auto"/>
                  <w:vAlign w:val="center"/>
                </w:tcPr>
                <w:p w14:paraId="1ABBF7E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i w:val="0"/>
                      <w:iCs w:val="0"/>
                      <w:snapToGrid w:val="0"/>
                      <w:color w:val="auto"/>
                      <w:kern w:val="0"/>
                      <w:sz w:val="21"/>
                      <w:szCs w:val="21"/>
                      <w:highlight w:val="none"/>
                      <w:u w:val="none" w:color="auto"/>
                      <w:lang w:val="en-US" w:eastAsia="zh-CN" w:bidi="ar"/>
                    </w:rPr>
                    <w:t>1</w:t>
                  </w:r>
                </w:p>
              </w:tc>
              <w:tc>
                <w:tcPr>
                  <w:tcW w:w="1681" w:type="pct"/>
                  <w:tcBorders>
                    <w:tl2br w:val="nil"/>
                    <w:tr2bl w:val="nil"/>
                  </w:tcBorders>
                  <w:shd w:val="clear" w:color="auto" w:fill="auto"/>
                  <w:vAlign w:val="center"/>
                </w:tcPr>
                <w:p w14:paraId="18D0860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i w:val="0"/>
                      <w:iCs w:val="0"/>
                      <w:snapToGrid w:val="0"/>
                      <w:color w:val="auto"/>
                      <w:kern w:val="0"/>
                      <w:sz w:val="21"/>
                      <w:szCs w:val="21"/>
                      <w:highlight w:val="none"/>
                      <w:u w:val="none" w:color="auto"/>
                      <w:lang w:val="en-US" w:eastAsia="zh-CN" w:bidi="ar"/>
                    </w:rPr>
                    <w:t>5t</w:t>
                  </w:r>
                </w:p>
              </w:tc>
            </w:tr>
            <w:tr w14:paraId="4575F29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trPr>
              <w:tc>
                <w:tcPr>
                  <w:tcW w:w="404" w:type="pct"/>
                  <w:gridSpan w:val="2"/>
                  <w:tcBorders>
                    <w:tl2br w:val="nil"/>
                    <w:tr2bl w:val="nil"/>
                  </w:tcBorders>
                  <w:shd w:val="clear" w:color="auto" w:fill="auto"/>
                  <w:vAlign w:val="center"/>
                </w:tcPr>
                <w:p w14:paraId="2776A8B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i w:val="0"/>
                      <w:iCs w:val="0"/>
                      <w:snapToGrid w:val="0"/>
                      <w:color w:val="auto"/>
                      <w:kern w:val="0"/>
                      <w:sz w:val="21"/>
                      <w:szCs w:val="21"/>
                      <w:highlight w:val="none"/>
                      <w:u w:val="none" w:color="auto"/>
                      <w:lang w:val="en-US" w:eastAsia="zh-CN" w:bidi="ar"/>
                    </w:rPr>
                    <w:t>9</w:t>
                  </w:r>
                </w:p>
              </w:tc>
              <w:tc>
                <w:tcPr>
                  <w:tcW w:w="1400" w:type="pct"/>
                  <w:tcBorders>
                    <w:tl2br w:val="nil"/>
                    <w:tr2bl w:val="nil"/>
                  </w:tcBorders>
                  <w:shd w:val="clear" w:color="auto" w:fill="auto"/>
                  <w:vAlign w:val="center"/>
                </w:tcPr>
                <w:p w14:paraId="5130978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i w:val="0"/>
                      <w:iCs w:val="0"/>
                      <w:snapToGrid w:val="0"/>
                      <w:color w:val="auto"/>
                      <w:kern w:val="0"/>
                      <w:sz w:val="21"/>
                      <w:szCs w:val="21"/>
                      <w:highlight w:val="none"/>
                      <w:u w:val="none" w:color="auto"/>
                      <w:lang w:val="en-US" w:eastAsia="zh-CN" w:bidi="ar"/>
                    </w:rPr>
                    <w:t>铸锭机</w:t>
                  </w:r>
                </w:p>
              </w:tc>
              <w:tc>
                <w:tcPr>
                  <w:tcW w:w="895" w:type="pct"/>
                  <w:tcBorders>
                    <w:tl2br w:val="nil"/>
                    <w:tr2bl w:val="nil"/>
                  </w:tcBorders>
                  <w:shd w:val="clear" w:color="auto" w:fill="auto"/>
                  <w:vAlign w:val="center"/>
                </w:tcPr>
                <w:p w14:paraId="0BE2C5E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i w:val="0"/>
                      <w:iCs w:val="0"/>
                      <w:snapToGrid w:val="0"/>
                      <w:color w:val="auto"/>
                      <w:kern w:val="0"/>
                      <w:sz w:val="21"/>
                      <w:szCs w:val="21"/>
                      <w:highlight w:val="none"/>
                      <w:u w:val="none" w:color="auto"/>
                      <w:lang w:val="en-US" w:eastAsia="zh-CN" w:bidi="ar"/>
                    </w:rPr>
                    <w:t>台</w:t>
                  </w:r>
                </w:p>
              </w:tc>
              <w:tc>
                <w:tcPr>
                  <w:tcW w:w="617" w:type="pct"/>
                  <w:tcBorders>
                    <w:tl2br w:val="nil"/>
                    <w:tr2bl w:val="nil"/>
                  </w:tcBorders>
                  <w:shd w:val="clear" w:color="auto" w:fill="auto"/>
                  <w:vAlign w:val="center"/>
                </w:tcPr>
                <w:p w14:paraId="0B16E3A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i w:val="0"/>
                      <w:iCs w:val="0"/>
                      <w:snapToGrid w:val="0"/>
                      <w:color w:val="auto"/>
                      <w:kern w:val="0"/>
                      <w:sz w:val="21"/>
                      <w:szCs w:val="21"/>
                      <w:highlight w:val="none"/>
                      <w:u w:val="none" w:color="auto"/>
                      <w:lang w:val="en-US" w:eastAsia="zh-CN" w:bidi="ar"/>
                    </w:rPr>
                    <w:t>1</w:t>
                  </w:r>
                </w:p>
              </w:tc>
              <w:tc>
                <w:tcPr>
                  <w:tcW w:w="1681" w:type="pct"/>
                  <w:tcBorders>
                    <w:tl2br w:val="nil"/>
                    <w:tr2bl w:val="nil"/>
                  </w:tcBorders>
                  <w:shd w:val="clear" w:color="auto" w:fill="auto"/>
                  <w:vAlign w:val="center"/>
                </w:tcPr>
                <w:p w14:paraId="470FC85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i w:val="0"/>
                      <w:iCs w:val="0"/>
                      <w:snapToGrid w:val="0"/>
                      <w:color w:val="auto"/>
                      <w:kern w:val="0"/>
                      <w:sz w:val="21"/>
                      <w:szCs w:val="21"/>
                      <w:highlight w:val="none"/>
                      <w:u w:val="none" w:color="auto"/>
                      <w:lang w:val="en-US" w:eastAsia="zh-CN" w:bidi="ar"/>
                    </w:rPr>
                    <w:t>5.5kg±0.5kg</w:t>
                  </w:r>
                </w:p>
              </w:tc>
            </w:tr>
            <w:tr w14:paraId="1CAC051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trPr>
              <w:tc>
                <w:tcPr>
                  <w:tcW w:w="404" w:type="pct"/>
                  <w:gridSpan w:val="2"/>
                  <w:tcBorders>
                    <w:tl2br w:val="nil"/>
                    <w:tr2bl w:val="nil"/>
                  </w:tcBorders>
                  <w:shd w:val="clear" w:color="auto" w:fill="auto"/>
                  <w:vAlign w:val="center"/>
                </w:tcPr>
                <w:p w14:paraId="17FD60E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i w:val="0"/>
                      <w:iCs w:val="0"/>
                      <w:snapToGrid w:val="0"/>
                      <w:color w:val="auto"/>
                      <w:kern w:val="0"/>
                      <w:sz w:val="21"/>
                      <w:szCs w:val="21"/>
                      <w:highlight w:val="none"/>
                      <w:u w:val="none" w:color="auto"/>
                      <w:lang w:val="en-US" w:eastAsia="zh-CN" w:bidi="ar"/>
                    </w:rPr>
                    <w:t>10</w:t>
                  </w:r>
                </w:p>
              </w:tc>
              <w:tc>
                <w:tcPr>
                  <w:tcW w:w="1400" w:type="pct"/>
                  <w:tcBorders>
                    <w:tl2br w:val="nil"/>
                    <w:tr2bl w:val="nil"/>
                  </w:tcBorders>
                  <w:shd w:val="clear" w:color="auto" w:fill="auto"/>
                  <w:vAlign w:val="center"/>
                </w:tcPr>
                <w:p w14:paraId="6A91ABE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i w:val="0"/>
                      <w:iCs w:val="0"/>
                      <w:snapToGrid w:val="0"/>
                      <w:color w:val="auto"/>
                      <w:kern w:val="0"/>
                      <w:sz w:val="21"/>
                      <w:szCs w:val="21"/>
                      <w:highlight w:val="none"/>
                      <w:u w:val="none" w:color="auto"/>
                      <w:lang w:val="en-US" w:eastAsia="zh-CN" w:bidi="ar"/>
                    </w:rPr>
                    <w:t>立式搅拌机</w:t>
                  </w:r>
                </w:p>
              </w:tc>
              <w:tc>
                <w:tcPr>
                  <w:tcW w:w="895" w:type="pct"/>
                  <w:tcBorders>
                    <w:tl2br w:val="nil"/>
                    <w:tr2bl w:val="nil"/>
                  </w:tcBorders>
                  <w:shd w:val="clear" w:color="auto" w:fill="auto"/>
                  <w:vAlign w:val="center"/>
                </w:tcPr>
                <w:p w14:paraId="4E1B6C5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i w:val="0"/>
                      <w:iCs w:val="0"/>
                      <w:snapToGrid w:val="0"/>
                      <w:color w:val="auto"/>
                      <w:kern w:val="0"/>
                      <w:sz w:val="21"/>
                      <w:szCs w:val="21"/>
                      <w:highlight w:val="none"/>
                      <w:u w:val="none" w:color="auto"/>
                      <w:lang w:val="en-US" w:eastAsia="zh-CN" w:bidi="ar"/>
                    </w:rPr>
                    <w:t>台</w:t>
                  </w:r>
                </w:p>
              </w:tc>
              <w:tc>
                <w:tcPr>
                  <w:tcW w:w="617" w:type="pct"/>
                  <w:tcBorders>
                    <w:tl2br w:val="nil"/>
                    <w:tr2bl w:val="nil"/>
                  </w:tcBorders>
                  <w:shd w:val="clear" w:color="auto" w:fill="auto"/>
                  <w:vAlign w:val="center"/>
                </w:tcPr>
                <w:p w14:paraId="13565BA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i w:val="0"/>
                      <w:iCs w:val="0"/>
                      <w:snapToGrid w:val="0"/>
                      <w:color w:val="auto"/>
                      <w:kern w:val="0"/>
                      <w:sz w:val="21"/>
                      <w:szCs w:val="21"/>
                      <w:highlight w:val="none"/>
                      <w:u w:val="none" w:color="auto"/>
                      <w:lang w:val="en-US" w:eastAsia="zh-CN" w:bidi="ar"/>
                    </w:rPr>
                    <w:t>3</w:t>
                  </w:r>
                </w:p>
              </w:tc>
              <w:tc>
                <w:tcPr>
                  <w:tcW w:w="1681" w:type="pct"/>
                  <w:tcBorders>
                    <w:tl2br w:val="nil"/>
                    <w:tr2bl w:val="nil"/>
                  </w:tcBorders>
                  <w:shd w:val="clear" w:color="auto" w:fill="auto"/>
                  <w:vAlign w:val="center"/>
                </w:tcPr>
                <w:p w14:paraId="52E152C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i w:val="0"/>
                      <w:iCs w:val="0"/>
                      <w:snapToGrid w:val="0"/>
                      <w:color w:val="auto"/>
                      <w:kern w:val="0"/>
                      <w:sz w:val="21"/>
                      <w:szCs w:val="21"/>
                      <w:highlight w:val="none"/>
                      <w:u w:val="none" w:color="auto"/>
                      <w:lang w:val="en-US" w:eastAsia="zh-CN" w:bidi="ar"/>
                    </w:rPr>
                    <w:t xml:space="preserve">Φ1300*1100mm </w:t>
                  </w:r>
                  <w:r>
                    <w:rPr>
                      <w:rStyle w:val="47"/>
                      <w:rFonts w:hint="default" w:ascii="Times New Roman" w:hAnsi="Times New Roman" w:eastAsia="宋体" w:cs="Times New Roman"/>
                      <w:snapToGrid w:val="0"/>
                      <w:color w:val="auto"/>
                      <w:sz w:val="21"/>
                      <w:szCs w:val="21"/>
                      <w:highlight w:val="none"/>
                      <w:u w:val="none" w:color="auto"/>
                      <w:lang w:val="en-US" w:eastAsia="zh-CN" w:bidi="ar"/>
                    </w:rPr>
                    <w:t>底厚</w:t>
                  </w:r>
                  <w:r>
                    <w:rPr>
                      <w:rStyle w:val="51"/>
                      <w:rFonts w:hint="default" w:ascii="Times New Roman" w:hAnsi="Times New Roman" w:eastAsia="宋体" w:cs="Times New Roman"/>
                      <w:snapToGrid w:val="0"/>
                      <w:color w:val="auto"/>
                      <w:sz w:val="21"/>
                      <w:szCs w:val="21"/>
                      <w:highlight w:val="none"/>
                      <w:u w:val="none" w:color="auto"/>
                      <w:lang w:val="en-US" w:eastAsia="zh-CN" w:bidi="ar"/>
                    </w:rPr>
                    <w:t>≥75mm</w:t>
                  </w:r>
                  <w:r>
                    <w:rPr>
                      <w:rStyle w:val="51"/>
                      <w:rFonts w:hint="default" w:ascii="Times New Roman" w:hAnsi="Times New Roman" w:eastAsia="宋体" w:cs="Times New Roman"/>
                      <w:snapToGrid w:val="0"/>
                      <w:color w:val="auto"/>
                      <w:sz w:val="21"/>
                      <w:szCs w:val="21"/>
                      <w:highlight w:val="none"/>
                      <w:u w:val="none" w:color="auto"/>
                      <w:lang w:val="en-US" w:eastAsia="zh-CN" w:bidi="ar"/>
                    </w:rPr>
                    <w:br w:type="textWrapping"/>
                  </w:r>
                  <w:r>
                    <w:rPr>
                      <w:rStyle w:val="47"/>
                      <w:rFonts w:hint="default" w:ascii="Times New Roman" w:hAnsi="Times New Roman" w:eastAsia="宋体" w:cs="Times New Roman"/>
                      <w:snapToGrid w:val="0"/>
                      <w:color w:val="auto"/>
                      <w:sz w:val="21"/>
                      <w:szCs w:val="21"/>
                      <w:highlight w:val="none"/>
                      <w:u w:val="none" w:color="auto"/>
                      <w:lang w:val="en-US" w:eastAsia="zh-CN" w:bidi="ar"/>
                    </w:rPr>
                    <w:t>锅边厚度</w:t>
                  </w:r>
                  <w:r>
                    <w:rPr>
                      <w:rStyle w:val="51"/>
                      <w:rFonts w:hint="default" w:ascii="Times New Roman" w:hAnsi="Times New Roman" w:eastAsia="宋体" w:cs="Times New Roman"/>
                      <w:snapToGrid w:val="0"/>
                      <w:color w:val="auto"/>
                      <w:sz w:val="21"/>
                      <w:szCs w:val="21"/>
                      <w:highlight w:val="none"/>
                      <w:u w:val="none" w:color="auto"/>
                      <w:lang w:val="en-US" w:eastAsia="zh-CN" w:bidi="ar"/>
                    </w:rPr>
                    <w:t>≥35mm</w:t>
                  </w:r>
                </w:p>
              </w:tc>
            </w:tr>
            <w:tr w14:paraId="579EC1B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trPr>
              <w:tc>
                <w:tcPr>
                  <w:tcW w:w="404" w:type="pct"/>
                  <w:gridSpan w:val="2"/>
                  <w:tcBorders>
                    <w:tl2br w:val="nil"/>
                    <w:tr2bl w:val="nil"/>
                  </w:tcBorders>
                  <w:shd w:val="clear" w:color="auto" w:fill="auto"/>
                  <w:vAlign w:val="center"/>
                </w:tcPr>
                <w:p w14:paraId="3B494C1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i w:val="0"/>
                      <w:iCs w:val="0"/>
                      <w:snapToGrid w:val="0"/>
                      <w:color w:val="auto"/>
                      <w:kern w:val="0"/>
                      <w:sz w:val="21"/>
                      <w:szCs w:val="21"/>
                      <w:highlight w:val="none"/>
                      <w:u w:val="none" w:color="auto"/>
                      <w:lang w:val="en-US" w:eastAsia="zh-CN" w:bidi="ar"/>
                    </w:rPr>
                    <w:t>11</w:t>
                  </w:r>
                </w:p>
              </w:tc>
              <w:tc>
                <w:tcPr>
                  <w:tcW w:w="1400" w:type="pct"/>
                  <w:tcBorders>
                    <w:tl2br w:val="nil"/>
                    <w:tr2bl w:val="nil"/>
                  </w:tcBorders>
                  <w:shd w:val="clear" w:color="auto" w:fill="auto"/>
                  <w:vAlign w:val="center"/>
                </w:tcPr>
                <w:p w14:paraId="4F69E32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i w:val="0"/>
                      <w:iCs w:val="0"/>
                      <w:snapToGrid w:val="0"/>
                      <w:color w:val="auto"/>
                      <w:kern w:val="0"/>
                      <w:sz w:val="21"/>
                      <w:szCs w:val="21"/>
                      <w:highlight w:val="none"/>
                      <w:u w:val="none" w:color="auto"/>
                      <w:lang w:val="en-US" w:eastAsia="zh-CN" w:bidi="ar"/>
                    </w:rPr>
                    <w:t>冷灰桶</w:t>
                  </w:r>
                </w:p>
              </w:tc>
              <w:tc>
                <w:tcPr>
                  <w:tcW w:w="895" w:type="pct"/>
                  <w:tcBorders>
                    <w:tl2br w:val="nil"/>
                    <w:tr2bl w:val="nil"/>
                  </w:tcBorders>
                  <w:shd w:val="clear" w:color="auto" w:fill="auto"/>
                  <w:vAlign w:val="center"/>
                </w:tcPr>
                <w:p w14:paraId="319BF2D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i w:val="0"/>
                      <w:iCs w:val="0"/>
                      <w:snapToGrid w:val="0"/>
                      <w:color w:val="auto"/>
                      <w:kern w:val="0"/>
                      <w:sz w:val="21"/>
                      <w:szCs w:val="21"/>
                      <w:highlight w:val="none"/>
                      <w:u w:val="none" w:color="auto"/>
                      <w:lang w:val="en-US" w:eastAsia="zh-CN" w:bidi="ar"/>
                    </w:rPr>
                    <w:t>台</w:t>
                  </w:r>
                </w:p>
              </w:tc>
              <w:tc>
                <w:tcPr>
                  <w:tcW w:w="617" w:type="pct"/>
                  <w:tcBorders>
                    <w:tl2br w:val="nil"/>
                    <w:tr2bl w:val="nil"/>
                  </w:tcBorders>
                  <w:shd w:val="clear" w:color="auto" w:fill="auto"/>
                  <w:vAlign w:val="center"/>
                </w:tcPr>
                <w:p w14:paraId="4C57034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i w:val="0"/>
                      <w:iCs w:val="0"/>
                      <w:snapToGrid w:val="0"/>
                      <w:color w:val="auto"/>
                      <w:kern w:val="0"/>
                      <w:sz w:val="21"/>
                      <w:szCs w:val="21"/>
                      <w:highlight w:val="none"/>
                      <w:u w:val="none" w:color="auto"/>
                      <w:lang w:val="en-US" w:eastAsia="zh-CN" w:bidi="ar"/>
                    </w:rPr>
                    <w:t>2</w:t>
                  </w:r>
                </w:p>
              </w:tc>
              <w:tc>
                <w:tcPr>
                  <w:tcW w:w="1681" w:type="pct"/>
                  <w:tcBorders>
                    <w:tl2br w:val="nil"/>
                    <w:tr2bl w:val="nil"/>
                  </w:tcBorders>
                  <w:shd w:val="clear" w:color="auto" w:fill="auto"/>
                  <w:vAlign w:val="center"/>
                </w:tcPr>
                <w:p w14:paraId="77AACE1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i w:val="0"/>
                      <w:iCs w:val="0"/>
                      <w:snapToGrid w:val="0"/>
                      <w:color w:val="auto"/>
                      <w:kern w:val="0"/>
                      <w:sz w:val="21"/>
                      <w:szCs w:val="21"/>
                      <w:highlight w:val="none"/>
                      <w:u w:val="none" w:color="auto"/>
                      <w:lang w:val="en-US" w:eastAsia="zh-CN" w:bidi="ar"/>
                    </w:rPr>
                    <w:t>Φ1300×8000mm~Φ1300×11000mm</w:t>
                  </w:r>
                </w:p>
              </w:tc>
            </w:tr>
            <w:tr w14:paraId="4D60372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404" w:type="pct"/>
                  <w:gridSpan w:val="2"/>
                  <w:tcBorders>
                    <w:tl2br w:val="nil"/>
                    <w:tr2bl w:val="nil"/>
                  </w:tcBorders>
                  <w:shd w:val="clear" w:color="auto" w:fill="auto"/>
                  <w:vAlign w:val="center"/>
                </w:tcPr>
                <w:p w14:paraId="2CA1130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i w:val="0"/>
                      <w:iCs w:val="0"/>
                      <w:snapToGrid w:val="0"/>
                      <w:color w:val="auto"/>
                      <w:kern w:val="0"/>
                      <w:sz w:val="21"/>
                      <w:szCs w:val="21"/>
                      <w:highlight w:val="none"/>
                      <w:u w:val="none" w:color="auto"/>
                      <w:lang w:val="en-US" w:eastAsia="zh-CN" w:bidi="ar"/>
                    </w:rPr>
                    <w:t>12</w:t>
                  </w:r>
                </w:p>
              </w:tc>
              <w:tc>
                <w:tcPr>
                  <w:tcW w:w="1400" w:type="pct"/>
                  <w:tcBorders>
                    <w:tl2br w:val="nil"/>
                    <w:tr2bl w:val="nil"/>
                  </w:tcBorders>
                  <w:shd w:val="clear" w:color="auto" w:fill="auto"/>
                  <w:vAlign w:val="center"/>
                </w:tcPr>
                <w:p w14:paraId="33D5481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i w:val="0"/>
                      <w:iCs w:val="0"/>
                      <w:snapToGrid w:val="0"/>
                      <w:color w:val="auto"/>
                      <w:kern w:val="0"/>
                      <w:sz w:val="21"/>
                      <w:szCs w:val="21"/>
                      <w:highlight w:val="none"/>
                      <w:u w:val="none" w:color="auto"/>
                      <w:lang w:val="en-US" w:eastAsia="zh-CN" w:bidi="ar"/>
                    </w:rPr>
                    <w:t>球磨机</w:t>
                  </w:r>
                </w:p>
              </w:tc>
              <w:tc>
                <w:tcPr>
                  <w:tcW w:w="895" w:type="pct"/>
                  <w:tcBorders>
                    <w:tl2br w:val="nil"/>
                    <w:tr2bl w:val="nil"/>
                  </w:tcBorders>
                  <w:shd w:val="clear" w:color="auto" w:fill="auto"/>
                  <w:vAlign w:val="center"/>
                </w:tcPr>
                <w:p w14:paraId="02EB7E8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i w:val="0"/>
                      <w:iCs w:val="0"/>
                      <w:snapToGrid w:val="0"/>
                      <w:color w:val="auto"/>
                      <w:kern w:val="0"/>
                      <w:sz w:val="21"/>
                      <w:szCs w:val="21"/>
                      <w:highlight w:val="none"/>
                      <w:u w:val="none" w:color="auto"/>
                      <w:lang w:val="en-US" w:eastAsia="zh-CN" w:bidi="ar"/>
                    </w:rPr>
                    <w:t>台</w:t>
                  </w:r>
                </w:p>
              </w:tc>
              <w:tc>
                <w:tcPr>
                  <w:tcW w:w="617" w:type="pct"/>
                  <w:tcBorders>
                    <w:tl2br w:val="nil"/>
                    <w:tr2bl w:val="nil"/>
                  </w:tcBorders>
                  <w:shd w:val="clear" w:color="auto" w:fill="auto"/>
                  <w:vAlign w:val="center"/>
                </w:tcPr>
                <w:p w14:paraId="10DC160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i w:val="0"/>
                      <w:iCs w:val="0"/>
                      <w:snapToGrid w:val="0"/>
                      <w:color w:val="auto"/>
                      <w:kern w:val="0"/>
                      <w:sz w:val="21"/>
                      <w:szCs w:val="21"/>
                      <w:highlight w:val="none"/>
                      <w:u w:val="none" w:color="auto"/>
                      <w:lang w:val="en-US" w:eastAsia="zh-CN" w:bidi="ar"/>
                    </w:rPr>
                    <w:t>1</w:t>
                  </w:r>
                </w:p>
              </w:tc>
              <w:tc>
                <w:tcPr>
                  <w:tcW w:w="1681" w:type="pct"/>
                  <w:tcBorders>
                    <w:tl2br w:val="nil"/>
                    <w:tr2bl w:val="nil"/>
                  </w:tcBorders>
                  <w:shd w:val="clear" w:color="auto" w:fill="auto"/>
                  <w:vAlign w:val="center"/>
                </w:tcPr>
                <w:p w14:paraId="3097E0C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i w:val="0"/>
                      <w:iCs w:val="0"/>
                      <w:snapToGrid w:val="0"/>
                      <w:color w:val="auto"/>
                      <w:kern w:val="0"/>
                      <w:sz w:val="21"/>
                      <w:szCs w:val="21"/>
                      <w:highlight w:val="none"/>
                      <w:u w:val="none" w:color="auto"/>
                      <w:lang w:val="en-US" w:eastAsia="zh-CN" w:bidi="ar"/>
                    </w:rPr>
                    <w:t>Φ1300×4200</w:t>
                  </w:r>
                </w:p>
              </w:tc>
            </w:tr>
            <w:tr w14:paraId="37D1D4B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404" w:type="pct"/>
                  <w:gridSpan w:val="2"/>
                  <w:tcBorders>
                    <w:tl2br w:val="nil"/>
                    <w:tr2bl w:val="nil"/>
                  </w:tcBorders>
                  <w:shd w:val="clear" w:color="auto" w:fill="auto"/>
                  <w:vAlign w:val="center"/>
                </w:tcPr>
                <w:p w14:paraId="068D8AA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i w:val="0"/>
                      <w:iCs w:val="0"/>
                      <w:snapToGrid w:val="0"/>
                      <w:color w:val="auto"/>
                      <w:kern w:val="0"/>
                      <w:sz w:val="21"/>
                      <w:szCs w:val="21"/>
                      <w:highlight w:val="none"/>
                      <w:u w:val="none" w:color="auto"/>
                      <w:lang w:val="en-US" w:eastAsia="zh-CN" w:bidi="ar"/>
                    </w:rPr>
                    <w:t>13</w:t>
                  </w:r>
                </w:p>
              </w:tc>
              <w:tc>
                <w:tcPr>
                  <w:tcW w:w="1400" w:type="pct"/>
                  <w:tcBorders>
                    <w:tl2br w:val="nil"/>
                    <w:tr2bl w:val="nil"/>
                  </w:tcBorders>
                  <w:shd w:val="clear" w:color="auto" w:fill="auto"/>
                  <w:noWrap/>
                  <w:vAlign w:val="center"/>
                </w:tcPr>
                <w:p w14:paraId="63B0B5A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i w:val="0"/>
                      <w:iCs w:val="0"/>
                      <w:snapToGrid w:val="0"/>
                      <w:color w:val="auto"/>
                      <w:kern w:val="0"/>
                      <w:sz w:val="21"/>
                      <w:szCs w:val="21"/>
                      <w:highlight w:val="none"/>
                      <w:u w:val="none" w:color="auto"/>
                      <w:lang w:val="en-US" w:eastAsia="zh-CN" w:bidi="ar"/>
                    </w:rPr>
                    <w:t>筛分机</w:t>
                  </w:r>
                </w:p>
              </w:tc>
              <w:tc>
                <w:tcPr>
                  <w:tcW w:w="895" w:type="pct"/>
                  <w:tcBorders>
                    <w:tl2br w:val="nil"/>
                    <w:tr2bl w:val="nil"/>
                  </w:tcBorders>
                  <w:shd w:val="clear" w:color="auto" w:fill="auto"/>
                  <w:vAlign w:val="center"/>
                </w:tcPr>
                <w:p w14:paraId="4136470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i w:val="0"/>
                      <w:iCs w:val="0"/>
                      <w:snapToGrid w:val="0"/>
                      <w:color w:val="auto"/>
                      <w:kern w:val="0"/>
                      <w:sz w:val="21"/>
                      <w:szCs w:val="21"/>
                      <w:highlight w:val="none"/>
                      <w:u w:val="none" w:color="auto"/>
                      <w:lang w:val="en-US" w:eastAsia="zh-CN" w:bidi="ar"/>
                    </w:rPr>
                    <w:t>台</w:t>
                  </w:r>
                </w:p>
              </w:tc>
              <w:tc>
                <w:tcPr>
                  <w:tcW w:w="617" w:type="pct"/>
                  <w:tcBorders>
                    <w:tl2br w:val="nil"/>
                    <w:tr2bl w:val="nil"/>
                  </w:tcBorders>
                  <w:shd w:val="clear" w:color="auto" w:fill="auto"/>
                  <w:vAlign w:val="center"/>
                </w:tcPr>
                <w:p w14:paraId="6743B85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i w:val="0"/>
                      <w:iCs w:val="0"/>
                      <w:snapToGrid w:val="0"/>
                      <w:color w:val="auto"/>
                      <w:kern w:val="0"/>
                      <w:sz w:val="21"/>
                      <w:szCs w:val="21"/>
                      <w:highlight w:val="none"/>
                      <w:u w:val="none" w:color="auto"/>
                      <w:lang w:val="en-US" w:eastAsia="zh-CN" w:bidi="ar"/>
                    </w:rPr>
                    <w:t>1</w:t>
                  </w:r>
                </w:p>
              </w:tc>
              <w:tc>
                <w:tcPr>
                  <w:tcW w:w="1681" w:type="pct"/>
                  <w:tcBorders>
                    <w:tl2br w:val="nil"/>
                    <w:tr2bl w:val="nil"/>
                  </w:tcBorders>
                  <w:shd w:val="clear" w:color="auto" w:fill="auto"/>
                  <w:noWrap/>
                  <w:vAlign w:val="center"/>
                </w:tcPr>
                <w:p w14:paraId="32EBFF1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i w:val="0"/>
                      <w:iCs w:val="0"/>
                      <w:snapToGrid w:val="0"/>
                      <w:color w:val="auto"/>
                      <w:kern w:val="0"/>
                      <w:sz w:val="21"/>
                      <w:szCs w:val="21"/>
                      <w:highlight w:val="none"/>
                      <w:u w:val="none" w:color="auto"/>
                      <w:lang w:val="en-US" w:eastAsia="zh-CN" w:bidi="ar"/>
                    </w:rPr>
                    <w:t>Φ1200×5000</w:t>
                  </w:r>
                </w:p>
              </w:tc>
            </w:tr>
            <w:tr w14:paraId="5496167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404" w:type="pct"/>
                  <w:gridSpan w:val="2"/>
                  <w:tcBorders>
                    <w:tl2br w:val="nil"/>
                    <w:tr2bl w:val="nil"/>
                  </w:tcBorders>
                  <w:shd w:val="clear" w:color="auto" w:fill="auto"/>
                  <w:vAlign w:val="center"/>
                </w:tcPr>
                <w:p w14:paraId="4B49F83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i w:val="0"/>
                      <w:iCs w:val="0"/>
                      <w:snapToGrid w:val="0"/>
                      <w:color w:val="auto"/>
                      <w:kern w:val="0"/>
                      <w:sz w:val="21"/>
                      <w:szCs w:val="21"/>
                      <w:highlight w:val="none"/>
                      <w:u w:val="none" w:color="auto"/>
                      <w:lang w:val="en-US" w:eastAsia="zh-CN" w:bidi="ar"/>
                    </w:rPr>
                    <w:t>14</w:t>
                  </w:r>
                </w:p>
              </w:tc>
              <w:tc>
                <w:tcPr>
                  <w:tcW w:w="1400" w:type="pct"/>
                  <w:tcBorders>
                    <w:tl2br w:val="nil"/>
                    <w:tr2bl w:val="nil"/>
                  </w:tcBorders>
                  <w:shd w:val="clear" w:color="auto" w:fill="auto"/>
                  <w:vAlign w:val="center"/>
                </w:tcPr>
                <w:p w14:paraId="2E5BF67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i w:val="0"/>
                      <w:iCs w:val="0"/>
                      <w:snapToGrid w:val="0"/>
                      <w:color w:val="auto"/>
                      <w:kern w:val="0"/>
                      <w:sz w:val="21"/>
                      <w:szCs w:val="21"/>
                      <w:highlight w:val="none"/>
                      <w:u w:val="none" w:color="auto"/>
                      <w:lang w:val="en-US" w:eastAsia="zh-CN" w:bidi="ar"/>
                    </w:rPr>
                    <w:t>倾动坩埚炉</w:t>
                  </w:r>
                </w:p>
              </w:tc>
              <w:tc>
                <w:tcPr>
                  <w:tcW w:w="895" w:type="pct"/>
                  <w:tcBorders>
                    <w:tl2br w:val="nil"/>
                    <w:tr2bl w:val="nil"/>
                  </w:tcBorders>
                  <w:shd w:val="clear" w:color="auto" w:fill="auto"/>
                  <w:vAlign w:val="center"/>
                </w:tcPr>
                <w:p w14:paraId="2D821F3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i w:val="0"/>
                      <w:iCs w:val="0"/>
                      <w:snapToGrid w:val="0"/>
                      <w:color w:val="auto"/>
                      <w:kern w:val="0"/>
                      <w:sz w:val="21"/>
                      <w:szCs w:val="21"/>
                      <w:highlight w:val="none"/>
                      <w:u w:val="none" w:color="auto"/>
                      <w:lang w:val="en-US" w:eastAsia="zh-CN" w:bidi="ar"/>
                    </w:rPr>
                    <w:t>台</w:t>
                  </w:r>
                </w:p>
              </w:tc>
              <w:tc>
                <w:tcPr>
                  <w:tcW w:w="617" w:type="pct"/>
                  <w:tcBorders>
                    <w:tl2br w:val="nil"/>
                    <w:tr2bl w:val="nil"/>
                  </w:tcBorders>
                  <w:shd w:val="clear" w:color="auto" w:fill="auto"/>
                  <w:vAlign w:val="center"/>
                </w:tcPr>
                <w:p w14:paraId="5B7C11A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i w:val="0"/>
                      <w:iCs w:val="0"/>
                      <w:snapToGrid w:val="0"/>
                      <w:color w:val="auto"/>
                      <w:kern w:val="0"/>
                      <w:sz w:val="21"/>
                      <w:szCs w:val="21"/>
                      <w:highlight w:val="none"/>
                      <w:u w:val="none" w:color="auto"/>
                      <w:lang w:val="en-US" w:eastAsia="zh-CN" w:bidi="ar"/>
                    </w:rPr>
                    <w:t>1</w:t>
                  </w:r>
                </w:p>
              </w:tc>
              <w:tc>
                <w:tcPr>
                  <w:tcW w:w="1681" w:type="pct"/>
                  <w:tcBorders>
                    <w:tl2br w:val="nil"/>
                    <w:tr2bl w:val="nil"/>
                  </w:tcBorders>
                  <w:shd w:val="clear" w:color="auto" w:fill="auto"/>
                  <w:vAlign w:val="center"/>
                </w:tcPr>
                <w:p w14:paraId="200B058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i w:val="0"/>
                      <w:iCs w:val="0"/>
                      <w:snapToGrid w:val="0"/>
                      <w:color w:val="auto"/>
                      <w:kern w:val="0"/>
                      <w:sz w:val="21"/>
                      <w:szCs w:val="21"/>
                      <w:highlight w:val="none"/>
                      <w:u w:val="none" w:color="auto"/>
                      <w:lang w:val="en-US" w:eastAsia="zh-CN" w:bidi="ar"/>
                    </w:rPr>
                    <w:t>1T</w:t>
                  </w:r>
                </w:p>
              </w:tc>
            </w:tr>
            <w:tr w14:paraId="335A50C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trPr>
              <w:tc>
                <w:tcPr>
                  <w:tcW w:w="404" w:type="pct"/>
                  <w:gridSpan w:val="2"/>
                  <w:tcBorders>
                    <w:tl2br w:val="nil"/>
                    <w:tr2bl w:val="nil"/>
                  </w:tcBorders>
                  <w:shd w:val="clear" w:color="auto" w:fill="auto"/>
                  <w:vAlign w:val="center"/>
                </w:tcPr>
                <w:p w14:paraId="611E37C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i w:val="0"/>
                      <w:iCs w:val="0"/>
                      <w:snapToGrid w:val="0"/>
                      <w:color w:val="auto"/>
                      <w:kern w:val="0"/>
                      <w:sz w:val="21"/>
                      <w:szCs w:val="21"/>
                      <w:highlight w:val="none"/>
                      <w:u w:val="none" w:color="auto"/>
                      <w:lang w:val="en-US" w:eastAsia="zh-CN" w:bidi="ar"/>
                    </w:rPr>
                    <w:t>15</w:t>
                  </w:r>
                </w:p>
              </w:tc>
              <w:tc>
                <w:tcPr>
                  <w:tcW w:w="1400" w:type="pct"/>
                  <w:tcBorders>
                    <w:tl2br w:val="nil"/>
                    <w:tr2bl w:val="nil"/>
                  </w:tcBorders>
                  <w:shd w:val="clear" w:color="auto" w:fill="auto"/>
                  <w:vAlign w:val="center"/>
                </w:tcPr>
                <w:p w14:paraId="19A6DB7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i w:val="0"/>
                      <w:iCs w:val="0"/>
                      <w:snapToGrid w:val="0"/>
                      <w:color w:val="auto"/>
                      <w:kern w:val="0"/>
                      <w:sz w:val="21"/>
                      <w:szCs w:val="21"/>
                      <w:highlight w:val="none"/>
                      <w:u w:val="none" w:color="auto"/>
                      <w:lang w:val="en-US" w:eastAsia="zh-CN" w:bidi="ar"/>
                    </w:rPr>
                    <w:t>烤包器</w:t>
                  </w:r>
                </w:p>
              </w:tc>
              <w:tc>
                <w:tcPr>
                  <w:tcW w:w="895" w:type="pct"/>
                  <w:tcBorders>
                    <w:tl2br w:val="nil"/>
                    <w:tr2bl w:val="nil"/>
                  </w:tcBorders>
                  <w:shd w:val="clear" w:color="auto" w:fill="auto"/>
                  <w:vAlign w:val="center"/>
                </w:tcPr>
                <w:p w14:paraId="783BAC7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i w:val="0"/>
                      <w:iCs w:val="0"/>
                      <w:snapToGrid w:val="0"/>
                      <w:color w:val="auto"/>
                      <w:kern w:val="0"/>
                      <w:sz w:val="21"/>
                      <w:szCs w:val="21"/>
                      <w:highlight w:val="none"/>
                      <w:u w:val="none" w:color="auto"/>
                      <w:lang w:val="en-US" w:eastAsia="zh-CN" w:bidi="ar"/>
                    </w:rPr>
                    <w:t>台</w:t>
                  </w:r>
                </w:p>
              </w:tc>
              <w:tc>
                <w:tcPr>
                  <w:tcW w:w="617" w:type="pct"/>
                  <w:tcBorders>
                    <w:tl2br w:val="nil"/>
                    <w:tr2bl w:val="nil"/>
                  </w:tcBorders>
                  <w:shd w:val="clear" w:color="auto" w:fill="auto"/>
                  <w:vAlign w:val="center"/>
                </w:tcPr>
                <w:p w14:paraId="22C0E8D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color="auto"/>
                    </w:rPr>
                  </w:pPr>
                  <w:r>
                    <w:rPr>
                      <w:rFonts w:hint="default" w:ascii="Times New Roman" w:hAnsi="Times New Roman" w:eastAsia="宋体" w:cs="Times New Roman"/>
                      <w:i w:val="0"/>
                      <w:iCs w:val="0"/>
                      <w:snapToGrid w:val="0"/>
                      <w:color w:val="auto"/>
                      <w:kern w:val="0"/>
                      <w:sz w:val="21"/>
                      <w:szCs w:val="21"/>
                      <w:highlight w:val="none"/>
                      <w:u w:val="none" w:color="auto"/>
                      <w:lang w:val="en-US" w:eastAsia="zh-CN" w:bidi="ar"/>
                    </w:rPr>
                    <w:t>3</w:t>
                  </w:r>
                </w:p>
              </w:tc>
              <w:tc>
                <w:tcPr>
                  <w:tcW w:w="1681" w:type="pct"/>
                  <w:tcBorders>
                    <w:tl2br w:val="nil"/>
                    <w:tr2bl w:val="nil"/>
                  </w:tcBorders>
                  <w:shd w:val="clear" w:color="auto" w:fill="auto"/>
                  <w:vAlign w:val="center"/>
                </w:tcPr>
                <w:p w14:paraId="642706D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color="auto"/>
                      <w:lang w:val="en-US"/>
                    </w:rPr>
                  </w:pPr>
                  <w:r>
                    <w:rPr>
                      <w:rFonts w:hint="default" w:ascii="Times New Roman" w:hAnsi="Times New Roman" w:eastAsia="宋体" w:cs="Times New Roman"/>
                      <w:i w:val="0"/>
                      <w:iCs w:val="0"/>
                      <w:snapToGrid w:val="0"/>
                      <w:color w:val="auto"/>
                      <w:kern w:val="0"/>
                      <w:sz w:val="21"/>
                      <w:szCs w:val="21"/>
                      <w:highlight w:val="none"/>
                      <w:u w:val="none" w:color="auto"/>
                      <w:lang w:val="en-US" w:eastAsia="zh-CN" w:bidi="ar"/>
                    </w:rPr>
                    <w:t>配套浇包（铝水包），其容量为1.2t</w:t>
                  </w:r>
                </w:p>
              </w:tc>
            </w:tr>
            <w:tr w14:paraId="122BAA6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trPr>
              <w:tc>
                <w:tcPr>
                  <w:tcW w:w="404" w:type="pct"/>
                  <w:gridSpan w:val="2"/>
                  <w:tcBorders>
                    <w:tl2br w:val="nil"/>
                    <w:tr2bl w:val="nil"/>
                  </w:tcBorders>
                  <w:shd w:val="clear" w:color="auto" w:fill="auto"/>
                  <w:vAlign w:val="center"/>
                </w:tcPr>
                <w:p w14:paraId="478BD05E">
                  <w:pPr>
                    <w:keepNext w:val="0"/>
                    <w:keepLines w:val="0"/>
                    <w:widowControl/>
                    <w:suppressLineNumbers w:val="0"/>
                    <w:jc w:val="center"/>
                    <w:textAlignment w:val="center"/>
                    <w:rPr>
                      <w:rFonts w:hint="default" w:ascii="Times New Roman" w:hAnsi="Times New Roman" w:eastAsia="宋体" w:cs="Times New Roman"/>
                      <w:i w:val="0"/>
                      <w:iCs w:val="0"/>
                      <w:snapToGrid w:val="0"/>
                      <w:color w:val="auto"/>
                      <w:kern w:val="0"/>
                      <w:sz w:val="21"/>
                      <w:szCs w:val="21"/>
                      <w:highlight w:val="none"/>
                      <w:u w:val="none" w:color="auto"/>
                      <w:lang w:val="en-US" w:eastAsia="zh-CN" w:bidi="ar"/>
                    </w:rPr>
                  </w:pPr>
                  <w:r>
                    <w:rPr>
                      <w:rFonts w:hint="default" w:ascii="Times New Roman" w:hAnsi="Times New Roman" w:eastAsia="宋体" w:cs="Times New Roman"/>
                      <w:i w:val="0"/>
                      <w:iCs w:val="0"/>
                      <w:snapToGrid w:val="0"/>
                      <w:color w:val="auto"/>
                      <w:kern w:val="0"/>
                      <w:sz w:val="21"/>
                      <w:szCs w:val="21"/>
                      <w:highlight w:val="none"/>
                      <w:u w:val="none" w:color="auto"/>
                      <w:lang w:val="en-US" w:eastAsia="zh-CN" w:bidi="ar"/>
                    </w:rPr>
                    <w:t>16</w:t>
                  </w:r>
                </w:p>
              </w:tc>
              <w:tc>
                <w:tcPr>
                  <w:tcW w:w="1400" w:type="pct"/>
                  <w:tcBorders>
                    <w:tl2br w:val="nil"/>
                    <w:tr2bl w:val="nil"/>
                  </w:tcBorders>
                  <w:shd w:val="clear" w:color="auto" w:fill="auto"/>
                  <w:vAlign w:val="center"/>
                </w:tcPr>
                <w:p w14:paraId="21DE2189">
                  <w:pPr>
                    <w:keepNext w:val="0"/>
                    <w:keepLines w:val="0"/>
                    <w:widowControl/>
                    <w:suppressLineNumbers w:val="0"/>
                    <w:jc w:val="center"/>
                    <w:textAlignment w:val="center"/>
                    <w:rPr>
                      <w:rFonts w:hint="default" w:ascii="Times New Roman" w:hAnsi="Times New Roman" w:eastAsia="宋体" w:cs="Times New Roman"/>
                      <w:i w:val="0"/>
                      <w:iCs w:val="0"/>
                      <w:snapToGrid w:val="0"/>
                      <w:color w:val="auto"/>
                      <w:kern w:val="0"/>
                      <w:sz w:val="21"/>
                      <w:szCs w:val="21"/>
                      <w:highlight w:val="none"/>
                      <w:u w:val="none" w:color="auto"/>
                      <w:lang w:val="en-US" w:eastAsia="zh-CN" w:bidi="ar"/>
                    </w:rPr>
                  </w:pPr>
                  <w:r>
                    <w:rPr>
                      <w:rFonts w:hint="default" w:ascii="Times New Roman" w:hAnsi="Times New Roman" w:eastAsia="宋体" w:cs="Times New Roman"/>
                      <w:i w:val="0"/>
                      <w:iCs w:val="0"/>
                      <w:snapToGrid w:val="0"/>
                      <w:color w:val="auto"/>
                      <w:kern w:val="0"/>
                      <w:sz w:val="21"/>
                      <w:szCs w:val="21"/>
                      <w:highlight w:val="none"/>
                      <w:u w:val="none" w:color="auto"/>
                      <w:lang w:val="en-US" w:eastAsia="zh-CN" w:bidi="ar"/>
                    </w:rPr>
                    <w:t>除气机</w:t>
                  </w:r>
                </w:p>
              </w:tc>
              <w:tc>
                <w:tcPr>
                  <w:tcW w:w="895" w:type="pct"/>
                  <w:tcBorders>
                    <w:tl2br w:val="nil"/>
                    <w:tr2bl w:val="nil"/>
                  </w:tcBorders>
                  <w:shd w:val="clear" w:color="auto" w:fill="auto"/>
                  <w:vAlign w:val="center"/>
                </w:tcPr>
                <w:p w14:paraId="7A72717D">
                  <w:pPr>
                    <w:keepNext w:val="0"/>
                    <w:keepLines w:val="0"/>
                    <w:widowControl/>
                    <w:suppressLineNumbers w:val="0"/>
                    <w:jc w:val="center"/>
                    <w:textAlignment w:val="center"/>
                    <w:rPr>
                      <w:rFonts w:hint="default" w:ascii="Times New Roman" w:hAnsi="Times New Roman" w:eastAsia="宋体" w:cs="Times New Roman"/>
                      <w:i w:val="0"/>
                      <w:iCs w:val="0"/>
                      <w:snapToGrid w:val="0"/>
                      <w:color w:val="auto"/>
                      <w:kern w:val="0"/>
                      <w:sz w:val="21"/>
                      <w:szCs w:val="21"/>
                      <w:highlight w:val="none"/>
                      <w:u w:val="none" w:color="auto"/>
                      <w:lang w:val="en-US" w:eastAsia="zh-CN" w:bidi="ar"/>
                    </w:rPr>
                  </w:pPr>
                  <w:r>
                    <w:rPr>
                      <w:rFonts w:hint="default" w:ascii="Times New Roman" w:hAnsi="Times New Roman" w:eastAsia="宋体" w:cs="Times New Roman"/>
                      <w:i w:val="0"/>
                      <w:iCs w:val="0"/>
                      <w:snapToGrid w:val="0"/>
                      <w:color w:val="auto"/>
                      <w:kern w:val="0"/>
                      <w:sz w:val="21"/>
                      <w:szCs w:val="21"/>
                      <w:highlight w:val="none"/>
                      <w:u w:val="none" w:color="auto"/>
                      <w:lang w:val="en-US" w:eastAsia="zh-CN" w:bidi="ar"/>
                    </w:rPr>
                    <w:t>台</w:t>
                  </w:r>
                </w:p>
              </w:tc>
              <w:tc>
                <w:tcPr>
                  <w:tcW w:w="617" w:type="pct"/>
                  <w:tcBorders>
                    <w:tl2br w:val="nil"/>
                    <w:tr2bl w:val="nil"/>
                  </w:tcBorders>
                  <w:shd w:val="clear" w:color="auto" w:fill="auto"/>
                  <w:vAlign w:val="center"/>
                </w:tcPr>
                <w:p w14:paraId="0A099E87">
                  <w:pPr>
                    <w:keepNext w:val="0"/>
                    <w:keepLines w:val="0"/>
                    <w:widowControl/>
                    <w:suppressLineNumbers w:val="0"/>
                    <w:jc w:val="center"/>
                    <w:textAlignment w:val="center"/>
                    <w:rPr>
                      <w:rFonts w:hint="default" w:ascii="Times New Roman" w:hAnsi="Times New Roman" w:eastAsia="宋体" w:cs="Times New Roman"/>
                      <w:i w:val="0"/>
                      <w:iCs w:val="0"/>
                      <w:snapToGrid w:val="0"/>
                      <w:color w:val="auto"/>
                      <w:kern w:val="0"/>
                      <w:sz w:val="21"/>
                      <w:szCs w:val="21"/>
                      <w:highlight w:val="none"/>
                      <w:u w:val="none" w:color="auto"/>
                      <w:lang w:val="en-US" w:eastAsia="zh-CN" w:bidi="ar"/>
                    </w:rPr>
                  </w:pPr>
                  <w:r>
                    <w:rPr>
                      <w:rFonts w:hint="default" w:ascii="Times New Roman" w:hAnsi="Times New Roman" w:eastAsia="宋体" w:cs="Times New Roman"/>
                      <w:i w:val="0"/>
                      <w:iCs w:val="0"/>
                      <w:snapToGrid w:val="0"/>
                      <w:color w:val="auto"/>
                      <w:kern w:val="0"/>
                      <w:sz w:val="21"/>
                      <w:szCs w:val="21"/>
                      <w:highlight w:val="none"/>
                      <w:u w:val="none" w:color="auto"/>
                      <w:lang w:val="en-US" w:eastAsia="zh-CN" w:bidi="ar"/>
                    </w:rPr>
                    <w:t>4</w:t>
                  </w:r>
                </w:p>
              </w:tc>
              <w:tc>
                <w:tcPr>
                  <w:tcW w:w="1681" w:type="pct"/>
                  <w:tcBorders>
                    <w:tl2br w:val="nil"/>
                    <w:tr2bl w:val="nil"/>
                  </w:tcBorders>
                  <w:shd w:val="clear" w:color="auto" w:fill="auto"/>
                  <w:vAlign w:val="center"/>
                </w:tcPr>
                <w:p w14:paraId="742BF134">
                  <w:pPr>
                    <w:keepNext w:val="0"/>
                    <w:keepLines w:val="0"/>
                    <w:widowControl/>
                    <w:suppressLineNumbers w:val="0"/>
                    <w:jc w:val="center"/>
                    <w:textAlignment w:val="center"/>
                    <w:rPr>
                      <w:rFonts w:hint="default" w:ascii="Times New Roman" w:hAnsi="Times New Roman" w:eastAsia="宋体" w:cs="Times New Roman"/>
                      <w:i w:val="0"/>
                      <w:iCs w:val="0"/>
                      <w:snapToGrid w:val="0"/>
                      <w:color w:val="auto"/>
                      <w:kern w:val="0"/>
                      <w:sz w:val="21"/>
                      <w:szCs w:val="21"/>
                      <w:highlight w:val="none"/>
                      <w:u w:val="none" w:color="auto"/>
                      <w:lang w:val="en-US" w:eastAsia="zh-CN" w:bidi="ar"/>
                    </w:rPr>
                  </w:pPr>
                </w:p>
              </w:tc>
            </w:tr>
            <w:tr w14:paraId="694760A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trPr>
              <w:tc>
                <w:tcPr>
                  <w:tcW w:w="404" w:type="pct"/>
                  <w:gridSpan w:val="2"/>
                  <w:tcBorders>
                    <w:tl2br w:val="nil"/>
                    <w:tr2bl w:val="nil"/>
                  </w:tcBorders>
                  <w:shd w:val="clear" w:color="auto" w:fill="auto"/>
                  <w:vAlign w:val="center"/>
                </w:tcPr>
                <w:p w14:paraId="385B8DB8">
                  <w:pPr>
                    <w:keepNext w:val="0"/>
                    <w:keepLines w:val="0"/>
                    <w:widowControl/>
                    <w:suppressLineNumbers w:val="0"/>
                    <w:jc w:val="center"/>
                    <w:textAlignment w:val="center"/>
                    <w:rPr>
                      <w:rFonts w:hint="default" w:ascii="Times New Roman" w:hAnsi="Times New Roman" w:eastAsia="宋体" w:cs="Times New Roman"/>
                      <w:i w:val="0"/>
                      <w:iCs w:val="0"/>
                      <w:snapToGrid w:val="0"/>
                      <w:color w:val="auto"/>
                      <w:kern w:val="0"/>
                      <w:sz w:val="21"/>
                      <w:szCs w:val="21"/>
                      <w:highlight w:val="none"/>
                      <w:u w:val="none" w:color="auto"/>
                      <w:lang w:val="en-US" w:eastAsia="zh-CN" w:bidi="ar"/>
                    </w:rPr>
                  </w:pPr>
                  <w:r>
                    <w:rPr>
                      <w:rFonts w:hint="default" w:ascii="Times New Roman" w:hAnsi="Times New Roman" w:eastAsia="宋体" w:cs="Times New Roman"/>
                      <w:i w:val="0"/>
                      <w:iCs w:val="0"/>
                      <w:snapToGrid w:val="0"/>
                      <w:color w:val="auto"/>
                      <w:kern w:val="0"/>
                      <w:sz w:val="21"/>
                      <w:szCs w:val="21"/>
                      <w:highlight w:val="none"/>
                      <w:u w:val="none" w:color="auto"/>
                      <w:lang w:val="en-US" w:eastAsia="zh-CN" w:bidi="ar"/>
                    </w:rPr>
                    <w:t>17</w:t>
                  </w:r>
                </w:p>
              </w:tc>
              <w:tc>
                <w:tcPr>
                  <w:tcW w:w="1400" w:type="pct"/>
                  <w:tcBorders>
                    <w:tl2br w:val="nil"/>
                    <w:tr2bl w:val="nil"/>
                  </w:tcBorders>
                  <w:shd w:val="clear" w:color="auto" w:fill="auto"/>
                  <w:vAlign w:val="center"/>
                </w:tcPr>
                <w:p w14:paraId="2F3773DA">
                  <w:pPr>
                    <w:keepNext w:val="0"/>
                    <w:keepLines w:val="0"/>
                    <w:widowControl/>
                    <w:suppressLineNumbers w:val="0"/>
                    <w:jc w:val="center"/>
                    <w:textAlignment w:val="center"/>
                    <w:rPr>
                      <w:rFonts w:hint="default" w:ascii="Times New Roman" w:hAnsi="Times New Roman" w:eastAsia="宋体" w:cs="Times New Roman"/>
                      <w:i w:val="0"/>
                      <w:iCs w:val="0"/>
                      <w:snapToGrid w:val="0"/>
                      <w:color w:val="auto"/>
                      <w:kern w:val="0"/>
                      <w:sz w:val="21"/>
                      <w:szCs w:val="21"/>
                      <w:highlight w:val="none"/>
                      <w:u w:val="none" w:color="auto"/>
                      <w:lang w:val="en-US" w:eastAsia="zh-CN" w:bidi="ar"/>
                    </w:rPr>
                  </w:pPr>
                  <w:r>
                    <w:rPr>
                      <w:rFonts w:hint="default" w:ascii="Times New Roman" w:hAnsi="Times New Roman" w:eastAsia="宋体" w:cs="Times New Roman"/>
                      <w:i w:val="0"/>
                      <w:iCs w:val="0"/>
                      <w:snapToGrid w:val="0"/>
                      <w:color w:val="auto"/>
                      <w:kern w:val="0"/>
                      <w:sz w:val="21"/>
                      <w:szCs w:val="21"/>
                      <w:highlight w:val="none"/>
                      <w:u w:val="none" w:color="auto"/>
                      <w:lang w:val="en-US" w:eastAsia="zh-CN" w:bidi="ar"/>
                    </w:rPr>
                    <w:t>冷却水系统</w:t>
                  </w:r>
                </w:p>
              </w:tc>
              <w:tc>
                <w:tcPr>
                  <w:tcW w:w="895" w:type="pct"/>
                  <w:tcBorders>
                    <w:tl2br w:val="nil"/>
                    <w:tr2bl w:val="nil"/>
                  </w:tcBorders>
                  <w:shd w:val="clear" w:color="auto" w:fill="auto"/>
                  <w:vAlign w:val="center"/>
                </w:tcPr>
                <w:p w14:paraId="639FE5CF">
                  <w:pPr>
                    <w:keepNext w:val="0"/>
                    <w:keepLines w:val="0"/>
                    <w:widowControl/>
                    <w:suppressLineNumbers w:val="0"/>
                    <w:jc w:val="center"/>
                    <w:textAlignment w:val="center"/>
                    <w:rPr>
                      <w:rFonts w:hint="default" w:ascii="Times New Roman" w:hAnsi="Times New Roman" w:eastAsia="宋体" w:cs="Times New Roman"/>
                      <w:i w:val="0"/>
                      <w:iCs w:val="0"/>
                      <w:snapToGrid w:val="0"/>
                      <w:color w:val="auto"/>
                      <w:kern w:val="0"/>
                      <w:sz w:val="21"/>
                      <w:szCs w:val="21"/>
                      <w:highlight w:val="none"/>
                      <w:u w:val="none" w:color="auto"/>
                      <w:lang w:val="en-US" w:eastAsia="zh-CN" w:bidi="ar"/>
                    </w:rPr>
                  </w:pPr>
                  <w:r>
                    <w:rPr>
                      <w:rFonts w:hint="default" w:ascii="Times New Roman" w:hAnsi="Times New Roman" w:eastAsia="宋体" w:cs="Times New Roman"/>
                      <w:i w:val="0"/>
                      <w:iCs w:val="0"/>
                      <w:snapToGrid w:val="0"/>
                      <w:color w:val="auto"/>
                      <w:kern w:val="0"/>
                      <w:sz w:val="21"/>
                      <w:szCs w:val="21"/>
                      <w:highlight w:val="none"/>
                      <w:u w:val="none" w:color="auto"/>
                      <w:lang w:val="en-US" w:eastAsia="zh-CN" w:bidi="ar"/>
                    </w:rPr>
                    <w:t>套</w:t>
                  </w:r>
                </w:p>
              </w:tc>
              <w:tc>
                <w:tcPr>
                  <w:tcW w:w="617" w:type="pct"/>
                  <w:tcBorders>
                    <w:tl2br w:val="nil"/>
                    <w:tr2bl w:val="nil"/>
                  </w:tcBorders>
                  <w:shd w:val="clear" w:color="auto" w:fill="auto"/>
                  <w:vAlign w:val="center"/>
                </w:tcPr>
                <w:p w14:paraId="124CCAEA">
                  <w:pPr>
                    <w:keepNext w:val="0"/>
                    <w:keepLines w:val="0"/>
                    <w:widowControl/>
                    <w:suppressLineNumbers w:val="0"/>
                    <w:jc w:val="center"/>
                    <w:textAlignment w:val="center"/>
                    <w:rPr>
                      <w:rFonts w:hint="default" w:ascii="Times New Roman" w:hAnsi="Times New Roman" w:eastAsia="宋体" w:cs="Times New Roman"/>
                      <w:i w:val="0"/>
                      <w:iCs w:val="0"/>
                      <w:snapToGrid w:val="0"/>
                      <w:color w:val="auto"/>
                      <w:kern w:val="0"/>
                      <w:sz w:val="21"/>
                      <w:szCs w:val="21"/>
                      <w:highlight w:val="none"/>
                      <w:u w:val="none" w:color="auto"/>
                      <w:lang w:val="en-US" w:eastAsia="zh-CN" w:bidi="ar"/>
                    </w:rPr>
                  </w:pPr>
                  <w:r>
                    <w:rPr>
                      <w:rFonts w:hint="default" w:ascii="Times New Roman" w:hAnsi="Times New Roman" w:eastAsia="宋体" w:cs="Times New Roman"/>
                      <w:i w:val="0"/>
                      <w:iCs w:val="0"/>
                      <w:snapToGrid w:val="0"/>
                      <w:color w:val="auto"/>
                      <w:kern w:val="0"/>
                      <w:sz w:val="21"/>
                      <w:szCs w:val="21"/>
                      <w:highlight w:val="none"/>
                      <w:u w:val="none" w:color="auto"/>
                      <w:lang w:val="en-US" w:eastAsia="zh-CN" w:bidi="ar"/>
                    </w:rPr>
                    <w:t>1</w:t>
                  </w:r>
                </w:p>
              </w:tc>
              <w:tc>
                <w:tcPr>
                  <w:tcW w:w="1681" w:type="pct"/>
                  <w:tcBorders>
                    <w:tl2br w:val="nil"/>
                    <w:tr2bl w:val="nil"/>
                  </w:tcBorders>
                  <w:shd w:val="clear" w:color="auto" w:fill="auto"/>
                  <w:vAlign w:val="center"/>
                </w:tcPr>
                <w:p w14:paraId="66006950">
                  <w:pPr>
                    <w:keepNext w:val="0"/>
                    <w:keepLines w:val="0"/>
                    <w:widowControl/>
                    <w:suppressLineNumbers w:val="0"/>
                    <w:jc w:val="center"/>
                    <w:textAlignment w:val="center"/>
                    <w:rPr>
                      <w:rFonts w:hint="default" w:ascii="Times New Roman" w:hAnsi="Times New Roman" w:eastAsia="宋体" w:cs="Times New Roman"/>
                      <w:i w:val="0"/>
                      <w:iCs w:val="0"/>
                      <w:snapToGrid w:val="0"/>
                      <w:color w:val="auto"/>
                      <w:kern w:val="0"/>
                      <w:sz w:val="21"/>
                      <w:szCs w:val="21"/>
                      <w:highlight w:val="none"/>
                      <w:u w:val="none" w:color="auto"/>
                      <w:lang w:val="en-US" w:eastAsia="zh-CN" w:bidi="ar"/>
                    </w:rPr>
                  </w:pPr>
                  <w:r>
                    <w:rPr>
                      <w:rFonts w:hint="default" w:ascii="Times New Roman" w:hAnsi="Times New Roman" w:eastAsia="宋体" w:cs="Times New Roman"/>
                      <w:bCs/>
                      <w:color w:val="auto"/>
                      <w:sz w:val="21"/>
                      <w:szCs w:val="21"/>
                      <w:highlight w:val="none"/>
                      <w:u w:val="none" w:color="auto"/>
                      <w:lang w:val="en-US" w:eastAsia="zh-CN"/>
                    </w:rPr>
                    <w:t>1台冷却水塔和1座地上式冷却池（60m</w:t>
                  </w:r>
                  <w:r>
                    <w:rPr>
                      <w:rFonts w:hint="default" w:ascii="Times New Roman" w:hAnsi="Times New Roman" w:eastAsia="宋体" w:cs="Times New Roman"/>
                      <w:bCs/>
                      <w:color w:val="auto"/>
                      <w:sz w:val="21"/>
                      <w:szCs w:val="21"/>
                      <w:highlight w:val="none"/>
                      <w:u w:val="none" w:color="auto"/>
                      <w:vertAlign w:val="superscript"/>
                      <w:lang w:val="en-US" w:eastAsia="zh-CN"/>
                    </w:rPr>
                    <w:t>3</w:t>
                  </w:r>
                  <w:r>
                    <w:rPr>
                      <w:rFonts w:hint="default" w:ascii="Times New Roman" w:hAnsi="Times New Roman" w:eastAsia="宋体" w:cs="Times New Roman"/>
                      <w:bCs/>
                      <w:color w:val="auto"/>
                      <w:sz w:val="21"/>
                      <w:szCs w:val="21"/>
                      <w:highlight w:val="none"/>
                      <w:u w:val="none" w:color="auto"/>
                      <w:lang w:val="en-US" w:eastAsia="zh-CN"/>
                    </w:rPr>
                    <w:t>），仅用于熔铸二厂</w:t>
                  </w:r>
                </w:p>
              </w:tc>
            </w:tr>
            <w:tr w14:paraId="1557FAE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trPr>
              <w:tc>
                <w:tcPr>
                  <w:tcW w:w="5000" w:type="pct"/>
                  <w:gridSpan w:val="6"/>
                  <w:tcBorders>
                    <w:tl2br w:val="nil"/>
                    <w:tr2bl w:val="nil"/>
                  </w:tcBorders>
                  <w:shd w:val="clear" w:color="auto" w:fill="auto"/>
                  <w:vAlign w:val="center"/>
                </w:tcPr>
                <w:p w14:paraId="1B6BE3BE">
                  <w:pPr>
                    <w:keepNext w:val="0"/>
                    <w:keepLines w:val="0"/>
                    <w:widowControl/>
                    <w:suppressLineNumbers w:val="0"/>
                    <w:jc w:val="center"/>
                    <w:textAlignment w:val="center"/>
                    <w:rPr>
                      <w:rFonts w:hint="default" w:ascii="Times New Roman" w:hAnsi="Times New Roman" w:eastAsia="宋体" w:cs="Times New Roman"/>
                      <w:i w:val="0"/>
                      <w:iCs w:val="0"/>
                      <w:snapToGrid w:val="0"/>
                      <w:color w:val="auto"/>
                      <w:kern w:val="0"/>
                      <w:sz w:val="21"/>
                      <w:szCs w:val="21"/>
                      <w:highlight w:val="none"/>
                      <w:u w:val="none" w:color="auto"/>
                      <w:lang w:val="en-US" w:eastAsia="zh-CN" w:bidi="ar"/>
                    </w:rPr>
                  </w:pPr>
                  <w:r>
                    <w:rPr>
                      <w:rFonts w:hint="default" w:ascii="Times New Roman" w:hAnsi="Times New Roman" w:eastAsia="宋体" w:cs="Times New Roman"/>
                      <w:b/>
                      <w:bCs/>
                      <w:color w:val="auto"/>
                      <w:sz w:val="21"/>
                      <w:szCs w:val="21"/>
                      <w:highlight w:val="none"/>
                      <w:u w:val="none" w:color="auto"/>
                      <w:lang w:eastAsia="zh-CN"/>
                    </w:rPr>
                    <w:t>中创空天厂区：</w:t>
                  </w:r>
                  <w:r>
                    <w:rPr>
                      <w:rFonts w:hint="default" w:ascii="Times New Roman" w:hAnsi="Times New Roman" w:eastAsia="宋体" w:cs="Times New Roman"/>
                      <w:b/>
                      <w:bCs/>
                      <w:i w:val="0"/>
                      <w:iCs w:val="0"/>
                      <w:color w:val="auto"/>
                      <w:kern w:val="0"/>
                      <w:sz w:val="21"/>
                      <w:szCs w:val="21"/>
                      <w:highlight w:val="none"/>
                      <w:u w:val="none" w:color="auto"/>
                      <w:lang w:val="en-US" w:eastAsia="zh-CN" w:bidi="ar"/>
                    </w:rPr>
                    <w:t>铝合金熔铸一厂压铸工段</w:t>
                  </w:r>
                </w:p>
              </w:tc>
            </w:tr>
            <w:tr w14:paraId="1162219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trPr>
              <w:tc>
                <w:tcPr>
                  <w:tcW w:w="404" w:type="pct"/>
                  <w:gridSpan w:val="2"/>
                  <w:tcBorders>
                    <w:tl2br w:val="nil"/>
                    <w:tr2bl w:val="nil"/>
                  </w:tcBorders>
                  <w:shd w:val="clear" w:color="auto" w:fill="auto"/>
                  <w:vAlign w:val="center"/>
                </w:tcPr>
                <w:p w14:paraId="4DD28FB3">
                  <w:pPr>
                    <w:keepNext w:val="0"/>
                    <w:keepLines w:val="0"/>
                    <w:widowControl/>
                    <w:suppressLineNumbers w:val="0"/>
                    <w:jc w:val="center"/>
                    <w:textAlignment w:val="center"/>
                    <w:rPr>
                      <w:rFonts w:hint="default" w:ascii="Times New Roman" w:hAnsi="Times New Roman" w:eastAsia="宋体" w:cs="Times New Roman"/>
                      <w:b/>
                      <w:bCs/>
                      <w:i w:val="0"/>
                      <w:iCs w:val="0"/>
                      <w:color w:val="auto"/>
                      <w:kern w:val="2"/>
                      <w:sz w:val="21"/>
                      <w:szCs w:val="21"/>
                      <w:highlight w:val="none"/>
                      <w:u w:val="none" w:color="auto"/>
                      <w:lang w:val="en-US" w:eastAsia="zh-CN" w:bidi="ar-SA"/>
                    </w:rPr>
                  </w:pPr>
                  <w:r>
                    <w:rPr>
                      <w:rFonts w:hint="default" w:ascii="Times New Roman" w:hAnsi="Times New Roman" w:eastAsia="宋体" w:cs="Times New Roman"/>
                      <w:b/>
                      <w:bCs/>
                      <w:i w:val="0"/>
                      <w:iCs w:val="0"/>
                      <w:snapToGrid w:val="0"/>
                      <w:color w:val="auto"/>
                      <w:kern w:val="0"/>
                      <w:sz w:val="21"/>
                      <w:szCs w:val="21"/>
                      <w:highlight w:val="none"/>
                      <w:u w:val="none" w:color="auto"/>
                      <w:lang w:val="en-US" w:eastAsia="zh-CN" w:bidi="ar"/>
                    </w:rPr>
                    <w:t>序号</w:t>
                  </w:r>
                </w:p>
              </w:tc>
              <w:tc>
                <w:tcPr>
                  <w:tcW w:w="1400" w:type="pct"/>
                  <w:tcBorders>
                    <w:tl2br w:val="nil"/>
                    <w:tr2bl w:val="nil"/>
                  </w:tcBorders>
                  <w:shd w:val="clear" w:color="auto" w:fill="auto"/>
                  <w:vAlign w:val="center"/>
                </w:tcPr>
                <w:p w14:paraId="6F1C11EE">
                  <w:pPr>
                    <w:keepNext w:val="0"/>
                    <w:keepLines w:val="0"/>
                    <w:widowControl/>
                    <w:suppressLineNumbers w:val="0"/>
                    <w:jc w:val="center"/>
                    <w:textAlignment w:val="center"/>
                    <w:rPr>
                      <w:rFonts w:hint="default" w:ascii="Times New Roman" w:hAnsi="Times New Roman" w:eastAsia="宋体" w:cs="Times New Roman"/>
                      <w:b/>
                      <w:bCs/>
                      <w:i w:val="0"/>
                      <w:iCs w:val="0"/>
                      <w:color w:val="auto"/>
                      <w:kern w:val="2"/>
                      <w:sz w:val="21"/>
                      <w:szCs w:val="21"/>
                      <w:highlight w:val="none"/>
                      <w:u w:val="none" w:color="auto"/>
                      <w:lang w:val="en-US" w:eastAsia="zh-CN" w:bidi="ar-SA"/>
                    </w:rPr>
                  </w:pPr>
                  <w:r>
                    <w:rPr>
                      <w:rFonts w:hint="default" w:ascii="Times New Roman" w:hAnsi="Times New Roman" w:eastAsia="宋体" w:cs="Times New Roman"/>
                      <w:b/>
                      <w:bCs/>
                      <w:i w:val="0"/>
                      <w:iCs w:val="0"/>
                      <w:snapToGrid w:val="0"/>
                      <w:color w:val="auto"/>
                      <w:kern w:val="0"/>
                      <w:sz w:val="21"/>
                      <w:szCs w:val="21"/>
                      <w:highlight w:val="none"/>
                      <w:u w:val="none" w:color="auto"/>
                      <w:lang w:val="en-US" w:eastAsia="zh-CN" w:bidi="ar"/>
                    </w:rPr>
                    <w:t>设备名称</w:t>
                  </w:r>
                </w:p>
              </w:tc>
              <w:tc>
                <w:tcPr>
                  <w:tcW w:w="895" w:type="pct"/>
                  <w:tcBorders>
                    <w:tl2br w:val="nil"/>
                    <w:tr2bl w:val="nil"/>
                  </w:tcBorders>
                  <w:shd w:val="clear" w:color="auto" w:fill="auto"/>
                  <w:vAlign w:val="center"/>
                </w:tcPr>
                <w:p w14:paraId="6D5802FB">
                  <w:pPr>
                    <w:keepNext w:val="0"/>
                    <w:keepLines w:val="0"/>
                    <w:widowControl/>
                    <w:suppressLineNumbers w:val="0"/>
                    <w:jc w:val="center"/>
                    <w:textAlignment w:val="center"/>
                    <w:rPr>
                      <w:rFonts w:hint="default" w:ascii="Times New Roman" w:hAnsi="Times New Roman" w:eastAsia="宋体" w:cs="Times New Roman"/>
                      <w:b/>
                      <w:bCs/>
                      <w:i w:val="0"/>
                      <w:iCs w:val="0"/>
                      <w:color w:val="auto"/>
                      <w:kern w:val="2"/>
                      <w:sz w:val="21"/>
                      <w:szCs w:val="21"/>
                      <w:highlight w:val="none"/>
                      <w:u w:val="none" w:color="auto"/>
                      <w:lang w:val="en-US" w:eastAsia="zh-CN" w:bidi="ar-SA"/>
                    </w:rPr>
                  </w:pPr>
                  <w:r>
                    <w:rPr>
                      <w:rFonts w:hint="default" w:ascii="Times New Roman" w:hAnsi="Times New Roman" w:eastAsia="宋体" w:cs="Times New Roman"/>
                      <w:b/>
                      <w:bCs/>
                      <w:i w:val="0"/>
                      <w:iCs w:val="0"/>
                      <w:snapToGrid w:val="0"/>
                      <w:color w:val="auto"/>
                      <w:kern w:val="0"/>
                      <w:sz w:val="21"/>
                      <w:szCs w:val="21"/>
                      <w:highlight w:val="none"/>
                      <w:u w:val="none" w:color="auto"/>
                      <w:lang w:val="en-US" w:eastAsia="zh-CN" w:bidi="ar"/>
                    </w:rPr>
                    <w:t>单位</w:t>
                  </w:r>
                </w:p>
              </w:tc>
              <w:tc>
                <w:tcPr>
                  <w:tcW w:w="617" w:type="pct"/>
                  <w:tcBorders>
                    <w:tl2br w:val="nil"/>
                    <w:tr2bl w:val="nil"/>
                  </w:tcBorders>
                  <w:shd w:val="clear" w:color="auto" w:fill="auto"/>
                  <w:vAlign w:val="center"/>
                </w:tcPr>
                <w:p w14:paraId="76C51C06">
                  <w:pPr>
                    <w:keepNext w:val="0"/>
                    <w:keepLines w:val="0"/>
                    <w:widowControl/>
                    <w:suppressLineNumbers w:val="0"/>
                    <w:jc w:val="center"/>
                    <w:textAlignment w:val="center"/>
                    <w:rPr>
                      <w:rFonts w:hint="default" w:ascii="Times New Roman" w:hAnsi="Times New Roman" w:eastAsia="宋体" w:cs="Times New Roman"/>
                      <w:b/>
                      <w:bCs/>
                      <w:i w:val="0"/>
                      <w:iCs w:val="0"/>
                      <w:color w:val="auto"/>
                      <w:kern w:val="2"/>
                      <w:sz w:val="21"/>
                      <w:szCs w:val="21"/>
                      <w:highlight w:val="none"/>
                      <w:u w:val="none" w:color="auto"/>
                      <w:lang w:val="en-US" w:eastAsia="zh-CN" w:bidi="ar-SA"/>
                    </w:rPr>
                  </w:pPr>
                  <w:r>
                    <w:rPr>
                      <w:rFonts w:hint="default" w:ascii="Times New Roman" w:hAnsi="Times New Roman" w:eastAsia="宋体" w:cs="Times New Roman"/>
                      <w:b/>
                      <w:bCs/>
                      <w:i w:val="0"/>
                      <w:iCs w:val="0"/>
                      <w:snapToGrid w:val="0"/>
                      <w:color w:val="auto"/>
                      <w:kern w:val="0"/>
                      <w:sz w:val="21"/>
                      <w:szCs w:val="21"/>
                      <w:highlight w:val="none"/>
                      <w:u w:val="none" w:color="auto"/>
                      <w:lang w:val="en-US" w:eastAsia="zh-CN" w:bidi="ar"/>
                    </w:rPr>
                    <w:t>数量</w:t>
                  </w:r>
                </w:p>
              </w:tc>
              <w:tc>
                <w:tcPr>
                  <w:tcW w:w="1681" w:type="pct"/>
                  <w:tcBorders>
                    <w:tl2br w:val="nil"/>
                    <w:tr2bl w:val="nil"/>
                  </w:tcBorders>
                  <w:shd w:val="clear" w:color="auto" w:fill="auto"/>
                  <w:vAlign w:val="center"/>
                </w:tcPr>
                <w:p w14:paraId="2AB4399E">
                  <w:pPr>
                    <w:keepNext w:val="0"/>
                    <w:keepLines w:val="0"/>
                    <w:widowControl/>
                    <w:suppressLineNumbers w:val="0"/>
                    <w:jc w:val="center"/>
                    <w:textAlignment w:val="center"/>
                    <w:rPr>
                      <w:rFonts w:hint="default" w:ascii="Times New Roman" w:hAnsi="Times New Roman" w:eastAsia="宋体" w:cs="Times New Roman"/>
                      <w:b/>
                      <w:bCs/>
                      <w:i w:val="0"/>
                      <w:iCs w:val="0"/>
                      <w:color w:val="auto"/>
                      <w:kern w:val="2"/>
                      <w:sz w:val="21"/>
                      <w:szCs w:val="21"/>
                      <w:highlight w:val="none"/>
                      <w:u w:val="none" w:color="auto"/>
                      <w:lang w:val="en-US" w:eastAsia="zh-CN" w:bidi="ar-SA"/>
                    </w:rPr>
                  </w:pPr>
                  <w:r>
                    <w:rPr>
                      <w:rFonts w:hint="default" w:ascii="Times New Roman" w:hAnsi="Times New Roman" w:eastAsia="宋体" w:cs="Times New Roman"/>
                      <w:b/>
                      <w:bCs/>
                      <w:i w:val="0"/>
                      <w:iCs w:val="0"/>
                      <w:snapToGrid w:val="0"/>
                      <w:color w:val="auto"/>
                      <w:kern w:val="0"/>
                      <w:sz w:val="21"/>
                      <w:szCs w:val="21"/>
                      <w:highlight w:val="none"/>
                      <w:u w:val="none" w:color="auto"/>
                      <w:lang w:val="en-US" w:eastAsia="zh-CN" w:bidi="ar"/>
                    </w:rPr>
                    <w:t>说明</w:t>
                  </w:r>
                </w:p>
              </w:tc>
            </w:tr>
            <w:tr w14:paraId="138EFB9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404" w:type="pct"/>
                  <w:gridSpan w:val="2"/>
                  <w:tcBorders>
                    <w:tl2br w:val="nil"/>
                    <w:tr2bl w:val="nil"/>
                  </w:tcBorders>
                  <w:shd w:val="clear" w:color="auto" w:fill="auto"/>
                  <w:vAlign w:val="center"/>
                </w:tcPr>
                <w:p w14:paraId="52123F14">
                  <w:pPr>
                    <w:pStyle w:val="100"/>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1</w:t>
                  </w:r>
                </w:p>
              </w:tc>
              <w:tc>
                <w:tcPr>
                  <w:tcW w:w="1400" w:type="pct"/>
                  <w:tcBorders>
                    <w:tl2br w:val="nil"/>
                    <w:tr2bl w:val="nil"/>
                  </w:tcBorders>
                  <w:shd w:val="clear" w:color="auto" w:fill="auto"/>
                  <w:vAlign w:val="center"/>
                </w:tcPr>
                <w:p w14:paraId="03BE7FD0">
                  <w:pPr>
                    <w:pStyle w:val="100"/>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en-US" w:bidi="ar-SA"/>
                    </w:rPr>
                    <w:t>压铸岛—3500T</w:t>
                  </w:r>
                </w:p>
              </w:tc>
              <w:tc>
                <w:tcPr>
                  <w:tcW w:w="895" w:type="pct"/>
                  <w:tcBorders>
                    <w:tl2br w:val="nil"/>
                    <w:tr2bl w:val="nil"/>
                  </w:tcBorders>
                  <w:shd w:val="clear" w:color="auto" w:fill="auto"/>
                  <w:vAlign w:val="center"/>
                </w:tcPr>
                <w:p w14:paraId="14CD1AB9">
                  <w:pPr>
                    <w:pStyle w:val="100"/>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套</w:t>
                  </w:r>
                </w:p>
              </w:tc>
              <w:tc>
                <w:tcPr>
                  <w:tcW w:w="617" w:type="pct"/>
                  <w:tcBorders>
                    <w:tl2br w:val="nil"/>
                    <w:tr2bl w:val="nil"/>
                  </w:tcBorders>
                  <w:shd w:val="clear" w:color="auto" w:fill="auto"/>
                  <w:vAlign w:val="center"/>
                </w:tcPr>
                <w:p w14:paraId="26297D53">
                  <w:pPr>
                    <w:pStyle w:val="100"/>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2</w:t>
                  </w:r>
                </w:p>
              </w:tc>
              <w:tc>
                <w:tcPr>
                  <w:tcW w:w="1681" w:type="pct"/>
                  <w:tcBorders>
                    <w:tl2br w:val="nil"/>
                    <w:tr2bl w:val="nil"/>
                  </w:tcBorders>
                  <w:shd w:val="clear" w:color="auto" w:fill="auto"/>
                  <w:vAlign w:val="center"/>
                </w:tcPr>
                <w:p w14:paraId="374BC83D">
                  <w:pPr>
                    <w:pStyle w:val="100"/>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3500t</w:t>
                  </w:r>
                </w:p>
              </w:tc>
            </w:tr>
            <w:tr w14:paraId="6818982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trPr>
              <w:tc>
                <w:tcPr>
                  <w:tcW w:w="201" w:type="pct"/>
                  <w:vMerge w:val="restart"/>
                  <w:tcBorders>
                    <w:tl2br w:val="nil"/>
                    <w:tr2bl w:val="nil"/>
                  </w:tcBorders>
                  <w:shd w:val="clear" w:color="auto" w:fill="auto"/>
                  <w:vAlign w:val="center"/>
                </w:tcPr>
                <w:p w14:paraId="0A327FFD">
                  <w:pPr>
                    <w:keepNext w:val="0"/>
                    <w:keepLines w:val="0"/>
                    <w:pageBreakBefore w:val="0"/>
                    <w:widowControl/>
                    <w:suppressLineNumbers w:val="0"/>
                    <w:kinsoku/>
                    <w:wordWrap/>
                    <w:overflowPunct/>
                    <w:topLinePunct w:val="0"/>
                    <w:autoSpaceDE/>
                    <w:autoSpaceDN/>
                    <w:bidi w:val="0"/>
                    <w:adjustRightInd/>
                    <w:snapToGrid/>
                    <w:spacing w:line="240" w:lineRule="auto"/>
                    <w:ind w:left="0"/>
                    <w:jc w:val="center"/>
                    <w:textAlignment w:val="center"/>
                    <w:rPr>
                      <w:rFonts w:hint="default" w:ascii="Times New Roman" w:hAnsi="Times New Roman" w:eastAsia="宋体" w:cs="Times New Roman"/>
                      <w:b w:val="0"/>
                      <w:bCs w:val="0"/>
                      <w:i w:val="0"/>
                      <w:iCs w:val="0"/>
                      <w:snapToGrid w:val="0"/>
                      <w:color w:val="auto"/>
                      <w:kern w:val="0"/>
                      <w:sz w:val="21"/>
                      <w:szCs w:val="21"/>
                      <w:highlight w:val="none"/>
                      <w:u w:val="none" w:color="auto"/>
                      <w:lang w:val="en-US" w:eastAsia="zh-CN" w:bidi="ar"/>
                    </w:rPr>
                  </w:pPr>
                </w:p>
              </w:tc>
              <w:tc>
                <w:tcPr>
                  <w:tcW w:w="202" w:type="pct"/>
                  <w:vMerge w:val="restart"/>
                  <w:tcBorders>
                    <w:tl2br w:val="nil"/>
                    <w:tr2bl w:val="nil"/>
                  </w:tcBorders>
                  <w:shd w:val="clear" w:color="auto" w:fill="auto"/>
                  <w:vAlign w:val="center"/>
                </w:tcPr>
                <w:p w14:paraId="285BFAC9">
                  <w:pPr>
                    <w:keepNext w:val="0"/>
                    <w:keepLines w:val="0"/>
                    <w:pageBreakBefore w:val="0"/>
                    <w:widowControl/>
                    <w:suppressLineNumbers w:val="0"/>
                    <w:kinsoku/>
                    <w:wordWrap/>
                    <w:overflowPunct/>
                    <w:topLinePunct w:val="0"/>
                    <w:autoSpaceDE/>
                    <w:autoSpaceDN/>
                    <w:bidi w:val="0"/>
                    <w:adjustRightInd/>
                    <w:snapToGrid/>
                    <w:spacing w:line="240" w:lineRule="auto"/>
                    <w:ind w:left="0"/>
                    <w:jc w:val="center"/>
                    <w:textAlignment w:val="center"/>
                    <w:rPr>
                      <w:rFonts w:hint="default" w:ascii="Times New Roman" w:hAnsi="Times New Roman" w:eastAsia="宋体" w:cs="Times New Roman"/>
                      <w:b w:val="0"/>
                      <w:bCs w:val="0"/>
                      <w:i w:val="0"/>
                      <w:iCs w:val="0"/>
                      <w:snapToGrid w:val="0"/>
                      <w:color w:val="auto"/>
                      <w:kern w:val="0"/>
                      <w:sz w:val="21"/>
                      <w:szCs w:val="21"/>
                      <w:highlight w:val="none"/>
                      <w:u w:val="none" w:color="auto"/>
                      <w:lang w:val="en-US" w:eastAsia="zh-CN" w:bidi="ar"/>
                    </w:rPr>
                  </w:pPr>
                  <w:r>
                    <w:rPr>
                      <w:rFonts w:hint="default" w:ascii="Times New Roman" w:hAnsi="Times New Roman" w:eastAsia="宋体" w:cs="Times New Roman"/>
                      <w:b w:val="0"/>
                      <w:bCs w:val="0"/>
                      <w:i w:val="0"/>
                      <w:iCs w:val="0"/>
                      <w:snapToGrid w:val="0"/>
                      <w:color w:val="auto"/>
                      <w:kern w:val="0"/>
                      <w:sz w:val="21"/>
                      <w:szCs w:val="21"/>
                      <w:highlight w:val="none"/>
                      <w:u w:val="none" w:color="auto"/>
                      <w:lang w:val="en-US" w:eastAsia="zh-CN" w:bidi="ar"/>
                    </w:rPr>
                    <w:t>其中</w:t>
                  </w:r>
                </w:p>
              </w:tc>
              <w:tc>
                <w:tcPr>
                  <w:tcW w:w="1400" w:type="pct"/>
                  <w:tcBorders>
                    <w:tl2br w:val="nil"/>
                    <w:tr2bl w:val="nil"/>
                  </w:tcBorders>
                  <w:shd w:val="clear" w:color="auto" w:fill="auto"/>
                  <w:vAlign w:val="center"/>
                </w:tcPr>
                <w:p w14:paraId="5837AAD9">
                  <w:pPr>
                    <w:pStyle w:val="100"/>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kern w:val="2"/>
                      <w:sz w:val="21"/>
                      <w:szCs w:val="21"/>
                      <w:highlight w:val="none"/>
                      <w:u w:val="none" w:color="auto"/>
                      <w:lang w:val="en-US" w:eastAsia="en-US" w:bidi="ar-SA"/>
                    </w:rPr>
                  </w:pPr>
                  <w:r>
                    <w:rPr>
                      <w:rFonts w:hint="default" w:ascii="Times New Roman" w:hAnsi="Times New Roman" w:eastAsia="宋体" w:cs="Times New Roman"/>
                      <w:color w:val="auto"/>
                      <w:spacing w:val="-4"/>
                      <w:sz w:val="21"/>
                      <w:szCs w:val="21"/>
                      <w:highlight w:val="none"/>
                      <w:u w:val="none" w:color="auto"/>
                    </w:rPr>
                    <w:t>压铸机</w:t>
                  </w:r>
                </w:p>
              </w:tc>
              <w:tc>
                <w:tcPr>
                  <w:tcW w:w="895" w:type="pct"/>
                  <w:tcBorders>
                    <w:tl2br w:val="nil"/>
                    <w:tr2bl w:val="nil"/>
                  </w:tcBorders>
                  <w:shd w:val="clear" w:color="auto" w:fill="auto"/>
                  <w:vAlign w:val="center"/>
                </w:tcPr>
                <w:p w14:paraId="4630F820">
                  <w:pPr>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b w:val="0"/>
                      <w:bCs w:val="0"/>
                      <w:color w:val="auto"/>
                      <w:kern w:val="2"/>
                      <w:sz w:val="21"/>
                      <w:szCs w:val="21"/>
                      <w:highlight w:val="none"/>
                      <w:u w:val="none" w:color="auto"/>
                      <w:lang w:val="en-US" w:eastAsia="zh-CN" w:bidi="ar-SA"/>
                    </w:rPr>
                  </w:pPr>
                  <w:r>
                    <w:rPr>
                      <w:rFonts w:hint="default" w:ascii="Times New Roman" w:hAnsi="Times New Roman" w:eastAsia="宋体" w:cs="Times New Roman"/>
                      <w:b w:val="0"/>
                      <w:bCs w:val="0"/>
                      <w:color w:val="auto"/>
                      <w:sz w:val="21"/>
                      <w:szCs w:val="21"/>
                      <w:highlight w:val="none"/>
                      <w:u w:val="none" w:color="auto"/>
                      <w:lang w:val="en-US" w:eastAsia="zh-CN"/>
                    </w:rPr>
                    <w:t>台/</w:t>
                  </w:r>
                  <w:r>
                    <w:rPr>
                      <w:rFonts w:hint="default" w:ascii="Times New Roman" w:hAnsi="Times New Roman" w:eastAsia="宋体" w:cs="Times New Roman"/>
                      <w:b w:val="0"/>
                      <w:bCs w:val="0"/>
                      <w:i w:val="0"/>
                      <w:iCs w:val="0"/>
                      <w:snapToGrid w:val="0"/>
                      <w:color w:val="auto"/>
                      <w:kern w:val="0"/>
                      <w:sz w:val="21"/>
                      <w:szCs w:val="21"/>
                      <w:highlight w:val="none"/>
                      <w:u w:val="none" w:color="auto"/>
                      <w:lang w:val="en-US" w:eastAsia="zh-CN" w:bidi="ar"/>
                    </w:rPr>
                    <w:t>套</w:t>
                  </w:r>
                </w:p>
              </w:tc>
              <w:tc>
                <w:tcPr>
                  <w:tcW w:w="617" w:type="pct"/>
                  <w:tcBorders>
                    <w:tl2br w:val="nil"/>
                    <w:tr2bl w:val="nil"/>
                  </w:tcBorders>
                  <w:shd w:val="clear" w:color="auto" w:fill="auto"/>
                  <w:vAlign w:val="center"/>
                </w:tcPr>
                <w:p w14:paraId="35492787">
                  <w:pPr>
                    <w:pStyle w:val="100"/>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rPr>
                    <w:t>1</w:t>
                  </w:r>
                </w:p>
              </w:tc>
              <w:tc>
                <w:tcPr>
                  <w:tcW w:w="1681" w:type="pct"/>
                  <w:tcBorders>
                    <w:tl2br w:val="nil"/>
                    <w:tr2bl w:val="nil"/>
                  </w:tcBorders>
                  <w:shd w:val="clear" w:color="auto" w:fill="auto"/>
                  <w:vAlign w:val="center"/>
                </w:tcPr>
                <w:p w14:paraId="3EC875B8">
                  <w:pPr>
                    <w:keepNext w:val="0"/>
                    <w:keepLines w:val="0"/>
                    <w:pageBreakBefore w:val="0"/>
                    <w:widowControl/>
                    <w:suppressLineNumbers w:val="0"/>
                    <w:kinsoku/>
                    <w:wordWrap/>
                    <w:overflowPunct/>
                    <w:topLinePunct w:val="0"/>
                    <w:autoSpaceDE/>
                    <w:autoSpaceDN/>
                    <w:bidi w:val="0"/>
                    <w:adjustRightInd/>
                    <w:snapToGrid/>
                    <w:spacing w:line="240" w:lineRule="auto"/>
                    <w:ind w:left="0"/>
                    <w:jc w:val="center"/>
                    <w:textAlignment w:val="center"/>
                    <w:rPr>
                      <w:rFonts w:hint="default" w:ascii="Times New Roman" w:hAnsi="Times New Roman" w:eastAsia="宋体" w:cs="Times New Roman"/>
                      <w:b/>
                      <w:bCs/>
                      <w:i w:val="0"/>
                      <w:iCs w:val="0"/>
                      <w:snapToGrid w:val="0"/>
                      <w:color w:val="auto"/>
                      <w:kern w:val="0"/>
                      <w:sz w:val="21"/>
                      <w:szCs w:val="21"/>
                      <w:highlight w:val="none"/>
                      <w:u w:val="none" w:color="auto"/>
                      <w:lang w:val="en-US" w:eastAsia="zh-CN" w:bidi="ar"/>
                    </w:rPr>
                  </w:pPr>
                  <w:r>
                    <w:rPr>
                      <w:rFonts w:hint="default" w:ascii="Times New Roman" w:hAnsi="Times New Roman" w:eastAsia="宋体" w:cs="Times New Roman"/>
                      <w:b w:val="0"/>
                      <w:bCs w:val="0"/>
                      <w:i w:val="0"/>
                      <w:iCs w:val="0"/>
                      <w:snapToGrid w:val="0"/>
                      <w:color w:val="auto"/>
                      <w:kern w:val="0"/>
                      <w:sz w:val="21"/>
                      <w:szCs w:val="21"/>
                      <w:highlight w:val="none"/>
                      <w:u w:val="none" w:color="auto"/>
                      <w:lang w:val="en-US" w:eastAsia="zh-CN" w:bidi="ar"/>
                    </w:rPr>
                    <w:t>自带光谱检测仪</w:t>
                  </w:r>
                </w:p>
              </w:tc>
            </w:tr>
            <w:tr w14:paraId="23BDD99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trPr>
              <w:tc>
                <w:tcPr>
                  <w:tcW w:w="201" w:type="pct"/>
                  <w:vMerge w:val="continue"/>
                  <w:tcBorders>
                    <w:tl2br w:val="nil"/>
                    <w:tr2bl w:val="nil"/>
                  </w:tcBorders>
                  <w:shd w:val="clear" w:color="auto" w:fill="auto"/>
                  <w:vAlign w:val="center"/>
                </w:tcPr>
                <w:p w14:paraId="1F414198">
                  <w:pPr>
                    <w:keepNext w:val="0"/>
                    <w:keepLines w:val="0"/>
                    <w:pageBreakBefore w:val="0"/>
                    <w:widowControl/>
                    <w:suppressLineNumbers w:val="0"/>
                    <w:kinsoku/>
                    <w:wordWrap/>
                    <w:overflowPunct/>
                    <w:topLinePunct w:val="0"/>
                    <w:autoSpaceDE/>
                    <w:autoSpaceDN/>
                    <w:bidi w:val="0"/>
                    <w:adjustRightInd/>
                    <w:snapToGrid/>
                    <w:spacing w:line="240" w:lineRule="auto"/>
                    <w:ind w:left="0"/>
                    <w:jc w:val="center"/>
                    <w:textAlignment w:val="center"/>
                    <w:rPr>
                      <w:rFonts w:hint="default" w:ascii="Times New Roman" w:hAnsi="Times New Roman" w:eastAsia="宋体" w:cs="Times New Roman"/>
                      <w:b/>
                      <w:bCs/>
                      <w:i w:val="0"/>
                      <w:iCs w:val="0"/>
                      <w:snapToGrid w:val="0"/>
                      <w:color w:val="auto"/>
                      <w:kern w:val="0"/>
                      <w:sz w:val="21"/>
                      <w:szCs w:val="21"/>
                      <w:highlight w:val="none"/>
                      <w:u w:val="none" w:color="auto"/>
                      <w:lang w:val="en-US" w:eastAsia="zh-CN" w:bidi="ar"/>
                    </w:rPr>
                  </w:pPr>
                </w:p>
              </w:tc>
              <w:tc>
                <w:tcPr>
                  <w:tcW w:w="202" w:type="pct"/>
                  <w:vMerge w:val="continue"/>
                  <w:tcBorders>
                    <w:tl2br w:val="nil"/>
                    <w:tr2bl w:val="nil"/>
                  </w:tcBorders>
                  <w:shd w:val="clear" w:color="auto" w:fill="auto"/>
                  <w:vAlign w:val="center"/>
                </w:tcPr>
                <w:p w14:paraId="264E4227">
                  <w:pPr>
                    <w:keepNext w:val="0"/>
                    <w:keepLines w:val="0"/>
                    <w:pageBreakBefore w:val="0"/>
                    <w:widowControl/>
                    <w:suppressLineNumbers w:val="0"/>
                    <w:kinsoku/>
                    <w:wordWrap/>
                    <w:overflowPunct/>
                    <w:topLinePunct w:val="0"/>
                    <w:autoSpaceDE/>
                    <w:autoSpaceDN/>
                    <w:bidi w:val="0"/>
                    <w:adjustRightInd/>
                    <w:snapToGrid/>
                    <w:spacing w:line="240" w:lineRule="auto"/>
                    <w:ind w:left="0"/>
                    <w:jc w:val="center"/>
                    <w:textAlignment w:val="center"/>
                    <w:rPr>
                      <w:rFonts w:hint="default" w:ascii="Times New Roman" w:hAnsi="Times New Roman" w:eastAsia="宋体" w:cs="Times New Roman"/>
                      <w:b/>
                      <w:bCs/>
                      <w:i w:val="0"/>
                      <w:iCs w:val="0"/>
                      <w:snapToGrid w:val="0"/>
                      <w:color w:val="auto"/>
                      <w:kern w:val="0"/>
                      <w:sz w:val="21"/>
                      <w:szCs w:val="21"/>
                      <w:highlight w:val="none"/>
                      <w:u w:val="none" w:color="auto"/>
                      <w:lang w:val="en-US" w:eastAsia="zh-CN" w:bidi="ar"/>
                    </w:rPr>
                  </w:pPr>
                </w:p>
              </w:tc>
              <w:tc>
                <w:tcPr>
                  <w:tcW w:w="1400" w:type="pct"/>
                  <w:tcBorders>
                    <w:tl2br w:val="nil"/>
                    <w:tr2bl w:val="nil"/>
                  </w:tcBorders>
                  <w:shd w:val="clear" w:color="auto" w:fill="auto"/>
                  <w:vAlign w:val="center"/>
                </w:tcPr>
                <w:p w14:paraId="2573CBD1">
                  <w:pPr>
                    <w:pStyle w:val="100"/>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kern w:val="2"/>
                      <w:sz w:val="21"/>
                      <w:szCs w:val="21"/>
                      <w:highlight w:val="none"/>
                      <w:u w:val="none" w:color="auto"/>
                      <w:lang w:val="en-US" w:eastAsia="en-US" w:bidi="ar-SA"/>
                    </w:rPr>
                  </w:pPr>
                  <w:r>
                    <w:rPr>
                      <w:rFonts w:hint="default" w:ascii="Times New Roman" w:hAnsi="Times New Roman" w:eastAsia="宋体" w:cs="Times New Roman"/>
                      <w:color w:val="auto"/>
                      <w:spacing w:val="-6"/>
                      <w:sz w:val="21"/>
                      <w:szCs w:val="21"/>
                      <w:highlight w:val="none"/>
                      <w:u w:val="none" w:color="auto"/>
                    </w:rPr>
                    <w:t>定量炉</w:t>
                  </w:r>
                </w:p>
              </w:tc>
              <w:tc>
                <w:tcPr>
                  <w:tcW w:w="895" w:type="pct"/>
                  <w:tcBorders>
                    <w:tl2br w:val="nil"/>
                    <w:tr2bl w:val="nil"/>
                  </w:tcBorders>
                  <w:shd w:val="clear" w:color="auto" w:fill="auto"/>
                  <w:vAlign w:val="center"/>
                </w:tcPr>
                <w:p w14:paraId="6B221885">
                  <w:pPr>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b w:val="0"/>
                      <w:bCs w:val="0"/>
                      <w:color w:val="auto"/>
                      <w:kern w:val="2"/>
                      <w:sz w:val="21"/>
                      <w:szCs w:val="21"/>
                      <w:highlight w:val="none"/>
                      <w:u w:val="none" w:color="auto"/>
                      <w:lang w:val="en-US" w:eastAsia="zh-CN" w:bidi="ar-SA"/>
                    </w:rPr>
                  </w:pPr>
                  <w:r>
                    <w:rPr>
                      <w:rFonts w:hint="default" w:ascii="Times New Roman" w:hAnsi="Times New Roman" w:eastAsia="宋体" w:cs="Times New Roman"/>
                      <w:b w:val="0"/>
                      <w:bCs w:val="0"/>
                      <w:color w:val="auto"/>
                      <w:sz w:val="21"/>
                      <w:szCs w:val="21"/>
                      <w:highlight w:val="none"/>
                      <w:u w:val="none" w:color="auto"/>
                      <w:lang w:val="en-US" w:eastAsia="zh-CN"/>
                    </w:rPr>
                    <w:t>台/</w:t>
                  </w:r>
                  <w:r>
                    <w:rPr>
                      <w:rFonts w:hint="default" w:ascii="Times New Roman" w:hAnsi="Times New Roman" w:eastAsia="宋体" w:cs="Times New Roman"/>
                      <w:b w:val="0"/>
                      <w:bCs w:val="0"/>
                      <w:i w:val="0"/>
                      <w:iCs w:val="0"/>
                      <w:snapToGrid w:val="0"/>
                      <w:color w:val="auto"/>
                      <w:kern w:val="0"/>
                      <w:sz w:val="21"/>
                      <w:szCs w:val="21"/>
                      <w:highlight w:val="none"/>
                      <w:u w:val="none" w:color="auto"/>
                      <w:lang w:val="en-US" w:eastAsia="zh-CN" w:bidi="ar"/>
                    </w:rPr>
                    <w:t>套</w:t>
                  </w:r>
                </w:p>
              </w:tc>
              <w:tc>
                <w:tcPr>
                  <w:tcW w:w="617" w:type="pct"/>
                  <w:tcBorders>
                    <w:tl2br w:val="nil"/>
                    <w:tr2bl w:val="nil"/>
                  </w:tcBorders>
                  <w:shd w:val="clear" w:color="auto" w:fill="auto"/>
                  <w:vAlign w:val="center"/>
                </w:tcPr>
                <w:p w14:paraId="4E9EE184">
                  <w:pPr>
                    <w:pStyle w:val="100"/>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rPr>
                    <w:t>1</w:t>
                  </w:r>
                </w:p>
              </w:tc>
              <w:tc>
                <w:tcPr>
                  <w:tcW w:w="1681" w:type="pct"/>
                  <w:tcBorders>
                    <w:tl2br w:val="nil"/>
                    <w:tr2bl w:val="nil"/>
                  </w:tcBorders>
                  <w:shd w:val="clear" w:color="auto" w:fill="auto"/>
                  <w:vAlign w:val="center"/>
                </w:tcPr>
                <w:p w14:paraId="761F5585">
                  <w:pPr>
                    <w:keepNext w:val="0"/>
                    <w:keepLines w:val="0"/>
                    <w:pageBreakBefore w:val="0"/>
                    <w:widowControl/>
                    <w:suppressLineNumbers w:val="0"/>
                    <w:kinsoku/>
                    <w:wordWrap/>
                    <w:overflowPunct/>
                    <w:topLinePunct w:val="0"/>
                    <w:autoSpaceDE/>
                    <w:autoSpaceDN/>
                    <w:bidi w:val="0"/>
                    <w:adjustRightInd/>
                    <w:snapToGrid/>
                    <w:spacing w:line="240" w:lineRule="auto"/>
                    <w:ind w:left="0"/>
                    <w:jc w:val="center"/>
                    <w:textAlignment w:val="center"/>
                    <w:rPr>
                      <w:rFonts w:hint="default" w:ascii="Times New Roman" w:hAnsi="Times New Roman" w:eastAsia="宋体" w:cs="Times New Roman"/>
                      <w:b/>
                      <w:bCs/>
                      <w:i w:val="0"/>
                      <w:iCs w:val="0"/>
                      <w:snapToGrid w:val="0"/>
                      <w:color w:val="auto"/>
                      <w:kern w:val="0"/>
                      <w:sz w:val="21"/>
                      <w:szCs w:val="21"/>
                      <w:highlight w:val="none"/>
                      <w:u w:val="none" w:color="auto"/>
                      <w:lang w:val="en-US" w:eastAsia="zh-CN" w:bidi="ar"/>
                    </w:rPr>
                  </w:pPr>
                </w:p>
              </w:tc>
            </w:tr>
            <w:tr w14:paraId="58FF16E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trPr>
              <w:tc>
                <w:tcPr>
                  <w:tcW w:w="201" w:type="pct"/>
                  <w:vMerge w:val="continue"/>
                  <w:tcBorders>
                    <w:tl2br w:val="nil"/>
                    <w:tr2bl w:val="nil"/>
                  </w:tcBorders>
                  <w:shd w:val="clear" w:color="auto" w:fill="auto"/>
                  <w:vAlign w:val="center"/>
                </w:tcPr>
                <w:p w14:paraId="33891C03">
                  <w:pPr>
                    <w:keepNext w:val="0"/>
                    <w:keepLines w:val="0"/>
                    <w:pageBreakBefore w:val="0"/>
                    <w:widowControl/>
                    <w:suppressLineNumbers w:val="0"/>
                    <w:kinsoku/>
                    <w:wordWrap/>
                    <w:overflowPunct/>
                    <w:topLinePunct w:val="0"/>
                    <w:autoSpaceDE/>
                    <w:autoSpaceDN/>
                    <w:bidi w:val="0"/>
                    <w:adjustRightInd/>
                    <w:snapToGrid/>
                    <w:spacing w:line="240" w:lineRule="auto"/>
                    <w:ind w:left="0"/>
                    <w:jc w:val="center"/>
                    <w:textAlignment w:val="center"/>
                    <w:rPr>
                      <w:rFonts w:hint="default" w:ascii="Times New Roman" w:hAnsi="Times New Roman" w:eastAsia="宋体" w:cs="Times New Roman"/>
                      <w:b/>
                      <w:bCs/>
                      <w:i w:val="0"/>
                      <w:iCs w:val="0"/>
                      <w:snapToGrid w:val="0"/>
                      <w:color w:val="auto"/>
                      <w:kern w:val="0"/>
                      <w:sz w:val="21"/>
                      <w:szCs w:val="21"/>
                      <w:highlight w:val="none"/>
                      <w:u w:val="none" w:color="auto"/>
                      <w:lang w:val="en-US" w:eastAsia="zh-CN" w:bidi="ar"/>
                    </w:rPr>
                  </w:pPr>
                </w:p>
              </w:tc>
              <w:tc>
                <w:tcPr>
                  <w:tcW w:w="202" w:type="pct"/>
                  <w:vMerge w:val="continue"/>
                  <w:tcBorders>
                    <w:tl2br w:val="nil"/>
                    <w:tr2bl w:val="nil"/>
                  </w:tcBorders>
                  <w:shd w:val="clear" w:color="auto" w:fill="auto"/>
                  <w:vAlign w:val="center"/>
                </w:tcPr>
                <w:p w14:paraId="2C5FD6CF">
                  <w:pPr>
                    <w:keepNext w:val="0"/>
                    <w:keepLines w:val="0"/>
                    <w:pageBreakBefore w:val="0"/>
                    <w:widowControl/>
                    <w:suppressLineNumbers w:val="0"/>
                    <w:kinsoku/>
                    <w:wordWrap/>
                    <w:overflowPunct/>
                    <w:topLinePunct w:val="0"/>
                    <w:autoSpaceDE/>
                    <w:autoSpaceDN/>
                    <w:bidi w:val="0"/>
                    <w:adjustRightInd/>
                    <w:snapToGrid/>
                    <w:spacing w:line="240" w:lineRule="auto"/>
                    <w:ind w:left="0"/>
                    <w:jc w:val="center"/>
                    <w:textAlignment w:val="center"/>
                    <w:rPr>
                      <w:rFonts w:hint="default" w:ascii="Times New Roman" w:hAnsi="Times New Roman" w:eastAsia="宋体" w:cs="Times New Roman"/>
                      <w:b/>
                      <w:bCs/>
                      <w:i w:val="0"/>
                      <w:iCs w:val="0"/>
                      <w:snapToGrid w:val="0"/>
                      <w:color w:val="auto"/>
                      <w:kern w:val="0"/>
                      <w:sz w:val="21"/>
                      <w:szCs w:val="21"/>
                      <w:highlight w:val="none"/>
                      <w:u w:val="none" w:color="auto"/>
                      <w:lang w:val="en-US" w:eastAsia="zh-CN" w:bidi="ar"/>
                    </w:rPr>
                  </w:pPr>
                </w:p>
              </w:tc>
              <w:tc>
                <w:tcPr>
                  <w:tcW w:w="1400" w:type="pct"/>
                  <w:tcBorders>
                    <w:tl2br w:val="nil"/>
                    <w:tr2bl w:val="nil"/>
                  </w:tcBorders>
                  <w:shd w:val="clear" w:color="auto" w:fill="auto"/>
                  <w:vAlign w:val="center"/>
                </w:tcPr>
                <w:p w14:paraId="1E026F02">
                  <w:pPr>
                    <w:pStyle w:val="100"/>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kern w:val="2"/>
                      <w:sz w:val="21"/>
                      <w:szCs w:val="21"/>
                      <w:highlight w:val="none"/>
                      <w:u w:val="none" w:color="auto"/>
                      <w:lang w:val="en-US" w:eastAsia="en-US" w:bidi="ar-SA"/>
                    </w:rPr>
                  </w:pPr>
                  <w:r>
                    <w:rPr>
                      <w:rFonts w:hint="default" w:ascii="Times New Roman" w:hAnsi="Times New Roman" w:eastAsia="宋体" w:cs="Times New Roman"/>
                      <w:color w:val="auto"/>
                      <w:spacing w:val="-3"/>
                      <w:sz w:val="21"/>
                      <w:szCs w:val="21"/>
                      <w:highlight w:val="none"/>
                      <w:u w:val="none" w:color="auto"/>
                    </w:rPr>
                    <w:t>取件机器人</w:t>
                  </w:r>
                </w:p>
              </w:tc>
              <w:tc>
                <w:tcPr>
                  <w:tcW w:w="895" w:type="pct"/>
                  <w:tcBorders>
                    <w:tl2br w:val="nil"/>
                    <w:tr2bl w:val="nil"/>
                  </w:tcBorders>
                  <w:shd w:val="clear" w:color="auto" w:fill="auto"/>
                  <w:vAlign w:val="center"/>
                </w:tcPr>
                <w:p w14:paraId="23197287">
                  <w:pPr>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b w:val="0"/>
                      <w:bCs w:val="0"/>
                      <w:color w:val="auto"/>
                      <w:kern w:val="2"/>
                      <w:sz w:val="21"/>
                      <w:szCs w:val="21"/>
                      <w:highlight w:val="none"/>
                      <w:u w:val="none" w:color="auto"/>
                      <w:lang w:val="en-US" w:eastAsia="zh-CN" w:bidi="ar-SA"/>
                    </w:rPr>
                  </w:pPr>
                  <w:r>
                    <w:rPr>
                      <w:rFonts w:hint="default" w:ascii="Times New Roman" w:hAnsi="Times New Roman" w:eastAsia="宋体" w:cs="Times New Roman"/>
                      <w:b w:val="0"/>
                      <w:bCs w:val="0"/>
                      <w:color w:val="auto"/>
                      <w:sz w:val="21"/>
                      <w:szCs w:val="21"/>
                      <w:highlight w:val="none"/>
                      <w:u w:val="none" w:color="auto"/>
                      <w:lang w:val="en-US" w:eastAsia="zh-CN"/>
                    </w:rPr>
                    <w:t>台/</w:t>
                  </w:r>
                  <w:r>
                    <w:rPr>
                      <w:rFonts w:hint="default" w:ascii="Times New Roman" w:hAnsi="Times New Roman" w:eastAsia="宋体" w:cs="Times New Roman"/>
                      <w:b w:val="0"/>
                      <w:bCs w:val="0"/>
                      <w:i w:val="0"/>
                      <w:iCs w:val="0"/>
                      <w:snapToGrid w:val="0"/>
                      <w:color w:val="auto"/>
                      <w:kern w:val="0"/>
                      <w:sz w:val="21"/>
                      <w:szCs w:val="21"/>
                      <w:highlight w:val="none"/>
                      <w:u w:val="none" w:color="auto"/>
                      <w:lang w:val="en-US" w:eastAsia="zh-CN" w:bidi="ar"/>
                    </w:rPr>
                    <w:t>套</w:t>
                  </w:r>
                </w:p>
              </w:tc>
              <w:tc>
                <w:tcPr>
                  <w:tcW w:w="617" w:type="pct"/>
                  <w:tcBorders>
                    <w:tl2br w:val="nil"/>
                    <w:tr2bl w:val="nil"/>
                  </w:tcBorders>
                  <w:shd w:val="clear" w:color="auto" w:fill="auto"/>
                  <w:vAlign w:val="center"/>
                </w:tcPr>
                <w:p w14:paraId="1954B924">
                  <w:pPr>
                    <w:pStyle w:val="100"/>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rPr>
                    <w:t>1</w:t>
                  </w:r>
                </w:p>
              </w:tc>
              <w:tc>
                <w:tcPr>
                  <w:tcW w:w="1681" w:type="pct"/>
                  <w:tcBorders>
                    <w:tl2br w:val="nil"/>
                    <w:tr2bl w:val="nil"/>
                  </w:tcBorders>
                  <w:shd w:val="clear" w:color="auto" w:fill="auto"/>
                  <w:vAlign w:val="center"/>
                </w:tcPr>
                <w:p w14:paraId="42D596C6">
                  <w:pPr>
                    <w:keepNext w:val="0"/>
                    <w:keepLines w:val="0"/>
                    <w:pageBreakBefore w:val="0"/>
                    <w:widowControl/>
                    <w:suppressLineNumbers w:val="0"/>
                    <w:kinsoku/>
                    <w:wordWrap/>
                    <w:overflowPunct/>
                    <w:topLinePunct w:val="0"/>
                    <w:autoSpaceDE/>
                    <w:autoSpaceDN/>
                    <w:bidi w:val="0"/>
                    <w:adjustRightInd/>
                    <w:snapToGrid/>
                    <w:spacing w:line="240" w:lineRule="auto"/>
                    <w:ind w:left="0"/>
                    <w:jc w:val="center"/>
                    <w:textAlignment w:val="center"/>
                    <w:rPr>
                      <w:rFonts w:hint="default" w:ascii="Times New Roman" w:hAnsi="Times New Roman" w:eastAsia="宋体" w:cs="Times New Roman"/>
                      <w:b/>
                      <w:bCs/>
                      <w:i w:val="0"/>
                      <w:iCs w:val="0"/>
                      <w:snapToGrid w:val="0"/>
                      <w:color w:val="auto"/>
                      <w:kern w:val="0"/>
                      <w:sz w:val="21"/>
                      <w:szCs w:val="21"/>
                      <w:highlight w:val="none"/>
                      <w:u w:val="none" w:color="auto"/>
                      <w:lang w:val="en-US" w:eastAsia="zh-CN" w:bidi="ar"/>
                    </w:rPr>
                  </w:pPr>
                </w:p>
              </w:tc>
            </w:tr>
            <w:tr w14:paraId="6B5AB4C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trPr>
              <w:tc>
                <w:tcPr>
                  <w:tcW w:w="201" w:type="pct"/>
                  <w:vMerge w:val="continue"/>
                  <w:tcBorders>
                    <w:tl2br w:val="nil"/>
                    <w:tr2bl w:val="nil"/>
                  </w:tcBorders>
                  <w:shd w:val="clear" w:color="auto" w:fill="auto"/>
                  <w:vAlign w:val="center"/>
                </w:tcPr>
                <w:p w14:paraId="44780BD8">
                  <w:pPr>
                    <w:keepNext w:val="0"/>
                    <w:keepLines w:val="0"/>
                    <w:pageBreakBefore w:val="0"/>
                    <w:widowControl/>
                    <w:suppressLineNumbers w:val="0"/>
                    <w:kinsoku/>
                    <w:wordWrap/>
                    <w:overflowPunct/>
                    <w:topLinePunct w:val="0"/>
                    <w:autoSpaceDE/>
                    <w:autoSpaceDN/>
                    <w:bidi w:val="0"/>
                    <w:adjustRightInd/>
                    <w:snapToGrid/>
                    <w:spacing w:line="240" w:lineRule="auto"/>
                    <w:ind w:left="0"/>
                    <w:jc w:val="center"/>
                    <w:textAlignment w:val="center"/>
                    <w:rPr>
                      <w:rFonts w:hint="default" w:ascii="Times New Roman" w:hAnsi="Times New Roman" w:eastAsia="宋体" w:cs="Times New Roman"/>
                      <w:b/>
                      <w:bCs/>
                      <w:i w:val="0"/>
                      <w:iCs w:val="0"/>
                      <w:snapToGrid w:val="0"/>
                      <w:color w:val="auto"/>
                      <w:kern w:val="0"/>
                      <w:sz w:val="21"/>
                      <w:szCs w:val="21"/>
                      <w:highlight w:val="none"/>
                      <w:u w:val="none" w:color="auto"/>
                      <w:lang w:val="en-US" w:eastAsia="zh-CN" w:bidi="ar"/>
                    </w:rPr>
                  </w:pPr>
                </w:p>
              </w:tc>
              <w:tc>
                <w:tcPr>
                  <w:tcW w:w="202" w:type="pct"/>
                  <w:vMerge w:val="continue"/>
                  <w:tcBorders>
                    <w:tl2br w:val="nil"/>
                    <w:tr2bl w:val="nil"/>
                  </w:tcBorders>
                  <w:shd w:val="clear" w:color="auto" w:fill="auto"/>
                  <w:vAlign w:val="center"/>
                </w:tcPr>
                <w:p w14:paraId="7B13A01C">
                  <w:pPr>
                    <w:keepNext w:val="0"/>
                    <w:keepLines w:val="0"/>
                    <w:pageBreakBefore w:val="0"/>
                    <w:widowControl/>
                    <w:suppressLineNumbers w:val="0"/>
                    <w:kinsoku/>
                    <w:wordWrap/>
                    <w:overflowPunct/>
                    <w:topLinePunct w:val="0"/>
                    <w:autoSpaceDE/>
                    <w:autoSpaceDN/>
                    <w:bidi w:val="0"/>
                    <w:adjustRightInd/>
                    <w:snapToGrid/>
                    <w:spacing w:line="240" w:lineRule="auto"/>
                    <w:ind w:left="0"/>
                    <w:jc w:val="center"/>
                    <w:textAlignment w:val="center"/>
                    <w:rPr>
                      <w:rFonts w:hint="default" w:ascii="Times New Roman" w:hAnsi="Times New Roman" w:eastAsia="宋体" w:cs="Times New Roman"/>
                      <w:b/>
                      <w:bCs/>
                      <w:i w:val="0"/>
                      <w:iCs w:val="0"/>
                      <w:snapToGrid w:val="0"/>
                      <w:color w:val="auto"/>
                      <w:kern w:val="0"/>
                      <w:sz w:val="21"/>
                      <w:szCs w:val="21"/>
                      <w:highlight w:val="none"/>
                      <w:u w:val="none" w:color="auto"/>
                      <w:lang w:val="en-US" w:eastAsia="zh-CN" w:bidi="ar"/>
                    </w:rPr>
                  </w:pPr>
                </w:p>
              </w:tc>
              <w:tc>
                <w:tcPr>
                  <w:tcW w:w="1400" w:type="pct"/>
                  <w:tcBorders>
                    <w:tl2br w:val="nil"/>
                    <w:tr2bl w:val="nil"/>
                  </w:tcBorders>
                  <w:shd w:val="clear" w:color="auto" w:fill="auto"/>
                  <w:vAlign w:val="center"/>
                </w:tcPr>
                <w:p w14:paraId="231224A3">
                  <w:pPr>
                    <w:pStyle w:val="100"/>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kern w:val="2"/>
                      <w:sz w:val="21"/>
                      <w:szCs w:val="21"/>
                      <w:highlight w:val="none"/>
                      <w:u w:val="none" w:color="auto"/>
                      <w:lang w:val="en-US" w:eastAsia="en-US" w:bidi="ar-SA"/>
                    </w:rPr>
                  </w:pPr>
                  <w:r>
                    <w:rPr>
                      <w:rFonts w:hint="default" w:ascii="Times New Roman" w:hAnsi="Times New Roman" w:eastAsia="宋体" w:cs="Times New Roman"/>
                      <w:color w:val="auto"/>
                      <w:spacing w:val="-4"/>
                      <w:sz w:val="21"/>
                      <w:szCs w:val="21"/>
                      <w:highlight w:val="none"/>
                      <w:u w:val="none" w:color="auto"/>
                    </w:rPr>
                    <w:t>喷雾机器人</w:t>
                  </w:r>
                </w:p>
              </w:tc>
              <w:tc>
                <w:tcPr>
                  <w:tcW w:w="895" w:type="pct"/>
                  <w:tcBorders>
                    <w:tl2br w:val="nil"/>
                    <w:tr2bl w:val="nil"/>
                  </w:tcBorders>
                  <w:shd w:val="clear" w:color="auto" w:fill="auto"/>
                  <w:vAlign w:val="center"/>
                </w:tcPr>
                <w:p w14:paraId="39698C65">
                  <w:pPr>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b w:val="0"/>
                      <w:bCs w:val="0"/>
                      <w:color w:val="auto"/>
                      <w:kern w:val="2"/>
                      <w:sz w:val="21"/>
                      <w:szCs w:val="21"/>
                      <w:highlight w:val="none"/>
                      <w:u w:val="none" w:color="auto"/>
                      <w:lang w:val="en-US" w:eastAsia="zh-CN" w:bidi="ar-SA"/>
                    </w:rPr>
                  </w:pPr>
                  <w:r>
                    <w:rPr>
                      <w:rFonts w:hint="default" w:ascii="Times New Roman" w:hAnsi="Times New Roman" w:eastAsia="宋体" w:cs="Times New Roman"/>
                      <w:b w:val="0"/>
                      <w:bCs w:val="0"/>
                      <w:color w:val="auto"/>
                      <w:sz w:val="21"/>
                      <w:szCs w:val="21"/>
                      <w:highlight w:val="none"/>
                      <w:u w:val="none" w:color="auto"/>
                      <w:lang w:val="en-US" w:eastAsia="zh-CN"/>
                    </w:rPr>
                    <w:t>台/</w:t>
                  </w:r>
                  <w:r>
                    <w:rPr>
                      <w:rFonts w:hint="default" w:ascii="Times New Roman" w:hAnsi="Times New Roman" w:eastAsia="宋体" w:cs="Times New Roman"/>
                      <w:b w:val="0"/>
                      <w:bCs w:val="0"/>
                      <w:i w:val="0"/>
                      <w:iCs w:val="0"/>
                      <w:snapToGrid w:val="0"/>
                      <w:color w:val="auto"/>
                      <w:kern w:val="0"/>
                      <w:sz w:val="21"/>
                      <w:szCs w:val="21"/>
                      <w:highlight w:val="none"/>
                      <w:u w:val="none" w:color="auto"/>
                      <w:lang w:val="en-US" w:eastAsia="zh-CN" w:bidi="ar"/>
                    </w:rPr>
                    <w:t>套</w:t>
                  </w:r>
                </w:p>
              </w:tc>
              <w:tc>
                <w:tcPr>
                  <w:tcW w:w="617" w:type="pct"/>
                  <w:tcBorders>
                    <w:tl2br w:val="nil"/>
                    <w:tr2bl w:val="nil"/>
                  </w:tcBorders>
                  <w:shd w:val="clear" w:color="auto" w:fill="auto"/>
                  <w:vAlign w:val="center"/>
                </w:tcPr>
                <w:p w14:paraId="67A00754">
                  <w:pPr>
                    <w:pStyle w:val="100"/>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rPr>
                    <w:t>1</w:t>
                  </w:r>
                </w:p>
              </w:tc>
              <w:tc>
                <w:tcPr>
                  <w:tcW w:w="1681" w:type="pct"/>
                  <w:tcBorders>
                    <w:tl2br w:val="nil"/>
                    <w:tr2bl w:val="nil"/>
                  </w:tcBorders>
                  <w:shd w:val="clear" w:color="auto" w:fill="auto"/>
                  <w:vAlign w:val="center"/>
                </w:tcPr>
                <w:p w14:paraId="214A967D">
                  <w:pPr>
                    <w:keepNext w:val="0"/>
                    <w:keepLines w:val="0"/>
                    <w:pageBreakBefore w:val="0"/>
                    <w:widowControl/>
                    <w:suppressLineNumbers w:val="0"/>
                    <w:kinsoku/>
                    <w:wordWrap/>
                    <w:overflowPunct/>
                    <w:topLinePunct w:val="0"/>
                    <w:autoSpaceDE/>
                    <w:autoSpaceDN/>
                    <w:bidi w:val="0"/>
                    <w:adjustRightInd/>
                    <w:snapToGrid/>
                    <w:spacing w:line="240" w:lineRule="auto"/>
                    <w:ind w:left="0"/>
                    <w:jc w:val="center"/>
                    <w:textAlignment w:val="center"/>
                    <w:rPr>
                      <w:rFonts w:hint="default" w:ascii="Times New Roman" w:hAnsi="Times New Roman" w:eastAsia="宋体" w:cs="Times New Roman"/>
                      <w:b/>
                      <w:bCs/>
                      <w:i w:val="0"/>
                      <w:iCs w:val="0"/>
                      <w:snapToGrid w:val="0"/>
                      <w:color w:val="auto"/>
                      <w:kern w:val="0"/>
                      <w:sz w:val="21"/>
                      <w:szCs w:val="21"/>
                      <w:highlight w:val="none"/>
                      <w:u w:val="none" w:color="auto"/>
                      <w:lang w:val="en-US" w:eastAsia="zh-CN" w:bidi="ar"/>
                    </w:rPr>
                  </w:pPr>
                  <w:r>
                    <w:rPr>
                      <w:rFonts w:hint="default" w:ascii="Times New Roman" w:hAnsi="Times New Roman" w:eastAsia="宋体" w:cs="Times New Roman"/>
                      <w:b w:val="0"/>
                      <w:bCs w:val="0"/>
                      <w:i w:val="0"/>
                      <w:iCs w:val="0"/>
                      <w:snapToGrid w:val="0"/>
                      <w:color w:val="auto"/>
                      <w:kern w:val="0"/>
                      <w:sz w:val="21"/>
                      <w:szCs w:val="21"/>
                      <w:highlight w:val="none"/>
                      <w:u w:val="none" w:color="auto"/>
                      <w:lang w:val="en-US" w:eastAsia="zh-CN" w:bidi="ar"/>
                    </w:rPr>
                    <w:t>用于脱模剂喷涂</w:t>
                  </w:r>
                </w:p>
              </w:tc>
            </w:tr>
            <w:tr w14:paraId="00F6C35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trPr>
              <w:tc>
                <w:tcPr>
                  <w:tcW w:w="201" w:type="pct"/>
                  <w:vMerge w:val="continue"/>
                  <w:tcBorders>
                    <w:tl2br w:val="nil"/>
                    <w:tr2bl w:val="nil"/>
                  </w:tcBorders>
                  <w:shd w:val="clear" w:color="auto" w:fill="auto"/>
                  <w:vAlign w:val="center"/>
                </w:tcPr>
                <w:p w14:paraId="30990CB5">
                  <w:pPr>
                    <w:keepNext w:val="0"/>
                    <w:keepLines w:val="0"/>
                    <w:pageBreakBefore w:val="0"/>
                    <w:widowControl/>
                    <w:suppressLineNumbers w:val="0"/>
                    <w:kinsoku/>
                    <w:wordWrap/>
                    <w:overflowPunct/>
                    <w:topLinePunct w:val="0"/>
                    <w:autoSpaceDE/>
                    <w:autoSpaceDN/>
                    <w:bidi w:val="0"/>
                    <w:adjustRightInd/>
                    <w:snapToGrid/>
                    <w:spacing w:line="240" w:lineRule="auto"/>
                    <w:ind w:left="0"/>
                    <w:jc w:val="center"/>
                    <w:textAlignment w:val="center"/>
                    <w:rPr>
                      <w:rFonts w:hint="default" w:ascii="Times New Roman" w:hAnsi="Times New Roman" w:eastAsia="宋体" w:cs="Times New Roman"/>
                      <w:b/>
                      <w:bCs/>
                      <w:i w:val="0"/>
                      <w:iCs w:val="0"/>
                      <w:snapToGrid w:val="0"/>
                      <w:color w:val="auto"/>
                      <w:kern w:val="0"/>
                      <w:sz w:val="21"/>
                      <w:szCs w:val="21"/>
                      <w:highlight w:val="none"/>
                      <w:u w:val="none" w:color="auto"/>
                      <w:lang w:val="en-US" w:eastAsia="zh-CN" w:bidi="ar"/>
                    </w:rPr>
                  </w:pPr>
                </w:p>
              </w:tc>
              <w:tc>
                <w:tcPr>
                  <w:tcW w:w="202" w:type="pct"/>
                  <w:vMerge w:val="continue"/>
                  <w:tcBorders>
                    <w:tl2br w:val="nil"/>
                    <w:tr2bl w:val="nil"/>
                  </w:tcBorders>
                  <w:shd w:val="clear" w:color="auto" w:fill="auto"/>
                  <w:vAlign w:val="center"/>
                </w:tcPr>
                <w:p w14:paraId="4AE9E147">
                  <w:pPr>
                    <w:keepNext w:val="0"/>
                    <w:keepLines w:val="0"/>
                    <w:pageBreakBefore w:val="0"/>
                    <w:widowControl/>
                    <w:suppressLineNumbers w:val="0"/>
                    <w:kinsoku/>
                    <w:wordWrap/>
                    <w:overflowPunct/>
                    <w:topLinePunct w:val="0"/>
                    <w:autoSpaceDE/>
                    <w:autoSpaceDN/>
                    <w:bidi w:val="0"/>
                    <w:adjustRightInd/>
                    <w:snapToGrid/>
                    <w:spacing w:line="240" w:lineRule="auto"/>
                    <w:ind w:left="0"/>
                    <w:jc w:val="center"/>
                    <w:textAlignment w:val="center"/>
                    <w:rPr>
                      <w:rFonts w:hint="default" w:ascii="Times New Roman" w:hAnsi="Times New Roman" w:eastAsia="宋体" w:cs="Times New Roman"/>
                      <w:b/>
                      <w:bCs/>
                      <w:i w:val="0"/>
                      <w:iCs w:val="0"/>
                      <w:snapToGrid w:val="0"/>
                      <w:color w:val="auto"/>
                      <w:kern w:val="0"/>
                      <w:sz w:val="21"/>
                      <w:szCs w:val="21"/>
                      <w:highlight w:val="none"/>
                      <w:u w:val="none" w:color="auto"/>
                      <w:lang w:val="en-US" w:eastAsia="zh-CN" w:bidi="ar"/>
                    </w:rPr>
                  </w:pPr>
                </w:p>
              </w:tc>
              <w:tc>
                <w:tcPr>
                  <w:tcW w:w="1400" w:type="pct"/>
                  <w:tcBorders>
                    <w:tl2br w:val="nil"/>
                    <w:tr2bl w:val="nil"/>
                  </w:tcBorders>
                  <w:shd w:val="clear" w:color="auto" w:fill="auto"/>
                  <w:vAlign w:val="center"/>
                </w:tcPr>
                <w:p w14:paraId="785A9F60">
                  <w:pPr>
                    <w:pStyle w:val="100"/>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kern w:val="2"/>
                      <w:sz w:val="21"/>
                      <w:szCs w:val="21"/>
                      <w:highlight w:val="none"/>
                      <w:u w:val="none" w:color="auto"/>
                      <w:lang w:val="en-US" w:eastAsia="en-US" w:bidi="ar-SA"/>
                    </w:rPr>
                  </w:pPr>
                  <w:r>
                    <w:rPr>
                      <w:rFonts w:hint="default" w:ascii="Times New Roman" w:hAnsi="Times New Roman" w:eastAsia="宋体" w:cs="Times New Roman"/>
                      <w:color w:val="auto"/>
                      <w:spacing w:val="-3"/>
                      <w:sz w:val="21"/>
                      <w:szCs w:val="21"/>
                      <w:highlight w:val="none"/>
                      <w:u w:val="none" w:color="auto"/>
                    </w:rPr>
                    <w:t>储气罐</w:t>
                  </w:r>
                </w:p>
              </w:tc>
              <w:tc>
                <w:tcPr>
                  <w:tcW w:w="895" w:type="pct"/>
                  <w:tcBorders>
                    <w:tl2br w:val="nil"/>
                    <w:tr2bl w:val="nil"/>
                  </w:tcBorders>
                  <w:shd w:val="clear" w:color="auto" w:fill="auto"/>
                  <w:vAlign w:val="center"/>
                </w:tcPr>
                <w:p w14:paraId="43B50DE7">
                  <w:pPr>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b w:val="0"/>
                      <w:bCs w:val="0"/>
                      <w:color w:val="auto"/>
                      <w:kern w:val="2"/>
                      <w:sz w:val="21"/>
                      <w:szCs w:val="21"/>
                      <w:highlight w:val="none"/>
                      <w:u w:val="none" w:color="auto"/>
                      <w:lang w:val="en-US" w:eastAsia="zh-CN" w:bidi="ar-SA"/>
                    </w:rPr>
                  </w:pPr>
                  <w:r>
                    <w:rPr>
                      <w:rFonts w:hint="default" w:ascii="Times New Roman" w:hAnsi="Times New Roman" w:eastAsia="宋体" w:cs="Times New Roman"/>
                      <w:b w:val="0"/>
                      <w:bCs w:val="0"/>
                      <w:color w:val="auto"/>
                      <w:sz w:val="21"/>
                      <w:szCs w:val="21"/>
                      <w:highlight w:val="none"/>
                      <w:u w:val="none" w:color="auto"/>
                      <w:lang w:val="en-US" w:eastAsia="zh-CN"/>
                    </w:rPr>
                    <w:t>台/</w:t>
                  </w:r>
                  <w:r>
                    <w:rPr>
                      <w:rFonts w:hint="default" w:ascii="Times New Roman" w:hAnsi="Times New Roman" w:eastAsia="宋体" w:cs="Times New Roman"/>
                      <w:b w:val="0"/>
                      <w:bCs w:val="0"/>
                      <w:i w:val="0"/>
                      <w:iCs w:val="0"/>
                      <w:snapToGrid w:val="0"/>
                      <w:color w:val="auto"/>
                      <w:kern w:val="0"/>
                      <w:sz w:val="21"/>
                      <w:szCs w:val="21"/>
                      <w:highlight w:val="none"/>
                      <w:u w:val="none" w:color="auto"/>
                      <w:lang w:val="en-US" w:eastAsia="zh-CN" w:bidi="ar"/>
                    </w:rPr>
                    <w:t>套</w:t>
                  </w:r>
                </w:p>
              </w:tc>
              <w:tc>
                <w:tcPr>
                  <w:tcW w:w="617" w:type="pct"/>
                  <w:tcBorders>
                    <w:tl2br w:val="nil"/>
                    <w:tr2bl w:val="nil"/>
                  </w:tcBorders>
                  <w:shd w:val="clear" w:color="auto" w:fill="auto"/>
                  <w:vAlign w:val="center"/>
                </w:tcPr>
                <w:p w14:paraId="4EEC225B">
                  <w:pPr>
                    <w:pStyle w:val="100"/>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rPr>
                    <w:t>1</w:t>
                  </w:r>
                </w:p>
              </w:tc>
              <w:tc>
                <w:tcPr>
                  <w:tcW w:w="1681" w:type="pct"/>
                  <w:tcBorders>
                    <w:tl2br w:val="nil"/>
                    <w:tr2bl w:val="nil"/>
                  </w:tcBorders>
                  <w:shd w:val="clear" w:color="auto" w:fill="auto"/>
                  <w:vAlign w:val="center"/>
                </w:tcPr>
                <w:p w14:paraId="09F9303E">
                  <w:pPr>
                    <w:keepNext w:val="0"/>
                    <w:keepLines w:val="0"/>
                    <w:pageBreakBefore w:val="0"/>
                    <w:widowControl/>
                    <w:suppressLineNumbers w:val="0"/>
                    <w:kinsoku/>
                    <w:wordWrap/>
                    <w:overflowPunct/>
                    <w:topLinePunct w:val="0"/>
                    <w:autoSpaceDE/>
                    <w:autoSpaceDN/>
                    <w:bidi w:val="0"/>
                    <w:adjustRightInd/>
                    <w:snapToGrid/>
                    <w:spacing w:line="240" w:lineRule="auto"/>
                    <w:ind w:left="0"/>
                    <w:jc w:val="center"/>
                    <w:textAlignment w:val="center"/>
                    <w:rPr>
                      <w:rFonts w:hint="default" w:ascii="Times New Roman" w:hAnsi="Times New Roman" w:eastAsia="宋体" w:cs="Times New Roman"/>
                      <w:b w:val="0"/>
                      <w:bCs w:val="0"/>
                      <w:i w:val="0"/>
                      <w:iCs w:val="0"/>
                      <w:snapToGrid w:val="0"/>
                      <w:color w:val="auto"/>
                      <w:kern w:val="0"/>
                      <w:sz w:val="21"/>
                      <w:szCs w:val="21"/>
                      <w:highlight w:val="none"/>
                      <w:u w:val="none" w:color="auto"/>
                      <w:lang w:val="en-US" w:eastAsia="zh-CN" w:bidi="ar"/>
                    </w:rPr>
                  </w:pPr>
                  <w:r>
                    <w:rPr>
                      <w:rFonts w:hint="default" w:ascii="Times New Roman" w:hAnsi="Times New Roman" w:eastAsia="宋体" w:cs="Times New Roman"/>
                      <w:b w:val="0"/>
                      <w:bCs w:val="0"/>
                      <w:i w:val="0"/>
                      <w:iCs w:val="0"/>
                      <w:snapToGrid w:val="0"/>
                      <w:color w:val="auto"/>
                      <w:kern w:val="0"/>
                      <w:sz w:val="21"/>
                      <w:szCs w:val="21"/>
                      <w:highlight w:val="none"/>
                      <w:u w:val="none" w:color="auto"/>
                      <w:lang w:val="en-US" w:eastAsia="zh-CN" w:bidi="ar"/>
                    </w:rPr>
                    <w:t>压缩空气储气罐</w:t>
                  </w:r>
                </w:p>
              </w:tc>
            </w:tr>
            <w:tr w14:paraId="7993D03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201" w:type="pct"/>
                  <w:vMerge w:val="continue"/>
                  <w:tcBorders>
                    <w:tl2br w:val="nil"/>
                    <w:tr2bl w:val="nil"/>
                  </w:tcBorders>
                  <w:shd w:val="clear" w:color="auto" w:fill="auto"/>
                  <w:vAlign w:val="center"/>
                </w:tcPr>
                <w:p w14:paraId="5F32164D">
                  <w:pPr>
                    <w:keepNext w:val="0"/>
                    <w:keepLines w:val="0"/>
                    <w:pageBreakBefore w:val="0"/>
                    <w:widowControl/>
                    <w:suppressLineNumbers w:val="0"/>
                    <w:kinsoku/>
                    <w:wordWrap/>
                    <w:overflowPunct/>
                    <w:topLinePunct w:val="0"/>
                    <w:autoSpaceDE/>
                    <w:autoSpaceDN/>
                    <w:bidi w:val="0"/>
                    <w:adjustRightInd/>
                    <w:snapToGrid/>
                    <w:spacing w:line="240" w:lineRule="auto"/>
                    <w:ind w:left="0"/>
                    <w:jc w:val="center"/>
                    <w:textAlignment w:val="center"/>
                    <w:rPr>
                      <w:rFonts w:hint="default" w:ascii="Times New Roman" w:hAnsi="Times New Roman" w:eastAsia="宋体" w:cs="Times New Roman"/>
                      <w:b/>
                      <w:bCs/>
                      <w:i w:val="0"/>
                      <w:iCs w:val="0"/>
                      <w:snapToGrid w:val="0"/>
                      <w:color w:val="auto"/>
                      <w:kern w:val="0"/>
                      <w:sz w:val="21"/>
                      <w:szCs w:val="21"/>
                      <w:highlight w:val="none"/>
                      <w:u w:val="none" w:color="auto"/>
                      <w:lang w:val="en-US" w:eastAsia="zh-CN" w:bidi="ar"/>
                    </w:rPr>
                  </w:pPr>
                </w:p>
              </w:tc>
              <w:tc>
                <w:tcPr>
                  <w:tcW w:w="202" w:type="pct"/>
                  <w:vMerge w:val="continue"/>
                  <w:tcBorders>
                    <w:tl2br w:val="nil"/>
                    <w:tr2bl w:val="nil"/>
                  </w:tcBorders>
                  <w:shd w:val="clear" w:color="auto" w:fill="auto"/>
                  <w:vAlign w:val="center"/>
                </w:tcPr>
                <w:p w14:paraId="251584BA">
                  <w:pPr>
                    <w:keepNext w:val="0"/>
                    <w:keepLines w:val="0"/>
                    <w:pageBreakBefore w:val="0"/>
                    <w:widowControl/>
                    <w:suppressLineNumbers w:val="0"/>
                    <w:kinsoku/>
                    <w:wordWrap/>
                    <w:overflowPunct/>
                    <w:topLinePunct w:val="0"/>
                    <w:autoSpaceDE/>
                    <w:autoSpaceDN/>
                    <w:bidi w:val="0"/>
                    <w:adjustRightInd/>
                    <w:snapToGrid/>
                    <w:spacing w:line="240" w:lineRule="auto"/>
                    <w:ind w:left="0"/>
                    <w:jc w:val="center"/>
                    <w:textAlignment w:val="center"/>
                    <w:rPr>
                      <w:rFonts w:hint="default" w:ascii="Times New Roman" w:hAnsi="Times New Roman" w:eastAsia="宋体" w:cs="Times New Roman"/>
                      <w:b/>
                      <w:bCs/>
                      <w:i w:val="0"/>
                      <w:iCs w:val="0"/>
                      <w:snapToGrid w:val="0"/>
                      <w:color w:val="auto"/>
                      <w:kern w:val="0"/>
                      <w:sz w:val="21"/>
                      <w:szCs w:val="21"/>
                      <w:highlight w:val="none"/>
                      <w:u w:val="none" w:color="auto"/>
                      <w:lang w:val="en-US" w:eastAsia="zh-CN" w:bidi="ar"/>
                    </w:rPr>
                  </w:pPr>
                </w:p>
              </w:tc>
              <w:tc>
                <w:tcPr>
                  <w:tcW w:w="1400" w:type="pct"/>
                  <w:tcBorders>
                    <w:tl2br w:val="nil"/>
                    <w:tr2bl w:val="nil"/>
                  </w:tcBorders>
                  <w:shd w:val="clear" w:color="auto" w:fill="auto"/>
                  <w:vAlign w:val="center"/>
                </w:tcPr>
                <w:p w14:paraId="380CE05B">
                  <w:pPr>
                    <w:pStyle w:val="100"/>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kern w:val="2"/>
                      <w:sz w:val="21"/>
                      <w:szCs w:val="21"/>
                      <w:highlight w:val="none"/>
                      <w:u w:val="none" w:color="auto"/>
                      <w:lang w:val="en-US" w:eastAsia="en-US" w:bidi="ar-SA"/>
                    </w:rPr>
                  </w:pPr>
                  <w:r>
                    <w:rPr>
                      <w:rFonts w:hint="default" w:ascii="Times New Roman" w:hAnsi="Times New Roman" w:eastAsia="宋体" w:cs="Times New Roman"/>
                      <w:color w:val="auto"/>
                      <w:spacing w:val="-2"/>
                      <w:sz w:val="21"/>
                      <w:szCs w:val="21"/>
                      <w:highlight w:val="none"/>
                      <w:u w:val="none" w:color="auto"/>
                    </w:rPr>
                    <w:t>脱模剂配比机</w:t>
                  </w:r>
                </w:p>
              </w:tc>
              <w:tc>
                <w:tcPr>
                  <w:tcW w:w="895" w:type="pct"/>
                  <w:tcBorders>
                    <w:tl2br w:val="nil"/>
                    <w:tr2bl w:val="nil"/>
                  </w:tcBorders>
                  <w:shd w:val="clear" w:color="auto" w:fill="auto"/>
                  <w:vAlign w:val="center"/>
                </w:tcPr>
                <w:p w14:paraId="6035B388">
                  <w:pPr>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b w:val="0"/>
                      <w:bCs w:val="0"/>
                      <w:color w:val="auto"/>
                      <w:kern w:val="2"/>
                      <w:sz w:val="21"/>
                      <w:szCs w:val="21"/>
                      <w:highlight w:val="none"/>
                      <w:u w:val="none" w:color="auto"/>
                      <w:lang w:val="en-US" w:eastAsia="zh-CN" w:bidi="ar-SA"/>
                    </w:rPr>
                  </w:pPr>
                  <w:r>
                    <w:rPr>
                      <w:rFonts w:hint="default" w:ascii="Times New Roman" w:hAnsi="Times New Roman" w:eastAsia="宋体" w:cs="Times New Roman"/>
                      <w:b w:val="0"/>
                      <w:bCs w:val="0"/>
                      <w:color w:val="auto"/>
                      <w:sz w:val="21"/>
                      <w:szCs w:val="21"/>
                      <w:highlight w:val="none"/>
                      <w:u w:val="none" w:color="auto"/>
                      <w:lang w:val="en-US" w:eastAsia="zh-CN"/>
                    </w:rPr>
                    <w:t>台/</w:t>
                  </w:r>
                  <w:r>
                    <w:rPr>
                      <w:rFonts w:hint="default" w:ascii="Times New Roman" w:hAnsi="Times New Roman" w:eastAsia="宋体" w:cs="Times New Roman"/>
                      <w:b w:val="0"/>
                      <w:bCs w:val="0"/>
                      <w:i w:val="0"/>
                      <w:iCs w:val="0"/>
                      <w:snapToGrid w:val="0"/>
                      <w:color w:val="auto"/>
                      <w:kern w:val="0"/>
                      <w:sz w:val="21"/>
                      <w:szCs w:val="21"/>
                      <w:highlight w:val="none"/>
                      <w:u w:val="none" w:color="auto"/>
                      <w:lang w:val="en-US" w:eastAsia="zh-CN" w:bidi="ar"/>
                    </w:rPr>
                    <w:t>套</w:t>
                  </w:r>
                </w:p>
              </w:tc>
              <w:tc>
                <w:tcPr>
                  <w:tcW w:w="617" w:type="pct"/>
                  <w:tcBorders>
                    <w:tl2br w:val="nil"/>
                    <w:tr2bl w:val="nil"/>
                  </w:tcBorders>
                  <w:shd w:val="clear" w:color="auto" w:fill="auto"/>
                  <w:vAlign w:val="center"/>
                </w:tcPr>
                <w:p w14:paraId="2AD4C600">
                  <w:pPr>
                    <w:pStyle w:val="100"/>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rPr>
                    <w:t>1</w:t>
                  </w:r>
                </w:p>
              </w:tc>
              <w:tc>
                <w:tcPr>
                  <w:tcW w:w="1681" w:type="pct"/>
                  <w:tcBorders>
                    <w:tl2br w:val="nil"/>
                    <w:tr2bl w:val="nil"/>
                  </w:tcBorders>
                  <w:shd w:val="clear" w:color="auto" w:fill="auto"/>
                  <w:vAlign w:val="center"/>
                </w:tcPr>
                <w:p w14:paraId="69E9D5F1">
                  <w:pPr>
                    <w:keepNext w:val="0"/>
                    <w:keepLines w:val="0"/>
                    <w:pageBreakBefore w:val="0"/>
                    <w:widowControl/>
                    <w:suppressLineNumbers w:val="0"/>
                    <w:kinsoku/>
                    <w:wordWrap/>
                    <w:overflowPunct/>
                    <w:topLinePunct w:val="0"/>
                    <w:autoSpaceDE/>
                    <w:autoSpaceDN/>
                    <w:bidi w:val="0"/>
                    <w:adjustRightInd/>
                    <w:snapToGrid/>
                    <w:spacing w:line="240" w:lineRule="auto"/>
                    <w:ind w:left="0"/>
                    <w:jc w:val="center"/>
                    <w:textAlignment w:val="center"/>
                    <w:rPr>
                      <w:rFonts w:hint="default" w:ascii="Times New Roman" w:hAnsi="Times New Roman" w:eastAsia="宋体" w:cs="Times New Roman"/>
                      <w:b/>
                      <w:bCs/>
                      <w:i w:val="0"/>
                      <w:iCs w:val="0"/>
                      <w:snapToGrid w:val="0"/>
                      <w:color w:val="auto"/>
                      <w:kern w:val="0"/>
                      <w:sz w:val="21"/>
                      <w:szCs w:val="21"/>
                      <w:highlight w:val="none"/>
                      <w:u w:val="none" w:color="auto"/>
                      <w:lang w:val="en-US" w:eastAsia="zh-CN" w:bidi="ar"/>
                    </w:rPr>
                  </w:pPr>
                </w:p>
              </w:tc>
            </w:tr>
            <w:tr w14:paraId="1E6AE1D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trPr>
              <w:tc>
                <w:tcPr>
                  <w:tcW w:w="201" w:type="pct"/>
                  <w:vMerge w:val="continue"/>
                  <w:tcBorders>
                    <w:tl2br w:val="nil"/>
                    <w:tr2bl w:val="nil"/>
                  </w:tcBorders>
                  <w:shd w:val="clear" w:color="auto" w:fill="auto"/>
                  <w:vAlign w:val="center"/>
                </w:tcPr>
                <w:p w14:paraId="773D3DDE">
                  <w:pPr>
                    <w:keepNext w:val="0"/>
                    <w:keepLines w:val="0"/>
                    <w:pageBreakBefore w:val="0"/>
                    <w:widowControl/>
                    <w:suppressLineNumbers w:val="0"/>
                    <w:kinsoku/>
                    <w:wordWrap/>
                    <w:overflowPunct/>
                    <w:topLinePunct w:val="0"/>
                    <w:autoSpaceDE/>
                    <w:autoSpaceDN/>
                    <w:bidi w:val="0"/>
                    <w:adjustRightInd/>
                    <w:snapToGrid/>
                    <w:spacing w:line="240" w:lineRule="auto"/>
                    <w:ind w:left="0"/>
                    <w:jc w:val="center"/>
                    <w:textAlignment w:val="center"/>
                    <w:rPr>
                      <w:rFonts w:hint="default" w:ascii="Times New Roman" w:hAnsi="Times New Roman" w:eastAsia="宋体" w:cs="Times New Roman"/>
                      <w:b/>
                      <w:bCs/>
                      <w:i w:val="0"/>
                      <w:iCs w:val="0"/>
                      <w:snapToGrid w:val="0"/>
                      <w:color w:val="auto"/>
                      <w:kern w:val="0"/>
                      <w:sz w:val="21"/>
                      <w:szCs w:val="21"/>
                      <w:highlight w:val="none"/>
                      <w:u w:val="none" w:color="auto"/>
                      <w:lang w:val="en-US" w:eastAsia="zh-CN" w:bidi="ar"/>
                    </w:rPr>
                  </w:pPr>
                </w:p>
              </w:tc>
              <w:tc>
                <w:tcPr>
                  <w:tcW w:w="202" w:type="pct"/>
                  <w:vMerge w:val="continue"/>
                  <w:tcBorders>
                    <w:tl2br w:val="nil"/>
                    <w:tr2bl w:val="nil"/>
                  </w:tcBorders>
                  <w:shd w:val="clear" w:color="auto" w:fill="auto"/>
                  <w:vAlign w:val="center"/>
                </w:tcPr>
                <w:p w14:paraId="44B0DE88">
                  <w:pPr>
                    <w:keepNext w:val="0"/>
                    <w:keepLines w:val="0"/>
                    <w:pageBreakBefore w:val="0"/>
                    <w:widowControl/>
                    <w:suppressLineNumbers w:val="0"/>
                    <w:kinsoku/>
                    <w:wordWrap/>
                    <w:overflowPunct/>
                    <w:topLinePunct w:val="0"/>
                    <w:autoSpaceDE/>
                    <w:autoSpaceDN/>
                    <w:bidi w:val="0"/>
                    <w:adjustRightInd/>
                    <w:snapToGrid/>
                    <w:spacing w:line="240" w:lineRule="auto"/>
                    <w:ind w:left="0"/>
                    <w:jc w:val="center"/>
                    <w:textAlignment w:val="center"/>
                    <w:rPr>
                      <w:rFonts w:hint="default" w:ascii="Times New Roman" w:hAnsi="Times New Roman" w:eastAsia="宋体" w:cs="Times New Roman"/>
                      <w:b/>
                      <w:bCs/>
                      <w:i w:val="0"/>
                      <w:iCs w:val="0"/>
                      <w:snapToGrid w:val="0"/>
                      <w:color w:val="auto"/>
                      <w:kern w:val="0"/>
                      <w:sz w:val="21"/>
                      <w:szCs w:val="21"/>
                      <w:highlight w:val="none"/>
                      <w:u w:val="none" w:color="auto"/>
                      <w:lang w:val="en-US" w:eastAsia="zh-CN" w:bidi="ar"/>
                    </w:rPr>
                  </w:pPr>
                </w:p>
              </w:tc>
              <w:tc>
                <w:tcPr>
                  <w:tcW w:w="1400" w:type="pct"/>
                  <w:tcBorders>
                    <w:tl2br w:val="nil"/>
                    <w:tr2bl w:val="nil"/>
                  </w:tcBorders>
                  <w:shd w:val="clear" w:color="auto" w:fill="auto"/>
                  <w:vAlign w:val="center"/>
                </w:tcPr>
                <w:p w14:paraId="227AF0FA">
                  <w:pPr>
                    <w:pStyle w:val="100"/>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kern w:val="2"/>
                      <w:sz w:val="21"/>
                      <w:szCs w:val="21"/>
                      <w:highlight w:val="none"/>
                      <w:u w:val="none" w:color="auto"/>
                      <w:lang w:val="en-US" w:eastAsia="en-US" w:bidi="ar-SA"/>
                    </w:rPr>
                  </w:pPr>
                  <w:r>
                    <w:rPr>
                      <w:rFonts w:hint="default" w:ascii="Times New Roman" w:hAnsi="Times New Roman" w:eastAsia="宋体" w:cs="Times New Roman"/>
                      <w:color w:val="auto"/>
                      <w:spacing w:val="-2"/>
                      <w:sz w:val="21"/>
                      <w:szCs w:val="21"/>
                      <w:highlight w:val="none"/>
                      <w:u w:val="none" w:color="auto"/>
                    </w:rPr>
                    <w:t>激光打标机</w:t>
                  </w:r>
                </w:p>
              </w:tc>
              <w:tc>
                <w:tcPr>
                  <w:tcW w:w="895" w:type="pct"/>
                  <w:tcBorders>
                    <w:tl2br w:val="nil"/>
                    <w:tr2bl w:val="nil"/>
                  </w:tcBorders>
                  <w:shd w:val="clear" w:color="auto" w:fill="auto"/>
                  <w:vAlign w:val="center"/>
                </w:tcPr>
                <w:p w14:paraId="3C104645">
                  <w:pPr>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b w:val="0"/>
                      <w:bCs w:val="0"/>
                      <w:color w:val="auto"/>
                      <w:kern w:val="2"/>
                      <w:sz w:val="21"/>
                      <w:szCs w:val="21"/>
                      <w:highlight w:val="none"/>
                      <w:u w:val="none" w:color="auto"/>
                      <w:lang w:val="en-US" w:eastAsia="zh-CN" w:bidi="ar-SA"/>
                    </w:rPr>
                  </w:pPr>
                  <w:r>
                    <w:rPr>
                      <w:rFonts w:hint="default" w:ascii="Times New Roman" w:hAnsi="Times New Roman" w:eastAsia="宋体" w:cs="Times New Roman"/>
                      <w:b w:val="0"/>
                      <w:bCs w:val="0"/>
                      <w:color w:val="auto"/>
                      <w:sz w:val="21"/>
                      <w:szCs w:val="21"/>
                      <w:highlight w:val="none"/>
                      <w:u w:val="none" w:color="auto"/>
                      <w:lang w:val="en-US" w:eastAsia="zh-CN"/>
                    </w:rPr>
                    <w:t>台/</w:t>
                  </w:r>
                  <w:r>
                    <w:rPr>
                      <w:rFonts w:hint="default" w:ascii="Times New Roman" w:hAnsi="Times New Roman" w:eastAsia="宋体" w:cs="Times New Roman"/>
                      <w:b w:val="0"/>
                      <w:bCs w:val="0"/>
                      <w:i w:val="0"/>
                      <w:iCs w:val="0"/>
                      <w:snapToGrid w:val="0"/>
                      <w:color w:val="auto"/>
                      <w:kern w:val="0"/>
                      <w:sz w:val="21"/>
                      <w:szCs w:val="21"/>
                      <w:highlight w:val="none"/>
                      <w:u w:val="none" w:color="auto"/>
                      <w:lang w:val="en-US" w:eastAsia="zh-CN" w:bidi="ar"/>
                    </w:rPr>
                    <w:t>套</w:t>
                  </w:r>
                </w:p>
              </w:tc>
              <w:tc>
                <w:tcPr>
                  <w:tcW w:w="617" w:type="pct"/>
                  <w:tcBorders>
                    <w:tl2br w:val="nil"/>
                    <w:tr2bl w:val="nil"/>
                  </w:tcBorders>
                  <w:shd w:val="clear" w:color="auto" w:fill="auto"/>
                  <w:vAlign w:val="center"/>
                </w:tcPr>
                <w:p w14:paraId="725BCD95">
                  <w:pPr>
                    <w:pStyle w:val="100"/>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rPr>
                    <w:t>1</w:t>
                  </w:r>
                </w:p>
              </w:tc>
              <w:tc>
                <w:tcPr>
                  <w:tcW w:w="1681" w:type="pct"/>
                  <w:tcBorders>
                    <w:tl2br w:val="nil"/>
                    <w:tr2bl w:val="nil"/>
                  </w:tcBorders>
                  <w:shd w:val="clear" w:color="auto" w:fill="auto"/>
                  <w:vAlign w:val="center"/>
                </w:tcPr>
                <w:p w14:paraId="7334C6B2">
                  <w:pPr>
                    <w:keepNext w:val="0"/>
                    <w:keepLines w:val="0"/>
                    <w:pageBreakBefore w:val="0"/>
                    <w:widowControl/>
                    <w:suppressLineNumbers w:val="0"/>
                    <w:kinsoku/>
                    <w:wordWrap/>
                    <w:overflowPunct/>
                    <w:topLinePunct w:val="0"/>
                    <w:autoSpaceDE/>
                    <w:autoSpaceDN/>
                    <w:bidi w:val="0"/>
                    <w:adjustRightInd/>
                    <w:snapToGrid/>
                    <w:spacing w:line="240" w:lineRule="auto"/>
                    <w:ind w:left="0"/>
                    <w:jc w:val="center"/>
                    <w:textAlignment w:val="center"/>
                    <w:rPr>
                      <w:rFonts w:hint="default" w:ascii="Times New Roman" w:hAnsi="Times New Roman" w:eastAsia="宋体" w:cs="Times New Roman"/>
                      <w:b/>
                      <w:bCs/>
                      <w:i w:val="0"/>
                      <w:iCs w:val="0"/>
                      <w:snapToGrid w:val="0"/>
                      <w:color w:val="auto"/>
                      <w:kern w:val="0"/>
                      <w:sz w:val="21"/>
                      <w:szCs w:val="21"/>
                      <w:highlight w:val="none"/>
                      <w:u w:val="none" w:color="auto"/>
                      <w:lang w:val="en-US" w:eastAsia="zh-CN" w:bidi="ar"/>
                    </w:rPr>
                  </w:pPr>
                  <w:r>
                    <w:rPr>
                      <w:rFonts w:hint="default" w:ascii="Times New Roman" w:hAnsi="Times New Roman" w:eastAsia="宋体" w:cs="Times New Roman"/>
                      <w:b w:val="0"/>
                      <w:bCs w:val="0"/>
                      <w:i w:val="0"/>
                      <w:iCs w:val="0"/>
                      <w:snapToGrid w:val="0"/>
                      <w:color w:val="auto"/>
                      <w:kern w:val="0"/>
                      <w:sz w:val="21"/>
                      <w:szCs w:val="21"/>
                      <w:highlight w:val="none"/>
                      <w:u w:val="none" w:color="auto"/>
                      <w:lang w:val="en-US" w:eastAsia="zh-CN" w:bidi="ar"/>
                    </w:rPr>
                    <w:t>自带布袋除尘器</w:t>
                  </w:r>
                </w:p>
              </w:tc>
            </w:tr>
            <w:tr w14:paraId="40B264B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trPr>
              <w:tc>
                <w:tcPr>
                  <w:tcW w:w="201" w:type="pct"/>
                  <w:vMerge w:val="continue"/>
                  <w:tcBorders>
                    <w:tl2br w:val="nil"/>
                    <w:tr2bl w:val="nil"/>
                  </w:tcBorders>
                  <w:shd w:val="clear" w:color="auto" w:fill="auto"/>
                  <w:vAlign w:val="center"/>
                </w:tcPr>
                <w:p w14:paraId="2D935B04">
                  <w:pPr>
                    <w:keepNext w:val="0"/>
                    <w:keepLines w:val="0"/>
                    <w:pageBreakBefore w:val="0"/>
                    <w:widowControl/>
                    <w:suppressLineNumbers w:val="0"/>
                    <w:kinsoku/>
                    <w:wordWrap/>
                    <w:overflowPunct/>
                    <w:topLinePunct w:val="0"/>
                    <w:autoSpaceDE/>
                    <w:autoSpaceDN/>
                    <w:bidi w:val="0"/>
                    <w:adjustRightInd/>
                    <w:snapToGrid/>
                    <w:spacing w:line="240" w:lineRule="auto"/>
                    <w:ind w:left="0"/>
                    <w:jc w:val="center"/>
                    <w:textAlignment w:val="center"/>
                    <w:rPr>
                      <w:rFonts w:hint="default" w:ascii="Times New Roman" w:hAnsi="Times New Roman" w:eastAsia="宋体" w:cs="Times New Roman"/>
                      <w:b/>
                      <w:bCs/>
                      <w:i w:val="0"/>
                      <w:iCs w:val="0"/>
                      <w:snapToGrid w:val="0"/>
                      <w:color w:val="auto"/>
                      <w:kern w:val="0"/>
                      <w:sz w:val="21"/>
                      <w:szCs w:val="21"/>
                      <w:highlight w:val="none"/>
                      <w:u w:val="none" w:color="auto"/>
                      <w:lang w:val="en-US" w:eastAsia="zh-CN" w:bidi="ar"/>
                    </w:rPr>
                  </w:pPr>
                </w:p>
              </w:tc>
              <w:tc>
                <w:tcPr>
                  <w:tcW w:w="202" w:type="pct"/>
                  <w:vMerge w:val="continue"/>
                  <w:tcBorders>
                    <w:tl2br w:val="nil"/>
                    <w:tr2bl w:val="nil"/>
                  </w:tcBorders>
                  <w:shd w:val="clear" w:color="auto" w:fill="auto"/>
                  <w:vAlign w:val="center"/>
                </w:tcPr>
                <w:p w14:paraId="7B705740">
                  <w:pPr>
                    <w:keepNext w:val="0"/>
                    <w:keepLines w:val="0"/>
                    <w:pageBreakBefore w:val="0"/>
                    <w:widowControl/>
                    <w:suppressLineNumbers w:val="0"/>
                    <w:kinsoku/>
                    <w:wordWrap/>
                    <w:overflowPunct/>
                    <w:topLinePunct w:val="0"/>
                    <w:autoSpaceDE/>
                    <w:autoSpaceDN/>
                    <w:bidi w:val="0"/>
                    <w:adjustRightInd/>
                    <w:snapToGrid/>
                    <w:spacing w:line="240" w:lineRule="auto"/>
                    <w:ind w:left="0"/>
                    <w:jc w:val="center"/>
                    <w:textAlignment w:val="center"/>
                    <w:rPr>
                      <w:rFonts w:hint="default" w:ascii="Times New Roman" w:hAnsi="Times New Roman" w:eastAsia="宋体" w:cs="Times New Roman"/>
                      <w:b/>
                      <w:bCs/>
                      <w:i w:val="0"/>
                      <w:iCs w:val="0"/>
                      <w:snapToGrid w:val="0"/>
                      <w:color w:val="auto"/>
                      <w:kern w:val="0"/>
                      <w:sz w:val="21"/>
                      <w:szCs w:val="21"/>
                      <w:highlight w:val="none"/>
                      <w:u w:val="none" w:color="auto"/>
                      <w:lang w:val="en-US" w:eastAsia="zh-CN" w:bidi="ar"/>
                    </w:rPr>
                  </w:pPr>
                </w:p>
              </w:tc>
              <w:tc>
                <w:tcPr>
                  <w:tcW w:w="1400" w:type="pct"/>
                  <w:tcBorders>
                    <w:tl2br w:val="nil"/>
                    <w:tr2bl w:val="nil"/>
                  </w:tcBorders>
                  <w:shd w:val="clear" w:color="auto" w:fill="auto"/>
                  <w:vAlign w:val="center"/>
                </w:tcPr>
                <w:p w14:paraId="209C90ED">
                  <w:pPr>
                    <w:pStyle w:val="100"/>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kern w:val="2"/>
                      <w:sz w:val="21"/>
                      <w:szCs w:val="21"/>
                      <w:highlight w:val="none"/>
                      <w:u w:val="none" w:color="auto"/>
                      <w:lang w:val="en-US" w:eastAsia="en-US" w:bidi="ar-SA"/>
                    </w:rPr>
                  </w:pPr>
                  <w:r>
                    <w:rPr>
                      <w:rFonts w:hint="default" w:ascii="Times New Roman" w:hAnsi="Times New Roman" w:eastAsia="宋体" w:cs="Times New Roman"/>
                      <w:color w:val="auto"/>
                      <w:spacing w:val="-3"/>
                      <w:sz w:val="21"/>
                      <w:szCs w:val="21"/>
                      <w:highlight w:val="none"/>
                      <w:u w:val="none" w:color="auto"/>
                    </w:rPr>
                    <w:t>读码器</w:t>
                  </w:r>
                </w:p>
              </w:tc>
              <w:tc>
                <w:tcPr>
                  <w:tcW w:w="895" w:type="pct"/>
                  <w:tcBorders>
                    <w:tl2br w:val="nil"/>
                    <w:tr2bl w:val="nil"/>
                  </w:tcBorders>
                  <w:shd w:val="clear" w:color="auto" w:fill="auto"/>
                  <w:vAlign w:val="center"/>
                </w:tcPr>
                <w:p w14:paraId="6A960A7E">
                  <w:pPr>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b w:val="0"/>
                      <w:bCs w:val="0"/>
                      <w:color w:val="auto"/>
                      <w:kern w:val="2"/>
                      <w:sz w:val="21"/>
                      <w:szCs w:val="21"/>
                      <w:highlight w:val="none"/>
                      <w:u w:val="none" w:color="auto"/>
                      <w:lang w:val="en-US" w:eastAsia="zh-CN" w:bidi="ar-SA"/>
                    </w:rPr>
                  </w:pPr>
                  <w:r>
                    <w:rPr>
                      <w:rFonts w:hint="default" w:ascii="Times New Roman" w:hAnsi="Times New Roman" w:eastAsia="宋体" w:cs="Times New Roman"/>
                      <w:b w:val="0"/>
                      <w:bCs w:val="0"/>
                      <w:color w:val="auto"/>
                      <w:sz w:val="21"/>
                      <w:szCs w:val="21"/>
                      <w:highlight w:val="none"/>
                      <w:u w:val="none" w:color="auto"/>
                      <w:lang w:val="en-US" w:eastAsia="zh-CN"/>
                    </w:rPr>
                    <w:t>台/</w:t>
                  </w:r>
                  <w:r>
                    <w:rPr>
                      <w:rFonts w:hint="default" w:ascii="Times New Roman" w:hAnsi="Times New Roman" w:eastAsia="宋体" w:cs="Times New Roman"/>
                      <w:b w:val="0"/>
                      <w:bCs w:val="0"/>
                      <w:i w:val="0"/>
                      <w:iCs w:val="0"/>
                      <w:snapToGrid w:val="0"/>
                      <w:color w:val="auto"/>
                      <w:kern w:val="0"/>
                      <w:sz w:val="21"/>
                      <w:szCs w:val="21"/>
                      <w:highlight w:val="none"/>
                      <w:u w:val="none" w:color="auto"/>
                      <w:lang w:val="en-US" w:eastAsia="zh-CN" w:bidi="ar"/>
                    </w:rPr>
                    <w:t>套</w:t>
                  </w:r>
                </w:p>
              </w:tc>
              <w:tc>
                <w:tcPr>
                  <w:tcW w:w="617" w:type="pct"/>
                  <w:tcBorders>
                    <w:tl2br w:val="nil"/>
                    <w:tr2bl w:val="nil"/>
                  </w:tcBorders>
                  <w:shd w:val="clear" w:color="auto" w:fill="auto"/>
                  <w:vAlign w:val="center"/>
                </w:tcPr>
                <w:p w14:paraId="0758A1F6">
                  <w:pPr>
                    <w:pStyle w:val="100"/>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rPr>
                    <w:t>1</w:t>
                  </w:r>
                </w:p>
              </w:tc>
              <w:tc>
                <w:tcPr>
                  <w:tcW w:w="1681" w:type="pct"/>
                  <w:tcBorders>
                    <w:tl2br w:val="nil"/>
                    <w:tr2bl w:val="nil"/>
                  </w:tcBorders>
                  <w:shd w:val="clear" w:color="auto" w:fill="auto"/>
                  <w:vAlign w:val="center"/>
                </w:tcPr>
                <w:p w14:paraId="2833277A">
                  <w:pPr>
                    <w:keepNext w:val="0"/>
                    <w:keepLines w:val="0"/>
                    <w:pageBreakBefore w:val="0"/>
                    <w:widowControl/>
                    <w:suppressLineNumbers w:val="0"/>
                    <w:kinsoku/>
                    <w:wordWrap/>
                    <w:overflowPunct/>
                    <w:topLinePunct w:val="0"/>
                    <w:autoSpaceDE/>
                    <w:autoSpaceDN/>
                    <w:bidi w:val="0"/>
                    <w:adjustRightInd/>
                    <w:snapToGrid/>
                    <w:spacing w:line="240" w:lineRule="auto"/>
                    <w:ind w:left="0"/>
                    <w:jc w:val="center"/>
                    <w:textAlignment w:val="center"/>
                    <w:rPr>
                      <w:rFonts w:hint="default" w:ascii="Times New Roman" w:hAnsi="Times New Roman" w:eastAsia="宋体" w:cs="Times New Roman"/>
                      <w:b/>
                      <w:bCs/>
                      <w:i w:val="0"/>
                      <w:iCs w:val="0"/>
                      <w:snapToGrid w:val="0"/>
                      <w:color w:val="auto"/>
                      <w:kern w:val="0"/>
                      <w:sz w:val="21"/>
                      <w:szCs w:val="21"/>
                      <w:highlight w:val="none"/>
                      <w:u w:val="none" w:color="auto"/>
                      <w:lang w:val="en-US" w:eastAsia="zh-CN" w:bidi="ar"/>
                    </w:rPr>
                  </w:pPr>
                </w:p>
              </w:tc>
            </w:tr>
            <w:tr w14:paraId="5AE3915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90" w:hRule="atLeast"/>
              </w:trPr>
              <w:tc>
                <w:tcPr>
                  <w:tcW w:w="201" w:type="pct"/>
                  <w:vMerge w:val="continue"/>
                  <w:tcBorders>
                    <w:tl2br w:val="nil"/>
                    <w:tr2bl w:val="nil"/>
                  </w:tcBorders>
                  <w:shd w:val="clear" w:color="auto" w:fill="auto"/>
                  <w:vAlign w:val="center"/>
                </w:tcPr>
                <w:p w14:paraId="4715D3AF">
                  <w:pPr>
                    <w:keepNext w:val="0"/>
                    <w:keepLines w:val="0"/>
                    <w:pageBreakBefore w:val="0"/>
                    <w:widowControl/>
                    <w:suppressLineNumbers w:val="0"/>
                    <w:kinsoku/>
                    <w:wordWrap/>
                    <w:overflowPunct/>
                    <w:topLinePunct w:val="0"/>
                    <w:autoSpaceDE/>
                    <w:autoSpaceDN/>
                    <w:bidi w:val="0"/>
                    <w:adjustRightInd/>
                    <w:snapToGrid/>
                    <w:spacing w:line="240" w:lineRule="auto"/>
                    <w:ind w:left="0"/>
                    <w:jc w:val="center"/>
                    <w:textAlignment w:val="center"/>
                    <w:rPr>
                      <w:rFonts w:hint="default" w:ascii="Times New Roman" w:hAnsi="Times New Roman" w:eastAsia="宋体" w:cs="Times New Roman"/>
                      <w:b/>
                      <w:bCs/>
                      <w:i w:val="0"/>
                      <w:iCs w:val="0"/>
                      <w:snapToGrid w:val="0"/>
                      <w:color w:val="auto"/>
                      <w:kern w:val="0"/>
                      <w:sz w:val="21"/>
                      <w:szCs w:val="21"/>
                      <w:highlight w:val="none"/>
                      <w:u w:val="none" w:color="auto"/>
                      <w:lang w:val="en-US" w:eastAsia="zh-CN" w:bidi="ar"/>
                    </w:rPr>
                  </w:pPr>
                </w:p>
              </w:tc>
              <w:tc>
                <w:tcPr>
                  <w:tcW w:w="202" w:type="pct"/>
                  <w:vMerge w:val="continue"/>
                  <w:tcBorders>
                    <w:tl2br w:val="nil"/>
                    <w:tr2bl w:val="nil"/>
                  </w:tcBorders>
                  <w:shd w:val="clear" w:color="auto" w:fill="auto"/>
                  <w:vAlign w:val="center"/>
                </w:tcPr>
                <w:p w14:paraId="3261A87B">
                  <w:pPr>
                    <w:keepNext w:val="0"/>
                    <w:keepLines w:val="0"/>
                    <w:pageBreakBefore w:val="0"/>
                    <w:widowControl/>
                    <w:suppressLineNumbers w:val="0"/>
                    <w:kinsoku/>
                    <w:wordWrap/>
                    <w:overflowPunct/>
                    <w:topLinePunct w:val="0"/>
                    <w:autoSpaceDE/>
                    <w:autoSpaceDN/>
                    <w:bidi w:val="0"/>
                    <w:adjustRightInd/>
                    <w:snapToGrid/>
                    <w:spacing w:line="240" w:lineRule="auto"/>
                    <w:ind w:left="0"/>
                    <w:jc w:val="center"/>
                    <w:textAlignment w:val="center"/>
                    <w:rPr>
                      <w:rFonts w:hint="default" w:ascii="Times New Roman" w:hAnsi="Times New Roman" w:eastAsia="宋体" w:cs="Times New Roman"/>
                      <w:b/>
                      <w:bCs/>
                      <w:i w:val="0"/>
                      <w:iCs w:val="0"/>
                      <w:snapToGrid w:val="0"/>
                      <w:color w:val="auto"/>
                      <w:kern w:val="0"/>
                      <w:sz w:val="21"/>
                      <w:szCs w:val="21"/>
                      <w:highlight w:val="none"/>
                      <w:u w:val="none" w:color="auto"/>
                      <w:lang w:val="en-US" w:eastAsia="zh-CN" w:bidi="ar"/>
                    </w:rPr>
                  </w:pPr>
                </w:p>
              </w:tc>
              <w:tc>
                <w:tcPr>
                  <w:tcW w:w="1400" w:type="pct"/>
                  <w:tcBorders>
                    <w:tl2br w:val="nil"/>
                    <w:tr2bl w:val="nil"/>
                  </w:tcBorders>
                  <w:shd w:val="clear" w:color="auto" w:fill="auto"/>
                  <w:vAlign w:val="center"/>
                </w:tcPr>
                <w:p w14:paraId="72A9A295">
                  <w:pPr>
                    <w:pStyle w:val="100"/>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kern w:val="2"/>
                      <w:sz w:val="21"/>
                      <w:szCs w:val="21"/>
                      <w:highlight w:val="none"/>
                      <w:u w:val="none" w:color="auto"/>
                      <w:lang w:val="en-US" w:eastAsia="en-US" w:bidi="ar-SA"/>
                    </w:rPr>
                  </w:pPr>
                  <w:r>
                    <w:rPr>
                      <w:rFonts w:hint="default" w:ascii="Times New Roman" w:hAnsi="Times New Roman" w:eastAsia="宋体" w:cs="Times New Roman"/>
                      <w:color w:val="auto"/>
                      <w:spacing w:val="-1"/>
                      <w:sz w:val="21"/>
                      <w:szCs w:val="21"/>
                      <w:highlight w:val="none"/>
                      <w:u w:val="none" w:color="auto"/>
                    </w:rPr>
                    <w:t>碰渣包、去料柄装置</w:t>
                  </w:r>
                </w:p>
              </w:tc>
              <w:tc>
                <w:tcPr>
                  <w:tcW w:w="895" w:type="pct"/>
                  <w:tcBorders>
                    <w:tl2br w:val="nil"/>
                    <w:tr2bl w:val="nil"/>
                  </w:tcBorders>
                  <w:shd w:val="clear" w:color="auto" w:fill="auto"/>
                  <w:vAlign w:val="center"/>
                </w:tcPr>
                <w:p w14:paraId="157DB360">
                  <w:pPr>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b w:val="0"/>
                      <w:bCs w:val="0"/>
                      <w:color w:val="auto"/>
                      <w:kern w:val="2"/>
                      <w:sz w:val="21"/>
                      <w:szCs w:val="21"/>
                      <w:highlight w:val="none"/>
                      <w:u w:val="none" w:color="auto"/>
                      <w:lang w:val="en-US" w:eastAsia="zh-CN" w:bidi="ar-SA"/>
                    </w:rPr>
                  </w:pPr>
                  <w:r>
                    <w:rPr>
                      <w:rFonts w:hint="default" w:ascii="Times New Roman" w:hAnsi="Times New Roman" w:eastAsia="宋体" w:cs="Times New Roman"/>
                      <w:b w:val="0"/>
                      <w:bCs w:val="0"/>
                      <w:color w:val="auto"/>
                      <w:sz w:val="21"/>
                      <w:szCs w:val="21"/>
                      <w:highlight w:val="none"/>
                      <w:u w:val="none" w:color="auto"/>
                      <w:lang w:val="en-US" w:eastAsia="zh-CN"/>
                    </w:rPr>
                    <w:t>台/</w:t>
                  </w:r>
                  <w:r>
                    <w:rPr>
                      <w:rFonts w:hint="default" w:ascii="Times New Roman" w:hAnsi="Times New Roman" w:eastAsia="宋体" w:cs="Times New Roman"/>
                      <w:b w:val="0"/>
                      <w:bCs w:val="0"/>
                      <w:i w:val="0"/>
                      <w:iCs w:val="0"/>
                      <w:snapToGrid w:val="0"/>
                      <w:color w:val="auto"/>
                      <w:kern w:val="0"/>
                      <w:sz w:val="21"/>
                      <w:szCs w:val="21"/>
                      <w:highlight w:val="none"/>
                      <w:u w:val="none" w:color="auto"/>
                      <w:lang w:val="en-US" w:eastAsia="zh-CN" w:bidi="ar"/>
                    </w:rPr>
                    <w:t>套</w:t>
                  </w:r>
                </w:p>
              </w:tc>
              <w:tc>
                <w:tcPr>
                  <w:tcW w:w="617" w:type="pct"/>
                  <w:tcBorders>
                    <w:tl2br w:val="nil"/>
                    <w:tr2bl w:val="nil"/>
                  </w:tcBorders>
                  <w:shd w:val="clear" w:color="auto" w:fill="auto"/>
                  <w:vAlign w:val="center"/>
                </w:tcPr>
                <w:p w14:paraId="2EE24B7C">
                  <w:pPr>
                    <w:pStyle w:val="100"/>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rPr>
                    <w:t>1</w:t>
                  </w:r>
                </w:p>
              </w:tc>
              <w:tc>
                <w:tcPr>
                  <w:tcW w:w="1681" w:type="pct"/>
                  <w:tcBorders>
                    <w:tl2br w:val="nil"/>
                    <w:tr2bl w:val="nil"/>
                  </w:tcBorders>
                  <w:shd w:val="clear" w:color="auto" w:fill="auto"/>
                  <w:vAlign w:val="center"/>
                </w:tcPr>
                <w:p w14:paraId="03D9C33C">
                  <w:pPr>
                    <w:keepNext w:val="0"/>
                    <w:keepLines w:val="0"/>
                    <w:pageBreakBefore w:val="0"/>
                    <w:widowControl/>
                    <w:suppressLineNumbers w:val="0"/>
                    <w:kinsoku/>
                    <w:wordWrap/>
                    <w:overflowPunct/>
                    <w:topLinePunct w:val="0"/>
                    <w:autoSpaceDE/>
                    <w:autoSpaceDN/>
                    <w:bidi w:val="0"/>
                    <w:adjustRightInd/>
                    <w:snapToGrid/>
                    <w:spacing w:line="240" w:lineRule="auto"/>
                    <w:ind w:left="0"/>
                    <w:jc w:val="center"/>
                    <w:textAlignment w:val="center"/>
                    <w:rPr>
                      <w:rFonts w:hint="default" w:ascii="Times New Roman" w:hAnsi="Times New Roman" w:eastAsia="宋体" w:cs="Times New Roman"/>
                      <w:b/>
                      <w:bCs/>
                      <w:i w:val="0"/>
                      <w:iCs w:val="0"/>
                      <w:snapToGrid w:val="0"/>
                      <w:color w:val="auto"/>
                      <w:kern w:val="0"/>
                      <w:sz w:val="21"/>
                      <w:szCs w:val="21"/>
                      <w:highlight w:val="none"/>
                      <w:u w:val="none" w:color="auto"/>
                      <w:lang w:val="en-US" w:eastAsia="zh-CN" w:bidi="ar"/>
                    </w:rPr>
                  </w:pPr>
                </w:p>
              </w:tc>
            </w:tr>
            <w:tr w14:paraId="26AB78C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trPr>
              <w:tc>
                <w:tcPr>
                  <w:tcW w:w="201" w:type="pct"/>
                  <w:vMerge w:val="continue"/>
                  <w:tcBorders>
                    <w:tl2br w:val="nil"/>
                    <w:tr2bl w:val="nil"/>
                  </w:tcBorders>
                  <w:shd w:val="clear" w:color="auto" w:fill="auto"/>
                  <w:vAlign w:val="center"/>
                </w:tcPr>
                <w:p w14:paraId="5189182C">
                  <w:pPr>
                    <w:keepNext w:val="0"/>
                    <w:keepLines w:val="0"/>
                    <w:pageBreakBefore w:val="0"/>
                    <w:widowControl/>
                    <w:suppressLineNumbers w:val="0"/>
                    <w:kinsoku/>
                    <w:wordWrap/>
                    <w:overflowPunct/>
                    <w:topLinePunct w:val="0"/>
                    <w:autoSpaceDE/>
                    <w:autoSpaceDN/>
                    <w:bidi w:val="0"/>
                    <w:adjustRightInd/>
                    <w:snapToGrid/>
                    <w:spacing w:line="240" w:lineRule="auto"/>
                    <w:ind w:left="0"/>
                    <w:jc w:val="center"/>
                    <w:textAlignment w:val="center"/>
                    <w:rPr>
                      <w:rFonts w:hint="default" w:ascii="Times New Roman" w:hAnsi="Times New Roman" w:eastAsia="宋体" w:cs="Times New Roman"/>
                      <w:b/>
                      <w:bCs/>
                      <w:i w:val="0"/>
                      <w:iCs w:val="0"/>
                      <w:snapToGrid w:val="0"/>
                      <w:color w:val="auto"/>
                      <w:kern w:val="0"/>
                      <w:sz w:val="21"/>
                      <w:szCs w:val="21"/>
                      <w:highlight w:val="none"/>
                      <w:u w:val="none" w:color="auto"/>
                      <w:lang w:val="en-US" w:eastAsia="zh-CN" w:bidi="ar"/>
                    </w:rPr>
                  </w:pPr>
                </w:p>
              </w:tc>
              <w:tc>
                <w:tcPr>
                  <w:tcW w:w="202" w:type="pct"/>
                  <w:vMerge w:val="continue"/>
                  <w:tcBorders>
                    <w:tl2br w:val="nil"/>
                    <w:tr2bl w:val="nil"/>
                  </w:tcBorders>
                  <w:shd w:val="clear" w:color="auto" w:fill="auto"/>
                  <w:vAlign w:val="center"/>
                </w:tcPr>
                <w:p w14:paraId="5029901C">
                  <w:pPr>
                    <w:keepNext w:val="0"/>
                    <w:keepLines w:val="0"/>
                    <w:pageBreakBefore w:val="0"/>
                    <w:widowControl/>
                    <w:suppressLineNumbers w:val="0"/>
                    <w:kinsoku/>
                    <w:wordWrap/>
                    <w:overflowPunct/>
                    <w:topLinePunct w:val="0"/>
                    <w:autoSpaceDE/>
                    <w:autoSpaceDN/>
                    <w:bidi w:val="0"/>
                    <w:adjustRightInd/>
                    <w:snapToGrid/>
                    <w:spacing w:line="240" w:lineRule="auto"/>
                    <w:ind w:left="0"/>
                    <w:jc w:val="center"/>
                    <w:textAlignment w:val="center"/>
                    <w:rPr>
                      <w:rFonts w:hint="default" w:ascii="Times New Roman" w:hAnsi="Times New Roman" w:eastAsia="宋体" w:cs="Times New Roman"/>
                      <w:b/>
                      <w:bCs/>
                      <w:i w:val="0"/>
                      <w:iCs w:val="0"/>
                      <w:snapToGrid w:val="0"/>
                      <w:color w:val="auto"/>
                      <w:kern w:val="0"/>
                      <w:sz w:val="21"/>
                      <w:szCs w:val="21"/>
                      <w:highlight w:val="none"/>
                      <w:u w:val="none" w:color="auto"/>
                      <w:lang w:val="en-US" w:eastAsia="zh-CN" w:bidi="ar"/>
                    </w:rPr>
                  </w:pPr>
                </w:p>
              </w:tc>
              <w:tc>
                <w:tcPr>
                  <w:tcW w:w="1400" w:type="pct"/>
                  <w:tcBorders>
                    <w:tl2br w:val="nil"/>
                    <w:tr2bl w:val="nil"/>
                  </w:tcBorders>
                  <w:shd w:val="clear" w:color="auto" w:fill="auto"/>
                  <w:vAlign w:val="center"/>
                </w:tcPr>
                <w:p w14:paraId="42C1775D">
                  <w:pPr>
                    <w:pStyle w:val="100"/>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kern w:val="2"/>
                      <w:sz w:val="21"/>
                      <w:szCs w:val="21"/>
                      <w:highlight w:val="none"/>
                      <w:u w:val="none" w:color="auto"/>
                      <w:lang w:val="en-US" w:eastAsia="en-US" w:bidi="ar-SA"/>
                    </w:rPr>
                  </w:pPr>
                  <w:r>
                    <w:rPr>
                      <w:rFonts w:hint="default" w:ascii="Times New Roman" w:hAnsi="Times New Roman" w:eastAsia="宋体" w:cs="Times New Roman"/>
                      <w:color w:val="auto"/>
                      <w:spacing w:val="-2"/>
                      <w:sz w:val="21"/>
                      <w:szCs w:val="21"/>
                      <w:highlight w:val="none"/>
                      <w:u w:val="none" w:color="auto"/>
                    </w:rPr>
                    <w:t>码垛机器人</w:t>
                  </w:r>
                </w:p>
              </w:tc>
              <w:tc>
                <w:tcPr>
                  <w:tcW w:w="895" w:type="pct"/>
                  <w:tcBorders>
                    <w:tl2br w:val="nil"/>
                    <w:tr2bl w:val="nil"/>
                  </w:tcBorders>
                  <w:shd w:val="clear" w:color="auto" w:fill="auto"/>
                  <w:vAlign w:val="center"/>
                </w:tcPr>
                <w:p w14:paraId="25CFA007">
                  <w:pPr>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b w:val="0"/>
                      <w:bCs w:val="0"/>
                      <w:color w:val="auto"/>
                      <w:kern w:val="2"/>
                      <w:sz w:val="21"/>
                      <w:szCs w:val="21"/>
                      <w:highlight w:val="none"/>
                      <w:u w:val="none" w:color="auto"/>
                      <w:lang w:val="en-US" w:eastAsia="zh-CN" w:bidi="ar-SA"/>
                    </w:rPr>
                  </w:pPr>
                  <w:r>
                    <w:rPr>
                      <w:rFonts w:hint="default" w:ascii="Times New Roman" w:hAnsi="Times New Roman" w:eastAsia="宋体" w:cs="Times New Roman"/>
                      <w:b w:val="0"/>
                      <w:bCs w:val="0"/>
                      <w:color w:val="auto"/>
                      <w:sz w:val="21"/>
                      <w:szCs w:val="21"/>
                      <w:highlight w:val="none"/>
                      <w:u w:val="none" w:color="auto"/>
                      <w:lang w:val="en-US" w:eastAsia="zh-CN"/>
                    </w:rPr>
                    <w:t>台/</w:t>
                  </w:r>
                  <w:r>
                    <w:rPr>
                      <w:rFonts w:hint="default" w:ascii="Times New Roman" w:hAnsi="Times New Roman" w:eastAsia="宋体" w:cs="Times New Roman"/>
                      <w:b w:val="0"/>
                      <w:bCs w:val="0"/>
                      <w:i w:val="0"/>
                      <w:iCs w:val="0"/>
                      <w:snapToGrid w:val="0"/>
                      <w:color w:val="auto"/>
                      <w:kern w:val="0"/>
                      <w:sz w:val="21"/>
                      <w:szCs w:val="21"/>
                      <w:highlight w:val="none"/>
                      <w:u w:val="none" w:color="auto"/>
                      <w:lang w:val="en-US" w:eastAsia="zh-CN" w:bidi="ar"/>
                    </w:rPr>
                    <w:t>套</w:t>
                  </w:r>
                </w:p>
              </w:tc>
              <w:tc>
                <w:tcPr>
                  <w:tcW w:w="617" w:type="pct"/>
                  <w:tcBorders>
                    <w:tl2br w:val="nil"/>
                    <w:tr2bl w:val="nil"/>
                  </w:tcBorders>
                  <w:shd w:val="clear" w:color="auto" w:fill="auto"/>
                  <w:vAlign w:val="center"/>
                </w:tcPr>
                <w:p w14:paraId="2BDD870B">
                  <w:pPr>
                    <w:pStyle w:val="100"/>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rPr>
                    <w:t>1</w:t>
                  </w:r>
                </w:p>
              </w:tc>
              <w:tc>
                <w:tcPr>
                  <w:tcW w:w="1681" w:type="pct"/>
                  <w:tcBorders>
                    <w:tl2br w:val="nil"/>
                    <w:tr2bl w:val="nil"/>
                  </w:tcBorders>
                  <w:shd w:val="clear" w:color="auto" w:fill="auto"/>
                  <w:vAlign w:val="center"/>
                </w:tcPr>
                <w:p w14:paraId="2BE6D484">
                  <w:pPr>
                    <w:keepNext w:val="0"/>
                    <w:keepLines w:val="0"/>
                    <w:pageBreakBefore w:val="0"/>
                    <w:widowControl/>
                    <w:suppressLineNumbers w:val="0"/>
                    <w:kinsoku/>
                    <w:wordWrap/>
                    <w:overflowPunct/>
                    <w:topLinePunct w:val="0"/>
                    <w:autoSpaceDE/>
                    <w:autoSpaceDN/>
                    <w:bidi w:val="0"/>
                    <w:adjustRightInd/>
                    <w:snapToGrid/>
                    <w:spacing w:line="240" w:lineRule="auto"/>
                    <w:ind w:left="0"/>
                    <w:jc w:val="center"/>
                    <w:textAlignment w:val="center"/>
                    <w:rPr>
                      <w:rFonts w:hint="default" w:ascii="Times New Roman" w:hAnsi="Times New Roman" w:eastAsia="宋体" w:cs="Times New Roman"/>
                      <w:b/>
                      <w:bCs/>
                      <w:i w:val="0"/>
                      <w:iCs w:val="0"/>
                      <w:snapToGrid w:val="0"/>
                      <w:color w:val="auto"/>
                      <w:kern w:val="0"/>
                      <w:sz w:val="21"/>
                      <w:szCs w:val="21"/>
                      <w:highlight w:val="none"/>
                      <w:u w:val="none" w:color="auto"/>
                      <w:lang w:val="en-US" w:eastAsia="zh-CN" w:bidi="ar"/>
                    </w:rPr>
                  </w:pPr>
                </w:p>
              </w:tc>
            </w:tr>
            <w:tr w14:paraId="4D06513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trPr>
              <w:tc>
                <w:tcPr>
                  <w:tcW w:w="201" w:type="pct"/>
                  <w:vMerge w:val="continue"/>
                  <w:tcBorders>
                    <w:tl2br w:val="nil"/>
                    <w:tr2bl w:val="nil"/>
                  </w:tcBorders>
                  <w:shd w:val="clear" w:color="auto" w:fill="auto"/>
                  <w:vAlign w:val="center"/>
                </w:tcPr>
                <w:p w14:paraId="66DAA7E4">
                  <w:pPr>
                    <w:keepNext w:val="0"/>
                    <w:keepLines w:val="0"/>
                    <w:pageBreakBefore w:val="0"/>
                    <w:widowControl/>
                    <w:suppressLineNumbers w:val="0"/>
                    <w:kinsoku/>
                    <w:wordWrap/>
                    <w:overflowPunct/>
                    <w:topLinePunct w:val="0"/>
                    <w:autoSpaceDE/>
                    <w:autoSpaceDN/>
                    <w:bidi w:val="0"/>
                    <w:adjustRightInd/>
                    <w:snapToGrid/>
                    <w:spacing w:line="240" w:lineRule="auto"/>
                    <w:ind w:left="0"/>
                    <w:jc w:val="center"/>
                    <w:textAlignment w:val="center"/>
                    <w:rPr>
                      <w:rFonts w:hint="default" w:ascii="Times New Roman" w:hAnsi="Times New Roman" w:eastAsia="宋体" w:cs="Times New Roman"/>
                      <w:b/>
                      <w:bCs/>
                      <w:i w:val="0"/>
                      <w:iCs w:val="0"/>
                      <w:snapToGrid w:val="0"/>
                      <w:color w:val="auto"/>
                      <w:kern w:val="0"/>
                      <w:sz w:val="21"/>
                      <w:szCs w:val="21"/>
                      <w:highlight w:val="none"/>
                      <w:u w:val="none" w:color="auto"/>
                      <w:lang w:val="en-US" w:eastAsia="zh-CN" w:bidi="ar"/>
                    </w:rPr>
                  </w:pPr>
                </w:p>
              </w:tc>
              <w:tc>
                <w:tcPr>
                  <w:tcW w:w="202" w:type="pct"/>
                  <w:vMerge w:val="continue"/>
                  <w:tcBorders>
                    <w:tl2br w:val="nil"/>
                    <w:tr2bl w:val="nil"/>
                  </w:tcBorders>
                  <w:shd w:val="clear" w:color="auto" w:fill="auto"/>
                  <w:vAlign w:val="center"/>
                </w:tcPr>
                <w:p w14:paraId="36C29076">
                  <w:pPr>
                    <w:keepNext w:val="0"/>
                    <w:keepLines w:val="0"/>
                    <w:pageBreakBefore w:val="0"/>
                    <w:widowControl/>
                    <w:suppressLineNumbers w:val="0"/>
                    <w:kinsoku/>
                    <w:wordWrap/>
                    <w:overflowPunct/>
                    <w:topLinePunct w:val="0"/>
                    <w:autoSpaceDE/>
                    <w:autoSpaceDN/>
                    <w:bidi w:val="0"/>
                    <w:adjustRightInd/>
                    <w:snapToGrid/>
                    <w:spacing w:line="240" w:lineRule="auto"/>
                    <w:ind w:left="0"/>
                    <w:jc w:val="center"/>
                    <w:textAlignment w:val="center"/>
                    <w:rPr>
                      <w:rFonts w:hint="default" w:ascii="Times New Roman" w:hAnsi="Times New Roman" w:eastAsia="宋体" w:cs="Times New Roman"/>
                      <w:b/>
                      <w:bCs/>
                      <w:i w:val="0"/>
                      <w:iCs w:val="0"/>
                      <w:snapToGrid w:val="0"/>
                      <w:color w:val="auto"/>
                      <w:kern w:val="0"/>
                      <w:sz w:val="21"/>
                      <w:szCs w:val="21"/>
                      <w:highlight w:val="none"/>
                      <w:u w:val="none" w:color="auto"/>
                      <w:lang w:val="en-US" w:eastAsia="zh-CN" w:bidi="ar"/>
                    </w:rPr>
                  </w:pPr>
                </w:p>
              </w:tc>
              <w:tc>
                <w:tcPr>
                  <w:tcW w:w="1400" w:type="pct"/>
                  <w:tcBorders>
                    <w:tl2br w:val="nil"/>
                    <w:tr2bl w:val="nil"/>
                  </w:tcBorders>
                  <w:shd w:val="clear" w:color="auto" w:fill="auto"/>
                  <w:vAlign w:val="center"/>
                </w:tcPr>
                <w:p w14:paraId="07CADE6D">
                  <w:pPr>
                    <w:pStyle w:val="100"/>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kern w:val="2"/>
                      <w:sz w:val="21"/>
                      <w:szCs w:val="21"/>
                      <w:highlight w:val="none"/>
                      <w:u w:val="none" w:color="auto"/>
                      <w:lang w:val="en-US" w:eastAsia="en-US" w:bidi="ar-SA"/>
                    </w:rPr>
                  </w:pPr>
                  <w:r>
                    <w:rPr>
                      <w:rFonts w:hint="default" w:ascii="Times New Roman" w:hAnsi="Times New Roman" w:eastAsia="宋体" w:cs="Times New Roman"/>
                      <w:color w:val="auto"/>
                      <w:spacing w:val="-3"/>
                      <w:sz w:val="21"/>
                      <w:szCs w:val="21"/>
                      <w:highlight w:val="none"/>
                      <w:u w:val="none" w:color="auto"/>
                    </w:rPr>
                    <w:t>冷却水槽</w:t>
                  </w:r>
                </w:p>
              </w:tc>
              <w:tc>
                <w:tcPr>
                  <w:tcW w:w="895" w:type="pct"/>
                  <w:tcBorders>
                    <w:tl2br w:val="nil"/>
                    <w:tr2bl w:val="nil"/>
                  </w:tcBorders>
                  <w:shd w:val="clear" w:color="auto" w:fill="auto"/>
                  <w:vAlign w:val="center"/>
                </w:tcPr>
                <w:p w14:paraId="17C47D61">
                  <w:pPr>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b w:val="0"/>
                      <w:bCs w:val="0"/>
                      <w:color w:val="auto"/>
                      <w:kern w:val="2"/>
                      <w:sz w:val="21"/>
                      <w:szCs w:val="21"/>
                      <w:highlight w:val="none"/>
                      <w:u w:val="none" w:color="auto"/>
                      <w:lang w:val="en-US" w:eastAsia="zh-CN" w:bidi="ar-SA"/>
                    </w:rPr>
                  </w:pPr>
                  <w:r>
                    <w:rPr>
                      <w:rFonts w:hint="default" w:ascii="Times New Roman" w:hAnsi="Times New Roman" w:eastAsia="宋体" w:cs="Times New Roman"/>
                      <w:b w:val="0"/>
                      <w:bCs w:val="0"/>
                      <w:color w:val="auto"/>
                      <w:sz w:val="21"/>
                      <w:szCs w:val="21"/>
                      <w:highlight w:val="none"/>
                      <w:u w:val="none" w:color="auto"/>
                      <w:lang w:val="en-US" w:eastAsia="zh-CN"/>
                    </w:rPr>
                    <w:t>台/</w:t>
                  </w:r>
                  <w:r>
                    <w:rPr>
                      <w:rFonts w:hint="default" w:ascii="Times New Roman" w:hAnsi="Times New Roman" w:eastAsia="宋体" w:cs="Times New Roman"/>
                      <w:b w:val="0"/>
                      <w:bCs w:val="0"/>
                      <w:i w:val="0"/>
                      <w:iCs w:val="0"/>
                      <w:snapToGrid w:val="0"/>
                      <w:color w:val="auto"/>
                      <w:kern w:val="0"/>
                      <w:sz w:val="21"/>
                      <w:szCs w:val="21"/>
                      <w:highlight w:val="none"/>
                      <w:u w:val="none" w:color="auto"/>
                      <w:lang w:val="en-US" w:eastAsia="zh-CN" w:bidi="ar"/>
                    </w:rPr>
                    <w:t>套</w:t>
                  </w:r>
                </w:p>
              </w:tc>
              <w:tc>
                <w:tcPr>
                  <w:tcW w:w="617" w:type="pct"/>
                  <w:tcBorders>
                    <w:tl2br w:val="nil"/>
                    <w:tr2bl w:val="nil"/>
                  </w:tcBorders>
                  <w:shd w:val="clear" w:color="auto" w:fill="auto"/>
                  <w:vAlign w:val="center"/>
                </w:tcPr>
                <w:p w14:paraId="32D7AFCB">
                  <w:pPr>
                    <w:pStyle w:val="100"/>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rPr>
                    <w:t>1</w:t>
                  </w:r>
                </w:p>
              </w:tc>
              <w:tc>
                <w:tcPr>
                  <w:tcW w:w="1681" w:type="pct"/>
                  <w:tcBorders>
                    <w:tl2br w:val="nil"/>
                    <w:tr2bl w:val="nil"/>
                  </w:tcBorders>
                  <w:shd w:val="clear" w:color="auto" w:fill="auto"/>
                  <w:vAlign w:val="center"/>
                </w:tcPr>
                <w:p w14:paraId="6C84AE7D">
                  <w:pPr>
                    <w:keepNext w:val="0"/>
                    <w:keepLines w:val="0"/>
                    <w:pageBreakBefore w:val="0"/>
                    <w:widowControl/>
                    <w:suppressLineNumbers w:val="0"/>
                    <w:kinsoku/>
                    <w:wordWrap/>
                    <w:overflowPunct/>
                    <w:topLinePunct w:val="0"/>
                    <w:autoSpaceDE/>
                    <w:autoSpaceDN/>
                    <w:bidi w:val="0"/>
                    <w:adjustRightInd/>
                    <w:snapToGrid/>
                    <w:spacing w:line="240" w:lineRule="auto"/>
                    <w:ind w:left="0"/>
                    <w:jc w:val="center"/>
                    <w:textAlignment w:val="center"/>
                    <w:rPr>
                      <w:rFonts w:hint="default" w:ascii="Times New Roman" w:hAnsi="Times New Roman" w:eastAsia="宋体" w:cs="Times New Roman"/>
                      <w:b w:val="0"/>
                      <w:bCs w:val="0"/>
                      <w:i w:val="0"/>
                      <w:iCs w:val="0"/>
                      <w:snapToGrid w:val="0"/>
                      <w:color w:val="auto"/>
                      <w:kern w:val="0"/>
                      <w:sz w:val="21"/>
                      <w:szCs w:val="21"/>
                      <w:highlight w:val="none"/>
                      <w:u w:val="none" w:color="auto"/>
                      <w:lang w:val="en-US" w:eastAsia="zh-CN" w:bidi="ar"/>
                    </w:rPr>
                  </w:pPr>
                  <w:r>
                    <w:rPr>
                      <w:rFonts w:hint="default" w:ascii="Times New Roman" w:hAnsi="Times New Roman" w:eastAsia="宋体" w:cs="Times New Roman"/>
                      <w:b w:val="0"/>
                      <w:bCs w:val="0"/>
                      <w:i w:val="0"/>
                      <w:iCs w:val="0"/>
                      <w:snapToGrid w:val="0"/>
                      <w:color w:val="auto"/>
                      <w:kern w:val="0"/>
                      <w:sz w:val="21"/>
                      <w:szCs w:val="21"/>
                      <w:highlight w:val="none"/>
                      <w:u w:val="none" w:color="auto"/>
                      <w:lang w:val="en-US" w:eastAsia="zh-CN" w:bidi="ar"/>
                    </w:rPr>
                    <w:t>压铸件快速冷却；3m</w:t>
                  </w:r>
                  <w:r>
                    <w:rPr>
                      <w:rFonts w:hint="default" w:ascii="Times New Roman" w:hAnsi="Times New Roman" w:eastAsia="宋体" w:cs="Times New Roman"/>
                      <w:b w:val="0"/>
                      <w:bCs w:val="0"/>
                      <w:i w:val="0"/>
                      <w:iCs w:val="0"/>
                      <w:snapToGrid w:val="0"/>
                      <w:color w:val="auto"/>
                      <w:kern w:val="0"/>
                      <w:sz w:val="21"/>
                      <w:szCs w:val="21"/>
                      <w:highlight w:val="none"/>
                      <w:u w:val="none" w:color="auto"/>
                      <w:vertAlign w:val="superscript"/>
                      <w:lang w:val="en-US" w:eastAsia="zh-CN" w:bidi="ar"/>
                    </w:rPr>
                    <w:t>3</w:t>
                  </w:r>
                </w:p>
              </w:tc>
            </w:tr>
            <w:tr w14:paraId="1EB1BB3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trPr>
              <w:tc>
                <w:tcPr>
                  <w:tcW w:w="201" w:type="pct"/>
                  <w:vMerge w:val="continue"/>
                  <w:tcBorders>
                    <w:tl2br w:val="nil"/>
                    <w:tr2bl w:val="nil"/>
                  </w:tcBorders>
                  <w:shd w:val="clear" w:color="auto" w:fill="auto"/>
                  <w:vAlign w:val="center"/>
                </w:tcPr>
                <w:p w14:paraId="6E018187">
                  <w:pPr>
                    <w:keepNext w:val="0"/>
                    <w:keepLines w:val="0"/>
                    <w:pageBreakBefore w:val="0"/>
                    <w:widowControl/>
                    <w:suppressLineNumbers w:val="0"/>
                    <w:kinsoku/>
                    <w:wordWrap/>
                    <w:overflowPunct/>
                    <w:topLinePunct w:val="0"/>
                    <w:autoSpaceDE/>
                    <w:autoSpaceDN/>
                    <w:bidi w:val="0"/>
                    <w:adjustRightInd/>
                    <w:snapToGrid/>
                    <w:spacing w:line="240" w:lineRule="auto"/>
                    <w:ind w:left="0"/>
                    <w:jc w:val="center"/>
                    <w:textAlignment w:val="center"/>
                    <w:rPr>
                      <w:rFonts w:hint="default" w:ascii="Times New Roman" w:hAnsi="Times New Roman" w:eastAsia="宋体" w:cs="Times New Roman"/>
                      <w:b/>
                      <w:bCs/>
                      <w:i w:val="0"/>
                      <w:iCs w:val="0"/>
                      <w:snapToGrid w:val="0"/>
                      <w:color w:val="auto"/>
                      <w:kern w:val="0"/>
                      <w:sz w:val="21"/>
                      <w:szCs w:val="21"/>
                      <w:highlight w:val="none"/>
                      <w:u w:val="none" w:color="auto"/>
                      <w:lang w:val="en-US" w:eastAsia="zh-CN" w:bidi="ar"/>
                    </w:rPr>
                  </w:pPr>
                </w:p>
              </w:tc>
              <w:tc>
                <w:tcPr>
                  <w:tcW w:w="202" w:type="pct"/>
                  <w:vMerge w:val="continue"/>
                  <w:tcBorders>
                    <w:tl2br w:val="nil"/>
                    <w:tr2bl w:val="nil"/>
                  </w:tcBorders>
                  <w:shd w:val="clear" w:color="auto" w:fill="auto"/>
                  <w:vAlign w:val="center"/>
                </w:tcPr>
                <w:p w14:paraId="2628AA4B">
                  <w:pPr>
                    <w:keepNext w:val="0"/>
                    <w:keepLines w:val="0"/>
                    <w:pageBreakBefore w:val="0"/>
                    <w:widowControl/>
                    <w:suppressLineNumbers w:val="0"/>
                    <w:kinsoku/>
                    <w:wordWrap/>
                    <w:overflowPunct/>
                    <w:topLinePunct w:val="0"/>
                    <w:autoSpaceDE/>
                    <w:autoSpaceDN/>
                    <w:bidi w:val="0"/>
                    <w:adjustRightInd/>
                    <w:snapToGrid/>
                    <w:spacing w:line="240" w:lineRule="auto"/>
                    <w:ind w:left="0"/>
                    <w:jc w:val="center"/>
                    <w:textAlignment w:val="center"/>
                    <w:rPr>
                      <w:rFonts w:hint="default" w:ascii="Times New Roman" w:hAnsi="Times New Roman" w:eastAsia="宋体" w:cs="Times New Roman"/>
                      <w:b/>
                      <w:bCs/>
                      <w:i w:val="0"/>
                      <w:iCs w:val="0"/>
                      <w:snapToGrid w:val="0"/>
                      <w:color w:val="auto"/>
                      <w:kern w:val="0"/>
                      <w:sz w:val="21"/>
                      <w:szCs w:val="21"/>
                      <w:highlight w:val="none"/>
                      <w:u w:val="none" w:color="auto"/>
                      <w:lang w:val="en-US" w:eastAsia="zh-CN" w:bidi="ar"/>
                    </w:rPr>
                  </w:pPr>
                </w:p>
              </w:tc>
              <w:tc>
                <w:tcPr>
                  <w:tcW w:w="1400" w:type="pct"/>
                  <w:tcBorders>
                    <w:tl2br w:val="nil"/>
                    <w:tr2bl w:val="nil"/>
                  </w:tcBorders>
                  <w:shd w:val="clear" w:color="auto" w:fill="auto"/>
                  <w:vAlign w:val="center"/>
                </w:tcPr>
                <w:p w14:paraId="221913B7">
                  <w:pPr>
                    <w:pStyle w:val="100"/>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kern w:val="2"/>
                      <w:sz w:val="21"/>
                      <w:szCs w:val="21"/>
                      <w:highlight w:val="none"/>
                      <w:u w:val="none" w:color="auto"/>
                      <w:lang w:val="en-US" w:eastAsia="en-US" w:bidi="ar-SA"/>
                    </w:rPr>
                  </w:pPr>
                  <w:r>
                    <w:rPr>
                      <w:rFonts w:hint="default" w:ascii="Times New Roman" w:hAnsi="Times New Roman" w:eastAsia="宋体" w:cs="Times New Roman"/>
                      <w:color w:val="auto"/>
                      <w:spacing w:val="-3"/>
                      <w:sz w:val="21"/>
                      <w:szCs w:val="21"/>
                      <w:highlight w:val="none"/>
                      <w:u w:val="none" w:color="auto"/>
                    </w:rPr>
                    <w:t>废料小车</w:t>
                  </w:r>
                </w:p>
              </w:tc>
              <w:tc>
                <w:tcPr>
                  <w:tcW w:w="895" w:type="pct"/>
                  <w:tcBorders>
                    <w:tl2br w:val="nil"/>
                    <w:tr2bl w:val="nil"/>
                  </w:tcBorders>
                  <w:shd w:val="clear" w:color="auto" w:fill="auto"/>
                  <w:vAlign w:val="center"/>
                </w:tcPr>
                <w:p w14:paraId="68C278E5">
                  <w:pPr>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b w:val="0"/>
                      <w:bCs w:val="0"/>
                      <w:color w:val="auto"/>
                      <w:kern w:val="2"/>
                      <w:sz w:val="21"/>
                      <w:szCs w:val="21"/>
                      <w:highlight w:val="none"/>
                      <w:u w:val="none" w:color="auto"/>
                      <w:lang w:val="en-US" w:eastAsia="zh-CN" w:bidi="ar-SA"/>
                    </w:rPr>
                  </w:pPr>
                  <w:r>
                    <w:rPr>
                      <w:rFonts w:hint="default" w:ascii="Times New Roman" w:hAnsi="Times New Roman" w:eastAsia="宋体" w:cs="Times New Roman"/>
                      <w:b w:val="0"/>
                      <w:bCs w:val="0"/>
                      <w:color w:val="auto"/>
                      <w:sz w:val="21"/>
                      <w:szCs w:val="21"/>
                      <w:highlight w:val="none"/>
                      <w:u w:val="none" w:color="auto"/>
                      <w:lang w:val="en-US" w:eastAsia="zh-CN"/>
                    </w:rPr>
                    <w:t>台/</w:t>
                  </w:r>
                  <w:r>
                    <w:rPr>
                      <w:rFonts w:hint="default" w:ascii="Times New Roman" w:hAnsi="Times New Roman" w:eastAsia="宋体" w:cs="Times New Roman"/>
                      <w:b w:val="0"/>
                      <w:bCs w:val="0"/>
                      <w:i w:val="0"/>
                      <w:iCs w:val="0"/>
                      <w:snapToGrid w:val="0"/>
                      <w:color w:val="auto"/>
                      <w:kern w:val="0"/>
                      <w:sz w:val="21"/>
                      <w:szCs w:val="21"/>
                      <w:highlight w:val="none"/>
                      <w:u w:val="none" w:color="auto"/>
                      <w:lang w:val="en-US" w:eastAsia="zh-CN" w:bidi="ar"/>
                    </w:rPr>
                    <w:t>套</w:t>
                  </w:r>
                </w:p>
              </w:tc>
              <w:tc>
                <w:tcPr>
                  <w:tcW w:w="617" w:type="pct"/>
                  <w:tcBorders>
                    <w:tl2br w:val="nil"/>
                    <w:tr2bl w:val="nil"/>
                  </w:tcBorders>
                  <w:shd w:val="clear" w:color="auto" w:fill="auto"/>
                  <w:vAlign w:val="center"/>
                </w:tcPr>
                <w:p w14:paraId="37837A14">
                  <w:pPr>
                    <w:pStyle w:val="100"/>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rPr>
                    <w:t>6</w:t>
                  </w:r>
                </w:p>
              </w:tc>
              <w:tc>
                <w:tcPr>
                  <w:tcW w:w="1681" w:type="pct"/>
                  <w:tcBorders>
                    <w:tl2br w:val="nil"/>
                    <w:tr2bl w:val="nil"/>
                  </w:tcBorders>
                  <w:shd w:val="clear" w:color="auto" w:fill="auto"/>
                  <w:vAlign w:val="center"/>
                </w:tcPr>
                <w:p w14:paraId="780CA991">
                  <w:pPr>
                    <w:keepNext w:val="0"/>
                    <w:keepLines w:val="0"/>
                    <w:pageBreakBefore w:val="0"/>
                    <w:widowControl/>
                    <w:suppressLineNumbers w:val="0"/>
                    <w:kinsoku/>
                    <w:wordWrap/>
                    <w:overflowPunct/>
                    <w:topLinePunct w:val="0"/>
                    <w:autoSpaceDE/>
                    <w:autoSpaceDN/>
                    <w:bidi w:val="0"/>
                    <w:adjustRightInd/>
                    <w:snapToGrid/>
                    <w:spacing w:line="240" w:lineRule="auto"/>
                    <w:ind w:left="0"/>
                    <w:jc w:val="center"/>
                    <w:textAlignment w:val="center"/>
                    <w:rPr>
                      <w:rFonts w:hint="default" w:ascii="Times New Roman" w:hAnsi="Times New Roman" w:eastAsia="宋体" w:cs="Times New Roman"/>
                      <w:b w:val="0"/>
                      <w:bCs w:val="0"/>
                      <w:i w:val="0"/>
                      <w:iCs w:val="0"/>
                      <w:snapToGrid w:val="0"/>
                      <w:color w:val="auto"/>
                      <w:kern w:val="0"/>
                      <w:sz w:val="21"/>
                      <w:szCs w:val="21"/>
                      <w:highlight w:val="none"/>
                      <w:u w:val="none" w:color="auto"/>
                      <w:lang w:val="en-US" w:eastAsia="zh-CN" w:bidi="ar"/>
                    </w:rPr>
                  </w:pPr>
                  <w:r>
                    <w:rPr>
                      <w:rFonts w:hint="default" w:ascii="Times New Roman" w:hAnsi="Times New Roman" w:eastAsia="宋体" w:cs="Times New Roman"/>
                      <w:b w:val="0"/>
                      <w:bCs w:val="0"/>
                      <w:i w:val="0"/>
                      <w:iCs w:val="0"/>
                      <w:snapToGrid w:val="0"/>
                      <w:color w:val="auto"/>
                      <w:kern w:val="0"/>
                      <w:sz w:val="21"/>
                      <w:szCs w:val="21"/>
                      <w:highlight w:val="none"/>
                      <w:u w:val="none" w:color="auto"/>
                      <w:lang w:val="en-US" w:eastAsia="zh-CN" w:bidi="ar"/>
                    </w:rPr>
                    <w:t>收集压铸边角料</w:t>
                  </w:r>
                </w:p>
              </w:tc>
            </w:tr>
            <w:tr w14:paraId="6260299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201" w:type="pct"/>
                  <w:vMerge w:val="continue"/>
                  <w:tcBorders>
                    <w:tl2br w:val="nil"/>
                    <w:tr2bl w:val="nil"/>
                  </w:tcBorders>
                  <w:shd w:val="clear" w:color="auto" w:fill="auto"/>
                  <w:vAlign w:val="center"/>
                </w:tcPr>
                <w:p w14:paraId="1C3FFF2A">
                  <w:pPr>
                    <w:keepNext w:val="0"/>
                    <w:keepLines w:val="0"/>
                    <w:pageBreakBefore w:val="0"/>
                    <w:widowControl/>
                    <w:suppressLineNumbers w:val="0"/>
                    <w:kinsoku/>
                    <w:wordWrap/>
                    <w:overflowPunct/>
                    <w:topLinePunct w:val="0"/>
                    <w:autoSpaceDE/>
                    <w:autoSpaceDN/>
                    <w:bidi w:val="0"/>
                    <w:adjustRightInd/>
                    <w:snapToGrid/>
                    <w:spacing w:line="240" w:lineRule="auto"/>
                    <w:ind w:left="0"/>
                    <w:jc w:val="center"/>
                    <w:textAlignment w:val="center"/>
                    <w:rPr>
                      <w:rFonts w:hint="default" w:ascii="Times New Roman" w:hAnsi="Times New Roman" w:eastAsia="宋体" w:cs="Times New Roman"/>
                      <w:b/>
                      <w:bCs/>
                      <w:i w:val="0"/>
                      <w:iCs w:val="0"/>
                      <w:snapToGrid w:val="0"/>
                      <w:color w:val="auto"/>
                      <w:kern w:val="0"/>
                      <w:sz w:val="21"/>
                      <w:szCs w:val="21"/>
                      <w:highlight w:val="none"/>
                      <w:u w:val="none" w:color="auto"/>
                      <w:lang w:val="en-US" w:eastAsia="zh-CN" w:bidi="ar"/>
                    </w:rPr>
                  </w:pPr>
                </w:p>
              </w:tc>
              <w:tc>
                <w:tcPr>
                  <w:tcW w:w="202" w:type="pct"/>
                  <w:vMerge w:val="continue"/>
                  <w:tcBorders>
                    <w:tl2br w:val="nil"/>
                    <w:tr2bl w:val="nil"/>
                  </w:tcBorders>
                  <w:shd w:val="clear" w:color="auto" w:fill="auto"/>
                  <w:vAlign w:val="center"/>
                </w:tcPr>
                <w:p w14:paraId="7E5822A2">
                  <w:pPr>
                    <w:keepNext w:val="0"/>
                    <w:keepLines w:val="0"/>
                    <w:pageBreakBefore w:val="0"/>
                    <w:widowControl/>
                    <w:suppressLineNumbers w:val="0"/>
                    <w:kinsoku/>
                    <w:wordWrap/>
                    <w:overflowPunct/>
                    <w:topLinePunct w:val="0"/>
                    <w:autoSpaceDE/>
                    <w:autoSpaceDN/>
                    <w:bidi w:val="0"/>
                    <w:adjustRightInd/>
                    <w:snapToGrid/>
                    <w:spacing w:line="240" w:lineRule="auto"/>
                    <w:ind w:left="0"/>
                    <w:jc w:val="center"/>
                    <w:textAlignment w:val="center"/>
                    <w:rPr>
                      <w:rFonts w:hint="default" w:ascii="Times New Roman" w:hAnsi="Times New Roman" w:eastAsia="宋体" w:cs="Times New Roman"/>
                      <w:b/>
                      <w:bCs/>
                      <w:i w:val="0"/>
                      <w:iCs w:val="0"/>
                      <w:snapToGrid w:val="0"/>
                      <w:color w:val="auto"/>
                      <w:kern w:val="0"/>
                      <w:sz w:val="21"/>
                      <w:szCs w:val="21"/>
                      <w:highlight w:val="none"/>
                      <w:u w:val="none" w:color="auto"/>
                      <w:lang w:val="en-US" w:eastAsia="zh-CN" w:bidi="ar"/>
                    </w:rPr>
                  </w:pPr>
                </w:p>
              </w:tc>
              <w:tc>
                <w:tcPr>
                  <w:tcW w:w="1400" w:type="pct"/>
                  <w:tcBorders>
                    <w:tl2br w:val="nil"/>
                    <w:tr2bl w:val="nil"/>
                  </w:tcBorders>
                  <w:shd w:val="clear" w:color="auto" w:fill="auto"/>
                  <w:vAlign w:val="center"/>
                </w:tcPr>
                <w:p w14:paraId="323CD663">
                  <w:pPr>
                    <w:pStyle w:val="100"/>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kern w:val="2"/>
                      <w:sz w:val="21"/>
                      <w:szCs w:val="21"/>
                      <w:highlight w:val="none"/>
                      <w:u w:val="none" w:color="auto"/>
                      <w:lang w:val="en-US" w:eastAsia="en-US" w:bidi="ar-SA"/>
                    </w:rPr>
                  </w:pPr>
                  <w:r>
                    <w:rPr>
                      <w:rFonts w:hint="default" w:ascii="Times New Roman" w:hAnsi="Times New Roman" w:eastAsia="宋体" w:cs="Times New Roman"/>
                      <w:color w:val="auto"/>
                      <w:spacing w:val="-4"/>
                      <w:sz w:val="21"/>
                      <w:szCs w:val="21"/>
                      <w:highlight w:val="none"/>
                      <w:u w:val="none" w:color="auto"/>
                    </w:rPr>
                    <w:t>除尘净化系统</w:t>
                  </w:r>
                </w:p>
              </w:tc>
              <w:tc>
                <w:tcPr>
                  <w:tcW w:w="895" w:type="pct"/>
                  <w:tcBorders>
                    <w:tl2br w:val="nil"/>
                    <w:tr2bl w:val="nil"/>
                  </w:tcBorders>
                  <w:shd w:val="clear" w:color="auto" w:fill="auto"/>
                  <w:vAlign w:val="center"/>
                </w:tcPr>
                <w:p w14:paraId="215A272D">
                  <w:pPr>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b w:val="0"/>
                      <w:bCs w:val="0"/>
                      <w:color w:val="auto"/>
                      <w:kern w:val="2"/>
                      <w:sz w:val="21"/>
                      <w:szCs w:val="21"/>
                      <w:highlight w:val="none"/>
                      <w:u w:val="none" w:color="auto"/>
                      <w:lang w:val="en-US" w:eastAsia="zh-CN" w:bidi="ar-SA"/>
                    </w:rPr>
                  </w:pPr>
                  <w:r>
                    <w:rPr>
                      <w:rFonts w:hint="default" w:ascii="Times New Roman" w:hAnsi="Times New Roman" w:eastAsia="宋体" w:cs="Times New Roman"/>
                      <w:b w:val="0"/>
                      <w:bCs w:val="0"/>
                      <w:color w:val="auto"/>
                      <w:sz w:val="21"/>
                      <w:szCs w:val="21"/>
                      <w:highlight w:val="none"/>
                      <w:u w:val="none" w:color="auto"/>
                      <w:lang w:val="en-US" w:eastAsia="zh-CN"/>
                    </w:rPr>
                    <w:t>台/</w:t>
                  </w:r>
                  <w:r>
                    <w:rPr>
                      <w:rFonts w:hint="default" w:ascii="Times New Roman" w:hAnsi="Times New Roman" w:eastAsia="宋体" w:cs="Times New Roman"/>
                      <w:b w:val="0"/>
                      <w:bCs w:val="0"/>
                      <w:i w:val="0"/>
                      <w:iCs w:val="0"/>
                      <w:snapToGrid w:val="0"/>
                      <w:color w:val="auto"/>
                      <w:kern w:val="0"/>
                      <w:sz w:val="21"/>
                      <w:szCs w:val="21"/>
                      <w:highlight w:val="none"/>
                      <w:u w:val="none" w:color="auto"/>
                      <w:lang w:val="en-US" w:eastAsia="zh-CN" w:bidi="ar"/>
                    </w:rPr>
                    <w:t>套</w:t>
                  </w:r>
                </w:p>
              </w:tc>
              <w:tc>
                <w:tcPr>
                  <w:tcW w:w="617" w:type="pct"/>
                  <w:tcBorders>
                    <w:tl2br w:val="nil"/>
                    <w:tr2bl w:val="nil"/>
                  </w:tcBorders>
                  <w:shd w:val="clear" w:color="auto" w:fill="auto"/>
                  <w:vAlign w:val="center"/>
                </w:tcPr>
                <w:p w14:paraId="4A6320B2">
                  <w:pPr>
                    <w:pStyle w:val="100"/>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rPr>
                    <w:t>1</w:t>
                  </w:r>
                </w:p>
              </w:tc>
              <w:tc>
                <w:tcPr>
                  <w:tcW w:w="1681" w:type="pct"/>
                  <w:tcBorders>
                    <w:tl2br w:val="nil"/>
                    <w:tr2bl w:val="nil"/>
                  </w:tcBorders>
                  <w:shd w:val="clear" w:color="auto" w:fill="auto"/>
                  <w:vAlign w:val="center"/>
                </w:tcPr>
                <w:p w14:paraId="62C31FF8">
                  <w:pPr>
                    <w:keepNext w:val="0"/>
                    <w:keepLines w:val="0"/>
                    <w:pageBreakBefore w:val="0"/>
                    <w:widowControl/>
                    <w:suppressLineNumbers w:val="0"/>
                    <w:kinsoku/>
                    <w:wordWrap/>
                    <w:overflowPunct/>
                    <w:topLinePunct w:val="0"/>
                    <w:autoSpaceDE/>
                    <w:autoSpaceDN/>
                    <w:bidi w:val="0"/>
                    <w:adjustRightInd/>
                    <w:snapToGrid/>
                    <w:spacing w:line="240" w:lineRule="auto"/>
                    <w:ind w:left="0"/>
                    <w:jc w:val="center"/>
                    <w:textAlignment w:val="center"/>
                    <w:rPr>
                      <w:rFonts w:hint="default" w:ascii="Times New Roman" w:hAnsi="Times New Roman" w:eastAsia="宋体" w:cs="Times New Roman"/>
                      <w:b w:val="0"/>
                      <w:bCs w:val="0"/>
                      <w:i w:val="0"/>
                      <w:iCs w:val="0"/>
                      <w:snapToGrid w:val="0"/>
                      <w:color w:val="auto"/>
                      <w:kern w:val="0"/>
                      <w:sz w:val="21"/>
                      <w:szCs w:val="21"/>
                      <w:highlight w:val="none"/>
                      <w:u w:val="none" w:color="auto"/>
                      <w:lang w:val="en-US" w:eastAsia="zh-CN" w:bidi="ar"/>
                    </w:rPr>
                  </w:pPr>
                </w:p>
              </w:tc>
            </w:tr>
            <w:tr w14:paraId="67B7130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trPr>
              <w:tc>
                <w:tcPr>
                  <w:tcW w:w="201" w:type="pct"/>
                  <w:vMerge w:val="continue"/>
                  <w:tcBorders>
                    <w:tl2br w:val="nil"/>
                    <w:tr2bl w:val="nil"/>
                  </w:tcBorders>
                  <w:shd w:val="clear" w:color="auto" w:fill="auto"/>
                  <w:vAlign w:val="center"/>
                </w:tcPr>
                <w:p w14:paraId="2B5EBDBB">
                  <w:pPr>
                    <w:keepNext w:val="0"/>
                    <w:keepLines w:val="0"/>
                    <w:pageBreakBefore w:val="0"/>
                    <w:widowControl/>
                    <w:suppressLineNumbers w:val="0"/>
                    <w:kinsoku/>
                    <w:wordWrap/>
                    <w:overflowPunct/>
                    <w:topLinePunct w:val="0"/>
                    <w:autoSpaceDE/>
                    <w:autoSpaceDN/>
                    <w:bidi w:val="0"/>
                    <w:adjustRightInd/>
                    <w:snapToGrid/>
                    <w:spacing w:line="240" w:lineRule="auto"/>
                    <w:ind w:left="0"/>
                    <w:jc w:val="center"/>
                    <w:textAlignment w:val="center"/>
                    <w:rPr>
                      <w:rFonts w:hint="default" w:ascii="Times New Roman" w:hAnsi="Times New Roman" w:eastAsia="宋体" w:cs="Times New Roman"/>
                      <w:b/>
                      <w:bCs/>
                      <w:i w:val="0"/>
                      <w:iCs w:val="0"/>
                      <w:snapToGrid w:val="0"/>
                      <w:color w:val="auto"/>
                      <w:kern w:val="0"/>
                      <w:sz w:val="21"/>
                      <w:szCs w:val="21"/>
                      <w:highlight w:val="none"/>
                      <w:u w:val="none" w:color="auto"/>
                      <w:lang w:val="en-US" w:eastAsia="zh-CN" w:bidi="ar"/>
                    </w:rPr>
                  </w:pPr>
                </w:p>
              </w:tc>
              <w:tc>
                <w:tcPr>
                  <w:tcW w:w="202" w:type="pct"/>
                  <w:vMerge w:val="continue"/>
                  <w:tcBorders>
                    <w:tl2br w:val="nil"/>
                    <w:tr2bl w:val="nil"/>
                  </w:tcBorders>
                  <w:shd w:val="clear" w:color="auto" w:fill="auto"/>
                  <w:vAlign w:val="center"/>
                </w:tcPr>
                <w:p w14:paraId="51B4162E">
                  <w:pPr>
                    <w:keepNext w:val="0"/>
                    <w:keepLines w:val="0"/>
                    <w:pageBreakBefore w:val="0"/>
                    <w:widowControl/>
                    <w:suppressLineNumbers w:val="0"/>
                    <w:kinsoku/>
                    <w:wordWrap/>
                    <w:overflowPunct/>
                    <w:topLinePunct w:val="0"/>
                    <w:autoSpaceDE/>
                    <w:autoSpaceDN/>
                    <w:bidi w:val="0"/>
                    <w:adjustRightInd/>
                    <w:snapToGrid/>
                    <w:spacing w:line="240" w:lineRule="auto"/>
                    <w:ind w:left="0"/>
                    <w:jc w:val="center"/>
                    <w:textAlignment w:val="center"/>
                    <w:rPr>
                      <w:rFonts w:hint="default" w:ascii="Times New Roman" w:hAnsi="Times New Roman" w:eastAsia="宋体" w:cs="Times New Roman"/>
                      <w:b/>
                      <w:bCs/>
                      <w:i w:val="0"/>
                      <w:iCs w:val="0"/>
                      <w:snapToGrid w:val="0"/>
                      <w:color w:val="auto"/>
                      <w:kern w:val="0"/>
                      <w:sz w:val="21"/>
                      <w:szCs w:val="21"/>
                      <w:highlight w:val="none"/>
                      <w:u w:val="none" w:color="auto"/>
                      <w:lang w:val="en-US" w:eastAsia="zh-CN" w:bidi="ar"/>
                    </w:rPr>
                  </w:pPr>
                </w:p>
              </w:tc>
              <w:tc>
                <w:tcPr>
                  <w:tcW w:w="1400" w:type="pct"/>
                  <w:tcBorders>
                    <w:tl2br w:val="nil"/>
                    <w:tr2bl w:val="nil"/>
                  </w:tcBorders>
                  <w:shd w:val="clear" w:color="auto" w:fill="auto"/>
                  <w:vAlign w:val="center"/>
                </w:tcPr>
                <w:p w14:paraId="4D178AD8">
                  <w:pPr>
                    <w:pStyle w:val="100"/>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kern w:val="2"/>
                      <w:sz w:val="21"/>
                      <w:szCs w:val="21"/>
                      <w:highlight w:val="none"/>
                      <w:u w:val="none" w:color="auto"/>
                      <w:lang w:val="en-US" w:eastAsia="en-US" w:bidi="ar-SA"/>
                    </w:rPr>
                  </w:pPr>
                  <w:r>
                    <w:rPr>
                      <w:rFonts w:hint="default" w:ascii="Times New Roman" w:hAnsi="Times New Roman" w:eastAsia="宋体" w:cs="Times New Roman"/>
                      <w:color w:val="auto"/>
                      <w:spacing w:val="-5"/>
                      <w:sz w:val="21"/>
                      <w:szCs w:val="21"/>
                      <w:highlight w:val="none"/>
                      <w:u w:val="none" w:color="auto"/>
                    </w:rPr>
                    <w:t>真空机</w:t>
                  </w:r>
                </w:p>
              </w:tc>
              <w:tc>
                <w:tcPr>
                  <w:tcW w:w="895" w:type="pct"/>
                  <w:tcBorders>
                    <w:tl2br w:val="nil"/>
                    <w:tr2bl w:val="nil"/>
                  </w:tcBorders>
                  <w:shd w:val="clear" w:color="auto" w:fill="auto"/>
                  <w:vAlign w:val="center"/>
                </w:tcPr>
                <w:p w14:paraId="12C4F817">
                  <w:pPr>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b w:val="0"/>
                      <w:bCs w:val="0"/>
                      <w:color w:val="auto"/>
                      <w:kern w:val="2"/>
                      <w:sz w:val="21"/>
                      <w:szCs w:val="21"/>
                      <w:highlight w:val="none"/>
                      <w:u w:val="none" w:color="auto"/>
                      <w:lang w:val="en-US" w:eastAsia="zh-CN" w:bidi="ar-SA"/>
                    </w:rPr>
                  </w:pPr>
                  <w:r>
                    <w:rPr>
                      <w:rFonts w:hint="default" w:ascii="Times New Roman" w:hAnsi="Times New Roman" w:eastAsia="宋体" w:cs="Times New Roman"/>
                      <w:b w:val="0"/>
                      <w:bCs w:val="0"/>
                      <w:color w:val="auto"/>
                      <w:sz w:val="21"/>
                      <w:szCs w:val="21"/>
                      <w:highlight w:val="none"/>
                      <w:u w:val="none" w:color="auto"/>
                      <w:lang w:val="en-US" w:eastAsia="zh-CN"/>
                    </w:rPr>
                    <w:t>台/</w:t>
                  </w:r>
                  <w:r>
                    <w:rPr>
                      <w:rFonts w:hint="default" w:ascii="Times New Roman" w:hAnsi="Times New Roman" w:eastAsia="宋体" w:cs="Times New Roman"/>
                      <w:b w:val="0"/>
                      <w:bCs w:val="0"/>
                      <w:i w:val="0"/>
                      <w:iCs w:val="0"/>
                      <w:snapToGrid w:val="0"/>
                      <w:color w:val="auto"/>
                      <w:kern w:val="0"/>
                      <w:sz w:val="21"/>
                      <w:szCs w:val="21"/>
                      <w:highlight w:val="none"/>
                      <w:u w:val="none" w:color="auto"/>
                      <w:lang w:val="en-US" w:eastAsia="zh-CN" w:bidi="ar"/>
                    </w:rPr>
                    <w:t>套</w:t>
                  </w:r>
                </w:p>
              </w:tc>
              <w:tc>
                <w:tcPr>
                  <w:tcW w:w="617" w:type="pct"/>
                  <w:tcBorders>
                    <w:tl2br w:val="nil"/>
                    <w:tr2bl w:val="nil"/>
                  </w:tcBorders>
                  <w:shd w:val="clear" w:color="auto" w:fill="auto"/>
                  <w:vAlign w:val="center"/>
                </w:tcPr>
                <w:p w14:paraId="298F1A59">
                  <w:pPr>
                    <w:pStyle w:val="100"/>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rPr>
                    <w:t>1</w:t>
                  </w:r>
                </w:p>
              </w:tc>
              <w:tc>
                <w:tcPr>
                  <w:tcW w:w="1681" w:type="pct"/>
                  <w:tcBorders>
                    <w:tl2br w:val="nil"/>
                    <w:tr2bl w:val="nil"/>
                  </w:tcBorders>
                  <w:shd w:val="clear" w:color="auto" w:fill="auto"/>
                  <w:vAlign w:val="center"/>
                </w:tcPr>
                <w:p w14:paraId="49E7B63D">
                  <w:pPr>
                    <w:keepNext w:val="0"/>
                    <w:keepLines w:val="0"/>
                    <w:pageBreakBefore w:val="0"/>
                    <w:widowControl/>
                    <w:suppressLineNumbers w:val="0"/>
                    <w:kinsoku/>
                    <w:wordWrap/>
                    <w:overflowPunct/>
                    <w:topLinePunct w:val="0"/>
                    <w:autoSpaceDE/>
                    <w:autoSpaceDN/>
                    <w:bidi w:val="0"/>
                    <w:adjustRightInd/>
                    <w:snapToGrid/>
                    <w:spacing w:line="240" w:lineRule="auto"/>
                    <w:ind w:left="0"/>
                    <w:jc w:val="center"/>
                    <w:textAlignment w:val="center"/>
                    <w:rPr>
                      <w:rFonts w:hint="default" w:ascii="Times New Roman" w:hAnsi="Times New Roman" w:eastAsia="宋体" w:cs="Times New Roman"/>
                      <w:b w:val="0"/>
                      <w:bCs w:val="0"/>
                      <w:i w:val="0"/>
                      <w:iCs w:val="0"/>
                      <w:snapToGrid w:val="0"/>
                      <w:color w:val="auto"/>
                      <w:kern w:val="0"/>
                      <w:sz w:val="21"/>
                      <w:szCs w:val="21"/>
                      <w:highlight w:val="none"/>
                      <w:u w:val="none" w:color="auto"/>
                      <w:lang w:val="en-US" w:eastAsia="zh-CN" w:bidi="ar"/>
                    </w:rPr>
                  </w:pPr>
                </w:p>
              </w:tc>
            </w:tr>
            <w:tr w14:paraId="0E21D5F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201" w:type="pct"/>
                  <w:vMerge w:val="continue"/>
                  <w:tcBorders>
                    <w:tl2br w:val="nil"/>
                    <w:tr2bl w:val="nil"/>
                  </w:tcBorders>
                  <w:shd w:val="clear" w:color="auto" w:fill="auto"/>
                  <w:vAlign w:val="center"/>
                </w:tcPr>
                <w:p w14:paraId="28D51C5C">
                  <w:pPr>
                    <w:keepNext w:val="0"/>
                    <w:keepLines w:val="0"/>
                    <w:pageBreakBefore w:val="0"/>
                    <w:widowControl/>
                    <w:suppressLineNumbers w:val="0"/>
                    <w:kinsoku/>
                    <w:wordWrap/>
                    <w:overflowPunct/>
                    <w:topLinePunct w:val="0"/>
                    <w:autoSpaceDE/>
                    <w:autoSpaceDN/>
                    <w:bidi w:val="0"/>
                    <w:adjustRightInd/>
                    <w:snapToGrid/>
                    <w:spacing w:line="240" w:lineRule="auto"/>
                    <w:ind w:left="0"/>
                    <w:jc w:val="center"/>
                    <w:textAlignment w:val="center"/>
                    <w:rPr>
                      <w:rFonts w:hint="default" w:ascii="Times New Roman" w:hAnsi="Times New Roman" w:eastAsia="宋体" w:cs="Times New Roman"/>
                      <w:b/>
                      <w:bCs/>
                      <w:i w:val="0"/>
                      <w:iCs w:val="0"/>
                      <w:snapToGrid w:val="0"/>
                      <w:color w:val="auto"/>
                      <w:kern w:val="0"/>
                      <w:sz w:val="21"/>
                      <w:szCs w:val="21"/>
                      <w:highlight w:val="none"/>
                      <w:u w:val="none" w:color="auto"/>
                      <w:lang w:val="en-US" w:eastAsia="zh-CN" w:bidi="ar"/>
                    </w:rPr>
                  </w:pPr>
                </w:p>
              </w:tc>
              <w:tc>
                <w:tcPr>
                  <w:tcW w:w="202" w:type="pct"/>
                  <w:vMerge w:val="continue"/>
                  <w:tcBorders>
                    <w:tl2br w:val="nil"/>
                    <w:tr2bl w:val="nil"/>
                  </w:tcBorders>
                  <w:shd w:val="clear" w:color="auto" w:fill="auto"/>
                  <w:vAlign w:val="center"/>
                </w:tcPr>
                <w:p w14:paraId="76A29676">
                  <w:pPr>
                    <w:keepNext w:val="0"/>
                    <w:keepLines w:val="0"/>
                    <w:pageBreakBefore w:val="0"/>
                    <w:widowControl/>
                    <w:suppressLineNumbers w:val="0"/>
                    <w:kinsoku/>
                    <w:wordWrap/>
                    <w:overflowPunct/>
                    <w:topLinePunct w:val="0"/>
                    <w:autoSpaceDE/>
                    <w:autoSpaceDN/>
                    <w:bidi w:val="0"/>
                    <w:adjustRightInd/>
                    <w:snapToGrid/>
                    <w:spacing w:line="240" w:lineRule="auto"/>
                    <w:ind w:left="0"/>
                    <w:jc w:val="center"/>
                    <w:textAlignment w:val="center"/>
                    <w:rPr>
                      <w:rFonts w:hint="default" w:ascii="Times New Roman" w:hAnsi="Times New Roman" w:eastAsia="宋体" w:cs="Times New Roman"/>
                      <w:b/>
                      <w:bCs/>
                      <w:i w:val="0"/>
                      <w:iCs w:val="0"/>
                      <w:snapToGrid w:val="0"/>
                      <w:color w:val="auto"/>
                      <w:kern w:val="0"/>
                      <w:sz w:val="21"/>
                      <w:szCs w:val="21"/>
                      <w:highlight w:val="none"/>
                      <w:u w:val="none" w:color="auto"/>
                      <w:lang w:val="en-US" w:eastAsia="zh-CN" w:bidi="ar"/>
                    </w:rPr>
                  </w:pPr>
                </w:p>
              </w:tc>
              <w:tc>
                <w:tcPr>
                  <w:tcW w:w="1400" w:type="pct"/>
                  <w:tcBorders>
                    <w:tl2br w:val="nil"/>
                    <w:tr2bl w:val="nil"/>
                  </w:tcBorders>
                  <w:shd w:val="clear" w:color="auto" w:fill="auto"/>
                  <w:vAlign w:val="center"/>
                </w:tcPr>
                <w:p w14:paraId="69C5C744">
                  <w:pPr>
                    <w:pStyle w:val="100"/>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kern w:val="2"/>
                      <w:sz w:val="21"/>
                      <w:szCs w:val="21"/>
                      <w:highlight w:val="none"/>
                      <w:u w:val="none" w:color="auto"/>
                      <w:lang w:val="en-US" w:eastAsia="en-US" w:bidi="ar-SA"/>
                    </w:rPr>
                  </w:pPr>
                  <w:r>
                    <w:rPr>
                      <w:rFonts w:hint="default" w:ascii="Times New Roman" w:hAnsi="Times New Roman" w:eastAsia="宋体" w:cs="Times New Roman"/>
                      <w:color w:val="auto"/>
                      <w:spacing w:val="-3"/>
                      <w:sz w:val="21"/>
                      <w:szCs w:val="21"/>
                      <w:highlight w:val="none"/>
                      <w:u w:val="none" w:color="auto"/>
                    </w:rPr>
                    <w:t>模温机</w:t>
                  </w:r>
                </w:p>
              </w:tc>
              <w:tc>
                <w:tcPr>
                  <w:tcW w:w="895" w:type="pct"/>
                  <w:tcBorders>
                    <w:tl2br w:val="nil"/>
                    <w:tr2bl w:val="nil"/>
                  </w:tcBorders>
                  <w:shd w:val="clear" w:color="auto" w:fill="auto"/>
                  <w:vAlign w:val="center"/>
                </w:tcPr>
                <w:p w14:paraId="6204FF99">
                  <w:pPr>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b w:val="0"/>
                      <w:bCs w:val="0"/>
                      <w:color w:val="auto"/>
                      <w:kern w:val="2"/>
                      <w:sz w:val="21"/>
                      <w:szCs w:val="21"/>
                      <w:highlight w:val="none"/>
                      <w:u w:val="none" w:color="auto"/>
                      <w:lang w:val="en-US" w:eastAsia="zh-CN" w:bidi="ar-SA"/>
                    </w:rPr>
                  </w:pPr>
                  <w:r>
                    <w:rPr>
                      <w:rFonts w:hint="default" w:ascii="Times New Roman" w:hAnsi="Times New Roman" w:eastAsia="宋体" w:cs="Times New Roman"/>
                      <w:b w:val="0"/>
                      <w:bCs w:val="0"/>
                      <w:color w:val="auto"/>
                      <w:sz w:val="21"/>
                      <w:szCs w:val="21"/>
                      <w:highlight w:val="none"/>
                      <w:u w:val="none" w:color="auto"/>
                      <w:lang w:val="en-US" w:eastAsia="zh-CN"/>
                    </w:rPr>
                    <w:t>台/</w:t>
                  </w:r>
                  <w:r>
                    <w:rPr>
                      <w:rFonts w:hint="default" w:ascii="Times New Roman" w:hAnsi="Times New Roman" w:eastAsia="宋体" w:cs="Times New Roman"/>
                      <w:b w:val="0"/>
                      <w:bCs w:val="0"/>
                      <w:i w:val="0"/>
                      <w:iCs w:val="0"/>
                      <w:snapToGrid w:val="0"/>
                      <w:color w:val="auto"/>
                      <w:kern w:val="0"/>
                      <w:sz w:val="21"/>
                      <w:szCs w:val="21"/>
                      <w:highlight w:val="none"/>
                      <w:u w:val="none" w:color="auto"/>
                      <w:lang w:val="en-US" w:eastAsia="zh-CN" w:bidi="ar"/>
                    </w:rPr>
                    <w:t>套</w:t>
                  </w:r>
                </w:p>
              </w:tc>
              <w:tc>
                <w:tcPr>
                  <w:tcW w:w="617" w:type="pct"/>
                  <w:tcBorders>
                    <w:tl2br w:val="nil"/>
                    <w:tr2bl w:val="nil"/>
                  </w:tcBorders>
                  <w:shd w:val="clear" w:color="auto" w:fill="auto"/>
                  <w:vAlign w:val="center"/>
                </w:tcPr>
                <w:p w14:paraId="449798A3">
                  <w:pPr>
                    <w:pStyle w:val="100"/>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rPr>
                    <w:t>4</w:t>
                  </w:r>
                </w:p>
              </w:tc>
              <w:tc>
                <w:tcPr>
                  <w:tcW w:w="1681" w:type="pct"/>
                  <w:tcBorders>
                    <w:tl2br w:val="nil"/>
                    <w:tr2bl w:val="nil"/>
                  </w:tcBorders>
                  <w:shd w:val="clear" w:color="auto" w:fill="auto"/>
                  <w:vAlign w:val="center"/>
                </w:tcPr>
                <w:p w14:paraId="2D444CF2">
                  <w:pPr>
                    <w:keepNext w:val="0"/>
                    <w:keepLines w:val="0"/>
                    <w:pageBreakBefore w:val="0"/>
                    <w:widowControl/>
                    <w:suppressLineNumbers w:val="0"/>
                    <w:kinsoku/>
                    <w:wordWrap/>
                    <w:overflowPunct/>
                    <w:topLinePunct w:val="0"/>
                    <w:autoSpaceDE/>
                    <w:autoSpaceDN/>
                    <w:bidi w:val="0"/>
                    <w:adjustRightInd/>
                    <w:snapToGrid/>
                    <w:spacing w:line="240" w:lineRule="auto"/>
                    <w:ind w:left="0"/>
                    <w:jc w:val="center"/>
                    <w:textAlignment w:val="center"/>
                    <w:rPr>
                      <w:rFonts w:hint="default" w:ascii="Times New Roman" w:hAnsi="Times New Roman" w:eastAsia="宋体" w:cs="Times New Roman"/>
                      <w:b w:val="0"/>
                      <w:bCs w:val="0"/>
                      <w:i w:val="0"/>
                      <w:iCs w:val="0"/>
                      <w:snapToGrid w:val="0"/>
                      <w:color w:val="auto"/>
                      <w:kern w:val="0"/>
                      <w:sz w:val="21"/>
                      <w:szCs w:val="21"/>
                      <w:highlight w:val="none"/>
                      <w:u w:val="none" w:color="auto"/>
                      <w:lang w:val="en-US" w:eastAsia="zh-CN" w:bidi="ar"/>
                    </w:rPr>
                  </w:pPr>
                </w:p>
              </w:tc>
            </w:tr>
            <w:tr w14:paraId="79033CF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trPr>
              <w:tc>
                <w:tcPr>
                  <w:tcW w:w="201" w:type="pct"/>
                  <w:vMerge w:val="continue"/>
                  <w:tcBorders>
                    <w:tl2br w:val="nil"/>
                    <w:tr2bl w:val="nil"/>
                  </w:tcBorders>
                  <w:shd w:val="clear" w:color="auto" w:fill="auto"/>
                  <w:vAlign w:val="center"/>
                </w:tcPr>
                <w:p w14:paraId="0AB7DDCA">
                  <w:pPr>
                    <w:keepNext w:val="0"/>
                    <w:keepLines w:val="0"/>
                    <w:pageBreakBefore w:val="0"/>
                    <w:widowControl/>
                    <w:suppressLineNumbers w:val="0"/>
                    <w:kinsoku/>
                    <w:wordWrap/>
                    <w:overflowPunct/>
                    <w:topLinePunct w:val="0"/>
                    <w:autoSpaceDE/>
                    <w:autoSpaceDN/>
                    <w:bidi w:val="0"/>
                    <w:adjustRightInd/>
                    <w:snapToGrid/>
                    <w:spacing w:line="240" w:lineRule="auto"/>
                    <w:ind w:left="0"/>
                    <w:jc w:val="center"/>
                    <w:textAlignment w:val="center"/>
                    <w:rPr>
                      <w:rFonts w:hint="default" w:ascii="Times New Roman" w:hAnsi="Times New Roman" w:eastAsia="宋体" w:cs="Times New Roman"/>
                      <w:b/>
                      <w:bCs/>
                      <w:i w:val="0"/>
                      <w:iCs w:val="0"/>
                      <w:snapToGrid w:val="0"/>
                      <w:color w:val="auto"/>
                      <w:kern w:val="0"/>
                      <w:sz w:val="21"/>
                      <w:szCs w:val="21"/>
                      <w:highlight w:val="none"/>
                      <w:u w:val="none" w:color="auto"/>
                      <w:lang w:val="en-US" w:eastAsia="zh-CN" w:bidi="ar"/>
                    </w:rPr>
                  </w:pPr>
                </w:p>
              </w:tc>
              <w:tc>
                <w:tcPr>
                  <w:tcW w:w="202" w:type="pct"/>
                  <w:vMerge w:val="continue"/>
                  <w:tcBorders>
                    <w:tl2br w:val="nil"/>
                    <w:tr2bl w:val="nil"/>
                  </w:tcBorders>
                  <w:shd w:val="clear" w:color="auto" w:fill="auto"/>
                  <w:vAlign w:val="center"/>
                </w:tcPr>
                <w:p w14:paraId="6A75670E">
                  <w:pPr>
                    <w:keepNext w:val="0"/>
                    <w:keepLines w:val="0"/>
                    <w:pageBreakBefore w:val="0"/>
                    <w:widowControl/>
                    <w:suppressLineNumbers w:val="0"/>
                    <w:kinsoku/>
                    <w:wordWrap/>
                    <w:overflowPunct/>
                    <w:topLinePunct w:val="0"/>
                    <w:autoSpaceDE/>
                    <w:autoSpaceDN/>
                    <w:bidi w:val="0"/>
                    <w:adjustRightInd/>
                    <w:snapToGrid/>
                    <w:spacing w:line="240" w:lineRule="auto"/>
                    <w:ind w:left="0"/>
                    <w:jc w:val="center"/>
                    <w:textAlignment w:val="center"/>
                    <w:rPr>
                      <w:rFonts w:hint="default" w:ascii="Times New Roman" w:hAnsi="Times New Roman" w:eastAsia="宋体" w:cs="Times New Roman"/>
                      <w:b/>
                      <w:bCs/>
                      <w:i w:val="0"/>
                      <w:iCs w:val="0"/>
                      <w:snapToGrid w:val="0"/>
                      <w:color w:val="auto"/>
                      <w:kern w:val="0"/>
                      <w:sz w:val="21"/>
                      <w:szCs w:val="21"/>
                      <w:highlight w:val="none"/>
                      <w:u w:val="none" w:color="auto"/>
                      <w:lang w:val="en-US" w:eastAsia="zh-CN" w:bidi="ar"/>
                    </w:rPr>
                  </w:pPr>
                </w:p>
              </w:tc>
              <w:tc>
                <w:tcPr>
                  <w:tcW w:w="1400" w:type="pct"/>
                  <w:tcBorders>
                    <w:tl2br w:val="nil"/>
                    <w:tr2bl w:val="nil"/>
                  </w:tcBorders>
                  <w:shd w:val="clear" w:color="auto" w:fill="auto"/>
                  <w:vAlign w:val="center"/>
                </w:tcPr>
                <w:p w14:paraId="190C6BC5">
                  <w:pPr>
                    <w:pStyle w:val="100"/>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kern w:val="2"/>
                      <w:sz w:val="21"/>
                      <w:szCs w:val="21"/>
                      <w:highlight w:val="none"/>
                      <w:u w:val="none" w:color="auto"/>
                      <w:lang w:val="en-US" w:eastAsia="en-US" w:bidi="ar-SA"/>
                    </w:rPr>
                  </w:pPr>
                  <w:r>
                    <w:rPr>
                      <w:rFonts w:hint="default" w:ascii="Times New Roman" w:hAnsi="Times New Roman" w:eastAsia="宋体" w:cs="Times New Roman"/>
                      <w:color w:val="auto"/>
                      <w:spacing w:val="-2"/>
                      <w:sz w:val="21"/>
                      <w:szCs w:val="21"/>
                      <w:highlight w:val="none"/>
                      <w:u w:val="none" w:color="auto"/>
                    </w:rPr>
                    <w:t>模具冷却系统</w:t>
                  </w:r>
                </w:p>
              </w:tc>
              <w:tc>
                <w:tcPr>
                  <w:tcW w:w="895" w:type="pct"/>
                  <w:tcBorders>
                    <w:tl2br w:val="nil"/>
                    <w:tr2bl w:val="nil"/>
                  </w:tcBorders>
                  <w:shd w:val="clear" w:color="auto" w:fill="auto"/>
                  <w:vAlign w:val="center"/>
                </w:tcPr>
                <w:p w14:paraId="2DA25A76">
                  <w:pPr>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b w:val="0"/>
                      <w:bCs w:val="0"/>
                      <w:color w:val="auto"/>
                      <w:kern w:val="2"/>
                      <w:sz w:val="21"/>
                      <w:szCs w:val="21"/>
                      <w:highlight w:val="none"/>
                      <w:u w:val="none" w:color="auto"/>
                      <w:lang w:val="en-US" w:eastAsia="zh-CN" w:bidi="ar-SA"/>
                    </w:rPr>
                  </w:pPr>
                  <w:r>
                    <w:rPr>
                      <w:rFonts w:hint="default" w:ascii="Times New Roman" w:hAnsi="Times New Roman" w:eastAsia="宋体" w:cs="Times New Roman"/>
                      <w:b w:val="0"/>
                      <w:bCs w:val="0"/>
                      <w:color w:val="auto"/>
                      <w:sz w:val="21"/>
                      <w:szCs w:val="21"/>
                      <w:highlight w:val="none"/>
                      <w:u w:val="none" w:color="auto"/>
                      <w:lang w:val="en-US" w:eastAsia="zh-CN"/>
                    </w:rPr>
                    <w:t>台/</w:t>
                  </w:r>
                  <w:r>
                    <w:rPr>
                      <w:rFonts w:hint="default" w:ascii="Times New Roman" w:hAnsi="Times New Roman" w:eastAsia="宋体" w:cs="Times New Roman"/>
                      <w:b w:val="0"/>
                      <w:bCs w:val="0"/>
                      <w:i w:val="0"/>
                      <w:iCs w:val="0"/>
                      <w:snapToGrid w:val="0"/>
                      <w:color w:val="auto"/>
                      <w:kern w:val="0"/>
                      <w:sz w:val="21"/>
                      <w:szCs w:val="21"/>
                      <w:highlight w:val="none"/>
                      <w:u w:val="none" w:color="auto"/>
                      <w:lang w:val="en-US" w:eastAsia="zh-CN" w:bidi="ar"/>
                    </w:rPr>
                    <w:t>套</w:t>
                  </w:r>
                </w:p>
              </w:tc>
              <w:tc>
                <w:tcPr>
                  <w:tcW w:w="617" w:type="pct"/>
                  <w:tcBorders>
                    <w:tl2br w:val="nil"/>
                    <w:tr2bl w:val="nil"/>
                  </w:tcBorders>
                  <w:shd w:val="clear" w:color="auto" w:fill="auto"/>
                  <w:vAlign w:val="center"/>
                </w:tcPr>
                <w:p w14:paraId="2A559FD4">
                  <w:pPr>
                    <w:pStyle w:val="100"/>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rPr>
                    <w:t>1</w:t>
                  </w:r>
                </w:p>
              </w:tc>
              <w:tc>
                <w:tcPr>
                  <w:tcW w:w="1681" w:type="pct"/>
                  <w:tcBorders>
                    <w:tl2br w:val="nil"/>
                    <w:tr2bl w:val="nil"/>
                  </w:tcBorders>
                  <w:shd w:val="clear" w:color="auto" w:fill="auto"/>
                  <w:vAlign w:val="center"/>
                </w:tcPr>
                <w:p w14:paraId="63747C80">
                  <w:pPr>
                    <w:keepNext w:val="0"/>
                    <w:keepLines w:val="0"/>
                    <w:pageBreakBefore w:val="0"/>
                    <w:widowControl/>
                    <w:suppressLineNumbers w:val="0"/>
                    <w:kinsoku/>
                    <w:wordWrap/>
                    <w:overflowPunct/>
                    <w:topLinePunct w:val="0"/>
                    <w:autoSpaceDE/>
                    <w:autoSpaceDN/>
                    <w:bidi w:val="0"/>
                    <w:adjustRightInd/>
                    <w:snapToGrid/>
                    <w:spacing w:line="240" w:lineRule="auto"/>
                    <w:ind w:left="0"/>
                    <w:jc w:val="center"/>
                    <w:textAlignment w:val="center"/>
                    <w:rPr>
                      <w:rFonts w:hint="default" w:ascii="Times New Roman" w:hAnsi="Times New Roman" w:eastAsia="宋体" w:cs="Times New Roman"/>
                      <w:b w:val="0"/>
                      <w:bCs w:val="0"/>
                      <w:i w:val="0"/>
                      <w:iCs w:val="0"/>
                      <w:snapToGrid w:val="0"/>
                      <w:color w:val="auto"/>
                      <w:kern w:val="0"/>
                      <w:sz w:val="21"/>
                      <w:szCs w:val="21"/>
                      <w:highlight w:val="none"/>
                      <w:u w:val="none" w:color="auto"/>
                      <w:lang w:val="en-US" w:eastAsia="zh-CN" w:bidi="ar"/>
                    </w:rPr>
                  </w:pPr>
                  <w:r>
                    <w:rPr>
                      <w:rFonts w:hint="default" w:ascii="Times New Roman" w:hAnsi="Times New Roman" w:eastAsia="宋体" w:cs="Times New Roman"/>
                      <w:b w:val="0"/>
                      <w:bCs w:val="0"/>
                      <w:i w:val="0"/>
                      <w:iCs w:val="0"/>
                      <w:snapToGrid w:val="0"/>
                      <w:color w:val="auto"/>
                      <w:kern w:val="0"/>
                      <w:sz w:val="21"/>
                      <w:szCs w:val="21"/>
                      <w:highlight w:val="none"/>
                      <w:u w:val="none" w:color="auto"/>
                      <w:lang w:val="en-US" w:eastAsia="zh-CN" w:bidi="ar"/>
                    </w:rPr>
                    <w:t>间接水冷</w:t>
                  </w:r>
                </w:p>
              </w:tc>
            </w:tr>
            <w:tr w14:paraId="1970DAE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trPr>
              <w:tc>
                <w:tcPr>
                  <w:tcW w:w="201" w:type="pct"/>
                  <w:vMerge w:val="continue"/>
                  <w:tcBorders>
                    <w:tl2br w:val="nil"/>
                    <w:tr2bl w:val="nil"/>
                  </w:tcBorders>
                  <w:shd w:val="clear" w:color="auto" w:fill="auto"/>
                  <w:vAlign w:val="center"/>
                </w:tcPr>
                <w:p w14:paraId="4EE1DA9D">
                  <w:pPr>
                    <w:keepNext w:val="0"/>
                    <w:keepLines w:val="0"/>
                    <w:pageBreakBefore w:val="0"/>
                    <w:widowControl/>
                    <w:suppressLineNumbers w:val="0"/>
                    <w:kinsoku/>
                    <w:wordWrap/>
                    <w:overflowPunct/>
                    <w:topLinePunct w:val="0"/>
                    <w:autoSpaceDE/>
                    <w:autoSpaceDN/>
                    <w:bidi w:val="0"/>
                    <w:adjustRightInd/>
                    <w:snapToGrid/>
                    <w:spacing w:line="240" w:lineRule="auto"/>
                    <w:ind w:left="0"/>
                    <w:jc w:val="center"/>
                    <w:textAlignment w:val="center"/>
                    <w:rPr>
                      <w:rFonts w:hint="default" w:ascii="Times New Roman" w:hAnsi="Times New Roman" w:eastAsia="宋体" w:cs="Times New Roman"/>
                      <w:b/>
                      <w:bCs/>
                      <w:i w:val="0"/>
                      <w:iCs w:val="0"/>
                      <w:snapToGrid w:val="0"/>
                      <w:color w:val="auto"/>
                      <w:kern w:val="0"/>
                      <w:sz w:val="21"/>
                      <w:szCs w:val="21"/>
                      <w:highlight w:val="none"/>
                      <w:u w:val="none" w:color="auto"/>
                      <w:lang w:val="en-US" w:eastAsia="zh-CN" w:bidi="ar"/>
                    </w:rPr>
                  </w:pPr>
                </w:p>
              </w:tc>
              <w:tc>
                <w:tcPr>
                  <w:tcW w:w="202" w:type="pct"/>
                  <w:vMerge w:val="continue"/>
                  <w:tcBorders>
                    <w:tl2br w:val="nil"/>
                    <w:tr2bl w:val="nil"/>
                  </w:tcBorders>
                  <w:shd w:val="clear" w:color="auto" w:fill="auto"/>
                  <w:vAlign w:val="center"/>
                </w:tcPr>
                <w:p w14:paraId="7269B683">
                  <w:pPr>
                    <w:keepNext w:val="0"/>
                    <w:keepLines w:val="0"/>
                    <w:pageBreakBefore w:val="0"/>
                    <w:widowControl/>
                    <w:suppressLineNumbers w:val="0"/>
                    <w:kinsoku/>
                    <w:wordWrap/>
                    <w:overflowPunct/>
                    <w:topLinePunct w:val="0"/>
                    <w:autoSpaceDE/>
                    <w:autoSpaceDN/>
                    <w:bidi w:val="0"/>
                    <w:adjustRightInd/>
                    <w:snapToGrid/>
                    <w:spacing w:line="240" w:lineRule="auto"/>
                    <w:ind w:left="0"/>
                    <w:jc w:val="center"/>
                    <w:textAlignment w:val="center"/>
                    <w:rPr>
                      <w:rFonts w:hint="default" w:ascii="Times New Roman" w:hAnsi="Times New Roman" w:eastAsia="宋体" w:cs="Times New Roman"/>
                      <w:b/>
                      <w:bCs/>
                      <w:i w:val="0"/>
                      <w:iCs w:val="0"/>
                      <w:snapToGrid w:val="0"/>
                      <w:color w:val="auto"/>
                      <w:kern w:val="0"/>
                      <w:sz w:val="21"/>
                      <w:szCs w:val="21"/>
                      <w:highlight w:val="none"/>
                      <w:u w:val="none" w:color="auto"/>
                      <w:lang w:val="en-US" w:eastAsia="zh-CN" w:bidi="ar"/>
                    </w:rPr>
                  </w:pPr>
                </w:p>
              </w:tc>
              <w:tc>
                <w:tcPr>
                  <w:tcW w:w="1400" w:type="pct"/>
                  <w:tcBorders>
                    <w:tl2br w:val="nil"/>
                    <w:tr2bl w:val="nil"/>
                  </w:tcBorders>
                  <w:shd w:val="clear" w:color="auto" w:fill="auto"/>
                  <w:vAlign w:val="center"/>
                </w:tcPr>
                <w:p w14:paraId="533802D0">
                  <w:pPr>
                    <w:pStyle w:val="100"/>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kern w:val="2"/>
                      <w:sz w:val="21"/>
                      <w:szCs w:val="21"/>
                      <w:highlight w:val="none"/>
                      <w:u w:val="none" w:color="auto"/>
                      <w:lang w:val="en-US" w:eastAsia="en-US" w:bidi="ar-SA"/>
                    </w:rPr>
                  </w:pPr>
                  <w:r>
                    <w:rPr>
                      <w:rFonts w:hint="default" w:ascii="Times New Roman" w:hAnsi="Times New Roman" w:eastAsia="宋体" w:cs="Times New Roman"/>
                      <w:color w:val="auto"/>
                      <w:spacing w:val="-2"/>
                      <w:sz w:val="21"/>
                      <w:szCs w:val="21"/>
                      <w:highlight w:val="none"/>
                      <w:u w:val="none" w:color="auto"/>
                    </w:rPr>
                    <w:t>快速换模夹模器</w:t>
                  </w:r>
                </w:p>
              </w:tc>
              <w:tc>
                <w:tcPr>
                  <w:tcW w:w="895" w:type="pct"/>
                  <w:tcBorders>
                    <w:tl2br w:val="nil"/>
                    <w:tr2bl w:val="nil"/>
                  </w:tcBorders>
                  <w:shd w:val="clear" w:color="auto" w:fill="auto"/>
                  <w:vAlign w:val="center"/>
                </w:tcPr>
                <w:p w14:paraId="343F9AD0">
                  <w:pPr>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b w:val="0"/>
                      <w:bCs w:val="0"/>
                      <w:color w:val="auto"/>
                      <w:kern w:val="2"/>
                      <w:sz w:val="21"/>
                      <w:szCs w:val="21"/>
                      <w:highlight w:val="none"/>
                      <w:u w:val="none" w:color="auto"/>
                      <w:lang w:val="en-US" w:eastAsia="zh-CN" w:bidi="ar-SA"/>
                    </w:rPr>
                  </w:pPr>
                  <w:r>
                    <w:rPr>
                      <w:rFonts w:hint="default" w:ascii="Times New Roman" w:hAnsi="Times New Roman" w:eastAsia="宋体" w:cs="Times New Roman"/>
                      <w:b w:val="0"/>
                      <w:bCs w:val="0"/>
                      <w:color w:val="auto"/>
                      <w:sz w:val="21"/>
                      <w:szCs w:val="21"/>
                      <w:highlight w:val="none"/>
                      <w:u w:val="none" w:color="auto"/>
                      <w:lang w:val="en-US" w:eastAsia="zh-CN"/>
                    </w:rPr>
                    <w:t>台/</w:t>
                  </w:r>
                  <w:r>
                    <w:rPr>
                      <w:rFonts w:hint="default" w:ascii="Times New Roman" w:hAnsi="Times New Roman" w:eastAsia="宋体" w:cs="Times New Roman"/>
                      <w:b w:val="0"/>
                      <w:bCs w:val="0"/>
                      <w:i w:val="0"/>
                      <w:iCs w:val="0"/>
                      <w:snapToGrid w:val="0"/>
                      <w:color w:val="auto"/>
                      <w:kern w:val="0"/>
                      <w:sz w:val="21"/>
                      <w:szCs w:val="21"/>
                      <w:highlight w:val="none"/>
                      <w:u w:val="none" w:color="auto"/>
                      <w:lang w:val="en-US" w:eastAsia="zh-CN" w:bidi="ar"/>
                    </w:rPr>
                    <w:t>套</w:t>
                  </w:r>
                </w:p>
              </w:tc>
              <w:tc>
                <w:tcPr>
                  <w:tcW w:w="617" w:type="pct"/>
                  <w:tcBorders>
                    <w:tl2br w:val="nil"/>
                    <w:tr2bl w:val="nil"/>
                  </w:tcBorders>
                  <w:shd w:val="clear" w:color="auto" w:fill="auto"/>
                  <w:vAlign w:val="center"/>
                </w:tcPr>
                <w:p w14:paraId="12023195">
                  <w:pPr>
                    <w:pStyle w:val="100"/>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rPr>
                    <w:t>1</w:t>
                  </w:r>
                </w:p>
              </w:tc>
              <w:tc>
                <w:tcPr>
                  <w:tcW w:w="1681" w:type="pct"/>
                  <w:tcBorders>
                    <w:tl2br w:val="nil"/>
                    <w:tr2bl w:val="nil"/>
                  </w:tcBorders>
                  <w:shd w:val="clear" w:color="auto" w:fill="auto"/>
                  <w:vAlign w:val="center"/>
                </w:tcPr>
                <w:p w14:paraId="7DDB6CA6">
                  <w:pPr>
                    <w:keepNext w:val="0"/>
                    <w:keepLines w:val="0"/>
                    <w:pageBreakBefore w:val="0"/>
                    <w:widowControl/>
                    <w:suppressLineNumbers w:val="0"/>
                    <w:kinsoku/>
                    <w:wordWrap/>
                    <w:overflowPunct/>
                    <w:topLinePunct w:val="0"/>
                    <w:autoSpaceDE/>
                    <w:autoSpaceDN/>
                    <w:bidi w:val="0"/>
                    <w:adjustRightInd/>
                    <w:snapToGrid/>
                    <w:spacing w:line="240" w:lineRule="auto"/>
                    <w:ind w:left="0"/>
                    <w:jc w:val="center"/>
                    <w:textAlignment w:val="center"/>
                    <w:rPr>
                      <w:rFonts w:hint="default" w:ascii="Times New Roman" w:hAnsi="Times New Roman" w:eastAsia="宋体" w:cs="Times New Roman"/>
                      <w:b/>
                      <w:bCs/>
                      <w:i w:val="0"/>
                      <w:iCs w:val="0"/>
                      <w:snapToGrid w:val="0"/>
                      <w:color w:val="auto"/>
                      <w:kern w:val="0"/>
                      <w:sz w:val="21"/>
                      <w:szCs w:val="21"/>
                      <w:highlight w:val="none"/>
                      <w:u w:val="none" w:color="auto"/>
                      <w:lang w:val="en-US" w:eastAsia="zh-CN" w:bidi="ar"/>
                    </w:rPr>
                  </w:pPr>
                </w:p>
              </w:tc>
            </w:tr>
            <w:tr w14:paraId="027535B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trPr>
              <w:tc>
                <w:tcPr>
                  <w:tcW w:w="201" w:type="pct"/>
                  <w:vMerge w:val="continue"/>
                  <w:tcBorders>
                    <w:tl2br w:val="nil"/>
                    <w:tr2bl w:val="nil"/>
                  </w:tcBorders>
                  <w:shd w:val="clear" w:color="auto" w:fill="auto"/>
                  <w:vAlign w:val="center"/>
                </w:tcPr>
                <w:p w14:paraId="1FAED21D">
                  <w:pPr>
                    <w:keepNext w:val="0"/>
                    <w:keepLines w:val="0"/>
                    <w:pageBreakBefore w:val="0"/>
                    <w:widowControl/>
                    <w:suppressLineNumbers w:val="0"/>
                    <w:kinsoku/>
                    <w:wordWrap/>
                    <w:overflowPunct/>
                    <w:topLinePunct w:val="0"/>
                    <w:autoSpaceDE/>
                    <w:autoSpaceDN/>
                    <w:bidi w:val="0"/>
                    <w:adjustRightInd/>
                    <w:snapToGrid/>
                    <w:spacing w:line="240" w:lineRule="auto"/>
                    <w:ind w:left="0"/>
                    <w:jc w:val="center"/>
                    <w:textAlignment w:val="center"/>
                    <w:rPr>
                      <w:rFonts w:hint="default" w:ascii="Times New Roman" w:hAnsi="Times New Roman" w:eastAsia="宋体" w:cs="Times New Roman"/>
                      <w:b/>
                      <w:bCs/>
                      <w:i w:val="0"/>
                      <w:iCs w:val="0"/>
                      <w:snapToGrid w:val="0"/>
                      <w:color w:val="auto"/>
                      <w:kern w:val="0"/>
                      <w:sz w:val="21"/>
                      <w:szCs w:val="21"/>
                      <w:highlight w:val="none"/>
                      <w:u w:val="none" w:color="auto"/>
                      <w:lang w:val="en-US" w:eastAsia="zh-CN" w:bidi="ar"/>
                    </w:rPr>
                  </w:pPr>
                </w:p>
              </w:tc>
              <w:tc>
                <w:tcPr>
                  <w:tcW w:w="202" w:type="pct"/>
                  <w:vMerge w:val="continue"/>
                  <w:tcBorders>
                    <w:tl2br w:val="nil"/>
                    <w:tr2bl w:val="nil"/>
                  </w:tcBorders>
                  <w:shd w:val="clear" w:color="auto" w:fill="auto"/>
                  <w:vAlign w:val="center"/>
                </w:tcPr>
                <w:p w14:paraId="30D75473">
                  <w:pPr>
                    <w:keepNext w:val="0"/>
                    <w:keepLines w:val="0"/>
                    <w:pageBreakBefore w:val="0"/>
                    <w:widowControl/>
                    <w:suppressLineNumbers w:val="0"/>
                    <w:kinsoku/>
                    <w:wordWrap/>
                    <w:overflowPunct/>
                    <w:topLinePunct w:val="0"/>
                    <w:autoSpaceDE/>
                    <w:autoSpaceDN/>
                    <w:bidi w:val="0"/>
                    <w:adjustRightInd/>
                    <w:snapToGrid/>
                    <w:spacing w:line="240" w:lineRule="auto"/>
                    <w:ind w:left="0"/>
                    <w:jc w:val="center"/>
                    <w:textAlignment w:val="center"/>
                    <w:rPr>
                      <w:rFonts w:hint="default" w:ascii="Times New Roman" w:hAnsi="Times New Roman" w:eastAsia="宋体" w:cs="Times New Roman"/>
                      <w:b/>
                      <w:bCs/>
                      <w:i w:val="0"/>
                      <w:iCs w:val="0"/>
                      <w:snapToGrid w:val="0"/>
                      <w:color w:val="auto"/>
                      <w:kern w:val="0"/>
                      <w:sz w:val="21"/>
                      <w:szCs w:val="21"/>
                      <w:highlight w:val="none"/>
                      <w:u w:val="none" w:color="auto"/>
                      <w:lang w:val="en-US" w:eastAsia="zh-CN" w:bidi="ar"/>
                    </w:rPr>
                  </w:pPr>
                </w:p>
              </w:tc>
              <w:tc>
                <w:tcPr>
                  <w:tcW w:w="1400" w:type="pct"/>
                  <w:tcBorders>
                    <w:tl2br w:val="nil"/>
                    <w:tr2bl w:val="nil"/>
                  </w:tcBorders>
                  <w:shd w:val="clear" w:color="auto" w:fill="auto"/>
                  <w:vAlign w:val="center"/>
                </w:tcPr>
                <w:p w14:paraId="04090771">
                  <w:pPr>
                    <w:pStyle w:val="100"/>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kern w:val="2"/>
                      <w:sz w:val="21"/>
                      <w:szCs w:val="21"/>
                      <w:highlight w:val="none"/>
                      <w:u w:val="none" w:color="auto"/>
                      <w:lang w:val="en-US" w:eastAsia="en-US" w:bidi="ar-SA"/>
                    </w:rPr>
                  </w:pPr>
                  <w:r>
                    <w:rPr>
                      <w:rFonts w:hint="default" w:ascii="Times New Roman" w:hAnsi="Times New Roman" w:eastAsia="宋体" w:cs="Times New Roman"/>
                      <w:color w:val="auto"/>
                      <w:spacing w:val="-2"/>
                      <w:sz w:val="21"/>
                      <w:szCs w:val="21"/>
                      <w:highlight w:val="none"/>
                      <w:u w:val="none" w:color="auto"/>
                    </w:rPr>
                    <w:t>冲头润滑颗粒机</w:t>
                  </w:r>
                </w:p>
              </w:tc>
              <w:tc>
                <w:tcPr>
                  <w:tcW w:w="895" w:type="pct"/>
                  <w:tcBorders>
                    <w:tl2br w:val="nil"/>
                    <w:tr2bl w:val="nil"/>
                  </w:tcBorders>
                  <w:shd w:val="clear" w:color="auto" w:fill="auto"/>
                  <w:vAlign w:val="center"/>
                </w:tcPr>
                <w:p w14:paraId="30BBCF98">
                  <w:pPr>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b w:val="0"/>
                      <w:bCs w:val="0"/>
                      <w:color w:val="auto"/>
                      <w:kern w:val="2"/>
                      <w:sz w:val="21"/>
                      <w:szCs w:val="21"/>
                      <w:highlight w:val="none"/>
                      <w:u w:val="none" w:color="auto"/>
                      <w:lang w:val="en-US" w:eastAsia="zh-CN" w:bidi="ar-SA"/>
                    </w:rPr>
                  </w:pPr>
                  <w:r>
                    <w:rPr>
                      <w:rFonts w:hint="default" w:ascii="Times New Roman" w:hAnsi="Times New Roman" w:eastAsia="宋体" w:cs="Times New Roman"/>
                      <w:b w:val="0"/>
                      <w:bCs w:val="0"/>
                      <w:color w:val="auto"/>
                      <w:sz w:val="21"/>
                      <w:szCs w:val="21"/>
                      <w:highlight w:val="none"/>
                      <w:u w:val="none" w:color="auto"/>
                      <w:lang w:val="en-US" w:eastAsia="zh-CN"/>
                    </w:rPr>
                    <w:t>台/</w:t>
                  </w:r>
                  <w:r>
                    <w:rPr>
                      <w:rFonts w:hint="default" w:ascii="Times New Roman" w:hAnsi="Times New Roman" w:eastAsia="宋体" w:cs="Times New Roman"/>
                      <w:b w:val="0"/>
                      <w:bCs w:val="0"/>
                      <w:i w:val="0"/>
                      <w:iCs w:val="0"/>
                      <w:snapToGrid w:val="0"/>
                      <w:color w:val="auto"/>
                      <w:kern w:val="0"/>
                      <w:sz w:val="21"/>
                      <w:szCs w:val="21"/>
                      <w:highlight w:val="none"/>
                      <w:u w:val="none" w:color="auto"/>
                      <w:lang w:val="en-US" w:eastAsia="zh-CN" w:bidi="ar"/>
                    </w:rPr>
                    <w:t>套</w:t>
                  </w:r>
                </w:p>
              </w:tc>
              <w:tc>
                <w:tcPr>
                  <w:tcW w:w="617" w:type="pct"/>
                  <w:tcBorders>
                    <w:tl2br w:val="nil"/>
                    <w:tr2bl w:val="nil"/>
                  </w:tcBorders>
                  <w:shd w:val="clear" w:color="auto" w:fill="auto"/>
                  <w:vAlign w:val="center"/>
                </w:tcPr>
                <w:p w14:paraId="06CC6D97">
                  <w:pPr>
                    <w:pStyle w:val="100"/>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rPr>
                    <w:t>1</w:t>
                  </w:r>
                </w:p>
              </w:tc>
              <w:tc>
                <w:tcPr>
                  <w:tcW w:w="1681" w:type="pct"/>
                  <w:tcBorders>
                    <w:tl2br w:val="nil"/>
                    <w:tr2bl w:val="nil"/>
                  </w:tcBorders>
                  <w:shd w:val="clear" w:color="auto" w:fill="auto"/>
                  <w:vAlign w:val="center"/>
                </w:tcPr>
                <w:p w14:paraId="454DC148">
                  <w:pPr>
                    <w:keepNext w:val="0"/>
                    <w:keepLines w:val="0"/>
                    <w:pageBreakBefore w:val="0"/>
                    <w:widowControl/>
                    <w:suppressLineNumbers w:val="0"/>
                    <w:kinsoku/>
                    <w:wordWrap/>
                    <w:overflowPunct/>
                    <w:topLinePunct w:val="0"/>
                    <w:autoSpaceDE/>
                    <w:autoSpaceDN/>
                    <w:bidi w:val="0"/>
                    <w:adjustRightInd/>
                    <w:snapToGrid/>
                    <w:spacing w:line="240" w:lineRule="auto"/>
                    <w:ind w:left="0"/>
                    <w:jc w:val="center"/>
                    <w:textAlignment w:val="center"/>
                    <w:rPr>
                      <w:rFonts w:hint="default" w:ascii="Times New Roman" w:hAnsi="Times New Roman" w:eastAsia="宋体" w:cs="Times New Roman"/>
                      <w:b/>
                      <w:bCs/>
                      <w:i w:val="0"/>
                      <w:iCs w:val="0"/>
                      <w:snapToGrid w:val="0"/>
                      <w:color w:val="auto"/>
                      <w:kern w:val="0"/>
                      <w:sz w:val="21"/>
                      <w:szCs w:val="21"/>
                      <w:highlight w:val="none"/>
                      <w:u w:val="none" w:color="auto"/>
                      <w:lang w:val="en-US" w:eastAsia="zh-CN" w:bidi="ar"/>
                    </w:rPr>
                  </w:pPr>
                </w:p>
              </w:tc>
            </w:tr>
            <w:tr w14:paraId="336F8A1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trPr>
              <w:tc>
                <w:tcPr>
                  <w:tcW w:w="5000" w:type="pct"/>
                  <w:gridSpan w:val="6"/>
                  <w:tcBorders>
                    <w:tl2br w:val="nil"/>
                    <w:tr2bl w:val="nil"/>
                  </w:tcBorders>
                  <w:shd w:val="clear" w:color="auto" w:fill="auto"/>
                  <w:vAlign w:val="center"/>
                </w:tcPr>
                <w:p w14:paraId="1847AACE">
                  <w:pPr>
                    <w:keepNext w:val="0"/>
                    <w:keepLines w:val="0"/>
                    <w:pageBreakBefore w:val="0"/>
                    <w:widowControl/>
                    <w:suppressLineNumbers w:val="0"/>
                    <w:kinsoku/>
                    <w:wordWrap/>
                    <w:overflowPunct/>
                    <w:topLinePunct w:val="0"/>
                    <w:autoSpaceDE/>
                    <w:autoSpaceDN/>
                    <w:bidi w:val="0"/>
                    <w:adjustRightInd/>
                    <w:snapToGrid/>
                    <w:spacing w:line="240" w:lineRule="auto"/>
                    <w:ind w:left="0"/>
                    <w:jc w:val="center"/>
                    <w:textAlignment w:val="center"/>
                    <w:rPr>
                      <w:rFonts w:hint="default" w:ascii="Times New Roman" w:hAnsi="Times New Roman" w:eastAsia="宋体" w:cs="Times New Roman"/>
                      <w:b/>
                      <w:bCs/>
                      <w:i w:val="0"/>
                      <w:iCs w:val="0"/>
                      <w:snapToGrid w:val="0"/>
                      <w:color w:val="auto"/>
                      <w:kern w:val="0"/>
                      <w:sz w:val="21"/>
                      <w:szCs w:val="21"/>
                      <w:highlight w:val="none"/>
                      <w:u w:val="none" w:color="auto"/>
                      <w:lang w:val="en-US" w:eastAsia="zh-CN" w:bidi="ar"/>
                    </w:rPr>
                  </w:pPr>
                  <w:r>
                    <w:rPr>
                      <w:rFonts w:hint="default" w:ascii="Times New Roman" w:hAnsi="Times New Roman" w:eastAsia="宋体" w:cs="Times New Roman"/>
                      <w:b/>
                      <w:bCs/>
                      <w:i w:val="0"/>
                      <w:iCs w:val="0"/>
                      <w:snapToGrid w:val="0"/>
                      <w:color w:val="auto"/>
                      <w:kern w:val="0"/>
                      <w:sz w:val="21"/>
                      <w:szCs w:val="21"/>
                      <w:highlight w:val="none"/>
                      <w:u w:val="none" w:color="auto"/>
                      <w:lang w:val="en-US" w:eastAsia="zh-CN" w:bidi="ar"/>
                    </w:rPr>
                    <w:t>临港高新产业园区：</w:t>
                  </w:r>
                  <w:r>
                    <w:rPr>
                      <w:rFonts w:hint="default" w:ascii="Times New Roman" w:hAnsi="Times New Roman" w:eastAsia="宋体" w:cs="Times New Roman"/>
                      <w:b/>
                      <w:bCs/>
                      <w:color w:val="auto"/>
                      <w:spacing w:val="-7"/>
                      <w:sz w:val="21"/>
                      <w:szCs w:val="21"/>
                      <w:highlight w:val="none"/>
                      <w:u w:val="none" w:color="auto"/>
                    </w:rPr>
                    <w:t>15栋</w:t>
                  </w:r>
                </w:p>
              </w:tc>
            </w:tr>
            <w:tr w14:paraId="6FAF71C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trPr>
              <w:tc>
                <w:tcPr>
                  <w:tcW w:w="404" w:type="pct"/>
                  <w:gridSpan w:val="2"/>
                  <w:tcBorders>
                    <w:tl2br w:val="nil"/>
                    <w:tr2bl w:val="nil"/>
                  </w:tcBorders>
                  <w:shd w:val="clear" w:color="auto" w:fill="auto"/>
                  <w:vAlign w:val="center"/>
                </w:tcPr>
                <w:p w14:paraId="72A364DD">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b/>
                      <w:bCs/>
                      <w:i w:val="0"/>
                      <w:iCs w:val="0"/>
                      <w:snapToGrid w:val="0"/>
                      <w:color w:val="auto"/>
                      <w:kern w:val="0"/>
                      <w:sz w:val="21"/>
                      <w:szCs w:val="21"/>
                      <w:highlight w:val="none"/>
                      <w:u w:val="none" w:color="auto"/>
                      <w:lang w:val="en-US" w:eastAsia="zh-CN" w:bidi="ar"/>
                    </w:rPr>
                    <w:t>序号</w:t>
                  </w:r>
                </w:p>
              </w:tc>
              <w:tc>
                <w:tcPr>
                  <w:tcW w:w="1400" w:type="pct"/>
                  <w:tcBorders>
                    <w:tl2br w:val="nil"/>
                    <w:tr2bl w:val="nil"/>
                  </w:tcBorders>
                  <w:shd w:val="clear" w:color="auto" w:fill="auto"/>
                  <w:vAlign w:val="center"/>
                </w:tcPr>
                <w:p w14:paraId="177C4455">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u w:val="none" w:color="auto"/>
                      <w:lang w:val="en-US" w:eastAsia="en-US" w:bidi="ar-SA"/>
                    </w:rPr>
                  </w:pPr>
                  <w:r>
                    <w:rPr>
                      <w:rFonts w:hint="default" w:ascii="Times New Roman" w:hAnsi="Times New Roman" w:eastAsia="宋体" w:cs="Times New Roman"/>
                      <w:b/>
                      <w:bCs/>
                      <w:i w:val="0"/>
                      <w:iCs w:val="0"/>
                      <w:snapToGrid w:val="0"/>
                      <w:color w:val="auto"/>
                      <w:kern w:val="0"/>
                      <w:sz w:val="21"/>
                      <w:szCs w:val="21"/>
                      <w:highlight w:val="none"/>
                      <w:u w:val="none" w:color="auto"/>
                      <w:lang w:val="en-US" w:eastAsia="zh-CN" w:bidi="ar"/>
                    </w:rPr>
                    <w:t>设备名称</w:t>
                  </w:r>
                </w:p>
              </w:tc>
              <w:tc>
                <w:tcPr>
                  <w:tcW w:w="895" w:type="pct"/>
                  <w:tcBorders>
                    <w:tl2br w:val="nil"/>
                    <w:tr2bl w:val="nil"/>
                  </w:tcBorders>
                  <w:shd w:val="clear" w:color="auto" w:fill="auto"/>
                  <w:vAlign w:val="center"/>
                </w:tcPr>
                <w:p w14:paraId="0CD6D2A3">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b/>
                      <w:bCs/>
                      <w:i w:val="0"/>
                      <w:iCs w:val="0"/>
                      <w:snapToGrid w:val="0"/>
                      <w:color w:val="auto"/>
                      <w:kern w:val="0"/>
                      <w:sz w:val="21"/>
                      <w:szCs w:val="21"/>
                      <w:highlight w:val="none"/>
                      <w:u w:val="none" w:color="auto"/>
                      <w:lang w:val="en-US" w:eastAsia="zh-CN" w:bidi="ar"/>
                    </w:rPr>
                    <w:t>单位</w:t>
                  </w:r>
                </w:p>
              </w:tc>
              <w:tc>
                <w:tcPr>
                  <w:tcW w:w="617" w:type="pct"/>
                  <w:tcBorders>
                    <w:tl2br w:val="nil"/>
                    <w:tr2bl w:val="nil"/>
                  </w:tcBorders>
                  <w:shd w:val="clear" w:color="auto" w:fill="auto"/>
                  <w:vAlign w:val="center"/>
                </w:tcPr>
                <w:p w14:paraId="02B73988">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b/>
                      <w:bCs/>
                      <w:i w:val="0"/>
                      <w:iCs w:val="0"/>
                      <w:snapToGrid w:val="0"/>
                      <w:color w:val="auto"/>
                      <w:kern w:val="0"/>
                      <w:sz w:val="21"/>
                      <w:szCs w:val="21"/>
                      <w:highlight w:val="none"/>
                      <w:u w:val="none" w:color="auto"/>
                      <w:lang w:val="en-US" w:eastAsia="zh-CN" w:bidi="ar"/>
                    </w:rPr>
                    <w:t>数量</w:t>
                  </w:r>
                </w:p>
              </w:tc>
              <w:tc>
                <w:tcPr>
                  <w:tcW w:w="1681" w:type="pct"/>
                  <w:tcBorders>
                    <w:tl2br w:val="nil"/>
                    <w:tr2bl w:val="nil"/>
                  </w:tcBorders>
                  <w:shd w:val="clear" w:color="auto" w:fill="auto"/>
                  <w:vAlign w:val="center"/>
                </w:tcPr>
                <w:p w14:paraId="5E6084FA">
                  <w:pPr>
                    <w:keepNext w:val="0"/>
                    <w:keepLines w:val="0"/>
                    <w:widowControl/>
                    <w:suppressLineNumbers w:val="0"/>
                    <w:jc w:val="center"/>
                    <w:textAlignment w:val="center"/>
                    <w:rPr>
                      <w:rFonts w:hint="default" w:ascii="Times New Roman" w:hAnsi="Times New Roman" w:eastAsia="宋体" w:cs="Times New Roman"/>
                      <w:b/>
                      <w:bCs/>
                      <w:i w:val="0"/>
                      <w:iCs w:val="0"/>
                      <w:snapToGrid w:val="0"/>
                      <w:color w:val="auto"/>
                      <w:kern w:val="0"/>
                      <w:sz w:val="21"/>
                      <w:szCs w:val="21"/>
                      <w:highlight w:val="none"/>
                      <w:u w:val="none" w:color="auto"/>
                      <w:lang w:val="en-US" w:eastAsia="zh-CN" w:bidi="ar"/>
                    </w:rPr>
                  </w:pPr>
                  <w:r>
                    <w:rPr>
                      <w:rFonts w:hint="default" w:ascii="Times New Roman" w:hAnsi="Times New Roman" w:eastAsia="宋体" w:cs="Times New Roman"/>
                      <w:b/>
                      <w:bCs/>
                      <w:i w:val="0"/>
                      <w:iCs w:val="0"/>
                      <w:snapToGrid w:val="0"/>
                      <w:color w:val="auto"/>
                      <w:kern w:val="0"/>
                      <w:sz w:val="21"/>
                      <w:szCs w:val="21"/>
                      <w:highlight w:val="none"/>
                      <w:u w:val="none" w:color="auto"/>
                      <w:lang w:val="en-US" w:eastAsia="zh-CN" w:bidi="ar"/>
                    </w:rPr>
                    <w:t>说明</w:t>
                  </w:r>
                </w:p>
              </w:tc>
            </w:tr>
            <w:tr w14:paraId="1294441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trPr>
              <w:tc>
                <w:tcPr>
                  <w:tcW w:w="404" w:type="pct"/>
                  <w:gridSpan w:val="2"/>
                  <w:tcBorders>
                    <w:tl2br w:val="nil"/>
                    <w:tr2bl w:val="nil"/>
                  </w:tcBorders>
                  <w:shd w:val="clear" w:color="auto" w:fill="auto"/>
                  <w:vAlign w:val="center"/>
                </w:tcPr>
                <w:p w14:paraId="7E88BC57">
                  <w:pPr>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position w:val="1"/>
                      <w:sz w:val="21"/>
                      <w:szCs w:val="21"/>
                      <w:highlight w:val="none"/>
                      <w:u w:val="none" w:color="auto"/>
                    </w:rPr>
                    <w:t>1</w:t>
                  </w:r>
                </w:p>
              </w:tc>
              <w:tc>
                <w:tcPr>
                  <w:tcW w:w="1400" w:type="pct"/>
                  <w:tcBorders>
                    <w:tl2br w:val="nil"/>
                    <w:tr2bl w:val="nil"/>
                  </w:tcBorders>
                  <w:shd w:val="clear" w:color="auto" w:fill="auto"/>
                  <w:vAlign w:val="center"/>
                </w:tcPr>
                <w:p w14:paraId="3EEA2FD8">
                  <w:pPr>
                    <w:pStyle w:val="100"/>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kern w:val="2"/>
                      <w:sz w:val="21"/>
                      <w:szCs w:val="21"/>
                      <w:highlight w:val="none"/>
                      <w:u w:val="none" w:color="auto"/>
                      <w:lang w:val="en-US" w:eastAsia="en-US" w:bidi="ar-SA"/>
                    </w:rPr>
                  </w:pPr>
                  <w:r>
                    <w:rPr>
                      <w:rFonts w:hint="default" w:ascii="Times New Roman" w:hAnsi="Times New Roman" w:eastAsia="宋体" w:cs="Times New Roman"/>
                      <w:color w:val="auto"/>
                      <w:spacing w:val="-2"/>
                      <w:sz w:val="21"/>
                      <w:szCs w:val="21"/>
                      <w:highlight w:val="none"/>
                      <w:u w:val="none" w:color="auto"/>
                    </w:rPr>
                    <w:t>激光打标机</w:t>
                  </w:r>
                </w:p>
              </w:tc>
              <w:tc>
                <w:tcPr>
                  <w:tcW w:w="895" w:type="pct"/>
                  <w:tcBorders>
                    <w:tl2br w:val="nil"/>
                    <w:tr2bl w:val="nil"/>
                  </w:tcBorders>
                  <w:shd w:val="clear" w:color="auto" w:fill="auto"/>
                  <w:vAlign w:val="center"/>
                </w:tcPr>
                <w:p w14:paraId="749529AE">
                  <w:pPr>
                    <w:pStyle w:val="100"/>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rPr>
                    <w:t>套</w:t>
                  </w:r>
                </w:p>
              </w:tc>
              <w:tc>
                <w:tcPr>
                  <w:tcW w:w="617" w:type="pct"/>
                  <w:tcBorders>
                    <w:tl2br w:val="nil"/>
                    <w:tr2bl w:val="nil"/>
                  </w:tcBorders>
                  <w:shd w:val="clear" w:color="auto" w:fill="auto"/>
                  <w:vAlign w:val="center"/>
                </w:tcPr>
                <w:p w14:paraId="3FA787D9">
                  <w:pPr>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position w:val="1"/>
                      <w:sz w:val="21"/>
                      <w:szCs w:val="21"/>
                      <w:highlight w:val="none"/>
                      <w:u w:val="none" w:color="auto"/>
                    </w:rPr>
                    <w:t>4</w:t>
                  </w:r>
                </w:p>
              </w:tc>
              <w:tc>
                <w:tcPr>
                  <w:tcW w:w="1681" w:type="pct"/>
                  <w:tcBorders>
                    <w:tl2br w:val="nil"/>
                    <w:tr2bl w:val="nil"/>
                  </w:tcBorders>
                  <w:shd w:val="clear" w:color="auto" w:fill="auto"/>
                  <w:vAlign w:val="center"/>
                </w:tcPr>
                <w:p w14:paraId="4E0C52B0">
                  <w:pPr>
                    <w:keepNext w:val="0"/>
                    <w:keepLines w:val="0"/>
                    <w:pageBreakBefore w:val="0"/>
                    <w:widowControl/>
                    <w:suppressLineNumbers w:val="0"/>
                    <w:kinsoku/>
                    <w:wordWrap/>
                    <w:overflowPunct/>
                    <w:topLinePunct w:val="0"/>
                    <w:autoSpaceDE/>
                    <w:autoSpaceDN/>
                    <w:bidi w:val="0"/>
                    <w:adjustRightInd/>
                    <w:snapToGrid/>
                    <w:spacing w:line="240" w:lineRule="auto"/>
                    <w:ind w:left="0"/>
                    <w:jc w:val="center"/>
                    <w:textAlignment w:val="center"/>
                    <w:rPr>
                      <w:rFonts w:hint="default" w:ascii="Times New Roman" w:hAnsi="Times New Roman" w:eastAsia="宋体" w:cs="Times New Roman"/>
                      <w:b/>
                      <w:bCs/>
                      <w:i w:val="0"/>
                      <w:iCs w:val="0"/>
                      <w:snapToGrid w:val="0"/>
                      <w:color w:val="auto"/>
                      <w:kern w:val="0"/>
                      <w:sz w:val="21"/>
                      <w:szCs w:val="21"/>
                      <w:highlight w:val="none"/>
                      <w:u w:val="none" w:color="auto"/>
                      <w:lang w:val="en-US" w:eastAsia="zh-CN" w:bidi="ar"/>
                    </w:rPr>
                  </w:pPr>
                </w:p>
              </w:tc>
            </w:tr>
            <w:tr w14:paraId="3C9A2C8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trPr>
              <w:tc>
                <w:tcPr>
                  <w:tcW w:w="404" w:type="pct"/>
                  <w:gridSpan w:val="2"/>
                  <w:tcBorders>
                    <w:tl2br w:val="nil"/>
                    <w:tr2bl w:val="nil"/>
                  </w:tcBorders>
                  <w:shd w:val="clear" w:color="auto" w:fill="auto"/>
                  <w:vAlign w:val="center"/>
                </w:tcPr>
                <w:p w14:paraId="1642D4FF">
                  <w:pPr>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position w:val="1"/>
                      <w:sz w:val="21"/>
                      <w:szCs w:val="21"/>
                      <w:highlight w:val="none"/>
                      <w:u w:val="none" w:color="auto"/>
                    </w:rPr>
                    <w:t>2</w:t>
                  </w:r>
                </w:p>
              </w:tc>
              <w:tc>
                <w:tcPr>
                  <w:tcW w:w="1400" w:type="pct"/>
                  <w:tcBorders>
                    <w:tl2br w:val="nil"/>
                    <w:tr2bl w:val="nil"/>
                  </w:tcBorders>
                  <w:shd w:val="clear" w:color="auto" w:fill="auto"/>
                  <w:vAlign w:val="center"/>
                </w:tcPr>
                <w:p w14:paraId="5B7B20A5">
                  <w:pPr>
                    <w:pStyle w:val="100"/>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kern w:val="2"/>
                      <w:sz w:val="21"/>
                      <w:szCs w:val="21"/>
                      <w:highlight w:val="none"/>
                      <w:u w:val="none" w:color="auto"/>
                      <w:lang w:val="en-US" w:eastAsia="en-US" w:bidi="ar-SA"/>
                    </w:rPr>
                  </w:pPr>
                  <w:r>
                    <w:rPr>
                      <w:rFonts w:hint="default" w:ascii="Times New Roman" w:hAnsi="Times New Roman" w:eastAsia="宋体" w:cs="Times New Roman"/>
                      <w:color w:val="auto"/>
                      <w:spacing w:val="-3"/>
                      <w:sz w:val="21"/>
                      <w:szCs w:val="21"/>
                      <w:highlight w:val="none"/>
                      <w:u w:val="none" w:color="auto"/>
                    </w:rPr>
                    <w:t>钻工中心</w:t>
                  </w:r>
                </w:p>
              </w:tc>
              <w:tc>
                <w:tcPr>
                  <w:tcW w:w="895" w:type="pct"/>
                  <w:tcBorders>
                    <w:tl2br w:val="nil"/>
                    <w:tr2bl w:val="nil"/>
                  </w:tcBorders>
                  <w:shd w:val="clear" w:color="auto" w:fill="auto"/>
                  <w:vAlign w:val="center"/>
                </w:tcPr>
                <w:p w14:paraId="3FD64B7C">
                  <w:pPr>
                    <w:pStyle w:val="100"/>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rPr>
                    <w:t>套</w:t>
                  </w:r>
                </w:p>
              </w:tc>
              <w:tc>
                <w:tcPr>
                  <w:tcW w:w="617" w:type="pct"/>
                  <w:tcBorders>
                    <w:tl2br w:val="nil"/>
                    <w:tr2bl w:val="nil"/>
                  </w:tcBorders>
                  <w:shd w:val="clear" w:color="auto" w:fill="auto"/>
                  <w:vAlign w:val="center"/>
                </w:tcPr>
                <w:p w14:paraId="6FBB678F">
                  <w:pPr>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pacing w:val="-3"/>
                      <w:position w:val="1"/>
                      <w:sz w:val="21"/>
                      <w:szCs w:val="21"/>
                      <w:highlight w:val="none"/>
                      <w:u w:val="none" w:color="auto"/>
                    </w:rPr>
                    <w:t>24</w:t>
                  </w:r>
                </w:p>
              </w:tc>
              <w:tc>
                <w:tcPr>
                  <w:tcW w:w="1681" w:type="pct"/>
                  <w:tcBorders>
                    <w:tl2br w:val="nil"/>
                    <w:tr2bl w:val="nil"/>
                  </w:tcBorders>
                  <w:shd w:val="clear" w:color="auto" w:fill="auto"/>
                  <w:vAlign w:val="center"/>
                </w:tcPr>
                <w:p w14:paraId="41DDDD40">
                  <w:pPr>
                    <w:keepNext w:val="0"/>
                    <w:keepLines w:val="0"/>
                    <w:pageBreakBefore w:val="0"/>
                    <w:widowControl/>
                    <w:suppressLineNumbers w:val="0"/>
                    <w:kinsoku/>
                    <w:wordWrap/>
                    <w:overflowPunct/>
                    <w:topLinePunct w:val="0"/>
                    <w:autoSpaceDE/>
                    <w:autoSpaceDN/>
                    <w:bidi w:val="0"/>
                    <w:adjustRightInd/>
                    <w:snapToGrid/>
                    <w:spacing w:line="240" w:lineRule="auto"/>
                    <w:ind w:left="0"/>
                    <w:jc w:val="center"/>
                    <w:textAlignment w:val="center"/>
                    <w:rPr>
                      <w:rFonts w:hint="default" w:ascii="Times New Roman" w:hAnsi="Times New Roman" w:eastAsia="宋体" w:cs="Times New Roman"/>
                      <w:b/>
                      <w:bCs/>
                      <w:i w:val="0"/>
                      <w:iCs w:val="0"/>
                      <w:snapToGrid w:val="0"/>
                      <w:color w:val="auto"/>
                      <w:kern w:val="0"/>
                      <w:sz w:val="21"/>
                      <w:szCs w:val="21"/>
                      <w:highlight w:val="none"/>
                      <w:u w:val="none" w:color="auto"/>
                      <w:lang w:val="en-US" w:eastAsia="zh-CN" w:bidi="ar"/>
                    </w:rPr>
                  </w:pPr>
                </w:p>
              </w:tc>
            </w:tr>
            <w:tr w14:paraId="6D47B0D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trPr>
              <w:tc>
                <w:tcPr>
                  <w:tcW w:w="404" w:type="pct"/>
                  <w:gridSpan w:val="2"/>
                  <w:tcBorders>
                    <w:tl2br w:val="nil"/>
                    <w:tr2bl w:val="nil"/>
                  </w:tcBorders>
                  <w:shd w:val="clear" w:color="auto" w:fill="auto"/>
                  <w:vAlign w:val="center"/>
                </w:tcPr>
                <w:p w14:paraId="2D15FD49">
                  <w:pPr>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position w:val="1"/>
                      <w:sz w:val="21"/>
                      <w:szCs w:val="21"/>
                      <w:highlight w:val="none"/>
                      <w:u w:val="none" w:color="auto"/>
                    </w:rPr>
                    <w:t>3</w:t>
                  </w:r>
                </w:p>
              </w:tc>
              <w:tc>
                <w:tcPr>
                  <w:tcW w:w="1400" w:type="pct"/>
                  <w:tcBorders>
                    <w:tl2br w:val="nil"/>
                    <w:tr2bl w:val="nil"/>
                  </w:tcBorders>
                  <w:shd w:val="clear" w:color="auto" w:fill="auto"/>
                  <w:vAlign w:val="center"/>
                </w:tcPr>
                <w:p w14:paraId="141D5332">
                  <w:pPr>
                    <w:pStyle w:val="100"/>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kern w:val="2"/>
                      <w:sz w:val="21"/>
                      <w:szCs w:val="21"/>
                      <w:highlight w:val="none"/>
                      <w:u w:val="none" w:color="auto"/>
                      <w:lang w:val="en-US" w:eastAsia="en-US" w:bidi="ar-SA"/>
                    </w:rPr>
                  </w:pPr>
                  <w:r>
                    <w:rPr>
                      <w:rFonts w:hint="default" w:ascii="Times New Roman" w:hAnsi="Times New Roman" w:eastAsia="宋体" w:cs="Times New Roman"/>
                      <w:color w:val="auto"/>
                      <w:spacing w:val="-2"/>
                      <w:sz w:val="21"/>
                      <w:szCs w:val="21"/>
                      <w:highlight w:val="none"/>
                      <w:u w:val="none" w:color="auto"/>
                    </w:rPr>
                    <w:t>立式数控车床</w:t>
                  </w:r>
                </w:p>
              </w:tc>
              <w:tc>
                <w:tcPr>
                  <w:tcW w:w="895" w:type="pct"/>
                  <w:tcBorders>
                    <w:tl2br w:val="nil"/>
                    <w:tr2bl w:val="nil"/>
                  </w:tcBorders>
                  <w:shd w:val="clear" w:color="auto" w:fill="auto"/>
                  <w:vAlign w:val="center"/>
                </w:tcPr>
                <w:p w14:paraId="6269D80D">
                  <w:pPr>
                    <w:pStyle w:val="100"/>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rPr>
                    <w:t>套</w:t>
                  </w:r>
                </w:p>
              </w:tc>
              <w:tc>
                <w:tcPr>
                  <w:tcW w:w="617" w:type="pct"/>
                  <w:tcBorders>
                    <w:tl2br w:val="nil"/>
                    <w:tr2bl w:val="nil"/>
                  </w:tcBorders>
                  <w:shd w:val="clear" w:color="auto" w:fill="auto"/>
                  <w:vAlign w:val="center"/>
                </w:tcPr>
                <w:p w14:paraId="35599023">
                  <w:pPr>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position w:val="2"/>
                      <w:sz w:val="21"/>
                      <w:szCs w:val="21"/>
                      <w:highlight w:val="none"/>
                      <w:u w:val="none" w:color="auto"/>
                    </w:rPr>
                    <w:t>9</w:t>
                  </w:r>
                </w:p>
              </w:tc>
              <w:tc>
                <w:tcPr>
                  <w:tcW w:w="1681" w:type="pct"/>
                  <w:tcBorders>
                    <w:tl2br w:val="nil"/>
                    <w:tr2bl w:val="nil"/>
                  </w:tcBorders>
                  <w:shd w:val="clear" w:color="auto" w:fill="auto"/>
                  <w:vAlign w:val="center"/>
                </w:tcPr>
                <w:p w14:paraId="6A7C79ED">
                  <w:pPr>
                    <w:keepNext w:val="0"/>
                    <w:keepLines w:val="0"/>
                    <w:pageBreakBefore w:val="0"/>
                    <w:widowControl/>
                    <w:suppressLineNumbers w:val="0"/>
                    <w:kinsoku/>
                    <w:wordWrap/>
                    <w:overflowPunct/>
                    <w:topLinePunct w:val="0"/>
                    <w:autoSpaceDE/>
                    <w:autoSpaceDN/>
                    <w:bidi w:val="0"/>
                    <w:adjustRightInd/>
                    <w:snapToGrid/>
                    <w:spacing w:line="240" w:lineRule="auto"/>
                    <w:ind w:left="0"/>
                    <w:jc w:val="center"/>
                    <w:textAlignment w:val="center"/>
                    <w:rPr>
                      <w:rFonts w:hint="default" w:ascii="Times New Roman" w:hAnsi="Times New Roman" w:eastAsia="宋体" w:cs="Times New Roman"/>
                      <w:b/>
                      <w:bCs/>
                      <w:i w:val="0"/>
                      <w:iCs w:val="0"/>
                      <w:snapToGrid w:val="0"/>
                      <w:color w:val="auto"/>
                      <w:kern w:val="0"/>
                      <w:sz w:val="21"/>
                      <w:szCs w:val="21"/>
                      <w:highlight w:val="none"/>
                      <w:u w:val="none" w:color="auto"/>
                      <w:lang w:val="en-US" w:eastAsia="zh-CN" w:bidi="ar"/>
                    </w:rPr>
                  </w:pPr>
                </w:p>
              </w:tc>
            </w:tr>
            <w:tr w14:paraId="2F3B1B5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trPr>
              <w:tc>
                <w:tcPr>
                  <w:tcW w:w="404" w:type="pct"/>
                  <w:gridSpan w:val="2"/>
                  <w:tcBorders>
                    <w:tl2br w:val="nil"/>
                    <w:tr2bl w:val="nil"/>
                  </w:tcBorders>
                  <w:shd w:val="clear" w:color="auto" w:fill="auto"/>
                  <w:vAlign w:val="center"/>
                </w:tcPr>
                <w:p w14:paraId="328759A8">
                  <w:pPr>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position w:val="1"/>
                      <w:sz w:val="21"/>
                      <w:szCs w:val="21"/>
                      <w:highlight w:val="none"/>
                      <w:u w:val="none" w:color="auto"/>
                    </w:rPr>
                    <w:t>4</w:t>
                  </w:r>
                </w:p>
              </w:tc>
              <w:tc>
                <w:tcPr>
                  <w:tcW w:w="1400" w:type="pct"/>
                  <w:tcBorders>
                    <w:tl2br w:val="nil"/>
                    <w:tr2bl w:val="nil"/>
                  </w:tcBorders>
                  <w:shd w:val="clear" w:color="auto" w:fill="auto"/>
                  <w:vAlign w:val="center"/>
                </w:tcPr>
                <w:p w14:paraId="31823CE4">
                  <w:pPr>
                    <w:pStyle w:val="100"/>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kern w:val="2"/>
                      <w:sz w:val="21"/>
                      <w:szCs w:val="21"/>
                      <w:highlight w:val="none"/>
                      <w:u w:val="none" w:color="auto"/>
                      <w:lang w:val="en-US" w:eastAsia="en-US" w:bidi="ar-SA"/>
                    </w:rPr>
                  </w:pPr>
                  <w:r>
                    <w:rPr>
                      <w:rFonts w:hint="default" w:ascii="Times New Roman" w:hAnsi="Times New Roman" w:eastAsia="宋体" w:cs="Times New Roman"/>
                      <w:color w:val="auto"/>
                      <w:spacing w:val="-4"/>
                      <w:sz w:val="21"/>
                      <w:szCs w:val="21"/>
                      <w:highlight w:val="none"/>
                      <w:u w:val="none" w:color="auto"/>
                    </w:rPr>
                    <w:t>卧式数控车床</w:t>
                  </w:r>
                </w:p>
              </w:tc>
              <w:tc>
                <w:tcPr>
                  <w:tcW w:w="895" w:type="pct"/>
                  <w:tcBorders>
                    <w:tl2br w:val="nil"/>
                    <w:tr2bl w:val="nil"/>
                  </w:tcBorders>
                  <w:shd w:val="clear" w:color="auto" w:fill="auto"/>
                  <w:vAlign w:val="center"/>
                </w:tcPr>
                <w:p w14:paraId="098CD2AC">
                  <w:pPr>
                    <w:pStyle w:val="100"/>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rPr>
                    <w:t>套</w:t>
                  </w:r>
                </w:p>
              </w:tc>
              <w:tc>
                <w:tcPr>
                  <w:tcW w:w="617" w:type="pct"/>
                  <w:tcBorders>
                    <w:tl2br w:val="nil"/>
                    <w:tr2bl w:val="nil"/>
                  </w:tcBorders>
                  <w:shd w:val="clear" w:color="auto" w:fill="auto"/>
                  <w:vAlign w:val="center"/>
                </w:tcPr>
                <w:p w14:paraId="2E6F1EE6">
                  <w:pPr>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position w:val="1"/>
                      <w:sz w:val="21"/>
                      <w:szCs w:val="21"/>
                      <w:highlight w:val="none"/>
                      <w:u w:val="none" w:color="auto"/>
                    </w:rPr>
                    <w:t>6</w:t>
                  </w:r>
                </w:p>
              </w:tc>
              <w:tc>
                <w:tcPr>
                  <w:tcW w:w="1681" w:type="pct"/>
                  <w:tcBorders>
                    <w:tl2br w:val="nil"/>
                    <w:tr2bl w:val="nil"/>
                  </w:tcBorders>
                  <w:shd w:val="clear" w:color="auto" w:fill="auto"/>
                  <w:vAlign w:val="center"/>
                </w:tcPr>
                <w:p w14:paraId="08983B8A">
                  <w:pPr>
                    <w:keepNext w:val="0"/>
                    <w:keepLines w:val="0"/>
                    <w:pageBreakBefore w:val="0"/>
                    <w:widowControl/>
                    <w:suppressLineNumbers w:val="0"/>
                    <w:kinsoku/>
                    <w:wordWrap/>
                    <w:overflowPunct/>
                    <w:topLinePunct w:val="0"/>
                    <w:autoSpaceDE/>
                    <w:autoSpaceDN/>
                    <w:bidi w:val="0"/>
                    <w:adjustRightInd/>
                    <w:snapToGrid/>
                    <w:spacing w:line="240" w:lineRule="auto"/>
                    <w:ind w:left="0"/>
                    <w:jc w:val="center"/>
                    <w:textAlignment w:val="center"/>
                    <w:rPr>
                      <w:rFonts w:hint="default" w:ascii="Times New Roman" w:hAnsi="Times New Roman" w:eastAsia="宋体" w:cs="Times New Roman"/>
                      <w:b/>
                      <w:bCs/>
                      <w:i w:val="0"/>
                      <w:iCs w:val="0"/>
                      <w:snapToGrid w:val="0"/>
                      <w:color w:val="auto"/>
                      <w:kern w:val="0"/>
                      <w:sz w:val="21"/>
                      <w:szCs w:val="21"/>
                      <w:highlight w:val="none"/>
                      <w:u w:val="none" w:color="auto"/>
                      <w:lang w:val="en-US" w:eastAsia="zh-CN" w:bidi="ar"/>
                    </w:rPr>
                  </w:pPr>
                </w:p>
              </w:tc>
            </w:tr>
            <w:tr w14:paraId="021C97A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trPr>
              <w:tc>
                <w:tcPr>
                  <w:tcW w:w="404" w:type="pct"/>
                  <w:gridSpan w:val="2"/>
                  <w:tcBorders>
                    <w:tl2br w:val="nil"/>
                    <w:tr2bl w:val="nil"/>
                  </w:tcBorders>
                  <w:shd w:val="clear" w:color="auto" w:fill="auto"/>
                  <w:vAlign w:val="center"/>
                </w:tcPr>
                <w:p w14:paraId="7913C8FF">
                  <w:pPr>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rPr>
                    <w:t>5</w:t>
                  </w:r>
                </w:p>
              </w:tc>
              <w:tc>
                <w:tcPr>
                  <w:tcW w:w="1400" w:type="pct"/>
                  <w:tcBorders>
                    <w:tl2br w:val="nil"/>
                    <w:tr2bl w:val="nil"/>
                  </w:tcBorders>
                  <w:shd w:val="clear" w:color="auto" w:fill="auto"/>
                  <w:vAlign w:val="center"/>
                </w:tcPr>
                <w:p w14:paraId="0205DBCF">
                  <w:pPr>
                    <w:pStyle w:val="100"/>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kern w:val="2"/>
                      <w:sz w:val="21"/>
                      <w:szCs w:val="21"/>
                      <w:highlight w:val="none"/>
                      <w:u w:val="none" w:color="auto"/>
                      <w:lang w:val="en-US" w:eastAsia="en-US" w:bidi="ar-SA"/>
                    </w:rPr>
                  </w:pPr>
                  <w:r>
                    <w:rPr>
                      <w:rFonts w:hint="default" w:ascii="Times New Roman" w:hAnsi="Times New Roman" w:eastAsia="宋体" w:cs="Times New Roman"/>
                      <w:color w:val="auto"/>
                      <w:spacing w:val="-2"/>
                      <w:sz w:val="21"/>
                      <w:szCs w:val="21"/>
                      <w:highlight w:val="none"/>
                      <w:u w:val="none" w:color="auto"/>
                    </w:rPr>
                    <w:t>立式加工中心</w:t>
                  </w:r>
                </w:p>
              </w:tc>
              <w:tc>
                <w:tcPr>
                  <w:tcW w:w="895" w:type="pct"/>
                  <w:tcBorders>
                    <w:tl2br w:val="nil"/>
                    <w:tr2bl w:val="nil"/>
                  </w:tcBorders>
                  <w:shd w:val="clear" w:color="auto" w:fill="auto"/>
                  <w:vAlign w:val="center"/>
                </w:tcPr>
                <w:p w14:paraId="01168D98">
                  <w:pPr>
                    <w:pStyle w:val="100"/>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rPr>
                    <w:t>套</w:t>
                  </w:r>
                </w:p>
              </w:tc>
              <w:tc>
                <w:tcPr>
                  <w:tcW w:w="617" w:type="pct"/>
                  <w:tcBorders>
                    <w:tl2br w:val="nil"/>
                    <w:tr2bl w:val="nil"/>
                  </w:tcBorders>
                  <w:shd w:val="clear" w:color="auto" w:fill="auto"/>
                  <w:vAlign w:val="center"/>
                </w:tcPr>
                <w:p w14:paraId="504F57D1">
                  <w:pPr>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position w:val="1"/>
                      <w:sz w:val="21"/>
                      <w:szCs w:val="21"/>
                      <w:highlight w:val="none"/>
                      <w:u w:val="none" w:color="auto"/>
                    </w:rPr>
                    <w:t>3</w:t>
                  </w:r>
                </w:p>
              </w:tc>
              <w:tc>
                <w:tcPr>
                  <w:tcW w:w="1681" w:type="pct"/>
                  <w:tcBorders>
                    <w:tl2br w:val="nil"/>
                    <w:tr2bl w:val="nil"/>
                  </w:tcBorders>
                  <w:shd w:val="clear" w:color="auto" w:fill="auto"/>
                  <w:vAlign w:val="center"/>
                </w:tcPr>
                <w:p w14:paraId="516C2CA0">
                  <w:pPr>
                    <w:keepNext w:val="0"/>
                    <w:keepLines w:val="0"/>
                    <w:pageBreakBefore w:val="0"/>
                    <w:widowControl/>
                    <w:suppressLineNumbers w:val="0"/>
                    <w:kinsoku/>
                    <w:wordWrap/>
                    <w:overflowPunct/>
                    <w:topLinePunct w:val="0"/>
                    <w:autoSpaceDE/>
                    <w:autoSpaceDN/>
                    <w:bidi w:val="0"/>
                    <w:adjustRightInd/>
                    <w:snapToGrid/>
                    <w:spacing w:line="240" w:lineRule="auto"/>
                    <w:ind w:left="0"/>
                    <w:jc w:val="center"/>
                    <w:textAlignment w:val="center"/>
                    <w:rPr>
                      <w:rFonts w:hint="default" w:ascii="Times New Roman" w:hAnsi="Times New Roman" w:eastAsia="宋体" w:cs="Times New Roman"/>
                      <w:b w:val="0"/>
                      <w:bCs w:val="0"/>
                      <w:i w:val="0"/>
                      <w:iCs w:val="0"/>
                      <w:snapToGrid w:val="0"/>
                      <w:color w:val="auto"/>
                      <w:kern w:val="0"/>
                      <w:sz w:val="21"/>
                      <w:szCs w:val="21"/>
                      <w:highlight w:val="none"/>
                      <w:u w:val="none" w:color="auto"/>
                      <w:lang w:val="en-US" w:eastAsia="zh-CN" w:bidi="ar"/>
                    </w:rPr>
                  </w:pPr>
                  <w:r>
                    <w:rPr>
                      <w:rFonts w:hint="default" w:ascii="Times New Roman" w:hAnsi="Times New Roman" w:eastAsia="宋体" w:cs="Times New Roman"/>
                      <w:b w:val="0"/>
                      <w:bCs w:val="0"/>
                      <w:i w:val="0"/>
                      <w:iCs w:val="0"/>
                      <w:snapToGrid w:val="0"/>
                      <w:color w:val="auto"/>
                      <w:kern w:val="0"/>
                      <w:sz w:val="21"/>
                      <w:szCs w:val="21"/>
                      <w:highlight w:val="none"/>
                      <w:u w:val="none" w:color="auto"/>
                      <w:lang w:val="en-US" w:eastAsia="zh-CN" w:bidi="ar"/>
                    </w:rPr>
                    <w:t>功率：45kw</w:t>
                  </w:r>
                </w:p>
              </w:tc>
            </w:tr>
            <w:tr w14:paraId="1EB2DF1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trPr>
              <w:tc>
                <w:tcPr>
                  <w:tcW w:w="404" w:type="pct"/>
                  <w:gridSpan w:val="2"/>
                  <w:tcBorders>
                    <w:tl2br w:val="nil"/>
                    <w:tr2bl w:val="nil"/>
                  </w:tcBorders>
                  <w:shd w:val="clear" w:color="auto" w:fill="auto"/>
                  <w:vAlign w:val="center"/>
                </w:tcPr>
                <w:p w14:paraId="122849FB">
                  <w:pPr>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position w:val="1"/>
                      <w:sz w:val="21"/>
                      <w:szCs w:val="21"/>
                      <w:highlight w:val="none"/>
                      <w:u w:val="none" w:color="auto"/>
                    </w:rPr>
                    <w:t>6</w:t>
                  </w:r>
                </w:p>
              </w:tc>
              <w:tc>
                <w:tcPr>
                  <w:tcW w:w="1400" w:type="pct"/>
                  <w:tcBorders>
                    <w:tl2br w:val="nil"/>
                    <w:tr2bl w:val="nil"/>
                  </w:tcBorders>
                  <w:shd w:val="clear" w:color="auto" w:fill="auto"/>
                  <w:vAlign w:val="center"/>
                </w:tcPr>
                <w:p w14:paraId="0F0EC318">
                  <w:pPr>
                    <w:pStyle w:val="100"/>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kern w:val="2"/>
                      <w:sz w:val="21"/>
                      <w:szCs w:val="21"/>
                      <w:highlight w:val="none"/>
                      <w:u w:val="none" w:color="auto"/>
                      <w:lang w:val="en-US" w:eastAsia="en-US" w:bidi="ar-SA"/>
                    </w:rPr>
                  </w:pPr>
                  <w:r>
                    <w:rPr>
                      <w:rFonts w:hint="default" w:ascii="Times New Roman" w:hAnsi="Times New Roman" w:eastAsia="宋体" w:cs="Times New Roman"/>
                      <w:color w:val="auto"/>
                      <w:spacing w:val="-2"/>
                      <w:sz w:val="21"/>
                      <w:szCs w:val="21"/>
                      <w:highlight w:val="none"/>
                      <w:u w:val="none" w:color="auto"/>
                    </w:rPr>
                    <w:t>立式加工中心</w:t>
                  </w:r>
                </w:p>
              </w:tc>
              <w:tc>
                <w:tcPr>
                  <w:tcW w:w="895" w:type="pct"/>
                  <w:tcBorders>
                    <w:tl2br w:val="nil"/>
                    <w:tr2bl w:val="nil"/>
                  </w:tcBorders>
                  <w:shd w:val="clear" w:color="auto" w:fill="auto"/>
                  <w:vAlign w:val="center"/>
                </w:tcPr>
                <w:p w14:paraId="54F026C4">
                  <w:pPr>
                    <w:pStyle w:val="100"/>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rPr>
                    <w:t>套</w:t>
                  </w:r>
                </w:p>
              </w:tc>
              <w:tc>
                <w:tcPr>
                  <w:tcW w:w="617" w:type="pct"/>
                  <w:tcBorders>
                    <w:tl2br w:val="nil"/>
                    <w:tr2bl w:val="nil"/>
                  </w:tcBorders>
                  <w:shd w:val="clear" w:color="auto" w:fill="auto"/>
                  <w:vAlign w:val="center"/>
                </w:tcPr>
                <w:p w14:paraId="182C4AE3">
                  <w:pPr>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pacing w:val="-3"/>
                      <w:position w:val="1"/>
                      <w:sz w:val="21"/>
                      <w:szCs w:val="21"/>
                      <w:highlight w:val="none"/>
                      <w:u w:val="none" w:color="auto"/>
                    </w:rPr>
                    <w:t>24</w:t>
                  </w:r>
                </w:p>
              </w:tc>
              <w:tc>
                <w:tcPr>
                  <w:tcW w:w="1681" w:type="pct"/>
                  <w:tcBorders>
                    <w:tl2br w:val="nil"/>
                    <w:tr2bl w:val="nil"/>
                  </w:tcBorders>
                  <w:shd w:val="clear" w:color="auto" w:fill="auto"/>
                  <w:vAlign w:val="center"/>
                </w:tcPr>
                <w:p w14:paraId="3815372F">
                  <w:pPr>
                    <w:keepNext w:val="0"/>
                    <w:keepLines w:val="0"/>
                    <w:pageBreakBefore w:val="0"/>
                    <w:widowControl/>
                    <w:suppressLineNumbers w:val="0"/>
                    <w:kinsoku/>
                    <w:wordWrap/>
                    <w:overflowPunct/>
                    <w:topLinePunct w:val="0"/>
                    <w:autoSpaceDE/>
                    <w:autoSpaceDN/>
                    <w:bidi w:val="0"/>
                    <w:adjustRightInd/>
                    <w:snapToGrid/>
                    <w:spacing w:line="240" w:lineRule="auto"/>
                    <w:ind w:left="0"/>
                    <w:jc w:val="center"/>
                    <w:textAlignment w:val="center"/>
                    <w:rPr>
                      <w:rFonts w:hint="default" w:ascii="Times New Roman" w:hAnsi="Times New Roman" w:eastAsia="宋体" w:cs="Times New Roman"/>
                      <w:b w:val="0"/>
                      <w:bCs w:val="0"/>
                      <w:i w:val="0"/>
                      <w:iCs w:val="0"/>
                      <w:snapToGrid w:val="0"/>
                      <w:color w:val="auto"/>
                      <w:kern w:val="0"/>
                      <w:sz w:val="21"/>
                      <w:szCs w:val="21"/>
                      <w:highlight w:val="none"/>
                      <w:u w:val="none" w:color="auto"/>
                      <w:lang w:val="en-US" w:eastAsia="zh-CN" w:bidi="ar"/>
                    </w:rPr>
                  </w:pPr>
                  <w:r>
                    <w:rPr>
                      <w:rFonts w:hint="default" w:ascii="Times New Roman" w:hAnsi="Times New Roman" w:eastAsia="宋体" w:cs="Times New Roman"/>
                      <w:b w:val="0"/>
                      <w:bCs w:val="0"/>
                      <w:i w:val="0"/>
                      <w:iCs w:val="0"/>
                      <w:snapToGrid w:val="0"/>
                      <w:color w:val="auto"/>
                      <w:kern w:val="0"/>
                      <w:sz w:val="21"/>
                      <w:szCs w:val="21"/>
                      <w:highlight w:val="none"/>
                      <w:u w:val="none" w:color="auto"/>
                      <w:lang w:val="en-US" w:eastAsia="zh-CN" w:bidi="ar"/>
                    </w:rPr>
                    <w:t>功率：408kw</w:t>
                  </w:r>
                </w:p>
              </w:tc>
            </w:tr>
            <w:tr w14:paraId="63849D9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trPr>
              <w:tc>
                <w:tcPr>
                  <w:tcW w:w="404" w:type="pct"/>
                  <w:gridSpan w:val="2"/>
                  <w:tcBorders>
                    <w:tl2br w:val="nil"/>
                    <w:tr2bl w:val="nil"/>
                  </w:tcBorders>
                  <w:shd w:val="clear" w:color="auto" w:fill="auto"/>
                  <w:vAlign w:val="center"/>
                </w:tcPr>
                <w:p w14:paraId="65A63A50">
                  <w:pPr>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rPr>
                    <w:t>7</w:t>
                  </w:r>
                </w:p>
              </w:tc>
              <w:tc>
                <w:tcPr>
                  <w:tcW w:w="1400" w:type="pct"/>
                  <w:tcBorders>
                    <w:tl2br w:val="nil"/>
                    <w:tr2bl w:val="nil"/>
                  </w:tcBorders>
                  <w:shd w:val="clear" w:color="auto" w:fill="auto"/>
                  <w:vAlign w:val="center"/>
                </w:tcPr>
                <w:p w14:paraId="462F5686">
                  <w:pPr>
                    <w:pStyle w:val="100"/>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kern w:val="2"/>
                      <w:sz w:val="21"/>
                      <w:szCs w:val="21"/>
                      <w:highlight w:val="none"/>
                      <w:u w:val="none" w:color="auto"/>
                      <w:lang w:val="en-US" w:eastAsia="en-US" w:bidi="ar-SA"/>
                    </w:rPr>
                  </w:pPr>
                  <w:r>
                    <w:rPr>
                      <w:rFonts w:hint="default" w:ascii="Times New Roman" w:hAnsi="Times New Roman" w:eastAsia="宋体" w:cs="Times New Roman"/>
                      <w:color w:val="auto"/>
                      <w:spacing w:val="-2"/>
                      <w:sz w:val="21"/>
                      <w:szCs w:val="21"/>
                      <w:highlight w:val="none"/>
                      <w:u w:val="none" w:color="auto"/>
                    </w:rPr>
                    <w:t>立式加工中心</w:t>
                  </w:r>
                </w:p>
              </w:tc>
              <w:tc>
                <w:tcPr>
                  <w:tcW w:w="895" w:type="pct"/>
                  <w:tcBorders>
                    <w:tl2br w:val="nil"/>
                    <w:tr2bl w:val="nil"/>
                  </w:tcBorders>
                  <w:shd w:val="clear" w:color="auto" w:fill="auto"/>
                  <w:vAlign w:val="center"/>
                </w:tcPr>
                <w:p w14:paraId="6B048EE2">
                  <w:pPr>
                    <w:pStyle w:val="100"/>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rPr>
                    <w:t>套</w:t>
                  </w:r>
                </w:p>
              </w:tc>
              <w:tc>
                <w:tcPr>
                  <w:tcW w:w="617" w:type="pct"/>
                  <w:tcBorders>
                    <w:tl2br w:val="nil"/>
                    <w:tr2bl w:val="nil"/>
                  </w:tcBorders>
                  <w:shd w:val="clear" w:color="auto" w:fill="auto"/>
                  <w:vAlign w:val="center"/>
                </w:tcPr>
                <w:p w14:paraId="190A3223">
                  <w:pPr>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position w:val="1"/>
                      <w:sz w:val="21"/>
                      <w:szCs w:val="21"/>
                      <w:highlight w:val="none"/>
                      <w:u w:val="none" w:color="auto"/>
                    </w:rPr>
                    <w:t>2</w:t>
                  </w:r>
                </w:p>
              </w:tc>
              <w:tc>
                <w:tcPr>
                  <w:tcW w:w="1681" w:type="pct"/>
                  <w:tcBorders>
                    <w:tl2br w:val="nil"/>
                    <w:tr2bl w:val="nil"/>
                  </w:tcBorders>
                  <w:shd w:val="clear" w:color="auto" w:fill="auto"/>
                  <w:vAlign w:val="center"/>
                </w:tcPr>
                <w:p w14:paraId="79D0EB20">
                  <w:pPr>
                    <w:keepNext w:val="0"/>
                    <w:keepLines w:val="0"/>
                    <w:pageBreakBefore w:val="0"/>
                    <w:widowControl/>
                    <w:suppressLineNumbers w:val="0"/>
                    <w:kinsoku/>
                    <w:wordWrap/>
                    <w:overflowPunct/>
                    <w:topLinePunct w:val="0"/>
                    <w:autoSpaceDE/>
                    <w:autoSpaceDN/>
                    <w:bidi w:val="0"/>
                    <w:adjustRightInd/>
                    <w:snapToGrid/>
                    <w:spacing w:line="240" w:lineRule="auto"/>
                    <w:ind w:left="0"/>
                    <w:jc w:val="center"/>
                    <w:textAlignment w:val="center"/>
                    <w:rPr>
                      <w:rFonts w:hint="default" w:ascii="Times New Roman" w:hAnsi="Times New Roman" w:eastAsia="宋体" w:cs="Times New Roman"/>
                      <w:b w:val="0"/>
                      <w:bCs w:val="0"/>
                      <w:i w:val="0"/>
                      <w:iCs w:val="0"/>
                      <w:snapToGrid w:val="0"/>
                      <w:color w:val="auto"/>
                      <w:kern w:val="0"/>
                      <w:sz w:val="21"/>
                      <w:szCs w:val="21"/>
                      <w:highlight w:val="none"/>
                      <w:u w:val="none" w:color="auto"/>
                      <w:lang w:val="en-US" w:eastAsia="zh-CN" w:bidi="ar"/>
                    </w:rPr>
                  </w:pPr>
                  <w:r>
                    <w:rPr>
                      <w:rFonts w:hint="default" w:ascii="Times New Roman" w:hAnsi="Times New Roman" w:eastAsia="宋体" w:cs="Times New Roman"/>
                      <w:b w:val="0"/>
                      <w:bCs w:val="0"/>
                      <w:i w:val="0"/>
                      <w:iCs w:val="0"/>
                      <w:snapToGrid w:val="0"/>
                      <w:color w:val="auto"/>
                      <w:kern w:val="0"/>
                      <w:sz w:val="21"/>
                      <w:szCs w:val="21"/>
                      <w:highlight w:val="none"/>
                      <w:u w:val="none" w:color="auto"/>
                      <w:lang w:val="en-US" w:eastAsia="zh-CN" w:bidi="ar"/>
                    </w:rPr>
                    <w:t>功率：34kw</w:t>
                  </w:r>
                </w:p>
              </w:tc>
            </w:tr>
            <w:tr w14:paraId="7134585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trPr>
              <w:tc>
                <w:tcPr>
                  <w:tcW w:w="404" w:type="pct"/>
                  <w:gridSpan w:val="2"/>
                  <w:tcBorders>
                    <w:tl2br w:val="nil"/>
                    <w:tr2bl w:val="nil"/>
                  </w:tcBorders>
                  <w:shd w:val="clear" w:color="auto" w:fill="auto"/>
                  <w:vAlign w:val="center"/>
                </w:tcPr>
                <w:p w14:paraId="51631973">
                  <w:pPr>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position w:val="1"/>
                      <w:sz w:val="21"/>
                      <w:szCs w:val="21"/>
                      <w:highlight w:val="none"/>
                      <w:u w:val="none" w:color="auto"/>
                    </w:rPr>
                    <w:t>8</w:t>
                  </w:r>
                </w:p>
              </w:tc>
              <w:tc>
                <w:tcPr>
                  <w:tcW w:w="1400" w:type="pct"/>
                  <w:tcBorders>
                    <w:tl2br w:val="nil"/>
                    <w:tr2bl w:val="nil"/>
                  </w:tcBorders>
                  <w:shd w:val="clear" w:color="auto" w:fill="auto"/>
                  <w:vAlign w:val="center"/>
                </w:tcPr>
                <w:p w14:paraId="328C4BCF">
                  <w:pPr>
                    <w:pStyle w:val="100"/>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kern w:val="2"/>
                      <w:sz w:val="21"/>
                      <w:szCs w:val="21"/>
                      <w:highlight w:val="none"/>
                      <w:u w:val="none" w:color="auto"/>
                      <w:lang w:val="en-US" w:eastAsia="en-US" w:bidi="ar-SA"/>
                    </w:rPr>
                  </w:pPr>
                  <w:r>
                    <w:rPr>
                      <w:rFonts w:hint="default" w:ascii="Times New Roman" w:hAnsi="Times New Roman" w:eastAsia="宋体" w:cs="Times New Roman"/>
                      <w:color w:val="auto"/>
                      <w:spacing w:val="-5"/>
                      <w:sz w:val="21"/>
                      <w:szCs w:val="21"/>
                      <w:highlight w:val="none"/>
                      <w:u w:val="none" w:color="auto"/>
                    </w:rPr>
                    <w:t>水冷机</w:t>
                  </w:r>
                </w:p>
              </w:tc>
              <w:tc>
                <w:tcPr>
                  <w:tcW w:w="895" w:type="pct"/>
                  <w:tcBorders>
                    <w:tl2br w:val="nil"/>
                    <w:tr2bl w:val="nil"/>
                  </w:tcBorders>
                  <w:shd w:val="clear" w:color="auto" w:fill="auto"/>
                  <w:vAlign w:val="center"/>
                </w:tcPr>
                <w:p w14:paraId="5FCB98BC">
                  <w:pPr>
                    <w:pStyle w:val="100"/>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rPr>
                    <w:t>套</w:t>
                  </w:r>
                </w:p>
              </w:tc>
              <w:tc>
                <w:tcPr>
                  <w:tcW w:w="617" w:type="pct"/>
                  <w:tcBorders>
                    <w:tl2br w:val="nil"/>
                    <w:tr2bl w:val="nil"/>
                  </w:tcBorders>
                  <w:shd w:val="clear" w:color="auto" w:fill="auto"/>
                  <w:vAlign w:val="center"/>
                </w:tcPr>
                <w:p w14:paraId="374B16F9">
                  <w:pPr>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pacing w:val="-5"/>
                      <w:position w:val="1"/>
                      <w:sz w:val="21"/>
                      <w:szCs w:val="21"/>
                      <w:highlight w:val="none"/>
                      <w:u w:val="none" w:color="auto"/>
                    </w:rPr>
                    <w:t>33</w:t>
                  </w:r>
                </w:p>
              </w:tc>
              <w:tc>
                <w:tcPr>
                  <w:tcW w:w="1681" w:type="pct"/>
                  <w:tcBorders>
                    <w:tl2br w:val="nil"/>
                    <w:tr2bl w:val="nil"/>
                  </w:tcBorders>
                  <w:shd w:val="clear" w:color="auto" w:fill="auto"/>
                  <w:vAlign w:val="center"/>
                </w:tcPr>
                <w:p w14:paraId="1BC1A250">
                  <w:pPr>
                    <w:keepNext w:val="0"/>
                    <w:keepLines w:val="0"/>
                    <w:pageBreakBefore w:val="0"/>
                    <w:widowControl/>
                    <w:suppressLineNumbers w:val="0"/>
                    <w:kinsoku/>
                    <w:wordWrap/>
                    <w:overflowPunct/>
                    <w:topLinePunct w:val="0"/>
                    <w:autoSpaceDE/>
                    <w:autoSpaceDN/>
                    <w:bidi w:val="0"/>
                    <w:adjustRightInd/>
                    <w:snapToGrid/>
                    <w:spacing w:line="240" w:lineRule="auto"/>
                    <w:ind w:left="0"/>
                    <w:jc w:val="center"/>
                    <w:textAlignment w:val="center"/>
                    <w:rPr>
                      <w:rFonts w:hint="default" w:ascii="Times New Roman" w:hAnsi="Times New Roman" w:eastAsia="宋体" w:cs="Times New Roman"/>
                      <w:b/>
                      <w:bCs/>
                      <w:i w:val="0"/>
                      <w:iCs w:val="0"/>
                      <w:snapToGrid w:val="0"/>
                      <w:color w:val="auto"/>
                      <w:kern w:val="0"/>
                      <w:sz w:val="21"/>
                      <w:szCs w:val="21"/>
                      <w:highlight w:val="none"/>
                      <w:u w:val="none" w:color="auto"/>
                      <w:lang w:val="en-US" w:eastAsia="zh-CN" w:bidi="ar"/>
                    </w:rPr>
                  </w:pPr>
                  <w:r>
                    <w:rPr>
                      <w:rFonts w:hint="default" w:ascii="Times New Roman" w:hAnsi="Times New Roman" w:eastAsia="宋体" w:cs="Times New Roman"/>
                      <w:b w:val="0"/>
                      <w:bCs w:val="0"/>
                      <w:i w:val="0"/>
                      <w:iCs w:val="0"/>
                      <w:snapToGrid w:val="0"/>
                      <w:color w:val="auto"/>
                      <w:kern w:val="0"/>
                      <w:sz w:val="21"/>
                      <w:szCs w:val="21"/>
                      <w:highlight w:val="none"/>
                      <w:u w:val="none" w:color="auto"/>
                      <w:lang w:val="en-US" w:eastAsia="zh-CN" w:bidi="ar"/>
                    </w:rPr>
                    <w:t>与相关设备配套</w:t>
                  </w:r>
                </w:p>
              </w:tc>
            </w:tr>
            <w:tr w14:paraId="73D69B1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trPr>
              <w:tc>
                <w:tcPr>
                  <w:tcW w:w="404" w:type="pct"/>
                  <w:gridSpan w:val="2"/>
                  <w:tcBorders>
                    <w:tl2br w:val="nil"/>
                    <w:tr2bl w:val="nil"/>
                  </w:tcBorders>
                  <w:shd w:val="clear" w:color="auto" w:fill="auto"/>
                  <w:vAlign w:val="center"/>
                </w:tcPr>
                <w:p w14:paraId="151C579D">
                  <w:pPr>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position w:val="2"/>
                      <w:sz w:val="21"/>
                      <w:szCs w:val="21"/>
                      <w:highlight w:val="none"/>
                      <w:u w:val="none" w:color="auto"/>
                    </w:rPr>
                    <w:t>9</w:t>
                  </w:r>
                </w:p>
              </w:tc>
              <w:tc>
                <w:tcPr>
                  <w:tcW w:w="1400" w:type="pct"/>
                  <w:tcBorders>
                    <w:tl2br w:val="nil"/>
                    <w:tr2bl w:val="nil"/>
                  </w:tcBorders>
                  <w:shd w:val="clear" w:color="auto" w:fill="auto"/>
                  <w:vAlign w:val="center"/>
                </w:tcPr>
                <w:p w14:paraId="54C2E23F">
                  <w:pPr>
                    <w:pStyle w:val="100"/>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kern w:val="2"/>
                      <w:sz w:val="21"/>
                      <w:szCs w:val="21"/>
                      <w:highlight w:val="none"/>
                      <w:u w:val="none" w:color="auto"/>
                      <w:lang w:val="en-US" w:eastAsia="en-US" w:bidi="ar-SA"/>
                    </w:rPr>
                  </w:pPr>
                  <w:r>
                    <w:rPr>
                      <w:rFonts w:hint="default" w:ascii="Times New Roman" w:hAnsi="Times New Roman" w:eastAsia="宋体" w:cs="Times New Roman"/>
                      <w:color w:val="auto"/>
                      <w:spacing w:val="-2"/>
                      <w:sz w:val="21"/>
                      <w:szCs w:val="21"/>
                      <w:highlight w:val="none"/>
                      <w:u w:val="none" w:color="auto"/>
                    </w:rPr>
                    <w:t>搅拌摩擦焊</w:t>
                  </w:r>
                </w:p>
              </w:tc>
              <w:tc>
                <w:tcPr>
                  <w:tcW w:w="895" w:type="pct"/>
                  <w:tcBorders>
                    <w:tl2br w:val="nil"/>
                    <w:tr2bl w:val="nil"/>
                  </w:tcBorders>
                  <w:shd w:val="clear" w:color="auto" w:fill="auto"/>
                  <w:vAlign w:val="center"/>
                </w:tcPr>
                <w:p w14:paraId="376EBCC2">
                  <w:pPr>
                    <w:pStyle w:val="100"/>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rPr>
                    <w:t>套</w:t>
                  </w:r>
                </w:p>
              </w:tc>
              <w:tc>
                <w:tcPr>
                  <w:tcW w:w="617" w:type="pct"/>
                  <w:tcBorders>
                    <w:tl2br w:val="nil"/>
                    <w:tr2bl w:val="nil"/>
                  </w:tcBorders>
                  <w:shd w:val="clear" w:color="auto" w:fill="auto"/>
                  <w:vAlign w:val="center"/>
                </w:tcPr>
                <w:p w14:paraId="3F67AB00">
                  <w:pPr>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position w:val="1"/>
                      <w:sz w:val="21"/>
                      <w:szCs w:val="21"/>
                      <w:highlight w:val="none"/>
                      <w:u w:val="none" w:color="auto"/>
                    </w:rPr>
                    <w:t>6</w:t>
                  </w:r>
                </w:p>
              </w:tc>
              <w:tc>
                <w:tcPr>
                  <w:tcW w:w="1681" w:type="pct"/>
                  <w:tcBorders>
                    <w:tl2br w:val="nil"/>
                    <w:tr2bl w:val="nil"/>
                  </w:tcBorders>
                  <w:shd w:val="clear" w:color="auto" w:fill="auto"/>
                  <w:vAlign w:val="center"/>
                </w:tcPr>
                <w:p w14:paraId="6523D60D">
                  <w:pPr>
                    <w:keepNext w:val="0"/>
                    <w:keepLines w:val="0"/>
                    <w:pageBreakBefore w:val="0"/>
                    <w:widowControl/>
                    <w:suppressLineNumbers w:val="0"/>
                    <w:kinsoku/>
                    <w:wordWrap/>
                    <w:overflowPunct/>
                    <w:topLinePunct w:val="0"/>
                    <w:autoSpaceDE/>
                    <w:autoSpaceDN/>
                    <w:bidi w:val="0"/>
                    <w:adjustRightInd/>
                    <w:snapToGrid/>
                    <w:spacing w:line="240" w:lineRule="auto"/>
                    <w:ind w:left="0"/>
                    <w:jc w:val="center"/>
                    <w:textAlignment w:val="center"/>
                    <w:rPr>
                      <w:rFonts w:hint="default" w:ascii="Times New Roman" w:hAnsi="Times New Roman" w:eastAsia="宋体" w:cs="Times New Roman"/>
                      <w:b/>
                      <w:bCs/>
                      <w:i w:val="0"/>
                      <w:iCs w:val="0"/>
                      <w:snapToGrid w:val="0"/>
                      <w:color w:val="auto"/>
                      <w:kern w:val="0"/>
                      <w:sz w:val="21"/>
                      <w:szCs w:val="21"/>
                      <w:highlight w:val="none"/>
                      <w:u w:val="none" w:color="auto"/>
                      <w:lang w:val="en-US" w:eastAsia="zh-CN" w:bidi="ar"/>
                    </w:rPr>
                  </w:pPr>
                </w:p>
              </w:tc>
            </w:tr>
            <w:tr w14:paraId="777C6B6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trPr>
              <w:tc>
                <w:tcPr>
                  <w:tcW w:w="404" w:type="pct"/>
                  <w:gridSpan w:val="2"/>
                  <w:tcBorders>
                    <w:tl2br w:val="nil"/>
                    <w:tr2bl w:val="nil"/>
                  </w:tcBorders>
                  <w:shd w:val="clear" w:color="auto" w:fill="auto"/>
                  <w:vAlign w:val="center"/>
                </w:tcPr>
                <w:p w14:paraId="4356268D">
                  <w:pPr>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position w:val="2"/>
                      <w:sz w:val="21"/>
                      <w:szCs w:val="21"/>
                      <w:highlight w:val="none"/>
                      <w:u w:val="none" w:color="auto"/>
                      <w:lang w:val="en-US" w:eastAsia="zh-CN"/>
                    </w:rPr>
                  </w:pPr>
                  <w:r>
                    <w:rPr>
                      <w:rFonts w:hint="default" w:ascii="Times New Roman" w:hAnsi="Times New Roman" w:eastAsia="宋体" w:cs="Times New Roman"/>
                      <w:color w:val="auto"/>
                      <w:position w:val="2"/>
                      <w:sz w:val="21"/>
                      <w:szCs w:val="21"/>
                      <w:highlight w:val="none"/>
                      <w:u w:val="none" w:color="auto"/>
                      <w:lang w:val="en-US" w:eastAsia="zh-CN"/>
                    </w:rPr>
                    <w:t>10</w:t>
                  </w:r>
                </w:p>
              </w:tc>
              <w:tc>
                <w:tcPr>
                  <w:tcW w:w="1400" w:type="pct"/>
                  <w:tcBorders>
                    <w:tl2br w:val="nil"/>
                    <w:tr2bl w:val="nil"/>
                  </w:tcBorders>
                  <w:shd w:val="clear" w:color="auto" w:fill="auto"/>
                  <w:vAlign w:val="center"/>
                </w:tcPr>
                <w:p w14:paraId="79083D01">
                  <w:pPr>
                    <w:pStyle w:val="100"/>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spacing w:val="-2"/>
                      <w:sz w:val="21"/>
                      <w:szCs w:val="21"/>
                      <w:highlight w:val="none"/>
                      <w:u w:val="none" w:color="auto"/>
                      <w:lang w:val="en-US" w:eastAsia="zh-CN"/>
                    </w:rPr>
                  </w:pPr>
                  <w:r>
                    <w:rPr>
                      <w:rFonts w:hint="default" w:ascii="Times New Roman" w:hAnsi="Times New Roman" w:eastAsia="宋体" w:cs="Times New Roman"/>
                      <w:color w:val="auto"/>
                      <w:spacing w:val="-2"/>
                      <w:sz w:val="21"/>
                      <w:szCs w:val="21"/>
                      <w:highlight w:val="none"/>
                      <w:u w:val="none" w:color="auto"/>
                      <w:lang w:val="en-US" w:eastAsia="zh-CN"/>
                    </w:rPr>
                    <w:t>空压站</w:t>
                  </w:r>
                </w:p>
              </w:tc>
              <w:tc>
                <w:tcPr>
                  <w:tcW w:w="895" w:type="pct"/>
                  <w:tcBorders>
                    <w:tl2br w:val="nil"/>
                    <w:tr2bl w:val="nil"/>
                  </w:tcBorders>
                  <w:shd w:val="clear" w:color="auto" w:fill="auto"/>
                  <w:vAlign w:val="center"/>
                </w:tcPr>
                <w:p w14:paraId="794CD730">
                  <w:pPr>
                    <w:pStyle w:val="100"/>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套</w:t>
                  </w:r>
                </w:p>
              </w:tc>
              <w:tc>
                <w:tcPr>
                  <w:tcW w:w="617" w:type="pct"/>
                  <w:tcBorders>
                    <w:tl2br w:val="nil"/>
                    <w:tr2bl w:val="nil"/>
                  </w:tcBorders>
                  <w:shd w:val="clear" w:color="auto" w:fill="auto"/>
                  <w:vAlign w:val="center"/>
                </w:tcPr>
                <w:p w14:paraId="2936CC60">
                  <w:pPr>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position w:val="1"/>
                      <w:sz w:val="21"/>
                      <w:szCs w:val="21"/>
                      <w:highlight w:val="none"/>
                      <w:u w:val="none" w:color="auto"/>
                    </w:rPr>
                  </w:pPr>
                  <w:r>
                    <w:rPr>
                      <w:rFonts w:hint="default" w:ascii="Times New Roman" w:hAnsi="Times New Roman" w:eastAsia="宋体" w:cs="Times New Roman"/>
                      <w:color w:val="auto"/>
                      <w:sz w:val="21"/>
                      <w:szCs w:val="21"/>
                      <w:highlight w:val="none"/>
                      <w:u w:val="none" w:color="auto"/>
                      <w:lang w:val="en-US" w:eastAsia="zh-CN"/>
                    </w:rPr>
                    <w:t>1</w:t>
                  </w:r>
                </w:p>
              </w:tc>
              <w:tc>
                <w:tcPr>
                  <w:tcW w:w="1681" w:type="pct"/>
                  <w:tcBorders>
                    <w:tl2br w:val="nil"/>
                    <w:tr2bl w:val="nil"/>
                  </w:tcBorders>
                  <w:shd w:val="clear" w:color="auto" w:fill="auto"/>
                  <w:vAlign w:val="center"/>
                </w:tcPr>
                <w:p w14:paraId="40722204">
                  <w:pPr>
                    <w:keepNext w:val="0"/>
                    <w:keepLines w:val="0"/>
                    <w:pageBreakBefore w:val="0"/>
                    <w:widowControl/>
                    <w:suppressLineNumbers w:val="0"/>
                    <w:kinsoku/>
                    <w:wordWrap/>
                    <w:overflowPunct/>
                    <w:topLinePunct w:val="0"/>
                    <w:autoSpaceDE/>
                    <w:autoSpaceDN/>
                    <w:bidi w:val="0"/>
                    <w:adjustRightInd/>
                    <w:snapToGrid/>
                    <w:spacing w:line="240" w:lineRule="auto"/>
                    <w:ind w:left="0"/>
                    <w:jc w:val="center"/>
                    <w:textAlignment w:val="center"/>
                    <w:rPr>
                      <w:rFonts w:hint="default" w:ascii="Times New Roman" w:hAnsi="Times New Roman" w:eastAsia="宋体" w:cs="Times New Roman"/>
                      <w:b/>
                      <w:bCs/>
                      <w:i w:val="0"/>
                      <w:iCs w:val="0"/>
                      <w:snapToGrid w:val="0"/>
                      <w:color w:val="auto"/>
                      <w:kern w:val="0"/>
                      <w:sz w:val="21"/>
                      <w:szCs w:val="21"/>
                      <w:highlight w:val="none"/>
                      <w:u w:val="none" w:color="auto"/>
                      <w:lang w:val="en-US" w:eastAsia="zh-CN" w:bidi="ar"/>
                    </w:rPr>
                  </w:pPr>
                </w:p>
              </w:tc>
            </w:tr>
            <w:tr w14:paraId="77D55AD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trPr>
              <w:tc>
                <w:tcPr>
                  <w:tcW w:w="5000" w:type="pct"/>
                  <w:gridSpan w:val="6"/>
                  <w:tcBorders>
                    <w:tl2br w:val="nil"/>
                    <w:tr2bl w:val="nil"/>
                  </w:tcBorders>
                  <w:shd w:val="clear" w:color="auto" w:fill="auto"/>
                  <w:vAlign w:val="center"/>
                </w:tcPr>
                <w:p w14:paraId="1D5DCD0B">
                  <w:pPr>
                    <w:keepNext w:val="0"/>
                    <w:keepLines w:val="0"/>
                    <w:pageBreakBefore w:val="0"/>
                    <w:widowControl/>
                    <w:suppressLineNumbers w:val="0"/>
                    <w:kinsoku/>
                    <w:wordWrap/>
                    <w:overflowPunct/>
                    <w:topLinePunct w:val="0"/>
                    <w:autoSpaceDE/>
                    <w:autoSpaceDN/>
                    <w:bidi w:val="0"/>
                    <w:adjustRightInd/>
                    <w:snapToGrid/>
                    <w:spacing w:line="240" w:lineRule="auto"/>
                    <w:ind w:left="0"/>
                    <w:jc w:val="center"/>
                    <w:textAlignment w:val="center"/>
                    <w:rPr>
                      <w:rFonts w:hint="default" w:ascii="Times New Roman" w:hAnsi="Times New Roman" w:eastAsia="宋体" w:cs="Times New Roman"/>
                      <w:b/>
                      <w:bCs/>
                      <w:i w:val="0"/>
                      <w:iCs w:val="0"/>
                      <w:snapToGrid w:val="0"/>
                      <w:color w:val="auto"/>
                      <w:kern w:val="0"/>
                      <w:sz w:val="21"/>
                      <w:szCs w:val="21"/>
                      <w:highlight w:val="none"/>
                      <w:u w:val="none" w:color="auto"/>
                      <w:lang w:val="en-US" w:eastAsia="zh-CN" w:bidi="ar"/>
                    </w:rPr>
                  </w:pPr>
                  <w:r>
                    <w:rPr>
                      <w:rFonts w:hint="default" w:ascii="Times New Roman" w:hAnsi="Times New Roman" w:eastAsia="宋体" w:cs="Times New Roman"/>
                      <w:b/>
                      <w:bCs/>
                      <w:i w:val="0"/>
                      <w:iCs w:val="0"/>
                      <w:snapToGrid w:val="0"/>
                      <w:color w:val="auto"/>
                      <w:kern w:val="0"/>
                      <w:sz w:val="21"/>
                      <w:szCs w:val="21"/>
                      <w:highlight w:val="none"/>
                      <w:u w:val="none" w:color="auto"/>
                      <w:lang w:val="en-US" w:eastAsia="zh-CN" w:bidi="ar"/>
                    </w:rPr>
                    <w:t>临港高新产业园区：21栋</w:t>
                  </w:r>
                </w:p>
              </w:tc>
            </w:tr>
            <w:tr w14:paraId="18E6356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trPr>
              <w:tc>
                <w:tcPr>
                  <w:tcW w:w="404" w:type="pct"/>
                  <w:gridSpan w:val="2"/>
                  <w:tcBorders>
                    <w:tl2br w:val="nil"/>
                    <w:tr2bl w:val="nil"/>
                  </w:tcBorders>
                  <w:shd w:val="clear" w:color="auto" w:fill="auto"/>
                  <w:vAlign w:val="center"/>
                </w:tcPr>
                <w:p w14:paraId="17088C9C">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b/>
                      <w:bCs/>
                      <w:i w:val="0"/>
                      <w:iCs w:val="0"/>
                      <w:snapToGrid w:val="0"/>
                      <w:color w:val="auto"/>
                      <w:kern w:val="0"/>
                      <w:sz w:val="21"/>
                      <w:szCs w:val="21"/>
                      <w:highlight w:val="none"/>
                      <w:u w:val="none" w:color="auto"/>
                      <w:lang w:val="en-US" w:eastAsia="zh-CN" w:bidi="ar"/>
                    </w:rPr>
                    <w:t>序号</w:t>
                  </w:r>
                </w:p>
              </w:tc>
              <w:tc>
                <w:tcPr>
                  <w:tcW w:w="1400" w:type="pct"/>
                  <w:tcBorders>
                    <w:tl2br w:val="nil"/>
                    <w:tr2bl w:val="nil"/>
                  </w:tcBorders>
                  <w:shd w:val="clear" w:color="auto" w:fill="auto"/>
                  <w:vAlign w:val="center"/>
                </w:tcPr>
                <w:p w14:paraId="6387980D">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u w:val="none" w:color="auto"/>
                      <w:lang w:val="en-US" w:eastAsia="en-US" w:bidi="ar-SA"/>
                    </w:rPr>
                  </w:pPr>
                  <w:r>
                    <w:rPr>
                      <w:rFonts w:hint="default" w:ascii="Times New Roman" w:hAnsi="Times New Roman" w:eastAsia="宋体" w:cs="Times New Roman"/>
                      <w:b/>
                      <w:bCs/>
                      <w:i w:val="0"/>
                      <w:iCs w:val="0"/>
                      <w:snapToGrid w:val="0"/>
                      <w:color w:val="auto"/>
                      <w:kern w:val="0"/>
                      <w:sz w:val="21"/>
                      <w:szCs w:val="21"/>
                      <w:highlight w:val="none"/>
                      <w:u w:val="none" w:color="auto"/>
                      <w:lang w:val="en-US" w:eastAsia="zh-CN" w:bidi="ar"/>
                    </w:rPr>
                    <w:t>设备名称</w:t>
                  </w:r>
                </w:p>
              </w:tc>
              <w:tc>
                <w:tcPr>
                  <w:tcW w:w="895" w:type="pct"/>
                  <w:tcBorders>
                    <w:tl2br w:val="nil"/>
                    <w:tr2bl w:val="nil"/>
                  </w:tcBorders>
                  <w:shd w:val="clear" w:color="auto" w:fill="auto"/>
                  <w:vAlign w:val="center"/>
                </w:tcPr>
                <w:p w14:paraId="1D8E90ED">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u w:val="none" w:color="auto"/>
                      <w:lang w:val="en-US" w:eastAsia="en-US" w:bidi="ar-SA"/>
                    </w:rPr>
                  </w:pPr>
                  <w:r>
                    <w:rPr>
                      <w:rFonts w:hint="default" w:ascii="Times New Roman" w:hAnsi="Times New Roman" w:eastAsia="宋体" w:cs="Times New Roman"/>
                      <w:b/>
                      <w:bCs/>
                      <w:i w:val="0"/>
                      <w:iCs w:val="0"/>
                      <w:snapToGrid w:val="0"/>
                      <w:color w:val="auto"/>
                      <w:kern w:val="0"/>
                      <w:sz w:val="21"/>
                      <w:szCs w:val="21"/>
                      <w:highlight w:val="none"/>
                      <w:u w:val="none" w:color="auto"/>
                      <w:lang w:val="en-US" w:eastAsia="zh-CN" w:bidi="ar"/>
                    </w:rPr>
                    <w:t>单位</w:t>
                  </w:r>
                </w:p>
              </w:tc>
              <w:tc>
                <w:tcPr>
                  <w:tcW w:w="617" w:type="pct"/>
                  <w:tcBorders>
                    <w:tl2br w:val="nil"/>
                    <w:tr2bl w:val="nil"/>
                  </w:tcBorders>
                  <w:shd w:val="clear" w:color="auto" w:fill="auto"/>
                  <w:vAlign w:val="center"/>
                </w:tcPr>
                <w:p w14:paraId="6442A63D">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b/>
                      <w:bCs/>
                      <w:i w:val="0"/>
                      <w:iCs w:val="0"/>
                      <w:snapToGrid w:val="0"/>
                      <w:color w:val="auto"/>
                      <w:kern w:val="0"/>
                      <w:sz w:val="21"/>
                      <w:szCs w:val="21"/>
                      <w:highlight w:val="none"/>
                      <w:u w:val="none" w:color="auto"/>
                      <w:lang w:val="en-US" w:eastAsia="zh-CN" w:bidi="ar"/>
                    </w:rPr>
                    <w:t>数量</w:t>
                  </w:r>
                </w:p>
              </w:tc>
              <w:tc>
                <w:tcPr>
                  <w:tcW w:w="1681" w:type="pct"/>
                  <w:tcBorders>
                    <w:tl2br w:val="nil"/>
                    <w:tr2bl w:val="nil"/>
                  </w:tcBorders>
                  <w:shd w:val="clear" w:color="auto" w:fill="auto"/>
                  <w:vAlign w:val="center"/>
                </w:tcPr>
                <w:p w14:paraId="55DB76EF">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b/>
                      <w:bCs/>
                      <w:i w:val="0"/>
                      <w:iCs w:val="0"/>
                      <w:snapToGrid w:val="0"/>
                      <w:color w:val="auto"/>
                      <w:kern w:val="0"/>
                      <w:sz w:val="21"/>
                      <w:szCs w:val="21"/>
                      <w:highlight w:val="none"/>
                      <w:u w:val="none" w:color="auto"/>
                      <w:lang w:val="en-US" w:eastAsia="zh-CN" w:bidi="ar"/>
                    </w:rPr>
                    <w:t>说明</w:t>
                  </w:r>
                </w:p>
              </w:tc>
            </w:tr>
            <w:tr w14:paraId="216FAA8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trPr>
              <w:tc>
                <w:tcPr>
                  <w:tcW w:w="404" w:type="pct"/>
                  <w:gridSpan w:val="2"/>
                  <w:tcBorders>
                    <w:tl2br w:val="nil"/>
                    <w:tr2bl w:val="nil"/>
                  </w:tcBorders>
                  <w:shd w:val="clear" w:color="auto" w:fill="auto"/>
                  <w:vAlign w:val="center"/>
                </w:tcPr>
                <w:p w14:paraId="53D4FC61">
                  <w:pPr>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position w:val="1"/>
                      <w:sz w:val="21"/>
                      <w:szCs w:val="21"/>
                      <w:highlight w:val="none"/>
                      <w:u w:val="none" w:color="auto"/>
                    </w:rPr>
                    <w:t>1</w:t>
                  </w:r>
                </w:p>
              </w:tc>
              <w:tc>
                <w:tcPr>
                  <w:tcW w:w="1400" w:type="pct"/>
                  <w:tcBorders>
                    <w:tl2br w:val="nil"/>
                    <w:tr2bl w:val="nil"/>
                  </w:tcBorders>
                  <w:shd w:val="clear" w:color="auto" w:fill="auto"/>
                  <w:vAlign w:val="center"/>
                </w:tcPr>
                <w:p w14:paraId="5FB820C5">
                  <w:pPr>
                    <w:pStyle w:val="100"/>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kern w:val="2"/>
                      <w:sz w:val="21"/>
                      <w:szCs w:val="21"/>
                      <w:highlight w:val="none"/>
                      <w:u w:val="none" w:color="auto"/>
                      <w:lang w:val="en-US" w:eastAsia="en-US" w:bidi="ar-SA"/>
                    </w:rPr>
                  </w:pPr>
                  <w:r>
                    <w:rPr>
                      <w:rFonts w:hint="default" w:ascii="Times New Roman" w:hAnsi="Times New Roman" w:eastAsia="宋体" w:cs="Times New Roman"/>
                      <w:color w:val="auto"/>
                      <w:spacing w:val="-2"/>
                      <w:sz w:val="21"/>
                      <w:szCs w:val="21"/>
                      <w:highlight w:val="none"/>
                      <w:u w:val="none" w:color="auto"/>
                    </w:rPr>
                    <w:t>立式加工中心</w:t>
                  </w:r>
                </w:p>
              </w:tc>
              <w:tc>
                <w:tcPr>
                  <w:tcW w:w="895" w:type="pct"/>
                  <w:tcBorders>
                    <w:tl2br w:val="nil"/>
                    <w:tr2bl w:val="nil"/>
                  </w:tcBorders>
                  <w:shd w:val="clear" w:color="auto" w:fill="auto"/>
                  <w:vAlign w:val="center"/>
                </w:tcPr>
                <w:p w14:paraId="5A07C0FD">
                  <w:pPr>
                    <w:pStyle w:val="100"/>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kern w:val="2"/>
                      <w:sz w:val="21"/>
                      <w:szCs w:val="21"/>
                      <w:highlight w:val="none"/>
                      <w:u w:val="none" w:color="auto"/>
                      <w:lang w:val="en-US" w:eastAsia="en-US" w:bidi="ar-SA"/>
                    </w:rPr>
                  </w:pPr>
                  <w:r>
                    <w:rPr>
                      <w:rFonts w:hint="default" w:ascii="Times New Roman" w:hAnsi="Times New Roman" w:eastAsia="宋体" w:cs="Times New Roman"/>
                      <w:color w:val="auto"/>
                      <w:sz w:val="21"/>
                      <w:szCs w:val="21"/>
                      <w:highlight w:val="none"/>
                      <w:u w:val="none" w:color="auto"/>
                    </w:rPr>
                    <w:t>套</w:t>
                  </w:r>
                </w:p>
              </w:tc>
              <w:tc>
                <w:tcPr>
                  <w:tcW w:w="617" w:type="pct"/>
                  <w:tcBorders>
                    <w:tl2br w:val="nil"/>
                    <w:tr2bl w:val="nil"/>
                  </w:tcBorders>
                  <w:shd w:val="clear" w:color="auto" w:fill="auto"/>
                  <w:vAlign w:val="center"/>
                </w:tcPr>
                <w:p w14:paraId="63408CF0">
                  <w:pPr>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pacing w:val="-15"/>
                      <w:position w:val="1"/>
                      <w:sz w:val="21"/>
                      <w:szCs w:val="21"/>
                      <w:highlight w:val="none"/>
                      <w:u w:val="none" w:color="auto"/>
                    </w:rPr>
                    <w:t>10</w:t>
                  </w:r>
                </w:p>
              </w:tc>
              <w:tc>
                <w:tcPr>
                  <w:tcW w:w="1681" w:type="pct"/>
                  <w:tcBorders>
                    <w:tl2br w:val="nil"/>
                    <w:tr2bl w:val="nil"/>
                  </w:tcBorders>
                  <w:shd w:val="clear" w:color="auto" w:fill="auto"/>
                  <w:vAlign w:val="center"/>
                </w:tcPr>
                <w:p w14:paraId="12616A38">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rPr>
                    <w:t>SA-V960</w:t>
                  </w:r>
                </w:p>
              </w:tc>
            </w:tr>
            <w:tr w14:paraId="7495F18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trPr>
              <w:tc>
                <w:tcPr>
                  <w:tcW w:w="404" w:type="pct"/>
                  <w:gridSpan w:val="2"/>
                  <w:tcBorders>
                    <w:tl2br w:val="nil"/>
                    <w:tr2bl w:val="nil"/>
                  </w:tcBorders>
                  <w:shd w:val="clear" w:color="auto" w:fill="auto"/>
                  <w:vAlign w:val="center"/>
                </w:tcPr>
                <w:p w14:paraId="49603CC1">
                  <w:pPr>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position w:val="1"/>
                      <w:sz w:val="21"/>
                      <w:szCs w:val="21"/>
                      <w:highlight w:val="none"/>
                      <w:u w:val="none" w:color="auto"/>
                    </w:rPr>
                    <w:t>2</w:t>
                  </w:r>
                </w:p>
              </w:tc>
              <w:tc>
                <w:tcPr>
                  <w:tcW w:w="1400" w:type="pct"/>
                  <w:tcBorders>
                    <w:tl2br w:val="nil"/>
                    <w:tr2bl w:val="nil"/>
                  </w:tcBorders>
                  <w:shd w:val="clear" w:color="auto" w:fill="auto"/>
                  <w:vAlign w:val="center"/>
                </w:tcPr>
                <w:p w14:paraId="67927DE2">
                  <w:pPr>
                    <w:pStyle w:val="100"/>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kern w:val="2"/>
                      <w:sz w:val="21"/>
                      <w:szCs w:val="21"/>
                      <w:highlight w:val="none"/>
                      <w:u w:val="none" w:color="auto"/>
                      <w:lang w:val="en-US" w:eastAsia="en-US" w:bidi="ar-SA"/>
                    </w:rPr>
                  </w:pPr>
                  <w:r>
                    <w:rPr>
                      <w:rFonts w:hint="default" w:ascii="Times New Roman" w:hAnsi="Times New Roman" w:eastAsia="宋体" w:cs="Times New Roman"/>
                      <w:color w:val="auto"/>
                      <w:spacing w:val="-4"/>
                      <w:sz w:val="21"/>
                      <w:szCs w:val="21"/>
                      <w:highlight w:val="none"/>
                      <w:u w:val="none" w:color="auto"/>
                    </w:rPr>
                    <w:t>卧式加工中心</w:t>
                  </w:r>
                </w:p>
              </w:tc>
              <w:tc>
                <w:tcPr>
                  <w:tcW w:w="895" w:type="pct"/>
                  <w:tcBorders>
                    <w:tl2br w:val="nil"/>
                    <w:tr2bl w:val="nil"/>
                  </w:tcBorders>
                  <w:shd w:val="clear" w:color="auto" w:fill="auto"/>
                  <w:vAlign w:val="center"/>
                </w:tcPr>
                <w:p w14:paraId="30FC5B2B">
                  <w:pPr>
                    <w:pStyle w:val="100"/>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kern w:val="2"/>
                      <w:sz w:val="21"/>
                      <w:szCs w:val="21"/>
                      <w:highlight w:val="none"/>
                      <w:u w:val="none" w:color="auto"/>
                      <w:lang w:val="en-US" w:eastAsia="en-US" w:bidi="ar-SA"/>
                    </w:rPr>
                  </w:pPr>
                  <w:r>
                    <w:rPr>
                      <w:rFonts w:hint="default" w:ascii="Times New Roman" w:hAnsi="Times New Roman" w:eastAsia="宋体" w:cs="Times New Roman"/>
                      <w:color w:val="auto"/>
                      <w:sz w:val="21"/>
                      <w:szCs w:val="21"/>
                      <w:highlight w:val="none"/>
                      <w:u w:val="none" w:color="auto"/>
                    </w:rPr>
                    <w:t>台</w:t>
                  </w:r>
                </w:p>
              </w:tc>
              <w:tc>
                <w:tcPr>
                  <w:tcW w:w="617" w:type="pct"/>
                  <w:tcBorders>
                    <w:tl2br w:val="nil"/>
                    <w:tr2bl w:val="nil"/>
                  </w:tcBorders>
                  <w:shd w:val="clear" w:color="auto" w:fill="auto"/>
                  <w:vAlign w:val="center"/>
                </w:tcPr>
                <w:p w14:paraId="6FE46F48">
                  <w:pPr>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position w:val="1"/>
                      <w:sz w:val="21"/>
                      <w:szCs w:val="21"/>
                      <w:highlight w:val="none"/>
                      <w:u w:val="none" w:color="auto"/>
                    </w:rPr>
                    <w:t>6</w:t>
                  </w:r>
                </w:p>
              </w:tc>
              <w:tc>
                <w:tcPr>
                  <w:tcW w:w="1681" w:type="pct"/>
                  <w:tcBorders>
                    <w:tl2br w:val="nil"/>
                    <w:tr2bl w:val="nil"/>
                  </w:tcBorders>
                  <w:shd w:val="clear" w:color="auto" w:fill="auto"/>
                  <w:vAlign w:val="center"/>
                </w:tcPr>
                <w:p w14:paraId="339E118B">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rPr>
                    <w:t>HWS500T</w:t>
                  </w:r>
                </w:p>
              </w:tc>
            </w:tr>
            <w:tr w14:paraId="78DC314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trPr>
              <w:tc>
                <w:tcPr>
                  <w:tcW w:w="404" w:type="pct"/>
                  <w:gridSpan w:val="2"/>
                  <w:tcBorders>
                    <w:tl2br w:val="nil"/>
                    <w:tr2bl w:val="nil"/>
                  </w:tcBorders>
                  <w:shd w:val="clear" w:color="auto" w:fill="auto"/>
                  <w:vAlign w:val="center"/>
                </w:tcPr>
                <w:p w14:paraId="1C6577FF">
                  <w:pPr>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position w:val="1"/>
                      <w:sz w:val="21"/>
                      <w:szCs w:val="21"/>
                      <w:highlight w:val="none"/>
                      <w:u w:val="none" w:color="auto"/>
                    </w:rPr>
                    <w:t>3</w:t>
                  </w:r>
                </w:p>
              </w:tc>
              <w:tc>
                <w:tcPr>
                  <w:tcW w:w="1400" w:type="pct"/>
                  <w:tcBorders>
                    <w:tl2br w:val="nil"/>
                    <w:tr2bl w:val="nil"/>
                  </w:tcBorders>
                  <w:shd w:val="clear" w:color="auto" w:fill="auto"/>
                  <w:vAlign w:val="center"/>
                </w:tcPr>
                <w:p w14:paraId="6D947F56">
                  <w:pPr>
                    <w:pStyle w:val="100"/>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u w:val="none" w:color="auto"/>
                      <w:lang w:val="en-US" w:eastAsia="en-US" w:bidi="ar-SA"/>
                    </w:rPr>
                  </w:pPr>
                  <w:r>
                    <w:rPr>
                      <w:rFonts w:hint="default" w:ascii="Times New Roman" w:hAnsi="Times New Roman" w:eastAsia="宋体" w:cs="Times New Roman"/>
                      <w:color w:val="auto"/>
                      <w:spacing w:val="-3"/>
                      <w:sz w:val="21"/>
                      <w:szCs w:val="21"/>
                      <w:highlight w:val="none"/>
                      <w:u w:val="none" w:color="auto"/>
                    </w:rPr>
                    <w:t>马扎克卧式加工</w:t>
                  </w:r>
                  <w:r>
                    <w:rPr>
                      <w:rFonts w:hint="default" w:ascii="Times New Roman" w:hAnsi="Times New Roman" w:eastAsia="宋体" w:cs="Times New Roman"/>
                      <w:color w:val="auto"/>
                      <w:spacing w:val="-16"/>
                      <w:sz w:val="21"/>
                      <w:szCs w:val="21"/>
                      <w:highlight w:val="none"/>
                      <w:u w:val="none" w:color="auto"/>
                    </w:rPr>
                    <w:t>中心</w:t>
                  </w:r>
                </w:p>
              </w:tc>
              <w:tc>
                <w:tcPr>
                  <w:tcW w:w="895" w:type="pct"/>
                  <w:tcBorders>
                    <w:tl2br w:val="nil"/>
                    <w:tr2bl w:val="nil"/>
                  </w:tcBorders>
                  <w:shd w:val="clear" w:color="auto" w:fill="auto"/>
                  <w:vAlign w:val="center"/>
                </w:tcPr>
                <w:p w14:paraId="1D30268C">
                  <w:pPr>
                    <w:pStyle w:val="100"/>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kern w:val="2"/>
                      <w:sz w:val="21"/>
                      <w:szCs w:val="21"/>
                      <w:highlight w:val="none"/>
                      <w:u w:val="none" w:color="auto"/>
                      <w:lang w:val="en-US" w:eastAsia="en-US" w:bidi="ar-SA"/>
                    </w:rPr>
                  </w:pPr>
                  <w:r>
                    <w:rPr>
                      <w:rFonts w:hint="default" w:ascii="Times New Roman" w:hAnsi="Times New Roman" w:eastAsia="宋体" w:cs="Times New Roman"/>
                      <w:color w:val="auto"/>
                      <w:sz w:val="21"/>
                      <w:szCs w:val="21"/>
                      <w:highlight w:val="none"/>
                      <w:u w:val="none" w:color="auto"/>
                    </w:rPr>
                    <w:t>套</w:t>
                  </w:r>
                </w:p>
              </w:tc>
              <w:tc>
                <w:tcPr>
                  <w:tcW w:w="617" w:type="pct"/>
                  <w:tcBorders>
                    <w:tl2br w:val="nil"/>
                    <w:tr2bl w:val="nil"/>
                  </w:tcBorders>
                  <w:shd w:val="clear" w:color="auto" w:fill="auto"/>
                  <w:vAlign w:val="center"/>
                </w:tcPr>
                <w:p w14:paraId="58CCA3C8">
                  <w:pPr>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position w:val="1"/>
                      <w:sz w:val="21"/>
                      <w:szCs w:val="21"/>
                      <w:highlight w:val="none"/>
                      <w:u w:val="none" w:color="auto"/>
                    </w:rPr>
                    <w:t>4</w:t>
                  </w:r>
                </w:p>
              </w:tc>
              <w:tc>
                <w:tcPr>
                  <w:tcW w:w="1681" w:type="pct"/>
                  <w:tcBorders>
                    <w:tl2br w:val="nil"/>
                    <w:tr2bl w:val="nil"/>
                  </w:tcBorders>
                  <w:shd w:val="clear" w:color="auto" w:fill="auto"/>
                  <w:vAlign w:val="center"/>
                </w:tcPr>
                <w:p w14:paraId="08BA73FB">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rPr>
                    <w:t>HCN5000-50S</w:t>
                  </w:r>
                </w:p>
              </w:tc>
            </w:tr>
            <w:tr w14:paraId="4435C6B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trPr>
              <w:tc>
                <w:tcPr>
                  <w:tcW w:w="404" w:type="pct"/>
                  <w:gridSpan w:val="2"/>
                  <w:tcBorders>
                    <w:tl2br w:val="nil"/>
                    <w:tr2bl w:val="nil"/>
                  </w:tcBorders>
                  <w:shd w:val="clear" w:color="auto" w:fill="auto"/>
                  <w:vAlign w:val="center"/>
                </w:tcPr>
                <w:p w14:paraId="312F43C6">
                  <w:pPr>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position w:val="1"/>
                      <w:sz w:val="21"/>
                      <w:szCs w:val="21"/>
                      <w:highlight w:val="none"/>
                      <w:u w:val="none" w:color="auto"/>
                    </w:rPr>
                    <w:t>4</w:t>
                  </w:r>
                </w:p>
              </w:tc>
              <w:tc>
                <w:tcPr>
                  <w:tcW w:w="1400" w:type="pct"/>
                  <w:tcBorders>
                    <w:tl2br w:val="nil"/>
                    <w:tr2bl w:val="nil"/>
                  </w:tcBorders>
                  <w:shd w:val="clear" w:color="auto" w:fill="auto"/>
                  <w:vAlign w:val="center"/>
                </w:tcPr>
                <w:p w14:paraId="05DA716F">
                  <w:pPr>
                    <w:pStyle w:val="100"/>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kern w:val="2"/>
                      <w:sz w:val="21"/>
                      <w:szCs w:val="21"/>
                      <w:highlight w:val="none"/>
                      <w:u w:val="none" w:color="auto"/>
                      <w:lang w:val="en-US" w:eastAsia="en-US" w:bidi="ar-SA"/>
                    </w:rPr>
                  </w:pPr>
                  <w:r>
                    <w:rPr>
                      <w:rFonts w:hint="default" w:ascii="Times New Roman" w:hAnsi="Times New Roman" w:eastAsia="宋体" w:cs="Times New Roman"/>
                      <w:color w:val="auto"/>
                      <w:spacing w:val="-4"/>
                      <w:position w:val="2"/>
                      <w:sz w:val="21"/>
                      <w:szCs w:val="21"/>
                      <w:highlight w:val="none"/>
                      <w:u w:val="none" w:color="auto"/>
                    </w:rPr>
                    <w:t>6轴机器人</w:t>
                  </w:r>
                </w:p>
              </w:tc>
              <w:tc>
                <w:tcPr>
                  <w:tcW w:w="895" w:type="pct"/>
                  <w:tcBorders>
                    <w:tl2br w:val="nil"/>
                    <w:tr2bl w:val="nil"/>
                  </w:tcBorders>
                  <w:shd w:val="clear" w:color="auto" w:fill="auto"/>
                  <w:vAlign w:val="center"/>
                </w:tcPr>
                <w:p w14:paraId="0CFA6DCC">
                  <w:pPr>
                    <w:pStyle w:val="100"/>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kern w:val="2"/>
                      <w:sz w:val="21"/>
                      <w:szCs w:val="21"/>
                      <w:highlight w:val="none"/>
                      <w:u w:val="none" w:color="auto"/>
                      <w:lang w:val="en-US" w:eastAsia="en-US" w:bidi="ar-SA"/>
                    </w:rPr>
                  </w:pPr>
                  <w:r>
                    <w:rPr>
                      <w:rFonts w:hint="default" w:ascii="Times New Roman" w:hAnsi="Times New Roman" w:eastAsia="宋体" w:cs="Times New Roman"/>
                      <w:color w:val="auto"/>
                      <w:sz w:val="21"/>
                      <w:szCs w:val="21"/>
                      <w:highlight w:val="none"/>
                      <w:u w:val="none" w:color="auto"/>
                    </w:rPr>
                    <w:t>套</w:t>
                  </w:r>
                </w:p>
              </w:tc>
              <w:tc>
                <w:tcPr>
                  <w:tcW w:w="617" w:type="pct"/>
                  <w:tcBorders>
                    <w:tl2br w:val="nil"/>
                    <w:tr2bl w:val="nil"/>
                  </w:tcBorders>
                  <w:shd w:val="clear" w:color="auto" w:fill="auto"/>
                  <w:vAlign w:val="center"/>
                </w:tcPr>
                <w:p w14:paraId="70177944">
                  <w:pPr>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rPr>
                    <w:t>7</w:t>
                  </w:r>
                </w:p>
              </w:tc>
              <w:tc>
                <w:tcPr>
                  <w:tcW w:w="1681" w:type="pct"/>
                  <w:tcBorders>
                    <w:tl2br w:val="nil"/>
                    <w:tr2bl w:val="nil"/>
                  </w:tcBorders>
                  <w:shd w:val="clear" w:color="auto" w:fill="auto"/>
                  <w:vAlign w:val="center"/>
                </w:tcPr>
                <w:p w14:paraId="690E09F9">
                  <w:pPr>
                    <w:keepNext w:val="0"/>
                    <w:keepLines w:val="0"/>
                    <w:pageBreakBefore w:val="0"/>
                    <w:kinsoku/>
                    <w:wordWrap/>
                    <w:overflowPunct/>
                    <w:topLinePunct w:val="0"/>
                    <w:autoSpaceDE/>
                    <w:autoSpaceDN/>
                    <w:bidi w:val="0"/>
                    <w:adjustRightInd/>
                    <w:snapToGrid/>
                    <w:spacing w:line="240" w:lineRule="auto"/>
                    <w:ind w:left="0"/>
                    <w:jc w:val="center"/>
                    <w:rPr>
                      <w:rFonts w:hint="default" w:ascii="Times New Roman" w:hAnsi="Times New Roman" w:eastAsia="宋体" w:cs="Times New Roman"/>
                      <w:color w:val="auto"/>
                      <w:kern w:val="2"/>
                      <w:sz w:val="21"/>
                      <w:szCs w:val="21"/>
                      <w:highlight w:val="none"/>
                      <w:u w:val="none" w:color="auto"/>
                      <w:lang w:val="en-US" w:eastAsia="zh-CN" w:bidi="ar-SA"/>
                    </w:rPr>
                  </w:pPr>
                </w:p>
              </w:tc>
            </w:tr>
            <w:tr w14:paraId="2A62E17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trPr>
              <w:tc>
                <w:tcPr>
                  <w:tcW w:w="404" w:type="pct"/>
                  <w:gridSpan w:val="2"/>
                  <w:tcBorders>
                    <w:tl2br w:val="nil"/>
                    <w:tr2bl w:val="nil"/>
                  </w:tcBorders>
                  <w:shd w:val="clear" w:color="auto" w:fill="auto"/>
                  <w:vAlign w:val="center"/>
                </w:tcPr>
                <w:p w14:paraId="4145FA4E">
                  <w:pPr>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rPr>
                    <w:t>5</w:t>
                  </w:r>
                </w:p>
              </w:tc>
              <w:tc>
                <w:tcPr>
                  <w:tcW w:w="1400" w:type="pct"/>
                  <w:tcBorders>
                    <w:tl2br w:val="nil"/>
                    <w:tr2bl w:val="nil"/>
                  </w:tcBorders>
                  <w:shd w:val="clear" w:color="auto" w:fill="auto"/>
                  <w:vAlign w:val="center"/>
                </w:tcPr>
                <w:p w14:paraId="6A25DC55">
                  <w:pPr>
                    <w:pStyle w:val="100"/>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kern w:val="2"/>
                      <w:sz w:val="21"/>
                      <w:szCs w:val="21"/>
                      <w:highlight w:val="none"/>
                      <w:u w:val="none" w:color="auto"/>
                      <w:lang w:val="en-US" w:eastAsia="en-US" w:bidi="ar-SA"/>
                    </w:rPr>
                  </w:pPr>
                  <w:r>
                    <w:rPr>
                      <w:rFonts w:hint="default" w:ascii="Times New Roman" w:hAnsi="Times New Roman" w:eastAsia="宋体" w:cs="Times New Roman"/>
                      <w:color w:val="auto"/>
                      <w:spacing w:val="-5"/>
                      <w:sz w:val="21"/>
                      <w:szCs w:val="21"/>
                      <w:highlight w:val="none"/>
                      <w:u w:val="none" w:color="auto"/>
                    </w:rPr>
                    <w:t>桁架</w:t>
                  </w:r>
                </w:p>
              </w:tc>
              <w:tc>
                <w:tcPr>
                  <w:tcW w:w="895" w:type="pct"/>
                  <w:tcBorders>
                    <w:tl2br w:val="nil"/>
                    <w:tr2bl w:val="nil"/>
                  </w:tcBorders>
                  <w:shd w:val="clear" w:color="auto" w:fill="auto"/>
                  <w:vAlign w:val="center"/>
                </w:tcPr>
                <w:p w14:paraId="3C84BE0B">
                  <w:pPr>
                    <w:pStyle w:val="100"/>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kern w:val="2"/>
                      <w:sz w:val="21"/>
                      <w:szCs w:val="21"/>
                      <w:highlight w:val="none"/>
                      <w:u w:val="none" w:color="auto"/>
                      <w:lang w:val="en-US" w:eastAsia="en-US" w:bidi="ar-SA"/>
                    </w:rPr>
                  </w:pPr>
                  <w:r>
                    <w:rPr>
                      <w:rFonts w:hint="default" w:ascii="Times New Roman" w:hAnsi="Times New Roman" w:eastAsia="宋体" w:cs="Times New Roman"/>
                      <w:color w:val="auto"/>
                      <w:sz w:val="21"/>
                      <w:szCs w:val="21"/>
                      <w:highlight w:val="none"/>
                      <w:u w:val="none" w:color="auto"/>
                    </w:rPr>
                    <w:t>套</w:t>
                  </w:r>
                </w:p>
              </w:tc>
              <w:tc>
                <w:tcPr>
                  <w:tcW w:w="617" w:type="pct"/>
                  <w:tcBorders>
                    <w:tl2br w:val="nil"/>
                    <w:tr2bl w:val="nil"/>
                  </w:tcBorders>
                  <w:shd w:val="clear" w:color="auto" w:fill="auto"/>
                  <w:vAlign w:val="center"/>
                </w:tcPr>
                <w:p w14:paraId="21F41715">
                  <w:pPr>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position w:val="1"/>
                      <w:sz w:val="21"/>
                      <w:szCs w:val="21"/>
                      <w:highlight w:val="none"/>
                      <w:u w:val="none" w:color="auto"/>
                    </w:rPr>
                    <w:t>3</w:t>
                  </w:r>
                </w:p>
              </w:tc>
              <w:tc>
                <w:tcPr>
                  <w:tcW w:w="1681" w:type="pct"/>
                  <w:tcBorders>
                    <w:tl2br w:val="nil"/>
                    <w:tr2bl w:val="nil"/>
                  </w:tcBorders>
                  <w:shd w:val="clear" w:color="auto" w:fill="auto"/>
                  <w:vAlign w:val="center"/>
                </w:tcPr>
                <w:p w14:paraId="22C19FA1">
                  <w:pPr>
                    <w:keepNext w:val="0"/>
                    <w:keepLines w:val="0"/>
                    <w:pageBreakBefore w:val="0"/>
                    <w:kinsoku/>
                    <w:wordWrap/>
                    <w:overflowPunct/>
                    <w:topLinePunct w:val="0"/>
                    <w:autoSpaceDE/>
                    <w:autoSpaceDN/>
                    <w:bidi w:val="0"/>
                    <w:adjustRightInd/>
                    <w:snapToGrid/>
                    <w:spacing w:line="240" w:lineRule="auto"/>
                    <w:ind w:left="0"/>
                    <w:jc w:val="center"/>
                    <w:rPr>
                      <w:rFonts w:hint="default" w:ascii="Times New Roman" w:hAnsi="Times New Roman" w:eastAsia="宋体" w:cs="Times New Roman"/>
                      <w:color w:val="auto"/>
                      <w:kern w:val="2"/>
                      <w:sz w:val="21"/>
                      <w:szCs w:val="21"/>
                      <w:highlight w:val="none"/>
                      <w:u w:val="none" w:color="auto"/>
                      <w:lang w:val="en-US" w:eastAsia="zh-CN" w:bidi="ar-SA"/>
                    </w:rPr>
                  </w:pPr>
                </w:p>
              </w:tc>
            </w:tr>
            <w:tr w14:paraId="34507DA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trPr>
              <w:tc>
                <w:tcPr>
                  <w:tcW w:w="404" w:type="pct"/>
                  <w:gridSpan w:val="2"/>
                  <w:tcBorders>
                    <w:tl2br w:val="nil"/>
                    <w:tr2bl w:val="nil"/>
                  </w:tcBorders>
                  <w:shd w:val="clear" w:color="auto" w:fill="auto"/>
                  <w:vAlign w:val="center"/>
                </w:tcPr>
                <w:p w14:paraId="16AEC705">
                  <w:pPr>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position w:val="1"/>
                      <w:sz w:val="21"/>
                      <w:szCs w:val="21"/>
                      <w:highlight w:val="none"/>
                      <w:u w:val="none" w:color="auto"/>
                    </w:rPr>
                    <w:t>6</w:t>
                  </w:r>
                </w:p>
              </w:tc>
              <w:tc>
                <w:tcPr>
                  <w:tcW w:w="1400" w:type="pct"/>
                  <w:tcBorders>
                    <w:tl2br w:val="nil"/>
                    <w:tr2bl w:val="nil"/>
                  </w:tcBorders>
                  <w:shd w:val="clear" w:color="auto" w:fill="auto"/>
                  <w:vAlign w:val="center"/>
                </w:tcPr>
                <w:p w14:paraId="6E6BD2CC">
                  <w:pPr>
                    <w:pStyle w:val="100"/>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kern w:val="2"/>
                      <w:sz w:val="21"/>
                      <w:szCs w:val="21"/>
                      <w:highlight w:val="none"/>
                      <w:u w:val="none" w:color="auto"/>
                      <w:lang w:val="en-US" w:eastAsia="en-US" w:bidi="ar-SA"/>
                    </w:rPr>
                  </w:pPr>
                  <w:r>
                    <w:rPr>
                      <w:rFonts w:hint="default" w:ascii="Times New Roman" w:hAnsi="Times New Roman" w:eastAsia="宋体" w:cs="Times New Roman"/>
                      <w:color w:val="auto"/>
                      <w:spacing w:val="-2"/>
                      <w:sz w:val="21"/>
                      <w:szCs w:val="21"/>
                      <w:highlight w:val="none"/>
                      <w:u w:val="none" w:color="auto"/>
                    </w:rPr>
                    <w:t>恒温水槽</w:t>
                  </w:r>
                </w:p>
              </w:tc>
              <w:tc>
                <w:tcPr>
                  <w:tcW w:w="895" w:type="pct"/>
                  <w:tcBorders>
                    <w:tl2br w:val="nil"/>
                    <w:tr2bl w:val="nil"/>
                  </w:tcBorders>
                  <w:shd w:val="clear" w:color="auto" w:fill="auto"/>
                  <w:vAlign w:val="center"/>
                </w:tcPr>
                <w:p w14:paraId="73DDEECF">
                  <w:pPr>
                    <w:pStyle w:val="100"/>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kern w:val="2"/>
                      <w:sz w:val="21"/>
                      <w:szCs w:val="21"/>
                      <w:highlight w:val="none"/>
                      <w:u w:val="none" w:color="auto"/>
                      <w:lang w:val="en-US" w:eastAsia="en-US" w:bidi="ar-SA"/>
                    </w:rPr>
                  </w:pPr>
                  <w:r>
                    <w:rPr>
                      <w:rFonts w:hint="default" w:ascii="Times New Roman" w:hAnsi="Times New Roman" w:eastAsia="宋体" w:cs="Times New Roman"/>
                      <w:color w:val="auto"/>
                      <w:sz w:val="21"/>
                      <w:szCs w:val="21"/>
                      <w:highlight w:val="none"/>
                      <w:u w:val="none" w:color="auto"/>
                    </w:rPr>
                    <w:t>套</w:t>
                  </w:r>
                </w:p>
              </w:tc>
              <w:tc>
                <w:tcPr>
                  <w:tcW w:w="617" w:type="pct"/>
                  <w:tcBorders>
                    <w:tl2br w:val="nil"/>
                    <w:tr2bl w:val="nil"/>
                  </w:tcBorders>
                  <w:shd w:val="clear" w:color="auto" w:fill="auto"/>
                  <w:vAlign w:val="center"/>
                </w:tcPr>
                <w:p w14:paraId="59A5CC48">
                  <w:pPr>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position w:val="1"/>
                      <w:sz w:val="21"/>
                      <w:szCs w:val="21"/>
                      <w:highlight w:val="none"/>
                      <w:u w:val="none" w:color="auto"/>
                    </w:rPr>
                    <w:t>3</w:t>
                  </w:r>
                </w:p>
              </w:tc>
              <w:tc>
                <w:tcPr>
                  <w:tcW w:w="1681" w:type="pct"/>
                  <w:tcBorders>
                    <w:tl2br w:val="nil"/>
                    <w:tr2bl w:val="nil"/>
                  </w:tcBorders>
                  <w:shd w:val="clear" w:color="auto" w:fill="auto"/>
                  <w:vAlign w:val="center"/>
                </w:tcPr>
                <w:p w14:paraId="1BA6C5FC">
                  <w:pPr>
                    <w:keepNext w:val="0"/>
                    <w:keepLines w:val="0"/>
                    <w:pageBreakBefore w:val="0"/>
                    <w:kinsoku/>
                    <w:wordWrap/>
                    <w:overflowPunct/>
                    <w:topLinePunct w:val="0"/>
                    <w:autoSpaceDE/>
                    <w:autoSpaceDN/>
                    <w:bidi w:val="0"/>
                    <w:adjustRightInd/>
                    <w:snapToGrid/>
                    <w:spacing w:line="240" w:lineRule="auto"/>
                    <w:ind w:left="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用于配套</w:t>
                  </w:r>
                  <w:r>
                    <w:rPr>
                      <w:rFonts w:hint="default" w:ascii="Times New Roman" w:hAnsi="Times New Roman" w:eastAsia="宋体" w:cs="Times New Roman"/>
                      <w:color w:val="auto"/>
                      <w:spacing w:val="-3"/>
                      <w:sz w:val="21"/>
                      <w:szCs w:val="21"/>
                      <w:highlight w:val="none"/>
                      <w:u w:val="none" w:color="auto"/>
                    </w:rPr>
                    <w:t>智能机器人清洗</w:t>
                  </w:r>
                  <w:r>
                    <w:rPr>
                      <w:rFonts w:hint="default" w:ascii="Times New Roman" w:hAnsi="Times New Roman" w:eastAsia="宋体" w:cs="Times New Roman"/>
                      <w:color w:val="auto"/>
                      <w:spacing w:val="-8"/>
                      <w:sz w:val="21"/>
                      <w:szCs w:val="21"/>
                      <w:highlight w:val="none"/>
                      <w:u w:val="none" w:color="auto"/>
                    </w:rPr>
                    <w:t>系统</w:t>
                  </w:r>
                  <w:r>
                    <w:rPr>
                      <w:rFonts w:hint="default" w:ascii="Times New Roman" w:hAnsi="Times New Roman" w:eastAsia="宋体" w:cs="Times New Roman"/>
                      <w:color w:val="auto"/>
                      <w:spacing w:val="-8"/>
                      <w:sz w:val="21"/>
                      <w:szCs w:val="21"/>
                      <w:highlight w:val="none"/>
                      <w:u w:val="none" w:color="auto"/>
                      <w:lang w:val="en-US" w:eastAsia="zh-CN"/>
                    </w:rPr>
                    <w:t>用水循环；</w:t>
                  </w:r>
                  <w:r>
                    <w:rPr>
                      <w:rFonts w:hint="default" w:ascii="Times New Roman" w:hAnsi="Times New Roman" w:eastAsia="宋体" w:cs="Times New Roman"/>
                      <w:color w:val="auto"/>
                      <w:kern w:val="2"/>
                      <w:sz w:val="21"/>
                      <w:szCs w:val="21"/>
                      <w:highlight w:val="none"/>
                      <w:u w:val="none" w:color="auto"/>
                      <w:lang w:val="en-US" w:eastAsia="zh-CN" w:bidi="ar-SA"/>
                    </w:rPr>
                    <w:t>自带过滤设备</w:t>
                  </w:r>
                </w:p>
              </w:tc>
            </w:tr>
            <w:tr w14:paraId="4932D97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trPr>
              <w:tc>
                <w:tcPr>
                  <w:tcW w:w="404" w:type="pct"/>
                  <w:gridSpan w:val="2"/>
                  <w:tcBorders>
                    <w:tl2br w:val="nil"/>
                    <w:tr2bl w:val="nil"/>
                  </w:tcBorders>
                  <w:shd w:val="clear" w:color="auto" w:fill="auto"/>
                  <w:vAlign w:val="center"/>
                </w:tcPr>
                <w:p w14:paraId="5341361C">
                  <w:pPr>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rPr>
                    <w:t>7</w:t>
                  </w:r>
                </w:p>
              </w:tc>
              <w:tc>
                <w:tcPr>
                  <w:tcW w:w="1400" w:type="pct"/>
                  <w:tcBorders>
                    <w:tl2br w:val="nil"/>
                    <w:tr2bl w:val="nil"/>
                  </w:tcBorders>
                  <w:shd w:val="clear" w:color="auto" w:fill="auto"/>
                  <w:vAlign w:val="center"/>
                </w:tcPr>
                <w:p w14:paraId="5F99B7FE">
                  <w:pPr>
                    <w:jc w:val="center"/>
                    <w:rPr>
                      <w:rFonts w:hint="default" w:ascii="Times New Roman" w:hAnsi="Times New Roman" w:eastAsia="宋体" w:cs="Times New Roman"/>
                      <w:color w:val="auto"/>
                      <w:kern w:val="2"/>
                      <w:sz w:val="21"/>
                      <w:szCs w:val="21"/>
                      <w:highlight w:val="none"/>
                      <w:u w:val="none" w:color="auto"/>
                      <w:lang w:val="en-US" w:eastAsia="en-US" w:bidi="ar-SA"/>
                    </w:rPr>
                  </w:pPr>
                  <w:r>
                    <w:rPr>
                      <w:rFonts w:hint="default" w:ascii="Times New Roman" w:hAnsi="Times New Roman" w:eastAsia="宋体" w:cs="Times New Roman"/>
                      <w:color w:val="auto"/>
                      <w:spacing w:val="-3"/>
                      <w:sz w:val="21"/>
                      <w:szCs w:val="21"/>
                      <w:highlight w:val="none"/>
                      <w:u w:val="none" w:color="auto"/>
                    </w:rPr>
                    <w:t>智能机器人清洗</w:t>
                  </w:r>
                  <w:r>
                    <w:rPr>
                      <w:rFonts w:hint="default" w:ascii="Times New Roman" w:hAnsi="Times New Roman" w:eastAsia="宋体" w:cs="Times New Roman"/>
                      <w:color w:val="auto"/>
                      <w:spacing w:val="-8"/>
                      <w:sz w:val="21"/>
                      <w:szCs w:val="21"/>
                      <w:highlight w:val="none"/>
                      <w:u w:val="none" w:color="auto"/>
                    </w:rPr>
                    <w:t>系统</w:t>
                  </w:r>
                </w:p>
              </w:tc>
              <w:tc>
                <w:tcPr>
                  <w:tcW w:w="895" w:type="pct"/>
                  <w:tcBorders>
                    <w:tl2br w:val="nil"/>
                    <w:tr2bl w:val="nil"/>
                  </w:tcBorders>
                  <w:shd w:val="clear" w:color="auto" w:fill="auto"/>
                  <w:vAlign w:val="center"/>
                </w:tcPr>
                <w:p w14:paraId="69D90B80">
                  <w:pPr>
                    <w:pStyle w:val="100"/>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kern w:val="2"/>
                      <w:sz w:val="21"/>
                      <w:szCs w:val="21"/>
                      <w:highlight w:val="none"/>
                      <w:u w:val="none" w:color="auto"/>
                      <w:lang w:val="en-US" w:eastAsia="en-US" w:bidi="ar-SA"/>
                    </w:rPr>
                  </w:pPr>
                  <w:r>
                    <w:rPr>
                      <w:rFonts w:hint="default" w:ascii="Times New Roman" w:hAnsi="Times New Roman" w:eastAsia="宋体" w:cs="Times New Roman"/>
                      <w:color w:val="auto"/>
                      <w:sz w:val="21"/>
                      <w:szCs w:val="21"/>
                      <w:highlight w:val="none"/>
                      <w:u w:val="none" w:color="auto"/>
                    </w:rPr>
                    <w:t>套</w:t>
                  </w:r>
                </w:p>
              </w:tc>
              <w:tc>
                <w:tcPr>
                  <w:tcW w:w="617" w:type="pct"/>
                  <w:tcBorders>
                    <w:tl2br w:val="nil"/>
                    <w:tr2bl w:val="nil"/>
                  </w:tcBorders>
                  <w:shd w:val="clear" w:color="auto" w:fill="auto"/>
                  <w:vAlign w:val="center"/>
                </w:tcPr>
                <w:p w14:paraId="3ECDAB28">
                  <w:pPr>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position w:val="1"/>
                      <w:sz w:val="21"/>
                      <w:szCs w:val="21"/>
                      <w:highlight w:val="none"/>
                      <w:u w:val="none" w:color="auto"/>
                    </w:rPr>
                    <w:t>2</w:t>
                  </w:r>
                </w:p>
              </w:tc>
              <w:tc>
                <w:tcPr>
                  <w:tcW w:w="1681" w:type="pct"/>
                  <w:tcBorders>
                    <w:tl2br w:val="nil"/>
                    <w:tr2bl w:val="nil"/>
                  </w:tcBorders>
                  <w:shd w:val="clear" w:color="auto" w:fill="auto"/>
                  <w:vAlign w:val="center"/>
                </w:tcPr>
                <w:p w14:paraId="15BA7AF2">
                  <w:pPr>
                    <w:keepNext w:val="0"/>
                    <w:keepLines w:val="0"/>
                    <w:pageBreakBefore w:val="0"/>
                    <w:kinsoku/>
                    <w:wordWrap/>
                    <w:overflowPunct/>
                    <w:topLinePunct w:val="0"/>
                    <w:autoSpaceDE/>
                    <w:autoSpaceDN/>
                    <w:bidi w:val="0"/>
                    <w:adjustRightInd/>
                    <w:snapToGrid/>
                    <w:spacing w:line="240" w:lineRule="auto"/>
                    <w:ind w:left="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2min/件、15L/min</w:t>
                  </w:r>
                </w:p>
                <w:p w14:paraId="3872F0E0">
                  <w:pPr>
                    <w:keepNext w:val="0"/>
                    <w:keepLines w:val="0"/>
                    <w:pageBreakBefore w:val="0"/>
                    <w:kinsoku/>
                    <w:wordWrap/>
                    <w:overflowPunct/>
                    <w:topLinePunct w:val="0"/>
                    <w:autoSpaceDE/>
                    <w:autoSpaceDN/>
                    <w:bidi w:val="0"/>
                    <w:adjustRightInd/>
                    <w:snapToGrid/>
                    <w:spacing w:line="240" w:lineRule="auto"/>
                    <w:ind w:left="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自带循环过滤装置（初级过滤、袋式过滤器、撇油器、水箱、高压泵组）</w:t>
                  </w:r>
                </w:p>
              </w:tc>
            </w:tr>
            <w:tr w14:paraId="68C1BD4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trPr>
              <w:tc>
                <w:tcPr>
                  <w:tcW w:w="404" w:type="pct"/>
                  <w:gridSpan w:val="2"/>
                  <w:tcBorders>
                    <w:tl2br w:val="nil"/>
                    <w:tr2bl w:val="nil"/>
                  </w:tcBorders>
                  <w:shd w:val="clear" w:color="auto" w:fill="auto"/>
                  <w:vAlign w:val="center"/>
                </w:tcPr>
                <w:p w14:paraId="6DB563F1">
                  <w:pPr>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8</w:t>
                  </w:r>
                </w:p>
              </w:tc>
              <w:tc>
                <w:tcPr>
                  <w:tcW w:w="1400" w:type="pct"/>
                  <w:tcBorders>
                    <w:tl2br w:val="nil"/>
                    <w:tr2bl w:val="nil"/>
                  </w:tcBorders>
                  <w:shd w:val="clear" w:color="auto" w:fill="auto"/>
                  <w:vAlign w:val="center"/>
                </w:tcPr>
                <w:p w14:paraId="67BE2138">
                  <w:pPr>
                    <w:pStyle w:val="100"/>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spacing w:val="-2"/>
                      <w:kern w:val="2"/>
                      <w:sz w:val="21"/>
                      <w:szCs w:val="21"/>
                      <w:highlight w:val="none"/>
                      <w:u w:val="none" w:color="auto"/>
                      <w:lang w:val="en-US" w:eastAsia="zh-CN" w:bidi="ar-SA"/>
                    </w:rPr>
                  </w:pPr>
                  <w:r>
                    <w:rPr>
                      <w:rFonts w:hint="default" w:ascii="Times New Roman" w:hAnsi="Times New Roman" w:eastAsia="宋体" w:cs="Times New Roman"/>
                      <w:color w:val="auto"/>
                      <w:spacing w:val="-2"/>
                      <w:sz w:val="21"/>
                      <w:szCs w:val="21"/>
                      <w:highlight w:val="none"/>
                      <w:u w:val="none" w:color="auto"/>
                      <w:lang w:val="en-US" w:eastAsia="zh-CN"/>
                    </w:rPr>
                    <w:t>空压站</w:t>
                  </w:r>
                </w:p>
              </w:tc>
              <w:tc>
                <w:tcPr>
                  <w:tcW w:w="895" w:type="pct"/>
                  <w:tcBorders>
                    <w:tl2br w:val="nil"/>
                    <w:tr2bl w:val="nil"/>
                  </w:tcBorders>
                  <w:shd w:val="clear" w:color="auto" w:fill="auto"/>
                  <w:vAlign w:val="center"/>
                </w:tcPr>
                <w:p w14:paraId="5E67FB55">
                  <w:pPr>
                    <w:pStyle w:val="100"/>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lang w:val="en-US" w:eastAsia="zh-CN"/>
                    </w:rPr>
                    <w:t>套</w:t>
                  </w:r>
                </w:p>
              </w:tc>
              <w:tc>
                <w:tcPr>
                  <w:tcW w:w="617" w:type="pct"/>
                  <w:tcBorders>
                    <w:tl2br w:val="nil"/>
                    <w:tr2bl w:val="nil"/>
                  </w:tcBorders>
                  <w:shd w:val="clear" w:color="auto" w:fill="auto"/>
                  <w:vAlign w:val="center"/>
                </w:tcPr>
                <w:p w14:paraId="1F07E6B3">
                  <w:pPr>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kern w:val="2"/>
                      <w:position w:val="1"/>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lang w:val="en-US" w:eastAsia="zh-CN"/>
                    </w:rPr>
                    <w:t>1</w:t>
                  </w:r>
                </w:p>
              </w:tc>
              <w:tc>
                <w:tcPr>
                  <w:tcW w:w="1681" w:type="pct"/>
                  <w:tcBorders>
                    <w:tl2br w:val="nil"/>
                    <w:tr2bl w:val="nil"/>
                  </w:tcBorders>
                  <w:shd w:val="clear" w:color="auto" w:fill="auto"/>
                  <w:vAlign w:val="center"/>
                </w:tcPr>
                <w:p w14:paraId="3F09FC4E">
                  <w:pPr>
                    <w:keepNext w:val="0"/>
                    <w:keepLines w:val="0"/>
                    <w:pageBreakBefore w:val="0"/>
                    <w:kinsoku/>
                    <w:wordWrap/>
                    <w:overflowPunct/>
                    <w:topLinePunct w:val="0"/>
                    <w:autoSpaceDE/>
                    <w:autoSpaceDN/>
                    <w:bidi w:val="0"/>
                    <w:adjustRightInd/>
                    <w:snapToGrid/>
                    <w:spacing w:line="240" w:lineRule="auto"/>
                    <w:ind w:left="0"/>
                    <w:jc w:val="center"/>
                    <w:rPr>
                      <w:rFonts w:hint="default" w:ascii="Times New Roman" w:hAnsi="Times New Roman" w:eastAsia="宋体" w:cs="Times New Roman"/>
                      <w:color w:val="auto"/>
                      <w:kern w:val="2"/>
                      <w:sz w:val="21"/>
                      <w:szCs w:val="21"/>
                      <w:highlight w:val="none"/>
                      <w:u w:val="none" w:color="auto"/>
                      <w:lang w:val="en-US" w:eastAsia="zh-CN" w:bidi="ar-SA"/>
                    </w:rPr>
                  </w:pPr>
                </w:p>
              </w:tc>
            </w:tr>
            <w:tr w14:paraId="734A3E3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404" w:type="pct"/>
                  <w:gridSpan w:val="2"/>
                  <w:tcBorders>
                    <w:tl2br w:val="nil"/>
                    <w:tr2bl w:val="nil"/>
                  </w:tcBorders>
                  <w:shd w:val="clear" w:color="auto" w:fill="auto"/>
                  <w:vAlign w:val="center"/>
                </w:tcPr>
                <w:p w14:paraId="6354A9F5">
                  <w:pPr>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lang w:val="en-US" w:eastAsia="zh-CN"/>
                    </w:rPr>
                    <w:t>9</w:t>
                  </w:r>
                </w:p>
              </w:tc>
              <w:tc>
                <w:tcPr>
                  <w:tcW w:w="1400" w:type="pct"/>
                  <w:tcBorders>
                    <w:tl2br w:val="nil"/>
                    <w:tr2bl w:val="nil"/>
                  </w:tcBorders>
                  <w:shd w:val="clear" w:color="auto" w:fill="auto"/>
                  <w:vAlign w:val="center"/>
                </w:tcPr>
                <w:p w14:paraId="3D4E0CF5">
                  <w:pPr>
                    <w:pStyle w:val="100"/>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b w:val="0"/>
                      <w:bCs w:val="0"/>
                      <w:snapToGrid w:val="0"/>
                      <w:color w:val="auto"/>
                      <w:kern w:val="0"/>
                      <w:sz w:val="21"/>
                      <w:szCs w:val="21"/>
                      <w:highlight w:val="none"/>
                      <w:u w:val="none" w:color="auto"/>
                      <w:lang w:val="en-US" w:eastAsia="en-US" w:bidi="ar-SA"/>
                    </w:rPr>
                  </w:pPr>
                  <w:r>
                    <w:rPr>
                      <w:rFonts w:hint="default" w:ascii="Times New Roman" w:hAnsi="Times New Roman" w:eastAsia="宋体" w:cs="Times New Roman"/>
                      <w:b w:val="0"/>
                      <w:bCs w:val="0"/>
                      <w:color w:val="auto"/>
                      <w:spacing w:val="-5"/>
                      <w:sz w:val="21"/>
                      <w:szCs w:val="21"/>
                      <w:highlight w:val="none"/>
                      <w:u w:val="none" w:color="auto"/>
                    </w:rPr>
                    <w:t>浸渗设备</w:t>
                  </w:r>
                </w:p>
              </w:tc>
              <w:tc>
                <w:tcPr>
                  <w:tcW w:w="895" w:type="pct"/>
                  <w:tcBorders>
                    <w:tl2br w:val="nil"/>
                    <w:tr2bl w:val="nil"/>
                  </w:tcBorders>
                  <w:shd w:val="clear" w:color="auto" w:fill="auto"/>
                  <w:vAlign w:val="center"/>
                </w:tcPr>
                <w:p w14:paraId="6CCF3433">
                  <w:pPr>
                    <w:pStyle w:val="100"/>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b w:val="0"/>
                      <w:bCs w:val="0"/>
                      <w:snapToGrid w:val="0"/>
                      <w:color w:val="auto"/>
                      <w:kern w:val="0"/>
                      <w:sz w:val="21"/>
                      <w:szCs w:val="21"/>
                      <w:highlight w:val="none"/>
                      <w:u w:val="none" w:color="auto"/>
                      <w:lang w:val="en-US" w:eastAsia="en-US" w:bidi="ar-SA"/>
                    </w:rPr>
                  </w:pPr>
                  <w:r>
                    <w:rPr>
                      <w:rFonts w:hint="default" w:ascii="Times New Roman" w:hAnsi="Times New Roman" w:eastAsia="宋体" w:cs="Times New Roman"/>
                      <w:b w:val="0"/>
                      <w:bCs w:val="0"/>
                      <w:color w:val="auto"/>
                      <w:spacing w:val="-3"/>
                      <w:sz w:val="21"/>
                      <w:szCs w:val="21"/>
                      <w:highlight w:val="none"/>
                      <w:u w:val="none" w:color="auto"/>
                    </w:rPr>
                    <w:t>套</w:t>
                  </w:r>
                </w:p>
              </w:tc>
              <w:tc>
                <w:tcPr>
                  <w:tcW w:w="617" w:type="pct"/>
                  <w:tcBorders>
                    <w:tl2br w:val="nil"/>
                    <w:tr2bl w:val="nil"/>
                  </w:tcBorders>
                  <w:shd w:val="clear" w:color="auto" w:fill="auto"/>
                  <w:vAlign w:val="center"/>
                </w:tcPr>
                <w:p w14:paraId="107ED6B7">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color w:val="auto"/>
                      <w:sz w:val="21"/>
                      <w:szCs w:val="21"/>
                      <w:highlight w:val="none"/>
                      <w:u w:val="none" w:color="auto"/>
                      <w:lang w:val="en-US" w:eastAsia="en-US"/>
                    </w:rPr>
                  </w:pPr>
                  <w:r>
                    <w:rPr>
                      <w:rFonts w:hint="default" w:ascii="Times New Roman" w:hAnsi="Times New Roman" w:eastAsia="宋体" w:cs="Times New Roman"/>
                      <w:color w:val="auto"/>
                      <w:sz w:val="21"/>
                      <w:szCs w:val="21"/>
                      <w:highlight w:val="none"/>
                      <w:u w:val="none" w:color="auto"/>
                    </w:rPr>
                    <w:t>1</w:t>
                  </w:r>
                </w:p>
              </w:tc>
              <w:tc>
                <w:tcPr>
                  <w:tcW w:w="1681" w:type="pct"/>
                  <w:tcBorders>
                    <w:tl2br w:val="nil"/>
                    <w:tr2bl w:val="nil"/>
                  </w:tcBorders>
                  <w:shd w:val="clear" w:color="auto" w:fill="auto"/>
                  <w:vAlign w:val="center"/>
                </w:tcPr>
                <w:p w14:paraId="40D19863">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de-DE"/>
                    </w:rPr>
                    <w:t>1500</w:t>
                  </w:r>
                  <w:r>
                    <w:rPr>
                      <w:rFonts w:hint="default" w:ascii="Times New Roman" w:hAnsi="Times New Roman" w:eastAsia="宋体" w:cs="Times New Roman"/>
                      <w:color w:val="auto"/>
                      <w:sz w:val="21"/>
                      <w:szCs w:val="21"/>
                      <w:highlight w:val="none"/>
                      <w:u w:val="none" w:color="auto"/>
                      <w:lang w:val="en-US" w:eastAsia="zh-CN"/>
                    </w:rPr>
                    <w:t>型，具体配置详见下；</w:t>
                  </w:r>
                </w:p>
              </w:tc>
            </w:tr>
            <w:tr w14:paraId="0D00907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201" w:type="pct"/>
                  <w:vMerge w:val="restart"/>
                  <w:tcBorders>
                    <w:tl2br w:val="nil"/>
                    <w:tr2bl w:val="nil"/>
                  </w:tcBorders>
                  <w:shd w:val="clear" w:color="auto" w:fill="auto"/>
                  <w:vAlign w:val="center"/>
                </w:tcPr>
                <w:p w14:paraId="7BA1CB41">
                  <w:pPr>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sz w:val="21"/>
                      <w:szCs w:val="21"/>
                      <w:highlight w:val="none"/>
                      <w:u w:val="none" w:color="auto"/>
                      <w:lang w:val="en-US" w:eastAsia="zh-CN"/>
                    </w:rPr>
                  </w:pPr>
                </w:p>
              </w:tc>
              <w:tc>
                <w:tcPr>
                  <w:tcW w:w="202" w:type="pct"/>
                  <w:vMerge w:val="restart"/>
                  <w:tcBorders>
                    <w:tl2br w:val="nil"/>
                    <w:tr2bl w:val="nil"/>
                  </w:tcBorders>
                  <w:shd w:val="clear" w:color="auto" w:fill="auto"/>
                  <w:vAlign w:val="center"/>
                </w:tcPr>
                <w:p w14:paraId="19EB052D">
                  <w:pPr>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其中</w:t>
                  </w:r>
                </w:p>
              </w:tc>
              <w:tc>
                <w:tcPr>
                  <w:tcW w:w="1400" w:type="pct"/>
                  <w:tcBorders>
                    <w:tl2br w:val="nil"/>
                    <w:tr2bl w:val="nil"/>
                  </w:tcBorders>
                  <w:shd w:val="clear" w:color="auto" w:fill="auto"/>
                  <w:vAlign w:val="center"/>
                </w:tcPr>
                <w:p w14:paraId="547A44FE">
                  <w:pPr>
                    <w:pStyle w:val="100"/>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b w:val="0"/>
                      <w:bCs w:val="0"/>
                      <w:snapToGrid w:val="0"/>
                      <w:color w:val="auto"/>
                      <w:kern w:val="0"/>
                      <w:sz w:val="21"/>
                      <w:szCs w:val="21"/>
                      <w:highlight w:val="none"/>
                      <w:u w:val="none" w:color="auto"/>
                      <w:lang w:val="en-US" w:eastAsia="en-US" w:bidi="ar-SA"/>
                    </w:rPr>
                  </w:pPr>
                  <w:r>
                    <w:rPr>
                      <w:rFonts w:hint="default" w:ascii="Times New Roman" w:hAnsi="Times New Roman" w:eastAsia="宋体" w:cs="Times New Roman"/>
                      <w:b w:val="0"/>
                      <w:bCs w:val="0"/>
                      <w:snapToGrid w:val="0"/>
                      <w:color w:val="auto"/>
                      <w:kern w:val="0"/>
                      <w:sz w:val="21"/>
                      <w:szCs w:val="21"/>
                      <w:highlight w:val="none"/>
                      <w:u w:val="none" w:color="auto"/>
                      <w:lang w:val="de-DE" w:eastAsia="en-US" w:bidi="ar-SA"/>
                    </w:rPr>
                    <w:t>真空浸渗罐</w:t>
                  </w:r>
                </w:p>
              </w:tc>
              <w:tc>
                <w:tcPr>
                  <w:tcW w:w="895" w:type="pct"/>
                  <w:tcBorders>
                    <w:tl2br w:val="nil"/>
                    <w:tr2bl w:val="nil"/>
                  </w:tcBorders>
                  <w:shd w:val="clear" w:color="auto" w:fill="auto"/>
                  <w:vAlign w:val="center"/>
                </w:tcPr>
                <w:p w14:paraId="2A2EF3FF">
                  <w:pPr>
                    <w:pStyle w:val="100"/>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b w:val="0"/>
                      <w:bCs w:val="0"/>
                      <w:color w:val="auto"/>
                      <w:spacing w:val="-3"/>
                      <w:sz w:val="21"/>
                      <w:szCs w:val="21"/>
                      <w:highlight w:val="none"/>
                      <w:u w:val="none" w:color="auto"/>
                      <w:lang w:val="en-US" w:eastAsia="zh-CN"/>
                    </w:rPr>
                  </w:pPr>
                  <w:r>
                    <w:rPr>
                      <w:rFonts w:hint="default" w:ascii="Times New Roman" w:hAnsi="Times New Roman" w:eastAsia="宋体" w:cs="Times New Roman"/>
                      <w:b w:val="0"/>
                      <w:bCs w:val="0"/>
                      <w:color w:val="auto"/>
                      <w:spacing w:val="-3"/>
                      <w:sz w:val="21"/>
                      <w:szCs w:val="21"/>
                      <w:highlight w:val="none"/>
                      <w:u w:val="none" w:color="auto"/>
                      <w:lang w:val="en-US" w:eastAsia="zh-CN"/>
                    </w:rPr>
                    <w:t>台/套</w:t>
                  </w:r>
                </w:p>
              </w:tc>
              <w:tc>
                <w:tcPr>
                  <w:tcW w:w="617" w:type="pct"/>
                  <w:tcBorders>
                    <w:tl2br w:val="nil"/>
                    <w:tr2bl w:val="nil"/>
                  </w:tcBorders>
                  <w:shd w:val="clear" w:color="auto" w:fill="auto"/>
                  <w:vAlign w:val="center"/>
                </w:tcPr>
                <w:p w14:paraId="1313530B">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1</w:t>
                  </w:r>
                </w:p>
              </w:tc>
              <w:tc>
                <w:tcPr>
                  <w:tcW w:w="1681" w:type="pct"/>
                  <w:tcBorders>
                    <w:tl2br w:val="nil"/>
                    <w:tr2bl w:val="nil"/>
                  </w:tcBorders>
                  <w:shd w:val="clear" w:color="auto" w:fill="auto"/>
                  <w:vAlign w:val="center"/>
                </w:tcPr>
                <w:p w14:paraId="6382A391">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de-DE"/>
                    </w:rPr>
                    <w:t>（12-25℃）</w:t>
                  </w:r>
                </w:p>
              </w:tc>
            </w:tr>
            <w:tr w14:paraId="30BCBC6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trPr>
              <w:tc>
                <w:tcPr>
                  <w:tcW w:w="201" w:type="pct"/>
                  <w:vMerge w:val="continue"/>
                  <w:tcBorders>
                    <w:tl2br w:val="nil"/>
                    <w:tr2bl w:val="nil"/>
                  </w:tcBorders>
                  <w:shd w:val="clear" w:color="auto" w:fill="auto"/>
                  <w:vAlign w:val="center"/>
                </w:tcPr>
                <w:p w14:paraId="1ADA61DE">
                  <w:pPr>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sz w:val="21"/>
                      <w:szCs w:val="21"/>
                      <w:highlight w:val="none"/>
                      <w:u w:val="none" w:color="auto"/>
                      <w:lang w:val="en-US" w:eastAsia="zh-CN"/>
                    </w:rPr>
                  </w:pPr>
                </w:p>
              </w:tc>
              <w:tc>
                <w:tcPr>
                  <w:tcW w:w="202" w:type="pct"/>
                  <w:vMerge w:val="continue"/>
                  <w:tcBorders>
                    <w:tl2br w:val="nil"/>
                    <w:tr2bl w:val="nil"/>
                  </w:tcBorders>
                  <w:shd w:val="clear" w:color="auto" w:fill="auto"/>
                  <w:vAlign w:val="center"/>
                </w:tcPr>
                <w:p w14:paraId="162B0DE2">
                  <w:pPr>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sz w:val="21"/>
                      <w:szCs w:val="21"/>
                      <w:highlight w:val="none"/>
                      <w:u w:val="none" w:color="auto"/>
                      <w:lang w:val="en-US" w:eastAsia="zh-CN"/>
                    </w:rPr>
                  </w:pPr>
                </w:p>
              </w:tc>
              <w:tc>
                <w:tcPr>
                  <w:tcW w:w="1400" w:type="pct"/>
                  <w:tcBorders>
                    <w:tl2br w:val="nil"/>
                    <w:tr2bl w:val="nil"/>
                  </w:tcBorders>
                  <w:shd w:val="clear" w:color="auto" w:fill="auto"/>
                  <w:vAlign w:val="center"/>
                </w:tcPr>
                <w:p w14:paraId="5A5A3601">
                  <w:pPr>
                    <w:pStyle w:val="100"/>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b w:val="0"/>
                      <w:bCs w:val="0"/>
                      <w:snapToGrid w:val="0"/>
                      <w:color w:val="auto"/>
                      <w:kern w:val="0"/>
                      <w:sz w:val="21"/>
                      <w:szCs w:val="21"/>
                      <w:highlight w:val="none"/>
                      <w:u w:val="none" w:color="auto"/>
                      <w:lang w:val="en-US" w:eastAsia="en-US" w:bidi="ar-SA"/>
                    </w:rPr>
                  </w:pPr>
                  <w:r>
                    <w:rPr>
                      <w:rFonts w:hint="default" w:ascii="Times New Roman" w:hAnsi="Times New Roman" w:eastAsia="宋体" w:cs="Times New Roman"/>
                      <w:b w:val="0"/>
                      <w:bCs w:val="0"/>
                      <w:snapToGrid w:val="0"/>
                      <w:color w:val="auto"/>
                      <w:kern w:val="0"/>
                      <w:sz w:val="21"/>
                      <w:szCs w:val="21"/>
                      <w:highlight w:val="none"/>
                      <w:u w:val="none" w:color="auto"/>
                      <w:lang w:val="de-DE" w:eastAsia="en-US" w:bidi="ar-SA"/>
                    </w:rPr>
                    <w:t>六向离心甩胶罐</w:t>
                  </w:r>
                </w:p>
              </w:tc>
              <w:tc>
                <w:tcPr>
                  <w:tcW w:w="895" w:type="pct"/>
                  <w:tcBorders>
                    <w:tl2br w:val="nil"/>
                    <w:tr2bl w:val="nil"/>
                  </w:tcBorders>
                  <w:shd w:val="clear" w:color="auto" w:fill="auto"/>
                  <w:vAlign w:val="center"/>
                </w:tcPr>
                <w:p w14:paraId="56A4D77B">
                  <w:pPr>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b w:val="0"/>
                      <w:bCs w:val="0"/>
                      <w:color w:val="auto"/>
                      <w:spacing w:val="-3"/>
                      <w:sz w:val="21"/>
                      <w:szCs w:val="21"/>
                      <w:highlight w:val="none"/>
                      <w:u w:val="none" w:color="auto"/>
                    </w:rPr>
                  </w:pPr>
                  <w:r>
                    <w:rPr>
                      <w:rFonts w:hint="default" w:ascii="Times New Roman" w:hAnsi="Times New Roman" w:eastAsia="宋体" w:cs="Times New Roman"/>
                      <w:b w:val="0"/>
                      <w:bCs w:val="0"/>
                      <w:color w:val="auto"/>
                      <w:spacing w:val="-3"/>
                      <w:sz w:val="21"/>
                      <w:szCs w:val="21"/>
                      <w:highlight w:val="none"/>
                      <w:u w:val="none" w:color="auto"/>
                      <w:lang w:val="en-US" w:eastAsia="zh-CN"/>
                    </w:rPr>
                    <w:t>台/套</w:t>
                  </w:r>
                </w:p>
              </w:tc>
              <w:tc>
                <w:tcPr>
                  <w:tcW w:w="617" w:type="pct"/>
                  <w:tcBorders>
                    <w:tl2br w:val="nil"/>
                    <w:tr2bl w:val="nil"/>
                  </w:tcBorders>
                  <w:shd w:val="clear" w:color="auto" w:fill="auto"/>
                  <w:vAlign w:val="center"/>
                </w:tcPr>
                <w:p w14:paraId="2E65CAD2">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1</w:t>
                  </w:r>
                </w:p>
              </w:tc>
              <w:tc>
                <w:tcPr>
                  <w:tcW w:w="1681" w:type="pct"/>
                  <w:tcBorders>
                    <w:tl2br w:val="nil"/>
                    <w:tr2bl w:val="nil"/>
                  </w:tcBorders>
                  <w:shd w:val="clear" w:color="auto" w:fill="auto"/>
                  <w:vAlign w:val="center"/>
                </w:tcPr>
                <w:p w14:paraId="55B1D903">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color w:val="auto"/>
                      <w:sz w:val="21"/>
                      <w:szCs w:val="21"/>
                      <w:highlight w:val="none"/>
                      <w:u w:val="none" w:color="auto"/>
                      <w:lang w:val="en-US" w:eastAsia="zh-CN"/>
                    </w:rPr>
                  </w:pPr>
                </w:p>
              </w:tc>
            </w:tr>
            <w:tr w14:paraId="29BE3F2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trPr>
              <w:tc>
                <w:tcPr>
                  <w:tcW w:w="201" w:type="pct"/>
                  <w:vMerge w:val="continue"/>
                  <w:tcBorders>
                    <w:tl2br w:val="nil"/>
                    <w:tr2bl w:val="nil"/>
                  </w:tcBorders>
                  <w:shd w:val="clear" w:color="auto" w:fill="auto"/>
                  <w:vAlign w:val="center"/>
                </w:tcPr>
                <w:p w14:paraId="47DE707C">
                  <w:pPr>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sz w:val="21"/>
                      <w:szCs w:val="21"/>
                      <w:highlight w:val="none"/>
                      <w:u w:val="none" w:color="auto"/>
                      <w:lang w:val="en-US" w:eastAsia="zh-CN"/>
                    </w:rPr>
                  </w:pPr>
                </w:p>
              </w:tc>
              <w:tc>
                <w:tcPr>
                  <w:tcW w:w="202" w:type="pct"/>
                  <w:vMerge w:val="continue"/>
                  <w:tcBorders>
                    <w:tl2br w:val="nil"/>
                    <w:tr2bl w:val="nil"/>
                  </w:tcBorders>
                  <w:shd w:val="clear" w:color="auto" w:fill="auto"/>
                  <w:vAlign w:val="center"/>
                </w:tcPr>
                <w:p w14:paraId="6A9A353D">
                  <w:pPr>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sz w:val="21"/>
                      <w:szCs w:val="21"/>
                      <w:highlight w:val="none"/>
                      <w:u w:val="none" w:color="auto"/>
                      <w:lang w:val="en-US" w:eastAsia="zh-CN"/>
                    </w:rPr>
                  </w:pPr>
                </w:p>
              </w:tc>
              <w:tc>
                <w:tcPr>
                  <w:tcW w:w="1400" w:type="pct"/>
                  <w:tcBorders>
                    <w:tl2br w:val="nil"/>
                    <w:tr2bl w:val="nil"/>
                  </w:tcBorders>
                  <w:shd w:val="clear" w:color="auto" w:fill="auto"/>
                  <w:vAlign w:val="center"/>
                </w:tcPr>
                <w:p w14:paraId="0093785E">
                  <w:pPr>
                    <w:pStyle w:val="100"/>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b w:val="0"/>
                      <w:bCs w:val="0"/>
                      <w:snapToGrid w:val="0"/>
                      <w:color w:val="auto"/>
                      <w:kern w:val="0"/>
                      <w:sz w:val="21"/>
                      <w:szCs w:val="21"/>
                      <w:highlight w:val="none"/>
                      <w:u w:val="none" w:color="auto"/>
                      <w:lang w:val="en-US" w:eastAsia="en-US" w:bidi="ar-SA"/>
                    </w:rPr>
                  </w:pPr>
                  <w:r>
                    <w:rPr>
                      <w:rFonts w:hint="default" w:ascii="Times New Roman" w:hAnsi="Times New Roman" w:eastAsia="宋体" w:cs="Times New Roman"/>
                      <w:b w:val="0"/>
                      <w:bCs w:val="0"/>
                      <w:snapToGrid w:val="0"/>
                      <w:color w:val="auto"/>
                      <w:kern w:val="0"/>
                      <w:sz w:val="21"/>
                      <w:szCs w:val="21"/>
                      <w:highlight w:val="none"/>
                      <w:u w:val="none" w:color="auto"/>
                      <w:lang w:val="de-DE" w:eastAsia="en-US" w:bidi="ar-SA"/>
                    </w:rPr>
                    <w:t>喷淋清洗罐</w:t>
                  </w:r>
                </w:p>
              </w:tc>
              <w:tc>
                <w:tcPr>
                  <w:tcW w:w="895" w:type="pct"/>
                  <w:tcBorders>
                    <w:tl2br w:val="nil"/>
                    <w:tr2bl w:val="nil"/>
                  </w:tcBorders>
                  <w:shd w:val="clear" w:color="auto" w:fill="auto"/>
                  <w:vAlign w:val="center"/>
                </w:tcPr>
                <w:p w14:paraId="7855534D">
                  <w:pPr>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b w:val="0"/>
                      <w:bCs w:val="0"/>
                      <w:color w:val="auto"/>
                      <w:spacing w:val="-3"/>
                      <w:sz w:val="21"/>
                      <w:szCs w:val="21"/>
                      <w:highlight w:val="none"/>
                      <w:u w:val="none" w:color="auto"/>
                    </w:rPr>
                  </w:pPr>
                  <w:r>
                    <w:rPr>
                      <w:rFonts w:hint="default" w:ascii="Times New Roman" w:hAnsi="Times New Roman" w:eastAsia="宋体" w:cs="Times New Roman"/>
                      <w:b w:val="0"/>
                      <w:bCs w:val="0"/>
                      <w:color w:val="auto"/>
                      <w:spacing w:val="-3"/>
                      <w:sz w:val="21"/>
                      <w:szCs w:val="21"/>
                      <w:highlight w:val="none"/>
                      <w:u w:val="none" w:color="auto"/>
                      <w:lang w:val="en-US" w:eastAsia="zh-CN"/>
                    </w:rPr>
                    <w:t>台/套</w:t>
                  </w:r>
                </w:p>
              </w:tc>
              <w:tc>
                <w:tcPr>
                  <w:tcW w:w="617" w:type="pct"/>
                  <w:tcBorders>
                    <w:tl2br w:val="nil"/>
                    <w:tr2bl w:val="nil"/>
                  </w:tcBorders>
                  <w:shd w:val="clear" w:color="auto" w:fill="auto"/>
                  <w:vAlign w:val="center"/>
                </w:tcPr>
                <w:p w14:paraId="0BCBA529">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1</w:t>
                  </w:r>
                </w:p>
              </w:tc>
              <w:tc>
                <w:tcPr>
                  <w:tcW w:w="1681" w:type="pct"/>
                  <w:tcBorders>
                    <w:tl2br w:val="nil"/>
                    <w:tr2bl w:val="nil"/>
                  </w:tcBorders>
                  <w:shd w:val="clear" w:color="auto" w:fill="auto"/>
                  <w:vAlign w:val="center"/>
                </w:tcPr>
                <w:p w14:paraId="37030381">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de-DE"/>
                    </w:rPr>
                    <w:t>（20-35℃）</w:t>
                  </w:r>
                </w:p>
              </w:tc>
            </w:tr>
            <w:tr w14:paraId="1891795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trPr>
              <w:tc>
                <w:tcPr>
                  <w:tcW w:w="201" w:type="pct"/>
                  <w:vMerge w:val="continue"/>
                  <w:tcBorders>
                    <w:tl2br w:val="nil"/>
                    <w:tr2bl w:val="nil"/>
                  </w:tcBorders>
                  <w:shd w:val="clear" w:color="auto" w:fill="auto"/>
                  <w:vAlign w:val="center"/>
                </w:tcPr>
                <w:p w14:paraId="3DCD6FA9">
                  <w:pPr>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sz w:val="21"/>
                      <w:szCs w:val="21"/>
                      <w:highlight w:val="none"/>
                      <w:u w:val="none" w:color="auto"/>
                      <w:lang w:val="en-US" w:eastAsia="zh-CN"/>
                    </w:rPr>
                  </w:pPr>
                </w:p>
              </w:tc>
              <w:tc>
                <w:tcPr>
                  <w:tcW w:w="202" w:type="pct"/>
                  <w:vMerge w:val="continue"/>
                  <w:tcBorders>
                    <w:tl2br w:val="nil"/>
                    <w:tr2bl w:val="nil"/>
                  </w:tcBorders>
                  <w:shd w:val="clear" w:color="auto" w:fill="auto"/>
                  <w:vAlign w:val="center"/>
                </w:tcPr>
                <w:p w14:paraId="0FC064E0">
                  <w:pPr>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sz w:val="21"/>
                      <w:szCs w:val="21"/>
                      <w:highlight w:val="none"/>
                      <w:u w:val="none" w:color="auto"/>
                      <w:lang w:val="en-US" w:eastAsia="zh-CN"/>
                    </w:rPr>
                  </w:pPr>
                </w:p>
              </w:tc>
              <w:tc>
                <w:tcPr>
                  <w:tcW w:w="1400" w:type="pct"/>
                  <w:tcBorders>
                    <w:tl2br w:val="nil"/>
                    <w:tr2bl w:val="nil"/>
                  </w:tcBorders>
                  <w:shd w:val="clear" w:color="auto" w:fill="auto"/>
                  <w:vAlign w:val="center"/>
                </w:tcPr>
                <w:p w14:paraId="08B5F56D">
                  <w:pPr>
                    <w:pStyle w:val="100"/>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b w:val="0"/>
                      <w:bCs w:val="0"/>
                      <w:snapToGrid w:val="0"/>
                      <w:color w:val="auto"/>
                      <w:kern w:val="0"/>
                      <w:sz w:val="21"/>
                      <w:szCs w:val="21"/>
                      <w:highlight w:val="none"/>
                      <w:u w:val="none" w:color="auto"/>
                      <w:lang w:val="en-US" w:eastAsia="en-US" w:bidi="ar-SA"/>
                    </w:rPr>
                  </w:pPr>
                  <w:r>
                    <w:rPr>
                      <w:rFonts w:hint="default" w:ascii="Times New Roman" w:hAnsi="Times New Roman" w:eastAsia="宋体" w:cs="Times New Roman"/>
                      <w:b w:val="0"/>
                      <w:bCs w:val="0"/>
                      <w:snapToGrid w:val="0"/>
                      <w:color w:val="auto"/>
                      <w:kern w:val="0"/>
                      <w:sz w:val="21"/>
                      <w:szCs w:val="21"/>
                      <w:highlight w:val="none"/>
                      <w:u w:val="none" w:color="auto"/>
                      <w:lang w:val="de-DE" w:eastAsia="en-US" w:bidi="ar-SA"/>
                    </w:rPr>
                    <w:t>喷淋漂洗罐</w:t>
                  </w:r>
                </w:p>
              </w:tc>
              <w:tc>
                <w:tcPr>
                  <w:tcW w:w="895" w:type="pct"/>
                  <w:tcBorders>
                    <w:tl2br w:val="nil"/>
                    <w:tr2bl w:val="nil"/>
                  </w:tcBorders>
                  <w:shd w:val="clear" w:color="auto" w:fill="auto"/>
                  <w:vAlign w:val="center"/>
                </w:tcPr>
                <w:p w14:paraId="3B177F20">
                  <w:pPr>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b w:val="0"/>
                      <w:bCs w:val="0"/>
                      <w:color w:val="auto"/>
                      <w:spacing w:val="-3"/>
                      <w:sz w:val="21"/>
                      <w:szCs w:val="21"/>
                      <w:highlight w:val="none"/>
                      <w:u w:val="none" w:color="auto"/>
                    </w:rPr>
                  </w:pPr>
                  <w:r>
                    <w:rPr>
                      <w:rFonts w:hint="default" w:ascii="Times New Roman" w:hAnsi="Times New Roman" w:eastAsia="宋体" w:cs="Times New Roman"/>
                      <w:b w:val="0"/>
                      <w:bCs w:val="0"/>
                      <w:color w:val="auto"/>
                      <w:spacing w:val="-3"/>
                      <w:sz w:val="21"/>
                      <w:szCs w:val="21"/>
                      <w:highlight w:val="none"/>
                      <w:u w:val="none" w:color="auto"/>
                      <w:lang w:val="en-US" w:eastAsia="zh-CN"/>
                    </w:rPr>
                    <w:t>台/套</w:t>
                  </w:r>
                </w:p>
              </w:tc>
              <w:tc>
                <w:tcPr>
                  <w:tcW w:w="617" w:type="pct"/>
                  <w:tcBorders>
                    <w:tl2br w:val="nil"/>
                    <w:tr2bl w:val="nil"/>
                  </w:tcBorders>
                  <w:shd w:val="clear" w:color="auto" w:fill="auto"/>
                  <w:vAlign w:val="center"/>
                </w:tcPr>
                <w:p w14:paraId="126F61C9">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1</w:t>
                  </w:r>
                </w:p>
              </w:tc>
              <w:tc>
                <w:tcPr>
                  <w:tcW w:w="1681" w:type="pct"/>
                  <w:tcBorders>
                    <w:tl2br w:val="nil"/>
                    <w:tr2bl w:val="nil"/>
                  </w:tcBorders>
                  <w:shd w:val="clear" w:color="auto" w:fill="auto"/>
                  <w:vAlign w:val="center"/>
                </w:tcPr>
                <w:p w14:paraId="2BF4C967">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color w:val="auto"/>
                      <w:sz w:val="21"/>
                      <w:szCs w:val="21"/>
                      <w:highlight w:val="none"/>
                      <w:u w:val="none" w:color="auto"/>
                      <w:lang w:val="en-US" w:eastAsia="zh-CN"/>
                    </w:rPr>
                  </w:pPr>
                </w:p>
              </w:tc>
            </w:tr>
            <w:tr w14:paraId="4F7AF33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trPr>
              <w:tc>
                <w:tcPr>
                  <w:tcW w:w="201" w:type="pct"/>
                  <w:vMerge w:val="continue"/>
                  <w:tcBorders>
                    <w:tl2br w:val="nil"/>
                    <w:tr2bl w:val="nil"/>
                  </w:tcBorders>
                  <w:shd w:val="clear" w:color="auto" w:fill="auto"/>
                  <w:vAlign w:val="center"/>
                </w:tcPr>
                <w:p w14:paraId="5C510ADA">
                  <w:pPr>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sz w:val="21"/>
                      <w:szCs w:val="21"/>
                      <w:highlight w:val="none"/>
                      <w:u w:val="none" w:color="auto"/>
                      <w:lang w:val="en-US" w:eastAsia="zh-CN"/>
                    </w:rPr>
                  </w:pPr>
                </w:p>
              </w:tc>
              <w:tc>
                <w:tcPr>
                  <w:tcW w:w="202" w:type="pct"/>
                  <w:vMerge w:val="continue"/>
                  <w:tcBorders>
                    <w:tl2br w:val="nil"/>
                    <w:tr2bl w:val="nil"/>
                  </w:tcBorders>
                  <w:shd w:val="clear" w:color="auto" w:fill="auto"/>
                  <w:vAlign w:val="center"/>
                </w:tcPr>
                <w:p w14:paraId="59381025">
                  <w:pPr>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sz w:val="21"/>
                      <w:szCs w:val="21"/>
                      <w:highlight w:val="none"/>
                      <w:u w:val="none" w:color="auto"/>
                      <w:lang w:val="en-US" w:eastAsia="zh-CN"/>
                    </w:rPr>
                  </w:pPr>
                </w:p>
              </w:tc>
              <w:tc>
                <w:tcPr>
                  <w:tcW w:w="1400" w:type="pct"/>
                  <w:tcBorders>
                    <w:tl2br w:val="nil"/>
                    <w:tr2bl w:val="nil"/>
                  </w:tcBorders>
                  <w:shd w:val="clear" w:color="auto" w:fill="auto"/>
                  <w:vAlign w:val="center"/>
                </w:tcPr>
                <w:p w14:paraId="51212C28">
                  <w:pPr>
                    <w:pStyle w:val="100"/>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b w:val="0"/>
                      <w:bCs w:val="0"/>
                      <w:snapToGrid w:val="0"/>
                      <w:color w:val="auto"/>
                      <w:kern w:val="0"/>
                      <w:sz w:val="21"/>
                      <w:szCs w:val="21"/>
                      <w:highlight w:val="none"/>
                      <w:u w:val="none" w:color="auto"/>
                      <w:lang w:val="en-US" w:eastAsia="en-US" w:bidi="ar-SA"/>
                    </w:rPr>
                  </w:pPr>
                  <w:r>
                    <w:rPr>
                      <w:rFonts w:hint="default" w:ascii="Times New Roman" w:hAnsi="Times New Roman" w:eastAsia="宋体" w:cs="Times New Roman"/>
                      <w:b w:val="0"/>
                      <w:bCs w:val="0"/>
                      <w:snapToGrid w:val="0"/>
                      <w:color w:val="auto"/>
                      <w:kern w:val="0"/>
                      <w:sz w:val="21"/>
                      <w:szCs w:val="21"/>
                      <w:highlight w:val="none"/>
                      <w:u w:val="none" w:color="auto"/>
                      <w:lang w:val="de-DE" w:eastAsia="en-US" w:bidi="ar-SA"/>
                    </w:rPr>
                    <w:t>热水固化罐</w:t>
                  </w:r>
                </w:p>
              </w:tc>
              <w:tc>
                <w:tcPr>
                  <w:tcW w:w="895" w:type="pct"/>
                  <w:tcBorders>
                    <w:tl2br w:val="nil"/>
                    <w:tr2bl w:val="nil"/>
                  </w:tcBorders>
                  <w:shd w:val="clear" w:color="auto" w:fill="auto"/>
                  <w:vAlign w:val="center"/>
                </w:tcPr>
                <w:p w14:paraId="4B31E604">
                  <w:pPr>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b w:val="0"/>
                      <w:bCs w:val="0"/>
                      <w:color w:val="auto"/>
                      <w:spacing w:val="-3"/>
                      <w:sz w:val="21"/>
                      <w:szCs w:val="21"/>
                      <w:highlight w:val="none"/>
                      <w:u w:val="none" w:color="auto"/>
                    </w:rPr>
                  </w:pPr>
                  <w:r>
                    <w:rPr>
                      <w:rFonts w:hint="default" w:ascii="Times New Roman" w:hAnsi="Times New Roman" w:eastAsia="宋体" w:cs="Times New Roman"/>
                      <w:b w:val="0"/>
                      <w:bCs w:val="0"/>
                      <w:color w:val="auto"/>
                      <w:spacing w:val="-3"/>
                      <w:sz w:val="21"/>
                      <w:szCs w:val="21"/>
                      <w:highlight w:val="none"/>
                      <w:u w:val="none" w:color="auto"/>
                      <w:lang w:val="en-US" w:eastAsia="zh-CN"/>
                    </w:rPr>
                    <w:t>台/套</w:t>
                  </w:r>
                </w:p>
              </w:tc>
              <w:tc>
                <w:tcPr>
                  <w:tcW w:w="617" w:type="pct"/>
                  <w:tcBorders>
                    <w:tl2br w:val="nil"/>
                    <w:tr2bl w:val="nil"/>
                  </w:tcBorders>
                  <w:shd w:val="clear" w:color="auto" w:fill="auto"/>
                  <w:vAlign w:val="center"/>
                </w:tcPr>
                <w:p w14:paraId="3B2F571B">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1</w:t>
                  </w:r>
                </w:p>
              </w:tc>
              <w:tc>
                <w:tcPr>
                  <w:tcW w:w="1681" w:type="pct"/>
                  <w:tcBorders>
                    <w:tl2br w:val="nil"/>
                    <w:tr2bl w:val="nil"/>
                  </w:tcBorders>
                  <w:shd w:val="clear" w:color="auto" w:fill="auto"/>
                  <w:vAlign w:val="center"/>
                </w:tcPr>
                <w:p w14:paraId="4211330C">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de-DE"/>
                    </w:rPr>
                    <w:t>（90-94℃）</w:t>
                  </w:r>
                </w:p>
              </w:tc>
            </w:tr>
            <w:tr w14:paraId="7E5165F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trPr>
              <w:tc>
                <w:tcPr>
                  <w:tcW w:w="201" w:type="pct"/>
                  <w:vMerge w:val="continue"/>
                  <w:tcBorders>
                    <w:tl2br w:val="nil"/>
                    <w:tr2bl w:val="nil"/>
                  </w:tcBorders>
                  <w:shd w:val="clear" w:color="auto" w:fill="auto"/>
                  <w:vAlign w:val="center"/>
                </w:tcPr>
                <w:p w14:paraId="50D38648">
                  <w:pPr>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sz w:val="21"/>
                      <w:szCs w:val="21"/>
                      <w:highlight w:val="none"/>
                      <w:u w:val="none" w:color="auto"/>
                      <w:lang w:val="en-US" w:eastAsia="zh-CN"/>
                    </w:rPr>
                  </w:pPr>
                </w:p>
              </w:tc>
              <w:tc>
                <w:tcPr>
                  <w:tcW w:w="202" w:type="pct"/>
                  <w:vMerge w:val="continue"/>
                  <w:tcBorders>
                    <w:tl2br w:val="nil"/>
                    <w:tr2bl w:val="nil"/>
                  </w:tcBorders>
                  <w:shd w:val="clear" w:color="auto" w:fill="auto"/>
                  <w:vAlign w:val="center"/>
                </w:tcPr>
                <w:p w14:paraId="70779206">
                  <w:pPr>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sz w:val="21"/>
                      <w:szCs w:val="21"/>
                      <w:highlight w:val="none"/>
                      <w:u w:val="none" w:color="auto"/>
                      <w:lang w:val="en-US" w:eastAsia="zh-CN"/>
                    </w:rPr>
                  </w:pPr>
                </w:p>
              </w:tc>
              <w:tc>
                <w:tcPr>
                  <w:tcW w:w="1400" w:type="pct"/>
                  <w:tcBorders>
                    <w:tl2br w:val="nil"/>
                    <w:tr2bl w:val="nil"/>
                  </w:tcBorders>
                  <w:shd w:val="clear" w:color="auto" w:fill="auto"/>
                  <w:vAlign w:val="center"/>
                </w:tcPr>
                <w:p w14:paraId="269E98E1">
                  <w:pPr>
                    <w:pStyle w:val="100"/>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b w:val="0"/>
                      <w:bCs w:val="0"/>
                      <w:snapToGrid w:val="0"/>
                      <w:color w:val="auto"/>
                      <w:kern w:val="0"/>
                      <w:sz w:val="21"/>
                      <w:szCs w:val="21"/>
                      <w:highlight w:val="none"/>
                      <w:u w:val="none" w:color="auto"/>
                      <w:lang w:val="en-US" w:eastAsia="en-US" w:bidi="ar-SA"/>
                    </w:rPr>
                  </w:pPr>
                  <w:r>
                    <w:rPr>
                      <w:rFonts w:hint="default" w:ascii="Times New Roman" w:hAnsi="Times New Roman" w:eastAsia="宋体" w:cs="Times New Roman"/>
                      <w:b w:val="0"/>
                      <w:bCs w:val="0"/>
                      <w:snapToGrid w:val="0"/>
                      <w:color w:val="auto"/>
                      <w:kern w:val="0"/>
                      <w:sz w:val="21"/>
                      <w:szCs w:val="21"/>
                      <w:highlight w:val="none"/>
                      <w:u w:val="none" w:color="auto"/>
                      <w:lang w:val="de-DE" w:eastAsia="en-US" w:bidi="ar-SA"/>
                    </w:rPr>
                    <w:t>真空浸渗罐</w:t>
                  </w:r>
                </w:p>
              </w:tc>
              <w:tc>
                <w:tcPr>
                  <w:tcW w:w="895" w:type="pct"/>
                  <w:tcBorders>
                    <w:tl2br w:val="nil"/>
                    <w:tr2bl w:val="nil"/>
                  </w:tcBorders>
                  <w:shd w:val="clear" w:color="auto" w:fill="auto"/>
                  <w:vAlign w:val="center"/>
                </w:tcPr>
                <w:p w14:paraId="76FFC43C">
                  <w:pPr>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b w:val="0"/>
                      <w:bCs w:val="0"/>
                      <w:color w:val="auto"/>
                      <w:spacing w:val="-3"/>
                      <w:sz w:val="21"/>
                      <w:szCs w:val="21"/>
                      <w:highlight w:val="none"/>
                      <w:u w:val="none" w:color="auto"/>
                    </w:rPr>
                  </w:pPr>
                  <w:r>
                    <w:rPr>
                      <w:rFonts w:hint="default" w:ascii="Times New Roman" w:hAnsi="Times New Roman" w:eastAsia="宋体" w:cs="Times New Roman"/>
                      <w:b w:val="0"/>
                      <w:bCs w:val="0"/>
                      <w:color w:val="auto"/>
                      <w:spacing w:val="-3"/>
                      <w:sz w:val="21"/>
                      <w:szCs w:val="21"/>
                      <w:highlight w:val="none"/>
                      <w:u w:val="none" w:color="auto"/>
                      <w:lang w:val="en-US" w:eastAsia="zh-CN"/>
                    </w:rPr>
                    <w:t>台/套</w:t>
                  </w:r>
                </w:p>
              </w:tc>
              <w:tc>
                <w:tcPr>
                  <w:tcW w:w="617" w:type="pct"/>
                  <w:tcBorders>
                    <w:tl2br w:val="nil"/>
                    <w:tr2bl w:val="nil"/>
                  </w:tcBorders>
                  <w:shd w:val="clear" w:color="auto" w:fill="auto"/>
                  <w:vAlign w:val="center"/>
                </w:tcPr>
                <w:p w14:paraId="483E85C4">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1</w:t>
                  </w:r>
                </w:p>
              </w:tc>
              <w:tc>
                <w:tcPr>
                  <w:tcW w:w="1681" w:type="pct"/>
                  <w:tcBorders>
                    <w:tl2br w:val="nil"/>
                    <w:tr2bl w:val="nil"/>
                  </w:tcBorders>
                  <w:shd w:val="clear" w:color="auto" w:fill="auto"/>
                  <w:vAlign w:val="center"/>
                </w:tcPr>
                <w:p w14:paraId="23E47AA8">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color w:val="auto"/>
                      <w:sz w:val="21"/>
                      <w:szCs w:val="21"/>
                      <w:highlight w:val="none"/>
                      <w:u w:val="none" w:color="auto"/>
                      <w:lang w:val="en-US" w:eastAsia="zh-CN"/>
                    </w:rPr>
                  </w:pPr>
                </w:p>
              </w:tc>
            </w:tr>
            <w:tr w14:paraId="2D790B5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trPr>
              <w:tc>
                <w:tcPr>
                  <w:tcW w:w="5000" w:type="pct"/>
                  <w:gridSpan w:val="6"/>
                  <w:tcBorders>
                    <w:tl2br w:val="nil"/>
                    <w:tr2bl w:val="nil"/>
                  </w:tcBorders>
                  <w:shd w:val="clear" w:color="auto" w:fill="auto"/>
                  <w:vAlign w:val="center"/>
                </w:tcPr>
                <w:p w14:paraId="243FB74C">
                  <w:pPr>
                    <w:keepNext w:val="0"/>
                    <w:keepLines w:val="0"/>
                    <w:pageBreakBefore w:val="0"/>
                    <w:kinsoku/>
                    <w:wordWrap/>
                    <w:overflowPunct/>
                    <w:topLinePunct w:val="0"/>
                    <w:autoSpaceDE/>
                    <w:autoSpaceDN/>
                    <w:bidi w:val="0"/>
                    <w:adjustRightInd/>
                    <w:snapToGrid/>
                    <w:spacing w:line="240" w:lineRule="auto"/>
                    <w:ind w:left="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b/>
                      <w:bCs/>
                      <w:i w:val="0"/>
                      <w:iCs w:val="0"/>
                      <w:snapToGrid w:val="0"/>
                      <w:color w:val="auto"/>
                      <w:kern w:val="0"/>
                      <w:sz w:val="21"/>
                      <w:szCs w:val="21"/>
                      <w:highlight w:val="none"/>
                      <w:u w:val="none" w:color="auto"/>
                      <w:lang w:val="en-US" w:eastAsia="zh-CN" w:bidi="ar"/>
                    </w:rPr>
                    <w:t>临港高新产业园区：22栋</w:t>
                  </w:r>
                </w:p>
              </w:tc>
            </w:tr>
            <w:tr w14:paraId="3993630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trPr>
              <w:tc>
                <w:tcPr>
                  <w:tcW w:w="404" w:type="pct"/>
                  <w:gridSpan w:val="2"/>
                  <w:tcBorders>
                    <w:tl2br w:val="nil"/>
                    <w:tr2bl w:val="nil"/>
                  </w:tcBorders>
                  <w:shd w:val="clear" w:color="auto" w:fill="auto"/>
                  <w:vAlign w:val="center"/>
                </w:tcPr>
                <w:p w14:paraId="5E463FC3">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b/>
                      <w:bCs/>
                      <w:i w:val="0"/>
                      <w:iCs w:val="0"/>
                      <w:snapToGrid w:val="0"/>
                      <w:color w:val="auto"/>
                      <w:kern w:val="0"/>
                      <w:sz w:val="21"/>
                      <w:szCs w:val="21"/>
                      <w:highlight w:val="none"/>
                      <w:u w:val="none" w:color="auto"/>
                      <w:lang w:val="en-US" w:eastAsia="zh-CN" w:bidi="ar"/>
                    </w:rPr>
                    <w:t>序号</w:t>
                  </w:r>
                </w:p>
              </w:tc>
              <w:tc>
                <w:tcPr>
                  <w:tcW w:w="1400" w:type="pct"/>
                  <w:tcBorders>
                    <w:tl2br w:val="nil"/>
                    <w:tr2bl w:val="nil"/>
                  </w:tcBorders>
                  <w:shd w:val="clear" w:color="auto" w:fill="auto"/>
                  <w:vAlign w:val="center"/>
                </w:tcPr>
                <w:p w14:paraId="40EA1602">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u w:val="none" w:color="auto"/>
                      <w:lang w:val="en-US" w:eastAsia="en-US" w:bidi="ar-SA"/>
                    </w:rPr>
                  </w:pPr>
                  <w:r>
                    <w:rPr>
                      <w:rFonts w:hint="default" w:ascii="Times New Roman" w:hAnsi="Times New Roman" w:eastAsia="宋体" w:cs="Times New Roman"/>
                      <w:b/>
                      <w:bCs/>
                      <w:i w:val="0"/>
                      <w:iCs w:val="0"/>
                      <w:snapToGrid w:val="0"/>
                      <w:color w:val="auto"/>
                      <w:kern w:val="0"/>
                      <w:sz w:val="21"/>
                      <w:szCs w:val="21"/>
                      <w:highlight w:val="none"/>
                      <w:u w:val="none" w:color="auto"/>
                      <w:lang w:val="en-US" w:eastAsia="zh-CN" w:bidi="ar"/>
                    </w:rPr>
                    <w:t>设备名称</w:t>
                  </w:r>
                </w:p>
              </w:tc>
              <w:tc>
                <w:tcPr>
                  <w:tcW w:w="895" w:type="pct"/>
                  <w:tcBorders>
                    <w:tl2br w:val="nil"/>
                    <w:tr2bl w:val="nil"/>
                  </w:tcBorders>
                  <w:shd w:val="clear" w:color="auto" w:fill="auto"/>
                  <w:vAlign w:val="center"/>
                </w:tcPr>
                <w:p w14:paraId="766F12A7">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u w:val="none" w:color="auto"/>
                      <w:lang w:val="en-US" w:eastAsia="en-US" w:bidi="ar-SA"/>
                    </w:rPr>
                  </w:pPr>
                  <w:r>
                    <w:rPr>
                      <w:rFonts w:hint="default" w:ascii="Times New Roman" w:hAnsi="Times New Roman" w:eastAsia="宋体" w:cs="Times New Roman"/>
                      <w:b/>
                      <w:bCs/>
                      <w:i w:val="0"/>
                      <w:iCs w:val="0"/>
                      <w:snapToGrid w:val="0"/>
                      <w:color w:val="auto"/>
                      <w:kern w:val="0"/>
                      <w:sz w:val="21"/>
                      <w:szCs w:val="21"/>
                      <w:highlight w:val="none"/>
                      <w:u w:val="none" w:color="auto"/>
                      <w:lang w:val="en-US" w:eastAsia="zh-CN" w:bidi="ar"/>
                    </w:rPr>
                    <w:t>单位</w:t>
                  </w:r>
                </w:p>
              </w:tc>
              <w:tc>
                <w:tcPr>
                  <w:tcW w:w="617" w:type="pct"/>
                  <w:tcBorders>
                    <w:tl2br w:val="nil"/>
                    <w:tr2bl w:val="nil"/>
                  </w:tcBorders>
                  <w:shd w:val="clear" w:color="auto" w:fill="auto"/>
                  <w:vAlign w:val="center"/>
                </w:tcPr>
                <w:p w14:paraId="6B754249">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b/>
                      <w:bCs/>
                      <w:i w:val="0"/>
                      <w:iCs w:val="0"/>
                      <w:snapToGrid w:val="0"/>
                      <w:color w:val="auto"/>
                      <w:kern w:val="0"/>
                      <w:sz w:val="21"/>
                      <w:szCs w:val="21"/>
                      <w:highlight w:val="none"/>
                      <w:u w:val="none" w:color="auto"/>
                      <w:lang w:val="en-US" w:eastAsia="zh-CN" w:bidi="ar"/>
                    </w:rPr>
                    <w:t>数量</w:t>
                  </w:r>
                </w:p>
              </w:tc>
              <w:tc>
                <w:tcPr>
                  <w:tcW w:w="1681" w:type="pct"/>
                  <w:tcBorders>
                    <w:tl2br w:val="nil"/>
                    <w:tr2bl w:val="nil"/>
                  </w:tcBorders>
                  <w:shd w:val="clear" w:color="auto" w:fill="auto"/>
                  <w:vAlign w:val="center"/>
                </w:tcPr>
                <w:p w14:paraId="685E4061">
                  <w:pPr>
                    <w:keepNext w:val="0"/>
                    <w:keepLines w:val="0"/>
                    <w:widowControl/>
                    <w:suppressLineNumbers w:val="0"/>
                    <w:jc w:val="center"/>
                    <w:textAlignment w:val="center"/>
                    <w:rPr>
                      <w:rFonts w:hint="default" w:ascii="Times New Roman" w:hAnsi="Times New Roman" w:eastAsia="宋体" w:cs="Times New Roman"/>
                      <w:snapToGrid w:val="0"/>
                      <w:color w:val="auto"/>
                      <w:kern w:val="0"/>
                      <w:sz w:val="21"/>
                      <w:szCs w:val="21"/>
                      <w:highlight w:val="none"/>
                      <w:u w:val="none" w:color="auto"/>
                      <w:lang w:val="en-US" w:eastAsia="zh-CN" w:bidi="ar"/>
                    </w:rPr>
                  </w:pPr>
                  <w:r>
                    <w:rPr>
                      <w:rFonts w:hint="default" w:ascii="Times New Roman" w:hAnsi="Times New Roman" w:eastAsia="宋体" w:cs="Times New Roman"/>
                      <w:b/>
                      <w:bCs/>
                      <w:i w:val="0"/>
                      <w:iCs w:val="0"/>
                      <w:snapToGrid w:val="0"/>
                      <w:color w:val="auto"/>
                      <w:kern w:val="0"/>
                      <w:sz w:val="21"/>
                      <w:szCs w:val="21"/>
                      <w:highlight w:val="none"/>
                      <w:u w:val="none" w:color="auto"/>
                      <w:lang w:val="en-US" w:eastAsia="zh-CN" w:bidi="ar"/>
                    </w:rPr>
                    <w:t>说明</w:t>
                  </w:r>
                </w:p>
              </w:tc>
            </w:tr>
            <w:tr w14:paraId="14F1509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trPr>
              <w:tc>
                <w:tcPr>
                  <w:tcW w:w="404" w:type="pct"/>
                  <w:gridSpan w:val="2"/>
                  <w:tcBorders>
                    <w:tl2br w:val="nil"/>
                    <w:tr2bl w:val="nil"/>
                  </w:tcBorders>
                  <w:shd w:val="clear" w:color="auto" w:fill="auto"/>
                  <w:vAlign w:val="center"/>
                </w:tcPr>
                <w:p w14:paraId="39C507EC">
                  <w:pPr>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position w:val="1"/>
                      <w:sz w:val="21"/>
                      <w:szCs w:val="21"/>
                      <w:highlight w:val="none"/>
                      <w:u w:val="none" w:color="auto"/>
                    </w:rPr>
                    <w:t>1</w:t>
                  </w:r>
                </w:p>
              </w:tc>
              <w:tc>
                <w:tcPr>
                  <w:tcW w:w="1400" w:type="pct"/>
                  <w:tcBorders>
                    <w:tl2br w:val="nil"/>
                    <w:tr2bl w:val="nil"/>
                  </w:tcBorders>
                  <w:shd w:val="clear" w:color="auto" w:fill="auto"/>
                  <w:vAlign w:val="center"/>
                </w:tcPr>
                <w:p w14:paraId="4F1F2AA3">
                  <w:pPr>
                    <w:jc w:val="center"/>
                    <w:rPr>
                      <w:rFonts w:hint="default" w:ascii="Times New Roman" w:hAnsi="Times New Roman" w:eastAsia="宋体" w:cs="Times New Roman"/>
                      <w:color w:val="auto"/>
                      <w:kern w:val="2"/>
                      <w:sz w:val="21"/>
                      <w:szCs w:val="21"/>
                      <w:highlight w:val="none"/>
                      <w:u w:val="none" w:color="auto"/>
                      <w:lang w:val="en-US" w:eastAsia="en-US" w:bidi="ar-SA"/>
                    </w:rPr>
                  </w:pPr>
                  <w:r>
                    <w:rPr>
                      <w:rFonts w:hint="default" w:ascii="Times New Roman" w:hAnsi="Times New Roman" w:eastAsia="宋体" w:cs="Times New Roman"/>
                      <w:color w:val="auto"/>
                      <w:spacing w:val="-2"/>
                      <w:sz w:val="21"/>
                      <w:szCs w:val="21"/>
                      <w:highlight w:val="none"/>
                      <w:u w:val="none" w:color="auto"/>
                    </w:rPr>
                    <w:t>六轴去毛刺打磨</w:t>
                  </w:r>
                  <w:r>
                    <w:rPr>
                      <w:rFonts w:hint="default" w:ascii="Times New Roman" w:hAnsi="Times New Roman" w:eastAsia="宋体" w:cs="Times New Roman"/>
                      <w:color w:val="auto"/>
                      <w:sz w:val="21"/>
                      <w:szCs w:val="21"/>
                      <w:highlight w:val="none"/>
                      <w:u w:val="none" w:color="auto"/>
                    </w:rPr>
                    <w:t>机</w:t>
                  </w:r>
                </w:p>
              </w:tc>
              <w:tc>
                <w:tcPr>
                  <w:tcW w:w="895" w:type="pct"/>
                  <w:tcBorders>
                    <w:tl2br w:val="nil"/>
                    <w:tr2bl w:val="nil"/>
                  </w:tcBorders>
                  <w:shd w:val="clear" w:color="auto" w:fill="auto"/>
                  <w:vAlign w:val="center"/>
                </w:tcPr>
                <w:p w14:paraId="2E7B0963">
                  <w:pPr>
                    <w:pStyle w:val="100"/>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kern w:val="2"/>
                      <w:sz w:val="21"/>
                      <w:szCs w:val="21"/>
                      <w:highlight w:val="none"/>
                      <w:u w:val="none" w:color="auto"/>
                      <w:lang w:val="en-US" w:eastAsia="en-US" w:bidi="ar-SA"/>
                    </w:rPr>
                  </w:pPr>
                  <w:r>
                    <w:rPr>
                      <w:rFonts w:hint="default" w:ascii="Times New Roman" w:hAnsi="Times New Roman" w:eastAsia="宋体" w:cs="Times New Roman"/>
                      <w:color w:val="auto"/>
                      <w:sz w:val="21"/>
                      <w:szCs w:val="21"/>
                      <w:highlight w:val="none"/>
                      <w:u w:val="none" w:color="auto"/>
                    </w:rPr>
                    <w:t>套</w:t>
                  </w:r>
                </w:p>
              </w:tc>
              <w:tc>
                <w:tcPr>
                  <w:tcW w:w="617" w:type="pct"/>
                  <w:tcBorders>
                    <w:tl2br w:val="nil"/>
                    <w:tr2bl w:val="nil"/>
                  </w:tcBorders>
                  <w:shd w:val="clear" w:color="auto" w:fill="auto"/>
                  <w:vAlign w:val="center"/>
                </w:tcPr>
                <w:p w14:paraId="1A9282CC">
                  <w:pPr>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pacing w:val="-15"/>
                      <w:position w:val="1"/>
                      <w:sz w:val="21"/>
                      <w:szCs w:val="21"/>
                      <w:highlight w:val="none"/>
                      <w:u w:val="none" w:color="auto"/>
                    </w:rPr>
                    <w:t>10</w:t>
                  </w:r>
                </w:p>
              </w:tc>
              <w:tc>
                <w:tcPr>
                  <w:tcW w:w="1681" w:type="pct"/>
                  <w:tcBorders>
                    <w:tl2br w:val="nil"/>
                    <w:tr2bl w:val="nil"/>
                  </w:tcBorders>
                  <w:shd w:val="clear" w:color="auto" w:fill="auto"/>
                  <w:vAlign w:val="center"/>
                </w:tcPr>
                <w:p w14:paraId="0D540DAC">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snapToGrid w:val="0"/>
                      <w:color w:val="auto"/>
                      <w:kern w:val="0"/>
                      <w:sz w:val="21"/>
                      <w:szCs w:val="21"/>
                      <w:highlight w:val="none"/>
                      <w:u w:val="none" w:color="auto"/>
                      <w:lang w:val="en-US" w:eastAsia="zh-CN" w:bidi="ar"/>
                    </w:rPr>
                  </w:pPr>
                  <w:r>
                    <w:rPr>
                      <w:rFonts w:hint="default" w:ascii="Times New Roman" w:hAnsi="Times New Roman" w:eastAsia="宋体" w:cs="Times New Roman"/>
                      <w:color w:val="auto"/>
                      <w:sz w:val="21"/>
                      <w:szCs w:val="21"/>
                      <w:highlight w:val="none"/>
                      <w:u w:val="none" w:color="auto"/>
                    </w:rPr>
                    <w:t>1100DZ-6T</w:t>
                  </w:r>
                  <w:r>
                    <w:rPr>
                      <w:rFonts w:hint="default" w:ascii="Times New Roman" w:hAnsi="Times New Roman" w:eastAsia="宋体" w:cs="Times New Roman"/>
                      <w:color w:val="auto"/>
                      <w:sz w:val="21"/>
                      <w:szCs w:val="21"/>
                      <w:highlight w:val="none"/>
                      <w:u w:val="none" w:color="auto"/>
                      <w:lang w:eastAsia="zh-CN"/>
                    </w:rPr>
                    <w:t>；</w:t>
                  </w:r>
                  <w:r>
                    <w:rPr>
                      <w:rFonts w:hint="default" w:ascii="Times New Roman" w:hAnsi="Times New Roman" w:eastAsia="宋体" w:cs="Times New Roman"/>
                      <w:color w:val="auto"/>
                      <w:sz w:val="21"/>
                      <w:szCs w:val="21"/>
                      <w:highlight w:val="none"/>
                      <w:u w:val="none" w:color="auto"/>
                      <w:lang w:val="en-US" w:eastAsia="zh-CN"/>
                    </w:rPr>
                    <w:t>自带布袋除尘器</w:t>
                  </w:r>
                </w:p>
              </w:tc>
            </w:tr>
            <w:tr w14:paraId="19A9CF0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trPr>
              <w:tc>
                <w:tcPr>
                  <w:tcW w:w="404" w:type="pct"/>
                  <w:gridSpan w:val="2"/>
                  <w:tcBorders>
                    <w:tl2br w:val="nil"/>
                    <w:tr2bl w:val="nil"/>
                  </w:tcBorders>
                  <w:shd w:val="clear" w:color="auto" w:fill="auto"/>
                  <w:vAlign w:val="center"/>
                </w:tcPr>
                <w:p w14:paraId="7BBF856B">
                  <w:pPr>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position w:val="1"/>
                      <w:sz w:val="21"/>
                      <w:szCs w:val="21"/>
                      <w:highlight w:val="none"/>
                      <w:u w:val="none" w:color="auto"/>
                    </w:rPr>
                    <w:t>2</w:t>
                  </w:r>
                </w:p>
              </w:tc>
              <w:tc>
                <w:tcPr>
                  <w:tcW w:w="1400" w:type="pct"/>
                  <w:tcBorders>
                    <w:tl2br w:val="nil"/>
                    <w:tr2bl w:val="nil"/>
                  </w:tcBorders>
                  <w:shd w:val="clear" w:color="auto" w:fill="auto"/>
                  <w:vAlign w:val="center"/>
                </w:tcPr>
                <w:p w14:paraId="348770A4">
                  <w:pPr>
                    <w:pStyle w:val="100"/>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kern w:val="2"/>
                      <w:sz w:val="21"/>
                      <w:szCs w:val="21"/>
                      <w:highlight w:val="none"/>
                      <w:u w:val="none" w:color="auto"/>
                      <w:lang w:val="en-US" w:eastAsia="en-US" w:bidi="ar-SA"/>
                    </w:rPr>
                  </w:pPr>
                  <w:r>
                    <w:rPr>
                      <w:rFonts w:hint="default" w:ascii="Times New Roman" w:hAnsi="Times New Roman" w:eastAsia="宋体" w:cs="Times New Roman"/>
                      <w:color w:val="auto"/>
                      <w:spacing w:val="-2"/>
                      <w:sz w:val="21"/>
                      <w:szCs w:val="21"/>
                      <w:highlight w:val="none"/>
                      <w:u w:val="none" w:color="auto"/>
                    </w:rPr>
                    <w:t>激光打标机</w:t>
                  </w:r>
                </w:p>
              </w:tc>
              <w:tc>
                <w:tcPr>
                  <w:tcW w:w="895" w:type="pct"/>
                  <w:tcBorders>
                    <w:tl2br w:val="nil"/>
                    <w:tr2bl w:val="nil"/>
                  </w:tcBorders>
                  <w:shd w:val="clear" w:color="auto" w:fill="auto"/>
                  <w:vAlign w:val="center"/>
                </w:tcPr>
                <w:p w14:paraId="7BA6E728">
                  <w:pPr>
                    <w:pStyle w:val="100"/>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kern w:val="2"/>
                      <w:sz w:val="21"/>
                      <w:szCs w:val="21"/>
                      <w:highlight w:val="none"/>
                      <w:u w:val="none" w:color="auto"/>
                      <w:lang w:val="en-US" w:eastAsia="en-US" w:bidi="ar-SA"/>
                    </w:rPr>
                  </w:pPr>
                  <w:r>
                    <w:rPr>
                      <w:rFonts w:hint="default" w:ascii="Times New Roman" w:hAnsi="Times New Roman" w:eastAsia="宋体" w:cs="Times New Roman"/>
                      <w:color w:val="auto"/>
                      <w:sz w:val="21"/>
                      <w:szCs w:val="21"/>
                      <w:highlight w:val="none"/>
                      <w:u w:val="none" w:color="auto"/>
                    </w:rPr>
                    <w:t>套</w:t>
                  </w:r>
                </w:p>
              </w:tc>
              <w:tc>
                <w:tcPr>
                  <w:tcW w:w="617" w:type="pct"/>
                  <w:tcBorders>
                    <w:tl2br w:val="nil"/>
                    <w:tr2bl w:val="nil"/>
                  </w:tcBorders>
                  <w:shd w:val="clear" w:color="auto" w:fill="auto"/>
                  <w:vAlign w:val="center"/>
                </w:tcPr>
                <w:p w14:paraId="54ADF274">
                  <w:pPr>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position w:val="1"/>
                      <w:sz w:val="21"/>
                      <w:szCs w:val="21"/>
                      <w:highlight w:val="none"/>
                      <w:u w:val="none" w:color="auto"/>
                    </w:rPr>
                    <w:t>3</w:t>
                  </w:r>
                </w:p>
              </w:tc>
              <w:tc>
                <w:tcPr>
                  <w:tcW w:w="1681" w:type="pct"/>
                  <w:tcBorders>
                    <w:tl2br w:val="nil"/>
                    <w:tr2bl w:val="nil"/>
                  </w:tcBorders>
                  <w:shd w:val="clear" w:color="auto" w:fill="auto"/>
                  <w:vAlign w:val="center"/>
                </w:tcPr>
                <w:p w14:paraId="6B963B3B">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snapToGrid w:val="0"/>
                      <w:color w:val="auto"/>
                      <w:kern w:val="0"/>
                      <w:sz w:val="21"/>
                      <w:szCs w:val="21"/>
                      <w:highlight w:val="none"/>
                      <w:u w:val="none" w:color="auto"/>
                      <w:lang w:val="en-US" w:eastAsia="zh-CN" w:bidi="ar"/>
                    </w:rPr>
                  </w:pPr>
                </w:p>
              </w:tc>
            </w:tr>
            <w:tr w14:paraId="6F639FB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trPr>
              <w:tc>
                <w:tcPr>
                  <w:tcW w:w="404" w:type="pct"/>
                  <w:gridSpan w:val="2"/>
                  <w:tcBorders>
                    <w:tl2br w:val="nil"/>
                    <w:tr2bl w:val="nil"/>
                  </w:tcBorders>
                  <w:shd w:val="clear" w:color="auto" w:fill="auto"/>
                  <w:vAlign w:val="center"/>
                </w:tcPr>
                <w:p w14:paraId="73351361">
                  <w:pPr>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position w:val="1"/>
                      <w:sz w:val="21"/>
                      <w:szCs w:val="21"/>
                      <w:highlight w:val="none"/>
                      <w:u w:val="none" w:color="auto"/>
                    </w:rPr>
                    <w:t>3</w:t>
                  </w:r>
                </w:p>
              </w:tc>
              <w:tc>
                <w:tcPr>
                  <w:tcW w:w="1400" w:type="pct"/>
                  <w:tcBorders>
                    <w:tl2br w:val="nil"/>
                    <w:tr2bl w:val="nil"/>
                  </w:tcBorders>
                  <w:shd w:val="clear" w:color="auto" w:fill="auto"/>
                  <w:vAlign w:val="center"/>
                </w:tcPr>
                <w:p w14:paraId="1D8B6D23">
                  <w:pPr>
                    <w:pStyle w:val="100"/>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kern w:val="2"/>
                      <w:sz w:val="21"/>
                      <w:szCs w:val="21"/>
                      <w:highlight w:val="none"/>
                      <w:u w:val="none" w:color="auto"/>
                      <w:lang w:val="en-US" w:eastAsia="en-US" w:bidi="ar-SA"/>
                    </w:rPr>
                  </w:pPr>
                  <w:r>
                    <w:rPr>
                      <w:rFonts w:hint="default" w:ascii="Times New Roman" w:hAnsi="Times New Roman" w:eastAsia="宋体" w:cs="Times New Roman"/>
                      <w:color w:val="auto"/>
                      <w:spacing w:val="-2"/>
                      <w:sz w:val="21"/>
                      <w:szCs w:val="21"/>
                      <w:highlight w:val="none"/>
                      <w:u w:val="none" w:color="auto"/>
                    </w:rPr>
                    <w:t>立式加工中心</w:t>
                  </w:r>
                </w:p>
              </w:tc>
              <w:tc>
                <w:tcPr>
                  <w:tcW w:w="895" w:type="pct"/>
                  <w:tcBorders>
                    <w:tl2br w:val="nil"/>
                    <w:tr2bl w:val="nil"/>
                  </w:tcBorders>
                  <w:shd w:val="clear" w:color="auto" w:fill="auto"/>
                  <w:vAlign w:val="center"/>
                </w:tcPr>
                <w:p w14:paraId="615F4208">
                  <w:pPr>
                    <w:pStyle w:val="100"/>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kern w:val="2"/>
                      <w:sz w:val="21"/>
                      <w:szCs w:val="21"/>
                      <w:highlight w:val="none"/>
                      <w:u w:val="none" w:color="auto"/>
                      <w:lang w:val="en-US" w:eastAsia="en-US" w:bidi="ar-SA"/>
                    </w:rPr>
                  </w:pPr>
                  <w:r>
                    <w:rPr>
                      <w:rFonts w:hint="default" w:ascii="Times New Roman" w:hAnsi="Times New Roman" w:eastAsia="宋体" w:cs="Times New Roman"/>
                      <w:color w:val="auto"/>
                      <w:sz w:val="21"/>
                      <w:szCs w:val="21"/>
                      <w:highlight w:val="none"/>
                      <w:u w:val="none" w:color="auto"/>
                    </w:rPr>
                    <w:t>套</w:t>
                  </w:r>
                </w:p>
              </w:tc>
              <w:tc>
                <w:tcPr>
                  <w:tcW w:w="617" w:type="pct"/>
                  <w:tcBorders>
                    <w:tl2br w:val="nil"/>
                    <w:tr2bl w:val="nil"/>
                  </w:tcBorders>
                  <w:shd w:val="clear" w:color="auto" w:fill="auto"/>
                  <w:vAlign w:val="center"/>
                </w:tcPr>
                <w:p w14:paraId="49EB6994">
                  <w:pPr>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pacing w:val="-15"/>
                      <w:position w:val="1"/>
                      <w:sz w:val="21"/>
                      <w:szCs w:val="21"/>
                      <w:highlight w:val="none"/>
                      <w:u w:val="none" w:color="auto"/>
                    </w:rPr>
                    <w:t>10</w:t>
                  </w:r>
                </w:p>
              </w:tc>
              <w:tc>
                <w:tcPr>
                  <w:tcW w:w="1681" w:type="pct"/>
                  <w:tcBorders>
                    <w:tl2br w:val="nil"/>
                    <w:tr2bl w:val="nil"/>
                  </w:tcBorders>
                  <w:shd w:val="clear" w:color="auto" w:fill="auto"/>
                  <w:vAlign w:val="center"/>
                </w:tcPr>
                <w:p w14:paraId="710C594E">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snapToGrid w:val="0"/>
                      <w:color w:val="auto"/>
                      <w:kern w:val="0"/>
                      <w:sz w:val="21"/>
                      <w:szCs w:val="21"/>
                      <w:highlight w:val="none"/>
                      <w:u w:val="none" w:color="auto"/>
                      <w:lang w:val="en-US" w:eastAsia="zh-CN" w:bidi="ar"/>
                    </w:rPr>
                  </w:pPr>
                  <w:r>
                    <w:rPr>
                      <w:rFonts w:hint="default" w:ascii="Times New Roman" w:hAnsi="Times New Roman" w:eastAsia="宋体" w:cs="Times New Roman"/>
                      <w:color w:val="auto"/>
                      <w:sz w:val="21"/>
                      <w:szCs w:val="21"/>
                      <w:highlight w:val="none"/>
                      <w:u w:val="none" w:color="auto"/>
                    </w:rPr>
                    <w:t>SA-V960</w:t>
                  </w:r>
                </w:p>
              </w:tc>
            </w:tr>
            <w:tr w14:paraId="3A2ECD1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404" w:type="pct"/>
                  <w:gridSpan w:val="2"/>
                  <w:tcBorders>
                    <w:tl2br w:val="nil"/>
                    <w:tr2bl w:val="nil"/>
                  </w:tcBorders>
                  <w:shd w:val="clear" w:color="auto" w:fill="auto"/>
                  <w:vAlign w:val="center"/>
                </w:tcPr>
                <w:p w14:paraId="46592501">
                  <w:pPr>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position w:val="1"/>
                      <w:sz w:val="21"/>
                      <w:szCs w:val="21"/>
                      <w:highlight w:val="none"/>
                      <w:u w:val="none" w:color="auto"/>
                    </w:rPr>
                    <w:t>4</w:t>
                  </w:r>
                </w:p>
              </w:tc>
              <w:tc>
                <w:tcPr>
                  <w:tcW w:w="1400" w:type="pct"/>
                  <w:tcBorders>
                    <w:tl2br w:val="nil"/>
                    <w:tr2bl w:val="nil"/>
                  </w:tcBorders>
                  <w:shd w:val="clear" w:color="auto" w:fill="auto"/>
                  <w:vAlign w:val="center"/>
                </w:tcPr>
                <w:p w14:paraId="195E587C">
                  <w:pPr>
                    <w:pStyle w:val="100"/>
                    <w:keepNext w:val="0"/>
                    <w:keepLines w:val="0"/>
                    <w:pageBreakBefore w:val="0"/>
                    <w:kinsoku/>
                    <w:wordWrap/>
                    <w:overflowPunct/>
                    <w:topLinePunct w:val="0"/>
                    <w:autoSpaceDE/>
                    <w:autoSpaceDN/>
                    <w:bidi w:val="0"/>
                    <w:adjustRightInd/>
                    <w:snapToGrid/>
                    <w:spacing w:line="240" w:lineRule="auto"/>
                    <w:ind w:left="0"/>
                    <w:jc w:val="center"/>
                    <w:rPr>
                      <w:rFonts w:hint="default" w:ascii="Times New Roman" w:hAnsi="Times New Roman" w:eastAsia="宋体" w:cs="Times New Roman"/>
                      <w:color w:val="auto"/>
                      <w:kern w:val="2"/>
                      <w:sz w:val="21"/>
                      <w:szCs w:val="21"/>
                      <w:highlight w:val="none"/>
                      <w:u w:val="none" w:color="auto"/>
                      <w:lang w:val="en-US" w:eastAsia="en-US" w:bidi="ar-SA"/>
                    </w:rPr>
                  </w:pPr>
                  <w:r>
                    <w:rPr>
                      <w:rFonts w:hint="default" w:ascii="Times New Roman" w:hAnsi="Times New Roman" w:eastAsia="宋体" w:cs="Times New Roman"/>
                      <w:color w:val="auto"/>
                      <w:spacing w:val="-12"/>
                      <w:position w:val="2"/>
                      <w:sz w:val="21"/>
                      <w:szCs w:val="21"/>
                      <w:highlight w:val="none"/>
                      <w:u w:val="none" w:color="auto"/>
                    </w:rPr>
                    <w:t>立式加工中心（4</w:t>
                  </w:r>
                  <w:r>
                    <w:rPr>
                      <w:rFonts w:hint="default" w:ascii="Times New Roman" w:hAnsi="Times New Roman" w:eastAsia="宋体" w:cs="Times New Roman"/>
                      <w:color w:val="auto"/>
                      <w:spacing w:val="-5"/>
                      <w:sz w:val="21"/>
                      <w:szCs w:val="21"/>
                      <w:highlight w:val="none"/>
                      <w:u w:val="none" w:color="auto"/>
                    </w:rPr>
                    <w:t>轴）</w:t>
                  </w:r>
                </w:p>
              </w:tc>
              <w:tc>
                <w:tcPr>
                  <w:tcW w:w="895" w:type="pct"/>
                  <w:tcBorders>
                    <w:tl2br w:val="nil"/>
                    <w:tr2bl w:val="nil"/>
                  </w:tcBorders>
                  <w:shd w:val="clear" w:color="auto" w:fill="auto"/>
                  <w:vAlign w:val="center"/>
                </w:tcPr>
                <w:p w14:paraId="1C5B9E00">
                  <w:pPr>
                    <w:pStyle w:val="100"/>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kern w:val="2"/>
                      <w:sz w:val="21"/>
                      <w:szCs w:val="21"/>
                      <w:highlight w:val="none"/>
                      <w:u w:val="none" w:color="auto"/>
                      <w:lang w:val="en-US" w:eastAsia="en-US" w:bidi="ar-SA"/>
                    </w:rPr>
                  </w:pPr>
                  <w:r>
                    <w:rPr>
                      <w:rFonts w:hint="default" w:ascii="Times New Roman" w:hAnsi="Times New Roman" w:eastAsia="宋体" w:cs="Times New Roman"/>
                      <w:color w:val="auto"/>
                      <w:sz w:val="21"/>
                      <w:szCs w:val="21"/>
                      <w:highlight w:val="none"/>
                      <w:u w:val="none" w:color="auto"/>
                    </w:rPr>
                    <w:t>套</w:t>
                  </w:r>
                </w:p>
              </w:tc>
              <w:tc>
                <w:tcPr>
                  <w:tcW w:w="617" w:type="pct"/>
                  <w:tcBorders>
                    <w:tl2br w:val="nil"/>
                    <w:tr2bl w:val="nil"/>
                  </w:tcBorders>
                  <w:shd w:val="clear" w:color="auto" w:fill="auto"/>
                  <w:vAlign w:val="center"/>
                </w:tcPr>
                <w:p w14:paraId="1F1A71B2">
                  <w:pPr>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pacing w:val="-3"/>
                      <w:position w:val="1"/>
                      <w:sz w:val="21"/>
                      <w:szCs w:val="21"/>
                      <w:highlight w:val="none"/>
                      <w:u w:val="none" w:color="auto"/>
                    </w:rPr>
                    <w:t>20</w:t>
                  </w:r>
                </w:p>
              </w:tc>
              <w:tc>
                <w:tcPr>
                  <w:tcW w:w="1681" w:type="pct"/>
                  <w:tcBorders>
                    <w:tl2br w:val="nil"/>
                    <w:tr2bl w:val="nil"/>
                  </w:tcBorders>
                  <w:shd w:val="clear" w:color="auto" w:fill="auto"/>
                  <w:vAlign w:val="center"/>
                </w:tcPr>
                <w:p w14:paraId="31BDEC19">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snapToGrid w:val="0"/>
                      <w:color w:val="auto"/>
                      <w:kern w:val="0"/>
                      <w:sz w:val="21"/>
                      <w:szCs w:val="21"/>
                      <w:highlight w:val="none"/>
                      <w:u w:val="none" w:color="auto"/>
                      <w:lang w:val="en-US" w:eastAsia="zh-CN" w:bidi="ar"/>
                    </w:rPr>
                  </w:pPr>
                  <w:r>
                    <w:rPr>
                      <w:rFonts w:hint="default" w:ascii="Times New Roman" w:hAnsi="Times New Roman" w:eastAsia="宋体" w:cs="Times New Roman"/>
                      <w:color w:val="auto"/>
                      <w:sz w:val="21"/>
                      <w:szCs w:val="21"/>
                      <w:highlight w:val="none"/>
                      <w:u w:val="none" w:color="auto"/>
                    </w:rPr>
                    <w:t>SA-V960</w:t>
                  </w:r>
                </w:p>
              </w:tc>
            </w:tr>
            <w:tr w14:paraId="4D02817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trPr>
              <w:tc>
                <w:tcPr>
                  <w:tcW w:w="404" w:type="pct"/>
                  <w:gridSpan w:val="2"/>
                  <w:tcBorders>
                    <w:tl2br w:val="nil"/>
                    <w:tr2bl w:val="nil"/>
                  </w:tcBorders>
                  <w:shd w:val="clear" w:color="auto" w:fill="auto"/>
                  <w:vAlign w:val="center"/>
                </w:tcPr>
                <w:p w14:paraId="45FDE453">
                  <w:pPr>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rPr>
                    <w:t>5</w:t>
                  </w:r>
                </w:p>
              </w:tc>
              <w:tc>
                <w:tcPr>
                  <w:tcW w:w="1400" w:type="pct"/>
                  <w:tcBorders>
                    <w:tl2br w:val="nil"/>
                    <w:tr2bl w:val="nil"/>
                  </w:tcBorders>
                  <w:shd w:val="clear" w:color="auto" w:fill="auto"/>
                  <w:vAlign w:val="center"/>
                </w:tcPr>
                <w:p w14:paraId="52E5C0FB">
                  <w:pPr>
                    <w:pStyle w:val="100"/>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kern w:val="2"/>
                      <w:sz w:val="21"/>
                      <w:szCs w:val="21"/>
                      <w:highlight w:val="none"/>
                      <w:u w:val="none" w:color="auto"/>
                      <w:lang w:val="en-US" w:eastAsia="en-US" w:bidi="ar-SA"/>
                    </w:rPr>
                  </w:pPr>
                  <w:r>
                    <w:rPr>
                      <w:rFonts w:hint="default" w:ascii="Times New Roman" w:hAnsi="Times New Roman" w:eastAsia="宋体" w:cs="Times New Roman"/>
                      <w:color w:val="auto"/>
                      <w:spacing w:val="-4"/>
                      <w:position w:val="2"/>
                      <w:sz w:val="21"/>
                      <w:szCs w:val="21"/>
                      <w:highlight w:val="none"/>
                      <w:u w:val="none" w:color="auto"/>
                    </w:rPr>
                    <w:t>6轴机器人</w:t>
                  </w:r>
                </w:p>
              </w:tc>
              <w:tc>
                <w:tcPr>
                  <w:tcW w:w="895" w:type="pct"/>
                  <w:tcBorders>
                    <w:tl2br w:val="nil"/>
                    <w:tr2bl w:val="nil"/>
                  </w:tcBorders>
                  <w:shd w:val="clear" w:color="auto" w:fill="auto"/>
                  <w:vAlign w:val="center"/>
                </w:tcPr>
                <w:p w14:paraId="7FED2E27">
                  <w:pPr>
                    <w:pStyle w:val="100"/>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kern w:val="2"/>
                      <w:sz w:val="21"/>
                      <w:szCs w:val="21"/>
                      <w:highlight w:val="none"/>
                      <w:u w:val="none" w:color="auto"/>
                      <w:lang w:val="en-US" w:eastAsia="en-US" w:bidi="ar-SA"/>
                    </w:rPr>
                  </w:pPr>
                  <w:r>
                    <w:rPr>
                      <w:rFonts w:hint="default" w:ascii="Times New Roman" w:hAnsi="Times New Roman" w:eastAsia="宋体" w:cs="Times New Roman"/>
                      <w:color w:val="auto"/>
                      <w:sz w:val="21"/>
                      <w:szCs w:val="21"/>
                      <w:highlight w:val="none"/>
                      <w:u w:val="none" w:color="auto"/>
                    </w:rPr>
                    <w:t>套</w:t>
                  </w:r>
                </w:p>
              </w:tc>
              <w:tc>
                <w:tcPr>
                  <w:tcW w:w="617" w:type="pct"/>
                  <w:tcBorders>
                    <w:tl2br w:val="nil"/>
                    <w:tr2bl w:val="nil"/>
                  </w:tcBorders>
                  <w:shd w:val="clear" w:color="auto" w:fill="auto"/>
                  <w:vAlign w:val="center"/>
                </w:tcPr>
                <w:p w14:paraId="76C1FFBA">
                  <w:pPr>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position w:val="1"/>
                      <w:sz w:val="21"/>
                      <w:szCs w:val="21"/>
                      <w:highlight w:val="none"/>
                      <w:u w:val="none" w:color="auto"/>
                    </w:rPr>
                    <w:t>6</w:t>
                  </w:r>
                </w:p>
              </w:tc>
              <w:tc>
                <w:tcPr>
                  <w:tcW w:w="1681" w:type="pct"/>
                  <w:tcBorders>
                    <w:tl2br w:val="nil"/>
                    <w:tr2bl w:val="nil"/>
                  </w:tcBorders>
                  <w:shd w:val="clear" w:color="auto" w:fill="auto"/>
                  <w:vAlign w:val="center"/>
                </w:tcPr>
                <w:p w14:paraId="3EE21630">
                  <w:pPr>
                    <w:keepNext w:val="0"/>
                    <w:keepLines w:val="0"/>
                    <w:pageBreakBefore w:val="0"/>
                    <w:kinsoku/>
                    <w:wordWrap/>
                    <w:overflowPunct/>
                    <w:topLinePunct w:val="0"/>
                    <w:autoSpaceDE/>
                    <w:autoSpaceDN/>
                    <w:bidi w:val="0"/>
                    <w:adjustRightInd/>
                    <w:snapToGrid/>
                    <w:spacing w:line="240" w:lineRule="auto"/>
                    <w:ind w:left="0"/>
                    <w:jc w:val="center"/>
                    <w:rPr>
                      <w:rFonts w:hint="default" w:ascii="Times New Roman" w:hAnsi="Times New Roman" w:eastAsia="宋体" w:cs="Times New Roman"/>
                      <w:color w:val="auto"/>
                      <w:kern w:val="2"/>
                      <w:sz w:val="21"/>
                      <w:szCs w:val="21"/>
                      <w:highlight w:val="none"/>
                      <w:u w:val="none" w:color="auto"/>
                      <w:lang w:val="en-US" w:eastAsia="zh-CN" w:bidi="ar-SA"/>
                    </w:rPr>
                  </w:pPr>
                </w:p>
              </w:tc>
            </w:tr>
            <w:tr w14:paraId="780FB20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trPr>
              <w:tc>
                <w:tcPr>
                  <w:tcW w:w="404" w:type="pct"/>
                  <w:gridSpan w:val="2"/>
                  <w:tcBorders>
                    <w:tl2br w:val="nil"/>
                    <w:tr2bl w:val="nil"/>
                  </w:tcBorders>
                  <w:shd w:val="clear" w:color="auto" w:fill="auto"/>
                  <w:vAlign w:val="center"/>
                </w:tcPr>
                <w:p w14:paraId="3EE0DD03">
                  <w:pPr>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position w:val="1"/>
                      <w:sz w:val="21"/>
                      <w:szCs w:val="21"/>
                      <w:highlight w:val="none"/>
                      <w:u w:val="none" w:color="auto"/>
                    </w:rPr>
                    <w:t>6</w:t>
                  </w:r>
                </w:p>
              </w:tc>
              <w:tc>
                <w:tcPr>
                  <w:tcW w:w="1400" w:type="pct"/>
                  <w:tcBorders>
                    <w:tl2br w:val="nil"/>
                    <w:tr2bl w:val="nil"/>
                  </w:tcBorders>
                  <w:shd w:val="clear" w:color="auto" w:fill="auto"/>
                  <w:vAlign w:val="center"/>
                </w:tcPr>
                <w:p w14:paraId="482A028E">
                  <w:pPr>
                    <w:pStyle w:val="100"/>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kern w:val="2"/>
                      <w:sz w:val="21"/>
                      <w:szCs w:val="21"/>
                      <w:highlight w:val="none"/>
                      <w:u w:val="none" w:color="auto"/>
                      <w:lang w:val="en-US" w:eastAsia="en-US" w:bidi="ar-SA"/>
                    </w:rPr>
                  </w:pPr>
                  <w:r>
                    <w:rPr>
                      <w:rFonts w:hint="default" w:ascii="Times New Roman" w:hAnsi="Times New Roman" w:eastAsia="宋体" w:cs="Times New Roman"/>
                      <w:color w:val="auto"/>
                      <w:spacing w:val="-4"/>
                      <w:sz w:val="21"/>
                      <w:szCs w:val="21"/>
                      <w:highlight w:val="none"/>
                      <w:u w:val="none" w:color="auto"/>
                    </w:rPr>
                    <w:t>7轴机器人</w:t>
                  </w:r>
                </w:p>
              </w:tc>
              <w:tc>
                <w:tcPr>
                  <w:tcW w:w="895" w:type="pct"/>
                  <w:tcBorders>
                    <w:tl2br w:val="nil"/>
                    <w:tr2bl w:val="nil"/>
                  </w:tcBorders>
                  <w:shd w:val="clear" w:color="auto" w:fill="auto"/>
                  <w:vAlign w:val="center"/>
                </w:tcPr>
                <w:p w14:paraId="6DD99ACA">
                  <w:pPr>
                    <w:pStyle w:val="100"/>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kern w:val="2"/>
                      <w:sz w:val="21"/>
                      <w:szCs w:val="21"/>
                      <w:highlight w:val="none"/>
                      <w:u w:val="none" w:color="auto"/>
                      <w:lang w:val="en-US" w:eastAsia="en-US" w:bidi="ar-SA"/>
                    </w:rPr>
                  </w:pPr>
                  <w:r>
                    <w:rPr>
                      <w:rFonts w:hint="default" w:ascii="Times New Roman" w:hAnsi="Times New Roman" w:eastAsia="宋体" w:cs="Times New Roman"/>
                      <w:color w:val="auto"/>
                      <w:sz w:val="21"/>
                      <w:szCs w:val="21"/>
                      <w:highlight w:val="none"/>
                      <w:u w:val="none" w:color="auto"/>
                    </w:rPr>
                    <w:t>套</w:t>
                  </w:r>
                </w:p>
              </w:tc>
              <w:tc>
                <w:tcPr>
                  <w:tcW w:w="617" w:type="pct"/>
                  <w:tcBorders>
                    <w:tl2br w:val="nil"/>
                    <w:tr2bl w:val="nil"/>
                  </w:tcBorders>
                  <w:shd w:val="clear" w:color="auto" w:fill="auto"/>
                  <w:vAlign w:val="center"/>
                </w:tcPr>
                <w:p w14:paraId="6CFBEA72">
                  <w:pPr>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pacing w:val="-15"/>
                      <w:position w:val="1"/>
                      <w:sz w:val="21"/>
                      <w:szCs w:val="21"/>
                      <w:highlight w:val="none"/>
                      <w:u w:val="none" w:color="auto"/>
                    </w:rPr>
                    <w:t>11</w:t>
                  </w:r>
                </w:p>
              </w:tc>
              <w:tc>
                <w:tcPr>
                  <w:tcW w:w="1681" w:type="pct"/>
                  <w:tcBorders>
                    <w:tl2br w:val="nil"/>
                    <w:tr2bl w:val="nil"/>
                  </w:tcBorders>
                  <w:shd w:val="clear" w:color="auto" w:fill="auto"/>
                  <w:vAlign w:val="center"/>
                </w:tcPr>
                <w:p w14:paraId="38A698C0">
                  <w:pPr>
                    <w:keepNext w:val="0"/>
                    <w:keepLines w:val="0"/>
                    <w:pageBreakBefore w:val="0"/>
                    <w:kinsoku/>
                    <w:wordWrap/>
                    <w:overflowPunct/>
                    <w:topLinePunct w:val="0"/>
                    <w:autoSpaceDE/>
                    <w:autoSpaceDN/>
                    <w:bidi w:val="0"/>
                    <w:adjustRightInd/>
                    <w:snapToGrid/>
                    <w:spacing w:line="240" w:lineRule="auto"/>
                    <w:ind w:left="0"/>
                    <w:jc w:val="center"/>
                    <w:rPr>
                      <w:rFonts w:hint="default" w:ascii="Times New Roman" w:hAnsi="Times New Roman" w:eastAsia="宋体" w:cs="Times New Roman"/>
                      <w:color w:val="auto"/>
                      <w:kern w:val="2"/>
                      <w:sz w:val="21"/>
                      <w:szCs w:val="21"/>
                      <w:highlight w:val="none"/>
                      <w:u w:val="none" w:color="auto"/>
                      <w:lang w:val="en-US" w:eastAsia="zh-CN" w:bidi="ar-SA"/>
                    </w:rPr>
                  </w:pPr>
                </w:p>
              </w:tc>
            </w:tr>
            <w:tr w14:paraId="689A148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trPr>
              <w:tc>
                <w:tcPr>
                  <w:tcW w:w="404" w:type="pct"/>
                  <w:gridSpan w:val="2"/>
                  <w:tcBorders>
                    <w:tl2br w:val="nil"/>
                    <w:tr2bl w:val="nil"/>
                  </w:tcBorders>
                  <w:shd w:val="clear" w:color="auto" w:fill="auto"/>
                  <w:vAlign w:val="center"/>
                </w:tcPr>
                <w:p w14:paraId="72739706">
                  <w:pPr>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rPr>
                    <w:t>7</w:t>
                  </w:r>
                </w:p>
              </w:tc>
              <w:tc>
                <w:tcPr>
                  <w:tcW w:w="1400" w:type="pct"/>
                  <w:tcBorders>
                    <w:tl2br w:val="nil"/>
                    <w:tr2bl w:val="nil"/>
                  </w:tcBorders>
                  <w:shd w:val="clear" w:color="auto" w:fill="auto"/>
                  <w:vAlign w:val="center"/>
                </w:tcPr>
                <w:p w14:paraId="286CBBBF">
                  <w:pPr>
                    <w:pStyle w:val="100"/>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kern w:val="2"/>
                      <w:sz w:val="21"/>
                      <w:szCs w:val="21"/>
                      <w:highlight w:val="none"/>
                      <w:u w:val="none" w:color="auto"/>
                      <w:lang w:val="en-US" w:eastAsia="en-US" w:bidi="ar-SA"/>
                    </w:rPr>
                  </w:pPr>
                  <w:r>
                    <w:rPr>
                      <w:rFonts w:hint="default" w:ascii="Times New Roman" w:hAnsi="Times New Roman" w:eastAsia="宋体" w:cs="Times New Roman"/>
                      <w:color w:val="auto"/>
                      <w:spacing w:val="-4"/>
                      <w:sz w:val="21"/>
                      <w:szCs w:val="21"/>
                      <w:highlight w:val="none"/>
                      <w:u w:val="none" w:color="auto"/>
                    </w:rPr>
                    <w:t>倍速链</w:t>
                  </w:r>
                </w:p>
              </w:tc>
              <w:tc>
                <w:tcPr>
                  <w:tcW w:w="895" w:type="pct"/>
                  <w:tcBorders>
                    <w:tl2br w:val="nil"/>
                    <w:tr2bl w:val="nil"/>
                  </w:tcBorders>
                  <w:shd w:val="clear" w:color="auto" w:fill="auto"/>
                  <w:vAlign w:val="center"/>
                </w:tcPr>
                <w:p w14:paraId="020CB6A0">
                  <w:pPr>
                    <w:pStyle w:val="100"/>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kern w:val="2"/>
                      <w:sz w:val="21"/>
                      <w:szCs w:val="21"/>
                      <w:highlight w:val="none"/>
                      <w:u w:val="none" w:color="auto"/>
                      <w:lang w:val="en-US" w:eastAsia="en-US" w:bidi="ar-SA"/>
                    </w:rPr>
                  </w:pPr>
                  <w:r>
                    <w:rPr>
                      <w:rFonts w:hint="default" w:ascii="Times New Roman" w:hAnsi="Times New Roman" w:eastAsia="宋体" w:cs="Times New Roman"/>
                      <w:color w:val="auto"/>
                      <w:sz w:val="21"/>
                      <w:szCs w:val="21"/>
                      <w:highlight w:val="none"/>
                      <w:u w:val="none" w:color="auto"/>
                    </w:rPr>
                    <w:t>个</w:t>
                  </w:r>
                </w:p>
              </w:tc>
              <w:tc>
                <w:tcPr>
                  <w:tcW w:w="617" w:type="pct"/>
                  <w:tcBorders>
                    <w:tl2br w:val="nil"/>
                    <w:tr2bl w:val="nil"/>
                  </w:tcBorders>
                  <w:shd w:val="clear" w:color="auto" w:fill="auto"/>
                  <w:vAlign w:val="center"/>
                </w:tcPr>
                <w:p w14:paraId="3C72D96B">
                  <w:pPr>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position w:val="1"/>
                      <w:sz w:val="21"/>
                      <w:szCs w:val="21"/>
                      <w:highlight w:val="none"/>
                      <w:u w:val="none" w:color="auto"/>
                    </w:rPr>
                    <w:t>3</w:t>
                  </w:r>
                </w:p>
              </w:tc>
              <w:tc>
                <w:tcPr>
                  <w:tcW w:w="1681" w:type="pct"/>
                  <w:tcBorders>
                    <w:tl2br w:val="nil"/>
                    <w:tr2bl w:val="nil"/>
                  </w:tcBorders>
                  <w:shd w:val="clear" w:color="auto" w:fill="auto"/>
                  <w:vAlign w:val="center"/>
                </w:tcPr>
                <w:p w14:paraId="442F2043">
                  <w:pPr>
                    <w:keepNext w:val="0"/>
                    <w:keepLines w:val="0"/>
                    <w:pageBreakBefore w:val="0"/>
                    <w:kinsoku/>
                    <w:wordWrap/>
                    <w:overflowPunct/>
                    <w:topLinePunct w:val="0"/>
                    <w:autoSpaceDE/>
                    <w:autoSpaceDN/>
                    <w:bidi w:val="0"/>
                    <w:adjustRightInd/>
                    <w:snapToGrid/>
                    <w:spacing w:line="240" w:lineRule="auto"/>
                    <w:ind w:left="0"/>
                    <w:jc w:val="center"/>
                    <w:rPr>
                      <w:rFonts w:hint="default" w:ascii="Times New Roman" w:hAnsi="Times New Roman" w:eastAsia="宋体" w:cs="Times New Roman"/>
                      <w:color w:val="auto"/>
                      <w:kern w:val="2"/>
                      <w:sz w:val="21"/>
                      <w:szCs w:val="21"/>
                      <w:highlight w:val="none"/>
                      <w:u w:val="none" w:color="auto"/>
                      <w:lang w:val="en-US" w:eastAsia="zh-CN" w:bidi="ar-SA"/>
                    </w:rPr>
                  </w:pPr>
                </w:p>
              </w:tc>
            </w:tr>
            <w:tr w14:paraId="4596860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trPr>
              <w:tc>
                <w:tcPr>
                  <w:tcW w:w="404" w:type="pct"/>
                  <w:gridSpan w:val="2"/>
                  <w:tcBorders>
                    <w:tl2br w:val="nil"/>
                    <w:tr2bl w:val="nil"/>
                  </w:tcBorders>
                  <w:shd w:val="clear" w:color="auto" w:fill="auto"/>
                  <w:vAlign w:val="center"/>
                </w:tcPr>
                <w:p w14:paraId="7341DA46">
                  <w:pPr>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8</w:t>
                  </w:r>
                </w:p>
              </w:tc>
              <w:tc>
                <w:tcPr>
                  <w:tcW w:w="1400" w:type="pct"/>
                  <w:tcBorders>
                    <w:tl2br w:val="nil"/>
                    <w:tr2bl w:val="nil"/>
                  </w:tcBorders>
                  <w:shd w:val="clear" w:color="auto" w:fill="auto"/>
                  <w:vAlign w:val="center"/>
                </w:tcPr>
                <w:p w14:paraId="7259055F">
                  <w:pPr>
                    <w:pStyle w:val="100"/>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spacing w:val="-2"/>
                      <w:kern w:val="2"/>
                      <w:sz w:val="21"/>
                      <w:szCs w:val="21"/>
                      <w:highlight w:val="none"/>
                      <w:u w:val="none" w:color="auto"/>
                      <w:lang w:val="en-US" w:eastAsia="zh-CN" w:bidi="ar-SA"/>
                    </w:rPr>
                  </w:pPr>
                  <w:r>
                    <w:rPr>
                      <w:rFonts w:hint="default" w:ascii="Times New Roman" w:hAnsi="Times New Roman" w:eastAsia="宋体" w:cs="Times New Roman"/>
                      <w:color w:val="auto"/>
                      <w:spacing w:val="-2"/>
                      <w:sz w:val="21"/>
                      <w:szCs w:val="21"/>
                      <w:highlight w:val="none"/>
                      <w:u w:val="none" w:color="auto"/>
                      <w:lang w:val="en-US" w:eastAsia="zh-CN"/>
                    </w:rPr>
                    <w:t>空压站</w:t>
                  </w:r>
                </w:p>
              </w:tc>
              <w:tc>
                <w:tcPr>
                  <w:tcW w:w="895" w:type="pct"/>
                  <w:tcBorders>
                    <w:tl2br w:val="nil"/>
                    <w:tr2bl w:val="nil"/>
                  </w:tcBorders>
                  <w:shd w:val="clear" w:color="auto" w:fill="auto"/>
                  <w:vAlign w:val="center"/>
                </w:tcPr>
                <w:p w14:paraId="6CDCE0FD">
                  <w:pPr>
                    <w:pStyle w:val="100"/>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lang w:val="en-US" w:eastAsia="zh-CN"/>
                    </w:rPr>
                    <w:t>套</w:t>
                  </w:r>
                </w:p>
              </w:tc>
              <w:tc>
                <w:tcPr>
                  <w:tcW w:w="617" w:type="pct"/>
                  <w:tcBorders>
                    <w:tl2br w:val="nil"/>
                    <w:tr2bl w:val="nil"/>
                  </w:tcBorders>
                  <w:shd w:val="clear" w:color="auto" w:fill="auto"/>
                  <w:vAlign w:val="center"/>
                </w:tcPr>
                <w:p w14:paraId="50B39E69">
                  <w:pPr>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kern w:val="2"/>
                      <w:position w:val="1"/>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lang w:val="en-US" w:eastAsia="zh-CN"/>
                    </w:rPr>
                    <w:t>1</w:t>
                  </w:r>
                </w:p>
              </w:tc>
              <w:tc>
                <w:tcPr>
                  <w:tcW w:w="1681" w:type="pct"/>
                  <w:tcBorders>
                    <w:tl2br w:val="nil"/>
                    <w:tr2bl w:val="nil"/>
                  </w:tcBorders>
                  <w:shd w:val="clear" w:color="auto" w:fill="auto"/>
                  <w:vAlign w:val="center"/>
                </w:tcPr>
                <w:p w14:paraId="72A2C0CB">
                  <w:pPr>
                    <w:keepNext w:val="0"/>
                    <w:keepLines w:val="0"/>
                    <w:pageBreakBefore w:val="0"/>
                    <w:kinsoku/>
                    <w:wordWrap/>
                    <w:overflowPunct/>
                    <w:topLinePunct w:val="0"/>
                    <w:autoSpaceDE/>
                    <w:autoSpaceDN/>
                    <w:bidi w:val="0"/>
                    <w:adjustRightInd/>
                    <w:snapToGrid/>
                    <w:spacing w:line="240" w:lineRule="auto"/>
                    <w:ind w:left="0"/>
                    <w:jc w:val="center"/>
                    <w:rPr>
                      <w:rFonts w:hint="default" w:ascii="Times New Roman" w:hAnsi="Times New Roman" w:eastAsia="宋体" w:cs="Times New Roman"/>
                      <w:color w:val="auto"/>
                      <w:kern w:val="2"/>
                      <w:sz w:val="21"/>
                      <w:szCs w:val="21"/>
                      <w:highlight w:val="none"/>
                      <w:u w:val="none" w:color="auto"/>
                      <w:lang w:val="en-US" w:eastAsia="zh-CN" w:bidi="ar-SA"/>
                    </w:rPr>
                  </w:pPr>
                </w:p>
              </w:tc>
            </w:tr>
          </w:tbl>
          <w:p w14:paraId="1C1D9CB9">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b/>
                <w:bCs/>
                <w:color w:val="auto"/>
                <w:sz w:val="21"/>
                <w:szCs w:val="18"/>
                <w:highlight w:val="none"/>
                <w:u w:val="none" w:color="auto"/>
                <w:lang w:val="en-US" w:eastAsia="zh-CN"/>
              </w:rPr>
            </w:pPr>
            <w:r>
              <w:rPr>
                <w:rFonts w:hint="default" w:ascii="Times New Roman" w:hAnsi="Times New Roman" w:eastAsia="宋体" w:cs="Times New Roman"/>
                <w:b/>
                <w:bCs/>
                <w:color w:val="auto"/>
                <w:sz w:val="21"/>
                <w:szCs w:val="18"/>
                <w:highlight w:val="none"/>
                <w:u w:val="none" w:color="auto"/>
                <w:lang w:val="en-US" w:eastAsia="zh-CN"/>
              </w:rPr>
              <w:t>注：本项目不对现有生产设备造成改变，另铝合金熔铸一厂主要生产设备涉及二级保密，因此本次评价不再单独列出现有设备清单。</w:t>
            </w:r>
          </w:p>
          <w:p w14:paraId="6594C778">
            <w:pPr>
              <w:spacing w:line="360" w:lineRule="auto"/>
              <w:ind w:firstLine="480" w:firstLineChars="200"/>
              <w:rPr>
                <w:rFonts w:hint="default" w:ascii="Times New Roman" w:hAnsi="Times New Roman" w:eastAsia="宋体" w:cs="Times New Roman"/>
                <w:color w:val="auto"/>
                <w:sz w:val="24"/>
                <w:szCs w:val="24"/>
                <w:highlight w:val="none"/>
                <w:u w:val="none" w:color="auto"/>
                <w:lang w:val="en-US" w:eastAsia="zh-CN"/>
              </w:rPr>
            </w:pPr>
            <w:r>
              <w:rPr>
                <w:rFonts w:hint="default" w:ascii="Times New Roman" w:hAnsi="Times New Roman" w:eastAsia="宋体" w:cs="Times New Roman"/>
                <w:b w:val="0"/>
                <w:bCs w:val="0"/>
                <w:color w:val="auto"/>
                <w:sz w:val="24"/>
                <w:szCs w:val="21"/>
                <w:highlight w:val="none"/>
                <w:u w:val="none" w:color="auto"/>
              </w:rPr>
              <w:t>经查询《产业结构调整指导目录（20</w:t>
            </w:r>
            <w:r>
              <w:rPr>
                <w:rFonts w:hint="default" w:ascii="Times New Roman" w:hAnsi="Times New Roman" w:eastAsia="宋体" w:cs="Times New Roman"/>
                <w:b w:val="0"/>
                <w:bCs w:val="0"/>
                <w:color w:val="auto"/>
                <w:sz w:val="24"/>
                <w:szCs w:val="21"/>
                <w:highlight w:val="none"/>
                <w:u w:val="none" w:color="auto"/>
                <w:lang w:val="en-US" w:eastAsia="zh-CN"/>
              </w:rPr>
              <w:t>24</w:t>
            </w:r>
            <w:r>
              <w:rPr>
                <w:rFonts w:hint="default" w:ascii="Times New Roman" w:hAnsi="Times New Roman" w:eastAsia="宋体" w:cs="Times New Roman"/>
                <w:b w:val="0"/>
                <w:bCs w:val="0"/>
                <w:color w:val="auto"/>
                <w:sz w:val="24"/>
                <w:szCs w:val="21"/>
                <w:highlight w:val="none"/>
                <w:u w:val="none" w:color="auto"/>
              </w:rPr>
              <w:t>年</w:t>
            </w:r>
            <w:r>
              <w:rPr>
                <w:rFonts w:hint="default" w:ascii="Times New Roman" w:hAnsi="Times New Roman" w:eastAsia="宋体" w:cs="Times New Roman"/>
                <w:b w:val="0"/>
                <w:bCs w:val="0"/>
                <w:color w:val="auto"/>
                <w:sz w:val="24"/>
                <w:szCs w:val="21"/>
                <w:highlight w:val="none"/>
                <w:u w:val="none" w:color="auto"/>
                <w:lang w:val="en-US" w:eastAsia="zh-CN"/>
              </w:rPr>
              <w:t>版</w:t>
            </w:r>
            <w:r>
              <w:rPr>
                <w:rFonts w:hint="default" w:ascii="Times New Roman" w:hAnsi="Times New Roman" w:eastAsia="宋体" w:cs="Times New Roman"/>
                <w:b w:val="0"/>
                <w:bCs w:val="0"/>
                <w:color w:val="auto"/>
                <w:sz w:val="24"/>
                <w:szCs w:val="21"/>
                <w:highlight w:val="none"/>
                <w:u w:val="none" w:color="auto"/>
              </w:rPr>
              <w:t>）》和</w:t>
            </w:r>
            <w:r>
              <w:rPr>
                <w:rFonts w:hint="default" w:ascii="Times New Roman" w:hAnsi="Times New Roman" w:eastAsia="宋体" w:cs="Times New Roman"/>
                <w:b w:val="0"/>
                <w:bCs w:val="0"/>
                <w:color w:val="auto"/>
                <w:sz w:val="24"/>
                <w:szCs w:val="21"/>
                <w:highlight w:val="none"/>
                <w:u w:val="none" w:color="auto"/>
                <w:lang w:eastAsia="zh-CN"/>
              </w:rPr>
              <w:t>《限期淘汰产生严重污染环境的工业固体废物的落后生产工艺设备名录》（工信部2021年第25号）</w:t>
            </w:r>
            <w:r>
              <w:rPr>
                <w:rFonts w:hint="default" w:ascii="Times New Roman" w:hAnsi="Times New Roman" w:eastAsia="宋体" w:cs="Times New Roman"/>
                <w:b w:val="0"/>
                <w:bCs w:val="0"/>
                <w:color w:val="auto"/>
                <w:sz w:val="24"/>
                <w:szCs w:val="21"/>
                <w:highlight w:val="none"/>
                <w:u w:val="none" w:color="auto"/>
              </w:rPr>
              <w:t>可知，项目所选设备均不属于国家淘汰和限制的产业类型，符合国家相关生产设备要求，可满足项目正常营运生产的需要</w:t>
            </w:r>
            <w:r>
              <w:rPr>
                <w:rFonts w:hint="default" w:ascii="Times New Roman" w:hAnsi="Times New Roman" w:eastAsia="宋体" w:cs="Times New Roman"/>
                <w:color w:val="auto"/>
                <w:sz w:val="24"/>
                <w:szCs w:val="24"/>
                <w:highlight w:val="none"/>
                <w:u w:val="none" w:color="auto"/>
                <w:lang w:val="en-US" w:eastAsia="zh-CN"/>
              </w:rPr>
              <w:t>。</w:t>
            </w:r>
          </w:p>
          <w:p w14:paraId="0003E25A">
            <w:pPr>
              <w:spacing w:line="360" w:lineRule="auto"/>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b/>
                <w:bCs/>
                <w:color w:val="auto"/>
                <w:sz w:val="24"/>
                <w:szCs w:val="24"/>
                <w:highlight w:val="none"/>
                <w:u w:val="none" w:color="auto"/>
              </w:rPr>
              <w:t>设备产能匹配性</w:t>
            </w:r>
            <w:r>
              <w:rPr>
                <w:rFonts w:hint="default" w:ascii="Times New Roman" w:hAnsi="Times New Roman" w:eastAsia="宋体" w:cs="Times New Roman"/>
                <w:b/>
                <w:bCs/>
                <w:color w:val="auto"/>
                <w:sz w:val="24"/>
                <w:szCs w:val="24"/>
                <w:highlight w:val="none"/>
                <w:u w:val="none" w:color="auto"/>
                <w:lang w:val="en-US" w:eastAsia="zh-CN"/>
              </w:rPr>
              <w:t>及生产设备可依托性</w:t>
            </w:r>
            <w:r>
              <w:rPr>
                <w:rFonts w:hint="default" w:ascii="Times New Roman" w:hAnsi="Times New Roman" w:eastAsia="宋体" w:cs="Times New Roman"/>
                <w:b/>
                <w:bCs/>
                <w:color w:val="auto"/>
                <w:sz w:val="24"/>
                <w:szCs w:val="24"/>
                <w:highlight w:val="none"/>
                <w:u w:val="none" w:color="auto"/>
              </w:rPr>
              <w:t>分析：</w:t>
            </w:r>
          </w:p>
          <w:p w14:paraId="2101034B">
            <w:pPr>
              <w:spacing w:line="360" w:lineRule="auto"/>
              <w:ind w:firstLine="480" w:firstLineChars="200"/>
              <w:rPr>
                <w:rFonts w:hint="default" w:ascii="Times New Roman" w:hAnsi="Times New Roman" w:eastAsia="宋体" w:cs="Times New Roman"/>
                <w:color w:val="auto"/>
                <w:sz w:val="24"/>
                <w:szCs w:val="24"/>
                <w:highlight w:val="none"/>
                <w:u w:val="none" w:color="auto"/>
                <w:lang w:val="en-US" w:eastAsia="zh-CN"/>
              </w:rPr>
            </w:pPr>
            <w:r>
              <w:rPr>
                <w:rFonts w:hint="default" w:ascii="Times New Roman" w:hAnsi="Times New Roman" w:eastAsia="宋体" w:cs="Times New Roman"/>
                <w:color w:val="auto"/>
                <w:sz w:val="24"/>
                <w:szCs w:val="24"/>
                <w:highlight w:val="none"/>
                <w:u w:val="none" w:color="auto"/>
                <w:lang w:val="en-US" w:eastAsia="zh-CN"/>
              </w:rPr>
              <w:t>（1）中创空天厂区</w:t>
            </w:r>
          </w:p>
          <w:p w14:paraId="4ECD539A">
            <w:pPr>
              <w:spacing w:line="360" w:lineRule="auto"/>
              <w:ind w:firstLine="480" w:firstLineChars="200"/>
              <w:rPr>
                <w:rFonts w:hint="default" w:ascii="Times New Roman" w:hAnsi="Times New Roman" w:eastAsia="宋体" w:cs="Times New Roman"/>
                <w:color w:val="auto"/>
                <w:sz w:val="24"/>
                <w:szCs w:val="24"/>
                <w:highlight w:val="none"/>
                <w:u w:val="none" w:color="auto"/>
                <w:lang w:val="en-US" w:eastAsia="zh-CN"/>
              </w:rPr>
            </w:pPr>
            <w:r>
              <w:rPr>
                <w:rFonts w:hint="default" w:ascii="Times New Roman" w:hAnsi="Times New Roman" w:eastAsia="宋体" w:cs="Times New Roman"/>
                <w:color w:val="auto"/>
                <w:sz w:val="24"/>
                <w:szCs w:val="24"/>
                <w:highlight w:val="none"/>
                <w:u w:val="none" w:color="auto"/>
                <w:lang w:val="en-US" w:eastAsia="zh-CN"/>
              </w:rPr>
              <w:t>根据铝合金生产工艺可知，主要为45t熔化炉对铝合金熔融混配过程，后续工艺时长较短。每批次产能为36t/批次（按45t熔化炉80%装载率计）、每批次熔化混配时长7.5h/批次，项目拟生产时间为7920h/a，则预计产能为38016t/a，可知略大于本项目熔融能力（36015t/a），因此</w:t>
            </w:r>
            <w:r>
              <w:rPr>
                <w:rFonts w:hint="eastAsia" w:cs="Times New Roman"/>
                <w:color w:val="auto"/>
                <w:sz w:val="24"/>
                <w:szCs w:val="24"/>
                <w:highlight w:val="none"/>
                <w:u w:val="none" w:color="auto"/>
                <w:lang w:val="en-US" w:eastAsia="zh-CN"/>
              </w:rPr>
              <w:t>能够满足</w:t>
            </w:r>
            <w:r>
              <w:rPr>
                <w:rFonts w:hint="default" w:ascii="Times New Roman" w:hAnsi="Times New Roman" w:eastAsia="宋体" w:cs="Times New Roman"/>
                <w:color w:val="auto"/>
                <w:sz w:val="24"/>
                <w:szCs w:val="24"/>
                <w:highlight w:val="none"/>
                <w:u w:val="none" w:color="auto"/>
                <w:lang w:val="en-US" w:eastAsia="zh-CN"/>
              </w:rPr>
              <w:t>项目铝合金熔融混配产能需求。</w:t>
            </w:r>
          </w:p>
          <w:p w14:paraId="11A7995C">
            <w:pPr>
              <w:spacing w:line="360" w:lineRule="auto"/>
              <w:ind w:firstLine="480" w:firstLineChars="200"/>
              <w:rPr>
                <w:rFonts w:hint="default" w:ascii="Times New Roman" w:hAnsi="Times New Roman" w:eastAsia="宋体" w:cs="Times New Roman"/>
                <w:color w:val="auto"/>
                <w:sz w:val="24"/>
                <w:szCs w:val="24"/>
                <w:highlight w:val="none"/>
                <w:u w:val="none" w:color="auto"/>
                <w:lang w:val="en-US" w:eastAsia="zh-CN"/>
              </w:rPr>
            </w:pPr>
            <w:r>
              <w:rPr>
                <w:rFonts w:hint="default" w:ascii="Times New Roman" w:hAnsi="Times New Roman" w:eastAsia="宋体" w:cs="Times New Roman"/>
                <w:color w:val="auto"/>
                <w:sz w:val="24"/>
                <w:szCs w:val="24"/>
                <w:highlight w:val="none"/>
                <w:u w:val="none" w:color="auto"/>
                <w:lang w:val="en-US" w:eastAsia="zh-CN"/>
              </w:rPr>
              <w:t>本项目压铸工序采用成套设备“压铸岛—3500T”，其压铸节拍约为120-180秒/次（本次评价按均值150秒/次），拟采用2套“压铸岛—3500T”，则全年可压铸380160次/a，</w:t>
            </w:r>
            <w:r>
              <w:rPr>
                <w:rFonts w:hint="eastAsia" w:cs="Times New Roman"/>
                <w:color w:val="auto"/>
                <w:sz w:val="24"/>
                <w:szCs w:val="24"/>
                <w:highlight w:val="none"/>
                <w:u w:val="none" w:color="auto"/>
                <w:lang w:val="en-US" w:eastAsia="zh-CN"/>
              </w:rPr>
              <w:t>其中</w:t>
            </w:r>
            <w:r>
              <w:rPr>
                <w:rFonts w:hint="default" w:ascii="Times New Roman" w:hAnsi="Times New Roman" w:eastAsia="宋体" w:cs="Times New Roman"/>
                <w:color w:val="auto"/>
                <w:sz w:val="24"/>
                <w:szCs w:val="24"/>
                <w:highlight w:val="none"/>
                <w:u w:val="none" w:color="auto"/>
                <w:lang w:val="en-US" w:eastAsia="zh-CN"/>
              </w:rPr>
              <w:t>单次压铸后箱体A型3件、D型2件、E型1件；单次压铸Ф180 铝挤压电机壳6件、Ф154铝挤压电机壳6件</w:t>
            </w:r>
          </w:p>
          <w:p w14:paraId="27F16C13">
            <w:pPr>
              <w:spacing w:line="360" w:lineRule="auto"/>
              <w:ind w:firstLine="480" w:firstLineChars="200"/>
              <w:rPr>
                <w:rFonts w:hint="default" w:ascii="Times New Roman" w:hAnsi="Times New Roman" w:eastAsia="宋体" w:cs="Times New Roman"/>
                <w:color w:val="auto"/>
                <w:sz w:val="24"/>
                <w:szCs w:val="24"/>
                <w:highlight w:val="none"/>
                <w:u w:val="none" w:color="auto"/>
                <w:lang w:val="en-US" w:eastAsia="zh-CN"/>
              </w:rPr>
            </w:pPr>
            <w:r>
              <w:rPr>
                <w:rFonts w:hint="default" w:ascii="Times New Roman" w:hAnsi="Times New Roman" w:eastAsia="宋体" w:cs="Times New Roman"/>
                <w:color w:val="auto"/>
                <w:sz w:val="24"/>
                <w:szCs w:val="24"/>
                <w:highlight w:val="none"/>
                <w:u w:val="none" w:color="auto"/>
                <w:lang w:val="en-US" w:eastAsia="zh-CN"/>
              </w:rPr>
              <w:t>经工程分析可知，后箱体A型需压铸次数31667次（向上取整）、D型需压铸次数47500次，其中按A/D型平均分配产品产能计；E型需压铸次数19万次；Ф180/Ф154铝挤压电机壳合计需压铸次数7万次，则合计需压铸339167次/a＜380160次/a，因此</w:t>
            </w:r>
            <w:r>
              <w:rPr>
                <w:rFonts w:hint="eastAsia" w:cs="Times New Roman"/>
                <w:color w:val="auto"/>
                <w:sz w:val="24"/>
                <w:szCs w:val="24"/>
                <w:highlight w:val="none"/>
                <w:u w:val="none" w:color="auto"/>
                <w:lang w:val="en-US" w:eastAsia="zh-CN"/>
              </w:rPr>
              <w:t>能够满足</w:t>
            </w:r>
            <w:r>
              <w:rPr>
                <w:rFonts w:hint="default" w:ascii="Times New Roman" w:hAnsi="Times New Roman" w:eastAsia="宋体" w:cs="Times New Roman"/>
                <w:color w:val="auto"/>
                <w:sz w:val="24"/>
                <w:szCs w:val="24"/>
                <w:highlight w:val="none"/>
                <w:u w:val="none" w:color="auto"/>
                <w:lang w:val="en-US" w:eastAsia="zh-CN"/>
              </w:rPr>
              <w:t>生产需求。</w:t>
            </w:r>
          </w:p>
          <w:p w14:paraId="14509D7B">
            <w:pPr>
              <w:spacing w:line="360" w:lineRule="auto"/>
              <w:ind w:firstLine="480" w:firstLineChars="200"/>
              <w:rPr>
                <w:rFonts w:hint="default" w:ascii="Times New Roman" w:hAnsi="Times New Roman" w:eastAsia="宋体" w:cs="Times New Roman"/>
                <w:b w:val="0"/>
                <w:bCs/>
                <w:color w:val="auto"/>
                <w:sz w:val="24"/>
                <w:szCs w:val="24"/>
                <w:highlight w:val="yellow"/>
                <w:u w:val="none" w:color="auto"/>
                <w:lang w:val="en-US" w:eastAsia="zh-CN"/>
              </w:rPr>
            </w:pPr>
            <w:r>
              <w:rPr>
                <w:rFonts w:hint="default" w:ascii="Times New Roman" w:hAnsi="Times New Roman" w:eastAsia="宋体" w:cs="Times New Roman"/>
                <w:b w:val="0"/>
                <w:bCs/>
                <w:color w:val="auto"/>
                <w:sz w:val="24"/>
                <w:szCs w:val="24"/>
                <w:highlight w:val="none"/>
                <w:u w:val="none" w:color="auto"/>
                <w:lang w:val="en-US" w:eastAsia="zh-CN"/>
              </w:rPr>
              <w:t>（2）临港高新产业园区</w:t>
            </w:r>
          </w:p>
          <w:p w14:paraId="5EFFDCD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u w:val="none" w:color="auto"/>
                <w:lang w:val="en-US" w:eastAsia="zh-CN"/>
              </w:rPr>
            </w:pPr>
            <w:r>
              <w:rPr>
                <w:rFonts w:hint="default" w:ascii="Times New Roman" w:hAnsi="Times New Roman" w:eastAsia="宋体" w:cs="Times New Roman"/>
                <w:color w:val="auto"/>
                <w:sz w:val="24"/>
                <w:szCs w:val="24"/>
                <w:highlight w:val="none"/>
                <w:u w:val="none" w:color="auto"/>
                <w:lang w:val="en-US" w:eastAsia="zh-CN"/>
              </w:rPr>
              <w:t>21#厂房设置</w:t>
            </w:r>
            <w:r>
              <w:rPr>
                <w:rFonts w:hint="eastAsia" w:cs="Times New Roman"/>
                <w:color w:val="auto"/>
                <w:sz w:val="24"/>
                <w:szCs w:val="24"/>
                <w:highlight w:val="none"/>
                <w:u w:val="none" w:color="auto"/>
                <w:lang w:val="en-US" w:eastAsia="zh-CN"/>
              </w:rPr>
              <w:t>各类</w:t>
            </w:r>
            <w:r>
              <w:rPr>
                <w:rFonts w:hint="default" w:ascii="Times New Roman" w:hAnsi="Times New Roman" w:eastAsia="宋体" w:cs="Times New Roman"/>
                <w:color w:val="auto"/>
                <w:sz w:val="24"/>
                <w:szCs w:val="24"/>
                <w:highlight w:val="none"/>
                <w:u w:val="none" w:color="auto"/>
                <w:lang w:val="en-US" w:eastAsia="zh-CN"/>
              </w:rPr>
              <w:t>机加工设备合计约为20套，22#厂房设置各类机加工设备合计约为40套，主要加工后箱体A型/D型、后箱体E型</w:t>
            </w:r>
          </w:p>
          <w:p w14:paraId="66812F2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u w:val="none" w:color="auto"/>
                <w:lang w:val="en-US" w:eastAsia="zh-CN"/>
              </w:rPr>
            </w:pPr>
            <w:r>
              <w:rPr>
                <w:rFonts w:hint="default" w:ascii="Times New Roman" w:hAnsi="Times New Roman" w:eastAsia="宋体" w:cs="Times New Roman"/>
                <w:color w:val="auto"/>
                <w:sz w:val="24"/>
                <w:szCs w:val="24"/>
                <w:highlight w:val="none"/>
                <w:u w:val="none" w:color="auto"/>
                <w:lang w:val="en-US" w:eastAsia="zh-CN"/>
              </w:rPr>
              <w:t>根据建设单位提供的资料，本项目采用的机加工设备主要为数控机床，且上游来料均为企业自产，其加工速率及所需时长约分别如下：后箱体A型：5-7件/h（按均值件6件/h）；后箱体D型：4-6件/h（按均值件5件/h）；后箱体E型：4-6件/h（按均值件5件/h）。</w:t>
            </w:r>
          </w:p>
          <w:p w14:paraId="3E98C66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u w:val="none" w:color="auto"/>
                <w:lang w:val="en-US" w:eastAsia="zh-CN"/>
              </w:rPr>
            </w:pPr>
            <w:r>
              <w:rPr>
                <w:rFonts w:hint="default" w:ascii="Times New Roman" w:hAnsi="Times New Roman" w:eastAsia="宋体" w:cs="Times New Roman"/>
                <w:color w:val="auto"/>
                <w:sz w:val="24"/>
                <w:szCs w:val="24"/>
                <w:highlight w:val="none"/>
                <w:u w:val="none" w:color="auto"/>
                <w:lang w:val="en-US" w:eastAsia="zh-CN"/>
              </w:rPr>
              <w:t>根据21#厂房、22#厂房设备清单，按各类型机加工设备均使用一次方可完成加工，每件产品需2套机加工设备（机加工中心、去毛刺打磨机），两间厂房拟设置60套设备，可同时开启30套机加工工作组，各类型产品生产时长，预计加工9.5万件/a后箱体A型需加工时长527.8h/a；预计加工9.5万件/a后箱体D型需加工时长633.3h/a；预计加工19万件/a后箱体E型需加工时长1266.7h/a；则合计时长为2427.8h/a，略大于本项目设计产能时长（2400h/a），因此通过优化工艺顺序，即可满足项目生产需求。</w:t>
            </w:r>
          </w:p>
          <w:p w14:paraId="0E10AB0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u w:val="none" w:color="auto"/>
                <w:lang w:val="en-US" w:eastAsia="zh-CN"/>
              </w:rPr>
            </w:pPr>
            <w:r>
              <w:rPr>
                <w:rFonts w:hint="default" w:ascii="Times New Roman" w:hAnsi="Times New Roman" w:eastAsia="宋体" w:cs="Times New Roman"/>
                <w:color w:val="auto"/>
                <w:sz w:val="24"/>
                <w:szCs w:val="24"/>
                <w:highlight w:val="none"/>
                <w:u w:val="none" w:color="auto"/>
                <w:lang w:val="en-US" w:eastAsia="zh-CN"/>
              </w:rPr>
              <w:t>根据15#厂房设备清单，按各类型机加工设备均使用一次方可完成加工，每件产品需4套机加工设备，拟设置68套设备，可同时开启17套机加工工作组。Ф154铝挤压电机壳10-15件/h（按均值件12件/h），预计加工6万件/a合计需时长约为294h/a；工Ф180铝挤压电机壳8-12件/h（按均值件10件/h），预计加工36万件/a合计需时长约为2118h/a；合计工作时长约为2412h/a，略大于本项目设计产能时长（2400h/a），因此通过优化工艺顺序，即可满足项目生产需求。</w:t>
            </w:r>
          </w:p>
          <w:p w14:paraId="3376D6D2">
            <w:pPr>
              <w:pStyle w:val="2"/>
              <w:keepNext w:val="0"/>
              <w:keepLines w:val="0"/>
              <w:pageBreakBefore w:val="0"/>
              <w:kinsoku/>
              <w:wordWrap/>
              <w:overflowPunct/>
              <w:topLinePunct w:val="0"/>
              <w:autoSpaceDE/>
              <w:autoSpaceDN/>
              <w:bidi w:val="0"/>
              <w:adjustRightInd/>
              <w:snapToGrid/>
              <w:spacing w:before="0" w:after="0" w:line="360" w:lineRule="auto"/>
              <w:ind w:right="0" w:firstLine="482" w:firstLineChars="200"/>
              <w:textAlignment w:val="auto"/>
              <w:rPr>
                <w:rFonts w:hint="default" w:ascii="Times New Roman" w:hAnsi="Times New Roman" w:eastAsia="宋体" w:cs="Times New Roman"/>
                <w:b/>
                <w:bCs/>
                <w:color w:val="auto"/>
                <w:sz w:val="24"/>
                <w:szCs w:val="24"/>
                <w:highlight w:val="none"/>
                <w:u w:val="none" w:color="auto"/>
              </w:rPr>
            </w:pPr>
            <w:r>
              <w:rPr>
                <w:rFonts w:hint="default" w:ascii="Times New Roman" w:hAnsi="Times New Roman" w:eastAsia="宋体" w:cs="Times New Roman"/>
                <w:b/>
                <w:bCs/>
                <w:color w:val="auto"/>
                <w:sz w:val="24"/>
                <w:szCs w:val="24"/>
                <w:highlight w:val="none"/>
                <w:u w:val="none" w:color="auto"/>
              </w:rPr>
              <w:t>6、总平面布局</w:t>
            </w:r>
          </w:p>
          <w:p w14:paraId="1AD25755">
            <w:pPr>
              <w:keepNext w:val="0"/>
              <w:keepLines w:val="0"/>
              <w:pageBreakBefore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Cs/>
                <w:color w:val="auto"/>
                <w:sz w:val="24"/>
                <w:szCs w:val="24"/>
                <w:highlight w:val="none"/>
                <w:u w:val="none" w:color="auto"/>
                <w:lang w:val="en-US" w:eastAsia="zh-CN"/>
              </w:rPr>
            </w:pPr>
            <w:r>
              <w:rPr>
                <w:rFonts w:hint="default" w:ascii="Times New Roman" w:hAnsi="Times New Roman" w:eastAsia="宋体" w:cs="Times New Roman"/>
                <w:b/>
                <w:bCs w:val="0"/>
                <w:color w:val="auto"/>
                <w:sz w:val="24"/>
                <w:szCs w:val="24"/>
                <w:highlight w:val="none"/>
                <w:u w:val="none" w:color="auto"/>
                <w:lang w:val="en-US" w:eastAsia="zh-CN"/>
              </w:rPr>
              <w:t>6.1</w:t>
            </w:r>
            <w:r>
              <w:rPr>
                <w:rFonts w:hint="default" w:ascii="Times New Roman" w:hAnsi="Times New Roman" w:eastAsia="宋体" w:cs="Times New Roman"/>
                <w:b/>
                <w:bCs/>
                <w:color w:val="auto"/>
                <w:sz w:val="24"/>
                <w:szCs w:val="24"/>
                <w:highlight w:val="none"/>
                <w:u w:val="none" w:color="auto"/>
                <w:lang w:val="en-US" w:eastAsia="zh-CN"/>
              </w:rPr>
              <w:t>中创空天厂区</w:t>
            </w:r>
          </w:p>
          <w:p w14:paraId="5CA71C55">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auto"/>
                <w:sz w:val="24"/>
                <w:szCs w:val="24"/>
                <w:highlight w:val="none"/>
                <w:u w:val="none" w:color="auto"/>
                <w:lang w:eastAsia="zh-CN"/>
              </w:rPr>
            </w:pPr>
            <w:r>
              <w:rPr>
                <w:rFonts w:hint="default" w:ascii="Times New Roman" w:hAnsi="Times New Roman" w:eastAsia="宋体" w:cs="Times New Roman"/>
                <w:bCs/>
                <w:color w:val="auto"/>
                <w:sz w:val="24"/>
                <w:szCs w:val="24"/>
                <w:highlight w:val="none"/>
                <w:u w:val="none" w:color="auto"/>
                <w:lang w:val="en-US" w:eastAsia="zh-CN"/>
              </w:rPr>
              <w:t>本项目中创空天厂区内工程</w:t>
            </w:r>
            <w:r>
              <w:rPr>
                <w:rFonts w:hint="default" w:ascii="Times New Roman" w:hAnsi="Times New Roman" w:eastAsia="宋体" w:cs="Times New Roman"/>
                <w:bCs/>
                <w:color w:val="auto"/>
                <w:sz w:val="24"/>
                <w:szCs w:val="24"/>
                <w:highlight w:val="none"/>
                <w:u w:val="none" w:color="auto"/>
              </w:rPr>
              <w:t>均</w:t>
            </w:r>
            <w:r>
              <w:rPr>
                <w:rFonts w:hint="default" w:ascii="Times New Roman" w:hAnsi="Times New Roman" w:eastAsia="宋体" w:cs="Times New Roman"/>
                <w:bCs/>
                <w:color w:val="auto"/>
                <w:sz w:val="24"/>
                <w:szCs w:val="24"/>
                <w:highlight w:val="none"/>
                <w:u w:val="none" w:color="auto"/>
                <w:lang w:val="en-US" w:eastAsia="zh-CN"/>
              </w:rPr>
              <w:t>在已建厂房内进行</w:t>
            </w:r>
            <w:r>
              <w:rPr>
                <w:rFonts w:hint="default" w:ascii="Times New Roman" w:hAnsi="Times New Roman" w:eastAsia="宋体" w:cs="Times New Roman"/>
                <w:bCs/>
                <w:color w:val="auto"/>
                <w:sz w:val="24"/>
                <w:szCs w:val="24"/>
                <w:highlight w:val="none"/>
                <w:u w:val="none" w:color="auto"/>
              </w:rPr>
              <w:t>，</w:t>
            </w:r>
            <w:r>
              <w:rPr>
                <w:rFonts w:hint="default" w:ascii="Times New Roman" w:hAnsi="Times New Roman" w:eastAsia="宋体" w:cs="Times New Roman"/>
                <w:bCs/>
                <w:color w:val="auto"/>
                <w:sz w:val="24"/>
                <w:szCs w:val="24"/>
                <w:highlight w:val="none"/>
                <w:u w:val="none" w:color="auto"/>
                <w:lang w:val="en-US" w:eastAsia="zh-CN"/>
              </w:rPr>
              <w:t>两个</w:t>
            </w:r>
            <w:r>
              <w:rPr>
                <w:rFonts w:hint="default" w:ascii="Times New Roman" w:hAnsi="Times New Roman" w:eastAsia="宋体" w:cs="Times New Roman"/>
                <w:bCs/>
                <w:color w:val="auto"/>
                <w:sz w:val="24"/>
                <w:szCs w:val="24"/>
                <w:highlight w:val="none"/>
                <w:u w:val="none" w:color="auto"/>
              </w:rPr>
              <w:t>厂区内基础设施都已完善，水、电、气等市政配套设施完善，满足建设要求。本项目</w:t>
            </w:r>
            <w:r>
              <w:rPr>
                <w:rFonts w:hint="default" w:ascii="Times New Roman" w:hAnsi="Times New Roman" w:eastAsia="宋体" w:cs="Times New Roman"/>
                <w:bCs/>
                <w:color w:val="auto"/>
                <w:sz w:val="24"/>
                <w:szCs w:val="24"/>
                <w:highlight w:val="none"/>
                <w:u w:val="none" w:color="auto"/>
                <w:lang w:val="en-US" w:eastAsia="zh-CN"/>
              </w:rPr>
              <w:t>铝合金熔融混配</w:t>
            </w:r>
            <w:r>
              <w:rPr>
                <w:rFonts w:hint="default" w:ascii="Times New Roman" w:hAnsi="Times New Roman" w:eastAsia="宋体" w:cs="Times New Roman"/>
                <w:bCs/>
                <w:color w:val="auto"/>
                <w:sz w:val="24"/>
                <w:szCs w:val="24"/>
                <w:highlight w:val="none"/>
                <w:u w:val="none" w:color="auto"/>
              </w:rPr>
              <w:t>工段建设在</w:t>
            </w:r>
            <w:r>
              <w:rPr>
                <w:rFonts w:hint="default" w:ascii="Times New Roman" w:hAnsi="Times New Roman" w:eastAsia="宋体" w:cs="Times New Roman"/>
                <w:bCs/>
                <w:color w:val="auto"/>
                <w:sz w:val="24"/>
                <w:szCs w:val="24"/>
                <w:highlight w:val="none"/>
                <w:u w:val="none" w:color="auto"/>
                <w:lang w:val="en-US" w:eastAsia="zh-CN"/>
              </w:rPr>
              <w:t>中创空天厂区</w:t>
            </w:r>
            <w:r>
              <w:rPr>
                <w:rFonts w:hint="default" w:ascii="Times New Roman" w:hAnsi="Times New Roman" w:eastAsia="宋体" w:cs="Times New Roman"/>
                <w:bCs/>
                <w:color w:val="auto"/>
                <w:sz w:val="24"/>
                <w:szCs w:val="24"/>
                <w:highlight w:val="none"/>
                <w:u w:val="none" w:color="auto"/>
              </w:rPr>
              <w:t>现有原料库（戊类）内，并将其改造为熔铸二厂（丁类），改造后，一层车间主要由隔墙分为2个区域，西侧为原料预处理及缓存区，东侧主要布置铝水熔化生产线。一层车间辅房主要设置有生产辅助间、卫生间，本次新增变配电房、制氮站等辅助用房。改造后各建筑间距满足相关规范要求</w:t>
            </w:r>
            <w:r>
              <w:rPr>
                <w:rFonts w:hint="default" w:ascii="Times New Roman" w:hAnsi="Times New Roman" w:eastAsia="宋体" w:cs="Times New Roman"/>
                <w:bCs/>
                <w:color w:val="auto"/>
                <w:sz w:val="24"/>
                <w:szCs w:val="24"/>
                <w:highlight w:val="none"/>
                <w:u w:val="none" w:color="auto"/>
                <w:lang w:eastAsia="zh-CN"/>
              </w:rPr>
              <w:t>。</w:t>
            </w:r>
          </w:p>
          <w:p w14:paraId="5784A335">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auto"/>
                <w:sz w:val="24"/>
                <w:szCs w:val="24"/>
                <w:highlight w:val="none"/>
                <w:u w:val="none" w:color="auto"/>
                <w:lang w:eastAsia="zh-CN"/>
              </w:rPr>
            </w:pPr>
            <w:r>
              <w:rPr>
                <w:rFonts w:hint="default" w:ascii="Times New Roman" w:hAnsi="Times New Roman" w:eastAsia="宋体" w:cs="Times New Roman"/>
                <w:bCs/>
                <w:color w:val="auto"/>
                <w:sz w:val="24"/>
                <w:szCs w:val="24"/>
                <w:highlight w:val="none"/>
                <w:u w:val="none" w:color="auto"/>
              </w:rPr>
              <w:t>铝合金压铸设备</w:t>
            </w:r>
            <w:r>
              <w:rPr>
                <w:rFonts w:hint="default" w:ascii="Times New Roman" w:hAnsi="Times New Roman" w:eastAsia="宋体" w:cs="Times New Roman"/>
                <w:bCs/>
                <w:color w:val="auto"/>
                <w:sz w:val="24"/>
                <w:szCs w:val="24"/>
                <w:highlight w:val="none"/>
                <w:u w:val="none" w:color="auto"/>
                <w:lang w:val="en-US" w:eastAsia="zh-CN"/>
              </w:rPr>
              <w:t>拟设</w:t>
            </w:r>
            <w:r>
              <w:rPr>
                <w:rFonts w:hint="default" w:ascii="Times New Roman" w:hAnsi="Times New Roman" w:eastAsia="宋体" w:cs="Times New Roman"/>
                <w:bCs/>
                <w:color w:val="auto"/>
                <w:sz w:val="24"/>
                <w:szCs w:val="24"/>
                <w:highlight w:val="none"/>
                <w:u w:val="none" w:color="auto"/>
              </w:rPr>
              <w:t>在</w:t>
            </w:r>
            <w:r>
              <w:rPr>
                <w:rFonts w:hint="default" w:ascii="Times New Roman" w:hAnsi="Times New Roman" w:eastAsia="宋体" w:cs="Times New Roman"/>
                <w:bCs/>
                <w:color w:val="auto"/>
                <w:sz w:val="24"/>
                <w:szCs w:val="24"/>
                <w:highlight w:val="none"/>
                <w:u w:val="none" w:color="auto"/>
                <w:lang w:val="en-US" w:eastAsia="zh-CN"/>
              </w:rPr>
              <w:t>中创空天厂区</w:t>
            </w:r>
            <w:r>
              <w:rPr>
                <w:rFonts w:hint="default" w:ascii="Times New Roman" w:hAnsi="Times New Roman" w:eastAsia="宋体" w:cs="Times New Roman"/>
                <w:bCs/>
                <w:color w:val="auto"/>
                <w:sz w:val="24"/>
                <w:szCs w:val="24"/>
                <w:highlight w:val="none"/>
                <w:u w:val="none" w:color="auto"/>
              </w:rPr>
              <w:t>现有铝合金熔铸车间</w:t>
            </w:r>
            <w:r>
              <w:rPr>
                <w:rFonts w:hint="default" w:ascii="Times New Roman" w:hAnsi="Times New Roman" w:eastAsia="宋体" w:cs="Times New Roman"/>
                <w:bCs/>
                <w:color w:val="auto"/>
                <w:sz w:val="24"/>
                <w:szCs w:val="24"/>
                <w:highlight w:val="none"/>
                <w:u w:val="none" w:color="auto"/>
                <w:lang w:val="en-US" w:eastAsia="zh-CN"/>
              </w:rPr>
              <w:t>A~C跨交1~8柱区域</w:t>
            </w:r>
            <w:r>
              <w:rPr>
                <w:rFonts w:hint="default" w:ascii="Times New Roman" w:hAnsi="Times New Roman" w:eastAsia="宋体" w:cs="Times New Roman"/>
                <w:bCs/>
                <w:color w:val="auto"/>
                <w:sz w:val="24"/>
                <w:szCs w:val="24"/>
                <w:highlight w:val="none"/>
                <w:u w:val="none" w:color="auto"/>
                <w:lang w:eastAsia="zh-CN"/>
              </w:rPr>
              <w:t>，</w:t>
            </w:r>
            <w:r>
              <w:rPr>
                <w:rFonts w:hint="default" w:ascii="Times New Roman" w:hAnsi="Times New Roman" w:eastAsia="宋体" w:cs="Times New Roman"/>
                <w:bCs/>
                <w:color w:val="auto"/>
                <w:sz w:val="24"/>
                <w:szCs w:val="24"/>
                <w:highlight w:val="none"/>
                <w:u w:val="none" w:color="auto"/>
                <w:lang w:val="en-US" w:eastAsia="zh-CN"/>
              </w:rPr>
              <w:t>设置</w:t>
            </w:r>
            <w:r>
              <w:rPr>
                <w:rFonts w:hint="default" w:ascii="Times New Roman" w:hAnsi="Times New Roman" w:eastAsia="宋体" w:cs="Times New Roman"/>
                <w:bCs/>
                <w:color w:val="auto"/>
                <w:sz w:val="24"/>
                <w:szCs w:val="24"/>
                <w:highlight w:val="none"/>
                <w:u w:val="none" w:color="auto"/>
                <w:lang w:eastAsia="zh-CN"/>
              </w:rPr>
              <w:t>2条压铸生产线，新增的配电房以及物料、产品周转区，修模区等。</w:t>
            </w:r>
          </w:p>
          <w:p w14:paraId="7CC4548C">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auto"/>
                <w:sz w:val="24"/>
                <w:szCs w:val="24"/>
                <w:highlight w:val="none"/>
                <w:u w:val="none" w:color="auto"/>
                <w:lang w:eastAsia="zh-CN"/>
              </w:rPr>
            </w:pPr>
            <w:r>
              <w:rPr>
                <w:rFonts w:hint="default" w:ascii="Times New Roman" w:hAnsi="Times New Roman" w:eastAsia="宋体" w:cs="Times New Roman"/>
                <w:bCs/>
                <w:color w:val="auto"/>
                <w:sz w:val="24"/>
                <w:szCs w:val="24"/>
                <w:highlight w:val="none"/>
                <w:u w:val="none" w:color="auto"/>
              </w:rPr>
              <w:t>本次项目</w:t>
            </w:r>
            <w:r>
              <w:rPr>
                <w:rFonts w:hint="default" w:ascii="Times New Roman" w:hAnsi="Times New Roman" w:eastAsia="宋体" w:cs="Times New Roman"/>
                <w:bCs/>
                <w:color w:val="auto"/>
                <w:sz w:val="24"/>
                <w:szCs w:val="24"/>
                <w:highlight w:val="none"/>
                <w:u w:val="none" w:color="auto"/>
                <w:lang w:val="en-US" w:eastAsia="zh-CN"/>
              </w:rPr>
              <w:t>中创空天厂区</w:t>
            </w:r>
            <w:r>
              <w:rPr>
                <w:rFonts w:hint="default" w:ascii="Times New Roman" w:hAnsi="Times New Roman" w:eastAsia="宋体" w:cs="Times New Roman"/>
                <w:bCs/>
                <w:color w:val="auto"/>
                <w:sz w:val="24"/>
                <w:szCs w:val="24"/>
                <w:highlight w:val="none"/>
                <w:u w:val="none" w:color="auto"/>
              </w:rPr>
              <w:t>出入口均沿用厂区现状出入口，不另设出入口。中创空天现状厂区共有3个出入口，主大门位于厂区北侧，主物流大门位于厂区西侧，同时南侧设有次要物流出入口</w:t>
            </w:r>
            <w:r>
              <w:rPr>
                <w:rFonts w:hint="default" w:ascii="Times New Roman" w:hAnsi="Times New Roman" w:eastAsia="宋体" w:cs="Times New Roman"/>
                <w:bCs/>
                <w:color w:val="auto"/>
                <w:sz w:val="24"/>
                <w:szCs w:val="24"/>
                <w:highlight w:val="none"/>
                <w:u w:val="none" w:color="auto"/>
                <w:lang w:eastAsia="zh-CN"/>
              </w:rPr>
              <w:t>。</w:t>
            </w:r>
          </w:p>
          <w:p w14:paraId="46B9922B">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highlight w:val="none"/>
                <w:u w:val="none" w:color="auto"/>
                <w:lang w:eastAsia="zh-CN"/>
              </w:rPr>
            </w:pPr>
            <w:r>
              <w:rPr>
                <w:rFonts w:hint="default" w:ascii="Times New Roman" w:hAnsi="Times New Roman" w:eastAsia="宋体" w:cs="Times New Roman"/>
                <w:bCs/>
                <w:color w:val="auto"/>
                <w:sz w:val="24"/>
                <w:szCs w:val="24"/>
                <w:highlight w:val="none"/>
                <w:u w:val="none" w:color="auto"/>
                <w:lang w:val="en-US" w:eastAsia="zh-CN"/>
              </w:rPr>
              <w:t>根据上述分析，</w:t>
            </w:r>
            <w:r>
              <w:rPr>
                <w:rFonts w:hint="default" w:ascii="Times New Roman" w:hAnsi="Times New Roman" w:eastAsia="宋体" w:cs="Times New Roman"/>
                <w:bCs/>
                <w:color w:val="auto"/>
                <w:sz w:val="24"/>
                <w:szCs w:val="24"/>
                <w:highlight w:val="none"/>
                <w:u w:val="none" w:color="auto"/>
                <w:lang w:eastAsia="zh-CN"/>
              </w:rPr>
              <w:t>中创空天厂区</w:t>
            </w:r>
            <w:r>
              <w:rPr>
                <w:rFonts w:hint="default" w:ascii="Times New Roman" w:hAnsi="Times New Roman" w:eastAsia="宋体" w:cs="Times New Roman"/>
                <w:bCs/>
                <w:color w:val="auto"/>
                <w:sz w:val="24"/>
                <w:szCs w:val="24"/>
                <w:highlight w:val="none"/>
                <w:u w:val="none" w:color="auto"/>
              </w:rPr>
              <w:t>布局可满足生产工艺流程的需要，交通组织与绿地系统、竖向布置、工程管线等满足使用需求。</w:t>
            </w:r>
          </w:p>
          <w:p w14:paraId="70BABAF6">
            <w:pPr>
              <w:keepNext w:val="0"/>
              <w:keepLines w:val="0"/>
              <w:pageBreakBefore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Cs/>
                <w:color w:val="auto"/>
                <w:sz w:val="24"/>
                <w:szCs w:val="24"/>
                <w:highlight w:val="none"/>
                <w:u w:val="none" w:color="auto"/>
                <w:lang w:val="en-US" w:eastAsia="zh-CN"/>
              </w:rPr>
            </w:pPr>
            <w:r>
              <w:rPr>
                <w:rFonts w:hint="default" w:ascii="Times New Roman" w:hAnsi="Times New Roman" w:eastAsia="宋体" w:cs="Times New Roman"/>
                <w:b/>
                <w:bCs w:val="0"/>
                <w:color w:val="auto"/>
                <w:sz w:val="24"/>
                <w:szCs w:val="24"/>
                <w:highlight w:val="none"/>
                <w:u w:val="none" w:color="auto"/>
                <w:lang w:val="en-US" w:eastAsia="zh-CN"/>
              </w:rPr>
              <w:t>6.2</w:t>
            </w:r>
            <w:r>
              <w:rPr>
                <w:rFonts w:hint="default" w:ascii="Times New Roman" w:hAnsi="Times New Roman" w:eastAsia="宋体" w:cs="Times New Roman"/>
                <w:b/>
                <w:bCs/>
                <w:color w:val="auto"/>
                <w:sz w:val="24"/>
                <w:szCs w:val="24"/>
                <w:highlight w:val="none"/>
                <w:u w:val="none" w:color="auto"/>
                <w:lang w:val="en-US" w:eastAsia="zh-CN"/>
              </w:rPr>
              <w:t>临港高新产业园区</w:t>
            </w:r>
          </w:p>
          <w:p w14:paraId="1BB660E5">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auto"/>
                <w:sz w:val="24"/>
                <w:szCs w:val="24"/>
                <w:highlight w:val="none"/>
                <w:u w:val="none" w:color="auto"/>
                <w:lang w:eastAsia="zh-CN"/>
              </w:rPr>
            </w:pPr>
            <w:r>
              <w:rPr>
                <w:rFonts w:hint="default" w:ascii="Times New Roman" w:hAnsi="Times New Roman" w:eastAsia="宋体" w:cs="Times New Roman"/>
                <w:bCs/>
                <w:color w:val="auto"/>
                <w:sz w:val="24"/>
                <w:szCs w:val="24"/>
                <w:highlight w:val="none"/>
                <w:u w:val="none" w:color="auto"/>
              </w:rPr>
              <w:t>机加工设备拟投资建设在外租的湖南城陵矶临港高新产业园15#、21#</w:t>
            </w:r>
            <w:r>
              <w:rPr>
                <w:rFonts w:hint="default" w:ascii="Times New Roman" w:hAnsi="Times New Roman" w:eastAsia="宋体" w:cs="Times New Roman"/>
                <w:bCs/>
                <w:color w:val="auto"/>
                <w:sz w:val="24"/>
                <w:szCs w:val="24"/>
                <w:highlight w:val="none"/>
                <w:u w:val="none" w:color="auto"/>
                <w:lang w:eastAsia="zh-CN"/>
              </w:rPr>
              <w:t>、</w:t>
            </w:r>
            <w:r>
              <w:rPr>
                <w:rFonts w:hint="default" w:ascii="Times New Roman" w:hAnsi="Times New Roman" w:eastAsia="宋体" w:cs="Times New Roman"/>
                <w:bCs/>
                <w:color w:val="auto"/>
                <w:sz w:val="24"/>
                <w:szCs w:val="24"/>
                <w:highlight w:val="none"/>
                <w:u w:val="none" w:color="auto"/>
                <w:lang w:val="en-US" w:eastAsia="zh-CN"/>
              </w:rPr>
              <w:t>22#</w:t>
            </w:r>
            <w:r>
              <w:rPr>
                <w:rFonts w:hint="default" w:ascii="Times New Roman" w:hAnsi="Times New Roman" w:eastAsia="宋体" w:cs="Times New Roman"/>
                <w:bCs/>
                <w:color w:val="auto"/>
                <w:sz w:val="24"/>
                <w:szCs w:val="24"/>
                <w:highlight w:val="none"/>
                <w:u w:val="none" w:color="auto"/>
              </w:rPr>
              <w:t>栋标准厂房内。</w:t>
            </w:r>
            <w:r>
              <w:rPr>
                <w:rFonts w:hint="default" w:ascii="Times New Roman" w:hAnsi="Times New Roman" w:eastAsia="宋体" w:cs="Times New Roman"/>
                <w:bCs/>
                <w:color w:val="auto"/>
                <w:sz w:val="24"/>
                <w:szCs w:val="24"/>
                <w:highlight w:val="none"/>
                <w:u w:val="none" w:color="auto"/>
                <w:lang w:val="en-US" w:eastAsia="zh-CN"/>
              </w:rPr>
              <w:t>各</w:t>
            </w:r>
            <w:r>
              <w:rPr>
                <w:rFonts w:hint="default" w:ascii="Times New Roman" w:hAnsi="Times New Roman" w:eastAsia="宋体" w:cs="Times New Roman"/>
                <w:bCs/>
                <w:color w:val="auto"/>
                <w:sz w:val="24"/>
                <w:szCs w:val="24"/>
                <w:highlight w:val="none"/>
                <w:u w:val="none" w:color="auto"/>
              </w:rPr>
              <w:t>厂房西侧</w:t>
            </w:r>
            <w:r>
              <w:rPr>
                <w:rFonts w:hint="default" w:ascii="Times New Roman" w:hAnsi="Times New Roman" w:eastAsia="宋体" w:cs="Times New Roman"/>
                <w:bCs/>
                <w:color w:val="auto"/>
                <w:sz w:val="24"/>
                <w:szCs w:val="24"/>
                <w:highlight w:val="none"/>
                <w:u w:val="none" w:color="auto"/>
                <w:lang w:val="en-US" w:eastAsia="zh-CN"/>
              </w:rPr>
              <w:t>均</w:t>
            </w:r>
            <w:r>
              <w:rPr>
                <w:rFonts w:hint="default" w:ascii="Times New Roman" w:hAnsi="Times New Roman" w:eastAsia="宋体" w:cs="Times New Roman"/>
                <w:bCs/>
                <w:color w:val="auto"/>
                <w:sz w:val="24"/>
                <w:szCs w:val="24"/>
                <w:highlight w:val="none"/>
                <w:u w:val="none" w:color="auto"/>
              </w:rPr>
              <w:t>为局部两层生产辅助用房，一层布置有变配电房、卫生间，二层布置有生产辅助用房等</w:t>
            </w:r>
            <w:r>
              <w:rPr>
                <w:rFonts w:hint="default" w:ascii="Times New Roman" w:hAnsi="Times New Roman" w:eastAsia="宋体" w:cs="Times New Roman"/>
                <w:bCs/>
                <w:color w:val="auto"/>
                <w:sz w:val="24"/>
                <w:szCs w:val="24"/>
                <w:highlight w:val="none"/>
                <w:u w:val="none" w:color="auto"/>
                <w:lang w:eastAsia="zh-CN"/>
              </w:rPr>
              <w:t>，</w:t>
            </w:r>
            <w:r>
              <w:rPr>
                <w:rFonts w:hint="default" w:ascii="Times New Roman" w:hAnsi="Times New Roman" w:eastAsia="宋体" w:cs="Times New Roman"/>
                <w:bCs/>
                <w:color w:val="auto"/>
                <w:sz w:val="24"/>
                <w:szCs w:val="24"/>
                <w:highlight w:val="none"/>
                <w:u w:val="none" w:color="auto"/>
                <w:lang w:val="en-US" w:eastAsia="zh-CN"/>
              </w:rPr>
              <w:t>在厂房内分别布设1条机加工生产线</w:t>
            </w:r>
            <w:r>
              <w:rPr>
                <w:rFonts w:hint="default" w:ascii="Times New Roman" w:hAnsi="Times New Roman" w:eastAsia="宋体" w:cs="Times New Roman"/>
                <w:bCs/>
                <w:color w:val="auto"/>
                <w:sz w:val="24"/>
                <w:szCs w:val="24"/>
                <w:highlight w:val="none"/>
                <w:u w:val="none" w:color="auto"/>
                <w:lang w:eastAsia="zh-CN"/>
              </w:rPr>
              <w:t>。</w:t>
            </w:r>
          </w:p>
          <w:p w14:paraId="3D09F7BC">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auto"/>
                <w:sz w:val="24"/>
                <w:szCs w:val="24"/>
                <w:highlight w:val="none"/>
                <w:u w:val="none" w:color="auto"/>
              </w:rPr>
            </w:pPr>
            <w:r>
              <w:rPr>
                <w:rFonts w:hint="default" w:ascii="Times New Roman" w:hAnsi="Times New Roman" w:eastAsia="宋体" w:cs="Times New Roman"/>
                <w:bCs/>
                <w:color w:val="auto"/>
                <w:sz w:val="24"/>
                <w:szCs w:val="24"/>
                <w:highlight w:val="none"/>
                <w:u w:val="none" w:color="auto"/>
              </w:rPr>
              <w:t>拟租赁厂房的湖南城陵矶临港高新产业园共设有4个出入口，分别位于东南西北四个方位，本次租赁的厂房位于厂区西北角，主要拟利用北门、西门两个物流门进行物料运输。现有出入口与厂区道路间相互连接形成便利的交通网络，可满足本项目使用、消防及环保等规范要求。</w:t>
            </w:r>
          </w:p>
          <w:p w14:paraId="42288F70">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bCs/>
                <w:color w:val="auto"/>
                <w:sz w:val="24"/>
                <w:szCs w:val="24"/>
                <w:highlight w:val="none"/>
                <w:u w:val="none" w:color="auto"/>
                <w:lang w:val="en-US" w:eastAsia="zh-CN"/>
              </w:rPr>
              <w:t>根据上述分析，</w:t>
            </w:r>
            <w:r>
              <w:rPr>
                <w:rFonts w:hint="default" w:ascii="Times New Roman" w:hAnsi="Times New Roman" w:eastAsia="宋体" w:cs="Times New Roman"/>
                <w:bCs/>
                <w:color w:val="auto"/>
                <w:sz w:val="24"/>
                <w:szCs w:val="24"/>
                <w:highlight w:val="none"/>
                <w:u w:val="none" w:color="auto"/>
              </w:rPr>
              <w:t>项目临港高新产业园区</w:t>
            </w:r>
            <w:r>
              <w:rPr>
                <w:rFonts w:hint="default" w:ascii="Times New Roman" w:hAnsi="Times New Roman" w:eastAsia="宋体" w:cs="Times New Roman"/>
                <w:bCs/>
                <w:color w:val="auto"/>
                <w:sz w:val="24"/>
                <w:szCs w:val="24"/>
                <w:highlight w:val="none"/>
                <w:u w:val="none" w:color="auto"/>
                <w:lang w:val="en-US" w:eastAsia="zh-CN"/>
              </w:rPr>
              <w:t>各厂房</w:t>
            </w:r>
            <w:r>
              <w:rPr>
                <w:rFonts w:hint="default" w:ascii="Times New Roman" w:hAnsi="Times New Roman" w:eastAsia="宋体" w:cs="Times New Roman"/>
                <w:bCs/>
                <w:color w:val="auto"/>
                <w:sz w:val="24"/>
                <w:szCs w:val="24"/>
                <w:highlight w:val="none"/>
                <w:u w:val="none" w:color="auto"/>
              </w:rPr>
              <w:t>总平面布局按照工艺流程布置，各</w:t>
            </w:r>
            <w:bookmarkStart w:id="84" w:name="bkConsis1050020"/>
            <w:sdt>
              <w:sdtPr>
                <w:rPr>
                  <w:rFonts w:hint="default" w:ascii="Times New Roman" w:hAnsi="Times New Roman" w:eastAsia="宋体" w:cs="Times New Roman"/>
                  <w:color w:val="auto"/>
                  <w:sz w:val="24"/>
                  <w:szCs w:val="24"/>
                  <w:highlight w:val="none"/>
                  <w:u w:val="none" w:color="auto"/>
                </w:rPr>
                <w:alias w:val="一致性检查"/>
                <w:id w:val="1050020"/>
              </w:sdtPr>
              <w:sdtEndPr>
                <w:rPr>
                  <w:rFonts w:hint="default" w:ascii="Times New Roman" w:hAnsi="Times New Roman" w:eastAsia="宋体" w:cs="Times New Roman"/>
                  <w:color w:val="auto"/>
                  <w:sz w:val="24"/>
                  <w:szCs w:val="24"/>
                  <w:highlight w:val="none"/>
                  <w:u w:val="none" w:color="auto"/>
                </w:rPr>
              </w:sdtEndPr>
              <w:sdtContent>
                <w:r>
                  <w:rPr>
                    <w:rFonts w:hint="default" w:ascii="Times New Roman" w:hAnsi="Times New Roman" w:eastAsia="宋体" w:cs="Times New Roman"/>
                    <w:bCs/>
                    <w:color w:val="auto"/>
                    <w:sz w:val="24"/>
                    <w:szCs w:val="24"/>
                    <w:highlight w:val="none"/>
                    <w:u w:val="none" w:color="auto"/>
                  </w:rPr>
                  <w:t>工序</w:t>
                </w:r>
                <w:bookmarkEnd w:id="84"/>
              </w:sdtContent>
            </w:sdt>
            <w:r>
              <w:rPr>
                <w:rFonts w:hint="default" w:ascii="Times New Roman" w:hAnsi="Times New Roman" w:eastAsia="宋体" w:cs="Times New Roman"/>
                <w:bCs/>
                <w:color w:val="auto"/>
                <w:sz w:val="24"/>
                <w:szCs w:val="24"/>
                <w:highlight w:val="none"/>
                <w:u w:val="none" w:color="auto"/>
              </w:rPr>
              <w:t>布设距离较短，既满足货流的交通组织，又满足消防要求，保证了生产的安全性和连续性。具体平面布置见附图</w:t>
            </w:r>
            <w:r>
              <w:rPr>
                <w:rFonts w:hint="default" w:ascii="Times New Roman" w:hAnsi="Times New Roman" w:eastAsia="宋体" w:cs="Times New Roman"/>
                <w:bCs/>
                <w:color w:val="auto"/>
                <w:sz w:val="24"/>
                <w:szCs w:val="24"/>
                <w:highlight w:val="none"/>
                <w:u w:val="none" w:color="auto"/>
                <w:lang w:val="en-US" w:eastAsia="zh-CN"/>
              </w:rPr>
              <w:t>2-1~附图4-6</w:t>
            </w:r>
            <w:r>
              <w:rPr>
                <w:rFonts w:hint="default" w:ascii="Times New Roman" w:hAnsi="Times New Roman" w:eastAsia="宋体" w:cs="Times New Roman"/>
                <w:bCs/>
                <w:color w:val="auto"/>
                <w:sz w:val="24"/>
                <w:szCs w:val="24"/>
                <w:highlight w:val="none"/>
                <w:u w:val="none" w:color="auto"/>
              </w:rPr>
              <w:t>。</w:t>
            </w:r>
          </w:p>
          <w:p w14:paraId="7681AA9B">
            <w:pPr>
              <w:pStyle w:val="2"/>
              <w:snapToGrid/>
              <w:spacing w:before="0" w:after="0" w:line="360" w:lineRule="auto"/>
              <w:ind w:right="0" w:firstLine="482" w:firstLineChars="200"/>
              <w:rPr>
                <w:rFonts w:hint="default" w:ascii="Times New Roman" w:hAnsi="Times New Roman" w:eastAsia="宋体" w:cs="Times New Roman"/>
                <w:b/>
                <w:bCs/>
                <w:color w:val="auto"/>
                <w:sz w:val="24"/>
                <w:szCs w:val="24"/>
                <w:u w:val="none" w:color="auto"/>
              </w:rPr>
            </w:pPr>
            <w:r>
              <w:rPr>
                <w:rFonts w:hint="default" w:ascii="Times New Roman" w:hAnsi="Times New Roman" w:eastAsia="宋体" w:cs="Times New Roman"/>
                <w:b/>
                <w:bCs/>
                <w:color w:val="auto"/>
                <w:sz w:val="24"/>
                <w:szCs w:val="24"/>
                <w:u w:val="none" w:color="auto"/>
              </w:rPr>
              <w:t>7、项目水平衡分析</w:t>
            </w:r>
          </w:p>
          <w:p w14:paraId="20D2887E">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Cs/>
                <w:color w:val="auto"/>
                <w:sz w:val="24"/>
                <w:highlight w:val="none"/>
                <w:u w:val="none" w:color="auto"/>
                <w:lang w:val="en-US" w:eastAsia="zh-CN"/>
              </w:rPr>
            </w:pPr>
            <w:r>
              <w:rPr>
                <w:rFonts w:hint="default" w:ascii="Times New Roman" w:hAnsi="Times New Roman" w:eastAsia="宋体" w:cs="Times New Roman"/>
                <w:b/>
                <w:bCs w:val="0"/>
                <w:color w:val="auto"/>
                <w:sz w:val="24"/>
                <w:highlight w:val="none"/>
                <w:u w:val="none" w:color="auto"/>
                <w:lang w:val="en-US" w:eastAsia="zh-CN"/>
              </w:rPr>
              <w:t>7.1</w:t>
            </w:r>
            <w:r>
              <w:rPr>
                <w:rFonts w:hint="default" w:ascii="Times New Roman" w:hAnsi="Times New Roman" w:eastAsia="宋体" w:cs="Times New Roman"/>
                <w:b/>
                <w:bCs/>
                <w:color w:val="auto"/>
                <w:sz w:val="24"/>
                <w:szCs w:val="24"/>
                <w:highlight w:val="none"/>
                <w:u w:val="none" w:color="auto"/>
                <w:lang w:val="en-US" w:eastAsia="zh-CN"/>
              </w:rPr>
              <w:t>中创空天厂区</w:t>
            </w:r>
          </w:p>
          <w:p w14:paraId="3E27BA3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auto"/>
                <w:sz w:val="24"/>
                <w:highlight w:val="none"/>
                <w:u w:val="none" w:color="auto"/>
                <w:lang w:val="en-US" w:eastAsia="zh-CN"/>
              </w:rPr>
            </w:pPr>
            <w:r>
              <w:rPr>
                <w:rFonts w:hint="default" w:ascii="Times New Roman" w:hAnsi="Times New Roman" w:eastAsia="宋体" w:cs="Times New Roman"/>
                <w:bCs/>
                <w:color w:val="auto"/>
                <w:sz w:val="24"/>
                <w:highlight w:val="none"/>
                <w:u w:val="none" w:color="auto"/>
                <w:lang w:val="en-US" w:eastAsia="zh-CN"/>
              </w:rPr>
              <w:t>根据建设单位提供资料，本项目各生产车间、辅助用房等无需使用水冲洗，主要采用干清工艺进行地面清洁，因此无地面清洁用水。</w:t>
            </w:r>
          </w:p>
          <w:p w14:paraId="34B9EC56">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bCs w:val="0"/>
                <w:color w:val="auto"/>
                <w:sz w:val="24"/>
                <w:highlight w:val="none"/>
                <w:u w:val="none" w:color="auto"/>
                <w:lang w:val="en-US" w:eastAsia="zh-CN"/>
              </w:rPr>
            </w:pPr>
            <w:r>
              <w:rPr>
                <w:rFonts w:hint="default" w:ascii="Times New Roman" w:hAnsi="Times New Roman" w:eastAsia="宋体" w:cs="Times New Roman"/>
                <w:b/>
                <w:bCs w:val="0"/>
                <w:color w:val="auto"/>
                <w:sz w:val="24"/>
                <w:highlight w:val="none"/>
                <w:u w:val="none" w:color="auto"/>
                <w:lang w:val="en-US" w:eastAsia="zh-CN"/>
              </w:rPr>
              <w:t>（1）生活用水</w:t>
            </w:r>
          </w:p>
          <w:p w14:paraId="46FD1A5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auto"/>
                <w:sz w:val="24"/>
                <w:highlight w:val="none"/>
                <w:u w:val="none" w:color="auto"/>
                <w:lang w:val="en-US" w:eastAsia="zh-CN"/>
              </w:rPr>
            </w:pPr>
            <w:r>
              <w:rPr>
                <w:rFonts w:hint="default" w:ascii="Times New Roman" w:hAnsi="Times New Roman" w:eastAsia="宋体" w:cs="Times New Roman"/>
                <w:bCs/>
                <w:color w:val="auto"/>
                <w:sz w:val="24"/>
                <w:highlight w:val="none"/>
                <w:u w:val="none" w:color="auto"/>
                <w:lang w:val="en-US" w:eastAsia="zh-CN"/>
              </w:rPr>
              <w:t>本项目</w:t>
            </w:r>
            <w:r>
              <w:rPr>
                <w:rFonts w:hint="default" w:ascii="Times New Roman" w:hAnsi="Times New Roman" w:eastAsia="宋体" w:cs="Times New Roman"/>
                <w:b w:val="0"/>
                <w:bCs w:val="0"/>
                <w:color w:val="auto"/>
                <w:sz w:val="24"/>
                <w:szCs w:val="24"/>
                <w:highlight w:val="none"/>
                <w:u w:val="none" w:color="auto"/>
                <w:lang w:val="en-US" w:eastAsia="zh-CN"/>
              </w:rPr>
              <w:t>中创空天厂区</w:t>
            </w:r>
            <w:r>
              <w:rPr>
                <w:rFonts w:hint="default" w:ascii="Times New Roman" w:hAnsi="Times New Roman" w:eastAsia="宋体" w:cs="Times New Roman"/>
                <w:bCs/>
                <w:color w:val="auto"/>
                <w:sz w:val="24"/>
                <w:highlight w:val="none"/>
                <w:u w:val="none" w:color="auto"/>
                <w:lang w:val="en-US" w:eastAsia="zh-CN"/>
              </w:rPr>
              <w:t>新增劳动定员66人，根据</w:t>
            </w:r>
            <w:r>
              <w:rPr>
                <w:rFonts w:hint="default" w:ascii="Times New Roman" w:hAnsi="Times New Roman" w:eastAsia="宋体" w:cs="Times New Roman"/>
                <w:color w:val="auto"/>
                <w:sz w:val="24"/>
                <w:szCs w:val="22"/>
                <w:u w:val="none" w:color="auto"/>
              </w:rPr>
              <w:t>《湖南省用水定额》（DB43/T388-2020），</w:t>
            </w:r>
            <w:r>
              <w:rPr>
                <w:rFonts w:hint="default" w:ascii="Times New Roman" w:hAnsi="Times New Roman" w:eastAsia="宋体" w:cs="Times New Roman"/>
                <w:color w:val="auto"/>
                <w:sz w:val="24"/>
                <w:szCs w:val="22"/>
                <w:u w:val="none" w:color="auto"/>
                <w:lang w:val="en-US" w:eastAsia="zh-CN"/>
              </w:rPr>
              <w:t>员工均在厂区内住宿与就餐，</w:t>
            </w:r>
            <w:r>
              <w:rPr>
                <w:rFonts w:hint="default" w:ascii="Times New Roman" w:hAnsi="Times New Roman" w:eastAsia="宋体" w:cs="Times New Roman"/>
                <w:color w:val="auto"/>
                <w:sz w:val="24"/>
                <w:szCs w:val="22"/>
                <w:u w:val="none" w:color="auto"/>
              </w:rPr>
              <w:t>生活用水量</w:t>
            </w:r>
            <w:r>
              <w:rPr>
                <w:rFonts w:hint="default" w:ascii="Times New Roman" w:hAnsi="Times New Roman" w:eastAsia="宋体" w:cs="Times New Roman"/>
                <w:color w:val="auto"/>
                <w:sz w:val="24"/>
                <w:szCs w:val="28"/>
                <w:u w:val="none" w:color="auto"/>
              </w:rPr>
              <w:t>参照</w:t>
            </w:r>
            <w:r>
              <w:rPr>
                <w:rFonts w:hint="default" w:ascii="Times New Roman" w:hAnsi="Times New Roman" w:eastAsia="宋体" w:cs="Times New Roman"/>
                <w:color w:val="auto"/>
                <w:sz w:val="24"/>
                <w:szCs w:val="28"/>
                <w:u w:val="none" w:color="auto"/>
                <w:lang w:val="en-US" w:eastAsia="zh-CN"/>
              </w:rPr>
              <w:t>城镇居民生活用水</w:t>
            </w:r>
            <w:r>
              <w:rPr>
                <w:rFonts w:hint="default" w:ascii="Times New Roman" w:hAnsi="Times New Roman" w:eastAsia="宋体" w:cs="Times New Roman"/>
                <w:color w:val="auto"/>
                <w:sz w:val="24"/>
                <w:szCs w:val="28"/>
                <w:u w:val="none" w:color="auto"/>
              </w:rPr>
              <w:t>通用值取</w:t>
            </w:r>
            <w:r>
              <w:rPr>
                <w:rFonts w:hint="default" w:ascii="Times New Roman" w:hAnsi="Times New Roman" w:eastAsia="宋体" w:cs="Times New Roman"/>
                <w:color w:val="auto"/>
                <w:sz w:val="24"/>
                <w:szCs w:val="22"/>
                <w:u w:val="none" w:color="auto"/>
                <w:lang w:val="en-US" w:eastAsia="zh-CN"/>
              </w:rPr>
              <w:t>150L</w:t>
            </w:r>
            <w:r>
              <w:rPr>
                <w:rFonts w:hint="default" w:ascii="Times New Roman" w:hAnsi="Times New Roman" w:eastAsia="宋体" w:cs="Times New Roman"/>
                <w:color w:val="auto"/>
                <w:sz w:val="24"/>
                <w:szCs w:val="22"/>
                <w:u w:val="none" w:color="auto"/>
              </w:rPr>
              <w:t>/人·</w:t>
            </w:r>
            <w:r>
              <w:rPr>
                <w:rFonts w:hint="default" w:ascii="Times New Roman" w:hAnsi="Times New Roman" w:eastAsia="宋体" w:cs="Times New Roman"/>
                <w:color w:val="auto"/>
                <w:sz w:val="24"/>
                <w:szCs w:val="22"/>
                <w:u w:val="none" w:color="auto"/>
                <w:lang w:val="en-US" w:eastAsia="zh-CN"/>
              </w:rPr>
              <w:t>d</w:t>
            </w:r>
            <w:r>
              <w:rPr>
                <w:rFonts w:hint="default" w:ascii="Times New Roman" w:hAnsi="Times New Roman" w:eastAsia="宋体" w:cs="Times New Roman"/>
                <w:color w:val="auto"/>
                <w:sz w:val="24"/>
                <w:szCs w:val="22"/>
                <w:u w:val="none" w:color="auto"/>
              </w:rPr>
              <w:t>，则生活用水量为</w:t>
            </w:r>
            <w:r>
              <w:rPr>
                <w:rFonts w:hint="default" w:ascii="Times New Roman" w:hAnsi="Times New Roman" w:eastAsia="宋体" w:cs="Times New Roman"/>
                <w:color w:val="auto"/>
                <w:sz w:val="24"/>
                <w:szCs w:val="22"/>
                <w:u w:val="none" w:color="auto"/>
                <w:lang w:val="en-US" w:eastAsia="zh-CN"/>
              </w:rPr>
              <w:t>3267</w:t>
            </w:r>
            <w:r>
              <w:rPr>
                <w:rFonts w:hint="default" w:ascii="Times New Roman" w:hAnsi="Times New Roman" w:eastAsia="宋体" w:cs="Times New Roman"/>
                <w:color w:val="auto"/>
                <w:sz w:val="24"/>
                <w:szCs w:val="22"/>
                <w:u w:val="none" w:color="auto"/>
              </w:rPr>
              <w:t>m</w:t>
            </w:r>
            <w:r>
              <w:rPr>
                <w:rFonts w:hint="default" w:ascii="Times New Roman" w:hAnsi="Times New Roman" w:eastAsia="宋体" w:cs="Times New Roman"/>
                <w:color w:val="auto"/>
                <w:sz w:val="24"/>
                <w:szCs w:val="22"/>
                <w:u w:val="none" w:color="auto"/>
                <w:vertAlign w:val="superscript"/>
              </w:rPr>
              <w:t>3</w:t>
            </w:r>
            <w:r>
              <w:rPr>
                <w:rFonts w:hint="default" w:ascii="Times New Roman" w:hAnsi="Times New Roman" w:eastAsia="宋体" w:cs="Times New Roman"/>
                <w:color w:val="auto"/>
                <w:sz w:val="24"/>
                <w:szCs w:val="22"/>
                <w:u w:val="none" w:color="auto"/>
              </w:rPr>
              <w:t>/a</w:t>
            </w:r>
            <w:r>
              <w:rPr>
                <w:rFonts w:hint="default" w:ascii="Times New Roman" w:hAnsi="Times New Roman" w:eastAsia="宋体" w:cs="Times New Roman"/>
                <w:color w:val="auto"/>
                <w:sz w:val="24"/>
                <w:szCs w:val="22"/>
                <w:u w:val="none" w:color="auto"/>
                <w:lang w:eastAsia="zh-CN"/>
              </w:rPr>
              <w:t>（</w:t>
            </w:r>
            <w:r>
              <w:rPr>
                <w:rFonts w:hint="default" w:ascii="Times New Roman" w:hAnsi="Times New Roman" w:eastAsia="宋体" w:cs="Times New Roman"/>
                <w:color w:val="auto"/>
                <w:sz w:val="24"/>
                <w:szCs w:val="22"/>
                <w:u w:val="none" w:color="auto"/>
                <w:lang w:val="en-US" w:eastAsia="zh-CN"/>
              </w:rPr>
              <w:t>9.9</w:t>
            </w:r>
            <w:r>
              <w:rPr>
                <w:rFonts w:hint="default" w:ascii="Times New Roman" w:hAnsi="Times New Roman" w:eastAsia="宋体" w:cs="Times New Roman"/>
                <w:color w:val="auto"/>
                <w:sz w:val="24"/>
                <w:szCs w:val="22"/>
                <w:u w:val="none" w:color="auto"/>
              </w:rPr>
              <w:t>m</w:t>
            </w:r>
            <w:r>
              <w:rPr>
                <w:rFonts w:hint="default" w:ascii="Times New Roman" w:hAnsi="Times New Roman" w:eastAsia="宋体" w:cs="Times New Roman"/>
                <w:color w:val="auto"/>
                <w:sz w:val="24"/>
                <w:szCs w:val="22"/>
                <w:u w:val="none" w:color="auto"/>
                <w:vertAlign w:val="superscript"/>
              </w:rPr>
              <w:t>3</w:t>
            </w:r>
            <w:r>
              <w:rPr>
                <w:rFonts w:hint="default" w:ascii="Times New Roman" w:hAnsi="Times New Roman" w:eastAsia="宋体" w:cs="Times New Roman"/>
                <w:color w:val="auto"/>
                <w:sz w:val="24"/>
                <w:szCs w:val="22"/>
                <w:u w:val="none" w:color="auto"/>
              </w:rPr>
              <w:t>/</w:t>
            </w:r>
            <w:r>
              <w:rPr>
                <w:rFonts w:hint="default" w:ascii="Times New Roman" w:hAnsi="Times New Roman" w:eastAsia="宋体" w:cs="Times New Roman"/>
                <w:color w:val="auto"/>
                <w:sz w:val="24"/>
                <w:szCs w:val="22"/>
                <w:u w:val="none" w:color="auto"/>
                <w:lang w:val="en-US" w:eastAsia="zh-CN"/>
              </w:rPr>
              <w:t>d</w:t>
            </w:r>
            <w:r>
              <w:rPr>
                <w:rFonts w:hint="default" w:ascii="Times New Roman" w:hAnsi="Times New Roman" w:eastAsia="宋体" w:cs="Times New Roman"/>
                <w:color w:val="auto"/>
                <w:sz w:val="24"/>
                <w:szCs w:val="22"/>
                <w:u w:val="none" w:color="auto"/>
                <w:lang w:eastAsia="zh-CN"/>
              </w:rPr>
              <w:t>）</w:t>
            </w:r>
            <w:r>
              <w:rPr>
                <w:rFonts w:hint="default" w:ascii="Times New Roman" w:hAnsi="Times New Roman" w:eastAsia="宋体" w:cs="Times New Roman"/>
                <w:color w:val="auto"/>
                <w:sz w:val="24"/>
                <w:szCs w:val="22"/>
                <w:u w:val="none" w:color="auto"/>
              </w:rPr>
              <w:t>，排水系数</w:t>
            </w:r>
            <w:r>
              <w:rPr>
                <w:rFonts w:hint="default" w:ascii="Times New Roman" w:hAnsi="Times New Roman" w:eastAsia="宋体" w:cs="Times New Roman"/>
                <w:color w:val="auto"/>
                <w:sz w:val="24"/>
                <w:szCs w:val="24"/>
                <w:u w:val="none" w:color="auto"/>
              </w:rPr>
              <w:t>按0.8计，则生活废水排放量为</w:t>
            </w:r>
            <w:r>
              <w:rPr>
                <w:rFonts w:hint="default" w:ascii="Times New Roman" w:hAnsi="Times New Roman" w:eastAsia="宋体" w:cs="Times New Roman"/>
                <w:color w:val="auto"/>
                <w:sz w:val="24"/>
                <w:szCs w:val="24"/>
                <w:u w:val="none" w:color="auto"/>
                <w:lang w:val="en-US" w:eastAsia="zh-CN"/>
              </w:rPr>
              <w:t>2613.6</w:t>
            </w:r>
            <w:r>
              <w:rPr>
                <w:rFonts w:hint="default" w:ascii="Times New Roman" w:hAnsi="Times New Roman" w:eastAsia="宋体" w:cs="Times New Roman"/>
                <w:color w:val="auto"/>
                <w:sz w:val="24"/>
                <w:szCs w:val="22"/>
                <w:u w:val="none" w:color="auto"/>
              </w:rPr>
              <w:t>m</w:t>
            </w:r>
            <w:r>
              <w:rPr>
                <w:rFonts w:hint="default" w:ascii="Times New Roman" w:hAnsi="Times New Roman" w:eastAsia="宋体" w:cs="Times New Roman"/>
                <w:color w:val="auto"/>
                <w:sz w:val="24"/>
                <w:szCs w:val="22"/>
                <w:u w:val="none" w:color="auto"/>
                <w:vertAlign w:val="superscript"/>
              </w:rPr>
              <w:t>3</w:t>
            </w:r>
            <w:r>
              <w:rPr>
                <w:rFonts w:hint="default" w:ascii="Times New Roman" w:hAnsi="Times New Roman" w:eastAsia="宋体" w:cs="Times New Roman"/>
                <w:color w:val="auto"/>
                <w:sz w:val="24"/>
                <w:szCs w:val="24"/>
                <w:u w:val="none" w:color="auto"/>
              </w:rPr>
              <w:t>/a</w:t>
            </w:r>
            <w:r>
              <w:rPr>
                <w:rFonts w:hint="default" w:ascii="Times New Roman" w:hAnsi="Times New Roman" w:eastAsia="宋体" w:cs="Times New Roman"/>
                <w:color w:val="auto"/>
                <w:sz w:val="24"/>
                <w:szCs w:val="22"/>
                <w:u w:val="none" w:color="auto"/>
                <w:lang w:eastAsia="zh-CN"/>
              </w:rPr>
              <w:t>（</w:t>
            </w:r>
            <w:r>
              <w:rPr>
                <w:rFonts w:hint="default" w:ascii="Times New Roman" w:hAnsi="Times New Roman" w:eastAsia="宋体" w:cs="Times New Roman"/>
                <w:color w:val="auto"/>
                <w:sz w:val="24"/>
                <w:szCs w:val="22"/>
                <w:u w:val="none" w:color="auto"/>
                <w:lang w:val="en-US" w:eastAsia="zh-CN"/>
              </w:rPr>
              <w:t>7.92</w:t>
            </w:r>
            <w:r>
              <w:rPr>
                <w:rFonts w:hint="default" w:ascii="Times New Roman" w:hAnsi="Times New Roman" w:eastAsia="宋体" w:cs="Times New Roman"/>
                <w:color w:val="auto"/>
                <w:sz w:val="24"/>
                <w:szCs w:val="22"/>
                <w:u w:val="none" w:color="auto"/>
              </w:rPr>
              <w:t>m</w:t>
            </w:r>
            <w:r>
              <w:rPr>
                <w:rFonts w:hint="default" w:ascii="Times New Roman" w:hAnsi="Times New Roman" w:eastAsia="宋体" w:cs="Times New Roman"/>
                <w:color w:val="auto"/>
                <w:sz w:val="24"/>
                <w:szCs w:val="22"/>
                <w:u w:val="none" w:color="auto"/>
                <w:vertAlign w:val="superscript"/>
              </w:rPr>
              <w:t>3</w:t>
            </w:r>
            <w:r>
              <w:rPr>
                <w:rFonts w:hint="default" w:ascii="Times New Roman" w:hAnsi="Times New Roman" w:eastAsia="宋体" w:cs="Times New Roman"/>
                <w:color w:val="auto"/>
                <w:sz w:val="24"/>
                <w:szCs w:val="22"/>
                <w:u w:val="none" w:color="auto"/>
              </w:rPr>
              <w:t>/</w:t>
            </w:r>
            <w:r>
              <w:rPr>
                <w:rFonts w:hint="default" w:ascii="Times New Roman" w:hAnsi="Times New Roman" w:eastAsia="宋体" w:cs="Times New Roman"/>
                <w:color w:val="auto"/>
                <w:sz w:val="24"/>
                <w:szCs w:val="22"/>
                <w:u w:val="none" w:color="auto"/>
                <w:lang w:val="en-US" w:eastAsia="zh-CN"/>
              </w:rPr>
              <w:t>d</w:t>
            </w:r>
            <w:r>
              <w:rPr>
                <w:rFonts w:hint="default" w:ascii="Times New Roman" w:hAnsi="Times New Roman" w:eastAsia="宋体" w:cs="Times New Roman"/>
                <w:color w:val="auto"/>
                <w:sz w:val="24"/>
                <w:szCs w:val="22"/>
                <w:u w:val="none" w:color="auto"/>
                <w:lang w:eastAsia="zh-CN"/>
              </w:rPr>
              <w:t>）</w:t>
            </w:r>
            <w:r>
              <w:rPr>
                <w:rFonts w:hint="default" w:ascii="Times New Roman" w:hAnsi="Times New Roman" w:eastAsia="宋体" w:cs="Times New Roman"/>
                <w:color w:val="auto"/>
                <w:sz w:val="24"/>
                <w:szCs w:val="24"/>
                <w:u w:val="none" w:color="auto"/>
              </w:rPr>
              <w:t>。</w:t>
            </w:r>
          </w:p>
          <w:p w14:paraId="434D039C">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bCs w:val="0"/>
                <w:color w:val="auto"/>
                <w:sz w:val="24"/>
                <w:highlight w:val="none"/>
                <w:u w:val="none" w:color="auto"/>
                <w:lang w:val="en-US" w:eastAsia="zh-CN"/>
              </w:rPr>
            </w:pPr>
            <w:r>
              <w:rPr>
                <w:rFonts w:hint="default" w:ascii="Times New Roman" w:hAnsi="Times New Roman" w:eastAsia="宋体" w:cs="Times New Roman"/>
                <w:b/>
                <w:bCs w:val="0"/>
                <w:color w:val="auto"/>
                <w:sz w:val="24"/>
                <w:highlight w:val="none"/>
                <w:u w:val="none" w:color="auto"/>
                <w:lang w:val="en-US" w:eastAsia="zh-CN"/>
              </w:rPr>
              <w:t>（2）铝合金熔铸二厂间接冷却用水</w:t>
            </w:r>
          </w:p>
          <w:p w14:paraId="2AE8E39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auto"/>
                <w:sz w:val="24"/>
                <w:highlight w:val="none"/>
                <w:u w:val="none" w:color="auto"/>
                <w:lang w:val="en-US" w:eastAsia="zh-CN"/>
              </w:rPr>
            </w:pPr>
            <w:r>
              <w:rPr>
                <w:rFonts w:hint="default" w:ascii="Times New Roman" w:hAnsi="Times New Roman" w:eastAsia="宋体" w:cs="Times New Roman"/>
                <w:bCs/>
                <w:color w:val="auto"/>
                <w:sz w:val="24"/>
                <w:highlight w:val="none"/>
                <w:u w:val="none" w:color="auto"/>
                <w:lang w:val="en-US" w:eastAsia="zh-CN"/>
              </w:rPr>
              <w:t>根据本项目设计资料，本项目铝水熔化炉、保温炉、铸锭机等铝合金工艺</w:t>
            </w:r>
            <w:r>
              <w:rPr>
                <w:rFonts w:hint="eastAsia" w:cs="Times New Roman"/>
                <w:bCs/>
                <w:color w:val="auto"/>
                <w:sz w:val="24"/>
                <w:highlight w:val="none"/>
                <w:u w:val="none" w:color="auto"/>
                <w:lang w:val="en-US" w:eastAsia="zh-CN"/>
              </w:rPr>
              <w:t>设备</w:t>
            </w:r>
            <w:r>
              <w:rPr>
                <w:rFonts w:hint="default" w:ascii="Times New Roman" w:hAnsi="Times New Roman" w:eastAsia="宋体" w:cs="Times New Roman"/>
                <w:bCs/>
                <w:color w:val="auto"/>
                <w:sz w:val="24"/>
                <w:highlight w:val="none"/>
                <w:u w:val="none" w:color="auto"/>
                <w:lang w:val="en-US" w:eastAsia="zh-CN"/>
              </w:rPr>
              <w:t>需供应循环冷却水，冷却系统由1台冷却水塔和1座地上式冷却池（60m</w:t>
            </w:r>
            <w:r>
              <w:rPr>
                <w:rFonts w:hint="default" w:ascii="Times New Roman" w:hAnsi="Times New Roman" w:eastAsia="宋体" w:cs="Times New Roman"/>
                <w:bCs/>
                <w:color w:val="auto"/>
                <w:sz w:val="24"/>
                <w:highlight w:val="none"/>
                <w:u w:val="none" w:color="auto"/>
                <w:vertAlign w:val="superscript"/>
                <w:lang w:val="en-US" w:eastAsia="zh-CN"/>
              </w:rPr>
              <w:t>3</w:t>
            </w:r>
            <w:r>
              <w:rPr>
                <w:rFonts w:hint="default" w:ascii="Times New Roman" w:hAnsi="Times New Roman" w:eastAsia="宋体" w:cs="Times New Roman"/>
                <w:bCs/>
                <w:color w:val="auto"/>
                <w:sz w:val="24"/>
                <w:highlight w:val="none"/>
                <w:u w:val="none" w:color="auto"/>
                <w:lang w:val="en-US" w:eastAsia="zh-CN"/>
              </w:rPr>
              <w:t>）组成，冷却池设计尺寸为5m×4m×3m，根据建设单位提供资料，冷却系统循环水量为30m</w:t>
            </w:r>
            <w:r>
              <w:rPr>
                <w:rFonts w:hint="default" w:ascii="Times New Roman" w:hAnsi="Times New Roman" w:eastAsia="宋体" w:cs="Times New Roman"/>
                <w:bCs/>
                <w:color w:val="auto"/>
                <w:sz w:val="24"/>
                <w:highlight w:val="none"/>
                <w:u w:val="none" w:color="auto"/>
                <w:vertAlign w:val="superscript"/>
                <w:lang w:val="en-US" w:eastAsia="zh-CN"/>
              </w:rPr>
              <w:t>3</w:t>
            </w:r>
            <w:r>
              <w:rPr>
                <w:rFonts w:hint="default" w:ascii="Times New Roman" w:hAnsi="Times New Roman" w:eastAsia="宋体" w:cs="Times New Roman"/>
                <w:bCs/>
                <w:color w:val="auto"/>
                <w:sz w:val="24"/>
                <w:highlight w:val="none"/>
                <w:u w:val="none" w:color="auto"/>
                <w:lang w:val="en-US" w:eastAsia="zh-CN"/>
              </w:rPr>
              <w:t>/h（720</w:t>
            </w:r>
            <w:r>
              <w:rPr>
                <w:rFonts w:hint="default" w:ascii="Times New Roman" w:hAnsi="Times New Roman" w:eastAsia="宋体" w:cs="Times New Roman"/>
                <w:color w:val="auto"/>
                <w:sz w:val="24"/>
                <w:szCs w:val="22"/>
                <w:u w:val="none" w:color="auto"/>
              </w:rPr>
              <w:t>m</w:t>
            </w:r>
            <w:r>
              <w:rPr>
                <w:rFonts w:hint="default" w:ascii="Times New Roman" w:hAnsi="Times New Roman" w:eastAsia="宋体" w:cs="Times New Roman"/>
                <w:color w:val="auto"/>
                <w:sz w:val="24"/>
                <w:szCs w:val="22"/>
                <w:u w:val="none" w:color="auto"/>
                <w:vertAlign w:val="superscript"/>
              </w:rPr>
              <w:t>3</w:t>
            </w:r>
            <w:r>
              <w:rPr>
                <w:rFonts w:hint="default" w:ascii="Times New Roman" w:hAnsi="Times New Roman" w:eastAsia="宋体" w:cs="Times New Roman"/>
                <w:color w:val="auto"/>
                <w:sz w:val="24"/>
                <w:szCs w:val="22"/>
                <w:u w:val="none" w:color="auto"/>
              </w:rPr>
              <w:t>/</w:t>
            </w:r>
            <w:r>
              <w:rPr>
                <w:rFonts w:hint="default" w:ascii="Times New Roman" w:hAnsi="Times New Roman" w:eastAsia="宋体" w:cs="Times New Roman"/>
                <w:color w:val="auto"/>
                <w:sz w:val="24"/>
                <w:szCs w:val="22"/>
                <w:u w:val="none" w:color="auto"/>
                <w:lang w:val="en-US" w:eastAsia="zh-CN"/>
              </w:rPr>
              <w:t>d</w:t>
            </w:r>
            <w:r>
              <w:rPr>
                <w:rFonts w:hint="default" w:ascii="Times New Roman" w:hAnsi="Times New Roman" w:eastAsia="宋体" w:cs="Times New Roman"/>
                <w:bCs/>
                <w:color w:val="auto"/>
                <w:sz w:val="24"/>
                <w:highlight w:val="none"/>
                <w:u w:val="none" w:color="auto"/>
                <w:lang w:val="en-US" w:eastAsia="zh-CN"/>
              </w:rPr>
              <w:t>，237600m</w:t>
            </w:r>
            <w:r>
              <w:rPr>
                <w:rFonts w:hint="default" w:ascii="Times New Roman" w:hAnsi="Times New Roman" w:eastAsia="宋体" w:cs="Times New Roman"/>
                <w:bCs/>
                <w:color w:val="auto"/>
                <w:sz w:val="24"/>
                <w:highlight w:val="none"/>
                <w:u w:val="none" w:color="auto"/>
                <w:vertAlign w:val="superscript"/>
                <w:lang w:val="en-US" w:eastAsia="zh-CN"/>
              </w:rPr>
              <w:t>3</w:t>
            </w:r>
            <w:r>
              <w:rPr>
                <w:rFonts w:hint="default" w:ascii="Times New Roman" w:hAnsi="Times New Roman" w:eastAsia="宋体" w:cs="Times New Roman"/>
                <w:bCs/>
                <w:color w:val="auto"/>
                <w:sz w:val="24"/>
                <w:highlight w:val="none"/>
                <w:u w:val="none" w:color="auto"/>
                <w:lang w:val="en-US" w:eastAsia="zh-CN"/>
              </w:rPr>
              <w:t>/a）。</w:t>
            </w:r>
          </w:p>
          <w:p w14:paraId="169B84F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auto"/>
                <w:sz w:val="24"/>
                <w:highlight w:val="none"/>
                <w:u w:val="none" w:color="auto"/>
                <w:lang w:val="en-US" w:eastAsia="zh-CN"/>
              </w:rPr>
            </w:pPr>
            <w:r>
              <w:rPr>
                <w:rFonts w:hint="default" w:ascii="Times New Roman" w:hAnsi="Times New Roman" w:eastAsia="宋体" w:cs="Times New Roman"/>
                <w:bCs/>
                <w:color w:val="auto"/>
                <w:sz w:val="24"/>
                <w:highlight w:val="none"/>
                <w:u w:val="none" w:color="auto"/>
                <w:lang w:val="en-US" w:eastAsia="zh-CN"/>
              </w:rPr>
              <w:t>根据《工业循环水冷却设计规范》（GB/T50102-2014），冷却塔的水量损失应根据蒸发、风吹和排水各项损失水量确定。即：补充水量=蒸发损失水量+风吹损失水量+排水损失水量。</w:t>
            </w:r>
          </w:p>
          <w:p w14:paraId="00713CE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auto"/>
                <w:sz w:val="24"/>
                <w:highlight w:val="none"/>
                <w:u w:val="none" w:color="auto"/>
                <w:lang w:val="en-US" w:eastAsia="zh-CN"/>
              </w:rPr>
            </w:pPr>
            <w:r>
              <w:rPr>
                <w:rFonts w:hint="default" w:ascii="Times New Roman" w:hAnsi="Times New Roman" w:eastAsia="宋体" w:cs="Times New Roman"/>
                <w:bCs/>
                <w:color w:val="auto"/>
                <w:sz w:val="24"/>
                <w:highlight w:val="none"/>
                <w:u w:val="none" w:color="auto"/>
                <w:lang w:val="en-US" w:eastAsia="zh-CN"/>
              </w:rPr>
              <w:t>①蒸发损失水量</w:t>
            </w:r>
          </w:p>
          <w:p w14:paraId="7A5537E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auto"/>
                <w:sz w:val="24"/>
                <w:highlight w:val="none"/>
                <w:u w:val="none" w:color="auto"/>
                <w:lang w:val="en-US" w:eastAsia="zh-CN"/>
              </w:rPr>
            </w:pPr>
            <w:r>
              <w:rPr>
                <w:rFonts w:hint="default" w:ascii="Times New Roman" w:hAnsi="Times New Roman" w:eastAsia="宋体" w:cs="Times New Roman"/>
                <w:bCs/>
                <w:color w:val="auto"/>
                <w:sz w:val="24"/>
                <w:highlight w:val="none"/>
                <w:u w:val="none" w:color="auto"/>
                <w:lang w:val="en-US" w:eastAsia="zh-CN"/>
              </w:rPr>
              <w:t>蒸发损失水率可按下列公式计算：</w:t>
            </w:r>
          </w:p>
          <w:p w14:paraId="508A613A">
            <w:pPr>
              <w:pStyle w:val="30"/>
              <w:ind w:left="0" w:leftChars="0" w:firstLine="0" w:firstLineChars="0"/>
              <w:jc w:val="center"/>
              <w:rPr>
                <w:rFonts w:hint="default" w:ascii="Times New Roman" w:hAnsi="Times New Roman" w:eastAsia="宋体" w:cs="Times New Roman"/>
                <w:bCs/>
                <w:color w:val="auto"/>
                <w:sz w:val="24"/>
                <w:highlight w:val="none"/>
                <w:u w:val="none" w:color="auto"/>
                <w:lang w:val="en-US" w:eastAsia="zh-CN"/>
              </w:rPr>
            </w:pPr>
            <w:r>
              <w:rPr>
                <w:rFonts w:hint="default" w:ascii="Times New Roman" w:hAnsi="Times New Roman" w:eastAsia="宋体" w:cs="Times New Roman"/>
                <w:color w:val="auto"/>
                <w:u w:val="none" w:color="auto"/>
              </w:rPr>
              <w:drawing>
                <wp:inline distT="0" distB="0" distL="114300" distR="114300">
                  <wp:extent cx="1333500" cy="238125"/>
                  <wp:effectExtent l="0" t="0" r="0" b="9525"/>
                  <wp:docPr id="3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
                          <pic:cNvPicPr>
                            <a:picLocks noChangeAspect="1"/>
                          </pic:cNvPicPr>
                        </pic:nvPicPr>
                        <pic:blipFill>
                          <a:blip r:embed="rId19"/>
                          <a:stretch>
                            <a:fillRect/>
                          </a:stretch>
                        </pic:blipFill>
                        <pic:spPr>
                          <a:xfrm>
                            <a:off x="0" y="0"/>
                            <a:ext cx="1333500" cy="238125"/>
                          </a:xfrm>
                          <a:prstGeom prst="rect">
                            <a:avLst/>
                          </a:prstGeom>
                          <a:noFill/>
                          <a:ln>
                            <a:noFill/>
                          </a:ln>
                        </pic:spPr>
                      </pic:pic>
                    </a:graphicData>
                  </a:graphic>
                </wp:inline>
              </w:drawing>
            </w:r>
          </w:p>
          <w:p w14:paraId="653C8971">
            <w:pPr>
              <w:pStyle w:val="30"/>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textAlignment w:val="auto"/>
              <w:rPr>
                <w:rFonts w:hint="default" w:ascii="Times New Roman" w:hAnsi="Times New Roman" w:eastAsia="宋体" w:cs="Times New Roman"/>
                <w:bCs/>
                <w:color w:val="auto"/>
                <w:sz w:val="24"/>
                <w:highlight w:val="none"/>
                <w:u w:val="none" w:color="auto"/>
                <w:lang w:val="en-US" w:eastAsia="zh-CN"/>
              </w:rPr>
            </w:pPr>
            <w:r>
              <w:rPr>
                <w:rFonts w:hint="default" w:ascii="Times New Roman" w:hAnsi="Times New Roman" w:eastAsia="宋体" w:cs="Times New Roman"/>
                <w:bCs/>
                <w:color w:val="auto"/>
                <w:sz w:val="24"/>
                <w:highlight w:val="none"/>
                <w:u w:val="none" w:color="auto"/>
                <w:lang w:val="en-US" w:eastAsia="zh-CN"/>
              </w:rPr>
              <w:t>式中：Pe—蒸发损失水率；</w:t>
            </w:r>
          </w:p>
          <w:p w14:paraId="04E82507">
            <w:pPr>
              <w:pStyle w:val="30"/>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textAlignment w:val="auto"/>
              <w:rPr>
                <w:rFonts w:hint="default" w:ascii="Times New Roman" w:hAnsi="Times New Roman" w:eastAsia="宋体" w:cs="Times New Roman"/>
                <w:bCs/>
                <w:color w:val="auto"/>
                <w:sz w:val="24"/>
                <w:highlight w:val="none"/>
                <w:u w:val="none" w:color="auto"/>
                <w:lang w:val="en-US" w:eastAsia="zh-CN"/>
              </w:rPr>
            </w:pPr>
            <w:r>
              <w:rPr>
                <w:rFonts w:hint="default" w:ascii="Times New Roman" w:hAnsi="Times New Roman" w:eastAsia="宋体" w:cs="Times New Roman"/>
                <w:bCs/>
                <w:color w:val="auto"/>
                <w:sz w:val="24"/>
                <w:highlight w:val="none"/>
                <w:u w:val="none" w:color="auto"/>
                <w:lang w:val="en-US" w:eastAsia="zh-CN"/>
              </w:rPr>
              <w:t>KZF—蒸发损失系数（1/℃）；本项目按进塔干球空气温度30℃，系数取0.0015/℃；</w:t>
            </w:r>
          </w:p>
          <w:p w14:paraId="47868F18">
            <w:pPr>
              <w:pStyle w:val="30"/>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textAlignment w:val="auto"/>
              <w:rPr>
                <w:rFonts w:hint="default" w:ascii="Times New Roman" w:hAnsi="Times New Roman" w:eastAsia="宋体" w:cs="Times New Roman"/>
                <w:bCs/>
                <w:color w:val="auto"/>
                <w:sz w:val="24"/>
                <w:highlight w:val="none"/>
                <w:u w:val="none" w:color="auto"/>
                <w:lang w:val="en-US" w:eastAsia="zh-CN"/>
              </w:rPr>
            </w:pPr>
            <w:r>
              <w:rPr>
                <w:rFonts w:hint="default" w:ascii="Times New Roman" w:hAnsi="Times New Roman" w:eastAsia="宋体" w:cs="Times New Roman"/>
                <w:bCs/>
                <w:color w:val="auto"/>
                <w:sz w:val="24"/>
                <w:highlight w:val="none"/>
                <w:u w:val="none" w:color="auto"/>
                <w:lang w:val="en-US" w:eastAsia="zh-CN"/>
              </w:rPr>
              <w:t>Δt—循环冷却水进出冷却塔温差（℃），本项目取10℃。</w:t>
            </w:r>
          </w:p>
          <w:p w14:paraId="1AF8F6D3">
            <w:pPr>
              <w:pStyle w:val="30"/>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textAlignment w:val="auto"/>
              <w:rPr>
                <w:rFonts w:hint="default" w:ascii="Times New Roman" w:hAnsi="Times New Roman" w:eastAsia="宋体" w:cs="Times New Roman"/>
                <w:bCs/>
                <w:color w:val="auto"/>
                <w:sz w:val="24"/>
                <w:highlight w:val="none"/>
                <w:u w:val="none" w:color="auto"/>
                <w:lang w:val="en-US" w:eastAsia="zh-CN"/>
              </w:rPr>
            </w:pPr>
            <w:r>
              <w:rPr>
                <w:rFonts w:hint="default" w:ascii="Times New Roman" w:hAnsi="Times New Roman" w:eastAsia="宋体" w:cs="Times New Roman"/>
                <w:bCs/>
                <w:color w:val="auto"/>
                <w:sz w:val="24"/>
                <w:highlight w:val="none"/>
                <w:u w:val="none" w:color="auto"/>
                <w:lang w:val="en-US" w:eastAsia="zh-CN"/>
              </w:rPr>
              <w:t>计算得蒸发损失水率为1.5%，则冷却塔的总蒸发水量为30m</w:t>
            </w:r>
            <w:r>
              <w:rPr>
                <w:rFonts w:hint="default" w:ascii="Times New Roman" w:hAnsi="Times New Roman" w:eastAsia="宋体" w:cs="Times New Roman"/>
                <w:bCs/>
                <w:color w:val="auto"/>
                <w:sz w:val="24"/>
                <w:highlight w:val="none"/>
                <w:u w:val="none" w:color="auto"/>
                <w:vertAlign w:val="superscript"/>
                <w:lang w:val="en-US" w:eastAsia="zh-CN"/>
              </w:rPr>
              <w:t>3</w:t>
            </w:r>
            <w:r>
              <w:rPr>
                <w:rFonts w:hint="default" w:ascii="Times New Roman" w:hAnsi="Times New Roman" w:eastAsia="宋体" w:cs="Times New Roman"/>
                <w:bCs/>
                <w:color w:val="auto"/>
                <w:sz w:val="24"/>
                <w:highlight w:val="none"/>
                <w:u w:val="none" w:color="auto"/>
                <w:lang w:val="en-US" w:eastAsia="zh-CN"/>
              </w:rPr>
              <w:t>/h×1.5%=0.45m</w:t>
            </w:r>
            <w:r>
              <w:rPr>
                <w:rFonts w:hint="default" w:ascii="Times New Roman" w:hAnsi="Times New Roman" w:eastAsia="宋体" w:cs="Times New Roman"/>
                <w:bCs/>
                <w:color w:val="auto"/>
                <w:sz w:val="24"/>
                <w:highlight w:val="none"/>
                <w:u w:val="none" w:color="auto"/>
                <w:vertAlign w:val="superscript"/>
                <w:lang w:val="en-US" w:eastAsia="zh-CN"/>
              </w:rPr>
              <w:t>3</w:t>
            </w:r>
            <w:r>
              <w:rPr>
                <w:rFonts w:hint="default" w:ascii="Times New Roman" w:hAnsi="Times New Roman" w:eastAsia="宋体" w:cs="Times New Roman"/>
                <w:bCs/>
                <w:color w:val="auto"/>
                <w:sz w:val="24"/>
                <w:highlight w:val="none"/>
                <w:u w:val="none" w:color="auto"/>
                <w:lang w:val="en-US" w:eastAsia="zh-CN"/>
              </w:rPr>
              <w:t>/h。</w:t>
            </w:r>
          </w:p>
          <w:p w14:paraId="37B6C482">
            <w:pPr>
              <w:pStyle w:val="30"/>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textAlignment w:val="auto"/>
              <w:rPr>
                <w:rFonts w:hint="default" w:ascii="Times New Roman" w:hAnsi="Times New Roman" w:eastAsia="宋体" w:cs="Times New Roman"/>
                <w:bCs/>
                <w:color w:val="auto"/>
                <w:sz w:val="24"/>
                <w:highlight w:val="none"/>
                <w:u w:val="none" w:color="auto"/>
                <w:lang w:val="en-US" w:eastAsia="zh-CN"/>
              </w:rPr>
            </w:pPr>
            <w:r>
              <w:rPr>
                <w:rFonts w:hint="default" w:ascii="Times New Roman" w:hAnsi="Times New Roman" w:eastAsia="宋体" w:cs="Times New Roman"/>
                <w:bCs/>
                <w:color w:val="auto"/>
                <w:sz w:val="24"/>
                <w:highlight w:val="none"/>
                <w:u w:val="none" w:color="auto"/>
                <w:lang w:val="en-US" w:eastAsia="zh-CN"/>
              </w:rPr>
              <w:t>②风吹损失水量</w:t>
            </w:r>
          </w:p>
          <w:p w14:paraId="0A7A9EED">
            <w:pPr>
              <w:pStyle w:val="30"/>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textAlignment w:val="auto"/>
              <w:rPr>
                <w:rFonts w:hint="default" w:ascii="Times New Roman" w:hAnsi="Times New Roman" w:eastAsia="宋体" w:cs="Times New Roman"/>
                <w:bCs/>
                <w:color w:val="auto"/>
                <w:sz w:val="24"/>
                <w:highlight w:val="none"/>
                <w:u w:val="none" w:color="auto"/>
                <w:lang w:val="en-US" w:eastAsia="zh-CN"/>
              </w:rPr>
            </w:pPr>
            <w:r>
              <w:rPr>
                <w:rFonts w:hint="default" w:ascii="Times New Roman" w:hAnsi="Times New Roman" w:eastAsia="宋体" w:cs="Times New Roman"/>
                <w:bCs/>
                <w:color w:val="auto"/>
                <w:sz w:val="24"/>
                <w:highlight w:val="none"/>
                <w:u w:val="none" w:color="auto"/>
                <w:lang w:val="en-US" w:eastAsia="zh-CN"/>
              </w:rPr>
              <w:t>本项目冷却塔为无收水器的自然通风冷却塔，根据GB/T50102-2014中表3.2.21可知，风吹损失水率为0.8%，计算得项目冷却塔风吹损失水量合计为30m3/h×0.8%=0.24m</w:t>
            </w:r>
            <w:r>
              <w:rPr>
                <w:rFonts w:hint="default" w:ascii="Times New Roman" w:hAnsi="Times New Roman" w:eastAsia="宋体" w:cs="Times New Roman"/>
                <w:bCs/>
                <w:color w:val="auto"/>
                <w:sz w:val="24"/>
                <w:highlight w:val="none"/>
                <w:u w:val="none" w:color="auto"/>
                <w:vertAlign w:val="superscript"/>
                <w:lang w:val="en-US" w:eastAsia="zh-CN"/>
              </w:rPr>
              <w:t>3</w:t>
            </w:r>
            <w:r>
              <w:rPr>
                <w:rFonts w:hint="default" w:ascii="Times New Roman" w:hAnsi="Times New Roman" w:eastAsia="宋体" w:cs="Times New Roman"/>
                <w:bCs/>
                <w:color w:val="auto"/>
                <w:sz w:val="24"/>
                <w:highlight w:val="none"/>
                <w:u w:val="none" w:color="auto"/>
                <w:lang w:val="en-US" w:eastAsia="zh-CN"/>
              </w:rPr>
              <w:t>/h。</w:t>
            </w:r>
          </w:p>
          <w:p w14:paraId="185CF53C">
            <w:pPr>
              <w:pStyle w:val="30"/>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textAlignment w:val="auto"/>
              <w:rPr>
                <w:rFonts w:hint="default" w:ascii="Times New Roman" w:hAnsi="Times New Roman" w:eastAsia="宋体" w:cs="Times New Roman"/>
                <w:bCs/>
                <w:color w:val="auto"/>
                <w:sz w:val="24"/>
                <w:highlight w:val="none"/>
                <w:u w:val="none" w:color="auto"/>
                <w:lang w:val="en-US" w:eastAsia="zh-CN"/>
              </w:rPr>
            </w:pPr>
            <w:r>
              <w:rPr>
                <w:rFonts w:hint="default" w:ascii="Times New Roman" w:hAnsi="Times New Roman" w:eastAsia="宋体" w:cs="Times New Roman"/>
                <w:bCs/>
                <w:color w:val="auto"/>
                <w:sz w:val="24"/>
                <w:highlight w:val="none"/>
                <w:u w:val="none" w:color="auto"/>
                <w:lang w:val="en-US" w:eastAsia="zh-CN"/>
              </w:rPr>
              <w:t>③排水损失水量</w:t>
            </w:r>
          </w:p>
          <w:p w14:paraId="3A8ADD97">
            <w:pPr>
              <w:pStyle w:val="30"/>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textAlignment w:val="auto"/>
              <w:rPr>
                <w:rFonts w:hint="default" w:ascii="Times New Roman" w:hAnsi="Times New Roman" w:eastAsia="宋体" w:cs="Times New Roman"/>
                <w:bCs/>
                <w:color w:val="auto"/>
                <w:sz w:val="24"/>
                <w:highlight w:val="none"/>
                <w:u w:val="none" w:color="auto"/>
                <w:lang w:val="en-US" w:eastAsia="zh-CN"/>
              </w:rPr>
            </w:pPr>
            <w:r>
              <w:rPr>
                <w:rFonts w:hint="default" w:ascii="Times New Roman" w:hAnsi="Times New Roman" w:eastAsia="宋体" w:cs="Times New Roman"/>
                <w:bCs/>
                <w:color w:val="auto"/>
                <w:sz w:val="24"/>
                <w:highlight w:val="none"/>
                <w:u w:val="none" w:color="auto"/>
                <w:lang w:val="en-US" w:eastAsia="zh-CN"/>
              </w:rPr>
              <w:t>冷却塔在循环过程中由于蒸发过程不断进行，使循环水中的含盐量越来越高，冷却系统在循环过程中会自动将部分冷却水外排并补水，以保持冷却循环水不因长期使用而导致硬度过高。根据建设单位提供的资料，冷却塔储水量约为4m</w:t>
            </w:r>
            <w:r>
              <w:rPr>
                <w:rFonts w:hint="default" w:ascii="Times New Roman" w:hAnsi="Times New Roman" w:eastAsia="宋体" w:cs="Times New Roman"/>
                <w:bCs/>
                <w:color w:val="auto"/>
                <w:sz w:val="24"/>
                <w:highlight w:val="none"/>
                <w:u w:val="none" w:color="auto"/>
                <w:vertAlign w:val="superscript"/>
                <w:lang w:val="en-US" w:eastAsia="zh-CN"/>
              </w:rPr>
              <w:t>3</w:t>
            </w:r>
            <w:r>
              <w:rPr>
                <w:rFonts w:hint="default" w:ascii="Times New Roman" w:hAnsi="Times New Roman" w:eastAsia="宋体" w:cs="Times New Roman"/>
                <w:bCs/>
                <w:color w:val="auto"/>
                <w:sz w:val="24"/>
                <w:highlight w:val="none"/>
                <w:u w:val="none" w:color="auto"/>
                <w:lang w:val="en-US" w:eastAsia="zh-CN"/>
              </w:rPr>
              <w:t>，每季度排放一次，则项目冷却塔排水损失水量为16m</w:t>
            </w:r>
            <w:r>
              <w:rPr>
                <w:rFonts w:hint="default" w:ascii="Times New Roman" w:hAnsi="Times New Roman" w:eastAsia="宋体" w:cs="Times New Roman"/>
                <w:bCs/>
                <w:color w:val="auto"/>
                <w:sz w:val="24"/>
                <w:highlight w:val="none"/>
                <w:u w:val="none" w:color="auto"/>
                <w:vertAlign w:val="superscript"/>
                <w:lang w:val="en-US" w:eastAsia="zh-CN"/>
              </w:rPr>
              <w:t>3</w:t>
            </w:r>
            <w:r>
              <w:rPr>
                <w:rFonts w:hint="default" w:ascii="Times New Roman" w:hAnsi="Times New Roman" w:eastAsia="宋体" w:cs="Times New Roman"/>
                <w:bCs/>
                <w:color w:val="auto"/>
                <w:sz w:val="24"/>
                <w:highlight w:val="none"/>
                <w:u w:val="none" w:color="auto"/>
                <w:lang w:val="en-US" w:eastAsia="zh-CN"/>
              </w:rPr>
              <w:t>/a。该部分间接冷却水不与生产材料及产品等进行直接接触，未添加冷却剂、杀菌剂等药剂，主要污染物为悬浮物等，水质简单，可直接排入市政污水管网。</w:t>
            </w:r>
          </w:p>
          <w:p w14:paraId="3260EAD2">
            <w:pPr>
              <w:pStyle w:val="30"/>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textAlignment w:val="auto"/>
              <w:rPr>
                <w:rFonts w:hint="default" w:ascii="Times New Roman" w:hAnsi="Times New Roman" w:eastAsia="宋体" w:cs="Times New Roman"/>
                <w:bCs/>
                <w:color w:val="auto"/>
                <w:sz w:val="24"/>
                <w:highlight w:val="none"/>
                <w:u w:val="none" w:color="auto"/>
                <w:lang w:val="en-US" w:eastAsia="zh-CN"/>
              </w:rPr>
            </w:pPr>
            <w:r>
              <w:rPr>
                <w:rFonts w:hint="default" w:ascii="Times New Roman" w:hAnsi="Times New Roman" w:eastAsia="宋体" w:cs="Times New Roman"/>
                <w:bCs/>
                <w:color w:val="auto"/>
                <w:sz w:val="24"/>
                <w:highlight w:val="none"/>
                <w:u w:val="none" w:color="auto"/>
                <w:lang w:val="en-US" w:eastAsia="zh-CN"/>
              </w:rPr>
              <w:t>因此，项目冷却塔年补充水量为（0.45m</w:t>
            </w:r>
            <w:r>
              <w:rPr>
                <w:rFonts w:hint="default" w:ascii="Times New Roman" w:hAnsi="Times New Roman" w:eastAsia="宋体" w:cs="Times New Roman"/>
                <w:bCs/>
                <w:color w:val="auto"/>
                <w:sz w:val="24"/>
                <w:highlight w:val="none"/>
                <w:u w:val="none" w:color="auto"/>
                <w:vertAlign w:val="superscript"/>
                <w:lang w:val="en-US" w:eastAsia="zh-CN"/>
              </w:rPr>
              <w:t>3</w:t>
            </w:r>
            <w:r>
              <w:rPr>
                <w:rFonts w:hint="default" w:ascii="Times New Roman" w:hAnsi="Times New Roman" w:eastAsia="宋体" w:cs="Times New Roman"/>
                <w:bCs/>
                <w:color w:val="auto"/>
                <w:sz w:val="24"/>
                <w:highlight w:val="none"/>
                <w:u w:val="none" w:color="auto"/>
                <w:lang w:val="en-US" w:eastAsia="zh-CN"/>
              </w:rPr>
              <w:t>/h+0.24m</w:t>
            </w:r>
            <w:r>
              <w:rPr>
                <w:rFonts w:hint="default" w:ascii="Times New Roman" w:hAnsi="Times New Roman" w:eastAsia="宋体" w:cs="Times New Roman"/>
                <w:bCs/>
                <w:color w:val="auto"/>
                <w:sz w:val="24"/>
                <w:highlight w:val="none"/>
                <w:u w:val="none" w:color="auto"/>
                <w:vertAlign w:val="superscript"/>
                <w:lang w:val="en-US" w:eastAsia="zh-CN"/>
              </w:rPr>
              <w:t>3</w:t>
            </w:r>
            <w:r>
              <w:rPr>
                <w:rFonts w:hint="default" w:ascii="Times New Roman" w:hAnsi="Times New Roman" w:eastAsia="宋体" w:cs="Times New Roman"/>
                <w:bCs/>
                <w:color w:val="auto"/>
                <w:sz w:val="24"/>
                <w:highlight w:val="none"/>
                <w:u w:val="none" w:color="auto"/>
                <w:lang w:val="en-US" w:eastAsia="zh-CN"/>
              </w:rPr>
              <w:t>/h）×24h×330d+16m</w:t>
            </w:r>
            <w:r>
              <w:rPr>
                <w:rFonts w:hint="default" w:ascii="Times New Roman" w:hAnsi="Times New Roman" w:eastAsia="宋体" w:cs="Times New Roman"/>
                <w:bCs/>
                <w:color w:val="auto"/>
                <w:sz w:val="24"/>
                <w:highlight w:val="none"/>
                <w:u w:val="none" w:color="auto"/>
                <w:vertAlign w:val="superscript"/>
                <w:lang w:val="en-US" w:eastAsia="zh-CN"/>
              </w:rPr>
              <w:t>3</w:t>
            </w:r>
            <w:r>
              <w:rPr>
                <w:rFonts w:hint="default" w:ascii="Times New Roman" w:hAnsi="Times New Roman" w:eastAsia="宋体" w:cs="Times New Roman"/>
                <w:bCs/>
                <w:color w:val="auto"/>
                <w:sz w:val="24"/>
                <w:highlight w:val="none"/>
                <w:u w:val="none" w:color="auto"/>
                <w:lang w:val="en-US" w:eastAsia="zh-CN"/>
              </w:rPr>
              <w:t>/a=5480.8m</w:t>
            </w:r>
            <w:r>
              <w:rPr>
                <w:rFonts w:hint="default" w:ascii="Times New Roman" w:hAnsi="Times New Roman" w:eastAsia="宋体" w:cs="Times New Roman"/>
                <w:bCs/>
                <w:color w:val="auto"/>
                <w:sz w:val="24"/>
                <w:highlight w:val="none"/>
                <w:u w:val="none" w:color="auto"/>
                <w:vertAlign w:val="superscript"/>
                <w:lang w:val="en-US" w:eastAsia="zh-CN"/>
              </w:rPr>
              <w:t>3</w:t>
            </w:r>
            <w:r>
              <w:rPr>
                <w:rFonts w:hint="default" w:ascii="Times New Roman" w:hAnsi="Times New Roman" w:eastAsia="宋体" w:cs="Times New Roman"/>
                <w:bCs/>
                <w:color w:val="auto"/>
                <w:sz w:val="24"/>
                <w:highlight w:val="none"/>
                <w:u w:val="none" w:color="auto"/>
                <w:lang w:val="en-US" w:eastAsia="zh-CN"/>
              </w:rPr>
              <w:t>/a，年排污水量为16m</w:t>
            </w:r>
            <w:r>
              <w:rPr>
                <w:rFonts w:hint="default" w:ascii="Times New Roman" w:hAnsi="Times New Roman" w:eastAsia="宋体" w:cs="Times New Roman"/>
                <w:bCs/>
                <w:color w:val="auto"/>
                <w:sz w:val="24"/>
                <w:highlight w:val="none"/>
                <w:u w:val="none" w:color="auto"/>
                <w:vertAlign w:val="superscript"/>
                <w:lang w:val="en-US" w:eastAsia="zh-CN"/>
              </w:rPr>
              <w:t>3</w:t>
            </w:r>
            <w:r>
              <w:rPr>
                <w:rFonts w:hint="default" w:ascii="Times New Roman" w:hAnsi="Times New Roman" w:eastAsia="宋体" w:cs="Times New Roman"/>
                <w:bCs/>
                <w:color w:val="auto"/>
                <w:sz w:val="24"/>
                <w:highlight w:val="none"/>
                <w:u w:val="none" w:color="auto"/>
                <w:lang w:val="en-US" w:eastAsia="zh-CN"/>
              </w:rPr>
              <w:t>/a。</w:t>
            </w:r>
          </w:p>
          <w:p w14:paraId="28D6ED20">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bCs w:val="0"/>
                <w:color w:val="auto"/>
                <w:sz w:val="24"/>
                <w:highlight w:val="none"/>
                <w:u w:val="none" w:color="auto"/>
                <w:lang w:val="en-US" w:eastAsia="zh-CN"/>
              </w:rPr>
            </w:pPr>
            <w:r>
              <w:rPr>
                <w:rFonts w:hint="default" w:ascii="Times New Roman" w:hAnsi="Times New Roman" w:eastAsia="宋体" w:cs="Times New Roman"/>
                <w:b/>
                <w:bCs w:val="0"/>
                <w:color w:val="auto"/>
                <w:sz w:val="24"/>
                <w:highlight w:val="none"/>
                <w:u w:val="none" w:color="auto"/>
                <w:lang w:val="en-US" w:eastAsia="zh-CN"/>
              </w:rPr>
              <w:t>（3）铝合金熔铸一厂（仅本项目压铸工艺设备）间接冷却用水</w:t>
            </w:r>
          </w:p>
          <w:p w14:paraId="2AD4323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auto"/>
                <w:sz w:val="24"/>
                <w:highlight w:val="none"/>
                <w:u w:val="none" w:color="auto"/>
                <w:lang w:val="en-US" w:eastAsia="zh-CN"/>
              </w:rPr>
            </w:pPr>
            <w:r>
              <w:rPr>
                <w:rFonts w:hint="default" w:ascii="Times New Roman" w:hAnsi="Times New Roman" w:eastAsia="宋体" w:cs="Times New Roman"/>
                <w:bCs/>
                <w:color w:val="auto"/>
                <w:sz w:val="24"/>
                <w:highlight w:val="none"/>
                <w:u w:val="none" w:color="auto"/>
                <w:lang w:val="en-US" w:eastAsia="zh-CN"/>
              </w:rPr>
              <w:t>根据本项目设计资料，本项目压铸机冷却系统用水、模具冷却系统用水、模具冷却系统用水等设备需供应循环冷却水，循环冷却水最大流量约为78m</w:t>
            </w:r>
            <w:r>
              <w:rPr>
                <w:rFonts w:hint="default" w:ascii="Times New Roman" w:hAnsi="Times New Roman" w:eastAsia="宋体" w:cs="Times New Roman"/>
                <w:bCs/>
                <w:color w:val="auto"/>
                <w:sz w:val="24"/>
                <w:highlight w:val="none"/>
                <w:u w:val="none" w:color="auto"/>
                <w:vertAlign w:val="superscript"/>
                <w:lang w:val="en-US" w:eastAsia="zh-CN"/>
              </w:rPr>
              <w:t>3</w:t>
            </w:r>
            <w:r>
              <w:rPr>
                <w:rFonts w:hint="default" w:ascii="Times New Roman" w:hAnsi="Times New Roman" w:eastAsia="宋体" w:cs="Times New Roman"/>
                <w:bCs/>
                <w:color w:val="auto"/>
                <w:sz w:val="24"/>
                <w:highlight w:val="none"/>
                <w:u w:val="none" w:color="auto"/>
                <w:lang w:val="en-US" w:eastAsia="zh-CN"/>
              </w:rPr>
              <w:t>/h，设备冷却水均为循环利用，仅需补充损失水量。拟利用中创空天厂区现有循环水站集中供应，净循环水管道就近接入厂区循环水管网，原有循环水站仍有流量富余，且其设计压力、供水温度等均可满足本项目循环冷却水使用要求。</w:t>
            </w:r>
          </w:p>
          <w:p w14:paraId="4374BBC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auto"/>
                <w:sz w:val="24"/>
                <w:highlight w:val="none"/>
                <w:u w:val="none" w:color="auto"/>
                <w:lang w:val="en-US" w:eastAsia="zh-CN"/>
              </w:rPr>
            </w:pPr>
            <w:r>
              <w:rPr>
                <w:rFonts w:hint="default" w:ascii="Times New Roman" w:hAnsi="Times New Roman" w:eastAsia="宋体" w:cs="Times New Roman"/>
                <w:bCs/>
                <w:color w:val="auto"/>
                <w:sz w:val="24"/>
                <w:highlight w:val="none"/>
                <w:u w:val="none" w:color="auto"/>
                <w:lang w:val="en-US" w:eastAsia="zh-CN"/>
              </w:rPr>
              <w:t>现有工程循环水系统对铝合金熔铸一厂设计最大流量为485.92m</w:t>
            </w:r>
            <w:r>
              <w:rPr>
                <w:rFonts w:hint="default" w:ascii="Times New Roman" w:hAnsi="Times New Roman" w:eastAsia="宋体" w:cs="Times New Roman"/>
                <w:bCs/>
                <w:color w:val="auto"/>
                <w:sz w:val="24"/>
                <w:highlight w:val="none"/>
                <w:u w:val="none" w:color="auto"/>
                <w:vertAlign w:val="superscript"/>
                <w:lang w:val="en-US" w:eastAsia="zh-CN"/>
              </w:rPr>
              <w:t>3</w:t>
            </w:r>
            <w:r>
              <w:rPr>
                <w:rFonts w:hint="default" w:ascii="Times New Roman" w:hAnsi="Times New Roman" w:eastAsia="宋体" w:cs="Times New Roman"/>
                <w:bCs/>
                <w:color w:val="auto"/>
                <w:sz w:val="24"/>
                <w:highlight w:val="none"/>
                <w:u w:val="none" w:color="auto"/>
                <w:lang w:val="en-US" w:eastAsia="zh-CN"/>
              </w:rPr>
              <w:t>/h，根据现有工程2024年日均运行数据显示，平均循环水量约为161.97m</w:t>
            </w:r>
            <w:r>
              <w:rPr>
                <w:rFonts w:hint="default" w:ascii="Times New Roman" w:hAnsi="Times New Roman" w:eastAsia="宋体" w:cs="Times New Roman"/>
                <w:bCs/>
                <w:color w:val="auto"/>
                <w:sz w:val="24"/>
                <w:highlight w:val="none"/>
                <w:u w:val="none" w:color="auto"/>
                <w:vertAlign w:val="superscript"/>
                <w:lang w:val="en-US" w:eastAsia="zh-CN"/>
              </w:rPr>
              <w:t>3</w:t>
            </w:r>
            <w:r>
              <w:rPr>
                <w:rFonts w:hint="default" w:ascii="Times New Roman" w:hAnsi="Times New Roman" w:eastAsia="宋体" w:cs="Times New Roman"/>
                <w:bCs/>
                <w:color w:val="auto"/>
                <w:sz w:val="24"/>
                <w:highlight w:val="none"/>
                <w:u w:val="none" w:color="auto"/>
                <w:lang w:val="en-US" w:eastAsia="zh-CN"/>
              </w:rPr>
              <w:t>/h，同时还可调节生产节奏安排循环水系统去向。</w:t>
            </w:r>
          </w:p>
          <w:p w14:paraId="65EDB02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auto"/>
                <w:sz w:val="24"/>
                <w:highlight w:val="none"/>
                <w:u w:val="none" w:color="auto"/>
                <w:lang w:val="en-US" w:eastAsia="zh-CN"/>
              </w:rPr>
            </w:pPr>
            <w:r>
              <w:rPr>
                <w:rFonts w:hint="default" w:ascii="Times New Roman" w:hAnsi="Times New Roman" w:eastAsia="宋体" w:cs="Times New Roman"/>
                <w:bCs/>
                <w:color w:val="auto"/>
                <w:sz w:val="24"/>
                <w:highlight w:val="none"/>
                <w:u w:val="none" w:color="auto"/>
                <w:lang w:val="en-US" w:eastAsia="zh-CN"/>
              </w:rPr>
              <w:t>故不会因本项目运行突破现有工程循环系统负荷能力，也不会导致新增净循环系统用水量、排水量。</w:t>
            </w:r>
          </w:p>
          <w:p w14:paraId="04C61E52">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bCs w:val="0"/>
                <w:color w:val="auto"/>
                <w:sz w:val="24"/>
                <w:highlight w:val="none"/>
                <w:u w:val="none" w:color="auto"/>
                <w:lang w:val="en-US" w:eastAsia="zh-CN"/>
              </w:rPr>
            </w:pPr>
            <w:r>
              <w:rPr>
                <w:rFonts w:hint="default" w:ascii="Times New Roman" w:hAnsi="Times New Roman" w:eastAsia="宋体" w:cs="Times New Roman"/>
                <w:b/>
                <w:bCs w:val="0"/>
                <w:color w:val="auto"/>
                <w:sz w:val="24"/>
                <w:highlight w:val="none"/>
                <w:u w:val="none" w:color="auto"/>
                <w:lang w:val="en-US" w:eastAsia="zh-CN"/>
              </w:rPr>
              <w:t>（4）脱模剂配置用水</w:t>
            </w:r>
          </w:p>
          <w:p w14:paraId="25E6E00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auto"/>
                <w:sz w:val="24"/>
                <w:highlight w:val="none"/>
                <w:u w:val="none" w:color="auto"/>
                <w:lang w:val="en-US" w:eastAsia="zh-CN"/>
              </w:rPr>
            </w:pPr>
            <w:r>
              <w:rPr>
                <w:rFonts w:hint="default" w:ascii="Times New Roman" w:hAnsi="Times New Roman" w:eastAsia="宋体" w:cs="Times New Roman"/>
                <w:bCs/>
                <w:color w:val="auto"/>
                <w:sz w:val="24"/>
                <w:highlight w:val="none"/>
                <w:u w:val="none" w:color="auto"/>
                <w:lang w:val="en-US" w:eastAsia="zh-CN"/>
              </w:rPr>
              <w:t>项目采用的脱模剂为水性脱模剂，用量和水配比1:130~150（本次按均值1:140计），项目脱模剂用量为165t/a，则项目脱模剂配置用水为23100t/a（70</w:t>
            </w:r>
            <w:r>
              <w:rPr>
                <w:rFonts w:hint="default" w:ascii="Times New Roman" w:hAnsi="Times New Roman" w:eastAsia="宋体" w:cs="Times New Roman"/>
                <w:color w:val="auto"/>
                <w:sz w:val="24"/>
                <w:szCs w:val="22"/>
                <w:u w:val="none" w:color="auto"/>
              </w:rPr>
              <w:t>m</w:t>
            </w:r>
            <w:r>
              <w:rPr>
                <w:rFonts w:hint="default" w:ascii="Times New Roman" w:hAnsi="Times New Roman" w:eastAsia="宋体" w:cs="Times New Roman"/>
                <w:color w:val="auto"/>
                <w:sz w:val="24"/>
                <w:szCs w:val="22"/>
                <w:u w:val="none" w:color="auto"/>
                <w:vertAlign w:val="superscript"/>
              </w:rPr>
              <w:t>3</w:t>
            </w:r>
            <w:r>
              <w:rPr>
                <w:rFonts w:hint="default" w:ascii="Times New Roman" w:hAnsi="Times New Roman" w:eastAsia="宋体" w:cs="Times New Roman"/>
                <w:color w:val="auto"/>
                <w:sz w:val="24"/>
                <w:szCs w:val="22"/>
                <w:u w:val="none" w:color="auto"/>
              </w:rPr>
              <w:t>/</w:t>
            </w:r>
            <w:r>
              <w:rPr>
                <w:rFonts w:hint="default" w:ascii="Times New Roman" w:hAnsi="Times New Roman" w:eastAsia="宋体" w:cs="Times New Roman"/>
                <w:color w:val="auto"/>
                <w:sz w:val="24"/>
                <w:szCs w:val="22"/>
                <w:u w:val="none" w:color="auto"/>
                <w:lang w:val="en-US" w:eastAsia="zh-CN"/>
              </w:rPr>
              <w:t>d</w:t>
            </w:r>
            <w:r>
              <w:rPr>
                <w:rFonts w:hint="default" w:ascii="Times New Roman" w:hAnsi="Times New Roman" w:eastAsia="宋体" w:cs="Times New Roman"/>
                <w:bCs/>
                <w:color w:val="auto"/>
                <w:sz w:val="24"/>
                <w:highlight w:val="none"/>
                <w:u w:val="none" w:color="auto"/>
                <w:lang w:val="en-US" w:eastAsia="zh-CN"/>
              </w:rPr>
              <w:t>）。该不用部分用水全部蒸发损耗。</w:t>
            </w:r>
          </w:p>
          <w:p w14:paraId="5EF9D726">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bCs w:val="0"/>
                <w:color w:val="auto"/>
                <w:sz w:val="24"/>
                <w:highlight w:val="none"/>
                <w:u w:val="none" w:color="auto"/>
                <w:lang w:val="en-US" w:eastAsia="zh-CN"/>
              </w:rPr>
            </w:pPr>
            <w:r>
              <w:rPr>
                <w:rFonts w:hint="default" w:ascii="Times New Roman" w:hAnsi="Times New Roman" w:eastAsia="宋体" w:cs="Times New Roman"/>
                <w:b/>
                <w:bCs w:val="0"/>
                <w:color w:val="auto"/>
                <w:sz w:val="24"/>
                <w:highlight w:val="none"/>
                <w:u w:val="none" w:color="auto"/>
                <w:lang w:val="en-US" w:eastAsia="zh-CN"/>
              </w:rPr>
              <w:t>（5）水平衡</w:t>
            </w:r>
          </w:p>
          <w:p w14:paraId="516187B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auto"/>
                <w:sz w:val="24"/>
                <w:highlight w:val="none"/>
                <w:u w:val="none" w:color="auto"/>
                <w:lang w:val="en-US" w:eastAsia="zh-CN"/>
              </w:rPr>
            </w:pPr>
            <w:r>
              <w:rPr>
                <w:rFonts w:hint="default" w:ascii="Times New Roman" w:hAnsi="Times New Roman" w:eastAsia="宋体" w:cs="Times New Roman"/>
                <w:bCs/>
                <w:color w:val="auto"/>
                <w:sz w:val="24"/>
                <w:highlight w:val="none"/>
                <w:u w:val="none" w:color="auto"/>
                <w:lang w:val="en-US" w:eastAsia="zh-CN"/>
              </w:rPr>
              <w:t>根据上述分析，本项目新增新鲜用水量为31847.8t/a，新增废水排放量为2629.6t/a。其中铝合金熔铸一厂（仅本项目压铸工艺设备）间接冷却用水为依托现有净循环系统，不新增用水量和排水量，考虑到此种情况，且受保密条例要求，本次评价仅分析新增用排水平衡分析。本项目中创空天厂区水平衡如下：</w:t>
            </w:r>
          </w:p>
          <w:p w14:paraId="6D40193E">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Cs/>
                <w:color w:val="auto"/>
                <w:sz w:val="24"/>
                <w:highlight w:val="none"/>
                <w:u w:val="none" w:color="auto"/>
                <w:lang w:val="en-US" w:eastAsia="zh-CN"/>
              </w:rPr>
            </w:pPr>
            <w:r>
              <w:rPr>
                <w:rFonts w:hint="default" w:ascii="Times New Roman" w:hAnsi="Times New Roman" w:eastAsia="宋体" w:cs="Times New Roman"/>
                <w:bCs/>
                <w:color w:val="auto"/>
                <w:sz w:val="24"/>
                <w:highlight w:val="none"/>
                <w:u w:val="none" w:color="auto"/>
                <w:lang w:val="en-US" w:eastAsia="zh-CN"/>
              </w:rPr>
              <w:object>
                <v:shape id="_x0000_i1025" o:spt="75" type="#_x0000_t75" style="height:188.55pt;width:413.75pt;" o:ole="t" filled="f" o:preferrelative="t" stroked="f" coordsize="21600,21600">
                  <v:path/>
                  <v:fill on="f" focussize="0,0"/>
                  <v:stroke on="f"/>
                  <v:imagedata r:id="rId21" o:title=""/>
                  <o:lock v:ext="edit" aspectratio="f"/>
                  <w10:wrap type="none"/>
                  <w10:anchorlock/>
                </v:shape>
                <o:OLEObject Type="Embed" ProgID="Visio.Drawing.11" ShapeID="_x0000_i1025" DrawAspect="Content" ObjectID="_1468075725" r:id="rId20">
                  <o:LockedField>false</o:LockedField>
                </o:OLEObject>
              </w:object>
            </w:r>
          </w:p>
          <w:p w14:paraId="390D6BAB">
            <w:pPr>
              <w:jc w:val="center"/>
              <w:rPr>
                <w:rFonts w:hint="default" w:ascii="Times New Roman" w:hAnsi="Times New Roman" w:eastAsia="宋体" w:cs="Times New Roman"/>
                <w:b/>
                <w:bCs/>
                <w:color w:val="auto"/>
                <w:u w:val="none" w:color="auto"/>
                <w:lang w:val="en-US" w:eastAsia="zh-CN"/>
              </w:rPr>
            </w:pPr>
            <w:r>
              <w:rPr>
                <w:rFonts w:hint="default" w:ascii="Times New Roman" w:hAnsi="Times New Roman" w:eastAsia="宋体" w:cs="Times New Roman"/>
                <w:b/>
                <w:bCs/>
                <w:color w:val="auto"/>
                <w:u w:val="none" w:color="auto"/>
                <w:lang w:val="en-US" w:eastAsia="zh-CN"/>
              </w:rPr>
              <w:t>图2-1  中创空天厂区本项目水平衡图  单位：m</w:t>
            </w:r>
            <w:r>
              <w:rPr>
                <w:rFonts w:hint="default" w:ascii="Times New Roman" w:hAnsi="Times New Roman" w:eastAsia="宋体" w:cs="Times New Roman"/>
                <w:b/>
                <w:bCs/>
                <w:color w:val="auto"/>
                <w:u w:val="none" w:color="auto"/>
                <w:vertAlign w:val="superscript"/>
                <w:lang w:val="en-US" w:eastAsia="zh-CN"/>
              </w:rPr>
              <w:t>3</w:t>
            </w:r>
            <w:r>
              <w:rPr>
                <w:rFonts w:hint="default" w:ascii="Times New Roman" w:hAnsi="Times New Roman" w:eastAsia="宋体" w:cs="Times New Roman"/>
                <w:b/>
                <w:bCs/>
                <w:color w:val="auto"/>
                <w:u w:val="none" w:color="auto"/>
                <w:lang w:val="en-US" w:eastAsia="zh-CN"/>
              </w:rPr>
              <w:t>/a</w:t>
            </w:r>
          </w:p>
          <w:p w14:paraId="1CE7D645">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Cs/>
                <w:color w:val="auto"/>
                <w:sz w:val="24"/>
                <w:highlight w:val="none"/>
                <w:u w:val="none" w:color="auto"/>
                <w:lang w:val="en-US" w:eastAsia="zh-CN"/>
              </w:rPr>
            </w:pPr>
            <w:r>
              <w:rPr>
                <w:rFonts w:hint="default" w:ascii="Times New Roman" w:hAnsi="Times New Roman" w:eastAsia="宋体" w:cs="Times New Roman"/>
                <w:b/>
                <w:bCs w:val="0"/>
                <w:color w:val="auto"/>
                <w:sz w:val="24"/>
                <w:highlight w:val="none"/>
                <w:u w:val="none" w:color="auto"/>
                <w:lang w:val="en-US" w:eastAsia="zh-CN"/>
              </w:rPr>
              <w:t>7.2</w:t>
            </w:r>
            <w:r>
              <w:rPr>
                <w:rFonts w:hint="default" w:ascii="Times New Roman" w:hAnsi="Times New Roman" w:eastAsia="宋体" w:cs="Times New Roman"/>
                <w:b/>
                <w:bCs/>
                <w:color w:val="auto"/>
                <w:sz w:val="24"/>
                <w:szCs w:val="24"/>
                <w:highlight w:val="none"/>
                <w:u w:val="none" w:color="auto"/>
                <w:lang w:val="en-US" w:eastAsia="zh-CN"/>
              </w:rPr>
              <w:t>临港高新产业园区</w:t>
            </w:r>
          </w:p>
          <w:p w14:paraId="5E8E82E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auto"/>
                <w:sz w:val="24"/>
                <w:highlight w:val="none"/>
                <w:u w:val="none" w:color="auto"/>
                <w:lang w:val="en-US" w:eastAsia="zh-CN"/>
              </w:rPr>
            </w:pPr>
            <w:r>
              <w:rPr>
                <w:rFonts w:hint="default" w:ascii="Times New Roman" w:hAnsi="Times New Roman" w:eastAsia="宋体" w:cs="Times New Roman"/>
                <w:bCs/>
                <w:color w:val="auto"/>
                <w:sz w:val="24"/>
                <w:highlight w:val="none"/>
                <w:u w:val="none" w:color="auto"/>
                <w:lang w:val="en-US" w:eastAsia="zh-CN"/>
              </w:rPr>
              <w:t>根据建设单位提供资料，本项目各生产车间、辅助用房等无需使用水冲洗，主要采用干清工艺进行地面清洁，因此无地面清洁废水产生。</w:t>
            </w:r>
          </w:p>
          <w:p w14:paraId="638B0691">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bCs w:val="0"/>
                <w:color w:val="auto"/>
                <w:sz w:val="24"/>
                <w:highlight w:val="none"/>
                <w:u w:val="none" w:color="auto"/>
                <w:lang w:val="en-US" w:eastAsia="zh-CN"/>
              </w:rPr>
            </w:pPr>
            <w:r>
              <w:rPr>
                <w:rFonts w:hint="default" w:ascii="Times New Roman" w:hAnsi="Times New Roman" w:eastAsia="宋体" w:cs="Times New Roman"/>
                <w:b/>
                <w:bCs w:val="0"/>
                <w:color w:val="auto"/>
                <w:sz w:val="24"/>
                <w:highlight w:val="none"/>
                <w:u w:val="none" w:color="auto"/>
                <w:lang w:val="en-US" w:eastAsia="zh-CN"/>
              </w:rPr>
              <w:t>（1）生活用水</w:t>
            </w:r>
          </w:p>
          <w:p w14:paraId="259A351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bCs/>
                <w:color w:val="auto"/>
                <w:sz w:val="24"/>
                <w:highlight w:val="none"/>
                <w:u w:val="none" w:color="auto"/>
                <w:lang w:val="en-US" w:eastAsia="zh-CN"/>
              </w:rPr>
              <w:t>本项目</w:t>
            </w:r>
            <w:r>
              <w:rPr>
                <w:rFonts w:hint="default" w:ascii="Times New Roman" w:hAnsi="Times New Roman" w:eastAsia="宋体" w:cs="Times New Roman"/>
                <w:b w:val="0"/>
                <w:bCs w:val="0"/>
                <w:color w:val="auto"/>
                <w:sz w:val="24"/>
                <w:szCs w:val="24"/>
                <w:highlight w:val="none"/>
                <w:u w:val="none" w:color="auto"/>
                <w:lang w:val="en-US" w:eastAsia="zh-CN"/>
              </w:rPr>
              <w:t>临港高新产业园区</w:t>
            </w:r>
            <w:r>
              <w:rPr>
                <w:rFonts w:hint="default" w:ascii="Times New Roman" w:hAnsi="Times New Roman" w:eastAsia="宋体" w:cs="Times New Roman"/>
                <w:bCs/>
                <w:color w:val="auto"/>
                <w:sz w:val="24"/>
                <w:highlight w:val="none"/>
                <w:u w:val="none" w:color="auto"/>
                <w:lang w:val="en-US" w:eastAsia="zh-CN"/>
              </w:rPr>
              <w:t>新增劳动定员111人，</w:t>
            </w:r>
            <w:r>
              <w:rPr>
                <w:rFonts w:hint="default" w:ascii="Times New Roman" w:hAnsi="Times New Roman" w:eastAsia="宋体" w:cs="Times New Roman"/>
                <w:color w:val="auto"/>
                <w:sz w:val="24"/>
                <w:szCs w:val="22"/>
                <w:u w:val="none" w:color="auto"/>
                <w:lang w:val="en-US" w:eastAsia="zh-CN"/>
              </w:rPr>
              <w:t>员工均不在厂区内住宿与就餐，</w:t>
            </w:r>
            <w:r>
              <w:rPr>
                <w:rFonts w:hint="default" w:ascii="Times New Roman" w:hAnsi="Times New Roman" w:eastAsia="宋体" w:cs="Times New Roman"/>
                <w:bCs/>
                <w:color w:val="auto"/>
                <w:sz w:val="24"/>
                <w:highlight w:val="none"/>
                <w:u w:val="none" w:color="auto"/>
                <w:lang w:val="en-US" w:eastAsia="zh-CN"/>
              </w:rPr>
              <w:t>根据</w:t>
            </w:r>
            <w:r>
              <w:rPr>
                <w:rFonts w:hint="default" w:ascii="Times New Roman" w:hAnsi="Times New Roman" w:eastAsia="宋体" w:cs="Times New Roman"/>
                <w:color w:val="auto"/>
                <w:sz w:val="24"/>
                <w:szCs w:val="22"/>
                <w:u w:val="none" w:color="auto"/>
              </w:rPr>
              <w:t>《湖南省用水定额》（DB43/T388-2020），生活用水量</w:t>
            </w:r>
            <w:r>
              <w:rPr>
                <w:rFonts w:hint="default" w:ascii="Times New Roman" w:hAnsi="Times New Roman" w:eastAsia="宋体" w:cs="Times New Roman"/>
                <w:color w:val="auto"/>
                <w:sz w:val="24"/>
                <w:szCs w:val="28"/>
                <w:u w:val="none" w:color="auto"/>
              </w:rPr>
              <w:t>参照办公楼人员通用值取</w:t>
            </w:r>
            <w:r>
              <w:rPr>
                <w:rFonts w:hint="default" w:ascii="Times New Roman" w:hAnsi="Times New Roman" w:eastAsia="宋体" w:cs="Times New Roman"/>
                <w:color w:val="auto"/>
                <w:sz w:val="24"/>
                <w:szCs w:val="22"/>
                <w:u w:val="none" w:color="auto"/>
              </w:rPr>
              <w:t>38m</w:t>
            </w:r>
            <w:r>
              <w:rPr>
                <w:rFonts w:hint="default" w:ascii="Times New Roman" w:hAnsi="Times New Roman" w:eastAsia="宋体" w:cs="Times New Roman"/>
                <w:color w:val="auto"/>
                <w:sz w:val="24"/>
                <w:szCs w:val="22"/>
                <w:u w:val="none" w:color="auto"/>
                <w:vertAlign w:val="superscript"/>
              </w:rPr>
              <w:t>3</w:t>
            </w:r>
            <w:r>
              <w:rPr>
                <w:rFonts w:hint="default" w:ascii="Times New Roman" w:hAnsi="Times New Roman" w:eastAsia="宋体" w:cs="Times New Roman"/>
                <w:color w:val="auto"/>
                <w:sz w:val="24"/>
                <w:szCs w:val="22"/>
                <w:u w:val="none" w:color="auto"/>
              </w:rPr>
              <w:t>/人·a，则生活用水量为</w:t>
            </w:r>
            <w:r>
              <w:rPr>
                <w:rFonts w:hint="default" w:ascii="Times New Roman" w:hAnsi="Times New Roman" w:eastAsia="宋体" w:cs="Times New Roman"/>
                <w:color w:val="auto"/>
                <w:sz w:val="24"/>
                <w:szCs w:val="22"/>
                <w:u w:val="none" w:color="auto"/>
                <w:lang w:val="en-US" w:eastAsia="zh-CN"/>
              </w:rPr>
              <w:t>4218</w:t>
            </w:r>
            <w:r>
              <w:rPr>
                <w:rFonts w:hint="default" w:ascii="Times New Roman" w:hAnsi="Times New Roman" w:eastAsia="宋体" w:cs="Times New Roman"/>
                <w:color w:val="auto"/>
                <w:sz w:val="24"/>
                <w:szCs w:val="22"/>
                <w:u w:val="none" w:color="auto"/>
              </w:rPr>
              <w:t>m</w:t>
            </w:r>
            <w:r>
              <w:rPr>
                <w:rFonts w:hint="default" w:ascii="Times New Roman" w:hAnsi="Times New Roman" w:eastAsia="宋体" w:cs="Times New Roman"/>
                <w:color w:val="auto"/>
                <w:sz w:val="24"/>
                <w:szCs w:val="22"/>
                <w:u w:val="none" w:color="auto"/>
                <w:vertAlign w:val="superscript"/>
              </w:rPr>
              <w:t>3</w:t>
            </w:r>
            <w:r>
              <w:rPr>
                <w:rFonts w:hint="default" w:ascii="Times New Roman" w:hAnsi="Times New Roman" w:eastAsia="宋体" w:cs="Times New Roman"/>
                <w:color w:val="auto"/>
                <w:sz w:val="24"/>
                <w:szCs w:val="22"/>
                <w:u w:val="none" w:color="auto"/>
              </w:rPr>
              <w:t>/a，排水系数</w:t>
            </w:r>
            <w:r>
              <w:rPr>
                <w:rFonts w:hint="default" w:ascii="Times New Roman" w:hAnsi="Times New Roman" w:eastAsia="宋体" w:cs="Times New Roman"/>
                <w:color w:val="auto"/>
                <w:sz w:val="24"/>
                <w:szCs w:val="24"/>
                <w:u w:val="none" w:color="auto"/>
              </w:rPr>
              <w:t>按0.8计，则生活废水排放量为</w:t>
            </w:r>
            <w:r>
              <w:rPr>
                <w:rFonts w:hint="default" w:ascii="Times New Roman" w:hAnsi="Times New Roman" w:eastAsia="宋体" w:cs="Times New Roman"/>
                <w:color w:val="auto"/>
                <w:sz w:val="24"/>
                <w:szCs w:val="24"/>
                <w:u w:val="none" w:color="auto"/>
                <w:lang w:val="en-US" w:eastAsia="zh-CN"/>
              </w:rPr>
              <w:t>3374.4</w:t>
            </w:r>
            <w:r>
              <w:rPr>
                <w:rFonts w:hint="default" w:ascii="Times New Roman" w:hAnsi="Times New Roman" w:eastAsia="宋体" w:cs="Times New Roman"/>
                <w:color w:val="auto"/>
                <w:sz w:val="24"/>
                <w:szCs w:val="22"/>
                <w:u w:val="none" w:color="auto"/>
              </w:rPr>
              <w:t>m</w:t>
            </w:r>
            <w:r>
              <w:rPr>
                <w:rFonts w:hint="default" w:ascii="Times New Roman" w:hAnsi="Times New Roman" w:eastAsia="宋体" w:cs="Times New Roman"/>
                <w:color w:val="auto"/>
                <w:sz w:val="24"/>
                <w:szCs w:val="22"/>
                <w:u w:val="none" w:color="auto"/>
                <w:vertAlign w:val="superscript"/>
              </w:rPr>
              <w:t>3</w:t>
            </w:r>
            <w:r>
              <w:rPr>
                <w:rFonts w:hint="default" w:ascii="Times New Roman" w:hAnsi="Times New Roman" w:eastAsia="宋体" w:cs="Times New Roman"/>
                <w:color w:val="auto"/>
                <w:sz w:val="24"/>
                <w:szCs w:val="24"/>
                <w:u w:val="none" w:color="auto"/>
              </w:rPr>
              <w:t>/a。</w:t>
            </w:r>
          </w:p>
          <w:p w14:paraId="767428A9">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bCs w:val="0"/>
                <w:color w:val="auto"/>
                <w:sz w:val="24"/>
                <w:highlight w:val="none"/>
                <w:u w:val="none" w:color="auto"/>
                <w:lang w:val="en-US" w:eastAsia="zh-CN"/>
              </w:rPr>
            </w:pPr>
            <w:r>
              <w:rPr>
                <w:rFonts w:hint="default" w:ascii="Times New Roman" w:hAnsi="Times New Roman" w:eastAsia="宋体" w:cs="Times New Roman"/>
                <w:b/>
                <w:bCs w:val="0"/>
                <w:color w:val="auto"/>
                <w:sz w:val="24"/>
                <w:highlight w:val="none"/>
                <w:u w:val="none" w:color="auto"/>
                <w:lang w:val="en-US" w:eastAsia="zh-CN"/>
              </w:rPr>
              <w:t>（2）高压清洗工艺用水</w:t>
            </w:r>
          </w:p>
          <w:p w14:paraId="213DE5C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auto"/>
                <w:sz w:val="24"/>
                <w:highlight w:val="none"/>
                <w:u w:val="none" w:color="auto"/>
                <w:lang w:val="en-US" w:eastAsia="zh-CN"/>
              </w:rPr>
            </w:pPr>
            <w:r>
              <w:rPr>
                <w:rFonts w:hint="default" w:ascii="Times New Roman" w:hAnsi="Times New Roman" w:eastAsia="宋体" w:cs="Times New Roman"/>
                <w:bCs/>
                <w:color w:val="auto"/>
                <w:sz w:val="24"/>
                <w:highlight w:val="none"/>
                <w:u w:val="none" w:color="auto"/>
                <w:lang w:val="en-US" w:eastAsia="zh-CN"/>
              </w:rPr>
              <w:t>根据建设单位提供资料，机加件在经过CNC粗/精加工后的铝合金后箱体再通过智能机器人清洗系统高压清洗，清洗用水添加清洗剂，清洗剂与水配比比例为1:80，本项目拟使用25t/a清洗剂，则预计需水量为2000t/a（6.667t/d），该部分用水通过配套的恒温水槽在当日循环使用。</w:t>
            </w:r>
          </w:p>
          <w:p w14:paraId="6086AAD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auto"/>
                <w:sz w:val="24"/>
                <w:highlight w:val="none"/>
                <w:u w:val="none" w:color="auto"/>
                <w:lang w:val="en-US" w:eastAsia="zh-CN"/>
              </w:rPr>
            </w:pPr>
            <w:r>
              <w:rPr>
                <w:rFonts w:hint="default" w:ascii="Times New Roman" w:hAnsi="Times New Roman" w:eastAsia="宋体" w:cs="Times New Roman"/>
                <w:bCs/>
                <w:color w:val="auto"/>
                <w:sz w:val="24"/>
                <w:highlight w:val="none"/>
                <w:u w:val="none" w:color="auto"/>
                <w:lang w:val="en-US" w:eastAsia="zh-CN"/>
              </w:rPr>
              <w:t>为确保高压清洗设备正常运行及清洗效果，拟每天将恒温水槽的水进行更换，重新配置清洗用水，其产污系数按0.85计，则排水量为1700t/a（5.667t/d）。</w:t>
            </w:r>
          </w:p>
          <w:p w14:paraId="4DFBBAE7">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bCs w:val="0"/>
                <w:color w:val="auto"/>
                <w:sz w:val="24"/>
                <w:highlight w:val="none"/>
                <w:u w:val="none" w:color="auto"/>
                <w:lang w:val="en-US" w:eastAsia="zh-CN"/>
              </w:rPr>
            </w:pPr>
            <w:r>
              <w:rPr>
                <w:rFonts w:hint="default" w:ascii="Times New Roman" w:hAnsi="Times New Roman" w:eastAsia="宋体" w:cs="Times New Roman"/>
                <w:b/>
                <w:bCs w:val="0"/>
                <w:color w:val="auto"/>
                <w:sz w:val="24"/>
                <w:highlight w:val="none"/>
                <w:u w:val="none" w:color="auto"/>
                <w:lang w:val="en-US" w:eastAsia="zh-CN"/>
              </w:rPr>
              <w:t>（3）浸渗工艺用水</w:t>
            </w:r>
          </w:p>
          <w:p w14:paraId="19C2FD3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auto"/>
                <w:sz w:val="24"/>
                <w:highlight w:val="none"/>
                <w:u w:val="none" w:color="auto"/>
                <w:lang w:val="en-US" w:eastAsia="zh-CN"/>
              </w:rPr>
            </w:pPr>
            <w:r>
              <w:rPr>
                <w:rFonts w:hint="default" w:ascii="Times New Roman" w:hAnsi="Times New Roman" w:eastAsia="宋体" w:cs="Times New Roman"/>
                <w:bCs/>
                <w:color w:val="auto"/>
                <w:sz w:val="24"/>
                <w:highlight w:val="none"/>
                <w:u w:val="none" w:color="auto"/>
                <w:lang w:val="en-US" w:eastAsia="zh-CN"/>
              </w:rPr>
              <w:t>根据建设单位提供资料，浸渗工艺用水环节主要分布在喷淋清洗、喷淋漂洗和热水固化三个罐体中。</w:t>
            </w:r>
          </w:p>
          <w:p w14:paraId="3FD25D3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auto"/>
                <w:sz w:val="24"/>
                <w:highlight w:val="none"/>
                <w:u w:val="none" w:color="auto"/>
                <w:lang w:val="en-US" w:eastAsia="zh-CN"/>
              </w:rPr>
            </w:pPr>
            <w:r>
              <w:rPr>
                <w:rFonts w:hint="default" w:ascii="Times New Roman" w:hAnsi="Times New Roman" w:eastAsia="宋体" w:cs="Times New Roman"/>
                <w:bCs/>
                <w:color w:val="auto"/>
                <w:sz w:val="24"/>
                <w:highlight w:val="none"/>
                <w:u w:val="none" w:color="auto"/>
                <w:lang w:val="en-US" w:eastAsia="zh-CN"/>
              </w:rPr>
              <w:t>喷淋清洗罐：在甩胶工序完成后，工件框被送入喷淋清洗罐中，使用清水喷淋冲洗工件表面残留的浸渗液。清洗后的废水经粗过滤装置（过滤＞φ2mm杂质）回流至下水箱，过滤后的水可重新泵入上水箱，用于新一轮喷淋清洗。该部分循环用水量约为2m</w:t>
            </w:r>
            <w:r>
              <w:rPr>
                <w:rFonts w:hint="default" w:ascii="Times New Roman" w:hAnsi="Times New Roman" w:eastAsia="宋体" w:cs="Times New Roman"/>
                <w:bCs/>
                <w:color w:val="auto"/>
                <w:sz w:val="24"/>
                <w:highlight w:val="none"/>
                <w:u w:val="none" w:color="auto"/>
                <w:vertAlign w:val="superscript"/>
                <w:lang w:val="en-US" w:eastAsia="zh-CN"/>
              </w:rPr>
              <w:t>3</w:t>
            </w:r>
            <w:r>
              <w:rPr>
                <w:rFonts w:hint="default" w:ascii="Times New Roman" w:hAnsi="Times New Roman" w:eastAsia="宋体" w:cs="Times New Roman"/>
                <w:bCs/>
                <w:color w:val="auto"/>
                <w:sz w:val="24"/>
                <w:highlight w:val="none"/>
                <w:u w:val="none" w:color="auto"/>
                <w:lang w:val="en-US" w:eastAsia="zh-CN"/>
              </w:rPr>
              <w:t>/h</w:t>
            </w:r>
            <w:r>
              <w:rPr>
                <w:rFonts w:hint="default" w:ascii="Times New Roman" w:hAnsi="Times New Roman" w:eastAsia="宋体" w:cs="Times New Roman"/>
                <w:color w:val="auto"/>
                <w:sz w:val="24"/>
                <w:szCs w:val="24"/>
                <w:u w:val="none" w:color="auto"/>
                <w:lang w:eastAsia="zh-CN"/>
              </w:rPr>
              <w:t>。</w:t>
            </w:r>
          </w:p>
          <w:p w14:paraId="29E649F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auto"/>
                <w:sz w:val="24"/>
                <w:highlight w:val="none"/>
                <w:u w:val="none" w:color="auto"/>
                <w:lang w:val="en-US" w:eastAsia="zh-CN"/>
              </w:rPr>
            </w:pPr>
            <w:r>
              <w:rPr>
                <w:rFonts w:hint="default" w:ascii="Times New Roman" w:hAnsi="Times New Roman" w:eastAsia="宋体" w:cs="Times New Roman"/>
                <w:bCs/>
                <w:color w:val="auto"/>
                <w:sz w:val="24"/>
                <w:highlight w:val="none"/>
                <w:u w:val="none" w:color="auto"/>
                <w:lang w:val="en-US" w:eastAsia="zh-CN"/>
              </w:rPr>
              <w:t>喷淋漂洗罐：喷淋清洗完成后，工件框旋转90°进入喷淋漂洗罐，进行二次冲洗和半浸泡漂洗。清洗结束后排空上水箱的水至下水箱（经粗过滤），下水箱的水可通过管道泵重新供给上水箱，实现闭路循环。该部分循环用水量约为2m</w:t>
            </w:r>
            <w:r>
              <w:rPr>
                <w:rFonts w:hint="default" w:ascii="Times New Roman" w:hAnsi="Times New Roman" w:eastAsia="宋体" w:cs="Times New Roman"/>
                <w:bCs/>
                <w:color w:val="auto"/>
                <w:sz w:val="24"/>
                <w:highlight w:val="none"/>
                <w:u w:val="none" w:color="auto"/>
                <w:vertAlign w:val="superscript"/>
                <w:lang w:val="en-US" w:eastAsia="zh-CN"/>
              </w:rPr>
              <w:t>3</w:t>
            </w:r>
            <w:r>
              <w:rPr>
                <w:rFonts w:hint="default" w:ascii="Times New Roman" w:hAnsi="Times New Roman" w:eastAsia="宋体" w:cs="Times New Roman"/>
                <w:bCs/>
                <w:color w:val="auto"/>
                <w:sz w:val="24"/>
                <w:highlight w:val="none"/>
                <w:u w:val="none" w:color="auto"/>
                <w:lang w:val="en-US" w:eastAsia="zh-CN"/>
              </w:rPr>
              <w:t>/h。</w:t>
            </w:r>
          </w:p>
          <w:p w14:paraId="7C66630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auto"/>
                <w:sz w:val="24"/>
                <w:highlight w:val="none"/>
                <w:u w:val="none" w:color="auto"/>
                <w:lang w:val="en-US" w:eastAsia="zh-CN"/>
              </w:rPr>
            </w:pPr>
            <w:r>
              <w:rPr>
                <w:rFonts w:hint="default" w:ascii="Times New Roman" w:hAnsi="Times New Roman" w:eastAsia="宋体" w:cs="Times New Roman"/>
                <w:bCs/>
                <w:color w:val="auto"/>
                <w:sz w:val="24"/>
                <w:highlight w:val="none"/>
                <w:u w:val="none" w:color="auto"/>
                <w:lang w:val="en-US" w:eastAsia="zh-CN"/>
              </w:rPr>
              <w:t>热水固化罐：漂洗后工件框吊入热水固化罐，使用热水（90-95°C）浸泡工件，使浸渗液在缺陷内固化。排水时通过袋式过滤器（精度15-25μm）回流至下水箱，经加热后重新泵入上水箱循环使用。该部分用水量约为1m</w:t>
            </w:r>
            <w:r>
              <w:rPr>
                <w:rFonts w:hint="default" w:ascii="Times New Roman" w:hAnsi="Times New Roman" w:eastAsia="宋体" w:cs="Times New Roman"/>
                <w:bCs/>
                <w:color w:val="auto"/>
                <w:sz w:val="24"/>
                <w:highlight w:val="none"/>
                <w:u w:val="none" w:color="auto"/>
                <w:vertAlign w:val="superscript"/>
                <w:lang w:val="en-US" w:eastAsia="zh-CN"/>
              </w:rPr>
              <w:t>3</w:t>
            </w:r>
            <w:r>
              <w:rPr>
                <w:rFonts w:hint="default" w:ascii="Times New Roman" w:hAnsi="Times New Roman" w:eastAsia="宋体" w:cs="Times New Roman"/>
                <w:bCs/>
                <w:color w:val="auto"/>
                <w:sz w:val="24"/>
                <w:highlight w:val="none"/>
                <w:u w:val="none" w:color="auto"/>
                <w:lang w:val="en-US" w:eastAsia="zh-CN"/>
              </w:rPr>
              <w:t>/h。</w:t>
            </w:r>
          </w:p>
          <w:p w14:paraId="7B0ADF9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auto"/>
                <w:sz w:val="24"/>
                <w:highlight w:val="none"/>
                <w:u w:val="none" w:color="auto"/>
                <w:lang w:val="en-US" w:eastAsia="zh-CN"/>
              </w:rPr>
            </w:pPr>
            <w:r>
              <w:rPr>
                <w:rFonts w:hint="default" w:ascii="Times New Roman" w:hAnsi="Times New Roman" w:eastAsia="宋体" w:cs="Times New Roman"/>
                <w:bCs/>
                <w:color w:val="auto"/>
                <w:sz w:val="24"/>
                <w:highlight w:val="none"/>
                <w:u w:val="none" w:color="auto"/>
                <w:lang w:val="en-US" w:eastAsia="zh-CN"/>
              </w:rPr>
              <w:t>上述浸渗工艺循环用水量为5m</w:t>
            </w:r>
            <w:r>
              <w:rPr>
                <w:rFonts w:hint="default" w:ascii="Times New Roman" w:hAnsi="Times New Roman" w:eastAsia="宋体" w:cs="Times New Roman"/>
                <w:bCs/>
                <w:color w:val="auto"/>
                <w:sz w:val="24"/>
                <w:highlight w:val="none"/>
                <w:u w:val="none" w:color="auto"/>
                <w:vertAlign w:val="superscript"/>
                <w:lang w:val="en-US" w:eastAsia="zh-CN"/>
              </w:rPr>
              <w:t>3</w:t>
            </w:r>
            <w:r>
              <w:rPr>
                <w:rFonts w:hint="default" w:ascii="Times New Roman" w:hAnsi="Times New Roman" w:eastAsia="宋体" w:cs="Times New Roman"/>
                <w:bCs/>
                <w:color w:val="auto"/>
                <w:sz w:val="24"/>
                <w:highlight w:val="none"/>
                <w:u w:val="none" w:color="auto"/>
                <w:lang w:val="en-US" w:eastAsia="zh-CN"/>
              </w:rPr>
              <w:t>/h，由于各类用水均处于封闭式罐体内，设计补水量约为循环水量的1~5%（本次均值3%计），则补充水量为0.15m</w:t>
            </w:r>
            <w:r>
              <w:rPr>
                <w:rFonts w:hint="default" w:ascii="Times New Roman" w:hAnsi="Times New Roman" w:eastAsia="宋体" w:cs="Times New Roman"/>
                <w:bCs/>
                <w:color w:val="auto"/>
                <w:sz w:val="24"/>
                <w:highlight w:val="none"/>
                <w:u w:val="none" w:color="auto"/>
                <w:vertAlign w:val="superscript"/>
                <w:lang w:val="en-US" w:eastAsia="zh-CN"/>
              </w:rPr>
              <w:t>3</w:t>
            </w:r>
            <w:r>
              <w:rPr>
                <w:rFonts w:hint="default" w:ascii="Times New Roman" w:hAnsi="Times New Roman" w:eastAsia="宋体" w:cs="Times New Roman"/>
                <w:bCs/>
                <w:color w:val="auto"/>
                <w:sz w:val="24"/>
                <w:highlight w:val="none"/>
                <w:u w:val="none" w:color="auto"/>
                <w:lang w:val="en-US" w:eastAsia="zh-CN"/>
              </w:rPr>
              <w:t>/h</w:t>
            </w:r>
            <w:r>
              <w:rPr>
                <w:rFonts w:hint="default" w:ascii="Times New Roman" w:hAnsi="Times New Roman" w:eastAsia="宋体" w:cs="Times New Roman"/>
                <w:color w:val="auto"/>
                <w:sz w:val="24"/>
                <w:szCs w:val="24"/>
                <w:u w:val="none" w:color="auto"/>
                <w:lang w:eastAsia="zh-CN"/>
              </w:rPr>
              <w:t>。</w:t>
            </w:r>
            <w:r>
              <w:rPr>
                <w:rFonts w:hint="default" w:ascii="Times New Roman" w:hAnsi="Times New Roman" w:eastAsia="宋体" w:cs="Times New Roman"/>
                <w:color w:val="auto"/>
                <w:sz w:val="24"/>
                <w:szCs w:val="24"/>
                <w:u w:val="none" w:color="auto"/>
                <w:lang w:val="en-US" w:eastAsia="zh-CN"/>
              </w:rPr>
              <w:t>因浸渗工艺仅用于修补极轻微不合格品，且该修补量需控制在10%的产能以下，否则需对整体生产线进行停产检修，因此本次浸渗工艺循环用水补充水生产时间1577.5h计，则年循环水量为7887.5</w:t>
            </w:r>
            <w:r>
              <w:rPr>
                <w:rFonts w:hint="default" w:ascii="Times New Roman" w:hAnsi="Times New Roman" w:eastAsia="宋体" w:cs="Times New Roman"/>
                <w:color w:val="auto"/>
                <w:sz w:val="24"/>
                <w:szCs w:val="22"/>
                <w:u w:val="none" w:color="auto"/>
              </w:rPr>
              <w:t>m</w:t>
            </w:r>
            <w:r>
              <w:rPr>
                <w:rFonts w:hint="default" w:ascii="Times New Roman" w:hAnsi="Times New Roman" w:eastAsia="宋体" w:cs="Times New Roman"/>
                <w:color w:val="auto"/>
                <w:sz w:val="24"/>
                <w:szCs w:val="22"/>
                <w:u w:val="none" w:color="auto"/>
                <w:vertAlign w:val="superscript"/>
              </w:rPr>
              <w:t>3</w:t>
            </w:r>
            <w:r>
              <w:rPr>
                <w:rFonts w:hint="default" w:ascii="Times New Roman" w:hAnsi="Times New Roman" w:eastAsia="宋体" w:cs="Times New Roman"/>
                <w:color w:val="auto"/>
                <w:sz w:val="24"/>
                <w:szCs w:val="24"/>
                <w:u w:val="none" w:color="auto"/>
              </w:rPr>
              <w:t>/a</w:t>
            </w:r>
            <w:r>
              <w:rPr>
                <w:rFonts w:hint="default" w:ascii="Times New Roman" w:hAnsi="Times New Roman" w:eastAsia="宋体" w:cs="Times New Roman"/>
                <w:color w:val="auto"/>
                <w:sz w:val="24"/>
                <w:szCs w:val="24"/>
                <w:u w:val="none" w:color="auto"/>
                <w:lang w:val="en-US" w:eastAsia="zh-CN"/>
              </w:rPr>
              <w:t>、年补充水量约为236.625</w:t>
            </w:r>
            <w:r>
              <w:rPr>
                <w:rFonts w:hint="default" w:ascii="Times New Roman" w:hAnsi="Times New Roman" w:eastAsia="宋体" w:cs="Times New Roman"/>
                <w:color w:val="auto"/>
                <w:sz w:val="24"/>
                <w:szCs w:val="22"/>
                <w:u w:val="none" w:color="auto"/>
              </w:rPr>
              <w:t>m</w:t>
            </w:r>
            <w:r>
              <w:rPr>
                <w:rFonts w:hint="default" w:ascii="Times New Roman" w:hAnsi="Times New Roman" w:eastAsia="宋体" w:cs="Times New Roman"/>
                <w:color w:val="auto"/>
                <w:sz w:val="24"/>
                <w:szCs w:val="22"/>
                <w:u w:val="none" w:color="auto"/>
                <w:vertAlign w:val="superscript"/>
              </w:rPr>
              <w:t>3</w:t>
            </w:r>
            <w:r>
              <w:rPr>
                <w:rFonts w:hint="default" w:ascii="Times New Roman" w:hAnsi="Times New Roman" w:eastAsia="宋体" w:cs="Times New Roman"/>
                <w:color w:val="auto"/>
                <w:sz w:val="24"/>
                <w:szCs w:val="24"/>
                <w:u w:val="none" w:color="auto"/>
              </w:rPr>
              <w:t>/a</w:t>
            </w:r>
            <w:r>
              <w:rPr>
                <w:rFonts w:hint="default" w:ascii="Times New Roman" w:hAnsi="Times New Roman" w:eastAsia="宋体" w:cs="Times New Roman"/>
                <w:color w:val="auto"/>
                <w:sz w:val="24"/>
                <w:szCs w:val="24"/>
                <w:u w:val="none" w:color="auto"/>
                <w:lang w:eastAsia="zh-CN"/>
              </w:rPr>
              <w:t>。</w:t>
            </w:r>
          </w:p>
          <w:p w14:paraId="25C9721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u w:val="none" w:color="auto"/>
                <w:lang w:eastAsia="zh-CN"/>
              </w:rPr>
            </w:pPr>
            <w:r>
              <w:rPr>
                <w:rFonts w:hint="default" w:ascii="Times New Roman" w:hAnsi="Times New Roman" w:eastAsia="宋体" w:cs="Times New Roman"/>
                <w:bCs/>
                <w:color w:val="auto"/>
                <w:sz w:val="24"/>
                <w:highlight w:val="none"/>
                <w:u w:val="none" w:color="auto"/>
                <w:lang w:val="en-US" w:eastAsia="zh-CN"/>
              </w:rPr>
              <w:t>在循环达到一定次数后需将循环清洗水进行排空处理，排放周期为1次/3d（30次/a），根据设备参数，项目运行时最大用水在线量为5m</w:t>
            </w:r>
            <w:r>
              <w:rPr>
                <w:rFonts w:hint="default" w:ascii="Times New Roman" w:hAnsi="Times New Roman" w:eastAsia="宋体" w:cs="Times New Roman"/>
                <w:bCs/>
                <w:color w:val="auto"/>
                <w:sz w:val="24"/>
                <w:highlight w:val="none"/>
                <w:u w:val="none" w:color="auto"/>
                <w:vertAlign w:val="superscript"/>
                <w:lang w:val="en-US" w:eastAsia="zh-CN"/>
              </w:rPr>
              <w:t>3</w:t>
            </w:r>
            <w:r>
              <w:rPr>
                <w:rFonts w:hint="default" w:ascii="Times New Roman" w:hAnsi="Times New Roman" w:eastAsia="宋体" w:cs="Times New Roman"/>
                <w:bCs/>
                <w:color w:val="auto"/>
                <w:sz w:val="24"/>
                <w:highlight w:val="none"/>
                <w:u w:val="none" w:color="auto"/>
                <w:lang w:val="en-US" w:eastAsia="zh-CN"/>
              </w:rPr>
              <w:t>，则废水排放量约为150</w:t>
            </w:r>
            <w:r>
              <w:rPr>
                <w:rFonts w:hint="default" w:ascii="Times New Roman" w:hAnsi="Times New Roman" w:eastAsia="宋体" w:cs="Times New Roman"/>
                <w:color w:val="auto"/>
                <w:sz w:val="24"/>
                <w:szCs w:val="22"/>
                <w:u w:val="none" w:color="auto"/>
              </w:rPr>
              <w:t>m</w:t>
            </w:r>
            <w:r>
              <w:rPr>
                <w:rFonts w:hint="default" w:ascii="Times New Roman" w:hAnsi="Times New Roman" w:eastAsia="宋体" w:cs="Times New Roman"/>
                <w:color w:val="auto"/>
                <w:sz w:val="24"/>
                <w:szCs w:val="22"/>
                <w:u w:val="none" w:color="auto"/>
                <w:vertAlign w:val="superscript"/>
              </w:rPr>
              <w:t>3</w:t>
            </w:r>
            <w:r>
              <w:rPr>
                <w:rFonts w:hint="default" w:ascii="Times New Roman" w:hAnsi="Times New Roman" w:eastAsia="宋体" w:cs="Times New Roman"/>
                <w:color w:val="auto"/>
                <w:sz w:val="24"/>
                <w:szCs w:val="24"/>
                <w:u w:val="none" w:color="auto"/>
              </w:rPr>
              <w:t>/a</w:t>
            </w:r>
            <w:r>
              <w:rPr>
                <w:rFonts w:hint="default" w:ascii="Times New Roman" w:hAnsi="Times New Roman" w:eastAsia="宋体" w:cs="Times New Roman"/>
                <w:color w:val="auto"/>
                <w:sz w:val="24"/>
                <w:szCs w:val="24"/>
                <w:u w:val="none" w:color="auto"/>
                <w:lang w:eastAsia="zh-CN"/>
              </w:rPr>
              <w:t>。</w:t>
            </w:r>
          </w:p>
          <w:p w14:paraId="4928765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u w:val="none" w:color="auto"/>
                <w:lang w:val="en-US" w:eastAsia="zh-CN"/>
              </w:rPr>
            </w:pPr>
            <w:r>
              <w:rPr>
                <w:rFonts w:hint="default" w:ascii="Times New Roman" w:hAnsi="Times New Roman" w:eastAsia="宋体" w:cs="Times New Roman"/>
                <w:color w:val="auto"/>
                <w:sz w:val="24"/>
                <w:szCs w:val="24"/>
                <w:u w:val="none" w:color="auto"/>
                <w:lang w:val="en-US" w:eastAsia="zh-CN"/>
              </w:rPr>
              <w:t>根据上述分析，浸渗工艺补充水量为386.625</w:t>
            </w:r>
            <w:r>
              <w:rPr>
                <w:rFonts w:hint="default" w:ascii="Times New Roman" w:hAnsi="Times New Roman" w:eastAsia="宋体" w:cs="Times New Roman"/>
                <w:color w:val="auto"/>
                <w:sz w:val="24"/>
                <w:szCs w:val="22"/>
                <w:u w:val="none" w:color="auto"/>
              </w:rPr>
              <w:t>m</w:t>
            </w:r>
            <w:r>
              <w:rPr>
                <w:rFonts w:hint="default" w:ascii="Times New Roman" w:hAnsi="Times New Roman" w:eastAsia="宋体" w:cs="Times New Roman"/>
                <w:color w:val="auto"/>
                <w:sz w:val="24"/>
                <w:szCs w:val="22"/>
                <w:u w:val="none" w:color="auto"/>
                <w:vertAlign w:val="superscript"/>
              </w:rPr>
              <w:t>3</w:t>
            </w:r>
            <w:r>
              <w:rPr>
                <w:rFonts w:hint="default" w:ascii="Times New Roman" w:hAnsi="Times New Roman" w:eastAsia="宋体" w:cs="Times New Roman"/>
                <w:color w:val="auto"/>
                <w:sz w:val="24"/>
                <w:szCs w:val="24"/>
                <w:u w:val="none" w:color="auto"/>
              </w:rPr>
              <w:t>/a</w:t>
            </w:r>
            <w:r>
              <w:rPr>
                <w:rFonts w:hint="default" w:ascii="Times New Roman" w:hAnsi="Times New Roman" w:eastAsia="宋体" w:cs="Times New Roman"/>
                <w:color w:val="auto"/>
                <w:sz w:val="24"/>
                <w:szCs w:val="24"/>
                <w:u w:val="none" w:color="auto"/>
                <w:lang w:val="en-US" w:eastAsia="zh-CN"/>
              </w:rPr>
              <w:t>，废水排放量为150</w:t>
            </w:r>
            <w:r>
              <w:rPr>
                <w:rFonts w:hint="default" w:ascii="Times New Roman" w:hAnsi="Times New Roman" w:eastAsia="宋体" w:cs="Times New Roman"/>
                <w:color w:val="auto"/>
                <w:sz w:val="24"/>
                <w:szCs w:val="22"/>
                <w:u w:val="none" w:color="auto"/>
              </w:rPr>
              <w:t>m</w:t>
            </w:r>
            <w:r>
              <w:rPr>
                <w:rFonts w:hint="default" w:ascii="Times New Roman" w:hAnsi="Times New Roman" w:eastAsia="宋体" w:cs="Times New Roman"/>
                <w:color w:val="auto"/>
                <w:sz w:val="24"/>
                <w:szCs w:val="22"/>
                <w:u w:val="none" w:color="auto"/>
                <w:vertAlign w:val="superscript"/>
              </w:rPr>
              <w:t>3</w:t>
            </w:r>
            <w:r>
              <w:rPr>
                <w:rFonts w:hint="default" w:ascii="Times New Roman" w:hAnsi="Times New Roman" w:eastAsia="宋体" w:cs="Times New Roman"/>
                <w:color w:val="auto"/>
                <w:sz w:val="24"/>
                <w:szCs w:val="24"/>
                <w:u w:val="none" w:color="auto"/>
              </w:rPr>
              <w:t>/a</w:t>
            </w:r>
            <w:r>
              <w:rPr>
                <w:rFonts w:hint="default" w:ascii="Times New Roman" w:hAnsi="Times New Roman" w:eastAsia="宋体" w:cs="Times New Roman"/>
                <w:color w:val="auto"/>
                <w:sz w:val="24"/>
                <w:szCs w:val="24"/>
                <w:u w:val="none" w:color="auto"/>
                <w:lang w:eastAsia="zh-CN"/>
              </w:rPr>
              <w:t>。</w:t>
            </w:r>
          </w:p>
          <w:p w14:paraId="6571673C">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bCs w:val="0"/>
                <w:color w:val="auto"/>
                <w:sz w:val="24"/>
                <w:highlight w:val="none"/>
                <w:u w:val="none" w:color="auto"/>
                <w:lang w:val="en-US" w:eastAsia="zh-CN"/>
              </w:rPr>
            </w:pPr>
            <w:r>
              <w:rPr>
                <w:rFonts w:hint="default" w:ascii="Times New Roman" w:hAnsi="Times New Roman" w:eastAsia="宋体" w:cs="Times New Roman"/>
                <w:b/>
                <w:bCs w:val="0"/>
                <w:color w:val="auto"/>
                <w:sz w:val="24"/>
                <w:highlight w:val="none"/>
                <w:u w:val="none" w:color="auto"/>
                <w:lang w:val="en-US" w:eastAsia="zh-CN"/>
              </w:rPr>
              <w:t>（4）水平衡</w:t>
            </w:r>
          </w:p>
          <w:p w14:paraId="7EEBECA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auto"/>
                <w:sz w:val="24"/>
                <w:highlight w:val="none"/>
                <w:u w:val="none" w:color="auto"/>
                <w:lang w:val="en-US" w:eastAsia="zh-CN"/>
              </w:rPr>
            </w:pPr>
            <w:r>
              <w:rPr>
                <w:rFonts w:hint="default" w:ascii="Times New Roman" w:hAnsi="Times New Roman" w:eastAsia="宋体" w:cs="Times New Roman"/>
                <w:bCs/>
                <w:color w:val="auto"/>
                <w:sz w:val="24"/>
                <w:highlight w:val="none"/>
                <w:u w:val="none" w:color="auto"/>
                <w:lang w:val="en-US" w:eastAsia="zh-CN"/>
              </w:rPr>
              <w:t>根据上述分析，本项目临港高新产业园区水平衡如下：</w:t>
            </w:r>
          </w:p>
          <w:p w14:paraId="565998F9">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color w:val="auto"/>
                <w:sz w:val="24"/>
                <w:szCs w:val="24"/>
                <w:u w:val="none" w:color="auto"/>
                <w:lang w:val="en-US" w:eastAsia="zh-CN"/>
              </w:rPr>
            </w:pPr>
            <w:r>
              <w:rPr>
                <w:rFonts w:hint="default" w:ascii="Times New Roman" w:hAnsi="Times New Roman" w:eastAsia="宋体" w:cs="Times New Roman"/>
                <w:color w:val="auto"/>
                <w:sz w:val="24"/>
                <w:szCs w:val="24"/>
                <w:u w:val="none" w:color="auto"/>
                <w:lang w:val="en-US" w:eastAsia="zh-CN"/>
              </w:rPr>
              <w:object>
                <v:shape id="_x0000_i1026" o:spt="75" type="#_x0000_t75" style="height:171.55pt;width:425.15pt;" o:ole="t" filled="f" o:preferrelative="t" stroked="f" coordsize="21600,21600">
                  <v:path/>
                  <v:fill on="f" focussize="0,0"/>
                  <v:stroke on="f"/>
                  <v:imagedata r:id="rId23" o:title=""/>
                  <o:lock v:ext="edit" aspectratio="f"/>
                  <w10:wrap type="none"/>
                  <w10:anchorlock/>
                </v:shape>
                <o:OLEObject Type="Embed" ProgID="Visio.Drawing.11" ShapeID="_x0000_i1026" DrawAspect="Content" ObjectID="_1468075726" r:id="rId22">
                  <o:LockedField>false</o:LockedField>
                </o:OLEObject>
              </w:object>
            </w:r>
          </w:p>
          <w:p w14:paraId="26E79567">
            <w:pPr>
              <w:jc w:val="center"/>
              <w:rPr>
                <w:rFonts w:hint="default" w:ascii="Times New Roman" w:hAnsi="Times New Roman" w:eastAsia="宋体" w:cs="Times New Roman"/>
                <w:b/>
                <w:bCs/>
                <w:color w:val="auto"/>
                <w:u w:val="none" w:color="auto"/>
                <w:lang w:val="en-US" w:eastAsia="zh-CN"/>
              </w:rPr>
            </w:pPr>
            <w:r>
              <w:rPr>
                <w:rFonts w:hint="default" w:ascii="Times New Roman" w:hAnsi="Times New Roman" w:eastAsia="宋体" w:cs="Times New Roman"/>
                <w:b/>
                <w:bCs/>
                <w:color w:val="auto"/>
                <w:u w:val="none" w:color="auto"/>
                <w:lang w:val="en-US" w:eastAsia="zh-CN"/>
              </w:rPr>
              <w:t>图2-2  临港高新产业园区水平衡图  单位：m</w:t>
            </w:r>
            <w:r>
              <w:rPr>
                <w:rFonts w:hint="default" w:ascii="Times New Roman" w:hAnsi="Times New Roman" w:eastAsia="宋体" w:cs="Times New Roman"/>
                <w:b/>
                <w:bCs/>
                <w:color w:val="auto"/>
                <w:u w:val="none" w:color="auto"/>
                <w:vertAlign w:val="superscript"/>
                <w:lang w:val="en-US" w:eastAsia="zh-CN"/>
              </w:rPr>
              <w:t>3</w:t>
            </w:r>
            <w:r>
              <w:rPr>
                <w:rFonts w:hint="default" w:ascii="Times New Roman" w:hAnsi="Times New Roman" w:eastAsia="宋体" w:cs="Times New Roman"/>
                <w:b/>
                <w:bCs/>
                <w:color w:val="auto"/>
                <w:u w:val="none" w:color="auto"/>
                <w:lang w:val="en-US" w:eastAsia="zh-CN"/>
              </w:rPr>
              <w:t>/a</w:t>
            </w:r>
          </w:p>
          <w:p w14:paraId="5F11C57B">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bCs w:val="0"/>
                <w:color w:val="auto"/>
                <w:sz w:val="24"/>
                <w:highlight w:val="none"/>
                <w:u w:val="none" w:color="auto"/>
                <w:lang w:val="en-US" w:eastAsia="zh-CN"/>
              </w:rPr>
            </w:pPr>
            <w:r>
              <w:rPr>
                <w:rFonts w:hint="default" w:ascii="Times New Roman" w:hAnsi="Times New Roman" w:eastAsia="宋体" w:cs="Times New Roman"/>
                <w:b/>
                <w:bCs w:val="0"/>
                <w:color w:val="auto"/>
                <w:sz w:val="24"/>
                <w:highlight w:val="none"/>
                <w:u w:val="none" w:color="auto"/>
                <w:lang w:val="en-US" w:eastAsia="zh-CN"/>
              </w:rPr>
              <w:t>8、公用工程</w:t>
            </w:r>
          </w:p>
          <w:p w14:paraId="040192E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auto"/>
                <w:sz w:val="24"/>
                <w:highlight w:val="none"/>
                <w:u w:val="none" w:color="auto"/>
              </w:rPr>
            </w:pPr>
            <w:r>
              <w:rPr>
                <w:rFonts w:hint="default" w:ascii="Times New Roman" w:hAnsi="Times New Roman" w:eastAsia="宋体" w:cs="Times New Roman"/>
                <w:bCs/>
                <w:color w:val="auto"/>
                <w:sz w:val="24"/>
                <w:highlight w:val="none"/>
                <w:u w:val="none" w:color="auto"/>
              </w:rPr>
              <w:t>（</w:t>
            </w:r>
            <w:r>
              <w:rPr>
                <w:rFonts w:hint="default" w:ascii="Times New Roman" w:hAnsi="Times New Roman" w:eastAsia="宋体" w:cs="Times New Roman"/>
                <w:bCs/>
                <w:color w:val="auto"/>
                <w:sz w:val="24"/>
                <w:highlight w:val="none"/>
                <w:u w:val="none" w:color="auto"/>
                <w:lang w:val="en-US" w:eastAsia="zh-CN"/>
              </w:rPr>
              <w:t>1</w:t>
            </w:r>
            <w:r>
              <w:rPr>
                <w:rFonts w:hint="default" w:ascii="Times New Roman" w:hAnsi="Times New Roman" w:eastAsia="宋体" w:cs="Times New Roman"/>
                <w:bCs/>
                <w:color w:val="auto"/>
                <w:sz w:val="24"/>
                <w:highlight w:val="none"/>
                <w:u w:val="none" w:color="auto"/>
              </w:rPr>
              <w:t>）供电</w:t>
            </w:r>
          </w:p>
          <w:p w14:paraId="4B6CCBD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auto"/>
                <w:sz w:val="24"/>
                <w:highlight w:val="none"/>
                <w:u w:val="none" w:color="auto"/>
              </w:rPr>
            </w:pPr>
            <w:r>
              <w:rPr>
                <w:rFonts w:hint="default" w:ascii="Times New Roman" w:hAnsi="Times New Roman" w:eastAsia="宋体" w:cs="Times New Roman"/>
                <w:bCs/>
                <w:color w:val="auto"/>
                <w:sz w:val="24"/>
                <w:highlight w:val="none"/>
                <w:u w:val="none" w:color="auto"/>
                <w:lang w:val="en-US" w:eastAsia="zh-CN"/>
              </w:rPr>
              <w:t>临港高新产业园区</w:t>
            </w:r>
            <w:r>
              <w:rPr>
                <w:rFonts w:hint="default" w:ascii="Times New Roman" w:hAnsi="Times New Roman" w:eastAsia="宋体" w:cs="Times New Roman"/>
                <w:bCs/>
                <w:color w:val="auto"/>
                <w:sz w:val="24"/>
                <w:highlight w:val="none"/>
                <w:u w:val="none" w:color="auto"/>
              </w:rPr>
              <w:t>每个改造建筑均在内新建变配电房，10kV电力电缆由厂区变电站埋地敷设引至新建的变配电房。中创空天厂区新增变配电房10KV电源引自熔铸二厂已建的10KV站内备用屏，经桥架敷设至变配电房。</w:t>
            </w:r>
          </w:p>
          <w:p w14:paraId="1104260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auto"/>
                <w:sz w:val="24"/>
                <w:highlight w:val="none"/>
                <w:u w:val="none" w:color="auto"/>
                <w:lang w:val="en-US" w:eastAsia="zh-CN"/>
              </w:rPr>
            </w:pPr>
            <w:r>
              <w:rPr>
                <w:rFonts w:hint="default" w:ascii="Times New Roman" w:hAnsi="Times New Roman" w:eastAsia="宋体" w:cs="Times New Roman"/>
                <w:bCs/>
                <w:color w:val="auto"/>
                <w:sz w:val="24"/>
                <w:highlight w:val="none"/>
                <w:u w:val="none" w:color="auto"/>
              </w:rPr>
              <w:t>（</w:t>
            </w:r>
            <w:r>
              <w:rPr>
                <w:rFonts w:hint="default" w:ascii="Times New Roman" w:hAnsi="Times New Roman" w:eastAsia="宋体" w:cs="Times New Roman"/>
                <w:bCs/>
                <w:color w:val="auto"/>
                <w:sz w:val="24"/>
                <w:highlight w:val="none"/>
                <w:u w:val="none" w:color="auto"/>
                <w:lang w:val="en-US" w:eastAsia="zh-CN"/>
              </w:rPr>
              <w:t>2</w:t>
            </w:r>
            <w:r>
              <w:rPr>
                <w:rFonts w:hint="default" w:ascii="Times New Roman" w:hAnsi="Times New Roman" w:eastAsia="宋体" w:cs="Times New Roman"/>
                <w:bCs/>
                <w:color w:val="auto"/>
                <w:sz w:val="24"/>
                <w:highlight w:val="none"/>
                <w:u w:val="none" w:color="auto"/>
              </w:rPr>
              <w:t>）</w:t>
            </w:r>
            <w:r>
              <w:rPr>
                <w:rFonts w:hint="default" w:ascii="Times New Roman" w:hAnsi="Times New Roman" w:eastAsia="宋体" w:cs="Times New Roman"/>
                <w:bCs/>
                <w:color w:val="auto"/>
                <w:sz w:val="24"/>
                <w:highlight w:val="none"/>
                <w:u w:val="none" w:color="auto"/>
                <w:lang w:val="en-US" w:eastAsia="zh-CN"/>
              </w:rPr>
              <w:t>供气</w:t>
            </w:r>
          </w:p>
          <w:p w14:paraId="27D47B2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auto"/>
                <w:sz w:val="24"/>
                <w:highlight w:val="none"/>
                <w:u w:val="none" w:color="auto"/>
              </w:rPr>
            </w:pPr>
            <w:r>
              <w:rPr>
                <w:rFonts w:hint="default" w:ascii="Times New Roman" w:hAnsi="Times New Roman" w:eastAsia="宋体" w:cs="Times New Roman"/>
                <w:bCs/>
                <w:color w:val="auto"/>
                <w:sz w:val="24"/>
                <w:highlight w:val="none"/>
                <w:u w:val="none" w:color="auto"/>
                <w:lang w:val="en-US" w:eastAsia="zh-CN"/>
              </w:rPr>
              <w:t>1）</w:t>
            </w:r>
            <w:r>
              <w:rPr>
                <w:rFonts w:hint="default" w:ascii="Times New Roman" w:hAnsi="Times New Roman" w:eastAsia="宋体" w:cs="Times New Roman"/>
                <w:bCs/>
                <w:color w:val="auto"/>
                <w:sz w:val="24"/>
                <w:highlight w:val="none"/>
                <w:u w:val="none" w:color="auto"/>
              </w:rPr>
              <w:t>压缩空气</w:t>
            </w:r>
          </w:p>
          <w:p w14:paraId="1D8559AB">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Cs/>
                <w:color w:val="auto"/>
                <w:sz w:val="24"/>
                <w:highlight w:val="none"/>
                <w:u w:val="none" w:color="auto"/>
                <w:lang w:eastAsia="zh-CN"/>
              </w:rPr>
            </w:pPr>
            <w:r>
              <w:rPr>
                <w:rFonts w:hint="default" w:ascii="Times New Roman" w:hAnsi="Times New Roman" w:eastAsia="宋体" w:cs="Times New Roman"/>
                <w:b/>
                <w:bCs w:val="0"/>
                <w:color w:val="auto"/>
                <w:sz w:val="24"/>
                <w:highlight w:val="none"/>
                <w:u w:val="none" w:color="auto"/>
              </w:rPr>
              <w:t>中创空天厂区</w:t>
            </w:r>
            <w:r>
              <w:rPr>
                <w:rFonts w:hint="default" w:ascii="Times New Roman" w:hAnsi="Times New Roman" w:eastAsia="宋体" w:cs="Times New Roman"/>
                <w:b/>
                <w:bCs w:val="0"/>
                <w:color w:val="auto"/>
                <w:sz w:val="24"/>
                <w:highlight w:val="none"/>
                <w:u w:val="none" w:color="auto"/>
                <w:lang w:val="en-US" w:eastAsia="zh-CN"/>
              </w:rPr>
              <w:t>：</w:t>
            </w:r>
            <w:r>
              <w:rPr>
                <w:rFonts w:hint="default" w:ascii="Times New Roman" w:hAnsi="Times New Roman" w:eastAsia="宋体" w:cs="Times New Roman"/>
                <w:bCs/>
                <w:color w:val="auto"/>
                <w:sz w:val="24"/>
                <w:highlight w:val="none"/>
                <w:u w:val="none" w:color="auto"/>
              </w:rPr>
              <w:t>熔铸二厂、铝合金熔铸车间所需压缩空气均由中创空天厂区现有空压站集中供应，就近接入厂区压缩空气管网即可</w:t>
            </w:r>
            <w:r>
              <w:rPr>
                <w:rFonts w:hint="default" w:ascii="Times New Roman" w:hAnsi="Times New Roman" w:eastAsia="宋体" w:cs="Times New Roman"/>
                <w:bCs/>
                <w:color w:val="auto"/>
                <w:sz w:val="24"/>
                <w:highlight w:val="none"/>
                <w:u w:val="none" w:color="auto"/>
                <w:lang w:eastAsia="zh-CN"/>
              </w:rPr>
              <w:t>。</w:t>
            </w:r>
          </w:p>
          <w:p w14:paraId="57CB3B62">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color w:val="auto"/>
                <w:u w:val="none" w:color="auto"/>
                <w:lang w:eastAsia="zh-CN"/>
              </w:rPr>
            </w:pPr>
            <w:r>
              <w:rPr>
                <w:rFonts w:hint="default" w:ascii="Times New Roman" w:hAnsi="Times New Roman" w:eastAsia="宋体" w:cs="Times New Roman"/>
                <w:b/>
                <w:bCs w:val="0"/>
                <w:color w:val="auto"/>
                <w:sz w:val="24"/>
                <w:highlight w:val="none"/>
                <w:u w:val="none" w:color="auto"/>
                <w:lang w:val="en-US" w:eastAsia="zh-CN"/>
              </w:rPr>
              <w:t>临港高新产业园区：</w:t>
            </w:r>
            <w:r>
              <w:rPr>
                <w:rFonts w:hint="default" w:ascii="Times New Roman" w:hAnsi="Times New Roman" w:eastAsia="宋体" w:cs="Times New Roman"/>
                <w:bCs/>
                <w:color w:val="auto"/>
                <w:sz w:val="24"/>
                <w:highlight w:val="none"/>
                <w:u w:val="none" w:color="auto"/>
              </w:rPr>
              <w:t>4栋厂房新增设备均需使用压缩空气，</w:t>
            </w:r>
            <w:r>
              <w:rPr>
                <w:rFonts w:hint="default" w:ascii="Times New Roman" w:hAnsi="Times New Roman" w:eastAsia="宋体" w:cs="Times New Roman"/>
                <w:bCs/>
                <w:color w:val="auto"/>
                <w:sz w:val="24"/>
                <w:highlight w:val="none"/>
                <w:u w:val="none" w:color="auto"/>
                <w:lang w:val="en-US" w:eastAsia="zh-CN"/>
              </w:rPr>
              <w:t>机加工区</w:t>
            </w:r>
            <w:r>
              <w:rPr>
                <w:rFonts w:hint="default" w:ascii="Times New Roman" w:hAnsi="Times New Roman" w:eastAsia="宋体" w:cs="Times New Roman"/>
                <w:bCs/>
                <w:color w:val="auto"/>
                <w:sz w:val="24"/>
                <w:highlight w:val="none"/>
                <w:u w:val="none" w:color="auto"/>
              </w:rPr>
              <w:t>15#、21#、2</w:t>
            </w:r>
            <w:r>
              <w:rPr>
                <w:rFonts w:hint="default" w:ascii="Times New Roman" w:hAnsi="Times New Roman" w:eastAsia="宋体" w:cs="Times New Roman"/>
                <w:bCs/>
                <w:color w:val="auto"/>
                <w:sz w:val="24"/>
                <w:highlight w:val="none"/>
                <w:u w:val="none" w:color="auto"/>
                <w:lang w:val="en-US" w:eastAsia="zh-CN"/>
              </w:rPr>
              <w:t>2</w:t>
            </w:r>
            <w:r>
              <w:rPr>
                <w:rFonts w:hint="default" w:ascii="Times New Roman" w:hAnsi="Times New Roman" w:eastAsia="宋体" w:cs="Times New Roman"/>
                <w:bCs/>
                <w:color w:val="auto"/>
                <w:sz w:val="24"/>
                <w:highlight w:val="none"/>
                <w:u w:val="none" w:color="auto"/>
              </w:rPr>
              <w:t>#栋厂房拟分别新增空压站供应。</w:t>
            </w:r>
          </w:p>
          <w:p w14:paraId="4D1AC62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auto"/>
                <w:sz w:val="24"/>
                <w:highlight w:val="none"/>
                <w:u w:val="none" w:color="auto"/>
                <w:lang w:val="en-US" w:eastAsia="zh-CN"/>
              </w:rPr>
            </w:pPr>
            <w:r>
              <w:rPr>
                <w:rFonts w:hint="default" w:ascii="Times New Roman" w:hAnsi="Times New Roman" w:eastAsia="宋体" w:cs="Times New Roman"/>
                <w:bCs/>
                <w:color w:val="auto"/>
                <w:sz w:val="24"/>
                <w:highlight w:val="none"/>
                <w:u w:val="none" w:color="auto"/>
                <w:lang w:val="en-US" w:eastAsia="zh-CN"/>
              </w:rPr>
              <w:t>2）氮气</w:t>
            </w:r>
          </w:p>
          <w:p w14:paraId="245D1A04">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Cs/>
                <w:color w:val="auto"/>
                <w:sz w:val="24"/>
                <w:highlight w:val="none"/>
                <w:u w:val="none" w:color="auto"/>
                <w:lang w:val="en-US" w:eastAsia="zh-CN"/>
              </w:rPr>
            </w:pPr>
            <w:r>
              <w:rPr>
                <w:rFonts w:hint="default" w:ascii="Times New Roman" w:hAnsi="Times New Roman" w:eastAsia="宋体" w:cs="Times New Roman"/>
                <w:b/>
                <w:bCs w:val="0"/>
                <w:color w:val="auto"/>
                <w:sz w:val="24"/>
                <w:highlight w:val="none"/>
                <w:u w:val="none" w:color="auto"/>
              </w:rPr>
              <w:t>中创空天厂区</w:t>
            </w:r>
            <w:r>
              <w:rPr>
                <w:rFonts w:hint="default" w:ascii="Times New Roman" w:hAnsi="Times New Roman" w:eastAsia="宋体" w:cs="Times New Roman"/>
                <w:b/>
                <w:bCs w:val="0"/>
                <w:color w:val="auto"/>
                <w:sz w:val="24"/>
                <w:highlight w:val="none"/>
                <w:u w:val="none" w:color="auto"/>
                <w:lang w:eastAsia="zh-CN"/>
              </w:rPr>
              <w:t>：</w:t>
            </w:r>
            <w:r>
              <w:rPr>
                <w:rFonts w:hint="default" w:ascii="Times New Roman" w:hAnsi="Times New Roman" w:eastAsia="宋体" w:cs="Times New Roman"/>
                <w:bCs/>
                <w:color w:val="auto"/>
                <w:sz w:val="24"/>
                <w:highlight w:val="none"/>
                <w:u w:val="none" w:color="auto"/>
                <w:lang w:val="en-US" w:eastAsia="zh-CN"/>
              </w:rPr>
              <w:t>熔铸二厂新增的铝水设备需使用氮气。氮气使用量约34Nm</w:t>
            </w:r>
            <w:r>
              <w:rPr>
                <w:rFonts w:hint="default" w:ascii="Times New Roman" w:hAnsi="Times New Roman" w:eastAsia="宋体" w:cs="Times New Roman"/>
                <w:bCs/>
                <w:color w:val="auto"/>
                <w:sz w:val="24"/>
                <w:highlight w:val="none"/>
                <w:u w:val="none" w:color="auto"/>
                <w:vertAlign w:val="superscript"/>
                <w:lang w:val="en-US" w:eastAsia="zh-CN"/>
              </w:rPr>
              <w:t>3</w:t>
            </w:r>
            <w:r>
              <w:rPr>
                <w:rFonts w:hint="default" w:ascii="Times New Roman" w:hAnsi="Times New Roman" w:eastAsia="宋体" w:cs="Times New Roman"/>
                <w:bCs/>
                <w:color w:val="auto"/>
                <w:sz w:val="24"/>
                <w:highlight w:val="none"/>
                <w:u w:val="none" w:color="auto"/>
                <w:lang w:val="en-US" w:eastAsia="zh-CN"/>
              </w:rPr>
              <w:t>/h，纯度99.99%。项目拟在熔铸二厂新增制氮站，选用15Nm</w:t>
            </w:r>
            <w:r>
              <w:rPr>
                <w:rFonts w:hint="default" w:ascii="Times New Roman" w:hAnsi="Times New Roman" w:eastAsia="宋体" w:cs="Times New Roman"/>
                <w:bCs/>
                <w:color w:val="auto"/>
                <w:sz w:val="24"/>
                <w:highlight w:val="none"/>
                <w:u w:val="none" w:color="auto"/>
                <w:vertAlign w:val="superscript"/>
                <w:lang w:val="en-US" w:eastAsia="zh-CN"/>
              </w:rPr>
              <w:t>3</w:t>
            </w:r>
            <w:r>
              <w:rPr>
                <w:rFonts w:hint="default" w:ascii="Times New Roman" w:hAnsi="Times New Roman" w:eastAsia="宋体" w:cs="Times New Roman"/>
                <w:bCs/>
                <w:color w:val="auto"/>
                <w:sz w:val="24"/>
                <w:highlight w:val="none"/>
                <w:u w:val="none" w:color="auto"/>
                <w:lang w:val="en-US" w:eastAsia="zh-CN"/>
              </w:rPr>
              <w:t>/h吸附式制氮机一台，制氮机所需压缩空气由厂区压缩空气管道供应，主要辅助设备包括储气罐等。新增氮气室内管道采用架空方式敷设，管材采用不锈钢无缝钢管。</w:t>
            </w:r>
          </w:p>
          <w:p w14:paraId="57A5E940">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b/>
                <w:bCs w:val="0"/>
                <w:color w:val="auto"/>
                <w:sz w:val="24"/>
                <w:highlight w:val="none"/>
                <w:u w:val="none" w:color="auto"/>
                <w:lang w:val="en-US" w:eastAsia="zh-CN"/>
              </w:rPr>
              <w:t>临港高新产业园区：</w:t>
            </w:r>
            <w:r>
              <w:rPr>
                <w:rFonts w:hint="default" w:ascii="Times New Roman" w:hAnsi="Times New Roman" w:eastAsia="宋体" w:cs="Times New Roman"/>
                <w:b w:val="0"/>
                <w:bCs/>
                <w:color w:val="auto"/>
                <w:sz w:val="24"/>
                <w:highlight w:val="none"/>
                <w:u w:val="none" w:color="auto"/>
                <w:lang w:val="en-US" w:eastAsia="zh-CN"/>
              </w:rPr>
              <w:t>无氮气需求，不设置制氮</w:t>
            </w:r>
            <w:r>
              <w:rPr>
                <w:rFonts w:hint="default" w:ascii="Times New Roman" w:hAnsi="Times New Roman" w:eastAsia="宋体" w:cs="Times New Roman"/>
                <w:bCs/>
                <w:color w:val="auto"/>
                <w:sz w:val="24"/>
                <w:highlight w:val="none"/>
                <w:u w:val="none" w:color="auto"/>
                <w:lang w:val="en-US" w:eastAsia="zh-CN"/>
              </w:rPr>
              <w:t>站</w:t>
            </w:r>
            <w:r>
              <w:rPr>
                <w:rFonts w:hint="default" w:ascii="Times New Roman" w:hAnsi="Times New Roman" w:eastAsia="宋体" w:cs="Times New Roman"/>
                <w:b w:val="0"/>
                <w:bCs/>
                <w:color w:val="auto"/>
                <w:sz w:val="24"/>
                <w:highlight w:val="none"/>
                <w:u w:val="none" w:color="auto"/>
                <w:lang w:val="en-US" w:eastAsia="zh-CN"/>
              </w:rPr>
              <w:t>。</w:t>
            </w:r>
          </w:p>
          <w:p w14:paraId="2146715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auto"/>
                <w:sz w:val="24"/>
                <w:highlight w:val="none"/>
                <w:u w:val="none" w:color="auto"/>
                <w:lang w:val="en-US" w:eastAsia="zh-CN"/>
              </w:rPr>
            </w:pPr>
            <w:r>
              <w:rPr>
                <w:rFonts w:hint="default" w:ascii="Times New Roman" w:hAnsi="Times New Roman" w:eastAsia="宋体" w:cs="Times New Roman"/>
                <w:bCs/>
                <w:color w:val="auto"/>
                <w:sz w:val="24"/>
                <w:highlight w:val="none"/>
                <w:u w:val="none" w:color="auto"/>
                <w:lang w:val="en-US" w:eastAsia="zh-CN"/>
              </w:rPr>
              <w:t>3）氩气</w:t>
            </w:r>
          </w:p>
          <w:p w14:paraId="28146167">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Cs/>
                <w:color w:val="auto"/>
                <w:sz w:val="24"/>
                <w:highlight w:val="none"/>
                <w:u w:val="none" w:color="auto"/>
                <w:lang w:val="en-US" w:eastAsia="zh-CN"/>
              </w:rPr>
            </w:pPr>
            <w:r>
              <w:rPr>
                <w:rFonts w:hint="default" w:ascii="Times New Roman" w:hAnsi="Times New Roman" w:eastAsia="宋体" w:cs="Times New Roman"/>
                <w:b/>
                <w:bCs w:val="0"/>
                <w:color w:val="auto"/>
                <w:sz w:val="24"/>
                <w:highlight w:val="none"/>
                <w:u w:val="none" w:color="auto"/>
              </w:rPr>
              <w:t>中创空天厂区</w:t>
            </w:r>
            <w:r>
              <w:rPr>
                <w:rFonts w:hint="default" w:ascii="Times New Roman" w:hAnsi="Times New Roman" w:eastAsia="宋体" w:cs="Times New Roman"/>
                <w:b/>
                <w:bCs w:val="0"/>
                <w:color w:val="auto"/>
                <w:sz w:val="24"/>
                <w:highlight w:val="none"/>
                <w:u w:val="none" w:color="auto"/>
                <w:lang w:eastAsia="zh-CN"/>
              </w:rPr>
              <w:t>：</w:t>
            </w:r>
            <w:r>
              <w:rPr>
                <w:rFonts w:hint="default" w:ascii="Times New Roman" w:hAnsi="Times New Roman" w:eastAsia="宋体" w:cs="Times New Roman"/>
                <w:bCs/>
                <w:color w:val="auto"/>
                <w:sz w:val="24"/>
                <w:highlight w:val="none"/>
                <w:u w:val="none" w:color="auto"/>
                <w:lang w:val="en-US" w:eastAsia="zh-CN"/>
              </w:rPr>
              <w:t>熔铸二厂新增的铝水设备需使用氩气。氩气使用量按100Nm</w:t>
            </w:r>
            <w:r>
              <w:rPr>
                <w:rFonts w:hint="default" w:ascii="Times New Roman" w:hAnsi="Times New Roman" w:eastAsia="宋体" w:cs="Times New Roman"/>
                <w:bCs/>
                <w:color w:val="auto"/>
                <w:sz w:val="24"/>
                <w:highlight w:val="none"/>
                <w:u w:val="none" w:color="auto"/>
                <w:vertAlign w:val="superscript"/>
                <w:lang w:val="en-US" w:eastAsia="zh-CN"/>
              </w:rPr>
              <w:t>3</w:t>
            </w:r>
            <w:r>
              <w:rPr>
                <w:rFonts w:hint="default" w:ascii="Times New Roman" w:hAnsi="Times New Roman" w:eastAsia="宋体" w:cs="Times New Roman"/>
                <w:bCs/>
                <w:color w:val="auto"/>
                <w:sz w:val="24"/>
                <w:highlight w:val="none"/>
                <w:u w:val="none" w:color="auto"/>
                <w:lang w:val="en-US" w:eastAsia="zh-CN"/>
              </w:rPr>
              <w:t>/h设计。本项目氩气由厂区现有氩气站和氩气管道直接供应，本次仅在厂房接入口增设稳压罐。新增氩气室内管道采用架空方式敷设，管材采用不锈钢无缝钢管。</w:t>
            </w:r>
          </w:p>
          <w:p w14:paraId="2D7F9454">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Cs/>
                <w:color w:val="auto"/>
                <w:sz w:val="24"/>
                <w:highlight w:val="none"/>
                <w:u w:val="none" w:color="auto"/>
                <w:lang w:val="en-US" w:eastAsia="zh-CN"/>
              </w:rPr>
            </w:pPr>
            <w:r>
              <w:rPr>
                <w:rFonts w:hint="default" w:ascii="Times New Roman" w:hAnsi="Times New Roman" w:eastAsia="宋体" w:cs="Times New Roman"/>
                <w:b/>
                <w:bCs w:val="0"/>
                <w:color w:val="auto"/>
                <w:sz w:val="24"/>
                <w:highlight w:val="none"/>
                <w:u w:val="none" w:color="auto"/>
                <w:lang w:val="en-US" w:eastAsia="zh-CN"/>
              </w:rPr>
              <w:t>临港高新产业园区：</w:t>
            </w:r>
            <w:r>
              <w:rPr>
                <w:rFonts w:hint="default" w:ascii="Times New Roman" w:hAnsi="Times New Roman" w:eastAsia="宋体" w:cs="Times New Roman"/>
                <w:b w:val="0"/>
                <w:bCs/>
                <w:color w:val="auto"/>
                <w:sz w:val="24"/>
                <w:highlight w:val="none"/>
                <w:u w:val="none" w:color="auto"/>
                <w:lang w:val="en-US" w:eastAsia="zh-CN"/>
              </w:rPr>
              <w:t>无氩气需求，不设置制氩气</w:t>
            </w:r>
            <w:r>
              <w:rPr>
                <w:rFonts w:hint="default" w:ascii="Times New Roman" w:hAnsi="Times New Roman" w:eastAsia="宋体" w:cs="Times New Roman"/>
                <w:bCs/>
                <w:color w:val="auto"/>
                <w:sz w:val="24"/>
                <w:highlight w:val="none"/>
                <w:u w:val="none" w:color="auto"/>
                <w:lang w:val="en-US" w:eastAsia="zh-CN"/>
              </w:rPr>
              <w:t>站</w:t>
            </w:r>
            <w:r>
              <w:rPr>
                <w:rFonts w:hint="default" w:ascii="Times New Roman" w:hAnsi="Times New Roman" w:eastAsia="宋体" w:cs="Times New Roman"/>
                <w:b w:val="0"/>
                <w:bCs/>
                <w:color w:val="auto"/>
                <w:sz w:val="24"/>
                <w:highlight w:val="none"/>
                <w:u w:val="none" w:color="auto"/>
                <w:lang w:val="en-US" w:eastAsia="zh-CN"/>
              </w:rPr>
              <w:t>。</w:t>
            </w:r>
          </w:p>
          <w:p w14:paraId="326ABB2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auto"/>
                <w:sz w:val="24"/>
                <w:highlight w:val="none"/>
                <w:u w:val="none" w:color="auto"/>
                <w:lang w:val="en-US" w:eastAsia="zh-CN"/>
              </w:rPr>
            </w:pPr>
            <w:r>
              <w:rPr>
                <w:rFonts w:hint="default" w:ascii="Times New Roman" w:hAnsi="Times New Roman" w:eastAsia="宋体" w:cs="Times New Roman"/>
                <w:bCs/>
                <w:color w:val="auto"/>
                <w:sz w:val="24"/>
                <w:highlight w:val="none"/>
                <w:u w:val="none" w:color="auto"/>
                <w:lang w:val="en-US" w:eastAsia="zh-CN"/>
              </w:rPr>
              <w:t>4）天然气</w:t>
            </w:r>
          </w:p>
          <w:p w14:paraId="1FBE84F7">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Cs/>
                <w:color w:val="auto"/>
                <w:sz w:val="24"/>
                <w:highlight w:val="none"/>
                <w:u w:val="none" w:color="auto"/>
                <w:lang w:val="en-US" w:eastAsia="zh-CN"/>
              </w:rPr>
            </w:pPr>
            <w:r>
              <w:rPr>
                <w:rFonts w:hint="default" w:ascii="Times New Roman" w:hAnsi="Times New Roman" w:eastAsia="宋体" w:cs="Times New Roman"/>
                <w:b/>
                <w:bCs w:val="0"/>
                <w:color w:val="auto"/>
                <w:sz w:val="24"/>
                <w:highlight w:val="none"/>
                <w:u w:val="none" w:color="auto"/>
              </w:rPr>
              <w:t>中创空天厂区</w:t>
            </w:r>
            <w:r>
              <w:rPr>
                <w:rFonts w:hint="default" w:ascii="Times New Roman" w:hAnsi="Times New Roman" w:eastAsia="宋体" w:cs="Times New Roman"/>
                <w:b/>
                <w:bCs w:val="0"/>
                <w:color w:val="auto"/>
                <w:sz w:val="24"/>
                <w:highlight w:val="none"/>
                <w:u w:val="none" w:color="auto"/>
                <w:lang w:eastAsia="zh-CN"/>
              </w:rPr>
              <w:t>：</w:t>
            </w:r>
            <w:r>
              <w:rPr>
                <w:rFonts w:hint="default" w:ascii="Times New Roman" w:hAnsi="Times New Roman" w:eastAsia="宋体" w:cs="Times New Roman"/>
                <w:bCs/>
                <w:color w:val="auto"/>
                <w:sz w:val="24"/>
                <w:highlight w:val="none"/>
                <w:u w:val="none" w:color="auto"/>
                <w:lang w:val="en-US" w:eastAsia="zh-CN"/>
              </w:rPr>
              <w:t>熔铸二厂新增35t保温炉、倾动坩埚炉、烤包器需使用天然气。设备合计天然气用气量约198m</w:t>
            </w:r>
            <w:r>
              <w:rPr>
                <w:rFonts w:hint="default" w:ascii="Times New Roman" w:hAnsi="Times New Roman" w:eastAsia="宋体" w:cs="Times New Roman"/>
                <w:bCs/>
                <w:color w:val="auto"/>
                <w:sz w:val="24"/>
                <w:highlight w:val="none"/>
                <w:u w:val="none" w:color="auto"/>
                <w:vertAlign w:val="superscript"/>
                <w:lang w:val="en-US" w:eastAsia="zh-CN"/>
              </w:rPr>
              <w:t>3</w:t>
            </w:r>
            <w:r>
              <w:rPr>
                <w:rFonts w:hint="default" w:ascii="Times New Roman" w:hAnsi="Times New Roman" w:eastAsia="宋体" w:cs="Times New Roman"/>
                <w:bCs/>
                <w:color w:val="auto"/>
                <w:sz w:val="24"/>
                <w:highlight w:val="none"/>
                <w:u w:val="none" w:color="auto"/>
                <w:lang w:val="en-US" w:eastAsia="zh-CN"/>
              </w:rPr>
              <w:t>/h，用气压力0.08-0.1MPa。天然气由市政天然气管道供应，市政天然气管道供气压力为0.4MPa，新增天然气调压站调压至0.1MPa后供应至车间。在车间入口处设置紧急切断阀，与天然气泄漏检测报警系统联动。新增天然气室内管道采用架空方式敷设，管材采用不锈钢无缝钢管。厂区天然气管道采用直埋敷设，天然气管道设防静电措施。</w:t>
            </w:r>
          </w:p>
          <w:p w14:paraId="73F197F2">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Cs/>
                <w:color w:val="auto"/>
                <w:sz w:val="24"/>
                <w:highlight w:val="none"/>
                <w:u w:val="none" w:color="auto"/>
                <w:lang w:val="en-US" w:eastAsia="zh-CN"/>
              </w:rPr>
            </w:pPr>
            <w:r>
              <w:rPr>
                <w:rFonts w:hint="default" w:ascii="Times New Roman" w:hAnsi="Times New Roman" w:eastAsia="宋体" w:cs="Times New Roman"/>
                <w:b/>
                <w:bCs w:val="0"/>
                <w:color w:val="auto"/>
                <w:sz w:val="24"/>
                <w:highlight w:val="none"/>
                <w:u w:val="none" w:color="auto"/>
                <w:lang w:val="en-US" w:eastAsia="zh-CN"/>
              </w:rPr>
              <w:t>临港高新产业园区：</w:t>
            </w:r>
            <w:r>
              <w:rPr>
                <w:rFonts w:hint="default" w:ascii="Times New Roman" w:hAnsi="Times New Roman" w:eastAsia="宋体" w:cs="Times New Roman"/>
                <w:b w:val="0"/>
                <w:bCs/>
                <w:color w:val="auto"/>
                <w:sz w:val="24"/>
                <w:highlight w:val="none"/>
                <w:u w:val="none" w:color="auto"/>
                <w:lang w:val="en-US" w:eastAsia="zh-CN"/>
              </w:rPr>
              <w:t>无天然气需求，不接入天然气管线。</w:t>
            </w:r>
          </w:p>
          <w:p w14:paraId="1FCDA81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auto"/>
                <w:sz w:val="24"/>
                <w:szCs w:val="24"/>
                <w:highlight w:val="none"/>
                <w:u w:val="none" w:color="auto"/>
              </w:rPr>
            </w:pPr>
            <w:r>
              <w:rPr>
                <w:rFonts w:hint="default" w:ascii="Times New Roman" w:hAnsi="Times New Roman" w:eastAsia="宋体" w:cs="Times New Roman"/>
                <w:bCs/>
                <w:color w:val="auto"/>
                <w:sz w:val="24"/>
                <w:szCs w:val="24"/>
                <w:highlight w:val="none"/>
                <w:u w:val="none" w:color="auto"/>
              </w:rPr>
              <w:t>（</w:t>
            </w:r>
            <w:r>
              <w:rPr>
                <w:rFonts w:hint="default" w:ascii="Times New Roman" w:hAnsi="Times New Roman" w:eastAsia="宋体" w:cs="Times New Roman"/>
                <w:bCs/>
                <w:color w:val="auto"/>
                <w:sz w:val="24"/>
                <w:szCs w:val="24"/>
                <w:highlight w:val="none"/>
                <w:u w:val="none" w:color="auto"/>
                <w:lang w:val="en-US" w:eastAsia="zh-CN"/>
              </w:rPr>
              <w:t>3</w:t>
            </w:r>
            <w:r>
              <w:rPr>
                <w:rFonts w:hint="default" w:ascii="Times New Roman" w:hAnsi="Times New Roman" w:eastAsia="宋体" w:cs="Times New Roman"/>
                <w:bCs/>
                <w:color w:val="auto"/>
                <w:sz w:val="24"/>
                <w:szCs w:val="24"/>
                <w:highlight w:val="none"/>
                <w:u w:val="none" w:color="auto"/>
              </w:rPr>
              <w:t>）运输</w:t>
            </w:r>
          </w:p>
          <w:p w14:paraId="4A9B9135">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auto"/>
                <w:sz w:val="24"/>
                <w:szCs w:val="24"/>
                <w:highlight w:val="none"/>
                <w:u w:val="none" w:color="auto"/>
              </w:rPr>
            </w:pPr>
            <w:r>
              <w:rPr>
                <w:rFonts w:hint="default" w:ascii="Times New Roman" w:hAnsi="Times New Roman" w:eastAsia="宋体" w:cs="Times New Roman"/>
                <w:bCs/>
                <w:color w:val="auto"/>
                <w:sz w:val="24"/>
                <w:szCs w:val="24"/>
                <w:highlight w:val="none"/>
                <w:u w:val="none" w:color="auto"/>
              </w:rPr>
              <w:t>本项目厂外运输</w:t>
            </w:r>
            <w:r>
              <w:rPr>
                <w:rFonts w:hint="default" w:ascii="Times New Roman" w:hAnsi="Times New Roman" w:eastAsia="宋体" w:cs="Times New Roman"/>
                <w:bCs/>
                <w:color w:val="auto"/>
                <w:sz w:val="24"/>
                <w:szCs w:val="24"/>
                <w:highlight w:val="none"/>
                <w:u w:val="none" w:color="auto"/>
                <w:lang w:val="en-US" w:eastAsia="zh-CN"/>
              </w:rPr>
              <w:t>委托第三方采用</w:t>
            </w:r>
            <w:r>
              <w:rPr>
                <w:rFonts w:hint="default" w:ascii="Times New Roman" w:hAnsi="Times New Roman" w:eastAsia="宋体" w:cs="Times New Roman"/>
                <w:bCs/>
                <w:color w:val="auto"/>
                <w:sz w:val="24"/>
                <w:szCs w:val="24"/>
                <w:highlight w:val="none"/>
                <w:u w:val="none" w:color="auto"/>
              </w:rPr>
              <w:t>汽车运输，</w:t>
            </w:r>
            <w:r>
              <w:rPr>
                <w:rFonts w:hint="default" w:ascii="Times New Roman" w:hAnsi="Times New Roman" w:eastAsia="宋体" w:cs="Times New Roman"/>
                <w:bCs/>
                <w:color w:val="auto"/>
                <w:sz w:val="24"/>
                <w:szCs w:val="24"/>
                <w:highlight w:val="none"/>
                <w:u w:val="none" w:color="auto"/>
                <w:lang w:val="en-US" w:eastAsia="zh-CN"/>
              </w:rPr>
              <w:t>铝合金熔铸二厂生产的铝合金采用烤包器</w:t>
            </w:r>
            <w:r>
              <w:rPr>
                <w:rFonts w:hint="default" w:ascii="Times New Roman" w:hAnsi="Times New Roman" w:eastAsia="宋体" w:cs="Times New Roman"/>
                <w:color w:val="auto"/>
                <w:sz w:val="24"/>
                <w:szCs w:val="24"/>
                <w:u w:val="none" w:color="auto"/>
                <w:lang w:val="en-US" w:eastAsia="zh-CN"/>
              </w:rPr>
              <w:t>装载后，使用</w:t>
            </w:r>
            <w:r>
              <w:rPr>
                <w:rFonts w:hint="default" w:ascii="Times New Roman" w:hAnsi="Times New Roman" w:eastAsia="宋体" w:cs="Times New Roman"/>
                <w:bCs/>
                <w:color w:val="auto"/>
                <w:sz w:val="24"/>
                <w:szCs w:val="24"/>
                <w:highlight w:val="none"/>
                <w:u w:val="none" w:color="auto"/>
              </w:rPr>
              <w:t>电动叉车</w:t>
            </w:r>
            <w:r>
              <w:rPr>
                <w:rFonts w:hint="default" w:ascii="Times New Roman" w:hAnsi="Times New Roman" w:eastAsia="宋体" w:cs="Times New Roman"/>
                <w:bCs/>
                <w:color w:val="auto"/>
                <w:sz w:val="24"/>
                <w:szCs w:val="24"/>
                <w:highlight w:val="none"/>
                <w:u w:val="none" w:color="auto"/>
                <w:lang w:val="en-US" w:eastAsia="zh-CN"/>
              </w:rPr>
              <w:t>转移至铝合金</w:t>
            </w:r>
            <w:r>
              <w:rPr>
                <w:rFonts w:hint="eastAsia" w:cs="Times New Roman"/>
                <w:bCs/>
                <w:color w:val="auto"/>
                <w:sz w:val="24"/>
                <w:szCs w:val="24"/>
                <w:highlight w:val="none"/>
                <w:u w:val="none" w:color="auto"/>
                <w:lang w:val="en-US" w:eastAsia="zh-CN"/>
              </w:rPr>
              <w:t>熔铸</w:t>
            </w:r>
            <w:r>
              <w:rPr>
                <w:rFonts w:hint="default" w:ascii="Times New Roman" w:hAnsi="Times New Roman" w:eastAsia="宋体" w:cs="Times New Roman"/>
                <w:bCs/>
                <w:color w:val="auto"/>
                <w:sz w:val="24"/>
                <w:szCs w:val="24"/>
                <w:highlight w:val="none"/>
                <w:u w:val="none" w:color="auto"/>
                <w:lang w:val="en-US" w:eastAsia="zh-CN"/>
              </w:rPr>
              <w:t>一厂压铸工段进行生产</w:t>
            </w:r>
            <w:r>
              <w:rPr>
                <w:rFonts w:hint="default" w:ascii="Times New Roman" w:hAnsi="Times New Roman" w:eastAsia="宋体" w:cs="Times New Roman"/>
                <w:bCs/>
                <w:color w:val="auto"/>
                <w:sz w:val="24"/>
                <w:szCs w:val="24"/>
                <w:highlight w:val="none"/>
                <w:u w:val="none" w:color="auto"/>
              </w:rPr>
              <w:t>。</w:t>
            </w:r>
          </w:p>
          <w:p w14:paraId="386F93DF">
            <w:pPr>
              <w:widowControl/>
              <w:spacing w:line="360" w:lineRule="auto"/>
              <w:ind w:firstLine="482" w:firstLineChars="200"/>
              <w:jc w:val="left"/>
              <w:rPr>
                <w:rFonts w:hint="default" w:ascii="Times New Roman" w:hAnsi="Times New Roman" w:eastAsia="宋体" w:cs="Times New Roman"/>
                <w:b/>
                <w:bCs/>
                <w:color w:val="auto"/>
                <w:kern w:val="0"/>
                <w:sz w:val="24"/>
                <w:highlight w:val="none"/>
                <w:u w:val="none" w:color="auto"/>
              </w:rPr>
            </w:pPr>
            <w:r>
              <w:rPr>
                <w:rFonts w:hint="default" w:ascii="Times New Roman" w:hAnsi="Times New Roman" w:eastAsia="宋体" w:cs="Times New Roman"/>
                <w:b/>
                <w:bCs/>
                <w:color w:val="auto"/>
                <w:kern w:val="0"/>
                <w:sz w:val="24"/>
                <w:highlight w:val="none"/>
                <w:u w:val="none" w:color="auto"/>
                <w:lang w:val="en-US" w:eastAsia="zh-CN"/>
              </w:rPr>
              <w:t>8、</w:t>
            </w:r>
            <w:r>
              <w:rPr>
                <w:rFonts w:hint="default" w:ascii="Times New Roman" w:hAnsi="Times New Roman" w:eastAsia="宋体" w:cs="Times New Roman"/>
                <w:b/>
                <w:bCs/>
                <w:color w:val="auto"/>
                <w:kern w:val="0"/>
                <w:sz w:val="24"/>
                <w:highlight w:val="none"/>
                <w:u w:val="none" w:color="auto"/>
              </w:rPr>
              <w:t>物料平衡</w:t>
            </w:r>
          </w:p>
          <w:p w14:paraId="6E59D74C">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highlight w:val="none"/>
                <w:u w:val="none" w:color="auto"/>
                <w:lang w:val="en-US" w:eastAsia="zh-CN"/>
              </w:rPr>
            </w:pPr>
            <w:r>
              <w:rPr>
                <w:rFonts w:hint="default" w:ascii="Times New Roman" w:hAnsi="Times New Roman" w:eastAsia="宋体" w:cs="Times New Roman"/>
                <w:color w:val="auto"/>
                <w:sz w:val="24"/>
                <w:highlight w:val="none"/>
                <w:u w:val="none" w:color="auto"/>
              </w:rPr>
              <w:t>本项目产品物料平衡</w:t>
            </w:r>
            <w:r>
              <w:rPr>
                <w:rFonts w:hint="default" w:ascii="Times New Roman" w:hAnsi="Times New Roman" w:eastAsia="宋体" w:cs="Times New Roman"/>
                <w:color w:val="auto"/>
                <w:sz w:val="24"/>
                <w:highlight w:val="none"/>
                <w:u w:val="none" w:color="auto"/>
                <w:lang w:val="en-US" w:eastAsia="zh-CN"/>
              </w:rPr>
              <w:t>及相关元素平衡详见下图，其中元素平衡依据折纯后投料比例计算。</w:t>
            </w:r>
          </w:p>
          <w:p w14:paraId="7D1FDD5C">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highlight w:val="yellow"/>
                <w:u w:val="none" w:color="auto"/>
                <w:lang w:val="en-US" w:eastAsia="zh-CN"/>
              </w:rPr>
            </w:pPr>
          </w:p>
          <w:p w14:paraId="138A303A">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highlight w:val="yellow"/>
                <w:u w:val="none" w:color="auto"/>
                <w:lang w:val="en-US" w:eastAsia="zh-CN"/>
              </w:rPr>
            </w:pPr>
          </w:p>
          <w:p w14:paraId="7E4796C4">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highlight w:val="yellow"/>
                <w:u w:val="none" w:color="auto"/>
                <w:lang w:val="en-US" w:eastAsia="zh-CN"/>
              </w:rPr>
            </w:pPr>
          </w:p>
          <w:p w14:paraId="6CECAD98">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highlight w:val="yellow"/>
                <w:u w:val="none" w:color="auto"/>
                <w:lang w:val="en-US" w:eastAsia="zh-CN"/>
              </w:rPr>
            </w:pPr>
          </w:p>
          <w:p w14:paraId="1388D8C5">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highlight w:val="yellow"/>
                <w:u w:val="none" w:color="auto"/>
                <w:lang w:val="en-US" w:eastAsia="zh-CN"/>
              </w:rPr>
            </w:pPr>
          </w:p>
          <w:p w14:paraId="4D024EB3">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highlight w:val="yellow"/>
                <w:u w:val="none" w:color="auto"/>
                <w:lang w:val="en-US" w:eastAsia="zh-CN"/>
              </w:rPr>
            </w:pPr>
          </w:p>
          <w:p w14:paraId="0E16E257">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highlight w:val="yellow"/>
                <w:u w:val="none" w:color="auto"/>
                <w:lang w:val="en-US" w:eastAsia="zh-CN"/>
              </w:rPr>
            </w:pPr>
          </w:p>
          <w:p w14:paraId="1E91B949">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highlight w:val="yellow"/>
                <w:u w:val="none" w:color="auto"/>
                <w:lang w:val="en-US" w:eastAsia="zh-CN"/>
              </w:rPr>
            </w:pPr>
          </w:p>
          <w:p w14:paraId="53384402">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highlight w:val="yellow"/>
                <w:u w:val="none" w:color="auto"/>
                <w:lang w:val="en-US" w:eastAsia="zh-CN"/>
              </w:rPr>
            </w:pPr>
          </w:p>
          <w:p w14:paraId="762F199E">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highlight w:val="yellow"/>
                <w:u w:val="none" w:color="auto"/>
                <w:lang w:val="en-US" w:eastAsia="zh-CN"/>
              </w:rPr>
            </w:pPr>
          </w:p>
          <w:p w14:paraId="1C2A213C">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highlight w:val="yellow"/>
                <w:u w:val="none" w:color="auto"/>
                <w:lang w:val="en-US" w:eastAsia="zh-CN"/>
              </w:rPr>
            </w:pPr>
          </w:p>
          <w:p w14:paraId="704994CB">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u w:val="none" w:color="auto"/>
                <w:lang w:val="en-US" w:eastAsia="zh-CN"/>
              </w:rPr>
            </w:pPr>
          </w:p>
        </w:tc>
      </w:tr>
    </w:tbl>
    <w:p w14:paraId="420BB37D">
      <w:pPr>
        <w:rPr>
          <w:rFonts w:hint="default" w:ascii="Times New Roman" w:hAnsi="Times New Roman" w:eastAsia="宋体" w:cs="Times New Roman"/>
          <w:color w:val="auto"/>
          <w:u w:val="none" w:color="auto"/>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p>
    <w:p w14:paraId="2A2AAF62">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object>
          <v:shape id="_x0000_i1027" o:spt="75" type="#_x0000_t75" style="height:996.05pt;width:559.6pt;" o:ole="t" filled="f" o:preferrelative="t" stroked="f" coordsize="21600,21600">
            <v:path/>
            <v:fill on="f" focussize="0,0"/>
            <v:stroke on="f"/>
            <v:imagedata r:id="rId25" o:title=""/>
            <o:lock v:ext="edit" aspectratio="f"/>
            <w10:wrap type="none"/>
            <w10:anchorlock/>
          </v:shape>
          <o:OLEObject Type="Embed" ProgID="Visio.Drawing.11" ShapeID="_x0000_i1027" DrawAspect="Content" ObjectID="_1468075727" r:id="rId24">
            <o:LockedField>false</o:LockedField>
          </o:OLEObject>
        </w:object>
      </w:r>
    </w:p>
    <w:p w14:paraId="6A383E3A">
      <w:pPr>
        <w:jc w:val="center"/>
        <w:rPr>
          <w:rFonts w:hint="default" w:ascii="Times New Roman" w:hAnsi="Times New Roman" w:eastAsia="宋体" w:cs="Times New Roman"/>
          <w:b/>
          <w:bCs/>
          <w:color w:val="auto"/>
          <w:u w:val="none" w:color="auto"/>
          <w:lang w:val="en-US" w:eastAsia="zh-CN"/>
        </w:rPr>
      </w:pPr>
      <w:r>
        <w:rPr>
          <w:rFonts w:hint="default" w:ascii="Times New Roman" w:hAnsi="Times New Roman" w:eastAsia="宋体" w:cs="Times New Roman"/>
          <w:b/>
          <w:bCs/>
          <w:color w:val="auto"/>
          <w:u w:val="none" w:color="auto"/>
          <w:lang w:val="en-US" w:eastAsia="zh-CN"/>
        </w:rPr>
        <w:t>图2-3  物料平衡图  单位：t/a</w:t>
      </w:r>
    </w:p>
    <w:p w14:paraId="01D72EFA">
      <w:pP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br w:type="page"/>
      </w:r>
    </w:p>
    <w:p w14:paraId="22244B25">
      <w:pPr>
        <w:rPr>
          <w:rFonts w:hint="default" w:ascii="Times New Roman" w:hAnsi="Times New Roman" w:eastAsia="宋体" w:cs="Times New Roman"/>
          <w:b/>
          <w:bCs/>
          <w:color w:val="auto"/>
          <w:u w:val="none" w:color="auto"/>
          <w:lang w:val="en-US" w:eastAsia="zh-CN"/>
        </w:rPr>
      </w:pPr>
      <w:r>
        <w:rPr>
          <w:rFonts w:hint="default" w:ascii="Times New Roman" w:hAnsi="Times New Roman" w:eastAsia="宋体" w:cs="Times New Roman"/>
          <w:color w:val="auto"/>
          <w:u w:val="none" w:color="auto"/>
        </w:rPr>
        <w:object>
          <v:shape id="_x0000_i1028" o:spt="75" type="#_x0000_t75" style="height:996.05pt;width:559.6pt;" o:ole="t" filled="f" o:preferrelative="t" stroked="f" coordsize="21600,21600">
            <v:path/>
            <v:fill on="f" focussize="0,0"/>
            <v:stroke on="f"/>
            <v:imagedata r:id="rId27" o:title=""/>
            <o:lock v:ext="edit" aspectratio="f"/>
            <w10:wrap type="none"/>
            <w10:anchorlock/>
          </v:shape>
          <o:OLEObject Type="Embed" ProgID="Visio.Drawing.11" ShapeID="_x0000_i1028" DrawAspect="Content" ObjectID="_1468075728" r:id="rId26">
            <o:LockedField>false</o:LockedField>
          </o:OLEObject>
        </w:object>
      </w:r>
    </w:p>
    <w:p w14:paraId="6E9026B6">
      <w:pPr>
        <w:jc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b/>
          <w:bCs/>
          <w:color w:val="auto"/>
          <w:u w:val="none" w:color="auto"/>
          <w:lang w:val="en-US" w:eastAsia="zh-CN"/>
        </w:rPr>
        <w:t>图2-4  铝元素平衡图  单位：t/a</w:t>
      </w:r>
    </w:p>
    <w:p w14:paraId="157D6579">
      <w:pP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br w:type="page"/>
      </w:r>
    </w:p>
    <w:p w14:paraId="767DE19D">
      <w:pPr>
        <w:jc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rPr>
        <w:object>
          <v:shape id="_x0000_i1029" o:spt="75" type="#_x0000_t75" style="height:996.05pt;width:559.6pt;" o:ole="t" filled="f" o:preferrelative="t" stroked="f" coordsize="21600,21600">
            <v:path/>
            <v:fill on="f" focussize="0,0"/>
            <v:stroke on="f"/>
            <v:imagedata r:id="rId29" o:title=""/>
            <o:lock v:ext="edit" aspectratio="f"/>
            <w10:wrap type="none"/>
            <w10:anchorlock/>
          </v:shape>
          <o:OLEObject Type="Embed" ProgID="Visio.Drawing.11" ShapeID="_x0000_i1029" DrawAspect="Content" ObjectID="_1468075729" r:id="rId28">
            <o:LockedField>false</o:LockedField>
          </o:OLEObject>
        </w:object>
      </w:r>
    </w:p>
    <w:p w14:paraId="0BD3BC57">
      <w:pPr>
        <w:jc w:val="center"/>
        <w:rPr>
          <w:rFonts w:hint="default" w:ascii="Times New Roman" w:hAnsi="Times New Roman" w:eastAsia="宋体" w:cs="Times New Roman"/>
          <w:b/>
          <w:bCs/>
          <w:color w:val="auto"/>
          <w:u w:val="none" w:color="auto"/>
          <w:lang w:val="en-US" w:eastAsia="zh-CN"/>
        </w:rPr>
      </w:pPr>
      <w:r>
        <w:rPr>
          <w:rFonts w:hint="default" w:ascii="Times New Roman" w:hAnsi="Times New Roman" w:eastAsia="宋体" w:cs="Times New Roman"/>
          <w:b/>
          <w:bCs/>
          <w:color w:val="auto"/>
          <w:u w:val="none" w:color="auto"/>
          <w:lang w:val="en-US" w:eastAsia="zh-CN"/>
        </w:rPr>
        <w:t>图2-5  铜元素平衡图  单位：t/a</w:t>
      </w:r>
    </w:p>
    <w:p w14:paraId="56E69AAE">
      <w:pP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br w:type="page"/>
      </w:r>
    </w:p>
    <w:p w14:paraId="46DAF29A">
      <w:pPr>
        <w:jc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rPr>
        <w:object>
          <v:shape id="_x0000_i1030" o:spt="75" type="#_x0000_t75" style="height:996.05pt;width:559.6pt;" o:ole="t" filled="f" o:preferrelative="t" stroked="f" coordsize="21600,21600">
            <v:path/>
            <v:fill on="f" focussize="0,0"/>
            <v:stroke on="f"/>
            <v:imagedata r:id="rId31" o:title=""/>
            <o:lock v:ext="edit" aspectratio="f"/>
            <w10:wrap type="none"/>
            <w10:anchorlock/>
          </v:shape>
          <o:OLEObject Type="Embed" ProgID="Visio.Drawing.11" ShapeID="_x0000_i1030" DrawAspect="Content" ObjectID="_1468075730" r:id="rId30">
            <o:LockedField>false</o:LockedField>
          </o:OLEObject>
        </w:object>
      </w:r>
    </w:p>
    <w:p w14:paraId="4D07EA5E">
      <w:pPr>
        <w:jc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b/>
          <w:bCs/>
          <w:color w:val="auto"/>
          <w:u w:val="none" w:color="auto"/>
          <w:lang w:val="en-US" w:eastAsia="zh-CN"/>
        </w:rPr>
        <w:t>图2-6  硅元素平衡图  单位：t/a</w:t>
      </w:r>
    </w:p>
    <w:p w14:paraId="0EBE31A5">
      <w:pPr>
        <w:jc w:val="center"/>
        <w:rPr>
          <w:rFonts w:hint="default" w:ascii="Times New Roman" w:hAnsi="Times New Roman" w:eastAsia="宋体" w:cs="Times New Roman"/>
          <w:color w:val="auto"/>
          <w:u w:val="none" w:color="auto"/>
        </w:rPr>
        <w:sectPr>
          <w:pgSz w:w="16838" w:h="23811"/>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p>
    <w:p w14:paraId="6239B27B">
      <w:pPr>
        <w:rPr>
          <w:rFonts w:hint="default" w:ascii="Times New Roman" w:hAnsi="Times New Roman" w:eastAsia="宋体" w:cs="Times New Roman"/>
          <w:color w:val="auto"/>
          <w:u w:val="none" w:color="auto"/>
        </w:rPr>
      </w:pPr>
    </w:p>
    <w:p w14:paraId="5EDA7770">
      <w:pPr>
        <w:rPr>
          <w:rFonts w:hint="default" w:ascii="Times New Roman" w:hAnsi="Times New Roman" w:eastAsia="宋体" w:cs="Times New Roman"/>
          <w:color w:val="auto"/>
          <w:u w:val="none" w:color="auto"/>
        </w:rPr>
      </w:pPr>
    </w:p>
    <w:tbl>
      <w:tblPr>
        <w:tblStyle w:val="31"/>
        <w:tblW w:w="9144"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25"/>
        <w:gridCol w:w="8719"/>
      </w:tblGrid>
      <w:tr w14:paraId="0502E59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1" w:hRule="atLeast"/>
          <w:jc w:val="center"/>
        </w:trPr>
        <w:tc>
          <w:tcPr>
            <w:tcW w:w="425" w:type="dxa"/>
            <w:noWrap w:val="0"/>
            <w:vAlign w:val="center"/>
          </w:tcPr>
          <w:p w14:paraId="7C2A2B16">
            <w:pPr>
              <w:pStyle w:val="26"/>
              <w:adjustRightInd w:val="0"/>
              <w:snapToGrid w:val="0"/>
              <w:spacing w:before="0" w:beforeAutospacing="0" w:after="0" w:afterAutospacing="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工艺流程和产排污环节</w:t>
            </w:r>
          </w:p>
        </w:tc>
        <w:tc>
          <w:tcPr>
            <w:tcW w:w="8719" w:type="dxa"/>
            <w:noWrap w:val="0"/>
            <w:vAlign w:val="top"/>
          </w:tcPr>
          <w:p w14:paraId="73C3DB80">
            <w:pPr>
              <w:pStyle w:val="2"/>
              <w:snapToGrid/>
              <w:spacing w:before="0" w:after="0" w:line="360" w:lineRule="auto"/>
              <w:ind w:right="0" w:firstLine="482" w:firstLineChars="200"/>
              <w:rPr>
                <w:rFonts w:hint="default" w:ascii="Times New Roman" w:hAnsi="Times New Roman" w:eastAsia="宋体" w:cs="Times New Roman"/>
                <w:b/>
                <w:bCs/>
                <w:color w:val="auto"/>
                <w:sz w:val="24"/>
                <w:szCs w:val="24"/>
                <w:u w:val="none" w:color="auto"/>
              </w:rPr>
            </w:pPr>
            <w:r>
              <w:rPr>
                <w:rFonts w:hint="default" w:ascii="Times New Roman" w:hAnsi="Times New Roman" w:eastAsia="宋体" w:cs="Times New Roman"/>
                <w:b/>
                <w:bCs/>
                <w:color w:val="auto"/>
                <w:sz w:val="24"/>
                <w:szCs w:val="24"/>
                <w:u w:val="none" w:color="auto"/>
                <w:lang w:val="en-US" w:eastAsia="zh-CN"/>
              </w:rPr>
              <w:t>一</w:t>
            </w:r>
            <w:r>
              <w:rPr>
                <w:rFonts w:hint="default" w:ascii="Times New Roman" w:hAnsi="Times New Roman" w:eastAsia="宋体" w:cs="Times New Roman"/>
                <w:b/>
                <w:bCs/>
                <w:color w:val="auto"/>
                <w:sz w:val="24"/>
                <w:szCs w:val="24"/>
                <w:u w:val="none" w:color="auto"/>
              </w:rPr>
              <w:t>、施工期</w:t>
            </w:r>
          </w:p>
          <w:p w14:paraId="27DCD96F">
            <w:pPr>
              <w:spacing w:line="360" w:lineRule="auto"/>
              <w:ind w:firstLine="480" w:firstLineChars="200"/>
              <w:rPr>
                <w:rFonts w:hint="default" w:ascii="Times New Roman" w:hAnsi="Times New Roman" w:eastAsia="宋体" w:cs="Times New Roman"/>
                <w:color w:val="auto"/>
                <w:sz w:val="24"/>
                <w:u w:val="none" w:color="auto"/>
                <w:lang w:val="en-US" w:eastAsia="zh-CN"/>
              </w:rPr>
            </w:pPr>
            <w:r>
              <w:rPr>
                <w:rFonts w:hint="default" w:ascii="Times New Roman" w:hAnsi="Times New Roman" w:eastAsia="宋体" w:cs="Times New Roman"/>
                <w:color w:val="auto"/>
                <w:sz w:val="24"/>
                <w:u w:val="none" w:color="auto"/>
                <w:lang w:val="en-US" w:eastAsia="zh-CN"/>
              </w:rPr>
              <w:t>中创空天厂区、</w:t>
            </w:r>
            <w:r>
              <w:rPr>
                <w:rFonts w:hint="default" w:ascii="Times New Roman" w:hAnsi="Times New Roman" w:eastAsia="宋体" w:cs="Times New Roman"/>
                <w:b w:val="0"/>
                <w:bCs w:val="0"/>
                <w:color w:val="auto"/>
                <w:sz w:val="24"/>
                <w:szCs w:val="21"/>
                <w:highlight w:val="none"/>
                <w:u w:val="none" w:color="auto"/>
                <w:lang w:val="en-US" w:eastAsia="zh-CN"/>
              </w:rPr>
              <w:t>临港高新产业园区内均在现有厂房进行设备安装、调试即可，其施工工艺简单、施工周期较短，因此本次评价仅对施工期进行定性评价分析。</w:t>
            </w:r>
          </w:p>
          <w:p w14:paraId="1FD0AB7A">
            <w:pPr>
              <w:spacing w:line="360" w:lineRule="auto"/>
              <w:ind w:firstLine="480" w:firstLineChars="200"/>
              <w:rPr>
                <w:rFonts w:hint="default" w:ascii="Times New Roman" w:hAnsi="Times New Roman" w:eastAsia="宋体" w:cs="Times New Roman"/>
                <w:color w:val="auto"/>
                <w:sz w:val="24"/>
                <w:u w:val="none" w:color="auto"/>
              </w:rPr>
            </w:pPr>
            <w:r>
              <w:rPr>
                <w:rFonts w:hint="default" w:ascii="Times New Roman" w:hAnsi="Times New Roman" w:eastAsia="宋体" w:cs="Times New Roman"/>
                <w:color w:val="auto"/>
                <w:sz w:val="24"/>
                <w:u w:val="none" w:color="auto"/>
              </w:rPr>
              <w:t>工程施工期</w:t>
            </w:r>
            <w:r>
              <w:rPr>
                <w:rFonts w:hint="default" w:ascii="Times New Roman" w:hAnsi="Times New Roman" w:eastAsia="宋体" w:cs="Times New Roman"/>
                <w:color w:val="auto"/>
                <w:sz w:val="24"/>
                <w:u w:val="none" w:color="auto"/>
                <w:lang w:val="en-US" w:eastAsia="zh-CN"/>
              </w:rPr>
              <w:t>仅有</w:t>
            </w:r>
            <w:r>
              <w:rPr>
                <w:rFonts w:hint="default" w:ascii="Times New Roman" w:hAnsi="Times New Roman" w:eastAsia="宋体" w:cs="Times New Roman"/>
                <w:color w:val="auto"/>
                <w:sz w:val="24"/>
                <w:u w:val="none" w:color="auto"/>
              </w:rPr>
              <w:t>装饰工程、安装工程，其工艺流程及产污环节见图5-1。</w:t>
            </w:r>
          </w:p>
          <w:p w14:paraId="2DA79BD0">
            <w:pPr>
              <w:pStyle w:val="62"/>
              <w:adjustRightInd/>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object>
                <v:shape id="_x0000_i1031" o:spt="75" type="#_x0000_t75" style="height:103.45pt;width:158.15pt;" o:ole="t" filled="f" o:preferrelative="t" stroked="f" coordsize="21600,21600">
                  <v:path/>
                  <v:fill on="f" focussize="0,0"/>
                  <v:stroke on="f"/>
                  <v:imagedata r:id="rId33" o:title=""/>
                  <o:lock v:ext="edit" aspectratio="f"/>
                  <w10:wrap type="none"/>
                  <w10:anchorlock/>
                </v:shape>
                <o:OLEObject Type="Embed" ProgID="Visio.Drawing.11" ShapeID="_x0000_i1031" DrawAspect="Content" ObjectID="_1468075731" r:id="rId32">
                  <o:LockedField>false</o:LockedField>
                </o:OLEObject>
              </w:object>
            </w:r>
          </w:p>
          <w:p w14:paraId="234F1E3F">
            <w:pPr>
              <w:pStyle w:val="62"/>
              <w:adjustRightInd/>
              <w:jc w:val="center"/>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图2-</w:t>
            </w:r>
            <w:r>
              <w:rPr>
                <w:rFonts w:hint="default" w:ascii="Times New Roman" w:hAnsi="Times New Roman" w:eastAsia="宋体" w:cs="Times New Roman"/>
                <w:b/>
                <w:bCs/>
                <w:color w:val="auto"/>
                <w:sz w:val="21"/>
                <w:szCs w:val="21"/>
                <w:u w:val="none" w:color="auto"/>
                <w:lang w:val="en-US" w:eastAsia="zh-CN"/>
              </w:rPr>
              <w:t>7</w:t>
            </w:r>
            <w:r>
              <w:rPr>
                <w:rFonts w:hint="default" w:ascii="Times New Roman" w:hAnsi="Times New Roman" w:eastAsia="宋体" w:cs="Times New Roman"/>
                <w:b/>
                <w:bCs/>
                <w:color w:val="auto"/>
                <w:sz w:val="21"/>
                <w:szCs w:val="21"/>
                <w:u w:val="none" w:color="auto"/>
              </w:rPr>
              <w:t xml:space="preserve">  施工期工艺流程及产污节点</w:t>
            </w:r>
          </w:p>
          <w:p w14:paraId="00F007E6">
            <w:pPr>
              <w:spacing w:line="360" w:lineRule="auto"/>
              <w:rPr>
                <w:rFonts w:hint="default" w:ascii="Times New Roman" w:hAnsi="Times New Roman" w:eastAsia="宋体" w:cs="Times New Roman"/>
                <w:b/>
                <w:bCs/>
                <w:color w:val="auto"/>
                <w:sz w:val="24"/>
                <w:u w:val="none" w:color="auto"/>
              </w:rPr>
            </w:pPr>
            <w:r>
              <w:rPr>
                <w:rFonts w:hint="default" w:ascii="Times New Roman" w:hAnsi="Times New Roman" w:eastAsia="宋体" w:cs="Times New Roman"/>
                <w:b/>
                <w:bCs/>
                <w:color w:val="auto"/>
                <w:sz w:val="24"/>
                <w:u w:val="none" w:color="auto"/>
              </w:rPr>
              <w:t>工艺流程简述</w:t>
            </w:r>
          </w:p>
          <w:p w14:paraId="69598982">
            <w:pPr>
              <w:spacing w:line="360" w:lineRule="auto"/>
              <w:ind w:firstLine="480" w:firstLineChars="200"/>
              <w:rPr>
                <w:rFonts w:hint="default" w:ascii="Times New Roman" w:hAnsi="Times New Roman" w:eastAsia="宋体" w:cs="Times New Roman"/>
                <w:color w:val="auto"/>
                <w:sz w:val="24"/>
                <w:u w:val="none" w:color="auto"/>
              </w:rPr>
            </w:pPr>
            <w:r>
              <w:rPr>
                <w:rFonts w:hint="default" w:ascii="Times New Roman" w:hAnsi="Times New Roman" w:eastAsia="宋体" w:cs="Times New Roman"/>
                <w:color w:val="auto"/>
                <w:sz w:val="24"/>
                <w:u w:val="none" w:color="auto"/>
                <w:lang w:eastAsia="zh-CN"/>
              </w:rPr>
              <w:t>（</w:t>
            </w:r>
            <w:r>
              <w:rPr>
                <w:rFonts w:hint="default" w:ascii="Times New Roman" w:hAnsi="Times New Roman" w:eastAsia="宋体" w:cs="Times New Roman"/>
                <w:color w:val="auto"/>
                <w:sz w:val="24"/>
                <w:u w:val="none" w:color="auto"/>
                <w:lang w:val="en-US" w:eastAsia="zh-CN"/>
              </w:rPr>
              <w:t>1</w:t>
            </w:r>
            <w:r>
              <w:rPr>
                <w:rFonts w:hint="default" w:ascii="Times New Roman" w:hAnsi="Times New Roman" w:eastAsia="宋体" w:cs="Times New Roman"/>
                <w:color w:val="auto"/>
                <w:sz w:val="24"/>
                <w:u w:val="none" w:color="auto"/>
                <w:lang w:eastAsia="zh-CN"/>
              </w:rPr>
              <w:t>）</w:t>
            </w:r>
            <w:r>
              <w:rPr>
                <w:rFonts w:hint="default" w:ascii="Times New Roman" w:hAnsi="Times New Roman" w:eastAsia="宋体" w:cs="Times New Roman"/>
                <w:color w:val="auto"/>
                <w:sz w:val="24"/>
                <w:u w:val="none" w:color="auto"/>
              </w:rPr>
              <w:t>装饰工程</w:t>
            </w:r>
          </w:p>
          <w:p w14:paraId="2AFD3CE9">
            <w:pPr>
              <w:spacing w:line="360" w:lineRule="auto"/>
              <w:ind w:firstLine="480" w:firstLineChars="200"/>
              <w:rPr>
                <w:rFonts w:hint="default" w:ascii="Times New Roman" w:hAnsi="Times New Roman" w:eastAsia="宋体" w:cs="Times New Roman"/>
                <w:color w:val="auto"/>
                <w:sz w:val="24"/>
                <w:u w:val="none" w:color="auto"/>
              </w:rPr>
            </w:pPr>
            <w:r>
              <w:rPr>
                <w:rFonts w:hint="default" w:ascii="Times New Roman" w:hAnsi="Times New Roman" w:eastAsia="宋体" w:cs="Times New Roman"/>
                <w:color w:val="auto"/>
                <w:sz w:val="24"/>
                <w:u w:val="none" w:color="auto"/>
              </w:rPr>
              <w:t>利用各种加工机械对木材、塑钢等按图进行加工，同时进行屋面制作，然后采用浅色环保型高级涂料和浅灰色仿石涂料喷刷，最后对外露的铁件进行油漆施工，本工段时间较短，且使用的涂料和油漆量较少，有少量的有机废气挥发。</w:t>
            </w:r>
          </w:p>
          <w:p w14:paraId="501673B6">
            <w:pPr>
              <w:spacing w:line="360" w:lineRule="auto"/>
              <w:ind w:firstLine="480" w:firstLineChars="200"/>
              <w:rPr>
                <w:rFonts w:hint="default" w:ascii="Times New Roman" w:hAnsi="Times New Roman" w:eastAsia="宋体" w:cs="Times New Roman"/>
                <w:color w:val="auto"/>
                <w:sz w:val="24"/>
                <w:u w:val="none" w:color="auto"/>
              </w:rPr>
            </w:pPr>
            <w:r>
              <w:rPr>
                <w:rFonts w:hint="default" w:ascii="Times New Roman" w:hAnsi="Times New Roman" w:eastAsia="宋体" w:cs="Times New Roman"/>
                <w:color w:val="auto"/>
                <w:sz w:val="24"/>
                <w:u w:val="none" w:color="auto"/>
                <w:lang w:eastAsia="zh-CN"/>
              </w:rPr>
              <w:t>（</w:t>
            </w:r>
            <w:r>
              <w:rPr>
                <w:rFonts w:hint="default" w:ascii="Times New Roman" w:hAnsi="Times New Roman" w:eastAsia="宋体" w:cs="Times New Roman"/>
                <w:color w:val="auto"/>
                <w:sz w:val="24"/>
                <w:u w:val="none" w:color="auto"/>
                <w:lang w:val="en-US" w:eastAsia="zh-CN"/>
              </w:rPr>
              <w:t>2</w:t>
            </w:r>
            <w:r>
              <w:rPr>
                <w:rFonts w:hint="default" w:ascii="Times New Roman" w:hAnsi="Times New Roman" w:eastAsia="宋体" w:cs="Times New Roman"/>
                <w:color w:val="auto"/>
                <w:sz w:val="24"/>
                <w:u w:val="none" w:color="auto"/>
                <w:lang w:eastAsia="zh-CN"/>
              </w:rPr>
              <w:t>）</w:t>
            </w:r>
            <w:r>
              <w:rPr>
                <w:rFonts w:hint="default" w:ascii="Times New Roman" w:hAnsi="Times New Roman" w:eastAsia="宋体" w:cs="Times New Roman"/>
                <w:color w:val="auto"/>
                <w:sz w:val="24"/>
                <w:u w:val="none" w:color="auto"/>
              </w:rPr>
              <w:t>设备安装</w:t>
            </w:r>
          </w:p>
          <w:p w14:paraId="0861E862">
            <w:pPr>
              <w:spacing w:line="360" w:lineRule="auto"/>
              <w:ind w:firstLine="480" w:firstLineChars="200"/>
              <w:rPr>
                <w:rFonts w:hint="default" w:ascii="Times New Roman" w:hAnsi="Times New Roman" w:eastAsia="宋体" w:cs="Times New Roman"/>
                <w:color w:val="auto"/>
                <w:sz w:val="24"/>
                <w:u w:val="none" w:color="auto"/>
              </w:rPr>
            </w:pPr>
            <w:r>
              <w:rPr>
                <w:rFonts w:hint="default" w:ascii="Times New Roman" w:hAnsi="Times New Roman" w:eastAsia="宋体" w:cs="Times New Roman"/>
                <w:color w:val="auto"/>
                <w:sz w:val="24"/>
                <w:u w:val="none" w:color="auto"/>
              </w:rPr>
              <w:t>包括厂房内楼梯安装、内部道路铺设、生产设施设备安装、办公房空调安装等安装工程，主要污染物是施工机械产生的噪声、尾气等。</w:t>
            </w:r>
          </w:p>
          <w:p w14:paraId="2F1CB438">
            <w:pPr>
              <w:widowControl/>
              <w:spacing w:line="360" w:lineRule="auto"/>
              <w:ind w:firstLine="482" w:firstLineChars="200"/>
              <w:jc w:val="left"/>
              <w:rPr>
                <w:rFonts w:hint="default" w:ascii="Times New Roman" w:hAnsi="Times New Roman" w:eastAsia="宋体" w:cs="Times New Roman"/>
                <w:b/>
                <w:bCs/>
                <w:color w:val="auto"/>
                <w:sz w:val="24"/>
                <w:szCs w:val="32"/>
                <w:u w:val="none" w:color="auto"/>
              </w:rPr>
            </w:pPr>
            <w:r>
              <w:rPr>
                <w:rFonts w:hint="default" w:ascii="Times New Roman" w:hAnsi="Times New Roman" w:eastAsia="宋体" w:cs="Times New Roman"/>
                <w:b/>
                <w:bCs/>
                <w:color w:val="auto"/>
                <w:sz w:val="24"/>
                <w:szCs w:val="32"/>
                <w:u w:val="none" w:color="auto"/>
                <w:lang w:val="en-US" w:eastAsia="zh-CN"/>
              </w:rPr>
              <w:t>2、</w:t>
            </w:r>
            <w:r>
              <w:rPr>
                <w:rFonts w:hint="default" w:ascii="Times New Roman" w:hAnsi="Times New Roman" w:eastAsia="宋体" w:cs="Times New Roman"/>
                <w:b/>
                <w:bCs/>
                <w:color w:val="auto"/>
                <w:sz w:val="24"/>
                <w:szCs w:val="32"/>
                <w:u w:val="none" w:color="auto"/>
              </w:rPr>
              <w:t>施工期产污节点</w:t>
            </w:r>
          </w:p>
          <w:p w14:paraId="7B3AA028">
            <w:pPr>
              <w:widowControl/>
              <w:spacing w:line="360" w:lineRule="auto"/>
              <w:ind w:firstLine="480" w:firstLineChars="200"/>
              <w:rPr>
                <w:rFonts w:hint="default" w:ascii="Times New Roman" w:hAnsi="Times New Roman" w:eastAsia="宋体" w:cs="Times New Roman"/>
                <w:color w:val="auto"/>
                <w:sz w:val="24"/>
                <w:szCs w:val="32"/>
                <w:u w:val="none" w:color="auto"/>
              </w:rPr>
            </w:pPr>
            <w:r>
              <w:rPr>
                <w:rFonts w:hint="default" w:ascii="Times New Roman" w:hAnsi="Times New Roman" w:eastAsia="宋体" w:cs="Times New Roman"/>
                <w:color w:val="auto"/>
                <w:sz w:val="24"/>
                <w:u w:val="none" w:color="auto"/>
                <w:lang w:eastAsia="zh-CN"/>
              </w:rPr>
              <w:t>（</w:t>
            </w:r>
            <w:r>
              <w:rPr>
                <w:rFonts w:hint="default" w:ascii="Times New Roman" w:hAnsi="Times New Roman" w:eastAsia="宋体" w:cs="Times New Roman"/>
                <w:color w:val="auto"/>
                <w:sz w:val="24"/>
                <w:u w:val="none" w:color="auto"/>
                <w:lang w:val="en-US" w:eastAsia="zh-CN"/>
              </w:rPr>
              <w:t>1</w:t>
            </w:r>
            <w:r>
              <w:rPr>
                <w:rFonts w:hint="default" w:ascii="Times New Roman" w:hAnsi="Times New Roman" w:eastAsia="宋体" w:cs="Times New Roman"/>
                <w:color w:val="auto"/>
                <w:sz w:val="24"/>
                <w:u w:val="none" w:color="auto"/>
                <w:lang w:eastAsia="zh-CN"/>
              </w:rPr>
              <w:t>）</w:t>
            </w:r>
            <w:r>
              <w:rPr>
                <w:rFonts w:hint="default" w:ascii="Times New Roman" w:hAnsi="Times New Roman" w:eastAsia="宋体" w:cs="Times New Roman"/>
                <w:color w:val="auto"/>
                <w:sz w:val="24"/>
                <w:szCs w:val="32"/>
                <w:u w:val="none" w:color="auto"/>
              </w:rPr>
              <w:t>废气</w:t>
            </w:r>
          </w:p>
          <w:p w14:paraId="131F1A3E">
            <w:pPr>
              <w:widowControl/>
              <w:spacing w:line="360" w:lineRule="auto"/>
              <w:ind w:firstLine="480" w:firstLineChars="200"/>
              <w:rPr>
                <w:rFonts w:hint="default" w:ascii="Times New Roman" w:hAnsi="Times New Roman" w:eastAsia="宋体" w:cs="Times New Roman"/>
                <w:color w:val="auto"/>
                <w:sz w:val="24"/>
                <w:szCs w:val="32"/>
                <w:u w:val="none" w:color="auto"/>
              </w:rPr>
            </w:pPr>
            <w:r>
              <w:rPr>
                <w:rFonts w:hint="default" w:ascii="Times New Roman" w:hAnsi="Times New Roman" w:eastAsia="宋体" w:cs="Times New Roman"/>
                <w:color w:val="auto"/>
                <w:sz w:val="24"/>
                <w:szCs w:val="32"/>
                <w:u w:val="none" w:color="auto"/>
              </w:rPr>
              <w:t>施工期废气主要有施工扬尘、运输车辆及其它燃油动力设备运行产生尾气。</w:t>
            </w:r>
          </w:p>
          <w:p w14:paraId="2B3E6BCE">
            <w:pPr>
              <w:widowControl/>
              <w:spacing w:line="360" w:lineRule="auto"/>
              <w:ind w:firstLine="480" w:firstLineChars="200"/>
              <w:rPr>
                <w:rFonts w:hint="default" w:ascii="Times New Roman" w:hAnsi="Times New Roman" w:eastAsia="宋体" w:cs="Times New Roman"/>
                <w:color w:val="auto"/>
                <w:sz w:val="24"/>
                <w:szCs w:val="32"/>
                <w:u w:val="none" w:color="auto"/>
              </w:rPr>
            </w:pPr>
            <w:r>
              <w:rPr>
                <w:rFonts w:hint="default" w:ascii="Times New Roman" w:hAnsi="Times New Roman" w:eastAsia="宋体" w:cs="Times New Roman"/>
                <w:color w:val="auto"/>
                <w:sz w:val="24"/>
                <w:szCs w:val="32"/>
                <w:u w:val="none" w:color="auto"/>
              </w:rPr>
              <w:t>施工期扬尘主要为施工场地扬尘和施工堆场扬尘，扬尘量与施工场地的尘土粒径、干燥程度、动力条件有关。施工期间的粉尘污染主要决定于施工作业方式、材料的堆放及风力等因素，其中受风力因素的影响最大。在一般气象条件下，平均风速为2.5m/s，建筑工地内TSP浓度为其上风向对照点的2～2.5倍，建筑施工扬尘的影响范围在下风向可达150m，影响范围内TSP浓度平均值可达0.49mg/m</w:t>
            </w:r>
            <w:r>
              <w:rPr>
                <w:rFonts w:hint="default" w:ascii="Times New Roman" w:hAnsi="Times New Roman" w:eastAsia="宋体" w:cs="Times New Roman"/>
                <w:color w:val="auto"/>
                <w:sz w:val="24"/>
                <w:szCs w:val="32"/>
                <w:u w:val="none" w:color="auto"/>
                <w:vertAlign w:val="superscript"/>
              </w:rPr>
              <w:t>3</w:t>
            </w:r>
            <w:r>
              <w:rPr>
                <w:rFonts w:hint="default" w:ascii="Times New Roman" w:hAnsi="Times New Roman" w:eastAsia="宋体" w:cs="Times New Roman"/>
                <w:color w:val="auto"/>
                <w:sz w:val="24"/>
                <w:szCs w:val="32"/>
                <w:u w:val="none" w:color="auto"/>
              </w:rPr>
              <w:t>。当设置有屏障施工围栏时，同等条件下其影响距离可缩短40%。</w:t>
            </w:r>
            <w:r>
              <w:rPr>
                <w:rFonts w:hint="default" w:ascii="Times New Roman" w:hAnsi="Times New Roman" w:eastAsia="宋体" w:cs="Times New Roman"/>
                <w:color w:val="auto"/>
                <w:sz w:val="24"/>
                <w:szCs w:val="32"/>
                <w:u w:val="none" w:color="auto"/>
                <w:lang w:val="en-US" w:eastAsia="zh-CN"/>
              </w:rPr>
              <w:t>本项目在已建厂房内进行设备安装施工，因此产生的</w:t>
            </w:r>
            <w:r>
              <w:rPr>
                <w:rFonts w:hint="default" w:ascii="Times New Roman" w:hAnsi="Times New Roman" w:eastAsia="宋体" w:cs="Times New Roman"/>
                <w:color w:val="auto"/>
                <w:sz w:val="24"/>
                <w:szCs w:val="32"/>
                <w:u w:val="none" w:color="auto"/>
              </w:rPr>
              <w:t>施工扬尘</w:t>
            </w:r>
            <w:r>
              <w:rPr>
                <w:rFonts w:hint="default" w:ascii="Times New Roman" w:hAnsi="Times New Roman" w:eastAsia="宋体" w:cs="Times New Roman"/>
                <w:color w:val="auto"/>
                <w:sz w:val="24"/>
                <w:szCs w:val="32"/>
                <w:u w:val="none" w:color="auto"/>
                <w:lang w:val="en-US" w:eastAsia="zh-CN"/>
              </w:rPr>
              <w:t>影响范围进一步减小。</w:t>
            </w:r>
          </w:p>
          <w:p w14:paraId="14BA88EB">
            <w:pPr>
              <w:widowControl/>
              <w:spacing w:line="360" w:lineRule="auto"/>
              <w:ind w:firstLine="480" w:firstLineChars="200"/>
              <w:rPr>
                <w:rFonts w:hint="default" w:ascii="Times New Roman" w:hAnsi="Times New Roman" w:eastAsia="宋体" w:cs="Times New Roman"/>
                <w:color w:val="auto"/>
                <w:sz w:val="24"/>
                <w:szCs w:val="32"/>
                <w:u w:val="none" w:color="auto"/>
              </w:rPr>
            </w:pPr>
            <w:r>
              <w:rPr>
                <w:rFonts w:hint="default" w:ascii="Times New Roman" w:hAnsi="Times New Roman" w:eastAsia="宋体" w:cs="Times New Roman"/>
                <w:color w:val="auto"/>
                <w:sz w:val="24"/>
                <w:szCs w:val="32"/>
                <w:u w:val="none" w:color="auto"/>
              </w:rPr>
              <w:t>运输车辆和燃油动力机械产生燃烧尾气，施工期机械尾气的排放主要是流动污染源。尾气中的污染物主要是 NOx、CO和THC；机械尾气的排放与机械性能和燃料质量关系很大。使用机械性能良好和燃用合格油品的机械排放的尾气能够达到规定排放标准。</w:t>
            </w:r>
          </w:p>
          <w:p w14:paraId="532352FF">
            <w:pPr>
              <w:widowControl/>
              <w:spacing w:line="360" w:lineRule="auto"/>
              <w:ind w:firstLine="480" w:firstLineChars="200"/>
              <w:rPr>
                <w:rFonts w:hint="default" w:ascii="Times New Roman" w:hAnsi="Times New Roman" w:eastAsia="宋体" w:cs="Times New Roman"/>
                <w:color w:val="auto"/>
                <w:sz w:val="24"/>
                <w:szCs w:val="32"/>
                <w:u w:val="none" w:color="auto"/>
              </w:rPr>
            </w:pPr>
            <w:r>
              <w:rPr>
                <w:rFonts w:hint="default" w:ascii="Times New Roman" w:hAnsi="Times New Roman" w:eastAsia="宋体" w:cs="Times New Roman"/>
                <w:color w:val="auto"/>
                <w:sz w:val="24"/>
                <w:szCs w:val="32"/>
                <w:u w:val="none" w:color="auto"/>
              </w:rPr>
              <w:t>项目主要施工场区</w:t>
            </w:r>
            <w:r>
              <w:rPr>
                <w:rFonts w:hint="default" w:ascii="Times New Roman" w:hAnsi="Times New Roman" w:eastAsia="宋体" w:cs="Times New Roman"/>
                <w:color w:val="auto"/>
                <w:sz w:val="24"/>
                <w:szCs w:val="32"/>
                <w:u w:val="none" w:color="auto"/>
                <w:lang w:val="en-US" w:eastAsia="zh-CN"/>
              </w:rPr>
              <w:t>周边无高大建筑群</w:t>
            </w:r>
            <w:r>
              <w:rPr>
                <w:rFonts w:hint="default" w:ascii="Times New Roman" w:hAnsi="Times New Roman" w:eastAsia="宋体" w:cs="Times New Roman"/>
                <w:color w:val="auto"/>
                <w:sz w:val="24"/>
                <w:szCs w:val="32"/>
                <w:u w:val="none" w:color="auto"/>
              </w:rPr>
              <w:t>，</w:t>
            </w:r>
            <w:r>
              <w:rPr>
                <w:rFonts w:hint="default" w:ascii="Times New Roman" w:hAnsi="Times New Roman" w:eastAsia="宋体" w:cs="Times New Roman"/>
                <w:color w:val="auto"/>
                <w:sz w:val="24"/>
                <w:szCs w:val="32"/>
                <w:u w:val="none" w:color="auto"/>
                <w:lang w:val="en-US" w:eastAsia="zh-CN"/>
              </w:rPr>
              <w:t>通风条件良好，具</w:t>
            </w:r>
            <w:r>
              <w:rPr>
                <w:rFonts w:hint="default" w:ascii="Times New Roman" w:hAnsi="Times New Roman" w:eastAsia="宋体" w:cs="Times New Roman"/>
                <w:color w:val="auto"/>
                <w:sz w:val="24"/>
                <w:szCs w:val="32"/>
                <w:u w:val="none" w:color="auto"/>
              </w:rPr>
              <w:t>有较好的扩散、稀释条件，因此项目施工废气在做好本次评价提出的各项防治要求后不会对周边大气环境造成明显影响。</w:t>
            </w:r>
          </w:p>
          <w:p w14:paraId="0D33E040">
            <w:pPr>
              <w:widowControl/>
              <w:spacing w:line="360" w:lineRule="auto"/>
              <w:ind w:firstLine="480" w:firstLineChars="200"/>
              <w:rPr>
                <w:rFonts w:hint="default" w:ascii="Times New Roman" w:hAnsi="Times New Roman" w:eastAsia="宋体" w:cs="Times New Roman"/>
                <w:color w:val="auto"/>
                <w:sz w:val="24"/>
                <w:szCs w:val="32"/>
                <w:u w:val="none" w:color="auto"/>
              </w:rPr>
            </w:pPr>
            <w:r>
              <w:rPr>
                <w:rFonts w:hint="default" w:ascii="Times New Roman" w:hAnsi="Times New Roman" w:eastAsia="宋体" w:cs="Times New Roman"/>
                <w:color w:val="auto"/>
                <w:sz w:val="24"/>
                <w:u w:val="none" w:color="auto"/>
                <w:lang w:eastAsia="zh-CN"/>
              </w:rPr>
              <w:t>（</w:t>
            </w:r>
            <w:r>
              <w:rPr>
                <w:rFonts w:hint="default" w:ascii="Times New Roman" w:hAnsi="Times New Roman" w:eastAsia="宋体" w:cs="Times New Roman"/>
                <w:color w:val="auto"/>
                <w:sz w:val="24"/>
                <w:u w:val="none" w:color="auto"/>
                <w:lang w:val="en-US" w:eastAsia="zh-CN"/>
              </w:rPr>
              <w:t>2</w:t>
            </w:r>
            <w:r>
              <w:rPr>
                <w:rFonts w:hint="default" w:ascii="Times New Roman" w:hAnsi="Times New Roman" w:eastAsia="宋体" w:cs="Times New Roman"/>
                <w:color w:val="auto"/>
                <w:sz w:val="24"/>
                <w:u w:val="none" w:color="auto"/>
                <w:lang w:eastAsia="zh-CN"/>
              </w:rPr>
              <w:t>）</w:t>
            </w:r>
            <w:r>
              <w:rPr>
                <w:rFonts w:hint="default" w:ascii="Times New Roman" w:hAnsi="Times New Roman" w:eastAsia="宋体" w:cs="Times New Roman"/>
                <w:color w:val="auto"/>
                <w:sz w:val="24"/>
                <w:szCs w:val="32"/>
                <w:u w:val="none" w:color="auto"/>
              </w:rPr>
              <w:t>废水</w:t>
            </w:r>
          </w:p>
          <w:p w14:paraId="53AC660E">
            <w:pPr>
              <w:widowControl/>
              <w:spacing w:line="360" w:lineRule="auto"/>
              <w:ind w:firstLine="480" w:firstLineChars="200"/>
              <w:rPr>
                <w:rFonts w:hint="default" w:ascii="Times New Roman" w:hAnsi="Times New Roman" w:eastAsia="宋体" w:cs="Times New Roman"/>
                <w:color w:val="auto"/>
                <w:sz w:val="24"/>
                <w:szCs w:val="32"/>
                <w:u w:val="none" w:color="auto"/>
                <w:lang w:val="en-US" w:eastAsia="zh-CN"/>
              </w:rPr>
            </w:pPr>
            <w:r>
              <w:rPr>
                <w:rFonts w:hint="default" w:ascii="Times New Roman" w:hAnsi="Times New Roman" w:eastAsia="宋体" w:cs="Times New Roman"/>
                <w:color w:val="auto"/>
                <w:sz w:val="24"/>
                <w:szCs w:val="32"/>
                <w:u w:val="none" w:color="auto"/>
              </w:rPr>
              <w:t>施工期排放的废水主要</w:t>
            </w:r>
            <w:r>
              <w:rPr>
                <w:rFonts w:hint="default" w:ascii="Times New Roman" w:hAnsi="Times New Roman" w:eastAsia="宋体" w:cs="Times New Roman"/>
                <w:color w:val="auto"/>
                <w:sz w:val="24"/>
                <w:szCs w:val="32"/>
                <w:u w:val="none" w:color="auto"/>
                <w:lang w:eastAsia="zh-CN"/>
              </w:rPr>
              <w:t>是</w:t>
            </w:r>
            <w:r>
              <w:rPr>
                <w:rFonts w:hint="default" w:ascii="Times New Roman" w:hAnsi="Times New Roman" w:eastAsia="宋体" w:cs="Times New Roman"/>
                <w:color w:val="auto"/>
                <w:sz w:val="24"/>
                <w:szCs w:val="32"/>
                <w:u w:val="none" w:color="auto"/>
              </w:rPr>
              <w:t>施工人员产生的生活污</w:t>
            </w:r>
            <w:r>
              <w:rPr>
                <w:rFonts w:hint="default" w:ascii="Times New Roman" w:hAnsi="Times New Roman" w:eastAsia="宋体" w:cs="Times New Roman"/>
                <w:color w:val="auto"/>
                <w:sz w:val="24"/>
                <w:szCs w:val="32"/>
                <w:u w:val="none" w:color="auto"/>
                <w:lang w:eastAsia="zh-CN"/>
              </w:rPr>
              <w:t>。</w:t>
            </w:r>
            <w:r>
              <w:rPr>
                <w:rFonts w:hint="default" w:ascii="Times New Roman" w:hAnsi="Times New Roman" w:eastAsia="宋体" w:cs="Times New Roman"/>
                <w:color w:val="auto"/>
                <w:sz w:val="24"/>
                <w:szCs w:val="32"/>
                <w:u w:val="none" w:color="auto"/>
                <w:lang w:val="en-US" w:eastAsia="zh-CN"/>
              </w:rPr>
              <w:t>对设备基地固定后地面残留的碎石渣滓采用干清工艺进行清理，无清洗废水产生。</w:t>
            </w:r>
          </w:p>
          <w:p w14:paraId="6361EF98">
            <w:pPr>
              <w:widowControl/>
              <w:spacing w:line="360" w:lineRule="auto"/>
              <w:ind w:firstLine="480" w:firstLineChars="200"/>
              <w:rPr>
                <w:rFonts w:hint="default" w:ascii="Times New Roman" w:hAnsi="Times New Roman" w:eastAsia="宋体" w:cs="Times New Roman"/>
                <w:color w:val="auto"/>
                <w:sz w:val="24"/>
                <w:szCs w:val="32"/>
                <w:u w:val="none" w:color="auto"/>
              </w:rPr>
            </w:pPr>
            <w:r>
              <w:rPr>
                <w:rFonts w:hint="default" w:ascii="Times New Roman" w:hAnsi="Times New Roman" w:eastAsia="宋体" w:cs="Times New Roman"/>
                <w:color w:val="auto"/>
                <w:sz w:val="24"/>
                <w:szCs w:val="32"/>
                <w:u w:val="none" w:color="auto"/>
              </w:rPr>
              <w:t>项目施工人员最大按50人计，按照人均日用水量约150L，按80%的排放率，人均日排水量约120L，本项目施工期产生的生活污水量为6m</w:t>
            </w:r>
            <w:r>
              <w:rPr>
                <w:rFonts w:hint="default" w:ascii="Times New Roman" w:hAnsi="Times New Roman" w:eastAsia="宋体" w:cs="Times New Roman"/>
                <w:color w:val="auto"/>
                <w:sz w:val="24"/>
                <w:szCs w:val="32"/>
                <w:u w:val="none" w:color="auto"/>
                <w:vertAlign w:val="superscript"/>
              </w:rPr>
              <w:t>3</w:t>
            </w:r>
            <w:r>
              <w:rPr>
                <w:rFonts w:hint="default" w:ascii="Times New Roman" w:hAnsi="Times New Roman" w:eastAsia="宋体" w:cs="Times New Roman"/>
                <w:color w:val="auto"/>
                <w:sz w:val="24"/>
                <w:szCs w:val="32"/>
                <w:u w:val="none" w:color="auto"/>
              </w:rPr>
              <w:t>/d。参考同类工程生活污水的排放浓度，生活污水中主要污染物COD为300mg/L，氨氮为30mg/L。对施工期的生活废水依托</w:t>
            </w:r>
            <w:r>
              <w:rPr>
                <w:rFonts w:hint="default" w:ascii="Times New Roman" w:hAnsi="Times New Roman" w:eastAsia="宋体" w:cs="Times New Roman"/>
                <w:color w:val="auto"/>
                <w:sz w:val="24"/>
                <w:szCs w:val="24"/>
                <w:highlight w:val="none"/>
                <w:u w:val="none" w:color="auto"/>
                <w:lang w:val="en-US" w:eastAsia="zh-CN"/>
              </w:rPr>
              <w:t>湖南中创空天新材料有限公司现有厂区、</w:t>
            </w:r>
            <w:r>
              <w:rPr>
                <w:rFonts w:hint="default" w:ascii="Times New Roman" w:hAnsi="Times New Roman" w:eastAsia="宋体" w:cs="Times New Roman"/>
                <w:color w:val="auto"/>
                <w:sz w:val="24"/>
                <w:szCs w:val="24"/>
                <w:highlight w:val="none"/>
                <w:u w:val="none" w:color="auto"/>
              </w:rPr>
              <w:t>湖南城陵矶临港高新产业园</w:t>
            </w:r>
            <w:r>
              <w:rPr>
                <w:rFonts w:hint="default" w:ascii="Times New Roman" w:hAnsi="Times New Roman" w:eastAsia="宋体" w:cs="Times New Roman"/>
                <w:color w:val="auto"/>
                <w:sz w:val="24"/>
                <w:szCs w:val="32"/>
                <w:u w:val="none" w:color="auto"/>
              </w:rPr>
              <w:t>已建的化粪池进行处理，经已建污水管网</w:t>
            </w:r>
            <w:r>
              <w:rPr>
                <w:rFonts w:hint="default" w:ascii="Times New Roman" w:hAnsi="Times New Roman" w:eastAsia="宋体" w:cs="Times New Roman"/>
                <w:color w:val="auto"/>
                <w:sz w:val="24"/>
                <w:szCs w:val="32"/>
                <w:u w:val="none" w:color="auto"/>
                <w:lang w:val="en-US" w:eastAsia="zh-CN"/>
              </w:rPr>
              <w:t>进入</w:t>
            </w:r>
            <w:r>
              <w:rPr>
                <w:rFonts w:hint="default" w:ascii="Times New Roman" w:hAnsi="Times New Roman" w:eastAsia="宋体" w:cs="Times New Roman"/>
                <w:color w:val="auto"/>
                <w:sz w:val="24"/>
                <w:szCs w:val="32"/>
                <w:u w:val="none" w:color="auto"/>
              </w:rPr>
              <w:t>城陵矶临港产业新区污水处理厂</w:t>
            </w:r>
            <w:r>
              <w:rPr>
                <w:rFonts w:hint="default" w:ascii="Times New Roman" w:hAnsi="Times New Roman" w:eastAsia="宋体" w:cs="Times New Roman"/>
                <w:color w:val="auto"/>
                <w:sz w:val="24"/>
                <w:szCs w:val="32"/>
                <w:u w:val="none" w:color="auto"/>
                <w:lang w:val="en-US" w:eastAsia="zh-CN"/>
              </w:rPr>
              <w:t>深度</w:t>
            </w:r>
            <w:r>
              <w:rPr>
                <w:rFonts w:hint="default" w:ascii="Times New Roman" w:hAnsi="Times New Roman" w:eastAsia="宋体" w:cs="Times New Roman"/>
                <w:color w:val="auto"/>
                <w:sz w:val="24"/>
                <w:szCs w:val="32"/>
                <w:u w:val="none" w:color="auto"/>
              </w:rPr>
              <w:t>处理后外排。</w:t>
            </w:r>
          </w:p>
          <w:p w14:paraId="3F3189B6">
            <w:pPr>
              <w:widowControl/>
              <w:spacing w:line="360" w:lineRule="auto"/>
              <w:ind w:firstLine="480" w:firstLineChars="200"/>
              <w:rPr>
                <w:rFonts w:hint="default" w:ascii="Times New Roman" w:hAnsi="Times New Roman" w:eastAsia="宋体" w:cs="Times New Roman"/>
                <w:color w:val="auto"/>
                <w:sz w:val="24"/>
                <w:szCs w:val="32"/>
                <w:u w:val="none" w:color="auto"/>
              </w:rPr>
            </w:pPr>
            <w:r>
              <w:rPr>
                <w:rFonts w:hint="default" w:ascii="Times New Roman" w:hAnsi="Times New Roman" w:eastAsia="宋体" w:cs="Times New Roman"/>
                <w:color w:val="auto"/>
                <w:sz w:val="24"/>
                <w:u w:val="none" w:color="auto"/>
                <w:lang w:eastAsia="zh-CN"/>
              </w:rPr>
              <w:t>（</w:t>
            </w:r>
            <w:r>
              <w:rPr>
                <w:rFonts w:hint="default" w:ascii="Times New Roman" w:hAnsi="Times New Roman" w:eastAsia="宋体" w:cs="Times New Roman"/>
                <w:color w:val="auto"/>
                <w:sz w:val="24"/>
                <w:u w:val="none" w:color="auto"/>
                <w:lang w:val="en-US" w:eastAsia="zh-CN"/>
              </w:rPr>
              <w:t>3</w:t>
            </w:r>
            <w:r>
              <w:rPr>
                <w:rFonts w:hint="default" w:ascii="Times New Roman" w:hAnsi="Times New Roman" w:eastAsia="宋体" w:cs="Times New Roman"/>
                <w:color w:val="auto"/>
                <w:sz w:val="24"/>
                <w:u w:val="none" w:color="auto"/>
                <w:lang w:eastAsia="zh-CN"/>
              </w:rPr>
              <w:t>）</w:t>
            </w:r>
            <w:r>
              <w:rPr>
                <w:rFonts w:hint="default" w:ascii="Times New Roman" w:hAnsi="Times New Roman" w:eastAsia="宋体" w:cs="Times New Roman"/>
                <w:color w:val="auto"/>
                <w:sz w:val="24"/>
                <w:szCs w:val="32"/>
                <w:u w:val="none" w:color="auto"/>
              </w:rPr>
              <w:t>噪声</w:t>
            </w:r>
          </w:p>
          <w:p w14:paraId="6A7CEFBE">
            <w:pPr>
              <w:widowControl/>
              <w:spacing w:line="360" w:lineRule="auto"/>
              <w:ind w:firstLine="480" w:firstLineChars="200"/>
              <w:rPr>
                <w:rFonts w:hint="default" w:ascii="Times New Roman" w:hAnsi="Times New Roman" w:eastAsia="宋体" w:cs="Times New Roman"/>
                <w:color w:val="auto"/>
                <w:sz w:val="24"/>
                <w:szCs w:val="32"/>
                <w:u w:val="none" w:color="auto"/>
              </w:rPr>
            </w:pPr>
            <w:r>
              <w:rPr>
                <w:rFonts w:hint="default" w:ascii="Times New Roman" w:hAnsi="Times New Roman" w:eastAsia="宋体" w:cs="Times New Roman"/>
                <w:color w:val="auto"/>
                <w:sz w:val="24"/>
                <w:szCs w:val="32"/>
                <w:u w:val="none" w:color="auto"/>
              </w:rPr>
              <w:t>项目施工过程产生的噪声主要来自施工机械和运输车辆，施工机械和运输车辆的单体声级一般均在80dB（A）以上，施工机械和运输车辆的噪声将影响施工场地周围区域声环境质量，主要为</w:t>
            </w:r>
            <w:r>
              <w:rPr>
                <w:rFonts w:hint="default" w:ascii="Times New Roman" w:hAnsi="Times New Roman" w:eastAsia="宋体" w:cs="Times New Roman"/>
                <w:color w:val="auto"/>
                <w:sz w:val="24"/>
                <w:szCs w:val="32"/>
                <w:u w:val="none" w:color="auto"/>
                <w:lang w:val="en-US" w:eastAsia="zh-CN"/>
              </w:rPr>
              <w:t>设备地基固定施工（如打孔）产生的</w:t>
            </w:r>
            <w:r>
              <w:rPr>
                <w:rFonts w:hint="default" w:ascii="Times New Roman" w:hAnsi="Times New Roman" w:eastAsia="宋体" w:cs="Times New Roman"/>
                <w:color w:val="auto"/>
                <w:sz w:val="24"/>
                <w:szCs w:val="32"/>
                <w:u w:val="none" w:color="auto"/>
              </w:rPr>
              <w:t>施工噪声，在合理安排施工时间，合理组织施工的情况下，项目施工产生的噪声在可接受范围内。</w:t>
            </w:r>
          </w:p>
          <w:p w14:paraId="56064A0D">
            <w:pPr>
              <w:widowControl/>
              <w:spacing w:line="360" w:lineRule="auto"/>
              <w:ind w:firstLine="480" w:firstLineChars="200"/>
              <w:rPr>
                <w:rFonts w:hint="default" w:ascii="Times New Roman" w:hAnsi="Times New Roman" w:eastAsia="宋体" w:cs="Times New Roman"/>
                <w:color w:val="auto"/>
                <w:sz w:val="24"/>
                <w:szCs w:val="32"/>
                <w:u w:val="none" w:color="auto"/>
              </w:rPr>
            </w:pPr>
            <w:r>
              <w:rPr>
                <w:rFonts w:hint="default" w:ascii="Times New Roman" w:hAnsi="Times New Roman" w:eastAsia="宋体" w:cs="Times New Roman"/>
                <w:color w:val="auto"/>
                <w:sz w:val="24"/>
                <w:u w:val="none" w:color="auto"/>
                <w:lang w:eastAsia="zh-CN"/>
              </w:rPr>
              <w:t>（</w:t>
            </w:r>
            <w:r>
              <w:rPr>
                <w:rFonts w:hint="default" w:ascii="Times New Roman" w:hAnsi="Times New Roman" w:eastAsia="宋体" w:cs="Times New Roman"/>
                <w:color w:val="auto"/>
                <w:sz w:val="24"/>
                <w:u w:val="none" w:color="auto"/>
                <w:lang w:val="en-US" w:eastAsia="zh-CN"/>
              </w:rPr>
              <w:t>4</w:t>
            </w:r>
            <w:r>
              <w:rPr>
                <w:rFonts w:hint="default" w:ascii="Times New Roman" w:hAnsi="Times New Roman" w:eastAsia="宋体" w:cs="Times New Roman"/>
                <w:color w:val="auto"/>
                <w:sz w:val="24"/>
                <w:u w:val="none" w:color="auto"/>
                <w:lang w:eastAsia="zh-CN"/>
              </w:rPr>
              <w:t>）</w:t>
            </w:r>
            <w:r>
              <w:rPr>
                <w:rFonts w:hint="default" w:ascii="Times New Roman" w:hAnsi="Times New Roman" w:eastAsia="宋体" w:cs="Times New Roman"/>
                <w:color w:val="auto"/>
                <w:sz w:val="24"/>
                <w:szCs w:val="32"/>
                <w:u w:val="none" w:color="auto"/>
              </w:rPr>
              <w:t>固废</w:t>
            </w:r>
          </w:p>
          <w:p w14:paraId="4A53C27E">
            <w:pPr>
              <w:widowControl/>
              <w:spacing w:line="360" w:lineRule="auto"/>
              <w:ind w:firstLine="480" w:firstLineChars="200"/>
              <w:rPr>
                <w:rFonts w:hint="default" w:ascii="Times New Roman" w:hAnsi="Times New Roman" w:eastAsia="宋体" w:cs="Times New Roman"/>
                <w:color w:val="auto"/>
                <w:sz w:val="24"/>
                <w:szCs w:val="32"/>
                <w:u w:val="none" w:color="auto"/>
              </w:rPr>
            </w:pPr>
            <w:r>
              <w:rPr>
                <w:rFonts w:hint="default" w:ascii="Times New Roman" w:hAnsi="Times New Roman" w:eastAsia="宋体" w:cs="Times New Roman"/>
                <w:color w:val="auto"/>
                <w:sz w:val="24"/>
                <w:szCs w:val="32"/>
                <w:u w:val="none" w:color="auto"/>
              </w:rPr>
              <w:t>施工期间固体废物主要</w:t>
            </w:r>
            <w:r>
              <w:rPr>
                <w:rFonts w:hint="default" w:ascii="Times New Roman" w:hAnsi="Times New Roman" w:eastAsia="宋体" w:cs="Times New Roman"/>
                <w:color w:val="auto"/>
                <w:sz w:val="24"/>
                <w:szCs w:val="32"/>
                <w:u w:val="none" w:color="auto"/>
                <w:lang w:val="en-US" w:eastAsia="zh-CN"/>
              </w:rPr>
              <w:t>来自</w:t>
            </w:r>
            <w:r>
              <w:rPr>
                <w:rFonts w:hint="default" w:ascii="Times New Roman" w:hAnsi="Times New Roman" w:eastAsia="宋体" w:cs="Times New Roman"/>
                <w:color w:val="auto"/>
                <w:sz w:val="24"/>
                <w:szCs w:val="32"/>
                <w:u w:val="none" w:color="auto"/>
              </w:rPr>
              <w:t>施工人员的生活垃圾</w:t>
            </w:r>
            <w:r>
              <w:rPr>
                <w:rFonts w:hint="default" w:ascii="Times New Roman" w:hAnsi="Times New Roman" w:eastAsia="宋体" w:cs="Times New Roman"/>
                <w:color w:val="auto"/>
                <w:sz w:val="24"/>
                <w:szCs w:val="32"/>
                <w:u w:val="none" w:color="auto"/>
                <w:lang w:eastAsia="zh-CN"/>
              </w:rPr>
              <w:t>，</w:t>
            </w:r>
            <w:r>
              <w:rPr>
                <w:rFonts w:hint="default" w:ascii="Times New Roman" w:hAnsi="Times New Roman" w:eastAsia="宋体" w:cs="Times New Roman"/>
                <w:color w:val="auto"/>
                <w:sz w:val="24"/>
                <w:szCs w:val="32"/>
                <w:u w:val="none" w:color="auto"/>
                <w:lang w:val="en-US" w:eastAsia="zh-CN"/>
              </w:rPr>
              <w:t>部分设备区域钻孔灌注产生的建筑垃圾</w:t>
            </w:r>
            <w:r>
              <w:rPr>
                <w:rFonts w:hint="default" w:ascii="Times New Roman" w:hAnsi="Times New Roman" w:eastAsia="宋体" w:cs="Times New Roman"/>
                <w:color w:val="auto"/>
                <w:sz w:val="24"/>
                <w:szCs w:val="32"/>
                <w:u w:val="none" w:color="auto"/>
              </w:rPr>
              <w:t>等。这些固体废物的产生情况如下：</w:t>
            </w:r>
          </w:p>
          <w:p w14:paraId="0A593996">
            <w:pPr>
              <w:widowControl/>
              <w:spacing w:line="360" w:lineRule="auto"/>
              <w:ind w:firstLine="480" w:firstLineChars="200"/>
              <w:rPr>
                <w:rFonts w:hint="default" w:ascii="Times New Roman" w:hAnsi="Times New Roman" w:eastAsia="宋体" w:cs="Times New Roman"/>
                <w:color w:val="auto"/>
                <w:sz w:val="24"/>
                <w:szCs w:val="32"/>
                <w:u w:val="none" w:color="auto"/>
              </w:rPr>
            </w:pPr>
            <w:r>
              <w:rPr>
                <w:rFonts w:hint="default" w:ascii="Times New Roman" w:hAnsi="Times New Roman" w:eastAsia="宋体" w:cs="Times New Roman"/>
                <w:color w:val="auto"/>
                <w:sz w:val="24"/>
                <w:szCs w:val="32"/>
                <w:u w:val="none" w:color="auto"/>
              </w:rPr>
              <w:t>建筑垃圾：施工期产生的建筑垃圾包括废弃的建筑材料等。由于建筑垃圾类别和性质不同，工程在施工过程中应对这类固体废物进行分类收集，分别处理。</w:t>
            </w:r>
          </w:p>
          <w:p w14:paraId="47BAE090">
            <w:pPr>
              <w:adjustRightInd w:val="0"/>
              <w:snapToGrid w:val="0"/>
              <w:spacing w:line="360" w:lineRule="auto"/>
              <w:ind w:firstLine="480" w:firstLineChars="200"/>
              <w:rPr>
                <w:rFonts w:hint="default" w:ascii="Times New Roman" w:hAnsi="Times New Roman" w:eastAsia="宋体" w:cs="Times New Roman"/>
                <w:color w:val="auto"/>
                <w:kern w:val="0"/>
                <w:sz w:val="23"/>
                <w:szCs w:val="23"/>
                <w:highlight w:val="none"/>
                <w:u w:val="none" w:color="auto"/>
                <w:lang w:val="en-US" w:eastAsia="zh-CN" w:bidi="ar"/>
              </w:rPr>
            </w:pPr>
            <w:r>
              <w:rPr>
                <w:rFonts w:hint="default" w:ascii="Times New Roman" w:hAnsi="Times New Roman" w:eastAsia="宋体" w:cs="Times New Roman"/>
                <w:color w:val="auto"/>
                <w:sz w:val="24"/>
                <w:szCs w:val="32"/>
                <w:u w:val="none" w:color="auto"/>
              </w:rPr>
              <w:t>生活垃圾：项目施工人员最大按50人计，施工现场不设施工营地和食堂，每天的垃圾产生量按0.5kg/人·d计算，项目施工期约为10个月（300天），整个施工期生活垃圾产生量为7.5t，本项目施工期生活垃圾进行集中收集后交环卫部门处理</w:t>
            </w:r>
            <w:r>
              <w:rPr>
                <w:rFonts w:hint="default" w:ascii="Times New Roman" w:hAnsi="Times New Roman" w:eastAsia="宋体" w:cs="Times New Roman"/>
                <w:bCs/>
                <w:color w:val="auto"/>
                <w:sz w:val="24"/>
                <w:u w:val="none" w:color="auto"/>
              </w:rPr>
              <w:t>。</w:t>
            </w:r>
          </w:p>
          <w:p w14:paraId="2E114877">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bCs/>
                <w:color w:val="auto"/>
                <w:sz w:val="24"/>
                <w:szCs w:val="24"/>
                <w:highlight w:val="none"/>
                <w:u w:val="none" w:color="auto"/>
              </w:rPr>
            </w:pPr>
            <w:r>
              <w:rPr>
                <w:rFonts w:hint="default" w:ascii="Times New Roman" w:hAnsi="Times New Roman" w:eastAsia="宋体" w:cs="Times New Roman"/>
                <w:b/>
                <w:bCs/>
                <w:color w:val="auto"/>
                <w:sz w:val="24"/>
                <w:szCs w:val="24"/>
                <w:highlight w:val="none"/>
                <w:u w:val="none" w:color="auto"/>
                <w:lang w:val="en-US" w:eastAsia="zh-CN"/>
              </w:rPr>
              <w:t>二</w:t>
            </w:r>
            <w:r>
              <w:rPr>
                <w:rFonts w:hint="default" w:ascii="Times New Roman" w:hAnsi="Times New Roman" w:eastAsia="宋体" w:cs="Times New Roman"/>
                <w:b/>
                <w:bCs/>
                <w:color w:val="auto"/>
                <w:sz w:val="24"/>
                <w:szCs w:val="24"/>
                <w:highlight w:val="none"/>
                <w:u w:val="none" w:color="auto"/>
              </w:rPr>
              <w:t>、运营期</w:t>
            </w:r>
          </w:p>
          <w:p w14:paraId="376C9D8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color w:val="auto"/>
                <w:sz w:val="24"/>
                <w:highlight w:val="none"/>
                <w:u w:val="none" w:color="auto"/>
                <w:lang w:val="en-US" w:eastAsia="zh-CN"/>
              </w:rPr>
            </w:pPr>
            <w:r>
              <w:rPr>
                <w:rFonts w:hint="default" w:ascii="Times New Roman" w:hAnsi="Times New Roman" w:eastAsia="宋体" w:cs="Times New Roman"/>
                <w:bCs/>
                <w:color w:val="auto"/>
                <w:sz w:val="24"/>
                <w:szCs w:val="21"/>
                <w:highlight w:val="none"/>
                <w:u w:val="none" w:color="auto"/>
              </w:rPr>
              <w:t>本项目生产工艺紧随行业最新标准要求，采用一体化铝合金压铸工艺，产品实现自动浇注、冷却、脱模一体化生产，配套高自动化机加工生产线，实现去飞边、机加工流程全自动化生产。</w:t>
            </w:r>
          </w:p>
          <w:p w14:paraId="14122A4D">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bCs w:val="0"/>
                <w:color w:val="auto"/>
                <w:sz w:val="24"/>
                <w:szCs w:val="24"/>
                <w:highlight w:val="none"/>
                <w:u w:val="none" w:color="auto"/>
                <w:lang w:val="en-US" w:eastAsia="zh-CN"/>
              </w:rPr>
            </w:pPr>
            <w:r>
              <w:rPr>
                <w:rFonts w:hint="default" w:ascii="Times New Roman" w:hAnsi="Times New Roman" w:eastAsia="宋体" w:cs="Times New Roman"/>
                <w:b/>
                <w:bCs w:val="0"/>
                <w:color w:val="auto"/>
                <w:sz w:val="24"/>
                <w:szCs w:val="24"/>
                <w:highlight w:val="none"/>
                <w:u w:val="none" w:color="auto"/>
                <w:lang w:val="en-US" w:eastAsia="zh-CN"/>
              </w:rPr>
              <w:t>1、铝合金生产工艺流程及产污节点</w:t>
            </w:r>
          </w:p>
          <w:p w14:paraId="2DB64DC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auto"/>
                <w:sz w:val="24"/>
                <w:szCs w:val="21"/>
                <w:highlight w:val="none"/>
                <w:u w:val="none" w:color="auto"/>
                <w:lang w:val="en-US" w:eastAsia="zh-CN"/>
              </w:rPr>
            </w:pPr>
            <w:r>
              <w:rPr>
                <w:rFonts w:hint="default" w:ascii="Times New Roman" w:hAnsi="Times New Roman" w:eastAsia="宋体" w:cs="Times New Roman"/>
                <w:bCs/>
                <w:color w:val="auto"/>
                <w:sz w:val="24"/>
                <w:szCs w:val="21"/>
                <w:highlight w:val="none"/>
                <w:u w:val="none" w:color="auto"/>
                <w:lang w:val="en-US" w:eastAsia="zh-CN"/>
              </w:rPr>
              <w:t>具体工艺流程详见下图：</w:t>
            </w:r>
          </w:p>
          <w:p w14:paraId="18D90C8C">
            <w:pPr>
              <w:pStyle w:val="30"/>
              <w:rPr>
                <w:rFonts w:hint="default" w:ascii="Times New Roman" w:hAnsi="Times New Roman" w:eastAsia="宋体" w:cs="Times New Roman"/>
                <w:bCs/>
                <w:color w:val="auto"/>
                <w:sz w:val="24"/>
                <w:szCs w:val="21"/>
                <w:highlight w:val="none"/>
                <w:u w:val="none" w:color="auto"/>
                <w:lang w:val="en-US" w:eastAsia="zh-CN"/>
              </w:rPr>
            </w:pPr>
          </w:p>
          <w:p w14:paraId="16213B5E">
            <w:pPr>
              <w:bidi w:val="0"/>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object>
                <v:shape id="_x0000_i1032" o:spt="75" type="#_x0000_t75" style="height:343.8pt;width:420.55pt;" o:ole="t" filled="f" o:preferrelative="t" stroked="f" coordsize="21600,21600">
                  <v:path/>
                  <v:fill on="f" focussize="0,0"/>
                  <v:stroke on="f"/>
                  <v:imagedata r:id="rId35" o:title=""/>
                  <o:lock v:ext="edit" aspectratio="f"/>
                  <w10:wrap type="none"/>
                  <w10:anchorlock/>
                </v:shape>
                <o:OLEObject Type="Embed" ProgID="Visio.Drawing.11" ShapeID="_x0000_i1032" DrawAspect="Content" ObjectID="_1468075732" r:id="rId34">
                  <o:LockedField>false</o:LockedField>
                </o:OLEObject>
              </w:object>
            </w:r>
          </w:p>
          <w:p w14:paraId="18C6D1D5">
            <w:pPr>
              <w:keepNext w:val="0"/>
              <w:keepLines w:val="0"/>
              <w:pageBreakBefore w:val="0"/>
              <w:widowControl w:val="0"/>
              <w:kinsoku/>
              <w:wordWrap/>
              <w:overflowPunct/>
              <w:topLinePunct w:val="0"/>
              <w:autoSpaceDE/>
              <w:autoSpaceDN/>
              <w:bidi w:val="0"/>
              <w:adjustRightInd/>
              <w:snapToGrid/>
              <w:spacing w:line="240" w:lineRule="auto"/>
              <w:ind w:firstLine="422" w:firstLineChars="200"/>
              <w:jc w:val="center"/>
              <w:textAlignment w:val="auto"/>
              <w:rPr>
                <w:rFonts w:hint="default" w:ascii="Times New Roman" w:hAnsi="Times New Roman" w:eastAsia="宋体" w:cs="Times New Roman"/>
                <w:b/>
                <w:bCs w:val="0"/>
                <w:color w:val="auto"/>
                <w:sz w:val="21"/>
                <w:szCs w:val="18"/>
                <w:highlight w:val="none"/>
                <w:u w:val="none" w:color="auto"/>
                <w:lang w:val="en-US" w:eastAsia="zh-CN"/>
              </w:rPr>
            </w:pPr>
            <w:r>
              <w:rPr>
                <w:rFonts w:hint="default" w:ascii="Times New Roman" w:hAnsi="Times New Roman" w:eastAsia="宋体" w:cs="Times New Roman"/>
                <w:b/>
                <w:bCs w:val="0"/>
                <w:color w:val="auto"/>
                <w:sz w:val="21"/>
                <w:szCs w:val="18"/>
                <w:highlight w:val="none"/>
                <w:u w:val="none" w:color="auto"/>
                <w:lang w:val="en-US" w:eastAsia="zh-CN"/>
              </w:rPr>
              <w:t>图2-8  铝合金生产工艺流程及产污节点</w:t>
            </w:r>
          </w:p>
          <w:p w14:paraId="7535AB3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auto"/>
                <w:sz w:val="24"/>
                <w:szCs w:val="24"/>
                <w:highlight w:val="none"/>
                <w:u w:val="none" w:color="auto"/>
                <w:lang w:val="en-US" w:eastAsia="zh-CN"/>
              </w:rPr>
            </w:pPr>
            <w:r>
              <w:rPr>
                <w:rFonts w:hint="default" w:ascii="Times New Roman" w:hAnsi="Times New Roman" w:eastAsia="宋体" w:cs="Times New Roman"/>
                <w:bCs/>
                <w:color w:val="auto"/>
                <w:sz w:val="24"/>
                <w:szCs w:val="24"/>
                <w:highlight w:val="none"/>
                <w:u w:val="none" w:color="auto"/>
                <w:lang w:val="en-US" w:eastAsia="zh-CN"/>
              </w:rPr>
              <w:t>（1）投料、熔化</w:t>
            </w:r>
          </w:p>
          <w:p w14:paraId="27BC6BD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auto"/>
                <w:sz w:val="24"/>
                <w:szCs w:val="24"/>
                <w:highlight w:val="none"/>
                <w:u w:val="none" w:color="auto"/>
                <w:lang w:val="en-US" w:eastAsia="zh-CN"/>
              </w:rPr>
            </w:pPr>
            <w:r>
              <w:rPr>
                <w:rFonts w:hint="default" w:ascii="Times New Roman" w:hAnsi="Times New Roman" w:eastAsia="宋体" w:cs="Times New Roman"/>
                <w:bCs/>
                <w:color w:val="auto"/>
                <w:sz w:val="24"/>
                <w:szCs w:val="24"/>
                <w:highlight w:val="none"/>
                <w:u w:val="none" w:color="auto"/>
                <w:lang w:val="en-US" w:eastAsia="zh-CN"/>
              </w:rPr>
              <w:t>根据所生产的铝合金质量标准及成分要求，将铝锭、铜板等单质金属按比例调配成标准合金比例，确定每炉装料量，按照配料规程配备每炉的炉料，经过配料计算，将所需的原料通过加料车进入炉内。铝锭和压铸产生的散碎料通过漩涡井添加入50t熔化炉，压铸硬料（硅锭、铜板）通过炉门添加入45t熔化炉。</w:t>
            </w:r>
          </w:p>
          <w:p w14:paraId="1ACBAEB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auto"/>
                <w:sz w:val="24"/>
                <w:szCs w:val="24"/>
                <w:highlight w:val="none"/>
                <w:u w:val="none" w:color="auto"/>
                <w:lang w:val="en-US" w:eastAsia="zh-CN"/>
              </w:rPr>
            </w:pPr>
            <w:r>
              <w:rPr>
                <w:rFonts w:hint="default" w:ascii="Times New Roman" w:hAnsi="Times New Roman" w:eastAsia="宋体" w:cs="Times New Roman"/>
                <w:bCs/>
                <w:color w:val="auto"/>
                <w:sz w:val="24"/>
                <w:szCs w:val="24"/>
                <w:highlight w:val="none"/>
                <w:u w:val="none" w:color="auto"/>
                <w:lang w:val="en-US" w:eastAsia="zh-CN"/>
              </w:rPr>
              <w:t>熔化炉均使用生物颗粒为燃料，采用半气化燃烧方式，熔炼过程炉膛温度控制在1000-1100℃，铝液温度710℃-750℃。熔炼时间约为7.5小时，生物质颗粒燃烧废气与熔炼废气一同处理。</w:t>
            </w:r>
          </w:p>
          <w:p w14:paraId="44500C7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auto"/>
                <w:sz w:val="24"/>
                <w:szCs w:val="24"/>
                <w:highlight w:val="none"/>
                <w:u w:val="none" w:color="auto"/>
                <w:lang w:val="en-US" w:eastAsia="zh-CN"/>
              </w:rPr>
            </w:pPr>
            <w:r>
              <w:rPr>
                <w:rFonts w:hint="default" w:ascii="Times New Roman" w:hAnsi="Times New Roman" w:eastAsia="宋体" w:cs="Times New Roman"/>
                <w:bCs/>
                <w:color w:val="auto"/>
                <w:sz w:val="24"/>
                <w:szCs w:val="24"/>
                <w:highlight w:val="none"/>
                <w:u w:val="none" w:color="auto"/>
                <w:lang w:val="en-US" w:eastAsia="zh-CN"/>
              </w:rPr>
              <w:t>（2）成分调整、搅拌</w:t>
            </w:r>
          </w:p>
          <w:p w14:paraId="2107238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auto"/>
                <w:sz w:val="24"/>
                <w:szCs w:val="24"/>
                <w:highlight w:val="none"/>
                <w:u w:val="none" w:color="auto"/>
                <w:lang w:val="en-US" w:eastAsia="zh-CN"/>
              </w:rPr>
            </w:pPr>
            <w:r>
              <w:rPr>
                <w:rFonts w:hint="default" w:ascii="Times New Roman" w:hAnsi="Times New Roman" w:eastAsia="宋体" w:cs="Times New Roman"/>
                <w:bCs/>
                <w:color w:val="auto"/>
                <w:sz w:val="24"/>
                <w:szCs w:val="24"/>
                <w:highlight w:val="none"/>
                <w:u w:val="none" w:color="auto"/>
                <w:lang w:val="en-US" w:eastAsia="zh-CN"/>
              </w:rPr>
              <w:t>使用铝液提升泵将50T熔化炉内铝液抽至45吨熔化炉，搅拌使合金成分均匀分布，在45吨熔化炉取预配样并进行光谱成分检测，计算成分实际值与目标值的差值，采用添加其他单质金属（硅锭、铜板）将铝液成分调至目标值，成分合格后搅拌铝液转注至保温炉内。</w:t>
            </w:r>
          </w:p>
          <w:p w14:paraId="7348A69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auto"/>
                <w:sz w:val="24"/>
                <w:szCs w:val="24"/>
                <w:highlight w:val="none"/>
                <w:u w:val="none" w:color="auto"/>
                <w:lang w:val="en-US" w:eastAsia="zh-CN"/>
              </w:rPr>
            </w:pPr>
            <w:r>
              <w:rPr>
                <w:rFonts w:hint="default" w:ascii="Times New Roman" w:hAnsi="Times New Roman" w:eastAsia="宋体" w:cs="Times New Roman"/>
                <w:bCs/>
                <w:color w:val="auto"/>
                <w:sz w:val="24"/>
                <w:szCs w:val="24"/>
                <w:highlight w:val="none"/>
                <w:u w:val="none" w:color="auto"/>
                <w:lang w:val="en-US" w:eastAsia="zh-CN"/>
              </w:rPr>
              <w:t>取样检测完后的样品重新回炉，因此无固废产生。</w:t>
            </w:r>
          </w:p>
          <w:p w14:paraId="438935D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auto"/>
                <w:sz w:val="24"/>
                <w:szCs w:val="24"/>
                <w:highlight w:val="none"/>
                <w:u w:val="none" w:color="auto"/>
                <w:lang w:val="en-US" w:eastAsia="zh-CN"/>
              </w:rPr>
            </w:pPr>
            <w:r>
              <w:rPr>
                <w:rFonts w:hint="default" w:ascii="Times New Roman" w:hAnsi="Times New Roman" w:eastAsia="宋体" w:cs="Times New Roman"/>
                <w:bCs/>
                <w:color w:val="auto"/>
                <w:sz w:val="24"/>
                <w:szCs w:val="24"/>
                <w:highlight w:val="none"/>
                <w:u w:val="none" w:color="auto"/>
                <w:lang w:val="en-US" w:eastAsia="zh-CN"/>
              </w:rPr>
              <w:t>（3）保温炉静置</w:t>
            </w:r>
          </w:p>
          <w:p w14:paraId="1CBC35F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auto"/>
                <w:sz w:val="24"/>
                <w:szCs w:val="24"/>
                <w:highlight w:val="none"/>
                <w:u w:val="none" w:color="auto"/>
                <w:lang w:val="en-US" w:eastAsia="zh-CN"/>
              </w:rPr>
            </w:pPr>
            <w:r>
              <w:rPr>
                <w:rFonts w:hint="default" w:ascii="Times New Roman" w:hAnsi="Times New Roman" w:eastAsia="宋体" w:cs="Times New Roman"/>
                <w:bCs/>
                <w:color w:val="auto"/>
                <w:sz w:val="24"/>
                <w:szCs w:val="24"/>
                <w:highlight w:val="none"/>
                <w:u w:val="none" w:color="auto"/>
                <w:lang w:val="en-US" w:eastAsia="zh-CN"/>
              </w:rPr>
              <w:t>将45t熔化炉内合格铝液通过铝液提升泵抽至35t保温炉，保温炉使用天然气加热保温30min。</w:t>
            </w:r>
          </w:p>
          <w:p w14:paraId="2E7F766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auto"/>
                <w:sz w:val="24"/>
                <w:szCs w:val="24"/>
                <w:highlight w:val="yellow"/>
                <w:u w:val="none" w:color="auto"/>
                <w:lang w:val="en-US" w:eastAsia="zh-CN"/>
              </w:rPr>
            </w:pPr>
            <w:r>
              <w:rPr>
                <w:rFonts w:hint="default" w:ascii="Times New Roman" w:hAnsi="Times New Roman" w:eastAsia="宋体" w:cs="Times New Roman"/>
                <w:bCs/>
                <w:color w:val="auto"/>
                <w:sz w:val="24"/>
                <w:szCs w:val="24"/>
                <w:highlight w:val="none"/>
                <w:u w:val="none" w:color="auto"/>
                <w:lang w:val="en-US" w:eastAsia="zh-CN"/>
              </w:rPr>
              <w:t>该过程主要产生天然气燃烧废气，与熔炼废气一同处理。</w:t>
            </w:r>
          </w:p>
          <w:p w14:paraId="6C64CEE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auto"/>
                <w:sz w:val="24"/>
                <w:szCs w:val="24"/>
                <w:highlight w:val="none"/>
                <w:u w:val="none" w:color="auto"/>
                <w:lang w:val="en-US" w:eastAsia="zh-CN"/>
              </w:rPr>
            </w:pPr>
            <w:r>
              <w:rPr>
                <w:rFonts w:hint="default" w:ascii="Times New Roman" w:hAnsi="Times New Roman" w:eastAsia="宋体" w:cs="Times New Roman"/>
                <w:bCs/>
                <w:color w:val="auto"/>
                <w:sz w:val="24"/>
                <w:szCs w:val="24"/>
                <w:highlight w:val="none"/>
                <w:u w:val="none" w:color="auto"/>
                <w:lang w:val="en-US" w:eastAsia="zh-CN"/>
              </w:rPr>
              <w:t>（4）铝液倒出、转运（包内除气）</w:t>
            </w:r>
          </w:p>
          <w:p w14:paraId="6D6BA9F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auto"/>
                <w:sz w:val="24"/>
                <w:szCs w:val="24"/>
                <w:highlight w:val="none"/>
                <w:u w:val="none" w:color="auto"/>
                <w:lang w:val="en-US" w:eastAsia="zh-CN"/>
              </w:rPr>
            </w:pPr>
            <w:r>
              <w:rPr>
                <w:rFonts w:hint="default" w:ascii="Times New Roman" w:hAnsi="Times New Roman" w:eastAsia="宋体" w:cs="Times New Roman"/>
                <w:bCs/>
                <w:color w:val="auto"/>
                <w:sz w:val="24"/>
                <w:szCs w:val="24"/>
                <w:highlight w:val="none"/>
                <w:u w:val="none" w:color="auto"/>
                <w:lang w:val="en-US" w:eastAsia="zh-CN"/>
              </w:rPr>
              <w:t>打开保温炉出口将铝液从低位流槽放流至浇包（使用天燃气燃烧保温），放满后使用叉车将浇包（铝水包）抬至除气机处除气，浇包除气为</w:t>
            </w:r>
            <w:r>
              <w:rPr>
                <w:rFonts w:hint="default" w:ascii="Times New Roman" w:hAnsi="Times New Roman" w:eastAsia="宋体" w:cs="Times New Roman"/>
                <w:color w:val="auto"/>
                <w:sz w:val="24"/>
                <w:szCs w:val="24"/>
                <w:highlight w:val="none"/>
                <w:u w:val="none" w:color="auto"/>
                <w:lang w:eastAsia="zh-CN"/>
              </w:rPr>
              <w:t>全封闭的真空</w:t>
            </w:r>
            <w:r>
              <w:rPr>
                <w:rFonts w:hint="default" w:ascii="Times New Roman" w:hAnsi="Times New Roman" w:eastAsia="宋体" w:cs="Times New Roman"/>
                <w:color w:val="auto"/>
                <w:sz w:val="24"/>
                <w:szCs w:val="24"/>
                <w:highlight w:val="none"/>
                <w:u w:val="none" w:color="auto"/>
              </w:rPr>
              <w:t>在线</w:t>
            </w:r>
            <w:r>
              <w:rPr>
                <w:rFonts w:hint="default" w:ascii="Times New Roman" w:hAnsi="Times New Roman" w:eastAsia="宋体" w:cs="Times New Roman"/>
                <w:color w:val="auto"/>
                <w:sz w:val="24"/>
                <w:szCs w:val="24"/>
                <w:highlight w:val="none"/>
                <w:u w:val="none" w:color="auto"/>
                <w:lang w:eastAsia="zh-CN"/>
              </w:rPr>
              <w:t>系统进行在线处理，对</w:t>
            </w:r>
            <w:r>
              <w:rPr>
                <w:rFonts w:hint="default" w:ascii="Times New Roman" w:hAnsi="Times New Roman" w:eastAsia="宋体" w:cs="Times New Roman"/>
                <w:color w:val="auto"/>
                <w:sz w:val="24"/>
                <w:szCs w:val="24"/>
                <w:highlight w:val="none"/>
                <w:u w:val="none" w:color="auto"/>
              </w:rPr>
              <w:t>铝熔体通入氩气对铝熔体进行除氢处理</w:t>
            </w:r>
            <w:r>
              <w:rPr>
                <w:rFonts w:hint="default" w:ascii="Times New Roman" w:hAnsi="Times New Roman" w:eastAsia="宋体" w:cs="Times New Roman"/>
                <w:color w:val="auto"/>
                <w:sz w:val="24"/>
                <w:szCs w:val="24"/>
                <w:highlight w:val="none"/>
                <w:u w:val="none" w:color="auto"/>
                <w:lang w:eastAsia="zh-CN"/>
              </w:rPr>
              <w:t>，</w:t>
            </w:r>
            <w:r>
              <w:rPr>
                <w:rFonts w:hint="default" w:ascii="Times New Roman" w:hAnsi="Times New Roman" w:eastAsia="宋体" w:cs="Times New Roman"/>
                <w:bCs/>
                <w:color w:val="auto"/>
                <w:sz w:val="24"/>
                <w:szCs w:val="24"/>
                <w:highlight w:val="none"/>
                <w:u w:val="none" w:color="auto"/>
                <w:lang w:val="en-US" w:eastAsia="zh-CN"/>
              </w:rPr>
              <w:t>除气结束将浇包内铝液倒到压铸机定量炉内。</w:t>
            </w:r>
          </w:p>
          <w:p w14:paraId="52AEC3B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auto"/>
                <w:sz w:val="24"/>
                <w:szCs w:val="24"/>
                <w:highlight w:val="none"/>
                <w:u w:val="none" w:color="auto"/>
                <w:lang w:val="en-US" w:eastAsia="zh-CN"/>
              </w:rPr>
            </w:pPr>
            <w:r>
              <w:rPr>
                <w:rFonts w:hint="default" w:ascii="Times New Roman" w:hAnsi="Times New Roman" w:eastAsia="宋体" w:cs="Times New Roman"/>
                <w:bCs/>
                <w:color w:val="auto"/>
                <w:sz w:val="24"/>
                <w:szCs w:val="24"/>
                <w:highlight w:val="none"/>
                <w:u w:val="none" w:color="auto"/>
                <w:lang w:val="en-US" w:eastAsia="zh-CN"/>
              </w:rPr>
              <w:t>由于项目采用单质金属混配重熔生产铝合金，因此在除气过程中仅对熔体通入氩气进行除气，向熔体中不断吹入氩气气泡，在气泡上浮过程中将氧化夹杂物（如氧化铝、硅酸盐等）和氢带出熔体液面，即可达到除气的目的，也可达到精炼的目的。除气一般需要30min，除气后的熔体须静置处理（时间10~20min），然后扒出浮渣。</w:t>
            </w:r>
          </w:p>
          <w:p w14:paraId="529761F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highlight w:val="none"/>
                <w:u w:val="none" w:color="auto"/>
                <w:lang w:val="en-US" w:eastAsia="zh-CN"/>
              </w:rPr>
            </w:pPr>
            <w:r>
              <w:rPr>
                <w:rFonts w:hint="default" w:ascii="Times New Roman" w:hAnsi="Times New Roman" w:eastAsia="宋体" w:cs="Times New Roman"/>
                <w:bCs/>
                <w:color w:val="auto"/>
                <w:sz w:val="24"/>
                <w:szCs w:val="24"/>
                <w:highlight w:val="none"/>
                <w:u w:val="none" w:color="auto"/>
                <w:lang w:val="en-US" w:eastAsia="zh-CN"/>
              </w:rPr>
              <w:t>在向浇包（铝水包）内通入氩气对铝熔体进行除气，氩气吹入铝液后，形成许多细小的气泡，夹杂与气泡相遇后会被吸附在气泡表面上并随气泡浮出熔体表面。根据分压差脱气原理，氩气泡中最初的平衡氢分压约为0，铝液中的平衡氢分压不为0，二者存在压差，使溶于金属中的氢不断扩散至气泡中，直至气泡中氢的平衡分压与铝液中氢的平衡分压相等。气泡浮出液面后熔体中的氢气将逸出进入大气，铝液表面的氧化物不能自动脱离气相而重新溶于铝液中，待聚集到一定数量时，即可机械去除。吹气过程中采用较低的通气压力和速度，这样可以扩大气泡的表面积，减缓气泡上升速率，从而去除较多的气体，同时也能起到除杂的作用。</w:t>
            </w:r>
          </w:p>
          <w:p w14:paraId="1AF7E4E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auto"/>
                <w:sz w:val="24"/>
                <w:szCs w:val="24"/>
                <w:highlight w:val="yellow"/>
                <w:u w:val="none" w:color="auto"/>
                <w:lang w:val="en-US" w:eastAsia="zh-CN"/>
              </w:rPr>
            </w:pPr>
            <w:r>
              <w:rPr>
                <w:rFonts w:hint="default" w:ascii="Times New Roman" w:hAnsi="Times New Roman" w:eastAsia="宋体" w:cs="Times New Roman"/>
                <w:bCs/>
                <w:color w:val="auto"/>
                <w:sz w:val="24"/>
                <w:szCs w:val="24"/>
                <w:highlight w:val="none"/>
                <w:u w:val="none" w:color="auto"/>
                <w:lang w:val="en-US" w:eastAsia="zh-CN"/>
              </w:rPr>
              <w:t>该过程主要产生天然气燃烧废气、氢气、铝灰渣。</w:t>
            </w:r>
          </w:p>
          <w:p w14:paraId="42956A2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auto"/>
                <w:sz w:val="24"/>
                <w:szCs w:val="24"/>
                <w:highlight w:val="none"/>
                <w:u w:val="none" w:color="auto"/>
                <w:lang w:val="en-US" w:eastAsia="zh-CN"/>
              </w:rPr>
            </w:pPr>
            <w:r>
              <w:rPr>
                <w:rFonts w:hint="default" w:ascii="Times New Roman" w:hAnsi="Times New Roman" w:eastAsia="宋体" w:cs="Times New Roman"/>
                <w:bCs/>
                <w:color w:val="auto"/>
                <w:sz w:val="24"/>
                <w:szCs w:val="24"/>
                <w:highlight w:val="none"/>
                <w:u w:val="none" w:color="auto"/>
                <w:lang w:val="en-US" w:eastAsia="zh-CN"/>
              </w:rPr>
              <w:t>（5）二次处理、球磨、筛分</w:t>
            </w:r>
          </w:p>
          <w:p w14:paraId="3C24BC8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auto"/>
                <w:sz w:val="24"/>
                <w:szCs w:val="24"/>
                <w:highlight w:val="none"/>
                <w:u w:val="none" w:color="auto"/>
                <w:lang w:val="en-US" w:eastAsia="zh-CN"/>
              </w:rPr>
            </w:pPr>
            <w:r>
              <w:rPr>
                <w:rFonts w:hint="default" w:ascii="Times New Roman" w:hAnsi="Times New Roman" w:eastAsia="宋体" w:cs="Times New Roman"/>
                <w:bCs/>
                <w:color w:val="auto"/>
                <w:sz w:val="24"/>
                <w:szCs w:val="24"/>
                <w:highlight w:val="none"/>
                <w:u w:val="none" w:color="auto"/>
                <w:lang w:val="en-US" w:eastAsia="zh-CN"/>
              </w:rPr>
              <w:t>使用立式搅拌机对浇包（铝水包）除气产生的铝灰进行二次处理，回收铝灰中的铝，处理后的铝水通过流槽流入50T熔化炉内。</w:t>
            </w:r>
          </w:p>
          <w:p w14:paraId="0088AB6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u w:val="none" w:color="auto"/>
                <w:lang w:val="en-US" w:eastAsia="zh-CN"/>
              </w:rPr>
            </w:pPr>
            <w:r>
              <w:rPr>
                <w:rFonts w:hint="default" w:ascii="Times New Roman" w:hAnsi="Times New Roman" w:eastAsia="宋体" w:cs="Times New Roman"/>
                <w:bCs/>
                <w:color w:val="auto"/>
                <w:sz w:val="24"/>
                <w:szCs w:val="24"/>
                <w:highlight w:val="none"/>
                <w:u w:val="none" w:color="auto"/>
                <w:lang w:val="en-US" w:eastAsia="zh-CN"/>
              </w:rPr>
              <w:t>拟建项目铝灰回收工艺采用单头炒灰设备工艺。在浇包（铝水包）扒出来的热铝灰铝渣装入密闭小车内，通过自动上料装置提起送入炒灰机内，由于浇包（铝水包）出来的铝渣内有高温铝水，且通过密闭措施运输，故运输过程无粉尘产生。经炒灰得到的较纯铝液流入专用保温吊包，返回50T熔化炉内作为原料再利用。剩余铝灰渣</w:t>
            </w:r>
            <w:r>
              <w:rPr>
                <w:rFonts w:hint="default" w:ascii="Times New Roman" w:hAnsi="Times New Roman" w:eastAsia="宋体" w:cs="Times New Roman"/>
                <w:color w:val="auto"/>
                <w:sz w:val="24"/>
                <w:szCs w:val="24"/>
                <w:highlight w:val="none"/>
                <w:u w:val="none" w:color="auto"/>
                <w:lang w:val="en-US" w:eastAsia="zh-CN"/>
              </w:rPr>
              <w:t>进冷灰机内，机器自动冷灰、打灰、筛灰。</w:t>
            </w:r>
          </w:p>
          <w:p w14:paraId="13D1017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auto"/>
                <w:sz w:val="24"/>
                <w:szCs w:val="24"/>
                <w:highlight w:val="none"/>
                <w:u w:val="none" w:color="auto"/>
                <w:lang w:val="en-US" w:eastAsia="zh-CN"/>
              </w:rPr>
            </w:pPr>
            <w:r>
              <w:rPr>
                <w:rFonts w:hint="default" w:ascii="Times New Roman" w:hAnsi="Times New Roman" w:eastAsia="宋体" w:cs="Times New Roman"/>
                <w:bCs/>
                <w:color w:val="auto"/>
                <w:sz w:val="24"/>
                <w:szCs w:val="24"/>
                <w:highlight w:val="none"/>
                <w:u w:val="none" w:color="auto"/>
                <w:lang w:val="en-US" w:eastAsia="zh-CN"/>
              </w:rPr>
              <w:t>①炒灰</w:t>
            </w:r>
          </w:p>
          <w:p w14:paraId="77720B8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auto"/>
                <w:sz w:val="24"/>
                <w:szCs w:val="24"/>
                <w:highlight w:val="none"/>
                <w:u w:val="none" w:color="auto"/>
                <w:lang w:val="en-US" w:eastAsia="zh-CN"/>
              </w:rPr>
            </w:pPr>
            <w:r>
              <w:rPr>
                <w:rFonts w:hint="default" w:ascii="Times New Roman" w:hAnsi="Times New Roman" w:eastAsia="宋体" w:cs="Times New Roman"/>
                <w:bCs/>
                <w:color w:val="auto"/>
                <w:sz w:val="24"/>
                <w:szCs w:val="24"/>
                <w:highlight w:val="none"/>
                <w:u w:val="none" w:color="auto"/>
                <w:lang w:val="en-US" w:eastAsia="zh-CN"/>
              </w:rPr>
              <w:t>浇包（铝水包）扒出的铝渣（含铝率约为≥90%）送至铝渣分离系统（炒灰机）进一步处理。利用炉底铝渣自燃原理产生的热能进行运转，运转过程中一段系统温度保持在800℃左右。工作过程中不停地旋转，将铝渣中铝液富集在一起，铝液通过分离器液体出口流至保温包，送50T熔化炉再利用。</w:t>
            </w:r>
          </w:p>
          <w:p w14:paraId="2CAC086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auto"/>
                <w:sz w:val="24"/>
                <w:szCs w:val="24"/>
                <w:highlight w:val="none"/>
                <w:u w:val="none" w:color="auto"/>
                <w:lang w:val="en-US" w:eastAsia="zh-CN"/>
              </w:rPr>
            </w:pPr>
            <w:r>
              <w:rPr>
                <w:rFonts w:hint="default" w:ascii="Times New Roman" w:hAnsi="Times New Roman" w:eastAsia="宋体" w:cs="Times New Roman"/>
                <w:bCs/>
                <w:color w:val="auto"/>
                <w:sz w:val="24"/>
                <w:szCs w:val="24"/>
                <w:highlight w:val="none"/>
                <w:u w:val="none" w:color="auto"/>
                <w:lang w:val="en-US" w:eastAsia="zh-CN"/>
              </w:rPr>
              <w:t>炒灰机（立式搅拌机）产生的粉尘，通过系统上方负压集气罩收集后，进入熔炼工艺收尘系统达标排放。</w:t>
            </w:r>
          </w:p>
          <w:p w14:paraId="1AFF58D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auto"/>
                <w:sz w:val="24"/>
                <w:szCs w:val="24"/>
                <w:highlight w:val="none"/>
                <w:u w:val="none" w:color="auto"/>
                <w:lang w:val="en-US" w:eastAsia="zh-CN"/>
              </w:rPr>
            </w:pPr>
            <w:r>
              <w:rPr>
                <w:rFonts w:hint="default" w:ascii="Times New Roman" w:hAnsi="Times New Roman" w:eastAsia="宋体" w:cs="Times New Roman"/>
                <w:bCs/>
                <w:color w:val="auto"/>
                <w:sz w:val="24"/>
                <w:szCs w:val="24"/>
                <w:highlight w:val="none"/>
                <w:u w:val="none" w:color="auto"/>
                <w:lang w:val="en-US" w:eastAsia="zh-CN"/>
              </w:rPr>
              <w:t>②铝灰冷却、球磨、筛分</w:t>
            </w:r>
          </w:p>
          <w:p w14:paraId="3435E04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auto"/>
                <w:sz w:val="24"/>
                <w:szCs w:val="24"/>
                <w:highlight w:val="none"/>
                <w:u w:val="none" w:color="auto"/>
                <w:lang w:val="en-US" w:eastAsia="zh-CN"/>
              </w:rPr>
            </w:pPr>
            <w:r>
              <w:rPr>
                <w:rFonts w:hint="default" w:ascii="Times New Roman" w:hAnsi="Times New Roman" w:eastAsia="宋体" w:cs="Times New Roman"/>
                <w:bCs/>
                <w:color w:val="auto"/>
                <w:sz w:val="24"/>
                <w:szCs w:val="24"/>
                <w:highlight w:val="none"/>
                <w:u w:val="none" w:color="auto"/>
                <w:lang w:val="en-US" w:eastAsia="zh-CN"/>
              </w:rPr>
              <w:t>炒灰机（立式搅拌机）处理后的铝灰渣经密闭料斗采用叉车方式输送进冷灰桶冷却球磨，球磨后的铝灰依次经过20目、40目的三级筛分，20目以上的铝料返回到35t熔化炉里熔化铸锭，20~40目中间的中粒度铝灰返回到回转炉（炒灰机）里进行第二次炒灰，40目以下就是二次铝灰，冷灰桶采用循环冷却水间接冷却，铝灰渣冷却产生的烟气经冷灰桶配套集气罩收集后引入熔炼工序配套的除尘设施，冷灰桶循环冷却水循环使用。</w:t>
            </w:r>
          </w:p>
          <w:p w14:paraId="0ADDEC8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auto"/>
                <w:sz w:val="24"/>
                <w:szCs w:val="24"/>
                <w:highlight w:val="none"/>
                <w:u w:val="none" w:color="auto"/>
                <w:lang w:val="en-US" w:eastAsia="zh-CN"/>
              </w:rPr>
            </w:pPr>
            <w:r>
              <w:rPr>
                <w:rFonts w:hint="default" w:ascii="Times New Roman" w:hAnsi="Times New Roman" w:eastAsia="宋体" w:cs="Times New Roman"/>
                <w:bCs/>
                <w:color w:val="auto"/>
                <w:sz w:val="24"/>
                <w:szCs w:val="24"/>
                <w:highlight w:val="none"/>
                <w:u w:val="none" w:color="auto"/>
                <w:lang w:val="en-US" w:eastAsia="zh-CN"/>
              </w:rPr>
              <w:t>铝渣回收系统对铝渣进行炒灰回收铝料后，排出的铝灰渣及除尘设备收集的铝灰，作为危废委托资质单位处置。本项目生产工艺铝综合回收率可达95.7%。</w:t>
            </w:r>
          </w:p>
          <w:p w14:paraId="34041E0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auto"/>
                <w:sz w:val="24"/>
                <w:szCs w:val="24"/>
                <w:highlight w:val="yellow"/>
                <w:u w:val="none" w:color="auto"/>
                <w:lang w:val="en-US" w:eastAsia="zh-CN"/>
              </w:rPr>
            </w:pPr>
            <w:r>
              <w:rPr>
                <w:rFonts w:hint="default" w:ascii="Times New Roman" w:hAnsi="Times New Roman" w:eastAsia="宋体" w:cs="Times New Roman"/>
                <w:bCs/>
                <w:color w:val="auto"/>
                <w:sz w:val="24"/>
                <w:szCs w:val="24"/>
                <w:highlight w:val="none"/>
                <w:u w:val="none" w:color="auto"/>
                <w:lang w:val="en-US" w:eastAsia="zh-CN"/>
              </w:rPr>
              <w:t>铝渣回收系统采用一体式铝灰渣回收设备，炒灰、球磨、筛分过程产生铝灰渣回收废气，一起进入熔炼废气净化处理系统处理，熔铝渣回收过程仅炒灰投料过程会产生部分未收集逸散的无组织废气。</w:t>
            </w:r>
          </w:p>
          <w:p w14:paraId="267199A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auto"/>
                <w:sz w:val="24"/>
                <w:szCs w:val="24"/>
                <w:highlight w:val="none"/>
                <w:u w:val="none" w:color="auto"/>
                <w:lang w:val="en-US" w:eastAsia="zh-CN"/>
              </w:rPr>
            </w:pPr>
            <w:r>
              <w:rPr>
                <w:rFonts w:hint="default" w:ascii="Times New Roman" w:hAnsi="Times New Roman" w:eastAsia="宋体" w:cs="Times New Roman"/>
                <w:bCs/>
                <w:color w:val="auto"/>
                <w:sz w:val="24"/>
                <w:szCs w:val="24"/>
                <w:highlight w:val="none"/>
                <w:u w:val="none" w:color="auto"/>
                <w:lang w:val="en-US" w:eastAsia="zh-CN"/>
              </w:rPr>
              <w:t>（6）铝液转移、铝锭铸造</w:t>
            </w:r>
          </w:p>
          <w:p w14:paraId="25688ED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auto"/>
                <w:sz w:val="24"/>
                <w:szCs w:val="24"/>
                <w:highlight w:val="none"/>
                <w:u w:val="none" w:color="auto"/>
                <w:lang w:val="en-US" w:eastAsia="zh-CN"/>
              </w:rPr>
            </w:pPr>
            <w:r>
              <w:rPr>
                <w:rFonts w:hint="default" w:ascii="Times New Roman" w:hAnsi="Times New Roman" w:eastAsia="宋体" w:cs="Times New Roman"/>
                <w:bCs/>
                <w:color w:val="auto"/>
                <w:sz w:val="24"/>
                <w:szCs w:val="24"/>
                <w:highlight w:val="none"/>
                <w:u w:val="none" w:color="auto"/>
                <w:lang w:val="en-US" w:eastAsia="zh-CN"/>
              </w:rPr>
              <w:t>将已除气完成后的浇包（铝水包）转移至熔铸二厂用于生产压铸件（工艺详见“2、压铸工艺流程”）</w:t>
            </w:r>
          </w:p>
          <w:p w14:paraId="28C232C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auto"/>
                <w:sz w:val="24"/>
                <w:szCs w:val="21"/>
                <w:highlight w:val="none"/>
                <w:u w:val="none" w:color="auto"/>
                <w:lang w:val="en-US" w:eastAsia="zh-CN"/>
              </w:rPr>
            </w:pPr>
            <w:r>
              <w:rPr>
                <w:rFonts w:hint="default" w:ascii="Times New Roman" w:hAnsi="Times New Roman" w:eastAsia="宋体" w:cs="Times New Roman"/>
                <w:bCs/>
                <w:color w:val="auto"/>
                <w:sz w:val="24"/>
                <w:szCs w:val="24"/>
                <w:highlight w:val="none"/>
                <w:u w:val="none" w:color="auto"/>
                <w:lang w:val="en-US" w:eastAsia="zh-CN"/>
              </w:rPr>
              <w:t>多余的铝水铸造成铝锭，铸锭机包括铸造流槽、铸锭机、码垛机器人及配套设施。保温除气后的多余的铝液从铸造流槽流至铸锭生产线进行铸锭作业，放汤过程通过流量阀控制流速及液位高度。铸锭在机械化的锭料全自动生产线上进行成型、冷却、脱锭、码放等，采用风冷+冷却水池间接冷却铝锭的方式，铝锭冷却后收缩自行脱模，不需使用脱模剂。多余铝锭经输送带传送至机器人高温堆垛机进行叠锭后，经叉车运送至成品仓库。</w:t>
            </w:r>
          </w:p>
          <w:p w14:paraId="67833309">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bCs w:val="0"/>
                <w:color w:val="auto"/>
                <w:sz w:val="24"/>
                <w:szCs w:val="24"/>
                <w:highlight w:val="none"/>
                <w:u w:val="none" w:color="auto"/>
                <w:lang w:val="en-US" w:eastAsia="zh-CN"/>
              </w:rPr>
            </w:pPr>
            <w:r>
              <w:rPr>
                <w:rFonts w:hint="default" w:ascii="Times New Roman" w:hAnsi="Times New Roman" w:eastAsia="宋体" w:cs="Times New Roman"/>
                <w:b/>
                <w:bCs w:val="0"/>
                <w:color w:val="auto"/>
                <w:sz w:val="24"/>
                <w:szCs w:val="24"/>
                <w:highlight w:val="none"/>
                <w:u w:val="none" w:color="auto"/>
                <w:lang w:val="en-US" w:eastAsia="zh-CN"/>
              </w:rPr>
              <w:t>2、压铸工艺流程及产污节点</w:t>
            </w:r>
          </w:p>
          <w:p w14:paraId="17516B3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auto"/>
                <w:sz w:val="24"/>
                <w:szCs w:val="24"/>
                <w:highlight w:val="none"/>
                <w:u w:val="none" w:color="auto"/>
                <w:lang w:val="en-US" w:eastAsia="zh-CN"/>
              </w:rPr>
            </w:pPr>
            <w:r>
              <w:rPr>
                <w:rFonts w:hint="default" w:ascii="Times New Roman" w:hAnsi="Times New Roman" w:eastAsia="宋体" w:cs="Times New Roman"/>
                <w:bCs/>
                <w:color w:val="auto"/>
                <w:sz w:val="24"/>
                <w:szCs w:val="24"/>
                <w:highlight w:val="none"/>
                <w:u w:val="none" w:color="auto"/>
                <w:lang w:val="en-US" w:eastAsia="zh-CN"/>
              </w:rPr>
              <w:t>本项目压铸工序主要包括脱模剂溶液配置、压铸等工序。具体工艺流程详见下图：</w:t>
            </w:r>
          </w:p>
          <w:p w14:paraId="4605779D">
            <w:pPr>
              <w:bidi w:val="0"/>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object>
                <v:shape id="_x0000_i1033" o:spt="75" type="#_x0000_t75" style="height:433.4pt;width:420.9pt;" o:ole="t" filled="f" o:preferrelative="t" stroked="f" coordsize="21600,21600">
                  <v:path/>
                  <v:fill on="f" focussize="0,0"/>
                  <v:stroke on="f"/>
                  <v:imagedata r:id="rId37" o:title=""/>
                  <o:lock v:ext="edit" aspectratio="f"/>
                  <w10:wrap type="none"/>
                  <w10:anchorlock/>
                </v:shape>
                <o:OLEObject Type="Embed" ProgID="Visio.Drawing.11" ShapeID="_x0000_i1033" DrawAspect="Content" ObjectID="_1468075733" r:id="rId36">
                  <o:LockedField>false</o:LockedField>
                </o:OLEObject>
              </w:object>
            </w:r>
          </w:p>
          <w:p w14:paraId="5828E2D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val="0"/>
                <w:color w:val="auto"/>
                <w:sz w:val="21"/>
                <w:szCs w:val="18"/>
                <w:highlight w:val="none"/>
                <w:u w:val="none" w:color="auto"/>
                <w:lang w:val="en-US" w:eastAsia="zh-CN"/>
              </w:rPr>
            </w:pPr>
            <w:r>
              <w:rPr>
                <w:rFonts w:hint="default" w:ascii="Times New Roman" w:hAnsi="Times New Roman" w:eastAsia="宋体" w:cs="Times New Roman"/>
                <w:b/>
                <w:bCs w:val="0"/>
                <w:color w:val="auto"/>
                <w:sz w:val="21"/>
                <w:szCs w:val="18"/>
                <w:highlight w:val="none"/>
                <w:u w:val="none" w:color="auto"/>
                <w:lang w:val="en-US" w:eastAsia="zh-CN"/>
              </w:rPr>
              <w:t>图2-9  压铸生产工艺流程及产污节点</w:t>
            </w:r>
          </w:p>
          <w:p w14:paraId="1F3A1D9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auto"/>
                <w:sz w:val="24"/>
                <w:szCs w:val="24"/>
                <w:highlight w:val="none"/>
                <w:u w:val="none" w:color="auto"/>
                <w:lang w:val="en-US" w:eastAsia="zh-CN"/>
              </w:rPr>
            </w:pPr>
            <w:r>
              <w:rPr>
                <w:rFonts w:hint="default" w:ascii="Times New Roman" w:hAnsi="Times New Roman" w:eastAsia="宋体" w:cs="Times New Roman"/>
                <w:bCs/>
                <w:color w:val="auto"/>
                <w:sz w:val="24"/>
                <w:szCs w:val="24"/>
                <w:highlight w:val="none"/>
                <w:u w:val="none" w:color="auto"/>
                <w:lang w:val="en-US" w:eastAsia="zh-CN"/>
              </w:rPr>
              <w:t>（1）模具安装、预热：选择对应产品规格模具进行安装，使用模温机通过电能加热导热油对模具进行预热，使模具温度处于合适范围。</w:t>
            </w:r>
          </w:p>
          <w:p w14:paraId="23E5304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auto"/>
                <w:sz w:val="24"/>
                <w:szCs w:val="24"/>
                <w:highlight w:val="none"/>
                <w:u w:val="none" w:color="auto"/>
                <w:lang w:val="en-US" w:eastAsia="zh-CN"/>
              </w:rPr>
            </w:pPr>
            <w:r>
              <w:rPr>
                <w:rFonts w:hint="default" w:ascii="Times New Roman" w:hAnsi="Times New Roman" w:eastAsia="宋体" w:cs="Times New Roman"/>
                <w:bCs/>
                <w:color w:val="auto"/>
                <w:sz w:val="24"/>
                <w:szCs w:val="24"/>
                <w:highlight w:val="none"/>
                <w:u w:val="none" w:color="auto"/>
                <w:lang w:val="en-US" w:eastAsia="zh-CN"/>
              </w:rPr>
              <w:t>（2）脱模剂溶液配比：按一定比例（1:130~1:150）在脱模剂配比机的专用容器内备用配出合格的脱模剂溶液，由喷雾机器人在模具工作面上自动喷涂脱模剂。由于脱模剂受到高温影响，因此会产生一定量的水蒸气及VOCs（以非甲烷总烃表征）废气。</w:t>
            </w:r>
          </w:p>
          <w:p w14:paraId="2C5EFCC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auto"/>
                <w:sz w:val="24"/>
                <w:szCs w:val="24"/>
                <w:highlight w:val="none"/>
                <w:u w:val="none" w:color="auto"/>
                <w:lang w:val="en-US" w:eastAsia="zh-CN"/>
              </w:rPr>
            </w:pPr>
            <w:r>
              <w:rPr>
                <w:rFonts w:hint="default" w:ascii="Times New Roman" w:hAnsi="Times New Roman" w:eastAsia="宋体" w:cs="Times New Roman"/>
                <w:bCs/>
                <w:color w:val="auto"/>
                <w:sz w:val="24"/>
                <w:szCs w:val="24"/>
                <w:highlight w:val="none"/>
                <w:u w:val="none" w:color="auto"/>
                <w:lang w:val="en-US" w:eastAsia="zh-CN"/>
              </w:rPr>
              <w:t>（3）自动浇注、压射：在定量炉将一定量的铝液送至压铸机压射室后，压射铝液到模具腔内，使铝液快速充满模型型腔并保持较高压力。</w:t>
            </w:r>
          </w:p>
          <w:p w14:paraId="3042BE7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auto"/>
                <w:sz w:val="24"/>
                <w:szCs w:val="24"/>
                <w:highlight w:val="yellow"/>
                <w:u w:val="none" w:color="auto"/>
                <w:lang w:val="en-US" w:eastAsia="zh-CN"/>
              </w:rPr>
            </w:pPr>
            <w:r>
              <w:rPr>
                <w:rFonts w:hint="default" w:ascii="Times New Roman" w:hAnsi="Times New Roman" w:eastAsia="宋体" w:cs="Times New Roman"/>
                <w:bCs/>
                <w:color w:val="auto"/>
                <w:sz w:val="24"/>
                <w:szCs w:val="24"/>
                <w:highlight w:val="none"/>
                <w:u w:val="none" w:color="auto"/>
                <w:lang w:val="en-US" w:eastAsia="zh-CN"/>
              </w:rPr>
              <w:t>（4）保压、冷却：对模具内铝液进行保压，并通过模具冷却系统冷却（间接水冷）。</w:t>
            </w:r>
          </w:p>
          <w:p w14:paraId="0941CA5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auto"/>
                <w:sz w:val="24"/>
                <w:szCs w:val="24"/>
                <w:highlight w:val="none"/>
                <w:u w:val="none" w:color="auto"/>
                <w:lang w:val="en-US" w:eastAsia="zh-CN"/>
              </w:rPr>
            </w:pPr>
            <w:r>
              <w:rPr>
                <w:rFonts w:hint="default" w:ascii="Times New Roman" w:hAnsi="Times New Roman" w:eastAsia="宋体" w:cs="Times New Roman"/>
                <w:bCs/>
                <w:color w:val="auto"/>
                <w:sz w:val="24"/>
                <w:szCs w:val="24"/>
                <w:highlight w:val="none"/>
                <w:u w:val="none" w:color="auto"/>
                <w:lang w:val="en-US" w:eastAsia="zh-CN"/>
              </w:rPr>
              <w:t>（6）开模、取出铸件：产品冷却定型后打开模具，使用取件机器人取出铸件。</w:t>
            </w:r>
          </w:p>
          <w:p w14:paraId="068BCBD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auto"/>
                <w:sz w:val="24"/>
                <w:szCs w:val="24"/>
                <w:highlight w:val="none"/>
                <w:u w:val="none" w:color="auto"/>
                <w:lang w:val="en-US" w:eastAsia="zh-CN"/>
              </w:rPr>
            </w:pPr>
            <w:r>
              <w:rPr>
                <w:rFonts w:hint="default" w:ascii="Times New Roman" w:hAnsi="Times New Roman" w:eastAsia="宋体" w:cs="Times New Roman"/>
                <w:bCs/>
                <w:color w:val="auto"/>
                <w:sz w:val="24"/>
                <w:szCs w:val="24"/>
                <w:highlight w:val="none"/>
                <w:u w:val="none" w:color="auto"/>
                <w:lang w:val="en-US" w:eastAsia="zh-CN"/>
              </w:rPr>
              <w:t>（7）预检测、完整性检测：通过压铸机自带的光谱检测仪确认铸件的完整性。若检测不合格（需控制</w:t>
            </w:r>
            <w:r>
              <w:rPr>
                <w:rFonts w:hint="default" w:ascii="Times New Roman" w:hAnsi="Times New Roman" w:eastAsia="宋体" w:cs="Times New Roman"/>
                <w:b w:val="0"/>
                <w:bCs/>
                <w:color w:val="auto"/>
                <w:spacing w:val="0"/>
                <w:sz w:val="24"/>
                <w:highlight w:val="none"/>
                <w:u w:val="none" w:color="auto"/>
                <w:lang w:val="en-US" w:eastAsia="zh-CN"/>
              </w:rPr>
              <w:t>≤4%</w:t>
            </w:r>
            <w:r>
              <w:rPr>
                <w:rFonts w:hint="default" w:ascii="Times New Roman" w:hAnsi="Times New Roman" w:eastAsia="宋体" w:cs="Times New Roman"/>
                <w:bCs/>
                <w:color w:val="auto"/>
                <w:sz w:val="24"/>
                <w:szCs w:val="24"/>
                <w:highlight w:val="none"/>
                <w:u w:val="none" w:color="auto"/>
                <w:lang w:val="en-US" w:eastAsia="zh-CN"/>
              </w:rPr>
              <w:t>），则铸件报废在周转区进行暂存，后转入45t熔化炉进行重新熔化使用；合格产品则进入下一工序</w:t>
            </w:r>
          </w:p>
          <w:p w14:paraId="7DA23F0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auto"/>
                <w:sz w:val="24"/>
                <w:szCs w:val="24"/>
                <w:highlight w:val="none"/>
                <w:u w:val="none" w:color="auto"/>
                <w:lang w:val="en-US" w:eastAsia="zh-CN"/>
              </w:rPr>
            </w:pPr>
            <w:r>
              <w:rPr>
                <w:rFonts w:hint="default" w:ascii="Times New Roman" w:hAnsi="Times New Roman" w:eastAsia="宋体" w:cs="Times New Roman"/>
                <w:bCs/>
                <w:color w:val="auto"/>
                <w:sz w:val="24"/>
                <w:szCs w:val="24"/>
                <w:highlight w:val="none"/>
                <w:u w:val="none" w:color="auto"/>
                <w:lang w:val="en-US" w:eastAsia="zh-CN"/>
              </w:rPr>
              <w:t>（8）冷却、吹干：取件机器人将铸件浸入冷却水槽内的冷却水中（直接冷却），冷却水槽上有吹气装置，将冷却后产品表面的水分吹掉。此过程冷却水循环使用，无外排。</w:t>
            </w:r>
          </w:p>
          <w:p w14:paraId="2F92E6D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auto"/>
                <w:sz w:val="24"/>
                <w:szCs w:val="24"/>
                <w:highlight w:val="none"/>
                <w:u w:val="none" w:color="auto"/>
                <w:lang w:val="en-US" w:eastAsia="zh-CN"/>
              </w:rPr>
            </w:pPr>
            <w:r>
              <w:rPr>
                <w:rFonts w:hint="default" w:ascii="Times New Roman" w:hAnsi="Times New Roman" w:eastAsia="宋体" w:cs="Times New Roman"/>
                <w:bCs/>
                <w:color w:val="auto"/>
                <w:sz w:val="24"/>
                <w:szCs w:val="24"/>
                <w:highlight w:val="none"/>
                <w:u w:val="none" w:color="auto"/>
                <w:lang w:val="en-US" w:eastAsia="zh-CN"/>
              </w:rPr>
              <w:t>（9）碰渣包、去料柄：液压仿形拆断，去除铸件表面的渣包和料柄，同时会产生废边角料，该部分边角料和不合格品在周转区进行暂存，后转入45t熔化炉进行重新熔化使用。</w:t>
            </w:r>
          </w:p>
          <w:p w14:paraId="7C94F3A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auto"/>
                <w:sz w:val="24"/>
                <w:szCs w:val="24"/>
                <w:highlight w:val="none"/>
                <w:u w:val="none" w:color="auto"/>
                <w:lang w:val="en-US" w:eastAsia="zh-CN"/>
              </w:rPr>
            </w:pPr>
            <w:r>
              <w:rPr>
                <w:rFonts w:hint="default" w:ascii="Times New Roman" w:hAnsi="Times New Roman" w:eastAsia="宋体" w:cs="Times New Roman"/>
                <w:bCs/>
                <w:color w:val="auto"/>
                <w:sz w:val="24"/>
                <w:szCs w:val="24"/>
                <w:highlight w:val="none"/>
                <w:u w:val="none" w:color="auto"/>
                <w:lang w:val="en-US" w:eastAsia="zh-CN"/>
              </w:rPr>
              <w:t>（10）打标：使用激光打标机在工件表面打上标记。在打码过程会产生一定量的粉尘，产生的粉尘通过设备自带的布袋除尘设备进行处理，处理后的废气在设备底部排气口在厂房内排放。</w:t>
            </w:r>
          </w:p>
          <w:p w14:paraId="2A4D984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auto"/>
                <w:sz w:val="24"/>
                <w:szCs w:val="24"/>
                <w:highlight w:val="none"/>
                <w:u w:val="none" w:color="auto"/>
                <w:lang w:val="en-US" w:eastAsia="zh-CN"/>
              </w:rPr>
            </w:pPr>
            <w:r>
              <w:rPr>
                <w:rFonts w:hint="default" w:ascii="Times New Roman" w:hAnsi="Times New Roman" w:eastAsia="宋体" w:cs="Times New Roman"/>
                <w:bCs/>
                <w:color w:val="auto"/>
                <w:sz w:val="24"/>
                <w:szCs w:val="24"/>
                <w:highlight w:val="none"/>
                <w:u w:val="none" w:color="auto"/>
                <w:lang w:val="en-US" w:eastAsia="zh-CN"/>
              </w:rPr>
              <w:t>（11）码垛：使用码垛机器人将成品件码垛到托盘上暂存在周转区内，定期转移至临港高新产业园区14#厂房暂存，待进一步机加工处理。</w:t>
            </w:r>
          </w:p>
          <w:p w14:paraId="4FB5131E">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bCs w:val="0"/>
                <w:color w:val="auto"/>
                <w:sz w:val="24"/>
                <w:szCs w:val="24"/>
                <w:highlight w:val="none"/>
                <w:u w:val="none" w:color="auto"/>
                <w:lang w:val="en-US" w:eastAsia="zh-CN"/>
              </w:rPr>
            </w:pPr>
            <w:r>
              <w:rPr>
                <w:rFonts w:hint="default" w:ascii="Times New Roman" w:hAnsi="Times New Roman" w:eastAsia="宋体" w:cs="Times New Roman"/>
                <w:b/>
                <w:bCs w:val="0"/>
                <w:color w:val="auto"/>
                <w:sz w:val="24"/>
                <w:szCs w:val="24"/>
                <w:highlight w:val="none"/>
                <w:u w:val="none" w:color="auto"/>
                <w:lang w:val="en-US" w:eastAsia="zh-CN"/>
              </w:rPr>
              <w:t>3、机加生产工艺流程及产污节点</w:t>
            </w:r>
          </w:p>
          <w:p w14:paraId="5493146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auto"/>
                <w:sz w:val="24"/>
                <w:szCs w:val="24"/>
                <w:highlight w:val="none"/>
                <w:u w:val="none" w:color="auto"/>
                <w:lang w:val="en-US" w:eastAsia="zh-CN"/>
              </w:rPr>
            </w:pPr>
            <w:r>
              <w:rPr>
                <w:rFonts w:hint="default" w:ascii="Times New Roman" w:hAnsi="Times New Roman" w:eastAsia="宋体" w:cs="Times New Roman"/>
                <w:bCs/>
                <w:color w:val="auto"/>
                <w:sz w:val="24"/>
                <w:szCs w:val="24"/>
                <w:highlight w:val="none"/>
                <w:u w:val="none" w:color="auto"/>
                <w:lang w:val="en-US" w:eastAsia="zh-CN"/>
              </w:rPr>
              <w:t>本项目在临港高新产业园15#、21#、22#栋标准厂房内分别设置1条机加工生产线，具体功能及作用为：</w:t>
            </w:r>
          </w:p>
          <w:p w14:paraId="00CC6CE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auto"/>
                <w:sz w:val="24"/>
                <w:szCs w:val="24"/>
                <w:highlight w:val="none"/>
                <w:u w:val="none" w:color="auto"/>
                <w:lang w:val="en-US" w:eastAsia="zh-CN"/>
              </w:rPr>
            </w:pPr>
            <w:r>
              <w:rPr>
                <w:rFonts w:hint="default" w:ascii="Times New Roman" w:hAnsi="Times New Roman" w:eastAsia="宋体" w:cs="Times New Roman"/>
                <w:bCs/>
                <w:color w:val="auto"/>
                <w:sz w:val="24"/>
                <w:szCs w:val="24"/>
                <w:highlight w:val="none"/>
                <w:u w:val="none" w:color="auto"/>
                <w:lang w:val="en-US" w:eastAsia="zh-CN"/>
              </w:rPr>
              <w:t>①15#栋标准厂房主要加工Ф180和Ф154的铝挤压电机壳，并具备焊接工艺线。</w:t>
            </w:r>
          </w:p>
          <w:p w14:paraId="36D2FF4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auto"/>
                <w:sz w:val="24"/>
                <w:szCs w:val="24"/>
                <w:highlight w:val="none"/>
                <w:u w:val="none" w:color="auto"/>
                <w:lang w:val="en-US" w:eastAsia="zh-CN"/>
              </w:rPr>
            </w:pPr>
            <w:r>
              <w:rPr>
                <w:rFonts w:hint="default" w:ascii="Times New Roman" w:hAnsi="Times New Roman" w:eastAsia="宋体" w:cs="Times New Roman"/>
                <w:bCs/>
                <w:color w:val="auto"/>
                <w:sz w:val="24"/>
                <w:szCs w:val="24"/>
                <w:highlight w:val="none"/>
                <w:u w:val="none" w:color="auto"/>
                <w:lang w:val="en-US" w:eastAsia="zh-CN"/>
              </w:rPr>
              <w:t>②21#栋标准厂房加工汽车用压铸动力外壳，具有浸渗工艺线，用于处理成品下线外观检查不合格产品；具有高压清洗工艺。</w:t>
            </w:r>
          </w:p>
          <w:p w14:paraId="377B93E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auto"/>
                <w:sz w:val="24"/>
                <w:szCs w:val="24"/>
                <w:highlight w:val="none"/>
                <w:u w:val="none" w:color="auto"/>
                <w:lang w:val="en-US" w:eastAsia="zh-CN"/>
              </w:rPr>
            </w:pPr>
            <w:r>
              <w:rPr>
                <w:rFonts w:hint="default" w:ascii="Times New Roman" w:hAnsi="Times New Roman" w:eastAsia="宋体" w:cs="Times New Roman"/>
                <w:bCs/>
                <w:color w:val="auto"/>
                <w:sz w:val="24"/>
                <w:szCs w:val="24"/>
                <w:highlight w:val="none"/>
                <w:u w:val="none" w:color="auto"/>
                <w:lang w:val="en-US" w:eastAsia="zh-CN"/>
              </w:rPr>
              <w:t>③22#栋标准厂房加工汽车用压铸动力外壳，并具去毛刺工艺线，用于处理毛坯毛刺。</w:t>
            </w:r>
          </w:p>
          <w:p w14:paraId="406F7EB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auto"/>
                <w:sz w:val="24"/>
                <w:szCs w:val="24"/>
                <w:highlight w:val="none"/>
                <w:u w:val="none" w:color="auto"/>
                <w:lang w:val="en-US" w:eastAsia="zh-CN"/>
              </w:rPr>
            </w:pPr>
            <w:r>
              <w:rPr>
                <w:rFonts w:hint="default" w:ascii="Times New Roman" w:hAnsi="Times New Roman" w:eastAsia="宋体" w:cs="Times New Roman"/>
                <w:bCs/>
                <w:color w:val="auto"/>
                <w:sz w:val="24"/>
                <w:szCs w:val="24"/>
                <w:highlight w:val="none"/>
                <w:u w:val="none" w:color="auto"/>
                <w:lang w:val="en-US" w:eastAsia="zh-CN"/>
              </w:rPr>
              <w:t>由于各产品加工工序和产污环节一致，因此不一一赘述。具体工艺流程详见下图：</w:t>
            </w:r>
          </w:p>
          <w:p w14:paraId="53A9D23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auto"/>
                <w:sz w:val="24"/>
                <w:szCs w:val="24"/>
                <w:highlight w:val="none"/>
                <w:u w:val="none" w:color="auto"/>
                <w:lang w:val="en-US" w:eastAsia="zh-CN"/>
              </w:rPr>
            </w:pPr>
          </w:p>
          <w:p w14:paraId="49EABADF">
            <w:pPr>
              <w:pStyle w:val="30"/>
              <w:ind w:left="0" w:leftChars="0" w:firstLine="0" w:firstLineChars="0"/>
              <w:jc w:val="center"/>
              <w:rPr>
                <w:rFonts w:hint="default" w:ascii="Times New Roman" w:hAnsi="Times New Roman" w:eastAsia="宋体" w:cs="Times New Roman"/>
                <w:b/>
                <w:bCs w:val="0"/>
                <w:color w:val="auto"/>
                <w:sz w:val="21"/>
                <w:szCs w:val="18"/>
                <w:highlight w:val="none"/>
                <w:u w:val="none" w:color="auto"/>
                <w:lang w:val="en-US" w:eastAsia="zh-CN"/>
              </w:rPr>
            </w:pPr>
            <w:r>
              <w:rPr>
                <w:rFonts w:hint="default" w:ascii="Times New Roman" w:hAnsi="Times New Roman" w:eastAsia="宋体" w:cs="Times New Roman"/>
                <w:bCs/>
                <w:color w:val="auto"/>
                <w:sz w:val="24"/>
                <w:szCs w:val="24"/>
                <w:highlight w:val="none"/>
                <w:u w:val="none" w:color="auto"/>
                <w:lang w:val="en-US" w:eastAsia="zh-CN"/>
              </w:rPr>
              <w:object>
                <v:shape id="_x0000_i1034" o:spt="75" type="#_x0000_t75" style="height:689.05pt;width:431.1pt;" o:ole="t" filled="f" o:preferrelative="t" stroked="f" coordsize="21600,21600">
                  <v:path/>
                  <v:fill on="f" focussize="0,0"/>
                  <v:stroke on="f"/>
                  <v:imagedata r:id="rId39" o:title=""/>
                  <o:lock v:ext="edit" aspectratio="f"/>
                  <w10:wrap type="none"/>
                  <w10:anchorlock/>
                </v:shape>
                <o:OLEObject Type="Embed" ProgID="Visio.Drawing.11" ShapeID="_x0000_i1034" DrawAspect="Content" ObjectID="_1468075734" r:id="rId38">
                  <o:LockedField>false</o:LockedField>
                </o:OLEObject>
              </w:object>
            </w:r>
            <w:r>
              <w:rPr>
                <w:rFonts w:hint="default" w:ascii="Times New Roman" w:hAnsi="Times New Roman" w:eastAsia="宋体" w:cs="Times New Roman"/>
                <w:b/>
                <w:bCs w:val="0"/>
                <w:color w:val="auto"/>
                <w:sz w:val="21"/>
                <w:szCs w:val="18"/>
                <w:highlight w:val="none"/>
                <w:u w:val="none" w:color="auto"/>
                <w:lang w:val="en-US" w:eastAsia="zh-CN"/>
              </w:rPr>
              <w:t>图2-10  机加工生产工艺流程及产污节点</w:t>
            </w:r>
          </w:p>
          <w:p w14:paraId="349D625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auto"/>
                <w:sz w:val="24"/>
                <w:szCs w:val="24"/>
                <w:highlight w:val="none"/>
                <w:u w:val="none" w:color="auto"/>
                <w:lang w:val="en-US" w:eastAsia="zh-CN"/>
              </w:rPr>
            </w:pPr>
            <w:r>
              <w:rPr>
                <w:rFonts w:hint="default" w:ascii="Times New Roman" w:hAnsi="Times New Roman" w:eastAsia="宋体" w:cs="Times New Roman"/>
                <w:bCs/>
                <w:color w:val="auto"/>
                <w:sz w:val="24"/>
                <w:szCs w:val="24"/>
                <w:highlight w:val="none"/>
                <w:u w:val="none" w:color="auto"/>
                <w:lang w:val="en-US" w:eastAsia="zh-CN"/>
              </w:rPr>
              <w:t>（1）毛坯来料、去毛刺（人工补充打磨）</w:t>
            </w:r>
          </w:p>
          <w:p w14:paraId="5D80896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auto"/>
                <w:sz w:val="24"/>
                <w:szCs w:val="24"/>
                <w:highlight w:val="none"/>
                <w:u w:val="none" w:color="auto"/>
                <w:lang w:val="en-US" w:eastAsia="zh-CN"/>
              </w:rPr>
            </w:pPr>
            <w:r>
              <w:rPr>
                <w:rFonts w:hint="default" w:ascii="Times New Roman" w:hAnsi="Times New Roman" w:eastAsia="宋体" w:cs="Times New Roman"/>
                <w:bCs/>
                <w:color w:val="auto"/>
                <w:sz w:val="24"/>
                <w:szCs w:val="24"/>
                <w:highlight w:val="none"/>
                <w:u w:val="none" w:color="auto"/>
                <w:lang w:val="en-US" w:eastAsia="zh-CN"/>
              </w:rPr>
              <w:t>从14#厂房内将毛坯转运至相应厂房内进行去毛刺，去毛刺件在封闭式工作舱内进行。去毛刺过程会产生一定量的金属粉尘和金属碎屑，其中金属粉尘通过设备自带的布袋除尘器处理后，通过设备底部排放口在车间内排放。处理好的毛坯暂存在相应周转区，待转运至后续机加工厂房。</w:t>
            </w:r>
          </w:p>
          <w:p w14:paraId="13E4D1B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auto"/>
                <w:sz w:val="24"/>
                <w:szCs w:val="24"/>
                <w:highlight w:val="none"/>
                <w:u w:val="none" w:color="auto"/>
                <w:lang w:val="en-US" w:eastAsia="zh-CN"/>
              </w:rPr>
            </w:pPr>
            <w:r>
              <w:rPr>
                <w:rFonts w:hint="default" w:ascii="Times New Roman" w:hAnsi="Times New Roman" w:eastAsia="宋体" w:cs="Times New Roman"/>
                <w:bCs/>
                <w:color w:val="auto"/>
                <w:sz w:val="24"/>
                <w:szCs w:val="24"/>
                <w:highlight w:val="none"/>
                <w:u w:val="none" w:color="auto"/>
                <w:lang w:val="en-US" w:eastAsia="zh-CN"/>
              </w:rPr>
              <w:t>对于去毛刺环节轻微不满足要求的工件采用人工进行轻微打磨。</w:t>
            </w:r>
          </w:p>
          <w:p w14:paraId="57FDA47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auto"/>
                <w:sz w:val="24"/>
                <w:szCs w:val="24"/>
                <w:highlight w:val="none"/>
                <w:u w:val="none" w:color="auto"/>
                <w:lang w:val="en-US" w:eastAsia="zh-CN"/>
              </w:rPr>
            </w:pPr>
            <w:r>
              <w:rPr>
                <w:rFonts w:hint="default" w:ascii="Times New Roman" w:hAnsi="Times New Roman" w:eastAsia="宋体" w:cs="Times New Roman"/>
                <w:bCs/>
                <w:color w:val="auto"/>
                <w:sz w:val="24"/>
                <w:szCs w:val="24"/>
                <w:highlight w:val="none"/>
                <w:u w:val="none" w:color="auto"/>
                <w:lang w:val="en-US" w:eastAsia="zh-CN"/>
              </w:rPr>
              <w:t>（2）激光打标</w:t>
            </w:r>
          </w:p>
          <w:p w14:paraId="19231B5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auto"/>
                <w:sz w:val="24"/>
                <w:szCs w:val="24"/>
                <w:highlight w:val="none"/>
                <w:u w:val="none" w:color="auto"/>
                <w:lang w:val="en-US" w:eastAsia="zh-CN"/>
              </w:rPr>
            </w:pPr>
            <w:r>
              <w:rPr>
                <w:rFonts w:hint="default" w:ascii="Times New Roman" w:hAnsi="Times New Roman" w:eastAsia="宋体" w:cs="Times New Roman"/>
                <w:bCs/>
                <w:color w:val="auto"/>
                <w:sz w:val="24"/>
                <w:szCs w:val="24"/>
                <w:highlight w:val="none"/>
                <w:u w:val="none" w:color="auto"/>
                <w:lang w:val="en-US" w:eastAsia="zh-CN"/>
              </w:rPr>
              <w:t>人工将已去毛刺毛坯放置于打标机输送带上，进入打标机内部进行激光打标，打标完成后人工使用扫码枪对二维码进行扫码，识别机加码质量（是否重码、漏码或无法识别），完成后手动将工件放置于上料小车并将小车推送至上料位，机械手抓取工件放置于定位台，线体地轨机器人将工件转运至CNC粗加工序。</w:t>
            </w:r>
          </w:p>
          <w:p w14:paraId="256BDFA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auto"/>
                <w:sz w:val="24"/>
                <w:szCs w:val="24"/>
                <w:highlight w:val="none"/>
                <w:u w:val="none" w:color="auto"/>
                <w:lang w:val="en-US" w:eastAsia="zh-CN"/>
              </w:rPr>
            </w:pPr>
            <w:r>
              <w:rPr>
                <w:rFonts w:hint="default" w:ascii="Times New Roman" w:hAnsi="Times New Roman" w:eastAsia="宋体" w:cs="Times New Roman"/>
                <w:bCs/>
                <w:color w:val="auto"/>
                <w:sz w:val="24"/>
                <w:szCs w:val="24"/>
                <w:highlight w:val="none"/>
                <w:u w:val="none" w:color="auto"/>
                <w:lang w:val="en-US" w:eastAsia="zh-CN"/>
              </w:rPr>
              <w:t>激光打标过程中产生的金属粉尘通过设备自带的布袋除尘器处理后，通过设备底部排放口在车间内排放。</w:t>
            </w:r>
          </w:p>
          <w:p w14:paraId="5A541D6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auto"/>
                <w:sz w:val="24"/>
                <w:szCs w:val="24"/>
                <w:highlight w:val="none"/>
                <w:u w:val="none" w:color="auto"/>
                <w:lang w:val="en-US" w:eastAsia="zh-CN"/>
              </w:rPr>
            </w:pPr>
            <w:r>
              <w:rPr>
                <w:rFonts w:hint="default" w:ascii="Times New Roman" w:hAnsi="Times New Roman" w:eastAsia="宋体" w:cs="Times New Roman"/>
                <w:bCs/>
                <w:color w:val="auto"/>
                <w:sz w:val="24"/>
                <w:szCs w:val="24"/>
                <w:highlight w:val="none"/>
                <w:u w:val="none" w:color="auto"/>
                <w:lang w:val="en-US" w:eastAsia="zh-CN"/>
              </w:rPr>
              <w:t>（3）CNC粗加工</w:t>
            </w:r>
          </w:p>
          <w:p w14:paraId="075D0A4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u w:val="none" w:color="auto"/>
                <w:lang w:val="en-US" w:eastAsia="zh-CN"/>
              </w:rPr>
            </w:pPr>
            <w:r>
              <w:rPr>
                <w:rFonts w:hint="default" w:ascii="Times New Roman" w:hAnsi="Times New Roman" w:eastAsia="宋体" w:cs="Times New Roman"/>
                <w:bCs/>
                <w:color w:val="auto"/>
                <w:sz w:val="24"/>
                <w:szCs w:val="24"/>
                <w:highlight w:val="none"/>
                <w:u w:val="none" w:color="auto"/>
                <w:lang w:val="en-US" w:eastAsia="zh-CN"/>
              </w:rPr>
              <w:t>CNC粗加工通过</w:t>
            </w:r>
            <w:r>
              <w:rPr>
                <w:rFonts w:hint="default" w:ascii="Times New Roman" w:hAnsi="Times New Roman" w:eastAsia="宋体" w:cs="Times New Roman"/>
                <w:color w:val="auto"/>
                <w:sz w:val="24"/>
                <w:szCs w:val="24"/>
                <w:u w:val="none" w:color="auto"/>
                <w:lang w:val="en-US" w:eastAsia="zh-CN"/>
              </w:rPr>
              <w:t>各类加工中心以精加工基准定位，完成加工通孔、螺纹孔、键槽、铣面等工序。由于该工段仅对压铸件进行粗加工，且使用的</w:t>
            </w:r>
            <w:r>
              <w:rPr>
                <w:rFonts w:hint="eastAsia" w:cs="Times New Roman"/>
                <w:color w:val="auto"/>
                <w:sz w:val="24"/>
                <w:szCs w:val="24"/>
                <w:u w:val="none" w:color="auto"/>
                <w:lang w:val="en-US" w:eastAsia="zh-CN"/>
              </w:rPr>
              <w:t>刀具</w:t>
            </w:r>
            <w:r>
              <w:rPr>
                <w:rFonts w:hint="default" w:ascii="Times New Roman" w:hAnsi="Times New Roman" w:eastAsia="宋体" w:cs="Times New Roman"/>
                <w:color w:val="auto"/>
                <w:sz w:val="24"/>
                <w:szCs w:val="24"/>
                <w:u w:val="none" w:color="auto"/>
                <w:lang w:val="en-US" w:eastAsia="zh-CN"/>
              </w:rPr>
              <w:t>带有硬质合金涂层。</w:t>
            </w:r>
          </w:p>
          <w:p w14:paraId="7F6C427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auto"/>
                <w:sz w:val="24"/>
                <w:szCs w:val="21"/>
                <w:u w:val="none" w:color="auto"/>
                <w:lang w:val="en-US" w:eastAsia="zh-CN"/>
              </w:rPr>
            </w:pPr>
            <w:r>
              <w:rPr>
                <w:rFonts w:hint="default" w:ascii="Times New Roman" w:hAnsi="Times New Roman" w:eastAsia="宋体" w:cs="Times New Roman"/>
                <w:bCs/>
                <w:color w:val="auto"/>
                <w:sz w:val="24"/>
                <w:szCs w:val="24"/>
                <w:highlight w:val="none"/>
                <w:u w:val="none" w:color="auto"/>
                <w:lang w:val="en-US" w:eastAsia="zh-CN"/>
              </w:rPr>
              <w:t>CNC粗</w:t>
            </w:r>
            <w:r>
              <w:rPr>
                <w:rFonts w:hint="default" w:ascii="Times New Roman" w:hAnsi="Times New Roman" w:eastAsia="宋体" w:cs="Times New Roman"/>
                <w:bCs/>
                <w:color w:val="auto"/>
                <w:sz w:val="24"/>
                <w:szCs w:val="21"/>
                <w:u w:val="none" w:color="auto"/>
              </w:rPr>
              <w:t>加工工程均在封闭设备中进行，</w:t>
            </w:r>
            <w:r>
              <w:rPr>
                <w:rFonts w:hint="default" w:ascii="Times New Roman" w:hAnsi="Times New Roman" w:eastAsia="宋体" w:cs="Times New Roman"/>
                <w:bCs/>
                <w:color w:val="auto"/>
                <w:sz w:val="24"/>
                <w:szCs w:val="21"/>
                <w:u w:val="none" w:color="auto"/>
                <w:lang w:val="en-US" w:eastAsia="zh-CN"/>
              </w:rPr>
              <w:t>且加工工程中会使用切削液，因此</w:t>
            </w:r>
            <w:r>
              <w:rPr>
                <w:rFonts w:hint="default" w:ascii="Times New Roman" w:hAnsi="Times New Roman" w:eastAsia="宋体" w:cs="Times New Roman"/>
                <w:bCs/>
                <w:color w:val="auto"/>
                <w:sz w:val="24"/>
                <w:szCs w:val="21"/>
                <w:u w:val="none" w:color="auto"/>
              </w:rPr>
              <w:t>无粉尘产生</w:t>
            </w:r>
            <w:r>
              <w:rPr>
                <w:rFonts w:hint="default" w:ascii="Times New Roman" w:hAnsi="Times New Roman" w:eastAsia="宋体" w:cs="Times New Roman"/>
                <w:bCs/>
                <w:color w:val="auto"/>
                <w:sz w:val="24"/>
                <w:szCs w:val="21"/>
                <w:u w:val="none" w:color="auto"/>
                <w:lang w:eastAsia="zh-CN"/>
              </w:rPr>
              <w:t>，</w:t>
            </w:r>
            <w:r>
              <w:rPr>
                <w:rFonts w:hint="default" w:ascii="Times New Roman" w:hAnsi="Times New Roman" w:eastAsia="宋体" w:cs="Times New Roman"/>
                <w:bCs/>
                <w:color w:val="auto"/>
                <w:sz w:val="24"/>
                <w:szCs w:val="21"/>
                <w:u w:val="none" w:color="auto"/>
                <w:lang w:val="en-US" w:eastAsia="zh-CN"/>
              </w:rPr>
              <w:t>但</w:t>
            </w:r>
            <w:r>
              <w:rPr>
                <w:rFonts w:hint="default" w:ascii="Times New Roman" w:hAnsi="Times New Roman" w:eastAsia="宋体" w:cs="Times New Roman"/>
                <w:bCs/>
                <w:color w:val="auto"/>
                <w:sz w:val="24"/>
                <w:szCs w:val="21"/>
                <w:u w:val="none" w:color="auto"/>
              </w:rPr>
              <w:t>该工段产生</w:t>
            </w:r>
            <w:r>
              <w:rPr>
                <w:rFonts w:hint="default" w:ascii="Times New Roman" w:hAnsi="Times New Roman" w:eastAsia="宋体" w:cs="Times New Roman"/>
                <w:bCs/>
                <w:color w:val="auto"/>
                <w:sz w:val="24"/>
                <w:szCs w:val="21"/>
                <w:u w:val="none" w:color="auto"/>
                <w:lang w:val="en-US" w:eastAsia="zh-CN"/>
              </w:rPr>
              <w:t>带切削液</w:t>
            </w:r>
            <w:r>
              <w:rPr>
                <w:rFonts w:hint="default" w:ascii="Times New Roman" w:hAnsi="Times New Roman" w:eastAsia="宋体" w:cs="Times New Roman"/>
                <w:bCs/>
                <w:color w:val="auto"/>
                <w:sz w:val="24"/>
                <w:szCs w:val="21"/>
                <w:u w:val="none" w:color="auto"/>
              </w:rPr>
              <w:t>废金属边角料。</w:t>
            </w:r>
            <w:r>
              <w:rPr>
                <w:rFonts w:hint="default" w:ascii="Times New Roman" w:hAnsi="Times New Roman" w:eastAsia="宋体" w:cs="Times New Roman"/>
                <w:bCs/>
                <w:color w:val="auto"/>
                <w:sz w:val="24"/>
                <w:szCs w:val="21"/>
                <w:u w:val="none" w:color="auto"/>
                <w:lang w:val="en-US" w:eastAsia="zh-CN"/>
              </w:rPr>
              <w:t>另产生的切削液通过设备管道进行收集后再通过切削液过滤棉进行过滤后回用，因此不会产生废切削液，但会产生废切削液过滤棉。</w:t>
            </w:r>
          </w:p>
          <w:p w14:paraId="008E62C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bCs/>
                <w:color w:val="auto"/>
                <w:sz w:val="24"/>
                <w:szCs w:val="21"/>
                <w:u w:val="none" w:color="auto"/>
                <w:lang w:val="en-US" w:eastAsia="zh-CN"/>
              </w:rPr>
              <w:t>另在</w:t>
            </w:r>
            <w:r>
              <w:rPr>
                <w:rFonts w:hint="default" w:ascii="Times New Roman" w:hAnsi="Times New Roman" w:eastAsia="宋体" w:cs="Times New Roman"/>
                <w:bCs/>
                <w:color w:val="auto"/>
                <w:sz w:val="24"/>
                <w:szCs w:val="24"/>
                <w:highlight w:val="none"/>
                <w:u w:val="none" w:color="auto"/>
                <w:lang w:val="en-US" w:eastAsia="zh-CN"/>
              </w:rPr>
              <w:t>CNC粗</w:t>
            </w:r>
            <w:r>
              <w:rPr>
                <w:rFonts w:hint="default" w:ascii="Times New Roman" w:hAnsi="Times New Roman" w:eastAsia="宋体" w:cs="Times New Roman"/>
                <w:bCs/>
                <w:color w:val="auto"/>
                <w:sz w:val="24"/>
                <w:szCs w:val="21"/>
                <w:u w:val="none" w:color="auto"/>
              </w:rPr>
              <w:t>加工工程</w:t>
            </w:r>
            <w:r>
              <w:rPr>
                <w:rFonts w:hint="default" w:ascii="Times New Roman" w:hAnsi="Times New Roman" w:eastAsia="宋体" w:cs="Times New Roman"/>
                <w:bCs/>
                <w:color w:val="auto"/>
                <w:sz w:val="24"/>
                <w:szCs w:val="21"/>
                <w:u w:val="none" w:color="auto"/>
                <w:lang w:val="en-US" w:eastAsia="zh-CN"/>
              </w:rPr>
              <w:t>中切削液受热或高频作业产生油雾废气，每台</w:t>
            </w:r>
            <w:r>
              <w:rPr>
                <w:rFonts w:hint="default" w:ascii="Times New Roman" w:hAnsi="Times New Roman" w:eastAsia="宋体" w:cs="Times New Roman"/>
                <w:bCs/>
                <w:color w:val="auto"/>
                <w:sz w:val="24"/>
                <w:szCs w:val="24"/>
                <w:highlight w:val="none"/>
                <w:u w:val="none" w:color="auto"/>
                <w:lang w:val="en-US" w:eastAsia="zh-CN"/>
              </w:rPr>
              <w:t>CNC粗加工</w:t>
            </w:r>
            <w:r>
              <w:rPr>
                <w:rFonts w:hint="default" w:ascii="Times New Roman" w:hAnsi="Times New Roman" w:eastAsia="宋体" w:cs="Times New Roman"/>
                <w:bCs/>
                <w:color w:val="auto"/>
                <w:sz w:val="24"/>
                <w:szCs w:val="21"/>
                <w:u w:val="none" w:color="auto"/>
                <w:lang w:val="en-US" w:eastAsia="zh-CN"/>
              </w:rPr>
              <w:t>机加设备均配套静电油雾分离器进行处理，收集到的切削液回用生产，处理后的废气通过静电油雾分离器顶部排放。</w:t>
            </w:r>
          </w:p>
          <w:p w14:paraId="5310786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u w:val="none" w:color="auto"/>
                <w:lang w:val="en-US"/>
              </w:rPr>
            </w:pPr>
            <w:r>
              <w:rPr>
                <w:rFonts w:hint="default" w:ascii="Times New Roman" w:hAnsi="Times New Roman" w:eastAsia="宋体" w:cs="Times New Roman"/>
                <w:bCs/>
                <w:color w:val="auto"/>
                <w:sz w:val="24"/>
                <w:szCs w:val="24"/>
                <w:highlight w:val="none"/>
                <w:u w:val="none" w:color="auto"/>
                <w:lang w:val="en-US" w:eastAsia="zh-CN"/>
              </w:rPr>
              <w:t>（4）</w:t>
            </w:r>
            <w:r>
              <w:rPr>
                <w:rFonts w:hint="default" w:ascii="Times New Roman" w:hAnsi="Times New Roman" w:eastAsia="宋体" w:cs="Times New Roman"/>
                <w:color w:val="auto"/>
                <w:sz w:val="24"/>
                <w:szCs w:val="24"/>
                <w:u w:val="none" w:color="auto"/>
                <w:lang w:val="en-US"/>
              </w:rPr>
              <w:t>搅拌摩擦焊焊接</w:t>
            </w:r>
          </w:p>
          <w:p w14:paraId="40AF6F4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u w:val="none" w:color="auto"/>
                <w:lang w:val="en-US" w:eastAsia="zh-CN"/>
              </w:rPr>
            </w:pPr>
            <w:r>
              <w:rPr>
                <w:rFonts w:hint="default" w:ascii="Times New Roman" w:hAnsi="Times New Roman" w:eastAsia="宋体" w:cs="Times New Roman"/>
                <w:color w:val="auto"/>
                <w:sz w:val="24"/>
                <w:szCs w:val="24"/>
                <w:u w:val="none" w:color="auto"/>
                <w:lang w:val="en-US" w:eastAsia="zh-CN"/>
              </w:rPr>
              <w:t>该工艺是一种固态焊接技术，通过机械搅拌与摩擦产热实现材料连接，无需熔化金属。高速旋转的搅拌头（含搅拌针和轴肩）压入工件接缝，搅拌针（通常为带螺纹的圆柱体）插入材料内部，轴肩与工件表面接触。</w:t>
            </w:r>
          </w:p>
          <w:p w14:paraId="38ED4BD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u w:val="none" w:color="auto"/>
                <w:lang w:val="en-US" w:eastAsia="zh-CN"/>
              </w:rPr>
            </w:pPr>
            <w:r>
              <w:rPr>
                <w:rFonts w:hint="default" w:ascii="Times New Roman" w:hAnsi="Times New Roman" w:eastAsia="宋体" w:cs="Times New Roman"/>
                <w:color w:val="auto"/>
                <w:sz w:val="24"/>
                <w:szCs w:val="24"/>
                <w:u w:val="none" w:color="auto"/>
                <w:lang w:val="en-US" w:eastAsia="zh-CN"/>
              </w:rPr>
              <w:t>由于搅拌摩擦焊焊接热源来自搅拌头与工件的摩擦热，焊接温度仅达材料熔点的70%–90%远低于熔化温度金属始终处于塑性变形状态而非熔化状态，与传统熔焊不同，搅拌摩擦焊无需添加焊丝、焊剂或保护气体，热量由搅拌头旋转摩擦直接产生并作用于材料内部，无需外部电弧或火焰，避免了高温电弧辐射、飞溅或燃烧副产物，因此不会产生熔焊中因金属蒸发或氧化形成的烟尘。</w:t>
            </w:r>
          </w:p>
          <w:p w14:paraId="4D4D3F8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auto"/>
                <w:sz w:val="24"/>
                <w:szCs w:val="24"/>
                <w:highlight w:val="none"/>
                <w:u w:val="none" w:color="auto"/>
                <w:lang w:val="en-US" w:eastAsia="zh-CN"/>
              </w:rPr>
            </w:pPr>
            <w:r>
              <w:rPr>
                <w:rFonts w:hint="default" w:ascii="Times New Roman" w:hAnsi="Times New Roman" w:eastAsia="宋体" w:cs="Times New Roman"/>
                <w:bCs/>
                <w:color w:val="auto"/>
                <w:sz w:val="24"/>
                <w:szCs w:val="24"/>
                <w:highlight w:val="none"/>
                <w:u w:val="none" w:color="auto"/>
                <w:lang w:val="en-US" w:eastAsia="zh-CN"/>
              </w:rPr>
              <w:t>（5）CNC精加工</w:t>
            </w:r>
          </w:p>
          <w:p w14:paraId="572659E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auto"/>
                <w:sz w:val="24"/>
                <w:szCs w:val="21"/>
                <w:u w:val="none" w:color="auto"/>
                <w:lang w:val="en-US" w:eastAsia="zh-CN"/>
              </w:rPr>
            </w:pPr>
            <w:r>
              <w:rPr>
                <w:rFonts w:hint="default" w:ascii="Times New Roman" w:hAnsi="Times New Roman" w:eastAsia="宋体" w:cs="Times New Roman"/>
                <w:bCs/>
                <w:color w:val="auto"/>
                <w:sz w:val="24"/>
                <w:szCs w:val="24"/>
                <w:highlight w:val="none"/>
                <w:u w:val="none" w:color="auto"/>
                <w:lang w:val="en-US" w:eastAsia="zh-CN"/>
              </w:rPr>
              <w:t>CNC精加工利用</w:t>
            </w:r>
            <w:r>
              <w:rPr>
                <w:rFonts w:hint="default" w:ascii="Times New Roman" w:hAnsi="Times New Roman" w:eastAsia="宋体" w:cs="Times New Roman"/>
                <w:bCs/>
                <w:color w:val="auto"/>
                <w:sz w:val="24"/>
                <w:szCs w:val="21"/>
                <w:u w:val="none" w:color="auto"/>
                <w:lang w:val="en-US" w:eastAsia="zh-CN"/>
              </w:rPr>
              <w:t>各类</w:t>
            </w:r>
            <w:r>
              <w:rPr>
                <w:rFonts w:hint="default" w:ascii="Times New Roman" w:hAnsi="Times New Roman" w:eastAsia="宋体" w:cs="Times New Roman"/>
                <w:bCs/>
                <w:color w:val="auto"/>
                <w:sz w:val="24"/>
                <w:szCs w:val="21"/>
                <w:u w:val="none" w:color="auto"/>
              </w:rPr>
              <w:t>加工中心</w:t>
            </w:r>
            <w:r>
              <w:rPr>
                <w:rFonts w:hint="default" w:ascii="Times New Roman" w:hAnsi="Times New Roman" w:eastAsia="宋体" w:cs="Times New Roman"/>
                <w:bCs/>
                <w:color w:val="auto"/>
                <w:sz w:val="24"/>
                <w:szCs w:val="21"/>
                <w:u w:val="none" w:color="auto"/>
                <w:lang w:eastAsia="zh-CN"/>
              </w:rPr>
              <w:t>、</w:t>
            </w:r>
            <w:r>
              <w:rPr>
                <w:rFonts w:hint="default" w:ascii="Times New Roman" w:hAnsi="Times New Roman" w:eastAsia="宋体" w:cs="Times New Roman"/>
                <w:color w:val="auto"/>
                <w:spacing w:val="-4"/>
                <w:sz w:val="21"/>
                <w:szCs w:val="21"/>
                <w:highlight w:val="none"/>
                <w:u w:val="none" w:color="auto"/>
              </w:rPr>
              <w:t>数控车床</w:t>
            </w:r>
            <w:r>
              <w:rPr>
                <w:rFonts w:hint="default" w:ascii="Times New Roman" w:hAnsi="Times New Roman" w:eastAsia="宋体" w:cs="Times New Roman"/>
                <w:bCs/>
                <w:color w:val="auto"/>
                <w:sz w:val="24"/>
                <w:szCs w:val="21"/>
                <w:u w:val="none" w:color="auto"/>
              </w:rPr>
              <w:t>等</w:t>
            </w:r>
            <w:r>
              <w:rPr>
                <w:rFonts w:hint="default" w:ascii="Times New Roman" w:hAnsi="Times New Roman" w:eastAsia="宋体" w:cs="Times New Roman"/>
                <w:bCs/>
                <w:color w:val="auto"/>
                <w:sz w:val="24"/>
                <w:szCs w:val="21"/>
                <w:u w:val="none" w:color="auto"/>
                <w:lang w:val="en-US" w:eastAsia="zh-CN"/>
              </w:rPr>
              <w:t>进行机加工，达到最终尺寸精度与表面质量要求。</w:t>
            </w:r>
          </w:p>
          <w:p w14:paraId="076FFA7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auto"/>
                <w:sz w:val="24"/>
                <w:szCs w:val="21"/>
                <w:u w:val="none" w:color="auto"/>
                <w:lang w:val="en-US" w:eastAsia="zh-CN"/>
              </w:rPr>
            </w:pPr>
            <w:r>
              <w:rPr>
                <w:rFonts w:hint="default" w:ascii="Times New Roman" w:hAnsi="Times New Roman" w:eastAsia="宋体" w:cs="Times New Roman"/>
                <w:bCs/>
                <w:color w:val="auto"/>
                <w:sz w:val="24"/>
                <w:szCs w:val="24"/>
                <w:highlight w:val="none"/>
                <w:u w:val="none" w:color="auto"/>
                <w:lang w:val="en-US" w:eastAsia="zh-CN"/>
              </w:rPr>
              <w:t>CNC精</w:t>
            </w:r>
            <w:r>
              <w:rPr>
                <w:rFonts w:hint="default" w:ascii="Times New Roman" w:hAnsi="Times New Roman" w:eastAsia="宋体" w:cs="Times New Roman"/>
                <w:bCs/>
                <w:color w:val="auto"/>
                <w:sz w:val="24"/>
                <w:szCs w:val="21"/>
                <w:u w:val="none" w:color="auto"/>
              </w:rPr>
              <w:t>加工工程均在封闭设备中进行，</w:t>
            </w:r>
            <w:r>
              <w:rPr>
                <w:rFonts w:hint="default" w:ascii="Times New Roman" w:hAnsi="Times New Roman" w:eastAsia="宋体" w:cs="Times New Roman"/>
                <w:bCs/>
                <w:color w:val="auto"/>
                <w:sz w:val="24"/>
                <w:szCs w:val="21"/>
                <w:u w:val="none" w:color="auto"/>
                <w:lang w:val="en-US" w:eastAsia="zh-CN"/>
              </w:rPr>
              <w:t>且加工工程中会使用切削液，因此</w:t>
            </w:r>
            <w:r>
              <w:rPr>
                <w:rFonts w:hint="default" w:ascii="Times New Roman" w:hAnsi="Times New Roman" w:eastAsia="宋体" w:cs="Times New Roman"/>
                <w:bCs/>
                <w:color w:val="auto"/>
                <w:sz w:val="24"/>
                <w:szCs w:val="21"/>
                <w:u w:val="none" w:color="auto"/>
              </w:rPr>
              <w:t>无粉尘产生</w:t>
            </w:r>
            <w:r>
              <w:rPr>
                <w:rFonts w:hint="default" w:ascii="Times New Roman" w:hAnsi="Times New Roman" w:eastAsia="宋体" w:cs="Times New Roman"/>
                <w:bCs/>
                <w:color w:val="auto"/>
                <w:sz w:val="24"/>
                <w:szCs w:val="21"/>
                <w:u w:val="none" w:color="auto"/>
                <w:lang w:eastAsia="zh-CN"/>
              </w:rPr>
              <w:t>，</w:t>
            </w:r>
            <w:r>
              <w:rPr>
                <w:rFonts w:hint="default" w:ascii="Times New Roman" w:hAnsi="Times New Roman" w:eastAsia="宋体" w:cs="Times New Roman"/>
                <w:bCs/>
                <w:color w:val="auto"/>
                <w:sz w:val="24"/>
                <w:szCs w:val="21"/>
                <w:u w:val="none" w:color="auto"/>
                <w:lang w:val="en-US" w:eastAsia="zh-CN"/>
              </w:rPr>
              <w:t>但</w:t>
            </w:r>
            <w:r>
              <w:rPr>
                <w:rFonts w:hint="default" w:ascii="Times New Roman" w:hAnsi="Times New Roman" w:eastAsia="宋体" w:cs="Times New Roman"/>
                <w:bCs/>
                <w:color w:val="auto"/>
                <w:sz w:val="24"/>
                <w:szCs w:val="21"/>
                <w:u w:val="none" w:color="auto"/>
              </w:rPr>
              <w:t>该工段产生</w:t>
            </w:r>
            <w:r>
              <w:rPr>
                <w:rFonts w:hint="default" w:ascii="Times New Roman" w:hAnsi="Times New Roman" w:eastAsia="宋体" w:cs="Times New Roman"/>
                <w:bCs/>
                <w:color w:val="auto"/>
                <w:sz w:val="24"/>
                <w:szCs w:val="21"/>
                <w:u w:val="none" w:color="auto"/>
                <w:lang w:val="en-US" w:eastAsia="zh-CN"/>
              </w:rPr>
              <w:t>带切削液</w:t>
            </w:r>
            <w:r>
              <w:rPr>
                <w:rFonts w:hint="default" w:ascii="Times New Roman" w:hAnsi="Times New Roman" w:eastAsia="宋体" w:cs="Times New Roman"/>
                <w:bCs/>
                <w:color w:val="auto"/>
                <w:sz w:val="24"/>
                <w:szCs w:val="21"/>
                <w:u w:val="none" w:color="auto"/>
              </w:rPr>
              <w:t>废金属边角料。</w:t>
            </w:r>
            <w:r>
              <w:rPr>
                <w:rFonts w:hint="default" w:ascii="Times New Roman" w:hAnsi="Times New Roman" w:eastAsia="宋体" w:cs="Times New Roman"/>
                <w:bCs/>
                <w:color w:val="auto"/>
                <w:sz w:val="24"/>
                <w:szCs w:val="21"/>
                <w:u w:val="none" w:color="auto"/>
                <w:lang w:val="en-US" w:eastAsia="zh-CN"/>
              </w:rPr>
              <w:t>另产生的切削液通过设备管道进行收集后再通过切削液过滤棉进行过滤后回用，因此不会产生废切削液，但会产生废切削液过滤棉。</w:t>
            </w:r>
          </w:p>
          <w:p w14:paraId="485E75A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auto"/>
                <w:sz w:val="24"/>
                <w:szCs w:val="21"/>
                <w:u w:val="none" w:color="auto"/>
                <w:lang w:val="en-US" w:eastAsia="zh-CN"/>
              </w:rPr>
            </w:pPr>
            <w:r>
              <w:rPr>
                <w:rFonts w:hint="default" w:ascii="Times New Roman" w:hAnsi="Times New Roman" w:eastAsia="宋体" w:cs="Times New Roman"/>
                <w:bCs/>
                <w:color w:val="auto"/>
                <w:sz w:val="24"/>
                <w:szCs w:val="21"/>
                <w:u w:val="none" w:color="auto"/>
                <w:lang w:val="en-US" w:eastAsia="zh-CN"/>
              </w:rPr>
              <w:t>另在</w:t>
            </w:r>
            <w:r>
              <w:rPr>
                <w:rFonts w:hint="default" w:ascii="Times New Roman" w:hAnsi="Times New Roman" w:eastAsia="宋体" w:cs="Times New Roman"/>
                <w:bCs/>
                <w:color w:val="auto"/>
                <w:sz w:val="24"/>
                <w:szCs w:val="24"/>
                <w:highlight w:val="none"/>
                <w:u w:val="none" w:color="auto"/>
                <w:lang w:val="en-US" w:eastAsia="zh-CN"/>
              </w:rPr>
              <w:t>CNC精</w:t>
            </w:r>
            <w:r>
              <w:rPr>
                <w:rFonts w:hint="default" w:ascii="Times New Roman" w:hAnsi="Times New Roman" w:eastAsia="宋体" w:cs="Times New Roman"/>
                <w:bCs/>
                <w:color w:val="auto"/>
                <w:sz w:val="24"/>
                <w:szCs w:val="21"/>
                <w:u w:val="none" w:color="auto"/>
              </w:rPr>
              <w:t>加工工程</w:t>
            </w:r>
            <w:r>
              <w:rPr>
                <w:rFonts w:hint="default" w:ascii="Times New Roman" w:hAnsi="Times New Roman" w:eastAsia="宋体" w:cs="Times New Roman"/>
                <w:bCs/>
                <w:color w:val="auto"/>
                <w:sz w:val="24"/>
                <w:szCs w:val="21"/>
                <w:u w:val="none" w:color="auto"/>
                <w:lang w:val="en-US" w:eastAsia="zh-CN"/>
              </w:rPr>
              <w:t>中切削液受热或高频作业产生油雾废气，每台</w:t>
            </w:r>
            <w:r>
              <w:rPr>
                <w:rFonts w:hint="default" w:ascii="Times New Roman" w:hAnsi="Times New Roman" w:eastAsia="宋体" w:cs="Times New Roman"/>
                <w:bCs/>
                <w:color w:val="auto"/>
                <w:sz w:val="24"/>
                <w:szCs w:val="24"/>
                <w:highlight w:val="none"/>
                <w:u w:val="none" w:color="auto"/>
                <w:lang w:val="en-US" w:eastAsia="zh-CN"/>
              </w:rPr>
              <w:t>CNC精加工</w:t>
            </w:r>
            <w:r>
              <w:rPr>
                <w:rFonts w:hint="default" w:ascii="Times New Roman" w:hAnsi="Times New Roman" w:eastAsia="宋体" w:cs="Times New Roman"/>
                <w:bCs/>
                <w:color w:val="auto"/>
                <w:sz w:val="24"/>
                <w:szCs w:val="21"/>
                <w:u w:val="none" w:color="auto"/>
                <w:lang w:val="en-US" w:eastAsia="zh-CN"/>
              </w:rPr>
              <w:t>机加设备均配套静电油雾分离器进行处理，收集到的切削液回用生产，处理后的废气通过静电油雾分离器顶部排放。</w:t>
            </w:r>
          </w:p>
          <w:p w14:paraId="1D00BE4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auto"/>
                <w:sz w:val="24"/>
                <w:szCs w:val="21"/>
                <w:u w:val="none" w:color="auto"/>
                <w:lang w:val="en-US" w:eastAsia="zh-CN"/>
              </w:rPr>
            </w:pPr>
            <w:r>
              <w:rPr>
                <w:rFonts w:hint="default" w:ascii="Times New Roman" w:hAnsi="Times New Roman" w:eastAsia="宋体" w:cs="Times New Roman"/>
                <w:bCs/>
                <w:color w:val="auto"/>
                <w:sz w:val="24"/>
                <w:szCs w:val="21"/>
                <w:u w:val="none" w:color="auto"/>
                <w:lang w:val="en-US" w:eastAsia="zh-CN"/>
              </w:rPr>
              <w:t>（6）智能机器人清洗系统高压清洗</w:t>
            </w:r>
          </w:p>
          <w:p w14:paraId="49DA06D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auto"/>
                <w:sz w:val="24"/>
                <w:szCs w:val="21"/>
                <w:u w:val="none" w:color="auto"/>
                <w:lang w:val="en-US" w:eastAsia="zh-CN"/>
              </w:rPr>
            </w:pPr>
            <w:r>
              <w:rPr>
                <w:rFonts w:hint="default" w:ascii="Times New Roman" w:hAnsi="Times New Roman" w:eastAsia="宋体" w:cs="Times New Roman"/>
                <w:bCs/>
                <w:color w:val="auto"/>
                <w:sz w:val="24"/>
                <w:szCs w:val="21"/>
                <w:u w:val="none" w:color="auto"/>
                <w:lang w:val="en-US" w:eastAsia="zh-CN"/>
              </w:rPr>
              <w:t>采用进出水孔高压清洗及高压吹气方式，清洗后工件表面、螺纹孔及水道无水渍、切屑液、金属碎屑等残留。在清洗过程中会产生清洗废水，该部分废水经智能机器人清洗系统自带过滤设备过滤后循环使用，但随着循环次数增加，水质将不能满足清洗需求，因此需定期排放，预计排放频次为1次/月。在循环过程中智能机器人清洗系统用水循环自带过滤设备将产生一定量的过滤残渣。</w:t>
            </w:r>
          </w:p>
          <w:p w14:paraId="72F7BFF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auto"/>
                <w:sz w:val="24"/>
                <w:szCs w:val="24"/>
                <w:highlight w:val="none"/>
                <w:u w:val="none" w:color="auto"/>
                <w:lang w:val="en-US" w:eastAsia="zh-CN"/>
              </w:rPr>
            </w:pPr>
            <w:r>
              <w:rPr>
                <w:rFonts w:hint="default" w:ascii="Times New Roman" w:hAnsi="Times New Roman" w:eastAsia="宋体" w:cs="Times New Roman"/>
                <w:bCs/>
                <w:color w:val="auto"/>
                <w:sz w:val="24"/>
                <w:szCs w:val="24"/>
                <w:highlight w:val="none"/>
                <w:u w:val="none" w:color="auto"/>
                <w:lang w:val="en-US" w:eastAsia="zh-CN"/>
              </w:rPr>
              <w:t>（7）气密测试</w:t>
            </w:r>
          </w:p>
          <w:p w14:paraId="3BE2E3D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auto"/>
                <w:sz w:val="24"/>
                <w:szCs w:val="24"/>
                <w:highlight w:val="none"/>
                <w:u w:val="none" w:color="auto"/>
                <w:lang w:val="en-US" w:eastAsia="zh-CN"/>
              </w:rPr>
            </w:pPr>
            <w:r>
              <w:rPr>
                <w:rFonts w:hint="default" w:ascii="Times New Roman" w:hAnsi="Times New Roman" w:eastAsia="宋体" w:cs="Times New Roman"/>
                <w:bCs/>
                <w:color w:val="auto"/>
                <w:sz w:val="24"/>
                <w:szCs w:val="24"/>
                <w:highlight w:val="none"/>
                <w:u w:val="none" w:color="auto"/>
                <w:lang w:val="en-US" w:eastAsia="zh-CN"/>
              </w:rPr>
              <w:t>通过向密闭式箱体进行充气，并配套红外热成像仪定位渗漏点，若合格产品，则进入成品下线外观检查；若不合格，则进入浸渗工艺线进行处理，产品不合格率需控制在10%以内，若超出则需对相关生产线进行检修检查。</w:t>
            </w:r>
          </w:p>
          <w:p w14:paraId="3BEA276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auto"/>
                <w:sz w:val="24"/>
                <w:szCs w:val="24"/>
                <w:highlight w:val="none"/>
                <w:u w:val="none" w:color="auto"/>
                <w:lang w:val="en-US" w:eastAsia="zh-CN"/>
              </w:rPr>
            </w:pPr>
            <w:r>
              <w:rPr>
                <w:rFonts w:hint="default" w:ascii="Times New Roman" w:hAnsi="Times New Roman" w:eastAsia="宋体" w:cs="Times New Roman"/>
                <w:bCs/>
                <w:color w:val="auto"/>
                <w:sz w:val="24"/>
                <w:szCs w:val="24"/>
                <w:highlight w:val="none"/>
                <w:u w:val="none" w:color="auto"/>
                <w:lang w:val="en-US" w:eastAsia="zh-CN"/>
              </w:rPr>
              <w:t>（8）浸渗处理</w:t>
            </w:r>
          </w:p>
          <w:p w14:paraId="71534DD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auto"/>
                <w:sz w:val="24"/>
                <w:szCs w:val="24"/>
                <w:highlight w:val="none"/>
                <w:u w:val="none" w:color="auto"/>
                <w:lang w:val="en-US" w:eastAsia="zh-CN"/>
              </w:rPr>
            </w:pPr>
            <w:r>
              <w:rPr>
                <w:rFonts w:hint="default" w:ascii="Times New Roman" w:hAnsi="Times New Roman" w:eastAsia="宋体" w:cs="Times New Roman"/>
                <w:bCs/>
                <w:color w:val="auto"/>
                <w:sz w:val="24"/>
                <w:szCs w:val="24"/>
                <w:highlight w:val="none"/>
                <w:u w:val="none" w:color="auto"/>
                <w:lang w:val="en-US" w:eastAsia="zh-CN"/>
              </w:rPr>
              <w:t>根据产品需求，经过干净、干燥后的部分问题产品装入浸渗框放置到浸渗罐内的升降机构上，与罐体下部的浸渗液一起接受真空的作用，去除工件</w:t>
            </w:r>
            <w:r>
              <w:rPr>
                <w:rFonts w:hint="eastAsia" w:cs="Times New Roman"/>
                <w:bCs/>
                <w:color w:val="auto"/>
                <w:sz w:val="24"/>
                <w:szCs w:val="24"/>
                <w:highlight w:val="none"/>
                <w:u w:val="none" w:color="auto"/>
                <w:lang w:val="en-US" w:eastAsia="zh-CN"/>
              </w:rPr>
              <w:t>缺陷</w:t>
            </w:r>
            <w:r>
              <w:rPr>
                <w:rFonts w:hint="default" w:ascii="Times New Roman" w:hAnsi="Times New Roman" w:eastAsia="宋体" w:cs="Times New Roman"/>
                <w:bCs/>
                <w:color w:val="auto"/>
                <w:sz w:val="24"/>
                <w:szCs w:val="24"/>
                <w:highlight w:val="none"/>
                <w:u w:val="none" w:color="auto"/>
                <w:lang w:val="en-US" w:eastAsia="zh-CN"/>
              </w:rPr>
              <w:t>和浸渗液中的空气，在压降没有发生变化的密闭罐内，工件框下降，直至被浸渗液完全淹没，保持一段时间，待浸渗液</w:t>
            </w:r>
            <w:r>
              <w:rPr>
                <w:rFonts w:hint="eastAsia" w:cs="Times New Roman"/>
                <w:bCs/>
                <w:color w:val="auto"/>
                <w:sz w:val="24"/>
                <w:szCs w:val="24"/>
                <w:highlight w:val="none"/>
                <w:u w:val="none" w:color="auto"/>
                <w:lang w:val="en-US" w:eastAsia="zh-CN"/>
              </w:rPr>
              <w:t>渗入</w:t>
            </w:r>
            <w:r>
              <w:rPr>
                <w:rFonts w:hint="default" w:ascii="Times New Roman" w:hAnsi="Times New Roman" w:eastAsia="宋体" w:cs="Times New Roman"/>
                <w:bCs/>
                <w:color w:val="auto"/>
                <w:sz w:val="24"/>
                <w:szCs w:val="24"/>
                <w:highlight w:val="none"/>
                <w:u w:val="none" w:color="auto"/>
                <w:lang w:val="en-US" w:eastAsia="zh-CN"/>
              </w:rPr>
              <w:t>产品缺陷中（每件产品浸渗量为5-6g）。工艺完成后，再打开回收胶的球阀，将离心甩胶罐内的浸渗剂进行回收，不外排。</w:t>
            </w:r>
          </w:p>
          <w:p w14:paraId="7498260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auto"/>
                <w:sz w:val="24"/>
                <w:szCs w:val="24"/>
                <w:highlight w:val="none"/>
                <w:u w:val="none" w:color="auto"/>
                <w:lang w:val="en-US" w:eastAsia="zh-CN"/>
              </w:rPr>
            </w:pPr>
            <w:r>
              <w:rPr>
                <w:rFonts w:hint="default" w:ascii="Times New Roman" w:hAnsi="Times New Roman" w:eastAsia="宋体" w:cs="Times New Roman"/>
                <w:bCs/>
                <w:color w:val="auto"/>
                <w:sz w:val="24"/>
                <w:szCs w:val="24"/>
                <w:highlight w:val="none"/>
                <w:u w:val="none" w:color="auto"/>
                <w:lang w:val="en-US" w:eastAsia="zh-CN"/>
              </w:rPr>
              <w:t>浸渗工艺完成后，产品表面及盲孔内残留大量的浸渗剂，采用六向离心甩胶机构，使残留的浸渗剂得到有效的剥离并可直接回收。甩胶工序完成后，将工件框送到喷淋清洗罐中，清洗黏附在工件表面的浸渗液，清洗结束后对产品进行沥干。</w:t>
            </w:r>
          </w:p>
          <w:p w14:paraId="7355A8D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auto"/>
                <w:sz w:val="24"/>
                <w:szCs w:val="24"/>
                <w:highlight w:val="none"/>
                <w:u w:val="none" w:color="auto"/>
                <w:lang w:val="en-US" w:eastAsia="zh-CN"/>
              </w:rPr>
            </w:pPr>
            <w:r>
              <w:rPr>
                <w:rFonts w:hint="default" w:ascii="Times New Roman" w:hAnsi="Times New Roman" w:eastAsia="宋体" w:cs="Times New Roman"/>
                <w:bCs/>
                <w:color w:val="auto"/>
                <w:sz w:val="24"/>
                <w:szCs w:val="24"/>
                <w:highlight w:val="none"/>
                <w:u w:val="none" w:color="auto"/>
                <w:lang w:val="en-US" w:eastAsia="zh-CN"/>
              </w:rPr>
              <w:t>喷淋清洗罐工序完成后送到喷淋漂洗罐中，用循环水对工件进行喷淋冲洗和半浸泡漂洗，最大程度的清洗残留的浸渗液，保证清洗效果。水排空后（排至水箱），将产品表面的水进行翻转沥干。沥干后根据程序设定的时间气缸将盖子打开，工件框出料。喷淋清洗罐工序和喷淋漂洗罐工序均配备回水系统，该部分用水因含有一定量的浸渗液，为充分利用，</w:t>
            </w:r>
            <w:r>
              <w:rPr>
                <w:rFonts w:hint="eastAsia" w:cs="Times New Roman"/>
                <w:bCs/>
                <w:color w:val="auto"/>
                <w:sz w:val="24"/>
                <w:szCs w:val="24"/>
                <w:highlight w:val="none"/>
                <w:u w:val="none" w:color="auto"/>
                <w:lang w:val="en-US" w:eastAsia="zh-CN"/>
              </w:rPr>
              <w:t>经</w:t>
            </w:r>
            <w:r>
              <w:rPr>
                <w:rFonts w:hint="default" w:ascii="Times New Roman" w:hAnsi="Times New Roman" w:eastAsia="宋体" w:cs="Times New Roman"/>
                <w:bCs/>
                <w:color w:val="auto"/>
                <w:sz w:val="24"/>
                <w:szCs w:val="24"/>
                <w:highlight w:val="none"/>
                <w:u w:val="none" w:color="auto"/>
                <w:lang w:val="en-US" w:eastAsia="zh-CN"/>
              </w:rPr>
              <w:t>过滤后回用。</w:t>
            </w:r>
          </w:p>
          <w:p w14:paraId="41C71CC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auto"/>
                <w:sz w:val="24"/>
                <w:szCs w:val="24"/>
                <w:highlight w:val="none"/>
                <w:u w:val="none" w:color="auto"/>
                <w:lang w:val="en-US" w:eastAsia="zh-CN"/>
              </w:rPr>
            </w:pPr>
            <w:r>
              <w:rPr>
                <w:rFonts w:hint="default" w:ascii="Times New Roman" w:hAnsi="Times New Roman" w:eastAsia="宋体" w:cs="Times New Roman"/>
                <w:bCs/>
                <w:color w:val="auto"/>
                <w:sz w:val="24"/>
                <w:szCs w:val="24"/>
                <w:highlight w:val="none"/>
                <w:u w:val="none" w:color="auto"/>
                <w:lang w:val="en-US" w:eastAsia="zh-CN"/>
              </w:rPr>
              <w:t>喷淋漂洗后的工件框吊运至热水固化罐中，喷淋系统将热水输送到上箱体，半淹没工件，对浸渗、清洗后的工件进行热水浸泡，使渗透到工件缺陷内的浸渗液固化，达到堵漏的效果同时翻转机构保持运行，固化工艺时间结束后将水排至下水箱，进行翻转沥干和排蒸汽处理。该部分用水则定期排放。</w:t>
            </w:r>
          </w:p>
          <w:p w14:paraId="3F984B8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auto"/>
                <w:sz w:val="24"/>
                <w:szCs w:val="24"/>
                <w:highlight w:val="none"/>
                <w:u w:val="none" w:color="auto"/>
                <w:lang w:val="en-US" w:eastAsia="zh-CN"/>
              </w:rPr>
            </w:pPr>
            <w:r>
              <w:rPr>
                <w:rFonts w:hint="default" w:ascii="Times New Roman" w:hAnsi="Times New Roman" w:eastAsia="宋体" w:cs="Times New Roman"/>
                <w:bCs/>
                <w:color w:val="auto"/>
                <w:sz w:val="24"/>
                <w:szCs w:val="24"/>
                <w:highlight w:val="none"/>
                <w:u w:val="none" w:color="auto"/>
                <w:lang w:val="en-US" w:eastAsia="zh-CN"/>
              </w:rPr>
              <w:t>浸渗回收系统是一种独特的浸渗回收装置，从冷水洗涤缸接收混合有浸渗液的清洗水，清洗水先经过过滤器，然后两者分离。然后，浸渗液被抽回浸渗缸循环使用，净化水也被直接抽回洗涤缸，整个过程在一个完全封闭的循环系统中进行。</w:t>
            </w:r>
          </w:p>
          <w:p w14:paraId="51B4F60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auto"/>
                <w:sz w:val="24"/>
                <w:szCs w:val="24"/>
                <w:highlight w:val="none"/>
                <w:u w:val="none" w:color="auto"/>
                <w:lang w:val="en-US" w:eastAsia="zh-CN"/>
              </w:rPr>
            </w:pPr>
            <w:r>
              <w:rPr>
                <w:rFonts w:hint="default" w:ascii="Times New Roman" w:hAnsi="Times New Roman" w:eastAsia="宋体" w:cs="Times New Roman"/>
                <w:bCs/>
                <w:color w:val="auto"/>
                <w:sz w:val="24"/>
                <w:szCs w:val="24"/>
                <w:highlight w:val="none"/>
                <w:u w:val="none" w:color="auto"/>
                <w:lang w:val="en-US" w:eastAsia="zh-CN"/>
              </w:rPr>
              <w:t>浸渗工艺因使用丙烯类有机浸渗剂，尽管为水性浸渗剂，但在真空环境下浸渗剂中的低沸点有机溶剂和未反应单体挥发；离心甩胶和喷淋清洗时，工件表面残留浸渗剂在机械力作用下挥发；90℃高温促使浸渗剂中未完全聚合的单体热分解，因此产生VOCs（以非甲烷总烃表征）废气。在甩胶工序、清洗工序和热水固化槽均会产生一定量的固废。</w:t>
            </w:r>
          </w:p>
          <w:p w14:paraId="0235A4B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auto"/>
                <w:sz w:val="24"/>
                <w:szCs w:val="24"/>
                <w:highlight w:val="none"/>
                <w:u w:val="none" w:color="auto"/>
                <w:lang w:val="en-US" w:eastAsia="zh-CN"/>
              </w:rPr>
            </w:pPr>
            <w:r>
              <w:rPr>
                <w:rFonts w:hint="default" w:ascii="Times New Roman" w:hAnsi="Times New Roman" w:eastAsia="宋体" w:cs="Times New Roman"/>
                <w:bCs/>
                <w:color w:val="auto"/>
                <w:sz w:val="24"/>
                <w:szCs w:val="24"/>
                <w:highlight w:val="none"/>
                <w:u w:val="none" w:color="auto"/>
                <w:lang w:val="en-US" w:eastAsia="zh-CN"/>
              </w:rPr>
              <w:t>（9）成品下线外观检查</w:t>
            </w:r>
          </w:p>
          <w:p w14:paraId="752A35C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auto"/>
                <w:sz w:val="24"/>
                <w:szCs w:val="24"/>
                <w:highlight w:val="none"/>
                <w:u w:val="none" w:color="auto"/>
                <w:lang w:val="en-US" w:eastAsia="zh-CN"/>
              </w:rPr>
            </w:pPr>
            <w:r>
              <w:rPr>
                <w:rFonts w:hint="default" w:ascii="Times New Roman" w:hAnsi="Times New Roman" w:eastAsia="宋体" w:cs="Times New Roman"/>
                <w:bCs/>
                <w:color w:val="auto"/>
                <w:sz w:val="24"/>
                <w:szCs w:val="24"/>
                <w:highlight w:val="none"/>
                <w:u w:val="none" w:color="auto"/>
                <w:lang w:val="en-US" w:eastAsia="zh-CN"/>
              </w:rPr>
              <w:t>配置检验工作台，按要求对外观进行全检，能返修则人工处理后流入人工返修工序，外观严重不合格无法返修则贴不合格标识，作为报废品（报废率控制在</w:t>
            </w:r>
            <w:r>
              <w:rPr>
                <w:rFonts w:hint="default" w:ascii="Times New Roman" w:hAnsi="Times New Roman" w:eastAsia="宋体" w:cs="Times New Roman"/>
                <w:b w:val="0"/>
                <w:bCs/>
                <w:color w:val="auto"/>
                <w:spacing w:val="0"/>
                <w:sz w:val="24"/>
                <w:highlight w:val="none"/>
                <w:u w:val="none" w:color="auto"/>
                <w:lang w:val="en-US" w:eastAsia="zh-CN"/>
              </w:rPr>
              <w:t>≤4%</w:t>
            </w:r>
            <w:r>
              <w:rPr>
                <w:rFonts w:hint="default" w:ascii="Times New Roman" w:hAnsi="Times New Roman" w:eastAsia="宋体" w:cs="Times New Roman"/>
                <w:bCs/>
                <w:color w:val="auto"/>
                <w:sz w:val="24"/>
                <w:szCs w:val="24"/>
                <w:highlight w:val="none"/>
                <w:u w:val="none" w:color="auto"/>
                <w:lang w:val="en-US" w:eastAsia="zh-CN"/>
              </w:rPr>
              <w:t>）。</w:t>
            </w:r>
          </w:p>
          <w:p w14:paraId="552672B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auto"/>
                <w:sz w:val="24"/>
                <w:szCs w:val="24"/>
                <w:highlight w:val="none"/>
                <w:u w:val="none" w:color="auto"/>
                <w:lang w:val="en-US" w:eastAsia="zh-CN"/>
              </w:rPr>
            </w:pPr>
            <w:r>
              <w:rPr>
                <w:rFonts w:hint="default" w:ascii="Times New Roman" w:hAnsi="Times New Roman" w:eastAsia="宋体" w:cs="Times New Roman"/>
                <w:bCs/>
                <w:color w:val="auto"/>
                <w:sz w:val="24"/>
                <w:szCs w:val="24"/>
                <w:highlight w:val="none"/>
                <w:u w:val="none" w:color="auto"/>
                <w:lang w:val="en-US" w:eastAsia="zh-CN"/>
              </w:rPr>
              <w:t>合格产品则进入14#产品暂存区。</w:t>
            </w:r>
          </w:p>
          <w:p w14:paraId="4DE41BCF">
            <w:pPr>
              <w:pStyle w:val="2"/>
              <w:snapToGrid/>
              <w:spacing w:before="0" w:after="0" w:line="360" w:lineRule="auto"/>
              <w:ind w:right="0" w:firstLine="480" w:firstLineChars="200"/>
              <w:contextualSpacing/>
              <w:rPr>
                <w:rFonts w:hint="default" w:ascii="Times New Roman" w:hAnsi="Times New Roman" w:eastAsia="宋体" w:cs="Times New Roman"/>
                <w:color w:val="auto"/>
                <w:kern w:val="21"/>
                <w:sz w:val="24"/>
                <w:highlight w:val="none"/>
                <w:u w:val="none" w:color="auto"/>
                <w:lang w:val="en-US" w:eastAsia="zh-CN"/>
              </w:rPr>
            </w:pPr>
            <w:r>
              <w:rPr>
                <w:rFonts w:hint="default" w:ascii="Times New Roman" w:hAnsi="Times New Roman" w:eastAsia="宋体" w:cs="Times New Roman"/>
                <w:color w:val="auto"/>
                <w:kern w:val="21"/>
                <w:sz w:val="24"/>
                <w:highlight w:val="none"/>
                <w:u w:val="none" w:color="auto"/>
                <w:lang w:val="en-US" w:eastAsia="zh-CN"/>
              </w:rPr>
              <w:t>三、运营期产排污节点汇总</w:t>
            </w:r>
          </w:p>
          <w:p w14:paraId="08D5B2EF">
            <w:pPr>
              <w:pStyle w:val="2"/>
              <w:snapToGrid/>
              <w:spacing w:before="0" w:after="0" w:line="360" w:lineRule="auto"/>
              <w:ind w:right="0" w:firstLine="480" w:firstLineChars="200"/>
              <w:contextualSpacing/>
              <w:rPr>
                <w:rFonts w:hint="default" w:ascii="Times New Roman" w:hAnsi="Times New Roman" w:eastAsia="宋体" w:cs="Times New Roman"/>
                <w:color w:val="auto"/>
                <w:kern w:val="21"/>
                <w:sz w:val="24"/>
                <w:highlight w:val="none"/>
                <w:u w:val="none" w:color="auto"/>
              </w:rPr>
            </w:pPr>
            <w:r>
              <w:rPr>
                <w:rFonts w:hint="default" w:ascii="Times New Roman" w:hAnsi="Times New Roman" w:eastAsia="宋体" w:cs="Times New Roman"/>
                <w:color w:val="auto"/>
                <w:kern w:val="21"/>
                <w:sz w:val="24"/>
                <w:highlight w:val="none"/>
                <w:u w:val="none" w:color="auto"/>
              </w:rPr>
              <w:t>根据运营期生产工艺分析，项目产污环节情况具体见下表：</w:t>
            </w:r>
          </w:p>
          <w:p w14:paraId="23D15483">
            <w:pPr>
              <w:pStyle w:val="2"/>
              <w:snapToGrid/>
              <w:spacing w:before="0" w:after="0" w:line="240" w:lineRule="auto"/>
              <w:ind w:right="0"/>
              <w:jc w:val="center"/>
              <w:rPr>
                <w:rFonts w:hint="default" w:ascii="Times New Roman" w:hAnsi="Times New Roman" w:eastAsia="宋体" w:cs="Times New Roman"/>
                <w:b/>
                <w:bCs/>
                <w:color w:val="auto"/>
                <w:sz w:val="21"/>
                <w:szCs w:val="16"/>
                <w:highlight w:val="none"/>
                <w:u w:val="none" w:color="auto"/>
              </w:rPr>
            </w:pPr>
            <w:r>
              <w:rPr>
                <w:rFonts w:hint="default" w:ascii="Times New Roman" w:hAnsi="Times New Roman" w:eastAsia="宋体" w:cs="Times New Roman"/>
                <w:b/>
                <w:bCs/>
                <w:color w:val="auto"/>
                <w:sz w:val="21"/>
                <w:szCs w:val="16"/>
                <w:highlight w:val="none"/>
                <w:u w:val="none" w:color="auto"/>
              </w:rPr>
              <w:t>表2-</w:t>
            </w:r>
            <w:r>
              <w:rPr>
                <w:rFonts w:hint="default" w:ascii="Times New Roman" w:hAnsi="Times New Roman" w:eastAsia="宋体" w:cs="Times New Roman"/>
                <w:b/>
                <w:bCs/>
                <w:color w:val="auto"/>
                <w:sz w:val="21"/>
                <w:szCs w:val="16"/>
                <w:highlight w:val="none"/>
                <w:u w:val="none" w:color="auto"/>
                <w:lang w:val="en-US" w:eastAsia="zh-CN"/>
              </w:rPr>
              <w:t>6</w:t>
            </w:r>
            <w:r>
              <w:rPr>
                <w:rFonts w:hint="default" w:ascii="Times New Roman" w:hAnsi="Times New Roman" w:eastAsia="宋体" w:cs="Times New Roman"/>
                <w:b/>
                <w:bCs/>
                <w:color w:val="auto"/>
                <w:sz w:val="21"/>
                <w:szCs w:val="16"/>
                <w:highlight w:val="none"/>
                <w:u w:val="none" w:color="auto"/>
              </w:rPr>
              <w:t xml:space="preserve">  项目运营期主要产污环节一览表</w:t>
            </w:r>
          </w:p>
          <w:tbl>
            <w:tblPr>
              <w:tblStyle w:val="31"/>
              <w:tblW w:w="4998" w:type="pct"/>
              <w:tblInd w:w="-1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Layout w:type="fixed"/>
              <w:tblCellMar>
                <w:top w:w="0" w:type="dxa"/>
                <w:left w:w="108" w:type="dxa"/>
                <w:bottom w:w="0" w:type="dxa"/>
                <w:right w:w="108" w:type="dxa"/>
              </w:tblCellMar>
            </w:tblPr>
            <w:tblGrid>
              <w:gridCol w:w="1411"/>
              <w:gridCol w:w="1411"/>
              <w:gridCol w:w="1412"/>
              <w:gridCol w:w="1412"/>
              <w:gridCol w:w="1412"/>
              <w:gridCol w:w="1412"/>
            </w:tblGrid>
            <w:tr w14:paraId="5C922AE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trPr>
              <w:tc>
                <w:tcPr>
                  <w:tcW w:w="832" w:type="pct"/>
                  <w:tcBorders>
                    <w:tl2br w:val="nil"/>
                    <w:tr2bl w:val="nil"/>
                  </w:tcBorders>
                  <w:shd w:val="clear" w:color="auto" w:fill="auto"/>
                  <w:vAlign w:val="center"/>
                </w:tcPr>
                <w:p w14:paraId="1232473C">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color="auto"/>
                    </w:rPr>
                  </w:pPr>
                  <w:r>
                    <w:rPr>
                      <w:rFonts w:hint="default" w:ascii="Times New Roman" w:hAnsi="Times New Roman" w:eastAsia="宋体" w:cs="Times New Roman"/>
                      <w:b/>
                      <w:bCs/>
                      <w:i w:val="0"/>
                      <w:iCs w:val="0"/>
                      <w:color w:val="auto"/>
                      <w:kern w:val="0"/>
                      <w:sz w:val="21"/>
                      <w:szCs w:val="21"/>
                      <w:u w:val="none" w:color="auto"/>
                      <w:lang w:val="en-US" w:eastAsia="zh-CN" w:bidi="ar"/>
                    </w:rPr>
                    <w:t>类别</w:t>
                  </w:r>
                </w:p>
              </w:tc>
              <w:tc>
                <w:tcPr>
                  <w:tcW w:w="832" w:type="pct"/>
                  <w:tcBorders>
                    <w:tl2br w:val="nil"/>
                    <w:tr2bl w:val="nil"/>
                  </w:tcBorders>
                  <w:shd w:val="clear" w:color="auto" w:fill="auto"/>
                  <w:vAlign w:val="center"/>
                </w:tcPr>
                <w:p w14:paraId="74AD02F4">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color="auto"/>
                    </w:rPr>
                  </w:pPr>
                  <w:r>
                    <w:rPr>
                      <w:rFonts w:hint="default" w:ascii="Times New Roman" w:hAnsi="Times New Roman" w:eastAsia="宋体" w:cs="Times New Roman"/>
                      <w:b/>
                      <w:bCs/>
                      <w:i w:val="0"/>
                      <w:iCs w:val="0"/>
                      <w:color w:val="auto"/>
                      <w:kern w:val="0"/>
                      <w:sz w:val="21"/>
                      <w:szCs w:val="21"/>
                      <w:u w:val="none" w:color="auto"/>
                      <w:lang w:val="en-US" w:eastAsia="zh-CN" w:bidi="ar"/>
                    </w:rPr>
                    <w:t>所在区域</w:t>
                  </w:r>
                </w:p>
              </w:tc>
              <w:tc>
                <w:tcPr>
                  <w:tcW w:w="833" w:type="pct"/>
                  <w:tcBorders>
                    <w:tl2br w:val="nil"/>
                    <w:tr2bl w:val="nil"/>
                  </w:tcBorders>
                  <w:shd w:val="clear" w:color="auto" w:fill="auto"/>
                  <w:vAlign w:val="center"/>
                </w:tcPr>
                <w:p w14:paraId="210BABAB">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color="auto"/>
                    </w:rPr>
                  </w:pPr>
                  <w:r>
                    <w:rPr>
                      <w:rFonts w:hint="default" w:ascii="Times New Roman" w:hAnsi="Times New Roman" w:eastAsia="宋体" w:cs="Times New Roman"/>
                      <w:b/>
                      <w:bCs/>
                      <w:i w:val="0"/>
                      <w:iCs w:val="0"/>
                      <w:color w:val="auto"/>
                      <w:kern w:val="0"/>
                      <w:sz w:val="21"/>
                      <w:szCs w:val="21"/>
                      <w:u w:val="none" w:color="auto"/>
                      <w:lang w:val="en-US" w:eastAsia="zh-CN" w:bidi="ar"/>
                    </w:rPr>
                    <w:t>产污序号</w:t>
                  </w:r>
                </w:p>
              </w:tc>
              <w:tc>
                <w:tcPr>
                  <w:tcW w:w="833" w:type="pct"/>
                  <w:tcBorders>
                    <w:tl2br w:val="nil"/>
                    <w:tr2bl w:val="nil"/>
                  </w:tcBorders>
                  <w:shd w:val="clear" w:color="auto" w:fill="auto"/>
                  <w:vAlign w:val="center"/>
                </w:tcPr>
                <w:p w14:paraId="5ABA58DB">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color="auto"/>
                    </w:rPr>
                  </w:pPr>
                  <w:r>
                    <w:rPr>
                      <w:rFonts w:hint="default" w:ascii="Times New Roman" w:hAnsi="Times New Roman" w:eastAsia="宋体" w:cs="Times New Roman"/>
                      <w:b/>
                      <w:bCs/>
                      <w:i w:val="0"/>
                      <w:iCs w:val="0"/>
                      <w:color w:val="auto"/>
                      <w:kern w:val="0"/>
                      <w:sz w:val="21"/>
                      <w:szCs w:val="21"/>
                      <w:u w:val="none" w:color="auto"/>
                      <w:lang w:val="en-US" w:eastAsia="zh-CN" w:bidi="ar"/>
                    </w:rPr>
                    <w:t>产生环节</w:t>
                  </w:r>
                </w:p>
              </w:tc>
              <w:tc>
                <w:tcPr>
                  <w:tcW w:w="833" w:type="pct"/>
                  <w:tcBorders>
                    <w:tl2br w:val="nil"/>
                    <w:tr2bl w:val="nil"/>
                  </w:tcBorders>
                  <w:shd w:val="clear" w:color="auto" w:fill="auto"/>
                  <w:vAlign w:val="center"/>
                </w:tcPr>
                <w:p w14:paraId="4261EBFA">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color="auto"/>
                    </w:rPr>
                  </w:pPr>
                  <w:r>
                    <w:rPr>
                      <w:rFonts w:hint="default" w:ascii="Times New Roman" w:hAnsi="Times New Roman" w:eastAsia="宋体" w:cs="Times New Roman"/>
                      <w:b/>
                      <w:bCs/>
                      <w:i w:val="0"/>
                      <w:iCs w:val="0"/>
                      <w:color w:val="auto"/>
                      <w:kern w:val="0"/>
                      <w:sz w:val="21"/>
                      <w:szCs w:val="21"/>
                      <w:u w:val="none" w:color="auto"/>
                      <w:lang w:val="en-US" w:eastAsia="zh-CN" w:bidi="ar"/>
                    </w:rPr>
                    <w:t>污染因子</w:t>
                  </w:r>
                </w:p>
              </w:tc>
              <w:tc>
                <w:tcPr>
                  <w:tcW w:w="833" w:type="pct"/>
                  <w:tcBorders>
                    <w:tl2br w:val="nil"/>
                    <w:tr2bl w:val="nil"/>
                  </w:tcBorders>
                  <w:shd w:val="clear" w:color="auto" w:fill="auto"/>
                  <w:vAlign w:val="center"/>
                </w:tcPr>
                <w:p w14:paraId="49146F57">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color="auto"/>
                    </w:rPr>
                  </w:pPr>
                  <w:r>
                    <w:rPr>
                      <w:rFonts w:hint="default" w:ascii="Times New Roman" w:hAnsi="Times New Roman" w:eastAsia="宋体" w:cs="Times New Roman"/>
                      <w:b/>
                      <w:bCs/>
                      <w:i w:val="0"/>
                      <w:iCs w:val="0"/>
                      <w:color w:val="auto"/>
                      <w:kern w:val="0"/>
                      <w:sz w:val="21"/>
                      <w:szCs w:val="21"/>
                      <w:u w:val="none" w:color="auto"/>
                      <w:lang w:val="en-US" w:eastAsia="zh-CN" w:bidi="ar"/>
                    </w:rPr>
                    <w:t>采取治理措施</w:t>
                  </w:r>
                </w:p>
              </w:tc>
            </w:tr>
            <w:tr w14:paraId="78354C6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trPr>
              <w:tc>
                <w:tcPr>
                  <w:tcW w:w="832" w:type="pct"/>
                  <w:vMerge w:val="restart"/>
                  <w:tcBorders>
                    <w:tl2br w:val="nil"/>
                    <w:tr2bl w:val="nil"/>
                  </w:tcBorders>
                  <w:shd w:val="clear" w:color="auto" w:fill="auto"/>
                  <w:vAlign w:val="center"/>
                </w:tcPr>
                <w:p w14:paraId="584DFAA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废气</w:t>
                  </w:r>
                </w:p>
              </w:tc>
              <w:tc>
                <w:tcPr>
                  <w:tcW w:w="832" w:type="pct"/>
                  <w:vMerge w:val="restart"/>
                  <w:tcBorders>
                    <w:tl2br w:val="nil"/>
                    <w:tr2bl w:val="nil"/>
                  </w:tcBorders>
                  <w:shd w:val="clear" w:color="auto" w:fill="auto"/>
                  <w:vAlign w:val="center"/>
                </w:tcPr>
                <w:p w14:paraId="1B6F16B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中创空天厂区铝合金熔铸二厂</w:t>
                  </w:r>
                </w:p>
              </w:tc>
              <w:tc>
                <w:tcPr>
                  <w:tcW w:w="833" w:type="pct"/>
                  <w:tcBorders>
                    <w:tl2br w:val="nil"/>
                    <w:tr2bl w:val="nil"/>
                  </w:tcBorders>
                  <w:shd w:val="clear" w:color="auto" w:fill="auto"/>
                  <w:vAlign w:val="center"/>
                </w:tcPr>
                <w:p w14:paraId="6D0DDE7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G1</w:t>
                  </w:r>
                </w:p>
              </w:tc>
              <w:tc>
                <w:tcPr>
                  <w:tcW w:w="833" w:type="pct"/>
                  <w:tcBorders>
                    <w:tl2br w:val="nil"/>
                    <w:tr2bl w:val="nil"/>
                  </w:tcBorders>
                  <w:shd w:val="clear" w:color="auto" w:fill="auto"/>
                  <w:vAlign w:val="center"/>
                </w:tcPr>
                <w:p w14:paraId="7EEF116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金属熔化烟尘</w:t>
                  </w:r>
                </w:p>
              </w:tc>
              <w:tc>
                <w:tcPr>
                  <w:tcW w:w="833" w:type="pct"/>
                  <w:tcBorders>
                    <w:tl2br w:val="nil"/>
                    <w:tr2bl w:val="nil"/>
                  </w:tcBorders>
                  <w:shd w:val="clear" w:color="auto" w:fill="auto"/>
                  <w:vAlign w:val="center"/>
                </w:tcPr>
                <w:p w14:paraId="763F549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颗粒物</w:t>
                  </w:r>
                </w:p>
              </w:tc>
              <w:tc>
                <w:tcPr>
                  <w:tcW w:w="833" w:type="pct"/>
                  <w:vMerge w:val="restart"/>
                  <w:tcBorders>
                    <w:tl2br w:val="nil"/>
                    <w:tr2bl w:val="nil"/>
                  </w:tcBorders>
                  <w:shd w:val="clear" w:color="auto" w:fill="auto"/>
                  <w:vAlign w:val="center"/>
                </w:tcPr>
                <w:p w14:paraId="62F8F6C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TA010废气处理系统：多管重力除尘器</w:t>
                  </w:r>
                  <w:r>
                    <w:rPr>
                      <w:rStyle w:val="51"/>
                      <w:rFonts w:hint="default" w:ascii="Times New Roman" w:hAnsi="Times New Roman" w:eastAsia="宋体" w:cs="Times New Roman"/>
                      <w:color w:val="auto"/>
                      <w:sz w:val="21"/>
                      <w:szCs w:val="21"/>
                      <w:u w:val="none" w:color="auto"/>
                      <w:lang w:val="en-US" w:eastAsia="zh-CN" w:bidi="ar"/>
                    </w:rPr>
                    <w:t>+</w:t>
                  </w:r>
                  <w:r>
                    <w:rPr>
                      <w:rStyle w:val="48"/>
                      <w:rFonts w:hint="default" w:ascii="Times New Roman" w:hAnsi="Times New Roman" w:eastAsia="宋体" w:cs="Times New Roman"/>
                      <w:color w:val="auto"/>
                      <w:sz w:val="21"/>
                      <w:szCs w:val="21"/>
                      <w:u w:val="none" w:color="auto"/>
                      <w:lang w:val="en-US" w:eastAsia="zh-CN" w:bidi="ar"/>
                    </w:rPr>
                    <w:t>布袋除尘+20m高排气筒</w:t>
                  </w:r>
                </w:p>
              </w:tc>
            </w:tr>
            <w:tr w14:paraId="2BAE91F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trPr>
              <w:tc>
                <w:tcPr>
                  <w:tcW w:w="832" w:type="pct"/>
                  <w:vMerge w:val="continue"/>
                  <w:tcBorders>
                    <w:tl2br w:val="nil"/>
                    <w:tr2bl w:val="nil"/>
                  </w:tcBorders>
                  <w:shd w:val="clear" w:color="auto" w:fill="auto"/>
                  <w:vAlign w:val="center"/>
                </w:tcPr>
                <w:p w14:paraId="66A6239A">
                  <w:pPr>
                    <w:jc w:val="center"/>
                    <w:rPr>
                      <w:rFonts w:hint="default" w:ascii="Times New Roman" w:hAnsi="Times New Roman" w:eastAsia="宋体" w:cs="Times New Roman"/>
                      <w:i w:val="0"/>
                      <w:iCs w:val="0"/>
                      <w:color w:val="auto"/>
                      <w:sz w:val="21"/>
                      <w:szCs w:val="21"/>
                      <w:u w:val="none" w:color="auto"/>
                    </w:rPr>
                  </w:pPr>
                </w:p>
              </w:tc>
              <w:tc>
                <w:tcPr>
                  <w:tcW w:w="832" w:type="pct"/>
                  <w:vMerge w:val="continue"/>
                  <w:tcBorders>
                    <w:tl2br w:val="nil"/>
                    <w:tr2bl w:val="nil"/>
                  </w:tcBorders>
                  <w:shd w:val="clear" w:color="auto" w:fill="auto"/>
                  <w:vAlign w:val="center"/>
                </w:tcPr>
                <w:p w14:paraId="67F8848D">
                  <w:pPr>
                    <w:jc w:val="center"/>
                    <w:rPr>
                      <w:rFonts w:hint="default" w:ascii="Times New Roman" w:hAnsi="Times New Roman" w:eastAsia="宋体" w:cs="Times New Roman"/>
                      <w:i w:val="0"/>
                      <w:iCs w:val="0"/>
                      <w:color w:val="auto"/>
                      <w:sz w:val="21"/>
                      <w:szCs w:val="21"/>
                      <w:u w:val="none" w:color="auto"/>
                    </w:rPr>
                  </w:pPr>
                </w:p>
              </w:tc>
              <w:tc>
                <w:tcPr>
                  <w:tcW w:w="833" w:type="pct"/>
                  <w:tcBorders>
                    <w:tl2br w:val="nil"/>
                    <w:tr2bl w:val="nil"/>
                  </w:tcBorders>
                  <w:shd w:val="clear" w:color="auto" w:fill="auto"/>
                  <w:vAlign w:val="center"/>
                </w:tcPr>
                <w:p w14:paraId="705AB72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G2</w:t>
                  </w:r>
                </w:p>
              </w:tc>
              <w:tc>
                <w:tcPr>
                  <w:tcW w:w="833" w:type="pct"/>
                  <w:tcBorders>
                    <w:tl2br w:val="nil"/>
                    <w:tr2bl w:val="nil"/>
                  </w:tcBorders>
                  <w:shd w:val="clear" w:color="auto" w:fill="auto"/>
                  <w:vAlign w:val="center"/>
                </w:tcPr>
                <w:p w14:paraId="64F1053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生物质颗粒燃烧废气</w:t>
                  </w:r>
                </w:p>
              </w:tc>
              <w:tc>
                <w:tcPr>
                  <w:tcW w:w="833" w:type="pct"/>
                  <w:vMerge w:val="restart"/>
                  <w:tcBorders>
                    <w:tl2br w:val="nil"/>
                    <w:tr2bl w:val="nil"/>
                  </w:tcBorders>
                  <w:shd w:val="clear" w:color="auto" w:fill="auto"/>
                  <w:vAlign w:val="center"/>
                </w:tcPr>
                <w:p w14:paraId="605131F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颗粒物、二氧化硫、氮氧化物</w:t>
                  </w:r>
                </w:p>
              </w:tc>
              <w:tc>
                <w:tcPr>
                  <w:tcW w:w="833" w:type="pct"/>
                  <w:vMerge w:val="continue"/>
                  <w:tcBorders>
                    <w:tl2br w:val="nil"/>
                    <w:tr2bl w:val="nil"/>
                  </w:tcBorders>
                  <w:shd w:val="clear" w:color="auto" w:fill="auto"/>
                  <w:vAlign w:val="center"/>
                </w:tcPr>
                <w:p w14:paraId="63287B35">
                  <w:pPr>
                    <w:jc w:val="center"/>
                    <w:rPr>
                      <w:rFonts w:hint="default" w:ascii="Times New Roman" w:hAnsi="Times New Roman" w:eastAsia="宋体" w:cs="Times New Roman"/>
                      <w:i w:val="0"/>
                      <w:iCs w:val="0"/>
                      <w:color w:val="auto"/>
                      <w:sz w:val="21"/>
                      <w:szCs w:val="21"/>
                      <w:u w:val="none" w:color="auto"/>
                    </w:rPr>
                  </w:pPr>
                </w:p>
              </w:tc>
            </w:tr>
            <w:tr w14:paraId="1DD0658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trPr>
              <w:tc>
                <w:tcPr>
                  <w:tcW w:w="832" w:type="pct"/>
                  <w:vMerge w:val="continue"/>
                  <w:tcBorders>
                    <w:tl2br w:val="nil"/>
                    <w:tr2bl w:val="nil"/>
                  </w:tcBorders>
                  <w:shd w:val="clear" w:color="auto" w:fill="auto"/>
                  <w:vAlign w:val="center"/>
                </w:tcPr>
                <w:p w14:paraId="1FE86617">
                  <w:pPr>
                    <w:jc w:val="center"/>
                    <w:rPr>
                      <w:rFonts w:hint="default" w:ascii="Times New Roman" w:hAnsi="Times New Roman" w:eastAsia="宋体" w:cs="Times New Roman"/>
                      <w:i w:val="0"/>
                      <w:iCs w:val="0"/>
                      <w:color w:val="auto"/>
                      <w:sz w:val="21"/>
                      <w:szCs w:val="21"/>
                      <w:u w:val="none" w:color="auto"/>
                    </w:rPr>
                  </w:pPr>
                </w:p>
              </w:tc>
              <w:tc>
                <w:tcPr>
                  <w:tcW w:w="832" w:type="pct"/>
                  <w:vMerge w:val="continue"/>
                  <w:tcBorders>
                    <w:tl2br w:val="nil"/>
                    <w:tr2bl w:val="nil"/>
                  </w:tcBorders>
                  <w:shd w:val="clear" w:color="auto" w:fill="auto"/>
                  <w:vAlign w:val="center"/>
                </w:tcPr>
                <w:p w14:paraId="5177C9CB">
                  <w:pPr>
                    <w:jc w:val="center"/>
                    <w:rPr>
                      <w:rFonts w:hint="default" w:ascii="Times New Roman" w:hAnsi="Times New Roman" w:eastAsia="宋体" w:cs="Times New Roman"/>
                      <w:i w:val="0"/>
                      <w:iCs w:val="0"/>
                      <w:color w:val="auto"/>
                      <w:sz w:val="21"/>
                      <w:szCs w:val="21"/>
                      <w:u w:val="none" w:color="auto"/>
                    </w:rPr>
                  </w:pPr>
                </w:p>
              </w:tc>
              <w:tc>
                <w:tcPr>
                  <w:tcW w:w="833" w:type="pct"/>
                  <w:tcBorders>
                    <w:tl2br w:val="nil"/>
                    <w:tr2bl w:val="nil"/>
                  </w:tcBorders>
                  <w:shd w:val="clear" w:color="auto" w:fill="auto"/>
                  <w:vAlign w:val="center"/>
                </w:tcPr>
                <w:p w14:paraId="2B24099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G3</w:t>
                  </w:r>
                </w:p>
              </w:tc>
              <w:tc>
                <w:tcPr>
                  <w:tcW w:w="833" w:type="pct"/>
                  <w:tcBorders>
                    <w:tl2br w:val="nil"/>
                    <w:tr2bl w:val="nil"/>
                  </w:tcBorders>
                  <w:shd w:val="clear" w:color="auto" w:fill="auto"/>
                  <w:vAlign w:val="center"/>
                </w:tcPr>
                <w:p w14:paraId="2B298A6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天然气燃烧废气</w:t>
                  </w:r>
                </w:p>
              </w:tc>
              <w:tc>
                <w:tcPr>
                  <w:tcW w:w="833" w:type="pct"/>
                  <w:vMerge w:val="continue"/>
                  <w:tcBorders>
                    <w:tl2br w:val="nil"/>
                    <w:tr2bl w:val="nil"/>
                  </w:tcBorders>
                  <w:shd w:val="clear" w:color="auto" w:fill="auto"/>
                  <w:vAlign w:val="center"/>
                </w:tcPr>
                <w:p w14:paraId="5CD82141">
                  <w:pPr>
                    <w:jc w:val="center"/>
                    <w:rPr>
                      <w:rFonts w:hint="default" w:ascii="Times New Roman" w:hAnsi="Times New Roman" w:eastAsia="宋体" w:cs="Times New Roman"/>
                      <w:i w:val="0"/>
                      <w:iCs w:val="0"/>
                      <w:color w:val="auto"/>
                      <w:sz w:val="21"/>
                      <w:szCs w:val="21"/>
                      <w:u w:val="none" w:color="auto"/>
                    </w:rPr>
                  </w:pPr>
                </w:p>
              </w:tc>
              <w:tc>
                <w:tcPr>
                  <w:tcW w:w="833" w:type="pct"/>
                  <w:vMerge w:val="continue"/>
                  <w:tcBorders>
                    <w:tl2br w:val="nil"/>
                    <w:tr2bl w:val="nil"/>
                  </w:tcBorders>
                  <w:shd w:val="clear" w:color="auto" w:fill="auto"/>
                  <w:vAlign w:val="center"/>
                </w:tcPr>
                <w:p w14:paraId="5DBEC8EB">
                  <w:pPr>
                    <w:jc w:val="center"/>
                    <w:rPr>
                      <w:rFonts w:hint="default" w:ascii="Times New Roman" w:hAnsi="Times New Roman" w:eastAsia="宋体" w:cs="Times New Roman"/>
                      <w:i w:val="0"/>
                      <w:iCs w:val="0"/>
                      <w:color w:val="auto"/>
                      <w:sz w:val="21"/>
                      <w:szCs w:val="21"/>
                      <w:u w:val="none" w:color="auto"/>
                    </w:rPr>
                  </w:pPr>
                </w:p>
              </w:tc>
            </w:tr>
            <w:tr w14:paraId="2792248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832" w:type="pct"/>
                  <w:vMerge w:val="continue"/>
                  <w:tcBorders>
                    <w:tl2br w:val="nil"/>
                    <w:tr2bl w:val="nil"/>
                  </w:tcBorders>
                  <w:shd w:val="clear" w:color="auto" w:fill="auto"/>
                  <w:vAlign w:val="center"/>
                </w:tcPr>
                <w:p w14:paraId="575A9A88">
                  <w:pPr>
                    <w:jc w:val="center"/>
                    <w:rPr>
                      <w:rFonts w:hint="default" w:ascii="Times New Roman" w:hAnsi="Times New Roman" w:eastAsia="宋体" w:cs="Times New Roman"/>
                      <w:i w:val="0"/>
                      <w:iCs w:val="0"/>
                      <w:color w:val="auto"/>
                      <w:sz w:val="21"/>
                      <w:szCs w:val="21"/>
                      <w:u w:val="none" w:color="auto"/>
                    </w:rPr>
                  </w:pPr>
                </w:p>
              </w:tc>
              <w:tc>
                <w:tcPr>
                  <w:tcW w:w="832" w:type="pct"/>
                  <w:vMerge w:val="continue"/>
                  <w:tcBorders>
                    <w:tl2br w:val="nil"/>
                    <w:tr2bl w:val="nil"/>
                  </w:tcBorders>
                  <w:shd w:val="clear" w:color="auto" w:fill="auto"/>
                  <w:vAlign w:val="center"/>
                </w:tcPr>
                <w:p w14:paraId="268D0425">
                  <w:pPr>
                    <w:jc w:val="center"/>
                    <w:rPr>
                      <w:rFonts w:hint="default" w:ascii="Times New Roman" w:hAnsi="Times New Roman" w:eastAsia="宋体" w:cs="Times New Roman"/>
                      <w:i w:val="0"/>
                      <w:iCs w:val="0"/>
                      <w:color w:val="auto"/>
                      <w:sz w:val="21"/>
                      <w:szCs w:val="21"/>
                      <w:u w:val="none" w:color="auto"/>
                    </w:rPr>
                  </w:pPr>
                </w:p>
              </w:tc>
              <w:tc>
                <w:tcPr>
                  <w:tcW w:w="833" w:type="pct"/>
                  <w:tcBorders>
                    <w:tl2br w:val="nil"/>
                    <w:tr2bl w:val="nil"/>
                  </w:tcBorders>
                  <w:shd w:val="clear" w:color="auto" w:fill="auto"/>
                  <w:vAlign w:val="center"/>
                </w:tcPr>
                <w:p w14:paraId="47F5138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G4</w:t>
                  </w:r>
                </w:p>
              </w:tc>
              <w:tc>
                <w:tcPr>
                  <w:tcW w:w="833" w:type="pct"/>
                  <w:tcBorders>
                    <w:tl2br w:val="nil"/>
                    <w:tr2bl w:val="nil"/>
                  </w:tcBorders>
                  <w:shd w:val="clear" w:color="auto" w:fill="auto"/>
                  <w:vAlign w:val="center"/>
                </w:tcPr>
                <w:p w14:paraId="4C488B2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铝灰渣处理</w:t>
                  </w:r>
                </w:p>
              </w:tc>
              <w:tc>
                <w:tcPr>
                  <w:tcW w:w="833" w:type="pct"/>
                  <w:tcBorders>
                    <w:tl2br w:val="nil"/>
                    <w:tr2bl w:val="nil"/>
                  </w:tcBorders>
                  <w:shd w:val="clear" w:color="auto" w:fill="auto"/>
                  <w:vAlign w:val="center"/>
                </w:tcPr>
                <w:p w14:paraId="6862C56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颗粒物</w:t>
                  </w:r>
                </w:p>
              </w:tc>
              <w:tc>
                <w:tcPr>
                  <w:tcW w:w="833" w:type="pct"/>
                  <w:vMerge w:val="continue"/>
                  <w:tcBorders>
                    <w:tl2br w:val="nil"/>
                    <w:tr2bl w:val="nil"/>
                  </w:tcBorders>
                  <w:shd w:val="clear" w:color="auto" w:fill="auto"/>
                  <w:vAlign w:val="center"/>
                </w:tcPr>
                <w:p w14:paraId="06A5677A">
                  <w:pPr>
                    <w:jc w:val="center"/>
                    <w:rPr>
                      <w:rFonts w:hint="default" w:ascii="Times New Roman" w:hAnsi="Times New Roman" w:eastAsia="宋体" w:cs="Times New Roman"/>
                      <w:i w:val="0"/>
                      <w:iCs w:val="0"/>
                      <w:color w:val="auto"/>
                      <w:sz w:val="21"/>
                      <w:szCs w:val="21"/>
                      <w:u w:val="none" w:color="auto"/>
                    </w:rPr>
                  </w:pPr>
                </w:p>
              </w:tc>
            </w:tr>
            <w:tr w14:paraId="2F2AD73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trPr>
              <w:tc>
                <w:tcPr>
                  <w:tcW w:w="832" w:type="pct"/>
                  <w:vMerge w:val="continue"/>
                  <w:tcBorders>
                    <w:tl2br w:val="nil"/>
                    <w:tr2bl w:val="nil"/>
                  </w:tcBorders>
                  <w:shd w:val="clear" w:color="auto" w:fill="auto"/>
                  <w:vAlign w:val="center"/>
                </w:tcPr>
                <w:p w14:paraId="27711BB9">
                  <w:pPr>
                    <w:jc w:val="center"/>
                    <w:rPr>
                      <w:rFonts w:hint="default" w:ascii="Times New Roman" w:hAnsi="Times New Roman" w:eastAsia="宋体" w:cs="Times New Roman"/>
                      <w:i w:val="0"/>
                      <w:iCs w:val="0"/>
                      <w:color w:val="auto"/>
                      <w:sz w:val="21"/>
                      <w:szCs w:val="21"/>
                      <w:u w:val="none" w:color="auto"/>
                    </w:rPr>
                  </w:pPr>
                </w:p>
              </w:tc>
              <w:tc>
                <w:tcPr>
                  <w:tcW w:w="832" w:type="pct"/>
                  <w:vMerge w:val="restart"/>
                  <w:tcBorders>
                    <w:tl2br w:val="nil"/>
                    <w:tr2bl w:val="nil"/>
                  </w:tcBorders>
                  <w:shd w:val="clear" w:color="auto" w:fill="auto"/>
                  <w:vAlign w:val="center"/>
                </w:tcPr>
                <w:p w14:paraId="68F8C87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中创空天厂区铝合金熔铸一厂</w:t>
                  </w:r>
                </w:p>
              </w:tc>
              <w:tc>
                <w:tcPr>
                  <w:tcW w:w="833" w:type="pct"/>
                  <w:tcBorders>
                    <w:tl2br w:val="nil"/>
                    <w:tr2bl w:val="nil"/>
                  </w:tcBorders>
                  <w:shd w:val="clear" w:color="auto" w:fill="auto"/>
                  <w:vAlign w:val="center"/>
                </w:tcPr>
                <w:p w14:paraId="0E1AE5E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G5</w:t>
                  </w:r>
                </w:p>
              </w:tc>
              <w:tc>
                <w:tcPr>
                  <w:tcW w:w="833" w:type="pct"/>
                  <w:tcBorders>
                    <w:tl2br w:val="nil"/>
                    <w:tr2bl w:val="nil"/>
                  </w:tcBorders>
                  <w:shd w:val="clear" w:color="auto" w:fill="auto"/>
                  <w:vAlign w:val="center"/>
                </w:tcPr>
                <w:p w14:paraId="1C254E9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lang w:val="en-US"/>
                    </w:rPr>
                  </w:pPr>
                  <w:r>
                    <w:rPr>
                      <w:rFonts w:hint="default" w:ascii="Times New Roman" w:hAnsi="Times New Roman" w:eastAsia="宋体" w:cs="Times New Roman"/>
                      <w:i w:val="0"/>
                      <w:iCs w:val="0"/>
                      <w:color w:val="auto"/>
                      <w:kern w:val="0"/>
                      <w:sz w:val="21"/>
                      <w:szCs w:val="21"/>
                      <w:u w:val="none" w:color="auto"/>
                      <w:lang w:val="en-US" w:eastAsia="zh-CN" w:bidi="ar"/>
                    </w:rPr>
                    <w:t>压铸废气</w:t>
                  </w:r>
                </w:p>
              </w:tc>
              <w:tc>
                <w:tcPr>
                  <w:tcW w:w="833" w:type="pct"/>
                  <w:tcBorders>
                    <w:tl2br w:val="nil"/>
                    <w:tr2bl w:val="nil"/>
                  </w:tcBorders>
                  <w:shd w:val="clear" w:color="auto" w:fill="auto"/>
                  <w:vAlign w:val="center"/>
                </w:tcPr>
                <w:p w14:paraId="6FB059F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lang w:val="en-US"/>
                    </w:rPr>
                  </w:pPr>
                  <w:r>
                    <w:rPr>
                      <w:rFonts w:hint="default" w:ascii="Times New Roman" w:hAnsi="Times New Roman" w:eastAsia="宋体" w:cs="Times New Roman"/>
                      <w:i w:val="0"/>
                      <w:iCs w:val="0"/>
                      <w:color w:val="auto"/>
                      <w:kern w:val="0"/>
                      <w:sz w:val="21"/>
                      <w:szCs w:val="21"/>
                      <w:u w:val="none" w:color="auto"/>
                      <w:lang w:val="en-US" w:eastAsia="zh-CN" w:bidi="ar"/>
                    </w:rPr>
                    <w:t>非甲烷总烃、颗粒物</w:t>
                  </w:r>
                </w:p>
              </w:tc>
              <w:tc>
                <w:tcPr>
                  <w:tcW w:w="833" w:type="pct"/>
                  <w:tcBorders>
                    <w:tl2br w:val="nil"/>
                    <w:tr2bl w:val="nil"/>
                  </w:tcBorders>
                  <w:shd w:val="clear" w:color="auto" w:fill="auto"/>
                  <w:vAlign w:val="center"/>
                </w:tcPr>
                <w:p w14:paraId="24E0C45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TA011废气处理系统：布袋除尘+活性炭吸附+20m高排气筒</w:t>
                  </w:r>
                </w:p>
              </w:tc>
            </w:tr>
            <w:tr w14:paraId="23C8DC2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trPr>
              <w:tc>
                <w:tcPr>
                  <w:tcW w:w="832" w:type="pct"/>
                  <w:vMerge w:val="continue"/>
                  <w:tcBorders>
                    <w:tl2br w:val="nil"/>
                    <w:tr2bl w:val="nil"/>
                  </w:tcBorders>
                  <w:shd w:val="clear" w:color="auto" w:fill="auto"/>
                  <w:vAlign w:val="center"/>
                </w:tcPr>
                <w:p w14:paraId="28797A57">
                  <w:pPr>
                    <w:jc w:val="center"/>
                    <w:rPr>
                      <w:rFonts w:hint="default" w:ascii="Times New Roman" w:hAnsi="Times New Roman" w:eastAsia="宋体" w:cs="Times New Roman"/>
                      <w:i w:val="0"/>
                      <w:iCs w:val="0"/>
                      <w:color w:val="auto"/>
                      <w:sz w:val="21"/>
                      <w:szCs w:val="21"/>
                      <w:u w:val="none" w:color="auto"/>
                    </w:rPr>
                  </w:pPr>
                </w:p>
              </w:tc>
              <w:tc>
                <w:tcPr>
                  <w:tcW w:w="832" w:type="pct"/>
                  <w:vMerge w:val="continue"/>
                  <w:tcBorders>
                    <w:tl2br w:val="nil"/>
                    <w:tr2bl w:val="nil"/>
                  </w:tcBorders>
                  <w:shd w:val="clear" w:color="auto" w:fill="auto"/>
                  <w:vAlign w:val="center"/>
                </w:tcPr>
                <w:p w14:paraId="2CE0E783">
                  <w:pPr>
                    <w:jc w:val="center"/>
                    <w:rPr>
                      <w:rFonts w:hint="default" w:ascii="Times New Roman" w:hAnsi="Times New Roman" w:eastAsia="宋体" w:cs="Times New Roman"/>
                      <w:i w:val="0"/>
                      <w:iCs w:val="0"/>
                      <w:color w:val="auto"/>
                      <w:sz w:val="21"/>
                      <w:szCs w:val="21"/>
                      <w:u w:val="none" w:color="auto"/>
                    </w:rPr>
                  </w:pPr>
                </w:p>
              </w:tc>
              <w:tc>
                <w:tcPr>
                  <w:tcW w:w="833" w:type="pct"/>
                  <w:tcBorders>
                    <w:tl2br w:val="nil"/>
                    <w:tr2bl w:val="nil"/>
                  </w:tcBorders>
                  <w:shd w:val="clear" w:color="auto" w:fill="auto"/>
                  <w:vAlign w:val="center"/>
                </w:tcPr>
                <w:p w14:paraId="10B0D4A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G6-1</w:t>
                  </w:r>
                </w:p>
              </w:tc>
              <w:tc>
                <w:tcPr>
                  <w:tcW w:w="833" w:type="pct"/>
                  <w:tcBorders>
                    <w:tl2br w:val="nil"/>
                    <w:tr2bl w:val="nil"/>
                  </w:tcBorders>
                  <w:shd w:val="clear" w:color="auto" w:fill="auto"/>
                  <w:vAlign w:val="center"/>
                </w:tcPr>
                <w:p w14:paraId="017520F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激光打标粉尘废气</w:t>
                  </w:r>
                </w:p>
              </w:tc>
              <w:tc>
                <w:tcPr>
                  <w:tcW w:w="833" w:type="pct"/>
                  <w:tcBorders>
                    <w:tl2br w:val="nil"/>
                    <w:tr2bl w:val="nil"/>
                  </w:tcBorders>
                  <w:shd w:val="clear" w:color="auto" w:fill="auto"/>
                  <w:vAlign w:val="center"/>
                </w:tcPr>
                <w:p w14:paraId="1338F07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颗粒物</w:t>
                  </w:r>
                </w:p>
              </w:tc>
              <w:tc>
                <w:tcPr>
                  <w:tcW w:w="833" w:type="pct"/>
                  <w:tcBorders>
                    <w:tl2br w:val="nil"/>
                    <w:tr2bl w:val="nil"/>
                  </w:tcBorders>
                  <w:shd w:val="clear" w:color="auto" w:fill="auto"/>
                  <w:vAlign w:val="center"/>
                </w:tcPr>
                <w:p w14:paraId="0EDD91C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激光打标设备自带布袋除尘设施，处理后车间内排放</w:t>
                  </w:r>
                </w:p>
              </w:tc>
            </w:tr>
            <w:tr w14:paraId="290BE91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trPr>
              <w:tc>
                <w:tcPr>
                  <w:tcW w:w="832" w:type="pct"/>
                  <w:vMerge w:val="continue"/>
                  <w:tcBorders>
                    <w:tl2br w:val="nil"/>
                    <w:tr2bl w:val="nil"/>
                  </w:tcBorders>
                  <w:shd w:val="clear" w:color="auto" w:fill="auto"/>
                  <w:vAlign w:val="center"/>
                </w:tcPr>
                <w:p w14:paraId="5A864F0D">
                  <w:pPr>
                    <w:jc w:val="center"/>
                    <w:rPr>
                      <w:rFonts w:hint="default" w:ascii="Times New Roman" w:hAnsi="Times New Roman" w:eastAsia="宋体" w:cs="Times New Roman"/>
                      <w:i w:val="0"/>
                      <w:iCs w:val="0"/>
                      <w:color w:val="auto"/>
                      <w:sz w:val="21"/>
                      <w:szCs w:val="21"/>
                      <w:u w:val="none" w:color="auto"/>
                    </w:rPr>
                  </w:pPr>
                </w:p>
              </w:tc>
              <w:tc>
                <w:tcPr>
                  <w:tcW w:w="832" w:type="pct"/>
                  <w:vMerge w:val="restart"/>
                  <w:tcBorders>
                    <w:tl2br w:val="nil"/>
                    <w:tr2bl w:val="nil"/>
                  </w:tcBorders>
                  <w:shd w:val="clear" w:color="auto" w:fill="auto"/>
                  <w:vAlign w:val="center"/>
                </w:tcPr>
                <w:p w14:paraId="686CC22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临港高新产业园区</w:t>
                  </w:r>
                </w:p>
              </w:tc>
              <w:tc>
                <w:tcPr>
                  <w:tcW w:w="833" w:type="pct"/>
                  <w:tcBorders>
                    <w:tl2br w:val="nil"/>
                    <w:tr2bl w:val="nil"/>
                  </w:tcBorders>
                  <w:shd w:val="clear" w:color="auto" w:fill="auto"/>
                  <w:vAlign w:val="center"/>
                </w:tcPr>
                <w:p w14:paraId="3770C2B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G6-2</w:t>
                  </w:r>
                </w:p>
              </w:tc>
              <w:tc>
                <w:tcPr>
                  <w:tcW w:w="833" w:type="pct"/>
                  <w:tcBorders>
                    <w:tl2br w:val="nil"/>
                    <w:tr2bl w:val="nil"/>
                  </w:tcBorders>
                  <w:shd w:val="clear" w:color="auto" w:fill="auto"/>
                  <w:vAlign w:val="center"/>
                </w:tcPr>
                <w:p w14:paraId="4EEF669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激光打标粉尘废气</w:t>
                  </w:r>
                </w:p>
              </w:tc>
              <w:tc>
                <w:tcPr>
                  <w:tcW w:w="833" w:type="pct"/>
                  <w:tcBorders>
                    <w:tl2br w:val="nil"/>
                    <w:tr2bl w:val="nil"/>
                  </w:tcBorders>
                  <w:shd w:val="clear" w:color="auto" w:fill="auto"/>
                  <w:vAlign w:val="center"/>
                </w:tcPr>
                <w:p w14:paraId="208586C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颗粒物</w:t>
                  </w:r>
                </w:p>
              </w:tc>
              <w:tc>
                <w:tcPr>
                  <w:tcW w:w="833" w:type="pct"/>
                  <w:tcBorders>
                    <w:tl2br w:val="nil"/>
                    <w:tr2bl w:val="nil"/>
                  </w:tcBorders>
                  <w:shd w:val="clear" w:color="auto" w:fill="auto"/>
                  <w:vAlign w:val="center"/>
                </w:tcPr>
                <w:p w14:paraId="7A7985A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激光打标设备自带布袋除尘设施，处理后车间内排放</w:t>
                  </w:r>
                </w:p>
              </w:tc>
            </w:tr>
            <w:tr w14:paraId="49ACF51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trPr>
              <w:tc>
                <w:tcPr>
                  <w:tcW w:w="832" w:type="pct"/>
                  <w:vMerge w:val="continue"/>
                  <w:tcBorders>
                    <w:tl2br w:val="nil"/>
                    <w:tr2bl w:val="nil"/>
                  </w:tcBorders>
                  <w:shd w:val="clear" w:color="auto" w:fill="auto"/>
                  <w:vAlign w:val="center"/>
                </w:tcPr>
                <w:p w14:paraId="1A68787A">
                  <w:pPr>
                    <w:jc w:val="center"/>
                    <w:rPr>
                      <w:rFonts w:hint="default" w:ascii="Times New Roman" w:hAnsi="Times New Roman" w:eastAsia="宋体" w:cs="Times New Roman"/>
                      <w:i w:val="0"/>
                      <w:iCs w:val="0"/>
                      <w:color w:val="auto"/>
                      <w:sz w:val="21"/>
                      <w:szCs w:val="21"/>
                      <w:u w:val="none" w:color="auto"/>
                    </w:rPr>
                  </w:pPr>
                </w:p>
              </w:tc>
              <w:tc>
                <w:tcPr>
                  <w:tcW w:w="832" w:type="pct"/>
                  <w:vMerge w:val="continue"/>
                  <w:tcBorders>
                    <w:tl2br w:val="nil"/>
                    <w:tr2bl w:val="nil"/>
                  </w:tcBorders>
                  <w:shd w:val="clear" w:color="auto" w:fill="auto"/>
                  <w:vAlign w:val="center"/>
                </w:tcPr>
                <w:p w14:paraId="3DF4D711">
                  <w:pPr>
                    <w:jc w:val="center"/>
                    <w:rPr>
                      <w:rFonts w:hint="default" w:ascii="Times New Roman" w:hAnsi="Times New Roman" w:eastAsia="宋体" w:cs="Times New Roman"/>
                      <w:i w:val="0"/>
                      <w:iCs w:val="0"/>
                      <w:color w:val="auto"/>
                      <w:sz w:val="21"/>
                      <w:szCs w:val="21"/>
                      <w:u w:val="none" w:color="auto"/>
                    </w:rPr>
                  </w:pPr>
                </w:p>
              </w:tc>
              <w:tc>
                <w:tcPr>
                  <w:tcW w:w="833" w:type="pct"/>
                  <w:tcBorders>
                    <w:tl2br w:val="nil"/>
                    <w:tr2bl w:val="nil"/>
                  </w:tcBorders>
                  <w:shd w:val="clear" w:color="auto" w:fill="auto"/>
                  <w:vAlign w:val="center"/>
                </w:tcPr>
                <w:p w14:paraId="3FCD1AC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lang w:val="en-US"/>
                    </w:rPr>
                  </w:pPr>
                  <w:r>
                    <w:rPr>
                      <w:rFonts w:hint="default" w:ascii="Times New Roman" w:hAnsi="Times New Roman" w:eastAsia="宋体" w:cs="Times New Roman"/>
                      <w:i w:val="0"/>
                      <w:iCs w:val="0"/>
                      <w:color w:val="auto"/>
                      <w:kern w:val="0"/>
                      <w:sz w:val="21"/>
                      <w:szCs w:val="21"/>
                      <w:u w:val="none" w:color="auto"/>
                      <w:lang w:val="en-US" w:eastAsia="zh-CN" w:bidi="ar"/>
                    </w:rPr>
                    <w:t>G7-1</w:t>
                  </w:r>
                </w:p>
              </w:tc>
              <w:tc>
                <w:tcPr>
                  <w:tcW w:w="833" w:type="pct"/>
                  <w:tcBorders>
                    <w:tl2br w:val="nil"/>
                    <w:tr2bl w:val="nil"/>
                  </w:tcBorders>
                  <w:shd w:val="clear" w:color="auto" w:fill="auto"/>
                  <w:vAlign w:val="center"/>
                </w:tcPr>
                <w:p w14:paraId="257C313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lang w:val="en-US"/>
                    </w:rPr>
                  </w:pPr>
                  <w:r>
                    <w:rPr>
                      <w:rFonts w:hint="default" w:ascii="Times New Roman" w:hAnsi="Times New Roman" w:eastAsia="宋体" w:cs="Times New Roman"/>
                      <w:i w:val="0"/>
                      <w:iCs w:val="0"/>
                      <w:color w:val="auto"/>
                      <w:kern w:val="0"/>
                      <w:sz w:val="21"/>
                      <w:szCs w:val="21"/>
                      <w:u w:val="none" w:color="auto"/>
                      <w:lang w:val="en-US" w:eastAsia="zh-CN" w:bidi="ar"/>
                    </w:rPr>
                    <w:t>去毛刺</w:t>
                  </w:r>
                </w:p>
              </w:tc>
              <w:tc>
                <w:tcPr>
                  <w:tcW w:w="833" w:type="pct"/>
                  <w:vMerge w:val="restart"/>
                  <w:tcBorders>
                    <w:tl2br w:val="nil"/>
                    <w:tr2bl w:val="nil"/>
                  </w:tcBorders>
                  <w:shd w:val="clear" w:color="auto" w:fill="auto"/>
                  <w:vAlign w:val="center"/>
                </w:tcPr>
                <w:p w14:paraId="48C2281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颗粒物</w:t>
                  </w:r>
                </w:p>
              </w:tc>
              <w:tc>
                <w:tcPr>
                  <w:tcW w:w="833" w:type="pct"/>
                  <w:tcBorders>
                    <w:tl2br w:val="nil"/>
                    <w:tr2bl w:val="nil"/>
                  </w:tcBorders>
                  <w:shd w:val="clear" w:color="auto" w:fill="auto"/>
                  <w:vAlign w:val="center"/>
                </w:tcPr>
                <w:p w14:paraId="24C5380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去毛刺设备自带布袋除尘设施，处理后车间内排放</w:t>
                  </w:r>
                </w:p>
              </w:tc>
            </w:tr>
            <w:tr w14:paraId="026A4E9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832" w:type="pct"/>
                  <w:vMerge w:val="continue"/>
                  <w:tcBorders>
                    <w:tl2br w:val="nil"/>
                    <w:tr2bl w:val="nil"/>
                  </w:tcBorders>
                  <w:shd w:val="clear" w:color="auto" w:fill="auto"/>
                  <w:vAlign w:val="center"/>
                </w:tcPr>
                <w:p w14:paraId="782B988E">
                  <w:pPr>
                    <w:jc w:val="center"/>
                    <w:rPr>
                      <w:rFonts w:hint="default" w:ascii="Times New Roman" w:hAnsi="Times New Roman" w:eastAsia="宋体" w:cs="Times New Roman"/>
                      <w:i w:val="0"/>
                      <w:iCs w:val="0"/>
                      <w:color w:val="auto"/>
                      <w:sz w:val="21"/>
                      <w:szCs w:val="21"/>
                      <w:u w:val="none" w:color="auto"/>
                    </w:rPr>
                  </w:pPr>
                </w:p>
              </w:tc>
              <w:tc>
                <w:tcPr>
                  <w:tcW w:w="832" w:type="pct"/>
                  <w:vMerge w:val="continue"/>
                  <w:tcBorders>
                    <w:tl2br w:val="nil"/>
                    <w:tr2bl w:val="nil"/>
                  </w:tcBorders>
                  <w:shd w:val="clear" w:color="auto" w:fill="auto"/>
                  <w:vAlign w:val="center"/>
                </w:tcPr>
                <w:p w14:paraId="5DBAD1D1">
                  <w:pPr>
                    <w:jc w:val="center"/>
                    <w:rPr>
                      <w:rFonts w:hint="default" w:ascii="Times New Roman" w:hAnsi="Times New Roman" w:eastAsia="宋体" w:cs="Times New Roman"/>
                      <w:i w:val="0"/>
                      <w:iCs w:val="0"/>
                      <w:color w:val="auto"/>
                      <w:sz w:val="21"/>
                      <w:szCs w:val="21"/>
                      <w:u w:val="none" w:color="auto"/>
                    </w:rPr>
                  </w:pPr>
                </w:p>
              </w:tc>
              <w:tc>
                <w:tcPr>
                  <w:tcW w:w="833" w:type="pct"/>
                  <w:tcBorders>
                    <w:tl2br w:val="nil"/>
                    <w:tr2bl w:val="nil"/>
                  </w:tcBorders>
                  <w:shd w:val="clear" w:color="auto" w:fill="auto"/>
                  <w:vAlign w:val="center"/>
                </w:tcPr>
                <w:p w14:paraId="3753F26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G7-2</w:t>
                  </w:r>
                </w:p>
              </w:tc>
              <w:tc>
                <w:tcPr>
                  <w:tcW w:w="833" w:type="pct"/>
                  <w:tcBorders>
                    <w:tl2br w:val="nil"/>
                    <w:tr2bl w:val="nil"/>
                  </w:tcBorders>
                  <w:shd w:val="clear" w:color="auto" w:fill="auto"/>
                  <w:vAlign w:val="center"/>
                </w:tcPr>
                <w:p w14:paraId="637A441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人工补充打磨</w:t>
                  </w:r>
                </w:p>
              </w:tc>
              <w:tc>
                <w:tcPr>
                  <w:tcW w:w="833" w:type="pct"/>
                  <w:vMerge w:val="continue"/>
                  <w:tcBorders>
                    <w:tl2br w:val="nil"/>
                    <w:tr2bl w:val="nil"/>
                  </w:tcBorders>
                  <w:shd w:val="clear" w:color="auto" w:fill="auto"/>
                  <w:vAlign w:val="center"/>
                </w:tcPr>
                <w:p w14:paraId="6C427F0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p>
              </w:tc>
              <w:tc>
                <w:tcPr>
                  <w:tcW w:w="833" w:type="pct"/>
                  <w:tcBorders>
                    <w:tl2br w:val="nil"/>
                    <w:tr2bl w:val="nil"/>
                  </w:tcBorders>
                  <w:shd w:val="clear" w:color="auto" w:fill="auto"/>
                  <w:vAlign w:val="center"/>
                </w:tcPr>
                <w:p w14:paraId="768EBA9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移动式布袋除尘器处理后车间内排放</w:t>
                  </w:r>
                </w:p>
              </w:tc>
            </w:tr>
            <w:tr w14:paraId="35B4F77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trPr>
              <w:tc>
                <w:tcPr>
                  <w:tcW w:w="832" w:type="pct"/>
                  <w:vMerge w:val="continue"/>
                  <w:tcBorders>
                    <w:tl2br w:val="nil"/>
                    <w:tr2bl w:val="nil"/>
                  </w:tcBorders>
                  <w:shd w:val="clear" w:color="auto" w:fill="auto"/>
                  <w:vAlign w:val="center"/>
                </w:tcPr>
                <w:p w14:paraId="0E3FC755">
                  <w:pPr>
                    <w:jc w:val="center"/>
                    <w:rPr>
                      <w:rFonts w:hint="default" w:ascii="Times New Roman" w:hAnsi="Times New Roman" w:eastAsia="宋体" w:cs="Times New Roman"/>
                      <w:i w:val="0"/>
                      <w:iCs w:val="0"/>
                      <w:color w:val="auto"/>
                      <w:sz w:val="21"/>
                      <w:szCs w:val="21"/>
                      <w:u w:val="none" w:color="auto"/>
                    </w:rPr>
                  </w:pPr>
                </w:p>
              </w:tc>
              <w:tc>
                <w:tcPr>
                  <w:tcW w:w="832" w:type="pct"/>
                  <w:vMerge w:val="continue"/>
                  <w:tcBorders>
                    <w:tl2br w:val="nil"/>
                    <w:tr2bl w:val="nil"/>
                  </w:tcBorders>
                  <w:shd w:val="clear" w:color="auto" w:fill="auto"/>
                  <w:vAlign w:val="center"/>
                </w:tcPr>
                <w:p w14:paraId="254B7F3F">
                  <w:pPr>
                    <w:jc w:val="center"/>
                    <w:rPr>
                      <w:rFonts w:hint="default" w:ascii="Times New Roman" w:hAnsi="Times New Roman" w:eastAsia="宋体" w:cs="Times New Roman"/>
                      <w:i w:val="0"/>
                      <w:iCs w:val="0"/>
                      <w:color w:val="auto"/>
                      <w:sz w:val="21"/>
                      <w:szCs w:val="21"/>
                      <w:u w:val="none" w:color="auto"/>
                    </w:rPr>
                  </w:pPr>
                </w:p>
              </w:tc>
              <w:tc>
                <w:tcPr>
                  <w:tcW w:w="833" w:type="pct"/>
                  <w:tcBorders>
                    <w:tl2br w:val="nil"/>
                    <w:tr2bl w:val="nil"/>
                  </w:tcBorders>
                  <w:shd w:val="clear" w:color="auto" w:fill="auto"/>
                  <w:vAlign w:val="center"/>
                </w:tcPr>
                <w:p w14:paraId="3DCCF49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G8</w:t>
                  </w:r>
                </w:p>
              </w:tc>
              <w:tc>
                <w:tcPr>
                  <w:tcW w:w="833" w:type="pct"/>
                  <w:tcBorders>
                    <w:tl2br w:val="nil"/>
                    <w:tr2bl w:val="nil"/>
                  </w:tcBorders>
                  <w:shd w:val="clear" w:color="auto" w:fill="auto"/>
                  <w:vAlign w:val="center"/>
                </w:tcPr>
                <w:p w14:paraId="1F73E51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浸渗处理</w:t>
                  </w:r>
                </w:p>
              </w:tc>
              <w:tc>
                <w:tcPr>
                  <w:tcW w:w="833" w:type="pct"/>
                  <w:tcBorders>
                    <w:tl2br w:val="nil"/>
                    <w:tr2bl w:val="nil"/>
                  </w:tcBorders>
                  <w:shd w:val="clear" w:color="auto" w:fill="auto"/>
                  <w:vAlign w:val="center"/>
                </w:tcPr>
                <w:p w14:paraId="0FBE552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非甲烷总烃</w:t>
                  </w:r>
                </w:p>
              </w:tc>
              <w:tc>
                <w:tcPr>
                  <w:tcW w:w="833" w:type="pct"/>
                  <w:tcBorders>
                    <w:tl2br w:val="nil"/>
                    <w:tr2bl w:val="nil"/>
                  </w:tcBorders>
                  <w:shd w:val="clear" w:color="auto" w:fill="auto"/>
                  <w:vAlign w:val="center"/>
                </w:tcPr>
                <w:p w14:paraId="346BFFF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TA012废气处理系统：干湿分离器+二级活性炭吸附处理+15m高排气筒</w:t>
                  </w:r>
                </w:p>
              </w:tc>
            </w:tr>
            <w:tr w14:paraId="3021802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trPr>
              <w:tc>
                <w:tcPr>
                  <w:tcW w:w="832" w:type="pct"/>
                  <w:vMerge w:val="continue"/>
                  <w:tcBorders>
                    <w:tl2br w:val="nil"/>
                    <w:tr2bl w:val="nil"/>
                  </w:tcBorders>
                  <w:shd w:val="clear" w:color="auto" w:fill="auto"/>
                  <w:vAlign w:val="center"/>
                </w:tcPr>
                <w:p w14:paraId="04EB78B6">
                  <w:pPr>
                    <w:jc w:val="center"/>
                    <w:rPr>
                      <w:rFonts w:hint="default" w:ascii="Times New Roman" w:hAnsi="Times New Roman" w:eastAsia="宋体" w:cs="Times New Roman"/>
                      <w:i w:val="0"/>
                      <w:iCs w:val="0"/>
                      <w:color w:val="auto"/>
                      <w:sz w:val="21"/>
                      <w:szCs w:val="21"/>
                      <w:u w:val="none" w:color="auto"/>
                    </w:rPr>
                  </w:pPr>
                </w:p>
              </w:tc>
              <w:tc>
                <w:tcPr>
                  <w:tcW w:w="832" w:type="pct"/>
                  <w:vMerge w:val="continue"/>
                  <w:tcBorders>
                    <w:tl2br w:val="nil"/>
                    <w:tr2bl w:val="nil"/>
                  </w:tcBorders>
                  <w:shd w:val="clear" w:color="auto" w:fill="auto"/>
                  <w:vAlign w:val="center"/>
                </w:tcPr>
                <w:p w14:paraId="0AFD833C">
                  <w:pPr>
                    <w:jc w:val="center"/>
                    <w:rPr>
                      <w:rFonts w:hint="default" w:ascii="Times New Roman" w:hAnsi="Times New Roman" w:eastAsia="宋体" w:cs="Times New Roman"/>
                      <w:i w:val="0"/>
                      <w:iCs w:val="0"/>
                      <w:color w:val="auto"/>
                      <w:sz w:val="21"/>
                      <w:szCs w:val="21"/>
                      <w:u w:val="none" w:color="auto"/>
                    </w:rPr>
                  </w:pPr>
                </w:p>
              </w:tc>
              <w:tc>
                <w:tcPr>
                  <w:tcW w:w="833" w:type="pct"/>
                  <w:tcBorders>
                    <w:tl2br w:val="nil"/>
                    <w:tr2bl w:val="nil"/>
                  </w:tcBorders>
                  <w:shd w:val="clear" w:color="auto" w:fill="auto"/>
                  <w:vAlign w:val="center"/>
                </w:tcPr>
                <w:p w14:paraId="702E102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G9</w:t>
                  </w:r>
                </w:p>
              </w:tc>
              <w:tc>
                <w:tcPr>
                  <w:tcW w:w="833" w:type="pct"/>
                  <w:tcBorders>
                    <w:tl2br w:val="nil"/>
                    <w:tr2bl w:val="nil"/>
                  </w:tcBorders>
                  <w:shd w:val="clear" w:color="auto" w:fill="auto"/>
                  <w:vAlign w:val="center"/>
                </w:tcPr>
                <w:p w14:paraId="331A068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CNC粗/精加工</w:t>
                  </w:r>
                </w:p>
              </w:tc>
              <w:tc>
                <w:tcPr>
                  <w:tcW w:w="833" w:type="pct"/>
                  <w:tcBorders>
                    <w:tl2br w:val="nil"/>
                    <w:tr2bl w:val="nil"/>
                  </w:tcBorders>
                  <w:shd w:val="clear" w:color="auto" w:fill="auto"/>
                  <w:vAlign w:val="center"/>
                </w:tcPr>
                <w:p w14:paraId="26F0E50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油雾（以非甲烷总烃表征）</w:t>
                  </w:r>
                </w:p>
              </w:tc>
              <w:tc>
                <w:tcPr>
                  <w:tcW w:w="833" w:type="pct"/>
                  <w:tcBorders>
                    <w:tl2br w:val="nil"/>
                    <w:tr2bl w:val="nil"/>
                  </w:tcBorders>
                  <w:shd w:val="clear" w:color="auto" w:fill="auto"/>
                  <w:vAlign w:val="center"/>
                </w:tcPr>
                <w:p w14:paraId="41F00F6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相关机加设备均配套静电油雾分离器，处理后车间内排放</w:t>
                  </w:r>
                </w:p>
              </w:tc>
            </w:tr>
            <w:tr w14:paraId="6C4C870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trPr>
              <w:tc>
                <w:tcPr>
                  <w:tcW w:w="832" w:type="pct"/>
                  <w:vMerge w:val="restart"/>
                  <w:tcBorders>
                    <w:tl2br w:val="nil"/>
                    <w:tr2bl w:val="nil"/>
                  </w:tcBorders>
                  <w:shd w:val="clear" w:color="auto" w:fill="auto"/>
                  <w:vAlign w:val="center"/>
                </w:tcPr>
                <w:p w14:paraId="0F041B4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固废</w:t>
                  </w:r>
                </w:p>
              </w:tc>
              <w:tc>
                <w:tcPr>
                  <w:tcW w:w="832" w:type="pct"/>
                  <w:vMerge w:val="restart"/>
                  <w:tcBorders>
                    <w:tl2br w:val="nil"/>
                    <w:tr2bl w:val="nil"/>
                  </w:tcBorders>
                  <w:shd w:val="clear" w:color="auto" w:fill="auto"/>
                  <w:vAlign w:val="center"/>
                </w:tcPr>
                <w:p w14:paraId="378A70B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中创空天厂区铝合金熔铸二厂</w:t>
                  </w:r>
                </w:p>
              </w:tc>
              <w:tc>
                <w:tcPr>
                  <w:tcW w:w="833" w:type="pct"/>
                  <w:tcBorders>
                    <w:tl2br w:val="nil"/>
                    <w:tr2bl w:val="nil"/>
                  </w:tcBorders>
                  <w:shd w:val="clear" w:color="auto" w:fill="auto"/>
                  <w:vAlign w:val="center"/>
                </w:tcPr>
                <w:p w14:paraId="35EA620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S1</w:t>
                  </w:r>
                </w:p>
              </w:tc>
              <w:tc>
                <w:tcPr>
                  <w:tcW w:w="833" w:type="pct"/>
                  <w:tcBorders>
                    <w:tl2br w:val="nil"/>
                    <w:tr2bl w:val="nil"/>
                  </w:tcBorders>
                  <w:shd w:val="clear" w:color="auto" w:fill="auto"/>
                  <w:vAlign w:val="center"/>
                </w:tcPr>
                <w:p w14:paraId="01A80CC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冷灰桶、球磨机、筛分机</w:t>
                  </w:r>
                </w:p>
              </w:tc>
              <w:tc>
                <w:tcPr>
                  <w:tcW w:w="833" w:type="pct"/>
                  <w:tcBorders>
                    <w:tl2br w:val="nil"/>
                    <w:tr2bl w:val="nil"/>
                  </w:tcBorders>
                  <w:shd w:val="clear" w:color="auto" w:fill="auto"/>
                  <w:vAlign w:val="center"/>
                </w:tcPr>
                <w:p w14:paraId="06B161A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二次铝灰渣</w:t>
                  </w:r>
                </w:p>
              </w:tc>
              <w:tc>
                <w:tcPr>
                  <w:tcW w:w="833" w:type="pct"/>
                  <w:vMerge w:val="restart"/>
                  <w:tcBorders>
                    <w:tl2br w:val="nil"/>
                    <w:tr2bl w:val="nil"/>
                  </w:tcBorders>
                  <w:shd w:val="clear" w:color="auto" w:fill="auto"/>
                  <w:vAlign w:val="center"/>
                </w:tcPr>
                <w:p w14:paraId="4D6EAF7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经危废暂存间暂存后交由危废资质单位无害化处理</w:t>
                  </w:r>
                </w:p>
              </w:tc>
            </w:tr>
            <w:tr w14:paraId="7DA1786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832" w:type="pct"/>
                  <w:vMerge w:val="continue"/>
                  <w:tcBorders>
                    <w:tl2br w:val="nil"/>
                    <w:tr2bl w:val="nil"/>
                  </w:tcBorders>
                  <w:shd w:val="clear" w:color="auto" w:fill="auto"/>
                  <w:vAlign w:val="center"/>
                </w:tcPr>
                <w:p w14:paraId="5795EA31">
                  <w:pPr>
                    <w:jc w:val="center"/>
                    <w:rPr>
                      <w:rFonts w:hint="default" w:ascii="Times New Roman" w:hAnsi="Times New Roman" w:eastAsia="宋体" w:cs="Times New Roman"/>
                      <w:i w:val="0"/>
                      <w:iCs w:val="0"/>
                      <w:color w:val="auto"/>
                      <w:sz w:val="21"/>
                      <w:szCs w:val="21"/>
                      <w:u w:val="none" w:color="auto"/>
                    </w:rPr>
                  </w:pPr>
                </w:p>
              </w:tc>
              <w:tc>
                <w:tcPr>
                  <w:tcW w:w="832" w:type="pct"/>
                  <w:vMerge w:val="continue"/>
                  <w:tcBorders>
                    <w:tl2br w:val="nil"/>
                    <w:tr2bl w:val="nil"/>
                  </w:tcBorders>
                  <w:shd w:val="clear" w:color="auto" w:fill="auto"/>
                  <w:vAlign w:val="center"/>
                </w:tcPr>
                <w:p w14:paraId="0EAA5F41">
                  <w:pPr>
                    <w:jc w:val="center"/>
                    <w:rPr>
                      <w:rFonts w:hint="default" w:ascii="Times New Roman" w:hAnsi="Times New Roman" w:eastAsia="宋体" w:cs="Times New Roman"/>
                      <w:i w:val="0"/>
                      <w:iCs w:val="0"/>
                      <w:color w:val="auto"/>
                      <w:sz w:val="21"/>
                      <w:szCs w:val="21"/>
                      <w:u w:val="none" w:color="auto"/>
                    </w:rPr>
                  </w:pPr>
                </w:p>
              </w:tc>
              <w:tc>
                <w:tcPr>
                  <w:tcW w:w="833" w:type="pct"/>
                  <w:tcBorders>
                    <w:tl2br w:val="nil"/>
                    <w:tr2bl w:val="nil"/>
                  </w:tcBorders>
                  <w:shd w:val="clear" w:color="auto" w:fill="auto"/>
                  <w:vAlign w:val="center"/>
                </w:tcPr>
                <w:p w14:paraId="039D62C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lang w:val="en-US"/>
                    </w:rPr>
                  </w:pPr>
                  <w:r>
                    <w:rPr>
                      <w:rFonts w:hint="default" w:ascii="Times New Roman" w:hAnsi="Times New Roman" w:eastAsia="宋体" w:cs="Times New Roman"/>
                      <w:i w:val="0"/>
                      <w:iCs w:val="0"/>
                      <w:color w:val="auto"/>
                      <w:kern w:val="0"/>
                      <w:sz w:val="21"/>
                      <w:szCs w:val="21"/>
                      <w:u w:val="none" w:color="auto"/>
                      <w:lang w:val="en-US" w:eastAsia="zh-CN" w:bidi="ar"/>
                    </w:rPr>
                    <w:t>S2-1</w:t>
                  </w:r>
                </w:p>
              </w:tc>
              <w:tc>
                <w:tcPr>
                  <w:tcW w:w="833" w:type="pct"/>
                  <w:tcBorders>
                    <w:tl2br w:val="nil"/>
                    <w:tr2bl w:val="nil"/>
                  </w:tcBorders>
                  <w:shd w:val="clear" w:color="auto" w:fill="auto"/>
                  <w:vAlign w:val="center"/>
                </w:tcPr>
                <w:p w14:paraId="1C9D2CE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熔铸二厂TA010废气处理系统</w:t>
                  </w:r>
                </w:p>
              </w:tc>
              <w:tc>
                <w:tcPr>
                  <w:tcW w:w="833" w:type="pct"/>
                  <w:tcBorders>
                    <w:tl2br w:val="nil"/>
                    <w:tr2bl w:val="nil"/>
                  </w:tcBorders>
                  <w:shd w:val="clear" w:color="auto" w:fill="auto"/>
                  <w:vAlign w:val="center"/>
                </w:tcPr>
                <w:p w14:paraId="5B95505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除尘灰渣</w:t>
                  </w:r>
                </w:p>
              </w:tc>
              <w:tc>
                <w:tcPr>
                  <w:tcW w:w="833" w:type="pct"/>
                  <w:vMerge w:val="continue"/>
                  <w:tcBorders>
                    <w:tl2br w:val="nil"/>
                    <w:tr2bl w:val="nil"/>
                  </w:tcBorders>
                  <w:shd w:val="clear" w:color="auto" w:fill="auto"/>
                  <w:vAlign w:val="center"/>
                </w:tcPr>
                <w:p w14:paraId="49EC056A">
                  <w:pPr>
                    <w:jc w:val="center"/>
                    <w:rPr>
                      <w:rFonts w:hint="default" w:ascii="Times New Roman" w:hAnsi="Times New Roman" w:eastAsia="宋体" w:cs="Times New Roman"/>
                      <w:i w:val="0"/>
                      <w:iCs w:val="0"/>
                      <w:color w:val="auto"/>
                      <w:sz w:val="21"/>
                      <w:szCs w:val="21"/>
                      <w:u w:val="none" w:color="auto"/>
                    </w:rPr>
                  </w:pPr>
                </w:p>
              </w:tc>
            </w:tr>
            <w:tr w14:paraId="5FA497C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832" w:type="pct"/>
                  <w:vMerge w:val="continue"/>
                  <w:tcBorders>
                    <w:tl2br w:val="nil"/>
                    <w:tr2bl w:val="nil"/>
                  </w:tcBorders>
                  <w:shd w:val="clear" w:color="auto" w:fill="auto"/>
                  <w:vAlign w:val="center"/>
                </w:tcPr>
                <w:p w14:paraId="08DE34FB">
                  <w:pPr>
                    <w:jc w:val="center"/>
                    <w:rPr>
                      <w:rFonts w:hint="default" w:ascii="Times New Roman" w:hAnsi="Times New Roman" w:eastAsia="宋体" w:cs="Times New Roman"/>
                      <w:i w:val="0"/>
                      <w:iCs w:val="0"/>
                      <w:color w:val="auto"/>
                      <w:sz w:val="21"/>
                      <w:szCs w:val="21"/>
                      <w:u w:val="none" w:color="auto"/>
                    </w:rPr>
                  </w:pPr>
                </w:p>
              </w:tc>
              <w:tc>
                <w:tcPr>
                  <w:tcW w:w="832" w:type="pct"/>
                  <w:vMerge w:val="continue"/>
                  <w:tcBorders>
                    <w:tl2br w:val="nil"/>
                    <w:tr2bl w:val="nil"/>
                  </w:tcBorders>
                  <w:shd w:val="clear" w:color="auto" w:fill="auto"/>
                  <w:vAlign w:val="center"/>
                </w:tcPr>
                <w:p w14:paraId="108B6DF1">
                  <w:pPr>
                    <w:jc w:val="center"/>
                    <w:rPr>
                      <w:rFonts w:hint="default" w:ascii="Times New Roman" w:hAnsi="Times New Roman" w:eastAsia="宋体" w:cs="Times New Roman"/>
                      <w:i w:val="0"/>
                      <w:iCs w:val="0"/>
                      <w:color w:val="auto"/>
                      <w:sz w:val="21"/>
                      <w:szCs w:val="21"/>
                      <w:u w:val="none" w:color="auto"/>
                    </w:rPr>
                  </w:pPr>
                </w:p>
              </w:tc>
              <w:tc>
                <w:tcPr>
                  <w:tcW w:w="833" w:type="pct"/>
                  <w:tcBorders>
                    <w:tl2br w:val="nil"/>
                    <w:tr2bl w:val="nil"/>
                  </w:tcBorders>
                  <w:shd w:val="clear" w:color="auto" w:fill="auto"/>
                  <w:vAlign w:val="center"/>
                </w:tcPr>
                <w:p w14:paraId="5001E55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S3</w:t>
                  </w:r>
                </w:p>
              </w:tc>
              <w:tc>
                <w:tcPr>
                  <w:tcW w:w="833" w:type="pct"/>
                  <w:tcBorders>
                    <w:tl2br w:val="nil"/>
                    <w:tr2bl w:val="nil"/>
                  </w:tcBorders>
                  <w:shd w:val="clear" w:color="auto" w:fill="auto"/>
                  <w:vAlign w:val="center"/>
                </w:tcPr>
                <w:p w14:paraId="34E1547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生物质燃烧</w:t>
                  </w:r>
                </w:p>
              </w:tc>
              <w:tc>
                <w:tcPr>
                  <w:tcW w:w="833" w:type="pct"/>
                  <w:tcBorders>
                    <w:tl2br w:val="nil"/>
                    <w:tr2bl w:val="nil"/>
                  </w:tcBorders>
                  <w:shd w:val="clear" w:color="auto" w:fill="auto"/>
                  <w:vAlign w:val="center"/>
                </w:tcPr>
                <w:p w14:paraId="267EB9D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生物质灰渣</w:t>
                  </w:r>
                </w:p>
              </w:tc>
              <w:tc>
                <w:tcPr>
                  <w:tcW w:w="833" w:type="pct"/>
                  <w:tcBorders>
                    <w:tl2br w:val="nil"/>
                    <w:tr2bl w:val="nil"/>
                  </w:tcBorders>
                  <w:shd w:val="clear" w:color="auto" w:fill="auto"/>
                  <w:vAlign w:val="center"/>
                </w:tcPr>
                <w:p w14:paraId="10FE716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外售综合利用</w:t>
                  </w:r>
                </w:p>
              </w:tc>
            </w:tr>
            <w:tr w14:paraId="0732F09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794" w:hRule="atLeast"/>
              </w:trPr>
              <w:tc>
                <w:tcPr>
                  <w:tcW w:w="832" w:type="pct"/>
                  <w:vMerge w:val="continue"/>
                  <w:tcBorders>
                    <w:tl2br w:val="nil"/>
                    <w:tr2bl w:val="nil"/>
                  </w:tcBorders>
                  <w:shd w:val="clear" w:color="auto" w:fill="auto"/>
                  <w:vAlign w:val="center"/>
                </w:tcPr>
                <w:p w14:paraId="4F222DCC">
                  <w:pPr>
                    <w:jc w:val="center"/>
                    <w:rPr>
                      <w:rFonts w:hint="default" w:ascii="Times New Roman" w:hAnsi="Times New Roman" w:eastAsia="宋体" w:cs="Times New Roman"/>
                      <w:i w:val="0"/>
                      <w:iCs w:val="0"/>
                      <w:color w:val="auto"/>
                      <w:sz w:val="21"/>
                      <w:szCs w:val="21"/>
                      <w:u w:val="none" w:color="auto"/>
                    </w:rPr>
                  </w:pPr>
                </w:p>
              </w:tc>
              <w:tc>
                <w:tcPr>
                  <w:tcW w:w="832" w:type="pct"/>
                  <w:vMerge w:val="restart"/>
                  <w:tcBorders>
                    <w:tl2br w:val="nil"/>
                    <w:tr2bl w:val="nil"/>
                  </w:tcBorders>
                  <w:shd w:val="clear" w:color="auto" w:fill="auto"/>
                  <w:vAlign w:val="center"/>
                </w:tcPr>
                <w:p w14:paraId="5E70D9E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中创空天厂区铝合金熔铸一厂</w:t>
                  </w:r>
                </w:p>
              </w:tc>
              <w:tc>
                <w:tcPr>
                  <w:tcW w:w="833" w:type="pct"/>
                  <w:tcBorders>
                    <w:tl2br w:val="nil"/>
                    <w:tr2bl w:val="nil"/>
                  </w:tcBorders>
                  <w:shd w:val="clear" w:color="auto" w:fill="auto"/>
                  <w:vAlign w:val="center"/>
                </w:tcPr>
                <w:p w14:paraId="4D6F16F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lang w:val="en-US"/>
                    </w:rPr>
                  </w:pPr>
                  <w:r>
                    <w:rPr>
                      <w:rFonts w:hint="default" w:ascii="Times New Roman" w:hAnsi="Times New Roman" w:eastAsia="宋体" w:cs="Times New Roman"/>
                      <w:i w:val="0"/>
                      <w:iCs w:val="0"/>
                      <w:color w:val="auto"/>
                      <w:kern w:val="0"/>
                      <w:sz w:val="21"/>
                      <w:szCs w:val="21"/>
                      <w:u w:val="none" w:color="auto"/>
                      <w:lang w:val="en-US" w:eastAsia="zh-CN" w:bidi="ar"/>
                    </w:rPr>
                    <w:t>S4-1</w:t>
                  </w:r>
                </w:p>
              </w:tc>
              <w:tc>
                <w:tcPr>
                  <w:tcW w:w="833" w:type="pct"/>
                  <w:vMerge w:val="restart"/>
                  <w:tcBorders>
                    <w:tl2br w:val="nil"/>
                    <w:tr2bl w:val="nil"/>
                  </w:tcBorders>
                  <w:shd w:val="clear" w:color="auto" w:fill="auto"/>
                  <w:vAlign w:val="center"/>
                </w:tcPr>
                <w:p w14:paraId="3A4445C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压铸件处理</w:t>
                  </w:r>
                </w:p>
              </w:tc>
              <w:tc>
                <w:tcPr>
                  <w:tcW w:w="833" w:type="pct"/>
                  <w:tcBorders>
                    <w:tl2br w:val="nil"/>
                    <w:tr2bl w:val="nil"/>
                  </w:tcBorders>
                  <w:shd w:val="clear" w:color="auto" w:fill="auto"/>
                  <w:vAlign w:val="center"/>
                </w:tcPr>
                <w:p w14:paraId="3457C4A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废边角料</w:t>
                  </w:r>
                </w:p>
              </w:tc>
              <w:tc>
                <w:tcPr>
                  <w:tcW w:w="833" w:type="pct"/>
                  <w:vMerge w:val="restart"/>
                  <w:tcBorders>
                    <w:tl2br w:val="nil"/>
                    <w:tr2bl w:val="nil"/>
                  </w:tcBorders>
                  <w:shd w:val="clear" w:color="auto" w:fill="auto"/>
                  <w:vAlign w:val="center"/>
                </w:tcPr>
                <w:p w14:paraId="19E135D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回铝合金熔铸二厂45t熔化炉重熔</w:t>
                  </w:r>
                </w:p>
              </w:tc>
            </w:tr>
            <w:tr w14:paraId="582344E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trPr>
              <w:tc>
                <w:tcPr>
                  <w:tcW w:w="832" w:type="pct"/>
                  <w:vMerge w:val="continue"/>
                  <w:tcBorders>
                    <w:tl2br w:val="nil"/>
                    <w:tr2bl w:val="nil"/>
                  </w:tcBorders>
                  <w:shd w:val="clear" w:color="auto" w:fill="auto"/>
                  <w:vAlign w:val="center"/>
                </w:tcPr>
                <w:p w14:paraId="1FC02AEB">
                  <w:pPr>
                    <w:jc w:val="center"/>
                    <w:rPr>
                      <w:rFonts w:hint="default" w:ascii="Times New Roman" w:hAnsi="Times New Roman" w:eastAsia="宋体" w:cs="Times New Roman"/>
                      <w:i w:val="0"/>
                      <w:iCs w:val="0"/>
                      <w:color w:val="auto"/>
                      <w:sz w:val="21"/>
                      <w:szCs w:val="21"/>
                      <w:u w:val="none" w:color="auto"/>
                    </w:rPr>
                  </w:pPr>
                </w:p>
              </w:tc>
              <w:tc>
                <w:tcPr>
                  <w:tcW w:w="832" w:type="pct"/>
                  <w:vMerge w:val="continue"/>
                  <w:tcBorders>
                    <w:tl2br w:val="nil"/>
                    <w:tr2bl w:val="nil"/>
                  </w:tcBorders>
                  <w:shd w:val="clear" w:color="auto" w:fill="auto"/>
                  <w:vAlign w:val="center"/>
                </w:tcPr>
                <w:p w14:paraId="680EA80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p>
              </w:tc>
              <w:tc>
                <w:tcPr>
                  <w:tcW w:w="833" w:type="pct"/>
                  <w:tcBorders>
                    <w:tl2br w:val="nil"/>
                    <w:tr2bl w:val="nil"/>
                  </w:tcBorders>
                  <w:shd w:val="clear" w:color="auto" w:fill="auto"/>
                  <w:vAlign w:val="center"/>
                </w:tcPr>
                <w:p w14:paraId="7D143D5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S4-2</w:t>
                  </w:r>
                </w:p>
              </w:tc>
              <w:tc>
                <w:tcPr>
                  <w:tcW w:w="833" w:type="pct"/>
                  <w:vMerge w:val="continue"/>
                  <w:tcBorders>
                    <w:tl2br w:val="nil"/>
                    <w:tr2bl w:val="nil"/>
                  </w:tcBorders>
                  <w:shd w:val="clear" w:color="auto" w:fill="auto"/>
                  <w:vAlign w:val="center"/>
                </w:tcPr>
                <w:p w14:paraId="56CC69E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p>
              </w:tc>
              <w:tc>
                <w:tcPr>
                  <w:tcW w:w="833" w:type="pct"/>
                  <w:tcBorders>
                    <w:tl2br w:val="nil"/>
                    <w:tr2bl w:val="nil"/>
                  </w:tcBorders>
                  <w:shd w:val="clear" w:color="auto" w:fill="auto"/>
                  <w:vAlign w:val="center"/>
                </w:tcPr>
                <w:p w14:paraId="1D1213D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报废品</w:t>
                  </w:r>
                </w:p>
              </w:tc>
              <w:tc>
                <w:tcPr>
                  <w:tcW w:w="833" w:type="pct"/>
                  <w:vMerge w:val="continue"/>
                  <w:tcBorders>
                    <w:tl2br w:val="nil"/>
                    <w:tr2bl w:val="nil"/>
                  </w:tcBorders>
                  <w:shd w:val="clear" w:color="auto" w:fill="auto"/>
                  <w:vAlign w:val="center"/>
                </w:tcPr>
                <w:p w14:paraId="4E5EE38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p>
              </w:tc>
            </w:tr>
            <w:tr w14:paraId="3F45471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832" w:type="pct"/>
                  <w:vMerge w:val="continue"/>
                  <w:tcBorders>
                    <w:tl2br w:val="nil"/>
                    <w:tr2bl w:val="nil"/>
                  </w:tcBorders>
                  <w:shd w:val="clear" w:color="auto" w:fill="auto"/>
                  <w:vAlign w:val="center"/>
                </w:tcPr>
                <w:p w14:paraId="39E3A001">
                  <w:pPr>
                    <w:jc w:val="center"/>
                    <w:rPr>
                      <w:rFonts w:hint="default" w:ascii="Times New Roman" w:hAnsi="Times New Roman" w:eastAsia="宋体" w:cs="Times New Roman"/>
                      <w:i w:val="0"/>
                      <w:iCs w:val="0"/>
                      <w:color w:val="auto"/>
                      <w:sz w:val="21"/>
                      <w:szCs w:val="21"/>
                      <w:u w:val="none" w:color="auto"/>
                    </w:rPr>
                  </w:pPr>
                </w:p>
              </w:tc>
              <w:tc>
                <w:tcPr>
                  <w:tcW w:w="832" w:type="pct"/>
                  <w:vMerge w:val="continue"/>
                  <w:tcBorders>
                    <w:tl2br w:val="nil"/>
                    <w:tr2bl w:val="nil"/>
                  </w:tcBorders>
                  <w:shd w:val="clear" w:color="auto" w:fill="auto"/>
                  <w:vAlign w:val="center"/>
                </w:tcPr>
                <w:p w14:paraId="7D2CF5C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p>
              </w:tc>
              <w:tc>
                <w:tcPr>
                  <w:tcW w:w="833" w:type="pct"/>
                  <w:vMerge w:val="restart"/>
                  <w:tcBorders>
                    <w:tl2br w:val="nil"/>
                    <w:tr2bl w:val="nil"/>
                  </w:tcBorders>
                  <w:shd w:val="clear" w:color="auto" w:fill="auto"/>
                  <w:vAlign w:val="center"/>
                </w:tcPr>
                <w:p w14:paraId="740324C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S2-2</w:t>
                  </w:r>
                </w:p>
              </w:tc>
              <w:tc>
                <w:tcPr>
                  <w:tcW w:w="833" w:type="pct"/>
                  <w:vMerge w:val="restart"/>
                  <w:tcBorders>
                    <w:tl2br w:val="nil"/>
                    <w:tr2bl w:val="nil"/>
                  </w:tcBorders>
                  <w:shd w:val="clear" w:color="auto" w:fill="auto"/>
                  <w:vAlign w:val="center"/>
                </w:tcPr>
                <w:p w14:paraId="33D08F8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TA011废气</w:t>
                  </w:r>
                  <w:r>
                    <w:rPr>
                      <w:rFonts w:hint="eastAsia" w:cs="Times New Roman"/>
                      <w:i w:val="0"/>
                      <w:iCs w:val="0"/>
                      <w:color w:val="auto"/>
                      <w:kern w:val="0"/>
                      <w:sz w:val="21"/>
                      <w:szCs w:val="21"/>
                      <w:u w:val="none" w:color="auto"/>
                      <w:lang w:val="en-US" w:eastAsia="zh-CN" w:bidi="ar"/>
                    </w:rPr>
                    <w:t>处理</w:t>
                  </w:r>
                  <w:r>
                    <w:rPr>
                      <w:rFonts w:hint="default" w:ascii="Times New Roman" w:hAnsi="Times New Roman" w:eastAsia="宋体" w:cs="Times New Roman"/>
                      <w:i w:val="0"/>
                      <w:iCs w:val="0"/>
                      <w:color w:val="auto"/>
                      <w:kern w:val="0"/>
                      <w:sz w:val="21"/>
                      <w:szCs w:val="21"/>
                      <w:u w:val="none" w:color="auto"/>
                      <w:lang w:val="en-US" w:eastAsia="zh-CN" w:bidi="ar"/>
                    </w:rPr>
                    <w:t>系统</w:t>
                  </w:r>
                </w:p>
              </w:tc>
              <w:tc>
                <w:tcPr>
                  <w:tcW w:w="833" w:type="pct"/>
                  <w:tcBorders>
                    <w:tl2br w:val="nil"/>
                    <w:tr2bl w:val="nil"/>
                  </w:tcBorders>
                  <w:shd w:val="clear" w:color="auto" w:fill="auto"/>
                  <w:vAlign w:val="center"/>
                </w:tcPr>
                <w:p w14:paraId="05C73B7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粉尘</w:t>
                  </w:r>
                </w:p>
              </w:tc>
              <w:tc>
                <w:tcPr>
                  <w:tcW w:w="833" w:type="pct"/>
                  <w:tcBorders>
                    <w:tl2br w:val="nil"/>
                    <w:tr2bl w:val="nil"/>
                  </w:tcBorders>
                  <w:shd w:val="clear" w:color="auto" w:fill="auto"/>
                  <w:vAlign w:val="center"/>
                </w:tcPr>
                <w:p w14:paraId="3AAE211A">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u w:val="none" w:color="auto"/>
                      <w:lang w:val="en-US" w:eastAsia="zh-CN" w:bidi="ar-SA"/>
                    </w:rPr>
                  </w:pPr>
                  <w:r>
                    <w:rPr>
                      <w:rFonts w:hint="default" w:ascii="Times New Roman" w:hAnsi="Times New Roman" w:eastAsia="宋体" w:cs="Times New Roman"/>
                      <w:i w:val="0"/>
                      <w:iCs w:val="0"/>
                      <w:color w:val="auto"/>
                      <w:kern w:val="0"/>
                      <w:sz w:val="21"/>
                      <w:szCs w:val="21"/>
                      <w:u w:val="none" w:color="auto"/>
                      <w:lang w:val="en-US" w:eastAsia="zh-CN" w:bidi="ar"/>
                    </w:rPr>
                    <w:t>外售综合利用</w:t>
                  </w:r>
                </w:p>
              </w:tc>
            </w:tr>
            <w:tr w14:paraId="097A46E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trPr>
              <w:tc>
                <w:tcPr>
                  <w:tcW w:w="832" w:type="pct"/>
                  <w:vMerge w:val="continue"/>
                  <w:tcBorders>
                    <w:tl2br w:val="nil"/>
                    <w:tr2bl w:val="nil"/>
                  </w:tcBorders>
                  <w:shd w:val="clear" w:color="auto" w:fill="auto"/>
                  <w:vAlign w:val="center"/>
                </w:tcPr>
                <w:p w14:paraId="7FD320BD">
                  <w:pPr>
                    <w:jc w:val="center"/>
                    <w:rPr>
                      <w:rFonts w:hint="default" w:ascii="Times New Roman" w:hAnsi="Times New Roman" w:eastAsia="宋体" w:cs="Times New Roman"/>
                      <w:i w:val="0"/>
                      <w:iCs w:val="0"/>
                      <w:color w:val="auto"/>
                      <w:sz w:val="21"/>
                      <w:szCs w:val="21"/>
                      <w:u w:val="none" w:color="auto"/>
                    </w:rPr>
                  </w:pPr>
                </w:p>
              </w:tc>
              <w:tc>
                <w:tcPr>
                  <w:tcW w:w="832" w:type="pct"/>
                  <w:vMerge w:val="continue"/>
                  <w:tcBorders>
                    <w:tl2br w:val="nil"/>
                    <w:tr2bl w:val="nil"/>
                  </w:tcBorders>
                  <w:shd w:val="clear" w:color="auto" w:fill="auto"/>
                  <w:vAlign w:val="center"/>
                </w:tcPr>
                <w:p w14:paraId="6236EF4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p>
              </w:tc>
              <w:tc>
                <w:tcPr>
                  <w:tcW w:w="833" w:type="pct"/>
                  <w:vMerge w:val="continue"/>
                  <w:tcBorders>
                    <w:tl2br w:val="nil"/>
                    <w:tr2bl w:val="nil"/>
                  </w:tcBorders>
                  <w:shd w:val="clear" w:color="auto" w:fill="auto"/>
                  <w:vAlign w:val="center"/>
                </w:tcPr>
                <w:p w14:paraId="119A929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p>
              </w:tc>
              <w:tc>
                <w:tcPr>
                  <w:tcW w:w="833" w:type="pct"/>
                  <w:vMerge w:val="continue"/>
                  <w:tcBorders>
                    <w:tl2br w:val="nil"/>
                    <w:tr2bl w:val="nil"/>
                  </w:tcBorders>
                  <w:shd w:val="clear" w:color="auto" w:fill="auto"/>
                  <w:vAlign w:val="center"/>
                </w:tcPr>
                <w:p w14:paraId="0085AC3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p>
              </w:tc>
              <w:tc>
                <w:tcPr>
                  <w:tcW w:w="833" w:type="pct"/>
                  <w:tcBorders>
                    <w:tl2br w:val="nil"/>
                    <w:tr2bl w:val="nil"/>
                  </w:tcBorders>
                  <w:shd w:val="clear" w:color="auto" w:fill="auto"/>
                  <w:vAlign w:val="center"/>
                </w:tcPr>
                <w:p w14:paraId="6F1DE01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废活性炭</w:t>
                  </w:r>
                </w:p>
              </w:tc>
              <w:tc>
                <w:tcPr>
                  <w:tcW w:w="833" w:type="pct"/>
                  <w:tcBorders>
                    <w:tl2br w:val="nil"/>
                    <w:tr2bl w:val="nil"/>
                  </w:tcBorders>
                  <w:shd w:val="clear" w:color="auto" w:fill="auto"/>
                  <w:vAlign w:val="center"/>
                </w:tcPr>
                <w:p w14:paraId="5B8BD45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暂存后交由资质单位处理</w:t>
                  </w:r>
                </w:p>
              </w:tc>
            </w:tr>
            <w:tr w14:paraId="16712AF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trPr>
              <w:tc>
                <w:tcPr>
                  <w:tcW w:w="832" w:type="pct"/>
                  <w:vMerge w:val="continue"/>
                  <w:tcBorders>
                    <w:tl2br w:val="nil"/>
                    <w:tr2bl w:val="nil"/>
                  </w:tcBorders>
                  <w:shd w:val="clear" w:color="auto" w:fill="auto"/>
                  <w:vAlign w:val="center"/>
                </w:tcPr>
                <w:p w14:paraId="359FFB94">
                  <w:pPr>
                    <w:jc w:val="center"/>
                    <w:rPr>
                      <w:rFonts w:hint="default" w:ascii="Times New Roman" w:hAnsi="Times New Roman" w:eastAsia="宋体" w:cs="Times New Roman"/>
                      <w:i w:val="0"/>
                      <w:iCs w:val="0"/>
                      <w:color w:val="auto"/>
                      <w:sz w:val="21"/>
                      <w:szCs w:val="21"/>
                      <w:u w:val="none" w:color="auto"/>
                    </w:rPr>
                  </w:pPr>
                </w:p>
              </w:tc>
              <w:tc>
                <w:tcPr>
                  <w:tcW w:w="832" w:type="pct"/>
                  <w:vMerge w:val="continue"/>
                  <w:tcBorders>
                    <w:tl2br w:val="nil"/>
                    <w:tr2bl w:val="nil"/>
                  </w:tcBorders>
                  <w:shd w:val="clear" w:color="auto" w:fill="auto"/>
                  <w:vAlign w:val="center"/>
                </w:tcPr>
                <w:p w14:paraId="272B969A">
                  <w:pPr>
                    <w:jc w:val="center"/>
                    <w:rPr>
                      <w:rFonts w:hint="default" w:ascii="Times New Roman" w:hAnsi="Times New Roman" w:eastAsia="宋体" w:cs="Times New Roman"/>
                      <w:i w:val="0"/>
                      <w:iCs w:val="0"/>
                      <w:color w:val="auto"/>
                      <w:sz w:val="21"/>
                      <w:szCs w:val="21"/>
                      <w:u w:val="none" w:color="auto"/>
                    </w:rPr>
                  </w:pPr>
                </w:p>
              </w:tc>
              <w:tc>
                <w:tcPr>
                  <w:tcW w:w="833" w:type="pct"/>
                  <w:tcBorders>
                    <w:tl2br w:val="nil"/>
                    <w:tr2bl w:val="nil"/>
                  </w:tcBorders>
                  <w:shd w:val="clear" w:color="auto" w:fill="auto"/>
                  <w:vAlign w:val="center"/>
                </w:tcPr>
                <w:p w14:paraId="43BFDBC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S5-1</w:t>
                  </w:r>
                </w:p>
              </w:tc>
              <w:tc>
                <w:tcPr>
                  <w:tcW w:w="833" w:type="pct"/>
                  <w:tcBorders>
                    <w:tl2br w:val="nil"/>
                    <w:tr2bl w:val="nil"/>
                  </w:tcBorders>
                  <w:shd w:val="clear" w:color="auto" w:fill="auto"/>
                  <w:vAlign w:val="center"/>
                </w:tcPr>
                <w:p w14:paraId="07B0BC3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激光打标</w:t>
                  </w:r>
                </w:p>
              </w:tc>
              <w:tc>
                <w:tcPr>
                  <w:tcW w:w="833" w:type="pct"/>
                  <w:tcBorders>
                    <w:tl2br w:val="nil"/>
                    <w:tr2bl w:val="nil"/>
                  </w:tcBorders>
                  <w:shd w:val="clear" w:color="auto" w:fill="auto"/>
                  <w:vAlign w:val="center"/>
                </w:tcPr>
                <w:p w14:paraId="460CE26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收集到的金属粉尘</w:t>
                  </w:r>
                </w:p>
              </w:tc>
              <w:tc>
                <w:tcPr>
                  <w:tcW w:w="833" w:type="pct"/>
                  <w:vMerge w:val="restart"/>
                  <w:tcBorders>
                    <w:tl2br w:val="nil"/>
                    <w:tr2bl w:val="nil"/>
                  </w:tcBorders>
                  <w:shd w:val="clear" w:color="auto" w:fill="auto"/>
                  <w:vAlign w:val="center"/>
                </w:tcPr>
                <w:p w14:paraId="2A52758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外售综合利用</w:t>
                  </w:r>
                </w:p>
              </w:tc>
            </w:tr>
            <w:tr w14:paraId="0132EA9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trPr>
              <w:tc>
                <w:tcPr>
                  <w:tcW w:w="832" w:type="pct"/>
                  <w:vMerge w:val="continue"/>
                  <w:tcBorders>
                    <w:tl2br w:val="nil"/>
                    <w:tr2bl w:val="nil"/>
                  </w:tcBorders>
                  <w:shd w:val="clear" w:color="auto" w:fill="auto"/>
                  <w:vAlign w:val="center"/>
                </w:tcPr>
                <w:p w14:paraId="250CAE37">
                  <w:pPr>
                    <w:jc w:val="center"/>
                    <w:rPr>
                      <w:rFonts w:hint="default" w:ascii="Times New Roman" w:hAnsi="Times New Roman" w:eastAsia="宋体" w:cs="Times New Roman"/>
                      <w:i w:val="0"/>
                      <w:iCs w:val="0"/>
                      <w:color w:val="auto"/>
                      <w:sz w:val="21"/>
                      <w:szCs w:val="21"/>
                      <w:u w:val="none" w:color="auto"/>
                    </w:rPr>
                  </w:pPr>
                </w:p>
              </w:tc>
              <w:tc>
                <w:tcPr>
                  <w:tcW w:w="832" w:type="pct"/>
                  <w:vMerge w:val="restart"/>
                  <w:tcBorders>
                    <w:tl2br w:val="nil"/>
                    <w:tr2bl w:val="nil"/>
                  </w:tcBorders>
                  <w:shd w:val="clear" w:color="auto" w:fill="auto"/>
                  <w:vAlign w:val="center"/>
                </w:tcPr>
                <w:p w14:paraId="0856EF3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临港高新产业园区</w:t>
                  </w:r>
                </w:p>
              </w:tc>
              <w:tc>
                <w:tcPr>
                  <w:tcW w:w="833" w:type="pct"/>
                  <w:tcBorders>
                    <w:tl2br w:val="nil"/>
                    <w:tr2bl w:val="nil"/>
                  </w:tcBorders>
                  <w:shd w:val="clear" w:color="auto" w:fill="auto"/>
                  <w:vAlign w:val="center"/>
                </w:tcPr>
                <w:p w14:paraId="51C509E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S5-2</w:t>
                  </w:r>
                </w:p>
              </w:tc>
              <w:tc>
                <w:tcPr>
                  <w:tcW w:w="833" w:type="pct"/>
                  <w:tcBorders>
                    <w:tl2br w:val="nil"/>
                    <w:tr2bl w:val="nil"/>
                  </w:tcBorders>
                  <w:shd w:val="clear" w:color="auto" w:fill="auto"/>
                  <w:vAlign w:val="center"/>
                </w:tcPr>
                <w:p w14:paraId="37F176F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激光打标</w:t>
                  </w:r>
                </w:p>
              </w:tc>
              <w:tc>
                <w:tcPr>
                  <w:tcW w:w="833" w:type="pct"/>
                  <w:tcBorders>
                    <w:tl2br w:val="nil"/>
                    <w:tr2bl w:val="nil"/>
                  </w:tcBorders>
                  <w:shd w:val="clear" w:color="auto" w:fill="auto"/>
                  <w:vAlign w:val="center"/>
                </w:tcPr>
                <w:p w14:paraId="4ECDB18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收集到的金属粉尘</w:t>
                  </w:r>
                </w:p>
              </w:tc>
              <w:tc>
                <w:tcPr>
                  <w:tcW w:w="833" w:type="pct"/>
                  <w:vMerge w:val="continue"/>
                  <w:tcBorders>
                    <w:tl2br w:val="nil"/>
                    <w:tr2bl w:val="nil"/>
                  </w:tcBorders>
                  <w:shd w:val="clear" w:color="auto" w:fill="auto"/>
                  <w:vAlign w:val="center"/>
                </w:tcPr>
                <w:p w14:paraId="41384CBF">
                  <w:pPr>
                    <w:jc w:val="center"/>
                    <w:rPr>
                      <w:rFonts w:hint="default" w:ascii="Times New Roman" w:hAnsi="Times New Roman" w:eastAsia="宋体" w:cs="Times New Roman"/>
                      <w:i w:val="0"/>
                      <w:iCs w:val="0"/>
                      <w:color w:val="auto"/>
                      <w:sz w:val="21"/>
                      <w:szCs w:val="21"/>
                      <w:u w:val="none" w:color="auto"/>
                    </w:rPr>
                  </w:pPr>
                </w:p>
              </w:tc>
            </w:tr>
            <w:tr w14:paraId="4CBDCF7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trPr>
              <w:tc>
                <w:tcPr>
                  <w:tcW w:w="832" w:type="pct"/>
                  <w:vMerge w:val="continue"/>
                  <w:tcBorders>
                    <w:tl2br w:val="nil"/>
                    <w:tr2bl w:val="nil"/>
                  </w:tcBorders>
                  <w:shd w:val="clear" w:color="auto" w:fill="auto"/>
                  <w:vAlign w:val="center"/>
                </w:tcPr>
                <w:p w14:paraId="5FAB2B00">
                  <w:pPr>
                    <w:jc w:val="center"/>
                    <w:rPr>
                      <w:rFonts w:hint="default" w:ascii="Times New Roman" w:hAnsi="Times New Roman" w:eastAsia="宋体" w:cs="Times New Roman"/>
                      <w:i w:val="0"/>
                      <w:iCs w:val="0"/>
                      <w:color w:val="auto"/>
                      <w:sz w:val="21"/>
                      <w:szCs w:val="21"/>
                      <w:u w:val="none" w:color="auto"/>
                    </w:rPr>
                  </w:pPr>
                </w:p>
              </w:tc>
              <w:tc>
                <w:tcPr>
                  <w:tcW w:w="832" w:type="pct"/>
                  <w:vMerge w:val="continue"/>
                  <w:tcBorders>
                    <w:tl2br w:val="nil"/>
                    <w:tr2bl w:val="nil"/>
                  </w:tcBorders>
                  <w:shd w:val="clear" w:color="auto" w:fill="auto"/>
                  <w:vAlign w:val="center"/>
                </w:tcPr>
                <w:p w14:paraId="7A8BF8A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p>
              </w:tc>
              <w:tc>
                <w:tcPr>
                  <w:tcW w:w="833" w:type="pct"/>
                  <w:tcBorders>
                    <w:tl2br w:val="nil"/>
                    <w:tr2bl w:val="nil"/>
                  </w:tcBorders>
                  <w:shd w:val="clear" w:color="auto" w:fill="auto"/>
                  <w:vAlign w:val="center"/>
                </w:tcPr>
                <w:p w14:paraId="7104F67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S6</w:t>
                  </w:r>
                </w:p>
              </w:tc>
              <w:tc>
                <w:tcPr>
                  <w:tcW w:w="833" w:type="pct"/>
                  <w:tcBorders>
                    <w:tl2br w:val="nil"/>
                    <w:tr2bl w:val="nil"/>
                  </w:tcBorders>
                  <w:shd w:val="clear" w:color="auto" w:fill="auto"/>
                  <w:vAlign w:val="center"/>
                </w:tcPr>
                <w:p w14:paraId="5997866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去毛刺（人工补充打磨）</w:t>
                  </w:r>
                </w:p>
              </w:tc>
              <w:tc>
                <w:tcPr>
                  <w:tcW w:w="833" w:type="pct"/>
                  <w:tcBorders>
                    <w:tl2br w:val="nil"/>
                    <w:tr2bl w:val="nil"/>
                  </w:tcBorders>
                  <w:shd w:val="clear" w:color="auto" w:fill="auto"/>
                  <w:vAlign w:val="center"/>
                </w:tcPr>
                <w:p w14:paraId="23C23C4B">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u w:val="none" w:color="auto"/>
                      <w:lang w:val="en-US" w:eastAsia="zh-CN" w:bidi="ar-SA"/>
                    </w:rPr>
                  </w:pPr>
                  <w:r>
                    <w:rPr>
                      <w:rFonts w:hint="default" w:ascii="Times New Roman" w:hAnsi="Times New Roman" w:eastAsia="宋体" w:cs="Times New Roman"/>
                      <w:i w:val="0"/>
                      <w:iCs w:val="0"/>
                      <w:color w:val="auto"/>
                      <w:kern w:val="0"/>
                      <w:sz w:val="21"/>
                      <w:szCs w:val="21"/>
                      <w:u w:val="none" w:color="auto"/>
                      <w:lang w:val="en-US" w:eastAsia="zh-CN" w:bidi="ar"/>
                    </w:rPr>
                    <w:t>收集到的金属粉尘</w:t>
                  </w:r>
                </w:p>
              </w:tc>
              <w:tc>
                <w:tcPr>
                  <w:tcW w:w="833" w:type="pct"/>
                  <w:vMerge w:val="continue"/>
                  <w:tcBorders>
                    <w:tl2br w:val="nil"/>
                    <w:tr2bl w:val="nil"/>
                  </w:tcBorders>
                  <w:shd w:val="clear" w:color="auto" w:fill="auto"/>
                  <w:vAlign w:val="center"/>
                </w:tcPr>
                <w:p w14:paraId="02507F1F">
                  <w:pPr>
                    <w:jc w:val="center"/>
                    <w:rPr>
                      <w:rFonts w:hint="default" w:ascii="Times New Roman" w:hAnsi="Times New Roman" w:eastAsia="宋体" w:cs="Times New Roman"/>
                      <w:i w:val="0"/>
                      <w:iCs w:val="0"/>
                      <w:color w:val="auto"/>
                      <w:sz w:val="21"/>
                      <w:szCs w:val="21"/>
                      <w:u w:val="none" w:color="auto"/>
                    </w:rPr>
                  </w:pPr>
                </w:p>
              </w:tc>
            </w:tr>
            <w:tr w14:paraId="09CFBCB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trPr>
              <w:tc>
                <w:tcPr>
                  <w:tcW w:w="832" w:type="pct"/>
                  <w:vMerge w:val="continue"/>
                  <w:tcBorders>
                    <w:tl2br w:val="nil"/>
                    <w:tr2bl w:val="nil"/>
                  </w:tcBorders>
                  <w:shd w:val="clear" w:color="auto" w:fill="auto"/>
                  <w:vAlign w:val="center"/>
                </w:tcPr>
                <w:p w14:paraId="053CF873">
                  <w:pPr>
                    <w:jc w:val="center"/>
                    <w:rPr>
                      <w:rFonts w:hint="default" w:ascii="Times New Roman" w:hAnsi="Times New Roman" w:eastAsia="宋体" w:cs="Times New Roman"/>
                      <w:i w:val="0"/>
                      <w:iCs w:val="0"/>
                      <w:color w:val="auto"/>
                      <w:sz w:val="21"/>
                      <w:szCs w:val="21"/>
                      <w:u w:val="none" w:color="auto"/>
                    </w:rPr>
                  </w:pPr>
                </w:p>
              </w:tc>
              <w:tc>
                <w:tcPr>
                  <w:tcW w:w="832" w:type="pct"/>
                  <w:vMerge w:val="continue"/>
                  <w:tcBorders>
                    <w:tl2br w:val="nil"/>
                    <w:tr2bl w:val="nil"/>
                  </w:tcBorders>
                  <w:shd w:val="clear" w:color="auto" w:fill="auto"/>
                  <w:vAlign w:val="center"/>
                </w:tcPr>
                <w:p w14:paraId="2158194C">
                  <w:pPr>
                    <w:jc w:val="center"/>
                    <w:rPr>
                      <w:rFonts w:hint="default" w:ascii="Times New Roman" w:hAnsi="Times New Roman" w:eastAsia="宋体" w:cs="Times New Roman"/>
                      <w:i w:val="0"/>
                      <w:iCs w:val="0"/>
                      <w:color w:val="auto"/>
                      <w:sz w:val="21"/>
                      <w:szCs w:val="21"/>
                      <w:u w:val="none" w:color="auto"/>
                    </w:rPr>
                  </w:pPr>
                </w:p>
              </w:tc>
              <w:tc>
                <w:tcPr>
                  <w:tcW w:w="833" w:type="pct"/>
                  <w:tcBorders>
                    <w:tl2br w:val="nil"/>
                    <w:tr2bl w:val="nil"/>
                  </w:tcBorders>
                  <w:shd w:val="clear" w:color="auto" w:fill="auto"/>
                  <w:vAlign w:val="center"/>
                </w:tcPr>
                <w:p w14:paraId="0820535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S7</w:t>
                  </w:r>
                </w:p>
              </w:tc>
              <w:tc>
                <w:tcPr>
                  <w:tcW w:w="833" w:type="pct"/>
                  <w:vMerge w:val="restart"/>
                  <w:tcBorders>
                    <w:tl2br w:val="nil"/>
                    <w:tr2bl w:val="nil"/>
                  </w:tcBorders>
                  <w:shd w:val="clear" w:color="auto" w:fill="auto"/>
                  <w:vAlign w:val="center"/>
                </w:tcPr>
                <w:p w14:paraId="6484F75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CNC粗/精加工</w:t>
                  </w:r>
                </w:p>
              </w:tc>
              <w:tc>
                <w:tcPr>
                  <w:tcW w:w="833" w:type="pct"/>
                  <w:tcBorders>
                    <w:tl2br w:val="nil"/>
                    <w:tr2bl w:val="nil"/>
                  </w:tcBorders>
                  <w:shd w:val="clear" w:color="auto" w:fill="auto"/>
                  <w:vAlign w:val="center"/>
                </w:tcPr>
                <w:p w14:paraId="51BCB6D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带切削液金属碎屑</w:t>
                  </w:r>
                </w:p>
              </w:tc>
              <w:tc>
                <w:tcPr>
                  <w:tcW w:w="833" w:type="pct"/>
                  <w:vMerge w:val="restart"/>
                  <w:tcBorders>
                    <w:tl2br w:val="nil"/>
                    <w:tr2bl w:val="nil"/>
                  </w:tcBorders>
                  <w:shd w:val="clear" w:color="auto" w:fill="auto"/>
                  <w:vAlign w:val="center"/>
                </w:tcPr>
                <w:p w14:paraId="08E2C88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经危废暂存间暂存后交由危废资质单位无害化处理</w:t>
                  </w:r>
                </w:p>
              </w:tc>
            </w:tr>
            <w:tr w14:paraId="6FFB25F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trPr>
              <w:tc>
                <w:tcPr>
                  <w:tcW w:w="832" w:type="pct"/>
                  <w:vMerge w:val="continue"/>
                  <w:tcBorders>
                    <w:tl2br w:val="nil"/>
                    <w:tr2bl w:val="nil"/>
                  </w:tcBorders>
                  <w:shd w:val="clear" w:color="auto" w:fill="auto"/>
                  <w:vAlign w:val="center"/>
                </w:tcPr>
                <w:p w14:paraId="2C97C91A">
                  <w:pPr>
                    <w:jc w:val="center"/>
                    <w:rPr>
                      <w:rFonts w:hint="default" w:ascii="Times New Roman" w:hAnsi="Times New Roman" w:eastAsia="宋体" w:cs="Times New Roman"/>
                      <w:i w:val="0"/>
                      <w:iCs w:val="0"/>
                      <w:color w:val="auto"/>
                      <w:sz w:val="21"/>
                      <w:szCs w:val="21"/>
                      <w:u w:val="none" w:color="auto"/>
                    </w:rPr>
                  </w:pPr>
                </w:p>
              </w:tc>
              <w:tc>
                <w:tcPr>
                  <w:tcW w:w="832" w:type="pct"/>
                  <w:vMerge w:val="continue"/>
                  <w:tcBorders>
                    <w:tl2br w:val="nil"/>
                    <w:tr2bl w:val="nil"/>
                  </w:tcBorders>
                  <w:shd w:val="clear" w:color="auto" w:fill="auto"/>
                  <w:vAlign w:val="center"/>
                </w:tcPr>
                <w:p w14:paraId="39A08BA6">
                  <w:pPr>
                    <w:jc w:val="center"/>
                    <w:rPr>
                      <w:rFonts w:hint="default" w:ascii="Times New Roman" w:hAnsi="Times New Roman" w:eastAsia="宋体" w:cs="Times New Roman"/>
                      <w:i w:val="0"/>
                      <w:iCs w:val="0"/>
                      <w:color w:val="auto"/>
                      <w:sz w:val="21"/>
                      <w:szCs w:val="21"/>
                      <w:u w:val="none" w:color="auto"/>
                    </w:rPr>
                  </w:pPr>
                </w:p>
              </w:tc>
              <w:tc>
                <w:tcPr>
                  <w:tcW w:w="833" w:type="pct"/>
                  <w:tcBorders>
                    <w:tl2br w:val="nil"/>
                    <w:tr2bl w:val="nil"/>
                  </w:tcBorders>
                  <w:shd w:val="clear" w:color="auto" w:fill="auto"/>
                  <w:vAlign w:val="center"/>
                </w:tcPr>
                <w:p w14:paraId="2DC0CC9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S8</w:t>
                  </w:r>
                </w:p>
              </w:tc>
              <w:tc>
                <w:tcPr>
                  <w:tcW w:w="833" w:type="pct"/>
                  <w:vMerge w:val="continue"/>
                  <w:tcBorders>
                    <w:tl2br w:val="nil"/>
                    <w:tr2bl w:val="nil"/>
                  </w:tcBorders>
                  <w:shd w:val="clear" w:color="auto" w:fill="auto"/>
                  <w:vAlign w:val="center"/>
                </w:tcPr>
                <w:p w14:paraId="5194EDC4">
                  <w:pPr>
                    <w:jc w:val="center"/>
                    <w:rPr>
                      <w:rFonts w:hint="default" w:ascii="Times New Roman" w:hAnsi="Times New Roman" w:eastAsia="宋体" w:cs="Times New Roman"/>
                      <w:i w:val="0"/>
                      <w:iCs w:val="0"/>
                      <w:color w:val="auto"/>
                      <w:sz w:val="21"/>
                      <w:szCs w:val="21"/>
                      <w:u w:val="none" w:color="auto"/>
                    </w:rPr>
                  </w:pPr>
                </w:p>
              </w:tc>
              <w:tc>
                <w:tcPr>
                  <w:tcW w:w="833" w:type="pct"/>
                  <w:tcBorders>
                    <w:tl2br w:val="nil"/>
                    <w:tr2bl w:val="nil"/>
                  </w:tcBorders>
                  <w:shd w:val="clear" w:color="auto" w:fill="auto"/>
                  <w:vAlign w:val="center"/>
                </w:tcPr>
                <w:p w14:paraId="27EBE4C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废切削液过滤棉</w:t>
                  </w:r>
                </w:p>
              </w:tc>
              <w:tc>
                <w:tcPr>
                  <w:tcW w:w="833" w:type="pct"/>
                  <w:vMerge w:val="continue"/>
                  <w:tcBorders>
                    <w:tl2br w:val="nil"/>
                    <w:tr2bl w:val="nil"/>
                  </w:tcBorders>
                  <w:shd w:val="clear" w:color="auto" w:fill="auto"/>
                  <w:vAlign w:val="center"/>
                </w:tcPr>
                <w:p w14:paraId="652AC74B">
                  <w:pPr>
                    <w:jc w:val="center"/>
                    <w:rPr>
                      <w:rFonts w:hint="default" w:ascii="Times New Roman" w:hAnsi="Times New Roman" w:eastAsia="宋体" w:cs="Times New Roman"/>
                      <w:i w:val="0"/>
                      <w:iCs w:val="0"/>
                      <w:color w:val="auto"/>
                      <w:sz w:val="21"/>
                      <w:szCs w:val="21"/>
                      <w:u w:val="none" w:color="auto"/>
                    </w:rPr>
                  </w:pPr>
                </w:p>
              </w:tc>
            </w:tr>
            <w:tr w14:paraId="5672E99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trPr>
              <w:tc>
                <w:tcPr>
                  <w:tcW w:w="832" w:type="pct"/>
                  <w:vMerge w:val="continue"/>
                  <w:tcBorders>
                    <w:tl2br w:val="nil"/>
                    <w:tr2bl w:val="nil"/>
                  </w:tcBorders>
                  <w:shd w:val="clear" w:color="auto" w:fill="auto"/>
                  <w:vAlign w:val="center"/>
                </w:tcPr>
                <w:p w14:paraId="6D5534FC">
                  <w:pPr>
                    <w:jc w:val="center"/>
                    <w:rPr>
                      <w:rFonts w:hint="default" w:ascii="Times New Roman" w:hAnsi="Times New Roman" w:eastAsia="宋体" w:cs="Times New Roman"/>
                      <w:i w:val="0"/>
                      <w:iCs w:val="0"/>
                      <w:color w:val="auto"/>
                      <w:sz w:val="21"/>
                      <w:szCs w:val="21"/>
                      <w:u w:val="none" w:color="auto"/>
                    </w:rPr>
                  </w:pPr>
                </w:p>
              </w:tc>
              <w:tc>
                <w:tcPr>
                  <w:tcW w:w="832" w:type="pct"/>
                  <w:vMerge w:val="continue"/>
                  <w:tcBorders>
                    <w:tl2br w:val="nil"/>
                    <w:tr2bl w:val="nil"/>
                  </w:tcBorders>
                  <w:shd w:val="clear" w:color="auto" w:fill="auto"/>
                  <w:vAlign w:val="center"/>
                </w:tcPr>
                <w:p w14:paraId="26299EE9">
                  <w:pPr>
                    <w:jc w:val="center"/>
                    <w:rPr>
                      <w:rFonts w:hint="default" w:ascii="Times New Roman" w:hAnsi="Times New Roman" w:eastAsia="宋体" w:cs="Times New Roman"/>
                      <w:i w:val="0"/>
                      <w:iCs w:val="0"/>
                      <w:color w:val="auto"/>
                      <w:sz w:val="21"/>
                      <w:szCs w:val="21"/>
                      <w:u w:val="none" w:color="auto"/>
                    </w:rPr>
                  </w:pPr>
                </w:p>
              </w:tc>
              <w:tc>
                <w:tcPr>
                  <w:tcW w:w="833" w:type="pct"/>
                  <w:tcBorders>
                    <w:tl2br w:val="nil"/>
                    <w:tr2bl w:val="nil"/>
                  </w:tcBorders>
                  <w:shd w:val="clear" w:color="auto" w:fill="auto"/>
                  <w:vAlign w:val="center"/>
                </w:tcPr>
                <w:p w14:paraId="403A881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S9</w:t>
                  </w:r>
                </w:p>
              </w:tc>
              <w:tc>
                <w:tcPr>
                  <w:tcW w:w="833" w:type="pct"/>
                  <w:tcBorders>
                    <w:tl2br w:val="nil"/>
                    <w:tr2bl w:val="nil"/>
                  </w:tcBorders>
                  <w:shd w:val="clear" w:color="auto" w:fill="auto"/>
                  <w:vAlign w:val="center"/>
                </w:tcPr>
                <w:p w14:paraId="4197E7C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高压清洗</w:t>
                  </w:r>
                </w:p>
              </w:tc>
              <w:tc>
                <w:tcPr>
                  <w:tcW w:w="833" w:type="pct"/>
                  <w:tcBorders>
                    <w:tl2br w:val="nil"/>
                    <w:tr2bl w:val="nil"/>
                  </w:tcBorders>
                  <w:shd w:val="clear" w:color="auto" w:fill="auto"/>
                  <w:vAlign w:val="center"/>
                </w:tcPr>
                <w:p w14:paraId="0FC9BAC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过滤金属碎屑</w:t>
                  </w:r>
                </w:p>
              </w:tc>
              <w:tc>
                <w:tcPr>
                  <w:tcW w:w="833" w:type="pct"/>
                  <w:tcBorders>
                    <w:tl2br w:val="nil"/>
                    <w:tr2bl w:val="nil"/>
                  </w:tcBorders>
                  <w:shd w:val="clear" w:color="auto" w:fill="auto"/>
                  <w:vAlign w:val="center"/>
                </w:tcPr>
                <w:p w14:paraId="60E94EC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外售综合利用</w:t>
                  </w:r>
                </w:p>
              </w:tc>
            </w:tr>
            <w:tr w14:paraId="786FA2F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trPr>
              <w:tc>
                <w:tcPr>
                  <w:tcW w:w="832" w:type="pct"/>
                  <w:vMerge w:val="continue"/>
                  <w:tcBorders>
                    <w:tl2br w:val="nil"/>
                    <w:tr2bl w:val="nil"/>
                  </w:tcBorders>
                  <w:shd w:val="clear" w:color="auto" w:fill="auto"/>
                  <w:vAlign w:val="center"/>
                </w:tcPr>
                <w:p w14:paraId="7D065290">
                  <w:pPr>
                    <w:jc w:val="center"/>
                    <w:rPr>
                      <w:rFonts w:hint="default" w:ascii="Times New Roman" w:hAnsi="Times New Roman" w:eastAsia="宋体" w:cs="Times New Roman"/>
                      <w:i w:val="0"/>
                      <w:iCs w:val="0"/>
                      <w:color w:val="auto"/>
                      <w:sz w:val="21"/>
                      <w:szCs w:val="21"/>
                      <w:u w:val="none" w:color="auto"/>
                    </w:rPr>
                  </w:pPr>
                </w:p>
              </w:tc>
              <w:tc>
                <w:tcPr>
                  <w:tcW w:w="832" w:type="pct"/>
                  <w:vMerge w:val="continue"/>
                  <w:tcBorders>
                    <w:tl2br w:val="nil"/>
                    <w:tr2bl w:val="nil"/>
                  </w:tcBorders>
                  <w:shd w:val="clear" w:color="auto" w:fill="auto"/>
                  <w:vAlign w:val="center"/>
                </w:tcPr>
                <w:p w14:paraId="4311E2C1">
                  <w:pPr>
                    <w:jc w:val="center"/>
                    <w:rPr>
                      <w:rFonts w:hint="default" w:ascii="Times New Roman" w:hAnsi="Times New Roman" w:eastAsia="宋体" w:cs="Times New Roman"/>
                      <w:i w:val="0"/>
                      <w:iCs w:val="0"/>
                      <w:color w:val="auto"/>
                      <w:sz w:val="21"/>
                      <w:szCs w:val="21"/>
                      <w:u w:val="none" w:color="auto"/>
                    </w:rPr>
                  </w:pPr>
                </w:p>
              </w:tc>
              <w:tc>
                <w:tcPr>
                  <w:tcW w:w="833" w:type="pct"/>
                  <w:tcBorders>
                    <w:tl2br w:val="nil"/>
                    <w:tr2bl w:val="nil"/>
                  </w:tcBorders>
                  <w:shd w:val="clear" w:color="auto" w:fill="auto"/>
                  <w:vAlign w:val="center"/>
                </w:tcPr>
                <w:p w14:paraId="3E67AF6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S10</w:t>
                  </w:r>
                </w:p>
              </w:tc>
              <w:tc>
                <w:tcPr>
                  <w:tcW w:w="833" w:type="pct"/>
                  <w:tcBorders>
                    <w:tl2br w:val="nil"/>
                    <w:tr2bl w:val="nil"/>
                  </w:tcBorders>
                  <w:shd w:val="clear" w:color="auto" w:fill="auto"/>
                  <w:vAlign w:val="center"/>
                </w:tcPr>
                <w:p w14:paraId="2576B89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测试</w:t>
                  </w:r>
                </w:p>
              </w:tc>
              <w:tc>
                <w:tcPr>
                  <w:tcW w:w="833" w:type="pct"/>
                  <w:tcBorders>
                    <w:tl2br w:val="nil"/>
                    <w:tr2bl w:val="nil"/>
                  </w:tcBorders>
                  <w:shd w:val="clear" w:color="auto" w:fill="auto"/>
                  <w:vAlign w:val="center"/>
                </w:tcPr>
                <w:p w14:paraId="64080F2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报废产品</w:t>
                  </w:r>
                </w:p>
              </w:tc>
              <w:tc>
                <w:tcPr>
                  <w:tcW w:w="833" w:type="pct"/>
                  <w:tcBorders>
                    <w:tl2br w:val="nil"/>
                    <w:tr2bl w:val="nil"/>
                  </w:tcBorders>
                  <w:shd w:val="clear" w:color="auto" w:fill="auto"/>
                  <w:vAlign w:val="center"/>
                </w:tcPr>
                <w:p w14:paraId="06BF4A0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外售综合利用</w:t>
                  </w:r>
                </w:p>
              </w:tc>
            </w:tr>
            <w:tr w14:paraId="6C2C4BC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trPr>
              <w:tc>
                <w:tcPr>
                  <w:tcW w:w="832" w:type="pct"/>
                  <w:vMerge w:val="continue"/>
                  <w:tcBorders>
                    <w:tl2br w:val="nil"/>
                    <w:tr2bl w:val="nil"/>
                  </w:tcBorders>
                  <w:shd w:val="clear" w:color="auto" w:fill="auto"/>
                  <w:vAlign w:val="center"/>
                </w:tcPr>
                <w:p w14:paraId="4D1862F1">
                  <w:pPr>
                    <w:jc w:val="center"/>
                    <w:rPr>
                      <w:rFonts w:hint="default" w:ascii="Times New Roman" w:hAnsi="Times New Roman" w:eastAsia="宋体" w:cs="Times New Roman"/>
                      <w:i w:val="0"/>
                      <w:iCs w:val="0"/>
                      <w:color w:val="auto"/>
                      <w:sz w:val="21"/>
                      <w:szCs w:val="21"/>
                      <w:u w:val="none" w:color="auto"/>
                    </w:rPr>
                  </w:pPr>
                </w:p>
              </w:tc>
              <w:tc>
                <w:tcPr>
                  <w:tcW w:w="832" w:type="pct"/>
                  <w:vMerge w:val="continue"/>
                  <w:tcBorders>
                    <w:tl2br w:val="nil"/>
                    <w:tr2bl w:val="nil"/>
                  </w:tcBorders>
                  <w:shd w:val="clear" w:color="auto" w:fill="auto"/>
                  <w:vAlign w:val="center"/>
                </w:tcPr>
                <w:p w14:paraId="1D064F89">
                  <w:pPr>
                    <w:jc w:val="center"/>
                    <w:rPr>
                      <w:rFonts w:hint="default" w:ascii="Times New Roman" w:hAnsi="Times New Roman" w:eastAsia="宋体" w:cs="Times New Roman"/>
                      <w:i w:val="0"/>
                      <w:iCs w:val="0"/>
                      <w:color w:val="auto"/>
                      <w:sz w:val="21"/>
                      <w:szCs w:val="21"/>
                      <w:u w:val="none" w:color="auto"/>
                    </w:rPr>
                  </w:pPr>
                </w:p>
              </w:tc>
              <w:tc>
                <w:tcPr>
                  <w:tcW w:w="833" w:type="pct"/>
                  <w:tcBorders>
                    <w:tl2br w:val="nil"/>
                    <w:tr2bl w:val="nil"/>
                  </w:tcBorders>
                  <w:shd w:val="clear" w:color="auto" w:fill="auto"/>
                  <w:vAlign w:val="center"/>
                </w:tcPr>
                <w:p w14:paraId="04A2CE2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S11</w:t>
                  </w:r>
                </w:p>
              </w:tc>
              <w:tc>
                <w:tcPr>
                  <w:tcW w:w="833" w:type="pct"/>
                  <w:vMerge w:val="restart"/>
                  <w:tcBorders>
                    <w:tl2br w:val="nil"/>
                    <w:tr2bl w:val="nil"/>
                  </w:tcBorders>
                  <w:shd w:val="clear" w:color="auto" w:fill="auto"/>
                  <w:vAlign w:val="center"/>
                </w:tcPr>
                <w:p w14:paraId="6F486A1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浸渗处理</w:t>
                  </w:r>
                </w:p>
              </w:tc>
              <w:tc>
                <w:tcPr>
                  <w:tcW w:w="833" w:type="pct"/>
                  <w:tcBorders>
                    <w:tl2br w:val="nil"/>
                    <w:tr2bl w:val="nil"/>
                  </w:tcBorders>
                  <w:shd w:val="clear" w:color="auto" w:fill="auto"/>
                  <w:vAlign w:val="center"/>
                </w:tcPr>
                <w:p w14:paraId="359D936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甩胶离心沉积物</w:t>
                  </w:r>
                </w:p>
              </w:tc>
              <w:tc>
                <w:tcPr>
                  <w:tcW w:w="833" w:type="pct"/>
                  <w:vMerge w:val="restart"/>
                  <w:tcBorders>
                    <w:tl2br w:val="nil"/>
                    <w:tr2bl w:val="nil"/>
                  </w:tcBorders>
                  <w:shd w:val="clear" w:color="auto" w:fill="auto"/>
                  <w:vAlign w:val="center"/>
                </w:tcPr>
                <w:p w14:paraId="4DB1407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经危废暂存间暂存后交由危废资质单位无害化处理</w:t>
                  </w:r>
                </w:p>
              </w:tc>
            </w:tr>
            <w:tr w14:paraId="2078096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832" w:type="pct"/>
                  <w:vMerge w:val="continue"/>
                  <w:tcBorders>
                    <w:tl2br w:val="nil"/>
                    <w:tr2bl w:val="nil"/>
                  </w:tcBorders>
                  <w:shd w:val="clear" w:color="auto" w:fill="auto"/>
                  <w:vAlign w:val="center"/>
                </w:tcPr>
                <w:p w14:paraId="4E7F2950">
                  <w:pPr>
                    <w:jc w:val="center"/>
                    <w:rPr>
                      <w:rFonts w:hint="default" w:ascii="Times New Roman" w:hAnsi="Times New Roman" w:eastAsia="宋体" w:cs="Times New Roman"/>
                      <w:i w:val="0"/>
                      <w:iCs w:val="0"/>
                      <w:color w:val="auto"/>
                      <w:sz w:val="21"/>
                      <w:szCs w:val="21"/>
                      <w:u w:val="none" w:color="auto"/>
                    </w:rPr>
                  </w:pPr>
                </w:p>
              </w:tc>
              <w:tc>
                <w:tcPr>
                  <w:tcW w:w="832" w:type="pct"/>
                  <w:vMerge w:val="continue"/>
                  <w:tcBorders>
                    <w:tl2br w:val="nil"/>
                    <w:tr2bl w:val="nil"/>
                  </w:tcBorders>
                  <w:shd w:val="clear" w:color="auto" w:fill="auto"/>
                  <w:vAlign w:val="center"/>
                </w:tcPr>
                <w:p w14:paraId="271665E1">
                  <w:pPr>
                    <w:jc w:val="center"/>
                    <w:rPr>
                      <w:rFonts w:hint="default" w:ascii="Times New Roman" w:hAnsi="Times New Roman" w:eastAsia="宋体" w:cs="Times New Roman"/>
                      <w:i w:val="0"/>
                      <w:iCs w:val="0"/>
                      <w:color w:val="auto"/>
                      <w:sz w:val="21"/>
                      <w:szCs w:val="21"/>
                      <w:u w:val="none" w:color="auto"/>
                    </w:rPr>
                  </w:pPr>
                </w:p>
              </w:tc>
              <w:tc>
                <w:tcPr>
                  <w:tcW w:w="833" w:type="pct"/>
                  <w:tcBorders>
                    <w:tl2br w:val="nil"/>
                    <w:tr2bl w:val="nil"/>
                  </w:tcBorders>
                  <w:shd w:val="clear" w:color="auto" w:fill="auto"/>
                  <w:vAlign w:val="center"/>
                </w:tcPr>
                <w:p w14:paraId="4367EA2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S12</w:t>
                  </w:r>
                </w:p>
              </w:tc>
              <w:tc>
                <w:tcPr>
                  <w:tcW w:w="833" w:type="pct"/>
                  <w:vMerge w:val="continue"/>
                  <w:tcBorders>
                    <w:tl2br w:val="nil"/>
                    <w:tr2bl w:val="nil"/>
                  </w:tcBorders>
                  <w:shd w:val="clear" w:color="auto" w:fill="auto"/>
                  <w:vAlign w:val="center"/>
                </w:tcPr>
                <w:p w14:paraId="0BE95805">
                  <w:pPr>
                    <w:jc w:val="center"/>
                    <w:rPr>
                      <w:rFonts w:hint="default" w:ascii="Times New Roman" w:hAnsi="Times New Roman" w:eastAsia="宋体" w:cs="Times New Roman"/>
                      <w:i w:val="0"/>
                      <w:iCs w:val="0"/>
                      <w:color w:val="auto"/>
                      <w:sz w:val="21"/>
                      <w:szCs w:val="21"/>
                      <w:u w:val="none" w:color="auto"/>
                    </w:rPr>
                  </w:pPr>
                </w:p>
              </w:tc>
              <w:tc>
                <w:tcPr>
                  <w:tcW w:w="833" w:type="pct"/>
                  <w:tcBorders>
                    <w:tl2br w:val="nil"/>
                    <w:tr2bl w:val="nil"/>
                  </w:tcBorders>
                  <w:shd w:val="clear" w:color="auto" w:fill="auto"/>
                  <w:vAlign w:val="center"/>
                </w:tcPr>
                <w:p w14:paraId="6D745A9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喷淋清洗罐沉淀污泥</w:t>
                  </w:r>
                </w:p>
              </w:tc>
              <w:tc>
                <w:tcPr>
                  <w:tcW w:w="833" w:type="pct"/>
                  <w:vMerge w:val="continue"/>
                  <w:tcBorders>
                    <w:tl2br w:val="nil"/>
                    <w:tr2bl w:val="nil"/>
                  </w:tcBorders>
                  <w:shd w:val="clear" w:color="auto" w:fill="auto"/>
                  <w:vAlign w:val="center"/>
                </w:tcPr>
                <w:p w14:paraId="243B5C05">
                  <w:pPr>
                    <w:jc w:val="center"/>
                    <w:rPr>
                      <w:rFonts w:hint="default" w:ascii="Times New Roman" w:hAnsi="Times New Roman" w:eastAsia="宋体" w:cs="Times New Roman"/>
                      <w:i w:val="0"/>
                      <w:iCs w:val="0"/>
                      <w:color w:val="auto"/>
                      <w:sz w:val="21"/>
                      <w:szCs w:val="21"/>
                      <w:u w:val="none" w:color="auto"/>
                    </w:rPr>
                  </w:pPr>
                </w:p>
              </w:tc>
            </w:tr>
            <w:tr w14:paraId="71F89CC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trPr>
              <w:tc>
                <w:tcPr>
                  <w:tcW w:w="832" w:type="pct"/>
                  <w:vMerge w:val="continue"/>
                  <w:tcBorders>
                    <w:tl2br w:val="nil"/>
                    <w:tr2bl w:val="nil"/>
                  </w:tcBorders>
                  <w:shd w:val="clear" w:color="auto" w:fill="auto"/>
                  <w:vAlign w:val="center"/>
                </w:tcPr>
                <w:p w14:paraId="1CB943A3">
                  <w:pPr>
                    <w:jc w:val="center"/>
                    <w:rPr>
                      <w:rFonts w:hint="default" w:ascii="Times New Roman" w:hAnsi="Times New Roman" w:eastAsia="宋体" w:cs="Times New Roman"/>
                      <w:i w:val="0"/>
                      <w:iCs w:val="0"/>
                      <w:color w:val="auto"/>
                      <w:sz w:val="21"/>
                      <w:szCs w:val="21"/>
                      <w:u w:val="none" w:color="auto"/>
                    </w:rPr>
                  </w:pPr>
                </w:p>
              </w:tc>
              <w:tc>
                <w:tcPr>
                  <w:tcW w:w="832" w:type="pct"/>
                  <w:vMerge w:val="continue"/>
                  <w:tcBorders>
                    <w:tl2br w:val="nil"/>
                    <w:tr2bl w:val="nil"/>
                  </w:tcBorders>
                  <w:shd w:val="clear" w:color="auto" w:fill="auto"/>
                  <w:vAlign w:val="center"/>
                </w:tcPr>
                <w:p w14:paraId="08AA2325">
                  <w:pPr>
                    <w:jc w:val="center"/>
                    <w:rPr>
                      <w:rFonts w:hint="default" w:ascii="Times New Roman" w:hAnsi="Times New Roman" w:eastAsia="宋体" w:cs="Times New Roman"/>
                      <w:i w:val="0"/>
                      <w:iCs w:val="0"/>
                      <w:color w:val="auto"/>
                      <w:sz w:val="21"/>
                      <w:szCs w:val="21"/>
                      <w:u w:val="none" w:color="auto"/>
                    </w:rPr>
                  </w:pPr>
                </w:p>
              </w:tc>
              <w:tc>
                <w:tcPr>
                  <w:tcW w:w="833" w:type="pct"/>
                  <w:tcBorders>
                    <w:tl2br w:val="nil"/>
                    <w:tr2bl w:val="nil"/>
                  </w:tcBorders>
                  <w:shd w:val="clear" w:color="auto" w:fill="auto"/>
                  <w:vAlign w:val="center"/>
                </w:tcPr>
                <w:p w14:paraId="79B2FCD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S13</w:t>
                  </w:r>
                </w:p>
              </w:tc>
              <w:tc>
                <w:tcPr>
                  <w:tcW w:w="833" w:type="pct"/>
                  <w:vMerge w:val="continue"/>
                  <w:tcBorders>
                    <w:tl2br w:val="nil"/>
                    <w:tr2bl w:val="nil"/>
                  </w:tcBorders>
                  <w:shd w:val="clear" w:color="auto" w:fill="auto"/>
                  <w:vAlign w:val="center"/>
                </w:tcPr>
                <w:p w14:paraId="66A99026">
                  <w:pPr>
                    <w:jc w:val="center"/>
                    <w:rPr>
                      <w:rFonts w:hint="default" w:ascii="Times New Roman" w:hAnsi="Times New Roman" w:eastAsia="宋体" w:cs="Times New Roman"/>
                      <w:i w:val="0"/>
                      <w:iCs w:val="0"/>
                      <w:color w:val="auto"/>
                      <w:sz w:val="21"/>
                      <w:szCs w:val="21"/>
                      <w:u w:val="none" w:color="auto"/>
                    </w:rPr>
                  </w:pPr>
                </w:p>
              </w:tc>
              <w:tc>
                <w:tcPr>
                  <w:tcW w:w="833" w:type="pct"/>
                  <w:tcBorders>
                    <w:tl2br w:val="nil"/>
                    <w:tr2bl w:val="nil"/>
                  </w:tcBorders>
                  <w:shd w:val="clear" w:color="auto" w:fill="auto"/>
                  <w:vAlign w:val="center"/>
                </w:tcPr>
                <w:p w14:paraId="287FDE7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热水固化槽沉淀污泥</w:t>
                  </w:r>
                </w:p>
              </w:tc>
              <w:tc>
                <w:tcPr>
                  <w:tcW w:w="833" w:type="pct"/>
                  <w:vMerge w:val="continue"/>
                  <w:tcBorders>
                    <w:tl2br w:val="nil"/>
                    <w:tr2bl w:val="nil"/>
                  </w:tcBorders>
                  <w:shd w:val="clear" w:color="auto" w:fill="auto"/>
                  <w:vAlign w:val="center"/>
                </w:tcPr>
                <w:p w14:paraId="5873117A">
                  <w:pPr>
                    <w:jc w:val="center"/>
                    <w:rPr>
                      <w:rFonts w:hint="default" w:ascii="Times New Roman" w:hAnsi="Times New Roman" w:eastAsia="宋体" w:cs="Times New Roman"/>
                      <w:i w:val="0"/>
                      <w:iCs w:val="0"/>
                      <w:color w:val="auto"/>
                      <w:sz w:val="21"/>
                      <w:szCs w:val="21"/>
                      <w:u w:val="none" w:color="auto"/>
                    </w:rPr>
                  </w:pPr>
                </w:p>
              </w:tc>
            </w:tr>
            <w:tr w14:paraId="05D7A6F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832" w:type="pct"/>
                  <w:vMerge w:val="continue"/>
                  <w:tcBorders>
                    <w:tl2br w:val="nil"/>
                    <w:tr2bl w:val="nil"/>
                  </w:tcBorders>
                  <w:shd w:val="clear" w:color="auto" w:fill="auto"/>
                  <w:vAlign w:val="center"/>
                </w:tcPr>
                <w:p w14:paraId="602F76B7">
                  <w:pPr>
                    <w:jc w:val="center"/>
                    <w:rPr>
                      <w:rFonts w:hint="default" w:ascii="Times New Roman" w:hAnsi="Times New Roman" w:eastAsia="宋体" w:cs="Times New Roman"/>
                      <w:i w:val="0"/>
                      <w:iCs w:val="0"/>
                      <w:color w:val="auto"/>
                      <w:sz w:val="21"/>
                      <w:szCs w:val="21"/>
                      <w:u w:val="none" w:color="auto"/>
                    </w:rPr>
                  </w:pPr>
                </w:p>
              </w:tc>
              <w:tc>
                <w:tcPr>
                  <w:tcW w:w="832" w:type="pct"/>
                  <w:vMerge w:val="continue"/>
                  <w:tcBorders>
                    <w:tl2br w:val="nil"/>
                    <w:tr2bl w:val="nil"/>
                  </w:tcBorders>
                  <w:shd w:val="clear" w:color="auto" w:fill="auto"/>
                  <w:vAlign w:val="center"/>
                </w:tcPr>
                <w:p w14:paraId="2D4F4472">
                  <w:pPr>
                    <w:jc w:val="center"/>
                    <w:rPr>
                      <w:rFonts w:hint="default" w:ascii="Times New Roman" w:hAnsi="Times New Roman" w:eastAsia="宋体" w:cs="Times New Roman"/>
                      <w:i w:val="0"/>
                      <w:iCs w:val="0"/>
                      <w:color w:val="auto"/>
                      <w:sz w:val="21"/>
                      <w:szCs w:val="21"/>
                      <w:u w:val="none" w:color="auto"/>
                    </w:rPr>
                  </w:pPr>
                </w:p>
              </w:tc>
              <w:tc>
                <w:tcPr>
                  <w:tcW w:w="833" w:type="pct"/>
                  <w:tcBorders>
                    <w:tl2br w:val="nil"/>
                    <w:tr2bl w:val="nil"/>
                  </w:tcBorders>
                  <w:shd w:val="clear" w:color="auto" w:fill="auto"/>
                  <w:vAlign w:val="center"/>
                </w:tcPr>
                <w:p w14:paraId="761EA5C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S14</w:t>
                  </w:r>
                </w:p>
              </w:tc>
              <w:tc>
                <w:tcPr>
                  <w:tcW w:w="833" w:type="pct"/>
                  <w:vMerge w:val="continue"/>
                  <w:tcBorders>
                    <w:tl2br w:val="nil"/>
                    <w:tr2bl w:val="nil"/>
                  </w:tcBorders>
                  <w:shd w:val="clear" w:color="auto" w:fill="auto"/>
                  <w:vAlign w:val="center"/>
                </w:tcPr>
                <w:p w14:paraId="21DD7A16">
                  <w:pPr>
                    <w:jc w:val="center"/>
                    <w:rPr>
                      <w:rFonts w:hint="default" w:ascii="Times New Roman" w:hAnsi="Times New Roman" w:eastAsia="宋体" w:cs="Times New Roman"/>
                      <w:i w:val="0"/>
                      <w:iCs w:val="0"/>
                      <w:color w:val="auto"/>
                      <w:sz w:val="21"/>
                      <w:szCs w:val="21"/>
                      <w:u w:val="none" w:color="auto"/>
                    </w:rPr>
                  </w:pPr>
                </w:p>
              </w:tc>
              <w:tc>
                <w:tcPr>
                  <w:tcW w:w="833" w:type="pct"/>
                  <w:tcBorders>
                    <w:tl2br w:val="nil"/>
                    <w:tr2bl w:val="nil"/>
                  </w:tcBorders>
                  <w:shd w:val="clear" w:color="auto" w:fill="auto"/>
                  <w:vAlign w:val="center"/>
                </w:tcPr>
                <w:p w14:paraId="6322565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回水系统过滤渣</w:t>
                  </w:r>
                </w:p>
              </w:tc>
              <w:tc>
                <w:tcPr>
                  <w:tcW w:w="833" w:type="pct"/>
                  <w:vMerge w:val="continue"/>
                  <w:tcBorders>
                    <w:tl2br w:val="nil"/>
                    <w:tr2bl w:val="nil"/>
                  </w:tcBorders>
                  <w:shd w:val="clear" w:color="auto" w:fill="auto"/>
                  <w:vAlign w:val="center"/>
                </w:tcPr>
                <w:p w14:paraId="7FB42FB6">
                  <w:pPr>
                    <w:jc w:val="center"/>
                    <w:rPr>
                      <w:rFonts w:hint="default" w:ascii="Times New Roman" w:hAnsi="Times New Roman" w:eastAsia="宋体" w:cs="Times New Roman"/>
                      <w:i w:val="0"/>
                      <w:iCs w:val="0"/>
                      <w:color w:val="auto"/>
                      <w:sz w:val="21"/>
                      <w:szCs w:val="21"/>
                      <w:u w:val="none" w:color="auto"/>
                    </w:rPr>
                  </w:pPr>
                </w:p>
              </w:tc>
            </w:tr>
            <w:tr w14:paraId="30269D7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trPr>
              <w:tc>
                <w:tcPr>
                  <w:tcW w:w="832" w:type="pct"/>
                  <w:vMerge w:val="restart"/>
                  <w:tcBorders>
                    <w:tl2br w:val="nil"/>
                    <w:tr2bl w:val="nil"/>
                  </w:tcBorders>
                  <w:shd w:val="clear" w:color="auto" w:fill="auto"/>
                  <w:vAlign w:val="center"/>
                </w:tcPr>
                <w:p w14:paraId="47E7F0E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废水</w:t>
                  </w:r>
                </w:p>
              </w:tc>
              <w:tc>
                <w:tcPr>
                  <w:tcW w:w="832" w:type="pct"/>
                  <w:vMerge w:val="restart"/>
                  <w:tcBorders>
                    <w:tl2br w:val="nil"/>
                    <w:tr2bl w:val="nil"/>
                  </w:tcBorders>
                  <w:shd w:val="clear" w:color="auto" w:fill="auto"/>
                  <w:vAlign w:val="center"/>
                </w:tcPr>
                <w:p w14:paraId="094D75E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临港高新产业园区</w:t>
                  </w:r>
                </w:p>
              </w:tc>
              <w:tc>
                <w:tcPr>
                  <w:tcW w:w="833" w:type="pct"/>
                  <w:tcBorders>
                    <w:tl2br w:val="nil"/>
                    <w:tr2bl w:val="nil"/>
                  </w:tcBorders>
                  <w:shd w:val="clear" w:color="auto" w:fill="auto"/>
                  <w:vAlign w:val="center"/>
                </w:tcPr>
                <w:p w14:paraId="710E6F2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W1</w:t>
                  </w:r>
                </w:p>
              </w:tc>
              <w:tc>
                <w:tcPr>
                  <w:tcW w:w="833" w:type="pct"/>
                  <w:tcBorders>
                    <w:tl2br w:val="nil"/>
                    <w:tr2bl w:val="nil"/>
                  </w:tcBorders>
                  <w:shd w:val="clear" w:color="auto" w:fill="auto"/>
                  <w:vAlign w:val="center"/>
                </w:tcPr>
                <w:p w14:paraId="226C509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高压清洗废水</w:t>
                  </w:r>
                </w:p>
              </w:tc>
              <w:tc>
                <w:tcPr>
                  <w:tcW w:w="833" w:type="pct"/>
                  <w:tcBorders>
                    <w:tl2br w:val="nil"/>
                    <w:tr2bl w:val="nil"/>
                  </w:tcBorders>
                  <w:shd w:val="clear" w:color="auto" w:fill="auto"/>
                  <w:vAlign w:val="center"/>
                </w:tcPr>
                <w:p w14:paraId="6D93550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COD、SS、石油类等</w:t>
                  </w:r>
                </w:p>
              </w:tc>
              <w:tc>
                <w:tcPr>
                  <w:tcW w:w="833" w:type="pct"/>
                  <w:vMerge w:val="restart"/>
                  <w:tcBorders>
                    <w:tl2br w:val="nil"/>
                    <w:tr2bl w:val="nil"/>
                  </w:tcBorders>
                  <w:shd w:val="clear" w:color="auto" w:fill="auto"/>
                  <w:vAlign w:val="center"/>
                </w:tcPr>
                <w:p w14:paraId="1D22335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TW004废水处理站：调节池+pH 调节+气浮+两级水解酸化+生物接触氧化+二沉池+清水池</w:t>
                  </w:r>
                </w:p>
              </w:tc>
            </w:tr>
            <w:tr w14:paraId="1C1105B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trPr>
              <w:tc>
                <w:tcPr>
                  <w:tcW w:w="832" w:type="pct"/>
                  <w:vMerge w:val="continue"/>
                  <w:tcBorders>
                    <w:tl2br w:val="nil"/>
                    <w:tr2bl w:val="nil"/>
                  </w:tcBorders>
                  <w:shd w:val="clear" w:color="auto" w:fill="auto"/>
                  <w:vAlign w:val="center"/>
                </w:tcPr>
                <w:p w14:paraId="50AA5475">
                  <w:pPr>
                    <w:jc w:val="center"/>
                    <w:rPr>
                      <w:rFonts w:hint="default" w:ascii="Times New Roman" w:hAnsi="Times New Roman" w:eastAsia="宋体" w:cs="Times New Roman"/>
                      <w:i w:val="0"/>
                      <w:iCs w:val="0"/>
                      <w:color w:val="auto"/>
                      <w:sz w:val="21"/>
                      <w:szCs w:val="21"/>
                      <w:u w:val="none" w:color="auto"/>
                    </w:rPr>
                  </w:pPr>
                </w:p>
              </w:tc>
              <w:tc>
                <w:tcPr>
                  <w:tcW w:w="832" w:type="pct"/>
                  <w:vMerge w:val="continue"/>
                  <w:tcBorders>
                    <w:tl2br w:val="nil"/>
                    <w:tr2bl w:val="nil"/>
                  </w:tcBorders>
                  <w:shd w:val="clear" w:color="auto" w:fill="auto"/>
                  <w:vAlign w:val="center"/>
                </w:tcPr>
                <w:p w14:paraId="1A9FD48E">
                  <w:pPr>
                    <w:jc w:val="center"/>
                    <w:rPr>
                      <w:rFonts w:hint="default" w:ascii="Times New Roman" w:hAnsi="Times New Roman" w:eastAsia="宋体" w:cs="Times New Roman"/>
                      <w:i w:val="0"/>
                      <w:iCs w:val="0"/>
                      <w:color w:val="auto"/>
                      <w:sz w:val="21"/>
                      <w:szCs w:val="21"/>
                      <w:u w:val="none" w:color="auto"/>
                    </w:rPr>
                  </w:pPr>
                </w:p>
              </w:tc>
              <w:tc>
                <w:tcPr>
                  <w:tcW w:w="833" w:type="pct"/>
                  <w:tcBorders>
                    <w:tl2br w:val="nil"/>
                    <w:tr2bl w:val="nil"/>
                  </w:tcBorders>
                  <w:shd w:val="clear" w:color="auto" w:fill="auto"/>
                  <w:vAlign w:val="center"/>
                </w:tcPr>
                <w:p w14:paraId="45F5787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W2</w:t>
                  </w:r>
                </w:p>
              </w:tc>
              <w:tc>
                <w:tcPr>
                  <w:tcW w:w="833" w:type="pct"/>
                  <w:tcBorders>
                    <w:tl2br w:val="nil"/>
                    <w:tr2bl w:val="nil"/>
                  </w:tcBorders>
                  <w:shd w:val="clear" w:color="auto" w:fill="auto"/>
                  <w:vAlign w:val="center"/>
                </w:tcPr>
                <w:p w14:paraId="263A295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lang w:val="en-US"/>
                    </w:rPr>
                  </w:pPr>
                  <w:r>
                    <w:rPr>
                      <w:rFonts w:hint="default" w:ascii="Times New Roman" w:hAnsi="Times New Roman" w:eastAsia="宋体" w:cs="Times New Roman"/>
                      <w:i w:val="0"/>
                      <w:iCs w:val="0"/>
                      <w:color w:val="auto"/>
                      <w:kern w:val="0"/>
                      <w:sz w:val="21"/>
                      <w:szCs w:val="21"/>
                      <w:u w:val="none" w:color="auto"/>
                      <w:lang w:val="en-US" w:eastAsia="zh-CN" w:bidi="ar"/>
                    </w:rPr>
                    <w:t>浸渗工艺</w:t>
                  </w:r>
                </w:p>
              </w:tc>
              <w:tc>
                <w:tcPr>
                  <w:tcW w:w="833" w:type="pct"/>
                  <w:tcBorders>
                    <w:tl2br w:val="nil"/>
                    <w:tr2bl w:val="nil"/>
                  </w:tcBorders>
                  <w:shd w:val="clear" w:color="auto" w:fill="auto"/>
                  <w:vAlign w:val="center"/>
                </w:tcPr>
                <w:p w14:paraId="77A39B2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COD、石油类等</w:t>
                  </w:r>
                </w:p>
              </w:tc>
              <w:tc>
                <w:tcPr>
                  <w:tcW w:w="833" w:type="pct"/>
                  <w:vMerge w:val="continue"/>
                  <w:tcBorders>
                    <w:tl2br w:val="nil"/>
                    <w:tr2bl w:val="nil"/>
                  </w:tcBorders>
                  <w:shd w:val="clear" w:color="auto" w:fill="auto"/>
                  <w:vAlign w:val="center"/>
                </w:tcPr>
                <w:p w14:paraId="3B52649F">
                  <w:pPr>
                    <w:jc w:val="center"/>
                    <w:rPr>
                      <w:rFonts w:hint="default" w:ascii="Times New Roman" w:hAnsi="Times New Roman" w:eastAsia="宋体" w:cs="Times New Roman"/>
                      <w:i w:val="0"/>
                      <w:iCs w:val="0"/>
                      <w:color w:val="auto"/>
                      <w:sz w:val="21"/>
                      <w:szCs w:val="21"/>
                      <w:u w:val="none" w:color="auto"/>
                    </w:rPr>
                  </w:pPr>
                </w:p>
              </w:tc>
            </w:tr>
            <w:tr w14:paraId="7E31800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trPr>
              <w:tc>
                <w:tcPr>
                  <w:tcW w:w="832" w:type="pct"/>
                  <w:tcBorders>
                    <w:tl2br w:val="nil"/>
                    <w:tr2bl w:val="nil"/>
                  </w:tcBorders>
                  <w:shd w:val="clear" w:color="auto" w:fill="auto"/>
                  <w:vAlign w:val="center"/>
                </w:tcPr>
                <w:p w14:paraId="4A536AC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噪声</w:t>
                  </w:r>
                </w:p>
              </w:tc>
              <w:tc>
                <w:tcPr>
                  <w:tcW w:w="832" w:type="pct"/>
                  <w:tcBorders>
                    <w:tl2br w:val="nil"/>
                    <w:tr2bl w:val="nil"/>
                  </w:tcBorders>
                  <w:shd w:val="clear" w:color="auto" w:fill="auto"/>
                  <w:vAlign w:val="center"/>
                </w:tcPr>
                <w:p w14:paraId="14AB2FF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中创空天厂区、临港高新产业园区</w:t>
                  </w:r>
                </w:p>
              </w:tc>
              <w:tc>
                <w:tcPr>
                  <w:tcW w:w="833" w:type="pct"/>
                  <w:tcBorders>
                    <w:tl2br w:val="nil"/>
                    <w:tr2bl w:val="nil"/>
                  </w:tcBorders>
                  <w:shd w:val="clear" w:color="auto" w:fill="auto"/>
                  <w:vAlign w:val="center"/>
                </w:tcPr>
                <w:p w14:paraId="00E2273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N</w:t>
                  </w:r>
                </w:p>
              </w:tc>
              <w:tc>
                <w:tcPr>
                  <w:tcW w:w="833" w:type="pct"/>
                  <w:tcBorders>
                    <w:tl2br w:val="nil"/>
                    <w:tr2bl w:val="nil"/>
                  </w:tcBorders>
                  <w:shd w:val="clear" w:color="auto" w:fill="auto"/>
                  <w:vAlign w:val="center"/>
                </w:tcPr>
                <w:p w14:paraId="7EAE499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生产过程</w:t>
                  </w:r>
                </w:p>
              </w:tc>
              <w:tc>
                <w:tcPr>
                  <w:tcW w:w="833" w:type="pct"/>
                  <w:tcBorders>
                    <w:tl2br w:val="nil"/>
                    <w:tr2bl w:val="nil"/>
                  </w:tcBorders>
                  <w:shd w:val="clear" w:color="auto" w:fill="auto"/>
                  <w:vAlign w:val="center"/>
                </w:tcPr>
                <w:p w14:paraId="1413B7B3">
                  <w:pPr>
                    <w:jc w:val="center"/>
                    <w:rPr>
                      <w:rFonts w:hint="default" w:ascii="Times New Roman" w:hAnsi="Times New Roman" w:eastAsia="宋体" w:cs="Times New Roman"/>
                      <w:i w:val="0"/>
                      <w:iCs w:val="0"/>
                      <w:color w:val="auto"/>
                      <w:sz w:val="21"/>
                      <w:szCs w:val="21"/>
                      <w:u w:val="none" w:color="auto"/>
                    </w:rPr>
                  </w:pPr>
                </w:p>
              </w:tc>
              <w:tc>
                <w:tcPr>
                  <w:tcW w:w="833" w:type="pct"/>
                  <w:tcBorders>
                    <w:tl2br w:val="nil"/>
                    <w:tr2bl w:val="nil"/>
                  </w:tcBorders>
                  <w:shd w:val="clear" w:color="auto" w:fill="auto"/>
                  <w:vAlign w:val="center"/>
                </w:tcPr>
                <w:p w14:paraId="0DAEB41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基础减震、建筑物隔声、低噪声设备等</w:t>
                  </w:r>
                </w:p>
              </w:tc>
            </w:tr>
            <w:tr w14:paraId="17F55B7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832" w:type="pct"/>
                  <w:vMerge w:val="restart"/>
                  <w:tcBorders>
                    <w:tl2br w:val="nil"/>
                    <w:tr2bl w:val="nil"/>
                  </w:tcBorders>
                  <w:shd w:val="clear" w:color="auto" w:fill="auto"/>
                  <w:vAlign w:val="center"/>
                </w:tcPr>
                <w:p w14:paraId="40CAE76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其他</w:t>
                  </w:r>
                </w:p>
              </w:tc>
              <w:tc>
                <w:tcPr>
                  <w:tcW w:w="832" w:type="pct"/>
                  <w:vMerge w:val="restart"/>
                  <w:tcBorders>
                    <w:tl2br w:val="nil"/>
                    <w:tr2bl w:val="nil"/>
                  </w:tcBorders>
                  <w:shd w:val="clear" w:color="auto" w:fill="auto"/>
                  <w:vAlign w:val="center"/>
                </w:tcPr>
                <w:p w14:paraId="55F7D0D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中创空天厂区、临港高新产业园区</w:t>
                  </w:r>
                </w:p>
              </w:tc>
              <w:tc>
                <w:tcPr>
                  <w:tcW w:w="833" w:type="pct"/>
                  <w:vMerge w:val="restart"/>
                  <w:tcBorders>
                    <w:tl2br w:val="nil"/>
                    <w:tr2bl w:val="nil"/>
                  </w:tcBorders>
                  <w:shd w:val="clear" w:color="auto" w:fill="auto"/>
                  <w:vAlign w:val="center"/>
                </w:tcPr>
                <w:p w14:paraId="2131E42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833" w:type="pct"/>
                  <w:vMerge w:val="restart"/>
                  <w:tcBorders>
                    <w:tl2br w:val="nil"/>
                    <w:tr2bl w:val="nil"/>
                  </w:tcBorders>
                  <w:shd w:val="clear" w:color="auto" w:fill="auto"/>
                  <w:vAlign w:val="center"/>
                </w:tcPr>
                <w:p w14:paraId="5715B42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办公生活</w:t>
                  </w:r>
                </w:p>
              </w:tc>
              <w:tc>
                <w:tcPr>
                  <w:tcW w:w="833" w:type="pct"/>
                  <w:tcBorders>
                    <w:tl2br w:val="nil"/>
                    <w:tr2bl w:val="nil"/>
                  </w:tcBorders>
                  <w:shd w:val="clear" w:color="auto" w:fill="auto"/>
                  <w:vAlign w:val="center"/>
                </w:tcPr>
                <w:p w14:paraId="61F5DE8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生活垃圾</w:t>
                  </w:r>
                </w:p>
              </w:tc>
              <w:tc>
                <w:tcPr>
                  <w:tcW w:w="833" w:type="pct"/>
                  <w:tcBorders>
                    <w:tl2br w:val="nil"/>
                    <w:tr2bl w:val="nil"/>
                  </w:tcBorders>
                  <w:shd w:val="clear" w:color="auto" w:fill="auto"/>
                  <w:vAlign w:val="center"/>
                </w:tcPr>
                <w:p w14:paraId="11EFFE2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分类收集后交由环卫部门清运处理</w:t>
                  </w:r>
                </w:p>
              </w:tc>
            </w:tr>
            <w:tr w14:paraId="793AB96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trPr>
              <w:tc>
                <w:tcPr>
                  <w:tcW w:w="832" w:type="pct"/>
                  <w:vMerge w:val="continue"/>
                  <w:tcBorders>
                    <w:tl2br w:val="nil"/>
                    <w:tr2bl w:val="nil"/>
                  </w:tcBorders>
                  <w:shd w:val="clear" w:color="auto" w:fill="auto"/>
                  <w:vAlign w:val="center"/>
                </w:tcPr>
                <w:p w14:paraId="0372938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p>
              </w:tc>
              <w:tc>
                <w:tcPr>
                  <w:tcW w:w="832" w:type="pct"/>
                  <w:vMerge w:val="continue"/>
                  <w:tcBorders>
                    <w:tl2br w:val="nil"/>
                    <w:tr2bl w:val="nil"/>
                  </w:tcBorders>
                  <w:shd w:val="clear" w:color="auto" w:fill="auto"/>
                  <w:vAlign w:val="center"/>
                </w:tcPr>
                <w:p w14:paraId="015ED24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p>
              </w:tc>
              <w:tc>
                <w:tcPr>
                  <w:tcW w:w="833" w:type="pct"/>
                  <w:vMerge w:val="continue"/>
                  <w:tcBorders>
                    <w:tl2br w:val="nil"/>
                    <w:tr2bl w:val="nil"/>
                  </w:tcBorders>
                  <w:shd w:val="clear" w:color="auto" w:fill="auto"/>
                  <w:vAlign w:val="center"/>
                </w:tcPr>
                <w:p w14:paraId="1822EAB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p>
              </w:tc>
              <w:tc>
                <w:tcPr>
                  <w:tcW w:w="833" w:type="pct"/>
                  <w:vMerge w:val="continue"/>
                  <w:tcBorders>
                    <w:tl2br w:val="nil"/>
                    <w:tr2bl w:val="nil"/>
                  </w:tcBorders>
                  <w:shd w:val="clear" w:color="auto" w:fill="auto"/>
                  <w:vAlign w:val="center"/>
                </w:tcPr>
                <w:p w14:paraId="2D1E8CE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p>
              </w:tc>
              <w:tc>
                <w:tcPr>
                  <w:tcW w:w="833" w:type="pct"/>
                  <w:tcBorders>
                    <w:tl2br w:val="nil"/>
                    <w:tr2bl w:val="nil"/>
                  </w:tcBorders>
                  <w:shd w:val="clear" w:color="auto" w:fill="auto"/>
                  <w:vAlign w:val="center"/>
                </w:tcPr>
                <w:p w14:paraId="2A6A11D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生活污水</w:t>
                  </w:r>
                </w:p>
              </w:tc>
              <w:tc>
                <w:tcPr>
                  <w:tcW w:w="833" w:type="pct"/>
                  <w:tcBorders>
                    <w:tl2br w:val="nil"/>
                    <w:tr2bl w:val="nil"/>
                  </w:tcBorders>
                  <w:shd w:val="clear" w:color="auto" w:fill="auto"/>
                  <w:vAlign w:val="center"/>
                </w:tcPr>
                <w:p w14:paraId="566A2DC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化粪池处理后排入市政污水管网</w:t>
                  </w:r>
                </w:p>
              </w:tc>
            </w:tr>
            <w:tr w14:paraId="5D9432D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832" w:type="pct"/>
                  <w:vMerge w:val="continue"/>
                  <w:tcBorders>
                    <w:tl2br w:val="nil"/>
                    <w:tr2bl w:val="nil"/>
                  </w:tcBorders>
                  <w:shd w:val="clear" w:color="auto" w:fill="auto"/>
                  <w:vAlign w:val="center"/>
                </w:tcPr>
                <w:p w14:paraId="765D300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p>
              </w:tc>
              <w:tc>
                <w:tcPr>
                  <w:tcW w:w="832" w:type="pct"/>
                  <w:vMerge w:val="continue"/>
                  <w:tcBorders>
                    <w:tl2br w:val="nil"/>
                    <w:tr2bl w:val="nil"/>
                  </w:tcBorders>
                  <w:shd w:val="clear" w:color="auto" w:fill="auto"/>
                  <w:vAlign w:val="center"/>
                </w:tcPr>
                <w:p w14:paraId="018AE92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p>
              </w:tc>
              <w:tc>
                <w:tcPr>
                  <w:tcW w:w="833" w:type="pct"/>
                  <w:tcBorders>
                    <w:tl2br w:val="nil"/>
                    <w:tr2bl w:val="nil"/>
                  </w:tcBorders>
                  <w:shd w:val="clear" w:color="auto" w:fill="auto"/>
                  <w:vAlign w:val="center"/>
                </w:tcPr>
                <w:p w14:paraId="6EB2457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p>
              </w:tc>
              <w:tc>
                <w:tcPr>
                  <w:tcW w:w="833" w:type="pct"/>
                  <w:tcBorders>
                    <w:tl2br w:val="nil"/>
                    <w:tr2bl w:val="nil"/>
                  </w:tcBorders>
                  <w:shd w:val="clear" w:color="auto" w:fill="auto"/>
                  <w:vAlign w:val="center"/>
                </w:tcPr>
                <w:p w14:paraId="4A0EB02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间接循环冷却系统</w:t>
                  </w:r>
                </w:p>
              </w:tc>
              <w:tc>
                <w:tcPr>
                  <w:tcW w:w="833" w:type="pct"/>
                  <w:tcBorders>
                    <w:tl2br w:val="nil"/>
                    <w:tr2bl w:val="nil"/>
                  </w:tcBorders>
                  <w:shd w:val="clear" w:color="auto" w:fill="auto"/>
                  <w:vAlign w:val="center"/>
                </w:tcPr>
                <w:p w14:paraId="2940D96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间接循环冷却水</w:t>
                  </w:r>
                </w:p>
              </w:tc>
              <w:tc>
                <w:tcPr>
                  <w:tcW w:w="833" w:type="pct"/>
                  <w:tcBorders>
                    <w:tl2br w:val="nil"/>
                    <w:tr2bl w:val="nil"/>
                  </w:tcBorders>
                  <w:shd w:val="clear" w:color="auto" w:fill="auto"/>
                  <w:vAlign w:val="center"/>
                </w:tcPr>
                <w:p w14:paraId="2209A48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排入市政污水管网</w:t>
                  </w:r>
                </w:p>
              </w:tc>
            </w:tr>
            <w:tr w14:paraId="4E62465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trPr>
              <w:tc>
                <w:tcPr>
                  <w:tcW w:w="832" w:type="pct"/>
                  <w:vMerge w:val="continue"/>
                  <w:tcBorders>
                    <w:tl2br w:val="nil"/>
                    <w:tr2bl w:val="nil"/>
                  </w:tcBorders>
                  <w:shd w:val="clear" w:color="auto" w:fill="auto"/>
                  <w:vAlign w:val="center"/>
                </w:tcPr>
                <w:p w14:paraId="0230E3DC">
                  <w:pPr>
                    <w:jc w:val="center"/>
                    <w:rPr>
                      <w:rFonts w:hint="default" w:ascii="Times New Roman" w:hAnsi="Times New Roman" w:eastAsia="宋体" w:cs="Times New Roman"/>
                      <w:i w:val="0"/>
                      <w:iCs w:val="0"/>
                      <w:color w:val="auto"/>
                      <w:sz w:val="21"/>
                      <w:szCs w:val="21"/>
                      <w:u w:val="none" w:color="auto"/>
                    </w:rPr>
                  </w:pPr>
                </w:p>
              </w:tc>
              <w:tc>
                <w:tcPr>
                  <w:tcW w:w="832" w:type="pct"/>
                  <w:vMerge w:val="continue"/>
                  <w:tcBorders>
                    <w:tl2br w:val="nil"/>
                    <w:tr2bl w:val="nil"/>
                  </w:tcBorders>
                  <w:shd w:val="clear" w:color="auto" w:fill="auto"/>
                  <w:vAlign w:val="center"/>
                </w:tcPr>
                <w:p w14:paraId="7C9C7D0D">
                  <w:pPr>
                    <w:jc w:val="center"/>
                    <w:rPr>
                      <w:rFonts w:hint="default" w:ascii="Times New Roman" w:hAnsi="Times New Roman" w:eastAsia="宋体" w:cs="Times New Roman"/>
                      <w:i w:val="0"/>
                      <w:iCs w:val="0"/>
                      <w:color w:val="auto"/>
                      <w:sz w:val="21"/>
                      <w:szCs w:val="21"/>
                      <w:u w:val="none" w:color="auto"/>
                    </w:rPr>
                  </w:pPr>
                </w:p>
              </w:tc>
              <w:tc>
                <w:tcPr>
                  <w:tcW w:w="833" w:type="pct"/>
                  <w:tcBorders>
                    <w:tl2br w:val="nil"/>
                    <w:tr2bl w:val="nil"/>
                  </w:tcBorders>
                  <w:shd w:val="clear" w:color="auto" w:fill="auto"/>
                  <w:vAlign w:val="center"/>
                </w:tcPr>
                <w:p w14:paraId="02DC9E50">
                  <w:pPr>
                    <w:jc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833" w:type="pct"/>
                  <w:vMerge w:val="restart"/>
                  <w:tcBorders>
                    <w:tl2br w:val="nil"/>
                    <w:tr2bl w:val="nil"/>
                  </w:tcBorders>
                  <w:shd w:val="clear" w:color="auto" w:fill="auto"/>
                  <w:vAlign w:val="center"/>
                </w:tcPr>
                <w:p w14:paraId="6E3D818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设备维修维护</w:t>
                  </w:r>
                </w:p>
              </w:tc>
              <w:tc>
                <w:tcPr>
                  <w:tcW w:w="833" w:type="pct"/>
                  <w:tcBorders>
                    <w:tl2br w:val="nil"/>
                    <w:tr2bl w:val="nil"/>
                  </w:tcBorders>
                  <w:shd w:val="clear" w:color="auto" w:fill="auto"/>
                  <w:vAlign w:val="center"/>
                </w:tcPr>
                <w:p w14:paraId="2F64F52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含油抹布、手套</w:t>
                  </w:r>
                </w:p>
              </w:tc>
              <w:tc>
                <w:tcPr>
                  <w:tcW w:w="833" w:type="pct"/>
                  <w:vMerge w:val="restart"/>
                  <w:tcBorders>
                    <w:tl2br w:val="nil"/>
                    <w:tr2bl w:val="nil"/>
                  </w:tcBorders>
                  <w:shd w:val="clear" w:color="auto" w:fill="auto"/>
                  <w:vAlign w:val="center"/>
                </w:tcPr>
                <w:p w14:paraId="05958AB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经危废暂存间暂存后交由危废资质单位无害化处理</w:t>
                  </w:r>
                </w:p>
              </w:tc>
            </w:tr>
            <w:tr w14:paraId="616D544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trPr>
              <w:tc>
                <w:tcPr>
                  <w:tcW w:w="832" w:type="pct"/>
                  <w:vMerge w:val="continue"/>
                  <w:tcBorders>
                    <w:tl2br w:val="nil"/>
                    <w:tr2bl w:val="nil"/>
                  </w:tcBorders>
                  <w:shd w:val="clear" w:color="auto" w:fill="auto"/>
                  <w:vAlign w:val="center"/>
                </w:tcPr>
                <w:p w14:paraId="0F6839DD">
                  <w:pPr>
                    <w:jc w:val="center"/>
                    <w:rPr>
                      <w:rFonts w:hint="default" w:ascii="Times New Roman" w:hAnsi="Times New Roman" w:eastAsia="宋体" w:cs="Times New Roman"/>
                      <w:i w:val="0"/>
                      <w:iCs w:val="0"/>
                      <w:color w:val="auto"/>
                      <w:sz w:val="21"/>
                      <w:szCs w:val="21"/>
                      <w:u w:val="none" w:color="auto"/>
                    </w:rPr>
                  </w:pPr>
                </w:p>
              </w:tc>
              <w:tc>
                <w:tcPr>
                  <w:tcW w:w="832" w:type="pct"/>
                  <w:vMerge w:val="continue"/>
                  <w:tcBorders>
                    <w:tl2br w:val="nil"/>
                    <w:tr2bl w:val="nil"/>
                  </w:tcBorders>
                  <w:shd w:val="clear" w:color="auto" w:fill="auto"/>
                  <w:vAlign w:val="center"/>
                </w:tcPr>
                <w:p w14:paraId="73343B57">
                  <w:pPr>
                    <w:jc w:val="center"/>
                    <w:rPr>
                      <w:rFonts w:hint="default" w:ascii="Times New Roman" w:hAnsi="Times New Roman" w:eastAsia="宋体" w:cs="Times New Roman"/>
                      <w:i w:val="0"/>
                      <w:iCs w:val="0"/>
                      <w:color w:val="auto"/>
                      <w:sz w:val="21"/>
                      <w:szCs w:val="21"/>
                      <w:u w:val="none" w:color="auto"/>
                    </w:rPr>
                  </w:pPr>
                </w:p>
              </w:tc>
              <w:tc>
                <w:tcPr>
                  <w:tcW w:w="833" w:type="pct"/>
                  <w:tcBorders>
                    <w:tl2br w:val="nil"/>
                    <w:tr2bl w:val="nil"/>
                  </w:tcBorders>
                  <w:shd w:val="clear" w:color="auto" w:fill="auto"/>
                  <w:vAlign w:val="center"/>
                </w:tcPr>
                <w:p w14:paraId="158868A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833" w:type="pct"/>
                  <w:vMerge w:val="continue"/>
                  <w:tcBorders>
                    <w:tl2br w:val="nil"/>
                    <w:tr2bl w:val="nil"/>
                  </w:tcBorders>
                  <w:shd w:val="clear" w:color="auto" w:fill="auto"/>
                  <w:vAlign w:val="center"/>
                </w:tcPr>
                <w:p w14:paraId="5570476B">
                  <w:pPr>
                    <w:jc w:val="center"/>
                    <w:rPr>
                      <w:rFonts w:hint="default" w:ascii="Times New Roman" w:hAnsi="Times New Roman" w:eastAsia="宋体" w:cs="Times New Roman"/>
                      <w:i w:val="0"/>
                      <w:iCs w:val="0"/>
                      <w:color w:val="auto"/>
                      <w:sz w:val="21"/>
                      <w:szCs w:val="21"/>
                      <w:u w:val="none" w:color="auto"/>
                    </w:rPr>
                  </w:pPr>
                </w:p>
              </w:tc>
              <w:tc>
                <w:tcPr>
                  <w:tcW w:w="833" w:type="pct"/>
                  <w:tcBorders>
                    <w:tl2br w:val="nil"/>
                    <w:tr2bl w:val="nil"/>
                  </w:tcBorders>
                  <w:shd w:val="clear" w:color="auto" w:fill="auto"/>
                  <w:vAlign w:val="center"/>
                </w:tcPr>
                <w:p w14:paraId="24E9239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lang w:val="en-US" w:eastAsia="zh-CN"/>
                    </w:rPr>
                  </w:pPr>
                  <w:r>
                    <w:rPr>
                      <w:rFonts w:hint="default" w:ascii="Times New Roman" w:hAnsi="Times New Roman" w:eastAsia="宋体" w:cs="Times New Roman"/>
                      <w:color w:val="auto"/>
                      <w:u w:val="none" w:color="auto"/>
                    </w:rPr>
                    <w:t>废</w:t>
                  </w:r>
                  <w:r>
                    <w:rPr>
                      <w:rFonts w:hint="default" w:ascii="Times New Roman" w:hAnsi="Times New Roman" w:eastAsia="宋体" w:cs="Times New Roman"/>
                      <w:color w:val="auto"/>
                      <w:u w:val="none" w:color="auto"/>
                      <w:lang w:val="en-US" w:eastAsia="zh-CN"/>
                    </w:rPr>
                    <w:t>润滑油、废机油</w:t>
                  </w:r>
                  <w:r>
                    <w:rPr>
                      <w:rFonts w:hint="default" w:ascii="Times New Roman" w:hAnsi="Times New Roman" w:eastAsia="宋体" w:cs="Times New Roman"/>
                      <w:color w:val="auto"/>
                      <w:u w:val="none" w:color="auto"/>
                    </w:rPr>
                    <w:t>、废液压油等废矿物油</w:t>
                  </w:r>
                  <w:r>
                    <w:rPr>
                      <w:rFonts w:hint="default" w:ascii="Times New Roman" w:hAnsi="Times New Roman" w:eastAsia="宋体" w:cs="Times New Roman"/>
                      <w:color w:val="auto"/>
                      <w:u w:val="none" w:color="auto"/>
                      <w:lang w:val="en-US" w:eastAsia="zh-CN"/>
                    </w:rPr>
                    <w:t>及包装桶</w:t>
                  </w:r>
                </w:p>
              </w:tc>
              <w:tc>
                <w:tcPr>
                  <w:tcW w:w="833" w:type="pct"/>
                  <w:vMerge w:val="continue"/>
                  <w:tcBorders>
                    <w:tl2br w:val="nil"/>
                    <w:tr2bl w:val="nil"/>
                  </w:tcBorders>
                  <w:shd w:val="clear" w:color="auto" w:fill="auto"/>
                  <w:vAlign w:val="center"/>
                </w:tcPr>
                <w:p w14:paraId="3A126932">
                  <w:pPr>
                    <w:jc w:val="center"/>
                    <w:rPr>
                      <w:rFonts w:hint="default" w:ascii="Times New Roman" w:hAnsi="Times New Roman" w:eastAsia="宋体" w:cs="Times New Roman"/>
                      <w:i w:val="0"/>
                      <w:iCs w:val="0"/>
                      <w:color w:val="auto"/>
                      <w:sz w:val="21"/>
                      <w:szCs w:val="21"/>
                      <w:u w:val="none" w:color="auto"/>
                    </w:rPr>
                  </w:pPr>
                </w:p>
              </w:tc>
            </w:tr>
            <w:tr w14:paraId="16BB527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trPr>
              <w:tc>
                <w:tcPr>
                  <w:tcW w:w="832" w:type="pct"/>
                  <w:vMerge w:val="continue"/>
                  <w:tcBorders>
                    <w:tl2br w:val="nil"/>
                    <w:tr2bl w:val="nil"/>
                  </w:tcBorders>
                  <w:shd w:val="clear" w:color="auto" w:fill="auto"/>
                  <w:vAlign w:val="center"/>
                </w:tcPr>
                <w:p w14:paraId="6945AA1D">
                  <w:pPr>
                    <w:jc w:val="center"/>
                    <w:rPr>
                      <w:rFonts w:hint="default" w:ascii="Times New Roman" w:hAnsi="Times New Roman" w:eastAsia="宋体" w:cs="Times New Roman"/>
                      <w:i w:val="0"/>
                      <w:iCs w:val="0"/>
                      <w:color w:val="auto"/>
                      <w:sz w:val="21"/>
                      <w:szCs w:val="21"/>
                      <w:u w:val="none" w:color="auto"/>
                    </w:rPr>
                  </w:pPr>
                </w:p>
              </w:tc>
              <w:tc>
                <w:tcPr>
                  <w:tcW w:w="832" w:type="pct"/>
                  <w:vMerge w:val="restart"/>
                  <w:tcBorders>
                    <w:tl2br w:val="nil"/>
                    <w:tr2bl w:val="nil"/>
                  </w:tcBorders>
                  <w:shd w:val="clear" w:color="auto" w:fill="auto"/>
                  <w:vAlign w:val="center"/>
                </w:tcPr>
                <w:p w14:paraId="787198E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中创空天厂区</w:t>
                  </w:r>
                </w:p>
              </w:tc>
              <w:tc>
                <w:tcPr>
                  <w:tcW w:w="833" w:type="pct"/>
                  <w:tcBorders>
                    <w:tl2br w:val="nil"/>
                    <w:tr2bl w:val="nil"/>
                  </w:tcBorders>
                  <w:shd w:val="clear" w:color="auto" w:fill="auto"/>
                  <w:vAlign w:val="center"/>
                </w:tcPr>
                <w:p w14:paraId="78EE75E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833" w:type="pct"/>
                  <w:tcBorders>
                    <w:tl2br w:val="nil"/>
                    <w:tr2bl w:val="nil"/>
                  </w:tcBorders>
                  <w:shd w:val="clear" w:color="auto" w:fill="auto"/>
                  <w:vAlign w:val="center"/>
                </w:tcPr>
                <w:p w14:paraId="28ED1894">
                  <w:pPr>
                    <w:jc w:val="center"/>
                    <w:rPr>
                      <w:rFonts w:hint="default" w:ascii="Times New Roman" w:hAnsi="Times New Roman" w:eastAsia="宋体" w:cs="Times New Roman"/>
                      <w:i w:val="0"/>
                      <w:iCs w:val="0"/>
                      <w:color w:val="auto"/>
                      <w:sz w:val="21"/>
                      <w:szCs w:val="21"/>
                      <w:u w:val="none" w:color="auto"/>
                      <w:lang w:val="en-US" w:eastAsia="zh-CN"/>
                    </w:rPr>
                  </w:pPr>
                  <w:r>
                    <w:rPr>
                      <w:rFonts w:hint="default" w:ascii="Times New Roman" w:hAnsi="Times New Roman" w:eastAsia="宋体" w:cs="Times New Roman"/>
                      <w:i w:val="0"/>
                      <w:iCs w:val="0"/>
                      <w:color w:val="auto"/>
                      <w:sz w:val="21"/>
                      <w:szCs w:val="21"/>
                      <w:u w:val="none" w:color="auto"/>
                      <w:lang w:val="en-US" w:eastAsia="zh-CN"/>
                    </w:rPr>
                    <w:t>就餐</w:t>
                  </w:r>
                </w:p>
              </w:tc>
              <w:tc>
                <w:tcPr>
                  <w:tcW w:w="833" w:type="pct"/>
                  <w:tcBorders>
                    <w:tl2br w:val="nil"/>
                    <w:tr2bl w:val="nil"/>
                  </w:tcBorders>
                  <w:shd w:val="clear" w:color="auto" w:fill="auto"/>
                  <w:vAlign w:val="center"/>
                </w:tcPr>
                <w:p w14:paraId="55510801">
                  <w:pPr>
                    <w:keepNext w:val="0"/>
                    <w:keepLines w:val="0"/>
                    <w:widowControl/>
                    <w:suppressLineNumbers w:val="0"/>
                    <w:jc w:val="center"/>
                    <w:textAlignment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食堂油烟</w:t>
                  </w:r>
                </w:p>
              </w:tc>
              <w:tc>
                <w:tcPr>
                  <w:tcW w:w="833" w:type="pct"/>
                  <w:tcBorders>
                    <w:tl2br w:val="nil"/>
                    <w:tr2bl w:val="nil"/>
                  </w:tcBorders>
                  <w:shd w:val="clear" w:color="auto" w:fill="auto"/>
                  <w:vAlign w:val="center"/>
                </w:tcPr>
                <w:p w14:paraId="033AB0AD">
                  <w:pPr>
                    <w:jc w:val="center"/>
                    <w:rPr>
                      <w:rFonts w:hint="default" w:ascii="Times New Roman" w:hAnsi="Times New Roman" w:eastAsia="宋体" w:cs="Times New Roman"/>
                      <w:i w:val="0"/>
                      <w:iCs w:val="0"/>
                      <w:color w:val="auto"/>
                      <w:sz w:val="21"/>
                      <w:szCs w:val="21"/>
                      <w:u w:val="none" w:color="auto"/>
                      <w:lang w:val="en-US" w:eastAsia="zh-CN"/>
                    </w:rPr>
                  </w:pPr>
                  <w:r>
                    <w:rPr>
                      <w:rFonts w:hint="default" w:ascii="Times New Roman" w:hAnsi="Times New Roman" w:eastAsia="宋体" w:cs="Times New Roman"/>
                      <w:i w:val="0"/>
                      <w:iCs w:val="0"/>
                      <w:color w:val="auto"/>
                      <w:sz w:val="21"/>
                      <w:szCs w:val="21"/>
                      <w:u w:val="none" w:color="auto"/>
                      <w:lang w:val="en-US" w:eastAsia="zh-CN"/>
                    </w:rPr>
                    <w:t>油烟净化器</w:t>
                  </w:r>
                </w:p>
              </w:tc>
            </w:tr>
            <w:tr w14:paraId="58A0D5C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trPr>
              <w:tc>
                <w:tcPr>
                  <w:tcW w:w="832" w:type="pct"/>
                  <w:vMerge w:val="continue"/>
                  <w:tcBorders>
                    <w:tl2br w:val="nil"/>
                    <w:tr2bl w:val="nil"/>
                  </w:tcBorders>
                  <w:shd w:val="clear" w:color="auto" w:fill="auto"/>
                  <w:vAlign w:val="center"/>
                </w:tcPr>
                <w:p w14:paraId="33A7642B">
                  <w:pPr>
                    <w:jc w:val="center"/>
                    <w:rPr>
                      <w:rFonts w:hint="default" w:ascii="Times New Roman" w:hAnsi="Times New Roman" w:eastAsia="宋体" w:cs="Times New Roman"/>
                      <w:i w:val="0"/>
                      <w:iCs w:val="0"/>
                      <w:color w:val="auto"/>
                      <w:sz w:val="21"/>
                      <w:szCs w:val="21"/>
                      <w:u w:val="none" w:color="auto"/>
                    </w:rPr>
                  </w:pPr>
                </w:p>
              </w:tc>
              <w:tc>
                <w:tcPr>
                  <w:tcW w:w="832" w:type="pct"/>
                  <w:vMerge w:val="continue"/>
                  <w:tcBorders>
                    <w:tl2br w:val="nil"/>
                    <w:tr2bl w:val="nil"/>
                  </w:tcBorders>
                  <w:shd w:val="clear" w:color="auto" w:fill="auto"/>
                  <w:vAlign w:val="center"/>
                </w:tcPr>
                <w:p w14:paraId="131D83E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p>
              </w:tc>
              <w:tc>
                <w:tcPr>
                  <w:tcW w:w="833" w:type="pct"/>
                  <w:tcBorders>
                    <w:tl2br w:val="nil"/>
                    <w:tr2bl w:val="nil"/>
                  </w:tcBorders>
                  <w:shd w:val="clear" w:color="auto" w:fill="auto"/>
                  <w:vAlign w:val="center"/>
                </w:tcPr>
                <w:p w14:paraId="18109BD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833" w:type="pct"/>
                  <w:tcBorders>
                    <w:tl2br w:val="nil"/>
                    <w:tr2bl w:val="nil"/>
                  </w:tcBorders>
                  <w:shd w:val="clear" w:color="auto" w:fill="auto"/>
                  <w:vAlign w:val="center"/>
                </w:tcPr>
                <w:p w14:paraId="5E2B6F8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熔化炉使用</w:t>
                  </w:r>
                </w:p>
              </w:tc>
              <w:tc>
                <w:tcPr>
                  <w:tcW w:w="833" w:type="pct"/>
                  <w:tcBorders>
                    <w:tl2br w:val="nil"/>
                    <w:tr2bl w:val="nil"/>
                  </w:tcBorders>
                  <w:shd w:val="clear" w:color="auto" w:fill="auto"/>
                  <w:vAlign w:val="center"/>
                </w:tcPr>
                <w:p w14:paraId="62D55A0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废生物质颗粒吨袋</w:t>
                  </w:r>
                </w:p>
              </w:tc>
              <w:tc>
                <w:tcPr>
                  <w:tcW w:w="833" w:type="pct"/>
                  <w:vMerge w:val="restart"/>
                  <w:tcBorders>
                    <w:tl2br w:val="nil"/>
                    <w:tr2bl w:val="nil"/>
                  </w:tcBorders>
                  <w:shd w:val="clear" w:color="auto" w:fill="auto"/>
                  <w:vAlign w:val="center"/>
                </w:tcPr>
                <w:p w14:paraId="78E5B7A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返回供应商再利用</w:t>
                  </w:r>
                </w:p>
              </w:tc>
            </w:tr>
            <w:tr w14:paraId="63FC923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trPr>
              <w:tc>
                <w:tcPr>
                  <w:tcW w:w="832" w:type="pct"/>
                  <w:vMerge w:val="continue"/>
                  <w:tcBorders>
                    <w:tl2br w:val="nil"/>
                    <w:tr2bl w:val="nil"/>
                  </w:tcBorders>
                  <w:shd w:val="clear" w:color="auto" w:fill="auto"/>
                  <w:vAlign w:val="center"/>
                </w:tcPr>
                <w:p w14:paraId="61CB1066">
                  <w:pPr>
                    <w:jc w:val="center"/>
                    <w:rPr>
                      <w:rFonts w:hint="default" w:ascii="Times New Roman" w:hAnsi="Times New Roman" w:eastAsia="宋体" w:cs="Times New Roman"/>
                      <w:i w:val="0"/>
                      <w:iCs w:val="0"/>
                      <w:color w:val="auto"/>
                      <w:sz w:val="21"/>
                      <w:szCs w:val="21"/>
                      <w:u w:val="none" w:color="auto"/>
                    </w:rPr>
                  </w:pPr>
                </w:p>
              </w:tc>
              <w:tc>
                <w:tcPr>
                  <w:tcW w:w="832" w:type="pct"/>
                  <w:vMerge w:val="continue"/>
                  <w:tcBorders>
                    <w:tl2br w:val="nil"/>
                    <w:tr2bl w:val="nil"/>
                  </w:tcBorders>
                  <w:shd w:val="clear" w:color="auto" w:fill="auto"/>
                  <w:vAlign w:val="center"/>
                </w:tcPr>
                <w:p w14:paraId="640B2CE8">
                  <w:pPr>
                    <w:jc w:val="center"/>
                    <w:rPr>
                      <w:rFonts w:hint="default" w:ascii="Times New Roman" w:hAnsi="Times New Roman" w:eastAsia="宋体" w:cs="Times New Roman"/>
                      <w:i w:val="0"/>
                      <w:iCs w:val="0"/>
                      <w:color w:val="auto"/>
                      <w:sz w:val="21"/>
                      <w:szCs w:val="21"/>
                      <w:u w:val="none" w:color="auto"/>
                    </w:rPr>
                  </w:pPr>
                </w:p>
              </w:tc>
              <w:tc>
                <w:tcPr>
                  <w:tcW w:w="833" w:type="pct"/>
                  <w:tcBorders>
                    <w:tl2br w:val="nil"/>
                    <w:tr2bl w:val="nil"/>
                  </w:tcBorders>
                  <w:shd w:val="clear" w:color="auto" w:fill="auto"/>
                  <w:vAlign w:val="center"/>
                </w:tcPr>
                <w:p w14:paraId="487185A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833" w:type="pct"/>
                  <w:vMerge w:val="restart"/>
                  <w:tcBorders>
                    <w:tl2br w:val="nil"/>
                    <w:tr2bl w:val="nil"/>
                  </w:tcBorders>
                  <w:shd w:val="clear" w:color="auto" w:fill="auto"/>
                  <w:vAlign w:val="center"/>
                </w:tcPr>
                <w:p w14:paraId="0CC98B1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压铸工序</w:t>
                  </w:r>
                </w:p>
              </w:tc>
              <w:tc>
                <w:tcPr>
                  <w:tcW w:w="833" w:type="pct"/>
                  <w:tcBorders>
                    <w:tl2br w:val="nil"/>
                    <w:tr2bl w:val="nil"/>
                  </w:tcBorders>
                  <w:shd w:val="clear" w:color="auto" w:fill="auto"/>
                  <w:vAlign w:val="center"/>
                </w:tcPr>
                <w:p w14:paraId="251F565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废脱模剂桶</w:t>
                  </w:r>
                </w:p>
              </w:tc>
              <w:tc>
                <w:tcPr>
                  <w:tcW w:w="833" w:type="pct"/>
                  <w:vMerge w:val="continue"/>
                  <w:tcBorders>
                    <w:tl2br w:val="nil"/>
                    <w:tr2bl w:val="nil"/>
                  </w:tcBorders>
                  <w:shd w:val="clear" w:color="auto" w:fill="auto"/>
                  <w:vAlign w:val="center"/>
                </w:tcPr>
                <w:p w14:paraId="7D05C188">
                  <w:pPr>
                    <w:jc w:val="center"/>
                    <w:rPr>
                      <w:rFonts w:hint="default" w:ascii="Times New Roman" w:hAnsi="Times New Roman" w:eastAsia="宋体" w:cs="Times New Roman"/>
                      <w:i w:val="0"/>
                      <w:iCs w:val="0"/>
                      <w:color w:val="auto"/>
                      <w:sz w:val="21"/>
                      <w:szCs w:val="21"/>
                      <w:u w:val="none" w:color="auto"/>
                    </w:rPr>
                  </w:pPr>
                </w:p>
              </w:tc>
            </w:tr>
            <w:tr w14:paraId="02B8FA4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832" w:type="pct"/>
                  <w:vMerge w:val="continue"/>
                  <w:tcBorders>
                    <w:tl2br w:val="nil"/>
                    <w:tr2bl w:val="nil"/>
                  </w:tcBorders>
                  <w:shd w:val="clear" w:color="auto" w:fill="auto"/>
                  <w:vAlign w:val="center"/>
                </w:tcPr>
                <w:p w14:paraId="37A01BFC">
                  <w:pPr>
                    <w:jc w:val="center"/>
                    <w:rPr>
                      <w:rFonts w:hint="default" w:ascii="Times New Roman" w:hAnsi="Times New Roman" w:eastAsia="宋体" w:cs="Times New Roman"/>
                      <w:i w:val="0"/>
                      <w:iCs w:val="0"/>
                      <w:color w:val="auto"/>
                      <w:sz w:val="21"/>
                      <w:szCs w:val="21"/>
                      <w:u w:val="none" w:color="auto"/>
                    </w:rPr>
                  </w:pPr>
                </w:p>
              </w:tc>
              <w:tc>
                <w:tcPr>
                  <w:tcW w:w="832" w:type="pct"/>
                  <w:vMerge w:val="continue"/>
                  <w:tcBorders>
                    <w:tl2br w:val="nil"/>
                    <w:tr2bl w:val="nil"/>
                  </w:tcBorders>
                  <w:shd w:val="clear" w:color="auto" w:fill="auto"/>
                  <w:vAlign w:val="center"/>
                </w:tcPr>
                <w:p w14:paraId="4B2BDFA8">
                  <w:pPr>
                    <w:jc w:val="center"/>
                    <w:rPr>
                      <w:rFonts w:hint="default" w:ascii="Times New Roman" w:hAnsi="Times New Roman" w:eastAsia="宋体" w:cs="Times New Roman"/>
                      <w:i w:val="0"/>
                      <w:iCs w:val="0"/>
                      <w:color w:val="auto"/>
                      <w:sz w:val="21"/>
                      <w:szCs w:val="21"/>
                      <w:u w:val="none" w:color="auto"/>
                    </w:rPr>
                  </w:pPr>
                </w:p>
              </w:tc>
              <w:tc>
                <w:tcPr>
                  <w:tcW w:w="833" w:type="pct"/>
                  <w:tcBorders>
                    <w:tl2br w:val="nil"/>
                    <w:tr2bl w:val="nil"/>
                  </w:tcBorders>
                  <w:shd w:val="clear" w:color="auto" w:fill="auto"/>
                  <w:vAlign w:val="center"/>
                </w:tcPr>
                <w:p w14:paraId="46B2983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833" w:type="pct"/>
                  <w:vMerge w:val="continue"/>
                  <w:tcBorders>
                    <w:tl2br w:val="nil"/>
                    <w:tr2bl w:val="nil"/>
                  </w:tcBorders>
                  <w:shd w:val="clear" w:color="auto" w:fill="auto"/>
                  <w:vAlign w:val="center"/>
                </w:tcPr>
                <w:p w14:paraId="09B5345F">
                  <w:pPr>
                    <w:jc w:val="center"/>
                    <w:rPr>
                      <w:rFonts w:hint="default" w:ascii="Times New Roman" w:hAnsi="Times New Roman" w:eastAsia="宋体" w:cs="Times New Roman"/>
                      <w:i w:val="0"/>
                      <w:iCs w:val="0"/>
                      <w:color w:val="auto"/>
                      <w:sz w:val="21"/>
                      <w:szCs w:val="21"/>
                      <w:u w:val="none" w:color="auto"/>
                    </w:rPr>
                  </w:pPr>
                </w:p>
              </w:tc>
              <w:tc>
                <w:tcPr>
                  <w:tcW w:w="833" w:type="pct"/>
                  <w:tcBorders>
                    <w:tl2br w:val="nil"/>
                    <w:tr2bl w:val="nil"/>
                  </w:tcBorders>
                  <w:shd w:val="clear" w:color="auto" w:fill="auto"/>
                  <w:vAlign w:val="center"/>
                </w:tcPr>
                <w:p w14:paraId="4374260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废液压油桶</w:t>
                  </w:r>
                </w:p>
              </w:tc>
              <w:tc>
                <w:tcPr>
                  <w:tcW w:w="833" w:type="pct"/>
                  <w:vMerge w:val="continue"/>
                  <w:tcBorders>
                    <w:tl2br w:val="nil"/>
                    <w:tr2bl w:val="nil"/>
                  </w:tcBorders>
                  <w:shd w:val="clear" w:color="auto" w:fill="auto"/>
                  <w:vAlign w:val="center"/>
                </w:tcPr>
                <w:p w14:paraId="31FD73C1">
                  <w:pPr>
                    <w:jc w:val="center"/>
                    <w:rPr>
                      <w:rFonts w:hint="default" w:ascii="Times New Roman" w:hAnsi="Times New Roman" w:eastAsia="宋体" w:cs="Times New Roman"/>
                      <w:i w:val="0"/>
                      <w:iCs w:val="0"/>
                      <w:color w:val="auto"/>
                      <w:sz w:val="21"/>
                      <w:szCs w:val="21"/>
                      <w:u w:val="none" w:color="auto"/>
                    </w:rPr>
                  </w:pPr>
                </w:p>
              </w:tc>
            </w:tr>
            <w:tr w14:paraId="1616D02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trPr>
              <w:tc>
                <w:tcPr>
                  <w:tcW w:w="832" w:type="pct"/>
                  <w:vMerge w:val="continue"/>
                  <w:tcBorders>
                    <w:tl2br w:val="nil"/>
                    <w:tr2bl w:val="nil"/>
                  </w:tcBorders>
                  <w:shd w:val="clear" w:color="auto" w:fill="auto"/>
                  <w:vAlign w:val="center"/>
                </w:tcPr>
                <w:p w14:paraId="5B561E1F">
                  <w:pPr>
                    <w:jc w:val="center"/>
                    <w:rPr>
                      <w:rFonts w:hint="default" w:ascii="Times New Roman" w:hAnsi="Times New Roman" w:eastAsia="宋体" w:cs="Times New Roman"/>
                      <w:i w:val="0"/>
                      <w:iCs w:val="0"/>
                      <w:color w:val="auto"/>
                      <w:sz w:val="21"/>
                      <w:szCs w:val="21"/>
                      <w:u w:val="none" w:color="auto"/>
                    </w:rPr>
                  </w:pPr>
                </w:p>
              </w:tc>
              <w:tc>
                <w:tcPr>
                  <w:tcW w:w="832" w:type="pct"/>
                  <w:vMerge w:val="continue"/>
                  <w:tcBorders>
                    <w:tl2br w:val="nil"/>
                    <w:tr2bl w:val="nil"/>
                  </w:tcBorders>
                  <w:shd w:val="clear" w:color="auto" w:fill="auto"/>
                  <w:vAlign w:val="center"/>
                </w:tcPr>
                <w:p w14:paraId="5E8B486B">
                  <w:pPr>
                    <w:jc w:val="center"/>
                    <w:rPr>
                      <w:rFonts w:hint="default" w:ascii="Times New Roman" w:hAnsi="Times New Roman" w:eastAsia="宋体" w:cs="Times New Roman"/>
                      <w:i w:val="0"/>
                      <w:iCs w:val="0"/>
                      <w:color w:val="auto"/>
                      <w:sz w:val="21"/>
                      <w:szCs w:val="21"/>
                      <w:u w:val="none" w:color="auto"/>
                    </w:rPr>
                  </w:pPr>
                </w:p>
              </w:tc>
              <w:tc>
                <w:tcPr>
                  <w:tcW w:w="833" w:type="pct"/>
                  <w:tcBorders>
                    <w:tl2br w:val="nil"/>
                    <w:tr2bl w:val="nil"/>
                  </w:tcBorders>
                  <w:shd w:val="clear" w:color="auto" w:fill="auto"/>
                  <w:vAlign w:val="center"/>
                </w:tcPr>
                <w:p w14:paraId="7F3677E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p>
              </w:tc>
              <w:tc>
                <w:tcPr>
                  <w:tcW w:w="833" w:type="pct"/>
                  <w:tcBorders>
                    <w:tl2br w:val="nil"/>
                    <w:tr2bl w:val="nil"/>
                  </w:tcBorders>
                  <w:shd w:val="clear" w:color="auto" w:fill="auto"/>
                  <w:vAlign w:val="center"/>
                </w:tcPr>
                <w:p w14:paraId="7D5A6EF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生物质颗粒</w:t>
                  </w:r>
                </w:p>
              </w:tc>
              <w:tc>
                <w:tcPr>
                  <w:tcW w:w="833" w:type="pct"/>
                  <w:tcBorders>
                    <w:tl2br w:val="nil"/>
                    <w:tr2bl w:val="nil"/>
                  </w:tcBorders>
                  <w:shd w:val="clear" w:color="auto" w:fill="auto"/>
                  <w:vAlign w:val="center"/>
                </w:tcPr>
                <w:p w14:paraId="1DA2AD4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生物质颗粒包装袋</w:t>
                  </w:r>
                </w:p>
              </w:tc>
              <w:tc>
                <w:tcPr>
                  <w:tcW w:w="833" w:type="pct"/>
                  <w:tcBorders>
                    <w:tl2br w:val="nil"/>
                    <w:tr2bl w:val="nil"/>
                  </w:tcBorders>
                  <w:shd w:val="clear" w:color="auto" w:fill="auto"/>
                  <w:vAlign w:val="center"/>
                </w:tcPr>
                <w:p w14:paraId="27CC5CC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供应商回收再利用</w:t>
                  </w:r>
                </w:p>
              </w:tc>
            </w:tr>
            <w:tr w14:paraId="593DABD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trPr>
              <w:tc>
                <w:tcPr>
                  <w:tcW w:w="832" w:type="pct"/>
                  <w:vMerge w:val="continue"/>
                  <w:tcBorders>
                    <w:tl2br w:val="nil"/>
                    <w:tr2bl w:val="nil"/>
                  </w:tcBorders>
                  <w:shd w:val="clear" w:color="auto" w:fill="auto"/>
                  <w:vAlign w:val="center"/>
                </w:tcPr>
                <w:p w14:paraId="256B1EB5">
                  <w:pPr>
                    <w:jc w:val="center"/>
                    <w:rPr>
                      <w:rFonts w:hint="default" w:ascii="Times New Roman" w:hAnsi="Times New Roman" w:eastAsia="宋体" w:cs="Times New Roman"/>
                      <w:i w:val="0"/>
                      <w:iCs w:val="0"/>
                      <w:color w:val="auto"/>
                      <w:sz w:val="21"/>
                      <w:szCs w:val="21"/>
                      <w:u w:val="none" w:color="auto"/>
                    </w:rPr>
                  </w:pPr>
                </w:p>
              </w:tc>
              <w:tc>
                <w:tcPr>
                  <w:tcW w:w="832" w:type="pct"/>
                  <w:vMerge w:val="continue"/>
                  <w:tcBorders>
                    <w:tl2br w:val="nil"/>
                    <w:tr2bl w:val="nil"/>
                  </w:tcBorders>
                  <w:shd w:val="clear" w:color="auto" w:fill="auto"/>
                  <w:vAlign w:val="center"/>
                </w:tcPr>
                <w:p w14:paraId="3C38AC63">
                  <w:pPr>
                    <w:jc w:val="center"/>
                    <w:rPr>
                      <w:rFonts w:hint="default" w:ascii="Times New Roman" w:hAnsi="Times New Roman" w:eastAsia="宋体" w:cs="Times New Roman"/>
                      <w:i w:val="0"/>
                      <w:iCs w:val="0"/>
                      <w:color w:val="auto"/>
                      <w:sz w:val="21"/>
                      <w:szCs w:val="21"/>
                      <w:u w:val="none" w:color="auto"/>
                    </w:rPr>
                  </w:pPr>
                </w:p>
              </w:tc>
              <w:tc>
                <w:tcPr>
                  <w:tcW w:w="833" w:type="pct"/>
                  <w:tcBorders>
                    <w:tl2br w:val="nil"/>
                    <w:tr2bl w:val="nil"/>
                  </w:tcBorders>
                  <w:shd w:val="clear" w:color="auto" w:fill="auto"/>
                  <w:vAlign w:val="center"/>
                </w:tcPr>
                <w:p w14:paraId="7C28DBE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833" w:type="pct"/>
                  <w:tcBorders>
                    <w:tl2br w:val="nil"/>
                    <w:tr2bl w:val="nil"/>
                  </w:tcBorders>
                  <w:shd w:val="clear" w:color="auto" w:fill="auto"/>
                  <w:vAlign w:val="center"/>
                </w:tcPr>
                <w:p w14:paraId="404FD60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模具预热</w:t>
                  </w:r>
                </w:p>
              </w:tc>
              <w:tc>
                <w:tcPr>
                  <w:tcW w:w="833" w:type="pct"/>
                  <w:tcBorders>
                    <w:tl2br w:val="nil"/>
                    <w:tr2bl w:val="nil"/>
                  </w:tcBorders>
                  <w:shd w:val="clear" w:color="auto" w:fill="auto"/>
                  <w:vAlign w:val="center"/>
                </w:tcPr>
                <w:p w14:paraId="34C5421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废导热油</w:t>
                  </w:r>
                </w:p>
              </w:tc>
              <w:tc>
                <w:tcPr>
                  <w:tcW w:w="833" w:type="pct"/>
                  <w:tcBorders>
                    <w:tl2br w:val="nil"/>
                    <w:tr2bl w:val="nil"/>
                  </w:tcBorders>
                  <w:shd w:val="clear" w:color="auto" w:fill="auto"/>
                  <w:vAlign w:val="center"/>
                </w:tcPr>
                <w:p w14:paraId="5C2CCE9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每五年更换一次，由设备供应商或导热油供应商现场更换</w:t>
                  </w:r>
                </w:p>
              </w:tc>
            </w:tr>
            <w:tr w14:paraId="7CBD091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trPr>
              <w:tc>
                <w:tcPr>
                  <w:tcW w:w="832" w:type="pct"/>
                  <w:vMerge w:val="continue"/>
                  <w:tcBorders>
                    <w:tl2br w:val="nil"/>
                    <w:tr2bl w:val="nil"/>
                  </w:tcBorders>
                  <w:shd w:val="clear" w:color="auto" w:fill="auto"/>
                  <w:vAlign w:val="center"/>
                </w:tcPr>
                <w:p w14:paraId="33CF7F9D">
                  <w:pPr>
                    <w:jc w:val="center"/>
                    <w:rPr>
                      <w:rFonts w:hint="default" w:ascii="Times New Roman" w:hAnsi="Times New Roman" w:eastAsia="宋体" w:cs="Times New Roman"/>
                      <w:i w:val="0"/>
                      <w:iCs w:val="0"/>
                      <w:color w:val="auto"/>
                      <w:sz w:val="21"/>
                      <w:szCs w:val="21"/>
                      <w:u w:val="none" w:color="auto"/>
                    </w:rPr>
                  </w:pPr>
                </w:p>
              </w:tc>
              <w:tc>
                <w:tcPr>
                  <w:tcW w:w="832" w:type="pct"/>
                  <w:vMerge w:val="restart"/>
                  <w:tcBorders>
                    <w:tl2br w:val="nil"/>
                    <w:tr2bl w:val="nil"/>
                  </w:tcBorders>
                  <w:shd w:val="clear" w:color="auto" w:fill="auto"/>
                  <w:vAlign w:val="center"/>
                </w:tcPr>
                <w:p w14:paraId="4D638DB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临港高新产业园区</w:t>
                  </w:r>
                </w:p>
              </w:tc>
              <w:tc>
                <w:tcPr>
                  <w:tcW w:w="833" w:type="pct"/>
                  <w:vMerge w:val="restart"/>
                  <w:tcBorders>
                    <w:tl2br w:val="nil"/>
                    <w:tr2bl w:val="nil"/>
                  </w:tcBorders>
                  <w:shd w:val="clear" w:color="auto" w:fill="auto"/>
                  <w:vAlign w:val="center"/>
                </w:tcPr>
                <w:p w14:paraId="52AB018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833" w:type="pct"/>
                  <w:vMerge w:val="restart"/>
                  <w:tcBorders>
                    <w:tl2br w:val="nil"/>
                    <w:tr2bl w:val="nil"/>
                  </w:tcBorders>
                  <w:shd w:val="clear" w:color="auto" w:fill="auto"/>
                  <w:vAlign w:val="center"/>
                </w:tcPr>
                <w:p w14:paraId="3940990C">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u w:val="none" w:color="auto"/>
                      <w:lang w:val="en-US" w:eastAsia="zh-CN" w:bidi="ar-SA"/>
                    </w:rPr>
                  </w:pPr>
                  <w:r>
                    <w:rPr>
                      <w:rFonts w:hint="default" w:ascii="Times New Roman" w:hAnsi="Times New Roman" w:eastAsia="宋体" w:cs="Times New Roman"/>
                      <w:i w:val="0"/>
                      <w:iCs w:val="0"/>
                      <w:color w:val="auto"/>
                      <w:kern w:val="0"/>
                      <w:sz w:val="21"/>
                      <w:szCs w:val="21"/>
                      <w:u w:val="none" w:color="auto"/>
                      <w:lang w:val="en-US" w:eastAsia="zh-CN" w:bidi="ar"/>
                    </w:rPr>
                    <w:t>办公生活</w:t>
                  </w:r>
                </w:p>
              </w:tc>
              <w:tc>
                <w:tcPr>
                  <w:tcW w:w="833" w:type="pct"/>
                  <w:tcBorders>
                    <w:tl2br w:val="nil"/>
                    <w:tr2bl w:val="nil"/>
                  </w:tcBorders>
                  <w:shd w:val="clear" w:color="auto" w:fill="auto"/>
                  <w:vAlign w:val="center"/>
                </w:tcPr>
                <w:p w14:paraId="494C15CE">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u w:val="none" w:color="auto"/>
                      <w:lang w:val="en-US" w:eastAsia="zh-CN" w:bidi="ar-SA"/>
                    </w:rPr>
                  </w:pPr>
                  <w:r>
                    <w:rPr>
                      <w:rFonts w:hint="default" w:ascii="Times New Roman" w:hAnsi="Times New Roman" w:eastAsia="宋体" w:cs="Times New Roman"/>
                      <w:i w:val="0"/>
                      <w:iCs w:val="0"/>
                      <w:color w:val="auto"/>
                      <w:kern w:val="0"/>
                      <w:sz w:val="21"/>
                      <w:szCs w:val="21"/>
                      <w:u w:val="none" w:color="auto"/>
                      <w:lang w:val="en-US" w:eastAsia="zh-CN" w:bidi="ar"/>
                    </w:rPr>
                    <w:t>生活垃圾</w:t>
                  </w:r>
                </w:p>
              </w:tc>
              <w:tc>
                <w:tcPr>
                  <w:tcW w:w="833" w:type="pct"/>
                  <w:tcBorders>
                    <w:tl2br w:val="nil"/>
                    <w:tr2bl w:val="nil"/>
                  </w:tcBorders>
                  <w:shd w:val="clear" w:color="auto" w:fill="auto"/>
                  <w:vAlign w:val="center"/>
                </w:tcPr>
                <w:p w14:paraId="64672D8F">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u w:val="none" w:color="auto"/>
                      <w:lang w:val="en-US" w:eastAsia="zh-CN" w:bidi="ar-SA"/>
                    </w:rPr>
                  </w:pPr>
                  <w:r>
                    <w:rPr>
                      <w:rFonts w:hint="default" w:ascii="Times New Roman" w:hAnsi="Times New Roman" w:eastAsia="宋体" w:cs="Times New Roman"/>
                      <w:i w:val="0"/>
                      <w:iCs w:val="0"/>
                      <w:color w:val="auto"/>
                      <w:kern w:val="0"/>
                      <w:sz w:val="21"/>
                      <w:szCs w:val="21"/>
                      <w:u w:val="none" w:color="auto"/>
                      <w:lang w:val="en-US" w:eastAsia="zh-CN" w:bidi="ar"/>
                    </w:rPr>
                    <w:t>分类收集后交由环卫部门清运处理</w:t>
                  </w:r>
                </w:p>
              </w:tc>
            </w:tr>
            <w:tr w14:paraId="6F14656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trPr>
              <w:tc>
                <w:tcPr>
                  <w:tcW w:w="832" w:type="pct"/>
                  <w:vMerge w:val="continue"/>
                  <w:tcBorders>
                    <w:tl2br w:val="nil"/>
                    <w:tr2bl w:val="nil"/>
                  </w:tcBorders>
                  <w:shd w:val="clear" w:color="auto" w:fill="auto"/>
                  <w:vAlign w:val="center"/>
                </w:tcPr>
                <w:p w14:paraId="3327C9B2">
                  <w:pPr>
                    <w:jc w:val="center"/>
                    <w:rPr>
                      <w:rFonts w:hint="default" w:ascii="Times New Roman" w:hAnsi="Times New Roman" w:eastAsia="宋体" w:cs="Times New Roman"/>
                      <w:i w:val="0"/>
                      <w:iCs w:val="0"/>
                      <w:color w:val="auto"/>
                      <w:sz w:val="21"/>
                      <w:szCs w:val="21"/>
                      <w:u w:val="none" w:color="auto"/>
                    </w:rPr>
                  </w:pPr>
                </w:p>
              </w:tc>
              <w:tc>
                <w:tcPr>
                  <w:tcW w:w="832" w:type="pct"/>
                  <w:vMerge w:val="continue"/>
                  <w:tcBorders>
                    <w:tl2br w:val="nil"/>
                    <w:tr2bl w:val="nil"/>
                  </w:tcBorders>
                  <w:shd w:val="clear" w:color="auto" w:fill="auto"/>
                  <w:vAlign w:val="center"/>
                </w:tcPr>
                <w:p w14:paraId="5BE84A4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p>
              </w:tc>
              <w:tc>
                <w:tcPr>
                  <w:tcW w:w="833" w:type="pct"/>
                  <w:vMerge w:val="continue"/>
                  <w:tcBorders>
                    <w:tl2br w:val="nil"/>
                    <w:tr2bl w:val="nil"/>
                  </w:tcBorders>
                  <w:shd w:val="clear" w:color="auto" w:fill="auto"/>
                  <w:vAlign w:val="center"/>
                </w:tcPr>
                <w:p w14:paraId="4095250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p>
              </w:tc>
              <w:tc>
                <w:tcPr>
                  <w:tcW w:w="833" w:type="pct"/>
                  <w:vMerge w:val="continue"/>
                  <w:tcBorders>
                    <w:tl2br w:val="nil"/>
                    <w:tr2bl w:val="nil"/>
                  </w:tcBorders>
                  <w:shd w:val="clear" w:color="auto" w:fill="auto"/>
                  <w:vAlign w:val="center"/>
                </w:tcPr>
                <w:p w14:paraId="604A3D9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p>
              </w:tc>
              <w:tc>
                <w:tcPr>
                  <w:tcW w:w="833" w:type="pct"/>
                  <w:tcBorders>
                    <w:tl2br w:val="nil"/>
                    <w:tr2bl w:val="nil"/>
                  </w:tcBorders>
                  <w:shd w:val="clear" w:color="auto" w:fill="auto"/>
                  <w:vAlign w:val="center"/>
                </w:tcPr>
                <w:p w14:paraId="4A08B72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生活污水</w:t>
                  </w:r>
                </w:p>
              </w:tc>
              <w:tc>
                <w:tcPr>
                  <w:tcW w:w="833" w:type="pct"/>
                  <w:tcBorders>
                    <w:tl2br w:val="nil"/>
                    <w:tr2bl w:val="nil"/>
                  </w:tcBorders>
                  <w:shd w:val="clear" w:color="auto" w:fill="auto"/>
                  <w:vAlign w:val="center"/>
                </w:tcPr>
                <w:p w14:paraId="578D35E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化粪池处理后排入市政污水管网</w:t>
                  </w:r>
                </w:p>
              </w:tc>
            </w:tr>
            <w:tr w14:paraId="2FE78A0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trPr>
              <w:tc>
                <w:tcPr>
                  <w:tcW w:w="832" w:type="pct"/>
                  <w:vMerge w:val="continue"/>
                  <w:tcBorders>
                    <w:tl2br w:val="nil"/>
                    <w:tr2bl w:val="nil"/>
                  </w:tcBorders>
                  <w:shd w:val="clear" w:color="auto" w:fill="auto"/>
                  <w:vAlign w:val="center"/>
                </w:tcPr>
                <w:p w14:paraId="1ADA0100">
                  <w:pPr>
                    <w:jc w:val="center"/>
                    <w:rPr>
                      <w:rFonts w:hint="default" w:ascii="Times New Roman" w:hAnsi="Times New Roman" w:eastAsia="宋体" w:cs="Times New Roman"/>
                      <w:i w:val="0"/>
                      <w:iCs w:val="0"/>
                      <w:color w:val="auto"/>
                      <w:sz w:val="21"/>
                      <w:szCs w:val="21"/>
                      <w:u w:val="none" w:color="auto"/>
                    </w:rPr>
                  </w:pPr>
                </w:p>
              </w:tc>
              <w:tc>
                <w:tcPr>
                  <w:tcW w:w="832" w:type="pct"/>
                  <w:vMerge w:val="continue"/>
                  <w:tcBorders>
                    <w:tl2br w:val="nil"/>
                    <w:tr2bl w:val="nil"/>
                  </w:tcBorders>
                  <w:shd w:val="clear" w:color="auto" w:fill="auto"/>
                  <w:vAlign w:val="center"/>
                </w:tcPr>
                <w:p w14:paraId="577C81E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p>
              </w:tc>
              <w:tc>
                <w:tcPr>
                  <w:tcW w:w="833" w:type="pct"/>
                  <w:tcBorders>
                    <w:tl2br w:val="nil"/>
                    <w:tr2bl w:val="nil"/>
                  </w:tcBorders>
                  <w:shd w:val="clear" w:color="auto" w:fill="auto"/>
                  <w:vAlign w:val="center"/>
                </w:tcPr>
                <w:p w14:paraId="2B98910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833" w:type="pct"/>
                  <w:tcBorders>
                    <w:tl2br w:val="nil"/>
                    <w:tr2bl w:val="nil"/>
                  </w:tcBorders>
                  <w:shd w:val="clear" w:color="auto" w:fill="auto"/>
                  <w:vAlign w:val="center"/>
                </w:tcPr>
                <w:p w14:paraId="28384975">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u w:val="none" w:color="auto"/>
                      <w:lang w:val="en-US" w:eastAsia="zh-CN" w:bidi="ar-SA"/>
                    </w:rPr>
                  </w:pPr>
                  <w:r>
                    <w:rPr>
                      <w:rFonts w:hint="default" w:ascii="Times New Roman" w:hAnsi="Times New Roman" w:eastAsia="宋体" w:cs="Times New Roman"/>
                      <w:i w:val="0"/>
                      <w:iCs w:val="0"/>
                      <w:color w:val="auto"/>
                      <w:kern w:val="0"/>
                      <w:sz w:val="21"/>
                      <w:szCs w:val="21"/>
                      <w:u w:val="none" w:color="auto"/>
                      <w:lang w:val="en-US" w:eastAsia="zh-CN" w:bidi="ar"/>
                    </w:rPr>
                    <w:t>浸渗处理</w:t>
                  </w:r>
                </w:p>
              </w:tc>
              <w:tc>
                <w:tcPr>
                  <w:tcW w:w="833" w:type="pct"/>
                  <w:tcBorders>
                    <w:tl2br w:val="nil"/>
                    <w:tr2bl w:val="nil"/>
                  </w:tcBorders>
                  <w:shd w:val="clear" w:color="auto" w:fill="auto"/>
                  <w:vAlign w:val="center"/>
                </w:tcPr>
                <w:p w14:paraId="381004C8">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u w:val="none" w:color="auto"/>
                      <w:lang w:val="en-US" w:eastAsia="zh-CN" w:bidi="ar-SA"/>
                    </w:rPr>
                  </w:pPr>
                  <w:r>
                    <w:rPr>
                      <w:rFonts w:hint="default" w:ascii="Times New Roman" w:hAnsi="Times New Roman" w:eastAsia="宋体" w:cs="Times New Roman"/>
                      <w:i w:val="0"/>
                      <w:iCs w:val="0"/>
                      <w:color w:val="auto"/>
                      <w:kern w:val="0"/>
                      <w:sz w:val="21"/>
                      <w:szCs w:val="21"/>
                      <w:u w:val="none" w:color="auto"/>
                      <w:lang w:val="en-US" w:eastAsia="zh-CN" w:bidi="ar"/>
                    </w:rPr>
                    <w:t>废浸渗液桶</w:t>
                  </w:r>
                </w:p>
              </w:tc>
              <w:tc>
                <w:tcPr>
                  <w:tcW w:w="833" w:type="pct"/>
                  <w:tcBorders>
                    <w:tl2br w:val="nil"/>
                    <w:tr2bl w:val="nil"/>
                  </w:tcBorders>
                  <w:shd w:val="clear" w:color="auto" w:fill="auto"/>
                  <w:vAlign w:val="center"/>
                </w:tcPr>
                <w:p w14:paraId="68F6204D">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u w:val="none" w:color="auto"/>
                      <w:lang w:val="en-US" w:eastAsia="zh-CN" w:bidi="ar-SA"/>
                    </w:rPr>
                  </w:pPr>
                  <w:r>
                    <w:rPr>
                      <w:rFonts w:hint="default" w:ascii="Times New Roman" w:hAnsi="Times New Roman" w:eastAsia="宋体" w:cs="Times New Roman"/>
                      <w:i w:val="0"/>
                      <w:iCs w:val="0"/>
                      <w:color w:val="auto"/>
                      <w:kern w:val="0"/>
                      <w:sz w:val="21"/>
                      <w:szCs w:val="21"/>
                      <w:u w:val="none" w:color="auto"/>
                      <w:lang w:val="en-US" w:eastAsia="zh-CN" w:bidi="ar"/>
                    </w:rPr>
                    <w:t>经危废暂存间暂存后交由危废资质单位无害化处理</w:t>
                  </w:r>
                </w:p>
              </w:tc>
            </w:tr>
            <w:tr w14:paraId="7C5D4C5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trPr>
              <w:tc>
                <w:tcPr>
                  <w:tcW w:w="832" w:type="pct"/>
                  <w:vMerge w:val="continue"/>
                  <w:tcBorders>
                    <w:tl2br w:val="nil"/>
                    <w:tr2bl w:val="nil"/>
                  </w:tcBorders>
                  <w:shd w:val="clear" w:color="auto" w:fill="auto"/>
                  <w:vAlign w:val="center"/>
                </w:tcPr>
                <w:p w14:paraId="13C3E4C3">
                  <w:pPr>
                    <w:jc w:val="center"/>
                    <w:rPr>
                      <w:rFonts w:hint="default" w:ascii="Times New Roman" w:hAnsi="Times New Roman" w:eastAsia="宋体" w:cs="Times New Roman"/>
                      <w:i w:val="0"/>
                      <w:iCs w:val="0"/>
                      <w:color w:val="auto"/>
                      <w:sz w:val="21"/>
                      <w:szCs w:val="21"/>
                      <w:u w:val="none" w:color="auto"/>
                    </w:rPr>
                  </w:pPr>
                </w:p>
              </w:tc>
              <w:tc>
                <w:tcPr>
                  <w:tcW w:w="832" w:type="pct"/>
                  <w:vMerge w:val="continue"/>
                  <w:tcBorders>
                    <w:tl2br w:val="nil"/>
                    <w:tr2bl w:val="nil"/>
                  </w:tcBorders>
                  <w:shd w:val="clear" w:color="auto" w:fill="auto"/>
                  <w:vAlign w:val="center"/>
                </w:tcPr>
                <w:p w14:paraId="5F857363">
                  <w:pPr>
                    <w:jc w:val="center"/>
                    <w:rPr>
                      <w:rFonts w:hint="default" w:ascii="Times New Roman" w:hAnsi="Times New Roman" w:eastAsia="宋体" w:cs="Times New Roman"/>
                      <w:i w:val="0"/>
                      <w:iCs w:val="0"/>
                      <w:color w:val="auto"/>
                      <w:sz w:val="21"/>
                      <w:szCs w:val="21"/>
                      <w:u w:val="none" w:color="auto"/>
                    </w:rPr>
                  </w:pPr>
                </w:p>
              </w:tc>
              <w:tc>
                <w:tcPr>
                  <w:tcW w:w="833" w:type="pct"/>
                  <w:tcBorders>
                    <w:tl2br w:val="nil"/>
                    <w:tr2bl w:val="nil"/>
                  </w:tcBorders>
                  <w:shd w:val="clear" w:color="auto" w:fill="auto"/>
                  <w:vAlign w:val="center"/>
                </w:tcPr>
                <w:p w14:paraId="2CBD009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833" w:type="pct"/>
                  <w:tcBorders>
                    <w:tl2br w:val="nil"/>
                    <w:tr2bl w:val="nil"/>
                  </w:tcBorders>
                  <w:shd w:val="clear" w:color="auto" w:fill="auto"/>
                  <w:vAlign w:val="center"/>
                </w:tcPr>
                <w:p w14:paraId="7BE08E4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切削液配置补充</w:t>
                  </w:r>
                </w:p>
              </w:tc>
              <w:tc>
                <w:tcPr>
                  <w:tcW w:w="833" w:type="pct"/>
                  <w:tcBorders>
                    <w:tl2br w:val="nil"/>
                    <w:tr2bl w:val="nil"/>
                  </w:tcBorders>
                  <w:shd w:val="clear" w:color="auto" w:fill="auto"/>
                  <w:vAlign w:val="center"/>
                </w:tcPr>
                <w:p w14:paraId="22FBF6F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废缓蚀剂桶</w:t>
                  </w:r>
                </w:p>
              </w:tc>
              <w:tc>
                <w:tcPr>
                  <w:tcW w:w="833" w:type="pct"/>
                  <w:vMerge w:val="restart"/>
                  <w:tcBorders>
                    <w:tl2br w:val="nil"/>
                    <w:tr2bl w:val="nil"/>
                  </w:tcBorders>
                  <w:shd w:val="clear" w:color="auto" w:fill="auto"/>
                  <w:vAlign w:val="center"/>
                </w:tcPr>
                <w:p w14:paraId="3D47DB2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返回供应商再利用</w:t>
                  </w:r>
                </w:p>
              </w:tc>
            </w:tr>
            <w:tr w14:paraId="474C5DC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trPr>
              <w:tc>
                <w:tcPr>
                  <w:tcW w:w="832" w:type="pct"/>
                  <w:vMerge w:val="continue"/>
                  <w:tcBorders>
                    <w:tl2br w:val="nil"/>
                    <w:tr2bl w:val="nil"/>
                  </w:tcBorders>
                  <w:shd w:val="clear" w:color="auto" w:fill="auto"/>
                  <w:vAlign w:val="center"/>
                </w:tcPr>
                <w:p w14:paraId="430E96C4">
                  <w:pPr>
                    <w:jc w:val="center"/>
                    <w:rPr>
                      <w:rFonts w:hint="default" w:ascii="Times New Roman" w:hAnsi="Times New Roman" w:eastAsia="宋体" w:cs="Times New Roman"/>
                      <w:i w:val="0"/>
                      <w:iCs w:val="0"/>
                      <w:color w:val="auto"/>
                      <w:sz w:val="21"/>
                      <w:szCs w:val="21"/>
                      <w:u w:val="none" w:color="auto"/>
                    </w:rPr>
                  </w:pPr>
                </w:p>
              </w:tc>
              <w:tc>
                <w:tcPr>
                  <w:tcW w:w="832" w:type="pct"/>
                  <w:vMerge w:val="continue"/>
                  <w:tcBorders>
                    <w:tl2br w:val="nil"/>
                    <w:tr2bl w:val="nil"/>
                  </w:tcBorders>
                  <w:shd w:val="clear" w:color="auto" w:fill="auto"/>
                  <w:vAlign w:val="center"/>
                </w:tcPr>
                <w:p w14:paraId="532D587E">
                  <w:pPr>
                    <w:jc w:val="center"/>
                    <w:rPr>
                      <w:rFonts w:hint="default" w:ascii="Times New Roman" w:hAnsi="Times New Roman" w:eastAsia="宋体" w:cs="Times New Roman"/>
                      <w:i w:val="0"/>
                      <w:iCs w:val="0"/>
                      <w:color w:val="auto"/>
                      <w:sz w:val="21"/>
                      <w:szCs w:val="21"/>
                      <w:u w:val="none" w:color="auto"/>
                    </w:rPr>
                  </w:pPr>
                </w:p>
              </w:tc>
              <w:tc>
                <w:tcPr>
                  <w:tcW w:w="833" w:type="pct"/>
                  <w:tcBorders>
                    <w:tl2br w:val="nil"/>
                    <w:tr2bl w:val="nil"/>
                  </w:tcBorders>
                  <w:shd w:val="clear" w:color="auto" w:fill="auto"/>
                  <w:vAlign w:val="center"/>
                </w:tcPr>
                <w:p w14:paraId="6D7F57E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833" w:type="pct"/>
                  <w:tcBorders>
                    <w:tl2br w:val="nil"/>
                    <w:tr2bl w:val="nil"/>
                  </w:tcBorders>
                  <w:shd w:val="clear" w:color="auto" w:fill="auto"/>
                  <w:vAlign w:val="center"/>
                </w:tcPr>
                <w:p w14:paraId="44105E4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高压清洗</w:t>
                  </w:r>
                </w:p>
              </w:tc>
              <w:tc>
                <w:tcPr>
                  <w:tcW w:w="833" w:type="pct"/>
                  <w:tcBorders>
                    <w:tl2br w:val="nil"/>
                    <w:tr2bl w:val="nil"/>
                  </w:tcBorders>
                  <w:shd w:val="clear" w:color="auto" w:fill="auto"/>
                  <w:vAlign w:val="center"/>
                </w:tcPr>
                <w:p w14:paraId="7DF125D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废清洗剂桶</w:t>
                  </w:r>
                </w:p>
              </w:tc>
              <w:tc>
                <w:tcPr>
                  <w:tcW w:w="833" w:type="pct"/>
                  <w:vMerge w:val="continue"/>
                  <w:tcBorders>
                    <w:tl2br w:val="nil"/>
                    <w:tr2bl w:val="nil"/>
                  </w:tcBorders>
                  <w:shd w:val="clear" w:color="auto" w:fill="auto"/>
                  <w:vAlign w:val="center"/>
                </w:tcPr>
                <w:p w14:paraId="1DEAFF39">
                  <w:pPr>
                    <w:jc w:val="center"/>
                    <w:rPr>
                      <w:rFonts w:hint="default" w:ascii="Times New Roman" w:hAnsi="Times New Roman" w:eastAsia="宋体" w:cs="Times New Roman"/>
                      <w:i w:val="0"/>
                      <w:iCs w:val="0"/>
                      <w:color w:val="auto"/>
                      <w:sz w:val="21"/>
                      <w:szCs w:val="21"/>
                      <w:u w:val="none" w:color="auto"/>
                    </w:rPr>
                  </w:pPr>
                </w:p>
              </w:tc>
            </w:tr>
            <w:tr w14:paraId="122334D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trPr>
              <w:tc>
                <w:tcPr>
                  <w:tcW w:w="832" w:type="pct"/>
                  <w:vMerge w:val="continue"/>
                  <w:tcBorders>
                    <w:tl2br w:val="nil"/>
                    <w:tr2bl w:val="nil"/>
                  </w:tcBorders>
                  <w:shd w:val="clear" w:color="auto" w:fill="auto"/>
                  <w:vAlign w:val="center"/>
                </w:tcPr>
                <w:p w14:paraId="211FA962">
                  <w:pPr>
                    <w:jc w:val="center"/>
                    <w:rPr>
                      <w:rFonts w:hint="default" w:ascii="Times New Roman" w:hAnsi="Times New Roman" w:eastAsia="宋体" w:cs="Times New Roman"/>
                      <w:i w:val="0"/>
                      <w:iCs w:val="0"/>
                      <w:color w:val="auto"/>
                      <w:sz w:val="21"/>
                      <w:szCs w:val="21"/>
                      <w:u w:val="none" w:color="auto"/>
                    </w:rPr>
                  </w:pPr>
                </w:p>
              </w:tc>
              <w:tc>
                <w:tcPr>
                  <w:tcW w:w="832" w:type="pct"/>
                  <w:vMerge w:val="continue"/>
                  <w:tcBorders>
                    <w:tl2br w:val="nil"/>
                    <w:tr2bl w:val="nil"/>
                  </w:tcBorders>
                  <w:shd w:val="clear" w:color="auto" w:fill="auto"/>
                  <w:vAlign w:val="center"/>
                </w:tcPr>
                <w:p w14:paraId="559F5517">
                  <w:pPr>
                    <w:jc w:val="center"/>
                    <w:rPr>
                      <w:rFonts w:hint="default" w:ascii="Times New Roman" w:hAnsi="Times New Roman" w:eastAsia="宋体" w:cs="Times New Roman"/>
                      <w:i w:val="0"/>
                      <w:iCs w:val="0"/>
                      <w:color w:val="auto"/>
                      <w:sz w:val="21"/>
                      <w:szCs w:val="21"/>
                      <w:u w:val="none" w:color="auto"/>
                    </w:rPr>
                  </w:pPr>
                </w:p>
              </w:tc>
              <w:tc>
                <w:tcPr>
                  <w:tcW w:w="833" w:type="pct"/>
                  <w:tcBorders>
                    <w:tl2br w:val="nil"/>
                    <w:tr2bl w:val="nil"/>
                  </w:tcBorders>
                  <w:shd w:val="clear" w:color="auto" w:fill="auto"/>
                  <w:vAlign w:val="center"/>
                </w:tcPr>
                <w:p w14:paraId="056C40D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833" w:type="pct"/>
                  <w:vMerge w:val="restart"/>
                  <w:tcBorders>
                    <w:tl2br w:val="nil"/>
                    <w:tr2bl w:val="nil"/>
                  </w:tcBorders>
                  <w:shd w:val="clear" w:color="auto" w:fill="auto"/>
                  <w:vAlign w:val="center"/>
                </w:tcPr>
                <w:p w14:paraId="1737531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机加工工序</w:t>
                  </w:r>
                </w:p>
              </w:tc>
              <w:tc>
                <w:tcPr>
                  <w:tcW w:w="833" w:type="pct"/>
                  <w:tcBorders>
                    <w:tl2br w:val="nil"/>
                    <w:tr2bl w:val="nil"/>
                  </w:tcBorders>
                  <w:shd w:val="clear" w:color="auto" w:fill="auto"/>
                  <w:vAlign w:val="center"/>
                </w:tcPr>
                <w:p w14:paraId="3680075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废刀具</w:t>
                  </w:r>
                </w:p>
              </w:tc>
              <w:tc>
                <w:tcPr>
                  <w:tcW w:w="833" w:type="pct"/>
                  <w:vMerge w:val="restart"/>
                  <w:tcBorders>
                    <w:tl2br w:val="nil"/>
                    <w:tr2bl w:val="nil"/>
                  </w:tcBorders>
                  <w:shd w:val="clear" w:color="auto" w:fill="auto"/>
                  <w:vAlign w:val="center"/>
                </w:tcPr>
                <w:p w14:paraId="1730202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外售综合利用</w:t>
                  </w:r>
                </w:p>
              </w:tc>
            </w:tr>
            <w:tr w14:paraId="10CAA6F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832" w:type="pct"/>
                  <w:vMerge w:val="continue"/>
                  <w:tcBorders>
                    <w:tl2br w:val="nil"/>
                    <w:tr2bl w:val="nil"/>
                  </w:tcBorders>
                  <w:shd w:val="clear" w:color="auto" w:fill="auto"/>
                  <w:vAlign w:val="center"/>
                </w:tcPr>
                <w:p w14:paraId="389A471D">
                  <w:pPr>
                    <w:jc w:val="center"/>
                    <w:rPr>
                      <w:rFonts w:hint="default" w:ascii="Times New Roman" w:hAnsi="Times New Roman" w:eastAsia="宋体" w:cs="Times New Roman"/>
                      <w:i w:val="0"/>
                      <w:iCs w:val="0"/>
                      <w:color w:val="auto"/>
                      <w:sz w:val="21"/>
                      <w:szCs w:val="21"/>
                      <w:u w:val="none" w:color="auto"/>
                    </w:rPr>
                  </w:pPr>
                </w:p>
              </w:tc>
              <w:tc>
                <w:tcPr>
                  <w:tcW w:w="832" w:type="pct"/>
                  <w:vMerge w:val="continue"/>
                  <w:tcBorders>
                    <w:tl2br w:val="nil"/>
                    <w:tr2bl w:val="nil"/>
                  </w:tcBorders>
                  <w:shd w:val="clear" w:color="auto" w:fill="auto"/>
                  <w:vAlign w:val="center"/>
                </w:tcPr>
                <w:p w14:paraId="44F603CB">
                  <w:pPr>
                    <w:jc w:val="center"/>
                    <w:rPr>
                      <w:rFonts w:hint="default" w:ascii="Times New Roman" w:hAnsi="Times New Roman" w:eastAsia="宋体" w:cs="Times New Roman"/>
                      <w:i w:val="0"/>
                      <w:iCs w:val="0"/>
                      <w:color w:val="auto"/>
                      <w:sz w:val="21"/>
                      <w:szCs w:val="21"/>
                      <w:u w:val="none" w:color="auto"/>
                    </w:rPr>
                  </w:pPr>
                </w:p>
              </w:tc>
              <w:tc>
                <w:tcPr>
                  <w:tcW w:w="833" w:type="pct"/>
                  <w:tcBorders>
                    <w:tl2br w:val="nil"/>
                    <w:tr2bl w:val="nil"/>
                  </w:tcBorders>
                  <w:shd w:val="clear" w:color="auto" w:fill="auto"/>
                  <w:vAlign w:val="center"/>
                </w:tcPr>
                <w:p w14:paraId="74FF1FA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833" w:type="pct"/>
                  <w:vMerge w:val="continue"/>
                  <w:tcBorders>
                    <w:tl2br w:val="nil"/>
                    <w:tr2bl w:val="nil"/>
                  </w:tcBorders>
                  <w:shd w:val="clear" w:color="auto" w:fill="auto"/>
                  <w:vAlign w:val="center"/>
                </w:tcPr>
                <w:p w14:paraId="53C9FDCE">
                  <w:pPr>
                    <w:jc w:val="center"/>
                    <w:rPr>
                      <w:rFonts w:hint="default" w:ascii="Times New Roman" w:hAnsi="Times New Roman" w:eastAsia="宋体" w:cs="Times New Roman"/>
                      <w:i w:val="0"/>
                      <w:iCs w:val="0"/>
                      <w:color w:val="auto"/>
                      <w:sz w:val="21"/>
                      <w:szCs w:val="21"/>
                      <w:u w:val="none" w:color="auto"/>
                    </w:rPr>
                  </w:pPr>
                </w:p>
              </w:tc>
              <w:tc>
                <w:tcPr>
                  <w:tcW w:w="833" w:type="pct"/>
                  <w:tcBorders>
                    <w:tl2br w:val="nil"/>
                    <w:tr2bl w:val="nil"/>
                  </w:tcBorders>
                  <w:shd w:val="clear" w:color="auto" w:fill="auto"/>
                  <w:vAlign w:val="center"/>
                </w:tcPr>
                <w:p w14:paraId="5A5400B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废砂带</w:t>
                  </w:r>
                </w:p>
              </w:tc>
              <w:tc>
                <w:tcPr>
                  <w:tcW w:w="833" w:type="pct"/>
                  <w:vMerge w:val="continue"/>
                  <w:tcBorders>
                    <w:tl2br w:val="nil"/>
                    <w:tr2bl w:val="nil"/>
                  </w:tcBorders>
                  <w:shd w:val="clear" w:color="auto" w:fill="auto"/>
                  <w:vAlign w:val="center"/>
                </w:tcPr>
                <w:p w14:paraId="169CD5E4">
                  <w:pPr>
                    <w:jc w:val="center"/>
                    <w:rPr>
                      <w:rFonts w:hint="default" w:ascii="Times New Roman" w:hAnsi="Times New Roman" w:eastAsia="宋体" w:cs="Times New Roman"/>
                      <w:i w:val="0"/>
                      <w:iCs w:val="0"/>
                      <w:color w:val="auto"/>
                      <w:sz w:val="21"/>
                      <w:szCs w:val="21"/>
                      <w:u w:val="none" w:color="auto"/>
                    </w:rPr>
                  </w:pPr>
                </w:p>
              </w:tc>
            </w:tr>
          </w:tbl>
          <w:p w14:paraId="1BEBED77">
            <w:pPr>
              <w:spacing w:line="360" w:lineRule="auto"/>
              <w:ind w:firstLine="420" w:firstLineChars="200"/>
              <w:rPr>
                <w:rFonts w:hint="default" w:ascii="Times New Roman" w:hAnsi="Times New Roman" w:eastAsia="宋体" w:cs="Times New Roman"/>
                <w:bCs/>
                <w:color w:val="auto"/>
                <w:szCs w:val="21"/>
                <w:u w:val="none" w:color="auto"/>
              </w:rPr>
            </w:pPr>
          </w:p>
        </w:tc>
      </w:tr>
      <w:tr w14:paraId="406E47C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19" w:hRule="atLeast"/>
          <w:jc w:val="center"/>
        </w:trPr>
        <w:tc>
          <w:tcPr>
            <w:tcW w:w="425" w:type="dxa"/>
            <w:noWrap w:val="0"/>
            <w:vAlign w:val="center"/>
          </w:tcPr>
          <w:p w14:paraId="0AEE1A74">
            <w:pPr>
              <w:pStyle w:val="26"/>
              <w:adjustRightInd w:val="0"/>
              <w:snapToGrid w:val="0"/>
              <w:spacing w:before="0" w:beforeAutospacing="0" w:after="0" w:afterAutospacing="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bCs/>
                <w:color w:val="auto"/>
                <w:kern w:val="2"/>
                <w:sz w:val="21"/>
                <w:szCs w:val="21"/>
                <w:u w:val="none" w:color="auto"/>
              </w:rPr>
              <w:t>与项目有关的原有环境污染问题</w:t>
            </w:r>
          </w:p>
        </w:tc>
        <w:tc>
          <w:tcPr>
            <w:tcW w:w="8719" w:type="dxa"/>
            <w:noWrap w:val="0"/>
            <w:vAlign w:val="center"/>
          </w:tcPr>
          <w:p w14:paraId="17C80116">
            <w:pPr>
              <w:widowControl/>
              <w:spacing w:line="360" w:lineRule="auto"/>
              <w:ind w:firstLine="482" w:firstLineChars="200"/>
              <w:jc w:val="left"/>
              <w:rPr>
                <w:rFonts w:hint="default" w:ascii="Times New Roman" w:hAnsi="Times New Roman" w:eastAsia="宋体" w:cs="Times New Roman"/>
                <w:color w:val="auto"/>
                <w:kern w:val="0"/>
                <w:sz w:val="24"/>
                <w:highlight w:val="none"/>
                <w:u w:val="none" w:color="auto"/>
              </w:rPr>
            </w:pPr>
            <w:r>
              <w:rPr>
                <w:rFonts w:hint="default" w:ascii="Times New Roman" w:hAnsi="Times New Roman" w:eastAsia="宋体" w:cs="Times New Roman"/>
                <w:b/>
                <w:bCs/>
                <w:color w:val="auto"/>
                <w:kern w:val="0"/>
                <w:sz w:val="24"/>
                <w:highlight w:val="none"/>
                <w:u w:val="none" w:color="auto"/>
              </w:rPr>
              <w:t>1、现有</w:t>
            </w:r>
            <w:r>
              <w:rPr>
                <w:rFonts w:hint="default" w:ascii="Times New Roman" w:hAnsi="Times New Roman" w:eastAsia="宋体" w:cs="Times New Roman"/>
                <w:b/>
                <w:bCs/>
                <w:color w:val="auto"/>
                <w:kern w:val="0"/>
                <w:sz w:val="24"/>
                <w:highlight w:val="none"/>
                <w:u w:val="none" w:color="auto"/>
                <w:lang w:eastAsia="zh-CN"/>
              </w:rPr>
              <w:t>工程</w:t>
            </w:r>
            <w:r>
              <w:rPr>
                <w:rFonts w:hint="default" w:ascii="Times New Roman" w:hAnsi="Times New Roman" w:eastAsia="宋体" w:cs="Times New Roman"/>
                <w:b/>
                <w:bCs/>
                <w:color w:val="auto"/>
                <w:kern w:val="0"/>
                <w:sz w:val="24"/>
                <w:highlight w:val="none"/>
                <w:u w:val="none" w:color="auto"/>
              </w:rPr>
              <w:t>履行环保审批手续情况</w:t>
            </w:r>
            <w:r>
              <w:rPr>
                <w:rFonts w:hint="default" w:ascii="Times New Roman" w:hAnsi="Times New Roman" w:eastAsia="宋体" w:cs="Times New Roman"/>
                <w:color w:val="auto"/>
                <w:kern w:val="0"/>
                <w:sz w:val="24"/>
                <w:highlight w:val="none"/>
                <w:u w:val="none" w:color="auto"/>
              </w:rPr>
              <w:t xml:space="preserve"> </w:t>
            </w:r>
          </w:p>
          <w:p w14:paraId="7582C672">
            <w:pPr>
              <w:widowControl/>
              <w:spacing w:line="360" w:lineRule="auto"/>
              <w:ind w:firstLine="480" w:firstLineChars="200"/>
              <w:jc w:val="left"/>
              <w:rPr>
                <w:rFonts w:hint="default" w:ascii="Times New Roman" w:hAnsi="Times New Roman" w:eastAsia="宋体" w:cs="Times New Roman"/>
                <w:color w:val="auto"/>
                <w:kern w:val="0"/>
                <w:sz w:val="24"/>
                <w:highlight w:val="none"/>
                <w:u w:val="none" w:color="auto"/>
              </w:rPr>
            </w:pPr>
            <w:r>
              <w:rPr>
                <w:rFonts w:hint="default" w:ascii="Times New Roman" w:hAnsi="Times New Roman" w:eastAsia="宋体" w:cs="Times New Roman"/>
                <w:color w:val="auto"/>
                <w:sz w:val="24"/>
                <w:highlight w:val="none"/>
                <w:u w:val="none" w:color="auto"/>
                <w:lang w:val="en-US" w:eastAsia="zh-CN"/>
              </w:rPr>
              <w:t>湖南中创空天新材料股份有限公司</w:t>
            </w:r>
            <w:r>
              <w:rPr>
                <w:rFonts w:hint="default" w:ascii="Times New Roman" w:hAnsi="Times New Roman" w:eastAsia="宋体" w:cs="Times New Roman"/>
                <w:color w:val="auto"/>
                <w:kern w:val="0"/>
                <w:sz w:val="24"/>
                <w:highlight w:val="none"/>
                <w:u w:val="none" w:color="auto"/>
              </w:rPr>
              <w:t xml:space="preserve">履行环保审批情况如下表所示。 </w:t>
            </w:r>
          </w:p>
          <w:p w14:paraId="62676D7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kern w:val="0"/>
                <w:sz w:val="21"/>
                <w:szCs w:val="21"/>
                <w:highlight w:val="none"/>
                <w:u w:val="none" w:color="auto"/>
              </w:rPr>
            </w:pPr>
            <w:r>
              <w:rPr>
                <w:rFonts w:hint="default" w:ascii="Times New Roman" w:hAnsi="Times New Roman" w:eastAsia="宋体" w:cs="Times New Roman"/>
                <w:b/>
                <w:bCs/>
                <w:color w:val="auto"/>
                <w:kern w:val="0"/>
                <w:sz w:val="21"/>
                <w:szCs w:val="21"/>
                <w:highlight w:val="none"/>
                <w:u w:val="none" w:color="auto"/>
              </w:rPr>
              <w:t>表2-</w:t>
            </w:r>
            <w:r>
              <w:rPr>
                <w:rFonts w:hint="default" w:ascii="Times New Roman" w:hAnsi="Times New Roman" w:eastAsia="宋体" w:cs="Times New Roman"/>
                <w:b/>
                <w:bCs/>
                <w:color w:val="auto"/>
                <w:kern w:val="0"/>
                <w:sz w:val="21"/>
                <w:szCs w:val="21"/>
                <w:highlight w:val="none"/>
                <w:u w:val="none" w:color="auto"/>
                <w:lang w:val="en-US" w:eastAsia="zh-CN"/>
              </w:rPr>
              <w:t>7</w:t>
            </w:r>
            <w:r>
              <w:rPr>
                <w:rFonts w:hint="default" w:ascii="Times New Roman" w:hAnsi="Times New Roman" w:eastAsia="宋体" w:cs="Times New Roman"/>
                <w:b/>
                <w:bCs/>
                <w:color w:val="auto"/>
                <w:kern w:val="0"/>
                <w:sz w:val="21"/>
                <w:szCs w:val="21"/>
                <w:highlight w:val="none"/>
                <w:u w:val="none" w:color="auto"/>
              </w:rPr>
              <w:t xml:space="preserve"> 企业履行环保审批情况一览表</w:t>
            </w:r>
          </w:p>
          <w:tbl>
            <w:tblPr>
              <w:tblStyle w:val="32"/>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303"/>
              <w:gridCol w:w="1645"/>
              <w:gridCol w:w="3151"/>
              <w:gridCol w:w="1371"/>
            </w:tblGrid>
            <w:tr w14:paraId="6DBDB72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359" w:type="pct"/>
                  <w:tcBorders>
                    <w:tl2br w:val="nil"/>
                    <w:tr2bl w:val="nil"/>
                  </w:tcBorders>
                  <w:vAlign w:val="center"/>
                </w:tcPr>
                <w:p w14:paraId="368D5DD7">
                  <w:pPr>
                    <w:widowControl/>
                    <w:jc w:val="center"/>
                    <w:rPr>
                      <w:rFonts w:hint="default" w:ascii="Times New Roman" w:hAnsi="Times New Roman" w:eastAsia="宋体" w:cs="Times New Roman"/>
                      <w:b/>
                      <w:bCs/>
                      <w:color w:val="auto"/>
                      <w:kern w:val="0"/>
                      <w:sz w:val="22"/>
                      <w:szCs w:val="22"/>
                      <w:highlight w:val="none"/>
                      <w:u w:val="none" w:color="auto"/>
                      <w:lang w:eastAsia="zh-CN"/>
                    </w:rPr>
                  </w:pPr>
                  <w:r>
                    <w:rPr>
                      <w:rFonts w:hint="default" w:ascii="Times New Roman" w:hAnsi="Times New Roman" w:eastAsia="宋体" w:cs="Times New Roman"/>
                      <w:b/>
                      <w:bCs/>
                      <w:color w:val="auto"/>
                      <w:kern w:val="0"/>
                      <w:sz w:val="21"/>
                      <w:szCs w:val="21"/>
                      <w:highlight w:val="none"/>
                      <w:u w:val="none" w:color="auto"/>
                    </w:rPr>
                    <w:t>项目</w:t>
                  </w:r>
                  <w:r>
                    <w:rPr>
                      <w:rFonts w:hint="default" w:ascii="Times New Roman" w:hAnsi="Times New Roman" w:eastAsia="宋体" w:cs="Times New Roman"/>
                      <w:b/>
                      <w:bCs/>
                      <w:color w:val="auto"/>
                      <w:kern w:val="0"/>
                      <w:sz w:val="21"/>
                      <w:szCs w:val="21"/>
                      <w:highlight w:val="none"/>
                      <w:u w:val="none" w:color="auto"/>
                      <w:lang w:val="en-US" w:eastAsia="zh-CN"/>
                    </w:rPr>
                    <w:t>名称</w:t>
                  </w:r>
                </w:p>
              </w:tc>
              <w:tc>
                <w:tcPr>
                  <w:tcW w:w="2831" w:type="pct"/>
                  <w:gridSpan w:val="2"/>
                  <w:tcBorders>
                    <w:tl2br w:val="nil"/>
                    <w:tr2bl w:val="nil"/>
                  </w:tcBorders>
                  <w:vAlign w:val="center"/>
                </w:tcPr>
                <w:p w14:paraId="76123480">
                  <w:pPr>
                    <w:widowControl/>
                    <w:jc w:val="center"/>
                    <w:rPr>
                      <w:rFonts w:hint="default" w:ascii="Times New Roman" w:hAnsi="Times New Roman" w:eastAsia="宋体" w:cs="Times New Roman"/>
                      <w:b/>
                      <w:bCs/>
                      <w:color w:val="auto"/>
                      <w:kern w:val="0"/>
                      <w:sz w:val="21"/>
                      <w:szCs w:val="21"/>
                      <w:highlight w:val="none"/>
                      <w:u w:val="none" w:color="auto"/>
                    </w:rPr>
                  </w:pPr>
                  <w:r>
                    <w:rPr>
                      <w:rFonts w:hint="default" w:ascii="Times New Roman" w:hAnsi="Times New Roman" w:eastAsia="宋体" w:cs="Times New Roman"/>
                      <w:b/>
                      <w:bCs/>
                      <w:color w:val="auto"/>
                      <w:kern w:val="0"/>
                      <w:sz w:val="21"/>
                      <w:szCs w:val="21"/>
                      <w:highlight w:val="none"/>
                      <w:u w:val="none" w:color="auto"/>
                      <w:lang w:val="en-US" w:eastAsia="zh-CN"/>
                    </w:rPr>
                    <w:t>环保手续情况</w:t>
                  </w:r>
                </w:p>
              </w:tc>
              <w:tc>
                <w:tcPr>
                  <w:tcW w:w="809" w:type="pct"/>
                  <w:tcBorders>
                    <w:tl2br w:val="nil"/>
                    <w:tr2bl w:val="nil"/>
                  </w:tcBorders>
                  <w:vAlign w:val="center"/>
                </w:tcPr>
                <w:p w14:paraId="06C0B106">
                  <w:pPr>
                    <w:widowControl/>
                    <w:jc w:val="center"/>
                    <w:rPr>
                      <w:rFonts w:hint="default" w:ascii="Times New Roman" w:hAnsi="Times New Roman" w:eastAsia="宋体" w:cs="Times New Roman"/>
                      <w:b/>
                      <w:bCs/>
                      <w:color w:val="auto"/>
                      <w:kern w:val="0"/>
                      <w:sz w:val="21"/>
                      <w:szCs w:val="21"/>
                      <w:highlight w:val="none"/>
                      <w:u w:val="none" w:color="auto"/>
                      <w:lang w:val="en-US" w:eastAsia="zh-CN"/>
                    </w:rPr>
                  </w:pPr>
                  <w:r>
                    <w:rPr>
                      <w:rFonts w:hint="default" w:ascii="Times New Roman" w:hAnsi="Times New Roman" w:eastAsia="宋体" w:cs="Times New Roman"/>
                      <w:b/>
                      <w:bCs/>
                      <w:color w:val="auto"/>
                      <w:kern w:val="0"/>
                      <w:sz w:val="21"/>
                      <w:szCs w:val="21"/>
                      <w:highlight w:val="none"/>
                      <w:u w:val="none" w:color="auto"/>
                      <w:lang w:val="en-US" w:eastAsia="zh-CN"/>
                    </w:rPr>
                    <w:t>备注</w:t>
                  </w:r>
                </w:p>
              </w:tc>
            </w:tr>
            <w:tr w14:paraId="56DEA81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359" w:type="pct"/>
                  <w:vMerge w:val="restart"/>
                  <w:tcBorders>
                    <w:tl2br w:val="nil"/>
                    <w:tr2bl w:val="nil"/>
                  </w:tcBorders>
                  <w:vAlign w:val="center"/>
                </w:tcPr>
                <w:p w14:paraId="11E432AC">
                  <w:pPr>
                    <w:widowControl/>
                    <w:jc w:val="center"/>
                    <w:rPr>
                      <w:rFonts w:hint="default" w:ascii="Times New Roman" w:hAnsi="Times New Roman" w:eastAsia="宋体" w:cs="Times New Roman"/>
                      <w:color w:val="auto"/>
                      <w:kern w:val="0"/>
                      <w:sz w:val="22"/>
                      <w:szCs w:val="22"/>
                      <w:highlight w:val="none"/>
                      <w:u w:val="none" w:color="auto"/>
                      <w:lang w:val="en-US" w:eastAsia="zh-CN" w:bidi="ar-SA"/>
                    </w:rPr>
                  </w:pPr>
                  <w:r>
                    <w:rPr>
                      <w:rFonts w:hint="default" w:ascii="Times New Roman" w:hAnsi="Times New Roman" w:eastAsia="宋体" w:cs="Times New Roman"/>
                      <w:color w:val="auto"/>
                      <w:sz w:val="21"/>
                      <w:szCs w:val="21"/>
                      <w:u w:val="none" w:color="auto"/>
                      <w:lang w:eastAsia="zh-CN"/>
                    </w:rPr>
                    <w:t>湖南中创空天新材料股份有限公司产业化基地建设项目（一期）重大变动</w:t>
                  </w:r>
                </w:p>
              </w:tc>
              <w:tc>
                <w:tcPr>
                  <w:tcW w:w="971" w:type="pct"/>
                  <w:tcBorders>
                    <w:tl2br w:val="nil"/>
                    <w:tr2bl w:val="nil"/>
                  </w:tcBorders>
                  <w:vAlign w:val="center"/>
                </w:tcPr>
                <w:p w14:paraId="7A88F70E">
                  <w:pPr>
                    <w:widowControl/>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环保审批</w:t>
                  </w:r>
                </w:p>
              </w:tc>
              <w:tc>
                <w:tcPr>
                  <w:tcW w:w="1859" w:type="pct"/>
                  <w:tcBorders>
                    <w:tl2br w:val="nil"/>
                    <w:tr2bl w:val="nil"/>
                  </w:tcBorders>
                  <w:vAlign w:val="center"/>
                </w:tcPr>
                <w:p w14:paraId="27448E8C">
                  <w:pPr>
                    <w:widowControl/>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lang w:val="en-US" w:eastAsia="zh-CN"/>
                    </w:rPr>
                    <w:t>岳港环批〔2023〕3号</w:t>
                  </w:r>
                </w:p>
              </w:tc>
              <w:tc>
                <w:tcPr>
                  <w:tcW w:w="809" w:type="pct"/>
                  <w:tcBorders>
                    <w:tl2br w:val="nil"/>
                    <w:tr2bl w:val="nil"/>
                  </w:tcBorders>
                  <w:vAlign w:val="center"/>
                </w:tcPr>
                <w:p w14:paraId="7CF5CEBD">
                  <w:pPr>
                    <w:widowControl/>
                    <w:jc w:val="center"/>
                    <w:rPr>
                      <w:rFonts w:hint="default" w:ascii="Times New Roman" w:hAnsi="Times New Roman" w:eastAsia="宋体" w:cs="Times New Roman"/>
                      <w:color w:val="auto"/>
                      <w:sz w:val="21"/>
                      <w:szCs w:val="21"/>
                      <w:highlight w:val="none"/>
                      <w:u w:val="none" w:color="auto"/>
                      <w:lang w:val="en-US" w:eastAsia="zh-CN"/>
                    </w:rPr>
                  </w:pPr>
                </w:p>
              </w:tc>
            </w:tr>
            <w:tr w14:paraId="6E2C9EE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359" w:type="pct"/>
                  <w:vMerge w:val="continue"/>
                  <w:tcBorders>
                    <w:tl2br w:val="nil"/>
                    <w:tr2bl w:val="nil"/>
                  </w:tcBorders>
                  <w:vAlign w:val="center"/>
                </w:tcPr>
                <w:p w14:paraId="6E361D2B">
                  <w:pPr>
                    <w:widowControl/>
                    <w:jc w:val="center"/>
                    <w:rPr>
                      <w:rFonts w:hint="default" w:ascii="Times New Roman" w:hAnsi="Times New Roman" w:eastAsia="宋体" w:cs="Times New Roman"/>
                      <w:color w:val="auto"/>
                      <w:kern w:val="0"/>
                      <w:sz w:val="22"/>
                      <w:szCs w:val="22"/>
                      <w:highlight w:val="none"/>
                      <w:u w:val="none" w:color="auto"/>
                      <w:lang w:val="en-US" w:eastAsia="zh-CN" w:bidi="ar-SA"/>
                    </w:rPr>
                  </w:pPr>
                </w:p>
              </w:tc>
              <w:tc>
                <w:tcPr>
                  <w:tcW w:w="971" w:type="pct"/>
                  <w:tcBorders>
                    <w:tl2br w:val="nil"/>
                    <w:tr2bl w:val="nil"/>
                  </w:tcBorders>
                  <w:vAlign w:val="center"/>
                </w:tcPr>
                <w:p w14:paraId="5C6AB19D">
                  <w:pPr>
                    <w:widowControl/>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竣工验收</w:t>
                  </w:r>
                </w:p>
              </w:tc>
              <w:tc>
                <w:tcPr>
                  <w:tcW w:w="1859" w:type="pct"/>
                  <w:tcBorders>
                    <w:tl2br w:val="nil"/>
                    <w:tr2bl w:val="nil"/>
                  </w:tcBorders>
                  <w:vAlign w:val="center"/>
                </w:tcPr>
                <w:p w14:paraId="7A24D3B0">
                  <w:pPr>
                    <w:widowControl/>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岳港环验备〔2023〕11号</w:t>
                  </w:r>
                </w:p>
              </w:tc>
              <w:tc>
                <w:tcPr>
                  <w:tcW w:w="809" w:type="pct"/>
                  <w:tcBorders>
                    <w:tl2br w:val="nil"/>
                    <w:tr2bl w:val="nil"/>
                  </w:tcBorders>
                  <w:vAlign w:val="center"/>
                </w:tcPr>
                <w:p w14:paraId="345D93F3">
                  <w:pPr>
                    <w:widowControl/>
                    <w:jc w:val="center"/>
                    <w:rPr>
                      <w:rFonts w:hint="default" w:ascii="Times New Roman" w:hAnsi="Times New Roman" w:eastAsia="宋体" w:cs="Times New Roman"/>
                      <w:color w:val="auto"/>
                      <w:sz w:val="21"/>
                      <w:szCs w:val="21"/>
                      <w:highlight w:val="none"/>
                      <w:u w:val="none" w:color="auto"/>
                      <w:lang w:val="en-US" w:eastAsia="zh-CN"/>
                    </w:rPr>
                  </w:pPr>
                </w:p>
              </w:tc>
            </w:tr>
            <w:tr w14:paraId="44603CD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359" w:type="pct"/>
                  <w:vMerge w:val="continue"/>
                  <w:tcBorders>
                    <w:tl2br w:val="nil"/>
                    <w:tr2bl w:val="nil"/>
                  </w:tcBorders>
                  <w:vAlign w:val="center"/>
                </w:tcPr>
                <w:p w14:paraId="6F09C83F">
                  <w:pPr>
                    <w:widowControl/>
                    <w:jc w:val="center"/>
                    <w:rPr>
                      <w:rFonts w:hint="default" w:ascii="Times New Roman" w:hAnsi="Times New Roman" w:eastAsia="宋体" w:cs="Times New Roman"/>
                      <w:color w:val="auto"/>
                      <w:kern w:val="0"/>
                      <w:sz w:val="22"/>
                      <w:szCs w:val="22"/>
                      <w:highlight w:val="none"/>
                      <w:u w:val="none" w:color="auto"/>
                      <w:lang w:val="en-US" w:eastAsia="zh-CN" w:bidi="ar-SA"/>
                    </w:rPr>
                  </w:pPr>
                </w:p>
              </w:tc>
              <w:tc>
                <w:tcPr>
                  <w:tcW w:w="971" w:type="pct"/>
                  <w:tcBorders>
                    <w:tl2br w:val="nil"/>
                    <w:tr2bl w:val="nil"/>
                  </w:tcBorders>
                  <w:vAlign w:val="center"/>
                </w:tcPr>
                <w:p w14:paraId="547D9314">
                  <w:pPr>
                    <w:widowControl/>
                    <w:jc w:val="center"/>
                    <w:rPr>
                      <w:rFonts w:hint="default" w:ascii="Times New Roman" w:hAnsi="Times New Roman" w:eastAsia="宋体" w:cs="Times New Roman"/>
                      <w:color w:val="auto"/>
                      <w:kern w:val="0"/>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排污许可（登记管理）</w:t>
                  </w:r>
                </w:p>
              </w:tc>
              <w:tc>
                <w:tcPr>
                  <w:tcW w:w="1859" w:type="pct"/>
                  <w:tcBorders>
                    <w:tl2br w:val="nil"/>
                    <w:tr2bl w:val="nil"/>
                  </w:tcBorders>
                  <w:vAlign w:val="center"/>
                </w:tcPr>
                <w:p w14:paraId="758658BB">
                  <w:pPr>
                    <w:widowControl/>
                    <w:jc w:val="center"/>
                    <w:rPr>
                      <w:rFonts w:hint="default" w:ascii="Times New Roman" w:hAnsi="Times New Roman" w:eastAsia="宋体" w:cs="Times New Roman"/>
                      <w:color w:val="auto"/>
                      <w:kern w:val="0"/>
                      <w:sz w:val="21"/>
                      <w:szCs w:val="21"/>
                      <w:highlight w:val="none"/>
                      <w:u w:val="none" w:color="auto"/>
                    </w:rPr>
                  </w:pPr>
                  <w:r>
                    <w:rPr>
                      <w:rFonts w:hint="default" w:ascii="Times New Roman" w:hAnsi="Times New Roman" w:eastAsia="宋体" w:cs="Times New Roman"/>
                      <w:color w:val="auto"/>
                      <w:sz w:val="21"/>
                      <w:szCs w:val="21"/>
                      <w:highlight w:val="none"/>
                      <w:u w:val="none" w:color="auto"/>
                      <w:lang w:eastAsia="zh-CN"/>
                    </w:rPr>
                    <w:t>91430600MA4R1D8G1W001S</w:t>
                  </w:r>
                </w:p>
              </w:tc>
              <w:tc>
                <w:tcPr>
                  <w:tcW w:w="809" w:type="pct"/>
                  <w:tcBorders>
                    <w:tl2br w:val="nil"/>
                    <w:tr2bl w:val="nil"/>
                  </w:tcBorders>
                  <w:vAlign w:val="center"/>
                </w:tcPr>
                <w:p w14:paraId="0EE4D771">
                  <w:pPr>
                    <w:widowControl/>
                    <w:jc w:val="center"/>
                    <w:rPr>
                      <w:rFonts w:hint="default" w:ascii="Times New Roman" w:hAnsi="Times New Roman" w:eastAsia="宋体" w:cs="Times New Roman"/>
                      <w:color w:val="auto"/>
                      <w:sz w:val="21"/>
                      <w:szCs w:val="21"/>
                      <w:highlight w:val="none"/>
                      <w:u w:val="none" w:color="auto"/>
                      <w:lang w:eastAsia="zh-CN"/>
                    </w:rPr>
                  </w:pPr>
                </w:p>
              </w:tc>
            </w:tr>
            <w:tr w14:paraId="20E5CA3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359" w:type="pct"/>
                  <w:vMerge w:val="continue"/>
                  <w:tcBorders>
                    <w:tl2br w:val="nil"/>
                    <w:tr2bl w:val="nil"/>
                  </w:tcBorders>
                  <w:vAlign w:val="center"/>
                </w:tcPr>
                <w:p w14:paraId="08F0EBD8">
                  <w:pPr>
                    <w:widowControl/>
                    <w:jc w:val="center"/>
                    <w:rPr>
                      <w:rFonts w:hint="default" w:ascii="Times New Roman" w:hAnsi="Times New Roman" w:eastAsia="宋体" w:cs="Times New Roman"/>
                      <w:color w:val="auto"/>
                      <w:kern w:val="0"/>
                      <w:sz w:val="22"/>
                      <w:szCs w:val="22"/>
                      <w:highlight w:val="none"/>
                      <w:u w:val="none" w:color="auto"/>
                      <w:lang w:val="en-US" w:eastAsia="zh-CN"/>
                    </w:rPr>
                  </w:pPr>
                </w:p>
              </w:tc>
              <w:tc>
                <w:tcPr>
                  <w:tcW w:w="971" w:type="pct"/>
                  <w:tcBorders>
                    <w:tl2br w:val="nil"/>
                    <w:tr2bl w:val="nil"/>
                  </w:tcBorders>
                  <w:vAlign w:val="center"/>
                </w:tcPr>
                <w:p w14:paraId="32C3809E">
                  <w:pPr>
                    <w:widowControl/>
                    <w:jc w:val="center"/>
                    <w:rPr>
                      <w:rFonts w:hint="default" w:ascii="Times New Roman" w:hAnsi="Times New Roman" w:eastAsia="宋体" w:cs="Times New Roman"/>
                      <w:color w:val="auto"/>
                      <w:kern w:val="0"/>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应急预案</w:t>
                  </w:r>
                </w:p>
              </w:tc>
              <w:tc>
                <w:tcPr>
                  <w:tcW w:w="1859" w:type="pct"/>
                  <w:tcBorders>
                    <w:tl2br w:val="nil"/>
                    <w:tr2bl w:val="nil"/>
                  </w:tcBorders>
                  <w:vAlign w:val="center"/>
                </w:tcPr>
                <w:p w14:paraId="230A7AF7">
                  <w:pPr>
                    <w:widowControl/>
                    <w:jc w:val="center"/>
                    <w:rPr>
                      <w:rFonts w:hint="default" w:ascii="Times New Roman" w:hAnsi="Times New Roman" w:eastAsia="宋体" w:cs="Times New Roman"/>
                      <w:color w:val="auto"/>
                      <w:kern w:val="0"/>
                      <w:sz w:val="21"/>
                      <w:szCs w:val="21"/>
                      <w:highlight w:val="none"/>
                      <w:u w:val="none" w:color="auto"/>
                    </w:rPr>
                  </w:pPr>
                  <w:r>
                    <w:rPr>
                      <w:rFonts w:hint="default" w:ascii="Times New Roman" w:hAnsi="Times New Roman" w:eastAsia="宋体" w:cs="Times New Roman"/>
                      <w:color w:val="auto"/>
                      <w:sz w:val="21"/>
                      <w:szCs w:val="21"/>
                      <w:highlight w:val="none"/>
                      <w:u w:val="none" w:color="auto"/>
                      <w:lang w:val="en-US" w:eastAsia="zh-CN"/>
                    </w:rPr>
                    <w:t>430603-2023-036-L</w:t>
                  </w:r>
                </w:p>
              </w:tc>
              <w:tc>
                <w:tcPr>
                  <w:tcW w:w="809" w:type="pct"/>
                  <w:tcBorders>
                    <w:tl2br w:val="nil"/>
                    <w:tr2bl w:val="nil"/>
                  </w:tcBorders>
                  <w:vAlign w:val="center"/>
                </w:tcPr>
                <w:p w14:paraId="43BEEE7B">
                  <w:pPr>
                    <w:widowControl/>
                    <w:jc w:val="center"/>
                    <w:rPr>
                      <w:rFonts w:hint="default" w:ascii="Times New Roman" w:hAnsi="Times New Roman" w:eastAsia="宋体" w:cs="Times New Roman"/>
                      <w:color w:val="auto"/>
                      <w:sz w:val="21"/>
                      <w:szCs w:val="21"/>
                      <w:highlight w:val="none"/>
                      <w:u w:val="none" w:color="auto"/>
                      <w:lang w:val="en-US" w:eastAsia="zh-CN"/>
                    </w:rPr>
                  </w:pPr>
                </w:p>
              </w:tc>
            </w:tr>
            <w:tr w14:paraId="20F9C29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359" w:type="pct"/>
                  <w:vMerge w:val="restart"/>
                  <w:tcBorders>
                    <w:tl2br w:val="nil"/>
                    <w:tr2bl w:val="nil"/>
                  </w:tcBorders>
                  <w:vAlign w:val="center"/>
                </w:tcPr>
                <w:p w14:paraId="0F87A0EA">
                  <w:pPr>
                    <w:widowControl/>
                    <w:jc w:val="center"/>
                    <w:rPr>
                      <w:rFonts w:hint="default" w:ascii="Times New Roman" w:hAnsi="Times New Roman" w:eastAsia="宋体" w:cs="Times New Roman"/>
                      <w:color w:val="auto"/>
                      <w:kern w:val="0"/>
                      <w:sz w:val="22"/>
                      <w:szCs w:val="22"/>
                      <w:highlight w:val="none"/>
                      <w:u w:val="none" w:color="auto"/>
                      <w:lang w:val="en-US" w:eastAsia="zh-CN"/>
                    </w:rPr>
                  </w:pPr>
                  <w:r>
                    <w:rPr>
                      <w:rFonts w:hint="default" w:ascii="Times New Roman" w:hAnsi="Times New Roman" w:eastAsia="宋体" w:cs="Times New Roman"/>
                      <w:color w:val="auto"/>
                      <w:kern w:val="0"/>
                      <w:sz w:val="22"/>
                      <w:szCs w:val="22"/>
                      <w:highlight w:val="none"/>
                      <w:u w:val="none" w:color="auto"/>
                      <w:lang w:val="en-US" w:eastAsia="zh-CN"/>
                    </w:rPr>
                    <w:t>年加工镁合金180吨扩建项目</w:t>
                  </w:r>
                </w:p>
              </w:tc>
              <w:tc>
                <w:tcPr>
                  <w:tcW w:w="971" w:type="pct"/>
                  <w:tcBorders>
                    <w:tl2br w:val="nil"/>
                    <w:tr2bl w:val="nil"/>
                  </w:tcBorders>
                  <w:vAlign w:val="center"/>
                </w:tcPr>
                <w:p w14:paraId="7083172A">
                  <w:pPr>
                    <w:widowControl/>
                    <w:jc w:val="center"/>
                    <w:rPr>
                      <w:rFonts w:hint="default" w:ascii="Times New Roman" w:hAnsi="Times New Roman" w:eastAsia="宋体" w:cs="Times New Roman"/>
                      <w:color w:val="auto"/>
                      <w:kern w:val="0"/>
                      <w:sz w:val="21"/>
                      <w:szCs w:val="21"/>
                      <w:highlight w:val="none"/>
                      <w:u w:val="none" w:color="auto"/>
                    </w:rPr>
                  </w:pPr>
                  <w:r>
                    <w:rPr>
                      <w:rFonts w:hint="default" w:ascii="Times New Roman" w:hAnsi="Times New Roman" w:eastAsia="宋体" w:cs="Times New Roman"/>
                      <w:color w:val="auto"/>
                      <w:sz w:val="21"/>
                      <w:szCs w:val="21"/>
                      <w:highlight w:val="none"/>
                      <w:u w:val="none" w:color="auto"/>
                    </w:rPr>
                    <w:t>环保审批</w:t>
                  </w:r>
                </w:p>
              </w:tc>
              <w:tc>
                <w:tcPr>
                  <w:tcW w:w="1859" w:type="pct"/>
                  <w:tcBorders>
                    <w:tl2br w:val="nil"/>
                    <w:tr2bl w:val="nil"/>
                  </w:tcBorders>
                  <w:vAlign w:val="center"/>
                </w:tcPr>
                <w:p w14:paraId="5B2EDA6D">
                  <w:pPr>
                    <w:widowControl/>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岳港环评〔2023〕11号</w:t>
                  </w:r>
                </w:p>
              </w:tc>
              <w:tc>
                <w:tcPr>
                  <w:tcW w:w="809" w:type="pct"/>
                  <w:vMerge w:val="restart"/>
                  <w:tcBorders>
                    <w:tl2br w:val="nil"/>
                    <w:tr2bl w:val="nil"/>
                  </w:tcBorders>
                  <w:vAlign w:val="center"/>
                </w:tcPr>
                <w:p w14:paraId="220AA686">
                  <w:pPr>
                    <w:widowControl/>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该项目实际已停止</w:t>
                  </w:r>
                </w:p>
              </w:tc>
            </w:tr>
            <w:tr w14:paraId="66DD789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359" w:type="pct"/>
                  <w:vMerge w:val="continue"/>
                  <w:tcBorders>
                    <w:tl2br w:val="nil"/>
                    <w:tr2bl w:val="nil"/>
                  </w:tcBorders>
                  <w:vAlign w:val="center"/>
                </w:tcPr>
                <w:p w14:paraId="0727F2A2">
                  <w:pPr>
                    <w:widowControl/>
                    <w:jc w:val="center"/>
                    <w:rPr>
                      <w:rFonts w:hint="default" w:ascii="Times New Roman" w:hAnsi="Times New Roman" w:eastAsia="宋体" w:cs="Times New Roman"/>
                      <w:color w:val="auto"/>
                      <w:kern w:val="0"/>
                      <w:sz w:val="22"/>
                      <w:szCs w:val="22"/>
                      <w:highlight w:val="none"/>
                      <w:u w:val="none" w:color="auto"/>
                      <w:lang w:val="en-US" w:eastAsia="zh-CN"/>
                    </w:rPr>
                  </w:pPr>
                </w:p>
              </w:tc>
              <w:tc>
                <w:tcPr>
                  <w:tcW w:w="971" w:type="pct"/>
                  <w:tcBorders>
                    <w:tl2br w:val="nil"/>
                    <w:tr2bl w:val="nil"/>
                  </w:tcBorders>
                  <w:vAlign w:val="center"/>
                </w:tcPr>
                <w:p w14:paraId="2EC7CC40">
                  <w:pPr>
                    <w:widowControl/>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竣工验收</w:t>
                  </w:r>
                </w:p>
              </w:tc>
              <w:tc>
                <w:tcPr>
                  <w:tcW w:w="1859" w:type="pct"/>
                  <w:tcBorders>
                    <w:tl2br w:val="nil"/>
                    <w:tr2bl w:val="nil"/>
                  </w:tcBorders>
                  <w:vAlign w:val="center"/>
                </w:tcPr>
                <w:p w14:paraId="5CA51B52">
                  <w:pPr>
                    <w:widowControl/>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w:t>
                  </w:r>
                </w:p>
              </w:tc>
              <w:tc>
                <w:tcPr>
                  <w:tcW w:w="809" w:type="pct"/>
                  <w:vMerge w:val="continue"/>
                  <w:tcBorders>
                    <w:tl2br w:val="nil"/>
                    <w:tr2bl w:val="nil"/>
                  </w:tcBorders>
                  <w:vAlign w:val="center"/>
                </w:tcPr>
                <w:p w14:paraId="5C921542">
                  <w:pPr>
                    <w:widowControl/>
                    <w:jc w:val="center"/>
                    <w:rPr>
                      <w:rFonts w:hint="default" w:ascii="Times New Roman" w:hAnsi="Times New Roman" w:eastAsia="宋体" w:cs="Times New Roman"/>
                      <w:color w:val="auto"/>
                      <w:sz w:val="21"/>
                      <w:szCs w:val="21"/>
                      <w:highlight w:val="none"/>
                      <w:u w:val="none" w:color="auto"/>
                      <w:lang w:val="en-US" w:eastAsia="zh-CN"/>
                    </w:rPr>
                  </w:pPr>
                </w:p>
              </w:tc>
            </w:tr>
            <w:tr w14:paraId="78E2217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c>
                <w:tcPr>
                  <w:tcW w:w="1359" w:type="pct"/>
                  <w:vMerge w:val="continue"/>
                  <w:tcBorders>
                    <w:tl2br w:val="nil"/>
                    <w:tr2bl w:val="nil"/>
                  </w:tcBorders>
                  <w:vAlign w:val="center"/>
                </w:tcPr>
                <w:p w14:paraId="2FD0AE9A">
                  <w:pPr>
                    <w:widowControl/>
                    <w:jc w:val="center"/>
                    <w:rPr>
                      <w:rFonts w:hint="default" w:ascii="Times New Roman" w:hAnsi="Times New Roman" w:eastAsia="宋体" w:cs="Times New Roman"/>
                      <w:color w:val="auto"/>
                      <w:kern w:val="0"/>
                      <w:sz w:val="22"/>
                      <w:szCs w:val="22"/>
                      <w:highlight w:val="none"/>
                      <w:u w:val="none" w:color="auto"/>
                      <w:lang w:val="en-US" w:eastAsia="zh-CN"/>
                    </w:rPr>
                  </w:pPr>
                </w:p>
              </w:tc>
              <w:tc>
                <w:tcPr>
                  <w:tcW w:w="971" w:type="pct"/>
                  <w:tcBorders>
                    <w:tl2br w:val="nil"/>
                    <w:tr2bl w:val="nil"/>
                  </w:tcBorders>
                  <w:shd w:val="clear" w:color="auto" w:fill="auto"/>
                  <w:vAlign w:val="center"/>
                </w:tcPr>
                <w:p w14:paraId="289EB5E7">
                  <w:pPr>
                    <w:widowControl/>
                    <w:jc w:val="center"/>
                    <w:rPr>
                      <w:rFonts w:hint="default" w:ascii="Times New Roman" w:hAnsi="Times New Roman" w:eastAsia="宋体" w:cs="Times New Roman"/>
                      <w:color w:val="auto"/>
                      <w:kern w:val="0"/>
                      <w:sz w:val="21"/>
                      <w:szCs w:val="21"/>
                      <w:highlight w:val="none"/>
                      <w:u w:val="none" w:color="auto"/>
                      <w:lang w:val="en-US" w:eastAsia="zh-CN" w:bidi="ar-SA"/>
                    </w:rPr>
                  </w:pPr>
                  <w:r>
                    <w:rPr>
                      <w:rFonts w:hint="default" w:ascii="Times New Roman" w:hAnsi="Times New Roman" w:eastAsia="宋体" w:cs="Times New Roman"/>
                      <w:color w:val="auto"/>
                      <w:kern w:val="0"/>
                      <w:sz w:val="21"/>
                      <w:szCs w:val="21"/>
                      <w:highlight w:val="none"/>
                      <w:u w:val="none" w:color="auto"/>
                    </w:rPr>
                    <w:t>排污许可（登记管理）</w:t>
                  </w:r>
                </w:p>
              </w:tc>
              <w:tc>
                <w:tcPr>
                  <w:tcW w:w="1859" w:type="pct"/>
                  <w:tcBorders>
                    <w:tl2br w:val="nil"/>
                    <w:tr2bl w:val="nil"/>
                  </w:tcBorders>
                  <w:vAlign w:val="center"/>
                </w:tcPr>
                <w:p w14:paraId="53868802">
                  <w:pPr>
                    <w:widowControl/>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w:t>
                  </w:r>
                </w:p>
              </w:tc>
              <w:tc>
                <w:tcPr>
                  <w:tcW w:w="809" w:type="pct"/>
                  <w:vMerge w:val="continue"/>
                  <w:tcBorders>
                    <w:tl2br w:val="nil"/>
                    <w:tr2bl w:val="nil"/>
                  </w:tcBorders>
                  <w:vAlign w:val="center"/>
                </w:tcPr>
                <w:p w14:paraId="64B91226">
                  <w:pPr>
                    <w:widowControl/>
                    <w:jc w:val="center"/>
                    <w:rPr>
                      <w:rFonts w:hint="default" w:ascii="Times New Roman" w:hAnsi="Times New Roman" w:eastAsia="宋体" w:cs="Times New Roman"/>
                      <w:color w:val="auto"/>
                      <w:sz w:val="21"/>
                      <w:szCs w:val="21"/>
                      <w:highlight w:val="none"/>
                      <w:u w:val="none" w:color="auto"/>
                      <w:lang w:val="en-US" w:eastAsia="zh-CN"/>
                    </w:rPr>
                  </w:pPr>
                </w:p>
              </w:tc>
            </w:tr>
            <w:tr w14:paraId="5B038D0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359" w:type="pct"/>
                  <w:vMerge w:val="continue"/>
                  <w:tcBorders>
                    <w:tl2br w:val="nil"/>
                    <w:tr2bl w:val="nil"/>
                  </w:tcBorders>
                  <w:vAlign w:val="center"/>
                </w:tcPr>
                <w:p w14:paraId="51877172">
                  <w:pPr>
                    <w:widowControl/>
                    <w:jc w:val="center"/>
                    <w:rPr>
                      <w:rFonts w:hint="default" w:ascii="Times New Roman" w:hAnsi="Times New Roman" w:eastAsia="宋体" w:cs="Times New Roman"/>
                      <w:color w:val="auto"/>
                      <w:kern w:val="0"/>
                      <w:sz w:val="22"/>
                      <w:szCs w:val="22"/>
                      <w:highlight w:val="none"/>
                      <w:u w:val="none" w:color="auto"/>
                      <w:lang w:val="en-US" w:eastAsia="zh-CN"/>
                    </w:rPr>
                  </w:pPr>
                </w:p>
              </w:tc>
              <w:tc>
                <w:tcPr>
                  <w:tcW w:w="971" w:type="pct"/>
                  <w:tcBorders>
                    <w:tl2br w:val="nil"/>
                    <w:tr2bl w:val="nil"/>
                  </w:tcBorders>
                  <w:shd w:val="clear" w:color="auto" w:fill="auto"/>
                  <w:vAlign w:val="center"/>
                </w:tcPr>
                <w:p w14:paraId="2084FFAA">
                  <w:pPr>
                    <w:widowControl/>
                    <w:jc w:val="center"/>
                    <w:rPr>
                      <w:rFonts w:hint="default" w:ascii="Times New Roman" w:hAnsi="Times New Roman" w:eastAsia="宋体" w:cs="Times New Roman"/>
                      <w:color w:val="auto"/>
                      <w:kern w:val="0"/>
                      <w:sz w:val="21"/>
                      <w:szCs w:val="21"/>
                      <w:highlight w:val="none"/>
                      <w:u w:val="none" w:color="auto"/>
                      <w:lang w:val="en-US" w:eastAsia="zh-CN" w:bidi="ar-SA"/>
                    </w:rPr>
                  </w:pPr>
                  <w:r>
                    <w:rPr>
                      <w:rFonts w:hint="default" w:ascii="Times New Roman" w:hAnsi="Times New Roman" w:eastAsia="宋体" w:cs="Times New Roman"/>
                      <w:color w:val="auto"/>
                      <w:kern w:val="0"/>
                      <w:sz w:val="21"/>
                      <w:szCs w:val="21"/>
                      <w:highlight w:val="none"/>
                      <w:u w:val="none" w:color="auto"/>
                    </w:rPr>
                    <w:t>应急预案</w:t>
                  </w:r>
                </w:p>
              </w:tc>
              <w:tc>
                <w:tcPr>
                  <w:tcW w:w="1859" w:type="pct"/>
                  <w:tcBorders>
                    <w:tl2br w:val="nil"/>
                    <w:tr2bl w:val="nil"/>
                  </w:tcBorders>
                  <w:vAlign w:val="center"/>
                </w:tcPr>
                <w:p w14:paraId="560EDAC6">
                  <w:pPr>
                    <w:widowControl/>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w:t>
                  </w:r>
                </w:p>
              </w:tc>
              <w:tc>
                <w:tcPr>
                  <w:tcW w:w="809" w:type="pct"/>
                  <w:vMerge w:val="continue"/>
                  <w:tcBorders>
                    <w:tl2br w:val="nil"/>
                    <w:tr2bl w:val="nil"/>
                  </w:tcBorders>
                  <w:vAlign w:val="center"/>
                </w:tcPr>
                <w:p w14:paraId="0CF5A46F">
                  <w:pPr>
                    <w:widowControl/>
                    <w:jc w:val="center"/>
                    <w:rPr>
                      <w:rFonts w:hint="default" w:ascii="Times New Roman" w:hAnsi="Times New Roman" w:eastAsia="宋体" w:cs="Times New Roman"/>
                      <w:color w:val="auto"/>
                      <w:sz w:val="21"/>
                      <w:szCs w:val="21"/>
                      <w:highlight w:val="none"/>
                      <w:u w:val="none" w:color="auto"/>
                      <w:lang w:val="en-US" w:eastAsia="zh-CN"/>
                    </w:rPr>
                  </w:pPr>
                </w:p>
              </w:tc>
            </w:tr>
          </w:tbl>
          <w:p w14:paraId="4C939396">
            <w:pPr>
              <w:widowControl/>
              <w:spacing w:line="360" w:lineRule="auto"/>
              <w:ind w:firstLine="482" w:firstLineChars="200"/>
              <w:jc w:val="left"/>
              <w:rPr>
                <w:rFonts w:hint="default" w:ascii="Times New Roman" w:hAnsi="Times New Roman" w:eastAsia="宋体" w:cs="Times New Roman"/>
                <w:b/>
                <w:bCs/>
                <w:color w:val="auto"/>
                <w:kern w:val="0"/>
                <w:sz w:val="24"/>
                <w:highlight w:val="none"/>
                <w:u w:val="none" w:color="auto"/>
              </w:rPr>
            </w:pPr>
            <w:r>
              <w:rPr>
                <w:rFonts w:hint="default" w:ascii="Times New Roman" w:hAnsi="Times New Roman" w:eastAsia="宋体" w:cs="Times New Roman"/>
                <w:b/>
                <w:bCs/>
                <w:color w:val="auto"/>
                <w:kern w:val="0"/>
                <w:sz w:val="24"/>
                <w:highlight w:val="none"/>
                <w:u w:val="none" w:color="auto"/>
                <w:lang w:val="en-US" w:eastAsia="zh-CN"/>
              </w:rPr>
              <w:t>2</w:t>
            </w:r>
            <w:r>
              <w:rPr>
                <w:rFonts w:hint="default" w:ascii="Times New Roman" w:hAnsi="Times New Roman" w:eastAsia="宋体" w:cs="Times New Roman"/>
                <w:b/>
                <w:bCs/>
                <w:color w:val="auto"/>
                <w:kern w:val="0"/>
                <w:sz w:val="24"/>
                <w:highlight w:val="none"/>
                <w:u w:val="none" w:color="auto"/>
              </w:rPr>
              <w:t>、现有项目基本情况</w:t>
            </w:r>
          </w:p>
          <w:p w14:paraId="0F4687E9">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kern w:val="0"/>
                <w:sz w:val="24"/>
                <w:szCs w:val="24"/>
                <w:u w:val="none" w:color="auto"/>
                <w:lang w:val="en-US" w:eastAsia="zh-CN" w:bidi="ar"/>
              </w:rPr>
            </w:pPr>
            <w:r>
              <w:rPr>
                <w:rFonts w:hint="default" w:ascii="Times New Roman" w:hAnsi="Times New Roman" w:eastAsia="宋体" w:cs="Times New Roman"/>
                <w:color w:val="auto"/>
                <w:kern w:val="0"/>
                <w:sz w:val="24"/>
                <w:szCs w:val="24"/>
                <w:u w:val="none" w:color="auto"/>
                <w:lang w:val="en-US" w:eastAsia="zh-CN" w:bidi="ar"/>
              </w:rPr>
              <w:t>现有项目工程建设情况如下表。</w:t>
            </w:r>
          </w:p>
          <w:p w14:paraId="7BFEC8C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kern w:val="0"/>
                <w:sz w:val="21"/>
                <w:szCs w:val="21"/>
                <w:highlight w:val="none"/>
                <w:u w:val="none" w:color="auto"/>
                <w:lang w:val="en-US" w:eastAsia="zh-CN"/>
              </w:rPr>
            </w:pPr>
            <w:r>
              <w:rPr>
                <w:rFonts w:hint="default" w:ascii="Times New Roman" w:hAnsi="Times New Roman" w:eastAsia="宋体" w:cs="Times New Roman"/>
                <w:b/>
                <w:bCs/>
                <w:color w:val="auto"/>
                <w:kern w:val="0"/>
                <w:sz w:val="21"/>
                <w:szCs w:val="21"/>
                <w:highlight w:val="none"/>
                <w:u w:val="none" w:color="auto"/>
                <w:lang w:val="en-US" w:eastAsia="zh-CN"/>
              </w:rPr>
              <w:t>表2-8  现有项目工程建设情况一览表</w:t>
            </w:r>
          </w:p>
          <w:tbl>
            <w:tblPr>
              <w:tblStyle w:val="31"/>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143"/>
              <w:gridCol w:w="1513"/>
              <w:gridCol w:w="5814"/>
            </w:tblGrid>
            <w:tr w14:paraId="2A1180C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blHeader/>
              </w:trPr>
              <w:tc>
                <w:tcPr>
                  <w:tcW w:w="675" w:type="pct"/>
                  <w:noWrap w:val="0"/>
                  <w:vAlign w:val="center"/>
                </w:tcPr>
                <w:p w14:paraId="78649C9A">
                  <w:pPr>
                    <w:keepNext w:val="0"/>
                    <w:keepLines w:val="0"/>
                    <w:pageBreakBefore w:val="0"/>
                    <w:kinsoku/>
                    <w:wordWrap/>
                    <w:overflowPunct/>
                    <w:topLinePunct w:val="0"/>
                    <w:bidi w:val="0"/>
                    <w:adjustRightInd/>
                    <w:snapToGrid/>
                    <w:spacing w:after="0" w:line="240" w:lineRule="auto"/>
                    <w:jc w:val="center"/>
                    <w:textAlignment w:val="auto"/>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工程类别</w:t>
                  </w:r>
                </w:p>
              </w:tc>
              <w:tc>
                <w:tcPr>
                  <w:tcW w:w="893" w:type="pct"/>
                  <w:noWrap w:val="0"/>
                  <w:vAlign w:val="center"/>
                </w:tcPr>
                <w:p w14:paraId="6C887A17">
                  <w:pPr>
                    <w:keepNext w:val="0"/>
                    <w:keepLines w:val="0"/>
                    <w:pageBreakBefore w:val="0"/>
                    <w:kinsoku/>
                    <w:wordWrap/>
                    <w:overflowPunct/>
                    <w:topLinePunct w:val="0"/>
                    <w:bidi w:val="0"/>
                    <w:adjustRightInd/>
                    <w:snapToGrid/>
                    <w:spacing w:after="0" w:line="240" w:lineRule="auto"/>
                    <w:jc w:val="center"/>
                    <w:textAlignment w:val="auto"/>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工程名称</w:t>
                  </w:r>
                </w:p>
              </w:tc>
              <w:tc>
                <w:tcPr>
                  <w:tcW w:w="3431" w:type="pct"/>
                  <w:noWrap w:val="0"/>
                  <w:vAlign w:val="center"/>
                </w:tcPr>
                <w:p w14:paraId="558966CE">
                  <w:pPr>
                    <w:keepNext w:val="0"/>
                    <w:keepLines w:val="0"/>
                    <w:pageBreakBefore w:val="0"/>
                    <w:widowControl w:val="0"/>
                    <w:kinsoku/>
                    <w:wordWrap/>
                    <w:overflowPunct/>
                    <w:topLinePunct w:val="0"/>
                    <w:bidi w:val="0"/>
                    <w:adjustRightInd/>
                    <w:snapToGrid/>
                    <w:spacing w:after="0" w:line="240" w:lineRule="auto"/>
                    <w:jc w:val="center"/>
                    <w:textAlignment w:val="auto"/>
                    <w:rPr>
                      <w:rFonts w:hint="default" w:ascii="Times New Roman" w:hAnsi="Times New Roman" w:eastAsia="宋体" w:cs="Times New Roman"/>
                      <w:b/>
                      <w:bCs/>
                      <w:color w:val="auto"/>
                      <w:sz w:val="21"/>
                      <w:szCs w:val="21"/>
                      <w:u w:val="none" w:color="auto"/>
                      <w:lang w:val="en-US" w:eastAsia="zh-CN" w:bidi="ar-SA"/>
                    </w:rPr>
                  </w:pPr>
                  <w:r>
                    <w:rPr>
                      <w:rFonts w:hint="default" w:ascii="Times New Roman" w:hAnsi="Times New Roman" w:eastAsia="宋体" w:cs="Times New Roman"/>
                      <w:b/>
                      <w:bCs/>
                      <w:color w:val="auto"/>
                      <w:kern w:val="0"/>
                      <w:sz w:val="21"/>
                      <w:szCs w:val="21"/>
                      <w:u w:val="none" w:color="auto"/>
                      <w:vertAlign w:val="baseline"/>
                      <w:lang w:val="en-US" w:eastAsia="zh-CN" w:bidi="ar"/>
                    </w:rPr>
                    <w:t>工程内容</w:t>
                  </w:r>
                </w:p>
              </w:tc>
            </w:tr>
            <w:tr w14:paraId="6FC278F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75" w:type="pct"/>
                  <w:vMerge w:val="restart"/>
                  <w:noWrap w:val="0"/>
                  <w:vAlign w:val="center"/>
                </w:tcPr>
                <w:p w14:paraId="56365751">
                  <w:pPr>
                    <w:keepNext w:val="0"/>
                    <w:keepLines w:val="0"/>
                    <w:pageBreakBefore w:val="0"/>
                    <w:kinsoku/>
                    <w:wordWrap/>
                    <w:overflowPunct/>
                    <w:topLinePunct w:val="0"/>
                    <w:bidi w:val="0"/>
                    <w:adjustRightInd/>
                    <w:snapToGrid/>
                    <w:spacing w:after="0" w:line="240" w:lineRule="auto"/>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主体工程</w:t>
                  </w:r>
                </w:p>
              </w:tc>
              <w:tc>
                <w:tcPr>
                  <w:tcW w:w="893" w:type="pct"/>
                  <w:noWrap w:val="0"/>
                  <w:vAlign w:val="center"/>
                </w:tcPr>
                <w:p w14:paraId="78D8814B">
                  <w:pPr>
                    <w:keepNext w:val="0"/>
                    <w:keepLines w:val="0"/>
                    <w:pageBreakBefore w:val="0"/>
                    <w:kinsoku/>
                    <w:wordWrap/>
                    <w:overflowPunct/>
                    <w:topLinePunct w:val="0"/>
                    <w:bidi w:val="0"/>
                    <w:adjustRightInd/>
                    <w:snapToGrid/>
                    <w:spacing w:after="0" w:line="240" w:lineRule="auto"/>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铝锂熔铸车间</w:t>
                  </w:r>
                </w:p>
              </w:tc>
              <w:tc>
                <w:tcPr>
                  <w:tcW w:w="3431" w:type="pct"/>
                  <w:noWrap w:val="0"/>
                  <w:vAlign w:val="center"/>
                </w:tcPr>
                <w:p w14:paraId="2D4994CD">
                  <w:pPr>
                    <w:pStyle w:val="91"/>
                    <w:keepNext w:val="0"/>
                    <w:keepLines w:val="0"/>
                    <w:pageBreakBefore w:val="0"/>
                    <w:kinsoku/>
                    <w:wordWrap/>
                    <w:overflowPunct/>
                    <w:topLinePunct w:val="0"/>
                    <w:bidi w:val="0"/>
                    <w:adjustRightInd/>
                    <w:snapToGrid/>
                    <w:spacing w:line="240" w:lineRule="auto"/>
                    <w:textAlignment w:val="auto"/>
                    <w:rPr>
                      <w:rFonts w:hint="default" w:ascii="Times New Roman" w:hAnsi="Times New Roman" w:eastAsia="宋体" w:cs="Times New Roman"/>
                      <w:color w:val="auto"/>
                      <w:sz w:val="21"/>
                      <w:szCs w:val="21"/>
                      <w:u w:val="none" w:color="auto"/>
                      <w:lang w:eastAsia="zh-CN" w:bidi="ar-SA"/>
                    </w:rPr>
                  </w:pPr>
                  <w:r>
                    <w:rPr>
                      <w:rFonts w:hint="default" w:ascii="Times New Roman" w:hAnsi="Times New Roman" w:eastAsia="宋体" w:cs="Times New Roman"/>
                      <w:color w:val="auto"/>
                      <w:sz w:val="21"/>
                      <w:szCs w:val="21"/>
                      <w:u w:val="none" w:color="auto"/>
                      <w:lang w:eastAsia="zh-CN" w:bidi="ar-SA"/>
                    </w:rPr>
                    <w:t>由生产车间、辅助车间组成，合计建筑面积3468m</w:t>
                  </w:r>
                  <w:r>
                    <w:rPr>
                      <w:rFonts w:hint="default" w:ascii="Times New Roman" w:hAnsi="Times New Roman" w:eastAsia="宋体" w:cs="Times New Roman"/>
                      <w:color w:val="auto"/>
                      <w:sz w:val="21"/>
                      <w:szCs w:val="21"/>
                      <w:u w:val="none" w:color="auto"/>
                      <w:vertAlign w:val="superscript"/>
                      <w:lang w:eastAsia="zh-CN" w:bidi="ar-SA"/>
                    </w:rPr>
                    <w:t>2</w:t>
                  </w:r>
                  <w:r>
                    <w:rPr>
                      <w:rFonts w:hint="default" w:ascii="Times New Roman" w:hAnsi="Times New Roman" w:eastAsia="宋体" w:cs="Times New Roman"/>
                      <w:color w:val="auto"/>
                      <w:sz w:val="21"/>
                      <w:szCs w:val="21"/>
                      <w:u w:val="none" w:color="auto"/>
                      <w:lang w:eastAsia="zh-CN" w:bidi="ar-SA"/>
                    </w:rPr>
                    <w:t>。该车间用于生产产品铝锂铸锭。</w:t>
                  </w:r>
                </w:p>
                <w:p w14:paraId="2238AC8A">
                  <w:pPr>
                    <w:pStyle w:val="91"/>
                    <w:keepNext w:val="0"/>
                    <w:keepLines w:val="0"/>
                    <w:pageBreakBefore w:val="0"/>
                    <w:kinsoku/>
                    <w:wordWrap/>
                    <w:overflowPunct/>
                    <w:topLinePunct w:val="0"/>
                    <w:bidi w:val="0"/>
                    <w:adjustRightInd/>
                    <w:snapToGrid/>
                    <w:spacing w:line="240" w:lineRule="auto"/>
                    <w:textAlignment w:val="auto"/>
                    <w:rPr>
                      <w:rFonts w:hint="default" w:ascii="Times New Roman" w:hAnsi="Times New Roman" w:eastAsia="宋体" w:cs="Times New Roman"/>
                      <w:color w:val="auto"/>
                      <w:sz w:val="21"/>
                      <w:szCs w:val="21"/>
                      <w:u w:val="none" w:color="auto"/>
                      <w:lang w:eastAsia="zh-CN" w:bidi="ar-SA"/>
                    </w:rPr>
                  </w:pPr>
                  <w:r>
                    <w:rPr>
                      <w:rFonts w:hint="default" w:ascii="Times New Roman" w:hAnsi="Times New Roman" w:eastAsia="宋体" w:cs="Times New Roman"/>
                      <w:b/>
                      <w:bCs/>
                      <w:color w:val="auto"/>
                      <w:sz w:val="21"/>
                      <w:szCs w:val="21"/>
                      <w:u w:val="none" w:color="auto"/>
                      <w:lang w:eastAsia="zh-CN" w:bidi="ar-SA"/>
                    </w:rPr>
                    <w:t>生产车间：</w:t>
                  </w:r>
                  <w:r>
                    <w:rPr>
                      <w:rFonts w:hint="default" w:ascii="Times New Roman" w:hAnsi="Times New Roman" w:eastAsia="宋体" w:cs="Times New Roman"/>
                      <w:color w:val="auto"/>
                      <w:sz w:val="21"/>
                      <w:szCs w:val="21"/>
                      <w:u w:val="none" w:color="auto"/>
                      <w:lang w:eastAsia="zh-CN" w:bidi="ar-SA"/>
                    </w:rPr>
                    <w:t>长102m、宽27m，高度</w:t>
                  </w:r>
                  <w:r>
                    <w:rPr>
                      <w:rFonts w:hint="default" w:ascii="Times New Roman" w:hAnsi="Times New Roman" w:eastAsia="宋体" w:cs="Times New Roman"/>
                      <w:color w:val="auto"/>
                      <w:sz w:val="21"/>
                      <w:szCs w:val="21"/>
                      <w:u w:val="none" w:color="auto"/>
                      <w:lang w:val="en-US" w:eastAsia="zh-CN" w:bidi="ar-SA"/>
                    </w:rPr>
                    <w:t>12~14.6m（采用双面斜坡式屋面）</w:t>
                  </w:r>
                  <w:r>
                    <w:rPr>
                      <w:rFonts w:hint="default" w:ascii="Times New Roman" w:hAnsi="Times New Roman" w:eastAsia="宋体" w:cs="Times New Roman"/>
                      <w:color w:val="auto"/>
                      <w:sz w:val="21"/>
                      <w:szCs w:val="21"/>
                      <w:u w:val="none" w:color="auto"/>
                      <w:lang w:eastAsia="zh-CN" w:bidi="ar-SA"/>
                    </w:rPr>
                    <w:t>，建筑面积2754m</w:t>
                  </w:r>
                  <w:r>
                    <w:rPr>
                      <w:rFonts w:hint="default" w:ascii="Times New Roman" w:hAnsi="Times New Roman" w:eastAsia="宋体" w:cs="Times New Roman"/>
                      <w:color w:val="auto"/>
                      <w:sz w:val="21"/>
                      <w:szCs w:val="21"/>
                      <w:u w:val="none" w:color="auto"/>
                      <w:vertAlign w:val="superscript"/>
                      <w:lang w:eastAsia="zh-CN" w:bidi="ar-SA"/>
                    </w:rPr>
                    <w:t>2</w:t>
                  </w:r>
                  <w:r>
                    <w:rPr>
                      <w:rFonts w:hint="default" w:ascii="Times New Roman" w:hAnsi="Times New Roman" w:eastAsia="宋体" w:cs="Times New Roman"/>
                      <w:color w:val="auto"/>
                      <w:sz w:val="21"/>
                      <w:szCs w:val="21"/>
                      <w:u w:val="none" w:color="auto"/>
                      <w:lang w:eastAsia="zh-CN" w:bidi="ar-SA"/>
                    </w:rPr>
                    <w:t>。主要</w:t>
                  </w:r>
                  <w:r>
                    <w:rPr>
                      <w:rFonts w:hint="default" w:ascii="Times New Roman" w:hAnsi="Times New Roman" w:eastAsia="宋体" w:cs="Times New Roman"/>
                      <w:color w:val="auto"/>
                      <w:sz w:val="21"/>
                      <w:szCs w:val="21"/>
                      <w:u w:val="none" w:color="auto"/>
                      <w:lang w:val="en-US" w:eastAsia="zh-CN" w:bidi="ar-SA"/>
                    </w:rPr>
                    <w:t>设置</w:t>
                  </w:r>
                  <w:r>
                    <w:rPr>
                      <w:rFonts w:hint="default" w:ascii="Times New Roman" w:hAnsi="Times New Roman" w:eastAsia="宋体" w:cs="Times New Roman"/>
                      <w:color w:val="auto"/>
                      <w:sz w:val="21"/>
                      <w:szCs w:val="21"/>
                      <w:u w:val="none" w:color="auto"/>
                      <w:lang w:eastAsia="zh-CN" w:bidi="ar-SA"/>
                    </w:rPr>
                    <w:t>一条铝锂铸锭生产线。</w:t>
                  </w:r>
                </w:p>
                <w:p w14:paraId="1123AA63">
                  <w:pPr>
                    <w:pStyle w:val="91"/>
                    <w:keepNext w:val="0"/>
                    <w:keepLines w:val="0"/>
                    <w:pageBreakBefore w:val="0"/>
                    <w:kinsoku/>
                    <w:wordWrap/>
                    <w:overflowPunct/>
                    <w:topLinePunct w:val="0"/>
                    <w:bidi w:val="0"/>
                    <w:adjustRightInd/>
                    <w:snapToGrid/>
                    <w:spacing w:line="240" w:lineRule="auto"/>
                    <w:textAlignment w:val="auto"/>
                    <w:rPr>
                      <w:rFonts w:hint="default" w:ascii="Times New Roman" w:hAnsi="Times New Roman" w:eastAsia="宋体" w:cs="Times New Roman"/>
                      <w:color w:val="auto"/>
                      <w:sz w:val="21"/>
                      <w:szCs w:val="21"/>
                      <w:u w:val="none" w:color="auto"/>
                      <w:lang w:val="en-US" w:eastAsia="zh-CN" w:bidi="ar-SA"/>
                    </w:rPr>
                  </w:pPr>
                  <w:r>
                    <w:rPr>
                      <w:rFonts w:hint="default" w:ascii="Times New Roman" w:hAnsi="Times New Roman" w:eastAsia="宋体" w:cs="Times New Roman"/>
                      <w:b/>
                      <w:bCs/>
                      <w:color w:val="auto"/>
                      <w:sz w:val="21"/>
                      <w:szCs w:val="21"/>
                      <w:u w:val="none" w:color="auto"/>
                      <w:lang w:eastAsia="zh-CN" w:bidi="ar-SA"/>
                    </w:rPr>
                    <w:t>辅助车间：</w:t>
                  </w:r>
                  <w:r>
                    <w:rPr>
                      <w:rFonts w:hint="default" w:ascii="Times New Roman" w:hAnsi="Times New Roman" w:eastAsia="宋体" w:cs="Times New Roman"/>
                      <w:color w:val="auto"/>
                      <w:sz w:val="21"/>
                      <w:szCs w:val="21"/>
                      <w:u w:val="none" w:color="auto"/>
                      <w:lang w:eastAsia="zh-CN" w:bidi="ar-SA"/>
                    </w:rPr>
                    <w:t>位于生产车间西侧，长102m、宽9m，高度</w:t>
                  </w:r>
                  <w:r>
                    <w:rPr>
                      <w:rFonts w:hint="default" w:ascii="Times New Roman" w:hAnsi="Times New Roman" w:eastAsia="宋体" w:cs="Times New Roman"/>
                      <w:color w:val="auto"/>
                      <w:sz w:val="21"/>
                      <w:szCs w:val="21"/>
                      <w:u w:val="none" w:color="auto"/>
                      <w:lang w:val="en-US" w:eastAsia="zh-CN" w:bidi="ar-SA"/>
                    </w:rPr>
                    <w:t>4.8m（变压器室屋顶高7m）</w:t>
                  </w:r>
                  <w:r>
                    <w:rPr>
                      <w:rFonts w:hint="default" w:ascii="Times New Roman" w:hAnsi="Times New Roman" w:eastAsia="宋体" w:cs="Times New Roman"/>
                      <w:color w:val="auto"/>
                      <w:sz w:val="21"/>
                      <w:szCs w:val="21"/>
                      <w:u w:val="none" w:color="auto"/>
                      <w:lang w:eastAsia="zh-CN" w:bidi="ar-SA"/>
                    </w:rPr>
                    <w:t>，建筑面积714m</w:t>
                  </w:r>
                  <w:r>
                    <w:rPr>
                      <w:rFonts w:hint="default" w:ascii="Times New Roman" w:hAnsi="Times New Roman" w:eastAsia="宋体" w:cs="Times New Roman"/>
                      <w:color w:val="auto"/>
                      <w:sz w:val="21"/>
                      <w:szCs w:val="21"/>
                      <w:u w:val="none" w:color="auto"/>
                      <w:vertAlign w:val="superscript"/>
                      <w:lang w:eastAsia="zh-CN" w:bidi="ar-SA"/>
                    </w:rPr>
                    <w:t>2</w:t>
                  </w:r>
                  <w:r>
                    <w:rPr>
                      <w:rFonts w:hint="default" w:ascii="Times New Roman" w:hAnsi="Times New Roman" w:eastAsia="宋体" w:cs="Times New Roman"/>
                      <w:color w:val="auto"/>
                      <w:sz w:val="21"/>
                      <w:szCs w:val="21"/>
                      <w:u w:val="none" w:color="auto"/>
                      <w:lang w:eastAsia="zh-CN" w:bidi="ar-SA"/>
                    </w:rPr>
                    <w:t>。辅助车间主要配置为炉前分析室、除尘系统、变压器及低压配电室、氩气站、辅助材料间和车间办公室等。</w:t>
                  </w:r>
                </w:p>
              </w:tc>
            </w:tr>
            <w:tr w14:paraId="0CBEC0E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75" w:type="pct"/>
                  <w:vMerge w:val="continue"/>
                  <w:noWrap w:val="0"/>
                  <w:vAlign w:val="center"/>
                </w:tcPr>
                <w:p w14:paraId="6DDF7E0D">
                  <w:pPr>
                    <w:keepNext w:val="0"/>
                    <w:keepLines w:val="0"/>
                    <w:pageBreakBefore w:val="0"/>
                    <w:kinsoku/>
                    <w:wordWrap/>
                    <w:overflowPunct/>
                    <w:topLinePunct w:val="0"/>
                    <w:bidi w:val="0"/>
                    <w:adjustRightInd/>
                    <w:snapToGrid/>
                    <w:spacing w:after="0" w:line="240" w:lineRule="auto"/>
                    <w:jc w:val="center"/>
                    <w:textAlignment w:val="auto"/>
                    <w:rPr>
                      <w:rFonts w:hint="default" w:ascii="Times New Roman" w:hAnsi="Times New Roman" w:eastAsia="宋体" w:cs="Times New Roman"/>
                      <w:color w:val="auto"/>
                      <w:sz w:val="21"/>
                      <w:szCs w:val="21"/>
                      <w:u w:val="none" w:color="auto"/>
                    </w:rPr>
                  </w:pPr>
                </w:p>
              </w:tc>
              <w:tc>
                <w:tcPr>
                  <w:tcW w:w="893" w:type="pct"/>
                  <w:noWrap w:val="0"/>
                  <w:vAlign w:val="center"/>
                </w:tcPr>
                <w:p w14:paraId="0E2FEEC1">
                  <w:pPr>
                    <w:keepNext w:val="0"/>
                    <w:keepLines w:val="0"/>
                    <w:pageBreakBefore w:val="0"/>
                    <w:kinsoku/>
                    <w:wordWrap/>
                    <w:overflowPunct/>
                    <w:topLinePunct w:val="0"/>
                    <w:bidi w:val="0"/>
                    <w:adjustRightInd/>
                    <w:snapToGrid/>
                    <w:spacing w:after="0" w:line="240" w:lineRule="auto"/>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铝合金熔铸车间</w:t>
                  </w:r>
                </w:p>
              </w:tc>
              <w:tc>
                <w:tcPr>
                  <w:tcW w:w="3431" w:type="pct"/>
                  <w:noWrap w:val="0"/>
                  <w:vAlign w:val="center"/>
                </w:tcPr>
                <w:p w14:paraId="26E38AE6">
                  <w:pPr>
                    <w:pStyle w:val="91"/>
                    <w:keepNext w:val="0"/>
                    <w:keepLines w:val="0"/>
                    <w:pageBreakBefore w:val="0"/>
                    <w:kinsoku/>
                    <w:wordWrap/>
                    <w:overflowPunct/>
                    <w:topLinePunct w:val="0"/>
                    <w:bidi w:val="0"/>
                    <w:adjustRightInd/>
                    <w:snapToGrid/>
                    <w:spacing w:line="240" w:lineRule="auto"/>
                    <w:textAlignment w:val="auto"/>
                    <w:rPr>
                      <w:rFonts w:hint="default" w:ascii="Times New Roman" w:hAnsi="Times New Roman" w:eastAsia="宋体" w:cs="Times New Roman"/>
                      <w:color w:val="auto"/>
                      <w:sz w:val="21"/>
                      <w:szCs w:val="21"/>
                      <w:u w:val="none" w:color="auto"/>
                      <w:lang w:eastAsia="zh-CN" w:bidi="ar-SA"/>
                    </w:rPr>
                  </w:pPr>
                  <w:r>
                    <w:rPr>
                      <w:rFonts w:hint="default" w:ascii="Times New Roman" w:hAnsi="Times New Roman" w:eastAsia="宋体" w:cs="Times New Roman"/>
                      <w:color w:val="auto"/>
                      <w:sz w:val="21"/>
                      <w:szCs w:val="21"/>
                      <w:u w:val="none" w:color="auto"/>
                      <w:lang w:eastAsia="zh-CN" w:bidi="ar-SA"/>
                    </w:rPr>
                    <w:t>由生产车间、辅助车间组成，合计建筑面积18098m</w:t>
                  </w:r>
                  <w:r>
                    <w:rPr>
                      <w:rFonts w:hint="default" w:ascii="Times New Roman" w:hAnsi="Times New Roman" w:eastAsia="宋体" w:cs="Times New Roman"/>
                      <w:color w:val="auto"/>
                      <w:sz w:val="21"/>
                      <w:szCs w:val="21"/>
                      <w:u w:val="none" w:color="auto"/>
                      <w:vertAlign w:val="superscript"/>
                      <w:lang w:eastAsia="zh-CN" w:bidi="ar-SA"/>
                    </w:rPr>
                    <w:t>2</w:t>
                  </w:r>
                  <w:r>
                    <w:rPr>
                      <w:rFonts w:hint="default" w:ascii="Times New Roman" w:hAnsi="Times New Roman" w:eastAsia="宋体" w:cs="Times New Roman"/>
                      <w:color w:val="auto"/>
                      <w:sz w:val="21"/>
                      <w:szCs w:val="21"/>
                      <w:u w:val="none" w:color="auto"/>
                      <w:lang w:eastAsia="zh-CN" w:bidi="ar-SA"/>
                    </w:rPr>
                    <w:t>。该车间用于生产中间产品铝合金铸锭，该中间产品将全部作为挤压车间、环筒件车间生产所用原料。</w:t>
                  </w:r>
                </w:p>
                <w:p w14:paraId="16909CD1">
                  <w:pPr>
                    <w:pStyle w:val="91"/>
                    <w:keepNext w:val="0"/>
                    <w:keepLines w:val="0"/>
                    <w:pageBreakBefore w:val="0"/>
                    <w:kinsoku/>
                    <w:wordWrap/>
                    <w:overflowPunct/>
                    <w:topLinePunct w:val="0"/>
                    <w:bidi w:val="0"/>
                    <w:adjustRightInd/>
                    <w:snapToGrid/>
                    <w:spacing w:line="240" w:lineRule="auto"/>
                    <w:textAlignment w:val="auto"/>
                    <w:rPr>
                      <w:rFonts w:hint="default" w:ascii="Times New Roman" w:hAnsi="Times New Roman" w:eastAsia="宋体" w:cs="Times New Roman"/>
                      <w:color w:val="auto"/>
                      <w:sz w:val="21"/>
                      <w:szCs w:val="21"/>
                      <w:u w:val="none" w:color="auto"/>
                      <w:lang w:eastAsia="zh-CN" w:bidi="ar-SA"/>
                    </w:rPr>
                  </w:pPr>
                  <w:r>
                    <w:rPr>
                      <w:rFonts w:hint="default" w:ascii="Times New Roman" w:hAnsi="Times New Roman" w:eastAsia="宋体" w:cs="Times New Roman"/>
                      <w:b/>
                      <w:bCs/>
                      <w:color w:val="auto"/>
                      <w:sz w:val="21"/>
                      <w:szCs w:val="21"/>
                      <w:u w:val="none" w:color="auto"/>
                      <w:lang w:eastAsia="zh-CN" w:bidi="ar-SA"/>
                    </w:rPr>
                    <w:t>生产车间：</w:t>
                  </w:r>
                  <w:r>
                    <w:rPr>
                      <w:rFonts w:hint="default" w:ascii="Times New Roman" w:hAnsi="Times New Roman" w:eastAsia="宋体" w:cs="Times New Roman"/>
                      <w:color w:val="auto"/>
                      <w:sz w:val="21"/>
                      <w:szCs w:val="21"/>
                      <w:u w:val="none" w:color="auto"/>
                      <w:lang w:eastAsia="zh-CN" w:bidi="ar-SA"/>
                    </w:rPr>
                    <w:t>长135m、宽123m，高度</w:t>
                  </w:r>
                  <w:r>
                    <w:rPr>
                      <w:rFonts w:hint="default" w:ascii="Times New Roman" w:hAnsi="Times New Roman" w:eastAsia="宋体" w:cs="Times New Roman"/>
                      <w:color w:val="auto"/>
                      <w:sz w:val="21"/>
                      <w:szCs w:val="21"/>
                      <w:u w:val="none" w:color="auto"/>
                      <w:lang w:val="en-US" w:eastAsia="zh-CN" w:bidi="ar-SA"/>
                    </w:rPr>
                    <w:t>10~15.7m（采用双面斜坡式屋面）</w:t>
                  </w:r>
                  <w:r>
                    <w:rPr>
                      <w:rFonts w:hint="default" w:ascii="Times New Roman" w:hAnsi="Times New Roman" w:eastAsia="宋体" w:cs="Times New Roman"/>
                      <w:color w:val="auto"/>
                      <w:sz w:val="21"/>
                      <w:szCs w:val="21"/>
                      <w:u w:val="none" w:color="auto"/>
                      <w:lang w:eastAsia="zh-CN" w:bidi="ar-SA"/>
                    </w:rPr>
                    <w:t>，建筑面积16605m</w:t>
                  </w:r>
                  <w:r>
                    <w:rPr>
                      <w:rFonts w:hint="default" w:ascii="Times New Roman" w:hAnsi="Times New Roman" w:eastAsia="宋体" w:cs="Times New Roman"/>
                      <w:color w:val="auto"/>
                      <w:sz w:val="21"/>
                      <w:szCs w:val="21"/>
                      <w:u w:val="none" w:color="auto"/>
                      <w:vertAlign w:val="superscript"/>
                      <w:lang w:eastAsia="zh-CN" w:bidi="ar-SA"/>
                    </w:rPr>
                    <w:t>2</w:t>
                  </w:r>
                  <w:r>
                    <w:rPr>
                      <w:rFonts w:hint="default" w:ascii="Times New Roman" w:hAnsi="Times New Roman" w:eastAsia="宋体" w:cs="Times New Roman"/>
                      <w:color w:val="auto"/>
                      <w:sz w:val="21"/>
                      <w:szCs w:val="21"/>
                      <w:u w:val="none" w:color="auto"/>
                      <w:lang w:eastAsia="zh-CN" w:bidi="ar-SA"/>
                    </w:rPr>
                    <w:t>。生产车间内部</w:t>
                  </w:r>
                  <w:r>
                    <w:rPr>
                      <w:rFonts w:hint="default" w:ascii="Times New Roman" w:hAnsi="Times New Roman" w:eastAsia="宋体" w:cs="Times New Roman"/>
                      <w:color w:val="auto"/>
                      <w:sz w:val="21"/>
                      <w:szCs w:val="21"/>
                      <w:u w:val="none" w:color="auto"/>
                      <w:lang w:val="en-US" w:eastAsia="zh-CN" w:bidi="ar-SA"/>
                    </w:rPr>
                    <w:t>设置</w:t>
                  </w:r>
                  <w:r>
                    <w:rPr>
                      <w:rFonts w:hint="default" w:ascii="Times New Roman" w:hAnsi="Times New Roman" w:eastAsia="宋体" w:cs="Times New Roman"/>
                      <w:color w:val="auto"/>
                      <w:sz w:val="21"/>
                      <w:szCs w:val="21"/>
                      <w:u w:val="none" w:color="auto"/>
                      <w:lang w:eastAsia="zh-CN" w:bidi="ar-SA"/>
                    </w:rPr>
                    <w:t>一条铝合金铸锭生产线。</w:t>
                  </w:r>
                </w:p>
                <w:p w14:paraId="363DC53D">
                  <w:pPr>
                    <w:pStyle w:val="91"/>
                    <w:keepNext w:val="0"/>
                    <w:keepLines w:val="0"/>
                    <w:pageBreakBefore w:val="0"/>
                    <w:kinsoku/>
                    <w:wordWrap/>
                    <w:overflowPunct/>
                    <w:topLinePunct w:val="0"/>
                    <w:bidi w:val="0"/>
                    <w:adjustRightInd/>
                    <w:snapToGrid/>
                    <w:spacing w:line="240" w:lineRule="auto"/>
                    <w:textAlignment w:val="auto"/>
                    <w:rPr>
                      <w:rFonts w:hint="default" w:ascii="Times New Roman" w:hAnsi="Times New Roman" w:eastAsia="宋体" w:cs="Times New Roman"/>
                      <w:color w:val="auto"/>
                      <w:sz w:val="21"/>
                      <w:szCs w:val="21"/>
                      <w:u w:val="none" w:color="auto"/>
                      <w:lang w:val="en-US" w:eastAsia="zh-CN" w:bidi="ar-SA"/>
                    </w:rPr>
                  </w:pPr>
                  <w:r>
                    <w:rPr>
                      <w:rFonts w:hint="default" w:ascii="Times New Roman" w:hAnsi="Times New Roman" w:eastAsia="宋体" w:cs="Times New Roman"/>
                      <w:b/>
                      <w:bCs/>
                      <w:color w:val="auto"/>
                      <w:sz w:val="21"/>
                      <w:szCs w:val="21"/>
                      <w:u w:val="none" w:color="auto"/>
                      <w:lang w:eastAsia="zh-CN" w:bidi="ar-SA"/>
                    </w:rPr>
                    <w:t>辅助车间：</w:t>
                  </w:r>
                  <w:r>
                    <w:rPr>
                      <w:rFonts w:hint="default" w:ascii="Times New Roman" w:hAnsi="Times New Roman" w:eastAsia="宋体" w:cs="Times New Roman"/>
                      <w:color w:val="auto"/>
                      <w:sz w:val="21"/>
                      <w:szCs w:val="21"/>
                      <w:u w:val="none" w:color="auto"/>
                      <w:lang w:eastAsia="zh-CN" w:bidi="ar-SA"/>
                    </w:rPr>
                    <w:t>位于车间东侧，长135m、宽12m，高度</w:t>
                  </w:r>
                  <w:r>
                    <w:rPr>
                      <w:rFonts w:hint="default" w:ascii="Times New Roman" w:hAnsi="Times New Roman" w:eastAsia="宋体" w:cs="Times New Roman"/>
                      <w:color w:val="auto"/>
                      <w:sz w:val="21"/>
                      <w:szCs w:val="21"/>
                      <w:u w:val="none" w:color="auto"/>
                      <w:lang w:val="en-US" w:eastAsia="zh-CN" w:bidi="ar-SA"/>
                    </w:rPr>
                    <w:t>4.8m（渣处理间高度9m）</w:t>
                  </w:r>
                  <w:r>
                    <w:rPr>
                      <w:rFonts w:hint="default" w:ascii="Times New Roman" w:hAnsi="Times New Roman" w:eastAsia="宋体" w:cs="Times New Roman"/>
                      <w:color w:val="auto"/>
                      <w:sz w:val="21"/>
                      <w:szCs w:val="21"/>
                      <w:u w:val="none" w:color="auto"/>
                      <w:lang w:eastAsia="zh-CN" w:bidi="ar-SA"/>
                    </w:rPr>
                    <w:t>，建筑面积1493m</w:t>
                  </w:r>
                  <w:r>
                    <w:rPr>
                      <w:rFonts w:hint="default" w:ascii="Times New Roman" w:hAnsi="Times New Roman" w:eastAsia="宋体" w:cs="Times New Roman"/>
                      <w:color w:val="auto"/>
                      <w:sz w:val="21"/>
                      <w:szCs w:val="21"/>
                      <w:u w:val="none" w:color="auto"/>
                      <w:vertAlign w:val="superscript"/>
                      <w:lang w:eastAsia="zh-CN" w:bidi="ar-SA"/>
                    </w:rPr>
                    <w:t>2</w:t>
                  </w:r>
                  <w:r>
                    <w:rPr>
                      <w:rFonts w:hint="default" w:ascii="Times New Roman" w:hAnsi="Times New Roman" w:eastAsia="宋体" w:cs="Times New Roman"/>
                      <w:color w:val="auto"/>
                      <w:sz w:val="21"/>
                      <w:szCs w:val="21"/>
                      <w:u w:val="none" w:color="auto"/>
                      <w:lang w:eastAsia="zh-CN" w:bidi="ar-SA"/>
                    </w:rPr>
                    <w:t>。辅助车间主要配置为</w:t>
                  </w:r>
                  <w:r>
                    <w:rPr>
                      <w:rFonts w:hint="default" w:ascii="Times New Roman" w:hAnsi="Times New Roman" w:eastAsia="宋体" w:cs="Times New Roman"/>
                      <w:color w:val="auto"/>
                      <w:sz w:val="21"/>
                      <w:szCs w:val="21"/>
                      <w:u w:val="none" w:color="auto"/>
                      <w:lang w:eastAsia="zh-CN"/>
                    </w:rPr>
                    <w:t>渣处理间、烟气除尘区、低压配电及炉组电控室、炉前分析室、氩气站等。</w:t>
                  </w:r>
                </w:p>
              </w:tc>
            </w:tr>
            <w:tr w14:paraId="072ADDC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75" w:type="pct"/>
                  <w:vMerge w:val="continue"/>
                  <w:noWrap w:val="0"/>
                  <w:vAlign w:val="center"/>
                </w:tcPr>
                <w:p w14:paraId="5C84A010">
                  <w:pPr>
                    <w:keepNext w:val="0"/>
                    <w:keepLines w:val="0"/>
                    <w:pageBreakBefore w:val="0"/>
                    <w:kinsoku/>
                    <w:wordWrap/>
                    <w:overflowPunct/>
                    <w:topLinePunct w:val="0"/>
                    <w:bidi w:val="0"/>
                    <w:adjustRightInd/>
                    <w:snapToGrid/>
                    <w:spacing w:after="0" w:line="240" w:lineRule="auto"/>
                    <w:jc w:val="center"/>
                    <w:textAlignment w:val="auto"/>
                    <w:rPr>
                      <w:rFonts w:hint="default" w:ascii="Times New Roman" w:hAnsi="Times New Roman" w:eastAsia="宋体" w:cs="Times New Roman"/>
                      <w:color w:val="auto"/>
                      <w:sz w:val="21"/>
                      <w:szCs w:val="21"/>
                      <w:u w:val="none" w:color="auto"/>
                    </w:rPr>
                  </w:pPr>
                </w:p>
              </w:tc>
              <w:tc>
                <w:tcPr>
                  <w:tcW w:w="893" w:type="pct"/>
                  <w:noWrap w:val="0"/>
                  <w:vAlign w:val="center"/>
                </w:tcPr>
                <w:p w14:paraId="5E0A4956">
                  <w:pPr>
                    <w:keepNext w:val="0"/>
                    <w:keepLines w:val="0"/>
                    <w:pageBreakBefore w:val="0"/>
                    <w:kinsoku/>
                    <w:wordWrap/>
                    <w:overflowPunct/>
                    <w:topLinePunct w:val="0"/>
                    <w:bidi w:val="0"/>
                    <w:adjustRightInd/>
                    <w:snapToGrid/>
                    <w:spacing w:after="0" w:line="240" w:lineRule="auto"/>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挤压车间</w:t>
                  </w:r>
                </w:p>
              </w:tc>
              <w:tc>
                <w:tcPr>
                  <w:tcW w:w="3431" w:type="pct"/>
                  <w:noWrap w:val="0"/>
                  <w:vAlign w:val="center"/>
                </w:tcPr>
                <w:p w14:paraId="30F6E068">
                  <w:pPr>
                    <w:pStyle w:val="91"/>
                    <w:keepNext w:val="0"/>
                    <w:keepLines w:val="0"/>
                    <w:pageBreakBefore w:val="0"/>
                    <w:kinsoku/>
                    <w:wordWrap/>
                    <w:overflowPunct/>
                    <w:topLinePunct w:val="0"/>
                    <w:bidi w:val="0"/>
                    <w:adjustRightInd/>
                    <w:snapToGrid/>
                    <w:spacing w:line="240" w:lineRule="auto"/>
                    <w:textAlignment w:val="auto"/>
                    <w:rPr>
                      <w:rFonts w:hint="default" w:ascii="Times New Roman" w:hAnsi="Times New Roman" w:eastAsia="宋体" w:cs="Times New Roman"/>
                      <w:color w:val="auto"/>
                      <w:sz w:val="21"/>
                      <w:szCs w:val="21"/>
                      <w:u w:val="none" w:color="auto"/>
                      <w:lang w:eastAsia="zh-CN" w:bidi="ar-SA"/>
                    </w:rPr>
                  </w:pPr>
                  <w:r>
                    <w:rPr>
                      <w:rFonts w:hint="default" w:ascii="Times New Roman" w:hAnsi="Times New Roman" w:eastAsia="宋体" w:cs="Times New Roman"/>
                      <w:color w:val="auto"/>
                      <w:sz w:val="21"/>
                      <w:szCs w:val="21"/>
                      <w:u w:val="none" w:color="auto"/>
                      <w:lang w:eastAsia="zh-CN" w:bidi="ar-SA"/>
                    </w:rPr>
                    <w:t>由生产车间、辅助车间组成，合计建筑面积14088m</w:t>
                  </w:r>
                  <w:r>
                    <w:rPr>
                      <w:rFonts w:hint="default" w:ascii="Times New Roman" w:hAnsi="Times New Roman" w:eastAsia="宋体" w:cs="Times New Roman"/>
                      <w:color w:val="auto"/>
                      <w:sz w:val="21"/>
                      <w:szCs w:val="21"/>
                      <w:u w:val="none" w:color="auto"/>
                      <w:vertAlign w:val="superscript"/>
                      <w:lang w:eastAsia="zh-CN" w:bidi="ar-SA"/>
                    </w:rPr>
                    <w:t>2</w:t>
                  </w:r>
                  <w:r>
                    <w:rPr>
                      <w:rFonts w:hint="default" w:ascii="Times New Roman" w:hAnsi="Times New Roman" w:eastAsia="宋体" w:cs="Times New Roman"/>
                      <w:color w:val="auto"/>
                      <w:sz w:val="21"/>
                      <w:szCs w:val="21"/>
                      <w:u w:val="none" w:color="auto"/>
                      <w:lang w:eastAsia="zh-CN" w:bidi="ar-SA"/>
                    </w:rPr>
                    <w:t>。该车间用于生产产品挤压型材、挤制管材、挤制棒材。</w:t>
                  </w:r>
                </w:p>
                <w:p w14:paraId="2A553D83">
                  <w:pPr>
                    <w:pStyle w:val="91"/>
                    <w:keepNext w:val="0"/>
                    <w:keepLines w:val="0"/>
                    <w:pageBreakBefore w:val="0"/>
                    <w:kinsoku/>
                    <w:wordWrap/>
                    <w:overflowPunct/>
                    <w:topLinePunct w:val="0"/>
                    <w:bidi w:val="0"/>
                    <w:adjustRightInd/>
                    <w:snapToGrid/>
                    <w:spacing w:line="240" w:lineRule="auto"/>
                    <w:textAlignment w:val="auto"/>
                    <w:rPr>
                      <w:rFonts w:hint="default" w:ascii="Times New Roman" w:hAnsi="Times New Roman" w:eastAsia="宋体" w:cs="Times New Roman"/>
                      <w:color w:val="auto"/>
                      <w:sz w:val="21"/>
                      <w:szCs w:val="21"/>
                      <w:u w:val="none" w:color="auto"/>
                      <w:lang w:eastAsia="zh-CN" w:bidi="ar-SA"/>
                    </w:rPr>
                  </w:pPr>
                  <w:r>
                    <w:rPr>
                      <w:rFonts w:hint="default" w:ascii="Times New Roman" w:hAnsi="Times New Roman" w:eastAsia="宋体" w:cs="Times New Roman"/>
                      <w:b/>
                      <w:bCs/>
                      <w:color w:val="auto"/>
                      <w:sz w:val="21"/>
                      <w:szCs w:val="21"/>
                      <w:u w:val="none" w:color="auto"/>
                      <w:lang w:eastAsia="zh-CN" w:bidi="ar-SA"/>
                    </w:rPr>
                    <w:t>生产车间：</w:t>
                  </w:r>
                  <w:r>
                    <w:rPr>
                      <w:rFonts w:hint="default" w:ascii="Times New Roman" w:hAnsi="Times New Roman" w:eastAsia="宋体" w:cs="Times New Roman"/>
                      <w:color w:val="auto"/>
                      <w:sz w:val="21"/>
                      <w:szCs w:val="21"/>
                      <w:u w:val="none" w:color="auto"/>
                      <w:lang w:eastAsia="zh-CN" w:bidi="ar-SA"/>
                    </w:rPr>
                    <w:t>长320m、宽33m，高度</w:t>
                  </w:r>
                  <w:r>
                    <w:rPr>
                      <w:rFonts w:hint="default" w:ascii="Times New Roman" w:hAnsi="Times New Roman" w:eastAsia="宋体" w:cs="Times New Roman"/>
                      <w:color w:val="auto"/>
                      <w:sz w:val="21"/>
                      <w:szCs w:val="21"/>
                      <w:u w:val="none" w:color="auto"/>
                      <w:lang w:val="en-US" w:eastAsia="zh-CN" w:bidi="ar-SA"/>
                    </w:rPr>
                    <w:t>8~35.7m（采用双面斜坡式屋面）</w:t>
                  </w:r>
                  <w:r>
                    <w:rPr>
                      <w:rFonts w:hint="default" w:ascii="Times New Roman" w:hAnsi="Times New Roman" w:eastAsia="宋体" w:cs="Times New Roman"/>
                      <w:color w:val="auto"/>
                      <w:sz w:val="21"/>
                      <w:szCs w:val="21"/>
                      <w:u w:val="none" w:color="auto"/>
                      <w:lang w:eastAsia="zh-CN" w:bidi="ar-SA"/>
                    </w:rPr>
                    <w:t>，建筑面积10560m</w:t>
                  </w:r>
                  <w:r>
                    <w:rPr>
                      <w:rFonts w:hint="default" w:ascii="Times New Roman" w:hAnsi="Times New Roman" w:eastAsia="宋体" w:cs="Times New Roman"/>
                      <w:color w:val="auto"/>
                      <w:sz w:val="21"/>
                      <w:szCs w:val="21"/>
                      <w:u w:val="none" w:color="auto"/>
                      <w:vertAlign w:val="superscript"/>
                      <w:lang w:eastAsia="zh-CN" w:bidi="ar-SA"/>
                    </w:rPr>
                    <w:t>2</w:t>
                  </w:r>
                  <w:r>
                    <w:rPr>
                      <w:rFonts w:hint="default" w:ascii="Times New Roman" w:hAnsi="Times New Roman" w:eastAsia="宋体" w:cs="Times New Roman"/>
                      <w:color w:val="auto"/>
                      <w:sz w:val="21"/>
                      <w:szCs w:val="21"/>
                      <w:u w:val="none" w:color="auto"/>
                      <w:lang w:eastAsia="zh-CN" w:bidi="ar-SA"/>
                    </w:rPr>
                    <w:t>。生产车间内部</w:t>
                  </w:r>
                  <w:r>
                    <w:rPr>
                      <w:rFonts w:hint="default" w:ascii="Times New Roman" w:hAnsi="Times New Roman" w:eastAsia="宋体" w:cs="Times New Roman"/>
                      <w:color w:val="auto"/>
                      <w:sz w:val="21"/>
                      <w:szCs w:val="21"/>
                      <w:u w:val="none" w:color="auto"/>
                      <w:lang w:val="en-US" w:eastAsia="zh-CN" w:bidi="ar-SA"/>
                    </w:rPr>
                    <w:t>设置</w:t>
                  </w:r>
                  <w:r>
                    <w:rPr>
                      <w:rFonts w:hint="default" w:ascii="Times New Roman" w:hAnsi="Times New Roman" w:eastAsia="宋体" w:cs="Times New Roman"/>
                      <w:color w:val="auto"/>
                      <w:sz w:val="21"/>
                      <w:szCs w:val="21"/>
                      <w:u w:val="none" w:color="auto"/>
                      <w:lang w:eastAsia="zh-CN" w:bidi="ar-SA"/>
                    </w:rPr>
                    <w:t>挤压生产线。</w:t>
                  </w:r>
                </w:p>
                <w:p w14:paraId="6449D4D1">
                  <w:pPr>
                    <w:pStyle w:val="91"/>
                    <w:keepNext w:val="0"/>
                    <w:keepLines w:val="0"/>
                    <w:pageBreakBefore w:val="0"/>
                    <w:kinsoku/>
                    <w:wordWrap/>
                    <w:overflowPunct/>
                    <w:topLinePunct w:val="0"/>
                    <w:bidi w:val="0"/>
                    <w:adjustRightInd/>
                    <w:snapToGrid/>
                    <w:spacing w:line="240" w:lineRule="auto"/>
                    <w:textAlignment w:val="auto"/>
                    <w:rPr>
                      <w:rFonts w:hint="default" w:ascii="Times New Roman" w:hAnsi="Times New Roman" w:eastAsia="宋体" w:cs="Times New Roman"/>
                      <w:color w:val="auto"/>
                      <w:sz w:val="21"/>
                      <w:szCs w:val="21"/>
                      <w:u w:val="none" w:color="auto"/>
                      <w:lang w:val="en-US" w:eastAsia="zh-CN" w:bidi="ar-SA"/>
                    </w:rPr>
                  </w:pPr>
                  <w:r>
                    <w:rPr>
                      <w:rFonts w:hint="default" w:ascii="Times New Roman" w:hAnsi="Times New Roman" w:eastAsia="宋体" w:cs="Times New Roman"/>
                      <w:b/>
                      <w:bCs/>
                      <w:color w:val="auto"/>
                      <w:sz w:val="21"/>
                      <w:szCs w:val="21"/>
                      <w:u w:val="none" w:color="auto"/>
                      <w:lang w:eastAsia="zh-CN" w:bidi="ar-SA"/>
                    </w:rPr>
                    <w:t>辅助车间：</w:t>
                  </w:r>
                  <w:r>
                    <w:rPr>
                      <w:rFonts w:hint="default" w:ascii="Times New Roman" w:hAnsi="Times New Roman" w:eastAsia="宋体" w:cs="Times New Roman"/>
                      <w:color w:val="auto"/>
                      <w:sz w:val="21"/>
                      <w:szCs w:val="21"/>
                      <w:u w:val="none" w:color="auto"/>
                      <w:lang w:eastAsia="zh-CN" w:bidi="ar-SA"/>
                    </w:rPr>
                    <w:t>位于车间东侧，长196m、宽18m，高度</w:t>
                  </w:r>
                  <w:r>
                    <w:rPr>
                      <w:rFonts w:hint="default" w:ascii="Times New Roman" w:hAnsi="Times New Roman" w:eastAsia="宋体" w:cs="Times New Roman"/>
                      <w:color w:val="auto"/>
                      <w:sz w:val="21"/>
                      <w:szCs w:val="21"/>
                      <w:u w:val="none" w:color="auto"/>
                      <w:lang w:val="en-US" w:eastAsia="zh-CN" w:bidi="ar-SA"/>
                    </w:rPr>
                    <w:t>3.3m（电气用房4.6m）</w:t>
                  </w:r>
                  <w:r>
                    <w:rPr>
                      <w:rFonts w:hint="default" w:ascii="Times New Roman" w:hAnsi="Times New Roman" w:eastAsia="宋体" w:cs="Times New Roman"/>
                      <w:color w:val="auto"/>
                      <w:sz w:val="21"/>
                      <w:szCs w:val="21"/>
                      <w:u w:val="none" w:color="auto"/>
                      <w:lang w:eastAsia="zh-CN" w:bidi="ar-SA"/>
                    </w:rPr>
                    <w:t>，建筑面积3528m</w:t>
                  </w:r>
                  <w:r>
                    <w:rPr>
                      <w:rFonts w:hint="default" w:ascii="Times New Roman" w:hAnsi="Times New Roman" w:eastAsia="宋体" w:cs="Times New Roman"/>
                      <w:color w:val="auto"/>
                      <w:sz w:val="21"/>
                      <w:szCs w:val="21"/>
                      <w:u w:val="none" w:color="auto"/>
                      <w:vertAlign w:val="superscript"/>
                      <w:lang w:eastAsia="zh-CN" w:bidi="ar-SA"/>
                    </w:rPr>
                    <w:t>2</w:t>
                  </w:r>
                  <w:r>
                    <w:rPr>
                      <w:rFonts w:hint="default" w:ascii="Times New Roman" w:hAnsi="Times New Roman" w:eastAsia="宋体" w:cs="Times New Roman"/>
                      <w:color w:val="auto"/>
                      <w:sz w:val="21"/>
                      <w:szCs w:val="21"/>
                      <w:u w:val="none" w:color="auto"/>
                      <w:lang w:eastAsia="zh-CN" w:bidi="ar-SA"/>
                    </w:rPr>
                    <w:t>。辅助车间主要配置为</w:t>
                  </w:r>
                  <w:r>
                    <w:rPr>
                      <w:rFonts w:hint="default" w:ascii="Times New Roman" w:hAnsi="Times New Roman" w:eastAsia="宋体" w:cs="Times New Roman"/>
                      <w:color w:val="auto"/>
                      <w:sz w:val="21"/>
                      <w:szCs w:val="21"/>
                      <w:u w:val="none" w:color="auto"/>
                      <w:lang w:eastAsia="zh-CN"/>
                    </w:rPr>
                    <w:t>修模间、模具蚀洗间、模具氮化间、模具存放间、立式淬火间以及车间变配电站等。</w:t>
                  </w:r>
                </w:p>
              </w:tc>
            </w:tr>
            <w:tr w14:paraId="08AEF5E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75" w:type="pct"/>
                  <w:vMerge w:val="continue"/>
                  <w:noWrap w:val="0"/>
                  <w:vAlign w:val="center"/>
                </w:tcPr>
                <w:p w14:paraId="2192AF59">
                  <w:pPr>
                    <w:keepNext w:val="0"/>
                    <w:keepLines w:val="0"/>
                    <w:pageBreakBefore w:val="0"/>
                    <w:kinsoku/>
                    <w:wordWrap/>
                    <w:overflowPunct/>
                    <w:topLinePunct w:val="0"/>
                    <w:bidi w:val="0"/>
                    <w:adjustRightInd/>
                    <w:snapToGrid/>
                    <w:spacing w:after="0" w:line="240" w:lineRule="auto"/>
                    <w:jc w:val="center"/>
                    <w:textAlignment w:val="auto"/>
                    <w:rPr>
                      <w:rFonts w:hint="default" w:ascii="Times New Roman" w:hAnsi="Times New Roman" w:eastAsia="宋体" w:cs="Times New Roman"/>
                      <w:color w:val="auto"/>
                      <w:sz w:val="21"/>
                      <w:szCs w:val="21"/>
                      <w:u w:val="none" w:color="auto"/>
                    </w:rPr>
                  </w:pPr>
                </w:p>
              </w:tc>
              <w:tc>
                <w:tcPr>
                  <w:tcW w:w="893" w:type="pct"/>
                  <w:noWrap w:val="0"/>
                  <w:vAlign w:val="center"/>
                </w:tcPr>
                <w:p w14:paraId="5505A3EE">
                  <w:pPr>
                    <w:keepNext w:val="0"/>
                    <w:keepLines w:val="0"/>
                    <w:pageBreakBefore w:val="0"/>
                    <w:kinsoku/>
                    <w:wordWrap/>
                    <w:overflowPunct/>
                    <w:topLinePunct w:val="0"/>
                    <w:bidi w:val="0"/>
                    <w:adjustRightInd/>
                    <w:snapToGrid/>
                    <w:spacing w:after="0" w:line="240" w:lineRule="auto"/>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环</w:t>
                  </w:r>
                  <w:r>
                    <w:rPr>
                      <w:rFonts w:hint="default" w:ascii="Times New Roman" w:hAnsi="Times New Roman" w:eastAsia="宋体" w:cs="Times New Roman"/>
                      <w:color w:val="auto"/>
                      <w:sz w:val="21"/>
                      <w:szCs w:val="21"/>
                      <w:u w:val="none" w:color="auto"/>
                      <w:lang w:eastAsia="zh-CN"/>
                    </w:rPr>
                    <w:t>锻</w:t>
                  </w:r>
                  <w:r>
                    <w:rPr>
                      <w:rFonts w:hint="default" w:ascii="Times New Roman" w:hAnsi="Times New Roman" w:eastAsia="宋体" w:cs="Times New Roman"/>
                      <w:color w:val="auto"/>
                      <w:sz w:val="21"/>
                      <w:szCs w:val="21"/>
                      <w:u w:val="none" w:color="auto"/>
                    </w:rPr>
                    <w:t>件车间</w:t>
                  </w:r>
                </w:p>
              </w:tc>
              <w:tc>
                <w:tcPr>
                  <w:tcW w:w="3431" w:type="pct"/>
                  <w:noWrap w:val="0"/>
                  <w:vAlign w:val="center"/>
                </w:tcPr>
                <w:p w14:paraId="5FB66C18">
                  <w:pPr>
                    <w:pStyle w:val="91"/>
                    <w:keepNext w:val="0"/>
                    <w:keepLines w:val="0"/>
                    <w:pageBreakBefore w:val="0"/>
                    <w:kinsoku/>
                    <w:wordWrap/>
                    <w:overflowPunct/>
                    <w:topLinePunct w:val="0"/>
                    <w:bidi w:val="0"/>
                    <w:adjustRightInd/>
                    <w:snapToGrid/>
                    <w:spacing w:line="240" w:lineRule="auto"/>
                    <w:textAlignment w:val="auto"/>
                    <w:rPr>
                      <w:rFonts w:hint="default" w:ascii="Times New Roman" w:hAnsi="Times New Roman" w:eastAsia="宋体" w:cs="Times New Roman"/>
                      <w:color w:val="auto"/>
                      <w:sz w:val="21"/>
                      <w:szCs w:val="21"/>
                      <w:u w:val="none" w:color="auto"/>
                      <w:lang w:eastAsia="zh-CN" w:bidi="ar-SA"/>
                    </w:rPr>
                  </w:pPr>
                  <w:r>
                    <w:rPr>
                      <w:rFonts w:hint="default" w:ascii="Times New Roman" w:hAnsi="Times New Roman" w:eastAsia="宋体" w:cs="Times New Roman"/>
                      <w:color w:val="auto"/>
                      <w:sz w:val="21"/>
                      <w:szCs w:val="21"/>
                      <w:u w:val="none" w:color="auto"/>
                      <w:lang w:eastAsia="zh-CN" w:bidi="ar-SA"/>
                    </w:rPr>
                    <w:t>环锻件车间总体可分为东西两侧生产区域，两生产区域均由生产车间、辅助车间组成，合计建筑面积20739m</w:t>
                  </w:r>
                  <w:r>
                    <w:rPr>
                      <w:rFonts w:hint="default" w:ascii="Times New Roman" w:hAnsi="Times New Roman" w:eastAsia="宋体" w:cs="Times New Roman"/>
                      <w:color w:val="auto"/>
                      <w:sz w:val="21"/>
                      <w:szCs w:val="21"/>
                      <w:u w:val="none" w:color="auto"/>
                      <w:vertAlign w:val="superscript"/>
                      <w:lang w:eastAsia="zh-CN" w:bidi="ar-SA"/>
                    </w:rPr>
                    <w:t>2</w:t>
                  </w:r>
                  <w:r>
                    <w:rPr>
                      <w:rFonts w:hint="default" w:ascii="Times New Roman" w:hAnsi="Times New Roman" w:eastAsia="宋体" w:cs="Times New Roman"/>
                      <w:color w:val="auto"/>
                      <w:sz w:val="21"/>
                      <w:szCs w:val="21"/>
                      <w:u w:val="none" w:color="auto"/>
                      <w:lang w:eastAsia="zh-CN" w:bidi="ar-SA"/>
                    </w:rPr>
                    <w:t>。东侧生产区域主要生产功能为锻造开坯，对原材料进行初步加工；西侧生产区域采用东侧生产区初步加工后的原材料从事环筒件的生产。</w:t>
                  </w:r>
                </w:p>
                <w:p w14:paraId="1E1ADA96">
                  <w:pPr>
                    <w:pStyle w:val="91"/>
                    <w:keepNext w:val="0"/>
                    <w:keepLines w:val="0"/>
                    <w:pageBreakBefore w:val="0"/>
                    <w:kinsoku/>
                    <w:wordWrap/>
                    <w:overflowPunct/>
                    <w:topLinePunct w:val="0"/>
                    <w:bidi w:val="0"/>
                    <w:adjustRightInd/>
                    <w:snapToGrid/>
                    <w:spacing w:line="240" w:lineRule="auto"/>
                    <w:textAlignment w:val="auto"/>
                    <w:rPr>
                      <w:rFonts w:hint="default" w:ascii="Times New Roman" w:hAnsi="Times New Roman" w:eastAsia="宋体" w:cs="Times New Roman"/>
                      <w:color w:val="auto"/>
                      <w:sz w:val="21"/>
                      <w:szCs w:val="21"/>
                      <w:u w:val="none" w:color="auto"/>
                      <w:lang w:val="en-US" w:eastAsia="zh-CN" w:bidi="ar-SA"/>
                    </w:rPr>
                  </w:pPr>
                  <w:r>
                    <w:rPr>
                      <w:rFonts w:hint="default" w:ascii="Times New Roman" w:hAnsi="Times New Roman" w:eastAsia="宋体" w:cs="Times New Roman"/>
                      <w:b/>
                      <w:bCs/>
                      <w:color w:val="auto"/>
                      <w:sz w:val="21"/>
                      <w:szCs w:val="21"/>
                      <w:u w:val="none" w:color="auto"/>
                      <w:lang w:eastAsia="zh-CN" w:bidi="ar-SA"/>
                    </w:rPr>
                    <w:t>东侧生产区域：①生产车间：</w:t>
                  </w:r>
                  <w:r>
                    <w:rPr>
                      <w:rFonts w:hint="default" w:ascii="Times New Roman" w:hAnsi="Times New Roman" w:eastAsia="宋体" w:cs="Times New Roman"/>
                      <w:color w:val="auto"/>
                      <w:sz w:val="21"/>
                      <w:szCs w:val="21"/>
                      <w:u w:val="none" w:color="auto"/>
                      <w:lang w:eastAsia="zh-CN" w:bidi="ar-SA"/>
                    </w:rPr>
                    <w:t>长223m、宽33m，高度</w:t>
                  </w:r>
                  <w:r>
                    <w:rPr>
                      <w:rFonts w:hint="default" w:ascii="Times New Roman" w:hAnsi="Times New Roman" w:eastAsia="宋体" w:cs="Times New Roman"/>
                      <w:color w:val="auto"/>
                      <w:sz w:val="21"/>
                      <w:szCs w:val="21"/>
                      <w:u w:val="none" w:color="auto"/>
                      <w:lang w:val="en-US" w:eastAsia="zh-CN" w:bidi="ar-SA"/>
                    </w:rPr>
                    <w:t>16.5~25.7m（采用单面斜坡式屋面）</w:t>
                  </w:r>
                  <w:r>
                    <w:rPr>
                      <w:rFonts w:hint="default" w:ascii="Times New Roman" w:hAnsi="Times New Roman" w:eastAsia="宋体" w:cs="Times New Roman"/>
                      <w:color w:val="auto"/>
                      <w:sz w:val="21"/>
                      <w:szCs w:val="21"/>
                      <w:u w:val="none" w:color="auto"/>
                      <w:lang w:eastAsia="zh-CN" w:bidi="ar-SA"/>
                    </w:rPr>
                    <w:t>，建筑面积7359m</w:t>
                  </w:r>
                  <w:r>
                    <w:rPr>
                      <w:rFonts w:hint="default" w:ascii="Times New Roman" w:hAnsi="Times New Roman" w:eastAsia="宋体" w:cs="Times New Roman"/>
                      <w:color w:val="auto"/>
                      <w:sz w:val="21"/>
                      <w:szCs w:val="21"/>
                      <w:u w:val="none" w:color="auto"/>
                      <w:vertAlign w:val="superscript"/>
                      <w:lang w:eastAsia="zh-CN" w:bidi="ar-SA"/>
                    </w:rPr>
                    <w:t>2</w:t>
                  </w:r>
                  <w:r>
                    <w:rPr>
                      <w:rFonts w:hint="default" w:ascii="Times New Roman" w:hAnsi="Times New Roman" w:eastAsia="宋体" w:cs="Times New Roman"/>
                      <w:color w:val="auto"/>
                      <w:sz w:val="21"/>
                      <w:szCs w:val="21"/>
                      <w:u w:val="none" w:color="auto"/>
                      <w:lang w:eastAsia="zh-CN" w:bidi="ar-SA"/>
                    </w:rPr>
                    <w:t>，主要配置有</w:t>
                  </w:r>
                  <w:r>
                    <w:rPr>
                      <w:rFonts w:hint="default" w:ascii="Times New Roman" w:hAnsi="Times New Roman" w:eastAsia="宋体" w:cs="Times New Roman"/>
                      <w:color w:val="auto"/>
                      <w:sz w:val="21"/>
                      <w:szCs w:val="21"/>
                      <w:u w:val="none" w:color="auto"/>
                      <w:lang w:val="en-US" w:eastAsia="zh-CN" w:bidi="ar-SA"/>
                    </w:rPr>
                    <w:t>换环锻件生产线设备</w:t>
                  </w:r>
                  <w:r>
                    <w:rPr>
                      <w:rFonts w:hint="default" w:ascii="Times New Roman" w:hAnsi="Times New Roman" w:eastAsia="宋体" w:cs="Times New Roman"/>
                      <w:color w:val="auto"/>
                      <w:sz w:val="21"/>
                      <w:szCs w:val="21"/>
                      <w:u w:val="none" w:color="auto"/>
                      <w:lang w:eastAsia="zh-CN" w:bidi="ar-SA"/>
                    </w:rPr>
                    <w:t>；</w:t>
                  </w:r>
                  <w:r>
                    <w:rPr>
                      <w:rFonts w:hint="default" w:ascii="Times New Roman" w:hAnsi="Times New Roman" w:eastAsia="宋体" w:cs="Times New Roman"/>
                      <w:b/>
                      <w:bCs/>
                      <w:color w:val="auto"/>
                      <w:sz w:val="21"/>
                      <w:szCs w:val="21"/>
                      <w:u w:val="none" w:color="auto"/>
                      <w:lang w:eastAsia="zh-CN" w:bidi="ar-SA"/>
                    </w:rPr>
                    <w:t>②辅助车间：</w:t>
                  </w:r>
                  <w:r>
                    <w:rPr>
                      <w:rFonts w:hint="default" w:ascii="Times New Roman" w:hAnsi="Times New Roman" w:eastAsia="宋体" w:cs="Times New Roman"/>
                      <w:color w:val="auto"/>
                      <w:sz w:val="21"/>
                      <w:szCs w:val="21"/>
                      <w:u w:val="none" w:color="auto"/>
                      <w:lang w:eastAsia="zh-CN" w:bidi="ar-SA"/>
                    </w:rPr>
                    <w:t>位于生产车间东侧，长223m、宽18m，高度</w:t>
                  </w:r>
                  <w:r>
                    <w:rPr>
                      <w:rFonts w:hint="default" w:ascii="Times New Roman" w:hAnsi="Times New Roman" w:eastAsia="宋体" w:cs="Times New Roman"/>
                      <w:color w:val="auto"/>
                      <w:sz w:val="21"/>
                      <w:szCs w:val="21"/>
                      <w:u w:val="none" w:color="auto"/>
                      <w:lang w:val="en-US" w:eastAsia="zh-CN" w:bidi="ar-SA"/>
                    </w:rPr>
                    <w:t>4.8m（机油系统间4.6m）</w:t>
                  </w:r>
                  <w:r>
                    <w:rPr>
                      <w:rFonts w:hint="default" w:ascii="Times New Roman" w:hAnsi="Times New Roman" w:eastAsia="宋体" w:cs="Times New Roman"/>
                      <w:color w:val="auto"/>
                      <w:sz w:val="21"/>
                      <w:szCs w:val="21"/>
                      <w:u w:val="none" w:color="auto"/>
                      <w:lang w:eastAsia="zh-CN" w:bidi="ar-SA"/>
                    </w:rPr>
                    <w:t>，建筑面积4014m</w:t>
                  </w:r>
                  <w:r>
                    <w:rPr>
                      <w:rFonts w:hint="default" w:ascii="Times New Roman" w:hAnsi="Times New Roman" w:eastAsia="宋体" w:cs="Times New Roman"/>
                      <w:color w:val="auto"/>
                      <w:sz w:val="21"/>
                      <w:szCs w:val="21"/>
                      <w:u w:val="none" w:color="auto"/>
                      <w:vertAlign w:val="superscript"/>
                      <w:lang w:eastAsia="zh-CN" w:bidi="ar-SA"/>
                    </w:rPr>
                    <w:t>2</w:t>
                  </w:r>
                  <w:r>
                    <w:rPr>
                      <w:rFonts w:hint="default" w:ascii="Times New Roman" w:hAnsi="Times New Roman" w:eastAsia="宋体" w:cs="Times New Roman"/>
                      <w:color w:val="auto"/>
                      <w:sz w:val="21"/>
                      <w:szCs w:val="21"/>
                      <w:u w:val="none" w:color="auto"/>
                      <w:lang w:eastAsia="zh-CN" w:bidi="ar-SA"/>
                    </w:rPr>
                    <w:t>，配置有压机油系统间、变配电间、加热炉区、工具间和车间办公室、卫生间等。</w:t>
                  </w:r>
                </w:p>
                <w:p w14:paraId="125AFBDA">
                  <w:pPr>
                    <w:pStyle w:val="91"/>
                    <w:keepNext w:val="0"/>
                    <w:keepLines w:val="0"/>
                    <w:pageBreakBefore w:val="0"/>
                    <w:kinsoku/>
                    <w:wordWrap/>
                    <w:overflowPunct/>
                    <w:topLinePunct w:val="0"/>
                    <w:bidi w:val="0"/>
                    <w:adjustRightInd/>
                    <w:snapToGrid/>
                    <w:spacing w:line="240" w:lineRule="auto"/>
                    <w:textAlignment w:val="auto"/>
                    <w:rPr>
                      <w:rFonts w:hint="default" w:ascii="Times New Roman" w:hAnsi="Times New Roman" w:eastAsia="宋体" w:cs="Times New Roman"/>
                      <w:color w:val="auto"/>
                      <w:sz w:val="21"/>
                      <w:szCs w:val="21"/>
                      <w:u w:val="none" w:color="auto"/>
                      <w:lang w:val="en-US" w:eastAsia="zh-CN" w:bidi="ar-SA"/>
                    </w:rPr>
                  </w:pPr>
                  <w:r>
                    <w:rPr>
                      <w:rFonts w:hint="default" w:ascii="Times New Roman" w:hAnsi="Times New Roman" w:eastAsia="宋体" w:cs="Times New Roman"/>
                      <w:b/>
                      <w:bCs/>
                      <w:color w:val="auto"/>
                      <w:sz w:val="21"/>
                      <w:szCs w:val="21"/>
                      <w:u w:val="none" w:color="auto"/>
                      <w:lang w:eastAsia="zh-CN" w:bidi="ar-SA"/>
                    </w:rPr>
                    <w:t>西侧生产区域：①生产车间：</w:t>
                  </w:r>
                  <w:r>
                    <w:rPr>
                      <w:rFonts w:hint="default" w:ascii="Times New Roman" w:hAnsi="Times New Roman" w:eastAsia="宋体" w:cs="Times New Roman"/>
                      <w:color w:val="auto"/>
                      <w:sz w:val="21"/>
                      <w:szCs w:val="21"/>
                      <w:u w:val="none" w:color="auto"/>
                      <w:lang w:eastAsia="zh-CN" w:bidi="ar-SA"/>
                    </w:rPr>
                    <w:t>长223m、宽33m，高度</w:t>
                  </w:r>
                  <w:r>
                    <w:rPr>
                      <w:rFonts w:hint="default" w:ascii="Times New Roman" w:hAnsi="Times New Roman" w:eastAsia="宋体" w:cs="Times New Roman"/>
                      <w:color w:val="auto"/>
                      <w:sz w:val="21"/>
                      <w:szCs w:val="21"/>
                      <w:u w:val="none" w:color="auto"/>
                      <w:lang w:val="en-US" w:eastAsia="zh-CN" w:bidi="ar-SA"/>
                    </w:rPr>
                    <w:t>16.5~25.7m（采用单面斜坡式屋面）</w:t>
                  </w:r>
                  <w:r>
                    <w:rPr>
                      <w:rFonts w:hint="default" w:ascii="Times New Roman" w:hAnsi="Times New Roman" w:eastAsia="宋体" w:cs="Times New Roman"/>
                      <w:color w:val="auto"/>
                      <w:sz w:val="21"/>
                      <w:szCs w:val="21"/>
                      <w:u w:val="none" w:color="auto"/>
                      <w:lang w:eastAsia="zh-CN" w:bidi="ar-SA"/>
                    </w:rPr>
                    <w:t>，建筑面积7359m</w:t>
                  </w:r>
                  <w:r>
                    <w:rPr>
                      <w:rFonts w:hint="default" w:ascii="Times New Roman" w:hAnsi="Times New Roman" w:eastAsia="宋体" w:cs="Times New Roman"/>
                      <w:color w:val="auto"/>
                      <w:sz w:val="21"/>
                      <w:szCs w:val="21"/>
                      <w:u w:val="none" w:color="auto"/>
                      <w:vertAlign w:val="superscript"/>
                      <w:lang w:eastAsia="zh-CN" w:bidi="ar-SA"/>
                    </w:rPr>
                    <w:t>2</w:t>
                  </w:r>
                  <w:r>
                    <w:rPr>
                      <w:rFonts w:hint="default" w:ascii="Times New Roman" w:hAnsi="Times New Roman" w:eastAsia="宋体" w:cs="Times New Roman"/>
                      <w:color w:val="auto"/>
                      <w:sz w:val="21"/>
                      <w:szCs w:val="21"/>
                      <w:u w:val="none" w:color="auto"/>
                      <w:lang w:eastAsia="zh-CN" w:bidi="ar-SA"/>
                    </w:rPr>
                    <w:t>，主要配置</w:t>
                  </w:r>
                  <w:r>
                    <w:rPr>
                      <w:rFonts w:hint="default" w:ascii="Times New Roman" w:hAnsi="Times New Roman" w:eastAsia="宋体" w:cs="Times New Roman"/>
                      <w:color w:val="auto"/>
                      <w:sz w:val="21"/>
                      <w:szCs w:val="21"/>
                      <w:u w:val="none" w:color="auto"/>
                      <w:lang w:val="en-US" w:eastAsia="zh-CN" w:bidi="ar-SA"/>
                    </w:rPr>
                    <w:t>换环锻件生产线设备</w:t>
                  </w: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b/>
                      <w:bCs/>
                      <w:color w:val="auto"/>
                      <w:sz w:val="21"/>
                      <w:szCs w:val="21"/>
                      <w:u w:val="none" w:color="auto"/>
                      <w:lang w:eastAsia="zh-CN"/>
                    </w:rPr>
                    <w:t>②</w:t>
                  </w:r>
                  <w:r>
                    <w:rPr>
                      <w:rFonts w:hint="default" w:ascii="Times New Roman" w:hAnsi="Times New Roman" w:eastAsia="宋体" w:cs="Times New Roman"/>
                      <w:b/>
                      <w:bCs/>
                      <w:color w:val="auto"/>
                      <w:sz w:val="21"/>
                      <w:szCs w:val="21"/>
                      <w:u w:val="none" w:color="auto"/>
                      <w:lang w:eastAsia="zh-CN" w:bidi="ar-SA"/>
                    </w:rPr>
                    <w:t>辅助车间：</w:t>
                  </w:r>
                  <w:r>
                    <w:rPr>
                      <w:rFonts w:hint="default" w:ascii="Times New Roman" w:hAnsi="Times New Roman" w:eastAsia="宋体" w:cs="Times New Roman"/>
                      <w:color w:val="auto"/>
                      <w:sz w:val="21"/>
                      <w:szCs w:val="21"/>
                      <w:u w:val="none" w:color="auto"/>
                      <w:lang w:eastAsia="zh-CN" w:bidi="ar-SA"/>
                    </w:rPr>
                    <w:t>位于生产车间西侧，长223m、宽9m，高度</w:t>
                  </w:r>
                  <w:r>
                    <w:rPr>
                      <w:rFonts w:hint="default" w:ascii="Times New Roman" w:hAnsi="Times New Roman" w:eastAsia="宋体" w:cs="Times New Roman"/>
                      <w:color w:val="auto"/>
                      <w:sz w:val="21"/>
                      <w:szCs w:val="21"/>
                      <w:u w:val="none" w:color="auto"/>
                      <w:lang w:val="en-US" w:eastAsia="zh-CN" w:bidi="ar-SA"/>
                    </w:rPr>
                    <w:t>4.8m（液压系统间8m）</w:t>
                  </w:r>
                  <w:r>
                    <w:rPr>
                      <w:rFonts w:hint="default" w:ascii="Times New Roman" w:hAnsi="Times New Roman" w:eastAsia="宋体" w:cs="Times New Roman"/>
                      <w:color w:val="auto"/>
                      <w:sz w:val="21"/>
                      <w:szCs w:val="21"/>
                      <w:u w:val="none" w:color="auto"/>
                      <w:lang w:eastAsia="zh-CN" w:bidi="ar-SA"/>
                    </w:rPr>
                    <w:t>，建筑面积2007m</w:t>
                  </w:r>
                  <w:r>
                    <w:rPr>
                      <w:rFonts w:hint="default" w:ascii="Times New Roman" w:hAnsi="Times New Roman" w:eastAsia="宋体" w:cs="Times New Roman"/>
                      <w:color w:val="auto"/>
                      <w:sz w:val="21"/>
                      <w:szCs w:val="21"/>
                      <w:u w:val="none" w:color="auto"/>
                      <w:vertAlign w:val="superscript"/>
                      <w:lang w:eastAsia="zh-CN" w:bidi="ar-SA"/>
                    </w:rPr>
                    <w:t>2</w:t>
                  </w:r>
                  <w:r>
                    <w:rPr>
                      <w:rFonts w:hint="default" w:ascii="Times New Roman" w:hAnsi="Times New Roman" w:eastAsia="宋体" w:cs="Times New Roman"/>
                      <w:color w:val="auto"/>
                      <w:sz w:val="21"/>
                      <w:szCs w:val="21"/>
                      <w:u w:val="none" w:color="auto"/>
                      <w:lang w:eastAsia="zh-CN" w:bidi="ar-SA"/>
                    </w:rPr>
                    <w:t>，配置有</w:t>
                  </w:r>
                  <w:r>
                    <w:rPr>
                      <w:rFonts w:hint="default" w:ascii="Times New Roman" w:hAnsi="Times New Roman" w:eastAsia="宋体" w:cs="Times New Roman"/>
                      <w:color w:val="auto"/>
                      <w:sz w:val="21"/>
                      <w:szCs w:val="21"/>
                      <w:u w:val="none" w:color="auto"/>
                      <w:lang w:eastAsia="zh-CN"/>
                    </w:rPr>
                    <w:t>轧环机、筒件轧环机和胀形机的液压系统间、变配电间、加热炉区、工具间和车间办公室、卫生间等。</w:t>
                  </w:r>
                </w:p>
              </w:tc>
            </w:tr>
            <w:tr w14:paraId="1BF4636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75" w:type="pct"/>
                  <w:vMerge w:val="continue"/>
                  <w:noWrap w:val="0"/>
                  <w:vAlign w:val="center"/>
                </w:tcPr>
                <w:p w14:paraId="4C4D32FB">
                  <w:pPr>
                    <w:keepNext w:val="0"/>
                    <w:keepLines w:val="0"/>
                    <w:pageBreakBefore w:val="0"/>
                    <w:kinsoku/>
                    <w:wordWrap/>
                    <w:overflowPunct/>
                    <w:topLinePunct w:val="0"/>
                    <w:bidi w:val="0"/>
                    <w:adjustRightInd/>
                    <w:snapToGrid/>
                    <w:spacing w:after="0" w:line="240" w:lineRule="auto"/>
                    <w:jc w:val="center"/>
                    <w:textAlignment w:val="auto"/>
                    <w:rPr>
                      <w:rFonts w:hint="default" w:ascii="Times New Roman" w:hAnsi="Times New Roman" w:eastAsia="宋体" w:cs="Times New Roman"/>
                      <w:color w:val="auto"/>
                      <w:sz w:val="21"/>
                      <w:szCs w:val="21"/>
                      <w:u w:val="none" w:color="auto"/>
                    </w:rPr>
                  </w:pPr>
                </w:p>
              </w:tc>
              <w:tc>
                <w:tcPr>
                  <w:tcW w:w="893" w:type="pct"/>
                  <w:noWrap w:val="0"/>
                  <w:vAlign w:val="center"/>
                </w:tcPr>
                <w:p w14:paraId="61997660">
                  <w:pPr>
                    <w:keepNext w:val="0"/>
                    <w:keepLines w:val="0"/>
                    <w:pageBreakBefore w:val="0"/>
                    <w:kinsoku/>
                    <w:wordWrap/>
                    <w:overflowPunct/>
                    <w:topLinePunct w:val="0"/>
                    <w:bidi w:val="0"/>
                    <w:adjustRightInd/>
                    <w:snapToGrid/>
                    <w:spacing w:after="0" w:line="240" w:lineRule="auto"/>
                    <w:jc w:val="center"/>
                    <w:textAlignment w:val="auto"/>
                    <w:rPr>
                      <w:rFonts w:hint="default" w:ascii="Times New Roman" w:hAnsi="Times New Roman" w:eastAsia="宋体" w:cs="Times New Roman"/>
                      <w:b w:val="0"/>
                      <w:bCs w:val="0"/>
                      <w:color w:val="auto"/>
                      <w:kern w:val="2"/>
                      <w:sz w:val="21"/>
                      <w:szCs w:val="21"/>
                      <w:u w:val="none" w:color="auto"/>
                      <w:lang w:val="en-US" w:eastAsia="zh-CN" w:bidi="ar-SA"/>
                    </w:rPr>
                  </w:pPr>
                  <w:r>
                    <w:rPr>
                      <w:rFonts w:hint="default" w:ascii="Times New Roman" w:hAnsi="Times New Roman" w:eastAsia="宋体" w:cs="Times New Roman"/>
                      <w:b w:val="0"/>
                      <w:bCs w:val="0"/>
                      <w:color w:val="auto"/>
                      <w:sz w:val="21"/>
                      <w:szCs w:val="21"/>
                      <w:u w:val="none" w:color="auto"/>
                      <w:lang w:val="en-US" w:eastAsia="zh-CN"/>
                    </w:rPr>
                    <w:t>抛丸打磨房</w:t>
                  </w:r>
                </w:p>
              </w:tc>
              <w:tc>
                <w:tcPr>
                  <w:tcW w:w="3431" w:type="pct"/>
                  <w:noWrap w:val="0"/>
                  <w:vAlign w:val="center"/>
                </w:tcPr>
                <w:p w14:paraId="4E629FE4">
                  <w:pPr>
                    <w:keepNext w:val="0"/>
                    <w:keepLines w:val="0"/>
                    <w:pageBreakBefore w:val="0"/>
                    <w:kinsoku/>
                    <w:wordWrap/>
                    <w:overflowPunct/>
                    <w:topLinePunct w:val="0"/>
                    <w:bidi w:val="0"/>
                    <w:adjustRightInd/>
                    <w:snapToGrid/>
                    <w:spacing w:after="0" w:line="240" w:lineRule="auto"/>
                    <w:jc w:val="center"/>
                    <w:textAlignment w:val="auto"/>
                    <w:rPr>
                      <w:rFonts w:hint="default" w:ascii="Times New Roman" w:hAnsi="Times New Roman" w:eastAsia="宋体" w:cs="Times New Roman"/>
                      <w:b w:val="0"/>
                      <w:bCs w:val="0"/>
                      <w:color w:val="auto"/>
                      <w:kern w:val="2"/>
                      <w:sz w:val="21"/>
                      <w:szCs w:val="21"/>
                      <w:u w:val="none" w:color="auto"/>
                      <w:lang w:val="en-US" w:eastAsia="zh-CN" w:bidi="ar-SA"/>
                    </w:rPr>
                  </w:pPr>
                  <w:r>
                    <w:rPr>
                      <w:rFonts w:hint="default" w:ascii="Times New Roman" w:hAnsi="Times New Roman" w:eastAsia="宋体" w:cs="Times New Roman"/>
                      <w:b w:val="0"/>
                      <w:bCs w:val="0"/>
                      <w:color w:val="auto"/>
                      <w:sz w:val="21"/>
                      <w:szCs w:val="21"/>
                      <w:u w:val="none" w:color="auto"/>
                      <w:lang w:val="en-US" w:eastAsia="zh-CN"/>
                    </w:rPr>
                    <w:t>位于废水处理站北侧，占地面积160m</w:t>
                  </w:r>
                  <w:r>
                    <w:rPr>
                      <w:rFonts w:hint="default" w:ascii="Times New Roman" w:hAnsi="Times New Roman" w:eastAsia="宋体" w:cs="Times New Roman"/>
                      <w:b w:val="0"/>
                      <w:bCs w:val="0"/>
                      <w:color w:val="auto"/>
                      <w:sz w:val="21"/>
                      <w:szCs w:val="21"/>
                      <w:u w:val="none" w:color="auto"/>
                      <w:vertAlign w:val="superscript"/>
                      <w:lang w:val="en-US" w:eastAsia="zh-CN"/>
                    </w:rPr>
                    <w:t>2</w:t>
                  </w:r>
                  <w:r>
                    <w:rPr>
                      <w:rFonts w:hint="default" w:ascii="Times New Roman" w:hAnsi="Times New Roman" w:eastAsia="宋体" w:cs="Times New Roman"/>
                      <w:b w:val="0"/>
                      <w:bCs w:val="0"/>
                      <w:color w:val="auto"/>
                      <w:sz w:val="21"/>
                      <w:szCs w:val="21"/>
                      <w:u w:val="none" w:color="auto"/>
                      <w:lang w:val="en-US" w:eastAsia="zh-CN"/>
                    </w:rPr>
                    <w:t>，1F钢架结构，用于锻造车间生产用，专用环锻车间高温件打磨、抛丸、喷砂等处理</w:t>
                  </w:r>
                </w:p>
              </w:tc>
            </w:tr>
            <w:tr w14:paraId="077117D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75" w:type="pct"/>
                  <w:vMerge w:val="continue"/>
                  <w:noWrap w:val="0"/>
                  <w:vAlign w:val="center"/>
                </w:tcPr>
                <w:p w14:paraId="7E8A35A3">
                  <w:pPr>
                    <w:keepNext w:val="0"/>
                    <w:keepLines w:val="0"/>
                    <w:pageBreakBefore w:val="0"/>
                    <w:kinsoku/>
                    <w:wordWrap/>
                    <w:overflowPunct/>
                    <w:topLinePunct w:val="0"/>
                    <w:bidi w:val="0"/>
                    <w:adjustRightInd/>
                    <w:snapToGrid/>
                    <w:spacing w:after="0" w:line="240" w:lineRule="auto"/>
                    <w:jc w:val="center"/>
                    <w:textAlignment w:val="auto"/>
                    <w:rPr>
                      <w:rFonts w:hint="default" w:ascii="Times New Roman" w:hAnsi="Times New Roman" w:eastAsia="宋体" w:cs="Times New Roman"/>
                      <w:color w:val="auto"/>
                      <w:sz w:val="21"/>
                      <w:szCs w:val="21"/>
                      <w:u w:val="none" w:color="auto"/>
                    </w:rPr>
                  </w:pPr>
                </w:p>
              </w:tc>
              <w:tc>
                <w:tcPr>
                  <w:tcW w:w="893" w:type="pct"/>
                  <w:noWrap w:val="0"/>
                  <w:vAlign w:val="center"/>
                </w:tcPr>
                <w:p w14:paraId="0F7B79A3">
                  <w:pPr>
                    <w:keepNext w:val="0"/>
                    <w:keepLines w:val="0"/>
                    <w:pageBreakBefore w:val="0"/>
                    <w:kinsoku/>
                    <w:wordWrap/>
                    <w:overflowPunct/>
                    <w:topLinePunct w:val="0"/>
                    <w:bidi w:val="0"/>
                    <w:adjustRightInd/>
                    <w:snapToGrid/>
                    <w:spacing w:after="0" w:line="240" w:lineRule="auto"/>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eastAsia="zh-CN"/>
                    </w:rPr>
                    <w:t>钣金</w:t>
                  </w:r>
                  <w:r>
                    <w:rPr>
                      <w:rFonts w:hint="default" w:ascii="Times New Roman" w:hAnsi="Times New Roman" w:eastAsia="宋体" w:cs="Times New Roman"/>
                      <w:color w:val="auto"/>
                      <w:sz w:val="21"/>
                      <w:szCs w:val="21"/>
                      <w:u w:val="none" w:color="auto"/>
                    </w:rPr>
                    <w:t>车间</w:t>
                  </w:r>
                </w:p>
              </w:tc>
              <w:tc>
                <w:tcPr>
                  <w:tcW w:w="3431" w:type="pct"/>
                  <w:noWrap w:val="0"/>
                  <w:vAlign w:val="center"/>
                </w:tcPr>
                <w:p w14:paraId="580D64CF">
                  <w:pPr>
                    <w:pStyle w:val="91"/>
                    <w:keepNext w:val="0"/>
                    <w:keepLines w:val="0"/>
                    <w:pageBreakBefore w:val="0"/>
                    <w:kinsoku/>
                    <w:wordWrap/>
                    <w:overflowPunct/>
                    <w:topLinePunct w:val="0"/>
                    <w:bidi w:val="0"/>
                    <w:adjustRightInd/>
                    <w:snapToGrid/>
                    <w:spacing w:line="240" w:lineRule="auto"/>
                    <w:textAlignment w:val="auto"/>
                    <w:rPr>
                      <w:rFonts w:hint="default" w:ascii="Times New Roman" w:hAnsi="Times New Roman" w:eastAsia="宋体" w:cs="Times New Roman"/>
                      <w:color w:val="auto"/>
                      <w:sz w:val="21"/>
                      <w:szCs w:val="21"/>
                      <w:u w:val="none" w:color="auto"/>
                      <w:lang w:eastAsia="zh-CN"/>
                    </w:rPr>
                  </w:pPr>
                  <w:r>
                    <w:rPr>
                      <w:rFonts w:hint="default" w:ascii="Times New Roman" w:hAnsi="Times New Roman" w:eastAsia="宋体" w:cs="Times New Roman"/>
                      <w:color w:val="auto"/>
                      <w:sz w:val="21"/>
                      <w:szCs w:val="21"/>
                      <w:u w:val="none" w:color="auto"/>
                      <w:lang w:eastAsia="zh-CN" w:bidi="ar-SA"/>
                    </w:rPr>
                    <w:t>由生产车间、辅助车间组成，合计建筑面积8478m</w:t>
                  </w:r>
                  <w:r>
                    <w:rPr>
                      <w:rFonts w:hint="default" w:ascii="Times New Roman" w:hAnsi="Times New Roman" w:eastAsia="宋体" w:cs="Times New Roman"/>
                      <w:color w:val="auto"/>
                      <w:sz w:val="21"/>
                      <w:szCs w:val="21"/>
                      <w:u w:val="none" w:color="auto"/>
                      <w:vertAlign w:val="superscript"/>
                      <w:lang w:eastAsia="zh-CN" w:bidi="ar-SA"/>
                    </w:rPr>
                    <w:t>2</w:t>
                  </w:r>
                  <w:r>
                    <w:rPr>
                      <w:rFonts w:hint="default" w:ascii="Times New Roman" w:hAnsi="Times New Roman" w:eastAsia="宋体" w:cs="Times New Roman"/>
                      <w:color w:val="auto"/>
                      <w:sz w:val="21"/>
                      <w:szCs w:val="21"/>
                      <w:u w:val="none" w:color="auto"/>
                      <w:lang w:eastAsia="zh-CN" w:bidi="ar-SA"/>
                    </w:rPr>
                    <w:t>。该车间用于生产产品高性能铝合金薄壁件，</w:t>
                  </w:r>
                  <w:r>
                    <w:rPr>
                      <w:rFonts w:hint="default" w:ascii="Times New Roman" w:hAnsi="Times New Roman" w:eastAsia="宋体" w:cs="Times New Roman"/>
                      <w:color w:val="auto"/>
                      <w:kern w:val="24"/>
                      <w:sz w:val="21"/>
                      <w:szCs w:val="21"/>
                      <w:u w:val="none" w:color="auto"/>
                      <w:lang w:eastAsia="zh-CN"/>
                    </w:rPr>
                    <w:t>主要用于航空航天行业，其中包括</w:t>
                  </w:r>
                  <w:r>
                    <w:rPr>
                      <w:rFonts w:hint="default" w:ascii="Times New Roman" w:hAnsi="Times New Roman" w:eastAsia="宋体" w:cs="Times New Roman"/>
                      <w:color w:val="auto"/>
                      <w:sz w:val="21"/>
                      <w:szCs w:val="21"/>
                      <w:u w:val="none" w:color="auto"/>
                      <w:lang w:eastAsia="zh-CN"/>
                    </w:rPr>
                    <w:t>贮箱壁板和舱段壁板、贮箱瓜瓣、贮箱封头/封底、贮箱及其它薄壁筒形件。</w:t>
                  </w:r>
                </w:p>
                <w:p w14:paraId="212E5A15">
                  <w:pPr>
                    <w:pStyle w:val="91"/>
                    <w:keepNext w:val="0"/>
                    <w:keepLines w:val="0"/>
                    <w:pageBreakBefore w:val="0"/>
                    <w:kinsoku/>
                    <w:wordWrap/>
                    <w:overflowPunct/>
                    <w:topLinePunct w:val="0"/>
                    <w:bidi w:val="0"/>
                    <w:adjustRightInd/>
                    <w:snapToGrid/>
                    <w:spacing w:line="240" w:lineRule="auto"/>
                    <w:textAlignment w:val="auto"/>
                    <w:rPr>
                      <w:rFonts w:hint="default" w:ascii="Times New Roman" w:hAnsi="Times New Roman" w:eastAsia="宋体" w:cs="Times New Roman"/>
                      <w:color w:val="auto"/>
                      <w:sz w:val="21"/>
                      <w:szCs w:val="21"/>
                      <w:u w:val="none" w:color="auto"/>
                      <w:lang w:eastAsia="zh-CN" w:bidi="ar-SA"/>
                    </w:rPr>
                  </w:pPr>
                  <w:r>
                    <w:rPr>
                      <w:rFonts w:hint="default" w:ascii="Times New Roman" w:hAnsi="Times New Roman" w:eastAsia="宋体" w:cs="Times New Roman"/>
                      <w:b/>
                      <w:bCs/>
                      <w:color w:val="auto"/>
                      <w:sz w:val="21"/>
                      <w:szCs w:val="21"/>
                      <w:u w:val="none" w:color="auto"/>
                      <w:lang w:eastAsia="zh-CN" w:bidi="ar-SA"/>
                    </w:rPr>
                    <w:t>生产车间：</w:t>
                  </w:r>
                  <w:r>
                    <w:rPr>
                      <w:rFonts w:hint="default" w:ascii="Times New Roman" w:hAnsi="Times New Roman" w:eastAsia="宋体" w:cs="Times New Roman"/>
                      <w:color w:val="auto"/>
                      <w:sz w:val="21"/>
                      <w:szCs w:val="21"/>
                      <w:u w:val="none" w:color="auto"/>
                      <w:lang w:eastAsia="zh-CN" w:bidi="ar-SA"/>
                    </w:rPr>
                    <w:t>长150m、宽54m，高度</w:t>
                  </w:r>
                  <w:r>
                    <w:rPr>
                      <w:rFonts w:hint="default" w:ascii="Times New Roman" w:hAnsi="Times New Roman" w:eastAsia="宋体" w:cs="Times New Roman"/>
                      <w:color w:val="auto"/>
                      <w:sz w:val="21"/>
                      <w:szCs w:val="21"/>
                      <w:u w:val="none" w:color="auto"/>
                      <w:lang w:val="en-US" w:eastAsia="zh-CN" w:bidi="ar-SA"/>
                    </w:rPr>
                    <w:t>15~20.5m（采用双面斜坡式屋面）</w:t>
                  </w:r>
                  <w:r>
                    <w:rPr>
                      <w:rFonts w:hint="default" w:ascii="Times New Roman" w:hAnsi="Times New Roman" w:eastAsia="宋体" w:cs="Times New Roman"/>
                      <w:color w:val="auto"/>
                      <w:sz w:val="21"/>
                      <w:szCs w:val="21"/>
                      <w:u w:val="none" w:color="auto"/>
                      <w:lang w:eastAsia="zh-CN" w:bidi="ar-SA"/>
                    </w:rPr>
                    <w:t>，建筑面积8100m</w:t>
                  </w:r>
                  <w:r>
                    <w:rPr>
                      <w:rFonts w:hint="default" w:ascii="Times New Roman" w:hAnsi="Times New Roman" w:eastAsia="宋体" w:cs="Times New Roman"/>
                      <w:color w:val="auto"/>
                      <w:sz w:val="21"/>
                      <w:szCs w:val="21"/>
                      <w:u w:val="none" w:color="auto"/>
                      <w:vertAlign w:val="superscript"/>
                      <w:lang w:eastAsia="zh-CN" w:bidi="ar-SA"/>
                    </w:rPr>
                    <w:t>2</w:t>
                  </w:r>
                  <w:r>
                    <w:rPr>
                      <w:rFonts w:hint="default" w:ascii="Times New Roman" w:hAnsi="Times New Roman" w:eastAsia="宋体" w:cs="Times New Roman"/>
                      <w:color w:val="auto"/>
                      <w:sz w:val="21"/>
                      <w:szCs w:val="21"/>
                      <w:u w:val="none" w:color="auto"/>
                      <w:lang w:eastAsia="zh-CN" w:bidi="ar-SA"/>
                    </w:rPr>
                    <w:t>。生产车间内部</w:t>
                  </w:r>
                  <w:r>
                    <w:rPr>
                      <w:rFonts w:hint="default" w:ascii="Times New Roman" w:hAnsi="Times New Roman" w:eastAsia="宋体" w:cs="Times New Roman"/>
                      <w:color w:val="auto"/>
                      <w:sz w:val="21"/>
                      <w:szCs w:val="21"/>
                      <w:u w:val="none" w:color="auto"/>
                      <w:lang w:val="en-US" w:eastAsia="zh-CN" w:bidi="ar-SA"/>
                    </w:rPr>
                    <w:t>设置</w:t>
                  </w:r>
                  <w:r>
                    <w:rPr>
                      <w:rFonts w:hint="default" w:ascii="Times New Roman" w:hAnsi="Times New Roman" w:eastAsia="宋体" w:cs="Times New Roman"/>
                      <w:color w:val="auto"/>
                      <w:sz w:val="21"/>
                      <w:szCs w:val="21"/>
                      <w:u w:val="none" w:color="auto"/>
                      <w:lang w:eastAsia="zh-CN" w:bidi="ar-SA"/>
                    </w:rPr>
                    <w:t>一条钣金件生产线。</w:t>
                  </w:r>
                </w:p>
                <w:p w14:paraId="3F98E3B8">
                  <w:pPr>
                    <w:pStyle w:val="91"/>
                    <w:keepNext w:val="0"/>
                    <w:keepLines w:val="0"/>
                    <w:pageBreakBefore w:val="0"/>
                    <w:kinsoku/>
                    <w:wordWrap/>
                    <w:overflowPunct/>
                    <w:topLinePunct w:val="0"/>
                    <w:bidi w:val="0"/>
                    <w:adjustRightInd/>
                    <w:snapToGrid/>
                    <w:spacing w:line="240" w:lineRule="auto"/>
                    <w:textAlignment w:val="auto"/>
                    <w:rPr>
                      <w:rFonts w:hint="default" w:ascii="Times New Roman" w:hAnsi="Times New Roman" w:eastAsia="宋体" w:cs="Times New Roman"/>
                      <w:color w:val="auto"/>
                      <w:sz w:val="21"/>
                      <w:szCs w:val="21"/>
                      <w:u w:val="none" w:color="auto"/>
                      <w:lang w:val="en-US" w:eastAsia="zh-CN" w:bidi="en-US"/>
                    </w:rPr>
                  </w:pPr>
                  <w:r>
                    <w:rPr>
                      <w:rFonts w:hint="default" w:ascii="Times New Roman" w:hAnsi="Times New Roman" w:eastAsia="宋体" w:cs="Times New Roman"/>
                      <w:b/>
                      <w:bCs/>
                      <w:color w:val="auto"/>
                      <w:sz w:val="21"/>
                      <w:szCs w:val="21"/>
                      <w:u w:val="none" w:color="auto"/>
                      <w:lang w:eastAsia="zh-CN" w:bidi="ar-SA"/>
                    </w:rPr>
                    <w:t>辅助车间：</w:t>
                  </w:r>
                  <w:r>
                    <w:rPr>
                      <w:rFonts w:hint="default" w:ascii="Times New Roman" w:hAnsi="Times New Roman" w:eastAsia="宋体" w:cs="Times New Roman"/>
                      <w:color w:val="auto"/>
                      <w:sz w:val="21"/>
                      <w:szCs w:val="21"/>
                      <w:u w:val="none" w:color="auto"/>
                      <w:lang w:eastAsia="zh-CN" w:bidi="ar-SA"/>
                    </w:rPr>
                    <w:t>位于车间西侧，由配电室、设备辅助间组成，合计长63m、宽6m，高度</w:t>
                  </w:r>
                  <w:r>
                    <w:rPr>
                      <w:rFonts w:hint="default" w:ascii="Times New Roman" w:hAnsi="Times New Roman" w:eastAsia="宋体" w:cs="Times New Roman"/>
                      <w:color w:val="auto"/>
                      <w:sz w:val="21"/>
                      <w:szCs w:val="21"/>
                      <w:u w:val="none" w:color="auto"/>
                      <w:lang w:val="en-US" w:eastAsia="zh-CN" w:bidi="ar-SA"/>
                    </w:rPr>
                    <w:t>6m（卫生间3.3m）</w:t>
                  </w:r>
                  <w:r>
                    <w:rPr>
                      <w:rFonts w:hint="default" w:ascii="Times New Roman" w:hAnsi="Times New Roman" w:eastAsia="宋体" w:cs="Times New Roman"/>
                      <w:color w:val="auto"/>
                      <w:sz w:val="21"/>
                      <w:szCs w:val="21"/>
                      <w:u w:val="none" w:color="auto"/>
                      <w:lang w:eastAsia="zh-CN" w:bidi="ar-SA"/>
                    </w:rPr>
                    <w:t>，建筑面积378m</w:t>
                  </w:r>
                  <w:r>
                    <w:rPr>
                      <w:rFonts w:hint="default" w:ascii="Times New Roman" w:hAnsi="Times New Roman" w:eastAsia="宋体" w:cs="Times New Roman"/>
                      <w:color w:val="auto"/>
                      <w:sz w:val="21"/>
                      <w:szCs w:val="21"/>
                      <w:u w:val="none" w:color="auto"/>
                      <w:vertAlign w:val="superscript"/>
                      <w:lang w:eastAsia="zh-CN" w:bidi="ar-SA"/>
                    </w:rPr>
                    <w:t>2</w:t>
                  </w:r>
                  <w:r>
                    <w:rPr>
                      <w:rFonts w:hint="default" w:ascii="Times New Roman" w:hAnsi="Times New Roman" w:eastAsia="宋体" w:cs="Times New Roman"/>
                      <w:color w:val="auto"/>
                      <w:sz w:val="21"/>
                      <w:szCs w:val="21"/>
                      <w:u w:val="none" w:color="auto"/>
                      <w:lang w:eastAsia="zh-CN" w:bidi="ar-SA"/>
                    </w:rPr>
                    <w:t>。</w:t>
                  </w:r>
                </w:p>
              </w:tc>
            </w:tr>
            <w:tr w14:paraId="62587E8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75" w:type="pct"/>
                  <w:vMerge w:val="restart"/>
                  <w:noWrap w:val="0"/>
                  <w:vAlign w:val="center"/>
                </w:tcPr>
                <w:p w14:paraId="06E07F84">
                  <w:pPr>
                    <w:keepNext w:val="0"/>
                    <w:keepLines w:val="0"/>
                    <w:pageBreakBefore w:val="0"/>
                    <w:kinsoku/>
                    <w:wordWrap/>
                    <w:overflowPunct/>
                    <w:topLinePunct w:val="0"/>
                    <w:bidi w:val="0"/>
                    <w:adjustRightInd/>
                    <w:snapToGrid/>
                    <w:spacing w:after="0" w:line="240" w:lineRule="auto"/>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辅助工程</w:t>
                  </w:r>
                </w:p>
              </w:tc>
              <w:tc>
                <w:tcPr>
                  <w:tcW w:w="893" w:type="pct"/>
                  <w:noWrap w:val="0"/>
                  <w:vAlign w:val="center"/>
                </w:tcPr>
                <w:p w14:paraId="5DF623A0">
                  <w:pPr>
                    <w:keepNext w:val="0"/>
                    <w:keepLines w:val="0"/>
                    <w:pageBreakBefore w:val="0"/>
                    <w:kinsoku/>
                    <w:wordWrap/>
                    <w:overflowPunct/>
                    <w:topLinePunct w:val="0"/>
                    <w:bidi w:val="0"/>
                    <w:adjustRightInd/>
                    <w:snapToGrid/>
                    <w:spacing w:after="0" w:line="240" w:lineRule="auto"/>
                    <w:jc w:val="center"/>
                    <w:textAlignment w:val="auto"/>
                    <w:rPr>
                      <w:rFonts w:hint="default" w:ascii="Times New Roman" w:hAnsi="Times New Roman" w:eastAsia="宋体" w:cs="Times New Roman"/>
                      <w:bCs/>
                      <w:color w:val="auto"/>
                      <w:sz w:val="21"/>
                      <w:szCs w:val="21"/>
                      <w:u w:val="none" w:color="auto"/>
                    </w:rPr>
                  </w:pPr>
                  <w:r>
                    <w:rPr>
                      <w:rFonts w:hint="default" w:ascii="Times New Roman" w:hAnsi="Times New Roman" w:eastAsia="宋体" w:cs="Times New Roman"/>
                      <w:bCs/>
                      <w:color w:val="auto"/>
                      <w:sz w:val="21"/>
                      <w:szCs w:val="21"/>
                      <w:u w:val="none" w:color="auto"/>
                    </w:rPr>
                    <w:t>研发楼</w:t>
                  </w:r>
                </w:p>
              </w:tc>
              <w:tc>
                <w:tcPr>
                  <w:tcW w:w="3431" w:type="pct"/>
                  <w:noWrap w:val="0"/>
                  <w:vAlign w:val="center"/>
                </w:tcPr>
                <w:p w14:paraId="4959F2FB">
                  <w:pPr>
                    <w:keepNext w:val="0"/>
                    <w:keepLines w:val="0"/>
                    <w:pageBreakBefore w:val="0"/>
                    <w:kinsoku/>
                    <w:wordWrap/>
                    <w:overflowPunct/>
                    <w:topLinePunct w:val="0"/>
                    <w:bidi w:val="0"/>
                    <w:adjustRightInd/>
                    <w:snapToGrid/>
                    <w:spacing w:after="0" w:line="240" w:lineRule="auto"/>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研发楼由主楼、中心实验室组成</w:t>
                  </w: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rPr>
                    <w:t>总建筑面积约为9466.06m</w:t>
                  </w:r>
                  <w:r>
                    <w:rPr>
                      <w:rFonts w:hint="default" w:ascii="Times New Roman" w:hAnsi="Times New Roman" w:eastAsia="宋体" w:cs="Times New Roman"/>
                      <w:color w:val="auto"/>
                      <w:sz w:val="21"/>
                      <w:szCs w:val="21"/>
                      <w:u w:val="none" w:color="auto"/>
                      <w:vertAlign w:val="superscript"/>
                    </w:rPr>
                    <w:t>2</w:t>
                  </w:r>
                  <w:r>
                    <w:rPr>
                      <w:rFonts w:hint="default" w:ascii="Times New Roman" w:hAnsi="Times New Roman" w:eastAsia="宋体" w:cs="Times New Roman"/>
                      <w:color w:val="auto"/>
                      <w:sz w:val="21"/>
                      <w:szCs w:val="21"/>
                      <w:u w:val="none" w:color="auto"/>
                      <w:lang w:val="zh-CN"/>
                    </w:rPr>
                    <w:t>。</w:t>
                  </w:r>
                </w:p>
                <w:p w14:paraId="5373C99E">
                  <w:pPr>
                    <w:keepNext w:val="0"/>
                    <w:keepLines w:val="0"/>
                    <w:pageBreakBefore w:val="0"/>
                    <w:kinsoku/>
                    <w:wordWrap/>
                    <w:overflowPunct/>
                    <w:topLinePunct w:val="0"/>
                    <w:bidi w:val="0"/>
                    <w:adjustRightInd/>
                    <w:snapToGrid/>
                    <w:spacing w:after="0" w:line="240" w:lineRule="auto"/>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b/>
                      <w:bCs/>
                      <w:color w:val="auto"/>
                      <w:sz w:val="21"/>
                      <w:szCs w:val="21"/>
                      <w:u w:val="none" w:color="auto"/>
                    </w:rPr>
                    <w:t>主楼：</w:t>
                  </w:r>
                  <w:r>
                    <w:rPr>
                      <w:rFonts w:hint="default" w:ascii="Times New Roman" w:hAnsi="Times New Roman" w:eastAsia="宋体" w:cs="Times New Roman"/>
                      <w:color w:val="auto"/>
                      <w:sz w:val="21"/>
                      <w:szCs w:val="21"/>
                      <w:u w:val="none" w:color="auto"/>
                    </w:rPr>
                    <w:t>为四层钢筋混凝土框架结构</w:t>
                  </w: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rPr>
                    <w:t>主要功能为展厅、报告厅、办公室及会议室等</w:t>
                  </w: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rPr>
                    <w:t>建筑面积为7858.94m</w:t>
                  </w:r>
                  <w:r>
                    <w:rPr>
                      <w:rFonts w:hint="default" w:ascii="Times New Roman" w:hAnsi="Times New Roman" w:eastAsia="宋体" w:cs="Times New Roman"/>
                      <w:color w:val="auto"/>
                      <w:sz w:val="21"/>
                      <w:szCs w:val="21"/>
                      <w:u w:val="none" w:color="auto"/>
                      <w:vertAlign w:val="superscript"/>
                    </w:rPr>
                    <w:t>2</w:t>
                  </w:r>
                  <w:r>
                    <w:rPr>
                      <w:rFonts w:hint="default" w:ascii="Times New Roman" w:hAnsi="Times New Roman" w:eastAsia="宋体" w:cs="Times New Roman"/>
                      <w:color w:val="auto"/>
                      <w:sz w:val="21"/>
                      <w:szCs w:val="21"/>
                      <w:u w:val="none" w:color="auto"/>
                    </w:rPr>
                    <w:t>。</w:t>
                  </w:r>
                </w:p>
                <w:p w14:paraId="01C13738">
                  <w:pPr>
                    <w:keepNext w:val="0"/>
                    <w:keepLines w:val="0"/>
                    <w:pageBreakBefore w:val="0"/>
                    <w:kinsoku/>
                    <w:wordWrap/>
                    <w:overflowPunct/>
                    <w:topLinePunct w:val="0"/>
                    <w:bidi w:val="0"/>
                    <w:adjustRightInd/>
                    <w:snapToGrid/>
                    <w:spacing w:after="0" w:line="240" w:lineRule="auto"/>
                    <w:textAlignment w:val="auto"/>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b/>
                      <w:bCs/>
                      <w:color w:val="auto"/>
                      <w:sz w:val="21"/>
                      <w:szCs w:val="21"/>
                      <w:u w:val="none" w:color="auto"/>
                    </w:rPr>
                    <w:t>中心实验室：</w:t>
                  </w:r>
                  <w:r>
                    <w:rPr>
                      <w:rFonts w:hint="default" w:ascii="Times New Roman" w:hAnsi="Times New Roman" w:eastAsia="宋体" w:cs="Times New Roman"/>
                      <w:color w:val="auto"/>
                      <w:sz w:val="21"/>
                      <w:szCs w:val="21"/>
                      <w:u w:val="none" w:color="auto"/>
                    </w:rPr>
                    <w:t>属于主楼西侧的附楼</w:t>
                  </w: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rPr>
                    <w:t>二层钢筋混凝土框架结构</w:t>
                  </w: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rPr>
                    <w:t>建筑面积为803.56m</w:t>
                  </w:r>
                  <w:r>
                    <w:rPr>
                      <w:rFonts w:hint="default" w:ascii="Times New Roman" w:hAnsi="Times New Roman" w:eastAsia="宋体" w:cs="Times New Roman"/>
                      <w:color w:val="auto"/>
                      <w:sz w:val="21"/>
                      <w:szCs w:val="21"/>
                      <w:u w:val="none" w:color="auto"/>
                      <w:vertAlign w:val="superscript"/>
                    </w:rPr>
                    <w:t>2</w:t>
                  </w:r>
                  <w:r>
                    <w:rPr>
                      <w:rFonts w:hint="default" w:ascii="Times New Roman" w:hAnsi="Times New Roman" w:eastAsia="宋体" w:cs="Times New Roman"/>
                      <w:color w:val="auto"/>
                      <w:sz w:val="21"/>
                      <w:szCs w:val="21"/>
                      <w:u w:val="none" w:color="auto"/>
                    </w:rPr>
                    <w:t>。</w:t>
                  </w:r>
                </w:p>
              </w:tc>
            </w:tr>
            <w:tr w14:paraId="3E796F3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75" w:type="pct"/>
                  <w:vMerge w:val="continue"/>
                  <w:noWrap w:val="0"/>
                  <w:vAlign w:val="center"/>
                </w:tcPr>
                <w:p w14:paraId="2DD97F61">
                  <w:pPr>
                    <w:keepNext w:val="0"/>
                    <w:keepLines w:val="0"/>
                    <w:pageBreakBefore w:val="0"/>
                    <w:kinsoku/>
                    <w:wordWrap/>
                    <w:overflowPunct/>
                    <w:topLinePunct w:val="0"/>
                    <w:bidi w:val="0"/>
                    <w:adjustRightInd/>
                    <w:snapToGrid/>
                    <w:spacing w:after="0" w:line="240" w:lineRule="auto"/>
                    <w:jc w:val="center"/>
                    <w:textAlignment w:val="auto"/>
                    <w:rPr>
                      <w:rFonts w:hint="default" w:ascii="Times New Roman" w:hAnsi="Times New Roman" w:eastAsia="宋体" w:cs="Times New Roman"/>
                      <w:color w:val="auto"/>
                      <w:sz w:val="21"/>
                      <w:szCs w:val="21"/>
                      <w:u w:val="none" w:color="auto"/>
                    </w:rPr>
                  </w:pPr>
                </w:p>
              </w:tc>
              <w:tc>
                <w:tcPr>
                  <w:tcW w:w="893" w:type="pct"/>
                  <w:noWrap w:val="0"/>
                  <w:vAlign w:val="center"/>
                </w:tcPr>
                <w:p w14:paraId="5A1645D6">
                  <w:pPr>
                    <w:keepNext w:val="0"/>
                    <w:keepLines w:val="0"/>
                    <w:pageBreakBefore w:val="0"/>
                    <w:kinsoku/>
                    <w:wordWrap/>
                    <w:overflowPunct/>
                    <w:topLinePunct w:val="0"/>
                    <w:bidi w:val="0"/>
                    <w:adjustRightInd/>
                    <w:snapToGrid/>
                    <w:spacing w:after="0" w:line="240" w:lineRule="auto"/>
                    <w:jc w:val="center"/>
                    <w:textAlignment w:val="auto"/>
                    <w:rPr>
                      <w:rFonts w:hint="default" w:ascii="Times New Roman" w:hAnsi="Times New Roman" w:eastAsia="宋体" w:cs="Times New Roman"/>
                      <w:bCs/>
                      <w:color w:val="auto"/>
                      <w:kern w:val="2"/>
                      <w:sz w:val="21"/>
                      <w:szCs w:val="21"/>
                      <w:u w:val="none" w:color="auto"/>
                      <w:lang w:val="en-US" w:eastAsia="zh-CN" w:bidi="ar-SA"/>
                    </w:rPr>
                  </w:pPr>
                  <w:r>
                    <w:rPr>
                      <w:rFonts w:hint="default" w:ascii="Times New Roman" w:hAnsi="Times New Roman" w:eastAsia="宋体" w:cs="Times New Roman"/>
                      <w:bCs/>
                      <w:color w:val="auto"/>
                      <w:sz w:val="21"/>
                      <w:szCs w:val="21"/>
                      <w:u w:val="none" w:color="auto"/>
                      <w:lang w:eastAsia="zh-CN"/>
                    </w:rPr>
                    <w:t>食堂</w:t>
                  </w:r>
                </w:p>
              </w:tc>
              <w:tc>
                <w:tcPr>
                  <w:tcW w:w="3431" w:type="pct"/>
                  <w:noWrap w:val="0"/>
                  <w:vAlign w:val="center"/>
                </w:tcPr>
                <w:p w14:paraId="36B6EDEE">
                  <w:pPr>
                    <w:keepNext w:val="0"/>
                    <w:keepLines w:val="0"/>
                    <w:pageBreakBefore w:val="0"/>
                    <w:kinsoku/>
                    <w:wordWrap/>
                    <w:overflowPunct/>
                    <w:topLinePunct w:val="0"/>
                    <w:bidi w:val="0"/>
                    <w:adjustRightInd/>
                    <w:snapToGrid/>
                    <w:spacing w:after="0" w:line="240" w:lineRule="auto"/>
                    <w:textAlignment w:val="auto"/>
                    <w:rPr>
                      <w:rFonts w:hint="default" w:ascii="Times New Roman" w:hAnsi="Times New Roman" w:eastAsia="宋体" w:cs="Times New Roman"/>
                      <w:b/>
                      <w:bCs/>
                      <w:color w:val="auto"/>
                      <w:kern w:val="2"/>
                      <w:sz w:val="21"/>
                      <w:szCs w:val="21"/>
                      <w:u w:val="none" w:color="auto"/>
                      <w:lang w:val="en-US" w:eastAsia="zh-CN" w:bidi="ar-SA"/>
                    </w:rPr>
                  </w:pPr>
                  <w:r>
                    <w:rPr>
                      <w:rFonts w:hint="default" w:ascii="Times New Roman" w:hAnsi="Times New Roman" w:eastAsia="宋体" w:cs="Times New Roman"/>
                      <w:b/>
                      <w:bCs/>
                      <w:color w:val="auto"/>
                      <w:sz w:val="21"/>
                      <w:szCs w:val="21"/>
                      <w:u w:val="none" w:color="auto"/>
                    </w:rPr>
                    <w:t>食堂：</w:t>
                  </w:r>
                  <w:r>
                    <w:rPr>
                      <w:rFonts w:hint="default" w:ascii="Times New Roman" w:hAnsi="Times New Roman" w:eastAsia="宋体" w:cs="Times New Roman"/>
                      <w:b w:val="0"/>
                      <w:bCs w:val="0"/>
                      <w:color w:val="auto"/>
                      <w:sz w:val="21"/>
                      <w:szCs w:val="21"/>
                      <w:u w:val="none" w:color="auto"/>
                      <w:lang w:eastAsia="zh-CN"/>
                    </w:rPr>
                    <w:t>位于</w:t>
                  </w:r>
                  <w:r>
                    <w:rPr>
                      <w:rFonts w:hint="default" w:ascii="Times New Roman" w:hAnsi="Times New Roman" w:eastAsia="宋体" w:cs="Times New Roman"/>
                      <w:color w:val="auto"/>
                      <w:sz w:val="21"/>
                      <w:szCs w:val="21"/>
                      <w:u w:val="none" w:color="auto"/>
                      <w:lang w:eastAsia="zh-CN"/>
                    </w:rPr>
                    <w:t>研发楼西侧（即原预留的生产车间），</w:t>
                  </w:r>
                  <w:r>
                    <w:rPr>
                      <w:rFonts w:hint="default" w:ascii="Times New Roman" w:hAnsi="Times New Roman" w:eastAsia="宋体" w:cs="Times New Roman"/>
                      <w:color w:val="auto"/>
                      <w:sz w:val="21"/>
                      <w:szCs w:val="21"/>
                      <w:u w:val="none" w:color="auto"/>
                    </w:rPr>
                    <w:t>二层钢筋混凝土框架结构</w:t>
                  </w: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rPr>
                    <w:t>设大餐厅、包间、加工间、洗消间、配餐间等</w:t>
                  </w: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rPr>
                    <w:t>建筑面积为803.56m</w:t>
                  </w:r>
                  <w:r>
                    <w:rPr>
                      <w:rFonts w:hint="default" w:ascii="Times New Roman" w:hAnsi="Times New Roman" w:eastAsia="宋体" w:cs="Times New Roman"/>
                      <w:color w:val="auto"/>
                      <w:sz w:val="21"/>
                      <w:szCs w:val="21"/>
                      <w:u w:val="none" w:color="auto"/>
                      <w:vertAlign w:val="superscript"/>
                    </w:rPr>
                    <w:t>2</w:t>
                  </w:r>
                </w:p>
              </w:tc>
            </w:tr>
            <w:tr w14:paraId="0A6A9CB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75" w:type="pct"/>
                  <w:vMerge w:val="continue"/>
                  <w:noWrap w:val="0"/>
                  <w:vAlign w:val="center"/>
                </w:tcPr>
                <w:p w14:paraId="34A7D50C">
                  <w:pPr>
                    <w:keepNext w:val="0"/>
                    <w:keepLines w:val="0"/>
                    <w:pageBreakBefore w:val="0"/>
                    <w:kinsoku/>
                    <w:wordWrap/>
                    <w:overflowPunct/>
                    <w:topLinePunct w:val="0"/>
                    <w:bidi w:val="0"/>
                    <w:adjustRightInd/>
                    <w:snapToGrid/>
                    <w:spacing w:after="0" w:line="240" w:lineRule="auto"/>
                    <w:jc w:val="center"/>
                    <w:textAlignment w:val="auto"/>
                    <w:rPr>
                      <w:rFonts w:hint="default" w:ascii="Times New Roman" w:hAnsi="Times New Roman" w:eastAsia="宋体" w:cs="Times New Roman"/>
                      <w:color w:val="auto"/>
                      <w:sz w:val="21"/>
                      <w:szCs w:val="21"/>
                      <w:u w:val="none" w:color="auto"/>
                    </w:rPr>
                  </w:pPr>
                </w:p>
              </w:tc>
              <w:tc>
                <w:tcPr>
                  <w:tcW w:w="893" w:type="pct"/>
                  <w:noWrap w:val="0"/>
                  <w:vAlign w:val="center"/>
                </w:tcPr>
                <w:p w14:paraId="331711B1">
                  <w:pPr>
                    <w:keepNext w:val="0"/>
                    <w:keepLines w:val="0"/>
                    <w:pageBreakBefore w:val="0"/>
                    <w:kinsoku/>
                    <w:wordWrap/>
                    <w:overflowPunct/>
                    <w:topLinePunct w:val="0"/>
                    <w:bidi w:val="0"/>
                    <w:adjustRightInd/>
                    <w:snapToGrid/>
                    <w:spacing w:after="0" w:line="240" w:lineRule="auto"/>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实验室</w:t>
                  </w:r>
                </w:p>
              </w:tc>
              <w:tc>
                <w:tcPr>
                  <w:tcW w:w="3431" w:type="pct"/>
                  <w:noWrap w:val="0"/>
                  <w:vAlign w:val="center"/>
                </w:tcPr>
                <w:p w14:paraId="3191AAD1">
                  <w:pPr>
                    <w:keepNext w:val="0"/>
                    <w:keepLines w:val="0"/>
                    <w:pageBreakBefore w:val="0"/>
                    <w:kinsoku/>
                    <w:wordWrap/>
                    <w:overflowPunct/>
                    <w:topLinePunct w:val="0"/>
                    <w:bidi w:val="0"/>
                    <w:adjustRightInd/>
                    <w:snapToGrid/>
                    <w:spacing w:after="0" w:line="240" w:lineRule="auto"/>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实验室分为熔铸实验室和中心实验室</w:t>
                  </w: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lang w:val="zh-CN"/>
                    </w:rPr>
                    <w:t>总建筑面积约</w:t>
                  </w:r>
                  <w:r>
                    <w:rPr>
                      <w:rFonts w:hint="default" w:ascii="Times New Roman" w:hAnsi="Times New Roman" w:eastAsia="宋体" w:cs="Times New Roman"/>
                      <w:color w:val="auto"/>
                      <w:sz w:val="21"/>
                      <w:szCs w:val="21"/>
                      <w:u w:val="none" w:color="auto"/>
                    </w:rPr>
                    <w:t>2000m</w:t>
                  </w:r>
                  <w:r>
                    <w:rPr>
                      <w:rFonts w:hint="default" w:ascii="Times New Roman" w:hAnsi="Times New Roman" w:eastAsia="宋体" w:cs="Times New Roman"/>
                      <w:color w:val="auto"/>
                      <w:sz w:val="21"/>
                      <w:szCs w:val="21"/>
                      <w:u w:val="none" w:color="auto"/>
                      <w:vertAlign w:val="superscript"/>
                    </w:rPr>
                    <w:t>2</w:t>
                  </w:r>
                  <w:r>
                    <w:rPr>
                      <w:rFonts w:hint="default" w:ascii="Times New Roman" w:hAnsi="Times New Roman" w:eastAsia="宋体" w:cs="Times New Roman"/>
                      <w:color w:val="auto"/>
                      <w:sz w:val="21"/>
                      <w:szCs w:val="21"/>
                      <w:u w:val="none" w:color="auto"/>
                      <w:lang w:val="zh-CN"/>
                    </w:rPr>
                    <w:t>。</w:t>
                  </w:r>
                </w:p>
                <w:p w14:paraId="73A656F7">
                  <w:pPr>
                    <w:keepNext w:val="0"/>
                    <w:keepLines w:val="0"/>
                    <w:pageBreakBefore w:val="0"/>
                    <w:kinsoku/>
                    <w:wordWrap/>
                    <w:overflowPunct/>
                    <w:topLinePunct w:val="0"/>
                    <w:bidi w:val="0"/>
                    <w:adjustRightInd/>
                    <w:snapToGrid/>
                    <w:spacing w:after="0" w:line="240" w:lineRule="auto"/>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b/>
                      <w:bCs/>
                      <w:color w:val="auto"/>
                      <w:sz w:val="21"/>
                      <w:szCs w:val="21"/>
                      <w:u w:val="none" w:color="auto"/>
                    </w:rPr>
                    <w:t>熔铸实验室：</w:t>
                  </w:r>
                  <w:r>
                    <w:rPr>
                      <w:rFonts w:hint="default" w:ascii="Times New Roman" w:hAnsi="Times New Roman" w:eastAsia="宋体" w:cs="Times New Roman"/>
                      <w:color w:val="auto"/>
                      <w:sz w:val="21"/>
                      <w:szCs w:val="21"/>
                      <w:u w:val="none" w:color="auto"/>
                    </w:rPr>
                    <w:t>共设置有三个熔铸实验</w:t>
                  </w: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rPr>
                    <w:t>其中2个炉前分析室</w:t>
                  </w: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rPr>
                    <w:t>分别布置在铝锂熔铸车间的辅助车间和铝合金熔铸车间的辅助车间</w:t>
                  </w: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rPr>
                    <w:t>均靠近炉台布置</w:t>
                  </w: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rPr>
                    <w:t>便于就近进行炉内成分取样分析；1个低倍金相室布置在铝合金熔铸车间内</w:t>
                  </w: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rPr>
                    <w:t>靠近铸锭锯切机列</w:t>
                  </w: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rPr>
                    <w:t>便于就近进行铸锭取片进行低倍金相组织分析。</w:t>
                  </w:r>
                </w:p>
                <w:p w14:paraId="57716603">
                  <w:pPr>
                    <w:keepNext w:val="0"/>
                    <w:keepLines w:val="0"/>
                    <w:pageBreakBefore w:val="0"/>
                    <w:kinsoku/>
                    <w:wordWrap/>
                    <w:overflowPunct/>
                    <w:topLinePunct w:val="0"/>
                    <w:bidi w:val="0"/>
                    <w:adjustRightInd/>
                    <w:snapToGrid/>
                    <w:spacing w:after="0" w:line="240" w:lineRule="auto"/>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b/>
                      <w:bCs/>
                      <w:color w:val="auto"/>
                      <w:sz w:val="21"/>
                      <w:szCs w:val="21"/>
                      <w:u w:val="none" w:color="auto"/>
                    </w:rPr>
                    <w:t>中心实验室：</w:t>
                  </w:r>
                  <w:r>
                    <w:rPr>
                      <w:rFonts w:hint="default" w:ascii="Times New Roman" w:hAnsi="Times New Roman" w:eastAsia="宋体" w:cs="Times New Roman"/>
                      <w:color w:val="auto"/>
                      <w:sz w:val="21"/>
                      <w:szCs w:val="21"/>
                      <w:u w:val="none" w:color="auto"/>
                    </w:rPr>
                    <w:t>中心实验室布置在研发楼主楼西侧附楼内</w:t>
                  </w: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rPr>
                    <w:t>为二层钢筋混凝土框架结构。</w:t>
                  </w:r>
                </w:p>
                <w:p w14:paraId="2CC0EBDC">
                  <w:pPr>
                    <w:keepNext w:val="0"/>
                    <w:keepLines w:val="0"/>
                    <w:pageBreakBefore w:val="0"/>
                    <w:kinsoku/>
                    <w:wordWrap/>
                    <w:overflowPunct/>
                    <w:topLinePunct w:val="0"/>
                    <w:bidi w:val="0"/>
                    <w:adjustRightInd/>
                    <w:snapToGrid/>
                    <w:spacing w:after="0" w:line="240" w:lineRule="auto"/>
                    <w:textAlignment w:val="auto"/>
                    <w:rPr>
                      <w:rFonts w:hint="default" w:ascii="Times New Roman" w:hAnsi="Times New Roman" w:eastAsia="宋体" w:cs="Times New Roman"/>
                      <w:color w:val="auto"/>
                      <w:sz w:val="21"/>
                      <w:szCs w:val="21"/>
                      <w:u w:val="none" w:color="auto"/>
                      <w:lang w:val="en-US" w:eastAsia="zh-CN" w:bidi="ar-SA"/>
                    </w:rPr>
                  </w:pPr>
                  <w:r>
                    <w:rPr>
                      <w:rFonts w:hint="default" w:ascii="Times New Roman" w:hAnsi="Times New Roman" w:eastAsia="宋体" w:cs="Times New Roman"/>
                      <w:b/>
                      <w:bCs/>
                      <w:color w:val="auto"/>
                      <w:sz w:val="21"/>
                      <w:szCs w:val="21"/>
                      <w:u w:val="none" w:color="auto"/>
                      <w:lang w:eastAsia="zh-CN"/>
                    </w:rPr>
                    <w:t>铝合金熔铸车间低倍检测室：</w:t>
                  </w:r>
                  <w:r>
                    <w:rPr>
                      <w:rFonts w:hint="default" w:ascii="Times New Roman" w:hAnsi="Times New Roman" w:eastAsia="宋体" w:cs="Times New Roman"/>
                      <w:color w:val="auto"/>
                      <w:sz w:val="21"/>
                      <w:szCs w:val="21"/>
                      <w:u w:val="none" w:color="auto"/>
                      <w:lang w:eastAsia="zh-CN"/>
                    </w:rPr>
                    <w:t>在铝合金熔铸车间内设置一间检测室，主要对铝合金样片进行酸碱腐蚀等物理、化学检测。</w:t>
                  </w:r>
                </w:p>
              </w:tc>
            </w:tr>
            <w:tr w14:paraId="6BD2D1C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75" w:type="pct"/>
                  <w:vMerge w:val="continue"/>
                  <w:noWrap w:val="0"/>
                  <w:vAlign w:val="center"/>
                </w:tcPr>
                <w:p w14:paraId="249CF4D8">
                  <w:pPr>
                    <w:keepNext w:val="0"/>
                    <w:keepLines w:val="0"/>
                    <w:pageBreakBefore w:val="0"/>
                    <w:kinsoku/>
                    <w:wordWrap/>
                    <w:overflowPunct/>
                    <w:topLinePunct w:val="0"/>
                    <w:bidi w:val="0"/>
                    <w:adjustRightInd/>
                    <w:snapToGrid/>
                    <w:spacing w:after="0" w:line="240" w:lineRule="auto"/>
                    <w:jc w:val="center"/>
                    <w:textAlignment w:val="auto"/>
                    <w:rPr>
                      <w:rFonts w:hint="default" w:ascii="Times New Roman" w:hAnsi="Times New Roman" w:eastAsia="宋体" w:cs="Times New Roman"/>
                      <w:color w:val="auto"/>
                      <w:sz w:val="21"/>
                      <w:szCs w:val="21"/>
                      <w:u w:val="none" w:color="auto"/>
                    </w:rPr>
                  </w:pPr>
                </w:p>
              </w:tc>
              <w:tc>
                <w:tcPr>
                  <w:tcW w:w="893" w:type="pct"/>
                  <w:noWrap w:val="0"/>
                  <w:vAlign w:val="center"/>
                </w:tcPr>
                <w:p w14:paraId="0ABFD011">
                  <w:pPr>
                    <w:keepNext w:val="0"/>
                    <w:keepLines w:val="0"/>
                    <w:pageBreakBefore w:val="0"/>
                    <w:kinsoku/>
                    <w:wordWrap/>
                    <w:overflowPunct/>
                    <w:topLinePunct w:val="0"/>
                    <w:bidi w:val="0"/>
                    <w:adjustRightInd/>
                    <w:snapToGrid/>
                    <w:spacing w:after="0" w:line="240" w:lineRule="auto"/>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空气压缩站</w:t>
                  </w:r>
                </w:p>
              </w:tc>
              <w:tc>
                <w:tcPr>
                  <w:tcW w:w="3431" w:type="pct"/>
                  <w:noWrap w:val="0"/>
                  <w:vAlign w:val="center"/>
                </w:tcPr>
                <w:p w14:paraId="63845CE6">
                  <w:pPr>
                    <w:keepNext w:val="0"/>
                    <w:keepLines w:val="0"/>
                    <w:pageBreakBefore w:val="0"/>
                    <w:kinsoku/>
                    <w:wordWrap/>
                    <w:overflowPunct/>
                    <w:topLinePunct w:val="0"/>
                    <w:bidi w:val="0"/>
                    <w:adjustRightInd/>
                    <w:snapToGrid/>
                    <w:spacing w:after="0" w:line="240" w:lineRule="auto"/>
                    <w:textAlignment w:val="auto"/>
                    <w:rPr>
                      <w:rFonts w:hint="default" w:ascii="Times New Roman" w:hAnsi="Times New Roman" w:eastAsia="宋体" w:cs="Times New Roman"/>
                      <w:color w:val="auto"/>
                      <w:sz w:val="21"/>
                      <w:szCs w:val="21"/>
                      <w:u w:val="none" w:color="auto"/>
                      <w:lang w:val="en-US" w:eastAsia="zh-CN" w:bidi="ar-SA"/>
                    </w:rPr>
                  </w:pPr>
                  <w:r>
                    <w:rPr>
                      <w:rFonts w:hint="default" w:ascii="Times New Roman" w:hAnsi="Times New Roman" w:eastAsia="宋体" w:cs="Times New Roman"/>
                      <w:color w:val="auto"/>
                      <w:sz w:val="21"/>
                      <w:szCs w:val="21"/>
                      <w:u w:val="none" w:color="auto"/>
                    </w:rPr>
                    <w:t>位于本项目东南角</w:t>
                  </w: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rPr>
                    <w:t>总建筑面积741.5m</w:t>
                  </w:r>
                  <w:r>
                    <w:rPr>
                      <w:rFonts w:hint="default" w:ascii="Times New Roman" w:hAnsi="Times New Roman" w:eastAsia="宋体" w:cs="Times New Roman"/>
                      <w:color w:val="auto"/>
                      <w:sz w:val="21"/>
                      <w:szCs w:val="21"/>
                      <w:u w:val="none" w:color="auto"/>
                      <w:vertAlign w:val="superscript"/>
                    </w:rPr>
                    <w:t>2</w:t>
                  </w:r>
                  <w:r>
                    <w:rPr>
                      <w:rFonts w:hint="default" w:ascii="Times New Roman" w:hAnsi="Times New Roman" w:eastAsia="宋体" w:cs="Times New Roman"/>
                      <w:color w:val="auto"/>
                      <w:sz w:val="21"/>
                      <w:szCs w:val="21"/>
                      <w:u w:val="none" w:color="auto"/>
                      <w:lang w:val="zh-CN"/>
                    </w:rPr>
                    <w:t>。一</w:t>
                  </w:r>
                  <w:r>
                    <w:rPr>
                      <w:rFonts w:hint="default" w:ascii="Times New Roman" w:hAnsi="Times New Roman" w:eastAsia="宋体" w:cs="Times New Roman"/>
                      <w:color w:val="auto"/>
                      <w:sz w:val="21"/>
                      <w:szCs w:val="21"/>
                      <w:u w:val="none" w:color="auto"/>
                    </w:rPr>
                    <w:t>层钢筋混凝土框架结构</w:t>
                  </w:r>
                  <w:r>
                    <w:rPr>
                      <w:rFonts w:hint="default" w:ascii="Times New Roman" w:hAnsi="Times New Roman" w:eastAsia="宋体" w:cs="Times New Roman"/>
                      <w:color w:val="auto"/>
                      <w:sz w:val="21"/>
                      <w:szCs w:val="21"/>
                      <w:u w:val="none" w:color="auto"/>
                      <w:lang w:val="zh-CN"/>
                    </w:rPr>
                    <w:t>，服务于各生产车间设备生产用气。</w:t>
                  </w:r>
                </w:p>
              </w:tc>
            </w:tr>
            <w:tr w14:paraId="42DACE7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75" w:type="pct"/>
                  <w:vMerge w:val="continue"/>
                  <w:noWrap w:val="0"/>
                  <w:vAlign w:val="center"/>
                </w:tcPr>
                <w:p w14:paraId="715B3FCB">
                  <w:pPr>
                    <w:keepNext w:val="0"/>
                    <w:keepLines w:val="0"/>
                    <w:pageBreakBefore w:val="0"/>
                    <w:kinsoku/>
                    <w:wordWrap/>
                    <w:overflowPunct/>
                    <w:topLinePunct w:val="0"/>
                    <w:bidi w:val="0"/>
                    <w:adjustRightInd/>
                    <w:snapToGrid/>
                    <w:spacing w:after="0" w:line="240" w:lineRule="auto"/>
                    <w:jc w:val="center"/>
                    <w:textAlignment w:val="auto"/>
                    <w:rPr>
                      <w:rFonts w:hint="default" w:ascii="Times New Roman" w:hAnsi="Times New Roman" w:eastAsia="宋体" w:cs="Times New Roman"/>
                      <w:color w:val="auto"/>
                      <w:sz w:val="21"/>
                      <w:szCs w:val="21"/>
                      <w:u w:val="none" w:color="auto"/>
                    </w:rPr>
                  </w:pPr>
                </w:p>
              </w:tc>
              <w:tc>
                <w:tcPr>
                  <w:tcW w:w="893" w:type="pct"/>
                  <w:noWrap w:val="0"/>
                  <w:vAlign w:val="center"/>
                </w:tcPr>
                <w:p w14:paraId="7849FC9D">
                  <w:pPr>
                    <w:keepNext w:val="0"/>
                    <w:keepLines w:val="0"/>
                    <w:pageBreakBefore w:val="0"/>
                    <w:kinsoku/>
                    <w:wordWrap/>
                    <w:overflowPunct/>
                    <w:topLinePunct w:val="0"/>
                    <w:bidi w:val="0"/>
                    <w:adjustRightInd/>
                    <w:snapToGrid/>
                    <w:spacing w:after="0" w:line="240" w:lineRule="auto"/>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倒班楼</w:t>
                  </w:r>
                </w:p>
              </w:tc>
              <w:tc>
                <w:tcPr>
                  <w:tcW w:w="3431" w:type="pct"/>
                  <w:noWrap w:val="0"/>
                  <w:vAlign w:val="center"/>
                </w:tcPr>
                <w:p w14:paraId="335BD07B">
                  <w:pPr>
                    <w:keepNext w:val="0"/>
                    <w:keepLines w:val="0"/>
                    <w:pageBreakBefore w:val="0"/>
                    <w:kinsoku/>
                    <w:wordWrap/>
                    <w:overflowPunct/>
                    <w:topLinePunct w:val="0"/>
                    <w:bidi w:val="0"/>
                    <w:adjustRightInd/>
                    <w:snapToGrid/>
                    <w:spacing w:after="0" w:line="240" w:lineRule="auto"/>
                    <w:textAlignment w:val="auto"/>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color w:val="auto"/>
                      <w:sz w:val="21"/>
                      <w:szCs w:val="21"/>
                      <w:u w:val="none" w:color="auto"/>
                    </w:rPr>
                    <w:t>位于本项目东北角</w:t>
                  </w: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rPr>
                    <w:t>位于研发楼东侧</w:t>
                  </w: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kern w:val="0"/>
                      <w:sz w:val="21"/>
                      <w:szCs w:val="21"/>
                      <w:u w:val="none" w:color="auto"/>
                    </w:rPr>
                    <w:t>建筑面积4286.76m</w:t>
                  </w:r>
                  <w:r>
                    <w:rPr>
                      <w:rFonts w:hint="default" w:ascii="Times New Roman" w:hAnsi="Times New Roman" w:eastAsia="宋体" w:cs="Times New Roman"/>
                      <w:color w:val="auto"/>
                      <w:kern w:val="0"/>
                      <w:sz w:val="21"/>
                      <w:szCs w:val="21"/>
                      <w:u w:val="none" w:color="auto"/>
                      <w:vertAlign w:val="superscript"/>
                    </w:rPr>
                    <w:t>2</w:t>
                  </w:r>
                  <w:r>
                    <w:rPr>
                      <w:rFonts w:hint="default" w:ascii="Times New Roman" w:hAnsi="Times New Roman" w:eastAsia="宋体" w:cs="Times New Roman"/>
                      <w:color w:val="auto"/>
                      <w:kern w:val="0"/>
                      <w:sz w:val="21"/>
                      <w:szCs w:val="21"/>
                      <w:u w:val="none" w:color="auto"/>
                      <w:lang w:eastAsia="zh-CN"/>
                    </w:rPr>
                    <w:t>，</w:t>
                  </w:r>
                  <w:r>
                    <w:rPr>
                      <w:rFonts w:hint="default" w:ascii="Times New Roman" w:hAnsi="Times New Roman" w:eastAsia="宋体" w:cs="Times New Roman"/>
                      <w:color w:val="auto"/>
                      <w:kern w:val="0"/>
                      <w:sz w:val="21"/>
                      <w:szCs w:val="21"/>
                      <w:u w:val="none" w:color="auto"/>
                    </w:rPr>
                    <w:t>为三层钢筋混凝土框架结构</w:t>
                  </w:r>
                  <w:r>
                    <w:rPr>
                      <w:rFonts w:hint="default" w:ascii="Times New Roman" w:hAnsi="Times New Roman" w:eastAsia="宋体" w:cs="Times New Roman"/>
                      <w:color w:val="auto"/>
                      <w:kern w:val="0"/>
                      <w:sz w:val="21"/>
                      <w:szCs w:val="21"/>
                      <w:u w:val="none" w:color="auto"/>
                      <w:lang w:eastAsia="zh-CN"/>
                    </w:rPr>
                    <w:t>，</w:t>
                  </w:r>
                  <w:r>
                    <w:rPr>
                      <w:rFonts w:hint="default" w:ascii="Times New Roman" w:hAnsi="Times New Roman" w:eastAsia="宋体" w:cs="Times New Roman"/>
                      <w:color w:val="auto"/>
                      <w:kern w:val="0"/>
                      <w:sz w:val="21"/>
                      <w:szCs w:val="21"/>
                      <w:u w:val="none" w:color="auto"/>
                    </w:rPr>
                    <w:t>最大可同时容纳156人倒班住宿。</w:t>
                  </w:r>
                </w:p>
                <w:p w14:paraId="1423EC48">
                  <w:pPr>
                    <w:keepNext w:val="0"/>
                    <w:keepLines w:val="0"/>
                    <w:pageBreakBefore w:val="0"/>
                    <w:kinsoku/>
                    <w:wordWrap/>
                    <w:overflowPunct/>
                    <w:topLinePunct w:val="0"/>
                    <w:bidi w:val="0"/>
                    <w:adjustRightInd/>
                    <w:snapToGrid/>
                    <w:spacing w:after="0" w:line="240" w:lineRule="auto"/>
                    <w:textAlignment w:val="auto"/>
                    <w:rPr>
                      <w:rFonts w:hint="default" w:ascii="Times New Roman" w:hAnsi="Times New Roman" w:eastAsia="宋体" w:cs="Times New Roman"/>
                      <w:color w:val="auto"/>
                      <w:sz w:val="21"/>
                      <w:szCs w:val="21"/>
                      <w:u w:val="none" w:color="auto"/>
                      <w:lang w:val="en-US" w:eastAsia="zh-CN" w:bidi="ar-SA"/>
                    </w:rPr>
                  </w:pPr>
                  <w:r>
                    <w:rPr>
                      <w:rFonts w:hint="default" w:ascii="Times New Roman" w:hAnsi="Times New Roman" w:eastAsia="宋体" w:cs="Times New Roman"/>
                      <w:color w:val="auto"/>
                      <w:sz w:val="21"/>
                      <w:szCs w:val="21"/>
                      <w:u w:val="none" w:color="auto"/>
                    </w:rPr>
                    <w:t>一层~三层设有</w:t>
                  </w:r>
                  <w:r>
                    <w:rPr>
                      <w:rFonts w:hint="default" w:ascii="Times New Roman" w:hAnsi="Times New Roman" w:eastAsia="宋体" w:cs="Times New Roman"/>
                      <w:color w:val="auto"/>
                      <w:kern w:val="0"/>
                      <w:sz w:val="21"/>
                      <w:szCs w:val="21"/>
                      <w:u w:val="none" w:color="auto"/>
                    </w:rPr>
                    <w:t>宿舍26间</w:t>
                  </w:r>
                  <w:r>
                    <w:rPr>
                      <w:rFonts w:hint="default" w:ascii="Times New Roman" w:hAnsi="Times New Roman" w:eastAsia="宋体" w:cs="Times New Roman"/>
                      <w:color w:val="auto"/>
                      <w:kern w:val="0"/>
                      <w:sz w:val="21"/>
                      <w:szCs w:val="21"/>
                      <w:u w:val="none" w:color="auto"/>
                      <w:lang w:eastAsia="zh-CN"/>
                    </w:rPr>
                    <w:t>，</w:t>
                  </w:r>
                  <w:r>
                    <w:rPr>
                      <w:rFonts w:hint="default" w:ascii="Times New Roman" w:hAnsi="Times New Roman" w:eastAsia="宋体" w:cs="Times New Roman"/>
                      <w:color w:val="auto"/>
                      <w:kern w:val="0"/>
                      <w:sz w:val="21"/>
                      <w:szCs w:val="21"/>
                      <w:u w:val="none" w:color="auto"/>
                    </w:rPr>
                    <w:t>并配套有洗衣房、活动间、晾衣间、卫生间等</w:t>
                  </w:r>
                  <w:r>
                    <w:rPr>
                      <w:rFonts w:hint="default" w:ascii="Times New Roman" w:hAnsi="Times New Roman" w:eastAsia="宋体" w:cs="Times New Roman"/>
                      <w:color w:val="auto"/>
                      <w:kern w:val="0"/>
                      <w:sz w:val="21"/>
                      <w:szCs w:val="21"/>
                      <w:u w:val="none" w:color="auto"/>
                      <w:lang w:eastAsia="zh-CN"/>
                    </w:rPr>
                    <w:t>，</w:t>
                  </w:r>
                  <w:r>
                    <w:rPr>
                      <w:rFonts w:hint="default" w:ascii="Times New Roman" w:hAnsi="Times New Roman" w:eastAsia="宋体" w:cs="Times New Roman"/>
                      <w:color w:val="auto"/>
                      <w:kern w:val="0"/>
                      <w:sz w:val="21"/>
                      <w:szCs w:val="21"/>
                      <w:u w:val="none" w:color="auto"/>
                    </w:rPr>
                    <w:t>其中一层设有门厅、值班室。</w:t>
                  </w:r>
                </w:p>
              </w:tc>
            </w:tr>
            <w:tr w14:paraId="59125DD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75" w:type="pct"/>
                  <w:vMerge w:val="continue"/>
                  <w:noWrap w:val="0"/>
                  <w:vAlign w:val="center"/>
                </w:tcPr>
                <w:p w14:paraId="253BB290">
                  <w:pPr>
                    <w:keepNext w:val="0"/>
                    <w:keepLines w:val="0"/>
                    <w:pageBreakBefore w:val="0"/>
                    <w:kinsoku/>
                    <w:wordWrap/>
                    <w:overflowPunct/>
                    <w:topLinePunct w:val="0"/>
                    <w:bidi w:val="0"/>
                    <w:adjustRightInd/>
                    <w:snapToGrid/>
                    <w:spacing w:after="0" w:line="240" w:lineRule="auto"/>
                    <w:jc w:val="center"/>
                    <w:textAlignment w:val="auto"/>
                    <w:rPr>
                      <w:rFonts w:hint="default" w:ascii="Times New Roman" w:hAnsi="Times New Roman" w:eastAsia="宋体" w:cs="Times New Roman"/>
                      <w:color w:val="auto"/>
                      <w:sz w:val="21"/>
                      <w:szCs w:val="21"/>
                      <w:u w:val="none" w:color="auto"/>
                    </w:rPr>
                  </w:pPr>
                </w:p>
              </w:tc>
              <w:tc>
                <w:tcPr>
                  <w:tcW w:w="893" w:type="pct"/>
                  <w:noWrap w:val="0"/>
                  <w:vAlign w:val="center"/>
                </w:tcPr>
                <w:p w14:paraId="0D804954">
                  <w:pPr>
                    <w:keepNext w:val="0"/>
                    <w:keepLines w:val="0"/>
                    <w:pageBreakBefore w:val="0"/>
                    <w:kinsoku/>
                    <w:wordWrap/>
                    <w:overflowPunct/>
                    <w:topLinePunct w:val="0"/>
                    <w:bidi w:val="0"/>
                    <w:adjustRightInd/>
                    <w:snapToGrid/>
                    <w:spacing w:after="0" w:line="240" w:lineRule="auto"/>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汽车衡站</w:t>
                  </w:r>
                </w:p>
              </w:tc>
              <w:tc>
                <w:tcPr>
                  <w:tcW w:w="3431" w:type="pct"/>
                  <w:noWrap w:val="0"/>
                  <w:vAlign w:val="center"/>
                </w:tcPr>
                <w:p w14:paraId="5AAF68AD">
                  <w:pPr>
                    <w:keepNext w:val="0"/>
                    <w:keepLines w:val="0"/>
                    <w:pageBreakBefore w:val="0"/>
                    <w:kinsoku/>
                    <w:wordWrap/>
                    <w:overflowPunct/>
                    <w:topLinePunct w:val="0"/>
                    <w:bidi w:val="0"/>
                    <w:adjustRightInd/>
                    <w:snapToGrid/>
                    <w:spacing w:after="0" w:line="240" w:lineRule="auto"/>
                    <w:jc w:val="left"/>
                    <w:textAlignment w:val="auto"/>
                    <w:rPr>
                      <w:rFonts w:hint="default" w:ascii="Times New Roman" w:hAnsi="Times New Roman" w:eastAsia="宋体" w:cs="Times New Roman"/>
                      <w:color w:val="auto"/>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仅</w:t>
                  </w:r>
                  <w:r>
                    <w:rPr>
                      <w:rFonts w:hint="default" w:ascii="Times New Roman" w:hAnsi="Times New Roman" w:eastAsia="宋体" w:cs="Times New Roman"/>
                      <w:color w:val="auto"/>
                      <w:sz w:val="21"/>
                      <w:szCs w:val="21"/>
                      <w:u w:val="none" w:color="auto"/>
                    </w:rPr>
                    <w:t>本项目</w:t>
                  </w:r>
                  <w:r>
                    <w:rPr>
                      <w:rFonts w:hint="default" w:ascii="Times New Roman" w:hAnsi="Times New Roman" w:eastAsia="宋体" w:cs="Times New Roman"/>
                      <w:color w:val="auto"/>
                      <w:sz w:val="21"/>
                      <w:szCs w:val="21"/>
                      <w:u w:val="none" w:color="auto"/>
                      <w:lang w:val="en-US" w:eastAsia="zh-CN"/>
                    </w:rPr>
                    <w:t>设置</w:t>
                  </w:r>
                  <w:r>
                    <w:rPr>
                      <w:rFonts w:hint="default" w:ascii="Times New Roman" w:hAnsi="Times New Roman" w:eastAsia="宋体" w:cs="Times New Roman"/>
                      <w:color w:val="auto"/>
                      <w:sz w:val="21"/>
                      <w:szCs w:val="21"/>
                      <w:u w:val="none" w:color="auto"/>
                    </w:rPr>
                    <w:t>西侧货物进出口</w:t>
                  </w: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rPr>
                    <w:t>衡站</w:t>
                  </w:r>
                  <w:r>
                    <w:rPr>
                      <w:rFonts w:hint="default" w:ascii="Times New Roman" w:hAnsi="Times New Roman" w:eastAsia="宋体" w:cs="Times New Roman"/>
                      <w:color w:val="auto"/>
                      <w:kern w:val="0"/>
                      <w:sz w:val="21"/>
                      <w:szCs w:val="21"/>
                      <w:u w:val="none" w:color="auto"/>
                    </w:rPr>
                    <w:t>建筑面积27.86m</w:t>
                  </w:r>
                  <w:r>
                    <w:rPr>
                      <w:rFonts w:hint="default" w:ascii="Times New Roman" w:hAnsi="Times New Roman" w:eastAsia="宋体" w:cs="Times New Roman"/>
                      <w:color w:val="auto"/>
                      <w:kern w:val="0"/>
                      <w:sz w:val="21"/>
                      <w:szCs w:val="21"/>
                      <w:u w:val="none" w:color="auto"/>
                      <w:vertAlign w:val="superscript"/>
                    </w:rPr>
                    <w:t>2</w:t>
                  </w:r>
                  <w:r>
                    <w:rPr>
                      <w:rFonts w:hint="default" w:ascii="Times New Roman" w:hAnsi="Times New Roman" w:eastAsia="宋体" w:cs="Times New Roman"/>
                      <w:color w:val="auto"/>
                      <w:kern w:val="0"/>
                      <w:sz w:val="21"/>
                      <w:szCs w:val="21"/>
                      <w:u w:val="none" w:color="auto"/>
                      <w:lang w:eastAsia="zh-CN"/>
                    </w:rPr>
                    <w:t>，</w:t>
                  </w:r>
                  <w:r>
                    <w:rPr>
                      <w:rFonts w:hint="default" w:ascii="Times New Roman" w:hAnsi="Times New Roman" w:eastAsia="宋体" w:cs="Times New Roman"/>
                      <w:color w:val="auto"/>
                      <w:kern w:val="0"/>
                      <w:sz w:val="21"/>
                      <w:szCs w:val="21"/>
                      <w:u w:val="none" w:color="auto"/>
                    </w:rPr>
                    <w:t>为单层钢筋混凝土框架结构</w:t>
                  </w:r>
                  <w:r>
                    <w:rPr>
                      <w:rFonts w:hint="default" w:ascii="Times New Roman" w:hAnsi="Times New Roman" w:eastAsia="宋体" w:cs="Times New Roman"/>
                      <w:color w:val="auto"/>
                      <w:kern w:val="0"/>
                      <w:sz w:val="21"/>
                      <w:szCs w:val="21"/>
                      <w:u w:val="none" w:color="auto"/>
                      <w:lang w:eastAsia="zh-CN"/>
                    </w:rPr>
                    <w:t>，</w:t>
                  </w:r>
                  <w:r>
                    <w:rPr>
                      <w:rFonts w:hint="default" w:ascii="Times New Roman" w:hAnsi="Times New Roman" w:eastAsia="宋体" w:cs="Times New Roman"/>
                      <w:color w:val="auto"/>
                      <w:kern w:val="0"/>
                      <w:sz w:val="21"/>
                      <w:szCs w:val="21"/>
                      <w:u w:val="none" w:color="auto"/>
                    </w:rPr>
                    <w:t>衡站室外设置称台。</w:t>
                  </w:r>
                </w:p>
              </w:tc>
            </w:tr>
            <w:tr w14:paraId="5744438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75" w:type="pct"/>
                  <w:vMerge w:val="continue"/>
                  <w:noWrap w:val="0"/>
                  <w:vAlign w:val="center"/>
                </w:tcPr>
                <w:p w14:paraId="2D64C12F">
                  <w:pPr>
                    <w:keepNext w:val="0"/>
                    <w:keepLines w:val="0"/>
                    <w:pageBreakBefore w:val="0"/>
                    <w:kinsoku/>
                    <w:wordWrap/>
                    <w:overflowPunct/>
                    <w:topLinePunct w:val="0"/>
                    <w:bidi w:val="0"/>
                    <w:adjustRightInd/>
                    <w:snapToGrid/>
                    <w:spacing w:after="0" w:line="240" w:lineRule="auto"/>
                    <w:jc w:val="center"/>
                    <w:textAlignment w:val="auto"/>
                    <w:rPr>
                      <w:rFonts w:hint="default" w:ascii="Times New Roman" w:hAnsi="Times New Roman" w:eastAsia="宋体" w:cs="Times New Roman"/>
                      <w:color w:val="auto"/>
                      <w:sz w:val="21"/>
                      <w:szCs w:val="21"/>
                      <w:u w:val="none" w:color="auto"/>
                    </w:rPr>
                  </w:pPr>
                </w:p>
              </w:tc>
              <w:tc>
                <w:tcPr>
                  <w:tcW w:w="893" w:type="pct"/>
                  <w:noWrap w:val="0"/>
                  <w:vAlign w:val="center"/>
                </w:tcPr>
                <w:p w14:paraId="2C93AE3E">
                  <w:pPr>
                    <w:keepNext w:val="0"/>
                    <w:keepLines w:val="0"/>
                    <w:pageBreakBefore w:val="0"/>
                    <w:kinsoku/>
                    <w:wordWrap/>
                    <w:overflowPunct/>
                    <w:topLinePunct w:val="0"/>
                    <w:bidi w:val="0"/>
                    <w:adjustRightInd/>
                    <w:snapToGrid/>
                    <w:spacing w:after="0" w:line="240" w:lineRule="auto"/>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门卫室</w:t>
                  </w:r>
                </w:p>
              </w:tc>
              <w:tc>
                <w:tcPr>
                  <w:tcW w:w="3431" w:type="pct"/>
                  <w:noWrap w:val="0"/>
                  <w:vAlign w:val="center"/>
                </w:tcPr>
                <w:p w14:paraId="2EAB33F8">
                  <w:pPr>
                    <w:keepNext w:val="0"/>
                    <w:keepLines w:val="0"/>
                    <w:pageBreakBefore w:val="0"/>
                    <w:kinsoku/>
                    <w:wordWrap/>
                    <w:overflowPunct/>
                    <w:topLinePunct w:val="0"/>
                    <w:bidi w:val="0"/>
                    <w:adjustRightInd/>
                    <w:snapToGrid/>
                    <w:spacing w:after="0" w:line="240" w:lineRule="auto"/>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共设有</w:t>
                  </w:r>
                  <w:r>
                    <w:rPr>
                      <w:rFonts w:hint="default" w:ascii="Times New Roman" w:hAnsi="Times New Roman" w:eastAsia="宋体" w:cs="Times New Roman"/>
                      <w:color w:val="auto"/>
                      <w:sz w:val="21"/>
                      <w:szCs w:val="21"/>
                      <w:u w:val="none" w:color="auto"/>
                      <w:lang w:eastAsia="zh-CN"/>
                    </w:rPr>
                    <w:t>两个</w:t>
                  </w:r>
                  <w:r>
                    <w:rPr>
                      <w:rFonts w:hint="default" w:ascii="Times New Roman" w:hAnsi="Times New Roman" w:eastAsia="宋体" w:cs="Times New Roman"/>
                      <w:color w:val="auto"/>
                      <w:sz w:val="21"/>
                      <w:szCs w:val="21"/>
                      <w:u w:val="none" w:color="auto"/>
                    </w:rPr>
                    <w:t>门卫室</w:t>
                  </w: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rPr>
                    <w:t>分别是主大门和</w:t>
                  </w:r>
                  <w:r>
                    <w:rPr>
                      <w:rFonts w:hint="default" w:ascii="Times New Roman" w:hAnsi="Times New Roman" w:eastAsia="宋体" w:cs="Times New Roman"/>
                      <w:color w:val="auto"/>
                      <w:sz w:val="21"/>
                      <w:szCs w:val="21"/>
                      <w:u w:val="none" w:color="auto"/>
                      <w:lang w:val="en-US" w:eastAsia="zh-CN"/>
                    </w:rPr>
                    <w:t>一</w:t>
                  </w:r>
                  <w:r>
                    <w:rPr>
                      <w:rFonts w:hint="default" w:ascii="Times New Roman" w:hAnsi="Times New Roman" w:eastAsia="宋体" w:cs="Times New Roman"/>
                      <w:color w:val="auto"/>
                      <w:sz w:val="21"/>
                      <w:szCs w:val="21"/>
                      <w:u w:val="none" w:color="auto"/>
                    </w:rPr>
                    <w:t>个货运大门。</w:t>
                  </w:r>
                </w:p>
                <w:p w14:paraId="78A626C6">
                  <w:pPr>
                    <w:keepNext w:val="0"/>
                    <w:keepLines w:val="0"/>
                    <w:pageBreakBefore w:val="0"/>
                    <w:kinsoku/>
                    <w:wordWrap/>
                    <w:overflowPunct/>
                    <w:topLinePunct w:val="0"/>
                    <w:bidi w:val="0"/>
                    <w:adjustRightInd/>
                    <w:snapToGrid/>
                    <w:spacing w:after="0" w:line="240" w:lineRule="auto"/>
                    <w:textAlignment w:val="auto"/>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b/>
                      <w:bCs/>
                      <w:color w:val="auto"/>
                      <w:sz w:val="21"/>
                      <w:szCs w:val="21"/>
                      <w:u w:val="none" w:color="auto"/>
                    </w:rPr>
                    <w:t>主大门：</w:t>
                  </w:r>
                  <w:r>
                    <w:rPr>
                      <w:rFonts w:hint="default" w:ascii="Times New Roman" w:hAnsi="Times New Roman" w:eastAsia="宋体" w:cs="Times New Roman"/>
                      <w:color w:val="auto"/>
                      <w:sz w:val="21"/>
                      <w:szCs w:val="21"/>
                      <w:u w:val="none" w:color="auto"/>
                    </w:rPr>
                    <w:t>位于厂区北侧中部</w:t>
                  </w: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kern w:val="0"/>
                      <w:sz w:val="21"/>
                      <w:szCs w:val="21"/>
                      <w:u w:val="none" w:color="auto"/>
                    </w:rPr>
                    <w:t>建筑面积72.42m</w:t>
                  </w:r>
                  <w:r>
                    <w:rPr>
                      <w:rFonts w:hint="default" w:ascii="Times New Roman" w:hAnsi="Times New Roman" w:eastAsia="宋体" w:cs="Times New Roman"/>
                      <w:color w:val="auto"/>
                      <w:kern w:val="0"/>
                      <w:sz w:val="21"/>
                      <w:szCs w:val="21"/>
                      <w:u w:val="none" w:color="auto"/>
                      <w:vertAlign w:val="superscript"/>
                    </w:rPr>
                    <w:t>2</w:t>
                  </w:r>
                  <w:r>
                    <w:rPr>
                      <w:rFonts w:hint="default" w:ascii="Times New Roman" w:hAnsi="Times New Roman" w:eastAsia="宋体" w:cs="Times New Roman"/>
                      <w:color w:val="auto"/>
                      <w:kern w:val="0"/>
                      <w:sz w:val="21"/>
                      <w:szCs w:val="21"/>
                      <w:u w:val="none" w:color="auto"/>
                      <w:lang w:eastAsia="zh-CN"/>
                    </w:rPr>
                    <w:t>，</w:t>
                  </w:r>
                  <w:r>
                    <w:rPr>
                      <w:rFonts w:hint="default" w:ascii="Times New Roman" w:hAnsi="Times New Roman" w:eastAsia="宋体" w:cs="Times New Roman"/>
                      <w:color w:val="auto"/>
                      <w:kern w:val="0"/>
                      <w:sz w:val="21"/>
                      <w:szCs w:val="21"/>
                      <w:u w:val="none" w:color="auto"/>
                    </w:rPr>
                    <w:t>为单层钢筋混凝土框架结构。</w:t>
                  </w:r>
                </w:p>
                <w:p w14:paraId="061D24D6">
                  <w:pPr>
                    <w:keepNext w:val="0"/>
                    <w:keepLines w:val="0"/>
                    <w:pageBreakBefore w:val="0"/>
                    <w:kinsoku/>
                    <w:wordWrap/>
                    <w:overflowPunct/>
                    <w:topLinePunct w:val="0"/>
                    <w:bidi w:val="0"/>
                    <w:adjustRightInd/>
                    <w:snapToGrid/>
                    <w:spacing w:after="0" w:line="240" w:lineRule="auto"/>
                    <w:textAlignment w:val="auto"/>
                    <w:rPr>
                      <w:rFonts w:hint="default" w:ascii="Times New Roman" w:hAnsi="Times New Roman" w:eastAsia="宋体" w:cs="Times New Roman"/>
                      <w:color w:val="auto"/>
                      <w:sz w:val="21"/>
                      <w:szCs w:val="21"/>
                      <w:u w:val="none" w:color="auto"/>
                      <w:lang w:val="en-US" w:eastAsia="zh-CN" w:bidi="ar-SA"/>
                    </w:rPr>
                  </w:pPr>
                  <w:r>
                    <w:rPr>
                      <w:rFonts w:hint="default" w:ascii="Times New Roman" w:hAnsi="Times New Roman" w:eastAsia="宋体" w:cs="Times New Roman"/>
                      <w:b/>
                      <w:bCs/>
                      <w:color w:val="auto"/>
                      <w:sz w:val="21"/>
                      <w:szCs w:val="21"/>
                      <w:u w:val="none" w:color="auto"/>
                    </w:rPr>
                    <w:t>货运大门：</w:t>
                  </w:r>
                  <w:r>
                    <w:rPr>
                      <w:rFonts w:hint="default" w:ascii="Times New Roman" w:hAnsi="Times New Roman" w:eastAsia="宋体" w:cs="Times New Roman"/>
                      <w:color w:val="auto"/>
                      <w:sz w:val="21"/>
                      <w:szCs w:val="21"/>
                      <w:u w:val="none" w:color="auto"/>
                    </w:rPr>
                    <w:t>位于厂区西侧中部</w:t>
                  </w:r>
                  <w:r>
                    <w:rPr>
                      <w:rFonts w:hint="default" w:ascii="Times New Roman" w:hAnsi="Times New Roman" w:eastAsia="宋体" w:cs="Times New Roman"/>
                      <w:color w:val="auto"/>
                      <w:sz w:val="21"/>
                      <w:szCs w:val="21"/>
                      <w:u w:val="none" w:color="auto"/>
                      <w:lang w:eastAsia="zh-CN"/>
                    </w:rPr>
                    <w:t>，</w:t>
                  </w:r>
                  <w:r>
                    <w:rPr>
                      <w:rFonts w:hint="eastAsia" w:cs="Times New Roman"/>
                      <w:color w:val="auto"/>
                      <w:sz w:val="21"/>
                      <w:szCs w:val="21"/>
                      <w:u w:val="none" w:color="auto"/>
                      <w:lang w:eastAsia="zh-CN"/>
                    </w:rPr>
                    <w:t>建筑面积</w:t>
                  </w:r>
                  <w:r>
                    <w:rPr>
                      <w:rFonts w:hint="default" w:ascii="Times New Roman" w:hAnsi="Times New Roman" w:eastAsia="宋体" w:cs="Times New Roman"/>
                      <w:color w:val="auto"/>
                      <w:kern w:val="0"/>
                      <w:sz w:val="21"/>
                      <w:szCs w:val="21"/>
                      <w:u w:val="none" w:color="auto"/>
                    </w:rPr>
                    <w:t>为40.10m</w:t>
                  </w:r>
                  <w:r>
                    <w:rPr>
                      <w:rFonts w:hint="default" w:ascii="Times New Roman" w:hAnsi="Times New Roman" w:eastAsia="宋体" w:cs="Times New Roman"/>
                      <w:color w:val="auto"/>
                      <w:kern w:val="0"/>
                      <w:sz w:val="21"/>
                      <w:szCs w:val="21"/>
                      <w:u w:val="none" w:color="auto"/>
                      <w:vertAlign w:val="superscript"/>
                    </w:rPr>
                    <w:t>2</w:t>
                  </w:r>
                  <w:r>
                    <w:rPr>
                      <w:rFonts w:hint="default" w:ascii="Times New Roman" w:hAnsi="Times New Roman" w:eastAsia="宋体" w:cs="Times New Roman"/>
                      <w:color w:val="auto"/>
                      <w:kern w:val="0"/>
                      <w:sz w:val="21"/>
                      <w:szCs w:val="21"/>
                      <w:u w:val="none" w:color="auto"/>
                      <w:lang w:eastAsia="zh-CN"/>
                    </w:rPr>
                    <w:t>，</w:t>
                  </w:r>
                  <w:r>
                    <w:rPr>
                      <w:rFonts w:hint="default" w:ascii="Times New Roman" w:hAnsi="Times New Roman" w:eastAsia="宋体" w:cs="Times New Roman"/>
                      <w:color w:val="auto"/>
                      <w:kern w:val="0"/>
                      <w:sz w:val="21"/>
                      <w:szCs w:val="21"/>
                      <w:u w:val="none" w:color="auto"/>
                    </w:rPr>
                    <w:t>为单层钢筋混凝土框架结构。</w:t>
                  </w:r>
                </w:p>
              </w:tc>
            </w:tr>
            <w:tr w14:paraId="594B6C5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75" w:type="pct"/>
                  <w:vMerge w:val="restart"/>
                  <w:noWrap w:val="0"/>
                  <w:vAlign w:val="center"/>
                </w:tcPr>
                <w:p w14:paraId="360F220D">
                  <w:pPr>
                    <w:keepNext w:val="0"/>
                    <w:keepLines w:val="0"/>
                    <w:pageBreakBefore w:val="0"/>
                    <w:kinsoku/>
                    <w:wordWrap/>
                    <w:overflowPunct/>
                    <w:topLinePunct w:val="0"/>
                    <w:bidi w:val="0"/>
                    <w:adjustRightInd/>
                    <w:snapToGrid/>
                    <w:spacing w:after="0" w:line="240" w:lineRule="auto"/>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公用工程</w:t>
                  </w:r>
                </w:p>
              </w:tc>
              <w:tc>
                <w:tcPr>
                  <w:tcW w:w="893" w:type="pct"/>
                  <w:noWrap w:val="0"/>
                  <w:vAlign w:val="center"/>
                </w:tcPr>
                <w:p w14:paraId="68F01DD2">
                  <w:pPr>
                    <w:keepNext w:val="0"/>
                    <w:keepLines w:val="0"/>
                    <w:pageBreakBefore w:val="0"/>
                    <w:kinsoku/>
                    <w:wordWrap/>
                    <w:overflowPunct/>
                    <w:topLinePunct w:val="0"/>
                    <w:bidi w:val="0"/>
                    <w:adjustRightInd/>
                    <w:snapToGrid/>
                    <w:spacing w:after="0" w:line="240" w:lineRule="auto"/>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供水</w:t>
                  </w:r>
                </w:p>
              </w:tc>
              <w:tc>
                <w:tcPr>
                  <w:tcW w:w="3431" w:type="pct"/>
                  <w:noWrap w:val="0"/>
                  <w:vAlign w:val="center"/>
                </w:tcPr>
                <w:p w14:paraId="12AD0525">
                  <w:pPr>
                    <w:keepNext w:val="0"/>
                    <w:keepLines w:val="0"/>
                    <w:pageBreakBefore w:val="0"/>
                    <w:kinsoku/>
                    <w:wordWrap/>
                    <w:overflowPunct/>
                    <w:topLinePunct w:val="0"/>
                    <w:bidi w:val="0"/>
                    <w:adjustRightInd/>
                    <w:snapToGrid/>
                    <w:spacing w:after="0" w:line="240" w:lineRule="auto"/>
                    <w:jc w:val="center"/>
                    <w:textAlignment w:val="auto"/>
                    <w:rPr>
                      <w:rFonts w:hint="default" w:ascii="Times New Roman" w:hAnsi="Times New Roman" w:eastAsia="宋体" w:cs="Times New Roman"/>
                      <w:color w:val="auto"/>
                      <w:sz w:val="21"/>
                      <w:szCs w:val="21"/>
                      <w:u w:val="none" w:color="auto"/>
                      <w:lang w:val="en-US" w:eastAsia="zh-CN" w:bidi="ar-SA"/>
                    </w:rPr>
                  </w:pPr>
                  <w:r>
                    <w:rPr>
                      <w:rFonts w:hint="default" w:ascii="Times New Roman" w:hAnsi="Times New Roman" w:eastAsia="宋体" w:cs="Times New Roman"/>
                      <w:color w:val="auto"/>
                      <w:sz w:val="21"/>
                      <w:szCs w:val="21"/>
                      <w:u w:val="none" w:color="auto"/>
                    </w:rPr>
                    <w:t>项目</w:t>
                  </w:r>
                  <w:r>
                    <w:rPr>
                      <w:rFonts w:hint="default" w:ascii="Times New Roman" w:hAnsi="Times New Roman" w:eastAsia="宋体" w:cs="Times New Roman"/>
                      <w:color w:val="auto"/>
                      <w:sz w:val="21"/>
                      <w:szCs w:val="21"/>
                      <w:u w:val="none" w:color="auto"/>
                      <w:lang w:eastAsia="zh-CN"/>
                    </w:rPr>
                    <w:t>新鲜水</w:t>
                  </w:r>
                  <w:r>
                    <w:rPr>
                      <w:rFonts w:hint="default" w:ascii="Times New Roman" w:hAnsi="Times New Roman" w:eastAsia="宋体" w:cs="Times New Roman"/>
                      <w:color w:val="auto"/>
                      <w:sz w:val="21"/>
                      <w:szCs w:val="21"/>
                      <w:u w:val="none" w:color="auto"/>
                    </w:rPr>
                    <w:t>用水</w:t>
                  </w:r>
                  <w:r>
                    <w:rPr>
                      <w:rFonts w:hint="default" w:ascii="Times New Roman" w:hAnsi="Times New Roman" w:eastAsia="宋体" w:cs="Times New Roman"/>
                      <w:color w:val="auto"/>
                      <w:sz w:val="21"/>
                      <w:szCs w:val="21"/>
                      <w:u w:val="none" w:color="auto"/>
                      <w:lang w:eastAsia="zh-CN"/>
                    </w:rPr>
                    <w:t>由</w:t>
                  </w:r>
                  <w:r>
                    <w:rPr>
                      <w:rFonts w:hint="default" w:ascii="Times New Roman" w:hAnsi="Times New Roman" w:eastAsia="宋体" w:cs="Times New Roman"/>
                      <w:color w:val="auto"/>
                      <w:sz w:val="21"/>
                      <w:szCs w:val="21"/>
                      <w:u w:val="none" w:color="auto"/>
                    </w:rPr>
                    <w:t>市政自来水管网提供</w:t>
                  </w:r>
                  <w:r>
                    <w:rPr>
                      <w:rFonts w:hint="default" w:ascii="Times New Roman" w:hAnsi="Times New Roman" w:eastAsia="宋体" w:cs="Times New Roman"/>
                      <w:color w:val="auto"/>
                      <w:sz w:val="21"/>
                      <w:szCs w:val="21"/>
                      <w:u w:val="none" w:color="auto"/>
                      <w:lang w:eastAsia="zh-CN"/>
                    </w:rPr>
                    <w:t>；去离子水来源于华能去离子水供给管网</w:t>
                  </w:r>
                </w:p>
              </w:tc>
            </w:tr>
            <w:tr w14:paraId="12AB3A1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75" w:type="pct"/>
                  <w:vMerge w:val="continue"/>
                  <w:noWrap w:val="0"/>
                  <w:vAlign w:val="center"/>
                </w:tcPr>
                <w:p w14:paraId="1FDC15ED">
                  <w:pPr>
                    <w:keepNext w:val="0"/>
                    <w:keepLines w:val="0"/>
                    <w:pageBreakBefore w:val="0"/>
                    <w:widowControl/>
                    <w:kinsoku/>
                    <w:wordWrap/>
                    <w:overflowPunct/>
                    <w:topLinePunct w:val="0"/>
                    <w:bidi w:val="0"/>
                    <w:adjustRightInd/>
                    <w:snapToGrid/>
                    <w:spacing w:after="0" w:line="240" w:lineRule="auto"/>
                    <w:jc w:val="left"/>
                    <w:textAlignment w:val="auto"/>
                    <w:rPr>
                      <w:rFonts w:hint="default" w:ascii="Times New Roman" w:hAnsi="Times New Roman" w:eastAsia="宋体" w:cs="Times New Roman"/>
                      <w:color w:val="auto"/>
                      <w:sz w:val="21"/>
                      <w:szCs w:val="21"/>
                      <w:u w:val="none" w:color="auto"/>
                    </w:rPr>
                  </w:pPr>
                </w:p>
              </w:tc>
              <w:tc>
                <w:tcPr>
                  <w:tcW w:w="893" w:type="pct"/>
                  <w:noWrap w:val="0"/>
                  <w:vAlign w:val="center"/>
                </w:tcPr>
                <w:p w14:paraId="02B09787">
                  <w:pPr>
                    <w:keepNext w:val="0"/>
                    <w:keepLines w:val="0"/>
                    <w:pageBreakBefore w:val="0"/>
                    <w:kinsoku/>
                    <w:wordWrap/>
                    <w:overflowPunct/>
                    <w:topLinePunct w:val="0"/>
                    <w:bidi w:val="0"/>
                    <w:adjustRightInd/>
                    <w:snapToGrid/>
                    <w:spacing w:after="0" w:line="240" w:lineRule="auto"/>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供电</w:t>
                  </w:r>
                </w:p>
              </w:tc>
              <w:tc>
                <w:tcPr>
                  <w:tcW w:w="3431" w:type="pct"/>
                  <w:noWrap w:val="0"/>
                  <w:vAlign w:val="center"/>
                </w:tcPr>
                <w:p w14:paraId="6FD5E917">
                  <w:pPr>
                    <w:keepNext w:val="0"/>
                    <w:keepLines w:val="0"/>
                    <w:pageBreakBefore w:val="0"/>
                    <w:kinsoku/>
                    <w:wordWrap/>
                    <w:overflowPunct/>
                    <w:topLinePunct w:val="0"/>
                    <w:bidi w:val="0"/>
                    <w:adjustRightInd/>
                    <w:snapToGrid/>
                    <w:spacing w:after="0" w:line="240" w:lineRule="auto"/>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供电电源由厂外10kV市政电网架空线引入厂区内公辅区1</w:t>
                  </w:r>
                  <w:r>
                    <w:rPr>
                      <w:rFonts w:hint="default" w:ascii="Times New Roman" w:hAnsi="Times New Roman" w:eastAsia="宋体" w:cs="Times New Roman"/>
                      <w:color w:val="auto"/>
                      <w:sz w:val="21"/>
                      <w:szCs w:val="21"/>
                      <w:u w:val="none" w:color="auto"/>
                      <w:lang w:val="en-US" w:eastAsia="zh-CN"/>
                    </w:rPr>
                    <w:t>1</w:t>
                  </w:r>
                  <w:r>
                    <w:rPr>
                      <w:rFonts w:hint="default" w:ascii="Times New Roman" w:hAnsi="Times New Roman" w:eastAsia="宋体" w:cs="Times New Roman"/>
                      <w:color w:val="auto"/>
                      <w:sz w:val="21"/>
                      <w:szCs w:val="21"/>
                      <w:u w:val="none" w:color="auto"/>
                    </w:rPr>
                    <w:t>0kv配电站</w:t>
                  </w: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rPr>
                    <w:t>经配电后用于生产生活所需。</w:t>
                  </w:r>
                </w:p>
                <w:p w14:paraId="656D21AE">
                  <w:pPr>
                    <w:keepNext w:val="0"/>
                    <w:keepLines w:val="0"/>
                    <w:pageBreakBefore w:val="0"/>
                    <w:kinsoku/>
                    <w:wordWrap/>
                    <w:overflowPunct/>
                    <w:topLinePunct w:val="0"/>
                    <w:bidi w:val="0"/>
                    <w:adjustRightInd/>
                    <w:snapToGrid/>
                    <w:spacing w:after="0" w:line="240" w:lineRule="auto"/>
                    <w:textAlignment w:val="auto"/>
                    <w:rPr>
                      <w:rFonts w:hint="default" w:ascii="Times New Roman" w:hAnsi="Times New Roman" w:eastAsia="宋体" w:cs="Times New Roman"/>
                      <w:color w:val="auto"/>
                      <w:sz w:val="21"/>
                      <w:szCs w:val="21"/>
                      <w:u w:val="none" w:color="auto"/>
                      <w:lang w:val="en-US" w:eastAsia="zh-CN" w:bidi="ar-SA"/>
                    </w:rPr>
                  </w:pPr>
                  <w:r>
                    <w:rPr>
                      <w:rFonts w:hint="default" w:ascii="Times New Roman" w:hAnsi="Times New Roman" w:eastAsia="宋体" w:cs="Times New Roman"/>
                      <w:color w:val="auto"/>
                      <w:sz w:val="21"/>
                      <w:szCs w:val="21"/>
                      <w:u w:val="none" w:color="auto"/>
                    </w:rPr>
                    <w:t>公辅区1</w:t>
                  </w:r>
                  <w:r>
                    <w:rPr>
                      <w:rFonts w:hint="default" w:ascii="Times New Roman" w:hAnsi="Times New Roman" w:eastAsia="宋体" w:cs="Times New Roman"/>
                      <w:color w:val="auto"/>
                      <w:sz w:val="21"/>
                      <w:szCs w:val="21"/>
                      <w:u w:val="none" w:color="auto"/>
                      <w:lang w:val="en-US" w:eastAsia="zh-CN"/>
                    </w:rPr>
                    <w:t>1</w:t>
                  </w:r>
                  <w:r>
                    <w:rPr>
                      <w:rFonts w:hint="default" w:ascii="Times New Roman" w:hAnsi="Times New Roman" w:eastAsia="宋体" w:cs="Times New Roman"/>
                      <w:color w:val="auto"/>
                      <w:sz w:val="21"/>
                      <w:szCs w:val="21"/>
                      <w:u w:val="none" w:color="auto"/>
                    </w:rPr>
                    <w:t>0kv配电站位于</w:t>
                  </w:r>
                  <w:r>
                    <w:rPr>
                      <w:rFonts w:hint="default" w:ascii="Times New Roman" w:hAnsi="Times New Roman" w:eastAsia="宋体" w:cs="Times New Roman"/>
                      <w:color w:val="auto"/>
                      <w:sz w:val="21"/>
                      <w:szCs w:val="21"/>
                      <w:u w:val="none" w:color="auto"/>
                      <w:lang w:val="en-US" w:eastAsia="zh-CN"/>
                    </w:rPr>
                    <w:t>厂区南部</w:t>
                  </w: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rPr>
                    <w:t>位于综合仓库</w:t>
                  </w:r>
                  <w:r>
                    <w:rPr>
                      <w:rFonts w:hint="default" w:ascii="Times New Roman" w:hAnsi="Times New Roman" w:eastAsia="宋体" w:cs="Times New Roman"/>
                      <w:color w:val="auto"/>
                      <w:sz w:val="21"/>
                      <w:szCs w:val="21"/>
                      <w:u w:val="none" w:color="auto"/>
                      <w:lang w:val="en-US" w:eastAsia="zh-CN"/>
                    </w:rPr>
                    <w:t>西北角</w:t>
                  </w: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kern w:val="0"/>
                      <w:sz w:val="21"/>
                      <w:szCs w:val="21"/>
                      <w:u w:val="none" w:color="auto"/>
                    </w:rPr>
                    <w:t>建筑面积</w:t>
                  </w:r>
                  <w:r>
                    <w:rPr>
                      <w:rFonts w:hint="default" w:ascii="Times New Roman" w:hAnsi="Times New Roman" w:eastAsia="宋体" w:cs="Times New Roman"/>
                      <w:color w:val="auto"/>
                      <w:kern w:val="0"/>
                      <w:sz w:val="21"/>
                      <w:szCs w:val="21"/>
                      <w:u w:val="none" w:color="auto"/>
                      <w:lang w:val="en-US" w:eastAsia="zh-CN"/>
                    </w:rPr>
                    <w:t>993.84</w:t>
                  </w:r>
                  <w:r>
                    <w:rPr>
                      <w:rFonts w:hint="default" w:ascii="Times New Roman" w:hAnsi="Times New Roman" w:eastAsia="宋体" w:cs="Times New Roman"/>
                      <w:color w:val="auto"/>
                      <w:kern w:val="0"/>
                      <w:sz w:val="21"/>
                      <w:szCs w:val="21"/>
                      <w:u w:val="none" w:color="auto"/>
                    </w:rPr>
                    <w:t>m</w:t>
                  </w:r>
                  <w:r>
                    <w:rPr>
                      <w:rFonts w:hint="default" w:ascii="Times New Roman" w:hAnsi="Times New Roman" w:eastAsia="宋体" w:cs="Times New Roman"/>
                      <w:color w:val="auto"/>
                      <w:kern w:val="0"/>
                      <w:sz w:val="21"/>
                      <w:szCs w:val="21"/>
                      <w:u w:val="none" w:color="auto"/>
                      <w:vertAlign w:val="superscript"/>
                    </w:rPr>
                    <w:t>2</w:t>
                  </w:r>
                  <w:r>
                    <w:rPr>
                      <w:rFonts w:hint="default" w:ascii="Times New Roman" w:hAnsi="Times New Roman" w:eastAsia="宋体" w:cs="Times New Roman"/>
                      <w:color w:val="auto"/>
                      <w:kern w:val="0"/>
                      <w:sz w:val="21"/>
                      <w:szCs w:val="21"/>
                      <w:u w:val="none" w:color="auto"/>
                      <w:lang w:eastAsia="zh-CN"/>
                    </w:rPr>
                    <w:t>，</w:t>
                  </w:r>
                  <w:r>
                    <w:rPr>
                      <w:rFonts w:hint="default" w:ascii="Times New Roman" w:hAnsi="Times New Roman" w:eastAsia="宋体" w:cs="Times New Roman"/>
                      <w:color w:val="auto"/>
                      <w:kern w:val="0"/>
                      <w:sz w:val="21"/>
                      <w:szCs w:val="21"/>
                      <w:u w:val="none" w:color="auto"/>
                    </w:rPr>
                    <w:t>为单层钢筋混凝土框架结构。</w:t>
                  </w:r>
                </w:p>
              </w:tc>
            </w:tr>
            <w:tr w14:paraId="67F6E5D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75" w:type="pct"/>
                  <w:vMerge w:val="continue"/>
                  <w:noWrap w:val="0"/>
                  <w:vAlign w:val="center"/>
                </w:tcPr>
                <w:p w14:paraId="1723721F">
                  <w:pPr>
                    <w:keepNext w:val="0"/>
                    <w:keepLines w:val="0"/>
                    <w:pageBreakBefore w:val="0"/>
                    <w:widowControl/>
                    <w:kinsoku/>
                    <w:wordWrap/>
                    <w:overflowPunct/>
                    <w:topLinePunct w:val="0"/>
                    <w:bidi w:val="0"/>
                    <w:adjustRightInd/>
                    <w:snapToGrid/>
                    <w:spacing w:after="0" w:line="240" w:lineRule="auto"/>
                    <w:jc w:val="left"/>
                    <w:textAlignment w:val="auto"/>
                    <w:rPr>
                      <w:rFonts w:hint="default" w:ascii="Times New Roman" w:hAnsi="Times New Roman" w:eastAsia="宋体" w:cs="Times New Roman"/>
                      <w:color w:val="auto"/>
                      <w:sz w:val="21"/>
                      <w:szCs w:val="21"/>
                      <w:u w:val="none" w:color="auto"/>
                    </w:rPr>
                  </w:pPr>
                </w:p>
              </w:tc>
              <w:tc>
                <w:tcPr>
                  <w:tcW w:w="893" w:type="pct"/>
                  <w:noWrap w:val="0"/>
                  <w:vAlign w:val="center"/>
                </w:tcPr>
                <w:p w14:paraId="0C7755EC">
                  <w:pPr>
                    <w:keepNext w:val="0"/>
                    <w:keepLines w:val="0"/>
                    <w:pageBreakBefore w:val="0"/>
                    <w:kinsoku/>
                    <w:wordWrap/>
                    <w:overflowPunct/>
                    <w:topLinePunct w:val="0"/>
                    <w:bidi w:val="0"/>
                    <w:adjustRightInd/>
                    <w:snapToGrid/>
                    <w:spacing w:after="0" w:line="240" w:lineRule="auto"/>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供气</w:t>
                  </w:r>
                </w:p>
              </w:tc>
              <w:tc>
                <w:tcPr>
                  <w:tcW w:w="3431" w:type="pct"/>
                  <w:noWrap w:val="0"/>
                  <w:vAlign w:val="center"/>
                </w:tcPr>
                <w:p w14:paraId="39120E87">
                  <w:pPr>
                    <w:keepNext w:val="0"/>
                    <w:keepLines w:val="0"/>
                    <w:pageBreakBefore w:val="0"/>
                    <w:kinsoku/>
                    <w:wordWrap/>
                    <w:overflowPunct/>
                    <w:topLinePunct w:val="0"/>
                    <w:bidi w:val="0"/>
                    <w:adjustRightInd/>
                    <w:snapToGrid/>
                    <w:spacing w:after="0" w:line="240" w:lineRule="auto"/>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项目天然气由厂区外市政供气管网引入厂区</w:t>
                  </w: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rPr>
                    <w:t>经天然气调压站供给项目生产生活所需。</w:t>
                  </w:r>
                </w:p>
                <w:p w14:paraId="762C4CB5">
                  <w:pPr>
                    <w:keepNext w:val="0"/>
                    <w:keepLines w:val="0"/>
                    <w:pageBreakBefore w:val="0"/>
                    <w:kinsoku/>
                    <w:wordWrap/>
                    <w:overflowPunct/>
                    <w:topLinePunct w:val="0"/>
                    <w:bidi w:val="0"/>
                    <w:adjustRightInd/>
                    <w:snapToGrid/>
                    <w:spacing w:after="0" w:line="240" w:lineRule="auto"/>
                    <w:textAlignment w:val="auto"/>
                    <w:rPr>
                      <w:rFonts w:hint="default" w:ascii="Times New Roman" w:hAnsi="Times New Roman" w:eastAsia="宋体" w:cs="Times New Roman"/>
                      <w:color w:val="auto"/>
                      <w:sz w:val="21"/>
                      <w:szCs w:val="21"/>
                      <w:u w:val="none" w:color="auto"/>
                      <w:lang w:val="en-US" w:eastAsia="zh-CN" w:bidi="ar-SA"/>
                    </w:rPr>
                  </w:pPr>
                  <w:r>
                    <w:rPr>
                      <w:rFonts w:hint="default" w:ascii="Times New Roman" w:hAnsi="Times New Roman" w:eastAsia="宋体" w:cs="Times New Roman"/>
                      <w:color w:val="auto"/>
                      <w:sz w:val="21"/>
                      <w:szCs w:val="21"/>
                      <w:u w:val="none" w:color="auto"/>
                    </w:rPr>
                    <w:t>天然气调压站位于项目西北角</w:t>
                  </w: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kern w:val="0"/>
                      <w:sz w:val="21"/>
                      <w:szCs w:val="21"/>
                      <w:u w:val="none" w:color="auto"/>
                    </w:rPr>
                    <w:t>占地面积78.75m</w:t>
                  </w:r>
                  <w:r>
                    <w:rPr>
                      <w:rFonts w:hint="default" w:ascii="Times New Roman" w:hAnsi="Times New Roman" w:eastAsia="宋体" w:cs="Times New Roman"/>
                      <w:color w:val="auto"/>
                      <w:kern w:val="0"/>
                      <w:sz w:val="21"/>
                      <w:szCs w:val="21"/>
                      <w:u w:val="none" w:color="auto"/>
                      <w:vertAlign w:val="superscript"/>
                    </w:rPr>
                    <w:t>2</w:t>
                  </w:r>
                  <w:r>
                    <w:rPr>
                      <w:rFonts w:hint="default" w:ascii="Times New Roman" w:hAnsi="Times New Roman" w:eastAsia="宋体" w:cs="Times New Roman"/>
                      <w:color w:val="auto"/>
                      <w:kern w:val="0"/>
                      <w:sz w:val="21"/>
                      <w:szCs w:val="21"/>
                      <w:u w:val="none" w:color="auto"/>
                      <w:lang w:eastAsia="zh-CN"/>
                    </w:rPr>
                    <w:t>，</w:t>
                  </w:r>
                  <w:r>
                    <w:rPr>
                      <w:rFonts w:hint="default" w:ascii="Times New Roman" w:hAnsi="Times New Roman" w:eastAsia="宋体" w:cs="Times New Roman"/>
                      <w:color w:val="auto"/>
                      <w:kern w:val="0"/>
                      <w:sz w:val="21"/>
                      <w:szCs w:val="21"/>
                      <w:u w:val="none" w:color="auto"/>
                    </w:rPr>
                    <w:t>在设备周边设围栏</w:t>
                  </w:r>
                  <w:r>
                    <w:rPr>
                      <w:rFonts w:hint="default" w:ascii="Times New Roman" w:hAnsi="Times New Roman" w:eastAsia="宋体" w:cs="Times New Roman"/>
                      <w:color w:val="auto"/>
                      <w:kern w:val="0"/>
                      <w:sz w:val="21"/>
                      <w:szCs w:val="21"/>
                      <w:u w:val="none" w:color="auto"/>
                      <w:lang w:eastAsia="zh-CN"/>
                    </w:rPr>
                    <w:t>，</w:t>
                  </w:r>
                  <w:r>
                    <w:rPr>
                      <w:rFonts w:hint="default" w:ascii="Times New Roman" w:hAnsi="Times New Roman" w:eastAsia="宋体" w:cs="Times New Roman"/>
                      <w:color w:val="auto"/>
                      <w:kern w:val="0"/>
                      <w:sz w:val="21"/>
                      <w:szCs w:val="21"/>
                      <w:u w:val="none" w:color="auto"/>
                    </w:rPr>
                    <w:t>高1.8m</w:t>
                  </w:r>
                  <w:r>
                    <w:rPr>
                      <w:rFonts w:hint="default" w:ascii="Times New Roman" w:hAnsi="Times New Roman" w:eastAsia="宋体" w:cs="Times New Roman"/>
                      <w:color w:val="auto"/>
                      <w:kern w:val="0"/>
                      <w:sz w:val="21"/>
                      <w:szCs w:val="21"/>
                      <w:u w:val="none" w:color="auto"/>
                      <w:lang w:eastAsia="zh-CN"/>
                    </w:rPr>
                    <w:t>，</w:t>
                  </w:r>
                  <w:r>
                    <w:rPr>
                      <w:rFonts w:hint="default" w:ascii="Times New Roman" w:hAnsi="Times New Roman" w:eastAsia="宋体" w:cs="Times New Roman"/>
                      <w:color w:val="auto"/>
                      <w:kern w:val="0"/>
                      <w:sz w:val="21"/>
                      <w:szCs w:val="21"/>
                      <w:u w:val="none" w:color="auto"/>
                    </w:rPr>
                    <w:t>地面采用不发火面层。</w:t>
                  </w:r>
                </w:p>
              </w:tc>
            </w:tr>
            <w:tr w14:paraId="3B29265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75" w:type="pct"/>
                  <w:vMerge w:val="continue"/>
                  <w:noWrap w:val="0"/>
                  <w:vAlign w:val="center"/>
                </w:tcPr>
                <w:p w14:paraId="16AC8315">
                  <w:pPr>
                    <w:keepNext w:val="0"/>
                    <w:keepLines w:val="0"/>
                    <w:pageBreakBefore w:val="0"/>
                    <w:widowControl/>
                    <w:kinsoku/>
                    <w:wordWrap/>
                    <w:overflowPunct/>
                    <w:topLinePunct w:val="0"/>
                    <w:bidi w:val="0"/>
                    <w:adjustRightInd/>
                    <w:snapToGrid/>
                    <w:spacing w:after="0" w:line="240" w:lineRule="auto"/>
                    <w:jc w:val="left"/>
                    <w:textAlignment w:val="auto"/>
                    <w:rPr>
                      <w:rFonts w:hint="default" w:ascii="Times New Roman" w:hAnsi="Times New Roman" w:eastAsia="宋体" w:cs="Times New Roman"/>
                      <w:color w:val="auto"/>
                      <w:sz w:val="21"/>
                      <w:szCs w:val="21"/>
                      <w:u w:val="none" w:color="auto"/>
                    </w:rPr>
                  </w:pPr>
                </w:p>
              </w:tc>
              <w:tc>
                <w:tcPr>
                  <w:tcW w:w="893" w:type="pct"/>
                  <w:vMerge w:val="restart"/>
                  <w:noWrap w:val="0"/>
                  <w:vAlign w:val="center"/>
                </w:tcPr>
                <w:p w14:paraId="0E3E7387">
                  <w:pPr>
                    <w:keepNext w:val="0"/>
                    <w:keepLines w:val="0"/>
                    <w:pageBreakBefore w:val="0"/>
                    <w:kinsoku/>
                    <w:wordWrap/>
                    <w:overflowPunct/>
                    <w:topLinePunct w:val="0"/>
                    <w:bidi w:val="0"/>
                    <w:adjustRightInd/>
                    <w:snapToGrid/>
                    <w:spacing w:after="0" w:line="240" w:lineRule="auto"/>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排水</w:t>
                  </w:r>
                </w:p>
              </w:tc>
              <w:tc>
                <w:tcPr>
                  <w:tcW w:w="3431" w:type="pct"/>
                  <w:noWrap w:val="0"/>
                  <w:vAlign w:val="center"/>
                </w:tcPr>
                <w:p w14:paraId="247F831E">
                  <w:pPr>
                    <w:keepNext w:val="0"/>
                    <w:keepLines w:val="0"/>
                    <w:pageBreakBefore w:val="0"/>
                    <w:kinsoku/>
                    <w:wordWrap/>
                    <w:overflowPunct/>
                    <w:topLinePunct w:val="0"/>
                    <w:bidi w:val="0"/>
                    <w:adjustRightInd/>
                    <w:snapToGrid/>
                    <w:spacing w:after="0" w:line="240" w:lineRule="auto"/>
                    <w:jc w:val="left"/>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项目区内实行雨污分流</w:t>
                  </w: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lang w:val="en-US" w:eastAsia="zh-CN"/>
                    </w:rPr>
                    <w:t>污污分流制</w:t>
                  </w:r>
                  <w:r>
                    <w:rPr>
                      <w:rFonts w:hint="default" w:ascii="Times New Roman" w:hAnsi="Times New Roman" w:eastAsia="宋体" w:cs="Times New Roman"/>
                      <w:color w:val="auto"/>
                      <w:sz w:val="21"/>
                      <w:szCs w:val="21"/>
                      <w:u w:val="none" w:color="auto"/>
                    </w:rPr>
                    <w:t>。</w:t>
                  </w:r>
                </w:p>
                <w:p w14:paraId="7E53A168">
                  <w:pPr>
                    <w:keepNext w:val="0"/>
                    <w:keepLines w:val="0"/>
                    <w:pageBreakBefore w:val="0"/>
                    <w:kinsoku/>
                    <w:wordWrap/>
                    <w:overflowPunct/>
                    <w:topLinePunct w:val="0"/>
                    <w:bidi w:val="0"/>
                    <w:adjustRightInd/>
                    <w:snapToGrid/>
                    <w:spacing w:after="0" w:line="240" w:lineRule="auto"/>
                    <w:jc w:val="left"/>
                    <w:textAlignment w:val="auto"/>
                    <w:rPr>
                      <w:rFonts w:hint="default" w:ascii="Times New Roman" w:hAnsi="Times New Roman" w:eastAsia="宋体" w:cs="Times New Roman"/>
                      <w:color w:val="auto"/>
                      <w:sz w:val="21"/>
                      <w:szCs w:val="21"/>
                      <w:highlight w:val="yellow"/>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初期雨水经收集进入沉淀池，后期洁净雨水</w:t>
                  </w:r>
                  <w:r>
                    <w:rPr>
                      <w:rFonts w:hint="eastAsia" w:cs="Times New Roman"/>
                      <w:color w:val="auto"/>
                      <w:kern w:val="2"/>
                      <w:sz w:val="21"/>
                      <w:szCs w:val="21"/>
                      <w:highlight w:val="none"/>
                      <w:u w:val="none" w:color="auto"/>
                      <w:lang w:val="en-US" w:eastAsia="zh-CN" w:bidi="ar-SA"/>
                    </w:rPr>
                    <w:t>通过</w:t>
                  </w:r>
                  <w:r>
                    <w:rPr>
                      <w:rFonts w:hint="default" w:ascii="Times New Roman" w:hAnsi="Times New Roman" w:eastAsia="宋体" w:cs="Times New Roman"/>
                      <w:color w:val="auto"/>
                      <w:kern w:val="2"/>
                      <w:sz w:val="21"/>
                      <w:szCs w:val="21"/>
                      <w:highlight w:val="none"/>
                      <w:u w:val="none" w:color="auto"/>
                      <w:lang w:val="en-US" w:eastAsia="zh-CN" w:bidi="ar-SA"/>
                    </w:rPr>
                    <w:t>切换阀切换至市政雨水管网</w:t>
                  </w:r>
                  <w:r>
                    <w:rPr>
                      <w:rFonts w:hint="default" w:ascii="Times New Roman" w:hAnsi="Times New Roman" w:eastAsia="宋体" w:cs="Times New Roman"/>
                      <w:color w:val="auto"/>
                      <w:sz w:val="21"/>
                      <w:szCs w:val="21"/>
                      <w:u w:val="none" w:color="auto"/>
                      <w:lang w:eastAsia="zh-CN"/>
                    </w:rPr>
                    <w:t>。</w:t>
                  </w:r>
                </w:p>
              </w:tc>
            </w:tr>
            <w:tr w14:paraId="320D195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75" w:type="pct"/>
                  <w:vMerge w:val="continue"/>
                  <w:noWrap w:val="0"/>
                  <w:vAlign w:val="center"/>
                </w:tcPr>
                <w:p w14:paraId="62713874">
                  <w:pPr>
                    <w:keepNext w:val="0"/>
                    <w:keepLines w:val="0"/>
                    <w:pageBreakBefore w:val="0"/>
                    <w:widowControl/>
                    <w:kinsoku/>
                    <w:wordWrap/>
                    <w:overflowPunct/>
                    <w:topLinePunct w:val="0"/>
                    <w:bidi w:val="0"/>
                    <w:adjustRightInd/>
                    <w:snapToGrid/>
                    <w:spacing w:after="0" w:line="240" w:lineRule="auto"/>
                    <w:jc w:val="left"/>
                    <w:textAlignment w:val="auto"/>
                    <w:rPr>
                      <w:rFonts w:hint="default" w:ascii="Times New Roman" w:hAnsi="Times New Roman" w:eastAsia="宋体" w:cs="Times New Roman"/>
                      <w:color w:val="auto"/>
                      <w:sz w:val="21"/>
                      <w:szCs w:val="21"/>
                      <w:u w:val="none" w:color="auto"/>
                    </w:rPr>
                  </w:pPr>
                </w:p>
              </w:tc>
              <w:tc>
                <w:tcPr>
                  <w:tcW w:w="893" w:type="pct"/>
                  <w:vMerge w:val="continue"/>
                  <w:noWrap w:val="0"/>
                  <w:vAlign w:val="center"/>
                </w:tcPr>
                <w:p w14:paraId="46B1122C">
                  <w:pPr>
                    <w:keepNext w:val="0"/>
                    <w:keepLines w:val="0"/>
                    <w:pageBreakBefore w:val="0"/>
                    <w:kinsoku/>
                    <w:wordWrap/>
                    <w:overflowPunct/>
                    <w:topLinePunct w:val="0"/>
                    <w:bidi w:val="0"/>
                    <w:adjustRightInd/>
                    <w:snapToGrid/>
                    <w:spacing w:after="0" w:line="240" w:lineRule="auto"/>
                    <w:jc w:val="center"/>
                    <w:textAlignment w:val="auto"/>
                    <w:rPr>
                      <w:rFonts w:hint="default" w:ascii="Times New Roman" w:hAnsi="Times New Roman" w:eastAsia="宋体" w:cs="Times New Roman"/>
                      <w:color w:val="auto"/>
                      <w:sz w:val="21"/>
                      <w:szCs w:val="21"/>
                      <w:u w:val="none" w:color="auto"/>
                    </w:rPr>
                  </w:pPr>
                </w:p>
              </w:tc>
              <w:tc>
                <w:tcPr>
                  <w:tcW w:w="3431" w:type="pct"/>
                  <w:noWrap w:val="0"/>
                  <w:vAlign w:val="center"/>
                </w:tcPr>
                <w:p w14:paraId="454FA680">
                  <w:pPr>
                    <w:keepNext w:val="0"/>
                    <w:keepLines w:val="0"/>
                    <w:pageBreakBefore w:val="0"/>
                    <w:kinsoku/>
                    <w:wordWrap/>
                    <w:overflowPunct/>
                    <w:topLinePunct w:val="0"/>
                    <w:bidi w:val="0"/>
                    <w:adjustRightInd/>
                    <w:snapToGrid/>
                    <w:spacing w:after="0" w:line="240" w:lineRule="auto"/>
                    <w:jc w:val="left"/>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挤压车间喷淋装置废水经厂区污水管网排入TW001废水处理站预处理；</w:t>
                  </w:r>
                </w:p>
                <w:p w14:paraId="1EEBD353">
                  <w:pPr>
                    <w:keepNext w:val="0"/>
                    <w:keepLines w:val="0"/>
                    <w:pageBreakBefore w:val="0"/>
                    <w:kinsoku/>
                    <w:wordWrap/>
                    <w:overflowPunct/>
                    <w:topLinePunct w:val="0"/>
                    <w:bidi w:val="0"/>
                    <w:adjustRightInd/>
                    <w:snapToGrid/>
                    <w:spacing w:after="0" w:line="240" w:lineRule="auto"/>
                    <w:jc w:val="left"/>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项目生活污水、地面清洁废水、实验室废水（不含废液部分）等采用隔油池、化粪池收集进行预处理；</w:t>
                  </w:r>
                </w:p>
                <w:p w14:paraId="08184EC6">
                  <w:pPr>
                    <w:keepNext w:val="0"/>
                    <w:keepLines w:val="0"/>
                    <w:pageBreakBefore w:val="0"/>
                    <w:kinsoku/>
                    <w:wordWrap/>
                    <w:overflowPunct/>
                    <w:topLinePunct w:val="0"/>
                    <w:bidi w:val="0"/>
                    <w:adjustRightInd/>
                    <w:snapToGrid/>
                    <w:spacing w:after="0" w:line="240" w:lineRule="auto"/>
                    <w:jc w:val="left"/>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钣金车间水切割废水、铝合金熔铸车间、挤压车间、环锻车间直接冷却废水增加回用设置，对符合水质要求的导入浊循环再利用，反之则进入TW001废水处理；</w:t>
                  </w:r>
                </w:p>
                <w:p w14:paraId="2CC55A9C">
                  <w:pPr>
                    <w:keepNext w:val="0"/>
                    <w:keepLines w:val="0"/>
                    <w:pageBreakBefore w:val="0"/>
                    <w:kinsoku/>
                    <w:wordWrap/>
                    <w:overflowPunct/>
                    <w:topLinePunct w:val="0"/>
                    <w:bidi w:val="0"/>
                    <w:adjustRightInd/>
                    <w:snapToGrid/>
                    <w:spacing w:after="0" w:line="240" w:lineRule="auto"/>
                    <w:jc w:val="left"/>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废水经预处理达标后经DW001排入市政污水管网。</w:t>
                  </w:r>
                </w:p>
              </w:tc>
            </w:tr>
            <w:tr w14:paraId="53D2755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75" w:type="pct"/>
                  <w:vMerge w:val="continue"/>
                  <w:noWrap w:val="0"/>
                  <w:vAlign w:val="center"/>
                </w:tcPr>
                <w:p w14:paraId="5B2217CA">
                  <w:pPr>
                    <w:keepNext w:val="0"/>
                    <w:keepLines w:val="0"/>
                    <w:pageBreakBefore w:val="0"/>
                    <w:widowControl/>
                    <w:kinsoku/>
                    <w:wordWrap/>
                    <w:overflowPunct/>
                    <w:topLinePunct w:val="0"/>
                    <w:bidi w:val="0"/>
                    <w:adjustRightInd/>
                    <w:snapToGrid/>
                    <w:spacing w:after="0" w:line="240" w:lineRule="auto"/>
                    <w:jc w:val="left"/>
                    <w:textAlignment w:val="auto"/>
                    <w:rPr>
                      <w:rFonts w:hint="default" w:ascii="Times New Roman" w:hAnsi="Times New Roman" w:eastAsia="宋体" w:cs="Times New Roman"/>
                      <w:color w:val="auto"/>
                      <w:sz w:val="21"/>
                      <w:szCs w:val="21"/>
                      <w:u w:val="none" w:color="auto"/>
                    </w:rPr>
                  </w:pPr>
                </w:p>
              </w:tc>
              <w:tc>
                <w:tcPr>
                  <w:tcW w:w="893" w:type="pct"/>
                  <w:noWrap w:val="0"/>
                  <w:vAlign w:val="center"/>
                </w:tcPr>
                <w:p w14:paraId="421997CA">
                  <w:pPr>
                    <w:keepNext w:val="0"/>
                    <w:keepLines w:val="0"/>
                    <w:pageBreakBefore w:val="0"/>
                    <w:kinsoku/>
                    <w:wordWrap/>
                    <w:overflowPunct/>
                    <w:topLinePunct w:val="0"/>
                    <w:bidi w:val="0"/>
                    <w:adjustRightInd/>
                    <w:snapToGrid/>
                    <w:spacing w:after="0" w:line="240" w:lineRule="auto"/>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净循环水泵站、消防泵站</w:t>
                  </w:r>
                </w:p>
              </w:tc>
              <w:tc>
                <w:tcPr>
                  <w:tcW w:w="3431" w:type="pct"/>
                  <w:noWrap w:val="0"/>
                  <w:vAlign w:val="center"/>
                </w:tcPr>
                <w:p w14:paraId="13331CA6">
                  <w:pPr>
                    <w:keepNext w:val="0"/>
                    <w:keepLines w:val="0"/>
                    <w:pageBreakBefore w:val="0"/>
                    <w:kinsoku/>
                    <w:wordWrap/>
                    <w:overflowPunct/>
                    <w:topLinePunct w:val="0"/>
                    <w:bidi w:val="0"/>
                    <w:adjustRightInd/>
                    <w:snapToGrid/>
                    <w:spacing w:after="0" w:line="240" w:lineRule="auto"/>
                    <w:textAlignment w:val="auto"/>
                    <w:rPr>
                      <w:rFonts w:hint="default" w:ascii="Times New Roman" w:hAnsi="Times New Roman" w:eastAsia="宋体" w:cs="Times New Roman"/>
                      <w:color w:val="auto"/>
                      <w:sz w:val="21"/>
                      <w:szCs w:val="21"/>
                      <w:u w:val="none" w:color="auto"/>
                      <w:lang w:val="zh-CN"/>
                    </w:rPr>
                  </w:pPr>
                  <w:r>
                    <w:rPr>
                      <w:rFonts w:hint="default" w:ascii="Times New Roman" w:hAnsi="Times New Roman" w:eastAsia="宋体" w:cs="Times New Roman"/>
                      <w:color w:val="auto"/>
                      <w:sz w:val="21"/>
                      <w:szCs w:val="21"/>
                      <w:u w:val="none" w:color="auto"/>
                    </w:rPr>
                    <w:t>位于本项目东南角</w:t>
                  </w: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rPr>
                    <w:t>与空气压缩站相邻</w:t>
                  </w: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rPr>
                    <w:t>总建筑面积</w:t>
                  </w:r>
                  <w:r>
                    <w:rPr>
                      <w:rFonts w:hint="default" w:ascii="Times New Roman" w:hAnsi="Times New Roman" w:eastAsia="宋体" w:cs="Times New Roman"/>
                      <w:color w:val="auto"/>
                      <w:kern w:val="0"/>
                      <w:sz w:val="21"/>
                      <w:szCs w:val="21"/>
                      <w:u w:val="none" w:color="auto"/>
                    </w:rPr>
                    <w:t>827.72</w:t>
                  </w:r>
                  <w:r>
                    <w:rPr>
                      <w:rFonts w:hint="default" w:ascii="Times New Roman" w:hAnsi="Times New Roman" w:eastAsia="宋体" w:cs="Times New Roman"/>
                      <w:color w:val="auto"/>
                      <w:sz w:val="21"/>
                      <w:szCs w:val="21"/>
                      <w:u w:val="none" w:color="auto"/>
                    </w:rPr>
                    <w:t>m</w:t>
                  </w:r>
                  <w:r>
                    <w:rPr>
                      <w:rFonts w:hint="default" w:ascii="Times New Roman" w:hAnsi="Times New Roman" w:eastAsia="宋体" w:cs="Times New Roman"/>
                      <w:color w:val="auto"/>
                      <w:sz w:val="21"/>
                      <w:szCs w:val="21"/>
                      <w:u w:val="none" w:color="auto"/>
                      <w:vertAlign w:val="superscript"/>
                    </w:rPr>
                    <w:t>2</w:t>
                  </w: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lang w:val="zh-CN"/>
                    </w:rPr>
                    <w:t>一</w:t>
                  </w:r>
                  <w:r>
                    <w:rPr>
                      <w:rFonts w:hint="default" w:ascii="Times New Roman" w:hAnsi="Times New Roman" w:eastAsia="宋体" w:cs="Times New Roman"/>
                      <w:color w:val="auto"/>
                      <w:sz w:val="21"/>
                      <w:szCs w:val="21"/>
                      <w:u w:val="none" w:color="auto"/>
                    </w:rPr>
                    <w:t>层钢筋混凝土框架结构。</w:t>
                  </w:r>
                </w:p>
                <w:p w14:paraId="4BF26496">
                  <w:pPr>
                    <w:keepNext w:val="0"/>
                    <w:keepLines w:val="0"/>
                    <w:pageBreakBefore w:val="0"/>
                    <w:kinsoku/>
                    <w:wordWrap/>
                    <w:overflowPunct/>
                    <w:topLinePunct w:val="0"/>
                    <w:bidi w:val="0"/>
                    <w:adjustRightInd/>
                    <w:snapToGrid/>
                    <w:spacing w:after="0" w:line="240" w:lineRule="auto"/>
                    <w:textAlignment w:val="auto"/>
                    <w:rPr>
                      <w:rFonts w:hint="default" w:ascii="Times New Roman" w:hAnsi="Times New Roman" w:eastAsia="宋体" w:cs="Times New Roman"/>
                      <w:color w:val="auto"/>
                      <w:sz w:val="21"/>
                      <w:szCs w:val="21"/>
                      <w:u w:val="none" w:color="auto"/>
                      <w:lang w:val="zh-CN"/>
                    </w:rPr>
                  </w:pPr>
                  <w:r>
                    <w:rPr>
                      <w:rFonts w:hint="default" w:ascii="Times New Roman" w:hAnsi="Times New Roman" w:eastAsia="宋体" w:cs="Times New Roman"/>
                      <w:color w:val="auto"/>
                      <w:sz w:val="21"/>
                      <w:szCs w:val="21"/>
                      <w:u w:val="none" w:color="auto"/>
                      <w:lang w:val="zh-CN"/>
                    </w:rPr>
                    <w:t>设有离子水站、消防泵站、低压配电室、干式变压器室、值班室、净循环水泵站等。</w:t>
                  </w:r>
                </w:p>
                <w:p w14:paraId="686064C3">
                  <w:pPr>
                    <w:keepNext w:val="0"/>
                    <w:keepLines w:val="0"/>
                    <w:pageBreakBefore w:val="0"/>
                    <w:kinsoku/>
                    <w:wordWrap/>
                    <w:overflowPunct/>
                    <w:topLinePunct w:val="0"/>
                    <w:bidi w:val="0"/>
                    <w:adjustRightInd/>
                    <w:snapToGrid/>
                    <w:spacing w:after="0" w:line="240" w:lineRule="auto"/>
                    <w:textAlignment w:val="auto"/>
                    <w:rPr>
                      <w:rFonts w:hint="default" w:ascii="Times New Roman" w:hAnsi="Times New Roman" w:eastAsia="宋体" w:cs="Times New Roman"/>
                      <w:color w:val="auto"/>
                      <w:sz w:val="21"/>
                      <w:szCs w:val="21"/>
                      <w:u w:val="none" w:color="auto"/>
                      <w:lang w:val="en-US" w:eastAsia="zh-CN" w:bidi="ar-SA"/>
                    </w:rPr>
                  </w:pPr>
                  <w:r>
                    <w:rPr>
                      <w:rFonts w:hint="default" w:ascii="Times New Roman" w:hAnsi="Times New Roman" w:eastAsia="宋体" w:cs="Times New Roman"/>
                      <w:color w:val="auto"/>
                      <w:sz w:val="21"/>
                      <w:szCs w:val="21"/>
                      <w:u w:val="none" w:color="auto"/>
                      <w:lang w:val="zh-CN"/>
                    </w:rPr>
                    <w:t>室外设置地上消防水池、净循环冷水池，地下净循环热水池。</w:t>
                  </w:r>
                </w:p>
              </w:tc>
            </w:tr>
            <w:tr w14:paraId="12C8654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75" w:type="pct"/>
                  <w:vMerge w:val="continue"/>
                  <w:noWrap w:val="0"/>
                  <w:vAlign w:val="center"/>
                </w:tcPr>
                <w:p w14:paraId="682CBDF1">
                  <w:pPr>
                    <w:keepNext w:val="0"/>
                    <w:keepLines w:val="0"/>
                    <w:pageBreakBefore w:val="0"/>
                    <w:widowControl/>
                    <w:kinsoku/>
                    <w:wordWrap/>
                    <w:overflowPunct/>
                    <w:topLinePunct w:val="0"/>
                    <w:bidi w:val="0"/>
                    <w:adjustRightInd/>
                    <w:snapToGrid/>
                    <w:spacing w:after="0" w:line="240" w:lineRule="auto"/>
                    <w:jc w:val="left"/>
                    <w:textAlignment w:val="auto"/>
                    <w:rPr>
                      <w:rFonts w:hint="default" w:ascii="Times New Roman" w:hAnsi="Times New Roman" w:eastAsia="宋体" w:cs="Times New Roman"/>
                      <w:color w:val="auto"/>
                      <w:sz w:val="21"/>
                      <w:szCs w:val="21"/>
                      <w:u w:val="none" w:color="auto"/>
                    </w:rPr>
                  </w:pPr>
                </w:p>
              </w:tc>
              <w:tc>
                <w:tcPr>
                  <w:tcW w:w="893" w:type="pct"/>
                  <w:noWrap w:val="0"/>
                  <w:vAlign w:val="center"/>
                </w:tcPr>
                <w:p w14:paraId="2080FDBF">
                  <w:pPr>
                    <w:keepNext w:val="0"/>
                    <w:keepLines w:val="0"/>
                    <w:pageBreakBefore w:val="0"/>
                    <w:kinsoku/>
                    <w:wordWrap/>
                    <w:overflowPunct/>
                    <w:topLinePunct w:val="0"/>
                    <w:bidi w:val="0"/>
                    <w:adjustRightInd/>
                    <w:snapToGrid/>
                    <w:spacing w:after="0" w:line="240" w:lineRule="auto"/>
                    <w:jc w:val="center"/>
                    <w:textAlignment w:val="auto"/>
                    <w:rPr>
                      <w:rFonts w:hint="default" w:ascii="Times New Roman" w:hAnsi="Times New Roman" w:eastAsia="宋体" w:cs="Times New Roman"/>
                      <w:color w:val="auto"/>
                      <w:sz w:val="21"/>
                      <w:szCs w:val="21"/>
                      <w:u w:val="none" w:color="auto"/>
                      <w:lang w:eastAsia="zh-CN"/>
                    </w:rPr>
                  </w:pPr>
                  <w:r>
                    <w:rPr>
                      <w:rFonts w:hint="default" w:ascii="Times New Roman" w:hAnsi="Times New Roman" w:eastAsia="宋体" w:cs="Times New Roman"/>
                      <w:color w:val="auto"/>
                      <w:sz w:val="21"/>
                      <w:szCs w:val="21"/>
                      <w:u w:val="none" w:color="auto"/>
                      <w:lang w:eastAsia="zh-CN"/>
                    </w:rPr>
                    <w:t>去离子水系统</w:t>
                  </w:r>
                </w:p>
              </w:tc>
              <w:tc>
                <w:tcPr>
                  <w:tcW w:w="3431" w:type="pct"/>
                  <w:noWrap w:val="0"/>
                  <w:vAlign w:val="center"/>
                </w:tcPr>
                <w:p w14:paraId="11428F4B">
                  <w:pPr>
                    <w:keepNext w:val="0"/>
                    <w:keepLines w:val="0"/>
                    <w:pageBreakBefore w:val="0"/>
                    <w:kinsoku/>
                    <w:wordWrap/>
                    <w:overflowPunct/>
                    <w:topLinePunct w:val="0"/>
                    <w:bidi w:val="0"/>
                    <w:adjustRightInd/>
                    <w:snapToGrid/>
                    <w:spacing w:after="0" w:line="240" w:lineRule="auto"/>
                    <w:textAlignment w:val="auto"/>
                    <w:rPr>
                      <w:rFonts w:hint="default" w:ascii="Times New Roman" w:hAnsi="Times New Roman" w:eastAsia="宋体" w:cs="Times New Roman"/>
                      <w:color w:val="auto"/>
                      <w:sz w:val="21"/>
                      <w:szCs w:val="21"/>
                      <w:u w:val="none" w:color="auto"/>
                      <w:lang w:val="zh-CN" w:eastAsia="zh-CN" w:bidi="ar-SA"/>
                    </w:rPr>
                  </w:pPr>
                  <w:r>
                    <w:rPr>
                      <w:rFonts w:hint="default" w:ascii="Times New Roman" w:hAnsi="Times New Roman" w:eastAsia="宋体" w:cs="Times New Roman"/>
                      <w:color w:val="auto"/>
                      <w:sz w:val="21"/>
                      <w:szCs w:val="21"/>
                      <w:u w:val="none" w:color="auto"/>
                      <w:lang w:val="zh-CN"/>
                    </w:rPr>
                    <w:t>与净循环水泵站、消防泵站合建，接入华能电厂去离子管网</w:t>
                  </w:r>
                </w:p>
              </w:tc>
            </w:tr>
            <w:tr w14:paraId="5282E08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75" w:type="pct"/>
                  <w:vMerge w:val="continue"/>
                  <w:noWrap w:val="0"/>
                  <w:vAlign w:val="center"/>
                </w:tcPr>
                <w:p w14:paraId="6E8FD695">
                  <w:pPr>
                    <w:keepNext w:val="0"/>
                    <w:keepLines w:val="0"/>
                    <w:pageBreakBefore w:val="0"/>
                    <w:widowControl/>
                    <w:kinsoku/>
                    <w:wordWrap/>
                    <w:overflowPunct/>
                    <w:topLinePunct w:val="0"/>
                    <w:bidi w:val="0"/>
                    <w:adjustRightInd/>
                    <w:snapToGrid/>
                    <w:spacing w:after="0" w:line="240" w:lineRule="auto"/>
                    <w:jc w:val="left"/>
                    <w:textAlignment w:val="auto"/>
                    <w:rPr>
                      <w:rFonts w:hint="default" w:ascii="Times New Roman" w:hAnsi="Times New Roman" w:eastAsia="宋体" w:cs="Times New Roman"/>
                      <w:color w:val="auto"/>
                      <w:sz w:val="21"/>
                      <w:szCs w:val="21"/>
                      <w:u w:val="none" w:color="auto"/>
                    </w:rPr>
                  </w:pPr>
                </w:p>
              </w:tc>
              <w:tc>
                <w:tcPr>
                  <w:tcW w:w="893" w:type="pct"/>
                  <w:noWrap w:val="0"/>
                  <w:vAlign w:val="center"/>
                </w:tcPr>
                <w:p w14:paraId="77FA7BE0">
                  <w:pPr>
                    <w:keepNext w:val="0"/>
                    <w:keepLines w:val="0"/>
                    <w:pageBreakBefore w:val="0"/>
                    <w:kinsoku/>
                    <w:wordWrap/>
                    <w:overflowPunct/>
                    <w:topLinePunct w:val="0"/>
                    <w:bidi w:val="0"/>
                    <w:adjustRightInd/>
                    <w:snapToGrid/>
                    <w:spacing w:after="0" w:line="240" w:lineRule="auto"/>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浊循环水泵站</w:t>
                  </w:r>
                </w:p>
              </w:tc>
              <w:tc>
                <w:tcPr>
                  <w:tcW w:w="3431" w:type="pct"/>
                  <w:noWrap w:val="0"/>
                  <w:vAlign w:val="center"/>
                </w:tcPr>
                <w:p w14:paraId="4478EAF9">
                  <w:pPr>
                    <w:keepNext w:val="0"/>
                    <w:keepLines w:val="0"/>
                    <w:pageBreakBefore w:val="0"/>
                    <w:kinsoku/>
                    <w:wordWrap/>
                    <w:overflowPunct/>
                    <w:topLinePunct w:val="0"/>
                    <w:bidi w:val="0"/>
                    <w:adjustRightInd/>
                    <w:snapToGrid/>
                    <w:spacing w:after="0" w:line="240" w:lineRule="auto"/>
                    <w:jc w:val="left"/>
                    <w:textAlignment w:val="auto"/>
                    <w:rPr>
                      <w:rFonts w:hint="default" w:ascii="Times New Roman" w:hAnsi="Times New Roman" w:eastAsia="宋体" w:cs="Times New Roman"/>
                      <w:color w:val="auto"/>
                      <w:sz w:val="21"/>
                      <w:szCs w:val="21"/>
                      <w:u w:val="none" w:color="auto"/>
                      <w:lang w:val="zh-CN"/>
                    </w:rPr>
                  </w:pPr>
                  <w:r>
                    <w:rPr>
                      <w:rFonts w:hint="default" w:ascii="Times New Roman" w:hAnsi="Times New Roman" w:eastAsia="宋体" w:cs="Times New Roman"/>
                      <w:color w:val="auto"/>
                      <w:sz w:val="21"/>
                      <w:szCs w:val="21"/>
                      <w:u w:val="none" w:color="auto"/>
                    </w:rPr>
                    <w:t>位于本项目东南角</w:t>
                  </w: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rPr>
                    <w:t>与净循环水泵站相邻</w:t>
                  </w: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rPr>
                    <w:t>总建筑面积</w:t>
                  </w:r>
                  <w:r>
                    <w:rPr>
                      <w:rFonts w:hint="default" w:ascii="Times New Roman" w:hAnsi="Times New Roman" w:eastAsia="宋体" w:cs="Times New Roman"/>
                      <w:color w:val="auto"/>
                      <w:kern w:val="0"/>
                      <w:sz w:val="21"/>
                      <w:szCs w:val="21"/>
                      <w:u w:val="none" w:color="auto"/>
                    </w:rPr>
                    <w:t>554.22</w:t>
                  </w:r>
                  <w:r>
                    <w:rPr>
                      <w:rFonts w:hint="default" w:ascii="Times New Roman" w:hAnsi="Times New Roman" w:eastAsia="宋体" w:cs="Times New Roman"/>
                      <w:color w:val="auto"/>
                      <w:sz w:val="21"/>
                      <w:szCs w:val="21"/>
                      <w:u w:val="none" w:color="auto"/>
                    </w:rPr>
                    <w:t>m</w:t>
                  </w:r>
                  <w:r>
                    <w:rPr>
                      <w:rFonts w:hint="default" w:ascii="Times New Roman" w:hAnsi="Times New Roman" w:eastAsia="宋体" w:cs="Times New Roman"/>
                      <w:color w:val="auto"/>
                      <w:sz w:val="21"/>
                      <w:szCs w:val="21"/>
                      <w:u w:val="none" w:color="auto"/>
                      <w:vertAlign w:val="superscript"/>
                    </w:rPr>
                    <w:t>2</w:t>
                  </w: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lang w:val="zh-CN"/>
                    </w:rPr>
                    <w:t>一</w:t>
                  </w:r>
                  <w:r>
                    <w:rPr>
                      <w:rFonts w:hint="default" w:ascii="Times New Roman" w:hAnsi="Times New Roman" w:eastAsia="宋体" w:cs="Times New Roman"/>
                      <w:color w:val="auto"/>
                      <w:sz w:val="21"/>
                      <w:szCs w:val="21"/>
                      <w:u w:val="none" w:color="auto"/>
                    </w:rPr>
                    <w:t>层钢筋混凝土框架结构。</w:t>
                  </w:r>
                </w:p>
                <w:p w14:paraId="314E45C8">
                  <w:pPr>
                    <w:keepNext w:val="0"/>
                    <w:keepLines w:val="0"/>
                    <w:pageBreakBefore w:val="0"/>
                    <w:kinsoku/>
                    <w:wordWrap/>
                    <w:overflowPunct/>
                    <w:topLinePunct w:val="0"/>
                    <w:bidi w:val="0"/>
                    <w:adjustRightInd/>
                    <w:snapToGrid/>
                    <w:spacing w:after="0" w:line="240" w:lineRule="auto"/>
                    <w:jc w:val="left"/>
                    <w:textAlignment w:val="auto"/>
                    <w:rPr>
                      <w:rFonts w:hint="default" w:ascii="Times New Roman" w:hAnsi="Times New Roman" w:eastAsia="宋体" w:cs="Times New Roman"/>
                      <w:color w:val="auto"/>
                      <w:sz w:val="21"/>
                      <w:szCs w:val="21"/>
                      <w:u w:val="none" w:color="auto"/>
                      <w:lang w:val="en-US" w:eastAsia="zh-CN" w:bidi="ar-SA"/>
                    </w:rPr>
                  </w:pPr>
                  <w:r>
                    <w:rPr>
                      <w:rFonts w:hint="default" w:ascii="Times New Roman" w:hAnsi="Times New Roman" w:eastAsia="宋体" w:cs="Times New Roman"/>
                      <w:color w:val="auto"/>
                      <w:kern w:val="0"/>
                      <w:sz w:val="21"/>
                      <w:szCs w:val="21"/>
                      <w:u w:val="none" w:color="auto"/>
                    </w:rPr>
                    <w:t>设有水处理间、水泵站、控制室、泵坑等。室外设置地上浊循环冷水池、地下浊循环热水池。</w:t>
                  </w:r>
                </w:p>
              </w:tc>
            </w:tr>
            <w:tr w14:paraId="45E6E86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75" w:type="pct"/>
                  <w:vMerge w:val="continue"/>
                  <w:noWrap w:val="0"/>
                  <w:vAlign w:val="center"/>
                </w:tcPr>
                <w:p w14:paraId="17025753">
                  <w:pPr>
                    <w:keepNext w:val="0"/>
                    <w:keepLines w:val="0"/>
                    <w:pageBreakBefore w:val="0"/>
                    <w:widowControl/>
                    <w:kinsoku/>
                    <w:wordWrap/>
                    <w:overflowPunct/>
                    <w:topLinePunct w:val="0"/>
                    <w:bidi w:val="0"/>
                    <w:adjustRightInd/>
                    <w:snapToGrid/>
                    <w:spacing w:after="0" w:line="240" w:lineRule="auto"/>
                    <w:jc w:val="left"/>
                    <w:textAlignment w:val="auto"/>
                    <w:rPr>
                      <w:rFonts w:hint="default" w:ascii="Times New Roman" w:hAnsi="Times New Roman" w:eastAsia="宋体" w:cs="Times New Roman"/>
                      <w:color w:val="auto"/>
                      <w:sz w:val="21"/>
                      <w:szCs w:val="21"/>
                      <w:u w:val="none" w:color="auto"/>
                    </w:rPr>
                  </w:pPr>
                </w:p>
              </w:tc>
              <w:tc>
                <w:tcPr>
                  <w:tcW w:w="893" w:type="pct"/>
                  <w:noWrap w:val="0"/>
                  <w:vAlign w:val="center"/>
                </w:tcPr>
                <w:p w14:paraId="25F99394">
                  <w:pPr>
                    <w:keepNext w:val="0"/>
                    <w:keepLines w:val="0"/>
                    <w:pageBreakBefore w:val="0"/>
                    <w:kinsoku/>
                    <w:wordWrap/>
                    <w:overflowPunct/>
                    <w:topLinePunct w:val="0"/>
                    <w:bidi w:val="0"/>
                    <w:adjustRightInd/>
                    <w:snapToGrid/>
                    <w:spacing w:after="0" w:line="240" w:lineRule="auto"/>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停车位</w:t>
                  </w:r>
                </w:p>
              </w:tc>
              <w:tc>
                <w:tcPr>
                  <w:tcW w:w="3431" w:type="pct"/>
                  <w:noWrap w:val="0"/>
                  <w:vAlign w:val="center"/>
                </w:tcPr>
                <w:p w14:paraId="40039B65">
                  <w:pPr>
                    <w:keepNext w:val="0"/>
                    <w:keepLines w:val="0"/>
                    <w:pageBreakBefore w:val="0"/>
                    <w:kinsoku/>
                    <w:wordWrap/>
                    <w:overflowPunct/>
                    <w:topLinePunct w:val="0"/>
                    <w:bidi w:val="0"/>
                    <w:adjustRightInd/>
                    <w:snapToGrid/>
                    <w:spacing w:after="0" w:line="240" w:lineRule="auto"/>
                    <w:jc w:val="left"/>
                    <w:textAlignment w:val="auto"/>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color w:val="auto"/>
                      <w:kern w:val="0"/>
                      <w:sz w:val="21"/>
                      <w:szCs w:val="21"/>
                      <w:u w:val="none" w:color="auto"/>
                    </w:rPr>
                    <w:t>项目设有生产用车停车位、员工车位。</w:t>
                  </w:r>
                </w:p>
                <w:p w14:paraId="316151D4">
                  <w:pPr>
                    <w:keepNext w:val="0"/>
                    <w:keepLines w:val="0"/>
                    <w:pageBreakBefore w:val="0"/>
                    <w:kinsoku/>
                    <w:wordWrap/>
                    <w:overflowPunct/>
                    <w:topLinePunct w:val="0"/>
                    <w:bidi w:val="0"/>
                    <w:adjustRightInd/>
                    <w:snapToGrid/>
                    <w:spacing w:after="0" w:line="240" w:lineRule="auto"/>
                    <w:jc w:val="left"/>
                    <w:textAlignment w:val="auto"/>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color w:val="auto"/>
                      <w:kern w:val="0"/>
                      <w:sz w:val="21"/>
                      <w:szCs w:val="21"/>
                      <w:u w:val="none" w:color="auto"/>
                    </w:rPr>
                    <w:t>生产用车停车位：设置于项目东侧</w:t>
                  </w:r>
                  <w:r>
                    <w:rPr>
                      <w:rFonts w:hint="default" w:ascii="Times New Roman" w:hAnsi="Times New Roman" w:eastAsia="宋体" w:cs="Times New Roman"/>
                      <w:color w:val="auto"/>
                      <w:kern w:val="0"/>
                      <w:sz w:val="21"/>
                      <w:szCs w:val="21"/>
                      <w:u w:val="none" w:color="auto"/>
                      <w:lang w:eastAsia="zh-CN"/>
                    </w:rPr>
                    <w:t>，</w:t>
                  </w:r>
                  <w:r>
                    <w:rPr>
                      <w:rFonts w:hint="default" w:ascii="Times New Roman" w:hAnsi="Times New Roman" w:eastAsia="宋体" w:cs="Times New Roman"/>
                      <w:color w:val="auto"/>
                      <w:kern w:val="0"/>
                      <w:sz w:val="21"/>
                      <w:szCs w:val="21"/>
                      <w:u w:val="none" w:color="auto"/>
                    </w:rPr>
                    <w:t>东侧货运大门的北部区域</w:t>
                  </w:r>
                  <w:r>
                    <w:rPr>
                      <w:rFonts w:hint="default" w:ascii="Times New Roman" w:hAnsi="Times New Roman" w:eastAsia="宋体" w:cs="Times New Roman"/>
                      <w:color w:val="auto"/>
                      <w:kern w:val="0"/>
                      <w:sz w:val="21"/>
                      <w:szCs w:val="21"/>
                      <w:u w:val="none" w:color="auto"/>
                      <w:lang w:eastAsia="zh-CN"/>
                    </w:rPr>
                    <w:t>，</w:t>
                  </w:r>
                  <w:r>
                    <w:rPr>
                      <w:rFonts w:hint="default" w:ascii="Times New Roman" w:hAnsi="Times New Roman" w:eastAsia="宋体" w:cs="Times New Roman"/>
                      <w:color w:val="auto"/>
                      <w:kern w:val="0"/>
                      <w:sz w:val="21"/>
                      <w:szCs w:val="21"/>
                      <w:u w:val="none" w:color="auto"/>
                    </w:rPr>
                    <w:t>占地面积约为3026</w:t>
                  </w:r>
                  <w:r>
                    <w:rPr>
                      <w:rFonts w:hint="default" w:ascii="Times New Roman" w:hAnsi="Times New Roman" w:eastAsia="宋体" w:cs="Times New Roman"/>
                      <w:color w:val="auto"/>
                      <w:sz w:val="21"/>
                      <w:szCs w:val="21"/>
                      <w:u w:val="none" w:color="auto"/>
                    </w:rPr>
                    <w:t>m</w:t>
                  </w:r>
                  <w:r>
                    <w:rPr>
                      <w:rFonts w:hint="default" w:ascii="Times New Roman" w:hAnsi="Times New Roman" w:eastAsia="宋体" w:cs="Times New Roman"/>
                      <w:color w:val="auto"/>
                      <w:sz w:val="21"/>
                      <w:szCs w:val="21"/>
                      <w:u w:val="none" w:color="auto"/>
                      <w:vertAlign w:val="superscript"/>
                    </w:rPr>
                    <w:t>2</w:t>
                  </w:r>
                  <w:r>
                    <w:rPr>
                      <w:rFonts w:hint="default" w:ascii="Times New Roman" w:hAnsi="Times New Roman" w:eastAsia="宋体" w:cs="Times New Roman"/>
                      <w:color w:val="auto"/>
                      <w:kern w:val="0"/>
                      <w:sz w:val="21"/>
                      <w:szCs w:val="21"/>
                      <w:u w:val="none" w:color="auto"/>
                    </w:rPr>
                    <w:t>（8.5m*356m）。</w:t>
                  </w:r>
                </w:p>
                <w:p w14:paraId="0253A55C">
                  <w:pPr>
                    <w:keepNext w:val="0"/>
                    <w:keepLines w:val="0"/>
                    <w:pageBreakBefore w:val="0"/>
                    <w:kinsoku/>
                    <w:wordWrap/>
                    <w:overflowPunct/>
                    <w:topLinePunct w:val="0"/>
                    <w:bidi w:val="0"/>
                    <w:adjustRightInd/>
                    <w:snapToGrid/>
                    <w:spacing w:after="0" w:line="240" w:lineRule="auto"/>
                    <w:jc w:val="left"/>
                    <w:textAlignment w:val="auto"/>
                    <w:rPr>
                      <w:rFonts w:hint="default" w:ascii="Times New Roman" w:hAnsi="Times New Roman" w:eastAsia="宋体" w:cs="Times New Roman"/>
                      <w:color w:val="auto"/>
                      <w:kern w:val="0"/>
                      <w:sz w:val="21"/>
                      <w:szCs w:val="21"/>
                      <w:u w:val="none" w:color="auto"/>
                      <w:lang w:val="en-US" w:eastAsia="zh-CN" w:bidi="ar-SA"/>
                    </w:rPr>
                  </w:pPr>
                  <w:r>
                    <w:rPr>
                      <w:rFonts w:hint="default" w:ascii="Times New Roman" w:hAnsi="Times New Roman" w:eastAsia="宋体" w:cs="Times New Roman"/>
                      <w:color w:val="auto"/>
                      <w:kern w:val="0"/>
                      <w:sz w:val="21"/>
                      <w:szCs w:val="21"/>
                      <w:u w:val="none" w:color="auto"/>
                    </w:rPr>
                    <w:t>员工车位：设置于项目西侧</w:t>
                  </w:r>
                  <w:r>
                    <w:rPr>
                      <w:rFonts w:hint="default" w:ascii="Times New Roman" w:hAnsi="Times New Roman" w:eastAsia="宋体" w:cs="Times New Roman"/>
                      <w:color w:val="auto"/>
                      <w:kern w:val="0"/>
                      <w:sz w:val="21"/>
                      <w:szCs w:val="21"/>
                      <w:u w:val="none" w:color="auto"/>
                      <w:lang w:eastAsia="zh-CN"/>
                    </w:rPr>
                    <w:t>，</w:t>
                  </w:r>
                  <w:r>
                    <w:rPr>
                      <w:rFonts w:hint="default" w:ascii="Times New Roman" w:hAnsi="Times New Roman" w:eastAsia="宋体" w:cs="Times New Roman"/>
                      <w:color w:val="auto"/>
                      <w:kern w:val="0"/>
                      <w:sz w:val="21"/>
                      <w:szCs w:val="21"/>
                      <w:u w:val="none" w:color="auto"/>
                    </w:rPr>
                    <w:t>西侧货运大门的北部区域</w:t>
                  </w:r>
                  <w:r>
                    <w:rPr>
                      <w:rFonts w:hint="default" w:ascii="Times New Roman" w:hAnsi="Times New Roman" w:eastAsia="宋体" w:cs="Times New Roman"/>
                      <w:color w:val="auto"/>
                      <w:kern w:val="0"/>
                      <w:sz w:val="21"/>
                      <w:szCs w:val="21"/>
                      <w:u w:val="none" w:color="auto"/>
                      <w:lang w:eastAsia="zh-CN"/>
                    </w:rPr>
                    <w:t>，</w:t>
                  </w:r>
                  <w:r>
                    <w:rPr>
                      <w:rFonts w:hint="default" w:ascii="Times New Roman" w:hAnsi="Times New Roman" w:eastAsia="宋体" w:cs="Times New Roman"/>
                      <w:color w:val="auto"/>
                      <w:kern w:val="0"/>
                      <w:sz w:val="21"/>
                      <w:szCs w:val="21"/>
                      <w:u w:val="none" w:color="auto"/>
                    </w:rPr>
                    <w:t>占地面积约为2126.6</w:t>
                  </w:r>
                  <w:r>
                    <w:rPr>
                      <w:rFonts w:hint="default" w:ascii="Times New Roman" w:hAnsi="Times New Roman" w:eastAsia="宋体" w:cs="Times New Roman"/>
                      <w:color w:val="auto"/>
                      <w:sz w:val="21"/>
                      <w:szCs w:val="21"/>
                      <w:u w:val="none" w:color="auto"/>
                    </w:rPr>
                    <w:t>m</w:t>
                  </w:r>
                  <w:r>
                    <w:rPr>
                      <w:rFonts w:hint="default" w:ascii="Times New Roman" w:hAnsi="Times New Roman" w:eastAsia="宋体" w:cs="Times New Roman"/>
                      <w:color w:val="auto"/>
                      <w:sz w:val="21"/>
                      <w:szCs w:val="21"/>
                      <w:u w:val="none" w:color="auto"/>
                      <w:vertAlign w:val="superscript"/>
                    </w:rPr>
                    <w:t>2</w:t>
                  </w:r>
                  <w:r>
                    <w:rPr>
                      <w:rFonts w:hint="default" w:ascii="Times New Roman" w:hAnsi="Times New Roman" w:eastAsia="宋体" w:cs="Times New Roman"/>
                      <w:color w:val="auto"/>
                      <w:kern w:val="0"/>
                      <w:sz w:val="21"/>
                      <w:szCs w:val="21"/>
                      <w:u w:val="none" w:color="auto"/>
                    </w:rPr>
                    <w:t>（6.2m*295m+6.2m*48m）。</w:t>
                  </w:r>
                </w:p>
              </w:tc>
            </w:tr>
            <w:tr w14:paraId="698A154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75" w:type="pct"/>
                  <w:vMerge w:val="restart"/>
                  <w:noWrap w:val="0"/>
                  <w:vAlign w:val="center"/>
                </w:tcPr>
                <w:p w14:paraId="3AE03226">
                  <w:pPr>
                    <w:keepNext w:val="0"/>
                    <w:keepLines w:val="0"/>
                    <w:pageBreakBefore w:val="0"/>
                    <w:widowControl/>
                    <w:kinsoku/>
                    <w:wordWrap/>
                    <w:overflowPunct/>
                    <w:topLinePunct w:val="0"/>
                    <w:bidi w:val="0"/>
                    <w:adjustRightInd/>
                    <w:snapToGrid/>
                    <w:spacing w:after="0" w:line="240" w:lineRule="auto"/>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储运工程</w:t>
                  </w:r>
                </w:p>
              </w:tc>
              <w:tc>
                <w:tcPr>
                  <w:tcW w:w="893" w:type="pct"/>
                  <w:noWrap w:val="0"/>
                  <w:vAlign w:val="center"/>
                </w:tcPr>
                <w:p w14:paraId="206D4B0D">
                  <w:pPr>
                    <w:keepNext w:val="0"/>
                    <w:keepLines w:val="0"/>
                    <w:pageBreakBefore w:val="0"/>
                    <w:kinsoku/>
                    <w:wordWrap/>
                    <w:overflowPunct/>
                    <w:topLinePunct w:val="0"/>
                    <w:bidi w:val="0"/>
                    <w:adjustRightInd/>
                    <w:snapToGrid/>
                    <w:spacing w:after="0" w:line="240" w:lineRule="auto"/>
                    <w:jc w:val="center"/>
                    <w:textAlignment w:val="auto"/>
                    <w:rPr>
                      <w:rFonts w:hint="default" w:ascii="Times New Roman" w:hAnsi="Times New Roman" w:eastAsia="宋体" w:cs="Times New Roman"/>
                      <w:bCs/>
                      <w:color w:val="auto"/>
                      <w:sz w:val="21"/>
                      <w:szCs w:val="21"/>
                      <w:u w:val="none" w:color="auto"/>
                      <w:lang w:eastAsia="zh-CN"/>
                    </w:rPr>
                  </w:pPr>
                  <w:r>
                    <w:rPr>
                      <w:rFonts w:hint="default" w:ascii="Times New Roman" w:hAnsi="Times New Roman" w:eastAsia="宋体" w:cs="Times New Roman"/>
                      <w:bCs/>
                      <w:color w:val="auto"/>
                      <w:sz w:val="21"/>
                      <w:szCs w:val="21"/>
                      <w:u w:val="none" w:color="auto"/>
                    </w:rPr>
                    <w:t>原料库</w:t>
                  </w:r>
                </w:p>
              </w:tc>
              <w:tc>
                <w:tcPr>
                  <w:tcW w:w="3431" w:type="pct"/>
                  <w:noWrap w:val="0"/>
                  <w:vAlign w:val="center"/>
                </w:tcPr>
                <w:p w14:paraId="59F223E9">
                  <w:pPr>
                    <w:keepNext w:val="0"/>
                    <w:keepLines w:val="0"/>
                    <w:pageBreakBefore w:val="0"/>
                    <w:kinsoku/>
                    <w:wordWrap/>
                    <w:overflowPunct/>
                    <w:topLinePunct w:val="0"/>
                    <w:bidi w:val="0"/>
                    <w:adjustRightInd/>
                    <w:snapToGrid/>
                    <w:spacing w:after="0" w:line="240" w:lineRule="auto"/>
                    <w:textAlignment w:val="auto"/>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color w:val="auto"/>
                      <w:kern w:val="0"/>
                      <w:sz w:val="21"/>
                      <w:szCs w:val="21"/>
                      <w:u w:val="none" w:color="auto"/>
                    </w:rPr>
                    <w:t>位于项目西南部</w:t>
                  </w:r>
                  <w:r>
                    <w:rPr>
                      <w:rFonts w:hint="default" w:ascii="Times New Roman" w:hAnsi="Times New Roman" w:eastAsia="宋体" w:cs="Times New Roman"/>
                      <w:color w:val="auto"/>
                      <w:kern w:val="0"/>
                      <w:sz w:val="21"/>
                      <w:szCs w:val="21"/>
                      <w:u w:val="none" w:color="auto"/>
                      <w:lang w:eastAsia="zh-CN"/>
                    </w:rPr>
                    <w:t>，</w:t>
                  </w:r>
                  <w:r>
                    <w:rPr>
                      <w:rFonts w:hint="default" w:ascii="Times New Roman" w:hAnsi="Times New Roman" w:eastAsia="宋体" w:cs="Times New Roman"/>
                      <w:color w:val="auto"/>
                      <w:kern w:val="0"/>
                      <w:sz w:val="21"/>
                      <w:szCs w:val="21"/>
                      <w:u w:val="none" w:color="auto"/>
                    </w:rPr>
                    <w:t>在成品库南侧</w:t>
                  </w:r>
                  <w:r>
                    <w:rPr>
                      <w:rFonts w:hint="default" w:ascii="Times New Roman" w:hAnsi="Times New Roman" w:eastAsia="宋体" w:cs="Times New Roman"/>
                      <w:color w:val="auto"/>
                      <w:kern w:val="0"/>
                      <w:sz w:val="21"/>
                      <w:szCs w:val="21"/>
                      <w:u w:val="none" w:color="auto"/>
                      <w:lang w:eastAsia="zh-CN"/>
                    </w:rPr>
                    <w:t>，</w:t>
                  </w:r>
                  <w:r>
                    <w:rPr>
                      <w:rFonts w:hint="default" w:ascii="Times New Roman" w:hAnsi="Times New Roman" w:eastAsia="宋体" w:cs="Times New Roman"/>
                      <w:color w:val="auto"/>
                      <w:kern w:val="0"/>
                      <w:sz w:val="21"/>
                      <w:szCs w:val="21"/>
                      <w:u w:val="none" w:color="auto"/>
                    </w:rPr>
                    <w:t>长135m</w:t>
                  </w:r>
                  <w:r>
                    <w:rPr>
                      <w:rFonts w:hint="default" w:ascii="Times New Roman" w:hAnsi="Times New Roman" w:eastAsia="宋体" w:cs="Times New Roman"/>
                      <w:color w:val="auto"/>
                      <w:kern w:val="0"/>
                      <w:sz w:val="21"/>
                      <w:szCs w:val="21"/>
                      <w:u w:val="none" w:color="auto"/>
                      <w:lang w:eastAsia="zh-CN"/>
                    </w:rPr>
                    <w:t>，</w:t>
                  </w:r>
                  <w:r>
                    <w:rPr>
                      <w:rFonts w:hint="default" w:ascii="Times New Roman" w:hAnsi="Times New Roman" w:eastAsia="宋体" w:cs="Times New Roman"/>
                      <w:color w:val="auto"/>
                      <w:kern w:val="0"/>
                      <w:sz w:val="21"/>
                      <w:szCs w:val="21"/>
                      <w:u w:val="none" w:color="auto"/>
                    </w:rPr>
                    <w:t>宽66m</w:t>
                  </w:r>
                  <w:r>
                    <w:rPr>
                      <w:rFonts w:hint="default" w:ascii="Times New Roman" w:hAnsi="Times New Roman" w:eastAsia="宋体" w:cs="Times New Roman"/>
                      <w:color w:val="auto"/>
                      <w:kern w:val="0"/>
                      <w:sz w:val="21"/>
                      <w:szCs w:val="21"/>
                      <w:u w:val="none" w:color="auto"/>
                      <w:lang w:eastAsia="zh-CN"/>
                    </w:rPr>
                    <w:t>，</w:t>
                  </w:r>
                  <w:r>
                    <w:rPr>
                      <w:rFonts w:hint="default" w:ascii="Times New Roman" w:hAnsi="Times New Roman" w:eastAsia="宋体" w:cs="Times New Roman"/>
                      <w:color w:val="auto"/>
                      <w:sz w:val="21"/>
                      <w:szCs w:val="21"/>
                      <w:u w:val="none" w:color="auto"/>
                      <w:lang w:eastAsia="zh-CN" w:bidi="ar-SA"/>
                    </w:rPr>
                    <w:t>高度</w:t>
                  </w:r>
                  <w:r>
                    <w:rPr>
                      <w:rFonts w:hint="default" w:ascii="Times New Roman" w:hAnsi="Times New Roman" w:eastAsia="宋体" w:cs="Times New Roman"/>
                      <w:color w:val="auto"/>
                      <w:sz w:val="21"/>
                      <w:szCs w:val="21"/>
                      <w:u w:val="none" w:color="auto"/>
                      <w:lang w:val="en-US" w:eastAsia="zh-CN" w:bidi="ar-SA"/>
                    </w:rPr>
                    <w:t>8~10.15m（采用双面斜坡式屋面）</w:t>
                  </w:r>
                  <w:r>
                    <w:rPr>
                      <w:rFonts w:hint="default" w:ascii="Times New Roman" w:hAnsi="Times New Roman" w:eastAsia="宋体" w:cs="Times New Roman"/>
                      <w:color w:val="auto"/>
                      <w:sz w:val="21"/>
                      <w:szCs w:val="21"/>
                      <w:u w:val="none" w:color="auto"/>
                      <w:lang w:eastAsia="zh-CN" w:bidi="ar-SA"/>
                    </w:rPr>
                    <w:t>，</w:t>
                  </w:r>
                  <w:r>
                    <w:rPr>
                      <w:rFonts w:hint="default" w:ascii="Times New Roman" w:hAnsi="Times New Roman" w:eastAsia="宋体" w:cs="Times New Roman"/>
                      <w:color w:val="auto"/>
                      <w:sz w:val="21"/>
                      <w:szCs w:val="21"/>
                      <w:u w:val="none" w:color="auto"/>
                    </w:rPr>
                    <w:t>总建筑面积9006.71m</w:t>
                  </w:r>
                  <w:r>
                    <w:rPr>
                      <w:rFonts w:hint="default" w:ascii="Times New Roman" w:hAnsi="Times New Roman" w:eastAsia="宋体" w:cs="Times New Roman"/>
                      <w:color w:val="auto"/>
                      <w:sz w:val="21"/>
                      <w:szCs w:val="21"/>
                      <w:u w:val="none" w:color="auto"/>
                      <w:vertAlign w:val="superscript"/>
                    </w:rPr>
                    <w:t>2</w:t>
                  </w: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kern w:val="0"/>
                      <w:sz w:val="21"/>
                      <w:szCs w:val="21"/>
                      <w:u w:val="none" w:color="auto"/>
                    </w:rPr>
                    <w:t>为单层钢结构（钢柱、钢梁、彩钢板围护）。</w:t>
                  </w:r>
                </w:p>
                <w:p w14:paraId="6B47D285">
                  <w:pPr>
                    <w:keepNext w:val="0"/>
                    <w:keepLines w:val="0"/>
                    <w:pageBreakBefore w:val="0"/>
                    <w:kinsoku/>
                    <w:wordWrap/>
                    <w:overflowPunct/>
                    <w:topLinePunct w:val="0"/>
                    <w:bidi w:val="0"/>
                    <w:adjustRightInd/>
                    <w:snapToGrid/>
                    <w:spacing w:after="0" w:line="240" w:lineRule="auto"/>
                    <w:textAlignment w:val="auto"/>
                    <w:rPr>
                      <w:rFonts w:hint="default" w:ascii="Times New Roman" w:hAnsi="Times New Roman" w:eastAsia="宋体" w:cs="Times New Roman"/>
                      <w:color w:val="auto"/>
                      <w:sz w:val="21"/>
                      <w:szCs w:val="21"/>
                      <w:u w:val="none" w:color="auto"/>
                      <w:lang w:val="en-US" w:eastAsia="zh-CN" w:bidi="ar-SA"/>
                    </w:rPr>
                  </w:pPr>
                  <w:r>
                    <w:rPr>
                      <w:rFonts w:hint="default" w:ascii="Times New Roman" w:hAnsi="Times New Roman" w:eastAsia="宋体" w:cs="Times New Roman"/>
                      <w:color w:val="auto"/>
                      <w:sz w:val="21"/>
                      <w:szCs w:val="21"/>
                      <w:u w:val="none" w:color="auto"/>
                    </w:rPr>
                    <w:t>主要用于贮存项目生产原料</w:t>
                  </w: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rPr>
                    <w:t>厂房内配套有单梁桥式起重机</w:t>
                  </w: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rPr>
                    <w:t>设计</w:t>
                  </w:r>
                  <w:r>
                    <w:rPr>
                      <w:rFonts w:hint="default" w:ascii="Times New Roman" w:hAnsi="Times New Roman" w:eastAsia="宋体" w:cs="Times New Roman"/>
                      <w:color w:val="auto"/>
                      <w:sz w:val="21"/>
                      <w:szCs w:val="21"/>
                      <w:u w:val="none" w:color="auto"/>
                      <w:lang w:val="en-US" w:eastAsia="zh-CN"/>
                    </w:rPr>
                    <w:t>总</w:t>
                  </w:r>
                  <w:r>
                    <w:rPr>
                      <w:rFonts w:hint="default" w:ascii="Times New Roman" w:hAnsi="Times New Roman" w:eastAsia="宋体" w:cs="Times New Roman"/>
                      <w:color w:val="auto"/>
                      <w:sz w:val="21"/>
                      <w:szCs w:val="21"/>
                      <w:u w:val="none" w:color="auto"/>
                    </w:rPr>
                    <w:t>储量为15000t</w:t>
                  </w: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lang w:val="en-US" w:eastAsia="zh-CN"/>
                    </w:rPr>
                    <w:t>铝锂铸锭边角料贮存量按6000t计</w:t>
                  </w: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rPr>
                    <w:t>。</w:t>
                  </w:r>
                </w:p>
              </w:tc>
            </w:tr>
            <w:tr w14:paraId="6D9C092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75" w:type="pct"/>
                  <w:vMerge w:val="continue"/>
                  <w:noWrap w:val="0"/>
                  <w:vAlign w:val="center"/>
                </w:tcPr>
                <w:p w14:paraId="4EF8DB27">
                  <w:pPr>
                    <w:keepNext w:val="0"/>
                    <w:keepLines w:val="0"/>
                    <w:pageBreakBefore w:val="0"/>
                    <w:widowControl/>
                    <w:kinsoku/>
                    <w:wordWrap/>
                    <w:overflowPunct/>
                    <w:topLinePunct w:val="0"/>
                    <w:bidi w:val="0"/>
                    <w:adjustRightInd/>
                    <w:snapToGrid/>
                    <w:spacing w:after="0" w:line="240" w:lineRule="auto"/>
                    <w:jc w:val="left"/>
                    <w:textAlignment w:val="auto"/>
                    <w:rPr>
                      <w:rFonts w:hint="default" w:ascii="Times New Roman" w:hAnsi="Times New Roman" w:eastAsia="宋体" w:cs="Times New Roman"/>
                      <w:color w:val="auto"/>
                      <w:sz w:val="21"/>
                      <w:szCs w:val="21"/>
                      <w:u w:val="none" w:color="auto"/>
                    </w:rPr>
                  </w:pPr>
                </w:p>
              </w:tc>
              <w:tc>
                <w:tcPr>
                  <w:tcW w:w="893" w:type="pct"/>
                  <w:noWrap w:val="0"/>
                  <w:vAlign w:val="center"/>
                </w:tcPr>
                <w:p w14:paraId="6CA62023">
                  <w:pPr>
                    <w:keepNext w:val="0"/>
                    <w:keepLines w:val="0"/>
                    <w:pageBreakBefore w:val="0"/>
                    <w:kinsoku/>
                    <w:wordWrap/>
                    <w:overflowPunct/>
                    <w:topLinePunct w:val="0"/>
                    <w:bidi w:val="0"/>
                    <w:adjustRightInd/>
                    <w:snapToGrid/>
                    <w:spacing w:after="0" w:line="240" w:lineRule="auto"/>
                    <w:jc w:val="center"/>
                    <w:textAlignment w:val="auto"/>
                    <w:rPr>
                      <w:rFonts w:hint="default" w:ascii="Times New Roman" w:hAnsi="Times New Roman" w:eastAsia="宋体" w:cs="Times New Roman"/>
                      <w:bCs/>
                      <w:color w:val="auto"/>
                      <w:sz w:val="21"/>
                      <w:szCs w:val="21"/>
                      <w:u w:val="none" w:color="auto"/>
                    </w:rPr>
                  </w:pPr>
                  <w:r>
                    <w:rPr>
                      <w:rFonts w:hint="default" w:ascii="Times New Roman" w:hAnsi="Times New Roman" w:eastAsia="宋体" w:cs="Times New Roman"/>
                      <w:bCs/>
                      <w:color w:val="auto"/>
                      <w:sz w:val="21"/>
                      <w:szCs w:val="21"/>
                      <w:u w:val="none" w:color="auto"/>
                    </w:rPr>
                    <w:t>成品库</w:t>
                  </w:r>
                </w:p>
              </w:tc>
              <w:tc>
                <w:tcPr>
                  <w:tcW w:w="3431" w:type="pct"/>
                  <w:noWrap w:val="0"/>
                  <w:vAlign w:val="center"/>
                </w:tcPr>
                <w:p w14:paraId="330D03E1">
                  <w:pPr>
                    <w:keepNext w:val="0"/>
                    <w:keepLines w:val="0"/>
                    <w:pageBreakBefore w:val="0"/>
                    <w:kinsoku/>
                    <w:wordWrap/>
                    <w:overflowPunct/>
                    <w:topLinePunct w:val="0"/>
                    <w:bidi w:val="0"/>
                    <w:adjustRightInd/>
                    <w:snapToGrid/>
                    <w:spacing w:after="0" w:line="240" w:lineRule="auto"/>
                    <w:textAlignment w:val="auto"/>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color w:val="auto"/>
                      <w:kern w:val="0"/>
                      <w:sz w:val="21"/>
                      <w:szCs w:val="21"/>
                      <w:u w:val="none" w:color="auto"/>
                    </w:rPr>
                    <w:t>位于项目西侧</w:t>
                  </w:r>
                  <w:r>
                    <w:rPr>
                      <w:rFonts w:hint="default" w:ascii="Times New Roman" w:hAnsi="Times New Roman" w:eastAsia="宋体" w:cs="Times New Roman"/>
                      <w:color w:val="auto"/>
                      <w:kern w:val="0"/>
                      <w:sz w:val="21"/>
                      <w:szCs w:val="21"/>
                      <w:u w:val="none" w:color="auto"/>
                      <w:lang w:eastAsia="zh-CN"/>
                    </w:rPr>
                    <w:t>，</w:t>
                  </w:r>
                  <w:r>
                    <w:rPr>
                      <w:rFonts w:hint="default" w:ascii="Times New Roman" w:hAnsi="Times New Roman" w:eastAsia="宋体" w:cs="Times New Roman"/>
                      <w:color w:val="auto"/>
                      <w:kern w:val="0"/>
                      <w:sz w:val="21"/>
                      <w:szCs w:val="21"/>
                      <w:u w:val="none" w:color="auto"/>
                    </w:rPr>
                    <w:t>在铝合金熔铸车间西侧</w:t>
                  </w:r>
                  <w:r>
                    <w:rPr>
                      <w:rFonts w:hint="default" w:ascii="Times New Roman" w:hAnsi="Times New Roman" w:eastAsia="宋体" w:cs="Times New Roman"/>
                      <w:color w:val="auto"/>
                      <w:kern w:val="0"/>
                      <w:sz w:val="21"/>
                      <w:szCs w:val="21"/>
                      <w:u w:val="none" w:color="auto"/>
                      <w:lang w:eastAsia="zh-CN"/>
                    </w:rPr>
                    <w:t>，</w:t>
                  </w:r>
                  <w:r>
                    <w:rPr>
                      <w:rFonts w:hint="default" w:ascii="Times New Roman" w:hAnsi="Times New Roman" w:eastAsia="宋体" w:cs="Times New Roman"/>
                      <w:color w:val="auto"/>
                      <w:kern w:val="0"/>
                      <w:sz w:val="21"/>
                      <w:szCs w:val="21"/>
                      <w:u w:val="none" w:color="auto"/>
                    </w:rPr>
                    <w:t>长171m</w:t>
                  </w:r>
                  <w:r>
                    <w:rPr>
                      <w:rFonts w:hint="default" w:ascii="Times New Roman" w:hAnsi="Times New Roman" w:eastAsia="宋体" w:cs="Times New Roman"/>
                      <w:color w:val="auto"/>
                      <w:kern w:val="0"/>
                      <w:sz w:val="21"/>
                      <w:szCs w:val="21"/>
                      <w:u w:val="none" w:color="auto"/>
                      <w:lang w:eastAsia="zh-CN"/>
                    </w:rPr>
                    <w:t>，</w:t>
                  </w:r>
                  <w:r>
                    <w:rPr>
                      <w:rFonts w:hint="default" w:ascii="Times New Roman" w:hAnsi="Times New Roman" w:eastAsia="宋体" w:cs="Times New Roman"/>
                      <w:color w:val="auto"/>
                      <w:kern w:val="0"/>
                      <w:sz w:val="21"/>
                      <w:szCs w:val="21"/>
                      <w:u w:val="none" w:color="auto"/>
                    </w:rPr>
                    <w:t>宽66m</w:t>
                  </w:r>
                  <w:r>
                    <w:rPr>
                      <w:rFonts w:hint="default" w:ascii="Times New Roman" w:hAnsi="Times New Roman" w:eastAsia="宋体" w:cs="Times New Roman"/>
                      <w:color w:val="auto"/>
                      <w:kern w:val="0"/>
                      <w:sz w:val="21"/>
                      <w:szCs w:val="21"/>
                      <w:u w:val="none" w:color="auto"/>
                      <w:lang w:eastAsia="zh-CN"/>
                    </w:rPr>
                    <w:t>，</w:t>
                  </w:r>
                  <w:r>
                    <w:rPr>
                      <w:rFonts w:hint="default" w:ascii="Times New Roman" w:hAnsi="Times New Roman" w:eastAsia="宋体" w:cs="Times New Roman"/>
                      <w:color w:val="auto"/>
                      <w:sz w:val="21"/>
                      <w:szCs w:val="21"/>
                      <w:u w:val="none" w:color="auto"/>
                      <w:lang w:eastAsia="zh-CN" w:bidi="ar-SA"/>
                    </w:rPr>
                    <w:t>高度</w:t>
                  </w:r>
                  <w:r>
                    <w:rPr>
                      <w:rFonts w:hint="default" w:ascii="Times New Roman" w:hAnsi="Times New Roman" w:eastAsia="宋体" w:cs="Times New Roman"/>
                      <w:color w:val="auto"/>
                      <w:sz w:val="21"/>
                      <w:szCs w:val="21"/>
                      <w:u w:val="none" w:color="auto"/>
                      <w:lang w:val="en-US" w:eastAsia="zh-CN" w:bidi="ar-SA"/>
                    </w:rPr>
                    <w:t>8~10.15m（采用双面斜坡式屋面）</w:t>
                  </w:r>
                  <w:r>
                    <w:rPr>
                      <w:rFonts w:hint="default" w:ascii="Times New Roman" w:hAnsi="Times New Roman" w:eastAsia="宋体" w:cs="Times New Roman"/>
                      <w:color w:val="auto"/>
                      <w:sz w:val="21"/>
                      <w:szCs w:val="21"/>
                      <w:u w:val="none" w:color="auto"/>
                      <w:lang w:eastAsia="zh-CN" w:bidi="ar-SA"/>
                    </w:rPr>
                    <w:t>，</w:t>
                  </w:r>
                  <w:r>
                    <w:rPr>
                      <w:rFonts w:hint="default" w:ascii="Times New Roman" w:hAnsi="Times New Roman" w:eastAsia="宋体" w:cs="Times New Roman"/>
                      <w:color w:val="auto"/>
                      <w:sz w:val="21"/>
                      <w:szCs w:val="21"/>
                      <w:u w:val="none" w:color="auto"/>
                    </w:rPr>
                    <w:t>总建筑面积11399.99m</w:t>
                  </w:r>
                  <w:r>
                    <w:rPr>
                      <w:rFonts w:hint="default" w:ascii="Times New Roman" w:hAnsi="Times New Roman" w:eastAsia="宋体" w:cs="Times New Roman"/>
                      <w:color w:val="auto"/>
                      <w:sz w:val="21"/>
                      <w:szCs w:val="21"/>
                      <w:u w:val="none" w:color="auto"/>
                      <w:vertAlign w:val="superscript"/>
                    </w:rPr>
                    <w:t>2</w:t>
                  </w: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kern w:val="0"/>
                      <w:sz w:val="21"/>
                      <w:szCs w:val="21"/>
                      <w:u w:val="none" w:color="auto"/>
                    </w:rPr>
                    <w:t>为单层钢结构（钢柱、钢梁、彩钢板围护）。</w:t>
                  </w:r>
                </w:p>
                <w:p w14:paraId="5F18E056">
                  <w:pPr>
                    <w:keepNext w:val="0"/>
                    <w:keepLines w:val="0"/>
                    <w:pageBreakBefore w:val="0"/>
                    <w:kinsoku/>
                    <w:wordWrap/>
                    <w:overflowPunct/>
                    <w:topLinePunct w:val="0"/>
                    <w:bidi w:val="0"/>
                    <w:adjustRightInd/>
                    <w:snapToGrid/>
                    <w:spacing w:after="0" w:line="240" w:lineRule="auto"/>
                    <w:textAlignment w:val="auto"/>
                    <w:rPr>
                      <w:rFonts w:hint="default" w:ascii="Times New Roman" w:hAnsi="Times New Roman" w:eastAsia="宋体" w:cs="Times New Roman"/>
                      <w:color w:val="auto"/>
                      <w:sz w:val="21"/>
                      <w:szCs w:val="21"/>
                      <w:u w:val="none" w:color="auto"/>
                      <w:lang w:val="en-US" w:eastAsia="zh-CN" w:bidi="ar-SA"/>
                    </w:rPr>
                  </w:pPr>
                  <w:r>
                    <w:rPr>
                      <w:rFonts w:hint="default" w:ascii="Times New Roman" w:hAnsi="Times New Roman" w:eastAsia="宋体" w:cs="Times New Roman"/>
                      <w:color w:val="auto"/>
                      <w:sz w:val="21"/>
                      <w:szCs w:val="21"/>
                      <w:u w:val="none" w:color="auto"/>
                    </w:rPr>
                    <w:t>主要用于贮存成品</w:t>
                  </w: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rPr>
                    <w:t>但不贮存中间产品（即铝合金熔铸车间生产的铝合金铸锭）</w:t>
                  </w: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rPr>
                    <w:t>厂房内配套有单梁桥式起重机</w:t>
                  </w: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rPr>
                    <w:t>设计储量为25000t。</w:t>
                  </w:r>
                </w:p>
              </w:tc>
            </w:tr>
            <w:tr w14:paraId="0BA97AF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75" w:type="pct"/>
                  <w:vMerge w:val="continue"/>
                  <w:noWrap w:val="0"/>
                  <w:vAlign w:val="center"/>
                </w:tcPr>
                <w:p w14:paraId="08312235">
                  <w:pPr>
                    <w:keepNext w:val="0"/>
                    <w:keepLines w:val="0"/>
                    <w:pageBreakBefore w:val="0"/>
                    <w:widowControl/>
                    <w:kinsoku/>
                    <w:wordWrap/>
                    <w:overflowPunct/>
                    <w:topLinePunct w:val="0"/>
                    <w:bidi w:val="0"/>
                    <w:adjustRightInd/>
                    <w:snapToGrid/>
                    <w:spacing w:after="0" w:line="240" w:lineRule="auto"/>
                    <w:jc w:val="left"/>
                    <w:textAlignment w:val="auto"/>
                    <w:rPr>
                      <w:rFonts w:hint="default" w:ascii="Times New Roman" w:hAnsi="Times New Roman" w:eastAsia="宋体" w:cs="Times New Roman"/>
                      <w:color w:val="auto"/>
                      <w:sz w:val="21"/>
                      <w:szCs w:val="21"/>
                      <w:u w:val="none" w:color="auto"/>
                    </w:rPr>
                  </w:pPr>
                </w:p>
              </w:tc>
              <w:tc>
                <w:tcPr>
                  <w:tcW w:w="893" w:type="pct"/>
                  <w:shd w:val="clear" w:color="auto" w:fill="auto"/>
                  <w:noWrap w:val="0"/>
                  <w:vAlign w:val="center"/>
                </w:tcPr>
                <w:p w14:paraId="5FC27046">
                  <w:pPr>
                    <w:keepNext w:val="0"/>
                    <w:keepLines w:val="0"/>
                    <w:pageBreakBefore w:val="0"/>
                    <w:kinsoku/>
                    <w:wordWrap/>
                    <w:overflowPunct/>
                    <w:topLinePunct w:val="0"/>
                    <w:bidi w:val="0"/>
                    <w:adjustRightInd/>
                    <w:snapToGrid/>
                    <w:spacing w:after="0" w:line="240" w:lineRule="auto"/>
                    <w:jc w:val="center"/>
                    <w:textAlignment w:val="auto"/>
                    <w:rPr>
                      <w:rFonts w:hint="default" w:ascii="Times New Roman" w:hAnsi="Times New Roman" w:eastAsia="宋体" w:cs="Times New Roman"/>
                      <w:bCs/>
                      <w:color w:val="auto"/>
                      <w:kern w:val="2"/>
                      <w:sz w:val="21"/>
                      <w:szCs w:val="21"/>
                      <w:u w:val="none" w:color="auto"/>
                      <w:lang w:val="en-US" w:eastAsia="zh-CN" w:bidi="ar-SA"/>
                    </w:rPr>
                  </w:pPr>
                  <w:r>
                    <w:rPr>
                      <w:rFonts w:hint="default" w:ascii="Times New Roman" w:hAnsi="Times New Roman" w:eastAsia="宋体" w:cs="Times New Roman"/>
                      <w:bCs/>
                      <w:color w:val="auto"/>
                      <w:sz w:val="21"/>
                      <w:szCs w:val="21"/>
                      <w:u w:val="none" w:color="auto"/>
                    </w:rPr>
                    <w:t>综合仓库</w:t>
                  </w:r>
                  <w:r>
                    <w:rPr>
                      <w:rFonts w:hint="default" w:ascii="Times New Roman" w:hAnsi="Times New Roman" w:eastAsia="宋体" w:cs="Times New Roman"/>
                      <w:bCs/>
                      <w:color w:val="auto"/>
                      <w:sz w:val="21"/>
                      <w:szCs w:val="21"/>
                      <w:u w:val="none" w:color="auto"/>
                      <w:lang w:val="en-US" w:eastAsia="zh-CN"/>
                    </w:rPr>
                    <w:t>-1</w:t>
                  </w:r>
                </w:p>
              </w:tc>
              <w:tc>
                <w:tcPr>
                  <w:tcW w:w="3431" w:type="pct"/>
                  <w:shd w:val="clear" w:color="auto" w:fill="auto"/>
                  <w:noWrap w:val="0"/>
                  <w:vAlign w:val="center"/>
                </w:tcPr>
                <w:p w14:paraId="2A2E3C99">
                  <w:pPr>
                    <w:keepNext w:val="0"/>
                    <w:keepLines w:val="0"/>
                    <w:pageBreakBefore w:val="0"/>
                    <w:kinsoku/>
                    <w:wordWrap/>
                    <w:overflowPunct/>
                    <w:topLinePunct w:val="0"/>
                    <w:bidi w:val="0"/>
                    <w:adjustRightInd/>
                    <w:snapToGrid/>
                    <w:spacing w:after="0" w:line="240" w:lineRule="auto"/>
                    <w:jc w:val="left"/>
                    <w:textAlignment w:val="auto"/>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color w:val="auto"/>
                      <w:sz w:val="21"/>
                      <w:szCs w:val="21"/>
                      <w:u w:val="none" w:color="auto"/>
                    </w:rPr>
                    <w:t>位于本项目东南部</w:t>
                  </w: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rPr>
                    <w:t>位于固废库西侧</w:t>
                  </w:r>
                  <w:r>
                    <w:rPr>
                      <w:rFonts w:hint="default" w:ascii="Times New Roman" w:hAnsi="Times New Roman" w:eastAsia="宋体" w:cs="Times New Roman"/>
                      <w:color w:val="auto"/>
                      <w:kern w:val="0"/>
                      <w:sz w:val="21"/>
                      <w:szCs w:val="21"/>
                      <w:u w:val="none" w:color="auto"/>
                      <w:lang w:eastAsia="zh-CN"/>
                    </w:rPr>
                    <w:t>，</w:t>
                  </w:r>
                  <w:r>
                    <w:rPr>
                      <w:rFonts w:hint="default" w:ascii="Times New Roman" w:hAnsi="Times New Roman" w:eastAsia="宋体" w:cs="Times New Roman"/>
                      <w:color w:val="auto"/>
                      <w:kern w:val="0"/>
                      <w:sz w:val="21"/>
                      <w:szCs w:val="21"/>
                      <w:u w:val="none" w:color="auto"/>
                    </w:rPr>
                    <w:t>长48m</w:t>
                  </w:r>
                  <w:r>
                    <w:rPr>
                      <w:rFonts w:hint="default" w:ascii="Times New Roman" w:hAnsi="Times New Roman" w:eastAsia="宋体" w:cs="Times New Roman"/>
                      <w:color w:val="auto"/>
                      <w:kern w:val="0"/>
                      <w:sz w:val="21"/>
                      <w:szCs w:val="21"/>
                      <w:u w:val="none" w:color="auto"/>
                      <w:lang w:eastAsia="zh-CN"/>
                    </w:rPr>
                    <w:t>，</w:t>
                  </w:r>
                  <w:r>
                    <w:rPr>
                      <w:rFonts w:hint="default" w:ascii="Times New Roman" w:hAnsi="Times New Roman" w:eastAsia="宋体" w:cs="Times New Roman"/>
                      <w:color w:val="auto"/>
                      <w:kern w:val="0"/>
                      <w:sz w:val="21"/>
                      <w:szCs w:val="21"/>
                      <w:u w:val="none" w:color="auto"/>
                    </w:rPr>
                    <w:t>宽36m</w:t>
                  </w:r>
                  <w:r>
                    <w:rPr>
                      <w:rFonts w:hint="default" w:ascii="Times New Roman" w:hAnsi="Times New Roman" w:eastAsia="宋体" w:cs="Times New Roman"/>
                      <w:color w:val="auto"/>
                      <w:kern w:val="0"/>
                      <w:sz w:val="21"/>
                      <w:szCs w:val="21"/>
                      <w:u w:val="none" w:color="auto"/>
                      <w:lang w:eastAsia="zh-CN"/>
                    </w:rPr>
                    <w:t>，</w:t>
                  </w:r>
                  <w:r>
                    <w:rPr>
                      <w:rFonts w:hint="default" w:ascii="Times New Roman" w:hAnsi="Times New Roman" w:eastAsia="宋体" w:cs="Times New Roman"/>
                      <w:color w:val="auto"/>
                      <w:sz w:val="21"/>
                      <w:szCs w:val="21"/>
                      <w:u w:val="none" w:color="auto"/>
                      <w:lang w:eastAsia="zh-CN" w:bidi="ar-SA"/>
                    </w:rPr>
                    <w:t>高度</w:t>
                  </w:r>
                  <w:r>
                    <w:rPr>
                      <w:rFonts w:hint="default" w:ascii="Times New Roman" w:hAnsi="Times New Roman" w:eastAsia="宋体" w:cs="Times New Roman"/>
                      <w:color w:val="auto"/>
                      <w:sz w:val="21"/>
                      <w:szCs w:val="21"/>
                      <w:u w:val="none" w:color="auto"/>
                      <w:lang w:val="en-US" w:eastAsia="zh-CN" w:bidi="ar-SA"/>
                    </w:rPr>
                    <w:t>6~7m（采用双面斜坡式屋面）</w:t>
                  </w:r>
                  <w:r>
                    <w:rPr>
                      <w:rFonts w:hint="default" w:ascii="Times New Roman" w:hAnsi="Times New Roman" w:eastAsia="宋体" w:cs="Times New Roman"/>
                      <w:color w:val="auto"/>
                      <w:sz w:val="21"/>
                      <w:szCs w:val="21"/>
                      <w:u w:val="none" w:color="auto"/>
                      <w:lang w:eastAsia="zh-CN" w:bidi="ar-SA"/>
                    </w:rPr>
                    <w:t>，</w:t>
                  </w:r>
                  <w:r>
                    <w:rPr>
                      <w:rFonts w:hint="default" w:ascii="Times New Roman" w:hAnsi="Times New Roman" w:eastAsia="宋体" w:cs="Times New Roman"/>
                      <w:color w:val="auto"/>
                      <w:sz w:val="21"/>
                      <w:szCs w:val="21"/>
                      <w:u w:val="none" w:color="auto"/>
                    </w:rPr>
                    <w:t>总建筑面积</w:t>
                  </w:r>
                  <w:r>
                    <w:rPr>
                      <w:rFonts w:hint="default" w:ascii="Times New Roman" w:hAnsi="Times New Roman" w:eastAsia="宋体" w:cs="Times New Roman"/>
                      <w:color w:val="auto"/>
                      <w:kern w:val="0"/>
                      <w:sz w:val="21"/>
                      <w:szCs w:val="21"/>
                      <w:u w:val="none" w:color="auto"/>
                    </w:rPr>
                    <w:t>1768.55m</w:t>
                  </w:r>
                  <w:r>
                    <w:rPr>
                      <w:rFonts w:hint="default" w:ascii="Times New Roman" w:hAnsi="Times New Roman" w:eastAsia="宋体" w:cs="Times New Roman"/>
                      <w:color w:val="auto"/>
                      <w:kern w:val="0"/>
                      <w:sz w:val="21"/>
                      <w:szCs w:val="21"/>
                      <w:u w:val="none" w:color="auto"/>
                      <w:vertAlign w:val="superscript"/>
                    </w:rPr>
                    <w:t>2</w:t>
                  </w: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kern w:val="0"/>
                      <w:sz w:val="21"/>
                      <w:szCs w:val="21"/>
                      <w:u w:val="none" w:color="auto"/>
                    </w:rPr>
                    <w:t>为单层钢结构（钢柱、钢梁、彩钢板围护）。</w:t>
                  </w:r>
                </w:p>
                <w:p w14:paraId="1AF60B83">
                  <w:pPr>
                    <w:keepNext w:val="0"/>
                    <w:keepLines w:val="0"/>
                    <w:pageBreakBefore w:val="0"/>
                    <w:kinsoku/>
                    <w:wordWrap/>
                    <w:overflowPunct/>
                    <w:topLinePunct w:val="0"/>
                    <w:bidi w:val="0"/>
                    <w:adjustRightInd/>
                    <w:snapToGrid/>
                    <w:spacing w:after="0" w:line="240" w:lineRule="auto"/>
                    <w:jc w:val="left"/>
                    <w:textAlignment w:val="auto"/>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主要用于贮存各类生产所用辅料</w:t>
                  </w: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rPr>
                    <w:t>仓库内配有</w:t>
                  </w:r>
                  <w:r>
                    <w:rPr>
                      <w:rFonts w:hint="default" w:ascii="Times New Roman" w:hAnsi="Times New Roman" w:eastAsia="宋体" w:cs="Times New Roman"/>
                      <w:color w:val="auto"/>
                      <w:kern w:val="0"/>
                      <w:sz w:val="21"/>
                      <w:szCs w:val="21"/>
                      <w:u w:val="none" w:color="auto"/>
                    </w:rPr>
                    <w:t>电动单梁桥式起重机</w:t>
                  </w:r>
                  <w:r>
                    <w:rPr>
                      <w:rFonts w:hint="default" w:ascii="Times New Roman" w:hAnsi="Times New Roman" w:eastAsia="宋体" w:cs="Times New Roman"/>
                      <w:color w:val="auto"/>
                      <w:kern w:val="0"/>
                      <w:sz w:val="21"/>
                      <w:szCs w:val="21"/>
                      <w:u w:val="none" w:color="auto"/>
                      <w:lang w:eastAsia="zh-CN"/>
                    </w:rPr>
                    <w:t>，</w:t>
                  </w:r>
                  <w:r>
                    <w:rPr>
                      <w:rFonts w:hint="default" w:ascii="Times New Roman" w:hAnsi="Times New Roman" w:eastAsia="宋体" w:cs="Times New Roman"/>
                      <w:color w:val="auto"/>
                      <w:sz w:val="21"/>
                      <w:szCs w:val="21"/>
                      <w:u w:val="none" w:color="auto"/>
                    </w:rPr>
                    <w:t>设计储量为3500t。</w:t>
                  </w:r>
                </w:p>
              </w:tc>
            </w:tr>
            <w:tr w14:paraId="38CBF6E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75" w:type="pct"/>
                  <w:vMerge w:val="continue"/>
                  <w:noWrap w:val="0"/>
                  <w:vAlign w:val="center"/>
                </w:tcPr>
                <w:p w14:paraId="2A02C79F">
                  <w:pPr>
                    <w:keepNext w:val="0"/>
                    <w:keepLines w:val="0"/>
                    <w:pageBreakBefore w:val="0"/>
                    <w:widowControl/>
                    <w:kinsoku/>
                    <w:wordWrap/>
                    <w:overflowPunct/>
                    <w:topLinePunct w:val="0"/>
                    <w:bidi w:val="0"/>
                    <w:adjustRightInd/>
                    <w:snapToGrid/>
                    <w:spacing w:after="0" w:line="240" w:lineRule="auto"/>
                    <w:jc w:val="left"/>
                    <w:textAlignment w:val="auto"/>
                    <w:rPr>
                      <w:rFonts w:hint="default" w:ascii="Times New Roman" w:hAnsi="Times New Roman" w:eastAsia="宋体" w:cs="Times New Roman"/>
                      <w:color w:val="auto"/>
                      <w:sz w:val="21"/>
                      <w:szCs w:val="21"/>
                      <w:u w:val="none" w:color="auto"/>
                    </w:rPr>
                  </w:pPr>
                </w:p>
              </w:tc>
              <w:tc>
                <w:tcPr>
                  <w:tcW w:w="893" w:type="pct"/>
                  <w:noWrap w:val="0"/>
                  <w:vAlign w:val="center"/>
                </w:tcPr>
                <w:p w14:paraId="49A76A67">
                  <w:pPr>
                    <w:keepNext w:val="0"/>
                    <w:keepLines w:val="0"/>
                    <w:pageBreakBefore w:val="0"/>
                    <w:kinsoku/>
                    <w:wordWrap/>
                    <w:overflowPunct/>
                    <w:topLinePunct w:val="0"/>
                    <w:bidi w:val="0"/>
                    <w:adjustRightInd/>
                    <w:snapToGrid/>
                    <w:spacing w:after="0" w:line="240" w:lineRule="auto"/>
                    <w:jc w:val="center"/>
                    <w:textAlignment w:val="auto"/>
                    <w:rPr>
                      <w:rFonts w:hint="default" w:ascii="Times New Roman" w:hAnsi="Times New Roman" w:eastAsia="宋体" w:cs="Times New Roman"/>
                      <w:bCs/>
                      <w:color w:val="auto"/>
                      <w:sz w:val="21"/>
                      <w:szCs w:val="21"/>
                      <w:u w:val="none" w:color="auto"/>
                      <w:lang w:val="en-US" w:eastAsia="zh-CN"/>
                    </w:rPr>
                  </w:pPr>
                  <w:r>
                    <w:rPr>
                      <w:rFonts w:hint="default" w:ascii="Times New Roman" w:hAnsi="Times New Roman" w:eastAsia="宋体" w:cs="Times New Roman"/>
                      <w:bCs/>
                      <w:color w:val="auto"/>
                      <w:sz w:val="21"/>
                      <w:szCs w:val="21"/>
                      <w:u w:val="none" w:color="auto"/>
                    </w:rPr>
                    <w:t>综合仓库</w:t>
                  </w:r>
                  <w:r>
                    <w:rPr>
                      <w:rFonts w:hint="default" w:ascii="Times New Roman" w:hAnsi="Times New Roman" w:eastAsia="宋体" w:cs="Times New Roman"/>
                      <w:bCs/>
                      <w:color w:val="auto"/>
                      <w:sz w:val="21"/>
                      <w:szCs w:val="21"/>
                      <w:u w:val="none" w:color="auto"/>
                      <w:lang w:val="en-US" w:eastAsia="zh-CN"/>
                    </w:rPr>
                    <w:t>-2</w:t>
                  </w:r>
                </w:p>
              </w:tc>
              <w:tc>
                <w:tcPr>
                  <w:tcW w:w="3431" w:type="pct"/>
                  <w:shd w:val="clear" w:color="auto" w:fill="auto"/>
                  <w:noWrap w:val="0"/>
                  <w:vAlign w:val="center"/>
                </w:tcPr>
                <w:p w14:paraId="38D2C0DA">
                  <w:pPr>
                    <w:keepNext w:val="0"/>
                    <w:keepLines w:val="0"/>
                    <w:pageBreakBefore w:val="0"/>
                    <w:kinsoku/>
                    <w:wordWrap/>
                    <w:overflowPunct/>
                    <w:topLinePunct w:val="0"/>
                    <w:bidi w:val="0"/>
                    <w:adjustRightInd/>
                    <w:snapToGrid/>
                    <w:spacing w:after="0" w:line="240" w:lineRule="auto"/>
                    <w:textAlignment w:val="auto"/>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color w:val="auto"/>
                      <w:kern w:val="0"/>
                      <w:sz w:val="21"/>
                      <w:szCs w:val="21"/>
                      <w:u w:val="none" w:color="auto"/>
                    </w:rPr>
                    <w:t>位于项目</w:t>
                  </w:r>
                  <w:r>
                    <w:rPr>
                      <w:rFonts w:hint="default" w:ascii="Times New Roman" w:hAnsi="Times New Roman" w:eastAsia="宋体" w:cs="Times New Roman"/>
                      <w:color w:val="auto"/>
                      <w:kern w:val="0"/>
                      <w:sz w:val="21"/>
                      <w:szCs w:val="21"/>
                      <w:u w:val="none" w:color="auto"/>
                      <w:lang w:val="en-US" w:eastAsia="zh-CN"/>
                    </w:rPr>
                    <w:t>南部</w:t>
                  </w:r>
                  <w:r>
                    <w:rPr>
                      <w:rFonts w:hint="default" w:ascii="Times New Roman" w:hAnsi="Times New Roman" w:eastAsia="宋体" w:cs="Times New Roman"/>
                      <w:color w:val="auto"/>
                      <w:kern w:val="0"/>
                      <w:sz w:val="21"/>
                      <w:szCs w:val="21"/>
                      <w:u w:val="none" w:color="auto"/>
                      <w:lang w:eastAsia="zh-CN"/>
                    </w:rPr>
                    <w:t>，</w:t>
                  </w:r>
                  <w:r>
                    <w:rPr>
                      <w:rFonts w:hint="default" w:ascii="Times New Roman" w:hAnsi="Times New Roman" w:eastAsia="宋体" w:cs="Times New Roman"/>
                      <w:color w:val="auto"/>
                      <w:kern w:val="0"/>
                      <w:sz w:val="21"/>
                      <w:szCs w:val="21"/>
                      <w:u w:val="none" w:color="auto"/>
                    </w:rPr>
                    <w:t>在铝合金熔铸车间</w:t>
                  </w:r>
                  <w:r>
                    <w:rPr>
                      <w:rFonts w:hint="default" w:ascii="Times New Roman" w:hAnsi="Times New Roman" w:eastAsia="宋体" w:cs="Times New Roman"/>
                      <w:color w:val="auto"/>
                      <w:kern w:val="0"/>
                      <w:sz w:val="21"/>
                      <w:szCs w:val="21"/>
                      <w:u w:val="none" w:color="auto"/>
                      <w:lang w:val="en-US" w:eastAsia="zh-CN"/>
                    </w:rPr>
                    <w:t>南</w:t>
                  </w:r>
                  <w:r>
                    <w:rPr>
                      <w:rFonts w:hint="default" w:ascii="Times New Roman" w:hAnsi="Times New Roman" w:eastAsia="宋体" w:cs="Times New Roman"/>
                      <w:color w:val="auto"/>
                      <w:kern w:val="0"/>
                      <w:sz w:val="21"/>
                      <w:szCs w:val="21"/>
                      <w:u w:val="none" w:color="auto"/>
                    </w:rPr>
                    <w:t>侧</w:t>
                  </w:r>
                  <w:r>
                    <w:rPr>
                      <w:rFonts w:hint="default" w:ascii="Times New Roman" w:hAnsi="Times New Roman" w:eastAsia="宋体" w:cs="Times New Roman"/>
                      <w:color w:val="auto"/>
                      <w:kern w:val="0"/>
                      <w:sz w:val="21"/>
                      <w:szCs w:val="21"/>
                      <w:u w:val="none" w:color="auto"/>
                      <w:lang w:eastAsia="zh-CN"/>
                    </w:rPr>
                    <w:t>，</w:t>
                  </w:r>
                  <w:r>
                    <w:rPr>
                      <w:rFonts w:hint="default" w:ascii="Times New Roman" w:hAnsi="Times New Roman" w:eastAsia="宋体" w:cs="Times New Roman"/>
                      <w:color w:val="auto"/>
                      <w:kern w:val="0"/>
                      <w:sz w:val="21"/>
                      <w:szCs w:val="21"/>
                      <w:u w:val="none" w:color="auto"/>
                    </w:rPr>
                    <w:t>长1</w:t>
                  </w:r>
                  <w:r>
                    <w:rPr>
                      <w:rFonts w:hint="default" w:ascii="Times New Roman" w:hAnsi="Times New Roman" w:eastAsia="宋体" w:cs="Times New Roman"/>
                      <w:color w:val="auto"/>
                      <w:kern w:val="0"/>
                      <w:sz w:val="21"/>
                      <w:szCs w:val="21"/>
                      <w:u w:val="none" w:color="auto"/>
                      <w:lang w:val="en-US" w:eastAsia="zh-CN"/>
                    </w:rPr>
                    <w:t>44</w:t>
                  </w:r>
                  <w:r>
                    <w:rPr>
                      <w:rFonts w:hint="default" w:ascii="Times New Roman" w:hAnsi="Times New Roman" w:eastAsia="宋体" w:cs="Times New Roman"/>
                      <w:color w:val="auto"/>
                      <w:kern w:val="0"/>
                      <w:sz w:val="21"/>
                      <w:szCs w:val="21"/>
                      <w:u w:val="none" w:color="auto"/>
                    </w:rPr>
                    <w:t>m</w:t>
                  </w:r>
                  <w:r>
                    <w:rPr>
                      <w:rFonts w:hint="default" w:ascii="Times New Roman" w:hAnsi="Times New Roman" w:eastAsia="宋体" w:cs="Times New Roman"/>
                      <w:color w:val="auto"/>
                      <w:kern w:val="0"/>
                      <w:sz w:val="21"/>
                      <w:szCs w:val="21"/>
                      <w:u w:val="none" w:color="auto"/>
                      <w:lang w:eastAsia="zh-CN"/>
                    </w:rPr>
                    <w:t>，</w:t>
                  </w:r>
                  <w:r>
                    <w:rPr>
                      <w:rFonts w:hint="default" w:ascii="Times New Roman" w:hAnsi="Times New Roman" w:eastAsia="宋体" w:cs="Times New Roman"/>
                      <w:color w:val="auto"/>
                      <w:kern w:val="0"/>
                      <w:sz w:val="21"/>
                      <w:szCs w:val="21"/>
                      <w:u w:val="none" w:color="auto"/>
                    </w:rPr>
                    <w:t>宽6</w:t>
                  </w:r>
                  <w:r>
                    <w:rPr>
                      <w:rFonts w:hint="default" w:ascii="Times New Roman" w:hAnsi="Times New Roman" w:eastAsia="宋体" w:cs="Times New Roman"/>
                      <w:color w:val="auto"/>
                      <w:kern w:val="0"/>
                      <w:sz w:val="21"/>
                      <w:szCs w:val="21"/>
                      <w:u w:val="none" w:color="auto"/>
                      <w:lang w:val="en-US" w:eastAsia="zh-CN"/>
                    </w:rPr>
                    <w:t>0</w:t>
                  </w:r>
                  <w:r>
                    <w:rPr>
                      <w:rFonts w:hint="default" w:ascii="Times New Roman" w:hAnsi="Times New Roman" w:eastAsia="宋体" w:cs="Times New Roman"/>
                      <w:color w:val="auto"/>
                      <w:kern w:val="0"/>
                      <w:sz w:val="21"/>
                      <w:szCs w:val="21"/>
                      <w:u w:val="none" w:color="auto"/>
                    </w:rPr>
                    <w:t>m</w:t>
                  </w:r>
                  <w:r>
                    <w:rPr>
                      <w:rFonts w:hint="default" w:ascii="Times New Roman" w:hAnsi="Times New Roman" w:eastAsia="宋体" w:cs="Times New Roman"/>
                      <w:color w:val="auto"/>
                      <w:kern w:val="0"/>
                      <w:sz w:val="21"/>
                      <w:szCs w:val="21"/>
                      <w:u w:val="none" w:color="auto"/>
                      <w:lang w:eastAsia="zh-CN"/>
                    </w:rPr>
                    <w:t>，</w:t>
                  </w:r>
                  <w:r>
                    <w:rPr>
                      <w:rFonts w:hint="default" w:ascii="Times New Roman" w:hAnsi="Times New Roman" w:eastAsia="宋体" w:cs="Times New Roman"/>
                      <w:color w:val="auto"/>
                      <w:sz w:val="21"/>
                      <w:szCs w:val="21"/>
                      <w:u w:val="none" w:color="auto"/>
                      <w:lang w:eastAsia="zh-CN" w:bidi="ar-SA"/>
                    </w:rPr>
                    <w:t>高度</w:t>
                  </w:r>
                  <w:r>
                    <w:rPr>
                      <w:rFonts w:hint="default" w:ascii="Times New Roman" w:hAnsi="Times New Roman" w:eastAsia="宋体" w:cs="Times New Roman"/>
                      <w:color w:val="auto"/>
                      <w:sz w:val="21"/>
                      <w:szCs w:val="21"/>
                      <w:u w:val="none" w:color="auto"/>
                      <w:lang w:val="en-US" w:eastAsia="zh-CN" w:bidi="ar-SA"/>
                    </w:rPr>
                    <w:t>8~10.15m（采用双面斜坡式屋面）</w:t>
                  </w:r>
                  <w:r>
                    <w:rPr>
                      <w:rFonts w:hint="default" w:ascii="Times New Roman" w:hAnsi="Times New Roman" w:eastAsia="宋体" w:cs="Times New Roman"/>
                      <w:color w:val="auto"/>
                      <w:sz w:val="21"/>
                      <w:szCs w:val="21"/>
                      <w:u w:val="none" w:color="auto"/>
                      <w:lang w:eastAsia="zh-CN" w:bidi="ar-SA"/>
                    </w:rPr>
                    <w:t>，</w:t>
                  </w:r>
                  <w:r>
                    <w:rPr>
                      <w:rFonts w:hint="default" w:ascii="Times New Roman" w:hAnsi="Times New Roman" w:eastAsia="宋体" w:cs="Times New Roman"/>
                      <w:color w:val="auto"/>
                      <w:sz w:val="21"/>
                      <w:szCs w:val="21"/>
                      <w:u w:val="none" w:color="auto"/>
                    </w:rPr>
                    <w:t>总建筑面积</w:t>
                  </w:r>
                  <w:r>
                    <w:rPr>
                      <w:rFonts w:hint="default" w:ascii="Times New Roman" w:hAnsi="Times New Roman" w:eastAsia="宋体" w:cs="Times New Roman"/>
                      <w:color w:val="auto"/>
                      <w:sz w:val="21"/>
                      <w:szCs w:val="21"/>
                      <w:u w:val="none" w:color="auto"/>
                      <w:lang w:val="en-US" w:eastAsia="zh-CN"/>
                    </w:rPr>
                    <w:t>8640</w:t>
                  </w:r>
                  <w:r>
                    <w:rPr>
                      <w:rFonts w:hint="default" w:ascii="Times New Roman" w:hAnsi="Times New Roman" w:eastAsia="宋体" w:cs="Times New Roman"/>
                      <w:color w:val="auto"/>
                      <w:sz w:val="21"/>
                      <w:szCs w:val="21"/>
                      <w:u w:val="none" w:color="auto"/>
                    </w:rPr>
                    <w:t>m</w:t>
                  </w:r>
                  <w:r>
                    <w:rPr>
                      <w:rFonts w:hint="default" w:ascii="Times New Roman" w:hAnsi="Times New Roman" w:eastAsia="宋体" w:cs="Times New Roman"/>
                      <w:color w:val="auto"/>
                      <w:sz w:val="21"/>
                      <w:szCs w:val="21"/>
                      <w:u w:val="none" w:color="auto"/>
                      <w:vertAlign w:val="superscript"/>
                    </w:rPr>
                    <w:t>2</w:t>
                  </w: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kern w:val="0"/>
                      <w:sz w:val="21"/>
                      <w:szCs w:val="21"/>
                      <w:u w:val="none" w:color="auto"/>
                    </w:rPr>
                    <w:t>为单层钢结构（钢柱、钢梁、彩钢板围护）。</w:t>
                  </w:r>
                </w:p>
                <w:p w14:paraId="27579777">
                  <w:pPr>
                    <w:keepNext w:val="0"/>
                    <w:keepLines w:val="0"/>
                    <w:pageBreakBefore w:val="0"/>
                    <w:kinsoku/>
                    <w:wordWrap/>
                    <w:overflowPunct/>
                    <w:topLinePunct w:val="0"/>
                    <w:bidi w:val="0"/>
                    <w:adjustRightInd/>
                    <w:snapToGrid/>
                    <w:spacing w:after="0" w:line="240" w:lineRule="auto"/>
                    <w:textAlignment w:val="auto"/>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主要用于贮存成品</w:t>
                  </w: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rPr>
                    <w:t>中间产品（即铝合金熔铸车间生产的铝合金铸锭）</w:t>
                  </w: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rPr>
                    <w:t>厂房内配套有单梁桥式起重机</w:t>
                  </w: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rPr>
                    <w:t>设计储量为2</w:t>
                  </w:r>
                  <w:r>
                    <w:rPr>
                      <w:rFonts w:hint="default" w:ascii="Times New Roman" w:hAnsi="Times New Roman" w:eastAsia="宋体" w:cs="Times New Roman"/>
                      <w:color w:val="auto"/>
                      <w:sz w:val="21"/>
                      <w:szCs w:val="21"/>
                      <w:u w:val="none" w:color="auto"/>
                      <w:lang w:val="en-US" w:eastAsia="zh-CN"/>
                    </w:rPr>
                    <w:t>0</w:t>
                  </w:r>
                  <w:r>
                    <w:rPr>
                      <w:rFonts w:hint="default" w:ascii="Times New Roman" w:hAnsi="Times New Roman" w:eastAsia="宋体" w:cs="Times New Roman"/>
                      <w:color w:val="auto"/>
                      <w:sz w:val="21"/>
                      <w:szCs w:val="21"/>
                      <w:u w:val="none" w:color="auto"/>
                    </w:rPr>
                    <w:t>000t。</w:t>
                  </w:r>
                </w:p>
              </w:tc>
            </w:tr>
            <w:tr w14:paraId="065A32C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75" w:type="pct"/>
                  <w:vMerge w:val="restart"/>
                  <w:noWrap w:val="0"/>
                  <w:vAlign w:val="center"/>
                </w:tcPr>
                <w:p w14:paraId="443B6C5C">
                  <w:pPr>
                    <w:keepNext w:val="0"/>
                    <w:keepLines w:val="0"/>
                    <w:pageBreakBefore w:val="0"/>
                    <w:kinsoku/>
                    <w:wordWrap/>
                    <w:overflowPunct/>
                    <w:topLinePunct w:val="0"/>
                    <w:bidi w:val="0"/>
                    <w:adjustRightInd/>
                    <w:snapToGrid/>
                    <w:spacing w:after="0" w:line="240" w:lineRule="auto"/>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环保工程</w:t>
                  </w:r>
                </w:p>
              </w:tc>
              <w:tc>
                <w:tcPr>
                  <w:tcW w:w="893" w:type="pct"/>
                  <w:vMerge w:val="restart"/>
                  <w:noWrap w:val="0"/>
                  <w:vAlign w:val="center"/>
                </w:tcPr>
                <w:p w14:paraId="734ED748">
                  <w:pPr>
                    <w:keepNext w:val="0"/>
                    <w:keepLines w:val="0"/>
                    <w:pageBreakBefore w:val="0"/>
                    <w:kinsoku/>
                    <w:wordWrap/>
                    <w:overflowPunct/>
                    <w:topLinePunct w:val="0"/>
                    <w:bidi w:val="0"/>
                    <w:adjustRightInd/>
                    <w:snapToGrid/>
                    <w:spacing w:after="0" w:line="240" w:lineRule="auto"/>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水污染防治措施</w:t>
                  </w:r>
                </w:p>
              </w:tc>
              <w:tc>
                <w:tcPr>
                  <w:tcW w:w="3431" w:type="pct"/>
                  <w:noWrap w:val="0"/>
                  <w:vAlign w:val="center"/>
                </w:tcPr>
                <w:p w14:paraId="4EF2638C">
                  <w:pPr>
                    <w:keepNext w:val="0"/>
                    <w:keepLines w:val="0"/>
                    <w:pageBreakBefore w:val="0"/>
                    <w:kinsoku/>
                    <w:wordWrap/>
                    <w:overflowPunct/>
                    <w:topLinePunct w:val="0"/>
                    <w:bidi w:val="0"/>
                    <w:adjustRightInd/>
                    <w:snapToGrid/>
                    <w:spacing w:after="0" w:line="240" w:lineRule="auto"/>
                    <w:textAlignment w:val="auto"/>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b/>
                      <w:bCs/>
                      <w:color w:val="auto"/>
                      <w:sz w:val="21"/>
                      <w:szCs w:val="21"/>
                      <w:u w:val="none" w:color="auto"/>
                      <w:lang w:val="en-US" w:eastAsia="zh-CN"/>
                    </w:rPr>
                    <w:t>环锻车间、</w:t>
                  </w:r>
                  <w:r>
                    <w:rPr>
                      <w:rFonts w:hint="default" w:ascii="Times New Roman" w:hAnsi="Times New Roman" w:eastAsia="宋体" w:cs="Times New Roman"/>
                      <w:b/>
                      <w:bCs/>
                      <w:color w:val="auto"/>
                      <w:sz w:val="21"/>
                      <w:szCs w:val="21"/>
                      <w:u w:val="none" w:color="auto"/>
                      <w:lang w:eastAsia="zh-CN"/>
                    </w:rPr>
                    <w:t>挤压车间蚀洗废水</w:t>
                  </w:r>
                  <w:r>
                    <w:rPr>
                      <w:rFonts w:hint="default" w:ascii="Times New Roman" w:hAnsi="Times New Roman" w:eastAsia="宋体" w:cs="Times New Roman"/>
                      <w:b/>
                      <w:bCs/>
                      <w:color w:val="auto"/>
                      <w:sz w:val="21"/>
                      <w:szCs w:val="21"/>
                      <w:u w:val="none" w:color="auto"/>
                      <w:lang w:val="en-US" w:eastAsia="zh-CN"/>
                    </w:rPr>
                    <w:t>：</w:t>
                  </w:r>
                  <w:r>
                    <w:rPr>
                      <w:rFonts w:hint="default" w:ascii="Times New Roman" w:hAnsi="Times New Roman" w:eastAsia="宋体" w:cs="Times New Roman"/>
                      <w:color w:val="auto"/>
                      <w:sz w:val="21"/>
                      <w:szCs w:val="21"/>
                      <w:u w:val="none" w:color="auto"/>
                    </w:rPr>
                    <w:t>蚀洗工序产生的</w:t>
                  </w:r>
                  <w:r>
                    <w:rPr>
                      <w:rFonts w:hint="default" w:ascii="Times New Roman" w:hAnsi="Times New Roman" w:eastAsia="宋体" w:cs="Times New Roman"/>
                      <w:color w:val="auto"/>
                      <w:sz w:val="21"/>
                      <w:szCs w:val="21"/>
                      <w:u w:val="none" w:color="auto"/>
                      <w:lang w:eastAsia="zh-CN"/>
                    </w:rPr>
                    <w:t>蚀洗废水经</w:t>
                  </w:r>
                  <w:r>
                    <w:rPr>
                      <w:rFonts w:hint="default" w:ascii="Times New Roman" w:hAnsi="Times New Roman" w:eastAsia="宋体" w:cs="Times New Roman"/>
                      <w:color w:val="auto"/>
                      <w:sz w:val="21"/>
                      <w:szCs w:val="21"/>
                      <w:u w:val="none" w:color="auto"/>
                    </w:rPr>
                    <w:t>中和后回收</w:t>
                  </w:r>
                  <w:r>
                    <w:rPr>
                      <w:rFonts w:hint="default" w:ascii="Times New Roman" w:hAnsi="Times New Roman" w:eastAsia="宋体" w:cs="Times New Roman"/>
                      <w:color w:val="auto"/>
                      <w:sz w:val="21"/>
                      <w:szCs w:val="21"/>
                      <w:u w:val="none" w:color="auto"/>
                      <w:lang w:eastAsia="zh-CN"/>
                    </w:rPr>
                    <w:t>再利用，不外排</w:t>
                  </w:r>
                </w:p>
              </w:tc>
            </w:tr>
            <w:tr w14:paraId="076E700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75" w:type="pct"/>
                  <w:vMerge w:val="continue"/>
                  <w:noWrap w:val="0"/>
                  <w:vAlign w:val="center"/>
                </w:tcPr>
                <w:p w14:paraId="2C80FD1B">
                  <w:pPr>
                    <w:keepNext w:val="0"/>
                    <w:keepLines w:val="0"/>
                    <w:pageBreakBefore w:val="0"/>
                    <w:kinsoku/>
                    <w:wordWrap/>
                    <w:overflowPunct/>
                    <w:topLinePunct w:val="0"/>
                    <w:bidi w:val="0"/>
                    <w:adjustRightInd/>
                    <w:snapToGrid/>
                    <w:spacing w:after="0" w:line="240" w:lineRule="auto"/>
                    <w:jc w:val="center"/>
                    <w:textAlignment w:val="auto"/>
                    <w:rPr>
                      <w:rFonts w:hint="default" w:ascii="Times New Roman" w:hAnsi="Times New Roman" w:eastAsia="宋体" w:cs="Times New Roman"/>
                      <w:color w:val="auto"/>
                      <w:sz w:val="21"/>
                      <w:szCs w:val="21"/>
                      <w:u w:val="none" w:color="auto"/>
                    </w:rPr>
                  </w:pPr>
                </w:p>
              </w:tc>
              <w:tc>
                <w:tcPr>
                  <w:tcW w:w="893" w:type="pct"/>
                  <w:vMerge w:val="continue"/>
                  <w:noWrap w:val="0"/>
                  <w:vAlign w:val="center"/>
                </w:tcPr>
                <w:p w14:paraId="0E6D5D0D">
                  <w:pPr>
                    <w:keepNext w:val="0"/>
                    <w:keepLines w:val="0"/>
                    <w:pageBreakBefore w:val="0"/>
                    <w:kinsoku/>
                    <w:wordWrap/>
                    <w:overflowPunct/>
                    <w:topLinePunct w:val="0"/>
                    <w:bidi w:val="0"/>
                    <w:adjustRightInd/>
                    <w:snapToGrid/>
                    <w:spacing w:after="0" w:line="240" w:lineRule="auto"/>
                    <w:jc w:val="center"/>
                    <w:textAlignment w:val="auto"/>
                    <w:rPr>
                      <w:rFonts w:hint="default" w:ascii="Times New Roman" w:hAnsi="Times New Roman" w:eastAsia="宋体" w:cs="Times New Roman"/>
                      <w:color w:val="auto"/>
                      <w:sz w:val="21"/>
                      <w:szCs w:val="21"/>
                      <w:u w:val="none" w:color="auto"/>
                    </w:rPr>
                  </w:pPr>
                </w:p>
              </w:tc>
              <w:tc>
                <w:tcPr>
                  <w:tcW w:w="3431" w:type="pct"/>
                  <w:noWrap w:val="0"/>
                  <w:vAlign w:val="center"/>
                </w:tcPr>
                <w:p w14:paraId="10B13460">
                  <w:pPr>
                    <w:keepNext w:val="0"/>
                    <w:keepLines w:val="0"/>
                    <w:pageBreakBefore w:val="0"/>
                    <w:kinsoku/>
                    <w:wordWrap/>
                    <w:overflowPunct/>
                    <w:topLinePunct w:val="0"/>
                    <w:bidi w:val="0"/>
                    <w:adjustRightInd/>
                    <w:snapToGrid/>
                    <w:spacing w:after="0" w:line="240" w:lineRule="auto"/>
                    <w:textAlignment w:val="auto"/>
                    <w:rPr>
                      <w:rFonts w:hint="default" w:ascii="Times New Roman" w:hAnsi="Times New Roman" w:eastAsia="宋体" w:cs="Times New Roman"/>
                      <w:b/>
                      <w:bCs/>
                      <w:color w:val="auto"/>
                      <w:sz w:val="21"/>
                      <w:szCs w:val="21"/>
                      <w:u w:val="none" w:color="auto"/>
                      <w:lang w:val="en-US" w:eastAsia="zh-CN" w:bidi="ar-SA"/>
                    </w:rPr>
                  </w:pPr>
                  <w:r>
                    <w:rPr>
                      <w:rFonts w:hint="default" w:ascii="Times New Roman" w:hAnsi="Times New Roman" w:eastAsia="宋体" w:cs="Times New Roman"/>
                      <w:b/>
                      <w:bCs/>
                      <w:color w:val="auto"/>
                      <w:kern w:val="2"/>
                      <w:sz w:val="21"/>
                      <w:szCs w:val="21"/>
                      <w:highlight w:val="none"/>
                      <w:u w:val="none" w:color="auto"/>
                      <w:lang w:val="en-US" w:eastAsia="zh-CN" w:bidi="ar-SA"/>
                    </w:rPr>
                    <w:t>挤压车间喷淋装置废水：</w:t>
                  </w:r>
                  <w:r>
                    <w:rPr>
                      <w:rFonts w:hint="default" w:ascii="Times New Roman" w:hAnsi="Times New Roman" w:eastAsia="宋体" w:cs="Times New Roman"/>
                      <w:color w:val="auto"/>
                      <w:kern w:val="2"/>
                      <w:sz w:val="21"/>
                      <w:szCs w:val="21"/>
                      <w:highlight w:val="none"/>
                      <w:u w:val="none" w:color="auto"/>
                      <w:lang w:val="en-US" w:eastAsia="zh-CN" w:bidi="ar-SA"/>
                    </w:rPr>
                    <w:t>进入TW001废水处理站预处理；</w:t>
                  </w:r>
                </w:p>
              </w:tc>
            </w:tr>
            <w:tr w14:paraId="0BE93CF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75" w:type="pct"/>
                  <w:vMerge w:val="continue"/>
                  <w:noWrap w:val="0"/>
                  <w:vAlign w:val="center"/>
                </w:tcPr>
                <w:p w14:paraId="4A7AF822">
                  <w:pPr>
                    <w:keepNext w:val="0"/>
                    <w:keepLines w:val="0"/>
                    <w:pageBreakBefore w:val="0"/>
                    <w:kinsoku/>
                    <w:wordWrap/>
                    <w:overflowPunct/>
                    <w:topLinePunct w:val="0"/>
                    <w:bidi w:val="0"/>
                    <w:adjustRightInd/>
                    <w:snapToGrid/>
                    <w:spacing w:after="0" w:line="240" w:lineRule="auto"/>
                    <w:jc w:val="center"/>
                    <w:textAlignment w:val="auto"/>
                    <w:rPr>
                      <w:rFonts w:hint="default" w:ascii="Times New Roman" w:hAnsi="Times New Roman" w:eastAsia="宋体" w:cs="Times New Roman"/>
                      <w:color w:val="auto"/>
                      <w:sz w:val="21"/>
                      <w:szCs w:val="21"/>
                      <w:u w:val="none" w:color="auto"/>
                    </w:rPr>
                  </w:pPr>
                </w:p>
              </w:tc>
              <w:tc>
                <w:tcPr>
                  <w:tcW w:w="893" w:type="pct"/>
                  <w:vMerge w:val="continue"/>
                  <w:noWrap w:val="0"/>
                  <w:vAlign w:val="center"/>
                </w:tcPr>
                <w:p w14:paraId="674C7D32">
                  <w:pPr>
                    <w:keepNext w:val="0"/>
                    <w:keepLines w:val="0"/>
                    <w:pageBreakBefore w:val="0"/>
                    <w:kinsoku/>
                    <w:wordWrap/>
                    <w:overflowPunct/>
                    <w:topLinePunct w:val="0"/>
                    <w:bidi w:val="0"/>
                    <w:adjustRightInd/>
                    <w:snapToGrid/>
                    <w:spacing w:after="0" w:line="240" w:lineRule="auto"/>
                    <w:jc w:val="center"/>
                    <w:textAlignment w:val="auto"/>
                    <w:rPr>
                      <w:rFonts w:hint="default" w:ascii="Times New Roman" w:hAnsi="Times New Roman" w:eastAsia="宋体" w:cs="Times New Roman"/>
                      <w:color w:val="auto"/>
                      <w:sz w:val="21"/>
                      <w:szCs w:val="21"/>
                      <w:u w:val="none" w:color="auto"/>
                    </w:rPr>
                  </w:pPr>
                </w:p>
              </w:tc>
              <w:tc>
                <w:tcPr>
                  <w:tcW w:w="3431" w:type="pct"/>
                  <w:noWrap w:val="0"/>
                  <w:vAlign w:val="center"/>
                </w:tcPr>
                <w:p w14:paraId="381AD96F">
                  <w:pPr>
                    <w:keepNext w:val="0"/>
                    <w:keepLines w:val="0"/>
                    <w:pageBreakBefore w:val="0"/>
                    <w:kinsoku/>
                    <w:wordWrap/>
                    <w:overflowPunct/>
                    <w:topLinePunct w:val="0"/>
                    <w:bidi w:val="0"/>
                    <w:adjustRightInd/>
                    <w:snapToGrid/>
                    <w:spacing w:after="0" w:line="240" w:lineRule="auto"/>
                    <w:textAlignment w:val="auto"/>
                    <w:rPr>
                      <w:rFonts w:hint="default" w:ascii="Times New Roman" w:hAnsi="Times New Roman" w:eastAsia="宋体" w:cs="Times New Roman"/>
                      <w:b/>
                      <w:bCs/>
                      <w:color w:val="auto"/>
                      <w:kern w:val="2"/>
                      <w:sz w:val="21"/>
                      <w:szCs w:val="21"/>
                      <w:u w:val="none" w:color="auto"/>
                      <w:lang w:val="en-US" w:eastAsia="zh-CN" w:bidi="ar-SA"/>
                    </w:rPr>
                  </w:pPr>
                  <w:r>
                    <w:rPr>
                      <w:rFonts w:hint="default" w:ascii="Times New Roman" w:hAnsi="Times New Roman" w:eastAsia="宋体" w:cs="Times New Roman"/>
                      <w:b/>
                      <w:bCs/>
                      <w:color w:val="auto"/>
                      <w:kern w:val="2"/>
                      <w:sz w:val="21"/>
                      <w:szCs w:val="21"/>
                      <w:highlight w:val="none"/>
                      <w:u w:val="none" w:color="auto"/>
                      <w:lang w:val="en-US" w:eastAsia="zh-CN" w:bidi="ar-SA"/>
                    </w:rPr>
                    <w:t>钣金车间水切割废水、铝合金熔铸车间、挤压车间、环锻车间直接冷却废水：</w:t>
                  </w:r>
                  <w:r>
                    <w:rPr>
                      <w:rFonts w:hint="default" w:ascii="Times New Roman" w:hAnsi="Times New Roman" w:eastAsia="宋体" w:cs="Times New Roman"/>
                      <w:b w:val="0"/>
                      <w:bCs w:val="0"/>
                      <w:color w:val="auto"/>
                      <w:kern w:val="2"/>
                      <w:sz w:val="21"/>
                      <w:szCs w:val="21"/>
                      <w:highlight w:val="none"/>
                      <w:u w:val="none" w:color="auto"/>
                      <w:lang w:val="en-US" w:eastAsia="zh-CN" w:bidi="ar-SA"/>
                    </w:rPr>
                    <w:t>增加回用设置，提高回用率</w:t>
                  </w:r>
                  <w:r>
                    <w:rPr>
                      <w:rFonts w:hint="default" w:ascii="Times New Roman" w:hAnsi="Times New Roman" w:eastAsia="宋体" w:cs="Times New Roman"/>
                      <w:color w:val="auto"/>
                      <w:kern w:val="2"/>
                      <w:sz w:val="21"/>
                      <w:szCs w:val="21"/>
                      <w:highlight w:val="none"/>
                      <w:u w:val="none" w:color="auto"/>
                      <w:lang w:val="en-US" w:eastAsia="zh-CN" w:bidi="ar-SA"/>
                    </w:rPr>
                    <w:t>，对符合水质要求的导入浊循环再利用，反之则进入TW001废水处理。</w:t>
                  </w:r>
                </w:p>
              </w:tc>
            </w:tr>
            <w:tr w14:paraId="76CEF55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75" w:type="pct"/>
                  <w:vMerge w:val="continue"/>
                  <w:noWrap w:val="0"/>
                  <w:vAlign w:val="center"/>
                </w:tcPr>
                <w:p w14:paraId="0B9AFB58">
                  <w:pPr>
                    <w:keepNext w:val="0"/>
                    <w:keepLines w:val="0"/>
                    <w:pageBreakBefore w:val="0"/>
                    <w:kinsoku/>
                    <w:wordWrap/>
                    <w:overflowPunct/>
                    <w:topLinePunct w:val="0"/>
                    <w:bidi w:val="0"/>
                    <w:adjustRightInd/>
                    <w:snapToGrid/>
                    <w:spacing w:after="0" w:line="240" w:lineRule="auto"/>
                    <w:jc w:val="center"/>
                    <w:textAlignment w:val="auto"/>
                    <w:rPr>
                      <w:rFonts w:hint="default" w:ascii="Times New Roman" w:hAnsi="Times New Roman" w:eastAsia="宋体" w:cs="Times New Roman"/>
                      <w:color w:val="auto"/>
                      <w:sz w:val="21"/>
                      <w:szCs w:val="21"/>
                      <w:u w:val="none" w:color="auto"/>
                    </w:rPr>
                  </w:pPr>
                </w:p>
              </w:tc>
              <w:tc>
                <w:tcPr>
                  <w:tcW w:w="893" w:type="pct"/>
                  <w:vMerge w:val="continue"/>
                  <w:noWrap w:val="0"/>
                  <w:vAlign w:val="center"/>
                </w:tcPr>
                <w:p w14:paraId="0A7E9D8E">
                  <w:pPr>
                    <w:keepNext w:val="0"/>
                    <w:keepLines w:val="0"/>
                    <w:pageBreakBefore w:val="0"/>
                    <w:kinsoku/>
                    <w:wordWrap/>
                    <w:overflowPunct/>
                    <w:topLinePunct w:val="0"/>
                    <w:bidi w:val="0"/>
                    <w:adjustRightInd/>
                    <w:snapToGrid/>
                    <w:spacing w:after="0" w:line="240" w:lineRule="auto"/>
                    <w:jc w:val="center"/>
                    <w:textAlignment w:val="auto"/>
                    <w:rPr>
                      <w:rFonts w:hint="default" w:ascii="Times New Roman" w:hAnsi="Times New Roman" w:eastAsia="宋体" w:cs="Times New Roman"/>
                      <w:color w:val="auto"/>
                      <w:sz w:val="21"/>
                      <w:szCs w:val="21"/>
                      <w:u w:val="none" w:color="auto"/>
                    </w:rPr>
                  </w:pPr>
                </w:p>
              </w:tc>
              <w:tc>
                <w:tcPr>
                  <w:tcW w:w="3431" w:type="pct"/>
                  <w:noWrap w:val="0"/>
                  <w:vAlign w:val="center"/>
                </w:tcPr>
                <w:p w14:paraId="38110713">
                  <w:pPr>
                    <w:keepNext w:val="0"/>
                    <w:keepLines w:val="0"/>
                    <w:pageBreakBefore w:val="0"/>
                    <w:kinsoku/>
                    <w:wordWrap/>
                    <w:overflowPunct/>
                    <w:topLinePunct w:val="0"/>
                    <w:bidi w:val="0"/>
                    <w:adjustRightInd/>
                    <w:snapToGrid/>
                    <w:spacing w:after="0" w:line="240" w:lineRule="auto"/>
                    <w:textAlignment w:val="auto"/>
                    <w:rPr>
                      <w:rFonts w:hint="default" w:ascii="Times New Roman" w:hAnsi="Times New Roman" w:eastAsia="宋体" w:cs="Times New Roman"/>
                      <w:color w:val="auto"/>
                      <w:sz w:val="21"/>
                      <w:szCs w:val="21"/>
                      <w:u w:val="none" w:color="auto"/>
                      <w:lang w:val="en-US" w:eastAsia="zh-CN" w:bidi="ar-SA"/>
                    </w:rPr>
                  </w:pPr>
                  <w:r>
                    <w:rPr>
                      <w:rFonts w:hint="default" w:ascii="Times New Roman" w:hAnsi="Times New Roman" w:eastAsia="宋体" w:cs="Times New Roman"/>
                      <w:b/>
                      <w:bCs/>
                      <w:color w:val="auto"/>
                      <w:kern w:val="2"/>
                      <w:sz w:val="21"/>
                      <w:szCs w:val="21"/>
                      <w:highlight w:val="none"/>
                      <w:u w:val="none" w:color="auto"/>
                      <w:lang w:val="en-US" w:eastAsia="zh-CN" w:bidi="ar-SA"/>
                    </w:rPr>
                    <w:t>生活污水、地面清洁废水、实验室废水：</w:t>
                  </w:r>
                  <w:r>
                    <w:rPr>
                      <w:rFonts w:hint="default" w:ascii="Times New Roman" w:hAnsi="Times New Roman" w:eastAsia="宋体" w:cs="Times New Roman"/>
                      <w:color w:val="auto"/>
                      <w:kern w:val="2"/>
                      <w:sz w:val="21"/>
                      <w:szCs w:val="21"/>
                      <w:highlight w:val="none"/>
                      <w:u w:val="none" w:color="auto"/>
                      <w:lang w:val="en-US" w:eastAsia="zh-CN" w:bidi="ar-SA"/>
                    </w:rPr>
                    <w:t>经化粪池预处理后经DW001总排口排入市政污水管网。</w:t>
                  </w:r>
                </w:p>
              </w:tc>
            </w:tr>
            <w:tr w14:paraId="2C0E191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75" w:type="pct"/>
                  <w:vMerge w:val="continue"/>
                  <w:noWrap w:val="0"/>
                  <w:vAlign w:val="center"/>
                </w:tcPr>
                <w:p w14:paraId="32275A83">
                  <w:pPr>
                    <w:keepNext w:val="0"/>
                    <w:keepLines w:val="0"/>
                    <w:pageBreakBefore w:val="0"/>
                    <w:kinsoku/>
                    <w:wordWrap/>
                    <w:overflowPunct/>
                    <w:topLinePunct w:val="0"/>
                    <w:bidi w:val="0"/>
                    <w:adjustRightInd/>
                    <w:snapToGrid/>
                    <w:spacing w:after="0" w:line="240" w:lineRule="auto"/>
                    <w:jc w:val="center"/>
                    <w:textAlignment w:val="auto"/>
                    <w:rPr>
                      <w:rFonts w:hint="default" w:ascii="Times New Roman" w:hAnsi="Times New Roman" w:eastAsia="宋体" w:cs="Times New Roman"/>
                      <w:color w:val="auto"/>
                      <w:sz w:val="21"/>
                      <w:szCs w:val="21"/>
                      <w:u w:val="none" w:color="auto"/>
                    </w:rPr>
                  </w:pPr>
                </w:p>
              </w:tc>
              <w:tc>
                <w:tcPr>
                  <w:tcW w:w="893" w:type="pct"/>
                  <w:vMerge w:val="continue"/>
                  <w:noWrap w:val="0"/>
                  <w:vAlign w:val="center"/>
                </w:tcPr>
                <w:p w14:paraId="73D2732C">
                  <w:pPr>
                    <w:keepNext w:val="0"/>
                    <w:keepLines w:val="0"/>
                    <w:pageBreakBefore w:val="0"/>
                    <w:kinsoku/>
                    <w:wordWrap/>
                    <w:overflowPunct/>
                    <w:topLinePunct w:val="0"/>
                    <w:bidi w:val="0"/>
                    <w:adjustRightInd/>
                    <w:snapToGrid/>
                    <w:spacing w:after="0" w:line="240" w:lineRule="auto"/>
                    <w:jc w:val="center"/>
                    <w:textAlignment w:val="auto"/>
                    <w:rPr>
                      <w:rFonts w:hint="default" w:ascii="Times New Roman" w:hAnsi="Times New Roman" w:eastAsia="宋体" w:cs="Times New Roman"/>
                      <w:color w:val="auto"/>
                      <w:sz w:val="21"/>
                      <w:szCs w:val="21"/>
                      <w:u w:val="none" w:color="auto"/>
                    </w:rPr>
                  </w:pPr>
                </w:p>
              </w:tc>
              <w:tc>
                <w:tcPr>
                  <w:tcW w:w="3431" w:type="pct"/>
                  <w:noWrap w:val="0"/>
                  <w:vAlign w:val="center"/>
                </w:tcPr>
                <w:p w14:paraId="49506973">
                  <w:pPr>
                    <w:keepNext w:val="0"/>
                    <w:keepLines w:val="0"/>
                    <w:pageBreakBefore w:val="0"/>
                    <w:widowControl w:val="0"/>
                    <w:kinsoku/>
                    <w:wordWrap/>
                    <w:overflowPunct/>
                    <w:topLinePunct w:val="0"/>
                    <w:bidi w:val="0"/>
                    <w:adjustRightInd/>
                    <w:snapToGrid/>
                    <w:spacing w:after="0" w:line="240" w:lineRule="auto"/>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b/>
                      <w:bCs/>
                      <w:color w:val="auto"/>
                      <w:sz w:val="21"/>
                      <w:szCs w:val="21"/>
                      <w:u w:val="none" w:color="auto"/>
                    </w:rPr>
                    <w:t>食堂废水：</w:t>
                  </w:r>
                  <w:r>
                    <w:rPr>
                      <w:rFonts w:hint="default" w:ascii="Times New Roman" w:hAnsi="Times New Roman" w:eastAsia="宋体" w:cs="Times New Roman"/>
                      <w:color w:val="auto"/>
                      <w:sz w:val="21"/>
                      <w:szCs w:val="21"/>
                      <w:u w:val="none" w:color="auto"/>
                    </w:rPr>
                    <w:t>采取隔油池、化粪池对食堂废水进行预处理；就餐产生的潲水、隔油池产生的动植物油由专业机构进行回收处置。</w:t>
                  </w:r>
                </w:p>
                <w:p w14:paraId="2BD68CB6">
                  <w:pPr>
                    <w:keepNext w:val="0"/>
                    <w:keepLines w:val="0"/>
                    <w:pageBreakBefore w:val="0"/>
                    <w:widowControl w:val="0"/>
                    <w:kinsoku/>
                    <w:wordWrap/>
                    <w:overflowPunct/>
                    <w:topLinePunct w:val="0"/>
                    <w:bidi w:val="0"/>
                    <w:adjustRightInd/>
                    <w:snapToGrid/>
                    <w:spacing w:after="0" w:line="240" w:lineRule="auto"/>
                    <w:textAlignment w:val="auto"/>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项目废水经预处理后</w:t>
                  </w:r>
                  <w:r>
                    <w:rPr>
                      <w:rFonts w:hint="default" w:ascii="Times New Roman" w:hAnsi="Times New Roman" w:eastAsia="宋体" w:cs="Times New Roman"/>
                      <w:color w:val="auto"/>
                      <w:sz w:val="21"/>
                      <w:szCs w:val="21"/>
                      <w:u w:val="none" w:color="auto"/>
                      <w:lang w:val="en-US" w:eastAsia="zh-CN"/>
                    </w:rPr>
                    <w:t>经市政</w:t>
                  </w:r>
                  <w:r>
                    <w:rPr>
                      <w:rFonts w:hint="default" w:ascii="Times New Roman" w:hAnsi="Times New Roman" w:eastAsia="宋体" w:cs="Times New Roman"/>
                      <w:color w:val="auto"/>
                      <w:sz w:val="21"/>
                      <w:szCs w:val="21"/>
                      <w:u w:val="none" w:color="auto"/>
                    </w:rPr>
                    <w:t>污水管网</w:t>
                  </w:r>
                  <w:r>
                    <w:rPr>
                      <w:rFonts w:hint="default" w:ascii="Times New Roman" w:hAnsi="Times New Roman" w:eastAsia="宋体" w:cs="Times New Roman"/>
                      <w:color w:val="auto"/>
                      <w:sz w:val="21"/>
                      <w:szCs w:val="21"/>
                      <w:u w:val="none" w:color="auto"/>
                      <w:lang w:val="en-US" w:eastAsia="zh-CN"/>
                    </w:rPr>
                    <w:t>进入</w:t>
                  </w:r>
                  <w:r>
                    <w:rPr>
                      <w:rFonts w:hint="default" w:ascii="Times New Roman" w:hAnsi="Times New Roman" w:eastAsia="宋体" w:cs="Times New Roman"/>
                      <w:color w:val="auto"/>
                      <w:sz w:val="21"/>
                      <w:szCs w:val="21"/>
                      <w:u w:val="none" w:color="auto"/>
                    </w:rPr>
                    <w:t>湖南城陵矶临港产业新区污水处理厂处理达到《城镇污水处理厂污染物排放标准》（GB18918-2002）一级A标准外排</w:t>
                  </w:r>
                  <w:r>
                    <w:rPr>
                      <w:rFonts w:hint="default" w:ascii="Times New Roman" w:hAnsi="Times New Roman" w:eastAsia="宋体" w:cs="Times New Roman"/>
                      <w:color w:val="auto"/>
                      <w:sz w:val="21"/>
                      <w:szCs w:val="21"/>
                      <w:u w:val="none" w:color="auto"/>
                      <w:lang w:eastAsia="zh-CN"/>
                    </w:rPr>
                    <w:t>，经象骨港</w:t>
                  </w:r>
                  <w:r>
                    <w:rPr>
                      <w:rFonts w:hint="default" w:ascii="Times New Roman" w:hAnsi="Times New Roman" w:eastAsia="宋体" w:cs="Times New Roman"/>
                      <w:color w:val="auto"/>
                      <w:sz w:val="21"/>
                      <w:szCs w:val="21"/>
                      <w:u w:val="none" w:color="auto"/>
                    </w:rPr>
                    <w:t>最终汇入长江。</w:t>
                  </w:r>
                </w:p>
              </w:tc>
            </w:tr>
            <w:tr w14:paraId="73FED8B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75" w:type="pct"/>
                  <w:vMerge w:val="continue"/>
                  <w:noWrap w:val="0"/>
                  <w:vAlign w:val="center"/>
                </w:tcPr>
                <w:p w14:paraId="165D6655">
                  <w:pPr>
                    <w:keepNext w:val="0"/>
                    <w:keepLines w:val="0"/>
                    <w:pageBreakBefore w:val="0"/>
                    <w:kinsoku/>
                    <w:wordWrap/>
                    <w:overflowPunct/>
                    <w:topLinePunct w:val="0"/>
                    <w:bidi w:val="0"/>
                    <w:adjustRightInd/>
                    <w:snapToGrid/>
                    <w:spacing w:after="0" w:line="240" w:lineRule="auto"/>
                    <w:jc w:val="center"/>
                    <w:textAlignment w:val="auto"/>
                    <w:rPr>
                      <w:rFonts w:hint="default" w:ascii="Times New Roman" w:hAnsi="Times New Roman" w:eastAsia="宋体" w:cs="Times New Roman"/>
                      <w:color w:val="auto"/>
                      <w:sz w:val="21"/>
                      <w:szCs w:val="21"/>
                      <w:u w:val="none" w:color="auto"/>
                    </w:rPr>
                  </w:pPr>
                </w:p>
              </w:tc>
              <w:tc>
                <w:tcPr>
                  <w:tcW w:w="893" w:type="pct"/>
                  <w:vMerge w:val="continue"/>
                  <w:noWrap w:val="0"/>
                  <w:vAlign w:val="center"/>
                </w:tcPr>
                <w:p w14:paraId="718CB13C">
                  <w:pPr>
                    <w:keepNext w:val="0"/>
                    <w:keepLines w:val="0"/>
                    <w:pageBreakBefore w:val="0"/>
                    <w:kinsoku/>
                    <w:wordWrap/>
                    <w:overflowPunct/>
                    <w:topLinePunct w:val="0"/>
                    <w:bidi w:val="0"/>
                    <w:adjustRightInd/>
                    <w:snapToGrid/>
                    <w:spacing w:after="0" w:line="240" w:lineRule="auto"/>
                    <w:jc w:val="center"/>
                    <w:textAlignment w:val="auto"/>
                    <w:rPr>
                      <w:rFonts w:hint="default" w:ascii="Times New Roman" w:hAnsi="Times New Roman" w:eastAsia="宋体" w:cs="Times New Roman"/>
                      <w:color w:val="auto"/>
                      <w:sz w:val="21"/>
                      <w:szCs w:val="21"/>
                      <w:u w:val="none" w:color="auto"/>
                    </w:rPr>
                  </w:pPr>
                </w:p>
              </w:tc>
              <w:tc>
                <w:tcPr>
                  <w:tcW w:w="3431" w:type="pct"/>
                  <w:noWrap w:val="0"/>
                  <w:vAlign w:val="center"/>
                </w:tcPr>
                <w:p w14:paraId="52548AAE">
                  <w:pPr>
                    <w:keepNext w:val="0"/>
                    <w:keepLines w:val="0"/>
                    <w:pageBreakBefore w:val="0"/>
                    <w:kinsoku/>
                    <w:wordWrap/>
                    <w:overflowPunct/>
                    <w:topLinePunct w:val="0"/>
                    <w:bidi w:val="0"/>
                    <w:adjustRightInd/>
                    <w:snapToGrid/>
                    <w:spacing w:after="0" w:line="240" w:lineRule="auto"/>
                    <w:textAlignment w:val="auto"/>
                    <w:rPr>
                      <w:rFonts w:hint="default" w:ascii="Times New Roman" w:hAnsi="Times New Roman" w:eastAsia="宋体" w:cs="Times New Roman"/>
                      <w:color w:val="auto"/>
                      <w:sz w:val="21"/>
                      <w:szCs w:val="21"/>
                      <w:u w:val="none" w:color="auto"/>
                      <w:lang w:val="en-US" w:eastAsia="zh-CN" w:bidi="ar-SA"/>
                    </w:rPr>
                  </w:pPr>
                  <w:r>
                    <w:rPr>
                      <w:rFonts w:hint="default" w:ascii="Times New Roman" w:hAnsi="Times New Roman" w:eastAsia="宋体" w:cs="Times New Roman"/>
                      <w:b/>
                      <w:bCs/>
                      <w:color w:val="auto"/>
                      <w:sz w:val="21"/>
                      <w:szCs w:val="21"/>
                      <w:u w:val="none" w:color="auto"/>
                      <w:lang w:val="en-US" w:eastAsia="zh-CN"/>
                    </w:rPr>
                    <w:t>TW001废水处理设施：</w:t>
                  </w:r>
                  <w:r>
                    <w:rPr>
                      <w:rFonts w:hint="default" w:ascii="Times New Roman" w:hAnsi="Times New Roman" w:eastAsia="宋体" w:cs="Times New Roman"/>
                      <w:color w:val="auto"/>
                      <w:sz w:val="21"/>
                      <w:szCs w:val="21"/>
                      <w:u w:val="none" w:color="auto"/>
                      <w:lang w:val="en-US" w:eastAsia="zh-CN"/>
                    </w:rPr>
                    <w:t>在浊循环北侧建设一座规模为480</w:t>
                  </w:r>
                  <w:r>
                    <w:rPr>
                      <w:rFonts w:hint="default" w:ascii="Times New Roman" w:hAnsi="Times New Roman" w:eastAsia="宋体" w:cs="Times New Roman"/>
                      <w:b w:val="0"/>
                      <w:bCs w:val="0"/>
                      <w:color w:val="auto"/>
                      <w:sz w:val="21"/>
                      <w:szCs w:val="21"/>
                      <w:u w:val="none" w:color="auto"/>
                      <w:lang w:val="en-US" w:eastAsia="zh-CN"/>
                    </w:rPr>
                    <w:t>m</w:t>
                  </w:r>
                  <w:r>
                    <w:rPr>
                      <w:rFonts w:hint="default" w:ascii="Times New Roman" w:hAnsi="Times New Roman" w:eastAsia="宋体" w:cs="Times New Roman"/>
                      <w:b w:val="0"/>
                      <w:bCs w:val="0"/>
                      <w:color w:val="auto"/>
                      <w:sz w:val="21"/>
                      <w:szCs w:val="21"/>
                      <w:u w:val="none" w:color="auto"/>
                      <w:vertAlign w:val="superscript"/>
                      <w:lang w:val="en-US" w:eastAsia="zh-CN"/>
                    </w:rPr>
                    <w:t>3</w:t>
                  </w:r>
                  <w:r>
                    <w:rPr>
                      <w:rFonts w:hint="default" w:ascii="Times New Roman" w:hAnsi="Times New Roman" w:eastAsia="宋体" w:cs="Times New Roman"/>
                      <w:b w:val="0"/>
                      <w:bCs w:val="0"/>
                      <w:color w:val="auto"/>
                      <w:sz w:val="21"/>
                      <w:szCs w:val="21"/>
                      <w:u w:val="none" w:color="auto"/>
                      <w:lang w:val="en-US" w:eastAsia="zh-CN"/>
                    </w:rPr>
                    <w:t>/d的废水处理站，处理工艺</w:t>
                  </w:r>
                  <w:r>
                    <w:rPr>
                      <w:rFonts w:hint="default" w:ascii="Times New Roman" w:hAnsi="Times New Roman" w:eastAsia="宋体" w:cs="Times New Roman"/>
                      <w:color w:val="auto"/>
                      <w:sz w:val="21"/>
                      <w:szCs w:val="21"/>
                      <w:u w:val="none" w:color="auto"/>
                    </w:rPr>
                    <w:t>主要采取中和、絮凝、沉淀等工艺处理项目</w:t>
                  </w:r>
                  <w:r>
                    <w:rPr>
                      <w:rFonts w:hint="default" w:ascii="Times New Roman" w:hAnsi="Times New Roman" w:eastAsia="宋体" w:cs="Times New Roman"/>
                      <w:color w:val="auto"/>
                      <w:sz w:val="21"/>
                      <w:szCs w:val="21"/>
                      <w:u w:val="none" w:color="auto"/>
                      <w:lang w:val="en-US" w:eastAsia="zh-CN"/>
                    </w:rPr>
                    <w:t>挤压车间喷淋装置废水，内设药剂暂存间</w:t>
                  </w:r>
                  <w:r>
                    <w:rPr>
                      <w:rFonts w:hint="default" w:ascii="Times New Roman" w:hAnsi="Times New Roman" w:eastAsia="宋体" w:cs="Times New Roman"/>
                      <w:color w:val="auto"/>
                      <w:sz w:val="21"/>
                      <w:szCs w:val="21"/>
                      <w:u w:val="none" w:color="auto"/>
                      <w:lang w:eastAsia="zh-CN"/>
                    </w:rPr>
                    <w:t>。</w:t>
                  </w:r>
                </w:p>
              </w:tc>
            </w:tr>
            <w:tr w14:paraId="4A1EC0E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75" w:type="pct"/>
                  <w:vMerge w:val="continue"/>
                  <w:noWrap w:val="0"/>
                  <w:vAlign w:val="center"/>
                </w:tcPr>
                <w:p w14:paraId="62CBCB63">
                  <w:pPr>
                    <w:keepNext w:val="0"/>
                    <w:keepLines w:val="0"/>
                    <w:pageBreakBefore w:val="0"/>
                    <w:kinsoku/>
                    <w:wordWrap/>
                    <w:overflowPunct/>
                    <w:topLinePunct w:val="0"/>
                    <w:bidi w:val="0"/>
                    <w:adjustRightInd/>
                    <w:snapToGrid/>
                    <w:spacing w:after="0" w:line="240" w:lineRule="auto"/>
                    <w:jc w:val="center"/>
                    <w:textAlignment w:val="auto"/>
                    <w:rPr>
                      <w:rFonts w:hint="default" w:ascii="Times New Roman" w:hAnsi="Times New Roman" w:eastAsia="宋体" w:cs="Times New Roman"/>
                      <w:color w:val="auto"/>
                      <w:sz w:val="21"/>
                      <w:szCs w:val="21"/>
                      <w:u w:val="none" w:color="auto"/>
                    </w:rPr>
                  </w:pPr>
                </w:p>
              </w:tc>
              <w:tc>
                <w:tcPr>
                  <w:tcW w:w="893" w:type="pct"/>
                  <w:vMerge w:val="continue"/>
                  <w:noWrap w:val="0"/>
                  <w:vAlign w:val="center"/>
                </w:tcPr>
                <w:p w14:paraId="31AA94D2">
                  <w:pPr>
                    <w:keepNext w:val="0"/>
                    <w:keepLines w:val="0"/>
                    <w:pageBreakBefore w:val="0"/>
                    <w:kinsoku/>
                    <w:wordWrap/>
                    <w:overflowPunct/>
                    <w:topLinePunct w:val="0"/>
                    <w:bidi w:val="0"/>
                    <w:adjustRightInd/>
                    <w:snapToGrid/>
                    <w:spacing w:after="0" w:line="240" w:lineRule="auto"/>
                    <w:jc w:val="center"/>
                    <w:textAlignment w:val="auto"/>
                    <w:rPr>
                      <w:rFonts w:hint="default" w:ascii="Times New Roman" w:hAnsi="Times New Roman" w:eastAsia="宋体" w:cs="Times New Roman"/>
                      <w:color w:val="auto"/>
                      <w:sz w:val="21"/>
                      <w:szCs w:val="21"/>
                      <w:u w:val="none" w:color="auto"/>
                    </w:rPr>
                  </w:pPr>
                </w:p>
              </w:tc>
              <w:tc>
                <w:tcPr>
                  <w:tcW w:w="3431" w:type="pct"/>
                  <w:noWrap w:val="0"/>
                  <w:vAlign w:val="center"/>
                </w:tcPr>
                <w:p w14:paraId="3BC8B789">
                  <w:pPr>
                    <w:keepNext w:val="0"/>
                    <w:keepLines w:val="0"/>
                    <w:pageBreakBefore w:val="0"/>
                    <w:kinsoku/>
                    <w:wordWrap/>
                    <w:overflowPunct/>
                    <w:topLinePunct w:val="0"/>
                    <w:bidi w:val="0"/>
                    <w:adjustRightInd/>
                    <w:snapToGrid/>
                    <w:spacing w:after="0" w:line="240" w:lineRule="auto"/>
                    <w:textAlignment w:val="auto"/>
                    <w:rPr>
                      <w:rFonts w:hint="default" w:ascii="Times New Roman" w:hAnsi="Times New Roman" w:eastAsia="宋体" w:cs="Times New Roman"/>
                      <w:b/>
                      <w:bCs/>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初期雨水经收集进入沉淀池（45m</w:t>
                  </w:r>
                  <w:r>
                    <w:rPr>
                      <w:rFonts w:hint="default" w:ascii="Times New Roman" w:hAnsi="Times New Roman" w:eastAsia="宋体" w:cs="Times New Roman"/>
                      <w:color w:val="auto"/>
                      <w:kern w:val="2"/>
                      <w:sz w:val="21"/>
                      <w:szCs w:val="21"/>
                      <w:highlight w:val="none"/>
                      <w:u w:val="none" w:color="auto"/>
                      <w:vertAlign w:val="superscript"/>
                      <w:lang w:val="en-US" w:eastAsia="zh-CN" w:bidi="ar-SA"/>
                    </w:rPr>
                    <w:t>3</w:t>
                  </w:r>
                  <w:r>
                    <w:rPr>
                      <w:rFonts w:hint="default" w:ascii="Times New Roman" w:hAnsi="Times New Roman" w:eastAsia="宋体" w:cs="Times New Roman"/>
                      <w:color w:val="auto"/>
                      <w:kern w:val="2"/>
                      <w:sz w:val="21"/>
                      <w:szCs w:val="21"/>
                      <w:highlight w:val="none"/>
                      <w:u w:val="none" w:color="auto"/>
                      <w:lang w:val="en-US" w:eastAsia="zh-CN" w:bidi="ar-SA"/>
                    </w:rPr>
                    <w:t>）处理，回用于道路降尘和绿化带用水</w:t>
                  </w:r>
                </w:p>
              </w:tc>
            </w:tr>
            <w:tr w14:paraId="163546F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75" w:type="pct"/>
                  <w:vMerge w:val="continue"/>
                  <w:noWrap w:val="0"/>
                  <w:vAlign w:val="center"/>
                </w:tcPr>
                <w:p w14:paraId="30D498DA">
                  <w:pPr>
                    <w:keepNext w:val="0"/>
                    <w:keepLines w:val="0"/>
                    <w:pageBreakBefore w:val="0"/>
                    <w:widowControl/>
                    <w:kinsoku/>
                    <w:wordWrap/>
                    <w:overflowPunct/>
                    <w:topLinePunct w:val="0"/>
                    <w:bidi w:val="0"/>
                    <w:adjustRightInd/>
                    <w:snapToGrid/>
                    <w:spacing w:after="0" w:line="240" w:lineRule="auto"/>
                    <w:jc w:val="left"/>
                    <w:textAlignment w:val="auto"/>
                    <w:rPr>
                      <w:rFonts w:hint="default" w:ascii="Times New Roman" w:hAnsi="Times New Roman" w:eastAsia="宋体" w:cs="Times New Roman"/>
                      <w:color w:val="auto"/>
                      <w:sz w:val="21"/>
                      <w:szCs w:val="21"/>
                      <w:u w:val="none" w:color="auto"/>
                    </w:rPr>
                  </w:pPr>
                </w:p>
              </w:tc>
              <w:tc>
                <w:tcPr>
                  <w:tcW w:w="893" w:type="pct"/>
                  <w:vMerge w:val="restart"/>
                  <w:noWrap w:val="0"/>
                  <w:vAlign w:val="center"/>
                </w:tcPr>
                <w:p w14:paraId="62ECEB1E">
                  <w:pPr>
                    <w:keepNext w:val="0"/>
                    <w:keepLines w:val="0"/>
                    <w:pageBreakBefore w:val="0"/>
                    <w:kinsoku/>
                    <w:wordWrap/>
                    <w:overflowPunct/>
                    <w:topLinePunct w:val="0"/>
                    <w:bidi w:val="0"/>
                    <w:adjustRightInd/>
                    <w:snapToGrid/>
                    <w:spacing w:after="0" w:line="240" w:lineRule="auto"/>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大气污染防治措施</w:t>
                  </w:r>
                </w:p>
              </w:tc>
              <w:tc>
                <w:tcPr>
                  <w:tcW w:w="3431" w:type="pct"/>
                  <w:noWrap w:val="0"/>
                  <w:vAlign w:val="center"/>
                </w:tcPr>
                <w:p w14:paraId="26E4BF09">
                  <w:pPr>
                    <w:keepNext w:val="0"/>
                    <w:keepLines w:val="0"/>
                    <w:pageBreakBefore w:val="0"/>
                    <w:kinsoku/>
                    <w:wordWrap/>
                    <w:overflowPunct/>
                    <w:topLinePunct w:val="0"/>
                    <w:autoSpaceDE w:val="0"/>
                    <w:autoSpaceDN w:val="0"/>
                    <w:bidi w:val="0"/>
                    <w:adjustRightInd/>
                    <w:snapToGrid/>
                    <w:spacing w:after="0" w:line="240" w:lineRule="auto"/>
                    <w:textAlignment w:val="auto"/>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b/>
                      <w:bCs/>
                      <w:color w:val="auto"/>
                      <w:sz w:val="21"/>
                      <w:szCs w:val="21"/>
                      <w:u w:val="none" w:color="auto"/>
                    </w:rPr>
                    <w:t>铝合金熔铸车间废气：</w:t>
                  </w:r>
                  <w:r>
                    <w:rPr>
                      <w:rFonts w:hint="default" w:ascii="Times New Roman" w:hAnsi="Times New Roman" w:eastAsia="宋体" w:cs="Times New Roman"/>
                      <w:color w:val="auto"/>
                      <w:sz w:val="21"/>
                      <w:szCs w:val="21"/>
                      <w:u w:val="none" w:color="auto"/>
                    </w:rPr>
                    <w:t>矩形燃气熔铝炉使用天然气燃烧产生的废气</w:t>
                  </w: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rPr>
                    <w:t>还有熔化材料、扒渣、精炼、在线处理等工序产生的废气</w:t>
                  </w: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rPr>
                    <w:t>该部分废气分别经集气罩收集混合后</w:t>
                  </w: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rPr>
                    <w:t>经一套</w:t>
                  </w:r>
                  <w:r>
                    <w:rPr>
                      <w:rFonts w:hint="default" w:ascii="Times New Roman" w:hAnsi="Times New Roman" w:eastAsia="宋体" w:cs="Times New Roman"/>
                      <w:color w:val="auto"/>
                      <w:sz w:val="21"/>
                      <w:szCs w:val="21"/>
                      <w:u w:val="none" w:color="auto"/>
                      <w:lang w:eastAsia="zh-CN"/>
                    </w:rPr>
                    <w:t>熟石灰</w:t>
                  </w:r>
                  <w:r>
                    <w:rPr>
                      <w:rFonts w:hint="default" w:ascii="Times New Roman" w:hAnsi="Times New Roman" w:eastAsia="宋体" w:cs="Times New Roman"/>
                      <w:color w:val="auto"/>
                      <w:sz w:val="21"/>
                      <w:szCs w:val="21"/>
                      <w:u w:val="none" w:color="auto"/>
                      <w:lang w:val="en-US" w:eastAsia="zh-CN"/>
                    </w:rPr>
                    <w:t>+</w:t>
                  </w:r>
                  <w:r>
                    <w:rPr>
                      <w:rFonts w:hint="default" w:ascii="Times New Roman" w:hAnsi="Times New Roman" w:eastAsia="宋体" w:cs="Times New Roman"/>
                      <w:color w:val="auto"/>
                      <w:sz w:val="21"/>
                      <w:szCs w:val="21"/>
                      <w:u w:val="none" w:color="auto"/>
                    </w:rPr>
                    <w:t>布袋除尘设施处理达标后</w:t>
                  </w: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rPr>
                    <w:t>经</w:t>
                  </w:r>
                  <w:r>
                    <w:rPr>
                      <w:rFonts w:hint="default" w:ascii="Times New Roman" w:hAnsi="Times New Roman" w:eastAsia="宋体" w:cs="Times New Roman"/>
                      <w:color w:val="auto"/>
                      <w:sz w:val="21"/>
                      <w:szCs w:val="21"/>
                      <w:u w:val="none" w:color="auto"/>
                      <w:lang w:val="en-US" w:eastAsia="zh-CN"/>
                    </w:rPr>
                    <w:t>32</w:t>
                  </w:r>
                  <w:r>
                    <w:rPr>
                      <w:rFonts w:hint="default" w:ascii="Times New Roman" w:hAnsi="Times New Roman" w:eastAsia="宋体" w:cs="Times New Roman"/>
                      <w:color w:val="auto"/>
                      <w:sz w:val="21"/>
                      <w:szCs w:val="21"/>
                      <w:u w:val="none" w:color="auto"/>
                    </w:rPr>
                    <w:t>m高排气筒（</w:t>
                  </w:r>
                  <w:r>
                    <w:rPr>
                      <w:rFonts w:hint="default" w:ascii="Times New Roman" w:hAnsi="Times New Roman" w:eastAsia="宋体" w:cs="Times New Roman"/>
                      <w:color w:val="auto"/>
                      <w:sz w:val="21"/>
                      <w:szCs w:val="21"/>
                      <w:u w:val="none" w:color="auto"/>
                      <w:lang w:val="en-US" w:eastAsia="zh-CN"/>
                    </w:rPr>
                    <w:t>DA001</w:t>
                  </w:r>
                  <w:r>
                    <w:rPr>
                      <w:rFonts w:hint="default" w:ascii="Times New Roman" w:hAnsi="Times New Roman" w:eastAsia="宋体" w:cs="Times New Roman"/>
                      <w:color w:val="auto"/>
                      <w:sz w:val="21"/>
                      <w:szCs w:val="21"/>
                      <w:u w:val="none" w:color="auto"/>
                    </w:rPr>
                    <w:t>排气筒）排放。</w:t>
                  </w:r>
                </w:p>
              </w:tc>
            </w:tr>
            <w:tr w14:paraId="2DFFC23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75" w:type="pct"/>
                  <w:vMerge w:val="continue"/>
                  <w:noWrap w:val="0"/>
                  <w:vAlign w:val="center"/>
                </w:tcPr>
                <w:p w14:paraId="47E720D4">
                  <w:pPr>
                    <w:keepNext w:val="0"/>
                    <w:keepLines w:val="0"/>
                    <w:pageBreakBefore w:val="0"/>
                    <w:widowControl/>
                    <w:kinsoku/>
                    <w:wordWrap/>
                    <w:overflowPunct/>
                    <w:topLinePunct w:val="0"/>
                    <w:bidi w:val="0"/>
                    <w:adjustRightInd/>
                    <w:snapToGrid/>
                    <w:spacing w:after="0" w:line="240" w:lineRule="auto"/>
                    <w:jc w:val="left"/>
                    <w:textAlignment w:val="auto"/>
                    <w:rPr>
                      <w:rFonts w:hint="default" w:ascii="Times New Roman" w:hAnsi="Times New Roman" w:eastAsia="宋体" w:cs="Times New Roman"/>
                      <w:color w:val="auto"/>
                      <w:sz w:val="21"/>
                      <w:szCs w:val="21"/>
                      <w:u w:val="none" w:color="auto"/>
                    </w:rPr>
                  </w:pPr>
                </w:p>
              </w:tc>
              <w:tc>
                <w:tcPr>
                  <w:tcW w:w="893" w:type="pct"/>
                  <w:vMerge w:val="continue"/>
                  <w:noWrap w:val="0"/>
                  <w:vAlign w:val="center"/>
                </w:tcPr>
                <w:p w14:paraId="14A9A214">
                  <w:pPr>
                    <w:keepNext w:val="0"/>
                    <w:keepLines w:val="0"/>
                    <w:pageBreakBefore w:val="0"/>
                    <w:kinsoku/>
                    <w:wordWrap/>
                    <w:overflowPunct/>
                    <w:topLinePunct w:val="0"/>
                    <w:bidi w:val="0"/>
                    <w:adjustRightInd/>
                    <w:snapToGrid/>
                    <w:spacing w:after="0" w:line="240" w:lineRule="auto"/>
                    <w:jc w:val="center"/>
                    <w:textAlignment w:val="auto"/>
                    <w:rPr>
                      <w:rFonts w:hint="default" w:ascii="Times New Roman" w:hAnsi="Times New Roman" w:eastAsia="宋体" w:cs="Times New Roman"/>
                      <w:color w:val="auto"/>
                      <w:sz w:val="21"/>
                      <w:szCs w:val="21"/>
                      <w:u w:val="none" w:color="auto"/>
                    </w:rPr>
                  </w:pPr>
                </w:p>
              </w:tc>
              <w:tc>
                <w:tcPr>
                  <w:tcW w:w="3431" w:type="pct"/>
                  <w:noWrap w:val="0"/>
                  <w:vAlign w:val="center"/>
                </w:tcPr>
                <w:p w14:paraId="0DE87231">
                  <w:pPr>
                    <w:keepNext w:val="0"/>
                    <w:keepLines w:val="0"/>
                    <w:pageBreakBefore w:val="0"/>
                    <w:kinsoku/>
                    <w:wordWrap/>
                    <w:overflowPunct/>
                    <w:topLinePunct w:val="0"/>
                    <w:autoSpaceDE w:val="0"/>
                    <w:autoSpaceDN w:val="0"/>
                    <w:bidi w:val="0"/>
                    <w:adjustRightInd/>
                    <w:snapToGrid/>
                    <w:spacing w:after="0" w:line="240" w:lineRule="auto"/>
                    <w:textAlignment w:val="auto"/>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b/>
                      <w:bCs/>
                      <w:color w:val="auto"/>
                      <w:sz w:val="21"/>
                      <w:szCs w:val="21"/>
                      <w:u w:val="none" w:color="auto"/>
                    </w:rPr>
                    <w:t>铝合金熔铸车间铝渣处理装置废气：</w:t>
                  </w:r>
                  <w:r>
                    <w:rPr>
                      <w:rFonts w:hint="default" w:ascii="Times New Roman" w:hAnsi="Times New Roman" w:eastAsia="宋体" w:cs="Times New Roman"/>
                      <w:color w:val="auto"/>
                      <w:sz w:val="21"/>
                      <w:szCs w:val="21"/>
                      <w:u w:val="none" w:color="auto"/>
                    </w:rPr>
                    <w:t>在对铝渣进行</w:t>
                  </w:r>
                  <w:r>
                    <w:rPr>
                      <w:rFonts w:hint="default" w:ascii="Times New Roman" w:hAnsi="Times New Roman" w:eastAsia="宋体" w:cs="Times New Roman"/>
                      <w:color w:val="auto"/>
                      <w:sz w:val="21"/>
                      <w:szCs w:val="21"/>
                      <w:u w:val="none" w:color="auto"/>
                      <w:lang w:val="en-US" w:eastAsia="zh-CN"/>
                    </w:rPr>
                    <w:t>处理</w:t>
                  </w:r>
                  <w:r>
                    <w:rPr>
                      <w:rFonts w:hint="default" w:ascii="Times New Roman" w:hAnsi="Times New Roman" w:eastAsia="宋体" w:cs="Times New Roman"/>
                      <w:color w:val="auto"/>
                      <w:sz w:val="21"/>
                      <w:szCs w:val="21"/>
                      <w:u w:val="none" w:color="auto"/>
                    </w:rPr>
                    <w:t>时产生的废气</w:t>
                  </w: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rPr>
                    <w:t>经</w:t>
                  </w:r>
                  <w:r>
                    <w:rPr>
                      <w:rFonts w:hint="default" w:ascii="Times New Roman" w:hAnsi="Times New Roman" w:eastAsia="宋体" w:cs="Times New Roman"/>
                      <w:color w:val="auto"/>
                      <w:sz w:val="21"/>
                      <w:szCs w:val="21"/>
                      <w:u w:val="none" w:color="auto"/>
                      <w:lang w:val="en-US" w:eastAsia="zh-CN"/>
                    </w:rPr>
                    <w:t>集气罩收集后，由</w:t>
                  </w:r>
                  <w:r>
                    <w:rPr>
                      <w:rFonts w:hint="default" w:ascii="Times New Roman" w:hAnsi="Times New Roman" w:eastAsia="宋体" w:cs="Times New Roman"/>
                      <w:color w:val="auto"/>
                      <w:sz w:val="21"/>
                      <w:szCs w:val="21"/>
                      <w:u w:val="none" w:color="auto"/>
                      <w:lang w:eastAsia="zh-CN"/>
                    </w:rPr>
                    <w:t>铝合金熔铸车间的熟石灰</w:t>
                  </w:r>
                  <w:r>
                    <w:rPr>
                      <w:rFonts w:hint="default" w:ascii="Times New Roman" w:hAnsi="Times New Roman" w:eastAsia="宋体" w:cs="Times New Roman"/>
                      <w:color w:val="auto"/>
                      <w:sz w:val="21"/>
                      <w:szCs w:val="21"/>
                      <w:u w:val="none" w:color="auto"/>
                      <w:lang w:val="en-US" w:eastAsia="zh-CN"/>
                    </w:rPr>
                    <w:t>+</w:t>
                  </w:r>
                  <w:r>
                    <w:rPr>
                      <w:rFonts w:hint="default" w:ascii="Times New Roman" w:hAnsi="Times New Roman" w:eastAsia="宋体" w:cs="Times New Roman"/>
                      <w:color w:val="auto"/>
                      <w:sz w:val="21"/>
                      <w:szCs w:val="21"/>
                      <w:u w:val="none" w:color="auto"/>
                      <w:lang w:eastAsia="zh-CN"/>
                    </w:rPr>
                    <w:t>布袋除尘</w:t>
                  </w:r>
                  <w:r>
                    <w:rPr>
                      <w:rFonts w:hint="default" w:ascii="Times New Roman" w:hAnsi="Times New Roman" w:eastAsia="宋体" w:cs="Times New Roman"/>
                      <w:color w:val="auto"/>
                      <w:sz w:val="21"/>
                      <w:szCs w:val="21"/>
                      <w:u w:val="none" w:color="auto"/>
                    </w:rPr>
                    <w:t>处理装置处理后</w:t>
                  </w: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rPr>
                    <w:t>经</w:t>
                  </w:r>
                  <w:r>
                    <w:rPr>
                      <w:rFonts w:hint="default" w:ascii="Times New Roman" w:hAnsi="Times New Roman" w:eastAsia="宋体" w:cs="Times New Roman"/>
                      <w:color w:val="auto"/>
                      <w:sz w:val="21"/>
                      <w:szCs w:val="21"/>
                      <w:u w:val="none" w:color="auto"/>
                      <w:lang w:val="en-US" w:eastAsia="zh-CN"/>
                    </w:rPr>
                    <w:t>32</w:t>
                  </w:r>
                  <w:r>
                    <w:rPr>
                      <w:rFonts w:hint="default" w:ascii="Times New Roman" w:hAnsi="Times New Roman" w:eastAsia="宋体" w:cs="Times New Roman"/>
                      <w:color w:val="auto"/>
                      <w:sz w:val="21"/>
                      <w:szCs w:val="21"/>
                      <w:u w:val="none" w:color="auto"/>
                    </w:rPr>
                    <w:t>m高排气筒（</w:t>
                  </w:r>
                  <w:r>
                    <w:rPr>
                      <w:rFonts w:hint="default" w:ascii="Times New Roman" w:hAnsi="Times New Roman" w:eastAsia="宋体" w:cs="Times New Roman"/>
                      <w:color w:val="auto"/>
                      <w:sz w:val="21"/>
                      <w:szCs w:val="21"/>
                      <w:u w:val="none" w:color="auto"/>
                      <w:lang w:val="en-US" w:eastAsia="zh-CN"/>
                    </w:rPr>
                    <w:t>DA001</w:t>
                  </w:r>
                  <w:r>
                    <w:rPr>
                      <w:rFonts w:hint="default" w:ascii="Times New Roman" w:hAnsi="Times New Roman" w:eastAsia="宋体" w:cs="Times New Roman"/>
                      <w:color w:val="auto"/>
                      <w:sz w:val="21"/>
                      <w:szCs w:val="21"/>
                      <w:u w:val="none" w:color="auto"/>
                    </w:rPr>
                    <w:t>排气筒）排放。</w:t>
                  </w:r>
                </w:p>
              </w:tc>
            </w:tr>
            <w:tr w14:paraId="48B6FD0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75" w:type="pct"/>
                  <w:vMerge w:val="continue"/>
                  <w:noWrap w:val="0"/>
                  <w:vAlign w:val="center"/>
                </w:tcPr>
                <w:p w14:paraId="77E95EDC">
                  <w:pPr>
                    <w:keepNext w:val="0"/>
                    <w:keepLines w:val="0"/>
                    <w:pageBreakBefore w:val="0"/>
                    <w:widowControl/>
                    <w:kinsoku/>
                    <w:wordWrap/>
                    <w:overflowPunct/>
                    <w:topLinePunct w:val="0"/>
                    <w:bidi w:val="0"/>
                    <w:adjustRightInd/>
                    <w:snapToGrid/>
                    <w:spacing w:after="0" w:line="240" w:lineRule="auto"/>
                    <w:jc w:val="left"/>
                    <w:textAlignment w:val="auto"/>
                    <w:rPr>
                      <w:rFonts w:hint="default" w:ascii="Times New Roman" w:hAnsi="Times New Roman" w:eastAsia="宋体" w:cs="Times New Roman"/>
                      <w:color w:val="auto"/>
                      <w:sz w:val="21"/>
                      <w:szCs w:val="21"/>
                      <w:u w:val="none" w:color="auto"/>
                    </w:rPr>
                  </w:pPr>
                </w:p>
              </w:tc>
              <w:tc>
                <w:tcPr>
                  <w:tcW w:w="893" w:type="pct"/>
                  <w:vMerge w:val="continue"/>
                  <w:noWrap w:val="0"/>
                  <w:vAlign w:val="center"/>
                </w:tcPr>
                <w:p w14:paraId="4F0AEDAE">
                  <w:pPr>
                    <w:keepNext w:val="0"/>
                    <w:keepLines w:val="0"/>
                    <w:pageBreakBefore w:val="0"/>
                    <w:kinsoku/>
                    <w:wordWrap/>
                    <w:overflowPunct/>
                    <w:topLinePunct w:val="0"/>
                    <w:bidi w:val="0"/>
                    <w:adjustRightInd/>
                    <w:snapToGrid/>
                    <w:spacing w:after="0" w:line="240" w:lineRule="auto"/>
                    <w:jc w:val="center"/>
                    <w:textAlignment w:val="auto"/>
                    <w:rPr>
                      <w:rFonts w:hint="default" w:ascii="Times New Roman" w:hAnsi="Times New Roman" w:eastAsia="宋体" w:cs="Times New Roman"/>
                      <w:color w:val="auto"/>
                      <w:sz w:val="21"/>
                      <w:szCs w:val="21"/>
                      <w:u w:val="none" w:color="auto"/>
                    </w:rPr>
                  </w:pPr>
                </w:p>
              </w:tc>
              <w:tc>
                <w:tcPr>
                  <w:tcW w:w="3431" w:type="pct"/>
                  <w:noWrap w:val="0"/>
                  <w:vAlign w:val="center"/>
                </w:tcPr>
                <w:p w14:paraId="48D9DF10">
                  <w:pPr>
                    <w:keepNext w:val="0"/>
                    <w:keepLines w:val="0"/>
                    <w:pageBreakBefore w:val="0"/>
                    <w:kinsoku/>
                    <w:wordWrap/>
                    <w:overflowPunct/>
                    <w:topLinePunct w:val="0"/>
                    <w:autoSpaceDE w:val="0"/>
                    <w:autoSpaceDN w:val="0"/>
                    <w:bidi w:val="0"/>
                    <w:adjustRightInd/>
                    <w:snapToGrid/>
                    <w:spacing w:after="0" w:line="240" w:lineRule="auto"/>
                    <w:textAlignment w:val="auto"/>
                    <w:rPr>
                      <w:rFonts w:hint="default" w:ascii="Times New Roman" w:hAnsi="Times New Roman" w:eastAsia="宋体" w:cs="Times New Roman"/>
                      <w:b/>
                      <w:bCs/>
                      <w:color w:val="auto"/>
                      <w:kern w:val="2"/>
                      <w:sz w:val="21"/>
                      <w:szCs w:val="21"/>
                      <w:u w:val="none" w:color="auto"/>
                      <w:lang w:val="en-US" w:eastAsia="zh-CN" w:bidi="ar-SA"/>
                    </w:rPr>
                  </w:pPr>
                  <w:r>
                    <w:rPr>
                      <w:rFonts w:hint="default" w:ascii="Times New Roman" w:hAnsi="Times New Roman" w:eastAsia="宋体" w:cs="Times New Roman"/>
                      <w:b/>
                      <w:bCs/>
                      <w:color w:val="auto"/>
                      <w:sz w:val="21"/>
                      <w:szCs w:val="21"/>
                      <w:u w:val="none" w:color="auto"/>
                    </w:rPr>
                    <w:t>铝合金熔铸车间</w:t>
                  </w:r>
                  <w:r>
                    <w:rPr>
                      <w:rFonts w:hint="default" w:ascii="Times New Roman" w:hAnsi="Times New Roman" w:eastAsia="宋体" w:cs="Times New Roman"/>
                      <w:b/>
                      <w:bCs/>
                      <w:color w:val="auto"/>
                      <w:sz w:val="21"/>
                      <w:szCs w:val="21"/>
                      <w:u w:val="none" w:color="auto"/>
                      <w:lang w:val="en-US" w:eastAsia="zh-CN"/>
                    </w:rPr>
                    <w:t>低倍检测室</w:t>
                  </w:r>
                  <w:r>
                    <w:rPr>
                      <w:rFonts w:hint="default" w:ascii="Times New Roman" w:hAnsi="Times New Roman" w:eastAsia="宋体" w:cs="Times New Roman"/>
                      <w:b/>
                      <w:bCs/>
                      <w:color w:val="auto"/>
                      <w:sz w:val="21"/>
                      <w:szCs w:val="21"/>
                      <w:u w:val="none" w:color="auto"/>
                    </w:rPr>
                    <w:t>废气：</w:t>
                  </w:r>
                  <w:r>
                    <w:rPr>
                      <w:rFonts w:hint="default" w:ascii="Times New Roman" w:hAnsi="Times New Roman" w:eastAsia="宋体" w:cs="Times New Roman"/>
                      <w:color w:val="auto"/>
                      <w:sz w:val="21"/>
                      <w:szCs w:val="21"/>
                      <w:u w:val="none" w:color="auto"/>
                    </w:rPr>
                    <w:t>在对</w:t>
                  </w:r>
                  <w:r>
                    <w:rPr>
                      <w:rFonts w:hint="default" w:ascii="Times New Roman" w:hAnsi="Times New Roman" w:eastAsia="宋体" w:cs="Times New Roman"/>
                      <w:color w:val="auto"/>
                      <w:sz w:val="21"/>
                      <w:szCs w:val="21"/>
                      <w:u w:val="none" w:color="auto"/>
                      <w:lang w:val="en-US" w:eastAsia="zh-CN"/>
                    </w:rPr>
                    <w:t>铝合金样片进行酸碱腐蚀时</w:t>
                  </w: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lang w:val="en-US" w:eastAsia="zh-CN"/>
                    </w:rPr>
                    <w:t>产生的酸碱废气</w:t>
                  </w:r>
                  <w:r>
                    <w:rPr>
                      <w:rFonts w:hint="default" w:ascii="Times New Roman" w:hAnsi="Times New Roman" w:eastAsia="宋体" w:cs="Times New Roman"/>
                      <w:color w:val="auto"/>
                      <w:sz w:val="21"/>
                      <w:szCs w:val="21"/>
                      <w:u w:val="none" w:color="auto"/>
                    </w:rPr>
                    <w:t>经</w:t>
                  </w:r>
                  <w:r>
                    <w:rPr>
                      <w:rFonts w:hint="default" w:ascii="Times New Roman" w:hAnsi="Times New Roman" w:eastAsia="宋体" w:cs="Times New Roman"/>
                      <w:color w:val="auto"/>
                      <w:sz w:val="21"/>
                      <w:szCs w:val="21"/>
                      <w:u w:val="none" w:color="auto"/>
                      <w:lang w:val="en-US" w:eastAsia="zh-CN"/>
                    </w:rPr>
                    <w:t>集气管道收集，由</w:t>
                  </w:r>
                  <w:r>
                    <w:rPr>
                      <w:rFonts w:hint="default" w:ascii="Times New Roman" w:hAnsi="Times New Roman" w:eastAsia="宋体" w:cs="Times New Roman"/>
                      <w:color w:val="auto"/>
                      <w:sz w:val="21"/>
                      <w:szCs w:val="21"/>
                      <w:u w:val="none" w:color="auto"/>
                      <w:lang w:eastAsia="zh-CN"/>
                    </w:rPr>
                    <w:t>铝合金熔铸车间</w:t>
                  </w:r>
                  <w:r>
                    <w:rPr>
                      <w:rFonts w:hint="default" w:ascii="Times New Roman" w:hAnsi="Times New Roman" w:eastAsia="宋体" w:cs="Times New Roman"/>
                      <w:color w:val="auto"/>
                      <w:sz w:val="21"/>
                      <w:szCs w:val="21"/>
                      <w:u w:val="none" w:color="auto"/>
                      <w:lang w:val="en-US" w:eastAsia="zh-CN"/>
                    </w:rPr>
                    <w:t>低倍室</w:t>
                  </w:r>
                  <w:r>
                    <w:rPr>
                      <w:rFonts w:hint="default" w:ascii="Times New Roman" w:hAnsi="Times New Roman" w:eastAsia="宋体" w:cs="Times New Roman"/>
                      <w:color w:val="auto"/>
                      <w:sz w:val="21"/>
                      <w:szCs w:val="21"/>
                      <w:u w:val="none" w:color="auto"/>
                      <w:lang w:eastAsia="zh-CN"/>
                    </w:rPr>
                    <w:t>的</w:t>
                  </w:r>
                  <w:r>
                    <w:rPr>
                      <w:rFonts w:hint="default" w:ascii="Times New Roman" w:hAnsi="Times New Roman" w:eastAsia="宋体" w:cs="Times New Roman"/>
                      <w:color w:val="auto"/>
                      <w:sz w:val="21"/>
                      <w:szCs w:val="21"/>
                      <w:u w:val="none" w:color="auto"/>
                      <w:lang w:val="en-US" w:eastAsia="zh-CN"/>
                    </w:rPr>
                    <w:t>酸雾</w:t>
                  </w:r>
                  <w:r>
                    <w:rPr>
                      <w:rFonts w:hint="default" w:ascii="Times New Roman" w:hAnsi="Times New Roman" w:eastAsia="宋体" w:cs="Times New Roman"/>
                      <w:color w:val="auto"/>
                      <w:sz w:val="21"/>
                      <w:szCs w:val="21"/>
                      <w:u w:val="none" w:color="auto"/>
                    </w:rPr>
                    <w:t>处理</w:t>
                  </w:r>
                  <w:r>
                    <w:rPr>
                      <w:rFonts w:hint="default" w:ascii="Times New Roman" w:hAnsi="Times New Roman" w:eastAsia="宋体" w:cs="Times New Roman"/>
                      <w:color w:val="auto"/>
                      <w:sz w:val="21"/>
                      <w:szCs w:val="21"/>
                      <w:u w:val="none" w:color="auto"/>
                      <w:lang w:val="en-US" w:eastAsia="zh-CN"/>
                    </w:rPr>
                    <w:t>喷淋塔</w:t>
                  </w:r>
                  <w:r>
                    <w:rPr>
                      <w:rFonts w:hint="default" w:ascii="Times New Roman" w:hAnsi="Times New Roman" w:eastAsia="宋体" w:cs="Times New Roman"/>
                      <w:color w:val="auto"/>
                      <w:sz w:val="21"/>
                      <w:szCs w:val="21"/>
                      <w:u w:val="none" w:color="auto"/>
                    </w:rPr>
                    <w:t>处理后</w:t>
                  </w: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sz w:val="21"/>
                      <w:szCs w:val="21"/>
                      <w:highlight w:val="none"/>
                      <w:u w:val="none" w:color="auto"/>
                    </w:rPr>
                    <w:t>经</w:t>
                  </w:r>
                  <w:r>
                    <w:rPr>
                      <w:rFonts w:hint="default" w:ascii="Times New Roman" w:hAnsi="Times New Roman" w:eastAsia="宋体" w:cs="Times New Roman"/>
                      <w:color w:val="auto"/>
                      <w:sz w:val="21"/>
                      <w:szCs w:val="21"/>
                      <w:highlight w:val="none"/>
                      <w:u w:val="none" w:color="auto"/>
                      <w:lang w:val="en-US" w:eastAsia="zh-CN"/>
                    </w:rPr>
                    <w:t>16</w:t>
                  </w:r>
                  <w:r>
                    <w:rPr>
                      <w:rFonts w:hint="default" w:ascii="Times New Roman" w:hAnsi="Times New Roman" w:eastAsia="宋体" w:cs="Times New Roman"/>
                      <w:color w:val="auto"/>
                      <w:sz w:val="21"/>
                      <w:szCs w:val="21"/>
                      <w:highlight w:val="none"/>
                      <w:u w:val="none" w:color="auto"/>
                    </w:rPr>
                    <w:t>m高排气筒</w:t>
                  </w:r>
                  <w:r>
                    <w:rPr>
                      <w:rFonts w:hint="default" w:ascii="Times New Roman" w:hAnsi="Times New Roman" w:eastAsia="宋体" w:cs="Times New Roman"/>
                      <w:color w:val="auto"/>
                      <w:sz w:val="21"/>
                      <w:szCs w:val="21"/>
                      <w:highlight w:val="none"/>
                      <w:u w:val="none" w:color="auto"/>
                      <w:lang w:eastAsia="zh-CN"/>
                    </w:rPr>
                    <w:t>（</w:t>
                  </w:r>
                  <w:r>
                    <w:rPr>
                      <w:rFonts w:hint="default" w:ascii="Times New Roman" w:hAnsi="Times New Roman" w:eastAsia="宋体" w:cs="Times New Roman"/>
                      <w:color w:val="auto"/>
                      <w:sz w:val="21"/>
                      <w:szCs w:val="21"/>
                      <w:highlight w:val="none"/>
                      <w:u w:val="none" w:color="auto"/>
                      <w:lang w:val="en-US" w:eastAsia="zh-CN"/>
                    </w:rPr>
                    <w:t>DA004</w:t>
                  </w:r>
                  <w:r>
                    <w:rPr>
                      <w:rFonts w:hint="default" w:ascii="Times New Roman" w:hAnsi="Times New Roman" w:eastAsia="宋体" w:cs="Times New Roman"/>
                      <w:color w:val="auto"/>
                      <w:sz w:val="21"/>
                      <w:szCs w:val="21"/>
                      <w:highlight w:val="none"/>
                      <w:u w:val="none" w:color="auto"/>
                      <w:lang w:eastAsia="zh-CN"/>
                    </w:rPr>
                    <w:t>）</w:t>
                  </w:r>
                  <w:r>
                    <w:rPr>
                      <w:rFonts w:hint="default" w:ascii="Times New Roman" w:hAnsi="Times New Roman" w:eastAsia="宋体" w:cs="Times New Roman"/>
                      <w:color w:val="auto"/>
                      <w:sz w:val="21"/>
                      <w:szCs w:val="21"/>
                      <w:highlight w:val="none"/>
                      <w:u w:val="none" w:color="auto"/>
                    </w:rPr>
                    <w:t>排放。</w:t>
                  </w:r>
                </w:p>
              </w:tc>
            </w:tr>
            <w:tr w14:paraId="7A7C678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75" w:type="pct"/>
                  <w:vMerge w:val="continue"/>
                  <w:noWrap w:val="0"/>
                  <w:vAlign w:val="center"/>
                </w:tcPr>
                <w:p w14:paraId="1335B082">
                  <w:pPr>
                    <w:keepNext w:val="0"/>
                    <w:keepLines w:val="0"/>
                    <w:pageBreakBefore w:val="0"/>
                    <w:widowControl/>
                    <w:kinsoku/>
                    <w:wordWrap/>
                    <w:overflowPunct/>
                    <w:topLinePunct w:val="0"/>
                    <w:bidi w:val="0"/>
                    <w:adjustRightInd/>
                    <w:snapToGrid/>
                    <w:spacing w:after="0" w:line="240" w:lineRule="auto"/>
                    <w:jc w:val="left"/>
                    <w:textAlignment w:val="auto"/>
                    <w:rPr>
                      <w:rFonts w:hint="default" w:ascii="Times New Roman" w:hAnsi="Times New Roman" w:eastAsia="宋体" w:cs="Times New Roman"/>
                      <w:color w:val="auto"/>
                      <w:sz w:val="21"/>
                      <w:szCs w:val="21"/>
                      <w:u w:val="none" w:color="auto"/>
                    </w:rPr>
                  </w:pPr>
                </w:p>
              </w:tc>
              <w:tc>
                <w:tcPr>
                  <w:tcW w:w="893" w:type="pct"/>
                  <w:vMerge w:val="continue"/>
                  <w:noWrap w:val="0"/>
                  <w:vAlign w:val="center"/>
                </w:tcPr>
                <w:p w14:paraId="456B356A">
                  <w:pPr>
                    <w:keepNext w:val="0"/>
                    <w:keepLines w:val="0"/>
                    <w:pageBreakBefore w:val="0"/>
                    <w:kinsoku/>
                    <w:wordWrap/>
                    <w:overflowPunct/>
                    <w:topLinePunct w:val="0"/>
                    <w:bidi w:val="0"/>
                    <w:adjustRightInd/>
                    <w:snapToGrid/>
                    <w:spacing w:after="0" w:line="240" w:lineRule="auto"/>
                    <w:jc w:val="center"/>
                    <w:textAlignment w:val="auto"/>
                    <w:rPr>
                      <w:rFonts w:hint="default" w:ascii="Times New Roman" w:hAnsi="Times New Roman" w:eastAsia="宋体" w:cs="Times New Roman"/>
                      <w:color w:val="auto"/>
                      <w:sz w:val="21"/>
                      <w:szCs w:val="21"/>
                      <w:u w:val="none" w:color="auto"/>
                    </w:rPr>
                  </w:pPr>
                </w:p>
              </w:tc>
              <w:tc>
                <w:tcPr>
                  <w:tcW w:w="3431" w:type="pct"/>
                  <w:noWrap w:val="0"/>
                  <w:vAlign w:val="center"/>
                </w:tcPr>
                <w:p w14:paraId="3A129A04">
                  <w:pPr>
                    <w:keepNext w:val="0"/>
                    <w:keepLines w:val="0"/>
                    <w:pageBreakBefore w:val="0"/>
                    <w:kinsoku/>
                    <w:wordWrap/>
                    <w:overflowPunct/>
                    <w:topLinePunct w:val="0"/>
                    <w:autoSpaceDE w:val="0"/>
                    <w:autoSpaceDN w:val="0"/>
                    <w:bidi w:val="0"/>
                    <w:adjustRightInd/>
                    <w:snapToGrid/>
                    <w:spacing w:after="0" w:line="240" w:lineRule="auto"/>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b/>
                      <w:bCs/>
                      <w:color w:val="auto"/>
                      <w:sz w:val="21"/>
                      <w:szCs w:val="21"/>
                      <w:u w:val="none" w:color="auto"/>
                    </w:rPr>
                    <w:t>铝锂熔铸车间废气：</w:t>
                  </w:r>
                  <w:r>
                    <w:rPr>
                      <w:rFonts w:hint="default" w:ascii="Times New Roman" w:hAnsi="Times New Roman" w:eastAsia="宋体" w:cs="Times New Roman"/>
                      <w:color w:val="auto"/>
                      <w:sz w:val="21"/>
                      <w:szCs w:val="21"/>
                      <w:u w:val="none" w:color="auto"/>
                    </w:rPr>
                    <w:t>主要有感应炉熔化材料、扒渣、精炼等工序产生的废气</w:t>
                  </w: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rPr>
                    <w:t>该部分废气分别经集气罩收集混合后</w:t>
                  </w: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rPr>
                    <w:t>经喷淋除尘和塑烧板除尘</w:t>
                  </w:r>
                  <w:r>
                    <w:rPr>
                      <w:rFonts w:hint="default" w:ascii="Times New Roman" w:hAnsi="Times New Roman" w:eastAsia="宋体" w:cs="Times New Roman"/>
                      <w:color w:val="auto"/>
                      <w:sz w:val="21"/>
                      <w:szCs w:val="21"/>
                      <w:u w:val="none" w:color="auto"/>
                      <w:lang w:eastAsia="zh-CN"/>
                    </w:rPr>
                    <w:t>器</w:t>
                  </w:r>
                  <w:r>
                    <w:rPr>
                      <w:rFonts w:hint="default" w:ascii="Times New Roman" w:hAnsi="Times New Roman" w:eastAsia="宋体" w:cs="Times New Roman"/>
                      <w:color w:val="auto"/>
                      <w:sz w:val="21"/>
                      <w:szCs w:val="21"/>
                      <w:u w:val="none" w:color="auto"/>
                    </w:rPr>
                    <w:t>处理达标后</w:t>
                  </w: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rPr>
                    <w:t>经20m高排气筒（</w:t>
                  </w:r>
                  <w:r>
                    <w:rPr>
                      <w:rFonts w:hint="default" w:ascii="Times New Roman" w:hAnsi="Times New Roman" w:eastAsia="宋体" w:cs="Times New Roman"/>
                      <w:color w:val="auto"/>
                      <w:sz w:val="21"/>
                      <w:szCs w:val="21"/>
                      <w:u w:val="none" w:color="auto"/>
                      <w:lang w:val="en-US" w:eastAsia="zh-CN"/>
                    </w:rPr>
                    <w:t>DA002</w:t>
                  </w:r>
                  <w:r>
                    <w:rPr>
                      <w:rFonts w:hint="default" w:ascii="Times New Roman" w:hAnsi="Times New Roman" w:eastAsia="宋体" w:cs="Times New Roman"/>
                      <w:color w:val="auto"/>
                      <w:sz w:val="21"/>
                      <w:szCs w:val="21"/>
                      <w:u w:val="none" w:color="auto"/>
                    </w:rPr>
                    <w:t>排气筒）排放。</w:t>
                  </w:r>
                </w:p>
                <w:p w14:paraId="1E9B1B0B">
                  <w:pPr>
                    <w:keepNext w:val="0"/>
                    <w:keepLines w:val="0"/>
                    <w:pageBreakBefore w:val="0"/>
                    <w:kinsoku/>
                    <w:wordWrap/>
                    <w:overflowPunct/>
                    <w:topLinePunct w:val="0"/>
                    <w:autoSpaceDE w:val="0"/>
                    <w:autoSpaceDN w:val="0"/>
                    <w:bidi w:val="0"/>
                    <w:adjustRightInd/>
                    <w:snapToGrid/>
                    <w:spacing w:after="0" w:line="240" w:lineRule="auto"/>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少量在线处理系统废气（主要为氩气）经专用风机处理后</w:t>
                  </w:r>
                  <w:r>
                    <w:rPr>
                      <w:rFonts w:hint="default" w:ascii="Times New Roman" w:hAnsi="Times New Roman" w:eastAsia="宋体" w:cs="Times New Roman"/>
                      <w:color w:val="auto"/>
                      <w:sz w:val="21"/>
                      <w:szCs w:val="21"/>
                      <w:u w:val="none" w:color="auto"/>
                      <w:lang w:eastAsia="zh-CN"/>
                    </w:rPr>
                    <w:t>通过</w:t>
                  </w:r>
                  <w:r>
                    <w:rPr>
                      <w:rFonts w:hint="default" w:ascii="Times New Roman" w:hAnsi="Times New Roman" w:eastAsia="宋体" w:cs="Times New Roman"/>
                      <w:color w:val="auto"/>
                      <w:sz w:val="21"/>
                      <w:szCs w:val="21"/>
                      <w:u w:val="none" w:color="auto"/>
                      <w:lang w:val="en-US" w:eastAsia="zh-CN"/>
                    </w:rPr>
                    <w:t>15m高排气筒（DA007）</w:t>
                  </w:r>
                  <w:r>
                    <w:rPr>
                      <w:rFonts w:hint="default" w:ascii="Times New Roman" w:hAnsi="Times New Roman" w:eastAsia="宋体" w:cs="Times New Roman"/>
                      <w:color w:val="auto"/>
                      <w:sz w:val="21"/>
                      <w:szCs w:val="21"/>
                      <w:u w:val="none" w:color="auto"/>
                    </w:rPr>
                    <w:t>排出厂房外。</w:t>
                  </w:r>
                </w:p>
                <w:p w14:paraId="6C733ACB">
                  <w:pPr>
                    <w:keepNext w:val="0"/>
                    <w:keepLines w:val="0"/>
                    <w:pageBreakBefore w:val="0"/>
                    <w:kinsoku/>
                    <w:wordWrap/>
                    <w:overflowPunct/>
                    <w:topLinePunct w:val="0"/>
                    <w:autoSpaceDE w:val="0"/>
                    <w:autoSpaceDN w:val="0"/>
                    <w:bidi w:val="0"/>
                    <w:adjustRightInd/>
                    <w:snapToGrid/>
                    <w:spacing w:after="0" w:line="240" w:lineRule="auto"/>
                    <w:textAlignment w:val="auto"/>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铸造工序水蒸气</w:t>
                  </w:r>
                  <w:r>
                    <w:rPr>
                      <w:rFonts w:hint="default" w:ascii="Times New Roman" w:hAnsi="Times New Roman" w:eastAsia="宋体" w:cs="Times New Roman"/>
                      <w:color w:val="auto"/>
                      <w:sz w:val="21"/>
                      <w:szCs w:val="21"/>
                      <w:u w:val="none" w:color="auto"/>
                    </w:rPr>
                    <w:t>经专用风机处理后</w:t>
                  </w:r>
                  <w:r>
                    <w:rPr>
                      <w:rFonts w:hint="default" w:ascii="Times New Roman" w:hAnsi="Times New Roman" w:eastAsia="宋体" w:cs="Times New Roman"/>
                      <w:color w:val="auto"/>
                      <w:sz w:val="21"/>
                      <w:szCs w:val="21"/>
                      <w:u w:val="none" w:color="auto"/>
                      <w:lang w:eastAsia="zh-CN"/>
                    </w:rPr>
                    <w:t>通过</w:t>
                  </w:r>
                  <w:r>
                    <w:rPr>
                      <w:rFonts w:hint="default" w:ascii="Times New Roman" w:hAnsi="Times New Roman" w:eastAsia="宋体" w:cs="Times New Roman"/>
                      <w:color w:val="auto"/>
                      <w:sz w:val="21"/>
                      <w:szCs w:val="21"/>
                      <w:u w:val="none" w:color="auto"/>
                      <w:lang w:val="en-US" w:eastAsia="zh-CN"/>
                    </w:rPr>
                    <w:t>6.5m高排气筒（DA008）</w:t>
                  </w:r>
                  <w:r>
                    <w:rPr>
                      <w:rFonts w:hint="default" w:ascii="Times New Roman" w:hAnsi="Times New Roman" w:eastAsia="宋体" w:cs="Times New Roman"/>
                      <w:color w:val="auto"/>
                      <w:sz w:val="21"/>
                      <w:szCs w:val="21"/>
                      <w:u w:val="none" w:color="auto"/>
                    </w:rPr>
                    <w:t>排出厂房外</w:t>
                  </w:r>
                </w:p>
              </w:tc>
            </w:tr>
            <w:tr w14:paraId="50884B3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75" w:type="pct"/>
                  <w:vMerge w:val="continue"/>
                  <w:noWrap w:val="0"/>
                  <w:vAlign w:val="center"/>
                </w:tcPr>
                <w:p w14:paraId="12C67772">
                  <w:pPr>
                    <w:keepNext w:val="0"/>
                    <w:keepLines w:val="0"/>
                    <w:pageBreakBefore w:val="0"/>
                    <w:widowControl/>
                    <w:kinsoku/>
                    <w:wordWrap/>
                    <w:overflowPunct/>
                    <w:topLinePunct w:val="0"/>
                    <w:bidi w:val="0"/>
                    <w:adjustRightInd/>
                    <w:snapToGrid/>
                    <w:spacing w:after="0" w:line="240" w:lineRule="auto"/>
                    <w:jc w:val="left"/>
                    <w:textAlignment w:val="auto"/>
                    <w:rPr>
                      <w:rFonts w:hint="default" w:ascii="Times New Roman" w:hAnsi="Times New Roman" w:eastAsia="宋体" w:cs="Times New Roman"/>
                      <w:color w:val="auto"/>
                      <w:sz w:val="21"/>
                      <w:szCs w:val="21"/>
                      <w:u w:val="none" w:color="auto"/>
                    </w:rPr>
                  </w:pPr>
                </w:p>
              </w:tc>
              <w:tc>
                <w:tcPr>
                  <w:tcW w:w="893" w:type="pct"/>
                  <w:vMerge w:val="continue"/>
                  <w:noWrap w:val="0"/>
                  <w:vAlign w:val="center"/>
                </w:tcPr>
                <w:p w14:paraId="21D379E0">
                  <w:pPr>
                    <w:keepNext w:val="0"/>
                    <w:keepLines w:val="0"/>
                    <w:pageBreakBefore w:val="0"/>
                    <w:kinsoku/>
                    <w:wordWrap/>
                    <w:overflowPunct/>
                    <w:topLinePunct w:val="0"/>
                    <w:bidi w:val="0"/>
                    <w:adjustRightInd/>
                    <w:snapToGrid/>
                    <w:spacing w:after="0" w:line="240" w:lineRule="auto"/>
                    <w:jc w:val="center"/>
                    <w:textAlignment w:val="auto"/>
                    <w:rPr>
                      <w:rFonts w:hint="default" w:ascii="Times New Roman" w:hAnsi="Times New Roman" w:eastAsia="宋体" w:cs="Times New Roman"/>
                      <w:color w:val="auto"/>
                      <w:sz w:val="21"/>
                      <w:szCs w:val="21"/>
                      <w:u w:val="none" w:color="auto"/>
                    </w:rPr>
                  </w:pPr>
                </w:p>
              </w:tc>
              <w:tc>
                <w:tcPr>
                  <w:tcW w:w="3431" w:type="pct"/>
                  <w:noWrap w:val="0"/>
                  <w:vAlign w:val="center"/>
                </w:tcPr>
                <w:p w14:paraId="15DAF3D5">
                  <w:pPr>
                    <w:keepNext w:val="0"/>
                    <w:keepLines w:val="0"/>
                    <w:pageBreakBefore w:val="0"/>
                    <w:kinsoku/>
                    <w:wordWrap/>
                    <w:overflowPunct/>
                    <w:topLinePunct w:val="0"/>
                    <w:autoSpaceDE w:val="0"/>
                    <w:autoSpaceDN w:val="0"/>
                    <w:bidi w:val="0"/>
                    <w:adjustRightInd/>
                    <w:snapToGrid/>
                    <w:spacing w:after="0" w:line="240" w:lineRule="auto"/>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b/>
                      <w:bCs/>
                      <w:color w:val="auto"/>
                      <w:sz w:val="21"/>
                      <w:szCs w:val="21"/>
                      <w:u w:val="none" w:color="auto"/>
                    </w:rPr>
                    <w:t>挤压车间碱雾废气：</w:t>
                  </w:r>
                  <w:r>
                    <w:rPr>
                      <w:rFonts w:hint="default" w:ascii="Times New Roman" w:hAnsi="Times New Roman" w:eastAsia="宋体" w:cs="Times New Roman"/>
                      <w:color w:val="auto"/>
                      <w:sz w:val="21"/>
                      <w:szCs w:val="21"/>
                      <w:u w:val="none" w:color="auto"/>
                    </w:rPr>
                    <w:t>挤压车间碱雾废气：在挤压车间蚀洗间内对模具进行蚀洗时会产生一定的碱蒸汽</w:t>
                  </w: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rPr>
                    <w:t>经集气罩收集后通过喷淋洗涤装置进行处理</w:t>
                  </w: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rPr>
                    <w:t>处理达标后通过20m高排气筒（</w:t>
                  </w:r>
                  <w:r>
                    <w:rPr>
                      <w:rFonts w:hint="default" w:ascii="Times New Roman" w:hAnsi="Times New Roman" w:eastAsia="宋体" w:cs="Times New Roman"/>
                      <w:color w:val="auto"/>
                      <w:sz w:val="21"/>
                      <w:szCs w:val="21"/>
                      <w:u w:val="none" w:color="auto"/>
                      <w:lang w:val="en-US" w:eastAsia="zh-CN"/>
                    </w:rPr>
                    <w:t>DA003</w:t>
                  </w:r>
                  <w:r>
                    <w:rPr>
                      <w:rFonts w:hint="default" w:ascii="Times New Roman" w:hAnsi="Times New Roman" w:eastAsia="宋体" w:cs="Times New Roman"/>
                      <w:color w:val="auto"/>
                      <w:sz w:val="21"/>
                      <w:szCs w:val="21"/>
                      <w:u w:val="none" w:color="auto"/>
                    </w:rPr>
                    <w:t>排气筒）排放。</w:t>
                  </w:r>
                </w:p>
                <w:p w14:paraId="40632C4E">
                  <w:pPr>
                    <w:keepNext w:val="0"/>
                    <w:keepLines w:val="0"/>
                    <w:pageBreakBefore w:val="0"/>
                    <w:kinsoku/>
                    <w:wordWrap/>
                    <w:overflowPunct/>
                    <w:topLinePunct w:val="0"/>
                    <w:autoSpaceDE w:val="0"/>
                    <w:autoSpaceDN w:val="0"/>
                    <w:bidi w:val="0"/>
                    <w:adjustRightInd/>
                    <w:snapToGrid/>
                    <w:spacing w:after="0" w:line="240" w:lineRule="auto"/>
                    <w:textAlignment w:val="auto"/>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模具氮化炉未被利用的氨气经配套的分解装置完全分解后在车间内排放。</w:t>
                  </w:r>
                </w:p>
              </w:tc>
            </w:tr>
            <w:tr w14:paraId="5607955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75" w:type="pct"/>
                  <w:vMerge w:val="continue"/>
                  <w:noWrap w:val="0"/>
                  <w:vAlign w:val="center"/>
                </w:tcPr>
                <w:p w14:paraId="4FDCA06B">
                  <w:pPr>
                    <w:keepNext w:val="0"/>
                    <w:keepLines w:val="0"/>
                    <w:pageBreakBefore w:val="0"/>
                    <w:widowControl/>
                    <w:kinsoku/>
                    <w:wordWrap/>
                    <w:overflowPunct/>
                    <w:topLinePunct w:val="0"/>
                    <w:bidi w:val="0"/>
                    <w:adjustRightInd/>
                    <w:snapToGrid/>
                    <w:spacing w:after="0" w:line="240" w:lineRule="auto"/>
                    <w:jc w:val="left"/>
                    <w:textAlignment w:val="auto"/>
                    <w:rPr>
                      <w:rFonts w:hint="default" w:ascii="Times New Roman" w:hAnsi="Times New Roman" w:eastAsia="宋体" w:cs="Times New Roman"/>
                      <w:color w:val="auto"/>
                      <w:sz w:val="21"/>
                      <w:szCs w:val="21"/>
                      <w:u w:val="none" w:color="auto"/>
                    </w:rPr>
                  </w:pPr>
                </w:p>
              </w:tc>
              <w:tc>
                <w:tcPr>
                  <w:tcW w:w="893" w:type="pct"/>
                  <w:vMerge w:val="continue"/>
                  <w:noWrap w:val="0"/>
                  <w:vAlign w:val="center"/>
                </w:tcPr>
                <w:p w14:paraId="58314EB3">
                  <w:pPr>
                    <w:keepNext w:val="0"/>
                    <w:keepLines w:val="0"/>
                    <w:pageBreakBefore w:val="0"/>
                    <w:kinsoku/>
                    <w:wordWrap/>
                    <w:overflowPunct/>
                    <w:topLinePunct w:val="0"/>
                    <w:bidi w:val="0"/>
                    <w:adjustRightInd/>
                    <w:snapToGrid/>
                    <w:spacing w:after="0" w:line="240" w:lineRule="auto"/>
                    <w:jc w:val="center"/>
                    <w:textAlignment w:val="auto"/>
                    <w:rPr>
                      <w:rFonts w:hint="default" w:ascii="Times New Roman" w:hAnsi="Times New Roman" w:eastAsia="宋体" w:cs="Times New Roman"/>
                      <w:color w:val="auto"/>
                      <w:sz w:val="21"/>
                      <w:szCs w:val="21"/>
                      <w:u w:val="none" w:color="auto"/>
                    </w:rPr>
                  </w:pPr>
                </w:p>
              </w:tc>
              <w:tc>
                <w:tcPr>
                  <w:tcW w:w="3431" w:type="pct"/>
                  <w:noWrap w:val="0"/>
                  <w:vAlign w:val="center"/>
                </w:tcPr>
                <w:p w14:paraId="59CBC4BB">
                  <w:pPr>
                    <w:keepNext w:val="0"/>
                    <w:keepLines w:val="0"/>
                    <w:pageBreakBefore w:val="0"/>
                    <w:kinsoku/>
                    <w:wordWrap/>
                    <w:overflowPunct/>
                    <w:topLinePunct w:val="0"/>
                    <w:autoSpaceDE w:val="0"/>
                    <w:autoSpaceDN w:val="0"/>
                    <w:bidi w:val="0"/>
                    <w:adjustRightInd/>
                    <w:snapToGrid/>
                    <w:spacing w:after="0" w:line="240" w:lineRule="auto"/>
                    <w:textAlignment w:val="auto"/>
                    <w:rPr>
                      <w:rFonts w:hint="default" w:ascii="Times New Roman" w:hAnsi="Times New Roman" w:eastAsia="宋体" w:cs="Times New Roman"/>
                      <w:color w:val="auto"/>
                      <w:sz w:val="21"/>
                      <w:szCs w:val="21"/>
                      <w:highlight w:val="none"/>
                      <w:u w:val="none" w:color="auto"/>
                      <w:lang w:eastAsia="zh-CN"/>
                    </w:rPr>
                  </w:pPr>
                  <w:r>
                    <w:rPr>
                      <w:rFonts w:hint="default" w:ascii="Times New Roman" w:hAnsi="Times New Roman" w:eastAsia="宋体" w:cs="Times New Roman"/>
                      <w:b/>
                      <w:bCs/>
                      <w:color w:val="auto"/>
                      <w:sz w:val="21"/>
                      <w:szCs w:val="21"/>
                      <w:highlight w:val="none"/>
                      <w:u w:val="none" w:color="auto"/>
                    </w:rPr>
                    <w:t>环锻</w:t>
                  </w:r>
                  <w:r>
                    <w:rPr>
                      <w:rFonts w:hint="default" w:ascii="Times New Roman" w:hAnsi="Times New Roman" w:eastAsia="宋体" w:cs="Times New Roman"/>
                      <w:b/>
                      <w:bCs/>
                      <w:color w:val="auto"/>
                      <w:sz w:val="21"/>
                      <w:szCs w:val="21"/>
                      <w:highlight w:val="none"/>
                      <w:u w:val="none" w:color="auto"/>
                      <w:lang w:eastAsia="zh-CN"/>
                    </w:rPr>
                    <w:t>车间</w:t>
                  </w:r>
                  <w:r>
                    <w:rPr>
                      <w:rFonts w:hint="default" w:ascii="Times New Roman" w:hAnsi="Times New Roman" w:eastAsia="宋体" w:cs="Times New Roman"/>
                      <w:b/>
                      <w:bCs/>
                      <w:color w:val="auto"/>
                      <w:sz w:val="21"/>
                      <w:szCs w:val="21"/>
                      <w:highlight w:val="none"/>
                      <w:u w:val="none" w:color="auto"/>
                    </w:rPr>
                    <w:t>：</w:t>
                  </w:r>
                  <w:r>
                    <w:rPr>
                      <w:rFonts w:hint="default" w:ascii="Times New Roman" w:hAnsi="Times New Roman" w:eastAsia="宋体" w:cs="Times New Roman"/>
                      <w:color w:val="auto"/>
                      <w:sz w:val="21"/>
                      <w:szCs w:val="21"/>
                      <w:highlight w:val="none"/>
                      <w:u w:val="none" w:color="auto"/>
                    </w:rPr>
                    <w:t>油压机锻造作业时</w:t>
                  </w:r>
                  <w:r>
                    <w:rPr>
                      <w:rFonts w:hint="default" w:ascii="Times New Roman" w:hAnsi="Times New Roman" w:eastAsia="宋体" w:cs="Times New Roman"/>
                      <w:color w:val="auto"/>
                      <w:sz w:val="21"/>
                      <w:szCs w:val="21"/>
                      <w:highlight w:val="none"/>
                      <w:u w:val="none" w:color="auto"/>
                      <w:lang w:eastAsia="zh-CN"/>
                    </w:rPr>
                    <w:t>，</w:t>
                  </w:r>
                  <w:r>
                    <w:rPr>
                      <w:rFonts w:hint="default" w:ascii="Times New Roman" w:hAnsi="Times New Roman" w:eastAsia="宋体" w:cs="Times New Roman"/>
                      <w:color w:val="auto"/>
                      <w:sz w:val="21"/>
                      <w:szCs w:val="21"/>
                      <w:highlight w:val="none"/>
                      <w:u w:val="none" w:color="auto"/>
                    </w:rPr>
                    <w:t>石墨润滑剂燃烧产生烟雾经</w:t>
                  </w:r>
                  <w:r>
                    <w:rPr>
                      <w:rFonts w:hint="default" w:ascii="Times New Roman" w:hAnsi="Times New Roman" w:eastAsia="宋体" w:cs="Times New Roman"/>
                      <w:color w:val="auto"/>
                      <w:sz w:val="21"/>
                      <w:szCs w:val="21"/>
                      <w:highlight w:val="none"/>
                      <w:u w:val="none" w:color="auto"/>
                      <w:lang w:eastAsia="zh-CN"/>
                    </w:rPr>
                    <w:t>集气罩</w:t>
                  </w:r>
                  <w:r>
                    <w:rPr>
                      <w:rFonts w:hint="default" w:ascii="Times New Roman" w:hAnsi="Times New Roman" w:eastAsia="宋体" w:cs="Times New Roman"/>
                      <w:color w:val="auto"/>
                      <w:sz w:val="21"/>
                      <w:szCs w:val="21"/>
                      <w:highlight w:val="none"/>
                      <w:u w:val="none" w:color="auto"/>
                      <w:lang w:val="en-US" w:eastAsia="zh-CN"/>
                    </w:rPr>
                    <w:t>+</w:t>
                  </w:r>
                  <w:r>
                    <w:rPr>
                      <w:rFonts w:hint="default" w:ascii="Times New Roman" w:hAnsi="Times New Roman" w:eastAsia="宋体" w:cs="Times New Roman"/>
                      <w:color w:val="auto"/>
                      <w:sz w:val="21"/>
                      <w:szCs w:val="21"/>
                      <w:highlight w:val="none"/>
                      <w:u w:val="none" w:color="auto"/>
                    </w:rPr>
                    <w:t>除尘后通过</w:t>
                  </w:r>
                  <w:r>
                    <w:rPr>
                      <w:rFonts w:hint="default" w:ascii="Times New Roman" w:hAnsi="Times New Roman" w:eastAsia="宋体" w:cs="Times New Roman"/>
                      <w:color w:val="auto"/>
                      <w:sz w:val="21"/>
                      <w:szCs w:val="21"/>
                      <w:highlight w:val="none"/>
                      <w:u w:val="none" w:color="auto"/>
                      <w:lang w:val="en-US" w:eastAsia="zh-CN"/>
                    </w:rPr>
                    <w:t>20</w:t>
                  </w:r>
                  <w:r>
                    <w:rPr>
                      <w:rFonts w:hint="default" w:ascii="Times New Roman" w:hAnsi="Times New Roman" w:eastAsia="宋体" w:cs="Times New Roman"/>
                      <w:color w:val="auto"/>
                      <w:sz w:val="21"/>
                      <w:szCs w:val="21"/>
                      <w:highlight w:val="none"/>
                      <w:u w:val="none" w:color="auto"/>
                    </w:rPr>
                    <w:t>m高排气筒（DA005）外排</w:t>
                  </w:r>
                  <w:r>
                    <w:rPr>
                      <w:rFonts w:hint="default" w:ascii="Times New Roman" w:hAnsi="Times New Roman" w:eastAsia="宋体" w:cs="Times New Roman"/>
                      <w:color w:val="auto"/>
                      <w:sz w:val="21"/>
                      <w:szCs w:val="21"/>
                      <w:highlight w:val="none"/>
                      <w:u w:val="none" w:color="auto"/>
                      <w:lang w:eastAsia="zh-CN"/>
                    </w:rPr>
                    <w:t>；</w:t>
                  </w:r>
                </w:p>
                <w:p w14:paraId="061E38E4">
                  <w:pPr>
                    <w:keepNext w:val="0"/>
                    <w:keepLines w:val="0"/>
                    <w:pageBreakBefore w:val="0"/>
                    <w:kinsoku/>
                    <w:wordWrap/>
                    <w:overflowPunct/>
                    <w:topLinePunct w:val="0"/>
                    <w:autoSpaceDE w:val="0"/>
                    <w:autoSpaceDN w:val="0"/>
                    <w:bidi w:val="0"/>
                    <w:adjustRightInd/>
                    <w:snapToGrid/>
                    <w:spacing w:after="0" w:line="240" w:lineRule="auto"/>
                    <w:textAlignment w:val="auto"/>
                    <w:rPr>
                      <w:rFonts w:hint="default" w:ascii="Times New Roman" w:hAnsi="Times New Roman" w:eastAsia="宋体" w:cs="Times New Roman"/>
                      <w:color w:val="auto"/>
                      <w:sz w:val="21"/>
                      <w:szCs w:val="21"/>
                      <w:highlight w:val="none"/>
                      <w:u w:val="none" w:color="auto"/>
                      <w:lang w:eastAsia="zh-CN"/>
                    </w:rPr>
                  </w:pPr>
                  <w:r>
                    <w:rPr>
                      <w:rFonts w:hint="default" w:ascii="Times New Roman" w:hAnsi="Times New Roman" w:eastAsia="宋体" w:cs="Times New Roman"/>
                      <w:color w:val="auto"/>
                      <w:sz w:val="21"/>
                      <w:szCs w:val="21"/>
                      <w:highlight w:val="none"/>
                      <w:u w:val="none" w:color="auto"/>
                    </w:rPr>
                    <w:t>模具加热炉天然气燃烧后污染物经15m高排气筒（DA006）外排</w:t>
                  </w:r>
                  <w:r>
                    <w:rPr>
                      <w:rFonts w:hint="default" w:ascii="Times New Roman" w:hAnsi="Times New Roman" w:eastAsia="宋体" w:cs="Times New Roman"/>
                      <w:color w:val="auto"/>
                      <w:sz w:val="21"/>
                      <w:szCs w:val="21"/>
                      <w:highlight w:val="none"/>
                      <w:u w:val="none" w:color="auto"/>
                      <w:lang w:eastAsia="zh-CN"/>
                    </w:rPr>
                    <w:t>；</w:t>
                  </w:r>
                </w:p>
                <w:p w14:paraId="2F2302B2">
                  <w:pPr>
                    <w:keepNext w:val="0"/>
                    <w:keepLines w:val="0"/>
                    <w:pageBreakBefore w:val="0"/>
                    <w:kinsoku/>
                    <w:wordWrap/>
                    <w:overflowPunct/>
                    <w:topLinePunct w:val="0"/>
                    <w:autoSpaceDE w:val="0"/>
                    <w:autoSpaceDN w:val="0"/>
                    <w:bidi w:val="0"/>
                    <w:adjustRightInd/>
                    <w:snapToGrid/>
                    <w:spacing w:after="0" w:line="240" w:lineRule="auto"/>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lang w:val="en-US" w:eastAsia="zh-CN"/>
                    </w:rPr>
                    <w:t>抛丸打磨房针对抛丸工序、喷砂工序、打磨工序分别配套脉冲滤筒除尘器，经处理后经一根</w:t>
                  </w:r>
                  <w:r>
                    <w:rPr>
                      <w:rFonts w:hint="default" w:ascii="Times New Roman" w:hAnsi="Times New Roman" w:eastAsia="宋体" w:cs="Times New Roman"/>
                      <w:color w:val="auto"/>
                      <w:sz w:val="21"/>
                      <w:szCs w:val="21"/>
                      <w:highlight w:val="none"/>
                      <w:u w:val="none" w:color="auto"/>
                    </w:rPr>
                    <w:t>15m高排气筒（DA00</w:t>
                  </w:r>
                  <w:r>
                    <w:rPr>
                      <w:rFonts w:hint="default" w:ascii="Times New Roman" w:hAnsi="Times New Roman" w:eastAsia="宋体" w:cs="Times New Roman"/>
                      <w:color w:val="auto"/>
                      <w:sz w:val="21"/>
                      <w:szCs w:val="21"/>
                      <w:highlight w:val="none"/>
                      <w:u w:val="none" w:color="auto"/>
                      <w:lang w:val="en-US" w:eastAsia="zh-CN"/>
                    </w:rPr>
                    <w:t>9</w:t>
                  </w:r>
                  <w:r>
                    <w:rPr>
                      <w:rFonts w:hint="default" w:ascii="Times New Roman" w:hAnsi="Times New Roman" w:eastAsia="宋体" w:cs="Times New Roman"/>
                      <w:color w:val="auto"/>
                      <w:sz w:val="21"/>
                      <w:szCs w:val="21"/>
                      <w:highlight w:val="none"/>
                      <w:u w:val="none" w:color="auto"/>
                    </w:rPr>
                    <w:t>）外排</w:t>
                  </w:r>
                  <w:r>
                    <w:rPr>
                      <w:rFonts w:hint="default" w:ascii="Times New Roman" w:hAnsi="Times New Roman" w:eastAsia="宋体" w:cs="Times New Roman"/>
                      <w:color w:val="auto"/>
                      <w:sz w:val="21"/>
                      <w:szCs w:val="21"/>
                      <w:highlight w:val="none"/>
                      <w:u w:val="none" w:color="auto"/>
                      <w:lang w:val="en-US" w:eastAsia="zh-CN"/>
                    </w:rPr>
                    <w:t>。</w:t>
                  </w:r>
                </w:p>
              </w:tc>
            </w:tr>
            <w:tr w14:paraId="79FB3E2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46" w:hRule="atLeast"/>
              </w:trPr>
              <w:tc>
                <w:tcPr>
                  <w:tcW w:w="675" w:type="pct"/>
                  <w:vMerge w:val="continue"/>
                  <w:noWrap w:val="0"/>
                  <w:vAlign w:val="center"/>
                </w:tcPr>
                <w:p w14:paraId="443BBC3E">
                  <w:pPr>
                    <w:keepNext w:val="0"/>
                    <w:keepLines w:val="0"/>
                    <w:pageBreakBefore w:val="0"/>
                    <w:widowControl/>
                    <w:kinsoku/>
                    <w:wordWrap/>
                    <w:overflowPunct/>
                    <w:topLinePunct w:val="0"/>
                    <w:bidi w:val="0"/>
                    <w:adjustRightInd/>
                    <w:snapToGrid/>
                    <w:spacing w:after="0" w:line="240" w:lineRule="auto"/>
                    <w:jc w:val="left"/>
                    <w:textAlignment w:val="auto"/>
                    <w:rPr>
                      <w:rFonts w:hint="default" w:ascii="Times New Roman" w:hAnsi="Times New Roman" w:eastAsia="宋体" w:cs="Times New Roman"/>
                      <w:color w:val="auto"/>
                      <w:sz w:val="21"/>
                      <w:szCs w:val="21"/>
                      <w:u w:val="none" w:color="auto"/>
                    </w:rPr>
                  </w:pPr>
                </w:p>
              </w:tc>
              <w:tc>
                <w:tcPr>
                  <w:tcW w:w="893" w:type="pct"/>
                  <w:vMerge w:val="continue"/>
                  <w:noWrap w:val="0"/>
                  <w:vAlign w:val="center"/>
                </w:tcPr>
                <w:p w14:paraId="4C27485C">
                  <w:pPr>
                    <w:keepNext w:val="0"/>
                    <w:keepLines w:val="0"/>
                    <w:pageBreakBefore w:val="0"/>
                    <w:widowControl/>
                    <w:kinsoku/>
                    <w:wordWrap/>
                    <w:overflowPunct/>
                    <w:topLinePunct w:val="0"/>
                    <w:bidi w:val="0"/>
                    <w:adjustRightInd/>
                    <w:snapToGrid/>
                    <w:spacing w:after="0" w:line="240" w:lineRule="auto"/>
                    <w:jc w:val="left"/>
                    <w:textAlignment w:val="auto"/>
                    <w:rPr>
                      <w:rFonts w:hint="default" w:ascii="Times New Roman" w:hAnsi="Times New Roman" w:eastAsia="宋体" w:cs="Times New Roman"/>
                      <w:color w:val="auto"/>
                      <w:sz w:val="21"/>
                      <w:szCs w:val="21"/>
                      <w:u w:val="none" w:color="auto"/>
                    </w:rPr>
                  </w:pPr>
                </w:p>
              </w:tc>
              <w:tc>
                <w:tcPr>
                  <w:tcW w:w="3431" w:type="pct"/>
                  <w:noWrap w:val="0"/>
                  <w:vAlign w:val="center"/>
                </w:tcPr>
                <w:p w14:paraId="665977C8">
                  <w:pPr>
                    <w:keepNext w:val="0"/>
                    <w:keepLines w:val="0"/>
                    <w:pageBreakBefore w:val="0"/>
                    <w:kinsoku/>
                    <w:wordWrap/>
                    <w:overflowPunct/>
                    <w:topLinePunct w:val="0"/>
                    <w:autoSpaceDE w:val="0"/>
                    <w:autoSpaceDN w:val="0"/>
                    <w:bidi w:val="0"/>
                    <w:adjustRightInd/>
                    <w:snapToGrid/>
                    <w:spacing w:after="0" w:line="240" w:lineRule="auto"/>
                    <w:textAlignment w:val="auto"/>
                    <w:rPr>
                      <w:rFonts w:hint="default" w:ascii="Times New Roman" w:hAnsi="Times New Roman" w:eastAsia="宋体" w:cs="Times New Roman"/>
                      <w:color w:val="auto"/>
                      <w:sz w:val="21"/>
                      <w:szCs w:val="21"/>
                      <w:u w:val="none" w:color="auto"/>
                      <w:lang w:val="en-US" w:eastAsia="zh-CN" w:bidi="ar-SA"/>
                    </w:rPr>
                  </w:pPr>
                  <w:r>
                    <w:rPr>
                      <w:rFonts w:hint="default" w:ascii="Times New Roman" w:hAnsi="Times New Roman" w:eastAsia="宋体" w:cs="Times New Roman"/>
                      <w:b/>
                      <w:bCs/>
                      <w:color w:val="auto"/>
                      <w:sz w:val="21"/>
                      <w:szCs w:val="21"/>
                      <w:u w:val="none" w:color="auto"/>
                    </w:rPr>
                    <w:t>车间内未被收集的无组织排放的废气：</w:t>
                  </w:r>
                  <w:r>
                    <w:rPr>
                      <w:rFonts w:hint="default" w:ascii="Times New Roman" w:hAnsi="Times New Roman" w:eastAsia="宋体" w:cs="Times New Roman"/>
                      <w:color w:val="auto"/>
                      <w:sz w:val="21"/>
                      <w:szCs w:val="21"/>
                      <w:u w:val="none" w:color="auto"/>
                    </w:rPr>
                    <w:t>加强车间通风</w:t>
                  </w: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rPr>
                    <w:t>通过自然排风和</w:t>
                  </w:r>
                  <w:r>
                    <w:rPr>
                      <w:rFonts w:hint="default" w:ascii="Times New Roman" w:hAnsi="Times New Roman" w:eastAsia="宋体" w:cs="Times New Roman"/>
                      <w:color w:val="auto"/>
                      <w:sz w:val="21"/>
                      <w:szCs w:val="21"/>
                      <w:u w:val="none" w:color="auto"/>
                      <w:lang w:eastAsia="zh-CN"/>
                    </w:rPr>
                    <w:t>排放扇强制排放（高度即为各车间屋顶高度），</w:t>
                  </w:r>
                  <w:r>
                    <w:rPr>
                      <w:rFonts w:hint="default" w:ascii="Times New Roman" w:hAnsi="Times New Roman" w:eastAsia="宋体" w:cs="Times New Roman"/>
                      <w:color w:val="auto"/>
                      <w:sz w:val="21"/>
                      <w:szCs w:val="21"/>
                      <w:highlight w:val="none"/>
                      <w:u w:val="none" w:color="auto"/>
                      <w:lang w:val="en-US" w:eastAsia="zh-CN"/>
                    </w:rPr>
                    <w:t>其中钣金车间激光切割设备自带</w:t>
                  </w:r>
                  <w:r>
                    <w:rPr>
                      <w:rStyle w:val="33"/>
                      <w:rFonts w:hint="default" w:ascii="Times New Roman" w:hAnsi="Times New Roman" w:eastAsia="宋体" w:cs="Times New Roman"/>
                      <w:color w:val="auto"/>
                      <w:kern w:val="2"/>
                      <w:sz w:val="21"/>
                      <w:szCs w:val="21"/>
                      <w:highlight w:val="none"/>
                      <w:u w:val="none" w:color="auto"/>
                      <w:lang w:val="en-US" w:eastAsia="zh-CN" w:bidi="ar-SA"/>
                    </w:rPr>
                    <w:t>过滤除尘器设施（TA007）处理后车间内排放。针对原有少量手工去钣金件毛刺，改为设备自动去毛刺，并配套布袋除尘器，处理后车间内排放</w:t>
                  </w:r>
                </w:p>
              </w:tc>
            </w:tr>
            <w:tr w14:paraId="32B30A2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75" w:type="pct"/>
                  <w:vMerge w:val="continue"/>
                  <w:noWrap w:val="0"/>
                  <w:vAlign w:val="center"/>
                </w:tcPr>
                <w:p w14:paraId="7FD3D2E0">
                  <w:pPr>
                    <w:keepNext w:val="0"/>
                    <w:keepLines w:val="0"/>
                    <w:pageBreakBefore w:val="0"/>
                    <w:widowControl/>
                    <w:kinsoku/>
                    <w:wordWrap/>
                    <w:overflowPunct/>
                    <w:topLinePunct w:val="0"/>
                    <w:bidi w:val="0"/>
                    <w:adjustRightInd/>
                    <w:snapToGrid/>
                    <w:spacing w:after="0" w:line="240" w:lineRule="auto"/>
                    <w:jc w:val="left"/>
                    <w:textAlignment w:val="auto"/>
                    <w:rPr>
                      <w:rFonts w:hint="default" w:ascii="Times New Roman" w:hAnsi="Times New Roman" w:eastAsia="宋体" w:cs="Times New Roman"/>
                      <w:color w:val="auto"/>
                      <w:sz w:val="21"/>
                      <w:szCs w:val="21"/>
                      <w:u w:val="none" w:color="auto"/>
                    </w:rPr>
                  </w:pPr>
                </w:p>
              </w:tc>
              <w:tc>
                <w:tcPr>
                  <w:tcW w:w="893" w:type="pct"/>
                  <w:vMerge w:val="continue"/>
                  <w:noWrap w:val="0"/>
                  <w:vAlign w:val="center"/>
                </w:tcPr>
                <w:p w14:paraId="5A7B39E7">
                  <w:pPr>
                    <w:keepNext w:val="0"/>
                    <w:keepLines w:val="0"/>
                    <w:pageBreakBefore w:val="0"/>
                    <w:widowControl/>
                    <w:kinsoku/>
                    <w:wordWrap/>
                    <w:overflowPunct/>
                    <w:topLinePunct w:val="0"/>
                    <w:bidi w:val="0"/>
                    <w:adjustRightInd/>
                    <w:snapToGrid/>
                    <w:spacing w:after="0" w:line="240" w:lineRule="auto"/>
                    <w:jc w:val="left"/>
                    <w:textAlignment w:val="auto"/>
                    <w:rPr>
                      <w:rFonts w:hint="default" w:ascii="Times New Roman" w:hAnsi="Times New Roman" w:eastAsia="宋体" w:cs="Times New Roman"/>
                      <w:color w:val="auto"/>
                      <w:sz w:val="21"/>
                      <w:szCs w:val="21"/>
                      <w:u w:val="none" w:color="auto"/>
                    </w:rPr>
                  </w:pPr>
                </w:p>
              </w:tc>
              <w:tc>
                <w:tcPr>
                  <w:tcW w:w="3431" w:type="pct"/>
                  <w:noWrap w:val="0"/>
                  <w:vAlign w:val="center"/>
                </w:tcPr>
                <w:p w14:paraId="732EF151">
                  <w:pPr>
                    <w:keepNext w:val="0"/>
                    <w:keepLines w:val="0"/>
                    <w:pageBreakBefore w:val="0"/>
                    <w:kinsoku/>
                    <w:wordWrap/>
                    <w:overflowPunct/>
                    <w:topLinePunct w:val="0"/>
                    <w:autoSpaceDE w:val="0"/>
                    <w:autoSpaceDN w:val="0"/>
                    <w:bidi w:val="0"/>
                    <w:adjustRightInd/>
                    <w:snapToGrid/>
                    <w:spacing w:after="0" w:line="240" w:lineRule="auto"/>
                    <w:textAlignment w:val="auto"/>
                    <w:rPr>
                      <w:rFonts w:hint="default" w:ascii="Times New Roman" w:hAnsi="Times New Roman" w:eastAsia="宋体" w:cs="Times New Roman"/>
                      <w:color w:val="auto"/>
                      <w:sz w:val="21"/>
                      <w:szCs w:val="21"/>
                      <w:u w:val="none" w:color="auto"/>
                      <w:lang w:val="en-US" w:eastAsia="zh-CN" w:bidi="ar-SA"/>
                    </w:rPr>
                  </w:pPr>
                  <w:r>
                    <w:rPr>
                      <w:rFonts w:hint="default" w:ascii="Times New Roman" w:hAnsi="Times New Roman" w:eastAsia="宋体" w:cs="Times New Roman"/>
                      <w:b/>
                      <w:bCs/>
                      <w:color w:val="auto"/>
                      <w:sz w:val="21"/>
                      <w:szCs w:val="21"/>
                      <w:u w:val="none" w:color="auto"/>
                    </w:rPr>
                    <w:t>道路扬尘：</w:t>
                  </w:r>
                  <w:r>
                    <w:rPr>
                      <w:rFonts w:hint="default" w:ascii="Times New Roman" w:hAnsi="Times New Roman" w:eastAsia="宋体" w:cs="Times New Roman"/>
                      <w:color w:val="auto"/>
                      <w:sz w:val="21"/>
                      <w:szCs w:val="21"/>
                      <w:u w:val="none" w:color="auto"/>
                    </w:rPr>
                    <w:t>运输扬尘通过厂区地面洒水降尘和进出车辆经厂区设置的洗车槽清洗后运输。</w:t>
                  </w:r>
                </w:p>
              </w:tc>
            </w:tr>
            <w:tr w14:paraId="3E0086A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75" w:type="pct"/>
                  <w:vMerge w:val="continue"/>
                  <w:noWrap w:val="0"/>
                  <w:vAlign w:val="center"/>
                </w:tcPr>
                <w:p w14:paraId="630841A5">
                  <w:pPr>
                    <w:keepNext w:val="0"/>
                    <w:keepLines w:val="0"/>
                    <w:pageBreakBefore w:val="0"/>
                    <w:widowControl/>
                    <w:kinsoku/>
                    <w:wordWrap/>
                    <w:overflowPunct/>
                    <w:topLinePunct w:val="0"/>
                    <w:bidi w:val="0"/>
                    <w:adjustRightInd/>
                    <w:snapToGrid/>
                    <w:spacing w:after="0" w:line="240" w:lineRule="auto"/>
                    <w:jc w:val="left"/>
                    <w:textAlignment w:val="auto"/>
                    <w:rPr>
                      <w:rFonts w:hint="default" w:ascii="Times New Roman" w:hAnsi="Times New Roman" w:eastAsia="宋体" w:cs="Times New Roman"/>
                      <w:color w:val="auto"/>
                      <w:sz w:val="21"/>
                      <w:szCs w:val="21"/>
                      <w:u w:val="none" w:color="auto"/>
                    </w:rPr>
                  </w:pPr>
                </w:p>
              </w:tc>
              <w:tc>
                <w:tcPr>
                  <w:tcW w:w="893" w:type="pct"/>
                  <w:vMerge w:val="continue"/>
                  <w:noWrap w:val="0"/>
                  <w:vAlign w:val="center"/>
                </w:tcPr>
                <w:p w14:paraId="5BDF8451">
                  <w:pPr>
                    <w:keepNext w:val="0"/>
                    <w:keepLines w:val="0"/>
                    <w:pageBreakBefore w:val="0"/>
                    <w:widowControl/>
                    <w:kinsoku/>
                    <w:wordWrap/>
                    <w:overflowPunct/>
                    <w:topLinePunct w:val="0"/>
                    <w:bidi w:val="0"/>
                    <w:adjustRightInd/>
                    <w:snapToGrid/>
                    <w:spacing w:after="0" w:line="240" w:lineRule="auto"/>
                    <w:jc w:val="left"/>
                    <w:textAlignment w:val="auto"/>
                    <w:rPr>
                      <w:rFonts w:hint="default" w:ascii="Times New Roman" w:hAnsi="Times New Roman" w:eastAsia="宋体" w:cs="Times New Roman"/>
                      <w:color w:val="auto"/>
                      <w:sz w:val="21"/>
                      <w:szCs w:val="21"/>
                      <w:u w:val="none" w:color="auto"/>
                    </w:rPr>
                  </w:pPr>
                </w:p>
              </w:tc>
              <w:tc>
                <w:tcPr>
                  <w:tcW w:w="3431" w:type="pct"/>
                  <w:noWrap w:val="0"/>
                  <w:vAlign w:val="center"/>
                </w:tcPr>
                <w:p w14:paraId="2809E57F">
                  <w:pPr>
                    <w:keepNext w:val="0"/>
                    <w:keepLines w:val="0"/>
                    <w:pageBreakBefore w:val="0"/>
                    <w:kinsoku/>
                    <w:wordWrap/>
                    <w:overflowPunct/>
                    <w:topLinePunct w:val="0"/>
                    <w:autoSpaceDE w:val="0"/>
                    <w:autoSpaceDN w:val="0"/>
                    <w:bidi w:val="0"/>
                    <w:adjustRightInd/>
                    <w:snapToGrid/>
                    <w:spacing w:after="0" w:line="240" w:lineRule="auto"/>
                    <w:textAlignment w:val="auto"/>
                    <w:rPr>
                      <w:rFonts w:hint="default" w:ascii="Times New Roman" w:hAnsi="Times New Roman" w:eastAsia="宋体" w:cs="Times New Roman"/>
                      <w:color w:val="auto"/>
                      <w:sz w:val="21"/>
                      <w:szCs w:val="21"/>
                      <w:u w:val="none" w:color="auto"/>
                      <w:lang w:val="en-US" w:eastAsia="zh-CN" w:bidi="ar-SA"/>
                    </w:rPr>
                  </w:pPr>
                  <w:r>
                    <w:rPr>
                      <w:rFonts w:hint="default" w:ascii="Times New Roman" w:hAnsi="Times New Roman" w:eastAsia="宋体" w:cs="Times New Roman"/>
                      <w:b/>
                      <w:bCs/>
                      <w:color w:val="auto"/>
                      <w:sz w:val="21"/>
                      <w:szCs w:val="21"/>
                      <w:u w:val="none" w:color="auto"/>
                    </w:rPr>
                    <w:t>食堂油烟：</w:t>
                  </w:r>
                  <w:r>
                    <w:rPr>
                      <w:rFonts w:hint="default" w:ascii="Times New Roman" w:hAnsi="Times New Roman" w:eastAsia="宋体" w:cs="Times New Roman"/>
                      <w:color w:val="auto"/>
                      <w:sz w:val="21"/>
                      <w:szCs w:val="21"/>
                      <w:u w:val="none" w:color="auto"/>
                    </w:rPr>
                    <w:t>食堂油烟废气经油烟净化器处理后引至屋顶高空外排。</w:t>
                  </w:r>
                </w:p>
              </w:tc>
            </w:tr>
            <w:tr w14:paraId="2C3AEDB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75" w:type="pct"/>
                  <w:vMerge w:val="continue"/>
                  <w:noWrap w:val="0"/>
                  <w:vAlign w:val="center"/>
                </w:tcPr>
                <w:p w14:paraId="74816E57">
                  <w:pPr>
                    <w:keepNext w:val="0"/>
                    <w:keepLines w:val="0"/>
                    <w:pageBreakBefore w:val="0"/>
                    <w:widowControl/>
                    <w:kinsoku/>
                    <w:wordWrap/>
                    <w:overflowPunct/>
                    <w:topLinePunct w:val="0"/>
                    <w:bidi w:val="0"/>
                    <w:adjustRightInd/>
                    <w:snapToGrid/>
                    <w:spacing w:after="0" w:line="240" w:lineRule="auto"/>
                    <w:jc w:val="left"/>
                    <w:textAlignment w:val="auto"/>
                    <w:rPr>
                      <w:rFonts w:hint="default" w:ascii="Times New Roman" w:hAnsi="Times New Roman" w:eastAsia="宋体" w:cs="Times New Roman"/>
                      <w:color w:val="auto"/>
                      <w:sz w:val="21"/>
                      <w:szCs w:val="21"/>
                      <w:u w:val="none" w:color="auto"/>
                    </w:rPr>
                  </w:pPr>
                </w:p>
              </w:tc>
              <w:tc>
                <w:tcPr>
                  <w:tcW w:w="893" w:type="pct"/>
                  <w:vMerge w:val="continue"/>
                  <w:noWrap w:val="0"/>
                  <w:vAlign w:val="center"/>
                </w:tcPr>
                <w:p w14:paraId="7D6137B8">
                  <w:pPr>
                    <w:keepNext w:val="0"/>
                    <w:keepLines w:val="0"/>
                    <w:pageBreakBefore w:val="0"/>
                    <w:widowControl/>
                    <w:kinsoku/>
                    <w:wordWrap/>
                    <w:overflowPunct/>
                    <w:topLinePunct w:val="0"/>
                    <w:bidi w:val="0"/>
                    <w:adjustRightInd/>
                    <w:snapToGrid/>
                    <w:spacing w:after="0" w:line="240" w:lineRule="auto"/>
                    <w:jc w:val="left"/>
                    <w:textAlignment w:val="auto"/>
                    <w:rPr>
                      <w:rFonts w:hint="default" w:ascii="Times New Roman" w:hAnsi="Times New Roman" w:eastAsia="宋体" w:cs="Times New Roman"/>
                      <w:color w:val="auto"/>
                      <w:sz w:val="21"/>
                      <w:szCs w:val="21"/>
                      <w:u w:val="none" w:color="auto"/>
                    </w:rPr>
                  </w:pPr>
                </w:p>
              </w:tc>
              <w:tc>
                <w:tcPr>
                  <w:tcW w:w="3431" w:type="pct"/>
                  <w:noWrap w:val="0"/>
                  <w:vAlign w:val="center"/>
                </w:tcPr>
                <w:p w14:paraId="05D7CD5E">
                  <w:pPr>
                    <w:keepNext w:val="0"/>
                    <w:keepLines w:val="0"/>
                    <w:pageBreakBefore w:val="0"/>
                    <w:kinsoku/>
                    <w:wordWrap/>
                    <w:overflowPunct/>
                    <w:topLinePunct w:val="0"/>
                    <w:autoSpaceDE w:val="0"/>
                    <w:autoSpaceDN w:val="0"/>
                    <w:bidi w:val="0"/>
                    <w:adjustRightInd/>
                    <w:snapToGrid/>
                    <w:spacing w:after="0" w:line="240" w:lineRule="auto"/>
                    <w:textAlignment w:val="auto"/>
                    <w:rPr>
                      <w:rFonts w:hint="default" w:ascii="Times New Roman" w:hAnsi="Times New Roman" w:eastAsia="宋体" w:cs="Times New Roman"/>
                      <w:b/>
                      <w:bCs/>
                      <w:color w:val="auto"/>
                      <w:sz w:val="21"/>
                      <w:szCs w:val="21"/>
                      <w:u w:val="none" w:color="auto"/>
                      <w:lang w:val="en-US" w:eastAsia="zh-CN" w:bidi="ar-SA"/>
                    </w:rPr>
                  </w:pPr>
                  <w:r>
                    <w:rPr>
                      <w:rFonts w:hint="default" w:ascii="Times New Roman" w:hAnsi="Times New Roman" w:eastAsia="宋体" w:cs="Times New Roman"/>
                      <w:b/>
                      <w:bCs/>
                      <w:color w:val="auto"/>
                      <w:sz w:val="21"/>
                      <w:szCs w:val="21"/>
                      <w:u w:val="none" w:color="auto"/>
                    </w:rPr>
                    <w:t>实验室废气：</w:t>
                  </w:r>
                  <w:r>
                    <w:rPr>
                      <w:rFonts w:hint="default" w:ascii="Times New Roman" w:hAnsi="Times New Roman" w:eastAsia="宋体" w:cs="Times New Roman"/>
                      <w:color w:val="auto"/>
                      <w:sz w:val="21"/>
                      <w:szCs w:val="21"/>
                      <w:u w:val="none" w:color="auto"/>
                    </w:rPr>
                    <w:t>排气扇、窗户等通风</w:t>
                  </w:r>
                </w:p>
              </w:tc>
            </w:tr>
            <w:tr w14:paraId="0846631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75" w:type="pct"/>
                  <w:vMerge w:val="continue"/>
                  <w:noWrap w:val="0"/>
                  <w:vAlign w:val="center"/>
                </w:tcPr>
                <w:p w14:paraId="29853D1D">
                  <w:pPr>
                    <w:keepNext w:val="0"/>
                    <w:keepLines w:val="0"/>
                    <w:pageBreakBefore w:val="0"/>
                    <w:widowControl/>
                    <w:kinsoku/>
                    <w:wordWrap/>
                    <w:overflowPunct/>
                    <w:topLinePunct w:val="0"/>
                    <w:bidi w:val="0"/>
                    <w:adjustRightInd/>
                    <w:snapToGrid/>
                    <w:spacing w:after="0" w:line="240" w:lineRule="auto"/>
                    <w:jc w:val="left"/>
                    <w:textAlignment w:val="auto"/>
                    <w:rPr>
                      <w:rFonts w:hint="default" w:ascii="Times New Roman" w:hAnsi="Times New Roman" w:eastAsia="宋体" w:cs="Times New Roman"/>
                      <w:color w:val="auto"/>
                      <w:sz w:val="21"/>
                      <w:szCs w:val="21"/>
                      <w:u w:val="none" w:color="auto"/>
                    </w:rPr>
                  </w:pPr>
                </w:p>
              </w:tc>
              <w:tc>
                <w:tcPr>
                  <w:tcW w:w="893" w:type="pct"/>
                  <w:noWrap w:val="0"/>
                  <w:vAlign w:val="center"/>
                </w:tcPr>
                <w:p w14:paraId="26F16A62">
                  <w:pPr>
                    <w:keepNext w:val="0"/>
                    <w:keepLines w:val="0"/>
                    <w:pageBreakBefore w:val="0"/>
                    <w:kinsoku/>
                    <w:wordWrap/>
                    <w:overflowPunct/>
                    <w:topLinePunct w:val="0"/>
                    <w:bidi w:val="0"/>
                    <w:adjustRightInd/>
                    <w:snapToGrid/>
                    <w:spacing w:after="0" w:line="240" w:lineRule="auto"/>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噪声防治措施</w:t>
                  </w:r>
                </w:p>
              </w:tc>
              <w:tc>
                <w:tcPr>
                  <w:tcW w:w="3431" w:type="pct"/>
                  <w:noWrap w:val="0"/>
                  <w:vAlign w:val="center"/>
                </w:tcPr>
                <w:p w14:paraId="47627A42">
                  <w:pPr>
                    <w:keepNext w:val="0"/>
                    <w:keepLines w:val="0"/>
                    <w:pageBreakBefore w:val="0"/>
                    <w:kinsoku/>
                    <w:wordWrap/>
                    <w:overflowPunct/>
                    <w:topLinePunct w:val="0"/>
                    <w:bidi w:val="0"/>
                    <w:adjustRightInd/>
                    <w:snapToGrid/>
                    <w:spacing w:after="0" w:line="240" w:lineRule="auto"/>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对噪声较高的风机</w:t>
                  </w: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rPr>
                    <w:t>选用低噪声设备</w:t>
                  </w: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rPr>
                    <w:t>采取安装消音器、设置于单独的风机室内等措施进行消音减噪。</w:t>
                  </w:r>
                </w:p>
                <w:p w14:paraId="2FFADDA2">
                  <w:pPr>
                    <w:keepNext w:val="0"/>
                    <w:keepLines w:val="0"/>
                    <w:pageBreakBefore w:val="0"/>
                    <w:kinsoku/>
                    <w:wordWrap/>
                    <w:overflowPunct/>
                    <w:topLinePunct w:val="0"/>
                    <w:bidi w:val="0"/>
                    <w:adjustRightInd/>
                    <w:snapToGrid/>
                    <w:spacing w:after="0" w:line="240" w:lineRule="auto"/>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对挤压机、锻造机、锯切机等生产设备进行合理布置</w:t>
                  </w: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rPr>
                    <w:t>基础减振等措施以降低其噪声对周围环境的影响。</w:t>
                  </w:r>
                </w:p>
                <w:p w14:paraId="4A9AE021">
                  <w:pPr>
                    <w:keepNext w:val="0"/>
                    <w:keepLines w:val="0"/>
                    <w:pageBreakBefore w:val="0"/>
                    <w:kinsoku/>
                    <w:wordWrap/>
                    <w:overflowPunct/>
                    <w:topLinePunct w:val="0"/>
                    <w:bidi w:val="0"/>
                    <w:adjustRightInd/>
                    <w:snapToGrid/>
                    <w:spacing w:after="0" w:line="240" w:lineRule="auto"/>
                    <w:textAlignment w:val="auto"/>
                    <w:rPr>
                      <w:rFonts w:hint="default" w:ascii="Times New Roman" w:hAnsi="Times New Roman" w:eastAsia="宋体" w:cs="Times New Roman"/>
                      <w:color w:val="auto"/>
                      <w:sz w:val="21"/>
                      <w:szCs w:val="21"/>
                      <w:u w:val="none" w:color="auto"/>
                      <w:lang w:val="en-US" w:eastAsia="zh-CN" w:bidi="ar-SA"/>
                    </w:rPr>
                  </w:pPr>
                  <w:r>
                    <w:rPr>
                      <w:rFonts w:hint="default" w:ascii="Times New Roman" w:hAnsi="Times New Roman" w:eastAsia="宋体" w:cs="Times New Roman"/>
                      <w:color w:val="auto"/>
                      <w:sz w:val="21"/>
                      <w:szCs w:val="21"/>
                      <w:u w:val="none" w:color="auto"/>
                    </w:rPr>
                    <w:t>设计将空压机配置在单独的机房内</w:t>
                  </w: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rPr>
                    <w:t>并安装消音器</w:t>
                  </w: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rPr>
                    <w:t>以降低空压机设备噪声</w:t>
                  </w: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rPr>
                    <w:t>并在机房内墙采用吸声材料贴面</w:t>
                  </w:r>
                </w:p>
              </w:tc>
            </w:tr>
            <w:tr w14:paraId="1FAA114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75" w:type="pct"/>
                  <w:vMerge w:val="continue"/>
                  <w:noWrap w:val="0"/>
                  <w:vAlign w:val="center"/>
                </w:tcPr>
                <w:p w14:paraId="0FC0A2F9">
                  <w:pPr>
                    <w:keepNext w:val="0"/>
                    <w:keepLines w:val="0"/>
                    <w:pageBreakBefore w:val="0"/>
                    <w:widowControl/>
                    <w:kinsoku/>
                    <w:wordWrap/>
                    <w:overflowPunct/>
                    <w:topLinePunct w:val="0"/>
                    <w:bidi w:val="0"/>
                    <w:adjustRightInd/>
                    <w:snapToGrid/>
                    <w:spacing w:after="0" w:line="240" w:lineRule="auto"/>
                    <w:jc w:val="left"/>
                    <w:textAlignment w:val="auto"/>
                    <w:rPr>
                      <w:rFonts w:hint="default" w:ascii="Times New Roman" w:hAnsi="Times New Roman" w:eastAsia="宋体" w:cs="Times New Roman"/>
                      <w:color w:val="auto"/>
                      <w:sz w:val="21"/>
                      <w:szCs w:val="21"/>
                      <w:u w:val="none" w:color="auto"/>
                    </w:rPr>
                  </w:pPr>
                </w:p>
              </w:tc>
              <w:tc>
                <w:tcPr>
                  <w:tcW w:w="893" w:type="pct"/>
                  <w:vMerge w:val="restart"/>
                  <w:noWrap w:val="0"/>
                  <w:vAlign w:val="center"/>
                </w:tcPr>
                <w:p w14:paraId="20AF864B">
                  <w:pPr>
                    <w:keepNext w:val="0"/>
                    <w:keepLines w:val="0"/>
                    <w:pageBreakBefore w:val="0"/>
                    <w:kinsoku/>
                    <w:wordWrap/>
                    <w:overflowPunct/>
                    <w:topLinePunct w:val="0"/>
                    <w:bidi w:val="0"/>
                    <w:adjustRightInd/>
                    <w:snapToGrid/>
                    <w:spacing w:after="0" w:line="240" w:lineRule="auto"/>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固体废物防治措施</w:t>
                  </w:r>
                </w:p>
              </w:tc>
              <w:tc>
                <w:tcPr>
                  <w:tcW w:w="3431" w:type="pct"/>
                  <w:noWrap w:val="0"/>
                  <w:vAlign w:val="center"/>
                </w:tcPr>
                <w:p w14:paraId="5910793F">
                  <w:pPr>
                    <w:keepNext w:val="0"/>
                    <w:keepLines w:val="0"/>
                    <w:pageBreakBefore w:val="0"/>
                    <w:kinsoku/>
                    <w:wordWrap/>
                    <w:overflowPunct/>
                    <w:topLinePunct w:val="0"/>
                    <w:autoSpaceDE w:val="0"/>
                    <w:autoSpaceDN w:val="0"/>
                    <w:bidi w:val="0"/>
                    <w:adjustRightInd/>
                    <w:snapToGrid/>
                    <w:spacing w:after="0" w:line="240" w:lineRule="auto"/>
                    <w:textAlignment w:val="auto"/>
                    <w:rPr>
                      <w:rFonts w:hint="default" w:ascii="Times New Roman" w:hAnsi="Times New Roman" w:eastAsia="宋体" w:cs="Times New Roman"/>
                      <w:color w:val="auto"/>
                      <w:kern w:val="0"/>
                      <w:sz w:val="21"/>
                      <w:szCs w:val="21"/>
                      <w:highlight w:val="none"/>
                      <w:u w:val="none" w:color="auto"/>
                    </w:rPr>
                  </w:pPr>
                  <w:r>
                    <w:rPr>
                      <w:rFonts w:hint="default" w:ascii="Times New Roman" w:hAnsi="Times New Roman" w:eastAsia="宋体" w:cs="Times New Roman"/>
                      <w:color w:val="auto"/>
                      <w:sz w:val="21"/>
                      <w:szCs w:val="21"/>
                      <w:highlight w:val="none"/>
                      <w:u w:val="none" w:color="auto"/>
                    </w:rPr>
                    <w:t>本项目南侧设置固废库</w:t>
                  </w:r>
                  <w:r>
                    <w:rPr>
                      <w:rFonts w:hint="default" w:ascii="Times New Roman" w:hAnsi="Times New Roman" w:eastAsia="宋体" w:cs="Times New Roman"/>
                      <w:color w:val="auto"/>
                      <w:sz w:val="21"/>
                      <w:szCs w:val="21"/>
                      <w:highlight w:val="none"/>
                      <w:u w:val="none" w:color="auto"/>
                      <w:lang w:eastAsia="zh-CN"/>
                    </w:rPr>
                    <w:t>，</w:t>
                  </w:r>
                  <w:r>
                    <w:rPr>
                      <w:rFonts w:hint="default" w:ascii="Times New Roman" w:hAnsi="Times New Roman" w:eastAsia="宋体" w:cs="Times New Roman"/>
                      <w:color w:val="auto"/>
                      <w:sz w:val="21"/>
                      <w:szCs w:val="21"/>
                      <w:highlight w:val="none"/>
                      <w:u w:val="none" w:color="auto"/>
                    </w:rPr>
                    <w:t>长36m</w:t>
                  </w:r>
                  <w:r>
                    <w:rPr>
                      <w:rFonts w:hint="default" w:ascii="Times New Roman" w:hAnsi="Times New Roman" w:eastAsia="宋体" w:cs="Times New Roman"/>
                      <w:color w:val="auto"/>
                      <w:sz w:val="21"/>
                      <w:szCs w:val="21"/>
                      <w:highlight w:val="none"/>
                      <w:u w:val="none" w:color="auto"/>
                      <w:lang w:eastAsia="zh-CN"/>
                    </w:rPr>
                    <w:t>，</w:t>
                  </w:r>
                  <w:r>
                    <w:rPr>
                      <w:rFonts w:hint="default" w:ascii="Times New Roman" w:hAnsi="Times New Roman" w:eastAsia="宋体" w:cs="Times New Roman"/>
                      <w:color w:val="auto"/>
                      <w:sz w:val="21"/>
                      <w:szCs w:val="21"/>
                      <w:highlight w:val="none"/>
                      <w:u w:val="none" w:color="auto"/>
                    </w:rPr>
                    <w:t>宽9m</w:t>
                  </w:r>
                  <w:r>
                    <w:rPr>
                      <w:rFonts w:hint="default" w:ascii="Times New Roman" w:hAnsi="Times New Roman" w:eastAsia="宋体" w:cs="Times New Roman"/>
                      <w:color w:val="auto"/>
                      <w:sz w:val="21"/>
                      <w:szCs w:val="21"/>
                      <w:highlight w:val="none"/>
                      <w:u w:val="none" w:color="auto"/>
                      <w:lang w:eastAsia="zh-CN"/>
                    </w:rPr>
                    <w:t>，</w:t>
                  </w:r>
                  <w:r>
                    <w:rPr>
                      <w:rFonts w:hint="default" w:ascii="Times New Roman" w:hAnsi="Times New Roman" w:eastAsia="宋体" w:cs="Times New Roman"/>
                      <w:color w:val="auto"/>
                      <w:kern w:val="0"/>
                      <w:sz w:val="21"/>
                      <w:szCs w:val="21"/>
                      <w:highlight w:val="none"/>
                      <w:u w:val="none" w:color="auto"/>
                    </w:rPr>
                    <w:t>建筑面积334.86m</w:t>
                  </w:r>
                  <w:r>
                    <w:rPr>
                      <w:rFonts w:hint="default" w:ascii="Times New Roman" w:hAnsi="Times New Roman" w:eastAsia="宋体" w:cs="Times New Roman"/>
                      <w:color w:val="auto"/>
                      <w:kern w:val="0"/>
                      <w:sz w:val="21"/>
                      <w:szCs w:val="21"/>
                      <w:highlight w:val="none"/>
                      <w:u w:val="none" w:color="auto"/>
                      <w:vertAlign w:val="superscript"/>
                    </w:rPr>
                    <w:t>2</w:t>
                  </w:r>
                  <w:r>
                    <w:rPr>
                      <w:rFonts w:hint="default" w:ascii="Times New Roman" w:hAnsi="Times New Roman" w:eastAsia="宋体" w:cs="Times New Roman"/>
                      <w:color w:val="auto"/>
                      <w:kern w:val="0"/>
                      <w:sz w:val="21"/>
                      <w:szCs w:val="21"/>
                      <w:highlight w:val="none"/>
                      <w:u w:val="none" w:color="auto"/>
                      <w:lang w:eastAsia="zh-CN"/>
                    </w:rPr>
                    <w:t>，</w:t>
                  </w:r>
                  <w:r>
                    <w:rPr>
                      <w:rFonts w:hint="default" w:ascii="Times New Roman" w:hAnsi="Times New Roman" w:eastAsia="宋体" w:cs="Times New Roman"/>
                      <w:color w:val="auto"/>
                      <w:kern w:val="0"/>
                      <w:sz w:val="21"/>
                      <w:szCs w:val="21"/>
                      <w:highlight w:val="none"/>
                      <w:u w:val="none" w:color="auto"/>
                    </w:rPr>
                    <w:t>为单层钢筋混凝土框架结构</w:t>
                  </w:r>
                  <w:r>
                    <w:rPr>
                      <w:rFonts w:hint="default" w:ascii="Times New Roman" w:hAnsi="Times New Roman" w:eastAsia="宋体" w:cs="Times New Roman"/>
                      <w:color w:val="auto"/>
                      <w:kern w:val="0"/>
                      <w:sz w:val="21"/>
                      <w:szCs w:val="21"/>
                      <w:highlight w:val="none"/>
                      <w:u w:val="none" w:color="auto"/>
                      <w:lang w:eastAsia="zh-CN"/>
                    </w:rPr>
                    <w:t>，</w:t>
                  </w:r>
                  <w:r>
                    <w:rPr>
                      <w:rFonts w:hint="default" w:ascii="Times New Roman" w:hAnsi="Times New Roman" w:eastAsia="宋体" w:cs="Times New Roman"/>
                      <w:color w:val="auto"/>
                      <w:kern w:val="0"/>
                      <w:sz w:val="21"/>
                      <w:szCs w:val="21"/>
                      <w:highlight w:val="none"/>
                      <w:u w:val="none" w:color="auto"/>
                    </w:rPr>
                    <w:t>分割成三个房间</w:t>
                  </w:r>
                  <w:r>
                    <w:rPr>
                      <w:rFonts w:hint="default" w:ascii="Times New Roman" w:hAnsi="Times New Roman" w:eastAsia="宋体" w:cs="Times New Roman"/>
                      <w:color w:val="auto"/>
                      <w:kern w:val="0"/>
                      <w:sz w:val="21"/>
                      <w:szCs w:val="21"/>
                      <w:highlight w:val="none"/>
                      <w:u w:val="none" w:color="auto"/>
                      <w:lang w:eastAsia="zh-CN"/>
                    </w:rPr>
                    <w:t>，</w:t>
                  </w:r>
                  <w:r>
                    <w:rPr>
                      <w:rFonts w:hint="default" w:ascii="Times New Roman" w:hAnsi="Times New Roman" w:eastAsia="宋体" w:cs="Times New Roman"/>
                      <w:color w:val="auto"/>
                      <w:kern w:val="0"/>
                      <w:sz w:val="21"/>
                      <w:szCs w:val="21"/>
                      <w:highlight w:val="none"/>
                      <w:u w:val="none" w:color="auto"/>
                      <w:lang w:val="en-US" w:eastAsia="zh-CN"/>
                    </w:rPr>
                    <w:t>均设置为危废暂存间，库容</w:t>
                  </w:r>
                  <w:r>
                    <w:rPr>
                      <w:rFonts w:hint="default" w:ascii="Times New Roman" w:hAnsi="Times New Roman" w:eastAsia="宋体" w:cs="Times New Roman"/>
                      <w:color w:val="auto"/>
                      <w:kern w:val="0"/>
                      <w:sz w:val="21"/>
                      <w:szCs w:val="21"/>
                      <w:highlight w:val="none"/>
                      <w:u w:val="none" w:color="auto"/>
                    </w:rPr>
                    <w:t>存放</w:t>
                  </w:r>
                  <w:r>
                    <w:rPr>
                      <w:rFonts w:hint="default" w:ascii="Times New Roman" w:hAnsi="Times New Roman" w:eastAsia="宋体" w:cs="Times New Roman"/>
                      <w:color w:val="auto"/>
                      <w:kern w:val="0"/>
                      <w:sz w:val="21"/>
                      <w:szCs w:val="21"/>
                      <w:highlight w:val="none"/>
                      <w:u w:val="none" w:color="auto"/>
                      <w:lang w:val="en-US" w:eastAsia="zh-CN"/>
                    </w:rPr>
                    <w:t>270t</w:t>
                  </w:r>
                  <w:r>
                    <w:rPr>
                      <w:rFonts w:hint="default" w:ascii="Times New Roman" w:hAnsi="Times New Roman" w:eastAsia="宋体" w:cs="Times New Roman"/>
                      <w:color w:val="auto"/>
                      <w:kern w:val="0"/>
                      <w:sz w:val="21"/>
                      <w:szCs w:val="21"/>
                      <w:highlight w:val="none"/>
                      <w:u w:val="none" w:color="auto"/>
                    </w:rPr>
                    <w:t>危险废物。</w:t>
                  </w:r>
                </w:p>
                <w:p w14:paraId="3FA122D3">
                  <w:pPr>
                    <w:keepNext w:val="0"/>
                    <w:keepLines w:val="0"/>
                    <w:pageBreakBefore w:val="0"/>
                    <w:kinsoku/>
                    <w:wordWrap/>
                    <w:overflowPunct/>
                    <w:topLinePunct w:val="0"/>
                    <w:autoSpaceDE w:val="0"/>
                    <w:autoSpaceDN w:val="0"/>
                    <w:bidi w:val="0"/>
                    <w:adjustRightInd/>
                    <w:snapToGrid/>
                    <w:spacing w:after="0" w:line="240" w:lineRule="auto"/>
                    <w:textAlignment w:val="auto"/>
                    <w:rPr>
                      <w:rFonts w:hint="default" w:ascii="Times New Roman" w:hAnsi="Times New Roman" w:eastAsia="宋体" w:cs="Times New Roman"/>
                      <w:color w:val="auto"/>
                      <w:kern w:val="0"/>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lang w:val="en-US" w:eastAsia="zh-CN"/>
                    </w:rPr>
                    <w:t>一般固废暂存库选址变更为成品库内，库容</w:t>
                  </w:r>
                  <w:r>
                    <w:rPr>
                      <w:rFonts w:hint="default" w:ascii="Times New Roman" w:hAnsi="Times New Roman" w:eastAsia="宋体" w:cs="Times New Roman"/>
                      <w:color w:val="auto"/>
                      <w:kern w:val="0"/>
                      <w:sz w:val="21"/>
                      <w:szCs w:val="21"/>
                      <w:highlight w:val="none"/>
                      <w:u w:val="none" w:color="auto"/>
                    </w:rPr>
                    <w:t>存放</w:t>
                  </w:r>
                  <w:r>
                    <w:rPr>
                      <w:rFonts w:hint="default" w:ascii="Times New Roman" w:hAnsi="Times New Roman" w:eastAsia="宋体" w:cs="Times New Roman"/>
                      <w:color w:val="auto"/>
                      <w:kern w:val="0"/>
                      <w:sz w:val="21"/>
                      <w:szCs w:val="21"/>
                      <w:highlight w:val="none"/>
                      <w:u w:val="none" w:color="auto"/>
                      <w:lang w:val="en-US" w:eastAsia="zh-CN"/>
                    </w:rPr>
                    <w:t>180t一般固体废物</w:t>
                  </w:r>
                  <w:r>
                    <w:rPr>
                      <w:rFonts w:hint="default" w:ascii="Times New Roman" w:hAnsi="Times New Roman" w:eastAsia="宋体" w:cs="Times New Roman"/>
                      <w:color w:val="auto"/>
                      <w:kern w:val="0"/>
                      <w:sz w:val="21"/>
                      <w:szCs w:val="21"/>
                      <w:highlight w:val="none"/>
                      <w:u w:val="none" w:color="auto"/>
                    </w:rPr>
                    <w:t>。</w:t>
                  </w:r>
                </w:p>
                <w:p w14:paraId="7632599E">
                  <w:pPr>
                    <w:pStyle w:val="2"/>
                    <w:keepNext w:val="0"/>
                    <w:keepLines w:val="0"/>
                    <w:pageBreakBefore w:val="0"/>
                    <w:kinsoku/>
                    <w:wordWrap/>
                    <w:overflowPunct/>
                    <w:topLinePunct w:val="0"/>
                    <w:bidi w:val="0"/>
                    <w:adjustRightInd/>
                    <w:snapToGrid/>
                    <w:spacing w:after="0" w:line="240" w:lineRule="auto"/>
                    <w:textAlignment w:val="auto"/>
                    <w:rPr>
                      <w:rFonts w:hint="default" w:ascii="Times New Roman" w:hAnsi="Times New Roman" w:eastAsia="宋体" w:cs="Times New Roman"/>
                      <w:color w:val="auto"/>
                      <w:kern w:val="0"/>
                      <w:sz w:val="21"/>
                      <w:szCs w:val="21"/>
                      <w:highlight w:val="none"/>
                      <w:u w:val="none" w:color="auto"/>
                    </w:rPr>
                  </w:pPr>
                  <w:r>
                    <w:rPr>
                      <w:rFonts w:hint="default" w:ascii="Times New Roman" w:hAnsi="Times New Roman" w:eastAsia="宋体" w:cs="Times New Roman"/>
                      <w:b/>
                      <w:bCs/>
                      <w:color w:val="auto"/>
                      <w:kern w:val="0"/>
                      <w:sz w:val="21"/>
                      <w:szCs w:val="21"/>
                      <w:highlight w:val="none"/>
                      <w:u w:val="none" w:color="auto"/>
                    </w:rPr>
                    <w:t>一般固废贮存区：</w:t>
                  </w:r>
                  <w:r>
                    <w:rPr>
                      <w:rFonts w:hint="default" w:ascii="Times New Roman" w:hAnsi="Times New Roman" w:eastAsia="宋体" w:cs="Times New Roman"/>
                      <w:color w:val="auto"/>
                      <w:kern w:val="0"/>
                      <w:sz w:val="21"/>
                      <w:szCs w:val="21"/>
                      <w:highlight w:val="none"/>
                      <w:u w:val="none" w:color="auto"/>
                    </w:rPr>
                    <w:t>为固体废物</w:t>
                  </w:r>
                  <w:r>
                    <w:rPr>
                      <w:rFonts w:hint="default" w:ascii="Times New Roman" w:hAnsi="Times New Roman" w:eastAsia="宋体" w:cs="Times New Roman"/>
                      <w:color w:val="auto"/>
                      <w:kern w:val="0"/>
                      <w:sz w:val="21"/>
                      <w:szCs w:val="21"/>
                      <w:highlight w:val="none"/>
                      <w:u w:val="none" w:color="auto"/>
                      <w:lang w:eastAsia="zh-CN"/>
                    </w:rPr>
                    <w:t>间</w:t>
                  </w:r>
                  <w:r>
                    <w:rPr>
                      <w:rFonts w:hint="default" w:ascii="Times New Roman" w:hAnsi="Times New Roman" w:eastAsia="宋体" w:cs="Times New Roman"/>
                      <w:color w:val="auto"/>
                      <w:kern w:val="0"/>
                      <w:sz w:val="21"/>
                      <w:szCs w:val="21"/>
                      <w:highlight w:val="none"/>
                      <w:u w:val="none" w:color="auto"/>
                    </w:rPr>
                    <w:t>。主要收集贮存废耐火材料等一般固废</w:t>
                  </w:r>
                  <w:r>
                    <w:rPr>
                      <w:rFonts w:hint="default" w:ascii="Times New Roman" w:hAnsi="Times New Roman" w:eastAsia="宋体" w:cs="Times New Roman"/>
                      <w:color w:val="auto"/>
                      <w:kern w:val="0"/>
                      <w:sz w:val="21"/>
                      <w:szCs w:val="21"/>
                      <w:highlight w:val="none"/>
                      <w:u w:val="none" w:color="auto"/>
                      <w:lang w:eastAsia="zh-CN"/>
                    </w:rPr>
                    <w:t>，</w:t>
                  </w:r>
                  <w:r>
                    <w:rPr>
                      <w:rFonts w:hint="default" w:ascii="Times New Roman" w:hAnsi="Times New Roman" w:eastAsia="宋体" w:cs="Times New Roman"/>
                      <w:color w:val="auto"/>
                      <w:kern w:val="0"/>
                      <w:sz w:val="21"/>
                      <w:szCs w:val="21"/>
                      <w:highlight w:val="none"/>
                      <w:u w:val="none" w:color="auto"/>
                    </w:rPr>
                    <w:t>占地</w:t>
                  </w:r>
                  <w:r>
                    <w:rPr>
                      <w:rFonts w:hint="default" w:ascii="Times New Roman" w:hAnsi="Times New Roman" w:eastAsia="宋体" w:cs="Times New Roman"/>
                      <w:color w:val="auto"/>
                      <w:kern w:val="0"/>
                      <w:sz w:val="21"/>
                      <w:szCs w:val="21"/>
                      <w:highlight w:val="none"/>
                      <w:u w:val="none" w:color="auto"/>
                      <w:lang w:val="en-US" w:eastAsia="zh-CN"/>
                    </w:rPr>
                    <w:t>2</w:t>
                  </w:r>
                  <w:r>
                    <w:rPr>
                      <w:rFonts w:hint="default" w:ascii="Times New Roman" w:hAnsi="Times New Roman" w:eastAsia="宋体" w:cs="Times New Roman"/>
                      <w:color w:val="auto"/>
                      <w:kern w:val="0"/>
                      <w:sz w:val="21"/>
                      <w:szCs w:val="21"/>
                      <w:highlight w:val="none"/>
                      <w:u w:val="none" w:color="auto"/>
                    </w:rPr>
                    <w:t>00m</w:t>
                  </w:r>
                  <w:r>
                    <w:rPr>
                      <w:rFonts w:hint="default" w:ascii="Times New Roman" w:hAnsi="Times New Roman" w:eastAsia="宋体" w:cs="Times New Roman"/>
                      <w:color w:val="auto"/>
                      <w:kern w:val="0"/>
                      <w:sz w:val="21"/>
                      <w:szCs w:val="21"/>
                      <w:highlight w:val="none"/>
                      <w:u w:val="none" w:color="auto"/>
                      <w:vertAlign w:val="superscript"/>
                    </w:rPr>
                    <w:t>2</w:t>
                  </w:r>
                  <w:r>
                    <w:rPr>
                      <w:rFonts w:hint="default" w:ascii="Times New Roman" w:hAnsi="Times New Roman" w:eastAsia="宋体" w:cs="Times New Roman"/>
                      <w:color w:val="auto"/>
                      <w:kern w:val="0"/>
                      <w:sz w:val="21"/>
                      <w:szCs w:val="21"/>
                      <w:highlight w:val="none"/>
                      <w:u w:val="none" w:color="auto"/>
                    </w:rPr>
                    <w:t>。一般固废经暂存后或进行回用、或外售进行综合利用。</w:t>
                  </w:r>
                </w:p>
                <w:p w14:paraId="55032F58">
                  <w:pPr>
                    <w:pStyle w:val="2"/>
                    <w:keepNext w:val="0"/>
                    <w:keepLines w:val="0"/>
                    <w:pageBreakBefore w:val="0"/>
                    <w:kinsoku/>
                    <w:wordWrap/>
                    <w:overflowPunct/>
                    <w:topLinePunct w:val="0"/>
                    <w:bidi w:val="0"/>
                    <w:adjustRightInd/>
                    <w:snapToGrid/>
                    <w:spacing w:after="0" w:line="240" w:lineRule="auto"/>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b/>
                      <w:bCs/>
                      <w:color w:val="auto"/>
                      <w:sz w:val="21"/>
                      <w:szCs w:val="21"/>
                      <w:highlight w:val="none"/>
                      <w:u w:val="none" w:color="auto"/>
                    </w:rPr>
                    <w:t>危废贮存区：</w:t>
                  </w:r>
                  <w:r>
                    <w:rPr>
                      <w:rFonts w:hint="default" w:ascii="Times New Roman" w:hAnsi="Times New Roman" w:eastAsia="宋体" w:cs="Times New Roman"/>
                      <w:color w:val="auto"/>
                      <w:sz w:val="21"/>
                      <w:szCs w:val="21"/>
                      <w:highlight w:val="none"/>
                      <w:u w:val="none" w:color="auto"/>
                    </w:rPr>
                    <w:t>为</w:t>
                  </w:r>
                  <w:r>
                    <w:rPr>
                      <w:rFonts w:hint="default" w:ascii="Times New Roman" w:hAnsi="Times New Roman" w:eastAsia="宋体" w:cs="Times New Roman"/>
                      <w:color w:val="auto"/>
                      <w:sz w:val="21"/>
                      <w:szCs w:val="21"/>
                      <w:highlight w:val="none"/>
                      <w:u w:val="none" w:color="auto"/>
                      <w:lang w:val="en-US" w:eastAsia="zh-CN"/>
                    </w:rPr>
                    <w:t>危废暂存库，分设TS001、TS002、TS003危废暂存间，每个危废暂存间占地均100</w:t>
                  </w:r>
                  <w:r>
                    <w:rPr>
                      <w:rFonts w:hint="default" w:ascii="Times New Roman" w:hAnsi="Times New Roman" w:eastAsia="宋体" w:cs="Times New Roman"/>
                      <w:color w:val="auto"/>
                      <w:kern w:val="0"/>
                      <w:sz w:val="21"/>
                      <w:szCs w:val="21"/>
                      <w:highlight w:val="none"/>
                      <w:u w:val="none" w:color="auto"/>
                    </w:rPr>
                    <w:t>m</w:t>
                  </w:r>
                  <w:r>
                    <w:rPr>
                      <w:rFonts w:hint="default" w:ascii="Times New Roman" w:hAnsi="Times New Roman" w:eastAsia="宋体" w:cs="Times New Roman"/>
                      <w:color w:val="auto"/>
                      <w:kern w:val="0"/>
                      <w:sz w:val="21"/>
                      <w:szCs w:val="21"/>
                      <w:highlight w:val="none"/>
                      <w:u w:val="none" w:color="auto"/>
                      <w:vertAlign w:val="superscript"/>
                    </w:rPr>
                    <w:t>2</w:t>
                  </w:r>
                  <w:r>
                    <w:rPr>
                      <w:rFonts w:hint="default" w:ascii="Times New Roman" w:hAnsi="Times New Roman" w:eastAsia="宋体" w:cs="Times New Roman"/>
                      <w:color w:val="auto"/>
                      <w:sz w:val="21"/>
                      <w:szCs w:val="21"/>
                      <w:highlight w:val="none"/>
                      <w:u w:val="none" w:color="auto"/>
                    </w:rPr>
                    <w:t>。主要收集贮存</w:t>
                  </w:r>
                  <w:r>
                    <w:rPr>
                      <w:rFonts w:hint="default" w:ascii="Times New Roman" w:hAnsi="Times New Roman" w:eastAsia="宋体" w:cs="Times New Roman"/>
                      <w:color w:val="auto"/>
                      <w:sz w:val="21"/>
                      <w:szCs w:val="21"/>
                      <w:highlight w:val="none"/>
                      <w:u w:val="none" w:color="auto"/>
                      <w:lang w:val="en-US" w:eastAsia="zh-CN"/>
                    </w:rPr>
                    <w:t>企业产生的各类危废</w:t>
                  </w:r>
                  <w:r>
                    <w:rPr>
                      <w:rFonts w:hint="default" w:ascii="Times New Roman" w:hAnsi="Times New Roman" w:eastAsia="宋体" w:cs="Times New Roman"/>
                      <w:color w:val="auto"/>
                      <w:kern w:val="0"/>
                      <w:sz w:val="21"/>
                      <w:szCs w:val="21"/>
                      <w:highlight w:val="none"/>
                      <w:u w:val="none" w:color="auto"/>
                    </w:rPr>
                    <w:t>。危废经暂存后定期交由资质单位进行处置。</w:t>
                  </w:r>
                </w:p>
              </w:tc>
            </w:tr>
            <w:tr w14:paraId="0F90BCA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75" w:type="pct"/>
                  <w:vMerge w:val="continue"/>
                  <w:noWrap w:val="0"/>
                  <w:vAlign w:val="center"/>
                </w:tcPr>
                <w:p w14:paraId="2FDBCD9A">
                  <w:pPr>
                    <w:keepNext w:val="0"/>
                    <w:keepLines w:val="0"/>
                    <w:pageBreakBefore w:val="0"/>
                    <w:widowControl/>
                    <w:kinsoku/>
                    <w:wordWrap/>
                    <w:overflowPunct/>
                    <w:topLinePunct w:val="0"/>
                    <w:bidi w:val="0"/>
                    <w:adjustRightInd/>
                    <w:snapToGrid/>
                    <w:spacing w:after="0" w:line="240" w:lineRule="auto"/>
                    <w:jc w:val="left"/>
                    <w:textAlignment w:val="auto"/>
                    <w:rPr>
                      <w:rFonts w:hint="default" w:ascii="Times New Roman" w:hAnsi="Times New Roman" w:eastAsia="宋体" w:cs="Times New Roman"/>
                      <w:color w:val="auto"/>
                      <w:sz w:val="21"/>
                      <w:szCs w:val="21"/>
                      <w:u w:val="none" w:color="auto"/>
                    </w:rPr>
                  </w:pPr>
                </w:p>
              </w:tc>
              <w:tc>
                <w:tcPr>
                  <w:tcW w:w="893" w:type="pct"/>
                  <w:vMerge w:val="continue"/>
                  <w:noWrap w:val="0"/>
                  <w:vAlign w:val="center"/>
                </w:tcPr>
                <w:p w14:paraId="7FD840BD">
                  <w:pPr>
                    <w:keepNext w:val="0"/>
                    <w:keepLines w:val="0"/>
                    <w:pageBreakBefore w:val="0"/>
                    <w:kinsoku/>
                    <w:wordWrap/>
                    <w:overflowPunct/>
                    <w:topLinePunct w:val="0"/>
                    <w:bidi w:val="0"/>
                    <w:adjustRightInd/>
                    <w:snapToGrid/>
                    <w:spacing w:after="0" w:line="240" w:lineRule="auto"/>
                    <w:jc w:val="center"/>
                    <w:textAlignment w:val="auto"/>
                    <w:rPr>
                      <w:rFonts w:hint="default" w:ascii="Times New Roman" w:hAnsi="Times New Roman" w:eastAsia="宋体" w:cs="Times New Roman"/>
                      <w:color w:val="auto"/>
                      <w:sz w:val="21"/>
                      <w:szCs w:val="21"/>
                      <w:u w:val="none" w:color="auto"/>
                    </w:rPr>
                  </w:pPr>
                </w:p>
              </w:tc>
              <w:tc>
                <w:tcPr>
                  <w:tcW w:w="3431" w:type="pct"/>
                  <w:noWrap w:val="0"/>
                  <w:vAlign w:val="center"/>
                </w:tcPr>
                <w:p w14:paraId="44BB9935">
                  <w:pPr>
                    <w:pStyle w:val="2"/>
                    <w:keepNext w:val="0"/>
                    <w:keepLines w:val="0"/>
                    <w:pageBreakBefore w:val="0"/>
                    <w:kinsoku/>
                    <w:wordWrap/>
                    <w:overflowPunct/>
                    <w:topLinePunct w:val="0"/>
                    <w:bidi w:val="0"/>
                    <w:adjustRightInd/>
                    <w:snapToGrid/>
                    <w:spacing w:after="0" w:line="240" w:lineRule="auto"/>
                    <w:textAlignment w:val="auto"/>
                    <w:rPr>
                      <w:rFonts w:hint="default" w:ascii="Times New Roman" w:hAnsi="Times New Roman" w:eastAsia="宋体" w:cs="Times New Roman"/>
                      <w:b/>
                      <w:bCs/>
                      <w:color w:val="auto"/>
                      <w:sz w:val="21"/>
                      <w:szCs w:val="21"/>
                      <w:highlight w:val="none"/>
                      <w:u w:val="none" w:color="auto"/>
                      <w:lang w:val="en-US" w:eastAsia="zh-CN" w:bidi="ar-SA"/>
                    </w:rPr>
                  </w:pPr>
                  <w:r>
                    <w:rPr>
                      <w:rFonts w:hint="default" w:ascii="Times New Roman" w:hAnsi="Times New Roman" w:eastAsia="宋体" w:cs="Times New Roman"/>
                      <w:b/>
                      <w:bCs/>
                      <w:color w:val="auto"/>
                      <w:sz w:val="21"/>
                      <w:szCs w:val="21"/>
                      <w:highlight w:val="none"/>
                      <w:u w:val="none" w:color="auto"/>
                      <w:lang w:val="en-US" w:eastAsia="zh-CN"/>
                    </w:rPr>
                    <w:t>危废收集池：</w:t>
                  </w:r>
                  <w:r>
                    <w:rPr>
                      <w:rFonts w:hint="default" w:ascii="Times New Roman" w:hAnsi="Times New Roman" w:eastAsia="宋体" w:cs="Times New Roman"/>
                      <w:b w:val="0"/>
                      <w:bCs w:val="0"/>
                      <w:color w:val="auto"/>
                      <w:sz w:val="21"/>
                      <w:szCs w:val="21"/>
                      <w:highlight w:val="none"/>
                      <w:u w:val="none" w:color="auto"/>
                      <w:lang w:val="en-US" w:eastAsia="zh-CN"/>
                    </w:rPr>
                    <w:t>在铝合金熔铸车间低倍检测室旁设置一个地下式废液收集池（7m</w:t>
                  </w:r>
                  <w:r>
                    <w:rPr>
                      <w:rFonts w:hint="default" w:ascii="Times New Roman" w:hAnsi="Times New Roman" w:eastAsia="宋体" w:cs="Times New Roman"/>
                      <w:b w:val="0"/>
                      <w:bCs w:val="0"/>
                      <w:color w:val="auto"/>
                      <w:sz w:val="21"/>
                      <w:szCs w:val="21"/>
                      <w:highlight w:val="none"/>
                      <w:u w:val="none" w:color="auto"/>
                      <w:vertAlign w:val="superscript"/>
                      <w:lang w:val="en-US" w:eastAsia="zh-CN"/>
                    </w:rPr>
                    <w:t>3</w:t>
                  </w:r>
                  <w:r>
                    <w:rPr>
                      <w:rFonts w:hint="default" w:ascii="Times New Roman" w:hAnsi="Times New Roman" w:eastAsia="宋体" w:cs="Times New Roman"/>
                      <w:b w:val="0"/>
                      <w:bCs w:val="0"/>
                      <w:color w:val="auto"/>
                      <w:sz w:val="21"/>
                      <w:szCs w:val="21"/>
                      <w:highlight w:val="none"/>
                      <w:u w:val="none" w:color="auto"/>
                      <w:lang w:val="en-US" w:eastAsia="zh-CN"/>
                    </w:rPr>
                    <w:t>）</w:t>
                  </w:r>
                </w:p>
              </w:tc>
            </w:tr>
            <w:tr w14:paraId="1E904EE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75" w:type="pct"/>
                  <w:vMerge w:val="continue"/>
                  <w:noWrap w:val="0"/>
                  <w:vAlign w:val="center"/>
                </w:tcPr>
                <w:p w14:paraId="6309975B">
                  <w:pPr>
                    <w:keepNext w:val="0"/>
                    <w:keepLines w:val="0"/>
                    <w:pageBreakBefore w:val="0"/>
                    <w:widowControl/>
                    <w:kinsoku/>
                    <w:wordWrap/>
                    <w:overflowPunct/>
                    <w:topLinePunct w:val="0"/>
                    <w:bidi w:val="0"/>
                    <w:adjustRightInd/>
                    <w:snapToGrid/>
                    <w:spacing w:after="0" w:line="240" w:lineRule="auto"/>
                    <w:jc w:val="left"/>
                    <w:textAlignment w:val="auto"/>
                    <w:rPr>
                      <w:rFonts w:hint="default" w:ascii="Times New Roman" w:hAnsi="Times New Roman" w:eastAsia="宋体" w:cs="Times New Roman"/>
                      <w:color w:val="auto"/>
                      <w:sz w:val="21"/>
                      <w:szCs w:val="21"/>
                      <w:u w:val="none" w:color="auto"/>
                    </w:rPr>
                  </w:pPr>
                </w:p>
              </w:tc>
              <w:tc>
                <w:tcPr>
                  <w:tcW w:w="893" w:type="pct"/>
                  <w:vMerge w:val="continue"/>
                  <w:noWrap w:val="0"/>
                  <w:vAlign w:val="center"/>
                </w:tcPr>
                <w:p w14:paraId="449775E1">
                  <w:pPr>
                    <w:keepNext w:val="0"/>
                    <w:keepLines w:val="0"/>
                    <w:pageBreakBefore w:val="0"/>
                    <w:kinsoku/>
                    <w:wordWrap/>
                    <w:overflowPunct/>
                    <w:topLinePunct w:val="0"/>
                    <w:bidi w:val="0"/>
                    <w:adjustRightInd/>
                    <w:snapToGrid/>
                    <w:spacing w:after="0" w:line="240" w:lineRule="auto"/>
                    <w:jc w:val="center"/>
                    <w:textAlignment w:val="auto"/>
                    <w:rPr>
                      <w:rFonts w:hint="default" w:ascii="Times New Roman" w:hAnsi="Times New Roman" w:eastAsia="宋体" w:cs="Times New Roman"/>
                      <w:color w:val="auto"/>
                      <w:sz w:val="21"/>
                      <w:szCs w:val="21"/>
                      <w:u w:val="none" w:color="auto"/>
                    </w:rPr>
                  </w:pPr>
                </w:p>
              </w:tc>
              <w:tc>
                <w:tcPr>
                  <w:tcW w:w="3431" w:type="pct"/>
                  <w:noWrap w:val="0"/>
                  <w:vAlign w:val="center"/>
                </w:tcPr>
                <w:p w14:paraId="5AD9B7CE">
                  <w:pPr>
                    <w:keepNext w:val="0"/>
                    <w:keepLines w:val="0"/>
                    <w:pageBreakBefore w:val="0"/>
                    <w:kinsoku/>
                    <w:wordWrap/>
                    <w:overflowPunct/>
                    <w:topLinePunct w:val="0"/>
                    <w:bidi w:val="0"/>
                    <w:adjustRightInd/>
                    <w:snapToGrid/>
                    <w:spacing w:after="0" w:line="240" w:lineRule="auto"/>
                    <w:textAlignment w:val="auto"/>
                    <w:rPr>
                      <w:rFonts w:hint="default" w:ascii="Times New Roman" w:hAnsi="Times New Roman" w:eastAsia="宋体" w:cs="Times New Roman"/>
                      <w:b/>
                      <w:bCs/>
                      <w:color w:val="auto"/>
                      <w:sz w:val="21"/>
                      <w:szCs w:val="21"/>
                      <w:highlight w:val="none"/>
                      <w:u w:val="none" w:color="auto"/>
                      <w:lang w:val="en-US" w:eastAsia="zh-CN" w:bidi="ar-SA"/>
                    </w:rPr>
                  </w:pPr>
                  <w:r>
                    <w:rPr>
                      <w:rFonts w:hint="default" w:ascii="Times New Roman" w:hAnsi="Times New Roman" w:eastAsia="宋体" w:cs="Times New Roman"/>
                      <w:b w:val="0"/>
                      <w:bCs w:val="0"/>
                      <w:color w:val="auto"/>
                      <w:sz w:val="21"/>
                      <w:szCs w:val="21"/>
                      <w:u w:val="none" w:color="auto"/>
                      <w:lang w:val="en-US" w:eastAsia="zh-CN"/>
                    </w:rPr>
                    <w:t>在原料库内新增设置铝锂铸锭边角料贮存区（设计贮存量按6000t计）</w:t>
                  </w:r>
                </w:p>
              </w:tc>
            </w:tr>
            <w:tr w14:paraId="6A27482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75" w:type="pct"/>
                  <w:vMerge w:val="continue"/>
                  <w:noWrap w:val="0"/>
                  <w:vAlign w:val="center"/>
                </w:tcPr>
                <w:p w14:paraId="215BE2AD">
                  <w:pPr>
                    <w:keepNext w:val="0"/>
                    <w:keepLines w:val="0"/>
                    <w:pageBreakBefore w:val="0"/>
                    <w:widowControl/>
                    <w:kinsoku/>
                    <w:wordWrap/>
                    <w:overflowPunct/>
                    <w:topLinePunct w:val="0"/>
                    <w:bidi w:val="0"/>
                    <w:adjustRightInd/>
                    <w:snapToGrid/>
                    <w:spacing w:after="0" w:line="240" w:lineRule="auto"/>
                    <w:jc w:val="left"/>
                    <w:textAlignment w:val="auto"/>
                    <w:rPr>
                      <w:rFonts w:hint="default" w:ascii="Times New Roman" w:hAnsi="Times New Roman" w:eastAsia="宋体" w:cs="Times New Roman"/>
                      <w:color w:val="auto"/>
                      <w:sz w:val="21"/>
                      <w:szCs w:val="21"/>
                      <w:u w:val="none" w:color="auto"/>
                    </w:rPr>
                  </w:pPr>
                </w:p>
              </w:tc>
              <w:tc>
                <w:tcPr>
                  <w:tcW w:w="893" w:type="pct"/>
                  <w:vMerge w:val="restart"/>
                  <w:noWrap w:val="0"/>
                  <w:vAlign w:val="center"/>
                </w:tcPr>
                <w:p w14:paraId="41144062">
                  <w:pPr>
                    <w:keepNext w:val="0"/>
                    <w:keepLines w:val="0"/>
                    <w:pageBreakBefore w:val="0"/>
                    <w:kinsoku/>
                    <w:wordWrap/>
                    <w:overflowPunct/>
                    <w:topLinePunct w:val="0"/>
                    <w:bidi w:val="0"/>
                    <w:adjustRightInd/>
                    <w:snapToGrid/>
                    <w:spacing w:after="0" w:line="240" w:lineRule="auto"/>
                    <w:jc w:val="center"/>
                    <w:textAlignment w:val="auto"/>
                    <w:rPr>
                      <w:rFonts w:hint="default" w:ascii="Times New Roman" w:hAnsi="Times New Roman" w:eastAsia="宋体" w:cs="Times New Roman"/>
                      <w:b w:val="0"/>
                      <w:bCs w:val="0"/>
                      <w:color w:val="auto"/>
                      <w:sz w:val="21"/>
                      <w:szCs w:val="21"/>
                      <w:u w:val="none" w:color="auto"/>
                      <w:lang w:val="en-US" w:eastAsia="zh-CN"/>
                    </w:rPr>
                  </w:pPr>
                  <w:r>
                    <w:rPr>
                      <w:rFonts w:hint="default" w:ascii="Times New Roman" w:hAnsi="Times New Roman" w:eastAsia="宋体" w:cs="Times New Roman"/>
                      <w:b w:val="0"/>
                      <w:bCs w:val="0"/>
                      <w:color w:val="auto"/>
                      <w:sz w:val="21"/>
                      <w:szCs w:val="21"/>
                      <w:u w:val="none" w:color="auto"/>
                      <w:lang w:val="en-US" w:eastAsia="zh-CN"/>
                    </w:rPr>
                    <w:t>应急措施</w:t>
                  </w:r>
                </w:p>
              </w:tc>
              <w:tc>
                <w:tcPr>
                  <w:tcW w:w="3431" w:type="pct"/>
                  <w:noWrap w:val="0"/>
                  <w:vAlign w:val="center"/>
                </w:tcPr>
                <w:p w14:paraId="4E9A7B7A">
                  <w:pPr>
                    <w:pStyle w:val="2"/>
                    <w:keepNext w:val="0"/>
                    <w:keepLines w:val="0"/>
                    <w:pageBreakBefore w:val="0"/>
                    <w:kinsoku/>
                    <w:wordWrap/>
                    <w:overflowPunct/>
                    <w:topLinePunct w:val="0"/>
                    <w:bidi w:val="0"/>
                    <w:adjustRightInd/>
                    <w:snapToGrid/>
                    <w:spacing w:after="0" w:line="240" w:lineRule="auto"/>
                    <w:jc w:val="center"/>
                    <w:textAlignment w:val="auto"/>
                    <w:rPr>
                      <w:rFonts w:hint="default" w:ascii="Times New Roman" w:hAnsi="Times New Roman" w:eastAsia="宋体" w:cs="Times New Roman"/>
                      <w:b w:val="0"/>
                      <w:bCs w:val="0"/>
                      <w:color w:val="auto"/>
                      <w:sz w:val="21"/>
                      <w:szCs w:val="21"/>
                      <w:u w:val="none" w:color="auto"/>
                      <w:lang w:val="en-US" w:eastAsia="zh-CN"/>
                    </w:rPr>
                  </w:pPr>
                  <w:r>
                    <w:rPr>
                      <w:rFonts w:hint="default" w:ascii="Times New Roman" w:hAnsi="Times New Roman" w:eastAsia="宋体" w:cs="Times New Roman"/>
                      <w:b w:val="0"/>
                      <w:bCs w:val="0"/>
                      <w:color w:val="auto"/>
                      <w:sz w:val="21"/>
                      <w:szCs w:val="21"/>
                      <w:u w:val="none" w:color="auto"/>
                      <w:lang w:eastAsia="zh-CN"/>
                    </w:rPr>
                    <w:t>分区防渗措施、截污沟、</w:t>
                  </w:r>
                  <w:r>
                    <w:rPr>
                      <w:rFonts w:hint="default" w:ascii="Times New Roman" w:hAnsi="Times New Roman" w:eastAsia="宋体" w:cs="Times New Roman"/>
                      <w:b w:val="0"/>
                      <w:bCs w:val="0"/>
                      <w:color w:val="auto"/>
                      <w:sz w:val="21"/>
                      <w:szCs w:val="21"/>
                      <w:u w:val="none" w:color="auto"/>
                      <w:lang w:val="en-US" w:eastAsia="zh-CN"/>
                    </w:rPr>
                    <w:t>液氨储罐区设置围堰等，满足少量消防废水的收纳；</w:t>
                  </w:r>
                </w:p>
                <w:p w14:paraId="0F89416C">
                  <w:pPr>
                    <w:pStyle w:val="2"/>
                    <w:keepNext w:val="0"/>
                    <w:keepLines w:val="0"/>
                    <w:pageBreakBefore w:val="0"/>
                    <w:kinsoku/>
                    <w:wordWrap/>
                    <w:overflowPunct/>
                    <w:topLinePunct w:val="0"/>
                    <w:bidi w:val="0"/>
                    <w:adjustRightInd/>
                    <w:snapToGrid/>
                    <w:spacing w:after="0" w:line="240" w:lineRule="auto"/>
                    <w:jc w:val="center"/>
                    <w:textAlignment w:val="auto"/>
                    <w:rPr>
                      <w:rFonts w:hint="default" w:ascii="Times New Roman" w:hAnsi="Times New Roman" w:eastAsia="宋体" w:cs="Times New Roman"/>
                      <w:b w:val="0"/>
                      <w:bCs w:val="0"/>
                      <w:color w:val="auto"/>
                      <w:kern w:val="2"/>
                      <w:sz w:val="21"/>
                      <w:szCs w:val="21"/>
                      <w:u w:val="none" w:color="auto"/>
                      <w:lang w:val="en-US" w:eastAsia="zh-CN" w:bidi="ar-SA"/>
                    </w:rPr>
                  </w:pPr>
                  <w:r>
                    <w:rPr>
                      <w:rFonts w:hint="default" w:ascii="Times New Roman" w:hAnsi="Times New Roman" w:eastAsia="宋体" w:cs="Times New Roman"/>
                      <w:b w:val="0"/>
                      <w:bCs w:val="0"/>
                      <w:color w:val="auto"/>
                      <w:kern w:val="2"/>
                      <w:sz w:val="21"/>
                      <w:szCs w:val="21"/>
                      <w:u w:val="none" w:color="auto"/>
                      <w:lang w:val="en-US" w:eastAsia="zh-CN" w:bidi="ar-SA"/>
                    </w:rPr>
                    <w:t>较多消防废水通过与</w:t>
                  </w:r>
                  <w:r>
                    <w:rPr>
                      <w:rFonts w:hint="default" w:ascii="Times New Roman" w:hAnsi="Times New Roman" w:eastAsia="宋体" w:cs="Times New Roman"/>
                      <w:color w:val="auto"/>
                      <w:kern w:val="2"/>
                      <w:sz w:val="21"/>
                      <w:szCs w:val="21"/>
                      <w:highlight w:val="none"/>
                      <w:u w:val="none" w:color="auto"/>
                      <w:lang w:val="en-US" w:eastAsia="zh-CN" w:bidi="ar-SA"/>
                    </w:rPr>
                    <w:t>依托区域应急预案联动，依托城陵矶新港区污水处理厂建设的总有效容积为4000m</w:t>
                  </w:r>
                  <w:r>
                    <w:rPr>
                      <w:rFonts w:hint="default" w:ascii="Times New Roman" w:hAnsi="Times New Roman" w:eastAsia="宋体" w:cs="Times New Roman"/>
                      <w:color w:val="auto"/>
                      <w:kern w:val="2"/>
                      <w:sz w:val="21"/>
                      <w:szCs w:val="21"/>
                      <w:highlight w:val="none"/>
                      <w:u w:val="none" w:color="auto"/>
                      <w:vertAlign w:val="superscript"/>
                      <w:lang w:val="en-US" w:eastAsia="zh-CN" w:bidi="ar-SA"/>
                    </w:rPr>
                    <w:t>3</w:t>
                  </w:r>
                  <w:r>
                    <w:rPr>
                      <w:rFonts w:hint="default" w:ascii="Times New Roman" w:hAnsi="Times New Roman" w:eastAsia="宋体" w:cs="Times New Roman"/>
                      <w:color w:val="auto"/>
                      <w:kern w:val="2"/>
                      <w:sz w:val="21"/>
                      <w:szCs w:val="21"/>
                      <w:highlight w:val="none"/>
                      <w:u w:val="none" w:color="auto"/>
                      <w:lang w:val="en-US" w:eastAsia="zh-CN" w:bidi="ar-SA"/>
                    </w:rPr>
                    <w:t>的应急池进行</w:t>
                  </w:r>
                  <w:r>
                    <w:rPr>
                      <w:rFonts w:hint="eastAsia" w:cs="Times New Roman"/>
                      <w:color w:val="auto"/>
                      <w:kern w:val="2"/>
                      <w:sz w:val="21"/>
                      <w:szCs w:val="21"/>
                      <w:highlight w:val="none"/>
                      <w:u w:val="none" w:color="auto"/>
                      <w:lang w:val="en-US" w:eastAsia="zh-CN" w:bidi="ar-SA"/>
                    </w:rPr>
                    <w:t>收纳</w:t>
                  </w:r>
                  <w:r>
                    <w:rPr>
                      <w:rFonts w:hint="default" w:ascii="Times New Roman" w:hAnsi="Times New Roman" w:eastAsia="宋体" w:cs="Times New Roman"/>
                      <w:color w:val="auto"/>
                      <w:kern w:val="2"/>
                      <w:sz w:val="21"/>
                      <w:szCs w:val="21"/>
                      <w:highlight w:val="none"/>
                      <w:u w:val="none" w:color="auto"/>
                      <w:lang w:val="en-US" w:eastAsia="zh-CN" w:bidi="ar-SA"/>
                    </w:rPr>
                    <w:t>、处理</w:t>
                  </w:r>
                </w:p>
              </w:tc>
            </w:tr>
            <w:tr w14:paraId="46AA440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75" w:type="pct"/>
                  <w:vMerge w:val="continue"/>
                  <w:noWrap w:val="0"/>
                  <w:vAlign w:val="center"/>
                </w:tcPr>
                <w:p w14:paraId="75C53E6B">
                  <w:pPr>
                    <w:keepNext w:val="0"/>
                    <w:keepLines w:val="0"/>
                    <w:pageBreakBefore w:val="0"/>
                    <w:widowControl/>
                    <w:kinsoku/>
                    <w:wordWrap/>
                    <w:overflowPunct/>
                    <w:topLinePunct w:val="0"/>
                    <w:bidi w:val="0"/>
                    <w:adjustRightInd/>
                    <w:snapToGrid/>
                    <w:spacing w:after="0" w:line="240" w:lineRule="auto"/>
                    <w:jc w:val="left"/>
                    <w:textAlignment w:val="auto"/>
                    <w:rPr>
                      <w:rFonts w:hint="default" w:ascii="Times New Roman" w:hAnsi="Times New Roman" w:eastAsia="宋体" w:cs="Times New Roman"/>
                      <w:color w:val="auto"/>
                      <w:sz w:val="21"/>
                      <w:szCs w:val="21"/>
                      <w:u w:val="none" w:color="auto"/>
                    </w:rPr>
                  </w:pPr>
                </w:p>
              </w:tc>
              <w:tc>
                <w:tcPr>
                  <w:tcW w:w="893" w:type="pct"/>
                  <w:vMerge w:val="continue"/>
                  <w:noWrap w:val="0"/>
                  <w:vAlign w:val="center"/>
                </w:tcPr>
                <w:p w14:paraId="48547B2E">
                  <w:pPr>
                    <w:keepNext w:val="0"/>
                    <w:keepLines w:val="0"/>
                    <w:pageBreakBefore w:val="0"/>
                    <w:kinsoku/>
                    <w:wordWrap/>
                    <w:overflowPunct/>
                    <w:topLinePunct w:val="0"/>
                    <w:bidi w:val="0"/>
                    <w:adjustRightInd/>
                    <w:snapToGrid/>
                    <w:spacing w:after="0" w:line="240" w:lineRule="auto"/>
                    <w:jc w:val="center"/>
                    <w:textAlignment w:val="auto"/>
                    <w:rPr>
                      <w:rFonts w:hint="default" w:ascii="Times New Roman" w:hAnsi="Times New Roman" w:eastAsia="宋体" w:cs="Times New Roman"/>
                      <w:b w:val="0"/>
                      <w:bCs w:val="0"/>
                      <w:color w:val="auto"/>
                      <w:sz w:val="21"/>
                      <w:szCs w:val="21"/>
                      <w:u w:val="none" w:color="auto"/>
                      <w:lang w:val="en-US" w:eastAsia="zh-CN"/>
                    </w:rPr>
                  </w:pPr>
                </w:p>
              </w:tc>
              <w:tc>
                <w:tcPr>
                  <w:tcW w:w="3431" w:type="pct"/>
                  <w:noWrap w:val="0"/>
                  <w:vAlign w:val="center"/>
                </w:tcPr>
                <w:p w14:paraId="052CB312">
                  <w:pPr>
                    <w:pStyle w:val="2"/>
                    <w:keepNext w:val="0"/>
                    <w:keepLines w:val="0"/>
                    <w:pageBreakBefore w:val="0"/>
                    <w:kinsoku/>
                    <w:wordWrap/>
                    <w:overflowPunct/>
                    <w:topLinePunct w:val="0"/>
                    <w:bidi w:val="0"/>
                    <w:adjustRightInd/>
                    <w:snapToGrid/>
                    <w:spacing w:after="0" w:line="240" w:lineRule="auto"/>
                    <w:jc w:val="center"/>
                    <w:textAlignment w:val="auto"/>
                    <w:rPr>
                      <w:rFonts w:hint="default" w:ascii="Times New Roman" w:hAnsi="Times New Roman" w:eastAsia="宋体" w:cs="Times New Roman"/>
                      <w:b w:val="0"/>
                      <w:bCs w:val="0"/>
                      <w:color w:val="auto"/>
                      <w:kern w:val="2"/>
                      <w:sz w:val="21"/>
                      <w:szCs w:val="21"/>
                      <w:u w:val="none" w:color="auto"/>
                      <w:lang w:val="en-US" w:eastAsia="zh-CN" w:bidi="ar-SA"/>
                    </w:rPr>
                  </w:pPr>
                  <w:r>
                    <w:rPr>
                      <w:rFonts w:hint="default" w:ascii="Times New Roman" w:hAnsi="Times New Roman" w:eastAsia="宋体" w:cs="Times New Roman"/>
                      <w:b w:val="0"/>
                      <w:bCs w:val="0"/>
                      <w:color w:val="auto"/>
                      <w:kern w:val="2"/>
                      <w:sz w:val="21"/>
                      <w:szCs w:val="21"/>
                      <w:u w:val="none" w:color="auto"/>
                      <w:lang w:val="en-US" w:eastAsia="zh-CN" w:bidi="ar-SA"/>
                    </w:rPr>
                    <w:t>危废库中的用于贮存废矿物油类的危废暂存间内部设置截流沟，外部配套建设应急池</w:t>
                  </w:r>
                </w:p>
              </w:tc>
            </w:tr>
            <w:tr w14:paraId="0D3CA49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75" w:type="pct"/>
                  <w:vMerge w:val="continue"/>
                  <w:noWrap w:val="0"/>
                  <w:vAlign w:val="center"/>
                </w:tcPr>
                <w:p w14:paraId="16951248">
                  <w:pPr>
                    <w:keepNext w:val="0"/>
                    <w:keepLines w:val="0"/>
                    <w:pageBreakBefore w:val="0"/>
                    <w:widowControl/>
                    <w:kinsoku/>
                    <w:wordWrap/>
                    <w:overflowPunct/>
                    <w:topLinePunct w:val="0"/>
                    <w:bidi w:val="0"/>
                    <w:adjustRightInd/>
                    <w:snapToGrid/>
                    <w:spacing w:after="0" w:line="240" w:lineRule="auto"/>
                    <w:jc w:val="left"/>
                    <w:textAlignment w:val="auto"/>
                    <w:rPr>
                      <w:rFonts w:hint="default" w:ascii="Times New Roman" w:hAnsi="Times New Roman" w:eastAsia="宋体" w:cs="Times New Roman"/>
                      <w:color w:val="auto"/>
                      <w:sz w:val="21"/>
                      <w:szCs w:val="21"/>
                      <w:u w:val="none" w:color="auto"/>
                    </w:rPr>
                  </w:pPr>
                </w:p>
              </w:tc>
              <w:tc>
                <w:tcPr>
                  <w:tcW w:w="893" w:type="pct"/>
                  <w:noWrap w:val="0"/>
                  <w:vAlign w:val="center"/>
                </w:tcPr>
                <w:p w14:paraId="344FC7F7">
                  <w:pPr>
                    <w:keepNext w:val="0"/>
                    <w:keepLines w:val="0"/>
                    <w:pageBreakBefore w:val="0"/>
                    <w:kinsoku/>
                    <w:wordWrap/>
                    <w:overflowPunct/>
                    <w:topLinePunct w:val="0"/>
                    <w:bidi w:val="0"/>
                    <w:adjustRightInd/>
                    <w:snapToGrid/>
                    <w:spacing w:after="0" w:line="240" w:lineRule="auto"/>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绿化</w:t>
                  </w:r>
                </w:p>
              </w:tc>
              <w:tc>
                <w:tcPr>
                  <w:tcW w:w="3431" w:type="pct"/>
                  <w:noWrap w:val="0"/>
                  <w:vAlign w:val="center"/>
                </w:tcPr>
                <w:p w14:paraId="450529B3">
                  <w:pPr>
                    <w:keepNext w:val="0"/>
                    <w:keepLines w:val="0"/>
                    <w:pageBreakBefore w:val="0"/>
                    <w:kinsoku/>
                    <w:wordWrap/>
                    <w:overflowPunct/>
                    <w:topLinePunct w:val="0"/>
                    <w:bidi w:val="0"/>
                    <w:adjustRightInd/>
                    <w:snapToGrid/>
                    <w:spacing w:after="0" w:line="240" w:lineRule="auto"/>
                    <w:jc w:val="center"/>
                    <w:textAlignment w:val="auto"/>
                    <w:rPr>
                      <w:rFonts w:hint="default" w:ascii="Times New Roman" w:hAnsi="Times New Roman" w:eastAsia="宋体" w:cs="Times New Roman"/>
                      <w:color w:val="auto"/>
                      <w:sz w:val="21"/>
                      <w:szCs w:val="21"/>
                      <w:u w:val="none" w:color="auto"/>
                      <w:lang w:val="en-US" w:eastAsia="zh-CN" w:bidi="ar-SA"/>
                    </w:rPr>
                  </w:pPr>
                  <w:r>
                    <w:rPr>
                      <w:rFonts w:hint="default" w:ascii="Times New Roman" w:hAnsi="Times New Roman" w:eastAsia="宋体" w:cs="Times New Roman"/>
                      <w:color w:val="auto"/>
                      <w:sz w:val="21"/>
                      <w:szCs w:val="21"/>
                      <w:u w:val="none" w:color="auto"/>
                    </w:rPr>
                    <w:t>道路两侧及建筑周围防护绿地</w:t>
                  </w: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rPr>
                    <w:t>绿化面积为57237.6m</w:t>
                  </w:r>
                  <w:r>
                    <w:rPr>
                      <w:rFonts w:hint="default" w:ascii="Times New Roman" w:hAnsi="Times New Roman" w:eastAsia="宋体" w:cs="Times New Roman"/>
                      <w:color w:val="auto"/>
                      <w:sz w:val="21"/>
                      <w:szCs w:val="21"/>
                      <w:u w:val="none" w:color="auto"/>
                      <w:vertAlign w:val="superscript"/>
                    </w:rPr>
                    <w:t>2</w:t>
                  </w: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rPr>
                    <w:t>绿化占地率为15.5%。</w:t>
                  </w:r>
                </w:p>
              </w:tc>
            </w:tr>
          </w:tbl>
          <w:p w14:paraId="6ED740A8">
            <w:pPr>
              <w:rPr>
                <w:rFonts w:hint="default" w:ascii="Times New Roman" w:hAnsi="Times New Roman" w:eastAsia="宋体" w:cs="Times New Roman"/>
                <w:b/>
                <w:bCs/>
                <w:color w:val="auto"/>
                <w:u w:val="none" w:color="auto"/>
                <w:lang w:val="en-US" w:eastAsia="zh-CN"/>
              </w:rPr>
            </w:pPr>
            <w:r>
              <w:rPr>
                <w:rFonts w:hint="default" w:ascii="Times New Roman" w:hAnsi="Times New Roman" w:eastAsia="宋体" w:cs="Times New Roman"/>
                <w:b/>
                <w:bCs/>
                <w:color w:val="auto"/>
                <w:u w:val="none" w:color="auto"/>
                <w:lang w:val="en-US" w:eastAsia="zh-CN"/>
              </w:rPr>
              <w:t>注：受保密要求不详细列出</w:t>
            </w:r>
            <w:r>
              <w:rPr>
                <w:rFonts w:hint="eastAsia" w:cs="Times New Roman"/>
                <w:b/>
                <w:bCs/>
                <w:color w:val="auto"/>
                <w:u w:val="none" w:color="auto"/>
                <w:lang w:val="en-US" w:eastAsia="zh-CN"/>
              </w:rPr>
              <w:t>各</w:t>
            </w:r>
            <w:r>
              <w:rPr>
                <w:rFonts w:hint="default" w:ascii="Times New Roman" w:hAnsi="Times New Roman" w:eastAsia="宋体" w:cs="Times New Roman"/>
                <w:b/>
                <w:bCs/>
                <w:color w:val="auto"/>
                <w:u w:val="none" w:color="auto"/>
                <w:lang w:val="en-US" w:eastAsia="zh-CN"/>
              </w:rPr>
              <w:t>生产厂房功能、设备类型等信息。</w:t>
            </w:r>
          </w:p>
          <w:p w14:paraId="0BC766DB">
            <w:pPr>
              <w:widowControl/>
              <w:spacing w:line="360" w:lineRule="auto"/>
              <w:ind w:firstLine="482" w:firstLineChars="200"/>
              <w:jc w:val="left"/>
              <w:rPr>
                <w:rFonts w:hint="default" w:ascii="Times New Roman" w:hAnsi="Times New Roman" w:eastAsia="宋体" w:cs="Times New Roman"/>
                <w:b/>
                <w:bCs/>
                <w:color w:val="auto"/>
                <w:kern w:val="0"/>
                <w:sz w:val="24"/>
                <w:highlight w:val="none"/>
                <w:u w:val="none" w:color="auto"/>
                <w:lang w:val="en-US" w:eastAsia="zh-CN"/>
              </w:rPr>
            </w:pPr>
            <w:r>
              <w:rPr>
                <w:rFonts w:hint="default" w:ascii="Times New Roman" w:hAnsi="Times New Roman" w:eastAsia="宋体" w:cs="Times New Roman"/>
                <w:b/>
                <w:bCs/>
                <w:color w:val="auto"/>
                <w:kern w:val="0"/>
                <w:sz w:val="24"/>
                <w:highlight w:val="none"/>
                <w:u w:val="none" w:color="auto"/>
                <w:lang w:val="en-US" w:eastAsia="zh-CN"/>
              </w:rPr>
              <w:t>3、</w:t>
            </w:r>
            <w:r>
              <w:rPr>
                <w:rFonts w:hint="default" w:ascii="Times New Roman" w:hAnsi="Times New Roman" w:eastAsia="宋体" w:cs="Times New Roman"/>
                <w:b/>
                <w:bCs/>
                <w:color w:val="auto"/>
                <w:kern w:val="0"/>
                <w:sz w:val="24"/>
                <w:highlight w:val="none"/>
                <w:u w:val="none" w:color="auto"/>
              </w:rPr>
              <w:t>现有项目工艺流程</w:t>
            </w:r>
            <w:r>
              <w:rPr>
                <w:rFonts w:hint="default" w:ascii="Times New Roman" w:hAnsi="Times New Roman" w:eastAsia="宋体" w:cs="Times New Roman"/>
                <w:b/>
                <w:bCs/>
                <w:color w:val="auto"/>
                <w:kern w:val="0"/>
                <w:sz w:val="24"/>
                <w:highlight w:val="none"/>
                <w:u w:val="none" w:color="auto"/>
                <w:lang w:val="en-US" w:eastAsia="zh-CN"/>
              </w:rPr>
              <w:t>及产品方案</w:t>
            </w:r>
          </w:p>
          <w:p w14:paraId="5DE24745">
            <w:pPr>
              <w:widowControl/>
              <w:spacing w:line="360" w:lineRule="auto"/>
              <w:ind w:firstLine="480" w:firstLineChars="200"/>
              <w:jc w:val="left"/>
              <w:rPr>
                <w:rFonts w:hint="default" w:ascii="Times New Roman" w:hAnsi="Times New Roman" w:eastAsia="宋体" w:cs="Times New Roman"/>
                <w:color w:val="auto"/>
                <w:sz w:val="24"/>
                <w:highlight w:val="none"/>
                <w:u w:val="none" w:color="auto"/>
                <w:lang w:val="en-US" w:eastAsia="zh-CN"/>
              </w:rPr>
            </w:pPr>
            <w:r>
              <w:rPr>
                <w:rFonts w:hint="default" w:ascii="Times New Roman" w:hAnsi="Times New Roman" w:eastAsia="宋体" w:cs="Times New Roman"/>
                <w:color w:val="auto"/>
                <w:sz w:val="24"/>
                <w:highlight w:val="none"/>
                <w:u w:val="none" w:color="auto"/>
                <w:lang w:val="en-US" w:eastAsia="zh-CN"/>
              </w:rPr>
              <w:t>建设单位2022年10月取得国家保密等级证书，该企业保密办及所在地保密管理部门要求不得形成扫描件等任何形式电子档，故本次环评报告不予展示。</w:t>
            </w:r>
          </w:p>
          <w:p w14:paraId="2676E0F8">
            <w:pPr>
              <w:pStyle w:val="30"/>
              <w:spacing w:after="0" w:line="360" w:lineRule="auto"/>
              <w:ind w:left="0" w:leftChars="0" w:firstLine="480" w:firstLineChars="200"/>
              <w:rPr>
                <w:rFonts w:hint="default" w:ascii="Times New Roman" w:hAnsi="Times New Roman" w:eastAsia="宋体" w:cs="Times New Roman"/>
                <w:b/>
                <w:bCs/>
                <w:color w:val="auto"/>
                <w:sz w:val="24"/>
                <w:szCs w:val="32"/>
                <w:highlight w:val="none"/>
                <w:u w:val="none" w:color="auto"/>
                <w:lang w:val="en-US" w:eastAsia="zh-CN"/>
              </w:rPr>
            </w:pPr>
            <w:r>
              <w:rPr>
                <w:rFonts w:hint="default" w:ascii="Times New Roman" w:hAnsi="Times New Roman" w:eastAsia="宋体" w:cs="Times New Roman"/>
                <w:bCs/>
                <w:color w:val="auto"/>
                <w:szCs w:val="21"/>
                <w:u w:val="none" w:color="auto"/>
                <w:lang w:val="en-US" w:eastAsia="zh-CN"/>
              </w:rPr>
              <w:t>受建设单位保密办以及相关法律要求，同时考虑到本项目生产设备、原辅料、生产工艺等均不与铝合金熔铸车间一厂产生关联，仅使用铝合金熔铸车间一厂预留空位安装</w:t>
            </w:r>
            <w:r>
              <w:rPr>
                <w:rFonts w:hint="default" w:ascii="Times New Roman" w:hAnsi="Times New Roman" w:eastAsia="宋体" w:cs="Times New Roman"/>
                <w:color w:val="auto"/>
                <w:sz w:val="24"/>
                <w:szCs w:val="24"/>
                <w:u w:val="none" w:color="auto"/>
              </w:rPr>
              <w:t>2台3500t压铸岛</w:t>
            </w:r>
            <w:r>
              <w:rPr>
                <w:rFonts w:hint="default" w:ascii="Times New Roman" w:hAnsi="Times New Roman" w:eastAsia="宋体" w:cs="Times New Roman"/>
                <w:color w:val="auto"/>
                <w:sz w:val="24"/>
                <w:szCs w:val="24"/>
                <w:u w:val="none" w:color="auto"/>
                <w:lang w:val="en-US" w:eastAsia="zh-CN"/>
              </w:rPr>
              <w:t>及其相关配套设施和部分公用工程（如净循环系统），故本次评价对</w:t>
            </w:r>
            <w:r>
              <w:rPr>
                <w:rFonts w:hint="default" w:ascii="Times New Roman" w:hAnsi="Times New Roman" w:eastAsia="宋体" w:cs="Times New Roman"/>
                <w:bCs/>
                <w:color w:val="auto"/>
                <w:szCs w:val="21"/>
                <w:u w:val="none" w:color="auto"/>
                <w:lang w:val="en-US" w:eastAsia="zh-CN"/>
              </w:rPr>
              <w:t>不涉及的铝合金熔铸车间、铝锂熔铸车间、环锻车间、钣金车间、挤压车间、抛丸打磨房的生产工艺流程及其参数均不予展示。</w:t>
            </w:r>
          </w:p>
          <w:p w14:paraId="18C746E8">
            <w:pPr>
              <w:widowControl/>
              <w:spacing w:line="360" w:lineRule="auto"/>
              <w:ind w:firstLine="482" w:firstLineChars="200"/>
              <w:jc w:val="left"/>
              <w:rPr>
                <w:rFonts w:hint="default" w:ascii="Times New Roman" w:hAnsi="Times New Roman" w:eastAsia="宋体" w:cs="Times New Roman"/>
                <w:b/>
                <w:bCs/>
                <w:color w:val="auto"/>
                <w:kern w:val="0"/>
                <w:sz w:val="24"/>
                <w:highlight w:val="none"/>
                <w:u w:val="none" w:color="auto"/>
                <w:lang w:val="en-US" w:eastAsia="zh-CN"/>
              </w:rPr>
            </w:pPr>
            <w:r>
              <w:rPr>
                <w:rFonts w:hint="default" w:ascii="Times New Roman" w:hAnsi="Times New Roman" w:eastAsia="宋体" w:cs="Times New Roman"/>
                <w:b/>
                <w:bCs/>
                <w:color w:val="auto"/>
                <w:kern w:val="0"/>
                <w:sz w:val="24"/>
                <w:highlight w:val="none"/>
                <w:u w:val="none" w:color="auto"/>
                <w:lang w:val="en-US" w:eastAsia="zh-CN"/>
              </w:rPr>
              <w:t>4、现有项目污染物达标情况</w:t>
            </w:r>
          </w:p>
          <w:p w14:paraId="5282B7DC">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highlight w:val="none"/>
                <w:u w:val="none" w:color="auto"/>
              </w:rPr>
            </w:pPr>
            <w:r>
              <w:rPr>
                <w:rFonts w:hint="default" w:ascii="Times New Roman" w:hAnsi="Times New Roman" w:eastAsia="宋体" w:cs="Times New Roman"/>
                <w:color w:val="auto"/>
                <w:sz w:val="24"/>
                <w:highlight w:val="none"/>
                <w:u w:val="none" w:color="auto"/>
              </w:rPr>
              <w:t>为了解企业现有项目污染物排放达标情况，本次评价</w:t>
            </w:r>
            <w:r>
              <w:rPr>
                <w:rFonts w:hint="default" w:ascii="Times New Roman" w:hAnsi="Times New Roman" w:eastAsia="宋体" w:cs="Times New Roman"/>
                <w:color w:val="auto"/>
                <w:sz w:val="24"/>
                <w:highlight w:val="none"/>
                <w:u w:val="none" w:color="auto"/>
                <w:lang w:val="en-US" w:eastAsia="zh-CN"/>
              </w:rPr>
              <w:t>引用2023年8月《湖南中创空天新材料股份有限公司产业化基地建设项目（一期）重大变动竣工环境保护验收监测报告》中的内容，具体如下</w:t>
            </w:r>
            <w:r>
              <w:rPr>
                <w:rFonts w:hint="default" w:ascii="Times New Roman" w:hAnsi="Times New Roman" w:eastAsia="宋体" w:cs="Times New Roman"/>
                <w:color w:val="auto"/>
                <w:sz w:val="24"/>
                <w:highlight w:val="none"/>
                <w:u w:val="none" w:color="auto"/>
              </w:rPr>
              <w:t>：</w:t>
            </w:r>
          </w:p>
          <w:p w14:paraId="114A382E">
            <w:pPr>
              <w:spacing w:line="360" w:lineRule="auto"/>
              <w:ind w:firstLine="480" w:firstLineChars="200"/>
              <w:rPr>
                <w:rFonts w:hint="default" w:ascii="Times New Roman" w:hAnsi="Times New Roman" w:eastAsia="宋体" w:cs="Times New Roman"/>
                <w:color w:val="auto"/>
                <w:sz w:val="24"/>
                <w:highlight w:val="none"/>
                <w:u w:val="none" w:color="auto"/>
              </w:rPr>
            </w:pPr>
            <w:r>
              <w:rPr>
                <w:rFonts w:hint="default" w:ascii="Times New Roman" w:hAnsi="Times New Roman" w:eastAsia="宋体" w:cs="Times New Roman"/>
                <w:color w:val="auto"/>
                <w:sz w:val="24"/>
                <w:highlight w:val="none"/>
                <w:u w:val="none" w:color="auto"/>
              </w:rPr>
              <w:t>（1）废气</w:t>
            </w:r>
          </w:p>
          <w:p w14:paraId="3989F815">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highlight w:val="none"/>
                <w:u w:val="none" w:color="auto"/>
                <w:lang w:val="en-US" w:eastAsia="zh-CN"/>
              </w:rPr>
            </w:pPr>
            <w:r>
              <w:rPr>
                <w:rFonts w:hint="default" w:ascii="Times New Roman" w:hAnsi="Times New Roman" w:eastAsia="宋体" w:cs="Times New Roman"/>
                <w:color w:val="auto"/>
                <w:sz w:val="24"/>
                <w:highlight w:val="none"/>
                <w:u w:val="none" w:color="auto"/>
                <w:lang w:val="en-US" w:eastAsia="zh-CN"/>
              </w:rPr>
              <w:t>建设单位设置了DA001~DA009排气筒，其中DA007、DA008分别作为铝锂生产车间生产线的氩气、水蒸气排气筒，对其余排气筒及无组织排放监测结果如下：</w:t>
            </w:r>
          </w:p>
          <w:p w14:paraId="2F2AEF0F">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highlight w:val="none"/>
                <w:u w:val="none" w:color="auto"/>
                <w:lang w:val="en-US" w:eastAsia="zh-CN"/>
              </w:rPr>
            </w:pPr>
            <w:r>
              <w:rPr>
                <w:rFonts w:hint="default" w:ascii="Times New Roman" w:hAnsi="Times New Roman" w:eastAsia="宋体" w:cs="Times New Roman"/>
                <w:color w:val="auto"/>
                <w:sz w:val="24"/>
                <w:highlight w:val="none"/>
                <w:u w:val="none" w:color="auto"/>
                <w:lang w:val="en-US" w:eastAsia="zh-CN"/>
              </w:rPr>
              <w:t>①有组织废气监测结果</w:t>
            </w:r>
          </w:p>
          <w:p w14:paraId="29B4410A">
            <w:pPr>
              <w:widowControl w:val="0"/>
              <w:adjustRightInd/>
              <w:snapToGrid/>
              <w:spacing w:after="0" w:line="360" w:lineRule="auto"/>
              <w:ind w:firstLine="480" w:firstLineChars="200"/>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color w:val="auto"/>
                <w:sz w:val="24"/>
                <w:szCs w:val="24"/>
                <w:u w:val="none" w:color="auto"/>
                <w:lang w:val="en-US" w:eastAsia="zh-CN"/>
              </w:rPr>
              <w:t>建设单位</w:t>
            </w:r>
            <w:r>
              <w:rPr>
                <w:rFonts w:hint="default" w:ascii="Times New Roman" w:hAnsi="Times New Roman" w:eastAsia="宋体" w:cs="Times New Roman"/>
                <w:color w:val="auto"/>
                <w:sz w:val="24"/>
                <w:szCs w:val="24"/>
                <w:u w:val="none" w:color="auto"/>
              </w:rPr>
              <w:t>验收</w:t>
            </w:r>
            <w:r>
              <w:rPr>
                <w:rFonts w:hint="default" w:ascii="Times New Roman" w:hAnsi="Times New Roman" w:eastAsia="宋体" w:cs="Times New Roman"/>
                <w:color w:val="auto"/>
                <w:sz w:val="24"/>
                <w:szCs w:val="24"/>
                <w:u w:val="none" w:color="auto"/>
                <w:lang w:val="en-US" w:eastAsia="zh-CN"/>
              </w:rPr>
              <w:t>期间</w:t>
            </w:r>
            <w:r>
              <w:rPr>
                <w:rFonts w:hint="default" w:ascii="Times New Roman" w:hAnsi="Times New Roman" w:eastAsia="宋体" w:cs="Times New Roman"/>
                <w:color w:val="auto"/>
                <w:sz w:val="24"/>
                <w:szCs w:val="24"/>
                <w:u w:val="none" w:color="auto"/>
              </w:rPr>
              <w:t>开展</w:t>
            </w:r>
            <w:r>
              <w:rPr>
                <w:rFonts w:hint="default" w:ascii="Times New Roman" w:hAnsi="Times New Roman" w:eastAsia="宋体" w:cs="Times New Roman"/>
                <w:color w:val="auto"/>
                <w:sz w:val="24"/>
                <w:szCs w:val="24"/>
                <w:u w:val="none" w:color="auto"/>
                <w:lang w:val="en-US" w:eastAsia="zh-CN"/>
              </w:rPr>
              <w:t>的</w:t>
            </w:r>
            <w:r>
              <w:rPr>
                <w:rFonts w:hint="default" w:ascii="Times New Roman" w:hAnsi="Times New Roman" w:eastAsia="宋体" w:cs="Times New Roman"/>
                <w:color w:val="auto"/>
                <w:sz w:val="24"/>
                <w:szCs w:val="24"/>
                <w:u w:val="none" w:color="auto"/>
              </w:rPr>
              <w:t>有组织废气监测结果如下所示：</w:t>
            </w:r>
          </w:p>
          <w:p w14:paraId="4214DA57">
            <w:pPr>
              <w:widowControl w:val="0"/>
              <w:adjustRightInd/>
              <w:snapToGrid/>
              <w:spacing w:after="0"/>
              <w:jc w:val="center"/>
              <w:rPr>
                <w:rFonts w:hint="default" w:ascii="Times New Roman" w:hAnsi="Times New Roman" w:eastAsia="宋体" w:cs="Times New Roman"/>
                <w:b/>
                <w:bCs/>
                <w:color w:val="auto"/>
                <w:sz w:val="21"/>
                <w:szCs w:val="21"/>
                <w:u w:val="none" w:color="auto"/>
                <w:lang w:eastAsia="zh-CN"/>
              </w:rPr>
            </w:pPr>
            <w:r>
              <w:rPr>
                <w:rFonts w:hint="default" w:ascii="Times New Roman" w:hAnsi="Times New Roman" w:eastAsia="宋体" w:cs="Times New Roman"/>
                <w:b/>
                <w:bCs/>
                <w:color w:val="auto"/>
                <w:sz w:val="21"/>
                <w:szCs w:val="21"/>
                <w:u w:val="none" w:color="auto"/>
              </w:rPr>
              <w:t>表</w:t>
            </w:r>
            <w:r>
              <w:rPr>
                <w:rFonts w:hint="default" w:ascii="Times New Roman" w:hAnsi="Times New Roman" w:eastAsia="宋体" w:cs="Times New Roman"/>
                <w:b/>
                <w:bCs/>
                <w:color w:val="auto"/>
                <w:sz w:val="21"/>
                <w:szCs w:val="21"/>
                <w:u w:val="none" w:color="auto"/>
                <w:lang w:val="en-US" w:eastAsia="zh-CN"/>
              </w:rPr>
              <w:t>2</w:t>
            </w:r>
            <w:r>
              <w:rPr>
                <w:rFonts w:hint="default" w:ascii="Times New Roman" w:hAnsi="Times New Roman" w:eastAsia="宋体" w:cs="Times New Roman"/>
                <w:b/>
                <w:bCs/>
                <w:color w:val="auto"/>
                <w:sz w:val="21"/>
                <w:szCs w:val="21"/>
                <w:u w:val="none" w:color="auto"/>
              </w:rPr>
              <w:t>-</w:t>
            </w:r>
            <w:r>
              <w:rPr>
                <w:rFonts w:hint="default" w:ascii="Times New Roman" w:hAnsi="Times New Roman" w:eastAsia="宋体" w:cs="Times New Roman"/>
                <w:b/>
                <w:bCs/>
                <w:color w:val="auto"/>
                <w:sz w:val="21"/>
                <w:szCs w:val="21"/>
                <w:u w:val="none" w:color="auto"/>
                <w:lang w:val="en-US" w:eastAsia="zh-CN"/>
              </w:rPr>
              <w:t>9</w:t>
            </w:r>
            <w:r>
              <w:rPr>
                <w:rFonts w:hint="default" w:ascii="Times New Roman" w:hAnsi="Times New Roman" w:eastAsia="宋体" w:cs="Times New Roman"/>
                <w:b/>
                <w:bCs/>
                <w:color w:val="auto"/>
                <w:sz w:val="21"/>
                <w:szCs w:val="21"/>
                <w:u w:val="none" w:color="auto"/>
              </w:rPr>
              <w:t xml:space="preserve">  有组织</w:t>
            </w:r>
            <w:r>
              <w:rPr>
                <w:rFonts w:hint="default" w:ascii="Times New Roman" w:hAnsi="Times New Roman" w:eastAsia="宋体" w:cs="Times New Roman"/>
                <w:b/>
                <w:bCs/>
                <w:color w:val="auto"/>
                <w:sz w:val="21"/>
                <w:szCs w:val="21"/>
                <w:u w:val="none" w:color="auto"/>
                <w:lang w:val="en-US" w:eastAsia="zh-CN"/>
              </w:rPr>
              <w:t>DA001</w:t>
            </w:r>
            <w:r>
              <w:rPr>
                <w:rFonts w:hint="default" w:ascii="Times New Roman" w:hAnsi="Times New Roman" w:eastAsia="宋体" w:cs="Times New Roman"/>
                <w:b/>
                <w:bCs/>
                <w:color w:val="auto"/>
                <w:sz w:val="21"/>
                <w:szCs w:val="21"/>
                <w:u w:val="none" w:color="auto"/>
              </w:rPr>
              <w:t>废气监测结果</w:t>
            </w:r>
          </w:p>
          <w:tbl>
            <w:tblPr>
              <w:tblStyle w:val="31"/>
              <w:tblW w:w="4998"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
            <w:tblGrid>
              <w:gridCol w:w="821"/>
              <w:gridCol w:w="821"/>
              <w:gridCol w:w="822"/>
              <w:gridCol w:w="1354"/>
              <w:gridCol w:w="1002"/>
              <w:gridCol w:w="1002"/>
              <w:gridCol w:w="1003"/>
              <w:gridCol w:w="822"/>
              <w:gridCol w:w="822"/>
            </w:tblGrid>
            <w:tr w14:paraId="5B6D325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blHeader/>
              </w:trPr>
              <w:tc>
                <w:tcPr>
                  <w:tcW w:w="485" w:type="pct"/>
                  <w:vMerge w:val="restart"/>
                  <w:tcBorders>
                    <w:tl2br w:val="nil"/>
                    <w:tr2bl w:val="nil"/>
                  </w:tcBorders>
                  <w:noWrap w:val="0"/>
                  <w:vAlign w:val="center"/>
                </w:tcPr>
                <w:p w14:paraId="38E9F93D">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b/>
                      <w:bCs/>
                      <w:i w:val="0"/>
                      <w:iCs w:val="0"/>
                      <w:color w:val="auto"/>
                      <w:sz w:val="21"/>
                      <w:szCs w:val="21"/>
                      <w:u w:val="none" w:color="auto"/>
                    </w:rPr>
                  </w:pPr>
                  <w:r>
                    <w:rPr>
                      <w:rFonts w:hint="default" w:ascii="Times New Roman" w:hAnsi="Times New Roman" w:eastAsia="宋体" w:cs="Times New Roman"/>
                      <w:b/>
                      <w:bCs/>
                      <w:i w:val="0"/>
                      <w:iCs w:val="0"/>
                      <w:color w:val="auto"/>
                      <w:kern w:val="0"/>
                      <w:sz w:val="21"/>
                      <w:szCs w:val="21"/>
                      <w:u w:val="none" w:color="auto"/>
                      <w:lang w:val="en-US" w:eastAsia="zh-CN" w:bidi="ar"/>
                    </w:rPr>
                    <w:t>采样时间</w:t>
                  </w:r>
                </w:p>
              </w:tc>
              <w:tc>
                <w:tcPr>
                  <w:tcW w:w="485" w:type="pct"/>
                  <w:vMerge w:val="restart"/>
                  <w:tcBorders>
                    <w:tl2br w:val="nil"/>
                    <w:tr2bl w:val="nil"/>
                  </w:tcBorders>
                  <w:noWrap w:val="0"/>
                  <w:vAlign w:val="center"/>
                </w:tcPr>
                <w:p w14:paraId="6B44A321">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b/>
                      <w:bCs/>
                      <w:i w:val="0"/>
                      <w:iCs w:val="0"/>
                      <w:color w:val="auto"/>
                      <w:sz w:val="21"/>
                      <w:szCs w:val="21"/>
                      <w:u w:val="none" w:color="auto"/>
                    </w:rPr>
                  </w:pPr>
                  <w:r>
                    <w:rPr>
                      <w:rFonts w:hint="default" w:ascii="Times New Roman" w:hAnsi="Times New Roman" w:eastAsia="宋体" w:cs="Times New Roman"/>
                      <w:b/>
                      <w:bCs/>
                      <w:i w:val="0"/>
                      <w:iCs w:val="0"/>
                      <w:color w:val="auto"/>
                      <w:kern w:val="0"/>
                      <w:sz w:val="21"/>
                      <w:szCs w:val="21"/>
                      <w:u w:val="none" w:color="auto"/>
                      <w:lang w:val="en-US" w:eastAsia="zh-CN" w:bidi="ar"/>
                    </w:rPr>
                    <w:t>采样点位</w:t>
                  </w:r>
                </w:p>
              </w:tc>
              <w:tc>
                <w:tcPr>
                  <w:tcW w:w="1284" w:type="pct"/>
                  <w:gridSpan w:val="2"/>
                  <w:vMerge w:val="restart"/>
                  <w:tcBorders>
                    <w:tl2br w:val="nil"/>
                    <w:tr2bl w:val="nil"/>
                  </w:tcBorders>
                  <w:noWrap w:val="0"/>
                  <w:vAlign w:val="center"/>
                </w:tcPr>
                <w:p w14:paraId="1B3D5F21">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b/>
                      <w:bCs/>
                      <w:i w:val="0"/>
                      <w:iCs w:val="0"/>
                      <w:color w:val="auto"/>
                      <w:sz w:val="21"/>
                      <w:szCs w:val="21"/>
                      <w:u w:val="none" w:color="auto"/>
                    </w:rPr>
                  </w:pPr>
                  <w:r>
                    <w:rPr>
                      <w:rFonts w:hint="default" w:ascii="Times New Roman" w:hAnsi="Times New Roman" w:eastAsia="宋体" w:cs="Times New Roman"/>
                      <w:b/>
                      <w:bCs/>
                      <w:i w:val="0"/>
                      <w:iCs w:val="0"/>
                      <w:color w:val="auto"/>
                      <w:kern w:val="0"/>
                      <w:sz w:val="21"/>
                      <w:szCs w:val="21"/>
                      <w:u w:val="none" w:color="auto"/>
                      <w:lang w:val="en-US" w:eastAsia="zh-CN" w:bidi="ar"/>
                    </w:rPr>
                    <w:t>检测项目</w:t>
                  </w:r>
                </w:p>
              </w:tc>
              <w:tc>
                <w:tcPr>
                  <w:tcW w:w="1774" w:type="pct"/>
                  <w:gridSpan w:val="3"/>
                  <w:tcBorders>
                    <w:tl2br w:val="nil"/>
                    <w:tr2bl w:val="nil"/>
                  </w:tcBorders>
                  <w:noWrap w:val="0"/>
                  <w:vAlign w:val="center"/>
                </w:tcPr>
                <w:p w14:paraId="6CFE255A">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b/>
                      <w:bCs/>
                      <w:i w:val="0"/>
                      <w:iCs w:val="0"/>
                      <w:color w:val="auto"/>
                      <w:sz w:val="21"/>
                      <w:szCs w:val="21"/>
                      <w:u w:val="none" w:color="auto"/>
                    </w:rPr>
                  </w:pPr>
                  <w:r>
                    <w:rPr>
                      <w:rFonts w:hint="default" w:ascii="Times New Roman" w:hAnsi="Times New Roman" w:eastAsia="宋体" w:cs="Times New Roman"/>
                      <w:b/>
                      <w:bCs/>
                      <w:i w:val="0"/>
                      <w:iCs w:val="0"/>
                      <w:color w:val="auto"/>
                      <w:kern w:val="0"/>
                      <w:sz w:val="21"/>
                      <w:szCs w:val="21"/>
                      <w:u w:val="none" w:color="auto"/>
                      <w:lang w:val="en-US" w:eastAsia="zh-CN" w:bidi="ar"/>
                    </w:rPr>
                    <w:t>检测结果</w:t>
                  </w:r>
                </w:p>
              </w:tc>
              <w:tc>
                <w:tcPr>
                  <w:tcW w:w="485" w:type="pct"/>
                  <w:vMerge w:val="restart"/>
                  <w:tcBorders>
                    <w:tl2br w:val="nil"/>
                    <w:tr2bl w:val="nil"/>
                  </w:tcBorders>
                  <w:noWrap w:val="0"/>
                  <w:vAlign w:val="center"/>
                </w:tcPr>
                <w:p w14:paraId="3701ADE0">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b/>
                      <w:bCs/>
                      <w:i w:val="0"/>
                      <w:iCs w:val="0"/>
                      <w:color w:val="auto"/>
                      <w:kern w:val="0"/>
                      <w:sz w:val="21"/>
                      <w:szCs w:val="21"/>
                      <w:u w:val="none" w:color="auto"/>
                      <w:lang w:val="en-US" w:eastAsia="zh-CN" w:bidi="ar"/>
                    </w:rPr>
                  </w:pPr>
                  <w:r>
                    <w:rPr>
                      <w:rFonts w:hint="default" w:ascii="Times New Roman" w:hAnsi="Times New Roman" w:eastAsia="宋体" w:cs="Times New Roman"/>
                      <w:b/>
                      <w:bCs/>
                      <w:i w:val="0"/>
                      <w:iCs w:val="0"/>
                      <w:color w:val="auto"/>
                      <w:kern w:val="0"/>
                      <w:sz w:val="21"/>
                      <w:szCs w:val="21"/>
                      <w:u w:val="none" w:color="auto"/>
                      <w:lang w:val="en-US" w:eastAsia="zh-CN" w:bidi="ar"/>
                    </w:rPr>
                    <w:t>参考</w:t>
                  </w:r>
                </w:p>
                <w:p w14:paraId="1A2E7F01">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b/>
                      <w:bCs/>
                      <w:i w:val="0"/>
                      <w:iCs w:val="0"/>
                      <w:color w:val="auto"/>
                      <w:sz w:val="21"/>
                      <w:szCs w:val="21"/>
                      <w:u w:val="none" w:color="auto"/>
                    </w:rPr>
                  </w:pPr>
                  <w:r>
                    <w:rPr>
                      <w:rFonts w:hint="default" w:ascii="Times New Roman" w:hAnsi="Times New Roman" w:eastAsia="宋体" w:cs="Times New Roman"/>
                      <w:b/>
                      <w:bCs/>
                      <w:i w:val="0"/>
                      <w:iCs w:val="0"/>
                      <w:color w:val="auto"/>
                      <w:kern w:val="0"/>
                      <w:sz w:val="21"/>
                      <w:szCs w:val="21"/>
                      <w:u w:val="none" w:color="auto"/>
                      <w:lang w:val="en-US" w:eastAsia="zh-CN" w:bidi="ar"/>
                    </w:rPr>
                    <w:t>限值</w:t>
                  </w:r>
                </w:p>
              </w:tc>
              <w:tc>
                <w:tcPr>
                  <w:tcW w:w="485" w:type="pct"/>
                  <w:vMerge w:val="restart"/>
                  <w:tcBorders>
                    <w:tl2br w:val="nil"/>
                    <w:tr2bl w:val="nil"/>
                  </w:tcBorders>
                  <w:noWrap w:val="0"/>
                  <w:vAlign w:val="center"/>
                </w:tcPr>
                <w:p w14:paraId="4549CF29">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b/>
                      <w:bCs/>
                      <w:i w:val="0"/>
                      <w:iCs w:val="0"/>
                      <w:color w:val="auto"/>
                      <w:sz w:val="21"/>
                      <w:szCs w:val="21"/>
                      <w:u w:val="none" w:color="auto"/>
                    </w:rPr>
                  </w:pPr>
                  <w:r>
                    <w:rPr>
                      <w:rFonts w:hint="default" w:ascii="Times New Roman" w:hAnsi="Times New Roman" w:eastAsia="宋体" w:cs="Times New Roman"/>
                      <w:b/>
                      <w:bCs/>
                      <w:i w:val="0"/>
                      <w:iCs w:val="0"/>
                      <w:color w:val="auto"/>
                      <w:kern w:val="0"/>
                      <w:sz w:val="21"/>
                      <w:szCs w:val="21"/>
                      <w:u w:val="none" w:color="auto"/>
                      <w:lang w:val="en-US" w:eastAsia="zh-CN" w:bidi="ar"/>
                    </w:rPr>
                    <w:t>单位</w:t>
                  </w:r>
                </w:p>
              </w:tc>
            </w:tr>
            <w:tr w14:paraId="7AD600E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blHeader/>
              </w:trPr>
              <w:tc>
                <w:tcPr>
                  <w:tcW w:w="485" w:type="pct"/>
                  <w:vMerge w:val="continue"/>
                  <w:tcBorders>
                    <w:tl2br w:val="nil"/>
                    <w:tr2bl w:val="nil"/>
                  </w:tcBorders>
                  <w:noWrap w:val="0"/>
                  <w:vAlign w:val="center"/>
                </w:tcPr>
                <w:p w14:paraId="12934913">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b/>
                      <w:bCs/>
                      <w:i w:val="0"/>
                      <w:iCs w:val="0"/>
                      <w:color w:val="auto"/>
                      <w:sz w:val="21"/>
                      <w:szCs w:val="21"/>
                      <w:u w:val="none" w:color="auto"/>
                    </w:rPr>
                  </w:pPr>
                </w:p>
              </w:tc>
              <w:tc>
                <w:tcPr>
                  <w:tcW w:w="485" w:type="pct"/>
                  <w:vMerge w:val="continue"/>
                  <w:tcBorders>
                    <w:tl2br w:val="nil"/>
                    <w:tr2bl w:val="nil"/>
                  </w:tcBorders>
                  <w:noWrap w:val="0"/>
                  <w:vAlign w:val="center"/>
                </w:tcPr>
                <w:p w14:paraId="3C6C1ABD">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b/>
                      <w:bCs/>
                      <w:i w:val="0"/>
                      <w:iCs w:val="0"/>
                      <w:color w:val="auto"/>
                      <w:sz w:val="21"/>
                      <w:szCs w:val="21"/>
                      <w:u w:val="none" w:color="auto"/>
                    </w:rPr>
                  </w:pPr>
                </w:p>
              </w:tc>
              <w:tc>
                <w:tcPr>
                  <w:tcW w:w="1284" w:type="pct"/>
                  <w:gridSpan w:val="2"/>
                  <w:vMerge w:val="continue"/>
                  <w:tcBorders>
                    <w:tl2br w:val="nil"/>
                    <w:tr2bl w:val="nil"/>
                  </w:tcBorders>
                  <w:noWrap w:val="0"/>
                  <w:vAlign w:val="center"/>
                </w:tcPr>
                <w:p w14:paraId="1453BB99">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b/>
                      <w:bCs/>
                      <w:i w:val="0"/>
                      <w:iCs w:val="0"/>
                      <w:color w:val="auto"/>
                      <w:sz w:val="21"/>
                      <w:szCs w:val="21"/>
                      <w:u w:val="none" w:color="auto"/>
                    </w:rPr>
                  </w:pPr>
                </w:p>
              </w:tc>
              <w:tc>
                <w:tcPr>
                  <w:tcW w:w="591" w:type="pct"/>
                  <w:tcBorders>
                    <w:tl2br w:val="nil"/>
                    <w:tr2bl w:val="nil"/>
                  </w:tcBorders>
                  <w:noWrap w:val="0"/>
                  <w:vAlign w:val="center"/>
                </w:tcPr>
                <w:p w14:paraId="5FB1BCB3">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b/>
                      <w:bCs/>
                      <w:i w:val="0"/>
                      <w:iCs w:val="0"/>
                      <w:color w:val="auto"/>
                      <w:sz w:val="21"/>
                      <w:szCs w:val="21"/>
                      <w:u w:val="none" w:color="auto"/>
                    </w:rPr>
                  </w:pPr>
                  <w:r>
                    <w:rPr>
                      <w:rFonts w:hint="default" w:ascii="Times New Roman" w:hAnsi="Times New Roman" w:eastAsia="宋体" w:cs="Times New Roman"/>
                      <w:b/>
                      <w:bCs/>
                      <w:i w:val="0"/>
                      <w:iCs w:val="0"/>
                      <w:color w:val="auto"/>
                      <w:kern w:val="0"/>
                      <w:sz w:val="21"/>
                      <w:szCs w:val="21"/>
                      <w:u w:val="none" w:color="auto"/>
                      <w:lang w:val="en-US" w:eastAsia="zh-CN" w:bidi="ar"/>
                    </w:rPr>
                    <w:t>第一次</w:t>
                  </w:r>
                </w:p>
              </w:tc>
              <w:tc>
                <w:tcPr>
                  <w:tcW w:w="591" w:type="pct"/>
                  <w:tcBorders>
                    <w:tl2br w:val="nil"/>
                    <w:tr2bl w:val="nil"/>
                  </w:tcBorders>
                  <w:noWrap w:val="0"/>
                  <w:vAlign w:val="center"/>
                </w:tcPr>
                <w:p w14:paraId="2ECC1B22">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b/>
                      <w:bCs/>
                      <w:i w:val="0"/>
                      <w:iCs w:val="0"/>
                      <w:color w:val="auto"/>
                      <w:sz w:val="21"/>
                      <w:szCs w:val="21"/>
                      <w:u w:val="none" w:color="auto"/>
                    </w:rPr>
                  </w:pPr>
                  <w:r>
                    <w:rPr>
                      <w:rFonts w:hint="default" w:ascii="Times New Roman" w:hAnsi="Times New Roman" w:eastAsia="宋体" w:cs="Times New Roman"/>
                      <w:b/>
                      <w:bCs/>
                      <w:i w:val="0"/>
                      <w:iCs w:val="0"/>
                      <w:color w:val="auto"/>
                      <w:kern w:val="0"/>
                      <w:sz w:val="21"/>
                      <w:szCs w:val="21"/>
                      <w:u w:val="none" w:color="auto"/>
                      <w:lang w:val="en-US" w:eastAsia="zh-CN" w:bidi="ar"/>
                    </w:rPr>
                    <w:t>第二次</w:t>
                  </w:r>
                </w:p>
              </w:tc>
              <w:tc>
                <w:tcPr>
                  <w:tcW w:w="591" w:type="pct"/>
                  <w:tcBorders>
                    <w:tl2br w:val="nil"/>
                    <w:tr2bl w:val="nil"/>
                  </w:tcBorders>
                  <w:noWrap w:val="0"/>
                  <w:vAlign w:val="center"/>
                </w:tcPr>
                <w:p w14:paraId="5124B141">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b/>
                      <w:bCs/>
                      <w:i w:val="0"/>
                      <w:iCs w:val="0"/>
                      <w:color w:val="auto"/>
                      <w:sz w:val="21"/>
                      <w:szCs w:val="21"/>
                      <w:u w:val="none" w:color="auto"/>
                    </w:rPr>
                  </w:pPr>
                  <w:r>
                    <w:rPr>
                      <w:rFonts w:hint="default" w:ascii="Times New Roman" w:hAnsi="Times New Roman" w:eastAsia="宋体" w:cs="Times New Roman"/>
                      <w:b/>
                      <w:bCs/>
                      <w:i w:val="0"/>
                      <w:iCs w:val="0"/>
                      <w:color w:val="auto"/>
                      <w:kern w:val="0"/>
                      <w:sz w:val="21"/>
                      <w:szCs w:val="21"/>
                      <w:u w:val="none" w:color="auto"/>
                      <w:lang w:val="en-US" w:eastAsia="zh-CN" w:bidi="ar"/>
                    </w:rPr>
                    <w:t>第三次</w:t>
                  </w:r>
                </w:p>
              </w:tc>
              <w:tc>
                <w:tcPr>
                  <w:tcW w:w="485" w:type="pct"/>
                  <w:vMerge w:val="continue"/>
                  <w:tcBorders>
                    <w:tl2br w:val="nil"/>
                    <w:tr2bl w:val="nil"/>
                  </w:tcBorders>
                  <w:noWrap w:val="0"/>
                  <w:vAlign w:val="center"/>
                </w:tcPr>
                <w:p w14:paraId="09FEE582">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b/>
                      <w:bCs/>
                      <w:i w:val="0"/>
                      <w:iCs w:val="0"/>
                      <w:color w:val="auto"/>
                      <w:sz w:val="21"/>
                      <w:szCs w:val="21"/>
                      <w:u w:val="none" w:color="auto"/>
                    </w:rPr>
                  </w:pPr>
                </w:p>
              </w:tc>
              <w:tc>
                <w:tcPr>
                  <w:tcW w:w="485" w:type="pct"/>
                  <w:vMerge w:val="continue"/>
                  <w:tcBorders>
                    <w:tl2br w:val="nil"/>
                    <w:tr2bl w:val="nil"/>
                  </w:tcBorders>
                  <w:noWrap w:val="0"/>
                  <w:vAlign w:val="center"/>
                </w:tcPr>
                <w:p w14:paraId="6C60D737">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b/>
                      <w:bCs/>
                      <w:i w:val="0"/>
                      <w:iCs w:val="0"/>
                      <w:color w:val="auto"/>
                      <w:sz w:val="21"/>
                      <w:szCs w:val="21"/>
                      <w:u w:val="none" w:color="auto"/>
                    </w:rPr>
                  </w:pPr>
                </w:p>
              </w:tc>
            </w:tr>
            <w:tr w14:paraId="1FC39AC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485" w:type="pct"/>
                  <w:vMerge w:val="restart"/>
                  <w:tcBorders>
                    <w:tl2br w:val="nil"/>
                    <w:tr2bl w:val="nil"/>
                  </w:tcBorders>
                  <w:noWrap w:val="0"/>
                  <w:vAlign w:val="center"/>
                </w:tcPr>
                <w:p w14:paraId="2EFB3BC7">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lang w:val="en-US" w:eastAsia="zh-CN"/>
                    </w:rPr>
                  </w:pPr>
                  <w:r>
                    <w:rPr>
                      <w:rFonts w:hint="default" w:ascii="Times New Roman" w:hAnsi="Times New Roman" w:eastAsia="宋体" w:cs="Times New Roman"/>
                      <w:i w:val="0"/>
                      <w:iCs w:val="0"/>
                      <w:color w:val="auto"/>
                      <w:sz w:val="21"/>
                      <w:szCs w:val="21"/>
                      <w:u w:val="none" w:color="auto"/>
                      <w:lang w:val="en-US" w:eastAsia="zh-CN"/>
                    </w:rPr>
                    <w:t>5月30日</w:t>
                  </w:r>
                </w:p>
              </w:tc>
              <w:tc>
                <w:tcPr>
                  <w:tcW w:w="485" w:type="pct"/>
                  <w:vMerge w:val="restart"/>
                  <w:tcBorders>
                    <w:tl2br w:val="nil"/>
                    <w:tr2bl w:val="nil"/>
                  </w:tcBorders>
                  <w:noWrap w:val="0"/>
                  <w:vAlign w:val="center"/>
                </w:tcPr>
                <w:p w14:paraId="5984A4AA">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kern w:val="2"/>
                      <w:sz w:val="21"/>
                      <w:szCs w:val="21"/>
                      <w:u w:val="none" w:color="auto"/>
                      <w:lang w:val="en-US" w:eastAsia="zh-CN" w:bidi="ar-SA"/>
                    </w:rPr>
                  </w:pPr>
                  <w:r>
                    <w:rPr>
                      <w:rFonts w:hint="default" w:ascii="Times New Roman" w:hAnsi="Times New Roman" w:eastAsia="宋体" w:cs="Times New Roman"/>
                      <w:i w:val="0"/>
                      <w:iCs w:val="0"/>
                      <w:color w:val="auto"/>
                      <w:kern w:val="0"/>
                      <w:sz w:val="21"/>
                      <w:szCs w:val="21"/>
                      <w:u w:val="none" w:color="auto"/>
                      <w:lang w:val="en-US" w:eastAsia="zh-CN" w:bidi="ar"/>
                    </w:rPr>
                    <w:t>DA001进口</w:t>
                  </w:r>
                </w:p>
              </w:tc>
              <w:tc>
                <w:tcPr>
                  <w:tcW w:w="1284" w:type="pct"/>
                  <w:gridSpan w:val="2"/>
                  <w:tcBorders>
                    <w:tl2br w:val="nil"/>
                    <w:tr2bl w:val="nil"/>
                  </w:tcBorders>
                  <w:noWrap w:val="0"/>
                  <w:vAlign w:val="center"/>
                </w:tcPr>
                <w:p w14:paraId="04FC1910">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标干流量</w:t>
                  </w:r>
                </w:p>
              </w:tc>
              <w:tc>
                <w:tcPr>
                  <w:tcW w:w="591" w:type="pct"/>
                  <w:tcBorders>
                    <w:tl2br w:val="nil"/>
                    <w:tr2bl w:val="nil"/>
                  </w:tcBorders>
                  <w:noWrap w:val="0"/>
                  <w:vAlign w:val="center"/>
                </w:tcPr>
                <w:p w14:paraId="5976CC1B">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118184</w:t>
                  </w:r>
                </w:p>
              </w:tc>
              <w:tc>
                <w:tcPr>
                  <w:tcW w:w="591" w:type="pct"/>
                  <w:tcBorders>
                    <w:tl2br w:val="nil"/>
                    <w:tr2bl w:val="nil"/>
                  </w:tcBorders>
                  <w:noWrap w:val="0"/>
                  <w:vAlign w:val="center"/>
                </w:tcPr>
                <w:p w14:paraId="736FCF48">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130045</w:t>
                  </w:r>
                </w:p>
              </w:tc>
              <w:tc>
                <w:tcPr>
                  <w:tcW w:w="591" w:type="pct"/>
                  <w:tcBorders>
                    <w:tl2br w:val="nil"/>
                    <w:tr2bl w:val="nil"/>
                  </w:tcBorders>
                  <w:noWrap w:val="0"/>
                  <w:vAlign w:val="center"/>
                </w:tcPr>
                <w:p w14:paraId="5B5D4600">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122198</w:t>
                  </w:r>
                </w:p>
              </w:tc>
              <w:tc>
                <w:tcPr>
                  <w:tcW w:w="485" w:type="pct"/>
                  <w:tcBorders>
                    <w:tl2br w:val="nil"/>
                    <w:tr2bl w:val="nil"/>
                  </w:tcBorders>
                  <w:noWrap w:val="0"/>
                  <w:vAlign w:val="center"/>
                </w:tcPr>
                <w:p w14:paraId="32FF8DFF">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485" w:type="pct"/>
                  <w:tcBorders>
                    <w:tl2br w:val="nil"/>
                    <w:tr2bl w:val="nil"/>
                  </w:tcBorders>
                  <w:noWrap w:val="0"/>
                  <w:vAlign w:val="center"/>
                </w:tcPr>
                <w:p w14:paraId="3275C4E5">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Nm</w:t>
                  </w:r>
                  <w:r>
                    <w:rPr>
                      <w:rFonts w:hint="default" w:ascii="Times New Roman" w:hAnsi="Times New Roman" w:eastAsia="宋体" w:cs="Times New Roman"/>
                      <w:i w:val="0"/>
                      <w:iCs w:val="0"/>
                      <w:color w:val="auto"/>
                      <w:kern w:val="0"/>
                      <w:sz w:val="21"/>
                      <w:szCs w:val="21"/>
                      <w:u w:val="none" w:color="auto"/>
                      <w:vertAlign w:val="superscript"/>
                      <w:lang w:val="en-US" w:eastAsia="zh-CN" w:bidi="ar"/>
                    </w:rPr>
                    <w:t>3</w:t>
                  </w:r>
                  <w:r>
                    <w:rPr>
                      <w:rFonts w:hint="default" w:ascii="Times New Roman" w:hAnsi="Times New Roman" w:eastAsia="宋体" w:cs="Times New Roman"/>
                      <w:i w:val="0"/>
                      <w:iCs w:val="0"/>
                      <w:color w:val="auto"/>
                      <w:kern w:val="0"/>
                      <w:sz w:val="21"/>
                      <w:szCs w:val="21"/>
                      <w:u w:val="none" w:color="auto"/>
                      <w:lang w:val="en-US" w:eastAsia="zh-CN" w:bidi="ar"/>
                    </w:rPr>
                    <w:t>/h</w:t>
                  </w:r>
                </w:p>
              </w:tc>
            </w:tr>
            <w:tr w14:paraId="465FDAF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485" w:type="pct"/>
                  <w:vMerge w:val="continue"/>
                  <w:tcBorders>
                    <w:tl2br w:val="nil"/>
                    <w:tr2bl w:val="nil"/>
                  </w:tcBorders>
                  <w:noWrap w:val="0"/>
                  <w:vAlign w:val="center"/>
                </w:tcPr>
                <w:p w14:paraId="5B352DEF">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5" w:type="pct"/>
                  <w:vMerge w:val="continue"/>
                  <w:tcBorders>
                    <w:tl2br w:val="nil"/>
                    <w:tr2bl w:val="nil"/>
                  </w:tcBorders>
                  <w:noWrap w:val="0"/>
                  <w:vAlign w:val="center"/>
                </w:tcPr>
                <w:p w14:paraId="619B07A9">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1284" w:type="pct"/>
                  <w:gridSpan w:val="2"/>
                  <w:tcBorders>
                    <w:tl2br w:val="nil"/>
                    <w:tr2bl w:val="nil"/>
                  </w:tcBorders>
                  <w:noWrap w:val="0"/>
                  <w:vAlign w:val="center"/>
                </w:tcPr>
                <w:p w14:paraId="0012482D">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平均烟温</w:t>
                  </w:r>
                </w:p>
              </w:tc>
              <w:tc>
                <w:tcPr>
                  <w:tcW w:w="591" w:type="pct"/>
                  <w:tcBorders>
                    <w:tl2br w:val="nil"/>
                    <w:tr2bl w:val="nil"/>
                  </w:tcBorders>
                  <w:noWrap w:val="0"/>
                  <w:vAlign w:val="center"/>
                </w:tcPr>
                <w:p w14:paraId="35F50A40">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151.1</w:t>
                  </w:r>
                </w:p>
              </w:tc>
              <w:tc>
                <w:tcPr>
                  <w:tcW w:w="591" w:type="pct"/>
                  <w:tcBorders>
                    <w:tl2br w:val="nil"/>
                    <w:tr2bl w:val="nil"/>
                  </w:tcBorders>
                  <w:noWrap w:val="0"/>
                  <w:vAlign w:val="center"/>
                </w:tcPr>
                <w:p w14:paraId="1EA0574D">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151.6</w:t>
                  </w:r>
                </w:p>
              </w:tc>
              <w:tc>
                <w:tcPr>
                  <w:tcW w:w="591" w:type="pct"/>
                  <w:tcBorders>
                    <w:tl2br w:val="nil"/>
                    <w:tr2bl w:val="nil"/>
                  </w:tcBorders>
                  <w:noWrap w:val="0"/>
                  <w:vAlign w:val="center"/>
                </w:tcPr>
                <w:p w14:paraId="5294A509">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151.3</w:t>
                  </w:r>
                </w:p>
              </w:tc>
              <w:tc>
                <w:tcPr>
                  <w:tcW w:w="485" w:type="pct"/>
                  <w:tcBorders>
                    <w:tl2br w:val="nil"/>
                    <w:tr2bl w:val="nil"/>
                  </w:tcBorders>
                  <w:noWrap w:val="0"/>
                  <w:vAlign w:val="center"/>
                </w:tcPr>
                <w:p w14:paraId="637BE187">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485" w:type="pct"/>
                  <w:tcBorders>
                    <w:tl2br w:val="nil"/>
                    <w:tr2bl w:val="nil"/>
                  </w:tcBorders>
                  <w:noWrap w:val="0"/>
                  <w:vAlign w:val="center"/>
                </w:tcPr>
                <w:p w14:paraId="5BBA57FF">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r>
            <w:tr w14:paraId="0243AE0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485" w:type="pct"/>
                  <w:vMerge w:val="continue"/>
                  <w:tcBorders>
                    <w:tl2br w:val="nil"/>
                    <w:tr2bl w:val="nil"/>
                  </w:tcBorders>
                  <w:noWrap w:val="0"/>
                  <w:vAlign w:val="center"/>
                </w:tcPr>
                <w:p w14:paraId="31889329">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5" w:type="pct"/>
                  <w:vMerge w:val="continue"/>
                  <w:tcBorders>
                    <w:tl2br w:val="nil"/>
                    <w:tr2bl w:val="nil"/>
                  </w:tcBorders>
                  <w:noWrap w:val="0"/>
                  <w:vAlign w:val="center"/>
                </w:tcPr>
                <w:p w14:paraId="2ECFA28B">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1284" w:type="pct"/>
                  <w:gridSpan w:val="2"/>
                  <w:tcBorders>
                    <w:tl2br w:val="nil"/>
                    <w:tr2bl w:val="nil"/>
                  </w:tcBorders>
                  <w:noWrap w:val="0"/>
                  <w:vAlign w:val="center"/>
                </w:tcPr>
                <w:p w14:paraId="21F4B43E">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平均流速</w:t>
                  </w:r>
                </w:p>
              </w:tc>
              <w:tc>
                <w:tcPr>
                  <w:tcW w:w="591" w:type="pct"/>
                  <w:tcBorders>
                    <w:tl2br w:val="nil"/>
                    <w:tr2bl w:val="nil"/>
                  </w:tcBorders>
                  <w:noWrap w:val="0"/>
                  <w:vAlign w:val="center"/>
                </w:tcPr>
                <w:p w14:paraId="2C4DE567">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16.8</w:t>
                  </w:r>
                </w:p>
              </w:tc>
              <w:tc>
                <w:tcPr>
                  <w:tcW w:w="591" w:type="pct"/>
                  <w:tcBorders>
                    <w:tl2br w:val="nil"/>
                    <w:tr2bl w:val="nil"/>
                  </w:tcBorders>
                  <w:noWrap w:val="0"/>
                  <w:vAlign w:val="center"/>
                </w:tcPr>
                <w:p w14:paraId="0CB038FE">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18.6</w:t>
                  </w:r>
                </w:p>
              </w:tc>
              <w:tc>
                <w:tcPr>
                  <w:tcW w:w="591" w:type="pct"/>
                  <w:tcBorders>
                    <w:tl2br w:val="nil"/>
                    <w:tr2bl w:val="nil"/>
                  </w:tcBorders>
                  <w:noWrap w:val="0"/>
                  <w:vAlign w:val="center"/>
                </w:tcPr>
                <w:p w14:paraId="33EAD1D7">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17.4</w:t>
                  </w:r>
                </w:p>
              </w:tc>
              <w:tc>
                <w:tcPr>
                  <w:tcW w:w="485" w:type="pct"/>
                  <w:tcBorders>
                    <w:tl2br w:val="nil"/>
                    <w:tr2bl w:val="nil"/>
                  </w:tcBorders>
                  <w:noWrap w:val="0"/>
                  <w:vAlign w:val="center"/>
                </w:tcPr>
                <w:p w14:paraId="6982380E">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485" w:type="pct"/>
                  <w:tcBorders>
                    <w:tl2br w:val="nil"/>
                    <w:tr2bl w:val="nil"/>
                  </w:tcBorders>
                  <w:noWrap w:val="0"/>
                  <w:vAlign w:val="center"/>
                </w:tcPr>
                <w:p w14:paraId="46FAD723">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m/s</w:t>
                  </w:r>
                </w:p>
              </w:tc>
            </w:tr>
            <w:tr w14:paraId="2BEE4E5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485" w:type="pct"/>
                  <w:vMerge w:val="continue"/>
                  <w:tcBorders>
                    <w:tl2br w:val="nil"/>
                    <w:tr2bl w:val="nil"/>
                  </w:tcBorders>
                  <w:noWrap w:val="0"/>
                  <w:vAlign w:val="center"/>
                </w:tcPr>
                <w:p w14:paraId="61D76A30">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5" w:type="pct"/>
                  <w:vMerge w:val="continue"/>
                  <w:tcBorders>
                    <w:tl2br w:val="nil"/>
                    <w:tr2bl w:val="nil"/>
                  </w:tcBorders>
                  <w:noWrap w:val="0"/>
                  <w:vAlign w:val="center"/>
                </w:tcPr>
                <w:p w14:paraId="013D1107">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1284" w:type="pct"/>
                  <w:gridSpan w:val="2"/>
                  <w:tcBorders>
                    <w:tl2br w:val="nil"/>
                    <w:tr2bl w:val="nil"/>
                  </w:tcBorders>
                  <w:noWrap w:val="0"/>
                  <w:vAlign w:val="center"/>
                </w:tcPr>
                <w:p w14:paraId="7B0EE926">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含氧量</w:t>
                  </w:r>
                </w:p>
              </w:tc>
              <w:tc>
                <w:tcPr>
                  <w:tcW w:w="591" w:type="pct"/>
                  <w:tcBorders>
                    <w:tl2br w:val="nil"/>
                    <w:tr2bl w:val="nil"/>
                  </w:tcBorders>
                  <w:noWrap w:val="0"/>
                  <w:vAlign w:val="center"/>
                </w:tcPr>
                <w:p w14:paraId="490F148A">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11</w:t>
                  </w:r>
                </w:p>
              </w:tc>
              <w:tc>
                <w:tcPr>
                  <w:tcW w:w="591" w:type="pct"/>
                  <w:tcBorders>
                    <w:tl2br w:val="nil"/>
                    <w:tr2bl w:val="nil"/>
                  </w:tcBorders>
                  <w:noWrap w:val="0"/>
                  <w:vAlign w:val="center"/>
                </w:tcPr>
                <w:p w14:paraId="7F89C0C0">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11</w:t>
                  </w:r>
                </w:p>
              </w:tc>
              <w:tc>
                <w:tcPr>
                  <w:tcW w:w="591" w:type="pct"/>
                  <w:tcBorders>
                    <w:tl2br w:val="nil"/>
                    <w:tr2bl w:val="nil"/>
                  </w:tcBorders>
                  <w:noWrap w:val="0"/>
                  <w:vAlign w:val="center"/>
                </w:tcPr>
                <w:p w14:paraId="2CA8FBFE">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11.1</w:t>
                  </w:r>
                </w:p>
              </w:tc>
              <w:tc>
                <w:tcPr>
                  <w:tcW w:w="485" w:type="pct"/>
                  <w:tcBorders>
                    <w:tl2br w:val="nil"/>
                    <w:tr2bl w:val="nil"/>
                  </w:tcBorders>
                  <w:noWrap w:val="0"/>
                  <w:vAlign w:val="center"/>
                </w:tcPr>
                <w:p w14:paraId="43F9A615">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485" w:type="pct"/>
                  <w:tcBorders>
                    <w:tl2br w:val="nil"/>
                    <w:tr2bl w:val="nil"/>
                  </w:tcBorders>
                  <w:noWrap w:val="0"/>
                  <w:vAlign w:val="center"/>
                </w:tcPr>
                <w:p w14:paraId="31A3D25A">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r>
            <w:tr w14:paraId="08A3AF3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485" w:type="pct"/>
                  <w:vMerge w:val="continue"/>
                  <w:tcBorders>
                    <w:tl2br w:val="nil"/>
                    <w:tr2bl w:val="nil"/>
                  </w:tcBorders>
                  <w:noWrap w:val="0"/>
                  <w:vAlign w:val="center"/>
                </w:tcPr>
                <w:p w14:paraId="722CD8C0">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5" w:type="pct"/>
                  <w:vMerge w:val="continue"/>
                  <w:tcBorders>
                    <w:tl2br w:val="nil"/>
                    <w:tr2bl w:val="nil"/>
                  </w:tcBorders>
                  <w:noWrap w:val="0"/>
                  <w:vAlign w:val="center"/>
                </w:tcPr>
                <w:p w14:paraId="6D182385">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5" w:type="pct"/>
                  <w:vMerge w:val="restart"/>
                  <w:tcBorders>
                    <w:tl2br w:val="nil"/>
                    <w:tr2bl w:val="nil"/>
                  </w:tcBorders>
                  <w:noWrap w:val="0"/>
                  <w:vAlign w:val="center"/>
                </w:tcPr>
                <w:p w14:paraId="623CD2E3">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二氧化硫</w:t>
                  </w:r>
                </w:p>
              </w:tc>
              <w:tc>
                <w:tcPr>
                  <w:tcW w:w="798" w:type="pct"/>
                  <w:tcBorders>
                    <w:tl2br w:val="nil"/>
                    <w:tr2bl w:val="nil"/>
                  </w:tcBorders>
                  <w:noWrap w:val="0"/>
                  <w:vAlign w:val="center"/>
                </w:tcPr>
                <w:p w14:paraId="2D59A6CC">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实测浓度</w:t>
                  </w:r>
                </w:p>
              </w:tc>
              <w:tc>
                <w:tcPr>
                  <w:tcW w:w="591" w:type="pct"/>
                  <w:tcBorders>
                    <w:tl2br w:val="nil"/>
                    <w:tr2bl w:val="nil"/>
                  </w:tcBorders>
                  <w:noWrap w:val="0"/>
                  <w:vAlign w:val="center"/>
                </w:tcPr>
                <w:p w14:paraId="1475F4D7">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4</w:t>
                  </w:r>
                </w:p>
              </w:tc>
              <w:tc>
                <w:tcPr>
                  <w:tcW w:w="591" w:type="pct"/>
                  <w:tcBorders>
                    <w:tl2br w:val="nil"/>
                    <w:tr2bl w:val="nil"/>
                  </w:tcBorders>
                  <w:noWrap w:val="0"/>
                  <w:vAlign w:val="center"/>
                </w:tcPr>
                <w:p w14:paraId="34F16577">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5</w:t>
                  </w:r>
                </w:p>
              </w:tc>
              <w:tc>
                <w:tcPr>
                  <w:tcW w:w="591" w:type="pct"/>
                  <w:tcBorders>
                    <w:tl2br w:val="nil"/>
                    <w:tr2bl w:val="nil"/>
                  </w:tcBorders>
                  <w:noWrap w:val="0"/>
                  <w:vAlign w:val="center"/>
                </w:tcPr>
                <w:p w14:paraId="75233C8C">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5</w:t>
                  </w:r>
                </w:p>
              </w:tc>
              <w:tc>
                <w:tcPr>
                  <w:tcW w:w="485" w:type="pct"/>
                  <w:tcBorders>
                    <w:tl2br w:val="nil"/>
                    <w:tr2bl w:val="nil"/>
                  </w:tcBorders>
                  <w:noWrap w:val="0"/>
                  <w:vAlign w:val="center"/>
                </w:tcPr>
                <w:p w14:paraId="71177714">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485" w:type="pct"/>
                  <w:tcBorders>
                    <w:tl2br w:val="nil"/>
                    <w:tr2bl w:val="nil"/>
                  </w:tcBorders>
                  <w:noWrap w:val="0"/>
                  <w:vAlign w:val="center"/>
                </w:tcPr>
                <w:p w14:paraId="5A812628">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mg/m</w:t>
                  </w:r>
                  <w:r>
                    <w:rPr>
                      <w:rFonts w:hint="default" w:ascii="Times New Roman" w:hAnsi="Times New Roman" w:eastAsia="宋体" w:cs="Times New Roman"/>
                      <w:i w:val="0"/>
                      <w:iCs w:val="0"/>
                      <w:color w:val="auto"/>
                      <w:kern w:val="0"/>
                      <w:sz w:val="21"/>
                      <w:szCs w:val="21"/>
                      <w:u w:val="none" w:color="auto"/>
                      <w:vertAlign w:val="superscript"/>
                      <w:lang w:val="en-US" w:eastAsia="zh-CN" w:bidi="ar"/>
                    </w:rPr>
                    <w:t>3</w:t>
                  </w:r>
                </w:p>
              </w:tc>
            </w:tr>
            <w:tr w14:paraId="23ED690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485" w:type="pct"/>
                  <w:vMerge w:val="continue"/>
                  <w:tcBorders>
                    <w:tl2br w:val="nil"/>
                    <w:tr2bl w:val="nil"/>
                  </w:tcBorders>
                  <w:noWrap w:val="0"/>
                  <w:vAlign w:val="center"/>
                </w:tcPr>
                <w:p w14:paraId="0635433B">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5" w:type="pct"/>
                  <w:vMerge w:val="continue"/>
                  <w:tcBorders>
                    <w:tl2br w:val="nil"/>
                    <w:tr2bl w:val="nil"/>
                  </w:tcBorders>
                  <w:noWrap w:val="0"/>
                  <w:vAlign w:val="center"/>
                </w:tcPr>
                <w:p w14:paraId="55307FF4">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5" w:type="pct"/>
                  <w:vMerge w:val="continue"/>
                  <w:tcBorders>
                    <w:tl2br w:val="nil"/>
                    <w:tr2bl w:val="nil"/>
                  </w:tcBorders>
                  <w:noWrap w:val="0"/>
                  <w:vAlign w:val="center"/>
                </w:tcPr>
                <w:p w14:paraId="09B0B948">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798" w:type="pct"/>
                  <w:tcBorders>
                    <w:tl2br w:val="nil"/>
                    <w:tr2bl w:val="nil"/>
                  </w:tcBorders>
                  <w:noWrap w:val="0"/>
                  <w:vAlign w:val="center"/>
                </w:tcPr>
                <w:p w14:paraId="76243EF9">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折算浓度</w:t>
                  </w:r>
                </w:p>
              </w:tc>
              <w:tc>
                <w:tcPr>
                  <w:tcW w:w="591" w:type="pct"/>
                  <w:tcBorders>
                    <w:tl2br w:val="nil"/>
                    <w:tr2bl w:val="nil"/>
                  </w:tcBorders>
                  <w:noWrap w:val="0"/>
                  <w:vAlign w:val="center"/>
                </w:tcPr>
                <w:p w14:paraId="21F730FD">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6</w:t>
                  </w:r>
                </w:p>
              </w:tc>
              <w:tc>
                <w:tcPr>
                  <w:tcW w:w="591" w:type="pct"/>
                  <w:tcBorders>
                    <w:tl2br w:val="nil"/>
                    <w:tr2bl w:val="nil"/>
                  </w:tcBorders>
                  <w:noWrap w:val="0"/>
                  <w:vAlign w:val="center"/>
                </w:tcPr>
                <w:p w14:paraId="741BB396">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8</w:t>
                  </w:r>
                </w:p>
              </w:tc>
              <w:tc>
                <w:tcPr>
                  <w:tcW w:w="591" w:type="pct"/>
                  <w:tcBorders>
                    <w:tl2br w:val="nil"/>
                    <w:tr2bl w:val="nil"/>
                  </w:tcBorders>
                  <w:noWrap w:val="0"/>
                  <w:vAlign w:val="center"/>
                </w:tcPr>
                <w:p w14:paraId="329C35E1">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8</w:t>
                  </w:r>
                </w:p>
              </w:tc>
              <w:tc>
                <w:tcPr>
                  <w:tcW w:w="485" w:type="pct"/>
                  <w:tcBorders>
                    <w:tl2br w:val="nil"/>
                    <w:tr2bl w:val="nil"/>
                  </w:tcBorders>
                  <w:noWrap w:val="0"/>
                  <w:vAlign w:val="center"/>
                </w:tcPr>
                <w:p w14:paraId="1C0536E6">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485" w:type="pct"/>
                  <w:tcBorders>
                    <w:tl2br w:val="nil"/>
                    <w:tr2bl w:val="nil"/>
                  </w:tcBorders>
                  <w:noWrap w:val="0"/>
                  <w:vAlign w:val="center"/>
                </w:tcPr>
                <w:p w14:paraId="1402C57E">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mg/m</w:t>
                  </w:r>
                  <w:r>
                    <w:rPr>
                      <w:rFonts w:hint="default" w:ascii="Times New Roman" w:hAnsi="Times New Roman" w:eastAsia="宋体" w:cs="Times New Roman"/>
                      <w:i w:val="0"/>
                      <w:iCs w:val="0"/>
                      <w:color w:val="auto"/>
                      <w:kern w:val="0"/>
                      <w:sz w:val="21"/>
                      <w:szCs w:val="21"/>
                      <w:u w:val="none" w:color="auto"/>
                      <w:vertAlign w:val="superscript"/>
                      <w:lang w:val="en-US" w:eastAsia="zh-CN" w:bidi="ar"/>
                    </w:rPr>
                    <w:t>3</w:t>
                  </w:r>
                </w:p>
              </w:tc>
            </w:tr>
            <w:tr w14:paraId="1A0F97F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485" w:type="pct"/>
                  <w:vMerge w:val="continue"/>
                  <w:tcBorders>
                    <w:tl2br w:val="nil"/>
                    <w:tr2bl w:val="nil"/>
                  </w:tcBorders>
                  <w:noWrap w:val="0"/>
                  <w:vAlign w:val="center"/>
                </w:tcPr>
                <w:p w14:paraId="31A84F65">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5" w:type="pct"/>
                  <w:vMerge w:val="continue"/>
                  <w:tcBorders>
                    <w:tl2br w:val="nil"/>
                    <w:tr2bl w:val="nil"/>
                  </w:tcBorders>
                  <w:noWrap w:val="0"/>
                  <w:vAlign w:val="center"/>
                </w:tcPr>
                <w:p w14:paraId="744C64FB">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5" w:type="pct"/>
                  <w:vMerge w:val="continue"/>
                  <w:tcBorders>
                    <w:tl2br w:val="nil"/>
                    <w:tr2bl w:val="nil"/>
                  </w:tcBorders>
                  <w:noWrap w:val="0"/>
                  <w:vAlign w:val="center"/>
                </w:tcPr>
                <w:p w14:paraId="295A1297">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798" w:type="pct"/>
                  <w:tcBorders>
                    <w:tl2br w:val="nil"/>
                    <w:tr2bl w:val="nil"/>
                  </w:tcBorders>
                  <w:noWrap w:val="0"/>
                  <w:vAlign w:val="center"/>
                </w:tcPr>
                <w:p w14:paraId="2D686EA5">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排放速率</w:t>
                  </w:r>
                </w:p>
              </w:tc>
              <w:tc>
                <w:tcPr>
                  <w:tcW w:w="591" w:type="pct"/>
                  <w:tcBorders>
                    <w:tl2br w:val="nil"/>
                    <w:tr2bl w:val="nil"/>
                  </w:tcBorders>
                  <w:noWrap w:val="0"/>
                  <w:vAlign w:val="center"/>
                </w:tcPr>
                <w:p w14:paraId="61118EC0">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0.47</w:t>
                  </w:r>
                </w:p>
              </w:tc>
              <w:tc>
                <w:tcPr>
                  <w:tcW w:w="591" w:type="pct"/>
                  <w:tcBorders>
                    <w:tl2br w:val="nil"/>
                    <w:tr2bl w:val="nil"/>
                  </w:tcBorders>
                  <w:noWrap w:val="0"/>
                  <w:vAlign w:val="center"/>
                </w:tcPr>
                <w:p w14:paraId="71E60D51">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0.65</w:t>
                  </w:r>
                </w:p>
              </w:tc>
              <w:tc>
                <w:tcPr>
                  <w:tcW w:w="591" w:type="pct"/>
                  <w:tcBorders>
                    <w:tl2br w:val="nil"/>
                    <w:tr2bl w:val="nil"/>
                  </w:tcBorders>
                  <w:noWrap w:val="0"/>
                  <w:vAlign w:val="center"/>
                </w:tcPr>
                <w:p w14:paraId="142D655E">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0.61</w:t>
                  </w:r>
                </w:p>
              </w:tc>
              <w:tc>
                <w:tcPr>
                  <w:tcW w:w="485" w:type="pct"/>
                  <w:tcBorders>
                    <w:tl2br w:val="nil"/>
                    <w:tr2bl w:val="nil"/>
                  </w:tcBorders>
                  <w:noWrap w:val="0"/>
                  <w:vAlign w:val="center"/>
                </w:tcPr>
                <w:p w14:paraId="6916ADC0">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485" w:type="pct"/>
                  <w:tcBorders>
                    <w:tl2br w:val="nil"/>
                    <w:tr2bl w:val="nil"/>
                  </w:tcBorders>
                  <w:noWrap w:val="0"/>
                  <w:vAlign w:val="center"/>
                </w:tcPr>
                <w:p w14:paraId="21135741">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kg/h</w:t>
                  </w:r>
                </w:p>
              </w:tc>
            </w:tr>
            <w:tr w14:paraId="10AEE31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485" w:type="pct"/>
                  <w:vMerge w:val="continue"/>
                  <w:tcBorders>
                    <w:tl2br w:val="nil"/>
                    <w:tr2bl w:val="nil"/>
                  </w:tcBorders>
                  <w:noWrap w:val="0"/>
                  <w:vAlign w:val="center"/>
                </w:tcPr>
                <w:p w14:paraId="5EA72809">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5" w:type="pct"/>
                  <w:vMerge w:val="continue"/>
                  <w:tcBorders>
                    <w:tl2br w:val="nil"/>
                    <w:tr2bl w:val="nil"/>
                  </w:tcBorders>
                  <w:noWrap w:val="0"/>
                  <w:vAlign w:val="center"/>
                </w:tcPr>
                <w:p w14:paraId="0EF822AB">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5" w:type="pct"/>
                  <w:vMerge w:val="restart"/>
                  <w:tcBorders>
                    <w:tl2br w:val="nil"/>
                    <w:tr2bl w:val="nil"/>
                  </w:tcBorders>
                  <w:noWrap w:val="0"/>
                  <w:vAlign w:val="center"/>
                </w:tcPr>
                <w:p w14:paraId="68B6AB1F">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氮氧化物</w:t>
                  </w:r>
                </w:p>
              </w:tc>
              <w:tc>
                <w:tcPr>
                  <w:tcW w:w="798" w:type="pct"/>
                  <w:tcBorders>
                    <w:tl2br w:val="nil"/>
                    <w:tr2bl w:val="nil"/>
                  </w:tcBorders>
                  <w:noWrap w:val="0"/>
                  <w:vAlign w:val="center"/>
                </w:tcPr>
                <w:p w14:paraId="4E069FAB">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实测浓度</w:t>
                  </w:r>
                </w:p>
              </w:tc>
              <w:tc>
                <w:tcPr>
                  <w:tcW w:w="591" w:type="pct"/>
                  <w:tcBorders>
                    <w:tl2br w:val="nil"/>
                    <w:tr2bl w:val="nil"/>
                  </w:tcBorders>
                  <w:noWrap w:val="0"/>
                  <w:vAlign w:val="center"/>
                </w:tcPr>
                <w:p w14:paraId="2D8E8F99">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5</w:t>
                  </w:r>
                </w:p>
              </w:tc>
              <w:tc>
                <w:tcPr>
                  <w:tcW w:w="591" w:type="pct"/>
                  <w:tcBorders>
                    <w:tl2br w:val="nil"/>
                    <w:tr2bl w:val="nil"/>
                  </w:tcBorders>
                  <w:noWrap w:val="0"/>
                  <w:vAlign w:val="center"/>
                </w:tcPr>
                <w:p w14:paraId="656145BC">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5</w:t>
                  </w:r>
                </w:p>
              </w:tc>
              <w:tc>
                <w:tcPr>
                  <w:tcW w:w="591" w:type="pct"/>
                  <w:tcBorders>
                    <w:tl2br w:val="nil"/>
                    <w:tr2bl w:val="nil"/>
                  </w:tcBorders>
                  <w:noWrap w:val="0"/>
                  <w:vAlign w:val="center"/>
                </w:tcPr>
                <w:p w14:paraId="47A4BB31">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5</w:t>
                  </w:r>
                </w:p>
              </w:tc>
              <w:tc>
                <w:tcPr>
                  <w:tcW w:w="485" w:type="pct"/>
                  <w:tcBorders>
                    <w:tl2br w:val="nil"/>
                    <w:tr2bl w:val="nil"/>
                  </w:tcBorders>
                  <w:noWrap w:val="0"/>
                  <w:vAlign w:val="center"/>
                </w:tcPr>
                <w:p w14:paraId="2ADA7FD6">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485" w:type="pct"/>
                  <w:tcBorders>
                    <w:tl2br w:val="nil"/>
                    <w:tr2bl w:val="nil"/>
                  </w:tcBorders>
                  <w:noWrap w:val="0"/>
                  <w:vAlign w:val="center"/>
                </w:tcPr>
                <w:p w14:paraId="2E518643">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mg/m</w:t>
                  </w:r>
                  <w:r>
                    <w:rPr>
                      <w:rFonts w:hint="default" w:ascii="Times New Roman" w:hAnsi="Times New Roman" w:eastAsia="宋体" w:cs="Times New Roman"/>
                      <w:i w:val="0"/>
                      <w:iCs w:val="0"/>
                      <w:color w:val="auto"/>
                      <w:kern w:val="0"/>
                      <w:sz w:val="21"/>
                      <w:szCs w:val="21"/>
                      <w:u w:val="none" w:color="auto"/>
                      <w:vertAlign w:val="superscript"/>
                      <w:lang w:val="en-US" w:eastAsia="zh-CN" w:bidi="ar"/>
                    </w:rPr>
                    <w:t>3</w:t>
                  </w:r>
                </w:p>
              </w:tc>
            </w:tr>
            <w:tr w14:paraId="21AAD96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485" w:type="pct"/>
                  <w:vMerge w:val="continue"/>
                  <w:tcBorders>
                    <w:tl2br w:val="nil"/>
                    <w:tr2bl w:val="nil"/>
                  </w:tcBorders>
                  <w:noWrap w:val="0"/>
                  <w:vAlign w:val="center"/>
                </w:tcPr>
                <w:p w14:paraId="2CB7CE97">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5" w:type="pct"/>
                  <w:vMerge w:val="continue"/>
                  <w:tcBorders>
                    <w:tl2br w:val="nil"/>
                    <w:tr2bl w:val="nil"/>
                  </w:tcBorders>
                  <w:noWrap w:val="0"/>
                  <w:vAlign w:val="center"/>
                </w:tcPr>
                <w:p w14:paraId="53F5DCAC">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5" w:type="pct"/>
                  <w:vMerge w:val="continue"/>
                  <w:tcBorders>
                    <w:tl2br w:val="nil"/>
                    <w:tr2bl w:val="nil"/>
                  </w:tcBorders>
                  <w:noWrap w:val="0"/>
                  <w:vAlign w:val="center"/>
                </w:tcPr>
                <w:p w14:paraId="6812F050">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798" w:type="pct"/>
                  <w:tcBorders>
                    <w:tl2br w:val="nil"/>
                    <w:tr2bl w:val="nil"/>
                  </w:tcBorders>
                  <w:noWrap w:val="0"/>
                  <w:vAlign w:val="center"/>
                </w:tcPr>
                <w:p w14:paraId="3C7089FB">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折算浓度</w:t>
                  </w:r>
                </w:p>
              </w:tc>
              <w:tc>
                <w:tcPr>
                  <w:tcW w:w="591" w:type="pct"/>
                  <w:tcBorders>
                    <w:tl2br w:val="nil"/>
                    <w:tr2bl w:val="nil"/>
                  </w:tcBorders>
                  <w:noWrap w:val="0"/>
                  <w:vAlign w:val="center"/>
                </w:tcPr>
                <w:p w14:paraId="07D47B8A">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8</w:t>
                  </w:r>
                </w:p>
              </w:tc>
              <w:tc>
                <w:tcPr>
                  <w:tcW w:w="591" w:type="pct"/>
                  <w:tcBorders>
                    <w:tl2br w:val="nil"/>
                    <w:tr2bl w:val="nil"/>
                  </w:tcBorders>
                  <w:noWrap w:val="0"/>
                  <w:vAlign w:val="center"/>
                </w:tcPr>
                <w:p w14:paraId="70B82001">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9</w:t>
                  </w:r>
                </w:p>
              </w:tc>
              <w:tc>
                <w:tcPr>
                  <w:tcW w:w="591" w:type="pct"/>
                  <w:tcBorders>
                    <w:tl2br w:val="nil"/>
                    <w:tr2bl w:val="nil"/>
                  </w:tcBorders>
                  <w:noWrap w:val="0"/>
                  <w:vAlign w:val="center"/>
                </w:tcPr>
                <w:p w14:paraId="02F2A439">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8</w:t>
                  </w:r>
                </w:p>
              </w:tc>
              <w:tc>
                <w:tcPr>
                  <w:tcW w:w="485" w:type="pct"/>
                  <w:tcBorders>
                    <w:tl2br w:val="nil"/>
                    <w:tr2bl w:val="nil"/>
                  </w:tcBorders>
                  <w:noWrap w:val="0"/>
                  <w:vAlign w:val="center"/>
                </w:tcPr>
                <w:p w14:paraId="3D25E25A">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485" w:type="pct"/>
                  <w:tcBorders>
                    <w:tl2br w:val="nil"/>
                    <w:tr2bl w:val="nil"/>
                  </w:tcBorders>
                  <w:noWrap w:val="0"/>
                  <w:vAlign w:val="center"/>
                </w:tcPr>
                <w:p w14:paraId="561B6CE3">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mg/m</w:t>
                  </w:r>
                  <w:r>
                    <w:rPr>
                      <w:rFonts w:hint="default" w:ascii="Times New Roman" w:hAnsi="Times New Roman" w:eastAsia="宋体" w:cs="Times New Roman"/>
                      <w:i w:val="0"/>
                      <w:iCs w:val="0"/>
                      <w:color w:val="auto"/>
                      <w:kern w:val="0"/>
                      <w:sz w:val="21"/>
                      <w:szCs w:val="21"/>
                      <w:u w:val="none" w:color="auto"/>
                      <w:vertAlign w:val="superscript"/>
                      <w:lang w:val="en-US" w:eastAsia="zh-CN" w:bidi="ar"/>
                    </w:rPr>
                    <w:t>3</w:t>
                  </w:r>
                </w:p>
              </w:tc>
            </w:tr>
            <w:tr w14:paraId="2005247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485" w:type="pct"/>
                  <w:vMerge w:val="continue"/>
                  <w:tcBorders>
                    <w:tl2br w:val="nil"/>
                    <w:tr2bl w:val="nil"/>
                  </w:tcBorders>
                  <w:noWrap w:val="0"/>
                  <w:vAlign w:val="center"/>
                </w:tcPr>
                <w:p w14:paraId="24745184">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5" w:type="pct"/>
                  <w:vMerge w:val="continue"/>
                  <w:tcBorders>
                    <w:tl2br w:val="nil"/>
                    <w:tr2bl w:val="nil"/>
                  </w:tcBorders>
                  <w:noWrap w:val="0"/>
                  <w:vAlign w:val="center"/>
                </w:tcPr>
                <w:p w14:paraId="6F113C1E">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5" w:type="pct"/>
                  <w:vMerge w:val="continue"/>
                  <w:tcBorders>
                    <w:tl2br w:val="nil"/>
                    <w:tr2bl w:val="nil"/>
                  </w:tcBorders>
                  <w:noWrap w:val="0"/>
                  <w:vAlign w:val="center"/>
                </w:tcPr>
                <w:p w14:paraId="3CC8E387">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798" w:type="pct"/>
                  <w:tcBorders>
                    <w:tl2br w:val="nil"/>
                    <w:tr2bl w:val="nil"/>
                  </w:tcBorders>
                  <w:noWrap w:val="0"/>
                  <w:vAlign w:val="center"/>
                </w:tcPr>
                <w:p w14:paraId="50938EFD">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排放速率</w:t>
                  </w:r>
                </w:p>
              </w:tc>
              <w:tc>
                <w:tcPr>
                  <w:tcW w:w="591" w:type="pct"/>
                  <w:tcBorders>
                    <w:tl2br w:val="nil"/>
                    <w:tr2bl w:val="nil"/>
                  </w:tcBorders>
                  <w:noWrap w:val="0"/>
                  <w:vAlign w:val="center"/>
                </w:tcPr>
                <w:p w14:paraId="51BDF253">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0.6</w:t>
                  </w:r>
                </w:p>
              </w:tc>
              <w:tc>
                <w:tcPr>
                  <w:tcW w:w="591" w:type="pct"/>
                  <w:tcBorders>
                    <w:tl2br w:val="nil"/>
                    <w:tr2bl w:val="nil"/>
                  </w:tcBorders>
                  <w:noWrap w:val="0"/>
                  <w:vAlign w:val="center"/>
                </w:tcPr>
                <w:p w14:paraId="7B2AF863">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0.73</w:t>
                  </w:r>
                </w:p>
              </w:tc>
              <w:tc>
                <w:tcPr>
                  <w:tcW w:w="591" w:type="pct"/>
                  <w:tcBorders>
                    <w:tl2br w:val="nil"/>
                    <w:tr2bl w:val="nil"/>
                  </w:tcBorders>
                  <w:noWrap w:val="0"/>
                  <w:vAlign w:val="center"/>
                </w:tcPr>
                <w:p w14:paraId="32D0D238">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0.62</w:t>
                  </w:r>
                </w:p>
              </w:tc>
              <w:tc>
                <w:tcPr>
                  <w:tcW w:w="485" w:type="pct"/>
                  <w:tcBorders>
                    <w:tl2br w:val="nil"/>
                    <w:tr2bl w:val="nil"/>
                  </w:tcBorders>
                  <w:noWrap w:val="0"/>
                  <w:vAlign w:val="center"/>
                </w:tcPr>
                <w:p w14:paraId="14247EDB">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485" w:type="pct"/>
                  <w:tcBorders>
                    <w:tl2br w:val="nil"/>
                    <w:tr2bl w:val="nil"/>
                  </w:tcBorders>
                  <w:noWrap w:val="0"/>
                  <w:vAlign w:val="center"/>
                </w:tcPr>
                <w:p w14:paraId="5BBFDD98">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kg/h</w:t>
                  </w:r>
                </w:p>
              </w:tc>
            </w:tr>
            <w:tr w14:paraId="4B0886F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485" w:type="pct"/>
                  <w:vMerge w:val="continue"/>
                  <w:tcBorders>
                    <w:tl2br w:val="nil"/>
                    <w:tr2bl w:val="nil"/>
                  </w:tcBorders>
                  <w:noWrap w:val="0"/>
                  <w:vAlign w:val="center"/>
                </w:tcPr>
                <w:p w14:paraId="63F7D949">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5" w:type="pct"/>
                  <w:vMerge w:val="continue"/>
                  <w:tcBorders>
                    <w:tl2br w:val="nil"/>
                    <w:tr2bl w:val="nil"/>
                  </w:tcBorders>
                  <w:noWrap w:val="0"/>
                  <w:vAlign w:val="center"/>
                </w:tcPr>
                <w:p w14:paraId="6D8A9BE5">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5" w:type="pct"/>
                  <w:vMerge w:val="restart"/>
                  <w:tcBorders>
                    <w:tl2br w:val="nil"/>
                    <w:tr2bl w:val="nil"/>
                  </w:tcBorders>
                  <w:noWrap w:val="0"/>
                  <w:vAlign w:val="center"/>
                </w:tcPr>
                <w:p w14:paraId="231A2BA6">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颗粒物</w:t>
                  </w:r>
                </w:p>
              </w:tc>
              <w:tc>
                <w:tcPr>
                  <w:tcW w:w="798" w:type="pct"/>
                  <w:tcBorders>
                    <w:tl2br w:val="nil"/>
                    <w:tr2bl w:val="nil"/>
                  </w:tcBorders>
                  <w:noWrap w:val="0"/>
                  <w:vAlign w:val="center"/>
                </w:tcPr>
                <w:p w14:paraId="715C3479">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实测浓度</w:t>
                  </w:r>
                </w:p>
              </w:tc>
              <w:tc>
                <w:tcPr>
                  <w:tcW w:w="591" w:type="pct"/>
                  <w:tcBorders>
                    <w:tl2br w:val="nil"/>
                    <w:tr2bl w:val="nil"/>
                  </w:tcBorders>
                  <w:noWrap w:val="0"/>
                  <w:vAlign w:val="center"/>
                </w:tcPr>
                <w:p w14:paraId="42DC0E81">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10.8</w:t>
                  </w:r>
                </w:p>
              </w:tc>
              <w:tc>
                <w:tcPr>
                  <w:tcW w:w="591" w:type="pct"/>
                  <w:tcBorders>
                    <w:tl2br w:val="nil"/>
                    <w:tr2bl w:val="nil"/>
                  </w:tcBorders>
                  <w:noWrap w:val="0"/>
                  <w:vAlign w:val="center"/>
                </w:tcPr>
                <w:p w14:paraId="242A6A96">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10.3</w:t>
                  </w:r>
                </w:p>
              </w:tc>
              <w:tc>
                <w:tcPr>
                  <w:tcW w:w="591" w:type="pct"/>
                  <w:tcBorders>
                    <w:tl2br w:val="nil"/>
                    <w:tr2bl w:val="nil"/>
                  </w:tcBorders>
                  <w:noWrap w:val="0"/>
                  <w:vAlign w:val="center"/>
                </w:tcPr>
                <w:p w14:paraId="6D42BBDC">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9.9</w:t>
                  </w:r>
                </w:p>
              </w:tc>
              <w:tc>
                <w:tcPr>
                  <w:tcW w:w="485" w:type="pct"/>
                  <w:tcBorders>
                    <w:tl2br w:val="nil"/>
                    <w:tr2bl w:val="nil"/>
                  </w:tcBorders>
                  <w:noWrap w:val="0"/>
                  <w:vAlign w:val="center"/>
                </w:tcPr>
                <w:p w14:paraId="70712D81">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485" w:type="pct"/>
                  <w:tcBorders>
                    <w:tl2br w:val="nil"/>
                    <w:tr2bl w:val="nil"/>
                  </w:tcBorders>
                  <w:noWrap w:val="0"/>
                  <w:vAlign w:val="center"/>
                </w:tcPr>
                <w:p w14:paraId="3ED0B406">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mg/m</w:t>
                  </w:r>
                  <w:r>
                    <w:rPr>
                      <w:rFonts w:hint="default" w:ascii="Times New Roman" w:hAnsi="Times New Roman" w:eastAsia="宋体" w:cs="Times New Roman"/>
                      <w:i w:val="0"/>
                      <w:iCs w:val="0"/>
                      <w:color w:val="auto"/>
                      <w:kern w:val="0"/>
                      <w:sz w:val="21"/>
                      <w:szCs w:val="21"/>
                      <w:u w:val="none" w:color="auto"/>
                      <w:vertAlign w:val="superscript"/>
                      <w:lang w:val="en-US" w:eastAsia="zh-CN" w:bidi="ar"/>
                    </w:rPr>
                    <w:t>3</w:t>
                  </w:r>
                </w:p>
              </w:tc>
            </w:tr>
            <w:tr w14:paraId="4E515B1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485" w:type="pct"/>
                  <w:vMerge w:val="continue"/>
                  <w:tcBorders>
                    <w:tl2br w:val="nil"/>
                    <w:tr2bl w:val="nil"/>
                  </w:tcBorders>
                  <w:noWrap w:val="0"/>
                  <w:vAlign w:val="center"/>
                </w:tcPr>
                <w:p w14:paraId="3F85CAAB">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5" w:type="pct"/>
                  <w:vMerge w:val="continue"/>
                  <w:tcBorders>
                    <w:tl2br w:val="nil"/>
                    <w:tr2bl w:val="nil"/>
                  </w:tcBorders>
                  <w:noWrap w:val="0"/>
                  <w:vAlign w:val="center"/>
                </w:tcPr>
                <w:p w14:paraId="1ED72BB1">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5" w:type="pct"/>
                  <w:vMerge w:val="continue"/>
                  <w:tcBorders>
                    <w:tl2br w:val="nil"/>
                    <w:tr2bl w:val="nil"/>
                  </w:tcBorders>
                  <w:noWrap w:val="0"/>
                  <w:vAlign w:val="center"/>
                </w:tcPr>
                <w:p w14:paraId="7912C68D">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798" w:type="pct"/>
                  <w:tcBorders>
                    <w:tl2br w:val="nil"/>
                    <w:tr2bl w:val="nil"/>
                  </w:tcBorders>
                  <w:noWrap w:val="0"/>
                  <w:vAlign w:val="center"/>
                </w:tcPr>
                <w:p w14:paraId="2B606039">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排放速率</w:t>
                  </w:r>
                </w:p>
              </w:tc>
              <w:tc>
                <w:tcPr>
                  <w:tcW w:w="591" w:type="pct"/>
                  <w:tcBorders>
                    <w:tl2br w:val="nil"/>
                    <w:tr2bl w:val="nil"/>
                  </w:tcBorders>
                  <w:noWrap w:val="0"/>
                  <w:vAlign w:val="center"/>
                </w:tcPr>
                <w:p w14:paraId="00ED9DE9">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1.28</w:t>
                  </w:r>
                </w:p>
              </w:tc>
              <w:tc>
                <w:tcPr>
                  <w:tcW w:w="591" w:type="pct"/>
                  <w:tcBorders>
                    <w:tl2br w:val="nil"/>
                    <w:tr2bl w:val="nil"/>
                  </w:tcBorders>
                  <w:noWrap w:val="0"/>
                  <w:vAlign w:val="center"/>
                </w:tcPr>
                <w:p w14:paraId="2E73E456">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1.34</w:t>
                  </w:r>
                </w:p>
              </w:tc>
              <w:tc>
                <w:tcPr>
                  <w:tcW w:w="591" w:type="pct"/>
                  <w:tcBorders>
                    <w:tl2br w:val="nil"/>
                    <w:tr2bl w:val="nil"/>
                  </w:tcBorders>
                  <w:noWrap w:val="0"/>
                  <w:vAlign w:val="center"/>
                </w:tcPr>
                <w:p w14:paraId="1FCE1485">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1.21</w:t>
                  </w:r>
                </w:p>
              </w:tc>
              <w:tc>
                <w:tcPr>
                  <w:tcW w:w="485" w:type="pct"/>
                  <w:tcBorders>
                    <w:tl2br w:val="nil"/>
                    <w:tr2bl w:val="nil"/>
                  </w:tcBorders>
                  <w:noWrap w:val="0"/>
                  <w:vAlign w:val="center"/>
                </w:tcPr>
                <w:p w14:paraId="59BF6FFD">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485" w:type="pct"/>
                  <w:tcBorders>
                    <w:tl2br w:val="nil"/>
                    <w:tr2bl w:val="nil"/>
                  </w:tcBorders>
                  <w:noWrap w:val="0"/>
                  <w:vAlign w:val="center"/>
                </w:tcPr>
                <w:p w14:paraId="4C5F9F7D">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kg/h</w:t>
                  </w:r>
                </w:p>
              </w:tc>
            </w:tr>
            <w:tr w14:paraId="480FB1E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485" w:type="pct"/>
                  <w:vMerge w:val="continue"/>
                  <w:tcBorders>
                    <w:tl2br w:val="nil"/>
                    <w:tr2bl w:val="nil"/>
                  </w:tcBorders>
                  <w:noWrap w:val="0"/>
                  <w:vAlign w:val="center"/>
                </w:tcPr>
                <w:p w14:paraId="7DA730D5">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5" w:type="pct"/>
                  <w:vMerge w:val="continue"/>
                  <w:tcBorders>
                    <w:tl2br w:val="nil"/>
                    <w:tr2bl w:val="nil"/>
                  </w:tcBorders>
                  <w:noWrap w:val="0"/>
                  <w:vAlign w:val="center"/>
                </w:tcPr>
                <w:p w14:paraId="3A8E640E">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5" w:type="pct"/>
                  <w:vMerge w:val="restart"/>
                  <w:tcBorders>
                    <w:tl2br w:val="nil"/>
                    <w:tr2bl w:val="nil"/>
                  </w:tcBorders>
                  <w:noWrap w:val="0"/>
                  <w:vAlign w:val="center"/>
                </w:tcPr>
                <w:p w14:paraId="2AD845A7">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氯化氢</w:t>
                  </w:r>
                </w:p>
              </w:tc>
              <w:tc>
                <w:tcPr>
                  <w:tcW w:w="798" w:type="pct"/>
                  <w:tcBorders>
                    <w:tl2br w:val="nil"/>
                    <w:tr2bl w:val="nil"/>
                  </w:tcBorders>
                  <w:noWrap w:val="0"/>
                  <w:vAlign w:val="center"/>
                </w:tcPr>
                <w:p w14:paraId="56D50AA2">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实测浓度</w:t>
                  </w:r>
                </w:p>
              </w:tc>
              <w:tc>
                <w:tcPr>
                  <w:tcW w:w="591" w:type="pct"/>
                  <w:tcBorders>
                    <w:tl2br w:val="nil"/>
                    <w:tr2bl w:val="nil"/>
                  </w:tcBorders>
                  <w:noWrap w:val="0"/>
                  <w:vAlign w:val="center"/>
                </w:tcPr>
                <w:p w14:paraId="68DEA2E1">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2.03</w:t>
                  </w:r>
                </w:p>
              </w:tc>
              <w:tc>
                <w:tcPr>
                  <w:tcW w:w="591" w:type="pct"/>
                  <w:tcBorders>
                    <w:tl2br w:val="nil"/>
                    <w:tr2bl w:val="nil"/>
                  </w:tcBorders>
                  <w:noWrap w:val="0"/>
                  <w:vAlign w:val="center"/>
                </w:tcPr>
                <w:p w14:paraId="231BCC54">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1.86</w:t>
                  </w:r>
                </w:p>
              </w:tc>
              <w:tc>
                <w:tcPr>
                  <w:tcW w:w="591" w:type="pct"/>
                  <w:tcBorders>
                    <w:tl2br w:val="nil"/>
                    <w:tr2bl w:val="nil"/>
                  </w:tcBorders>
                  <w:noWrap w:val="0"/>
                  <w:vAlign w:val="center"/>
                </w:tcPr>
                <w:p w14:paraId="7B85670D">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2.02</w:t>
                  </w:r>
                </w:p>
              </w:tc>
              <w:tc>
                <w:tcPr>
                  <w:tcW w:w="485" w:type="pct"/>
                  <w:tcBorders>
                    <w:tl2br w:val="nil"/>
                    <w:tr2bl w:val="nil"/>
                  </w:tcBorders>
                  <w:noWrap w:val="0"/>
                  <w:vAlign w:val="center"/>
                </w:tcPr>
                <w:p w14:paraId="0DD344E9">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485" w:type="pct"/>
                  <w:tcBorders>
                    <w:tl2br w:val="nil"/>
                    <w:tr2bl w:val="nil"/>
                  </w:tcBorders>
                  <w:noWrap w:val="0"/>
                  <w:vAlign w:val="center"/>
                </w:tcPr>
                <w:p w14:paraId="58723B9E">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mg/m</w:t>
                  </w:r>
                  <w:r>
                    <w:rPr>
                      <w:rFonts w:hint="default" w:ascii="Times New Roman" w:hAnsi="Times New Roman" w:eastAsia="宋体" w:cs="Times New Roman"/>
                      <w:i w:val="0"/>
                      <w:iCs w:val="0"/>
                      <w:color w:val="auto"/>
                      <w:kern w:val="0"/>
                      <w:sz w:val="21"/>
                      <w:szCs w:val="21"/>
                      <w:u w:val="none" w:color="auto"/>
                      <w:vertAlign w:val="superscript"/>
                      <w:lang w:val="en-US" w:eastAsia="zh-CN" w:bidi="ar"/>
                    </w:rPr>
                    <w:t>3</w:t>
                  </w:r>
                </w:p>
              </w:tc>
            </w:tr>
            <w:tr w14:paraId="0DE635D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485" w:type="pct"/>
                  <w:vMerge w:val="continue"/>
                  <w:tcBorders>
                    <w:tl2br w:val="nil"/>
                    <w:tr2bl w:val="nil"/>
                  </w:tcBorders>
                  <w:noWrap w:val="0"/>
                  <w:vAlign w:val="center"/>
                </w:tcPr>
                <w:p w14:paraId="1045048F">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5" w:type="pct"/>
                  <w:vMerge w:val="continue"/>
                  <w:tcBorders>
                    <w:tl2br w:val="nil"/>
                    <w:tr2bl w:val="nil"/>
                  </w:tcBorders>
                  <w:noWrap w:val="0"/>
                  <w:vAlign w:val="center"/>
                </w:tcPr>
                <w:p w14:paraId="1B5D5BFF">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5" w:type="pct"/>
                  <w:vMerge w:val="continue"/>
                  <w:tcBorders>
                    <w:tl2br w:val="nil"/>
                    <w:tr2bl w:val="nil"/>
                  </w:tcBorders>
                  <w:noWrap w:val="0"/>
                  <w:vAlign w:val="center"/>
                </w:tcPr>
                <w:p w14:paraId="22B48AC4">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798" w:type="pct"/>
                  <w:tcBorders>
                    <w:tl2br w:val="nil"/>
                    <w:tr2bl w:val="nil"/>
                  </w:tcBorders>
                  <w:noWrap w:val="0"/>
                  <w:vAlign w:val="center"/>
                </w:tcPr>
                <w:p w14:paraId="530EE8BD">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排放速率</w:t>
                  </w:r>
                </w:p>
              </w:tc>
              <w:tc>
                <w:tcPr>
                  <w:tcW w:w="591" w:type="pct"/>
                  <w:tcBorders>
                    <w:tl2br w:val="nil"/>
                    <w:tr2bl w:val="nil"/>
                  </w:tcBorders>
                  <w:noWrap w:val="0"/>
                  <w:vAlign w:val="center"/>
                </w:tcPr>
                <w:p w14:paraId="4841085F">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0.24</w:t>
                  </w:r>
                </w:p>
              </w:tc>
              <w:tc>
                <w:tcPr>
                  <w:tcW w:w="591" w:type="pct"/>
                  <w:tcBorders>
                    <w:tl2br w:val="nil"/>
                    <w:tr2bl w:val="nil"/>
                  </w:tcBorders>
                  <w:noWrap w:val="0"/>
                  <w:vAlign w:val="center"/>
                </w:tcPr>
                <w:p w14:paraId="5679A280">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0.24</w:t>
                  </w:r>
                </w:p>
              </w:tc>
              <w:tc>
                <w:tcPr>
                  <w:tcW w:w="591" w:type="pct"/>
                  <w:tcBorders>
                    <w:tl2br w:val="nil"/>
                    <w:tr2bl w:val="nil"/>
                  </w:tcBorders>
                  <w:noWrap w:val="0"/>
                  <w:vAlign w:val="center"/>
                </w:tcPr>
                <w:p w14:paraId="5D2C8940">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0.25</w:t>
                  </w:r>
                </w:p>
              </w:tc>
              <w:tc>
                <w:tcPr>
                  <w:tcW w:w="485" w:type="pct"/>
                  <w:tcBorders>
                    <w:tl2br w:val="nil"/>
                    <w:tr2bl w:val="nil"/>
                  </w:tcBorders>
                  <w:noWrap w:val="0"/>
                  <w:vAlign w:val="center"/>
                </w:tcPr>
                <w:p w14:paraId="260EFAB5">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485" w:type="pct"/>
                  <w:tcBorders>
                    <w:tl2br w:val="nil"/>
                    <w:tr2bl w:val="nil"/>
                  </w:tcBorders>
                  <w:noWrap w:val="0"/>
                  <w:vAlign w:val="center"/>
                </w:tcPr>
                <w:p w14:paraId="40D7B22D">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kg/h</w:t>
                  </w:r>
                </w:p>
              </w:tc>
            </w:tr>
            <w:tr w14:paraId="23EEADA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485" w:type="pct"/>
                  <w:vMerge w:val="continue"/>
                  <w:tcBorders>
                    <w:tl2br w:val="nil"/>
                    <w:tr2bl w:val="nil"/>
                  </w:tcBorders>
                  <w:noWrap w:val="0"/>
                  <w:vAlign w:val="center"/>
                </w:tcPr>
                <w:p w14:paraId="68C5D83A">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5" w:type="pct"/>
                  <w:vMerge w:val="continue"/>
                  <w:tcBorders>
                    <w:tl2br w:val="nil"/>
                    <w:tr2bl w:val="nil"/>
                  </w:tcBorders>
                  <w:noWrap w:val="0"/>
                  <w:vAlign w:val="center"/>
                </w:tcPr>
                <w:p w14:paraId="129A7C99">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5" w:type="pct"/>
                  <w:vMerge w:val="restart"/>
                  <w:tcBorders>
                    <w:tl2br w:val="nil"/>
                    <w:tr2bl w:val="nil"/>
                  </w:tcBorders>
                  <w:noWrap w:val="0"/>
                  <w:vAlign w:val="center"/>
                </w:tcPr>
                <w:p w14:paraId="75B1A6D8">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镍及其化合物</w:t>
                  </w:r>
                </w:p>
              </w:tc>
              <w:tc>
                <w:tcPr>
                  <w:tcW w:w="798" w:type="pct"/>
                  <w:tcBorders>
                    <w:tl2br w:val="nil"/>
                    <w:tr2bl w:val="nil"/>
                  </w:tcBorders>
                  <w:noWrap w:val="0"/>
                  <w:vAlign w:val="center"/>
                </w:tcPr>
                <w:p w14:paraId="058567FF">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实测浓度</w:t>
                  </w:r>
                </w:p>
              </w:tc>
              <w:tc>
                <w:tcPr>
                  <w:tcW w:w="591" w:type="pct"/>
                  <w:tcBorders>
                    <w:tl2br w:val="nil"/>
                    <w:tr2bl w:val="nil"/>
                  </w:tcBorders>
                  <w:noWrap w:val="0"/>
                  <w:vAlign w:val="center"/>
                </w:tcPr>
                <w:p w14:paraId="156992B2">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9.68×10</w:t>
                  </w:r>
                  <w:r>
                    <w:rPr>
                      <w:rFonts w:hint="default" w:ascii="Times New Roman" w:hAnsi="Times New Roman" w:eastAsia="宋体" w:cs="Times New Roman"/>
                      <w:i w:val="0"/>
                      <w:iCs w:val="0"/>
                      <w:color w:val="auto"/>
                      <w:kern w:val="0"/>
                      <w:sz w:val="21"/>
                      <w:szCs w:val="21"/>
                      <w:u w:val="none" w:color="auto"/>
                      <w:vertAlign w:val="superscript"/>
                      <w:lang w:val="en-US" w:eastAsia="zh-CN" w:bidi="ar"/>
                    </w:rPr>
                    <w:t>-2</w:t>
                  </w:r>
                </w:p>
              </w:tc>
              <w:tc>
                <w:tcPr>
                  <w:tcW w:w="591" w:type="pct"/>
                  <w:tcBorders>
                    <w:tl2br w:val="nil"/>
                    <w:tr2bl w:val="nil"/>
                  </w:tcBorders>
                  <w:noWrap w:val="0"/>
                  <w:vAlign w:val="center"/>
                </w:tcPr>
                <w:p w14:paraId="5E60A5D1">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9.38×10</w:t>
                  </w:r>
                  <w:r>
                    <w:rPr>
                      <w:rFonts w:hint="default" w:ascii="Times New Roman" w:hAnsi="Times New Roman" w:eastAsia="宋体" w:cs="Times New Roman"/>
                      <w:i w:val="0"/>
                      <w:iCs w:val="0"/>
                      <w:color w:val="auto"/>
                      <w:kern w:val="0"/>
                      <w:sz w:val="21"/>
                      <w:szCs w:val="21"/>
                      <w:u w:val="none" w:color="auto"/>
                      <w:vertAlign w:val="superscript"/>
                      <w:lang w:val="en-US" w:eastAsia="zh-CN" w:bidi="ar"/>
                    </w:rPr>
                    <w:t>-2</w:t>
                  </w:r>
                </w:p>
              </w:tc>
              <w:tc>
                <w:tcPr>
                  <w:tcW w:w="591" w:type="pct"/>
                  <w:tcBorders>
                    <w:tl2br w:val="nil"/>
                    <w:tr2bl w:val="nil"/>
                  </w:tcBorders>
                  <w:noWrap w:val="0"/>
                  <w:vAlign w:val="center"/>
                </w:tcPr>
                <w:p w14:paraId="46BD1A3D">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9.66×10</w:t>
                  </w:r>
                  <w:r>
                    <w:rPr>
                      <w:rFonts w:hint="default" w:ascii="Times New Roman" w:hAnsi="Times New Roman" w:eastAsia="宋体" w:cs="Times New Roman"/>
                      <w:i w:val="0"/>
                      <w:iCs w:val="0"/>
                      <w:color w:val="auto"/>
                      <w:kern w:val="0"/>
                      <w:sz w:val="21"/>
                      <w:szCs w:val="21"/>
                      <w:u w:val="none" w:color="auto"/>
                      <w:vertAlign w:val="superscript"/>
                      <w:lang w:val="en-US" w:eastAsia="zh-CN" w:bidi="ar"/>
                    </w:rPr>
                    <w:t>-2</w:t>
                  </w:r>
                </w:p>
              </w:tc>
              <w:tc>
                <w:tcPr>
                  <w:tcW w:w="485" w:type="pct"/>
                  <w:tcBorders>
                    <w:tl2br w:val="nil"/>
                    <w:tr2bl w:val="nil"/>
                  </w:tcBorders>
                  <w:noWrap w:val="0"/>
                  <w:vAlign w:val="center"/>
                </w:tcPr>
                <w:p w14:paraId="6524EA3A">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485" w:type="pct"/>
                  <w:tcBorders>
                    <w:tl2br w:val="nil"/>
                    <w:tr2bl w:val="nil"/>
                  </w:tcBorders>
                  <w:noWrap w:val="0"/>
                  <w:vAlign w:val="center"/>
                </w:tcPr>
                <w:p w14:paraId="268EF87A">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mg/m</w:t>
                  </w:r>
                  <w:r>
                    <w:rPr>
                      <w:rFonts w:hint="default" w:ascii="Times New Roman" w:hAnsi="Times New Roman" w:eastAsia="宋体" w:cs="Times New Roman"/>
                      <w:i w:val="0"/>
                      <w:iCs w:val="0"/>
                      <w:color w:val="auto"/>
                      <w:kern w:val="0"/>
                      <w:sz w:val="21"/>
                      <w:szCs w:val="21"/>
                      <w:u w:val="none" w:color="auto"/>
                      <w:vertAlign w:val="superscript"/>
                      <w:lang w:val="en-US" w:eastAsia="zh-CN" w:bidi="ar"/>
                    </w:rPr>
                    <w:t>3</w:t>
                  </w:r>
                </w:p>
              </w:tc>
            </w:tr>
            <w:tr w14:paraId="641E3A7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485" w:type="pct"/>
                  <w:vMerge w:val="continue"/>
                  <w:tcBorders>
                    <w:tl2br w:val="nil"/>
                    <w:tr2bl w:val="nil"/>
                  </w:tcBorders>
                  <w:noWrap w:val="0"/>
                  <w:vAlign w:val="center"/>
                </w:tcPr>
                <w:p w14:paraId="048249EF">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5" w:type="pct"/>
                  <w:vMerge w:val="continue"/>
                  <w:tcBorders>
                    <w:tl2br w:val="nil"/>
                    <w:tr2bl w:val="nil"/>
                  </w:tcBorders>
                  <w:noWrap w:val="0"/>
                  <w:vAlign w:val="center"/>
                </w:tcPr>
                <w:p w14:paraId="279E5BDC">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5" w:type="pct"/>
                  <w:vMerge w:val="continue"/>
                  <w:tcBorders>
                    <w:tl2br w:val="nil"/>
                    <w:tr2bl w:val="nil"/>
                  </w:tcBorders>
                  <w:noWrap w:val="0"/>
                  <w:vAlign w:val="center"/>
                </w:tcPr>
                <w:p w14:paraId="0B1AFD93">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798" w:type="pct"/>
                  <w:tcBorders>
                    <w:tl2br w:val="nil"/>
                    <w:tr2bl w:val="nil"/>
                  </w:tcBorders>
                  <w:noWrap w:val="0"/>
                  <w:vAlign w:val="center"/>
                </w:tcPr>
                <w:p w14:paraId="1E6809FF">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排放速率</w:t>
                  </w:r>
                </w:p>
              </w:tc>
              <w:tc>
                <w:tcPr>
                  <w:tcW w:w="591" w:type="pct"/>
                  <w:tcBorders>
                    <w:tl2br w:val="nil"/>
                    <w:tr2bl w:val="nil"/>
                  </w:tcBorders>
                  <w:noWrap w:val="0"/>
                  <w:vAlign w:val="center"/>
                </w:tcPr>
                <w:p w14:paraId="467E1BF6">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0.011</w:t>
                  </w:r>
                </w:p>
              </w:tc>
              <w:tc>
                <w:tcPr>
                  <w:tcW w:w="591" w:type="pct"/>
                  <w:tcBorders>
                    <w:tl2br w:val="nil"/>
                    <w:tr2bl w:val="nil"/>
                  </w:tcBorders>
                  <w:noWrap w:val="0"/>
                  <w:vAlign w:val="center"/>
                </w:tcPr>
                <w:p w14:paraId="307FD07C">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0.012</w:t>
                  </w:r>
                </w:p>
              </w:tc>
              <w:tc>
                <w:tcPr>
                  <w:tcW w:w="591" w:type="pct"/>
                  <w:tcBorders>
                    <w:tl2br w:val="nil"/>
                    <w:tr2bl w:val="nil"/>
                  </w:tcBorders>
                  <w:noWrap w:val="0"/>
                  <w:vAlign w:val="center"/>
                </w:tcPr>
                <w:p w14:paraId="3FED5444">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0.012</w:t>
                  </w:r>
                </w:p>
              </w:tc>
              <w:tc>
                <w:tcPr>
                  <w:tcW w:w="485" w:type="pct"/>
                  <w:tcBorders>
                    <w:tl2br w:val="nil"/>
                    <w:tr2bl w:val="nil"/>
                  </w:tcBorders>
                  <w:noWrap w:val="0"/>
                  <w:vAlign w:val="center"/>
                </w:tcPr>
                <w:p w14:paraId="7F0B5B8E">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485" w:type="pct"/>
                  <w:tcBorders>
                    <w:tl2br w:val="nil"/>
                    <w:tr2bl w:val="nil"/>
                  </w:tcBorders>
                  <w:noWrap w:val="0"/>
                  <w:vAlign w:val="center"/>
                </w:tcPr>
                <w:p w14:paraId="568D8DE6">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kg/h</w:t>
                  </w:r>
                </w:p>
              </w:tc>
            </w:tr>
            <w:tr w14:paraId="110A28A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485" w:type="pct"/>
                  <w:vMerge w:val="continue"/>
                  <w:tcBorders>
                    <w:tl2br w:val="nil"/>
                    <w:tr2bl w:val="nil"/>
                  </w:tcBorders>
                  <w:noWrap w:val="0"/>
                  <w:vAlign w:val="center"/>
                </w:tcPr>
                <w:p w14:paraId="48C70699">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5" w:type="pct"/>
                  <w:vMerge w:val="restart"/>
                  <w:tcBorders>
                    <w:tl2br w:val="nil"/>
                    <w:tr2bl w:val="nil"/>
                  </w:tcBorders>
                  <w:noWrap w:val="0"/>
                  <w:vAlign w:val="center"/>
                </w:tcPr>
                <w:p w14:paraId="48377A92">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DA001出口</w:t>
                  </w:r>
                </w:p>
              </w:tc>
              <w:tc>
                <w:tcPr>
                  <w:tcW w:w="1284" w:type="pct"/>
                  <w:gridSpan w:val="2"/>
                  <w:tcBorders>
                    <w:tl2br w:val="nil"/>
                    <w:tr2bl w:val="nil"/>
                  </w:tcBorders>
                  <w:noWrap w:val="0"/>
                  <w:vAlign w:val="center"/>
                </w:tcPr>
                <w:p w14:paraId="084B19D2">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标干流量</w:t>
                  </w:r>
                </w:p>
              </w:tc>
              <w:tc>
                <w:tcPr>
                  <w:tcW w:w="591" w:type="pct"/>
                  <w:tcBorders>
                    <w:tl2br w:val="nil"/>
                    <w:tr2bl w:val="nil"/>
                  </w:tcBorders>
                  <w:noWrap w:val="0"/>
                  <w:vAlign w:val="center"/>
                </w:tcPr>
                <w:p w14:paraId="20BF17EC">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114879</w:t>
                  </w:r>
                </w:p>
              </w:tc>
              <w:tc>
                <w:tcPr>
                  <w:tcW w:w="591" w:type="pct"/>
                  <w:tcBorders>
                    <w:tl2br w:val="nil"/>
                    <w:tr2bl w:val="nil"/>
                  </w:tcBorders>
                  <w:noWrap w:val="0"/>
                  <w:vAlign w:val="center"/>
                </w:tcPr>
                <w:p w14:paraId="2692D029">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117353</w:t>
                  </w:r>
                </w:p>
              </w:tc>
              <w:tc>
                <w:tcPr>
                  <w:tcW w:w="591" w:type="pct"/>
                  <w:tcBorders>
                    <w:tl2br w:val="nil"/>
                    <w:tr2bl w:val="nil"/>
                  </w:tcBorders>
                  <w:noWrap w:val="0"/>
                  <w:vAlign w:val="center"/>
                </w:tcPr>
                <w:p w14:paraId="4FB18546">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113552</w:t>
                  </w:r>
                </w:p>
              </w:tc>
              <w:tc>
                <w:tcPr>
                  <w:tcW w:w="485" w:type="pct"/>
                  <w:tcBorders>
                    <w:tl2br w:val="nil"/>
                    <w:tr2bl w:val="nil"/>
                  </w:tcBorders>
                  <w:noWrap w:val="0"/>
                  <w:vAlign w:val="center"/>
                </w:tcPr>
                <w:p w14:paraId="77974A40">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485" w:type="pct"/>
                  <w:tcBorders>
                    <w:tl2br w:val="nil"/>
                    <w:tr2bl w:val="nil"/>
                  </w:tcBorders>
                  <w:noWrap w:val="0"/>
                  <w:vAlign w:val="center"/>
                </w:tcPr>
                <w:p w14:paraId="0ACDF71B">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Nm</w:t>
                  </w:r>
                  <w:r>
                    <w:rPr>
                      <w:rFonts w:hint="default" w:ascii="Times New Roman" w:hAnsi="Times New Roman" w:eastAsia="宋体" w:cs="Times New Roman"/>
                      <w:i w:val="0"/>
                      <w:iCs w:val="0"/>
                      <w:color w:val="auto"/>
                      <w:kern w:val="0"/>
                      <w:sz w:val="21"/>
                      <w:szCs w:val="21"/>
                      <w:u w:val="none" w:color="auto"/>
                      <w:vertAlign w:val="superscript"/>
                      <w:lang w:val="en-US" w:eastAsia="zh-CN" w:bidi="ar"/>
                    </w:rPr>
                    <w:t>3</w:t>
                  </w:r>
                  <w:r>
                    <w:rPr>
                      <w:rFonts w:hint="default" w:ascii="Times New Roman" w:hAnsi="Times New Roman" w:eastAsia="宋体" w:cs="Times New Roman"/>
                      <w:i w:val="0"/>
                      <w:iCs w:val="0"/>
                      <w:color w:val="auto"/>
                      <w:kern w:val="0"/>
                      <w:sz w:val="21"/>
                      <w:szCs w:val="21"/>
                      <w:u w:val="none" w:color="auto"/>
                      <w:lang w:val="en-US" w:eastAsia="zh-CN" w:bidi="ar"/>
                    </w:rPr>
                    <w:t>/h</w:t>
                  </w:r>
                </w:p>
              </w:tc>
            </w:tr>
            <w:tr w14:paraId="59BF469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485" w:type="pct"/>
                  <w:vMerge w:val="continue"/>
                  <w:tcBorders>
                    <w:tl2br w:val="nil"/>
                    <w:tr2bl w:val="nil"/>
                  </w:tcBorders>
                  <w:noWrap w:val="0"/>
                  <w:vAlign w:val="center"/>
                </w:tcPr>
                <w:p w14:paraId="7731CEAF">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5" w:type="pct"/>
                  <w:vMerge w:val="continue"/>
                  <w:tcBorders>
                    <w:tl2br w:val="nil"/>
                    <w:tr2bl w:val="nil"/>
                  </w:tcBorders>
                  <w:noWrap w:val="0"/>
                  <w:vAlign w:val="center"/>
                </w:tcPr>
                <w:p w14:paraId="38CBB2FE">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1284" w:type="pct"/>
                  <w:gridSpan w:val="2"/>
                  <w:tcBorders>
                    <w:tl2br w:val="nil"/>
                    <w:tr2bl w:val="nil"/>
                  </w:tcBorders>
                  <w:noWrap w:val="0"/>
                  <w:vAlign w:val="center"/>
                </w:tcPr>
                <w:p w14:paraId="020F6A8B">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平均烟温</w:t>
                  </w:r>
                </w:p>
              </w:tc>
              <w:tc>
                <w:tcPr>
                  <w:tcW w:w="591" w:type="pct"/>
                  <w:tcBorders>
                    <w:tl2br w:val="nil"/>
                    <w:tr2bl w:val="nil"/>
                  </w:tcBorders>
                  <w:noWrap w:val="0"/>
                  <w:vAlign w:val="center"/>
                </w:tcPr>
                <w:p w14:paraId="0479226E">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149</w:t>
                  </w:r>
                </w:p>
              </w:tc>
              <w:tc>
                <w:tcPr>
                  <w:tcW w:w="591" w:type="pct"/>
                  <w:tcBorders>
                    <w:tl2br w:val="nil"/>
                    <w:tr2bl w:val="nil"/>
                  </w:tcBorders>
                  <w:noWrap w:val="0"/>
                  <w:vAlign w:val="center"/>
                </w:tcPr>
                <w:p w14:paraId="5446CDEF">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149.5</w:t>
                  </w:r>
                </w:p>
              </w:tc>
              <w:tc>
                <w:tcPr>
                  <w:tcW w:w="591" w:type="pct"/>
                  <w:tcBorders>
                    <w:tl2br w:val="nil"/>
                    <w:tr2bl w:val="nil"/>
                  </w:tcBorders>
                  <w:noWrap w:val="0"/>
                  <w:vAlign w:val="center"/>
                </w:tcPr>
                <w:p w14:paraId="57C93A05">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149.8</w:t>
                  </w:r>
                </w:p>
              </w:tc>
              <w:tc>
                <w:tcPr>
                  <w:tcW w:w="485" w:type="pct"/>
                  <w:tcBorders>
                    <w:tl2br w:val="nil"/>
                    <w:tr2bl w:val="nil"/>
                  </w:tcBorders>
                  <w:noWrap w:val="0"/>
                  <w:vAlign w:val="center"/>
                </w:tcPr>
                <w:p w14:paraId="54A4CB89">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485" w:type="pct"/>
                  <w:tcBorders>
                    <w:tl2br w:val="nil"/>
                    <w:tr2bl w:val="nil"/>
                  </w:tcBorders>
                  <w:noWrap w:val="0"/>
                  <w:vAlign w:val="center"/>
                </w:tcPr>
                <w:p w14:paraId="22E17B05">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r>
            <w:tr w14:paraId="2FD7840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485" w:type="pct"/>
                  <w:vMerge w:val="continue"/>
                  <w:tcBorders>
                    <w:tl2br w:val="nil"/>
                    <w:tr2bl w:val="nil"/>
                  </w:tcBorders>
                  <w:noWrap w:val="0"/>
                  <w:vAlign w:val="center"/>
                </w:tcPr>
                <w:p w14:paraId="39F44389">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5" w:type="pct"/>
                  <w:vMerge w:val="continue"/>
                  <w:tcBorders>
                    <w:tl2br w:val="nil"/>
                    <w:tr2bl w:val="nil"/>
                  </w:tcBorders>
                  <w:noWrap w:val="0"/>
                  <w:vAlign w:val="center"/>
                </w:tcPr>
                <w:p w14:paraId="59050D32">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1284" w:type="pct"/>
                  <w:gridSpan w:val="2"/>
                  <w:tcBorders>
                    <w:tl2br w:val="nil"/>
                    <w:tr2bl w:val="nil"/>
                  </w:tcBorders>
                  <w:noWrap w:val="0"/>
                  <w:vAlign w:val="center"/>
                </w:tcPr>
                <w:p w14:paraId="627C1991">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平均流速</w:t>
                  </w:r>
                </w:p>
              </w:tc>
              <w:tc>
                <w:tcPr>
                  <w:tcW w:w="591" w:type="pct"/>
                  <w:tcBorders>
                    <w:tl2br w:val="nil"/>
                    <w:tr2bl w:val="nil"/>
                  </w:tcBorders>
                  <w:noWrap w:val="0"/>
                  <w:vAlign w:val="center"/>
                </w:tcPr>
                <w:p w14:paraId="109080FF">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11.4</w:t>
                  </w:r>
                </w:p>
              </w:tc>
              <w:tc>
                <w:tcPr>
                  <w:tcW w:w="591" w:type="pct"/>
                  <w:tcBorders>
                    <w:tl2br w:val="nil"/>
                    <w:tr2bl w:val="nil"/>
                  </w:tcBorders>
                  <w:noWrap w:val="0"/>
                  <w:vAlign w:val="center"/>
                </w:tcPr>
                <w:p w14:paraId="4E2416C2">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11.6</w:t>
                  </w:r>
                </w:p>
              </w:tc>
              <w:tc>
                <w:tcPr>
                  <w:tcW w:w="591" w:type="pct"/>
                  <w:tcBorders>
                    <w:tl2br w:val="nil"/>
                    <w:tr2bl w:val="nil"/>
                  </w:tcBorders>
                  <w:noWrap w:val="0"/>
                  <w:vAlign w:val="center"/>
                </w:tcPr>
                <w:p w14:paraId="5E77A245">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11.3</w:t>
                  </w:r>
                </w:p>
              </w:tc>
              <w:tc>
                <w:tcPr>
                  <w:tcW w:w="485" w:type="pct"/>
                  <w:tcBorders>
                    <w:tl2br w:val="nil"/>
                    <w:tr2bl w:val="nil"/>
                  </w:tcBorders>
                  <w:noWrap w:val="0"/>
                  <w:vAlign w:val="center"/>
                </w:tcPr>
                <w:p w14:paraId="08CD6BD5">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485" w:type="pct"/>
                  <w:tcBorders>
                    <w:tl2br w:val="nil"/>
                    <w:tr2bl w:val="nil"/>
                  </w:tcBorders>
                  <w:noWrap w:val="0"/>
                  <w:vAlign w:val="center"/>
                </w:tcPr>
                <w:p w14:paraId="33925580">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m/s</w:t>
                  </w:r>
                </w:p>
              </w:tc>
            </w:tr>
            <w:tr w14:paraId="1E2363F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485" w:type="pct"/>
                  <w:vMerge w:val="continue"/>
                  <w:tcBorders>
                    <w:tl2br w:val="nil"/>
                    <w:tr2bl w:val="nil"/>
                  </w:tcBorders>
                  <w:noWrap w:val="0"/>
                  <w:vAlign w:val="center"/>
                </w:tcPr>
                <w:p w14:paraId="6F46F31B">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5" w:type="pct"/>
                  <w:vMerge w:val="continue"/>
                  <w:tcBorders>
                    <w:tl2br w:val="nil"/>
                    <w:tr2bl w:val="nil"/>
                  </w:tcBorders>
                  <w:noWrap w:val="0"/>
                  <w:vAlign w:val="center"/>
                </w:tcPr>
                <w:p w14:paraId="6D6D1DCB">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1284" w:type="pct"/>
                  <w:gridSpan w:val="2"/>
                  <w:tcBorders>
                    <w:tl2br w:val="nil"/>
                    <w:tr2bl w:val="nil"/>
                  </w:tcBorders>
                  <w:noWrap w:val="0"/>
                  <w:vAlign w:val="center"/>
                </w:tcPr>
                <w:p w14:paraId="35044945">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含氧量</w:t>
                  </w:r>
                </w:p>
              </w:tc>
              <w:tc>
                <w:tcPr>
                  <w:tcW w:w="591" w:type="pct"/>
                  <w:tcBorders>
                    <w:tl2br w:val="nil"/>
                    <w:tr2bl w:val="nil"/>
                  </w:tcBorders>
                  <w:noWrap w:val="0"/>
                  <w:vAlign w:val="center"/>
                </w:tcPr>
                <w:p w14:paraId="246191AD">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10.3</w:t>
                  </w:r>
                </w:p>
              </w:tc>
              <w:tc>
                <w:tcPr>
                  <w:tcW w:w="591" w:type="pct"/>
                  <w:tcBorders>
                    <w:tl2br w:val="nil"/>
                    <w:tr2bl w:val="nil"/>
                  </w:tcBorders>
                  <w:noWrap w:val="0"/>
                  <w:vAlign w:val="center"/>
                </w:tcPr>
                <w:p w14:paraId="0E950D0B">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10</w:t>
                  </w:r>
                </w:p>
              </w:tc>
              <w:tc>
                <w:tcPr>
                  <w:tcW w:w="591" w:type="pct"/>
                  <w:tcBorders>
                    <w:tl2br w:val="nil"/>
                    <w:tr2bl w:val="nil"/>
                  </w:tcBorders>
                  <w:noWrap w:val="0"/>
                  <w:vAlign w:val="center"/>
                </w:tcPr>
                <w:p w14:paraId="0E42B197">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10</w:t>
                  </w:r>
                </w:p>
              </w:tc>
              <w:tc>
                <w:tcPr>
                  <w:tcW w:w="485" w:type="pct"/>
                  <w:tcBorders>
                    <w:tl2br w:val="nil"/>
                    <w:tr2bl w:val="nil"/>
                  </w:tcBorders>
                  <w:noWrap w:val="0"/>
                  <w:vAlign w:val="center"/>
                </w:tcPr>
                <w:p w14:paraId="396A8B7C">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485" w:type="pct"/>
                  <w:tcBorders>
                    <w:tl2br w:val="nil"/>
                    <w:tr2bl w:val="nil"/>
                  </w:tcBorders>
                  <w:noWrap w:val="0"/>
                  <w:vAlign w:val="center"/>
                </w:tcPr>
                <w:p w14:paraId="2CF79F6C">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r>
            <w:tr w14:paraId="0B2A51A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485" w:type="pct"/>
                  <w:vMerge w:val="continue"/>
                  <w:tcBorders>
                    <w:tl2br w:val="nil"/>
                    <w:tr2bl w:val="nil"/>
                  </w:tcBorders>
                  <w:noWrap w:val="0"/>
                  <w:vAlign w:val="center"/>
                </w:tcPr>
                <w:p w14:paraId="5CD0C287">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5" w:type="pct"/>
                  <w:vMerge w:val="continue"/>
                  <w:tcBorders>
                    <w:tl2br w:val="nil"/>
                    <w:tr2bl w:val="nil"/>
                  </w:tcBorders>
                  <w:noWrap w:val="0"/>
                  <w:vAlign w:val="center"/>
                </w:tcPr>
                <w:p w14:paraId="57361D74">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5" w:type="pct"/>
                  <w:vMerge w:val="restart"/>
                  <w:tcBorders>
                    <w:tl2br w:val="nil"/>
                    <w:tr2bl w:val="nil"/>
                  </w:tcBorders>
                  <w:noWrap w:val="0"/>
                  <w:vAlign w:val="center"/>
                </w:tcPr>
                <w:p w14:paraId="5581A561">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二氧化硫</w:t>
                  </w:r>
                </w:p>
              </w:tc>
              <w:tc>
                <w:tcPr>
                  <w:tcW w:w="798" w:type="pct"/>
                  <w:tcBorders>
                    <w:tl2br w:val="nil"/>
                    <w:tr2bl w:val="nil"/>
                  </w:tcBorders>
                  <w:noWrap w:val="0"/>
                  <w:vAlign w:val="center"/>
                </w:tcPr>
                <w:p w14:paraId="150059AC">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实测浓度</w:t>
                  </w:r>
                </w:p>
              </w:tc>
              <w:tc>
                <w:tcPr>
                  <w:tcW w:w="591" w:type="pct"/>
                  <w:tcBorders>
                    <w:tl2br w:val="nil"/>
                    <w:tr2bl w:val="nil"/>
                  </w:tcBorders>
                  <w:noWrap w:val="0"/>
                  <w:vAlign w:val="center"/>
                </w:tcPr>
                <w:p w14:paraId="05EEBF05">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w:t>
                  </w:r>
                </w:p>
              </w:tc>
              <w:tc>
                <w:tcPr>
                  <w:tcW w:w="591" w:type="pct"/>
                  <w:tcBorders>
                    <w:tl2br w:val="nil"/>
                    <w:tr2bl w:val="nil"/>
                  </w:tcBorders>
                  <w:noWrap w:val="0"/>
                  <w:vAlign w:val="center"/>
                </w:tcPr>
                <w:p w14:paraId="1DCDAA8A">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4</w:t>
                  </w:r>
                </w:p>
              </w:tc>
              <w:tc>
                <w:tcPr>
                  <w:tcW w:w="591" w:type="pct"/>
                  <w:tcBorders>
                    <w:tl2br w:val="nil"/>
                    <w:tr2bl w:val="nil"/>
                  </w:tcBorders>
                  <w:noWrap w:val="0"/>
                  <w:vAlign w:val="center"/>
                </w:tcPr>
                <w:p w14:paraId="382855C9">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4</w:t>
                  </w:r>
                </w:p>
              </w:tc>
              <w:tc>
                <w:tcPr>
                  <w:tcW w:w="485" w:type="pct"/>
                  <w:tcBorders>
                    <w:tl2br w:val="nil"/>
                    <w:tr2bl w:val="nil"/>
                  </w:tcBorders>
                  <w:noWrap w:val="0"/>
                  <w:vAlign w:val="center"/>
                </w:tcPr>
                <w:p w14:paraId="41FE8DE2">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485" w:type="pct"/>
                  <w:tcBorders>
                    <w:tl2br w:val="nil"/>
                    <w:tr2bl w:val="nil"/>
                  </w:tcBorders>
                  <w:noWrap w:val="0"/>
                  <w:vAlign w:val="center"/>
                </w:tcPr>
                <w:p w14:paraId="608BDF92">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mg/m</w:t>
                  </w:r>
                  <w:r>
                    <w:rPr>
                      <w:rFonts w:hint="default" w:ascii="Times New Roman" w:hAnsi="Times New Roman" w:eastAsia="宋体" w:cs="Times New Roman"/>
                      <w:i w:val="0"/>
                      <w:iCs w:val="0"/>
                      <w:color w:val="auto"/>
                      <w:kern w:val="0"/>
                      <w:sz w:val="21"/>
                      <w:szCs w:val="21"/>
                      <w:u w:val="none" w:color="auto"/>
                      <w:vertAlign w:val="superscript"/>
                      <w:lang w:val="en-US" w:eastAsia="zh-CN" w:bidi="ar"/>
                    </w:rPr>
                    <w:t>3</w:t>
                  </w:r>
                </w:p>
              </w:tc>
            </w:tr>
            <w:tr w14:paraId="1B565B5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485" w:type="pct"/>
                  <w:vMerge w:val="continue"/>
                  <w:tcBorders>
                    <w:tl2br w:val="nil"/>
                    <w:tr2bl w:val="nil"/>
                  </w:tcBorders>
                  <w:noWrap w:val="0"/>
                  <w:vAlign w:val="center"/>
                </w:tcPr>
                <w:p w14:paraId="49B20AB2">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5" w:type="pct"/>
                  <w:vMerge w:val="continue"/>
                  <w:tcBorders>
                    <w:tl2br w:val="nil"/>
                    <w:tr2bl w:val="nil"/>
                  </w:tcBorders>
                  <w:noWrap w:val="0"/>
                  <w:vAlign w:val="center"/>
                </w:tcPr>
                <w:p w14:paraId="1E54B897">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5" w:type="pct"/>
                  <w:vMerge w:val="continue"/>
                  <w:tcBorders>
                    <w:tl2br w:val="nil"/>
                    <w:tr2bl w:val="nil"/>
                  </w:tcBorders>
                  <w:noWrap w:val="0"/>
                  <w:vAlign w:val="center"/>
                </w:tcPr>
                <w:p w14:paraId="366BF7E4">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798" w:type="pct"/>
                  <w:tcBorders>
                    <w:tl2br w:val="nil"/>
                    <w:tr2bl w:val="nil"/>
                  </w:tcBorders>
                  <w:noWrap w:val="0"/>
                  <w:vAlign w:val="center"/>
                </w:tcPr>
                <w:p w14:paraId="644D021E">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折算浓度</w:t>
                  </w:r>
                </w:p>
              </w:tc>
              <w:tc>
                <w:tcPr>
                  <w:tcW w:w="591" w:type="pct"/>
                  <w:tcBorders>
                    <w:tl2br w:val="nil"/>
                    <w:tr2bl w:val="nil"/>
                  </w:tcBorders>
                  <w:noWrap w:val="0"/>
                  <w:vAlign w:val="center"/>
                </w:tcPr>
                <w:p w14:paraId="46809E11">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4</w:t>
                  </w:r>
                </w:p>
              </w:tc>
              <w:tc>
                <w:tcPr>
                  <w:tcW w:w="591" w:type="pct"/>
                  <w:tcBorders>
                    <w:tl2br w:val="nil"/>
                    <w:tr2bl w:val="nil"/>
                  </w:tcBorders>
                  <w:noWrap w:val="0"/>
                  <w:vAlign w:val="center"/>
                </w:tcPr>
                <w:p w14:paraId="4F82DFEC">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6</w:t>
                  </w:r>
                </w:p>
              </w:tc>
              <w:tc>
                <w:tcPr>
                  <w:tcW w:w="591" w:type="pct"/>
                  <w:tcBorders>
                    <w:tl2br w:val="nil"/>
                    <w:tr2bl w:val="nil"/>
                  </w:tcBorders>
                  <w:noWrap w:val="0"/>
                  <w:vAlign w:val="center"/>
                </w:tcPr>
                <w:p w14:paraId="471AC541">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6</w:t>
                  </w:r>
                </w:p>
              </w:tc>
              <w:tc>
                <w:tcPr>
                  <w:tcW w:w="485" w:type="pct"/>
                  <w:tcBorders>
                    <w:tl2br w:val="nil"/>
                    <w:tr2bl w:val="nil"/>
                  </w:tcBorders>
                  <w:noWrap w:val="0"/>
                  <w:vAlign w:val="center"/>
                </w:tcPr>
                <w:p w14:paraId="5ED13324">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100</w:t>
                  </w:r>
                </w:p>
              </w:tc>
              <w:tc>
                <w:tcPr>
                  <w:tcW w:w="485" w:type="pct"/>
                  <w:tcBorders>
                    <w:tl2br w:val="nil"/>
                    <w:tr2bl w:val="nil"/>
                  </w:tcBorders>
                  <w:noWrap w:val="0"/>
                  <w:vAlign w:val="center"/>
                </w:tcPr>
                <w:p w14:paraId="48E1FFCD">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mg/m</w:t>
                  </w:r>
                  <w:r>
                    <w:rPr>
                      <w:rFonts w:hint="default" w:ascii="Times New Roman" w:hAnsi="Times New Roman" w:eastAsia="宋体" w:cs="Times New Roman"/>
                      <w:i w:val="0"/>
                      <w:iCs w:val="0"/>
                      <w:color w:val="auto"/>
                      <w:kern w:val="0"/>
                      <w:sz w:val="21"/>
                      <w:szCs w:val="21"/>
                      <w:u w:val="none" w:color="auto"/>
                      <w:vertAlign w:val="superscript"/>
                      <w:lang w:val="en-US" w:eastAsia="zh-CN" w:bidi="ar"/>
                    </w:rPr>
                    <w:t>3</w:t>
                  </w:r>
                </w:p>
              </w:tc>
            </w:tr>
            <w:tr w14:paraId="2765333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485" w:type="pct"/>
                  <w:vMerge w:val="continue"/>
                  <w:tcBorders>
                    <w:tl2br w:val="nil"/>
                    <w:tr2bl w:val="nil"/>
                  </w:tcBorders>
                  <w:noWrap w:val="0"/>
                  <w:vAlign w:val="center"/>
                </w:tcPr>
                <w:p w14:paraId="01115E57">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5" w:type="pct"/>
                  <w:vMerge w:val="continue"/>
                  <w:tcBorders>
                    <w:tl2br w:val="nil"/>
                    <w:tr2bl w:val="nil"/>
                  </w:tcBorders>
                  <w:noWrap w:val="0"/>
                  <w:vAlign w:val="center"/>
                </w:tcPr>
                <w:p w14:paraId="0FD457D4">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5" w:type="pct"/>
                  <w:vMerge w:val="continue"/>
                  <w:tcBorders>
                    <w:tl2br w:val="nil"/>
                    <w:tr2bl w:val="nil"/>
                  </w:tcBorders>
                  <w:noWrap w:val="0"/>
                  <w:vAlign w:val="center"/>
                </w:tcPr>
                <w:p w14:paraId="6195A6D4">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798" w:type="pct"/>
                  <w:tcBorders>
                    <w:tl2br w:val="nil"/>
                    <w:tr2bl w:val="nil"/>
                  </w:tcBorders>
                  <w:noWrap w:val="0"/>
                  <w:vAlign w:val="center"/>
                </w:tcPr>
                <w:p w14:paraId="5CD3AAE2">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排放速率</w:t>
                  </w:r>
                </w:p>
              </w:tc>
              <w:tc>
                <w:tcPr>
                  <w:tcW w:w="591" w:type="pct"/>
                  <w:tcBorders>
                    <w:tl2br w:val="nil"/>
                    <w:tr2bl w:val="nil"/>
                  </w:tcBorders>
                  <w:noWrap w:val="0"/>
                  <w:vAlign w:val="center"/>
                </w:tcPr>
                <w:p w14:paraId="7EDFFFB8">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0.34</w:t>
                  </w:r>
                </w:p>
              </w:tc>
              <w:tc>
                <w:tcPr>
                  <w:tcW w:w="591" w:type="pct"/>
                  <w:tcBorders>
                    <w:tl2br w:val="nil"/>
                    <w:tr2bl w:val="nil"/>
                  </w:tcBorders>
                  <w:noWrap w:val="0"/>
                  <w:vAlign w:val="center"/>
                </w:tcPr>
                <w:p w14:paraId="19283A0A">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0.47</w:t>
                  </w:r>
                </w:p>
              </w:tc>
              <w:tc>
                <w:tcPr>
                  <w:tcW w:w="591" w:type="pct"/>
                  <w:tcBorders>
                    <w:tl2br w:val="nil"/>
                    <w:tr2bl w:val="nil"/>
                  </w:tcBorders>
                  <w:noWrap w:val="0"/>
                  <w:vAlign w:val="center"/>
                </w:tcPr>
                <w:p w14:paraId="6F5B5976">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0.45</w:t>
                  </w:r>
                </w:p>
              </w:tc>
              <w:tc>
                <w:tcPr>
                  <w:tcW w:w="485" w:type="pct"/>
                  <w:tcBorders>
                    <w:tl2br w:val="nil"/>
                    <w:tr2bl w:val="nil"/>
                  </w:tcBorders>
                  <w:noWrap w:val="0"/>
                  <w:vAlign w:val="center"/>
                </w:tcPr>
                <w:p w14:paraId="609F6288">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485" w:type="pct"/>
                  <w:tcBorders>
                    <w:tl2br w:val="nil"/>
                    <w:tr2bl w:val="nil"/>
                  </w:tcBorders>
                  <w:noWrap w:val="0"/>
                  <w:vAlign w:val="center"/>
                </w:tcPr>
                <w:p w14:paraId="22CCAD1F">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kg/h</w:t>
                  </w:r>
                </w:p>
              </w:tc>
            </w:tr>
            <w:tr w14:paraId="536D343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485" w:type="pct"/>
                  <w:vMerge w:val="continue"/>
                  <w:tcBorders>
                    <w:tl2br w:val="nil"/>
                    <w:tr2bl w:val="nil"/>
                  </w:tcBorders>
                  <w:noWrap w:val="0"/>
                  <w:vAlign w:val="center"/>
                </w:tcPr>
                <w:p w14:paraId="2CBBBF8B">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5" w:type="pct"/>
                  <w:vMerge w:val="continue"/>
                  <w:tcBorders>
                    <w:tl2br w:val="nil"/>
                    <w:tr2bl w:val="nil"/>
                  </w:tcBorders>
                  <w:noWrap w:val="0"/>
                  <w:vAlign w:val="center"/>
                </w:tcPr>
                <w:p w14:paraId="1A80CBA4">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5" w:type="pct"/>
                  <w:vMerge w:val="restart"/>
                  <w:tcBorders>
                    <w:tl2br w:val="nil"/>
                    <w:tr2bl w:val="nil"/>
                  </w:tcBorders>
                  <w:noWrap w:val="0"/>
                  <w:vAlign w:val="center"/>
                </w:tcPr>
                <w:p w14:paraId="7F4C1851">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氮氧化物</w:t>
                  </w:r>
                </w:p>
              </w:tc>
              <w:tc>
                <w:tcPr>
                  <w:tcW w:w="798" w:type="pct"/>
                  <w:tcBorders>
                    <w:tl2br w:val="nil"/>
                    <w:tr2bl w:val="nil"/>
                  </w:tcBorders>
                  <w:noWrap w:val="0"/>
                  <w:vAlign w:val="center"/>
                </w:tcPr>
                <w:p w14:paraId="27B2C1C9">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实测浓度</w:t>
                  </w:r>
                </w:p>
              </w:tc>
              <w:tc>
                <w:tcPr>
                  <w:tcW w:w="591" w:type="pct"/>
                  <w:tcBorders>
                    <w:tl2br w:val="nil"/>
                    <w:tr2bl w:val="nil"/>
                  </w:tcBorders>
                  <w:noWrap w:val="0"/>
                  <w:vAlign w:val="center"/>
                </w:tcPr>
                <w:p w14:paraId="62D7ABB0">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3（ND）</w:t>
                  </w:r>
                </w:p>
              </w:tc>
              <w:tc>
                <w:tcPr>
                  <w:tcW w:w="591" w:type="pct"/>
                  <w:tcBorders>
                    <w:tl2br w:val="nil"/>
                    <w:tr2bl w:val="nil"/>
                  </w:tcBorders>
                  <w:noWrap w:val="0"/>
                  <w:vAlign w:val="center"/>
                </w:tcPr>
                <w:p w14:paraId="298BDA66">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3（ND）</w:t>
                  </w:r>
                </w:p>
              </w:tc>
              <w:tc>
                <w:tcPr>
                  <w:tcW w:w="591" w:type="pct"/>
                  <w:tcBorders>
                    <w:tl2br w:val="nil"/>
                    <w:tr2bl w:val="nil"/>
                  </w:tcBorders>
                  <w:noWrap w:val="0"/>
                  <w:vAlign w:val="center"/>
                </w:tcPr>
                <w:p w14:paraId="10DD1E29">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3（ND）</w:t>
                  </w:r>
                </w:p>
              </w:tc>
              <w:tc>
                <w:tcPr>
                  <w:tcW w:w="485" w:type="pct"/>
                  <w:tcBorders>
                    <w:tl2br w:val="nil"/>
                    <w:tr2bl w:val="nil"/>
                  </w:tcBorders>
                  <w:noWrap w:val="0"/>
                  <w:vAlign w:val="center"/>
                </w:tcPr>
                <w:p w14:paraId="57C8206F">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485" w:type="pct"/>
                  <w:tcBorders>
                    <w:tl2br w:val="nil"/>
                    <w:tr2bl w:val="nil"/>
                  </w:tcBorders>
                  <w:noWrap w:val="0"/>
                  <w:vAlign w:val="center"/>
                </w:tcPr>
                <w:p w14:paraId="62F176B7">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mg/m</w:t>
                  </w:r>
                  <w:r>
                    <w:rPr>
                      <w:rFonts w:hint="default" w:ascii="Times New Roman" w:hAnsi="Times New Roman" w:eastAsia="宋体" w:cs="Times New Roman"/>
                      <w:i w:val="0"/>
                      <w:iCs w:val="0"/>
                      <w:color w:val="auto"/>
                      <w:kern w:val="0"/>
                      <w:sz w:val="21"/>
                      <w:szCs w:val="21"/>
                      <w:u w:val="none" w:color="auto"/>
                      <w:vertAlign w:val="superscript"/>
                      <w:lang w:val="en-US" w:eastAsia="zh-CN" w:bidi="ar"/>
                    </w:rPr>
                    <w:t>3</w:t>
                  </w:r>
                </w:p>
              </w:tc>
            </w:tr>
            <w:tr w14:paraId="063DFEF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485" w:type="pct"/>
                  <w:vMerge w:val="continue"/>
                  <w:tcBorders>
                    <w:tl2br w:val="nil"/>
                    <w:tr2bl w:val="nil"/>
                  </w:tcBorders>
                  <w:noWrap w:val="0"/>
                  <w:vAlign w:val="center"/>
                </w:tcPr>
                <w:p w14:paraId="34EA7F06">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5" w:type="pct"/>
                  <w:vMerge w:val="continue"/>
                  <w:tcBorders>
                    <w:tl2br w:val="nil"/>
                    <w:tr2bl w:val="nil"/>
                  </w:tcBorders>
                  <w:noWrap w:val="0"/>
                  <w:vAlign w:val="center"/>
                </w:tcPr>
                <w:p w14:paraId="711C128F">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5" w:type="pct"/>
                  <w:vMerge w:val="continue"/>
                  <w:tcBorders>
                    <w:tl2br w:val="nil"/>
                    <w:tr2bl w:val="nil"/>
                  </w:tcBorders>
                  <w:noWrap w:val="0"/>
                  <w:vAlign w:val="center"/>
                </w:tcPr>
                <w:p w14:paraId="0C735B28">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798" w:type="pct"/>
                  <w:tcBorders>
                    <w:tl2br w:val="nil"/>
                    <w:tr2bl w:val="nil"/>
                  </w:tcBorders>
                  <w:noWrap w:val="0"/>
                  <w:vAlign w:val="center"/>
                </w:tcPr>
                <w:p w14:paraId="1F2CC916">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折算浓度</w:t>
                  </w:r>
                </w:p>
              </w:tc>
              <w:tc>
                <w:tcPr>
                  <w:tcW w:w="591" w:type="pct"/>
                  <w:tcBorders>
                    <w:tl2br w:val="nil"/>
                    <w:tr2bl w:val="nil"/>
                  </w:tcBorders>
                  <w:noWrap w:val="0"/>
                  <w:vAlign w:val="center"/>
                </w:tcPr>
                <w:p w14:paraId="0A5AAE25">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4</w:t>
                  </w:r>
                </w:p>
              </w:tc>
              <w:tc>
                <w:tcPr>
                  <w:tcW w:w="591" w:type="pct"/>
                  <w:tcBorders>
                    <w:tl2br w:val="nil"/>
                    <w:tr2bl w:val="nil"/>
                  </w:tcBorders>
                  <w:noWrap w:val="0"/>
                  <w:vAlign w:val="center"/>
                </w:tcPr>
                <w:p w14:paraId="18CB48B7">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4</w:t>
                  </w:r>
                </w:p>
              </w:tc>
              <w:tc>
                <w:tcPr>
                  <w:tcW w:w="591" w:type="pct"/>
                  <w:tcBorders>
                    <w:tl2br w:val="nil"/>
                    <w:tr2bl w:val="nil"/>
                  </w:tcBorders>
                  <w:noWrap w:val="0"/>
                  <w:vAlign w:val="center"/>
                </w:tcPr>
                <w:p w14:paraId="0631AA8C">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3（ND）</w:t>
                  </w:r>
                </w:p>
              </w:tc>
              <w:tc>
                <w:tcPr>
                  <w:tcW w:w="485" w:type="pct"/>
                  <w:tcBorders>
                    <w:tl2br w:val="nil"/>
                    <w:tr2bl w:val="nil"/>
                  </w:tcBorders>
                  <w:noWrap w:val="0"/>
                  <w:vAlign w:val="center"/>
                </w:tcPr>
                <w:p w14:paraId="39562456">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240</w:t>
                  </w:r>
                </w:p>
              </w:tc>
              <w:tc>
                <w:tcPr>
                  <w:tcW w:w="485" w:type="pct"/>
                  <w:tcBorders>
                    <w:tl2br w:val="nil"/>
                    <w:tr2bl w:val="nil"/>
                  </w:tcBorders>
                  <w:noWrap w:val="0"/>
                  <w:vAlign w:val="center"/>
                </w:tcPr>
                <w:p w14:paraId="2651F37A">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mg/m</w:t>
                  </w:r>
                  <w:r>
                    <w:rPr>
                      <w:rFonts w:hint="default" w:ascii="Times New Roman" w:hAnsi="Times New Roman" w:eastAsia="宋体" w:cs="Times New Roman"/>
                      <w:i w:val="0"/>
                      <w:iCs w:val="0"/>
                      <w:color w:val="auto"/>
                      <w:kern w:val="0"/>
                      <w:sz w:val="21"/>
                      <w:szCs w:val="21"/>
                      <w:u w:val="none" w:color="auto"/>
                      <w:vertAlign w:val="superscript"/>
                      <w:lang w:val="en-US" w:eastAsia="zh-CN" w:bidi="ar"/>
                    </w:rPr>
                    <w:t>3</w:t>
                  </w:r>
                </w:p>
              </w:tc>
            </w:tr>
            <w:tr w14:paraId="22A10AF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485" w:type="pct"/>
                  <w:vMerge w:val="continue"/>
                  <w:tcBorders>
                    <w:tl2br w:val="nil"/>
                    <w:tr2bl w:val="nil"/>
                  </w:tcBorders>
                  <w:noWrap w:val="0"/>
                  <w:vAlign w:val="center"/>
                </w:tcPr>
                <w:p w14:paraId="79741FA4">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5" w:type="pct"/>
                  <w:vMerge w:val="continue"/>
                  <w:tcBorders>
                    <w:tl2br w:val="nil"/>
                    <w:tr2bl w:val="nil"/>
                  </w:tcBorders>
                  <w:noWrap w:val="0"/>
                  <w:vAlign w:val="center"/>
                </w:tcPr>
                <w:p w14:paraId="7F4AB4E6">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5" w:type="pct"/>
                  <w:vMerge w:val="continue"/>
                  <w:tcBorders>
                    <w:tl2br w:val="nil"/>
                    <w:tr2bl w:val="nil"/>
                  </w:tcBorders>
                  <w:noWrap w:val="0"/>
                  <w:vAlign w:val="center"/>
                </w:tcPr>
                <w:p w14:paraId="695563C7">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798" w:type="pct"/>
                  <w:tcBorders>
                    <w:tl2br w:val="nil"/>
                    <w:tr2bl w:val="nil"/>
                  </w:tcBorders>
                  <w:noWrap w:val="0"/>
                  <w:vAlign w:val="center"/>
                </w:tcPr>
                <w:p w14:paraId="6627F28D">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排放速率</w:t>
                  </w:r>
                </w:p>
              </w:tc>
              <w:tc>
                <w:tcPr>
                  <w:tcW w:w="591" w:type="pct"/>
                  <w:tcBorders>
                    <w:tl2br w:val="nil"/>
                    <w:tr2bl w:val="nil"/>
                  </w:tcBorders>
                  <w:noWrap w:val="0"/>
                  <w:vAlign w:val="center"/>
                </w:tcPr>
                <w:p w14:paraId="6E66725A">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0.29</w:t>
                  </w:r>
                </w:p>
              </w:tc>
              <w:tc>
                <w:tcPr>
                  <w:tcW w:w="591" w:type="pct"/>
                  <w:tcBorders>
                    <w:tl2br w:val="nil"/>
                    <w:tr2bl w:val="nil"/>
                  </w:tcBorders>
                  <w:noWrap w:val="0"/>
                  <w:vAlign w:val="center"/>
                </w:tcPr>
                <w:p w14:paraId="22A4A623">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0.3</w:t>
                  </w:r>
                </w:p>
              </w:tc>
              <w:tc>
                <w:tcPr>
                  <w:tcW w:w="591" w:type="pct"/>
                  <w:tcBorders>
                    <w:tl2br w:val="nil"/>
                    <w:tr2bl w:val="nil"/>
                  </w:tcBorders>
                  <w:noWrap w:val="0"/>
                  <w:vAlign w:val="center"/>
                </w:tcPr>
                <w:p w14:paraId="5F8A109E">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0.17</w:t>
                  </w:r>
                </w:p>
              </w:tc>
              <w:tc>
                <w:tcPr>
                  <w:tcW w:w="485" w:type="pct"/>
                  <w:tcBorders>
                    <w:tl2br w:val="nil"/>
                    <w:tr2bl w:val="nil"/>
                  </w:tcBorders>
                  <w:noWrap w:val="0"/>
                  <w:vAlign w:val="center"/>
                </w:tcPr>
                <w:p w14:paraId="296C00BE">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0.385</w:t>
                  </w:r>
                </w:p>
              </w:tc>
              <w:tc>
                <w:tcPr>
                  <w:tcW w:w="485" w:type="pct"/>
                  <w:tcBorders>
                    <w:tl2br w:val="nil"/>
                    <w:tr2bl w:val="nil"/>
                  </w:tcBorders>
                  <w:noWrap w:val="0"/>
                  <w:vAlign w:val="center"/>
                </w:tcPr>
                <w:p w14:paraId="5FD0836E">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kg/h</w:t>
                  </w:r>
                </w:p>
              </w:tc>
            </w:tr>
            <w:tr w14:paraId="267CD88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485" w:type="pct"/>
                  <w:vMerge w:val="continue"/>
                  <w:tcBorders>
                    <w:tl2br w:val="nil"/>
                    <w:tr2bl w:val="nil"/>
                  </w:tcBorders>
                  <w:noWrap w:val="0"/>
                  <w:vAlign w:val="center"/>
                </w:tcPr>
                <w:p w14:paraId="7A06D89F">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5" w:type="pct"/>
                  <w:vMerge w:val="continue"/>
                  <w:tcBorders>
                    <w:tl2br w:val="nil"/>
                    <w:tr2bl w:val="nil"/>
                  </w:tcBorders>
                  <w:noWrap w:val="0"/>
                  <w:vAlign w:val="center"/>
                </w:tcPr>
                <w:p w14:paraId="65B1CAF3">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5" w:type="pct"/>
                  <w:vMerge w:val="restart"/>
                  <w:tcBorders>
                    <w:tl2br w:val="nil"/>
                    <w:tr2bl w:val="nil"/>
                  </w:tcBorders>
                  <w:noWrap w:val="0"/>
                  <w:vAlign w:val="center"/>
                </w:tcPr>
                <w:p w14:paraId="3193A8A3">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颗粒物</w:t>
                  </w:r>
                </w:p>
              </w:tc>
              <w:tc>
                <w:tcPr>
                  <w:tcW w:w="798" w:type="pct"/>
                  <w:tcBorders>
                    <w:tl2br w:val="nil"/>
                    <w:tr2bl w:val="nil"/>
                  </w:tcBorders>
                  <w:noWrap w:val="0"/>
                  <w:vAlign w:val="center"/>
                </w:tcPr>
                <w:p w14:paraId="1645A726">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实测浓度</w:t>
                  </w:r>
                </w:p>
              </w:tc>
              <w:tc>
                <w:tcPr>
                  <w:tcW w:w="591" w:type="pct"/>
                  <w:tcBorders>
                    <w:tl2br w:val="nil"/>
                    <w:tr2bl w:val="nil"/>
                  </w:tcBorders>
                  <w:noWrap w:val="0"/>
                  <w:vAlign w:val="center"/>
                </w:tcPr>
                <w:p w14:paraId="62D88D0E">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2.6</w:t>
                  </w:r>
                </w:p>
              </w:tc>
              <w:tc>
                <w:tcPr>
                  <w:tcW w:w="591" w:type="pct"/>
                  <w:tcBorders>
                    <w:tl2br w:val="nil"/>
                    <w:tr2bl w:val="nil"/>
                  </w:tcBorders>
                  <w:noWrap w:val="0"/>
                  <w:vAlign w:val="center"/>
                </w:tcPr>
                <w:p w14:paraId="35929E20">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w:t>
                  </w:r>
                </w:p>
              </w:tc>
              <w:tc>
                <w:tcPr>
                  <w:tcW w:w="591" w:type="pct"/>
                  <w:tcBorders>
                    <w:tl2br w:val="nil"/>
                    <w:tr2bl w:val="nil"/>
                  </w:tcBorders>
                  <w:noWrap w:val="0"/>
                  <w:vAlign w:val="center"/>
                </w:tcPr>
                <w:p w14:paraId="2903830C">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2.6</w:t>
                  </w:r>
                </w:p>
              </w:tc>
              <w:tc>
                <w:tcPr>
                  <w:tcW w:w="485" w:type="pct"/>
                  <w:tcBorders>
                    <w:tl2br w:val="nil"/>
                    <w:tr2bl w:val="nil"/>
                  </w:tcBorders>
                  <w:noWrap w:val="0"/>
                  <w:vAlign w:val="center"/>
                </w:tcPr>
                <w:p w14:paraId="5919BBDB">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30</w:t>
                  </w:r>
                </w:p>
              </w:tc>
              <w:tc>
                <w:tcPr>
                  <w:tcW w:w="485" w:type="pct"/>
                  <w:tcBorders>
                    <w:tl2br w:val="nil"/>
                    <w:tr2bl w:val="nil"/>
                  </w:tcBorders>
                  <w:noWrap w:val="0"/>
                  <w:vAlign w:val="center"/>
                </w:tcPr>
                <w:p w14:paraId="40FF7C9A">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mg/m</w:t>
                  </w:r>
                  <w:r>
                    <w:rPr>
                      <w:rFonts w:hint="default" w:ascii="Times New Roman" w:hAnsi="Times New Roman" w:eastAsia="宋体" w:cs="Times New Roman"/>
                      <w:i w:val="0"/>
                      <w:iCs w:val="0"/>
                      <w:color w:val="auto"/>
                      <w:kern w:val="0"/>
                      <w:sz w:val="21"/>
                      <w:szCs w:val="21"/>
                      <w:u w:val="none" w:color="auto"/>
                      <w:vertAlign w:val="superscript"/>
                      <w:lang w:val="en-US" w:eastAsia="zh-CN" w:bidi="ar"/>
                    </w:rPr>
                    <w:t>3</w:t>
                  </w:r>
                </w:p>
              </w:tc>
            </w:tr>
            <w:tr w14:paraId="0C597CC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485" w:type="pct"/>
                  <w:vMerge w:val="continue"/>
                  <w:tcBorders>
                    <w:tl2br w:val="nil"/>
                    <w:tr2bl w:val="nil"/>
                  </w:tcBorders>
                  <w:noWrap w:val="0"/>
                  <w:vAlign w:val="center"/>
                </w:tcPr>
                <w:p w14:paraId="4B0D3C0E">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5" w:type="pct"/>
                  <w:vMerge w:val="continue"/>
                  <w:tcBorders>
                    <w:tl2br w:val="nil"/>
                    <w:tr2bl w:val="nil"/>
                  </w:tcBorders>
                  <w:noWrap w:val="0"/>
                  <w:vAlign w:val="center"/>
                </w:tcPr>
                <w:p w14:paraId="771AE05E">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5" w:type="pct"/>
                  <w:vMerge w:val="continue"/>
                  <w:tcBorders>
                    <w:tl2br w:val="nil"/>
                    <w:tr2bl w:val="nil"/>
                  </w:tcBorders>
                  <w:noWrap w:val="0"/>
                  <w:vAlign w:val="center"/>
                </w:tcPr>
                <w:p w14:paraId="012F2468">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798" w:type="pct"/>
                  <w:tcBorders>
                    <w:tl2br w:val="nil"/>
                    <w:tr2bl w:val="nil"/>
                  </w:tcBorders>
                  <w:noWrap w:val="0"/>
                  <w:vAlign w:val="center"/>
                </w:tcPr>
                <w:p w14:paraId="17706785">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排放速率</w:t>
                  </w:r>
                </w:p>
              </w:tc>
              <w:tc>
                <w:tcPr>
                  <w:tcW w:w="591" w:type="pct"/>
                  <w:tcBorders>
                    <w:tl2br w:val="nil"/>
                    <w:tr2bl w:val="nil"/>
                  </w:tcBorders>
                  <w:noWrap w:val="0"/>
                  <w:vAlign w:val="center"/>
                </w:tcPr>
                <w:p w14:paraId="64BEA34F">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0.3</w:t>
                  </w:r>
                </w:p>
              </w:tc>
              <w:tc>
                <w:tcPr>
                  <w:tcW w:w="591" w:type="pct"/>
                  <w:tcBorders>
                    <w:tl2br w:val="nil"/>
                    <w:tr2bl w:val="nil"/>
                  </w:tcBorders>
                  <w:noWrap w:val="0"/>
                  <w:vAlign w:val="center"/>
                </w:tcPr>
                <w:p w14:paraId="795FC231">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0.35</w:t>
                  </w:r>
                </w:p>
              </w:tc>
              <w:tc>
                <w:tcPr>
                  <w:tcW w:w="591" w:type="pct"/>
                  <w:tcBorders>
                    <w:tl2br w:val="nil"/>
                    <w:tr2bl w:val="nil"/>
                  </w:tcBorders>
                  <w:noWrap w:val="0"/>
                  <w:vAlign w:val="center"/>
                </w:tcPr>
                <w:p w14:paraId="47CF285F">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0.3</w:t>
                  </w:r>
                </w:p>
              </w:tc>
              <w:tc>
                <w:tcPr>
                  <w:tcW w:w="485" w:type="pct"/>
                  <w:tcBorders>
                    <w:tl2br w:val="nil"/>
                    <w:tr2bl w:val="nil"/>
                  </w:tcBorders>
                  <w:noWrap w:val="0"/>
                  <w:vAlign w:val="center"/>
                </w:tcPr>
                <w:p w14:paraId="45BC50A3">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485" w:type="pct"/>
                  <w:tcBorders>
                    <w:tl2br w:val="nil"/>
                    <w:tr2bl w:val="nil"/>
                  </w:tcBorders>
                  <w:noWrap w:val="0"/>
                  <w:vAlign w:val="center"/>
                </w:tcPr>
                <w:p w14:paraId="3E1E1723">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kg/h</w:t>
                  </w:r>
                </w:p>
              </w:tc>
            </w:tr>
            <w:tr w14:paraId="1F88BC1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485" w:type="pct"/>
                  <w:vMerge w:val="continue"/>
                  <w:tcBorders>
                    <w:tl2br w:val="nil"/>
                    <w:tr2bl w:val="nil"/>
                  </w:tcBorders>
                  <w:noWrap w:val="0"/>
                  <w:vAlign w:val="center"/>
                </w:tcPr>
                <w:p w14:paraId="75AE0D49">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5" w:type="pct"/>
                  <w:vMerge w:val="continue"/>
                  <w:tcBorders>
                    <w:tl2br w:val="nil"/>
                    <w:tr2bl w:val="nil"/>
                  </w:tcBorders>
                  <w:noWrap w:val="0"/>
                  <w:vAlign w:val="center"/>
                </w:tcPr>
                <w:p w14:paraId="3B18112C">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5" w:type="pct"/>
                  <w:vMerge w:val="restart"/>
                  <w:tcBorders>
                    <w:tl2br w:val="nil"/>
                    <w:tr2bl w:val="nil"/>
                  </w:tcBorders>
                  <w:noWrap w:val="0"/>
                  <w:vAlign w:val="center"/>
                </w:tcPr>
                <w:p w14:paraId="2FF41DF7">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氯化氢</w:t>
                  </w:r>
                </w:p>
              </w:tc>
              <w:tc>
                <w:tcPr>
                  <w:tcW w:w="798" w:type="pct"/>
                  <w:tcBorders>
                    <w:tl2br w:val="nil"/>
                    <w:tr2bl w:val="nil"/>
                  </w:tcBorders>
                  <w:noWrap w:val="0"/>
                  <w:vAlign w:val="center"/>
                </w:tcPr>
                <w:p w14:paraId="3D7AD873">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实测浓度</w:t>
                  </w:r>
                </w:p>
              </w:tc>
              <w:tc>
                <w:tcPr>
                  <w:tcW w:w="591" w:type="pct"/>
                  <w:tcBorders>
                    <w:tl2br w:val="nil"/>
                    <w:tr2bl w:val="nil"/>
                  </w:tcBorders>
                  <w:noWrap w:val="0"/>
                  <w:vAlign w:val="center"/>
                </w:tcPr>
                <w:p w14:paraId="41D0B4A9">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1.1</w:t>
                  </w:r>
                </w:p>
              </w:tc>
              <w:tc>
                <w:tcPr>
                  <w:tcW w:w="591" w:type="pct"/>
                  <w:tcBorders>
                    <w:tl2br w:val="nil"/>
                    <w:tr2bl w:val="nil"/>
                  </w:tcBorders>
                  <w:noWrap w:val="0"/>
                  <w:vAlign w:val="center"/>
                </w:tcPr>
                <w:p w14:paraId="4AF3427C">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lang w:val="en-US"/>
                    </w:rPr>
                  </w:pPr>
                  <w:r>
                    <w:rPr>
                      <w:rFonts w:hint="default" w:ascii="Times New Roman" w:hAnsi="Times New Roman" w:eastAsia="宋体" w:cs="Times New Roman"/>
                      <w:i w:val="0"/>
                      <w:iCs w:val="0"/>
                      <w:color w:val="auto"/>
                      <w:kern w:val="0"/>
                      <w:sz w:val="21"/>
                      <w:szCs w:val="21"/>
                      <w:u w:val="none" w:color="auto"/>
                      <w:lang w:val="en-US" w:eastAsia="zh-CN" w:bidi="ar"/>
                    </w:rPr>
                    <w:t>0.961</w:t>
                  </w:r>
                </w:p>
              </w:tc>
              <w:tc>
                <w:tcPr>
                  <w:tcW w:w="591" w:type="pct"/>
                  <w:tcBorders>
                    <w:tl2br w:val="nil"/>
                    <w:tr2bl w:val="nil"/>
                  </w:tcBorders>
                  <w:noWrap w:val="0"/>
                  <w:vAlign w:val="center"/>
                </w:tcPr>
                <w:p w14:paraId="1194D2E7">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1.22</w:t>
                  </w:r>
                </w:p>
              </w:tc>
              <w:tc>
                <w:tcPr>
                  <w:tcW w:w="485" w:type="pct"/>
                  <w:tcBorders>
                    <w:tl2br w:val="nil"/>
                    <w:tr2bl w:val="nil"/>
                  </w:tcBorders>
                  <w:noWrap w:val="0"/>
                  <w:vAlign w:val="center"/>
                </w:tcPr>
                <w:p w14:paraId="0B07B1C0">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100</w:t>
                  </w:r>
                </w:p>
              </w:tc>
              <w:tc>
                <w:tcPr>
                  <w:tcW w:w="485" w:type="pct"/>
                  <w:tcBorders>
                    <w:tl2br w:val="nil"/>
                    <w:tr2bl w:val="nil"/>
                  </w:tcBorders>
                  <w:noWrap w:val="0"/>
                  <w:vAlign w:val="center"/>
                </w:tcPr>
                <w:p w14:paraId="0200E844">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mg/m</w:t>
                  </w:r>
                  <w:r>
                    <w:rPr>
                      <w:rFonts w:hint="default" w:ascii="Times New Roman" w:hAnsi="Times New Roman" w:eastAsia="宋体" w:cs="Times New Roman"/>
                      <w:i w:val="0"/>
                      <w:iCs w:val="0"/>
                      <w:color w:val="auto"/>
                      <w:kern w:val="0"/>
                      <w:sz w:val="21"/>
                      <w:szCs w:val="21"/>
                      <w:u w:val="none" w:color="auto"/>
                      <w:vertAlign w:val="superscript"/>
                      <w:lang w:val="en-US" w:eastAsia="zh-CN" w:bidi="ar"/>
                    </w:rPr>
                    <w:t>3</w:t>
                  </w:r>
                </w:p>
              </w:tc>
            </w:tr>
            <w:tr w14:paraId="59EEF28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485" w:type="pct"/>
                  <w:vMerge w:val="continue"/>
                  <w:tcBorders>
                    <w:tl2br w:val="nil"/>
                    <w:tr2bl w:val="nil"/>
                  </w:tcBorders>
                  <w:noWrap w:val="0"/>
                  <w:vAlign w:val="center"/>
                </w:tcPr>
                <w:p w14:paraId="5208665A">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5" w:type="pct"/>
                  <w:vMerge w:val="continue"/>
                  <w:tcBorders>
                    <w:tl2br w:val="nil"/>
                    <w:tr2bl w:val="nil"/>
                  </w:tcBorders>
                  <w:noWrap w:val="0"/>
                  <w:vAlign w:val="center"/>
                </w:tcPr>
                <w:p w14:paraId="1AC752F2">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5" w:type="pct"/>
                  <w:vMerge w:val="continue"/>
                  <w:tcBorders>
                    <w:tl2br w:val="nil"/>
                    <w:tr2bl w:val="nil"/>
                  </w:tcBorders>
                  <w:noWrap w:val="0"/>
                  <w:vAlign w:val="center"/>
                </w:tcPr>
                <w:p w14:paraId="1C536610">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798" w:type="pct"/>
                  <w:tcBorders>
                    <w:tl2br w:val="nil"/>
                    <w:tr2bl w:val="nil"/>
                  </w:tcBorders>
                  <w:noWrap w:val="0"/>
                  <w:vAlign w:val="center"/>
                </w:tcPr>
                <w:p w14:paraId="1137A47E">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排放速率</w:t>
                  </w:r>
                </w:p>
              </w:tc>
              <w:tc>
                <w:tcPr>
                  <w:tcW w:w="591" w:type="pct"/>
                  <w:tcBorders>
                    <w:tl2br w:val="nil"/>
                    <w:tr2bl w:val="nil"/>
                  </w:tcBorders>
                  <w:noWrap w:val="0"/>
                  <w:vAlign w:val="center"/>
                </w:tcPr>
                <w:p w14:paraId="403DB1DD">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0.13</w:t>
                  </w:r>
                </w:p>
              </w:tc>
              <w:tc>
                <w:tcPr>
                  <w:tcW w:w="591" w:type="pct"/>
                  <w:tcBorders>
                    <w:tl2br w:val="nil"/>
                    <w:tr2bl w:val="nil"/>
                  </w:tcBorders>
                  <w:noWrap w:val="0"/>
                  <w:vAlign w:val="center"/>
                </w:tcPr>
                <w:p w14:paraId="475793EC">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0.11</w:t>
                  </w:r>
                </w:p>
              </w:tc>
              <w:tc>
                <w:tcPr>
                  <w:tcW w:w="591" w:type="pct"/>
                  <w:tcBorders>
                    <w:tl2br w:val="nil"/>
                    <w:tr2bl w:val="nil"/>
                  </w:tcBorders>
                  <w:noWrap w:val="0"/>
                  <w:vAlign w:val="center"/>
                </w:tcPr>
                <w:p w14:paraId="59AF3595">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0.14</w:t>
                  </w:r>
                </w:p>
              </w:tc>
              <w:tc>
                <w:tcPr>
                  <w:tcW w:w="485" w:type="pct"/>
                  <w:tcBorders>
                    <w:tl2br w:val="nil"/>
                    <w:tr2bl w:val="nil"/>
                  </w:tcBorders>
                  <w:noWrap w:val="0"/>
                  <w:vAlign w:val="center"/>
                </w:tcPr>
                <w:p w14:paraId="47DF8EBA">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1.64</w:t>
                  </w:r>
                </w:p>
              </w:tc>
              <w:tc>
                <w:tcPr>
                  <w:tcW w:w="485" w:type="pct"/>
                  <w:tcBorders>
                    <w:tl2br w:val="nil"/>
                    <w:tr2bl w:val="nil"/>
                  </w:tcBorders>
                  <w:noWrap w:val="0"/>
                  <w:vAlign w:val="center"/>
                </w:tcPr>
                <w:p w14:paraId="653F1213">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kg/h</w:t>
                  </w:r>
                </w:p>
              </w:tc>
            </w:tr>
            <w:tr w14:paraId="69ADB6B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485" w:type="pct"/>
                  <w:vMerge w:val="continue"/>
                  <w:tcBorders>
                    <w:tl2br w:val="nil"/>
                    <w:tr2bl w:val="nil"/>
                  </w:tcBorders>
                  <w:noWrap w:val="0"/>
                  <w:vAlign w:val="center"/>
                </w:tcPr>
                <w:p w14:paraId="167C72C4">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5" w:type="pct"/>
                  <w:vMerge w:val="continue"/>
                  <w:tcBorders>
                    <w:tl2br w:val="nil"/>
                    <w:tr2bl w:val="nil"/>
                  </w:tcBorders>
                  <w:noWrap w:val="0"/>
                  <w:vAlign w:val="center"/>
                </w:tcPr>
                <w:p w14:paraId="656DE72E">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5" w:type="pct"/>
                  <w:vMerge w:val="restart"/>
                  <w:tcBorders>
                    <w:tl2br w:val="nil"/>
                    <w:tr2bl w:val="nil"/>
                  </w:tcBorders>
                  <w:noWrap w:val="0"/>
                  <w:vAlign w:val="center"/>
                </w:tcPr>
                <w:p w14:paraId="01254A09">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镍及其化合物</w:t>
                  </w:r>
                </w:p>
              </w:tc>
              <w:tc>
                <w:tcPr>
                  <w:tcW w:w="798" w:type="pct"/>
                  <w:tcBorders>
                    <w:tl2br w:val="nil"/>
                    <w:tr2bl w:val="nil"/>
                  </w:tcBorders>
                  <w:noWrap w:val="0"/>
                  <w:vAlign w:val="center"/>
                </w:tcPr>
                <w:p w14:paraId="4D58C964">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实测浓度</w:t>
                  </w:r>
                </w:p>
              </w:tc>
              <w:tc>
                <w:tcPr>
                  <w:tcW w:w="591" w:type="pct"/>
                  <w:tcBorders>
                    <w:tl2br w:val="nil"/>
                    <w:tr2bl w:val="nil"/>
                  </w:tcBorders>
                  <w:noWrap w:val="0"/>
                  <w:vAlign w:val="center"/>
                </w:tcPr>
                <w:p w14:paraId="1D8A46BD">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3.07×10</w:t>
                  </w:r>
                  <w:r>
                    <w:rPr>
                      <w:rFonts w:hint="default" w:ascii="Times New Roman" w:hAnsi="Times New Roman" w:eastAsia="宋体" w:cs="Times New Roman"/>
                      <w:i w:val="0"/>
                      <w:iCs w:val="0"/>
                      <w:color w:val="auto"/>
                      <w:kern w:val="0"/>
                      <w:sz w:val="21"/>
                      <w:szCs w:val="21"/>
                      <w:u w:val="none" w:color="auto"/>
                      <w:vertAlign w:val="superscript"/>
                      <w:lang w:val="en-US" w:eastAsia="zh-CN" w:bidi="ar"/>
                    </w:rPr>
                    <w:t>-2</w:t>
                  </w:r>
                </w:p>
              </w:tc>
              <w:tc>
                <w:tcPr>
                  <w:tcW w:w="591" w:type="pct"/>
                  <w:tcBorders>
                    <w:tl2br w:val="nil"/>
                    <w:tr2bl w:val="nil"/>
                  </w:tcBorders>
                  <w:noWrap w:val="0"/>
                  <w:vAlign w:val="center"/>
                </w:tcPr>
                <w:p w14:paraId="246D94CB">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3.03×10</w:t>
                  </w:r>
                  <w:r>
                    <w:rPr>
                      <w:rFonts w:hint="default" w:ascii="Times New Roman" w:hAnsi="Times New Roman" w:eastAsia="宋体" w:cs="Times New Roman"/>
                      <w:i w:val="0"/>
                      <w:iCs w:val="0"/>
                      <w:color w:val="auto"/>
                      <w:kern w:val="0"/>
                      <w:sz w:val="21"/>
                      <w:szCs w:val="21"/>
                      <w:u w:val="none" w:color="auto"/>
                      <w:vertAlign w:val="superscript"/>
                      <w:lang w:val="en-US" w:eastAsia="zh-CN" w:bidi="ar"/>
                    </w:rPr>
                    <w:t>-2</w:t>
                  </w:r>
                </w:p>
              </w:tc>
              <w:tc>
                <w:tcPr>
                  <w:tcW w:w="591" w:type="pct"/>
                  <w:tcBorders>
                    <w:tl2br w:val="nil"/>
                    <w:tr2bl w:val="nil"/>
                  </w:tcBorders>
                  <w:noWrap w:val="0"/>
                  <w:vAlign w:val="center"/>
                </w:tcPr>
                <w:p w14:paraId="2D31B36C">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3.15×10</w:t>
                  </w:r>
                  <w:r>
                    <w:rPr>
                      <w:rFonts w:hint="default" w:ascii="Times New Roman" w:hAnsi="Times New Roman" w:eastAsia="宋体" w:cs="Times New Roman"/>
                      <w:i w:val="0"/>
                      <w:iCs w:val="0"/>
                      <w:color w:val="auto"/>
                      <w:kern w:val="0"/>
                      <w:sz w:val="21"/>
                      <w:szCs w:val="21"/>
                      <w:u w:val="none" w:color="auto"/>
                      <w:vertAlign w:val="superscript"/>
                      <w:lang w:val="en-US" w:eastAsia="zh-CN" w:bidi="ar"/>
                    </w:rPr>
                    <w:t>-2</w:t>
                  </w:r>
                </w:p>
              </w:tc>
              <w:tc>
                <w:tcPr>
                  <w:tcW w:w="485" w:type="pct"/>
                  <w:tcBorders>
                    <w:tl2br w:val="nil"/>
                    <w:tr2bl w:val="nil"/>
                  </w:tcBorders>
                  <w:noWrap w:val="0"/>
                  <w:vAlign w:val="center"/>
                </w:tcPr>
                <w:p w14:paraId="6E3386BA">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4.3</w:t>
                  </w:r>
                </w:p>
              </w:tc>
              <w:tc>
                <w:tcPr>
                  <w:tcW w:w="485" w:type="pct"/>
                  <w:tcBorders>
                    <w:tl2br w:val="nil"/>
                    <w:tr2bl w:val="nil"/>
                  </w:tcBorders>
                  <w:noWrap w:val="0"/>
                  <w:vAlign w:val="center"/>
                </w:tcPr>
                <w:p w14:paraId="2BC55984">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mg/m</w:t>
                  </w:r>
                  <w:r>
                    <w:rPr>
                      <w:rFonts w:hint="default" w:ascii="Times New Roman" w:hAnsi="Times New Roman" w:eastAsia="宋体" w:cs="Times New Roman"/>
                      <w:i w:val="0"/>
                      <w:iCs w:val="0"/>
                      <w:color w:val="auto"/>
                      <w:kern w:val="0"/>
                      <w:sz w:val="21"/>
                      <w:szCs w:val="21"/>
                      <w:u w:val="none" w:color="auto"/>
                      <w:vertAlign w:val="superscript"/>
                      <w:lang w:val="en-US" w:eastAsia="zh-CN" w:bidi="ar"/>
                    </w:rPr>
                    <w:t>3</w:t>
                  </w:r>
                </w:p>
              </w:tc>
            </w:tr>
            <w:tr w14:paraId="5F51210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485" w:type="pct"/>
                  <w:vMerge w:val="continue"/>
                  <w:tcBorders>
                    <w:tl2br w:val="nil"/>
                    <w:tr2bl w:val="nil"/>
                  </w:tcBorders>
                  <w:noWrap w:val="0"/>
                  <w:vAlign w:val="center"/>
                </w:tcPr>
                <w:p w14:paraId="698DB853">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5" w:type="pct"/>
                  <w:vMerge w:val="continue"/>
                  <w:tcBorders>
                    <w:tl2br w:val="nil"/>
                    <w:tr2bl w:val="nil"/>
                  </w:tcBorders>
                  <w:noWrap w:val="0"/>
                  <w:vAlign w:val="center"/>
                </w:tcPr>
                <w:p w14:paraId="2F773823">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5" w:type="pct"/>
                  <w:vMerge w:val="continue"/>
                  <w:tcBorders>
                    <w:tl2br w:val="nil"/>
                    <w:tr2bl w:val="nil"/>
                  </w:tcBorders>
                  <w:noWrap w:val="0"/>
                  <w:vAlign w:val="center"/>
                </w:tcPr>
                <w:p w14:paraId="46EA9DB2">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798" w:type="pct"/>
                  <w:tcBorders>
                    <w:tl2br w:val="nil"/>
                    <w:tr2bl w:val="nil"/>
                  </w:tcBorders>
                  <w:noWrap w:val="0"/>
                  <w:vAlign w:val="center"/>
                </w:tcPr>
                <w:p w14:paraId="285CDE57">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排放速率</w:t>
                  </w:r>
                </w:p>
              </w:tc>
              <w:tc>
                <w:tcPr>
                  <w:tcW w:w="591" w:type="pct"/>
                  <w:tcBorders>
                    <w:tl2br w:val="nil"/>
                    <w:tr2bl w:val="nil"/>
                  </w:tcBorders>
                  <w:noWrap w:val="0"/>
                  <w:vAlign w:val="center"/>
                </w:tcPr>
                <w:p w14:paraId="3049D9F0">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0.004</w:t>
                  </w:r>
                </w:p>
              </w:tc>
              <w:tc>
                <w:tcPr>
                  <w:tcW w:w="591" w:type="pct"/>
                  <w:tcBorders>
                    <w:tl2br w:val="nil"/>
                    <w:tr2bl w:val="nil"/>
                  </w:tcBorders>
                  <w:noWrap w:val="0"/>
                  <w:vAlign w:val="center"/>
                </w:tcPr>
                <w:p w14:paraId="6DF462E8">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0.004</w:t>
                  </w:r>
                </w:p>
              </w:tc>
              <w:tc>
                <w:tcPr>
                  <w:tcW w:w="591" w:type="pct"/>
                  <w:tcBorders>
                    <w:tl2br w:val="nil"/>
                    <w:tr2bl w:val="nil"/>
                  </w:tcBorders>
                  <w:noWrap w:val="0"/>
                  <w:vAlign w:val="center"/>
                </w:tcPr>
                <w:p w14:paraId="20E5440C">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0.004</w:t>
                  </w:r>
                </w:p>
              </w:tc>
              <w:tc>
                <w:tcPr>
                  <w:tcW w:w="485" w:type="pct"/>
                  <w:tcBorders>
                    <w:tl2br w:val="nil"/>
                    <w:tr2bl w:val="nil"/>
                  </w:tcBorders>
                  <w:noWrap w:val="0"/>
                  <w:vAlign w:val="center"/>
                </w:tcPr>
                <w:p w14:paraId="114E84BA">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1.004</w:t>
                  </w:r>
                </w:p>
              </w:tc>
              <w:tc>
                <w:tcPr>
                  <w:tcW w:w="485" w:type="pct"/>
                  <w:tcBorders>
                    <w:tl2br w:val="nil"/>
                    <w:tr2bl w:val="nil"/>
                  </w:tcBorders>
                  <w:noWrap w:val="0"/>
                  <w:vAlign w:val="center"/>
                </w:tcPr>
                <w:p w14:paraId="57D9970F">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kg/h</w:t>
                  </w:r>
                </w:p>
              </w:tc>
            </w:tr>
            <w:tr w14:paraId="4C5F676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485" w:type="pct"/>
                  <w:vMerge w:val="restart"/>
                  <w:tcBorders>
                    <w:tl2br w:val="nil"/>
                    <w:tr2bl w:val="nil"/>
                  </w:tcBorders>
                  <w:noWrap w:val="0"/>
                  <w:vAlign w:val="center"/>
                </w:tcPr>
                <w:p w14:paraId="084AA56B">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5月31日</w:t>
                  </w:r>
                </w:p>
              </w:tc>
              <w:tc>
                <w:tcPr>
                  <w:tcW w:w="485" w:type="pct"/>
                  <w:vMerge w:val="restart"/>
                  <w:tcBorders>
                    <w:tl2br w:val="nil"/>
                    <w:tr2bl w:val="nil"/>
                  </w:tcBorders>
                  <w:noWrap w:val="0"/>
                  <w:vAlign w:val="center"/>
                </w:tcPr>
                <w:p w14:paraId="000FA6EF">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DA001进口</w:t>
                  </w:r>
                </w:p>
              </w:tc>
              <w:tc>
                <w:tcPr>
                  <w:tcW w:w="1284" w:type="pct"/>
                  <w:gridSpan w:val="2"/>
                  <w:tcBorders>
                    <w:tl2br w:val="nil"/>
                    <w:tr2bl w:val="nil"/>
                  </w:tcBorders>
                  <w:noWrap w:val="0"/>
                  <w:vAlign w:val="center"/>
                </w:tcPr>
                <w:p w14:paraId="758BC0A4">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标干流量</w:t>
                  </w:r>
                </w:p>
              </w:tc>
              <w:tc>
                <w:tcPr>
                  <w:tcW w:w="591" w:type="pct"/>
                  <w:tcBorders>
                    <w:tl2br w:val="nil"/>
                    <w:tr2bl w:val="nil"/>
                  </w:tcBorders>
                  <w:noWrap w:val="0"/>
                  <w:vAlign w:val="center"/>
                </w:tcPr>
                <w:p w14:paraId="21D1C0BB">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112290</w:t>
                  </w:r>
                </w:p>
              </w:tc>
              <w:tc>
                <w:tcPr>
                  <w:tcW w:w="591" w:type="pct"/>
                  <w:tcBorders>
                    <w:tl2br w:val="nil"/>
                    <w:tr2bl w:val="nil"/>
                  </w:tcBorders>
                  <w:noWrap w:val="0"/>
                  <w:vAlign w:val="center"/>
                </w:tcPr>
                <w:p w14:paraId="372A3C61">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125552</w:t>
                  </w:r>
                </w:p>
              </w:tc>
              <w:tc>
                <w:tcPr>
                  <w:tcW w:w="591" w:type="pct"/>
                  <w:tcBorders>
                    <w:tl2br w:val="nil"/>
                    <w:tr2bl w:val="nil"/>
                  </w:tcBorders>
                  <w:noWrap w:val="0"/>
                  <w:vAlign w:val="center"/>
                </w:tcPr>
                <w:p w14:paraId="6B61791C">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123467</w:t>
                  </w:r>
                </w:p>
              </w:tc>
              <w:tc>
                <w:tcPr>
                  <w:tcW w:w="485" w:type="pct"/>
                  <w:tcBorders>
                    <w:tl2br w:val="nil"/>
                    <w:tr2bl w:val="nil"/>
                  </w:tcBorders>
                  <w:noWrap w:val="0"/>
                  <w:vAlign w:val="center"/>
                </w:tcPr>
                <w:p w14:paraId="509052D9">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485" w:type="pct"/>
                  <w:tcBorders>
                    <w:tl2br w:val="nil"/>
                    <w:tr2bl w:val="nil"/>
                  </w:tcBorders>
                  <w:noWrap w:val="0"/>
                  <w:vAlign w:val="center"/>
                </w:tcPr>
                <w:p w14:paraId="31284ED1">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Nm</w:t>
                  </w:r>
                  <w:r>
                    <w:rPr>
                      <w:rFonts w:hint="default" w:ascii="Times New Roman" w:hAnsi="Times New Roman" w:eastAsia="宋体" w:cs="Times New Roman"/>
                      <w:i w:val="0"/>
                      <w:iCs w:val="0"/>
                      <w:color w:val="auto"/>
                      <w:kern w:val="0"/>
                      <w:sz w:val="21"/>
                      <w:szCs w:val="21"/>
                      <w:u w:val="none" w:color="auto"/>
                      <w:vertAlign w:val="superscript"/>
                      <w:lang w:val="en-US" w:eastAsia="zh-CN" w:bidi="ar"/>
                    </w:rPr>
                    <w:t>3</w:t>
                  </w:r>
                  <w:r>
                    <w:rPr>
                      <w:rFonts w:hint="default" w:ascii="Times New Roman" w:hAnsi="Times New Roman" w:eastAsia="宋体" w:cs="Times New Roman"/>
                      <w:i w:val="0"/>
                      <w:iCs w:val="0"/>
                      <w:color w:val="auto"/>
                      <w:kern w:val="0"/>
                      <w:sz w:val="21"/>
                      <w:szCs w:val="21"/>
                      <w:u w:val="none" w:color="auto"/>
                      <w:lang w:val="en-US" w:eastAsia="zh-CN" w:bidi="ar"/>
                    </w:rPr>
                    <w:t>/h</w:t>
                  </w:r>
                </w:p>
              </w:tc>
            </w:tr>
            <w:tr w14:paraId="6BC31E2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485" w:type="pct"/>
                  <w:vMerge w:val="continue"/>
                  <w:tcBorders>
                    <w:tl2br w:val="nil"/>
                    <w:tr2bl w:val="nil"/>
                  </w:tcBorders>
                  <w:noWrap w:val="0"/>
                  <w:vAlign w:val="center"/>
                </w:tcPr>
                <w:p w14:paraId="224D162F">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5" w:type="pct"/>
                  <w:vMerge w:val="continue"/>
                  <w:tcBorders>
                    <w:tl2br w:val="nil"/>
                    <w:tr2bl w:val="nil"/>
                  </w:tcBorders>
                  <w:noWrap w:val="0"/>
                  <w:vAlign w:val="center"/>
                </w:tcPr>
                <w:p w14:paraId="21F27F12">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1284" w:type="pct"/>
                  <w:gridSpan w:val="2"/>
                  <w:tcBorders>
                    <w:tl2br w:val="nil"/>
                    <w:tr2bl w:val="nil"/>
                  </w:tcBorders>
                  <w:noWrap w:val="0"/>
                  <w:vAlign w:val="center"/>
                </w:tcPr>
                <w:p w14:paraId="3DD0FAED">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平均烟温</w:t>
                  </w:r>
                </w:p>
              </w:tc>
              <w:tc>
                <w:tcPr>
                  <w:tcW w:w="591" w:type="pct"/>
                  <w:tcBorders>
                    <w:tl2br w:val="nil"/>
                    <w:tr2bl w:val="nil"/>
                  </w:tcBorders>
                  <w:noWrap w:val="0"/>
                  <w:vAlign w:val="center"/>
                </w:tcPr>
                <w:p w14:paraId="049CE5F6">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152.4</w:t>
                  </w:r>
                </w:p>
              </w:tc>
              <w:tc>
                <w:tcPr>
                  <w:tcW w:w="591" w:type="pct"/>
                  <w:tcBorders>
                    <w:tl2br w:val="nil"/>
                    <w:tr2bl w:val="nil"/>
                  </w:tcBorders>
                  <w:noWrap w:val="0"/>
                  <w:vAlign w:val="center"/>
                </w:tcPr>
                <w:p w14:paraId="3AB5A87D">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152</w:t>
                  </w:r>
                </w:p>
              </w:tc>
              <w:tc>
                <w:tcPr>
                  <w:tcW w:w="591" w:type="pct"/>
                  <w:tcBorders>
                    <w:tl2br w:val="nil"/>
                    <w:tr2bl w:val="nil"/>
                  </w:tcBorders>
                  <w:noWrap w:val="0"/>
                  <w:vAlign w:val="center"/>
                </w:tcPr>
                <w:p w14:paraId="2B785058">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152.6</w:t>
                  </w:r>
                </w:p>
              </w:tc>
              <w:tc>
                <w:tcPr>
                  <w:tcW w:w="485" w:type="pct"/>
                  <w:tcBorders>
                    <w:tl2br w:val="nil"/>
                    <w:tr2bl w:val="nil"/>
                  </w:tcBorders>
                  <w:noWrap w:val="0"/>
                  <w:vAlign w:val="center"/>
                </w:tcPr>
                <w:p w14:paraId="36AC416D">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485" w:type="pct"/>
                  <w:tcBorders>
                    <w:tl2br w:val="nil"/>
                    <w:tr2bl w:val="nil"/>
                  </w:tcBorders>
                  <w:noWrap w:val="0"/>
                  <w:vAlign w:val="center"/>
                </w:tcPr>
                <w:p w14:paraId="26325014">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r>
            <w:tr w14:paraId="21F4E70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485" w:type="pct"/>
                  <w:vMerge w:val="continue"/>
                  <w:tcBorders>
                    <w:tl2br w:val="nil"/>
                    <w:tr2bl w:val="nil"/>
                  </w:tcBorders>
                  <w:noWrap w:val="0"/>
                  <w:vAlign w:val="center"/>
                </w:tcPr>
                <w:p w14:paraId="182449E2">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5" w:type="pct"/>
                  <w:vMerge w:val="continue"/>
                  <w:tcBorders>
                    <w:tl2br w:val="nil"/>
                    <w:tr2bl w:val="nil"/>
                  </w:tcBorders>
                  <w:noWrap w:val="0"/>
                  <w:vAlign w:val="center"/>
                </w:tcPr>
                <w:p w14:paraId="2A5EC3AF">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1284" w:type="pct"/>
                  <w:gridSpan w:val="2"/>
                  <w:tcBorders>
                    <w:tl2br w:val="nil"/>
                    <w:tr2bl w:val="nil"/>
                  </w:tcBorders>
                  <w:noWrap w:val="0"/>
                  <w:vAlign w:val="center"/>
                </w:tcPr>
                <w:p w14:paraId="49023244">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平均流速</w:t>
                  </w:r>
                </w:p>
              </w:tc>
              <w:tc>
                <w:tcPr>
                  <w:tcW w:w="591" w:type="pct"/>
                  <w:tcBorders>
                    <w:tl2br w:val="nil"/>
                    <w:tr2bl w:val="nil"/>
                  </w:tcBorders>
                  <w:noWrap w:val="0"/>
                  <w:vAlign w:val="center"/>
                </w:tcPr>
                <w:p w14:paraId="3E61F8C4">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16</w:t>
                  </w:r>
                </w:p>
              </w:tc>
              <w:tc>
                <w:tcPr>
                  <w:tcW w:w="591" w:type="pct"/>
                  <w:tcBorders>
                    <w:tl2br w:val="nil"/>
                    <w:tr2bl w:val="nil"/>
                  </w:tcBorders>
                  <w:noWrap w:val="0"/>
                  <w:vAlign w:val="center"/>
                </w:tcPr>
                <w:p w14:paraId="35DA5CC6">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17.9</w:t>
                  </w:r>
                </w:p>
              </w:tc>
              <w:tc>
                <w:tcPr>
                  <w:tcW w:w="591" w:type="pct"/>
                  <w:tcBorders>
                    <w:tl2br w:val="nil"/>
                    <w:tr2bl w:val="nil"/>
                  </w:tcBorders>
                  <w:noWrap w:val="0"/>
                  <w:vAlign w:val="center"/>
                </w:tcPr>
                <w:p w14:paraId="171558F2">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17.6</w:t>
                  </w:r>
                </w:p>
              </w:tc>
              <w:tc>
                <w:tcPr>
                  <w:tcW w:w="485" w:type="pct"/>
                  <w:tcBorders>
                    <w:tl2br w:val="nil"/>
                    <w:tr2bl w:val="nil"/>
                  </w:tcBorders>
                  <w:noWrap w:val="0"/>
                  <w:vAlign w:val="center"/>
                </w:tcPr>
                <w:p w14:paraId="4B4585ED">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485" w:type="pct"/>
                  <w:tcBorders>
                    <w:tl2br w:val="nil"/>
                    <w:tr2bl w:val="nil"/>
                  </w:tcBorders>
                  <w:noWrap w:val="0"/>
                  <w:vAlign w:val="center"/>
                </w:tcPr>
                <w:p w14:paraId="647EF9F6">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m/s</w:t>
                  </w:r>
                </w:p>
              </w:tc>
            </w:tr>
            <w:tr w14:paraId="0BCBE66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485" w:type="pct"/>
                  <w:vMerge w:val="continue"/>
                  <w:tcBorders>
                    <w:tl2br w:val="nil"/>
                    <w:tr2bl w:val="nil"/>
                  </w:tcBorders>
                  <w:noWrap w:val="0"/>
                  <w:vAlign w:val="center"/>
                </w:tcPr>
                <w:p w14:paraId="61D15FEA">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5" w:type="pct"/>
                  <w:vMerge w:val="continue"/>
                  <w:tcBorders>
                    <w:tl2br w:val="nil"/>
                    <w:tr2bl w:val="nil"/>
                  </w:tcBorders>
                  <w:noWrap w:val="0"/>
                  <w:vAlign w:val="center"/>
                </w:tcPr>
                <w:p w14:paraId="4A2DF6DF">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1284" w:type="pct"/>
                  <w:gridSpan w:val="2"/>
                  <w:tcBorders>
                    <w:tl2br w:val="nil"/>
                    <w:tr2bl w:val="nil"/>
                  </w:tcBorders>
                  <w:noWrap w:val="0"/>
                  <w:vAlign w:val="center"/>
                </w:tcPr>
                <w:p w14:paraId="1D5D5ADF">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含氧量</w:t>
                  </w:r>
                </w:p>
              </w:tc>
              <w:tc>
                <w:tcPr>
                  <w:tcW w:w="591" w:type="pct"/>
                  <w:tcBorders>
                    <w:tl2br w:val="nil"/>
                    <w:tr2bl w:val="nil"/>
                  </w:tcBorders>
                  <w:noWrap w:val="0"/>
                  <w:vAlign w:val="center"/>
                </w:tcPr>
                <w:p w14:paraId="63EC1271">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10.5</w:t>
                  </w:r>
                </w:p>
              </w:tc>
              <w:tc>
                <w:tcPr>
                  <w:tcW w:w="591" w:type="pct"/>
                  <w:tcBorders>
                    <w:tl2br w:val="nil"/>
                    <w:tr2bl w:val="nil"/>
                  </w:tcBorders>
                  <w:noWrap w:val="0"/>
                  <w:vAlign w:val="center"/>
                </w:tcPr>
                <w:p w14:paraId="070D5BEC">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10.5</w:t>
                  </w:r>
                </w:p>
              </w:tc>
              <w:tc>
                <w:tcPr>
                  <w:tcW w:w="591" w:type="pct"/>
                  <w:tcBorders>
                    <w:tl2br w:val="nil"/>
                    <w:tr2bl w:val="nil"/>
                  </w:tcBorders>
                  <w:noWrap w:val="0"/>
                  <w:vAlign w:val="center"/>
                </w:tcPr>
                <w:p w14:paraId="3DA9B22D">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10.6</w:t>
                  </w:r>
                </w:p>
              </w:tc>
              <w:tc>
                <w:tcPr>
                  <w:tcW w:w="485" w:type="pct"/>
                  <w:tcBorders>
                    <w:tl2br w:val="nil"/>
                    <w:tr2bl w:val="nil"/>
                  </w:tcBorders>
                  <w:noWrap w:val="0"/>
                  <w:vAlign w:val="center"/>
                </w:tcPr>
                <w:p w14:paraId="4678BFA9">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485" w:type="pct"/>
                  <w:tcBorders>
                    <w:tl2br w:val="nil"/>
                    <w:tr2bl w:val="nil"/>
                  </w:tcBorders>
                  <w:noWrap w:val="0"/>
                  <w:vAlign w:val="center"/>
                </w:tcPr>
                <w:p w14:paraId="6259E3A6">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r>
            <w:tr w14:paraId="0CCF2E4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485" w:type="pct"/>
                  <w:vMerge w:val="continue"/>
                  <w:tcBorders>
                    <w:tl2br w:val="nil"/>
                    <w:tr2bl w:val="nil"/>
                  </w:tcBorders>
                  <w:noWrap w:val="0"/>
                  <w:vAlign w:val="center"/>
                </w:tcPr>
                <w:p w14:paraId="7518CF60">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5" w:type="pct"/>
                  <w:vMerge w:val="continue"/>
                  <w:tcBorders>
                    <w:tl2br w:val="nil"/>
                    <w:tr2bl w:val="nil"/>
                  </w:tcBorders>
                  <w:noWrap w:val="0"/>
                  <w:vAlign w:val="center"/>
                </w:tcPr>
                <w:p w14:paraId="1AB29B02">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5" w:type="pct"/>
                  <w:vMerge w:val="restart"/>
                  <w:tcBorders>
                    <w:tl2br w:val="nil"/>
                    <w:tr2bl w:val="nil"/>
                  </w:tcBorders>
                  <w:noWrap w:val="0"/>
                  <w:vAlign w:val="center"/>
                </w:tcPr>
                <w:p w14:paraId="4DF95741">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二氧化硫</w:t>
                  </w:r>
                </w:p>
              </w:tc>
              <w:tc>
                <w:tcPr>
                  <w:tcW w:w="798" w:type="pct"/>
                  <w:tcBorders>
                    <w:tl2br w:val="nil"/>
                    <w:tr2bl w:val="nil"/>
                  </w:tcBorders>
                  <w:noWrap w:val="0"/>
                  <w:vAlign w:val="center"/>
                </w:tcPr>
                <w:p w14:paraId="1944C381">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实测浓度</w:t>
                  </w:r>
                </w:p>
              </w:tc>
              <w:tc>
                <w:tcPr>
                  <w:tcW w:w="591" w:type="pct"/>
                  <w:tcBorders>
                    <w:tl2br w:val="nil"/>
                    <w:tr2bl w:val="nil"/>
                  </w:tcBorders>
                  <w:noWrap w:val="0"/>
                  <w:vAlign w:val="center"/>
                </w:tcPr>
                <w:p w14:paraId="34D01D44">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6</w:t>
                  </w:r>
                </w:p>
              </w:tc>
              <w:tc>
                <w:tcPr>
                  <w:tcW w:w="591" w:type="pct"/>
                  <w:tcBorders>
                    <w:tl2br w:val="nil"/>
                    <w:tr2bl w:val="nil"/>
                  </w:tcBorders>
                  <w:noWrap w:val="0"/>
                  <w:vAlign w:val="center"/>
                </w:tcPr>
                <w:p w14:paraId="2D0D0C50">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6</w:t>
                  </w:r>
                </w:p>
              </w:tc>
              <w:tc>
                <w:tcPr>
                  <w:tcW w:w="591" w:type="pct"/>
                  <w:tcBorders>
                    <w:tl2br w:val="nil"/>
                    <w:tr2bl w:val="nil"/>
                  </w:tcBorders>
                  <w:noWrap w:val="0"/>
                  <w:vAlign w:val="center"/>
                </w:tcPr>
                <w:p w14:paraId="307B992A">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5</w:t>
                  </w:r>
                </w:p>
              </w:tc>
              <w:tc>
                <w:tcPr>
                  <w:tcW w:w="485" w:type="pct"/>
                  <w:tcBorders>
                    <w:tl2br w:val="nil"/>
                    <w:tr2bl w:val="nil"/>
                  </w:tcBorders>
                  <w:noWrap w:val="0"/>
                  <w:vAlign w:val="center"/>
                </w:tcPr>
                <w:p w14:paraId="5747E82C">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485" w:type="pct"/>
                  <w:tcBorders>
                    <w:tl2br w:val="nil"/>
                    <w:tr2bl w:val="nil"/>
                  </w:tcBorders>
                  <w:noWrap w:val="0"/>
                  <w:vAlign w:val="center"/>
                </w:tcPr>
                <w:p w14:paraId="74590F17">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mg/m</w:t>
                  </w:r>
                  <w:r>
                    <w:rPr>
                      <w:rFonts w:hint="default" w:ascii="Times New Roman" w:hAnsi="Times New Roman" w:eastAsia="宋体" w:cs="Times New Roman"/>
                      <w:i w:val="0"/>
                      <w:iCs w:val="0"/>
                      <w:color w:val="auto"/>
                      <w:kern w:val="0"/>
                      <w:sz w:val="21"/>
                      <w:szCs w:val="21"/>
                      <w:u w:val="none" w:color="auto"/>
                      <w:vertAlign w:val="superscript"/>
                      <w:lang w:val="en-US" w:eastAsia="zh-CN" w:bidi="ar"/>
                    </w:rPr>
                    <w:t>3</w:t>
                  </w:r>
                </w:p>
              </w:tc>
            </w:tr>
            <w:tr w14:paraId="713E291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485" w:type="pct"/>
                  <w:vMerge w:val="continue"/>
                  <w:tcBorders>
                    <w:tl2br w:val="nil"/>
                    <w:tr2bl w:val="nil"/>
                  </w:tcBorders>
                  <w:noWrap w:val="0"/>
                  <w:vAlign w:val="center"/>
                </w:tcPr>
                <w:p w14:paraId="298D12F1">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5" w:type="pct"/>
                  <w:vMerge w:val="continue"/>
                  <w:tcBorders>
                    <w:tl2br w:val="nil"/>
                    <w:tr2bl w:val="nil"/>
                  </w:tcBorders>
                  <w:noWrap w:val="0"/>
                  <w:vAlign w:val="center"/>
                </w:tcPr>
                <w:p w14:paraId="2B382AD2">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5" w:type="pct"/>
                  <w:vMerge w:val="continue"/>
                  <w:tcBorders>
                    <w:tl2br w:val="nil"/>
                    <w:tr2bl w:val="nil"/>
                  </w:tcBorders>
                  <w:noWrap w:val="0"/>
                  <w:vAlign w:val="center"/>
                </w:tcPr>
                <w:p w14:paraId="741FC470">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798" w:type="pct"/>
                  <w:tcBorders>
                    <w:tl2br w:val="nil"/>
                    <w:tr2bl w:val="nil"/>
                  </w:tcBorders>
                  <w:noWrap w:val="0"/>
                  <w:vAlign w:val="center"/>
                </w:tcPr>
                <w:p w14:paraId="56F2A177">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折算浓度</w:t>
                  </w:r>
                </w:p>
              </w:tc>
              <w:tc>
                <w:tcPr>
                  <w:tcW w:w="591" w:type="pct"/>
                  <w:tcBorders>
                    <w:tl2br w:val="nil"/>
                    <w:tr2bl w:val="nil"/>
                  </w:tcBorders>
                  <w:noWrap w:val="0"/>
                  <w:vAlign w:val="center"/>
                </w:tcPr>
                <w:p w14:paraId="034225C1">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10</w:t>
                  </w:r>
                </w:p>
              </w:tc>
              <w:tc>
                <w:tcPr>
                  <w:tcW w:w="591" w:type="pct"/>
                  <w:tcBorders>
                    <w:tl2br w:val="nil"/>
                    <w:tr2bl w:val="nil"/>
                  </w:tcBorders>
                  <w:noWrap w:val="0"/>
                  <w:vAlign w:val="center"/>
                </w:tcPr>
                <w:p w14:paraId="5C73BCE8">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10</w:t>
                  </w:r>
                </w:p>
              </w:tc>
              <w:tc>
                <w:tcPr>
                  <w:tcW w:w="591" w:type="pct"/>
                  <w:tcBorders>
                    <w:tl2br w:val="nil"/>
                    <w:tr2bl w:val="nil"/>
                  </w:tcBorders>
                  <w:noWrap w:val="0"/>
                  <w:vAlign w:val="center"/>
                </w:tcPr>
                <w:p w14:paraId="014B1C56">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8</w:t>
                  </w:r>
                </w:p>
              </w:tc>
              <w:tc>
                <w:tcPr>
                  <w:tcW w:w="485" w:type="pct"/>
                  <w:tcBorders>
                    <w:tl2br w:val="nil"/>
                    <w:tr2bl w:val="nil"/>
                  </w:tcBorders>
                  <w:noWrap w:val="0"/>
                  <w:vAlign w:val="center"/>
                </w:tcPr>
                <w:p w14:paraId="67577D16">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485" w:type="pct"/>
                  <w:tcBorders>
                    <w:tl2br w:val="nil"/>
                    <w:tr2bl w:val="nil"/>
                  </w:tcBorders>
                  <w:noWrap w:val="0"/>
                  <w:vAlign w:val="center"/>
                </w:tcPr>
                <w:p w14:paraId="068C6438">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mg/m</w:t>
                  </w:r>
                  <w:r>
                    <w:rPr>
                      <w:rFonts w:hint="default" w:ascii="Times New Roman" w:hAnsi="Times New Roman" w:eastAsia="宋体" w:cs="Times New Roman"/>
                      <w:i w:val="0"/>
                      <w:iCs w:val="0"/>
                      <w:color w:val="auto"/>
                      <w:kern w:val="0"/>
                      <w:sz w:val="21"/>
                      <w:szCs w:val="21"/>
                      <w:u w:val="none" w:color="auto"/>
                      <w:vertAlign w:val="superscript"/>
                      <w:lang w:val="en-US" w:eastAsia="zh-CN" w:bidi="ar"/>
                    </w:rPr>
                    <w:t>3</w:t>
                  </w:r>
                </w:p>
              </w:tc>
            </w:tr>
            <w:tr w14:paraId="6D27249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485" w:type="pct"/>
                  <w:vMerge w:val="continue"/>
                  <w:tcBorders>
                    <w:tl2br w:val="nil"/>
                    <w:tr2bl w:val="nil"/>
                  </w:tcBorders>
                  <w:noWrap w:val="0"/>
                  <w:vAlign w:val="center"/>
                </w:tcPr>
                <w:p w14:paraId="453BEFAC">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5" w:type="pct"/>
                  <w:vMerge w:val="continue"/>
                  <w:tcBorders>
                    <w:tl2br w:val="nil"/>
                    <w:tr2bl w:val="nil"/>
                  </w:tcBorders>
                  <w:noWrap w:val="0"/>
                  <w:vAlign w:val="center"/>
                </w:tcPr>
                <w:p w14:paraId="74191C00">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5" w:type="pct"/>
                  <w:vMerge w:val="continue"/>
                  <w:tcBorders>
                    <w:tl2br w:val="nil"/>
                    <w:tr2bl w:val="nil"/>
                  </w:tcBorders>
                  <w:noWrap w:val="0"/>
                  <w:vAlign w:val="center"/>
                </w:tcPr>
                <w:p w14:paraId="5D311727">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798" w:type="pct"/>
                  <w:tcBorders>
                    <w:tl2br w:val="nil"/>
                    <w:tr2bl w:val="nil"/>
                  </w:tcBorders>
                  <w:noWrap w:val="0"/>
                  <w:vAlign w:val="center"/>
                </w:tcPr>
                <w:p w14:paraId="598522F4">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排放速率</w:t>
                  </w:r>
                </w:p>
              </w:tc>
              <w:tc>
                <w:tcPr>
                  <w:tcW w:w="591" w:type="pct"/>
                  <w:tcBorders>
                    <w:tl2br w:val="nil"/>
                    <w:tr2bl w:val="nil"/>
                  </w:tcBorders>
                  <w:noWrap w:val="0"/>
                  <w:vAlign w:val="center"/>
                </w:tcPr>
                <w:p w14:paraId="00C7052D">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0.67</w:t>
                  </w:r>
                </w:p>
              </w:tc>
              <w:tc>
                <w:tcPr>
                  <w:tcW w:w="591" w:type="pct"/>
                  <w:tcBorders>
                    <w:tl2br w:val="nil"/>
                    <w:tr2bl w:val="nil"/>
                  </w:tcBorders>
                  <w:noWrap w:val="0"/>
                  <w:vAlign w:val="center"/>
                </w:tcPr>
                <w:p w14:paraId="3575A18E">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0.75</w:t>
                  </w:r>
                </w:p>
              </w:tc>
              <w:tc>
                <w:tcPr>
                  <w:tcW w:w="591" w:type="pct"/>
                  <w:tcBorders>
                    <w:tl2br w:val="nil"/>
                    <w:tr2bl w:val="nil"/>
                  </w:tcBorders>
                  <w:noWrap w:val="0"/>
                  <w:vAlign w:val="center"/>
                </w:tcPr>
                <w:p w14:paraId="125D58FD">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0.62</w:t>
                  </w:r>
                </w:p>
              </w:tc>
              <w:tc>
                <w:tcPr>
                  <w:tcW w:w="485" w:type="pct"/>
                  <w:tcBorders>
                    <w:tl2br w:val="nil"/>
                    <w:tr2bl w:val="nil"/>
                  </w:tcBorders>
                  <w:noWrap w:val="0"/>
                  <w:vAlign w:val="center"/>
                </w:tcPr>
                <w:p w14:paraId="7981DD42">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485" w:type="pct"/>
                  <w:tcBorders>
                    <w:tl2br w:val="nil"/>
                    <w:tr2bl w:val="nil"/>
                  </w:tcBorders>
                  <w:noWrap w:val="0"/>
                  <w:vAlign w:val="center"/>
                </w:tcPr>
                <w:p w14:paraId="30730222">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kg/h</w:t>
                  </w:r>
                </w:p>
              </w:tc>
            </w:tr>
            <w:tr w14:paraId="19BB323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485" w:type="pct"/>
                  <w:vMerge w:val="continue"/>
                  <w:tcBorders>
                    <w:tl2br w:val="nil"/>
                    <w:tr2bl w:val="nil"/>
                  </w:tcBorders>
                  <w:noWrap w:val="0"/>
                  <w:vAlign w:val="center"/>
                </w:tcPr>
                <w:p w14:paraId="72D0ACAB">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5" w:type="pct"/>
                  <w:vMerge w:val="continue"/>
                  <w:tcBorders>
                    <w:tl2br w:val="nil"/>
                    <w:tr2bl w:val="nil"/>
                  </w:tcBorders>
                  <w:noWrap w:val="0"/>
                  <w:vAlign w:val="center"/>
                </w:tcPr>
                <w:p w14:paraId="0AF4073D">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5" w:type="pct"/>
                  <w:vMerge w:val="restart"/>
                  <w:tcBorders>
                    <w:tl2br w:val="nil"/>
                    <w:tr2bl w:val="nil"/>
                  </w:tcBorders>
                  <w:noWrap w:val="0"/>
                  <w:vAlign w:val="center"/>
                </w:tcPr>
                <w:p w14:paraId="74D0DF96">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氮氧化物</w:t>
                  </w:r>
                </w:p>
              </w:tc>
              <w:tc>
                <w:tcPr>
                  <w:tcW w:w="798" w:type="pct"/>
                  <w:tcBorders>
                    <w:tl2br w:val="nil"/>
                    <w:tr2bl w:val="nil"/>
                  </w:tcBorders>
                  <w:noWrap w:val="0"/>
                  <w:vAlign w:val="center"/>
                </w:tcPr>
                <w:p w14:paraId="463725F9">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实测浓度</w:t>
                  </w:r>
                </w:p>
              </w:tc>
              <w:tc>
                <w:tcPr>
                  <w:tcW w:w="591" w:type="pct"/>
                  <w:tcBorders>
                    <w:tl2br w:val="nil"/>
                    <w:tr2bl w:val="nil"/>
                  </w:tcBorders>
                  <w:noWrap w:val="0"/>
                  <w:vAlign w:val="center"/>
                </w:tcPr>
                <w:p w14:paraId="0DB5FD8E">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5</w:t>
                  </w:r>
                </w:p>
              </w:tc>
              <w:tc>
                <w:tcPr>
                  <w:tcW w:w="591" w:type="pct"/>
                  <w:tcBorders>
                    <w:tl2br w:val="nil"/>
                    <w:tr2bl w:val="nil"/>
                  </w:tcBorders>
                  <w:noWrap w:val="0"/>
                  <w:vAlign w:val="center"/>
                </w:tcPr>
                <w:p w14:paraId="57D3B03E">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6</w:t>
                  </w:r>
                </w:p>
              </w:tc>
              <w:tc>
                <w:tcPr>
                  <w:tcW w:w="591" w:type="pct"/>
                  <w:tcBorders>
                    <w:tl2br w:val="nil"/>
                    <w:tr2bl w:val="nil"/>
                  </w:tcBorders>
                  <w:noWrap w:val="0"/>
                  <w:vAlign w:val="center"/>
                </w:tcPr>
                <w:p w14:paraId="68C82BC4">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7</w:t>
                  </w:r>
                </w:p>
              </w:tc>
              <w:tc>
                <w:tcPr>
                  <w:tcW w:w="485" w:type="pct"/>
                  <w:tcBorders>
                    <w:tl2br w:val="nil"/>
                    <w:tr2bl w:val="nil"/>
                  </w:tcBorders>
                  <w:noWrap w:val="0"/>
                  <w:vAlign w:val="center"/>
                </w:tcPr>
                <w:p w14:paraId="31674F1B">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485" w:type="pct"/>
                  <w:tcBorders>
                    <w:tl2br w:val="nil"/>
                    <w:tr2bl w:val="nil"/>
                  </w:tcBorders>
                  <w:noWrap w:val="0"/>
                  <w:vAlign w:val="center"/>
                </w:tcPr>
                <w:p w14:paraId="725DFA2C">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mg/m</w:t>
                  </w:r>
                  <w:r>
                    <w:rPr>
                      <w:rFonts w:hint="default" w:ascii="Times New Roman" w:hAnsi="Times New Roman" w:eastAsia="宋体" w:cs="Times New Roman"/>
                      <w:i w:val="0"/>
                      <w:iCs w:val="0"/>
                      <w:color w:val="auto"/>
                      <w:kern w:val="0"/>
                      <w:sz w:val="21"/>
                      <w:szCs w:val="21"/>
                      <w:u w:val="none" w:color="auto"/>
                      <w:vertAlign w:val="superscript"/>
                      <w:lang w:val="en-US" w:eastAsia="zh-CN" w:bidi="ar"/>
                    </w:rPr>
                    <w:t>3</w:t>
                  </w:r>
                </w:p>
              </w:tc>
            </w:tr>
            <w:tr w14:paraId="7A4266C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485" w:type="pct"/>
                  <w:vMerge w:val="continue"/>
                  <w:tcBorders>
                    <w:tl2br w:val="nil"/>
                    <w:tr2bl w:val="nil"/>
                  </w:tcBorders>
                  <w:noWrap w:val="0"/>
                  <w:vAlign w:val="center"/>
                </w:tcPr>
                <w:p w14:paraId="159F92A2">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5" w:type="pct"/>
                  <w:vMerge w:val="continue"/>
                  <w:tcBorders>
                    <w:tl2br w:val="nil"/>
                    <w:tr2bl w:val="nil"/>
                  </w:tcBorders>
                  <w:noWrap w:val="0"/>
                  <w:vAlign w:val="center"/>
                </w:tcPr>
                <w:p w14:paraId="071E2AF5">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5" w:type="pct"/>
                  <w:vMerge w:val="continue"/>
                  <w:tcBorders>
                    <w:tl2br w:val="nil"/>
                    <w:tr2bl w:val="nil"/>
                  </w:tcBorders>
                  <w:noWrap w:val="0"/>
                  <w:vAlign w:val="center"/>
                </w:tcPr>
                <w:p w14:paraId="028778E4">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798" w:type="pct"/>
                  <w:tcBorders>
                    <w:tl2br w:val="nil"/>
                    <w:tr2bl w:val="nil"/>
                  </w:tcBorders>
                  <w:noWrap w:val="0"/>
                  <w:vAlign w:val="center"/>
                </w:tcPr>
                <w:p w14:paraId="6CC8481A">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折算浓度</w:t>
                  </w:r>
                </w:p>
              </w:tc>
              <w:tc>
                <w:tcPr>
                  <w:tcW w:w="591" w:type="pct"/>
                  <w:tcBorders>
                    <w:tl2br w:val="nil"/>
                    <w:tr2bl w:val="nil"/>
                  </w:tcBorders>
                  <w:noWrap w:val="0"/>
                  <w:vAlign w:val="center"/>
                </w:tcPr>
                <w:p w14:paraId="7B104760">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9</w:t>
                  </w:r>
                </w:p>
              </w:tc>
              <w:tc>
                <w:tcPr>
                  <w:tcW w:w="591" w:type="pct"/>
                  <w:tcBorders>
                    <w:tl2br w:val="nil"/>
                    <w:tr2bl w:val="nil"/>
                  </w:tcBorders>
                  <w:noWrap w:val="0"/>
                  <w:vAlign w:val="center"/>
                </w:tcPr>
                <w:p w14:paraId="4BACA622">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10</w:t>
                  </w:r>
                </w:p>
              </w:tc>
              <w:tc>
                <w:tcPr>
                  <w:tcW w:w="591" w:type="pct"/>
                  <w:tcBorders>
                    <w:tl2br w:val="nil"/>
                    <w:tr2bl w:val="nil"/>
                  </w:tcBorders>
                  <w:noWrap w:val="0"/>
                  <w:vAlign w:val="center"/>
                </w:tcPr>
                <w:p w14:paraId="114A911F">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12</w:t>
                  </w:r>
                </w:p>
              </w:tc>
              <w:tc>
                <w:tcPr>
                  <w:tcW w:w="485" w:type="pct"/>
                  <w:tcBorders>
                    <w:tl2br w:val="nil"/>
                    <w:tr2bl w:val="nil"/>
                  </w:tcBorders>
                  <w:noWrap w:val="0"/>
                  <w:vAlign w:val="center"/>
                </w:tcPr>
                <w:p w14:paraId="744603FD">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485" w:type="pct"/>
                  <w:tcBorders>
                    <w:tl2br w:val="nil"/>
                    <w:tr2bl w:val="nil"/>
                  </w:tcBorders>
                  <w:noWrap w:val="0"/>
                  <w:vAlign w:val="center"/>
                </w:tcPr>
                <w:p w14:paraId="05BE889B">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mg/m</w:t>
                  </w:r>
                  <w:r>
                    <w:rPr>
                      <w:rFonts w:hint="default" w:ascii="Times New Roman" w:hAnsi="Times New Roman" w:eastAsia="宋体" w:cs="Times New Roman"/>
                      <w:i w:val="0"/>
                      <w:iCs w:val="0"/>
                      <w:color w:val="auto"/>
                      <w:kern w:val="0"/>
                      <w:sz w:val="21"/>
                      <w:szCs w:val="21"/>
                      <w:u w:val="none" w:color="auto"/>
                      <w:vertAlign w:val="superscript"/>
                      <w:lang w:val="en-US" w:eastAsia="zh-CN" w:bidi="ar"/>
                    </w:rPr>
                    <w:t>3</w:t>
                  </w:r>
                </w:p>
              </w:tc>
            </w:tr>
            <w:tr w14:paraId="31AFC69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485" w:type="pct"/>
                  <w:vMerge w:val="continue"/>
                  <w:tcBorders>
                    <w:tl2br w:val="nil"/>
                    <w:tr2bl w:val="nil"/>
                  </w:tcBorders>
                  <w:noWrap w:val="0"/>
                  <w:vAlign w:val="center"/>
                </w:tcPr>
                <w:p w14:paraId="45056967">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5" w:type="pct"/>
                  <w:vMerge w:val="continue"/>
                  <w:tcBorders>
                    <w:tl2br w:val="nil"/>
                    <w:tr2bl w:val="nil"/>
                  </w:tcBorders>
                  <w:noWrap w:val="0"/>
                  <w:vAlign w:val="center"/>
                </w:tcPr>
                <w:p w14:paraId="39A0CEC7">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5" w:type="pct"/>
                  <w:vMerge w:val="continue"/>
                  <w:tcBorders>
                    <w:tl2br w:val="nil"/>
                    <w:tr2bl w:val="nil"/>
                  </w:tcBorders>
                  <w:noWrap w:val="0"/>
                  <w:vAlign w:val="center"/>
                </w:tcPr>
                <w:p w14:paraId="38B159D4">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798" w:type="pct"/>
                  <w:tcBorders>
                    <w:tl2br w:val="nil"/>
                    <w:tr2bl w:val="nil"/>
                  </w:tcBorders>
                  <w:noWrap w:val="0"/>
                  <w:vAlign w:val="center"/>
                </w:tcPr>
                <w:p w14:paraId="4ADF32BD">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排放速率</w:t>
                  </w:r>
                </w:p>
              </w:tc>
              <w:tc>
                <w:tcPr>
                  <w:tcW w:w="591" w:type="pct"/>
                  <w:tcBorders>
                    <w:tl2br w:val="nil"/>
                    <w:tr2bl w:val="nil"/>
                  </w:tcBorders>
                  <w:noWrap w:val="0"/>
                  <w:vAlign w:val="center"/>
                </w:tcPr>
                <w:p w14:paraId="796A902F">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0.63</w:t>
                  </w:r>
                </w:p>
              </w:tc>
              <w:tc>
                <w:tcPr>
                  <w:tcW w:w="591" w:type="pct"/>
                  <w:tcBorders>
                    <w:tl2br w:val="nil"/>
                    <w:tr2bl w:val="nil"/>
                  </w:tcBorders>
                  <w:noWrap w:val="0"/>
                  <w:vAlign w:val="center"/>
                </w:tcPr>
                <w:p w14:paraId="07EA8F12">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0.83</w:t>
                  </w:r>
                </w:p>
              </w:tc>
              <w:tc>
                <w:tcPr>
                  <w:tcW w:w="591" w:type="pct"/>
                  <w:tcBorders>
                    <w:tl2br w:val="nil"/>
                    <w:tr2bl w:val="nil"/>
                  </w:tcBorders>
                  <w:noWrap w:val="0"/>
                  <w:vAlign w:val="center"/>
                </w:tcPr>
                <w:p w14:paraId="7224CB33">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0.88</w:t>
                  </w:r>
                </w:p>
              </w:tc>
              <w:tc>
                <w:tcPr>
                  <w:tcW w:w="485" w:type="pct"/>
                  <w:tcBorders>
                    <w:tl2br w:val="nil"/>
                    <w:tr2bl w:val="nil"/>
                  </w:tcBorders>
                  <w:noWrap w:val="0"/>
                  <w:vAlign w:val="center"/>
                </w:tcPr>
                <w:p w14:paraId="5BF05842">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485" w:type="pct"/>
                  <w:tcBorders>
                    <w:tl2br w:val="nil"/>
                    <w:tr2bl w:val="nil"/>
                  </w:tcBorders>
                  <w:noWrap w:val="0"/>
                  <w:vAlign w:val="center"/>
                </w:tcPr>
                <w:p w14:paraId="7A8C86C4">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kg/h</w:t>
                  </w:r>
                </w:p>
              </w:tc>
            </w:tr>
            <w:tr w14:paraId="06B7EA5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485" w:type="pct"/>
                  <w:vMerge w:val="continue"/>
                  <w:tcBorders>
                    <w:tl2br w:val="nil"/>
                    <w:tr2bl w:val="nil"/>
                  </w:tcBorders>
                  <w:noWrap w:val="0"/>
                  <w:vAlign w:val="center"/>
                </w:tcPr>
                <w:p w14:paraId="06F76426">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5" w:type="pct"/>
                  <w:vMerge w:val="continue"/>
                  <w:tcBorders>
                    <w:tl2br w:val="nil"/>
                    <w:tr2bl w:val="nil"/>
                  </w:tcBorders>
                  <w:noWrap w:val="0"/>
                  <w:vAlign w:val="center"/>
                </w:tcPr>
                <w:p w14:paraId="24720409">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5" w:type="pct"/>
                  <w:vMerge w:val="restart"/>
                  <w:tcBorders>
                    <w:tl2br w:val="nil"/>
                    <w:tr2bl w:val="nil"/>
                  </w:tcBorders>
                  <w:noWrap w:val="0"/>
                  <w:vAlign w:val="center"/>
                </w:tcPr>
                <w:p w14:paraId="6915D211">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颗粒物</w:t>
                  </w:r>
                </w:p>
              </w:tc>
              <w:tc>
                <w:tcPr>
                  <w:tcW w:w="798" w:type="pct"/>
                  <w:tcBorders>
                    <w:tl2br w:val="nil"/>
                    <w:tr2bl w:val="nil"/>
                  </w:tcBorders>
                  <w:noWrap w:val="0"/>
                  <w:vAlign w:val="center"/>
                </w:tcPr>
                <w:p w14:paraId="6EEF35D9">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实测浓度</w:t>
                  </w:r>
                </w:p>
              </w:tc>
              <w:tc>
                <w:tcPr>
                  <w:tcW w:w="591" w:type="pct"/>
                  <w:tcBorders>
                    <w:tl2br w:val="nil"/>
                    <w:tr2bl w:val="nil"/>
                  </w:tcBorders>
                  <w:noWrap w:val="0"/>
                  <w:vAlign w:val="center"/>
                </w:tcPr>
                <w:p w14:paraId="52631F45">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10.7</w:t>
                  </w:r>
                </w:p>
              </w:tc>
              <w:tc>
                <w:tcPr>
                  <w:tcW w:w="591" w:type="pct"/>
                  <w:tcBorders>
                    <w:tl2br w:val="nil"/>
                    <w:tr2bl w:val="nil"/>
                  </w:tcBorders>
                  <w:noWrap w:val="0"/>
                  <w:vAlign w:val="center"/>
                </w:tcPr>
                <w:p w14:paraId="0720911B">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9.1</w:t>
                  </w:r>
                </w:p>
              </w:tc>
              <w:tc>
                <w:tcPr>
                  <w:tcW w:w="591" w:type="pct"/>
                  <w:tcBorders>
                    <w:tl2br w:val="nil"/>
                    <w:tr2bl w:val="nil"/>
                  </w:tcBorders>
                  <w:noWrap w:val="0"/>
                  <w:vAlign w:val="center"/>
                </w:tcPr>
                <w:p w14:paraId="6A2A68D3">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8.7</w:t>
                  </w:r>
                </w:p>
              </w:tc>
              <w:tc>
                <w:tcPr>
                  <w:tcW w:w="485" w:type="pct"/>
                  <w:tcBorders>
                    <w:tl2br w:val="nil"/>
                    <w:tr2bl w:val="nil"/>
                  </w:tcBorders>
                  <w:noWrap w:val="0"/>
                  <w:vAlign w:val="center"/>
                </w:tcPr>
                <w:p w14:paraId="07103D83">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485" w:type="pct"/>
                  <w:tcBorders>
                    <w:tl2br w:val="nil"/>
                    <w:tr2bl w:val="nil"/>
                  </w:tcBorders>
                  <w:noWrap w:val="0"/>
                  <w:vAlign w:val="center"/>
                </w:tcPr>
                <w:p w14:paraId="4E442D1C">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mg/m</w:t>
                  </w:r>
                  <w:r>
                    <w:rPr>
                      <w:rFonts w:hint="default" w:ascii="Times New Roman" w:hAnsi="Times New Roman" w:eastAsia="宋体" w:cs="Times New Roman"/>
                      <w:i w:val="0"/>
                      <w:iCs w:val="0"/>
                      <w:color w:val="auto"/>
                      <w:kern w:val="0"/>
                      <w:sz w:val="21"/>
                      <w:szCs w:val="21"/>
                      <w:u w:val="none" w:color="auto"/>
                      <w:vertAlign w:val="superscript"/>
                      <w:lang w:val="en-US" w:eastAsia="zh-CN" w:bidi="ar"/>
                    </w:rPr>
                    <w:t>3</w:t>
                  </w:r>
                </w:p>
              </w:tc>
            </w:tr>
            <w:tr w14:paraId="7F4BE0A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485" w:type="pct"/>
                  <w:vMerge w:val="continue"/>
                  <w:tcBorders>
                    <w:tl2br w:val="nil"/>
                    <w:tr2bl w:val="nil"/>
                  </w:tcBorders>
                  <w:noWrap w:val="0"/>
                  <w:vAlign w:val="center"/>
                </w:tcPr>
                <w:p w14:paraId="02EFB49E">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5" w:type="pct"/>
                  <w:vMerge w:val="continue"/>
                  <w:tcBorders>
                    <w:tl2br w:val="nil"/>
                    <w:tr2bl w:val="nil"/>
                  </w:tcBorders>
                  <w:noWrap w:val="0"/>
                  <w:vAlign w:val="center"/>
                </w:tcPr>
                <w:p w14:paraId="465166DC">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5" w:type="pct"/>
                  <w:vMerge w:val="continue"/>
                  <w:tcBorders>
                    <w:tl2br w:val="nil"/>
                    <w:tr2bl w:val="nil"/>
                  </w:tcBorders>
                  <w:noWrap w:val="0"/>
                  <w:vAlign w:val="center"/>
                </w:tcPr>
                <w:p w14:paraId="08D64FDB">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798" w:type="pct"/>
                  <w:tcBorders>
                    <w:tl2br w:val="nil"/>
                    <w:tr2bl w:val="nil"/>
                  </w:tcBorders>
                  <w:noWrap w:val="0"/>
                  <w:vAlign w:val="center"/>
                </w:tcPr>
                <w:p w14:paraId="6A93E464">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排放速率</w:t>
                  </w:r>
                </w:p>
              </w:tc>
              <w:tc>
                <w:tcPr>
                  <w:tcW w:w="591" w:type="pct"/>
                  <w:tcBorders>
                    <w:tl2br w:val="nil"/>
                    <w:tr2bl w:val="nil"/>
                  </w:tcBorders>
                  <w:noWrap w:val="0"/>
                  <w:vAlign w:val="center"/>
                </w:tcPr>
                <w:p w14:paraId="5B2BE536">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1.2</w:t>
                  </w:r>
                </w:p>
              </w:tc>
              <w:tc>
                <w:tcPr>
                  <w:tcW w:w="591" w:type="pct"/>
                  <w:tcBorders>
                    <w:tl2br w:val="nil"/>
                    <w:tr2bl w:val="nil"/>
                  </w:tcBorders>
                  <w:noWrap w:val="0"/>
                  <w:vAlign w:val="center"/>
                </w:tcPr>
                <w:p w14:paraId="2F9697B6">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1.14</w:t>
                  </w:r>
                </w:p>
              </w:tc>
              <w:tc>
                <w:tcPr>
                  <w:tcW w:w="591" w:type="pct"/>
                  <w:tcBorders>
                    <w:tl2br w:val="nil"/>
                    <w:tr2bl w:val="nil"/>
                  </w:tcBorders>
                  <w:noWrap w:val="0"/>
                  <w:vAlign w:val="center"/>
                </w:tcPr>
                <w:p w14:paraId="459B5818">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1.07</w:t>
                  </w:r>
                </w:p>
              </w:tc>
              <w:tc>
                <w:tcPr>
                  <w:tcW w:w="485" w:type="pct"/>
                  <w:tcBorders>
                    <w:tl2br w:val="nil"/>
                    <w:tr2bl w:val="nil"/>
                  </w:tcBorders>
                  <w:noWrap w:val="0"/>
                  <w:vAlign w:val="center"/>
                </w:tcPr>
                <w:p w14:paraId="1F7A8812">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485" w:type="pct"/>
                  <w:tcBorders>
                    <w:tl2br w:val="nil"/>
                    <w:tr2bl w:val="nil"/>
                  </w:tcBorders>
                  <w:noWrap w:val="0"/>
                  <w:vAlign w:val="center"/>
                </w:tcPr>
                <w:p w14:paraId="5B9898F2">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kg/h</w:t>
                  </w:r>
                </w:p>
              </w:tc>
            </w:tr>
            <w:tr w14:paraId="6F30BA6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485" w:type="pct"/>
                  <w:vMerge w:val="continue"/>
                  <w:tcBorders>
                    <w:tl2br w:val="nil"/>
                    <w:tr2bl w:val="nil"/>
                  </w:tcBorders>
                  <w:noWrap w:val="0"/>
                  <w:vAlign w:val="center"/>
                </w:tcPr>
                <w:p w14:paraId="47916962">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5" w:type="pct"/>
                  <w:vMerge w:val="continue"/>
                  <w:tcBorders>
                    <w:tl2br w:val="nil"/>
                    <w:tr2bl w:val="nil"/>
                  </w:tcBorders>
                  <w:noWrap w:val="0"/>
                  <w:vAlign w:val="center"/>
                </w:tcPr>
                <w:p w14:paraId="44CD712A">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5" w:type="pct"/>
                  <w:vMerge w:val="restart"/>
                  <w:tcBorders>
                    <w:tl2br w:val="nil"/>
                    <w:tr2bl w:val="nil"/>
                  </w:tcBorders>
                  <w:noWrap w:val="0"/>
                  <w:vAlign w:val="center"/>
                </w:tcPr>
                <w:p w14:paraId="41E39493">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氯化氢</w:t>
                  </w:r>
                </w:p>
              </w:tc>
              <w:tc>
                <w:tcPr>
                  <w:tcW w:w="798" w:type="pct"/>
                  <w:tcBorders>
                    <w:tl2br w:val="nil"/>
                    <w:tr2bl w:val="nil"/>
                  </w:tcBorders>
                  <w:noWrap w:val="0"/>
                  <w:vAlign w:val="center"/>
                </w:tcPr>
                <w:p w14:paraId="06D2CB91">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实测浓度</w:t>
                  </w:r>
                </w:p>
              </w:tc>
              <w:tc>
                <w:tcPr>
                  <w:tcW w:w="591" w:type="pct"/>
                  <w:tcBorders>
                    <w:tl2br w:val="nil"/>
                    <w:tr2bl w:val="nil"/>
                  </w:tcBorders>
                  <w:noWrap w:val="0"/>
                  <w:vAlign w:val="center"/>
                </w:tcPr>
                <w:p w14:paraId="23FD565D">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2.16</w:t>
                  </w:r>
                </w:p>
              </w:tc>
              <w:tc>
                <w:tcPr>
                  <w:tcW w:w="591" w:type="pct"/>
                  <w:tcBorders>
                    <w:tl2br w:val="nil"/>
                    <w:tr2bl w:val="nil"/>
                  </w:tcBorders>
                  <w:noWrap w:val="0"/>
                  <w:vAlign w:val="center"/>
                </w:tcPr>
                <w:p w14:paraId="0415D799">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2.4</w:t>
                  </w:r>
                </w:p>
              </w:tc>
              <w:tc>
                <w:tcPr>
                  <w:tcW w:w="591" w:type="pct"/>
                  <w:tcBorders>
                    <w:tl2br w:val="nil"/>
                    <w:tr2bl w:val="nil"/>
                  </w:tcBorders>
                  <w:noWrap w:val="0"/>
                  <w:vAlign w:val="center"/>
                </w:tcPr>
                <w:p w14:paraId="12D7E7A7">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1.9</w:t>
                  </w:r>
                </w:p>
              </w:tc>
              <w:tc>
                <w:tcPr>
                  <w:tcW w:w="485" w:type="pct"/>
                  <w:tcBorders>
                    <w:tl2br w:val="nil"/>
                    <w:tr2bl w:val="nil"/>
                  </w:tcBorders>
                  <w:noWrap w:val="0"/>
                  <w:vAlign w:val="center"/>
                </w:tcPr>
                <w:p w14:paraId="43F9D39C">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485" w:type="pct"/>
                  <w:tcBorders>
                    <w:tl2br w:val="nil"/>
                    <w:tr2bl w:val="nil"/>
                  </w:tcBorders>
                  <w:noWrap w:val="0"/>
                  <w:vAlign w:val="center"/>
                </w:tcPr>
                <w:p w14:paraId="5C6DDB71">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mg/m</w:t>
                  </w:r>
                  <w:r>
                    <w:rPr>
                      <w:rFonts w:hint="default" w:ascii="Times New Roman" w:hAnsi="Times New Roman" w:eastAsia="宋体" w:cs="Times New Roman"/>
                      <w:i w:val="0"/>
                      <w:iCs w:val="0"/>
                      <w:color w:val="auto"/>
                      <w:kern w:val="0"/>
                      <w:sz w:val="21"/>
                      <w:szCs w:val="21"/>
                      <w:u w:val="none" w:color="auto"/>
                      <w:vertAlign w:val="superscript"/>
                      <w:lang w:val="en-US" w:eastAsia="zh-CN" w:bidi="ar"/>
                    </w:rPr>
                    <w:t>3</w:t>
                  </w:r>
                </w:p>
              </w:tc>
            </w:tr>
            <w:tr w14:paraId="4CB44C8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485" w:type="pct"/>
                  <w:vMerge w:val="continue"/>
                  <w:tcBorders>
                    <w:tl2br w:val="nil"/>
                    <w:tr2bl w:val="nil"/>
                  </w:tcBorders>
                  <w:noWrap w:val="0"/>
                  <w:vAlign w:val="center"/>
                </w:tcPr>
                <w:p w14:paraId="25644117">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5" w:type="pct"/>
                  <w:vMerge w:val="continue"/>
                  <w:tcBorders>
                    <w:tl2br w:val="nil"/>
                    <w:tr2bl w:val="nil"/>
                  </w:tcBorders>
                  <w:noWrap w:val="0"/>
                  <w:vAlign w:val="center"/>
                </w:tcPr>
                <w:p w14:paraId="554AC90A">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5" w:type="pct"/>
                  <w:vMerge w:val="continue"/>
                  <w:tcBorders>
                    <w:tl2br w:val="nil"/>
                    <w:tr2bl w:val="nil"/>
                  </w:tcBorders>
                  <w:noWrap w:val="0"/>
                  <w:vAlign w:val="center"/>
                </w:tcPr>
                <w:p w14:paraId="68EB2BA6">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798" w:type="pct"/>
                  <w:tcBorders>
                    <w:tl2br w:val="nil"/>
                    <w:tr2bl w:val="nil"/>
                  </w:tcBorders>
                  <w:noWrap w:val="0"/>
                  <w:vAlign w:val="center"/>
                </w:tcPr>
                <w:p w14:paraId="6F0326DA">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排放速率</w:t>
                  </w:r>
                </w:p>
              </w:tc>
              <w:tc>
                <w:tcPr>
                  <w:tcW w:w="591" w:type="pct"/>
                  <w:tcBorders>
                    <w:tl2br w:val="nil"/>
                    <w:tr2bl w:val="nil"/>
                  </w:tcBorders>
                  <w:noWrap w:val="0"/>
                  <w:vAlign w:val="center"/>
                </w:tcPr>
                <w:p w14:paraId="5FB37EE6">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0.24</w:t>
                  </w:r>
                </w:p>
              </w:tc>
              <w:tc>
                <w:tcPr>
                  <w:tcW w:w="591" w:type="pct"/>
                  <w:tcBorders>
                    <w:tl2br w:val="nil"/>
                    <w:tr2bl w:val="nil"/>
                  </w:tcBorders>
                  <w:noWrap w:val="0"/>
                  <w:vAlign w:val="center"/>
                </w:tcPr>
                <w:p w14:paraId="6ACF9A62">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0.3</w:t>
                  </w:r>
                </w:p>
              </w:tc>
              <w:tc>
                <w:tcPr>
                  <w:tcW w:w="591" w:type="pct"/>
                  <w:tcBorders>
                    <w:tl2br w:val="nil"/>
                    <w:tr2bl w:val="nil"/>
                  </w:tcBorders>
                  <w:noWrap w:val="0"/>
                  <w:vAlign w:val="center"/>
                </w:tcPr>
                <w:p w14:paraId="7C7B45BF">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0.23</w:t>
                  </w:r>
                </w:p>
              </w:tc>
              <w:tc>
                <w:tcPr>
                  <w:tcW w:w="485" w:type="pct"/>
                  <w:tcBorders>
                    <w:tl2br w:val="nil"/>
                    <w:tr2bl w:val="nil"/>
                  </w:tcBorders>
                  <w:noWrap w:val="0"/>
                  <w:vAlign w:val="center"/>
                </w:tcPr>
                <w:p w14:paraId="52695A40">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485" w:type="pct"/>
                  <w:tcBorders>
                    <w:tl2br w:val="nil"/>
                    <w:tr2bl w:val="nil"/>
                  </w:tcBorders>
                  <w:noWrap w:val="0"/>
                  <w:vAlign w:val="center"/>
                </w:tcPr>
                <w:p w14:paraId="68BA015D">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kg/h</w:t>
                  </w:r>
                </w:p>
              </w:tc>
            </w:tr>
            <w:tr w14:paraId="5FFCF63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485" w:type="pct"/>
                  <w:vMerge w:val="continue"/>
                  <w:tcBorders>
                    <w:tl2br w:val="nil"/>
                    <w:tr2bl w:val="nil"/>
                  </w:tcBorders>
                  <w:noWrap w:val="0"/>
                  <w:vAlign w:val="center"/>
                </w:tcPr>
                <w:p w14:paraId="2735C730">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5" w:type="pct"/>
                  <w:vMerge w:val="continue"/>
                  <w:tcBorders>
                    <w:tl2br w:val="nil"/>
                    <w:tr2bl w:val="nil"/>
                  </w:tcBorders>
                  <w:noWrap w:val="0"/>
                  <w:vAlign w:val="center"/>
                </w:tcPr>
                <w:p w14:paraId="003A5E61">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5" w:type="pct"/>
                  <w:vMerge w:val="restart"/>
                  <w:tcBorders>
                    <w:tl2br w:val="nil"/>
                    <w:tr2bl w:val="nil"/>
                  </w:tcBorders>
                  <w:noWrap w:val="0"/>
                  <w:vAlign w:val="center"/>
                </w:tcPr>
                <w:p w14:paraId="5EE7AB56">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镍及其化合物</w:t>
                  </w:r>
                </w:p>
              </w:tc>
              <w:tc>
                <w:tcPr>
                  <w:tcW w:w="798" w:type="pct"/>
                  <w:tcBorders>
                    <w:tl2br w:val="nil"/>
                    <w:tr2bl w:val="nil"/>
                  </w:tcBorders>
                  <w:noWrap w:val="0"/>
                  <w:vAlign w:val="center"/>
                </w:tcPr>
                <w:p w14:paraId="5C5003B9">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实测浓度</w:t>
                  </w:r>
                </w:p>
              </w:tc>
              <w:tc>
                <w:tcPr>
                  <w:tcW w:w="591" w:type="pct"/>
                  <w:tcBorders>
                    <w:tl2br w:val="nil"/>
                    <w:tr2bl w:val="nil"/>
                  </w:tcBorders>
                  <w:noWrap w:val="0"/>
                  <w:vAlign w:val="center"/>
                </w:tcPr>
                <w:p w14:paraId="569DC3AD">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7.87×10</w:t>
                  </w:r>
                  <w:r>
                    <w:rPr>
                      <w:rFonts w:hint="default" w:ascii="Times New Roman" w:hAnsi="Times New Roman" w:eastAsia="宋体" w:cs="Times New Roman"/>
                      <w:i w:val="0"/>
                      <w:iCs w:val="0"/>
                      <w:color w:val="auto"/>
                      <w:kern w:val="0"/>
                      <w:sz w:val="21"/>
                      <w:szCs w:val="21"/>
                      <w:u w:val="none" w:color="auto"/>
                      <w:vertAlign w:val="superscript"/>
                      <w:lang w:val="en-US" w:eastAsia="zh-CN" w:bidi="ar"/>
                    </w:rPr>
                    <w:t>-2</w:t>
                  </w:r>
                </w:p>
              </w:tc>
              <w:tc>
                <w:tcPr>
                  <w:tcW w:w="591" w:type="pct"/>
                  <w:tcBorders>
                    <w:tl2br w:val="nil"/>
                    <w:tr2bl w:val="nil"/>
                  </w:tcBorders>
                  <w:noWrap w:val="0"/>
                  <w:vAlign w:val="center"/>
                </w:tcPr>
                <w:p w14:paraId="495C6FFA">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7.14×10</w:t>
                  </w:r>
                  <w:r>
                    <w:rPr>
                      <w:rFonts w:hint="default" w:ascii="Times New Roman" w:hAnsi="Times New Roman" w:eastAsia="宋体" w:cs="Times New Roman"/>
                      <w:i w:val="0"/>
                      <w:iCs w:val="0"/>
                      <w:color w:val="auto"/>
                      <w:kern w:val="0"/>
                      <w:sz w:val="21"/>
                      <w:szCs w:val="21"/>
                      <w:u w:val="none" w:color="auto"/>
                      <w:vertAlign w:val="superscript"/>
                      <w:lang w:val="en-US" w:eastAsia="zh-CN" w:bidi="ar"/>
                    </w:rPr>
                    <w:t>-2</w:t>
                  </w:r>
                </w:p>
              </w:tc>
              <w:tc>
                <w:tcPr>
                  <w:tcW w:w="591" w:type="pct"/>
                  <w:tcBorders>
                    <w:tl2br w:val="nil"/>
                    <w:tr2bl w:val="nil"/>
                  </w:tcBorders>
                  <w:noWrap w:val="0"/>
                  <w:vAlign w:val="center"/>
                </w:tcPr>
                <w:p w14:paraId="2C311B46">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7.23×10</w:t>
                  </w:r>
                  <w:r>
                    <w:rPr>
                      <w:rFonts w:hint="default" w:ascii="Times New Roman" w:hAnsi="Times New Roman" w:eastAsia="宋体" w:cs="Times New Roman"/>
                      <w:i w:val="0"/>
                      <w:iCs w:val="0"/>
                      <w:color w:val="auto"/>
                      <w:kern w:val="0"/>
                      <w:sz w:val="21"/>
                      <w:szCs w:val="21"/>
                      <w:u w:val="none" w:color="auto"/>
                      <w:vertAlign w:val="superscript"/>
                      <w:lang w:val="en-US" w:eastAsia="zh-CN" w:bidi="ar"/>
                    </w:rPr>
                    <w:t>-2</w:t>
                  </w:r>
                </w:p>
              </w:tc>
              <w:tc>
                <w:tcPr>
                  <w:tcW w:w="485" w:type="pct"/>
                  <w:tcBorders>
                    <w:tl2br w:val="nil"/>
                    <w:tr2bl w:val="nil"/>
                  </w:tcBorders>
                  <w:noWrap w:val="0"/>
                  <w:vAlign w:val="center"/>
                </w:tcPr>
                <w:p w14:paraId="6ECF0B5B">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485" w:type="pct"/>
                  <w:tcBorders>
                    <w:tl2br w:val="nil"/>
                    <w:tr2bl w:val="nil"/>
                  </w:tcBorders>
                  <w:noWrap w:val="0"/>
                  <w:vAlign w:val="center"/>
                </w:tcPr>
                <w:p w14:paraId="74FC380C">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mg/m</w:t>
                  </w:r>
                  <w:r>
                    <w:rPr>
                      <w:rFonts w:hint="default" w:ascii="Times New Roman" w:hAnsi="Times New Roman" w:eastAsia="宋体" w:cs="Times New Roman"/>
                      <w:i w:val="0"/>
                      <w:iCs w:val="0"/>
                      <w:color w:val="auto"/>
                      <w:kern w:val="0"/>
                      <w:sz w:val="21"/>
                      <w:szCs w:val="21"/>
                      <w:u w:val="none" w:color="auto"/>
                      <w:vertAlign w:val="superscript"/>
                      <w:lang w:val="en-US" w:eastAsia="zh-CN" w:bidi="ar"/>
                    </w:rPr>
                    <w:t>3</w:t>
                  </w:r>
                </w:p>
              </w:tc>
            </w:tr>
            <w:tr w14:paraId="1BD4630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485" w:type="pct"/>
                  <w:vMerge w:val="continue"/>
                  <w:tcBorders>
                    <w:tl2br w:val="nil"/>
                    <w:tr2bl w:val="nil"/>
                  </w:tcBorders>
                  <w:noWrap w:val="0"/>
                  <w:vAlign w:val="center"/>
                </w:tcPr>
                <w:p w14:paraId="1320B794">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5" w:type="pct"/>
                  <w:vMerge w:val="continue"/>
                  <w:tcBorders>
                    <w:tl2br w:val="nil"/>
                    <w:tr2bl w:val="nil"/>
                  </w:tcBorders>
                  <w:noWrap w:val="0"/>
                  <w:vAlign w:val="center"/>
                </w:tcPr>
                <w:p w14:paraId="198C0079">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5" w:type="pct"/>
                  <w:vMerge w:val="continue"/>
                  <w:tcBorders>
                    <w:tl2br w:val="nil"/>
                    <w:tr2bl w:val="nil"/>
                  </w:tcBorders>
                  <w:noWrap w:val="0"/>
                  <w:vAlign w:val="center"/>
                </w:tcPr>
                <w:p w14:paraId="4D3FA378">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798" w:type="pct"/>
                  <w:tcBorders>
                    <w:tl2br w:val="nil"/>
                    <w:tr2bl w:val="nil"/>
                  </w:tcBorders>
                  <w:noWrap w:val="0"/>
                  <w:vAlign w:val="center"/>
                </w:tcPr>
                <w:p w14:paraId="5D9E3B46">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排放速率</w:t>
                  </w:r>
                </w:p>
              </w:tc>
              <w:tc>
                <w:tcPr>
                  <w:tcW w:w="591" w:type="pct"/>
                  <w:tcBorders>
                    <w:tl2br w:val="nil"/>
                    <w:tr2bl w:val="nil"/>
                  </w:tcBorders>
                  <w:noWrap w:val="0"/>
                  <w:vAlign w:val="center"/>
                </w:tcPr>
                <w:p w14:paraId="598A8766">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0.009</w:t>
                  </w:r>
                </w:p>
              </w:tc>
              <w:tc>
                <w:tcPr>
                  <w:tcW w:w="591" w:type="pct"/>
                  <w:tcBorders>
                    <w:tl2br w:val="nil"/>
                    <w:tr2bl w:val="nil"/>
                  </w:tcBorders>
                  <w:noWrap w:val="0"/>
                  <w:vAlign w:val="center"/>
                </w:tcPr>
                <w:p w14:paraId="6D491622">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0.009</w:t>
                  </w:r>
                </w:p>
              </w:tc>
              <w:tc>
                <w:tcPr>
                  <w:tcW w:w="591" w:type="pct"/>
                  <w:tcBorders>
                    <w:tl2br w:val="nil"/>
                    <w:tr2bl w:val="nil"/>
                  </w:tcBorders>
                  <w:noWrap w:val="0"/>
                  <w:vAlign w:val="center"/>
                </w:tcPr>
                <w:p w14:paraId="02AE90BE">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0.009</w:t>
                  </w:r>
                </w:p>
              </w:tc>
              <w:tc>
                <w:tcPr>
                  <w:tcW w:w="485" w:type="pct"/>
                  <w:tcBorders>
                    <w:tl2br w:val="nil"/>
                    <w:tr2bl w:val="nil"/>
                  </w:tcBorders>
                  <w:noWrap w:val="0"/>
                  <w:vAlign w:val="center"/>
                </w:tcPr>
                <w:p w14:paraId="55552F7F">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485" w:type="pct"/>
                  <w:tcBorders>
                    <w:tl2br w:val="nil"/>
                    <w:tr2bl w:val="nil"/>
                  </w:tcBorders>
                  <w:noWrap w:val="0"/>
                  <w:vAlign w:val="center"/>
                </w:tcPr>
                <w:p w14:paraId="3BB92BB6">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kg/h</w:t>
                  </w:r>
                </w:p>
              </w:tc>
            </w:tr>
            <w:tr w14:paraId="7CE7752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485" w:type="pct"/>
                  <w:vMerge w:val="continue"/>
                  <w:tcBorders>
                    <w:tl2br w:val="nil"/>
                    <w:tr2bl w:val="nil"/>
                  </w:tcBorders>
                  <w:noWrap w:val="0"/>
                  <w:vAlign w:val="center"/>
                </w:tcPr>
                <w:p w14:paraId="32211F54">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5" w:type="pct"/>
                  <w:vMerge w:val="restart"/>
                  <w:tcBorders>
                    <w:tl2br w:val="nil"/>
                    <w:tr2bl w:val="nil"/>
                  </w:tcBorders>
                  <w:noWrap w:val="0"/>
                  <w:vAlign w:val="center"/>
                </w:tcPr>
                <w:p w14:paraId="72A0A38D">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DA001出口</w:t>
                  </w:r>
                </w:p>
              </w:tc>
              <w:tc>
                <w:tcPr>
                  <w:tcW w:w="1284" w:type="pct"/>
                  <w:gridSpan w:val="2"/>
                  <w:tcBorders>
                    <w:tl2br w:val="nil"/>
                    <w:tr2bl w:val="nil"/>
                  </w:tcBorders>
                  <w:noWrap w:val="0"/>
                  <w:vAlign w:val="center"/>
                </w:tcPr>
                <w:p w14:paraId="64F92970">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标干流量</w:t>
                  </w:r>
                </w:p>
              </w:tc>
              <w:tc>
                <w:tcPr>
                  <w:tcW w:w="591" w:type="pct"/>
                  <w:tcBorders>
                    <w:tl2br w:val="nil"/>
                    <w:tr2bl w:val="nil"/>
                  </w:tcBorders>
                  <w:noWrap w:val="0"/>
                  <w:vAlign w:val="center"/>
                </w:tcPr>
                <w:p w14:paraId="5E5BD0CC">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110032</w:t>
                  </w:r>
                </w:p>
              </w:tc>
              <w:tc>
                <w:tcPr>
                  <w:tcW w:w="591" w:type="pct"/>
                  <w:tcBorders>
                    <w:tl2br w:val="nil"/>
                    <w:tr2bl w:val="nil"/>
                  </w:tcBorders>
                  <w:noWrap w:val="0"/>
                  <w:vAlign w:val="center"/>
                </w:tcPr>
                <w:p w14:paraId="4D6C2D81">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112234</w:t>
                  </w:r>
                </w:p>
              </w:tc>
              <w:tc>
                <w:tcPr>
                  <w:tcW w:w="591" w:type="pct"/>
                  <w:tcBorders>
                    <w:tl2br w:val="nil"/>
                    <w:tr2bl w:val="nil"/>
                  </w:tcBorders>
                  <w:noWrap w:val="0"/>
                  <w:vAlign w:val="center"/>
                </w:tcPr>
                <w:p w14:paraId="0523874A">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114018</w:t>
                  </w:r>
                </w:p>
              </w:tc>
              <w:tc>
                <w:tcPr>
                  <w:tcW w:w="485" w:type="pct"/>
                  <w:tcBorders>
                    <w:tl2br w:val="nil"/>
                    <w:tr2bl w:val="nil"/>
                  </w:tcBorders>
                  <w:noWrap w:val="0"/>
                  <w:vAlign w:val="center"/>
                </w:tcPr>
                <w:p w14:paraId="56704AA1">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485" w:type="pct"/>
                  <w:tcBorders>
                    <w:tl2br w:val="nil"/>
                    <w:tr2bl w:val="nil"/>
                  </w:tcBorders>
                  <w:noWrap w:val="0"/>
                  <w:vAlign w:val="center"/>
                </w:tcPr>
                <w:p w14:paraId="118E0878">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Nm</w:t>
                  </w:r>
                  <w:r>
                    <w:rPr>
                      <w:rFonts w:hint="default" w:ascii="Times New Roman" w:hAnsi="Times New Roman" w:eastAsia="宋体" w:cs="Times New Roman"/>
                      <w:i w:val="0"/>
                      <w:iCs w:val="0"/>
                      <w:color w:val="auto"/>
                      <w:kern w:val="0"/>
                      <w:sz w:val="21"/>
                      <w:szCs w:val="21"/>
                      <w:u w:val="none" w:color="auto"/>
                      <w:vertAlign w:val="superscript"/>
                      <w:lang w:val="en-US" w:eastAsia="zh-CN" w:bidi="ar"/>
                    </w:rPr>
                    <w:t>3</w:t>
                  </w:r>
                  <w:r>
                    <w:rPr>
                      <w:rFonts w:hint="default" w:ascii="Times New Roman" w:hAnsi="Times New Roman" w:eastAsia="宋体" w:cs="Times New Roman"/>
                      <w:i w:val="0"/>
                      <w:iCs w:val="0"/>
                      <w:color w:val="auto"/>
                      <w:kern w:val="0"/>
                      <w:sz w:val="21"/>
                      <w:szCs w:val="21"/>
                      <w:u w:val="none" w:color="auto"/>
                      <w:lang w:val="en-US" w:eastAsia="zh-CN" w:bidi="ar"/>
                    </w:rPr>
                    <w:t>/h</w:t>
                  </w:r>
                </w:p>
              </w:tc>
            </w:tr>
            <w:tr w14:paraId="5E023B9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485" w:type="pct"/>
                  <w:vMerge w:val="continue"/>
                  <w:tcBorders>
                    <w:tl2br w:val="nil"/>
                    <w:tr2bl w:val="nil"/>
                  </w:tcBorders>
                  <w:noWrap w:val="0"/>
                  <w:vAlign w:val="center"/>
                </w:tcPr>
                <w:p w14:paraId="6FC63A9E">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5" w:type="pct"/>
                  <w:vMerge w:val="continue"/>
                  <w:tcBorders>
                    <w:tl2br w:val="nil"/>
                    <w:tr2bl w:val="nil"/>
                  </w:tcBorders>
                  <w:noWrap w:val="0"/>
                  <w:vAlign w:val="center"/>
                </w:tcPr>
                <w:p w14:paraId="06EF6B8B">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1284" w:type="pct"/>
                  <w:gridSpan w:val="2"/>
                  <w:tcBorders>
                    <w:tl2br w:val="nil"/>
                    <w:tr2bl w:val="nil"/>
                  </w:tcBorders>
                  <w:noWrap w:val="0"/>
                  <w:vAlign w:val="center"/>
                </w:tcPr>
                <w:p w14:paraId="51BA64CB">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平均烟温</w:t>
                  </w:r>
                </w:p>
              </w:tc>
              <w:tc>
                <w:tcPr>
                  <w:tcW w:w="591" w:type="pct"/>
                  <w:tcBorders>
                    <w:tl2br w:val="nil"/>
                    <w:tr2bl w:val="nil"/>
                  </w:tcBorders>
                  <w:noWrap w:val="0"/>
                  <w:vAlign w:val="center"/>
                </w:tcPr>
                <w:p w14:paraId="39F4B627">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149.2</w:t>
                  </w:r>
                </w:p>
              </w:tc>
              <w:tc>
                <w:tcPr>
                  <w:tcW w:w="591" w:type="pct"/>
                  <w:tcBorders>
                    <w:tl2br w:val="nil"/>
                    <w:tr2bl w:val="nil"/>
                  </w:tcBorders>
                  <w:noWrap w:val="0"/>
                  <w:vAlign w:val="center"/>
                </w:tcPr>
                <w:p w14:paraId="5E8B8ADB">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149</w:t>
                  </w:r>
                </w:p>
              </w:tc>
              <w:tc>
                <w:tcPr>
                  <w:tcW w:w="591" w:type="pct"/>
                  <w:tcBorders>
                    <w:tl2br w:val="nil"/>
                    <w:tr2bl w:val="nil"/>
                  </w:tcBorders>
                  <w:noWrap w:val="0"/>
                  <w:vAlign w:val="center"/>
                </w:tcPr>
                <w:p w14:paraId="23F2ED5F">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149.5</w:t>
                  </w:r>
                </w:p>
              </w:tc>
              <w:tc>
                <w:tcPr>
                  <w:tcW w:w="485" w:type="pct"/>
                  <w:tcBorders>
                    <w:tl2br w:val="nil"/>
                    <w:tr2bl w:val="nil"/>
                  </w:tcBorders>
                  <w:noWrap w:val="0"/>
                  <w:vAlign w:val="center"/>
                </w:tcPr>
                <w:p w14:paraId="7B0E055A">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485" w:type="pct"/>
                  <w:tcBorders>
                    <w:tl2br w:val="nil"/>
                    <w:tr2bl w:val="nil"/>
                  </w:tcBorders>
                  <w:noWrap w:val="0"/>
                  <w:vAlign w:val="center"/>
                </w:tcPr>
                <w:p w14:paraId="6F2D6551">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r>
            <w:tr w14:paraId="1542837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485" w:type="pct"/>
                  <w:vMerge w:val="continue"/>
                  <w:tcBorders>
                    <w:tl2br w:val="nil"/>
                    <w:tr2bl w:val="nil"/>
                  </w:tcBorders>
                  <w:noWrap w:val="0"/>
                  <w:vAlign w:val="center"/>
                </w:tcPr>
                <w:p w14:paraId="2697E3A3">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5" w:type="pct"/>
                  <w:vMerge w:val="continue"/>
                  <w:tcBorders>
                    <w:tl2br w:val="nil"/>
                    <w:tr2bl w:val="nil"/>
                  </w:tcBorders>
                  <w:noWrap w:val="0"/>
                  <w:vAlign w:val="center"/>
                </w:tcPr>
                <w:p w14:paraId="14C7870C">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1284" w:type="pct"/>
                  <w:gridSpan w:val="2"/>
                  <w:tcBorders>
                    <w:tl2br w:val="nil"/>
                    <w:tr2bl w:val="nil"/>
                  </w:tcBorders>
                  <w:noWrap w:val="0"/>
                  <w:vAlign w:val="center"/>
                </w:tcPr>
                <w:p w14:paraId="12EBE063">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平均流速</w:t>
                  </w:r>
                </w:p>
              </w:tc>
              <w:tc>
                <w:tcPr>
                  <w:tcW w:w="591" w:type="pct"/>
                  <w:tcBorders>
                    <w:tl2br w:val="nil"/>
                    <w:tr2bl w:val="nil"/>
                  </w:tcBorders>
                  <w:noWrap w:val="0"/>
                  <w:vAlign w:val="center"/>
                </w:tcPr>
                <w:p w14:paraId="5E26C95D">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10.9</w:t>
                  </w:r>
                </w:p>
              </w:tc>
              <w:tc>
                <w:tcPr>
                  <w:tcW w:w="591" w:type="pct"/>
                  <w:tcBorders>
                    <w:tl2br w:val="nil"/>
                    <w:tr2bl w:val="nil"/>
                  </w:tcBorders>
                  <w:noWrap w:val="0"/>
                  <w:vAlign w:val="center"/>
                </w:tcPr>
                <w:p w14:paraId="72318B28">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11.1</w:t>
                  </w:r>
                </w:p>
              </w:tc>
              <w:tc>
                <w:tcPr>
                  <w:tcW w:w="591" w:type="pct"/>
                  <w:tcBorders>
                    <w:tl2br w:val="nil"/>
                    <w:tr2bl w:val="nil"/>
                  </w:tcBorders>
                  <w:noWrap w:val="0"/>
                  <w:vAlign w:val="center"/>
                </w:tcPr>
                <w:p w14:paraId="22D08AA3">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11.3</w:t>
                  </w:r>
                </w:p>
              </w:tc>
              <w:tc>
                <w:tcPr>
                  <w:tcW w:w="485" w:type="pct"/>
                  <w:tcBorders>
                    <w:tl2br w:val="nil"/>
                    <w:tr2bl w:val="nil"/>
                  </w:tcBorders>
                  <w:noWrap w:val="0"/>
                  <w:vAlign w:val="center"/>
                </w:tcPr>
                <w:p w14:paraId="1FF47048">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485" w:type="pct"/>
                  <w:tcBorders>
                    <w:tl2br w:val="nil"/>
                    <w:tr2bl w:val="nil"/>
                  </w:tcBorders>
                  <w:noWrap w:val="0"/>
                  <w:vAlign w:val="center"/>
                </w:tcPr>
                <w:p w14:paraId="511960B4">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m/s</w:t>
                  </w:r>
                </w:p>
              </w:tc>
            </w:tr>
            <w:tr w14:paraId="6DEE734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485" w:type="pct"/>
                  <w:vMerge w:val="continue"/>
                  <w:tcBorders>
                    <w:tl2br w:val="nil"/>
                    <w:tr2bl w:val="nil"/>
                  </w:tcBorders>
                  <w:noWrap w:val="0"/>
                  <w:vAlign w:val="center"/>
                </w:tcPr>
                <w:p w14:paraId="105D1872">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5" w:type="pct"/>
                  <w:vMerge w:val="continue"/>
                  <w:tcBorders>
                    <w:tl2br w:val="nil"/>
                    <w:tr2bl w:val="nil"/>
                  </w:tcBorders>
                  <w:noWrap w:val="0"/>
                  <w:vAlign w:val="center"/>
                </w:tcPr>
                <w:p w14:paraId="522BBAD7">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1284" w:type="pct"/>
                  <w:gridSpan w:val="2"/>
                  <w:tcBorders>
                    <w:tl2br w:val="nil"/>
                    <w:tr2bl w:val="nil"/>
                  </w:tcBorders>
                  <w:noWrap w:val="0"/>
                  <w:vAlign w:val="center"/>
                </w:tcPr>
                <w:p w14:paraId="419D0C52">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含氧量</w:t>
                  </w:r>
                </w:p>
              </w:tc>
              <w:tc>
                <w:tcPr>
                  <w:tcW w:w="591" w:type="pct"/>
                  <w:tcBorders>
                    <w:tl2br w:val="nil"/>
                    <w:tr2bl w:val="nil"/>
                  </w:tcBorders>
                  <w:noWrap w:val="0"/>
                  <w:vAlign w:val="center"/>
                </w:tcPr>
                <w:p w14:paraId="79CEDB12">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11.3</w:t>
                  </w:r>
                </w:p>
              </w:tc>
              <w:tc>
                <w:tcPr>
                  <w:tcW w:w="591" w:type="pct"/>
                  <w:tcBorders>
                    <w:tl2br w:val="nil"/>
                    <w:tr2bl w:val="nil"/>
                  </w:tcBorders>
                  <w:noWrap w:val="0"/>
                  <w:vAlign w:val="center"/>
                </w:tcPr>
                <w:p w14:paraId="3F1DF55D">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11.3</w:t>
                  </w:r>
                </w:p>
              </w:tc>
              <w:tc>
                <w:tcPr>
                  <w:tcW w:w="591" w:type="pct"/>
                  <w:tcBorders>
                    <w:tl2br w:val="nil"/>
                    <w:tr2bl w:val="nil"/>
                  </w:tcBorders>
                  <w:noWrap w:val="0"/>
                  <w:vAlign w:val="center"/>
                </w:tcPr>
                <w:p w14:paraId="2001DFD3">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11</w:t>
                  </w:r>
                </w:p>
              </w:tc>
              <w:tc>
                <w:tcPr>
                  <w:tcW w:w="485" w:type="pct"/>
                  <w:tcBorders>
                    <w:tl2br w:val="nil"/>
                    <w:tr2bl w:val="nil"/>
                  </w:tcBorders>
                  <w:noWrap w:val="0"/>
                  <w:vAlign w:val="center"/>
                </w:tcPr>
                <w:p w14:paraId="534F3704">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485" w:type="pct"/>
                  <w:tcBorders>
                    <w:tl2br w:val="nil"/>
                    <w:tr2bl w:val="nil"/>
                  </w:tcBorders>
                  <w:noWrap w:val="0"/>
                  <w:vAlign w:val="center"/>
                </w:tcPr>
                <w:p w14:paraId="53373950">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r>
            <w:tr w14:paraId="7EE8916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485" w:type="pct"/>
                  <w:vMerge w:val="continue"/>
                  <w:tcBorders>
                    <w:tl2br w:val="nil"/>
                    <w:tr2bl w:val="nil"/>
                  </w:tcBorders>
                  <w:noWrap w:val="0"/>
                  <w:vAlign w:val="center"/>
                </w:tcPr>
                <w:p w14:paraId="5DA1FDC1">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5" w:type="pct"/>
                  <w:vMerge w:val="continue"/>
                  <w:tcBorders>
                    <w:tl2br w:val="nil"/>
                    <w:tr2bl w:val="nil"/>
                  </w:tcBorders>
                  <w:noWrap w:val="0"/>
                  <w:vAlign w:val="center"/>
                </w:tcPr>
                <w:p w14:paraId="554C1E34">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5" w:type="pct"/>
                  <w:vMerge w:val="restart"/>
                  <w:tcBorders>
                    <w:tl2br w:val="nil"/>
                    <w:tr2bl w:val="nil"/>
                  </w:tcBorders>
                  <w:noWrap w:val="0"/>
                  <w:vAlign w:val="center"/>
                </w:tcPr>
                <w:p w14:paraId="70434CD6">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二氧化硫</w:t>
                  </w:r>
                </w:p>
              </w:tc>
              <w:tc>
                <w:tcPr>
                  <w:tcW w:w="798" w:type="pct"/>
                  <w:tcBorders>
                    <w:tl2br w:val="nil"/>
                    <w:tr2bl w:val="nil"/>
                  </w:tcBorders>
                  <w:noWrap w:val="0"/>
                  <w:vAlign w:val="center"/>
                </w:tcPr>
                <w:p w14:paraId="54B2D719">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实测浓度</w:t>
                  </w:r>
                </w:p>
              </w:tc>
              <w:tc>
                <w:tcPr>
                  <w:tcW w:w="591" w:type="pct"/>
                  <w:tcBorders>
                    <w:tl2br w:val="nil"/>
                    <w:tr2bl w:val="nil"/>
                  </w:tcBorders>
                  <w:noWrap w:val="0"/>
                  <w:vAlign w:val="center"/>
                </w:tcPr>
                <w:p w14:paraId="4FCF9912">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3（ND）</w:t>
                  </w:r>
                </w:p>
              </w:tc>
              <w:tc>
                <w:tcPr>
                  <w:tcW w:w="591" w:type="pct"/>
                  <w:tcBorders>
                    <w:tl2br w:val="nil"/>
                    <w:tr2bl w:val="nil"/>
                  </w:tcBorders>
                  <w:noWrap w:val="0"/>
                  <w:vAlign w:val="center"/>
                </w:tcPr>
                <w:p w14:paraId="3D25D46E">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w:t>
                  </w:r>
                </w:p>
              </w:tc>
              <w:tc>
                <w:tcPr>
                  <w:tcW w:w="591" w:type="pct"/>
                  <w:tcBorders>
                    <w:tl2br w:val="nil"/>
                    <w:tr2bl w:val="nil"/>
                  </w:tcBorders>
                  <w:noWrap w:val="0"/>
                  <w:vAlign w:val="center"/>
                </w:tcPr>
                <w:p w14:paraId="276E581F">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w:t>
                  </w:r>
                </w:p>
              </w:tc>
              <w:tc>
                <w:tcPr>
                  <w:tcW w:w="485" w:type="pct"/>
                  <w:tcBorders>
                    <w:tl2br w:val="nil"/>
                    <w:tr2bl w:val="nil"/>
                  </w:tcBorders>
                  <w:noWrap w:val="0"/>
                  <w:vAlign w:val="center"/>
                </w:tcPr>
                <w:p w14:paraId="54BA2C60">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485" w:type="pct"/>
                  <w:tcBorders>
                    <w:tl2br w:val="nil"/>
                    <w:tr2bl w:val="nil"/>
                  </w:tcBorders>
                  <w:noWrap w:val="0"/>
                  <w:vAlign w:val="center"/>
                </w:tcPr>
                <w:p w14:paraId="2A0CE44E">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mg/m</w:t>
                  </w:r>
                  <w:r>
                    <w:rPr>
                      <w:rFonts w:hint="default" w:ascii="Times New Roman" w:hAnsi="Times New Roman" w:eastAsia="宋体" w:cs="Times New Roman"/>
                      <w:i w:val="0"/>
                      <w:iCs w:val="0"/>
                      <w:color w:val="auto"/>
                      <w:kern w:val="0"/>
                      <w:sz w:val="21"/>
                      <w:szCs w:val="21"/>
                      <w:u w:val="none" w:color="auto"/>
                      <w:vertAlign w:val="superscript"/>
                      <w:lang w:val="en-US" w:eastAsia="zh-CN" w:bidi="ar"/>
                    </w:rPr>
                    <w:t>3</w:t>
                  </w:r>
                </w:p>
              </w:tc>
            </w:tr>
            <w:tr w14:paraId="444ADB4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485" w:type="pct"/>
                  <w:vMerge w:val="continue"/>
                  <w:tcBorders>
                    <w:tl2br w:val="nil"/>
                    <w:tr2bl w:val="nil"/>
                  </w:tcBorders>
                  <w:noWrap w:val="0"/>
                  <w:vAlign w:val="center"/>
                </w:tcPr>
                <w:p w14:paraId="38257AFD">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5" w:type="pct"/>
                  <w:vMerge w:val="continue"/>
                  <w:tcBorders>
                    <w:tl2br w:val="nil"/>
                    <w:tr2bl w:val="nil"/>
                  </w:tcBorders>
                  <w:noWrap w:val="0"/>
                  <w:vAlign w:val="center"/>
                </w:tcPr>
                <w:p w14:paraId="0279006F">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5" w:type="pct"/>
                  <w:vMerge w:val="continue"/>
                  <w:tcBorders>
                    <w:tl2br w:val="nil"/>
                    <w:tr2bl w:val="nil"/>
                  </w:tcBorders>
                  <w:noWrap w:val="0"/>
                  <w:vAlign w:val="center"/>
                </w:tcPr>
                <w:p w14:paraId="171FD11B">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798" w:type="pct"/>
                  <w:tcBorders>
                    <w:tl2br w:val="nil"/>
                    <w:tr2bl w:val="nil"/>
                  </w:tcBorders>
                  <w:noWrap w:val="0"/>
                  <w:vAlign w:val="center"/>
                </w:tcPr>
                <w:p w14:paraId="70DEDF71">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折算浓度</w:t>
                  </w:r>
                </w:p>
              </w:tc>
              <w:tc>
                <w:tcPr>
                  <w:tcW w:w="591" w:type="pct"/>
                  <w:tcBorders>
                    <w:tl2br w:val="nil"/>
                    <w:tr2bl w:val="nil"/>
                  </w:tcBorders>
                  <w:noWrap w:val="0"/>
                  <w:vAlign w:val="center"/>
                </w:tcPr>
                <w:p w14:paraId="6A66DE7A">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w:t>
                  </w:r>
                </w:p>
              </w:tc>
              <w:tc>
                <w:tcPr>
                  <w:tcW w:w="591" w:type="pct"/>
                  <w:tcBorders>
                    <w:tl2br w:val="nil"/>
                    <w:tr2bl w:val="nil"/>
                  </w:tcBorders>
                  <w:noWrap w:val="0"/>
                  <w:vAlign w:val="center"/>
                </w:tcPr>
                <w:p w14:paraId="05AB736F">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5</w:t>
                  </w:r>
                </w:p>
              </w:tc>
              <w:tc>
                <w:tcPr>
                  <w:tcW w:w="591" w:type="pct"/>
                  <w:tcBorders>
                    <w:tl2br w:val="nil"/>
                    <w:tr2bl w:val="nil"/>
                  </w:tcBorders>
                  <w:noWrap w:val="0"/>
                  <w:vAlign w:val="center"/>
                </w:tcPr>
                <w:p w14:paraId="0B03242F">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5</w:t>
                  </w:r>
                </w:p>
              </w:tc>
              <w:tc>
                <w:tcPr>
                  <w:tcW w:w="485" w:type="pct"/>
                  <w:tcBorders>
                    <w:tl2br w:val="nil"/>
                    <w:tr2bl w:val="nil"/>
                  </w:tcBorders>
                  <w:noWrap w:val="0"/>
                  <w:vAlign w:val="center"/>
                </w:tcPr>
                <w:p w14:paraId="26F68811">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100</w:t>
                  </w:r>
                </w:p>
              </w:tc>
              <w:tc>
                <w:tcPr>
                  <w:tcW w:w="485" w:type="pct"/>
                  <w:tcBorders>
                    <w:tl2br w:val="nil"/>
                    <w:tr2bl w:val="nil"/>
                  </w:tcBorders>
                  <w:noWrap w:val="0"/>
                  <w:vAlign w:val="center"/>
                </w:tcPr>
                <w:p w14:paraId="77780BE2">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mg/m</w:t>
                  </w:r>
                  <w:r>
                    <w:rPr>
                      <w:rFonts w:hint="default" w:ascii="Times New Roman" w:hAnsi="Times New Roman" w:eastAsia="宋体" w:cs="Times New Roman"/>
                      <w:i w:val="0"/>
                      <w:iCs w:val="0"/>
                      <w:color w:val="auto"/>
                      <w:kern w:val="0"/>
                      <w:sz w:val="21"/>
                      <w:szCs w:val="21"/>
                      <w:u w:val="none" w:color="auto"/>
                      <w:vertAlign w:val="superscript"/>
                      <w:lang w:val="en-US" w:eastAsia="zh-CN" w:bidi="ar"/>
                    </w:rPr>
                    <w:t>3</w:t>
                  </w:r>
                </w:p>
              </w:tc>
            </w:tr>
            <w:tr w14:paraId="5C18D3E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485" w:type="pct"/>
                  <w:vMerge w:val="continue"/>
                  <w:tcBorders>
                    <w:tl2br w:val="nil"/>
                    <w:tr2bl w:val="nil"/>
                  </w:tcBorders>
                  <w:noWrap w:val="0"/>
                  <w:vAlign w:val="center"/>
                </w:tcPr>
                <w:p w14:paraId="25D6A445">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5" w:type="pct"/>
                  <w:vMerge w:val="continue"/>
                  <w:tcBorders>
                    <w:tl2br w:val="nil"/>
                    <w:tr2bl w:val="nil"/>
                  </w:tcBorders>
                  <w:noWrap w:val="0"/>
                  <w:vAlign w:val="center"/>
                </w:tcPr>
                <w:p w14:paraId="2BD27EB9">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5" w:type="pct"/>
                  <w:vMerge w:val="continue"/>
                  <w:tcBorders>
                    <w:tl2br w:val="nil"/>
                    <w:tr2bl w:val="nil"/>
                  </w:tcBorders>
                  <w:noWrap w:val="0"/>
                  <w:vAlign w:val="center"/>
                </w:tcPr>
                <w:p w14:paraId="5302AF81">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798" w:type="pct"/>
                  <w:tcBorders>
                    <w:tl2br w:val="nil"/>
                    <w:tr2bl w:val="nil"/>
                  </w:tcBorders>
                  <w:noWrap w:val="0"/>
                  <w:vAlign w:val="center"/>
                </w:tcPr>
                <w:p w14:paraId="4F71F3ED">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排放速率</w:t>
                  </w:r>
                </w:p>
              </w:tc>
              <w:tc>
                <w:tcPr>
                  <w:tcW w:w="591" w:type="pct"/>
                  <w:tcBorders>
                    <w:tl2br w:val="nil"/>
                    <w:tr2bl w:val="nil"/>
                  </w:tcBorders>
                  <w:noWrap w:val="0"/>
                  <w:vAlign w:val="center"/>
                </w:tcPr>
                <w:p w14:paraId="23F23186">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0.22</w:t>
                  </w:r>
                </w:p>
              </w:tc>
              <w:tc>
                <w:tcPr>
                  <w:tcW w:w="591" w:type="pct"/>
                  <w:tcBorders>
                    <w:tl2br w:val="nil"/>
                    <w:tr2bl w:val="nil"/>
                  </w:tcBorders>
                  <w:noWrap w:val="0"/>
                  <w:vAlign w:val="center"/>
                </w:tcPr>
                <w:p w14:paraId="290D9089">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0.34</w:t>
                  </w:r>
                </w:p>
              </w:tc>
              <w:tc>
                <w:tcPr>
                  <w:tcW w:w="591" w:type="pct"/>
                  <w:tcBorders>
                    <w:tl2br w:val="nil"/>
                    <w:tr2bl w:val="nil"/>
                  </w:tcBorders>
                  <w:noWrap w:val="0"/>
                  <w:vAlign w:val="center"/>
                </w:tcPr>
                <w:p w14:paraId="381C6BF3">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0.34</w:t>
                  </w:r>
                </w:p>
              </w:tc>
              <w:tc>
                <w:tcPr>
                  <w:tcW w:w="485" w:type="pct"/>
                  <w:tcBorders>
                    <w:tl2br w:val="nil"/>
                    <w:tr2bl w:val="nil"/>
                  </w:tcBorders>
                  <w:noWrap w:val="0"/>
                  <w:vAlign w:val="center"/>
                </w:tcPr>
                <w:p w14:paraId="53554BE7">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485" w:type="pct"/>
                  <w:tcBorders>
                    <w:tl2br w:val="nil"/>
                    <w:tr2bl w:val="nil"/>
                  </w:tcBorders>
                  <w:noWrap w:val="0"/>
                  <w:vAlign w:val="center"/>
                </w:tcPr>
                <w:p w14:paraId="693D9EB6">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kg/h</w:t>
                  </w:r>
                </w:p>
              </w:tc>
            </w:tr>
            <w:tr w14:paraId="1F38B1E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485" w:type="pct"/>
                  <w:vMerge w:val="continue"/>
                  <w:tcBorders>
                    <w:tl2br w:val="nil"/>
                    <w:tr2bl w:val="nil"/>
                  </w:tcBorders>
                  <w:noWrap w:val="0"/>
                  <w:vAlign w:val="center"/>
                </w:tcPr>
                <w:p w14:paraId="16D3EA49">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5" w:type="pct"/>
                  <w:vMerge w:val="continue"/>
                  <w:tcBorders>
                    <w:tl2br w:val="nil"/>
                    <w:tr2bl w:val="nil"/>
                  </w:tcBorders>
                  <w:noWrap w:val="0"/>
                  <w:vAlign w:val="center"/>
                </w:tcPr>
                <w:p w14:paraId="792D98E6">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5" w:type="pct"/>
                  <w:vMerge w:val="restart"/>
                  <w:tcBorders>
                    <w:tl2br w:val="nil"/>
                    <w:tr2bl w:val="nil"/>
                  </w:tcBorders>
                  <w:noWrap w:val="0"/>
                  <w:vAlign w:val="center"/>
                </w:tcPr>
                <w:p w14:paraId="3A7837BA">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氮氧化物</w:t>
                  </w:r>
                </w:p>
              </w:tc>
              <w:tc>
                <w:tcPr>
                  <w:tcW w:w="798" w:type="pct"/>
                  <w:tcBorders>
                    <w:tl2br w:val="nil"/>
                    <w:tr2bl w:val="nil"/>
                  </w:tcBorders>
                  <w:noWrap w:val="0"/>
                  <w:vAlign w:val="center"/>
                </w:tcPr>
                <w:p w14:paraId="5DF9760E">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实测浓度</w:t>
                  </w:r>
                </w:p>
              </w:tc>
              <w:tc>
                <w:tcPr>
                  <w:tcW w:w="591" w:type="pct"/>
                  <w:tcBorders>
                    <w:tl2br w:val="nil"/>
                    <w:tr2bl w:val="nil"/>
                  </w:tcBorders>
                  <w:noWrap w:val="0"/>
                  <w:vAlign w:val="center"/>
                </w:tcPr>
                <w:p w14:paraId="000571BE">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3（ND）</w:t>
                  </w:r>
                </w:p>
              </w:tc>
              <w:tc>
                <w:tcPr>
                  <w:tcW w:w="591" w:type="pct"/>
                  <w:tcBorders>
                    <w:tl2br w:val="nil"/>
                    <w:tr2bl w:val="nil"/>
                  </w:tcBorders>
                  <w:noWrap w:val="0"/>
                  <w:vAlign w:val="center"/>
                </w:tcPr>
                <w:p w14:paraId="1974E56D">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3（ND）</w:t>
                  </w:r>
                </w:p>
              </w:tc>
              <w:tc>
                <w:tcPr>
                  <w:tcW w:w="591" w:type="pct"/>
                  <w:tcBorders>
                    <w:tl2br w:val="nil"/>
                    <w:tr2bl w:val="nil"/>
                  </w:tcBorders>
                  <w:noWrap w:val="0"/>
                  <w:vAlign w:val="center"/>
                </w:tcPr>
                <w:p w14:paraId="38FE0CFC">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3（ND）</w:t>
                  </w:r>
                </w:p>
              </w:tc>
              <w:tc>
                <w:tcPr>
                  <w:tcW w:w="485" w:type="pct"/>
                  <w:tcBorders>
                    <w:tl2br w:val="nil"/>
                    <w:tr2bl w:val="nil"/>
                  </w:tcBorders>
                  <w:noWrap w:val="0"/>
                  <w:vAlign w:val="center"/>
                </w:tcPr>
                <w:p w14:paraId="0469BA07">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485" w:type="pct"/>
                  <w:tcBorders>
                    <w:tl2br w:val="nil"/>
                    <w:tr2bl w:val="nil"/>
                  </w:tcBorders>
                  <w:noWrap w:val="0"/>
                  <w:vAlign w:val="center"/>
                </w:tcPr>
                <w:p w14:paraId="4A48BA64">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mg/m</w:t>
                  </w:r>
                  <w:r>
                    <w:rPr>
                      <w:rFonts w:hint="default" w:ascii="Times New Roman" w:hAnsi="Times New Roman" w:eastAsia="宋体" w:cs="Times New Roman"/>
                      <w:i w:val="0"/>
                      <w:iCs w:val="0"/>
                      <w:color w:val="auto"/>
                      <w:kern w:val="0"/>
                      <w:sz w:val="21"/>
                      <w:szCs w:val="21"/>
                      <w:u w:val="none" w:color="auto"/>
                      <w:vertAlign w:val="superscript"/>
                      <w:lang w:val="en-US" w:eastAsia="zh-CN" w:bidi="ar"/>
                    </w:rPr>
                    <w:t>3</w:t>
                  </w:r>
                </w:p>
              </w:tc>
            </w:tr>
            <w:tr w14:paraId="461786D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485" w:type="pct"/>
                  <w:vMerge w:val="continue"/>
                  <w:tcBorders>
                    <w:tl2br w:val="nil"/>
                    <w:tr2bl w:val="nil"/>
                  </w:tcBorders>
                  <w:noWrap w:val="0"/>
                  <w:vAlign w:val="center"/>
                </w:tcPr>
                <w:p w14:paraId="72C1465D">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5" w:type="pct"/>
                  <w:vMerge w:val="continue"/>
                  <w:tcBorders>
                    <w:tl2br w:val="nil"/>
                    <w:tr2bl w:val="nil"/>
                  </w:tcBorders>
                  <w:noWrap w:val="0"/>
                  <w:vAlign w:val="center"/>
                </w:tcPr>
                <w:p w14:paraId="584782C9">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5" w:type="pct"/>
                  <w:vMerge w:val="continue"/>
                  <w:tcBorders>
                    <w:tl2br w:val="nil"/>
                    <w:tr2bl w:val="nil"/>
                  </w:tcBorders>
                  <w:noWrap w:val="0"/>
                  <w:vAlign w:val="center"/>
                </w:tcPr>
                <w:p w14:paraId="7369CADA">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798" w:type="pct"/>
                  <w:tcBorders>
                    <w:tl2br w:val="nil"/>
                    <w:tr2bl w:val="nil"/>
                  </w:tcBorders>
                  <w:noWrap w:val="0"/>
                  <w:vAlign w:val="center"/>
                </w:tcPr>
                <w:p w14:paraId="58A47C49">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折算浓度</w:t>
                  </w:r>
                </w:p>
              </w:tc>
              <w:tc>
                <w:tcPr>
                  <w:tcW w:w="591" w:type="pct"/>
                  <w:tcBorders>
                    <w:tl2br w:val="nil"/>
                    <w:tr2bl w:val="nil"/>
                  </w:tcBorders>
                  <w:noWrap w:val="0"/>
                  <w:vAlign w:val="center"/>
                </w:tcPr>
                <w:p w14:paraId="3CD85A76">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4</w:t>
                  </w:r>
                </w:p>
              </w:tc>
              <w:tc>
                <w:tcPr>
                  <w:tcW w:w="591" w:type="pct"/>
                  <w:tcBorders>
                    <w:tl2br w:val="nil"/>
                    <w:tr2bl w:val="nil"/>
                  </w:tcBorders>
                  <w:noWrap w:val="0"/>
                  <w:vAlign w:val="center"/>
                </w:tcPr>
                <w:p w14:paraId="200C00EA">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3（ND）</w:t>
                  </w:r>
                </w:p>
              </w:tc>
              <w:tc>
                <w:tcPr>
                  <w:tcW w:w="591" w:type="pct"/>
                  <w:tcBorders>
                    <w:tl2br w:val="nil"/>
                    <w:tr2bl w:val="nil"/>
                  </w:tcBorders>
                  <w:noWrap w:val="0"/>
                  <w:vAlign w:val="center"/>
                </w:tcPr>
                <w:p w14:paraId="544BB4F6">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3（ND）</w:t>
                  </w:r>
                </w:p>
              </w:tc>
              <w:tc>
                <w:tcPr>
                  <w:tcW w:w="485" w:type="pct"/>
                  <w:tcBorders>
                    <w:tl2br w:val="nil"/>
                    <w:tr2bl w:val="nil"/>
                  </w:tcBorders>
                  <w:noWrap w:val="0"/>
                  <w:vAlign w:val="center"/>
                </w:tcPr>
                <w:p w14:paraId="1DDAC62E">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240</w:t>
                  </w:r>
                </w:p>
              </w:tc>
              <w:tc>
                <w:tcPr>
                  <w:tcW w:w="485" w:type="pct"/>
                  <w:tcBorders>
                    <w:tl2br w:val="nil"/>
                    <w:tr2bl w:val="nil"/>
                  </w:tcBorders>
                  <w:noWrap w:val="0"/>
                  <w:vAlign w:val="center"/>
                </w:tcPr>
                <w:p w14:paraId="1409E960">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mg/m</w:t>
                  </w:r>
                  <w:r>
                    <w:rPr>
                      <w:rFonts w:hint="default" w:ascii="Times New Roman" w:hAnsi="Times New Roman" w:eastAsia="宋体" w:cs="Times New Roman"/>
                      <w:i w:val="0"/>
                      <w:iCs w:val="0"/>
                      <w:color w:val="auto"/>
                      <w:kern w:val="0"/>
                      <w:sz w:val="21"/>
                      <w:szCs w:val="21"/>
                      <w:u w:val="none" w:color="auto"/>
                      <w:vertAlign w:val="superscript"/>
                      <w:lang w:val="en-US" w:eastAsia="zh-CN" w:bidi="ar"/>
                    </w:rPr>
                    <w:t>3</w:t>
                  </w:r>
                </w:p>
              </w:tc>
            </w:tr>
            <w:tr w14:paraId="76F40FC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485" w:type="pct"/>
                  <w:vMerge w:val="continue"/>
                  <w:tcBorders>
                    <w:tl2br w:val="nil"/>
                    <w:tr2bl w:val="nil"/>
                  </w:tcBorders>
                  <w:noWrap w:val="0"/>
                  <w:vAlign w:val="center"/>
                </w:tcPr>
                <w:p w14:paraId="74FAA7F3">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5" w:type="pct"/>
                  <w:vMerge w:val="continue"/>
                  <w:tcBorders>
                    <w:tl2br w:val="nil"/>
                    <w:tr2bl w:val="nil"/>
                  </w:tcBorders>
                  <w:noWrap w:val="0"/>
                  <w:vAlign w:val="center"/>
                </w:tcPr>
                <w:p w14:paraId="5F043123">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5" w:type="pct"/>
                  <w:vMerge w:val="continue"/>
                  <w:tcBorders>
                    <w:tl2br w:val="nil"/>
                    <w:tr2bl w:val="nil"/>
                  </w:tcBorders>
                  <w:noWrap w:val="0"/>
                  <w:vAlign w:val="center"/>
                </w:tcPr>
                <w:p w14:paraId="67DF3826">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798" w:type="pct"/>
                  <w:tcBorders>
                    <w:tl2br w:val="nil"/>
                    <w:tr2bl w:val="nil"/>
                  </w:tcBorders>
                  <w:noWrap w:val="0"/>
                  <w:vAlign w:val="center"/>
                </w:tcPr>
                <w:p w14:paraId="3AEEFE42">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排放速率</w:t>
                  </w:r>
                </w:p>
              </w:tc>
              <w:tc>
                <w:tcPr>
                  <w:tcW w:w="591" w:type="pct"/>
                  <w:tcBorders>
                    <w:tl2br w:val="nil"/>
                    <w:tr2bl w:val="nil"/>
                  </w:tcBorders>
                  <w:noWrap w:val="0"/>
                  <w:vAlign w:val="center"/>
                </w:tcPr>
                <w:p w14:paraId="2C1D4DF8">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0.28</w:t>
                  </w:r>
                </w:p>
              </w:tc>
              <w:tc>
                <w:tcPr>
                  <w:tcW w:w="591" w:type="pct"/>
                  <w:tcBorders>
                    <w:tl2br w:val="nil"/>
                    <w:tr2bl w:val="nil"/>
                  </w:tcBorders>
                  <w:noWrap w:val="0"/>
                  <w:vAlign w:val="center"/>
                </w:tcPr>
                <w:p w14:paraId="47EFDA58">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0.17</w:t>
                  </w:r>
                </w:p>
              </w:tc>
              <w:tc>
                <w:tcPr>
                  <w:tcW w:w="591" w:type="pct"/>
                  <w:tcBorders>
                    <w:tl2br w:val="nil"/>
                    <w:tr2bl w:val="nil"/>
                  </w:tcBorders>
                  <w:noWrap w:val="0"/>
                  <w:vAlign w:val="center"/>
                </w:tcPr>
                <w:p w14:paraId="39509DFE">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0.17</w:t>
                  </w:r>
                </w:p>
              </w:tc>
              <w:tc>
                <w:tcPr>
                  <w:tcW w:w="485" w:type="pct"/>
                  <w:tcBorders>
                    <w:tl2br w:val="nil"/>
                    <w:tr2bl w:val="nil"/>
                  </w:tcBorders>
                  <w:noWrap w:val="0"/>
                  <w:vAlign w:val="center"/>
                </w:tcPr>
                <w:p w14:paraId="312B9569">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0.385</w:t>
                  </w:r>
                </w:p>
              </w:tc>
              <w:tc>
                <w:tcPr>
                  <w:tcW w:w="485" w:type="pct"/>
                  <w:tcBorders>
                    <w:tl2br w:val="nil"/>
                    <w:tr2bl w:val="nil"/>
                  </w:tcBorders>
                  <w:noWrap w:val="0"/>
                  <w:vAlign w:val="center"/>
                </w:tcPr>
                <w:p w14:paraId="24AE9F88">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kg/h</w:t>
                  </w:r>
                </w:p>
              </w:tc>
            </w:tr>
            <w:tr w14:paraId="3554CCE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485" w:type="pct"/>
                  <w:vMerge w:val="continue"/>
                  <w:tcBorders>
                    <w:tl2br w:val="nil"/>
                    <w:tr2bl w:val="nil"/>
                  </w:tcBorders>
                  <w:noWrap w:val="0"/>
                  <w:vAlign w:val="center"/>
                </w:tcPr>
                <w:p w14:paraId="3A61EC3C">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5" w:type="pct"/>
                  <w:vMerge w:val="continue"/>
                  <w:tcBorders>
                    <w:tl2br w:val="nil"/>
                    <w:tr2bl w:val="nil"/>
                  </w:tcBorders>
                  <w:noWrap w:val="0"/>
                  <w:vAlign w:val="center"/>
                </w:tcPr>
                <w:p w14:paraId="75528948">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5" w:type="pct"/>
                  <w:vMerge w:val="restart"/>
                  <w:tcBorders>
                    <w:tl2br w:val="nil"/>
                    <w:tr2bl w:val="nil"/>
                  </w:tcBorders>
                  <w:noWrap w:val="0"/>
                  <w:vAlign w:val="center"/>
                </w:tcPr>
                <w:p w14:paraId="362171FF">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颗粒物</w:t>
                  </w:r>
                </w:p>
              </w:tc>
              <w:tc>
                <w:tcPr>
                  <w:tcW w:w="798" w:type="pct"/>
                  <w:tcBorders>
                    <w:tl2br w:val="nil"/>
                    <w:tr2bl w:val="nil"/>
                  </w:tcBorders>
                  <w:noWrap w:val="0"/>
                  <w:vAlign w:val="center"/>
                </w:tcPr>
                <w:p w14:paraId="2D817278">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实测浓度</w:t>
                  </w:r>
                </w:p>
              </w:tc>
              <w:tc>
                <w:tcPr>
                  <w:tcW w:w="591" w:type="pct"/>
                  <w:tcBorders>
                    <w:tl2br w:val="nil"/>
                    <w:tr2bl w:val="nil"/>
                  </w:tcBorders>
                  <w:noWrap w:val="0"/>
                  <w:vAlign w:val="center"/>
                </w:tcPr>
                <w:p w14:paraId="1576BEC8">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2.1</w:t>
                  </w:r>
                </w:p>
              </w:tc>
              <w:tc>
                <w:tcPr>
                  <w:tcW w:w="591" w:type="pct"/>
                  <w:tcBorders>
                    <w:tl2br w:val="nil"/>
                    <w:tr2bl w:val="nil"/>
                  </w:tcBorders>
                  <w:noWrap w:val="0"/>
                  <w:vAlign w:val="center"/>
                </w:tcPr>
                <w:p w14:paraId="497B9CED">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2.6</w:t>
                  </w:r>
                </w:p>
              </w:tc>
              <w:tc>
                <w:tcPr>
                  <w:tcW w:w="591" w:type="pct"/>
                  <w:tcBorders>
                    <w:tl2br w:val="nil"/>
                    <w:tr2bl w:val="nil"/>
                  </w:tcBorders>
                  <w:noWrap w:val="0"/>
                  <w:vAlign w:val="center"/>
                </w:tcPr>
                <w:p w14:paraId="70BA4825">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3.1</w:t>
                  </w:r>
                </w:p>
              </w:tc>
              <w:tc>
                <w:tcPr>
                  <w:tcW w:w="485" w:type="pct"/>
                  <w:tcBorders>
                    <w:tl2br w:val="nil"/>
                    <w:tr2bl w:val="nil"/>
                  </w:tcBorders>
                  <w:noWrap w:val="0"/>
                  <w:vAlign w:val="center"/>
                </w:tcPr>
                <w:p w14:paraId="021FBC37">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30</w:t>
                  </w:r>
                </w:p>
              </w:tc>
              <w:tc>
                <w:tcPr>
                  <w:tcW w:w="485" w:type="pct"/>
                  <w:tcBorders>
                    <w:tl2br w:val="nil"/>
                    <w:tr2bl w:val="nil"/>
                  </w:tcBorders>
                  <w:noWrap w:val="0"/>
                  <w:vAlign w:val="center"/>
                </w:tcPr>
                <w:p w14:paraId="7D288616">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mg/m</w:t>
                  </w:r>
                  <w:r>
                    <w:rPr>
                      <w:rFonts w:hint="default" w:ascii="Times New Roman" w:hAnsi="Times New Roman" w:eastAsia="宋体" w:cs="Times New Roman"/>
                      <w:i w:val="0"/>
                      <w:iCs w:val="0"/>
                      <w:color w:val="auto"/>
                      <w:kern w:val="0"/>
                      <w:sz w:val="21"/>
                      <w:szCs w:val="21"/>
                      <w:u w:val="none" w:color="auto"/>
                      <w:vertAlign w:val="superscript"/>
                      <w:lang w:val="en-US" w:eastAsia="zh-CN" w:bidi="ar"/>
                    </w:rPr>
                    <w:t>3</w:t>
                  </w:r>
                </w:p>
              </w:tc>
            </w:tr>
            <w:tr w14:paraId="2D42E7F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485" w:type="pct"/>
                  <w:vMerge w:val="continue"/>
                  <w:tcBorders>
                    <w:tl2br w:val="nil"/>
                    <w:tr2bl w:val="nil"/>
                  </w:tcBorders>
                  <w:noWrap w:val="0"/>
                  <w:vAlign w:val="center"/>
                </w:tcPr>
                <w:p w14:paraId="7BF05FA5">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5" w:type="pct"/>
                  <w:vMerge w:val="continue"/>
                  <w:tcBorders>
                    <w:tl2br w:val="nil"/>
                    <w:tr2bl w:val="nil"/>
                  </w:tcBorders>
                  <w:noWrap w:val="0"/>
                  <w:vAlign w:val="center"/>
                </w:tcPr>
                <w:p w14:paraId="2597755C">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5" w:type="pct"/>
                  <w:vMerge w:val="continue"/>
                  <w:tcBorders>
                    <w:tl2br w:val="nil"/>
                    <w:tr2bl w:val="nil"/>
                  </w:tcBorders>
                  <w:noWrap w:val="0"/>
                  <w:vAlign w:val="center"/>
                </w:tcPr>
                <w:p w14:paraId="685DF3FA">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798" w:type="pct"/>
                  <w:tcBorders>
                    <w:tl2br w:val="nil"/>
                    <w:tr2bl w:val="nil"/>
                  </w:tcBorders>
                  <w:noWrap w:val="0"/>
                  <w:vAlign w:val="center"/>
                </w:tcPr>
                <w:p w14:paraId="4881AD65">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排放速率</w:t>
                  </w:r>
                </w:p>
              </w:tc>
              <w:tc>
                <w:tcPr>
                  <w:tcW w:w="591" w:type="pct"/>
                  <w:tcBorders>
                    <w:tl2br w:val="nil"/>
                    <w:tr2bl w:val="nil"/>
                  </w:tcBorders>
                  <w:noWrap w:val="0"/>
                  <w:vAlign w:val="center"/>
                </w:tcPr>
                <w:p w14:paraId="011BB3FA">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0.23</w:t>
                  </w:r>
                </w:p>
              </w:tc>
              <w:tc>
                <w:tcPr>
                  <w:tcW w:w="591" w:type="pct"/>
                  <w:tcBorders>
                    <w:tl2br w:val="nil"/>
                    <w:tr2bl w:val="nil"/>
                  </w:tcBorders>
                  <w:noWrap w:val="0"/>
                  <w:vAlign w:val="center"/>
                </w:tcPr>
                <w:p w14:paraId="0714BCD4">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0.29</w:t>
                  </w:r>
                </w:p>
              </w:tc>
              <w:tc>
                <w:tcPr>
                  <w:tcW w:w="591" w:type="pct"/>
                  <w:tcBorders>
                    <w:tl2br w:val="nil"/>
                    <w:tr2bl w:val="nil"/>
                  </w:tcBorders>
                  <w:noWrap w:val="0"/>
                  <w:vAlign w:val="center"/>
                </w:tcPr>
                <w:p w14:paraId="4DF1C9E7">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0.35</w:t>
                  </w:r>
                </w:p>
              </w:tc>
              <w:tc>
                <w:tcPr>
                  <w:tcW w:w="485" w:type="pct"/>
                  <w:tcBorders>
                    <w:tl2br w:val="nil"/>
                    <w:tr2bl w:val="nil"/>
                  </w:tcBorders>
                  <w:noWrap w:val="0"/>
                  <w:vAlign w:val="center"/>
                </w:tcPr>
                <w:p w14:paraId="75B7FE46">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485" w:type="pct"/>
                  <w:tcBorders>
                    <w:tl2br w:val="nil"/>
                    <w:tr2bl w:val="nil"/>
                  </w:tcBorders>
                  <w:noWrap w:val="0"/>
                  <w:vAlign w:val="center"/>
                </w:tcPr>
                <w:p w14:paraId="56F0BCD7">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kg/h</w:t>
                  </w:r>
                </w:p>
              </w:tc>
            </w:tr>
            <w:tr w14:paraId="679DFB5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485" w:type="pct"/>
                  <w:vMerge w:val="continue"/>
                  <w:tcBorders>
                    <w:tl2br w:val="nil"/>
                    <w:tr2bl w:val="nil"/>
                  </w:tcBorders>
                  <w:noWrap w:val="0"/>
                  <w:vAlign w:val="center"/>
                </w:tcPr>
                <w:p w14:paraId="7D31BB4E">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5" w:type="pct"/>
                  <w:vMerge w:val="continue"/>
                  <w:tcBorders>
                    <w:tl2br w:val="nil"/>
                    <w:tr2bl w:val="nil"/>
                  </w:tcBorders>
                  <w:noWrap w:val="0"/>
                  <w:vAlign w:val="center"/>
                </w:tcPr>
                <w:p w14:paraId="51F84991">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5" w:type="pct"/>
                  <w:vMerge w:val="restart"/>
                  <w:tcBorders>
                    <w:tl2br w:val="nil"/>
                    <w:tr2bl w:val="nil"/>
                  </w:tcBorders>
                  <w:noWrap w:val="0"/>
                  <w:vAlign w:val="center"/>
                </w:tcPr>
                <w:p w14:paraId="6DCDAA4C">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氯化氢</w:t>
                  </w:r>
                </w:p>
              </w:tc>
              <w:tc>
                <w:tcPr>
                  <w:tcW w:w="798" w:type="pct"/>
                  <w:tcBorders>
                    <w:tl2br w:val="nil"/>
                    <w:tr2bl w:val="nil"/>
                  </w:tcBorders>
                  <w:noWrap w:val="0"/>
                  <w:vAlign w:val="center"/>
                </w:tcPr>
                <w:p w14:paraId="76F1CEDD">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实测浓度</w:t>
                  </w:r>
                </w:p>
              </w:tc>
              <w:tc>
                <w:tcPr>
                  <w:tcW w:w="591" w:type="pct"/>
                  <w:tcBorders>
                    <w:tl2br w:val="nil"/>
                    <w:tr2bl w:val="nil"/>
                  </w:tcBorders>
                  <w:noWrap w:val="0"/>
                  <w:vAlign w:val="center"/>
                </w:tcPr>
                <w:p w14:paraId="109B03E3">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lang w:val="en-US"/>
                    </w:rPr>
                  </w:pPr>
                  <w:r>
                    <w:rPr>
                      <w:rFonts w:hint="default" w:ascii="Times New Roman" w:hAnsi="Times New Roman" w:eastAsia="宋体" w:cs="Times New Roman"/>
                      <w:i w:val="0"/>
                      <w:iCs w:val="0"/>
                      <w:color w:val="auto"/>
                      <w:kern w:val="0"/>
                      <w:sz w:val="21"/>
                      <w:szCs w:val="21"/>
                      <w:u w:val="none" w:color="auto"/>
                      <w:lang w:val="en-US" w:eastAsia="zh-CN" w:bidi="ar"/>
                    </w:rPr>
                    <w:t>0.954</w:t>
                  </w:r>
                </w:p>
              </w:tc>
              <w:tc>
                <w:tcPr>
                  <w:tcW w:w="591" w:type="pct"/>
                  <w:tcBorders>
                    <w:tl2br w:val="nil"/>
                    <w:tr2bl w:val="nil"/>
                  </w:tcBorders>
                  <w:noWrap w:val="0"/>
                  <w:vAlign w:val="center"/>
                </w:tcPr>
                <w:p w14:paraId="61D947E3">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0.83</w:t>
                  </w:r>
                </w:p>
              </w:tc>
              <w:tc>
                <w:tcPr>
                  <w:tcW w:w="591" w:type="pct"/>
                  <w:tcBorders>
                    <w:tl2br w:val="nil"/>
                    <w:tr2bl w:val="nil"/>
                  </w:tcBorders>
                  <w:noWrap w:val="0"/>
                  <w:vAlign w:val="center"/>
                </w:tcPr>
                <w:p w14:paraId="5ABFA1C9">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1.08</w:t>
                  </w:r>
                </w:p>
              </w:tc>
              <w:tc>
                <w:tcPr>
                  <w:tcW w:w="485" w:type="pct"/>
                  <w:tcBorders>
                    <w:tl2br w:val="nil"/>
                    <w:tr2bl w:val="nil"/>
                  </w:tcBorders>
                  <w:noWrap w:val="0"/>
                  <w:vAlign w:val="center"/>
                </w:tcPr>
                <w:p w14:paraId="16895EED">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100</w:t>
                  </w:r>
                </w:p>
              </w:tc>
              <w:tc>
                <w:tcPr>
                  <w:tcW w:w="485" w:type="pct"/>
                  <w:tcBorders>
                    <w:tl2br w:val="nil"/>
                    <w:tr2bl w:val="nil"/>
                  </w:tcBorders>
                  <w:noWrap w:val="0"/>
                  <w:vAlign w:val="center"/>
                </w:tcPr>
                <w:p w14:paraId="2E337AFC">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mg/m</w:t>
                  </w:r>
                  <w:r>
                    <w:rPr>
                      <w:rFonts w:hint="default" w:ascii="Times New Roman" w:hAnsi="Times New Roman" w:eastAsia="宋体" w:cs="Times New Roman"/>
                      <w:i w:val="0"/>
                      <w:iCs w:val="0"/>
                      <w:color w:val="auto"/>
                      <w:kern w:val="0"/>
                      <w:sz w:val="21"/>
                      <w:szCs w:val="21"/>
                      <w:u w:val="none" w:color="auto"/>
                      <w:vertAlign w:val="superscript"/>
                      <w:lang w:val="en-US" w:eastAsia="zh-CN" w:bidi="ar"/>
                    </w:rPr>
                    <w:t>3</w:t>
                  </w:r>
                </w:p>
              </w:tc>
            </w:tr>
            <w:tr w14:paraId="63EA144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485" w:type="pct"/>
                  <w:vMerge w:val="continue"/>
                  <w:tcBorders>
                    <w:tl2br w:val="nil"/>
                    <w:tr2bl w:val="nil"/>
                  </w:tcBorders>
                  <w:noWrap w:val="0"/>
                  <w:vAlign w:val="center"/>
                </w:tcPr>
                <w:p w14:paraId="23C90C10">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5" w:type="pct"/>
                  <w:vMerge w:val="continue"/>
                  <w:tcBorders>
                    <w:tl2br w:val="nil"/>
                    <w:tr2bl w:val="nil"/>
                  </w:tcBorders>
                  <w:noWrap w:val="0"/>
                  <w:vAlign w:val="center"/>
                </w:tcPr>
                <w:p w14:paraId="7D86B6D3">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5" w:type="pct"/>
                  <w:vMerge w:val="continue"/>
                  <w:tcBorders>
                    <w:tl2br w:val="nil"/>
                    <w:tr2bl w:val="nil"/>
                  </w:tcBorders>
                  <w:noWrap w:val="0"/>
                  <w:vAlign w:val="center"/>
                </w:tcPr>
                <w:p w14:paraId="4170D1B0">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798" w:type="pct"/>
                  <w:tcBorders>
                    <w:tl2br w:val="nil"/>
                    <w:tr2bl w:val="nil"/>
                  </w:tcBorders>
                  <w:noWrap w:val="0"/>
                  <w:vAlign w:val="center"/>
                </w:tcPr>
                <w:p w14:paraId="422ACD59">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排放速率</w:t>
                  </w:r>
                </w:p>
              </w:tc>
              <w:tc>
                <w:tcPr>
                  <w:tcW w:w="591" w:type="pct"/>
                  <w:tcBorders>
                    <w:tl2br w:val="nil"/>
                    <w:tr2bl w:val="nil"/>
                  </w:tcBorders>
                  <w:noWrap w:val="0"/>
                  <w:vAlign w:val="center"/>
                </w:tcPr>
                <w:p w14:paraId="1A5F3972">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0.1</w:t>
                  </w:r>
                </w:p>
              </w:tc>
              <w:tc>
                <w:tcPr>
                  <w:tcW w:w="591" w:type="pct"/>
                  <w:tcBorders>
                    <w:tl2br w:val="nil"/>
                    <w:tr2bl w:val="nil"/>
                  </w:tcBorders>
                  <w:noWrap w:val="0"/>
                  <w:vAlign w:val="center"/>
                </w:tcPr>
                <w:p w14:paraId="60D4F388">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0.09</w:t>
                  </w:r>
                </w:p>
              </w:tc>
              <w:tc>
                <w:tcPr>
                  <w:tcW w:w="591" w:type="pct"/>
                  <w:tcBorders>
                    <w:tl2br w:val="nil"/>
                    <w:tr2bl w:val="nil"/>
                  </w:tcBorders>
                  <w:noWrap w:val="0"/>
                  <w:vAlign w:val="center"/>
                </w:tcPr>
                <w:p w14:paraId="474EE472">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0.12</w:t>
                  </w:r>
                </w:p>
              </w:tc>
              <w:tc>
                <w:tcPr>
                  <w:tcW w:w="485" w:type="pct"/>
                  <w:tcBorders>
                    <w:tl2br w:val="nil"/>
                    <w:tr2bl w:val="nil"/>
                  </w:tcBorders>
                  <w:noWrap w:val="0"/>
                  <w:vAlign w:val="center"/>
                </w:tcPr>
                <w:p w14:paraId="5E242631">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1.64</w:t>
                  </w:r>
                </w:p>
              </w:tc>
              <w:tc>
                <w:tcPr>
                  <w:tcW w:w="485" w:type="pct"/>
                  <w:tcBorders>
                    <w:tl2br w:val="nil"/>
                    <w:tr2bl w:val="nil"/>
                  </w:tcBorders>
                  <w:noWrap w:val="0"/>
                  <w:vAlign w:val="center"/>
                </w:tcPr>
                <w:p w14:paraId="3331361A">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kg/h</w:t>
                  </w:r>
                </w:p>
              </w:tc>
            </w:tr>
            <w:tr w14:paraId="32B0D63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485" w:type="pct"/>
                  <w:vMerge w:val="continue"/>
                  <w:tcBorders>
                    <w:tl2br w:val="nil"/>
                    <w:tr2bl w:val="nil"/>
                  </w:tcBorders>
                  <w:noWrap w:val="0"/>
                  <w:vAlign w:val="center"/>
                </w:tcPr>
                <w:p w14:paraId="370699F6">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5" w:type="pct"/>
                  <w:vMerge w:val="continue"/>
                  <w:tcBorders>
                    <w:tl2br w:val="nil"/>
                    <w:tr2bl w:val="nil"/>
                  </w:tcBorders>
                  <w:noWrap w:val="0"/>
                  <w:vAlign w:val="center"/>
                </w:tcPr>
                <w:p w14:paraId="772430FE">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5" w:type="pct"/>
                  <w:vMerge w:val="restart"/>
                  <w:tcBorders>
                    <w:tl2br w:val="nil"/>
                    <w:tr2bl w:val="nil"/>
                  </w:tcBorders>
                  <w:noWrap w:val="0"/>
                  <w:vAlign w:val="center"/>
                </w:tcPr>
                <w:p w14:paraId="37A194C6">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镍及其化合物</w:t>
                  </w:r>
                </w:p>
              </w:tc>
              <w:tc>
                <w:tcPr>
                  <w:tcW w:w="798" w:type="pct"/>
                  <w:tcBorders>
                    <w:tl2br w:val="nil"/>
                    <w:tr2bl w:val="nil"/>
                  </w:tcBorders>
                  <w:noWrap w:val="0"/>
                  <w:vAlign w:val="center"/>
                </w:tcPr>
                <w:p w14:paraId="21619537">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实测浓度</w:t>
                  </w:r>
                </w:p>
              </w:tc>
              <w:tc>
                <w:tcPr>
                  <w:tcW w:w="591" w:type="pct"/>
                  <w:tcBorders>
                    <w:tl2br w:val="nil"/>
                    <w:tr2bl w:val="nil"/>
                  </w:tcBorders>
                  <w:noWrap w:val="0"/>
                  <w:vAlign w:val="center"/>
                </w:tcPr>
                <w:p w14:paraId="20D636D8">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3.18×10</w:t>
                  </w:r>
                  <w:r>
                    <w:rPr>
                      <w:rFonts w:hint="default" w:ascii="Times New Roman" w:hAnsi="Times New Roman" w:eastAsia="宋体" w:cs="Times New Roman"/>
                      <w:i w:val="0"/>
                      <w:iCs w:val="0"/>
                      <w:color w:val="auto"/>
                      <w:kern w:val="0"/>
                      <w:sz w:val="21"/>
                      <w:szCs w:val="21"/>
                      <w:u w:val="none" w:color="auto"/>
                      <w:vertAlign w:val="superscript"/>
                      <w:lang w:val="en-US" w:eastAsia="zh-CN" w:bidi="ar"/>
                    </w:rPr>
                    <w:t>-2</w:t>
                  </w:r>
                </w:p>
              </w:tc>
              <w:tc>
                <w:tcPr>
                  <w:tcW w:w="591" w:type="pct"/>
                  <w:tcBorders>
                    <w:tl2br w:val="nil"/>
                    <w:tr2bl w:val="nil"/>
                  </w:tcBorders>
                  <w:noWrap w:val="0"/>
                  <w:vAlign w:val="center"/>
                </w:tcPr>
                <w:p w14:paraId="4619E148">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3.09×10</w:t>
                  </w:r>
                  <w:r>
                    <w:rPr>
                      <w:rFonts w:hint="default" w:ascii="Times New Roman" w:hAnsi="Times New Roman" w:eastAsia="宋体" w:cs="Times New Roman"/>
                      <w:i w:val="0"/>
                      <w:iCs w:val="0"/>
                      <w:color w:val="auto"/>
                      <w:kern w:val="0"/>
                      <w:sz w:val="21"/>
                      <w:szCs w:val="21"/>
                      <w:u w:val="none" w:color="auto"/>
                      <w:vertAlign w:val="superscript"/>
                      <w:lang w:val="en-US" w:eastAsia="zh-CN" w:bidi="ar"/>
                    </w:rPr>
                    <w:t>-2</w:t>
                  </w:r>
                </w:p>
              </w:tc>
              <w:tc>
                <w:tcPr>
                  <w:tcW w:w="591" w:type="pct"/>
                  <w:tcBorders>
                    <w:tl2br w:val="nil"/>
                    <w:tr2bl w:val="nil"/>
                  </w:tcBorders>
                  <w:noWrap w:val="0"/>
                  <w:vAlign w:val="center"/>
                </w:tcPr>
                <w:p w14:paraId="3FAA3FA5">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3.09×10</w:t>
                  </w:r>
                  <w:r>
                    <w:rPr>
                      <w:rFonts w:hint="default" w:ascii="Times New Roman" w:hAnsi="Times New Roman" w:eastAsia="宋体" w:cs="Times New Roman"/>
                      <w:i w:val="0"/>
                      <w:iCs w:val="0"/>
                      <w:color w:val="auto"/>
                      <w:kern w:val="0"/>
                      <w:sz w:val="21"/>
                      <w:szCs w:val="21"/>
                      <w:u w:val="none" w:color="auto"/>
                      <w:vertAlign w:val="superscript"/>
                      <w:lang w:val="en-US" w:eastAsia="zh-CN" w:bidi="ar"/>
                    </w:rPr>
                    <w:t>-2</w:t>
                  </w:r>
                </w:p>
              </w:tc>
              <w:tc>
                <w:tcPr>
                  <w:tcW w:w="485" w:type="pct"/>
                  <w:tcBorders>
                    <w:tl2br w:val="nil"/>
                    <w:tr2bl w:val="nil"/>
                  </w:tcBorders>
                  <w:noWrap w:val="0"/>
                  <w:vAlign w:val="center"/>
                </w:tcPr>
                <w:p w14:paraId="5BA7FC58">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4.3</w:t>
                  </w:r>
                </w:p>
              </w:tc>
              <w:tc>
                <w:tcPr>
                  <w:tcW w:w="485" w:type="pct"/>
                  <w:tcBorders>
                    <w:tl2br w:val="nil"/>
                    <w:tr2bl w:val="nil"/>
                  </w:tcBorders>
                  <w:noWrap w:val="0"/>
                  <w:vAlign w:val="center"/>
                </w:tcPr>
                <w:p w14:paraId="02253FA5">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mg/m</w:t>
                  </w:r>
                  <w:r>
                    <w:rPr>
                      <w:rFonts w:hint="default" w:ascii="Times New Roman" w:hAnsi="Times New Roman" w:eastAsia="宋体" w:cs="Times New Roman"/>
                      <w:i w:val="0"/>
                      <w:iCs w:val="0"/>
                      <w:color w:val="auto"/>
                      <w:kern w:val="0"/>
                      <w:sz w:val="21"/>
                      <w:szCs w:val="21"/>
                      <w:u w:val="none" w:color="auto"/>
                      <w:vertAlign w:val="superscript"/>
                      <w:lang w:val="en-US" w:eastAsia="zh-CN" w:bidi="ar"/>
                    </w:rPr>
                    <w:t>3</w:t>
                  </w:r>
                </w:p>
              </w:tc>
            </w:tr>
            <w:tr w14:paraId="0E79059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485" w:type="pct"/>
                  <w:vMerge w:val="continue"/>
                  <w:tcBorders>
                    <w:tl2br w:val="nil"/>
                    <w:tr2bl w:val="nil"/>
                  </w:tcBorders>
                  <w:noWrap w:val="0"/>
                  <w:vAlign w:val="center"/>
                </w:tcPr>
                <w:p w14:paraId="3009AE55">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5" w:type="pct"/>
                  <w:vMerge w:val="continue"/>
                  <w:tcBorders>
                    <w:tl2br w:val="nil"/>
                    <w:tr2bl w:val="nil"/>
                  </w:tcBorders>
                  <w:noWrap w:val="0"/>
                  <w:vAlign w:val="center"/>
                </w:tcPr>
                <w:p w14:paraId="6C47F18A">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5" w:type="pct"/>
                  <w:vMerge w:val="continue"/>
                  <w:tcBorders>
                    <w:tl2br w:val="nil"/>
                    <w:tr2bl w:val="nil"/>
                  </w:tcBorders>
                  <w:noWrap w:val="0"/>
                  <w:vAlign w:val="center"/>
                </w:tcPr>
                <w:p w14:paraId="71336D4C">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798" w:type="pct"/>
                  <w:tcBorders>
                    <w:tl2br w:val="nil"/>
                    <w:tr2bl w:val="nil"/>
                  </w:tcBorders>
                  <w:noWrap w:val="0"/>
                  <w:vAlign w:val="center"/>
                </w:tcPr>
                <w:p w14:paraId="3B7D242E">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排放速率</w:t>
                  </w:r>
                </w:p>
              </w:tc>
              <w:tc>
                <w:tcPr>
                  <w:tcW w:w="591" w:type="pct"/>
                  <w:tcBorders>
                    <w:tl2br w:val="nil"/>
                    <w:tr2bl w:val="nil"/>
                  </w:tcBorders>
                  <w:noWrap w:val="0"/>
                  <w:vAlign w:val="center"/>
                </w:tcPr>
                <w:p w14:paraId="6C9414D6">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0.003</w:t>
                  </w:r>
                </w:p>
              </w:tc>
              <w:tc>
                <w:tcPr>
                  <w:tcW w:w="591" w:type="pct"/>
                  <w:tcBorders>
                    <w:tl2br w:val="nil"/>
                    <w:tr2bl w:val="nil"/>
                  </w:tcBorders>
                  <w:noWrap w:val="0"/>
                  <w:vAlign w:val="center"/>
                </w:tcPr>
                <w:p w14:paraId="0C2B511D">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0.003</w:t>
                  </w:r>
                </w:p>
              </w:tc>
              <w:tc>
                <w:tcPr>
                  <w:tcW w:w="591" w:type="pct"/>
                  <w:tcBorders>
                    <w:tl2br w:val="nil"/>
                    <w:tr2bl w:val="nil"/>
                  </w:tcBorders>
                  <w:noWrap w:val="0"/>
                  <w:vAlign w:val="center"/>
                </w:tcPr>
                <w:p w14:paraId="2F4D5ED4">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0.004</w:t>
                  </w:r>
                </w:p>
              </w:tc>
              <w:tc>
                <w:tcPr>
                  <w:tcW w:w="485" w:type="pct"/>
                  <w:tcBorders>
                    <w:tl2br w:val="nil"/>
                    <w:tr2bl w:val="nil"/>
                  </w:tcBorders>
                  <w:noWrap w:val="0"/>
                  <w:vAlign w:val="center"/>
                </w:tcPr>
                <w:p w14:paraId="469A5737">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1.004</w:t>
                  </w:r>
                </w:p>
              </w:tc>
              <w:tc>
                <w:tcPr>
                  <w:tcW w:w="485" w:type="pct"/>
                  <w:tcBorders>
                    <w:tl2br w:val="nil"/>
                    <w:tr2bl w:val="nil"/>
                  </w:tcBorders>
                  <w:noWrap w:val="0"/>
                  <w:vAlign w:val="center"/>
                </w:tcPr>
                <w:p w14:paraId="04144650">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kg/h</w:t>
                  </w:r>
                </w:p>
              </w:tc>
            </w:tr>
          </w:tbl>
          <w:p w14:paraId="44BBEC5B">
            <w:pPr>
              <w:widowControl w:val="0"/>
              <w:adjustRightInd/>
              <w:snapToGrid/>
              <w:spacing w:after="0"/>
              <w:jc w:val="center"/>
              <w:rPr>
                <w:rFonts w:hint="default" w:ascii="Times New Roman" w:hAnsi="Times New Roman" w:eastAsia="宋体" w:cs="Times New Roman"/>
                <w:b/>
                <w:bCs/>
                <w:color w:val="auto"/>
                <w:sz w:val="21"/>
                <w:szCs w:val="21"/>
                <w:u w:val="none" w:color="auto"/>
                <w:lang w:eastAsia="zh-CN"/>
              </w:rPr>
            </w:pPr>
            <w:r>
              <w:rPr>
                <w:rFonts w:hint="default" w:ascii="Times New Roman" w:hAnsi="Times New Roman" w:eastAsia="宋体" w:cs="Times New Roman"/>
                <w:b/>
                <w:bCs/>
                <w:color w:val="auto"/>
                <w:sz w:val="21"/>
                <w:szCs w:val="21"/>
                <w:u w:val="none" w:color="auto"/>
              </w:rPr>
              <w:t>表</w:t>
            </w:r>
            <w:r>
              <w:rPr>
                <w:rFonts w:hint="default" w:ascii="Times New Roman" w:hAnsi="Times New Roman" w:eastAsia="宋体" w:cs="Times New Roman"/>
                <w:b/>
                <w:bCs/>
                <w:color w:val="auto"/>
                <w:sz w:val="21"/>
                <w:szCs w:val="21"/>
                <w:u w:val="none" w:color="auto"/>
                <w:lang w:val="en-US" w:eastAsia="zh-CN"/>
              </w:rPr>
              <w:t>2</w:t>
            </w:r>
            <w:r>
              <w:rPr>
                <w:rFonts w:hint="default" w:ascii="Times New Roman" w:hAnsi="Times New Roman" w:eastAsia="宋体" w:cs="Times New Roman"/>
                <w:b/>
                <w:bCs/>
                <w:color w:val="auto"/>
                <w:sz w:val="21"/>
                <w:szCs w:val="21"/>
                <w:u w:val="none" w:color="auto"/>
              </w:rPr>
              <w:t>-</w:t>
            </w:r>
            <w:r>
              <w:rPr>
                <w:rFonts w:hint="default" w:ascii="Times New Roman" w:hAnsi="Times New Roman" w:eastAsia="宋体" w:cs="Times New Roman"/>
                <w:b/>
                <w:bCs/>
                <w:color w:val="auto"/>
                <w:sz w:val="21"/>
                <w:szCs w:val="21"/>
                <w:u w:val="none" w:color="auto"/>
                <w:lang w:val="en-US" w:eastAsia="zh-CN"/>
              </w:rPr>
              <w:t xml:space="preserve">10 </w:t>
            </w:r>
            <w:r>
              <w:rPr>
                <w:rFonts w:hint="default" w:ascii="Times New Roman" w:hAnsi="Times New Roman" w:eastAsia="宋体" w:cs="Times New Roman"/>
                <w:b/>
                <w:bCs/>
                <w:color w:val="auto"/>
                <w:sz w:val="21"/>
                <w:szCs w:val="21"/>
                <w:u w:val="none" w:color="auto"/>
              </w:rPr>
              <w:t xml:space="preserve"> 有组织</w:t>
            </w:r>
            <w:r>
              <w:rPr>
                <w:rFonts w:hint="default" w:ascii="Times New Roman" w:hAnsi="Times New Roman" w:eastAsia="宋体" w:cs="Times New Roman"/>
                <w:b/>
                <w:bCs/>
                <w:color w:val="auto"/>
                <w:sz w:val="21"/>
                <w:szCs w:val="21"/>
                <w:u w:val="none" w:color="auto"/>
                <w:lang w:val="en-US" w:eastAsia="zh-CN"/>
              </w:rPr>
              <w:t>DA002</w:t>
            </w:r>
            <w:r>
              <w:rPr>
                <w:rFonts w:hint="default" w:ascii="Times New Roman" w:hAnsi="Times New Roman" w:eastAsia="宋体" w:cs="Times New Roman"/>
                <w:b/>
                <w:bCs/>
                <w:color w:val="auto"/>
                <w:sz w:val="21"/>
                <w:szCs w:val="21"/>
                <w:u w:val="none" w:color="auto"/>
              </w:rPr>
              <w:t>废气监测结果</w:t>
            </w:r>
          </w:p>
          <w:tbl>
            <w:tblPr>
              <w:tblStyle w:val="31"/>
              <w:tblW w:w="4997"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150"/>
              <w:gridCol w:w="628"/>
              <w:gridCol w:w="1286"/>
              <w:gridCol w:w="1015"/>
              <w:gridCol w:w="1110"/>
              <w:gridCol w:w="1155"/>
              <w:gridCol w:w="1101"/>
              <w:gridCol w:w="1022"/>
            </w:tblGrid>
            <w:tr w14:paraId="6D3DAC9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79" w:type="pct"/>
                  <w:vMerge w:val="restart"/>
                  <w:tcBorders>
                    <w:tl2br w:val="nil"/>
                    <w:tr2bl w:val="nil"/>
                  </w:tcBorders>
                  <w:noWrap w:val="0"/>
                  <w:vAlign w:val="center"/>
                </w:tcPr>
                <w:p w14:paraId="30F7C743">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bCs/>
                      <w:color w:val="auto"/>
                      <w:sz w:val="21"/>
                      <w:szCs w:val="21"/>
                      <w:u w:val="none" w:color="auto"/>
                      <w:lang w:eastAsia="zh-CN"/>
                    </w:rPr>
                  </w:pPr>
                  <w:r>
                    <w:rPr>
                      <w:rFonts w:hint="default" w:ascii="Times New Roman" w:hAnsi="Times New Roman" w:eastAsia="宋体" w:cs="Times New Roman"/>
                      <w:b/>
                      <w:bCs/>
                      <w:color w:val="auto"/>
                      <w:sz w:val="21"/>
                      <w:szCs w:val="21"/>
                      <w:u w:val="none" w:color="auto"/>
                    </w:rPr>
                    <w:t>监测地点</w:t>
                  </w:r>
                </w:p>
              </w:tc>
              <w:tc>
                <w:tcPr>
                  <w:tcW w:w="1130" w:type="pct"/>
                  <w:gridSpan w:val="2"/>
                  <w:vMerge w:val="restart"/>
                  <w:tcBorders>
                    <w:tl2br w:val="nil"/>
                    <w:tr2bl w:val="nil"/>
                  </w:tcBorders>
                  <w:noWrap w:val="0"/>
                  <w:vAlign w:val="center"/>
                </w:tcPr>
                <w:p w14:paraId="7A7CA4D9">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监测项目</w:t>
                  </w:r>
                </w:p>
              </w:tc>
              <w:tc>
                <w:tcPr>
                  <w:tcW w:w="599" w:type="pct"/>
                  <w:vMerge w:val="restart"/>
                  <w:tcBorders>
                    <w:tl2br w:val="nil"/>
                    <w:tr2bl w:val="nil"/>
                  </w:tcBorders>
                  <w:noWrap w:val="0"/>
                  <w:vAlign w:val="center"/>
                </w:tcPr>
                <w:p w14:paraId="0306FA8A">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计量单位</w:t>
                  </w:r>
                </w:p>
              </w:tc>
              <w:tc>
                <w:tcPr>
                  <w:tcW w:w="2590" w:type="pct"/>
                  <w:gridSpan w:val="4"/>
                  <w:tcBorders>
                    <w:tl2br w:val="nil"/>
                    <w:tr2bl w:val="nil"/>
                  </w:tcBorders>
                  <w:noWrap w:val="0"/>
                  <w:vAlign w:val="center"/>
                </w:tcPr>
                <w:p w14:paraId="0EC1B819">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lang w:val="en-US" w:eastAsia="zh-CN"/>
                    </w:rPr>
                    <w:t xml:space="preserve">7月21日 </w:t>
                  </w:r>
                  <w:r>
                    <w:rPr>
                      <w:rFonts w:hint="default" w:ascii="Times New Roman" w:hAnsi="Times New Roman" w:eastAsia="宋体" w:cs="Times New Roman"/>
                      <w:b/>
                      <w:bCs/>
                      <w:color w:val="auto"/>
                      <w:sz w:val="21"/>
                      <w:szCs w:val="21"/>
                      <w:u w:val="none" w:color="auto"/>
                    </w:rPr>
                    <w:t>检测结果</w:t>
                  </w:r>
                </w:p>
              </w:tc>
            </w:tr>
            <w:tr w14:paraId="4791912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79" w:type="pct"/>
                  <w:vMerge w:val="continue"/>
                  <w:tcBorders>
                    <w:tl2br w:val="nil"/>
                    <w:tr2bl w:val="nil"/>
                  </w:tcBorders>
                  <w:noWrap w:val="0"/>
                  <w:vAlign w:val="center"/>
                </w:tcPr>
                <w:p w14:paraId="3D8E7231">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bCs/>
                      <w:color w:val="auto"/>
                      <w:kern w:val="2"/>
                      <w:sz w:val="21"/>
                      <w:szCs w:val="21"/>
                      <w:highlight w:val="none"/>
                      <w:u w:val="none" w:color="auto"/>
                      <w:lang w:val="en-US" w:eastAsia="zh-CN"/>
                    </w:rPr>
                  </w:pPr>
                </w:p>
              </w:tc>
              <w:tc>
                <w:tcPr>
                  <w:tcW w:w="1130" w:type="pct"/>
                  <w:gridSpan w:val="2"/>
                  <w:vMerge w:val="continue"/>
                  <w:tcBorders>
                    <w:tl2br w:val="nil"/>
                    <w:tr2bl w:val="nil"/>
                  </w:tcBorders>
                  <w:noWrap w:val="0"/>
                  <w:vAlign w:val="center"/>
                </w:tcPr>
                <w:p w14:paraId="30C71FA2">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bCs/>
                      <w:color w:val="auto"/>
                      <w:sz w:val="21"/>
                      <w:szCs w:val="21"/>
                      <w:u w:val="none" w:color="auto"/>
                    </w:rPr>
                  </w:pPr>
                </w:p>
              </w:tc>
              <w:tc>
                <w:tcPr>
                  <w:tcW w:w="599" w:type="pct"/>
                  <w:vMerge w:val="continue"/>
                  <w:tcBorders>
                    <w:tl2br w:val="nil"/>
                    <w:tr2bl w:val="nil"/>
                  </w:tcBorders>
                  <w:noWrap w:val="0"/>
                  <w:vAlign w:val="center"/>
                </w:tcPr>
                <w:p w14:paraId="70F961FE">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bCs/>
                      <w:snapToGrid w:val="0"/>
                      <w:color w:val="auto"/>
                      <w:spacing w:val="-6"/>
                      <w:sz w:val="21"/>
                      <w:szCs w:val="21"/>
                      <w:u w:val="none" w:color="auto"/>
                    </w:rPr>
                  </w:pPr>
                </w:p>
              </w:tc>
              <w:tc>
                <w:tcPr>
                  <w:tcW w:w="655" w:type="pct"/>
                  <w:tcBorders>
                    <w:tl2br w:val="nil"/>
                    <w:tr2bl w:val="nil"/>
                  </w:tcBorders>
                  <w:noWrap w:val="0"/>
                  <w:vAlign w:val="center"/>
                </w:tcPr>
                <w:p w14:paraId="3B0B179F">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bCs/>
                      <w:snapToGrid w:val="0"/>
                      <w:color w:val="auto"/>
                      <w:spacing w:val="-6"/>
                      <w:sz w:val="21"/>
                      <w:szCs w:val="21"/>
                      <w:u w:val="none" w:color="auto"/>
                      <w:lang w:val="en-US" w:eastAsia="zh-CN"/>
                    </w:rPr>
                  </w:pPr>
                  <w:r>
                    <w:rPr>
                      <w:rFonts w:hint="default" w:ascii="Times New Roman" w:hAnsi="Times New Roman" w:eastAsia="宋体" w:cs="Times New Roman"/>
                      <w:b/>
                      <w:bCs/>
                      <w:snapToGrid w:val="0"/>
                      <w:color w:val="auto"/>
                      <w:spacing w:val="-6"/>
                      <w:sz w:val="21"/>
                      <w:szCs w:val="21"/>
                      <w:u w:val="none" w:color="auto"/>
                      <w:lang w:val="en-US" w:eastAsia="zh-CN"/>
                    </w:rPr>
                    <w:t>9:56-10:16</w:t>
                  </w:r>
                </w:p>
              </w:tc>
              <w:tc>
                <w:tcPr>
                  <w:tcW w:w="682" w:type="pct"/>
                  <w:tcBorders>
                    <w:tl2br w:val="nil"/>
                    <w:tr2bl w:val="nil"/>
                  </w:tcBorders>
                  <w:noWrap w:val="0"/>
                  <w:vAlign w:val="center"/>
                </w:tcPr>
                <w:p w14:paraId="107F2D35">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bCs/>
                      <w:snapToGrid w:val="0"/>
                      <w:color w:val="auto"/>
                      <w:spacing w:val="-6"/>
                      <w:sz w:val="21"/>
                      <w:szCs w:val="21"/>
                      <w:u w:val="none" w:color="auto"/>
                      <w:lang w:val="en-US" w:eastAsia="zh-CN"/>
                    </w:rPr>
                  </w:pPr>
                  <w:r>
                    <w:rPr>
                      <w:rFonts w:hint="default" w:ascii="Times New Roman" w:hAnsi="Times New Roman" w:eastAsia="宋体" w:cs="Times New Roman"/>
                      <w:b/>
                      <w:bCs/>
                      <w:snapToGrid w:val="0"/>
                      <w:color w:val="auto"/>
                      <w:spacing w:val="-6"/>
                      <w:sz w:val="21"/>
                      <w:szCs w:val="21"/>
                      <w:u w:val="none" w:color="auto"/>
                      <w:lang w:val="en-US" w:eastAsia="zh-CN"/>
                    </w:rPr>
                    <w:t>10:21-10:41</w:t>
                  </w:r>
                </w:p>
              </w:tc>
              <w:tc>
                <w:tcPr>
                  <w:tcW w:w="1252" w:type="pct"/>
                  <w:gridSpan w:val="2"/>
                  <w:tcBorders>
                    <w:tl2br w:val="nil"/>
                    <w:tr2bl w:val="nil"/>
                  </w:tcBorders>
                  <w:noWrap w:val="0"/>
                  <w:vAlign w:val="center"/>
                </w:tcPr>
                <w:p w14:paraId="72E5BFF3">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bCs/>
                      <w:snapToGrid w:val="0"/>
                      <w:color w:val="auto"/>
                      <w:spacing w:val="-6"/>
                      <w:sz w:val="21"/>
                      <w:szCs w:val="21"/>
                      <w:u w:val="none" w:color="auto"/>
                      <w:lang w:val="en-US" w:eastAsia="zh-CN"/>
                    </w:rPr>
                  </w:pPr>
                  <w:r>
                    <w:rPr>
                      <w:rFonts w:hint="default" w:ascii="Times New Roman" w:hAnsi="Times New Roman" w:eastAsia="宋体" w:cs="Times New Roman"/>
                      <w:b/>
                      <w:bCs/>
                      <w:snapToGrid w:val="0"/>
                      <w:color w:val="auto"/>
                      <w:spacing w:val="-6"/>
                      <w:sz w:val="21"/>
                      <w:szCs w:val="21"/>
                      <w:u w:val="none" w:color="auto"/>
                      <w:lang w:val="en-US" w:eastAsia="zh-CN"/>
                    </w:rPr>
                    <w:t>10:48-11:08</w:t>
                  </w:r>
                </w:p>
              </w:tc>
            </w:tr>
            <w:tr w14:paraId="313713D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79" w:type="pct"/>
                  <w:vMerge w:val="restart"/>
                  <w:tcBorders>
                    <w:tl2br w:val="nil"/>
                    <w:tr2bl w:val="nil"/>
                  </w:tcBorders>
                  <w:noWrap w:val="0"/>
                  <w:vAlign w:val="center"/>
                </w:tcPr>
                <w:p w14:paraId="3C0E0EF5">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color w:val="auto"/>
                      <w:sz w:val="21"/>
                      <w:szCs w:val="21"/>
                      <w:u w:val="none" w:color="auto"/>
                      <w:lang w:val="en-US"/>
                    </w:rPr>
                  </w:pPr>
                  <w:r>
                    <w:rPr>
                      <w:rFonts w:hint="default" w:ascii="Times New Roman" w:hAnsi="Times New Roman" w:eastAsia="宋体" w:cs="Times New Roman"/>
                      <w:bCs w:val="0"/>
                      <w:color w:val="auto"/>
                      <w:kern w:val="2"/>
                      <w:sz w:val="21"/>
                      <w:szCs w:val="21"/>
                      <w:highlight w:val="none"/>
                      <w:u w:val="none" w:color="auto"/>
                      <w:lang w:val="en-US" w:eastAsia="zh-CN"/>
                    </w:rPr>
                    <w:t>DA002除尘器进口</w:t>
                  </w:r>
                </w:p>
              </w:tc>
              <w:tc>
                <w:tcPr>
                  <w:tcW w:w="1130" w:type="pct"/>
                  <w:gridSpan w:val="2"/>
                  <w:tcBorders>
                    <w:tl2br w:val="nil"/>
                    <w:tr2bl w:val="nil"/>
                  </w:tcBorders>
                  <w:noWrap w:val="0"/>
                  <w:vAlign w:val="center"/>
                </w:tcPr>
                <w:p w14:paraId="32447327">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标干烟气流量</w:t>
                  </w:r>
                </w:p>
              </w:tc>
              <w:tc>
                <w:tcPr>
                  <w:tcW w:w="599" w:type="pct"/>
                  <w:tcBorders>
                    <w:tl2br w:val="nil"/>
                    <w:tr2bl w:val="nil"/>
                  </w:tcBorders>
                  <w:noWrap w:val="0"/>
                  <w:vAlign w:val="center"/>
                </w:tcPr>
                <w:p w14:paraId="5B8628BE">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snapToGrid w:val="0"/>
                      <w:color w:val="auto"/>
                      <w:spacing w:val="-6"/>
                      <w:sz w:val="21"/>
                      <w:szCs w:val="21"/>
                      <w:u w:val="none" w:color="auto"/>
                    </w:rPr>
                  </w:pPr>
                  <w:r>
                    <w:rPr>
                      <w:rFonts w:hint="default" w:ascii="Times New Roman" w:hAnsi="Times New Roman" w:eastAsia="宋体" w:cs="Times New Roman"/>
                      <w:snapToGrid w:val="0"/>
                      <w:color w:val="auto"/>
                      <w:spacing w:val="-6"/>
                      <w:sz w:val="21"/>
                      <w:szCs w:val="21"/>
                      <w:u w:val="none" w:color="auto"/>
                    </w:rPr>
                    <w:t>Nm</w:t>
                  </w:r>
                  <w:r>
                    <w:rPr>
                      <w:rFonts w:hint="default" w:ascii="Times New Roman" w:hAnsi="Times New Roman" w:eastAsia="宋体" w:cs="Times New Roman"/>
                      <w:snapToGrid w:val="0"/>
                      <w:color w:val="auto"/>
                      <w:spacing w:val="-6"/>
                      <w:sz w:val="21"/>
                      <w:szCs w:val="21"/>
                      <w:u w:val="none" w:color="auto"/>
                      <w:vertAlign w:val="superscript"/>
                    </w:rPr>
                    <w:t>3</w:t>
                  </w:r>
                  <w:r>
                    <w:rPr>
                      <w:rFonts w:hint="default" w:ascii="Times New Roman" w:hAnsi="Times New Roman" w:eastAsia="宋体" w:cs="Times New Roman"/>
                      <w:snapToGrid w:val="0"/>
                      <w:color w:val="auto"/>
                      <w:spacing w:val="-6"/>
                      <w:sz w:val="21"/>
                      <w:szCs w:val="21"/>
                      <w:u w:val="none" w:color="auto"/>
                    </w:rPr>
                    <w:t>/h</w:t>
                  </w:r>
                </w:p>
              </w:tc>
              <w:tc>
                <w:tcPr>
                  <w:tcW w:w="655" w:type="pct"/>
                  <w:tcBorders>
                    <w:tl2br w:val="nil"/>
                    <w:tr2bl w:val="nil"/>
                  </w:tcBorders>
                  <w:noWrap w:val="0"/>
                  <w:vAlign w:val="center"/>
                </w:tcPr>
                <w:p w14:paraId="3B78D09F">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snapToGrid w:val="0"/>
                      <w:color w:val="auto"/>
                      <w:spacing w:val="-6"/>
                      <w:kern w:val="2"/>
                      <w:sz w:val="21"/>
                      <w:szCs w:val="21"/>
                      <w:u w:val="none" w:color="auto"/>
                      <w:lang w:val="en-US" w:eastAsia="zh-CN" w:bidi="ar-SA"/>
                    </w:rPr>
                  </w:pPr>
                  <w:r>
                    <w:rPr>
                      <w:rFonts w:hint="default" w:ascii="Times New Roman" w:hAnsi="Times New Roman" w:eastAsia="宋体" w:cs="Times New Roman"/>
                      <w:snapToGrid w:val="0"/>
                      <w:color w:val="auto"/>
                      <w:spacing w:val="-6"/>
                      <w:sz w:val="21"/>
                      <w:szCs w:val="21"/>
                      <w:u w:val="none" w:color="auto"/>
                      <w:lang w:val="en-US" w:eastAsia="zh-CN"/>
                    </w:rPr>
                    <w:t>15603</w:t>
                  </w:r>
                </w:p>
              </w:tc>
              <w:tc>
                <w:tcPr>
                  <w:tcW w:w="682" w:type="pct"/>
                  <w:tcBorders>
                    <w:tl2br w:val="nil"/>
                    <w:tr2bl w:val="nil"/>
                  </w:tcBorders>
                  <w:noWrap w:val="0"/>
                  <w:vAlign w:val="center"/>
                </w:tcPr>
                <w:p w14:paraId="7F3E2BC8">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snapToGrid w:val="0"/>
                      <w:color w:val="auto"/>
                      <w:spacing w:val="-6"/>
                      <w:kern w:val="2"/>
                      <w:sz w:val="21"/>
                      <w:szCs w:val="21"/>
                      <w:u w:val="none" w:color="auto"/>
                      <w:lang w:val="en-US" w:eastAsia="zh-CN" w:bidi="ar-SA"/>
                    </w:rPr>
                  </w:pPr>
                  <w:r>
                    <w:rPr>
                      <w:rFonts w:hint="default" w:ascii="Times New Roman" w:hAnsi="Times New Roman" w:eastAsia="宋体" w:cs="Times New Roman"/>
                      <w:snapToGrid w:val="0"/>
                      <w:color w:val="auto"/>
                      <w:spacing w:val="-6"/>
                      <w:sz w:val="21"/>
                      <w:szCs w:val="21"/>
                      <w:u w:val="none" w:color="auto"/>
                      <w:lang w:val="en-US" w:eastAsia="zh-CN"/>
                    </w:rPr>
                    <w:t>14586</w:t>
                  </w:r>
                </w:p>
              </w:tc>
              <w:tc>
                <w:tcPr>
                  <w:tcW w:w="1252" w:type="pct"/>
                  <w:gridSpan w:val="2"/>
                  <w:tcBorders>
                    <w:tl2br w:val="nil"/>
                    <w:tr2bl w:val="nil"/>
                  </w:tcBorders>
                  <w:noWrap w:val="0"/>
                  <w:vAlign w:val="center"/>
                </w:tcPr>
                <w:p w14:paraId="4629E2C5">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snapToGrid w:val="0"/>
                      <w:color w:val="auto"/>
                      <w:spacing w:val="-6"/>
                      <w:kern w:val="2"/>
                      <w:sz w:val="21"/>
                      <w:szCs w:val="21"/>
                      <w:u w:val="none" w:color="auto"/>
                      <w:lang w:val="en-US" w:eastAsia="zh-CN" w:bidi="ar-SA"/>
                    </w:rPr>
                  </w:pPr>
                  <w:r>
                    <w:rPr>
                      <w:rFonts w:hint="default" w:ascii="Times New Roman" w:hAnsi="Times New Roman" w:eastAsia="宋体" w:cs="Times New Roman"/>
                      <w:snapToGrid w:val="0"/>
                      <w:color w:val="auto"/>
                      <w:spacing w:val="-6"/>
                      <w:sz w:val="21"/>
                      <w:szCs w:val="21"/>
                      <w:u w:val="none" w:color="auto"/>
                      <w:lang w:val="en-US" w:eastAsia="zh-CN"/>
                    </w:rPr>
                    <w:t>14724</w:t>
                  </w:r>
                </w:p>
              </w:tc>
            </w:tr>
            <w:tr w14:paraId="744E3F0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79" w:type="pct"/>
                  <w:vMerge w:val="continue"/>
                  <w:tcBorders>
                    <w:tl2br w:val="nil"/>
                    <w:tr2bl w:val="nil"/>
                  </w:tcBorders>
                  <w:noWrap w:val="0"/>
                  <w:vAlign w:val="center"/>
                </w:tcPr>
                <w:p w14:paraId="399544D6">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color w:val="auto"/>
                      <w:sz w:val="21"/>
                      <w:szCs w:val="21"/>
                      <w:u w:val="none" w:color="auto"/>
                    </w:rPr>
                  </w:pPr>
                </w:p>
              </w:tc>
              <w:tc>
                <w:tcPr>
                  <w:tcW w:w="371" w:type="pct"/>
                  <w:vMerge w:val="restart"/>
                  <w:tcBorders>
                    <w:tl2br w:val="nil"/>
                    <w:tr2bl w:val="nil"/>
                  </w:tcBorders>
                  <w:noWrap w:val="0"/>
                  <w:vAlign w:val="center"/>
                </w:tcPr>
                <w:p w14:paraId="024C42B6">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颗粒物</w:t>
                  </w:r>
                </w:p>
              </w:tc>
              <w:tc>
                <w:tcPr>
                  <w:tcW w:w="759" w:type="pct"/>
                  <w:tcBorders>
                    <w:tl2br w:val="nil"/>
                    <w:tr2bl w:val="nil"/>
                  </w:tcBorders>
                  <w:noWrap w:val="0"/>
                  <w:vAlign w:val="center"/>
                </w:tcPr>
                <w:p w14:paraId="152A68EA">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实际浓度</w:t>
                  </w:r>
                </w:p>
              </w:tc>
              <w:tc>
                <w:tcPr>
                  <w:tcW w:w="599" w:type="pct"/>
                  <w:tcBorders>
                    <w:tl2br w:val="nil"/>
                    <w:tr2bl w:val="nil"/>
                  </w:tcBorders>
                  <w:noWrap w:val="0"/>
                  <w:vAlign w:val="center"/>
                </w:tcPr>
                <w:p w14:paraId="64079A04">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snapToGrid w:val="0"/>
                      <w:color w:val="auto"/>
                      <w:spacing w:val="-6"/>
                      <w:sz w:val="21"/>
                      <w:szCs w:val="21"/>
                      <w:u w:val="none" w:color="auto"/>
                    </w:rPr>
                  </w:pPr>
                  <w:r>
                    <w:rPr>
                      <w:rFonts w:hint="default" w:ascii="Times New Roman" w:hAnsi="Times New Roman" w:eastAsia="宋体" w:cs="Times New Roman"/>
                      <w:snapToGrid w:val="0"/>
                      <w:color w:val="auto"/>
                      <w:spacing w:val="-6"/>
                      <w:sz w:val="21"/>
                      <w:szCs w:val="21"/>
                      <w:u w:val="none" w:color="auto"/>
                    </w:rPr>
                    <w:t>mg/m</w:t>
                  </w:r>
                  <w:r>
                    <w:rPr>
                      <w:rFonts w:hint="default" w:ascii="Times New Roman" w:hAnsi="Times New Roman" w:eastAsia="宋体" w:cs="Times New Roman"/>
                      <w:snapToGrid w:val="0"/>
                      <w:color w:val="auto"/>
                      <w:spacing w:val="-6"/>
                      <w:sz w:val="21"/>
                      <w:szCs w:val="21"/>
                      <w:u w:val="none" w:color="auto"/>
                      <w:vertAlign w:val="superscript"/>
                    </w:rPr>
                    <w:t>3</w:t>
                  </w:r>
                </w:p>
              </w:tc>
              <w:tc>
                <w:tcPr>
                  <w:tcW w:w="655" w:type="pct"/>
                  <w:tcBorders>
                    <w:tl2br w:val="nil"/>
                    <w:tr2bl w:val="nil"/>
                  </w:tcBorders>
                  <w:noWrap w:val="0"/>
                  <w:vAlign w:val="center"/>
                </w:tcPr>
                <w:p w14:paraId="5CCFE770">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snapToGrid w:val="0"/>
                      <w:color w:val="auto"/>
                      <w:spacing w:val="-6"/>
                      <w:sz w:val="21"/>
                      <w:szCs w:val="21"/>
                      <w:highlight w:val="none"/>
                      <w:u w:val="none" w:color="auto"/>
                      <w:lang w:val="en-US" w:eastAsia="zh-CN"/>
                    </w:rPr>
                  </w:pPr>
                  <w:r>
                    <w:rPr>
                      <w:rFonts w:hint="default" w:ascii="Times New Roman" w:hAnsi="Times New Roman" w:eastAsia="宋体" w:cs="Times New Roman"/>
                      <w:snapToGrid w:val="0"/>
                      <w:color w:val="auto"/>
                      <w:spacing w:val="-6"/>
                      <w:sz w:val="21"/>
                      <w:szCs w:val="21"/>
                      <w:highlight w:val="none"/>
                      <w:u w:val="none" w:color="auto"/>
                      <w:lang w:val="en-US" w:eastAsia="zh-CN"/>
                    </w:rPr>
                    <w:t>25.8</w:t>
                  </w:r>
                </w:p>
              </w:tc>
              <w:tc>
                <w:tcPr>
                  <w:tcW w:w="682" w:type="pct"/>
                  <w:tcBorders>
                    <w:tl2br w:val="nil"/>
                    <w:tr2bl w:val="nil"/>
                  </w:tcBorders>
                  <w:noWrap w:val="0"/>
                  <w:vAlign w:val="center"/>
                </w:tcPr>
                <w:p w14:paraId="338068A1">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snapToGrid w:val="0"/>
                      <w:color w:val="auto"/>
                      <w:spacing w:val="-6"/>
                      <w:sz w:val="21"/>
                      <w:szCs w:val="21"/>
                      <w:highlight w:val="none"/>
                      <w:u w:val="none" w:color="auto"/>
                      <w:lang w:val="en-US" w:eastAsia="zh-CN"/>
                    </w:rPr>
                  </w:pPr>
                  <w:r>
                    <w:rPr>
                      <w:rFonts w:hint="default" w:ascii="Times New Roman" w:hAnsi="Times New Roman" w:eastAsia="宋体" w:cs="Times New Roman"/>
                      <w:snapToGrid w:val="0"/>
                      <w:color w:val="auto"/>
                      <w:spacing w:val="-6"/>
                      <w:sz w:val="21"/>
                      <w:szCs w:val="21"/>
                      <w:highlight w:val="none"/>
                      <w:u w:val="none" w:color="auto"/>
                      <w:lang w:val="en-US" w:eastAsia="zh-CN"/>
                    </w:rPr>
                    <w:t>31.4</w:t>
                  </w:r>
                </w:p>
              </w:tc>
              <w:tc>
                <w:tcPr>
                  <w:tcW w:w="1252" w:type="pct"/>
                  <w:gridSpan w:val="2"/>
                  <w:tcBorders>
                    <w:tl2br w:val="nil"/>
                    <w:tr2bl w:val="nil"/>
                  </w:tcBorders>
                  <w:noWrap w:val="0"/>
                  <w:vAlign w:val="center"/>
                </w:tcPr>
                <w:p w14:paraId="3655BBC9">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snapToGrid w:val="0"/>
                      <w:color w:val="auto"/>
                      <w:spacing w:val="-6"/>
                      <w:sz w:val="21"/>
                      <w:szCs w:val="21"/>
                      <w:u w:val="none" w:color="auto"/>
                      <w:lang w:val="en-US" w:eastAsia="zh-CN"/>
                    </w:rPr>
                  </w:pPr>
                  <w:r>
                    <w:rPr>
                      <w:rFonts w:hint="default" w:ascii="Times New Roman" w:hAnsi="Times New Roman" w:eastAsia="宋体" w:cs="Times New Roman"/>
                      <w:snapToGrid w:val="0"/>
                      <w:color w:val="auto"/>
                      <w:spacing w:val="-6"/>
                      <w:sz w:val="21"/>
                      <w:szCs w:val="21"/>
                      <w:u w:val="none" w:color="auto"/>
                      <w:lang w:val="en-US" w:eastAsia="zh-CN"/>
                    </w:rPr>
                    <w:t>24.9</w:t>
                  </w:r>
                </w:p>
              </w:tc>
            </w:tr>
            <w:tr w14:paraId="2F14FB0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79" w:type="pct"/>
                  <w:vMerge w:val="continue"/>
                  <w:tcBorders>
                    <w:tl2br w:val="nil"/>
                    <w:tr2bl w:val="nil"/>
                  </w:tcBorders>
                  <w:noWrap w:val="0"/>
                  <w:vAlign w:val="center"/>
                </w:tcPr>
                <w:p w14:paraId="1A9E5E39">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color w:val="auto"/>
                      <w:sz w:val="21"/>
                      <w:szCs w:val="21"/>
                      <w:u w:val="none" w:color="auto"/>
                    </w:rPr>
                  </w:pPr>
                </w:p>
              </w:tc>
              <w:tc>
                <w:tcPr>
                  <w:tcW w:w="371" w:type="pct"/>
                  <w:vMerge w:val="continue"/>
                  <w:tcBorders>
                    <w:tl2br w:val="nil"/>
                    <w:tr2bl w:val="nil"/>
                  </w:tcBorders>
                  <w:noWrap w:val="0"/>
                  <w:vAlign w:val="center"/>
                </w:tcPr>
                <w:p w14:paraId="478B7879">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color w:val="auto"/>
                      <w:sz w:val="21"/>
                      <w:szCs w:val="21"/>
                      <w:u w:val="none" w:color="auto"/>
                      <w:lang w:val="en-US" w:eastAsia="zh-CN"/>
                    </w:rPr>
                  </w:pPr>
                </w:p>
              </w:tc>
              <w:tc>
                <w:tcPr>
                  <w:tcW w:w="759" w:type="pct"/>
                  <w:tcBorders>
                    <w:tl2br w:val="nil"/>
                    <w:tr2bl w:val="nil"/>
                  </w:tcBorders>
                  <w:noWrap w:val="0"/>
                  <w:vAlign w:val="center"/>
                </w:tcPr>
                <w:p w14:paraId="3C661F8A">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平均值</w:t>
                  </w:r>
                </w:p>
              </w:tc>
              <w:tc>
                <w:tcPr>
                  <w:tcW w:w="599" w:type="pct"/>
                  <w:tcBorders>
                    <w:tl2br w:val="nil"/>
                    <w:tr2bl w:val="nil"/>
                  </w:tcBorders>
                  <w:noWrap w:val="0"/>
                  <w:vAlign w:val="center"/>
                </w:tcPr>
                <w:p w14:paraId="3A0B650E">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snapToGrid w:val="0"/>
                      <w:color w:val="auto"/>
                      <w:spacing w:val="-6"/>
                      <w:sz w:val="21"/>
                      <w:szCs w:val="21"/>
                      <w:u w:val="none" w:color="auto"/>
                    </w:rPr>
                  </w:pPr>
                  <w:r>
                    <w:rPr>
                      <w:rFonts w:hint="default" w:ascii="Times New Roman" w:hAnsi="Times New Roman" w:eastAsia="宋体" w:cs="Times New Roman"/>
                      <w:snapToGrid w:val="0"/>
                      <w:color w:val="auto"/>
                      <w:spacing w:val="-6"/>
                      <w:sz w:val="21"/>
                      <w:szCs w:val="21"/>
                      <w:u w:val="none" w:color="auto"/>
                    </w:rPr>
                    <w:t>mg/m</w:t>
                  </w:r>
                  <w:r>
                    <w:rPr>
                      <w:rFonts w:hint="default" w:ascii="Times New Roman" w:hAnsi="Times New Roman" w:eastAsia="宋体" w:cs="Times New Roman"/>
                      <w:snapToGrid w:val="0"/>
                      <w:color w:val="auto"/>
                      <w:spacing w:val="-6"/>
                      <w:sz w:val="21"/>
                      <w:szCs w:val="21"/>
                      <w:u w:val="none" w:color="auto"/>
                      <w:vertAlign w:val="superscript"/>
                    </w:rPr>
                    <w:t>3</w:t>
                  </w:r>
                </w:p>
              </w:tc>
              <w:tc>
                <w:tcPr>
                  <w:tcW w:w="2590" w:type="pct"/>
                  <w:gridSpan w:val="4"/>
                  <w:tcBorders>
                    <w:tl2br w:val="nil"/>
                    <w:tr2bl w:val="nil"/>
                  </w:tcBorders>
                  <w:noWrap w:val="0"/>
                  <w:vAlign w:val="center"/>
                </w:tcPr>
                <w:p w14:paraId="109AA715">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snapToGrid w:val="0"/>
                      <w:color w:val="auto"/>
                      <w:spacing w:val="-6"/>
                      <w:sz w:val="21"/>
                      <w:szCs w:val="21"/>
                      <w:u w:val="none" w:color="auto"/>
                      <w:lang w:val="en-US" w:eastAsia="zh-CN"/>
                    </w:rPr>
                  </w:pPr>
                  <w:r>
                    <w:rPr>
                      <w:rFonts w:hint="default" w:ascii="Times New Roman" w:hAnsi="Times New Roman" w:eastAsia="宋体" w:cs="Times New Roman"/>
                      <w:snapToGrid w:val="0"/>
                      <w:color w:val="auto"/>
                      <w:spacing w:val="-6"/>
                      <w:sz w:val="21"/>
                      <w:szCs w:val="21"/>
                      <w:u w:val="none" w:color="auto"/>
                      <w:lang w:val="en-US" w:eastAsia="zh-CN"/>
                    </w:rPr>
                    <w:t>27.4</w:t>
                  </w:r>
                </w:p>
              </w:tc>
            </w:tr>
            <w:tr w14:paraId="6182663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79" w:type="pct"/>
                  <w:vMerge w:val="continue"/>
                  <w:tcBorders>
                    <w:tl2br w:val="nil"/>
                    <w:tr2bl w:val="nil"/>
                  </w:tcBorders>
                  <w:noWrap w:val="0"/>
                  <w:vAlign w:val="center"/>
                </w:tcPr>
                <w:p w14:paraId="3590CBCE">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color w:val="auto"/>
                      <w:sz w:val="21"/>
                      <w:szCs w:val="21"/>
                      <w:u w:val="none" w:color="auto"/>
                    </w:rPr>
                  </w:pPr>
                </w:p>
              </w:tc>
              <w:tc>
                <w:tcPr>
                  <w:tcW w:w="371" w:type="pct"/>
                  <w:vMerge w:val="continue"/>
                  <w:tcBorders>
                    <w:tl2br w:val="nil"/>
                    <w:tr2bl w:val="nil"/>
                  </w:tcBorders>
                  <w:noWrap w:val="0"/>
                  <w:vAlign w:val="center"/>
                </w:tcPr>
                <w:p w14:paraId="2FD8C672">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color w:val="auto"/>
                      <w:sz w:val="21"/>
                      <w:szCs w:val="21"/>
                      <w:u w:val="none" w:color="auto"/>
                    </w:rPr>
                  </w:pPr>
                </w:p>
              </w:tc>
              <w:tc>
                <w:tcPr>
                  <w:tcW w:w="759" w:type="pct"/>
                  <w:tcBorders>
                    <w:tl2br w:val="nil"/>
                    <w:tr2bl w:val="nil"/>
                  </w:tcBorders>
                  <w:noWrap w:val="0"/>
                  <w:vAlign w:val="center"/>
                </w:tcPr>
                <w:p w14:paraId="07B58DF3">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排放速率</w:t>
                  </w:r>
                </w:p>
              </w:tc>
              <w:tc>
                <w:tcPr>
                  <w:tcW w:w="599" w:type="pct"/>
                  <w:tcBorders>
                    <w:tl2br w:val="nil"/>
                    <w:tr2bl w:val="nil"/>
                  </w:tcBorders>
                  <w:noWrap w:val="0"/>
                  <w:vAlign w:val="center"/>
                </w:tcPr>
                <w:p w14:paraId="0A64664F">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snapToGrid w:val="0"/>
                      <w:color w:val="auto"/>
                      <w:spacing w:val="-6"/>
                      <w:sz w:val="21"/>
                      <w:szCs w:val="21"/>
                      <w:u w:val="none" w:color="auto"/>
                      <w:lang w:val="en-US" w:eastAsia="zh-CN"/>
                    </w:rPr>
                  </w:pPr>
                  <w:r>
                    <w:rPr>
                      <w:rFonts w:hint="default" w:ascii="Times New Roman" w:hAnsi="Times New Roman" w:eastAsia="宋体" w:cs="Times New Roman"/>
                      <w:snapToGrid w:val="0"/>
                      <w:color w:val="auto"/>
                      <w:spacing w:val="-6"/>
                      <w:sz w:val="21"/>
                      <w:szCs w:val="21"/>
                      <w:u w:val="none" w:color="auto"/>
                      <w:lang w:val="en-US" w:eastAsia="zh-CN"/>
                    </w:rPr>
                    <w:t>kg/h</w:t>
                  </w:r>
                </w:p>
              </w:tc>
              <w:tc>
                <w:tcPr>
                  <w:tcW w:w="655" w:type="pct"/>
                  <w:tcBorders>
                    <w:tl2br w:val="nil"/>
                    <w:tr2bl w:val="nil"/>
                  </w:tcBorders>
                  <w:noWrap w:val="0"/>
                  <w:vAlign w:val="center"/>
                </w:tcPr>
                <w:p w14:paraId="6CD7FB6A">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snapToGrid w:val="0"/>
                      <w:color w:val="auto"/>
                      <w:spacing w:val="-6"/>
                      <w:sz w:val="21"/>
                      <w:szCs w:val="21"/>
                      <w:u w:val="none" w:color="auto"/>
                      <w:lang w:val="en-US" w:eastAsia="zh-CN"/>
                    </w:rPr>
                  </w:pPr>
                  <w:r>
                    <w:rPr>
                      <w:rFonts w:hint="default" w:ascii="Times New Roman" w:hAnsi="Times New Roman" w:eastAsia="宋体" w:cs="Times New Roman"/>
                      <w:snapToGrid w:val="0"/>
                      <w:color w:val="auto"/>
                      <w:spacing w:val="-6"/>
                      <w:sz w:val="21"/>
                      <w:szCs w:val="21"/>
                      <w:u w:val="none" w:color="auto"/>
                      <w:lang w:val="en-US" w:eastAsia="zh-CN"/>
                    </w:rPr>
                    <w:t>0.40</w:t>
                  </w:r>
                </w:p>
              </w:tc>
              <w:tc>
                <w:tcPr>
                  <w:tcW w:w="682" w:type="pct"/>
                  <w:tcBorders>
                    <w:tl2br w:val="nil"/>
                    <w:tr2bl w:val="nil"/>
                  </w:tcBorders>
                  <w:noWrap w:val="0"/>
                  <w:vAlign w:val="center"/>
                </w:tcPr>
                <w:p w14:paraId="531DA9BB">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snapToGrid w:val="0"/>
                      <w:color w:val="auto"/>
                      <w:spacing w:val="-6"/>
                      <w:sz w:val="21"/>
                      <w:szCs w:val="21"/>
                      <w:u w:val="none" w:color="auto"/>
                      <w:lang w:val="en-US" w:eastAsia="zh-CN"/>
                    </w:rPr>
                  </w:pPr>
                  <w:r>
                    <w:rPr>
                      <w:rFonts w:hint="default" w:ascii="Times New Roman" w:hAnsi="Times New Roman" w:eastAsia="宋体" w:cs="Times New Roman"/>
                      <w:snapToGrid w:val="0"/>
                      <w:color w:val="auto"/>
                      <w:spacing w:val="-6"/>
                      <w:sz w:val="21"/>
                      <w:szCs w:val="21"/>
                      <w:u w:val="none" w:color="auto"/>
                      <w:lang w:val="en-US" w:eastAsia="zh-CN"/>
                    </w:rPr>
                    <w:t>0.46</w:t>
                  </w:r>
                </w:p>
              </w:tc>
              <w:tc>
                <w:tcPr>
                  <w:tcW w:w="1252" w:type="pct"/>
                  <w:gridSpan w:val="2"/>
                  <w:tcBorders>
                    <w:tl2br w:val="nil"/>
                    <w:tr2bl w:val="nil"/>
                  </w:tcBorders>
                  <w:noWrap w:val="0"/>
                  <w:vAlign w:val="center"/>
                </w:tcPr>
                <w:p w14:paraId="018FF618">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snapToGrid w:val="0"/>
                      <w:color w:val="auto"/>
                      <w:spacing w:val="-6"/>
                      <w:sz w:val="21"/>
                      <w:szCs w:val="21"/>
                      <w:u w:val="none" w:color="auto"/>
                      <w:lang w:val="en-US" w:eastAsia="zh-CN"/>
                    </w:rPr>
                  </w:pPr>
                  <w:r>
                    <w:rPr>
                      <w:rFonts w:hint="default" w:ascii="Times New Roman" w:hAnsi="Times New Roman" w:eastAsia="宋体" w:cs="Times New Roman"/>
                      <w:snapToGrid w:val="0"/>
                      <w:color w:val="auto"/>
                      <w:spacing w:val="-6"/>
                      <w:sz w:val="21"/>
                      <w:szCs w:val="21"/>
                      <w:u w:val="none" w:color="auto"/>
                      <w:lang w:val="en-US" w:eastAsia="zh-CN"/>
                    </w:rPr>
                    <w:t>0.37</w:t>
                  </w:r>
                </w:p>
              </w:tc>
            </w:tr>
            <w:tr w14:paraId="421ED1D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79" w:type="pct"/>
                  <w:vMerge w:val="restart"/>
                  <w:tcBorders>
                    <w:tl2br w:val="nil"/>
                    <w:tr2bl w:val="nil"/>
                  </w:tcBorders>
                  <w:noWrap w:val="0"/>
                  <w:vAlign w:val="center"/>
                </w:tcPr>
                <w:p w14:paraId="4F826007">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color w:val="auto"/>
                      <w:sz w:val="21"/>
                      <w:szCs w:val="21"/>
                      <w:u w:val="none" w:color="auto"/>
                      <w:lang w:val="en-US"/>
                    </w:rPr>
                  </w:pPr>
                  <w:r>
                    <w:rPr>
                      <w:rFonts w:hint="default" w:ascii="Times New Roman" w:hAnsi="Times New Roman" w:eastAsia="宋体" w:cs="Times New Roman"/>
                      <w:bCs w:val="0"/>
                      <w:color w:val="auto"/>
                      <w:kern w:val="2"/>
                      <w:sz w:val="21"/>
                      <w:szCs w:val="21"/>
                      <w:highlight w:val="none"/>
                      <w:u w:val="none" w:color="auto"/>
                      <w:lang w:val="en-US" w:eastAsia="zh-CN"/>
                    </w:rPr>
                    <w:t>DA002除尘器出口</w:t>
                  </w:r>
                </w:p>
              </w:tc>
              <w:tc>
                <w:tcPr>
                  <w:tcW w:w="1130" w:type="pct"/>
                  <w:gridSpan w:val="2"/>
                  <w:tcBorders>
                    <w:tl2br w:val="nil"/>
                    <w:tr2bl w:val="nil"/>
                  </w:tcBorders>
                  <w:noWrap w:val="0"/>
                  <w:vAlign w:val="center"/>
                </w:tcPr>
                <w:p w14:paraId="361A8BAF">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标干烟气流量</w:t>
                  </w:r>
                </w:p>
              </w:tc>
              <w:tc>
                <w:tcPr>
                  <w:tcW w:w="599" w:type="pct"/>
                  <w:tcBorders>
                    <w:tl2br w:val="nil"/>
                    <w:tr2bl w:val="nil"/>
                  </w:tcBorders>
                  <w:noWrap w:val="0"/>
                  <w:vAlign w:val="center"/>
                </w:tcPr>
                <w:p w14:paraId="057564ED">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snapToGrid w:val="0"/>
                      <w:color w:val="auto"/>
                      <w:spacing w:val="-6"/>
                      <w:sz w:val="21"/>
                      <w:szCs w:val="21"/>
                      <w:u w:val="none" w:color="auto"/>
                    </w:rPr>
                  </w:pPr>
                  <w:r>
                    <w:rPr>
                      <w:rFonts w:hint="default" w:ascii="Times New Roman" w:hAnsi="Times New Roman" w:eastAsia="宋体" w:cs="Times New Roman"/>
                      <w:snapToGrid w:val="0"/>
                      <w:color w:val="auto"/>
                      <w:spacing w:val="-6"/>
                      <w:sz w:val="21"/>
                      <w:szCs w:val="21"/>
                      <w:u w:val="none" w:color="auto"/>
                    </w:rPr>
                    <w:t>Nm</w:t>
                  </w:r>
                  <w:r>
                    <w:rPr>
                      <w:rFonts w:hint="default" w:ascii="Times New Roman" w:hAnsi="Times New Roman" w:eastAsia="宋体" w:cs="Times New Roman"/>
                      <w:snapToGrid w:val="0"/>
                      <w:color w:val="auto"/>
                      <w:spacing w:val="-6"/>
                      <w:sz w:val="21"/>
                      <w:szCs w:val="21"/>
                      <w:u w:val="none" w:color="auto"/>
                      <w:vertAlign w:val="superscript"/>
                    </w:rPr>
                    <w:t>3</w:t>
                  </w:r>
                  <w:r>
                    <w:rPr>
                      <w:rFonts w:hint="default" w:ascii="Times New Roman" w:hAnsi="Times New Roman" w:eastAsia="宋体" w:cs="Times New Roman"/>
                      <w:snapToGrid w:val="0"/>
                      <w:color w:val="auto"/>
                      <w:spacing w:val="-6"/>
                      <w:sz w:val="21"/>
                      <w:szCs w:val="21"/>
                      <w:u w:val="none" w:color="auto"/>
                    </w:rPr>
                    <w:t>/h</w:t>
                  </w:r>
                </w:p>
              </w:tc>
              <w:tc>
                <w:tcPr>
                  <w:tcW w:w="655" w:type="pct"/>
                  <w:tcBorders>
                    <w:tl2br w:val="nil"/>
                    <w:tr2bl w:val="nil"/>
                  </w:tcBorders>
                  <w:noWrap w:val="0"/>
                  <w:vAlign w:val="center"/>
                </w:tcPr>
                <w:p w14:paraId="3400067B">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snapToGrid w:val="0"/>
                      <w:color w:val="auto"/>
                      <w:spacing w:val="-6"/>
                      <w:kern w:val="2"/>
                      <w:sz w:val="21"/>
                      <w:szCs w:val="21"/>
                      <w:u w:val="none" w:color="auto"/>
                      <w:lang w:val="en-US" w:eastAsia="zh-CN" w:bidi="ar-SA"/>
                    </w:rPr>
                  </w:pPr>
                  <w:r>
                    <w:rPr>
                      <w:rFonts w:hint="default" w:ascii="Times New Roman" w:hAnsi="Times New Roman" w:eastAsia="宋体" w:cs="Times New Roman"/>
                      <w:snapToGrid w:val="0"/>
                      <w:color w:val="auto"/>
                      <w:spacing w:val="-6"/>
                      <w:kern w:val="2"/>
                      <w:sz w:val="21"/>
                      <w:szCs w:val="21"/>
                      <w:u w:val="none" w:color="auto"/>
                      <w:lang w:val="en-US" w:eastAsia="zh-CN" w:bidi="ar-SA"/>
                    </w:rPr>
                    <w:t>14625</w:t>
                  </w:r>
                </w:p>
              </w:tc>
              <w:tc>
                <w:tcPr>
                  <w:tcW w:w="682" w:type="pct"/>
                  <w:tcBorders>
                    <w:tl2br w:val="nil"/>
                    <w:tr2bl w:val="nil"/>
                  </w:tcBorders>
                  <w:noWrap w:val="0"/>
                  <w:vAlign w:val="center"/>
                </w:tcPr>
                <w:p w14:paraId="1BA0ECA2">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snapToGrid w:val="0"/>
                      <w:color w:val="auto"/>
                      <w:spacing w:val="-6"/>
                      <w:kern w:val="2"/>
                      <w:sz w:val="21"/>
                      <w:szCs w:val="21"/>
                      <w:u w:val="none" w:color="auto"/>
                      <w:lang w:val="en-US" w:eastAsia="zh-CN" w:bidi="ar-SA"/>
                    </w:rPr>
                  </w:pPr>
                  <w:r>
                    <w:rPr>
                      <w:rFonts w:hint="default" w:ascii="Times New Roman" w:hAnsi="Times New Roman" w:eastAsia="宋体" w:cs="Times New Roman"/>
                      <w:snapToGrid w:val="0"/>
                      <w:color w:val="auto"/>
                      <w:spacing w:val="-6"/>
                      <w:kern w:val="2"/>
                      <w:sz w:val="21"/>
                      <w:szCs w:val="21"/>
                      <w:u w:val="none" w:color="auto"/>
                      <w:lang w:val="en-US" w:eastAsia="zh-CN" w:bidi="ar-SA"/>
                    </w:rPr>
                    <w:t>14814</w:t>
                  </w:r>
                </w:p>
              </w:tc>
              <w:tc>
                <w:tcPr>
                  <w:tcW w:w="650" w:type="pct"/>
                  <w:tcBorders>
                    <w:tl2br w:val="nil"/>
                    <w:tr2bl w:val="nil"/>
                  </w:tcBorders>
                  <w:noWrap w:val="0"/>
                  <w:vAlign w:val="center"/>
                </w:tcPr>
                <w:p w14:paraId="2626F5D4">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snapToGrid w:val="0"/>
                      <w:color w:val="auto"/>
                      <w:spacing w:val="-6"/>
                      <w:kern w:val="2"/>
                      <w:sz w:val="21"/>
                      <w:szCs w:val="21"/>
                      <w:u w:val="none" w:color="auto"/>
                      <w:lang w:val="en-US" w:eastAsia="zh-CN" w:bidi="ar-SA"/>
                    </w:rPr>
                  </w:pPr>
                  <w:r>
                    <w:rPr>
                      <w:rFonts w:hint="default" w:ascii="Times New Roman" w:hAnsi="Times New Roman" w:eastAsia="宋体" w:cs="Times New Roman"/>
                      <w:snapToGrid w:val="0"/>
                      <w:color w:val="auto"/>
                      <w:spacing w:val="-6"/>
                      <w:kern w:val="2"/>
                      <w:sz w:val="21"/>
                      <w:szCs w:val="21"/>
                      <w:u w:val="none" w:color="auto"/>
                      <w:lang w:val="en-US" w:eastAsia="zh-CN" w:bidi="ar-SA"/>
                    </w:rPr>
                    <w:t>14470</w:t>
                  </w:r>
                </w:p>
              </w:tc>
              <w:tc>
                <w:tcPr>
                  <w:tcW w:w="602" w:type="pct"/>
                  <w:tcBorders>
                    <w:tl2br w:val="nil"/>
                    <w:tr2bl w:val="nil"/>
                  </w:tcBorders>
                  <w:noWrap w:val="0"/>
                  <w:vAlign w:val="center"/>
                </w:tcPr>
                <w:p w14:paraId="2BB12141">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color w:val="auto"/>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标准限值</w:t>
                  </w:r>
                </w:p>
              </w:tc>
            </w:tr>
            <w:tr w14:paraId="201135A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79" w:type="pct"/>
                  <w:vMerge w:val="continue"/>
                  <w:tcBorders>
                    <w:tl2br w:val="nil"/>
                    <w:tr2bl w:val="nil"/>
                  </w:tcBorders>
                  <w:noWrap w:val="0"/>
                  <w:vAlign w:val="center"/>
                </w:tcPr>
                <w:p w14:paraId="48E3233D">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color w:val="auto"/>
                      <w:sz w:val="21"/>
                      <w:szCs w:val="21"/>
                      <w:u w:val="none" w:color="auto"/>
                    </w:rPr>
                  </w:pPr>
                </w:p>
              </w:tc>
              <w:tc>
                <w:tcPr>
                  <w:tcW w:w="371" w:type="pct"/>
                  <w:vMerge w:val="restart"/>
                  <w:tcBorders>
                    <w:tl2br w:val="nil"/>
                    <w:tr2bl w:val="nil"/>
                  </w:tcBorders>
                  <w:noWrap w:val="0"/>
                  <w:vAlign w:val="center"/>
                </w:tcPr>
                <w:p w14:paraId="0A20551D">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颗粒物</w:t>
                  </w:r>
                </w:p>
              </w:tc>
              <w:tc>
                <w:tcPr>
                  <w:tcW w:w="759" w:type="pct"/>
                  <w:tcBorders>
                    <w:tl2br w:val="nil"/>
                    <w:tr2bl w:val="nil"/>
                  </w:tcBorders>
                  <w:noWrap w:val="0"/>
                  <w:vAlign w:val="center"/>
                </w:tcPr>
                <w:p w14:paraId="235D8C39">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实际浓度</w:t>
                  </w:r>
                </w:p>
              </w:tc>
              <w:tc>
                <w:tcPr>
                  <w:tcW w:w="599" w:type="pct"/>
                  <w:tcBorders>
                    <w:tl2br w:val="nil"/>
                    <w:tr2bl w:val="nil"/>
                  </w:tcBorders>
                  <w:noWrap w:val="0"/>
                  <w:vAlign w:val="center"/>
                </w:tcPr>
                <w:p w14:paraId="372B2CB4">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snapToGrid w:val="0"/>
                      <w:color w:val="auto"/>
                      <w:spacing w:val="-6"/>
                      <w:sz w:val="21"/>
                      <w:szCs w:val="21"/>
                      <w:u w:val="none" w:color="auto"/>
                    </w:rPr>
                  </w:pPr>
                  <w:r>
                    <w:rPr>
                      <w:rFonts w:hint="default" w:ascii="Times New Roman" w:hAnsi="Times New Roman" w:eastAsia="宋体" w:cs="Times New Roman"/>
                      <w:snapToGrid w:val="0"/>
                      <w:color w:val="auto"/>
                      <w:spacing w:val="-6"/>
                      <w:sz w:val="21"/>
                      <w:szCs w:val="21"/>
                      <w:u w:val="none" w:color="auto"/>
                    </w:rPr>
                    <w:t>mg/m</w:t>
                  </w:r>
                  <w:r>
                    <w:rPr>
                      <w:rFonts w:hint="default" w:ascii="Times New Roman" w:hAnsi="Times New Roman" w:eastAsia="宋体" w:cs="Times New Roman"/>
                      <w:snapToGrid w:val="0"/>
                      <w:color w:val="auto"/>
                      <w:spacing w:val="-6"/>
                      <w:sz w:val="21"/>
                      <w:szCs w:val="21"/>
                      <w:u w:val="none" w:color="auto"/>
                      <w:vertAlign w:val="superscript"/>
                    </w:rPr>
                    <w:t>3</w:t>
                  </w:r>
                </w:p>
              </w:tc>
              <w:tc>
                <w:tcPr>
                  <w:tcW w:w="655" w:type="pct"/>
                  <w:tcBorders>
                    <w:tl2br w:val="nil"/>
                    <w:tr2bl w:val="nil"/>
                  </w:tcBorders>
                  <w:noWrap w:val="0"/>
                  <w:vAlign w:val="center"/>
                </w:tcPr>
                <w:p w14:paraId="3E2A4A91">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snapToGrid w:val="0"/>
                      <w:color w:val="auto"/>
                      <w:spacing w:val="-6"/>
                      <w:sz w:val="21"/>
                      <w:szCs w:val="21"/>
                      <w:highlight w:val="none"/>
                      <w:u w:val="none" w:color="auto"/>
                      <w:lang w:val="en-US" w:eastAsia="zh-CN"/>
                    </w:rPr>
                  </w:pPr>
                  <w:r>
                    <w:rPr>
                      <w:rFonts w:hint="default" w:ascii="Times New Roman" w:hAnsi="Times New Roman" w:eastAsia="宋体" w:cs="Times New Roman"/>
                      <w:snapToGrid w:val="0"/>
                      <w:color w:val="auto"/>
                      <w:spacing w:val="-6"/>
                      <w:sz w:val="21"/>
                      <w:szCs w:val="21"/>
                      <w:highlight w:val="none"/>
                      <w:u w:val="none" w:color="auto"/>
                      <w:lang w:val="en-US" w:eastAsia="zh-CN"/>
                    </w:rPr>
                    <w:t>5.87</w:t>
                  </w:r>
                </w:p>
              </w:tc>
              <w:tc>
                <w:tcPr>
                  <w:tcW w:w="682" w:type="pct"/>
                  <w:tcBorders>
                    <w:tl2br w:val="nil"/>
                    <w:tr2bl w:val="nil"/>
                  </w:tcBorders>
                  <w:noWrap w:val="0"/>
                  <w:vAlign w:val="center"/>
                </w:tcPr>
                <w:p w14:paraId="77A48C92">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snapToGrid w:val="0"/>
                      <w:color w:val="auto"/>
                      <w:spacing w:val="-6"/>
                      <w:sz w:val="21"/>
                      <w:szCs w:val="21"/>
                      <w:highlight w:val="none"/>
                      <w:u w:val="none" w:color="auto"/>
                      <w:lang w:val="en-US" w:eastAsia="zh-CN"/>
                    </w:rPr>
                  </w:pPr>
                  <w:r>
                    <w:rPr>
                      <w:rFonts w:hint="default" w:ascii="Times New Roman" w:hAnsi="Times New Roman" w:eastAsia="宋体" w:cs="Times New Roman"/>
                      <w:snapToGrid w:val="0"/>
                      <w:color w:val="auto"/>
                      <w:spacing w:val="-6"/>
                      <w:sz w:val="21"/>
                      <w:szCs w:val="21"/>
                      <w:highlight w:val="none"/>
                      <w:u w:val="none" w:color="auto"/>
                      <w:lang w:val="en-US" w:eastAsia="zh-CN"/>
                    </w:rPr>
                    <w:t>5.83</w:t>
                  </w:r>
                </w:p>
              </w:tc>
              <w:tc>
                <w:tcPr>
                  <w:tcW w:w="650" w:type="pct"/>
                  <w:tcBorders>
                    <w:tl2br w:val="nil"/>
                    <w:tr2bl w:val="nil"/>
                  </w:tcBorders>
                  <w:noWrap w:val="0"/>
                  <w:vAlign w:val="center"/>
                </w:tcPr>
                <w:p w14:paraId="30BB3055">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snapToGrid w:val="0"/>
                      <w:color w:val="auto"/>
                      <w:spacing w:val="-6"/>
                      <w:sz w:val="21"/>
                      <w:szCs w:val="21"/>
                      <w:u w:val="none" w:color="auto"/>
                      <w:lang w:val="en-US" w:eastAsia="zh-CN"/>
                    </w:rPr>
                  </w:pPr>
                  <w:r>
                    <w:rPr>
                      <w:rFonts w:hint="default" w:ascii="Times New Roman" w:hAnsi="Times New Roman" w:eastAsia="宋体" w:cs="Times New Roman"/>
                      <w:snapToGrid w:val="0"/>
                      <w:color w:val="auto"/>
                      <w:spacing w:val="-6"/>
                      <w:sz w:val="21"/>
                      <w:szCs w:val="21"/>
                      <w:u w:val="none" w:color="auto"/>
                      <w:lang w:val="en-US" w:eastAsia="zh-CN"/>
                    </w:rPr>
                    <w:t>6.12</w:t>
                  </w:r>
                </w:p>
              </w:tc>
              <w:tc>
                <w:tcPr>
                  <w:tcW w:w="602" w:type="pct"/>
                  <w:vMerge w:val="restart"/>
                  <w:tcBorders>
                    <w:tl2br w:val="nil"/>
                    <w:tr2bl w:val="nil"/>
                  </w:tcBorders>
                  <w:noWrap w:val="0"/>
                  <w:vAlign w:val="center"/>
                </w:tcPr>
                <w:p w14:paraId="31D91B0C">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snapToGrid w:val="0"/>
                      <w:color w:val="auto"/>
                      <w:spacing w:val="-6"/>
                      <w:sz w:val="21"/>
                      <w:szCs w:val="21"/>
                      <w:u w:val="none" w:color="auto"/>
                      <w:lang w:val="en-US" w:eastAsia="zh-CN"/>
                    </w:rPr>
                  </w:pPr>
                  <w:r>
                    <w:rPr>
                      <w:rFonts w:hint="default" w:ascii="Times New Roman" w:hAnsi="Times New Roman" w:eastAsia="宋体" w:cs="Times New Roman"/>
                      <w:snapToGrid w:val="0"/>
                      <w:color w:val="auto"/>
                      <w:spacing w:val="-6"/>
                      <w:sz w:val="21"/>
                      <w:szCs w:val="21"/>
                      <w:u w:val="none" w:color="auto"/>
                      <w:lang w:val="en-US" w:eastAsia="zh-CN"/>
                    </w:rPr>
                    <w:t>30</w:t>
                  </w:r>
                </w:p>
              </w:tc>
            </w:tr>
            <w:tr w14:paraId="1B60B14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79" w:type="pct"/>
                  <w:vMerge w:val="continue"/>
                  <w:tcBorders>
                    <w:tl2br w:val="nil"/>
                    <w:tr2bl w:val="nil"/>
                  </w:tcBorders>
                  <w:noWrap w:val="0"/>
                  <w:vAlign w:val="center"/>
                </w:tcPr>
                <w:p w14:paraId="263254B6">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color w:val="auto"/>
                      <w:sz w:val="21"/>
                      <w:szCs w:val="21"/>
                      <w:u w:val="none" w:color="auto"/>
                    </w:rPr>
                  </w:pPr>
                </w:p>
              </w:tc>
              <w:tc>
                <w:tcPr>
                  <w:tcW w:w="371" w:type="pct"/>
                  <w:vMerge w:val="continue"/>
                  <w:tcBorders>
                    <w:tl2br w:val="nil"/>
                    <w:tr2bl w:val="nil"/>
                  </w:tcBorders>
                  <w:noWrap w:val="0"/>
                  <w:vAlign w:val="center"/>
                </w:tcPr>
                <w:p w14:paraId="5D95E9E5">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color w:val="auto"/>
                      <w:sz w:val="21"/>
                      <w:szCs w:val="21"/>
                      <w:u w:val="none" w:color="auto"/>
                      <w:lang w:val="en-US" w:eastAsia="zh-CN"/>
                    </w:rPr>
                  </w:pPr>
                </w:p>
              </w:tc>
              <w:tc>
                <w:tcPr>
                  <w:tcW w:w="759" w:type="pct"/>
                  <w:tcBorders>
                    <w:tl2br w:val="nil"/>
                    <w:tr2bl w:val="nil"/>
                  </w:tcBorders>
                  <w:noWrap w:val="0"/>
                  <w:vAlign w:val="center"/>
                </w:tcPr>
                <w:p w14:paraId="1C6DEBF4">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平均值</w:t>
                  </w:r>
                </w:p>
              </w:tc>
              <w:tc>
                <w:tcPr>
                  <w:tcW w:w="599" w:type="pct"/>
                  <w:tcBorders>
                    <w:tl2br w:val="nil"/>
                    <w:tr2bl w:val="nil"/>
                  </w:tcBorders>
                  <w:noWrap w:val="0"/>
                  <w:vAlign w:val="center"/>
                </w:tcPr>
                <w:p w14:paraId="17FAC279">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snapToGrid w:val="0"/>
                      <w:color w:val="auto"/>
                      <w:spacing w:val="-6"/>
                      <w:sz w:val="21"/>
                      <w:szCs w:val="21"/>
                      <w:u w:val="none" w:color="auto"/>
                    </w:rPr>
                  </w:pPr>
                  <w:r>
                    <w:rPr>
                      <w:rFonts w:hint="default" w:ascii="Times New Roman" w:hAnsi="Times New Roman" w:eastAsia="宋体" w:cs="Times New Roman"/>
                      <w:snapToGrid w:val="0"/>
                      <w:color w:val="auto"/>
                      <w:spacing w:val="-6"/>
                      <w:sz w:val="21"/>
                      <w:szCs w:val="21"/>
                      <w:u w:val="none" w:color="auto"/>
                    </w:rPr>
                    <w:t>mg/m</w:t>
                  </w:r>
                  <w:r>
                    <w:rPr>
                      <w:rFonts w:hint="default" w:ascii="Times New Roman" w:hAnsi="Times New Roman" w:eastAsia="宋体" w:cs="Times New Roman"/>
                      <w:snapToGrid w:val="0"/>
                      <w:color w:val="auto"/>
                      <w:spacing w:val="-6"/>
                      <w:sz w:val="21"/>
                      <w:szCs w:val="21"/>
                      <w:u w:val="none" w:color="auto"/>
                      <w:vertAlign w:val="superscript"/>
                    </w:rPr>
                    <w:t>3</w:t>
                  </w:r>
                </w:p>
              </w:tc>
              <w:tc>
                <w:tcPr>
                  <w:tcW w:w="1987" w:type="pct"/>
                  <w:gridSpan w:val="3"/>
                  <w:tcBorders>
                    <w:tl2br w:val="nil"/>
                    <w:tr2bl w:val="nil"/>
                  </w:tcBorders>
                  <w:noWrap w:val="0"/>
                  <w:vAlign w:val="center"/>
                </w:tcPr>
                <w:p w14:paraId="0DAC080C">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snapToGrid w:val="0"/>
                      <w:color w:val="auto"/>
                      <w:spacing w:val="-6"/>
                      <w:sz w:val="21"/>
                      <w:szCs w:val="21"/>
                      <w:u w:val="none" w:color="auto"/>
                      <w:lang w:val="en-US" w:eastAsia="zh-CN"/>
                    </w:rPr>
                  </w:pPr>
                  <w:r>
                    <w:rPr>
                      <w:rFonts w:hint="default" w:ascii="Times New Roman" w:hAnsi="Times New Roman" w:eastAsia="宋体" w:cs="Times New Roman"/>
                      <w:snapToGrid w:val="0"/>
                      <w:color w:val="auto"/>
                      <w:spacing w:val="-6"/>
                      <w:sz w:val="21"/>
                      <w:szCs w:val="21"/>
                      <w:u w:val="none" w:color="auto"/>
                      <w:lang w:val="en-US" w:eastAsia="zh-CN"/>
                    </w:rPr>
                    <w:t>5.94</w:t>
                  </w:r>
                </w:p>
              </w:tc>
              <w:tc>
                <w:tcPr>
                  <w:tcW w:w="602" w:type="pct"/>
                  <w:vMerge w:val="continue"/>
                  <w:tcBorders>
                    <w:tl2br w:val="nil"/>
                    <w:tr2bl w:val="nil"/>
                  </w:tcBorders>
                  <w:noWrap w:val="0"/>
                  <w:vAlign w:val="center"/>
                </w:tcPr>
                <w:p w14:paraId="3F49B247">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snapToGrid w:val="0"/>
                      <w:color w:val="auto"/>
                      <w:spacing w:val="-6"/>
                      <w:sz w:val="21"/>
                      <w:szCs w:val="21"/>
                      <w:u w:val="none" w:color="auto"/>
                      <w:lang w:val="en-US" w:eastAsia="zh-CN"/>
                    </w:rPr>
                  </w:pPr>
                </w:p>
              </w:tc>
            </w:tr>
            <w:tr w14:paraId="54B2C1F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79" w:type="pct"/>
                  <w:vMerge w:val="continue"/>
                  <w:tcBorders>
                    <w:tl2br w:val="nil"/>
                    <w:tr2bl w:val="nil"/>
                  </w:tcBorders>
                  <w:noWrap w:val="0"/>
                  <w:vAlign w:val="center"/>
                </w:tcPr>
                <w:p w14:paraId="1AA23957">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color w:val="auto"/>
                      <w:sz w:val="21"/>
                      <w:szCs w:val="21"/>
                      <w:u w:val="none" w:color="auto"/>
                    </w:rPr>
                  </w:pPr>
                </w:p>
              </w:tc>
              <w:tc>
                <w:tcPr>
                  <w:tcW w:w="371" w:type="pct"/>
                  <w:vMerge w:val="continue"/>
                  <w:tcBorders>
                    <w:tl2br w:val="nil"/>
                    <w:tr2bl w:val="nil"/>
                  </w:tcBorders>
                  <w:noWrap w:val="0"/>
                  <w:vAlign w:val="center"/>
                </w:tcPr>
                <w:p w14:paraId="0596C6D2">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color w:val="auto"/>
                      <w:sz w:val="21"/>
                      <w:szCs w:val="21"/>
                      <w:u w:val="none" w:color="auto"/>
                    </w:rPr>
                  </w:pPr>
                </w:p>
              </w:tc>
              <w:tc>
                <w:tcPr>
                  <w:tcW w:w="759" w:type="pct"/>
                  <w:tcBorders>
                    <w:tl2br w:val="nil"/>
                    <w:tr2bl w:val="nil"/>
                  </w:tcBorders>
                  <w:noWrap w:val="0"/>
                  <w:vAlign w:val="center"/>
                </w:tcPr>
                <w:p w14:paraId="201392DE">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排放速率</w:t>
                  </w:r>
                </w:p>
              </w:tc>
              <w:tc>
                <w:tcPr>
                  <w:tcW w:w="599" w:type="pct"/>
                  <w:tcBorders>
                    <w:tl2br w:val="nil"/>
                    <w:tr2bl w:val="nil"/>
                  </w:tcBorders>
                  <w:noWrap w:val="0"/>
                  <w:vAlign w:val="center"/>
                </w:tcPr>
                <w:p w14:paraId="78AB6BB8">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snapToGrid w:val="0"/>
                      <w:color w:val="auto"/>
                      <w:spacing w:val="-6"/>
                      <w:sz w:val="21"/>
                      <w:szCs w:val="21"/>
                      <w:u w:val="none" w:color="auto"/>
                      <w:lang w:val="en-US" w:eastAsia="zh-CN"/>
                    </w:rPr>
                  </w:pPr>
                  <w:r>
                    <w:rPr>
                      <w:rFonts w:hint="default" w:ascii="Times New Roman" w:hAnsi="Times New Roman" w:eastAsia="宋体" w:cs="Times New Roman"/>
                      <w:snapToGrid w:val="0"/>
                      <w:color w:val="auto"/>
                      <w:spacing w:val="-6"/>
                      <w:sz w:val="21"/>
                      <w:szCs w:val="21"/>
                      <w:u w:val="none" w:color="auto"/>
                      <w:lang w:val="en-US" w:eastAsia="zh-CN"/>
                    </w:rPr>
                    <w:t>kg/h</w:t>
                  </w:r>
                </w:p>
              </w:tc>
              <w:tc>
                <w:tcPr>
                  <w:tcW w:w="655" w:type="pct"/>
                  <w:tcBorders>
                    <w:tl2br w:val="nil"/>
                    <w:tr2bl w:val="nil"/>
                  </w:tcBorders>
                  <w:noWrap w:val="0"/>
                  <w:vAlign w:val="center"/>
                </w:tcPr>
                <w:p w14:paraId="266D5AF3">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snapToGrid w:val="0"/>
                      <w:color w:val="auto"/>
                      <w:spacing w:val="-6"/>
                      <w:sz w:val="21"/>
                      <w:szCs w:val="21"/>
                      <w:u w:val="none" w:color="auto"/>
                      <w:lang w:val="en-US" w:eastAsia="zh-CN"/>
                    </w:rPr>
                  </w:pPr>
                  <w:r>
                    <w:rPr>
                      <w:rFonts w:hint="default" w:ascii="Times New Roman" w:hAnsi="Times New Roman" w:eastAsia="宋体" w:cs="Times New Roman"/>
                      <w:snapToGrid w:val="0"/>
                      <w:color w:val="auto"/>
                      <w:spacing w:val="-6"/>
                      <w:sz w:val="21"/>
                      <w:szCs w:val="21"/>
                      <w:u w:val="none" w:color="auto"/>
                      <w:lang w:val="en-US" w:eastAsia="zh-CN"/>
                    </w:rPr>
                    <w:t>0.09</w:t>
                  </w:r>
                </w:p>
              </w:tc>
              <w:tc>
                <w:tcPr>
                  <w:tcW w:w="682" w:type="pct"/>
                  <w:tcBorders>
                    <w:tl2br w:val="nil"/>
                    <w:tr2bl w:val="nil"/>
                  </w:tcBorders>
                  <w:noWrap w:val="0"/>
                  <w:vAlign w:val="center"/>
                </w:tcPr>
                <w:p w14:paraId="14BDE37C">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snapToGrid w:val="0"/>
                      <w:color w:val="auto"/>
                      <w:spacing w:val="-6"/>
                      <w:sz w:val="21"/>
                      <w:szCs w:val="21"/>
                      <w:u w:val="none" w:color="auto"/>
                      <w:lang w:val="en-US" w:eastAsia="zh-CN"/>
                    </w:rPr>
                  </w:pPr>
                  <w:r>
                    <w:rPr>
                      <w:rFonts w:hint="default" w:ascii="Times New Roman" w:hAnsi="Times New Roman" w:eastAsia="宋体" w:cs="Times New Roman"/>
                      <w:snapToGrid w:val="0"/>
                      <w:color w:val="auto"/>
                      <w:spacing w:val="-6"/>
                      <w:sz w:val="21"/>
                      <w:szCs w:val="21"/>
                      <w:u w:val="none" w:color="auto"/>
                      <w:lang w:val="en-US" w:eastAsia="zh-CN"/>
                    </w:rPr>
                    <w:t>0.09</w:t>
                  </w:r>
                </w:p>
              </w:tc>
              <w:tc>
                <w:tcPr>
                  <w:tcW w:w="650" w:type="pct"/>
                  <w:tcBorders>
                    <w:tl2br w:val="nil"/>
                    <w:tr2bl w:val="nil"/>
                  </w:tcBorders>
                  <w:noWrap w:val="0"/>
                  <w:vAlign w:val="center"/>
                </w:tcPr>
                <w:p w14:paraId="7B78CEC5">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snapToGrid w:val="0"/>
                      <w:color w:val="auto"/>
                      <w:spacing w:val="-6"/>
                      <w:sz w:val="21"/>
                      <w:szCs w:val="21"/>
                      <w:u w:val="none" w:color="auto"/>
                      <w:lang w:val="en-US" w:eastAsia="zh-CN"/>
                    </w:rPr>
                  </w:pPr>
                  <w:r>
                    <w:rPr>
                      <w:rFonts w:hint="default" w:ascii="Times New Roman" w:hAnsi="Times New Roman" w:eastAsia="宋体" w:cs="Times New Roman"/>
                      <w:snapToGrid w:val="0"/>
                      <w:color w:val="auto"/>
                      <w:spacing w:val="-6"/>
                      <w:sz w:val="21"/>
                      <w:szCs w:val="21"/>
                      <w:u w:val="none" w:color="auto"/>
                      <w:lang w:val="en-US" w:eastAsia="zh-CN"/>
                    </w:rPr>
                    <w:t>0.09</w:t>
                  </w:r>
                </w:p>
              </w:tc>
              <w:tc>
                <w:tcPr>
                  <w:tcW w:w="602" w:type="pct"/>
                  <w:tcBorders>
                    <w:tl2br w:val="nil"/>
                    <w:tr2bl w:val="nil"/>
                  </w:tcBorders>
                  <w:noWrap w:val="0"/>
                  <w:vAlign w:val="center"/>
                </w:tcPr>
                <w:p w14:paraId="776091C6">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snapToGrid w:val="0"/>
                      <w:color w:val="auto"/>
                      <w:spacing w:val="-6"/>
                      <w:sz w:val="21"/>
                      <w:szCs w:val="21"/>
                      <w:u w:val="none" w:color="auto"/>
                      <w:lang w:val="en-US" w:eastAsia="zh-CN"/>
                    </w:rPr>
                  </w:pPr>
                </w:p>
              </w:tc>
            </w:tr>
            <w:tr w14:paraId="0E00468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79" w:type="pct"/>
                  <w:vMerge w:val="restart"/>
                  <w:tcBorders>
                    <w:tl2br w:val="nil"/>
                    <w:tr2bl w:val="nil"/>
                  </w:tcBorders>
                  <w:noWrap w:val="0"/>
                  <w:vAlign w:val="center"/>
                </w:tcPr>
                <w:p w14:paraId="1C83DCC7">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bCs/>
                      <w:color w:val="auto"/>
                      <w:sz w:val="21"/>
                      <w:szCs w:val="21"/>
                      <w:u w:val="none" w:color="auto"/>
                      <w:lang w:eastAsia="zh-CN"/>
                    </w:rPr>
                  </w:pPr>
                  <w:r>
                    <w:rPr>
                      <w:rFonts w:hint="default" w:ascii="Times New Roman" w:hAnsi="Times New Roman" w:eastAsia="宋体" w:cs="Times New Roman"/>
                      <w:b/>
                      <w:bCs/>
                      <w:color w:val="auto"/>
                      <w:sz w:val="21"/>
                      <w:szCs w:val="21"/>
                      <w:u w:val="none" w:color="auto"/>
                    </w:rPr>
                    <w:t>监测地点</w:t>
                  </w:r>
                </w:p>
              </w:tc>
              <w:tc>
                <w:tcPr>
                  <w:tcW w:w="1130" w:type="pct"/>
                  <w:gridSpan w:val="2"/>
                  <w:vMerge w:val="restart"/>
                  <w:tcBorders>
                    <w:tl2br w:val="nil"/>
                    <w:tr2bl w:val="nil"/>
                  </w:tcBorders>
                  <w:noWrap w:val="0"/>
                  <w:vAlign w:val="center"/>
                </w:tcPr>
                <w:p w14:paraId="5690C8E4">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监测项目</w:t>
                  </w:r>
                </w:p>
              </w:tc>
              <w:tc>
                <w:tcPr>
                  <w:tcW w:w="599" w:type="pct"/>
                  <w:vMerge w:val="restart"/>
                  <w:tcBorders>
                    <w:tl2br w:val="nil"/>
                    <w:tr2bl w:val="nil"/>
                  </w:tcBorders>
                  <w:noWrap w:val="0"/>
                  <w:vAlign w:val="center"/>
                </w:tcPr>
                <w:p w14:paraId="09555783">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计量单位</w:t>
                  </w:r>
                </w:p>
              </w:tc>
              <w:tc>
                <w:tcPr>
                  <w:tcW w:w="2590" w:type="pct"/>
                  <w:gridSpan w:val="4"/>
                  <w:tcBorders>
                    <w:tl2br w:val="nil"/>
                    <w:tr2bl w:val="nil"/>
                  </w:tcBorders>
                  <w:noWrap w:val="0"/>
                  <w:vAlign w:val="center"/>
                </w:tcPr>
                <w:p w14:paraId="5477349A">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lang w:val="en-US" w:eastAsia="zh-CN"/>
                    </w:rPr>
                    <w:t xml:space="preserve">7月22日 </w:t>
                  </w:r>
                  <w:r>
                    <w:rPr>
                      <w:rFonts w:hint="default" w:ascii="Times New Roman" w:hAnsi="Times New Roman" w:eastAsia="宋体" w:cs="Times New Roman"/>
                      <w:b/>
                      <w:bCs/>
                      <w:color w:val="auto"/>
                      <w:sz w:val="21"/>
                      <w:szCs w:val="21"/>
                      <w:u w:val="none" w:color="auto"/>
                    </w:rPr>
                    <w:t>检测结果</w:t>
                  </w:r>
                </w:p>
              </w:tc>
            </w:tr>
            <w:tr w14:paraId="2F04C28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79" w:type="pct"/>
                  <w:vMerge w:val="continue"/>
                  <w:tcBorders>
                    <w:tl2br w:val="nil"/>
                    <w:tr2bl w:val="nil"/>
                  </w:tcBorders>
                  <w:noWrap w:val="0"/>
                  <w:vAlign w:val="center"/>
                </w:tcPr>
                <w:p w14:paraId="5D18E5E5">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bCs/>
                      <w:color w:val="auto"/>
                      <w:kern w:val="2"/>
                      <w:sz w:val="21"/>
                      <w:szCs w:val="21"/>
                      <w:highlight w:val="none"/>
                      <w:u w:val="none" w:color="auto"/>
                      <w:lang w:val="en-US" w:eastAsia="zh-CN"/>
                    </w:rPr>
                  </w:pPr>
                </w:p>
              </w:tc>
              <w:tc>
                <w:tcPr>
                  <w:tcW w:w="1130" w:type="pct"/>
                  <w:gridSpan w:val="2"/>
                  <w:vMerge w:val="continue"/>
                  <w:tcBorders>
                    <w:tl2br w:val="nil"/>
                    <w:tr2bl w:val="nil"/>
                  </w:tcBorders>
                  <w:noWrap w:val="0"/>
                  <w:vAlign w:val="center"/>
                </w:tcPr>
                <w:p w14:paraId="23372012">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bCs/>
                      <w:color w:val="auto"/>
                      <w:sz w:val="21"/>
                      <w:szCs w:val="21"/>
                      <w:u w:val="none" w:color="auto"/>
                    </w:rPr>
                  </w:pPr>
                </w:p>
              </w:tc>
              <w:tc>
                <w:tcPr>
                  <w:tcW w:w="599" w:type="pct"/>
                  <w:vMerge w:val="continue"/>
                  <w:tcBorders>
                    <w:tl2br w:val="nil"/>
                    <w:tr2bl w:val="nil"/>
                  </w:tcBorders>
                  <w:noWrap w:val="0"/>
                  <w:vAlign w:val="center"/>
                </w:tcPr>
                <w:p w14:paraId="6F311EB4">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bCs/>
                      <w:snapToGrid w:val="0"/>
                      <w:color w:val="auto"/>
                      <w:spacing w:val="-6"/>
                      <w:sz w:val="21"/>
                      <w:szCs w:val="21"/>
                      <w:u w:val="none" w:color="auto"/>
                    </w:rPr>
                  </w:pPr>
                </w:p>
              </w:tc>
              <w:tc>
                <w:tcPr>
                  <w:tcW w:w="655" w:type="pct"/>
                  <w:tcBorders>
                    <w:tl2br w:val="nil"/>
                    <w:tr2bl w:val="nil"/>
                  </w:tcBorders>
                  <w:noWrap w:val="0"/>
                  <w:vAlign w:val="center"/>
                </w:tcPr>
                <w:p w14:paraId="090F93EC">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bCs/>
                      <w:snapToGrid w:val="0"/>
                      <w:color w:val="auto"/>
                      <w:spacing w:val="-6"/>
                      <w:sz w:val="21"/>
                      <w:szCs w:val="21"/>
                      <w:u w:val="none" w:color="auto"/>
                      <w:lang w:val="en-US" w:eastAsia="zh-CN"/>
                    </w:rPr>
                  </w:pPr>
                  <w:r>
                    <w:rPr>
                      <w:rFonts w:hint="default" w:ascii="Times New Roman" w:hAnsi="Times New Roman" w:eastAsia="宋体" w:cs="Times New Roman"/>
                      <w:b/>
                      <w:bCs/>
                      <w:snapToGrid w:val="0"/>
                      <w:color w:val="auto"/>
                      <w:spacing w:val="-6"/>
                      <w:sz w:val="21"/>
                      <w:szCs w:val="21"/>
                      <w:u w:val="none" w:color="auto"/>
                      <w:lang w:val="en-US" w:eastAsia="zh-CN"/>
                    </w:rPr>
                    <w:t>9:44-10:04</w:t>
                  </w:r>
                </w:p>
              </w:tc>
              <w:tc>
                <w:tcPr>
                  <w:tcW w:w="682" w:type="pct"/>
                  <w:tcBorders>
                    <w:tl2br w:val="nil"/>
                    <w:tr2bl w:val="nil"/>
                  </w:tcBorders>
                  <w:noWrap w:val="0"/>
                  <w:vAlign w:val="center"/>
                </w:tcPr>
                <w:p w14:paraId="5DDEE32D">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bCs/>
                      <w:snapToGrid w:val="0"/>
                      <w:color w:val="auto"/>
                      <w:spacing w:val="-6"/>
                      <w:sz w:val="21"/>
                      <w:szCs w:val="21"/>
                      <w:u w:val="none" w:color="auto"/>
                      <w:lang w:val="en-US" w:eastAsia="zh-CN"/>
                    </w:rPr>
                  </w:pPr>
                  <w:r>
                    <w:rPr>
                      <w:rFonts w:hint="default" w:ascii="Times New Roman" w:hAnsi="Times New Roman" w:eastAsia="宋体" w:cs="Times New Roman"/>
                      <w:b/>
                      <w:bCs/>
                      <w:snapToGrid w:val="0"/>
                      <w:color w:val="auto"/>
                      <w:spacing w:val="-6"/>
                      <w:sz w:val="21"/>
                      <w:szCs w:val="21"/>
                      <w:u w:val="none" w:color="auto"/>
                      <w:lang w:val="en-US" w:eastAsia="zh-CN"/>
                    </w:rPr>
                    <w:t>10:08-10:28</w:t>
                  </w:r>
                </w:p>
              </w:tc>
              <w:tc>
                <w:tcPr>
                  <w:tcW w:w="1252" w:type="pct"/>
                  <w:gridSpan w:val="2"/>
                  <w:tcBorders>
                    <w:tl2br w:val="nil"/>
                    <w:tr2bl w:val="nil"/>
                  </w:tcBorders>
                  <w:noWrap w:val="0"/>
                  <w:vAlign w:val="center"/>
                </w:tcPr>
                <w:p w14:paraId="3CC20E03">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bCs/>
                      <w:snapToGrid w:val="0"/>
                      <w:color w:val="auto"/>
                      <w:spacing w:val="-6"/>
                      <w:sz w:val="21"/>
                      <w:szCs w:val="21"/>
                      <w:u w:val="none" w:color="auto"/>
                      <w:lang w:val="en-US" w:eastAsia="zh-CN"/>
                    </w:rPr>
                  </w:pPr>
                  <w:r>
                    <w:rPr>
                      <w:rFonts w:hint="default" w:ascii="Times New Roman" w:hAnsi="Times New Roman" w:eastAsia="宋体" w:cs="Times New Roman"/>
                      <w:b/>
                      <w:bCs/>
                      <w:snapToGrid w:val="0"/>
                      <w:color w:val="auto"/>
                      <w:spacing w:val="-6"/>
                      <w:sz w:val="21"/>
                      <w:szCs w:val="21"/>
                      <w:u w:val="none" w:color="auto"/>
                      <w:lang w:val="en-US" w:eastAsia="zh-CN"/>
                    </w:rPr>
                    <w:t>10:32-10:52</w:t>
                  </w:r>
                </w:p>
              </w:tc>
            </w:tr>
            <w:tr w14:paraId="006F1B2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79" w:type="pct"/>
                  <w:vMerge w:val="restart"/>
                  <w:tcBorders>
                    <w:tl2br w:val="nil"/>
                    <w:tr2bl w:val="nil"/>
                  </w:tcBorders>
                  <w:noWrap w:val="0"/>
                  <w:vAlign w:val="center"/>
                </w:tcPr>
                <w:p w14:paraId="447446A5">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color w:val="auto"/>
                      <w:sz w:val="21"/>
                      <w:szCs w:val="21"/>
                      <w:u w:val="none" w:color="auto"/>
                      <w:lang w:val="en-US"/>
                    </w:rPr>
                  </w:pPr>
                  <w:r>
                    <w:rPr>
                      <w:rFonts w:hint="default" w:ascii="Times New Roman" w:hAnsi="Times New Roman" w:eastAsia="宋体" w:cs="Times New Roman"/>
                      <w:bCs w:val="0"/>
                      <w:color w:val="auto"/>
                      <w:kern w:val="2"/>
                      <w:sz w:val="21"/>
                      <w:szCs w:val="21"/>
                      <w:highlight w:val="none"/>
                      <w:u w:val="none" w:color="auto"/>
                      <w:lang w:val="en-US" w:eastAsia="zh-CN"/>
                    </w:rPr>
                    <w:t>DA002除尘器进口</w:t>
                  </w:r>
                </w:p>
              </w:tc>
              <w:tc>
                <w:tcPr>
                  <w:tcW w:w="1130" w:type="pct"/>
                  <w:gridSpan w:val="2"/>
                  <w:tcBorders>
                    <w:tl2br w:val="nil"/>
                    <w:tr2bl w:val="nil"/>
                  </w:tcBorders>
                  <w:noWrap w:val="0"/>
                  <w:vAlign w:val="center"/>
                </w:tcPr>
                <w:p w14:paraId="5C50B8D0">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标干烟气流量</w:t>
                  </w:r>
                </w:p>
              </w:tc>
              <w:tc>
                <w:tcPr>
                  <w:tcW w:w="599" w:type="pct"/>
                  <w:tcBorders>
                    <w:tl2br w:val="nil"/>
                    <w:tr2bl w:val="nil"/>
                  </w:tcBorders>
                  <w:noWrap w:val="0"/>
                  <w:vAlign w:val="center"/>
                </w:tcPr>
                <w:p w14:paraId="7123185E">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snapToGrid w:val="0"/>
                      <w:color w:val="auto"/>
                      <w:spacing w:val="-6"/>
                      <w:sz w:val="21"/>
                      <w:szCs w:val="21"/>
                      <w:u w:val="none" w:color="auto"/>
                    </w:rPr>
                  </w:pPr>
                  <w:r>
                    <w:rPr>
                      <w:rFonts w:hint="default" w:ascii="Times New Roman" w:hAnsi="Times New Roman" w:eastAsia="宋体" w:cs="Times New Roman"/>
                      <w:snapToGrid w:val="0"/>
                      <w:color w:val="auto"/>
                      <w:spacing w:val="-6"/>
                      <w:sz w:val="21"/>
                      <w:szCs w:val="21"/>
                      <w:u w:val="none" w:color="auto"/>
                    </w:rPr>
                    <w:t>Nm</w:t>
                  </w:r>
                  <w:r>
                    <w:rPr>
                      <w:rFonts w:hint="default" w:ascii="Times New Roman" w:hAnsi="Times New Roman" w:eastAsia="宋体" w:cs="Times New Roman"/>
                      <w:snapToGrid w:val="0"/>
                      <w:color w:val="auto"/>
                      <w:spacing w:val="-6"/>
                      <w:sz w:val="21"/>
                      <w:szCs w:val="21"/>
                      <w:u w:val="none" w:color="auto"/>
                      <w:vertAlign w:val="superscript"/>
                    </w:rPr>
                    <w:t>3</w:t>
                  </w:r>
                  <w:r>
                    <w:rPr>
                      <w:rFonts w:hint="default" w:ascii="Times New Roman" w:hAnsi="Times New Roman" w:eastAsia="宋体" w:cs="Times New Roman"/>
                      <w:snapToGrid w:val="0"/>
                      <w:color w:val="auto"/>
                      <w:spacing w:val="-6"/>
                      <w:sz w:val="21"/>
                      <w:szCs w:val="21"/>
                      <w:u w:val="none" w:color="auto"/>
                    </w:rPr>
                    <w:t>/h</w:t>
                  </w:r>
                </w:p>
              </w:tc>
              <w:tc>
                <w:tcPr>
                  <w:tcW w:w="655" w:type="pct"/>
                  <w:tcBorders>
                    <w:tl2br w:val="nil"/>
                    <w:tr2bl w:val="nil"/>
                  </w:tcBorders>
                  <w:noWrap w:val="0"/>
                  <w:vAlign w:val="center"/>
                </w:tcPr>
                <w:p w14:paraId="73AFDEC1">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snapToGrid w:val="0"/>
                      <w:color w:val="auto"/>
                      <w:spacing w:val="-6"/>
                      <w:kern w:val="2"/>
                      <w:sz w:val="21"/>
                      <w:szCs w:val="21"/>
                      <w:u w:val="none" w:color="auto"/>
                      <w:lang w:val="en-US" w:eastAsia="zh-CN" w:bidi="ar-SA"/>
                    </w:rPr>
                  </w:pPr>
                  <w:r>
                    <w:rPr>
                      <w:rFonts w:hint="default" w:ascii="Times New Roman" w:hAnsi="Times New Roman" w:eastAsia="宋体" w:cs="Times New Roman"/>
                      <w:snapToGrid w:val="0"/>
                      <w:color w:val="auto"/>
                      <w:spacing w:val="-6"/>
                      <w:kern w:val="2"/>
                      <w:sz w:val="21"/>
                      <w:szCs w:val="21"/>
                      <w:u w:val="none" w:color="auto"/>
                      <w:lang w:val="en-US" w:eastAsia="zh-CN" w:bidi="ar-SA"/>
                    </w:rPr>
                    <w:t>17351</w:t>
                  </w:r>
                </w:p>
              </w:tc>
              <w:tc>
                <w:tcPr>
                  <w:tcW w:w="682" w:type="pct"/>
                  <w:tcBorders>
                    <w:tl2br w:val="nil"/>
                    <w:tr2bl w:val="nil"/>
                  </w:tcBorders>
                  <w:noWrap w:val="0"/>
                  <w:vAlign w:val="center"/>
                </w:tcPr>
                <w:p w14:paraId="7C228FF7">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snapToGrid w:val="0"/>
                      <w:color w:val="auto"/>
                      <w:spacing w:val="-6"/>
                      <w:kern w:val="2"/>
                      <w:sz w:val="21"/>
                      <w:szCs w:val="21"/>
                      <w:u w:val="none" w:color="auto"/>
                      <w:lang w:val="en-US" w:eastAsia="zh-CN" w:bidi="ar-SA"/>
                    </w:rPr>
                  </w:pPr>
                  <w:r>
                    <w:rPr>
                      <w:rFonts w:hint="default" w:ascii="Times New Roman" w:hAnsi="Times New Roman" w:eastAsia="宋体" w:cs="Times New Roman"/>
                      <w:snapToGrid w:val="0"/>
                      <w:color w:val="auto"/>
                      <w:spacing w:val="-6"/>
                      <w:kern w:val="2"/>
                      <w:sz w:val="21"/>
                      <w:szCs w:val="21"/>
                      <w:u w:val="none" w:color="auto"/>
                      <w:lang w:val="en-US" w:eastAsia="zh-CN" w:bidi="ar-SA"/>
                    </w:rPr>
                    <w:t>15902</w:t>
                  </w:r>
                </w:p>
              </w:tc>
              <w:tc>
                <w:tcPr>
                  <w:tcW w:w="1252" w:type="pct"/>
                  <w:gridSpan w:val="2"/>
                  <w:tcBorders>
                    <w:tl2br w:val="nil"/>
                    <w:tr2bl w:val="nil"/>
                  </w:tcBorders>
                  <w:noWrap w:val="0"/>
                  <w:vAlign w:val="center"/>
                </w:tcPr>
                <w:p w14:paraId="6C71C719">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snapToGrid w:val="0"/>
                      <w:color w:val="auto"/>
                      <w:spacing w:val="-6"/>
                      <w:kern w:val="2"/>
                      <w:sz w:val="21"/>
                      <w:szCs w:val="21"/>
                      <w:u w:val="none" w:color="auto"/>
                      <w:lang w:val="en-US" w:eastAsia="zh-CN" w:bidi="ar-SA"/>
                    </w:rPr>
                  </w:pPr>
                  <w:r>
                    <w:rPr>
                      <w:rFonts w:hint="default" w:ascii="Times New Roman" w:hAnsi="Times New Roman" w:eastAsia="宋体" w:cs="Times New Roman"/>
                      <w:snapToGrid w:val="0"/>
                      <w:color w:val="auto"/>
                      <w:spacing w:val="-6"/>
                      <w:kern w:val="2"/>
                      <w:sz w:val="21"/>
                      <w:szCs w:val="21"/>
                      <w:u w:val="none" w:color="auto"/>
                      <w:lang w:val="en-US" w:eastAsia="zh-CN" w:bidi="ar-SA"/>
                    </w:rPr>
                    <w:t>15988</w:t>
                  </w:r>
                </w:p>
              </w:tc>
            </w:tr>
            <w:tr w14:paraId="7B3686A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79" w:type="pct"/>
                  <w:vMerge w:val="continue"/>
                  <w:tcBorders>
                    <w:tl2br w:val="nil"/>
                    <w:tr2bl w:val="nil"/>
                  </w:tcBorders>
                  <w:noWrap w:val="0"/>
                  <w:vAlign w:val="center"/>
                </w:tcPr>
                <w:p w14:paraId="39B7ED4C">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color w:val="auto"/>
                      <w:sz w:val="21"/>
                      <w:szCs w:val="21"/>
                      <w:u w:val="none" w:color="auto"/>
                    </w:rPr>
                  </w:pPr>
                </w:p>
              </w:tc>
              <w:tc>
                <w:tcPr>
                  <w:tcW w:w="371" w:type="pct"/>
                  <w:vMerge w:val="restart"/>
                  <w:tcBorders>
                    <w:tl2br w:val="nil"/>
                    <w:tr2bl w:val="nil"/>
                  </w:tcBorders>
                  <w:noWrap w:val="0"/>
                  <w:vAlign w:val="center"/>
                </w:tcPr>
                <w:p w14:paraId="7EF466CB">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颗粒物</w:t>
                  </w:r>
                </w:p>
              </w:tc>
              <w:tc>
                <w:tcPr>
                  <w:tcW w:w="759" w:type="pct"/>
                  <w:tcBorders>
                    <w:tl2br w:val="nil"/>
                    <w:tr2bl w:val="nil"/>
                  </w:tcBorders>
                  <w:noWrap w:val="0"/>
                  <w:vAlign w:val="center"/>
                </w:tcPr>
                <w:p w14:paraId="5EFD92DD">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实际浓度</w:t>
                  </w:r>
                </w:p>
              </w:tc>
              <w:tc>
                <w:tcPr>
                  <w:tcW w:w="599" w:type="pct"/>
                  <w:tcBorders>
                    <w:tl2br w:val="nil"/>
                    <w:tr2bl w:val="nil"/>
                  </w:tcBorders>
                  <w:noWrap w:val="0"/>
                  <w:vAlign w:val="center"/>
                </w:tcPr>
                <w:p w14:paraId="28B2EF69">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snapToGrid w:val="0"/>
                      <w:color w:val="auto"/>
                      <w:spacing w:val="-6"/>
                      <w:sz w:val="21"/>
                      <w:szCs w:val="21"/>
                      <w:u w:val="none" w:color="auto"/>
                    </w:rPr>
                  </w:pPr>
                  <w:r>
                    <w:rPr>
                      <w:rFonts w:hint="default" w:ascii="Times New Roman" w:hAnsi="Times New Roman" w:eastAsia="宋体" w:cs="Times New Roman"/>
                      <w:snapToGrid w:val="0"/>
                      <w:color w:val="auto"/>
                      <w:spacing w:val="-6"/>
                      <w:sz w:val="21"/>
                      <w:szCs w:val="21"/>
                      <w:u w:val="none" w:color="auto"/>
                    </w:rPr>
                    <w:t>mg/m</w:t>
                  </w:r>
                  <w:r>
                    <w:rPr>
                      <w:rFonts w:hint="default" w:ascii="Times New Roman" w:hAnsi="Times New Roman" w:eastAsia="宋体" w:cs="Times New Roman"/>
                      <w:snapToGrid w:val="0"/>
                      <w:color w:val="auto"/>
                      <w:spacing w:val="-6"/>
                      <w:sz w:val="21"/>
                      <w:szCs w:val="21"/>
                      <w:u w:val="none" w:color="auto"/>
                      <w:vertAlign w:val="superscript"/>
                    </w:rPr>
                    <w:t>3</w:t>
                  </w:r>
                </w:p>
              </w:tc>
              <w:tc>
                <w:tcPr>
                  <w:tcW w:w="655" w:type="pct"/>
                  <w:tcBorders>
                    <w:tl2br w:val="nil"/>
                    <w:tr2bl w:val="nil"/>
                  </w:tcBorders>
                  <w:noWrap w:val="0"/>
                  <w:vAlign w:val="center"/>
                </w:tcPr>
                <w:p w14:paraId="53CBDAC1">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snapToGrid w:val="0"/>
                      <w:color w:val="auto"/>
                      <w:spacing w:val="-6"/>
                      <w:sz w:val="21"/>
                      <w:szCs w:val="21"/>
                      <w:highlight w:val="none"/>
                      <w:u w:val="none" w:color="auto"/>
                      <w:lang w:val="en-US" w:eastAsia="zh-CN"/>
                    </w:rPr>
                  </w:pPr>
                  <w:r>
                    <w:rPr>
                      <w:rFonts w:hint="default" w:ascii="Times New Roman" w:hAnsi="Times New Roman" w:eastAsia="宋体" w:cs="Times New Roman"/>
                      <w:snapToGrid w:val="0"/>
                      <w:color w:val="auto"/>
                      <w:spacing w:val="-6"/>
                      <w:sz w:val="21"/>
                      <w:szCs w:val="21"/>
                      <w:highlight w:val="none"/>
                      <w:u w:val="none" w:color="auto"/>
                      <w:lang w:val="en-US" w:eastAsia="zh-CN"/>
                    </w:rPr>
                    <w:t>26.7</w:t>
                  </w:r>
                </w:p>
              </w:tc>
              <w:tc>
                <w:tcPr>
                  <w:tcW w:w="682" w:type="pct"/>
                  <w:tcBorders>
                    <w:tl2br w:val="nil"/>
                    <w:tr2bl w:val="nil"/>
                  </w:tcBorders>
                  <w:noWrap w:val="0"/>
                  <w:vAlign w:val="center"/>
                </w:tcPr>
                <w:p w14:paraId="5E218952">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snapToGrid w:val="0"/>
                      <w:color w:val="auto"/>
                      <w:spacing w:val="-6"/>
                      <w:sz w:val="21"/>
                      <w:szCs w:val="21"/>
                      <w:highlight w:val="none"/>
                      <w:u w:val="none" w:color="auto"/>
                      <w:lang w:val="en-US" w:eastAsia="zh-CN"/>
                    </w:rPr>
                  </w:pPr>
                  <w:r>
                    <w:rPr>
                      <w:rFonts w:hint="default" w:ascii="Times New Roman" w:hAnsi="Times New Roman" w:eastAsia="宋体" w:cs="Times New Roman"/>
                      <w:snapToGrid w:val="0"/>
                      <w:color w:val="auto"/>
                      <w:spacing w:val="-6"/>
                      <w:sz w:val="21"/>
                      <w:szCs w:val="21"/>
                      <w:highlight w:val="none"/>
                      <w:u w:val="none" w:color="auto"/>
                      <w:lang w:val="en-US" w:eastAsia="zh-CN"/>
                    </w:rPr>
                    <w:t>24.3</w:t>
                  </w:r>
                </w:p>
              </w:tc>
              <w:tc>
                <w:tcPr>
                  <w:tcW w:w="1252" w:type="pct"/>
                  <w:gridSpan w:val="2"/>
                  <w:tcBorders>
                    <w:tl2br w:val="nil"/>
                    <w:tr2bl w:val="nil"/>
                  </w:tcBorders>
                  <w:noWrap w:val="0"/>
                  <w:vAlign w:val="center"/>
                </w:tcPr>
                <w:p w14:paraId="49622B16">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snapToGrid w:val="0"/>
                      <w:color w:val="auto"/>
                      <w:spacing w:val="-6"/>
                      <w:sz w:val="21"/>
                      <w:szCs w:val="21"/>
                      <w:u w:val="none" w:color="auto"/>
                      <w:lang w:val="en-US" w:eastAsia="zh-CN"/>
                    </w:rPr>
                  </w:pPr>
                  <w:r>
                    <w:rPr>
                      <w:rFonts w:hint="default" w:ascii="Times New Roman" w:hAnsi="Times New Roman" w:eastAsia="宋体" w:cs="Times New Roman"/>
                      <w:snapToGrid w:val="0"/>
                      <w:color w:val="auto"/>
                      <w:spacing w:val="-6"/>
                      <w:sz w:val="21"/>
                      <w:szCs w:val="21"/>
                      <w:u w:val="none" w:color="auto"/>
                      <w:lang w:val="en-US" w:eastAsia="zh-CN"/>
                    </w:rPr>
                    <w:t>25.0</w:t>
                  </w:r>
                </w:p>
              </w:tc>
            </w:tr>
            <w:tr w14:paraId="31E23DC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79" w:type="pct"/>
                  <w:vMerge w:val="continue"/>
                  <w:tcBorders>
                    <w:tl2br w:val="nil"/>
                    <w:tr2bl w:val="nil"/>
                  </w:tcBorders>
                  <w:noWrap w:val="0"/>
                  <w:vAlign w:val="center"/>
                </w:tcPr>
                <w:p w14:paraId="0701DC2E">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color w:val="auto"/>
                      <w:sz w:val="21"/>
                      <w:szCs w:val="21"/>
                      <w:u w:val="none" w:color="auto"/>
                    </w:rPr>
                  </w:pPr>
                </w:p>
              </w:tc>
              <w:tc>
                <w:tcPr>
                  <w:tcW w:w="371" w:type="pct"/>
                  <w:vMerge w:val="continue"/>
                  <w:tcBorders>
                    <w:tl2br w:val="nil"/>
                    <w:tr2bl w:val="nil"/>
                  </w:tcBorders>
                  <w:noWrap w:val="0"/>
                  <w:vAlign w:val="center"/>
                </w:tcPr>
                <w:p w14:paraId="260E4E0A">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color w:val="auto"/>
                      <w:sz w:val="21"/>
                      <w:szCs w:val="21"/>
                      <w:u w:val="none" w:color="auto"/>
                      <w:lang w:val="en-US" w:eastAsia="zh-CN"/>
                    </w:rPr>
                  </w:pPr>
                </w:p>
              </w:tc>
              <w:tc>
                <w:tcPr>
                  <w:tcW w:w="759" w:type="pct"/>
                  <w:tcBorders>
                    <w:tl2br w:val="nil"/>
                    <w:tr2bl w:val="nil"/>
                  </w:tcBorders>
                  <w:noWrap w:val="0"/>
                  <w:vAlign w:val="center"/>
                </w:tcPr>
                <w:p w14:paraId="7B626159">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平均值</w:t>
                  </w:r>
                </w:p>
              </w:tc>
              <w:tc>
                <w:tcPr>
                  <w:tcW w:w="599" w:type="pct"/>
                  <w:tcBorders>
                    <w:tl2br w:val="nil"/>
                    <w:tr2bl w:val="nil"/>
                  </w:tcBorders>
                  <w:noWrap w:val="0"/>
                  <w:vAlign w:val="center"/>
                </w:tcPr>
                <w:p w14:paraId="3F374DDD">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snapToGrid w:val="0"/>
                      <w:color w:val="auto"/>
                      <w:spacing w:val="-6"/>
                      <w:sz w:val="21"/>
                      <w:szCs w:val="21"/>
                      <w:u w:val="none" w:color="auto"/>
                    </w:rPr>
                  </w:pPr>
                  <w:r>
                    <w:rPr>
                      <w:rFonts w:hint="default" w:ascii="Times New Roman" w:hAnsi="Times New Roman" w:eastAsia="宋体" w:cs="Times New Roman"/>
                      <w:snapToGrid w:val="0"/>
                      <w:color w:val="auto"/>
                      <w:spacing w:val="-6"/>
                      <w:sz w:val="21"/>
                      <w:szCs w:val="21"/>
                      <w:u w:val="none" w:color="auto"/>
                    </w:rPr>
                    <w:t>mg/m</w:t>
                  </w:r>
                  <w:r>
                    <w:rPr>
                      <w:rFonts w:hint="default" w:ascii="Times New Roman" w:hAnsi="Times New Roman" w:eastAsia="宋体" w:cs="Times New Roman"/>
                      <w:snapToGrid w:val="0"/>
                      <w:color w:val="auto"/>
                      <w:spacing w:val="-6"/>
                      <w:sz w:val="21"/>
                      <w:szCs w:val="21"/>
                      <w:u w:val="none" w:color="auto"/>
                      <w:vertAlign w:val="superscript"/>
                    </w:rPr>
                    <w:t>3</w:t>
                  </w:r>
                </w:p>
              </w:tc>
              <w:tc>
                <w:tcPr>
                  <w:tcW w:w="2590" w:type="pct"/>
                  <w:gridSpan w:val="4"/>
                  <w:tcBorders>
                    <w:tl2br w:val="nil"/>
                    <w:tr2bl w:val="nil"/>
                  </w:tcBorders>
                  <w:noWrap w:val="0"/>
                  <w:vAlign w:val="center"/>
                </w:tcPr>
                <w:p w14:paraId="307D68BA">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snapToGrid w:val="0"/>
                      <w:color w:val="auto"/>
                      <w:spacing w:val="-6"/>
                      <w:sz w:val="21"/>
                      <w:szCs w:val="21"/>
                      <w:u w:val="none" w:color="auto"/>
                      <w:lang w:val="en-US" w:eastAsia="zh-CN"/>
                    </w:rPr>
                  </w:pPr>
                  <w:r>
                    <w:rPr>
                      <w:rFonts w:hint="default" w:ascii="Times New Roman" w:hAnsi="Times New Roman" w:eastAsia="宋体" w:cs="Times New Roman"/>
                      <w:snapToGrid w:val="0"/>
                      <w:color w:val="auto"/>
                      <w:spacing w:val="-6"/>
                      <w:sz w:val="21"/>
                      <w:szCs w:val="21"/>
                      <w:u w:val="none" w:color="auto"/>
                      <w:lang w:val="en-US" w:eastAsia="zh-CN"/>
                    </w:rPr>
                    <w:t>25.3</w:t>
                  </w:r>
                </w:p>
              </w:tc>
            </w:tr>
            <w:tr w14:paraId="2C28195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79" w:type="pct"/>
                  <w:vMerge w:val="continue"/>
                  <w:tcBorders>
                    <w:tl2br w:val="nil"/>
                    <w:tr2bl w:val="nil"/>
                  </w:tcBorders>
                  <w:noWrap w:val="0"/>
                  <w:vAlign w:val="center"/>
                </w:tcPr>
                <w:p w14:paraId="21B8DB43">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color w:val="auto"/>
                      <w:sz w:val="21"/>
                      <w:szCs w:val="21"/>
                      <w:u w:val="none" w:color="auto"/>
                    </w:rPr>
                  </w:pPr>
                </w:p>
              </w:tc>
              <w:tc>
                <w:tcPr>
                  <w:tcW w:w="371" w:type="pct"/>
                  <w:vMerge w:val="continue"/>
                  <w:tcBorders>
                    <w:tl2br w:val="nil"/>
                    <w:tr2bl w:val="nil"/>
                  </w:tcBorders>
                  <w:noWrap w:val="0"/>
                  <w:vAlign w:val="center"/>
                </w:tcPr>
                <w:p w14:paraId="4FD35DA0">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color w:val="auto"/>
                      <w:sz w:val="21"/>
                      <w:szCs w:val="21"/>
                      <w:u w:val="none" w:color="auto"/>
                    </w:rPr>
                  </w:pPr>
                </w:p>
              </w:tc>
              <w:tc>
                <w:tcPr>
                  <w:tcW w:w="759" w:type="pct"/>
                  <w:tcBorders>
                    <w:tl2br w:val="nil"/>
                    <w:tr2bl w:val="nil"/>
                  </w:tcBorders>
                  <w:noWrap w:val="0"/>
                  <w:vAlign w:val="center"/>
                </w:tcPr>
                <w:p w14:paraId="6AD043EF">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排放速率</w:t>
                  </w:r>
                </w:p>
              </w:tc>
              <w:tc>
                <w:tcPr>
                  <w:tcW w:w="599" w:type="pct"/>
                  <w:tcBorders>
                    <w:tl2br w:val="nil"/>
                    <w:tr2bl w:val="nil"/>
                  </w:tcBorders>
                  <w:noWrap w:val="0"/>
                  <w:vAlign w:val="center"/>
                </w:tcPr>
                <w:p w14:paraId="736CC193">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snapToGrid w:val="0"/>
                      <w:color w:val="auto"/>
                      <w:spacing w:val="-6"/>
                      <w:sz w:val="21"/>
                      <w:szCs w:val="21"/>
                      <w:u w:val="none" w:color="auto"/>
                      <w:lang w:val="en-US" w:eastAsia="zh-CN"/>
                    </w:rPr>
                  </w:pPr>
                  <w:r>
                    <w:rPr>
                      <w:rFonts w:hint="default" w:ascii="Times New Roman" w:hAnsi="Times New Roman" w:eastAsia="宋体" w:cs="Times New Roman"/>
                      <w:snapToGrid w:val="0"/>
                      <w:color w:val="auto"/>
                      <w:spacing w:val="-6"/>
                      <w:sz w:val="21"/>
                      <w:szCs w:val="21"/>
                      <w:u w:val="none" w:color="auto"/>
                      <w:lang w:val="en-US" w:eastAsia="zh-CN"/>
                    </w:rPr>
                    <w:t>kg/h</w:t>
                  </w:r>
                </w:p>
              </w:tc>
              <w:tc>
                <w:tcPr>
                  <w:tcW w:w="655" w:type="pct"/>
                  <w:tcBorders>
                    <w:tl2br w:val="nil"/>
                    <w:tr2bl w:val="nil"/>
                  </w:tcBorders>
                  <w:noWrap w:val="0"/>
                  <w:vAlign w:val="center"/>
                </w:tcPr>
                <w:p w14:paraId="54A539E0">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snapToGrid w:val="0"/>
                      <w:color w:val="auto"/>
                      <w:spacing w:val="-6"/>
                      <w:sz w:val="21"/>
                      <w:szCs w:val="21"/>
                      <w:u w:val="none" w:color="auto"/>
                      <w:lang w:val="en-US" w:eastAsia="zh-CN"/>
                    </w:rPr>
                  </w:pPr>
                  <w:r>
                    <w:rPr>
                      <w:rFonts w:hint="default" w:ascii="Times New Roman" w:hAnsi="Times New Roman" w:eastAsia="宋体" w:cs="Times New Roman"/>
                      <w:snapToGrid w:val="0"/>
                      <w:color w:val="auto"/>
                      <w:spacing w:val="-6"/>
                      <w:sz w:val="21"/>
                      <w:szCs w:val="21"/>
                      <w:u w:val="none" w:color="auto"/>
                      <w:lang w:val="en-US" w:eastAsia="zh-CN"/>
                    </w:rPr>
                    <w:t>0.46</w:t>
                  </w:r>
                </w:p>
              </w:tc>
              <w:tc>
                <w:tcPr>
                  <w:tcW w:w="682" w:type="pct"/>
                  <w:tcBorders>
                    <w:tl2br w:val="nil"/>
                    <w:tr2bl w:val="nil"/>
                  </w:tcBorders>
                  <w:noWrap w:val="0"/>
                  <w:vAlign w:val="center"/>
                </w:tcPr>
                <w:p w14:paraId="24D8BEFD">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snapToGrid w:val="0"/>
                      <w:color w:val="auto"/>
                      <w:spacing w:val="-6"/>
                      <w:sz w:val="21"/>
                      <w:szCs w:val="21"/>
                      <w:u w:val="none" w:color="auto"/>
                      <w:lang w:val="en-US" w:eastAsia="zh-CN"/>
                    </w:rPr>
                  </w:pPr>
                  <w:r>
                    <w:rPr>
                      <w:rFonts w:hint="default" w:ascii="Times New Roman" w:hAnsi="Times New Roman" w:eastAsia="宋体" w:cs="Times New Roman"/>
                      <w:snapToGrid w:val="0"/>
                      <w:color w:val="auto"/>
                      <w:spacing w:val="-6"/>
                      <w:sz w:val="21"/>
                      <w:szCs w:val="21"/>
                      <w:u w:val="none" w:color="auto"/>
                      <w:lang w:val="en-US" w:eastAsia="zh-CN"/>
                    </w:rPr>
                    <w:t>0.39</w:t>
                  </w:r>
                </w:p>
              </w:tc>
              <w:tc>
                <w:tcPr>
                  <w:tcW w:w="1252" w:type="pct"/>
                  <w:gridSpan w:val="2"/>
                  <w:tcBorders>
                    <w:tl2br w:val="nil"/>
                    <w:tr2bl w:val="nil"/>
                  </w:tcBorders>
                  <w:noWrap w:val="0"/>
                  <w:vAlign w:val="center"/>
                </w:tcPr>
                <w:p w14:paraId="28C7253A">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snapToGrid w:val="0"/>
                      <w:color w:val="auto"/>
                      <w:spacing w:val="-6"/>
                      <w:sz w:val="21"/>
                      <w:szCs w:val="21"/>
                      <w:u w:val="none" w:color="auto"/>
                      <w:lang w:val="en-US" w:eastAsia="zh-CN"/>
                    </w:rPr>
                  </w:pPr>
                  <w:r>
                    <w:rPr>
                      <w:rFonts w:hint="default" w:ascii="Times New Roman" w:hAnsi="Times New Roman" w:eastAsia="宋体" w:cs="Times New Roman"/>
                      <w:snapToGrid w:val="0"/>
                      <w:color w:val="auto"/>
                      <w:spacing w:val="-6"/>
                      <w:sz w:val="21"/>
                      <w:szCs w:val="21"/>
                      <w:u w:val="none" w:color="auto"/>
                      <w:lang w:val="en-US" w:eastAsia="zh-CN"/>
                    </w:rPr>
                    <w:t>0.40</w:t>
                  </w:r>
                </w:p>
              </w:tc>
            </w:tr>
            <w:tr w14:paraId="0CDBA4A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79" w:type="pct"/>
                  <w:vMerge w:val="restart"/>
                  <w:tcBorders>
                    <w:tl2br w:val="nil"/>
                    <w:tr2bl w:val="nil"/>
                  </w:tcBorders>
                  <w:noWrap w:val="0"/>
                  <w:vAlign w:val="center"/>
                </w:tcPr>
                <w:p w14:paraId="18590928">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color w:val="auto"/>
                      <w:sz w:val="21"/>
                      <w:szCs w:val="21"/>
                      <w:u w:val="none" w:color="auto"/>
                      <w:lang w:val="en-US" w:eastAsia="zh-CN" w:bidi="ar-SA"/>
                    </w:rPr>
                  </w:pPr>
                  <w:r>
                    <w:rPr>
                      <w:rFonts w:hint="default" w:ascii="Times New Roman" w:hAnsi="Times New Roman" w:eastAsia="宋体" w:cs="Times New Roman"/>
                      <w:bCs w:val="0"/>
                      <w:color w:val="auto"/>
                      <w:kern w:val="2"/>
                      <w:sz w:val="21"/>
                      <w:szCs w:val="21"/>
                      <w:highlight w:val="none"/>
                      <w:u w:val="none" w:color="auto"/>
                      <w:lang w:val="en-US" w:eastAsia="zh-CN"/>
                    </w:rPr>
                    <w:t>DA002除尘器出口</w:t>
                  </w:r>
                </w:p>
              </w:tc>
              <w:tc>
                <w:tcPr>
                  <w:tcW w:w="1130" w:type="pct"/>
                  <w:gridSpan w:val="2"/>
                  <w:tcBorders>
                    <w:tl2br w:val="nil"/>
                    <w:tr2bl w:val="nil"/>
                  </w:tcBorders>
                  <w:noWrap w:val="0"/>
                  <w:vAlign w:val="center"/>
                </w:tcPr>
                <w:p w14:paraId="76021833">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标干烟气流量</w:t>
                  </w:r>
                </w:p>
              </w:tc>
              <w:tc>
                <w:tcPr>
                  <w:tcW w:w="599" w:type="pct"/>
                  <w:tcBorders>
                    <w:tl2br w:val="nil"/>
                    <w:tr2bl w:val="nil"/>
                  </w:tcBorders>
                  <w:noWrap w:val="0"/>
                  <w:vAlign w:val="center"/>
                </w:tcPr>
                <w:p w14:paraId="031522E0">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snapToGrid w:val="0"/>
                      <w:color w:val="auto"/>
                      <w:spacing w:val="-6"/>
                      <w:sz w:val="21"/>
                      <w:szCs w:val="21"/>
                      <w:u w:val="none" w:color="auto"/>
                    </w:rPr>
                  </w:pPr>
                  <w:r>
                    <w:rPr>
                      <w:rFonts w:hint="default" w:ascii="Times New Roman" w:hAnsi="Times New Roman" w:eastAsia="宋体" w:cs="Times New Roman"/>
                      <w:snapToGrid w:val="0"/>
                      <w:color w:val="auto"/>
                      <w:spacing w:val="-6"/>
                      <w:sz w:val="21"/>
                      <w:szCs w:val="21"/>
                      <w:u w:val="none" w:color="auto"/>
                    </w:rPr>
                    <w:t>Nm</w:t>
                  </w:r>
                  <w:r>
                    <w:rPr>
                      <w:rFonts w:hint="default" w:ascii="Times New Roman" w:hAnsi="Times New Roman" w:eastAsia="宋体" w:cs="Times New Roman"/>
                      <w:snapToGrid w:val="0"/>
                      <w:color w:val="auto"/>
                      <w:spacing w:val="-6"/>
                      <w:sz w:val="21"/>
                      <w:szCs w:val="21"/>
                      <w:u w:val="none" w:color="auto"/>
                      <w:vertAlign w:val="superscript"/>
                    </w:rPr>
                    <w:t>3</w:t>
                  </w:r>
                  <w:r>
                    <w:rPr>
                      <w:rFonts w:hint="default" w:ascii="Times New Roman" w:hAnsi="Times New Roman" w:eastAsia="宋体" w:cs="Times New Roman"/>
                      <w:snapToGrid w:val="0"/>
                      <w:color w:val="auto"/>
                      <w:spacing w:val="-6"/>
                      <w:sz w:val="21"/>
                      <w:szCs w:val="21"/>
                      <w:u w:val="none" w:color="auto"/>
                    </w:rPr>
                    <w:t>/h</w:t>
                  </w:r>
                </w:p>
              </w:tc>
              <w:tc>
                <w:tcPr>
                  <w:tcW w:w="655" w:type="pct"/>
                  <w:tcBorders>
                    <w:tl2br w:val="nil"/>
                    <w:tr2bl w:val="nil"/>
                  </w:tcBorders>
                  <w:noWrap w:val="0"/>
                  <w:vAlign w:val="center"/>
                </w:tcPr>
                <w:p w14:paraId="5BBF1D09">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snapToGrid w:val="0"/>
                      <w:color w:val="auto"/>
                      <w:spacing w:val="-6"/>
                      <w:kern w:val="2"/>
                      <w:sz w:val="21"/>
                      <w:szCs w:val="21"/>
                      <w:u w:val="none" w:color="auto"/>
                      <w:lang w:val="en-US" w:eastAsia="zh-CN" w:bidi="ar-SA"/>
                    </w:rPr>
                  </w:pPr>
                  <w:r>
                    <w:rPr>
                      <w:rFonts w:hint="default" w:ascii="Times New Roman" w:hAnsi="Times New Roman" w:eastAsia="宋体" w:cs="Times New Roman"/>
                      <w:snapToGrid w:val="0"/>
                      <w:color w:val="auto"/>
                      <w:spacing w:val="-6"/>
                      <w:kern w:val="2"/>
                      <w:sz w:val="21"/>
                      <w:szCs w:val="21"/>
                      <w:u w:val="none" w:color="auto"/>
                      <w:lang w:val="en-US" w:eastAsia="zh-CN" w:bidi="ar-SA"/>
                    </w:rPr>
                    <w:t>14984</w:t>
                  </w:r>
                </w:p>
              </w:tc>
              <w:tc>
                <w:tcPr>
                  <w:tcW w:w="682" w:type="pct"/>
                  <w:tcBorders>
                    <w:tl2br w:val="nil"/>
                    <w:tr2bl w:val="nil"/>
                  </w:tcBorders>
                  <w:noWrap w:val="0"/>
                  <w:vAlign w:val="center"/>
                </w:tcPr>
                <w:p w14:paraId="4308717E">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snapToGrid w:val="0"/>
                      <w:color w:val="auto"/>
                      <w:spacing w:val="-6"/>
                      <w:kern w:val="2"/>
                      <w:sz w:val="21"/>
                      <w:szCs w:val="21"/>
                      <w:u w:val="none" w:color="auto"/>
                      <w:lang w:val="en-US" w:eastAsia="zh-CN" w:bidi="ar-SA"/>
                    </w:rPr>
                  </w:pPr>
                  <w:r>
                    <w:rPr>
                      <w:rFonts w:hint="default" w:ascii="Times New Roman" w:hAnsi="Times New Roman" w:eastAsia="宋体" w:cs="Times New Roman"/>
                      <w:snapToGrid w:val="0"/>
                      <w:color w:val="auto"/>
                      <w:spacing w:val="-6"/>
                      <w:kern w:val="2"/>
                      <w:sz w:val="21"/>
                      <w:szCs w:val="21"/>
                      <w:u w:val="none" w:color="auto"/>
                      <w:lang w:val="en-US" w:eastAsia="zh-CN" w:bidi="ar-SA"/>
                    </w:rPr>
                    <w:t>14262</w:t>
                  </w:r>
                </w:p>
              </w:tc>
              <w:tc>
                <w:tcPr>
                  <w:tcW w:w="650" w:type="pct"/>
                  <w:tcBorders>
                    <w:tl2br w:val="nil"/>
                    <w:tr2bl w:val="nil"/>
                  </w:tcBorders>
                  <w:noWrap w:val="0"/>
                  <w:vAlign w:val="center"/>
                </w:tcPr>
                <w:p w14:paraId="523CCAC4">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snapToGrid w:val="0"/>
                      <w:color w:val="auto"/>
                      <w:spacing w:val="-6"/>
                      <w:kern w:val="2"/>
                      <w:sz w:val="21"/>
                      <w:szCs w:val="21"/>
                      <w:u w:val="none" w:color="auto"/>
                      <w:lang w:val="en-US" w:eastAsia="zh-CN" w:bidi="ar-SA"/>
                    </w:rPr>
                  </w:pPr>
                  <w:r>
                    <w:rPr>
                      <w:rFonts w:hint="default" w:ascii="Times New Roman" w:hAnsi="Times New Roman" w:eastAsia="宋体" w:cs="Times New Roman"/>
                      <w:snapToGrid w:val="0"/>
                      <w:color w:val="auto"/>
                      <w:spacing w:val="-6"/>
                      <w:kern w:val="2"/>
                      <w:sz w:val="21"/>
                      <w:szCs w:val="21"/>
                      <w:u w:val="none" w:color="auto"/>
                      <w:lang w:val="en-US" w:eastAsia="zh-CN" w:bidi="ar-SA"/>
                    </w:rPr>
                    <w:t>13962</w:t>
                  </w:r>
                </w:p>
              </w:tc>
              <w:tc>
                <w:tcPr>
                  <w:tcW w:w="602" w:type="pct"/>
                  <w:tcBorders>
                    <w:tl2br w:val="nil"/>
                    <w:tr2bl w:val="nil"/>
                  </w:tcBorders>
                  <w:noWrap w:val="0"/>
                  <w:vAlign w:val="center"/>
                </w:tcPr>
                <w:p w14:paraId="3FF38793">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color w:val="auto"/>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标准限值</w:t>
                  </w:r>
                </w:p>
              </w:tc>
            </w:tr>
            <w:tr w14:paraId="606EFAE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79" w:type="pct"/>
                  <w:vMerge w:val="continue"/>
                  <w:tcBorders>
                    <w:tl2br w:val="nil"/>
                    <w:tr2bl w:val="nil"/>
                  </w:tcBorders>
                  <w:noWrap w:val="0"/>
                  <w:vAlign w:val="center"/>
                </w:tcPr>
                <w:p w14:paraId="5E94CB0A">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color w:val="auto"/>
                      <w:sz w:val="21"/>
                      <w:szCs w:val="21"/>
                      <w:u w:val="none" w:color="auto"/>
                    </w:rPr>
                  </w:pPr>
                </w:p>
              </w:tc>
              <w:tc>
                <w:tcPr>
                  <w:tcW w:w="371" w:type="pct"/>
                  <w:vMerge w:val="restart"/>
                  <w:tcBorders>
                    <w:tl2br w:val="nil"/>
                    <w:tr2bl w:val="nil"/>
                  </w:tcBorders>
                  <w:noWrap w:val="0"/>
                  <w:vAlign w:val="center"/>
                </w:tcPr>
                <w:p w14:paraId="48B595FB">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颗粒物</w:t>
                  </w:r>
                </w:p>
              </w:tc>
              <w:tc>
                <w:tcPr>
                  <w:tcW w:w="759" w:type="pct"/>
                  <w:tcBorders>
                    <w:tl2br w:val="nil"/>
                    <w:tr2bl w:val="nil"/>
                  </w:tcBorders>
                  <w:noWrap w:val="0"/>
                  <w:vAlign w:val="center"/>
                </w:tcPr>
                <w:p w14:paraId="6EA1F96D">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实际浓度</w:t>
                  </w:r>
                </w:p>
              </w:tc>
              <w:tc>
                <w:tcPr>
                  <w:tcW w:w="599" w:type="pct"/>
                  <w:tcBorders>
                    <w:tl2br w:val="nil"/>
                    <w:tr2bl w:val="nil"/>
                  </w:tcBorders>
                  <w:noWrap w:val="0"/>
                  <w:vAlign w:val="center"/>
                </w:tcPr>
                <w:p w14:paraId="255C5732">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snapToGrid w:val="0"/>
                      <w:color w:val="auto"/>
                      <w:spacing w:val="-6"/>
                      <w:sz w:val="21"/>
                      <w:szCs w:val="21"/>
                      <w:u w:val="none" w:color="auto"/>
                    </w:rPr>
                  </w:pPr>
                  <w:r>
                    <w:rPr>
                      <w:rFonts w:hint="default" w:ascii="Times New Roman" w:hAnsi="Times New Roman" w:eastAsia="宋体" w:cs="Times New Roman"/>
                      <w:snapToGrid w:val="0"/>
                      <w:color w:val="auto"/>
                      <w:spacing w:val="-6"/>
                      <w:sz w:val="21"/>
                      <w:szCs w:val="21"/>
                      <w:u w:val="none" w:color="auto"/>
                    </w:rPr>
                    <w:t>mg/m</w:t>
                  </w:r>
                  <w:r>
                    <w:rPr>
                      <w:rFonts w:hint="default" w:ascii="Times New Roman" w:hAnsi="Times New Roman" w:eastAsia="宋体" w:cs="Times New Roman"/>
                      <w:snapToGrid w:val="0"/>
                      <w:color w:val="auto"/>
                      <w:spacing w:val="-6"/>
                      <w:sz w:val="21"/>
                      <w:szCs w:val="21"/>
                      <w:u w:val="none" w:color="auto"/>
                      <w:vertAlign w:val="superscript"/>
                    </w:rPr>
                    <w:t>3</w:t>
                  </w:r>
                </w:p>
              </w:tc>
              <w:tc>
                <w:tcPr>
                  <w:tcW w:w="655" w:type="pct"/>
                  <w:tcBorders>
                    <w:tl2br w:val="nil"/>
                    <w:tr2bl w:val="nil"/>
                  </w:tcBorders>
                  <w:noWrap w:val="0"/>
                  <w:vAlign w:val="center"/>
                </w:tcPr>
                <w:p w14:paraId="08F3587F">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snapToGrid w:val="0"/>
                      <w:color w:val="auto"/>
                      <w:spacing w:val="-6"/>
                      <w:sz w:val="21"/>
                      <w:szCs w:val="21"/>
                      <w:highlight w:val="none"/>
                      <w:u w:val="none" w:color="auto"/>
                      <w:lang w:val="en-US" w:eastAsia="zh-CN"/>
                    </w:rPr>
                  </w:pPr>
                  <w:r>
                    <w:rPr>
                      <w:rFonts w:hint="default" w:ascii="Times New Roman" w:hAnsi="Times New Roman" w:eastAsia="宋体" w:cs="Times New Roman"/>
                      <w:snapToGrid w:val="0"/>
                      <w:color w:val="auto"/>
                      <w:spacing w:val="-6"/>
                      <w:sz w:val="21"/>
                      <w:szCs w:val="21"/>
                      <w:highlight w:val="none"/>
                      <w:u w:val="none" w:color="auto"/>
                      <w:lang w:val="en-US" w:eastAsia="zh-CN"/>
                    </w:rPr>
                    <w:t>5.87</w:t>
                  </w:r>
                </w:p>
              </w:tc>
              <w:tc>
                <w:tcPr>
                  <w:tcW w:w="682" w:type="pct"/>
                  <w:tcBorders>
                    <w:tl2br w:val="nil"/>
                    <w:tr2bl w:val="nil"/>
                  </w:tcBorders>
                  <w:noWrap w:val="0"/>
                  <w:vAlign w:val="center"/>
                </w:tcPr>
                <w:p w14:paraId="03AD625E">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snapToGrid w:val="0"/>
                      <w:color w:val="auto"/>
                      <w:spacing w:val="-6"/>
                      <w:sz w:val="21"/>
                      <w:szCs w:val="21"/>
                      <w:highlight w:val="none"/>
                      <w:u w:val="none" w:color="auto"/>
                      <w:lang w:val="en-US" w:eastAsia="zh-CN"/>
                    </w:rPr>
                  </w:pPr>
                  <w:r>
                    <w:rPr>
                      <w:rFonts w:hint="default" w:ascii="Times New Roman" w:hAnsi="Times New Roman" w:eastAsia="宋体" w:cs="Times New Roman"/>
                      <w:snapToGrid w:val="0"/>
                      <w:color w:val="auto"/>
                      <w:spacing w:val="-6"/>
                      <w:sz w:val="21"/>
                      <w:szCs w:val="21"/>
                      <w:highlight w:val="none"/>
                      <w:u w:val="none" w:color="auto"/>
                      <w:lang w:val="en-US" w:eastAsia="zh-CN"/>
                    </w:rPr>
                    <w:t>5.83</w:t>
                  </w:r>
                </w:p>
              </w:tc>
              <w:tc>
                <w:tcPr>
                  <w:tcW w:w="650" w:type="pct"/>
                  <w:tcBorders>
                    <w:tl2br w:val="nil"/>
                    <w:tr2bl w:val="nil"/>
                  </w:tcBorders>
                  <w:noWrap w:val="0"/>
                  <w:vAlign w:val="center"/>
                </w:tcPr>
                <w:p w14:paraId="2B3A7BB2">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snapToGrid w:val="0"/>
                      <w:color w:val="auto"/>
                      <w:spacing w:val="-6"/>
                      <w:sz w:val="21"/>
                      <w:szCs w:val="21"/>
                      <w:u w:val="none" w:color="auto"/>
                      <w:lang w:val="en-US" w:eastAsia="zh-CN"/>
                    </w:rPr>
                  </w:pPr>
                  <w:r>
                    <w:rPr>
                      <w:rFonts w:hint="default" w:ascii="Times New Roman" w:hAnsi="Times New Roman" w:eastAsia="宋体" w:cs="Times New Roman"/>
                      <w:snapToGrid w:val="0"/>
                      <w:color w:val="auto"/>
                      <w:spacing w:val="-6"/>
                      <w:sz w:val="21"/>
                      <w:szCs w:val="21"/>
                      <w:u w:val="none" w:color="auto"/>
                      <w:lang w:val="en-US" w:eastAsia="zh-CN"/>
                    </w:rPr>
                    <w:t>6.12</w:t>
                  </w:r>
                </w:p>
              </w:tc>
              <w:tc>
                <w:tcPr>
                  <w:tcW w:w="602" w:type="pct"/>
                  <w:vMerge w:val="restart"/>
                  <w:tcBorders>
                    <w:tl2br w:val="nil"/>
                    <w:tr2bl w:val="nil"/>
                  </w:tcBorders>
                  <w:noWrap w:val="0"/>
                  <w:vAlign w:val="center"/>
                </w:tcPr>
                <w:p w14:paraId="6FF4C023">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snapToGrid w:val="0"/>
                      <w:color w:val="auto"/>
                      <w:spacing w:val="-6"/>
                      <w:sz w:val="21"/>
                      <w:szCs w:val="21"/>
                      <w:u w:val="none" w:color="auto"/>
                      <w:lang w:val="en-US" w:eastAsia="zh-CN"/>
                    </w:rPr>
                  </w:pPr>
                  <w:r>
                    <w:rPr>
                      <w:rFonts w:hint="default" w:ascii="Times New Roman" w:hAnsi="Times New Roman" w:eastAsia="宋体" w:cs="Times New Roman"/>
                      <w:snapToGrid w:val="0"/>
                      <w:color w:val="auto"/>
                      <w:spacing w:val="-6"/>
                      <w:sz w:val="21"/>
                      <w:szCs w:val="21"/>
                      <w:u w:val="none" w:color="auto"/>
                      <w:lang w:val="en-US" w:eastAsia="zh-CN"/>
                    </w:rPr>
                    <w:t>30</w:t>
                  </w:r>
                </w:p>
              </w:tc>
            </w:tr>
            <w:tr w14:paraId="5572073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79" w:type="pct"/>
                  <w:vMerge w:val="continue"/>
                  <w:tcBorders>
                    <w:tl2br w:val="nil"/>
                    <w:tr2bl w:val="nil"/>
                  </w:tcBorders>
                  <w:noWrap w:val="0"/>
                  <w:vAlign w:val="center"/>
                </w:tcPr>
                <w:p w14:paraId="4882BA16">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color w:val="auto"/>
                      <w:sz w:val="21"/>
                      <w:szCs w:val="21"/>
                      <w:u w:val="none" w:color="auto"/>
                    </w:rPr>
                  </w:pPr>
                </w:p>
              </w:tc>
              <w:tc>
                <w:tcPr>
                  <w:tcW w:w="371" w:type="pct"/>
                  <w:vMerge w:val="continue"/>
                  <w:tcBorders>
                    <w:tl2br w:val="nil"/>
                    <w:tr2bl w:val="nil"/>
                  </w:tcBorders>
                  <w:noWrap w:val="0"/>
                  <w:vAlign w:val="center"/>
                </w:tcPr>
                <w:p w14:paraId="374167F6">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color w:val="auto"/>
                      <w:sz w:val="21"/>
                      <w:szCs w:val="21"/>
                      <w:u w:val="none" w:color="auto"/>
                      <w:lang w:val="en-US" w:eastAsia="zh-CN"/>
                    </w:rPr>
                  </w:pPr>
                </w:p>
              </w:tc>
              <w:tc>
                <w:tcPr>
                  <w:tcW w:w="759" w:type="pct"/>
                  <w:tcBorders>
                    <w:tl2br w:val="nil"/>
                    <w:tr2bl w:val="nil"/>
                  </w:tcBorders>
                  <w:noWrap w:val="0"/>
                  <w:vAlign w:val="center"/>
                </w:tcPr>
                <w:p w14:paraId="31169806">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平均值</w:t>
                  </w:r>
                </w:p>
              </w:tc>
              <w:tc>
                <w:tcPr>
                  <w:tcW w:w="599" w:type="pct"/>
                  <w:tcBorders>
                    <w:tl2br w:val="nil"/>
                    <w:tr2bl w:val="nil"/>
                  </w:tcBorders>
                  <w:noWrap w:val="0"/>
                  <w:vAlign w:val="center"/>
                </w:tcPr>
                <w:p w14:paraId="075DF3DB">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snapToGrid w:val="0"/>
                      <w:color w:val="auto"/>
                      <w:spacing w:val="-6"/>
                      <w:sz w:val="21"/>
                      <w:szCs w:val="21"/>
                      <w:u w:val="none" w:color="auto"/>
                    </w:rPr>
                  </w:pPr>
                  <w:r>
                    <w:rPr>
                      <w:rFonts w:hint="default" w:ascii="Times New Roman" w:hAnsi="Times New Roman" w:eastAsia="宋体" w:cs="Times New Roman"/>
                      <w:snapToGrid w:val="0"/>
                      <w:color w:val="auto"/>
                      <w:spacing w:val="-6"/>
                      <w:sz w:val="21"/>
                      <w:szCs w:val="21"/>
                      <w:u w:val="none" w:color="auto"/>
                    </w:rPr>
                    <w:t>mg/m</w:t>
                  </w:r>
                  <w:r>
                    <w:rPr>
                      <w:rFonts w:hint="default" w:ascii="Times New Roman" w:hAnsi="Times New Roman" w:eastAsia="宋体" w:cs="Times New Roman"/>
                      <w:snapToGrid w:val="0"/>
                      <w:color w:val="auto"/>
                      <w:spacing w:val="-6"/>
                      <w:sz w:val="21"/>
                      <w:szCs w:val="21"/>
                      <w:u w:val="none" w:color="auto"/>
                      <w:vertAlign w:val="superscript"/>
                    </w:rPr>
                    <w:t>3</w:t>
                  </w:r>
                </w:p>
              </w:tc>
              <w:tc>
                <w:tcPr>
                  <w:tcW w:w="1987" w:type="pct"/>
                  <w:gridSpan w:val="3"/>
                  <w:tcBorders>
                    <w:tl2br w:val="nil"/>
                    <w:tr2bl w:val="nil"/>
                  </w:tcBorders>
                  <w:noWrap w:val="0"/>
                  <w:vAlign w:val="center"/>
                </w:tcPr>
                <w:p w14:paraId="1CE07E9B">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snapToGrid w:val="0"/>
                      <w:color w:val="auto"/>
                      <w:spacing w:val="-6"/>
                      <w:sz w:val="21"/>
                      <w:szCs w:val="21"/>
                      <w:u w:val="none" w:color="auto"/>
                      <w:lang w:val="en-US" w:eastAsia="zh-CN"/>
                    </w:rPr>
                  </w:pPr>
                  <w:r>
                    <w:rPr>
                      <w:rFonts w:hint="default" w:ascii="Times New Roman" w:hAnsi="Times New Roman" w:eastAsia="宋体" w:cs="Times New Roman"/>
                      <w:snapToGrid w:val="0"/>
                      <w:color w:val="auto"/>
                      <w:spacing w:val="-6"/>
                      <w:sz w:val="21"/>
                      <w:szCs w:val="21"/>
                      <w:u w:val="none" w:color="auto"/>
                      <w:lang w:val="en-US" w:eastAsia="zh-CN"/>
                    </w:rPr>
                    <w:t>5.94</w:t>
                  </w:r>
                </w:p>
              </w:tc>
              <w:tc>
                <w:tcPr>
                  <w:tcW w:w="602" w:type="pct"/>
                  <w:vMerge w:val="continue"/>
                  <w:tcBorders>
                    <w:tl2br w:val="nil"/>
                    <w:tr2bl w:val="nil"/>
                  </w:tcBorders>
                  <w:noWrap w:val="0"/>
                  <w:vAlign w:val="center"/>
                </w:tcPr>
                <w:p w14:paraId="0CD6705D">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snapToGrid w:val="0"/>
                      <w:color w:val="auto"/>
                      <w:spacing w:val="-6"/>
                      <w:sz w:val="21"/>
                      <w:szCs w:val="21"/>
                      <w:u w:val="none" w:color="auto"/>
                      <w:lang w:val="en-US" w:eastAsia="zh-CN"/>
                    </w:rPr>
                  </w:pPr>
                </w:p>
              </w:tc>
            </w:tr>
            <w:tr w14:paraId="2F7422D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79" w:type="pct"/>
                  <w:vMerge w:val="continue"/>
                  <w:tcBorders>
                    <w:tl2br w:val="nil"/>
                    <w:tr2bl w:val="nil"/>
                  </w:tcBorders>
                  <w:noWrap w:val="0"/>
                  <w:vAlign w:val="center"/>
                </w:tcPr>
                <w:p w14:paraId="71231BD5">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color w:val="auto"/>
                      <w:sz w:val="21"/>
                      <w:szCs w:val="21"/>
                      <w:u w:val="none" w:color="auto"/>
                    </w:rPr>
                  </w:pPr>
                </w:p>
              </w:tc>
              <w:tc>
                <w:tcPr>
                  <w:tcW w:w="371" w:type="pct"/>
                  <w:vMerge w:val="continue"/>
                  <w:tcBorders>
                    <w:tl2br w:val="nil"/>
                    <w:tr2bl w:val="nil"/>
                  </w:tcBorders>
                  <w:noWrap w:val="0"/>
                  <w:vAlign w:val="center"/>
                </w:tcPr>
                <w:p w14:paraId="753697B3">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color w:val="auto"/>
                      <w:sz w:val="21"/>
                      <w:szCs w:val="21"/>
                      <w:u w:val="none" w:color="auto"/>
                    </w:rPr>
                  </w:pPr>
                </w:p>
              </w:tc>
              <w:tc>
                <w:tcPr>
                  <w:tcW w:w="759" w:type="pct"/>
                  <w:tcBorders>
                    <w:tl2br w:val="nil"/>
                    <w:tr2bl w:val="nil"/>
                  </w:tcBorders>
                  <w:noWrap w:val="0"/>
                  <w:vAlign w:val="center"/>
                </w:tcPr>
                <w:p w14:paraId="715B8681">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排放速率</w:t>
                  </w:r>
                </w:p>
              </w:tc>
              <w:tc>
                <w:tcPr>
                  <w:tcW w:w="599" w:type="pct"/>
                  <w:tcBorders>
                    <w:tl2br w:val="nil"/>
                    <w:tr2bl w:val="nil"/>
                  </w:tcBorders>
                  <w:noWrap w:val="0"/>
                  <w:vAlign w:val="center"/>
                </w:tcPr>
                <w:p w14:paraId="5782214C">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snapToGrid w:val="0"/>
                      <w:color w:val="auto"/>
                      <w:spacing w:val="-6"/>
                      <w:sz w:val="21"/>
                      <w:szCs w:val="21"/>
                      <w:u w:val="none" w:color="auto"/>
                      <w:lang w:val="en-US" w:eastAsia="zh-CN"/>
                    </w:rPr>
                  </w:pPr>
                  <w:r>
                    <w:rPr>
                      <w:rFonts w:hint="default" w:ascii="Times New Roman" w:hAnsi="Times New Roman" w:eastAsia="宋体" w:cs="Times New Roman"/>
                      <w:snapToGrid w:val="0"/>
                      <w:color w:val="auto"/>
                      <w:spacing w:val="-6"/>
                      <w:sz w:val="21"/>
                      <w:szCs w:val="21"/>
                      <w:u w:val="none" w:color="auto"/>
                      <w:lang w:val="en-US" w:eastAsia="zh-CN"/>
                    </w:rPr>
                    <w:t>kg/h</w:t>
                  </w:r>
                </w:p>
              </w:tc>
              <w:tc>
                <w:tcPr>
                  <w:tcW w:w="655" w:type="pct"/>
                  <w:tcBorders>
                    <w:tl2br w:val="nil"/>
                    <w:tr2bl w:val="nil"/>
                  </w:tcBorders>
                  <w:noWrap w:val="0"/>
                  <w:vAlign w:val="center"/>
                </w:tcPr>
                <w:p w14:paraId="420637C0">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snapToGrid w:val="0"/>
                      <w:color w:val="auto"/>
                      <w:spacing w:val="-6"/>
                      <w:sz w:val="21"/>
                      <w:szCs w:val="21"/>
                      <w:u w:val="none" w:color="auto"/>
                      <w:lang w:val="en-US" w:eastAsia="zh-CN"/>
                    </w:rPr>
                  </w:pPr>
                  <w:r>
                    <w:rPr>
                      <w:rFonts w:hint="default" w:ascii="Times New Roman" w:hAnsi="Times New Roman" w:eastAsia="宋体" w:cs="Times New Roman"/>
                      <w:snapToGrid w:val="0"/>
                      <w:color w:val="auto"/>
                      <w:spacing w:val="-6"/>
                      <w:sz w:val="21"/>
                      <w:szCs w:val="21"/>
                      <w:u w:val="none" w:color="auto"/>
                      <w:lang w:val="en-US" w:eastAsia="zh-CN"/>
                    </w:rPr>
                    <w:t>0.09</w:t>
                  </w:r>
                </w:p>
              </w:tc>
              <w:tc>
                <w:tcPr>
                  <w:tcW w:w="682" w:type="pct"/>
                  <w:tcBorders>
                    <w:tl2br w:val="nil"/>
                    <w:tr2bl w:val="nil"/>
                  </w:tcBorders>
                  <w:noWrap w:val="0"/>
                  <w:vAlign w:val="center"/>
                </w:tcPr>
                <w:p w14:paraId="0E921862">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snapToGrid w:val="0"/>
                      <w:color w:val="auto"/>
                      <w:spacing w:val="-6"/>
                      <w:sz w:val="21"/>
                      <w:szCs w:val="21"/>
                      <w:u w:val="none" w:color="auto"/>
                      <w:lang w:val="en-US" w:eastAsia="zh-CN"/>
                    </w:rPr>
                  </w:pPr>
                  <w:r>
                    <w:rPr>
                      <w:rFonts w:hint="default" w:ascii="Times New Roman" w:hAnsi="Times New Roman" w:eastAsia="宋体" w:cs="Times New Roman"/>
                      <w:snapToGrid w:val="0"/>
                      <w:color w:val="auto"/>
                      <w:spacing w:val="-6"/>
                      <w:sz w:val="21"/>
                      <w:szCs w:val="21"/>
                      <w:u w:val="none" w:color="auto"/>
                      <w:lang w:val="en-US" w:eastAsia="zh-CN"/>
                    </w:rPr>
                    <w:t>0.08</w:t>
                  </w:r>
                </w:p>
              </w:tc>
              <w:tc>
                <w:tcPr>
                  <w:tcW w:w="650" w:type="pct"/>
                  <w:tcBorders>
                    <w:tl2br w:val="nil"/>
                    <w:tr2bl w:val="nil"/>
                  </w:tcBorders>
                  <w:noWrap w:val="0"/>
                  <w:vAlign w:val="center"/>
                </w:tcPr>
                <w:p w14:paraId="584CC6FE">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snapToGrid w:val="0"/>
                      <w:color w:val="auto"/>
                      <w:spacing w:val="-6"/>
                      <w:sz w:val="21"/>
                      <w:szCs w:val="21"/>
                      <w:u w:val="none" w:color="auto"/>
                      <w:lang w:val="en-US" w:eastAsia="zh-CN"/>
                    </w:rPr>
                  </w:pPr>
                  <w:r>
                    <w:rPr>
                      <w:rFonts w:hint="default" w:ascii="Times New Roman" w:hAnsi="Times New Roman" w:eastAsia="宋体" w:cs="Times New Roman"/>
                      <w:snapToGrid w:val="0"/>
                      <w:color w:val="auto"/>
                      <w:spacing w:val="-6"/>
                      <w:sz w:val="21"/>
                      <w:szCs w:val="21"/>
                      <w:u w:val="none" w:color="auto"/>
                      <w:lang w:val="en-US" w:eastAsia="zh-CN"/>
                    </w:rPr>
                    <w:t>0.09</w:t>
                  </w:r>
                </w:p>
              </w:tc>
              <w:tc>
                <w:tcPr>
                  <w:tcW w:w="602" w:type="pct"/>
                  <w:tcBorders>
                    <w:tl2br w:val="nil"/>
                    <w:tr2bl w:val="nil"/>
                  </w:tcBorders>
                  <w:noWrap w:val="0"/>
                  <w:vAlign w:val="center"/>
                </w:tcPr>
                <w:p w14:paraId="59371DB5">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snapToGrid w:val="0"/>
                      <w:color w:val="auto"/>
                      <w:spacing w:val="-6"/>
                      <w:sz w:val="21"/>
                      <w:szCs w:val="21"/>
                      <w:u w:val="none" w:color="auto"/>
                      <w:lang w:val="en-US" w:eastAsia="zh-CN"/>
                    </w:rPr>
                  </w:pPr>
                </w:p>
              </w:tc>
            </w:tr>
          </w:tbl>
          <w:p w14:paraId="2C6B1A06">
            <w:pPr>
              <w:widowControl w:val="0"/>
              <w:adjustRightInd/>
              <w:snapToGrid/>
              <w:spacing w:after="0"/>
              <w:jc w:val="center"/>
              <w:rPr>
                <w:rFonts w:hint="default" w:ascii="Times New Roman" w:hAnsi="Times New Roman" w:eastAsia="宋体" w:cs="Times New Roman"/>
                <w:b/>
                <w:bCs/>
                <w:color w:val="auto"/>
                <w:sz w:val="21"/>
                <w:szCs w:val="21"/>
                <w:u w:val="none" w:color="auto"/>
                <w:lang w:eastAsia="zh-CN"/>
              </w:rPr>
            </w:pPr>
            <w:r>
              <w:rPr>
                <w:rFonts w:hint="default" w:ascii="Times New Roman" w:hAnsi="Times New Roman" w:eastAsia="宋体" w:cs="Times New Roman"/>
                <w:b/>
                <w:bCs/>
                <w:color w:val="auto"/>
                <w:sz w:val="21"/>
                <w:szCs w:val="21"/>
                <w:u w:val="none" w:color="auto"/>
              </w:rPr>
              <w:t>表</w:t>
            </w:r>
            <w:r>
              <w:rPr>
                <w:rFonts w:hint="default" w:ascii="Times New Roman" w:hAnsi="Times New Roman" w:eastAsia="宋体" w:cs="Times New Roman"/>
                <w:b/>
                <w:bCs/>
                <w:color w:val="auto"/>
                <w:sz w:val="21"/>
                <w:szCs w:val="21"/>
                <w:u w:val="none" w:color="auto"/>
                <w:lang w:val="en-US" w:eastAsia="zh-CN"/>
              </w:rPr>
              <w:t>2</w:t>
            </w:r>
            <w:r>
              <w:rPr>
                <w:rFonts w:hint="default" w:ascii="Times New Roman" w:hAnsi="Times New Roman" w:eastAsia="宋体" w:cs="Times New Roman"/>
                <w:b/>
                <w:bCs/>
                <w:color w:val="auto"/>
                <w:sz w:val="21"/>
                <w:szCs w:val="21"/>
                <w:u w:val="none" w:color="auto"/>
              </w:rPr>
              <w:t>-</w:t>
            </w:r>
            <w:r>
              <w:rPr>
                <w:rFonts w:hint="default" w:ascii="Times New Roman" w:hAnsi="Times New Roman" w:eastAsia="宋体" w:cs="Times New Roman"/>
                <w:b/>
                <w:bCs/>
                <w:color w:val="auto"/>
                <w:sz w:val="21"/>
                <w:szCs w:val="21"/>
                <w:u w:val="none" w:color="auto"/>
                <w:lang w:val="en-US" w:eastAsia="zh-CN"/>
              </w:rPr>
              <w:t>11</w:t>
            </w:r>
            <w:r>
              <w:rPr>
                <w:rFonts w:hint="default" w:ascii="Times New Roman" w:hAnsi="Times New Roman" w:eastAsia="宋体" w:cs="Times New Roman"/>
                <w:b/>
                <w:bCs/>
                <w:color w:val="auto"/>
                <w:sz w:val="21"/>
                <w:szCs w:val="21"/>
                <w:u w:val="none" w:color="auto"/>
              </w:rPr>
              <w:t xml:space="preserve">  有组织</w:t>
            </w:r>
            <w:r>
              <w:rPr>
                <w:rFonts w:hint="default" w:ascii="Times New Roman" w:hAnsi="Times New Roman" w:eastAsia="宋体" w:cs="Times New Roman"/>
                <w:b/>
                <w:bCs/>
                <w:color w:val="auto"/>
                <w:sz w:val="21"/>
                <w:szCs w:val="21"/>
                <w:u w:val="none" w:color="auto"/>
                <w:lang w:val="en-US" w:eastAsia="zh-CN"/>
              </w:rPr>
              <w:t>DA003</w:t>
            </w:r>
            <w:r>
              <w:rPr>
                <w:rFonts w:hint="default" w:ascii="Times New Roman" w:hAnsi="Times New Roman" w:eastAsia="宋体" w:cs="Times New Roman"/>
                <w:b/>
                <w:bCs/>
                <w:color w:val="auto"/>
                <w:sz w:val="21"/>
                <w:szCs w:val="21"/>
                <w:u w:val="none" w:color="auto"/>
              </w:rPr>
              <w:t>废气监测结果</w:t>
            </w:r>
          </w:p>
          <w:tbl>
            <w:tblPr>
              <w:tblStyle w:val="31"/>
              <w:tblW w:w="4997"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
            <w:tblGrid>
              <w:gridCol w:w="1155"/>
              <w:gridCol w:w="813"/>
              <w:gridCol w:w="805"/>
              <w:gridCol w:w="1193"/>
              <w:gridCol w:w="959"/>
              <w:gridCol w:w="959"/>
              <w:gridCol w:w="961"/>
              <w:gridCol w:w="805"/>
              <w:gridCol w:w="819"/>
            </w:tblGrid>
            <w:tr w14:paraId="64905B0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blHeader/>
              </w:trPr>
              <w:tc>
                <w:tcPr>
                  <w:tcW w:w="682" w:type="pct"/>
                  <w:vMerge w:val="restart"/>
                  <w:tcBorders>
                    <w:tl2br w:val="nil"/>
                    <w:tr2bl w:val="nil"/>
                  </w:tcBorders>
                  <w:noWrap w:val="0"/>
                  <w:vAlign w:val="center"/>
                </w:tcPr>
                <w:p w14:paraId="433CB53F">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b/>
                      <w:bCs/>
                      <w:i w:val="0"/>
                      <w:iCs w:val="0"/>
                      <w:color w:val="auto"/>
                      <w:sz w:val="21"/>
                      <w:szCs w:val="21"/>
                      <w:u w:val="none" w:color="auto"/>
                    </w:rPr>
                  </w:pPr>
                  <w:r>
                    <w:rPr>
                      <w:rFonts w:hint="default" w:ascii="Times New Roman" w:hAnsi="Times New Roman" w:eastAsia="宋体" w:cs="Times New Roman"/>
                      <w:b/>
                      <w:bCs/>
                      <w:i w:val="0"/>
                      <w:iCs w:val="0"/>
                      <w:color w:val="auto"/>
                      <w:kern w:val="0"/>
                      <w:sz w:val="21"/>
                      <w:szCs w:val="21"/>
                      <w:u w:val="none" w:color="auto"/>
                      <w:lang w:val="en-US" w:eastAsia="zh-CN" w:bidi="ar"/>
                    </w:rPr>
                    <w:t>采样时间</w:t>
                  </w:r>
                </w:p>
              </w:tc>
              <w:tc>
                <w:tcPr>
                  <w:tcW w:w="480" w:type="pct"/>
                  <w:vMerge w:val="restart"/>
                  <w:tcBorders>
                    <w:tl2br w:val="nil"/>
                    <w:tr2bl w:val="nil"/>
                  </w:tcBorders>
                  <w:noWrap w:val="0"/>
                  <w:vAlign w:val="center"/>
                </w:tcPr>
                <w:p w14:paraId="132727DC">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b/>
                      <w:bCs/>
                      <w:i w:val="0"/>
                      <w:iCs w:val="0"/>
                      <w:color w:val="auto"/>
                      <w:sz w:val="21"/>
                      <w:szCs w:val="21"/>
                      <w:u w:val="none" w:color="auto"/>
                    </w:rPr>
                  </w:pPr>
                  <w:r>
                    <w:rPr>
                      <w:rFonts w:hint="default" w:ascii="Times New Roman" w:hAnsi="Times New Roman" w:eastAsia="宋体" w:cs="Times New Roman"/>
                      <w:b/>
                      <w:bCs/>
                      <w:i w:val="0"/>
                      <w:iCs w:val="0"/>
                      <w:color w:val="auto"/>
                      <w:kern w:val="0"/>
                      <w:sz w:val="21"/>
                      <w:szCs w:val="21"/>
                      <w:u w:val="none" w:color="auto"/>
                      <w:lang w:val="en-US" w:eastAsia="zh-CN" w:bidi="ar"/>
                    </w:rPr>
                    <w:t>采样点位</w:t>
                  </w:r>
                </w:p>
              </w:tc>
              <w:tc>
                <w:tcPr>
                  <w:tcW w:w="1179" w:type="pct"/>
                  <w:gridSpan w:val="2"/>
                  <w:vMerge w:val="restart"/>
                  <w:tcBorders>
                    <w:tl2br w:val="nil"/>
                    <w:tr2bl w:val="nil"/>
                  </w:tcBorders>
                  <w:noWrap w:val="0"/>
                  <w:vAlign w:val="center"/>
                </w:tcPr>
                <w:p w14:paraId="7A76B025">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b/>
                      <w:bCs/>
                      <w:i w:val="0"/>
                      <w:iCs w:val="0"/>
                      <w:color w:val="auto"/>
                      <w:sz w:val="21"/>
                      <w:szCs w:val="21"/>
                      <w:u w:val="none" w:color="auto"/>
                    </w:rPr>
                  </w:pPr>
                  <w:r>
                    <w:rPr>
                      <w:rFonts w:hint="default" w:ascii="Times New Roman" w:hAnsi="Times New Roman" w:eastAsia="宋体" w:cs="Times New Roman"/>
                      <w:b/>
                      <w:bCs/>
                      <w:i w:val="0"/>
                      <w:iCs w:val="0"/>
                      <w:color w:val="auto"/>
                      <w:kern w:val="0"/>
                      <w:sz w:val="21"/>
                      <w:szCs w:val="21"/>
                      <w:u w:val="none" w:color="auto"/>
                      <w:lang w:val="en-US" w:eastAsia="zh-CN" w:bidi="ar"/>
                    </w:rPr>
                    <w:t>检测项目</w:t>
                  </w:r>
                </w:p>
              </w:tc>
              <w:tc>
                <w:tcPr>
                  <w:tcW w:w="1699" w:type="pct"/>
                  <w:gridSpan w:val="3"/>
                  <w:tcBorders>
                    <w:tl2br w:val="nil"/>
                    <w:tr2bl w:val="nil"/>
                  </w:tcBorders>
                  <w:noWrap w:val="0"/>
                  <w:vAlign w:val="center"/>
                </w:tcPr>
                <w:p w14:paraId="098DDA92">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b/>
                      <w:bCs/>
                      <w:i w:val="0"/>
                      <w:iCs w:val="0"/>
                      <w:color w:val="auto"/>
                      <w:sz w:val="21"/>
                      <w:szCs w:val="21"/>
                      <w:u w:val="none" w:color="auto"/>
                    </w:rPr>
                  </w:pPr>
                  <w:r>
                    <w:rPr>
                      <w:rFonts w:hint="default" w:ascii="Times New Roman" w:hAnsi="Times New Roman" w:eastAsia="宋体" w:cs="Times New Roman"/>
                      <w:b/>
                      <w:bCs/>
                      <w:i w:val="0"/>
                      <w:iCs w:val="0"/>
                      <w:color w:val="auto"/>
                      <w:kern w:val="0"/>
                      <w:sz w:val="21"/>
                      <w:szCs w:val="21"/>
                      <w:u w:val="none" w:color="auto"/>
                      <w:lang w:val="en-US" w:eastAsia="zh-CN" w:bidi="ar"/>
                    </w:rPr>
                    <w:t>检测结果</w:t>
                  </w:r>
                </w:p>
              </w:tc>
              <w:tc>
                <w:tcPr>
                  <w:tcW w:w="475" w:type="pct"/>
                  <w:vMerge w:val="restart"/>
                  <w:tcBorders>
                    <w:tl2br w:val="nil"/>
                    <w:tr2bl w:val="nil"/>
                  </w:tcBorders>
                  <w:noWrap w:val="0"/>
                  <w:vAlign w:val="center"/>
                </w:tcPr>
                <w:p w14:paraId="4654FDC1">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b/>
                      <w:bCs/>
                      <w:i w:val="0"/>
                      <w:iCs w:val="0"/>
                      <w:color w:val="auto"/>
                      <w:kern w:val="0"/>
                      <w:sz w:val="21"/>
                      <w:szCs w:val="21"/>
                      <w:u w:val="none" w:color="auto"/>
                      <w:lang w:val="en-US" w:eastAsia="zh-CN" w:bidi="ar"/>
                    </w:rPr>
                  </w:pPr>
                  <w:r>
                    <w:rPr>
                      <w:rFonts w:hint="default" w:ascii="Times New Roman" w:hAnsi="Times New Roman" w:eastAsia="宋体" w:cs="Times New Roman"/>
                      <w:b/>
                      <w:bCs/>
                      <w:i w:val="0"/>
                      <w:iCs w:val="0"/>
                      <w:color w:val="auto"/>
                      <w:kern w:val="0"/>
                      <w:sz w:val="21"/>
                      <w:szCs w:val="21"/>
                      <w:u w:val="none" w:color="auto"/>
                      <w:lang w:val="en-US" w:eastAsia="zh-CN" w:bidi="ar"/>
                    </w:rPr>
                    <w:t>参考</w:t>
                  </w:r>
                </w:p>
                <w:p w14:paraId="4A9BE6E8">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b/>
                      <w:bCs/>
                      <w:i w:val="0"/>
                      <w:iCs w:val="0"/>
                      <w:color w:val="auto"/>
                      <w:sz w:val="21"/>
                      <w:szCs w:val="21"/>
                      <w:u w:val="none" w:color="auto"/>
                    </w:rPr>
                  </w:pPr>
                  <w:r>
                    <w:rPr>
                      <w:rFonts w:hint="default" w:ascii="Times New Roman" w:hAnsi="Times New Roman" w:eastAsia="宋体" w:cs="Times New Roman"/>
                      <w:b/>
                      <w:bCs/>
                      <w:i w:val="0"/>
                      <w:iCs w:val="0"/>
                      <w:color w:val="auto"/>
                      <w:kern w:val="0"/>
                      <w:sz w:val="21"/>
                      <w:szCs w:val="21"/>
                      <w:u w:val="none" w:color="auto"/>
                      <w:lang w:val="en-US" w:eastAsia="zh-CN" w:bidi="ar"/>
                    </w:rPr>
                    <w:t>限值</w:t>
                  </w:r>
                </w:p>
              </w:tc>
              <w:tc>
                <w:tcPr>
                  <w:tcW w:w="483" w:type="pct"/>
                  <w:vMerge w:val="restart"/>
                  <w:tcBorders>
                    <w:tl2br w:val="nil"/>
                    <w:tr2bl w:val="nil"/>
                  </w:tcBorders>
                  <w:noWrap w:val="0"/>
                  <w:vAlign w:val="center"/>
                </w:tcPr>
                <w:p w14:paraId="7431408B">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b/>
                      <w:bCs/>
                      <w:i w:val="0"/>
                      <w:iCs w:val="0"/>
                      <w:color w:val="auto"/>
                      <w:sz w:val="21"/>
                      <w:szCs w:val="21"/>
                      <w:u w:val="none" w:color="auto"/>
                    </w:rPr>
                  </w:pPr>
                  <w:r>
                    <w:rPr>
                      <w:rFonts w:hint="default" w:ascii="Times New Roman" w:hAnsi="Times New Roman" w:eastAsia="宋体" w:cs="Times New Roman"/>
                      <w:b/>
                      <w:bCs/>
                      <w:i w:val="0"/>
                      <w:iCs w:val="0"/>
                      <w:color w:val="auto"/>
                      <w:kern w:val="0"/>
                      <w:sz w:val="21"/>
                      <w:szCs w:val="21"/>
                      <w:u w:val="none" w:color="auto"/>
                      <w:lang w:val="en-US" w:eastAsia="zh-CN" w:bidi="ar"/>
                    </w:rPr>
                    <w:t>单位</w:t>
                  </w:r>
                </w:p>
              </w:tc>
            </w:tr>
            <w:tr w14:paraId="122A311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blHeader/>
              </w:trPr>
              <w:tc>
                <w:tcPr>
                  <w:tcW w:w="682" w:type="pct"/>
                  <w:vMerge w:val="continue"/>
                  <w:tcBorders>
                    <w:tl2br w:val="nil"/>
                    <w:tr2bl w:val="nil"/>
                  </w:tcBorders>
                  <w:noWrap w:val="0"/>
                  <w:vAlign w:val="center"/>
                </w:tcPr>
                <w:p w14:paraId="0B148CAE">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b/>
                      <w:bCs/>
                      <w:i w:val="0"/>
                      <w:iCs w:val="0"/>
                      <w:color w:val="auto"/>
                      <w:sz w:val="21"/>
                      <w:szCs w:val="21"/>
                      <w:u w:val="none" w:color="auto"/>
                    </w:rPr>
                  </w:pPr>
                </w:p>
              </w:tc>
              <w:tc>
                <w:tcPr>
                  <w:tcW w:w="480" w:type="pct"/>
                  <w:vMerge w:val="continue"/>
                  <w:tcBorders>
                    <w:tl2br w:val="nil"/>
                    <w:tr2bl w:val="nil"/>
                  </w:tcBorders>
                  <w:noWrap w:val="0"/>
                  <w:vAlign w:val="center"/>
                </w:tcPr>
                <w:p w14:paraId="4E3F00F2">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b/>
                      <w:bCs/>
                      <w:i w:val="0"/>
                      <w:iCs w:val="0"/>
                      <w:color w:val="auto"/>
                      <w:sz w:val="21"/>
                      <w:szCs w:val="21"/>
                      <w:u w:val="none" w:color="auto"/>
                    </w:rPr>
                  </w:pPr>
                </w:p>
              </w:tc>
              <w:tc>
                <w:tcPr>
                  <w:tcW w:w="1179" w:type="pct"/>
                  <w:gridSpan w:val="2"/>
                  <w:vMerge w:val="continue"/>
                  <w:tcBorders>
                    <w:tl2br w:val="nil"/>
                    <w:tr2bl w:val="nil"/>
                  </w:tcBorders>
                  <w:noWrap w:val="0"/>
                  <w:vAlign w:val="center"/>
                </w:tcPr>
                <w:p w14:paraId="62987E36">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b/>
                      <w:bCs/>
                      <w:i w:val="0"/>
                      <w:iCs w:val="0"/>
                      <w:color w:val="auto"/>
                      <w:sz w:val="21"/>
                      <w:szCs w:val="21"/>
                      <w:u w:val="none" w:color="auto"/>
                    </w:rPr>
                  </w:pPr>
                </w:p>
              </w:tc>
              <w:tc>
                <w:tcPr>
                  <w:tcW w:w="566" w:type="pct"/>
                  <w:tcBorders>
                    <w:tl2br w:val="nil"/>
                    <w:tr2bl w:val="nil"/>
                  </w:tcBorders>
                  <w:noWrap w:val="0"/>
                  <w:vAlign w:val="center"/>
                </w:tcPr>
                <w:p w14:paraId="74FF85CD">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b/>
                      <w:bCs/>
                      <w:i w:val="0"/>
                      <w:iCs w:val="0"/>
                      <w:color w:val="auto"/>
                      <w:sz w:val="21"/>
                      <w:szCs w:val="21"/>
                      <w:u w:val="none" w:color="auto"/>
                    </w:rPr>
                  </w:pPr>
                  <w:r>
                    <w:rPr>
                      <w:rFonts w:hint="default" w:ascii="Times New Roman" w:hAnsi="Times New Roman" w:eastAsia="宋体" w:cs="Times New Roman"/>
                      <w:b/>
                      <w:bCs/>
                      <w:i w:val="0"/>
                      <w:iCs w:val="0"/>
                      <w:color w:val="auto"/>
                      <w:kern w:val="0"/>
                      <w:sz w:val="21"/>
                      <w:szCs w:val="21"/>
                      <w:u w:val="none" w:color="auto"/>
                      <w:lang w:val="en-US" w:eastAsia="zh-CN" w:bidi="ar"/>
                    </w:rPr>
                    <w:t>第一次</w:t>
                  </w:r>
                </w:p>
              </w:tc>
              <w:tc>
                <w:tcPr>
                  <w:tcW w:w="566" w:type="pct"/>
                  <w:tcBorders>
                    <w:tl2br w:val="nil"/>
                    <w:tr2bl w:val="nil"/>
                  </w:tcBorders>
                  <w:noWrap w:val="0"/>
                  <w:vAlign w:val="center"/>
                </w:tcPr>
                <w:p w14:paraId="1A6AE507">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b/>
                      <w:bCs/>
                      <w:i w:val="0"/>
                      <w:iCs w:val="0"/>
                      <w:color w:val="auto"/>
                      <w:sz w:val="21"/>
                      <w:szCs w:val="21"/>
                      <w:u w:val="none" w:color="auto"/>
                    </w:rPr>
                  </w:pPr>
                  <w:r>
                    <w:rPr>
                      <w:rFonts w:hint="default" w:ascii="Times New Roman" w:hAnsi="Times New Roman" w:eastAsia="宋体" w:cs="Times New Roman"/>
                      <w:b/>
                      <w:bCs/>
                      <w:i w:val="0"/>
                      <w:iCs w:val="0"/>
                      <w:color w:val="auto"/>
                      <w:kern w:val="0"/>
                      <w:sz w:val="21"/>
                      <w:szCs w:val="21"/>
                      <w:u w:val="none" w:color="auto"/>
                      <w:lang w:val="en-US" w:eastAsia="zh-CN" w:bidi="ar"/>
                    </w:rPr>
                    <w:t>第二次</w:t>
                  </w:r>
                </w:p>
              </w:tc>
              <w:tc>
                <w:tcPr>
                  <w:tcW w:w="566" w:type="pct"/>
                  <w:tcBorders>
                    <w:tl2br w:val="nil"/>
                    <w:tr2bl w:val="nil"/>
                  </w:tcBorders>
                  <w:noWrap w:val="0"/>
                  <w:vAlign w:val="center"/>
                </w:tcPr>
                <w:p w14:paraId="638265D8">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b/>
                      <w:bCs/>
                      <w:i w:val="0"/>
                      <w:iCs w:val="0"/>
                      <w:color w:val="auto"/>
                      <w:sz w:val="21"/>
                      <w:szCs w:val="21"/>
                      <w:u w:val="none" w:color="auto"/>
                    </w:rPr>
                  </w:pPr>
                  <w:r>
                    <w:rPr>
                      <w:rFonts w:hint="default" w:ascii="Times New Roman" w:hAnsi="Times New Roman" w:eastAsia="宋体" w:cs="Times New Roman"/>
                      <w:b/>
                      <w:bCs/>
                      <w:i w:val="0"/>
                      <w:iCs w:val="0"/>
                      <w:color w:val="auto"/>
                      <w:kern w:val="0"/>
                      <w:sz w:val="21"/>
                      <w:szCs w:val="21"/>
                      <w:u w:val="none" w:color="auto"/>
                      <w:lang w:val="en-US" w:eastAsia="zh-CN" w:bidi="ar"/>
                    </w:rPr>
                    <w:t>第三次</w:t>
                  </w:r>
                </w:p>
              </w:tc>
              <w:tc>
                <w:tcPr>
                  <w:tcW w:w="475" w:type="pct"/>
                  <w:vMerge w:val="continue"/>
                  <w:tcBorders>
                    <w:tl2br w:val="nil"/>
                    <w:tr2bl w:val="nil"/>
                  </w:tcBorders>
                  <w:noWrap w:val="0"/>
                  <w:vAlign w:val="center"/>
                </w:tcPr>
                <w:p w14:paraId="2F401F89">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b/>
                      <w:bCs/>
                      <w:i w:val="0"/>
                      <w:iCs w:val="0"/>
                      <w:color w:val="auto"/>
                      <w:sz w:val="21"/>
                      <w:szCs w:val="21"/>
                      <w:u w:val="none" w:color="auto"/>
                    </w:rPr>
                  </w:pPr>
                </w:p>
              </w:tc>
              <w:tc>
                <w:tcPr>
                  <w:tcW w:w="483" w:type="pct"/>
                  <w:vMerge w:val="continue"/>
                  <w:tcBorders>
                    <w:tl2br w:val="nil"/>
                    <w:tr2bl w:val="nil"/>
                  </w:tcBorders>
                  <w:noWrap w:val="0"/>
                  <w:vAlign w:val="center"/>
                </w:tcPr>
                <w:p w14:paraId="0FA2C267">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b/>
                      <w:bCs/>
                      <w:i w:val="0"/>
                      <w:iCs w:val="0"/>
                      <w:color w:val="auto"/>
                      <w:sz w:val="21"/>
                      <w:szCs w:val="21"/>
                      <w:u w:val="none" w:color="auto"/>
                    </w:rPr>
                  </w:pPr>
                </w:p>
              </w:tc>
            </w:tr>
            <w:tr w14:paraId="01D21C7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682" w:type="pct"/>
                  <w:vMerge w:val="restart"/>
                  <w:tcBorders>
                    <w:tl2br w:val="nil"/>
                    <w:tr2bl w:val="nil"/>
                  </w:tcBorders>
                  <w:noWrap/>
                  <w:vAlign w:val="center"/>
                </w:tcPr>
                <w:p w14:paraId="5AE49CDE">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5月30日</w:t>
                  </w:r>
                </w:p>
              </w:tc>
              <w:tc>
                <w:tcPr>
                  <w:tcW w:w="480" w:type="pct"/>
                  <w:vMerge w:val="restart"/>
                  <w:tcBorders>
                    <w:tl2br w:val="nil"/>
                    <w:tr2bl w:val="nil"/>
                  </w:tcBorders>
                  <w:noWrap w:val="0"/>
                  <w:vAlign w:val="center"/>
                </w:tcPr>
                <w:p w14:paraId="4752AEEE">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DA003进口</w:t>
                  </w:r>
                </w:p>
              </w:tc>
              <w:tc>
                <w:tcPr>
                  <w:tcW w:w="1179" w:type="pct"/>
                  <w:gridSpan w:val="2"/>
                  <w:tcBorders>
                    <w:tl2br w:val="nil"/>
                    <w:tr2bl w:val="nil"/>
                  </w:tcBorders>
                  <w:noWrap w:val="0"/>
                  <w:vAlign w:val="center"/>
                </w:tcPr>
                <w:p w14:paraId="3CB61481">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标干流量</w:t>
                  </w:r>
                </w:p>
              </w:tc>
              <w:tc>
                <w:tcPr>
                  <w:tcW w:w="566" w:type="pct"/>
                  <w:tcBorders>
                    <w:tl2br w:val="nil"/>
                    <w:tr2bl w:val="nil"/>
                  </w:tcBorders>
                  <w:noWrap w:val="0"/>
                  <w:vAlign w:val="center"/>
                </w:tcPr>
                <w:p w14:paraId="078600EE">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15137</w:t>
                  </w:r>
                </w:p>
              </w:tc>
              <w:tc>
                <w:tcPr>
                  <w:tcW w:w="566" w:type="pct"/>
                  <w:tcBorders>
                    <w:tl2br w:val="nil"/>
                    <w:tr2bl w:val="nil"/>
                  </w:tcBorders>
                  <w:noWrap w:val="0"/>
                  <w:vAlign w:val="center"/>
                </w:tcPr>
                <w:p w14:paraId="6174E665">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16291</w:t>
                  </w:r>
                </w:p>
              </w:tc>
              <w:tc>
                <w:tcPr>
                  <w:tcW w:w="566" w:type="pct"/>
                  <w:tcBorders>
                    <w:tl2br w:val="nil"/>
                    <w:tr2bl w:val="nil"/>
                  </w:tcBorders>
                  <w:noWrap w:val="0"/>
                  <w:vAlign w:val="center"/>
                </w:tcPr>
                <w:p w14:paraId="19095155">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16166</w:t>
                  </w:r>
                </w:p>
              </w:tc>
              <w:tc>
                <w:tcPr>
                  <w:tcW w:w="475" w:type="pct"/>
                  <w:tcBorders>
                    <w:tl2br w:val="nil"/>
                    <w:tr2bl w:val="nil"/>
                  </w:tcBorders>
                  <w:noWrap w:val="0"/>
                  <w:vAlign w:val="center"/>
                </w:tcPr>
                <w:p w14:paraId="0E30F37F">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483" w:type="pct"/>
                  <w:tcBorders>
                    <w:tl2br w:val="nil"/>
                    <w:tr2bl w:val="nil"/>
                  </w:tcBorders>
                  <w:noWrap w:val="0"/>
                  <w:vAlign w:val="center"/>
                </w:tcPr>
                <w:p w14:paraId="6F69D2C7">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Nm</w:t>
                  </w:r>
                  <w:r>
                    <w:rPr>
                      <w:rFonts w:hint="default" w:ascii="Times New Roman" w:hAnsi="Times New Roman" w:eastAsia="宋体" w:cs="Times New Roman"/>
                      <w:i w:val="0"/>
                      <w:iCs w:val="0"/>
                      <w:color w:val="auto"/>
                      <w:kern w:val="0"/>
                      <w:sz w:val="21"/>
                      <w:szCs w:val="21"/>
                      <w:u w:val="none" w:color="auto"/>
                      <w:vertAlign w:val="superscript"/>
                      <w:lang w:val="en-US" w:eastAsia="zh-CN" w:bidi="ar"/>
                    </w:rPr>
                    <w:t>3</w:t>
                  </w:r>
                  <w:r>
                    <w:rPr>
                      <w:rFonts w:hint="default" w:ascii="Times New Roman" w:hAnsi="Times New Roman" w:eastAsia="宋体" w:cs="Times New Roman"/>
                      <w:i w:val="0"/>
                      <w:iCs w:val="0"/>
                      <w:color w:val="auto"/>
                      <w:kern w:val="0"/>
                      <w:sz w:val="21"/>
                      <w:szCs w:val="21"/>
                      <w:u w:val="none" w:color="auto"/>
                      <w:lang w:val="en-US" w:eastAsia="zh-CN" w:bidi="ar"/>
                    </w:rPr>
                    <w:t>/h</w:t>
                  </w:r>
                </w:p>
              </w:tc>
            </w:tr>
            <w:tr w14:paraId="2FDA01D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682" w:type="pct"/>
                  <w:vMerge w:val="continue"/>
                  <w:tcBorders>
                    <w:tl2br w:val="nil"/>
                    <w:tr2bl w:val="nil"/>
                  </w:tcBorders>
                  <w:noWrap/>
                  <w:vAlign w:val="center"/>
                </w:tcPr>
                <w:p w14:paraId="4F9C1144">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0" w:type="pct"/>
                  <w:vMerge w:val="continue"/>
                  <w:tcBorders>
                    <w:tl2br w:val="nil"/>
                    <w:tr2bl w:val="nil"/>
                  </w:tcBorders>
                  <w:noWrap w:val="0"/>
                  <w:vAlign w:val="center"/>
                </w:tcPr>
                <w:p w14:paraId="67340500">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1179" w:type="pct"/>
                  <w:gridSpan w:val="2"/>
                  <w:tcBorders>
                    <w:tl2br w:val="nil"/>
                    <w:tr2bl w:val="nil"/>
                  </w:tcBorders>
                  <w:noWrap w:val="0"/>
                  <w:vAlign w:val="center"/>
                </w:tcPr>
                <w:p w14:paraId="175D2963">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平均烟温</w:t>
                  </w:r>
                </w:p>
              </w:tc>
              <w:tc>
                <w:tcPr>
                  <w:tcW w:w="566" w:type="pct"/>
                  <w:tcBorders>
                    <w:tl2br w:val="nil"/>
                    <w:tr2bl w:val="nil"/>
                  </w:tcBorders>
                  <w:noWrap w:val="0"/>
                  <w:vAlign w:val="center"/>
                </w:tcPr>
                <w:p w14:paraId="58BDD083">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28.9</w:t>
                  </w:r>
                </w:p>
              </w:tc>
              <w:tc>
                <w:tcPr>
                  <w:tcW w:w="566" w:type="pct"/>
                  <w:tcBorders>
                    <w:tl2br w:val="nil"/>
                    <w:tr2bl w:val="nil"/>
                  </w:tcBorders>
                  <w:noWrap w:val="0"/>
                  <w:vAlign w:val="center"/>
                </w:tcPr>
                <w:p w14:paraId="20178FE1">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28.5</w:t>
                  </w:r>
                </w:p>
              </w:tc>
              <w:tc>
                <w:tcPr>
                  <w:tcW w:w="566" w:type="pct"/>
                  <w:tcBorders>
                    <w:tl2br w:val="nil"/>
                    <w:tr2bl w:val="nil"/>
                  </w:tcBorders>
                  <w:noWrap w:val="0"/>
                  <w:vAlign w:val="center"/>
                </w:tcPr>
                <w:p w14:paraId="53E6F418">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28.7</w:t>
                  </w:r>
                </w:p>
              </w:tc>
              <w:tc>
                <w:tcPr>
                  <w:tcW w:w="475" w:type="pct"/>
                  <w:tcBorders>
                    <w:tl2br w:val="nil"/>
                    <w:tr2bl w:val="nil"/>
                  </w:tcBorders>
                  <w:noWrap w:val="0"/>
                  <w:vAlign w:val="center"/>
                </w:tcPr>
                <w:p w14:paraId="7CD6D529">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483" w:type="pct"/>
                  <w:tcBorders>
                    <w:tl2br w:val="nil"/>
                    <w:tr2bl w:val="nil"/>
                  </w:tcBorders>
                  <w:noWrap w:val="0"/>
                  <w:vAlign w:val="center"/>
                </w:tcPr>
                <w:p w14:paraId="5A663E6F">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r>
            <w:tr w14:paraId="6B973C4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682" w:type="pct"/>
                  <w:vMerge w:val="continue"/>
                  <w:tcBorders>
                    <w:tl2br w:val="nil"/>
                    <w:tr2bl w:val="nil"/>
                  </w:tcBorders>
                  <w:noWrap/>
                  <w:vAlign w:val="center"/>
                </w:tcPr>
                <w:p w14:paraId="6AC90B4A">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0" w:type="pct"/>
                  <w:vMerge w:val="continue"/>
                  <w:tcBorders>
                    <w:tl2br w:val="nil"/>
                    <w:tr2bl w:val="nil"/>
                  </w:tcBorders>
                  <w:noWrap w:val="0"/>
                  <w:vAlign w:val="center"/>
                </w:tcPr>
                <w:p w14:paraId="44A30350">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1179" w:type="pct"/>
                  <w:gridSpan w:val="2"/>
                  <w:tcBorders>
                    <w:tl2br w:val="nil"/>
                    <w:tr2bl w:val="nil"/>
                  </w:tcBorders>
                  <w:noWrap w:val="0"/>
                  <w:vAlign w:val="center"/>
                </w:tcPr>
                <w:p w14:paraId="189D2FDE">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平均流速</w:t>
                  </w:r>
                </w:p>
              </w:tc>
              <w:tc>
                <w:tcPr>
                  <w:tcW w:w="566" w:type="pct"/>
                  <w:tcBorders>
                    <w:tl2br w:val="nil"/>
                    <w:tr2bl w:val="nil"/>
                  </w:tcBorders>
                  <w:noWrap w:val="0"/>
                  <w:vAlign w:val="center"/>
                </w:tcPr>
                <w:p w14:paraId="05C26515">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38.3</w:t>
                  </w:r>
                </w:p>
              </w:tc>
              <w:tc>
                <w:tcPr>
                  <w:tcW w:w="566" w:type="pct"/>
                  <w:tcBorders>
                    <w:tl2br w:val="nil"/>
                    <w:tr2bl w:val="nil"/>
                  </w:tcBorders>
                  <w:noWrap w:val="0"/>
                  <w:vAlign w:val="center"/>
                </w:tcPr>
                <w:p w14:paraId="35B6DD1A">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41.1</w:t>
                  </w:r>
                </w:p>
              </w:tc>
              <w:tc>
                <w:tcPr>
                  <w:tcW w:w="566" w:type="pct"/>
                  <w:tcBorders>
                    <w:tl2br w:val="nil"/>
                    <w:tr2bl w:val="nil"/>
                  </w:tcBorders>
                  <w:noWrap w:val="0"/>
                  <w:vAlign w:val="center"/>
                </w:tcPr>
                <w:p w14:paraId="77C44337">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40.8</w:t>
                  </w:r>
                </w:p>
              </w:tc>
              <w:tc>
                <w:tcPr>
                  <w:tcW w:w="475" w:type="pct"/>
                  <w:tcBorders>
                    <w:tl2br w:val="nil"/>
                    <w:tr2bl w:val="nil"/>
                  </w:tcBorders>
                  <w:noWrap w:val="0"/>
                  <w:vAlign w:val="center"/>
                </w:tcPr>
                <w:p w14:paraId="49825957">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483" w:type="pct"/>
                  <w:tcBorders>
                    <w:tl2br w:val="nil"/>
                    <w:tr2bl w:val="nil"/>
                  </w:tcBorders>
                  <w:noWrap w:val="0"/>
                  <w:vAlign w:val="center"/>
                </w:tcPr>
                <w:p w14:paraId="5EC2836D">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m/s</w:t>
                  </w:r>
                </w:p>
              </w:tc>
            </w:tr>
            <w:tr w14:paraId="4819978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682" w:type="pct"/>
                  <w:vMerge w:val="continue"/>
                  <w:tcBorders>
                    <w:tl2br w:val="nil"/>
                    <w:tr2bl w:val="nil"/>
                  </w:tcBorders>
                  <w:noWrap/>
                  <w:vAlign w:val="center"/>
                </w:tcPr>
                <w:p w14:paraId="4B531707">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0" w:type="pct"/>
                  <w:vMerge w:val="continue"/>
                  <w:tcBorders>
                    <w:tl2br w:val="nil"/>
                    <w:tr2bl w:val="nil"/>
                  </w:tcBorders>
                  <w:noWrap w:val="0"/>
                  <w:vAlign w:val="center"/>
                </w:tcPr>
                <w:p w14:paraId="32A07DC9">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75" w:type="pct"/>
                  <w:vMerge w:val="restart"/>
                  <w:tcBorders>
                    <w:tl2br w:val="nil"/>
                    <w:tr2bl w:val="nil"/>
                  </w:tcBorders>
                  <w:noWrap w:val="0"/>
                  <w:vAlign w:val="center"/>
                </w:tcPr>
                <w:p w14:paraId="7CF82D90">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碱雾</w:t>
                  </w:r>
                </w:p>
              </w:tc>
              <w:tc>
                <w:tcPr>
                  <w:tcW w:w="704" w:type="pct"/>
                  <w:tcBorders>
                    <w:tl2br w:val="nil"/>
                    <w:tr2bl w:val="nil"/>
                  </w:tcBorders>
                  <w:noWrap w:val="0"/>
                  <w:vAlign w:val="center"/>
                </w:tcPr>
                <w:p w14:paraId="31783822">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实测浓度</w:t>
                  </w:r>
                </w:p>
              </w:tc>
              <w:tc>
                <w:tcPr>
                  <w:tcW w:w="566" w:type="pct"/>
                  <w:tcBorders>
                    <w:tl2br w:val="nil"/>
                    <w:tr2bl w:val="nil"/>
                  </w:tcBorders>
                  <w:noWrap w:val="0"/>
                  <w:vAlign w:val="center"/>
                </w:tcPr>
                <w:p w14:paraId="425FEE14">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sz w:val="21"/>
                      <w:szCs w:val="21"/>
                      <w:u w:val="none" w:color="auto"/>
                      <w:lang w:val="en-US" w:eastAsia="zh-CN"/>
                    </w:rPr>
                    <w:t>28.3</w:t>
                  </w:r>
                </w:p>
              </w:tc>
              <w:tc>
                <w:tcPr>
                  <w:tcW w:w="566" w:type="pct"/>
                  <w:tcBorders>
                    <w:tl2br w:val="nil"/>
                    <w:tr2bl w:val="nil"/>
                  </w:tcBorders>
                  <w:noWrap w:val="0"/>
                  <w:vAlign w:val="center"/>
                </w:tcPr>
                <w:p w14:paraId="52C56494">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sz w:val="21"/>
                      <w:szCs w:val="21"/>
                      <w:u w:val="none" w:color="auto"/>
                      <w:lang w:val="en-US" w:eastAsia="zh-CN"/>
                    </w:rPr>
                    <w:t>26.6</w:t>
                  </w:r>
                </w:p>
              </w:tc>
              <w:tc>
                <w:tcPr>
                  <w:tcW w:w="566" w:type="pct"/>
                  <w:tcBorders>
                    <w:tl2br w:val="nil"/>
                    <w:tr2bl w:val="nil"/>
                  </w:tcBorders>
                  <w:noWrap w:val="0"/>
                  <w:vAlign w:val="center"/>
                </w:tcPr>
                <w:p w14:paraId="6A6BDCE8">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sz w:val="21"/>
                      <w:szCs w:val="21"/>
                      <w:u w:val="none" w:color="auto"/>
                      <w:lang w:val="en-US" w:eastAsia="zh-CN"/>
                    </w:rPr>
                    <w:t>26.5</w:t>
                  </w:r>
                </w:p>
              </w:tc>
              <w:tc>
                <w:tcPr>
                  <w:tcW w:w="475" w:type="pct"/>
                  <w:tcBorders>
                    <w:tl2br w:val="nil"/>
                    <w:tr2bl w:val="nil"/>
                  </w:tcBorders>
                  <w:noWrap w:val="0"/>
                  <w:vAlign w:val="center"/>
                </w:tcPr>
                <w:p w14:paraId="2AAE1CFA">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483" w:type="pct"/>
                  <w:tcBorders>
                    <w:tl2br w:val="nil"/>
                    <w:tr2bl w:val="nil"/>
                  </w:tcBorders>
                  <w:noWrap w:val="0"/>
                  <w:vAlign w:val="center"/>
                </w:tcPr>
                <w:p w14:paraId="4CED75B5">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mg/m</w:t>
                  </w:r>
                  <w:r>
                    <w:rPr>
                      <w:rFonts w:hint="default" w:ascii="Times New Roman" w:hAnsi="Times New Roman" w:eastAsia="宋体" w:cs="Times New Roman"/>
                      <w:i w:val="0"/>
                      <w:iCs w:val="0"/>
                      <w:color w:val="auto"/>
                      <w:kern w:val="0"/>
                      <w:sz w:val="21"/>
                      <w:szCs w:val="21"/>
                      <w:u w:val="none" w:color="auto"/>
                      <w:vertAlign w:val="superscript"/>
                      <w:lang w:val="en-US" w:eastAsia="zh-CN" w:bidi="ar"/>
                    </w:rPr>
                    <w:t>3</w:t>
                  </w:r>
                </w:p>
              </w:tc>
            </w:tr>
            <w:tr w14:paraId="18781CB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682" w:type="pct"/>
                  <w:vMerge w:val="continue"/>
                  <w:tcBorders>
                    <w:tl2br w:val="nil"/>
                    <w:tr2bl w:val="nil"/>
                  </w:tcBorders>
                  <w:noWrap/>
                  <w:vAlign w:val="center"/>
                </w:tcPr>
                <w:p w14:paraId="76AD9B8F">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0" w:type="pct"/>
                  <w:vMerge w:val="continue"/>
                  <w:tcBorders>
                    <w:tl2br w:val="nil"/>
                    <w:tr2bl w:val="nil"/>
                  </w:tcBorders>
                  <w:noWrap w:val="0"/>
                  <w:vAlign w:val="center"/>
                </w:tcPr>
                <w:p w14:paraId="3D141118">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75" w:type="pct"/>
                  <w:vMerge w:val="continue"/>
                  <w:tcBorders>
                    <w:tl2br w:val="nil"/>
                    <w:tr2bl w:val="nil"/>
                  </w:tcBorders>
                  <w:noWrap w:val="0"/>
                  <w:vAlign w:val="center"/>
                </w:tcPr>
                <w:p w14:paraId="3F290ADE">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704" w:type="pct"/>
                  <w:tcBorders>
                    <w:tl2br w:val="nil"/>
                    <w:tr2bl w:val="nil"/>
                  </w:tcBorders>
                  <w:noWrap w:val="0"/>
                  <w:vAlign w:val="center"/>
                </w:tcPr>
                <w:p w14:paraId="5318237F">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排放速率</w:t>
                  </w:r>
                </w:p>
              </w:tc>
              <w:tc>
                <w:tcPr>
                  <w:tcW w:w="566" w:type="pct"/>
                  <w:tcBorders>
                    <w:tl2br w:val="nil"/>
                    <w:tr2bl w:val="nil"/>
                  </w:tcBorders>
                  <w:noWrap w:val="0"/>
                  <w:vAlign w:val="center"/>
                </w:tcPr>
                <w:p w14:paraId="44D3EC53">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sz w:val="21"/>
                      <w:szCs w:val="21"/>
                      <w:u w:val="none" w:color="auto"/>
                      <w:lang w:val="en-US" w:eastAsia="zh-CN"/>
                    </w:rPr>
                    <w:t>0.43</w:t>
                  </w:r>
                </w:p>
              </w:tc>
              <w:tc>
                <w:tcPr>
                  <w:tcW w:w="566" w:type="pct"/>
                  <w:tcBorders>
                    <w:tl2br w:val="nil"/>
                    <w:tr2bl w:val="nil"/>
                  </w:tcBorders>
                  <w:noWrap w:val="0"/>
                  <w:vAlign w:val="center"/>
                </w:tcPr>
                <w:p w14:paraId="29CB925B">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sz w:val="21"/>
                      <w:szCs w:val="21"/>
                      <w:u w:val="none" w:color="auto"/>
                      <w:lang w:val="en-US" w:eastAsia="zh-CN"/>
                    </w:rPr>
                    <w:t>0.43</w:t>
                  </w:r>
                </w:p>
              </w:tc>
              <w:tc>
                <w:tcPr>
                  <w:tcW w:w="566" w:type="pct"/>
                  <w:tcBorders>
                    <w:tl2br w:val="nil"/>
                    <w:tr2bl w:val="nil"/>
                  </w:tcBorders>
                  <w:noWrap w:val="0"/>
                  <w:vAlign w:val="center"/>
                </w:tcPr>
                <w:p w14:paraId="63380495">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sz w:val="21"/>
                      <w:szCs w:val="21"/>
                      <w:u w:val="none" w:color="auto"/>
                      <w:lang w:val="en-US" w:eastAsia="zh-CN"/>
                    </w:rPr>
                    <w:t>0.43</w:t>
                  </w:r>
                </w:p>
              </w:tc>
              <w:tc>
                <w:tcPr>
                  <w:tcW w:w="475" w:type="pct"/>
                  <w:tcBorders>
                    <w:tl2br w:val="nil"/>
                    <w:tr2bl w:val="nil"/>
                  </w:tcBorders>
                  <w:noWrap w:val="0"/>
                  <w:vAlign w:val="center"/>
                </w:tcPr>
                <w:p w14:paraId="3B0EBB32">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483" w:type="pct"/>
                  <w:tcBorders>
                    <w:tl2br w:val="nil"/>
                    <w:tr2bl w:val="nil"/>
                  </w:tcBorders>
                  <w:noWrap w:val="0"/>
                  <w:vAlign w:val="center"/>
                </w:tcPr>
                <w:p w14:paraId="4DDE9C76">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kg/h</w:t>
                  </w:r>
                </w:p>
              </w:tc>
            </w:tr>
            <w:tr w14:paraId="291173D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682" w:type="pct"/>
                  <w:vMerge w:val="continue"/>
                  <w:tcBorders>
                    <w:tl2br w:val="nil"/>
                    <w:tr2bl w:val="nil"/>
                  </w:tcBorders>
                  <w:noWrap/>
                  <w:vAlign w:val="center"/>
                </w:tcPr>
                <w:p w14:paraId="5E5D5907">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0" w:type="pct"/>
                  <w:vMerge w:val="restart"/>
                  <w:tcBorders>
                    <w:tl2br w:val="nil"/>
                    <w:tr2bl w:val="nil"/>
                  </w:tcBorders>
                  <w:noWrap w:val="0"/>
                  <w:vAlign w:val="center"/>
                </w:tcPr>
                <w:p w14:paraId="25415747">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DA003出口</w:t>
                  </w:r>
                </w:p>
              </w:tc>
              <w:tc>
                <w:tcPr>
                  <w:tcW w:w="1179" w:type="pct"/>
                  <w:gridSpan w:val="2"/>
                  <w:tcBorders>
                    <w:tl2br w:val="nil"/>
                    <w:tr2bl w:val="nil"/>
                  </w:tcBorders>
                  <w:noWrap w:val="0"/>
                  <w:vAlign w:val="center"/>
                </w:tcPr>
                <w:p w14:paraId="5942E869">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标干流量</w:t>
                  </w:r>
                </w:p>
              </w:tc>
              <w:tc>
                <w:tcPr>
                  <w:tcW w:w="566" w:type="pct"/>
                  <w:tcBorders>
                    <w:tl2br w:val="nil"/>
                    <w:tr2bl w:val="nil"/>
                  </w:tcBorders>
                  <w:noWrap w:val="0"/>
                  <w:vAlign w:val="center"/>
                </w:tcPr>
                <w:p w14:paraId="661A2E59">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14226</w:t>
                  </w:r>
                </w:p>
              </w:tc>
              <w:tc>
                <w:tcPr>
                  <w:tcW w:w="566" w:type="pct"/>
                  <w:tcBorders>
                    <w:tl2br w:val="nil"/>
                    <w:tr2bl w:val="nil"/>
                  </w:tcBorders>
                  <w:noWrap w:val="0"/>
                  <w:vAlign w:val="center"/>
                </w:tcPr>
                <w:p w14:paraId="6C6EB3E0">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14494</w:t>
                  </w:r>
                </w:p>
              </w:tc>
              <w:tc>
                <w:tcPr>
                  <w:tcW w:w="566" w:type="pct"/>
                  <w:tcBorders>
                    <w:tl2br w:val="nil"/>
                    <w:tr2bl w:val="nil"/>
                  </w:tcBorders>
                  <w:noWrap w:val="0"/>
                  <w:vAlign w:val="center"/>
                </w:tcPr>
                <w:p w14:paraId="6FBBD2A8">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14400</w:t>
                  </w:r>
                </w:p>
              </w:tc>
              <w:tc>
                <w:tcPr>
                  <w:tcW w:w="475" w:type="pct"/>
                  <w:tcBorders>
                    <w:tl2br w:val="nil"/>
                    <w:tr2bl w:val="nil"/>
                  </w:tcBorders>
                  <w:noWrap w:val="0"/>
                  <w:vAlign w:val="center"/>
                </w:tcPr>
                <w:p w14:paraId="7DDCAD8A">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483" w:type="pct"/>
                  <w:tcBorders>
                    <w:tl2br w:val="nil"/>
                    <w:tr2bl w:val="nil"/>
                  </w:tcBorders>
                  <w:noWrap w:val="0"/>
                  <w:vAlign w:val="center"/>
                </w:tcPr>
                <w:p w14:paraId="5D00E612">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Nm</w:t>
                  </w:r>
                  <w:r>
                    <w:rPr>
                      <w:rFonts w:hint="default" w:ascii="Times New Roman" w:hAnsi="Times New Roman" w:eastAsia="宋体" w:cs="Times New Roman"/>
                      <w:i w:val="0"/>
                      <w:iCs w:val="0"/>
                      <w:color w:val="auto"/>
                      <w:kern w:val="0"/>
                      <w:sz w:val="21"/>
                      <w:szCs w:val="21"/>
                      <w:u w:val="none" w:color="auto"/>
                      <w:vertAlign w:val="superscript"/>
                      <w:lang w:val="en-US" w:eastAsia="zh-CN" w:bidi="ar"/>
                    </w:rPr>
                    <w:t>3</w:t>
                  </w:r>
                  <w:r>
                    <w:rPr>
                      <w:rFonts w:hint="default" w:ascii="Times New Roman" w:hAnsi="Times New Roman" w:eastAsia="宋体" w:cs="Times New Roman"/>
                      <w:i w:val="0"/>
                      <w:iCs w:val="0"/>
                      <w:color w:val="auto"/>
                      <w:kern w:val="0"/>
                      <w:sz w:val="21"/>
                      <w:szCs w:val="21"/>
                      <w:u w:val="none" w:color="auto"/>
                      <w:lang w:val="en-US" w:eastAsia="zh-CN" w:bidi="ar"/>
                    </w:rPr>
                    <w:t>/h</w:t>
                  </w:r>
                </w:p>
              </w:tc>
            </w:tr>
            <w:tr w14:paraId="33E39D3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682" w:type="pct"/>
                  <w:vMerge w:val="continue"/>
                  <w:tcBorders>
                    <w:tl2br w:val="nil"/>
                    <w:tr2bl w:val="nil"/>
                  </w:tcBorders>
                  <w:noWrap/>
                  <w:vAlign w:val="center"/>
                </w:tcPr>
                <w:p w14:paraId="4F89FE73">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0" w:type="pct"/>
                  <w:vMerge w:val="continue"/>
                  <w:tcBorders>
                    <w:tl2br w:val="nil"/>
                    <w:tr2bl w:val="nil"/>
                  </w:tcBorders>
                  <w:noWrap w:val="0"/>
                  <w:vAlign w:val="center"/>
                </w:tcPr>
                <w:p w14:paraId="3C5177E0">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1179" w:type="pct"/>
                  <w:gridSpan w:val="2"/>
                  <w:tcBorders>
                    <w:tl2br w:val="nil"/>
                    <w:tr2bl w:val="nil"/>
                  </w:tcBorders>
                  <w:noWrap w:val="0"/>
                  <w:vAlign w:val="center"/>
                </w:tcPr>
                <w:p w14:paraId="785ABA26">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平均烟温</w:t>
                  </w:r>
                </w:p>
              </w:tc>
              <w:tc>
                <w:tcPr>
                  <w:tcW w:w="566" w:type="pct"/>
                  <w:tcBorders>
                    <w:tl2br w:val="nil"/>
                    <w:tr2bl w:val="nil"/>
                  </w:tcBorders>
                  <w:noWrap w:val="0"/>
                  <w:vAlign w:val="center"/>
                </w:tcPr>
                <w:p w14:paraId="0E5E8860">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28.8</w:t>
                  </w:r>
                </w:p>
              </w:tc>
              <w:tc>
                <w:tcPr>
                  <w:tcW w:w="566" w:type="pct"/>
                  <w:tcBorders>
                    <w:tl2br w:val="nil"/>
                    <w:tr2bl w:val="nil"/>
                  </w:tcBorders>
                  <w:noWrap w:val="0"/>
                  <w:vAlign w:val="center"/>
                </w:tcPr>
                <w:p w14:paraId="4EC27314">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28.5</w:t>
                  </w:r>
                </w:p>
              </w:tc>
              <w:tc>
                <w:tcPr>
                  <w:tcW w:w="566" w:type="pct"/>
                  <w:tcBorders>
                    <w:tl2br w:val="nil"/>
                    <w:tr2bl w:val="nil"/>
                  </w:tcBorders>
                  <w:noWrap w:val="0"/>
                  <w:vAlign w:val="center"/>
                </w:tcPr>
                <w:p w14:paraId="4B9A4028">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28.9</w:t>
                  </w:r>
                </w:p>
              </w:tc>
              <w:tc>
                <w:tcPr>
                  <w:tcW w:w="475" w:type="pct"/>
                  <w:tcBorders>
                    <w:tl2br w:val="nil"/>
                    <w:tr2bl w:val="nil"/>
                  </w:tcBorders>
                  <w:noWrap w:val="0"/>
                  <w:vAlign w:val="center"/>
                </w:tcPr>
                <w:p w14:paraId="385488F7">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483" w:type="pct"/>
                  <w:tcBorders>
                    <w:tl2br w:val="nil"/>
                    <w:tr2bl w:val="nil"/>
                  </w:tcBorders>
                  <w:noWrap w:val="0"/>
                  <w:vAlign w:val="center"/>
                </w:tcPr>
                <w:p w14:paraId="5E015E56">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r>
            <w:tr w14:paraId="5B660C3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682" w:type="pct"/>
                  <w:vMerge w:val="continue"/>
                  <w:tcBorders>
                    <w:tl2br w:val="nil"/>
                    <w:tr2bl w:val="nil"/>
                  </w:tcBorders>
                  <w:noWrap/>
                  <w:vAlign w:val="center"/>
                </w:tcPr>
                <w:p w14:paraId="23354A19">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0" w:type="pct"/>
                  <w:vMerge w:val="continue"/>
                  <w:tcBorders>
                    <w:tl2br w:val="nil"/>
                    <w:tr2bl w:val="nil"/>
                  </w:tcBorders>
                  <w:noWrap w:val="0"/>
                  <w:vAlign w:val="center"/>
                </w:tcPr>
                <w:p w14:paraId="3FC381E4">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1179" w:type="pct"/>
                  <w:gridSpan w:val="2"/>
                  <w:tcBorders>
                    <w:tl2br w:val="nil"/>
                    <w:tr2bl w:val="nil"/>
                  </w:tcBorders>
                  <w:noWrap w:val="0"/>
                  <w:vAlign w:val="center"/>
                </w:tcPr>
                <w:p w14:paraId="6AD0DC7D">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平均流速</w:t>
                  </w:r>
                </w:p>
              </w:tc>
              <w:tc>
                <w:tcPr>
                  <w:tcW w:w="566" w:type="pct"/>
                  <w:tcBorders>
                    <w:tl2br w:val="nil"/>
                    <w:tr2bl w:val="nil"/>
                  </w:tcBorders>
                  <w:noWrap w:val="0"/>
                  <w:vAlign w:val="center"/>
                </w:tcPr>
                <w:p w14:paraId="299729AB">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35.9</w:t>
                  </w:r>
                </w:p>
              </w:tc>
              <w:tc>
                <w:tcPr>
                  <w:tcW w:w="566" w:type="pct"/>
                  <w:tcBorders>
                    <w:tl2br w:val="nil"/>
                    <w:tr2bl w:val="nil"/>
                  </w:tcBorders>
                  <w:noWrap w:val="0"/>
                  <w:vAlign w:val="center"/>
                </w:tcPr>
                <w:p w14:paraId="72FEE467">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36.5</w:t>
                  </w:r>
                </w:p>
              </w:tc>
              <w:tc>
                <w:tcPr>
                  <w:tcW w:w="566" w:type="pct"/>
                  <w:tcBorders>
                    <w:tl2br w:val="nil"/>
                    <w:tr2bl w:val="nil"/>
                  </w:tcBorders>
                  <w:noWrap w:val="0"/>
                  <w:vAlign w:val="center"/>
                </w:tcPr>
                <w:p w14:paraId="2D48423E">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36.3</w:t>
                  </w:r>
                </w:p>
              </w:tc>
              <w:tc>
                <w:tcPr>
                  <w:tcW w:w="475" w:type="pct"/>
                  <w:tcBorders>
                    <w:tl2br w:val="nil"/>
                    <w:tr2bl w:val="nil"/>
                  </w:tcBorders>
                  <w:noWrap w:val="0"/>
                  <w:vAlign w:val="center"/>
                </w:tcPr>
                <w:p w14:paraId="44B0ED41">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483" w:type="pct"/>
                  <w:tcBorders>
                    <w:tl2br w:val="nil"/>
                    <w:tr2bl w:val="nil"/>
                  </w:tcBorders>
                  <w:noWrap w:val="0"/>
                  <w:vAlign w:val="center"/>
                </w:tcPr>
                <w:p w14:paraId="126A84AC">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m/s</w:t>
                  </w:r>
                </w:p>
              </w:tc>
            </w:tr>
            <w:tr w14:paraId="06F1EA5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682" w:type="pct"/>
                  <w:vMerge w:val="continue"/>
                  <w:tcBorders>
                    <w:tl2br w:val="nil"/>
                    <w:tr2bl w:val="nil"/>
                  </w:tcBorders>
                  <w:noWrap/>
                  <w:vAlign w:val="center"/>
                </w:tcPr>
                <w:p w14:paraId="7DA129B9">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0" w:type="pct"/>
                  <w:vMerge w:val="continue"/>
                  <w:tcBorders>
                    <w:tl2br w:val="nil"/>
                    <w:tr2bl w:val="nil"/>
                  </w:tcBorders>
                  <w:noWrap w:val="0"/>
                  <w:vAlign w:val="center"/>
                </w:tcPr>
                <w:p w14:paraId="251FD12A">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75" w:type="pct"/>
                  <w:vMerge w:val="restart"/>
                  <w:tcBorders>
                    <w:tl2br w:val="nil"/>
                    <w:tr2bl w:val="nil"/>
                  </w:tcBorders>
                  <w:noWrap w:val="0"/>
                  <w:vAlign w:val="center"/>
                </w:tcPr>
                <w:p w14:paraId="762FE5B7">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碱雾</w:t>
                  </w:r>
                </w:p>
              </w:tc>
              <w:tc>
                <w:tcPr>
                  <w:tcW w:w="704" w:type="pct"/>
                  <w:tcBorders>
                    <w:tl2br w:val="nil"/>
                    <w:tr2bl w:val="nil"/>
                  </w:tcBorders>
                  <w:noWrap w:val="0"/>
                  <w:vAlign w:val="center"/>
                </w:tcPr>
                <w:p w14:paraId="0BE0F227">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实测浓度</w:t>
                  </w:r>
                </w:p>
              </w:tc>
              <w:tc>
                <w:tcPr>
                  <w:tcW w:w="566" w:type="pct"/>
                  <w:tcBorders>
                    <w:tl2br w:val="nil"/>
                    <w:tr2bl w:val="nil"/>
                  </w:tcBorders>
                  <w:noWrap w:val="0"/>
                  <w:vAlign w:val="center"/>
                </w:tcPr>
                <w:p w14:paraId="4962586F">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6.2</w:t>
                  </w:r>
                </w:p>
              </w:tc>
              <w:tc>
                <w:tcPr>
                  <w:tcW w:w="566" w:type="pct"/>
                  <w:tcBorders>
                    <w:tl2br w:val="nil"/>
                    <w:tr2bl w:val="nil"/>
                  </w:tcBorders>
                  <w:noWrap w:val="0"/>
                  <w:vAlign w:val="center"/>
                </w:tcPr>
                <w:p w14:paraId="6CC58197">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5.7</w:t>
                  </w:r>
                </w:p>
              </w:tc>
              <w:tc>
                <w:tcPr>
                  <w:tcW w:w="566" w:type="pct"/>
                  <w:tcBorders>
                    <w:tl2br w:val="nil"/>
                    <w:tr2bl w:val="nil"/>
                  </w:tcBorders>
                  <w:noWrap w:val="0"/>
                  <w:vAlign w:val="center"/>
                </w:tcPr>
                <w:p w14:paraId="0ECAEEEA">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5.7</w:t>
                  </w:r>
                </w:p>
              </w:tc>
              <w:tc>
                <w:tcPr>
                  <w:tcW w:w="475" w:type="pct"/>
                  <w:tcBorders>
                    <w:tl2br w:val="nil"/>
                    <w:tr2bl w:val="nil"/>
                  </w:tcBorders>
                  <w:noWrap w:val="0"/>
                  <w:vAlign w:val="center"/>
                </w:tcPr>
                <w:p w14:paraId="38212FB3">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10</w:t>
                  </w:r>
                </w:p>
              </w:tc>
              <w:tc>
                <w:tcPr>
                  <w:tcW w:w="483" w:type="pct"/>
                  <w:tcBorders>
                    <w:tl2br w:val="nil"/>
                    <w:tr2bl w:val="nil"/>
                  </w:tcBorders>
                  <w:noWrap w:val="0"/>
                  <w:vAlign w:val="center"/>
                </w:tcPr>
                <w:p w14:paraId="48ADEE3C">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mg/m</w:t>
                  </w:r>
                  <w:r>
                    <w:rPr>
                      <w:rFonts w:hint="default" w:ascii="Times New Roman" w:hAnsi="Times New Roman" w:eastAsia="宋体" w:cs="Times New Roman"/>
                      <w:i w:val="0"/>
                      <w:iCs w:val="0"/>
                      <w:color w:val="auto"/>
                      <w:kern w:val="0"/>
                      <w:sz w:val="21"/>
                      <w:szCs w:val="21"/>
                      <w:u w:val="none" w:color="auto"/>
                      <w:vertAlign w:val="superscript"/>
                      <w:lang w:val="en-US" w:eastAsia="zh-CN" w:bidi="ar"/>
                    </w:rPr>
                    <w:t>3</w:t>
                  </w:r>
                </w:p>
              </w:tc>
            </w:tr>
            <w:tr w14:paraId="0A11A54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682" w:type="pct"/>
                  <w:vMerge w:val="continue"/>
                  <w:tcBorders>
                    <w:tl2br w:val="nil"/>
                    <w:tr2bl w:val="nil"/>
                  </w:tcBorders>
                  <w:noWrap/>
                  <w:vAlign w:val="center"/>
                </w:tcPr>
                <w:p w14:paraId="2CC063C7">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0" w:type="pct"/>
                  <w:vMerge w:val="continue"/>
                  <w:tcBorders>
                    <w:tl2br w:val="nil"/>
                    <w:tr2bl w:val="nil"/>
                  </w:tcBorders>
                  <w:noWrap w:val="0"/>
                  <w:vAlign w:val="center"/>
                </w:tcPr>
                <w:p w14:paraId="4165312B">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75" w:type="pct"/>
                  <w:vMerge w:val="continue"/>
                  <w:tcBorders>
                    <w:tl2br w:val="nil"/>
                    <w:tr2bl w:val="nil"/>
                  </w:tcBorders>
                  <w:noWrap w:val="0"/>
                  <w:vAlign w:val="center"/>
                </w:tcPr>
                <w:p w14:paraId="6617E556">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704" w:type="pct"/>
                  <w:tcBorders>
                    <w:tl2br w:val="nil"/>
                    <w:tr2bl w:val="nil"/>
                  </w:tcBorders>
                  <w:noWrap w:val="0"/>
                  <w:vAlign w:val="center"/>
                </w:tcPr>
                <w:p w14:paraId="327F4F7D">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排放速率</w:t>
                  </w:r>
                </w:p>
              </w:tc>
              <w:tc>
                <w:tcPr>
                  <w:tcW w:w="566" w:type="pct"/>
                  <w:tcBorders>
                    <w:tl2br w:val="nil"/>
                    <w:tr2bl w:val="nil"/>
                  </w:tcBorders>
                  <w:noWrap w:val="0"/>
                  <w:vAlign w:val="center"/>
                </w:tcPr>
                <w:p w14:paraId="37617ED8">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0.09</w:t>
                  </w:r>
                </w:p>
              </w:tc>
              <w:tc>
                <w:tcPr>
                  <w:tcW w:w="566" w:type="pct"/>
                  <w:tcBorders>
                    <w:tl2br w:val="nil"/>
                    <w:tr2bl w:val="nil"/>
                  </w:tcBorders>
                  <w:noWrap w:val="0"/>
                  <w:vAlign w:val="center"/>
                </w:tcPr>
                <w:p w14:paraId="400C694A">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0.08</w:t>
                  </w:r>
                </w:p>
              </w:tc>
              <w:tc>
                <w:tcPr>
                  <w:tcW w:w="566" w:type="pct"/>
                  <w:tcBorders>
                    <w:tl2br w:val="nil"/>
                    <w:tr2bl w:val="nil"/>
                  </w:tcBorders>
                  <w:noWrap w:val="0"/>
                  <w:vAlign w:val="center"/>
                </w:tcPr>
                <w:p w14:paraId="1E8A928C">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0.08</w:t>
                  </w:r>
                </w:p>
              </w:tc>
              <w:tc>
                <w:tcPr>
                  <w:tcW w:w="475" w:type="pct"/>
                  <w:tcBorders>
                    <w:tl2br w:val="nil"/>
                    <w:tr2bl w:val="nil"/>
                  </w:tcBorders>
                  <w:noWrap w:val="0"/>
                  <w:vAlign w:val="center"/>
                </w:tcPr>
                <w:p w14:paraId="577C243A">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483" w:type="pct"/>
                  <w:tcBorders>
                    <w:tl2br w:val="nil"/>
                    <w:tr2bl w:val="nil"/>
                  </w:tcBorders>
                  <w:noWrap w:val="0"/>
                  <w:vAlign w:val="center"/>
                </w:tcPr>
                <w:p w14:paraId="03B5B5E2">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kg/h</w:t>
                  </w:r>
                </w:p>
              </w:tc>
            </w:tr>
            <w:tr w14:paraId="29613EE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682" w:type="pct"/>
                  <w:vMerge w:val="restart"/>
                  <w:tcBorders>
                    <w:tl2br w:val="nil"/>
                    <w:tr2bl w:val="nil"/>
                  </w:tcBorders>
                  <w:noWrap/>
                  <w:vAlign w:val="center"/>
                </w:tcPr>
                <w:p w14:paraId="5CEF8CDB">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5月31日</w:t>
                  </w:r>
                </w:p>
              </w:tc>
              <w:tc>
                <w:tcPr>
                  <w:tcW w:w="480" w:type="pct"/>
                  <w:vMerge w:val="restart"/>
                  <w:tcBorders>
                    <w:tl2br w:val="nil"/>
                    <w:tr2bl w:val="nil"/>
                  </w:tcBorders>
                  <w:noWrap w:val="0"/>
                  <w:vAlign w:val="center"/>
                </w:tcPr>
                <w:p w14:paraId="26FAF76D">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DA003进口</w:t>
                  </w:r>
                </w:p>
              </w:tc>
              <w:tc>
                <w:tcPr>
                  <w:tcW w:w="1179" w:type="pct"/>
                  <w:gridSpan w:val="2"/>
                  <w:tcBorders>
                    <w:tl2br w:val="nil"/>
                    <w:tr2bl w:val="nil"/>
                  </w:tcBorders>
                  <w:noWrap w:val="0"/>
                  <w:vAlign w:val="center"/>
                </w:tcPr>
                <w:p w14:paraId="47ABDF6A">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标干流量</w:t>
                  </w:r>
                </w:p>
              </w:tc>
              <w:tc>
                <w:tcPr>
                  <w:tcW w:w="566" w:type="pct"/>
                  <w:tcBorders>
                    <w:tl2br w:val="nil"/>
                    <w:tr2bl w:val="nil"/>
                  </w:tcBorders>
                  <w:noWrap w:val="0"/>
                  <w:vAlign w:val="center"/>
                </w:tcPr>
                <w:p w14:paraId="30A1530B">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15180</w:t>
                  </w:r>
                </w:p>
              </w:tc>
              <w:tc>
                <w:tcPr>
                  <w:tcW w:w="566" w:type="pct"/>
                  <w:tcBorders>
                    <w:tl2br w:val="nil"/>
                    <w:tr2bl w:val="nil"/>
                  </w:tcBorders>
                  <w:noWrap w:val="0"/>
                  <w:vAlign w:val="center"/>
                </w:tcPr>
                <w:p w14:paraId="0CA61E53">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16436</w:t>
                  </w:r>
                </w:p>
              </w:tc>
              <w:tc>
                <w:tcPr>
                  <w:tcW w:w="566" w:type="pct"/>
                  <w:tcBorders>
                    <w:tl2br w:val="nil"/>
                    <w:tr2bl w:val="nil"/>
                  </w:tcBorders>
                  <w:noWrap w:val="0"/>
                  <w:vAlign w:val="center"/>
                </w:tcPr>
                <w:p w14:paraId="52B63421">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15650</w:t>
                  </w:r>
                </w:p>
              </w:tc>
              <w:tc>
                <w:tcPr>
                  <w:tcW w:w="475" w:type="pct"/>
                  <w:tcBorders>
                    <w:tl2br w:val="nil"/>
                    <w:tr2bl w:val="nil"/>
                  </w:tcBorders>
                  <w:noWrap w:val="0"/>
                  <w:vAlign w:val="center"/>
                </w:tcPr>
                <w:p w14:paraId="5C6894ED">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483" w:type="pct"/>
                  <w:tcBorders>
                    <w:tl2br w:val="nil"/>
                    <w:tr2bl w:val="nil"/>
                  </w:tcBorders>
                  <w:noWrap w:val="0"/>
                  <w:vAlign w:val="center"/>
                </w:tcPr>
                <w:p w14:paraId="524EDA60">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Nm</w:t>
                  </w:r>
                  <w:r>
                    <w:rPr>
                      <w:rFonts w:hint="default" w:ascii="Times New Roman" w:hAnsi="Times New Roman" w:eastAsia="宋体" w:cs="Times New Roman"/>
                      <w:i w:val="0"/>
                      <w:iCs w:val="0"/>
                      <w:color w:val="auto"/>
                      <w:kern w:val="0"/>
                      <w:sz w:val="21"/>
                      <w:szCs w:val="21"/>
                      <w:u w:val="none" w:color="auto"/>
                      <w:vertAlign w:val="superscript"/>
                      <w:lang w:val="en-US" w:eastAsia="zh-CN" w:bidi="ar"/>
                    </w:rPr>
                    <w:t>3</w:t>
                  </w:r>
                  <w:r>
                    <w:rPr>
                      <w:rFonts w:hint="default" w:ascii="Times New Roman" w:hAnsi="Times New Roman" w:eastAsia="宋体" w:cs="Times New Roman"/>
                      <w:i w:val="0"/>
                      <w:iCs w:val="0"/>
                      <w:color w:val="auto"/>
                      <w:kern w:val="0"/>
                      <w:sz w:val="21"/>
                      <w:szCs w:val="21"/>
                      <w:u w:val="none" w:color="auto"/>
                      <w:lang w:val="en-US" w:eastAsia="zh-CN" w:bidi="ar"/>
                    </w:rPr>
                    <w:t>/h</w:t>
                  </w:r>
                </w:p>
              </w:tc>
            </w:tr>
            <w:tr w14:paraId="2E42AE5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682" w:type="pct"/>
                  <w:vMerge w:val="continue"/>
                  <w:tcBorders>
                    <w:tl2br w:val="nil"/>
                    <w:tr2bl w:val="nil"/>
                  </w:tcBorders>
                  <w:noWrap/>
                  <w:vAlign w:val="center"/>
                </w:tcPr>
                <w:p w14:paraId="1746D16C">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0" w:type="pct"/>
                  <w:vMerge w:val="continue"/>
                  <w:tcBorders>
                    <w:tl2br w:val="nil"/>
                    <w:tr2bl w:val="nil"/>
                  </w:tcBorders>
                  <w:noWrap w:val="0"/>
                  <w:vAlign w:val="center"/>
                </w:tcPr>
                <w:p w14:paraId="764560DD">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1179" w:type="pct"/>
                  <w:gridSpan w:val="2"/>
                  <w:tcBorders>
                    <w:tl2br w:val="nil"/>
                    <w:tr2bl w:val="nil"/>
                  </w:tcBorders>
                  <w:noWrap w:val="0"/>
                  <w:vAlign w:val="center"/>
                </w:tcPr>
                <w:p w14:paraId="1133B7FB">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平均烟温</w:t>
                  </w:r>
                </w:p>
              </w:tc>
              <w:tc>
                <w:tcPr>
                  <w:tcW w:w="566" w:type="pct"/>
                  <w:tcBorders>
                    <w:tl2br w:val="nil"/>
                    <w:tr2bl w:val="nil"/>
                  </w:tcBorders>
                  <w:noWrap w:val="0"/>
                  <w:vAlign w:val="center"/>
                </w:tcPr>
                <w:p w14:paraId="4D32FD20">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28.1</w:t>
                  </w:r>
                </w:p>
              </w:tc>
              <w:tc>
                <w:tcPr>
                  <w:tcW w:w="566" w:type="pct"/>
                  <w:tcBorders>
                    <w:tl2br w:val="nil"/>
                    <w:tr2bl w:val="nil"/>
                  </w:tcBorders>
                  <w:noWrap w:val="0"/>
                  <w:vAlign w:val="center"/>
                </w:tcPr>
                <w:p w14:paraId="2C9E0142">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28.3</w:t>
                  </w:r>
                </w:p>
              </w:tc>
              <w:tc>
                <w:tcPr>
                  <w:tcW w:w="566" w:type="pct"/>
                  <w:tcBorders>
                    <w:tl2br w:val="nil"/>
                    <w:tr2bl w:val="nil"/>
                  </w:tcBorders>
                  <w:noWrap w:val="0"/>
                  <w:vAlign w:val="center"/>
                </w:tcPr>
                <w:p w14:paraId="7209D016">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28.4</w:t>
                  </w:r>
                </w:p>
              </w:tc>
              <w:tc>
                <w:tcPr>
                  <w:tcW w:w="475" w:type="pct"/>
                  <w:tcBorders>
                    <w:tl2br w:val="nil"/>
                    <w:tr2bl w:val="nil"/>
                  </w:tcBorders>
                  <w:noWrap w:val="0"/>
                  <w:vAlign w:val="center"/>
                </w:tcPr>
                <w:p w14:paraId="02EF898B">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483" w:type="pct"/>
                  <w:tcBorders>
                    <w:tl2br w:val="nil"/>
                    <w:tr2bl w:val="nil"/>
                  </w:tcBorders>
                  <w:noWrap w:val="0"/>
                  <w:vAlign w:val="center"/>
                </w:tcPr>
                <w:p w14:paraId="393F3F92">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r>
            <w:tr w14:paraId="7ACB75E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682" w:type="pct"/>
                  <w:vMerge w:val="continue"/>
                  <w:tcBorders>
                    <w:tl2br w:val="nil"/>
                    <w:tr2bl w:val="nil"/>
                  </w:tcBorders>
                  <w:noWrap/>
                  <w:vAlign w:val="center"/>
                </w:tcPr>
                <w:p w14:paraId="35236333">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0" w:type="pct"/>
                  <w:vMerge w:val="continue"/>
                  <w:tcBorders>
                    <w:tl2br w:val="nil"/>
                    <w:tr2bl w:val="nil"/>
                  </w:tcBorders>
                  <w:noWrap w:val="0"/>
                  <w:vAlign w:val="center"/>
                </w:tcPr>
                <w:p w14:paraId="055231C3">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1179" w:type="pct"/>
                  <w:gridSpan w:val="2"/>
                  <w:tcBorders>
                    <w:tl2br w:val="nil"/>
                    <w:tr2bl w:val="nil"/>
                  </w:tcBorders>
                  <w:noWrap w:val="0"/>
                  <w:vAlign w:val="center"/>
                </w:tcPr>
                <w:p w14:paraId="53F3D96C">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平均流速</w:t>
                  </w:r>
                </w:p>
              </w:tc>
              <w:tc>
                <w:tcPr>
                  <w:tcW w:w="566" w:type="pct"/>
                  <w:tcBorders>
                    <w:tl2br w:val="nil"/>
                    <w:tr2bl w:val="nil"/>
                  </w:tcBorders>
                  <w:noWrap w:val="0"/>
                  <w:vAlign w:val="center"/>
                </w:tcPr>
                <w:p w14:paraId="26CDE9F8">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38.2</w:t>
                  </w:r>
                </w:p>
              </w:tc>
              <w:tc>
                <w:tcPr>
                  <w:tcW w:w="566" w:type="pct"/>
                  <w:tcBorders>
                    <w:tl2br w:val="nil"/>
                    <w:tr2bl w:val="nil"/>
                  </w:tcBorders>
                  <w:noWrap w:val="0"/>
                  <w:vAlign w:val="center"/>
                </w:tcPr>
                <w:p w14:paraId="49E636E3">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41.4</w:t>
                  </w:r>
                </w:p>
              </w:tc>
              <w:tc>
                <w:tcPr>
                  <w:tcW w:w="566" w:type="pct"/>
                  <w:tcBorders>
                    <w:tl2br w:val="nil"/>
                    <w:tr2bl w:val="nil"/>
                  </w:tcBorders>
                  <w:noWrap w:val="0"/>
                  <w:vAlign w:val="center"/>
                </w:tcPr>
                <w:p w14:paraId="4EA39C9E">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39.5</w:t>
                  </w:r>
                </w:p>
              </w:tc>
              <w:tc>
                <w:tcPr>
                  <w:tcW w:w="475" w:type="pct"/>
                  <w:tcBorders>
                    <w:tl2br w:val="nil"/>
                    <w:tr2bl w:val="nil"/>
                  </w:tcBorders>
                  <w:noWrap w:val="0"/>
                  <w:vAlign w:val="center"/>
                </w:tcPr>
                <w:p w14:paraId="57D8EA8E">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483" w:type="pct"/>
                  <w:tcBorders>
                    <w:tl2br w:val="nil"/>
                    <w:tr2bl w:val="nil"/>
                  </w:tcBorders>
                  <w:noWrap w:val="0"/>
                  <w:vAlign w:val="center"/>
                </w:tcPr>
                <w:p w14:paraId="2D6529B3">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m/s</w:t>
                  </w:r>
                </w:p>
              </w:tc>
            </w:tr>
            <w:tr w14:paraId="02C5B58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682" w:type="pct"/>
                  <w:vMerge w:val="continue"/>
                  <w:tcBorders>
                    <w:tl2br w:val="nil"/>
                    <w:tr2bl w:val="nil"/>
                  </w:tcBorders>
                  <w:noWrap/>
                  <w:vAlign w:val="center"/>
                </w:tcPr>
                <w:p w14:paraId="396117A8">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0" w:type="pct"/>
                  <w:vMerge w:val="continue"/>
                  <w:tcBorders>
                    <w:tl2br w:val="nil"/>
                    <w:tr2bl w:val="nil"/>
                  </w:tcBorders>
                  <w:noWrap w:val="0"/>
                  <w:vAlign w:val="center"/>
                </w:tcPr>
                <w:p w14:paraId="58051331">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75" w:type="pct"/>
                  <w:vMerge w:val="restart"/>
                  <w:tcBorders>
                    <w:tl2br w:val="nil"/>
                    <w:tr2bl w:val="nil"/>
                  </w:tcBorders>
                  <w:noWrap w:val="0"/>
                  <w:vAlign w:val="center"/>
                </w:tcPr>
                <w:p w14:paraId="4FCA922C">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碱雾</w:t>
                  </w:r>
                </w:p>
              </w:tc>
              <w:tc>
                <w:tcPr>
                  <w:tcW w:w="704" w:type="pct"/>
                  <w:tcBorders>
                    <w:tl2br w:val="nil"/>
                    <w:tr2bl w:val="nil"/>
                  </w:tcBorders>
                  <w:noWrap w:val="0"/>
                  <w:vAlign w:val="center"/>
                </w:tcPr>
                <w:p w14:paraId="79BDB25D">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实测浓度</w:t>
                  </w:r>
                </w:p>
              </w:tc>
              <w:tc>
                <w:tcPr>
                  <w:tcW w:w="566" w:type="pct"/>
                  <w:tcBorders>
                    <w:tl2br w:val="nil"/>
                    <w:tr2bl w:val="nil"/>
                  </w:tcBorders>
                  <w:noWrap w:val="0"/>
                  <w:vAlign w:val="center"/>
                </w:tcPr>
                <w:p w14:paraId="147408A1">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sz w:val="21"/>
                      <w:szCs w:val="21"/>
                      <w:u w:val="none" w:color="auto"/>
                      <w:lang w:val="en-US" w:eastAsia="zh-CN"/>
                    </w:rPr>
                    <w:t>29.5</w:t>
                  </w:r>
                </w:p>
              </w:tc>
              <w:tc>
                <w:tcPr>
                  <w:tcW w:w="566" w:type="pct"/>
                  <w:tcBorders>
                    <w:tl2br w:val="nil"/>
                    <w:tr2bl w:val="nil"/>
                  </w:tcBorders>
                  <w:noWrap w:val="0"/>
                  <w:vAlign w:val="center"/>
                </w:tcPr>
                <w:p w14:paraId="6E9F06B7">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sz w:val="21"/>
                      <w:szCs w:val="21"/>
                      <w:u w:val="none" w:color="auto"/>
                      <w:lang w:val="en-US" w:eastAsia="zh-CN"/>
                    </w:rPr>
                    <w:t>27.5</w:t>
                  </w:r>
                </w:p>
              </w:tc>
              <w:tc>
                <w:tcPr>
                  <w:tcW w:w="566" w:type="pct"/>
                  <w:tcBorders>
                    <w:tl2br w:val="nil"/>
                    <w:tr2bl w:val="nil"/>
                  </w:tcBorders>
                  <w:noWrap w:val="0"/>
                  <w:vAlign w:val="center"/>
                </w:tcPr>
                <w:p w14:paraId="6612F1FC">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sz w:val="21"/>
                      <w:szCs w:val="21"/>
                      <w:u w:val="none" w:color="auto"/>
                      <w:lang w:val="en-US" w:eastAsia="zh-CN"/>
                    </w:rPr>
                    <w:t>29.3</w:t>
                  </w:r>
                </w:p>
              </w:tc>
              <w:tc>
                <w:tcPr>
                  <w:tcW w:w="475" w:type="pct"/>
                  <w:tcBorders>
                    <w:tl2br w:val="nil"/>
                    <w:tr2bl w:val="nil"/>
                  </w:tcBorders>
                  <w:noWrap w:val="0"/>
                  <w:vAlign w:val="center"/>
                </w:tcPr>
                <w:p w14:paraId="68DB35A6">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483" w:type="pct"/>
                  <w:tcBorders>
                    <w:tl2br w:val="nil"/>
                    <w:tr2bl w:val="nil"/>
                  </w:tcBorders>
                  <w:noWrap w:val="0"/>
                  <w:vAlign w:val="center"/>
                </w:tcPr>
                <w:p w14:paraId="353218AA">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mg/m</w:t>
                  </w:r>
                  <w:r>
                    <w:rPr>
                      <w:rFonts w:hint="default" w:ascii="Times New Roman" w:hAnsi="Times New Roman" w:eastAsia="宋体" w:cs="Times New Roman"/>
                      <w:i w:val="0"/>
                      <w:iCs w:val="0"/>
                      <w:color w:val="auto"/>
                      <w:kern w:val="0"/>
                      <w:sz w:val="21"/>
                      <w:szCs w:val="21"/>
                      <w:u w:val="none" w:color="auto"/>
                      <w:vertAlign w:val="superscript"/>
                      <w:lang w:val="en-US" w:eastAsia="zh-CN" w:bidi="ar"/>
                    </w:rPr>
                    <w:t>3</w:t>
                  </w:r>
                </w:p>
              </w:tc>
            </w:tr>
            <w:tr w14:paraId="5BFA934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682" w:type="pct"/>
                  <w:vMerge w:val="continue"/>
                  <w:tcBorders>
                    <w:tl2br w:val="nil"/>
                    <w:tr2bl w:val="nil"/>
                  </w:tcBorders>
                  <w:noWrap/>
                  <w:vAlign w:val="center"/>
                </w:tcPr>
                <w:p w14:paraId="78B17BC1">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0" w:type="pct"/>
                  <w:vMerge w:val="continue"/>
                  <w:tcBorders>
                    <w:tl2br w:val="nil"/>
                    <w:tr2bl w:val="nil"/>
                  </w:tcBorders>
                  <w:noWrap w:val="0"/>
                  <w:vAlign w:val="center"/>
                </w:tcPr>
                <w:p w14:paraId="20AE79E5">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75" w:type="pct"/>
                  <w:vMerge w:val="continue"/>
                  <w:tcBorders>
                    <w:tl2br w:val="nil"/>
                    <w:tr2bl w:val="nil"/>
                  </w:tcBorders>
                  <w:noWrap w:val="0"/>
                  <w:vAlign w:val="center"/>
                </w:tcPr>
                <w:p w14:paraId="5B73FA91">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704" w:type="pct"/>
                  <w:tcBorders>
                    <w:tl2br w:val="nil"/>
                    <w:tr2bl w:val="nil"/>
                  </w:tcBorders>
                  <w:noWrap w:val="0"/>
                  <w:vAlign w:val="center"/>
                </w:tcPr>
                <w:p w14:paraId="204D2739">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排放速率</w:t>
                  </w:r>
                </w:p>
              </w:tc>
              <w:tc>
                <w:tcPr>
                  <w:tcW w:w="566" w:type="pct"/>
                  <w:tcBorders>
                    <w:tl2br w:val="nil"/>
                    <w:tr2bl w:val="nil"/>
                  </w:tcBorders>
                  <w:noWrap w:val="0"/>
                  <w:vAlign w:val="center"/>
                </w:tcPr>
                <w:p w14:paraId="7EE25134">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sz w:val="21"/>
                      <w:szCs w:val="21"/>
                      <w:u w:val="none" w:color="auto"/>
                      <w:lang w:val="en-US" w:eastAsia="zh-CN"/>
                    </w:rPr>
                    <w:t>0.45</w:t>
                  </w:r>
                </w:p>
              </w:tc>
              <w:tc>
                <w:tcPr>
                  <w:tcW w:w="566" w:type="pct"/>
                  <w:tcBorders>
                    <w:tl2br w:val="nil"/>
                    <w:tr2bl w:val="nil"/>
                  </w:tcBorders>
                  <w:noWrap w:val="0"/>
                  <w:vAlign w:val="center"/>
                </w:tcPr>
                <w:p w14:paraId="3BCA3EFD">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sz w:val="21"/>
                      <w:szCs w:val="21"/>
                      <w:u w:val="none" w:color="auto"/>
                      <w:lang w:val="en-US" w:eastAsia="zh-CN"/>
                    </w:rPr>
                    <w:t>0.45</w:t>
                  </w:r>
                </w:p>
              </w:tc>
              <w:tc>
                <w:tcPr>
                  <w:tcW w:w="566" w:type="pct"/>
                  <w:tcBorders>
                    <w:tl2br w:val="nil"/>
                    <w:tr2bl w:val="nil"/>
                  </w:tcBorders>
                  <w:noWrap w:val="0"/>
                  <w:vAlign w:val="center"/>
                </w:tcPr>
                <w:p w14:paraId="00E73608">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sz w:val="21"/>
                      <w:szCs w:val="21"/>
                      <w:u w:val="none" w:color="auto"/>
                      <w:lang w:val="en-US" w:eastAsia="zh-CN"/>
                    </w:rPr>
                    <w:t>0.46</w:t>
                  </w:r>
                </w:p>
              </w:tc>
              <w:tc>
                <w:tcPr>
                  <w:tcW w:w="475" w:type="pct"/>
                  <w:tcBorders>
                    <w:tl2br w:val="nil"/>
                    <w:tr2bl w:val="nil"/>
                  </w:tcBorders>
                  <w:noWrap w:val="0"/>
                  <w:vAlign w:val="center"/>
                </w:tcPr>
                <w:p w14:paraId="03A534DE">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483" w:type="pct"/>
                  <w:tcBorders>
                    <w:tl2br w:val="nil"/>
                    <w:tr2bl w:val="nil"/>
                  </w:tcBorders>
                  <w:noWrap w:val="0"/>
                  <w:vAlign w:val="center"/>
                </w:tcPr>
                <w:p w14:paraId="19249165">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kg/h</w:t>
                  </w:r>
                </w:p>
              </w:tc>
            </w:tr>
            <w:tr w14:paraId="15A98D4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682" w:type="pct"/>
                  <w:vMerge w:val="continue"/>
                  <w:tcBorders>
                    <w:tl2br w:val="nil"/>
                    <w:tr2bl w:val="nil"/>
                  </w:tcBorders>
                  <w:noWrap/>
                  <w:vAlign w:val="center"/>
                </w:tcPr>
                <w:p w14:paraId="000C4B6F">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0" w:type="pct"/>
                  <w:vMerge w:val="restart"/>
                  <w:tcBorders>
                    <w:tl2br w:val="nil"/>
                    <w:tr2bl w:val="nil"/>
                  </w:tcBorders>
                  <w:noWrap w:val="0"/>
                  <w:vAlign w:val="center"/>
                </w:tcPr>
                <w:p w14:paraId="02109314">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DA003出口</w:t>
                  </w:r>
                </w:p>
              </w:tc>
              <w:tc>
                <w:tcPr>
                  <w:tcW w:w="1179" w:type="pct"/>
                  <w:gridSpan w:val="2"/>
                  <w:tcBorders>
                    <w:tl2br w:val="nil"/>
                    <w:tr2bl w:val="nil"/>
                  </w:tcBorders>
                  <w:noWrap w:val="0"/>
                  <w:vAlign w:val="center"/>
                </w:tcPr>
                <w:p w14:paraId="65D8D4DE">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标干流量</w:t>
                  </w:r>
                </w:p>
              </w:tc>
              <w:tc>
                <w:tcPr>
                  <w:tcW w:w="566" w:type="pct"/>
                  <w:tcBorders>
                    <w:tl2br w:val="nil"/>
                    <w:tr2bl w:val="nil"/>
                  </w:tcBorders>
                  <w:noWrap w:val="0"/>
                  <w:vAlign w:val="center"/>
                </w:tcPr>
                <w:p w14:paraId="05E057A5">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sz w:val="21"/>
                      <w:szCs w:val="21"/>
                      <w:u w:val="none" w:color="auto"/>
                      <w:lang w:val="en-US" w:eastAsia="zh-CN"/>
                    </w:rPr>
                    <w:t>14438</w:t>
                  </w:r>
                </w:p>
              </w:tc>
              <w:tc>
                <w:tcPr>
                  <w:tcW w:w="566" w:type="pct"/>
                  <w:tcBorders>
                    <w:tl2br w:val="nil"/>
                    <w:tr2bl w:val="nil"/>
                  </w:tcBorders>
                  <w:noWrap w:val="0"/>
                  <w:vAlign w:val="center"/>
                </w:tcPr>
                <w:p w14:paraId="779FBC4D">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sz w:val="21"/>
                      <w:szCs w:val="21"/>
                      <w:u w:val="none" w:color="auto"/>
                      <w:lang w:val="en-US" w:eastAsia="zh-CN"/>
                    </w:rPr>
                    <w:t>14419</w:t>
                  </w:r>
                </w:p>
              </w:tc>
              <w:tc>
                <w:tcPr>
                  <w:tcW w:w="566" w:type="pct"/>
                  <w:tcBorders>
                    <w:tl2br w:val="nil"/>
                    <w:tr2bl w:val="nil"/>
                  </w:tcBorders>
                  <w:noWrap w:val="0"/>
                  <w:vAlign w:val="center"/>
                </w:tcPr>
                <w:p w14:paraId="7A554D65">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sz w:val="21"/>
                      <w:szCs w:val="21"/>
                      <w:u w:val="none" w:color="auto"/>
                      <w:lang w:val="en-US" w:eastAsia="zh-CN"/>
                    </w:rPr>
                    <w:t>14609</w:t>
                  </w:r>
                </w:p>
              </w:tc>
              <w:tc>
                <w:tcPr>
                  <w:tcW w:w="475" w:type="pct"/>
                  <w:tcBorders>
                    <w:tl2br w:val="nil"/>
                    <w:tr2bl w:val="nil"/>
                  </w:tcBorders>
                  <w:noWrap w:val="0"/>
                  <w:vAlign w:val="center"/>
                </w:tcPr>
                <w:p w14:paraId="40F18A98">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483" w:type="pct"/>
                  <w:tcBorders>
                    <w:tl2br w:val="nil"/>
                    <w:tr2bl w:val="nil"/>
                  </w:tcBorders>
                  <w:noWrap w:val="0"/>
                  <w:vAlign w:val="center"/>
                </w:tcPr>
                <w:p w14:paraId="6664FECB">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Nm</w:t>
                  </w:r>
                  <w:r>
                    <w:rPr>
                      <w:rFonts w:hint="default" w:ascii="Times New Roman" w:hAnsi="Times New Roman" w:eastAsia="宋体" w:cs="Times New Roman"/>
                      <w:i w:val="0"/>
                      <w:iCs w:val="0"/>
                      <w:color w:val="auto"/>
                      <w:kern w:val="0"/>
                      <w:sz w:val="21"/>
                      <w:szCs w:val="21"/>
                      <w:u w:val="none" w:color="auto"/>
                      <w:vertAlign w:val="superscript"/>
                      <w:lang w:val="en-US" w:eastAsia="zh-CN" w:bidi="ar"/>
                    </w:rPr>
                    <w:t>3</w:t>
                  </w:r>
                  <w:r>
                    <w:rPr>
                      <w:rFonts w:hint="default" w:ascii="Times New Roman" w:hAnsi="Times New Roman" w:eastAsia="宋体" w:cs="Times New Roman"/>
                      <w:i w:val="0"/>
                      <w:iCs w:val="0"/>
                      <w:color w:val="auto"/>
                      <w:kern w:val="0"/>
                      <w:sz w:val="21"/>
                      <w:szCs w:val="21"/>
                      <w:u w:val="none" w:color="auto"/>
                      <w:lang w:val="en-US" w:eastAsia="zh-CN" w:bidi="ar"/>
                    </w:rPr>
                    <w:t>/h</w:t>
                  </w:r>
                </w:p>
              </w:tc>
            </w:tr>
            <w:tr w14:paraId="2935024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682" w:type="pct"/>
                  <w:vMerge w:val="continue"/>
                  <w:tcBorders>
                    <w:tl2br w:val="nil"/>
                    <w:tr2bl w:val="nil"/>
                  </w:tcBorders>
                  <w:noWrap/>
                  <w:vAlign w:val="center"/>
                </w:tcPr>
                <w:p w14:paraId="7290271D">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0" w:type="pct"/>
                  <w:vMerge w:val="continue"/>
                  <w:tcBorders>
                    <w:tl2br w:val="nil"/>
                    <w:tr2bl w:val="nil"/>
                  </w:tcBorders>
                  <w:noWrap w:val="0"/>
                  <w:vAlign w:val="center"/>
                </w:tcPr>
                <w:p w14:paraId="105E30B0">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1179" w:type="pct"/>
                  <w:gridSpan w:val="2"/>
                  <w:tcBorders>
                    <w:tl2br w:val="nil"/>
                    <w:tr2bl w:val="nil"/>
                  </w:tcBorders>
                  <w:noWrap w:val="0"/>
                  <w:vAlign w:val="center"/>
                </w:tcPr>
                <w:p w14:paraId="689E7CB6">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平均烟温</w:t>
                  </w:r>
                </w:p>
              </w:tc>
              <w:tc>
                <w:tcPr>
                  <w:tcW w:w="566" w:type="pct"/>
                  <w:tcBorders>
                    <w:tl2br w:val="nil"/>
                    <w:tr2bl w:val="nil"/>
                  </w:tcBorders>
                  <w:noWrap w:val="0"/>
                  <w:vAlign w:val="center"/>
                </w:tcPr>
                <w:p w14:paraId="0492BA50">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sz w:val="21"/>
                      <w:szCs w:val="21"/>
                      <w:u w:val="none" w:color="auto"/>
                      <w:lang w:val="en-US" w:eastAsia="zh-CN"/>
                    </w:rPr>
                    <w:t>29.5</w:t>
                  </w:r>
                </w:p>
              </w:tc>
              <w:tc>
                <w:tcPr>
                  <w:tcW w:w="566" w:type="pct"/>
                  <w:tcBorders>
                    <w:tl2br w:val="nil"/>
                    <w:tr2bl w:val="nil"/>
                  </w:tcBorders>
                  <w:noWrap w:val="0"/>
                  <w:vAlign w:val="center"/>
                </w:tcPr>
                <w:p w14:paraId="2D45F8D2">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sz w:val="21"/>
                      <w:szCs w:val="21"/>
                      <w:u w:val="none" w:color="auto"/>
                      <w:lang w:val="en-US" w:eastAsia="zh-CN"/>
                    </w:rPr>
                    <w:t>29.3</w:t>
                  </w:r>
                </w:p>
              </w:tc>
              <w:tc>
                <w:tcPr>
                  <w:tcW w:w="566" w:type="pct"/>
                  <w:tcBorders>
                    <w:tl2br w:val="nil"/>
                    <w:tr2bl w:val="nil"/>
                  </w:tcBorders>
                  <w:noWrap w:val="0"/>
                  <w:vAlign w:val="center"/>
                </w:tcPr>
                <w:p w14:paraId="53625EF9">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sz w:val="21"/>
                      <w:szCs w:val="21"/>
                      <w:u w:val="none" w:color="auto"/>
                      <w:lang w:val="en-US" w:eastAsia="zh-CN"/>
                    </w:rPr>
                    <w:t>29</w:t>
                  </w:r>
                </w:p>
              </w:tc>
              <w:tc>
                <w:tcPr>
                  <w:tcW w:w="475" w:type="pct"/>
                  <w:tcBorders>
                    <w:tl2br w:val="nil"/>
                    <w:tr2bl w:val="nil"/>
                  </w:tcBorders>
                  <w:noWrap w:val="0"/>
                  <w:vAlign w:val="center"/>
                </w:tcPr>
                <w:p w14:paraId="2D0FF270">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483" w:type="pct"/>
                  <w:tcBorders>
                    <w:tl2br w:val="nil"/>
                    <w:tr2bl w:val="nil"/>
                  </w:tcBorders>
                  <w:noWrap w:val="0"/>
                  <w:vAlign w:val="center"/>
                </w:tcPr>
                <w:p w14:paraId="37DB16FA">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r>
            <w:tr w14:paraId="6A81805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682" w:type="pct"/>
                  <w:vMerge w:val="continue"/>
                  <w:tcBorders>
                    <w:tl2br w:val="nil"/>
                    <w:tr2bl w:val="nil"/>
                  </w:tcBorders>
                  <w:noWrap/>
                  <w:vAlign w:val="center"/>
                </w:tcPr>
                <w:p w14:paraId="40CDFA58">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0" w:type="pct"/>
                  <w:vMerge w:val="continue"/>
                  <w:tcBorders>
                    <w:tl2br w:val="nil"/>
                    <w:tr2bl w:val="nil"/>
                  </w:tcBorders>
                  <w:noWrap w:val="0"/>
                  <w:vAlign w:val="center"/>
                </w:tcPr>
                <w:p w14:paraId="4A075489">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1179" w:type="pct"/>
                  <w:gridSpan w:val="2"/>
                  <w:tcBorders>
                    <w:tl2br w:val="nil"/>
                    <w:tr2bl w:val="nil"/>
                  </w:tcBorders>
                  <w:noWrap w:val="0"/>
                  <w:vAlign w:val="center"/>
                </w:tcPr>
                <w:p w14:paraId="13216647">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平均流速</w:t>
                  </w:r>
                </w:p>
              </w:tc>
              <w:tc>
                <w:tcPr>
                  <w:tcW w:w="566" w:type="pct"/>
                  <w:tcBorders>
                    <w:tl2br w:val="nil"/>
                    <w:tr2bl w:val="nil"/>
                  </w:tcBorders>
                  <w:noWrap w:val="0"/>
                  <w:vAlign w:val="center"/>
                </w:tcPr>
                <w:p w14:paraId="3CB6BE24">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sz w:val="21"/>
                      <w:szCs w:val="21"/>
                      <w:u w:val="none" w:color="auto"/>
                      <w:lang w:val="en-US" w:eastAsia="zh-CN"/>
                    </w:rPr>
                    <w:t>36.5</w:t>
                  </w:r>
                </w:p>
              </w:tc>
              <w:tc>
                <w:tcPr>
                  <w:tcW w:w="566" w:type="pct"/>
                  <w:tcBorders>
                    <w:tl2br w:val="nil"/>
                    <w:tr2bl w:val="nil"/>
                  </w:tcBorders>
                  <w:noWrap w:val="0"/>
                  <w:vAlign w:val="center"/>
                </w:tcPr>
                <w:p w14:paraId="218DAE69">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sz w:val="21"/>
                      <w:szCs w:val="21"/>
                      <w:u w:val="none" w:color="auto"/>
                      <w:lang w:val="en-US" w:eastAsia="zh-CN"/>
                    </w:rPr>
                    <w:t>36.5</w:t>
                  </w:r>
                </w:p>
              </w:tc>
              <w:tc>
                <w:tcPr>
                  <w:tcW w:w="566" w:type="pct"/>
                  <w:tcBorders>
                    <w:tl2br w:val="nil"/>
                    <w:tr2bl w:val="nil"/>
                  </w:tcBorders>
                  <w:noWrap w:val="0"/>
                  <w:vAlign w:val="center"/>
                </w:tcPr>
                <w:p w14:paraId="7DF7D666">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sz w:val="21"/>
                      <w:szCs w:val="21"/>
                      <w:u w:val="none" w:color="auto"/>
                      <w:lang w:val="en-US" w:eastAsia="zh-CN"/>
                    </w:rPr>
                    <w:t>36.9</w:t>
                  </w:r>
                </w:p>
              </w:tc>
              <w:tc>
                <w:tcPr>
                  <w:tcW w:w="475" w:type="pct"/>
                  <w:tcBorders>
                    <w:tl2br w:val="nil"/>
                    <w:tr2bl w:val="nil"/>
                  </w:tcBorders>
                  <w:noWrap w:val="0"/>
                  <w:vAlign w:val="center"/>
                </w:tcPr>
                <w:p w14:paraId="2ABA04AC">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483" w:type="pct"/>
                  <w:tcBorders>
                    <w:tl2br w:val="nil"/>
                    <w:tr2bl w:val="nil"/>
                  </w:tcBorders>
                  <w:noWrap w:val="0"/>
                  <w:vAlign w:val="center"/>
                </w:tcPr>
                <w:p w14:paraId="1579A1C5">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m/s</w:t>
                  </w:r>
                </w:p>
              </w:tc>
            </w:tr>
            <w:tr w14:paraId="3B85FB8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682" w:type="pct"/>
                  <w:vMerge w:val="continue"/>
                  <w:tcBorders>
                    <w:tl2br w:val="nil"/>
                    <w:tr2bl w:val="nil"/>
                  </w:tcBorders>
                  <w:noWrap/>
                  <w:vAlign w:val="center"/>
                </w:tcPr>
                <w:p w14:paraId="1EAA0A83">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0" w:type="pct"/>
                  <w:vMerge w:val="continue"/>
                  <w:tcBorders>
                    <w:tl2br w:val="nil"/>
                    <w:tr2bl w:val="nil"/>
                  </w:tcBorders>
                  <w:noWrap w:val="0"/>
                  <w:vAlign w:val="center"/>
                </w:tcPr>
                <w:p w14:paraId="4E204B48">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75" w:type="pct"/>
                  <w:vMerge w:val="restart"/>
                  <w:tcBorders>
                    <w:tl2br w:val="nil"/>
                    <w:tr2bl w:val="nil"/>
                  </w:tcBorders>
                  <w:noWrap w:val="0"/>
                  <w:vAlign w:val="center"/>
                </w:tcPr>
                <w:p w14:paraId="710E8CC7">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碱雾</w:t>
                  </w:r>
                </w:p>
              </w:tc>
              <w:tc>
                <w:tcPr>
                  <w:tcW w:w="704" w:type="pct"/>
                  <w:tcBorders>
                    <w:tl2br w:val="nil"/>
                    <w:tr2bl w:val="nil"/>
                  </w:tcBorders>
                  <w:noWrap w:val="0"/>
                  <w:vAlign w:val="center"/>
                </w:tcPr>
                <w:p w14:paraId="0A994BF5">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实测浓度</w:t>
                  </w:r>
                </w:p>
              </w:tc>
              <w:tc>
                <w:tcPr>
                  <w:tcW w:w="566" w:type="pct"/>
                  <w:tcBorders>
                    <w:tl2br w:val="nil"/>
                    <w:tr2bl w:val="nil"/>
                  </w:tcBorders>
                  <w:noWrap w:val="0"/>
                  <w:vAlign w:val="center"/>
                </w:tcPr>
                <w:p w14:paraId="536C1207">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sz w:val="21"/>
                      <w:szCs w:val="21"/>
                      <w:u w:val="none" w:color="auto"/>
                      <w:lang w:val="en-US" w:eastAsia="zh-CN"/>
                    </w:rPr>
                    <w:t>5.7</w:t>
                  </w:r>
                </w:p>
              </w:tc>
              <w:tc>
                <w:tcPr>
                  <w:tcW w:w="566" w:type="pct"/>
                  <w:tcBorders>
                    <w:tl2br w:val="nil"/>
                    <w:tr2bl w:val="nil"/>
                  </w:tcBorders>
                  <w:noWrap w:val="0"/>
                  <w:vAlign w:val="center"/>
                </w:tcPr>
                <w:p w14:paraId="5DAA2BDC">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sz w:val="21"/>
                      <w:szCs w:val="21"/>
                      <w:u w:val="none" w:color="auto"/>
                      <w:lang w:val="en-US" w:eastAsia="zh-CN"/>
                    </w:rPr>
                    <w:t>5.7</w:t>
                  </w:r>
                </w:p>
              </w:tc>
              <w:tc>
                <w:tcPr>
                  <w:tcW w:w="566" w:type="pct"/>
                  <w:tcBorders>
                    <w:tl2br w:val="nil"/>
                    <w:tr2bl w:val="nil"/>
                  </w:tcBorders>
                  <w:noWrap w:val="0"/>
                  <w:vAlign w:val="center"/>
                </w:tcPr>
                <w:p w14:paraId="5B0B0F6B">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sz w:val="21"/>
                      <w:szCs w:val="21"/>
                      <w:u w:val="none" w:color="auto"/>
                      <w:lang w:val="en-US" w:eastAsia="zh-CN"/>
                    </w:rPr>
                    <w:t>5.7</w:t>
                  </w:r>
                </w:p>
              </w:tc>
              <w:tc>
                <w:tcPr>
                  <w:tcW w:w="475" w:type="pct"/>
                  <w:tcBorders>
                    <w:tl2br w:val="nil"/>
                    <w:tr2bl w:val="nil"/>
                  </w:tcBorders>
                  <w:noWrap w:val="0"/>
                  <w:vAlign w:val="center"/>
                </w:tcPr>
                <w:p w14:paraId="3CE43C73">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10</w:t>
                  </w:r>
                </w:p>
              </w:tc>
              <w:tc>
                <w:tcPr>
                  <w:tcW w:w="483" w:type="pct"/>
                  <w:tcBorders>
                    <w:tl2br w:val="nil"/>
                    <w:tr2bl w:val="nil"/>
                  </w:tcBorders>
                  <w:noWrap w:val="0"/>
                  <w:vAlign w:val="center"/>
                </w:tcPr>
                <w:p w14:paraId="40561029">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mg/m</w:t>
                  </w:r>
                  <w:r>
                    <w:rPr>
                      <w:rFonts w:hint="default" w:ascii="Times New Roman" w:hAnsi="Times New Roman" w:eastAsia="宋体" w:cs="Times New Roman"/>
                      <w:i w:val="0"/>
                      <w:iCs w:val="0"/>
                      <w:color w:val="auto"/>
                      <w:kern w:val="0"/>
                      <w:sz w:val="21"/>
                      <w:szCs w:val="21"/>
                      <w:u w:val="none" w:color="auto"/>
                      <w:vertAlign w:val="superscript"/>
                      <w:lang w:val="en-US" w:eastAsia="zh-CN" w:bidi="ar"/>
                    </w:rPr>
                    <w:t>3</w:t>
                  </w:r>
                </w:p>
              </w:tc>
            </w:tr>
            <w:tr w14:paraId="5229531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682" w:type="pct"/>
                  <w:vMerge w:val="continue"/>
                  <w:tcBorders>
                    <w:tl2br w:val="nil"/>
                    <w:tr2bl w:val="nil"/>
                  </w:tcBorders>
                  <w:noWrap/>
                  <w:vAlign w:val="center"/>
                </w:tcPr>
                <w:p w14:paraId="3B4722B4">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0" w:type="pct"/>
                  <w:vMerge w:val="continue"/>
                  <w:tcBorders>
                    <w:tl2br w:val="nil"/>
                    <w:tr2bl w:val="nil"/>
                  </w:tcBorders>
                  <w:noWrap w:val="0"/>
                  <w:vAlign w:val="center"/>
                </w:tcPr>
                <w:p w14:paraId="774FA560">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75" w:type="pct"/>
                  <w:vMerge w:val="continue"/>
                  <w:tcBorders>
                    <w:tl2br w:val="nil"/>
                    <w:tr2bl w:val="nil"/>
                  </w:tcBorders>
                  <w:noWrap w:val="0"/>
                  <w:vAlign w:val="center"/>
                </w:tcPr>
                <w:p w14:paraId="44C0C0EB">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704" w:type="pct"/>
                  <w:tcBorders>
                    <w:tl2br w:val="nil"/>
                    <w:tr2bl w:val="nil"/>
                  </w:tcBorders>
                  <w:noWrap w:val="0"/>
                  <w:vAlign w:val="center"/>
                </w:tcPr>
                <w:p w14:paraId="38440FC2">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排放速率</w:t>
                  </w:r>
                </w:p>
              </w:tc>
              <w:tc>
                <w:tcPr>
                  <w:tcW w:w="566" w:type="pct"/>
                  <w:tcBorders>
                    <w:tl2br w:val="nil"/>
                    <w:tr2bl w:val="nil"/>
                  </w:tcBorders>
                  <w:noWrap w:val="0"/>
                  <w:vAlign w:val="center"/>
                </w:tcPr>
                <w:p w14:paraId="0749AEB6">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sz w:val="21"/>
                      <w:szCs w:val="21"/>
                      <w:u w:val="none" w:color="auto"/>
                      <w:lang w:val="en-US" w:eastAsia="zh-CN"/>
                    </w:rPr>
                    <w:t>0.08</w:t>
                  </w:r>
                </w:p>
              </w:tc>
              <w:tc>
                <w:tcPr>
                  <w:tcW w:w="566" w:type="pct"/>
                  <w:tcBorders>
                    <w:tl2br w:val="nil"/>
                    <w:tr2bl w:val="nil"/>
                  </w:tcBorders>
                  <w:noWrap w:val="0"/>
                  <w:vAlign w:val="center"/>
                </w:tcPr>
                <w:p w14:paraId="1563847D">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sz w:val="21"/>
                      <w:szCs w:val="21"/>
                      <w:u w:val="none" w:color="auto"/>
                      <w:lang w:val="en-US" w:eastAsia="zh-CN"/>
                    </w:rPr>
                    <w:t>0.08</w:t>
                  </w:r>
                </w:p>
              </w:tc>
              <w:tc>
                <w:tcPr>
                  <w:tcW w:w="566" w:type="pct"/>
                  <w:tcBorders>
                    <w:tl2br w:val="nil"/>
                    <w:tr2bl w:val="nil"/>
                  </w:tcBorders>
                  <w:noWrap w:val="0"/>
                  <w:vAlign w:val="center"/>
                </w:tcPr>
                <w:p w14:paraId="36A7E7B0">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sz w:val="21"/>
                      <w:szCs w:val="21"/>
                      <w:u w:val="none" w:color="auto"/>
                      <w:lang w:val="en-US" w:eastAsia="zh-CN"/>
                    </w:rPr>
                    <w:t>0.08</w:t>
                  </w:r>
                </w:p>
              </w:tc>
              <w:tc>
                <w:tcPr>
                  <w:tcW w:w="475" w:type="pct"/>
                  <w:tcBorders>
                    <w:tl2br w:val="nil"/>
                    <w:tr2bl w:val="nil"/>
                  </w:tcBorders>
                  <w:noWrap w:val="0"/>
                  <w:vAlign w:val="center"/>
                </w:tcPr>
                <w:p w14:paraId="5A90F288">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483" w:type="pct"/>
                  <w:tcBorders>
                    <w:tl2br w:val="nil"/>
                    <w:tr2bl w:val="nil"/>
                  </w:tcBorders>
                  <w:noWrap w:val="0"/>
                  <w:vAlign w:val="center"/>
                </w:tcPr>
                <w:p w14:paraId="4206AFAC">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kg/h</w:t>
                  </w:r>
                </w:p>
              </w:tc>
            </w:tr>
          </w:tbl>
          <w:p w14:paraId="5BC0E5DD">
            <w:pPr>
              <w:widowControl w:val="0"/>
              <w:adjustRightInd/>
              <w:snapToGrid/>
              <w:spacing w:after="0"/>
              <w:jc w:val="center"/>
              <w:rPr>
                <w:rFonts w:hint="default" w:ascii="Times New Roman" w:hAnsi="Times New Roman" w:eastAsia="宋体" w:cs="Times New Roman"/>
                <w:b/>
                <w:bCs/>
                <w:color w:val="auto"/>
                <w:sz w:val="21"/>
                <w:szCs w:val="21"/>
                <w:u w:val="none" w:color="auto"/>
                <w:lang w:eastAsia="zh-CN"/>
              </w:rPr>
            </w:pPr>
            <w:r>
              <w:rPr>
                <w:rFonts w:hint="default" w:ascii="Times New Roman" w:hAnsi="Times New Roman" w:eastAsia="宋体" w:cs="Times New Roman"/>
                <w:b/>
                <w:bCs/>
                <w:color w:val="auto"/>
                <w:sz w:val="21"/>
                <w:szCs w:val="21"/>
                <w:u w:val="none" w:color="auto"/>
              </w:rPr>
              <w:t>表</w:t>
            </w:r>
            <w:r>
              <w:rPr>
                <w:rFonts w:hint="default" w:ascii="Times New Roman" w:hAnsi="Times New Roman" w:eastAsia="宋体" w:cs="Times New Roman"/>
                <w:b/>
                <w:bCs/>
                <w:color w:val="auto"/>
                <w:sz w:val="21"/>
                <w:szCs w:val="21"/>
                <w:u w:val="none" w:color="auto"/>
                <w:lang w:val="en-US" w:eastAsia="zh-CN"/>
              </w:rPr>
              <w:t>2</w:t>
            </w:r>
            <w:r>
              <w:rPr>
                <w:rFonts w:hint="default" w:ascii="Times New Roman" w:hAnsi="Times New Roman" w:eastAsia="宋体" w:cs="Times New Roman"/>
                <w:b/>
                <w:bCs/>
                <w:color w:val="auto"/>
                <w:sz w:val="21"/>
                <w:szCs w:val="21"/>
                <w:u w:val="none" w:color="auto"/>
              </w:rPr>
              <w:t>-</w:t>
            </w:r>
            <w:r>
              <w:rPr>
                <w:rFonts w:hint="default" w:ascii="Times New Roman" w:hAnsi="Times New Roman" w:eastAsia="宋体" w:cs="Times New Roman"/>
                <w:b/>
                <w:bCs/>
                <w:color w:val="auto"/>
                <w:sz w:val="21"/>
                <w:szCs w:val="21"/>
                <w:u w:val="none" w:color="auto"/>
                <w:lang w:val="en-US" w:eastAsia="zh-CN"/>
              </w:rPr>
              <w:t>12</w:t>
            </w:r>
            <w:r>
              <w:rPr>
                <w:rFonts w:hint="default" w:ascii="Times New Roman" w:hAnsi="Times New Roman" w:eastAsia="宋体" w:cs="Times New Roman"/>
                <w:b/>
                <w:bCs/>
                <w:color w:val="auto"/>
                <w:sz w:val="21"/>
                <w:szCs w:val="21"/>
                <w:u w:val="none" w:color="auto"/>
              </w:rPr>
              <w:t xml:space="preserve">  有组织</w:t>
            </w:r>
            <w:r>
              <w:rPr>
                <w:rFonts w:hint="default" w:ascii="Times New Roman" w:hAnsi="Times New Roman" w:eastAsia="宋体" w:cs="Times New Roman"/>
                <w:b/>
                <w:bCs/>
                <w:color w:val="auto"/>
                <w:sz w:val="21"/>
                <w:szCs w:val="21"/>
                <w:u w:val="none" w:color="auto"/>
                <w:lang w:val="en-US" w:eastAsia="zh-CN"/>
              </w:rPr>
              <w:t>DA004</w:t>
            </w:r>
            <w:r>
              <w:rPr>
                <w:rFonts w:hint="default" w:ascii="Times New Roman" w:hAnsi="Times New Roman" w:eastAsia="宋体" w:cs="Times New Roman"/>
                <w:b/>
                <w:bCs/>
                <w:color w:val="auto"/>
                <w:sz w:val="21"/>
                <w:szCs w:val="21"/>
                <w:u w:val="none" w:color="auto"/>
              </w:rPr>
              <w:t>废气监测结果</w:t>
            </w:r>
          </w:p>
          <w:tbl>
            <w:tblPr>
              <w:tblStyle w:val="31"/>
              <w:tblW w:w="4997"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
            <w:tblGrid>
              <w:gridCol w:w="1035"/>
              <w:gridCol w:w="828"/>
              <w:gridCol w:w="820"/>
              <w:gridCol w:w="1270"/>
              <w:gridCol w:w="952"/>
              <w:gridCol w:w="952"/>
              <w:gridCol w:w="957"/>
              <w:gridCol w:w="822"/>
              <w:gridCol w:w="830"/>
            </w:tblGrid>
            <w:tr w14:paraId="0910264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611" w:type="pct"/>
                  <w:vMerge w:val="restart"/>
                  <w:tcBorders>
                    <w:tl2br w:val="nil"/>
                    <w:tr2bl w:val="nil"/>
                  </w:tcBorders>
                  <w:noWrap w:val="0"/>
                  <w:vAlign w:val="center"/>
                </w:tcPr>
                <w:p w14:paraId="3A66D362">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b/>
                      <w:bCs/>
                      <w:i w:val="0"/>
                      <w:iCs w:val="0"/>
                      <w:color w:val="auto"/>
                      <w:sz w:val="21"/>
                      <w:szCs w:val="21"/>
                      <w:u w:val="none" w:color="auto"/>
                    </w:rPr>
                  </w:pPr>
                  <w:r>
                    <w:rPr>
                      <w:rFonts w:hint="default" w:ascii="Times New Roman" w:hAnsi="Times New Roman" w:eastAsia="宋体" w:cs="Times New Roman"/>
                      <w:b/>
                      <w:bCs/>
                      <w:i w:val="0"/>
                      <w:iCs w:val="0"/>
                      <w:color w:val="auto"/>
                      <w:kern w:val="0"/>
                      <w:sz w:val="21"/>
                      <w:szCs w:val="21"/>
                      <w:u w:val="none" w:color="auto"/>
                      <w:lang w:val="en-US" w:eastAsia="zh-CN" w:bidi="ar"/>
                    </w:rPr>
                    <w:t>采样时间</w:t>
                  </w:r>
                </w:p>
              </w:tc>
              <w:tc>
                <w:tcPr>
                  <w:tcW w:w="489" w:type="pct"/>
                  <w:vMerge w:val="restart"/>
                  <w:tcBorders>
                    <w:tl2br w:val="nil"/>
                    <w:tr2bl w:val="nil"/>
                  </w:tcBorders>
                  <w:noWrap w:val="0"/>
                  <w:vAlign w:val="center"/>
                </w:tcPr>
                <w:p w14:paraId="2D58C848">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b/>
                      <w:bCs/>
                      <w:i w:val="0"/>
                      <w:iCs w:val="0"/>
                      <w:color w:val="auto"/>
                      <w:sz w:val="21"/>
                      <w:szCs w:val="21"/>
                      <w:u w:val="none" w:color="auto"/>
                    </w:rPr>
                  </w:pPr>
                  <w:r>
                    <w:rPr>
                      <w:rFonts w:hint="default" w:ascii="Times New Roman" w:hAnsi="Times New Roman" w:eastAsia="宋体" w:cs="Times New Roman"/>
                      <w:b/>
                      <w:bCs/>
                      <w:i w:val="0"/>
                      <w:iCs w:val="0"/>
                      <w:color w:val="auto"/>
                      <w:kern w:val="0"/>
                      <w:sz w:val="21"/>
                      <w:szCs w:val="21"/>
                      <w:u w:val="none" w:color="auto"/>
                      <w:lang w:val="en-US" w:eastAsia="zh-CN" w:bidi="ar"/>
                    </w:rPr>
                    <w:t>采样点位</w:t>
                  </w:r>
                </w:p>
              </w:tc>
              <w:tc>
                <w:tcPr>
                  <w:tcW w:w="1233" w:type="pct"/>
                  <w:gridSpan w:val="2"/>
                  <w:vMerge w:val="restart"/>
                  <w:tcBorders>
                    <w:tl2br w:val="nil"/>
                    <w:tr2bl w:val="nil"/>
                  </w:tcBorders>
                  <w:noWrap w:val="0"/>
                  <w:vAlign w:val="center"/>
                </w:tcPr>
                <w:p w14:paraId="32BDD415">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b/>
                      <w:bCs/>
                      <w:i w:val="0"/>
                      <w:iCs w:val="0"/>
                      <w:color w:val="auto"/>
                      <w:sz w:val="21"/>
                      <w:szCs w:val="21"/>
                      <w:u w:val="none" w:color="auto"/>
                    </w:rPr>
                  </w:pPr>
                  <w:r>
                    <w:rPr>
                      <w:rFonts w:hint="default" w:ascii="Times New Roman" w:hAnsi="Times New Roman" w:eastAsia="宋体" w:cs="Times New Roman"/>
                      <w:b/>
                      <w:bCs/>
                      <w:i w:val="0"/>
                      <w:iCs w:val="0"/>
                      <w:color w:val="auto"/>
                      <w:kern w:val="0"/>
                      <w:sz w:val="21"/>
                      <w:szCs w:val="21"/>
                      <w:u w:val="none" w:color="auto"/>
                      <w:lang w:val="en-US" w:eastAsia="zh-CN" w:bidi="ar"/>
                    </w:rPr>
                    <w:t>检测项目</w:t>
                  </w:r>
                </w:p>
              </w:tc>
              <w:tc>
                <w:tcPr>
                  <w:tcW w:w="1689" w:type="pct"/>
                  <w:gridSpan w:val="3"/>
                  <w:tcBorders>
                    <w:tl2br w:val="nil"/>
                    <w:tr2bl w:val="nil"/>
                  </w:tcBorders>
                  <w:noWrap w:val="0"/>
                  <w:vAlign w:val="center"/>
                </w:tcPr>
                <w:p w14:paraId="429014EB">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b/>
                      <w:bCs/>
                      <w:i w:val="0"/>
                      <w:iCs w:val="0"/>
                      <w:color w:val="auto"/>
                      <w:sz w:val="21"/>
                      <w:szCs w:val="21"/>
                      <w:u w:val="none" w:color="auto"/>
                    </w:rPr>
                  </w:pPr>
                  <w:r>
                    <w:rPr>
                      <w:rFonts w:hint="default" w:ascii="Times New Roman" w:hAnsi="Times New Roman" w:eastAsia="宋体" w:cs="Times New Roman"/>
                      <w:b/>
                      <w:bCs/>
                      <w:i w:val="0"/>
                      <w:iCs w:val="0"/>
                      <w:color w:val="auto"/>
                      <w:kern w:val="0"/>
                      <w:sz w:val="21"/>
                      <w:szCs w:val="21"/>
                      <w:u w:val="none" w:color="auto"/>
                      <w:lang w:val="en-US" w:eastAsia="zh-CN" w:bidi="ar"/>
                    </w:rPr>
                    <w:t>检测结果</w:t>
                  </w:r>
                </w:p>
              </w:tc>
              <w:tc>
                <w:tcPr>
                  <w:tcW w:w="485" w:type="pct"/>
                  <w:vMerge w:val="restart"/>
                  <w:tcBorders>
                    <w:tl2br w:val="nil"/>
                    <w:tr2bl w:val="nil"/>
                  </w:tcBorders>
                  <w:noWrap w:val="0"/>
                  <w:vAlign w:val="center"/>
                </w:tcPr>
                <w:p w14:paraId="76D9B9B4">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b/>
                      <w:bCs/>
                      <w:i w:val="0"/>
                      <w:iCs w:val="0"/>
                      <w:color w:val="auto"/>
                      <w:kern w:val="0"/>
                      <w:sz w:val="21"/>
                      <w:szCs w:val="21"/>
                      <w:u w:val="none" w:color="auto"/>
                      <w:lang w:val="en-US" w:eastAsia="zh-CN" w:bidi="ar"/>
                    </w:rPr>
                  </w:pPr>
                  <w:r>
                    <w:rPr>
                      <w:rFonts w:hint="default" w:ascii="Times New Roman" w:hAnsi="Times New Roman" w:eastAsia="宋体" w:cs="Times New Roman"/>
                      <w:b/>
                      <w:bCs/>
                      <w:i w:val="0"/>
                      <w:iCs w:val="0"/>
                      <w:color w:val="auto"/>
                      <w:kern w:val="0"/>
                      <w:sz w:val="21"/>
                      <w:szCs w:val="21"/>
                      <w:u w:val="none" w:color="auto"/>
                      <w:lang w:val="en-US" w:eastAsia="zh-CN" w:bidi="ar"/>
                    </w:rPr>
                    <w:t>参考</w:t>
                  </w:r>
                </w:p>
                <w:p w14:paraId="63C07068">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b/>
                      <w:bCs/>
                      <w:i w:val="0"/>
                      <w:iCs w:val="0"/>
                      <w:color w:val="auto"/>
                      <w:sz w:val="21"/>
                      <w:szCs w:val="21"/>
                      <w:u w:val="none" w:color="auto"/>
                    </w:rPr>
                  </w:pPr>
                  <w:r>
                    <w:rPr>
                      <w:rFonts w:hint="default" w:ascii="Times New Roman" w:hAnsi="Times New Roman" w:eastAsia="宋体" w:cs="Times New Roman"/>
                      <w:b/>
                      <w:bCs/>
                      <w:i w:val="0"/>
                      <w:iCs w:val="0"/>
                      <w:color w:val="auto"/>
                      <w:kern w:val="0"/>
                      <w:sz w:val="21"/>
                      <w:szCs w:val="21"/>
                      <w:u w:val="none" w:color="auto"/>
                      <w:lang w:val="en-US" w:eastAsia="zh-CN" w:bidi="ar"/>
                    </w:rPr>
                    <w:t>限值</w:t>
                  </w:r>
                </w:p>
              </w:tc>
              <w:tc>
                <w:tcPr>
                  <w:tcW w:w="490" w:type="pct"/>
                  <w:vMerge w:val="restart"/>
                  <w:tcBorders>
                    <w:tl2br w:val="nil"/>
                    <w:tr2bl w:val="nil"/>
                  </w:tcBorders>
                  <w:noWrap w:val="0"/>
                  <w:vAlign w:val="center"/>
                </w:tcPr>
                <w:p w14:paraId="1FE45CEB">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b/>
                      <w:bCs/>
                      <w:i w:val="0"/>
                      <w:iCs w:val="0"/>
                      <w:color w:val="auto"/>
                      <w:sz w:val="21"/>
                      <w:szCs w:val="21"/>
                      <w:u w:val="none" w:color="auto"/>
                    </w:rPr>
                  </w:pPr>
                  <w:r>
                    <w:rPr>
                      <w:rFonts w:hint="default" w:ascii="Times New Roman" w:hAnsi="Times New Roman" w:eastAsia="宋体" w:cs="Times New Roman"/>
                      <w:b/>
                      <w:bCs/>
                      <w:i w:val="0"/>
                      <w:iCs w:val="0"/>
                      <w:color w:val="auto"/>
                      <w:kern w:val="0"/>
                      <w:sz w:val="21"/>
                      <w:szCs w:val="21"/>
                      <w:u w:val="none" w:color="auto"/>
                      <w:lang w:val="en-US" w:eastAsia="zh-CN" w:bidi="ar"/>
                    </w:rPr>
                    <w:t>单位</w:t>
                  </w:r>
                </w:p>
              </w:tc>
            </w:tr>
            <w:tr w14:paraId="7B95FF0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611" w:type="pct"/>
                  <w:vMerge w:val="continue"/>
                  <w:tcBorders>
                    <w:tl2br w:val="nil"/>
                    <w:tr2bl w:val="nil"/>
                  </w:tcBorders>
                  <w:noWrap w:val="0"/>
                  <w:vAlign w:val="center"/>
                </w:tcPr>
                <w:p w14:paraId="2074C117">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b/>
                      <w:bCs/>
                      <w:i w:val="0"/>
                      <w:iCs w:val="0"/>
                      <w:color w:val="auto"/>
                      <w:sz w:val="21"/>
                      <w:szCs w:val="21"/>
                      <w:u w:val="none" w:color="auto"/>
                    </w:rPr>
                  </w:pPr>
                </w:p>
              </w:tc>
              <w:tc>
                <w:tcPr>
                  <w:tcW w:w="489" w:type="pct"/>
                  <w:vMerge w:val="continue"/>
                  <w:tcBorders>
                    <w:tl2br w:val="nil"/>
                    <w:tr2bl w:val="nil"/>
                  </w:tcBorders>
                  <w:noWrap w:val="0"/>
                  <w:vAlign w:val="center"/>
                </w:tcPr>
                <w:p w14:paraId="7E0DE2B2">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b/>
                      <w:bCs/>
                      <w:i w:val="0"/>
                      <w:iCs w:val="0"/>
                      <w:color w:val="auto"/>
                      <w:sz w:val="21"/>
                      <w:szCs w:val="21"/>
                      <w:u w:val="none" w:color="auto"/>
                    </w:rPr>
                  </w:pPr>
                </w:p>
              </w:tc>
              <w:tc>
                <w:tcPr>
                  <w:tcW w:w="1233" w:type="pct"/>
                  <w:gridSpan w:val="2"/>
                  <w:vMerge w:val="continue"/>
                  <w:tcBorders>
                    <w:tl2br w:val="nil"/>
                    <w:tr2bl w:val="nil"/>
                  </w:tcBorders>
                  <w:noWrap w:val="0"/>
                  <w:vAlign w:val="center"/>
                </w:tcPr>
                <w:p w14:paraId="0EF1942E">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b/>
                      <w:bCs/>
                      <w:i w:val="0"/>
                      <w:iCs w:val="0"/>
                      <w:color w:val="auto"/>
                      <w:sz w:val="21"/>
                      <w:szCs w:val="21"/>
                      <w:u w:val="none" w:color="auto"/>
                    </w:rPr>
                  </w:pPr>
                </w:p>
              </w:tc>
              <w:tc>
                <w:tcPr>
                  <w:tcW w:w="562" w:type="pct"/>
                  <w:tcBorders>
                    <w:tl2br w:val="nil"/>
                    <w:tr2bl w:val="nil"/>
                  </w:tcBorders>
                  <w:noWrap w:val="0"/>
                  <w:vAlign w:val="center"/>
                </w:tcPr>
                <w:p w14:paraId="00F12E2A">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b/>
                      <w:bCs/>
                      <w:i w:val="0"/>
                      <w:iCs w:val="0"/>
                      <w:color w:val="auto"/>
                      <w:sz w:val="21"/>
                      <w:szCs w:val="21"/>
                      <w:u w:val="none" w:color="auto"/>
                    </w:rPr>
                  </w:pPr>
                  <w:r>
                    <w:rPr>
                      <w:rFonts w:hint="default" w:ascii="Times New Roman" w:hAnsi="Times New Roman" w:eastAsia="宋体" w:cs="Times New Roman"/>
                      <w:b/>
                      <w:bCs/>
                      <w:i w:val="0"/>
                      <w:iCs w:val="0"/>
                      <w:color w:val="auto"/>
                      <w:kern w:val="0"/>
                      <w:sz w:val="21"/>
                      <w:szCs w:val="21"/>
                      <w:u w:val="none" w:color="auto"/>
                      <w:lang w:val="en-US" w:eastAsia="zh-CN" w:bidi="ar"/>
                    </w:rPr>
                    <w:t>第一次</w:t>
                  </w:r>
                </w:p>
              </w:tc>
              <w:tc>
                <w:tcPr>
                  <w:tcW w:w="562" w:type="pct"/>
                  <w:tcBorders>
                    <w:tl2br w:val="nil"/>
                    <w:tr2bl w:val="nil"/>
                  </w:tcBorders>
                  <w:noWrap w:val="0"/>
                  <w:vAlign w:val="center"/>
                </w:tcPr>
                <w:p w14:paraId="065AA046">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b/>
                      <w:bCs/>
                      <w:i w:val="0"/>
                      <w:iCs w:val="0"/>
                      <w:color w:val="auto"/>
                      <w:sz w:val="21"/>
                      <w:szCs w:val="21"/>
                      <w:u w:val="none" w:color="auto"/>
                    </w:rPr>
                  </w:pPr>
                  <w:r>
                    <w:rPr>
                      <w:rFonts w:hint="default" w:ascii="Times New Roman" w:hAnsi="Times New Roman" w:eastAsia="宋体" w:cs="Times New Roman"/>
                      <w:b/>
                      <w:bCs/>
                      <w:i w:val="0"/>
                      <w:iCs w:val="0"/>
                      <w:color w:val="auto"/>
                      <w:kern w:val="0"/>
                      <w:sz w:val="21"/>
                      <w:szCs w:val="21"/>
                      <w:u w:val="none" w:color="auto"/>
                      <w:lang w:val="en-US" w:eastAsia="zh-CN" w:bidi="ar"/>
                    </w:rPr>
                    <w:t>第二次</w:t>
                  </w:r>
                </w:p>
              </w:tc>
              <w:tc>
                <w:tcPr>
                  <w:tcW w:w="563" w:type="pct"/>
                  <w:tcBorders>
                    <w:tl2br w:val="nil"/>
                    <w:tr2bl w:val="nil"/>
                  </w:tcBorders>
                  <w:noWrap w:val="0"/>
                  <w:vAlign w:val="center"/>
                </w:tcPr>
                <w:p w14:paraId="75D73D7B">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b/>
                      <w:bCs/>
                      <w:i w:val="0"/>
                      <w:iCs w:val="0"/>
                      <w:color w:val="auto"/>
                      <w:sz w:val="21"/>
                      <w:szCs w:val="21"/>
                      <w:u w:val="none" w:color="auto"/>
                    </w:rPr>
                  </w:pPr>
                  <w:r>
                    <w:rPr>
                      <w:rFonts w:hint="default" w:ascii="Times New Roman" w:hAnsi="Times New Roman" w:eastAsia="宋体" w:cs="Times New Roman"/>
                      <w:b/>
                      <w:bCs/>
                      <w:i w:val="0"/>
                      <w:iCs w:val="0"/>
                      <w:color w:val="auto"/>
                      <w:kern w:val="0"/>
                      <w:sz w:val="21"/>
                      <w:szCs w:val="21"/>
                      <w:u w:val="none" w:color="auto"/>
                      <w:lang w:val="en-US" w:eastAsia="zh-CN" w:bidi="ar"/>
                    </w:rPr>
                    <w:t>第三次</w:t>
                  </w:r>
                </w:p>
              </w:tc>
              <w:tc>
                <w:tcPr>
                  <w:tcW w:w="485" w:type="pct"/>
                  <w:vMerge w:val="continue"/>
                  <w:tcBorders>
                    <w:tl2br w:val="nil"/>
                    <w:tr2bl w:val="nil"/>
                  </w:tcBorders>
                  <w:noWrap w:val="0"/>
                  <w:vAlign w:val="center"/>
                </w:tcPr>
                <w:p w14:paraId="036EA0B8">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b/>
                      <w:bCs/>
                      <w:i w:val="0"/>
                      <w:iCs w:val="0"/>
                      <w:color w:val="auto"/>
                      <w:sz w:val="21"/>
                      <w:szCs w:val="21"/>
                      <w:u w:val="none" w:color="auto"/>
                    </w:rPr>
                  </w:pPr>
                </w:p>
              </w:tc>
              <w:tc>
                <w:tcPr>
                  <w:tcW w:w="490" w:type="pct"/>
                  <w:vMerge w:val="continue"/>
                  <w:tcBorders>
                    <w:tl2br w:val="nil"/>
                    <w:tr2bl w:val="nil"/>
                  </w:tcBorders>
                  <w:noWrap w:val="0"/>
                  <w:vAlign w:val="center"/>
                </w:tcPr>
                <w:p w14:paraId="16C20642">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b/>
                      <w:bCs/>
                      <w:i w:val="0"/>
                      <w:iCs w:val="0"/>
                      <w:color w:val="auto"/>
                      <w:sz w:val="21"/>
                      <w:szCs w:val="21"/>
                      <w:u w:val="none" w:color="auto"/>
                    </w:rPr>
                  </w:pPr>
                </w:p>
              </w:tc>
            </w:tr>
            <w:tr w14:paraId="385F5E1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611" w:type="pct"/>
                  <w:vMerge w:val="restart"/>
                  <w:tcBorders>
                    <w:tl2br w:val="nil"/>
                    <w:tr2bl w:val="nil"/>
                  </w:tcBorders>
                  <w:noWrap/>
                  <w:vAlign w:val="center"/>
                </w:tcPr>
                <w:p w14:paraId="4BDA54CA">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5月30日</w:t>
                  </w:r>
                </w:p>
              </w:tc>
              <w:tc>
                <w:tcPr>
                  <w:tcW w:w="489" w:type="pct"/>
                  <w:vMerge w:val="restart"/>
                  <w:tcBorders>
                    <w:tl2br w:val="nil"/>
                    <w:tr2bl w:val="nil"/>
                  </w:tcBorders>
                  <w:noWrap w:val="0"/>
                  <w:vAlign w:val="center"/>
                </w:tcPr>
                <w:p w14:paraId="65FE59D9">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DA004进口</w:t>
                  </w:r>
                </w:p>
              </w:tc>
              <w:tc>
                <w:tcPr>
                  <w:tcW w:w="1233" w:type="pct"/>
                  <w:gridSpan w:val="2"/>
                  <w:tcBorders>
                    <w:tl2br w:val="nil"/>
                    <w:tr2bl w:val="nil"/>
                  </w:tcBorders>
                  <w:noWrap w:val="0"/>
                  <w:vAlign w:val="center"/>
                </w:tcPr>
                <w:p w14:paraId="3DE6DEED">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标干流量</w:t>
                  </w:r>
                </w:p>
              </w:tc>
              <w:tc>
                <w:tcPr>
                  <w:tcW w:w="562" w:type="pct"/>
                  <w:tcBorders>
                    <w:tl2br w:val="nil"/>
                    <w:tr2bl w:val="nil"/>
                  </w:tcBorders>
                  <w:noWrap w:val="0"/>
                  <w:vAlign w:val="center"/>
                </w:tcPr>
                <w:p w14:paraId="5C1A24AB">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5120</w:t>
                  </w:r>
                </w:p>
              </w:tc>
              <w:tc>
                <w:tcPr>
                  <w:tcW w:w="562" w:type="pct"/>
                  <w:tcBorders>
                    <w:tl2br w:val="nil"/>
                    <w:tr2bl w:val="nil"/>
                  </w:tcBorders>
                  <w:noWrap w:val="0"/>
                  <w:vAlign w:val="center"/>
                </w:tcPr>
                <w:p w14:paraId="1EC5ED1B">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5592</w:t>
                  </w:r>
                </w:p>
              </w:tc>
              <w:tc>
                <w:tcPr>
                  <w:tcW w:w="563" w:type="pct"/>
                  <w:tcBorders>
                    <w:tl2br w:val="nil"/>
                    <w:tr2bl w:val="nil"/>
                  </w:tcBorders>
                  <w:noWrap w:val="0"/>
                  <w:vAlign w:val="center"/>
                </w:tcPr>
                <w:p w14:paraId="706C9493">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5479</w:t>
                  </w:r>
                </w:p>
              </w:tc>
              <w:tc>
                <w:tcPr>
                  <w:tcW w:w="485" w:type="pct"/>
                  <w:tcBorders>
                    <w:tl2br w:val="nil"/>
                    <w:tr2bl w:val="nil"/>
                  </w:tcBorders>
                  <w:noWrap w:val="0"/>
                  <w:vAlign w:val="center"/>
                </w:tcPr>
                <w:p w14:paraId="00CFA441">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490" w:type="pct"/>
                  <w:tcBorders>
                    <w:tl2br w:val="nil"/>
                    <w:tr2bl w:val="nil"/>
                  </w:tcBorders>
                  <w:noWrap w:val="0"/>
                  <w:vAlign w:val="center"/>
                </w:tcPr>
                <w:p w14:paraId="351F17F2">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Nm</w:t>
                  </w:r>
                  <w:r>
                    <w:rPr>
                      <w:rFonts w:hint="default" w:ascii="Times New Roman" w:hAnsi="Times New Roman" w:eastAsia="宋体" w:cs="Times New Roman"/>
                      <w:i w:val="0"/>
                      <w:iCs w:val="0"/>
                      <w:color w:val="auto"/>
                      <w:kern w:val="0"/>
                      <w:sz w:val="21"/>
                      <w:szCs w:val="21"/>
                      <w:u w:val="none" w:color="auto"/>
                      <w:vertAlign w:val="superscript"/>
                      <w:lang w:val="en-US" w:eastAsia="zh-CN" w:bidi="ar"/>
                    </w:rPr>
                    <w:t>3</w:t>
                  </w:r>
                  <w:r>
                    <w:rPr>
                      <w:rFonts w:hint="default" w:ascii="Times New Roman" w:hAnsi="Times New Roman" w:eastAsia="宋体" w:cs="Times New Roman"/>
                      <w:i w:val="0"/>
                      <w:iCs w:val="0"/>
                      <w:color w:val="auto"/>
                      <w:kern w:val="0"/>
                      <w:sz w:val="21"/>
                      <w:szCs w:val="21"/>
                      <w:u w:val="none" w:color="auto"/>
                      <w:lang w:val="en-US" w:eastAsia="zh-CN" w:bidi="ar"/>
                    </w:rPr>
                    <w:t>/h</w:t>
                  </w:r>
                </w:p>
              </w:tc>
            </w:tr>
            <w:tr w14:paraId="4E36391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611" w:type="pct"/>
                  <w:vMerge w:val="continue"/>
                  <w:tcBorders>
                    <w:tl2br w:val="nil"/>
                    <w:tr2bl w:val="nil"/>
                  </w:tcBorders>
                  <w:noWrap/>
                  <w:vAlign w:val="center"/>
                </w:tcPr>
                <w:p w14:paraId="357C2D79">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9" w:type="pct"/>
                  <w:vMerge w:val="continue"/>
                  <w:tcBorders>
                    <w:tl2br w:val="nil"/>
                    <w:tr2bl w:val="nil"/>
                  </w:tcBorders>
                  <w:noWrap w:val="0"/>
                  <w:vAlign w:val="center"/>
                </w:tcPr>
                <w:p w14:paraId="2E1079D9">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1233" w:type="pct"/>
                  <w:gridSpan w:val="2"/>
                  <w:tcBorders>
                    <w:tl2br w:val="nil"/>
                    <w:tr2bl w:val="nil"/>
                  </w:tcBorders>
                  <w:noWrap w:val="0"/>
                  <w:vAlign w:val="center"/>
                </w:tcPr>
                <w:p w14:paraId="4D03E92D">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平均烟温</w:t>
                  </w:r>
                </w:p>
              </w:tc>
              <w:tc>
                <w:tcPr>
                  <w:tcW w:w="562" w:type="pct"/>
                  <w:tcBorders>
                    <w:tl2br w:val="nil"/>
                    <w:tr2bl w:val="nil"/>
                  </w:tcBorders>
                  <w:noWrap w:val="0"/>
                  <w:vAlign w:val="center"/>
                </w:tcPr>
                <w:p w14:paraId="226DE96A">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29.2</w:t>
                  </w:r>
                </w:p>
              </w:tc>
              <w:tc>
                <w:tcPr>
                  <w:tcW w:w="562" w:type="pct"/>
                  <w:tcBorders>
                    <w:tl2br w:val="nil"/>
                    <w:tr2bl w:val="nil"/>
                  </w:tcBorders>
                  <w:noWrap w:val="0"/>
                  <w:vAlign w:val="center"/>
                </w:tcPr>
                <w:p w14:paraId="3CEA41BC">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29.3</w:t>
                  </w:r>
                </w:p>
              </w:tc>
              <w:tc>
                <w:tcPr>
                  <w:tcW w:w="563" w:type="pct"/>
                  <w:tcBorders>
                    <w:tl2br w:val="nil"/>
                    <w:tr2bl w:val="nil"/>
                  </w:tcBorders>
                  <w:noWrap w:val="0"/>
                  <w:vAlign w:val="center"/>
                </w:tcPr>
                <w:p w14:paraId="1DEE45B9">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29.5</w:t>
                  </w:r>
                </w:p>
              </w:tc>
              <w:tc>
                <w:tcPr>
                  <w:tcW w:w="485" w:type="pct"/>
                  <w:tcBorders>
                    <w:tl2br w:val="nil"/>
                    <w:tr2bl w:val="nil"/>
                  </w:tcBorders>
                  <w:noWrap w:val="0"/>
                  <w:vAlign w:val="center"/>
                </w:tcPr>
                <w:p w14:paraId="1A465360">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490" w:type="pct"/>
                  <w:tcBorders>
                    <w:tl2br w:val="nil"/>
                    <w:tr2bl w:val="nil"/>
                  </w:tcBorders>
                  <w:noWrap w:val="0"/>
                  <w:vAlign w:val="center"/>
                </w:tcPr>
                <w:p w14:paraId="6A35F55C">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r>
            <w:tr w14:paraId="5902C58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611" w:type="pct"/>
                  <w:vMerge w:val="continue"/>
                  <w:tcBorders>
                    <w:tl2br w:val="nil"/>
                    <w:tr2bl w:val="nil"/>
                  </w:tcBorders>
                  <w:noWrap/>
                  <w:vAlign w:val="center"/>
                </w:tcPr>
                <w:p w14:paraId="09F4C254">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9" w:type="pct"/>
                  <w:vMerge w:val="continue"/>
                  <w:tcBorders>
                    <w:tl2br w:val="nil"/>
                    <w:tr2bl w:val="nil"/>
                  </w:tcBorders>
                  <w:noWrap w:val="0"/>
                  <w:vAlign w:val="center"/>
                </w:tcPr>
                <w:p w14:paraId="3EA23B9C">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1233" w:type="pct"/>
                  <w:gridSpan w:val="2"/>
                  <w:tcBorders>
                    <w:tl2br w:val="nil"/>
                    <w:tr2bl w:val="nil"/>
                  </w:tcBorders>
                  <w:noWrap w:val="0"/>
                  <w:vAlign w:val="center"/>
                </w:tcPr>
                <w:p w14:paraId="4D6BC4B2">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平均流速</w:t>
                  </w:r>
                </w:p>
              </w:tc>
              <w:tc>
                <w:tcPr>
                  <w:tcW w:w="562" w:type="pct"/>
                  <w:tcBorders>
                    <w:tl2br w:val="nil"/>
                    <w:tr2bl w:val="nil"/>
                  </w:tcBorders>
                  <w:noWrap w:val="0"/>
                  <w:vAlign w:val="center"/>
                </w:tcPr>
                <w:p w14:paraId="0F38477D">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13</w:t>
                  </w:r>
                </w:p>
              </w:tc>
              <w:tc>
                <w:tcPr>
                  <w:tcW w:w="562" w:type="pct"/>
                  <w:tcBorders>
                    <w:tl2br w:val="nil"/>
                    <w:tr2bl w:val="nil"/>
                  </w:tcBorders>
                  <w:noWrap w:val="0"/>
                  <w:vAlign w:val="center"/>
                </w:tcPr>
                <w:p w14:paraId="14B6174F">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14.2</w:t>
                  </w:r>
                </w:p>
              </w:tc>
              <w:tc>
                <w:tcPr>
                  <w:tcW w:w="563" w:type="pct"/>
                  <w:tcBorders>
                    <w:tl2br w:val="nil"/>
                    <w:tr2bl w:val="nil"/>
                  </w:tcBorders>
                  <w:noWrap w:val="0"/>
                  <w:vAlign w:val="center"/>
                </w:tcPr>
                <w:p w14:paraId="5916D72A">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13.9</w:t>
                  </w:r>
                </w:p>
              </w:tc>
              <w:tc>
                <w:tcPr>
                  <w:tcW w:w="485" w:type="pct"/>
                  <w:tcBorders>
                    <w:tl2br w:val="nil"/>
                    <w:tr2bl w:val="nil"/>
                  </w:tcBorders>
                  <w:noWrap w:val="0"/>
                  <w:vAlign w:val="center"/>
                </w:tcPr>
                <w:p w14:paraId="006E4A95">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490" w:type="pct"/>
                  <w:tcBorders>
                    <w:tl2br w:val="nil"/>
                    <w:tr2bl w:val="nil"/>
                  </w:tcBorders>
                  <w:noWrap w:val="0"/>
                  <w:vAlign w:val="center"/>
                </w:tcPr>
                <w:p w14:paraId="69C2930E">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m/s</w:t>
                  </w:r>
                </w:p>
              </w:tc>
            </w:tr>
            <w:tr w14:paraId="2047EAF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611" w:type="pct"/>
                  <w:vMerge w:val="continue"/>
                  <w:tcBorders>
                    <w:tl2br w:val="nil"/>
                    <w:tr2bl w:val="nil"/>
                  </w:tcBorders>
                  <w:noWrap/>
                  <w:vAlign w:val="center"/>
                </w:tcPr>
                <w:p w14:paraId="0D1477FA">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9" w:type="pct"/>
                  <w:vMerge w:val="continue"/>
                  <w:tcBorders>
                    <w:tl2br w:val="nil"/>
                    <w:tr2bl w:val="nil"/>
                  </w:tcBorders>
                  <w:noWrap w:val="0"/>
                  <w:vAlign w:val="center"/>
                </w:tcPr>
                <w:p w14:paraId="0E613F54">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4" w:type="pct"/>
                  <w:vMerge w:val="restart"/>
                  <w:tcBorders>
                    <w:tl2br w:val="nil"/>
                    <w:tr2bl w:val="nil"/>
                  </w:tcBorders>
                  <w:noWrap w:val="0"/>
                  <w:vAlign w:val="center"/>
                </w:tcPr>
                <w:p w14:paraId="4559923E">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碱雾</w:t>
                  </w:r>
                </w:p>
              </w:tc>
              <w:tc>
                <w:tcPr>
                  <w:tcW w:w="749" w:type="pct"/>
                  <w:tcBorders>
                    <w:tl2br w:val="nil"/>
                    <w:tr2bl w:val="nil"/>
                  </w:tcBorders>
                  <w:noWrap w:val="0"/>
                  <w:vAlign w:val="center"/>
                </w:tcPr>
                <w:p w14:paraId="5FBD115F">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实测浓度</w:t>
                  </w:r>
                </w:p>
              </w:tc>
              <w:tc>
                <w:tcPr>
                  <w:tcW w:w="562" w:type="pct"/>
                  <w:tcBorders>
                    <w:tl2br w:val="nil"/>
                    <w:tr2bl w:val="nil"/>
                  </w:tcBorders>
                  <w:noWrap w:val="0"/>
                  <w:vAlign w:val="center"/>
                </w:tcPr>
                <w:p w14:paraId="7E14F263">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17.8</w:t>
                  </w:r>
                </w:p>
              </w:tc>
              <w:tc>
                <w:tcPr>
                  <w:tcW w:w="562" w:type="pct"/>
                  <w:tcBorders>
                    <w:tl2br w:val="nil"/>
                    <w:tr2bl w:val="nil"/>
                  </w:tcBorders>
                  <w:noWrap w:val="0"/>
                  <w:vAlign w:val="center"/>
                </w:tcPr>
                <w:p w14:paraId="5A8AD7B3">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21.5</w:t>
                  </w:r>
                </w:p>
              </w:tc>
              <w:tc>
                <w:tcPr>
                  <w:tcW w:w="563" w:type="pct"/>
                  <w:tcBorders>
                    <w:tl2br w:val="nil"/>
                    <w:tr2bl w:val="nil"/>
                  </w:tcBorders>
                  <w:noWrap w:val="0"/>
                  <w:vAlign w:val="center"/>
                </w:tcPr>
                <w:p w14:paraId="4B7A92CE">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22.2</w:t>
                  </w:r>
                </w:p>
              </w:tc>
              <w:tc>
                <w:tcPr>
                  <w:tcW w:w="485" w:type="pct"/>
                  <w:tcBorders>
                    <w:tl2br w:val="nil"/>
                    <w:tr2bl w:val="nil"/>
                  </w:tcBorders>
                  <w:noWrap w:val="0"/>
                  <w:vAlign w:val="center"/>
                </w:tcPr>
                <w:p w14:paraId="5601149A">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490" w:type="pct"/>
                  <w:tcBorders>
                    <w:tl2br w:val="nil"/>
                    <w:tr2bl w:val="nil"/>
                  </w:tcBorders>
                  <w:noWrap w:val="0"/>
                  <w:vAlign w:val="center"/>
                </w:tcPr>
                <w:p w14:paraId="69B7BA80">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mg/m</w:t>
                  </w:r>
                  <w:r>
                    <w:rPr>
                      <w:rFonts w:hint="default" w:ascii="Times New Roman" w:hAnsi="Times New Roman" w:eastAsia="宋体" w:cs="Times New Roman"/>
                      <w:i w:val="0"/>
                      <w:iCs w:val="0"/>
                      <w:color w:val="auto"/>
                      <w:kern w:val="0"/>
                      <w:sz w:val="21"/>
                      <w:szCs w:val="21"/>
                      <w:u w:val="none" w:color="auto"/>
                      <w:vertAlign w:val="superscript"/>
                      <w:lang w:val="en-US" w:eastAsia="zh-CN" w:bidi="ar"/>
                    </w:rPr>
                    <w:t>3</w:t>
                  </w:r>
                </w:p>
              </w:tc>
            </w:tr>
            <w:tr w14:paraId="0EABC60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611" w:type="pct"/>
                  <w:vMerge w:val="continue"/>
                  <w:tcBorders>
                    <w:tl2br w:val="nil"/>
                    <w:tr2bl w:val="nil"/>
                  </w:tcBorders>
                  <w:noWrap/>
                  <w:vAlign w:val="center"/>
                </w:tcPr>
                <w:p w14:paraId="31C2A803">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9" w:type="pct"/>
                  <w:vMerge w:val="continue"/>
                  <w:tcBorders>
                    <w:tl2br w:val="nil"/>
                    <w:tr2bl w:val="nil"/>
                  </w:tcBorders>
                  <w:noWrap w:val="0"/>
                  <w:vAlign w:val="center"/>
                </w:tcPr>
                <w:p w14:paraId="1C07708F">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4" w:type="pct"/>
                  <w:vMerge w:val="continue"/>
                  <w:tcBorders>
                    <w:tl2br w:val="nil"/>
                    <w:tr2bl w:val="nil"/>
                  </w:tcBorders>
                  <w:noWrap w:val="0"/>
                  <w:vAlign w:val="center"/>
                </w:tcPr>
                <w:p w14:paraId="2AFCA9CD">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749" w:type="pct"/>
                  <w:tcBorders>
                    <w:tl2br w:val="nil"/>
                    <w:tr2bl w:val="nil"/>
                  </w:tcBorders>
                  <w:noWrap w:val="0"/>
                  <w:vAlign w:val="center"/>
                </w:tcPr>
                <w:p w14:paraId="74913CE1">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排放速率</w:t>
                  </w:r>
                </w:p>
              </w:tc>
              <w:tc>
                <w:tcPr>
                  <w:tcW w:w="562" w:type="pct"/>
                  <w:tcBorders>
                    <w:tl2br w:val="nil"/>
                    <w:tr2bl w:val="nil"/>
                  </w:tcBorders>
                  <w:noWrap w:val="0"/>
                  <w:vAlign w:val="center"/>
                </w:tcPr>
                <w:p w14:paraId="135C41D2">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0.09</w:t>
                  </w:r>
                </w:p>
              </w:tc>
              <w:tc>
                <w:tcPr>
                  <w:tcW w:w="562" w:type="pct"/>
                  <w:tcBorders>
                    <w:tl2br w:val="nil"/>
                    <w:tr2bl w:val="nil"/>
                  </w:tcBorders>
                  <w:noWrap w:val="0"/>
                  <w:vAlign w:val="center"/>
                </w:tcPr>
                <w:p w14:paraId="0242520F">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0.12</w:t>
                  </w:r>
                </w:p>
              </w:tc>
              <w:tc>
                <w:tcPr>
                  <w:tcW w:w="563" w:type="pct"/>
                  <w:tcBorders>
                    <w:tl2br w:val="nil"/>
                    <w:tr2bl w:val="nil"/>
                  </w:tcBorders>
                  <w:noWrap w:val="0"/>
                  <w:vAlign w:val="center"/>
                </w:tcPr>
                <w:p w14:paraId="6501C461">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0.12</w:t>
                  </w:r>
                </w:p>
              </w:tc>
              <w:tc>
                <w:tcPr>
                  <w:tcW w:w="485" w:type="pct"/>
                  <w:tcBorders>
                    <w:tl2br w:val="nil"/>
                    <w:tr2bl w:val="nil"/>
                  </w:tcBorders>
                  <w:noWrap w:val="0"/>
                  <w:vAlign w:val="center"/>
                </w:tcPr>
                <w:p w14:paraId="2BF1341B">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490" w:type="pct"/>
                  <w:tcBorders>
                    <w:tl2br w:val="nil"/>
                    <w:tr2bl w:val="nil"/>
                  </w:tcBorders>
                  <w:noWrap w:val="0"/>
                  <w:vAlign w:val="center"/>
                </w:tcPr>
                <w:p w14:paraId="59AAC40C">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kg/h</w:t>
                  </w:r>
                </w:p>
              </w:tc>
            </w:tr>
            <w:tr w14:paraId="35B0BB2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611" w:type="pct"/>
                  <w:vMerge w:val="continue"/>
                  <w:tcBorders>
                    <w:tl2br w:val="nil"/>
                    <w:tr2bl w:val="nil"/>
                  </w:tcBorders>
                  <w:noWrap/>
                  <w:vAlign w:val="center"/>
                </w:tcPr>
                <w:p w14:paraId="77AE823E">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9" w:type="pct"/>
                  <w:vMerge w:val="restart"/>
                  <w:tcBorders>
                    <w:tl2br w:val="nil"/>
                    <w:tr2bl w:val="nil"/>
                  </w:tcBorders>
                  <w:noWrap w:val="0"/>
                  <w:vAlign w:val="center"/>
                </w:tcPr>
                <w:p w14:paraId="6B8F6560">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DA004出口</w:t>
                  </w:r>
                </w:p>
              </w:tc>
              <w:tc>
                <w:tcPr>
                  <w:tcW w:w="1233" w:type="pct"/>
                  <w:gridSpan w:val="2"/>
                  <w:tcBorders>
                    <w:tl2br w:val="nil"/>
                    <w:tr2bl w:val="nil"/>
                  </w:tcBorders>
                  <w:noWrap w:val="0"/>
                  <w:vAlign w:val="center"/>
                </w:tcPr>
                <w:p w14:paraId="21A8A769">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标干流量</w:t>
                  </w:r>
                </w:p>
              </w:tc>
              <w:tc>
                <w:tcPr>
                  <w:tcW w:w="562" w:type="pct"/>
                  <w:tcBorders>
                    <w:tl2br w:val="nil"/>
                    <w:tr2bl w:val="nil"/>
                  </w:tcBorders>
                  <w:noWrap w:val="0"/>
                  <w:vAlign w:val="center"/>
                </w:tcPr>
                <w:p w14:paraId="1364B1A6">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5034</w:t>
                  </w:r>
                </w:p>
              </w:tc>
              <w:tc>
                <w:tcPr>
                  <w:tcW w:w="562" w:type="pct"/>
                  <w:tcBorders>
                    <w:tl2br w:val="nil"/>
                    <w:tr2bl w:val="nil"/>
                  </w:tcBorders>
                  <w:noWrap w:val="0"/>
                  <w:vAlign w:val="center"/>
                </w:tcPr>
                <w:p w14:paraId="1BBCC9BB">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4957</w:t>
                  </w:r>
                </w:p>
              </w:tc>
              <w:tc>
                <w:tcPr>
                  <w:tcW w:w="563" w:type="pct"/>
                  <w:tcBorders>
                    <w:tl2br w:val="nil"/>
                    <w:tr2bl w:val="nil"/>
                  </w:tcBorders>
                  <w:noWrap w:val="0"/>
                  <w:vAlign w:val="center"/>
                </w:tcPr>
                <w:p w14:paraId="1D99B3CC">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5077</w:t>
                  </w:r>
                </w:p>
              </w:tc>
              <w:tc>
                <w:tcPr>
                  <w:tcW w:w="485" w:type="pct"/>
                  <w:tcBorders>
                    <w:tl2br w:val="nil"/>
                    <w:tr2bl w:val="nil"/>
                  </w:tcBorders>
                  <w:noWrap w:val="0"/>
                  <w:vAlign w:val="center"/>
                </w:tcPr>
                <w:p w14:paraId="1F6E2524">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490" w:type="pct"/>
                  <w:tcBorders>
                    <w:tl2br w:val="nil"/>
                    <w:tr2bl w:val="nil"/>
                  </w:tcBorders>
                  <w:noWrap w:val="0"/>
                  <w:vAlign w:val="center"/>
                </w:tcPr>
                <w:p w14:paraId="442A4C00">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Nm</w:t>
                  </w:r>
                  <w:r>
                    <w:rPr>
                      <w:rFonts w:hint="default" w:ascii="Times New Roman" w:hAnsi="Times New Roman" w:eastAsia="宋体" w:cs="Times New Roman"/>
                      <w:i w:val="0"/>
                      <w:iCs w:val="0"/>
                      <w:color w:val="auto"/>
                      <w:kern w:val="0"/>
                      <w:sz w:val="21"/>
                      <w:szCs w:val="21"/>
                      <w:u w:val="none" w:color="auto"/>
                      <w:vertAlign w:val="superscript"/>
                      <w:lang w:val="en-US" w:eastAsia="zh-CN" w:bidi="ar"/>
                    </w:rPr>
                    <w:t>3</w:t>
                  </w:r>
                  <w:r>
                    <w:rPr>
                      <w:rFonts w:hint="default" w:ascii="Times New Roman" w:hAnsi="Times New Roman" w:eastAsia="宋体" w:cs="Times New Roman"/>
                      <w:i w:val="0"/>
                      <w:iCs w:val="0"/>
                      <w:color w:val="auto"/>
                      <w:kern w:val="0"/>
                      <w:sz w:val="21"/>
                      <w:szCs w:val="21"/>
                      <w:u w:val="none" w:color="auto"/>
                      <w:lang w:val="en-US" w:eastAsia="zh-CN" w:bidi="ar"/>
                    </w:rPr>
                    <w:t>/h</w:t>
                  </w:r>
                </w:p>
              </w:tc>
            </w:tr>
            <w:tr w14:paraId="019062A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611" w:type="pct"/>
                  <w:vMerge w:val="continue"/>
                  <w:tcBorders>
                    <w:tl2br w:val="nil"/>
                    <w:tr2bl w:val="nil"/>
                  </w:tcBorders>
                  <w:noWrap/>
                  <w:vAlign w:val="center"/>
                </w:tcPr>
                <w:p w14:paraId="4887942A">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9" w:type="pct"/>
                  <w:vMerge w:val="continue"/>
                  <w:tcBorders>
                    <w:tl2br w:val="nil"/>
                    <w:tr2bl w:val="nil"/>
                  </w:tcBorders>
                  <w:noWrap w:val="0"/>
                  <w:vAlign w:val="center"/>
                </w:tcPr>
                <w:p w14:paraId="73985038">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1233" w:type="pct"/>
                  <w:gridSpan w:val="2"/>
                  <w:tcBorders>
                    <w:tl2br w:val="nil"/>
                    <w:tr2bl w:val="nil"/>
                  </w:tcBorders>
                  <w:noWrap w:val="0"/>
                  <w:vAlign w:val="center"/>
                </w:tcPr>
                <w:p w14:paraId="1F9866B1">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平均烟温</w:t>
                  </w:r>
                </w:p>
              </w:tc>
              <w:tc>
                <w:tcPr>
                  <w:tcW w:w="562" w:type="pct"/>
                  <w:tcBorders>
                    <w:tl2br w:val="nil"/>
                    <w:tr2bl w:val="nil"/>
                  </w:tcBorders>
                  <w:noWrap w:val="0"/>
                  <w:vAlign w:val="center"/>
                </w:tcPr>
                <w:p w14:paraId="6775E3EC">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27.6</w:t>
                  </w:r>
                </w:p>
              </w:tc>
              <w:tc>
                <w:tcPr>
                  <w:tcW w:w="562" w:type="pct"/>
                  <w:tcBorders>
                    <w:tl2br w:val="nil"/>
                    <w:tr2bl w:val="nil"/>
                  </w:tcBorders>
                  <w:noWrap w:val="0"/>
                  <w:vAlign w:val="center"/>
                </w:tcPr>
                <w:p w14:paraId="7806160E">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27.8</w:t>
                  </w:r>
                </w:p>
              </w:tc>
              <w:tc>
                <w:tcPr>
                  <w:tcW w:w="563" w:type="pct"/>
                  <w:tcBorders>
                    <w:tl2br w:val="nil"/>
                    <w:tr2bl w:val="nil"/>
                  </w:tcBorders>
                  <w:noWrap w:val="0"/>
                  <w:vAlign w:val="center"/>
                </w:tcPr>
                <w:p w14:paraId="77AE3FFC">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28</w:t>
                  </w:r>
                </w:p>
              </w:tc>
              <w:tc>
                <w:tcPr>
                  <w:tcW w:w="485" w:type="pct"/>
                  <w:tcBorders>
                    <w:tl2br w:val="nil"/>
                    <w:tr2bl w:val="nil"/>
                  </w:tcBorders>
                  <w:noWrap w:val="0"/>
                  <w:vAlign w:val="center"/>
                </w:tcPr>
                <w:p w14:paraId="3B793A0B">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490" w:type="pct"/>
                  <w:tcBorders>
                    <w:tl2br w:val="nil"/>
                    <w:tr2bl w:val="nil"/>
                  </w:tcBorders>
                  <w:noWrap w:val="0"/>
                  <w:vAlign w:val="center"/>
                </w:tcPr>
                <w:p w14:paraId="343D7EBF">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r>
            <w:tr w14:paraId="1B17454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611" w:type="pct"/>
                  <w:vMerge w:val="continue"/>
                  <w:tcBorders>
                    <w:tl2br w:val="nil"/>
                    <w:tr2bl w:val="nil"/>
                  </w:tcBorders>
                  <w:noWrap/>
                  <w:vAlign w:val="center"/>
                </w:tcPr>
                <w:p w14:paraId="5730D97B">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9" w:type="pct"/>
                  <w:vMerge w:val="continue"/>
                  <w:tcBorders>
                    <w:tl2br w:val="nil"/>
                    <w:tr2bl w:val="nil"/>
                  </w:tcBorders>
                  <w:noWrap w:val="0"/>
                  <w:vAlign w:val="center"/>
                </w:tcPr>
                <w:p w14:paraId="1A0486A3">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1233" w:type="pct"/>
                  <w:gridSpan w:val="2"/>
                  <w:tcBorders>
                    <w:tl2br w:val="nil"/>
                    <w:tr2bl w:val="nil"/>
                  </w:tcBorders>
                  <w:noWrap w:val="0"/>
                  <w:vAlign w:val="center"/>
                </w:tcPr>
                <w:p w14:paraId="7AAEBF86">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平均流速</w:t>
                  </w:r>
                </w:p>
              </w:tc>
              <w:tc>
                <w:tcPr>
                  <w:tcW w:w="562" w:type="pct"/>
                  <w:tcBorders>
                    <w:tl2br w:val="nil"/>
                    <w:tr2bl w:val="nil"/>
                  </w:tcBorders>
                  <w:noWrap w:val="0"/>
                  <w:vAlign w:val="center"/>
                </w:tcPr>
                <w:p w14:paraId="16FEE5C9">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13.9</w:t>
                  </w:r>
                </w:p>
              </w:tc>
              <w:tc>
                <w:tcPr>
                  <w:tcW w:w="562" w:type="pct"/>
                  <w:tcBorders>
                    <w:tl2br w:val="nil"/>
                    <w:tr2bl w:val="nil"/>
                  </w:tcBorders>
                  <w:noWrap w:val="0"/>
                  <w:vAlign w:val="center"/>
                </w:tcPr>
                <w:p w14:paraId="182C5ABE">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13.7</w:t>
                  </w:r>
                </w:p>
              </w:tc>
              <w:tc>
                <w:tcPr>
                  <w:tcW w:w="563" w:type="pct"/>
                  <w:tcBorders>
                    <w:tl2br w:val="nil"/>
                    <w:tr2bl w:val="nil"/>
                  </w:tcBorders>
                  <w:noWrap w:val="0"/>
                  <w:vAlign w:val="center"/>
                </w:tcPr>
                <w:p w14:paraId="1C159C78">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14</w:t>
                  </w:r>
                </w:p>
              </w:tc>
              <w:tc>
                <w:tcPr>
                  <w:tcW w:w="485" w:type="pct"/>
                  <w:tcBorders>
                    <w:tl2br w:val="nil"/>
                    <w:tr2bl w:val="nil"/>
                  </w:tcBorders>
                  <w:noWrap w:val="0"/>
                  <w:vAlign w:val="center"/>
                </w:tcPr>
                <w:p w14:paraId="1A73C69D">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490" w:type="pct"/>
                  <w:tcBorders>
                    <w:tl2br w:val="nil"/>
                    <w:tr2bl w:val="nil"/>
                  </w:tcBorders>
                  <w:noWrap w:val="0"/>
                  <w:vAlign w:val="center"/>
                </w:tcPr>
                <w:p w14:paraId="37D58579">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m/s</w:t>
                  </w:r>
                </w:p>
              </w:tc>
            </w:tr>
            <w:tr w14:paraId="2649338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611" w:type="pct"/>
                  <w:vMerge w:val="continue"/>
                  <w:tcBorders>
                    <w:tl2br w:val="nil"/>
                    <w:tr2bl w:val="nil"/>
                  </w:tcBorders>
                  <w:noWrap/>
                  <w:vAlign w:val="center"/>
                </w:tcPr>
                <w:p w14:paraId="7BAE43F9">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9" w:type="pct"/>
                  <w:vMerge w:val="continue"/>
                  <w:tcBorders>
                    <w:tl2br w:val="nil"/>
                    <w:tr2bl w:val="nil"/>
                  </w:tcBorders>
                  <w:noWrap w:val="0"/>
                  <w:vAlign w:val="center"/>
                </w:tcPr>
                <w:p w14:paraId="5F7E2EB8">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4" w:type="pct"/>
                  <w:vMerge w:val="restart"/>
                  <w:tcBorders>
                    <w:tl2br w:val="nil"/>
                    <w:tr2bl w:val="nil"/>
                  </w:tcBorders>
                  <w:noWrap w:val="0"/>
                  <w:vAlign w:val="center"/>
                </w:tcPr>
                <w:p w14:paraId="7420111D">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碱雾</w:t>
                  </w:r>
                </w:p>
              </w:tc>
              <w:tc>
                <w:tcPr>
                  <w:tcW w:w="749" w:type="pct"/>
                  <w:tcBorders>
                    <w:tl2br w:val="nil"/>
                    <w:tr2bl w:val="nil"/>
                  </w:tcBorders>
                  <w:noWrap w:val="0"/>
                  <w:vAlign w:val="center"/>
                </w:tcPr>
                <w:p w14:paraId="5743B28C">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实测浓度</w:t>
                  </w:r>
                </w:p>
              </w:tc>
              <w:tc>
                <w:tcPr>
                  <w:tcW w:w="562" w:type="pct"/>
                  <w:tcBorders>
                    <w:tl2br w:val="nil"/>
                    <w:tr2bl w:val="nil"/>
                  </w:tcBorders>
                  <w:noWrap w:val="0"/>
                  <w:vAlign w:val="center"/>
                </w:tcPr>
                <w:p w14:paraId="0D738FBB">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lang w:val="en-US" w:eastAsia="zh-CN"/>
                    </w:rPr>
                  </w:pPr>
                  <w:r>
                    <w:rPr>
                      <w:rFonts w:hint="default" w:ascii="Times New Roman" w:hAnsi="Times New Roman" w:eastAsia="宋体" w:cs="Times New Roman"/>
                      <w:i w:val="0"/>
                      <w:iCs w:val="0"/>
                      <w:color w:val="auto"/>
                      <w:sz w:val="21"/>
                      <w:szCs w:val="21"/>
                      <w:u w:val="none" w:color="auto"/>
                      <w:lang w:val="en-US" w:eastAsia="zh-CN"/>
                    </w:rPr>
                    <w:t>4.9</w:t>
                  </w:r>
                </w:p>
              </w:tc>
              <w:tc>
                <w:tcPr>
                  <w:tcW w:w="562" w:type="pct"/>
                  <w:tcBorders>
                    <w:tl2br w:val="nil"/>
                    <w:tr2bl w:val="nil"/>
                  </w:tcBorders>
                  <w:noWrap w:val="0"/>
                  <w:vAlign w:val="center"/>
                </w:tcPr>
                <w:p w14:paraId="19411076">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lang w:val="en-US" w:eastAsia="zh-CN"/>
                    </w:rPr>
                  </w:pPr>
                  <w:r>
                    <w:rPr>
                      <w:rFonts w:hint="default" w:ascii="Times New Roman" w:hAnsi="Times New Roman" w:eastAsia="宋体" w:cs="Times New Roman"/>
                      <w:i w:val="0"/>
                      <w:iCs w:val="0"/>
                      <w:color w:val="auto"/>
                      <w:sz w:val="21"/>
                      <w:szCs w:val="21"/>
                      <w:u w:val="none" w:color="auto"/>
                      <w:lang w:val="en-US" w:eastAsia="zh-CN"/>
                    </w:rPr>
                    <w:t>5.0</w:t>
                  </w:r>
                </w:p>
              </w:tc>
              <w:tc>
                <w:tcPr>
                  <w:tcW w:w="563" w:type="pct"/>
                  <w:tcBorders>
                    <w:tl2br w:val="nil"/>
                    <w:tr2bl w:val="nil"/>
                  </w:tcBorders>
                  <w:noWrap w:val="0"/>
                  <w:vAlign w:val="center"/>
                </w:tcPr>
                <w:p w14:paraId="0E8AD047">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lang w:val="en-US" w:eastAsia="zh-CN"/>
                    </w:rPr>
                  </w:pPr>
                  <w:r>
                    <w:rPr>
                      <w:rFonts w:hint="default" w:ascii="Times New Roman" w:hAnsi="Times New Roman" w:eastAsia="宋体" w:cs="Times New Roman"/>
                      <w:i w:val="0"/>
                      <w:iCs w:val="0"/>
                      <w:color w:val="auto"/>
                      <w:sz w:val="21"/>
                      <w:szCs w:val="21"/>
                      <w:u w:val="none" w:color="auto"/>
                      <w:lang w:val="en-US" w:eastAsia="zh-CN"/>
                    </w:rPr>
                    <w:t>4.9</w:t>
                  </w:r>
                </w:p>
              </w:tc>
              <w:tc>
                <w:tcPr>
                  <w:tcW w:w="485" w:type="pct"/>
                  <w:tcBorders>
                    <w:tl2br w:val="nil"/>
                    <w:tr2bl w:val="nil"/>
                  </w:tcBorders>
                  <w:noWrap w:val="0"/>
                  <w:vAlign w:val="center"/>
                </w:tcPr>
                <w:p w14:paraId="65095F9D">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10</w:t>
                  </w:r>
                </w:p>
              </w:tc>
              <w:tc>
                <w:tcPr>
                  <w:tcW w:w="490" w:type="pct"/>
                  <w:tcBorders>
                    <w:tl2br w:val="nil"/>
                    <w:tr2bl w:val="nil"/>
                  </w:tcBorders>
                  <w:noWrap w:val="0"/>
                  <w:vAlign w:val="center"/>
                </w:tcPr>
                <w:p w14:paraId="10D7AE8A">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mg/m</w:t>
                  </w:r>
                  <w:r>
                    <w:rPr>
                      <w:rFonts w:hint="default" w:ascii="Times New Roman" w:hAnsi="Times New Roman" w:eastAsia="宋体" w:cs="Times New Roman"/>
                      <w:i w:val="0"/>
                      <w:iCs w:val="0"/>
                      <w:color w:val="auto"/>
                      <w:kern w:val="0"/>
                      <w:sz w:val="21"/>
                      <w:szCs w:val="21"/>
                      <w:u w:val="none" w:color="auto"/>
                      <w:vertAlign w:val="superscript"/>
                      <w:lang w:val="en-US" w:eastAsia="zh-CN" w:bidi="ar"/>
                    </w:rPr>
                    <w:t>3</w:t>
                  </w:r>
                </w:p>
              </w:tc>
            </w:tr>
            <w:tr w14:paraId="5DD187A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611" w:type="pct"/>
                  <w:vMerge w:val="continue"/>
                  <w:tcBorders>
                    <w:tl2br w:val="nil"/>
                    <w:tr2bl w:val="nil"/>
                  </w:tcBorders>
                  <w:noWrap/>
                  <w:vAlign w:val="center"/>
                </w:tcPr>
                <w:p w14:paraId="56DA7924">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9" w:type="pct"/>
                  <w:vMerge w:val="continue"/>
                  <w:tcBorders>
                    <w:tl2br w:val="nil"/>
                    <w:tr2bl w:val="nil"/>
                  </w:tcBorders>
                  <w:noWrap w:val="0"/>
                  <w:vAlign w:val="center"/>
                </w:tcPr>
                <w:p w14:paraId="3A3CB92A">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4" w:type="pct"/>
                  <w:vMerge w:val="continue"/>
                  <w:tcBorders>
                    <w:tl2br w:val="nil"/>
                    <w:tr2bl w:val="nil"/>
                  </w:tcBorders>
                  <w:noWrap w:val="0"/>
                  <w:vAlign w:val="center"/>
                </w:tcPr>
                <w:p w14:paraId="2F7BFC5F">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749" w:type="pct"/>
                  <w:tcBorders>
                    <w:tl2br w:val="nil"/>
                    <w:tr2bl w:val="nil"/>
                  </w:tcBorders>
                  <w:noWrap w:val="0"/>
                  <w:vAlign w:val="center"/>
                </w:tcPr>
                <w:p w14:paraId="2D44A999">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排放速率</w:t>
                  </w:r>
                </w:p>
              </w:tc>
              <w:tc>
                <w:tcPr>
                  <w:tcW w:w="562" w:type="pct"/>
                  <w:tcBorders>
                    <w:tl2br w:val="nil"/>
                    <w:tr2bl w:val="nil"/>
                  </w:tcBorders>
                  <w:noWrap w:val="0"/>
                  <w:vAlign w:val="center"/>
                </w:tcPr>
                <w:p w14:paraId="0F83A4F0">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lang w:val="en-US" w:eastAsia="zh-CN"/>
                    </w:rPr>
                  </w:pPr>
                  <w:r>
                    <w:rPr>
                      <w:rFonts w:hint="default" w:ascii="Times New Roman" w:hAnsi="Times New Roman" w:eastAsia="宋体" w:cs="Times New Roman"/>
                      <w:i w:val="0"/>
                      <w:iCs w:val="0"/>
                      <w:color w:val="auto"/>
                      <w:sz w:val="21"/>
                      <w:szCs w:val="21"/>
                      <w:u w:val="none" w:color="auto"/>
                      <w:lang w:val="en-US" w:eastAsia="zh-CN"/>
                    </w:rPr>
                    <w:t>0.02</w:t>
                  </w:r>
                </w:p>
              </w:tc>
              <w:tc>
                <w:tcPr>
                  <w:tcW w:w="562" w:type="pct"/>
                  <w:tcBorders>
                    <w:tl2br w:val="nil"/>
                    <w:tr2bl w:val="nil"/>
                  </w:tcBorders>
                  <w:noWrap w:val="0"/>
                  <w:vAlign w:val="center"/>
                </w:tcPr>
                <w:p w14:paraId="47F022A0">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lang w:val="en-US" w:eastAsia="zh-CN"/>
                    </w:rPr>
                  </w:pPr>
                  <w:r>
                    <w:rPr>
                      <w:rFonts w:hint="default" w:ascii="Times New Roman" w:hAnsi="Times New Roman" w:eastAsia="宋体" w:cs="Times New Roman"/>
                      <w:i w:val="0"/>
                      <w:iCs w:val="0"/>
                      <w:color w:val="auto"/>
                      <w:sz w:val="21"/>
                      <w:szCs w:val="21"/>
                      <w:u w:val="none" w:color="auto"/>
                      <w:lang w:val="en-US" w:eastAsia="zh-CN"/>
                    </w:rPr>
                    <w:t>0.02</w:t>
                  </w:r>
                </w:p>
              </w:tc>
              <w:tc>
                <w:tcPr>
                  <w:tcW w:w="563" w:type="pct"/>
                  <w:tcBorders>
                    <w:tl2br w:val="nil"/>
                    <w:tr2bl w:val="nil"/>
                  </w:tcBorders>
                  <w:noWrap w:val="0"/>
                  <w:vAlign w:val="center"/>
                </w:tcPr>
                <w:p w14:paraId="448EFA72">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lang w:val="en-US" w:eastAsia="zh-CN"/>
                    </w:rPr>
                  </w:pPr>
                  <w:r>
                    <w:rPr>
                      <w:rFonts w:hint="default" w:ascii="Times New Roman" w:hAnsi="Times New Roman" w:eastAsia="宋体" w:cs="Times New Roman"/>
                      <w:i w:val="0"/>
                      <w:iCs w:val="0"/>
                      <w:color w:val="auto"/>
                      <w:sz w:val="21"/>
                      <w:szCs w:val="21"/>
                      <w:u w:val="none" w:color="auto"/>
                      <w:lang w:val="en-US" w:eastAsia="zh-CN"/>
                    </w:rPr>
                    <w:t>0.02</w:t>
                  </w:r>
                </w:p>
              </w:tc>
              <w:tc>
                <w:tcPr>
                  <w:tcW w:w="485" w:type="pct"/>
                  <w:tcBorders>
                    <w:tl2br w:val="nil"/>
                    <w:tr2bl w:val="nil"/>
                  </w:tcBorders>
                  <w:noWrap w:val="0"/>
                  <w:vAlign w:val="center"/>
                </w:tcPr>
                <w:p w14:paraId="1B3E87DF">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490" w:type="pct"/>
                  <w:tcBorders>
                    <w:tl2br w:val="nil"/>
                    <w:tr2bl w:val="nil"/>
                  </w:tcBorders>
                  <w:noWrap w:val="0"/>
                  <w:vAlign w:val="center"/>
                </w:tcPr>
                <w:p w14:paraId="4FFE6425">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kg/h</w:t>
                  </w:r>
                </w:p>
              </w:tc>
            </w:tr>
            <w:tr w14:paraId="7A69931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611" w:type="pct"/>
                  <w:vMerge w:val="restart"/>
                  <w:tcBorders>
                    <w:tl2br w:val="nil"/>
                    <w:tr2bl w:val="nil"/>
                  </w:tcBorders>
                  <w:noWrap/>
                  <w:vAlign w:val="center"/>
                </w:tcPr>
                <w:p w14:paraId="0352CF2F">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5月31日</w:t>
                  </w:r>
                </w:p>
              </w:tc>
              <w:tc>
                <w:tcPr>
                  <w:tcW w:w="489" w:type="pct"/>
                  <w:vMerge w:val="restart"/>
                  <w:tcBorders>
                    <w:tl2br w:val="nil"/>
                    <w:tr2bl w:val="nil"/>
                  </w:tcBorders>
                  <w:noWrap w:val="0"/>
                  <w:vAlign w:val="center"/>
                </w:tcPr>
                <w:p w14:paraId="4497B86D">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DA004进口</w:t>
                  </w:r>
                </w:p>
              </w:tc>
              <w:tc>
                <w:tcPr>
                  <w:tcW w:w="1233" w:type="pct"/>
                  <w:gridSpan w:val="2"/>
                  <w:tcBorders>
                    <w:tl2br w:val="nil"/>
                    <w:tr2bl w:val="nil"/>
                  </w:tcBorders>
                  <w:noWrap w:val="0"/>
                  <w:vAlign w:val="center"/>
                </w:tcPr>
                <w:p w14:paraId="4A5AC9BF">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标干流量</w:t>
                  </w:r>
                </w:p>
              </w:tc>
              <w:tc>
                <w:tcPr>
                  <w:tcW w:w="562" w:type="pct"/>
                  <w:tcBorders>
                    <w:tl2br w:val="nil"/>
                    <w:tr2bl w:val="nil"/>
                  </w:tcBorders>
                  <w:noWrap w:val="0"/>
                  <w:vAlign w:val="center"/>
                </w:tcPr>
                <w:p w14:paraId="272FA61A">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5088</w:t>
                  </w:r>
                </w:p>
              </w:tc>
              <w:tc>
                <w:tcPr>
                  <w:tcW w:w="562" w:type="pct"/>
                  <w:tcBorders>
                    <w:tl2br w:val="nil"/>
                    <w:tr2bl w:val="nil"/>
                  </w:tcBorders>
                  <w:noWrap w:val="0"/>
                  <w:vAlign w:val="center"/>
                </w:tcPr>
                <w:p w14:paraId="7B9AE5D3">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5724</w:t>
                  </w:r>
                </w:p>
              </w:tc>
              <w:tc>
                <w:tcPr>
                  <w:tcW w:w="563" w:type="pct"/>
                  <w:tcBorders>
                    <w:tl2br w:val="nil"/>
                    <w:tr2bl w:val="nil"/>
                  </w:tcBorders>
                  <w:noWrap w:val="0"/>
                  <w:vAlign w:val="center"/>
                </w:tcPr>
                <w:p w14:paraId="19ABE1B3">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5396</w:t>
                  </w:r>
                </w:p>
              </w:tc>
              <w:tc>
                <w:tcPr>
                  <w:tcW w:w="485" w:type="pct"/>
                  <w:tcBorders>
                    <w:tl2br w:val="nil"/>
                    <w:tr2bl w:val="nil"/>
                  </w:tcBorders>
                  <w:noWrap w:val="0"/>
                  <w:vAlign w:val="center"/>
                </w:tcPr>
                <w:p w14:paraId="24A2045D">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490" w:type="pct"/>
                  <w:tcBorders>
                    <w:tl2br w:val="nil"/>
                    <w:tr2bl w:val="nil"/>
                  </w:tcBorders>
                  <w:noWrap w:val="0"/>
                  <w:vAlign w:val="center"/>
                </w:tcPr>
                <w:p w14:paraId="1C2E9FAD">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Nm</w:t>
                  </w:r>
                  <w:r>
                    <w:rPr>
                      <w:rFonts w:hint="default" w:ascii="Times New Roman" w:hAnsi="Times New Roman" w:eastAsia="宋体" w:cs="Times New Roman"/>
                      <w:i w:val="0"/>
                      <w:iCs w:val="0"/>
                      <w:color w:val="auto"/>
                      <w:kern w:val="0"/>
                      <w:sz w:val="21"/>
                      <w:szCs w:val="21"/>
                      <w:u w:val="none" w:color="auto"/>
                      <w:vertAlign w:val="superscript"/>
                      <w:lang w:val="en-US" w:eastAsia="zh-CN" w:bidi="ar"/>
                    </w:rPr>
                    <w:t>3</w:t>
                  </w:r>
                  <w:r>
                    <w:rPr>
                      <w:rFonts w:hint="default" w:ascii="Times New Roman" w:hAnsi="Times New Roman" w:eastAsia="宋体" w:cs="Times New Roman"/>
                      <w:i w:val="0"/>
                      <w:iCs w:val="0"/>
                      <w:color w:val="auto"/>
                      <w:kern w:val="0"/>
                      <w:sz w:val="21"/>
                      <w:szCs w:val="21"/>
                      <w:u w:val="none" w:color="auto"/>
                      <w:lang w:val="en-US" w:eastAsia="zh-CN" w:bidi="ar"/>
                    </w:rPr>
                    <w:t>/h</w:t>
                  </w:r>
                </w:p>
              </w:tc>
            </w:tr>
            <w:tr w14:paraId="1269E41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611" w:type="pct"/>
                  <w:vMerge w:val="continue"/>
                  <w:tcBorders>
                    <w:tl2br w:val="nil"/>
                    <w:tr2bl w:val="nil"/>
                  </w:tcBorders>
                  <w:noWrap/>
                  <w:vAlign w:val="center"/>
                </w:tcPr>
                <w:p w14:paraId="3DAA87DD">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9" w:type="pct"/>
                  <w:vMerge w:val="continue"/>
                  <w:tcBorders>
                    <w:tl2br w:val="nil"/>
                    <w:tr2bl w:val="nil"/>
                  </w:tcBorders>
                  <w:noWrap w:val="0"/>
                  <w:vAlign w:val="center"/>
                </w:tcPr>
                <w:p w14:paraId="2A8A25A9">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1233" w:type="pct"/>
                  <w:gridSpan w:val="2"/>
                  <w:tcBorders>
                    <w:tl2br w:val="nil"/>
                    <w:tr2bl w:val="nil"/>
                  </w:tcBorders>
                  <w:noWrap w:val="0"/>
                  <w:vAlign w:val="center"/>
                </w:tcPr>
                <w:p w14:paraId="2656390B">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平均烟温</w:t>
                  </w:r>
                </w:p>
              </w:tc>
              <w:tc>
                <w:tcPr>
                  <w:tcW w:w="562" w:type="pct"/>
                  <w:tcBorders>
                    <w:tl2br w:val="nil"/>
                    <w:tr2bl w:val="nil"/>
                  </w:tcBorders>
                  <w:noWrap w:val="0"/>
                  <w:vAlign w:val="center"/>
                </w:tcPr>
                <w:p w14:paraId="201DBFDF">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30.1</w:t>
                  </w:r>
                </w:p>
              </w:tc>
              <w:tc>
                <w:tcPr>
                  <w:tcW w:w="562" w:type="pct"/>
                  <w:tcBorders>
                    <w:tl2br w:val="nil"/>
                    <w:tr2bl w:val="nil"/>
                  </w:tcBorders>
                  <w:noWrap w:val="0"/>
                  <w:vAlign w:val="center"/>
                </w:tcPr>
                <w:p w14:paraId="53846797">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30.3</w:t>
                  </w:r>
                </w:p>
              </w:tc>
              <w:tc>
                <w:tcPr>
                  <w:tcW w:w="563" w:type="pct"/>
                  <w:tcBorders>
                    <w:tl2br w:val="nil"/>
                    <w:tr2bl w:val="nil"/>
                  </w:tcBorders>
                  <w:noWrap w:val="0"/>
                  <w:vAlign w:val="center"/>
                </w:tcPr>
                <w:p w14:paraId="3C93E407">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29.9</w:t>
                  </w:r>
                </w:p>
              </w:tc>
              <w:tc>
                <w:tcPr>
                  <w:tcW w:w="485" w:type="pct"/>
                  <w:tcBorders>
                    <w:tl2br w:val="nil"/>
                    <w:tr2bl w:val="nil"/>
                  </w:tcBorders>
                  <w:noWrap w:val="0"/>
                  <w:vAlign w:val="center"/>
                </w:tcPr>
                <w:p w14:paraId="22F22B5C">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490" w:type="pct"/>
                  <w:tcBorders>
                    <w:tl2br w:val="nil"/>
                    <w:tr2bl w:val="nil"/>
                  </w:tcBorders>
                  <w:noWrap w:val="0"/>
                  <w:vAlign w:val="center"/>
                </w:tcPr>
                <w:p w14:paraId="62CAFD51">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r>
            <w:tr w14:paraId="75139DF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611" w:type="pct"/>
                  <w:vMerge w:val="continue"/>
                  <w:tcBorders>
                    <w:tl2br w:val="nil"/>
                    <w:tr2bl w:val="nil"/>
                  </w:tcBorders>
                  <w:noWrap/>
                  <w:vAlign w:val="center"/>
                </w:tcPr>
                <w:p w14:paraId="7F280FA3">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9" w:type="pct"/>
                  <w:vMerge w:val="continue"/>
                  <w:tcBorders>
                    <w:tl2br w:val="nil"/>
                    <w:tr2bl w:val="nil"/>
                  </w:tcBorders>
                  <w:noWrap w:val="0"/>
                  <w:vAlign w:val="center"/>
                </w:tcPr>
                <w:p w14:paraId="23A2CF5D">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1233" w:type="pct"/>
                  <w:gridSpan w:val="2"/>
                  <w:tcBorders>
                    <w:tl2br w:val="nil"/>
                    <w:tr2bl w:val="nil"/>
                  </w:tcBorders>
                  <w:noWrap w:val="0"/>
                  <w:vAlign w:val="center"/>
                </w:tcPr>
                <w:p w14:paraId="76DC9544">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平均流速</w:t>
                  </w:r>
                </w:p>
              </w:tc>
              <w:tc>
                <w:tcPr>
                  <w:tcW w:w="562" w:type="pct"/>
                  <w:tcBorders>
                    <w:tl2br w:val="nil"/>
                    <w:tr2bl w:val="nil"/>
                  </w:tcBorders>
                  <w:noWrap w:val="0"/>
                  <w:vAlign w:val="center"/>
                </w:tcPr>
                <w:p w14:paraId="3D30EDCA">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13</w:t>
                  </w:r>
                </w:p>
              </w:tc>
              <w:tc>
                <w:tcPr>
                  <w:tcW w:w="562" w:type="pct"/>
                  <w:tcBorders>
                    <w:tl2br w:val="nil"/>
                    <w:tr2bl w:val="nil"/>
                  </w:tcBorders>
                  <w:noWrap w:val="0"/>
                  <w:vAlign w:val="center"/>
                </w:tcPr>
                <w:p w14:paraId="1D2FB023">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14.6</w:t>
                  </w:r>
                </w:p>
              </w:tc>
              <w:tc>
                <w:tcPr>
                  <w:tcW w:w="563" w:type="pct"/>
                  <w:tcBorders>
                    <w:tl2br w:val="nil"/>
                    <w:tr2bl w:val="nil"/>
                  </w:tcBorders>
                  <w:noWrap w:val="0"/>
                  <w:vAlign w:val="center"/>
                </w:tcPr>
                <w:p w14:paraId="188DC54D">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13.7</w:t>
                  </w:r>
                </w:p>
              </w:tc>
              <w:tc>
                <w:tcPr>
                  <w:tcW w:w="485" w:type="pct"/>
                  <w:tcBorders>
                    <w:tl2br w:val="nil"/>
                    <w:tr2bl w:val="nil"/>
                  </w:tcBorders>
                  <w:noWrap w:val="0"/>
                  <w:vAlign w:val="center"/>
                </w:tcPr>
                <w:p w14:paraId="32245F35">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490" w:type="pct"/>
                  <w:tcBorders>
                    <w:tl2br w:val="nil"/>
                    <w:tr2bl w:val="nil"/>
                  </w:tcBorders>
                  <w:noWrap w:val="0"/>
                  <w:vAlign w:val="center"/>
                </w:tcPr>
                <w:p w14:paraId="6FF5E6EF">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m/s</w:t>
                  </w:r>
                </w:p>
              </w:tc>
            </w:tr>
            <w:tr w14:paraId="2616BBB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611" w:type="pct"/>
                  <w:vMerge w:val="continue"/>
                  <w:tcBorders>
                    <w:tl2br w:val="nil"/>
                    <w:tr2bl w:val="nil"/>
                  </w:tcBorders>
                  <w:noWrap/>
                  <w:vAlign w:val="center"/>
                </w:tcPr>
                <w:p w14:paraId="7C2F88D3">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9" w:type="pct"/>
                  <w:vMerge w:val="continue"/>
                  <w:tcBorders>
                    <w:tl2br w:val="nil"/>
                    <w:tr2bl w:val="nil"/>
                  </w:tcBorders>
                  <w:noWrap w:val="0"/>
                  <w:vAlign w:val="center"/>
                </w:tcPr>
                <w:p w14:paraId="754D0636">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4" w:type="pct"/>
                  <w:vMerge w:val="restart"/>
                  <w:tcBorders>
                    <w:tl2br w:val="nil"/>
                    <w:tr2bl w:val="nil"/>
                  </w:tcBorders>
                  <w:noWrap w:val="0"/>
                  <w:vAlign w:val="center"/>
                </w:tcPr>
                <w:p w14:paraId="527BAF9F">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碱雾</w:t>
                  </w:r>
                </w:p>
              </w:tc>
              <w:tc>
                <w:tcPr>
                  <w:tcW w:w="749" w:type="pct"/>
                  <w:tcBorders>
                    <w:tl2br w:val="nil"/>
                    <w:tr2bl w:val="nil"/>
                  </w:tcBorders>
                  <w:noWrap w:val="0"/>
                  <w:vAlign w:val="center"/>
                </w:tcPr>
                <w:p w14:paraId="6696CB83">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实测浓度</w:t>
                  </w:r>
                </w:p>
              </w:tc>
              <w:tc>
                <w:tcPr>
                  <w:tcW w:w="562" w:type="pct"/>
                  <w:tcBorders>
                    <w:tl2br w:val="nil"/>
                    <w:tr2bl w:val="nil"/>
                  </w:tcBorders>
                  <w:noWrap w:val="0"/>
                  <w:vAlign w:val="center"/>
                </w:tcPr>
                <w:p w14:paraId="5E6ABCCD">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56.9</w:t>
                  </w:r>
                </w:p>
              </w:tc>
              <w:tc>
                <w:tcPr>
                  <w:tcW w:w="562" w:type="pct"/>
                  <w:tcBorders>
                    <w:tl2br w:val="nil"/>
                    <w:tr2bl w:val="nil"/>
                  </w:tcBorders>
                  <w:noWrap w:val="0"/>
                  <w:vAlign w:val="center"/>
                </w:tcPr>
                <w:p w14:paraId="292D14FE">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51.2</w:t>
                  </w:r>
                </w:p>
              </w:tc>
              <w:tc>
                <w:tcPr>
                  <w:tcW w:w="563" w:type="pct"/>
                  <w:tcBorders>
                    <w:tl2br w:val="nil"/>
                    <w:tr2bl w:val="nil"/>
                  </w:tcBorders>
                  <w:noWrap w:val="0"/>
                  <w:vAlign w:val="center"/>
                </w:tcPr>
                <w:p w14:paraId="202A987E">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54.6</w:t>
                  </w:r>
                </w:p>
              </w:tc>
              <w:tc>
                <w:tcPr>
                  <w:tcW w:w="485" w:type="pct"/>
                  <w:tcBorders>
                    <w:tl2br w:val="nil"/>
                    <w:tr2bl w:val="nil"/>
                  </w:tcBorders>
                  <w:noWrap w:val="0"/>
                  <w:vAlign w:val="center"/>
                </w:tcPr>
                <w:p w14:paraId="12026A00">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490" w:type="pct"/>
                  <w:tcBorders>
                    <w:tl2br w:val="nil"/>
                    <w:tr2bl w:val="nil"/>
                  </w:tcBorders>
                  <w:noWrap w:val="0"/>
                  <w:vAlign w:val="center"/>
                </w:tcPr>
                <w:p w14:paraId="5F231024">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mg/m</w:t>
                  </w:r>
                  <w:r>
                    <w:rPr>
                      <w:rFonts w:hint="default" w:ascii="Times New Roman" w:hAnsi="Times New Roman" w:eastAsia="宋体" w:cs="Times New Roman"/>
                      <w:i w:val="0"/>
                      <w:iCs w:val="0"/>
                      <w:color w:val="auto"/>
                      <w:kern w:val="0"/>
                      <w:sz w:val="21"/>
                      <w:szCs w:val="21"/>
                      <w:u w:val="none" w:color="auto"/>
                      <w:vertAlign w:val="superscript"/>
                      <w:lang w:val="en-US" w:eastAsia="zh-CN" w:bidi="ar"/>
                    </w:rPr>
                    <w:t>3</w:t>
                  </w:r>
                </w:p>
              </w:tc>
            </w:tr>
            <w:tr w14:paraId="265FA70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611" w:type="pct"/>
                  <w:vMerge w:val="continue"/>
                  <w:tcBorders>
                    <w:tl2br w:val="nil"/>
                    <w:tr2bl w:val="nil"/>
                  </w:tcBorders>
                  <w:noWrap/>
                  <w:vAlign w:val="center"/>
                </w:tcPr>
                <w:p w14:paraId="56AF928A">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9" w:type="pct"/>
                  <w:vMerge w:val="continue"/>
                  <w:tcBorders>
                    <w:tl2br w:val="nil"/>
                    <w:tr2bl w:val="nil"/>
                  </w:tcBorders>
                  <w:noWrap w:val="0"/>
                  <w:vAlign w:val="center"/>
                </w:tcPr>
                <w:p w14:paraId="79FC87D8">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4" w:type="pct"/>
                  <w:vMerge w:val="continue"/>
                  <w:tcBorders>
                    <w:tl2br w:val="nil"/>
                    <w:tr2bl w:val="nil"/>
                  </w:tcBorders>
                  <w:noWrap w:val="0"/>
                  <w:vAlign w:val="center"/>
                </w:tcPr>
                <w:p w14:paraId="43C5F180">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749" w:type="pct"/>
                  <w:tcBorders>
                    <w:tl2br w:val="nil"/>
                    <w:tr2bl w:val="nil"/>
                  </w:tcBorders>
                  <w:noWrap w:val="0"/>
                  <w:vAlign w:val="center"/>
                </w:tcPr>
                <w:p w14:paraId="5D59225C">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排放速率</w:t>
                  </w:r>
                </w:p>
              </w:tc>
              <w:tc>
                <w:tcPr>
                  <w:tcW w:w="562" w:type="pct"/>
                  <w:tcBorders>
                    <w:tl2br w:val="nil"/>
                    <w:tr2bl w:val="nil"/>
                  </w:tcBorders>
                  <w:noWrap w:val="0"/>
                  <w:vAlign w:val="center"/>
                </w:tcPr>
                <w:p w14:paraId="6BC0E324">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0.29</w:t>
                  </w:r>
                </w:p>
              </w:tc>
              <w:tc>
                <w:tcPr>
                  <w:tcW w:w="562" w:type="pct"/>
                  <w:tcBorders>
                    <w:tl2br w:val="nil"/>
                    <w:tr2bl w:val="nil"/>
                  </w:tcBorders>
                  <w:noWrap w:val="0"/>
                  <w:vAlign w:val="center"/>
                </w:tcPr>
                <w:p w14:paraId="066FD176">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0.29</w:t>
                  </w:r>
                </w:p>
              </w:tc>
              <w:tc>
                <w:tcPr>
                  <w:tcW w:w="563" w:type="pct"/>
                  <w:tcBorders>
                    <w:tl2br w:val="nil"/>
                    <w:tr2bl w:val="nil"/>
                  </w:tcBorders>
                  <w:noWrap w:val="0"/>
                  <w:vAlign w:val="center"/>
                </w:tcPr>
                <w:p w14:paraId="76BD987D">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0.29</w:t>
                  </w:r>
                </w:p>
              </w:tc>
              <w:tc>
                <w:tcPr>
                  <w:tcW w:w="485" w:type="pct"/>
                  <w:tcBorders>
                    <w:tl2br w:val="nil"/>
                    <w:tr2bl w:val="nil"/>
                  </w:tcBorders>
                  <w:noWrap w:val="0"/>
                  <w:vAlign w:val="center"/>
                </w:tcPr>
                <w:p w14:paraId="02272123">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490" w:type="pct"/>
                  <w:tcBorders>
                    <w:tl2br w:val="nil"/>
                    <w:tr2bl w:val="nil"/>
                  </w:tcBorders>
                  <w:noWrap w:val="0"/>
                  <w:vAlign w:val="center"/>
                </w:tcPr>
                <w:p w14:paraId="48A40141">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kg/h</w:t>
                  </w:r>
                </w:p>
              </w:tc>
            </w:tr>
            <w:tr w14:paraId="4155FB0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611" w:type="pct"/>
                  <w:vMerge w:val="continue"/>
                  <w:tcBorders>
                    <w:tl2br w:val="nil"/>
                    <w:tr2bl w:val="nil"/>
                  </w:tcBorders>
                  <w:noWrap/>
                  <w:vAlign w:val="center"/>
                </w:tcPr>
                <w:p w14:paraId="395CE8E9">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9" w:type="pct"/>
                  <w:vMerge w:val="restart"/>
                  <w:tcBorders>
                    <w:tl2br w:val="nil"/>
                    <w:tr2bl w:val="nil"/>
                  </w:tcBorders>
                  <w:noWrap w:val="0"/>
                  <w:vAlign w:val="center"/>
                </w:tcPr>
                <w:p w14:paraId="34E33048">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DA004出口</w:t>
                  </w:r>
                </w:p>
              </w:tc>
              <w:tc>
                <w:tcPr>
                  <w:tcW w:w="1233" w:type="pct"/>
                  <w:gridSpan w:val="2"/>
                  <w:tcBorders>
                    <w:tl2br w:val="nil"/>
                    <w:tr2bl w:val="nil"/>
                  </w:tcBorders>
                  <w:noWrap w:val="0"/>
                  <w:vAlign w:val="center"/>
                </w:tcPr>
                <w:p w14:paraId="5018374C">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标干流量</w:t>
                  </w:r>
                </w:p>
              </w:tc>
              <w:tc>
                <w:tcPr>
                  <w:tcW w:w="562" w:type="pct"/>
                  <w:tcBorders>
                    <w:tl2br w:val="nil"/>
                    <w:tr2bl w:val="nil"/>
                  </w:tcBorders>
                  <w:noWrap w:val="0"/>
                  <w:vAlign w:val="center"/>
                </w:tcPr>
                <w:p w14:paraId="3E6B510E">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4973</w:t>
                  </w:r>
                </w:p>
              </w:tc>
              <w:tc>
                <w:tcPr>
                  <w:tcW w:w="562" w:type="pct"/>
                  <w:tcBorders>
                    <w:tl2br w:val="nil"/>
                    <w:tr2bl w:val="nil"/>
                  </w:tcBorders>
                  <w:noWrap w:val="0"/>
                  <w:vAlign w:val="center"/>
                </w:tcPr>
                <w:p w14:paraId="44735899">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5070</w:t>
                  </w:r>
                </w:p>
              </w:tc>
              <w:tc>
                <w:tcPr>
                  <w:tcW w:w="563" w:type="pct"/>
                  <w:tcBorders>
                    <w:tl2br w:val="nil"/>
                    <w:tr2bl w:val="nil"/>
                  </w:tcBorders>
                  <w:noWrap w:val="0"/>
                  <w:vAlign w:val="center"/>
                </w:tcPr>
                <w:p w14:paraId="23BBEC4A">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5062</w:t>
                  </w:r>
                </w:p>
              </w:tc>
              <w:tc>
                <w:tcPr>
                  <w:tcW w:w="485" w:type="pct"/>
                  <w:tcBorders>
                    <w:tl2br w:val="nil"/>
                    <w:tr2bl w:val="nil"/>
                  </w:tcBorders>
                  <w:noWrap w:val="0"/>
                  <w:vAlign w:val="center"/>
                </w:tcPr>
                <w:p w14:paraId="702E7CF8">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490" w:type="pct"/>
                  <w:tcBorders>
                    <w:tl2br w:val="nil"/>
                    <w:tr2bl w:val="nil"/>
                  </w:tcBorders>
                  <w:noWrap w:val="0"/>
                  <w:vAlign w:val="center"/>
                </w:tcPr>
                <w:p w14:paraId="0F16F6BB">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Nm</w:t>
                  </w:r>
                  <w:r>
                    <w:rPr>
                      <w:rFonts w:hint="default" w:ascii="Times New Roman" w:hAnsi="Times New Roman" w:eastAsia="宋体" w:cs="Times New Roman"/>
                      <w:i w:val="0"/>
                      <w:iCs w:val="0"/>
                      <w:color w:val="auto"/>
                      <w:kern w:val="0"/>
                      <w:sz w:val="21"/>
                      <w:szCs w:val="21"/>
                      <w:u w:val="none" w:color="auto"/>
                      <w:vertAlign w:val="superscript"/>
                      <w:lang w:val="en-US" w:eastAsia="zh-CN" w:bidi="ar"/>
                    </w:rPr>
                    <w:t>3</w:t>
                  </w:r>
                  <w:r>
                    <w:rPr>
                      <w:rFonts w:hint="default" w:ascii="Times New Roman" w:hAnsi="Times New Roman" w:eastAsia="宋体" w:cs="Times New Roman"/>
                      <w:i w:val="0"/>
                      <w:iCs w:val="0"/>
                      <w:color w:val="auto"/>
                      <w:kern w:val="0"/>
                      <w:sz w:val="21"/>
                      <w:szCs w:val="21"/>
                      <w:u w:val="none" w:color="auto"/>
                      <w:lang w:val="en-US" w:eastAsia="zh-CN" w:bidi="ar"/>
                    </w:rPr>
                    <w:t>/h</w:t>
                  </w:r>
                </w:p>
              </w:tc>
            </w:tr>
            <w:tr w14:paraId="5CCA1B5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611" w:type="pct"/>
                  <w:vMerge w:val="continue"/>
                  <w:tcBorders>
                    <w:tl2br w:val="nil"/>
                    <w:tr2bl w:val="nil"/>
                  </w:tcBorders>
                  <w:noWrap/>
                  <w:vAlign w:val="center"/>
                </w:tcPr>
                <w:p w14:paraId="4F68018A">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9" w:type="pct"/>
                  <w:vMerge w:val="continue"/>
                  <w:tcBorders>
                    <w:tl2br w:val="nil"/>
                    <w:tr2bl w:val="nil"/>
                  </w:tcBorders>
                  <w:noWrap w:val="0"/>
                  <w:vAlign w:val="center"/>
                </w:tcPr>
                <w:p w14:paraId="43DCC97C">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1233" w:type="pct"/>
                  <w:gridSpan w:val="2"/>
                  <w:tcBorders>
                    <w:tl2br w:val="nil"/>
                    <w:tr2bl w:val="nil"/>
                  </w:tcBorders>
                  <w:noWrap w:val="0"/>
                  <w:vAlign w:val="center"/>
                </w:tcPr>
                <w:p w14:paraId="7BEBD7C4">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平均烟温</w:t>
                  </w:r>
                </w:p>
              </w:tc>
              <w:tc>
                <w:tcPr>
                  <w:tcW w:w="562" w:type="pct"/>
                  <w:tcBorders>
                    <w:tl2br w:val="nil"/>
                    <w:tr2bl w:val="nil"/>
                  </w:tcBorders>
                  <w:noWrap w:val="0"/>
                  <w:vAlign w:val="center"/>
                </w:tcPr>
                <w:p w14:paraId="5D07EABF">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27.9</w:t>
                  </w:r>
                </w:p>
              </w:tc>
              <w:tc>
                <w:tcPr>
                  <w:tcW w:w="562" w:type="pct"/>
                  <w:tcBorders>
                    <w:tl2br w:val="nil"/>
                    <w:tr2bl w:val="nil"/>
                  </w:tcBorders>
                  <w:noWrap w:val="0"/>
                  <w:vAlign w:val="center"/>
                </w:tcPr>
                <w:p w14:paraId="10994E60">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28.1</w:t>
                  </w:r>
                </w:p>
              </w:tc>
              <w:tc>
                <w:tcPr>
                  <w:tcW w:w="563" w:type="pct"/>
                  <w:tcBorders>
                    <w:tl2br w:val="nil"/>
                    <w:tr2bl w:val="nil"/>
                  </w:tcBorders>
                  <w:noWrap w:val="0"/>
                  <w:vAlign w:val="center"/>
                </w:tcPr>
                <w:p w14:paraId="68C3F593">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28</w:t>
                  </w:r>
                </w:p>
              </w:tc>
              <w:tc>
                <w:tcPr>
                  <w:tcW w:w="485" w:type="pct"/>
                  <w:tcBorders>
                    <w:tl2br w:val="nil"/>
                    <w:tr2bl w:val="nil"/>
                  </w:tcBorders>
                  <w:noWrap w:val="0"/>
                  <w:vAlign w:val="center"/>
                </w:tcPr>
                <w:p w14:paraId="6F6F2A4B">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490" w:type="pct"/>
                  <w:tcBorders>
                    <w:tl2br w:val="nil"/>
                    <w:tr2bl w:val="nil"/>
                  </w:tcBorders>
                  <w:noWrap w:val="0"/>
                  <w:vAlign w:val="center"/>
                </w:tcPr>
                <w:p w14:paraId="0BD6289E">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r>
            <w:tr w14:paraId="7FA9AB3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611" w:type="pct"/>
                  <w:vMerge w:val="continue"/>
                  <w:tcBorders>
                    <w:tl2br w:val="nil"/>
                    <w:tr2bl w:val="nil"/>
                  </w:tcBorders>
                  <w:noWrap/>
                  <w:vAlign w:val="center"/>
                </w:tcPr>
                <w:p w14:paraId="3208D888">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9" w:type="pct"/>
                  <w:vMerge w:val="continue"/>
                  <w:tcBorders>
                    <w:tl2br w:val="nil"/>
                    <w:tr2bl w:val="nil"/>
                  </w:tcBorders>
                  <w:noWrap w:val="0"/>
                  <w:vAlign w:val="center"/>
                </w:tcPr>
                <w:p w14:paraId="4E48D7AD">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1233" w:type="pct"/>
                  <w:gridSpan w:val="2"/>
                  <w:tcBorders>
                    <w:tl2br w:val="nil"/>
                    <w:tr2bl w:val="nil"/>
                  </w:tcBorders>
                  <w:noWrap w:val="0"/>
                  <w:vAlign w:val="center"/>
                </w:tcPr>
                <w:p w14:paraId="2B63AECF">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平均流速</w:t>
                  </w:r>
                </w:p>
              </w:tc>
              <w:tc>
                <w:tcPr>
                  <w:tcW w:w="562" w:type="pct"/>
                  <w:tcBorders>
                    <w:tl2br w:val="nil"/>
                    <w:tr2bl w:val="nil"/>
                  </w:tcBorders>
                  <w:noWrap w:val="0"/>
                  <w:vAlign w:val="center"/>
                </w:tcPr>
                <w:p w14:paraId="161AE5A9">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13.7</w:t>
                  </w:r>
                </w:p>
              </w:tc>
              <w:tc>
                <w:tcPr>
                  <w:tcW w:w="562" w:type="pct"/>
                  <w:tcBorders>
                    <w:tl2br w:val="nil"/>
                    <w:tr2bl w:val="nil"/>
                  </w:tcBorders>
                  <w:noWrap w:val="0"/>
                  <w:vAlign w:val="center"/>
                </w:tcPr>
                <w:p w14:paraId="6850EC21">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14</w:t>
                  </w:r>
                </w:p>
              </w:tc>
              <w:tc>
                <w:tcPr>
                  <w:tcW w:w="563" w:type="pct"/>
                  <w:tcBorders>
                    <w:tl2br w:val="nil"/>
                    <w:tr2bl w:val="nil"/>
                  </w:tcBorders>
                  <w:noWrap w:val="0"/>
                  <w:vAlign w:val="center"/>
                </w:tcPr>
                <w:p w14:paraId="499A2E5E">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14</w:t>
                  </w:r>
                </w:p>
              </w:tc>
              <w:tc>
                <w:tcPr>
                  <w:tcW w:w="485" w:type="pct"/>
                  <w:tcBorders>
                    <w:tl2br w:val="nil"/>
                    <w:tr2bl w:val="nil"/>
                  </w:tcBorders>
                  <w:noWrap w:val="0"/>
                  <w:vAlign w:val="center"/>
                </w:tcPr>
                <w:p w14:paraId="7AED7F8F">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490" w:type="pct"/>
                  <w:tcBorders>
                    <w:tl2br w:val="nil"/>
                    <w:tr2bl w:val="nil"/>
                  </w:tcBorders>
                  <w:noWrap w:val="0"/>
                  <w:vAlign w:val="center"/>
                </w:tcPr>
                <w:p w14:paraId="7212EB36">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m/s</w:t>
                  </w:r>
                </w:p>
              </w:tc>
            </w:tr>
            <w:tr w14:paraId="24A362B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611" w:type="pct"/>
                  <w:vMerge w:val="continue"/>
                  <w:tcBorders>
                    <w:tl2br w:val="nil"/>
                    <w:tr2bl w:val="nil"/>
                  </w:tcBorders>
                  <w:noWrap/>
                  <w:vAlign w:val="center"/>
                </w:tcPr>
                <w:p w14:paraId="38060D00">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9" w:type="pct"/>
                  <w:vMerge w:val="continue"/>
                  <w:tcBorders>
                    <w:tl2br w:val="nil"/>
                    <w:tr2bl w:val="nil"/>
                  </w:tcBorders>
                  <w:noWrap w:val="0"/>
                  <w:vAlign w:val="center"/>
                </w:tcPr>
                <w:p w14:paraId="43779B51">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4" w:type="pct"/>
                  <w:vMerge w:val="restart"/>
                  <w:tcBorders>
                    <w:tl2br w:val="nil"/>
                    <w:tr2bl w:val="nil"/>
                  </w:tcBorders>
                  <w:noWrap w:val="0"/>
                  <w:vAlign w:val="center"/>
                </w:tcPr>
                <w:p w14:paraId="6DE14530">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碱雾</w:t>
                  </w:r>
                </w:p>
              </w:tc>
              <w:tc>
                <w:tcPr>
                  <w:tcW w:w="749" w:type="pct"/>
                  <w:tcBorders>
                    <w:tl2br w:val="nil"/>
                    <w:tr2bl w:val="nil"/>
                  </w:tcBorders>
                  <w:noWrap w:val="0"/>
                  <w:vAlign w:val="center"/>
                </w:tcPr>
                <w:p w14:paraId="360C4BED">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实测浓度</w:t>
                  </w:r>
                </w:p>
              </w:tc>
              <w:tc>
                <w:tcPr>
                  <w:tcW w:w="562" w:type="pct"/>
                  <w:tcBorders>
                    <w:tl2br w:val="nil"/>
                    <w:tr2bl w:val="nil"/>
                  </w:tcBorders>
                  <w:noWrap w:val="0"/>
                  <w:vAlign w:val="center"/>
                </w:tcPr>
                <w:p w14:paraId="388593B3">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5.2</w:t>
                  </w:r>
                </w:p>
              </w:tc>
              <w:tc>
                <w:tcPr>
                  <w:tcW w:w="562" w:type="pct"/>
                  <w:tcBorders>
                    <w:tl2br w:val="nil"/>
                    <w:tr2bl w:val="nil"/>
                  </w:tcBorders>
                  <w:noWrap w:val="0"/>
                  <w:vAlign w:val="center"/>
                </w:tcPr>
                <w:p w14:paraId="7F628ACB">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4.9</w:t>
                  </w:r>
                </w:p>
              </w:tc>
              <w:tc>
                <w:tcPr>
                  <w:tcW w:w="563" w:type="pct"/>
                  <w:tcBorders>
                    <w:tl2br w:val="nil"/>
                    <w:tr2bl w:val="nil"/>
                  </w:tcBorders>
                  <w:noWrap w:val="0"/>
                  <w:vAlign w:val="center"/>
                </w:tcPr>
                <w:p w14:paraId="2F7CD6B6">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5.0</w:t>
                  </w:r>
                </w:p>
              </w:tc>
              <w:tc>
                <w:tcPr>
                  <w:tcW w:w="485" w:type="pct"/>
                  <w:tcBorders>
                    <w:tl2br w:val="nil"/>
                    <w:tr2bl w:val="nil"/>
                  </w:tcBorders>
                  <w:noWrap w:val="0"/>
                  <w:vAlign w:val="center"/>
                </w:tcPr>
                <w:p w14:paraId="18FBDB03">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10</w:t>
                  </w:r>
                </w:p>
              </w:tc>
              <w:tc>
                <w:tcPr>
                  <w:tcW w:w="490" w:type="pct"/>
                  <w:tcBorders>
                    <w:tl2br w:val="nil"/>
                    <w:tr2bl w:val="nil"/>
                  </w:tcBorders>
                  <w:noWrap w:val="0"/>
                  <w:vAlign w:val="center"/>
                </w:tcPr>
                <w:p w14:paraId="73D60DCF">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mg/m</w:t>
                  </w:r>
                  <w:r>
                    <w:rPr>
                      <w:rFonts w:hint="default" w:ascii="Times New Roman" w:hAnsi="Times New Roman" w:eastAsia="宋体" w:cs="Times New Roman"/>
                      <w:i w:val="0"/>
                      <w:iCs w:val="0"/>
                      <w:color w:val="auto"/>
                      <w:kern w:val="0"/>
                      <w:sz w:val="21"/>
                      <w:szCs w:val="21"/>
                      <w:u w:val="none" w:color="auto"/>
                      <w:vertAlign w:val="superscript"/>
                      <w:lang w:val="en-US" w:eastAsia="zh-CN" w:bidi="ar"/>
                    </w:rPr>
                    <w:t>3</w:t>
                  </w:r>
                </w:p>
              </w:tc>
            </w:tr>
            <w:tr w14:paraId="76B41C0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611" w:type="pct"/>
                  <w:vMerge w:val="continue"/>
                  <w:tcBorders>
                    <w:tl2br w:val="nil"/>
                    <w:tr2bl w:val="nil"/>
                  </w:tcBorders>
                  <w:noWrap/>
                  <w:vAlign w:val="center"/>
                </w:tcPr>
                <w:p w14:paraId="0AE470C8">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9" w:type="pct"/>
                  <w:vMerge w:val="continue"/>
                  <w:tcBorders>
                    <w:tl2br w:val="nil"/>
                    <w:tr2bl w:val="nil"/>
                  </w:tcBorders>
                  <w:noWrap w:val="0"/>
                  <w:vAlign w:val="center"/>
                </w:tcPr>
                <w:p w14:paraId="4EBA3FB6">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484" w:type="pct"/>
                  <w:vMerge w:val="continue"/>
                  <w:tcBorders>
                    <w:tl2br w:val="nil"/>
                    <w:tr2bl w:val="nil"/>
                  </w:tcBorders>
                  <w:noWrap w:val="0"/>
                  <w:vAlign w:val="center"/>
                </w:tcPr>
                <w:p w14:paraId="537C5839">
                  <w:pPr>
                    <w:keepNext w:val="0"/>
                    <w:keepLines w:val="0"/>
                    <w:pageBreakBefore w:val="0"/>
                    <w:widowControl/>
                    <w:kinsoku/>
                    <w:wordWrap/>
                    <w:overflowPunct/>
                    <w:topLinePunct w:val="0"/>
                    <w:autoSpaceDE/>
                    <w:autoSpaceDN/>
                    <w:bidi w:val="0"/>
                    <w:adjustRightInd/>
                    <w:snapToGrid/>
                    <w:spacing w:after="0"/>
                    <w:jc w:val="center"/>
                    <w:rPr>
                      <w:rFonts w:hint="default" w:ascii="Times New Roman" w:hAnsi="Times New Roman" w:eastAsia="宋体" w:cs="Times New Roman"/>
                      <w:i w:val="0"/>
                      <w:iCs w:val="0"/>
                      <w:color w:val="auto"/>
                      <w:sz w:val="21"/>
                      <w:szCs w:val="21"/>
                      <w:u w:val="none" w:color="auto"/>
                    </w:rPr>
                  </w:pPr>
                </w:p>
              </w:tc>
              <w:tc>
                <w:tcPr>
                  <w:tcW w:w="749" w:type="pct"/>
                  <w:tcBorders>
                    <w:tl2br w:val="nil"/>
                    <w:tr2bl w:val="nil"/>
                  </w:tcBorders>
                  <w:noWrap w:val="0"/>
                  <w:vAlign w:val="center"/>
                </w:tcPr>
                <w:p w14:paraId="6E5FC4CB">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排放速率</w:t>
                  </w:r>
                </w:p>
              </w:tc>
              <w:tc>
                <w:tcPr>
                  <w:tcW w:w="562" w:type="pct"/>
                  <w:tcBorders>
                    <w:tl2br w:val="nil"/>
                    <w:tr2bl w:val="nil"/>
                  </w:tcBorders>
                  <w:noWrap w:val="0"/>
                  <w:vAlign w:val="center"/>
                </w:tcPr>
                <w:p w14:paraId="5AC052DC">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0.03</w:t>
                  </w:r>
                </w:p>
              </w:tc>
              <w:tc>
                <w:tcPr>
                  <w:tcW w:w="562" w:type="pct"/>
                  <w:tcBorders>
                    <w:tl2br w:val="nil"/>
                    <w:tr2bl w:val="nil"/>
                  </w:tcBorders>
                  <w:noWrap w:val="0"/>
                  <w:vAlign w:val="center"/>
                </w:tcPr>
                <w:p w14:paraId="18020DE6">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0.02</w:t>
                  </w:r>
                </w:p>
              </w:tc>
              <w:tc>
                <w:tcPr>
                  <w:tcW w:w="563" w:type="pct"/>
                  <w:tcBorders>
                    <w:tl2br w:val="nil"/>
                    <w:tr2bl w:val="nil"/>
                  </w:tcBorders>
                  <w:noWrap w:val="0"/>
                  <w:vAlign w:val="center"/>
                </w:tcPr>
                <w:p w14:paraId="1F610140">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0.03</w:t>
                  </w:r>
                </w:p>
              </w:tc>
              <w:tc>
                <w:tcPr>
                  <w:tcW w:w="485" w:type="pct"/>
                  <w:tcBorders>
                    <w:tl2br w:val="nil"/>
                    <w:tr2bl w:val="nil"/>
                  </w:tcBorders>
                  <w:noWrap w:val="0"/>
                  <w:vAlign w:val="center"/>
                </w:tcPr>
                <w:p w14:paraId="5B57F895">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490" w:type="pct"/>
                  <w:tcBorders>
                    <w:tl2br w:val="nil"/>
                    <w:tr2bl w:val="nil"/>
                  </w:tcBorders>
                  <w:noWrap w:val="0"/>
                  <w:vAlign w:val="center"/>
                </w:tcPr>
                <w:p w14:paraId="7570A227">
                  <w:pPr>
                    <w:keepNext w:val="0"/>
                    <w:keepLines w:val="0"/>
                    <w:pageBreakBefore w:val="0"/>
                    <w:widowControl/>
                    <w:suppressLineNumbers w:val="0"/>
                    <w:kinsoku/>
                    <w:wordWrap/>
                    <w:overflowPunct/>
                    <w:topLinePunct w:val="0"/>
                    <w:autoSpaceDE/>
                    <w:autoSpaceDN/>
                    <w:bidi w:val="0"/>
                    <w:adjustRightInd/>
                    <w:snapToGrid/>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kg/h</w:t>
                  </w:r>
                </w:p>
              </w:tc>
            </w:tr>
          </w:tbl>
          <w:p w14:paraId="53BABBB7">
            <w:pPr>
              <w:widowControl w:val="0"/>
              <w:adjustRightInd/>
              <w:snapToGrid/>
              <w:spacing w:after="0"/>
              <w:jc w:val="center"/>
              <w:rPr>
                <w:rFonts w:hint="default" w:ascii="Times New Roman" w:hAnsi="Times New Roman" w:eastAsia="宋体" w:cs="Times New Roman"/>
                <w:b/>
                <w:bCs/>
                <w:color w:val="auto"/>
                <w:sz w:val="21"/>
                <w:szCs w:val="21"/>
                <w:u w:val="none" w:color="auto"/>
                <w:lang w:eastAsia="zh-CN"/>
              </w:rPr>
            </w:pPr>
            <w:r>
              <w:rPr>
                <w:rFonts w:hint="default" w:ascii="Times New Roman" w:hAnsi="Times New Roman" w:eastAsia="宋体" w:cs="Times New Roman"/>
                <w:b/>
                <w:bCs/>
                <w:color w:val="auto"/>
                <w:sz w:val="21"/>
                <w:szCs w:val="21"/>
                <w:u w:val="none" w:color="auto"/>
              </w:rPr>
              <w:t>表</w:t>
            </w:r>
            <w:r>
              <w:rPr>
                <w:rFonts w:hint="default" w:ascii="Times New Roman" w:hAnsi="Times New Roman" w:eastAsia="宋体" w:cs="Times New Roman"/>
                <w:b/>
                <w:bCs/>
                <w:color w:val="auto"/>
                <w:sz w:val="21"/>
                <w:szCs w:val="21"/>
                <w:u w:val="none" w:color="auto"/>
                <w:lang w:val="en-US" w:eastAsia="zh-CN"/>
              </w:rPr>
              <w:t>2</w:t>
            </w:r>
            <w:r>
              <w:rPr>
                <w:rFonts w:hint="default" w:ascii="Times New Roman" w:hAnsi="Times New Roman" w:eastAsia="宋体" w:cs="Times New Roman"/>
                <w:b/>
                <w:bCs/>
                <w:color w:val="auto"/>
                <w:sz w:val="21"/>
                <w:szCs w:val="21"/>
                <w:u w:val="none" w:color="auto"/>
              </w:rPr>
              <w:t>-</w:t>
            </w:r>
            <w:r>
              <w:rPr>
                <w:rFonts w:hint="default" w:ascii="Times New Roman" w:hAnsi="Times New Roman" w:eastAsia="宋体" w:cs="Times New Roman"/>
                <w:b/>
                <w:bCs/>
                <w:color w:val="auto"/>
                <w:sz w:val="21"/>
                <w:szCs w:val="21"/>
                <w:u w:val="none" w:color="auto"/>
                <w:lang w:val="en-US" w:eastAsia="zh-CN"/>
              </w:rPr>
              <w:t>13</w:t>
            </w:r>
            <w:r>
              <w:rPr>
                <w:rFonts w:hint="default" w:ascii="Times New Roman" w:hAnsi="Times New Roman" w:eastAsia="宋体" w:cs="Times New Roman"/>
                <w:b/>
                <w:bCs/>
                <w:color w:val="auto"/>
                <w:sz w:val="21"/>
                <w:szCs w:val="21"/>
                <w:u w:val="none" w:color="auto"/>
              </w:rPr>
              <w:t xml:space="preserve">  有组织</w:t>
            </w:r>
            <w:r>
              <w:rPr>
                <w:rFonts w:hint="default" w:ascii="Times New Roman" w:hAnsi="Times New Roman" w:eastAsia="宋体" w:cs="Times New Roman"/>
                <w:b/>
                <w:bCs/>
                <w:color w:val="auto"/>
                <w:sz w:val="21"/>
                <w:szCs w:val="21"/>
                <w:u w:val="none" w:color="auto"/>
                <w:lang w:val="en-US" w:eastAsia="zh-CN"/>
              </w:rPr>
              <w:t>DA005</w:t>
            </w:r>
            <w:r>
              <w:rPr>
                <w:rFonts w:hint="default" w:ascii="Times New Roman" w:hAnsi="Times New Roman" w:eastAsia="宋体" w:cs="Times New Roman"/>
                <w:b/>
                <w:bCs/>
                <w:color w:val="auto"/>
                <w:sz w:val="21"/>
                <w:szCs w:val="21"/>
                <w:u w:val="none" w:color="auto"/>
              </w:rPr>
              <w:t>废气监测结果</w:t>
            </w:r>
          </w:p>
          <w:tbl>
            <w:tblPr>
              <w:tblStyle w:val="31"/>
              <w:tblW w:w="4997"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
            <w:tblGrid>
              <w:gridCol w:w="968"/>
              <w:gridCol w:w="838"/>
              <w:gridCol w:w="827"/>
              <w:gridCol w:w="1273"/>
              <w:gridCol w:w="964"/>
              <w:gridCol w:w="964"/>
              <w:gridCol w:w="963"/>
              <w:gridCol w:w="2"/>
              <w:gridCol w:w="833"/>
              <w:gridCol w:w="837"/>
            </w:tblGrid>
            <w:tr w14:paraId="392A118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blHeader/>
              </w:trPr>
              <w:tc>
                <w:tcPr>
                  <w:tcW w:w="571" w:type="pct"/>
                  <w:vMerge w:val="restart"/>
                  <w:tcBorders>
                    <w:tl2br w:val="nil"/>
                    <w:tr2bl w:val="nil"/>
                  </w:tcBorders>
                  <w:noWrap w:val="0"/>
                  <w:vAlign w:val="center"/>
                </w:tcPr>
                <w:p w14:paraId="758BB391">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b/>
                      <w:bCs/>
                      <w:i w:val="0"/>
                      <w:iCs w:val="0"/>
                      <w:color w:val="auto"/>
                      <w:sz w:val="21"/>
                      <w:szCs w:val="21"/>
                      <w:u w:val="none" w:color="auto"/>
                    </w:rPr>
                  </w:pPr>
                  <w:r>
                    <w:rPr>
                      <w:rFonts w:hint="default" w:ascii="Times New Roman" w:hAnsi="Times New Roman" w:eastAsia="宋体" w:cs="Times New Roman"/>
                      <w:b/>
                      <w:bCs/>
                      <w:i w:val="0"/>
                      <w:iCs w:val="0"/>
                      <w:color w:val="auto"/>
                      <w:kern w:val="0"/>
                      <w:sz w:val="21"/>
                      <w:szCs w:val="21"/>
                      <w:u w:val="none" w:color="auto"/>
                      <w:lang w:val="en-US" w:eastAsia="zh-CN" w:bidi="ar"/>
                    </w:rPr>
                    <w:t>采样时间</w:t>
                  </w:r>
                </w:p>
              </w:tc>
              <w:tc>
                <w:tcPr>
                  <w:tcW w:w="495" w:type="pct"/>
                  <w:vMerge w:val="restart"/>
                  <w:tcBorders>
                    <w:tl2br w:val="nil"/>
                    <w:tr2bl w:val="nil"/>
                  </w:tcBorders>
                  <w:noWrap w:val="0"/>
                  <w:vAlign w:val="center"/>
                </w:tcPr>
                <w:p w14:paraId="7EDD9315">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b/>
                      <w:bCs/>
                      <w:i w:val="0"/>
                      <w:iCs w:val="0"/>
                      <w:color w:val="auto"/>
                      <w:sz w:val="21"/>
                      <w:szCs w:val="21"/>
                      <w:u w:val="none" w:color="auto"/>
                    </w:rPr>
                  </w:pPr>
                  <w:r>
                    <w:rPr>
                      <w:rFonts w:hint="default" w:ascii="Times New Roman" w:hAnsi="Times New Roman" w:eastAsia="宋体" w:cs="Times New Roman"/>
                      <w:b/>
                      <w:bCs/>
                      <w:i w:val="0"/>
                      <w:iCs w:val="0"/>
                      <w:color w:val="auto"/>
                      <w:kern w:val="0"/>
                      <w:sz w:val="21"/>
                      <w:szCs w:val="21"/>
                      <w:u w:val="none" w:color="auto"/>
                      <w:lang w:val="en-US" w:eastAsia="zh-CN" w:bidi="ar"/>
                    </w:rPr>
                    <w:t>采样点位</w:t>
                  </w:r>
                </w:p>
              </w:tc>
              <w:tc>
                <w:tcPr>
                  <w:tcW w:w="1239" w:type="pct"/>
                  <w:gridSpan w:val="2"/>
                  <w:vMerge w:val="restart"/>
                  <w:tcBorders>
                    <w:tl2br w:val="nil"/>
                    <w:tr2bl w:val="nil"/>
                  </w:tcBorders>
                  <w:noWrap w:val="0"/>
                  <w:vAlign w:val="center"/>
                </w:tcPr>
                <w:p w14:paraId="0BC442A3">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b/>
                      <w:bCs/>
                      <w:i w:val="0"/>
                      <w:iCs w:val="0"/>
                      <w:color w:val="auto"/>
                      <w:sz w:val="21"/>
                      <w:szCs w:val="21"/>
                      <w:u w:val="none" w:color="auto"/>
                    </w:rPr>
                  </w:pPr>
                  <w:r>
                    <w:rPr>
                      <w:rFonts w:hint="default" w:ascii="Times New Roman" w:hAnsi="Times New Roman" w:eastAsia="宋体" w:cs="Times New Roman"/>
                      <w:b/>
                      <w:bCs/>
                      <w:i w:val="0"/>
                      <w:iCs w:val="0"/>
                      <w:color w:val="auto"/>
                      <w:kern w:val="0"/>
                      <w:sz w:val="21"/>
                      <w:szCs w:val="21"/>
                      <w:u w:val="none" w:color="auto"/>
                      <w:lang w:val="en-US" w:eastAsia="zh-CN" w:bidi="ar"/>
                    </w:rPr>
                    <w:t>检测项目</w:t>
                  </w:r>
                </w:p>
              </w:tc>
              <w:tc>
                <w:tcPr>
                  <w:tcW w:w="1706" w:type="pct"/>
                  <w:gridSpan w:val="3"/>
                  <w:tcBorders>
                    <w:tl2br w:val="nil"/>
                    <w:tr2bl w:val="nil"/>
                  </w:tcBorders>
                  <w:noWrap w:val="0"/>
                  <w:vAlign w:val="center"/>
                </w:tcPr>
                <w:p w14:paraId="3F3AA343">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b/>
                      <w:bCs/>
                      <w:i w:val="0"/>
                      <w:iCs w:val="0"/>
                      <w:color w:val="auto"/>
                      <w:sz w:val="21"/>
                      <w:szCs w:val="21"/>
                      <w:u w:val="none" w:color="auto"/>
                    </w:rPr>
                  </w:pPr>
                  <w:r>
                    <w:rPr>
                      <w:rFonts w:hint="default" w:ascii="Times New Roman" w:hAnsi="Times New Roman" w:eastAsia="宋体" w:cs="Times New Roman"/>
                      <w:b/>
                      <w:bCs/>
                      <w:i w:val="0"/>
                      <w:iCs w:val="0"/>
                      <w:color w:val="auto"/>
                      <w:kern w:val="0"/>
                      <w:sz w:val="21"/>
                      <w:szCs w:val="21"/>
                      <w:u w:val="none" w:color="auto"/>
                      <w:lang w:val="en-US" w:eastAsia="zh-CN" w:bidi="ar"/>
                    </w:rPr>
                    <w:t>检测结果</w:t>
                  </w:r>
                </w:p>
              </w:tc>
              <w:tc>
                <w:tcPr>
                  <w:tcW w:w="492" w:type="pct"/>
                  <w:gridSpan w:val="2"/>
                  <w:vMerge w:val="restart"/>
                  <w:tcBorders>
                    <w:tl2br w:val="nil"/>
                    <w:tr2bl w:val="nil"/>
                  </w:tcBorders>
                  <w:noWrap w:val="0"/>
                  <w:vAlign w:val="center"/>
                </w:tcPr>
                <w:p w14:paraId="3EC94938">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b/>
                      <w:bCs/>
                      <w:i w:val="0"/>
                      <w:iCs w:val="0"/>
                      <w:color w:val="auto"/>
                      <w:kern w:val="0"/>
                      <w:sz w:val="21"/>
                      <w:szCs w:val="21"/>
                      <w:u w:val="none" w:color="auto"/>
                      <w:lang w:val="en-US" w:eastAsia="zh-CN" w:bidi="ar"/>
                    </w:rPr>
                  </w:pPr>
                  <w:r>
                    <w:rPr>
                      <w:rFonts w:hint="default" w:ascii="Times New Roman" w:hAnsi="Times New Roman" w:eastAsia="宋体" w:cs="Times New Roman"/>
                      <w:b/>
                      <w:bCs/>
                      <w:i w:val="0"/>
                      <w:iCs w:val="0"/>
                      <w:color w:val="auto"/>
                      <w:kern w:val="0"/>
                      <w:sz w:val="21"/>
                      <w:szCs w:val="21"/>
                      <w:u w:val="none" w:color="auto"/>
                      <w:lang w:val="en-US" w:eastAsia="zh-CN" w:bidi="ar"/>
                    </w:rPr>
                    <w:t>参考</w:t>
                  </w:r>
                </w:p>
                <w:p w14:paraId="207D7AF4">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b/>
                      <w:bCs/>
                      <w:i w:val="0"/>
                      <w:iCs w:val="0"/>
                      <w:color w:val="auto"/>
                      <w:sz w:val="21"/>
                      <w:szCs w:val="21"/>
                      <w:u w:val="none" w:color="auto"/>
                    </w:rPr>
                  </w:pPr>
                  <w:r>
                    <w:rPr>
                      <w:rFonts w:hint="default" w:ascii="Times New Roman" w:hAnsi="Times New Roman" w:eastAsia="宋体" w:cs="Times New Roman"/>
                      <w:b/>
                      <w:bCs/>
                      <w:i w:val="0"/>
                      <w:iCs w:val="0"/>
                      <w:color w:val="auto"/>
                      <w:kern w:val="0"/>
                      <w:sz w:val="21"/>
                      <w:szCs w:val="21"/>
                      <w:u w:val="none" w:color="auto"/>
                      <w:lang w:val="en-US" w:eastAsia="zh-CN" w:bidi="ar"/>
                    </w:rPr>
                    <w:t>限值</w:t>
                  </w:r>
                </w:p>
              </w:tc>
              <w:tc>
                <w:tcPr>
                  <w:tcW w:w="494" w:type="pct"/>
                  <w:vMerge w:val="restart"/>
                  <w:tcBorders>
                    <w:tl2br w:val="nil"/>
                    <w:tr2bl w:val="nil"/>
                  </w:tcBorders>
                  <w:noWrap w:val="0"/>
                  <w:vAlign w:val="center"/>
                </w:tcPr>
                <w:p w14:paraId="0C1D969C">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b/>
                      <w:bCs/>
                      <w:i w:val="0"/>
                      <w:iCs w:val="0"/>
                      <w:color w:val="auto"/>
                      <w:sz w:val="21"/>
                      <w:szCs w:val="21"/>
                      <w:u w:val="none" w:color="auto"/>
                    </w:rPr>
                  </w:pPr>
                  <w:r>
                    <w:rPr>
                      <w:rFonts w:hint="default" w:ascii="Times New Roman" w:hAnsi="Times New Roman" w:eastAsia="宋体" w:cs="Times New Roman"/>
                      <w:b/>
                      <w:bCs/>
                      <w:i w:val="0"/>
                      <w:iCs w:val="0"/>
                      <w:color w:val="auto"/>
                      <w:kern w:val="0"/>
                      <w:sz w:val="21"/>
                      <w:szCs w:val="21"/>
                      <w:u w:val="none" w:color="auto"/>
                      <w:lang w:val="en-US" w:eastAsia="zh-CN" w:bidi="ar"/>
                    </w:rPr>
                    <w:t>单位</w:t>
                  </w:r>
                </w:p>
              </w:tc>
            </w:tr>
            <w:tr w14:paraId="32FA9B9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blHeader/>
              </w:trPr>
              <w:tc>
                <w:tcPr>
                  <w:tcW w:w="571" w:type="pct"/>
                  <w:vMerge w:val="continue"/>
                  <w:tcBorders>
                    <w:tl2br w:val="nil"/>
                    <w:tr2bl w:val="nil"/>
                  </w:tcBorders>
                  <w:noWrap w:val="0"/>
                  <w:vAlign w:val="center"/>
                </w:tcPr>
                <w:p w14:paraId="258F4C48">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b/>
                      <w:bCs/>
                      <w:i w:val="0"/>
                      <w:iCs w:val="0"/>
                      <w:color w:val="auto"/>
                      <w:sz w:val="21"/>
                      <w:szCs w:val="21"/>
                      <w:u w:val="none" w:color="auto"/>
                    </w:rPr>
                  </w:pPr>
                </w:p>
              </w:tc>
              <w:tc>
                <w:tcPr>
                  <w:tcW w:w="495" w:type="pct"/>
                  <w:vMerge w:val="continue"/>
                  <w:tcBorders>
                    <w:tl2br w:val="nil"/>
                    <w:tr2bl w:val="nil"/>
                  </w:tcBorders>
                  <w:noWrap w:val="0"/>
                  <w:vAlign w:val="center"/>
                </w:tcPr>
                <w:p w14:paraId="5A31A24F">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b/>
                      <w:bCs/>
                      <w:i w:val="0"/>
                      <w:iCs w:val="0"/>
                      <w:color w:val="auto"/>
                      <w:sz w:val="21"/>
                      <w:szCs w:val="21"/>
                      <w:u w:val="none" w:color="auto"/>
                    </w:rPr>
                  </w:pPr>
                </w:p>
              </w:tc>
              <w:tc>
                <w:tcPr>
                  <w:tcW w:w="1239" w:type="pct"/>
                  <w:gridSpan w:val="2"/>
                  <w:vMerge w:val="continue"/>
                  <w:tcBorders>
                    <w:tl2br w:val="nil"/>
                    <w:tr2bl w:val="nil"/>
                  </w:tcBorders>
                  <w:noWrap w:val="0"/>
                  <w:vAlign w:val="center"/>
                </w:tcPr>
                <w:p w14:paraId="106A43F8">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b/>
                      <w:bCs/>
                      <w:i w:val="0"/>
                      <w:iCs w:val="0"/>
                      <w:color w:val="auto"/>
                      <w:sz w:val="21"/>
                      <w:szCs w:val="21"/>
                      <w:u w:val="none" w:color="auto"/>
                    </w:rPr>
                  </w:pPr>
                </w:p>
              </w:tc>
              <w:tc>
                <w:tcPr>
                  <w:tcW w:w="568" w:type="pct"/>
                  <w:tcBorders>
                    <w:tl2br w:val="nil"/>
                    <w:tr2bl w:val="nil"/>
                  </w:tcBorders>
                  <w:noWrap w:val="0"/>
                  <w:vAlign w:val="center"/>
                </w:tcPr>
                <w:p w14:paraId="7C046A54">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b/>
                      <w:bCs/>
                      <w:i w:val="0"/>
                      <w:iCs w:val="0"/>
                      <w:color w:val="auto"/>
                      <w:sz w:val="21"/>
                      <w:szCs w:val="21"/>
                      <w:u w:val="none" w:color="auto"/>
                    </w:rPr>
                  </w:pPr>
                  <w:r>
                    <w:rPr>
                      <w:rFonts w:hint="default" w:ascii="Times New Roman" w:hAnsi="Times New Roman" w:eastAsia="宋体" w:cs="Times New Roman"/>
                      <w:b/>
                      <w:bCs/>
                      <w:i w:val="0"/>
                      <w:iCs w:val="0"/>
                      <w:color w:val="auto"/>
                      <w:kern w:val="0"/>
                      <w:sz w:val="21"/>
                      <w:szCs w:val="21"/>
                      <w:u w:val="none" w:color="auto"/>
                      <w:lang w:val="en-US" w:eastAsia="zh-CN" w:bidi="ar"/>
                    </w:rPr>
                    <w:t>第一次</w:t>
                  </w:r>
                </w:p>
              </w:tc>
              <w:tc>
                <w:tcPr>
                  <w:tcW w:w="568" w:type="pct"/>
                  <w:tcBorders>
                    <w:tl2br w:val="nil"/>
                    <w:tr2bl w:val="nil"/>
                  </w:tcBorders>
                  <w:noWrap w:val="0"/>
                  <w:vAlign w:val="center"/>
                </w:tcPr>
                <w:p w14:paraId="0DF88444">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b/>
                      <w:bCs/>
                      <w:i w:val="0"/>
                      <w:iCs w:val="0"/>
                      <w:color w:val="auto"/>
                      <w:sz w:val="21"/>
                      <w:szCs w:val="21"/>
                      <w:u w:val="none" w:color="auto"/>
                    </w:rPr>
                  </w:pPr>
                  <w:r>
                    <w:rPr>
                      <w:rFonts w:hint="default" w:ascii="Times New Roman" w:hAnsi="Times New Roman" w:eastAsia="宋体" w:cs="Times New Roman"/>
                      <w:b/>
                      <w:bCs/>
                      <w:i w:val="0"/>
                      <w:iCs w:val="0"/>
                      <w:color w:val="auto"/>
                      <w:kern w:val="0"/>
                      <w:sz w:val="21"/>
                      <w:szCs w:val="21"/>
                      <w:u w:val="none" w:color="auto"/>
                      <w:lang w:val="en-US" w:eastAsia="zh-CN" w:bidi="ar"/>
                    </w:rPr>
                    <w:t>第二次</w:t>
                  </w:r>
                </w:p>
              </w:tc>
              <w:tc>
                <w:tcPr>
                  <w:tcW w:w="568" w:type="pct"/>
                  <w:tcBorders>
                    <w:tl2br w:val="nil"/>
                    <w:tr2bl w:val="nil"/>
                  </w:tcBorders>
                  <w:noWrap w:val="0"/>
                  <w:vAlign w:val="center"/>
                </w:tcPr>
                <w:p w14:paraId="7856336E">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b/>
                      <w:bCs/>
                      <w:i w:val="0"/>
                      <w:iCs w:val="0"/>
                      <w:color w:val="auto"/>
                      <w:sz w:val="21"/>
                      <w:szCs w:val="21"/>
                      <w:u w:val="none" w:color="auto"/>
                    </w:rPr>
                  </w:pPr>
                  <w:r>
                    <w:rPr>
                      <w:rFonts w:hint="default" w:ascii="Times New Roman" w:hAnsi="Times New Roman" w:eastAsia="宋体" w:cs="Times New Roman"/>
                      <w:b/>
                      <w:bCs/>
                      <w:i w:val="0"/>
                      <w:iCs w:val="0"/>
                      <w:color w:val="auto"/>
                      <w:kern w:val="0"/>
                      <w:sz w:val="21"/>
                      <w:szCs w:val="21"/>
                      <w:u w:val="none" w:color="auto"/>
                      <w:lang w:val="en-US" w:eastAsia="zh-CN" w:bidi="ar"/>
                    </w:rPr>
                    <w:t>第三次</w:t>
                  </w:r>
                </w:p>
              </w:tc>
              <w:tc>
                <w:tcPr>
                  <w:tcW w:w="492" w:type="pct"/>
                  <w:gridSpan w:val="2"/>
                  <w:vMerge w:val="continue"/>
                  <w:tcBorders>
                    <w:tl2br w:val="nil"/>
                    <w:tr2bl w:val="nil"/>
                  </w:tcBorders>
                  <w:noWrap w:val="0"/>
                  <w:vAlign w:val="center"/>
                </w:tcPr>
                <w:p w14:paraId="30373911">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b/>
                      <w:bCs/>
                      <w:i w:val="0"/>
                      <w:iCs w:val="0"/>
                      <w:color w:val="auto"/>
                      <w:sz w:val="21"/>
                      <w:szCs w:val="21"/>
                      <w:u w:val="none" w:color="auto"/>
                    </w:rPr>
                  </w:pPr>
                </w:p>
              </w:tc>
              <w:tc>
                <w:tcPr>
                  <w:tcW w:w="494" w:type="pct"/>
                  <w:vMerge w:val="continue"/>
                  <w:tcBorders>
                    <w:tl2br w:val="nil"/>
                    <w:tr2bl w:val="nil"/>
                  </w:tcBorders>
                  <w:noWrap w:val="0"/>
                  <w:vAlign w:val="center"/>
                </w:tcPr>
                <w:p w14:paraId="447AFBF5">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b/>
                      <w:bCs/>
                      <w:i w:val="0"/>
                      <w:iCs w:val="0"/>
                      <w:color w:val="auto"/>
                      <w:sz w:val="21"/>
                      <w:szCs w:val="21"/>
                      <w:u w:val="none" w:color="auto"/>
                    </w:rPr>
                  </w:pPr>
                </w:p>
              </w:tc>
            </w:tr>
            <w:tr w14:paraId="7544204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571" w:type="pct"/>
                  <w:vMerge w:val="restart"/>
                  <w:tcBorders>
                    <w:tl2br w:val="nil"/>
                    <w:tr2bl w:val="nil"/>
                  </w:tcBorders>
                  <w:noWrap/>
                  <w:vAlign w:val="center"/>
                </w:tcPr>
                <w:p w14:paraId="44C345C1">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5月30日</w:t>
                  </w:r>
                </w:p>
              </w:tc>
              <w:tc>
                <w:tcPr>
                  <w:tcW w:w="495" w:type="pct"/>
                  <w:vMerge w:val="restart"/>
                  <w:tcBorders>
                    <w:tl2br w:val="nil"/>
                    <w:tr2bl w:val="nil"/>
                  </w:tcBorders>
                  <w:noWrap w:val="0"/>
                  <w:vAlign w:val="center"/>
                </w:tcPr>
                <w:p w14:paraId="53B4AF24">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DA005进口</w:t>
                  </w:r>
                </w:p>
              </w:tc>
              <w:tc>
                <w:tcPr>
                  <w:tcW w:w="1239" w:type="pct"/>
                  <w:gridSpan w:val="2"/>
                  <w:tcBorders>
                    <w:tl2br w:val="nil"/>
                    <w:tr2bl w:val="nil"/>
                  </w:tcBorders>
                  <w:noWrap w:val="0"/>
                  <w:vAlign w:val="center"/>
                </w:tcPr>
                <w:p w14:paraId="068EBC03">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标干流量</w:t>
                  </w:r>
                </w:p>
              </w:tc>
              <w:tc>
                <w:tcPr>
                  <w:tcW w:w="568" w:type="pct"/>
                  <w:tcBorders>
                    <w:tl2br w:val="nil"/>
                    <w:tr2bl w:val="nil"/>
                  </w:tcBorders>
                  <w:noWrap w:val="0"/>
                  <w:vAlign w:val="center"/>
                </w:tcPr>
                <w:p w14:paraId="46205F07">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11521</w:t>
                  </w:r>
                </w:p>
              </w:tc>
              <w:tc>
                <w:tcPr>
                  <w:tcW w:w="568" w:type="pct"/>
                  <w:tcBorders>
                    <w:tl2br w:val="nil"/>
                    <w:tr2bl w:val="nil"/>
                  </w:tcBorders>
                  <w:noWrap w:val="0"/>
                  <w:vAlign w:val="center"/>
                </w:tcPr>
                <w:p w14:paraId="44B95ABC">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12550</w:t>
                  </w:r>
                </w:p>
              </w:tc>
              <w:tc>
                <w:tcPr>
                  <w:tcW w:w="568" w:type="pct"/>
                  <w:tcBorders>
                    <w:tl2br w:val="nil"/>
                    <w:tr2bl w:val="nil"/>
                  </w:tcBorders>
                  <w:noWrap w:val="0"/>
                  <w:vAlign w:val="center"/>
                </w:tcPr>
                <w:p w14:paraId="2DC88AA8">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12429</w:t>
                  </w:r>
                </w:p>
              </w:tc>
              <w:tc>
                <w:tcPr>
                  <w:tcW w:w="492" w:type="pct"/>
                  <w:gridSpan w:val="2"/>
                  <w:tcBorders>
                    <w:tl2br w:val="nil"/>
                    <w:tr2bl w:val="nil"/>
                  </w:tcBorders>
                  <w:noWrap w:val="0"/>
                  <w:vAlign w:val="center"/>
                </w:tcPr>
                <w:p w14:paraId="703AE149">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494" w:type="pct"/>
                  <w:tcBorders>
                    <w:tl2br w:val="nil"/>
                    <w:tr2bl w:val="nil"/>
                  </w:tcBorders>
                  <w:noWrap w:val="0"/>
                  <w:vAlign w:val="center"/>
                </w:tcPr>
                <w:p w14:paraId="39A9095A">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Nm</w:t>
                  </w:r>
                  <w:r>
                    <w:rPr>
                      <w:rFonts w:hint="default" w:ascii="Times New Roman" w:hAnsi="Times New Roman" w:eastAsia="宋体" w:cs="Times New Roman"/>
                      <w:i w:val="0"/>
                      <w:iCs w:val="0"/>
                      <w:color w:val="auto"/>
                      <w:kern w:val="0"/>
                      <w:sz w:val="21"/>
                      <w:szCs w:val="21"/>
                      <w:u w:val="none" w:color="auto"/>
                      <w:vertAlign w:val="superscript"/>
                      <w:lang w:val="en-US" w:eastAsia="zh-CN" w:bidi="ar"/>
                    </w:rPr>
                    <w:t>3</w:t>
                  </w:r>
                  <w:r>
                    <w:rPr>
                      <w:rFonts w:hint="default" w:ascii="Times New Roman" w:hAnsi="Times New Roman" w:eastAsia="宋体" w:cs="Times New Roman"/>
                      <w:i w:val="0"/>
                      <w:iCs w:val="0"/>
                      <w:color w:val="auto"/>
                      <w:kern w:val="0"/>
                      <w:sz w:val="21"/>
                      <w:szCs w:val="21"/>
                      <w:u w:val="none" w:color="auto"/>
                      <w:lang w:val="en-US" w:eastAsia="zh-CN" w:bidi="ar"/>
                    </w:rPr>
                    <w:t>/h</w:t>
                  </w:r>
                </w:p>
              </w:tc>
            </w:tr>
            <w:tr w14:paraId="0CBF161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571" w:type="pct"/>
                  <w:vMerge w:val="continue"/>
                  <w:tcBorders>
                    <w:tl2br w:val="nil"/>
                    <w:tr2bl w:val="nil"/>
                  </w:tcBorders>
                  <w:noWrap/>
                  <w:vAlign w:val="center"/>
                </w:tcPr>
                <w:p w14:paraId="78C30C19">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495" w:type="pct"/>
                  <w:vMerge w:val="continue"/>
                  <w:tcBorders>
                    <w:tl2br w:val="nil"/>
                    <w:tr2bl w:val="nil"/>
                  </w:tcBorders>
                  <w:noWrap w:val="0"/>
                  <w:vAlign w:val="center"/>
                </w:tcPr>
                <w:p w14:paraId="4D731856">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1239" w:type="pct"/>
                  <w:gridSpan w:val="2"/>
                  <w:tcBorders>
                    <w:tl2br w:val="nil"/>
                    <w:tr2bl w:val="nil"/>
                  </w:tcBorders>
                  <w:noWrap w:val="0"/>
                  <w:vAlign w:val="center"/>
                </w:tcPr>
                <w:p w14:paraId="2DB0EC30">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平均烟温</w:t>
                  </w:r>
                </w:p>
              </w:tc>
              <w:tc>
                <w:tcPr>
                  <w:tcW w:w="568" w:type="pct"/>
                  <w:tcBorders>
                    <w:tl2br w:val="nil"/>
                    <w:tr2bl w:val="nil"/>
                  </w:tcBorders>
                  <w:noWrap w:val="0"/>
                  <w:vAlign w:val="center"/>
                </w:tcPr>
                <w:p w14:paraId="36FAAEDB">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139.6</w:t>
                  </w:r>
                </w:p>
              </w:tc>
              <w:tc>
                <w:tcPr>
                  <w:tcW w:w="568" w:type="pct"/>
                  <w:tcBorders>
                    <w:tl2br w:val="nil"/>
                    <w:tr2bl w:val="nil"/>
                  </w:tcBorders>
                  <w:noWrap w:val="0"/>
                  <w:vAlign w:val="center"/>
                </w:tcPr>
                <w:p w14:paraId="3AFE7E67">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139.4</w:t>
                  </w:r>
                </w:p>
              </w:tc>
              <w:tc>
                <w:tcPr>
                  <w:tcW w:w="568" w:type="pct"/>
                  <w:tcBorders>
                    <w:tl2br w:val="nil"/>
                    <w:tr2bl w:val="nil"/>
                  </w:tcBorders>
                  <w:noWrap w:val="0"/>
                  <w:vAlign w:val="center"/>
                </w:tcPr>
                <w:p w14:paraId="2FD8B8F6">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140.1</w:t>
                  </w:r>
                </w:p>
              </w:tc>
              <w:tc>
                <w:tcPr>
                  <w:tcW w:w="492" w:type="pct"/>
                  <w:gridSpan w:val="2"/>
                  <w:tcBorders>
                    <w:tl2br w:val="nil"/>
                    <w:tr2bl w:val="nil"/>
                  </w:tcBorders>
                  <w:noWrap w:val="0"/>
                  <w:vAlign w:val="center"/>
                </w:tcPr>
                <w:p w14:paraId="11F02028">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494" w:type="pct"/>
                  <w:tcBorders>
                    <w:tl2br w:val="nil"/>
                    <w:tr2bl w:val="nil"/>
                  </w:tcBorders>
                  <w:noWrap w:val="0"/>
                  <w:vAlign w:val="center"/>
                </w:tcPr>
                <w:p w14:paraId="2C0D2208">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r>
            <w:tr w14:paraId="0094269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571" w:type="pct"/>
                  <w:vMerge w:val="continue"/>
                  <w:tcBorders>
                    <w:tl2br w:val="nil"/>
                    <w:tr2bl w:val="nil"/>
                  </w:tcBorders>
                  <w:noWrap/>
                  <w:vAlign w:val="center"/>
                </w:tcPr>
                <w:p w14:paraId="2ED68E36">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495" w:type="pct"/>
                  <w:vMerge w:val="continue"/>
                  <w:tcBorders>
                    <w:tl2br w:val="nil"/>
                    <w:tr2bl w:val="nil"/>
                  </w:tcBorders>
                  <w:noWrap w:val="0"/>
                  <w:vAlign w:val="center"/>
                </w:tcPr>
                <w:p w14:paraId="3A7277E4">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1239" w:type="pct"/>
                  <w:gridSpan w:val="2"/>
                  <w:tcBorders>
                    <w:tl2br w:val="nil"/>
                    <w:tr2bl w:val="nil"/>
                  </w:tcBorders>
                  <w:noWrap w:val="0"/>
                  <w:vAlign w:val="center"/>
                </w:tcPr>
                <w:p w14:paraId="3C9AD8E5">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平均流速</w:t>
                  </w:r>
                </w:p>
              </w:tc>
              <w:tc>
                <w:tcPr>
                  <w:tcW w:w="568" w:type="pct"/>
                  <w:tcBorders>
                    <w:tl2br w:val="nil"/>
                    <w:tr2bl w:val="nil"/>
                  </w:tcBorders>
                  <w:noWrap w:val="0"/>
                  <w:vAlign w:val="center"/>
                </w:tcPr>
                <w:p w14:paraId="741CC7E6">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17.7</w:t>
                  </w:r>
                </w:p>
              </w:tc>
              <w:tc>
                <w:tcPr>
                  <w:tcW w:w="568" w:type="pct"/>
                  <w:tcBorders>
                    <w:tl2br w:val="nil"/>
                    <w:tr2bl w:val="nil"/>
                  </w:tcBorders>
                  <w:noWrap w:val="0"/>
                  <w:vAlign w:val="center"/>
                </w:tcPr>
                <w:p w14:paraId="56BAECBE">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19.3</w:t>
                  </w:r>
                </w:p>
              </w:tc>
              <w:tc>
                <w:tcPr>
                  <w:tcW w:w="568" w:type="pct"/>
                  <w:tcBorders>
                    <w:tl2br w:val="nil"/>
                    <w:tr2bl w:val="nil"/>
                  </w:tcBorders>
                  <w:noWrap w:val="0"/>
                  <w:vAlign w:val="center"/>
                </w:tcPr>
                <w:p w14:paraId="6467252D">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19.2</w:t>
                  </w:r>
                </w:p>
              </w:tc>
              <w:tc>
                <w:tcPr>
                  <w:tcW w:w="492" w:type="pct"/>
                  <w:gridSpan w:val="2"/>
                  <w:tcBorders>
                    <w:tl2br w:val="nil"/>
                    <w:tr2bl w:val="nil"/>
                  </w:tcBorders>
                  <w:noWrap w:val="0"/>
                  <w:vAlign w:val="center"/>
                </w:tcPr>
                <w:p w14:paraId="38B52379">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494" w:type="pct"/>
                  <w:tcBorders>
                    <w:tl2br w:val="nil"/>
                    <w:tr2bl w:val="nil"/>
                  </w:tcBorders>
                  <w:noWrap w:val="0"/>
                  <w:vAlign w:val="center"/>
                </w:tcPr>
                <w:p w14:paraId="49D2D33D">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m/s</w:t>
                  </w:r>
                </w:p>
              </w:tc>
            </w:tr>
            <w:tr w14:paraId="425E7DD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571" w:type="pct"/>
                  <w:vMerge w:val="continue"/>
                  <w:tcBorders>
                    <w:tl2br w:val="nil"/>
                    <w:tr2bl w:val="nil"/>
                  </w:tcBorders>
                  <w:noWrap/>
                  <w:vAlign w:val="center"/>
                </w:tcPr>
                <w:p w14:paraId="1E493033">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495" w:type="pct"/>
                  <w:vMerge w:val="continue"/>
                  <w:tcBorders>
                    <w:tl2br w:val="nil"/>
                    <w:tr2bl w:val="nil"/>
                  </w:tcBorders>
                  <w:noWrap w:val="0"/>
                  <w:vAlign w:val="center"/>
                </w:tcPr>
                <w:p w14:paraId="6587862B">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1239" w:type="pct"/>
                  <w:gridSpan w:val="2"/>
                  <w:tcBorders>
                    <w:tl2br w:val="nil"/>
                    <w:tr2bl w:val="nil"/>
                  </w:tcBorders>
                  <w:noWrap w:val="0"/>
                  <w:vAlign w:val="center"/>
                </w:tcPr>
                <w:p w14:paraId="72CFEB56">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含氧量</w:t>
                  </w:r>
                </w:p>
              </w:tc>
              <w:tc>
                <w:tcPr>
                  <w:tcW w:w="568" w:type="pct"/>
                  <w:tcBorders>
                    <w:tl2br w:val="nil"/>
                    <w:tr2bl w:val="nil"/>
                  </w:tcBorders>
                  <w:noWrap w:val="0"/>
                  <w:vAlign w:val="center"/>
                </w:tcPr>
                <w:p w14:paraId="11567AE2">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10.7</w:t>
                  </w:r>
                </w:p>
              </w:tc>
              <w:tc>
                <w:tcPr>
                  <w:tcW w:w="568" w:type="pct"/>
                  <w:tcBorders>
                    <w:tl2br w:val="nil"/>
                    <w:tr2bl w:val="nil"/>
                  </w:tcBorders>
                  <w:noWrap w:val="0"/>
                  <w:vAlign w:val="center"/>
                </w:tcPr>
                <w:p w14:paraId="0F26CB3F">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10.7</w:t>
                  </w:r>
                </w:p>
              </w:tc>
              <w:tc>
                <w:tcPr>
                  <w:tcW w:w="568" w:type="pct"/>
                  <w:tcBorders>
                    <w:tl2br w:val="nil"/>
                    <w:tr2bl w:val="nil"/>
                  </w:tcBorders>
                  <w:noWrap w:val="0"/>
                  <w:vAlign w:val="center"/>
                </w:tcPr>
                <w:p w14:paraId="1A6C9370">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10.6</w:t>
                  </w:r>
                </w:p>
              </w:tc>
              <w:tc>
                <w:tcPr>
                  <w:tcW w:w="492" w:type="pct"/>
                  <w:gridSpan w:val="2"/>
                  <w:tcBorders>
                    <w:tl2br w:val="nil"/>
                    <w:tr2bl w:val="nil"/>
                  </w:tcBorders>
                  <w:noWrap w:val="0"/>
                  <w:vAlign w:val="center"/>
                </w:tcPr>
                <w:p w14:paraId="30EC9D94">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494" w:type="pct"/>
                  <w:tcBorders>
                    <w:tl2br w:val="nil"/>
                    <w:tr2bl w:val="nil"/>
                  </w:tcBorders>
                  <w:noWrap w:val="0"/>
                  <w:vAlign w:val="center"/>
                </w:tcPr>
                <w:p w14:paraId="0C410548">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r>
            <w:tr w14:paraId="651186A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571" w:type="pct"/>
                  <w:vMerge w:val="continue"/>
                  <w:tcBorders>
                    <w:tl2br w:val="nil"/>
                    <w:tr2bl w:val="nil"/>
                  </w:tcBorders>
                  <w:noWrap/>
                  <w:vAlign w:val="center"/>
                </w:tcPr>
                <w:p w14:paraId="0CDEA3A9">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495" w:type="pct"/>
                  <w:vMerge w:val="continue"/>
                  <w:tcBorders>
                    <w:tl2br w:val="nil"/>
                    <w:tr2bl w:val="nil"/>
                  </w:tcBorders>
                  <w:noWrap w:val="0"/>
                  <w:vAlign w:val="center"/>
                </w:tcPr>
                <w:p w14:paraId="0AF79AA5">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488" w:type="pct"/>
                  <w:vMerge w:val="restart"/>
                  <w:tcBorders>
                    <w:tl2br w:val="nil"/>
                    <w:tr2bl w:val="nil"/>
                  </w:tcBorders>
                  <w:noWrap w:val="0"/>
                  <w:vAlign w:val="center"/>
                </w:tcPr>
                <w:p w14:paraId="2BF98DD8">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二氧化硫</w:t>
                  </w:r>
                </w:p>
              </w:tc>
              <w:tc>
                <w:tcPr>
                  <w:tcW w:w="750" w:type="pct"/>
                  <w:tcBorders>
                    <w:tl2br w:val="nil"/>
                    <w:tr2bl w:val="nil"/>
                  </w:tcBorders>
                  <w:noWrap w:val="0"/>
                  <w:vAlign w:val="center"/>
                </w:tcPr>
                <w:p w14:paraId="1D20E75B">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实测浓度</w:t>
                  </w:r>
                </w:p>
              </w:tc>
              <w:tc>
                <w:tcPr>
                  <w:tcW w:w="568" w:type="pct"/>
                  <w:tcBorders>
                    <w:tl2br w:val="nil"/>
                    <w:tr2bl w:val="nil"/>
                  </w:tcBorders>
                  <w:noWrap w:val="0"/>
                  <w:vAlign w:val="center"/>
                </w:tcPr>
                <w:p w14:paraId="15B2E881">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6</w:t>
                  </w:r>
                </w:p>
              </w:tc>
              <w:tc>
                <w:tcPr>
                  <w:tcW w:w="568" w:type="pct"/>
                  <w:tcBorders>
                    <w:tl2br w:val="nil"/>
                    <w:tr2bl w:val="nil"/>
                  </w:tcBorders>
                  <w:noWrap w:val="0"/>
                  <w:vAlign w:val="center"/>
                </w:tcPr>
                <w:p w14:paraId="14566DAF">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6</w:t>
                  </w:r>
                </w:p>
              </w:tc>
              <w:tc>
                <w:tcPr>
                  <w:tcW w:w="568" w:type="pct"/>
                  <w:tcBorders>
                    <w:tl2br w:val="nil"/>
                    <w:tr2bl w:val="nil"/>
                  </w:tcBorders>
                  <w:noWrap w:val="0"/>
                  <w:vAlign w:val="center"/>
                </w:tcPr>
                <w:p w14:paraId="450EF1A6">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5</w:t>
                  </w:r>
                </w:p>
              </w:tc>
              <w:tc>
                <w:tcPr>
                  <w:tcW w:w="492" w:type="pct"/>
                  <w:gridSpan w:val="2"/>
                  <w:tcBorders>
                    <w:tl2br w:val="nil"/>
                    <w:tr2bl w:val="nil"/>
                  </w:tcBorders>
                  <w:noWrap w:val="0"/>
                  <w:vAlign w:val="center"/>
                </w:tcPr>
                <w:p w14:paraId="300708BD">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494" w:type="pct"/>
                  <w:tcBorders>
                    <w:tl2br w:val="nil"/>
                    <w:tr2bl w:val="nil"/>
                  </w:tcBorders>
                  <w:noWrap w:val="0"/>
                  <w:vAlign w:val="center"/>
                </w:tcPr>
                <w:p w14:paraId="01ADC08C">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mg/m</w:t>
                  </w:r>
                  <w:r>
                    <w:rPr>
                      <w:rFonts w:hint="default" w:ascii="Times New Roman" w:hAnsi="Times New Roman" w:eastAsia="宋体" w:cs="Times New Roman"/>
                      <w:i w:val="0"/>
                      <w:iCs w:val="0"/>
                      <w:color w:val="auto"/>
                      <w:kern w:val="0"/>
                      <w:sz w:val="21"/>
                      <w:szCs w:val="21"/>
                      <w:u w:val="none" w:color="auto"/>
                      <w:vertAlign w:val="superscript"/>
                      <w:lang w:val="en-US" w:eastAsia="zh-CN" w:bidi="ar"/>
                    </w:rPr>
                    <w:t>3</w:t>
                  </w:r>
                </w:p>
              </w:tc>
            </w:tr>
            <w:tr w14:paraId="2311614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571" w:type="pct"/>
                  <w:vMerge w:val="continue"/>
                  <w:tcBorders>
                    <w:tl2br w:val="nil"/>
                    <w:tr2bl w:val="nil"/>
                  </w:tcBorders>
                  <w:noWrap/>
                  <w:vAlign w:val="center"/>
                </w:tcPr>
                <w:p w14:paraId="70616548">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495" w:type="pct"/>
                  <w:vMerge w:val="continue"/>
                  <w:tcBorders>
                    <w:tl2br w:val="nil"/>
                    <w:tr2bl w:val="nil"/>
                  </w:tcBorders>
                  <w:noWrap w:val="0"/>
                  <w:vAlign w:val="center"/>
                </w:tcPr>
                <w:p w14:paraId="472189B1">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488" w:type="pct"/>
                  <w:vMerge w:val="continue"/>
                  <w:tcBorders>
                    <w:tl2br w:val="nil"/>
                    <w:tr2bl w:val="nil"/>
                  </w:tcBorders>
                  <w:noWrap w:val="0"/>
                  <w:vAlign w:val="center"/>
                </w:tcPr>
                <w:p w14:paraId="744C967E">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750" w:type="pct"/>
                  <w:tcBorders>
                    <w:tl2br w:val="nil"/>
                    <w:tr2bl w:val="nil"/>
                  </w:tcBorders>
                  <w:noWrap w:val="0"/>
                  <w:vAlign w:val="center"/>
                </w:tcPr>
                <w:p w14:paraId="24977B3B">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折算浓度</w:t>
                  </w:r>
                </w:p>
              </w:tc>
              <w:tc>
                <w:tcPr>
                  <w:tcW w:w="568" w:type="pct"/>
                  <w:tcBorders>
                    <w:tl2br w:val="nil"/>
                    <w:tr2bl w:val="nil"/>
                  </w:tcBorders>
                  <w:noWrap w:val="0"/>
                  <w:vAlign w:val="center"/>
                </w:tcPr>
                <w:p w14:paraId="534A6711">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10</w:t>
                  </w:r>
                </w:p>
              </w:tc>
              <w:tc>
                <w:tcPr>
                  <w:tcW w:w="568" w:type="pct"/>
                  <w:tcBorders>
                    <w:tl2br w:val="nil"/>
                    <w:tr2bl w:val="nil"/>
                  </w:tcBorders>
                  <w:noWrap w:val="0"/>
                  <w:vAlign w:val="center"/>
                </w:tcPr>
                <w:p w14:paraId="08855754">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10</w:t>
                  </w:r>
                </w:p>
              </w:tc>
              <w:tc>
                <w:tcPr>
                  <w:tcW w:w="568" w:type="pct"/>
                  <w:tcBorders>
                    <w:tl2br w:val="nil"/>
                    <w:tr2bl w:val="nil"/>
                  </w:tcBorders>
                  <w:noWrap w:val="0"/>
                  <w:vAlign w:val="center"/>
                </w:tcPr>
                <w:p w14:paraId="3484071F">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8</w:t>
                  </w:r>
                </w:p>
              </w:tc>
              <w:tc>
                <w:tcPr>
                  <w:tcW w:w="492" w:type="pct"/>
                  <w:gridSpan w:val="2"/>
                  <w:tcBorders>
                    <w:tl2br w:val="nil"/>
                    <w:tr2bl w:val="nil"/>
                  </w:tcBorders>
                  <w:noWrap w:val="0"/>
                  <w:vAlign w:val="center"/>
                </w:tcPr>
                <w:p w14:paraId="4754203C">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494" w:type="pct"/>
                  <w:tcBorders>
                    <w:tl2br w:val="nil"/>
                    <w:tr2bl w:val="nil"/>
                  </w:tcBorders>
                  <w:noWrap w:val="0"/>
                  <w:vAlign w:val="center"/>
                </w:tcPr>
                <w:p w14:paraId="730C27CE">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mg/m</w:t>
                  </w:r>
                  <w:r>
                    <w:rPr>
                      <w:rFonts w:hint="default" w:ascii="Times New Roman" w:hAnsi="Times New Roman" w:eastAsia="宋体" w:cs="Times New Roman"/>
                      <w:i w:val="0"/>
                      <w:iCs w:val="0"/>
                      <w:color w:val="auto"/>
                      <w:kern w:val="0"/>
                      <w:sz w:val="21"/>
                      <w:szCs w:val="21"/>
                      <w:u w:val="none" w:color="auto"/>
                      <w:vertAlign w:val="superscript"/>
                      <w:lang w:val="en-US" w:eastAsia="zh-CN" w:bidi="ar"/>
                    </w:rPr>
                    <w:t>3</w:t>
                  </w:r>
                </w:p>
              </w:tc>
            </w:tr>
            <w:tr w14:paraId="6C7192C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571" w:type="pct"/>
                  <w:vMerge w:val="continue"/>
                  <w:tcBorders>
                    <w:tl2br w:val="nil"/>
                    <w:tr2bl w:val="nil"/>
                  </w:tcBorders>
                  <w:noWrap/>
                  <w:vAlign w:val="center"/>
                </w:tcPr>
                <w:p w14:paraId="1A59C3C5">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495" w:type="pct"/>
                  <w:vMerge w:val="continue"/>
                  <w:tcBorders>
                    <w:tl2br w:val="nil"/>
                    <w:tr2bl w:val="nil"/>
                  </w:tcBorders>
                  <w:noWrap w:val="0"/>
                  <w:vAlign w:val="center"/>
                </w:tcPr>
                <w:p w14:paraId="63E2BE6D">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488" w:type="pct"/>
                  <w:vMerge w:val="continue"/>
                  <w:tcBorders>
                    <w:tl2br w:val="nil"/>
                    <w:tr2bl w:val="nil"/>
                  </w:tcBorders>
                  <w:noWrap w:val="0"/>
                  <w:vAlign w:val="center"/>
                </w:tcPr>
                <w:p w14:paraId="264BABA0">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750" w:type="pct"/>
                  <w:tcBorders>
                    <w:tl2br w:val="nil"/>
                    <w:tr2bl w:val="nil"/>
                  </w:tcBorders>
                  <w:noWrap w:val="0"/>
                  <w:vAlign w:val="center"/>
                </w:tcPr>
                <w:p w14:paraId="365B1755">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排放速率</w:t>
                  </w:r>
                </w:p>
              </w:tc>
              <w:tc>
                <w:tcPr>
                  <w:tcW w:w="568" w:type="pct"/>
                  <w:tcBorders>
                    <w:tl2br w:val="nil"/>
                    <w:tr2bl w:val="nil"/>
                  </w:tcBorders>
                  <w:noWrap w:val="0"/>
                  <w:vAlign w:val="center"/>
                </w:tcPr>
                <w:p w14:paraId="360E8539">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0.07</w:t>
                  </w:r>
                </w:p>
              </w:tc>
              <w:tc>
                <w:tcPr>
                  <w:tcW w:w="568" w:type="pct"/>
                  <w:tcBorders>
                    <w:tl2br w:val="nil"/>
                    <w:tr2bl w:val="nil"/>
                  </w:tcBorders>
                  <w:noWrap w:val="0"/>
                  <w:vAlign w:val="center"/>
                </w:tcPr>
                <w:p w14:paraId="56B54411">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0.08</w:t>
                  </w:r>
                </w:p>
              </w:tc>
              <w:tc>
                <w:tcPr>
                  <w:tcW w:w="568" w:type="pct"/>
                  <w:tcBorders>
                    <w:tl2br w:val="nil"/>
                    <w:tr2bl w:val="nil"/>
                  </w:tcBorders>
                  <w:noWrap w:val="0"/>
                  <w:vAlign w:val="center"/>
                </w:tcPr>
                <w:p w14:paraId="3D1FFBF6">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0.06</w:t>
                  </w:r>
                </w:p>
              </w:tc>
              <w:tc>
                <w:tcPr>
                  <w:tcW w:w="492" w:type="pct"/>
                  <w:gridSpan w:val="2"/>
                  <w:tcBorders>
                    <w:tl2br w:val="nil"/>
                    <w:tr2bl w:val="nil"/>
                  </w:tcBorders>
                  <w:noWrap w:val="0"/>
                  <w:vAlign w:val="center"/>
                </w:tcPr>
                <w:p w14:paraId="3349CFF9">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494" w:type="pct"/>
                  <w:tcBorders>
                    <w:tl2br w:val="nil"/>
                    <w:tr2bl w:val="nil"/>
                  </w:tcBorders>
                  <w:noWrap w:val="0"/>
                  <w:vAlign w:val="center"/>
                </w:tcPr>
                <w:p w14:paraId="47758416">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kg/h</w:t>
                  </w:r>
                </w:p>
              </w:tc>
            </w:tr>
            <w:tr w14:paraId="27CF45F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571" w:type="pct"/>
                  <w:vMerge w:val="continue"/>
                  <w:tcBorders>
                    <w:tl2br w:val="nil"/>
                    <w:tr2bl w:val="nil"/>
                  </w:tcBorders>
                  <w:noWrap/>
                  <w:vAlign w:val="center"/>
                </w:tcPr>
                <w:p w14:paraId="0A1DF5CF">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495" w:type="pct"/>
                  <w:vMerge w:val="continue"/>
                  <w:tcBorders>
                    <w:tl2br w:val="nil"/>
                    <w:tr2bl w:val="nil"/>
                  </w:tcBorders>
                  <w:noWrap w:val="0"/>
                  <w:vAlign w:val="center"/>
                </w:tcPr>
                <w:p w14:paraId="7B7EF0D1">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488" w:type="pct"/>
                  <w:vMerge w:val="restart"/>
                  <w:tcBorders>
                    <w:tl2br w:val="nil"/>
                    <w:tr2bl w:val="nil"/>
                  </w:tcBorders>
                  <w:noWrap w:val="0"/>
                  <w:vAlign w:val="center"/>
                </w:tcPr>
                <w:p w14:paraId="0419261B">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氮氧化物</w:t>
                  </w:r>
                </w:p>
              </w:tc>
              <w:tc>
                <w:tcPr>
                  <w:tcW w:w="750" w:type="pct"/>
                  <w:tcBorders>
                    <w:tl2br w:val="nil"/>
                    <w:tr2bl w:val="nil"/>
                  </w:tcBorders>
                  <w:noWrap w:val="0"/>
                  <w:vAlign w:val="center"/>
                </w:tcPr>
                <w:p w14:paraId="31AFB1FA">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实测浓度</w:t>
                  </w:r>
                </w:p>
              </w:tc>
              <w:tc>
                <w:tcPr>
                  <w:tcW w:w="568" w:type="pct"/>
                  <w:tcBorders>
                    <w:tl2br w:val="nil"/>
                    <w:tr2bl w:val="nil"/>
                  </w:tcBorders>
                  <w:noWrap w:val="0"/>
                  <w:vAlign w:val="center"/>
                </w:tcPr>
                <w:p w14:paraId="35CA0F7B">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9</w:t>
                  </w:r>
                </w:p>
              </w:tc>
              <w:tc>
                <w:tcPr>
                  <w:tcW w:w="568" w:type="pct"/>
                  <w:tcBorders>
                    <w:tl2br w:val="nil"/>
                    <w:tr2bl w:val="nil"/>
                  </w:tcBorders>
                  <w:noWrap w:val="0"/>
                  <w:vAlign w:val="center"/>
                </w:tcPr>
                <w:p w14:paraId="0C6990D6">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10</w:t>
                  </w:r>
                </w:p>
              </w:tc>
              <w:tc>
                <w:tcPr>
                  <w:tcW w:w="568" w:type="pct"/>
                  <w:tcBorders>
                    <w:tl2br w:val="nil"/>
                    <w:tr2bl w:val="nil"/>
                  </w:tcBorders>
                  <w:noWrap w:val="0"/>
                  <w:vAlign w:val="center"/>
                </w:tcPr>
                <w:p w14:paraId="23B2A9D4">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9</w:t>
                  </w:r>
                </w:p>
              </w:tc>
              <w:tc>
                <w:tcPr>
                  <w:tcW w:w="492" w:type="pct"/>
                  <w:gridSpan w:val="2"/>
                  <w:tcBorders>
                    <w:tl2br w:val="nil"/>
                    <w:tr2bl w:val="nil"/>
                  </w:tcBorders>
                  <w:noWrap w:val="0"/>
                  <w:vAlign w:val="center"/>
                </w:tcPr>
                <w:p w14:paraId="1DEF5370">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494" w:type="pct"/>
                  <w:tcBorders>
                    <w:tl2br w:val="nil"/>
                    <w:tr2bl w:val="nil"/>
                  </w:tcBorders>
                  <w:noWrap w:val="0"/>
                  <w:vAlign w:val="center"/>
                </w:tcPr>
                <w:p w14:paraId="2F5D7FE0">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mg/m</w:t>
                  </w:r>
                  <w:r>
                    <w:rPr>
                      <w:rFonts w:hint="default" w:ascii="Times New Roman" w:hAnsi="Times New Roman" w:eastAsia="宋体" w:cs="Times New Roman"/>
                      <w:i w:val="0"/>
                      <w:iCs w:val="0"/>
                      <w:color w:val="auto"/>
                      <w:kern w:val="0"/>
                      <w:sz w:val="21"/>
                      <w:szCs w:val="21"/>
                      <w:u w:val="none" w:color="auto"/>
                      <w:vertAlign w:val="superscript"/>
                      <w:lang w:val="en-US" w:eastAsia="zh-CN" w:bidi="ar"/>
                    </w:rPr>
                    <w:t>3</w:t>
                  </w:r>
                </w:p>
              </w:tc>
            </w:tr>
            <w:tr w14:paraId="3E617AD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571" w:type="pct"/>
                  <w:vMerge w:val="continue"/>
                  <w:tcBorders>
                    <w:tl2br w:val="nil"/>
                    <w:tr2bl w:val="nil"/>
                  </w:tcBorders>
                  <w:noWrap/>
                  <w:vAlign w:val="center"/>
                </w:tcPr>
                <w:p w14:paraId="5EFBBCCB">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495" w:type="pct"/>
                  <w:vMerge w:val="continue"/>
                  <w:tcBorders>
                    <w:tl2br w:val="nil"/>
                    <w:tr2bl w:val="nil"/>
                  </w:tcBorders>
                  <w:noWrap w:val="0"/>
                  <w:vAlign w:val="center"/>
                </w:tcPr>
                <w:p w14:paraId="5F6A2717">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488" w:type="pct"/>
                  <w:vMerge w:val="continue"/>
                  <w:tcBorders>
                    <w:tl2br w:val="nil"/>
                    <w:tr2bl w:val="nil"/>
                  </w:tcBorders>
                  <w:noWrap w:val="0"/>
                  <w:vAlign w:val="center"/>
                </w:tcPr>
                <w:p w14:paraId="0BC8873A">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750" w:type="pct"/>
                  <w:tcBorders>
                    <w:tl2br w:val="nil"/>
                    <w:tr2bl w:val="nil"/>
                  </w:tcBorders>
                  <w:noWrap w:val="0"/>
                  <w:vAlign w:val="center"/>
                </w:tcPr>
                <w:p w14:paraId="3DC7FDAC">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折算浓度</w:t>
                  </w:r>
                </w:p>
              </w:tc>
              <w:tc>
                <w:tcPr>
                  <w:tcW w:w="568" w:type="pct"/>
                  <w:tcBorders>
                    <w:tl2br w:val="nil"/>
                    <w:tr2bl w:val="nil"/>
                  </w:tcBorders>
                  <w:noWrap w:val="0"/>
                  <w:vAlign w:val="center"/>
                </w:tcPr>
                <w:p w14:paraId="26BABB18">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16</w:t>
                  </w:r>
                </w:p>
              </w:tc>
              <w:tc>
                <w:tcPr>
                  <w:tcW w:w="568" w:type="pct"/>
                  <w:tcBorders>
                    <w:tl2br w:val="nil"/>
                    <w:tr2bl w:val="nil"/>
                  </w:tcBorders>
                  <w:noWrap w:val="0"/>
                  <w:vAlign w:val="center"/>
                </w:tcPr>
                <w:p w14:paraId="6D88E81D">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17</w:t>
                  </w:r>
                </w:p>
              </w:tc>
              <w:tc>
                <w:tcPr>
                  <w:tcW w:w="568" w:type="pct"/>
                  <w:tcBorders>
                    <w:tl2br w:val="nil"/>
                    <w:tr2bl w:val="nil"/>
                  </w:tcBorders>
                  <w:noWrap w:val="0"/>
                  <w:vAlign w:val="center"/>
                </w:tcPr>
                <w:p w14:paraId="7FDD00E6">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16</w:t>
                  </w:r>
                </w:p>
              </w:tc>
              <w:tc>
                <w:tcPr>
                  <w:tcW w:w="492" w:type="pct"/>
                  <w:gridSpan w:val="2"/>
                  <w:tcBorders>
                    <w:tl2br w:val="nil"/>
                    <w:tr2bl w:val="nil"/>
                  </w:tcBorders>
                  <w:noWrap w:val="0"/>
                  <w:vAlign w:val="center"/>
                </w:tcPr>
                <w:p w14:paraId="0FAC09FD">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494" w:type="pct"/>
                  <w:tcBorders>
                    <w:tl2br w:val="nil"/>
                    <w:tr2bl w:val="nil"/>
                  </w:tcBorders>
                  <w:noWrap w:val="0"/>
                  <w:vAlign w:val="center"/>
                </w:tcPr>
                <w:p w14:paraId="13967C35">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mg/m</w:t>
                  </w:r>
                  <w:r>
                    <w:rPr>
                      <w:rFonts w:hint="default" w:ascii="Times New Roman" w:hAnsi="Times New Roman" w:eastAsia="宋体" w:cs="Times New Roman"/>
                      <w:i w:val="0"/>
                      <w:iCs w:val="0"/>
                      <w:color w:val="auto"/>
                      <w:kern w:val="0"/>
                      <w:sz w:val="21"/>
                      <w:szCs w:val="21"/>
                      <w:u w:val="none" w:color="auto"/>
                      <w:vertAlign w:val="superscript"/>
                      <w:lang w:val="en-US" w:eastAsia="zh-CN" w:bidi="ar"/>
                    </w:rPr>
                    <w:t>3</w:t>
                  </w:r>
                </w:p>
              </w:tc>
            </w:tr>
            <w:tr w14:paraId="65D344B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571" w:type="pct"/>
                  <w:vMerge w:val="continue"/>
                  <w:tcBorders>
                    <w:tl2br w:val="nil"/>
                    <w:tr2bl w:val="nil"/>
                  </w:tcBorders>
                  <w:noWrap/>
                  <w:vAlign w:val="center"/>
                </w:tcPr>
                <w:p w14:paraId="589396FF">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495" w:type="pct"/>
                  <w:vMerge w:val="continue"/>
                  <w:tcBorders>
                    <w:tl2br w:val="nil"/>
                    <w:tr2bl w:val="nil"/>
                  </w:tcBorders>
                  <w:noWrap w:val="0"/>
                  <w:vAlign w:val="center"/>
                </w:tcPr>
                <w:p w14:paraId="76A11089">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488" w:type="pct"/>
                  <w:vMerge w:val="continue"/>
                  <w:tcBorders>
                    <w:tl2br w:val="nil"/>
                    <w:tr2bl w:val="nil"/>
                  </w:tcBorders>
                  <w:noWrap w:val="0"/>
                  <w:vAlign w:val="center"/>
                </w:tcPr>
                <w:p w14:paraId="4E4B39BE">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750" w:type="pct"/>
                  <w:tcBorders>
                    <w:tl2br w:val="nil"/>
                    <w:tr2bl w:val="nil"/>
                  </w:tcBorders>
                  <w:noWrap w:val="0"/>
                  <w:vAlign w:val="center"/>
                </w:tcPr>
                <w:p w14:paraId="287EEB1B">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排放速率</w:t>
                  </w:r>
                </w:p>
              </w:tc>
              <w:tc>
                <w:tcPr>
                  <w:tcW w:w="568" w:type="pct"/>
                  <w:tcBorders>
                    <w:tl2br w:val="nil"/>
                    <w:tr2bl w:val="nil"/>
                  </w:tcBorders>
                  <w:noWrap w:val="0"/>
                  <w:vAlign w:val="center"/>
                </w:tcPr>
                <w:p w14:paraId="7B122B3A">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0.11</w:t>
                  </w:r>
                </w:p>
              </w:tc>
              <w:tc>
                <w:tcPr>
                  <w:tcW w:w="568" w:type="pct"/>
                  <w:tcBorders>
                    <w:tl2br w:val="nil"/>
                    <w:tr2bl w:val="nil"/>
                  </w:tcBorders>
                  <w:noWrap w:val="0"/>
                  <w:vAlign w:val="center"/>
                </w:tcPr>
                <w:p w14:paraId="6EF4272E">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0.13</w:t>
                  </w:r>
                </w:p>
              </w:tc>
              <w:tc>
                <w:tcPr>
                  <w:tcW w:w="568" w:type="pct"/>
                  <w:tcBorders>
                    <w:tl2br w:val="nil"/>
                    <w:tr2bl w:val="nil"/>
                  </w:tcBorders>
                  <w:noWrap w:val="0"/>
                  <w:vAlign w:val="center"/>
                </w:tcPr>
                <w:p w14:paraId="54072DD2">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0.12</w:t>
                  </w:r>
                </w:p>
              </w:tc>
              <w:tc>
                <w:tcPr>
                  <w:tcW w:w="492" w:type="pct"/>
                  <w:gridSpan w:val="2"/>
                  <w:tcBorders>
                    <w:tl2br w:val="nil"/>
                    <w:tr2bl w:val="nil"/>
                  </w:tcBorders>
                  <w:noWrap w:val="0"/>
                  <w:vAlign w:val="center"/>
                </w:tcPr>
                <w:p w14:paraId="0C5A8E57">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494" w:type="pct"/>
                  <w:tcBorders>
                    <w:tl2br w:val="nil"/>
                    <w:tr2bl w:val="nil"/>
                  </w:tcBorders>
                  <w:noWrap w:val="0"/>
                  <w:vAlign w:val="center"/>
                </w:tcPr>
                <w:p w14:paraId="2B0A2905">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kg/h</w:t>
                  </w:r>
                </w:p>
              </w:tc>
            </w:tr>
            <w:tr w14:paraId="329FB82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571" w:type="pct"/>
                  <w:vMerge w:val="continue"/>
                  <w:tcBorders>
                    <w:tl2br w:val="nil"/>
                    <w:tr2bl w:val="nil"/>
                  </w:tcBorders>
                  <w:noWrap/>
                  <w:vAlign w:val="center"/>
                </w:tcPr>
                <w:p w14:paraId="7281285C">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495" w:type="pct"/>
                  <w:vMerge w:val="continue"/>
                  <w:tcBorders>
                    <w:tl2br w:val="nil"/>
                    <w:tr2bl w:val="nil"/>
                  </w:tcBorders>
                  <w:noWrap w:val="0"/>
                  <w:vAlign w:val="center"/>
                </w:tcPr>
                <w:p w14:paraId="49E6A6DB">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488" w:type="pct"/>
                  <w:vMerge w:val="restart"/>
                  <w:tcBorders>
                    <w:tl2br w:val="nil"/>
                    <w:tr2bl w:val="nil"/>
                  </w:tcBorders>
                  <w:noWrap w:val="0"/>
                  <w:vAlign w:val="center"/>
                </w:tcPr>
                <w:p w14:paraId="4183F0F7">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颗粒物</w:t>
                  </w:r>
                </w:p>
              </w:tc>
              <w:tc>
                <w:tcPr>
                  <w:tcW w:w="750" w:type="pct"/>
                  <w:tcBorders>
                    <w:tl2br w:val="nil"/>
                    <w:tr2bl w:val="nil"/>
                  </w:tcBorders>
                  <w:noWrap w:val="0"/>
                  <w:vAlign w:val="center"/>
                </w:tcPr>
                <w:p w14:paraId="5AE4B42A">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实测浓度</w:t>
                  </w:r>
                </w:p>
              </w:tc>
              <w:tc>
                <w:tcPr>
                  <w:tcW w:w="568" w:type="pct"/>
                  <w:tcBorders>
                    <w:tl2br w:val="nil"/>
                    <w:tr2bl w:val="nil"/>
                  </w:tcBorders>
                  <w:noWrap w:val="0"/>
                  <w:vAlign w:val="center"/>
                </w:tcPr>
                <w:p w14:paraId="5CA82E15">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109</w:t>
                  </w:r>
                </w:p>
              </w:tc>
              <w:tc>
                <w:tcPr>
                  <w:tcW w:w="568" w:type="pct"/>
                  <w:tcBorders>
                    <w:tl2br w:val="nil"/>
                    <w:tr2bl w:val="nil"/>
                  </w:tcBorders>
                  <w:noWrap w:val="0"/>
                  <w:vAlign w:val="center"/>
                </w:tcPr>
                <w:p w14:paraId="6AA9112F">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102</w:t>
                  </w:r>
                </w:p>
              </w:tc>
              <w:tc>
                <w:tcPr>
                  <w:tcW w:w="568" w:type="pct"/>
                  <w:tcBorders>
                    <w:tl2br w:val="nil"/>
                    <w:tr2bl w:val="nil"/>
                  </w:tcBorders>
                  <w:noWrap w:val="0"/>
                  <w:vAlign w:val="center"/>
                </w:tcPr>
                <w:p w14:paraId="533ED842">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110</w:t>
                  </w:r>
                </w:p>
              </w:tc>
              <w:tc>
                <w:tcPr>
                  <w:tcW w:w="492" w:type="pct"/>
                  <w:gridSpan w:val="2"/>
                  <w:tcBorders>
                    <w:tl2br w:val="nil"/>
                    <w:tr2bl w:val="nil"/>
                  </w:tcBorders>
                  <w:noWrap w:val="0"/>
                  <w:vAlign w:val="center"/>
                </w:tcPr>
                <w:p w14:paraId="3D0EEDC3">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494" w:type="pct"/>
                  <w:tcBorders>
                    <w:tl2br w:val="nil"/>
                    <w:tr2bl w:val="nil"/>
                  </w:tcBorders>
                  <w:noWrap w:val="0"/>
                  <w:vAlign w:val="center"/>
                </w:tcPr>
                <w:p w14:paraId="6128759B">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mg/m</w:t>
                  </w:r>
                  <w:r>
                    <w:rPr>
                      <w:rFonts w:hint="default" w:ascii="Times New Roman" w:hAnsi="Times New Roman" w:eastAsia="宋体" w:cs="Times New Roman"/>
                      <w:i w:val="0"/>
                      <w:iCs w:val="0"/>
                      <w:color w:val="auto"/>
                      <w:kern w:val="0"/>
                      <w:sz w:val="21"/>
                      <w:szCs w:val="21"/>
                      <w:u w:val="none" w:color="auto"/>
                      <w:vertAlign w:val="superscript"/>
                      <w:lang w:val="en-US" w:eastAsia="zh-CN" w:bidi="ar"/>
                    </w:rPr>
                    <w:t>3</w:t>
                  </w:r>
                </w:p>
              </w:tc>
            </w:tr>
            <w:tr w14:paraId="37A5EEF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571" w:type="pct"/>
                  <w:vMerge w:val="continue"/>
                  <w:tcBorders>
                    <w:tl2br w:val="nil"/>
                    <w:tr2bl w:val="nil"/>
                  </w:tcBorders>
                  <w:noWrap/>
                  <w:vAlign w:val="center"/>
                </w:tcPr>
                <w:p w14:paraId="1A16E7D7">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495" w:type="pct"/>
                  <w:vMerge w:val="continue"/>
                  <w:tcBorders>
                    <w:tl2br w:val="nil"/>
                    <w:tr2bl w:val="nil"/>
                  </w:tcBorders>
                  <w:noWrap w:val="0"/>
                  <w:vAlign w:val="center"/>
                </w:tcPr>
                <w:p w14:paraId="114D7228">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488" w:type="pct"/>
                  <w:vMerge w:val="continue"/>
                  <w:tcBorders>
                    <w:tl2br w:val="nil"/>
                    <w:tr2bl w:val="nil"/>
                  </w:tcBorders>
                  <w:noWrap w:val="0"/>
                  <w:vAlign w:val="center"/>
                </w:tcPr>
                <w:p w14:paraId="7706B990">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750" w:type="pct"/>
                  <w:tcBorders>
                    <w:tl2br w:val="nil"/>
                    <w:tr2bl w:val="nil"/>
                  </w:tcBorders>
                  <w:noWrap w:val="0"/>
                  <w:vAlign w:val="center"/>
                </w:tcPr>
                <w:p w14:paraId="00E9491B">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排放速率</w:t>
                  </w:r>
                </w:p>
              </w:tc>
              <w:tc>
                <w:tcPr>
                  <w:tcW w:w="568" w:type="pct"/>
                  <w:tcBorders>
                    <w:tl2br w:val="nil"/>
                    <w:tr2bl w:val="nil"/>
                  </w:tcBorders>
                  <w:noWrap w:val="0"/>
                  <w:vAlign w:val="center"/>
                </w:tcPr>
                <w:p w14:paraId="35292826">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1.26</w:t>
                  </w:r>
                </w:p>
              </w:tc>
              <w:tc>
                <w:tcPr>
                  <w:tcW w:w="568" w:type="pct"/>
                  <w:tcBorders>
                    <w:tl2br w:val="nil"/>
                    <w:tr2bl w:val="nil"/>
                  </w:tcBorders>
                  <w:noWrap w:val="0"/>
                  <w:vAlign w:val="center"/>
                </w:tcPr>
                <w:p w14:paraId="559759B1">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1.28</w:t>
                  </w:r>
                </w:p>
              </w:tc>
              <w:tc>
                <w:tcPr>
                  <w:tcW w:w="568" w:type="pct"/>
                  <w:tcBorders>
                    <w:tl2br w:val="nil"/>
                    <w:tr2bl w:val="nil"/>
                  </w:tcBorders>
                  <w:noWrap w:val="0"/>
                  <w:vAlign w:val="center"/>
                </w:tcPr>
                <w:p w14:paraId="420BB459">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1.37</w:t>
                  </w:r>
                </w:p>
              </w:tc>
              <w:tc>
                <w:tcPr>
                  <w:tcW w:w="492" w:type="pct"/>
                  <w:gridSpan w:val="2"/>
                  <w:tcBorders>
                    <w:tl2br w:val="nil"/>
                    <w:tr2bl w:val="nil"/>
                  </w:tcBorders>
                  <w:noWrap w:val="0"/>
                  <w:vAlign w:val="center"/>
                </w:tcPr>
                <w:p w14:paraId="6FF3B3A4">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494" w:type="pct"/>
                  <w:tcBorders>
                    <w:tl2br w:val="nil"/>
                    <w:tr2bl w:val="nil"/>
                  </w:tcBorders>
                  <w:noWrap w:val="0"/>
                  <w:vAlign w:val="center"/>
                </w:tcPr>
                <w:p w14:paraId="2DC6D948">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kg/h</w:t>
                  </w:r>
                </w:p>
              </w:tc>
            </w:tr>
            <w:tr w14:paraId="38E2411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571" w:type="pct"/>
                  <w:vMerge w:val="continue"/>
                  <w:tcBorders>
                    <w:tl2br w:val="nil"/>
                    <w:tr2bl w:val="nil"/>
                  </w:tcBorders>
                  <w:noWrap/>
                  <w:vAlign w:val="center"/>
                </w:tcPr>
                <w:p w14:paraId="38CB7BDA">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495" w:type="pct"/>
                  <w:vMerge w:val="restart"/>
                  <w:tcBorders>
                    <w:tl2br w:val="nil"/>
                    <w:tr2bl w:val="nil"/>
                  </w:tcBorders>
                  <w:noWrap w:val="0"/>
                  <w:vAlign w:val="center"/>
                </w:tcPr>
                <w:p w14:paraId="63876C29">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DA005出口</w:t>
                  </w:r>
                </w:p>
              </w:tc>
              <w:tc>
                <w:tcPr>
                  <w:tcW w:w="1239" w:type="pct"/>
                  <w:gridSpan w:val="2"/>
                  <w:tcBorders>
                    <w:tl2br w:val="nil"/>
                    <w:tr2bl w:val="nil"/>
                  </w:tcBorders>
                  <w:noWrap w:val="0"/>
                  <w:vAlign w:val="center"/>
                </w:tcPr>
                <w:p w14:paraId="394A34DD">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标干流量</w:t>
                  </w:r>
                </w:p>
              </w:tc>
              <w:tc>
                <w:tcPr>
                  <w:tcW w:w="568" w:type="pct"/>
                  <w:tcBorders>
                    <w:tl2br w:val="nil"/>
                    <w:tr2bl w:val="nil"/>
                  </w:tcBorders>
                  <w:noWrap w:val="0"/>
                  <w:vAlign w:val="center"/>
                </w:tcPr>
                <w:p w14:paraId="7328DEBC">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11291</w:t>
                  </w:r>
                </w:p>
              </w:tc>
              <w:tc>
                <w:tcPr>
                  <w:tcW w:w="568" w:type="pct"/>
                  <w:tcBorders>
                    <w:tl2br w:val="nil"/>
                    <w:tr2bl w:val="nil"/>
                  </w:tcBorders>
                  <w:noWrap w:val="0"/>
                  <w:vAlign w:val="center"/>
                </w:tcPr>
                <w:p w14:paraId="746B3D77">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11367</w:t>
                  </w:r>
                </w:p>
              </w:tc>
              <w:tc>
                <w:tcPr>
                  <w:tcW w:w="568" w:type="pct"/>
                  <w:tcBorders>
                    <w:tl2br w:val="nil"/>
                    <w:tr2bl w:val="nil"/>
                  </w:tcBorders>
                  <w:noWrap w:val="0"/>
                  <w:vAlign w:val="center"/>
                </w:tcPr>
                <w:p w14:paraId="17B05FE6">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11908</w:t>
                  </w:r>
                </w:p>
              </w:tc>
              <w:tc>
                <w:tcPr>
                  <w:tcW w:w="492" w:type="pct"/>
                  <w:gridSpan w:val="2"/>
                  <w:tcBorders>
                    <w:tl2br w:val="nil"/>
                    <w:tr2bl w:val="nil"/>
                  </w:tcBorders>
                  <w:noWrap w:val="0"/>
                  <w:vAlign w:val="center"/>
                </w:tcPr>
                <w:p w14:paraId="3D9FD8BC">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494" w:type="pct"/>
                  <w:tcBorders>
                    <w:tl2br w:val="nil"/>
                    <w:tr2bl w:val="nil"/>
                  </w:tcBorders>
                  <w:noWrap w:val="0"/>
                  <w:vAlign w:val="center"/>
                </w:tcPr>
                <w:p w14:paraId="41A11FAE">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Nm</w:t>
                  </w:r>
                  <w:r>
                    <w:rPr>
                      <w:rFonts w:hint="default" w:ascii="Times New Roman" w:hAnsi="Times New Roman" w:eastAsia="宋体" w:cs="Times New Roman"/>
                      <w:i w:val="0"/>
                      <w:iCs w:val="0"/>
                      <w:color w:val="auto"/>
                      <w:kern w:val="0"/>
                      <w:sz w:val="21"/>
                      <w:szCs w:val="21"/>
                      <w:u w:val="none" w:color="auto"/>
                      <w:vertAlign w:val="superscript"/>
                      <w:lang w:val="en-US" w:eastAsia="zh-CN" w:bidi="ar"/>
                    </w:rPr>
                    <w:t>3</w:t>
                  </w:r>
                  <w:r>
                    <w:rPr>
                      <w:rFonts w:hint="default" w:ascii="Times New Roman" w:hAnsi="Times New Roman" w:eastAsia="宋体" w:cs="Times New Roman"/>
                      <w:i w:val="0"/>
                      <w:iCs w:val="0"/>
                      <w:color w:val="auto"/>
                      <w:kern w:val="0"/>
                      <w:sz w:val="21"/>
                      <w:szCs w:val="21"/>
                      <w:u w:val="none" w:color="auto"/>
                      <w:lang w:val="en-US" w:eastAsia="zh-CN" w:bidi="ar"/>
                    </w:rPr>
                    <w:t>/h</w:t>
                  </w:r>
                </w:p>
              </w:tc>
            </w:tr>
            <w:tr w14:paraId="1A8BECA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571" w:type="pct"/>
                  <w:vMerge w:val="continue"/>
                  <w:tcBorders>
                    <w:tl2br w:val="nil"/>
                    <w:tr2bl w:val="nil"/>
                  </w:tcBorders>
                  <w:noWrap/>
                  <w:vAlign w:val="center"/>
                </w:tcPr>
                <w:p w14:paraId="526F06C6">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495" w:type="pct"/>
                  <w:vMerge w:val="continue"/>
                  <w:tcBorders>
                    <w:tl2br w:val="nil"/>
                    <w:tr2bl w:val="nil"/>
                  </w:tcBorders>
                  <w:noWrap w:val="0"/>
                  <w:vAlign w:val="center"/>
                </w:tcPr>
                <w:p w14:paraId="6DB259BE">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1239" w:type="pct"/>
                  <w:gridSpan w:val="2"/>
                  <w:tcBorders>
                    <w:tl2br w:val="nil"/>
                    <w:tr2bl w:val="nil"/>
                  </w:tcBorders>
                  <w:noWrap w:val="0"/>
                  <w:vAlign w:val="center"/>
                </w:tcPr>
                <w:p w14:paraId="0D220F1E">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平均烟温</w:t>
                  </w:r>
                </w:p>
              </w:tc>
              <w:tc>
                <w:tcPr>
                  <w:tcW w:w="568" w:type="pct"/>
                  <w:tcBorders>
                    <w:tl2br w:val="nil"/>
                    <w:tr2bl w:val="nil"/>
                  </w:tcBorders>
                  <w:noWrap w:val="0"/>
                  <w:vAlign w:val="center"/>
                </w:tcPr>
                <w:p w14:paraId="1B073B3C">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129</w:t>
                  </w:r>
                </w:p>
              </w:tc>
              <w:tc>
                <w:tcPr>
                  <w:tcW w:w="568" w:type="pct"/>
                  <w:tcBorders>
                    <w:tl2br w:val="nil"/>
                    <w:tr2bl w:val="nil"/>
                  </w:tcBorders>
                  <w:noWrap w:val="0"/>
                  <w:vAlign w:val="center"/>
                </w:tcPr>
                <w:p w14:paraId="376B721C">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129.3</w:t>
                  </w:r>
                </w:p>
              </w:tc>
              <w:tc>
                <w:tcPr>
                  <w:tcW w:w="568" w:type="pct"/>
                  <w:tcBorders>
                    <w:tl2br w:val="nil"/>
                    <w:tr2bl w:val="nil"/>
                  </w:tcBorders>
                  <w:noWrap w:val="0"/>
                  <w:vAlign w:val="center"/>
                </w:tcPr>
                <w:p w14:paraId="7375BEC9">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129.9</w:t>
                  </w:r>
                </w:p>
              </w:tc>
              <w:tc>
                <w:tcPr>
                  <w:tcW w:w="492" w:type="pct"/>
                  <w:gridSpan w:val="2"/>
                  <w:tcBorders>
                    <w:tl2br w:val="nil"/>
                    <w:tr2bl w:val="nil"/>
                  </w:tcBorders>
                  <w:noWrap w:val="0"/>
                  <w:vAlign w:val="center"/>
                </w:tcPr>
                <w:p w14:paraId="19708B36">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494" w:type="pct"/>
                  <w:tcBorders>
                    <w:tl2br w:val="nil"/>
                    <w:tr2bl w:val="nil"/>
                  </w:tcBorders>
                  <w:noWrap w:val="0"/>
                  <w:vAlign w:val="center"/>
                </w:tcPr>
                <w:p w14:paraId="0BBD3870">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r>
            <w:tr w14:paraId="77B8E58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571" w:type="pct"/>
                  <w:vMerge w:val="continue"/>
                  <w:tcBorders>
                    <w:tl2br w:val="nil"/>
                    <w:tr2bl w:val="nil"/>
                  </w:tcBorders>
                  <w:noWrap/>
                  <w:vAlign w:val="center"/>
                </w:tcPr>
                <w:p w14:paraId="2AFF5A2D">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495" w:type="pct"/>
                  <w:vMerge w:val="continue"/>
                  <w:tcBorders>
                    <w:tl2br w:val="nil"/>
                    <w:tr2bl w:val="nil"/>
                  </w:tcBorders>
                  <w:noWrap w:val="0"/>
                  <w:vAlign w:val="center"/>
                </w:tcPr>
                <w:p w14:paraId="5296BF70">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1239" w:type="pct"/>
                  <w:gridSpan w:val="2"/>
                  <w:tcBorders>
                    <w:tl2br w:val="nil"/>
                    <w:tr2bl w:val="nil"/>
                  </w:tcBorders>
                  <w:noWrap w:val="0"/>
                  <w:vAlign w:val="center"/>
                </w:tcPr>
                <w:p w14:paraId="2EA7014E">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平均流速</w:t>
                  </w:r>
                </w:p>
              </w:tc>
              <w:tc>
                <w:tcPr>
                  <w:tcW w:w="568" w:type="pct"/>
                  <w:tcBorders>
                    <w:tl2br w:val="nil"/>
                    <w:tr2bl w:val="nil"/>
                  </w:tcBorders>
                  <w:noWrap w:val="0"/>
                  <w:vAlign w:val="center"/>
                </w:tcPr>
                <w:p w14:paraId="7C2D8435">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14.4</w:t>
                  </w:r>
                </w:p>
              </w:tc>
              <w:tc>
                <w:tcPr>
                  <w:tcW w:w="568" w:type="pct"/>
                  <w:tcBorders>
                    <w:tl2br w:val="nil"/>
                    <w:tr2bl w:val="nil"/>
                  </w:tcBorders>
                  <w:noWrap w:val="0"/>
                  <w:vAlign w:val="center"/>
                </w:tcPr>
                <w:p w14:paraId="79024D16">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14.6</w:t>
                  </w:r>
                </w:p>
              </w:tc>
              <w:tc>
                <w:tcPr>
                  <w:tcW w:w="568" w:type="pct"/>
                  <w:tcBorders>
                    <w:tl2br w:val="nil"/>
                    <w:tr2bl w:val="nil"/>
                  </w:tcBorders>
                  <w:noWrap w:val="0"/>
                  <w:vAlign w:val="center"/>
                </w:tcPr>
                <w:p w14:paraId="67CE8BD5">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15.3</w:t>
                  </w:r>
                </w:p>
              </w:tc>
              <w:tc>
                <w:tcPr>
                  <w:tcW w:w="492" w:type="pct"/>
                  <w:gridSpan w:val="2"/>
                  <w:tcBorders>
                    <w:tl2br w:val="nil"/>
                    <w:tr2bl w:val="nil"/>
                  </w:tcBorders>
                  <w:noWrap w:val="0"/>
                  <w:vAlign w:val="center"/>
                </w:tcPr>
                <w:p w14:paraId="2424E2F0">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494" w:type="pct"/>
                  <w:tcBorders>
                    <w:tl2br w:val="nil"/>
                    <w:tr2bl w:val="nil"/>
                  </w:tcBorders>
                  <w:noWrap w:val="0"/>
                  <w:vAlign w:val="center"/>
                </w:tcPr>
                <w:p w14:paraId="778D245D">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m/s</w:t>
                  </w:r>
                </w:p>
              </w:tc>
            </w:tr>
            <w:tr w14:paraId="7E0F09B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571" w:type="pct"/>
                  <w:vMerge w:val="continue"/>
                  <w:tcBorders>
                    <w:tl2br w:val="nil"/>
                    <w:tr2bl w:val="nil"/>
                  </w:tcBorders>
                  <w:noWrap/>
                  <w:vAlign w:val="center"/>
                </w:tcPr>
                <w:p w14:paraId="6BAF2BAA">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495" w:type="pct"/>
                  <w:vMerge w:val="continue"/>
                  <w:tcBorders>
                    <w:tl2br w:val="nil"/>
                    <w:tr2bl w:val="nil"/>
                  </w:tcBorders>
                  <w:noWrap w:val="0"/>
                  <w:vAlign w:val="center"/>
                </w:tcPr>
                <w:p w14:paraId="798F9B5A">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1239" w:type="pct"/>
                  <w:gridSpan w:val="2"/>
                  <w:tcBorders>
                    <w:tl2br w:val="nil"/>
                    <w:tr2bl w:val="nil"/>
                  </w:tcBorders>
                  <w:noWrap w:val="0"/>
                  <w:vAlign w:val="center"/>
                </w:tcPr>
                <w:p w14:paraId="419B677C">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含氧量</w:t>
                  </w:r>
                </w:p>
              </w:tc>
              <w:tc>
                <w:tcPr>
                  <w:tcW w:w="568" w:type="pct"/>
                  <w:tcBorders>
                    <w:tl2br w:val="nil"/>
                    <w:tr2bl w:val="nil"/>
                  </w:tcBorders>
                  <w:noWrap w:val="0"/>
                  <w:vAlign w:val="center"/>
                </w:tcPr>
                <w:p w14:paraId="5CADEAD8">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10</w:t>
                  </w:r>
                </w:p>
              </w:tc>
              <w:tc>
                <w:tcPr>
                  <w:tcW w:w="568" w:type="pct"/>
                  <w:tcBorders>
                    <w:tl2br w:val="nil"/>
                    <w:tr2bl w:val="nil"/>
                  </w:tcBorders>
                  <w:noWrap w:val="0"/>
                  <w:vAlign w:val="center"/>
                </w:tcPr>
                <w:p w14:paraId="2CCC265D">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10</w:t>
                  </w:r>
                </w:p>
              </w:tc>
              <w:tc>
                <w:tcPr>
                  <w:tcW w:w="568" w:type="pct"/>
                  <w:tcBorders>
                    <w:tl2br w:val="nil"/>
                    <w:tr2bl w:val="nil"/>
                  </w:tcBorders>
                  <w:noWrap w:val="0"/>
                  <w:vAlign w:val="center"/>
                </w:tcPr>
                <w:p w14:paraId="104F390D">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10</w:t>
                  </w:r>
                </w:p>
              </w:tc>
              <w:tc>
                <w:tcPr>
                  <w:tcW w:w="492" w:type="pct"/>
                  <w:gridSpan w:val="2"/>
                  <w:tcBorders>
                    <w:tl2br w:val="nil"/>
                    <w:tr2bl w:val="nil"/>
                  </w:tcBorders>
                  <w:noWrap w:val="0"/>
                  <w:vAlign w:val="center"/>
                </w:tcPr>
                <w:p w14:paraId="33CCA2A8">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494" w:type="pct"/>
                  <w:tcBorders>
                    <w:tl2br w:val="nil"/>
                    <w:tr2bl w:val="nil"/>
                  </w:tcBorders>
                  <w:noWrap w:val="0"/>
                  <w:vAlign w:val="center"/>
                </w:tcPr>
                <w:p w14:paraId="603C83CB">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r>
            <w:tr w14:paraId="4CC9E09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571" w:type="pct"/>
                  <w:vMerge w:val="continue"/>
                  <w:tcBorders>
                    <w:tl2br w:val="nil"/>
                    <w:tr2bl w:val="nil"/>
                  </w:tcBorders>
                  <w:noWrap/>
                  <w:vAlign w:val="center"/>
                </w:tcPr>
                <w:p w14:paraId="575F124C">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495" w:type="pct"/>
                  <w:vMerge w:val="continue"/>
                  <w:tcBorders>
                    <w:tl2br w:val="nil"/>
                    <w:tr2bl w:val="nil"/>
                  </w:tcBorders>
                  <w:noWrap w:val="0"/>
                  <w:vAlign w:val="center"/>
                </w:tcPr>
                <w:p w14:paraId="691BFC1B">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488" w:type="pct"/>
                  <w:vMerge w:val="restart"/>
                  <w:tcBorders>
                    <w:tl2br w:val="nil"/>
                    <w:tr2bl w:val="nil"/>
                  </w:tcBorders>
                  <w:noWrap w:val="0"/>
                  <w:vAlign w:val="center"/>
                </w:tcPr>
                <w:p w14:paraId="37DFFB91">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二氧化硫</w:t>
                  </w:r>
                </w:p>
              </w:tc>
              <w:tc>
                <w:tcPr>
                  <w:tcW w:w="750" w:type="pct"/>
                  <w:tcBorders>
                    <w:tl2br w:val="nil"/>
                    <w:tr2bl w:val="nil"/>
                  </w:tcBorders>
                  <w:noWrap w:val="0"/>
                  <w:vAlign w:val="center"/>
                </w:tcPr>
                <w:p w14:paraId="490B6D1D">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实测浓度</w:t>
                  </w:r>
                </w:p>
              </w:tc>
              <w:tc>
                <w:tcPr>
                  <w:tcW w:w="568" w:type="pct"/>
                  <w:tcBorders>
                    <w:tl2br w:val="nil"/>
                    <w:tr2bl w:val="nil"/>
                  </w:tcBorders>
                  <w:noWrap w:val="0"/>
                  <w:vAlign w:val="center"/>
                </w:tcPr>
                <w:p w14:paraId="06244152">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w:t>
                  </w:r>
                </w:p>
              </w:tc>
              <w:tc>
                <w:tcPr>
                  <w:tcW w:w="568" w:type="pct"/>
                  <w:tcBorders>
                    <w:tl2br w:val="nil"/>
                    <w:tr2bl w:val="nil"/>
                  </w:tcBorders>
                  <w:noWrap w:val="0"/>
                  <w:vAlign w:val="center"/>
                </w:tcPr>
                <w:p w14:paraId="647B5AD2">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3（ND）</w:t>
                  </w:r>
                </w:p>
              </w:tc>
              <w:tc>
                <w:tcPr>
                  <w:tcW w:w="568" w:type="pct"/>
                  <w:tcBorders>
                    <w:tl2br w:val="nil"/>
                    <w:tr2bl w:val="nil"/>
                  </w:tcBorders>
                  <w:noWrap w:val="0"/>
                  <w:vAlign w:val="center"/>
                </w:tcPr>
                <w:p w14:paraId="1471CFEB">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w:t>
                  </w:r>
                </w:p>
              </w:tc>
              <w:tc>
                <w:tcPr>
                  <w:tcW w:w="492" w:type="pct"/>
                  <w:gridSpan w:val="2"/>
                  <w:tcBorders>
                    <w:tl2br w:val="nil"/>
                    <w:tr2bl w:val="nil"/>
                  </w:tcBorders>
                  <w:noWrap w:val="0"/>
                  <w:vAlign w:val="center"/>
                </w:tcPr>
                <w:p w14:paraId="70886A07">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494" w:type="pct"/>
                  <w:tcBorders>
                    <w:tl2br w:val="nil"/>
                    <w:tr2bl w:val="nil"/>
                  </w:tcBorders>
                  <w:noWrap w:val="0"/>
                  <w:vAlign w:val="center"/>
                </w:tcPr>
                <w:p w14:paraId="6AA4A713">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mg/m</w:t>
                  </w:r>
                  <w:r>
                    <w:rPr>
                      <w:rFonts w:hint="default" w:ascii="Times New Roman" w:hAnsi="Times New Roman" w:eastAsia="宋体" w:cs="Times New Roman"/>
                      <w:i w:val="0"/>
                      <w:iCs w:val="0"/>
                      <w:color w:val="auto"/>
                      <w:kern w:val="0"/>
                      <w:sz w:val="21"/>
                      <w:szCs w:val="21"/>
                      <w:u w:val="none" w:color="auto"/>
                      <w:vertAlign w:val="superscript"/>
                      <w:lang w:val="en-US" w:eastAsia="zh-CN" w:bidi="ar"/>
                    </w:rPr>
                    <w:t>3</w:t>
                  </w:r>
                </w:p>
              </w:tc>
            </w:tr>
            <w:tr w14:paraId="30A3E46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571" w:type="pct"/>
                  <w:vMerge w:val="continue"/>
                  <w:tcBorders>
                    <w:tl2br w:val="nil"/>
                    <w:tr2bl w:val="nil"/>
                  </w:tcBorders>
                  <w:noWrap/>
                  <w:vAlign w:val="center"/>
                </w:tcPr>
                <w:p w14:paraId="2F10D471">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495" w:type="pct"/>
                  <w:vMerge w:val="continue"/>
                  <w:tcBorders>
                    <w:tl2br w:val="nil"/>
                    <w:tr2bl w:val="nil"/>
                  </w:tcBorders>
                  <w:noWrap w:val="0"/>
                  <w:vAlign w:val="center"/>
                </w:tcPr>
                <w:p w14:paraId="5E49322B">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488" w:type="pct"/>
                  <w:vMerge w:val="continue"/>
                  <w:tcBorders>
                    <w:tl2br w:val="nil"/>
                    <w:tr2bl w:val="nil"/>
                  </w:tcBorders>
                  <w:noWrap w:val="0"/>
                  <w:vAlign w:val="center"/>
                </w:tcPr>
                <w:p w14:paraId="1982D2FB">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750" w:type="pct"/>
                  <w:tcBorders>
                    <w:tl2br w:val="nil"/>
                    <w:tr2bl w:val="nil"/>
                  </w:tcBorders>
                  <w:noWrap w:val="0"/>
                  <w:vAlign w:val="center"/>
                </w:tcPr>
                <w:p w14:paraId="161E26CC">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折算浓度</w:t>
                  </w:r>
                </w:p>
              </w:tc>
              <w:tc>
                <w:tcPr>
                  <w:tcW w:w="568" w:type="pct"/>
                  <w:tcBorders>
                    <w:tl2br w:val="nil"/>
                    <w:tr2bl w:val="nil"/>
                  </w:tcBorders>
                  <w:noWrap w:val="0"/>
                  <w:vAlign w:val="center"/>
                </w:tcPr>
                <w:p w14:paraId="35965D91">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4</w:t>
                  </w:r>
                </w:p>
              </w:tc>
              <w:tc>
                <w:tcPr>
                  <w:tcW w:w="568" w:type="pct"/>
                  <w:tcBorders>
                    <w:tl2br w:val="nil"/>
                    <w:tr2bl w:val="nil"/>
                  </w:tcBorders>
                  <w:noWrap w:val="0"/>
                  <w:vAlign w:val="center"/>
                </w:tcPr>
                <w:p w14:paraId="32E059B4">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w:t>
                  </w:r>
                </w:p>
              </w:tc>
              <w:tc>
                <w:tcPr>
                  <w:tcW w:w="568" w:type="pct"/>
                  <w:tcBorders>
                    <w:tl2br w:val="nil"/>
                    <w:tr2bl w:val="nil"/>
                  </w:tcBorders>
                  <w:noWrap w:val="0"/>
                  <w:vAlign w:val="center"/>
                </w:tcPr>
                <w:p w14:paraId="2580CC93">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4</w:t>
                  </w:r>
                </w:p>
              </w:tc>
              <w:tc>
                <w:tcPr>
                  <w:tcW w:w="492" w:type="pct"/>
                  <w:gridSpan w:val="2"/>
                  <w:tcBorders>
                    <w:tl2br w:val="nil"/>
                    <w:tr2bl w:val="nil"/>
                  </w:tcBorders>
                  <w:noWrap w:val="0"/>
                  <w:vAlign w:val="center"/>
                </w:tcPr>
                <w:p w14:paraId="1526FC21">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100</w:t>
                  </w:r>
                </w:p>
              </w:tc>
              <w:tc>
                <w:tcPr>
                  <w:tcW w:w="494" w:type="pct"/>
                  <w:tcBorders>
                    <w:tl2br w:val="nil"/>
                    <w:tr2bl w:val="nil"/>
                  </w:tcBorders>
                  <w:noWrap w:val="0"/>
                  <w:vAlign w:val="center"/>
                </w:tcPr>
                <w:p w14:paraId="7525972A">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mg/m</w:t>
                  </w:r>
                  <w:r>
                    <w:rPr>
                      <w:rFonts w:hint="default" w:ascii="Times New Roman" w:hAnsi="Times New Roman" w:eastAsia="宋体" w:cs="Times New Roman"/>
                      <w:i w:val="0"/>
                      <w:iCs w:val="0"/>
                      <w:color w:val="auto"/>
                      <w:kern w:val="0"/>
                      <w:sz w:val="21"/>
                      <w:szCs w:val="21"/>
                      <w:u w:val="none" w:color="auto"/>
                      <w:vertAlign w:val="superscript"/>
                      <w:lang w:val="en-US" w:eastAsia="zh-CN" w:bidi="ar"/>
                    </w:rPr>
                    <w:t>3</w:t>
                  </w:r>
                </w:p>
              </w:tc>
            </w:tr>
            <w:tr w14:paraId="5CBD99D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571" w:type="pct"/>
                  <w:vMerge w:val="continue"/>
                  <w:tcBorders>
                    <w:tl2br w:val="nil"/>
                    <w:tr2bl w:val="nil"/>
                  </w:tcBorders>
                  <w:noWrap/>
                  <w:vAlign w:val="center"/>
                </w:tcPr>
                <w:p w14:paraId="687BDFA4">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495" w:type="pct"/>
                  <w:vMerge w:val="continue"/>
                  <w:tcBorders>
                    <w:tl2br w:val="nil"/>
                    <w:tr2bl w:val="nil"/>
                  </w:tcBorders>
                  <w:noWrap w:val="0"/>
                  <w:vAlign w:val="center"/>
                </w:tcPr>
                <w:p w14:paraId="5E282EA7">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488" w:type="pct"/>
                  <w:vMerge w:val="continue"/>
                  <w:tcBorders>
                    <w:tl2br w:val="nil"/>
                    <w:tr2bl w:val="nil"/>
                  </w:tcBorders>
                  <w:noWrap w:val="0"/>
                  <w:vAlign w:val="center"/>
                </w:tcPr>
                <w:p w14:paraId="5F8DED91">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750" w:type="pct"/>
                  <w:tcBorders>
                    <w:tl2br w:val="nil"/>
                    <w:tr2bl w:val="nil"/>
                  </w:tcBorders>
                  <w:noWrap w:val="0"/>
                  <w:vAlign w:val="center"/>
                </w:tcPr>
                <w:p w14:paraId="796D5791">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排放速率</w:t>
                  </w:r>
                </w:p>
              </w:tc>
              <w:tc>
                <w:tcPr>
                  <w:tcW w:w="568" w:type="pct"/>
                  <w:tcBorders>
                    <w:tl2br w:val="nil"/>
                    <w:tr2bl w:val="nil"/>
                  </w:tcBorders>
                  <w:noWrap w:val="0"/>
                  <w:vAlign w:val="center"/>
                </w:tcPr>
                <w:p w14:paraId="7681ACDD">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0.03</w:t>
                  </w:r>
                </w:p>
              </w:tc>
              <w:tc>
                <w:tcPr>
                  <w:tcW w:w="568" w:type="pct"/>
                  <w:tcBorders>
                    <w:tl2br w:val="nil"/>
                    <w:tr2bl w:val="nil"/>
                  </w:tcBorders>
                  <w:noWrap w:val="0"/>
                  <w:vAlign w:val="center"/>
                </w:tcPr>
                <w:p w14:paraId="1162945A">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0.02</w:t>
                  </w:r>
                </w:p>
              </w:tc>
              <w:tc>
                <w:tcPr>
                  <w:tcW w:w="568" w:type="pct"/>
                  <w:tcBorders>
                    <w:tl2br w:val="nil"/>
                    <w:tr2bl w:val="nil"/>
                  </w:tcBorders>
                  <w:noWrap w:val="0"/>
                  <w:vAlign w:val="center"/>
                </w:tcPr>
                <w:p w14:paraId="7CAD9746">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0.04</w:t>
                  </w:r>
                </w:p>
              </w:tc>
              <w:tc>
                <w:tcPr>
                  <w:tcW w:w="492" w:type="pct"/>
                  <w:gridSpan w:val="2"/>
                  <w:tcBorders>
                    <w:tl2br w:val="nil"/>
                    <w:tr2bl w:val="nil"/>
                  </w:tcBorders>
                  <w:noWrap w:val="0"/>
                  <w:vAlign w:val="center"/>
                </w:tcPr>
                <w:p w14:paraId="6B75084D">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494" w:type="pct"/>
                  <w:tcBorders>
                    <w:tl2br w:val="nil"/>
                    <w:tr2bl w:val="nil"/>
                  </w:tcBorders>
                  <w:noWrap w:val="0"/>
                  <w:vAlign w:val="center"/>
                </w:tcPr>
                <w:p w14:paraId="79DB7D92">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kg/h</w:t>
                  </w:r>
                </w:p>
              </w:tc>
            </w:tr>
            <w:tr w14:paraId="4F39AAD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571" w:type="pct"/>
                  <w:vMerge w:val="continue"/>
                  <w:tcBorders>
                    <w:tl2br w:val="nil"/>
                    <w:tr2bl w:val="nil"/>
                  </w:tcBorders>
                  <w:noWrap/>
                  <w:vAlign w:val="center"/>
                </w:tcPr>
                <w:p w14:paraId="5A416AF7">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495" w:type="pct"/>
                  <w:vMerge w:val="continue"/>
                  <w:tcBorders>
                    <w:tl2br w:val="nil"/>
                    <w:tr2bl w:val="nil"/>
                  </w:tcBorders>
                  <w:noWrap w:val="0"/>
                  <w:vAlign w:val="center"/>
                </w:tcPr>
                <w:p w14:paraId="10AC0A79">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488" w:type="pct"/>
                  <w:vMerge w:val="restart"/>
                  <w:tcBorders>
                    <w:tl2br w:val="nil"/>
                    <w:tr2bl w:val="nil"/>
                  </w:tcBorders>
                  <w:noWrap w:val="0"/>
                  <w:vAlign w:val="center"/>
                </w:tcPr>
                <w:p w14:paraId="65DB80F4">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氮氧化物</w:t>
                  </w:r>
                </w:p>
              </w:tc>
              <w:tc>
                <w:tcPr>
                  <w:tcW w:w="750" w:type="pct"/>
                  <w:tcBorders>
                    <w:tl2br w:val="nil"/>
                    <w:tr2bl w:val="nil"/>
                  </w:tcBorders>
                  <w:noWrap w:val="0"/>
                  <w:vAlign w:val="center"/>
                </w:tcPr>
                <w:p w14:paraId="63FCAB32">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实测浓度</w:t>
                  </w:r>
                </w:p>
              </w:tc>
              <w:tc>
                <w:tcPr>
                  <w:tcW w:w="568" w:type="pct"/>
                  <w:tcBorders>
                    <w:tl2br w:val="nil"/>
                    <w:tr2bl w:val="nil"/>
                  </w:tcBorders>
                  <w:noWrap w:val="0"/>
                  <w:vAlign w:val="center"/>
                </w:tcPr>
                <w:p w14:paraId="0205E541">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w:t>
                  </w:r>
                </w:p>
              </w:tc>
              <w:tc>
                <w:tcPr>
                  <w:tcW w:w="568" w:type="pct"/>
                  <w:tcBorders>
                    <w:tl2br w:val="nil"/>
                    <w:tr2bl w:val="nil"/>
                  </w:tcBorders>
                  <w:noWrap w:val="0"/>
                  <w:vAlign w:val="center"/>
                </w:tcPr>
                <w:p w14:paraId="0D06D3B4">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3（ND）</w:t>
                  </w:r>
                </w:p>
              </w:tc>
              <w:tc>
                <w:tcPr>
                  <w:tcW w:w="568" w:type="pct"/>
                  <w:tcBorders>
                    <w:tl2br w:val="nil"/>
                    <w:tr2bl w:val="nil"/>
                  </w:tcBorders>
                  <w:noWrap w:val="0"/>
                  <w:vAlign w:val="center"/>
                </w:tcPr>
                <w:p w14:paraId="3489B33D">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w:t>
                  </w:r>
                </w:p>
              </w:tc>
              <w:tc>
                <w:tcPr>
                  <w:tcW w:w="492" w:type="pct"/>
                  <w:gridSpan w:val="2"/>
                  <w:tcBorders>
                    <w:tl2br w:val="nil"/>
                    <w:tr2bl w:val="nil"/>
                  </w:tcBorders>
                  <w:noWrap w:val="0"/>
                  <w:vAlign w:val="center"/>
                </w:tcPr>
                <w:p w14:paraId="173E9824">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494" w:type="pct"/>
                  <w:tcBorders>
                    <w:tl2br w:val="nil"/>
                    <w:tr2bl w:val="nil"/>
                  </w:tcBorders>
                  <w:noWrap w:val="0"/>
                  <w:vAlign w:val="center"/>
                </w:tcPr>
                <w:p w14:paraId="24883092">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mg/m</w:t>
                  </w:r>
                  <w:r>
                    <w:rPr>
                      <w:rFonts w:hint="default" w:ascii="Times New Roman" w:hAnsi="Times New Roman" w:eastAsia="宋体" w:cs="Times New Roman"/>
                      <w:i w:val="0"/>
                      <w:iCs w:val="0"/>
                      <w:color w:val="auto"/>
                      <w:kern w:val="0"/>
                      <w:sz w:val="21"/>
                      <w:szCs w:val="21"/>
                      <w:u w:val="none" w:color="auto"/>
                      <w:vertAlign w:val="superscript"/>
                      <w:lang w:val="en-US" w:eastAsia="zh-CN" w:bidi="ar"/>
                    </w:rPr>
                    <w:t>3</w:t>
                  </w:r>
                </w:p>
              </w:tc>
            </w:tr>
            <w:tr w14:paraId="488D333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571" w:type="pct"/>
                  <w:vMerge w:val="continue"/>
                  <w:tcBorders>
                    <w:tl2br w:val="nil"/>
                    <w:tr2bl w:val="nil"/>
                  </w:tcBorders>
                  <w:noWrap/>
                  <w:vAlign w:val="center"/>
                </w:tcPr>
                <w:p w14:paraId="21CC05B3">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495" w:type="pct"/>
                  <w:vMerge w:val="continue"/>
                  <w:tcBorders>
                    <w:tl2br w:val="nil"/>
                    <w:tr2bl w:val="nil"/>
                  </w:tcBorders>
                  <w:noWrap w:val="0"/>
                  <w:vAlign w:val="center"/>
                </w:tcPr>
                <w:p w14:paraId="18EEA900">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488" w:type="pct"/>
                  <w:vMerge w:val="continue"/>
                  <w:tcBorders>
                    <w:tl2br w:val="nil"/>
                    <w:tr2bl w:val="nil"/>
                  </w:tcBorders>
                  <w:noWrap w:val="0"/>
                  <w:vAlign w:val="center"/>
                </w:tcPr>
                <w:p w14:paraId="4C551B30">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750" w:type="pct"/>
                  <w:tcBorders>
                    <w:tl2br w:val="nil"/>
                    <w:tr2bl w:val="nil"/>
                  </w:tcBorders>
                  <w:noWrap w:val="0"/>
                  <w:vAlign w:val="center"/>
                </w:tcPr>
                <w:p w14:paraId="0AFD9536">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折算浓度</w:t>
                  </w:r>
                </w:p>
              </w:tc>
              <w:tc>
                <w:tcPr>
                  <w:tcW w:w="568" w:type="pct"/>
                  <w:tcBorders>
                    <w:tl2br w:val="nil"/>
                    <w:tr2bl w:val="nil"/>
                  </w:tcBorders>
                  <w:noWrap w:val="0"/>
                  <w:vAlign w:val="center"/>
                </w:tcPr>
                <w:p w14:paraId="15D350DD">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5</w:t>
                  </w:r>
                </w:p>
              </w:tc>
              <w:tc>
                <w:tcPr>
                  <w:tcW w:w="568" w:type="pct"/>
                  <w:tcBorders>
                    <w:tl2br w:val="nil"/>
                    <w:tr2bl w:val="nil"/>
                  </w:tcBorders>
                  <w:noWrap w:val="0"/>
                  <w:vAlign w:val="center"/>
                </w:tcPr>
                <w:p w14:paraId="45031945">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3（ND）</w:t>
                  </w:r>
                </w:p>
              </w:tc>
              <w:tc>
                <w:tcPr>
                  <w:tcW w:w="568" w:type="pct"/>
                  <w:tcBorders>
                    <w:tl2br w:val="nil"/>
                    <w:tr2bl w:val="nil"/>
                  </w:tcBorders>
                  <w:noWrap w:val="0"/>
                  <w:vAlign w:val="center"/>
                </w:tcPr>
                <w:p w14:paraId="7B471B7B">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5</w:t>
                  </w:r>
                </w:p>
              </w:tc>
              <w:tc>
                <w:tcPr>
                  <w:tcW w:w="492" w:type="pct"/>
                  <w:gridSpan w:val="2"/>
                  <w:tcBorders>
                    <w:tl2br w:val="nil"/>
                    <w:tr2bl w:val="nil"/>
                  </w:tcBorders>
                  <w:noWrap w:val="0"/>
                  <w:vAlign w:val="center"/>
                </w:tcPr>
                <w:p w14:paraId="7DED1D87">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240</w:t>
                  </w:r>
                </w:p>
              </w:tc>
              <w:tc>
                <w:tcPr>
                  <w:tcW w:w="494" w:type="pct"/>
                  <w:tcBorders>
                    <w:tl2br w:val="nil"/>
                    <w:tr2bl w:val="nil"/>
                  </w:tcBorders>
                  <w:noWrap w:val="0"/>
                  <w:vAlign w:val="center"/>
                </w:tcPr>
                <w:p w14:paraId="46963BD3">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mg/m</w:t>
                  </w:r>
                  <w:r>
                    <w:rPr>
                      <w:rFonts w:hint="default" w:ascii="Times New Roman" w:hAnsi="Times New Roman" w:eastAsia="宋体" w:cs="Times New Roman"/>
                      <w:i w:val="0"/>
                      <w:iCs w:val="0"/>
                      <w:color w:val="auto"/>
                      <w:kern w:val="0"/>
                      <w:sz w:val="21"/>
                      <w:szCs w:val="21"/>
                      <w:u w:val="none" w:color="auto"/>
                      <w:vertAlign w:val="superscript"/>
                      <w:lang w:val="en-US" w:eastAsia="zh-CN" w:bidi="ar"/>
                    </w:rPr>
                    <w:t>3</w:t>
                  </w:r>
                </w:p>
              </w:tc>
            </w:tr>
            <w:tr w14:paraId="15CBCE8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571" w:type="pct"/>
                  <w:vMerge w:val="continue"/>
                  <w:tcBorders>
                    <w:tl2br w:val="nil"/>
                    <w:tr2bl w:val="nil"/>
                  </w:tcBorders>
                  <w:noWrap/>
                  <w:vAlign w:val="center"/>
                </w:tcPr>
                <w:p w14:paraId="3086AE83">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495" w:type="pct"/>
                  <w:vMerge w:val="continue"/>
                  <w:tcBorders>
                    <w:tl2br w:val="nil"/>
                    <w:tr2bl w:val="nil"/>
                  </w:tcBorders>
                  <w:noWrap w:val="0"/>
                  <w:vAlign w:val="center"/>
                </w:tcPr>
                <w:p w14:paraId="1510D06A">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488" w:type="pct"/>
                  <w:vMerge w:val="continue"/>
                  <w:tcBorders>
                    <w:tl2br w:val="nil"/>
                    <w:tr2bl w:val="nil"/>
                  </w:tcBorders>
                  <w:noWrap w:val="0"/>
                  <w:vAlign w:val="center"/>
                </w:tcPr>
                <w:p w14:paraId="37899D8C">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750" w:type="pct"/>
                  <w:tcBorders>
                    <w:tl2br w:val="nil"/>
                    <w:tr2bl w:val="nil"/>
                  </w:tcBorders>
                  <w:noWrap w:val="0"/>
                  <w:vAlign w:val="center"/>
                </w:tcPr>
                <w:p w14:paraId="2654DEF5">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排放速率</w:t>
                  </w:r>
                </w:p>
              </w:tc>
              <w:tc>
                <w:tcPr>
                  <w:tcW w:w="568" w:type="pct"/>
                  <w:tcBorders>
                    <w:tl2br w:val="nil"/>
                    <w:tr2bl w:val="nil"/>
                  </w:tcBorders>
                  <w:noWrap w:val="0"/>
                  <w:vAlign w:val="center"/>
                </w:tcPr>
                <w:p w14:paraId="5B26A948">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0.04</w:t>
                  </w:r>
                </w:p>
              </w:tc>
              <w:tc>
                <w:tcPr>
                  <w:tcW w:w="568" w:type="pct"/>
                  <w:tcBorders>
                    <w:tl2br w:val="nil"/>
                    <w:tr2bl w:val="nil"/>
                  </w:tcBorders>
                  <w:noWrap w:val="0"/>
                  <w:vAlign w:val="center"/>
                </w:tcPr>
                <w:p w14:paraId="5406E500">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0.02</w:t>
                  </w:r>
                </w:p>
              </w:tc>
              <w:tc>
                <w:tcPr>
                  <w:tcW w:w="568" w:type="pct"/>
                  <w:tcBorders>
                    <w:tl2br w:val="nil"/>
                    <w:tr2bl w:val="nil"/>
                  </w:tcBorders>
                  <w:noWrap w:val="0"/>
                  <w:vAlign w:val="center"/>
                </w:tcPr>
                <w:p w14:paraId="7ED9E2DE">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0.04</w:t>
                  </w:r>
                </w:p>
              </w:tc>
              <w:tc>
                <w:tcPr>
                  <w:tcW w:w="492" w:type="pct"/>
                  <w:gridSpan w:val="2"/>
                  <w:tcBorders>
                    <w:tl2br w:val="nil"/>
                    <w:tr2bl w:val="nil"/>
                  </w:tcBorders>
                  <w:noWrap w:val="0"/>
                  <w:vAlign w:val="center"/>
                </w:tcPr>
                <w:p w14:paraId="4B09B772">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0.385</w:t>
                  </w:r>
                </w:p>
              </w:tc>
              <w:tc>
                <w:tcPr>
                  <w:tcW w:w="494" w:type="pct"/>
                  <w:tcBorders>
                    <w:tl2br w:val="nil"/>
                    <w:tr2bl w:val="nil"/>
                  </w:tcBorders>
                  <w:noWrap w:val="0"/>
                  <w:vAlign w:val="center"/>
                </w:tcPr>
                <w:p w14:paraId="66222A27">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kg/h</w:t>
                  </w:r>
                </w:p>
              </w:tc>
            </w:tr>
            <w:tr w14:paraId="175633B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571" w:type="pct"/>
                  <w:vMerge w:val="continue"/>
                  <w:tcBorders>
                    <w:tl2br w:val="nil"/>
                    <w:tr2bl w:val="nil"/>
                  </w:tcBorders>
                  <w:noWrap/>
                  <w:vAlign w:val="center"/>
                </w:tcPr>
                <w:p w14:paraId="71A7EE5C">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495" w:type="pct"/>
                  <w:vMerge w:val="continue"/>
                  <w:tcBorders>
                    <w:tl2br w:val="nil"/>
                    <w:tr2bl w:val="nil"/>
                  </w:tcBorders>
                  <w:noWrap w:val="0"/>
                  <w:vAlign w:val="center"/>
                </w:tcPr>
                <w:p w14:paraId="69984559">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488" w:type="pct"/>
                  <w:vMerge w:val="restart"/>
                  <w:tcBorders>
                    <w:tl2br w:val="nil"/>
                    <w:tr2bl w:val="nil"/>
                  </w:tcBorders>
                  <w:noWrap w:val="0"/>
                  <w:vAlign w:val="center"/>
                </w:tcPr>
                <w:p w14:paraId="5B6B7AFA">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颗粒物</w:t>
                  </w:r>
                </w:p>
              </w:tc>
              <w:tc>
                <w:tcPr>
                  <w:tcW w:w="750" w:type="pct"/>
                  <w:tcBorders>
                    <w:tl2br w:val="nil"/>
                    <w:tr2bl w:val="nil"/>
                  </w:tcBorders>
                  <w:noWrap w:val="0"/>
                  <w:vAlign w:val="center"/>
                </w:tcPr>
                <w:p w14:paraId="7EF67A6E">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实测浓度</w:t>
                  </w:r>
                </w:p>
              </w:tc>
              <w:tc>
                <w:tcPr>
                  <w:tcW w:w="568" w:type="pct"/>
                  <w:tcBorders>
                    <w:tl2br w:val="nil"/>
                    <w:tr2bl w:val="nil"/>
                  </w:tcBorders>
                  <w:noWrap w:val="0"/>
                  <w:vAlign w:val="center"/>
                </w:tcPr>
                <w:p w14:paraId="67FBCAA0">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25.7</w:t>
                  </w:r>
                </w:p>
              </w:tc>
              <w:tc>
                <w:tcPr>
                  <w:tcW w:w="568" w:type="pct"/>
                  <w:tcBorders>
                    <w:tl2br w:val="nil"/>
                    <w:tr2bl w:val="nil"/>
                  </w:tcBorders>
                  <w:noWrap w:val="0"/>
                  <w:vAlign w:val="center"/>
                </w:tcPr>
                <w:p w14:paraId="2370E8C3">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26.2</w:t>
                  </w:r>
                </w:p>
              </w:tc>
              <w:tc>
                <w:tcPr>
                  <w:tcW w:w="568" w:type="pct"/>
                  <w:tcBorders>
                    <w:tl2br w:val="nil"/>
                    <w:tr2bl w:val="nil"/>
                  </w:tcBorders>
                  <w:noWrap w:val="0"/>
                  <w:vAlign w:val="center"/>
                </w:tcPr>
                <w:p w14:paraId="1755A7E7">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27.4</w:t>
                  </w:r>
                </w:p>
              </w:tc>
              <w:tc>
                <w:tcPr>
                  <w:tcW w:w="492" w:type="pct"/>
                  <w:gridSpan w:val="2"/>
                  <w:tcBorders>
                    <w:tl2br w:val="nil"/>
                    <w:tr2bl w:val="nil"/>
                  </w:tcBorders>
                  <w:noWrap w:val="0"/>
                  <w:vAlign w:val="center"/>
                </w:tcPr>
                <w:p w14:paraId="3C510FE7">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30</w:t>
                  </w:r>
                </w:p>
              </w:tc>
              <w:tc>
                <w:tcPr>
                  <w:tcW w:w="494" w:type="pct"/>
                  <w:tcBorders>
                    <w:tl2br w:val="nil"/>
                    <w:tr2bl w:val="nil"/>
                  </w:tcBorders>
                  <w:noWrap w:val="0"/>
                  <w:vAlign w:val="center"/>
                </w:tcPr>
                <w:p w14:paraId="087EE9D6">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mg/m</w:t>
                  </w:r>
                  <w:r>
                    <w:rPr>
                      <w:rFonts w:hint="default" w:ascii="Times New Roman" w:hAnsi="Times New Roman" w:eastAsia="宋体" w:cs="Times New Roman"/>
                      <w:i w:val="0"/>
                      <w:iCs w:val="0"/>
                      <w:color w:val="auto"/>
                      <w:kern w:val="0"/>
                      <w:sz w:val="21"/>
                      <w:szCs w:val="21"/>
                      <w:u w:val="none" w:color="auto"/>
                      <w:vertAlign w:val="superscript"/>
                      <w:lang w:val="en-US" w:eastAsia="zh-CN" w:bidi="ar"/>
                    </w:rPr>
                    <w:t>3</w:t>
                  </w:r>
                </w:p>
              </w:tc>
            </w:tr>
            <w:tr w14:paraId="07456C7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571" w:type="pct"/>
                  <w:vMerge w:val="continue"/>
                  <w:tcBorders>
                    <w:tl2br w:val="nil"/>
                    <w:tr2bl w:val="nil"/>
                  </w:tcBorders>
                  <w:noWrap/>
                  <w:vAlign w:val="center"/>
                </w:tcPr>
                <w:p w14:paraId="71F447BE">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495" w:type="pct"/>
                  <w:vMerge w:val="continue"/>
                  <w:tcBorders>
                    <w:tl2br w:val="nil"/>
                    <w:tr2bl w:val="nil"/>
                  </w:tcBorders>
                  <w:noWrap w:val="0"/>
                  <w:vAlign w:val="center"/>
                </w:tcPr>
                <w:p w14:paraId="5AEEE8D0">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488" w:type="pct"/>
                  <w:vMerge w:val="continue"/>
                  <w:tcBorders>
                    <w:tl2br w:val="nil"/>
                    <w:tr2bl w:val="nil"/>
                  </w:tcBorders>
                  <w:noWrap w:val="0"/>
                  <w:vAlign w:val="center"/>
                </w:tcPr>
                <w:p w14:paraId="1894A356">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750" w:type="pct"/>
                  <w:tcBorders>
                    <w:tl2br w:val="nil"/>
                    <w:tr2bl w:val="nil"/>
                  </w:tcBorders>
                  <w:noWrap w:val="0"/>
                  <w:vAlign w:val="center"/>
                </w:tcPr>
                <w:p w14:paraId="4F4AB0A2">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排放速率</w:t>
                  </w:r>
                </w:p>
              </w:tc>
              <w:tc>
                <w:tcPr>
                  <w:tcW w:w="568" w:type="pct"/>
                  <w:tcBorders>
                    <w:tl2br w:val="nil"/>
                    <w:tr2bl w:val="nil"/>
                  </w:tcBorders>
                  <w:noWrap w:val="0"/>
                  <w:vAlign w:val="center"/>
                </w:tcPr>
                <w:p w14:paraId="1634DBC6">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0.29</w:t>
                  </w:r>
                </w:p>
              </w:tc>
              <w:tc>
                <w:tcPr>
                  <w:tcW w:w="568" w:type="pct"/>
                  <w:tcBorders>
                    <w:tl2br w:val="nil"/>
                    <w:tr2bl w:val="nil"/>
                  </w:tcBorders>
                  <w:noWrap w:val="0"/>
                  <w:vAlign w:val="center"/>
                </w:tcPr>
                <w:p w14:paraId="751F5DEE">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0.3</w:t>
                  </w:r>
                </w:p>
              </w:tc>
              <w:tc>
                <w:tcPr>
                  <w:tcW w:w="568" w:type="pct"/>
                  <w:tcBorders>
                    <w:tl2br w:val="nil"/>
                    <w:tr2bl w:val="nil"/>
                  </w:tcBorders>
                  <w:noWrap w:val="0"/>
                  <w:vAlign w:val="center"/>
                </w:tcPr>
                <w:p w14:paraId="3D00388A">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0.33</w:t>
                  </w:r>
                </w:p>
              </w:tc>
              <w:tc>
                <w:tcPr>
                  <w:tcW w:w="492" w:type="pct"/>
                  <w:gridSpan w:val="2"/>
                  <w:tcBorders>
                    <w:tl2br w:val="nil"/>
                    <w:tr2bl w:val="nil"/>
                  </w:tcBorders>
                  <w:noWrap w:val="0"/>
                  <w:vAlign w:val="center"/>
                </w:tcPr>
                <w:p w14:paraId="70466B05">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494" w:type="pct"/>
                  <w:tcBorders>
                    <w:tl2br w:val="nil"/>
                    <w:tr2bl w:val="nil"/>
                  </w:tcBorders>
                  <w:noWrap w:val="0"/>
                  <w:vAlign w:val="center"/>
                </w:tcPr>
                <w:p w14:paraId="6077C7EF">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kg/h</w:t>
                  </w:r>
                </w:p>
              </w:tc>
            </w:tr>
            <w:tr w14:paraId="7819374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571" w:type="pct"/>
                  <w:vMerge w:val="restart"/>
                  <w:tcBorders>
                    <w:tl2br w:val="nil"/>
                    <w:tr2bl w:val="nil"/>
                  </w:tcBorders>
                  <w:noWrap/>
                  <w:vAlign w:val="center"/>
                </w:tcPr>
                <w:p w14:paraId="1974E998">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5月31日</w:t>
                  </w:r>
                </w:p>
              </w:tc>
              <w:tc>
                <w:tcPr>
                  <w:tcW w:w="495" w:type="pct"/>
                  <w:vMerge w:val="restart"/>
                  <w:tcBorders>
                    <w:tl2br w:val="nil"/>
                    <w:tr2bl w:val="nil"/>
                  </w:tcBorders>
                  <w:noWrap w:val="0"/>
                  <w:vAlign w:val="center"/>
                </w:tcPr>
                <w:p w14:paraId="29C26681">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DA005进口</w:t>
                  </w:r>
                </w:p>
              </w:tc>
              <w:tc>
                <w:tcPr>
                  <w:tcW w:w="1239" w:type="pct"/>
                  <w:gridSpan w:val="2"/>
                  <w:tcBorders>
                    <w:tl2br w:val="nil"/>
                    <w:tr2bl w:val="nil"/>
                  </w:tcBorders>
                  <w:noWrap w:val="0"/>
                  <w:vAlign w:val="center"/>
                </w:tcPr>
                <w:p w14:paraId="0C6E4BA0">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标干流量</w:t>
                  </w:r>
                </w:p>
              </w:tc>
              <w:tc>
                <w:tcPr>
                  <w:tcW w:w="569" w:type="pct"/>
                  <w:tcBorders>
                    <w:tl2br w:val="nil"/>
                    <w:tr2bl w:val="nil"/>
                  </w:tcBorders>
                  <w:noWrap w:val="0"/>
                  <w:vAlign w:val="center"/>
                </w:tcPr>
                <w:p w14:paraId="59914005">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11708</w:t>
                  </w:r>
                </w:p>
              </w:tc>
              <w:tc>
                <w:tcPr>
                  <w:tcW w:w="569" w:type="pct"/>
                  <w:tcBorders>
                    <w:tl2br w:val="nil"/>
                    <w:tr2bl w:val="nil"/>
                  </w:tcBorders>
                  <w:noWrap w:val="0"/>
                  <w:vAlign w:val="center"/>
                </w:tcPr>
                <w:p w14:paraId="661455B2">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13040</w:t>
                  </w:r>
                </w:p>
              </w:tc>
              <w:tc>
                <w:tcPr>
                  <w:tcW w:w="569" w:type="pct"/>
                  <w:gridSpan w:val="2"/>
                  <w:tcBorders>
                    <w:tl2br w:val="nil"/>
                    <w:tr2bl w:val="nil"/>
                  </w:tcBorders>
                  <w:noWrap w:val="0"/>
                  <w:vAlign w:val="center"/>
                </w:tcPr>
                <w:p w14:paraId="633EE390">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12304</w:t>
                  </w:r>
                </w:p>
              </w:tc>
              <w:tc>
                <w:tcPr>
                  <w:tcW w:w="492" w:type="pct"/>
                  <w:tcBorders>
                    <w:tl2br w:val="nil"/>
                    <w:tr2bl w:val="nil"/>
                  </w:tcBorders>
                  <w:noWrap w:val="0"/>
                  <w:vAlign w:val="center"/>
                </w:tcPr>
                <w:p w14:paraId="5FA5348E">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493" w:type="pct"/>
                  <w:tcBorders>
                    <w:tl2br w:val="nil"/>
                    <w:tr2bl w:val="nil"/>
                  </w:tcBorders>
                  <w:noWrap w:val="0"/>
                  <w:vAlign w:val="center"/>
                </w:tcPr>
                <w:p w14:paraId="3117A54B">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Nm</w:t>
                  </w:r>
                  <w:r>
                    <w:rPr>
                      <w:rFonts w:hint="default" w:ascii="Times New Roman" w:hAnsi="Times New Roman" w:eastAsia="宋体" w:cs="Times New Roman"/>
                      <w:i w:val="0"/>
                      <w:iCs w:val="0"/>
                      <w:color w:val="auto"/>
                      <w:kern w:val="0"/>
                      <w:sz w:val="21"/>
                      <w:szCs w:val="21"/>
                      <w:u w:val="none" w:color="auto"/>
                      <w:vertAlign w:val="superscript"/>
                      <w:lang w:val="en-US" w:eastAsia="zh-CN" w:bidi="ar"/>
                    </w:rPr>
                    <w:t>3</w:t>
                  </w:r>
                  <w:r>
                    <w:rPr>
                      <w:rFonts w:hint="default" w:ascii="Times New Roman" w:hAnsi="Times New Roman" w:eastAsia="宋体" w:cs="Times New Roman"/>
                      <w:i w:val="0"/>
                      <w:iCs w:val="0"/>
                      <w:color w:val="auto"/>
                      <w:kern w:val="0"/>
                      <w:sz w:val="21"/>
                      <w:szCs w:val="21"/>
                      <w:u w:val="none" w:color="auto"/>
                      <w:lang w:val="en-US" w:eastAsia="zh-CN" w:bidi="ar"/>
                    </w:rPr>
                    <w:t>/h</w:t>
                  </w:r>
                </w:p>
              </w:tc>
            </w:tr>
            <w:tr w14:paraId="2374BB9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571" w:type="pct"/>
                  <w:vMerge w:val="continue"/>
                  <w:tcBorders>
                    <w:tl2br w:val="nil"/>
                    <w:tr2bl w:val="nil"/>
                  </w:tcBorders>
                  <w:noWrap/>
                  <w:vAlign w:val="center"/>
                </w:tcPr>
                <w:p w14:paraId="357442B4">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495" w:type="pct"/>
                  <w:vMerge w:val="continue"/>
                  <w:tcBorders>
                    <w:tl2br w:val="nil"/>
                    <w:tr2bl w:val="nil"/>
                  </w:tcBorders>
                  <w:noWrap w:val="0"/>
                  <w:vAlign w:val="center"/>
                </w:tcPr>
                <w:p w14:paraId="51089066">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1239" w:type="pct"/>
                  <w:gridSpan w:val="2"/>
                  <w:tcBorders>
                    <w:tl2br w:val="nil"/>
                    <w:tr2bl w:val="nil"/>
                  </w:tcBorders>
                  <w:noWrap w:val="0"/>
                  <w:vAlign w:val="center"/>
                </w:tcPr>
                <w:p w14:paraId="23356DA0">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平均烟温</w:t>
                  </w:r>
                </w:p>
              </w:tc>
              <w:tc>
                <w:tcPr>
                  <w:tcW w:w="569" w:type="pct"/>
                  <w:tcBorders>
                    <w:tl2br w:val="nil"/>
                    <w:tr2bl w:val="nil"/>
                  </w:tcBorders>
                  <w:noWrap w:val="0"/>
                  <w:vAlign w:val="center"/>
                </w:tcPr>
                <w:p w14:paraId="5F4C91AE">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138</w:t>
                  </w:r>
                </w:p>
              </w:tc>
              <w:tc>
                <w:tcPr>
                  <w:tcW w:w="569" w:type="pct"/>
                  <w:tcBorders>
                    <w:tl2br w:val="nil"/>
                    <w:tr2bl w:val="nil"/>
                  </w:tcBorders>
                  <w:noWrap w:val="0"/>
                  <w:vAlign w:val="center"/>
                </w:tcPr>
                <w:p w14:paraId="3E7DFFCE">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138.5</w:t>
                  </w:r>
                </w:p>
              </w:tc>
              <w:tc>
                <w:tcPr>
                  <w:tcW w:w="569" w:type="pct"/>
                  <w:gridSpan w:val="2"/>
                  <w:tcBorders>
                    <w:tl2br w:val="nil"/>
                    <w:tr2bl w:val="nil"/>
                  </w:tcBorders>
                  <w:noWrap w:val="0"/>
                  <w:vAlign w:val="center"/>
                </w:tcPr>
                <w:p w14:paraId="2E4137D3">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138.7</w:t>
                  </w:r>
                </w:p>
              </w:tc>
              <w:tc>
                <w:tcPr>
                  <w:tcW w:w="492" w:type="pct"/>
                  <w:tcBorders>
                    <w:tl2br w:val="nil"/>
                    <w:tr2bl w:val="nil"/>
                  </w:tcBorders>
                  <w:noWrap w:val="0"/>
                  <w:vAlign w:val="center"/>
                </w:tcPr>
                <w:p w14:paraId="36FEBBEC">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493" w:type="pct"/>
                  <w:tcBorders>
                    <w:tl2br w:val="nil"/>
                    <w:tr2bl w:val="nil"/>
                  </w:tcBorders>
                  <w:noWrap w:val="0"/>
                  <w:vAlign w:val="center"/>
                </w:tcPr>
                <w:p w14:paraId="308B3E62">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r>
            <w:tr w14:paraId="109729B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571" w:type="pct"/>
                  <w:vMerge w:val="continue"/>
                  <w:tcBorders>
                    <w:tl2br w:val="nil"/>
                    <w:tr2bl w:val="nil"/>
                  </w:tcBorders>
                  <w:noWrap/>
                  <w:vAlign w:val="center"/>
                </w:tcPr>
                <w:p w14:paraId="23C32E18">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495" w:type="pct"/>
                  <w:vMerge w:val="continue"/>
                  <w:tcBorders>
                    <w:tl2br w:val="nil"/>
                    <w:tr2bl w:val="nil"/>
                  </w:tcBorders>
                  <w:noWrap w:val="0"/>
                  <w:vAlign w:val="center"/>
                </w:tcPr>
                <w:p w14:paraId="4CE55CFD">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1239" w:type="pct"/>
                  <w:gridSpan w:val="2"/>
                  <w:tcBorders>
                    <w:tl2br w:val="nil"/>
                    <w:tr2bl w:val="nil"/>
                  </w:tcBorders>
                  <w:noWrap w:val="0"/>
                  <w:vAlign w:val="center"/>
                </w:tcPr>
                <w:p w14:paraId="3313AFB5">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平均流速</w:t>
                  </w:r>
                </w:p>
              </w:tc>
              <w:tc>
                <w:tcPr>
                  <w:tcW w:w="569" w:type="pct"/>
                  <w:tcBorders>
                    <w:tl2br w:val="nil"/>
                    <w:tr2bl w:val="nil"/>
                  </w:tcBorders>
                  <w:noWrap w:val="0"/>
                  <w:vAlign w:val="center"/>
                </w:tcPr>
                <w:p w14:paraId="0E4B0189">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18</w:t>
                  </w:r>
                </w:p>
              </w:tc>
              <w:tc>
                <w:tcPr>
                  <w:tcW w:w="569" w:type="pct"/>
                  <w:tcBorders>
                    <w:tl2br w:val="nil"/>
                    <w:tr2bl w:val="nil"/>
                  </w:tcBorders>
                  <w:noWrap w:val="0"/>
                  <w:vAlign w:val="center"/>
                </w:tcPr>
                <w:p w14:paraId="032D494A">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20</w:t>
                  </w:r>
                </w:p>
              </w:tc>
              <w:tc>
                <w:tcPr>
                  <w:tcW w:w="569" w:type="pct"/>
                  <w:gridSpan w:val="2"/>
                  <w:tcBorders>
                    <w:tl2br w:val="nil"/>
                    <w:tr2bl w:val="nil"/>
                  </w:tcBorders>
                  <w:noWrap w:val="0"/>
                  <w:vAlign w:val="center"/>
                </w:tcPr>
                <w:p w14:paraId="71DAC70C">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18.9</w:t>
                  </w:r>
                </w:p>
              </w:tc>
              <w:tc>
                <w:tcPr>
                  <w:tcW w:w="492" w:type="pct"/>
                  <w:tcBorders>
                    <w:tl2br w:val="nil"/>
                    <w:tr2bl w:val="nil"/>
                  </w:tcBorders>
                  <w:noWrap w:val="0"/>
                  <w:vAlign w:val="center"/>
                </w:tcPr>
                <w:p w14:paraId="44A11B14">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493" w:type="pct"/>
                  <w:tcBorders>
                    <w:tl2br w:val="nil"/>
                    <w:tr2bl w:val="nil"/>
                  </w:tcBorders>
                  <w:noWrap w:val="0"/>
                  <w:vAlign w:val="center"/>
                </w:tcPr>
                <w:p w14:paraId="0D10D88F">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m/s</w:t>
                  </w:r>
                </w:p>
              </w:tc>
            </w:tr>
            <w:tr w14:paraId="08C2504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571" w:type="pct"/>
                  <w:vMerge w:val="continue"/>
                  <w:tcBorders>
                    <w:tl2br w:val="nil"/>
                    <w:tr2bl w:val="nil"/>
                  </w:tcBorders>
                  <w:noWrap/>
                  <w:vAlign w:val="center"/>
                </w:tcPr>
                <w:p w14:paraId="79C2B748">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495" w:type="pct"/>
                  <w:vMerge w:val="continue"/>
                  <w:tcBorders>
                    <w:tl2br w:val="nil"/>
                    <w:tr2bl w:val="nil"/>
                  </w:tcBorders>
                  <w:noWrap w:val="0"/>
                  <w:vAlign w:val="center"/>
                </w:tcPr>
                <w:p w14:paraId="0F1BD4E9">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1239" w:type="pct"/>
                  <w:gridSpan w:val="2"/>
                  <w:tcBorders>
                    <w:tl2br w:val="nil"/>
                    <w:tr2bl w:val="nil"/>
                  </w:tcBorders>
                  <w:noWrap w:val="0"/>
                  <w:vAlign w:val="center"/>
                </w:tcPr>
                <w:p w14:paraId="1CB1F298">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含氧量</w:t>
                  </w:r>
                </w:p>
              </w:tc>
              <w:tc>
                <w:tcPr>
                  <w:tcW w:w="569" w:type="pct"/>
                  <w:tcBorders>
                    <w:tl2br w:val="nil"/>
                    <w:tr2bl w:val="nil"/>
                  </w:tcBorders>
                  <w:noWrap w:val="0"/>
                  <w:vAlign w:val="center"/>
                </w:tcPr>
                <w:p w14:paraId="21D23645">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11</w:t>
                  </w:r>
                </w:p>
              </w:tc>
              <w:tc>
                <w:tcPr>
                  <w:tcW w:w="569" w:type="pct"/>
                  <w:tcBorders>
                    <w:tl2br w:val="nil"/>
                    <w:tr2bl w:val="nil"/>
                  </w:tcBorders>
                  <w:noWrap w:val="0"/>
                  <w:vAlign w:val="center"/>
                </w:tcPr>
                <w:p w14:paraId="606E12EA">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11.1</w:t>
                  </w:r>
                </w:p>
              </w:tc>
              <w:tc>
                <w:tcPr>
                  <w:tcW w:w="569" w:type="pct"/>
                  <w:gridSpan w:val="2"/>
                  <w:tcBorders>
                    <w:tl2br w:val="nil"/>
                    <w:tr2bl w:val="nil"/>
                  </w:tcBorders>
                  <w:noWrap w:val="0"/>
                  <w:vAlign w:val="center"/>
                </w:tcPr>
                <w:p w14:paraId="01295E15">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11</w:t>
                  </w:r>
                </w:p>
              </w:tc>
              <w:tc>
                <w:tcPr>
                  <w:tcW w:w="492" w:type="pct"/>
                  <w:tcBorders>
                    <w:tl2br w:val="nil"/>
                    <w:tr2bl w:val="nil"/>
                  </w:tcBorders>
                  <w:noWrap w:val="0"/>
                  <w:vAlign w:val="center"/>
                </w:tcPr>
                <w:p w14:paraId="7AF834E7">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493" w:type="pct"/>
                  <w:tcBorders>
                    <w:tl2br w:val="nil"/>
                    <w:tr2bl w:val="nil"/>
                  </w:tcBorders>
                  <w:noWrap w:val="0"/>
                  <w:vAlign w:val="center"/>
                </w:tcPr>
                <w:p w14:paraId="0F11FB28">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r>
            <w:tr w14:paraId="5A56935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571" w:type="pct"/>
                  <w:vMerge w:val="continue"/>
                  <w:tcBorders>
                    <w:tl2br w:val="nil"/>
                    <w:tr2bl w:val="nil"/>
                  </w:tcBorders>
                  <w:noWrap/>
                  <w:vAlign w:val="center"/>
                </w:tcPr>
                <w:p w14:paraId="67C2D2E2">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495" w:type="pct"/>
                  <w:vMerge w:val="continue"/>
                  <w:tcBorders>
                    <w:tl2br w:val="nil"/>
                    <w:tr2bl w:val="nil"/>
                  </w:tcBorders>
                  <w:noWrap w:val="0"/>
                  <w:vAlign w:val="center"/>
                </w:tcPr>
                <w:p w14:paraId="21DC9CB9">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488" w:type="pct"/>
                  <w:vMerge w:val="restart"/>
                  <w:tcBorders>
                    <w:tl2br w:val="nil"/>
                    <w:tr2bl w:val="nil"/>
                  </w:tcBorders>
                  <w:noWrap w:val="0"/>
                  <w:vAlign w:val="center"/>
                </w:tcPr>
                <w:p w14:paraId="5F512A24">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二氧化硫</w:t>
                  </w:r>
                </w:p>
              </w:tc>
              <w:tc>
                <w:tcPr>
                  <w:tcW w:w="750" w:type="pct"/>
                  <w:tcBorders>
                    <w:tl2br w:val="nil"/>
                    <w:tr2bl w:val="nil"/>
                  </w:tcBorders>
                  <w:noWrap w:val="0"/>
                  <w:vAlign w:val="center"/>
                </w:tcPr>
                <w:p w14:paraId="4ECAAD1A">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实测浓度</w:t>
                  </w:r>
                </w:p>
              </w:tc>
              <w:tc>
                <w:tcPr>
                  <w:tcW w:w="569" w:type="pct"/>
                  <w:tcBorders>
                    <w:tl2br w:val="nil"/>
                    <w:tr2bl w:val="nil"/>
                  </w:tcBorders>
                  <w:noWrap w:val="0"/>
                  <w:vAlign w:val="center"/>
                </w:tcPr>
                <w:p w14:paraId="2D2B823D">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5</w:t>
                  </w:r>
                </w:p>
              </w:tc>
              <w:tc>
                <w:tcPr>
                  <w:tcW w:w="569" w:type="pct"/>
                  <w:tcBorders>
                    <w:tl2br w:val="nil"/>
                    <w:tr2bl w:val="nil"/>
                  </w:tcBorders>
                  <w:noWrap w:val="0"/>
                  <w:vAlign w:val="center"/>
                </w:tcPr>
                <w:p w14:paraId="276AAA45">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4</w:t>
                  </w:r>
                </w:p>
              </w:tc>
              <w:tc>
                <w:tcPr>
                  <w:tcW w:w="569" w:type="pct"/>
                  <w:gridSpan w:val="2"/>
                  <w:tcBorders>
                    <w:tl2br w:val="nil"/>
                    <w:tr2bl w:val="nil"/>
                  </w:tcBorders>
                  <w:noWrap w:val="0"/>
                  <w:vAlign w:val="center"/>
                </w:tcPr>
                <w:p w14:paraId="11577B20">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4</w:t>
                  </w:r>
                </w:p>
              </w:tc>
              <w:tc>
                <w:tcPr>
                  <w:tcW w:w="492" w:type="pct"/>
                  <w:tcBorders>
                    <w:tl2br w:val="nil"/>
                    <w:tr2bl w:val="nil"/>
                  </w:tcBorders>
                  <w:noWrap w:val="0"/>
                  <w:vAlign w:val="center"/>
                </w:tcPr>
                <w:p w14:paraId="19D15598">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493" w:type="pct"/>
                  <w:tcBorders>
                    <w:tl2br w:val="nil"/>
                    <w:tr2bl w:val="nil"/>
                  </w:tcBorders>
                  <w:noWrap w:val="0"/>
                  <w:vAlign w:val="center"/>
                </w:tcPr>
                <w:p w14:paraId="7C6A831C">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mg/m</w:t>
                  </w:r>
                  <w:r>
                    <w:rPr>
                      <w:rFonts w:hint="default" w:ascii="Times New Roman" w:hAnsi="Times New Roman" w:eastAsia="宋体" w:cs="Times New Roman"/>
                      <w:i w:val="0"/>
                      <w:iCs w:val="0"/>
                      <w:color w:val="auto"/>
                      <w:kern w:val="0"/>
                      <w:sz w:val="21"/>
                      <w:szCs w:val="21"/>
                      <w:u w:val="none" w:color="auto"/>
                      <w:vertAlign w:val="superscript"/>
                      <w:lang w:val="en-US" w:eastAsia="zh-CN" w:bidi="ar"/>
                    </w:rPr>
                    <w:t>3</w:t>
                  </w:r>
                </w:p>
              </w:tc>
            </w:tr>
            <w:tr w14:paraId="08A9009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571" w:type="pct"/>
                  <w:vMerge w:val="continue"/>
                  <w:tcBorders>
                    <w:tl2br w:val="nil"/>
                    <w:tr2bl w:val="nil"/>
                  </w:tcBorders>
                  <w:noWrap/>
                  <w:vAlign w:val="center"/>
                </w:tcPr>
                <w:p w14:paraId="57B93201">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495" w:type="pct"/>
                  <w:vMerge w:val="continue"/>
                  <w:tcBorders>
                    <w:tl2br w:val="nil"/>
                    <w:tr2bl w:val="nil"/>
                  </w:tcBorders>
                  <w:noWrap w:val="0"/>
                  <w:vAlign w:val="center"/>
                </w:tcPr>
                <w:p w14:paraId="2CA5811D">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488" w:type="pct"/>
                  <w:vMerge w:val="continue"/>
                  <w:tcBorders>
                    <w:tl2br w:val="nil"/>
                    <w:tr2bl w:val="nil"/>
                  </w:tcBorders>
                  <w:noWrap w:val="0"/>
                  <w:vAlign w:val="center"/>
                </w:tcPr>
                <w:p w14:paraId="64485728">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750" w:type="pct"/>
                  <w:tcBorders>
                    <w:tl2br w:val="nil"/>
                    <w:tr2bl w:val="nil"/>
                  </w:tcBorders>
                  <w:noWrap w:val="0"/>
                  <w:vAlign w:val="center"/>
                </w:tcPr>
                <w:p w14:paraId="1FCAB283">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折算浓度</w:t>
                  </w:r>
                </w:p>
              </w:tc>
              <w:tc>
                <w:tcPr>
                  <w:tcW w:w="569" w:type="pct"/>
                  <w:tcBorders>
                    <w:tl2br w:val="nil"/>
                    <w:tr2bl w:val="nil"/>
                  </w:tcBorders>
                  <w:noWrap w:val="0"/>
                  <w:vAlign w:val="center"/>
                </w:tcPr>
                <w:p w14:paraId="157A687E">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8</w:t>
                  </w:r>
                </w:p>
              </w:tc>
              <w:tc>
                <w:tcPr>
                  <w:tcW w:w="569" w:type="pct"/>
                  <w:tcBorders>
                    <w:tl2br w:val="nil"/>
                    <w:tr2bl w:val="nil"/>
                  </w:tcBorders>
                  <w:noWrap w:val="0"/>
                  <w:vAlign w:val="center"/>
                </w:tcPr>
                <w:p w14:paraId="7620250E">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7</w:t>
                  </w:r>
                </w:p>
              </w:tc>
              <w:tc>
                <w:tcPr>
                  <w:tcW w:w="569" w:type="pct"/>
                  <w:gridSpan w:val="2"/>
                  <w:tcBorders>
                    <w:tl2br w:val="nil"/>
                    <w:tr2bl w:val="nil"/>
                  </w:tcBorders>
                  <w:noWrap w:val="0"/>
                  <w:vAlign w:val="center"/>
                </w:tcPr>
                <w:p w14:paraId="6B333C39">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6</w:t>
                  </w:r>
                </w:p>
              </w:tc>
              <w:tc>
                <w:tcPr>
                  <w:tcW w:w="492" w:type="pct"/>
                  <w:tcBorders>
                    <w:tl2br w:val="nil"/>
                    <w:tr2bl w:val="nil"/>
                  </w:tcBorders>
                  <w:noWrap w:val="0"/>
                  <w:vAlign w:val="center"/>
                </w:tcPr>
                <w:p w14:paraId="4050B52B">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493" w:type="pct"/>
                  <w:tcBorders>
                    <w:tl2br w:val="nil"/>
                    <w:tr2bl w:val="nil"/>
                  </w:tcBorders>
                  <w:noWrap w:val="0"/>
                  <w:vAlign w:val="center"/>
                </w:tcPr>
                <w:p w14:paraId="1252BDF4">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mg/m</w:t>
                  </w:r>
                  <w:r>
                    <w:rPr>
                      <w:rFonts w:hint="default" w:ascii="Times New Roman" w:hAnsi="Times New Roman" w:eastAsia="宋体" w:cs="Times New Roman"/>
                      <w:i w:val="0"/>
                      <w:iCs w:val="0"/>
                      <w:color w:val="auto"/>
                      <w:kern w:val="0"/>
                      <w:sz w:val="21"/>
                      <w:szCs w:val="21"/>
                      <w:u w:val="none" w:color="auto"/>
                      <w:vertAlign w:val="superscript"/>
                      <w:lang w:val="en-US" w:eastAsia="zh-CN" w:bidi="ar"/>
                    </w:rPr>
                    <w:t>3</w:t>
                  </w:r>
                </w:p>
              </w:tc>
            </w:tr>
            <w:tr w14:paraId="1823F5C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571" w:type="pct"/>
                  <w:vMerge w:val="continue"/>
                  <w:tcBorders>
                    <w:tl2br w:val="nil"/>
                    <w:tr2bl w:val="nil"/>
                  </w:tcBorders>
                  <w:noWrap/>
                  <w:vAlign w:val="center"/>
                </w:tcPr>
                <w:p w14:paraId="37CE881A">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495" w:type="pct"/>
                  <w:vMerge w:val="continue"/>
                  <w:tcBorders>
                    <w:tl2br w:val="nil"/>
                    <w:tr2bl w:val="nil"/>
                  </w:tcBorders>
                  <w:noWrap w:val="0"/>
                  <w:vAlign w:val="center"/>
                </w:tcPr>
                <w:p w14:paraId="53D271D2">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488" w:type="pct"/>
                  <w:vMerge w:val="continue"/>
                  <w:tcBorders>
                    <w:tl2br w:val="nil"/>
                    <w:tr2bl w:val="nil"/>
                  </w:tcBorders>
                  <w:noWrap w:val="0"/>
                  <w:vAlign w:val="center"/>
                </w:tcPr>
                <w:p w14:paraId="53B17424">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750" w:type="pct"/>
                  <w:tcBorders>
                    <w:tl2br w:val="nil"/>
                    <w:tr2bl w:val="nil"/>
                  </w:tcBorders>
                  <w:noWrap w:val="0"/>
                  <w:vAlign w:val="center"/>
                </w:tcPr>
                <w:p w14:paraId="138A54D8">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排放速率</w:t>
                  </w:r>
                </w:p>
              </w:tc>
              <w:tc>
                <w:tcPr>
                  <w:tcW w:w="569" w:type="pct"/>
                  <w:tcBorders>
                    <w:tl2br w:val="nil"/>
                    <w:tr2bl w:val="nil"/>
                  </w:tcBorders>
                  <w:noWrap w:val="0"/>
                  <w:vAlign w:val="center"/>
                </w:tcPr>
                <w:p w14:paraId="678D285C">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0.06</w:t>
                  </w:r>
                </w:p>
              </w:tc>
              <w:tc>
                <w:tcPr>
                  <w:tcW w:w="569" w:type="pct"/>
                  <w:tcBorders>
                    <w:tl2br w:val="nil"/>
                    <w:tr2bl w:val="nil"/>
                  </w:tcBorders>
                  <w:noWrap w:val="0"/>
                  <w:vAlign w:val="center"/>
                </w:tcPr>
                <w:p w14:paraId="6CBE841F">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0.05</w:t>
                  </w:r>
                </w:p>
              </w:tc>
              <w:tc>
                <w:tcPr>
                  <w:tcW w:w="569" w:type="pct"/>
                  <w:gridSpan w:val="2"/>
                  <w:tcBorders>
                    <w:tl2br w:val="nil"/>
                    <w:tr2bl w:val="nil"/>
                  </w:tcBorders>
                  <w:noWrap w:val="0"/>
                  <w:vAlign w:val="center"/>
                </w:tcPr>
                <w:p w14:paraId="6B16FD1D">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0.05</w:t>
                  </w:r>
                </w:p>
              </w:tc>
              <w:tc>
                <w:tcPr>
                  <w:tcW w:w="492" w:type="pct"/>
                  <w:tcBorders>
                    <w:tl2br w:val="nil"/>
                    <w:tr2bl w:val="nil"/>
                  </w:tcBorders>
                  <w:noWrap w:val="0"/>
                  <w:vAlign w:val="center"/>
                </w:tcPr>
                <w:p w14:paraId="7109D3BD">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493" w:type="pct"/>
                  <w:tcBorders>
                    <w:tl2br w:val="nil"/>
                    <w:tr2bl w:val="nil"/>
                  </w:tcBorders>
                  <w:noWrap w:val="0"/>
                  <w:vAlign w:val="center"/>
                </w:tcPr>
                <w:p w14:paraId="555D5401">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kg/h</w:t>
                  </w:r>
                </w:p>
              </w:tc>
            </w:tr>
            <w:tr w14:paraId="7E24E51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571" w:type="pct"/>
                  <w:vMerge w:val="continue"/>
                  <w:tcBorders>
                    <w:tl2br w:val="nil"/>
                    <w:tr2bl w:val="nil"/>
                  </w:tcBorders>
                  <w:noWrap/>
                  <w:vAlign w:val="center"/>
                </w:tcPr>
                <w:p w14:paraId="71320D21">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495" w:type="pct"/>
                  <w:vMerge w:val="continue"/>
                  <w:tcBorders>
                    <w:tl2br w:val="nil"/>
                    <w:tr2bl w:val="nil"/>
                  </w:tcBorders>
                  <w:noWrap w:val="0"/>
                  <w:vAlign w:val="center"/>
                </w:tcPr>
                <w:p w14:paraId="7B39A2F8">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488" w:type="pct"/>
                  <w:vMerge w:val="restart"/>
                  <w:tcBorders>
                    <w:tl2br w:val="nil"/>
                    <w:tr2bl w:val="nil"/>
                  </w:tcBorders>
                  <w:noWrap w:val="0"/>
                  <w:vAlign w:val="center"/>
                </w:tcPr>
                <w:p w14:paraId="060D63C7">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氮氧化物</w:t>
                  </w:r>
                </w:p>
              </w:tc>
              <w:tc>
                <w:tcPr>
                  <w:tcW w:w="750" w:type="pct"/>
                  <w:tcBorders>
                    <w:tl2br w:val="nil"/>
                    <w:tr2bl w:val="nil"/>
                  </w:tcBorders>
                  <w:noWrap w:val="0"/>
                  <w:vAlign w:val="center"/>
                </w:tcPr>
                <w:p w14:paraId="2BE1E34F">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实测浓度</w:t>
                  </w:r>
                </w:p>
              </w:tc>
              <w:tc>
                <w:tcPr>
                  <w:tcW w:w="569" w:type="pct"/>
                  <w:tcBorders>
                    <w:tl2br w:val="nil"/>
                    <w:tr2bl w:val="nil"/>
                  </w:tcBorders>
                  <w:noWrap w:val="0"/>
                  <w:vAlign w:val="center"/>
                </w:tcPr>
                <w:p w14:paraId="437844F6">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9</w:t>
                  </w:r>
                </w:p>
              </w:tc>
              <w:tc>
                <w:tcPr>
                  <w:tcW w:w="569" w:type="pct"/>
                  <w:tcBorders>
                    <w:tl2br w:val="nil"/>
                    <w:tr2bl w:val="nil"/>
                  </w:tcBorders>
                  <w:noWrap w:val="0"/>
                  <w:vAlign w:val="center"/>
                </w:tcPr>
                <w:p w14:paraId="41E2F686">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8</w:t>
                  </w:r>
                </w:p>
              </w:tc>
              <w:tc>
                <w:tcPr>
                  <w:tcW w:w="569" w:type="pct"/>
                  <w:gridSpan w:val="2"/>
                  <w:tcBorders>
                    <w:tl2br w:val="nil"/>
                    <w:tr2bl w:val="nil"/>
                  </w:tcBorders>
                  <w:noWrap w:val="0"/>
                  <w:vAlign w:val="center"/>
                </w:tcPr>
                <w:p w14:paraId="3A4162EE">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8</w:t>
                  </w:r>
                </w:p>
              </w:tc>
              <w:tc>
                <w:tcPr>
                  <w:tcW w:w="492" w:type="pct"/>
                  <w:tcBorders>
                    <w:tl2br w:val="nil"/>
                    <w:tr2bl w:val="nil"/>
                  </w:tcBorders>
                  <w:noWrap w:val="0"/>
                  <w:vAlign w:val="center"/>
                </w:tcPr>
                <w:p w14:paraId="451ADD87">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493" w:type="pct"/>
                  <w:tcBorders>
                    <w:tl2br w:val="nil"/>
                    <w:tr2bl w:val="nil"/>
                  </w:tcBorders>
                  <w:noWrap w:val="0"/>
                  <w:vAlign w:val="center"/>
                </w:tcPr>
                <w:p w14:paraId="30FCEB56">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mg/m</w:t>
                  </w:r>
                  <w:r>
                    <w:rPr>
                      <w:rFonts w:hint="default" w:ascii="Times New Roman" w:hAnsi="Times New Roman" w:eastAsia="宋体" w:cs="Times New Roman"/>
                      <w:i w:val="0"/>
                      <w:iCs w:val="0"/>
                      <w:color w:val="auto"/>
                      <w:kern w:val="0"/>
                      <w:sz w:val="21"/>
                      <w:szCs w:val="21"/>
                      <w:u w:val="none" w:color="auto"/>
                      <w:vertAlign w:val="superscript"/>
                      <w:lang w:val="en-US" w:eastAsia="zh-CN" w:bidi="ar"/>
                    </w:rPr>
                    <w:t>3</w:t>
                  </w:r>
                </w:p>
              </w:tc>
            </w:tr>
            <w:tr w14:paraId="2DB852E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571" w:type="pct"/>
                  <w:vMerge w:val="continue"/>
                  <w:tcBorders>
                    <w:tl2br w:val="nil"/>
                    <w:tr2bl w:val="nil"/>
                  </w:tcBorders>
                  <w:noWrap/>
                  <w:vAlign w:val="center"/>
                </w:tcPr>
                <w:p w14:paraId="331DD84B">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495" w:type="pct"/>
                  <w:vMerge w:val="continue"/>
                  <w:tcBorders>
                    <w:tl2br w:val="nil"/>
                    <w:tr2bl w:val="nil"/>
                  </w:tcBorders>
                  <w:noWrap w:val="0"/>
                  <w:vAlign w:val="center"/>
                </w:tcPr>
                <w:p w14:paraId="4BA45D7E">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488" w:type="pct"/>
                  <w:vMerge w:val="continue"/>
                  <w:tcBorders>
                    <w:tl2br w:val="nil"/>
                    <w:tr2bl w:val="nil"/>
                  </w:tcBorders>
                  <w:noWrap w:val="0"/>
                  <w:vAlign w:val="center"/>
                </w:tcPr>
                <w:p w14:paraId="1419F1C6">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750" w:type="pct"/>
                  <w:tcBorders>
                    <w:tl2br w:val="nil"/>
                    <w:tr2bl w:val="nil"/>
                  </w:tcBorders>
                  <w:noWrap w:val="0"/>
                  <w:vAlign w:val="center"/>
                </w:tcPr>
                <w:p w14:paraId="02E49798">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折算浓度</w:t>
                  </w:r>
                </w:p>
              </w:tc>
              <w:tc>
                <w:tcPr>
                  <w:tcW w:w="569" w:type="pct"/>
                  <w:tcBorders>
                    <w:tl2br w:val="nil"/>
                    <w:tr2bl w:val="nil"/>
                  </w:tcBorders>
                  <w:noWrap w:val="0"/>
                  <w:vAlign w:val="center"/>
                </w:tcPr>
                <w:p w14:paraId="43B57626">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16</w:t>
                  </w:r>
                </w:p>
              </w:tc>
              <w:tc>
                <w:tcPr>
                  <w:tcW w:w="569" w:type="pct"/>
                  <w:tcBorders>
                    <w:tl2br w:val="nil"/>
                    <w:tr2bl w:val="nil"/>
                  </w:tcBorders>
                  <w:noWrap w:val="0"/>
                  <w:vAlign w:val="center"/>
                </w:tcPr>
                <w:p w14:paraId="651FE799">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15</w:t>
                  </w:r>
                </w:p>
              </w:tc>
              <w:tc>
                <w:tcPr>
                  <w:tcW w:w="569" w:type="pct"/>
                  <w:gridSpan w:val="2"/>
                  <w:tcBorders>
                    <w:tl2br w:val="nil"/>
                    <w:tr2bl w:val="nil"/>
                  </w:tcBorders>
                  <w:noWrap w:val="0"/>
                  <w:vAlign w:val="center"/>
                </w:tcPr>
                <w:p w14:paraId="7B70CE0E">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15</w:t>
                  </w:r>
                </w:p>
              </w:tc>
              <w:tc>
                <w:tcPr>
                  <w:tcW w:w="492" w:type="pct"/>
                  <w:tcBorders>
                    <w:tl2br w:val="nil"/>
                    <w:tr2bl w:val="nil"/>
                  </w:tcBorders>
                  <w:noWrap w:val="0"/>
                  <w:vAlign w:val="center"/>
                </w:tcPr>
                <w:p w14:paraId="2CED32D0">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493" w:type="pct"/>
                  <w:tcBorders>
                    <w:tl2br w:val="nil"/>
                    <w:tr2bl w:val="nil"/>
                  </w:tcBorders>
                  <w:noWrap w:val="0"/>
                  <w:vAlign w:val="center"/>
                </w:tcPr>
                <w:p w14:paraId="25505053">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mg/m</w:t>
                  </w:r>
                  <w:r>
                    <w:rPr>
                      <w:rFonts w:hint="default" w:ascii="Times New Roman" w:hAnsi="Times New Roman" w:eastAsia="宋体" w:cs="Times New Roman"/>
                      <w:i w:val="0"/>
                      <w:iCs w:val="0"/>
                      <w:color w:val="auto"/>
                      <w:kern w:val="0"/>
                      <w:sz w:val="21"/>
                      <w:szCs w:val="21"/>
                      <w:u w:val="none" w:color="auto"/>
                      <w:vertAlign w:val="superscript"/>
                      <w:lang w:val="en-US" w:eastAsia="zh-CN" w:bidi="ar"/>
                    </w:rPr>
                    <w:t>3</w:t>
                  </w:r>
                </w:p>
              </w:tc>
            </w:tr>
            <w:tr w14:paraId="4A358E6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571" w:type="pct"/>
                  <w:vMerge w:val="continue"/>
                  <w:tcBorders>
                    <w:tl2br w:val="nil"/>
                    <w:tr2bl w:val="nil"/>
                  </w:tcBorders>
                  <w:noWrap/>
                  <w:vAlign w:val="center"/>
                </w:tcPr>
                <w:p w14:paraId="27BB8097">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495" w:type="pct"/>
                  <w:vMerge w:val="continue"/>
                  <w:tcBorders>
                    <w:tl2br w:val="nil"/>
                    <w:tr2bl w:val="nil"/>
                  </w:tcBorders>
                  <w:noWrap w:val="0"/>
                  <w:vAlign w:val="center"/>
                </w:tcPr>
                <w:p w14:paraId="0152BF60">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488" w:type="pct"/>
                  <w:vMerge w:val="continue"/>
                  <w:tcBorders>
                    <w:tl2br w:val="nil"/>
                    <w:tr2bl w:val="nil"/>
                  </w:tcBorders>
                  <w:noWrap w:val="0"/>
                  <w:vAlign w:val="center"/>
                </w:tcPr>
                <w:p w14:paraId="3E8D14F2">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750" w:type="pct"/>
                  <w:tcBorders>
                    <w:tl2br w:val="nil"/>
                    <w:tr2bl w:val="nil"/>
                  </w:tcBorders>
                  <w:noWrap w:val="0"/>
                  <w:vAlign w:val="center"/>
                </w:tcPr>
                <w:p w14:paraId="14A61A8B">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排放速率</w:t>
                  </w:r>
                </w:p>
              </w:tc>
              <w:tc>
                <w:tcPr>
                  <w:tcW w:w="569" w:type="pct"/>
                  <w:tcBorders>
                    <w:tl2br w:val="nil"/>
                    <w:tr2bl w:val="nil"/>
                  </w:tcBorders>
                  <w:noWrap w:val="0"/>
                  <w:vAlign w:val="center"/>
                </w:tcPr>
                <w:p w14:paraId="0E9CE0DB">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0.11</w:t>
                  </w:r>
                </w:p>
              </w:tc>
              <w:tc>
                <w:tcPr>
                  <w:tcW w:w="569" w:type="pct"/>
                  <w:tcBorders>
                    <w:tl2br w:val="nil"/>
                    <w:tr2bl w:val="nil"/>
                  </w:tcBorders>
                  <w:noWrap w:val="0"/>
                  <w:vAlign w:val="center"/>
                </w:tcPr>
                <w:p w14:paraId="215362C9">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0.11</w:t>
                  </w:r>
                </w:p>
              </w:tc>
              <w:tc>
                <w:tcPr>
                  <w:tcW w:w="569" w:type="pct"/>
                  <w:gridSpan w:val="2"/>
                  <w:tcBorders>
                    <w:tl2br w:val="nil"/>
                    <w:tr2bl w:val="nil"/>
                  </w:tcBorders>
                  <w:noWrap w:val="0"/>
                  <w:vAlign w:val="center"/>
                </w:tcPr>
                <w:p w14:paraId="17A99A68">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0.11</w:t>
                  </w:r>
                </w:p>
              </w:tc>
              <w:tc>
                <w:tcPr>
                  <w:tcW w:w="492" w:type="pct"/>
                  <w:tcBorders>
                    <w:tl2br w:val="nil"/>
                    <w:tr2bl w:val="nil"/>
                  </w:tcBorders>
                  <w:noWrap w:val="0"/>
                  <w:vAlign w:val="center"/>
                </w:tcPr>
                <w:p w14:paraId="6620893F">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493" w:type="pct"/>
                  <w:tcBorders>
                    <w:tl2br w:val="nil"/>
                    <w:tr2bl w:val="nil"/>
                  </w:tcBorders>
                  <w:noWrap w:val="0"/>
                  <w:vAlign w:val="center"/>
                </w:tcPr>
                <w:p w14:paraId="7D9FBBEC">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kg/h</w:t>
                  </w:r>
                </w:p>
              </w:tc>
            </w:tr>
            <w:tr w14:paraId="4E90D74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571" w:type="pct"/>
                  <w:vMerge w:val="continue"/>
                  <w:tcBorders>
                    <w:tl2br w:val="nil"/>
                    <w:tr2bl w:val="nil"/>
                  </w:tcBorders>
                  <w:noWrap/>
                  <w:vAlign w:val="center"/>
                </w:tcPr>
                <w:p w14:paraId="5E812DFA">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495" w:type="pct"/>
                  <w:vMerge w:val="continue"/>
                  <w:tcBorders>
                    <w:tl2br w:val="nil"/>
                    <w:tr2bl w:val="nil"/>
                  </w:tcBorders>
                  <w:noWrap w:val="0"/>
                  <w:vAlign w:val="center"/>
                </w:tcPr>
                <w:p w14:paraId="7C697006">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488" w:type="pct"/>
                  <w:vMerge w:val="restart"/>
                  <w:tcBorders>
                    <w:tl2br w:val="nil"/>
                    <w:tr2bl w:val="nil"/>
                  </w:tcBorders>
                  <w:noWrap w:val="0"/>
                  <w:vAlign w:val="center"/>
                </w:tcPr>
                <w:p w14:paraId="135EF1CD">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颗粒物</w:t>
                  </w:r>
                </w:p>
              </w:tc>
              <w:tc>
                <w:tcPr>
                  <w:tcW w:w="750" w:type="pct"/>
                  <w:tcBorders>
                    <w:tl2br w:val="nil"/>
                    <w:tr2bl w:val="nil"/>
                  </w:tcBorders>
                  <w:noWrap w:val="0"/>
                  <w:vAlign w:val="center"/>
                </w:tcPr>
                <w:p w14:paraId="05CE4542">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实测浓度</w:t>
                  </w:r>
                </w:p>
              </w:tc>
              <w:tc>
                <w:tcPr>
                  <w:tcW w:w="569" w:type="pct"/>
                  <w:tcBorders>
                    <w:tl2br w:val="nil"/>
                    <w:tr2bl w:val="nil"/>
                  </w:tcBorders>
                  <w:noWrap w:val="0"/>
                  <w:vAlign w:val="center"/>
                </w:tcPr>
                <w:p w14:paraId="73D22830">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101</w:t>
                  </w:r>
                </w:p>
              </w:tc>
              <w:tc>
                <w:tcPr>
                  <w:tcW w:w="569" w:type="pct"/>
                  <w:tcBorders>
                    <w:tl2br w:val="nil"/>
                    <w:tr2bl w:val="nil"/>
                  </w:tcBorders>
                  <w:noWrap w:val="0"/>
                  <w:vAlign w:val="center"/>
                </w:tcPr>
                <w:p w14:paraId="1898F4F2">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111</w:t>
                  </w:r>
                </w:p>
              </w:tc>
              <w:tc>
                <w:tcPr>
                  <w:tcW w:w="569" w:type="pct"/>
                  <w:gridSpan w:val="2"/>
                  <w:tcBorders>
                    <w:tl2br w:val="nil"/>
                    <w:tr2bl w:val="nil"/>
                  </w:tcBorders>
                  <w:noWrap w:val="0"/>
                  <w:vAlign w:val="center"/>
                </w:tcPr>
                <w:p w14:paraId="0C516211">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106</w:t>
                  </w:r>
                </w:p>
              </w:tc>
              <w:tc>
                <w:tcPr>
                  <w:tcW w:w="492" w:type="pct"/>
                  <w:tcBorders>
                    <w:tl2br w:val="nil"/>
                    <w:tr2bl w:val="nil"/>
                  </w:tcBorders>
                  <w:noWrap w:val="0"/>
                  <w:vAlign w:val="center"/>
                </w:tcPr>
                <w:p w14:paraId="41E24BE4">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493" w:type="pct"/>
                  <w:tcBorders>
                    <w:tl2br w:val="nil"/>
                    <w:tr2bl w:val="nil"/>
                  </w:tcBorders>
                  <w:noWrap w:val="0"/>
                  <w:vAlign w:val="center"/>
                </w:tcPr>
                <w:p w14:paraId="3176FFA2">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mg/m</w:t>
                  </w:r>
                  <w:r>
                    <w:rPr>
                      <w:rFonts w:hint="default" w:ascii="Times New Roman" w:hAnsi="Times New Roman" w:eastAsia="宋体" w:cs="Times New Roman"/>
                      <w:i w:val="0"/>
                      <w:iCs w:val="0"/>
                      <w:color w:val="auto"/>
                      <w:kern w:val="0"/>
                      <w:sz w:val="21"/>
                      <w:szCs w:val="21"/>
                      <w:u w:val="none" w:color="auto"/>
                      <w:vertAlign w:val="superscript"/>
                      <w:lang w:val="en-US" w:eastAsia="zh-CN" w:bidi="ar"/>
                    </w:rPr>
                    <w:t>3</w:t>
                  </w:r>
                </w:p>
              </w:tc>
            </w:tr>
            <w:tr w14:paraId="53D7984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571" w:type="pct"/>
                  <w:vMerge w:val="continue"/>
                  <w:tcBorders>
                    <w:tl2br w:val="nil"/>
                    <w:tr2bl w:val="nil"/>
                  </w:tcBorders>
                  <w:noWrap/>
                  <w:vAlign w:val="center"/>
                </w:tcPr>
                <w:p w14:paraId="7CF9C952">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495" w:type="pct"/>
                  <w:vMerge w:val="continue"/>
                  <w:tcBorders>
                    <w:tl2br w:val="nil"/>
                    <w:tr2bl w:val="nil"/>
                  </w:tcBorders>
                  <w:noWrap w:val="0"/>
                  <w:vAlign w:val="center"/>
                </w:tcPr>
                <w:p w14:paraId="198D8B21">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488" w:type="pct"/>
                  <w:vMerge w:val="continue"/>
                  <w:tcBorders>
                    <w:tl2br w:val="nil"/>
                    <w:tr2bl w:val="nil"/>
                  </w:tcBorders>
                  <w:noWrap w:val="0"/>
                  <w:vAlign w:val="center"/>
                </w:tcPr>
                <w:p w14:paraId="5962E5BE">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750" w:type="pct"/>
                  <w:tcBorders>
                    <w:tl2br w:val="nil"/>
                    <w:tr2bl w:val="nil"/>
                  </w:tcBorders>
                  <w:noWrap w:val="0"/>
                  <w:vAlign w:val="center"/>
                </w:tcPr>
                <w:p w14:paraId="2DF58389">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排放速率</w:t>
                  </w:r>
                </w:p>
              </w:tc>
              <w:tc>
                <w:tcPr>
                  <w:tcW w:w="569" w:type="pct"/>
                  <w:tcBorders>
                    <w:tl2br w:val="nil"/>
                    <w:tr2bl w:val="nil"/>
                  </w:tcBorders>
                  <w:noWrap w:val="0"/>
                  <w:vAlign w:val="center"/>
                </w:tcPr>
                <w:p w14:paraId="27465ECF">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1.18</w:t>
                  </w:r>
                </w:p>
              </w:tc>
              <w:tc>
                <w:tcPr>
                  <w:tcW w:w="569" w:type="pct"/>
                  <w:tcBorders>
                    <w:tl2br w:val="nil"/>
                    <w:tr2bl w:val="nil"/>
                  </w:tcBorders>
                  <w:noWrap w:val="0"/>
                  <w:vAlign w:val="center"/>
                </w:tcPr>
                <w:p w14:paraId="5360FF50">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1.45</w:t>
                  </w:r>
                </w:p>
              </w:tc>
              <w:tc>
                <w:tcPr>
                  <w:tcW w:w="569" w:type="pct"/>
                  <w:gridSpan w:val="2"/>
                  <w:tcBorders>
                    <w:tl2br w:val="nil"/>
                    <w:tr2bl w:val="nil"/>
                  </w:tcBorders>
                  <w:noWrap w:val="0"/>
                  <w:vAlign w:val="center"/>
                </w:tcPr>
                <w:p w14:paraId="5AF7E0E1">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1.3</w:t>
                  </w:r>
                </w:p>
              </w:tc>
              <w:tc>
                <w:tcPr>
                  <w:tcW w:w="492" w:type="pct"/>
                  <w:tcBorders>
                    <w:tl2br w:val="nil"/>
                    <w:tr2bl w:val="nil"/>
                  </w:tcBorders>
                  <w:noWrap w:val="0"/>
                  <w:vAlign w:val="center"/>
                </w:tcPr>
                <w:p w14:paraId="1C743B7B">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493" w:type="pct"/>
                  <w:tcBorders>
                    <w:tl2br w:val="nil"/>
                    <w:tr2bl w:val="nil"/>
                  </w:tcBorders>
                  <w:noWrap w:val="0"/>
                  <w:vAlign w:val="center"/>
                </w:tcPr>
                <w:p w14:paraId="04901D18">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kg/h</w:t>
                  </w:r>
                </w:p>
              </w:tc>
            </w:tr>
            <w:tr w14:paraId="34FAAB2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571" w:type="pct"/>
                  <w:vMerge w:val="continue"/>
                  <w:tcBorders>
                    <w:tl2br w:val="nil"/>
                    <w:tr2bl w:val="nil"/>
                  </w:tcBorders>
                  <w:noWrap/>
                  <w:vAlign w:val="center"/>
                </w:tcPr>
                <w:p w14:paraId="1243BF40">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495" w:type="pct"/>
                  <w:vMerge w:val="restart"/>
                  <w:tcBorders>
                    <w:tl2br w:val="nil"/>
                    <w:tr2bl w:val="nil"/>
                  </w:tcBorders>
                  <w:noWrap w:val="0"/>
                  <w:vAlign w:val="center"/>
                </w:tcPr>
                <w:p w14:paraId="2AF57026">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DA005出口</w:t>
                  </w:r>
                </w:p>
              </w:tc>
              <w:tc>
                <w:tcPr>
                  <w:tcW w:w="1239" w:type="pct"/>
                  <w:gridSpan w:val="2"/>
                  <w:tcBorders>
                    <w:tl2br w:val="nil"/>
                    <w:tr2bl w:val="nil"/>
                  </w:tcBorders>
                  <w:noWrap w:val="0"/>
                  <w:vAlign w:val="center"/>
                </w:tcPr>
                <w:p w14:paraId="29FF8233">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标干流量</w:t>
                  </w:r>
                </w:p>
              </w:tc>
              <w:tc>
                <w:tcPr>
                  <w:tcW w:w="569" w:type="pct"/>
                  <w:tcBorders>
                    <w:tl2br w:val="nil"/>
                    <w:tr2bl w:val="nil"/>
                  </w:tcBorders>
                  <w:noWrap w:val="0"/>
                  <w:vAlign w:val="center"/>
                </w:tcPr>
                <w:p w14:paraId="750AFCFC">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11426</w:t>
                  </w:r>
                </w:p>
              </w:tc>
              <w:tc>
                <w:tcPr>
                  <w:tcW w:w="569" w:type="pct"/>
                  <w:tcBorders>
                    <w:tl2br w:val="nil"/>
                    <w:tr2bl w:val="nil"/>
                  </w:tcBorders>
                  <w:noWrap w:val="0"/>
                  <w:vAlign w:val="center"/>
                </w:tcPr>
                <w:p w14:paraId="2D4A2C36">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11609</w:t>
                  </w:r>
                </w:p>
              </w:tc>
              <w:tc>
                <w:tcPr>
                  <w:tcW w:w="569" w:type="pct"/>
                  <w:gridSpan w:val="2"/>
                  <w:tcBorders>
                    <w:tl2br w:val="nil"/>
                    <w:tr2bl w:val="nil"/>
                  </w:tcBorders>
                  <w:noWrap w:val="0"/>
                  <w:vAlign w:val="center"/>
                </w:tcPr>
                <w:p w14:paraId="376284DA">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11500</w:t>
                  </w:r>
                </w:p>
              </w:tc>
              <w:tc>
                <w:tcPr>
                  <w:tcW w:w="492" w:type="pct"/>
                  <w:tcBorders>
                    <w:tl2br w:val="nil"/>
                    <w:tr2bl w:val="nil"/>
                  </w:tcBorders>
                  <w:noWrap w:val="0"/>
                  <w:vAlign w:val="center"/>
                </w:tcPr>
                <w:p w14:paraId="6B9808EF">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493" w:type="pct"/>
                  <w:tcBorders>
                    <w:tl2br w:val="nil"/>
                    <w:tr2bl w:val="nil"/>
                  </w:tcBorders>
                  <w:noWrap w:val="0"/>
                  <w:vAlign w:val="center"/>
                </w:tcPr>
                <w:p w14:paraId="00B0880A">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Nm</w:t>
                  </w:r>
                  <w:r>
                    <w:rPr>
                      <w:rFonts w:hint="default" w:ascii="Times New Roman" w:hAnsi="Times New Roman" w:eastAsia="宋体" w:cs="Times New Roman"/>
                      <w:i w:val="0"/>
                      <w:iCs w:val="0"/>
                      <w:color w:val="auto"/>
                      <w:kern w:val="0"/>
                      <w:sz w:val="21"/>
                      <w:szCs w:val="21"/>
                      <w:u w:val="none" w:color="auto"/>
                      <w:vertAlign w:val="superscript"/>
                      <w:lang w:val="en-US" w:eastAsia="zh-CN" w:bidi="ar"/>
                    </w:rPr>
                    <w:t>3</w:t>
                  </w:r>
                  <w:r>
                    <w:rPr>
                      <w:rFonts w:hint="default" w:ascii="Times New Roman" w:hAnsi="Times New Roman" w:eastAsia="宋体" w:cs="Times New Roman"/>
                      <w:i w:val="0"/>
                      <w:iCs w:val="0"/>
                      <w:color w:val="auto"/>
                      <w:kern w:val="0"/>
                      <w:sz w:val="21"/>
                      <w:szCs w:val="21"/>
                      <w:u w:val="none" w:color="auto"/>
                      <w:lang w:val="en-US" w:eastAsia="zh-CN" w:bidi="ar"/>
                    </w:rPr>
                    <w:t>/h</w:t>
                  </w:r>
                </w:p>
              </w:tc>
            </w:tr>
            <w:tr w14:paraId="0132682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571" w:type="pct"/>
                  <w:vMerge w:val="continue"/>
                  <w:tcBorders>
                    <w:tl2br w:val="nil"/>
                    <w:tr2bl w:val="nil"/>
                  </w:tcBorders>
                  <w:noWrap/>
                  <w:vAlign w:val="center"/>
                </w:tcPr>
                <w:p w14:paraId="60ED774F">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495" w:type="pct"/>
                  <w:vMerge w:val="continue"/>
                  <w:tcBorders>
                    <w:tl2br w:val="nil"/>
                    <w:tr2bl w:val="nil"/>
                  </w:tcBorders>
                  <w:noWrap w:val="0"/>
                  <w:vAlign w:val="center"/>
                </w:tcPr>
                <w:p w14:paraId="3C3CB904">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1239" w:type="pct"/>
                  <w:gridSpan w:val="2"/>
                  <w:tcBorders>
                    <w:tl2br w:val="nil"/>
                    <w:tr2bl w:val="nil"/>
                  </w:tcBorders>
                  <w:noWrap w:val="0"/>
                  <w:vAlign w:val="center"/>
                </w:tcPr>
                <w:p w14:paraId="6C660498">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平均烟温</w:t>
                  </w:r>
                </w:p>
              </w:tc>
              <w:tc>
                <w:tcPr>
                  <w:tcW w:w="569" w:type="pct"/>
                  <w:tcBorders>
                    <w:tl2br w:val="nil"/>
                    <w:tr2bl w:val="nil"/>
                  </w:tcBorders>
                  <w:noWrap w:val="0"/>
                  <w:vAlign w:val="center"/>
                </w:tcPr>
                <w:p w14:paraId="55BDD8C0">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130.7</w:t>
                  </w:r>
                </w:p>
              </w:tc>
              <w:tc>
                <w:tcPr>
                  <w:tcW w:w="569" w:type="pct"/>
                  <w:tcBorders>
                    <w:tl2br w:val="nil"/>
                    <w:tr2bl w:val="nil"/>
                  </w:tcBorders>
                  <w:noWrap w:val="0"/>
                  <w:vAlign w:val="center"/>
                </w:tcPr>
                <w:p w14:paraId="3ABD2B01">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130.9</w:t>
                  </w:r>
                </w:p>
              </w:tc>
              <w:tc>
                <w:tcPr>
                  <w:tcW w:w="569" w:type="pct"/>
                  <w:gridSpan w:val="2"/>
                  <w:tcBorders>
                    <w:tl2br w:val="nil"/>
                    <w:tr2bl w:val="nil"/>
                  </w:tcBorders>
                  <w:noWrap w:val="0"/>
                  <w:vAlign w:val="center"/>
                </w:tcPr>
                <w:p w14:paraId="7D98CAFF">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130.5</w:t>
                  </w:r>
                </w:p>
              </w:tc>
              <w:tc>
                <w:tcPr>
                  <w:tcW w:w="492" w:type="pct"/>
                  <w:tcBorders>
                    <w:tl2br w:val="nil"/>
                    <w:tr2bl w:val="nil"/>
                  </w:tcBorders>
                  <w:noWrap w:val="0"/>
                  <w:vAlign w:val="center"/>
                </w:tcPr>
                <w:p w14:paraId="177AE40E">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493" w:type="pct"/>
                  <w:tcBorders>
                    <w:tl2br w:val="nil"/>
                    <w:tr2bl w:val="nil"/>
                  </w:tcBorders>
                  <w:noWrap w:val="0"/>
                  <w:vAlign w:val="center"/>
                </w:tcPr>
                <w:p w14:paraId="631ADB12">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r>
            <w:tr w14:paraId="5114C19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571" w:type="pct"/>
                  <w:vMerge w:val="continue"/>
                  <w:tcBorders>
                    <w:tl2br w:val="nil"/>
                    <w:tr2bl w:val="nil"/>
                  </w:tcBorders>
                  <w:noWrap/>
                  <w:vAlign w:val="center"/>
                </w:tcPr>
                <w:p w14:paraId="14382BDA">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495" w:type="pct"/>
                  <w:vMerge w:val="continue"/>
                  <w:tcBorders>
                    <w:tl2br w:val="nil"/>
                    <w:tr2bl w:val="nil"/>
                  </w:tcBorders>
                  <w:noWrap w:val="0"/>
                  <w:vAlign w:val="center"/>
                </w:tcPr>
                <w:p w14:paraId="21C1758E">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1239" w:type="pct"/>
                  <w:gridSpan w:val="2"/>
                  <w:tcBorders>
                    <w:tl2br w:val="nil"/>
                    <w:tr2bl w:val="nil"/>
                  </w:tcBorders>
                  <w:noWrap w:val="0"/>
                  <w:vAlign w:val="center"/>
                </w:tcPr>
                <w:p w14:paraId="0E945DEC">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平均流速</w:t>
                  </w:r>
                </w:p>
              </w:tc>
              <w:tc>
                <w:tcPr>
                  <w:tcW w:w="569" w:type="pct"/>
                  <w:tcBorders>
                    <w:tl2br w:val="nil"/>
                    <w:tr2bl w:val="nil"/>
                  </w:tcBorders>
                  <w:noWrap w:val="0"/>
                  <w:vAlign w:val="center"/>
                </w:tcPr>
                <w:p w14:paraId="70CDF543">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16</w:t>
                  </w:r>
                </w:p>
              </w:tc>
              <w:tc>
                <w:tcPr>
                  <w:tcW w:w="569" w:type="pct"/>
                  <w:tcBorders>
                    <w:tl2br w:val="nil"/>
                    <w:tr2bl w:val="nil"/>
                  </w:tcBorders>
                  <w:noWrap w:val="0"/>
                  <w:vAlign w:val="center"/>
                </w:tcPr>
                <w:p w14:paraId="36EE6439">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16.2</w:t>
                  </w:r>
                </w:p>
              </w:tc>
              <w:tc>
                <w:tcPr>
                  <w:tcW w:w="569" w:type="pct"/>
                  <w:gridSpan w:val="2"/>
                  <w:tcBorders>
                    <w:tl2br w:val="nil"/>
                    <w:tr2bl w:val="nil"/>
                  </w:tcBorders>
                  <w:noWrap w:val="0"/>
                  <w:vAlign w:val="center"/>
                </w:tcPr>
                <w:p w14:paraId="252A2D8C">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16</w:t>
                  </w:r>
                </w:p>
              </w:tc>
              <w:tc>
                <w:tcPr>
                  <w:tcW w:w="492" w:type="pct"/>
                  <w:tcBorders>
                    <w:tl2br w:val="nil"/>
                    <w:tr2bl w:val="nil"/>
                  </w:tcBorders>
                  <w:noWrap w:val="0"/>
                  <w:vAlign w:val="center"/>
                </w:tcPr>
                <w:p w14:paraId="29FB8427">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493" w:type="pct"/>
                  <w:tcBorders>
                    <w:tl2br w:val="nil"/>
                    <w:tr2bl w:val="nil"/>
                  </w:tcBorders>
                  <w:noWrap w:val="0"/>
                  <w:vAlign w:val="center"/>
                </w:tcPr>
                <w:p w14:paraId="5CEE7959">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m/s</w:t>
                  </w:r>
                </w:p>
              </w:tc>
            </w:tr>
            <w:tr w14:paraId="4251540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571" w:type="pct"/>
                  <w:vMerge w:val="continue"/>
                  <w:tcBorders>
                    <w:tl2br w:val="nil"/>
                    <w:tr2bl w:val="nil"/>
                  </w:tcBorders>
                  <w:noWrap/>
                  <w:vAlign w:val="center"/>
                </w:tcPr>
                <w:p w14:paraId="0675304E">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495" w:type="pct"/>
                  <w:vMerge w:val="continue"/>
                  <w:tcBorders>
                    <w:tl2br w:val="nil"/>
                    <w:tr2bl w:val="nil"/>
                  </w:tcBorders>
                  <w:noWrap w:val="0"/>
                  <w:vAlign w:val="center"/>
                </w:tcPr>
                <w:p w14:paraId="6114F668">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1239" w:type="pct"/>
                  <w:gridSpan w:val="2"/>
                  <w:tcBorders>
                    <w:tl2br w:val="nil"/>
                    <w:tr2bl w:val="nil"/>
                  </w:tcBorders>
                  <w:noWrap w:val="0"/>
                  <w:vAlign w:val="center"/>
                </w:tcPr>
                <w:p w14:paraId="78FBBAF2">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含氧量</w:t>
                  </w:r>
                </w:p>
              </w:tc>
              <w:tc>
                <w:tcPr>
                  <w:tcW w:w="569" w:type="pct"/>
                  <w:tcBorders>
                    <w:tl2br w:val="nil"/>
                    <w:tr2bl w:val="nil"/>
                  </w:tcBorders>
                  <w:noWrap w:val="0"/>
                  <w:vAlign w:val="center"/>
                </w:tcPr>
                <w:p w14:paraId="6746E81F">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9.6</w:t>
                  </w:r>
                </w:p>
              </w:tc>
              <w:tc>
                <w:tcPr>
                  <w:tcW w:w="569" w:type="pct"/>
                  <w:tcBorders>
                    <w:tl2br w:val="nil"/>
                    <w:tr2bl w:val="nil"/>
                  </w:tcBorders>
                  <w:noWrap w:val="0"/>
                  <w:vAlign w:val="center"/>
                </w:tcPr>
                <w:p w14:paraId="4B75AA39">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9.3</w:t>
                  </w:r>
                </w:p>
              </w:tc>
              <w:tc>
                <w:tcPr>
                  <w:tcW w:w="569" w:type="pct"/>
                  <w:gridSpan w:val="2"/>
                  <w:tcBorders>
                    <w:tl2br w:val="nil"/>
                    <w:tr2bl w:val="nil"/>
                  </w:tcBorders>
                  <w:noWrap w:val="0"/>
                  <w:vAlign w:val="center"/>
                </w:tcPr>
                <w:p w14:paraId="7E1EFA22">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9.3</w:t>
                  </w:r>
                </w:p>
              </w:tc>
              <w:tc>
                <w:tcPr>
                  <w:tcW w:w="492" w:type="pct"/>
                  <w:tcBorders>
                    <w:tl2br w:val="nil"/>
                    <w:tr2bl w:val="nil"/>
                  </w:tcBorders>
                  <w:noWrap w:val="0"/>
                  <w:vAlign w:val="center"/>
                </w:tcPr>
                <w:p w14:paraId="5732C387">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493" w:type="pct"/>
                  <w:tcBorders>
                    <w:tl2br w:val="nil"/>
                    <w:tr2bl w:val="nil"/>
                  </w:tcBorders>
                  <w:noWrap w:val="0"/>
                  <w:vAlign w:val="center"/>
                </w:tcPr>
                <w:p w14:paraId="1515F008">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r>
            <w:tr w14:paraId="10EE00A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571" w:type="pct"/>
                  <w:vMerge w:val="continue"/>
                  <w:tcBorders>
                    <w:tl2br w:val="nil"/>
                    <w:tr2bl w:val="nil"/>
                  </w:tcBorders>
                  <w:noWrap/>
                  <w:vAlign w:val="center"/>
                </w:tcPr>
                <w:p w14:paraId="5FCA9558">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495" w:type="pct"/>
                  <w:vMerge w:val="continue"/>
                  <w:tcBorders>
                    <w:tl2br w:val="nil"/>
                    <w:tr2bl w:val="nil"/>
                  </w:tcBorders>
                  <w:noWrap w:val="0"/>
                  <w:vAlign w:val="center"/>
                </w:tcPr>
                <w:p w14:paraId="168437DE">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488" w:type="pct"/>
                  <w:vMerge w:val="restart"/>
                  <w:tcBorders>
                    <w:tl2br w:val="nil"/>
                    <w:tr2bl w:val="nil"/>
                  </w:tcBorders>
                  <w:noWrap w:val="0"/>
                  <w:vAlign w:val="center"/>
                </w:tcPr>
                <w:p w14:paraId="5259D0E0">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二氧化硫</w:t>
                  </w:r>
                </w:p>
              </w:tc>
              <w:tc>
                <w:tcPr>
                  <w:tcW w:w="750" w:type="pct"/>
                  <w:tcBorders>
                    <w:tl2br w:val="nil"/>
                    <w:tr2bl w:val="nil"/>
                  </w:tcBorders>
                  <w:noWrap w:val="0"/>
                  <w:vAlign w:val="center"/>
                </w:tcPr>
                <w:p w14:paraId="75C83054">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实测浓度</w:t>
                  </w:r>
                </w:p>
              </w:tc>
              <w:tc>
                <w:tcPr>
                  <w:tcW w:w="569" w:type="pct"/>
                  <w:tcBorders>
                    <w:tl2br w:val="nil"/>
                    <w:tr2bl w:val="nil"/>
                  </w:tcBorders>
                  <w:noWrap w:val="0"/>
                  <w:vAlign w:val="center"/>
                </w:tcPr>
                <w:p w14:paraId="697177A3">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w:t>
                  </w:r>
                </w:p>
              </w:tc>
              <w:tc>
                <w:tcPr>
                  <w:tcW w:w="569" w:type="pct"/>
                  <w:tcBorders>
                    <w:tl2br w:val="nil"/>
                    <w:tr2bl w:val="nil"/>
                  </w:tcBorders>
                  <w:noWrap w:val="0"/>
                  <w:vAlign w:val="center"/>
                </w:tcPr>
                <w:p w14:paraId="3F051D41">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w:t>
                  </w:r>
                </w:p>
              </w:tc>
              <w:tc>
                <w:tcPr>
                  <w:tcW w:w="569" w:type="pct"/>
                  <w:gridSpan w:val="2"/>
                  <w:tcBorders>
                    <w:tl2br w:val="nil"/>
                    <w:tr2bl w:val="nil"/>
                  </w:tcBorders>
                  <w:noWrap w:val="0"/>
                  <w:vAlign w:val="center"/>
                </w:tcPr>
                <w:p w14:paraId="097A38FD">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4</w:t>
                  </w:r>
                </w:p>
              </w:tc>
              <w:tc>
                <w:tcPr>
                  <w:tcW w:w="492" w:type="pct"/>
                  <w:tcBorders>
                    <w:tl2br w:val="nil"/>
                    <w:tr2bl w:val="nil"/>
                  </w:tcBorders>
                  <w:noWrap w:val="0"/>
                  <w:vAlign w:val="center"/>
                </w:tcPr>
                <w:p w14:paraId="26374C39">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493" w:type="pct"/>
                  <w:tcBorders>
                    <w:tl2br w:val="nil"/>
                    <w:tr2bl w:val="nil"/>
                  </w:tcBorders>
                  <w:noWrap w:val="0"/>
                  <w:vAlign w:val="center"/>
                </w:tcPr>
                <w:p w14:paraId="0934CE48">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mg/m</w:t>
                  </w:r>
                  <w:r>
                    <w:rPr>
                      <w:rFonts w:hint="default" w:ascii="Times New Roman" w:hAnsi="Times New Roman" w:eastAsia="宋体" w:cs="Times New Roman"/>
                      <w:i w:val="0"/>
                      <w:iCs w:val="0"/>
                      <w:color w:val="auto"/>
                      <w:kern w:val="0"/>
                      <w:sz w:val="21"/>
                      <w:szCs w:val="21"/>
                      <w:u w:val="none" w:color="auto"/>
                      <w:vertAlign w:val="superscript"/>
                      <w:lang w:val="en-US" w:eastAsia="zh-CN" w:bidi="ar"/>
                    </w:rPr>
                    <w:t>3</w:t>
                  </w:r>
                </w:p>
              </w:tc>
            </w:tr>
            <w:tr w14:paraId="0254D84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571" w:type="pct"/>
                  <w:vMerge w:val="continue"/>
                  <w:tcBorders>
                    <w:tl2br w:val="nil"/>
                    <w:tr2bl w:val="nil"/>
                  </w:tcBorders>
                  <w:noWrap/>
                  <w:vAlign w:val="center"/>
                </w:tcPr>
                <w:p w14:paraId="0E3AB898">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495" w:type="pct"/>
                  <w:vMerge w:val="continue"/>
                  <w:tcBorders>
                    <w:tl2br w:val="nil"/>
                    <w:tr2bl w:val="nil"/>
                  </w:tcBorders>
                  <w:noWrap w:val="0"/>
                  <w:vAlign w:val="center"/>
                </w:tcPr>
                <w:p w14:paraId="04F6C1E6">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488" w:type="pct"/>
                  <w:vMerge w:val="continue"/>
                  <w:tcBorders>
                    <w:tl2br w:val="nil"/>
                    <w:tr2bl w:val="nil"/>
                  </w:tcBorders>
                  <w:noWrap w:val="0"/>
                  <w:vAlign w:val="center"/>
                </w:tcPr>
                <w:p w14:paraId="28795077">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750" w:type="pct"/>
                  <w:tcBorders>
                    <w:tl2br w:val="nil"/>
                    <w:tr2bl w:val="nil"/>
                  </w:tcBorders>
                  <w:noWrap w:val="0"/>
                  <w:vAlign w:val="center"/>
                </w:tcPr>
                <w:p w14:paraId="498C04E4">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折算浓度</w:t>
                  </w:r>
                </w:p>
              </w:tc>
              <w:tc>
                <w:tcPr>
                  <w:tcW w:w="569" w:type="pct"/>
                  <w:tcBorders>
                    <w:tl2br w:val="nil"/>
                    <w:tr2bl w:val="nil"/>
                  </w:tcBorders>
                  <w:noWrap w:val="0"/>
                  <w:vAlign w:val="center"/>
                </w:tcPr>
                <w:p w14:paraId="31CD5347">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4</w:t>
                  </w:r>
                </w:p>
              </w:tc>
              <w:tc>
                <w:tcPr>
                  <w:tcW w:w="569" w:type="pct"/>
                  <w:tcBorders>
                    <w:tl2br w:val="nil"/>
                    <w:tr2bl w:val="nil"/>
                  </w:tcBorders>
                  <w:noWrap w:val="0"/>
                  <w:vAlign w:val="center"/>
                </w:tcPr>
                <w:p w14:paraId="5AC9FD1E">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4</w:t>
                  </w:r>
                </w:p>
              </w:tc>
              <w:tc>
                <w:tcPr>
                  <w:tcW w:w="569" w:type="pct"/>
                  <w:gridSpan w:val="2"/>
                  <w:tcBorders>
                    <w:tl2br w:val="nil"/>
                    <w:tr2bl w:val="nil"/>
                  </w:tcBorders>
                  <w:noWrap w:val="0"/>
                  <w:vAlign w:val="center"/>
                </w:tcPr>
                <w:p w14:paraId="1CC7FFC2">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5</w:t>
                  </w:r>
                </w:p>
              </w:tc>
              <w:tc>
                <w:tcPr>
                  <w:tcW w:w="492" w:type="pct"/>
                  <w:tcBorders>
                    <w:tl2br w:val="nil"/>
                    <w:tr2bl w:val="nil"/>
                  </w:tcBorders>
                  <w:noWrap w:val="0"/>
                  <w:vAlign w:val="center"/>
                </w:tcPr>
                <w:p w14:paraId="4D7CB86D">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100</w:t>
                  </w:r>
                </w:p>
              </w:tc>
              <w:tc>
                <w:tcPr>
                  <w:tcW w:w="493" w:type="pct"/>
                  <w:tcBorders>
                    <w:tl2br w:val="nil"/>
                    <w:tr2bl w:val="nil"/>
                  </w:tcBorders>
                  <w:noWrap w:val="0"/>
                  <w:vAlign w:val="center"/>
                </w:tcPr>
                <w:p w14:paraId="4282E1B9">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mg/m</w:t>
                  </w:r>
                  <w:r>
                    <w:rPr>
                      <w:rFonts w:hint="default" w:ascii="Times New Roman" w:hAnsi="Times New Roman" w:eastAsia="宋体" w:cs="Times New Roman"/>
                      <w:i w:val="0"/>
                      <w:iCs w:val="0"/>
                      <w:color w:val="auto"/>
                      <w:kern w:val="0"/>
                      <w:sz w:val="21"/>
                      <w:szCs w:val="21"/>
                      <w:u w:val="none" w:color="auto"/>
                      <w:vertAlign w:val="superscript"/>
                      <w:lang w:val="en-US" w:eastAsia="zh-CN" w:bidi="ar"/>
                    </w:rPr>
                    <w:t>3</w:t>
                  </w:r>
                </w:p>
              </w:tc>
            </w:tr>
            <w:tr w14:paraId="3FC70A5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571" w:type="pct"/>
                  <w:vMerge w:val="continue"/>
                  <w:tcBorders>
                    <w:tl2br w:val="nil"/>
                    <w:tr2bl w:val="nil"/>
                  </w:tcBorders>
                  <w:noWrap/>
                  <w:vAlign w:val="center"/>
                </w:tcPr>
                <w:p w14:paraId="16F08A7A">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495" w:type="pct"/>
                  <w:vMerge w:val="continue"/>
                  <w:tcBorders>
                    <w:tl2br w:val="nil"/>
                    <w:tr2bl w:val="nil"/>
                  </w:tcBorders>
                  <w:noWrap w:val="0"/>
                  <w:vAlign w:val="center"/>
                </w:tcPr>
                <w:p w14:paraId="600CAC0E">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488" w:type="pct"/>
                  <w:vMerge w:val="continue"/>
                  <w:tcBorders>
                    <w:tl2br w:val="nil"/>
                    <w:tr2bl w:val="nil"/>
                  </w:tcBorders>
                  <w:noWrap w:val="0"/>
                  <w:vAlign w:val="center"/>
                </w:tcPr>
                <w:p w14:paraId="10D38027">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750" w:type="pct"/>
                  <w:tcBorders>
                    <w:tl2br w:val="nil"/>
                    <w:tr2bl w:val="nil"/>
                  </w:tcBorders>
                  <w:noWrap w:val="0"/>
                  <w:vAlign w:val="center"/>
                </w:tcPr>
                <w:p w14:paraId="1158248F">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排放速率</w:t>
                  </w:r>
                </w:p>
              </w:tc>
              <w:tc>
                <w:tcPr>
                  <w:tcW w:w="569" w:type="pct"/>
                  <w:tcBorders>
                    <w:tl2br w:val="nil"/>
                    <w:tr2bl w:val="nil"/>
                  </w:tcBorders>
                  <w:noWrap w:val="0"/>
                  <w:vAlign w:val="center"/>
                </w:tcPr>
                <w:p w14:paraId="0970FC85">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0.03</w:t>
                  </w:r>
                </w:p>
              </w:tc>
              <w:tc>
                <w:tcPr>
                  <w:tcW w:w="569" w:type="pct"/>
                  <w:tcBorders>
                    <w:tl2br w:val="nil"/>
                    <w:tr2bl w:val="nil"/>
                  </w:tcBorders>
                  <w:noWrap w:val="0"/>
                  <w:vAlign w:val="center"/>
                </w:tcPr>
                <w:p w14:paraId="2FA7389C">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0.03</w:t>
                  </w:r>
                </w:p>
              </w:tc>
              <w:tc>
                <w:tcPr>
                  <w:tcW w:w="569" w:type="pct"/>
                  <w:gridSpan w:val="2"/>
                  <w:tcBorders>
                    <w:tl2br w:val="nil"/>
                    <w:tr2bl w:val="nil"/>
                  </w:tcBorders>
                  <w:noWrap w:val="0"/>
                  <w:vAlign w:val="center"/>
                </w:tcPr>
                <w:p w14:paraId="755CBEF2">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0.05</w:t>
                  </w:r>
                </w:p>
              </w:tc>
              <w:tc>
                <w:tcPr>
                  <w:tcW w:w="492" w:type="pct"/>
                  <w:tcBorders>
                    <w:tl2br w:val="nil"/>
                    <w:tr2bl w:val="nil"/>
                  </w:tcBorders>
                  <w:noWrap w:val="0"/>
                  <w:vAlign w:val="center"/>
                </w:tcPr>
                <w:p w14:paraId="21FD581E">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493" w:type="pct"/>
                  <w:tcBorders>
                    <w:tl2br w:val="nil"/>
                    <w:tr2bl w:val="nil"/>
                  </w:tcBorders>
                  <w:noWrap w:val="0"/>
                  <w:vAlign w:val="center"/>
                </w:tcPr>
                <w:p w14:paraId="3FA3BC1A">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kg/h</w:t>
                  </w:r>
                </w:p>
              </w:tc>
            </w:tr>
            <w:tr w14:paraId="5B3F896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571" w:type="pct"/>
                  <w:vMerge w:val="continue"/>
                  <w:tcBorders>
                    <w:tl2br w:val="nil"/>
                    <w:tr2bl w:val="nil"/>
                  </w:tcBorders>
                  <w:noWrap/>
                  <w:vAlign w:val="center"/>
                </w:tcPr>
                <w:p w14:paraId="2B356B14">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495" w:type="pct"/>
                  <w:vMerge w:val="continue"/>
                  <w:tcBorders>
                    <w:tl2br w:val="nil"/>
                    <w:tr2bl w:val="nil"/>
                  </w:tcBorders>
                  <w:noWrap w:val="0"/>
                  <w:vAlign w:val="center"/>
                </w:tcPr>
                <w:p w14:paraId="6E099325">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488" w:type="pct"/>
                  <w:vMerge w:val="restart"/>
                  <w:tcBorders>
                    <w:tl2br w:val="nil"/>
                    <w:tr2bl w:val="nil"/>
                  </w:tcBorders>
                  <w:noWrap w:val="0"/>
                  <w:vAlign w:val="center"/>
                </w:tcPr>
                <w:p w14:paraId="17C76354">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氮氧化物</w:t>
                  </w:r>
                </w:p>
              </w:tc>
              <w:tc>
                <w:tcPr>
                  <w:tcW w:w="750" w:type="pct"/>
                  <w:tcBorders>
                    <w:tl2br w:val="nil"/>
                    <w:tr2bl w:val="nil"/>
                  </w:tcBorders>
                  <w:noWrap w:val="0"/>
                  <w:vAlign w:val="center"/>
                </w:tcPr>
                <w:p w14:paraId="02F39F97">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实测浓度</w:t>
                  </w:r>
                </w:p>
              </w:tc>
              <w:tc>
                <w:tcPr>
                  <w:tcW w:w="569" w:type="pct"/>
                  <w:tcBorders>
                    <w:tl2br w:val="nil"/>
                    <w:tr2bl w:val="nil"/>
                  </w:tcBorders>
                  <w:noWrap w:val="0"/>
                  <w:vAlign w:val="center"/>
                </w:tcPr>
                <w:p w14:paraId="5FFBF529">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3（ND）</w:t>
                  </w:r>
                </w:p>
              </w:tc>
              <w:tc>
                <w:tcPr>
                  <w:tcW w:w="569" w:type="pct"/>
                  <w:tcBorders>
                    <w:tl2br w:val="nil"/>
                    <w:tr2bl w:val="nil"/>
                  </w:tcBorders>
                  <w:noWrap w:val="0"/>
                  <w:vAlign w:val="center"/>
                </w:tcPr>
                <w:p w14:paraId="2E2C728D">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3（ND）</w:t>
                  </w:r>
                </w:p>
              </w:tc>
              <w:tc>
                <w:tcPr>
                  <w:tcW w:w="569" w:type="pct"/>
                  <w:gridSpan w:val="2"/>
                  <w:tcBorders>
                    <w:tl2br w:val="nil"/>
                    <w:tr2bl w:val="nil"/>
                  </w:tcBorders>
                  <w:noWrap w:val="0"/>
                  <w:vAlign w:val="center"/>
                </w:tcPr>
                <w:p w14:paraId="033243C9">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3（ND）</w:t>
                  </w:r>
                </w:p>
              </w:tc>
              <w:tc>
                <w:tcPr>
                  <w:tcW w:w="492" w:type="pct"/>
                  <w:tcBorders>
                    <w:tl2br w:val="nil"/>
                    <w:tr2bl w:val="nil"/>
                  </w:tcBorders>
                  <w:noWrap w:val="0"/>
                  <w:vAlign w:val="center"/>
                </w:tcPr>
                <w:p w14:paraId="0886DF90">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493" w:type="pct"/>
                  <w:tcBorders>
                    <w:tl2br w:val="nil"/>
                    <w:tr2bl w:val="nil"/>
                  </w:tcBorders>
                  <w:noWrap w:val="0"/>
                  <w:vAlign w:val="center"/>
                </w:tcPr>
                <w:p w14:paraId="50885FA1">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mg/m</w:t>
                  </w:r>
                  <w:r>
                    <w:rPr>
                      <w:rFonts w:hint="default" w:ascii="Times New Roman" w:hAnsi="Times New Roman" w:eastAsia="宋体" w:cs="Times New Roman"/>
                      <w:i w:val="0"/>
                      <w:iCs w:val="0"/>
                      <w:color w:val="auto"/>
                      <w:kern w:val="0"/>
                      <w:sz w:val="21"/>
                      <w:szCs w:val="21"/>
                      <w:u w:val="none" w:color="auto"/>
                      <w:vertAlign w:val="superscript"/>
                      <w:lang w:val="en-US" w:eastAsia="zh-CN" w:bidi="ar"/>
                    </w:rPr>
                    <w:t>3</w:t>
                  </w:r>
                </w:p>
              </w:tc>
            </w:tr>
            <w:tr w14:paraId="582961E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571" w:type="pct"/>
                  <w:vMerge w:val="continue"/>
                  <w:tcBorders>
                    <w:tl2br w:val="nil"/>
                    <w:tr2bl w:val="nil"/>
                  </w:tcBorders>
                  <w:noWrap/>
                  <w:vAlign w:val="center"/>
                </w:tcPr>
                <w:p w14:paraId="1248168B">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495" w:type="pct"/>
                  <w:vMerge w:val="continue"/>
                  <w:tcBorders>
                    <w:tl2br w:val="nil"/>
                    <w:tr2bl w:val="nil"/>
                  </w:tcBorders>
                  <w:noWrap w:val="0"/>
                  <w:vAlign w:val="center"/>
                </w:tcPr>
                <w:p w14:paraId="24DEA3CE">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488" w:type="pct"/>
                  <w:vMerge w:val="continue"/>
                  <w:tcBorders>
                    <w:tl2br w:val="nil"/>
                    <w:tr2bl w:val="nil"/>
                  </w:tcBorders>
                  <w:noWrap w:val="0"/>
                  <w:vAlign w:val="center"/>
                </w:tcPr>
                <w:p w14:paraId="47A8072A">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750" w:type="pct"/>
                  <w:tcBorders>
                    <w:tl2br w:val="nil"/>
                    <w:tr2bl w:val="nil"/>
                  </w:tcBorders>
                  <w:noWrap w:val="0"/>
                  <w:vAlign w:val="center"/>
                </w:tcPr>
                <w:p w14:paraId="277970D7">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折算浓度</w:t>
                  </w:r>
                </w:p>
              </w:tc>
              <w:tc>
                <w:tcPr>
                  <w:tcW w:w="569" w:type="pct"/>
                  <w:tcBorders>
                    <w:tl2br w:val="nil"/>
                    <w:tr2bl w:val="nil"/>
                  </w:tcBorders>
                  <w:noWrap w:val="0"/>
                  <w:vAlign w:val="center"/>
                </w:tcPr>
                <w:p w14:paraId="6F123FF9">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w:t>
                  </w:r>
                </w:p>
              </w:tc>
              <w:tc>
                <w:tcPr>
                  <w:tcW w:w="569" w:type="pct"/>
                  <w:tcBorders>
                    <w:tl2br w:val="nil"/>
                    <w:tr2bl w:val="nil"/>
                  </w:tcBorders>
                  <w:noWrap w:val="0"/>
                  <w:vAlign w:val="center"/>
                </w:tcPr>
                <w:p w14:paraId="386E860D">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w:t>
                  </w:r>
                </w:p>
              </w:tc>
              <w:tc>
                <w:tcPr>
                  <w:tcW w:w="569" w:type="pct"/>
                  <w:gridSpan w:val="2"/>
                  <w:tcBorders>
                    <w:tl2br w:val="nil"/>
                    <w:tr2bl w:val="nil"/>
                  </w:tcBorders>
                  <w:noWrap w:val="0"/>
                  <w:vAlign w:val="center"/>
                </w:tcPr>
                <w:p w14:paraId="6C490FA8">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3（ND）</w:t>
                  </w:r>
                </w:p>
              </w:tc>
              <w:tc>
                <w:tcPr>
                  <w:tcW w:w="492" w:type="pct"/>
                  <w:tcBorders>
                    <w:tl2br w:val="nil"/>
                    <w:tr2bl w:val="nil"/>
                  </w:tcBorders>
                  <w:noWrap w:val="0"/>
                  <w:vAlign w:val="center"/>
                </w:tcPr>
                <w:p w14:paraId="6DD3BA9A">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240</w:t>
                  </w:r>
                </w:p>
              </w:tc>
              <w:tc>
                <w:tcPr>
                  <w:tcW w:w="493" w:type="pct"/>
                  <w:tcBorders>
                    <w:tl2br w:val="nil"/>
                    <w:tr2bl w:val="nil"/>
                  </w:tcBorders>
                  <w:noWrap w:val="0"/>
                  <w:vAlign w:val="center"/>
                </w:tcPr>
                <w:p w14:paraId="57EF7D42">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mg/m</w:t>
                  </w:r>
                  <w:r>
                    <w:rPr>
                      <w:rFonts w:hint="default" w:ascii="Times New Roman" w:hAnsi="Times New Roman" w:eastAsia="宋体" w:cs="Times New Roman"/>
                      <w:i w:val="0"/>
                      <w:iCs w:val="0"/>
                      <w:color w:val="auto"/>
                      <w:kern w:val="0"/>
                      <w:sz w:val="21"/>
                      <w:szCs w:val="21"/>
                      <w:u w:val="none" w:color="auto"/>
                      <w:vertAlign w:val="superscript"/>
                      <w:lang w:val="en-US" w:eastAsia="zh-CN" w:bidi="ar"/>
                    </w:rPr>
                    <w:t>3</w:t>
                  </w:r>
                </w:p>
              </w:tc>
            </w:tr>
            <w:tr w14:paraId="7DC0A07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571" w:type="pct"/>
                  <w:vMerge w:val="continue"/>
                  <w:tcBorders>
                    <w:tl2br w:val="nil"/>
                    <w:tr2bl w:val="nil"/>
                  </w:tcBorders>
                  <w:noWrap/>
                  <w:vAlign w:val="center"/>
                </w:tcPr>
                <w:p w14:paraId="1E5C8E24">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495" w:type="pct"/>
                  <w:vMerge w:val="continue"/>
                  <w:tcBorders>
                    <w:tl2br w:val="nil"/>
                    <w:tr2bl w:val="nil"/>
                  </w:tcBorders>
                  <w:noWrap w:val="0"/>
                  <w:vAlign w:val="center"/>
                </w:tcPr>
                <w:p w14:paraId="67473196">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488" w:type="pct"/>
                  <w:vMerge w:val="continue"/>
                  <w:tcBorders>
                    <w:tl2br w:val="nil"/>
                    <w:tr2bl w:val="nil"/>
                  </w:tcBorders>
                  <w:noWrap w:val="0"/>
                  <w:vAlign w:val="center"/>
                </w:tcPr>
                <w:p w14:paraId="4541F9A0">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750" w:type="pct"/>
                  <w:tcBorders>
                    <w:tl2br w:val="nil"/>
                    <w:tr2bl w:val="nil"/>
                  </w:tcBorders>
                  <w:noWrap w:val="0"/>
                  <w:vAlign w:val="center"/>
                </w:tcPr>
                <w:p w14:paraId="6648A655">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排放速率</w:t>
                  </w:r>
                </w:p>
              </w:tc>
              <w:tc>
                <w:tcPr>
                  <w:tcW w:w="569" w:type="pct"/>
                  <w:tcBorders>
                    <w:tl2br w:val="nil"/>
                    <w:tr2bl w:val="nil"/>
                  </w:tcBorders>
                  <w:noWrap w:val="0"/>
                  <w:vAlign w:val="center"/>
                </w:tcPr>
                <w:p w14:paraId="222AE7DF">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0.03</w:t>
                  </w:r>
                </w:p>
              </w:tc>
              <w:tc>
                <w:tcPr>
                  <w:tcW w:w="569" w:type="pct"/>
                  <w:tcBorders>
                    <w:tl2br w:val="nil"/>
                    <w:tr2bl w:val="nil"/>
                  </w:tcBorders>
                  <w:noWrap w:val="0"/>
                  <w:vAlign w:val="center"/>
                </w:tcPr>
                <w:p w14:paraId="5E79D57B">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0.03</w:t>
                  </w:r>
                </w:p>
              </w:tc>
              <w:tc>
                <w:tcPr>
                  <w:tcW w:w="569" w:type="pct"/>
                  <w:gridSpan w:val="2"/>
                  <w:tcBorders>
                    <w:tl2br w:val="nil"/>
                    <w:tr2bl w:val="nil"/>
                  </w:tcBorders>
                  <w:noWrap w:val="0"/>
                  <w:vAlign w:val="center"/>
                </w:tcPr>
                <w:p w14:paraId="2F371746">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0.02</w:t>
                  </w:r>
                </w:p>
              </w:tc>
              <w:tc>
                <w:tcPr>
                  <w:tcW w:w="492" w:type="pct"/>
                  <w:tcBorders>
                    <w:tl2br w:val="nil"/>
                    <w:tr2bl w:val="nil"/>
                  </w:tcBorders>
                  <w:noWrap w:val="0"/>
                  <w:vAlign w:val="center"/>
                </w:tcPr>
                <w:p w14:paraId="7F6299D3">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0.385</w:t>
                  </w:r>
                </w:p>
              </w:tc>
              <w:tc>
                <w:tcPr>
                  <w:tcW w:w="493" w:type="pct"/>
                  <w:tcBorders>
                    <w:tl2br w:val="nil"/>
                    <w:tr2bl w:val="nil"/>
                  </w:tcBorders>
                  <w:noWrap w:val="0"/>
                  <w:vAlign w:val="center"/>
                </w:tcPr>
                <w:p w14:paraId="3901F134">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kg/h</w:t>
                  </w:r>
                </w:p>
              </w:tc>
            </w:tr>
            <w:tr w14:paraId="5C86AE8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571" w:type="pct"/>
                  <w:vMerge w:val="continue"/>
                  <w:tcBorders>
                    <w:tl2br w:val="nil"/>
                    <w:tr2bl w:val="nil"/>
                  </w:tcBorders>
                  <w:noWrap/>
                  <w:vAlign w:val="center"/>
                </w:tcPr>
                <w:p w14:paraId="31332AE2">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495" w:type="pct"/>
                  <w:vMerge w:val="continue"/>
                  <w:tcBorders>
                    <w:tl2br w:val="nil"/>
                    <w:tr2bl w:val="nil"/>
                  </w:tcBorders>
                  <w:noWrap w:val="0"/>
                  <w:vAlign w:val="center"/>
                </w:tcPr>
                <w:p w14:paraId="047FDF32">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488" w:type="pct"/>
                  <w:vMerge w:val="restart"/>
                  <w:tcBorders>
                    <w:tl2br w:val="nil"/>
                    <w:tr2bl w:val="nil"/>
                  </w:tcBorders>
                  <w:noWrap w:val="0"/>
                  <w:vAlign w:val="center"/>
                </w:tcPr>
                <w:p w14:paraId="7C98DC28">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颗粒物</w:t>
                  </w:r>
                </w:p>
              </w:tc>
              <w:tc>
                <w:tcPr>
                  <w:tcW w:w="750" w:type="pct"/>
                  <w:tcBorders>
                    <w:tl2br w:val="nil"/>
                    <w:tr2bl w:val="nil"/>
                  </w:tcBorders>
                  <w:noWrap w:val="0"/>
                  <w:vAlign w:val="center"/>
                </w:tcPr>
                <w:p w14:paraId="09504980">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实测浓度</w:t>
                  </w:r>
                </w:p>
              </w:tc>
              <w:tc>
                <w:tcPr>
                  <w:tcW w:w="569" w:type="pct"/>
                  <w:tcBorders>
                    <w:tl2br w:val="nil"/>
                    <w:tr2bl w:val="nil"/>
                  </w:tcBorders>
                  <w:noWrap w:val="0"/>
                  <w:vAlign w:val="center"/>
                </w:tcPr>
                <w:p w14:paraId="39AF60D7">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21.8</w:t>
                  </w:r>
                </w:p>
              </w:tc>
              <w:tc>
                <w:tcPr>
                  <w:tcW w:w="569" w:type="pct"/>
                  <w:tcBorders>
                    <w:tl2br w:val="nil"/>
                    <w:tr2bl w:val="nil"/>
                  </w:tcBorders>
                  <w:noWrap w:val="0"/>
                  <w:vAlign w:val="center"/>
                </w:tcPr>
                <w:p w14:paraId="052CD4C0">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20.5</w:t>
                  </w:r>
                </w:p>
              </w:tc>
              <w:tc>
                <w:tcPr>
                  <w:tcW w:w="569" w:type="pct"/>
                  <w:gridSpan w:val="2"/>
                  <w:tcBorders>
                    <w:tl2br w:val="nil"/>
                    <w:tr2bl w:val="nil"/>
                  </w:tcBorders>
                  <w:noWrap w:val="0"/>
                  <w:vAlign w:val="center"/>
                </w:tcPr>
                <w:p w14:paraId="271C0FD8">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22.1</w:t>
                  </w:r>
                </w:p>
              </w:tc>
              <w:tc>
                <w:tcPr>
                  <w:tcW w:w="492" w:type="pct"/>
                  <w:tcBorders>
                    <w:tl2br w:val="nil"/>
                    <w:tr2bl w:val="nil"/>
                  </w:tcBorders>
                  <w:noWrap w:val="0"/>
                  <w:vAlign w:val="center"/>
                </w:tcPr>
                <w:p w14:paraId="14ABF962">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30</w:t>
                  </w:r>
                </w:p>
              </w:tc>
              <w:tc>
                <w:tcPr>
                  <w:tcW w:w="493" w:type="pct"/>
                  <w:tcBorders>
                    <w:tl2br w:val="nil"/>
                    <w:tr2bl w:val="nil"/>
                  </w:tcBorders>
                  <w:noWrap w:val="0"/>
                  <w:vAlign w:val="center"/>
                </w:tcPr>
                <w:p w14:paraId="34E5B974">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mg/m</w:t>
                  </w:r>
                  <w:r>
                    <w:rPr>
                      <w:rFonts w:hint="default" w:ascii="Times New Roman" w:hAnsi="Times New Roman" w:eastAsia="宋体" w:cs="Times New Roman"/>
                      <w:i w:val="0"/>
                      <w:iCs w:val="0"/>
                      <w:color w:val="auto"/>
                      <w:kern w:val="0"/>
                      <w:sz w:val="21"/>
                      <w:szCs w:val="21"/>
                      <w:u w:val="none" w:color="auto"/>
                      <w:vertAlign w:val="superscript"/>
                      <w:lang w:val="en-US" w:eastAsia="zh-CN" w:bidi="ar"/>
                    </w:rPr>
                    <w:t>3</w:t>
                  </w:r>
                </w:p>
              </w:tc>
            </w:tr>
            <w:tr w14:paraId="6E70BB4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571" w:type="pct"/>
                  <w:vMerge w:val="continue"/>
                  <w:tcBorders>
                    <w:tl2br w:val="nil"/>
                    <w:tr2bl w:val="nil"/>
                  </w:tcBorders>
                  <w:noWrap/>
                  <w:vAlign w:val="center"/>
                </w:tcPr>
                <w:p w14:paraId="0ACBB2FD">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495" w:type="pct"/>
                  <w:vMerge w:val="continue"/>
                  <w:tcBorders>
                    <w:tl2br w:val="nil"/>
                    <w:tr2bl w:val="nil"/>
                  </w:tcBorders>
                  <w:noWrap w:val="0"/>
                  <w:vAlign w:val="center"/>
                </w:tcPr>
                <w:p w14:paraId="3906C2A8">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488" w:type="pct"/>
                  <w:vMerge w:val="continue"/>
                  <w:tcBorders>
                    <w:tl2br w:val="nil"/>
                    <w:tr2bl w:val="nil"/>
                  </w:tcBorders>
                  <w:noWrap w:val="0"/>
                  <w:vAlign w:val="center"/>
                </w:tcPr>
                <w:p w14:paraId="3F8E2129">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750" w:type="pct"/>
                  <w:tcBorders>
                    <w:tl2br w:val="nil"/>
                    <w:tr2bl w:val="nil"/>
                  </w:tcBorders>
                  <w:noWrap w:val="0"/>
                  <w:vAlign w:val="center"/>
                </w:tcPr>
                <w:p w14:paraId="18D02BCE">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排放速率</w:t>
                  </w:r>
                </w:p>
              </w:tc>
              <w:tc>
                <w:tcPr>
                  <w:tcW w:w="569" w:type="pct"/>
                  <w:tcBorders>
                    <w:tl2br w:val="nil"/>
                    <w:tr2bl w:val="nil"/>
                  </w:tcBorders>
                  <w:noWrap w:val="0"/>
                  <w:vAlign w:val="center"/>
                </w:tcPr>
                <w:p w14:paraId="713AAECC">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0.25</w:t>
                  </w:r>
                </w:p>
              </w:tc>
              <w:tc>
                <w:tcPr>
                  <w:tcW w:w="569" w:type="pct"/>
                  <w:tcBorders>
                    <w:tl2br w:val="nil"/>
                    <w:tr2bl w:val="nil"/>
                  </w:tcBorders>
                  <w:noWrap w:val="0"/>
                  <w:vAlign w:val="center"/>
                </w:tcPr>
                <w:p w14:paraId="1AE9FE22">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0.24</w:t>
                  </w:r>
                </w:p>
              </w:tc>
              <w:tc>
                <w:tcPr>
                  <w:tcW w:w="569" w:type="pct"/>
                  <w:gridSpan w:val="2"/>
                  <w:tcBorders>
                    <w:tl2br w:val="nil"/>
                    <w:tr2bl w:val="nil"/>
                  </w:tcBorders>
                  <w:noWrap w:val="0"/>
                  <w:vAlign w:val="center"/>
                </w:tcPr>
                <w:p w14:paraId="7FB39070">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0.25</w:t>
                  </w:r>
                </w:p>
              </w:tc>
              <w:tc>
                <w:tcPr>
                  <w:tcW w:w="492" w:type="pct"/>
                  <w:tcBorders>
                    <w:tl2br w:val="nil"/>
                    <w:tr2bl w:val="nil"/>
                  </w:tcBorders>
                  <w:noWrap w:val="0"/>
                  <w:vAlign w:val="center"/>
                </w:tcPr>
                <w:p w14:paraId="71EA806F">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493" w:type="pct"/>
                  <w:tcBorders>
                    <w:tl2br w:val="nil"/>
                    <w:tr2bl w:val="nil"/>
                  </w:tcBorders>
                  <w:noWrap w:val="0"/>
                  <w:vAlign w:val="center"/>
                </w:tcPr>
                <w:p w14:paraId="55DC7083">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kg/h</w:t>
                  </w:r>
                </w:p>
              </w:tc>
            </w:tr>
          </w:tbl>
          <w:p w14:paraId="21CD114D">
            <w:pPr>
              <w:widowControl w:val="0"/>
              <w:adjustRightInd/>
              <w:snapToGrid/>
              <w:spacing w:after="0"/>
              <w:jc w:val="center"/>
              <w:rPr>
                <w:rFonts w:hint="default" w:ascii="Times New Roman" w:hAnsi="Times New Roman" w:eastAsia="宋体" w:cs="Times New Roman"/>
                <w:b/>
                <w:bCs/>
                <w:color w:val="auto"/>
                <w:sz w:val="21"/>
                <w:szCs w:val="21"/>
                <w:u w:val="none" w:color="auto"/>
                <w:lang w:eastAsia="zh-CN"/>
              </w:rPr>
            </w:pPr>
            <w:r>
              <w:rPr>
                <w:rFonts w:hint="default" w:ascii="Times New Roman" w:hAnsi="Times New Roman" w:eastAsia="宋体" w:cs="Times New Roman"/>
                <w:b/>
                <w:bCs/>
                <w:color w:val="auto"/>
                <w:sz w:val="21"/>
                <w:szCs w:val="21"/>
                <w:u w:val="none" w:color="auto"/>
              </w:rPr>
              <w:t>表</w:t>
            </w:r>
            <w:r>
              <w:rPr>
                <w:rFonts w:hint="default" w:ascii="Times New Roman" w:hAnsi="Times New Roman" w:eastAsia="宋体" w:cs="Times New Roman"/>
                <w:b/>
                <w:bCs/>
                <w:color w:val="auto"/>
                <w:sz w:val="21"/>
                <w:szCs w:val="21"/>
                <w:u w:val="none" w:color="auto"/>
                <w:lang w:val="en-US" w:eastAsia="zh-CN"/>
              </w:rPr>
              <w:t>2</w:t>
            </w:r>
            <w:r>
              <w:rPr>
                <w:rFonts w:hint="default" w:ascii="Times New Roman" w:hAnsi="Times New Roman" w:eastAsia="宋体" w:cs="Times New Roman"/>
                <w:b/>
                <w:bCs/>
                <w:color w:val="auto"/>
                <w:sz w:val="21"/>
                <w:szCs w:val="21"/>
                <w:u w:val="none" w:color="auto"/>
              </w:rPr>
              <w:t>-</w:t>
            </w:r>
            <w:r>
              <w:rPr>
                <w:rFonts w:hint="default" w:ascii="Times New Roman" w:hAnsi="Times New Roman" w:eastAsia="宋体" w:cs="Times New Roman"/>
                <w:b/>
                <w:bCs/>
                <w:color w:val="auto"/>
                <w:sz w:val="21"/>
                <w:szCs w:val="21"/>
                <w:u w:val="none" w:color="auto"/>
                <w:lang w:val="en-US" w:eastAsia="zh-CN"/>
              </w:rPr>
              <w:t xml:space="preserve">14 </w:t>
            </w:r>
            <w:r>
              <w:rPr>
                <w:rFonts w:hint="default" w:ascii="Times New Roman" w:hAnsi="Times New Roman" w:eastAsia="宋体" w:cs="Times New Roman"/>
                <w:b/>
                <w:bCs/>
                <w:color w:val="auto"/>
                <w:sz w:val="21"/>
                <w:szCs w:val="21"/>
                <w:u w:val="none" w:color="auto"/>
              </w:rPr>
              <w:t xml:space="preserve"> 有组织</w:t>
            </w:r>
            <w:r>
              <w:rPr>
                <w:rFonts w:hint="default" w:ascii="Times New Roman" w:hAnsi="Times New Roman" w:eastAsia="宋体" w:cs="Times New Roman"/>
                <w:b/>
                <w:bCs/>
                <w:color w:val="auto"/>
                <w:sz w:val="21"/>
                <w:szCs w:val="21"/>
                <w:u w:val="none" w:color="auto"/>
                <w:lang w:val="en-US" w:eastAsia="zh-CN"/>
              </w:rPr>
              <w:t>DA006</w:t>
            </w:r>
            <w:r>
              <w:rPr>
                <w:rFonts w:hint="default" w:ascii="Times New Roman" w:hAnsi="Times New Roman" w:eastAsia="宋体" w:cs="Times New Roman"/>
                <w:b/>
                <w:bCs/>
                <w:color w:val="auto"/>
                <w:sz w:val="21"/>
                <w:szCs w:val="21"/>
                <w:u w:val="none" w:color="auto"/>
              </w:rPr>
              <w:t>废气监测结果</w:t>
            </w:r>
          </w:p>
          <w:tbl>
            <w:tblPr>
              <w:tblStyle w:val="31"/>
              <w:tblW w:w="4998"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
            <w:tblGrid>
              <w:gridCol w:w="845"/>
              <w:gridCol w:w="845"/>
              <w:gridCol w:w="847"/>
              <w:gridCol w:w="1439"/>
              <w:gridCol w:w="932"/>
              <w:gridCol w:w="932"/>
              <w:gridCol w:w="933"/>
              <w:gridCol w:w="847"/>
              <w:gridCol w:w="848"/>
            </w:tblGrid>
            <w:tr w14:paraId="04999E1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499" w:type="pct"/>
                  <w:vMerge w:val="restart"/>
                  <w:tcBorders>
                    <w:tl2br w:val="nil"/>
                    <w:tr2bl w:val="nil"/>
                  </w:tcBorders>
                  <w:noWrap w:val="0"/>
                  <w:vAlign w:val="center"/>
                </w:tcPr>
                <w:p w14:paraId="2B910F62">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b/>
                      <w:bCs/>
                      <w:i w:val="0"/>
                      <w:iCs w:val="0"/>
                      <w:color w:val="auto"/>
                      <w:sz w:val="21"/>
                      <w:szCs w:val="21"/>
                      <w:u w:val="none" w:color="auto"/>
                    </w:rPr>
                  </w:pPr>
                  <w:r>
                    <w:rPr>
                      <w:rFonts w:hint="default" w:ascii="Times New Roman" w:hAnsi="Times New Roman" w:eastAsia="宋体" w:cs="Times New Roman"/>
                      <w:b/>
                      <w:bCs/>
                      <w:i w:val="0"/>
                      <w:iCs w:val="0"/>
                      <w:color w:val="auto"/>
                      <w:kern w:val="0"/>
                      <w:sz w:val="21"/>
                      <w:szCs w:val="21"/>
                      <w:u w:val="none" w:color="auto"/>
                      <w:lang w:val="en-US" w:eastAsia="zh-CN" w:bidi="ar"/>
                    </w:rPr>
                    <w:t>采样时间</w:t>
                  </w:r>
                </w:p>
              </w:tc>
              <w:tc>
                <w:tcPr>
                  <w:tcW w:w="499" w:type="pct"/>
                  <w:vMerge w:val="restart"/>
                  <w:tcBorders>
                    <w:tl2br w:val="nil"/>
                    <w:tr2bl w:val="nil"/>
                  </w:tcBorders>
                  <w:noWrap w:val="0"/>
                  <w:vAlign w:val="center"/>
                </w:tcPr>
                <w:p w14:paraId="3616A06D">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b/>
                      <w:bCs/>
                      <w:i w:val="0"/>
                      <w:iCs w:val="0"/>
                      <w:color w:val="auto"/>
                      <w:sz w:val="21"/>
                      <w:szCs w:val="21"/>
                      <w:u w:val="none" w:color="auto"/>
                    </w:rPr>
                  </w:pPr>
                  <w:r>
                    <w:rPr>
                      <w:rFonts w:hint="default" w:ascii="Times New Roman" w:hAnsi="Times New Roman" w:eastAsia="宋体" w:cs="Times New Roman"/>
                      <w:b/>
                      <w:bCs/>
                      <w:i w:val="0"/>
                      <w:iCs w:val="0"/>
                      <w:color w:val="auto"/>
                      <w:kern w:val="0"/>
                      <w:sz w:val="21"/>
                      <w:szCs w:val="21"/>
                      <w:u w:val="none" w:color="auto"/>
                      <w:lang w:val="en-US" w:eastAsia="zh-CN" w:bidi="ar"/>
                    </w:rPr>
                    <w:t>采样点位</w:t>
                  </w:r>
                </w:p>
              </w:tc>
              <w:tc>
                <w:tcPr>
                  <w:tcW w:w="1349" w:type="pct"/>
                  <w:gridSpan w:val="2"/>
                  <w:vMerge w:val="restart"/>
                  <w:tcBorders>
                    <w:tl2br w:val="nil"/>
                    <w:tr2bl w:val="nil"/>
                  </w:tcBorders>
                  <w:noWrap w:val="0"/>
                  <w:vAlign w:val="center"/>
                </w:tcPr>
                <w:p w14:paraId="74DE6F54">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b/>
                      <w:bCs/>
                      <w:i w:val="0"/>
                      <w:iCs w:val="0"/>
                      <w:color w:val="auto"/>
                      <w:sz w:val="21"/>
                      <w:szCs w:val="21"/>
                      <w:u w:val="none" w:color="auto"/>
                    </w:rPr>
                  </w:pPr>
                  <w:r>
                    <w:rPr>
                      <w:rFonts w:hint="default" w:ascii="Times New Roman" w:hAnsi="Times New Roman" w:eastAsia="宋体" w:cs="Times New Roman"/>
                      <w:b/>
                      <w:bCs/>
                      <w:i w:val="0"/>
                      <w:iCs w:val="0"/>
                      <w:color w:val="auto"/>
                      <w:kern w:val="0"/>
                      <w:sz w:val="21"/>
                      <w:szCs w:val="21"/>
                      <w:u w:val="none" w:color="auto"/>
                      <w:lang w:val="en-US" w:eastAsia="zh-CN" w:bidi="ar"/>
                    </w:rPr>
                    <w:t>检测项目</w:t>
                  </w:r>
                </w:p>
              </w:tc>
              <w:tc>
                <w:tcPr>
                  <w:tcW w:w="1651" w:type="pct"/>
                  <w:gridSpan w:val="3"/>
                  <w:tcBorders>
                    <w:tl2br w:val="nil"/>
                    <w:tr2bl w:val="nil"/>
                  </w:tcBorders>
                  <w:noWrap w:val="0"/>
                  <w:vAlign w:val="center"/>
                </w:tcPr>
                <w:p w14:paraId="3A9CD599">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b/>
                      <w:bCs/>
                      <w:i w:val="0"/>
                      <w:iCs w:val="0"/>
                      <w:color w:val="auto"/>
                      <w:sz w:val="21"/>
                      <w:szCs w:val="21"/>
                      <w:u w:val="none" w:color="auto"/>
                    </w:rPr>
                  </w:pPr>
                  <w:r>
                    <w:rPr>
                      <w:rFonts w:hint="default" w:ascii="Times New Roman" w:hAnsi="Times New Roman" w:eastAsia="宋体" w:cs="Times New Roman"/>
                      <w:b/>
                      <w:bCs/>
                      <w:i w:val="0"/>
                      <w:iCs w:val="0"/>
                      <w:color w:val="auto"/>
                      <w:kern w:val="0"/>
                      <w:sz w:val="21"/>
                      <w:szCs w:val="21"/>
                      <w:u w:val="none" w:color="auto"/>
                      <w:lang w:val="en-US" w:eastAsia="zh-CN" w:bidi="ar"/>
                    </w:rPr>
                    <w:t>检测结果</w:t>
                  </w:r>
                </w:p>
              </w:tc>
              <w:tc>
                <w:tcPr>
                  <w:tcW w:w="500" w:type="pct"/>
                  <w:vMerge w:val="restart"/>
                  <w:tcBorders>
                    <w:tl2br w:val="nil"/>
                    <w:tr2bl w:val="nil"/>
                  </w:tcBorders>
                  <w:noWrap w:val="0"/>
                  <w:vAlign w:val="center"/>
                </w:tcPr>
                <w:p w14:paraId="3C75DF2E">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b/>
                      <w:bCs/>
                      <w:i w:val="0"/>
                      <w:iCs w:val="0"/>
                      <w:color w:val="auto"/>
                      <w:kern w:val="0"/>
                      <w:sz w:val="21"/>
                      <w:szCs w:val="21"/>
                      <w:u w:val="none" w:color="auto"/>
                      <w:lang w:val="en-US" w:eastAsia="zh-CN" w:bidi="ar"/>
                    </w:rPr>
                  </w:pPr>
                  <w:r>
                    <w:rPr>
                      <w:rFonts w:hint="default" w:ascii="Times New Roman" w:hAnsi="Times New Roman" w:eastAsia="宋体" w:cs="Times New Roman"/>
                      <w:b/>
                      <w:bCs/>
                      <w:i w:val="0"/>
                      <w:iCs w:val="0"/>
                      <w:color w:val="auto"/>
                      <w:kern w:val="0"/>
                      <w:sz w:val="21"/>
                      <w:szCs w:val="21"/>
                      <w:u w:val="none" w:color="auto"/>
                      <w:lang w:val="en-US" w:eastAsia="zh-CN" w:bidi="ar"/>
                    </w:rPr>
                    <w:t>参考</w:t>
                  </w:r>
                </w:p>
                <w:p w14:paraId="696556DE">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b/>
                      <w:bCs/>
                      <w:i w:val="0"/>
                      <w:iCs w:val="0"/>
                      <w:color w:val="auto"/>
                      <w:sz w:val="21"/>
                      <w:szCs w:val="21"/>
                      <w:u w:val="none" w:color="auto"/>
                    </w:rPr>
                  </w:pPr>
                  <w:r>
                    <w:rPr>
                      <w:rFonts w:hint="default" w:ascii="Times New Roman" w:hAnsi="Times New Roman" w:eastAsia="宋体" w:cs="Times New Roman"/>
                      <w:b/>
                      <w:bCs/>
                      <w:i w:val="0"/>
                      <w:iCs w:val="0"/>
                      <w:color w:val="auto"/>
                      <w:kern w:val="0"/>
                      <w:sz w:val="21"/>
                      <w:szCs w:val="21"/>
                      <w:u w:val="none" w:color="auto"/>
                      <w:lang w:val="en-US" w:eastAsia="zh-CN" w:bidi="ar"/>
                    </w:rPr>
                    <w:t>限值</w:t>
                  </w:r>
                </w:p>
              </w:tc>
              <w:tc>
                <w:tcPr>
                  <w:tcW w:w="500" w:type="pct"/>
                  <w:vMerge w:val="restart"/>
                  <w:tcBorders>
                    <w:tl2br w:val="nil"/>
                    <w:tr2bl w:val="nil"/>
                  </w:tcBorders>
                  <w:noWrap w:val="0"/>
                  <w:vAlign w:val="center"/>
                </w:tcPr>
                <w:p w14:paraId="3A198D6F">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b/>
                      <w:bCs/>
                      <w:i w:val="0"/>
                      <w:iCs w:val="0"/>
                      <w:color w:val="auto"/>
                      <w:sz w:val="21"/>
                      <w:szCs w:val="21"/>
                      <w:u w:val="none" w:color="auto"/>
                    </w:rPr>
                  </w:pPr>
                  <w:r>
                    <w:rPr>
                      <w:rFonts w:hint="default" w:ascii="Times New Roman" w:hAnsi="Times New Roman" w:eastAsia="宋体" w:cs="Times New Roman"/>
                      <w:b/>
                      <w:bCs/>
                      <w:i w:val="0"/>
                      <w:iCs w:val="0"/>
                      <w:color w:val="auto"/>
                      <w:kern w:val="0"/>
                      <w:sz w:val="21"/>
                      <w:szCs w:val="21"/>
                      <w:u w:val="none" w:color="auto"/>
                      <w:lang w:val="en-US" w:eastAsia="zh-CN" w:bidi="ar"/>
                    </w:rPr>
                    <w:t>单位</w:t>
                  </w:r>
                </w:p>
              </w:tc>
            </w:tr>
            <w:tr w14:paraId="32D14EF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499" w:type="pct"/>
                  <w:vMerge w:val="continue"/>
                  <w:tcBorders>
                    <w:tl2br w:val="nil"/>
                    <w:tr2bl w:val="nil"/>
                  </w:tcBorders>
                  <w:noWrap w:val="0"/>
                  <w:vAlign w:val="center"/>
                </w:tcPr>
                <w:p w14:paraId="5C669DE6">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b/>
                      <w:bCs/>
                      <w:i w:val="0"/>
                      <w:iCs w:val="0"/>
                      <w:color w:val="auto"/>
                      <w:sz w:val="21"/>
                      <w:szCs w:val="21"/>
                      <w:u w:val="none" w:color="auto"/>
                    </w:rPr>
                  </w:pPr>
                </w:p>
              </w:tc>
              <w:tc>
                <w:tcPr>
                  <w:tcW w:w="499" w:type="pct"/>
                  <w:vMerge w:val="continue"/>
                  <w:tcBorders>
                    <w:tl2br w:val="nil"/>
                    <w:tr2bl w:val="nil"/>
                  </w:tcBorders>
                  <w:noWrap w:val="0"/>
                  <w:vAlign w:val="center"/>
                </w:tcPr>
                <w:p w14:paraId="01CD1815">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b/>
                      <w:bCs/>
                      <w:i w:val="0"/>
                      <w:iCs w:val="0"/>
                      <w:color w:val="auto"/>
                      <w:sz w:val="21"/>
                      <w:szCs w:val="21"/>
                      <w:u w:val="none" w:color="auto"/>
                    </w:rPr>
                  </w:pPr>
                </w:p>
              </w:tc>
              <w:tc>
                <w:tcPr>
                  <w:tcW w:w="1349" w:type="pct"/>
                  <w:gridSpan w:val="2"/>
                  <w:vMerge w:val="continue"/>
                  <w:tcBorders>
                    <w:tl2br w:val="nil"/>
                    <w:tr2bl w:val="nil"/>
                  </w:tcBorders>
                  <w:noWrap w:val="0"/>
                  <w:vAlign w:val="center"/>
                </w:tcPr>
                <w:p w14:paraId="09095C65">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b/>
                      <w:bCs/>
                      <w:i w:val="0"/>
                      <w:iCs w:val="0"/>
                      <w:color w:val="auto"/>
                      <w:sz w:val="21"/>
                      <w:szCs w:val="21"/>
                      <w:u w:val="none" w:color="auto"/>
                    </w:rPr>
                  </w:pPr>
                </w:p>
              </w:tc>
              <w:tc>
                <w:tcPr>
                  <w:tcW w:w="550" w:type="pct"/>
                  <w:tcBorders>
                    <w:tl2br w:val="nil"/>
                    <w:tr2bl w:val="nil"/>
                  </w:tcBorders>
                  <w:noWrap w:val="0"/>
                  <w:vAlign w:val="center"/>
                </w:tcPr>
                <w:p w14:paraId="3E22870E">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b/>
                      <w:bCs/>
                      <w:i w:val="0"/>
                      <w:iCs w:val="0"/>
                      <w:color w:val="auto"/>
                      <w:sz w:val="21"/>
                      <w:szCs w:val="21"/>
                      <w:u w:val="none" w:color="auto"/>
                    </w:rPr>
                  </w:pPr>
                  <w:r>
                    <w:rPr>
                      <w:rFonts w:hint="default" w:ascii="Times New Roman" w:hAnsi="Times New Roman" w:eastAsia="宋体" w:cs="Times New Roman"/>
                      <w:b/>
                      <w:bCs/>
                      <w:i w:val="0"/>
                      <w:iCs w:val="0"/>
                      <w:color w:val="auto"/>
                      <w:kern w:val="0"/>
                      <w:sz w:val="21"/>
                      <w:szCs w:val="21"/>
                      <w:u w:val="none" w:color="auto"/>
                      <w:lang w:val="en-US" w:eastAsia="zh-CN" w:bidi="ar"/>
                    </w:rPr>
                    <w:t>第一次</w:t>
                  </w:r>
                </w:p>
              </w:tc>
              <w:tc>
                <w:tcPr>
                  <w:tcW w:w="550" w:type="pct"/>
                  <w:tcBorders>
                    <w:tl2br w:val="nil"/>
                    <w:tr2bl w:val="nil"/>
                  </w:tcBorders>
                  <w:noWrap w:val="0"/>
                  <w:vAlign w:val="center"/>
                </w:tcPr>
                <w:p w14:paraId="3B1B8BA1">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b/>
                      <w:bCs/>
                      <w:i w:val="0"/>
                      <w:iCs w:val="0"/>
                      <w:color w:val="auto"/>
                      <w:sz w:val="21"/>
                      <w:szCs w:val="21"/>
                      <w:u w:val="none" w:color="auto"/>
                    </w:rPr>
                  </w:pPr>
                  <w:r>
                    <w:rPr>
                      <w:rFonts w:hint="default" w:ascii="Times New Roman" w:hAnsi="Times New Roman" w:eastAsia="宋体" w:cs="Times New Roman"/>
                      <w:b/>
                      <w:bCs/>
                      <w:i w:val="0"/>
                      <w:iCs w:val="0"/>
                      <w:color w:val="auto"/>
                      <w:kern w:val="0"/>
                      <w:sz w:val="21"/>
                      <w:szCs w:val="21"/>
                      <w:u w:val="none" w:color="auto"/>
                      <w:lang w:val="en-US" w:eastAsia="zh-CN" w:bidi="ar"/>
                    </w:rPr>
                    <w:t>第二次</w:t>
                  </w:r>
                </w:p>
              </w:tc>
              <w:tc>
                <w:tcPr>
                  <w:tcW w:w="550" w:type="pct"/>
                  <w:tcBorders>
                    <w:tl2br w:val="nil"/>
                    <w:tr2bl w:val="nil"/>
                  </w:tcBorders>
                  <w:noWrap w:val="0"/>
                  <w:vAlign w:val="center"/>
                </w:tcPr>
                <w:p w14:paraId="75E5C4A9">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b/>
                      <w:bCs/>
                      <w:i w:val="0"/>
                      <w:iCs w:val="0"/>
                      <w:color w:val="auto"/>
                      <w:sz w:val="21"/>
                      <w:szCs w:val="21"/>
                      <w:u w:val="none" w:color="auto"/>
                    </w:rPr>
                  </w:pPr>
                  <w:r>
                    <w:rPr>
                      <w:rFonts w:hint="default" w:ascii="Times New Roman" w:hAnsi="Times New Roman" w:eastAsia="宋体" w:cs="Times New Roman"/>
                      <w:b/>
                      <w:bCs/>
                      <w:i w:val="0"/>
                      <w:iCs w:val="0"/>
                      <w:color w:val="auto"/>
                      <w:kern w:val="0"/>
                      <w:sz w:val="21"/>
                      <w:szCs w:val="21"/>
                      <w:u w:val="none" w:color="auto"/>
                      <w:lang w:val="en-US" w:eastAsia="zh-CN" w:bidi="ar"/>
                    </w:rPr>
                    <w:t>第三次</w:t>
                  </w:r>
                </w:p>
              </w:tc>
              <w:tc>
                <w:tcPr>
                  <w:tcW w:w="500" w:type="pct"/>
                  <w:vMerge w:val="continue"/>
                  <w:tcBorders>
                    <w:tl2br w:val="nil"/>
                    <w:tr2bl w:val="nil"/>
                  </w:tcBorders>
                  <w:noWrap w:val="0"/>
                  <w:vAlign w:val="center"/>
                </w:tcPr>
                <w:p w14:paraId="2CDA7F0A">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b/>
                      <w:bCs/>
                      <w:i w:val="0"/>
                      <w:iCs w:val="0"/>
                      <w:color w:val="auto"/>
                      <w:sz w:val="21"/>
                      <w:szCs w:val="21"/>
                      <w:u w:val="none" w:color="auto"/>
                    </w:rPr>
                  </w:pPr>
                </w:p>
              </w:tc>
              <w:tc>
                <w:tcPr>
                  <w:tcW w:w="500" w:type="pct"/>
                  <w:vMerge w:val="continue"/>
                  <w:tcBorders>
                    <w:tl2br w:val="nil"/>
                    <w:tr2bl w:val="nil"/>
                  </w:tcBorders>
                  <w:noWrap w:val="0"/>
                  <w:vAlign w:val="center"/>
                </w:tcPr>
                <w:p w14:paraId="0FEE0510">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b/>
                      <w:bCs/>
                      <w:i w:val="0"/>
                      <w:iCs w:val="0"/>
                      <w:color w:val="auto"/>
                      <w:sz w:val="21"/>
                      <w:szCs w:val="21"/>
                      <w:u w:val="none" w:color="auto"/>
                    </w:rPr>
                  </w:pPr>
                </w:p>
              </w:tc>
            </w:tr>
            <w:tr w14:paraId="4270EC2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499" w:type="pct"/>
                  <w:vMerge w:val="restart"/>
                  <w:tcBorders>
                    <w:tl2br w:val="nil"/>
                    <w:tr2bl w:val="nil"/>
                  </w:tcBorders>
                  <w:noWrap w:val="0"/>
                  <w:vAlign w:val="center"/>
                </w:tcPr>
                <w:p w14:paraId="1EE00397">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5月30日</w:t>
                  </w:r>
                </w:p>
              </w:tc>
              <w:tc>
                <w:tcPr>
                  <w:tcW w:w="499" w:type="pct"/>
                  <w:vMerge w:val="restart"/>
                  <w:tcBorders>
                    <w:tl2br w:val="nil"/>
                    <w:tr2bl w:val="nil"/>
                  </w:tcBorders>
                  <w:noWrap w:val="0"/>
                  <w:vAlign w:val="center"/>
                </w:tcPr>
                <w:p w14:paraId="7A71D97D">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DA006出口</w:t>
                  </w:r>
                </w:p>
              </w:tc>
              <w:tc>
                <w:tcPr>
                  <w:tcW w:w="1349" w:type="pct"/>
                  <w:gridSpan w:val="2"/>
                  <w:tcBorders>
                    <w:tl2br w:val="nil"/>
                    <w:tr2bl w:val="nil"/>
                  </w:tcBorders>
                  <w:noWrap w:val="0"/>
                  <w:vAlign w:val="center"/>
                </w:tcPr>
                <w:p w14:paraId="64423F06">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标干流量</w:t>
                  </w:r>
                </w:p>
              </w:tc>
              <w:tc>
                <w:tcPr>
                  <w:tcW w:w="550" w:type="pct"/>
                  <w:tcBorders>
                    <w:tl2br w:val="nil"/>
                    <w:tr2bl w:val="nil"/>
                  </w:tcBorders>
                  <w:noWrap w:val="0"/>
                  <w:vAlign w:val="center"/>
                </w:tcPr>
                <w:p w14:paraId="3358E4E8">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17426</w:t>
                  </w:r>
                </w:p>
              </w:tc>
              <w:tc>
                <w:tcPr>
                  <w:tcW w:w="550" w:type="pct"/>
                  <w:tcBorders>
                    <w:tl2br w:val="nil"/>
                    <w:tr2bl w:val="nil"/>
                  </w:tcBorders>
                  <w:noWrap w:val="0"/>
                  <w:vAlign w:val="center"/>
                </w:tcPr>
                <w:p w14:paraId="19DB9912">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17841</w:t>
                  </w:r>
                </w:p>
              </w:tc>
              <w:tc>
                <w:tcPr>
                  <w:tcW w:w="550" w:type="pct"/>
                  <w:tcBorders>
                    <w:tl2br w:val="nil"/>
                    <w:tr2bl w:val="nil"/>
                  </w:tcBorders>
                  <w:noWrap w:val="0"/>
                  <w:vAlign w:val="center"/>
                </w:tcPr>
                <w:p w14:paraId="6DB2DDE2">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17664</w:t>
                  </w:r>
                </w:p>
              </w:tc>
              <w:tc>
                <w:tcPr>
                  <w:tcW w:w="500" w:type="pct"/>
                  <w:tcBorders>
                    <w:tl2br w:val="nil"/>
                    <w:tr2bl w:val="nil"/>
                  </w:tcBorders>
                  <w:noWrap w:val="0"/>
                  <w:vAlign w:val="center"/>
                </w:tcPr>
                <w:p w14:paraId="2B2542D3">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500" w:type="pct"/>
                  <w:tcBorders>
                    <w:tl2br w:val="nil"/>
                    <w:tr2bl w:val="nil"/>
                  </w:tcBorders>
                  <w:noWrap w:val="0"/>
                  <w:vAlign w:val="center"/>
                </w:tcPr>
                <w:p w14:paraId="1E6926A1">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Nm</w:t>
                  </w:r>
                  <w:r>
                    <w:rPr>
                      <w:rFonts w:hint="default" w:ascii="Times New Roman" w:hAnsi="Times New Roman" w:eastAsia="宋体" w:cs="Times New Roman"/>
                      <w:i w:val="0"/>
                      <w:iCs w:val="0"/>
                      <w:color w:val="auto"/>
                      <w:kern w:val="0"/>
                      <w:sz w:val="21"/>
                      <w:szCs w:val="21"/>
                      <w:u w:val="none" w:color="auto"/>
                      <w:vertAlign w:val="superscript"/>
                      <w:lang w:val="en-US" w:eastAsia="zh-CN" w:bidi="ar"/>
                    </w:rPr>
                    <w:t>3</w:t>
                  </w:r>
                  <w:r>
                    <w:rPr>
                      <w:rFonts w:hint="default" w:ascii="Times New Roman" w:hAnsi="Times New Roman" w:eastAsia="宋体" w:cs="Times New Roman"/>
                      <w:i w:val="0"/>
                      <w:iCs w:val="0"/>
                      <w:color w:val="auto"/>
                      <w:kern w:val="0"/>
                      <w:sz w:val="21"/>
                      <w:szCs w:val="21"/>
                      <w:u w:val="none" w:color="auto"/>
                      <w:lang w:val="en-US" w:eastAsia="zh-CN" w:bidi="ar"/>
                    </w:rPr>
                    <w:t>/h</w:t>
                  </w:r>
                </w:p>
              </w:tc>
            </w:tr>
            <w:tr w14:paraId="71A3360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499" w:type="pct"/>
                  <w:vMerge w:val="continue"/>
                  <w:tcBorders>
                    <w:tl2br w:val="nil"/>
                    <w:tr2bl w:val="nil"/>
                  </w:tcBorders>
                  <w:noWrap w:val="0"/>
                  <w:vAlign w:val="center"/>
                </w:tcPr>
                <w:p w14:paraId="17A7B3F3">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499" w:type="pct"/>
                  <w:vMerge w:val="continue"/>
                  <w:tcBorders>
                    <w:tl2br w:val="nil"/>
                    <w:tr2bl w:val="nil"/>
                  </w:tcBorders>
                  <w:noWrap w:val="0"/>
                  <w:vAlign w:val="center"/>
                </w:tcPr>
                <w:p w14:paraId="501B0849">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1349" w:type="pct"/>
                  <w:gridSpan w:val="2"/>
                  <w:tcBorders>
                    <w:tl2br w:val="nil"/>
                    <w:tr2bl w:val="nil"/>
                  </w:tcBorders>
                  <w:noWrap w:val="0"/>
                  <w:vAlign w:val="center"/>
                </w:tcPr>
                <w:p w14:paraId="23F682B2">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平均烟温</w:t>
                  </w:r>
                </w:p>
              </w:tc>
              <w:tc>
                <w:tcPr>
                  <w:tcW w:w="550" w:type="pct"/>
                  <w:tcBorders>
                    <w:tl2br w:val="nil"/>
                    <w:tr2bl w:val="nil"/>
                  </w:tcBorders>
                  <w:noWrap w:val="0"/>
                  <w:vAlign w:val="center"/>
                </w:tcPr>
                <w:p w14:paraId="66E0478B">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79.2</w:t>
                  </w:r>
                </w:p>
              </w:tc>
              <w:tc>
                <w:tcPr>
                  <w:tcW w:w="550" w:type="pct"/>
                  <w:tcBorders>
                    <w:tl2br w:val="nil"/>
                    <w:tr2bl w:val="nil"/>
                  </w:tcBorders>
                  <w:noWrap w:val="0"/>
                  <w:vAlign w:val="center"/>
                </w:tcPr>
                <w:p w14:paraId="5560121E">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79.5</w:t>
                  </w:r>
                </w:p>
              </w:tc>
              <w:tc>
                <w:tcPr>
                  <w:tcW w:w="550" w:type="pct"/>
                  <w:tcBorders>
                    <w:tl2br w:val="nil"/>
                    <w:tr2bl w:val="nil"/>
                  </w:tcBorders>
                  <w:noWrap w:val="0"/>
                  <w:vAlign w:val="center"/>
                </w:tcPr>
                <w:p w14:paraId="342B170A">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79.6</w:t>
                  </w:r>
                </w:p>
              </w:tc>
              <w:tc>
                <w:tcPr>
                  <w:tcW w:w="500" w:type="pct"/>
                  <w:tcBorders>
                    <w:tl2br w:val="nil"/>
                    <w:tr2bl w:val="nil"/>
                  </w:tcBorders>
                  <w:noWrap w:val="0"/>
                  <w:vAlign w:val="center"/>
                </w:tcPr>
                <w:p w14:paraId="691A1382">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500" w:type="pct"/>
                  <w:tcBorders>
                    <w:tl2br w:val="nil"/>
                    <w:tr2bl w:val="nil"/>
                  </w:tcBorders>
                  <w:noWrap w:val="0"/>
                  <w:vAlign w:val="center"/>
                </w:tcPr>
                <w:p w14:paraId="4E188818">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r>
            <w:tr w14:paraId="1C9F7E7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499" w:type="pct"/>
                  <w:vMerge w:val="continue"/>
                  <w:tcBorders>
                    <w:tl2br w:val="nil"/>
                    <w:tr2bl w:val="nil"/>
                  </w:tcBorders>
                  <w:noWrap w:val="0"/>
                  <w:vAlign w:val="center"/>
                </w:tcPr>
                <w:p w14:paraId="5FAF7EB7">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499" w:type="pct"/>
                  <w:vMerge w:val="continue"/>
                  <w:tcBorders>
                    <w:tl2br w:val="nil"/>
                    <w:tr2bl w:val="nil"/>
                  </w:tcBorders>
                  <w:noWrap w:val="0"/>
                  <w:vAlign w:val="center"/>
                </w:tcPr>
                <w:p w14:paraId="24DE36E3">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1349" w:type="pct"/>
                  <w:gridSpan w:val="2"/>
                  <w:tcBorders>
                    <w:tl2br w:val="nil"/>
                    <w:tr2bl w:val="nil"/>
                  </w:tcBorders>
                  <w:noWrap w:val="0"/>
                  <w:vAlign w:val="center"/>
                </w:tcPr>
                <w:p w14:paraId="36E31DE5">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平均流速</w:t>
                  </w:r>
                </w:p>
              </w:tc>
              <w:tc>
                <w:tcPr>
                  <w:tcW w:w="550" w:type="pct"/>
                  <w:tcBorders>
                    <w:tl2br w:val="nil"/>
                    <w:tr2bl w:val="nil"/>
                  </w:tcBorders>
                  <w:noWrap w:val="0"/>
                  <w:vAlign w:val="center"/>
                </w:tcPr>
                <w:p w14:paraId="478315B6">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25</w:t>
                  </w:r>
                </w:p>
              </w:tc>
              <w:tc>
                <w:tcPr>
                  <w:tcW w:w="550" w:type="pct"/>
                  <w:tcBorders>
                    <w:tl2br w:val="nil"/>
                    <w:tr2bl w:val="nil"/>
                  </w:tcBorders>
                  <w:noWrap w:val="0"/>
                  <w:vAlign w:val="center"/>
                </w:tcPr>
                <w:p w14:paraId="108410E5">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25.7</w:t>
                  </w:r>
                </w:p>
              </w:tc>
              <w:tc>
                <w:tcPr>
                  <w:tcW w:w="550" w:type="pct"/>
                  <w:tcBorders>
                    <w:tl2br w:val="nil"/>
                    <w:tr2bl w:val="nil"/>
                  </w:tcBorders>
                  <w:noWrap w:val="0"/>
                  <w:vAlign w:val="center"/>
                </w:tcPr>
                <w:p w14:paraId="34A15B45">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25.4</w:t>
                  </w:r>
                </w:p>
              </w:tc>
              <w:tc>
                <w:tcPr>
                  <w:tcW w:w="500" w:type="pct"/>
                  <w:tcBorders>
                    <w:tl2br w:val="nil"/>
                    <w:tr2bl w:val="nil"/>
                  </w:tcBorders>
                  <w:noWrap w:val="0"/>
                  <w:vAlign w:val="center"/>
                </w:tcPr>
                <w:p w14:paraId="11B58053">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500" w:type="pct"/>
                  <w:tcBorders>
                    <w:tl2br w:val="nil"/>
                    <w:tr2bl w:val="nil"/>
                  </w:tcBorders>
                  <w:noWrap w:val="0"/>
                  <w:vAlign w:val="center"/>
                </w:tcPr>
                <w:p w14:paraId="23F013CF">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m/s</w:t>
                  </w:r>
                </w:p>
              </w:tc>
            </w:tr>
            <w:tr w14:paraId="2323D0F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499" w:type="pct"/>
                  <w:vMerge w:val="continue"/>
                  <w:tcBorders>
                    <w:tl2br w:val="nil"/>
                    <w:tr2bl w:val="nil"/>
                  </w:tcBorders>
                  <w:noWrap w:val="0"/>
                  <w:vAlign w:val="center"/>
                </w:tcPr>
                <w:p w14:paraId="5CA81660">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499" w:type="pct"/>
                  <w:vMerge w:val="continue"/>
                  <w:tcBorders>
                    <w:tl2br w:val="nil"/>
                    <w:tr2bl w:val="nil"/>
                  </w:tcBorders>
                  <w:noWrap w:val="0"/>
                  <w:vAlign w:val="center"/>
                </w:tcPr>
                <w:p w14:paraId="5218BEFF">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1349" w:type="pct"/>
                  <w:gridSpan w:val="2"/>
                  <w:tcBorders>
                    <w:tl2br w:val="nil"/>
                    <w:tr2bl w:val="nil"/>
                  </w:tcBorders>
                  <w:noWrap w:val="0"/>
                  <w:vAlign w:val="center"/>
                </w:tcPr>
                <w:p w14:paraId="11B734AE">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含氧量</w:t>
                  </w:r>
                </w:p>
              </w:tc>
              <w:tc>
                <w:tcPr>
                  <w:tcW w:w="550" w:type="pct"/>
                  <w:tcBorders>
                    <w:tl2br w:val="nil"/>
                    <w:tr2bl w:val="nil"/>
                  </w:tcBorders>
                  <w:noWrap w:val="0"/>
                  <w:vAlign w:val="center"/>
                </w:tcPr>
                <w:p w14:paraId="44EF7D48">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10.3</w:t>
                  </w:r>
                </w:p>
              </w:tc>
              <w:tc>
                <w:tcPr>
                  <w:tcW w:w="550" w:type="pct"/>
                  <w:tcBorders>
                    <w:tl2br w:val="nil"/>
                    <w:tr2bl w:val="nil"/>
                  </w:tcBorders>
                  <w:noWrap w:val="0"/>
                  <w:vAlign w:val="center"/>
                </w:tcPr>
                <w:p w14:paraId="5D3CE416">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10.2</w:t>
                  </w:r>
                </w:p>
              </w:tc>
              <w:tc>
                <w:tcPr>
                  <w:tcW w:w="550" w:type="pct"/>
                  <w:tcBorders>
                    <w:tl2br w:val="nil"/>
                    <w:tr2bl w:val="nil"/>
                  </w:tcBorders>
                  <w:noWrap w:val="0"/>
                  <w:vAlign w:val="center"/>
                </w:tcPr>
                <w:p w14:paraId="0197A03B">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10</w:t>
                  </w:r>
                </w:p>
              </w:tc>
              <w:tc>
                <w:tcPr>
                  <w:tcW w:w="500" w:type="pct"/>
                  <w:tcBorders>
                    <w:tl2br w:val="nil"/>
                    <w:tr2bl w:val="nil"/>
                  </w:tcBorders>
                  <w:noWrap w:val="0"/>
                  <w:vAlign w:val="center"/>
                </w:tcPr>
                <w:p w14:paraId="166296EF">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500" w:type="pct"/>
                  <w:tcBorders>
                    <w:tl2br w:val="nil"/>
                    <w:tr2bl w:val="nil"/>
                  </w:tcBorders>
                  <w:noWrap w:val="0"/>
                  <w:vAlign w:val="center"/>
                </w:tcPr>
                <w:p w14:paraId="19BE2B87">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r>
            <w:tr w14:paraId="3F53CC7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499" w:type="pct"/>
                  <w:vMerge w:val="continue"/>
                  <w:tcBorders>
                    <w:tl2br w:val="nil"/>
                    <w:tr2bl w:val="nil"/>
                  </w:tcBorders>
                  <w:noWrap w:val="0"/>
                  <w:vAlign w:val="center"/>
                </w:tcPr>
                <w:p w14:paraId="6571914D">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499" w:type="pct"/>
                  <w:vMerge w:val="continue"/>
                  <w:tcBorders>
                    <w:tl2br w:val="nil"/>
                    <w:tr2bl w:val="nil"/>
                  </w:tcBorders>
                  <w:noWrap w:val="0"/>
                  <w:vAlign w:val="center"/>
                </w:tcPr>
                <w:p w14:paraId="719D8EF7">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500" w:type="pct"/>
                  <w:vMerge w:val="restart"/>
                  <w:tcBorders>
                    <w:tl2br w:val="nil"/>
                    <w:tr2bl w:val="nil"/>
                  </w:tcBorders>
                  <w:noWrap w:val="0"/>
                  <w:vAlign w:val="center"/>
                </w:tcPr>
                <w:p w14:paraId="17CC6A49">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二氧化硫</w:t>
                  </w:r>
                </w:p>
              </w:tc>
              <w:tc>
                <w:tcPr>
                  <w:tcW w:w="848" w:type="pct"/>
                  <w:tcBorders>
                    <w:tl2br w:val="nil"/>
                    <w:tr2bl w:val="nil"/>
                  </w:tcBorders>
                  <w:noWrap w:val="0"/>
                  <w:vAlign w:val="center"/>
                </w:tcPr>
                <w:p w14:paraId="73D63C34">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实测浓度</w:t>
                  </w:r>
                </w:p>
              </w:tc>
              <w:tc>
                <w:tcPr>
                  <w:tcW w:w="550" w:type="pct"/>
                  <w:tcBorders>
                    <w:tl2br w:val="nil"/>
                    <w:tr2bl w:val="nil"/>
                  </w:tcBorders>
                  <w:noWrap w:val="0"/>
                  <w:vAlign w:val="center"/>
                </w:tcPr>
                <w:p w14:paraId="0639181E">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w:t>
                  </w:r>
                </w:p>
              </w:tc>
              <w:tc>
                <w:tcPr>
                  <w:tcW w:w="550" w:type="pct"/>
                  <w:tcBorders>
                    <w:tl2br w:val="nil"/>
                    <w:tr2bl w:val="nil"/>
                  </w:tcBorders>
                  <w:noWrap w:val="0"/>
                  <w:vAlign w:val="center"/>
                </w:tcPr>
                <w:p w14:paraId="5F0A564E">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w:t>
                  </w:r>
                </w:p>
              </w:tc>
              <w:tc>
                <w:tcPr>
                  <w:tcW w:w="550" w:type="pct"/>
                  <w:tcBorders>
                    <w:tl2br w:val="nil"/>
                    <w:tr2bl w:val="nil"/>
                  </w:tcBorders>
                  <w:noWrap w:val="0"/>
                  <w:vAlign w:val="center"/>
                </w:tcPr>
                <w:p w14:paraId="56422696">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w:t>
                  </w:r>
                </w:p>
              </w:tc>
              <w:tc>
                <w:tcPr>
                  <w:tcW w:w="500" w:type="pct"/>
                  <w:tcBorders>
                    <w:tl2br w:val="nil"/>
                    <w:tr2bl w:val="nil"/>
                  </w:tcBorders>
                  <w:noWrap w:val="0"/>
                  <w:vAlign w:val="center"/>
                </w:tcPr>
                <w:p w14:paraId="756131EE">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500" w:type="pct"/>
                  <w:tcBorders>
                    <w:tl2br w:val="nil"/>
                    <w:tr2bl w:val="nil"/>
                  </w:tcBorders>
                  <w:noWrap w:val="0"/>
                  <w:vAlign w:val="center"/>
                </w:tcPr>
                <w:p w14:paraId="2DC8A639">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mg/m</w:t>
                  </w:r>
                  <w:r>
                    <w:rPr>
                      <w:rFonts w:hint="default" w:ascii="Times New Roman" w:hAnsi="Times New Roman" w:eastAsia="宋体" w:cs="Times New Roman"/>
                      <w:i w:val="0"/>
                      <w:iCs w:val="0"/>
                      <w:color w:val="auto"/>
                      <w:kern w:val="0"/>
                      <w:sz w:val="21"/>
                      <w:szCs w:val="21"/>
                      <w:u w:val="none" w:color="auto"/>
                      <w:vertAlign w:val="superscript"/>
                      <w:lang w:val="en-US" w:eastAsia="zh-CN" w:bidi="ar"/>
                    </w:rPr>
                    <w:t>3</w:t>
                  </w:r>
                </w:p>
              </w:tc>
            </w:tr>
            <w:tr w14:paraId="22C82DA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499" w:type="pct"/>
                  <w:vMerge w:val="continue"/>
                  <w:tcBorders>
                    <w:tl2br w:val="nil"/>
                    <w:tr2bl w:val="nil"/>
                  </w:tcBorders>
                  <w:noWrap w:val="0"/>
                  <w:vAlign w:val="center"/>
                </w:tcPr>
                <w:p w14:paraId="26572081">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499" w:type="pct"/>
                  <w:vMerge w:val="continue"/>
                  <w:tcBorders>
                    <w:tl2br w:val="nil"/>
                    <w:tr2bl w:val="nil"/>
                  </w:tcBorders>
                  <w:noWrap w:val="0"/>
                  <w:vAlign w:val="center"/>
                </w:tcPr>
                <w:p w14:paraId="507786E9">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500" w:type="pct"/>
                  <w:vMerge w:val="continue"/>
                  <w:tcBorders>
                    <w:tl2br w:val="nil"/>
                    <w:tr2bl w:val="nil"/>
                  </w:tcBorders>
                  <w:noWrap w:val="0"/>
                  <w:vAlign w:val="center"/>
                </w:tcPr>
                <w:p w14:paraId="51C128C7">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848" w:type="pct"/>
                  <w:tcBorders>
                    <w:tl2br w:val="nil"/>
                    <w:tr2bl w:val="nil"/>
                  </w:tcBorders>
                  <w:noWrap w:val="0"/>
                  <w:vAlign w:val="center"/>
                </w:tcPr>
                <w:p w14:paraId="47B5C5CA">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折算浓度</w:t>
                  </w:r>
                </w:p>
              </w:tc>
              <w:tc>
                <w:tcPr>
                  <w:tcW w:w="550" w:type="pct"/>
                  <w:tcBorders>
                    <w:tl2br w:val="nil"/>
                    <w:tr2bl w:val="nil"/>
                  </w:tcBorders>
                  <w:noWrap w:val="0"/>
                  <w:vAlign w:val="center"/>
                </w:tcPr>
                <w:p w14:paraId="4EE8C6DC">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4</w:t>
                  </w:r>
                </w:p>
              </w:tc>
              <w:tc>
                <w:tcPr>
                  <w:tcW w:w="550" w:type="pct"/>
                  <w:tcBorders>
                    <w:tl2br w:val="nil"/>
                    <w:tr2bl w:val="nil"/>
                  </w:tcBorders>
                  <w:noWrap w:val="0"/>
                  <w:vAlign w:val="center"/>
                </w:tcPr>
                <w:p w14:paraId="1C667E70">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4</w:t>
                  </w:r>
                </w:p>
              </w:tc>
              <w:tc>
                <w:tcPr>
                  <w:tcW w:w="550" w:type="pct"/>
                  <w:tcBorders>
                    <w:tl2br w:val="nil"/>
                    <w:tr2bl w:val="nil"/>
                  </w:tcBorders>
                  <w:noWrap w:val="0"/>
                  <w:vAlign w:val="center"/>
                </w:tcPr>
                <w:p w14:paraId="50C11298">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4</w:t>
                  </w:r>
                </w:p>
              </w:tc>
              <w:tc>
                <w:tcPr>
                  <w:tcW w:w="500" w:type="pct"/>
                  <w:tcBorders>
                    <w:tl2br w:val="nil"/>
                    <w:tr2bl w:val="nil"/>
                  </w:tcBorders>
                  <w:noWrap w:val="0"/>
                  <w:vAlign w:val="center"/>
                </w:tcPr>
                <w:p w14:paraId="342A16E3">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550</w:t>
                  </w:r>
                </w:p>
              </w:tc>
              <w:tc>
                <w:tcPr>
                  <w:tcW w:w="500" w:type="pct"/>
                  <w:tcBorders>
                    <w:tl2br w:val="nil"/>
                    <w:tr2bl w:val="nil"/>
                  </w:tcBorders>
                  <w:noWrap w:val="0"/>
                  <w:vAlign w:val="center"/>
                </w:tcPr>
                <w:p w14:paraId="517AEF1B">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mg/m</w:t>
                  </w:r>
                  <w:r>
                    <w:rPr>
                      <w:rFonts w:hint="default" w:ascii="Times New Roman" w:hAnsi="Times New Roman" w:eastAsia="宋体" w:cs="Times New Roman"/>
                      <w:i w:val="0"/>
                      <w:iCs w:val="0"/>
                      <w:color w:val="auto"/>
                      <w:kern w:val="0"/>
                      <w:sz w:val="21"/>
                      <w:szCs w:val="21"/>
                      <w:u w:val="none" w:color="auto"/>
                      <w:vertAlign w:val="superscript"/>
                      <w:lang w:val="en-US" w:eastAsia="zh-CN" w:bidi="ar"/>
                    </w:rPr>
                    <w:t>3</w:t>
                  </w:r>
                </w:p>
              </w:tc>
            </w:tr>
            <w:tr w14:paraId="043BD53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499" w:type="pct"/>
                  <w:vMerge w:val="continue"/>
                  <w:tcBorders>
                    <w:tl2br w:val="nil"/>
                    <w:tr2bl w:val="nil"/>
                  </w:tcBorders>
                  <w:noWrap w:val="0"/>
                  <w:vAlign w:val="center"/>
                </w:tcPr>
                <w:p w14:paraId="7ADE0A8D">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499" w:type="pct"/>
                  <w:vMerge w:val="continue"/>
                  <w:tcBorders>
                    <w:tl2br w:val="nil"/>
                    <w:tr2bl w:val="nil"/>
                  </w:tcBorders>
                  <w:noWrap w:val="0"/>
                  <w:vAlign w:val="center"/>
                </w:tcPr>
                <w:p w14:paraId="7140DBBE">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500" w:type="pct"/>
                  <w:vMerge w:val="continue"/>
                  <w:tcBorders>
                    <w:tl2br w:val="nil"/>
                    <w:tr2bl w:val="nil"/>
                  </w:tcBorders>
                  <w:noWrap w:val="0"/>
                  <w:vAlign w:val="center"/>
                </w:tcPr>
                <w:p w14:paraId="2A7CFC33">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848" w:type="pct"/>
                  <w:tcBorders>
                    <w:tl2br w:val="nil"/>
                    <w:tr2bl w:val="nil"/>
                  </w:tcBorders>
                  <w:noWrap w:val="0"/>
                  <w:vAlign w:val="center"/>
                </w:tcPr>
                <w:p w14:paraId="73256D8F">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排放速率</w:t>
                  </w:r>
                </w:p>
              </w:tc>
              <w:tc>
                <w:tcPr>
                  <w:tcW w:w="550" w:type="pct"/>
                  <w:tcBorders>
                    <w:tl2br w:val="nil"/>
                    <w:tr2bl w:val="nil"/>
                  </w:tcBorders>
                  <w:noWrap w:val="0"/>
                  <w:vAlign w:val="center"/>
                </w:tcPr>
                <w:p w14:paraId="0A137A07">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0.05</w:t>
                  </w:r>
                </w:p>
              </w:tc>
              <w:tc>
                <w:tcPr>
                  <w:tcW w:w="550" w:type="pct"/>
                  <w:tcBorders>
                    <w:tl2br w:val="nil"/>
                    <w:tr2bl w:val="nil"/>
                  </w:tcBorders>
                  <w:noWrap w:val="0"/>
                  <w:vAlign w:val="center"/>
                </w:tcPr>
                <w:p w14:paraId="45C5A3B2">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0.05</w:t>
                  </w:r>
                </w:p>
              </w:tc>
              <w:tc>
                <w:tcPr>
                  <w:tcW w:w="550" w:type="pct"/>
                  <w:tcBorders>
                    <w:tl2br w:val="nil"/>
                    <w:tr2bl w:val="nil"/>
                  </w:tcBorders>
                  <w:noWrap w:val="0"/>
                  <w:vAlign w:val="center"/>
                </w:tcPr>
                <w:p w14:paraId="1C9072A3">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0.05</w:t>
                  </w:r>
                </w:p>
              </w:tc>
              <w:tc>
                <w:tcPr>
                  <w:tcW w:w="500" w:type="pct"/>
                  <w:tcBorders>
                    <w:tl2br w:val="nil"/>
                    <w:tr2bl w:val="nil"/>
                  </w:tcBorders>
                  <w:noWrap w:val="0"/>
                  <w:vAlign w:val="center"/>
                </w:tcPr>
                <w:p w14:paraId="7C681CB3">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1.3</w:t>
                  </w:r>
                </w:p>
              </w:tc>
              <w:tc>
                <w:tcPr>
                  <w:tcW w:w="500" w:type="pct"/>
                  <w:tcBorders>
                    <w:tl2br w:val="nil"/>
                    <w:tr2bl w:val="nil"/>
                  </w:tcBorders>
                  <w:noWrap w:val="0"/>
                  <w:vAlign w:val="center"/>
                </w:tcPr>
                <w:p w14:paraId="40064EF6">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kg/h</w:t>
                  </w:r>
                </w:p>
              </w:tc>
            </w:tr>
            <w:tr w14:paraId="2B512DE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499" w:type="pct"/>
                  <w:vMerge w:val="continue"/>
                  <w:tcBorders>
                    <w:tl2br w:val="nil"/>
                    <w:tr2bl w:val="nil"/>
                  </w:tcBorders>
                  <w:noWrap w:val="0"/>
                  <w:vAlign w:val="center"/>
                </w:tcPr>
                <w:p w14:paraId="15A7D824">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499" w:type="pct"/>
                  <w:vMerge w:val="continue"/>
                  <w:tcBorders>
                    <w:tl2br w:val="nil"/>
                    <w:tr2bl w:val="nil"/>
                  </w:tcBorders>
                  <w:noWrap w:val="0"/>
                  <w:vAlign w:val="center"/>
                </w:tcPr>
                <w:p w14:paraId="207DD148">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500" w:type="pct"/>
                  <w:vMerge w:val="restart"/>
                  <w:tcBorders>
                    <w:tl2br w:val="nil"/>
                    <w:tr2bl w:val="nil"/>
                  </w:tcBorders>
                  <w:noWrap w:val="0"/>
                  <w:vAlign w:val="center"/>
                </w:tcPr>
                <w:p w14:paraId="147E470C">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氮氧化物</w:t>
                  </w:r>
                </w:p>
              </w:tc>
              <w:tc>
                <w:tcPr>
                  <w:tcW w:w="848" w:type="pct"/>
                  <w:tcBorders>
                    <w:tl2br w:val="nil"/>
                    <w:tr2bl w:val="nil"/>
                  </w:tcBorders>
                  <w:noWrap w:val="0"/>
                  <w:vAlign w:val="center"/>
                </w:tcPr>
                <w:p w14:paraId="412E2D3D">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实测浓度</w:t>
                  </w:r>
                </w:p>
              </w:tc>
              <w:tc>
                <w:tcPr>
                  <w:tcW w:w="550" w:type="pct"/>
                  <w:tcBorders>
                    <w:tl2br w:val="nil"/>
                    <w:tr2bl w:val="nil"/>
                  </w:tcBorders>
                  <w:noWrap w:val="0"/>
                  <w:vAlign w:val="center"/>
                </w:tcPr>
                <w:p w14:paraId="4289D060">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3（ND）</w:t>
                  </w:r>
                </w:p>
              </w:tc>
              <w:tc>
                <w:tcPr>
                  <w:tcW w:w="550" w:type="pct"/>
                  <w:tcBorders>
                    <w:tl2br w:val="nil"/>
                    <w:tr2bl w:val="nil"/>
                  </w:tcBorders>
                  <w:noWrap w:val="0"/>
                  <w:vAlign w:val="center"/>
                </w:tcPr>
                <w:p w14:paraId="06249782">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3（ND）</w:t>
                  </w:r>
                </w:p>
              </w:tc>
              <w:tc>
                <w:tcPr>
                  <w:tcW w:w="550" w:type="pct"/>
                  <w:tcBorders>
                    <w:tl2br w:val="nil"/>
                    <w:tr2bl w:val="nil"/>
                  </w:tcBorders>
                  <w:noWrap w:val="0"/>
                  <w:vAlign w:val="center"/>
                </w:tcPr>
                <w:p w14:paraId="637206BF">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3（ND）</w:t>
                  </w:r>
                </w:p>
              </w:tc>
              <w:tc>
                <w:tcPr>
                  <w:tcW w:w="500" w:type="pct"/>
                  <w:tcBorders>
                    <w:tl2br w:val="nil"/>
                    <w:tr2bl w:val="nil"/>
                  </w:tcBorders>
                  <w:noWrap w:val="0"/>
                  <w:vAlign w:val="center"/>
                </w:tcPr>
                <w:p w14:paraId="478CEDEA">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500" w:type="pct"/>
                  <w:tcBorders>
                    <w:tl2br w:val="nil"/>
                    <w:tr2bl w:val="nil"/>
                  </w:tcBorders>
                  <w:noWrap w:val="0"/>
                  <w:vAlign w:val="center"/>
                </w:tcPr>
                <w:p w14:paraId="1CAED808">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mg/m</w:t>
                  </w:r>
                  <w:r>
                    <w:rPr>
                      <w:rFonts w:hint="default" w:ascii="Times New Roman" w:hAnsi="Times New Roman" w:eastAsia="宋体" w:cs="Times New Roman"/>
                      <w:i w:val="0"/>
                      <w:iCs w:val="0"/>
                      <w:color w:val="auto"/>
                      <w:kern w:val="0"/>
                      <w:sz w:val="21"/>
                      <w:szCs w:val="21"/>
                      <w:u w:val="none" w:color="auto"/>
                      <w:vertAlign w:val="superscript"/>
                      <w:lang w:val="en-US" w:eastAsia="zh-CN" w:bidi="ar"/>
                    </w:rPr>
                    <w:t>3</w:t>
                  </w:r>
                </w:p>
              </w:tc>
            </w:tr>
            <w:tr w14:paraId="5FD542A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499" w:type="pct"/>
                  <w:vMerge w:val="continue"/>
                  <w:tcBorders>
                    <w:tl2br w:val="nil"/>
                    <w:tr2bl w:val="nil"/>
                  </w:tcBorders>
                  <w:noWrap w:val="0"/>
                  <w:vAlign w:val="center"/>
                </w:tcPr>
                <w:p w14:paraId="2B5888FA">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499" w:type="pct"/>
                  <w:vMerge w:val="continue"/>
                  <w:tcBorders>
                    <w:tl2br w:val="nil"/>
                    <w:tr2bl w:val="nil"/>
                  </w:tcBorders>
                  <w:noWrap w:val="0"/>
                  <w:vAlign w:val="center"/>
                </w:tcPr>
                <w:p w14:paraId="61EE1A60">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500" w:type="pct"/>
                  <w:vMerge w:val="continue"/>
                  <w:tcBorders>
                    <w:tl2br w:val="nil"/>
                    <w:tr2bl w:val="nil"/>
                  </w:tcBorders>
                  <w:noWrap w:val="0"/>
                  <w:vAlign w:val="center"/>
                </w:tcPr>
                <w:p w14:paraId="53650F6B">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848" w:type="pct"/>
                  <w:tcBorders>
                    <w:tl2br w:val="nil"/>
                    <w:tr2bl w:val="nil"/>
                  </w:tcBorders>
                  <w:noWrap w:val="0"/>
                  <w:vAlign w:val="center"/>
                </w:tcPr>
                <w:p w14:paraId="2B6F0ED0">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折算浓度</w:t>
                  </w:r>
                </w:p>
              </w:tc>
              <w:tc>
                <w:tcPr>
                  <w:tcW w:w="550" w:type="pct"/>
                  <w:tcBorders>
                    <w:tl2br w:val="nil"/>
                    <w:tr2bl w:val="nil"/>
                  </w:tcBorders>
                  <w:noWrap w:val="0"/>
                  <w:vAlign w:val="center"/>
                </w:tcPr>
                <w:p w14:paraId="67A6B069">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4</w:t>
                  </w:r>
                </w:p>
              </w:tc>
              <w:tc>
                <w:tcPr>
                  <w:tcW w:w="550" w:type="pct"/>
                  <w:tcBorders>
                    <w:tl2br w:val="nil"/>
                    <w:tr2bl w:val="nil"/>
                  </w:tcBorders>
                  <w:noWrap w:val="0"/>
                  <w:vAlign w:val="center"/>
                </w:tcPr>
                <w:p w14:paraId="3A3A3CC2">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4</w:t>
                  </w:r>
                </w:p>
              </w:tc>
              <w:tc>
                <w:tcPr>
                  <w:tcW w:w="550" w:type="pct"/>
                  <w:tcBorders>
                    <w:tl2br w:val="nil"/>
                    <w:tr2bl w:val="nil"/>
                  </w:tcBorders>
                  <w:noWrap w:val="0"/>
                  <w:vAlign w:val="center"/>
                </w:tcPr>
                <w:p w14:paraId="7C33EF8A">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3（ND）</w:t>
                  </w:r>
                </w:p>
              </w:tc>
              <w:tc>
                <w:tcPr>
                  <w:tcW w:w="500" w:type="pct"/>
                  <w:tcBorders>
                    <w:tl2br w:val="nil"/>
                    <w:tr2bl w:val="nil"/>
                  </w:tcBorders>
                  <w:noWrap w:val="0"/>
                  <w:vAlign w:val="center"/>
                </w:tcPr>
                <w:p w14:paraId="77265C9D">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240</w:t>
                  </w:r>
                </w:p>
              </w:tc>
              <w:tc>
                <w:tcPr>
                  <w:tcW w:w="500" w:type="pct"/>
                  <w:tcBorders>
                    <w:tl2br w:val="nil"/>
                    <w:tr2bl w:val="nil"/>
                  </w:tcBorders>
                  <w:noWrap w:val="0"/>
                  <w:vAlign w:val="center"/>
                </w:tcPr>
                <w:p w14:paraId="716B42CB">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mg/m</w:t>
                  </w:r>
                  <w:r>
                    <w:rPr>
                      <w:rFonts w:hint="default" w:ascii="Times New Roman" w:hAnsi="Times New Roman" w:eastAsia="宋体" w:cs="Times New Roman"/>
                      <w:i w:val="0"/>
                      <w:iCs w:val="0"/>
                      <w:color w:val="auto"/>
                      <w:kern w:val="0"/>
                      <w:sz w:val="21"/>
                      <w:szCs w:val="21"/>
                      <w:u w:val="none" w:color="auto"/>
                      <w:vertAlign w:val="superscript"/>
                      <w:lang w:val="en-US" w:eastAsia="zh-CN" w:bidi="ar"/>
                    </w:rPr>
                    <w:t>3</w:t>
                  </w:r>
                </w:p>
              </w:tc>
            </w:tr>
            <w:tr w14:paraId="063EF85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499" w:type="pct"/>
                  <w:vMerge w:val="continue"/>
                  <w:tcBorders>
                    <w:tl2br w:val="nil"/>
                    <w:tr2bl w:val="nil"/>
                  </w:tcBorders>
                  <w:noWrap w:val="0"/>
                  <w:vAlign w:val="center"/>
                </w:tcPr>
                <w:p w14:paraId="20B9C357">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499" w:type="pct"/>
                  <w:vMerge w:val="continue"/>
                  <w:tcBorders>
                    <w:tl2br w:val="nil"/>
                    <w:tr2bl w:val="nil"/>
                  </w:tcBorders>
                  <w:noWrap w:val="0"/>
                  <w:vAlign w:val="center"/>
                </w:tcPr>
                <w:p w14:paraId="308B340D">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500" w:type="pct"/>
                  <w:vMerge w:val="continue"/>
                  <w:tcBorders>
                    <w:tl2br w:val="nil"/>
                    <w:tr2bl w:val="nil"/>
                  </w:tcBorders>
                  <w:noWrap w:val="0"/>
                  <w:vAlign w:val="center"/>
                </w:tcPr>
                <w:p w14:paraId="0B1693B6">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848" w:type="pct"/>
                  <w:tcBorders>
                    <w:tl2br w:val="nil"/>
                    <w:tr2bl w:val="nil"/>
                  </w:tcBorders>
                  <w:noWrap w:val="0"/>
                  <w:vAlign w:val="center"/>
                </w:tcPr>
                <w:p w14:paraId="6413C14D">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排放速率</w:t>
                  </w:r>
                </w:p>
              </w:tc>
              <w:tc>
                <w:tcPr>
                  <w:tcW w:w="550" w:type="pct"/>
                  <w:tcBorders>
                    <w:tl2br w:val="nil"/>
                    <w:tr2bl w:val="nil"/>
                  </w:tcBorders>
                  <w:noWrap w:val="0"/>
                  <w:vAlign w:val="center"/>
                </w:tcPr>
                <w:p w14:paraId="65A85EBF">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0.04</w:t>
                  </w:r>
                </w:p>
              </w:tc>
              <w:tc>
                <w:tcPr>
                  <w:tcW w:w="550" w:type="pct"/>
                  <w:tcBorders>
                    <w:tl2br w:val="nil"/>
                    <w:tr2bl w:val="nil"/>
                  </w:tcBorders>
                  <w:noWrap w:val="0"/>
                  <w:vAlign w:val="center"/>
                </w:tcPr>
                <w:p w14:paraId="30A428B7">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0.05</w:t>
                  </w:r>
                </w:p>
              </w:tc>
              <w:tc>
                <w:tcPr>
                  <w:tcW w:w="550" w:type="pct"/>
                  <w:tcBorders>
                    <w:tl2br w:val="nil"/>
                    <w:tr2bl w:val="nil"/>
                  </w:tcBorders>
                  <w:noWrap w:val="0"/>
                  <w:vAlign w:val="center"/>
                </w:tcPr>
                <w:p w14:paraId="1F07E41F">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0.03</w:t>
                  </w:r>
                </w:p>
              </w:tc>
              <w:tc>
                <w:tcPr>
                  <w:tcW w:w="500" w:type="pct"/>
                  <w:tcBorders>
                    <w:tl2br w:val="nil"/>
                    <w:tr2bl w:val="nil"/>
                  </w:tcBorders>
                  <w:noWrap w:val="0"/>
                  <w:vAlign w:val="center"/>
                </w:tcPr>
                <w:p w14:paraId="13930F0A">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0.385</w:t>
                  </w:r>
                </w:p>
              </w:tc>
              <w:tc>
                <w:tcPr>
                  <w:tcW w:w="500" w:type="pct"/>
                  <w:tcBorders>
                    <w:tl2br w:val="nil"/>
                    <w:tr2bl w:val="nil"/>
                  </w:tcBorders>
                  <w:noWrap w:val="0"/>
                  <w:vAlign w:val="center"/>
                </w:tcPr>
                <w:p w14:paraId="52A66328">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kg/h</w:t>
                  </w:r>
                </w:p>
              </w:tc>
            </w:tr>
            <w:tr w14:paraId="3040D13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499" w:type="pct"/>
                  <w:vMerge w:val="continue"/>
                  <w:tcBorders>
                    <w:tl2br w:val="nil"/>
                    <w:tr2bl w:val="nil"/>
                  </w:tcBorders>
                  <w:noWrap w:val="0"/>
                  <w:vAlign w:val="center"/>
                </w:tcPr>
                <w:p w14:paraId="332F91DA">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499" w:type="pct"/>
                  <w:vMerge w:val="continue"/>
                  <w:tcBorders>
                    <w:tl2br w:val="nil"/>
                    <w:tr2bl w:val="nil"/>
                  </w:tcBorders>
                  <w:noWrap w:val="0"/>
                  <w:vAlign w:val="center"/>
                </w:tcPr>
                <w:p w14:paraId="56232A55">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500" w:type="pct"/>
                  <w:vMerge w:val="restart"/>
                  <w:tcBorders>
                    <w:tl2br w:val="nil"/>
                    <w:tr2bl w:val="nil"/>
                  </w:tcBorders>
                  <w:noWrap w:val="0"/>
                  <w:vAlign w:val="center"/>
                </w:tcPr>
                <w:p w14:paraId="3293C2AB">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颗粒物</w:t>
                  </w:r>
                </w:p>
              </w:tc>
              <w:tc>
                <w:tcPr>
                  <w:tcW w:w="848" w:type="pct"/>
                  <w:tcBorders>
                    <w:tl2br w:val="nil"/>
                    <w:tr2bl w:val="nil"/>
                  </w:tcBorders>
                  <w:noWrap w:val="0"/>
                  <w:vAlign w:val="center"/>
                </w:tcPr>
                <w:p w14:paraId="26095E52">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实测浓度</w:t>
                  </w:r>
                </w:p>
              </w:tc>
              <w:tc>
                <w:tcPr>
                  <w:tcW w:w="550" w:type="pct"/>
                  <w:tcBorders>
                    <w:tl2br w:val="nil"/>
                    <w:tr2bl w:val="nil"/>
                  </w:tcBorders>
                  <w:noWrap w:val="0"/>
                  <w:vAlign w:val="center"/>
                </w:tcPr>
                <w:p w14:paraId="4B110A5A">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6.2</w:t>
                  </w:r>
                </w:p>
              </w:tc>
              <w:tc>
                <w:tcPr>
                  <w:tcW w:w="550" w:type="pct"/>
                  <w:tcBorders>
                    <w:tl2br w:val="nil"/>
                    <w:tr2bl w:val="nil"/>
                  </w:tcBorders>
                  <w:noWrap w:val="0"/>
                  <w:vAlign w:val="center"/>
                </w:tcPr>
                <w:p w14:paraId="14E9E942">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5.4</w:t>
                  </w:r>
                </w:p>
              </w:tc>
              <w:tc>
                <w:tcPr>
                  <w:tcW w:w="550" w:type="pct"/>
                  <w:tcBorders>
                    <w:tl2br w:val="nil"/>
                    <w:tr2bl w:val="nil"/>
                  </w:tcBorders>
                  <w:noWrap w:val="0"/>
                  <w:vAlign w:val="center"/>
                </w:tcPr>
                <w:p w14:paraId="5495E466">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6.7</w:t>
                  </w:r>
                </w:p>
              </w:tc>
              <w:tc>
                <w:tcPr>
                  <w:tcW w:w="500" w:type="pct"/>
                  <w:tcBorders>
                    <w:tl2br w:val="nil"/>
                    <w:tr2bl w:val="nil"/>
                  </w:tcBorders>
                  <w:noWrap w:val="0"/>
                  <w:vAlign w:val="center"/>
                </w:tcPr>
                <w:p w14:paraId="259903D7">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120</w:t>
                  </w:r>
                </w:p>
              </w:tc>
              <w:tc>
                <w:tcPr>
                  <w:tcW w:w="500" w:type="pct"/>
                  <w:tcBorders>
                    <w:tl2br w:val="nil"/>
                    <w:tr2bl w:val="nil"/>
                  </w:tcBorders>
                  <w:noWrap w:val="0"/>
                  <w:vAlign w:val="center"/>
                </w:tcPr>
                <w:p w14:paraId="674BA095">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mg/m</w:t>
                  </w:r>
                  <w:r>
                    <w:rPr>
                      <w:rFonts w:hint="default" w:ascii="Times New Roman" w:hAnsi="Times New Roman" w:eastAsia="宋体" w:cs="Times New Roman"/>
                      <w:i w:val="0"/>
                      <w:iCs w:val="0"/>
                      <w:color w:val="auto"/>
                      <w:kern w:val="0"/>
                      <w:sz w:val="21"/>
                      <w:szCs w:val="21"/>
                      <w:u w:val="none" w:color="auto"/>
                      <w:vertAlign w:val="superscript"/>
                      <w:lang w:val="en-US" w:eastAsia="zh-CN" w:bidi="ar"/>
                    </w:rPr>
                    <w:t>3</w:t>
                  </w:r>
                </w:p>
              </w:tc>
            </w:tr>
            <w:tr w14:paraId="04AEC06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499" w:type="pct"/>
                  <w:vMerge w:val="continue"/>
                  <w:tcBorders>
                    <w:tl2br w:val="nil"/>
                    <w:tr2bl w:val="nil"/>
                  </w:tcBorders>
                  <w:noWrap w:val="0"/>
                  <w:vAlign w:val="center"/>
                </w:tcPr>
                <w:p w14:paraId="20F8A61A">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499" w:type="pct"/>
                  <w:vMerge w:val="continue"/>
                  <w:tcBorders>
                    <w:tl2br w:val="nil"/>
                    <w:tr2bl w:val="nil"/>
                  </w:tcBorders>
                  <w:noWrap w:val="0"/>
                  <w:vAlign w:val="center"/>
                </w:tcPr>
                <w:p w14:paraId="561A2D22">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500" w:type="pct"/>
                  <w:vMerge w:val="continue"/>
                  <w:tcBorders>
                    <w:tl2br w:val="nil"/>
                    <w:tr2bl w:val="nil"/>
                  </w:tcBorders>
                  <w:noWrap w:val="0"/>
                  <w:vAlign w:val="center"/>
                </w:tcPr>
                <w:p w14:paraId="7045A0E3">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848" w:type="pct"/>
                  <w:tcBorders>
                    <w:tl2br w:val="nil"/>
                    <w:tr2bl w:val="nil"/>
                  </w:tcBorders>
                  <w:noWrap w:val="0"/>
                  <w:vAlign w:val="center"/>
                </w:tcPr>
                <w:p w14:paraId="103100C2">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排放速率</w:t>
                  </w:r>
                </w:p>
              </w:tc>
              <w:tc>
                <w:tcPr>
                  <w:tcW w:w="550" w:type="pct"/>
                  <w:tcBorders>
                    <w:tl2br w:val="nil"/>
                    <w:tr2bl w:val="nil"/>
                  </w:tcBorders>
                  <w:noWrap w:val="0"/>
                  <w:vAlign w:val="center"/>
                </w:tcPr>
                <w:p w14:paraId="6E2DDB94">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0.11</w:t>
                  </w:r>
                </w:p>
              </w:tc>
              <w:tc>
                <w:tcPr>
                  <w:tcW w:w="550" w:type="pct"/>
                  <w:tcBorders>
                    <w:tl2br w:val="nil"/>
                    <w:tr2bl w:val="nil"/>
                  </w:tcBorders>
                  <w:noWrap w:val="0"/>
                  <w:vAlign w:val="center"/>
                </w:tcPr>
                <w:p w14:paraId="4D314011">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0.1</w:t>
                  </w:r>
                </w:p>
              </w:tc>
              <w:tc>
                <w:tcPr>
                  <w:tcW w:w="550" w:type="pct"/>
                  <w:tcBorders>
                    <w:tl2br w:val="nil"/>
                    <w:tr2bl w:val="nil"/>
                  </w:tcBorders>
                  <w:noWrap w:val="0"/>
                  <w:vAlign w:val="center"/>
                </w:tcPr>
                <w:p w14:paraId="6867CF56">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0.12</w:t>
                  </w:r>
                </w:p>
              </w:tc>
              <w:tc>
                <w:tcPr>
                  <w:tcW w:w="500" w:type="pct"/>
                  <w:tcBorders>
                    <w:tl2br w:val="nil"/>
                    <w:tr2bl w:val="nil"/>
                  </w:tcBorders>
                  <w:noWrap w:val="0"/>
                  <w:vAlign w:val="center"/>
                </w:tcPr>
                <w:p w14:paraId="5E9E4CCB">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1.75</w:t>
                  </w:r>
                </w:p>
              </w:tc>
              <w:tc>
                <w:tcPr>
                  <w:tcW w:w="500" w:type="pct"/>
                  <w:tcBorders>
                    <w:tl2br w:val="nil"/>
                    <w:tr2bl w:val="nil"/>
                  </w:tcBorders>
                  <w:noWrap w:val="0"/>
                  <w:vAlign w:val="center"/>
                </w:tcPr>
                <w:p w14:paraId="7E4998DE">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kg/h</w:t>
                  </w:r>
                </w:p>
              </w:tc>
            </w:tr>
            <w:tr w14:paraId="153E0EA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499" w:type="pct"/>
                  <w:vMerge w:val="restart"/>
                  <w:tcBorders>
                    <w:tl2br w:val="nil"/>
                    <w:tr2bl w:val="nil"/>
                  </w:tcBorders>
                  <w:noWrap w:val="0"/>
                  <w:vAlign w:val="center"/>
                </w:tcPr>
                <w:p w14:paraId="3C101C54">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5月31日</w:t>
                  </w:r>
                </w:p>
              </w:tc>
              <w:tc>
                <w:tcPr>
                  <w:tcW w:w="499" w:type="pct"/>
                  <w:vMerge w:val="restart"/>
                  <w:tcBorders>
                    <w:tl2br w:val="nil"/>
                    <w:tr2bl w:val="nil"/>
                  </w:tcBorders>
                  <w:noWrap w:val="0"/>
                  <w:vAlign w:val="center"/>
                </w:tcPr>
                <w:p w14:paraId="49F82339">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DA006出口</w:t>
                  </w:r>
                </w:p>
              </w:tc>
              <w:tc>
                <w:tcPr>
                  <w:tcW w:w="1349" w:type="pct"/>
                  <w:gridSpan w:val="2"/>
                  <w:tcBorders>
                    <w:tl2br w:val="nil"/>
                    <w:tr2bl w:val="nil"/>
                  </w:tcBorders>
                  <w:noWrap w:val="0"/>
                  <w:vAlign w:val="center"/>
                </w:tcPr>
                <w:p w14:paraId="6156D910">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标干流量</w:t>
                  </w:r>
                </w:p>
              </w:tc>
              <w:tc>
                <w:tcPr>
                  <w:tcW w:w="550" w:type="pct"/>
                  <w:tcBorders>
                    <w:tl2br w:val="nil"/>
                    <w:tr2bl w:val="nil"/>
                  </w:tcBorders>
                  <w:noWrap w:val="0"/>
                  <w:vAlign w:val="center"/>
                </w:tcPr>
                <w:p w14:paraId="29FFF53B">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17569</w:t>
                  </w:r>
                </w:p>
              </w:tc>
              <w:tc>
                <w:tcPr>
                  <w:tcW w:w="550" w:type="pct"/>
                  <w:tcBorders>
                    <w:tl2br w:val="nil"/>
                    <w:tr2bl w:val="nil"/>
                  </w:tcBorders>
                  <w:noWrap w:val="0"/>
                  <w:vAlign w:val="center"/>
                </w:tcPr>
                <w:p w14:paraId="677CE2B6">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17443</w:t>
                  </w:r>
                </w:p>
              </w:tc>
              <w:tc>
                <w:tcPr>
                  <w:tcW w:w="550" w:type="pct"/>
                  <w:tcBorders>
                    <w:tl2br w:val="nil"/>
                    <w:tr2bl w:val="nil"/>
                  </w:tcBorders>
                  <w:noWrap w:val="0"/>
                  <w:vAlign w:val="center"/>
                </w:tcPr>
                <w:p w14:paraId="62546817">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17586</w:t>
                  </w:r>
                </w:p>
              </w:tc>
              <w:tc>
                <w:tcPr>
                  <w:tcW w:w="500" w:type="pct"/>
                  <w:tcBorders>
                    <w:tl2br w:val="nil"/>
                    <w:tr2bl w:val="nil"/>
                  </w:tcBorders>
                  <w:noWrap w:val="0"/>
                  <w:vAlign w:val="center"/>
                </w:tcPr>
                <w:p w14:paraId="040FD474">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500" w:type="pct"/>
                  <w:tcBorders>
                    <w:tl2br w:val="nil"/>
                    <w:tr2bl w:val="nil"/>
                  </w:tcBorders>
                  <w:noWrap w:val="0"/>
                  <w:vAlign w:val="center"/>
                </w:tcPr>
                <w:p w14:paraId="68E1550C">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Nm</w:t>
                  </w:r>
                  <w:r>
                    <w:rPr>
                      <w:rFonts w:hint="default" w:ascii="Times New Roman" w:hAnsi="Times New Roman" w:eastAsia="宋体" w:cs="Times New Roman"/>
                      <w:i w:val="0"/>
                      <w:iCs w:val="0"/>
                      <w:color w:val="auto"/>
                      <w:kern w:val="0"/>
                      <w:sz w:val="21"/>
                      <w:szCs w:val="21"/>
                      <w:u w:val="none" w:color="auto"/>
                      <w:vertAlign w:val="superscript"/>
                      <w:lang w:val="en-US" w:eastAsia="zh-CN" w:bidi="ar"/>
                    </w:rPr>
                    <w:t>3</w:t>
                  </w:r>
                  <w:r>
                    <w:rPr>
                      <w:rFonts w:hint="default" w:ascii="Times New Roman" w:hAnsi="Times New Roman" w:eastAsia="宋体" w:cs="Times New Roman"/>
                      <w:i w:val="0"/>
                      <w:iCs w:val="0"/>
                      <w:color w:val="auto"/>
                      <w:kern w:val="0"/>
                      <w:sz w:val="21"/>
                      <w:szCs w:val="21"/>
                      <w:u w:val="none" w:color="auto"/>
                      <w:lang w:val="en-US" w:eastAsia="zh-CN" w:bidi="ar"/>
                    </w:rPr>
                    <w:t>/h</w:t>
                  </w:r>
                </w:p>
              </w:tc>
            </w:tr>
            <w:tr w14:paraId="45E1232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499" w:type="pct"/>
                  <w:vMerge w:val="continue"/>
                  <w:tcBorders>
                    <w:tl2br w:val="nil"/>
                    <w:tr2bl w:val="nil"/>
                  </w:tcBorders>
                  <w:noWrap w:val="0"/>
                  <w:vAlign w:val="center"/>
                </w:tcPr>
                <w:p w14:paraId="5F1282E9">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499" w:type="pct"/>
                  <w:vMerge w:val="continue"/>
                  <w:tcBorders>
                    <w:tl2br w:val="nil"/>
                    <w:tr2bl w:val="nil"/>
                  </w:tcBorders>
                  <w:noWrap w:val="0"/>
                  <w:vAlign w:val="center"/>
                </w:tcPr>
                <w:p w14:paraId="223707E2">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1349" w:type="pct"/>
                  <w:gridSpan w:val="2"/>
                  <w:tcBorders>
                    <w:tl2br w:val="nil"/>
                    <w:tr2bl w:val="nil"/>
                  </w:tcBorders>
                  <w:noWrap w:val="0"/>
                  <w:vAlign w:val="center"/>
                </w:tcPr>
                <w:p w14:paraId="356BA899">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平均烟温</w:t>
                  </w:r>
                </w:p>
              </w:tc>
              <w:tc>
                <w:tcPr>
                  <w:tcW w:w="550" w:type="pct"/>
                  <w:tcBorders>
                    <w:tl2br w:val="nil"/>
                    <w:tr2bl w:val="nil"/>
                  </w:tcBorders>
                  <w:noWrap w:val="0"/>
                  <w:vAlign w:val="center"/>
                </w:tcPr>
                <w:p w14:paraId="5D405E8D">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79.5</w:t>
                  </w:r>
                </w:p>
              </w:tc>
              <w:tc>
                <w:tcPr>
                  <w:tcW w:w="550" w:type="pct"/>
                  <w:tcBorders>
                    <w:tl2br w:val="nil"/>
                    <w:tr2bl w:val="nil"/>
                  </w:tcBorders>
                  <w:noWrap w:val="0"/>
                  <w:vAlign w:val="center"/>
                </w:tcPr>
                <w:p w14:paraId="1C667E14">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79.3</w:t>
                  </w:r>
                </w:p>
              </w:tc>
              <w:tc>
                <w:tcPr>
                  <w:tcW w:w="550" w:type="pct"/>
                  <w:tcBorders>
                    <w:tl2br w:val="nil"/>
                    <w:tr2bl w:val="nil"/>
                  </w:tcBorders>
                  <w:noWrap w:val="0"/>
                  <w:vAlign w:val="center"/>
                </w:tcPr>
                <w:p w14:paraId="4A1B9BA4">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79</w:t>
                  </w:r>
                </w:p>
              </w:tc>
              <w:tc>
                <w:tcPr>
                  <w:tcW w:w="500" w:type="pct"/>
                  <w:tcBorders>
                    <w:tl2br w:val="nil"/>
                    <w:tr2bl w:val="nil"/>
                  </w:tcBorders>
                  <w:noWrap w:val="0"/>
                  <w:vAlign w:val="center"/>
                </w:tcPr>
                <w:p w14:paraId="696D9179">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500" w:type="pct"/>
                  <w:tcBorders>
                    <w:tl2br w:val="nil"/>
                    <w:tr2bl w:val="nil"/>
                  </w:tcBorders>
                  <w:noWrap w:val="0"/>
                  <w:vAlign w:val="center"/>
                </w:tcPr>
                <w:p w14:paraId="7C61D372">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r>
            <w:tr w14:paraId="0C73AE6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499" w:type="pct"/>
                  <w:vMerge w:val="continue"/>
                  <w:tcBorders>
                    <w:tl2br w:val="nil"/>
                    <w:tr2bl w:val="nil"/>
                  </w:tcBorders>
                  <w:noWrap w:val="0"/>
                  <w:vAlign w:val="center"/>
                </w:tcPr>
                <w:p w14:paraId="7EF79D63">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499" w:type="pct"/>
                  <w:vMerge w:val="continue"/>
                  <w:tcBorders>
                    <w:tl2br w:val="nil"/>
                    <w:tr2bl w:val="nil"/>
                  </w:tcBorders>
                  <w:noWrap w:val="0"/>
                  <w:vAlign w:val="center"/>
                </w:tcPr>
                <w:p w14:paraId="20184903">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1349" w:type="pct"/>
                  <w:gridSpan w:val="2"/>
                  <w:tcBorders>
                    <w:tl2br w:val="nil"/>
                    <w:tr2bl w:val="nil"/>
                  </w:tcBorders>
                  <w:noWrap w:val="0"/>
                  <w:vAlign w:val="center"/>
                </w:tcPr>
                <w:p w14:paraId="780C71F7">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平均流速</w:t>
                  </w:r>
                </w:p>
              </w:tc>
              <w:tc>
                <w:tcPr>
                  <w:tcW w:w="550" w:type="pct"/>
                  <w:tcBorders>
                    <w:tl2br w:val="nil"/>
                    <w:tr2bl w:val="nil"/>
                  </w:tcBorders>
                  <w:noWrap w:val="0"/>
                  <w:vAlign w:val="center"/>
                </w:tcPr>
                <w:p w14:paraId="51D9BED1">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25.2</w:t>
                  </w:r>
                </w:p>
              </w:tc>
              <w:tc>
                <w:tcPr>
                  <w:tcW w:w="550" w:type="pct"/>
                  <w:tcBorders>
                    <w:tl2br w:val="nil"/>
                    <w:tr2bl w:val="nil"/>
                  </w:tcBorders>
                  <w:noWrap w:val="0"/>
                  <w:vAlign w:val="center"/>
                </w:tcPr>
                <w:p w14:paraId="5DD9CEC2">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25</w:t>
                  </w:r>
                </w:p>
              </w:tc>
              <w:tc>
                <w:tcPr>
                  <w:tcW w:w="550" w:type="pct"/>
                  <w:tcBorders>
                    <w:tl2br w:val="nil"/>
                    <w:tr2bl w:val="nil"/>
                  </w:tcBorders>
                  <w:noWrap w:val="0"/>
                  <w:vAlign w:val="center"/>
                </w:tcPr>
                <w:p w14:paraId="7BED61D4">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25.2</w:t>
                  </w:r>
                </w:p>
              </w:tc>
              <w:tc>
                <w:tcPr>
                  <w:tcW w:w="500" w:type="pct"/>
                  <w:tcBorders>
                    <w:tl2br w:val="nil"/>
                    <w:tr2bl w:val="nil"/>
                  </w:tcBorders>
                  <w:noWrap w:val="0"/>
                  <w:vAlign w:val="center"/>
                </w:tcPr>
                <w:p w14:paraId="59B2FC8A">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500" w:type="pct"/>
                  <w:tcBorders>
                    <w:tl2br w:val="nil"/>
                    <w:tr2bl w:val="nil"/>
                  </w:tcBorders>
                  <w:noWrap w:val="0"/>
                  <w:vAlign w:val="center"/>
                </w:tcPr>
                <w:p w14:paraId="25E0DDED">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m/s</w:t>
                  </w:r>
                </w:p>
              </w:tc>
            </w:tr>
            <w:tr w14:paraId="6873E77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499" w:type="pct"/>
                  <w:vMerge w:val="continue"/>
                  <w:tcBorders>
                    <w:tl2br w:val="nil"/>
                    <w:tr2bl w:val="nil"/>
                  </w:tcBorders>
                  <w:noWrap w:val="0"/>
                  <w:vAlign w:val="center"/>
                </w:tcPr>
                <w:p w14:paraId="510B2420">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499" w:type="pct"/>
                  <w:vMerge w:val="continue"/>
                  <w:tcBorders>
                    <w:tl2br w:val="nil"/>
                    <w:tr2bl w:val="nil"/>
                  </w:tcBorders>
                  <w:noWrap w:val="0"/>
                  <w:vAlign w:val="center"/>
                </w:tcPr>
                <w:p w14:paraId="2A95F3E8">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1349" w:type="pct"/>
                  <w:gridSpan w:val="2"/>
                  <w:tcBorders>
                    <w:tl2br w:val="nil"/>
                    <w:tr2bl w:val="nil"/>
                  </w:tcBorders>
                  <w:noWrap w:val="0"/>
                  <w:vAlign w:val="center"/>
                </w:tcPr>
                <w:p w14:paraId="520B2047">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含氧量</w:t>
                  </w:r>
                </w:p>
              </w:tc>
              <w:tc>
                <w:tcPr>
                  <w:tcW w:w="550" w:type="pct"/>
                  <w:tcBorders>
                    <w:tl2br w:val="nil"/>
                    <w:tr2bl w:val="nil"/>
                  </w:tcBorders>
                  <w:noWrap w:val="0"/>
                  <w:vAlign w:val="center"/>
                </w:tcPr>
                <w:p w14:paraId="46223ECB">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10</w:t>
                  </w:r>
                </w:p>
              </w:tc>
              <w:tc>
                <w:tcPr>
                  <w:tcW w:w="550" w:type="pct"/>
                  <w:tcBorders>
                    <w:tl2br w:val="nil"/>
                    <w:tr2bl w:val="nil"/>
                  </w:tcBorders>
                  <w:noWrap w:val="0"/>
                  <w:vAlign w:val="center"/>
                </w:tcPr>
                <w:p w14:paraId="4334BBA4">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10</w:t>
                  </w:r>
                </w:p>
              </w:tc>
              <w:tc>
                <w:tcPr>
                  <w:tcW w:w="550" w:type="pct"/>
                  <w:tcBorders>
                    <w:tl2br w:val="nil"/>
                    <w:tr2bl w:val="nil"/>
                  </w:tcBorders>
                  <w:noWrap w:val="0"/>
                  <w:vAlign w:val="center"/>
                </w:tcPr>
                <w:p w14:paraId="3BE9A49E">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10</w:t>
                  </w:r>
                </w:p>
              </w:tc>
              <w:tc>
                <w:tcPr>
                  <w:tcW w:w="500" w:type="pct"/>
                  <w:tcBorders>
                    <w:tl2br w:val="nil"/>
                    <w:tr2bl w:val="nil"/>
                  </w:tcBorders>
                  <w:noWrap w:val="0"/>
                  <w:vAlign w:val="center"/>
                </w:tcPr>
                <w:p w14:paraId="27A67B3F">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500" w:type="pct"/>
                  <w:tcBorders>
                    <w:tl2br w:val="nil"/>
                    <w:tr2bl w:val="nil"/>
                  </w:tcBorders>
                  <w:noWrap w:val="0"/>
                  <w:vAlign w:val="center"/>
                </w:tcPr>
                <w:p w14:paraId="7F5D3BCE">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r>
            <w:tr w14:paraId="1B936EA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499" w:type="pct"/>
                  <w:vMerge w:val="continue"/>
                  <w:tcBorders>
                    <w:tl2br w:val="nil"/>
                    <w:tr2bl w:val="nil"/>
                  </w:tcBorders>
                  <w:noWrap w:val="0"/>
                  <w:vAlign w:val="center"/>
                </w:tcPr>
                <w:p w14:paraId="635E7748">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499" w:type="pct"/>
                  <w:vMerge w:val="continue"/>
                  <w:tcBorders>
                    <w:tl2br w:val="nil"/>
                    <w:tr2bl w:val="nil"/>
                  </w:tcBorders>
                  <w:noWrap w:val="0"/>
                  <w:vAlign w:val="center"/>
                </w:tcPr>
                <w:p w14:paraId="7594E288">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500" w:type="pct"/>
                  <w:vMerge w:val="restart"/>
                  <w:tcBorders>
                    <w:tl2br w:val="nil"/>
                    <w:tr2bl w:val="nil"/>
                  </w:tcBorders>
                  <w:noWrap w:val="0"/>
                  <w:vAlign w:val="center"/>
                </w:tcPr>
                <w:p w14:paraId="5C7DB0B5">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二氧化硫</w:t>
                  </w:r>
                </w:p>
              </w:tc>
              <w:tc>
                <w:tcPr>
                  <w:tcW w:w="848" w:type="pct"/>
                  <w:tcBorders>
                    <w:tl2br w:val="nil"/>
                    <w:tr2bl w:val="nil"/>
                  </w:tcBorders>
                  <w:noWrap w:val="0"/>
                  <w:vAlign w:val="center"/>
                </w:tcPr>
                <w:p w14:paraId="4EBA6674">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实测浓度</w:t>
                  </w:r>
                </w:p>
              </w:tc>
              <w:tc>
                <w:tcPr>
                  <w:tcW w:w="550" w:type="pct"/>
                  <w:tcBorders>
                    <w:tl2br w:val="nil"/>
                    <w:tr2bl w:val="nil"/>
                  </w:tcBorders>
                  <w:noWrap w:val="0"/>
                  <w:vAlign w:val="center"/>
                </w:tcPr>
                <w:p w14:paraId="7FA03A3E">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w:t>
                  </w:r>
                </w:p>
              </w:tc>
              <w:tc>
                <w:tcPr>
                  <w:tcW w:w="550" w:type="pct"/>
                  <w:tcBorders>
                    <w:tl2br w:val="nil"/>
                    <w:tr2bl w:val="nil"/>
                  </w:tcBorders>
                  <w:noWrap w:val="0"/>
                  <w:vAlign w:val="center"/>
                </w:tcPr>
                <w:p w14:paraId="0327A641">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4</w:t>
                  </w:r>
                </w:p>
              </w:tc>
              <w:tc>
                <w:tcPr>
                  <w:tcW w:w="550" w:type="pct"/>
                  <w:tcBorders>
                    <w:tl2br w:val="nil"/>
                    <w:tr2bl w:val="nil"/>
                  </w:tcBorders>
                  <w:noWrap w:val="0"/>
                  <w:vAlign w:val="center"/>
                </w:tcPr>
                <w:p w14:paraId="3D354D7D">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w:t>
                  </w:r>
                </w:p>
              </w:tc>
              <w:tc>
                <w:tcPr>
                  <w:tcW w:w="500" w:type="pct"/>
                  <w:tcBorders>
                    <w:tl2br w:val="nil"/>
                    <w:tr2bl w:val="nil"/>
                  </w:tcBorders>
                  <w:noWrap w:val="0"/>
                  <w:vAlign w:val="center"/>
                </w:tcPr>
                <w:p w14:paraId="7D857391">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500" w:type="pct"/>
                  <w:tcBorders>
                    <w:tl2br w:val="nil"/>
                    <w:tr2bl w:val="nil"/>
                  </w:tcBorders>
                  <w:noWrap w:val="0"/>
                  <w:vAlign w:val="center"/>
                </w:tcPr>
                <w:p w14:paraId="35BA8756">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mg/m</w:t>
                  </w:r>
                  <w:r>
                    <w:rPr>
                      <w:rFonts w:hint="default" w:ascii="Times New Roman" w:hAnsi="Times New Roman" w:eastAsia="宋体" w:cs="Times New Roman"/>
                      <w:i w:val="0"/>
                      <w:iCs w:val="0"/>
                      <w:color w:val="auto"/>
                      <w:kern w:val="0"/>
                      <w:sz w:val="21"/>
                      <w:szCs w:val="21"/>
                      <w:u w:val="none" w:color="auto"/>
                      <w:vertAlign w:val="superscript"/>
                      <w:lang w:val="en-US" w:eastAsia="zh-CN" w:bidi="ar"/>
                    </w:rPr>
                    <w:t>3</w:t>
                  </w:r>
                </w:p>
              </w:tc>
            </w:tr>
            <w:tr w14:paraId="7F070EE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499" w:type="pct"/>
                  <w:vMerge w:val="continue"/>
                  <w:tcBorders>
                    <w:tl2br w:val="nil"/>
                    <w:tr2bl w:val="nil"/>
                  </w:tcBorders>
                  <w:noWrap w:val="0"/>
                  <w:vAlign w:val="center"/>
                </w:tcPr>
                <w:p w14:paraId="2A3F2684">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499" w:type="pct"/>
                  <w:vMerge w:val="continue"/>
                  <w:tcBorders>
                    <w:tl2br w:val="nil"/>
                    <w:tr2bl w:val="nil"/>
                  </w:tcBorders>
                  <w:noWrap w:val="0"/>
                  <w:vAlign w:val="center"/>
                </w:tcPr>
                <w:p w14:paraId="46E952CB">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500" w:type="pct"/>
                  <w:vMerge w:val="continue"/>
                  <w:tcBorders>
                    <w:tl2br w:val="nil"/>
                    <w:tr2bl w:val="nil"/>
                  </w:tcBorders>
                  <w:noWrap w:val="0"/>
                  <w:vAlign w:val="center"/>
                </w:tcPr>
                <w:p w14:paraId="2D3D4097">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848" w:type="pct"/>
                  <w:tcBorders>
                    <w:tl2br w:val="nil"/>
                    <w:tr2bl w:val="nil"/>
                  </w:tcBorders>
                  <w:noWrap w:val="0"/>
                  <w:vAlign w:val="center"/>
                </w:tcPr>
                <w:p w14:paraId="6E519EDA">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折算浓度</w:t>
                  </w:r>
                </w:p>
              </w:tc>
              <w:tc>
                <w:tcPr>
                  <w:tcW w:w="550" w:type="pct"/>
                  <w:tcBorders>
                    <w:tl2br w:val="nil"/>
                    <w:tr2bl w:val="nil"/>
                  </w:tcBorders>
                  <w:noWrap w:val="0"/>
                  <w:vAlign w:val="center"/>
                </w:tcPr>
                <w:p w14:paraId="1E041824">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4</w:t>
                  </w:r>
                </w:p>
              </w:tc>
              <w:tc>
                <w:tcPr>
                  <w:tcW w:w="550" w:type="pct"/>
                  <w:tcBorders>
                    <w:tl2br w:val="nil"/>
                    <w:tr2bl w:val="nil"/>
                  </w:tcBorders>
                  <w:noWrap w:val="0"/>
                  <w:vAlign w:val="center"/>
                </w:tcPr>
                <w:p w14:paraId="7D32EAD3">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6</w:t>
                  </w:r>
                </w:p>
              </w:tc>
              <w:tc>
                <w:tcPr>
                  <w:tcW w:w="550" w:type="pct"/>
                  <w:tcBorders>
                    <w:tl2br w:val="nil"/>
                    <w:tr2bl w:val="nil"/>
                  </w:tcBorders>
                  <w:noWrap w:val="0"/>
                  <w:vAlign w:val="center"/>
                </w:tcPr>
                <w:p w14:paraId="5B675A69">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4</w:t>
                  </w:r>
                </w:p>
              </w:tc>
              <w:tc>
                <w:tcPr>
                  <w:tcW w:w="500" w:type="pct"/>
                  <w:tcBorders>
                    <w:tl2br w:val="nil"/>
                    <w:tr2bl w:val="nil"/>
                  </w:tcBorders>
                  <w:noWrap w:val="0"/>
                  <w:vAlign w:val="center"/>
                </w:tcPr>
                <w:p w14:paraId="184C7E65">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550</w:t>
                  </w:r>
                </w:p>
              </w:tc>
              <w:tc>
                <w:tcPr>
                  <w:tcW w:w="500" w:type="pct"/>
                  <w:tcBorders>
                    <w:tl2br w:val="nil"/>
                    <w:tr2bl w:val="nil"/>
                  </w:tcBorders>
                  <w:noWrap w:val="0"/>
                  <w:vAlign w:val="center"/>
                </w:tcPr>
                <w:p w14:paraId="425089D4">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mg/m</w:t>
                  </w:r>
                  <w:r>
                    <w:rPr>
                      <w:rFonts w:hint="default" w:ascii="Times New Roman" w:hAnsi="Times New Roman" w:eastAsia="宋体" w:cs="Times New Roman"/>
                      <w:i w:val="0"/>
                      <w:iCs w:val="0"/>
                      <w:color w:val="auto"/>
                      <w:kern w:val="0"/>
                      <w:sz w:val="21"/>
                      <w:szCs w:val="21"/>
                      <w:u w:val="none" w:color="auto"/>
                      <w:vertAlign w:val="superscript"/>
                      <w:lang w:val="en-US" w:eastAsia="zh-CN" w:bidi="ar"/>
                    </w:rPr>
                    <w:t>3</w:t>
                  </w:r>
                </w:p>
              </w:tc>
            </w:tr>
            <w:tr w14:paraId="3A970E5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499" w:type="pct"/>
                  <w:vMerge w:val="continue"/>
                  <w:tcBorders>
                    <w:tl2br w:val="nil"/>
                    <w:tr2bl w:val="nil"/>
                  </w:tcBorders>
                  <w:noWrap w:val="0"/>
                  <w:vAlign w:val="center"/>
                </w:tcPr>
                <w:p w14:paraId="6A973437">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499" w:type="pct"/>
                  <w:vMerge w:val="continue"/>
                  <w:tcBorders>
                    <w:tl2br w:val="nil"/>
                    <w:tr2bl w:val="nil"/>
                  </w:tcBorders>
                  <w:noWrap w:val="0"/>
                  <w:vAlign w:val="center"/>
                </w:tcPr>
                <w:p w14:paraId="162B0B5C">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500" w:type="pct"/>
                  <w:vMerge w:val="continue"/>
                  <w:tcBorders>
                    <w:tl2br w:val="nil"/>
                    <w:tr2bl w:val="nil"/>
                  </w:tcBorders>
                  <w:noWrap w:val="0"/>
                  <w:vAlign w:val="center"/>
                </w:tcPr>
                <w:p w14:paraId="64910824">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848" w:type="pct"/>
                  <w:tcBorders>
                    <w:tl2br w:val="nil"/>
                    <w:tr2bl w:val="nil"/>
                  </w:tcBorders>
                  <w:noWrap w:val="0"/>
                  <w:vAlign w:val="center"/>
                </w:tcPr>
                <w:p w14:paraId="3ECEE61B">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排放速率</w:t>
                  </w:r>
                </w:p>
              </w:tc>
              <w:tc>
                <w:tcPr>
                  <w:tcW w:w="550" w:type="pct"/>
                  <w:tcBorders>
                    <w:tl2br w:val="nil"/>
                    <w:tr2bl w:val="nil"/>
                  </w:tcBorders>
                  <w:noWrap w:val="0"/>
                  <w:vAlign w:val="center"/>
                </w:tcPr>
                <w:p w14:paraId="591FE869">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0.05</w:t>
                  </w:r>
                </w:p>
              </w:tc>
              <w:tc>
                <w:tcPr>
                  <w:tcW w:w="550" w:type="pct"/>
                  <w:tcBorders>
                    <w:tl2br w:val="nil"/>
                    <w:tr2bl w:val="nil"/>
                  </w:tcBorders>
                  <w:noWrap w:val="0"/>
                  <w:vAlign w:val="center"/>
                </w:tcPr>
                <w:p w14:paraId="7A05F8E1">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0.07</w:t>
                  </w:r>
                </w:p>
              </w:tc>
              <w:tc>
                <w:tcPr>
                  <w:tcW w:w="550" w:type="pct"/>
                  <w:tcBorders>
                    <w:tl2br w:val="nil"/>
                    <w:tr2bl w:val="nil"/>
                  </w:tcBorders>
                  <w:noWrap w:val="0"/>
                  <w:vAlign w:val="center"/>
                </w:tcPr>
                <w:p w14:paraId="5A4F77A3">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0.05</w:t>
                  </w:r>
                </w:p>
              </w:tc>
              <w:tc>
                <w:tcPr>
                  <w:tcW w:w="500" w:type="pct"/>
                  <w:tcBorders>
                    <w:tl2br w:val="nil"/>
                    <w:tr2bl w:val="nil"/>
                  </w:tcBorders>
                  <w:noWrap w:val="0"/>
                  <w:vAlign w:val="center"/>
                </w:tcPr>
                <w:p w14:paraId="1F7D68C3">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1.3</w:t>
                  </w:r>
                </w:p>
              </w:tc>
              <w:tc>
                <w:tcPr>
                  <w:tcW w:w="500" w:type="pct"/>
                  <w:tcBorders>
                    <w:tl2br w:val="nil"/>
                    <w:tr2bl w:val="nil"/>
                  </w:tcBorders>
                  <w:noWrap w:val="0"/>
                  <w:vAlign w:val="center"/>
                </w:tcPr>
                <w:p w14:paraId="5DE6BF3F">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kg/h</w:t>
                  </w:r>
                </w:p>
              </w:tc>
            </w:tr>
            <w:tr w14:paraId="6E84E75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499" w:type="pct"/>
                  <w:vMerge w:val="continue"/>
                  <w:tcBorders>
                    <w:tl2br w:val="nil"/>
                    <w:tr2bl w:val="nil"/>
                  </w:tcBorders>
                  <w:noWrap w:val="0"/>
                  <w:vAlign w:val="center"/>
                </w:tcPr>
                <w:p w14:paraId="12749A88">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499" w:type="pct"/>
                  <w:vMerge w:val="continue"/>
                  <w:tcBorders>
                    <w:tl2br w:val="nil"/>
                    <w:tr2bl w:val="nil"/>
                  </w:tcBorders>
                  <w:noWrap w:val="0"/>
                  <w:vAlign w:val="center"/>
                </w:tcPr>
                <w:p w14:paraId="19D7B77F">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500" w:type="pct"/>
                  <w:vMerge w:val="restart"/>
                  <w:tcBorders>
                    <w:tl2br w:val="nil"/>
                    <w:tr2bl w:val="nil"/>
                  </w:tcBorders>
                  <w:noWrap w:val="0"/>
                  <w:vAlign w:val="center"/>
                </w:tcPr>
                <w:p w14:paraId="548F8623">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氮氧化物</w:t>
                  </w:r>
                </w:p>
              </w:tc>
              <w:tc>
                <w:tcPr>
                  <w:tcW w:w="848" w:type="pct"/>
                  <w:tcBorders>
                    <w:tl2br w:val="nil"/>
                    <w:tr2bl w:val="nil"/>
                  </w:tcBorders>
                  <w:noWrap w:val="0"/>
                  <w:vAlign w:val="center"/>
                </w:tcPr>
                <w:p w14:paraId="65D66F0D">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实测浓度</w:t>
                  </w:r>
                </w:p>
              </w:tc>
              <w:tc>
                <w:tcPr>
                  <w:tcW w:w="550" w:type="pct"/>
                  <w:tcBorders>
                    <w:tl2br w:val="nil"/>
                    <w:tr2bl w:val="nil"/>
                  </w:tcBorders>
                  <w:noWrap w:val="0"/>
                  <w:vAlign w:val="center"/>
                </w:tcPr>
                <w:p w14:paraId="27E6DC98">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3（ND）</w:t>
                  </w:r>
                </w:p>
              </w:tc>
              <w:tc>
                <w:tcPr>
                  <w:tcW w:w="550" w:type="pct"/>
                  <w:tcBorders>
                    <w:tl2br w:val="nil"/>
                    <w:tr2bl w:val="nil"/>
                  </w:tcBorders>
                  <w:noWrap w:val="0"/>
                  <w:vAlign w:val="center"/>
                </w:tcPr>
                <w:p w14:paraId="390ACA9B">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3（ND）</w:t>
                  </w:r>
                </w:p>
              </w:tc>
              <w:tc>
                <w:tcPr>
                  <w:tcW w:w="550" w:type="pct"/>
                  <w:tcBorders>
                    <w:tl2br w:val="nil"/>
                    <w:tr2bl w:val="nil"/>
                  </w:tcBorders>
                  <w:noWrap w:val="0"/>
                  <w:vAlign w:val="center"/>
                </w:tcPr>
                <w:p w14:paraId="4DACCEB1">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3（ND）</w:t>
                  </w:r>
                </w:p>
              </w:tc>
              <w:tc>
                <w:tcPr>
                  <w:tcW w:w="500" w:type="pct"/>
                  <w:tcBorders>
                    <w:tl2br w:val="nil"/>
                    <w:tr2bl w:val="nil"/>
                  </w:tcBorders>
                  <w:noWrap w:val="0"/>
                  <w:vAlign w:val="center"/>
                </w:tcPr>
                <w:p w14:paraId="05C41A77">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500" w:type="pct"/>
                  <w:tcBorders>
                    <w:tl2br w:val="nil"/>
                    <w:tr2bl w:val="nil"/>
                  </w:tcBorders>
                  <w:noWrap w:val="0"/>
                  <w:vAlign w:val="center"/>
                </w:tcPr>
                <w:p w14:paraId="21DC55B6">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mg/m</w:t>
                  </w:r>
                  <w:r>
                    <w:rPr>
                      <w:rFonts w:hint="default" w:ascii="Times New Roman" w:hAnsi="Times New Roman" w:eastAsia="宋体" w:cs="Times New Roman"/>
                      <w:i w:val="0"/>
                      <w:iCs w:val="0"/>
                      <w:color w:val="auto"/>
                      <w:kern w:val="0"/>
                      <w:sz w:val="21"/>
                      <w:szCs w:val="21"/>
                      <w:u w:val="none" w:color="auto"/>
                      <w:vertAlign w:val="superscript"/>
                      <w:lang w:val="en-US" w:eastAsia="zh-CN" w:bidi="ar"/>
                    </w:rPr>
                    <w:t>3</w:t>
                  </w:r>
                </w:p>
              </w:tc>
            </w:tr>
            <w:tr w14:paraId="4CAEF4A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499" w:type="pct"/>
                  <w:vMerge w:val="continue"/>
                  <w:tcBorders>
                    <w:tl2br w:val="nil"/>
                    <w:tr2bl w:val="nil"/>
                  </w:tcBorders>
                  <w:noWrap w:val="0"/>
                  <w:vAlign w:val="center"/>
                </w:tcPr>
                <w:p w14:paraId="315F7A98">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499" w:type="pct"/>
                  <w:vMerge w:val="continue"/>
                  <w:tcBorders>
                    <w:tl2br w:val="nil"/>
                    <w:tr2bl w:val="nil"/>
                  </w:tcBorders>
                  <w:noWrap w:val="0"/>
                  <w:vAlign w:val="center"/>
                </w:tcPr>
                <w:p w14:paraId="006E74B6">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500" w:type="pct"/>
                  <w:vMerge w:val="continue"/>
                  <w:tcBorders>
                    <w:tl2br w:val="nil"/>
                    <w:tr2bl w:val="nil"/>
                  </w:tcBorders>
                  <w:noWrap w:val="0"/>
                  <w:vAlign w:val="center"/>
                </w:tcPr>
                <w:p w14:paraId="46695118">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848" w:type="pct"/>
                  <w:tcBorders>
                    <w:tl2br w:val="nil"/>
                    <w:tr2bl w:val="nil"/>
                  </w:tcBorders>
                  <w:noWrap w:val="0"/>
                  <w:vAlign w:val="center"/>
                </w:tcPr>
                <w:p w14:paraId="6F569CFB">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折算浓度</w:t>
                  </w:r>
                </w:p>
              </w:tc>
              <w:tc>
                <w:tcPr>
                  <w:tcW w:w="550" w:type="pct"/>
                  <w:tcBorders>
                    <w:tl2br w:val="nil"/>
                    <w:tr2bl w:val="nil"/>
                  </w:tcBorders>
                  <w:noWrap w:val="0"/>
                  <w:vAlign w:val="center"/>
                </w:tcPr>
                <w:p w14:paraId="148B2929">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4</w:t>
                  </w:r>
                </w:p>
              </w:tc>
              <w:tc>
                <w:tcPr>
                  <w:tcW w:w="550" w:type="pct"/>
                  <w:tcBorders>
                    <w:tl2br w:val="nil"/>
                    <w:tr2bl w:val="nil"/>
                  </w:tcBorders>
                  <w:noWrap w:val="0"/>
                  <w:vAlign w:val="center"/>
                </w:tcPr>
                <w:p w14:paraId="7F711A13">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4</w:t>
                  </w:r>
                </w:p>
              </w:tc>
              <w:tc>
                <w:tcPr>
                  <w:tcW w:w="550" w:type="pct"/>
                  <w:tcBorders>
                    <w:tl2br w:val="nil"/>
                    <w:tr2bl w:val="nil"/>
                  </w:tcBorders>
                  <w:noWrap w:val="0"/>
                  <w:vAlign w:val="center"/>
                </w:tcPr>
                <w:p w14:paraId="5D210E7B">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w:t>
                  </w:r>
                </w:p>
              </w:tc>
              <w:tc>
                <w:tcPr>
                  <w:tcW w:w="500" w:type="pct"/>
                  <w:tcBorders>
                    <w:tl2br w:val="nil"/>
                    <w:tr2bl w:val="nil"/>
                  </w:tcBorders>
                  <w:noWrap w:val="0"/>
                  <w:vAlign w:val="center"/>
                </w:tcPr>
                <w:p w14:paraId="407E6CC9">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240</w:t>
                  </w:r>
                </w:p>
              </w:tc>
              <w:tc>
                <w:tcPr>
                  <w:tcW w:w="500" w:type="pct"/>
                  <w:tcBorders>
                    <w:tl2br w:val="nil"/>
                    <w:tr2bl w:val="nil"/>
                  </w:tcBorders>
                  <w:noWrap w:val="0"/>
                  <w:vAlign w:val="center"/>
                </w:tcPr>
                <w:p w14:paraId="73E0BAE9">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mg/m</w:t>
                  </w:r>
                  <w:r>
                    <w:rPr>
                      <w:rFonts w:hint="default" w:ascii="Times New Roman" w:hAnsi="Times New Roman" w:eastAsia="宋体" w:cs="Times New Roman"/>
                      <w:i w:val="0"/>
                      <w:iCs w:val="0"/>
                      <w:color w:val="auto"/>
                      <w:kern w:val="0"/>
                      <w:sz w:val="21"/>
                      <w:szCs w:val="21"/>
                      <w:u w:val="none" w:color="auto"/>
                      <w:vertAlign w:val="superscript"/>
                      <w:lang w:val="en-US" w:eastAsia="zh-CN" w:bidi="ar"/>
                    </w:rPr>
                    <w:t>3</w:t>
                  </w:r>
                </w:p>
              </w:tc>
            </w:tr>
            <w:tr w14:paraId="223A077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499" w:type="pct"/>
                  <w:vMerge w:val="continue"/>
                  <w:tcBorders>
                    <w:tl2br w:val="nil"/>
                    <w:tr2bl w:val="nil"/>
                  </w:tcBorders>
                  <w:noWrap w:val="0"/>
                  <w:vAlign w:val="center"/>
                </w:tcPr>
                <w:p w14:paraId="2E3AB040">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499" w:type="pct"/>
                  <w:vMerge w:val="continue"/>
                  <w:tcBorders>
                    <w:tl2br w:val="nil"/>
                    <w:tr2bl w:val="nil"/>
                  </w:tcBorders>
                  <w:noWrap w:val="0"/>
                  <w:vAlign w:val="center"/>
                </w:tcPr>
                <w:p w14:paraId="2736AF89">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500" w:type="pct"/>
                  <w:vMerge w:val="continue"/>
                  <w:tcBorders>
                    <w:tl2br w:val="nil"/>
                    <w:tr2bl w:val="nil"/>
                  </w:tcBorders>
                  <w:noWrap w:val="0"/>
                  <w:vAlign w:val="center"/>
                </w:tcPr>
                <w:p w14:paraId="653F8525">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848" w:type="pct"/>
                  <w:tcBorders>
                    <w:tl2br w:val="nil"/>
                    <w:tr2bl w:val="nil"/>
                  </w:tcBorders>
                  <w:noWrap w:val="0"/>
                  <w:vAlign w:val="center"/>
                </w:tcPr>
                <w:p w14:paraId="20903169">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排放速率</w:t>
                  </w:r>
                </w:p>
              </w:tc>
              <w:tc>
                <w:tcPr>
                  <w:tcW w:w="550" w:type="pct"/>
                  <w:tcBorders>
                    <w:tl2br w:val="nil"/>
                    <w:tr2bl w:val="nil"/>
                  </w:tcBorders>
                  <w:noWrap w:val="0"/>
                  <w:vAlign w:val="center"/>
                </w:tcPr>
                <w:p w14:paraId="5D0E4CA1">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0.04</w:t>
                  </w:r>
                </w:p>
              </w:tc>
              <w:tc>
                <w:tcPr>
                  <w:tcW w:w="550" w:type="pct"/>
                  <w:tcBorders>
                    <w:tl2br w:val="nil"/>
                    <w:tr2bl w:val="nil"/>
                  </w:tcBorders>
                  <w:noWrap w:val="0"/>
                  <w:vAlign w:val="center"/>
                </w:tcPr>
                <w:p w14:paraId="37D70D4C">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0.04</w:t>
                  </w:r>
                </w:p>
              </w:tc>
              <w:tc>
                <w:tcPr>
                  <w:tcW w:w="550" w:type="pct"/>
                  <w:tcBorders>
                    <w:tl2br w:val="nil"/>
                    <w:tr2bl w:val="nil"/>
                  </w:tcBorders>
                  <w:noWrap w:val="0"/>
                  <w:vAlign w:val="center"/>
                </w:tcPr>
                <w:p w14:paraId="105FD9C7">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0.03</w:t>
                  </w:r>
                </w:p>
              </w:tc>
              <w:tc>
                <w:tcPr>
                  <w:tcW w:w="500" w:type="pct"/>
                  <w:tcBorders>
                    <w:tl2br w:val="nil"/>
                    <w:tr2bl w:val="nil"/>
                  </w:tcBorders>
                  <w:noWrap w:val="0"/>
                  <w:vAlign w:val="center"/>
                </w:tcPr>
                <w:p w14:paraId="2FF8774D">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0.385</w:t>
                  </w:r>
                </w:p>
              </w:tc>
              <w:tc>
                <w:tcPr>
                  <w:tcW w:w="500" w:type="pct"/>
                  <w:tcBorders>
                    <w:tl2br w:val="nil"/>
                    <w:tr2bl w:val="nil"/>
                  </w:tcBorders>
                  <w:noWrap w:val="0"/>
                  <w:vAlign w:val="center"/>
                </w:tcPr>
                <w:p w14:paraId="4F1754A0">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kg/h</w:t>
                  </w:r>
                </w:p>
              </w:tc>
            </w:tr>
            <w:tr w14:paraId="4CFE334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499" w:type="pct"/>
                  <w:vMerge w:val="continue"/>
                  <w:tcBorders>
                    <w:tl2br w:val="nil"/>
                    <w:tr2bl w:val="nil"/>
                  </w:tcBorders>
                  <w:noWrap w:val="0"/>
                  <w:vAlign w:val="center"/>
                </w:tcPr>
                <w:p w14:paraId="46FCB3C5">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499" w:type="pct"/>
                  <w:vMerge w:val="continue"/>
                  <w:tcBorders>
                    <w:tl2br w:val="nil"/>
                    <w:tr2bl w:val="nil"/>
                  </w:tcBorders>
                  <w:noWrap w:val="0"/>
                  <w:vAlign w:val="center"/>
                </w:tcPr>
                <w:p w14:paraId="2C54D113">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500" w:type="pct"/>
                  <w:vMerge w:val="restart"/>
                  <w:tcBorders>
                    <w:tl2br w:val="nil"/>
                    <w:tr2bl w:val="nil"/>
                  </w:tcBorders>
                  <w:noWrap w:val="0"/>
                  <w:vAlign w:val="center"/>
                </w:tcPr>
                <w:p w14:paraId="7C6568CF">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颗粒物</w:t>
                  </w:r>
                </w:p>
              </w:tc>
              <w:tc>
                <w:tcPr>
                  <w:tcW w:w="848" w:type="pct"/>
                  <w:tcBorders>
                    <w:tl2br w:val="nil"/>
                    <w:tr2bl w:val="nil"/>
                  </w:tcBorders>
                  <w:noWrap w:val="0"/>
                  <w:vAlign w:val="center"/>
                </w:tcPr>
                <w:p w14:paraId="7ABF4255">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实测浓度</w:t>
                  </w:r>
                </w:p>
              </w:tc>
              <w:tc>
                <w:tcPr>
                  <w:tcW w:w="550" w:type="pct"/>
                  <w:tcBorders>
                    <w:tl2br w:val="nil"/>
                    <w:tr2bl w:val="nil"/>
                  </w:tcBorders>
                  <w:noWrap w:val="0"/>
                  <w:vAlign w:val="center"/>
                </w:tcPr>
                <w:p w14:paraId="5B5C78B7">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4.9</w:t>
                  </w:r>
                </w:p>
              </w:tc>
              <w:tc>
                <w:tcPr>
                  <w:tcW w:w="550" w:type="pct"/>
                  <w:tcBorders>
                    <w:tl2br w:val="nil"/>
                    <w:tr2bl w:val="nil"/>
                  </w:tcBorders>
                  <w:noWrap w:val="0"/>
                  <w:vAlign w:val="center"/>
                </w:tcPr>
                <w:p w14:paraId="617C5E43">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5.5</w:t>
                  </w:r>
                </w:p>
              </w:tc>
              <w:tc>
                <w:tcPr>
                  <w:tcW w:w="550" w:type="pct"/>
                  <w:tcBorders>
                    <w:tl2br w:val="nil"/>
                    <w:tr2bl w:val="nil"/>
                  </w:tcBorders>
                  <w:noWrap w:val="0"/>
                  <w:vAlign w:val="center"/>
                </w:tcPr>
                <w:p w14:paraId="28D85856">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4.3</w:t>
                  </w:r>
                </w:p>
              </w:tc>
              <w:tc>
                <w:tcPr>
                  <w:tcW w:w="500" w:type="pct"/>
                  <w:tcBorders>
                    <w:tl2br w:val="nil"/>
                    <w:tr2bl w:val="nil"/>
                  </w:tcBorders>
                  <w:noWrap w:val="0"/>
                  <w:vAlign w:val="center"/>
                </w:tcPr>
                <w:p w14:paraId="555A4322">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120</w:t>
                  </w:r>
                </w:p>
              </w:tc>
              <w:tc>
                <w:tcPr>
                  <w:tcW w:w="500" w:type="pct"/>
                  <w:tcBorders>
                    <w:tl2br w:val="nil"/>
                    <w:tr2bl w:val="nil"/>
                  </w:tcBorders>
                  <w:noWrap w:val="0"/>
                  <w:vAlign w:val="center"/>
                </w:tcPr>
                <w:p w14:paraId="07314397">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mg/m</w:t>
                  </w:r>
                  <w:r>
                    <w:rPr>
                      <w:rFonts w:hint="default" w:ascii="Times New Roman" w:hAnsi="Times New Roman" w:eastAsia="宋体" w:cs="Times New Roman"/>
                      <w:i w:val="0"/>
                      <w:iCs w:val="0"/>
                      <w:color w:val="auto"/>
                      <w:kern w:val="0"/>
                      <w:sz w:val="21"/>
                      <w:szCs w:val="21"/>
                      <w:u w:val="none" w:color="auto"/>
                      <w:vertAlign w:val="superscript"/>
                      <w:lang w:val="en-US" w:eastAsia="zh-CN" w:bidi="ar"/>
                    </w:rPr>
                    <w:t>3</w:t>
                  </w:r>
                </w:p>
              </w:tc>
            </w:tr>
            <w:tr w14:paraId="706EFEB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499" w:type="pct"/>
                  <w:vMerge w:val="continue"/>
                  <w:tcBorders>
                    <w:tl2br w:val="nil"/>
                    <w:tr2bl w:val="nil"/>
                  </w:tcBorders>
                  <w:noWrap w:val="0"/>
                  <w:vAlign w:val="center"/>
                </w:tcPr>
                <w:p w14:paraId="521852FC">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499" w:type="pct"/>
                  <w:vMerge w:val="continue"/>
                  <w:tcBorders>
                    <w:tl2br w:val="nil"/>
                    <w:tr2bl w:val="nil"/>
                  </w:tcBorders>
                  <w:noWrap w:val="0"/>
                  <w:vAlign w:val="center"/>
                </w:tcPr>
                <w:p w14:paraId="122E81F5">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500" w:type="pct"/>
                  <w:vMerge w:val="continue"/>
                  <w:tcBorders>
                    <w:tl2br w:val="nil"/>
                    <w:tr2bl w:val="nil"/>
                  </w:tcBorders>
                  <w:noWrap w:val="0"/>
                  <w:vAlign w:val="center"/>
                </w:tcPr>
                <w:p w14:paraId="12BB6319">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848" w:type="pct"/>
                  <w:tcBorders>
                    <w:tl2br w:val="nil"/>
                    <w:tr2bl w:val="nil"/>
                  </w:tcBorders>
                  <w:noWrap w:val="0"/>
                  <w:vAlign w:val="center"/>
                </w:tcPr>
                <w:p w14:paraId="14894712">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排放速率</w:t>
                  </w:r>
                </w:p>
              </w:tc>
              <w:tc>
                <w:tcPr>
                  <w:tcW w:w="550" w:type="pct"/>
                  <w:tcBorders>
                    <w:tl2br w:val="nil"/>
                    <w:tr2bl w:val="nil"/>
                  </w:tcBorders>
                  <w:noWrap w:val="0"/>
                  <w:vAlign w:val="center"/>
                </w:tcPr>
                <w:p w14:paraId="4E2F3553">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0.09</w:t>
                  </w:r>
                </w:p>
              </w:tc>
              <w:tc>
                <w:tcPr>
                  <w:tcW w:w="550" w:type="pct"/>
                  <w:tcBorders>
                    <w:tl2br w:val="nil"/>
                    <w:tr2bl w:val="nil"/>
                  </w:tcBorders>
                  <w:noWrap w:val="0"/>
                  <w:vAlign w:val="center"/>
                </w:tcPr>
                <w:p w14:paraId="4415E9CC">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0.1</w:t>
                  </w:r>
                </w:p>
              </w:tc>
              <w:tc>
                <w:tcPr>
                  <w:tcW w:w="550" w:type="pct"/>
                  <w:tcBorders>
                    <w:tl2br w:val="nil"/>
                    <w:tr2bl w:val="nil"/>
                  </w:tcBorders>
                  <w:noWrap w:val="0"/>
                  <w:vAlign w:val="center"/>
                </w:tcPr>
                <w:p w14:paraId="4C9C290D">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0.08</w:t>
                  </w:r>
                </w:p>
              </w:tc>
              <w:tc>
                <w:tcPr>
                  <w:tcW w:w="500" w:type="pct"/>
                  <w:tcBorders>
                    <w:tl2br w:val="nil"/>
                    <w:tr2bl w:val="nil"/>
                  </w:tcBorders>
                  <w:noWrap w:val="0"/>
                  <w:vAlign w:val="center"/>
                </w:tcPr>
                <w:p w14:paraId="0AB2217A">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1.75</w:t>
                  </w:r>
                </w:p>
              </w:tc>
              <w:tc>
                <w:tcPr>
                  <w:tcW w:w="500" w:type="pct"/>
                  <w:tcBorders>
                    <w:tl2br w:val="nil"/>
                    <w:tr2bl w:val="nil"/>
                  </w:tcBorders>
                  <w:noWrap w:val="0"/>
                  <w:vAlign w:val="center"/>
                </w:tcPr>
                <w:p w14:paraId="45F1EF06">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kg/h</w:t>
                  </w:r>
                </w:p>
              </w:tc>
            </w:tr>
          </w:tbl>
          <w:p w14:paraId="4D5AA1C3">
            <w:pPr>
              <w:widowControl w:val="0"/>
              <w:adjustRightInd/>
              <w:snapToGrid/>
              <w:spacing w:after="0"/>
              <w:jc w:val="center"/>
              <w:rPr>
                <w:rFonts w:hint="default" w:ascii="Times New Roman" w:hAnsi="Times New Roman" w:eastAsia="宋体" w:cs="Times New Roman"/>
                <w:b/>
                <w:bCs/>
                <w:color w:val="auto"/>
                <w:sz w:val="21"/>
                <w:szCs w:val="21"/>
                <w:u w:val="none" w:color="auto"/>
                <w:lang w:eastAsia="zh-CN"/>
              </w:rPr>
            </w:pPr>
            <w:r>
              <w:rPr>
                <w:rFonts w:hint="default" w:ascii="Times New Roman" w:hAnsi="Times New Roman" w:eastAsia="宋体" w:cs="Times New Roman"/>
                <w:b/>
                <w:bCs/>
                <w:color w:val="auto"/>
                <w:sz w:val="21"/>
                <w:szCs w:val="21"/>
                <w:u w:val="none" w:color="auto"/>
              </w:rPr>
              <w:t>表</w:t>
            </w:r>
            <w:r>
              <w:rPr>
                <w:rFonts w:hint="default" w:ascii="Times New Roman" w:hAnsi="Times New Roman" w:eastAsia="宋体" w:cs="Times New Roman"/>
                <w:b/>
                <w:bCs/>
                <w:color w:val="auto"/>
                <w:sz w:val="21"/>
                <w:szCs w:val="21"/>
                <w:u w:val="none" w:color="auto"/>
                <w:lang w:val="en-US" w:eastAsia="zh-CN"/>
              </w:rPr>
              <w:t>2</w:t>
            </w:r>
            <w:r>
              <w:rPr>
                <w:rFonts w:hint="default" w:ascii="Times New Roman" w:hAnsi="Times New Roman" w:eastAsia="宋体" w:cs="Times New Roman"/>
                <w:b/>
                <w:bCs/>
                <w:color w:val="auto"/>
                <w:sz w:val="21"/>
                <w:szCs w:val="21"/>
                <w:u w:val="none" w:color="auto"/>
              </w:rPr>
              <w:t>-</w:t>
            </w:r>
            <w:r>
              <w:rPr>
                <w:rFonts w:hint="default" w:ascii="Times New Roman" w:hAnsi="Times New Roman" w:eastAsia="宋体" w:cs="Times New Roman"/>
                <w:b/>
                <w:bCs/>
                <w:color w:val="auto"/>
                <w:sz w:val="21"/>
                <w:szCs w:val="21"/>
                <w:u w:val="none" w:color="auto"/>
                <w:lang w:val="en-US" w:eastAsia="zh-CN"/>
              </w:rPr>
              <w:t>15</w:t>
            </w:r>
            <w:r>
              <w:rPr>
                <w:rFonts w:hint="default" w:ascii="Times New Roman" w:hAnsi="Times New Roman" w:eastAsia="宋体" w:cs="Times New Roman"/>
                <w:b/>
                <w:bCs/>
                <w:color w:val="auto"/>
                <w:sz w:val="21"/>
                <w:szCs w:val="21"/>
                <w:u w:val="none" w:color="auto"/>
              </w:rPr>
              <w:t xml:space="preserve">  有组织</w:t>
            </w:r>
            <w:r>
              <w:rPr>
                <w:rFonts w:hint="default" w:ascii="Times New Roman" w:hAnsi="Times New Roman" w:eastAsia="宋体" w:cs="Times New Roman"/>
                <w:b/>
                <w:bCs/>
                <w:color w:val="auto"/>
                <w:sz w:val="21"/>
                <w:szCs w:val="21"/>
                <w:u w:val="none" w:color="auto"/>
                <w:lang w:val="en-US" w:eastAsia="zh-CN"/>
              </w:rPr>
              <w:t>DA009</w:t>
            </w:r>
            <w:r>
              <w:rPr>
                <w:rFonts w:hint="default" w:ascii="Times New Roman" w:hAnsi="Times New Roman" w:eastAsia="宋体" w:cs="Times New Roman"/>
                <w:b/>
                <w:bCs/>
                <w:color w:val="auto"/>
                <w:sz w:val="21"/>
                <w:szCs w:val="21"/>
                <w:u w:val="none" w:color="auto"/>
              </w:rPr>
              <w:t>废气监测结果</w:t>
            </w:r>
          </w:p>
          <w:tbl>
            <w:tblPr>
              <w:tblStyle w:val="31"/>
              <w:tblW w:w="4997"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
            <w:tblGrid>
              <w:gridCol w:w="1155"/>
              <w:gridCol w:w="780"/>
              <w:gridCol w:w="817"/>
              <w:gridCol w:w="1348"/>
              <w:gridCol w:w="918"/>
              <w:gridCol w:w="918"/>
              <w:gridCol w:w="920"/>
              <w:gridCol w:w="745"/>
              <w:gridCol w:w="866"/>
            </w:tblGrid>
            <w:tr w14:paraId="31B21EC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682" w:type="pct"/>
                  <w:vMerge w:val="restart"/>
                  <w:tcBorders>
                    <w:tl2br w:val="nil"/>
                    <w:tr2bl w:val="nil"/>
                  </w:tcBorders>
                  <w:noWrap w:val="0"/>
                  <w:vAlign w:val="center"/>
                </w:tcPr>
                <w:p w14:paraId="399FC95B">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b/>
                      <w:bCs/>
                      <w:i w:val="0"/>
                      <w:iCs w:val="0"/>
                      <w:color w:val="auto"/>
                      <w:sz w:val="21"/>
                      <w:szCs w:val="21"/>
                      <w:u w:val="none" w:color="auto"/>
                    </w:rPr>
                  </w:pPr>
                  <w:r>
                    <w:rPr>
                      <w:rFonts w:hint="default" w:ascii="Times New Roman" w:hAnsi="Times New Roman" w:eastAsia="宋体" w:cs="Times New Roman"/>
                      <w:b/>
                      <w:bCs/>
                      <w:i w:val="0"/>
                      <w:iCs w:val="0"/>
                      <w:color w:val="auto"/>
                      <w:kern w:val="0"/>
                      <w:sz w:val="21"/>
                      <w:szCs w:val="21"/>
                      <w:u w:val="none" w:color="auto"/>
                      <w:lang w:val="en-US" w:eastAsia="zh-CN" w:bidi="ar"/>
                    </w:rPr>
                    <w:t>采样时间</w:t>
                  </w:r>
                </w:p>
              </w:tc>
              <w:tc>
                <w:tcPr>
                  <w:tcW w:w="460" w:type="pct"/>
                  <w:vMerge w:val="restart"/>
                  <w:tcBorders>
                    <w:tl2br w:val="nil"/>
                    <w:tr2bl w:val="nil"/>
                  </w:tcBorders>
                  <w:noWrap w:val="0"/>
                  <w:vAlign w:val="center"/>
                </w:tcPr>
                <w:p w14:paraId="2A89A4A4">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b/>
                      <w:bCs/>
                      <w:i w:val="0"/>
                      <w:iCs w:val="0"/>
                      <w:color w:val="auto"/>
                      <w:sz w:val="21"/>
                      <w:szCs w:val="21"/>
                      <w:u w:val="none" w:color="auto"/>
                    </w:rPr>
                  </w:pPr>
                  <w:r>
                    <w:rPr>
                      <w:rFonts w:hint="default" w:ascii="Times New Roman" w:hAnsi="Times New Roman" w:eastAsia="宋体" w:cs="Times New Roman"/>
                      <w:b/>
                      <w:bCs/>
                      <w:i w:val="0"/>
                      <w:iCs w:val="0"/>
                      <w:color w:val="auto"/>
                      <w:kern w:val="0"/>
                      <w:sz w:val="21"/>
                      <w:szCs w:val="21"/>
                      <w:u w:val="none" w:color="auto"/>
                      <w:lang w:val="en-US" w:eastAsia="zh-CN" w:bidi="ar"/>
                    </w:rPr>
                    <w:t>采样点位</w:t>
                  </w:r>
                </w:p>
              </w:tc>
              <w:tc>
                <w:tcPr>
                  <w:tcW w:w="1278" w:type="pct"/>
                  <w:gridSpan w:val="2"/>
                  <w:vMerge w:val="restart"/>
                  <w:tcBorders>
                    <w:tl2br w:val="nil"/>
                    <w:tr2bl w:val="nil"/>
                  </w:tcBorders>
                  <w:noWrap w:val="0"/>
                  <w:vAlign w:val="center"/>
                </w:tcPr>
                <w:p w14:paraId="0F370CB1">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b/>
                      <w:bCs/>
                      <w:i w:val="0"/>
                      <w:iCs w:val="0"/>
                      <w:color w:val="auto"/>
                      <w:sz w:val="21"/>
                      <w:szCs w:val="21"/>
                      <w:u w:val="none" w:color="auto"/>
                    </w:rPr>
                  </w:pPr>
                  <w:r>
                    <w:rPr>
                      <w:rFonts w:hint="default" w:ascii="Times New Roman" w:hAnsi="Times New Roman" w:eastAsia="宋体" w:cs="Times New Roman"/>
                      <w:b/>
                      <w:bCs/>
                      <w:i w:val="0"/>
                      <w:iCs w:val="0"/>
                      <w:color w:val="auto"/>
                      <w:kern w:val="0"/>
                      <w:sz w:val="21"/>
                      <w:szCs w:val="21"/>
                      <w:u w:val="none" w:color="auto"/>
                      <w:lang w:val="en-US" w:eastAsia="zh-CN" w:bidi="ar"/>
                    </w:rPr>
                    <w:t>检测项目</w:t>
                  </w:r>
                </w:p>
              </w:tc>
              <w:tc>
                <w:tcPr>
                  <w:tcW w:w="1627" w:type="pct"/>
                  <w:gridSpan w:val="3"/>
                  <w:tcBorders>
                    <w:tl2br w:val="nil"/>
                    <w:tr2bl w:val="nil"/>
                  </w:tcBorders>
                  <w:noWrap w:val="0"/>
                  <w:vAlign w:val="center"/>
                </w:tcPr>
                <w:p w14:paraId="2058BEEB">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b/>
                      <w:bCs/>
                      <w:i w:val="0"/>
                      <w:iCs w:val="0"/>
                      <w:color w:val="auto"/>
                      <w:sz w:val="21"/>
                      <w:szCs w:val="21"/>
                      <w:u w:val="none" w:color="auto"/>
                    </w:rPr>
                  </w:pPr>
                  <w:r>
                    <w:rPr>
                      <w:rFonts w:hint="default" w:ascii="Times New Roman" w:hAnsi="Times New Roman" w:eastAsia="宋体" w:cs="Times New Roman"/>
                      <w:b/>
                      <w:bCs/>
                      <w:i w:val="0"/>
                      <w:iCs w:val="0"/>
                      <w:color w:val="auto"/>
                      <w:kern w:val="0"/>
                      <w:sz w:val="21"/>
                      <w:szCs w:val="21"/>
                      <w:u w:val="none" w:color="auto"/>
                      <w:lang w:val="en-US" w:eastAsia="zh-CN" w:bidi="ar"/>
                    </w:rPr>
                    <w:t>检测结果</w:t>
                  </w:r>
                </w:p>
              </w:tc>
              <w:tc>
                <w:tcPr>
                  <w:tcW w:w="440" w:type="pct"/>
                  <w:vMerge w:val="restart"/>
                  <w:tcBorders>
                    <w:tl2br w:val="nil"/>
                    <w:tr2bl w:val="nil"/>
                  </w:tcBorders>
                  <w:noWrap w:val="0"/>
                  <w:vAlign w:val="center"/>
                </w:tcPr>
                <w:p w14:paraId="7356CE4F">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b/>
                      <w:bCs/>
                      <w:i w:val="0"/>
                      <w:iCs w:val="0"/>
                      <w:color w:val="auto"/>
                      <w:kern w:val="0"/>
                      <w:sz w:val="21"/>
                      <w:szCs w:val="21"/>
                      <w:u w:val="none" w:color="auto"/>
                      <w:lang w:val="en-US" w:eastAsia="zh-CN" w:bidi="ar"/>
                    </w:rPr>
                  </w:pPr>
                  <w:r>
                    <w:rPr>
                      <w:rFonts w:hint="default" w:ascii="Times New Roman" w:hAnsi="Times New Roman" w:eastAsia="宋体" w:cs="Times New Roman"/>
                      <w:b/>
                      <w:bCs/>
                      <w:i w:val="0"/>
                      <w:iCs w:val="0"/>
                      <w:color w:val="auto"/>
                      <w:kern w:val="0"/>
                      <w:sz w:val="21"/>
                      <w:szCs w:val="21"/>
                      <w:u w:val="none" w:color="auto"/>
                      <w:lang w:val="en-US" w:eastAsia="zh-CN" w:bidi="ar"/>
                    </w:rPr>
                    <w:t>参考</w:t>
                  </w:r>
                </w:p>
                <w:p w14:paraId="200DD219">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b/>
                      <w:bCs/>
                      <w:i w:val="0"/>
                      <w:iCs w:val="0"/>
                      <w:color w:val="auto"/>
                      <w:sz w:val="21"/>
                      <w:szCs w:val="21"/>
                      <w:u w:val="none" w:color="auto"/>
                    </w:rPr>
                  </w:pPr>
                  <w:r>
                    <w:rPr>
                      <w:rFonts w:hint="default" w:ascii="Times New Roman" w:hAnsi="Times New Roman" w:eastAsia="宋体" w:cs="Times New Roman"/>
                      <w:b/>
                      <w:bCs/>
                      <w:i w:val="0"/>
                      <w:iCs w:val="0"/>
                      <w:color w:val="auto"/>
                      <w:kern w:val="0"/>
                      <w:sz w:val="21"/>
                      <w:szCs w:val="21"/>
                      <w:u w:val="none" w:color="auto"/>
                      <w:lang w:val="en-US" w:eastAsia="zh-CN" w:bidi="ar"/>
                    </w:rPr>
                    <w:t>限值</w:t>
                  </w:r>
                </w:p>
              </w:tc>
              <w:tc>
                <w:tcPr>
                  <w:tcW w:w="511" w:type="pct"/>
                  <w:vMerge w:val="restart"/>
                  <w:tcBorders>
                    <w:tl2br w:val="nil"/>
                    <w:tr2bl w:val="nil"/>
                  </w:tcBorders>
                  <w:noWrap w:val="0"/>
                  <w:vAlign w:val="center"/>
                </w:tcPr>
                <w:p w14:paraId="63617086">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b/>
                      <w:bCs/>
                      <w:i w:val="0"/>
                      <w:iCs w:val="0"/>
                      <w:color w:val="auto"/>
                      <w:sz w:val="21"/>
                      <w:szCs w:val="21"/>
                      <w:u w:val="none" w:color="auto"/>
                    </w:rPr>
                  </w:pPr>
                  <w:r>
                    <w:rPr>
                      <w:rFonts w:hint="default" w:ascii="Times New Roman" w:hAnsi="Times New Roman" w:eastAsia="宋体" w:cs="Times New Roman"/>
                      <w:b/>
                      <w:bCs/>
                      <w:i w:val="0"/>
                      <w:iCs w:val="0"/>
                      <w:color w:val="auto"/>
                      <w:kern w:val="0"/>
                      <w:sz w:val="21"/>
                      <w:szCs w:val="21"/>
                      <w:u w:val="none" w:color="auto"/>
                      <w:lang w:val="en-US" w:eastAsia="zh-CN" w:bidi="ar"/>
                    </w:rPr>
                    <w:t>单位</w:t>
                  </w:r>
                </w:p>
              </w:tc>
            </w:tr>
            <w:tr w14:paraId="4BCDF73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682" w:type="pct"/>
                  <w:vMerge w:val="continue"/>
                  <w:tcBorders>
                    <w:tl2br w:val="nil"/>
                    <w:tr2bl w:val="nil"/>
                  </w:tcBorders>
                  <w:noWrap w:val="0"/>
                  <w:vAlign w:val="center"/>
                </w:tcPr>
                <w:p w14:paraId="7C055074">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b/>
                      <w:bCs/>
                      <w:i w:val="0"/>
                      <w:iCs w:val="0"/>
                      <w:color w:val="auto"/>
                      <w:sz w:val="21"/>
                      <w:szCs w:val="21"/>
                      <w:u w:val="none" w:color="auto"/>
                    </w:rPr>
                  </w:pPr>
                </w:p>
              </w:tc>
              <w:tc>
                <w:tcPr>
                  <w:tcW w:w="460" w:type="pct"/>
                  <w:vMerge w:val="continue"/>
                  <w:tcBorders>
                    <w:tl2br w:val="nil"/>
                    <w:tr2bl w:val="nil"/>
                  </w:tcBorders>
                  <w:noWrap w:val="0"/>
                  <w:vAlign w:val="center"/>
                </w:tcPr>
                <w:p w14:paraId="0770E1E6">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b/>
                      <w:bCs/>
                      <w:i w:val="0"/>
                      <w:iCs w:val="0"/>
                      <w:color w:val="auto"/>
                      <w:sz w:val="21"/>
                      <w:szCs w:val="21"/>
                      <w:u w:val="none" w:color="auto"/>
                    </w:rPr>
                  </w:pPr>
                </w:p>
              </w:tc>
              <w:tc>
                <w:tcPr>
                  <w:tcW w:w="1278" w:type="pct"/>
                  <w:gridSpan w:val="2"/>
                  <w:vMerge w:val="continue"/>
                  <w:tcBorders>
                    <w:tl2br w:val="nil"/>
                    <w:tr2bl w:val="nil"/>
                  </w:tcBorders>
                  <w:noWrap w:val="0"/>
                  <w:vAlign w:val="center"/>
                </w:tcPr>
                <w:p w14:paraId="02FED35D">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b/>
                      <w:bCs/>
                      <w:i w:val="0"/>
                      <w:iCs w:val="0"/>
                      <w:color w:val="auto"/>
                      <w:sz w:val="21"/>
                      <w:szCs w:val="21"/>
                      <w:u w:val="none" w:color="auto"/>
                    </w:rPr>
                  </w:pPr>
                </w:p>
              </w:tc>
              <w:tc>
                <w:tcPr>
                  <w:tcW w:w="542" w:type="pct"/>
                  <w:tcBorders>
                    <w:tl2br w:val="nil"/>
                    <w:tr2bl w:val="nil"/>
                  </w:tcBorders>
                  <w:noWrap w:val="0"/>
                  <w:vAlign w:val="center"/>
                </w:tcPr>
                <w:p w14:paraId="529A1BDE">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b/>
                      <w:bCs/>
                      <w:i w:val="0"/>
                      <w:iCs w:val="0"/>
                      <w:color w:val="auto"/>
                      <w:sz w:val="21"/>
                      <w:szCs w:val="21"/>
                      <w:u w:val="none" w:color="auto"/>
                    </w:rPr>
                  </w:pPr>
                  <w:r>
                    <w:rPr>
                      <w:rFonts w:hint="default" w:ascii="Times New Roman" w:hAnsi="Times New Roman" w:eastAsia="宋体" w:cs="Times New Roman"/>
                      <w:b/>
                      <w:bCs/>
                      <w:i w:val="0"/>
                      <w:iCs w:val="0"/>
                      <w:color w:val="auto"/>
                      <w:kern w:val="0"/>
                      <w:sz w:val="21"/>
                      <w:szCs w:val="21"/>
                      <w:u w:val="none" w:color="auto"/>
                      <w:lang w:val="en-US" w:eastAsia="zh-CN" w:bidi="ar"/>
                    </w:rPr>
                    <w:t>第一次</w:t>
                  </w:r>
                </w:p>
              </w:tc>
              <w:tc>
                <w:tcPr>
                  <w:tcW w:w="542" w:type="pct"/>
                  <w:tcBorders>
                    <w:tl2br w:val="nil"/>
                    <w:tr2bl w:val="nil"/>
                  </w:tcBorders>
                  <w:noWrap w:val="0"/>
                  <w:vAlign w:val="center"/>
                </w:tcPr>
                <w:p w14:paraId="11192C28">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b/>
                      <w:bCs/>
                      <w:i w:val="0"/>
                      <w:iCs w:val="0"/>
                      <w:color w:val="auto"/>
                      <w:sz w:val="21"/>
                      <w:szCs w:val="21"/>
                      <w:u w:val="none" w:color="auto"/>
                    </w:rPr>
                  </w:pPr>
                  <w:r>
                    <w:rPr>
                      <w:rFonts w:hint="default" w:ascii="Times New Roman" w:hAnsi="Times New Roman" w:eastAsia="宋体" w:cs="Times New Roman"/>
                      <w:b/>
                      <w:bCs/>
                      <w:i w:val="0"/>
                      <w:iCs w:val="0"/>
                      <w:color w:val="auto"/>
                      <w:kern w:val="0"/>
                      <w:sz w:val="21"/>
                      <w:szCs w:val="21"/>
                      <w:u w:val="none" w:color="auto"/>
                      <w:lang w:val="en-US" w:eastAsia="zh-CN" w:bidi="ar"/>
                    </w:rPr>
                    <w:t>第二次</w:t>
                  </w:r>
                </w:p>
              </w:tc>
              <w:tc>
                <w:tcPr>
                  <w:tcW w:w="543" w:type="pct"/>
                  <w:tcBorders>
                    <w:tl2br w:val="nil"/>
                    <w:tr2bl w:val="nil"/>
                  </w:tcBorders>
                  <w:noWrap w:val="0"/>
                  <w:vAlign w:val="center"/>
                </w:tcPr>
                <w:p w14:paraId="02F8C2D5">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b/>
                      <w:bCs/>
                      <w:i w:val="0"/>
                      <w:iCs w:val="0"/>
                      <w:color w:val="auto"/>
                      <w:sz w:val="21"/>
                      <w:szCs w:val="21"/>
                      <w:u w:val="none" w:color="auto"/>
                    </w:rPr>
                  </w:pPr>
                  <w:r>
                    <w:rPr>
                      <w:rFonts w:hint="default" w:ascii="Times New Roman" w:hAnsi="Times New Roman" w:eastAsia="宋体" w:cs="Times New Roman"/>
                      <w:b/>
                      <w:bCs/>
                      <w:i w:val="0"/>
                      <w:iCs w:val="0"/>
                      <w:color w:val="auto"/>
                      <w:kern w:val="0"/>
                      <w:sz w:val="21"/>
                      <w:szCs w:val="21"/>
                      <w:u w:val="none" w:color="auto"/>
                      <w:lang w:val="en-US" w:eastAsia="zh-CN" w:bidi="ar"/>
                    </w:rPr>
                    <w:t>第三次</w:t>
                  </w:r>
                </w:p>
              </w:tc>
              <w:tc>
                <w:tcPr>
                  <w:tcW w:w="440" w:type="pct"/>
                  <w:vMerge w:val="continue"/>
                  <w:tcBorders>
                    <w:tl2br w:val="nil"/>
                    <w:tr2bl w:val="nil"/>
                  </w:tcBorders>
                  <w:noWrap w:val="0"/>
                  <w:vAlign w:val="center"/>
                </w:tcPr>
                <w:p w14:paraId="624713A8">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b/>
                      <w:bCs/>
                      <w:i w:val="0"/>
                      <w:iCs w:val="0"/>
                      <w:color w:val="auto"/>
                      <w:sz w:val="21"/>
                      <w:szCs w:val="21"/>
                      <w:u w:val="none" w:color="auto"/>
                    </w:rPr>
                  </w:pPr>
                </w:p>
              </w:tc>
              <w:tc>
                <w:tcPr>
                  <w:tcW w:w="511" w:type="pct"/>
                  <w:vMerge w:val="continue"/>
                  <w:tcBorders>
                    <w:tl2br w:val="nil"/>
                    <w:tr2bl w:val="nil"/>
                  </w:tcBorders>
                  <w:noWrap w:val="0"/>
                  <w:vAlign w:val="center"/>
                </w:tcPr>
                <w:p w14:paraId="52ACBCC8">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b/>
                      <w:bCs/>
                      <w:i w:val="0"/>
                      <w:iCs w:val="0"/>
                      <w:color w:val="auto"/>
                      <w:sz w:val="21"/>
                      <w:szCs w:val="21"/>
                      <w:u w:val="none" w:color="auto"/>
                    </w:rPr>
                  </w:pPr>
                </w:p>
              </w:tc>
            </w:tr>
            <w:tr w14:paraId="34CB3CD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682" w:type="pct"/>
                  <w:vMerge w:val="restart"/>
                  <w:tcBorders>
                    <w:tl2br w:val="nil"/>
                    <w:tr2bl w:val="nil"/>
                  </w:tcBorders>
                  <w:noWrap/>
                  <w:vAlign w:val="center"/>
                </w:tcPr>
                <w:p w14:paraId="1831F0B5">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4"/>
                      <w:szCs w:val="24"/>
                      <w:u w:val="none" w:color="auto"/>
                    </w:rPr>
                  </w:pPr>
                  <w:r>
                    <w:rPr>
                      <w:rFonts w:hint="default" w:ascii="Times New Roman" w:hAnsi="Times New Roman" w:eastAsia="宋体" w:cs="Times New Roman"/>
                      <w:i w:val="0"/>
                      <w:iCs w:val="0"/>
                      <w:color w:val="auto"/>
                      <w:kern w:val="0"/>
                      <w:sz w:val="24"/>
                      <w:szCs w:val="24"/>
                      <w:u w:val="none" w:color="auto"/>
                      <w:lang w:val="en-US" w:eastAsia="zh-CN" w:bidi="ar"/>
                    </w:rPr>
                    <w:t>5月30日</w:t>
                  </w:r>
                </w:p>
              </w:tc>
              <w:tc>
                <w:tcPr>
                  <w:tcW w:w="460" w:type="pct"/>
                  <w:vMerge w:val="restart"/>
                  <w:tcBorders>
                    <w:tl2br w:val="nil"/>
                    <w:tr2bl w:val="nil"/>
                  </w:tcBorders>
                  <w:noWrap w:val="0"/>
                  <w:vAlign w:val="center"/>
                </w:tcPr>
                <w:p w14:paraId="74164B16">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DA009出口</w:t>
                  </w:r>
                </w:p>
              </w:tc>
              <w:tc>
                <w:tcPr>
                  <w:tcW w:w="1278" w:type="pct"/>
                  <w:gridSpan w:val="2"/>
                  <w:tcBorders>
                    <w:tl2br w:val="nil"/>
                    <w:tr2bl w:val="nil"/>
                  </w:tcBorders>
                  <w:noWrap w:val="0"/>
                  <w:vAlign w:val="center"/>
                </w:tcPr>
                <w:p w14:paraId="008A94AA">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标干流量</w:t>
                  </w:r>
                </w:p>
              </w:tc>
              <w:tc>
                <w:tcPr>
                  <w:tcW w:w="542" w:type="pct"/>
                  <w:tcBorders>
                    <w:tl2br w:val="nil"/>
                    <w:tr2bl w:val="nil"/>
                  </w:tcBorders>
                  <w:noWrap w:val="0"/>
                  <w:vAlign w:val="center"/>
                </w:tcPr>
                <w:p w14:paraId="1611DE19">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32800</w:t>
                  </w:r>
                </w:p>
              </w:tc>
              <w:tc>
                <w:tcPr>
                  <w:tcW w:w="542" w:type="pct"/>
                  <w:tcBorders>
                    <w:tl2br w:val="nil"/>
                    <w:tr2bl w:val="nil"/>
                  </w:tcBorders>
                  <w:noWrap w:val="0"/>
                  <w:vAlign w:val="center"/>
                </w:tcPr>
                <w:p w14:paraId="34EB5FFD">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34724</w:t>
                  </w:r>
                </w:p>
              </w:tc>
              <w:tc>
                <w:tcPr>
                  <w:tcW w:w="543" w:type="pct"/>
                  <w:tcBorders>
                    <w:tl2br w:val="nil"/>
                    <w:tr2bl w:val="nil"/>
                  </w:tcBorders>
                  <w:noWrap w:val="0"/>
                  <w:vAlign w:val="center"/>
                </w:tcPr>
                <w:p w14:paraId="073F15F3">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32070</w:t>
                  </w:r>
                </w:p>
              </w:tc>
              <w:tc>
                <w:tcPr>
                  <w:tcW w:w="440" w:type="pct"/>
                  <w:tcBorders>
                    <w:tl2br w:val="nil"/>
                    <w:tr2bl w:val="nil"/>
                  </w:tcBorders>
                  <w:noWrap w:val="0"/>
                  <w:vAlign w:val="center"/>
                </w:tcPr>
                <w:p w14:paraId="1935D818">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511" w:type="pct"/>
                  <w:tcBorders>
                    <w:tl2br w:val="nil"/>
                    <w:tr2bl w:val="nil"/>
                  </w:tcBorders>
                  <w:noWrap w:val="0"/>
                  <w:vAlign w:val="center"/>
                </w:tcPr>
                <w:p w14:paraId="656F1C91">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Nm</w:t>
                  </w:r>
                  <w:r>
                    <w:rPr>
                      <w:rFonts w:hint="default" w:ascii="Times New Roman" w:hAnsi="Times New Roman" w:eastAsia="宋体" w:cs="Times New Roman"/>
                      <w:i w:val="0"/>
                      <w:iCs w:val="0"/>
                      <w:color w:val="auto"/>
                      <w:kern w:val="0"/>
                      <w:sz w:val="21"/>
                      <w:szCs w:val="21"/>
                      <w:u w:val="none" w:color="auto"/>
                      <w:vertAlign w:val="superscript"/>
                      <w:lang w:val="en-US" w:eastAsia="zh-CN" w:bidi="ar"/>
                    </w:rPr>
                    <w:t>3</w:t>
                  </w:r>
                  <w:r>
                    <w:rPr>
                      <w:rFonts w:hint="default" w:ascii="Times New Roman" w:hAnsi="Times New Roman" w:eastAsia="宋体" w:cs="Times New Roman"/>
                      <w:i w:val="0"/>
                      <w:iCs w:val="0"/>
                      <w:color w:val="auto"/>
                      <w:kern w:val="0"/>
                      <w:sz w:val="21"/>
                      <w:szCs w:val="21"/>
                      <w:u w:val="none" w:color="auto"/>
                      <w:lang w:val="en-US" w:eastAsia="zh-CN" w:bidi="ar"/>
                    </w:rPr>
                    <w:t>/h</w:t>
                  </w:r>
                </w:p>
              </w:tc>
            </w:tr>
            <w:tr w14:paraId="6C5AC85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682" w:type="pct"/>
                  <w:vMerge w:val="continue"/>
                  <w:tcBorders>
                    <w:tl2br w:val="nil"/>
                    <w:tr2bl w:val="nil"/>
                  </w:tcBorders>
                  <w:noWrap/>
                  <w:vAlign w:val="center"/>
                </w:tcPr>
                <w:p w14:paraId="5DE43383">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4"/>
                      <w:szCs w:val="24"/>
                      <w:u w:val="none" w:color="auto"/>
                    </w:rPr>
                  </w:pPr>
                </w:p>
              </w:tc>
              <w:tc>
                <w:tcPr>
                  <w:tcW w:w="460" w:type="pct"/>
                  <w:vMerge w:val="continue"/>
                  <w:tcBorders>
                    <w:tl2br w:val="nil"/>
                    <w:tr2bl w:val="nil"/>
                  </w:tcBorders>
                  <w:noWrap w:val="0"/>
                  <w:vAlign w:val="center"/>
                </w:tcPr>
                <w:p w14:paraId="6AC42D4D">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1278" w:type="pct"/>
                  <w:gridSpan w:val="2"/>
                  <w:tcBorders>
                    <w:tl2br w:val="nil"/>
                    <w:tr2bl w:val="nil"/>
                  </w:tcBorders>
                  <w:noWrap w:val="0"/>
                  <w:vAlign w:val="center"/>
                </w:tcPr>
                <w:p w14:paraId="1301B8C1">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平均烟温</w:t>
                  </w:r>
                </w:p>
              </w:tc>
              <w:tc>
                <w:tcPr>
                  <w:tcW w:w="542" w:type="pct"/>
                  <w:tcBorders>
                    <w:tl2br w:val="nil"/>
                    <w:tr2bl w:val="nil"/>
                  </w:tcBorders>
                  <w:noWrap w:val="0"/>
                  <w:vAlign w:val="center"/>
                </w:tcPr>
                <w:p w14:paraId="2EFB69B3">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49.5</w:t>
                  </w:r>
                </w:p>
              </w:tc>
              <w:tc>
                <w:tcPr>
                  <w:tcW w:w="542" w:type="pct"/>
                  <w:tcBorders>
                    <w:tl2br w:val="nil"/>
                    <w:tr2bl w:val="nil"/>
                  </w:tcBorders>
                  <w:noWrap w:val="0"/>
                  <w:vAlign w:val="center"/>
                </w:tcPr>
                <w:p w14:paraId="589DE0A4">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49.8</w:t>
                  </w:r>
                </w:p>
              </w:tc>
              <w:tc>
                <w:tcPr>
                  <w:tcW w:w="543" w:type="pct"/>
                  <w:tcBorders>
                    <w:tl2br w:val="nil"/>
                    <w:tr2bl w:val="nil"/>
                  </w:tcBorders>
                  <w:noWrap w:val="0"/>
                  <w:vAlign w:val="center"/>
                </w:tcPr>
                <w:p w14:paraId="4700A197">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49.2</w:t>
                  </w:r>
                </w:p>
              </w:tc>
              <w:tc>
                <w:tcPr>
                  <w:tcW w:w="440" w:type="pct"/>
                  <w:tcBorders>
                    <w:tl2br w:val="nil"/>
                    <w:tr2bl w:val="nil"/>
                  </w:tcBorders>
                  <w:noWrap w:val="0"/>
                  <w:vAlign w:val="center"/>
                </w:tcPr>
                <w:p w14:paraId="4F9F1D62">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511" w:type="pct"/>
                  <w:tcBorders>
                    <w:tl2br w:val="nil"/>
                    <w:tr2bl w:val="nil"/>
                  </w:tcBorders>
                  <w:noWrap w:val="0"/>
                  <w:vAlign w:val="center"/>
                </w:tcPr>
                <w:p w14:paraId="3A64D51E">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r>
            <w:tr w14:paraId="020A064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682" w:type="pct"/>
                  <w:vMerge w:val="continue"/>
                  <w:tcBorders>
                    <w:tl2br w:val="nil"/>
                    <w:tr2bl w:val="nil"/>
                  </w:tcBorders>
                  <w:noWrap/>
                  <w:vAlign w:val="center"/>
                </w:tcPr>
                <w:p w14:paraId="4EAAF4CE">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4"/>
                      <w:szCs w:val="24"/>
                      <w:u w:val="none" w:color="auto"/>
                    </w:rPr>
                  </w:pPr>
                </w:p>
              </w:tc>
              <w:tc>
                <w:tcPr>
                  <w:tcW w:w="460" w:type="pct"/>
                  <w:vMerge w:val="continue"/>
                  <w:tcBorders>
                    <w:tl2br w:val="nil"/>
                    <w:tr2bl w:val="nil"/>
                  </w:tcBorders>
                  <w:noWrap w:val="0"/>
                  <w:vAlign w:val="center"/>
                </w:tcPr>
                <w:p w14:paraId="63C2ACB2">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1278" w:type="pct"/>
                  <w:gridSpan w:val="2"/>
                  <w:tcBorders>
                    <w:tl2br w:val="nil"/>
                    <w:tr2bl w:val="nil"/>
                  </w:tcBorders>
                  <w:noWrap w:val="0"/>
                  <w:vAlign w:val="center"/>
                </w:tcPr>
                <w:p w14:paraId="1F45ADA4">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平均流速</w:t>
                  </w:r>
                </w:p>
              </w:tc>
              <w:tc>
                <w:tcPr>
                  <w:tcW w:w="542" w:type="pct"/>
                  <w:tcBorders>
                    <w:tl2br w:val="nil"/>
                    <w:tr2bl w:val="nil"/>
                  </w:tcBorders>
                  <w:noWrap w:val="0"/>
                  <w:vAlign w:val="center"/>
                </w:tcPr>
                <w:p w14:paraId="6EC87BBA">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7.9</w:t>
                  </w:r>
                </w:p>
              </w:tc>
              <w:tc>
                <w:tcPr>
                  <w:tcW w:w="542" w:type="pct"/>
                  <w:tcBorders>
                    <w:tl2br w:val="nil"/>
                    <w:tr2bl w:val="nil"/>
                  </w:tcBorders>
                  <w:noWrap w:val="0"/>
                  <w:vAlign w:val="center"/>
                </w:tcPr>
                <w:p w14:paraId="53BF7FA8">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8.4</w:t>
                  </w:r>
                </w:p>
              </w:tc>
              <w:tc>
                <w:tcPr>
                  <w:tcW w:w="543" w:type="pct"/>
                  <w:tcBorders>
                    <w:tl2br w:val="nil"/>
                    <w:tr2bl w:val="nil"/>
                  </w:tcBorders>
                  <w:noWrap w:val="0"/>
                  <w:vAlign w:val="center"/>
                </w:tcPr>
                <w:p w14:paraId="5B7173E4">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7.7</w:t>
                  </w:r>
                </w:p>
              </w:tc>
              <w:tc>
                <w:tcPr>
                  <w:tcW w:w="440" w:type="pct"/>
                  <w:tcBorders>
                    <w:tl2br w:val="nil"/>
                    <w:tr2bl w:val="nil"/>
                  </w:tcBorders>
                  <w:noWrap w:val="0"/>
                  <w:vAlign w:val="center"/>
                </w:tcPr>
                <w:p w14:paraId="0F974D5B">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511" w:type="pct"/>
                  <w:tcBorders>
                    <w:tl2br w:val="nil"/>
                    <w:tr2bl w:val="nil"/>
                  </w:tcBorders>
                  <w:noWrap w:val="0"/>
                  <w:vAlign w:val="center"/>
                </w:tcPr>
                <w:p w14:paraId="700CD6A7">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m/s</w:t>
                  </w:r>
                </w:p>
              </w:tc>
            </w:tr>
            <w:tr w14:paraId="46DE8E3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682" w:type="pct"/>
                  <w:vMerge w:val="continue"/>
                  <w:tcBorders>
                    <w:tl2br w:val="nil"/>
                    <w:tr2bl w:val="nil"/>
                  </w:tcBorders>
                  <w:noWrap/>
                  <w:vAlign w:val="center"/>
                </w:tcPr>
                <w:p w14:paraId="00197F2D">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4"/>
                      <w:szCs w:val="24"/>
                      <w:u w:val="none" w:color="auto"/>
                    </w:rPr>
                  </w:pPr>
                </w:p>
              </w:tc>
              <w:tc>
                <w:tcPr>
                  <w:tcW w:w="460" w:type="pct"/>
                  <w:vMerge w:val="continue"/>
                  <w:tcBorders>
                    <w:tl2br w:val="nil"/>
                    <w:tr2bl w:val="nil"/>
                  </w:tcBorders>
                  <w:noWrap w:val="0"/>
                  <w:vAlign w:val="center"/>
                </w:tcPr>
                <w:p w14:paraId="39DD264A">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482" w:type="pct"/>
                  <w:vMerge w:val="restart"/>
                  <w:tcBorders>
                    <w:tl2br w:val="nil"/>
                    <w:tr2bl w:val="nil"/>
                  </w:tcBorders>
                  <w:noWrap w:val="0"/>
                  <w:vAlign w:val="center"/>
                </w:tcPr>
                <w:p w14:paraId="3C99ED46">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颗粒物</w:t>
                  </w:r>
                </w:p>
              </w:tc>
              <w:tc>
                <w:tcPr>
                  <w:tcW w:w="795" w:type="pct"/>
                  <w:tcBorders>
                    <w:tl2br w:val="nil"/>
                    <w:tr2bl w:val="nil"/>
                  </w:tcBorders>
                  <w:noWrap w:val="0"/>
                  <w:vAlign w:val="center"/>
                </w:tcPr>
                <w:p w14:paraId="1999E151">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实测浓度</w:t>
                  </w:r>
                </w:p>
              </w:tc>
              <w:tc>
                <w:tcPr>
                  <w:tcW w:w="542" w:type="pct"/>
                  <w:tcBorders>
                    <w:tl2br w:val="nil"/>
                    <w:tr2bl w:val="nil"/>
                  </w:tcBorders>
                  <w:noWrap w:val="0"/>
                  <w:vAlign w:val="center"/>
                </w:tcPr>
                <w:p w14:paraId="632CC4F9">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3.2</w:t>
                  </w:r>
                </w:p>
              </w:tc>
              <w:tc>
                <w:tcPr>
                  <w:tcW w:w="542" w:type="pct"/>
                  <w:tcBorders>
                    <w:tl2br w:val="nil"/>
                    <w:tr2bl w:val="nil"/>
                  </w:tcBorders>
                  <w:noWrap w:val="0"/>
                  <w:vAlign w:val="center"/>
                </w:tcPr>
                <w:p w14:paraId="79511A79">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3.4</w:t>
                  </w:r>
                </w:p>
              </w:tc>
              <w:tc>
                <w:tcPr>
                  <w:tcW w:w="543" w:type="pct"/>
                  <w:tcBorders>
                    <w:tl2br w:val="nil"/>
                    <w:tr2bl w:val="nil"/>
                  </w:tcBorders>
                  <w:noWrap w:val="0"/>
                  <w:vAlign w:val="center"/>
                </w:tcPr>
                <w:p w14:paraId="757A2DFB">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2.9</w:t>
                  </w:r>
                </w:p>
              </w:tc>
              <w:tc>
                <w:tcPr>
                  <w:tcW w:w="440" w:type="pct"/>
                  <w:tcBorders>
                    <w:tl2br w:val="nil"/>
                    <w:tr2bl w:val="nil"/>
                  </w:tcBorders>
                  <w:noWrap w:val="0"/>
                  <w:vAlign w:val="center"/>
                </w:tcPr>
                <w:p w14:paraId="66F4F521">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120</w:t>
                  </w:r>
                </w:p>
              </w:tc>
              <w:tc>
                <w:tcPr>
                  <w:tcW w:w="511" w:type="pct"/>
                  <w:tcBorders>
                    <w:tl2br w:val="nil"/>
                    <w:tr2bl w:val="nil"/>
                  </w:tcBorders>
                  <w:noWrap w:val="0"/>
                  <w:vAlign w:val="center"/>
                </w:tcPr>
                <w:p w14:paraId="50EAA41F">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mg/m</w:t>
                  </w:r>
                  <w:r>
                    <w:rPr>
                      <w:rFonts w:hint="default" w:ascii="Times New Roman" w:hAnsi="Times New Roman" w:eastAsia="宋体" w:cs="Times New Roman"/>
                      <w:i w:val="0"/>
                      <w:iCs w:val="0"/>
                      <w:color w:val="auto"/>
                      <w:kern w:val="0"/>
                      <w:sz w:val="21"/>
                      <w:szCs w:val="21"/>
                      <w:u w:val="none" w:color="auto"/>
                      <w:vertAlign w:val="superscript"/>
                      <w:lang w:val="en-US" w:eastAsia="zh-CN" w:bidi="ar"/>
                    </w:rPr>
                    <w:t>3</w:t>
                  </w:r>
                </w:p>
              </w:tc>
            </w:tr>
            <w:tr w14:paraId="44429AD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682" w:type="pct"/>
                  <w:vMerge w:val="continue"/>
                  <w:tcBorders>
                    <w:tl2br w:val="nil"/>
                    <w:tr2bl w:val="nil"/>
                  </w:tcBorders>
                  <w:noWrap/>
                  <w:vAlign w:val="center"/>
                </w:tcPr>
                <w:p w14:paraId="62243613">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4"/>
                      <w:szCs w:val="24"/>
                      <w:u w:val="none" w:color="auto"/>
                    </w:rPr>
                  </w:pPr>
                </w:p>
              </w:tc>
              <w:tc>
                <w:tcPr>
                  <w:tcW w:w="460" w:type="pct"/>
                  <w:vMerge w:val="continue"/>
                  <w:tcBorders>
                    <w:tl2br w:val="nil"/>
                    <w:tr2bl w:val="nil"/>
                  </w:tcBorders>
                  <w:noWrap w:val="0"/>
                  <w:vAlign w:val="center"/>
                </w:tcPr>
                <w:p w14:paraId="6D2EE434">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482" w:type="pct"/>
                  <w:vMerge w:val="continue"/>
                  <w:tcBorders>
                    <w:tl2br w:val="nil"/>
                    <w:tr2bl w:val="nil"/>
                  </w:tcBorders>
                  <w:noWrap w:val="0"/>
                  <w:vAlign w:val="center"/>
                </w:tcPr>
                <w:p w14:paraId="473BDE00">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795" w:type="pct"/>
                  <w:tcBorders>
                    <w:tl2br w:val="nil"/>
                    <w:tr2bl w:val="nil"/>
                  </w:tcBorders>
                  <w:noWrap w:val="0"/>
                  <w:vAlign w:val="center"/>
                </w:tcPr>
                <w:p w14:paraId="7FEC8B4A">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排放速率</w:t>
                  </w:r>
                </w:p>
              </w:tc>
              <w:tc>
                <w:tcPr>
                  <w:tcW w:w="542" w:type="pct"/>
                  <w:tcBorders>
                    <w:tl2br w:val="nil"/>
                    <w:tr2bl w:val="nil"/>
                  </w:tcBorders>
                  <w:noWrap w:val="0"/>
                  <w:vAlign w:val="center"/>
                </w:tcPr>
                <w:p w14:paraId="39B0F807">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0.1</w:t>
                  </w:r>
                </w:p>
              </w:tc>
              <w:tc>
                <w:tcPr>
                  <w:tcW w:w="542" w:type="pct"/>
                  <w:tcBorders>
                    <w:tl2br w:val="nil"/>
                    <w:tr2bl w:val="nil"/>
                  </w:tcBorders>
                  <w:noWrap w:val="0"/>
                  <w:vAlign w:val="center"/>
                </w:tcPr>
                <w:p w14:paraId="1D481FB1">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0.12</w:t>
                  </w:r>
                </w:p>
              </w:tc>
              <w:tc>
                <w:tcPr>
                  <w:tcW w:w="543" w:type="pct"/>
                  <w:tcBorders>
                    <w:tl2br w:val="nil"/>
                    <w:tr2bl w:val="nil"/>
                  </w:tcBorders>
                  <w:noWrap w:val="0"/>
                  <w:vAlign w:val="center"/>
                </w:tcPr>
                <w:p w14:paraId="7F1179B1">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0.09</w:t>
                  </w:r>
                </w:p>
              </w:tc>
              <w:tc>
                <w:tcPr>
                  <w:tcW w:w="440" w:type="pct"/>
                  <w:tcBorders>
                    <w:tl2br w:val="nil"/>
                    <w:tr2bl w:val="nil"/>
                  </w:tcBorders>
                  <w:noWrap w:val="0"/>
                  <w:vAlign w:val="center"/>
                </w:tcPr>
                <w:p w14:paraId="09E44767">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1.75</w:t>
                  </w:r>
                </w:p>
              </w:tc>
              <w:tc>
                <w:tcPr>
                  <w:tcW w:w="511" w:type="pct"/>
                  <w:tcBorders>
                    <w:tl2br w:val="nil"/>
                    <w:tr2bl w:val="nil"/>
                  </w:tcBorders>
                  <w:noWrap w:val="0"/>
                  <w:vAlign w:val="center"/>
                </w:tcPr>
                <w:p w14:paraId="5A4250BC">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kg/h</w:t>
                  </w:r>
                </w:p>
              </w:tc>
            </w:tr>
            <w:tr w14:paraId="5CD96E4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682" w:type="pct"/>
                  <w:vMerge w:val="restart"/>
                  <w:tcBorders>
                    <w:tl2br w:val="nil"/>
                    <w:tr2bl w:val="nil"/>
                  </w:tcBorders>
                  <w:noWrap w:val="0"/>
                  <w:vAlign w:val="center"/>
                </w:tcPr>
                <w:p w14:paraId="7C50DAD6">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5月31日</w:t>
                  </w:r>
                </w:p>
              </w:tc>
              <w:tc>
                <w:tcPr>
                  <w:tcW w:w="460" w:type="pct"/>
                  <w:vMerge w:val="restart"/>
                  <w:tcBorders>
                    <w:tl2br w:val="nil"/>
                    <w:tr2bl w:val="nil"/>
                  </w:tcBorders>
                  <w:noWrap w:val="0"/>
                  <w:vAlign w:val="center"/>
                </w:tcPr>
                <w:p w14:paraId="3F83A3EE">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DA009出口</w:t>
                  </w:r>
                </w:p>
              </w:tc>
              <w:tc>
                <w:tcPr>
                  <w:tcW w:w="1278" w:type="pct"/>
                  <w:gridSpan w:val="2"/>
                  <w:tcBorders>
                    <w:tl2br w:val="nil"/>
                    <w:tr2bl w:val="nil"/>
                  </w:tcBorders>
                  <w:noWrap w:val="0"/>
                  <w:vAlign w:val="center"/>
                </w:tcPr>
                <w:p w14:paraId="73D6A68B">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标干流量</w:t>
                  </w:r>
                </w:p>
              </w:tc>
              <w:tc>
                <w:tcPr>
                  <w:tcW w:w="542" w:type="pct"/>
                  <w:tcBorders>
                    <w:tl2br w:val="nil"/>
                    <w:tr2bl w:val="nil"/>
                  </w:tcBorders>
                  <w:noWrap w:val="0"/>
                  <w:vAlign w:val="center"/>
                </w:tcPr>
                <w:p w14:paraId="20198FDE">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31981</w:t>
                  </w:r>
                </w:p>
              </w:tc>
              <w:tc>
                <w:tcPr>
                  <w:tcW w:w="542" w:type="pct"/>
                  <w:tcBorders>
                    <w:tl2br w:val="nil"/>
                    <w:tr2bl w:val="nil"/>
                  </w:tcBorders>
                  <w:noWrap w:val="0"/>
                  <w:vAlign w:val="center"/>
                </w:tcPr>
                <w:p w14:paraId="4089F783">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31898</w:t>
                  </w:r>
                </w:p>
              </w:tc>
              <w:tc>
                <w:tcPr>
                  <w:tcW w:w="543" w:type="pct"/>
                  <w:tcBorders>
                    <w:tl2br w:val="nil"/>
                    <w:tr2bl w:val="nil"/>
                  </w:tcBorders>
                  <w:noWrap w:val="0"/>
                  <w:vAlign w:val="center"/>
                </w:tcPr>
                <w:p w14:paraId="07777D1B">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33504</w:t>
                  </w:r>
                </w:p>
              </w:tc>
              <w:tc>
                <w:tcPr>
                  <w:tcW w:w="440" w:type="pct"/>
                  <w:tcBorders>
                    <w:tl2br w:val="nil"/>
                    <w:tr2bl w:val="nil"/>
                  </w:tcBorders>
                  <w:noWrap w:val="0"/>
                  <w:vAlign w:val="center"/>
                </w:tcPr>
                <w:p w14:paraId="7E474B8F">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511" w:type="pct"/>
                  <w:tcBorders>
                    <w:tl2br w:val="nil"/>
                    <w:tr2bl w:val="nil"/>
                  </w:tcBorders>
                  <w:noWrap w:val="0"/>
                  <w:vAlign w:val="center"/>
                </w:tcPr>
                <w:p w14:paraId="3F527D49">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Nm</w:t>
                  </w:r>
                  <w:r>
                    <w:rPr>
                      <w:rFonts w:hint="default" w:ascii="Times New Roman" w:hAnsi="Times New Roman" w:eastAsia="宋体" w:cs="Times New Roman"/>
                      <w:i w:val="0"/>
                      <w:iCs w:val="0"/>
                      <w:color w:val="auto"/>
                      <w:kern w:val="0"/>
                      <w:sz w:val="21"/>
                      <w:szCs w:val="21"/>
                      <w:u w:val="none" w:color="auto"/>
                      <w:vertAlign w:val="superscript"/>
                      <w:lang w:val="en-US" w:eastAsia="zh-CN" w:bidi="ar"/>
                    </w:rPr>
                    <w:t>3</w:t>
                  </w:r>
                  <w:r>
                    <w:rPr>
                      <w:rFonts w:hint="default" w:ascii="Times New Roman" w:hAnsi="Times New Roman" w:eastAsia="宋体" w:cs="Times New Roman"/>
                      <w:i w:val="0"/>
                      <w:iCs w:val="0"/>
                      <w:color w:val="auto"/>
                      <w:kern w:val="0"/>
                      <w:sz w:val="21"/>
                      <w:szCs w:val="21"/>
                      <w:u w:val="none" w:color="auto"/>
                      <w:lang w:val="en-US" w:eastAsia="zh-CN" w:bidi="ar"/>
                    </w:rPr>
                    <w:t>/h</w:t>
                  </w:r>
                </w:p>
              </w:tc>
            </w:tr>
            <w:tr w14:paraId="33F785A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682" w:type="pct"/>
                  <w:vMerge w:val="continue"/>
                  <w:tcBorders>
                    <w:tl2br w:val="nil"/>
                    <w:tr2bl w:val="nil"/>
                  </w:tcBorders>
                  <w:noWrap w:val="0"/>
                  <w:vAlign w:val="center"/>
                </w:tcPr>
                <w:p w14:paraId="74AECADF">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460" w:type="pct"/>
                  <w:vMerge w:val="continue"/>
                  <w:tcBorders>
                    <w:tl2br w:val="nil"/>
                    <w:tr2bl w:val="nil"/>
                  </w:tcBorders>
                  <w:noWrap w:val="0"/>
                  <w:vAlign w:val="center"/>
                </w:tcPr>
                <w:p w14:paraId="1AEA8273">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1278" w:type="pct"/>
                  <w:gridSpan w:val="2"/>
                  <w:tcBorders>
                    <w:tl2br w:val="nil"/>
                    <w:tr2bl w:val="nil"/>
                  </w:tcBorders>
                  <w:noWrap w:val="0"/>
                  <w:vAlign w:val="center"/>
                </w:tcPr>
                <w:p w14:paraId="5EAE830C">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平均烟温</w:t>
                  </w:r>
                </w:p>
              </w:tc>
              <w:tc>
                <w:tcPr>
                  <w:tcW w:w="542" w:type="pct"/>
                  <w:tcBorders>
                    <w:tl2br w:val="nil"/>
                    <w:tr2bl w:val="nil"/>
                  </w:tcBorders>
                  <w:noWrap w:val="0"/>
                  <w:vAlign w:val="center"/>
                </w:tcPr>
                <w:p w14:paraId="6886212B">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49.9</w:t>
                  </w:r>
                </w:p>
              </w:tc>
              <w:tc>
                <w:tcPr>
                  <w:tcW w:w="542" w:type="pct"/>
                  <w:tcBorders>
                    <w:tl2br w:val="nil"/>
                    <w:tr2bl w:val="nil"/>
                  </w:tcBorders>
                  <w:noWrap w:val="0"/>
                  <w:vAlign w:val="center"/>
                </w:tcPr>
                <w:p w14:paraId="57B629A4">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49.7</w:t>
                  </w:r>
                </w:p>
              </w:tc>
              <w:tc>
                <w:tcPr>
                  <w:tcW w:w="543" w:type="pct"/>
                  <w:tcBorders>
                    <w:tl2br w:val="nil"/>
                    <w:tr2bl w:val="nil"/>
                  </w:tcBorders>
                  <w:noWrap w:val="0"/>
                  <w:vAlign w:val="center"/>
                </w:tcPr>
                <w:p w14:paraId="0447C80D">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49.5</w:t>
                  </w:r>
                </w:p>
              </w:tc>
              <w:tc>
                <w:tcPr>
                  <w:tcW w:w="440" w:type="pct"/>
                  <w:tcBorders>
                    <w:tl2br w:val="nil"/>
                    <w:tr2bl w:val="nil"/>
                  </w:tcBorders>
                  <w:noWrap w:val="0"/>
                  <w:vAlign w:val="center"/>
                </w:tcPr>
                <w:p w14:paraId="6871DDDB">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511" w:type="pct"/>
                  <w:tcBorders>
                    <w:tl2br w:val="nil"/>
                    <w:tr2bl w:val="nil"/>
                  </w:tcBorders>
                  <w:noWrap w:val="0"/>
                  <w:vAlign w:val="center"/>
                </w:tcPr>
                <w:p w14:paraId="3F4F93AB">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r>
            <w:tr w14:paraId="7BF726A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682" w:type="pct"/>
                  <w:vMerge w:val="continue"/>
                  <w:tcBorders>
                    <w:tl2br w:val="nil"/>
                    <w:tr2bl w:val="nil"/>
                  </w:tcBorders>
                  <w:noWrap w:val="0"/>
                  <w:vAlign w:val="center"/>
                </w:tcPr>
                <w:p w14:paraId="659DBA2B">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460" w:type="pct"/>
                  <w:vMerge w:val="continue"/>
                  <w:tcBorders>
                    <w:tl2br w:val="nil"/>
                    <w:tr2bl w:val="nil"/>
                  </w:tcBorders>
                  <w:noWrap w:val="0"/>
                  <w:vAlign w:val="center"/>
                </w:tcPr>
                <w:p w14:paraId="69D1BF46">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1278" w:type="pct"/>
                  <w:gridSpan w:val="2"/>
                  <w:tcBorders>
                    <w:tl2br w:val="nil"/>
                    <w:tr2bl w:val="nil"/>
                  </w:tcBorders>
                  <w:noWrap w:val="0"/>
                  <w:vAlign w:val="center"/>
                </w:tcPr>
                <w:p w14:paraId="45881220">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平均流速</w:t>
                  </w:r>
                </w:p>
              </w:tc>
              <w:tc>
                <w:tcPr>
                  <w:tcW w:w="542" w:type="pct"/>
                  <w:tcBorders>
                    <w:tl2br w:val="nil"/>
                    <w:tr2bl w:val="nil"/>
                  </w:tcBorders>
                  <w:noWrap w:val="0"/>
                  <w:vAlign w:val="center"/>
                </w:tcPr>
                <w:p w14:paraId="057F1BA4">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7.7</w:t>
                  </w:r>
                </w:p>
              </w:tc>
              <w:tc>
                <w:tcPr>
                  <w:tcW w:w="542" w:type="pct"/>
                  <w:tcBorders>
                    <w:tl2br w:val="nil"/>
                    <w:tr2bl w:val="nil"/>
                  </w:tcBorders>
                  <w:noWrap w:val="0"/>
                  <w:vAlign w:val="center"/>
                </w:tcPr>
                <w:p w14:paraId="72FECF92">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7.7</w:t>
                  </w:r>
                </w:p>
              </w:tc>
              <w:tc>
                <w:tcPr>
                  <w:tcW w:w="543" w:type="pct"/>
                  <w:tcBorders>
                    <w:tl2br w:val="nil"/>
                    <w:tr2bl w:val="nil"/>
                  </w:tcBorders>
                  <w:noWrap w:val="0"/>
                  <w:vAlign w:val="center"/>
                </w:tcPr>
                <w:p w14:paraId="1AA1B427">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8.1</w:t>
                  </w:r>
                </w:p>
              </w:tc>
              <w:tc>
                <w:tcPr>
                  <w:tcW w:w="440" w:type="pct"/>
                  <w:tcBorders>
                    <w:tl2br w:val="nil"/>
                    <w:tr2bl w:val="nil"/>
                  </w:tcBorders>
                  <w:noWrap w:val="0"/>
                  <w:vAlign w:val="center"/>
                </w:tcPr>
                <w:p w14:paraId="25940BE0">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511" w:type="pct"/>
                  <w:tcBorders>
                    <w:tl2br w:val="nil"/>
                    <w:tr2bl w:val="nil"/>
                  </w:tcBorders>
                  <w:noWrap w:val="0"/>
                  <w:vAlign w:val="center"/>
                </w:tcPr>
                <w:p w14:paraId="5C6CB266">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m/s</w:t>
                  </w:r>
                </w:p>
              </w:tc>
            </w:tr>
            <w:tr w14:paraId="460B35A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682" w:type="pct"/>
                  <w:vMerge w:val="continue"/>
                  <w:tcBorders>
                    <w:tl2br w:val="nil"/>
                    <w:tr2bl w:val="nil"/>
                  </w:tcBorders>
                  <w:noWrap w:val="0"/>
                  <w:vAlign w:val="center"/>
                </w:tcPr>
                <w:p w14:paraId="1C3A65FC">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460" w:type="pct"/>
                  <w:vMerge w:val="continue"/>
                  <w:tcBorders>
                    <w:tl2br w:val="nil"/>
                    <w:tr2bl w:val="nil"/>
                  </w:tcBorders>
                  <w:noWrap w:val="0"/>
                  <w:vAlign w:val="center"/>
                </w:tcPr>
                <w:p w14:paraId="1F74C85F">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482" w:type="pct"/>
                  <w:vMerge w:val="restart"/>
                  <w:tcBorders>
                    <w:tl2br w:val="nil"/>
                    <w:tr2bl w:val="nil"/>
                  </w:tcBorders>
                  <w:noWrap w:val="0"/>
                  <w:vAlign w:val="center"/>
                </w:tcPr>
                <w:p w14:paraId="2766CC3F">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颗粒物</w:t>
                  </w:r>
                </w:p>
              </w:tc>
              <w:tc>
                <w:tcPr>
                  <w:tcW w:w="795" w:type="pct"/>
                  <w:tcBorders>
                    <w:tl2br w:val="nil"/>
                    <w:tr2bl w:val="nil"/>
                  </w:tcBorders>
                  <w:noWrap w:val="0"/>
                  <w:vAlign w:val="center"/>
                </w:tcPr>
                <w:p w14:paraId="0443C2DF">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实测浓度</w:t>
                  </w:r>
                </w:p>
              </w:tc>
              <w:tc>
                <w:tcPr>
                  <w:tcW w:w="542" w:type="pct"/>
                  <w:tcBorders>
                    <w:tl2br w:val="nil"/>
                    <w:tr2bl w:val="nil"/>
                  </w:tcBorders>
                  <w:noWrap w:val="0"/>
                  <w:vAlign w:val="center"/>
                </w:tcPr>
                <w:p w14:paraId="736C2319">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w:t>
                  </w:r>
                </w:p>
              </w:tc>
              <w:tc>
                <w:tcPr>
                  <w:tcW w:w="542" w:type="pct"/>
                  <w:tcBorders>
                    <w:tl2br w:val="nil"/>
                    <w:tr2bl w:val="nil"/>
                  </w:tcBorders>
                  <w:noWrap w:val="0"/>
                  <w:vAlign w:val="center"/>
                </w:tcPr>
                <w:p w14:paraId="2BEEBF92">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2.2</w:t>
                  </w:r>
                </w:p>
              </w:tc>
              <w:tc>
                <w:tcPr>
                  <w:tcW w:w="543" w:type="pct"/>
                  <w:tcBorders>
                    <w:tl2br w:val="nil"/>
                    <w:tr2bl w:val="nil"/>
                  </w:tcBorders>
                  <w:noWrap w:val="0"/>
                  <w:vAlign w:val="center"/>
                </w:tcPr>
                <w:p w14:paraId="0787C69B">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2.5</w:t>
                  </w:r>
                </w:p>
              </w:tc>
              <w:tc>
                <w:tcPr>
                  <w:tcW w:w="440" w:type="pct"/>
                  <w:tcBorders>
                    <w:tl2br w:val="nil"/>
                    <w:tr2bl w:val="nil"/>
                  </w:tcBorders>
                  <w:noWrap w:val="0"/>
                  <w:vAlign w:val="center"/>
                </w:tcPr>
                <w:p w14:paraId="07F519D4">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120</w:t>
                  </w:r>
                </w:p>
              </w:tc>
              <w:tc>
                <w:tcPr>
                  <w:tcW w:w="511" w:type="pct"/>
                  <w:tcBorders>
                    <w:tl2br w:val="nil"/>
                    <w:tr2bl w:val="nil"/>
                  </w:tcBorders>
                  <w:noWrap w:val="0"/>
                  <w:vAlign w:val="center"/>
                </w:tcPr>
                <w:p w14:paraId="2F3C5021">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mg/m</w:t>
                  </w:r>
                  <w:r>
                    <w:rPr>
                      <w:rFonts w:hint="default" w:ascii="Times New Roman" w:hAnsi="Times New Roman" w:eastAsia="宋体" w:cs="Times New Roman"/>
                      <w:i w:val="0"/>
                      <w:iCs w:val="0"/>
                      <w:color w:val="auto"/>
                      <w:kern w:val="0"/>
                      <w:sz w:val="21"/>
                      <w:szCs w:val="21"/>
                      <w:u w:val="none" w:color="auto"/>
                      <w:vertAlign w:val="superscript"/>
                      <w:lang w:val="en-US" w:eastAsia="zh-CN" w:bidi="ar"/>
                    </w:rPr>
                    <w:t>3</w:t>
                  </w:r>
                </w:p>
              </w:tc>
            </w:tr>
            <w:tr w14:paraId="25179E9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trPr>
              <w:tc>
                <w:tcPr>
                  <w:tcW w:w="682" w:type="pct"/>
                  <w:vMerge w:val="continue"/>
                  <w:tcBorders>
                    <w:tl2br w:val="nil"/>
                    <w:tr2bl w:val="nil"/>
                  </w:tcBorders>
                  <w:noWrap w:val="0"/>
                  <w:vAlign w:val="center"/>
                </w:tcPr>
                <w:p w14:paraId="64D2F7D0">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460" w:type="pct"/>
                  <w:vMerge w:val="continue"/>
                  <w:tcBorders>
                    <w:tl2br w:val="nil"/>
                    <w:tr2bl w:val="nil"/>
                  </w:tcBorders>
                  <w:noWrap w:val="0"/>
                  <w:vAlign w:val="center"/>
                </w:tcPr>
                <w:p w14:paraId="3F10235A">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482" w:type="pct"/>
                  <w:vMerge w:val="continue"/>
                  <w:tcBorders>
                    <w:tl2br w:val="nil"/>
                    <w:tr2bl w:val="nil"/>
                  </w:tcBorders>
                  <w:noWrap w:val="0"/>
                  <w:vAlign w:val="center"/>
                </w:tcPr>
                <w:p w14:paraId="1F174E47">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i w:val="0"/>
                      <w:iCs w:val="0"/>
                      <w:color w:val="auto"/>
                      <w:sz w:val="21"/>
                      <w:szCs w:val="21"/>
                      <w:u w:val="none" w:color="auto"/>
                    </w:rPr>
                  </w:pPr>
                </w:p>
              </w:tc>
              <w:tc>
                <w:tcPr>
                  <w:tcW w:w="795" w:type="pct"/>
                  <w:tcBorders>
                    <w:tl2br w:val="nil"/>
                    <w:tr2bl w:val="nil"/>
                  </w:tcBorders>
                  <w:noWrap w:val="0"/>
                  <w:vAlign w:val="center"/>
                </w:tcPr>
                <w:p w14:paraId="1D824617">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排放速率</w:t>
                  </w:r>
                </w:p>
              </w:tc>
              <w:tc>
                <w:tcPr>
                  <w:tcW w:w="542" w:type="pct"/>
                  <w:tcBorders>
                    <w:tl2br w:val="nil"/>
                    <w:tr2bl w:val="nil"/>
                  </w:tcBorders>
                  <w:noWrap w:val="0"/>
                  <w:vAlign w:val="center"/>
                </w:tcPr>
                <w:p w14:paraId="32726DAA">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0.1</w:t>
                  </w:r>
                </w:p>
              </w:tc>
              <w:tc>
                <w:tcPr>
                  <w:tcW w:w="542" w:type="pct"/>
                  <w:tcBorders>
                    <w:tl2br w:val="nil"/>
                    <w:tr2bl w:val="nil"/>
                  </w:tcBorders>
                  <w:noWrap w:val="0"/>
                  <w:vAlign w:val="center"/>
                </w:tcPr>
                <w:p w14:paraId="1263F824">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0.07</w:t>
                  </w:r>
                </w:p>
              </w:tc>
              <w:tc>
                <w:tcPr>
                  <w:tcW w:w="543" w:type="pct"/>
                  <w:tcBorders>
                    <w:tl2br w:val="nil"/>
                    <w:tr2bl w:val="nil"/>
                  </w:tcBorders>
                  <w:noWrap w:val="0"/>
                  <w:vAlign w:val="center"/>
                </w:tcPr>
                <w:p w14:paraId="30616E9C">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0.08</w:t>
                  </w:r>
                </w:p>
              </w:tc>
              <w:tc>
                <w:tcPr>
                  <w:tcW w:w="440" w:type="pct"/>
                  <w:tcBorders>
                    <w:tl2br w:val="nil"/>
                    <w:tr2bl w:val="nil"/>
                  </w:tcBorders>
                  <w:noWrap w:val="0"/>
                  <w:vAlign w:val="center"/>
                </w:tcPr>
                <w:p w14:paraId="075AD49C">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1.75</w:t>
                  </w:r>
                </w:p>
              </w:tc>
              <w:tc>
                <w:tcPr>
                  <w:tcW w:w="511" w:type="pct"/>
                  <w:tcBorders>
                    <w:tl2br w:val="nil"/>
                    <w:tr2bl w:val="nil"/>
                  </w:tcBorders>
                  <w:noWrap w:val="0"/>
                  <w:vAlign w:val="center"/>
                </w:tcPr>
                <w:p w14:paraId="545DD4AD">
                  <w:pPr>
                    <w:keepNext w:val="0"/>
                    <w:keepLines w:val="0"/>
                    <w:pageBreakBefore w:val="0"/>
                    <w:widowControl/>
                    <w:suppressLineNumbers w:val="0"/>
                    <w:kinsoku/>
                    <w:wordWrap/>
                    <w:overflowPunct/>
                    <w:topLinePunct w:val="0"/>
                    <w:autoSpaceDE/>
                    <w:autoSpaceDN/>
                    <w:bidi w:val="0"/>
                    <w:spacing w:after="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kg/h</w:t>
                  </w:r>
                </w:p>
              </w:tc>
            </w:tr>
          </w:tbl>
          <w:p w14:paraId="71226678">
            <w:pPr>
              <w:widowControl w:val="0"/>
              <w:adjustRightInd/>
              <w:snapToGrid/>
              <w:spacing w:after="0"/>
              <w:jc w:val="center"/>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表</w:t>
            </w:r>
            <w:r>
              <w:rPr>
                <w:rFonts w:hint="default" w:ascii="Times New Roman" w:hAnsi="Times New Roman" w:eastAsia="宋体" w:cs="Times New Roman"/>
                <w:b/>
                <w:bCs/>
                <w:color w:val="auto"/>
                <w:sz w:val="21"/>
                <w:szCs w:val="21"/>
                <w:u w:val="none" w:color="auto"/>
                <w:lang w:val="en-US" w:eastAsia="zh-CN"/>
              </w:rPr>
              <w:t>2-16</w:t>
            </w:r>
            <w:r>
              <w:rPr>
                <w:rFonts w:hint="default" w:ascii="Times New Roman" w:hAnsi="Times New Roman" w:eastAsia="宋体" w:cs="Times New Roman"/>
                <w:b/>
                <w:bCs/>
                <w:color w:val="auto"/>
                <w:sz w:val="21"/>
                <w:szCs w:val="21"/>
                <w:u w:val="none" w:color="auto"/>
              </w:rPr>
              <w:t xml:space="preserve">  </w:t>
            </w:r>
            <w:r>
              <w:rPr>
                <w:rFonts w:hint="default" w:ascii="Times New Roman" w:hAnsi="Times New Roman" w:eastAsia="宋体" w:cs="Times New Roman"/>
                <w:b/>
                <w:bCs/>
                <w:color w:val="auto"/>
                <w:sz w:val="21"/>
                <w:szCs w:val="21"/>
                <w:u w:val="none" w:color="auto"/>
                <w:lang w:val="en-US" w:eastAsia="zh-CN"/>
              </w:rPr>
              <w:t>食堂油烟废气</w:t>
            </w:r>
            <w:r>
              <w:rPr>
                <w:rFonts w:hint="default" w:ascii="Times New Roman" w:hAnsi="Times New Roman" w:eastAsia="宋体" w:cs="Times New Roman"/>
                <w:b/>
                <w:bCs/>
                <w:color w:val="auto"/>
                <w:sz w:val="21"/>
                <w:szCs w:val="21"/>
                <w:u w:val="none" w:color="auto"/>
              </w:rPr>
              <w:t>监测结果</w:t>
            </w:r>
          </w:p>
          <w:tbl>
            <w:tblPr>
              <w:tblStyle w:val="31"/>
              <w:tblW w:w="4997"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49"/>
              <w:gridCol w:w="682"/>
              <w:gridCol w:w="1210"/>
              <w:gridCol w:w="892"/>
              <w:gridCol w:w="892"/>
              <w:gridCol w:w="892"/>
              <w:gridCol w:w="892"/>
              <w:gridCol w:w="892"/>
              <w:gridCol w:w="513"/>
              <w:gridCol w:w="854"/>
            </w:tblGrid>
            <w:tr w14:paraId="72F2E7D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blHeader/>
                <w:jc w:val="center"/>
              </w:trPr>
              <w:tc>
                <w:tcPr>
                  <w:tcW w:w="443" w:type="pct"/>
                  <w:vMerge w:val="restart"/>
                  <w:tcBorders>
                    <w:tl2br w:val="nil"/>
                    <w:tr2bl w:val="nil"/>
                  </w:tcBorders>
                  <w:noWrap w:val="0"/>
                  <w:vAlign w:val="center"/>
                </w:tcPr>
                <w:p w14:paraId="558E0C8B">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采样时间</w:t>
                  </w:r>
                </w:p>
              </w:tc>
              <w:tc>
                <w:tcPr>
                  <w:tcW w:w="403" w:type="pct"/>
                  <w:vMerge w:val="restart"/>
                  <w:tcBorders>
                    <w:tl2br w:val="nil"/>
                    <w:tr2bl w:val="nil"/>
                  </w:tcBorders>
                  <w:noWrap w:val="0"/>
                  <w:vAlign w:val="center"/>
                </w:tcPr>
                <w:p w14:paraId="17B757C5">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采样点位</w:t>
                  </w:r>
                </w:p>
              </w:tc>
              <w:tc>
                <w:tcPr>
                  <w:tcW w:w="714" w:type="pct"/>
                  <w:vMerge w:val="restart"/>
                  <w:tcBorders>
                    <w:tl2br w:val="nil"/>
                    <w:tr2bl w:val="nil"/>
                  </w:tcBorders>
                  <w:noWrap w:val="0"/>
                  <w:vAlign w:val="center"/>
                </w:tcPr>
                <w:p w14:paraId="79D9D0B3">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检测项目</w:t>
                  </w:r>
                </w:p>
              </w:tc>
              <w:tc>
                <w:tcPr>
                  <w:tcW w:w="2630" w:type="pct"/>
                  <w:gridSpan w:val="5"/>
                  <w:tcBorders>
                    <w:tl2br w:val="nil"/>
                    <w:tr2bl w:val="nil"/>
                  </w:tcBorders>
                  <w:noWrap w:val="0"/>
                  <w:vAlign w:val="center"/>
                </w:tcPr>
                <w:p w14:paraId="220B0EB4">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检测结果</w:t>
                  </w:r>
                </w:p>
              </w:tc>
              <w:tc>
                <w:tcPr>
                  <w:tcW w:w="303" w:type="pct"/>
                  <w:vMerge w:val="restart"/>
                  <w:tcBorders>
                    <w:tl2br w:val="nil"/>
                    <w:tr2bl w:val="nil"/>
                  </w:tcBorders>
                  <w:noWrap w:val="0"/>
                  <w:vAlign w:val="center"/>
                </w:tcPr>
                <w:p w14:paraId="0DAF96B7">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参考限值</w:t>
                  </w:r>
                </w:p>
              </w:tc>
              <w:tc>
                <w:tcPr>
                  <w:tcW w:w="504" w:type="pct"/>
                  <w:vMerge w:val="restart"/>
                  <w:tcBorders>
                    <w:tl2br w:val="nil"/>
                    <w:tr2bl w:val="nil"/>
                  </w:tcBorders>
                  <w:noWrap w:val="0"/>
                  <w:vAlign w:val="center"/>
                </w:tcPr>
                <w:p w14:paraId="2961E95C">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单位</w:t>
                  </w:r>
                </w:p>
              </w:tc>
            </w:tr>
            <w:tr w14:paraId="10AED45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blHeader/>
                <w:jc w:val="center"/>
              </w:trPr>
              <w:tc>
                <w:tcPr>
                  <w:tcW w:w="443" w:type="pct"/>
                  <w:vMerge w:val="continue"/>
                  <w:tcBorders>
                    <w:tl2br w:val="nil"/>
                    <w:tr2bl w:val="nil"/>
                  </w:tcBorders>
                  <w:noWrap w:val="0"/>
                  <w:vAlign w:val="center"/>
                </w:tcPr>
                <w:p w14:paraId="64CE76CB">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color w:val="auto"/>
                      <w:sz w:val="21"/>
                      <w:szCs w:val="21"/>
                      <w:u w:val="none" w:color="auto"/>
                    </w:rPr>
                  </w:pPr>
                </w:p>
              </w:tc>
              <w:tc>
                <w:tcPr>
                  <w:tcW w:w="403" w:type="pct"/>
                  <w:vMerge w:val="continue"/>
                  <w:tcBorders>
                    <w:tl2br w:val="nil"/>
                    <w:tr2bl w:val="nil"/>
                  </w:tcBorders>
                  <w:noWrap w:val="0"/>
                  <w:vAlign w:val="center"/>
                </w:tcPr>
                <w:p w14:paraId="7111A117">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color w:val="auto"/>
                      <w:sz w:val="21"/>
                      <w:szCs w:val="21"/>
                      <w:u w:val="none" w:color="auto"/>
                    </w:rPr>
                  </w:pPr>
                </w:p>
              </w:tc>
              <w:tc>
                <w:tcPr>
                  <w:tcW w:w="714" w:type="pct"/>
                  <w:vMerge w:val="continue"/>
                  <w:tcBorders>
                    <w:tl2br w:val="nil"/>
                    <w:tr2bl w:val="nil"/>
                  </w:tcBorders>
                  <w:noWrap w:val="0"/>
                  <w:vAlign w:val="center"/>
                </w:tcPr>
                <w:p w14:paraId="31942B62">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color w:val="auto"/>
                      <w:sz w:val="21"/>
                      <w:szCs w:val="21"/>
                      <w:u w:val="none" w:color="auto"/>
                    </w:rPr>
                  </w:pPr>
                </w:p>
              </w:tc>
              <w:tc>
                <w:tcPr>
                  <w:tcW w:w="526" w:type="pct"/>
                  <w:tcBorders>
                    <w:tl2br w:val="nil"/>
                    <w:tr2bl w:val="nil"/>
                  </w:tcBorders>
                  <w:noWrap w:val="0"/>
                  <w:vAlign w:val="center"/>
                </w:tcPr>
                <w:p w14:paraId="2544A264">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第一次</w:t>
                  </w:r>
                </w:p>
              </w:tc>
              <w:tc>
                <w:tcPr>
                  <w:tcW w:w="526" w:type="pct"/>
                  <w:tcBorders>
                    <w:tl2br w:val="nil"/>
                    <w:tr2bl w:val="nil"/>
                  </w:tcBorders>
                  <w:noWrap w:val="0"/>
                  <w:vAlign w:val="center"/>
                </w:tcPr>
                <w:p w14:paraId="4674A976">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第二次</w:t>
                  </w:r>
                </w:p>
              </w:tc>
              <w:tc>
                <w:tcPr>
                  <w:tcW w:w="526" w:type="pct"/>
                  <w:tcBorders>
                    <w:tl2br w:val="nil"/>
                    <w:tr2bl w:val="nil"/>
                  </w:tcBorders>
                  <w:noWrap w:val="0"/>
                  <w:vAlign w:val="center"/>
                </w:tcPr>
                <w:p w14:paraId="7EA6839B">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第三次</w:t>
                  </w:r>
                </w:p>
              </w:tc>
              <w:tc>
                <w:tcPr>
                  <w:tcW w:w="526" w:type="pct"/>
                  <w:tcBorders>
                    <w:tl2br w:val="nil"/>
                    <w:tr2bl w:val="nil"/>
                  </w:tcBorders>
                  <w:noWrap w:val="0"/>
                  <w:vAlign w:val="center"/>
                </w:tcPr>
                <w:p w14:paraId="153FB47B">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第四次</w:t>
                  </w:r>
                </w:p>
              </w:tc>
              <w:tc>
                <w:tcPr>
                  <w:tcW w:w="526" w:type="pct"/>
                  <w:tcBorders>
                    <w:tl2br w:val="nil"/>
                    <w:tr2bl w:val="nil"/>
                  </w:tcBorders>
                  <w:noWrap w:val="0"/>
                  <w:vAlign w:val="center"/>
                </w:tcPr>
                <w:p w14:paraId="119F898E">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第五次</w:t>
                  </w:r>
                </w:p>
              </w:tc>
              <w:tc>
                <w:tcPr>
                  <w:tcW w:w="303" w:type="pct"/>
                  <w:vMerge w:val="continue"/>
                  <w:tcBorders>
                    <w:tl2br w:val="nil"/>
                    <w:tr2bl w:val="nil"/>
                  </w:tcBorders>
                  <w:noWrap w:val="0"/>
                  <w:vAlign w:val="center"/>
                </w:tcPr>
                <w:p w14:paraId="10F5E627">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color w:val="auto"/>
                      <w:sz w:val="21"/>
                      <w:szCs w:val="21"/>
                      <w:u w:val="none" w:color="auto"/>
                    </w:rPr>
                  </w:pPr>
                </w:p>
              </w:tc>
              <w:tc>
                <w:tcPr>
                  <w:tcW w:w="504" w:type="pct"/>
                  <w:vMerge w:val="continue"/>
                  <w:tcBorders>
                    <w:tl2br w:val="nil"/>
                    <w:tr2bl w:val="nil"/>
                  </w:tcBorders>
                  <w:noWrap w:val="0"/>
                  <w:vAlign w:val="center"/>
                </w:tcPr>
                <w:p w14:paraId="4CA12AC9">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color w:val="auto"/>
                      <w:sz w:val="21"/>
                      <w:szCs w:val="21"/>
                      <w:u w:val="none" w:color="auto"/>
                    </w:rPr>
                  </w:pPr>
                </w:p>
              </w:tc>
            </w:tr>
            <w:tr w14:paraId="0565CE7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3" w:type="pct"/>
                  <w:vMerge w:val="restart"/>
                  <w:tcBorders>
                    <w:tl2br w:val="nil"/>
                    <w:tr2bl w:val="nil"/>
                  </w:tcBorders>
                  <w:noWrap w:val="0"/>
                  <w:vAlign w:val="center"/>
                </w:tcPr>
                <w:p w14:paraId="730E52D8">
                  <w:pPr>
                    <w:keepNext w:val="0"/>
                    <w:keepLines w:val="0"/>
                    <w:pageBreakBefore w:val="0"/>
                    <w:widowControl/>
                    <w:kinsoku/>
                    <w:wordWrap/>
                    <w:overflowPunct/>
                    <w:topLinePunct w:val="0"/>
                    <w:autoSpaceDE/>
                    <w:autoSpaceDN/>
                    <w:bidi w:val="0"/>
                    <w:adjustRightInd/>
                    <w:snapToGrid/>
                    <w:spacing w:beforeLines="0" w:after="0" w:afterLines="0"/>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5</w:t>
                  </w:r>
                  <w:r>
                    <w:rPr>
                      <w:rFonts w:hint="default" w:ascii="Times New Roman" w:hAnsi="Times New Roman" w:eastAsia="宋体" w:cs="Times New Roman"/>
                      <w:color w:val="auto"/>
                      <w:sz w:val="21"/>
                      <w:szCs w:val="21"/>
                      <w:u w:val="none" w:color="auto"/>
                    </w:rPr>
                    <w:t>月</w:t>
                  </w:r>
                  <w:r>
                    <w:rPr>
                      <w:rFonts w:hint="default" w:ascii="Times New Roman" w:hAnsi="Times New Roman" w:eastAsia="宋体" w:cs="Times New Roman"/>
                      <w:color w:val="auto"/>
                      <w:sz w:val="21"/>
                      <w:szCs w:val="21"/>
                      <w:u w:val="none" w:color="auto"/>
                      <w:lang w:val="en-US" w:eastAsia="zh-CN"/>
                    </w:rPr>
                    <w:t>30</w:t>
                  </w:r>
                  <w:r>
                    <w:rPr>
                      <w:rFonts w:hint="default" w:ascii="Times New Roman" w:hAnsi="Times New Roman" w:eastAsia="宋体" w:cs="Times New Roman"/>
                      <w:color w:val="auto"/>
                      <w:sz w:val="21"/>
                      <w:szCs w:val="21"/>
                      <w:u w:val="none" w:color="auto"/>
                    </w:rPr>
                    <w:t>日</w:t>
                  </w:r>
                </w:p>
              </w:tc>
              <w:tc>
                <w:tcPr>
                  <w:tcW w:w="403" w:type="pct"/>
                  <w:vMerge w:val="restart"/>
                  <w:tcBorders>
                    <w:tl2br w:val="nil"/>
                    <w:tr2bl w:val="nil"/>
                  </w:tcBorders>
                  <w:noWrap w:val="0"/>
                  <w:vAlign w:val="center"/>
                </w:tcPr>
                <w:p w14:paraId="2EBA7157">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G5食堂</w:t>
                  </w:r>
                </w:p>
              </w:tc>
              <w:tc>
                <w:tcPr>
                  <w:tcW w:w="714" w:type="pct"/>
                  <w:tcBorders>
                    <w:tl2br w:val="nil"/>
                    <w:tr2bl w:val="nil"/>
                  </w:tcBorders>
                  <w:noWrap w:val="0"/>
                  <w:vAlign w:val="center"/>
                </w:tcPr>
                <w:p w14:paraId="59A12DF3">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标干流量</w:t>
                  </w:r>
                </w:p>
              </w:tc>
              <w:tc>
                <w:tcPr>
                  <w:tcW w:w="526" w:type="pct"/>
                  <w:tcBorders>
                    <w:tl2br w:val="nil"/>
                    <w:tr2bl w:val="nil"/>
                  </w:tcBorders>
                  <w:noWrap w:val="0"/>
                  <w:vAlign w:val="center"/>
                </w:tcPr>
                <w:p w14:paraId="0FEF11EB">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27013</w:t>
                  </w:r>
                </w:p>
              </w:tc>
              <w:tc>
                <w:tcPr>
                  <w:tcW w:w="526" w:type="pct"/>
                  <w:tcBorders>
                    <w:tl2br w:val="nil"/>
                    <w:tr2bl w:val="nil"/>
                  </w:tcBorders>
                  <w:noWrap w:val="0"/>
                  <w:vAlign w:val="center"/>
                </w:tcPr>
                <w:p w14:paraId="17431EE1">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29809</w:t>
                  </w:r>
                </w:p>
              </w:tc>
              <w:tc>
                <w:tcPr>
                  <w:tcW w:w="526" w:type="pct"/>
                  <w:tcBorders>
                    <w:tl2br w:val="nil"/>
                    <w:tr2bl w:val="nil"/>
                  </w:tcBorders>
                  <w:noWrap w:val="0"/>
                  <w:vAlign w:val="center"/>
                </w:tcPr>
                <w:p w14:paraId="505BDC58">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28600</w:t>
                  </w:r>
                </w:p>
              </w:tc>
              <w:tc>
                <w:tcPr>
                  <w:tcW w:w="526" w:type="pct"/>
                  <w:tcBorders>
                    <w:tl2br w:val="nil"/>
                    <w:tr2bl w:val="nil"/>
                  </w:tcBorders>
                  <w:noWrap w:val="0"/>
                  <w:vAlign w:val="center"/>
                </w:tcPr>
                <w:p w14:paraId="10911761">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28668</w:t>
                  </w:r>
                </w:p>
              </w:tc>
              <w:tc>
                <w:tcPr>
                  <w:tcW w:w="526" w:type="pct"/>
                  <w:tcBorders>
                    <w:tl2br w:val="nil"/>
                    <w:tr2bl w:val="nil"/>
                  </w:tcBorders>
                  <w:noWrap w:val="0"/>
                  <w:vAlign w:val="center"/>
                </w:tcPr>
                <w:p w14:paraId="284ED072">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30996</w:t>
                  </w:r>
                </w:p>
              </w:tc>
              <w:tc>
                <w:tcPr>
                  <w:tcW w:w="303" w:type="pct"/>
                  <w:tcBorders>
                    <w:tl2br w:val="nil"/>
                    <w:tr2bl w:val="nil"/>
                  </w:tcBorders>
                  <w:noWrap w:val="0"/>
                  <w:vAlign w:val="center"/>
                </w:tcPr>
                <w:p w14:paraId="6A2A834F">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w:t>
                  </w:r>
                </w:p>
              </w:tc>
              <w:tc>
                <w:tcPr>
                  <w:tcW w:w="504" w:type="pct"/>
                  <w:tcBorders>
                    <w:tl2br w:val="nil"/>
                    <w:tr2bl w:val="nil"/>
                  </w:tcBorders>
                  <w:noWrap w:val="0"/>
                  <w:vAlign w:val="center"/>
                </w:tcPr>
                <w:p w14:paraId="44B18ED7">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Nm</w:t>
                  </w:r>
                  <w:r>
                    <w:rPr>
                      <w:rFonts w:hint="default" w:ascii="Times New Roman" w:hAnsi="Times New Roman" w:eastAsia="宋体" w:cs="Times New Roman"/>
                      <w:color w:val="auto"/>
                      <w:sz w:val="21"/>
                      <w:szCs w:val="21"/>
                      <w:u w:val="none" w:color="auto"/>
                      <w:vertAlign w:val="superscript"/>
                    </w:rPr>
                    <w:t>3</w:t>
                  </w:r>
                  <w:r>
                    <w:rPr>
                      <w:rFonts w:hint="default" w:ascii="Times New Roman" w:hAnsi="Times New Roman" w:eastAsia="宋体" w:cs="Times New Roman"/>
                      <w:color w:val="auto"/>
                      <w:sz w:val="21"/>
                      <w:szCs w:val="21"/>
                      <w:u w:val="none" w:color="auto"/>
                    </w:rPr>
                    <w:t>/h</w:t>
                  </w:r>
                </w:p>
              </w:tc>
            </w:tr>
            <w:tr w14:paraId="5C30820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3" w:type="pct"/>
                  <w:vMerge w:val="continue"/>
                  <w:tcBorders>
                    <w:tl2br w:val="nil"/>
                    <w:tr2bl w:val="nil"/>
                  </w:tcBorders>
                  <w:noWrap w:val="0"/>
                  <w:vAlign w:val="center"/>
                </w:tcPr>
                <w:p w14:paraId="60C2CB2F">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color w:val="auto"/>
                      <w:sz w:val="21"/>
                      <w:szCs w:val="21"/>
                      <w:u w:val="none" w:color="auto"/>
                    </w:rPr>
                  </w:pPr>
                </w:p>
              </w:tc>
              <w:tc>
                <w:tcPr>
                  <w:tcW w:w="403" w:type="pct"/>
                  <w:vMerge w:val="continue"/>
                  <w:tcBorders>
                    <w:tl2br w:val="nil"/>
                    <w:tr2bl w:val="nil"/>
                  </w:tcBorders>
                  <w:noWrap w:val="0"/>
                  <w:vAlign w:val="center"/>
                </w:tcPr>
                <w:p w14:paraId="1E101A01">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color w:val="auto"/>
                      <w:sz w:val="21"/>
                      <w:szCs w:val="21"/>
                      <w:u w:val="none" w:color="auto"/>
                    </w:rPr>
                  </w:pPr>
                </w:p>
              </w:tc>
              <w:tc>
                <w:tcPr>
                  <w:tcW w:w="714" w:type="pct"/>
                  <w:tcBorders>
                    <w:tl2br w:val="nil"/>
                    <w:tr2bl w:val="nil"/>
                  </w:tcBorders>
                  <w:noWrap w:val="0"/>
                  <w:vAlign w:val="center"/>
                </w:tcPr>
                <w:p w14:paraId="53C92E4F">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平均烟温</w:t>
                  </w:r>
                </w:p>
              </w:tc>
              <w:tc>
                <w:tcPr>
                  <w:tcW w:w="526" w:type="pct"/>
                  <w:tcBorders>
                    <w:tl2br w:val="nil"/>
                    <w:tr2bl w:val="nil"/>
                  </w:tcBorders>
                  <w:noWrap w:val="0"/>
                  <w:vAlign w:val="center"/>
                </w:tcPr>
                <w:p w14:paraId="009A47C5">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40.0</w:t>
                  </w:r>
                </w:p>
              </w:tc>
              <w:tc>
                <w:tcPr>
                  <w:tcW w:w="526" w:type="pct"/>
                  <w:tcBorders>
                    <w:tl2br w:val="nil"/>
                    <w:tr2bl w:val="nil"/>
                  </w:tcBorders>
                  <w:noWrap w:val="0"/>
                  <w:vAlign w:val="center"/>
                </w:tcPr>
                <w:p w14:paraId="30AC1AC9">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40.2</w:t>
                  </w:r>
                </w:p>
              </w:tc>
              <w:tc>
                <w:tcPr>
                  <w:tcW w:w="526" w:type="pct"/>
                  <w:tcBorders>
                    <w:tl2br w:val="nil"/>
                    <w:tr2bl w:val="nil"/>
                  </w:tcBorders>
                  <w:noWrap w:val="0"/>
                  <w:vAlign w:val="center"/>
                </w:tcPr>
                <w:p w14:paraId="4FB52AAE">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40.1</w:t>
                  </w:r>
                </w:p>
              </w:tc>
              <w:tc>
                <w:tcPr>
                  <w:tcW w:w="526" w:type="pct"/>
                  <w:tcBorders>
                    <w:tl2br w:val="nil"/>
                    <w:tr2bl w:val="nil"/>
                  </w:tcBorders>
                  <w:noWrap w:val="0"/>
                  <w:vAlign w:val="center"/>
                </w:tcPr>
                <w:p w14:paraId="62FB7A4C">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40.5</w:t>
                  </w:r>
                </w:p>
              </w:tc>
              <w:tc>
                <w:tcPr>
                  <w:tcW w:w="526" w:type="pct"/>
                  <w:tcBorders>
                    <w:tl2br w:val="nil"/>
                    <w:tr2bl w:val="nil"/>
                  </w:tcBorders>
                  <w:noWrap w:val="0"/>
                  <w:vAlign w:val="center"/>
                </w:tcPr>
                <w:p w14:paraId="2DFE0A7C">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39.8</w:t>
                  </w:r>
                </w:p>
              </w:tc>
              <w:tc>
                <w:tcPr>
                  <w:tcW w:w="303" w:type="pct"/>
                  <w:tcBorders>
                    <w:tl2br w:val="nil"/>
                    <w:tr2bl w:val="nil"/>
                  </w:tcBorders>
                  <w:noWrap w:val="0"/>
                  <w:vAlign w:val="center"/>
                </w:tcPr>
                <w:p w14:paraId="1681D440">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w:t>
                  </w:r>
                </w:p>
              </w:tc>
              <w:tc>
                <w:tcPr>
                  <w:tcW w:w="504" w:type="pct"/>
                  <w:tcBorders>
                    <w:tl2br w:val="nil"/>
                    <w:tr2bl w:val="nil"/>
                  </w:tcBorders>
                  <w:noWrap w:val="0"/>
                  <w:vAlign w:val="center"/>
                </w:tcPr>
                <w:p w14:paraId="381B3A3D">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w:t>
                  </w:r>
                </w:p>
              </w:tc>
            </w:tr>
            <w:tr w14:paraId="03D23F1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3" w:type="pct"/>
                  <w:vMerge w:val="continue"/>
                  <w:tcBorders>
                    <w:tl2br w:val="nil"/>
                    <w:tr2bl w:val="nil"/>
                  </w:tcBorders>
                  <w:noWrap w:val="0"/>
                  <w:vAlign w:val="center"/>
                </w:tcPr>
                <w:p w14:paraId="59918090">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color w:val="auto"/>
                      <w:sz w:val="21"/>
                      <w:szCs w:val="21"/>
                      <w:u w:val="none" w:color="auto"/>
                    </w:rPr>
                  </w:pPr>
                </w:p>
              </w:tc>
              <w:tc>
                <w:tcPr>
                  <w:tcW w:w="403" w:type="pct"/>
                  <w:vMerge w:val="continue"/>
                  <w:tcBorders>
                    <w:tl2br w:val="nil"/>
                    <w:tr2bl w:val="nil"/>
                  </w:tcBorders>
                  <w:noWrap w:val="0"/>
                  <w:vAlign w:val="center"/>
                </w:tcPr>
                <w:p w14:paraId="773A0647">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color w:val="auto"/>
                      <w:sz w:val="21"/>
                      <w:szCs w:val="21"/>
                      <w:u w:val="none" w:color="auto"/>
                    </w:rPr>
                  </w:pPr>
                </w:p>
              </w:tc>
              <w:tc>
                <w:tcPr>
                  <w:tcW w:w="714" w:type="pct"/>
                  <w:tcBorders>
                    <w:tl2br w:val="nil"/>
                    <w:tr2bl w:val="nil"/>
                  </w:tcBorders>
                  <w:noWrap w:val="0"/>
                  <w:vAlign w:val="center"/>
                </w:tcPr>
                <w:p w14:paraId="7FC6F6B1">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平均流速</w:t>
                  </w:r>
                </w:p>
              </w:tc>
              <w:tc>
                <w:tcPr>
                  <w:tcW w:w="526" w:type="pct"/>
                  <w:tcBorders>
                    <w:tl2br w:val="nil"/>
                    <w:tr2bl w:val="nil"/>
                  </w:tcBorders>
                  <w:noWrap w:val="0"/>
                  <w:vAlign w:val="center"/>
                </w:tcPr>
                <w:p w14:paraId="7E5A7BAF">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4.6</w:t>
                  </w:r>
                </w:p>
              </w:tc>
              <w:tc>
                <w:tcPr>
                  <w:tcW w:w="526" w:type="pct"/>
                  <w:tcBorders>
                    <w:tl2br w:val="nil"/>
                    <w:tr2bl w:val="nil"/>
                  </w:tcBorders>
                  <w:noWrap w:val="0"/>
                  <w:vAlign w:val="center"/>
                </w:tcPr>
                <w:p w14:paraId="703A8829">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5.0</w:t>
                  </w:r>
                </w:p>
              </w:tc>
              <w:tc>
                <w:tcPr>
                  <w:tcW w:w="526" w:type="pct"/>
                  <w:tcBorders>
                    <w:tl2br w:val="nil"/>
                    <w:tr2bl w:val="nil"/>
                  </w:tcBorders>
                  <w:noWrap w:val="0"/>
                  <w:vAlign w:val="center"/>
                </w:tcPr>
                <w:p w14:paraId="74D8DBDB">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4.8</w:t>
                  </w:r>
                </w:p>
              </w:tc>
              <w:tc>
                <w:tcPr>
                  <w:tcW w:w="526" w:type="pct"/>
                  <w:tcBorders>
                    <w:tl2br w:val="nil"/>
                    <w:tr2bl w:val="nil"/>
                  </w:tcBorders>
                  <w:noWrap w:val="0"/>
                  <w:vAlign w:val="center"/>
                </w:tcPr>
                <w:p w14:paraId="41B5588E">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4.9</w:t>
                  </w:r>
                </w:p>
              </w:tc>
              <w:tc>
                <w:tcPr>
                  <w:tcW w:w="526" w:type="pct"/>
                  <w:tcBorders>
                    <w:tl2br w:val="nil"/>
                    <w:tr2bl w:val="nil"/>
                  </w:tcBorders>
                  <w:noWrap w:val="0"/>
                  <w:vAlign w:val="center"/>
                </w:tcPr>
                <w:p w14:paraId="3C2F4289">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5.2</w:t>
                  </w:r>
                </w:p>
              </w:tc>
              <w:tc>
                <w:tcPr>
                  <w:tcW w:w="303" w:type="pct"/>
                  <w:tcBorders>
                    <w:tl2br w:val="nil"/>
                    <w:tr2bl w:val="nil"/>
                  </w:tcBorders>
                  <w:noWrap w:val="0"/>
                  <w:vAlign w:val="center"/>
                </w:tcPr>
                <w:p w14:paraId="1A83F524">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w:t>
                  </w:r>
                </w:p>
              </w:tc>
              <w:tc>
                <w:tcPr>
                  <w:tcW w:w="504" w:type="pct"/>
                  <w:tcBorders>
                    <w:tl2br w:val="nil"/>
                    <w:tr2bl w:val="nil"/>
                  </w:tcBorders>
                  <w:noWrap w:val="0"/>
                  <w:vAlign w:val="center"/>
                </w:tcPr>
                <w:p w14:paraId="4502FD4A">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m/s</w:t>
                  </w:r>
                </w:p>
              </w:tc>
            </w:tr>
            <w:tr w14:paraId="3BD0BE4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3" w:type="pct"/>
                  <w:vMerge w:val="continue"/>
                  <w:tcBorders>
                    <w:tl2br w:val="nil"/>
                    <w:tr2bl w:val="nil"/>
                  </w:tcBorders>
                  <w:noWrap w:val="0"/>
                  <w:vAlign w:val="center"/>
                </w:tcPr>
                <w:p w14:paraId="4FF044DF">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color w:val="auto"/>
                      <w:sz w:val="21"/>
                      <w:szCs w:val="21"/>
                      <w:u w:val="none" w:color="auto"/>
                    </w:rPr>
                  </w:pPr>
                </w:p>
              </w:tc>
              <w:tc>
                <w:tcPr>
                  <w:tcW w:w="403" w:type="pct"/>
                  <w:vMerge w:val="continue"/>
                  <w:tcBorders>
                    <w:tl2br w:val="nil"/>
                    <w:tr2bl w:val="nil"/>
                  </w:tcBorders>
                  <w:noWrap w:val="0"/>
                  <w:vAlign w:val="center"/>
                </w:tcPr>
                <w:p w14:paraId="781B0DFA">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color w:val="auto"/>
                      <w:sz w:val="21"/>
                      <w:szCs w:val="21"/>
                      <w:u w:val="none" w:color="auto"/>
                    </w:rPr>
                  </w:pPr>
                </w:p>
              </w:tc>
              <w:tc>
                <w:tcPr>
                  <w:tcW w:w="714" w:type="pct"/>
                  <w:tcBorders>
                    <w:tl2br w:val="nil"/>
                    <w:tr2bl w:val="nil"/>
                  </w:tcBorders>
                  <w:noWrap w:val="0"/>
                  <w:vAlign w:val="center"/>
                </w:tcPr>
                <w:p w14:paraId="717DE681">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油烟</w:t>
                  </w:r>
                </w:p>
              </w:tc>
              <w:tc>
                <w:tcPr>
                  <w:tcW w:w="526" w:type="pct"/>
                  <w:tcBorders>
                    <w:tl2br w:val="nil"/>
                    <w:tr2bl w:val="nil"/>
                  </w:tcBorders>
                  <w:noWrap w:val="0"/>
                  <w:vAlign w:val="center"/>
                </w:tcPr>
                <w:p w14:paraId="0B32940D">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0.71</w:t>
                  </w:r>
                </w:p>
              </w:tc>
              <w:tc>
                <w:tcPr>
                  <w:tcW w:w="526" w:type="pct"/>
                  <w:tcBorders>
                    <w:tl2br w:val="nil"/>
                    <w:tr2bl w:val="nil"/>
                  </w:tcBorders>
                  <w:noWrap w:val="0"/>
                  <w:vAlign w:val="center"/>
                </w:tcPr>
                <w:p w14:paraId="40FA8BBD">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0.73</w:t>
                  </w:r>
                </w:p>
              </w:tc>
              <w:tc>
                <w:tcPr>
                  <w:tcW w:w="526" w:type="pct"/>
                  <w:tcBorders>
                    <w:tl2br w:val="nil"/>
                    <w:tr2bl w:val="nil"/>
                  </w:tcBorders>
                  <w:noWrap w:val="0"/>
                  <w:vAlign w:val="center"/>
                </w:tcPr>
                <w:p w14:paraId="316C7CDD">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0.79</w:t>
                  </w:r>
                </w:p>
              </w:tc>
              <w:tc>
                <w:tcPr>
                  <w:tcW w:w="526" w:type="pct"/>
                  <w:tcBorders>
                    <w:tl2br w:val="nil"/>
                    <w:tr2bl w:val="nil"/>
                  </w:tcBorders>
                  <w:noWrap w:val="0"/>
                  <w:vAlign w:val="center"/>
                </w:tcPr>
                <w:p w14:paraId="4C971349">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0.84</w:t>
                  </w:r>
                </w:p>
              </w:tc>
              <w:tc>
                <w:tcPr>
                  <w:tcW w:w="526" w:type="pct"/>
                  <w:tcBorders>
                    <w:tl2br w:val="nil"/>
                    <w:tr2bl w:val="nil"/>
                  </w:tcBorders>
                  <w:noWrap w:val="0"/>
                  <w:vAlign w:val="center"/>
                </w:tcPr>
                <w:p w14:paraId="313B367F">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0.77</w:t>
                  </w:r>
                </w:p>
              </w:tc>
              <w:tc>
                <w:tcPr>
                  <w:tcW w:w="303" w:type="pct"/>
                  <w:tcBorders>
                    <w:tl2br w:val="nil"/>
                    <w:tr2bl w:val="nil"/>
                  </w:tcBorders>
                  <w:noWrap w:val="0"/>
                  <w:vAlign w:val="center"/>
                </w:tcPr>
                <w:p w14:paraId="150A0FED">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color w:val="auto"/>
                      <w:kern w:val="0"/>
                      <w:sz w:val="21"/>
                      <w:szCs w:val="21"/>
                      <w:u w:val="none" w:color="auto"/>
                    </w:rPr>
                    <w:t>2.0</w:t>
                  </w:r>
                </w:p>
              </w:tc>
              <w:tc>
                <w:tcPr>
                  <w:tcW w:w="504" w:type="pct"/>
                  <w:tcBorders>
                    <w:tl2br w:val="nil"/>
                    <w:tr2bl w:val="nil"/>
                  </w:tcBorders>
                  <w:noWrap w:val="0"/>
                  <w:vAlign w:val="center"/>
                </w:tcPr>
                <w:p w14:paraId="3E38ED19">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kern w:val="0"/>
                      <w:sz w:val="21"/>
                      <w:szCs w:val="21"/>
                      <w:u w:val="none" w:color="auto"/>
                    </w:rPr>
                    <w:t>mg/m</w:t>
                  </w:r>
                  <w:r>
                    <w:rPr>
                      <w:rFonts w:hint="default" w:ascii="Times New Roman" w:hAnsi="Times New Roman" w:eastAsia="宋体" w:cs="Times New Roman"/>
                      <w:color w:val="auto"/>
                      <w:kern w:val="0"/>
                      <w:sz w:val="21"/>
                      <w:szCs w:val="21"/>
                      <w:u w:val="none" w:color="auto"/>
                      <w:vertAlign w:val="superscript"/>
                    </w:rPr>
                    <w:t>3</w:t>
                  </w:r>
                </w:p>
              </w:tc>
            </w:tr>
            <w:tr w14:paraId="7A8087B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3" w:type="pct"/>
                  <w:vMerge w:val="restart"/>
                  <w:tcBorders>
                    <w:tl2br w:val="nil"/>
                    <w:tr2bl w:val="nil"/>
                  </w:tcBorders>
                  <w:noWrap w:val="0"/>
                  <w:vAlign w:val="center"/>
                </w:tcPr>
                <w:p w14:paraId="10195654">
                  <w:pPr>
                    <w:keepNext w:val="0"/>
                    <w:keepLines w:val="0"/>
                    <w:pageBreakBefore w:val="0"/>
                    <w:widowControl/>
                    <w:kinsoku/>
                    <w:wordWrap/>
                    <w:overflowPunct/>
                    <w:topLinePunct w:val="0"/>
                    <w:autoSpaceDE/>
                    <w:autoSpaceDN/>
                    <w:bidi w:val="0"/>
                    <w:adjustRightInd/>
                    <w:snapToGrid/>
                    <w:spacing w:beforeLines="0" w:after="0" w:afterLines="0"/>
                    <w:textAlignment w:val="auto"/>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5</w:t>
                  </w:r>
                  <w:r>
                    <w:rPr>
                      <w:rFonts w:hint="default" w:ascii="Times New Roman" w:hAnsi="Times New Roman" w:eastAsia="宋体" w:cs="Times New Roman"/>
                      <w:color w:val="auto"/>
                      <w:sz w:val="21"/>
                      <w:szCs w:val="21"/>
                      <w:u w:val="none" w:color="auto"/>
                    </w:rPr>
                    <w:t>月</w:t>
                  </w:r>
                  <w:r>
                    <w:rPr>
                      <w:rFonts w:hint="default" w:ascii="Times New Roman" w:hAnsi="Times New Roman" w:eastAsia="宋体" w:cs="Times New Roman"/>
                      <w:color w:val="auto"/>
                      <w:sz w:val="21"/>
                      <w:szCs w:val="21"/>
                      <w:u w:val="none" w:color="auto"/>
                      <w:lang w:val="en-US" w:eastAsia="zh-CN"/>
                    </w:rPr>
                    <w:t>31</w:t>
                  </w:r>
                  <w:r>
                    <w:rPr>
                      <w:rFonts w:hint="default" w:ascii="Times New Roman" w:hAnsi="Times New Roman" w:eastAsia="宋体" w:cs="Times New Roman"/>
                      <w:color w:val="auto"/>
                      <w:sz w:val="21"/>
                      <w:szCs w:val="21"/>
                      <w:u w:val="none" w:color="auto"/>
                    </w:rPr>
                    <w:t>日</w:t>
                  </w:r>
                </w:p>
              </w:tc>
              <w:tc>
                <w:tcPr>
                  <w:tcW w:w="403" w:type="pct"/>
                  <w:vMerge w:val="restart"/>
                  <w:tcBorders>
                    <w:tl2br w:val="nil"/>
                    <w:tr2bl w:val="nil"/>
                  </w:tcBorders>
                  <w:noWrap w:val="0"/>
                  <w:vAlign w:val="center"/>
                </w:tcPr>
                <w:p w14:paraId="4D3A16DD">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G5食堂</w:t>
                  </w:r>
                </w:p>
              </w:tc>
              <w:tc>
                <w:tcPr>
                  <w:tcW w:w="714" w:type="pct"/>
                  <w:tcBorders>
                    <w:tl2br w:val="nil"/>
                    <w:tr2bl w:val="nil"/>
                  </w:tcBorders>
                  <w:noWrap w:val="0"/>
                  <w:vAlign w:val="center"/>
                </w:tcPr>
                <w:p w14:paraId="75E3D8B9">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标干流量</w:t>
                  </w:r>
                </w:p>
              </w:tc>
              <w:tc>
                <w:tcPr>
                  <w:tcW w:w="526" w:type="pct"/>
                  <w:tcBorders>
                    <w:tl2br w:val="nil"/>
                    <w:tr2bl w:val="nil"/>
                  </w:tcBorders>
                  <w:noWrap w:val="0"/>
                  <w:vAlign w:val="center"/>
                </w:tcPr>
                <w:p w14:paraId="221208A1">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kern w:val="2"/>
                      <w:sz w:val="21"/>
                      <w:szCs w:val="21"/>
                      <w:u w:val="none" w:color="auto"/>
                      <w:lang w:val="en-US" w:eastAsia="zh-CN" w:bidi="ar-SA"/>
                    </w:rPr>
                    <w:t>23704</w:t>
                  </w:r>
                </w:p>
              </w:tc>
              <w:tc>
                <w:tcPr>
                  <w:tcW w:w="526" w:type="pct"/>
                  <w:tcBorders>
                    <w:tl2br w:val="nil"/>
                    <w:tr2bl w:val="nil"/>
                  </w:tcBorders>
                  <w:noWrap w:val="0"/>
                  <w:vAlign w:val="center"/>
                </w:tcPr>
                <w:p w14:paraId="4C42A572">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kern w:val="2"/>
                      <w:sz w:val="21"/>
                      <w:szCs w:val="21"/>
                      <w:u w:val="none" w:color="auto"/>
                      <w:lang w:val="en-US" w:eastAsia="zh-CN" w:bidi="ar-SA"/>
                    </w:rPr>
                    <w:t>25566</w:t>
                  </w:r>
                </w:p>
              </w:tc>
              <w:tc>
                <w:tcPr>
                  <w:tcW w:w="526" w:type="pct"/>
                  <w:tcBorders>
                    <w:tl2br w:val="nil"/>
                    <w:tr2bl w:val="nil"/>
                  </w:tcBorders>
                  <w:noWrap w:val="0"/>
                  <w:vAlign w:val="center"/>
                </w:tcPr>
                <w:p w14:paraId="58319874">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kern w:val="2"/>
                      <w:sz w:val="21"/>
                      <w:szCs w:val="21"/>
                      <w:u w:val="none" w:color="auto"/>
                      <w:lang w:val="en-US" w:eastAsia="zh-CN" w:bidi="ar-SA"/>
                    </w:rPr>
                    <w:t>26626</w:t>
                  </w:r>
                </w:p>
              </w:tc>
              <w:tc>
                <w:tcPr>
                  <w:tcW w:w="526" w:type="pct"/>
                  <w:tcBorders>
                    <w:tl2br w:val="nil"/>
                    <w:tr2bl w:val="nil"/>
                  </w:tcBorders>
                  <w:noWrap w:val="0"/>
                  <w:vAlign w:val="center"/>
                </w:tcPr>
                <w:p w14:paraId="758495FB">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kern w:val="2"/>
                      <w:sz w:val="21"/>
                      <w:szCs w:val="21"/>
                      <w:u w:val="none" w:color="auto"/>
                      <w:lang w:val="en-US" w:eastAsia="zh-CN" w:bidi="ar-SA"/>
                    </w:rPr>
                    <w:t>27160</w:t>
                  </w:r>
                </w:p>
              </w:tc>
              <w:tc>
                <w:tcPr>
                  <w:tcW w:w="526" w:type="pct"/>
                  <w:tcBorders>
                    <w:tl2br w:val="nil"/>
                    <w:tr2bl w:val="nil"/>
                  </w:tcBorders>
                  <w:noWrap w:val="0"/>
                  <w:vAlign w:val="center"/>
                </w:tcPr>
                <w:p w14:paraId="4C6B9101">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kern w:val="2"/>
                      <w:sz w:val="21"/>
                      <w:szCs w:val="21"/>
                      <w:u w:val="none" w:color="auto"/>
                      <w:lang w:val="en-US" w:eastAsia="zh-CN" w:bidi="ar-SA"/>
                    </w:rPr>
                    <w:t>25494</w:t>
                  </w:r>
                </w:p>
              </w:tc>
              <w:tc>
                <w:tcPr>
                  <w:tcW w:w="303" w:type="pct"/>
                  <w:tcBorders>
                    <w:tl2br w:val="nil"/>
                    <w:tr2bl w:val="nil"/>
                  </w:tcBorders>
                  <w:noWrap w:val="0"/>
                  <w:vAlign w:val="center"/>
                </w:tcPr>
                <w:p w14:paraId="65C8475C">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w:t>
                  </w:r>
                </w:p>
              </w:tc>
              <w:tc>
                <w:tcPr>
                  <w:tcW w:w="504" w:type="pct"/>
                  <w:tcBorders>
                    <w:tl2br w:val="nil"/>
                    <w:tr2bl w:val="nil"/>
                  </w:tcBorders>
                  <w:noWrap w:val="0"/>
                  <w:vAlign w:val="center"/>
                </w:tcPr>
                <w:p w14:paraId="494789D3">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Nm</w:t>
                  </w:r>
                  <w:r>
                    <w:rPr>
                      <w:rFonts w:hint="default" w:ascii="Times New Roman" w:hAnsi="Times New Roman" w:eastAsia="宋体" w:cs="Times New Roman"/>
                      <w:color w:val="auto"/>
                      <w:sz w:val="21"/>
                      <w:szCs w:val="21"/>
                      <w:u w:val="none" w:color="auto"/>
                      <w:vertAlign w:val="superscript"/>
                    </w:rPr>
                    <w:t>3</w:t>
                  </w:r>
                  <w:r>
                    <w:rPr>
                      <w:rFonts w:hint="default" w:ascii="Times New Roman" w:hAnsi="Times New Roman" w:eastAsia="宋体" w:cs="Times New Roman"/>
                      <w:color w:val="auto"/>
                      <w:sz w:val="21"/>
                      <w:szCs w:val="21"/>
                      <w:u w:val="none" w:color="auto"/>
                    </w:rPr>
                    <w:t>/h</w:t>
                  </w:r>
                </w:p>
              </w:tc>
            </w:tr>
            <w:tr w14:paraId="788D826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3" w:type="pct"/>
                  <w:vMerge w:val="continue"/>
                  <w:tcBorders>
                    <w:tl2br w:val="nil"/>
                    <w:tr2bl w:val="nil"/>
                  </w:tcBorders>
                  <w:noWrap w:val="0"/>
                  <w:vAlign w:val="center"/>
                </w:tcPr>
                <w:p w14:paraId="24720390">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color w:val="auto"/>
                      <w:sz w:val="21"/>
                      <w:szCs w:val="21"/>
                      <w:u w:val="none" w:color="auto"/>
                    </w:rPr>
                  </w:pPr>
                </w:p>
              </w:tc>
              <w:tc>
                <w:tcPr>
                  <w:tcW w:w="403" w:type="pct"/>
                  <w:vMerge w:val="continue"/>
                  <w:tcBorders>
                    <w:tl2br w:val="nil"/>
                    <w:tr2bl w:val="nil"/>
                  </w:tcBorders>
                  <w:noWrap w:val="0"/>
                  <w:vAlign w:val="center"/>
                </w:tcPr>
                <w:p w14:paraId="514B0C32">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color w:val="auto"/>
                      <w:sz w:val="21"/>
                      <w:szCs w:val="21"/>
                      <w:u w:val="none" w:color="auto"/>
                    </w:rPr>
                  </w:pPr>
                </w:p>
              </w:tc>
              <w:tc>
                <w:tcPr>
                  <w:tcW w:w="714" w:type="pct"/>
                  <w:tcBorders>
                    <w:tl2br w:val="nil"/>
                    <w:tr2bl w:val="nil"/>
                  </w:tcBorders>
                  <w:noWrap w:val="0"/>
                  <w:vAlign w:val="center"/>
                </w:tcPr>
                <w:p w14:paraId="6F4313B5">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平均烟温</w:t>
                  </w:r>
                </w:p>
              </w:tc>
              <w:tc>
                <w:tcPr>
                  <w:tcW w:w="526" w:type="pct"/>
                  <w:tcBorders>
                    <w:tl2br w:val="nil"/>
                    <w:tr2bl w:val="nil"/>
                  </w:tcBorders>
                  <w:noWrap w:val="0"/>
                  <w:vAlign w:val="center"/>
                </w:tcPr>
                <w:p w14:paraId="47C090CA">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kern w:val="2"/>
                      <w:sz w:val="21"/>
                      <w:szCs w:val="21"/>
                      <w:u w:val="none" w:color="auto"/>
                      <w:lang w:val="en-US" w:eastAsia="zh-CN" w:bidi="ar-SA"/>
                    </w:rPr>
                    <w:t>41.2</w:t>
                  </w:r>
                </w:p>
              </w:tc>
              <w:tc>
                <w:tcPr>
                  <w:tcW w:w="526" w:type="pct"/>
                  <w:tcBorders>
                    <w:tl2br w:val="nil"/>
                    <w:tr2bl w:val="nil"/>
                  </w:tcBorders>
                  <w:noWrap w:val="0"/>
                  <w:vAlign w:val="center"/>
                </w:tcPr>
                <w:p w14:paraId="68453005">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kern w:val="2"/>
                      <w:sz w:val="21"/>
                      <w:szCs w:val="21"/>
                      <w:u w:val="none" w:color="auto"/>
                      <w:lang w:val="en-US" w:eastAsia="zh-CN" w:bidi="ar-SA"/>
                    </w:rPr>
                    <w:t>41.4</w:t>
                  </w:r>
                </w:p>
              </w:tc>
              <w:tc>
                <w:tcPr>
                  <w:tcW w:w="526" w:type="pct"/>
                  <w:tcBorders>
                    <w:tl2br w:val="nil"/>
                    <w:tr2bl w:val="nil"/>
                  </w:tcBorders>
                  <w:noWrap w:val="0"/>
                  <w:vAlign w:val="center"/>
                </w:tcPr>
                <w:p w14:paraId="330C7525">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kern w:val="2"/>
                      <w:sz w:val="21"/>
                      <w:szCs w:val="21"/>
                      <w:u w:val="none" w:color="auto"/>
                      <w:lang w:val="en-US" w:eastAsia="zh-CN" w:bidi="ar-SA"/>
                    </w:rPr>
                    <w:t>41.5</w:t>
                  </w:r>
                </w:p>
              </w:tc>
              <w:tc>
                <w:tcPr>
                  <w:tcW w:w="526" w:type="pct"/>
                  <w:tcBorders>
                    <w:tl2br w:val="nil"/>
                    <w:tr2bl w:val="nil"/>
                  </w:tcBorders>
                  <w:noWrap w:val="0"/>
                  <w:vAlign w:val="center"/>
                </w:tcPr>
                <w:p w14:paraId="2A49E403">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kern w:val="2"/>
                      <w:sz w:val="21"/>
                      <w:szCs w:val="21"/>
                      <w:u w:val="none" w:color="auto"/>
                      <w:lang w:val="en-US" w:eastAsia="zh-CN" w:bidi="ar-SA"/>
                    </w:rPr>
                    <w:t>41.6</w:t>
                  </w:r>
                </w:p>
              </w:tc>
              <w:tc>
                <w:tcPr>
                  <w:tcW w:w="526" w:type="pct"/>
                  <w:tcBorders>
                    <w:tl2br w:val="nil"/>
                    <w:tr2bl w:val="nil"/>
                  </w:tcBorders>
                  <w:noWrap w:val="0"/>
                  <w:vAlign w:val="center"/>
                </w:tcPr>
                <w:p w14:paraId="3FDA829B">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kern w:val="2"/>
                      <w:sz w:val="21"/>
                      <w:szCs w:val="21"/>
                      <w:u w:val="none" w:color="auto"/>
                      <w:lang w:val="en-US" w:eastAsia="zh-CN" w:bidi="ar-SA"/>
                    </w:rPr>
                    <w:t>41.0</w:t>
                  </w:r>
                </w:p>
              </w:tc>
              <w:tc>
                <w:tcPr>
                  <w:tcW w:w="303" w:type="pct"/>
                  <w:tcBorders>
                    <w:tl2br w:val="nil"/>
                    <w:tr2bl w:val="nil"/>
                  </w:tcBorders>
                  <w:noWrap w:val="0"/>
                  <w:vAlign w:val="center"/>
                </w:tcPr>
                <w:p w14:paraId="62DFA5A4">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w:t>
                  </w:r>
                </w:p>
              </w:tc>
              <w:tc>
                <w:tcPr>
                  <w:tcW w:w="504" w:type="pct"/>
                  <w:tcBorders>
                    <w:tl2br w:val="nil"/>
                    <w:tr2bl w:val="nil"/>
                  </w:tcBorders>
                  <w:noWrap w:val="0"/>
                  <w:vAlign w:val="center"/>
                </w:tcPr>
                <w:p w14:paraId="378DC527">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w:t>
                  </w:r>
                </w:p>
              </w:tc>
            </w:tr>
            <w:tr w14:paraId="62AF609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3" w:type="pct"/>
                  <w:vMerge w:val="continue"/>
                  <w:tcBorders>
                    <w:tl2br w:val="nil"/>
                    <w:tr2bl w:val="nil"/>
                  </w:tcBorders>
                  <w:noWrap w:val="0"/>
                  <w:vAlign w:val="center"/>
                </w:tcPr>
                <w:p w14:paraId="611E0C44">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color w:val="auto"/>
                      <w:sz w:val="21"/>
                      <w:szCs w:val="21"/>
                      <w:u w:val="none" w:color="auto"/>
                    </w:rPr>
                  </w:pPr>
                </w:p>
              </w:tc>
              <w:tc>
                <w:tcPr>
                  <w:tcW w:w="403" w:type="pct"/>
                  <w:vMerge w:val="continue"/>
                  <w:tcBorders>
                    <w:tl2br w:val="nil"/>
                    <w:tr2bl w:val="nil"/>
                  </w:tcBorders>
                  <w:noWrap w:val="0"/>
                  <w:vAlign w:val="center"/>
                </w:tcPr>
                <w:p w14:paraId="50245932">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color w:val="auto"/>
                      <w:sz w:val="21"/>
                      <w:szCs w:val="21"/>
                      <w:u w:val="none" w:color="auto"/>
                    </w:rPr>
                  </w:pPr>
                </w:p>
              </w:tc>
              <w:tc>
                <w:tcPr>
                  <w:tcW w:w="714" w:type="pct"/>
                  <w:tcBorders>
                    <w:tl2br w:val="nil"/>
                    <w:tr2bl w:val="nil"/>
                  </w:tcBorders>
                  <w:noWrap w:val="0"/>
                  <w:vAlign w:val="center"/>
                </w:tcPr>
                <w:p w14:paraId="7FCEA79F">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平均流速</w:t>
                  </w:r>
                </w:p>
              </w:tc>
              <w:tc>
                <w:tcPr>
                  <w:tcW w:w="526" w:type="pct"/>
                  <w:tcBorders>
                    <w:tl2br w:val="nil"/>
                    <w:tr2bl w:val="nil"/>
                  </w:tcBorders>
                  <w:noWrap w:val="0"/>
                  <w:vAlign w:val="center"/>
                </w:tcPr>
                <w:p w14:paraId="111302CC">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kern w:val="2"/>
                      <w:sz w:val="21"/>
                      <w:szCs w:val="21"/>
                      <w:u w:val="none" w:color="auto"/>
                      <w:lang w:val="en-US" w:eastAsia="zh-CN" w:bidi="ar-SA"/>
                    </w:rPr>
                    <w:t>4.0</w:t>
                  </w:r>
                </w:p>
              </w:tc>
              <w:tc>
                <w:tcPr>
                  <w:tcW w:w="526" w:type="pct"/>
                  <w:tcBorders>
                    <w:tl2br w:val="nil"/>
                    <w:tr2bl w:val="nil"/>
                  </w:tcBorders>
                  <w:noWrap w:val="0"/>
                  <w:vAlign w:val="center"/>
                </w:tcPr>
                <w:p w14:paraId="1A4F1193">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kern w:val="2"/>
                      <w:sz w:val="21"/>
                      <w:szCs w:val="21"/>
                      <w:u w:val="none" w:color="auto"/>
                      <w:lang w:val="en-US" w:eastAsia="zh-CN" w:bidi="ar-SA"/>
                    </w:rPr>
                    <w:t>4.4</w:t>
                  </w:r>
                </w:p>
              </w:tc>
              <w:tc>
                <w:tcPr>
                  <w:tcW w:w="526" w:type="pct"/>
                  <w:tcBorders>
                    <w:tl2br w:val="nil"/>
                    <w:tr2bl w:val="nil"/>
                  </w:tcBorders>
                  <w:noWrap w:val="0"/>
                  <w:vAlign w:val="center"/>
                </w:tcPr>
                <w:p w14:paraId="11D2893F">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kern w:val="2"/>
                      <w:sz w:val="21"/>
                      <w:szCs w:val="21"/>
                      <w:u w:val="none" w:color="auto"/>
                      <w:lang w:val="en-US" w:eastAsia="zh-CN" w:bidi="ar-SA"/>
                    </w:rPr>
                    <w:t>4.5</w:t>
                  </w:r>
                </w:p>
              </w:tc>
              <w:tc>
                <w:tcPr>
                  <w:tcW w:w="526" w:type="pct"/>
                  <w:tcBorders>
                    <w:tl2br w:val="nil"/>
                    <w:tr2bl w:val="nil"/>
                  </w:tcBorders>
                  <w:noWrap w:val="0"/>
                  <w:vAlign w:val="center"/>
                </w:tcPr>
                <w:p w14:paraId="60F00F2C">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kern w:val="2"/>
                      <w:sz w:val="21"/>
                      <w:szCs w:val="21"/>
                      <w:u w:val="none" w:color="auto"/>
                      <w:lang w:val="en-US" w:eastAsia="zh-CN" w:bidi="ar-SA"/>
                    </w:rPr>
                    <w:t>4.6</w:t>
                  </w:r>
                </w:p>
              </w:tc>
              <w:tc>
                <w:tcPr>
                  <w:tcW w:w="526" w:type="pct"/>
                  <w:tcBorders>
                    <w:tl2br w:val="nil"/>
                    <w:tr2bl w:val="nil"/>
                  </w:tcBorders>
                  <w:noWrap w:val="0"/>
                  <w:vAlign w:val="center"/>
                </w:tcPr>
                <w:p w14:paraId="76411623">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kern w:val="2"/>
                      <w:sz w:val="21"/>
                      <w:szCs w:val="21"/>
                      <w:u w:val="none" w:color="auto"/>
                      <w:lang w:val="en-US" w:eastAsia="zh-CN" w:bidi="ar-SA"/>
                    </w:rPr>
                    <w:t>4.3</w:t>
                  </w:r>
                </w:p>
              </w:tc>
              <w:tc>
                <w:tcPr>
                  <w:tcW w:w="303" w:type="pct"/>
                  <w:tcBorders>
                    <w:tl2br w:val="nil"/>
                    <w:tr2bl w:val="nil"/>
                  </w:tcBorders>
                  <w:noWrap w:val="0"/>
                  <w:vAlign w:val="center"/>
                </w:tcPr>
                <w:p w14:paraId="63EC7B3C">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w:t>
                  </w:r>
                </w:p>
              </w:tc>
              <w:tc>
                <w:tcPr>
                  <w:tcW w:w="504" w:type="pct"/>
                  <w:tcBorders>
                    <w:tl2br w:val="nil"/>
                    <w:tr2bl w:val="nil"/>
                  </w:tcBorders>
                  <w:noWrap w:val="0"/>
                  <w:vAlign w:val="center"/>
                </w:tcPr>
                <w:p w14:paraId="5CFDD80B">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m/s</w:t>
                  </w:r>
                </w:p>
              </w:tc>
            </w:tr>
            <w:tr w14:paraId="66DB9A0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3" w:type="pct"/>
                  <w:vMerge w:val="continue"/>
                  <w:tcBorders>
                    <w:tl2br w:val="nil"/>
                    <w:tr2bl w:val="nil"/>
                  </w:tcBorders>
                  <w:noWrap w:val="0"/>
                  <w:vAlign w:val="center"/>
                </w:tcPr>
                <w:p w14:paraId="666D25E8">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color w:val="auto"/>
                      <w:sz w:val="21"/>
                      <w:szCs w:val="21"/>
                      <w:u w:val="none" w:color="auto"/>
                    </w:rPr>
                  </w:pPr>
                </w:p>
              </w:tc>
              <w:tc>
                <w:tcPr>
                  <w:tcW w:w="403" w:type="pct"/>
                  <w:vMerge w:val="continue"/>
                  <w:tcBorders>
                    <w:tl2br w:val="nil"/>
                    <w:tr2bl w:val="nil"/>
                  </w:tcBorders>
                  <w:noWrap w:val="0"/>
                  <w:vAlign w:val="center"/>
                </w:tcPr>
                <w:p w14:paraId="17ED7320">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color w:val="auto"/>
                      <w:sz w:val="21"/>
                      <w:szCs w:val="21"/>
                      <w:u w:val="none" w:color="auto"/>
                    </w:rPr>
                  </w:pPr>
                </w:p>
              </w:tc>
              <w:tc>
                <w:tcPr>
                  <w:tcW w:w="714" w:type="pct"/>
                  <w:tcBorders>
                    <w:tl2br w:val="nil"/>
                    <w:tr2bl w:val="nil"/>
                  </w:tcBorders>
                  <w:noWrap w:val="0"/>
                  <w:vAlign w:val="center"/>
                </w:tcPr>
                <w:p w14:paraId="00D98B1A">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油烟</w:t>
                  </w:r>
                </w:p>
              </w:tc>
              <w:tc>
                <w:tcPr>
                  <w:tcW w:w="526" w:type="pct"/>
                  <w:tcBorders>
                    <w:tl2br w:val="nil"/>
                    <w:tr2bl w:val="nil"/>
                  </w:tcBorders>
                  <w:noWrap w:val="0"/>
                  <w:vAlign w:val="center"/>
                </w:tcPr>
                <w:p w14:paraId="63FBE296">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0.74</w:t>
                  </w:r>
                </w:p>
              </w:tc>
              <w:tc>
                <w:tcPr>
                  <w:tcW w:w="526" w:type="pct"/>
                  <w:tcBorders>
                    <w:tl2br w:val="nil"/>
                    <w:tr2bl w:val="nil"/>
                  </w:tcBorders>
                  <w:noWrap w:val="0"/>
                  <w:vAlign w:val="center"/>
                </w:tcPr>
                <w:p w14:paraId="2AF79361">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0.83</w:t>
                  </w:r>
                </w:p>
              </w:tc>
              <w:tc>
                <w:tcPr>
                  <w:tcW w:w="526" w:type="pct"/>
                  <w:tcBorders>
                    <w:tl2br w:val="nil"/>
                    <w:tr2bl w:val="nil"/>
                  </w:tcBorders>
                  <w:noWrap w:val="0"/>
                  <w:vAlign w:val="center"/>
                </w:tcPr>
                <w:p w14:paraId="3415996D">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0.83</w:t>
                  </w:r>
                </w:p>
              </w:tc>
              <w:tc>
                <w:tcPr>
                  <w:tcW w:w="526" w:type="pct"/>
                  <w:tcBorders>
                    <w:tl2br w:val="nil"/>
                    <w:tr2bl w:val="nil"/>
                  </w:tcBorders>
                  <w:noWrap w:val="0"/>
                  <w:vAlign w:val="center"/>
                </w:tcPr>
                <w:p w14:paraId="1944ED9C">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0.82</w:t>
                  </w:r>
                </w:p>
              </w:tc>
              <w:tc>
                <w:tcPr>
                  <w:tcW w:w="526" w:type="pct"/>
                  <w:tcBorders>
                    <w:tl2br w:val="nil"/>
                    <w:tr2bl w:val="nil"/>
                  </w:tcBorders>
                  <w:noWrap w:val="0"/>
                  <w:vAlign w:val="center"/>
                </w:tcPr>
                <w:p w14:paraId="6B23237F">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0.82</w:t>
                  </w:r>
                </w:p>
              </w:tc>
              <w:tc>
                <w:tcPr>
                  <w:tcW w:w="303" w:type="pct"/>
                  <w:tcBorders>
                    <w:tl2br w:val="nil"/>
                    <w:tr2bl w:val="nil"/>
                  </w:tcBorders>
                  <w:noWrap w:val="0"/>
                  <w:vAlign w:val="center"/>
                </w:tcPr>
                <w:p w14:paraId="734AB9EB">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color w:val="auto"/>
                      <w:kern w:val="0"/>
                      <w:sz w:val="21"/>
                      <w:szCs w:val="21"/>
                      <w:u w:val="none" w:color="auto"/>
                      <w:lang w:val="en-US" w:eastAsia="zh-CN" w:bidi="ar-SA"/>
                    </w:rPr>
                  </w:pPr>
                  <w:r>
                    <w:rPr>
                      <w:rFonts w:hint="default" w:ascii="Times New Roman" w:hAnsi="Times New Roman" w:eastAsia="宋体" w:cs="Times New Roman"/>
                      <w:color w:val="auto"/>
                      <w:kern w:val="0"/>
                      <w:sz w:val="21"/>
                      <w:szCs w:val="21"/>
                      <w:u w:val="none" w:color="auto"/>
                    </w:rPr>
                    <w:t>2.0</w:t>
                  </w:r>
                </w:p>
              </w:tc>
              <w:tc>
                <w:tcPr>
                  <w:tcW w:w="504" w:type="pct"/>
                  <w:tcBorders>
                    <w:tl2br w:val="nil"/>
                    <w:tr2bl w:val="nil"/>
                  </w:tcBorders>
                  <w:noWrap w:val="0"/>
                  <w:vAlign w:val="center"/>
                </w:tcPr>
                <w:p w14:paraId="3BF19309">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kern w:val="0"/>
                      <w:sz w:val="21"/>
                      <w:szCs w:val="21"/>
                      <w:u w:val="none" w:color="auto"/>
                    </w:rPr>
                    <w:t>mg/m</w:t>
                  </w:r>
                  <w:r>
                    <w:rPr>
                      <w:rFonts w:hint="default" w:ascii="Times New Roman" w:hAnsi="Times New Roman" w:eastAsia="宋体" w:cs="Times New Roman"/>
                      <w:color w:val="auto"/>
                      <w:kern w:val="0"/>
                      <w:sz w:val="21"/>
                      <w:szCs w:val="21"/>
                      <w:u w:val="none" w:color="auto"/>
                      <w:vertAlign w:val="superscript"/>
                    </w:rPr>
                    <w:t>3</w:t>
                  </w:r>
                </w:p>
              </w:tc>
            </w:tr>
          </w:tbl>
          <w:p w14:paraId="48B35462">
            <w:pPr>
              <w:widowControl w:val="0"/>
              <w:adjustRightInd/>
              <w:snapToGrid/>
              <w:spacing w:after="0" w:line="360" w:lineRule="auto"/>
              <w:ind w:firstLine="480" w:firstLineChars="200"/>
              <w:jc w:val="both"/>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由上表可见，</w:t>
            </w:r>
            <w:r>
              <w:rPr>
                <w:rFonts w:hint="default" w:ascii="Times New Roman" w:hAnsi="Times New Roman" w:eastAsia="宋体" w:cs="Times New Roman"/>
                <w:color w:val="auto"/>
                <w:sz w:val="24"/>
                <w:szCs w:val="24"/>
                <w:u w:val="none" w:color="auto"/>
                <w:lang w:val="en-US" w:eastAsia="zh-CN"/>
              </w:rPr>
              <w:t>建设单位</w:t>
            </w:r>
            <w:r>
              <w:rPr>
                <w:rFonts w:hint="default" w:ascii="Times New Roman" w:hAnsi="Times New Roman" w:eastAsia="宋体" w:cs="Times New Roman"/>
                <w:color w:val="auto"/>
                <w:sz w:val="24"/>
                <w:szCs w:val="24"/>
                <w:u w:val="none" w:color="auto"/>
              </w:rPr>
              <w:t>有组织排放污染物均可</w:t>
            </w:r>
            <w:r>
              <w:rPr>
                <w:rFonts w:hint="eastAsia" w:cs="Times New Roman"/>
                <w:color w:val="auto"/>
                <w:sz w:val="24"/>
                <w:szCs w:val="24"/>
                <w:u w:val="none" w:color="auto"/>
                <w:lang w:val="en-US" w:eastAsia="zh-CN"/>
              </w:rPr>
              <w:t>满足</w:t>
            </w:r>
            <w:r>
              <w:rPr>
                <w:rFonts w:hint="default" w:ascii="Times New Roman" w:hAnsi="Times New Roman" w:eastAsia="宋体" w:cs="Times New Roman"/>
                <w:color w:val="auto"/>
                <w:sz w:val="24"/>
                <w:szCs w:val="24"/>
                <w:u w:val="none" w:color="auto"/>
              </w:rPr>
              <w:t>相关标准排放限值要求。</w:t>
            </w:r>
          </w:p>
          <w:p w14:paraId="71632A13">
            <w:pPr>
              <w:widowControl w:val="0"/>
              <w:adjustRightInd/>
              <w:snapToGrid/>
              <w:spacing w:after="0" w:line="360" w:lineRule="auto"/>
              <w:ind w:firstLine="480" w:firstLineChars="200"/>
              <w:jc w:val="both"/>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lang w:val="en-US" w:eastAsia="zh-CN"/>
              </w:rPr>
              <w:t>②</w:t>
            </w:r>
            <w:r>
              <w:rPr>
                <w:rFonts w:hint="default" w:ascii="Times New Roman" w:hAnsi="Times New Roman" w:eastAsia="宋体" w:cs="Times New Roman"/>
                <w:color w:val="auto"/>
                <w:sz w:val="24"/>
                <w:szCs w:val="24"/>
                <w:u w:val="none" w:color="auto"/>
              </w:rPr>
              <w:t>无组织排放</w:t>
            </w:r>
          </w:p>
          <w:p w14:paraId="4EBF0A8E">
            <w:pPr>
              <w:widowControl w:val="0"/>
              <w:adjustRightInd/>
              <w:snapToGrid/>
              <w:spacing w:after="0" w:line="360" w:lineRule="auto"/>
              <w:ind w:firstLine="480" w:firstLineChars="200"/>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color w:val="auto"/>
                <w:sz w:val="24"/>
                <w:szCs w:val="24"/>
                <w:u w:val="none" w:color="auto"/>
                <w:lang w:val="en-US" w:eastAsia="zh-CN"/>
              </w:rPr>
              <w:t>建设单位</w:t>
            </w:r>
            <w:r>
              <w:rPr>
                <w:rFonts w:hint="default" w:ascii="Times New Roman" w:hAnsi="Times New Roman" w:eastAsia="宋体" w:cs="Times New Roman"/>
                <w:color w:val="auto"/>
                <w:sz w:val="24"/>
                <w:szCs w:val="24"/>
                <w:u w:val="none" w:color="auto"/>
              </w:rPr>
              <w:t>验收</w:t>
            </w:r>
            <w:r>
              <w:rPr>
                <w:rFonts w:hint="default" w:ascii="Times New Roman" w:hAnsi="Times New Roman" w:eastAsia="宋体" w:cs="Times New Roman"/>
                <w:color w:val="auto"/>
                <w:sz w:val="24"/>
                <w:szCs w:val="24"/>
                <w:u w:val="none" w:color="auto"/>
                <w:lang w:val="en-US" w:eastAsia="zh-CN"/>
              </w:rPr>
              <w:t>期间</w:t>
            </w:r>
            <w:r>
              <w:rPr>
                <w:rFonts w:hint="default" w:ascii="Times New Roman" w:hAnsi="Times New Roman" w:eastAsia="宋体" w:cs="Times New Roman"/>
                <w:color w:val="auto"/>
                <w:sz w:val="24"/>
                <w:szCs w:val="24"/>
                <w:u w:val="none" w:color="auto"/>
              </w:rPr>
              <w:t>开展</w:t>
            </w:r>
            <w:r>
              <w:rPr>
                <w:rFonts w:hint="default" w:ascii="Times New Roman" w:hAnsi="Times New Roman" w:eastAsia="宋体" w:cs="Times New Roman"/>
                <w:color w:val="auto"/>
                <w:sz w:val="24"/>
                <w:szCs w:val="24"/>
                <w:u w:val="none" w:color="auto"/>
                <w:lang w:val="en-US" w:eastAsia="zh-CN"/>
              </w:rPr>
              <w:t>的无</w:t>
            </w:r>
            <w:r>
              <w:rPr>
                <w:rFonts w:hint="default" w:ascii="Times New Roman" w:hAnsi="Times New Roman" w:eastAsia="宋体" w:cs="Times New Roman"/>
                <w:color w:val="auto"/>
                <w:sz w:val="24"/>
                <w:szCs w:val="24"/>
                <w:u w:val="none" w:color="auto"/>
              </w:rPr>
              <w:t>组织废气监测结果如下所示：</w:t>
            </w:r>
          </w:p>
          <w:p w14:paraId="38EA5A86">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表</w:t>
            </w:r>
            <w:r>
              <w:rPr>
                <w:rFonts w:hint="default" w:ascii="Times New Roman" w:hAnsi="Times New Roman" w:eastAsia="宋体" w:cs="Times New Roman"/>
                <w:b/>
                <w:bCs/>
                <w:color w:val="auto"/>
                <w:sz w:val="21"/>
                <w:szCs w:val="21"/>
                <w:u w:val="none" w:color="auto"/>
                <w:lang w:val="en-US" w:eastAsia="zh-CN"/>
              </w:rPr>
              <w:t>2</w:t>
            </w:r>
            <w:r>
              <w:rPr>
                <w:rFonts w:hint="default" w:ascii="Times New Roman" w:hAnsi="Times New Roman" w:eastAsia="宋体" w:cs="Times New Roman"/>
                <w:b/>
                <w:bCs/>
                <w:color w:val="auto"/>
                <w:sz w:val="21"/>
                <w:szCs w:val="21"/>
                <w:u w:val="none" w:color="auto"/>
              </w:rPr>
              <w:t>-</w:t>
            </w:r>
            <w:r>
              <w:rPr>
                <w:rFonts w:hint="default" w:ascii="Times New Roman" w:hAnsi="Times New Roman" w:eastAsia="宋体" w:cs="Times New Roman"/>
                <w:b/>
                <w:bCs/>
                <w:color w:val="auto"/>
                <w:sz w:val="21"/>
                <w:szCs w:val="21"/>
                <w:u w:val="none" w:color="auto"/>
                <w:lang w:val="en-US" w:eastAsia="zh-CN"/>
              </w:rPr>
              <w:t>17</w:t>
            </w:r>
            <w:r>
              <w:rPr>
                <w:rFonts w:hint="default" w:ascii="Times New Roman" w:hAnsi="Times New Roman" w:eastAsia="宋体" w:cs="Times New Roman"/>
                <w:b/>
                <w:bCs/>
                <w:color w:val="auto"/>
                <w:sz w:val="21"/>
                <w:szCs w:val="21"/>
                <w:u w:val="none" w:color="auto"/>
              </w:rPr>
              <w:t xml:space="preserve">  无组织废气现场监测参数</w:t>
            </w:r>
          </w:p>
          <w:tbl>
            <w:tblPr>
              <w:tblStyle w:val="31"/>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887"/>
              <w:gridCol w:w="1300"/>
              <w:gridCol w:w="1517"/>
              <w:gridCol w:w="1037"/>
              <w:gridCol w:w="1037"/>
              <w:gridCol w:w="1040"/>
              <w:gridCol w:w="827"/>
              <w:gridCol w:w="824"/>
            </w:tblGrid>
            <w:tr w14:paraId="7C29607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blHeader/>
                <w:jc w:val="center"/>
              </w:trPr>
              <w:tc>
                <w:tcPr>
                  <w:tcW w:w="523" w:type="pct"/>
                  <w:vMerge w:val="restart"/>
                  <w:tcBorders>
                    <w:tl2br w:val="nil"/>
                    <w:tr2bl w:val="nil"/>
                  </w:tcBorders>
                  <w:noWrap w:val="0"/>
                  <w:vAlign w:val="center"/>
                </w:tcPr>
                <w:p w14:paraId="6C3F3F2A">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b/>
                      <w:bCs/>
                      <w:color w:val="auto"/>
                      <w:sz w:val="21"/>
                      <w:szCs w:val="21"/>
                      <w:highlight w:val="none"/>
                      <w:u w:val="none" w:color="auto"/>
                    </w:rPr>
                  </w:pPr>
                  <w:r>
                    <w:rPr>
                      <w:rFonts w:hint="default" w:ascii="Times New Roman" w:hAnsi="Times New Roman" w:eastAsia="宋体" w:cs="Times New Roman"/>
                      <w:b/>
                      <w:bCs/>
                      <w:color w:val="auto"/>
                      <w:sz w:val="21"/>
                      <w:szCs w:val="21"/>
                      <w:highlight w:val="none"/>
                      <w:u w:val="none" w:color="auto"/>
                    </w:rPr>
                    <w:t>采样</w:t>
                  </w:r>
                </w:p>
                <w:p w14:paraId="6A7212E9">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b/>
                      <w:bCs/>
                      <w:color w:val="auto"/>
                      <w:sz w:val="21"/>
                      <w:szCs w:val="21"/>
                      <w:highlight w:val="none"/>
                      <w:u w:val="none" w:color="auto"/>
                    </w:rPr>
                  </w:pPr>
                  <w:r>
                    <w:rPr>
                      <w:rFonts w:hint="default" w:ascii="Times New Roman" w:hAnsi="Times New Roman" w:eastAsia="宋体" w:cs="Times New Roman"/>
                      <w:b/>
                      <w:bCs/>
                      <w:color w:val="auto"/>
                      <w:sz w:val="21"/>
                      <w:szCs w:val="21"/>
                      <w:highlight w:val="none"/>
                      <w:u w:val="none" w:color="auto"/>
                    </w:rPr>
                    <w:t>时间</w:t>
                  </w:r>
                </w:p>
              </w:tc>
              <w:tc>
                <w:tcPr>
                  <w:tcW w:w="767" w:type="pct"/>
                  <w:vMerge w:val="restart"/>
                  <w:tcBorders>
                    <w:tl2br w:val="nil"/>
                    <w:tr2bl w:val="nil"/>
                  </w:tcBorders>
                  <w:noWrap w:val="0"/>
                  <w:vAlign w:val="center"/>
                </w:tcPr>
                <w:p w14:paraId="55C04F55">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b/>
                      <w:bCs/>
                      <w:color w:val="auto"/>
                      <w:sz w:val="21"/>
                      <w:szCs w:val="21"/>
                      <w:highlight w:val="none"/>
                      <w:u w:val="none" w:color="auto"/>
                      <w:lang w:eastAsia="zh-CN"/>
                    </w:rPr>
                  </w:pPr>
                  <w:r>
                    <w:rPr>
                      <w:rFonts w:hint="default" w:ascii="Times New Roman" w:hAnsi="Times New Roman" w:eastAsia="宋体" w:cs="Times New Roman"/>
                      <w:b/>
                      <w:bCs/>
                      <w:color w:val="auto"/>
                      <w:sz w:val="21"/>
                      <w:szCs w:val="21"/>
                      <w:highlight w:val="none"/>
                      <w:u w:val="none" w:color="auto"/>
                    </w:rPr>
                    <w:t>采样</w:t>
                  </w:r>
                  <w:r>
                    <w:rPr>
                      <w:rFonts w:hint="default" w:ascii="Times New Roman" w:hAnsi="Times New Roman" w:eastAsia="宋体" w:cs="Times New Roman"/>
                      <w:b/>
                      <w:bCs/>
                      <w:color w:val="auto"/>
                      <w:sz w:val="21"/>
                      <w:szCs w:val="21"/>
                      <w:highlight w:val="none"/>
                      <w:u w:val="none" w:color="auto"/>
                      <w:lang w:eastAsia="zh-CN"/>
                    </w:rPr>
                    <w:t>点位</w:t>
                  </w:r>
                </w:p>
              </w:tc>
              <w:tc>
                <w:tcPr>
                  <w:tcW w:w="894" w:type="pct"/>
                  <w:vMerge w:val="restart"/>
                  <w:tcBorders>
                    <w:tl2br w:val="nil"/>
                    <w:tr2bl w:val="nil"/>
                  </w:tcBorders>
                  <w:noWrap w:val="0"/>
                  <w:vAlign w:val="center"/>
                </w:tcPr>
                <w:p w14:paraId="6BE88078">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b/>
                      <w:bCs/>
                      <w:color w:val="auto"/>
                      <w:sz w:val="21"/>
                      <w:szCs w:val="21"/>
                      <w:highlight w:val="none"/>
                      <w:u w:val="none" w:color="auto"/>
                    </w:rPr>
                  </w:pPr>
                  <w:r>
                    <w:rPr>
                      <w:rFonts w:hint="default" w:ascii="Times New Roman" w:hAnsi="Times New Roman" w:eastAsia="宋体" w:cs="Times New Roman"/>
                      <w:b/>
                      <w:bCs/>
                      <w:color w:val="auto"/>
                      <w:sz w:val="21"/>
                      <w:szCs w:val="21"/>
                      <w:highlight w:val="none"/>
                      <w:u w:val="none" w:color="auto"/>
                    </w:rPr>
                    <w:t>检测项目</w:t>
                  </w:r>
                </w:p>
              </w:tc>
              <w:tc>
                <w:tcPr>
                  <w:tcW w:w="1838" w:type="pct"/>
                  <w:gridSpan w:val="3"/>
                  <w:tcBorders>
                    <w:tl2br w:val="nil"/>
                    <w:tr2bl w:val="nil"/>
                  </w:tcBorders>
                  <w:noWrap w:val="0"/>
                  <w:vAlign w:val="center"/>
                </w:tcPr>
                <w:p w14:paraId="0C49B1D9">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b/>
                      <w:bCs/>
                      <w:color w:val="auto"/>
                      <w:sz w:val="21"/>
                      <w:szCs w:val="21"/>
                      <w:highlight w:val="none"/>
                      <w:u w:val="none" w:color="auto"/>
                    </w:rPr>
                  </w:pPr>
                  <w:r>
                    <w:rPr>
                      <w:rFonts w:hint="default" w:ascii="Times New Roman" w:hAnsi="Times New Roman" w:eastAsia="宋体" w:cs="Times New Roman"/>
                      <w:b/>
                      <w:bCs/>
                      <w:color w:val="auto"/>
                      <w:sz w:val="21"/>
                      <w:szCs w:val="21"/>
                      <w:highlight w:val="none"/>
                      <w:u w:val="none" w:color="auto"/>
                    </w:rPr>
                    <w:t>检测结果</w:t>
                  </w:r>
                </w:p>
              </w:tc>
              <w:tc>
                <w:tcPr>
                  <w:tcW w:w="488" w:type="pct"/>
                  <w:vMerge w:val="restart"/>
                  <w:tcBorders>
                    <w:tl2br w:val="nil"/>
                    <w:tr2bl w:val="nil"/>
                  </w:tcBorders>
                  <w:noWrap w:val="0"/>
                  <w:vAlign w:val="center"/>
                </w:tcPr>
                <w:p w14:paraId="1C5D4F99">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b/>
                      <w:bCs/>
                      <w:color w:val="auto"/>
                      <w:sz w:val="21"/>
                      <w:szCs w:val="21"/>
                      <w:highlight w:val="none"/>
                      <w:u w:val="none" w:color="auto"/>
                      <w:lang w:eastAsia="zh-CN"/>
                    </w:rPr>
                  </w:pPr>
                  <w:r>
                    <w:rPr>
                      <w:rFonts w:hint="default" w:ascii="Times New Roman" w:hAnsi="Times New Roman" w:eastAsia="宋体" w:cs="Times New Roman"/>
                      <w:b/>
                      <w:bCs/>
                      <w:color w:val="auto"/>
                      <w:sz w:val="21"/>
                      <w:szCs w:val="21"/>
                      <w:highlight w:val="none"/>
                      <w:u w:val="none" w:color="auto"/>
                      <w:lang w:eastAsia="zh-CN"/>
                    </w:rPr>
                    <w:t>参考</w:t>
                  </w:r>
                </w:p>
                <w:p w14:paraId="73632C3B">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b/>
                      <w:bCs/>
                      <w:color w:val="auto"/>
                      <w:sz w:val="21"/>
                      <w:szCs w:val="21"/>
                      <w:highlight w:val="none"/>
                      <w:u w:val="none" w:color="auto"/>
                      <w:lang w:eastAsia="zh-CN"/>
                    </w:rPr>
                  </w:pPr>
                  <w:r>
                    <w:rPr>
                      <w:rFonts w:hint="default" w:ascii="Times New Roman" w:hAnsi="Times New Roman" w:eastAsia="宋体" w:cs="Times New Roman"/>
                      <w:b/>
                      <w:bCs/>
                      <w:color w:val="auto"/>
                      <w:sz w:val="21"/>
                      <w:szCs w:val="21"/>
                      <w:highlight w:val="none"/>
                      <w:u w:val="none" w:color="auto"/>
                      <w:lang w:eastAsia="zh-CN"/>
                    </w:rPr>
                    <w:t>限值</w:t>
                  </w:r>
                </w:p>
              </w:tc>
              <w:tc>
                <w:tcPr>
                  <w:tcW w:w="486" w:type="pct"/>
                  <w:vMerge w:val="restart"/>
                  <w:tcBorders>
                    <w:tl2br w:val="nil"/>
                    <w:tr2bl w:val="nil"/>
                  </w:tcBorders>
                  <w:noWrap w:val="0"/>
                  <w:vAlign w:val="center"/>
                </w:tcPr>
                <w:p w14:paraId="6103EDE8">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b/>
                      <w:bCs/>
                      <w:color w:val="auto"/>
                      <w:sz w:val="21"/>
                      <w:szCs w:val="21"/>
                      <w:highlight w:val="none"/>
                      <w:u w:val="none" w:color="auto"/>
                    </w:rPr>
                  </w:pPr>
                  <w:r>
                    <w:rPr>
                      <w:rFonts w:hint="default" w:ascii="Times New Roman" w:hAnsi="Times New Roman" w:eastAsia="宋体" w:cs="Times New Roman"/>
                      <w:b/>
                      <w:bCs/>
                      <w:color w:val="auto"/>
                      <w:sz w:val="21"/>
                      <w:szCs w:val="21"/>
                      <w:highlight w:val="none"/>
                      <w:u w:val="none" w:color="auto"/>
                    </w:rPr>
                    <w:t>单位</w:t>
                  </w:r>
                </w:p>
              </w:tc>
            </w:tr>
            <w:tr w14:paraId="62E94D7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blHeader/>
                <w:jc w:val="center"/>
              </w:trPr>
              <w:tc>
                <w:tcPr>
                  <w:tcW w:w="523" w:type="pct"/>
                  <w:vMerge w:val="continue"/>
                  <w:tcBorders>
                    <w:tl2br w:val="nil"/>
                    <w:tr2bl w:val="nil"/>
                  </w:tcBorders>
                  <w:noWrap w:val="0"/>
                  <w:vAlign w:val="center"/>
                </w:tcPr>
                <w:p w14:paraId="039D9F0E">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sz w:val="21"/>
                      <w:szCs w:val="21"/>
                      <w:highlight w:val="none"/>
                      <w:u w:val="none" w:color="auto"/>
                    </w:rPr>
                  </w:pPr>
                </w:p>
              </w:tc>
              <w:tc>
                <w:tcPr>
                  <w:tcW w:w="767" w:type="pct"/>
                  <w:vMerge w:val="continue"/>
                  <w:tcBorders>
                    <w:tl2br w:val="nil"/>
                    <w:tr2bl w:val="nil"/>
                  </w:tcBorders>
                  <w:noWrap w:val="0"/>
                  <w:vAlign w:val="center"/>
                </w:tcPr>
                <w:p w14:paraId="68C0207C">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sz w:val="21"/>
                      <w:szCs w:val="21"/>
                      <w:highlight w:val="none"/>
                      <w:u w:val="none" w:color="auto"/>
                    </w:rPr>
                  </w:pPr>
                </w:p>
              </w:tc>
              <w:tc>
                <w:tcPr>
                  <w:tcW w:w="894" w:type="pct"/>
                  <w:vMerge w:val="continue"/>
                  <w:tcBorders>
                    <w:tl2br w:val="nil"/>
                    <w:tr2bl w:val="nil"/>
                  </w:tcBorders>
                  <w:noWrap w:val="0"/>
                  <w:vAlign w:val="center"/>
                </w:tcPr>
                <w:p w14:paraId="26339E0F">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sz w:val="21"/>
                      <w:szCs w:val="21"/>
                      <w:highlight w:val="none"/>
                      <w:u w:val="none" w:color="auto"/>
                    </w:rPr>
                  </w:pPr>
                </w:p>
              </w:tc>
              <w:tc>
                <w:tcPr>
                  <w:tcW w:w="612" w:type="pct"/>
                  <w:tcBorders>
                    <w:tl2br w:val="nil"/>
                    <w:tr2bl w:val="nil"/>
                  </w:tcBorders>
                  <w:noWrap w:val="0"/>
                  <w:vAlign w:val="center"/>
                </w:tcPr>
                <w:p w14:paraId="793597B5">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b/>
                      <w:bCs/>
                      <w:color w:val="auto"/>
                      <w:sz w:val="21"/>
                      <w:szCs w:val="21"/>
                      <w:highlight w:val="none"/>
                      <w:u w:val="none" w:color="auto"/>
                    </w:rPr>
                  </w:pPr>
                  <w:r>
                    <w:rPr>
                      <w:rFonts w:hint="default" w:ascii="Times New Roman" w:hAnsi="Times New Roman" w:eastAsia="宋体" w:cs="Times New Roman"/>
                      <w:b/>
                      <w:bCs/>
                      <w:color w:val="auto"/>
                      <w:sz w:val="21"/>
                      <w:szCs w:val="21"/>
                      <w:highlight w:val="none"/>
                      <w:u w:val="none" w:color="auto"/>
                    </w:rPr>
                    <w:t>第一次</w:t>
                  </w:r>
                </w:p>
              </w:tc>
              <w:tc>
                <w:tcPr>
                  <w:tcW w:w="612" w:type="pct"/>
                  <w:tcBorders>
                    <w:tl2br w:val="nil"/>
                    <w:tr2bl w:val="nil"/>
                  </w:tcBorders>
                  <w:noWrap w:val="0"/>
                  <w:vAlign w:val="center"/>
                </w:tcPr>
                <w:p w14:paraId="7778901B">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b/>
                      <w:bCs/>
                      <w:color w:val="auto"/>
                      <w:sz w:val="21"/>
                      <w:szCs w:val="21"/>
                      <w:highlight w:val="none"/>
                      <w:u w:val="none" w:color="auto"/>
                    </w:rPr>
                  </w:pPr>
                  <w:r>
                    <w:rPr>
                      <w:rFonts w:hint="default" w:ascii="Times New Roman" w:hAnsi="Times New Roman" w:eastAsia="宋体" w:cs="Times New Roman"/>
                      <w:b/>
                      <w:bCs/>
                      <w:color w:val="auto"/>
                      <w:sz w:val="21"/>
                      <w:szCs w:val="21"/>
                      <w:highlight w:val="none"/>
                      <w:u w:val="none" w:color="auto"/>
                    </w:rPr>
                    <w:t>第二次</w:t>
                  </w:r>
                </w:p>
              </w:tc>
              <w:tc>
                <w:tcPr>
                  <w:tcW w:w="614" w:type="pct"/>
                  <w:tcBorders>
                    <w:tl2br w:val="nil"/>
                    <w:tr2bl w:val="nil"/>
                  </w:tcBorders>
                  <w:noWrap w:val="0"/>
                  <w:vAlign w:val="center"/>
                </w:tcPr>
                <w:p w14:paraId="5F0C5C87">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b/>
                      <w:bCs/>
                      <w:color w:val="auto"/>
                      <w:sz w:val="21"/>
                      <w:szCs w:val="21"/>
                      <w:highlight w:val="none"/>
                      <w:u w:val="none" w:color="auto"/>
                    </w:rPr>
                  </w:pPr>
                  <w:r>
                    <w:rPr>
                      <w:rFonts w:hint="default" w:ascii="Times New Roman" w:hAnsi="Times New Roman" w:eastAsia="宋体" w:cs="Times New Roman"/>
                      <w:b/>
                      <w:bCs/>
                      <w:color w:val="auto"/>
                      <w:sz w:val="21"/>
                      <w:szCs w:val="21"/>
                      <w:highlight w:val="none"/>
                      <w:u w:val="none" w:color="auto"/>
                    </w:rPr>
                    <w:t>第三次</w:t>
                  </w:r>
                </w:p>
              </w:tc>
              <w:tc>
                <w:tcPr>
                  <w:tcW w:w="488" w:type="pct"/>
                  <w:vMerge w:val="continue"/>
                  <w:tcBorders>
                    <w:tl2br w:val="nil"/>
                    <w:tr2bl w:val="nil"/>
                  </w:tcBorders>
                  <w:noWrap w:val="0"/>
                  <w:vAlign w:val="center"/>
                </w:tcPr>
                <w:p w14:paraId="56063611">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sz w:val="21"/>
                      <w:szCs w:val="21"/>
                      <w:highlight w:val="none"/>
                      <w:u w:val="none" w:color="auto"/>
                    </w:rPr>
                  </w:pPr>
                </w:p>
              </w:tc>
              <w:tc>
                <w:tcPr>
                  <w:tcW w:w="486" w:type="pct"/>
                  <w:vMerge w:val="continue"/>
                  <w:tcBorders>
                    <w:tl2br w:val="nil"/>
                    <w:tr2bl w:val="nil"/>
                  </w:tcBorders>
                  <w:noWrap w:val="0"/>
                  <w:vAlign w:val="center"/>
                </w:tcPr>
                <w:p w14:paraId="49EB64F8">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sz w:val="21"/>
                      <w:szCs w:val="21"/>
                      <w:highlight w:val="none"/>
                      <w:u w:val="none" w:color="auto"/>
                    </w:rPr>
                  </w:pPr>
                </w:p>
              </w:tc>
            </w:tr>
            <w:tr w14:paraId="778AF6D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23" w:type="pct"/>
                  <w:vMerge w:val="restart"/>
                  <w:tcBorders>
                    <w:tl2br w:val="nil"/>
                    <w:tr2bl w:val="nil"/>
                  </w:tcBorders>
                  <w:noWrap w:val="0"/>
                  <w:vAlign w:val="center"/>
                </w:tcPr>
                <w:p w14:paraId="552D8336">
                  <w:pPr>
                    <w:keepNext w:val="0"/>
                    <w:keepLines w:val="0"/>
                    <w:pageBreakBefore w:val="0"/>
                    <w:widowControl/>
                    <w:kinsoku/>
                    <w:wordWrap/>
                    <w:overflowPunct/>
                    <w:topLinePunct w:val="0"/>
                    <w:autoSpaceDE/>
                    <w:autoSpaceDN/>
                    <w:bidi w:val="0"/>
                    <w:adjustRightInd/>
                    <w:snapToGrid/>
                    <w:spacing w:after="0"/>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lang w:val="en-US" w:eastAsia="zh-CN"/>
                    </w:rPr>
                    <w:t>5月30日</w:t>
                  </w:r>
                </w:p>
              </w:tc>
              <w:tc>
                <w:tcPr>
                  <w:tcW w:w="767" w:type="pct"/>
                  <w:vMerge w:val="restart"/>
                  <w:tcBorders>
                    <w:tl2br w:val="nil"/>
                    <w:tr2bl w:val="nil"/>
                  </w:tcBorders>
                  <w:noWrap w:val="0"/>
                  <w:vAlign w:val="center"/>
                </w:tcPr>
                <w:p w14:paraId="7314F86E">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lang w:val="en-US" w:eastAsia="zh-CN"/>
                    </w:rPr>
                    <w:t>厂界上风向2m-50mG1</w:t>
                  </w:r>
                </w:p>
              </w:tc>
              <w:tc>
                <w:tcPr>
                  <w:tcW w:w="894" w:type="pct"/>
                  <w:tcBorders>
                    <w:tl2br w:val="nil"/>
                    <w:tr2bl w:val="nil"/>
                  </w:tcBorders>
                  <w:noWrap w:val="0"/>
                  <w:vAlign w:val="center"/>
                </w:tcPr>
                <w:p w14:paraId="5B380729">
                  <w:pPr>
                    <w:keepNext w:val="0"/>
                    <w:keepLines w:val="0"/>
                    <w:pageBreakBefore w:val="0"/>
                    <w:widowControl/>
                    <w:kinsoku/>
                    <w:wordWrap/>
                    <w:overflowPunct/>
                    <w:topLinePunct w:val="0"/>
                    <w:autoSpaceDE/>
                    <w:autoSpaceDN/>
                    <w:bidi w:val="0"/>
                    <w:adjustRightInd/>
                    <w:snapToGrid/>
                    <w:spacing w:after="0"/>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二氧化硫</w:t>
                  </w:r>
                </w:p>
              </w:tc>
              <w:tc>
                <w:tcPr>
                  <w:tcW w:w="612" w:type="pct"/>
                  <w:tcBorders>
                    <w:tl2br w:val="nil"/>
                    <w:tr2bl w:val="nil"/>
                  </w:tcBorders>
                  <w:noWrap w:val="0"/>
                  <w:vAlign w:val="center"/>
                </w:tcPr>
                <w:p w14:paraId="25264847">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0.020</w:t>
                  </w:r>
                </w:p>
              </w:tc>
              <w:tc>
                <w:tcPr>
                  <w:tcW w:w="612" w:type="pct"/>
                  <w:tcBorders>
                    <w:tl2br w:val="nil"/>
                    <w:tr2bl w:val="nil"/>
                  </w:tcBorders>
                  <w:noWrap w:val="0"/>
                  <w:vAlign w:val="center"/>
                </w:tcPr>
                <w:p w14:paraId="014BDA24">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0.017</w:t>
                  </w:r>
                </w:p>
              </w:tc>
              <w:tc>
                <w:tcPr>
                  <w:tcW w:w="614" w:type="pct"/>
                  <w:tcBorders>
                    <w:tl2br w:val="nil"/>
                    <w:tr2bl w:val="nil"/>
                  </w:tcBorders>
                  <w:noWrap w:val="0"/>
                  <w:vAlign w:val="center"/>
                </w:tcPr>
                <w:p w14:paraId="30801FA1">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0.024</w:t>
                  </w:r>
                </w:p>
              </w:tc>
              <w:tc>
                <w:tcPr>
                  <w:tcW w:w="488" w:type="pct"/>
                  <w:tcBorders>
                    <w:tl2br w:val="nil"/>
                    <w:tr2bl w:val="nil"/>
                  </w:tcBorders>
                  <w:noWrap w:val="0"/>
                  <w:vAlign w:val="center"/>
                </w:tcPr>
                <w:p w14:paraId="57CF6C33">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0.40</w:t>
                  </w:r>
                </w:p>
              </w:tc>
              <w:tc>
                <w:tcPr>
                  <w:tcW w:w="486" w:type="pct"/>
                  <w:tcBorders>
                    <w:tl2br w:val="nil"/>
                    <w:tr2bl w:val="nil"/>
                  </w:tcBorders>
                  <w:noWrap w:val="0"/>
                  <w:vAlign w:val="center"/>
                </w:tcPr>
                <w:p w14:paraId="531EB748">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bCs/>
                      <w:color w:val="auto"/>
                      <w:kern w:val="0"/>
                      <w:sz w:val="21"/>
                      <w:szCs w:val="21"/>
                      <w:highlight w:val="none"/>
                      <w:u w:val="none" w:color="auto"/>
                      <w:lang w:val="en-US" w:eastAsia="zh-CN"/>
                    </w:rPr>
                  </w:pPr>
                  <w:r>
                    <w:rPr>
                      <w:rFonts w:hint="default" w:ascii="Times New Roman" w:hAnsi="Times New Roman" w:eastAsia="宋体" w:cs="Times New Roman"/>
                      <w:bCs/>
                      <w:color w:val="auto"/>
                      <w:kern w:val="0"/>
                      <w:sz w:val="21"/>
                      <w:szCs w:val="21"/>
                      <w:highlight w:val="none"/>
                      <w:u w:val="none" w:color="auto"/>
                      <w:lang w:val="en-US" w:eastAsia="zh-CN"/>
                    </w:rPr>
                    <w:t>mg/m</w:t>
                  </w:r>
                  <w:r>
                    <w:rPr>
                      <w:rFonts w:hint="default" w:ascii="Times New Roman" w:hAnsi="Times New Roman" w:eastAsia="宋体" w:cs="Times New Roman"/>
                      <w:bCs/>
                      <w:color w:val="auto"/>
                      <w:kern w:val="0"/>
                      <w:sz w:val="21"/>
                      <w:szCs w:val="21"/>
                      <w:highlight w:val="none"/>
                      <w:u w:val="none" w:color="auto"/>
                      <w:vertAlign w:val="superscript"/>
                      <w:lang w:val="en-US" w:eastAsia="zh-CN"/>
                    </w:rPr>
                    <w:t>3</w:t>
                  </w:r>
                </w:p>
              </w:tc>
            </w:tr>
            <w:tr w14:paraId="03A3EA9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23" w:type="pct"/>
                  <w:vMerge w:val="continue"/>
                  <w:tcBorders>
                    <w:tl2br w:val="nil"/>
                    <w:tr2bl w:val="nil"/>
                  </w:tcBorders>
                  <w:noWrap w:val="0"/>
                  <w:vAlign w:val="center"/>
                </w:tcPr>
                <w:p w14:paraId="1C8601F4">
                  <w:pPr>
                    <w:keepNext w:val="0"/>
                    <w:keepLines w:val="0"/>
                    <w:pageBreakBefore w:val="0"/>
                    <w:widowControl/>
                    <w:kinsoku/>
                    <w:wordWrap/>
                    <w:overflowPunct/>
                    <w:topLinePunct w:val="0"/>
                    <w:autoSpaceDE/>
                    <w:autoSpaceDN/>
                    <w:bidi w:val="0"/>
                    <w:adjustRightInd/>
                    <w:snapToGrid/>
                    <w:spacing w:after="0"/>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u w:val="none" w:color="auto"/>
                      <w:lang w:val="en-US" w:eastAsia="zh-CN"/>
                    </w:rPr>
                  </w:pPr>
                </w:p>
              </w:tc>
              <w:tc>
                <w:tcPr>
                  <w:tcW w:w="767" w:type="pct"/>
                  <w:vMerge w:val="continue"/>
                  <w:tcBorders>
                    <w:tl2br w:val="nil"/>
                    <w:tr2bl w:val="nil"/>
                  </w:tcBorders>
                  <w:noWrap w:val="0"/>
                  <w:vAlign w:val="center"/>
                </w:tcPr>
                <w:p w14:paraId="48619576">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sz w:val="21"/>
                      <w:szCs w:val="21"/>
                      <w:highlight w:val="none"/>
                      <w:u w:val="none" w:color="auto"/>
                      <w:lang w:val="en-US" w:eastAsia="zh-CN"/>
                    </w:rPr>
                  </w:pPr>
                </w:p>
              </w:tc>
              <w:tc>
                <w:tcPr>
                  <w:tcW w:w="894" w:type="pct"/>
                  <w:tcBorders>
                    <w:tl2br w:val="nil"/>
                    <w:tr2bl w:val="nil"/>
                  </w:tcBorders>
                  <w:noWrap w:val="0"/>
                  <w:vAlign w:val="center"/>
                </w:tcPr>
                <w:p w14:paraId="7C5663EE">
                  <w:pPr>
                    <w:keepNext w:val="0"/>
                    <w:keepLines w:val="0"/>
                    <w:pageBreakBefore w:val="0"/>
                    <w:widowControl/>
                    <w:kinsoku/>
                    <w:wordWrap/>
                    <w:overflowPunct/>
                    <w:topLinePunct w:val="0"/>
                    <w:autoSpaceDE/>
                    <w:autoSpaceDN/>
                    <w:bidi w:val="0"/>
                    <w:adjustRightInd/>
                    <w:snapToGrid/>
                    <w:spacing w:after="0"/>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氮氧化物</w:t>
                  </w:r>
                </w:p>
              </w:tc>
              <w:tc>
                <w:tcPr>
                  <w:tcW w:w="612" w:type="pct"/>
                  <w:tcBorders>
                    <w:tl2br w:val="nil"/>
                    <w:tr2bl w:val="nil"/>
                  </w:tcBorders>
                  <w:noWrap w:val="0"/>
                  <w:vAlign w:val="center"/>
                </w:tcPr>
                <w:p w14:paraId="0AF97022">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0.051</w:t>
                  </w:r>
                </w:p>
              </w:tc>
              <w:tc>
                <w:tcPr>
                  <w:tcW w:w="612" w:type="pct"/>
                  <w:tcBorders>
                    <w:tl2br w:val="nil"/>
                    <w:tr2bl w:val="nil"/>
                  </w:tcBorders>
                  <w:noWrap w:val="0"/>
                  <w:vAlign w:val="center"/>
                </w:tcPr>
                <w:p w14:paraId="2C96F06C">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0.046</w:t>
                  </w:r>
                </w:p>
              </w:tc>
              <w:tc>
                <w:tcPr>
                  <w:tcW w:w="614" w:type="pct"/>
                  <w:tcBorders>
                    <w:tl2br w:val="nil"/>
                    <w:tr2bl w:val="nil"/>
                  </w:tcBorders>
                  <w:noWrap w:val="0"/>
                  <w:vAlign w:val="center"/>
                </w:tcPr>
                <w:p w14:paraId="6100354D">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0.056</w:t>
                  </w:r>
                </w:p>
              </w:tc>
              <w:tc>
                <w:tcPr>
                  <w:tcW w:w="488" w:type="pct"/>
                  <w:tcBorders>
                    <w:tl2br w:val="nil"/>
                    <w:tr2bl w:val="nil"/>
                  </w:tcBorders>
                  <w:noWrap w:val="0"/>
                  <w:vAlign w:val="center"/>
                </w:tcPr>
                <w:p w14:paraId="31D3E06F">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0.12</w:t>
                  </w:r>
                </w:p>
              </w:tc>
              <w:tc>
                <w:tcPr>
                  <w:tcW w:w="486" w:type="pct"/>
                  <w:tcBorders>
                    <w:tl2br w:val="nil"/>
                    <w:tr2bl w:val="nil"/>
                  </w:tcBorders>
                  <w:noWrap w:val="0"/>
                  <w:vAlign w:val="center"/>
                </w:tcPr>
                <w:p w14:paraId="1C9009C6">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bCs/>
                      <w:color w:val="auto"/>
                      <w:kern w:val="0"/>
                      <w:sz w:val="21"/>
                      <w:szCs w:val="21"/>
                      <w:highlight w:val="none"/>
                      <w:u w:val="none" w:color="auto"/>
                      <w:lang w:val="en-US" w:eastAsia="zh-CN"/>
                    </w:rPr>
                  </w:pPr>
                  <w:r>
                    <w:rPr>
                      <w:rFonts w:hint="default" w:ascii="Times New Roman" w:hAnsi="Times New Roman" w:eastAsia="宋体" w:cs="Times New Roman"/>
                      <w:bCs/>
                      <w:color w:val="auto"/>
                      <w:kern w:val="0"/>
                      <w:sz w:val="21"/>
                      <w:szCs w:val="21"/>
                      <w:highlight w:val="none"/>
                      <w:u w:val="none" w:color="auto"/>
                      <w:lang w:val="en-US" w:eastAsia="zh-CN"/>
                    </w:rPr>
                    <w:t>mg/m</w:t>
                  </w:r>
                  <w:r>
                    <w:rPr>
                      <w:rFonts w:hint="default" w:ascii="Times New Roman" w:hAnsi="Times New Roman" w:eastAsia="宋体" w:cs="Times New Roman"/>
                      <w:bCs/>
                      <w:color w:val="auto"/>
                      <w:kern w:val="0"/>
                      <w:sz w:val="21"/>
                      <w:szCs w:val="21"/>
                      <w:highlight w:val="none"/>
                      <w:u w:val="none" w:color="auto"/>
                      <w:vertAlign w:val="superscript"/>
                      <w:lang w:val="en-US" w:eastAsia="zh-CN"/>
                    </w:rPr>
                    <w:t>3</w:t>
                  </w:r>
                </w:p>
              </w:tc>
            </w:tr>
            <w:tr w14:paraId="45E9893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23" w:type="pct"/>
                  <w:vMerge w:val="continue"/>
                  <w:tcBorders>
                    <w:tl2br w:val="nil"/>
                    <w:tr2bl w:val="nil"/>
                  </w:tcBorders>
                  <w:noWrap w:val="0"/>
                  <w:vAlign w:val="center"/>
                </w:tcPr>
                <w:p w14:paraId="035ED06A">
                  <w:pPr>
                    <w:keepNext w:val="0"/>
                    <w:keepLines w:val="0"/>
                    <w:pageBreakBefore w:val="0"/>
                    <w:widowControl/>
                    <w:kinsoku/>
                    <w:wordWrap/>
                    <w:overflowPunct/>
                    <w:topLinePunct w:val="0"/>
                    <w:autoSpaceDE/>
                    <w:autoSpaceDN/>
                    <w:bidi w:val="0"/>
                    <w:adjustRightInd/>
                    <w:snapToGrid/>
                    <w:spacing w:after="0"/>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u w:val="none" w:color="auto"/>
                      <w:lang w:val="en-US" w:eastAsia="zh-CN"/>
                    </w:rPr>
                  </w:pPr>
                </w:p>
              </w:tc>
              <w:tc>
                <w:tcPr>
                  <w:tcW w:w="767" w:type="pct"/>
                  <w:vMerge w:val="continue"/>
                  <w:tcBorders>
                    <w:tl2br w:val="nil"/>
                    <w:tr2bl w:val="nil"/>
                  </w:tcBorders>
                  <w:noWrap w:val="0"/>
                  <w:vAlign w:val="center"/>
                </w:tcPr>
                <w:p w14:paraId="2C10BECE">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sz w:val="21"/>
                      <w:szCs w:val="21"/>
                      <w:highlight w:val="none"/>
                      <w:u w:val="none" w:color="auto"/>
                      <w:lang w:val="en-US" w:eastAsia="zh-CN"/>
                    </w:rPr>
                  </w:pPr>
                </w:p>
              </w:tc>
              <w:tc>
                <w:tcPr>
                  <w:tcW w:w="894" w:type="pct"/>
                  <w:tcBorders>
                    <w:tl2br w:val="nil"/>
                    <w:tr2bl w:val="nil"/>
                  </w:tcBorders>
                  <w:noWrap w:val="0"/>
                  <w:vAlign w:val="center"/>
                </w:tcPr>
                <w:p w14:paraId="0BA279FF">
                  <w:pPr>
                    <w:keepNext w:val="0"/>
                    <w:keepLines w:val="0"/>
                    <w:pageBreakBefore w:val="0"/>
                    <w:widowControl/>
                    <w:kinsoku/>
                    <w:wordWrap/>
                    <w:overflowPunct/>
                    <w:topLinePunct w:val="0"/>
                    <w:autoSpaceDE/>
                    <w:autoSpaceDN/>
                    <w:bidi w:val="0"/>
                    <w:adjustRightInd/>
                    <w:snapToGrid/>
                    <w:spacing w:after="0"/>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粉尘</w:t>
                  </w:r>
                </w:p>
              </w:tc>
              <w:tc>
                <w:tcPr>
                  <w:tcW w:w="612" w:type="pct"/>
                  <w:tcBorders>
                    <w:tl2br w:val="nil"/>
                    <w:tr2bl w:val="nil"/>
                  </w:tcBorders>
                  <w:noWrap w:val="0"/>
                  <w:vAlign w:val="center"/>
                </w:tcPr>
                <w:p w14:paraId="031FB799">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0.268</w:t>
                  </w:r>
                </w:p>
              </w:tc>
              <w:tc>
                <w:tcPr>
                  <w:tcW w:w="612" w:type="pct"/>
                  <w:tcBorders>
                    <w:tl2br w:val="nil"/>
                    <w:tr2bl w:val="nil"/>
                  </w:tcBorders>
                  <w:noWrap w:val="0"/>
                  <w:vAlign w:val="center"/>
                </w:tcPr>
                <w:p w14:paraId="277D1825">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0.284</w:t>
                  </w:r>
                </w:p>
              </w:tc>
              <w:tc>
                <w:tcPr>
                  <w:tcW w:w="614" w:type="pct"/>
                  <w:tcBorders>
                    <w:tl2br w:val="nil"/>
                    <w:tr2bl w:val="nil"/>
                  </w:tcBorders>
                  <w:noWrap w:val="0"/>
                  <w:vAlign w:val="center"/>
                </w:tcPr>
                <w:p w14:paraId="6B5CBBD1">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0.251</w:t>
                  </w:r>
                </w:p>
              </w:tc>
              <w:tc>
                <w:tcPr>
                  <w:tcW w:w="488" w:type="pct"/>
                  <w:tcBorders>
                    <w:tl2br w:val="nil"/>
                    <w:tr2bl w:val="nil"/>
                  </w:tcBorders>
                  <w:noWrap w:val="0"/>
                  <w:vAlign w:val="center"/>
                </w:tcPr>
                <w:p w14:paraId="76546B0D">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1.0</w:t>
                  </w:r>
                </w:p>
              </w:tc>
              <w:tc>
                <w:tcPr>
                  <w:tcW w:w="486" w:type="pct"/>
                  <w:tcBorders>
                    <w:tl2br w:val="nil"/>
                    <w:tr2bl w:val="nil"/>
                  </w:tcBorders>
                  <w:noWrap w:val="0"/>
                  <w:vAlign w:val="center"/>
                </w:tcPr>
                <w:p w14:paraId="076F1692">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bCs/>
                      <w:color w:val="auto"/>
                      <w:kern w:val="0"/>
                      <w:sz w:val="21"/>
                      <w:szCs w:val="21"/>
                      <w:highlight w:val="none"/>
                      <w:u w:val="none" w:color="auto"/>
                      <w:lang w:val="en-US" w:eastAsia="zh-CN"/>
                    </w:rPr>
                  </w:pPr>
                  <w:r>
                    <w:rPr>
                      <w:rFonts w:hint="default" w:ascii="Times New Roman" w:hAnsi="Times New Roman" w:eastAsia="宋体" w:cs="Times New Roman"/>
                      <w:color w:val="auto"/>
                      <w:kern w:val="0"/>
                      <w:sz w:val="21"/>
                      <w:szCs w:val="21"/>
                      <w:u w:val="none" w:color="auto"/>
                    </w:rPr>
                    <w:t>mg/m</w:t>
                  </w:r>
                  <w:r>
                    <w:rPr>
                      <w:rFonts w:hint="default" w:ascii="Times New Roman" w:hAnsi="Times New Roman" w:eastAsia="宋体" w:cs="Times New Roman"/>
                      <w:color w:val="auto"/>
                      <w:kern w:val="0"/>
                      <w:sz w:val="21"/>
                      <w:szCs w:val="21"/>
                      <w:u w:val="none" w:color="auto"/>
                      <w:vertAlign w:val="superscript"/>
                    </w:rPr>
                    <w:t>3</w:t>
                  </w:r>
                </w:p>
              </w:tc>
            </w:tr>
            <w:tr w14:paraId="1E2F3AD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23" w:type="pct"/>
                  <w:vMerge w:val="continue"/>
                  <w:tcBorders>
                    <w:tl2br w:val="nil"/>
                    <w:tr2bl w:val="nil"/>
                  </w:tcBorders>
                  <w:noWrap w:val="0"/>
                  <w:vAlign w:val="center"/>
                </w:tcPr>
                <w:p w14:paraId="757E16FD">
                  <w:pPr>
                    <w:keepNext w:val="0"/>
                    <w:keepLines w:val="0"/>
                    <w:pageBreakBefore w:val="0"/>
                    <w:widowControl/>
                    <w:kinsoku/>
                    <w:wordWrap/>
                    <w:overflowPunct/>
                    <w:topLinePunct w:val="0"/>
                    <w:autoSpaceDE/>
                    <w:autoSpaceDN/>
                    <w:bidi w:val="0"/>
                    <w:adjustRightInd/>
                    <w:snapToGrid/>
                    <w:spacing w:after="0"/>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u w:val="none" w:color="auto"/>
                      <w:lang w:val="en-US" w:eastAsia="zh-CN"/>
                    </w:rPr>
                  </w:pPr>
                </w:p>
              </w:tc>
              <w:tc>
                <w:tcPr>
                  <w:tcW w:w="767" w:type="pct"/>
                  <w:vMerge w:val="continue"/>
                  <w:tcBorders>
                    <w:tl2br w:val="nil"/>
                    <w:tr2bl w:val="nil"/>
                  </w:tcBorders>
                  <w:noWrap w:val="0"/>
                  <w:vAlign w:val="center"/>
                </w:tcPr>
                <w:p w14:paraId="6656E371">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sz w:val="21"/>
                      <w:szCs w:val="21"/>
                      <w:highlight w:val="none"/>
                      <w:u w:val="none" w:color="auto"/>
                      <w:lang w:val="en-US" w:eastAsia="zh-CN"/>
                    </w:rPr>
                  </w:pPr>
                </w:p>
              </w:tc>
              <w:tc>
                <w:tcPr>
                  <w:tcW w:w="894" w:type="pct"/>
                  <w:tcBorders>
                    <w:tl2br w:val="nil"/>
                    <w:tr2bl w:val="nil"/>
                  </w:tcBorders>
                  <w:noWrap w:val="0"/>
                  <w:vAlign w:val="center"/>
                </w:tcPr>
                <w:p w14:paraId="26928E62">
                  <w:pPr>
                    <w:keepNext w:val="0"/>
                    <w:keepLines w:val="0"/>
                    <w:pageBreakBefore w:val="0"/>
                    <w:widowControl/>
                    <w:kinsoku/>
                    <w:wordWrap/>
                    <w:overflowPunct/>
                    <w:topLinePunct w:val="0"/>
                    <w:autoSpaceDE/>
                    <w:autoSpaceDN/>
                    <w:bidi w:val="0"/>
                    <w:adjustRightInd/>
                    <w:snapToGrid/>
                    <w:spacing w:after="0"/>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镍及其化合物</w:t>
                  </w:r>
                </w:p>
              </w:tc>
              <w:tc>
                <w:tcPr>
                  <w:tcW w:w="612" w:type="pct"/>
                  <w:tcBorders>
                    <w:tl2br w:val="nil"/>
                    <w:tr2bl w:val="nil"/>
                  </w:tcBorders>
                  <w:noWrap w:val="0"/>
                  <w:vAlign w:val="center"/>
                </w:tcPr>
                <w:p w14:paraId="50B470CE">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1.27</w:t>
                  </w:r>
                  <w:r>
                    <w:rPr>
                      <w:rFonts w:hint="default" w:ascii="Times New Roman" w:hAnsi="Times New Roman" w:eastAsia="宋体" w:cs="Times New Roman"/>
                      <w:color w:val="auto"/>
                      <w:sz w:val="21"/>
                      <w:szCs w:val="21"/>
                      <w:u w:val="none" w:color="auto"/>
                    </w:rPr>
                    <w:t>×10</w:t>
                  </w:r>
                  <w:r>
                    <w:rPr>
                      <w:rFonts w:hint="default" w:ascii="Times New Roman" w:hAnsi="Times New Roman" w:eastAsia="宋体" w:cs="Times New Roman"/>
                      <w:color w:val="auto"/>
                      <w:sz w:val="21"/>
                      <w:szCs w:val="21"/>
                      <w:u w:val="none" w:color="auto"/>
                      <w:vertAlign w:val="superscript"/>
                    </w:rPr>
                    <w:t>-3</w:t>
                  </w:r>
                </w:p>
              </w:tc>
              <w:tc>
                <w:tcPr>
                  <w:tcW w:w="612" w:type="pct"/>
                  <w:tcBorders>
                    <w:tl2br w:val="nil"/>
                    <w:tr2bl w:val="nil"/>
                  </w:tcBorders>
                  <w:noWrap w:val="0"/>
                  <w:vAlign w:val="center"/>
                </w:tcPr>
                <w:p w14:paraId="5408E654">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1.28</w:t>
                  </w:r>
                  <w:r>
                    <w:rPr>
                      <w:rFonts w:hint="default" w:ascii="Times New Roman" w:hAnsi="Times New Roman" w:eastAsia="宋体" w:cs="Times New Roman"/>
                      <w:color w:val="auto"/>
                      <w:sz w:val="21"/>
                      <w:szCs w:val="21"/>
                      <w:u w:val="none" w:color="auto"/>
                    </w:rPr>
                    <w:t>×10</w:t>
                  </w:r>
                  <w:r>
                    <w:rPr>
                      <w:rFonts w:hint="default" w:ascii="Times New Roman" w:hAnsi="Times New Roman" w:eastAsia="宋体" w:cs="Times New Roman"/>
                      <w:color w:val="auto"/>
                      <w:sz w:val="21"/>
                      <w:szCs w:val="21"/>
                      <w:u w:val="none" w:color="auto"/>
                      <w:vertAlign w:val="superscript"/>
                    </w:rPr>
                    <w:t>-3</w:t>
                  </w:r>
                </w:p>
              </w:tc>
              <w:tc>
                <w:tcPr>
                  <w:tcW w:w="614" w:type="pct"/>
                  <w:tcBorders>
                    <w:tl2br w:val="nil"/>
                    <w:tr2bl w:val="nil"/>
                  </w:tcBorders>
                  <w:noWrap w:val="0"/>
                  <w:vAlign w:val="center"/>
                </w:tcPr>
                <w:p w14:paraId="75432AF9">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1.28</w:t>
                  </w:r>
                  <w:r>
                    <w:rPr>
                      <w:rFonts w:hint="default" w:ascii="Times New Roman" w:hAnsi="Times New Roman" w:eastAsia="宋体" w:cs="Times New Roman"/>
                      <w:color w:val="auto"/>
                      <w:sz w:val="21"/>
                      <w:szCs w:val="21"/>
                      <w:u w:val="none" w:color="auto"/>
                    </w:rPr>
                    <w:t>×10</w:t>
                  </w:r>
                  <w:r>
                    <w:rPr>
                      <w:rFonts w:hint="default" w:ascii="Times New Roman" w:hAnsi="Times New Roman" w:eastAsia="宋体" w:cs="Times New Roman"/>
                      <w:color w:val="auto"/>
                      <w:sz w:val="21"/>
                      <w:szCs w:val="21"/>
                      <w:u w:val="none" w:color="auto"/>
                      <w:vertAlign w:val="superscript"/>
                    </w:rPr>
                    <w:t>-3</w:t>
                  </w:r>
                </w:p>
              </w:tc>
              <w:tc>
                <w:tcPr>
                  <w:tcW w:w="488" w:type="pct"/>
                  <w:tcBorders>
                    <w:tl2br w:val="nil"/>
                    <w:tr2bl w:val="nil"/>
                  </w:tcBorders>
                  <w:noWrap w:val="0"/>
                  <w:vAlign w:val="center"/>
                </w:tcPr>
                <w:p w14:paraId="3302098F">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0.040</w:t>
                  </w:r>
                </w:p>
              </w:tc>
              <w:tc>
                <w:tcPr>
                  <w:tcW w:w="486" w:type="pct"/>
                  <w:tcBorders>
                    <w:tl2br w:val="nil"/>
                    <w:tr2bl w:val="nil"/>
                  </w:tcBorders>
                  <w:noWrap w:val="0"/>
                  <w:vAlign w:val="center"/>
                </w:tcPr>
                <w:p w14:paraId="02A6C4C1">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bCs/>
                      <w:color w:val="auto"/>
                      <w:kern w:val="0"/>
                      <w:sz w:val="21"/>
                      <w:szCs w:val="21"/>
                      <w:highlight w:val="none"/>
                      <w:u w:val="none" w:color="auto"/>
                      <w:lang w:val="en-US" w:eastAsia="zh-CN"/>
                    </w:rPr>
                  </w:pPr>
                  <w:r>
                    <w:rPr>
                      <w:rFonts w:hint="default" w:ascii="Times New Roman" w:hAnsi="Times New Roman" w:eastAsia="宋体" w:cs="Times New Roman"/>
                      <w:color w:val="auto"/>
                      <w:kern w:val="0"/>
                      <w:sz w:val="21"/>
                      <w:szCs w:val="21"/>
                      <w:u w:val="none" w:color="auto"/>
                    </w:rPr>
                    <w:t>mg/m</w:t>
                  </w:r>
                  <w:r>
                    <w:rPr>
                      <w:rFonts w:hint="default" w:ascii="Times New Roman" w:hAnsi="Times New Roman" w:eastAsia="宋体" w:cs="Times New Roman"/>
                      <w:color w:val="auto"/>
                      <w:kern w:val="0"/>
                      <w:sz w:val="21"/>
                      <w:szCs w:val="21"/>
                      <w:u w:val="none" w:color="auto"/>
                      <w:vertAlign w:val="superscript"/>
                    </w:rPr>
                    <w:t>3</w:t>
                  </w:r>
                </w:p>
              </w:tc>
            </w:tr>
            <w:tr w14:paraId="7C6EEA6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23" w:type="pct"/>
                  <w:vMerge w:val="continue"/>
                  <w:tcBorders>
                    <w:tl2br w:val="nil"/>
                    <w:tr2bl w:val="nil"/>
                  </w:tcBorders>
                  <w:noWrap w:val="0"/>
                  <w:vAlign w:val="center"/>
                </w:tcPr>
                <w:p w14:paraId="22E42809">
                  <w:pPr>
                    <w:keepNext w:val="0"/>
                    <w:keepLines w:val="0"/>
                    <w:pageBreakBefore w:val="0"/>
                    <w:widowControl/>
                    <w:kinsoku/>
                    <w:wordWrap/>
                    <w:overflowPunct/>
                    <w:topLinePunct w:val="0"/>
                    <w:autoSpaceDE/>
                    <w:autoSpaceDN/>
                    <w:bidi w:val="0"/>
                    <w:adjustRightInd/>
                    <w:snapToGrid/>
                    <w:spacing w:after="0"/>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u w:val="none" w:color="auto"/>
                      <w:lang w:val="en-US" w:eastAsia="zh-CN"/>
                    </w:rPr>
                  </w:pPr>
                </w:p>
              </w:tc>
              <w:tc>
                <w:tcPr>
                  <w:tcW w:w="767" w:type="pct"/>
                  <w:vMerge w:val="continue"/>
                  <w:tcBorders>
                    <w:tl2br w:val="nil"/>
                    <w:tr2bl w:val="nil"/>
                  </w:tcBorders>
                  <w:noWrap w:val="0"/>
                  <w:vAlign w:val="center"/>
                </w:tcPr>
                <w:p w14:paraId="287F5E0B">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sz w:val="21"/>
                      <w:szCs w:val="21"/>
                      <w:highlight w:val="none"/>
                      <w:u w:val="none" w:color="auto"/>
                      <w:lang w:val="en-US" w:eastAsia="zh-CN"/>
                    </w:rPr>
                  </w:pPr>
                </w:p>
              </w:tc>
              <w:tc>
                <w:tcPr>
                  <w:tcW w:w="894" w:type="pct"/>
                  <w:tcBorders>
                    <w:tl2br w:val="nil"/>
                    <w:tr2bl w:val="nil"/>
                  </w:tcBorders>
                  <w:noWrap w:val="0"/>
                  <w:vAlign w:val="center"/>
                </w:tcPr>
                <w:p w14:paraId="340BBBE5">
                  <w:pPr>
                    <w:keepNext w:val="0"/>
                    <w:keepLines w:val="0"/>
                    <w:pageBreakBefore w:val="0"/>
                    <w:widowControl/>
                    <w:kinsoku/>
                    <w:wordWrap/>
                    <w:overflowPunct/>
                    <w:topLinePunct w:val="0"/>
                    <w:autoSpaceDE/>
                    <w:autoSpaceDN/>
                    <w:bidi w:val="0"/>
                    <w:adjustRightInd/>
                    <w:snapToGrid/>
                    <w:spacing w:after="0"/>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氯化氢</w:t>
                  </w:r>
                </w:p>
              </w:tc>
              <w:tc>
                <w:tcPr>
                  <w:tcW w:w="612" w:type="pct"/>
                  <w:tcBorders>
                    <w:tl2br w:val="nil"/>
                    <w:tr2bl w:val="nil"/>
                  </w:tcBorders>
                  <w:noWrap w:val="0"/>
                  <w:vAlign w:val="center"/>
                </w:tcPr>
                <w:p w14:paraId="6E658A68">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0.032</w:t>
                  </w:r>
                </w:p>
              </w:tc>
              <w:tc>
                <w:tcPr>
                  <w:tcW w:w="612" w:type="pct"/>
                  <w:tcBorders>
                    <w:tl2br w:val="nil"/>
                    <w:tr2bl w:val="nil"/>
                  </w:tcBorders>
                  <w:noWrap w:val="0"/>
                  <w:vAlign w:val="center"/>
                </w:tcPr>
                <w:p w14:paraId="10DF6080">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0.028</w:t>
                  </w:r>
                </w:p>
              </w:tc>
              <w:tc>
                <w:tcPr>
                  <w:tcW w:w="614" w:type="pct"/>
                  <w:tcBorders>
                    <w:tl2br w:val="nil"/>
                    <w:tr2bl w:val="nil"/>
                  </w:tcBorders>
                  <w:noWrap w:val="0"/>
                  <w:vAlign w:val="center"/>
                </w:tcPr>
                <w:p w14:paraId="6A9ACFAF">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0.028</w:t>
                  </w:r>
                </w:p>
              </w:tc>
              <w:tc>
                <w:tcPr>
                  <w:tcW w:w="488" w:type="pct"/>
                  <w:tcBorders>
                    <w:tl2br w:val="nil"/>
                    <w:tr2bl w:val="nil"/>
                  </w:tcBorders>
                  <w:noWrap w:val="0"/>
                  <w:vAlign w:val="center"/>
                </w:tcPr>
                <w:p w14:paraId="4248541A">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0.20</w:t>
                  </w:r>
                </w:p>
              </w:tc>
              <w:tc>
                <w:tcPr>
                  <w:tcW w:w="486" w:type="pct"/>
                  <w:tcBorders>
                    <w:tl2br w:val="nil"/>
                    <w:tr2bl w:val="nil"/>
                  </w:tcBorders>
                  <w:noWrap w:val="0"/>
                  <w:vAlign w:val="center"/>
                </w:tcPr>
                <w:p w14:paraId="686E3E03">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bCs/>
                      <w:color w:val="auto"/>
                      <w:kern w:val="0"/>
                      <w:sz w:val="21"/>
                      <w:szCs w:val="21"/>
                      <w:highlight w:val="none"/>
                      <w:u w:val="none" w:color="auto"/>
                      <w:lang w:val="en-US" w:eastAsia="zh-CN"/>
                    </w:rPr>
                  </w:pPr>
                  <w:r>
                    <w:rPr>
                      <w:rFonts w:hint="default" w:ascii="Times New Roman" w:hAnsi="Times New Roman" w:eastAsia="宋体" w:cs="Times New Roman"/>
                      <w:color w:val="auto"/>
                      <w:kern w:val="0"/>
                      <w:sz w:val="21"/>
                      <w:szCs w:val="21"/>
                      <w:u w:val="none" w:color="auto"/>
                    </w:rPr>
                    <w:t>mg/m</w:t>
                  </w:r>
                  <w:r>
                    <w:rPr>
                      <w:rFonts w:hint="default" w:ascii="Times New Roman" w:hAnsi="Times New Roman" w:eastAsia="宋体" w:cs="Times New Roman"/>
                      <w:color w:val="auto"/>
                      <w:kern w:val="0"/>
                      <w:sz w:val="21"/>
                      <w:szCs w:val="21"/>
                      <w:u w:val="none" w:color="auto"/>
                      <w:vertAlign w:val="superscript"/>
                    </w:rPr>
                    <w:t>3</w:t>
                  </w:r>
                </w:p>
              </w:tc>
            </w:tr>
            <w:tr w14:paraId="1E7D512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23" w:type="pct"/>
                  <w:vMerge w:val="continue"/>
                  <w:tcBorders>
                    <w:tl2br w:val="nil"/>
                    <w:tr2bl w:val="nil"/>
                  </w:tcBorders>
                  <w:noWrap w:val="0"/>
                  <w:vAlign w:val="center"/>
                </w:tcPr>
                <w:p w14:paraId="12181CC2">
                  <w:pPr>
                    <w:keepNext w:val="0"/>
                    <w:keepLines w:val="0"/>
                    <w:pageBreakBefore w:val="0"/>
                    <w:widowControl/>
                    <w:kinsoku/>
                    <w:wordWrap/>
                    <w:overflowPunct/>
                    <w:topLinePunct w:val="0"/>
                    <w:autoSpaceDE/>
                    <w:autoSpaceDN/>
                    <w:bidi w:val="0"/>
                    <w:adjustRightInd/>
                    <w:snapToGrid/>
                    <w:spacing w:after="0"/>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u w:val="none" w:color="auto"/>
                      <w:lang w:val="en-US" w:eastAsia="zh-CN"/>
                    </w:rPr>
                  </w:pPr>
                </w:p>
              </w:tc>
              <w:tc>
                <w:tcPr>
                  <w:tcW w:w="767" w:type="pct"/>
                  <w:vMerge w:val="continue"/>
                  <w:tcBorders>
                    <w:tl2br w:val="nil"/>
                    <w:tr2bl w:val="nil"/>
                  </w:tcBorders>
                  <w:noWrap w:val="0"/>
                  <w:vAlign w:val="center"/>
                </w:tcPr>
                <w:p w14:paraId="5BAB294C">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sz w:val="21"/>
                      <w:szCs w:val="21"/>
                      <w:highlight w:val="none"/>
                      <w:u w:val="none" w:color="auto"/>
                      <w:lang w:val="en-US" w:eastAsia="zh-CN"/>
                    </w:rPr>
                  </w:pPr>
                </w:p>
              </w:tc>
              <w:tc>
                <w:tcPr>
                  <w:tcW w:w="894" w:type="pct"/>
                  <w:tcBorders>
                    <w:tl2br w:val="nil"/>
                    <w:tr2bl w:val="nil"/>
                  </w:tcBorders>
                  <w:noWrap w:val="0"/>
                  <w:vAlign w:val="center"/>
                </w:tcPr>
                <w:p w14:paraId="47DE7C45">
                  <w:pPr>
                    <w:keepNext w:val="0"/>
                    <w:keepLines w:val="0"/>
                    <w:pageBreakBefore w:val="0"/>
                    <w:widowControl/>
                    <w:kinsoku/>
                    <w:wordWrap/>
                    <w:overflowPunct/>
                    <w:topLinePunct w:val="0"/>
                    <w:autoSpaceDE/>
                    <w:autoSpaceDN/>
                    <w:bidi w:val="0"/>
                    <w:adjustRightInd/>
                    <w:snapToGrid/>
                    <w:spacing w:after="0"/>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硫化氢</w:t>
                  </w:r>
                </w:p>
              </w:tc>
              <w:tc>
                <w:tcPr>
                  <w:tcW w:w="612" w:type="pct"/>
                  <w:tcBorders>
                    <w:tl2br w:val="nil"/>
                    <w:tr2bl w:val="nil"/>
                  </w:tcBorders>
                  <w:noWrap w:val="0"/>
                  <w:vAlign w:val="center"/>
                </w:tcPr>
                <w:p w14:paraId="01E422CE">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0.006</w:t>
                  </w:r>
                </w:p>
              </w:tc>
              <w:tc>
                <w:tcPr>
                  <w:tcW w:w="612" w:type="pct"/>
                  <w:tcBorders>
                    <w:tl2br w:val="nil"/>
                    <w:tr2bl w:val="nil"/>
                  </w:tcBorders>
                  <w:noWrap w:val="0"/>
                  <w:vAlign w:val="center"/>
                </w:tcPr>
                <w:p w14:paraId="77EBE616">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0.010</w:t>
                  </w:r>
                </w:p>
              </w:tc>
              <w:tc>
                <w:tcPr>
                  <w:tcW w:w="614" w:type="pct"/>
                  <w:tcBorders>
                    <w:tl2br w:val="nil"/>
                    <w:tr2bl w:val="nil"/>
                  </w:tcBorders>
                  <w:noWrap w:val="0"/>
                  <w:vAlign w:val="center"/>
                </w:tcPr>
                <w:p w14:paraId="55AF76B0">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0.009</w:t>
                  </w:r>
                </w:p>
              </w:tc>
              <w:tc>
                <w:tcPr>
                  <w:tcW w:w="488" w:type="pct"/>
                  <w:tcBorders>
                    <w:tl2br w:val="nil"/>
                    <w:tr2bl w:val="nil"/>
                  </w:tcBorders>
                  <w:noWrap w:val="0"/>
                  <w:vAlign w:val="center"/>
                </w:tcPr>
                <w:p w14:paraId="526382E3">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0.10</w:t>
                  </w:r>
                </w:p>
              </w:tc>
              <w:tc>
                <w:tcPr>
                  <w:tcW w:w="486" w:type="pct"/>
                  <w:tcBorders>
                    <w:tl2br w:val="nil"/>
                    <w:tr2bl w:val="nil"/>
                  </w:tcBorders>
                  <w:noWrap w:val="0"/>
                  <w:vAlign w:val="center"/>
                </w:tcPr>
                <w:p w14:paraId="7259FC27">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bCs/>
                      <w:color w:val="auto"/>
                      <w:kern w:val="0"/>
                      <w:sz w:val="21"/>
                      <w:szCs w:val="21"/>
                      <w:highlight w:val="none"/>
                      <w:u w:val="none" w:color="auto"/>
                      <w:lang w:val="en-US" w:eastAsia="zh-CN"/>
                    </w:rPr>
                  </w:pPr>
                  <w:r>
                    <w:rPr>
                      <w:rFonts w:hint="default" w:ascii="Times New Roman" w:hAnsi="Times New Roman" w:eastAsia="宋体" w:cs="Times New Roman"/>
                      <w:color w:val="auto"/>
                      <w:kern w:val="0"/>
                      <w:sz w:val="21"/>
                      <w:szCs w:val="21"/>
                      <w:u w:val="none" w:color="auto"/>
                    </w:rPr>
                    <w:t>mg/m</w:t>
                  </w:r>
                  <w:r>
                    <w:rPr>
                      <w:rFonts w:hint="default" w:ascii="Times New Roman" w:hAnsi="Times New Roman" w:eastAsia="宋体" w:cs="Times New Roman"/>
                      <w:color w:val="auto"/>
                      <w:kern w:val="0"/>
                      <w:sz w:val="21"/>
                      <w:szCs w:val="21"/>
                      <w:u w:val="none" w:color="auto"/>
                      <w:vertAlign w:val="superscript"/>
                    </w:rPr>
                    <w:t>3</w:t>
                  </w:r>
                </w:p>
              </w:tc>
            </w:tr>
            <w:tr w14:paraId="21B79AF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23" w:type="pct"/>
                  <w:vMerge w:val="continue"/>
                  <w:tcBorders>
                    <w:tl2br w:val="nil"/>
                    <w:tr2bl w:val="nil"/>
                  </w:tcBorders>
                  <w:noWrap w:val="0"/>
                  <w:vAlign w:val="center"/>
                </w:tcPr>
                <w:p w14:paraId="6218FAC1">
                  <w:pPr>
                    <w:keepNext w:val="0"/>
                    <w:keepLines w:val="0"/>
                    <w:pageBreakBefore w:val="0"/>
                    <w:widowControl/>
                    <w:kinsoku/>
                    <w:wordWrap/>
                    <w:overflowPunct/>
                    <w:topLinePunct w:val="0"/>
                    <w:autoSpaceDE/>
                    <w:autoSpaceDN/>
                    <w:bidi w:val="0"/>
                    <w:adjustRightInd/>
                    <w:snapToGrid/>
                    <w:spacing w:after="0"/>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u w:val="none" w:color="auto"/>
                      <w:lang w:val="en-US" w:eastAsia="zh-CN"/>
                    </w:rPr>
                  </w:pPr>
                </w:p>
              </w:tc>
              <w:tc>
                <w:tcPr>
                  <w:tcW w:w="767" w:type="pct"/>
                  <w:vMerge w:val="continue"/>
                  <w:tcBorders>
                    <w:tl2br w:val="nil"/>
                    <w:tr2bl w:val="nil"/>
                  </w:tcBorders>
                  <w:noWrap w:val="0"/>
                  <w:vAlign w:val="center"/>
                </w:tcPr>
                <w:p w14:paraId="3710C7B3">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sz w:val="21"/>
                      <w:szCs w:val="21"/>
                      <w:highlight w:val="none"/>
                      <w:u w:val="none" w:color="auto"/>
                      <w:lang w:val="en-US" w:eastAsia="zh-CN"/>
                    </w:rPr>
                  </w:pPr>
                </w:p>
              </w:tc>
              <w:tc>
                <w:tcPr>
                  <w:tcW w:w="894" w:type="pct"/>
                  <w:tcBorders>
                    <w:tl2br w:val="nil"/>
                    <w:tr2bl w:val="nil"/>
                  </w:tcBorders>
                  <w:noWrap w:val="0"/>
                  <w:vAlign w:val="center"/>
                </w:tcPr>
                <w:p w14:paraId="0FD9FE83">
                  <w:pPr>
                    <w:keepNext w:val="0"/>
                    <w:keepLines w:val="0"/>
                    <w:pageBreakBefore w:val="0"/>
                    <w:widowControl/>
                    <w:kinsoku/>
                    <w:wordWrap/>
                    <w:overflowPunct/>
                    <w:topLinePunct w:val="0"/>
                    <w:autoSpaceDE/>
                    <w:autoSpaceDN/>
                    <w:bidi w:val="0"/>
                    <w:adjustRightInd/>
                    <w:snapToGrid/>
                    <w:spacing w:after="0"/>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氨</w:t>
                  </w:r>
                </w:p>
              </w:tc>
              <w:tc>
                <w:tcPr>
                  <w:tcW w:w="612" w:type="pct"/>
                  <w:tcBorders>
                    <w:tl2br w:val="nil"/>
                    <w:tr2bl w:val="nil"/>
                  </w:tcBorders>
                  <w:noWrap w:val="0"/>
                  <w:vAlign w:val="center"/>
                </w:tcPr>
                <w:p w14:paraId="4951AC4F">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0.08</w:t>
                  </w:r>
                </w:p>
              </w:tc>
              <w:tc>
                <w:tcPr>
                  <w:tcW w:w="612" w:type="pct"/>
                  <w:tcBorders>
                    <w:tl2br w:val="nil"/>
                    <w:tr2bl w:val="nil"/>
                  </w:tcBorders>
                  <w:noWrap w:val="0"/>
                  <w:vAlign w:val="center"/>
                </w:tcPr>
                <w:p w14:paraId="7274E7E5">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0.10</w:t>
                  </w:r>
                </w:p>
              </w:tc>
              <w:tc>
                <w:tcPr>
                  <w:tcW w:w="614" w:type="pct"/>
                  <w:tcBorders>
                    <w:tl2br w:val="nil"/>
                    <w:tr2bl w:val="nil"/>
                  </w:tcBorders>
                  <w:noWrap w:val="0"/>
                  <w:vAlign w:val="center"/>
                </w:tcPr>
                <w:p w14:paraId="03FEBDF8">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0.09</w:t>
                  </w:r>
                </w:p>
              </w:tc>
              <w:tc>
                <w:tcPr>
                  <w:tcW w:w="488" w:type="pct"/>
                  <w:tcBorders>
                    <w:tl2br w:val="nil"/>
                    <w:tr2bl w:val="nil"/>
                  </w:tcBorders>
                  <w:noWrap w:val="0"/>
                  <w:vAlign w:val="center"/>
                </w:tcPr>
                <w:p w14:paraId="6C485D2F">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2.0</w:t>
                  </w:r>
                </w:p>
              </w:tc>
              <w:tc>
                <w:tcPr>
                  <w:tcW w:w="486" w:type="pct"/>
                  <w:tcBorders>
                    <w:tl2br w:val="nil"/>
                    <w:tr2bl w:val="nil"/>
                  </w:tcBorders>
                  <w:noWrap w:val="0"/>
                  <w:vAlign w:val="center"/>
                </w:tcPr>
                <w:p w14:paraId="295389B4">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bCs/>
                      <w:color w:val="auto"/>
                      <w:kern w:val="0"/>
                      <w:sz w:val="21"/>
                      <w:szCs w:val="21"/>
                      <w:highlight w:val="none"/>
                      <w:u w:val="none" w:color="auto"/>
                      <w:lang w:val="en-US" w:eastAsia="zh-CN"/>
                    </w:rPr>
                  </w:pPr>
                  <w:r>
                    <w:rPr>
                      <w:rFonts w:hint="default" w:ascii="Times New Roman" w:hAnsi="Times New Roman" w:eastAsia="宋体" w:cs="Times New Roman"/>
                      <w:color w:val="auto"/>
                      <w:kern w:val="0"/>
                      <w:sz w:val="21"/>
                      <w:szCs w:val="21"/>
                      <w:u w:val="none" w:color="auto"/>
                    </w:rPr>
                    <w:t>mg/m</w:t>
                  </w:r>
                  <w:r>
                    <w:rPr>
                      <w:rFonts w:hint="default" w:ascii="Times New Roman" w:hAnsi="Times New Roman" w:eastAsia="宋体" w:cs="Times New Roman"/>
                      <w:color w:val="auto"/>
                      <w:kern w:val="0"/>
                      <w:sz w:val="21"/>
                      <w:szCs w:val="21"/>
                      <w:u w:val="none" w:color="auto"/>
                      <w:vertAlign w:val="superscript"/>
                    </w:rPr>
                    <w:t>3</w:t>
                  </w:r>
                </w:p>
              </w:tc>
            </w:tr>
            <w:tr w14:paraId="4370E77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23" w:type="pct"/>
                  <w:vMerge w:val="continue"/>
                  <w:tcBorders>
                    <w:tl2br w:val="nil"/>
                    <w:tr2bl w:val="nil"/>
                  </w:tcBorders>
                  <w:noWrap w:val="0"/>
                  <w:vAlign w:val="center"/>
                </w:tcPr>
                <w:p w14:paraId="06C89529">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sz w:val="21"/>
                      <w:szCs w:val="21"/>
                      <w:highlight w:val="none"/>
                      <w:u w:val="none" w:color="auto"/>
                    </w:rPr>
                  </w:pPr>
                </w:p>
              </w:tc>
              <w:tc>
                <w:tcPr>
                  <w:tcW w:w="767" w:type="pct"/>
                  <w:vMerge w:val="restart"/>
                  <w:tcBorders>
                    <w:tl2br w:val="nil"/>
                    <w:tr2bl w:val="nil"/>
                  </w:tcBorders>
                  <w:noWrap w:val="0"/>
                  <w:vAlign w:val="center"/>
                </w:tcPr>
                <w:p w14:paraId="3B54EE49">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厂界下风向2m-50mG2</w:t>
                  </w:r>
                </w:p>
              </w:tc>
              <w:tc>
                <w:tcPr>
                  <w:tcW w:w="894" w:type="pct"/>
                  <w:tcBorders>
                    <w:tl2br w:val="nil"/>
                    <w:tr2bl w:val="nil"/>
                  </w:tcBorders>
                  <w:noWrap w:val="0"/>
                  <w:vAlign w:val="center"/>
                </w:tcPr>
                <w:p w14:paraId="5DC1CC4B">
                  <w:pPr>
                    <w:keepNext w:val="0"/>
                    <w:keepLines w:val="0"/>
                    <w:pageBreakBefore w:val="0"/>
                    <w:widowControl/>
                    <w:kinsoku/>
                    <w:wordWrap/>
                    <w:overflowPunct/>
                    <w:topLinePunct w:val="0"/>
                    <w:autoSpaceDE/>
                    <w:autoSpaceDN/>
                    <w:bidi w:val="0"/>
                    <w:adjustRightInd/>
                    <w:snapToGrid/>
                    <w:spacing w:after="0"/>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二氧化硫</w:t>
                  </w:r>
                </w:p>
              </w:tc>
              <w:tc>
                <w:tcPr>
                  <w:tcW w:w="612" w:type="pct"/>
                  <w:tcBorders>
                    <w:tl2br w:val="nil"/>
                    <w:tr2bl w:val="nil"/>
                  </w:tcBorders>
                  <w:noWrap w:val="0"/>
                  <w:vAlign w:val="center"/>
                </w:tcPr>
                <w:p w14:paraId="0C5948A4">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0.031</w:t>
                  </w:r>
                </w:p>
              </w:tc>
              <w:tc>
                <w:tcPr>
                  <w:tcW w:w="612" w:type="pct"/>
                  <w:tcBorders>
                    <w:tl2br w:val="nil"/>
                    <w:tr2bl w:val="nil"/>
                  </w:tcBorders>
                  <w:noWrap w:val="0"/>
                  <w:vAlign w:val="center"/>
                </w:tcPr>
                <w:p w14:paraId="084B0B47">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0.034</w:t>
                  </w:r>
                </w:p>
              </w:tc>
              <w:tc>
                <w:tcPr>
                  <w:tcW w:w="614" w:type="pct"/>
                  <w:tcBorders>
                    <w:tl2br w:val="nil"/>
                    <w:tr2bl w:val="nil"/>
                  </w:tcBorders>
                  <w:noWrap w:val="0"/>
                  <w:vAlign w:val="center"/>
                </w:tcPr>
                <w:p w14:paraId="4006C9F7">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0.037</w:t>
                  </w:r>
                </w:p>
              </w:tc>
              <w:tc>
                <w:tcPr>
                  <w:tcW w:w="488" w:type="pct"/>
                  <w:tcBorders>
                    <w:tl2br w:val="nil"/>
                    <w:tr2bl w:val="nil"/>
                  </w:tcBorders>
                  <w:noWrap w:val="0"/>
                  <w:vAlign w:val="center"/>
                </w:tcPr>
                <w:p w14:paraId="41C221D8">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0.40</w:t>
                  </w:r>
                </w:p>
              </w:tc>
              <w:tc>
                <w:tcPr>
                  <w:tcW w:w="486" w:type="pct"/>
                  <w:tcBorders>
                    <w:tl2br w:val="nil"/>
                    <w:tr2bl w:val="nil"/>
                  </w:tcBorders>
                  <w:noWrap w:val="0"/>
                  <w:vAlign w:val="center"/>
                </w:tcPr>
                <w:p w14:paraId="3C4BDB37">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bCs/>
                      <w:color w:val="auto"/>
                      <w:kern w:val="0"/>
                      <w:sz w:val="21"/>
                      <w:szCs w:val="21"/>
                      <w:highlight w:val="none"/>
                      <w:u w:val="none" w:color="auto"/>
                      <w:lang w:val="en-US" w:eastAsia="zh-CN" w:bidi="ar-SA"/>
                    </w:rPr>
                  </w:pPr>
                  <w:r>
                    <w:rPr>
                      <w:rFonts w:hint="default" w:ascii="Times New Roman" w:hAnsi="Times New Roman" w:eastAsia="宋体" w:cs="Times New Roman"/>
                      <w:bCs/>
                      <w:color w:val="auto"/>
                      <w:kern w:val="0"/>
                      <w:sz w:val="21"/>
                      <w:szCs w:val="21"/>
                      <w:highlight w:val="none"/>
                      <w:u w:val="none" w:color="auto"/>
                      <w:lang w:val="en-US" w:eastAsia="zh-CN"/>
                    </w:rPr>
                    <w:t>mg/m</w:t>
                  </w:r>
                  <w:r>
                    <w:rPr>
                      <w:rFonts w:hint="default" w:ascii="Times New Roman" w:hAnsi="Times New Roman" w:eastAsia="宋体" w:cs="Times New Roman"/>
                      <w:bCs/>
                      <w:color w:val="auto"/>
                      <w:kern w:val="0"/>
                      <w:sz w:val="21"/>
                      <w:szCs w:val="21"/>
                      <w:highlight w:val="none"/>
                      <w:u w:val="none" w:color="auto"/>
                      <w:vertAlign w:val="superscript"/>
                      <w:lang w:val="en-US" w:eastAsia="zh-CN"/>
                    </w:rPr>
                    <w:t>3</w:t>
                  </w:r>
                </w:p>
              </w:tc>
            </w:tr>
            <w:tr w14:paraId="0AF597D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23" w:type="pct"/>
                  <w:vMerge w:val="continue"/>
                  <w:tcBorders>
                    <w:tl2br w:val="nil"/>
                    <w:tr2bl w:val="nil"/>
                  </w:tcBorders>
                  <w:noWrap w:val="0"/>
                  <w:vAlign w:val="center"/>
                </w:tcPr>
                <w:p w14:paraId="7C375251">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sz w:val="21"/>
                      <w:szCs w:val="21"/>
                      <w:highlight w:val="none"/>
                      <w:u w:val="none" w:color="auto"/>
                    </w:rPr>
                  </w:pPr>
                </w:p>
              </w:tc>
              <w:tc>
                <w:tcPr>
                  <w:tcW w:w="767" w:type="pct"/>
                  <w:vMerge w:val="continue"/>
                  <w:tcBorders>
                    <w:tl2br w:val="nil"/>
                    <w:tr2bl w:val="nil"/>
                  </w:tcBorders>
                  <w:noWrap w:val="0"/>
                  <w:vAlign w:val="center"/>
                </w:tcPr>
                <w:p w14:paraId="0591BE25">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sz w:val="21"/>
                      <w:szCs w:val="21"/>
                      <w:highlight w:val="none"/>
                      <w:u w:val="none" w:color="auto"/>
                      <w:lang w:val="en-US" w:eastAsia="zh-CN"/>
                    </w:rPr>
                  </w:pPr>
                </w:p>
              </w:tc>
              <w:tc>
                <w:tcPr>
                  <w:tcW w:w="894" w:type="pct"/>
                  <w:tcBorders>
                    <w:tl2br w:val="nil"/>
                    <w:tr2bl w:val="nil"/>
                  </w:tcBorders>
                  <w:noWrap w:val="0"/>
                  <w:vAlign w:val="center"/>
                </w:tcPr>
                <w:p w14:paraId="1B098A7E">
                  <w:pPr>
                    <w:keepNext w:val="0"/>
                    <w:keepLines w:val="0"/>
                    <w:pageBreakBefore w:val="0"/>
                    <w:widowControl/>
                    <w:kinsoku/>
                    <w:wordWrap/>
                    <w:overflowPunct/>
                    <w:topLinePunct w:val="0"/>
                    <w:autoSpaceDE/>
                    <w:autoSpaceDN/>
                    <w:bidi w:val="0"/>
                    <w:adjustRightInd/>
                    <w:snapToGrid/>
                    <w:spacing w:after="0"/>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氮氧化物</w:t>
                  </w:r>
                </w:p>
              </w:tc>
              <w:tc>
                <w:tcPr>
                  <w:tcW w:w="612" w:type="pct"/>
                  <w:tcBorders>
                    <w:tl2br w:val="nil"/>
                    <w:tr2bl w:val="nil"/>
                  </w:tcBorders>
                  <w:noWrap w:val="0"/>
                  <w:vAlign w:val="center"/>
                </w:tcPr>
                <w:p w14:paraId="2C962A49">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0.082</w:t>
                  </w:r>
                </w:p>
              </w:tc>
              <w:tc>
                <w:tcPr>
                  <w:tcW w:w="612" w:type="pct"/>
                  <w:tcBorders>
                    <w:tl2br w:val="nil"/>
                    <w:tr2bl w:val="nil"/>
                  </w:tcBorders>
                  <w:noWrap w:val="0"/>
                  <w:vAlign w:val="center"/>
                </w:tcPr>
                <w:p w14:paraId="03C9EEBB">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0.077</w:t>
                  </w:r>
                </w:p>
              </w:tc>
              <w:tc>
                <w:tcPr>
                  <w:tcW w:w="614" w:type="pct"/>
                  <w:tcBorders>
                    <w:tl2br w:val="nil"/>
                    <w:tr2bl w:val="nil"/>
                  </w:tcBorders>
                  <w:noWrap w:val="0"/>
                  <w:vAlign w:val="center"/>
                </w:tcPr>
                <w:p w14:paraId="20159A72">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0.072</w:t>
                  </w:r>
                </w:p>
              </w:tc>
              <w:tc>
                <w:tcPr>
                  <w:tcW w:w="488" w:type="pct"/>
                  <w:tcBorders>
                    <w:tl2br w:val="nil"/>
                    <w:tr2bl w:val="nil"/>
                  </w:tcBorders>
                  <w:noWrap w:val="0"/>
                  <w:vAlign w:val="center"/>
                </w:tcPr>
                <w:p w14:paraId="5FD057CD">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0.12</w:t>
                  </w:r>
                </w:p>
              </w:tc>
              <w:tc>
                <w:tcPr>
                  <w:tcW w:w="486" w:type="pct"/>
                  <w:tcBorders>
                    <w:tl2br w:val="nil"/>
                    <w:tr2bl w:val="nil"/>
                  </w:tcBorders>
                  <w:noWrap w:val="0"/>
                  <w:vAlign w:val="center"/>
                </w:tcPr>
                <w:p w14:paraId="75E506C9">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bCs/>
                      <w:color w:val="auto"/>
                      <w:kern w:val="0"/>
                      <w:sz w:val="21"/>
                      <w:szCs w:val="21"/>
                      <w:highlight w:val="none"/>
                      <w:u w:val="none" w:color="auto"/>
                      <w:lang w:val="en-US" w:eastAsia="zh-CN" w:bidi="ar-SA"/>
                    </w:rPr>
                  </w:pPr>
                  <w:r>
                    <w:rPr>
                      <w:rFonts w:hint="default" w:ascii="Times New Roman" w:hAnsi="Times New Roman" w:eastAsia="宋体" w:cs="Times New Roman"/>
                      <w:bCs/>
                      <w:color w:val="auto"/>
                      <w:kern w:val="0"/>
                      <w:sz w:val="21"/>
                      <w:szCs w:val="21"/>
                      <w:highlight w:val="none"/>
                      <w:u w:val="none" w:color="auto"/>
                      <w:lang w:val="en-US" w:eastAsia="zh-CN"/>
                    </w:rPr>
                    <w:t>mg/m</w:t>
                  </w:r>
                  <w:r>
                    <w:rPr>
                      <w:rFonts w:hint="default" w:ascii="Times New Roman" w:hAnsi="Times New Roman" w:eastAsia="宋体" w:cs="Times New Roman"/>
                      <w:bCs/>
                      <w:color w:val="auto"/>
                      <w:kern w:val="0"/>
                      <w:sz w:val="21"/>
                      <w:szCs w:val="21"/>
                      <w:highlight w:val="none"/>
                      <w:u w:val="none" w:color="auto"/>
                      <w:vertAlign w:val="superscript"/>
                      <w:lang w:val="en-US" w:eastAsia="zh-CN"/>
                    </w:rPr>
                    <w:t>3</w:t>
                  </w:r>
                </w:p>
              </w:tc>
            </w:tr>
            <w:tr w14:paraId="152CAA4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23" w:type="pct"/>
                  <w:vMerge w:val="continue"/>
                  <w:tcBorders>
                    <w:tl2br w:val="nil"/>
                    <w:tr2bl w:val="nil"/>
                  </w:tcBorders>
                  <w:noWrap w:val="0"/>
                  <w:vAlign w:val="center"/>
                </w:tcPr>
                <w:p w14:paraId="411D21BB">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sz w:val="21"/>
                      <w:szCs w:val="21"/>
                      <w:highlight w:val="none"/>
                      <w:u w:val="none" w:color="auto"/>
                    </w:rPr>
                  </w:pPr>
                </w:p>
              </w:tc>
              <w:tc>
                <w:tcPr>
                  <w:tcW w:w="767" w:type="pct"/>
                  <w:vMerge w:val="continue"/>
                  <w:tcBorders>
                    <w:tl2br w:val="nil"/>
                    <w:tr2bl w:val="nil"/>
                  </w:tcBorders>
                  <w:noWrap w:val="0"/>
                  <w:vAlign w:val="center"/>
                </w:tcPr>
                <w:p w14:paraId="7B548A5B">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sz w:val="21"/>
                      <w:szCs w:val="21"/>
                      <w:highlight w:val="none"/>
                      <w:u w:val="none" w:color="auto"/>
                      <w:lang w:val="en-US" w:eastAsia="zh-CN"/>
                    </w:rPr>
                  </w:pPr>
                </w:p>
              </w:tc>
              <w:tc>
                <w:tcPr>
                  <w:tcW w:w="894" w:type="pct"/>
                  <w:tcBorders>
                    <w:tl2br w:val="nil"/>
                    <w:tr2bl w:val="nil"/>
                  </w:tcBorders>
                  <w:noWrap w:val="0"/>
                  <w:vAlign w:val="center"/>
                </w:tcPr>
                <w:p w14:paraId="5EA02F99">
                  <w:pPr>
                    <w:keepNext w:val="0"/>
                    <w:keepLines w:val="0"/>
                    <w:pageBreakBefore w:val="0"/>
                    <w:widowControl/>
                    <w:kinsoku/>
                    <w:wordWrap/>
                    <w:overflowPunct/>
                    <w:topLinePunct w:val="0"/>
                    <w:autoSpaceDE/>
                    <w:autoSpaceDN/>
                    <w:bidi w:val="0"/>
                    <w:adjustRightInd/>
                    <w:snapToGrid/>
                    <w:spacing w:after="0"/>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粉尘</w:t>
                  </w:r>
                </w:p>
              </w:tc>
              <w:tc>
                <w:tcPr>
                  <w:tcW w:w="612" w:type="pct"/>
                  <w:tcBorders>
                    <w:tl2br w:val="nil"/>
                    <w:tr2bl w:val="nil"/>
                  </w:tcBorders>
                  <w:noWrap w:val="0"/>
                  <w:vAlign w:val="center"/>
                </w:tcPr>
                <w:p w14:paraId="4279D306">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0.485</w:t>
                  </w:r>
                </w:p>
              </w:tc>
              <w:tc>
                <w:tcPr>
                  <w:tcW w:w="612" w:type="pct"/>
                  <w:tcBorders>
                    <w:tl2br w:val="nil"/>
                    <w:tr2bl w:val="nil"/>
                  </w:tcBorders>
                  <w:noWrap w:val="0"/>
                  <w:vAlign w:val="center"/>
                </w:tcPr>
                <w:p w14:paraId="021D69C2">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0.468</w:t>
                  </w:r>
                </w:p>
              </w:tc>
              <w:tc>
                <w:tcPr>
                  <w:tcW w:w="614" w:type="pct"/>
                  <w:tcBorders>
                    <w:tl2br w:val="nil"/>
                    <w:tr2bl w:val="nil"/>
                  </w:tcBorders>
                  <w:noWrap w:val="0"/>
                  <w:vAlign w:val="center"/>
                </w:tcPr>
                <w:p w14:paraId="78F2CD44">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0.451</w:t>
                  </w:r>
                </w:p>
              </w:tc>
              <w:tc>
                <w:tcPr>
                  <w:tcW w:w="488" w:type="pct"/>
                  <w:tcBorders>
                    <w:tl2br w:val="nil"/>
                    <w:tr2bl w:val="nil"/>
                  </w:tcBorders>
                  <w:noWrap w:val="0"/>
                  <w:vAlign w:val="center"/>
                </w:tcPr>
                <w:p w14:paraId="488798E9">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1.0</w:t>
                  </w:r>
                </w:p>
              </w:tc>
              <w:tc>
                <w:tcPr>
                  <w:tcW w:w="486" w:type="pct"/>
                  <w:tcBorders>
                    <w:tl2br w:val="nil"/>
                    <w:tr2bl w:val="nil"/>
                  </w:tcBorders>
                  <w:noWrap w:val="0"/>
                  <w:vAlign w:val="center"/>
                </w:tcPr>
                <w:p w14:paraId="0EC70479">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bCs/>
                      <w:color w:val="auto"/>
                      <w:kern w:val="0"/>
                      <w:sz w:val="21"/>
                      <w:szCs w:val="21"/>
                      <w:highlight w:val="none"/>
                      <w:u w:val="none" w:color="auto"/>
                      <w:lang w:val="en-US" w:eastAsia="zh-CN" w:bidi="ar-SA"/>
                    </w:rPr>
                  </w:pPr>
                  <w:r>
                    <w:rPr>
                      <w:rFonts w:hint="default" w:ascii="Times New Roman" w:hAnsi="Times New Roman" w:eastAsia="宋体" w:cs="Times New Roman"/>
                      <w:color w:val="auto"/>
                      <w:kern w:val="0"/>
                      <w:sz w:val="21"/>
                      <w:szCs w:val="21"/>
                      <w:u w:val="none" w:color="auto"/>
                    </w:rPr>
                    <w:t>mg/m</w:t>
                  </w:r>
                  <w:r>
                    <w:rPr>
                      <w:rFonts w:hint="default" w:ascii="Times New Roman" w:hAnsi="Times New Roman" w:eastAsia="宋体" w:cs="Times New Roman"/>
                      <w:color w:val="auto"/>
                      <w:kern w:val="0"/>
                      <w:sz w:val="21"/>
                      <w:szCs w:val="21"/>
                      <w:u w:val="none" w:color="auto"/>
                      <w:vertAlign w:val="superscript"/>
                    </w:rPr>
                    <w:t>3</w:t>
                  </w:r>
                </w:p>
              </w:tc>
            </w:tr>
            <w:tr w14:paraId="783855E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23" w:type="pct"/>
                  <w:vMerge w:val="continue"/>
                  <w:tcBorders>
                    <w:tl2br w:val="nil"/>
                    <w:tr2bl w:val="nil"/>
                  </w:tcBorders>
                  <w:noWrap w:val="0"/>
                  <w:vAlign w:val="center"/>
                </w:tcPr>
                <w:p w14:paraId="7B1D129C">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sz w:val="21"/>
                      <w:szCs w:val="21"/>
                      <w:highlight w:val="none"/>
                      <w:u w:val="none" w:color="auto"/>
                    </w:rPr>
                  </w:pPr>
                </w:p>
              </w:tc>
              <w:tc>
                <w:tcPr>
                  <w:tcW w:w="767" w:type="pct"/>
                  <w:vMerge w:val="continue"/>
                  <w:tcBorders>
                    <w:tl2br w:val="nil"/>
                    <w:tr2bl w:val="nil"/>
                  </w:tcBorders>
                  <w:noWrap w:val="0"/>
                  <w:vAlign w:val="center"/>
                </w:tcPr>
                <w:p w14:paraId="6329C9B9">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sz w:val="21"/>
                      <w:szCs w:val="21"/>
                      <w:highlight w:val="none"/>
                      <w:u w:val="none" w:color="auto"/>
                      <w:lang w:val="en-US" w:eastAsia="zh-CN"/>
                    </w:rPr>
                  </w:pPr>
                </w:p>
              </w:tc>
              <w:tc>
                <w:tcPr>
                  <w:tcW w:w="894" w:type="pct"/>
                  <w:tcBorders>
                    <w:tl2br w:val="nil"/>
                    <w:tr2bl w:val="nil"/>
                  </w:tcBorders>
                  <w:noWrap w:val="0"/>
                  <w:vAlign w:val="center"/>
                </w:tcPr>
                <w:p w14:paraId="20C5995B">
                  <w:pPr>
                    <w:keepNext w:val="0"/>
                    <w:keepLines w:val="0"/>
                    <w:pageBreakBefore w:val="0"/>
                    <w:widowControl/>
                    <w:kinsoku/>
                    <w:wordWrap/>
                    <w:overflowPunct/>
                    <w:topLinePunct w:val="0"/>
                    <w:autoSpaceDE/>
                    <w:autoSpaceDN/>
                    <w:bidi w:val="0"/>
                    <w:adjustRightInd/>
                    <w:snapToGrid/>
                    <w:spacing w:after="0"/>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镍及其化合物</w:t>
                  </w:r>
                </w:p>
              </w:tc>
              <w:tc>
                <w:tcPr>
                  <w:tcW w:w="612" w:type="pct"/>
                  <w:tcBorders>
                    <w:tl2br w:val="nil"/>
                    <w:tr2bl w:val="nil"/>
                  </w:tcBorders>
                  <w:noWrap w:val="0"/>
                  <w:vAlign w:val="center"/>
                </w:tcPr>
                <w:p w14:paraId="739EEE67">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1.97</w:t>
                  </w:r>
                  <w:r>
                    <w:rPr>
                      <w:rFonts w:hint="default" w:ascii="Times New Roman" w:hAnsi="Times New Roman" w:eastAsia="宋体" w:cs="Times New Roman"/>
                      <w:color w:val="auto"/>
                      <w:sz w:val="21"/>
                      <w:szCs w:val="21"/>
                      <w:u w:val="none" w:color="auto"/>
                    </w:rPr>
                    <w:t>×10</w:t>
                  </w:r>
                  <w:r>
                    <w:rPr>
                      <w:rFonts w:hint="default" w:ascii="Times New Roman" w:hAnsi="Times New Roman" w:eastAsia="宋体" w:cs="Times New Roman"/>
                      <w:color w:val="auto"/>
                      <w:sz w:val="21"/>
                      <w:szCs w:val="21"/>
                      <w:u w:val="none" w:color="auto"/>
                      <w:vertAlign w:val="superscript"/>
                    </w:rPr>
                    <w:t>-3</w:t>
                  </w:r>
                </w:p>
              </w:tc>
              <w:tc>
                <w:tcPr>
                  <w:tcW w:w="612" w:type="pct"/>
                  <w:tcBorders>
                    <w:tl2br w:val="nil"/>
                    <w:tr2bl w:val="nil"/>
                  </w:tcBorders>
                  <w:noWrap w:val="0"/>
                  <w:vAlign w:val="center"/>
                </w:tcPr>
                <w:p w14:paraId="70D1FBD4">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1.95</w:t>
                  </w:r>
                  <w:r>
                    <w:rPr>
                      <w:rFonts w:hint="default" w:ascii="Times New Roman" w:hAnsi="Times New Roman" w:eastAsia="宋体" w:cs="Times New Roman"/>
                      <w:color w:val="auto"/>
                      <w:sz w:val="21"/>
                      <w:szCs w:val="21"/>
                      <w:u w:val="none" w:color="auto"/>
                    </w:rPr>
                    <w:t>×10</w:t>
                  </w:r>
                  <w:r>
                    <w:rPr>
                      <w:rFonts w:hint="default" w:ascii="Times New Roman" w:hAnsi="Times New Roman" w:eastAsia="宋体" w:cs="Times New Roman"/>
                      <w:color w:val="auto"/>
                      <w:sz w:val="21"/>
                      <w:szCs w:val="21"/>
                      <w:u w:val="none" w:color="auto"/>
                      <w:vertAlign w:val="superscript"/>
                    </w:rPr>
                    <w:t>-3</w:t>
                  </w:r>
                </w:p>
              </w:tc>
              <w:tc>
                <w:tcPr>
                  <w:tcW w:w="614" w:type="pct"/>
                  <w:tcBorders>
                    <w:tl2br w:val="nil"/>
                    <w:tr2bl w:val="nil"/>
                  </w:tcBorders>
                  <w:noWrap w:val="0"/>
                  <w:vAlign w:val="center"/>
                </w:tcPr>
                <w:p w14:paraId="2054DEE7">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1.97</w:t>
                  </w:r>
                  <w:r>
                    <w:rPr>
                      <w:rFonts w:hint="default" w:ascii="Times New Roman" w:hAnsi="Times New Roman" w:eastAsia="宋体" w:cs="Times New Roman"/>
                      <w:color w:val="auto"/>
                      <w:sz w:val="21"/>
                      <w:szCs w:val="21"/>
                      <w:u w:val="none" w:color="auto"/>
                    </w:rPr>
                    <w:t>×10</w:t>
                  </w:r>
                  <w:r>
                    <w:rPr>
                      <w:rFonts w:hint="default" w:ascii="Times New Roman" w:hAnsi="Times New Roman" w:eastAsia="宋体" w:cs="Times New Roman"/>
                      <w:color w:val="auto"/>
                      <w:sz w:val="21"/>
                      <w:szCs w:val="21"/>
                      <w:u w:val="none" w:color="auto"/>
                      <w:vertAlign w:val="superscript"/>
                    </w:rPr>
                    <w:t>-3</w:t>
                  </w:r>
                </w:p>
              </w:tc>
              <w:tc>
                <w:tcPr>
                  <w:tcW w:w="488" w:type="pct"/>
                  <w:tcBorders>
                    <w:tl2br w:val="nil"/>
                    <w:tr2bl w:val="nil"/>
                  </w:tcBorders>
                  <w:noWrap w:val="0"/>
                  <w:vAlign w:val="center"/>
                </w:tcPr>
                <w:p w14:paraId="19B0062F">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0.040</w:t>
                  </w:r>
                </w:p>
              </w:tc>
              <w:tc>
                <w:tcPr>
                  <w:tcW w:w="486" w:type="pct"/>
                  <w:tcBorders>
                    <w:tl2br w:val="nil"/>
                    <w:tr2bl w:val="nil"/>
                  </w:tcBorders>
                  <w:noWrap w:val="0"/>
                  <w:vAlign w:val="center"/>
                </w:tcPr>
                <w:p w14:paraId="0D4345A1">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bCs/>
                      <w:color w:val="auto"/>
                      <w:kern w:val="0"/>
                      <w:sz w:val="21"/>
                      <w:szCs w:val="21"/>
                      <w:highlight w:val="none"/>
                      <w:u w:val="none" w:color="auto"/>
                      <w:lang w:val="en-US" w:eastAsia="zh-CN" w:bidi="ar-SA"/>
                    </w:rPr>
                  </w:pPr>
                  <w:r>
                    <w:rPr>
                      <w:rFonts w:hint="default" w:ascii="Times New Roman" w:hAnsi="Times New Roman" w:eastAsia="宋体" w:cs="Times New Roman"/>
                      <w:color w:val="auto"/>
                      <w:kern w:val="0"/>
                      <w:sz w:val="21"/>
                      <w:szCs w:val="21"/>
                      <w:u w:val="none" w:color="auto"/>
                    </w:rPr>
                    <w:t>mg/m</w:t>
                  </w:r>
                  <w:r>
                    <w:rPr>
                      <w:rFonts w:hint="default" w:ascii="Times New Roman" w:hAnsi="Times New Roman" w:eastAsia="宋体" w:cs="Times New Roman"/>
                      <w:color w:val="auto"/>
                      <w:kern w:val="0"/>
                      <w:sz w:val="21"/>
                      <w:szCs w:val="21"/>
                      <w:u w:val="none" w:color="auto"/>
                      <w:vertAlign w:val="superscript"/>
                    </w:rPr>
                    <w:t>3</w:t>
                  </w:r>
                </w:p>
              </w:tc>
            </w:tr>
            <w:tr w14:paraId="4726FA2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23" w:type="pct"/>
                  <w:vMerge w:val="continue"/>
                  <w:tcBorders>
                    <w:tl2br w:val="nil"/>
                    <w:tr2bl w:val="nil"/>
                  </w:tcBorders>
                  <w:noWrap w:val="0"/>
                  <w:vAlign w:val="center"/>
                </w:tcPr>
                <w:p w14:paraId="2C45108F">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sz w:val="21"/>
                      <w:szCs w:val="21"/>
                      <w:highlight w:val="none"/>
                      <w:u w:val="none" w:color="auto"/>
                    </w:rPr>
                  </w:pPr>
                </w:p>
              </w:tc>
              <w:tc>
                <w:tcPr>
                  <w:tcW w:w="767" w:type="pct"/>
                  <w:vMerge w:val="continue"/>
                  <w:tcBorders>
                    <w:tl2br w:val="nil"/>
                    <w:tr2bl w:val="nil"/>
                  </w:tcBorders>
                  <w:noWrap w:val="0"/>
                  <w:vAlign w:val="center"/>
                </w:tcPr>
                <w:p w14:paraId="79C67958">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sz w:val="21"/>
                      <w:szCs w:val="21"/>
                      <w:highlight w:val="none"/>
                      <w:u w:val="none" w:color="auto"/>
                      <w:lang w:val="en-US" w:eastAsia="zh-CN"/>
                    </w:rPr>
                  </w:pPr>
                </w:p>
              </w:tc>
              <w:tc>
                <w:tcPr>
                  <w:tcW w:w="894" w:type="pct"/>
                  <w:tcBorders>
                    <w:tl2br w:val="nil"/>
                    <w:tr2bl w:val="nil"/>
                  </w:tcBorders>
                  <w:noWrap w:val="0"/>
                  <w:vAlign w:val="center"/>
                </w:tcPr>
                <w:p w14:paraId="50D17271">
                  <w:pPr>
                    <w:keepNext w:val="0"/>
                    <w:keepLines w:val="0"/>
                    <w:pageBreakBefore w:val="0"/>
                    <w:widowControl/>
                    <w:kinsoku/>
                    <w:wordWrap/>
                    <w:overflowPunct/>
                    <w:topLinePunct w:val="0"/>
                    <w:autoSpaceDE/>
                    <w:autoSpaceDN/>
                    <w:bidi w:val="0"/>
                    <w:adjustRightInd/>
                    <w:snapToGrid/>
                    <w:spacing w:after="0"/>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氯化氢</w:t>
                  </w:r>
                </w:p>
              </w:tc>
              <w:tc>
                <w:tcPr>
                  <w:tcW w:w="612" w:type="pct"/>
                  <w:tcBorders>
                    <w:tl2br w:val="nil"/>
                    <w:tr2bl w:val="nil"/>
                  </w:tcBorders>
                  <w:noWrap w:val="0"/>
                  <w:vAlign w:val="center"/>
                </w:tcPr>
                <w:p w14:paraId="492D53EB">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0.042</w:t>
                  </w:r>
                </w:p>
              </w:tc>
              <w:tc>
                <w:tcPr>
                  <w:tcW w:w="612" w:type="pct"/>
                  <w:tcBorders>
                    <w:tl2br w:val="nil"/>
                    <w:tr2bl w:val="nil"/>
                  </w:tcBorders>
                  <w:noWrap w:val="0"/>
                  <w:vAlign w:val="center"/>
                </w:tcPr>
                <w:p w14:paraId="19508A0E">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0.043</w:t>
                  </w:r>
                </w:p>
              </w:tc>
              <w:tc>
                <w:tcPr>
                  <w:tcW w:w="614" w:type="pct"/>
                  <w:tcBorders>
                    <w:tl2br w:val="nil"/>
                    <w:tr2bl w:val="nil"/>
                  </w:tcBorders>
                  <w:noWrap w:val="0"/>
                  <w:vAlign w:val="center"/>
                </w:tcPr>
                <w:p w14:paraId="4BAE6DF8">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0.055</w:t>
                  </w:r>
                </w:p>
              </w:tc>
              <w:tc>
                <w:tcPr>
                  <w:tcW w:w="488" w:type="pct"/>
                  <w:tcBorders>
                    <w:tl2br w:val="nil"/>
                    <w:tr2bl w:val="nil"/>
                  </w:tcBorders>
                  <w:noWrap w:val="0"/>
                  <w:vAlign w:val="center"/>
                </w:tcPr>
                <w:p w14:paraId="11DAF287">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0.20</w:t>
                  </w:r>
                </w:p>
              </w:tc>
              <w:tc>
                <w:tcPr>
                  <w:tcW w:w="486" w:type="pct"/>
                  <w:tcBorders>
                    <w:tl2br w:val="nil"/>
                    <w:tr2bl w:val="nil"/>
                  </w:tcBorders>
                  <w:noWrap w:val="0"/>
                  <w:vAlign w:val="center"/>
                </w:tcPr>
                <w:p w14:paraId="34CCCFC7">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bCs/>
                      <w:color w:val="auto"/>
                      <w:kern w:val="0"/>
                      <w:sz w:val="21"/>
                      <w:szCs w:val="21"/>
                      <w:highlight w:val="none"/>
                      <w:u w:val="none" w:color="auto"/>
                      <w:lang w:val="en-US" w:eastAsia="zh-CN" w:bidi="ar-SA"/>
                    </w:rPr>
                  </w:pPr>
                  <w:r>
                    <w:rPr>
                      <w:rFonts w:hint="default" w:ascii="Times New Roman" w:hAnsi="Times New Roman" w:eastAsia="宋体" w:cs="Times New Roman"/>
                      <w:color w:val="auto"/>
                      <w:kern w:val="0"/>
                      <w:sz w:val="21"/>
                      <w:szCs w:val="21"/>
                      <w:u w:val="none" w:color="auto"/>
                    </w:rPr>
                    <w:t>mg/m</w:t>
                  </w:r>
                  <w:r>
                    <w:rPr>
                      <w:rFonts w:hint="default" w:ascii="Times New Roman" w:hAnsi="Times New Roman" w:eastAsia="宋体" w:cs="Times New Roman"/>
                      <w:color w:val="auto"/>
                      <w:kern w:val="0"/>
                      <w:sz w:val="21"/>
                      <w:szCs w:val="21"/>
                      <w:u w:val="none" w:color="auto"/>
                      <w:vertAlign w:val="superscript"/>
                    </w:rPr>
                    <w:t>3</w:t>
                  </w:r>
                </w:p>
              </w:tc>
            </w:tr>
            <w:tr w14:paraId="5DFBE43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23" w:type="pct"/>
                  <w:vMerge w:val="continue"/>
                  <w:tcBorders>
                    <w:tl2br w:val="nil"/>
                    <w:tr2bl w:val="nil"/>
                  </w:tcBorders>
                  <w:noWrap w:val="0"/>
                  <w:vAlign w:val="center"/>
                </w:tcPr>
                <w:p w14:paraId="0A2AE6CF">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sz w:val="21"/>
                      <w:szCs w:val="21"/>
                      <w:highlight w:val="none"/>
                      <w:u w:val="none" w:color="auto"/>
                    </w:rPr>
                  </w:pPr>
                </w:p>
              </w:tc>
              <w:tc>
                <w:tcPr>
                  <w:tcW w:w="767" w:type="pct"/>
                  <w:vMerge w:val="continue"/>
                  <w:tcBorders>
                    <w:tl2br w:val="nil"/>
                    <w:tr2bl w:val="nil"/>
                  </w:tcBorders>
                  <w:noWrap w:val="0"/>
                  <w:vAlign w:val="center"/>
                </w:tcPr>
                <w:p w14:paraId="5C185640">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sz w:val="21"/>
                      <w:szCs w:val="21"/>
                      <w:highlight w:val="none"/>
                      <w:u w:val="none" w:color="auto"/>
                      <w:lang w:val="en-US" w:eastAsia="zh-CN"/>
                    </w:rPr>
                  </w:pPr>
                </w:p>
              </w:tc>
              <w:tc>
                <w:tcPr>
                  <w:tcW w:w="894" w:type="pct"/>
                  <w:tcBorders>
                    <w:tl2br w:val="nil"/>
                    <w:tr2bl w:val="nil"/>
                  </w:tcBorders>
                  <w:noWrap w:val="0"/>
                  <w:vAlign w:val="center"/>
                </w:tcPr>
                <w:p w14:paraId="492699AD">
                  <w:pPr>
                    <w:keepNext w:val="0"/>
                    <w:keepLines w:val="0"/>
                    <w:pageBreakBefore w:val="0"/>
                    <w:widowControl/>
                    <w:kinsoku/>
                    <w:wordWrap/>
                    <w:overflowPunct/>
                    <w:topLinePunct w:val="0"/>
                    <w:autoSpaceDE/>
                    <w:autoSpaceDN/>
                    <w:bidi w:val="0"/>
                    <w:adjustRightInd/>
                    <w:snapToGrid/>
                    <w:spacing w:after="0"/>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硫化氢</w:t>
                  </w:r>
                </w:p>
              </w:tc>
              <w:tc>
                <w:tcPr>
                  <w:tcW w:w="612" w:type="pct"/>
                  <w:tcBorders>
                    <w:tl2br w:val="nil"/>
                    <w:tr2bl w:val="nil"/>
                  </w:tcBorders>
                  <w:noWrap w:val="0"/>
                  <w:vAlign w:val="center"/>
                </w:tcPr>
                <w:p w14:paraId="72D9CDB0">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0.016</w:t>
                  </w:r>
                </w:p>
              </w:tc>
              <w:tc>
                <w:tcPr>
                  <w:tcW w:w="612" w:type="pct"/>
                  <w:tcBorders>
                    <w:tl2br w:val="nil"/>
                    <w:tr2bl w:val="nil"/>
                  </w:tcBorders>
                  <w:noWrap w:val="0"/>
                  <w:vAlign w:val="center"/>
                </w:tcPr>
                <w:p w14:paraId="5A26BA44">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0.017</w:t>
                  </w:r>
                </w:p>
              </w:tc>
              <w:tc>
                <w:tcPr>
                  <w:tcW w:w="614" w:type="pct"/>
                  <w:tcBorders>
                    <w:tl2br w:val="nil"/>
                    <w:tr2bl w:val="nil"/>
                  </w:tcBorders>
                  <w:noWrap w:val="0"/>
                  <w:vAlign w:val="center"/>
                </w:tcPr>
                <w:p w14:paraId="3B42E606">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0.024</w:t>
                  </w:r>
                </w:p>
              </w:tc>
              <w:tc>
                <w:tcPr>
                  <w:tcW w:w="488" w:type="pct"/>
                  <w:tcBorders>
                    <w:tl2br w:val="nil"/>
                    <w:tr2bl w:val="nil"/>
                  </w:tcBorders>
                  <w:noWrap w:val="0"/>
                  <w:vAlign w:val="center"/>
                </w:tcPr>
                <w:p w14:paraId="6280597B">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0.10</w:t>
                  </w:r>
                </w:p>
              </w:tc>
              <w:tc>
                <w:tcPr>
                  <w:tcW w:w="486" w:type="pct"/>
                  <w:tcBorders>
                    <w:tl2br w:val="nil"/>
                    <w:tr2bl w:val="nil"/>
                  </w:tcBorders>
                  <w:noWrap w:val="0"/>
                  <w:vAlign w:val="center"/>
                </w:tcPr>
                <w:p w14:paraId="00E765E7">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bCs/>
                      <w:color w:val="auto"/>
                      <w:kern w:val="0"/>
                      <w:sz w:val="21"/>
                      <w:szCs w:val="21"/>
                      <w:highlight w:val="none"/>
                      <w:u w:val="none" w:color="auto"/>
                      <w:lang w:val="en-US" w:eastAsia="zh-CN" w:bidi="ar-SA"/>
                    </w:rPr>
                  </w:pPr>
                  <w:r>
                    <w:rPr>
                      <w:rFonts w:hint="default" w:ascii="Times New Roman" w:hAnsi="Times New Roman" w:eastAsia="宋体" w:cs="Times New Roman"/>
                      <w:color w:val="auto"/>
                      <w:kern w:val="0"/>
                      <w:sz w:val="21"/>
                      <w:szCs w:val="21"/>
                      <w:u w:val="none" w:color="auto"/>
                    </w:rPr>
                    <w:t>mg/m</w:t>
                  </w:r>
                  <w:r>
                    <w:rPr>
                      <w:rFonts w:hint="default" w:ascii="Times New Roman" w:hAnsi="Times New Roman" w:eastAsia="宋体" w:cs="Times New Roman"/>
                      <w:color w:val="auto"/>
                      <w:kern w:val="0"/>
                      <w:sz w:val="21"/>
                      <w:szCs w:val="21"/>
                      <w:u w:val="none" w:color="auto"/>
                      <w:vertAlign w:val="superscript"/>
                    </w:rPr>
                    <w:t>3</w:t>
                  </w:r>
                </w:p>
              </w:tc>
            </w:tr>
            <w:tr w14:paraId="26A2CEC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23" w:type="pct"/>
                  <w:vMerge w:val="continue"/>
                  <w:tcBorders>
                    <w:tl2br w:val="nil"/>
                    <w:tr2bl w:val="nil"/>
                  </w:tcBorders>
                  <w:noWrap w:val="0"/>
                  <w:vAlign w:val="center"/>
                </w:tcPr>
                <w:p w14:paraId="606ECAB3">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sz w:val="21"/>
                      <w:szCs w:val="21"/>
                      <w:highlight w:val="none"/>
                      <w:u w:val="none" w:color="auto"/>
                    </w:rPr>
                  </w:pPr>
                </w:p>
              </w:tc>
              <w:tc>
                <w:tcPr>
                  <w:tcW w:w="767" w:type="pct"/>
                  <w:vMerge w:val="continue"/>
                  <w:tcBorders>
                    <w:tl2br w:val="nil"/>
                    <w:tr2bl w:val="nil"/>
                  </w:tcBorders>
                  <w:noWrap w:val="0"/>
                  <w:vAlign w:val="center"/>
                </w:tcPr>
                <w:p w14:paraId="28E77CF2">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sz w:val="21"/>
                      <w:szCs w:val="21"/>
                      <w:highlight w:val="none"/>
                      <w:u w:val="none" w:color="auto"/>
                      <w:lang w:val="en-US" w:eastAsia="zh-CN"/>
                    </w:rPr>
                  </w:pPr>
                </w:p>
              </w:tc>
              <w:tc>
                <w:tcPr>
                  <w:tcW w:w="894" w:type="pct"/>
                  <w:tcBorders>
                    <w:tl2br w:val="nil"/>
                    <w:tr2bl w:val="nil"/>
                  </w:tcBorders>
                  <w:noWrap w:val="0"/>
                  <w:vAlign w:val="center"/>
                </w:tcPr>
                <w:p w14:paraId="31B70D99">
                  <w:pPr>
                    <w:keepNext w:val="0"/>
                    <w:keepLines w:val="0"/>
                    <w:pageBreakBefore w:val="0"/>
                    <w:widowControl/>
                    <w:kinsoku/>
                    <w:wordWrap/>
                    <w:overflowPunct/>
                    <w:topLinePunct w:val="0"/>
                    <w:autoSpaceDE/>
                    <w:autoSpaceDN/>
                    <w:bidi w:val="0"/>
                    <w:adjustRightInd/>
                    <w:snapToGrid/>
                    <w:spacing w:after="0"/>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氨</w:t>
                  </w:r>
                </w:p>
              </w:tc>
              <w:tc>
                <w:tcPr>
                  <w:tcW w:w="612" w:type="pct"/>
                  <w:tcBorders>
                    <w:tl2br w:val="nil"/>
                    <w:tr2bl w:val="nil"/>
                  </w:tcBorders>
                  <w:noWrap w:val="0"/>
                  <w:vAlign w:val="center"/>
                </w:tcPr>
                <w:p w14:paraId="43964558">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0.18</w:t>
                  </w:r>
                </w:p>
              </w:tc>
              <w:tc>
                <w:tcPr>
                  <w:tcW w:w="612" w:type="pct"/>
                  <w:tcBorders>
                    <w:tl2br w:val="nil"/>
                    <w:tr2bl w:val="nil"/>
                  </w:tcBorders>
                  <w:noWrap w:val="0"/>
                  <w:vAlign w:val="center"/>
                </w:tcPr>
                <w:p w14:paraId="1FB214B2">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0.18</w:t>
                  </w:r>
                </w:p>
              </w:tc>
              <w:tc>
                <w:tcPr>
                  <w:tcW w:w="614" w:type="pct"/>
                  <w:tcBorders>
                    <w:tl2br w:val="nil"/>
                    <w:tr2bl w:val="nil"/>
                  </w:tcBorders>
                  <w:noWrap w:val="0"/>
                  <w:vAlign w:val="center"/>
                </w:tcPr>
                <w:p w14:paraId="57686E85">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0.19</w:t>
                  </w:r>
                </w:p>
              </w:tc>
              <w:tc>
                <w:tcPr>
                  <w:tcW w:w="488" w:type="pct"/>
                  <w:tcBorders>
                    <w:tl2br w:val="nil"/>
                    <w:tr2bl w:val="nil"/>
                  </w:tcBorders>
                  <w:noWrap w:val="0"/>
                  <w:vAlign w:val="center"/>
                </w:tcPr>
                <w:p w14:paraId="11ED1527">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2.0</w:t>
                  </w:r>
                </w:p>
              </w:tc>
              <w:tc>
                <w:tcPr>
                  <w:tcW w:w="486" w:type="pct"/>
                  <w:tcBorders>
                    <w:tl2br w:val="nil"/>
                    <w:tr2bl w:val="nil"/>
                  </w:tcBorders>
                  <w:noWrap w:val="0"/>
                  <w:vAlign w:val="center"/>
                </w:tcPr>
                <w:p w14:paraId="73434B97">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bCs/>
                      <w:color w:val="auto"/>
                      <w:kern w:val="0"/>
                      <w:sz w:val="21"/>
                      <w:szCs w:val="21"/>
                      <w:highlight w:val="none"/>
                      <w:u w:val="none" w:color="auto"/>
                      <w:lang w:val="en-US" w:eastAsia="zh-CN" w:bidi="ar-SA"/>
                    </w:rPr>
                  </w:pPr>
                  <w:r>
                    <w:rPr>
                      <w:rFonts w:hint="default" w:ascii="Times New Roman" w:hAnsi="Times New Roman" w:eastAsia="宋体" w:cs="Times New Roman"/>
                      <w:color w:val="auto"/>
                      <w:kern w:val="0"/>
                      <w:sz w:val="21"/>
                      <w:szCs w:val="21"/>
                      <w:u w:val="none" w:color="auto"/>
                    </w:rPr>
                    <w:t>mg/m</w:t>
                  </w:r>
                  <w:r>
                    <w:rPr>
                      <w:rFonts w:hint="default" w:ascii="Times New Roman" w:hAnsi="Times New Roman" w:eastAsia="宋体" w:cs="Times New Roman"/>
                      <w:color w:val="auto"/>
                      <w:kern w:val="0"/>
                      <w:sz w:val="21"/>
                      <w:szCs w:val="21"/>
                      <w:u w:val="none" w:color="auto"/>
                      <w:vertAlign w:val="superscript"/>
                    </w:rPr>
                    <w:t>3</w:t>
                  </w:r>
                </w:p>
              </w:tc>
            </w:tr>
            <w:tr w14:paraId="12129E9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23" w:type="pct"/>
                  <w:vMerge w:val="continue"/>
                  <w:tcBorders>
                    <w:tl2br w:val="nil"/>
                    <w:tr2bl w:val="nil"/>
                  </w:tcBorders>
                  <w:noWrap w:val="0"/>
                  <w:vAlign w:val="center"/>
                </w:tcPr>
                <w:p w14:paraId="1920EA12">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sz w:val="21"/>
                      <w:szCs w:val="21"/>
                      <w:highlight w:val="none"/>
                      <w:u w:val="none" w:color="auto"/>
                      <w:lang w:val="en-US" w:eastAsia="zh-CN"/>
                    </w:rPr>
                  </w:pPr>
                </w:p>
              </w:tc>
              <w:tc>
                <w:tcPr>
                  <w:tcW w:w="767" w:type="pct"/>
                  <w:tcBorders>
                    <w:tl2br w:val="nil"/>
                    <w:tr2bl w:val="nil"/>
                  </w:tcBorders>
                  <w:noWrap w:val="0"/>
                  <w:vAlign w:val="center"/>
                </w:tcPr>
                <w:p w14:paraId="6B2A91A2">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铝合金熔铸</w:t>
                  </w:r>
                </w:p>
                <w:p w14:paraId="42737810">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车间G3</w:t>
                  </w:r>
                </w:p>
              </w:tc>
              <w:tc>
                <w:tcPr>
                  <w:tcW w:w="894" w:type="pct"/>
                  <w:tcBorders>
                    <w:tl2br w:val="nil"/>
                    <w:tr2bl w:val="nil"/>
                  </w:tcBorders>
                  <w:noWrap w:val="0"/>
                  <w:vAlign w:val="center"/>
                </w:tcPr>
                <w:p w14:paraId="70348072">
                  <w:pPr>
                    <w:keepNext w:val="0"/>
                    <w:keepLines w:val="0"/>
                    <w:pageBreakBefore w:val="0"/>
                    <w:widowControl/>
                    <w:kinsoku/>
                    <w:wordWrap/>
                    <w:overflowPunct/>
                    <w:topLinePunct w:val="0"/>
                    <w:autoSpaceDE/>
                    <w:autoSpaceDN/>
                    <w:bidi w:val="0"/>
                    <w:adjustRightInd/>
                    <w:snapToGrid/>
                    <w:spacing w:after="0"/>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b w:val="0"/>
                      <w:bCs w:val="0"/>
                      <w:color w:val="auto"/>
                      <w:sz w:val="21"/>
                      <w:szCs w:val="21"/>
                      <w:highlight w:val="none"/>
                      <w:u w:val="none" w:color="auto"/>
                      <w:lang w:val="en-US" w:eastAsia="zh-CN"/>
                    </w:rPr>
                    <w:t>颗粒物</w:t>
                  </w:r>
                </w:p>
              </w:tc>
              <w:tc>
                <w:tcPr>
                  <w:tcW w:w="612" w:type="pct"/>
                  <w:tcBorders>
                    <w:tl2br w:val="nil"/>
                    <w:tr2bl w:val="nil"/>
                  </w:tcBorders>
                  <w:noWrap w:val="0"/>
                  <w:vAlign w:val="center"/>
                </w:tcPr>
                <w:p w14:paraId="3D2D272D">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0.753</w:t>
                  </w:r>
                </w:p>
              </w:tc>
              <w:tc>
                <w:tcPr>
                  <w:tcW w:w="612" w:type="pct"/>
                  <w:tcBorders>
                    <w:tl2br w:val="nil"/>
                    <w:tr2bl w:val="nil"/>
                  </w:tcBorders>
                  <w:noWrap w:val="0"/>
                  <w:vAlign w:val="center"/>
                </w:tcPr>
                <w:p w14:paraId="2A31237D">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0.787</w:t>
                  </w:r>
                </w:p>
              </w:tc>
              <w:tc>
                <w:tcPr>
                  <w:tcW w:w="614" w:type="pct"/>
                  <w:tcBorders>
                    <w:tl2br w:val="nil"/>
                    <w:tr2bl w:val="nil"/>
                  </w:tcBorders>
                  <w:noWrap w:val="0"/>
                  <w:vAlign w:val="center"/>
                </w:tcPr>
                <w:p w14:paraId="7516170E">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0.803</w:t>
                  </w:r>
                </w:p>
              </w:tc>
              <w:tc>
                <w:tcPr>
                  <w:tcW w:w="488" w:type="pct"/>
                  <w:tcBorders>
                    <w:tl2br w:val="nil"/>
                    <w:tr2bl w:val="nil"/>
                  </w:tcBorders>
                  <w:noWrap w:val="0"/>
                  <w:vAlign w:val="center"/>
                </w:tcPr>
                <w:p w14:paraId="621A4208">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5.0</w:t>
                  </w:r>
                </w:p>
              </w:tc>
              <w:tc>
                <w:tcPr>
                  <w:tcW w:w="486" w:type="pct"/>
                  <w:tcBorders>
                    <w:tl2br w:val="nil"/>
                    <w:tr2bl w:val="nil"/>
                  </w:tcBorders>
                  <w:noWrap w:val="0"/>
                  <w:vAlign w:val="center"/>
                </w:tcPr>
                <w:p w14:paraId="0D313BB4">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bCs/>
                      <w:color w:val="auto"/>
                      <w:kern w:val="0"/>
                      <w:sz w:val="21"/>
                      <w:szCs w:val="21"/>
                      <w:highlight w:val="none"/>
                      <w:u w:val="none" w:color="auto"/>
                      <w:lang w:val="en-US" w:eastAsia="zh-CN" w:bidi="ar-SA"/>
                    </w:rPr>
                  </w:pPr>
                  <w:r>
                    <w:rPr>
                      <w:rFonts w:hint="default" w:ascii="Times New Roman" w:hAnsi="Times New Roman" w:eastAsia="宋体" w:cs="Times New Roman"/>
                      <w:bCs/>
                      <w:color w:val="auto"/>
                      <w:kern w:val="0"/>
                      <w:sz w:val="21"/>
                      <w:szCs w:val="21"/>
                      <w:highlight w:val="none"/>
                      <w:u w:val="none" w:color="auto"/>
                      <w:lang w:val="en-US" w:eastAsia="zh-CN"/>
                    </w:rPr>
                    <w:t>mg/m</w:t>
                  </w:r>
                  <w:r>
                    <w:rPr>
                      <w:rFonts w:hint="default" w:ascii="Times New Roman" w:hAnsi="Times New Roman" w:eastAsia="宋体" w:cs="Times New Roman"/>
                      <w:bCs/>
                      <w:color w:val="auto"/>
                      <w:kern w:val="0"/>
                      <w:sz w:val="21"/>
                      <w:szCs w:val="21"/>
                      <w:highlight w:val="none"/>
                      <w:u w:val="none" w:color="auto"/>
                      <w:vertAlign w:val="superscript"/>
                      <w:lang w:val="en-US" w:eastAsia="zh-CN"/>
                    </w:rPr>
                    <w:t>3</w:t>
                  </w:r>
                </w:p>
              </w:tc>
            </w:tr>
            <w:tr w14:paraId="2D2B34B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23" w:type="pct"/>
                  <w:vMerge w:val="continue"/>
                  <w:tcBorders>
                    <w:tl2br w:val="nil"/>
                    <w:tr2bl w:val="nil"/>
                  </w:tcBorders>
                  <w:noWrap w:val="0"/>
                  <w:vAlign w:val="center"/>
                </w:tcPr>
                <w:p w14:paraId="0919BF8B">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sz w:val="21"/>
                      <w:szCs w:val="21"/>
                      <w:highlight w:val="none"/>
                      <w:u w:val="none" w:color="auto"/>
                    </w:rPr>
                  </w:pPr>
                </w:p>
              </w:tc>
              <w:tc>
                <w:tcPr>
                  <w:tcW w:w="767" w:type="pct"/>
                  <w:tcBorders>
                    <w:tl2br w:val="nil"/>
                    <w:tr2bl w:val="nil"/>
                  </w:tcBorders>
                  <w:noWrap w:val="0"/>
                  <w:vAlign w:val="center"/>
                </w:tcPr>
                <w:p w14:paraId="734F6254">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铝锂车间外（厂区内）G4</w:t>
                  </w:r>
                </w:p>
              </w:tc>
              <w:tc>
                <w:tcPr>
                  <w:tcW w:w="894" w:type="pct"/>
                  <w:tcBorders>
                    <w:tl2br w:val="nil"/>
                    <w:tr2bl w:val="nil"/>
                  </w:tcBorders>
                  <w:noWrap w:val="0"/>
                  <w:vAlign w:val="center"/>
                </w:tcPr>
                <w:p w14:paraId="1D55FD14">
                  <w:pPr>
                    <w:keepNext w:val="0"/>
                    <w:keepLines w:val="0"/>
                    <w:pageBreakBefore w:val="0"/>
                    <w:widowControl/>
                    <w:kinsoku/>
                    <w:wordWrap/>
                    <w:overflowPunct/>
                    <w:topLinePunct w:val="0"/>
                    <w:autoSpaceDE/>
                    <w:autoSpaceDN/>
                    <w:bidi w:val="0"/>
                    <w:adjustRightInd/>
                    <w:snapToGrid/>
                    <w:spacing w:after="0"/>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b w:val="0"/>
                      <w:bCs w:val="0"/>
                      <w:color w:val="auto"/>
                      <w:sz w:val="21"/>
                      <w:szCs w:val="21"/>
                      <w:highlight w:val="none"/>
                      <w:u w:val="none" w:color="auto"/>
                      <w:lang w:val="en-US" w:eastAsia="zh-CN"/>
                    </w:rPr>
                    <w:t>颗粒物</w:t>
                  </w:r>
                </w:p>
              </w:tc>
              <w:tc>
                <w:tcPr>
                  <w:tcW w:w="612" w:type="pct"/>
                  <w:tcBorders>
                    <w:tl2br w:val="nil"/>
                    <w:tr2bl w:val="nil"/>
                  </w:tcBorders>
                  <w:noWrap w:val="0"/>
                  <w:vAlign w:val="center"/>
                </w:tcPr>
                <w:p w14:paraId="5E001583">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0.535</w:t>
                  </w:r>
                </w:p>
              </w:tc>
              <w:tc>
                <w:tcPr>
                  <w:tcW w:w="612" w:type="pct"/>
                  <w:tcBorders>
                    <w:tl2br w:val="nil"/>
                    <w:tr2bl w:val="nil"/>
                  </w:tcBorders>
                  <w:noWrap w:val="0"/>
                  <w:vAlign w:val="center"/>
                </w:tcPr>
                <w:p w14:paraId="69BD563B">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0.601</w:t>
                  </w:r>
                </w:p>
              </w:tc>
              <w:tc>
                <w:tcPr>
                  <w:tcW w:w="614" w:type="pct"/>
                  <w:tcBorders>
                    <w:tl2br w:val="nil"/>
                    <w:tr2bl w:val="nil"/>
                  </w:tcBorders>
                  <w:noWrap w:val="0"/>
                  <w:vAlign w:val="center"/>
                </w:tcPr>
                <w:p w14:paraId="6D1ED119">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0.635</w:t>
                  </w:r>
                </w:p>
              </w:tc>
              <w:tc>
                <w:tcPr>
                  <w:tcW w:w="488" w:type="pct"/>
                  <w:tcBorders>
                    <w:tl2br w:val="nil"/>
                    <w:tr2bl w:val="nil"/>
                  </w:tcBorders>
                  <w:noWrap w:val="0"/>
                  <w:vAlign w:val="center"/>
                </w:tcPr>
                <w:p w14:paraId="270AB5F8">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5.0</w:t>
                  </w:r>
                </w:p>
              </w:tc>
              <w:tc>
                <w:tcPr>
                  <w:tcW w:w="486" w:type="pct"/>
                  <w:tcBorders>
                    <w:tl2br w:val="nil"/>
                    <w:tr2bl w:val="nil"/>
                  </w:tcBorders>
                  <w:noWrap w:val="0"/>
                  <w:vAlign w:val="center"/>
                </w:tcPr>
                <w:p w14:paraId="3861CD6D">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bCs/>
                      <w:color w:val="auto"/>
                      <w:kern w:val="0"/>
                      <w:sz w:val="21"/>
                      <w:szCs w:val="21"/>
                      <w:highlight w:val="none"/>
                      <w:u w:val="none" w:color="auto"/>
                      <w:lang w:val="en-US" w:eastAsia="zh-CN" w:bidi="ar-SA"/>
                    </w:rPr>
                  </w:pPr>
                  <w:r>
                    <w:rPr>
                      <w:rFonts w:hint="default" w:ascii="Times New Roman" w:hAnsi="Times New Roman" w:eastAsia="宋体" w:cs="Times New Roman"/>
                      <w:bCs/>
                      <w:color w:val="auto"/>
                      <w:kern w:val="0"/>
                      <w:sz w:val="21"/>
                      <w:szCs w:val="21"/>
                      <w:highlight w:val="none"/>
                      <w:u w:val="none" w:color="auto"/>
                      <w:lang w:val="en-US" w:eastAsia="zh-CN"/>
                    </w:rPr>
                    <w:t>mg/m</w:t>
                  </w:r>
                  <w:r>
                    <w:rPr>
                      <w:rFonts w:hint="default" w:ascii="Times New Roman" w:hAnsi="Times New Roman" w:eastAsia="宋体" w:cs="Times New Roman"/>
                      <w:bCs/>
                      <w:color w:val="auto"/>
                      <w:kern w:val="0"/>
                      <w:sz w:val="21"/>
                      <w:szCs w:val="21"/>
                      <w:highlight w:val="none"/>
                      <w:u w:val="none" w:color="auto"/>
                      <w:vertAlign w:val="superscript"/>
                      <w:lang w:val="en-US" w:eastAsia="zh-CN"/>
                    </w:rPr>
                    <w:t>3</w:t>
                  </w:r>
                </w:p>
              </w:tc>
            </w:tr>
            <w:tr w14:paraId="6442988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23" w:type="pct"/>
                  <w:vMerge w:val="restart"/>
                  <w:tcBorders>
                    <w:tl2br w:val="nil"/>
                    <w:tr2bl w:val="nil"/>
                  </w:tcBorders>
                  <w:noWrap w:val="0"/>
                  <w:vAlign w:val="center"/>
                </w:tcPr>
                <w:p w14:paraId="78EEDFFC">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5月31日</w:t>
                  </w:r>
                </w:p>
              </w:tc>
              <w:tc>
                <w:tcPr>
                  <w:tcW w:w="767" w:type="pct"/>
                  <w:vMerge w:val="restart"/>
                  <w:tcBorders>
                    <w:tl2br w:val="nil"/>
                    <w:tr2bl w:val="nil"/>
                  </w:tcBorders>
                  <w:noWrap w:val="0"/>
                  <w:vAlign w:val="center"/>
                </w:tcPr>
                <w:p w14:paraId="29364FDC">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厂界上风向2m-50mG1</w:t>
                  </w:r>
                </w:p>
              </w:tc>
              <w:tc>
                <w:tcPr>
                  <w:tcW w:w="894" w:type="pct"/>
                  <w:tcBorders>
                    <w:tl2br w:val="nil"/>
                    <w:tr2bl w:val="nil"/>
                  </w:tcBorders>
                  <w:noWrap w:val="0"/>
                  <w:vAlign w:val="center"/>
                </w:tcPr>
                <w:p w14:paraId="2A9509C9">
                  <w:pPr>
                    <w:keepNext w:val="0"/>
                    <w:keepLines w:val="0"/>
                    <w:pageBreakBefore w:val="0"/>
                    <w:widowControl/>
                    <w:kinsoku/>
                    <w:wordWrap/>
                    <w:overflowPunct/>
                    <w:topLinePunct w:val="0"/>
                    <w:autoSpaceDE/>
                    <w:autoSpaceDN/>
                    <w:bidi w:val="0"/>
                    <w:adjustRightInd/>
                    <w:snapToGrid/>
                    <w:spacing w:after="0"/>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二氧化硫</w:t>
                  </w:r>
                </w:p>
              </w:tc>
              <w:tc>
                <w:tcPr>
                  <w:tcW w:w="612" w:type="pct"/>
                  <w:tcBorders>
                    <w:tl2br w:val="nil"/>
                    <w:tr2bl w:val="nil"/>
                  </w:tcBorders>
                  <w:noWrap w:val="0"/>
                  <w:vAlign w:val="center"/>
                </w:tcPr>
                <w:p w14:paraId="2D4BEF1A">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0.019</w:t>
                  </w:r>
                </w:p>
              </w:tc>
              <w:tc>
                <w:tcPr>
                  <w:tcW w:w="612" w:type="pct"/>
                  <w:tcBorders>
                    <w:tl2br w:val="nil"/>
                    <w:tr2bl w:val="nil"/>
                  </w:tcBorders>
                  <w:noWrap w:val="0"/>
                  <w:vAlign w:val="center"/>
                </w:tcPr>
                <w:p w14:paraId="20A46C89">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0.026</w:t>
                  </w:r>
                </w:p>
              </w:tc>
              <w:tc>
                <w:tcPr>
                  <w:tcW w:w="614" w:type="pct"/>
                  <w:tcBorders>
                    <w:tl2br w:val="nil"/>
                    <w:tr2bl w:val="nil"/>
                  </w:tcBorders>
                  <w:noWrap w:val="0"/>
                  <w:vAlign w:val="center"/>
                </w:tcPr>
                <w:p w14:paraId="119F426B">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0.014</w:t>
                  </w:r>
                </w:p>
              </w:tc>
              <w:tc>
                <w:tcPr>
                  <w:tcW w:w="488" w:type="pct"/>
                  <w:tcBorders>
                    <w:tl2br w:val="nil"/>
                    <w:tr2bl w:val="nil"/>
                  </w:tcBorders>
                  <w:noWrap w:val="0"/>
                  <w:vAlign w:val="center"/>
                </w:tcPr>
                <w:p w14:paraId="3A6A040A">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0.40</w:t>
                  </w:r>
                </w:p>
              </w:tc>
              <w:tc>
                <w:tcPr>
                  <w:tcW w:w="486" w:type="pct"/>
                  <w:tcBorders>
                    <w:tl2br w:val="nil"/>
                    <w:tr2bl w:val="nil"/>
                  </w:tcBorders>
                  <w:noWrap w:val="0"/>
                  <w:vAlign w:val="center"/>
                </w:tcPr>
                <w:p w14:paraId="4B4E9A59">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bCs/>
                      <w:color w:val="auto"/>
                      <w:kern w:val="0"/>
                      <w:sz w:val="21"/>
                      <w:szCs w:val="21"/>
                      <w:highlight w:val="none"/>
                      <w:u w:val="none" w:color="auto"/>
                      <w:lang w:val="en-US" w:eastAsia="zh-CN" w:bidi="ar-SA"/>
                    </w:rPr>
                  </w:pPr>
                  <w:r>
                    <w:rPr>
                      <w:rFonts w:hint="default" w:ascii="Times New Roman" w:hAnsi="Times New Roman" w:eastAsia="宋体" w:cs="Times New Roman"/>
                      <w:bCs/>
                      <w:color w:val="auto"/>
                      <w:kern w:val="0"/>
                      <w:sz w:val="21"/>
                      <w:szCs w:val="21"/>
                      <w:highlight w:val="none"/>
                      <w:u w:val="none" w:color="auto"/>
                      <w:lang w:val="en-US" w:eastAsia="zh-CN"/>
                    </w:rPr>
                    <w:t>mg/m</w:t>
                  </w:r>
                  <w:r>
                    <w:rPr>
                      <w:rFonts w:hint="default" w:ascii="Times New Roman" w:hAnsi="Times New Roman" w:eastAsia="宋体" w:cs="Times New Roman"/>
                      <w:bCs/>
                      <w:color w:val="auto"/>
                      <w:kern w:val="0"/>
                      <w:sz w:val="21"/>
                      <w:szCs w:val="21"/>
                      <w:highlight w:val="none"/>
                      <w:u w:val="none" w:color="auto"/>
                      <w:vertAlign w:val="superscript"/>
                      <w:lang w:val="en-US" w:eastAsia="zh-CN"/>
                    </w:rPr>
                    <w:t>3</w:t>
                  </w:r>
                </w:p>
              </w:tc>
            </w:tr>
            <w:tr w14:paraId="7D6065D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23" w:type="pct"/>
                  <w:vMerge w:val="continue"/>
                  <w:tcBorders>
                    <w:tl2br w:val="nil"/>
                    <w:tr2bl w:val="nil"/>
                  </w:tcBorders>
                  <w:noWrap w:val="0"/>
                  <w:vAlign w:val="center"/>
                </w:tcPr>
                <w:p w14:paraId="1D213410">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sz w:val="21"/>
                      <w:szCs w:val="21"/>
                      <w:highlight w:val="none"/>
                      <w:u w:val="none" w:color="auto"/>
                    </w:rPr>
                  </w:pPr>
                </w:p>
              </w:tc>
              <w:tc>
                <w:tcPr>
                  <w:tcW w:w="767" w:type="pct"/>
                  <w:vMerge w:val="continue"/>
                  <w:tcBorders>
                    <w:tl2br w:val="nil"/>
                    <w:tr2bl w:val="nil"/>
                  </w:tcBorders>
                  <w:noWrap w:val="0"/>
                  <w:vAlign w:val="center"/>
                </w:tcPr>
                <w:p w14:paraId="4488178A">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p>
              </w:tc>
              <w:tc>
                <w:tcPr>
                  <w:tcW w:w="894" w:type="pct"/>
                  <w:tcBorders>
                    <w:tl2br w:val="nil"/>
                    <w:tr2bl w:val="nil"/>
                  </w:tcBorders>
                  <w:noWrap w:val="0"/>
                  <w:vAlign w:val="center"/>
                </w:tcPr>
                <w:p w14:paraId="55275892">
                  <w:pPr>
                    <w:keepNext w:val="0"/>
                    <w:keepLines w:val="0"/>
                    <w:pageBreakBefore w:val="0"/>
                    <w:widowControl/>
                    <w:kinsoku/>
                    <w:wordWrap/>
                    <w:overflowPunct/>
                    <w:topLinePunct w:val="0"/>
                    <w:autoSpaceDE/>
                    <w:autoSpaceDN/>
                    <w:bidi w:val="0"/>
                    <w:adjustRightInd/>
                    <w:snapToGrid/>
                    <w:spacing w:after="0"/>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氮氧化物</w:t>
                  </w:r>
                </w:p>
              </w:tc>
              <w:tc>
                <w:tcPr>
                  <w:tcW w:w="612" w:type="pct"/>
                  <w:tcBorders>
                    <w:tl2br w:val="nil"/>
                    <w:tr2bl w:val="nil"/>
                  </w:tcBorders>
                  <w:noWrap w:val="0"/>
                  <w:vAlign w:val="center"/>
                </w:tcPr>
                <w:p w14:paraId="583B2594">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0.035</w:t>
                  </w:r>
                </w:p>
              </w:tc>
              <w:tc>
                <w:tcPr>
                  <w:tcW w:w="612" w:type="pct"/>
                  <w:tcBorders>
                    <w:tl2br w:val="nil"/>
                    <w:tr2bl w:val="nil"/>
                  </w:tcBorders>
                  <w:noWrap w:val="0"/>
                  <w:vAlign w:val="center"/>
                </w:tcPr>
                <w:p w14:paraId="7A2C3A12">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0.046</w:t>
                  </w:r>
                </w:p>
              </w:tc>
              <w:tc>
                <w:tcPr>
                  <w:tcW w:w="614" w:type="pct"/>
                  <w:tcBorders>
                    <w:tl2br w:val="nil"/>
                    <w:tr2bl w:val="nil"/>
                  </w:tcBorders>
                  <w:noWrap w:val="0"/>
                  <w:vAlign w:val="center"/>
                </w:tcPr>
                <w:p w14:paraId="2131305D">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0.040</w:t>
                  </w:r>
                </w:p>
              </w:tc>
              <w:tc>
                <w:tcPr>
                  <w:tcW w:w="488" w:type="pct"/>
                  <w:tcBorders>
                    <w:tl2br w:val="nil"/>
                    <w:tr2bl w:val="nil"/>
                  </w:tcBorders>
                  <w:noWrap w:val="0"/>
                  <w:vAlign w:val="center"/>
                </w:tcPr>
                <w:p w14:paraId="5CAD2CB3">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0.12</w:t>
                  </w:r>
                </w:p>
              </w:tc>
              <w:tc>
                <w:tcPr>
                  <w:tcW w:w="486" w:type="pct"/>
                  <w:tcBorders>
                    <w:tl2br w:val="nil"/>
                    <w:tr2bl w:val="nil"/>
                  </w:tcBorders>
                  <w:noWrap w:val="0"/>
                  <w:vAlign w:val="center"/>
                </w:tcPr>
                <w:p w14:paraId="7F849E46">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bCs/>
                      <w:color w:val="auto"/>
                      <w:kern w:val="0"/>
                      <w:sz w:val="21"/>
                      <w:szCs w:val="21"/>
                      <w:highlight w:val="none"/>
                      <w:u w:val="none" w:color="auto"/>
                      <w:lang w:val="en-US" w:eastAsia="zh-CN" w:bidi="ar-SA"/>
                    </w:rPr>
                  </w:pPr>
                  <w:r>
                    <w:rPr>
                      <w:rFonts w:hint="default" w:ascii="Times New Roman" w:hAnsi="Times New Roman" w:eastAsia="宋体" w:cs="Times New Roman"/>
                      <w:bCs/>
                      <w:color w:val="auto"/>
                      <w:kern w:val="0"/>
                      <w:sz w:val="21"/>
                      <w:szCs w:val="21"/>
                      <w:highlight w:val="none"/>
                      <w:u w:val="none" w:color="auto"/>
                      <w:lang w:val="en-US" w:eastAsia="zh-CN"/>
                    </w:rPr>
                    <w:t>mg/m</w:t>
                  </w:r>
                  <w:r>
                    <w:rPr>
                      <w:rFonts w:hint="default" w:ascii="Times New Roman" w:hAnsi="Times New Roman" w:eastAsia="宋体" w:cs="Times New Roman"/>
                      <w:bCs/>
                      <w:color w:val="auto"/>
                      <w:kern w:val="0"/>
                      <w:sz w:val="21"/>
                      <w:szCs w:val="21"/>
                      <w:highlight w:val="none"/>
                      <w:u w:val="none" w:color="auto"/>
                      <w:vertAlign w:val="superscript"/>
                      <w:lang w:val="en-US" w:eastAsia="zh-CN"/>
                    </w:rPr>
                    <w:t>3</w:t>
                  </w:r>
                </w:p>
              </w:tc>
            </w:tr>
            <w:tr w14:paraId="09E2BD7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23" w:type="pct"/>
                  <w:vMerge w:val="continue"/>
                  <w:tcBorders>
                    <w:tl2br w:val="nil"/>
                    <w:tr2bl w:val="nil"/>
                  </w:tcBorders>
                  <w:noWrap w:val="0"/>
                  <w:vAlign w:val="center"/>
                </w:tcPr>
                <w:p w14:paraId="6BD1A246">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sz w:val="21"/>
                      <w:szCs w:val="21"/>
                      <w:highlight w:val="none"/>
                      <w:u w:val="none" w:color="auto"/>
                    </w:rPr>
                  </w:pPr>
                </w:p>
              </w:tc>
              <w:tc>
                <w:tcPr>
                  <w:tcW w:w="767" w:type="pct"/>
                  <w:vMerge w:val="continue"/>
                  <w:tcBorders>
                    <w:tl2br w:val="nil"/>
                    <w:tr2bl w:val="nil"/>
                  </w:tcBorders>
                  <w:noWrap w:val="0"/>
                  <w:vAlign w:val="center"/>
                </w:tcPr>
                <w:p w14:paraId="3F217E1B">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p>
              </w:tc>
              <w:tc>
                <w:tcPr>
                  <w:tcW w:w="894" w:type="pct"/>
                  <w:tcBorders>
                    <w:tl2br w:val="nil"/>
                    <w:tr2bl w:val="nil"/>
                  </w:tcBorders>
                  <w:noWrap w:val="0"/>
                  <w:vAlign w:val="center"/>
                </w:tcPr>
                <w:p w14:paraId="524E02C5">
                  <w:pPr>
                    <w:keepNext w:val="0"/>
                    <w:keepLines w:val="0"/>
                    <w:pageBreakBefore w:val="0"/>
                    <w:widowControl/>
                    <w:kinsoku/>
                    <w:wordWrap/>
                    <w:overflowPunct/>
                    <w:topLinePunct w:val="0"/>
                    <w:autoSpaceDE/>
                    <w:autoSpaceDN/>
                    <w:bidi w:val="0"/>
                    <w:adjustRightInd/>
                    <w:snapToGrid/>
                    <w:spacing w:after="0"/>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粉尘</w:t>
                  </w:r>
                </w:p>
              </w:tc>
              <w:tc>
                <w:tcPr>
                  <w:tcW w:w="612" w:type="pct"/>
                  <w:tcBorders>
                    <w:tl2br w:val="nil"/>
                    <w:tr2bl w:val="nil"/>
                  </w:tcBorders>
                  <w:noWrap w:val="0"/>
                  <w:vAlign w:val="center"/>
                </w:tcPr>
                <w:p w14:paraId="2260A2BA">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0.234</w:t>
                  </w:r>
                </w:p>
              </w:tc>
              <w:tc>
                <w:tcPr>
                  <w:tcW w:w="612" w:type="pct"/>
                  <w:tcBorders>
                    <w:tl2br w:val="nil"/>
                    <w:tr2bl w:val="nil"/>
                  </w:tcBorders>
                  <w:noWrap w:val="0"/>
                  <w:vAlign w:val="center"/>
                </w:tcPr>
                <w:p w14:paraId="0E600846">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0.201</w:t>
                  </w:r>
                </w:p>
              </w:tc>
              <w:tc>
                <w:tcPr>
                  <w:tcW w:w="614" w:type="pct"/>
                  <w:tcBorders>
                    <w:tl2br w:val="nil"/>
                    <w:tr2bl w:val="nil"/>
                  </w:tcBorders>
                  <w:noWrap w:val="0"/>
                  <w:vAlign w:val="center"/>
                </w:tcPr>
                <w:p w14:paraId="3B81F814">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0.217</w:t>
                  </w:r>
                </w:p>
              </w:tc>
              <w:tc>
                <w:tcPr>
                  <w:tcW w:w="488" w:type="pct"/>
                  <w:tcBorders>
                    <w:tl2br w:val="nil"/>
                    <w:tr2bl w:val="nil"/>
                  </w:tcBorders>
                  <w:noWrap w:val="0"/>
                  <w:vAlign w:val="center"/>
                </w:tcPr>
                <w:p w14:paraId="374B2686">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1.0</w:t>
                  </w:r>
                </w:p>
              </w:tc>
              <w:tc>
                <w:tcPr>
                  <w:tcW w:w="486" w:type="pct"/>
                  <w:tcBorders>
                    <w:tl2br w:val="nil"/>
                    <w:tr2bl w:val="nil"/>
                  </w:tcBorders>
                  <w:noWrap w:val="0"/>
                  <w:vAlign w:val="center"/>
                </w:tcPr>
                <w:p w14:paraId="00F860AA">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bCs/>
                      <w:color w:val="auto"/>
                      <w:kern w:val="0"/>
                      <w:sz w:val="21"/>
                      <w:szCs w:val="21"/>
                      <w:highlight w:val="none"/>
                      <w:u w:val="none" w:color="auto"/>
                      <w:lang w:val="en-US" w:eastAsia="zh-CN" w:bidi="ar-SA"/>
                    </w:rPr>
                  </w:pPr>
                  <w:r>
                    <w:rPr>
                      <w:rFonts w:hint="default" w:ascii="Times New Roman" w:hAnsi="Times New Roman" w:eastAsia="宋体" w:cs="Times New Roman"/>
                      <w:color w:val="auto"/>
                      <w:kern w:val="0"/>
                      <w:sz w:val="21"/>
                      <w:szCs w:val="21"/>
                      <w:u w:val="none" w:color="auto"/>
                    </w:rPr>
                    <w:t>mg/m</w:t>
                  </w:r>
                  <w:r>
                    <w:rPr>
                      <w:rFonts w:hint="default" w:ascii="Times New Roman" w:hAnsi="Times New Roman" w:eastAsia="宋体" w:cs="Times New Roman"/>
                      <w:color w:val="auto"/>
                      <w:kern w:val="0"/>
                      <w:sz w:val="21"/>
                      <w:szCs w:val="21"/>
                      <w:u w:val="none" w:color="auto"/>
                      <w:vertAlign w:val="superscript"/>
                    </w:rPr>
                    <w:t>3</w:t>
                  </w:r>
                </w:p>
              </w:tc>
            </w:tr>
            <w:tr w14:paraId="415D334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23" w:type="pct"/>
                  <w:vMerge w:val="continue"/>
                  <w:tcBorders>
                    <w:tl2br w:val="nil"/>
                    <w:tr2bl w:val="nil"/>
                  </w:tcBorders>
                  <w:noWrap w:val="0"/>
                  <w:vAlign w:val="center"/>
                </w:tcPr>
                <w:p w14:paraId="40B7AC7C">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sz w:val="21"/>
                      <w:szCs w:val="21"/>
                      <w:highlight w:val="none"/>
                      <w:u w:val="none" w:color="auto"/>
                    </w:rPr>
                  </w:pPr>
                </w:p>
              </w:tc>
              <w:tc>
                <w:tcPr>
                  <w:tcW w:w="767" w:type="pct"/>
                  <w:vMerge w:val="continue"/>
                  <w:tcBorders>
                    <w:tl2br w:val="nil"/>
                    <w:tr2bl w:val="nil"/>
                  </w:tcBorders>
                  <w:noWrap w:val="0"/>
                  <w:vAlign w:val="center"/>
                </w:tcPr>
                <w:p w14:paraId="732A23AB">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p>
              </w:tc>
              <w:tc>
                <w:tcPr>
                  <w:tcW w:w="894" w:type="pct"/>
                  <w:tcBorders>
                    <w:tl2br w:val="nil"/>
                    <w:tr2bl w:val="nil"/>
                  </w:tcBorders>
                  <w:noWrap w:val="0"/>
                  <w:vAlign w:val="center"/>
                </w:tcPr>
                <w:p w14:paraId="21809F81">
                  <w:pPr>
                    <w:keepNext w:val="0"/>
                    <w:keepLines w:val="0"/>
                    <w:pageBreakBefore w:val="0"/>
                    <w:widowControl/>
                    <w:kinsoku/>
                    <w:wordWrap/>
                    <w:overflowPunct/>
                    <w:topLinePunct w:val="0"/>
                    <w:autoSpaceDE/>
                    <w:autoSpaceDN/>
                    <w:bidi w:val="0"/>
                    <w:adjustRightInd/>
                    <w:snapToGrid/>
                    <w:spacing w:after="0"/>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镍及其化合物</w:t>
                  </w:r>
                </w:p>
              </w:tc>
              <w:tc>
                <w:tcPr>
                  <w:tcW w:w="612" w:type="pct"/>
                  <w:tcBorders>
                    <w:tl2br w:val="nil"/>
                    <w:tr2bl w:val="nil"/>
                  </w:tcBorders>
                  <w:noWrap w:val="0"/>
                  <w:vAlign w:val="center"/>
                </w:tcPr>
                <w:p w14:paraId="6BC0F2B9">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1.22</w:t>
                  </w:r>
                  <w:r>
                    <w:rPr>
                      <w:rFonts w:hint="default" w:ascii="Times New Roman" w:hAnsi="Times New Roman" w:eastAsia="宋体" w:cs="Times New Roman"/>
                      <w:color w:val="auto"/>
                      <w:sz w:val="21"/>
                      <w:szCs w:val="21"/>
                      <w:u w:val="none" w:color="auto"/>
                    </w:rPr>
                    <w:t>×10</w:t>
                  </w:r>
                  <w:r>
                    <w:rPr>
                      <w:rFonts w:hint="default" w:ascii="Times New Roman" w:hAnsi="Times New Roman" w:eastAsia="宋体" w:cs="Times New Roman"/>
                      <w:color w:val="auto"/>
                      <w:sz w:val="21"/>
                      <w:szCs w:val="21"/>
                      <w:u w:val="none" w:color="auto"/>
                      <w:vertAlign w:val="superscript"/>
                    </w:rPr>
                    <w:t>-3</w:t>
                  </w:r>
                </w:p>
              </w:tc>
              <w:tc>
                <w:tcPr>
                  <w:tcW w:w="612" w:type="pct"/>
                  <w:tcBorders>
                    <w:tl2br w:val="nil"/>
                    <w:tr2bl w:val="nil"/>
                  </w:tcBorders>
                  <w:noWrap w:val="0"/>
                  <w:vAlign w:val="center"/>
                </w:tcPr>
                <w:p w14:paraId="4BB29BB6">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1.23</w:t>
                  </w:r>
                  <w:r>
                    <w:rPr>
                      <w:rFonts w:hint="default" w:ascii="Times New Roman" w:hAnsi="Times New Roman" w:eastAsia="宋体" w:cs="Times New Roman"/>
                      <w:color w:val="auto"/>
                      <w:sz w:val="21"/>
                      <w:szCs w:val="21"/>
                      <w:u w:val="none" w:color="auto"/>
                    </w:rPr>
                    <w:t>×10</w:t>
                  </w:r>
                  <w:r>
                    <w:rPr>
                      <w:rFonts w:hint="default" w:ascii="Times New Roman" w:hAnsi="Times New Roman" w:eastAsia="宋体" w:cs="Times New Roman"/>
                      <w:color w:val="auto"/>
                      <w:sz w:val="21"/>
                      <w:szCs w:val="21"/>
                      <w:u w:val="none" w:color="auto"/>
                      <w:vertAlign w:val="superscript"/>
                    </w:rPr>
                    <w:t>-3</w:t>
                  </w:r>
                </w:p>
              </w:tc>
              <w:tc>
                <w:tcPr>
                  <w:tcW w:w="614" w:type="pct"/>
                  <w:tcBorders>
                    <w:tl2br w:val="nil"/>
                    <w:tr2bl w:val="nil"/>
                  </w:tcBorders>
                  <w:noWrap w:val="0"/>
                  <w:vAlign w:val="center"/>
                </w:tcPr>
                <w:p w14:paraId="0907A734">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1.22</w:t>
                  </w:r>
                  <w:r>
                    <w:rPr>
                      <w:rFonts w:hint="default" w:ascii="Times New Roman" w:hAnsi="Times New Roman" w:eastAsia="宋体" w:cs="Times New Roman"/>
                      <w:color w:val="auto"/>
                      <w:sz w:val="21"/>
                      <w:szCs w:val="21"/>
                      <w:u w:val="none" w:color="auto"/>
                    </w:rPr>
                    <w:t>×10</w:t>
                  </w:r>
                  <w:r>
                    <w:rPr>
                      <w:rFonts w:hint="default" w:ascii="Times New Roman" w:hAnsi="Times New Roman" w:eastAsia="宋体" w:cs="Times New Roman"/>
                      <w:color w:val="auto"/>
                      <w:sz w:val="21"/>
                      <w:szCs w:val="21"/>
                      <w:u w:val="none" w:color="auto"/>
                      <w:vertAlign w:val="superscript"/>
                    </w:rPr>
                    <w:t>-3</w:t>
                  </w:r>
                </w:p>
              </w:tc>
              <w:tc>
                <w:tcPr>
                  <w:tcW w:w="488" w:type="pct"/>
                  <w:tcBorders>
                    <w:tl2br w:val="nil"/>
                    <w:tr2bl w:val="nil"/>
                  </w:tcBorders>
                  <w:noWrap w:val="0"/>
                  <w:vAlign w:val="center"/>
                </w:tcPr>
                <w:p w14:paraId="0E7A38FA">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0.040</w:t>
                  </w:r>
                </w:p>
              </w:tc>
              <w:tc>
                <w:tcPr>
                  <w:tcW w:w="486" w:type="pct"/>
                  <w:tcBorders>
                    <w:tl2br w:val="nil"/>
                    <w:tr2bl w:val="nil"/>
                  </w:tcBorders>
                  <w:noWrap w:val="0"/>
                  <w:vAlign w:val="center"/>
                </w:tcPr>
                <w:p w14:paraId="6CFB676A">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bCs/>
                      <w:color w:val="auto"/>
                      <w:kern w:val="0"/>
                      <w:sz w:val="21"/>
                      <w:szCs w:val="21"/>
                      <w:highlight w:val="none"/>
                      <w:u w:val="none" w:color="auto"/>
                      <w:lang w:val="en-US" w:eastAsia="zh-CN" w:bidi="ar-SA"/>
                    </w:rPr>
                  </w:pPr>
                  <w:r>
                    <w:rPr>
                      <w:rFonts w:hint="default" w:ascii="Times New Roman" w:hAnsi="Times New Roman" w:eastAsia="宋体" w:cs="Times New Roman"/>
                      <w:color w:val="auto"/>
                      <w:kern w:val="0"/>
                      <w:sz w:val="21"/>
                      <w:szCs w:val="21"/>
                      <w:u w:val="none" w:color="auto"/>
                    </w:rPr>
                    <w:t>mg/m</w:t>
                  </w:r>
                  <w:r>
                    <w:rPr>
                      <w:rFonts w:hint="default" w:ascii="Times New Roman" w:hAnsi="Times New Roman" w:eastAsia="宋体" w:cs="Times New Roman"/>
                      <w:color w:val="auto"/>
                      <w:kern w:val="0"/>
                      <w:sz w:val="21"/>
                      <w:szCs w:val="21"/>
                      <w:u w:val="none" w:color="auto"/>
                      <w:vertAlign w:val="superscript"/>
                    </w:rPr>
                    <w:t>3</w:t>
                  </w:r>
                </w:p>
              </w:tc>
            </w:tr>
            <w:tr w14:paraId="64C6580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23" w:type="pct"/>
                  <w:vMerge w:val="continue"/>
                  <w:tcBorders>
                    <w:tl2br w:val="nil"/>
                    <w:tr2bl w:val="nil"/>
                  </w:tcBorders>
                  <w:noWrap w:val="0"/>
                  <w:vAlign w:val="center"/>
                </w:tcPr>
                <w:p w14:paraId="10F0A010">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sz w:val="21"/>
                      <w:szCs w:val="21"/>
                      <w:highlight w:val="none"/>
                      <w:u w:val="none" w:color="auto"/>
                    </w:rPr>
                  </w:pPr>
                </w:p>
              </w:tc>
              <w:tc>
                <w:tcPr>
                  <w:tcW w:w="767" w:type="pct"/>
                  <w:vMerge w:val="continue"/>
                  <w:tcBorders>
                    <w:tl2br w:val="nil"/>
                    <w:tr2bl w:val="nil"/>
                  </w:tcBorders>
                  <w:noWrap w:val="0"/>
                  <w:vAlign w:val="center"/>
                </w:tcPr>
                <w:p w14:paraId="593DCD50">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p>
              </w:tc>
              <w:tc>
                <w:tcPr>
                  <w:tcW w:w="894" w:type="pct"/>
                  <w:tcBorders>
                    <w:tl2br w:val="nil"/>
                    <w:tr2bl w:val="nil"/>
                  </w:tcBorders>
                  <w:noWrap w:val="0"/>
                  <w:vAlign w:val="center"/>
                </w:tcPr>
                <w:p w14:paraId="52FFD428">
                  <w:pPr>
                    <w:keepNext w:val="0"/>
                    <w:keepLines w:val="0"/>
                    <w:pageBreakBefore w:val="0"/>
                    <w:widowControl/>
                    <w:kinsoku/>
                    <w:wordWrap/>
                    <w:overflowPunct/>
                    <w:topLinePunct w:val="0"/>
                    <w:autoSpaceDE/>
                    <w:autoSpaceDN/>
                    <w:bidi w:val="0"/>
                    <w:adjustRightInd/>
                    <w:snapToGrid/>
                    <w:spacing w:after="0"/>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氯化氢</w:t>
                  </w:r>
                </w:p>
              </w:tc>
              <w:tc>
                <w:tcPr>
                  <w:tcW w:w="612" w:type="pct"/>
                  <w:tcBorders>
                    <w:tl2br w:val="nil"/>
                    <w:tr2bl w:val="nil"/>
                  </w:tcBorders>
                  <w:noWrap w:val="0"/>
                  <w:vAlign w:val="center"/>
                </w:tcPr>
                <w:p w14:paraId="416FF1BC">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0.026</w:t>
                  </w:r>
                </w:p>
              </w:tc>
              <w:tc>
                <w:tcPr>
                  <w:tcW w:w="612" w:type="pct"/>
                  <w:tcBorders>
                    <w:tl2br w:val="nil"/>
                    <w:tr2bl w:val="nil"/>
                  </w:tcBorders>
                  <w:noWrap w:val="0"/>
                  <w:vAlign w:val="center"/>
                </w:tcPr>
                <w:p w14:paraId="7D19BC41">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0.020</w:t>
                  </w:r>
                </w:p>
              </w:tc>
              <w:tc>
                <w:tcPr>
                  <w:tcW w:w="614" w:type="pct"/>
                  <w:tcBorders>
                    <w:tl2br w:val="nil"/>
                    <w:tr2bl w:val="nil"/>
                  </w:tcBorders>
                  <w:noWrap w:val="0"/>
                  <w:vAlign w:val="center"/>
                </w:tcPr>
                <w:p w14:paraId="3BCCE827">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0.021</w:t>
                  </w:r>
                </w:p>
              </w:tc>
              <w:tc>
                <w:tcPr>
                  <w:tcW w:w="488" w:type="pct"/>
                  <w:tcBorders>
                    <w:tl2br w:val="nil"/>
                    <w:tr2bl w:val="nil"/>
                  </w:tcBorders>
                  <w:noWrap w:val="0"/>
                  <w:vAlign w:val="center"/>
                </w:tcPr>
                <w:p w14:paraId="0F901F86">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0.20</w:t>
                  </w:r>
                </w:p>
              </w:tc>
              <w:tc>
                <w:tcPr>
                  <w:tcW w:w="486" w:type="pct"/>
                  <w:tcBorders>
                    <w:tl2br w:val="nil"/>
                    <w:tr2bl w:val="nil"/>
                  </w:tcBorders>
                  <w:noWrap w:val="0"/>
                  <w:vAlign w:val="center"/>
                </w:tcPr>
                <w:p w14:paraId="330E5C21">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bCs/>
                      <w:color w:val="auto"/>
                      <w:kern w:val="0"/>
                      <w:sz w:val="21"/>
                      <w:szCs w:val="21"/>
                      <w:highlight w:val="none"/>
                      <w:u w:val="none" w:color="auto"/>
                      <w:lang w:val="en-US" w:eastAsia="zh-CN" w:bidi="ar-SA"/>
                    </w:rPr>
                  </w:pPr>
                  <w:r>
                    <w:rPr>
                      <w:rFonts w:hint="default" w:ascii="Times New Roman" w:hAnsi="Times New Roman" w:eastAsia="宋体" w:cs="Times New Roman"/>
                      <w:color w:val="auto"/>
                      <w:kern w:val="0"/>
                      <w:sz w:val="21"/>
                      <w:szCs w:val="21"/>
                      <w:u w:val="none" w:color="auto"/>
                    </w:rPr>
                    <w:t>mg/m</w:t>
                  </w:r>
                  <w:r>
                    <w:rPr>
                      <w:rFonts w:hint="default" w:ascii="Times New Roman" w:hAnsi="Times New Roman" w:eastAsia="宋体" w:cs="Times New Roman"/>
                      <w:color w:val="auto"/>
                      <w:kern w:val="0"/>
                      <w:sz w:val="21"/>
                      <w:szCs w:val="21"/>
                      <w:u w:val="none" w:color="auto"/>
                      <w:vertAlign w:val="superscript"/>
                    </w:rPr>
                    <w:t>3</w:t>
                  </w:r>
                </w:p>
              </w:tc>
            </w:tr>
            <w:tr w14:paraId="5AE69FD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23" w:type="pct"/>
                  <w:vMerge w:val="continue"/>
                  <w:tcBorders>
                    <w:tl2br w:val="nil"/>
                    <w:tr2bl w:val="nil"/>
                  </w:tcBorders>
                  <w:noWrap w:val="0"/>
                  <w:vAlign w:val="center"/>
                </w:tcPr>
                <w:p w14:paraId="231F0AC4">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sz w:val="21"/>
                      <w:szCs w:val="21"/>
                      <w:highlight w:val="none"/>
                      <w:u w:val="none" w:color="auto"/>
                    </w:rPr>
                  </w:pPr>
                </w:p>
              </w:tc>
              <w:tc>
                <w:tcPr>
                  <w:tcW w:w="767" w:type="pct"/>
                  <w:vMerge w:val="continue"/>
                  <w:tcBorders>
                    <w:tl2br w:val="nil"/>
                    <w:tr2bl w:val="nil"/>
                  </w:tcBorders>
                  <w:noWrap w:val="0"/>
                  <w:vAlign w:val="center"/>
                </w:tcPr>
                <w:p w14:paraId="11F9F0B4">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p>
              </w:tc>
              <w:tc>
                <w:tcPr>
                  <w:tcW w:w="894" w:type="pct"/>
                  <w:tcBorders>
                    <w:tl2br w:val="nil"/>
                    <w:tr2bl w:val="nil"/>
                  </w:tcBorders>
                  <w:noWrap w:val="0"/>
                  <w:vAlign w:val="center"/>
                </w:tcPr>
                <w:p w14:paraId="0AC1D446">
                  <w:pPr>
                    <w:keepNext w:val="0"/>
                    <w:keepLines w:val="0"/>
                    <w:pageBreakBefore w:val="0"/>
                    <w:widowControl/>
                    <w:kinsoku/>
                    <w:wordWrap/>
                    <w:overflowPunct/>
                    <w:topLinePunct w:val="0"/>
                    <w:autoSpaceDE/>
                    <w:autoSpaceDN/>
                    <w:bidi w:val="0"/>
                    <w:adjustRightInd/>
                    <w:snapToGrid/>
                    <w:spacing w:after="0"/>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硫化氢</w:t>
                  </w:r>
                </w:p>
              </w:tc>
              <w:tc>
                <w:tcPr>
                  <w:tcW w:w="612" w:type="pct"/>
                  <w:tcBorders>
                    <w:tl2br w:val="nil"/>
                    <w:tr2bl w:val="nil"/>
                  </w:tcBorders>
                  <w:noWrap w:val="0"/>
                  <w:vAlign w:val="center"/>
                </w:tcPr>
                <w:p w14:paraId="4F152DF2">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0.011</w:t>
                  </w:r>
                </w:p>
              </w:tc>
              <w:tc>
                <w:tcPr>
                  <w:tcW w:w="612" w:type="pct"/>
                  <w:tcBorders>
                    <w:tl2br w:val="nil"/>
                    <w:tr2bl w:val="nil"/>
                  </w:tcBorders>
                  <w:noWrap w:val="0"/>
                  <w:vAlign w:val="center"/>
                </w:tcPr>
                <w:p w14:paraId="620DC793">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0.009</w:t>
                  </w:r>
                </w:p>
              </w:tc>
              <w:tc>
                <w:tcPr>
                  <w:tcW w:w="614" w:type="pct"/>
                  <w:tcBorders>
                    <w:tl2br w:val="nil"/>
                    <w:tr2bl w:val="nil"/>
                  </w:tcBorders>
                  <w:noWrap w:val="0"/>
                  <w:vAlign w:val="center"/>
                </w:tcPr>
                <w:p w14:paraId="70C4B60C">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0.007</w:t>
                  </w:r>
                </w:p>
              </w:tc>
              <w:tc>
                <w:tcPr>
                  <w:tcW w:w="488" w:type="pct"/>
                  <w:tcBorders>
                    <w:tl2br w:val="nil"/>
                    <w:tr2bl w:val="nil"/>
                  </w:tcBorders>
                  <w:noWrap w:val="0"/>
                  <w:vAlign w:val="center"/>
                </w:tcPr>
                <w:p w14:paraId="2BC38F3A">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0.10</w:t>
                  </w:r>
                </w:p>
              </w:tc>
              <w:tc>
                <w:tcPr>
                  <w:tcW w:w="486" w:type="pct"/>
                  <w:tcBorders>
                    <w:tl2br w:val="nil"/>
                    <w:tr2bl w:val="nil"/>
                  </w:tcBorders>
                  <w:noWrap w:val="0"/>
                  <w:vAlign w:val="center"/>
                </w:tcPr>
                <w:p w14:paraId="2A7E054C">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bCs/>
                      <w:color w:val="auto"/>
                      <w:kern w:val="0"/>
                      <w:sz w:val="21"/>
                      <w:szCs w:val="21"/>
                      <w:highlight w:val="none"/>
                      <w:u w:val="none" w:color="auto"/>
                      <w:lang w:val="en-US" w:eastAsia="zh-CN" w:bidi="ar-SA"/>
                    </w:rPr>
                  </w:pPr>
                  <w:r>
                    <w:rPr>
                      <w:rFonts w:hint="default" w:ascii="Times New Roman" w:hAnsi="Times New Roman" w:eastAsia="宋体" w:cs="Times New Roman"/>
                      <w:color w:val="auto"/>
                      <w:kern w:val="0"/>
                      <w:sz w:val="21"/>
                      <w:szCs w:val="21"/>
                      <w:u w:val="none" w:color="auto"/>
                    </w:rPr>
                    <w:t>mg/m</w:t>
                  </w:r>
                  <w:r>
                    <w:rPr>
                      <w:rFonts w:hint="default" w:ascii="Times New Roman" w:hAnsi="Times New Roman" w:eastAsia="宋体" w:cs="Times New Roman"/>
                      <w:color w:val="auto"/>
                      <w:kern w:val="0"/>
                      <w:sz w:val="21"/>
                      <w:szCs w:val="21"/>
                      <w:u w:val="none" w:color="auto"/>
                      <w:vertAlign w:val="superscript"/>
                    </w:rPr>
                    <w:t>3</w:t>
                  </w:r>
                </w:p>
              </w:tc>
            </w:tr>
            <w:tr w14:paraId="3CC8AF7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23" w:type="pct"/>
                  <w:vMerge w:val="continue"/>
                  <w:tcBorders>
                    <w:tl2br w:val="nil"/>
                    <w:tr2bl w:val="nil"/>
                  </w:tcBorders>
                  <w:noWrap w:val="0"/>
                  <w:vAlign w:val="center"/>
                </w:tcPr>
                <w:p w14:paraId="5007F228">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sz w:val="21"/>
                      <w:szCs w:val="21"/>
                      <w:highlight w:val="none"/>
                      <w:u w:val="none" w:color="auto"/>
                    </w:rPr>
                  </w:pPr>
                </w:p>
              </w:tc>
              <w:tc>
                <w:tcPr>
                  <w:tcW w:w="767" w:type="pct"/>
                  <w:vMerge w:val="continue"/>
                  <w:tcBorders>
                    <w:tl2br w:val="nil"/>
                    <w:tr2bl w:val="nil"/>
                  </w:tcBorders>
                  <w:noWrap w:val="0"/>
                  <w:vAlign w:val="center"/>
                </w:tcPr>
                <w:p w14:paraId="0280FC55">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p>
              </w:tc>
              <w:tc>
                <w:tcPr>
                  <w:tcW w:w="894" w:type="pct"/>
                  <w:tcBorders>
                    <w:tl2br w:val="nil"/>
                    <w:tr2bl w:val="nil"/>
                  </w:tcBorders>
                  <w:noWrap w:val="0"/>
                  <w:vAlign w:val="center"/>
                </w:tcPr>
                <w:p w14:paraId="7E21B07A">
                  <w:pPr>
                    <w:keepNext w:val="0"/>
                    <w:keepLines w:val="0"/>
                    <w:pageBreakBefore w:val="0"/>
                    <w:widowControl/>
                    <w:kinsoku/>
                    <w:wordWrap/>
                    <w:overflowPunct/>
                    <w:topLinePunct w:val="0"/>
                    <w:autoSpaceDE/>
                    <w:autoSpaceDN/>
                    <w:bidi w:val="0"/>
                    <w:adjustRightInd/>
                    <w:snapToGrid/>
                    <w:spacing w:after="0"/>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氨</w:t>
                  </w:r>
                </w:p>
              </w:tc>
              <w:tc>
                <w:tcPr>
                  <w:tcW w:w="612" w:type="pct"/>
                  <w:tcBorders>
                    <w:tl2br w:val="nil"/>
                    <w:tr2bl w:val="nil"/>
                  </w:tcBorders>
                  <w:noWrap w:val="0"/>
                  <w:vAlign w:val="center"/>
                </w:tcPr>
                <w:p w14:paraId="3EBD5373">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0.10</w:t>
                  </w:r>
                </w:p>
              </w:tc>
              <w:tc>
                <w:tcPr>
                  <w:tcW w:w="612" w:type="pct"/>
                  <w:tcBorders>
                    <w:tl2br w:val="nil"/>
                    <w:tr2bl w:val="nil"/>
                  </w:tcBorders>
                  <w:noWrap w:val="0"/>
                  <w:vAlign w:val="center"/>
                </w:tcPr>
                <w:p w14:paraId="705005EA">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0.10</w:t>
                  </w:r>
                </w:p>
              </w:tc>
              <w:tc>
                <w:tcPr>
                  <w:tcW w:w="614" w:type="pct"/>
                  <w:tcBorders>
                    <w:tl2br w:val="nil"/>
                    <w:tr2bl w:val="nil"/>
                  </w:tcBorders>
                  <w:noWrap w:val="0"/>
                  <w:vAlign w:val="center"/>
                </w:tcPr>
                <w:p w14:paraId="4C764F63">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0.08</w:t>
                  </w:r>
                </w:p>
              </w:tc>
              <w:tc>
                <w:tcPr>
                  <w:tcW w:w="488" w:type="pct"/>
                  <w:tcBorders>
                    <w:tl2br w:val="nil"/>
                    <w:tr2bl w:val="nil"/>
                  </w:tcBorders>
                  <w:noWrap w:val="0"/>
                  <w:vAlign w:val="center"/>
                </w:tcPr>
                <w:p w14:paraId="2105FB10">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2.0</w:t>
                  </w:r>
                </w:p>
              </w:tc>
              <w:tc>
                <w:tcPr>
                  <w:tcW w:w="486" w:type="pct"/>
                  <w:tcBorders>
                    <w:tl2br w:val="nil"/>
                    <w:tr2bl w:val="nil"/>
                  </w:tcBorders>
                  <w:noWrap w:val="0"/>
                  <w:vAlign w:val="center"/>
                </w:tcPr>
                <w:p w14:paraId="1029D0C3">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bCs/>
                      <w:color w:val="auto"/>
                      <w:kern w:val="0"/>
                      <w:sz w:val="21"/>
                      <w:szCs w:val="21"/>
                      <w:highlight w:val="none"/>
                      <w:u w:val="none" w:color="auto"/>
                      <w:lang w:val="en-US" w:eastAsia="zh-CN" w:bidi="ar-SA"/>
                    </w:rPr>
                  </w:pPr>
                  <w:r>
                    <w:rPr>
                      <w:rFonts w:hint="default" w:ascii="Times New Roman" w:hAnsi="Times New Roman" w:eastAsia="宋体" w:cs="Times New Roman"/>
                      <w:color w:val="auto"/>
                      <w:kern w:val="0"/>
                      <w:sz w:val="21"/>
                      <w:szCs w:val="21"/>
                      <w:u w:val="none" w:color="auto"/>
                    </w:rPr>
                    <w:t>mg/m</w:t>
                  </w:r>
                  <w:r>
                    <w:rPr>
                      <w:rFonts w:hint="default" w:ascii="Times New Roman" w:hAnsi="Times New Roman" w:eastAsia="宋体" w:cs="Times New Roman"/>
                      <w:color w:val="auto"/>
                      <w:kern w:val="0"/>
                      <w:sz w:val="21"/>
                      <w:szCs w:val="21"/>
                      <w:u w:val="none" w:color="auto"/>
                      <w:vertAlign w:val="superscript"/>
                    </w:rPr>
                    <w:t>3</w:t>
                  </w:r>
                </w:p>
              </w:tc>
            </w:tr>
            <w:tr w14:paraId="1CEEB31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23" w:type="pct"/>
                  <w:vMerge w:val="continue"/>
                  <w:tcBorders>
                    <w:tl2br w:val="nil"/>
                    <w:tr2bl w:val="nil"/>
                  </w:tcBorders>
                  <w:noWrap w:val="0"/>
                  <w:vAlign w:val="center"/>
                </w:tcPr>
                <w:p w14:paraId="4C128C41">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sz w:val="21"/>
                      <w:szCs w:val="21"/>
                      <w:highlight w:val="none"/>
                      <w:u w:val="none" w:color="auto"/>
                    </w:rPr>
                  </w:pPr>
                </w:p>
              </w:tc>
              <w:tc>
                <w:tcPr>
                  <w:tcW w:w="767" w:type="pct"/>
                  <w:vMerge w:val="restart"/>
                  <w:tcBorders>
                    <w:tl2br w:val="nil"/>
                    <w:tr2bl w:val="nil"/>
                  </w:tcBorders>
                  <w:noWrap w:val="0"/>
                  <w:vAlign w:val="center"/>
                </w:tcPr>
                <w:p w14:paraId="75E75AEB">
                  <w:pPr>
                    <w:keepNext w:val="0"/>
                    <w:keepLines w:val="0"/>
                    <w:pageBreakBefore w:val="0"/>
                    <w:widowControl/>
                    <w:kinsoku/>
                    <w:wordWrap/>
                    <w:overflowPunct/>
                    <w:topLinePunct w:val="0"/>
                    <w:autoSpaceDE/>
                    <w:autoSpaceDN/>
                    <w:bidi w:val="0"/>
                    <w:adjustRightInd/>
                    <w:snapToGrid/>
                    <w:spacing w:after="0"/>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厂界下风向2m-50mG2</w:t>
                  </w:r>
                </w:p>
              </w:tc>
              <w:tc>
                <w:tcPr>
                  <w:tcW w:w="894" w:type="pct"/>
                  <w:tcBorders>
                    <w:tl2br w:val="nil"/>
                    <w:tr2bl w:val="nil"/>
                  </w:tcBorders>
                  <w:noWrap w:val="0"/>
                  <w:vAlign w:val="center"/>
                </w:tcPr>
                <w:p w14:paraId="48DD1F40">
                  <w:pPr>
                    <w:keepNext w:val="0"/>
                    <w:keepLines w:val="0"/>
                    <w:pageBreakBefore w:val="0"/>
                    <w:widowControl/>
                    <w:kinsoku/>
                    <w:wordWrap/>
                    <w:overflowPunct/>
                    <w:topLinePunct w:val="0"/>
                    <w:autoSpaceDE/>
                    <w:autoSpaceDN/>
                    <w:bidi w:val="0"/>
                    <w:adjustRightInd/>
                    <w:snapToGrid/>
                    <w:spacing w:after="0"/>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二氧化硫</w:t>
                  </w:r>
                </w:p>
              </w:tc>
              <w:tc>
                <w:tcPr>
                  <w:tcW w:w="612" w:type="pct"/>
                  <w:tcBorders>
                    <w:tl2br w:val="nil"/>
                    <w:tr2bl w:val="nil"/>
                  </w:tcBorders>
                  <w:noWrap w:val="0"/>
                  <w:vAlign w:val="center"/>
                </w:tcPr>
                <w:p w14:paraId="1738F3A3">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0.039</w:t>
                  </w:r>
                </w:p>
              </w:tc>
              <w:tc>
                <w:tcPr>
                  <w:tcW w:w="612" w:type="pct"/>
                  <w:tcBorders>
                    <w:tl2br w:val="nil"/>
                    <w:tr2bl w:val="nil"/>
                  </w:tcBorders>
                  <w:noWrap w:val="0"/>
                  <w:vAlign w:val="center"/>
                </w:tcPr>
                <w:p w14:paraId="5E47B1B9">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0.042</w:t>
                  </w:r>
                </w:p>
              </w:tc>
              <w:tc>
                <w:tcPr>
                  <w:tcW w:w="614" w:type="pct"/>
                  <w:tcBorders>
                    <w:tl2br w:val="nil"/>
                    <w:tr2bl w:val="nil"/>
                  </w:tcBorders>
                  <w:noWrap w:val="0"/>
                  <w:vAlign w:val="center"/>
                </w:tcPr>
                <w:p w14:paraId="3A3C7E54">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0.032</w:t>
                  </w:r>
                </w:p>
              </w:tc>
              <w:tc>
                <w:tcPr>
                  <w:tcW w:w="488" w:type="pct"/>
                  <w:tcBorders>
                    <w:tl2br w:val="nil"/>
                    <w:tr2bl w:val="nil"/>
                  </w:tcBorders>
                  <w:noWrap w:val="0"/>
                  <w:vAlign w:val="center"/>
                </w:tcPr>
                <w:p w14:paraId="2EC66F73">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0.40</w:t>
                  </w:r>
                </w:p>
              </w:tc>
              <w:tc>
                <w:tcPr>
                  <w:tcW w:w="486" w:type="pct"/>
                  <w:tcBorders>
                    <w:tl2br w:val="nil"/>
                    <w:tr2bl w:val="nil"/>
                  </w:tcBorders>
                  <w:noWrap w:val="0"/>
                  <w:vAlign w:val="center"/>
                </w:tcPr>
                <w:p w14:paraId="3F597BF6">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bCs/>
                      <w:color w:val="auto"/>
                      <w:kern w:val="0"/>
                      <w:sz w:val="21"/>
                      <w:szCs w:val="21"/>
                      <w:highlight w:val="none"/>
                      <w:u w:val="none" w:color="auto"/>
                      <w:lang w:val="en-US" w:eastAsia="zh-CN" w:bidi="ar-SA"/>
                    </w:rPr>
                  </w:pPr>
                  <w:r>
                    <w:rPr>
                      <w:rFonts w:hint="default" w:ascii="Times New Roman" w:hAnsi="Times New Roman" w:eastAsia="宋体" w:cs="Times New Roman"/>
                      <w:bCs/>
                      <w:color w:val="auto"/>
                      <w:kern w:val="0"/>
                      <w:sz w:val="21"/>
                      <w:szCs w:val="21"/>
                      <w:highlight w:val="none"/>
                      <w:u w:val="none" w:color="auto"/>
                      <w:lang w:val="en-US" w:eastAsia="zh-CN"/>
                    </w:rPr>
                    <w:t>mg/m</w:t>
                  </w:r>
                  <w:r>
                    <w:rPr>
                      <w:rFonts w:hint="default" w:ascii="Times New Roman" w:hAnsi="Times New Roman" w:eastAsia="宋体" w:cs="Times New Roman"/>
                      <w:bCs/>
                      <w:color w:val="auto"/>
                      <w:kern w:val="0"/>
                      <w:sz w:val="21"/>
                      <w:szCs w:val="21"/>
                      <w:highlight w:val="none"/>
                      <w:u w:val="none" w:color="auto"/>
                      <w:vertAlign w:val="superscript"/>
                      <w:lang w:val="en-US" w:eastAsia="zh-CN"/>
                    </w:rPr>
                    <w:t>3</w:t>
                  </w:r>
                </w:p>
              </w:tc>
            </w:tr>
            <w:tr w14:paraId="6C8B1CF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23" w:type="pct"/>
                  <w:vMerge w:val="continue"/>
                  <w:tcBorders>
                    <w:tl2br w:val="nil"/>
                    <w:tr2bl w:val="nil"/>
                  </w:tcBorders>
                  <w:noWrap w:val="0"/>
                  <w:vAlign w:val="center"/>
                </w:tcPr>
                <w:p w14:paraId="62492C97">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sz w:val="21"/>
                      <w:szCs w:val="21"/>
                      <w:highlight w:val="none"/>
                      <w:u w:val="none" w:color="auto"/>
                    </w:rPr>
                  </w:pPr>
                </w:p>
              </w:tc>
              <w:tc>
                <w:tcPr>
                  <w:tcW w:w="767" w:type="pct"/>
                  <w:vMerge w:val="continue"/>
                  <w:tcBorders>
                    <w:tl2br w:val="nil"/>
                    <w:tr2bl w:val="nil"/>
                  </w:tcBorders>
                  <w:noWrap w:val="0"/>
                  <w:vAlign w:val="center"/>
                </w:tcPr>
                <w:p w14:paraId="0F732A9E">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p>
              </w:tc>
              <w:tc>
                <w:tcPr>
                  <w:tcW w:w="894" w:type="pct"/>
                  <w:tcBorders>
                    <w:tl2br w:val="nil"/>
                    <w:tr2bl w:val="nil"/>
                  </w:tcBorders>
                  <w:noWrap w:val="0"/>
                  <w:vAlign w:val="center"/>
                </w:tcPr>
                <w:p w14:paraId="64F03113">
                  <w:pPr>
                    <w:keepNext w:val="0"/>
                    <w:keepLines w:val="0"/>
                    <w:pageBreakBefore w:val="0"/>
                    <w:widowControl/>
                    <w:kinsoku/>
                    <w:wordWrap/>
                    <w:overflowPunct/>
                    <w:topLinePunct w:val="0"/>
                    <w:autoSpaceDE/>
                    <w:autoSpaceDN/>
                    <w:bidi w:val="0"/>
                    <w:adjustRightInd/>
                    <w:snapToGrid/>
                    <w:spacing w:after="0"/>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氮氧化物</w:t>
                  </w:r>
                </w:p>
              </w:tc>
              <w:tc>
                <w:tcPr>
                  <w:tcW w:w="612" w:type="pct"/>
                  <w:tcBorders>
                    <w:tl2br w:val="nil"/>
                    <w:tr2bl w:val="nil"/>
                  </w:tcBorders>
                  <w:noWrap w:val="0"/>
                  <w:vAlign w:val="center"/>
                </w:tcPr>
                <w:p w14:paraId="4D1CC6C4">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0.072</w:t>
                  </w:r>
                </w:p>
              </w:tc>
              <w:tc>
                <w:tcPr>
                  <w:tcW w:w="612" w:type="pct"/>
                  <w:tcBorders>
                    <w:tl2br w:val="nil"/>
                    <w:tr2bl w:val="nil"/>
                  </w:tcBorders>
                  <w:noWrap w:val="0"/>
                  <w:vAlign w:val="center"/>
                </w:tcPr>
                <w:p w14:paraId="486DF4A6">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0.067</w:t>
                  </w:r>
                </w:p>
              </w:tc>
              <w:tc>
                <w:tcPr>
                  <w:tcW w:w="614" w:type="pct"/>
                  <w:tcBorders>
                    <w:tl2br w:val="nil"/>
                    <w:tr2bl w:val="nil"/>
                  </w:tcBorders>
                  <w:noWrap w:val="0"/>
                  <w:vAlign w:val="center"/>
                </w:tcPr>
                <w:p w14:paraId="56B395BA">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0.061</w:t>
                  </w:r>
                </w:p>
              </w:tc>
              <w:tc>
                <w:tcPr>
                  <w:tcW w:w="488" w:type="pct"/>
                  <w:tcBorders>
                    <w:tl2br w:val="nil"/>
                    <w:tr2bl w:val="nil"/>
                  </w:tcBorders>
                  <w:noWrap w:val="0"/>
                  <w:vAlign w:val="center"/>
                </w:tcPr>
                <w:p w14:paraId="3F91867A">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0.12</w:t>
                  </w:r>
                </w:p>
              </w:tc>
              <w:tc>
                <w:tcPr>
                  <w:tcW w:w="486" w:type="pct"/>
                  <w:tcBorders>
                    <w:tl2br w:val="nil"/>
                    <w:tr2bl w:val="nil"/>
                  </w:tcBorders>
                  <w:noWrap w:val="0"/>
                  <w:vAlign w:val="center"/>
                </w:tcPr>
                <w:p w14:paraId="69E37F2A">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bCs/>
                      <w:color w:val="auto"/>
                      <w:kern w:val="0"/>
                      <w:sz w:val="21"/>
                      <w:szCs w:val="21"/>
                      <w:highlight w:val="none"/>
                      <w:u w:val="none" w:color="auto"/>
                      <w:lang w:val="en-US" w:eastAsia="zh-CN" w:bidi="ar-SA"/>
                    </w:rPr>
                  </w:pPr>
                  <w:r>
                    <w:rPr>
                      <w:rFonts w:hint="default" w:ascii="Times New Roman" w:hAnsi="Times New Roman" w:eastAsia="宋体" w:cs="Times New Roman"/>
                      <w:bCs/>
                      <w:color w:val="auto"/>
                      <w:kern w:val="0"/>
                      <w:sz w:val="21"/>
                      <w:szCs w:val="21"/>
                      <w:highlight w:val="none"/>
                      <w:u w:val="none" w:color="auto"/>
                      <w:lang w:val="en-US" w:eastAsia="zh-CN"/>
                    </w:rPr>
                    <w:t>mg/m</w:t>
                  </w:r>
                  <w:r>
                    <w:rPr>
                      <w:rFonts w:hint="default" w:ascii="Times New Roman" w:hAnsi="Times New Roman" w:eastAsia="宋体" w:cs="Times New Roman"/>
                      <w:bCs/>
                      <w:color w:val="auto"/>
                      <w:kern w:val="0"/>
                      <w:sz w:val="21"/>
                      <w:szCs w:val="21"/>
                      <w:highlight w:val="none"/>
                      <w:u w:val="none" w:color="auto"/>
                      <w:vertAlign w:val="superscript"/>
                      <w:lang w:val="en-US" w:eastAsia="zh-CN"/>
                    </w:rPr>
                    <w:t>3</w:t>
                  </w:r>
                </w:p>
              </w:tc>
            </w:tr>
            <w:tr w14:paraId="194FF1B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23" w:type="pct"/>
                  <w:vMerge w:val="continue"/>
                  <w:tcBorders>
                    <w:tl2br w:val="nil"/>
                    <w:tr2bl w:val="nil"/>
                  </w:tcBorders>
                  <w:noWrap w:val="0"/>
                  <w:vAlign w:val="center"/>
                </w:tcPr>
                <w:p w14:paraId="2790AAFC">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sz w:val="21"/>
                      <w:szCs w:val="21"/>
                      <w:highlight w:val="none"/>
                      <w:u w:val="none" w:color="auto"/>
                      <w:lang w:val="en-US" w:eastAsia="zh-CN"/>
                    </w:rPr>
                  </w:pPr>
                </w:p>
              </w:tc>
              <w:tc>
                <w:tcPr>
                  <w:tcW w:w="766" w:type="pct"/>
                  <w:vMerge w:val="continue"/>
                  <w:tcBorders>
                    <w:tl2br w:val="nil"/>
                    <w:tr2bl w:val="nil"/>
                  </w:tcBorders>
                  <w:noWrap w:val="0"/>
                  <w:vAlign w:val="center"/>
                </w:tcPr>
                <w:p w14:paraId="42248AF0">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p>
              </w:tc>
              <w:tc>
                <w:tcPr>
                  <w:tcW w:w="895" w:type="pct"/>
                  <w:tcBorders>
                    <w:tl2br w:val="nil"/>
                    <w:tr2bl w:val="nil"/>
                  </w:tcBorders>
                  <w:noWrap w:val="0"/>
                  <w:vAlign w:val="center"/>
                </w:tcPr>
                <w:p w14:paraId="6DBFA089">
                  <w:pPr>
                    <w:keepNext w:val="0"/>
                    <w:keepLines w:val="0"/>
                    <w:pageBreakBefore w:val="0"/>
                    <w:widowControl/>
                    <w:kinsoku/>
                    <w:wordWrap/>
                    <w:overflowPunct/>
                    <w:topLinePunct w:val="0"/>
                    <w:autoSpaceDE/>
                    <w:autoSpaceDN/>
                    <w:bidi w:val="0"/>
                    <w:adjustRightInd/>
                    <w:snapToGrid/>
                    <w:spacing w:after="0"/>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粉尘</w:t>
                  </w:r>
                </w:p>
              </w:tc>
              <w:tc>
                <w:tcPr>
                  <w:tcW w:w="612" w:type="pct"/>
                  <w:tcBorders>
                    <w:tl2br w:val="nil"/>
                    <w:tr2bl w:val="nil"/>
                  </w:tcBorders>
                  <w:noWrap w:val="0"/>
                  <w:vAlign w:val="center"/>
                </w:tcPr>
                <w:p w14:paraId="1FE6CF28">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0.384</w:t>
                  </w:r>
                </w:p>
              </w:tc>
              <w:tc>
                <w:tcPr>
                  <w:tcW w:w="612" w:type="pct"/>
                  <w:tcBorders>
                    <w:tl2br w:val="nil"/>
                    <w:tr2bl w:val="nil"/>
                  </w:tcBorders>
                  <w:noWrap w:val="0"/>
                  <w:vAlign w:val="center"/>
                </w:tcPr>
                <w:p w14:paraId="27DC09F4">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0.401</w:t>
                  </w:r>
                </w:p>
              </w:tc>
              <w:tc>
                <w:tcPr>
                  <w:tcW w:w="614" w:type="pct"/>
                  <w:tcBorders>
                    <w:tl2br w:val="nil"/>
                    <w:tr2bl w:val="nil"/>
                  </w:tcBorders>
                  <w:noWrap w:val="0"/>
                  <w:vAlign w:val="center"/>
                </w:tcPr>
                <w:p w14:paraId="6CA732F2">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0.418</w:t>
                  </w:r>
                </w:p>
              </w:tc>
              <w:tc>
                <w:tcPr>
                  <w:tcW w:w="488" w:type="pct"/>
                  <w:tcBorders>
                    <w:tl2br w:val="nil"/>
                    <w:tr2bl w:val="nil"/>
                  </w:tcBorders>
                  <w:noWrap w:val="0"/>
                  <w:vAlign w:val="center"/>
                </w:tcPr>
                <w:p w14:paraId="41DACAC3">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1.0</w:t>
                  </w:r>
                </w:p>
              </w:tc>
              <w:tc>
                <w:tcPr>
                  <w:tcW w:w="486" w:type="pct"/>
                  <w:tcBorders>
                    <w:tl2br w:val="nil"/>
                    <w:tr2bl w:val="nil"/>
                  </w:tcBorders>
                  <w:noWrap w:val="0"/>
                  <w:vAlign w:val="center"/>
                </w:tcPr>
                <w:p w14:paraId="25D39D07">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bCs/>
                      <w:color w:val="auto"/>
                      <w:kern w:val="0"/>
                      <w:sz w:val="21"/>
                      <w:szCs w:val="21"/>
                      <w:highlight w:val="none"/>
                      <w:u w:val="none" w:color="auto"/>
                      <w:lang w:val="en-US" w:eastAsia="zh-CN" w:bidi="ar-SA"/>
                    </w:rPr>
                  </w:pPr>
                  <w:r>
                    <w:rPr>
                      <w:rFonts w:hint="default" w:ascii="Times New Roman" w:hAnsi="Times New Roman" w:eastAsia="宋体" w:cs="Times New Roman"/>
                      <w:color w:val="auto"/>
                      <w:kern w:val="0"/>
                      <w:sz w:val="21"/>
                      <w:szCs w:val="21"/>
                      <w:u w:val="none" w:color="auto"/>
                    </w:rPr>
                    <w:t>mg/m</w:t>
                  </w:r>
                  <w:r>
                    <w:rPr>
                      <w:rFonts w:hint="default" w:ascii="Times New Roman" w:hAnsi="Times New Roman" w:eastAsia="宋体" w:cs="Times New Roman"/>
                      <w:color w:val="auto"/>
                      <w:kern w:val="0"/>
                      <w:sz w:val="21"/>
                      <w:szCs w:val="21"/>
                      <w:u w:val="none" w:color="auto"/>
                      <w:vertAlign w:val="superscript"/>
                    </w:rPr>
                    <w:t>3</w:t>
                  </w:r>
                </w:p>
              </w:tc>
            </w:tr>
            <w:tr w14:paraId="2DE1AB8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23" w:type="pct"/>
                  <w:vMerge w:val="continue"/>
                  <w:tcBorders>
                    <w:tl2br w:val="nil"/>
                    <w:tr2bl w:val="nil"/>
                  </w:tcBorders>
                  <w:noWrap w:val="0"/>
                  <w:vAlign w:val="center"/>
                </w:tcPr>
                <w:p w14:paraId="5606F959">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sz w:val="21"/>
                      <w:szCs w:val="21"/>
                      <w:highlight w:val="none"/>
                      <w:u w:val="none" w:color="auto"/>
                    </w:rPr>
                  </w:pPr>
                </w:p>
              </w:tc>
              <w:tc>
                <w:tcPr>
                  <w:tcW w:w="766" w:type="pct"/>
                  <w:vMerge w:val="continue"/>
                  <w:tcBorders>
                    <w:tl2br w:val="nil"/>
                    <w:tr2bl w:val="nil"/>
                  </w:tcBorders>
                  <w:noWrap w:val="0"/>
                  <w:vAlign w:val="center"/>
                </w:tcPr>
                <w:p w14:paraId="6622336B">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p>
              </w:tc>
              <w:tc>
                <w:tcPr>
                  <w:tcW w:w="895" w:type="pct"/>
                  <w:tcBorders>
                    <w:tl2br w:val="nil"/>
                    <w:tr2bl w:val="nil"/>
                  </w:tcBorders>
                  <w:noWrap w:val="0"/>
                  <w:vAlign w:val="center"/>
                </w:tcPr>
                <w:p w14:paraId="7911BBA5">
                  <w:pPr>
                    <w:keepNext w:val="0"/>
                    <w:keepLines w:val="0"/>
                    <w:pageBreakBefore w:val="0"/>
                    <w:widowControl/>
                    <w:kinsoku/>
                    <w:wordWrap/>
                    <w:overflowPunct/>
                    <w:topLinePunct w:val="0"/>
                    <w:autoSpaceDE/>
                    <w:autoSpaceDN/>
                    <w:bidi w:val="0"/>
                    <w:adjustRightInd/>
                    <w:snapToGrid/>
                    <w:spacing w:after="0"/>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镍及其化合物</w:t>
                  </w:r>
                </w:p>
              </w:tc>
              <w:tc>
                <w:tcPr>
                  <w:tcW w:w="612" w:type="pct"/>
                  <w:tcBorders>
                    <w:tl2br w:val="nil"/>
                    <w:tr2bl w:val="nil"/>
                  </w:tcBorders>
                  <w:noWrap w:val="0"/>
                  <w:vAlign w:val="center"/>
                </w:tcPr>
                <w:p w14:paraId="363D2FAA">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1.94</w:t>
                  </w:r>
                  <w:r>
                    <w:rPr>
                      <w:rFonts w:hint="default" w:ascii="Times New Roman" w:hAnsi="Times New Roman" w:eastAsia="宋体" w:cs="Times New Roman"/>
                      <w:color w:val="auto"/>
                      <w:sz w:val="21"/>
                      <w:szCs w:val="21"/>
                      <w:u w:val="none" w:color="auto"/>
                    </w:rPr>
                    <w:t>×10</w:t>
                  </w:r>
                  <w:r>
                    <w:rPr>
                      <w:rFonts w:hint="default" w:ascii="Times New Roman" w:hAnsi="Times New Roman" w:eastAsia="宋体" w:cs="Times New Roman"/>
                      <w:color w:val="auto"/>
                      <w:sz w:val="21"/>
                      <w:szCs w:val="21"/>
                      <w:u w:val="none" w:color="auto"/>
                      <w:vertAlign w:val="superscript"/>
                    </w:rPr>
                    <w:t>-3</w:t>
                  </w:r>
                </w:p>
              </w:tc>
              <w:tc>
                <w:tcPr>
                  <w:tcW w:w="612" w:type="pct"/>
                  <w:tcBorders>
                    <w:tl2br w:val="nil"/>
                    <w:tr2bl w:val="nil"/>
                  </w:tcBorders>
                  <w:noWrap w:val="0"/>
                  <w:vAlign w:val="center"/>
                </w:tcPr>
                <w:p w14:paraId="3DBC8EF5">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1.94</w:t>
                  </w:r>
                  <w:r>
                    <w:rPr>
                      <w:rFonts w:hint="default" w:ascii="Times New Roman" w:hAnsi="Times New Roman" w:eastAsia="宋体" w:cs="Times New Roman"/>
                      <w:color w:val="auto"/>
                      <w:sz w:val="21"/>
                      <w:szCs w:val="21"/>
                      <w:u w:val="none" w:color="auto"/>
                    </w:rPr>
                    <w:t>×10</w:t>
                  </w:r>
                  <w:r>
                    <w:rPr>
                      <w:rFonts w:hint="default" w:ascii="Times New Roman" w:hAnsi="Times New Roman" w:eastAsia="宋体" w:cs="Times New Roman"/>
                      <w:color w:val="auto"/>
                      <w:sz w:val="21"/>
                      <w:szCs w:val="21"/>
                      <w:u w:val="none" w:color="auto"/>
                      <w:vertAlign w:val="superscript"/>
                    </w:rPr>
                    <w:t>-3</w:t>
                  </w:r>
                </w:p>
              </w:tc>
              <w:tc>
                <w:tcPr>
                  <w:tcW w:w="614" w:type="pct"/>
                  <w:tcBorders>
                    <w:tl2br w:val="nil"/>
                    <w:tr2bl w:val="nil"/>
                  </w:tcBorders>
                  <w:noWrap w:val="0"/>
                  <w:vAlign w:val="center"/>
                </w:tcPr>
                <w:p w14:paraId="593C7FD1">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1.97</w:t>
                  </w:r>
                  <w:r>
                    <w:rPr>
                      <w:rFonts w:hint="default" w:ascii="Times New Roman" w:hAnsi="Times New Roman" w:eastAsia="宋体" w:cs="Times New Roman"/>
                      <w:color w:val="auto"/>
                      <w:sz w:val="21"/>
                      <w:szCs w:val="21"/>
                      <w:u w:val="none" w:color="auto"/>
                    </w:rPr>
                    <w:t>×10</w:t>
                  </w:r>
                  <w:r>
                    <w:rPr>
                      <w:rFonts w:hint="default" w:ascii="Times New Roman" w:hAnsi="Times New Roman" w:eastAsia="宋体" w:cs="Times New Roman"/>
                      <w:color w:val="auto"/>
                      <w:sz w:val="21"/>
                      <w:szCs w:val="21"/>
                      <w:u w:val="none" w:color="auto"/>
                      <w:vertAlign w:val="superscript"/>
                    </w:rPr>
                    <w:t>-3</w:t>
                  </w:r>
                </w:p>
              </w:tc>
              <w:tc>
                <w:tcPr>
                  <w:tcW w:w="488" w:type="pct"/>
                  <w:tcBorders>
                    <w:tl2br w:val="nil"/>
                    <w:tr2bl w:val="nil"/>
                  </w:tcBorders>
                  <w:noWrap w:val="0"/>
                  <w:vAlign w:val="center"/>
                </w:tcPr>
                <w:p w14:paraId="071AC70B">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0.040</w:t>
                  </w:r>
                </w:p>
              </w:tc>
              <w:tc>
                <w:tcPr>
                  <w:tcW w:w="486" w:type="pct"/>
                  <w:tcBorders>
                    <w:tl2br w:val="nil"/>
                    <w:tr2bl w:val="nil"/>
                  </w:tcBorders>
                  <w:noWrap w:val="0"/>
                  <w:vAlign w:val="center"/>
                </w:tcPr>
                <w:p w14:paraId="4A20D795">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bCs/>
                      <w:color w:val="auto"/>
                      <w:kern w:val="0"/>
                      <w:sz w:val="21"/>
                      <w:szCs w:val="21"/>
                      <w:highlight w:val="none"/>
                      <w:u w:val="none" w:color="auto"/>
                      <w:lang w:val="en-US" w:eastAsia="zh-CN" w:bidi="ar-SA"/>
                    </w:rPr>
                  </w:pPr>
                  <w:r>
                    <w:rPr>
                      <w:rFonts w:hint="default" w:ascii="Times New Roman" w:hAnsi="Times New Roman" w:eastAsia="宋体" w:cs="Times New Roman"/>
                      <w:color w:val="auto"/>
                      <w:kern w:val="0"/>
                      <w:sz w:val="21"/>
                      <w:szCs w:val="21"/>
                      <w:u w:val="none" w:color="auto"/>
                    </w:rPr>
                    <w:t>mg/m</w:t>
                  </w:r>
                  <w:r>
                    <w:rPr>
                      <w:rFonts w:hint="default" w:ascii="Times New Roman" w:hAnsi="Times New Roman" w:eastAsia="宋体" w:cs="Times New Roman"/>
                      <w:color w:val="auto"/>
                      <w:kern w:val="0"/>
                      <w:sz w:val="21"/>
                      <w:szCs w:val="21"/>
                      <w:u w:val="none" w:color="auto"/>
                      <w:vertAlign w:val="superscript"/>
                    </w:rPr>
                    <w:t>3</w:t>
                  </w:r>
                </w:p>
              </w:tc>
            </w:tr>
            <w:tr w14:paraId="0DD442C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23" w:type="pct"/>
                  <w:vMerge w:val="continue"/>
                  <w:tcBorders>
                    <w:tl2br w:val="nil"/>
                    <w:tr2bl w:val="nil"/>
                  </w:tcBorders>
                  <w:noWrap w:val="0"/>
                  <w:vAlign w:val="center"/>
                </w:tcPr>
                <w:p w14:paraId="454E3EB4">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sz w:val="21"/>
                      <w:szCs w:val="21"/>
                      <w:highlight w:val="none"/>
                      <w:u w:val="none" w:color="auto"/>
                    </w:rPr>
                  </w:pPr>
                </w:p>
              </w:tc>
              <w:tc>
                <w:tcPr>
                  <w:tcW w:w="766" w:type="pct"/>
                  <w:vMerge w:val="continue"/>
                  <w:tcBorders>
                    <w:tl2br w:val="nil"/>
                    <w:tr2bl w:val="nil"/>
                  </w:tcBorders>
                  <w:noWrap w:val="0"/>
                  <w:vAlign w:val="center"/>
                </w:tcPr>
                <w:p w14:paraId="2FE311A2">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p>
              </w:tc>
              <w:tc>
                <w:tcPr>
                  <w:tcW w:w="895" w:type="pct"/>
                  <w:tcBorders>
                    <w:tl2br w:val="nil"/>
                    <w:tr2bl w:val="nil"/>
                  </w:tcBorders>
                  <w:noWrap w:val="0"/>
                  <w:vAlign w:val="center"/>
                </w:tcPr>
                <w:p w14:paraId="302B5F41">
                  <w:pPr>
                    <w:keepNext w:val="0"/>
                    <w:keepLines w:val="0"/>
                    <w:pageBreakBefore w:val="0"/>
                    <w:widowControl/>
                    <w:kinsoku/>
                    <w:wordWrap/>
                    <w:overflowPunct/>
                    <w:topLinePunct w:val="0"/>
                    <w:autoSpaceDE/>
                    <w:autoSpaceDN/>
                    <w:bidi w:val="0"/>
                    <w:adjustRightInd/>
                    <w:snapToGrid/>
                    <w:spacing w:after="0"/>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氯化氢</w:t>
                  </w:r>
                </w:p>
              </w:tc>
              <w:tc>
                <w:tcPr>
                  <w:tcW w:w="612" w:type="pct"/>
                  <w:tcBorders>
                    <w:tl2br w:val="nil"/>
                    <w:tr2bl w:val="nil"/>
                  </w:tcBorders>
                  <w:noWrap w:val="0"/>
                  <w:vAlign w:val="center"/>
                </w:tcPr>
                <w:p w14:paraId="5321D8DE">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0.049</w:t>
                  </w:r>
                </w:p>
              </w:tc>
              <w:tc>
                <w:tcPr>
                  <w:tcW w:w="612" w:type="pct"/>
                  <w:tcBorders>
                    <w:tl2br w:val="nil"/>
                    <w:tr2bl w:val="nil"/>
                  </w:tcBorders>
                  <w:noWrap w:val="0"/>
                  <w:vAlign w:val="center"/>
                </w:tcPr>
                <w:p w14:paraId="030B5585">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0.041</w:t>
                  </w:r>
                </w:p>
              </w:tc>
              <w:tc>
                <w:tcPr>
                  <w:tcW w:w="614" w:type="pct"/>
                  <w:tcBorders>
                    <w:tl2br w:val="nil"/>
                    <w:tr2bl w:val="nil"/>
                  </w:tcBorders>
                  <w:noWrap w:val="0"/>
                  <w:vAlign w:val="center"/>
                </w:tcPr>
                <w:p w14:paraId="24DC07A9">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0.043</w:t>
                  </w:r>
                </w:p>
              </w:tc>
              <w:tc>
                <w:tcPr>
                  <w:tcW w:w="488" w:type="pct"/>
                  <w:tcBorders>
                    <w:tl2br w:val="nil"/>
                    <w:tr2bl w:val="nil"/>
                  </w:tcBorders>
                  <w:noWrap w:val="0"/>
                  <w:vAlign w:val="center"/>
                </w:tcPr>
                <w:p w14:paraId="03A48A43">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0.20</w:t>
                  </w:r>
                </w:p>
              </w:tc>
              <w:tc>
                <w:tcPr>
                  <w:tcW w:w="486" w:type="pct"/>
                  <w:tcBorders>
                    <w:tl2br w:val="nil"/>
                    <w:tr2bl w:val="nil"/>
                  </w:tcBorders>
                  <w:noWrap w:val="0"/>
                  <w:vAlign w:val="center"/>
                </w:tcPr>
                <w:p w14:paraId="54B98DB6">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bCs/>
                      <w:color w:val="auto"/>
                      <w:kern w:val="0"/>
                      <w:sz w:val="21"/>
                      <w:szCs w:val="21"/>
                      <w:highlight w:val="none"/>
                      <w:u w:val="none" w:color="auto"/>
                      <w:lang w:val="en-US" w:eastAsia="zh-CN" w:bidi="ar-SA"/>
                    </w:rPr>
                  </w:pPr>
                  <w:r>
                    <w:rPr>
                      <w:rFonts w:hint="default" w:ascii="Times New Roman" w:hAnsi="Times New Roman" w:eastAsia="宋体" w:cs="Times New Roman"/>
                      <w:color w:val="auto"/>
                      <w:kern w:val="0"/>
                      <w:sz w:val="21"/>
                      <w:szCs w:val="21"/>
                      <w:u w:val="none" w:color="auto"/>
                    </w:rPr>
                    <w:t>mg/m</w:t>
                  </w:r>
                  <w:r>
                    <w:rPr>
                      <w:rFonts w:hint="default" w:ascii="Times New Roman" w:hAnsi="Times New Roman" w:eastAsia="宋体" w:cs="Times New Roman"/>
                      <w:color w:val="auto"/>
                      <w:kern w:val="0"/>
                      <w:sz w:val="21"/>
                      <w:szCs w:val="21"/>
                      <w:u w:val="none" w:color="auto"/>
                      <w:vertAlign w:val="superscript"/>
                    </w:rPr>
                    <w:t>3</w:t>
                  </w:r>
                </w:p>
              </w:tc>
            </w:tr>
            <w:tr w14:paraId="18C30A0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23" w:type="pct"/>
                  <w:vMerge w:val="continue"/>
                  <w:tcBorders>
                    <w:tl2br w:val="nil"/>
                    <w:tr2bl w:val="nil"/>
                  </w:tcBorders>
                  <w:noWrap w:val="0"/>
                  <w:vAlign w:val="center"/>
                </w:tcPr>
                <w:p w14:paraId="43B5680C">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sz w:val="21"/>
                      <w:szCs w:val="21"/>
                      <w:highlight w:val="none"/>
                      <w:u w:val="none" w:color="auto"/>
                    </w:rPr>
                  </w:pPr>
                </w:p>
              </w:tc>
              <w:tc>
                <w:tcPr>
                  <w:tcW w:w="766" w:type="pct"/>
                  <w:vMerge w:val="continue"/>
                  <w:tcBorders>
                    <w:tl2br w:val="nil"/>
                    <w:tr2bl w:val="nil"/>
                  </w:tcBorders>
                  <w:noWrap w:val="0"/>
                  <w:vAlign w:val="center"/>
                </w:tcPr>
                <w:p w14:paraId="68FE9C3C">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p>
              </w:tc>
              <w:tc>
                <w:tcPr>
                  <w:tcW w:w="895" w:type="pct"/>
                  <w:tcBorders>
                    <w:tl2br w:val="nil"/>
                    <w:tr2bl w:val="nil"/>
                  </w:tcBorders>
                  <w:noWrap w:val="0"/>
                  <w:vAlign w:val="center"/>
                </w:tcPr>
                <w:p w14:paraId="5CD791E6">
                  <w:pPr>
                    <w:keepNext w:val="0"/>
                    <w:keepLines w:val="0"/>
                    <w:pageBreakBefore w:val="0"/>
                    <w:widowControl/>
                    <w:kinsoku/>
                    <w:wordWrap/>
                    <w:overflowPunct/>
                    <w:topLinePunct w:val="0"/>
                    <w:autoSpaceDE/>
                    <w:autoSpaceDN/>
                    <w:bidi w:val="0"/>
                    <w:adjustRightInd/>
                    <w:snapToGrid/>
                    <w:spacing w:after="0"/>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硫化氢</w:t>
                  </w:r>
                </w:p>
              </w:tc>
              <w:tc>
                <w:tcPr>
                  <w:tcW w:w="612" w:type="pct"/>
                  <w:tcBorders>
                    <w:tl2br w:val="nil"/>
                    <w:tr2bl w:val="nil"/>
                  </w:tcBorders>
                  <w:noWrap w:val="0"/>
                  <w:vAlign w:val="center"/>
                </w:tcPr>
                <w:p w14:paraId="5CF0217D">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0.021</w:t>
                  </w:r>
                </w:p>
              </w:tc>
              <w:tc>
                <w:tcPr>
                  <w:tcW w:w="612" w:type="pct"/>
                  <w:tcBorders>
                    <w:tl2br w:val="nil"/>
                    <w:tr2bl w:val="nil"/>
                  </w:tcBorders>
                  <w:noWrap w:val="0"/>
                  <w:vAlign w:val="center"/>
                </w:tcPr>
                <w:p w14:paraId="026E63CE">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0.022</w:t>
                  </w:r>
                </w:p>
              </w:tc>
              <w:tc>
                <w:tcPr>
                  <w:tcW w:w="614" w:type="pct"/>
                  <w:tcBorders>
                    <w:tl2br w:val="nil"/>
                    <w:tr2bl w:val="nil"/>
                  </w:tcBorders>
                  <w:noWrap w:val="0"/>
                  <w:vAlign w:val="center"/>
                </w:tcPr>
                <w:p w14:paraId="377CAFD2">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0.018</w:t>
                  </w:r>
                </w:p>
              </w:tc>
              <w:tc>
                <w:tcPr>
                  <w:tcW w:w="488" w:type="pct"/>
                  <w:tcBorders>
                    <w:tl2br w:val="nil"/>
                    <w:tr2bl w:val="nil"/>
                  </w:tcBorders>
                  <w:noWrap w:val="0"/>
                  <w:vAlign w:val="center"/>
                </w:tcPr>
                <w:p w14:paraId="613BE611">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0.10</w:t>
                  </w:r>
                </w:p>
              </w:tc>
              <w:tc>
                <w:tcPr>
                  <w:tcW w:w="486" w:type="pct"/>
                  <w:tcBorders>
                    <w:tl2br w:val="nil"/>
                    <w:tr2bl w:val="nil"/>
                  </w:tcBorders>
                  <w:noWrap w:val="0"/>
                  <w:vAlign w:val="center"/>
                </w:tcPr>
                <w:p w14:paraId="60A821D5">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bCs/>
                      <w:color w:val="auto"/>
                      <w:kern w:val="0"/>
                      <w:sz w:val="21"/>
                      <w:szCs w:val="21"/>
                      <w:highlight w:val="none"/>
                      <w:u w:val="none" w:color="auto"/>
                      <w:lang w:val="en-US" w:eastAsia="zh-CN" w:bidi="ar-SA"/>
                    </w:rPr>
                  </w:pPr>
                  <w:r>
                    <w:rPr>
                      <w:rFonts w:hint="default" w:ascii="Times New Roman" w:hAnsi="Times New Roman" w:eastAsia="宋体" w:cs="Times New Roman"/>
                      <w:color w:val="auto"/>
                      <w:kern w:val="0"/>
                      <w:sz w:val="21"/>
                      <w:szCs w:val="21"/>
                      <w:u w:val="none" w:color="auto"/>
                    </w:rPr>
                    <w:t>mg/m</w:t>
                  </w:r>
                  <w:r>
                    <w:rPr>
                      <w:rFonts w:hint="default" w:ascii="Times New Roman" w:hAnsi="Times New Roman" w:eastAsia="宋体" w:cs="Times New Roman"/>
                      <w:color w:val="auto"/>
                      <w:kern w:val="0"/>
                      <w:sz w:val="21"/>
                      <w:szCs w:val="21"/>
                      <w:u w:val="none" w:color="auto"/>
                      <w:vertAlign w:val="superscript"/>
                    </w:rPr>
                    <w:t>3</w:t>
                  </w:r>
                </w:p>
              </w:tc>
            </w:tr>
            <w:tr w14:paraId="7692B64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23" w:type="pct"/>
                  <w:vMerge w:val="continue"/>
                  <w:tcBorders>
                    <w:tl2br w:val="nil"/>
                    <w:tr2bl w:val="nil"/>
                  </w:tcBorders>
                  <w:noWrap w:val="0"/>
                  <w:vAlign w:val="center"/>
                </w:tcPr>
                <w:p w14:paraId="77E6D16C">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sz w:val="21"/>
                      <w:szCs w:val="21"/>
                      <w:highlight w:val="none"/>
                      <w:u w:val="none" w:color="auto"/>
                    </w:rPr>
                  </w:pPr>
                </w:p>
              </w:tc>
              <w:tc>
                <w:tcPr>
                  <w:tcW w:w="766" w:type="pct"/>
                  <w:vMerge w:val="continue"/>
                  <w:tcBorders>
                    <w:tl2br w:val="nil"/>
                    <w:tr2bl w:val="nil"/>
                  </w:tcBorders>
                  <w:noWrap w:val="0"/>
                  <w:vAlign w:val="center"/>
                </w:tcPr>
                <w:p w14:paraId="287FE1E8">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p>
              </w:tc>
              <w:tc>
                <w:tcPr>
                  <w:tcW w:w="895" w:type="pct"/>
                  <w:tcBorders>
                    <w:tl2br w:val="nil"/>
                    <w:tr2bl w:val="nil"/>
                  </w:tcBorders>
                  <w:noWrap w:val="0"/>
                  <w:vAlign w:val="center"/>
                </w:tcPr>
                <w:p w14:paraId="35843FDD">
                  <w:pPr>
                    <w:keepNext w:val="0"/>
                    <w:keepLines w:val="0"/>
                    <w:pageBreakBefore w:val="0"/>
                    <w:widowControl/>
                    <w:kinsoku/>
                    <w:wordWrap/>
                    <w:overflowPunct/>
                    <w:topLinePunct w:val="0"/>
                    <w:autoSpaceDE/>
                    <w:autoSpaceDN/>
                    <w:bidi w:val="0"/>
                    <w:adjustRightInd/>
                    <w:snapToGrid/>
                    <w:spacing w:after="0"/>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氨</w:t>
                  </w:r>
                </w:p>
              </w:tc>
              <w:tc>
                <w:tcPr>
                  <w:tcW w:w="612" w:type="pct"/>
                  <w:tcBorders>
                    <w:tl2br w:val="nil"/>
                    <w:tr2bl w:val="nil"/>
                  </w:tcBorders>
                  <w:noWrap w:val="0"/>
                  <w:vAlign w:val="center"/>
                </w:tcPr>
                <w:p w14:paraId="5CFF166E">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0.20</w:t>
                  </w:r>
                </w:p>
              </w:tc>
              <w:tc>
                <w:tcPr>
                  <w:tcW w:w="612" w:type="pct"/>
                  <w:tcBorders>
                    <w:tl2br w:val="nil"/>
                    <w:tr2bl w:val="nil"/>
                  </w:tcBorders>
                  <w:noWrap w:val="0"/>
                  <w:vAlign w:val="center"/>
                </w:tcPr>
                <w:p w14:paraId="6DDED509">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0.20</w:t>
                  </w:r>
                </w:p>
              </w:tc>
              <w:tc>
                <w:tcPr>
                  <w:tcW w:w="614" w:type="pct"/>
                  <w:tcBorders>
                    <w:tl2br w:val="nil"/>
                    <w:tr2bl w:val="nil"/>
                  </w:tcBorders>
                  <w:noWrap w:val="0"/>
                  <w:vAlign w:val="center"/>
                </w:tcPr>
                <w:p w14:paraId="5D9AD00F">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0.22</w:t>
                  </w:r>
                </w:p>
              </w:tc>
              <w:tc>
                <w:tcPr>
                  <w:tcW w:w="488" w:type="pct"/>
                  <w:tcBorders>
                    <w:tl2br w:val="nil"/>
                    <w:tr2bl w:val="nil"/>
                  </w:tcBorders>
                  <w:noWrap w:val="0"/>
                  <w:vAlign w:val="center"/>
                </w:tcPr>
                <w:p w14:paraId="3AB1B12E">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2.0</w:t>
                  </w:r>
                </w:p>
              </w:tc>
              <w:tc>
                <w:tcPr>
                  <w:tcW w:w="486" w:type="pct"/>
                  <w:tcBorders>
                    <w:tl2br w:val="nil"/>
                    <w:tr2bl w:val="nil"/>
                  </w:tcBorders>
                  <w:noWrap w:val="0"/>
                  <w:vAlign w:val="center"/>
                </w:tcPr>
                <w:p w14:paraId="57954690">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bCs/>
                      <w:color w:val="auto"/>
                      <w:kern w:val="0"/>
                      <w:sz w:val="21"/>
                      <w:szCs w:val="21"/>
                      <w:highlight w:val="none"/>
                      <w:u w:val="none" w:color="auto"/>
                      <w:lang w:val="en-US" w:eastAsia="zh-CN" w:bidi="ar-SA"/>
                    </w:rPr>
                  </w:pPr>
                  <w:r>
                    <w:rPr>
                      <w:rFonts w:hint="default" w:ascii="Times New Roman" w:hAnsi="Times New Roman" w:eastAsia="宋体" w:cs="Times New Roman"/>
                      <w:color w:val="auto"/>
                      <w:kern w:val="0"/>
                      <w:sz w:val="21"/>
                      <w:szCs w:val="21"/>
                      <w:u w:val="none" w:color="auto"/>
                    </w:rPr>
                    <w:t>mg/m</w:t>
                  </w:r>
                  <w:r>
                    <w:rPr>
                      <w:rFonts w:hint="default" w:ascii="Times New Roman" w:hAnsi="Times New Roman" w:eastAsia="宋体" w:cs="Times New Roman"/>
                      <w:color w:val="auto"/>
                      <w:kern w:val="0"/>
                      <w:sz w:val="21"/>
                      <w:szCs w:val="21"/>
                      <w:u w:val="none" w:color="auto"/>
                      <w:vertAlign w:val="superscript"/>
                    </w:rPr>
                    <w:t>3</w:t>
                  </w:r>
                </w:p>
              </w:tc>
            </w:tr>
            <w:tr w14:paraId="76E43CA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23" w:type="pct"/>
                  <w:vMerge w:val="continue"/>
                  <w:tcBorders>
                    <w:tl2br w:val="nil"/>
                    <w:tr2bl w:val="nil"/>
                  </w:tcBorders>
                  <w:noWrap w:val="0"/>
                  <w:vAlign w:val="center"/>
                </w:tcPr>
                <w:p w14:paraId="294935A3">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sz w:val="21"/>
                      <w:szCs w:val="21"/>
                      <w:highlight w:val="none"/>
                      <w:u w:val="none" w:color="auto"/>
                    </w:rPr>
                  </w:pPr>
                </w:p>
              </w:tc>
              <w:tc>
                <w:tcPr>
                  <w:tcW w:w="766" w:type="pct"/>
                  <w:tcBorders>
                    <w:tl2br w:val="nil"/>
                    <w:tr2bl w:val="nil"/>
                  </w:tcBorders>
                  <w:noWrap w:val="0"/>
                  <w:vAlign w:val="center"/>
                </w:tcPr>
                <w:p w14:paraId="20EC4903">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铝合金熔铸</w:t>
                  </w:r>
                </w:p>
                <w:p w14:paraId="408CF701">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lang w:val="en-US" w:eastAsia="zh-CN"/>
                    </w:rPr>
                    <w:t>车间G3</w:t>
                  </w:r>
                </w:p>
              </w:tc>
              <w:tc>
                <w:tcPr>
                  <w:tcW w:w="895" w:type="pct"/>
                  <w:tcBorders>
                    <w:tl2br w:val="nil"/>
                    <w:tr2bl w:val="nil"/>
                  </w:tcBorders>
                  <w:noWrap w:val="0"/>
                  <w:vAlign w:val="center"/>
                </w:tcPr>
                <w:p w14:paraId="63FB0FEC">
                  <w:pPr>
                    <w:keepNext w:val="0"/>
                    <w:keepLines w:val="0"/>
                    <w:pageBreakBefore w:val="0"/>
                    <w:widowControl/>
                    <w:kinsoku/>
                    <w:wordWrap/>
                    <w:overflowPunct/>
                    <w:topLinePunct w:val="0"/>
                    <w:autoSpaceDE/>
                    <w:autoSpaceDN/>
                    <w:bidi w:val="0"/>
                    <w:adjustRightInd/>
                    <w:snapToGrid/>
                    <w:spacing w:after="0"/>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颗粒物</w:t>
                  </w:r>
                </w:p>
              </w:tc>
              <w:tc>
                <w:tcPr>
                  <w:tcW w:w="612" w:type="pct"/>
                  <w:tcBorders>
                    <w:tl2br w:val="nil"/>
                    <w:tr2bl w:val="nil"/>
                  </w:tcBorders>
                  <w:noWrap w:val="0"/>
                  <w:vAlign w:val="center"/>
                </w:tcPr>
                <w:p w14:paraId="2989282C">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0.819</w:t>
                  </w:r>
                </w:p>
              </w:tc>
              <w:tc>
                <w:tcPr>
                  <w:tcW w:w="612" w:type="pct"/>
                  <w:tcBorders>
                    <w:tl2br w:val="nil"/>
                    <w:tr2bl w:val="nil"/>
                  </w:tcBorders>
                  <w:noWrap w:val="0"/>
                  <w:vAlign w:val="center"/>
                </w:tcPr>
                <w:p w14:paraId="3354FF47">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0.752</w:t>
                  </w:r>
                </w:p>
              </w:tc>
              <w:tc>
                <w:tcPr>
                  <w:tcW w:w="614" w:type="pct"/>
                  <w:tcBorders>
                    <w:tl2br w:val="nil"/>
                    <w:tr2bl w:val="nil"/>
                  </w:tcBorders>
                  <w:noWrap w:val="0"/>
                  <w:vAlign w:val="center"/>
                </w:tcPr>
                <w:p w14:paraId="48F588F4">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0.835</w:t>
                  </w:r>
                </w:p>
              </w:tc>
              <w:tc>
                <w:tcPr>
                  <w:tcW w:w="488" w:type="pct"/>
                  <w:tcBorders>
                    <w:tl2br w:val="nil"/>
                    <w:tr2bl w:val="nil"/>
                  </w:tcBorders>
                  <w:noWrap w:val="0"/>
                  <w:vAlign w:val="center"/>
                </w:tcPr>
                <w:p w14:paraId="5AE8FB9E">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5.0</w:t>
                  </w:r>
                </w:p>
              </w:tc>
              <w:tc>
                <w:tcPr>
                  <w:tcW w:w="486" w:type="pct"/>
                  <w:tcBorders>
                    <w:tl2br w:val="nil"/>
                    <w:tr2bl w:val="nil"/>
                  </w:tcBorders>
                  <w:noWrap w:val="0"/>
                  <w:vAlign w:val="center"/>
                </w:tcPr>
                <w:p w14:paraId="72E5578A">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bCs/>
                      <w:color w:val="auto"/>
                      <w:kern w:val="0"/>
                      <w:sz w:val="21"/>
                      <w:szCs w:val="21"/>
                      <w:highlight w:val="none"/>
                      <w:u w:val="none" w:color="auto"/>
                      <w:lang w:val="en-US" w:eastAsia="zh-CN" w:bidi="ar-SA"/>
                    </w:rPr>
                  </w:pPr>
                  <w:r>
                    <w:rPr>
                      <w:rFonts w:hint="default" w:ascii="Times New Roman" w:hAnsi="Times New Roman" w:eastAsia="宋体" w:cs="Times New Roman"/>
                      <w:bCs/>
                      <w:color w:val="auto"/>
                      <w:kern w:val="0"/>
                      <w:sz w:val="21"/>
                      <w:szCs w:val="21"/>
                      <w:highlight w:val="none"/>
                      <w:u w:val="none" w:color="auto"/>
                      <w:lang w:val="en-US" w:eastAsia="zh-CN" w:bidi="ar-SA"/>
                    </w:rPr>
                    <w:t>mg/m</w:t>
                  </w:r>
                  <w:r>
                    <w:rPr>
                      <w:rFonts w:hint="default" w:ascii="Times New Roman" w:hAnsi="Times New Roman" w:eastAsia="宋体" w:cs="Times New Roman"/>
                      <w:bCs/>
                      <w:color w:val="auto"/>
                      <w:kern w:val="0"/>
                      <w:sz w:val="21"/>
                      <w:szCs w:val="21"/>
                      <w:highlight w:val="none"/>
                      <w:u w:val="none" w:color="auto"/>
                      <w:vertAlign w:val="superscript"/>
                      <w:lang w:val="en-US" w:eastAsia="zh-CN" w:bidi="ar-SA"/>
                    </w:rPr>
                    <w:t>3</w:t>
                  </w:r>
                </w:p>
              </w:tc>
            </w:tr>
            <w:tr w14:paraId="61E4018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23" w:type="pct"/>
                  <w:vMerge w:val="continue"/>
                  <w:tcBorders>
                    <w:tl2br w:val="nil"/>
                    <w:tr2bl w:val="nil"/>
                  </w:tcBorders>
                  <w:noWrap w:val="0"/>
                  <w:vAlign w:val="center"/>
                </w:tcPr>
                <w:p w14:paraId="3DF47334">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sz w:val="21"/>
                      <w:szCs w:val="21"/>
                      <w:highlight w:val="none"/>
                      <w:u w:val="none" w:color="auto"/>
                    </w:rPr>
                  </w:pPr>
                </w:p>
              </w:tc>
              <w:tc>
                <w:tcPr>
                  <w:tcW w:w="766" w:type="pct"/>
                  <w:tcBorders>
                    <w:tl2br w:val="nil"/>
                    <w:tr2bl w:val="nil"/>
                  </w:tcBorders>
                  <w:noWrap w:val="0"/>
                  <w:vAlign w:val="center"/>
                </w:tcPr>
                <w:p w14:paraId="77A77452">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lang w:val="en-US" w:eastAsia="zh-CN"/>
                    </w:rPr>
                    <w:t>铝锂车间外（厂区内）G4</w:t>
                  </w:r>
                </w:p>
              </w:tc>
              <w:tc>
                <w:tcPr>
                  <w:tcW w:w="895" w:type="pct"/>
                  <w:tcBorders>
                    <w:tl2br w:val="nil"/>
                    <w:tr2bl w:val="nil"/>
                  </w:tcBorders>
                  <w:noWrap w:val="0"/>
                  <w:vAlign w:val="center"/>
                </w:tcPr>
                <w:p w14:paraId="521EC00F">
                  <w:pPr>
                    <w:keepNext w:val="0"/>
                    <w:keepLines w:val="0"/>
                    <w:pageBreakBefore w:val="0"/>
                    <w:widowControl/>
                    <w:kinsoku/>
                    <w:wordWrap/>
                    <w:overflowPunct/>
                    <w:topLinePunct w:val="0"/>
                    <w:autoSpaceDE/>
                    <w:autoSpaceDN/>
                    <w:bidi w:val="0"/>
                    <w:adjustRightInd/>
                    <w:snapToGrid/>
                    <w:spacing w:after="0"/>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颗粒物</w:t>
                  </w:r>
                </w:p>
              </w:tc>
              <w:tc>
                <w:tcPr>
                  <w:tcW w:w="612" w:type="pct"/>
                  <w:tcBorders>
                    <w:tl2br w:val="nil"/>
                    <w:tr2bl w:val="nil"/>
                  </w:tcBorders>
                  <w:noWrap w:val="0"/>
                  <w:vAlign w:val="center"/>
                </w:tcPr>
                <w:p w14:paraId="19C57564">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0.586</w:t>
                  </w:r>
                </w:p>
              </w:tc>
              <w:tc>
                <w:tcPr>
                  <w:tcW w:w="612" w:type="pct"/>
                  <w:tcBorders>
                    <w:tl2br w:val="nil"/>
                    <w:tr2bl w:val="nil"/>
                  </w:tcBorders>
                  <w:noWrap w:val="0"/>
                  <w:vAlign w:val="center"/>
                </w:tcPr>
                <w:p w14:paraId="2D239896">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0.669</w:t>
                  </w:r>
                </w:p>
              </w:tc>
              <w:tc>
                <w:tcPr>
                  <w:tcW w:w="614" w:type="pct"/>
                  <w:tcBorders>
                    <w:tl2br w:val="nil"/>
                    <w:tr2bl w:val="nil"/>
                  </w:tcBorders>
                  <w:noWrap w:val="0"/>
                  <w:vAlign w:val="center"/>
                </w:tcPr>
                <w:p w14:paraId="1399E589">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0.636</w:t>
                  </w:r>
                </w:p>
              </w:tc>
              <w:tc>
                <w:tcPr>
                  <w:tcW w:w="488" w:type="pct"/>
                  <w:tcBorders>
                    <w:tl2br w:val="nil"/>
                    <w:tr2bl w:val="nil"/>
                  </w:tcBorders>
                  <w:noWrap w:val="0"/>
                  <w:vAlign w:val="center"/>
                </w:tcPr>
                <w:p w14:paraId="2085C192">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5.0</w:t>
                  </w:r>
                </w:p>
              </w:tc>
              <w:tc>
                <w:tcPr>
                  <w:tcW w:w="486" w:type="pct"/>
                  <w:tcBorders>
                    <w:tl2br w:val="nil"/>
                    <w:tr2bl w:val="nil"/>
                  </w:tcBorders>
                  <w:noWrap w:val="0"/>
                  <w:vAlign w:val="center"/>
                </w:tcPr>
                <w:p w14:paraId="0B29E35B">
                  <w:pPr>
                    <w:keepNext w:val="0"/>
                    <w:keepLines w:val="0"/>
                    <w:pageBreakBefore w:val="0"/>
                    <w:widowControl/>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bCs/>
                      <w:color w:val="auto"/>
                      <w:kern w:val="0"/>
                      <w:sz w:val="21"/>
                      <w:szCs w:val="21"/>
                      <w:highlight w:val="none"/>
                      <w:u w:val="none" w:color="auto"/>
                      <w:lang w:val="en-US" w:eastAsia="zh-CN" w:bidi="ar-SA"/>
                    </w:rPr>
                  </w:pPr>
                  <w:r>
                    <w:rPr>
                      <w:rFonts w:hint="default" w:ascii="Times New Roman" w:hAnsi="Times New Roman" w:eastAsia="宋体" w:cs="Times New Roman"/>
                      <w:bCs/>
                      <w:color w:val="auto"/>
                      <w:kern w:val="0"/>
                      <w:sz w:val="21"/>
                      <w:szCs w:val="21"/>
                      <w:highlight w:val="none"/>
                      <w:u w:val="none" w:color="auto"/>
                      <w:lang w:val="en-US" w:eastAsia="zh-CN" w:bidi="ar-SA"/>
                    </w:rPr>
                    <w:t>mg/m</w:t>
                  </w:r>
                  <w:r>
                    <w:rPr>
                      <w:rFonts w:hint="default" w:ascii="Times New Roman" w:hAnsi="Times New Roman" w:eastAsia="宋体" w:cs="Times New Roman"/>
                      <w:bCs/>
                      <w:color w:val="auto"/>
                      <w:kern w:val="0"/>
                      <w:sz w:val="21"/>
                      <w:szCs w:val="21"/>
                      <w:highlight w:val="none"/>
                      <w:u w:val="none" w:color="auto"/>
                      <w:vertAlign w:val="superscript"/>
                      <w:lang w:val="en-US" w:eastAsia="zh-CN" w:bidi="ar-SA"/>
                    </w:rPr>
                    <w:t>3</w:t>
                  </w:r>
                </w:p>
              </w:tc>
            </w:tr>
          </w:tbl>
          <w:p w14:paraId="0B20D72A">
            <w:pPr>
              <w:widowControl w:val="0"/>
              <w:adjustRightInd/>
              <w:snapToGrid/>
              <w:spacing w:after="0" w:line="360" w:lineRule="auto"/>
              <w:ind w:firstLine="480" w:firstLineChars="200"/>
              <w:jc w:val="both"/>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由上表可见，</w:t>
            </w:r>
            <w:r>
              <w:rPr>
                <w:rFonts w:hint="default" w:ascii="Times New Roman" w:hAnsi="Times New Roman" w:eastAsia="宋体" w:cs="Times New Roman"/>
                <w:color w:val="auto"/>
                <w:sz w:val="24"/>
                <w:szCs w:val="24"/>
                <w:u w:val="none" w:color="auto"/>
                <w:lang w:val="en-US" w:eastAsia="zh-CN"/>
              </w:rPr>
              <w:t>建设单位无组织排放的相关污染物均可满足厂界和厂区内厂房外监控点的</w:t>
            </w:r>
            <w:r>
              <w:rPr>
                <w:rFonts w:hint="default" w:ascii="Times New Roman" w:hAnsi="Times New Roman" w:eastAsia="宋体" w:cs="Times New Roman"/>
                <w:color w:val="auto"/>
                <w:sz w:val="24"/>
                <w:szCs w:val="24"/>
                <w:u w:val="none" w:color="auto"/>
              </w:rPr>
              <w:t>无组织排放监控浓度限值。</w:t>
            </w:r>
          </w:p>
          <w:p w14:paraId="64FB6703">
            <w:pPr>
              <w:spacing w:line="360" w:lineRule="auto"/>
              <w:ind w:firstLine="480" w:firstLineChars="200"/>
              <w:rPr>
                <w:rFonts w:hint="default" w:ascii="Times New Roman" w:hAnsi="Times New Roman" w:eastAsia="宋体" w:cs="Times New Roman"/>
                <w:color w:val="auto"/>
                <w:sz w:val="24"/>
                <w:highlight w:val="none"/>
                <w:u w:val="none" w:color="auto"/>
              </w:rPr>
            </w:pPr>
            <w:r>
              <w:rPr>
                <w:rFonts w:hint="default" w:ascii="Times New Roman" w:hAnsi="Times New Roman" w:eastAsia="宋体" w:cs="Times New Roman"/>
                <w:color w:val="auto"/>
                <w:sz w:val="24"/>
                <w:highlight w:val="none"/>
                <w:u w:val="none" w:color="auto"/>
              </w:rPr>
              <w:t>（2）废水</w:t>
            </w:r>
          </w:p>
          <w:p w14:paraId="2A84BB12">
            <w:pPr>
              <w:pStyle w:val="30"/>
              <w:spacing w:after="0" w:line="360" w:lineRule="auto"/>
              <w:ind w:left="0" w:leftChars="0" w:firstLine="480" w:firstLineChars="200"/>
              <w:rPr>
                <w:rFonts w:hint="default" w:ascii="Times New Roman" w:hAnsi="Times New Roman" w:eastAsia="宋体" w:cs="Times New Roman"/>
                <w:b w:val="0"/>
                <w:bCs/>
                <w:color w:val="auto"/>
                <w:sz w:val="24"/>
                <w:u w:val="none" w:color="auto"/>
                <w:lang w:val="en-US" w:eastAsia="zh-CN"/>
              </w:rPr>
            </w:pPr>
            <w:r>
              <w:rPr>
                <w:rFonts w:hint="default" w:ascii="Times New Roman" w:hAnsi="Times New Roman" w:eastAsia="宋体" w:cs="Times New Roman"/>
                <w:color w:val="auto"/>
                <w:sz w:val="24"/>
                <w:szCs w:val="24"/>
                <w:highlight w:val="none"/>
                <w:u w:val="none" w:color="auto"/>
                <w:lang w:val="en-US" w:eastAsia="zh-CN"/>
              </w:rPr>
              <w:t>现有</w:t>
            </w:r>
            <w:r>
              <w:rPr>
                <w:rFonts w:hint="default" w:ascii="Times New Roman" w:hAnsi="Times New Roman" w:eastAsia="宋体" w:cs="Times New Roman"/>
                <w:b w:val="0"/>
                <w:bCs/>
                <w:color w:val="auto"/>
                <w:sz w:val="24"/>
                <w:u w:val="none" w:color="auto"/>
                <w:lang w:val="en-US" w:eastAsia="zh-CN"/>
              </w:rPr>
              <w:t>项目废水经预处理后通过企业总排口DW001排入市政污水管网，其总排口检测结果如下：</w:t>
            </w:r>
          </w:p>
          <w:p w14:paraId="350E6462">
            <w:pPr>
              <w:pStyle w:val="95"/>
              <w:keepNext w:val="0"/>
              <w:keepLines w:val="0"/>
              <w:pageBreakBefore w:val="0"/>
              <w:widowControl w:val="0"/>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b/>
                <w:color w:val="auto"/>
                <w:kern w:val="0"/>
                <w:sz w:val="21"/>
                <w:szCs w:val="21"/>
                <w:highlight w:val="none"/>
                <w:u w:val="none" w:color="auto"/>
              </w:rPr>
            </w:pPr>
            <w:r>
              <w:rPr>
                <w:rFonts w:hint="default" w:ascii="Times New Roman" w:hAnsi="Times New Roman" w:eastAsia="宋体" w:cs="Times New Roman"/>
                <w:b/>
                <w:color w:val="auto"/>
                <w:kern w:val="0"/>
                <w:sz w:val="21"/>
                <w:szCs w:val="21"/>
                <w:highlight w:val="none"/>
                <w:u w:val="none" w:color="auto"/>
              </w:rPr>
              <w:t>表2-</w:t>
            </w:r>
            <w:r>
              <w:rPr>
                <w:rFonts w:hint="default" w:ascii="Times New Roman" w:hAnsi="Times New Roman" w:eastAsia="宋体" w:cs="Times New Roman"/>
                <w:b/>
                <w:color w:val="auto"/>
                <w:kern w:val="0"/>
                <w:sz w:val="21"/>
                <w:szCs w:val="21"/>
                <w:highlight w:val="none"/>
                <w:u w:val="none" w:color="auto"/>
                <w:lang w:val="en-US" w:eastAsia="zh-CN"/>
              </w:rPr>
              <w:t xml:space="preserve">18 </w:t>
            </w:r>
            <w:r>
              <w:rPr>
                <w:rFonts w:hint="default" w:ascii="Times New Roman" w:hAnsi="Times New Roman" w:eastAsia="宋体" w:cs="Times New Roman"/>
                <w:b/>
                <w:color w:val="auto"/>
                <w:kern w:val="0"/>
                <w:sz w:val="21"/>
                <w:szCs w:val="21"/>
                <w:highlight w:val="none"/>
                <w:u w:val="none" w:color="auto"/>
              </w:rPr>
              <w:t xml:space="preserve"> </w:t>
            </w:r>
            <w:r>
              <w:rPr>
                <w:rFonts w:hint="default" w:ascii="Times New Roman" w:hAnsi="Times New Roman" w:eastAsia="宋体" w:cs="Times New Roman"/>
                <w:b/>
                <w:color w:val="auto"/>
                <w:kern w:val="0"/>
                <w:sz w:val="21"/>
                <w:szCs w:val="21"/>
                <w:highlight w:val="none"/>
                <w:u w:val="none" w:color="auto"/>
                <w:lang w:val="en-US" w:eastAsia="zh-CN"/>
              </w:rPr>
              <w:t>废水总排口DW001</w:t>
            </w:r>
            <w:r>
              <w:rPr>
                <w:rFonts w:hint="default" w:ascii="Times New Roman" w:hAnsi="Times New Roman" w:eastAsia="宋体" w:cs="Times New Roman"/>
                <w:b/>
                <w:color w:val="auto"/>
                <w:kern w:val="0"/>
                <w:sz w:val="21"/>
                <w:szCs w:val="21"/>
                <w:highlight w:val="none"/>
                <w:u w:val="none" w:color="auto"/>
              </w:rPr>
              <w:t>监测结果一览表</w:t>
            </w:r>
          </w:p>
          <w:tbl>
            <w:tblPr>
              <w:tblStyle w:val="32"/>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908"/>
              <w:gridCol w:w="824"/>
              <w:gridCol w:w="1315"/>
              <w:gridCol w:w="937"/>
              <w:gridCol w:w="937"/>
              <w:gridCol w:w="937"/>
              <w:gridCol w:w="944"/>
              <w:gridCol w:w="934"/>
              <w:gridCol w:w="732"/>
            </w:tblGrid>
            <w:tr w14:paraId="3A27E87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3" w:hRule="atLeast"/>
                <w:tblHeader/>
                <w:jc w:val="center"/>
              </w:trPr>
              <w:tc>
                <w:tcPr>
                  <w:tcW w:w="536" w:type="pct"/>
                  <w:vMerge w:val="restart"/>
                  <w:tcBorders>
                    <w:tl2br w:val="nil"/>
                    <w:tr2bl w:val="nil"/>
                  </w:tcBorders>
                  <w:noWrap w:val="0"/>
                  <w:vAlign w:val="center"/>
                </w:tcPr>
                <w:p w14:paraId="6BE40C43">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rPr>
                      <w:rFonts w:hint="default" w:ascii="Times New Roman" w:hAnsi="Times New Roman" w:eastAsia="宋体" w:cs="Times New Roman"/>
                      <w:b/>
                      <w:bCs/>
                      <w:color w:val="auto"/>
                      <w:kern w:val="2"/>
                      <w:sz w:val="21"/>
                      <w:szCs w:val="21"/>
                      <w:u w:val="none" w:color="auto"/>
                      <w:lang w:val="en-US" w:eastAsia="zh-CN" w:bidi="ar-SA"/>
                    </w:rPr>
                  </w:pPr>
                  <w:r>
                    <w:rPr>
                      <w:rFonts w:hint="default" w:ascii="Times New Roman" w:hAnsi="Times New Roman" w:eastAsia="宋体" w:cs="Times New Roman"/>
                      <w:b/>
                      <w:bCs/>
                      <w:color w:val="auto"/>
                      <w:sz w:val="21"/>
                      <w:szCs w:val="21"/>
                      <w:u w:val="none" w:color="auto"/>
                      <w:lang w:val="en-US" w:eastAsia="zh-CN"/>
                    </w:rPr>
                    <w:t>采样时间</w:t>
                  </w:r>
                </w:p>
              </w:tc>
              <w:tc>
                <w:tcPr>
                  <w:tcW w:w="486" w:type="pct"/>
                  <w:vMerge w:val="restart"/>
                  <w:tcBorders>
                    <w:tl2br w:val="nil"/>
                    <w:tr2bl w:val="nil"/>
                  </w:tcBorders>
                  <w:noWrap w:val="0"/>
                  <w:vAlign w:val="center"/>
                </w:tcPr>
                <w:p w14:paraId="15157944">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rPr>
                      <w:rFonts w:hint="default" w:ascii="Times New Roman" w:hAnsi="Times New Roman" w:eastAsia="宋体" w:cs="Times New Roman"/>
                      <w:b/>
                      <w:bCs/>
                      <w:color w:val="auto"/>
                      <w:kern w:val="2"/>
                      <w:sz w:val="21"/>
                      <w:szCs w:val="21"/>
                      <w:u w:val="none" w:color="auto"/>
                      <w:lang w:val="en-US" w:eastAsia="zh-CN" w:bidi="ar-SA"/>
                    </w:rPr>
                  </w:pPr>
                  <w:r>
                    <w:rPr>
                      <w:rFonts w:hint="default" w:ascii="Times New Roman" w:hAnsi="Times New Roman" w:eastAsia="宋体" w:cs="Times New Roman"/>
                      <w:b/>
                      <w:bCs/>
                      <w:color w:val="auto"/>
                      <w:sz w:val="21"/>
                      <w:szCs w:val="21"/>
                      <w:u w:val="none" w:color="auto"/>
                      <w:lang w:val="en-US" w:eastAsia="zh-CN"/>
                    </w:rPr>
                    <w:t>采样点位</w:t>
                  </w:r>
                </w:p>
              </w:tc>
              <w:tc>
                <w:tcPr>
                  <w:tcW w:w="776" w:type="pct"/>
                  <w:vMerge w:val="restart"/>
                  <w:tcBorders>
                    <w:tl2br w:val="nil"/>
                    <w:tr2bl w:val="nil"/>
                  </w:tcBorders>
                  <w:noWrap w:val="0"/>
                  <w:vAlign w:val="center"/>
                </w:tcPr>
                <w:p w14:paraId="1A272CFF">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rPr>
                      <w:rFonts w:hint="default" w:ascii="Times New Roman" w:hAnsi="Times New Roman" w:eastAsia="宋体" w:cs="Times New Roman"/>
                      <w:b/>
                      <w:bCs/>
                      <w:color w:val="auto"/>
                      <w:kern w:val="2"/>
                      <w:sz w:val="21"/>
                      <w:szCs w:val="21"/>
                      <w:u w:val="none" w:color="auto"/>
                      <w:lang w:val="en-US" w:eastAsia="zh-CN" w:bidi="ar-SA"/>
                    </w:rPr>
                  </w:pPr>
                  <w:r>
                    <w:rPr>
                      <w:rFonts w:hint="default" w:ascii="Times New Roman" w:hAnsi="Times New Roman" w:eastAsia="宋体" w:cs="Times New Roman"/>
                      <w:b/>
                      <w:bCs/>
                      <w:color w:val="auto"/>
                      <w:sz w:val="21"/>
                      <w:szCs w:val="21"/>
                      <w:u w:val="none" w:color="auto"/>
                      <w:lang w:val="en-US" w:eastAsia="zh-CN"/>
                    </w:rPr>
                    <w:t>检测项目</w:t>
                  </w:r>
                </w:p>
              </w:tc>
              <w:tc>
                <w:tcPr>
                  <w:tcW w:w="2216" w:type="pct"/>
                  <w:gridSpan w:val="4"/>
                  <w:tcBorders>
                    <w:tl2br w:val="nil"/>
                    <w:tr2bl w:val="nil"/>
                  </w:tcBorders>
                  <w:noWrap w:val="0"/>
                  <w:vAlign w:val="center"/>
                </w:tcPr>
                <w:p w14:paraId="4645711A">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rPr>
                      <w:rFonts w:hint="default" w:ascii="Times New Roman" w:hAnsi="Times New Roman" w:eastAsia="宋体" w:cs="Times New Roman"/>
                      <w:b/>
                      <w:bCs/>
                      <w:color w:val="auto"/>
                      <w:sz w:val="21"/>
                      <w:szCs w:val="21"/>
                      <w:u w:val="none" w:color="auto"/>
                      <w:lang w:val="en-US" w:eastAsia="zh-CN"/>
                    </w:rPr>
                  </w:pPr>
                  <w:r>
                    <w:rPr>
                      <w:rFonts w:hint="default" w:ascii="Times New Roman" w:hAnsi="Times New Roman" w:eastAsia="宋体" w:cs="Times New Roman"/>
                      <w:b/>
                      <w:bCs/>
                      <w:color w:val="auto"/>
                      <w:sz w:val="21"/>
                      <w:szCs w:val="21"/>
                      <w:u w:val="none" w:color="auto"/>
                      <w:lang w:val="en-US" w:eastAsia="zh-CN"/>
                    </w:rPr>
                    <w:t>检测结果</w:t>
                  </w:r>
                </w:p>
              </w:tc>
              <w:tc>
                <w:tcPr>
                  <w:tcW w:w="551" w:type="pct"/>
                  <w:vMerge w:val="restart"/>
                  <w:tcBorders>
                    <w:tl2br w:val="nil"/>
                    <w:tr2bl w:val="nil"/>
                  </w:tcBorders>
                  <w:noWrap w:val="0"/>
                  <w:vAlign w:val="center"/>
                </w:tcPr>
                <w:p w14:paraId="68241FE4">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rPr>
                      <w:rFonts w:hint="default" w:ascii="Times New Roman" w:hAnsi="Times New Roman" w:eastAsia="宋体" w:cs="Times New Roman"/>
                      <w:b/>
                      <w:bCs/>
                      <w:color w:val="auto"/>
                      <w:kern w:val="2"/>
                      <w:sz w:val="21"/>
                      <w:szCs w:val="21"/>
                      <w:u w:val="none" w:color="auto"/>
                      <w:lang w:val="en-US" w:eastAsia="zh-CN" w:bidi="ar-SA"/>
                    </w:rPr>
                  </w:pPr>
                  <w:r>
                    <w:rPr>
                      <w:rFonts w:hint="default" w:ascii="Times New Roman" w:hAnsi="Times New Roman" w:eastAsia="宋体" w:cs="Times New Roman"/>
                      <w:b/>
                      <w:bCs/>
                      <w:color w:val="auto"/>
                      <w:sz w:val="21"/>
                      <w:szCs w:val="21"/>
                      <w:u w:val="none" w:color="auto"/>
                      <w:lang w:val="en-US" w:eastAsia="zh-CN"/>
                    </w:rPr>
                    <w:t>参考限值</w:t>
                  </w:r>
                </w:p>
              </w:tc>
              <w:tc>
                <w:tcPr>
                  <w:tcW w:w="432" w:type="pct"/>
                  <w:vMerge w:val="restart"/>
                  <w:tcBorders>
                    <w:tl2br w:val="nil"/>
                    <w:tr2bl w:val="nil"/>
                  </w:tcBorders>
                  <w:noWrap w:val="0"/>
                  <w:vAlign w:val="center"/>
                </w:tcPr>
                <w:p w14:paraId="7D20E1C3">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rPr>
                      <w:rFonts w:hint="default" w:ascii="Times New Roman" w:hAnsi="Times New Roman" w:eastAsia="宋体" w:cs="Times New Roman"/>
                      <w:b/>
                      <w:bCs/>
                      <w:color w:val="auto"/>
                      <w:kern w:val="2"/>
                      <w:sz w:val="21"/>
                      <w:szCs w:val="21"/>
                      <w:u w:val="none" w:color="auto"/>
                      <w:lang w:val="en-US" w:eastAsia="zh-CN" w:bidi="ar-SA"/>
                    </w:rPr>
                  </w:pPr>
                  <w:r>
                    <w:rPr>
                      <w:rFonts w:hint="default" w:ascii="Times New Roman" w:hAnsi="Times New Roman" w:eastAsia="宋体" w:cs="Times New Roman"/>
                      <w:b/>
                      <w:bCs/>
                      <w:color w:val="auto"/>
                      <w:sz w:val="21"/>
                      <w:szCs w:val="21"/>
                      <w:u w:val="none" w:color="auto"/>
                      <w:lang w:val="en-US" w:eastAsia="zh-CN"/>
                    </w:rPr>
                    <w:t>单位</w:t>
                  </w:r>
                </w:p>
              </w:tc>
            </w:tr>
            <w:tr w14:paraId="42804D3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3" w:hRule="atLeast"/>
                <w:tblHeader/>
                <w:jc w:val="center"/>
              </w:trPr>
              <w:tc>
                <w:tcPr>
                  <w:tcW w:w="536" w:type="pct"/>
                  <w:vMerge w:val="continue"/>
                  <w:tcBorders>
                    <w:tl2br w:val="nil"/>
                    <w:tr2bl w:val="nil"/>
                  </w:tcBorders>
                  <w:noWrap w:val="0"/>
                  <w:vAlign w:val="center"/>
                </w:tcPr>
                <w:p w14:paraId="0D4EC3FC">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rPr>
                      <w:rFonts w:hint="default" w:ascii="Times New Roman" w:hAnsi="Times New Roman" w:eastAsia="宋体" w:cs="Times New Roman"/>
                      <w:color w:val="auto"/>
                      <w:sz w:val="21"/>
                      <w:szCs w:val="21"/>
                      <w:u w:val="none" w:color="auto"/>
                    </w:rPr>
                  </w:pPr>
                </w:p>
              </w:tc>
              <w:tc>
                <w:tcPr>
                  <w:tcW w:w="486" w:type="pct"/>
                  <w:vMerge w:val="continue"/>
                  <w:tcBorders>
                    <w:tl2br w:val="nil"/>
                    <w:tr2bl w:val="nil"/>
                  </w:tcBorders>
                  <w:noWrap w:val="0"/>
                  <w:vAlign w:val="center"/>
                </w:tcPr>
                <w:p w14:paraId="578381A0">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rPr>
                      <w:rFonts w:hint="default" w:ascii="Times New Roman" w:hAnsi="Times New Roman" w:eastAsia="宋体" w:cs="Times New Roman"/>
                      <w:color w:val="auto"/>
                      <w:sz w:val="21"/>
                      <w:szCs w:val="21"/>
                      <w:u w:val="none" w:color="auto"/>
                    </w:rPr>
                  </w:pPr>
                </w:p>
              </w:tc>
              <w:tc>
                <w:tcPr>
                  <w:tcW w:w="776" w:type="pct"/>
                  <w:vMerge w:val="continue"/>
                  <w:tcBorders>
                    <w:tl2br w:val="nil"/>
                    <w:tr2bl w:val="nil"/>
                  </w:tcBorders>
                  <w:noWrap w:val="0"/>
                  <w:vAlign w:val="center"/>
                </w:tcPr>
                <w:p w14:paraId="2E10A8ED">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rPr>
                      <w:rFonts w:hint="default" w:ascii="Times New Roman" w:hAnsi="Times New Roman" w:eastAsia="宋体" w:cs="Times New Roman"/>
                      <w:color w:val="auto"/>
                      <w:sz w:val="21"/>
                      <w:szCs w:val="21"/>
                      <w:u w:val="none" w:color="auto"/>
                    </w:rPr>
                  </w:pPr>
                </w:p>
              </w:tc>
              <w:tc>
                <w:tcPr>
                  <w:tcW w:w="553" w:type="pct"/>
                  <w:tcBorders>
                    <w:tl2br w:val="nil"/>
                    <w:tr2bl w:val="nil"/>
                  </w:tcBorders>
                  <w:noWrap w:val="0"/>
                  <w:vAlign w:val="center"/>
                </w:tcPr>
                <w:p w14:paraId="459B7E3F">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rPr>
                      <w:rFonts w:hint="default" w:ascii="Times New Roman" w:hAnsi="Times New Roman" w:eastAsia="宋体" w:cs="Times New Roman"/>
                      <w:b/>
                      <w:bCs/>
                      <w:color w:val="auto"/>
                      <w:sz w:val="21"/>
                      <w:szCs w:val="21"/>
                      <w:u w:val="none" w:color="auto"/>
                      <w:lang w:val="en-US" w:eastAsia="zh-CN"/>
                    </w:rPr>
                  </w:pPr>
                  <w:r>
                    <w:rPr>
                      <w:rFonts w:hint="default" w:ascii="Times New Roman" w:hAnsi="Times New Roman" w:eastAsia="宋体" w:cs="Times New Roman"/>
                      <w:b/>
                      <w:bCs/>
                      <w:color w:val="auto"/>
                      <w:sz w:val="21"/>
                      <w:szCs w:val="21"/>
                      <w:u w:val="none" w:color="auto"/>
                      <w:lang w:val="en-US" w:eastAsia="zh-CN"/>
                    </w:rPr>
                    <w:t>第一次</w:t>
                  </w:r>
                </w:p>
              </w:tc>
              <w:tc>
                <w:tcPr>
                  <w:tcW w:w="553" w:type="pct"/>
                  <w:tcBorders>
                    <w:tl2br w:val="nil"/>
                    <w:tr2bl w:val="nil"/>
                  </w:tcBorders>
                  <w:noWrap w:val="0"/>
                  <w:vAlign w:val="center"/>
                </w:tcPr>
                <w:p w14:paraId="2D2DA864">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rPr>
                      <w:rFonts w:hint="default" w:ascii="Times New Roman" w:hAnsi="Times New Roman" w:eastAsia="宋体" w:cs="Times New Roman"/>
                      <w:b/>
                      <w:bCs/>
                      <w:color w:val="auto"/>
                      <w:sz w:val="21"/>
                      <w:szCs w:val="21"/>
                      <w:u w:val="none" w:color="auto"/>
                      <w:lang w:val="en-US" w:eastAsia="zh-CN"/>
                    </w:rPr>
                  </w:pPr>
                  <w:r>
                    <w:rPr>
                      <w:rFonts w:hint="default" w:ascii="Times New Roman" w:hAnsi="Times New Roman" w:eastAsia="宋体" w:cs="Times New Roman"/>
                      <w:b/>
                      <w:bCs/>
                      <w:color w:val="auto"/>
                      <w:sz w:val="21"/>
                      <w:szCs w:val="21"/>
                      <w:u w:val="none" w:color="auto"/>
                      <w:lang w:val="en-US" w:eastAsia="zh-CN"/>
                    </w:rPr>
                    <w:t>第二次</w:t>
                  </w:r>
                </w:p>
              </w:tc>
              <w:tc>
                <w:tcPr>
                  <w:tcW w:w="553" w:type="pct"/>
                  <w:tcBorders>
                    <w:tl2br w:val="nil"/>
                    <w:tr2bl w:val="nil"/>
                  </w:tcBorders>
                  <w:noWrap w:val="0"/>
                  <w:vAlign w:val="center"/>
                </w:tcPr>
                <w:p w14:paraId="5C8C3E10">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rPr>
                      <w:rFonts w:hint="default" w:ascii="Times New Roman" w:hAnsi="Times New Roman" w:eastAsia="宋体" w:cs="Times New Roman"/>
                      <w:b/>
                      <w:bCs/>
                      <w:color w:val="auto"/>
                      <w:sz w:val="21"/>
                      <w:szCs w:val="21"/>
                      <w:u w:val="none" w:color="auto"/>
                      <w:lang w:val="en-US" w:eastAsia="zh-CN"/>
                    </w:rPr>
                  </w:pPr>
                  <w:r>
                    <w:rPr>
                      <w:rFonts w:hint="default" w:ascii="Times New Roman" w:hAnsi="Times New Roman" w:eastAsia="宋体" w:cs="Times New Roman"/>
                      <w:b/>
                      <w:bCs/>
                      <w:color w:val="auto"/>
                      <w:sz w:val="21"/>
                      <w:szCs w:val="21"/>
                      <w:u w:val="none" w:color="auto"/>
                      <w:lang w:val="en-US" w:eastAsia="zh-CN"/>
                    </w:rPr>
                    <w:t>第三次</w:t>
                  </w:r>
                </w:p>
              </w:tc>
              <w:tc>
                <w:tcPr>
                  <w:tcW w:w="555" w:type="pct"/>
                  <w:tcBorders>
                    <w:tl2br w:val="nil"/>
                    <w:tr2bl w:val="nil"/>
                  </w:tcBorders>
                  <w:noWrap w:val="0"/>
                  <w:vAlign w:val="center"/>
                </w:tcPr>
                <w:p w14:paraId="053EBB60">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rPr>
                      <w:rFonts w:hint="default" w:ascii="Times New Roman" w:hAnsi="Times New Roman" w:eastAsia="宋体" w:cs="Times New Roman"/>
                      <w:b/>
                      <w:bCs/>
                      <w:color w:val="auto"/>
                      <w:sz w:val="21"/>
                      <w:szCs w:val="21"/>
                      <w:u w:val="none" w:color="auto"/>
                      <w:lang w:val="en-US" w:eastAsia="zh-CN"/>
                    </w:rPr>
                  </w:pPr>
                  <w:r>
                    <w:rPr>
                      <w:rFonts w:hint="default" w:ascii="Times New Roman" w:hAnsi="Times New Roman" w:eastAsia="宋体" w:cs="Times New Roman"/>
                      <w:b/>
                      <w:bCs/>
                      <w:color w:val="auto"/>
                      <w:sz w:val="21"/>
                      <w:szCs w:val="21"/>
                      <w:u w:val="none" w:color="auto"/>
                      <w:lang w:val="en-US" w:eastAsia="zh-CN"/>
                    </w:rPr>
                    <w:t>第四次</w:t>
                  </w:r>
                </w:p>
              </w:tc>
              <w:tc>
                <w:tcPr>
                  <w:tcW w:w="551" w:type="pct"/>
                  <w:vMerge w:val="continue"/>
                  <w:tcBorders>
                    <w:tl2br w:val="nil"/>
                    <w:tr2bl w:val="nil"/>
                  </w:tcBorders>
                  <w:noWrap w:val="0"/>
                  <w:vAlign w:val="center"/>
                </w:tcPr>
                <w:p w14:paraId="30BB0B22">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rPr>
                      <w:rFonts w:hint="default" w:ascii="Times New Roman" w:hAnsi="Times New Roman" w:eastAsia="宋体" w:cs="Times New Roman"/>
                      <w:color w:val="auto"/>
                      <w:sz w:val="21"/>
                      <w:szCs w:val="21"/>
                      <w:u w:val="none" w:color="auto"/>
                      <w:lang w:val="en-US" w:eastAsia="zh-CN"/>
                    </w:rPr>
                  </w:pPr>
                </w:p>
              </w:tc>
              <w:tc>
                <w:tcPr>
                  <w:tcW w:w="432" w:type="pct"/>
                  <w:vMerge w:val="continue"/>
                  <w:tcBorders>
                    <w:tl2br w:val="nil"/>
                    <w:tr2bl w:val="nil"/>
                  </w:tcBorders>
                  <w:noWrap w:val="0"/>
                  <w:vAlign w:val="center"/>
                </w:tcPr>
                <w:p w14:paraId="3B6CC3CF">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rPr>
                      <w:rFonts w:hint="default" w:ascii="Times New Roman" w:hAnsi="Times New Roman" w:eastAsia="宋体" w:cs="Times New Roman"/>
                      <w:color w:val="auto"/>
                      <w:sz w:val="21"/>
                      <w:szCs w:val="21"/>
                      <w:u w:val="none" w:color="auto"/>
                      <w:lang w:val="en-US" w:eastAsia="zh-CN"/>
                    </w:rPr>
                  </w:pPr>
                </w:p>
              </w:tc>
            </w:tr>
            <w:tr w14:paraId="1C3A494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536" w:type="pct"/>
                  <w:vMerge w:val="restart"/>
                  <w:tcBorders>
                    <w:tl2br w:val="nil"/>
                    <w:tr2bl w:val="nil"/>
                  </w:tcBorders>
                  <w:noWrap w:val="0"/>
                  <w:vAlign w:val="center"/>
                </w:tcPr>
                <w:p w14:paraId="53EE5E50">
                  <w:pPr>
                    <w:pStyle w:val="2"/>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5月30日</w:t>
                  </w:r>
                </w:p>
              </w:tc>
              <w:tc>
                <w:tcPr>
                  <w:tcW w:w="486" w:type="pct"/>
                  <w:vMerge w:val="restart"/>
                  <w:tcBorders>
                    <w:tl2br w:val="nil"/>
                    <w:tr2bl w:val="nil"/>
                  </w:tcBorders>
                  <w:noWrap w:val="0"/>
                  <w:vAlign w:val="center"/>
                </w:tcPr>
                <w:p w14:paraId="13B92E37">
                  <w:pPr>
                    <w:pStyle w:val="2"/>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yellow"/>
                      <w:u w:val="none" w:color="auto"/>
                      <w:lang w:val="en-US" w:eastAsia="zh-CN" w:bidi="ar-SA"/>
                    </w:rPr>
                  </w:pPr>
                  <w:r>
                    <w:rPr>
                      <w:rFonts w:hint="default" w:ascii="Times New Roman" w:hAnsi="Times New Roman" w:eastAsia="宋体" w:cs="Times New Roman"/>
                      <w:color w:val="auto"/>
                      <w:sz w:val="21"/>
                      <w:szCs w:val="21"/>
                      <w:highlight w:val="none"/>
                      <w:u w:val="none" w:color="auto"/>
                      <w:lang w:val="en-US" w:eastAsia="zh-CN"/>
                    </w:rPr>
                    <w:t>厂区废水总排（DW001）</w:t>
                  </w:r>
                </w:p>
              </w:tc>
              <w:tc>
                <w:tcPr>
                  <w:tcW w:w="776" w:type="pct"/>
                  <w:tcBorders>
                    <w:tl2br w:val="nil"/>
                    <w:tr2bl w:val="nil"/>
                  </w:tcBorders>
                  <w:noWrap w:val="0"/>
                  <w:vAlign w:val="center"/>
                </w:tcPr>
                <w:p w14:paraId="4899CA1D">
                  <w:pPr>
                    <w:keepNext w:val="0"/>
                    <w:keepLines w:val="0"/>
                    <w:pageBreakBefore w:val="0"/>
                    <w:widowControl/>
                    <w:suppressLineNumbers w:val="0"/>
                    <w:kinsoku/>
                    <w:wordWrap/>
                    <w:overflowPunct/>
                    <w:topLinePunct w:val="0"/>
                    <w:autoSpaceDE/>
                    <w:autoSpaceDN/>
                    <w:bidi w:val="0"/>
                    <w:adjustRightInd/>
                    <w:snapToGrid/>
                    <w:spacing w:after="0" w:line="240" w:lineRule="auto"/>
                    <w:ind w:left="0" w:leftChars="0" w:right="0" w:rightChars="0" w:firstLine="0" w:firstLineChars="0"/>
                    <w:jc w:val="center"/>
                    <w:textAlignment w:val="center"/>
                    <w:outlineLvl w:val="9"/>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lang w:val="en-US" w:eastAsia="zh-CN"/>
                    </w:rPr>
                    <w:t>pH值</w:t>
                  </w:r>
                </w:p>
              </w:tc>
              <w:tc>
                <w:tcPr>
                  <w:tcW w:w="553" w:type="pct"/>
                  <w:tcBorders>
                    <w:tl2br w:val="nil"/>
                    <w:tr2bl w:val="nil"/>
                  </w:tcBorders>
                  <w:noWrap w:val="0"/>
                  <w:vAlign w:val="center"/>
                </w:tcPr>
                <w:p w14:paraId="1571E37B">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6.9</w:t>
                  </w:r>
                </w:p>
              </w:tc>
              <w:tc>
                <w:tcPr>
                  <w:tcW w:w="553" w:type="pct"/>
                  <w:tcBorders>
                    <w:tl2br w:val="nil"/>
                    <w:tr2bl w:val="nil"/>
                  </w:tcBorders>
                  <w:noWrap w:val="0"/>
                  <w:vAlign w:val="center"/>
                </w:tcPr>
                <w:p w14:paraId="73794DE7">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6.8</w:t>
                  </w:r>
                </w:p>
              </w:tc>
              <w:tc>
                <w:tcPr>
                  <w:tcW w:w="553" w:type="pct"/>
                  <w:tcBorders>
                    <w:tl2br w:val="nil"/>
                    <w:tr2bl w:val="nil"/>
                  </w:tcBorders>
                  <w:noWrap w:val="0"/>
                  <w:vAlign w:val="center"/>
                </w:tcPr>
                <w:p w14:paraId="73DCC112">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6.8</w:t>
                  </w:r>
                </w:p>
              </w:tc>
              <w:tc>
                <w:tcPr>
                  <w:tcW w:w="555" w:type="pct"/>
                  <w:tcBorders>
                    <w:tl2br w:val="nil"/>
                    <w:tr2bl w:val="nil"/>
                  </w:tcBorders>
                  <w:noWrap w:val="0"/>
                  <w:vAlign w:val="center"/>
                </w:tcPr>
                <w:p w14:paraId="3B288149">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6.7</w:t>
                  </w:r>
                </w:p>
              </w:tc>
              <w:tc>
                <w:tcPr>
                  <w:tcW w:w="551" w:type="pct"/>
                  <w:tcBorders>
                    <w:tl2br w:val="nil"/>
                    <w:tr2bl w:val="nil"/>
                  </w:tcBorders>
                  <w:noWrap w:val="0"/>
                  <w:vAlign w:val="center"/>
                </w:tcPr>
                <w:p w14:paraId="017C85FA">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6-9</w:t>
                  </w:r>
                </w:p>
              </w:tc>
              <w:tc>
                <w:tcPr>
                  <w:tcW w:w="432" w:type="pct"/>
                  <w:tcBorders>
                    <w:tl2br w:val="nil"/>
                    <w:tr2bl w:val="nil"/>
                  </w:tcBorders>
                  <w:noWrap w:val="0"/>
                  <w:vAlign w:val="center"/>
                </w:tcPr>
                <w:p w14:paraId="555E387A">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lang w:val="en-US" w:eastAsia="zh-CN"/>
                    </w:rPr>
                    <w:t>无量纲</w:t>
                  </w:r>
                </w:p>
              </w:tc>
            </w:tr>
            <w:tr w14:paraId="4CA85F5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536" w:type="pct"/>
                  <w:vMerge w:val="continue"/>
                  <w:tcBorders>
                    <w:tl2br w:val="nil"/>
                    <w:tr2bl w:val="nil"/>
                  </w:tcBorders>
                  <w:noWrap w:val="0"/>
                  <w:vAlign w:val="center"/>
                </w:tcPr>
                <w:p w14:paraId="1CF7C8D2">
                  <w:pPr>
                    <w:pStyle w:val="2"/>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rPr>
                      <w:rFonts w:hint="default" w:ascii="Times New Roman" w:hAnsi="Times New Roman" w:eastAsia="宋体" w:cs="Times New Roman"/>
                      <w:color w:val="auto"/>
                      <w:sz w:val="21"/>
                      <w:szCs w:val="21"/>
                      <w:highlight w:val="none"/>
                      <w:u w:val="none" w:color="auto"/>
                      <w:lang w:val="en-US" w:eastAsia="zh-CN"/>
                    </w:rPr>
                  </w:pPr>
                </w:p>
              </w:tc>
              <w:tc>
                <w:tcPr>
                  <w:tcW w:w="486" w:type="pct"/>
                  <w:vMerge w:val="continue"/>
                  <w:tcBorders>
                    <w:tl2br w:val="nil"/>
                    <w:tr2bl w:val="nil"/>
                  </w:tcBorders>
                  <w:noWrap w:val="0"/>
                  <w:vAlign w:val="center"/>
                </w:tcPr>
                <w:p w14:paraId="632E1193">
                  <w:pPr>
                    <w:pStyle w:val="2"/>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rPr>
                      <w:rFonts w:hint="default" w:ascii="Times New Roman" w:hAnsi="Times New Roman" w:eastAsia="宋体" w:cs="Times New Roman"/>
                      <w:color w:val="auto"/>
                      <w:sz w:val="21"/>
                      <w:szCs w:val="21"/>
                      <w:highlight w:val="yellow"/>
                      <w:u w:val="none" w:color="auto"/>
                      <w:lang w:val="en-US" w:eastAsia="zh-CN"/>
                    </w:rPr>
                  </w:pPr>
                </w:p>
              </w:tc>
              <w:tc>
                <w:tcPr>
                  <w:tcW w:w="776" w:type="pct"/>
                  <w:tcBorders>
                    <w:tl2br w:val="nil"/>
                    <w:tr2bl w:val="nil"/>
                  </w:tcBorders>
                  <w:noWrap w:val="0"/>
                  <w:vAlign w:val="center"/>
                </w:tcPr>
                <w:p w14:paraId="20B5D4E5">
                  <w:pPr>
                    <w:keepNext w:val="0"/>
                    <w:keepLines w:val="0"/>
                    <w:pageBreakBefore w:val="0"/>
                    <w:widowControl/>
                    <w:kinsoku/>
                    <w:wordWrap/>
                    <w:overflowPunct/>
                    <w:topLinePunct w:val="0"/>
                    <w:autoSpaceDE/>
                    <w:autoSpaceDN/>
                    <w:bidi w:val="0"/>
                    <w:adjustRightInd/>
                    <w:snapToGrid/>
                    <w:spacing w:after="0" w:line="240" w:lineRule="auto"/>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u w:val="none" w:color="auto"/>
                    </w:rPr>
                    <w:t>温度</w:t>
                  </w:r>
                </w:p>
              </w:tc>
              <w:tc>
                <w:tcPr>
                  <w:tcW w:w="553" w:type="pct"/>
                  <w:tcBorders>
                    <w:tl2br w:val="nil"/>
                    <w:tr2bl w:val="nil"/>
                  </w:tcBorders>
                  <w:noWrap w:val="0"/>
                  <w:vAlign w:val="center"/>
                </w:tcPr>
                <w:p w14:paraId="6BE151DA">
                  <w:pPr>
                    <w:keepNext w:val="0"/>
                    <w:keepLines w:val="0"/>
                    <w:pageBreakBefore w:val="0"/>
                    <w:widowControl/>
                    <w:kinsoku/>
                    <w:wordWrap/>
                    <w:overflowPunct/>
                    <w:topLinePunct w:val="0"/>
                    <w:autoSpaceDE/>
                    <w:autoSpaceDN/>
                    <w:bidi w:val="0"/>
                    <w:adjustRightInd/>
                    <w:snapToGrid/>
                    <w:spacing w:after="0" w:line="240" w:lineRule="auto"/>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15.0</w:t>
                  </w:r>
                </w:p>
              </w:tc>
              <w:tc>
                <w:tcPr>
                  <w:tcW w:w="553" w:type="pct"/>
                  <w:tcBorders>
                    <w:tl2br w:val="nil"/>
                    <w:tr2bl w:val="nil"/>
                  </w:tcBorders>
                  <w:noWrap w:val="0"/>
                  <w:vAlign w:val="center"/>
                </w:tcPr>
                <w:p w14:paraId="76E49956">
                  <w:pPr>
                    <w:keepNext w:val="0"/>
                    <w:keepLines w:val="0"/>
                    <w:pageBreakBefore w:val="0"/>
                    <w:widowControl/>
                    <w:kinsoku/>
                    <w:wordWrap/>
                    <w:overflowPunct/>
                    <w:topLinePunct w:val="0"/>
                    <w:autoSpaceDE/>
                    <w:autoSpaceDN/>
                    <w:bidi w:val="0"/>
                    <w:adjustRightInd/>
                    <w:snapToGrid/>
                    <w:spacing w:after="0" w:line="240" w:lineRule="auto"/>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15.8</w:t>
                  </w:r>
                </w:p>
              </w:tc>
              <w:tc>
                <w:tcPr>
                  <w:tcW w:w="553" w:type="pct"/>
                  <w:tcBorders>
                    <w:tl2br w:val="nil"/>
                    <w:tr2bl w:val="nil"/>
                  </w:tcBorders>
                  <w:noWrap w:val="0"/>
                  <w:vAlign w:val="center"/>
                </w:tcPr>
                <w:p w14:paraId="48C15789">
                  <w:pPr>
                    <w:keepNext w:val="0"/>
                    <w:keepLines w:val="0"/>
                    <w:pageBreakBefore w:val="0"/>
                    <w:widowControl/>
                    <w:kinsoku/>
                    <w:wordWrap/>
                    <w:overflowPunct/>
                    <w:topLinePunct w:val="0"/>
                    <w:autoSpaceDE/>
                    <w:autoSpaceDN/>
                    <w:bidi w:val="0"/>
                    <w:adjustRightInd/>
                    <w:snapToGrid/>
                    <w:spacing w:after="0" w:line="240" w:lineRule="auto"/>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15.1</w:t>
                  </w:r>
                </w:p>
              </w:tc>
              <w:tc>
                <w:tcPr>
                  <w:tcW w:w="555" w:type="pct"/>
                  <w:tcBorders>
                    <w:tl2br w:val="nil"/>
                    <w:tr2bl w:val="nil"/>
                  </w:tcBorders>
                  <w:noWrap w:val="0"/>
                  <w:vAlign w:val="center"/>
                </w:tcPr>
                <w:p w14:paraId="5615699A">
                  <w:pPr>
                    <w:keepNext w:val="0"/>
                    <w:keepLines w:val="0"/>
                    <w:pageBreakBefore w:val="0"/>
                    <w:widowControl/>
                    <w:kinsoku/>
                    <w:wordWrap/>
                    <w:overflowPunct/>
                    <w:topLinePunct w:val="0"/>
                    <w:autoSpaceDE/>
                    <w:autoSpaceDN/>
                    <w:bidi w:val="0"/>
                    <w:adjustRightInd/>
                    <w:snapToGrid/>
                    <w:spacing w:after="0" w:line="240" w:lineRule="auto"/>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14.8</w:t>
                  </w:r>
                </w:p>
              </w:tc>
              <w:tc>
                <w:tcPr>
                  <w:tcW w:w="551" w:type="pct"/>
                  <w:tcBorders>
                    <w:tl2br w:val="nil"/>
                    <w:tr2bl w:val="nil"/>
                  </w:tcBorders>
                  <w:noWrap w:val="0"/>
                  <w:vAlign w:val="center"/>
                </w:tcPr>
                <w:p w14:paraId="3730B50A">
                  <w:pPr>
                    <w:keepNext w:val="0"/>
                    <w:keepLines w:val="0"/>
                    <w:pageBreakBefore w:val="0"/>
                    <w:widowControl/>
                    <w:kinsoku/>
                    <w:wordWrap/>
                    <w:overflowPunct/>
                    <w:topLinePunct w:val="0"/>
                    <w:autoSpaceDE/>
                    <w:autoSpaceDN/>
                    <w:bidi w:val="0"/>
                    <w:adjustRightInd/>
                    <w:snapToGrid/>
                    <w:spacing w:after="0" w:line="240" w:lineRule="auto"/>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u w:val="none" w:color="auto"/>
                    </w:rPr>
                    <w:t>/</w:t>
                  </w:r>
                </w:p>
              </w:tc>
              <w:tc>
                <w:tcPr>
                  <w:tcW w:w="432" w:type="pct"/>
                  <w:tcBorders>
                    <w:tl2br w:val="nil"/>
                    <w:tr2bl w:val="nil"/>
                  </w:tcBorders>
                  <w:noWrap w:val="0"/>
                  <w:vAlign w:val="center"/>
                </w:tcPr>
                <w:p w14:paraId="6285E06F">
                  <w:pPr>
                    <w:keepNext w:val="0"/>
                    <w:keepLines w:val="0"/>
                    <w:pageBreakBefore w:val="0"/>
                    <w:widowControl/>
                    <w:kinsoku/>
                    <w:wordWrap/>
                    <w:overflowPunct/>
                    <w:topLinePunct w:val="0"/>
                    <w:autoSpaceDE/>
                    <w:autoSpaceDN/>
                    <w:bidi w:val="0"/>
                    <w:adjustRightInd/>
                    <w:snapToGrid/>
                    <w:spacing w:after="0" w:line="240" w:lineRule="auto"/>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u w:val="none" w:color="auto"/>
                    </w:rPr>
                    <w:t>℃</w:t>
                  </w:r>
                </w:p>
              </w:tc>
            </w:tr>
            <w:tr w14:paraId="764C473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536" w:type="pct"/>
                  <w:vMerge w:val="continue"/>
                  <w:tcBorders>
                    <w:tl2br w:val="nil"/>
                    <w:tr2bl w:val="nil"/>
                  </w:tcBorders>
                  <w:noWrap w:val="0"/>
                  <w:vAlign w:val="center"/>
                </w:tcPr>
                <w:p w14:paraId="2D0B996B">
                  <w:pPr>
                    <w:pStyle w:val="2"/>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rPr>
                      <w:rFonts w:hint="default" w:ascii="Times New Roman" w:hAnsi="Times New Roman" w:eastAsia="宋体" w:cs="Times New Roman"/>
                      <w:color w:val="auto"/>
                      <w:sz w:val="21"/>
                      <w:szCs w:val="21"/>
                      <w:highlight w:val="none"/>
                      <w:u w:val="none" w:color="auto"/>
                      <w:lang w:val="en-US" w:eastAsia="zh-CN"/>
                    </w:rPr>
                  </w:pPr>
                </w:p>
              </w:tc>
              <w:tc>
                <w:tcPr>
                  <w:tcW w:w="486" w:type="pct"/>
                  <w:vMerge w:val="continue"/>
                  <w:tcBorders>
                    <w:tl2br w:val="nil"/>
                    <w:tr2bl w:val="nil"/>
                  </w:tcBorders>
                  <w:noWrap w:val="0"/>
                  <w:vAlign w:val="center"/>
                </w:tcPr>
                <w:p w14:paraId="6C23C78A">
                  <w:pPr>
                    <w:pStyle w:val="2"/>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rPr>
                      <w:rFonts w:hint="default" w:ascii="Times New Roman" w:hAnsi="Times New Roman" w:eastAsia="宋体" w:cs="Times New Roman"/>
                      <w:color w:val="auto"/>
                      <w:sz w:val="21"/>
                      <w:szCs w:val="21"/>
                      <w:highlight w:val="yellow"/>
                      <w:u w:val="none" w:color="auto"/>
                      <w:lang w:val="en-US" w:eastAsia="zh-CN"/>
                    </w:rPr>
                  </w:pPr>
                </w:p>
              </w:tc>
              <w:tc>
                <w:tcPr>
                  <w:tcW w:w="776" w:type="pct"/>
                  <w:tcBorders>
                    <w:tl2br w:val="nil"/>
                    <w:tr2bl w:val="nil"/>
                  </w:tcBorders>
                  <w:noWrap w:val="0"/>
                  <w:vAlign w:val="center"/>
                </w:tcPr>
                <w:p w14:paraId="3940C956">
                  <w:pPr>
                    <w:keepNext w:val="0"/>
                    <w:keepLines w:val="0"/>
                    <w:pageBreakBefore w:val="0"/>
                    <w:widowControl/>
                    <w:kinsoku/>
                    <w:wordWrap/>
                    <w:overflowPunct/>
                    <w:topLinePunct w:val="0"/>
                    <w:autoSpaceDE/>
                    <w:autoSpaceDN/>
                    <w:bidi w:val="0"/>
                    <w:adjustRightInd/>
                    <w:snapToGrid/>
                    <w:spacing w:after="0" w:line="240" w:lineRule="auto"/>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u w:val="none" w:color="auto"/>
                    </w:rPr>
                    <w:t>流量</w:t>
                  </w:r>
                </w:p>
              </w:tc>
              <w:tc>
                <w:tcPr>
                  <w:tcW w:w="553" w:type="pct"/>
                  <w:tcBorders>
                    <w:tl2br w:val="nil"/>
                    <w:tr2bl w:val="nil"/>
                  </w:tcBorders>
                  <w:noWrap w:val="0"/>
                  <w:vAlign w:val="center"/>
                </w:tcPr>
                <w:p w14:paraId="2C025B76">
                  <w:pPr>
                    <w:keepNext w:val="0"/>
                    <w:keepLines w:val="0"/>
                    <w:pageBreakBefore w:val="0"/>
                    <w:widowControl/>
                    <w:kinsoku/>
                    <w:wordWrap/>
                    <w:overflowPunct/>
                    <w:topLinePunct w:val="0"/>
                    <w:autoSpaceDE/>
                    <w:autoSpaceDN/>
                    <w:bidi w:val="0"/>
                    <w:adjustRightInd/>
                    <w:snapToGrid/>
                    <w:spacing w:after="0" w:line="240" w:lineRule="auto"/>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3.5</w:t>
                  </w:r>
                </w:p>
              </w:tc>
              <w:tc>
                <w:tcPr>
                  <w:tcW w:w="553" w:type="pct"/>
                  <w:tcBorders>
                    <w:tl2br w:val="nil"/>
                    <w:tr2bl w:val="nil"/>
                  </w:tcBorders>
                  <w:noWrap w:val="0"/>
                  <w:vAlign w:val="center"/>
                </w:tcPr>
                <w:p w14:paraId="5694E8D5">
                  <w:pPr>
                    <w:keepNext w:val="0"/>
                    <w:keepLines w:val="0"/>
                    <w:pageBreakBefore w:val="0"/>
                    <w:widowControl/>
                    <w:kinsoku/>
                    <w:wordWrap/>
                    <w:overflowPunct/>
                    <w:topLinePunct w:val="0"/>
                    <w:autoSpaceDE/>
                    <w:autoSpaceDN/>
                    <w:bidi w:val="0"/>
                    <w:adjustRightInd/>
                    <w:snapToGrid/>
                    <w:spacing w:after="0" w:line="240" w:lineRule="auto"/>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4.0</w:t>
                  </w:r>
                </w:p>
              </w:tc>
              <w:tc>
                <w:tcPr>
                  <w:tcW w:w="553" w:type="pct"/>
                  <w:tcBorders>
                    <w:tl2br w:val="nil"/>
                    <w:tr2bl w:val="nil"/>
                  </w:tcBorders>
                  <w:noWrap w:val="0"/>
                  <w:vAlign w:val="center"/>
                </w:tcPr>
                <w:p w14:paraId="07B0BA69">
                  <w:pPr>
                    <w:keepNext w:val="0"/>
                    <w:keepLines w:val="0"/>
                    <w:pageBreakBefore w:val="0"/>
                    <w:widowControl/>
                    <w:kinsoku/>
                    <w:wordWrap/>
                    <w:overflowPunct/>
                    <w:topLinePunct w:val="0"/>
                    <w:autoSpaceDE/>
                    <w:autoSpaceDN/>
                    <w:bidi w:val="0"/>
                    <w:adjustRightInd/>
                    <w:snapToGrid/>
                    <w:spacing w:after="0" w:line="240" w:lineRule="auto"/>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3.9</w:t>
                  </w:r>
                </w:p>
              </w:tc>
              <w:tc>
                <w:tcPr>
                  <w:tcW w:w="555" w:type="pct"/>
                  <w:tcBorders>
                    <w:tl2br w:val="nil"/>
                    <w:tr2bl w:val="nil"/>
                  </w:tcBorders>
                  <w:noWrap w:val="0"/>
                  <w:vAlign w:val="center"/>
                </w:tcPr>
                <w:p w14:paraId="7DFF56CD">
                  <w:pPr>
                    <w:keepNext w:val="0"/>
                    <w:keepLines w:val="0"/>
                    <w:pageBreakBefore w:val="0"/>
                    <w:widowControl/>
                    <w:kinsoku/>
                    <w:wordWrap/>
                    <w:overflowPunct/>
                    <w:topLinePunct w:val="0"/>
                    <w:autoSpaceDE/>
                    <w:autoSpaceDN/>
                    <w:bidi w:val="0"/>
                    <w:adjustRightInd/>
                    <w:snapToGrid/>
                    <w:spacing w:after="0" w:line="240" w:lineRule="auto"/>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4.2</w:t>
                  </w:r>
                </w:p>
              </w:tc>
              <w:tc>
                <w:tcPr>
                  <w:tcW w:w="551" w:type="pct"/>
                  <w:tcBorders>
                    <w:tl2br w:val="nil"/>
                    <w:tr2bl w:val="nil"/>
                  </w:tcBorders>
                  <w:noWrap w:val="0"/>
                  <w:vAlign w:val="center"/>
                </w:tcPr>
                <w:p w14:paraId="272AC3FB">
                  <w:pPr>
                    <w:keepNext w:val="0"/>
                    <w:keepLines w:val="0"/>
                    <w:pageBreakBefore w:val="0"/>
                    <w:widowControl/>
                    <w:kinsoku/>
                    <w:wordWrap/>
                    <w:overflowPunct/>
                    <w:topLinePunct w:val="0"/>
                    <w:autoSpaceDE/>
                    <w:autoSpaceDN/>
                    <w:bidi w:val="0"/>
                    <w:adjustRightInd/>
                    <w:snapToGrid/>
                    <w:spacing w:after="0" w:line="240" w:lineRule="auto"/>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u w:val="none" w:color="auto"/>
                    </w:rPr>
                    <w:t>/</w:t>
                  </w:r>
                </w:p>
              </w:tc>
              <w:tc>
                <w:tcPr>
                  <w:tcW w:w="432" w:type="pct"/>
                  <w:tcBorders>
                    <w:tl2br w:val="nil"/>
                    <w:tr2bl w:val="nil"/>
                  </w:tcBorders>
                  <w:noWrap w:val="0"/>
                  <w:vAlign w:val="center"/>
                </w:tcPr>
                <w:p w14:paraId="4B522D92">
                  <w:pPr>
                    <w:keepNext w:val="0"/>
                    <w:keepLines w:val="0"/>
                    <w:pageBreakBefore w:val="0"/>
                    <w:widowControl/>
                    <w:kinsoku/>
                    <w:wordWrap/>
                    <w:overflowPunct/>
                    <w:topLinePunct w:val="0"/>
                    <w:autoSpaceDE/>
                    <w:autoSpaceDN/>
                    <w:bidi w:val="0"/>
                    <w:adjustRightInd/>
                    <w:snapToGrid/>
                    <w:spacing w:after="0" w:line="240" w:lineRule="auto"/>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L</w:t>
                  </w:r>
                  <w:r>
                    <w:rPr>
                      <w:rFonts w:hint="default" w:ascii="Times New Roman" w:hAnsi="Times New Roman" w:eastAsia="宋体" w:cs="Times New Roman"/>
                      <w:color w:val="auto"/>
                      <w:sz w:val="21"/>
                      <w:szCs w:val="21"/>
                      <w:u w:val="none" w:color="auto"/>
                    </w:rPr>
                    <w:t>/s</w:t>
                  </w:r>
                </w:p>
              </w:tc>
            </w:tr>
            <w:tr w14:paraId="755EA98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536" w:type="pct"/>
                  <w:vMerge w:val="continue"/>
                  <w:tcBorders>
                    <w:tl2br w:val="nil"/>
                    <w:tr2bl w:val="nil"/>
                  </w:tcBorders>
                  <w:noWrap w:val="0"/>
                  <w:vAlign w:val="center"/>
                </w:tcPr>
                <w:p w14:paraId="799C6F24">
                  <w:pPr>
                    <w:pStyle w:val="2"/>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rPr>
                      <w:rFonts w:hint="default" w:ascii="Times New Roman" w:hAnsi="Times New Roman" w:eastAsia="宋体" w:cs="Times New Roman"/>
                      <w:color w:val="auto"/>
                      <w:sz w:val="21"/>
                      <w:szCs w:val="21"/>
                      <w:highlight w:val="none"/>
                      <w:u w:val="none" w:color="auto"/>
                      <w:lang w:val="en-US" w:eastAsia="zh-CN"/>
                    </w:rPr>
                  </w:pPr>
                </w:p>
              </w:tc>
              <w:tc>
                <w:tcPr>
                  <w:tcW w:w="486" w:type="pct"/>
                  <w:vMerge w:val="continue"/>
                  <w:tcBorders>
                    <w:tl2br w:val="nil"/>
                    <w:tr2bl w:val="nil"/>
                  </w:tcBorders>
                  <w:noWrap w:val="0"/>
                  <w:vAlign w:val="center"/>
                </w:tcPr>
                <w:p w14:paraId="3C74734B">
                  <w:pPr>
                    <w:pStyle w:val="2"/>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rPr>
                      <w:rFonts w:hint="default" w:ascii="Times New Roman" w:hAnsi="Times New Roman" w:eastAsia="宋体" w:cs="Times New Roman"/>
                      <w:color w:val="auto"/>
                      <w:sz w:val="21"/>
                      <w:szCs w:val="21"/>
                      <w:highlight w:val="yellow"/>
                      <w:u w:val="none" w:color="auto"/>
                      <w:lang w:val="en-US" w:eastAsia="zh-CN"/>
                    </w:rPr>
                  </w:pPr>
                </w:p>
              </w:tc>
              <w:tc>
                <w:tcPr>
                  <w:tcW w:w="776" w:type="pct"/>
                  <w:tcBorders>
                    <w:tl2br w:val="nil"/>
                    <w:tr2bl w:val="nil"/>
                  </w:tcBorders>
                  <w:noWrap w:val="0"/>
                  <w:vAlign w:val="center"/>
                </w:tcPr>
                <w:p w14:paraId="1C1C07B0">
                  <w:pPr>
                    <w:keepNext w:val="0"/>
                    <w:keepLines w:val="0"/>
                    <w:pageBreakBefore w:val="0"/>
                    <w:widowControl/>
                    <w:kinsoku/>
                    <w:wordWrap/>
                    <w:overflowPunct/>
                    <w:topLinePunct w:val="0"/>
                    <w:autoSpaceDE/>
                    <w:autoSpaceDN/>
                    <w:bidi w:val="0"/>
                    <w:adjustRightInd/>
                    <w:snapToGrid/>
                    <w:spacing w:after="0" w:line="240" w:lineRule="auto"/>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u w:val="none" w:color="auto"/>
                    </w:rPr>
                    <w:t>化学需氧量</w:t>
                  </w:r>
                </w:p>
              </w:tc>
              <w:tc>
                <w:tcPr>
                  <w:tcW w:w="553" w:type="pct"/>
                  <w:tcBorders>
                    <w:tl2br w:val="nil"/>
                    <w:tr2bl w:val="nil"/>
                  </w:tcBorders>
                  <w:noWrap w:val="0"/>
                  <w:vAlign w:val="center"/>
                </w:tcPr>
                <w:p w14:paraId="487DFF54">
                  <w:pPr>
                    <w:keepNext w:val="0"/>
                    <w:keepLines w:val="0"/>
                    <w:pageBreakBefore w:val="0"/>
                    <w:widowControl/>
                    <w:kinsoku/>
                    <w:wordWrap/>
                    <w:overflowPunct/>
                    <w:topLinePunct w:val="0"/>
                    <w:autoSpaceDE/>
                    <w:autoSpaceDN/>
                    <w:bidi w:val="0"/>
                    <w:adjustRightInd/>
                    <w:snapToGrid/>
                    <w:spacing w:after="0" w:line="240" w:lineRule="auto"/>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20</w:t>
                  </w:r>
                </w:p>
              </w:tc>
              <w:tc>
                <w:tcPr>
                  <w:tcW w:w="553" w:type="pct"/>
                  <w:tcBorders>
                    <w:tl2br w:val="nil"/>
                    <w:tr2bl w:val="nil"/>
                  </w:tcBorders>
                  <w:noWrap w:val="0"/>
                  <w:vAlign w:val="center"/>
                </w:tcPr>
                <w:p w14:paraId="335A9F2F">
                  <w:pPr>
                    <w:keepNext w:val="0"/>
                    <w:keepLines w:val="0"/>
                    <w:pageBreakBefore w:val="0"/>
                    <w:widowControl/>
                    <w:kinsoku/>
                    <w:wordWrap/>
                    <w:overflowPunct/>
                    <w:topLinePunct w:val="0"/>
                    <w:autoSpaceDE/>
                    <w:autoSpaceDN/>
                    <w:bidi w:val="0"/>
                    <w:adjustRightInd/>
                    <w:snapToGrid/>
                    <w:spacing w:after="0" w:line="240" w:lineRule="auto"/>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27</w:t>
                  </w:r>
                </w:p>
              </w:tc>
              <w:tc>
                <w:tcPr>
                  <w:tcW w:w="553" w:type="pct"/>
                  <w:tcBorders>
                    <w:tl2br w:val="nil"/>
                    <w:tr2bl w:val="nil"/>
                  </w:tcBorders>
                  <w:noWrap w:val="0"/>
                  <w:vAlign w:val="center"/>
                </w:tcPr>
                <w:p w14:paraId="53442CC1">
                  <w:pPr>
                    <w:keepNext w:val="0"/>
                    <w:keepLines w:val="0"/>
                    <w:pageBreakBefore w:val="0"/>
                    <w:widowControl/>
                    <w:kinsoku/>
                    <w:wordWrap/>
                    <w:overflowPunct/>
                    <w:topLinePunct w:val="0"/>
                    <w:autoSpaceDE/>
                    <w:autoSpaceDN/>
                    <w:bidi w:val="0"/>
                    <w:adjustRightInd/>
                    <w:snapToGrid/>
                    <w:spacing w:after="0" w:line="240" w:lineRule="auto"/>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30</w:t>
                  </w:r>
                </w:p>
              </w:tc>
              <w:tc>
                <w:tcPr>
                  <w:tcW w:w="555" w:type="pct"/>
                  <w:tcBorders>
                    <w:tl2br w:val="nil"/>
                    <w:tr2bl w:val="nil"/>
                  </w:tcBorders>
                  <w:noWrap w:val="0"/>
                  <w:vAlign w:val="center"/>
                </w:tcPr>
                <w:p w14:paraId="48EE4131">
                  <w:pPr>
                    <w:keepNext w:val="0"/>
                    <w:keepLines w:val="0"/>
                    <w:pageBreakBefore w:val="0"/>
                    <w:widowControl/>
                    <w:kinsoku/>
                    <w:wordWrap/>
                    <w:overflowPunct/>
                    <w:topLinePunct w:val="0"/>
                    <w:autoSpaceDE/>
                    <w:autoSpaceDN/>
                    <w:bidi w:val="0"/>
                    <w:adjustRightInd/>
                    <w:snapToGrid/>
                    <w:spacing w:after="0" w:line="240" w:lineRule="auto"/>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26</w:t>
                  </w:r>
                </w:p>
              </w:tc>
              <w:tc>
                <w:tcPr>
                  <w:tcW w:w="551" w:type="pct"/>
                  <w:tcBorders>
                    <w:tl2br w:val="nil"/>
                    <w:tr2bl w:val="nil"/>
                  </w:tcBorders>
                  <w:noWrap w:val="0"/>
                  <w:vAlign w:val="center"/>
                </w:tcPr>
                <w:p w14:paraId="7E0F7D29">
                  <w:pPr>
                    <w:keepNext w:val="0"/>
                    <w:keepLines w:val="0"/>
                    <w:pageBreakBefore w:val="0"/>
                    <w:widowControl/>
                    <w:kinsoku/>
                    <w:wordWrap/>
                    <w:overflowPunct/>
                    <w:topLinePunct w:val="0"/>
                    <w:autoSpaceDE/>
                    <w:autoSpaceDN/>
                    <w:bidi w:val="0"/>
                    <w:adjustRightInd/>
                    <w:snapToGrid/>
                    <w:spacing w:after="0" w:line="240" w:lineRule="auto"/>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u w:val="none" w:color="auto"/>
                    </w:rPr>
                    <w:t>500</w:t>
                  </w:r>
                </w:p>
              </w:tc>
              <w:tc>
                <w:tcPr>
                  <w:tcW w:w="432" w:type="pct"/>
                  <w:tcBorders>
                    <w:tl2br w:val="nil"/>
                    <w:tr2bl w:val="nil"/>
                  </w:tcBorders>
                  <w:noWrap w:val="0"/>
                  <w:vAlign w:val="center"/>
                </w:tcPr>
                <w:p w14:paraId="1E899D13">
                  <w:pPr>
                    <w:keepNext w:val="0"/>
                    <w:keepLines w:val="0"/>
                    <w:pageBreakBefore w:val="0"/>
                    <w:widowControl/>
                    <w:kinsoku/>
                    <w:wordWrap/>
                    <w:overflowPunct/>
                    <w:topLinePunct w:val="0"/>
                    <w:autoSpaceDE/>
                    <w:autoSpaceDN/>
                    <w:bidi w:val="0"/>
                    <w:adjustRightInd/>
                    <w:snapToGrid/>
                    <w:spacing w:after="0" w:line="240" w:lineRule="auto"/>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u w:val="none" w:color="auto"/>
                    </w:rPr>
                    <w:t>mg/L</w:t>
                  </w:r>
                </w:p>
              </w:tc>
            </w:tr>
            <w:tr w14:paraId="5D8C431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536" w:type="pct"/>
                  <w:vMerge w:val="continue"/>
                  <w:tcBorders>
                    <w:tl2br w:val="nil"/>
                    <w:tr2bl w:val="nil"/>
                  </w:tcBorders>
                  <w:noWrap w:val="0"/>
                  <w:vAlign w:val="center"/>
                </w:tcPr>
                <w:p w14:paraId="653A6A41">
                  <w:pPr>
                    <w:pStyle w:val="2"/>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rPr>
                      <w:rFonts w:hint="default" w:ascii="Times New Roman" w:hAnsi="Times New Roman" w:eastAsia="宋体" w:cs="Times New Roman"/>
                      <w:color w:val="auto"/>
                      <w:sz w:val="21"/>
                      <w:szCs w:val="21"/>
                      <w:highlight w:val="none"/>
                      <w:u w:val="none" w:color="auto"/>
                      <w:lang w:val="en-US" w:eastAsia="zh-CN"/>
                    </w:rPr>
                  </w:pPr>
                </w:p>
              </w:tc>
              <w:tc>
                <w:tcPr>
                  <w:tcW w:w="486" w:type="pct"/>
                  <w:vMerge w:val="continue"/>
                  <w:tcBorders>
                    <w:tl2br w:val="nil"/>
                    <w:tr2bl w:val="nil"/>
                  </w:tcBorders>
                  <w:noWrap w:val="0"/>
                  <w:vAlign w:val="center"/>
                </w:tcPr>
                <w:p w14:paraId="12558E2F">
                  <w:pPr>
                    <w:pStyle w:val="2"/>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rPr>
                      <w:rFonts w:hint="default" w:ascii="Times New Roman" w:hAnsi="Times New Roman" w:eastAsia="宋体" w:cs="Times New Roman"/>
                      <w:color w:val="auto"/>
                      <w:sz w:val="21"/>
                      <w:szCs w:val="21"/>
                      <w:highlight w:val="yellow"/>
                      <w:u w:val="none" w:color="auto"/>
                      <w:lang w:val="en-US" w:eastAsia="zh-CN"/>
                    </w:rPr>
                  </w:pPr>
                </w:p>
              </w:tc>
              <w:tc>
                <w:tcPr>
                  <w:tcW w:w="776" w:type="pct"/>
                  <w:tcBorders>
                    <w:tl2br w:val="nil"/>
                    <w:tr2bl w:val="nil"/>
                  </w:tcBorders>
                  <w:noWrap w:val="0"/>
                  <w:vAlign w:val="center"/>
                </w:tcPr>
                <w:p w14:paraId="24959165">
                  <w:pPr>
                    <w:keepNext w:val="0"/>
                    <w:keepLines w:val="0"/>
                    <w:pageBreakBefore w:val="0"/>
                    <w:widowControl/>
                    <w:kinsoku/>
                    <w:wordWrap/>
                    <w:overflowPunct/>
                    <w:topLinePunct w:val="0"/>
                    <w:autoSpaceDE/>
                    <w:autoSpaceDN/>
                    <w:bidi w:val="0"/>
                    <w:adjustRightInd/>
                    <w:snapToGrid/>
                    <w:spacing w:after="0" w:line="240" w:lineRule="auto"/>
                    <w:jc w:val="center"/>
                    <w:textAlignment w:val="center"/>
                    <w:rPr>
                      <w:rFonts w:hint="default" w:ascii="Times New Roman" w:hAnsi="Times New Roman" w:eastAsia="宋体" w:cs="Times New Roman"/>
                      <w:b w:val="0"/>
                      <w:bCs w:val="0"/>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u w:val="none" w:color="auto"/>
                    </w:rPr>
                    <w:t>五日生化需氧量</w:t>
                  </w:r>
                </w:p>
              </w:tc>
              <w:tc>
                <w:tcPr>
                  <w:tcW w:w="553" w:type="pct"/>
                  <w:tcBorders>
                    <w:tl2br w:val="nil"/>
                    <w:tr2bl w:val="nil"/>
                  </w:tcBorders>
                  <w:noWrap w:val="0"/>
                  <w:vAlign w:val="center"/>
                </w:tcPr>
                <w:p w14:paraId="1E26A328">
                  <w:pPr>
                    <w:keepNext w:val="0"/>
                    <w:keepLines w:val="0"/>
                    <w:pageBreakBefore w:val="0"/>
                    <w:widowControl/>
                    <w:kinsoku/>
                    <w:wordWrap/>
                    <w:overflowPunct/>
                    <w:topLinePunct w:val="0"/>
                    <w:autoSpaceDE/>
                    <w:autoSpaceDN/>
                    <w:bidi w:val="0"/>
                    <w:adjustRightInd/>
                    <w:snapToGrid/>
                    <w:spacing w:after="0" w:line="240" w:lineRule="auto"/>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11.3</w:t>
                  </w:r>
                </w:p>
              </w:tc>
              <w:tc>
                <w:tcPr>
                  <w:tcW w:w="553" w:type="pct"/>
                  <w:tcBorders>
                    <w:tl2br w:val="nil"/>
                    <w:tr2bl w:val="nil"/>
                  </w:tcBorders>
                  <w:noWrap w:val="0"/>
                  <w:vAlign w:val="center"/>
                </w:tcPr>
                <w:p w14:paraId="34F0DEB6">
                  <w:pPr>
                    <w:keepNext w:val="0"/>
                    <w:keepLines w:val="0"/>
                    <w:pageBreakBefore w:val="0"/>
                    <w:widowControl/>
                    <w:kinsoku/>
                    <w:wordWrap/>
                    <w:overflowPunct/>
                    <w:topLinePunct w:val="0"/>
                    <w:autoSpaceDE/>
                    <w:autoSpaceDN/>
                    <w:bidi w:val="0"/>
                    <w:adjustRightInd/>
                    <w:snapToGrid/>
                    <w:spacing w:after="0" w:line="240" w:lineRule="auto"/>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16.6</w:t>
                  </w:r>
                </w:p>
              </w:tc>
              <w:tc>
                <w:tcPr>
                  <w:tcW w:w="553" w:type="pct"/>
                  <w:tcBorders>
                    <w:tl2br w:val="nil"/>
                    <w:tr2bl w:val="nil"/>
                  </w:tcBorders>
                  <w:noWrap w:val="0"/>
                  <w:vAlign w:val="center"/>
                </w:tcPr>
                <w:p w14:paraId="25A61A15">
                  <w:pPr>
                    <w:keepNext w:val="0"/>
                    <w:keepLines w:val="0"/>
                    <w:pageBreakBefore w:val="0"/>
                    <w:widowControl/>
                    <w:kinsoku/>
                    <w:wordWrap/>
                    <w:overflowPunct/>
                    <w:topLinePunct w:val="0"/>
                    <w:autoSpaceDE/>
                    <w:autoSpaceDN/>
                    <w:bidi w:val="0"/>
                    <w:adjustRightInd/>
                    <w:snapToGrid/>
                    <w:spacing w:after="0" w:line="240" w:lineRule="auto"/>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15.4</w:t>
                  </w:r>
                </w:p>
              </w:tc>
              <w:tc>
                <w:tcPr>
                  <w:tcW w:w="555" w:type="pct"/>
                  <w:tcBorders>
                    <w:tl2br w:val="nil"/>
                    <w:tr2bl w:val="nil"/>
                  </w:tcBorders>
                  <w:noWrap w:val="0"/>
                  <w:vAlign w:val="center"/>
                </w:tcPr>
                <w:p w14:paraId="6E8CD1FB">
                  <w:pPr>
                    <w:keepNext w:val="0"/>
                    <w:keepLines w:val="0"/>
                    <w:pageBreakBefore w:val="0"/>
                    <w:widowControl/>
                    <w:kinsoku/>
                    <w:wordWrap/>
                    <w:overflowPunct/>
                    <w:topLinePunct w:val="0"/>
                    <w:autoSpaceDE/>
                    <w:autoSpaceDN/>
                    <w:bidi w:val="0"/>
                    <w:adjustRightInd/>
                    <w:snapToGrid/>
                    <w:spacing w:after="0" w:line="240" w:lineRule="auto"/>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15.8</w:t>
                  </w:r>
                </w:p>
              </w:tc>
              <w:tc>
                <w:tcPr>
                  <w:tcW w:w="551" w:type="pct"/>
                  <w:tcBorders>
                    <w:tl2br w:val="nil"/>
                    <w:tr2bl w:val="nil"/>
                  </w:tcBorders>
                  <w:noWrap w:val="0"/>
                  <w:vAlign w:val="center"/>
                </w:tcPr>
                <w:p w14:paraId="4B9AF3ED">
                  <w:pPr>
                    <w:keepNext w:val="0"/>
                    <w:keepLines w:val="0"/>
                    <w:pageBreakBefore w:val="0"/>
                    <w:widowControl/>
                    <w:kinsoku/>
                    <w:wordWrap/>
                    <w:overflowPunct/>
                    <w:topLinePunct w:val="0"/>
                    <w:autoSpaceDE/>
                    <w:autoSpaceDN/>
                    <w:bidi w:val="0"/>
                    <w:adjustRightInd/>
                    <w:snapToGrid/>
                    <w:spacing w:after="0" w:line="240" w:lineRule="auto"/>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u w:val="none" w:color="auto"/>
                    </w:rPr>
                    <w:t>300</w:t>
                  </w:r>
                </w:p>
              </w:tc>
              <w:tc>
                <w:tcPr>
                  <w:tcW w:w="432" w:type="pct"/>
                  <w:tcBorders>
                    <w:tl2br w:val="nil"/>
                    <w:tr2bl w:val="nil"/>
                  </w:tcBorders>
                  <w:noWrap w:val="0"/>
                  <w:vAlign w:val="center"/>
                </w:tcPr>
                <w:p w14:paraId="3E487437">
                  <w:pPr>
                    <w:keepNext w:val="0"/>
                    <w:keepLines w:val="0"/>
                    <w:pageBreakBefore w:val="0"/>
                    <w:widowControl/>
                    <w:kinsoku/>
                    <w:wordWrap/>
                    <w:overflowPunct/>
                    <w:topLinePunct w:val="0"/>
                    <w:autoSpaceDE/>
                    <w:autoSpaceDN/>
                    <w:bidi w:val="0"/>
                    <w:adjustRightInd/>
                    <w:snapToGrid/>
                    <w:spacing w:after="0" w:line="240" w:lineRule="auto"/>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u w:val="none" w:color="auto"/>
                    </w:rPr>
                    <w:t>mg/L</w:t>
                  </w:r>
                </w:p>
              </w:tc>
            </w:tr>
            <w:tr w14:paraId="066DF5F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536" w:type="pct"/>
                  <w:vMerge w:val="continue"/>
                  <w:tcBorders>
                    <w:tl2br w:val="nil"/>
                    <w:tr2bl w:val="nil"/>
                  </w:tcBorders>
                  <w:noWrap w:val="0"/>
                  <w:vAlign w:val="center"/>
                </w:tcPr>
                <w:p w14:paraId="395DE929">
                  <w:pPr>
                    <w:pStyle w:val="2"/>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rPr>
                      <w:rFonts w:hint="default" w:ascii="Times New Roman" w:hAnsi="Times New Roman" w:eastAsia="宋体" w:cs="Times New Roman"/>
                      <w:color w:val="auto"/>
                      <w:sz w:val="21"/>
                      <w:szCs w:val="21"/>
                      <w:highlight w:val="none"/>
                      <w:u w:val="none" w:color="auto"/>
                      <w:lang w:val="en-US" w:eastAsia="zh-CN"/>
                    </w:rPr>
                  </w:pPr>
                </w:p>
              </w:tc>
              <w:tc>
                <w:tcPr>
                  <w:tcW w:w="486" w:type="pct"/>
                  <w:vMerge w:val="continue"/>
                  <w:tcBorders>
                    <w:tl2br w:val="nil"/>
                    <w:tr2bl w:val="nil"/>
                  </w:tcBorders>
                  <w:noWrap w:val="0"/>
                  <w:vAlign w:val="center"/>
                </w:tcPr>
                <w:p w14:paraId="71DF8DF9">
                  <w:pPr>
                    <w:pStyle w:val="2"/>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rPr>
                      <w:rFonts w:hint="default" w:ascii="Times New Roman" w:hAnsi="Times New Roman" w:eastAsia="宋体" w:cs="Times New Roman"/>
                      <w:color w:val="auto"/>
                      <w:sz w:val="21"/>
                      <w:szCs w:val="21"/>
                      <w:highlight w:val="none"/>
                      <w:u w:val="none" w:color="auto"/>
                      <w:lang w:val="en-US" w:eastAsia="zh-CN"/>
                    </w:rPr>
                  </w:pPr>
                </w:p>
              </w:tc>
              <w:tc>
                <w:tcPr>
                  <w:tcW w:w="776" w:type="pct"/>
                  <w:tcBorders>
                    <w:tl2br w:val="nil"/>
                    <w:tr2bl w:val="nil"/>
                  </w:tcBorders>
                  <w:noWrap w:val="0"/>
                  <w:vAlign w:val="center"/>
                </w:tcPr>
                <w:p w14:paraId="33985E7F">
                  <w:pPr>
                    <w:keepNext w:val="0"/>
                    <w:keepLines w:val="0"/>
                    <w:pageBreakBefore w:val="0"/>
                    <w:widowControl/>
                    <w:kinsoku/>
                    <w:wordWrap/>
                    <w:overflowPunct/>
                    <w:topLinePunct w:val="0"/>
                    <w:autoSpaceDE/>
                    <w:autoSpaceDN/>
                    <w:bidi w:val="0"/>
                    <w:adjustRightInd/>
                    <w:snapToGrid/>
                    <w:spacing w:after="0" w:line="240" w:lineRule="auto"/>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u w:val="none" w:color="auto"/>
                    </w:rPr>
                    <w:t>氨氮</w:t>
                  </w:r>
                </w:p>
              </w:tc>
              <w:tc>
                <w:tcPr>
                  <w:tcW w:w="553" w:type="pct"/>
                  <w:tcBorders>
                    <w:tl2br w:val="nil"/>
                    <w:tr2bl w:val="nil"/>
                  </w:tcBorders>
                  <w:noWrap w:val="0"/>
                  <w:vAlign w:val="center"/>
                </w:tcPr>
                <w:p w14:paraId="26046C2C">
                  <w:pPr>
                    <w:keepNext w:val="0"/>
                    <w:keepLines w:val="0"/>
                    <w:pageBreakBefore w:val="0"/>
                    <w:widowControl/>
                    <w:kinsoku/>
                    <w:wordWrap/>
                    <w:overflowPunct/>
                    <w:topLinePunct w:val="0"/>
                    <w:autoSpaceDE/>
                    <w:autoSpaceDN/>
                    <w:bidi w:val="0"/>
                    <w:adjustRightInd/>
                    <w:snapToGrid/>
                    <w:spacing w:after="0" w:line="240" w:lineRule="auto"/>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0.392</w:t>
                  </w:r>
                </w:p>
              </w:tc>
              <w:tc>
                <w:tcPr>
                  <w:tcW w:w="553" w:type="pct"/>
                  <w:tcBorders>
                    <w:tl2br w:val="nil"/>
                    <w:tr2bl w:val="nil"/>
                  </w:tcBorders>
                  <w:noWrap w:val="0"/>
                  <w:vAlign w:val="center"/>
                </w:tcPr>
                <w:p w14:paraId="5BDF6DF5">
                  <w:pPr>
                    <w:keepNext w:val="0"/>
                    <w:keepLines w:val="0"/>
                    <w:pageBreakBefore w:val="0"/>
                    <w:widowControl/>
                    <w:kinsoku/>
                    <w:wordWrap/>
                    <w:overflowPunct/>
                    <w:topLinePunct w:val="0"/>
                    <w:autoSpaceDE/>
                    <w:autoSpaceDN/>
                    <w:bidi w:val="0"/>
                    <w:adjustRightInd/>
                    <w:snapToGrid/>
                    <w:spacing w:after="0" w:line="240" w:lineRule="auto"/>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0.396</w:t>
                  </w:r>
                </w:p>
              </w:tc>
              <w:tc>
                <w:tcPr>
                  <w:tcW w:w="553" w:type="pct"/>
                  <w:tcBorders>
                    <w:tl2br w:val="nil"/>
                    <w:tr2bl w:val="nil"/>
                  </w:tcBorders>
                  <w:noWrap w:val="0"/>
                  <w:vAlign w:val="center"/>
                </w:tcPr>
                <w:p w14:paraId="3DAE421A">
                  <w:pPr>
                    <w:keepNext w:val="0"/>
                    <w:keepLines w:val="0"/>
                    <w:pageBreakBefore w:val="0"/>
                    <w:widowControl/>
                    <w:kinsoku/>
                    <w:wordWrap/>
                    <w:overflowPunct/>
                    <w:topLinePunct w:val="0"/>
                    <w:autoSpaceDE/>
                    <w:autoSpaceDN/>
                    <w:bidi w:val="0"/>
                    <w:adjustRightInd/>
                    <w:snapToGrid/>
                    <w:spacing w:after="0" w:line="240" w:lineRule="auto"/>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0.432</w:t>
                  </w:r>
                </w:p>
              </w:tc>
              <w:tc>
                <w:tcPr>
                  <w:tcW w:w="555" w:type="pct"/>
                  <w:tcBorders>
                    <w:tl2br w:val="nil"/>
                    <w:tr2bl w:val="nil"/>
                  </w:tcBorders>
                  <w:noWrap w:val="0"/>
                  <w:vAlign w:val="center"/>
                </w:tcPr>
                <w:p w14:paraId="1F91E3AE">
                  <w:pPr>
                    <w:keepNext w:val="0"/>
                    <w:keepLines w:val="0"/>
                    <w:pageBreakBefore w:val="0"/>
                    <w:widowControl/>
                    <w:kinsoku/>
                    <w:wordWrap/>
                    <w:overflowPunct/>
                    <w:topLinePunct w:val="0"/>
                    <w:autoSpaceDE/>
                    <w:autoSpaceDN/>
                    <w:bidi w:val="0"/>
                    <w:adjustRightInd/>
                    <w:snapToGrid/>
                    <w:spacing w:after="0" w:line="240" w:lineRule="auto"/>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0.415</w:t>
                  </w:r>
                </w:p>
              </w:tc>
              <w:tc>
                <w:tcPr>
                  <w:tcW w:w="551" w:type="pct"/>
                  <w:tcBorders>
                    <w:tl2br w:val="nil"/>
                    <w:tr2bl w:val="nil"/>
                  </w:tcBorders>
                  <w:noWrap w:val="0"/>
                  <w:vAlign w:val="center"/>
                </w:tcPr>
                <w:p w14:paraId="308F9AE6">
                  <w:pPr>
                    <w:keepNext w:val="0"/>
                    <w:keepLines w:val="0"/>
                    <w:pageBreakBefore w:val="0"/>
                    <w:widowControl/>
                    <w:kinsoku/>
                    <w:wordWrap/>
                    <w:overflowPunct/>
                    <w:topLinePunct w:val="0"/>
                    <w:autoSpaceDE/>
                    <w:autoSpaceDN/>
                    <w:bidi w:val="0"/>
                    <w:adjustRightInd/>
                    <w:snapToGrid/>
                    <w:spacing w:after="0" w:line="240" w:lineRule="auto"/>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45</w:t>
                  </w:r>
                </w:p>
              </w:tc>
              <w:tc>
                <w:tcPr>
                  <w:tcW w:w="432" w:type="pct"/>
                  <w:tcBorders>
                    <w:tl2br w:val="nil"/>
                    <w:tr2bl w:val="nil"/>
                  </w:tcBorders>
                  <w:noWrap w:val="0"/>
                  <w:vAlign w:val="center"/>
                </w:tcPr>
                <w:p w14:paraId="55FEE0BD">
                  <w:pPr>
                    <w:keepNext w:val="0"/>
                    <w:keepLines w:val="0"/>
                    <w:pageBreakBefore w:val="0"/>
                    <w:widowControl/>
                    <w:kinsoku/>
                    <w:wordWrap/>
                    <w:overflowPunct/>
                    <w:topLinePunct w:val="0"/>
                    <w:autoSpaceDE/>
                    <w:autoSpaceDN/>
                    <w:bidi w:val="0"/>
                    <w:adjustRightInd/>
                    <w:snapToGrid/>
                    <w:spacing w:after="0" w:line="240" w:lineRule="auto"/>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u w:val="none" w:color="auto"/>
                    </w:rPr>
                    <w:t>mg/L</w:t>
                  </w:r>
                </w:p>
              </w:tc>
            </w:tr>
            <w:tr w14:paraId="787E599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536" w:type="pct"/>
                  <w:vMerge w:val="continue"/>
                  <w:tcBorders>
                    <w:tl2br w:val="nil"/>
                    <w:tr2bl w:val="nil"/>
                  </w:tcBorders>
                  <w:noWrap w:val="0"/>
                  <w:vAlign w:val="center"/>
                </w:tcPr>
                <w:p w14:paraId="2197D646">
                  <w:pPr>
                    <w:pStyle w:val="2"/>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rPr>
                      <w:rFonts w:hint="default" w:ascii="Times New Roman" w:hAnsi="Times New Roman" w:eastAsia="宋体" w:cs="Times New Roman"/>
                      <w:color w:val="auto"/>
                      <w:sz w:val="21"/>
                      <w:szCs w:val="21"/>
                      <w:highlight w:val="none"/>
                      <w:u w:val="none" w:color="auto"/>
                      <w:lang w:val="en-US" w:eastAsia="zh-CN"/>
                    </w:rPr>
                  </w:pPr>
                </w:p>
              </w:tc>
              <w:tc>
                <w:tcPr>
                  <w:tcW w:w="486" w:type="pct"/>
                  <w:vMerge w:val="continue"/>
                  <w:tcBorders>
                    <w:tl2br w:val="nil"/>
                    <w:tr2bl w:val="nil"/>
                  </w:tcBorders>
                  <w:noWrap w:val="0"/>
                  <w:vAlign w:val="center"/>
                </w:tcPr>
                <w:p w14:paraId="2AC0D1D7">
                  <w:pPr>
                    <w:pStyle w:val="2"/>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rPr>
                      <w:rFonts w:hint="default" w:ascii="Times New Roman" w:hAnsi="Times New Roman" w:eastAsia="宋体" w:cs="Times New Roman"/>
                      <w:color w:val="auto"/>
                      <w:sz w:val="21"/>
                      <w:szCs w:val="21"/>
                      <w:highlight w:val="none"/>
                      <w:u w:val="none" w:color="auto"/>
                      <w:lang w:val="en-US" w:eastAsia="zh-CN"/>
                    </w:rPr>
                  </w:pPr>
                </w:p>
              </w:tc>
              <w:tc>
                <w:tcPr>
                  <w:tcW w:w="776" w:type="pct"/>
                  <w:tcBorders>
                    <w:tl2br w:val="nil"/>
                    <w:tr2bl w:val="nil"/>
                  </w:tcBorders>
                  <w:noWrap w:val="0"/>
                  <w:vAlign w:val="center"/>
                </w:tcPr>
                <w:p w14:paraId="093BB4B0">
                  <w:pPr>
                    <w:keepNext w:val="0"/>
                    <w:keepLines w:val="0"/>
                    <w:pageBreakBefore w:val="0"/>
                    <w:widowControl/>
                    <w:kinsoku/>
                    <w:wordWrap/>
                    <w:overflowPunct/>
                    <w:topLinePunct w:val="0"/>
                    <w:autoSpaceDE/>
                    <w:autoSpaceDN/>
                    <w:bidi w:val="0"/>
                    <w:adjustRightInd/>
                    <w:snapToGrid/>
                    <w:spacing w:after="0" w:line="240" w:lineRule="auto"/>
                    <w:jc w:val="center"/>
                    <w:rPr>
                      <w:rFonts w:hint="default" w:ascii="Times New Roman" w:hAnsi="Times New Roman" w:eastAsia="宋体" w:cs="Times New Roman"/>
                      <w:color w:val="auto"/>
                      <w:kern w:val="2"/>
                      <w:sz w:val="21"/>
                      <w:szCs w:val="21"/>
                      <w:highlight w:val="none"/>
                      <w:u w:val="none" w:color="auto"/>
                      <w:vertAlign w:val="subscript"/>
                      <w:lang w:val="en-US" w:eastAsia="zh-CN" w:bidi="ar-SA"/>
                    </w:rPr>
                  </w:pPr>
                  <w:r>
                    <w:rPr>
                      <w:rFonts w:hint="default" w:ascii="Times New Roman" w:hAnsi="Times New Roman" w:eastAsia="宋体" w:cs="Times New Roman"/>
                      <w:color w:val="auto"/>
                      <w:sz w:val="21"/>
                      <w:szCs w:val="21"/>
                      <w:u w:val="none" w:color="auto"/>
                    </w:rPr>
                    <w:t>总氮</w:t>
                  </w:r>
                </w:p>
              </w:tc>
              <w:tc>
                <w:tcPr>
                  <w:tcW w:w="553" w:type="pct"/>
                  <w:tcBorders>
                    <w:tl2br w:val="nil"/>
                    <w:tr2bl w:val="nil"/>
                  </w:tcBorders>
                  <w:noWrap w:val="0"/>
                  <w:vAlign w:val="center"/>
                </w:tcPr>
                <w:p w14:paraId="00C790DE">
                  <w:pPr>
                    <w:keepNext w:val="0"/>
                    <w:keepLines w:val="0"/>
                    <w:pageBreakBefore w:val="0"/>
                    <w:widowControl/>
                    <w:kinsoku/>
                    <w:wordWrap/>
                    <w:overflowPunct/>
                    <w:topLinePunct w:val="0"/>
                    <w:autoSpaceDE/>
                    <w:autoSpaceDN/>
                    <w:bidi w:val="0"/>
                    <w:adjustRightInd/>
                    <w:snapToGrid/>
                    <w:spacing w:after="0" w:line="240" w:lineRule="auto"/>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0.86</w:t>
                  </w:r>
                </w:p>
              </w:tc>
              <w:tc>
                <w:tcPr>
                  <w:tcW w:w="553" w:type="pct"/>
                  <w:tcBorders>
                    <w:tl2br w:val="nil"/>
                    <w:tr2bl w:val="nil"/>
                  </w:tcBorders>
                  <w:noWrap w:val="0"/>
                  <w:vAlign w:val="center"/>
                </w:tcPr>
                <w:p w14:paraId="07B8E7C7">
                  <w:pPr>
                    <w:keepNext w:val="0"/>
                    <w:keepLines w:val="0"/>
                    <w:pageBreakBefore w:val="0"/>
                    <w:widowControl/>
                    <w:kinsoku/>
                    <w:wordWrap/>
                    <w:overflowPunct/>
                    <w:topLinePunct w:val="0"/>
                    <w:autoSpaceDE/>
                    <w:autoSpaceDN/>
                    <w:bidi w:val="0"/>
                    <w:adjustRightInd/>
                    <w:snapToGrid/>
                    <w:spacing w:after="0" w:line="240" w:lineRule="auto"/>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0.93</w:t>
                  </w:r>
                </w:p>
              </w:tc>
              <w:tc>
                <w:tcPr>
                  <w:tcW w:w="553" w:type="pct"/>
                  <w:tcBorders>
                    <w:tl2br w:val="nil"/>
                    <w:tr2bl w:val="nil"/>
                  </w:tcBorders>
                  <w:noWrap w:val="0"/>
                  <w:vAlign w:val="center"/>
                </w:tcPr>
                <w:p w14:paraId="03F3451B">
                  <w:pPr>
                    <w:keepNext w:val="0"/>
                    <w:keepLines w:val="0"/>
                    <w:pageBreakBefore w:val="0"/>
                    <w:widowControl/>
                    <w:kinsoku/>
                    <w:wordWrap/>
                    <w:overflowPunct/>
                    <w:topLinePunct w:val="0"/>
                    <w:autoSpaceDE/>
                    <w:autoSpaceDN/>
                    <w:bidi w:val="0"/>
                    <w:adjustRightInd/>
                    <w:snapToGrid/>
                    <w:spacing w:after="0" w:line="240" w:lineRule="auto"/>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0.86</w:t>
                  </w:r>
                </w:p>
              </w:tc>
              <w:tc>
                <w:tcPr>
                  <w:tcW w:w="555" w:type="pct"/>
                  <w:tcBorders>
                    <w:tl2br w:val="nil"/>
                    <w:tr2bl w:val="nil"/>
                  </w:tcBorders>
                  <w:noWrap w:val="0"/>
                  <w:vAlign w:val="center"/>
                </w:tcPr>
                <w:p w14:paraId="0C50E069">
                  <w:pPr>
                    <w:keepNext w:val="0"/>
                    <w:keepLines w:val="0"/>
                    <w:pageBreakBefore w:val="0"/>
                    <w:widowControl/>
                    <w:kinsoku/>
                    <w:wordWrap/>
                    <w:overflowPunct/>
                    <w:topLinePunct w:val="0"/>
                    <w:autoSpaceDE/>
                    <w:autoSpaceDN/>
                    <w:bidi w:val="0"/>
                    <w:adjustRightInd/>
                    <w:snapToGrid/>
                    <w:spacing w:after="0" w:line="240" w:lineRule="auto"/>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0.83</w:t>
                  </w:r>
                </w:p>
              </w:tc>
              <w:tc>
                <w:tcPr>
                  <w:tcW w:w="551" w:type="pct"/>
                  <w:tcBorders>
                    <w:tl2br w:val="nil"/>
                    <w:tr2bl w:val="nil"/>
                  </w:tcBorders>
                  <w:noWrap w:val="0"/>
                  <w:vAlign w:val="center"/>
                </w:tcPr>
                <w:p w14:paraId="3FB2E8E1">
                  <w:pPr>
                    <w:keepNext w:val="0"/>
                    <w:keepLines w:val="0"/>
                    <w:pageBreakBefore w:val="0"/>
                    <w:widowControl/>
                    <w:kinsoku/>
                    <w:wordWrap/>
                    <w:overflowPunct/>
                    <w:topLinePunct w:val="0"/>
                    <w:autoSpaceDE/>
                    <w:autoSpaceDN/>
                    <w:bidi w:val="0"/>
                    <w:adjustRightInd/>
                    <w:snapToGrid/>
                    <w:spacing w:after="0" w:line="240" w:lineRule="auto"/>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70</w:t>
                  </w:r>
                </w:p>
              </w:tc>
              <w:tc>
                <w:tcPr>
                  <w:tcW w:w="432" w:type="pct"/>
                  <w:tcBorders>
                    <w:tl2br w:val="nil"/>
                    <w:tr2bl w:val="nil"/>
                  </w:tcBorders>
                  <w:noWrap w:val="0"/>
                  <w:vAlign w:val="center"/>
                </w:tcPr>
                <w:p w14:paraId="5A519286">
                  <w:pPr>
                    <w:keepNext w:val="0"/>
                    <w:keepLines w:val="0"/>
                    <w:pageBreakBefore w:val="0"/>
                    <w:widowControl/>
                    <w:kinsoku/>
                    <w:wordWrap/>
                    <w:overflowPunct/>
                    <w:topLinePunct w:val="0"/>
                    <w:autoSpaceDE/>
                    <w:autoSpaceDN/>
                    <w:bidi w:val="0"/>
                    <w:adjustRightInd/>
                    <w:snapToGrid/>
                    <w:spacing w:after="0" w:line="240" w:lineRule="auto"/>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u w:val="none" w:color="auto"/>
                    </w:rPr>
                    <w:t>mg/L</w:t>
                  </w:r>
                </w:p>
              </w:tc>
            </w:tr>
            <w:tr w14:paraId="04F396D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536" w:type="pct"/>
                  <w:vMerge w:val="continue"/>
                  <w:tcBorders>
                    <w:tl2br w:val="nil"/>
                    <w:tr2bl w:val="nil"/>
                  </w:tcBorders>
                  <w:noWrap w:val="0"/>
                  <w:vAlign w:val="center"/>
                </w:tcPr>
                <w:p w14:paraId="50B02F67">
                  <w:pPr>
                    <w:pStyle w:val="2"/>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rPr>
                      <w:rFonts w:hint="default" w:ascii="Times New Roman" w:hAnsi="Times New Roman" w:eastAsia="宋体" w:cs="Times New Roman"/>
                      <w:color w:val="auto"/>
                      <w:sz w:val="21"/>
                      <w:szCs w:val="21"/>
                      <w:highlight w:val="none"/>
                      <w:u w:val="none" w:color="auto"/>
                      <w:lang w:val="en-US" w:eastAsia="zh-CN"/>
                    </w:rPr>
                  </w:pPr>
                </w:p>
              </w:tc>
              <w:tc>
                <w:tcPr>
                  <w:tcW w:w="486" w:type="pct"/>
                  <w:vMerge w:val="continue"/>
                  <w:tcBorders>
                    <w:tl2br w:val="nil"/>
                    <w:tr2bl w:val="nil"/>
                  </w:tcBorders>
                  <w:noWrap w:val="0"/>
                  <w:vAlign w:val="center"/>
                </w:tcPr>
                <w:p w14:paraId="17922BDA">
                  <w:pPr>
                    <w:pStyle w:val="2"/>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rPr>
                      <w:rFonts w:hint="default" w:ascii="Times New Roman" w:hAnsi="Times New Roman" w:eastAsia="宋体" w:cs="Times New Roman"/>
                      <w:color w:val="auto"/>
                      <w:sz w:val="21"/>
                      <w:szCs w:val="21"/>
                      <w:highlight w:val="none"/>
                      <w:u w:val="none" w:color="auto"/>
                      <w:lang w:val="en-US" w:eastAsia="zh-CN"/>
                    </w:rPr>
                  </w:pPr>
                </w:p>
              </w:tc>
              <w:tc>
                <w:tcPr>
                  <w:tcW w:w="776" w:type="pct"/>
                  <w:tcBorders>
                    <w:tl2br w:val="nil"/>
                    <w:tr2bl w:val="nil"/>
                  </w:tcBorders>
                  <w:noWrap w:val="0"/>
                  <w:vAlign w:val="center"/>
                </w:tcPr>
                <w:p w14:paraId="09F9F7AC">
                  <w:pPr>
                    <w:keepNext w:val="0"/>
                    <w:keepLines w:val="0"/>
                    <w:pageBreakBefore w:val="0"/>
                    <w:widowControl/>
                    <w:kinsoku/>
                    <w:wordWrap/>
                    <w:overflowPunct/>
                    <w:topLinePunct w:val="0"/>
                    <w:autoSpaceDE/>
                    <w:autoSpaceDN/>
                    <w:bidi w:val="0"/>
                    <w:adjustRightInd/>
                    <w:snapToGrid/>
                    <w:spacing w:after="0" w:line="240" w:lineRule="auto"/>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u w:val="none" w:color="auto"/>
                    </w:rPr>
                    <w:t>总磷</w:t>
                  </w:r>
                </w:p>
              </w:tc>
              <w:tc>
                <w:tcPr>
                  <w:tcW w:w="553" w:type="pct"/>
                  <w:tcBorders>
                    <w:tl2br w:val="nil"/>
                    <w:tr2bl w:val="nil"/>
                  </w:tcBorders>
                  <w:noWrap w:val="0"/>
                  <w:vAlign w:val="center"/>
                </w:tcPr>
                <w:p w14:paraId="237DFEA9">
                  <w:pPr>
                    <w:keepNext w:val="0"/>
                    <w:keepLines w:val="0"/>
                    <w:pageBreakBefore w:val="0"/>
                    <w:widowControl/>
                    <w:kinsoku/>
                    <w:wordWrap/>
                    <w:overflowPunct/>
                    <w:topLinePunct w:val="0"/>
                    <w:autoSpaceDE/>
                    <w:autoSpaceDN/>
                    <w:bidi w:val="0"/>
                    <w:adjustRightInd/>
                    <w:snapToGrid/>
                    <w:spacing w:after="0" w:line="240" w:lineRule="auto"/>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0.24</w:t>
                  </w:r>
                </w:p>
              </w:tc>
              <w:tc>
                <w:tcPr>
                  <w:tcW w:w="553" w:type="pct"/>
                  <w:tcBorders>
                    <w:tl2br w:val="nil"/>
                    <w:tr2bl w:val="nil"/>
                  </w:tcBorders>
                  <w:noWrap w:val="0"/>
                  <w:vAlign w:val="center"/>
                </w:tcPr>
                <w:p w14:paraId="6BACE653">
                  <w:pPr>
                    <w:keepNext w:val="0"/>
                    <w:keepLines w:val="0"/>
                    <w:pageBreakBefore w:val="0"/>
                    <w:widowControl/>
                    <w:kinsoku/>
                    <w:wordWrap/>
                    <w:overflowPunct/>
                    <w:topLinePunct w:val="0"/>
                    <w:autoSpaceDE/>
                    <w:autoSpaceDN/>
                    <w:bidi w:val="0"/>
                    <w:adjustRightInd/>
                    <w:snapToGrid/>
                    <w:spacing w:after="0" w:line="240" w:lineRule="auto"/>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0.23</w:t>
                  </w:r>
                </w:p>
              </w:tc>
              <w:tc>
                <w:tcPr>
                  <w:tcW w:w="553" w:type="pct"/>
                  <w:tcBorders>
                    <w:tl2br w:val="nil"/>
                    <w:tr2bl w:val="nil"/>
                  </w:tcBorders>
                  <w:noWrap w:val="0"/>
                  <w:vAlign w:val="center"/>
                </w:tcPr>
                <w:p w14:paraId="226912E2">
                  <w:pPr>
                    <w:keepNext w:val="0"/>
                    <w:keepLines w:val="0"/>
                    <w:pageBreakBefore w:val="0"/>
                    <w:widowControl/>
                    <w:kinsoku/>
                    <w:wordWrap/>
                    <w:overflowPunct/>
                    <w:topLinePunct w:val="0"/>
                    <w:autoSpaceDE/>
                    <w:autoSpaceDN/>
                    <w:bidi w:val="0"/>
                    <w:adjustRightInd/>
                    <w:snapToGrid/>
                    <w:spacing w:after="0" w:line="240" w:lineRule="auto"/>
                    <w:jc w:val="center"/>
                    <w:rPr>
                      <w:rFonts w:hint="default" w:ascii="Times New Roman" w:hAnsi="Times New Roman" w:eastAsia="宋体" w:cs="Times New Roman"/>
                      <w:bCs/>
                      <w:color w:val="auto"/>
                      <w:kern w:val="0"/>
                      <w:sz w:val="21"/>
                      <w:szCs w:val="21"/>
                      <w:highlight w:val="none"/>
                      <w:u w:val="none" w:color="auto"/>
                      <w:lang w:val="en-US" w:eastAsia="zh-CN" w:bidi="ar-SA"/>
                    </w:rPr>
                  </w:pPr>
                  <w:r>
                    <w:rPr>
                      <w:rFonts w:hint="default" w:ascii="Times New Roman" w:hAnsi="Times New Roman" w:eastAsia="宋体" w:cs="Times New Roman"/>
                      <w:bCs/>
                      <w:color w:val="auto"/>
                      <w:kern w:val="0"/>
                      <w:sz w:val="21"/>
                      <w:szCs w:val="21"/>
                      <w:highlight w:val="none"/>
                      <w:u w:val="none" w:color="auto"/>
                      <w:lang w:val="en-US" w:eastAsia="zh-CN" w:bidi="ar-SA"/>
                    </w:rPr>
                    <w:t>0.24</w:t>
                  </w:r>
                </w:p>
              </w:tc>
              <w:tc>
                <w:tcPr>
                  <w:tcW w:w="555" w:type="pct"/>
                  <w:tcBorders>
                    <w:tl2br w:val="nil"/>
                    <w:tr2bl w:val="nil"/>
                  </w:tcBorders>
                  <w:noWrap w:val="0"/>
                  <w:vAlign w:val="center"/>
                </w:tcPr>
                <w:p w14:paraId="7DBD960C">
                  <w:pPr>
                    <w:keepNext w:val="0"/>
                    <w:keepLines w:val="0"/>
                    <w:pageBreakBefore w:val="0"/>
                    <w:widowControl/>
                    <w:kinsoku/>
                    <w:wordWrap/>
                    <w:overflowPunct/>
                    <w:topLinePunct w:val="0"/>
                    <w:autoSpaceDE/>
                    <w:autoSpaceDN/>
                    <w:bidi w:val="0"/>
                    <w:adjustRightInd/>
                    <w:snapToGrid/>
                    <w:spacing w:after="0" w:line="240" w:lineRule="auto"/>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0.27</w:t>
                  </w:r>
                </w:p>
              </w:tc>
              <w:tc>
                <w:tcPr>
                  <w:tcW w:w="551" w:type="pct"/>
                  <w:tcBorders>
                    <w:tl2br w:val="nil"/>
                    <w:tr2bl w:val="nil"/>
                  </w:tcBorders>
                  <w:noWrap w:val="0"/>
                  <w:vAlign w:val="center"/>
                </w:tcPr>
                <w:p w14:paraId="056F03CC">
                  <w:pPr>
                    <w:keepNext w:val="0"/>
                    <w:keepLines w:val="0"/>
                    <w:pageBreakBefore w:val="0"/>
                    <w:widowControl/>
                    <w:kinsoku/>
                    <w:wordWrap/>
                    <w:overflowPunct/>
                    <w:topLinePunct w:val="0"/>
                    <w:autoSpaceDE/>
                    <w:autoSpaceDN/>
                    <w:bidi w:val="0"/>
                    <w:adjustRightInd/>
                    <w:snapToGrid/>
                    <w:spacing w:after="0" w:line="240" w:lineRule="auto"/>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8.0</w:t>
                  </w:r>
                </w:p>
              </w:tc>
              <w:tc>
                <w:tcPr>
                  <w:tcW w:w="432" w:type="pct"/>
                  <w:tcBorders>
                    <w:tl2br w:val="nil"/>
                    <w:tr2bl w:val="nil"/>
                  </w:tcBorders>
                  <w:noWrap w:val="0"/>
                  <w:vAlign w:val="center"/>
                </w:tcPr>
                <w:p w14:paraId="57EEA3E1">
                  <w:pPr>
                    <w:keepNext w:val="0"/>
                    <w:keepLines w:val="0"/>
                    <w:pageBreakBefore w:val="0"/>
                    <w:widowControl/>
                    <w:kinsoku/>
                    <w:wordWrap/>
                    <w:overflowPunct/>
                    <w:topLinePunct w:val="0"/>
                    <w:autoSpaceDE/>
                    <w:autoSpaceDN/>
                    <w:bidi w:val="0"/>
                    <w:adjustRightInd/>
                    <w:snapToGrid/>
                    <w:spacing w:after="0" w:line="240" w:lineRule="auto"/>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u w:val="none" w:color="auto"/>
                    </w:rPr>
                    <w:t>mg/L</w:t>
                  </w:r>
                </w:p>
              </w:tc>
            </w:tr>
            <w:tr w14:paraId="6210FEC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536" w:type="pct"/>
                  <w:vMerge w:val="continue"/>
                  <w:tcBorders>
                    <w:tl2br w:val="nil"/>
                    <w:tr2bl w:val="nil"/>
                  </w:tcBorders>
                  <w:noWrap w:val="0"/>
                  <w:vAlign w:val="center"/>
                </w:tcPr>
                <w:p w14:paraId="68D48EE2">
                  <w:pPr>
                    <w:pStyle w:val="2"/>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rPr>
                      <w:rFonts w:hint="default" w:ascii="Times New Roman" w:hAnsi="Times New Roman" w:eastAsia="宋体" w:cs="Times New Roman"/>
                      <w:color w:val="auto"/>
                      <w:sz w:val="21"/>
                      <w:szCs w:val="21"/>
                      <w:highlight w:val="none"/>
                      <w:u w:val="none" w:color="auto"/>
                      <w:lang w:val="en-US" w:eastAsia="zh-CN"/>
                    </w:rPr>
                  </w:pPr>
                </w:p>
              </w:tc>
              <w:tc>
                <w:tcPr>
                  <w:tcW w:w="486" w:type="pct"/>
                  <w:vMerge w:val="continue"/>
                  <w:tcBorders>
                    <w:tl2br w:val="nil"/>
                    <w:tr2bl w:val="nil"/>
                  </w:tcBorders>
                  <w:noWrap w:val="0"/>
                  <w:vAlign w:val="center"/>
                </w:tcPr>
                <w:p w14:paraId="0E67369A">
                  <w:pPr>
                    <w:pStyle w:val="2"/>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rPr>
                      <w:rFonts w:hint="default" w:ascii="Times New Roman" w:hAnsi="Times New Roman" w:eastAsia="宋体" w:cs="Times New Roman"/>
                      <w:color w:val="auto"/>
                      <w:sz w:val="21"/>
                      <w:szCs w:val="21"/>
                      <w:highlight w:val="none"/>
                      <w:u w:val="none" w:color="auto"/>
                      <w:lang w:val="en-US" w:eastAsia="zh-CN"/>
                    </w:rPr>
                  </w:pPr>
                </w:p>
              </w:tc>
              <w:tc>
                <w:tcPr>
                  <w:tcW w:w="776" w:type="pct"/>
                  <w:tcBorders>
                    <w:tl2br w:val="nil"/>
                    <w:tr2bl w:val="nil"/>
                  </w:tcBorders>
                  <w:noWrap w:val="0"/>
                  <w:vAlign w:val="center"/>
                </w:tcPr>
                <w:p w14:paraId="6CB1D64C">
                  <w:pPr>
                    <w:keepNext w:val="0"/>
                    <w:keepLines w:val="0"/>
                    <w:pageBreakBefore w:val="0"/>
                    <w:widowControl/>
                    <w:kinsoku/>
                    <w:wordWrap/>
                    <w:overflowPunct/>
                    <w:topLinePunct w:val="0"/>
                    <w:autoSpaceDE/>
                    <w:autoSpaceDN/>
                    <w:bidi w:val="0"/>
                    <w:adjustRightInd/>
                    <w:snapToGrid/>
                    <w:spacing w:after="0" w:line="240" w:lineRule="auto"/>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lang w:val="en-US" w:eastAsia="zh-CN"/>
                    </w:rPr>
                    <w:t>悬浮物</w:t>
                  </w:r>
                </w:p>
              </w:tc>
              <w:tc>
                <w:tcPr>
                  <w:tcW w:w="553" w:type="pct"/>
                  <w:tcBorders>
                    <w:tl2br w:val="nil"/>
                    <w:tr2bl w:val="nil"/>
                  </w:tcBorders>
                  <w:noWrap w:val="0"/>
                  <w:vAlign w:val="center"/>
                </w:tcPr>
                <w:p w14:paraId="1E744B0A">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17</w:t>
                  </w:r>
                </w:p>
              </w:tc>
              <w:tc>
                <w:tcPr>
                  <w:tcW w:w="553" w:type="pct"/>
                  <w:tcBorders>
                    <w:tl2br w:val="nil"/>
                    <w:tr2bl w:val="nil"/>
                  </w:tcBorders>
                  <w:noWrap w:val="0"/>
                  <w:vAlign w:val="center"/>
                </w:tcPr>
                <w:p w14:paraId="03BDEBC3">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21</w:t>
                  </w:r>
                </w:p>
              </w:tc>
              <w:tc>
                <w:tcPr>
                  <w:tcW w:w="553" w:type="pct"/>
                  <w:tcBorders>
                    <w:tl2br w:val="nil"/>
                    <w:tr2bl w:val="nil"/>
                  </w:tcBorders>
                  <w:noWrap w:val="0"/>
                  <w:vAlign w:val="center"/>
                </w:tcPr>
                <w:p w14:paraId="312C1926">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18</w:t>
                  </w:r>
                </w:p>
              </w:tc>
              <w:tc>
                <w:tcPr>
                  <w:tcW w:w="555" w:type="pct"/>
                  <w:tcBorders>
                    <w:tl2br w:val="nil"/>
                    <w:tr2bl w:val="nil"/>
                  </w:tcBorders>
                  <w:noWrap w:val="0"/>
                  <w:vAlign w:val="center"/>
                </w:tcPr>
                <w:p w14:paraId="4ADAEB92">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19</w:t>
                  </w:r>
                </w:p>
              </w:tc>
              <w:tc>
                <w:tcPr>
                  <w:tcW w:w="551" w:type="pct"/>
                  <w:tcBorders>
                    <w:tl2br w:val="nil"/>
                    <w:tr2bl w:val="nil"/>
                  </w:tcBorders>
                  <w:noWrap w:val="0"/>
                  <w:vAlign w:val="center"/>
                </w:tcPr>
                <w:p w14:paraId="7A831AA4">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400</w:t>
                  </w:r>
                </w:p>
              </w:tc>
              <w:tc>
                <w:tcPr>
                  <w:tcW w:w="432" w:type="pct"/>
                  <w:tcBorders>
                    <w:tl2br w:val="nil"/>
                    <w:tr2bl w:val="nil"/>
                  </w:tcBorders>
                  <w:noWrap w:val="0"/>
                  <w:vAlign w:val="center"/>
                </w:tcPr>
                <w:p w14:paraId="2597AA6D">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lang w:val="en-US" w:eastAsia="zh-CN"/>
                    </w:rPr>
                    <w:t>mg/L</w:t>
                  </w:r>
                </w:p>
              </w:tc>
            </w:tr>
            <w:tr w14:paraId="5C2B5AD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536" w:type="pct"/>
                  <w:vMerge w:val="continue"/>
                  <w:tcBorders>
                    <w:tl2br w:val="nil"/>
                    <w:tr2bl w:val="nil"/>
                  </w:tcBorders>
                  <w:noWrap w:val="0"/>
                  <w:vAlign w:val="center"/>
                </w:tcPr>
                <w:p w14:paraId="627F15A9">
                  <w:pPr>
                    <w:pStyle w:val="2"/>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rPr>
                      <w:rFonts w:hint="default" w:ascii="Times New Roman" w:hAnsi="Times New Roman" w:eastAsia="宋体" w:cs="Times New Roman"/>
                      <w:color w:val="auto"/>
                      <w:sz w:val="21"/>
                      <w:szCs w:val="21"/>
                      <w:highlight w:val="none"/>
                      <w:u w:val="none" w:color="auto"/>
                      <w:lang w:val="en-US" w:eastAsia="zh-CN"/>
                    </w:rPr>
                  </w:pPr>
                </w:p>
              </w:tc>
              <w:tc>
                <w:tcPr>
                  <w:tcW w:w="486" w:type="pct"/>
                  <w:vMerge w:val="continue"/>
                  <w:tcBorders>
                    <w:tl2br w:val="nil"/>
                    <w:tr2bl w:val="nil"/>
                  </w:tcBorders>
                  <w:noWrap w:val="0"/>
                  <w:vAlign w:val="center"/>
                </w:tcPr>
                <w:p w14:paraId="07307004">
                  <w:pPr>
                    <w:pStyle w:val="2"/>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rPr>
                      <w:rFonts w:hint="default" w:ascii="Times New Roman" w:hAnsi="Times New Roman" w:eastAsia="宋体" w:cs="Times New Roman"/>
                      <w:color w:val="auto"/>
                      <w:sz w:val="21"/>
                      <w:szCs w:val="21"/>
                      <w:highlight w:val="none"/>
                      <w:u w:val="none" w:color="auto"/>
                      <w:lang w:val="en-US" w:eastAsia="zh-CN"/>
                    </w:rPr>
                  </w:pPr>
                </w:p>
              </w:tc>
              <w:tc>
                <w:tcPr>
                  <w:tcW w:w="776" w:type="pct"/>
                  <w:tcBorders>
                    <w:tl2br w:val="nil"/>
                    <w:tr2bl w:val="nil"/>
                  </w:tcBorders>
                  <w:noWrap w:val="0"/>
                  <w:vAlign w:val="center"/>
                </w:tcPr>
                <w:p w14:paraId="212766D8">
                  <w:pPr>
                    <w:keepNext w:val="0"/>
                    <w:keepLines w:val="0"/>
                    <w:pageBreakBefore w:val="0"/>
                    <w:widowControl/>
                    <w:suppressLineNumbers w:val="0"/>
                    <w:kinsoku/>
                    <w:wordWrap/>
                    <w:overflowPunct/>
                    <w:topLinePunct w:val="0"/>
                    <w:autoSpaceDE/>
                    <w:autoSpaceDN/>
                    <w:bidi w:val="0"/>
                    <w:adjustRightInd/>
                    <w:snapToGrid/>
                    <w:spacing w:after="0" w:line="240" w:lineRule="auto"/>
                    <w:ind w:left="0" w:leftChars="0" w:right="0" w:rightChars="0" w:firstLine="0" w:firstLineChars="0"/>
                    <w:jc w:val="center"/>
                    <w:textAlignment w:val="center"/>
                    <w:outlineLvl w:val="9"/>
                    <w:rPr>
                      <w:rFonts w:hint="default" w:ascii="Times New Roman" w:hAnsi="Times New Roman" w:eastAsia="宋体" w:cs="Times New Roman"/>
                      <w:color w:val="auto"/>
                      <w:kern w:val="2"/>
                      <w:sz w:val="21"/>
                      <w:szCs w:val="21"/>
                      <w:highlight w:val="none"/>
                      <w:u w:val="none" w:color="auto"/>
                      <w:vertAlign w:val="subscript"/>
                      <w:lang w:val="en-US" w:eastAsia="zh-CN" w:bidi="ar-SA"/>
                    </w:rPr>
                  </w:pPr>
                  <w:r>
                    <w:rPr>
                      <w:rFonts w:hint="default" w:ascii="Times New Roman" w:hAnsi="Times New Roman" w:eastAsia="宋体" w:cs="Times New Roman"/>
                      <w:color w:val="auto"/>
                      <w:sz w:val="21"/>
                      <w:szCs w:val="21"/>
                      <w:highlight w:val="none"/>
                      <w:u w:val="none" w:color="auto"/>
                      <w:lang w:val="en-US" w:eastAsia="zh-CN"/>
                    </w:rPr>
                    <w:t>动植物油</w:t>
                  </w:r>
                </w:p>
              </w:tc>
              <w:tc>
                <w:tcPr>
                  <w:tcW w:w="553" w:type="pct"/>
                  <w:tcBorders>
                    <w:tl2br w:val="nil"/>
                    <w:tr2bl w:val="nil"/>
                  </w:tcBorders>
                  <w:noWrap w:val="0"/>
                  <w:vAlign w:val="center"/>
                </w:tcPr>
                <w:p w14:paraId="45A74FB6">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5.68</w:t>
                  </w:r>
                </w:p>
              </w:tc>
              <w:tc>
                <w:tcPr>
                  <w:tcW w:w="553" w:type="pct"/>
                  <w:tcBorders>
                    <w:tl2br w:val="nil"/>
                    <w:tr2bl w:val="nil"/>
                  </w:tcBorders>
                  <w:noWrap w:val="0"/>
                  <w:vAlign w:val="center"/>
                </w:tcPr>
                <w:p w14:paraId="6D350ED8">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6.73</w:t>
                  </w:r>
                </w:p>
              </w:tc>
              <w:tc>
                <w:tcPr>
                  <w:tcW w:w="553" w:type="pct"/>
                  <w:tcBorders>
                    <w:tl2br w:val="nil"/>
                    <w:tr2bl w:val="nil"/>
                  </w:tcBorders>
                  <w:noWrap w:val="0"/>
                  <w:vAlign w:val="center"/>
                </w:tcPr>
                <w:p w14:paraId="74687582">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6.54</w:t>
                  </w:r>
                </w:p>
              </w:tc>
              <w:tc>
                <w:tcPr>
                  <w:tcW w:w="555" w:type="pct"/>
                  <w:tcBorders>
                    <w:tl2br w:val="nil"/>
                    <w:tr2bl w:val="nil"/>
                  </w:tcBorders>
                  <w:noWrap w:val="0"/>
                  <w:vAlign w:val="center"/>
                </w:tcPr>
                <w:p w14:paraId="7EB8972E">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6.12</w:t>
                  </w:r>
                </w:p>
              </w:tc>
              <w:tc>
                <w:tcPr>
                  <w:tcW w:w="551" w:type="pct"/>
                  <w:tcBorders>
                    <w:tl2br w:val="nil"/>
                    <w:tr2bl w:val="nil"/>
                  </w:tcBorders>
                  <w:noWrap w:val="0"/>
                  <w:vAlign w:val="center"/>
                </w:tcPr>
                <w:p w14:paraId="55EE3876">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100</w:t>
                  </w:r>
                </w:p>
              </w:tc>
              <w:tc>
                <w:tcPr>
                  <w:tcW w:w="432" w:type="pct"/>
                  <w:tcBorders>
                    <w:tl2br w:val="nil"/>
                    <w:tr2bl w:val="nil"/>
                  </w:tcBorders>
                  <w:noWrap w:val="0"/>
                  <w:vAlign w:val="center"/>
                </w:tcPr>
                <w:p w14:paraId="3090C2C8">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lang w:val="en-US" w:eastAsia="zh-CN"/>
                    </w:rPr>
                    <w:t>mg/L</w:t>
                  </w:r>
                </w:p>
              </w:tc>
            </w:tr>
            <w:tr w14:paraId="79DBAC5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536" w:type="pct"/>
                  <w:vMerge w:val="continue"/>
                  <w:tcBorders>
                    <w:tl2br w:val="nil"/>
                    <w:tr2bl w:val="nil"/>
                  </w:tcBorders>
                  <w:noWrap w:val="0"/>
                  <w:vAlign w:val="center"/>
                </w:tcPr>
                <w:p w14:paraId="3154BD97">
                  <w:pPr>
                    <w:pStyle w:val="2"/>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rPr>
                      <w:rFonts w:hint="default" w:ascii="Times New Roman" w:hAnsi="Times New Roman" w:eastAsia="宋体" w:cs="Times New Roman"/>
                      <w:color w:val="auto"/>
                      <w:sz w:val="21"/>
                      <w:szCs w:val="21"/>
                      <w:highlight w:val="none"/>
                      <w:u w:val="none" w:color="auto"/>
                      <w:lang w:val="en-US" w:eastAsia="zh-CN"/>
                    </w:rPr>
                  </w:pPr>
                </w:p>
              </w:tc>
              <w:tc>
                <w:tcPr>
                  <w:tcW w:w="486" w:type="pct"/>
                  <w:vMerge w:val="continue"/>
                  <w:tcBorders>
                    <w:tl2br w:val="nil"/>
                    <w:tr2bl w:val="nil"/>
                  </w:tcBorders>
                  <w:noWrap w:val="0"/>
                  <w:vAlign w:val="center"/>
                </w:tcPr>
                <w:p w14:paraId="319885BD">
                  <w:pPr>
                    <w:pStyle w:val="2"/>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rPr>
                      <w:rFonts w:hint="default" w:ascii="Times New Roman" w:hAnsi="Times New Roman" w:eastAsia="宋体" w:cs="Times New Roman"/>
                      <w:color w:val="auto"/>
                      <w:sz w:val="21"/>
                      <w:szCs w:val="21"/>
                      <w:highlight w:val="none"/>
                      <w:u w:val="none" w:color="auto"/>
                      <w:lang w:val="en-US" w:eastAsia="zh-CN"/>
                    </w:rPr>
                  </w:pPr>
                </w:p>
              </w:tc>
              <w:tc>
                <w:tcPr>
                  <w:tcW w:w="776" w:type="pct"/>
                  <w:tcBorders>
                    <w:tl2br w:val="nil"/>
                    <w:tr2bl w:val="nil"/>
                  </w:tcBorders>
                  <w:noWrap w:val="0"/>
                  <w:vAlign w:val="center"/>
                </w:tcPr>
                <w:p w14:paraId="5337AAC5">
                  <w:pPr>
                    <w:keepNext w:val="0"/>
                    <w:keepLines w:val="0"/>
                    <w:pageBreakBefore w:val="0"/>
                    <w:widowControl/>
                    <w:suppressLineNumbers w:val="0"/>
                    <w:kinsoku/>
                    <w:wordWrap/>
                    <w:overflowPunct/>
                    <w:topLinePunct w:val="0"/>
                    <w:autoSpaceDE/>
                    <w:autoSpaceDN/>
                    <w:bidi w:val="0"/>
                    <w:adjustRightInd/>
                    <w:snapToGrid/>
                    <w:spacing w:after="0" w:line="240" w:lineRule="auto"/>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石油类</w:t>
                  </w:r>
                </w:p>
              </w:tc>
              <w:tc>
                <w:tcPr>
                  <w:tcW w:w="553" w:type="pct"/>
                  <w:tcBorders>
                    <w:tl2br w:val="nil"/>
                    <w:tr2bl w:val="nil"/>
                  </w:tcBorders>
                  <w:noWrap w:val="0"/>
                  <w:vAlign w:val="center"/>
                </w:tcPr>
                <w:p w14:paraId="00A9A087">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1.44</w:t>
                  </w:r>
                </w:p>
              </w:tc>
              <w:tc>
                <w:tcPr>
                  <w:tcW w:w="553" w:type="pct"/>
                  <w:tcBorders>
                    <w:tl2br w:val="nil"/>
                    <w:tr2bl w:val="nil"/>
                  </w:tcBorders>
                  <w:noWrap w:val="0"/>
                  <w:vAlign w:val="center"/>
                </w:tcPr>
                <w:p w14:paraId="0E802582">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1.87</w:t>
                  </w:r>
                </w:p>
              </w:tc>
              <w:tc>
                <w:tcPr>
                  <w:tcW w:w="553" w:type="pct"/>
                  <w:tcBorders>
                    <w:tl2br w:val="nil"/>
                    <w:tr2bl w:val="nil"/>
                  </w:tcBorders>
                  <w:noWrap w:val="0"/>
                  <w:vAlign w:val="center"/>
                </w:tcPr>
                <w:p w14:paraId="319A4AC4">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1.63</w:t>
                  </w:r>
                </w:p>
              </w:tc>
              <w:tc>
                <w:tcPr>
                  <w:tcW w:w="555" w:type="pct"/>
                  <w:tcBorders>
                    <w:tl2br w:val="nil"/>
                    <w:tr2bl w:val="nil"/>
                  </w:tcBorders>
                  <w:noWrap w:val="0"/>
                  <w:vAlign w:val="center"/>
                </w:tcPr>
                <w:p w14:paraId="175E475A">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1.56</w:t>
                  </w:r>
                </w:p>
              </w:tc>
              <w:tc>
                <w:tcPr>
                  <w:tcW w:w="551" w:type="pct"/>
                  <w:tcBorders>
                    <w:tl2br w:val="nil"/>
                    <w:tr2bl w:val="nil"/>
                  </w:tcBorders>
                  <w:noWrap w:val="0"/>
                  <w:vAlign w:val="center"/>
                </w:tcPr>
                <w:p w14:paraId="61FAB0B7">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15</w:t>
                  </w:r>
                </w:p>
              </w:tc>
              <w:tc>
                <w:tcPr>
                  <w:tcW w:w="432" w:type="pct"/>
                  <w:tcBorders>
                    <w:tl2br w:val="nil"/>
                    <w:tr2bl w:val="nil"/>
                  </w:tcBorders>
                  <w:noWrap w:val="0"/>
                  <w:vAlign w:val="center"/>
                </w:tcPr>
                <w:p w14:paraId="7D6B6C57">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mg/L</w:t>
                  </w:r>
                </w:p>
              </w:tc>
            </w:tr>
            <w:tr w14:paraId="59CEBF9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536" w:type="pct"/>
                  <w:vMerge w:val="continue"/>
                  <w:tcBorders>
                    <w:tl2br w:val="nil"/>
                    <w:tr2bl w:val="nil"/>
                  </w:tcBorders>
                  <w:noWrap w:val="0"/>
                  <w:vAlign w:val="center"/>
                </w:tcPr>
                <w:p w14:paraId="41E3A636">
                  <w:pPr>
                    <w:pStyle w:val="2"/>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rPr>
                      <w:rFonts w:hint="default" w:ascii="Times New Roman" w:hAnsi="Times New Roman" w:eastAsia="宋体" w:cs="Times New Roman"/>
                      <w:color w:val="auto"/>
                      <w:sz w:val="21"/>
                      <w:szCs w:val="21"/>
                      <w:highlight w:val="none"/>
                      <w:u w:val="none" w:color="auto"/>
                      <w:lang w:val="en-US" w:eastAsia="zh-CN"/>
                    </w:rPr>
                  </w:pPr>
                </w:p>
              </w:tc>
              <w:tc>
                <w:tcPr>
                  <w:tcW w:w="486" w:type="pct"/>
                  <w:vMerge w:val="restart"/>
                  <w:tcBorders>
                    <w:tl2br w:val="nil"/>
                    <w:tr2bl w:val="nil"/>
                  </w:tcBorders>
                  <w:noWrap w:val="0"/>
                  <w:vAlign w:val="center"/>
                </w:tcPr>
                <w:p w14:paraId="198DE7DE">
                  <w:pPr>
                    <w:pStyle w:val="2"/>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lang w:val="en-US" w:eastAsia="zh-CN"/>
                    </w:rPr>
                    <w:t>厂区废水总排（DW001）</w:t>
                  </w:r>
                </w:p>
              </w:tc>
              <w:tc>
                <w:tcPr>
                  <w:tcW w:w="776" w:type="pct"/>
                  <w:tcBorders>
                    <w:tl2br w:val="nil"/>
                    <w:tr2bl w:val="nil"/>
                  </w:tcBorders>
                  <w:noWrap w:val="0"/>
                  <w:vAlign w:val="center"/>
                </w:tcPr>
                <w:p w14:paraId="1DA00019">
                  <w:pPr>
                    <w:keepNext w:val="0"/>
                    <w:keepLines w:val="0"/>
                    <w:pageBreakBefore w:val="0"/>
                    <w:widowControl/>
                    <w:suppressLineNumbers w:val="0"/>
                    <w:kinsoku/>
                    <w:wordWrap/>
                    <w:overflowPunct/>
                    <w:topLinePunct w:val="0"/>
                    <w:autoSpaceDE/>
                    <w:autoSpaceDN/>
                    <w:bidi w:val="0"/>
                    <w:adjustRightInd/>
                    <w:snapToGrid/>
                    <w:spacing w:after="0" w:line="240" w:lineRule="auto"/>
                    <w:ind w:left="0" w:leftChars="0" w:right="0" w:rightChars="0" w:firstLine="0" w:firstLineChars="0"/>
                    <w:jc w:val="center"/>
                    <w:textAlignment w:val="center"/>
                    <w:outlineLvl w:val="9"/>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lang w:val="en-US" w:eastAsia="zh-CN"/>
                    </w:rPr>
                    <w:t>pH值</w:t>
                  </w:r>
                </w:p>
              </w:tc>
              <w:tc>
                <w:tcPr>
                  <w:tcW w:w="553" w:type="pct"/>
                  <w:tcBorders>
                    <w:tl2br w:val="nil"/>
                    <w:tr2bl w:val="nil"/>
                  </w:tcBorders>
                  <w:noWrap w:val="0"/>
                  <w:vAlign w:val="center"/>
                </w:tcPr>
                <w:p w14:paraId="59C2497F">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6.7</w:t>
                  </w:r>
                </w:p>
              </w:tc>
              <w:tc>
                <w:tcPr>
                  <w:tcW w:w="553" w:type="pct"/>
                  <w:tcBorders>
                    <w:tl2br w:val="nil"/>
                    <w:tr2bl w:val="nil"/>
                  </w:tcBorders>
                  <w:noWrap w:val="0"/>
                  <w:vAlign w:val="center"/>
                </w:tcPr>
                <w:p w14:paraId="3FB8C17E">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6.8</w:t>
                  </w:r>
                </w:p>
              </w:tc>
              <w:tc>
                <w:tcPr>
                  <w:tcW w:w="553" w:type="pct"/>
                  <w:tcBorders>
                    <w:tl2br w:val="nil"/>
                    <w:tr2bl w:val="nil"/>
                  </w:tcBorders>
                  <w:noWrap w:val="0"/>
                  <w:vAlign w:val="center"/>
                </w:tcPr>
                <w:p w14:paraId="399C01E7">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6.6</w:t>
                  </w:r>
                </w:p>
              </w:tc>
              <w:tc>
                <w:tcPr>
                  <w:tcW w:w="555" w:type="pct"/>
                  <w:tcBorders>
                    <w:tl2br w:val="nil"/>
                    <w:tr2bl w:val="nil"/>
                  </w:tcBorders>
                  <w:noWrap w:val="0"/>
                  <w:vAlign w:val="center"/>
                </w:tcPr>
                <w:p w14:paraId="15781D9D">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6.9</w:t>
                  </w:r>
                </w:p>
              </w:tc>
              <w:tc>
                <w:tcPr>
                  <w:tcW w:w="551" w:type="pct"/>
                  <w:tcBorders>
                    <w:tl2br w:val="nil"/>
                    <w:tr2bl w:val="nil"/>
                  </w:tcBorders>
                  <w:noWrap w:val="0"/>
                  <w:vAlign w:val="center"/>
                </w:tcPr>
                <w:p w14:paraId="3BA9373D">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6-9</w:t>
                  </w:r>
                </w:p>
              </w:tc>
              <w:tc>
                <w:tcPr>
                  <w:tcW w:w="432" w:type="pct"/>
                  <w:tcBorders>
                    <w:tl2br w:val="nil"/>
                    <w:tr2bl w:val="nil"/>
                  </w:tcBorders>
                  <w:noWrap w:val="0"/>
                  <w:vAlign w:val="center"/>
                </w:tcPr>
                <w:p w14:paraId="68359509">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lang w:val="en-US" w:eastAsia="zh-CN"/>
                    </w:rPr>
                    <w:t>无量纲</w:t>
                  </w:r>
                </w:p>
              </w:tc>
            </w:tr>
            <w:tr w14:paraId="5EEB199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536" w:type="pct"/>
                  <w:vMerge w:val="continue"/>
                  <w:tcBorders>
                    <w:tl2br w:val="nil"/>
                    <w:tr2bl w:val="nil"/>
                  </w:tcBorders>
                  <w:noWrap w:val="0"/>
                  <w:vAlign w:val="center"/>
                </w:tcPr>
                <w:p w14:paraId="75E6D9AB">
                  <w:pPr>
                    <w:pStyle w:val="2"/>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rPr>
                      <w:rFonts w:hint="default" w:ascii="Times New Roman" w:hAnsi="Times New Roman" w:eastAsia="宋体" w:cs="Times New Roman"/>
                      <w:color w:val="auto"/>
                      <w:sz w:val="21"/>
                      <w:szCs w:val="21"/>
                      <w:highlight w:val="none"/>
                      <w:u w:val="none" w:color="auto"/>
                      <w:lang w:val="en-US" w:eastAsia="zh-CN"/>
                    </w:rPr>
                  </w:pPr>
                </w:p>
              </w:tc>
              <w:tc>
                <w:tcPr>
                  <w:tcW w:w="486" w:type="pct"/>
                  <w:vMerge w:val="continue"/>
                  <w:tcBorders>
                    <w:tl2br w:val="nil"/>
                    <w:tr2bl w:val="nil"/>
                  </w:tcBorders>
                  <w:noWrap w:val="0"/>
                  <w:vAlign w:val="center"/>
                </w:tcPr>
                <w:p w14:paraId="6147FD48">
                  <w:pPr>
                    <w:pStyle w:val="2"/>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rPr>
                      <w:rFonts w:hint="default" w:ascii="Times New Roman" w:hAnsi="Times New Roman" w:eastAsia="宋体" w:cs="Times New Roman"/>
                      <w:color w:val="auto"/>
                      <w:sz w:val="21"/>
                      <w:szCs w:val="21"/>
                      <w:highlight w:val="none"/>
                      <w:u w:val="none" w:color="auto"/>
                      <w:lang w:val="en-US" w:eastAsia="zh-CN"/>
                    </w:rPr>
                  </w:pPr>
                </w:p>
              </w:tc>
              <w:tc>
                <w:tcPr>
                  <w:tcW w:w="776" w:type="pct"/>
                  <w:tcBorders>
                    <w:tl2br w:val="nil"/>
                    <w:tr2bl w:val="nil"/>
                  </w:tcBorders>
                  <w:noWrap w:val="0"/>
                  <w:vAlign w:val="center"/>
                </w:tcPr>
                <w:p w14:paraId="24CF2306">
                  <w:pPr>
                    <w:keepNext w:val="0"/>
                    <w:keepLines w:val="0"/>
                    <w:pageBreakBefore w:val="0"/>
                    <w:widowControl/>
                    <w:kinsoku/>
                    <w:wordWrap/>
                    <w:overflowPunct/>
                    <w:topLinePunct w:val="0"/>
                    <w:autoSpaceDE/>
                    <w:autoSpaceDN/>
                    <w:bidi w:val="0"/>
                    <w:adjustRightInd/>
                    <w:snapToGrid/>
                    <w:spacing w:after="0" w:line="240" w:lineRule="auto"/>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u w:val="none" w:color="auto"/>
                    </w:rPr>
                    <w:t>温度</w:t>
                  </w:r>
                </w:p>
              </w:tc>
              <w:tc>
                <w:tcPr>
                  <w:tcW w:w="553" w:type="pct"/>
                  <w:tcBorders>
                    <w:tl2br w:val="nil"/>
                    <w:tr2bl w:val="nil"/>
                  </w:tcBorders>
                  <w:noWrap w:val="0"/>
                  <w:vAlign w:val="center"/>
                </w:tcPr>
                <w:p w14:paraId="70CAC658">
                  <w:pPr>
                    <w:keepNext w:val="0"/>
                    <w:keepLines w:val="0"/>
                    <w:pageBreakBefore w:val="0"/>
                    <w:widowControl/>
                    <w:kinsoku/>
                    <w:wordWrap/>
                    <w:overflowPunct/>
                    <w:topLinePunct w:val="0"/>
                    <w:autoSpaceDE/>
                    <w:autoSpaceDN/>
                    <w:bidi w:val="0"/>
                    <w:adjustRightInd/>
                    <w:snapToGrid/>
                    <w:spacing w:after="0" w:line="240" w:lineRule="auto"/>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14.5</w:t>
                  </w:r>
                </w:p>
              </w:tc>
              <w:tc>
                <w:tcPr>
                  <w:tcW w:w="553" w:type="pct"/>
                  <w:tcBorders>
                    <w:tl2br w:val="nil"/>
                    <w:tr2bl w:val="nil"/>
                  </w:tcBorders>
                  <w:noWrap w:val="0"/>
                  <w:vAlign w:val="center"/>
                </w:tcPr>
                <w:p w14:paraId="7FEA69F7">
                  <w:pPr>
                    <w:keepNext w:val="0"/>
                    <w:keepLines w:val="0"/>
                    <w:pageBreakBefore w:val="0"/>
                    <w:widowControl/>
                    <w:kinsoku/>
                    <w:wordWrap/>
                    <w:overflowPunct/>
                    <w:topLinePunct w:val="0"/>
                    <w:autoSpaceDE/>
                    <w:autoSpaceDN/>
                    <w:bidi w:val="0"/>
                    <w:adjustRightInd/>
                    <w:snapToGrid/>
                    <w:spacing w:after="0" w:line="240" w:lineRule="auto"/>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14.0</w:t>
                  </w:r>
                </w:p>
              </w:tc>
              <w:tc>
                <w:tcPr>
                  <w:tcW w:w="553" w:type="pct"/>
                  <w:tcBorders>
                    <w:tl2br w:val="nil"/>
                    <w:tr2bl w:val="nil"/>
                  </w:tcBorders>
                  <w:noWrap w:val="0"/>
                  <w:vAlign w:val="center"/>
                </w:tcPr>
                <w:p w14:paraId="3D8E56B3">
                  <w:pPr>
                    <w:keepNext w:val="0"/>
                    <w:keepLines w:val="0"/>
                    <w:pageBreakBefore w:val="0"/>
                    <w:widowControl/>
                    <w:kinsoku/>
                    <w:wordWrap/>
                    <w:overflowPunct/>
                    <w:topLinePunct w:val="0"/>
                    <w:autoSpaceDE/>
                    <w:autoSpaceDN/>
                    <w:bidi w:val="0"/>
                    <w:adjustRightInd/>
                    <w:snapToGrid/>
                    <w:spacing w:after="0" w:line="240" w:lineRule="auto"/>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14.0</w:t>
                  </w:r>
                </w:p>
              </w:tc>
              <w:tc>
                <w:tcPr>
                  <w:tcW w:w="555" w:type="pct"/>
                  <w:tcBorders>
                    <w:tl2br w:val="nil"/>
                    <w:tr2bl w:val="nil"/>
                  </w:tcBorders>
                  <w:noWrap w:val="0"/>
                  <w:vAlign w:val="center"/>
                </w:tcPr>
                <w:p w14:paraId="1B985078">
                  <w:pPr>
                    <w:keepNext w:val="0"/>
                    <w:keepLines w:val="0"/>
                    <w:pageBreakBefore w:val="0"/>
                    <w:widowControl/>
                    <w:kinsoku/>
                    <w:wordWrap/>
                    <w:overflowPunct/>
                    <w:topLinePunct w:val="0"/>
                    <w:autoSpaceDE/>
                    <w:autoSpaceDN/>
                    <w:bidi w:val="0"/>
                    <w:adjustRightInd/>
                    <w:snapToGrid/>
                    <w:spacing w:after="0" w:line="240" w:lineRule="auto"/>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14.1</w:t>
                  </w:r>
                </w:p>
              </w:tc>
              <w:tc>
                <w:tcPr>
                  <w:tcW w:w="551" w:type="pct"/>
                  <w:tcBorders>
                    <w:tl2br w:val="nil"/>
                    <w:tr2bl w:val="nil"/>
                  </w:tcBorders>
                  <w:noWrap w:val="0"/>
                  <w:vAlign w:val="center"/>
                </w:tcPr>
                <w:p w14:paraId="1288514E">
                  <w:pPr>
                    <w:keepNext w:val="0"/>
                    <w:keepLines w:val="0"/>
                    <w:pageBreakBefore w:val="0"/>
                    <w:widowControl/>
                    <w:kinsoku/>
                    <w:wordWrap/>
                    <w:overflowPunct/>
                    <w:topLinePunct w:val="0"/>
                    <w:autoSpaceDE/>
                    <w:autoSpaceDN/>
                    <w:bidi w:val="0"/>
                    <w:adjustRightInd/>
                    <w:snapToGrid/>
                    <w:spacing w:after="0" w:line="240" w:lineRule="auto"/>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u w:val="none" w:color="auto"/>
                    </w:rPr>
                    <w:t>/</w:t>
                  </w:r>
                </w:p>
              </w:tc>
              <w:tc>
                <w:tcPr>
                  <w:tcW w:w="432" w:type="pct"/>
                  <w:tcBorders>
                    <w:tl2br w:val="nil"/>
                    <w:tr2bl w:val="nil"/>
                  </w:tcBorders>
                  <w:noWrap w:val="0"/>
                  <w:vAlign w:val="center"/>
                </w:tcPr>
                <w:p w14:paraId="510B9B27">
                  <w:pPr>
                    <w:keepNext w:val="0"/>
                    <w:keepLines w:val="0"/>
                    <w:pageBreakBefore w:val="0"/>
                    <w:widowControl/>
                    <w:kinsoku/>
                    <w:wordWrap/>
                    <w:overflowPunct/>
                    <w:topLinePunct w:val="0"/>
                    <w:autoSpaceDE/>
                    <w:autoSpaceDN/>
                    <w:bidi w:val="0"/>
                    <w:adjustRightInd/>
                    <w:snapToGrid/>
                    <w:spacing w:after="0" w:line="240" w:lineRule="auto"/>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u w:val="none" w:color="auto"/>
                    </w:rPr>
                    <w:t>℃</w:t>
                  </w:r>
                </w:p>
              </w:tc>
            </w:tr>
            <w:tr w14:paraId="260C63E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536" w:type="pct"/>
                  <w:vMerge w:val="continue"/>
                  <w:tcBorders>
                    <w:tl2br w:val="nil"/>
                    <w:tr2bl w:val="nil"/>
                  </w:tcBorders>
                  <w:noWrap w:val="0"/>
                  <w:vAlign w:val="center"/>
                </w:tcPr>
                <w:p w14:paraId="416BC99A">
                  <w:pPr>
                    <w:pStyle w:val="2"/>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rPr>
                      <w:rFonts w:hint="default" w:ascii="Times New Roman" w:hAnsi="Times New Roman" w:eastAsia="宋体" w:cs="Times New Roman"/>
                      <w:color w:val="auto"/>
                      <w:sz w:val="21"/>
                      <w:szCs w:val="21"/>
                      <w:highlight w:val="none"/>
                      <w:u w:val="none" w:color="auto"/>
                      <w:lang w:val="en-US" w:eastAsia="zh-CN"/>
                    </w:rPr>
                  </w:pPr>
                </w:p>
              </w:tc>
              <w:tc>
                <w:tcPr>
                  <w:tcW w:w="486" w:type="pct"/>
                  <w:vMerge w:val="continue"/>
                  <w:tcBorders>
                    <w:tl2br w:val="nil"/>
                    <w:tr2bl w:val="nil"/>
                  </w:tcBorders>
                  <w:noWrap w:val="0"/>
                  <w:vAlign w:val="center"/>
                </w:tcPr>
                <w:p w14:paraId="687C759B">
                  <w:pPr>
                    <w:pStyle w:val="2"/>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rPr>
                      <w:rFonts w:hint="default" w:ascii="Times New Roman" w:hAnsi="Times New Roman" w:eastAsia="宋体" w:cs="Times New Roman"/>
                      <w:color w:val="auto"/>
                      <w:sz w:val="21"/>
                      <w:szCs w:val="21"/>
                      <w:highlight w:val="none"/>
                      <w:u w:val="none" w:color="auto"/>
                      <w:lang w:val="en-US" w:eastAsia="zh-CN"/>
                    </w:rPr>
                  </w:pPr>
                </w:p>
              </w:tc>
              <w:tc>
                <w:tcPr>
                  <w:tcW w:w="776" w:type="pct"/>
                  <w:tcBorders>
                    <w:tl2br w:val="nil"/>
                    <w:tr2bl w:val="nil"/>
                  </w:tcBorders>
                  <w:noWrap w:val="0"/>
                  <w:vAlign w:val="center"/>
                </w:tcPr>
                <w:p w14:paraId="5B9C66D6">
                  <w:pPr>
                    <w:keepNext w:val="0"/>
                    <w:keepLines w:val="0"/>
                    <w:pageBreakBefore w:val="0"/>
                    <w:widowControl/>
                    <w:kinsoku/>
                    <w:wordWrap/>
                    <w:overflowPunct/>
                    <w:topLinePunct w:val="0"/>
                    <w:autoSpaceDE/>
                    <w:autoSpaceDN/>
                    <w:bidi w:val="0"/>
                    <w:adjustRightInd/>
                    <w:snapToGrid/>
                    <w:spacing w:after="0" w:line="240" w:lineRule="auto"/>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u w:val="none" w:color="auto"/>
                    </w:rPr>
                    <w:t>流量</w:t>
                  </w:r>
                </w:p>
              </w:tc>
              <w:tc>
                <w:tcPr>
                  <w:tcW w:w="553" w:type="pct"/>
                  <w:tcBorders>
                    <w:tl2br w:val="nil"/>
                    <w:tr2bl w:val="nil"/>
                  </w:tcBorders>
                  <w:noWrap w:val="0"/>
                  <w:vAlign w:val="center"/>
                </w:tcPr>
                <w:p w14:paraId="6D49B88A">
                  <w:pPr>
                    <w:keepNext w:val="0"/>
                    <w:keepLines w:val="0"/>
                    <w:pageBreakBefore w:val="0"/>
                    <w:widowControl/>
                    <w:kinsoku/>
                    <w:wordWrap/>
                    <w:overflowPunct/>
                    <w:topLinePunct w:val="0"/>
                    <w:autoSpaceDE/>
                    <w:autoSpaceDN/>
                    <w:bidi w:val="0"/>
                    <w:adjustRightInd/>
                    <w:snapToGrid/>
                    <w:spacing w:after="0" w:line="240" w:lineRule="auto"/>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4.3</w:t>
                  </w:r>
                </w:p>
              </w:tc>
              <w:tc>
                <w:tcPr>
                  <w:tcW w:w="553" w:type="pct"/>
                  <w:tcBorders>
                    <w:tl2br w:val="nil"/>
                    <w:tr2bl w:val="nil"/>
                  </w:tcBorders>
                  <w:noWrap w:val="0"/>
                  <w:vAlign w:val="center"/>
                </w:tcPr>
                <w:p w14:paraId="1B92EDE7">
                  <w:pPr>
                    <w:keepNext w:val="0"/>
                    <w:keepLines w:val="0"/>
                    <w:pageBreakBefore w:val="0"/>
                    <w:widowControl/>
                    <w:kinsoku/>
                    <w:wordWrap/>
                    <w:overflowPunct/>
                    <w:topLinePunct w:val="0"/>
                    <w:autoSpaceDE/>
                    <w:autoSpaceDN/>
                    <w:bidi w:val="0"/>
                    <w:adjustRightInd/>
                    <w:snapToGrid/>
                    <w:spacing w:after="0" w:line="240" w:lineRule="auto"/>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3.8</w:t>
                  </w:r>
                </w:p>
              </w:tc>
              <w:tc>
                <w:tcPr>
                  <w:tcW w:w="553" w:type="pct"/>
                  <w:tcBorders>
                    <w:tl2br w:val="nil"/>
                    <w:tr2bl w:val="nil"/>
                  </w:tcBorders>
                  <w:noWrap w:val="0"/>
                  <w:vAlign w:val="center"/>
                </w:tcPr>
                <w:p w14:paraId="24B049A5">
                  <w:pPr>
                    <w:keepNext w:val="0"/>
                    <w:keepLines w:val="0"/>
                    <w:pageBreakBefore w:val="0"/>
                    <w:widowControl/>
                    <w:kinsoku/>
                    <w:wordWrap/>
                    <w:overflowPunct/>
                    <w:topLinePunct w:val="0"/>
                    <w:autoSpaceDE/>
                    <w:autoSpaceDN/>
                    <w:bidi w:val="0"/>
                    <w:adjustRightInd/>
                    <w:snapToGrid/>
                    <w:spacing w:after="0" w:line="240" w:lineRule="auto"/>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4.1</w:t>
                  </w:r>
                </w:p>
              </w:tc>
              <w:tc>
                <w:tcPr>
                  <w:tcW w:w="555" w:type="pct"/>
                  <w:tcBorders>
                    <w:tl2br w:val="nil"/>
                    <w:tr2bl w:val="nil"/>
                  </w:tcBorders>
                  <w:noWrap w:val="0"/>
                  <w:vAlign w:val="center"/>
                </w:tcPr>
                <w:p w14:paraId="7F10545F">
                  <w:pPr>
                    <w:keepNext w:val="0"/>
                    <w:keepLines w:val="0"/>
                    <w:pageBreakBefore w:val="0"/>
                    <w:widowControl/>
                    <w:kinsoku/>
                    <w:wordWrap/>
                    <w:overflowPunct/>
                    <w:topLinePunct w:val="0"/>
                    <w:autoSpaceDE/>
                    <w:autoSpaceDN/>
                    <w:bidi w:val="0"/>
                    <w:adjustRightInd/>
                    <w:snapToGrid/>
                    <w:spacing w:after="0" w:line="240" w:lineRule="auto"/>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4.2</w:t>
                  </w:r>
                </w:p>
              </w:tc>
              <w:tc>
                <w:tcPr>
                  <w:tcW w:w="551" w:type="pct"/>
                  <w:tcBorders>
                    <w:tl2br w:val="nil"/>
                    <w:tr2bl w:val="nil"/>
                  </w:tcBorders>
                  <w:noWrap w:val="0"/>
                  <w:vAlign w:val="center"/>
                </w:tcPr>
                <w:p w14:paraId="0B217461">
                  <w:pPr>
                    <w:keepNext w:val="0"/>
                    <w:keepLines w:val="0"/>
                    <w:pageBreakBefore w:val="0"/>
                    <w:widowControl/>
                    <w:kinsoku/>
                    <w:wordWrap/>
                    <w:overflowPunct/>
                    <w:topLinePunct w:val="0"/>
                    <w:autoSpaceDE/>
                    <w:autoSpaceDN/>
                    <w:bidi w:val="0"/>
                    <w:adjustRightInd/>
                    <w:snapToGrid/>
                    <w:spacing w:after="0" w:line="240" w:lineRule="auto"/>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u w:val="none" w:color="auto"/>
                    </w:rPr>
                    <w:t>/</w:t>
                  </w:r>
                </w:p>
              </w:tc>
              <w:tc>
                <w:tcPr>
                  <w:tcW w:w="432" w:type="pct"/>
                  <w:tcBorders>
                    <w:tl2br w:val="nil"/>
                    <w:tr2bl w:val="nil"/>
                  </w:tcBorders>
                  <w:noWrap w:val="0"/>
                  <w:vAlign w:val="center"/>
                </w:tcPr>
                <w:p w14:paraId="599EF8D6">
                  <w:pPr>
                    <w:keepNext w:val="0"/>
                    <w:keepLines w:val="0"/>
                    <w:pageBreakBefore w:val="0"/>
                    <w:widowControl/>
                    <w:kinsoku/>
                    <w:wordWrap/>
                    <w:overflowPunct/>
                    <w:topLinePunct w:val="0"/>
                    <w:autoSpaceDE/>
                    <w:autoSpaceDN/>
                    <w:bidi w:val="0"/>
                    <w:adjustRightInd/>
                    <w:snapToGrid/>
                    <w:spacing w:after="0" w:line="240" w:lineRule="auto"/>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L</w:t>
                  </w:r>
                  <w:r>
                    <w:rPr>
                      <w:rFonts w:hint="default" w:ascii="Times New Roman" w:hAnsi="Times New Roman" w:eastAsia="宋体" w:cs="Times New Roman"/>
                      <w:color w:val="auto"/>
                      <w:sz w:val="21"/>
                      <w:szCs w:val="21"/>
                      <w:u w:val="none" w:color="auto"/>
                    </w:rPr>
                    <w:t>/s</w:t>
                  </w:r>
                </w:p>
              </w:tc>
            </w:tr>
            <w:tr w14:paraId="5F404DC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536" w:type="pct"/>
                  <w:vMerge w:val="continue"/>
                  <w:tcBorders>
                    <w:tl2br w:val="nil"/>
                    <w:tr2bl w:val="nil"/>
                  </w:tcBorders>
                  <w:noWrap w:val="0"/>
                  <w:vAlign w:val="center"/>
                </w:tcPr>
                <w:p w14:paraId="253EFB93">
                  <w:pPr>
                    <w:pStyle w:val="2"/>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rPr>
                      <w:rFonts w:hint="default" w:ascii="Times New Roman" w:hAnsi="Times New Roman" w:eastAsia="宋体" w:cs="Times New Roman"/>
                      <w:color w:val="auto"/>
                      <w:sz w:val="21"/>
                      <w:szCs w:val="21"/>
                      <w:highlight w:val="none"/>
                      <w:u w:val="none" w:color="auto"/>
                      <w:lang w:val="en-US" w:eastAsia="zh-CN"/>
                    </w:rPr>
                  </w:pPr>
                </w:p>
              </w:tc>
              <w:tc>
                <w:tcPr>
                  <w:tcW w:w="486" w:type="pct"/>
                  <w:vMerge w:val="continue"/>
                  <w:tcBorders>
                    <w:tl2br w:val="nil"/>
                    <w:tr2bl w:val="nil"/>
                  </w:tcBorders>
                  <w:noWrap w:val="0"/>
                  <w:vAlign w:val="center"/>
                </w:tcPr>
                <w:p w14:paraId="0FD42744">
                  <w:pPr>
                    <w:pStyle w:val="2"/>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rPr>
                      <w:rFonts w:hint="default" w:ascii="Times New Roman" w:hAnsi="Times New Roman" w:eastAsia="宋体" w:cs="Times New Roman"/>
                      <w:color w:val="auto"/>
                      <w:sz w:val="21"/>
                      <w:szCs w:val="21"/>
                      <w:highlight w:val="none"/>
                      <w:u w:val="none" w:color="auto"/>
                      <w:lang w:val="en-US" w:eastAsia="zh-CN"/>
                    </w:rPr>
                  </w:pPr>
                </w:p>
              </w:tc>
              <w:tc>
                <w:tcPr>
                  <w:tcW w:w="776" w:type="pct"/>
                  <w:tcBorders>
                    <w:tl2br w:val="nil"/>
                    <w:tr2bl w:val="nil"/>
                  </w:tcBorders>
                  <w:noWrap w:val="0"/>
                  <w:vAlign w:val="center"/>
                </w:tcPr>
                <w:p w14:paraId="1070DED7">
                  <w:pPr>
                    <w:keepNext w:val="0"/>
                    <w:keepLines w:val="0"/>
                    <w:pageBreakBefore w:val="0"/>
                    <w:widowControl/>
                    <w:kinsoku/>
                    <w:wordWrap/>
                    <w:overflowPunct/>
                    <w:topLinePunct w:val="0"/>
                    <w:autoSpaceDE/>
                    <w:autoSpaceDN/>
                    <w:bidi w:val="0"/>
                    <w:adjustRightInd/>
                    <w:snapToGrid/>
                    <w:spacing w:after="0" w:line="240" w:lineRule="auto"/>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u w:val="none" w:color="auto"/>
                    </w:rPr>
                    <w:t>化学需氧量</w:t>
                  </w:r>
                </w:p>
              </w:tc>
              <w:tc>
                <w:tcPr>
                  <w:tcW w:w="553" w:type="pct"/>
                  <w:tcBorders>
                    <w:tl2br w:val="nil"/>
                    <w:tr2bl w:val="nil"/>
                  </w:tcBorders>
                  <w:noWrap w:val="0"/>
                  <w:vAlign w:val="center"/>
                </w:tcPr>
                <w:p w14:paraId="459C2F76">
                  <w:pPr>
                    <w:keepNext w:val="0"/>
                    <w:keepLines w:val="0"/>
                    <w:pageBreakBefore w:val="0"/>
                    <w:widowControl/>
                    <w:kinsoku/>
                    <w:wordWrap/>
                    <w:overflowPunct/>
                    <w:topLinePunct w:val="0"/>
                    <w:autoSpaceDE/>
                    <w:autoSpaceDN/>
                    <w:bidi w:val="0"/>
                    <w:adjustRightInd/>
                    <w:snapToGrid/>
                    <w:spacing w:after="0" w:line="240" w:lineRule="auto"/>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29</w:t>
                  </w:r>
                </w:p>
              </w:tc>
              <w:tc>
                <w:tcPr>
                  <w:tcW w:w="553" w:type="pct"/>
                  <w:tcBorders>
                    <w:tl2br w:val="nil"/>
                    <w:tr2bl w:val="nil"/>
                  </w:tcBorders>
                  <w:noWrap w:val="0"/>
                  <w:vAlign w:val="center"/>
                </w:tcPr>
                <w:p w14:paraId="3EECE121">
                  <w:pPr>
                    <w:keepNext w:val="0"/>
                    <w:keepLines w:val="0"/>
                    <w:pageBreakBefore w:val="0"/>
                    <w:widowControl/>
                    <w:kinsoku/>
                    <w:wordWrap/>
                    <w:overflowPunct/>
                    <w:topLinePunct w:val="0"/>
                    <w:autoSpaceDE/>
                    <w:autoSpaceDN/>
                    <w:bidi w:val="0"/>
                    <w:adjustRightInd/>
                    <w:snapToGrid/>
                    <w:spacing w:after="0" w:line="240" w:lineRule="auto"/>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22</w:t>
                  </w:r>
                </w:p>
              </w:tc>
              <w:tc>
                <w:tcPr>
                  <w:tcW w:w="553" w:type="pct"/>
                  <w:tcBorders>
                    <w:tl2br w:val="nil"/>
                    <w:tr2bl w:val="nil"/>
                  </w:tcBorders>
                  <w:noWrap w:val="0"/>
                  <w:vAlign w:val="center"/>
                </w:tcPr>
                <w:p w14:paraId="71859693">
                  <w:pPr>
                    <w:keepNext w:val="0"/>
                    <w:keepLines w:val="0"/>
                    <w:pageBreakBefore w:val="0"/>
                    <w:widowControl/>
                    <w:kinsoku/>
                    <w:wordWrap/>
                    <w:overflowPunct/>
                    <w:topLinePunct w:val="0"/>
                    <w:autoSpaceDE/>
                    <w:autoSpaceDN/>
                    <w:bidi w:val="0"/>
                    <w:adjustRightInd/>
                    <w:snapToGrid/>
                    <w:spacing w:after="0" w:line="240" w:lineRule="auto"/>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32</w:t>
                  </w:r>
                </w:p>
              </w:tc>
              <w:tc>
                <w:tcPr>
                  <w:tcW w:w="555" w:type="pct"/>
                  <w:tcBorders>
                    <w:tl2br w:val="nil"/>
                    <w:tr2bl w:val="nil"/>
                  </w:tcBorders>
                  <w:noWrap w:val="0"/>
                  <w:vAlign w:val="center"/>
                </w:tcPr>
                <w:p w14:paraId="484A6F48">
                  <w:pPr>
                    <w:keepNext w:val="0"/>
                    <w:keepLines w:val="0"/>
                    <w:pageBreakBefore w:val="0"/>
                    <w:widowControl/>
                    <w:kinsoku/>
                    <w:wordWrap/>
                    <w:overflowPunct/>
                    <w:topLinePunct w:val="0"/>
                    <w:autoSpaceDE/>
                    <w:autoSpaceDN/>
                    <w:bidi w:val="0"/>
                    <w:adjustRightInd/>
                    <w:snapToGrid/>
                    <w:spacing w:after="0" w:line="240" w:lineRule="auto"/>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33</w:t>
                  </w:r>
                </w:p>
              </w:tc>
              <w:tc>
                <w:tcPr>
                  <w:tcW w:w="551" w:type="pct"/>
                  <w:tcBorders>
                    <w:tl2br w:val="nil"/>
                    <w:tr2bl w:val="nil"/>
                  </w:tcBorders>
                  <w:noWrap w:val="0"/>
                  <w:vAlign w:val="center"/>
                </w:tcPr>
                <w:p w14:paraId="1968F610">
                  <w:pPr>
                    <w:keepNext w:val="0"/>
                    <w:keepLines w:val="0"/>
                    <w:pageBreakBefore w:val="0"/>
                    <w:widowControl/>
                    <w:kinsoku/>
                    <w:wordWrap/>
                    <w:overflowPunct/>
                    <w:topLinePunct w:val="0"/>
                    <w:autoSpaceDE/>
                    <w:autoSpaceDN/>
                    <w:bidi w:val="0"/>
                    <w:adjustRightInd/>
                    <w:snapToGrid/>
                    <w:spacing w:after="0" w:line="240" w:lineRule="auto"/>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u w:val="none" w:color="auto"/>
                    </w:rPr>
                    <w:t>500</w:t>
                  </w:r>
                </w:p>
              </w:tc>
              <w:tc>
                <w:tcPr>
                  <w:tcW w:w="432" w:type="pct"/>
                  <w:tcBorders>
                    <w:tl2br w:val="nil"/>
                    <w:tr2bl w:val="nil"/>
                  </w:tcBorders>
                  <w:noWrap w:val="0"/>
                  <w:vAlign w:val="center"/>
                </w:tcPr>
                <w:p w14:paraId="6902F569">
                  <w:pPr>
                    <w:keepNext w:val="0"/>
                    <w:keepLines w:val="0"/>
                    <w:pageBreakBefore w:val="0"/>
                    <w:widowControl/>
                    <w:kinsoku/>
                    <w:wordWrap/>
                    <w:overflowPunct/>
                    <w:topLinePunct w:val="0"/>
                    <w:autoSpaceDE/>
                    <w:autoSpaceDN/>
                    <w:bidi w:val="0"/>
                    <w:adjustRightInd/>
                    <w:snapToGrid/>
                    <w:spacing w:after="0" w:line="240" w:lineRule="auto"/>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u w:val="none" w:color="auto"/>
                    </w:rPr>
                    <w:t>mg/L</w:t>
                  </w:r>
                </w:p>
              </w:tc>
            </w:tr>
            <w:tr w14:paraId="1C2DC5C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536" w:type="pct"/>
                  <w:vMerge w:val="continue"/>
                  <w:tcBorders>
                    <w:tl2br w:val="nil"/>
                    <w:tr2bl w:val="nil"/>
                  </w:tcBorders>
                  <w:noWrap w:val="0"/>
                  <w:vAlign w:val="center"/>
                </w:tcPr>
                <w:p w14:paraId="4CC3E2D4">
                  <w:pPr>
                    <w:pStyle w:val="2"/>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rPr>
                      <w:rFonts w:hint="default" w:ascii="Times New Roman" w:hAnsi="Times New Roman" w:eastAsia="宋体" w:cs="Times New Roman"/>
                      <w:color w:val="auto"/>
                      <w:sz w:val="21"/>
                      <w:szCs w:val="21"/>
                      <w:highlight w:val="none"/>
                      <w:u w:val="none" w:color="auto"/>
                      <w:lang w:val="en-US" w:eastAsia="zh-CN"/>
                    </w:rPr>
                  </w:pPr>
                </w:p>
              </w:tc>
              <w:tc>
                <w:tcPr>
                  <w:tcW w:w="486" w:type="pct"/>
                  <w:vMerge w:val="continue"/>
                  <w:tcBorders>
                    <w:tl2br w:val="nil"/>
                    <w:tr2bl w:val="nil"/>
                  </w:tcBorders>
                  <w:noWrap w:val="0"/>
                  <w:vAlign w:val="center"/>
                </w:tcPr>
                <w:p w14:paraId="1FB9F84B">
                  <w:pPr>
                    <w:pStyle w:val="2"/>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u w:val="none" w:color="auto"/>
                      <w:lang w:val="en-US" w:eastAsia="zh-CN" w:bidi="ar-SA"/>
                    </w:rPr>
                  </w:pPr>
                </w:p>
              </w:tc>
              <w:tc>
                <w:tcPr>
                  <w:tcW w:w="776" w:type="pct"/>
                  <w:tcBorders>
                    <w:tl2br w:val="nil"/>
                    <w:tr2bl w:val="nil"/>
                  </w:tcBorders>
                  <w:noWrap w:val="0"/>
                  <w:vAlign w:val="center"/>
                </w:tcPr>
                <w:p w14:paraId="2307DF6F">
                  <w:pPr>
                    <w:keepNext w:val="0"/>
                    <w:keepLines w:val="0"/>
                    <w:pageBreakBefore w:val="0"/>
                    <w:widowControl/>
                    <w:kinsoku/>
                    <w:wordWrap/>
                    <w:overflowPunct/>
                    <w:topLinePunct w:val="0"/>
                    <w:autoSpaceDE/>
                    <w:autoSpaceDN/>
                    <w:bidi w:val="0"/>
                    <w:adjustRightInd/>
                    <w:snapToGrid/>
                    <w:spacing w:after="0" w:line="240" w:lineRule="auto"/>
                    <w:jc w:val="center"/>
                    <w:textAlignment w:val="center"/>
                    <w:rPr>
                      <w:rFonts w:hint="default" w:ascii="Times New Roman" w:hAnsi="Times New Roman" w:eastAsia="宋体" w:cs="Times New Roman"/>
                      <w:b w:val="0"/>
                      <w:bCs w:val="0"/>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u w:val="none" w:color="auto"/>
                    </w:rPr>
                    <w:t>五日生化需氧量</w:t>
                  </w:r>
                </w:p>
              </w:tc>
              <w:tc>
                <w:tcPr>
                  <w:tcW w:w="553" w:type="pct"/>
                  <w:tcBorders>
                    <w:tl2br w:val="nil"/>
                    <w:tr2bl w:val="nil"/>
                  </w:tcBorders>
                  <w:noWrap w:val="0"/>
                  <w:vAlign w:val="center"/>
                </w:tcPr>
                <w:p w14:paraId="07AC9728">
                  <w:pPr>
                    <w:keepNext w:val="0"/>
                    <w:keepLines w:val="0"/>
                    <w:pageBreakBefore w:val="0"/>
                    <w:widowControl/>
                    <w:kinsoku/>
                    <w:wordWrap/>
                    <w:overflowPunct/>
                    <w:topLinePunct w:val="0"/>
                    <w:autoSpaceDE/>
                    <w:autoSpaceDN/>
                    <w:bidi w:val="0"/>
                    <w:adjustRightInd/>
                    <w:snapToGrid/>
                    <w:spacing w:after="0" w:line="240" w:lineRule="auto"/>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16.9</w:t>
                  </w:r>
                </w:p>
              </w:tc>
              <w:tc>
                <w:tcPr>
                  <w:tcW w:w="553" w:type="pct"/>
                  <w:tcBorders>
                    <w:tl2br w:val="nil"/>
                    <w:tr2bl w:val="nil"/>
                  </w:tcBorders>
                  <w:noWrap w:val="0"/>
                  <w:vAlign w:val="center"/>
                </w:tcPr>
                <w:p w14:paraId="586BF951">
                  <w:pPr>
                    <w:keepNext w:val="0"/>
                    <w:keepLines w:val="0"/>
                    <w:pageBreakBefore w:val="0"/>
                    <w:widowControl/>
                    <w:kinsoku/>
                    <w:wordWrap/>
                    <w:overflowPunct/>
                    <w:topLinePunct w:val="0"/>
                    <w:autoSpaceDE/>
                    <w:autoSpaceDN/>
                    <w:bidi w:val="0"/>
                    <w:adjustRightInd/>
                    <w:snapToGrid/>
                    <w:spacing w:after="0" w:line="240" w:lineRule="auto"/>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13.3</w:t>
                  </w:r>
                </w:p>
              </w:tc>
              <w:tc>
                <w:tcPr>
                  <w:tcW w:w="553" w:type="pct"/>
                  <w:tcBorders>
                    <w:tl2br w:val="nil"/>
                    <w:tr2bl w:val="nil"/>
                  </w:tcBorders>
                  <w:noWrap w:val="0"/>
                  <w:vAlign w:val="center"/>
                </w:tcPr>
                <w:p w14:paraId="5621FF6B">
                  <w:pPr>
                    <w:keepNext w:val="0"/>
                    <w:keepLines w:val="0"/>
                    <w:pageBreakBefore w:val="0"/>
                    <w:widowControl/>
                    <w:kinsoku/>
                    <w:wordWrap/>
                    <w:overflowPunct/>
                    <w:topLinePunct w:val="0"/>
                    <w:autoSpaceDE/>
                    <w:autoSpaceDN/>
                    <w:bidi w:val="0"/>
                    <w:adjustRightInd/>
                    <w:snapToGrid/>
                    <w:spacing w:after="0" w:line="240" w:lineRule="auto"/>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17.8</w:t>
                  </w:r>
                </w:p>
              </w:tc>
              <w:tc>
                <w:tcPr>
                  <w:tcW w:w="555" w:type="pct"/>
                  <w:tcBorders>
                    <w:tl2br w:val="nil"/>
                    <w:tr2bl w:val="nil"/>
                  </w:tcBorders>
                  <w:noWrap w:val="0"/>
                  <w:vAlign w:val="center"/>
                </w:tcPr>
                <w:p w14:paraId="4B502E20">
                  <w:pPr>
                    <w:keepNext w:val="0"/>
                    <w:keepLines w:val="0"/>
                    <w:pageBreakBefore w:val="0"/>
                    <w:widowControl/>
                    <w:kinsoku/>
                    <w:wordWrap/>
                    <w:overflowPunct/>
                    <w:topLinePunct w:val="0"/>
                    <w:autoSpaceDE/>
                    <w:autoSpaceDN/>
                    <w:bidi w:val="0"/>
                    <w:adjustRightInd/>
                    <w:snapToGrid/>
                    <w:spacing w:after="0" w:line="240" w:lineRule="auto"/>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17.5</w:t>
                  </w:r>
                </w:p>
              </w:tc>
              <w:tc>
                <w:tcPr>
                  <w:tcW w:w="551" w:type="pct"/>
                  <w:tcBorders>
                    <w:tl2br w:val="nil"/>
                    <w:tr2bl w:val="nil"/>
                  </w:tcBorders>
                  <w:noWrap w:val="0"/>
                  <w:vAlign w:val="center"/>
                </w:tcPr>
                <w:p w14:paraId="44D7D2F4">
                  <w:pPr>
                    <w:keepNext w:val="0"/>
                    <w:keepLines w:val="0"/>
                    <w:pageBreakBefore w:val="0"/>
                    <w:widowControl/>
                    <w:kinsoku/>
                    <w:wordWrap/>
                    <w:overflowPunct/>
                    <w:topLinePunct w:val="0"/>
                    <w:autoSpaceDE/>
                    <w:autoSpaceDN/>
                    <w:bidi w:val="0"/>
                    <w:adjustRightInd/>
                    <w:snapToGrid/>
                    <w:spacing w:after="0" w:line="240" w:lineRule="auto"/>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u w:val="none" w:color="auto"/>
                    </w:rPr>
                    <w:t>300</w:t>
                  </w:r>
                </w:p>
              </w:tc>
              <w:tc>
                <w:tcPr>
                  <w:tcW w:w="432" w:type="pct"/>
                  <w:tcBorders>
                    <w:tl2br w:val="nil"/>
                    <w:tr2bl w:val="nil"/>
                  </w:tcBorders>
                  <w:noWrap w:val="0"/>
                  <w:vAlign w:val="center"/>
                </w:tcPr>
                <w:p w14:paraId="187E0FF6">
                  <w:pPr>
                    <w:keepNext w:val="0"/>
                    <w:keepLines w:val="0"/>
                    <w:pageBreakBefore w:val="0"/>
                    <w:widowControl/>
                    <w:kinsoku/>
                    <w:wordWrap/>
                    <w:overflowPunct/>
                    <w:topLinePunct w:val="0"/>
                    <w:autoSpaceDE/>
                    <w:autoSpaceDN/>
                    <w:bidi w:val="0"/>
                    <w:adjustRightInd/>
                    <w:snapToGrid/>
                    <w:spacing w:after="0" w:line="240" w:lineRule="auto"/>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u w:val="none" w:color="auto"/>
                    </w:rPr>
                    <w:t>mg/L</w:t>
                  </w:r>
                </w:p>
              </w:tc>
            </w:tr>
            <w:tr w14:paraId="1CEE7A7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536" w:type="pct"/>
                  <w:vMerge w:val="continue"/>
                  <w:tcBorders>
                    <w:tl2br w:val="nil"/>
                    <w:tr2bl w:val="nil"/>
                  </w:tcBorders>
                  <w:noWrap w:val="0"/>
                  <w:vAlign w:val="center"/>
                </w:tcPr>
                <w:p w14:paraId="1EAFC678">
                  <w:pPr>
                    <w:pStyle w:val="2"/>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rPr>
                      <w:rFonts w:hint="default" w:ascii="Times New Roman" w:hAnsi="Times New Roman" w:eastAsia="宋体" w:cs="Times New Roman"/>
                      <w:color w:val="auto"/>
                      <w:sz w:val="21"/>
                      <w:szCs w:val="21"/>
                      <w:highlight w:val="none"/>
                      <w:u w:val="none" w:color="auto"/>
                      <w:lang w:val="en-US" w:eastAsia="zh-CN"/>
                    </w:rPr>
                  </w:pPr>
                </w:p>
              </w:tc>
              <w:tc>
                <w:tcPr>
                  <w:tcW w:w="486" w:type="pct"/>
                  <w:vMerge w:val="continue"/>
                  <w:tcBorders>
                    <w:tl2br w:val="nil"/>
                    <w:tr2bl w:val="nil"/>
                  </w:tcBorders>
                  <w:noWrap w:val="0"/>
                  <w:vAlign w:val="center"/>
                </w:tcPr>
                <w:p w14:paraId="76C9B200">
                  <w:pPr>
                    <w:pStyle w:val="2"/>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rPr>
                      <w:rFonts w:hint="default" w:ascii="Times New Roman" w:hAnsi="Times New Roman" w:eastAsia="宋体" w:cs="Times New Roman"/>
                      <w:color w:val="auto"/>
                      <w:sz w:val="21"/>
                      <w:szCs w:val="21"/>
                      <w:highlight w:val="none"/>
                      <w:u w:val="none" w:color="auto"/>
                      <w:lang w:val="en-US" w:eastAsia="zh-CN"/>
                    </w:rPr>
                  </w:pPr>
                </w:p>
              </w:tc>
              <w:tc>
                <w:tcPr>
                  <w:tcW w:w="776" w:type="pct"/>
                  <w:tcBorders>
                    <w:tl2br w:val="nil"/>
                    <w:tr2bl w:val="nil"/>
                  </w:tcBorders>
                  <w:noWrap w:val="0"/>
                  <w:vAlign w:val="center"/>
                </w:tcPr>
                <w:p w14:paraId="57DB49D1">
                  <w:pPr>
                    <w:keepNext w:val="0"/>
                    <w:keepLines w:val="0"/>
                    <w:pageBreakBefore w:val="0"/>
                    <w:widowControl/>
                    <w:kinsoku/>
                    <w:wordWrap/>
                    <w:overflowPunct/>
                    <w:topLinePunct w:val="0"/>
                    <w:autoSpaceDE/>
                    <w:autoSpaceDN/>
                    <w:bidi w:val="0"/>
                    <w:adjustRightInd/>
                    <w:snapToGrid/>
                    <w:spacing w:after="0" w:line="240" w:lineRule="auto"/>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u w:val="none" w:color="auto"/>
                    </w:rPr>
                    <w:t>氨氮</w:t>
                  </w:r>
                </w:p>
              </w:tc>
              <w:tc>
                <w:tcPr>
                  <w:tcW w:w="553" w:type="pct"/>
                  <w:tcBorders>
                    <w:tl2br w:val="nil"/>
                    <w:tr2bl w:val="nil"/>
                  </w:tcBorders>
                  <w:noWrap w:val="0"/>
                  <w:vAlign w:val="center"/>
                </w:tcPr>
                <w:p w14:paraId="46BE69D3">
                  <w:pPr>
                    <w:keepNext w:val="0"/>
                    <w:keepLines w:val="0"/>
                    <w:pageBreakBefore w:val="0"/>
                    <w:widowControl/>
                    <w:kinsoku/>
                    <w:wordWrap/>
                    <w:overflowPunct/>
                    <w:topLinePunct w:val="0"/>
                    <w:autoSpaceDE/>
                    <w:autoSpaceDN/>
                    <w:bidi w:val="0"/>
                    <w:adjustRightInd/>
                    <w:snapToGrid/>
                    <w:spacing w:after="0" w:line="240" w:lineRule="auto"/>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0.385</w:t>
                  </w:r>
                </w:p>
              </w:tc>
              <w:tc>
                <w:tcPr>
                  <w:tcW w:w="553" w:type="pct"/>
                  <w:tcBorders>
                    <w:tl2br w:val="nil"/>
                    <w:tr2bl w:val="nil"/>
                  </w:tcBorders>
                  <w:noWrap w:val="0"/>
                  <w:vAlign w:val="center"/>
                </w:tcPr>
                <w:p w14:paraId="0A8F1F19">
                  <w:pPr>
                    <w:keepNext w:val="0"/>
                    <w:keepLines w:val="0"/>
                    <w:pageBreakBefore w:val="0"/>
                    <w:widowControl/>
                    <w:kinsoku/>
                    <w:wordWrap/>
                    <w:overflowPunct/>
                    <w:topLinePunct w:val="0"/>
                    <w:autoSpaceDE/>
                    <w:autoSpaceDN/>
                    <w:bidi w:val="0"/>
                    <w:adjustRightInd/>
                    <w:snapToGrid/>
                    <w:spacing w:after="0" w:line="240" w:lineRule="auto"/>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0.399</w:t>
                  </w:r>
                </w:p>
              </w:tc>
              <w:tc>
                <w:tcPr>
                  <w:tcW w:w="553" w:type="pct"/>
                  <w:tcBorders>
                    <w:tl2br w:val="nil"/>
                    <w:tr2bl w:val="nil"/>
                  </w:tcBorders>
                  <w:noWrap w:val="0"/>
                  <w:vAlign w:val="center"/>
                </w:tcPr>
                <w:p w14:paraId="253002E0">
                  <w:pPr>
                    <w:keepNext w:val="0"/>
                    <w:keepLines w:val="0"/>
                    <w:pageBreakBefore w:val="0"/>
                    <w:widowControl/>
                    <w:kinsoku/>
                    <w:wordWrap/>
                    <w:overflowPunct/>
                    <w:topLinePunct w:val="0"/>
                    <w:autoSpaceDE/>
                    <w:autoSpaceDN/>
                    <w:bidi w:val="0"/>
                    <w:adjustRightInd/>
                    <w:snapToGrid/>
                    <w:spacing w:after="0" w:line="240" w:lineRule="auto"/>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0.421</w:t>
                  </w:r>
                </w:p>
              </w:tc>
              <w:tc>
                <w:tcPr>
                  <w:tcW w:w="555" w:type="pct"/>
                  <w:tcBorders>
                    <w:tl2br w:val="nil"/>
                    <w:tr2bl w:val="nil"/>
                  </w:tcBorders>
                  <w:noWrap w:val="0"/>
                  <w:vAlign w:val="center"/>
                </w:tcPr>
                <w:p w14:paraId="02A15CC6">
                  <w:pPr>
                    <w:keepNext w:val="0"/>
                    <w:keepLines w:val="0"/>
                    <w:pageBreakBefore w:val="0"/>
                    <w:widowControl/>
                    <w:kinsoku/>
                    <w:wordWrap/>
                    <w:overflowPunct/>
                    <w:topLinePunct w:val="0"/>
                    <w:autoSpaceDE/>
                    <w:autoSpaceDN/>
                    <w:bidi w:val="0"/>
                    <w:adjustRightInd/>
                    <w:snapToGrid/>
                    <w:spacing w:after="0" w:line="240" w:lineRule="auto"/>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0.390</w:t>
                  </w:r>
                </w:p>
              </w:tc>
              <w:tc>
                <w:tcPr>
                  <w:tcW w:w="551" w:type="pct"/>
                  <w:tcBorders>
                    <w:tl2br w:val="nil"/>
                    <w:tr2bl w:val="nil"/>
                  </w:tcBorders>
                  <w:noWrap w:val="0"/>
                  <w:vAlign w:val="center"/>
                </w:tcPr>
                <w:p w14:paraId="1F013C40">
                  <w:pPr>
                    <w:keepNext w:val="0"/>
                    <w:keepLines w:val="0"/>
                    <w:pageBreakBefore w:val="0"/>
                    <w:widowControl/>
                    <w:kinsoku/>
                    <w:wordWrap/>
                    <w:overflowPunct/>
                    <w:topLinePunct w:val="0"/>
                    <w:autoSpaceDE/>
                    <w:autoSpaceDN/>
                    <w:bidi w:val="0"/>
                    <w:adjustRightInd/>
                    <w:snapToGrid/>
                    <w:spacing w:after="0" w:line="240" w:lineRule="auto"/>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45</w:t>
                  </w:r>
                </w:p>
              </w:tc>
              <w:tc>
                <w:tcPr>
                  <w:tcW w:w="432" w:type="pct"/>
                  <w:tcBorders>
                    <w:tl2br w:val="nil"/>
                    <w:tr2bl w:val="nil"/>
                  </w:tcBorders>
                  <w:noWrap w:val="0"/>
                  <w:vAlign w:val="center"/>
                </w:tcPr>
                <w:p w14:paraId="29E4A3B7">
                  <w:pPr>
                    <w:keepNext w:val="0"/>
                    <w:keepLines w:val="0"/>
                    <w:pageBreakBefore w:val="0"/>
                    <w:widowControl/>
                    <w:kinsoku/>
                    <w:wordWrap/>
                    <w:overflowPunct/>
                    <w:topLinePunct w:val="0"/>
                    <w:autoSpaceDE/>
                    <w:autoSpaceDN/>
                    <w:bidi w:val="0"/>
                    <w:adjustRightInd/>
                    <w:snapToGrid/>
                    <w:spacing w:after="0" w:line="240" w:lineRule="auto"/>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u w:val="none" w:color="auto"/>
                    </w:rPr>
                    <w:t>mg/L</w:t>
                  </w:r>
                </w:p>
              </w:tc>
            </w:tr>
            <w:tr w14:paraId="0862ADD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536" w:type="pct"/>
                  <w:vMerge w:val="continue"/>
                  <w:tcBorders>
                    <w:tl2br w:val="nil"/>
                    <w:tr2bl w:val="nil"/>
                  </w:tcBorders>
                  <w:noWrap w:val="0"/>
                  <w:vAlign w:val="center"/>
                </w:tcPr>
                <w:p w14:paraId="32DCE1E4">
                  <w:pPr>
                    <w:pStyle w:val="2"/>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rPr>
                      <w:rFonts w:hint="default" w:ascii="Times New Roman" w:hAnsi="Times New Roman" w:eastAsia="宋体" w:cs="Times New Roman"/>
                      <w:color w:val="auto"/>
                      <w:sz w:val="21"/>
                      <w:szCs w:val="21"/>
                      <w:highlight w:val="none"/>
                      <w:u w:val="none" w:color="auto"/>
                      <w:lang w:val="en-US" w:eastAsia="zh-CN"/>
                    </w:rPr>
                  </w:pPr>
                </w:p>
              </w:tc>
              <w:tc>
                <w:tcPr>
                  <w:tcW w:w="486" w:type="pct"/>
                  <w:vMerge w:val="continue"/>
                  <w:tcBorders>
                    <w:tl2br w:val="nil"/>
                    <w:tr2bl w:val="nil"/>
                  </w:tcBorders>
                  <w:noWrap w:val="0"/>
                  <w:vAlign w:val="center"/>
                </w:tcPr>
                <w:p w14:paraId="2AF52ACD">
                  <w:pPr>
                    <w:pStyle w:val="2"/>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rPr>
                      <w:rFonts w:hint="default" w:ascii="Times New Roman" w:hAnsi="Times New Roman" w:eastAsia="宋体" w:cs="Times New Roman"/>
                      <w:color w:val="auto"/>
                      <w:sz w:val="21"/>
                      <w:szCs w:val="21"/>
                      <w:highlight w:val="none"/>
                      <w:u w:val="none" w:color="auto"/>
                      <w:lang w:val="en-US" w:eastAsia="zh-CN"/>
                    </w:rPr>
                  </w:pPr>
                </w:p>
              </w:tc>
              <w:tc>
                <w:tcPr>
                  <w:tcW w:w="776" w:type="pct"/>
                  <w:tcBorders>
                    <w:tl2br w:val="nil"/>
                    <w:tr2bl w:val="nil"/>
                  </w:tcBorders>
                  <w:noWrap w:val="0"/>
                  <w:vAlign w:val="center"/>
                </w:tcPr>
                <w:p w14:paraId="6D720842">
                  <w:pPr>
                    <w:keepNext w:val="0"/>
                    <w:keepLines w:val="0"/>
                    <w:pageBreakBefore w:val="0"/>
                    <w:widowControl/>
                    <w:kinsoku/>
                    <w:wordWrap/>
                    <w:overflowPunct/>
                    <w:topLinePunct w:val="0"/>
                    <w:autoSpaceDE/>
                    <w:autoSpaceDN/>
                    <w:bidi w:val="0"/>
                    <w:adjustRightInd/>
                    <w:snapToGrid/>
                    <w:spacing w:after="0" w:line="240" w:lineRule="auto"/>
                    <w:jc w:val="center"/>
                    <w:rPr>
                      <w:rFonts w:hint="default" w:ascii="Times New Roman" w:hAnsi="Times New Roman" w:eastAsia="宋体" w:cs="Times New Roman"/>
                      <w:color w:val="auto"/>
                      <w:kern w:val="2"/>
                      <w:sz w:val="21"/>
                      <w:szCs w:val="21"/>
                      <w:highlight w:val="none"/>
                      <w:u w:val="none" w:color="auto"/>
                      <w:vertAlign w:val="subscript"/>
                      <w:lang w:val="en-US" w:eastAsia="zh-CN" w:bidi="ar-SA"/>
                    </w:rPr>
                  </w:pPr>
                  <w:r>
                    <w:rPr>
                      <w:rFonts w:hint="default" w:ascii="Times New Roman" w:hAnsi="Times New Roman" w:eastAsia="宋体" w:cs="Times New Roman"/>
                      <w:color w:val="auto"/>
                      <w:sz w:val="21"/>
                      <w:szCs w:val="21"/>
                      <w:u w:val="none" w:color="auto"/>
                    </w:rPr>
                    <w:t>总氮</w:t>
                  </w:r>
                </w:p>
              </w:tc>
              <w:tc>
                <w:tcPr>
                  <w:tcW w:w="553" w:type="pct"/>
                  <w:tcBorders>
                    <w:tl2br w:val="nil"/>
                    <w:tr2bl w:val="nil"/>
                  </w:tcBorders>
                  <w:noWrap w:val="0"/>
                  <w:vAlign w:val="center"/>
                </w:tcPr>
                <w:p w14:paraId="097AF786">
                  <w:pPr>
                    <w:keepNext w:val="0"/>
                    <w:keepLines w:val="0"/>
                    <w:pageBreakBefore w:val="0"/>
                    <w:widowControl/>
                    <w:kinsoku/>
                    <w:wordWrap/>
                    <w:overflowPunct/>
                    <w:topLinePunct w:val="0"/>
                    <w:autoSpaceDE/>
                    <w:autoSpaceDN/>
                    <w:bidi w:val="0"/>
                    <w:adjustRightInd/>
                    <w:snapToGrid/>
                    <w:spacing w:after="0" w:line="240" w:lineRule="auto"/>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0.80</w:t>
                  </w:r>
                </w:p>
              </w:tc>
              <w:tc>
                <w:tcPr>
                  <w:tcW w:w="553" w:type="pct"/>
                  <w:tcBorders>
                    <w:tl2br w:val="nil"/>
                    <w:tr2bl w:val="nil"/>
                  </w:tcBorders>
                  <w:noWrap w:val="0"/>
                  <w:vAlign w:val="center"/>
                </w:tcPr>
                <w:p w14:paraId="601A7B1B">
                  <w:pPr>
                    <w:keepNext w:val="0"/>
                    <w:keepLines w:val="0"/>
                    <w:pageBreakBefore w:val="0"/>
                    <w:widowControl/>
                    <w:kinsoku/>
                    <w:wordWrap/>
                    <w:overflowPunct/>
                    <w:topLinePunct w:val="0"/>
                    <w:autoSpaceDE/>
                    <w:autoSpaceDN/>
                    <w:bidi w:val="0"/>
                    <w:adjustRightInd/>
                    <w:snapToGrid/>
                    <w:spacing w:after="0" w:line="240" w:lineRule="auto"/>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0.91</w:t>
                  </w:r>
                </w:p>
              </w:tc>
              <w:tc>
                <w:tcPr>
                  <w:tcW w:w="553" w:type="pct"/>
                  <w:tcBorders>
                    <w:tl2br w:val="nil"/>
                    <w:tr2bl w:val="nil"/>
                  </w:tcBorders>
                  <w:noWrap w:val="0"/>
                  <w:vAlign w:val="center"/>
                </w:tcPr>
                <w:p w14:paraId="0D0225E8">
                  <w:pPr>
                    <w:keepNext w:val="0"/>
                    <w:keepLines w:val="0"/>
                    <w:pageBreakBefore w:val="0"/>
                    <w:widowControl/>
                    <w:kinsoku/>
                    <w:wordWrap/>
                    <w:overflowPunct/>
                    <w:topLinePunct w:val="0"/>
                    <w:autoSpaceDE/>
                    <w:autoSpaceDN/>
                    <w:bidi w:val="0"/>
                    <w:adjustRightInd/>
                    <w:snapToGrid/>
                    <w:spacing w:after="0" w:line="240" w:lineRule="auto"/>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0.84</w:t>
                  </w:r>
                </w:p>
              </w:tc>
              <w:tc>
                <w:tcPr>
                  <w:tcW w:w="555" w:type="pct"/>
                  <w:tcBorders>
                    <w:tl2br w:val="nil"/>
                    <w:tr2bl w:val="nil"/>
                  </w:tcBorders>
                  <w:noWrap w:val="0"/>
                  <w:vAlign w:val="center"/>
                </w:tcPr>
                <w:p w14:paraId="4010C633">
                  <w:pPr>
                    <w:keepNext w:val="0"/>
                    <w:keepLines w:val="0"/>
                    <w:pageBreakBefore w:val="0"/>
                    <w:widowControl/>
                    <w:kinsoku/>
                    <w:wordWrap/>
                    <w:overflowPunct/>
                    <w:topLinePunct w:val="0"/>
                    <w:autoSpaceDE/>
                    <w:autoSpaceDN/>
                    <w:bidi w:val="0"/>
                    <w:adjustRightInd/>
                    <w:snapToGrid/>
                    <w:spacing w:after="0" w:line="240" w:lineRule="auto"/>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0.81</w:t>
                  </w:r>
                </w:p>
              </w:tc>
              <w:tc>
                <w:tcPr>
                  <w:tcW w:w="551" w:type="pct"/>
                  <w:tcBorders>
                    <w:tl2br w:val="nil"/>
                    <w:tr2bl w:val="nil"/>
                  </w:tcBorders>
                  <w:noWrap w:val="0"/>
                  <w:vAlign w:val="center"/>
                </w:tcPr>
                <w:p w14:paraId="1A6BF083">
                  <w:pPr>
                    <w:keepNext w:val="0"/>
                    <w:keepLines w:val="0"/>
                    <w:pageBreakBefore w:val="0"/>
                    <w:widowControl/>
                    <w:kinsoku/>
                    <w:wordWrap/>
                    <w:overflowPunct/>
                    <w:topLinePunct w:val="0"/>
                    <w:autoSpaceDE/>
                    <w:autoSpaceDN/>
                    <w:bidi w:val="0"/>
                    <w:adjustRightInd/>
                    <w:snapToGrid/>
                    <w:spacing w:after="0" w:line="240" w:lineRule="auto"/>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70</w:t>
                  </w:r>
                </w:p>
              </w:tc>
              <w:tc>
                <w:tcPr>
                  <w:tcW w:w="432" w:type="pct"/>
                  <w:tcBorders>
                    <w:tl2br w:val="nil"/>
                    <w:tr2bl w:val="nil"/>
                  </w:tcBorders>
                  <w:noWrap w:val="0"/>
                  <w:vAlign w:val="center"/>
                </w:tcPr>
                <w:p w14:paraId="6F54D10D">
                  <w:pPr>
                    <w:keepNext w:val="0"/>
                    <w:keepLines w:val="0"/>
                    <w:pageBreakBefore w:val="0"/>
                    <w:widowControl/>
                    <w:kinsoku/>
                    <w:wordWrap/>
                    <w:overflowPunct/>
                    <w:topLinePunct w:val="0"/>
                    <w:autoSpaceDE/>
                    <w:autoSpaceDN/>
                    <w:bidi w:val="0"/>
                    <w:adjustRightInd/>
                    <w:snapToGrid/>
                    <w:spacing w:after="0" w:line="240" w:lineRule="auto"/>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u w:val="none" w:color="auto"/>
                    </w:rPr>
                    <w:t>mg/L</w:t>
                  </w:r>
                </w:p>
              </w:tc>
            </w:tr>
            <w:tr w14:paraId="393FDA9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536" w:type="pct"/>
                  <w:vMerge w:val="continue"/>
                  <w:tcBorders>
                    <w:tl2br w:val="nil"/>
                    <w:tr2bl w:val="nil"/>
                  </w:tcBorders>
                  <w:noWrap w:val="0"/>
                  <w:vAlign w:val="center"/>
                </w:tcPr>
                <w:p w14:paraId="32EE9ADD">
                  <w:pPr>
                    <w:pStyle w:val="2"/>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rPr>
                      <w:rFonts w:hint="default" w:ascii="Times New Roman" w:hAnsi="Times New Roman" w:eastAsia="宋体" w:cs="Times New Roman"/>
                      <w:color w:val="auto"/>
                      <w:sz w:val="21"/>
                      <w:szCs w:val="21"/>
                      <w:highlight w:val="none"/>
                      <w:u w:val="none" w:color="auto"/>
                      <w:lang w:val="en-US" w:eastAsia="zh-CN"/>
                    </w:rPr>
                  </w:pPr>
                </w:p>
              </w:tc>
              <w:tc>
                <w:tcPr>
                  <w:tcW w:w="486" w:type="pct"/>
                  <w:vMerge w:val="continue"/>
                  <w:tcBorders>
                    <w:tl2br w:val="nil"/>
                    <w:tr2bl w:val="nil"/>
                  </w:tcBorders>
                  <w:noWrap w:val="0"/>
                  <w:vAlign w:val="center"/>
                </w:tcPr>
                <w:p w14:paraId="0E541374">
                  <w:pPr>
                    <w:pStyle w:val="2"/>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rPr>
                      <w:rFonts w:hint="default" w:ascii="Times New Roman" w:hAnsi="Times New Roman" w:eastAsia="宋体" w:cs="Times New Roman"/>
                      <w:color w:val="auto"/>
                      <w:sz w:val="21"/>
                      <w:szCs w:val="21"/>
                      <w:highlight w:val="none"/>
                      <w:u w:val="none" w:color="auto"/>
                      <w:lang w:val="en-US" w:eastAsia="zh-CN"/>
                    </w:rPr>
                  </w:pPr>
                </w:p>
              </w:tc>
              <w:tc>
                <w:tcPr>
                  <w:tcW w:w="776" w:type="pct"/>
                  <w:tcBorders>
                    <w:tl2br w:val="nil"/>
                    <w:tr2bl w:val="nil"/>
                  </w:tcBorders>
                  <w:noWrap w:val="0"/>
                  <w:vAlign w:val="center"/>
                </w:tcPr>
                <w:p w14:paraId="600CE8C3">
                  <w:pPr>
                    <w:keepNext w:val="0"/>
                    <w:keepLines w:val="0"/>
                    <w:pageBreakBefore w:val="0"/>
                    <w:widowControl/>
                    <w:kinsoku/>
                    <w:wordWrap/>
                    <w:overflowPunct/>
                    <w:topLinePunct w:val="0"/>
                    <w:autoSpaceDE/>
                    <w:autoSpaceDN/>
                    <w:bidi w:val="0"/>
                    <w:adjustRightInd/>
                    <w:snapToGrid/>
                    <w:spacing w:after="0" w:line="240" w:lineRule="auto"/>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u w:val="none" w:color="auto"/>
                    </w:rPr>
                    <w:t>总磷</w:t>
                  </w:r>
                </w:p>
              </w:tc>
              <w:tc>
                <w:tcPr>
                  <w:tcW w:w="553" w:type="pct"/>
                  <w:tcBorders>
                    <w:tl2br w:val="nil"/>
                    <w:tr2bl w:val="nil"/>
                  </w:tcBorders>
                  <w:noWrap w:val="0"/>
                  <w:vAlign w:val="center"/>
                </w:tcPr>
                <w:p w14:paraId="76A52392">
                  <w:pPr>
                    <w:keepNext w:val="0"/>
                    <w:keepLines w:val="0"/>
                    <w:pageBreakBefore w:val="0"/>
                    <w:widowControl/>
                    <w:kinsoku/>
                    <w:wordWrap/>
                    <w:overflowPunct/>
                    <w:topLinePunct w:val="0"/>
                    <w:autoSpaceDE/>
                    <w:autoSpaceDN/>
                    <w:bidi w:val="0"/>
                    <w:adjustRightInd/>
                    <w:snapToGrid/>
                    <w:spacing w:after="0" w:line="240" w:lineRule="auto"/>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0.26</w:t>
                  </w:r>
                </w:p>
              </w:tc>
              <w:tc>
                <w:tcPr>
                  <w:tcW w:w="553" w:type="pct"/>
                  <w:tcBorders>
                    <w:tl2br w:val="nil"/>
                    <w:tr2bl w:val="nil"/>
                  </w:tcBorders>
                  <w:noWrap w:val="0"/>
                  <w:vAlign w:val="center"/>
                </w:tcPr>
                <w:p w14:paraId="35C5AC61">
                  <w:pPr>
                    <w:keepNext w:val="0"/>
                    <w:keepLines w:val="0"/>
                    <w:pageBreakBefore w:val="0"/>
                    <w:widowControl/>
                    <w:kinsoku/>
                    <w:wordWrap/>
                    <w:overflowPunct/>
                    <w:topLinePunct w:val="0"/>
                    <w:autoSpaceDE/>
                    <w:autoSpaceDN/>
                    <w:bidi w:val="0"/>
                    <w:adjustRightInd/>
                    <w:snapToGrid/>
                    <w:spacing w:after="0" w:line="240" w:lineRule="auto"/>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0.23</w:t>
                  </w:r>
                </w:p>
              </w:tc>
              <w:tc>
                <w:tcPr>
                  <w:tcW w:w="553" w:type="pct"/>
                  <w:tcBorders>
                    <w:tl2br w:val="nil"/>
                    <w:tr2bl w:val="nil"/>
                  </w:tcBorders>
                  <w:noWrap w:val="0"/>
                  <w:vAlign w:val="center"/>
                </w:tcPr>
                <w:p w14:paraId="39CE263B">
                  <w:pPr>
                    <w:keepNext w:val="0"/>
                    <w:keepLines w:val="0"/>
                    <w:pageBreakBefore w:val="0"/>
                    <w:widowControl/>
                    <w:kinsoku/>
                    <w:wordWrap/>
                    <w:overflowPunct/>
                    <w:topLinePunct w:val="0"/>
                    <w:autoSpaceDE/>
                    <w:autoSpaceDN/>
                    <w:bidi w:val="0"/>
                    <w:adjustRightInd/>
                    <w:snapToGrid/>
                    <w:spacing w:after="0" w:line="240" w:lineRule="auto"/>
                    <w:jc w:val="center"/>
                    <w:rPr>
                      <w:rFonts w:hint="default" w:ascii="Times New Roman" w:hAnsi="Times New Roman" w:eastAsia="宋体" w:cs="Times New Roman"/>
                      <w:bCs/>
                      <w:color w:val="auto"/>
                      <w:kern w:val="0"/>
                      <w:sz w:val="21"/>
                      <w:szCs w:val="21"/>
                      <w:highlight w:val="none"/>
                      <w:u w:val="none" w:color="auto"/>
                      <w:lang w:val="en-US" w:eastAsia="zh-CN" w:bidi="ar-SA"/>
                    </w:rPr>
                  </w:pPr>
                  <w:r>
                    <w:rPr>
                      <w:rFonts w:hint="default" w:ascii="Times New Roman" w:hAnsi="Times New Roman" w:eastAsia="宋体" w:cs="Times New Roman"/>
                      <w:bCs/>
                      <w:color w:val="auto"/>
                      <w:kern w:val="0"/>
                      <w:sz w:val="21"/>
                      <w:szCs w:val="21"/>
                      <w:highlight w:val="none"/>
                      <w:u w:val="none" w:color="auto"/>
                      <w:lang w:val="en-US" w:eastAsia="zh-CN" w:bidi="ar-SA"/>
                    </w:rPr>
                    <w:t>0.24</w:t>
                  </w:r>
                </w:p>
              </w:tc>
              <w:tc>
                <w:tcPr>
                  <w:tcW w:w="555" w:type="pct"/>
                  <w:tcBorders>
                    <w:tl2br w:val="nil"/>
                    <w:tr2bl w:val="nil"/>
                  </w:tcBorders>
                  <w:noWrap w:val="0"/>
                  <w:vAlign w:val="center"/>
                </w:tcPr>
                <w:p w14:paraId="65D1967F">
                  <w:pPr>
                    <w:keepNext w:val="0"/>
                    <w:keepLines w:val="0"/>
                    <w:pageBreakBefore w:val="0"/>
                    <w:widowControl/>
                    <w:kinsoku/>
                    <w:wordWrap/>
                    <w:overflowPunct/>
                    <w:topLinePunct w:val="0"/>
                    <w:autoSpaceDE/>
                    <w:autoSpaceDN/>
                    <w:bidi w:val="0"/>
                    <w:adjustRightInd/>
                    <w:snapToGrid/>
                    <w:spacing w:after="0" w:line="240" w:lineRule="auto"/>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0.22</w:t>
                  </w:r>
                </w:p>
              </w:tc>
              <w:tc>
                <w:tcPr>
                  <w:tcW w:w="551" w:type="pct"/>
                  <w:tcBorders>
                    <w:tl2br w:val="nil"/>
                    <w:tr2bl w:val="nil"/>
                  </w:tcBorders>
                  <w:noWrap w:val="0"/>
                  <w:vAlign w:val="center"/>
                </w:tcPr>
                <w:p w14:paraId="30923614">
                  <w:pPr>
                    <w:keepNext w:val="0"/>
                    <w:keepLines w:val="0"/>
                    <w:pageBreakBefore w:val="0"/>
                    <w:widowControl/>
                    <w:kinsoku/>
                    <w:wordWrap/>
                    <w:overflowPunct/>
                    <w:topLinePunct w:val="0"/>
                    <w:autoSpaceDE/>
                    <w:autoSpaceDN/>
                    <w:bidi w:val="0"/>
                    <w:adjustRightInd/>
                    <w:snapToGrid/>
                    <w:spacing w:after="0" w:line="240" w:lineRule="auto"/>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8.0</w:t>
                  </w:r>
                </w:p>
              </w:tc>
              <w:tc>
                <w:tcPr>
                  <w:tcW w:w="432" w:type="pct"/>
                  <w:tcBorders>
                    <w:tl2br w:val="nil"/>
                    <w:tr2bl w:val="nil"/>
                  </w:tcBorders>
                  <w:noWrap w:val="0"/>
                  <w:vAlign w:val="center"/>
                </w:tcPr>
                <w:p w14:paraId="2F3D5C20">
                  <w:pPr>
                    <w:keepNext w:val="0"/>
                    <w:keepLines w:val="0"/>
                    <w:pageBreakBefore w:val="0"/>
                    <w:widowControl/>
                    <w:kinsoku/>
                    <w:wordWrap/>
                    <w:overflowPunct/>
                    <w:topLinePunct w:val="0"/>
                    <w:autoSpaceDE/>
                    <w:autoSpaceDN/>
                    <w:bidi w:val="0"/>
                    <w:adjustRightInd/>
                    <w:snapToGrid/>
                    <w:spacing w:after="0" w:line="240" w:lineRule="auto"/>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u w:val="none" w:color="auto"/>
                    </w:rPr>
                    <w:t>mg/L</w:t>
                  </w:r>
                </w:p>
              </w:tc>
            </w:tr>
            <w:tr w14:paraId="25C02DF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536" w:type="pct"/>
                  <w:vMerge w:val="continue"/>
                  <w:tcBorders>
                    <w:tl2br w:val="nil"/>
                    <w:tr2bl w:val="nil"/>
                  </w:tcBorders>
                  <w:noWrap w:val="0"/>
                  <w:vAlign w:val="center"/>
                </w:tcPr>
                <w:p w14:paraId="3895439B">
                  <w:pPr>
                    <w:pStyle w:val="2"/>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rPr>
                      <w:rFonts w:hint="default" w:ascii="Times New Roman" w:hAnsi="Times New Roman" w:eastAsia="宋体" w:cs="Times New Roman"/>
                      <w:color w:val="auto"/>
                      <w:sz w:val="21"/>
                      <w:szCs w:val="21"/>
                      <w:highlight w:val="none"/>
                      <w:u w:val="none" w:color="auto"/>
                      <w:lang w:val="en-US" w:eastAsia="zh-CN"/>
                    </w:rPr>
                  </w:pPr>
                </w:p>
              </w:tc>
              <w:tc>
                <w:tcPr>
                  <w:tcW w:w="486" w:type="pct"/>
                  <w:vMerge w:val="continue"/>
                  <w:tcBorders>
                    <w:tl2br w:val="nil"/>
                    <w:tr2bl w:val="nil"/>
                  </w:tcBorders>
                  <w:noWrap w:val="0"/>
                  <w:vAlign w:val="center"/>
                </w:tcPr>
                <w:p w14:paraId="1718CE0A">
                  <w:pPr>
                    <w:pStyle w:val="2"/>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rPr>
                      <w:rFonts w:hint="default" w:ascii="Times New Roman" w:hAnsi="Times New Roman" w:eastAsia="宋体" w:cs="Times New Roman"/>
                      <w:color w:val="auto"/>
                      <w:sz w:val="21"/>
                      <w:szCs w:val="21"/>
                      <w:highlight w:val="none"/>
                      <w:u w:val="none" w:color="auto"/>
                      <w:lang w:val="en-US" w:eastAsia="zh-CN"/>
                    </w:rPr>
                  </w:pPr>
                </w:p>
              </w:tc>
              <w:tc>
                <w:tcPr>
                  <w:tcW w:w="776" w:type="pct"/>
                  <w:tcBorders>
                    <w:tl2br w:val="nil"/>
                    <w:tr2bl w:val="nil"/>
                  </w:tcBorders>
                  <w:noWrap w:val="0"/>
                  <w:vAlign w:val="center"/>
                </w:tcPr>
                <w:p w14:paraId="3F9568C3">
                  <w:pPr>
                    <w:keepNext w:val="0"/>
                    <w:keepLines w:val="0"/>
                    <w:pageBreakBefore w:val="0"/>
                    <w:widowControl/>
                    <w:kinsoku/>
                    <w:wordWrap/>
                    <w:overflowPunct/>
                    <w:topLinePunct w:val="0"/>
                    <w:autoSpaceDE/>
                    <w:autoSpaceDN/>
                    <w:bidi w:val="0"/>
                    <w:adjustRightInd/>
                    <w:snapToGrid/>
                    <w:spacing w:after="0" w:line="240" w:lineRule="auto"/>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lang w:val="en-US" w:eastAsia="zh-CN"/>
                    </w:rPr>
                    <w:t>悬浮物</w:t>
                  </w:r>
                </w:p>
              </w:tc>
              <w:tc>
                <w:tcPr>
                  <w:tcW w:w="553" w:type="pct"/>
                  <w:tcBorders>
                    <w:tl2br w:val="nil"/>
                    <w:tr2bl w:val="nil"/>
                  </w:tcBorders>
                  <w:noWrap w:val="0"/>
                  <w:vAlign w:val="center"/>
                </w:tcPr>
                <w:p w14:paraId="5F453CFC">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16</w:t>
                  </w:r>
                </w:p>
              </w:tc>
              <w:tc>
                <w:tcPr>
                  <w:tcW w:w="553" w:type="pct"/>
                  <w:tcBorders>
                    <w:tl2br w:val="nil"/>
                    <w:tr2bl w:val="nil"/>
                  </w:tcBorders>
                  <w:noWrap w:val="0"/>
                  <w:vAlign w:val="center"/>
                </w:tcPr>
                <w:p w14:paraId="414DAF3B">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15</w:t>
                  </w:r>
                </w:p>
              </w:tc>
              <w:tc>
                <w:tcPr>
                  <w:tcW w:w="553" w:type="pct"/>
                  <w:tcBorders>
                    <w:tl2br w:val="nil"/>
                    <w:tr2bl w:val="nil"/>
                  </w:tcBorders>
                  <w:noWrap w:val="0"/>
                  <w:vAlign w:val="center"/>
                </w:tcPr>
                <w:p w14:paraId="427F2691">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19</w:t>
                  </w:r>
                </w:p>
              </w:tc>
              <w:tc>
                <w:tcPr>
                  <w:tcW w:w="555" w:type="pct"/>
                  <w:tcBorders>
                    <w:tl2br w:val="nil"/>
                    <w:tr2bl w:val="nil"/>
                  </w:tcBorders>
                  <w:noWrap w:val="0"/>
                  <w:vAlign w:val="center"/>
                </w:tcPr>
                <w:p w14:paraId="7F13B38B">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20</w:t>
                  </w:r>
                </w:p>
              </w:tc>
              <w:tc>
                <w:tcPr>
                  <w:tcW w:w="551" w:type="pct"/>
                  <w:tcBorders>
                    <w:tl2br w:val="nil"/>
                    <w:tr2bl w:val="nil"/>
                  </w:tcBorders>
                  <w:noWrap w:val="0"/>
                  <w:vAlign w:val="center"/>
                </w:tcPr>
                <w:p w14:paraId="58DFF050">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400</w:t>
                  </w:r>
                </w:p>
              </w:tc>
              <w:tc>
                <w:tcPr>
                  <w:tcW w:w="432" w:type="pct"/>
                  <w:tcBorders>
                    <w:tl2br w:val="nil"/>
                    <w:tr2bl w:val="nil"/>
                  </w:tcBorders>
                  <w:noWrap w:val="0"/>
                  <w:vAlign w:val="center"/>
                </w:tcPr>
                <w:p w14:paraId="13E9049C">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lang w:val="en-US" w:eastAsia="zh-CN"/>
                    </w:rPr>
                    <w:t>mg/L</w:t>
                  </w:r>
                </w:p>
              </w:tc>
            </w:tr>
            <w:tr w14:paraId="3C9639A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536" w:type="pct"/>
                  <w:vMerge w:val="continue"/>
                  <w:tcBorders>
                    <w:tl2br w:val="nil"/>
                    <w:tr2bl w:val="nil"/>
                  </w:tcBorders>
                  <w:noWrap w:val="0"/>
                  <w:vAlign w:val="center"/>
                </w:tcPr>
                <w:p w14:paraId="36582928">
                  <w:pPr>
                    <w:pStyle w:val="2"/>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rPr>
                      <w:rFonts w:hint="default" w:ascii="Times New Roman" w:hAnsi="Times New Roman" w:eastAsia="宋体" w:cs="Times New Roman"/>
                      <w:color w:val="auto"/>
                      <w:sz w:val="21"/>
                      <w:szCs w:val="21"/>
                      <w:highlight w:val="none"/>
                      <w:u w:val="none" w:color="auto"/>
                      <w:lang w:val="en-US" w:eastAsia="zh-CN"/>
                    </w:rPr>
                  </w:pPr>
                </w:p>
              </w:tc>
              <w:tc>
                <w:tcPr>
                  <w:tcW w:w="486" w:type="pct"/>
                  <w:vMerge w:val="continue"/>
                  <w:tcBorders>
                    <w:tl2br w:val="nil"/>
                    <w:tr2bl w:val="nil"/>
                  </w:tcBorders>
                  <w:noWrap w:val="0"/>
                  <w:vAlign w:val="center"/>
                </w:tcPr>
                <w:p w14:paraId="197BC717">
                  <w:pPr>
                    <w:pStyle w:val="2"/>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rPr>
                      <w:rFonts w:hint="default" w:ascii="Times New Roman" w:hAnsi="Times New Roman" w:eastAsia="宋体" w:cs="Times New Roman"/>
                      <w:color w:val="auto"/>
                      <w:sz w:val="21"/>
                      <w:szCs w:val="21"/>
                      <w:highlight w:val="none"/>
                      <w:u w:val="none" w:color="auto"/>
                      <w:lang w:val="en-US" w:eastAsia="zh-CN"/>
                    </w:rPr>
                  </w:pPr>
                </w:p>
              </w:tc>
              <w:tc>
                <w:tcPr>
                  <w:tcW w:w="776" w:type="pct"/>
                  <w:tcBorders>
                    <w:tl2br w:val="nil"/>
                    <w:tr2bl w:val="nil"/>
                  </w:tcBorders>
                  <w:noWrap w:val="0"/>
                  <w:vAlign w:val="center"/>
                </w:tcPr>
                <w:p w14:paraId="67BC7608">
                  <w:pPr>
                    <w:keepNext w:val="0"/>
                    <w:keepLines w:val="0"/>
                    <w:pageBreakBefore w:val="0"/>
                    <w:widowControl/>
                    <w:suppressLineNumbers w:val="0"/>
                    <w:kinsoku/>
                    <w:wordWrap/>
                    <w:overflowPunct/>
                    <w:topLinePunct w:val="0"/>
                    <w:autoSpaceDE/>
                    <w:autoSpaceDN/>
                    <w:bidi w:val="0"/>
                    <w:adjustRightInd/>
                    <w:snapToGrid/>
                    <w:spacing w:after="0" w:line="240" w:lineRule="auto"/>
                    <w:ind w:left="0" w:leftChars="0" w:right="0" w:rightChars="0" w:firstLine="0" w:firstLineChars="0"/>
                    <w:jc w:val="center"/>
                    <w:textAlignment w:val="center"/>
                    <w:outlineLvl w:val="9"/>
                    <w:rPr>
                      <w:rFonts w:hint="default" w:ascii="Times New Roman" w:hAnsi="Times New Roman" w:eastAsia="宋体" w:cs="Times New Roman"/>
                      <w:color w:val="auto"/>
                      <w:kern w:val="2"/>
                      <w:sz w:val="21"/>
                      <w:szCs w:val="21"/>
                      <w:highlight w:val="none"/>
                      <w:u w:val="none" w:color="auto"/>
                      <w:vertAlign w:val="subscript"/>
                      <w:lang w:val="en-US" w:eastAsia="zh-CN" w:bidi="ar-SA"/>
                    </w:rPr>
                  </w:pPr>
                  <w:r>
                    <w:rPr>
                      <w:rFonts w:hint="default" w:ascii="Times New Roman" w:hAnsi="Times New Roman" w:eastAsia="宋体" w:cs="Times New Roman"/>
                      <w:color w:val="auto"/>
                      <w:sz w:val="21"/>
                      <w:szCs w:val="21"/>
                      <w:highlight w:val="none"/>
                      <w:u w:val="none" w:color="auto"/>
                      <w:lang w:val="en-US" w:eastAsia="zh-CN"/>
                    </w:rPr>
                    <w:t>动植物油</w:t>
                  </w:r>
                </w:p>
              </w:tc>
              <w:tc>
                <w:tcPr>
                  <w:tcW w:w="553" w:type="pct"/>
                  <w:tcBorders>
                    <w:tl2br w:val="nil"/>
                    <w:tr2bl w:val="nil"/>
                  </w:tcBorders>
                  <w:noWrap w:val="0"/>
                  <w:vAlign w:val="center"/>
                </w:tcPr>
                <w:p w14:paraId="0AABB9F3">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6.47</w:t>
                  </w:r>
                </w:p>
              </w:tc>
              <w:tc>
                <w:tcPr>
                  <w:tcW w:w="553" w:type="pct"/>
                  <w:tcBorders>
                    <w:tl2br w:val="nil"/>
                    <w:tr2bl w:val="nil"/>
                  </w:tcBorders>
                  <w:noWrap w:val="0"/>
                  <w:vAlign w:val="center"/>
                </w:tcPr>
                <w:p w14:paraId="0980A66E">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6.92</w:t>
                  </w:r>
                </w:p>
              </w:tc>
              <w:tc>
                <w:tcPr>
                  <w:tcW w:w="553" w:type="pct"/>
                  <w:tcBorders>
                    <w:tl2br w:val="nil"/>
                    <w:tr2bl w:val="nil"/>
                  </w:tcBorders>
                  <w:noWrap w:val="0"/>
                  <w:vAlign w:val="center"/>
                </w:tcPr>
                <w:p w14:paraId="17173353">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7.16</w:t>
                  </w:r>
                </w:p>
              </w:tc>
              <w:tc>
                <w:tcPr>
                  <w:tcW w:w="555" w:type="pct"/>
                  <w:tcBorders>
                    <w:tl2br w:val="nil"/>
                    <w:tr2bl w:val="nil"/>
                  </w:tcBorders>
                  <w:noWrap w:val="0"/>
                  <w:vAlign w:val="center"/>
                </w:tcPr>
                <w:p w14:paraId="24906C99">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5.88</w:t>
                  </w:r>
                </w:p>
              </w:tc>
              <w:tc>
                <w:tcPr>
                  <w:tcW w:w="551" w:type="pct"/>
                  <w:tcBorders>
                    <w:tl2br w:val="nil"/>
                    <w:tr2bl w:val="nil"/>
                  </w:tcBorders>
                  <w:noWrap w:val="0"/>
                  <w:vAlign w:val="center"/>
                </w:tcPr>
                <w:p w14:paraId="715466F2">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100</w:t>
                  </w:r>
                </w:p>
              </w:tc>
              <w:tc>
                <w:tcPr>
                  <w:tcW w:w="432" w:type="pct"/>
                  <w:tcBorders>
                    <w:tl2br w:val="nil"/>
                    <w:tr2bl w:val="nil"/>
                  </w:tcBorders>
                  <w:noWrap w:val="0"/>
                  <w:vAlign w:val="center"/>
                </w:tcPr>
                <w:p w14:paraId="0E583E80">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lang w:val="en-US" w:eastAsia="zh-CN"/>
                    </w:rPr>
                    <w:t>mg/L</w:t>
                  </w:r>
                </w:p>
              </w:tc>
            </w:tr>
            <w:tr w14:paraId="3BEFF14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536" w:type="pct"/>
                  <w:vMerge w:val="continue"/>
                  <w:tcBorders>
                    <w:tl2br w:val="nil"/>
                    <w:tr2bl w:val="nil"/>
                  </w:tcBorders>
                  <w:noWrap w:val="0"/>
                  <w:vAlign w:val="center"/>
                </w:tcPr>
                <w:p w14:paraId="558CBE8B">
                  <w:pPr>
                    <w:pStyle w:val="2"/>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rPr>
                      <w:rFonts w:hint="default" w:ascii="Times New Roman" w:hAnsi="Times New Roman" w:eastAsia="宋体" w:cs="Times New Roman"/>
                      <w:color w:val="auto"/>
                      <w:sz w:val="21"/>
                      <w:szCs w:val="21"/>
                      <w:highlight w:val="none"/>
                      <w:u w:val="none" w:color="auto"/>
                      <w:lang w:val="en-US" w:eastAsia="zh-CN"/>
                    </w:rPr>
                  </w:pPr>
                </w:p>
              </w:tc>
              <w:tc>
                <w:tcPr>
                  <w:tcW w:w="486" w:type="pct"/>
                  <w:vMerge w:val="continue"/>
                  <w:tcBorders>
                    <w:tl2br w:val="nil"/>
                    <w:tr2bl w:val="nil"/>
                  </w:tcBorders>
                  <w:noWrap w:val="0"/>
                  <w:vAlign w:val="center"/>
                </w:tcPr>
                <w:p w14:paraId="1DF4C598">
                  <w:pPr>
                    <w:pStyle w:val="2"/>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rPr>
                      <w:rFonts w:hint="default" w:ascii="Times New Roman" w:hAnsi="Times New Roman" w:eastAsia="宋体" w:cs="Times New Roman"/>
                      <w:color w:val="auto"/>
                      <w:sz w:val="21"/>
                      <w:szCs w:val="21"/>
                      <w:highlight w:val="none"/>
                      <w:u w:val="none" w:color="auto"/>
                      <w:lang w:val="en-US" w:eastAsia="zh-CN"/>
                    </w:rPr>
                  </w:pPr>
                </w:p>
              </w:tc>
              <w:tc>
                <w:tcPr>
                  <w:tcW w:w="776" w:type="pct"/>
                  <w:tcBorders>
                    <w:tl2br w:val="nil"/>
                    <w:tr2bl w:val="nil"/>
                  </w:tcBorders>
                  <w:noWrap w:val="0"/>
                  <w:vAlign w:val="center"/>
                </w:tcPr>
                <w:p w14:paraId="38D04C25">
                  <w:pPr>
                    <w:keepNext w:val="0"/>
                    <w:keepLines w:val="0"/>
                    <w:pageBreakBefore w:val="0"/>
                    <w:widowControl/>
                    <w:suppressLineNumbers w:val="0"/>
                    <w:kinsoku/>
                    <w:wordWrap/>
                    <w:overflowPunct/>
                    <w:topLinePunct w:val="0"/>
                    <w:autoSpaceDE/>
                    <w:autoSpaceDN/>
                    <w:bidi w:val="0"/>
                    <w:adjustRightInd/>
                    <w:snapToGrid/>
                    <w:spacing w:after="0" w:line="240" w:lineRule="auto"/>
                    <w:ind w:left="0" w:leftChars="0" w:right="0" w:rightChars="0" w:firstLine="0" w:firstLineChars="0"/>
                    <w:jc w:val="center"/>
                    <w:textAlignment w:val="center"/>
                    <w:outlineLvl w:val="9"/>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lang w:val="en-US" w:eastAsia="zh-CN"/>
                    </w:rPr>
                    <w:t>石油类</w:t>
                  </w:r>
                </w:p>
              </w:tc>
              <w:tc>
                <w:tcPr>
                  <w:tcW w:w="553" w:type="pct"/>
                  <w:tcBorders>
                    <w:tl2br w:val="nil"/>
                    <w:tr2bl w:val="nil"/>
                  </w:tcBorders>
                  <w:noWrap w:val="0"/>
                  <w:vAlign w:val="center"/>
                </w:tcPr>
                <w:p w14:paraId="2B64358D">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1.67</w:t>
                  </w:r>
                </w:p>
              </w:tc>
              <w:tc>
                <w:tcPr>
                  <w:tcW w:w="553" w:type="pct"/>
                  <w:tcBorders>
                    <w:tl2br w:val="nil"/>
                    <w:tr2bl w:val="nil"/>
                  </w:tcBorders>
                  <w:noWrap w:val="0"/>
                  <w:vAlign w:val="center"/>
                </w:tcPr>
                <w:p w14:paraId="5DED1ED8">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1.92</w:t>
                  </w:r>
                </w:p>
              </w:tc>
              <w:tc>
                <w:tcPr>
                  <w:tcW w:w="553" w:type="pct"/>
                  <w:tcBorders>
                    <w:tl2br w:val="nil"/>
                    <w:tr2bl w:val="nil"/>
                  </w:tcBorders>
                  <w:noWrap w:val="0"/>
                  <w:vAlign w:val="center"/>
                </w:tcPr>
                <w:p w14:paraId="0F80666C">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1.84</w:t>
                  </w:r>
                </w:p>
              </w:tc>
              <w:tc>
                <w:tcPr>
                  <w:tcW w:w="555" w:type="pct"/>
                  <w:tcBorders>
                    <w:tl2br w:val="nil"/>
                    <w:tr2bl w:val="nil"/>
                  </w:tcBorders>
                  <w:noWrap w:val="0"/>
                  <w:vAlign w:val="center"/>
                </w:tcPr>
                <w:p w14:paraId="02D3C72A">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1.71</w:t>
                  </w:r>
                </w:p>
              </w:tc>
              <w:tc>
                <w:tcPr>
                  <w:tcW w:w="551" w:type="pct"/>
                  <w:tcBorders>
                    <w:tl2br w:val="nil"/>
                    <w:tr2bl w:val="nil"/>
                  </w:tcBorders>
                  <w:noWrap w:val="0"/>
                  <w:vAlign w:val="center"/>
                </w:tcPr>
                <w:p w14:paraId="61026EB0">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15</w:t>
                  </w:r>
                </w:p>
              </w:tc>
              <w:tc>
                <w:tcPr>
                  <w:tcW w:w="432" w:type="pct"/>
                  <w:tcBorders>
                    <w:tl2br w:val="nil"/>
                    <w:tr2bl w:val="nil"/>
                  </w:tcBorders>
                  <w:noWrap w:val="0"/>
                  <w:vAlign w:val="center"/>
                </w:tcPr>
                <w:p w14:paraId="66025FA8">
                  <w:pPr>
                    <w:keepNext w:val="0"/>
                    <w:keepLines w:val="0"/>
                    <w:pageBreakBefore w:val="0"/>
                    <w:widowControl/>
                    <w:kinsoku/>
                    <w:wordWrap/>
                    <w:overflowPunct/>
                    <w:topLinePunct w:val="0"/>
                    <w:autoSpaceDE/>
                    <w:autoSpaceDN/>
                    <w:bidi w:val="0"/>
                    <w:adjustRightInd/>
                    <w:snapToGrid/>
                    <w:spacing w:after="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lang w:val="en-US" w:eastAsia="zh-CN"/>
                    </w:rPr>
                    <w:t>mg/L</w:t>
                  </w:r>
                </w:p>
              </w:tc>
            </w:tr>
          </w:tbl>
          <w:p w14:paraId="060C267B">
            <w:pPr>
              <w:widowControl w:val="0"/>
              <w:spacing w:after="0" w:line="360" w:lineRule="auto"/>
              <w:ind w:firstLine="480" w:firstLineChars="200"/>
              <w:jc w:val="both"/>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由上表可知，</w:t>
            </w:r>
            <w:r>
              <w:rPr>
                <w:rFonts w:hint="default" w:ascii="Times New Roman" w:hAnsi="Times New Roman" w:eastAsia="宋体" w:cs="Times New Roman"/>
                <w:color w:val="auto"/>
                <w:sz w:val="24"/>
                <w:szCs w:val="24"/>
                <w:u w:val="none" w:color="auto"/>
                <w:lang w:val="en-US" w:eastAsia="zh-CN"/>
              </w:rPr>
              <w:t>建设单位</w:t>
            </w:r>
            <w:r>
              <w:rPr>
                <w:rFonts w:hint="default" w:ascii="Times New Roman" w:hAnsi="Times New Roman" w:eastAsia="宋体" w:cs="Times New Roman"/>
                <w:color w:val="auto"/>
                <w:sz w:val="24"/>
                <w:szCs w:val="24"/>
                <w:u w:val="none" w:color="auto"/>
              </w:rPr>
              <w:t>外排废水中各污染物浓度满足排放</w:t>
            </w:r>
            <w:r>
              <w:rPr>
                <w:rFonts w:hint="default" w:ascii="Times New Roman" w:hAnsi="Times New Roman" w:eastAsia="宋体" w:cs="Times New Roman"/>
                <w:color w:val="auto"/>
                <w:sz w:val="24"/>
                <w:szCs w:val="24"/>
                <w:u w:val="none" w:color="auto"/>
                <w:lang w:val="en-US" w:eastAsia="zh-CN"/>
              </w:rPr>
              <w:t>标准</w:t>
            </w:r>
            <w:r>
              <w:rPr>
                <w:rFonts w:hint="default" w:ascii="Times New Roman" w:hAnsi="Times New Roman" w:eastAsia="宋体" w:cs="Times New Roman"/>
                <w:color w:val="auto"/>
                <w:sz w:val="24"/>
                <w:szCs w:val="24"/>
                <w:u w:val="none" w:color="auto"/>
              </w:rPr>
              <w:t>要求。</w:t>
            </w:r>
          </w:p>
          <w:p w14:paraId="31EEA8E5">
            <w:pPr>
              <w:spacing w:line="360" w:lineRule="auto"/>
              <w:ind w:firstLine="480" w:firstLineChars="200"/>
              <w:rPr>
                <w:rFonts w:hint="default" w:ascii="Times New Roman" w:hAnsi="Times New Roman" w:eastAsia="宋体" w:cs="Times New Roman"/>
                <w:color w:val="auto"/>
                <w:sz w:val="24"/>
                <w:highlight w:val="none"/>
                <w:u w:val="none" w:color="auto"/>
              </w:rPr>
            </w:pPr>
            <w:r>
              <w:rPr>
                <w:rFonts w:hint="default" w:ascii="Times New Roman" w:hAnsi="Times New Roman" w:eastAsia="宋体" w:cs="Times New Roman"/>
                <w:color w:val="auto"/>
                <w:sz w:val="24"/>
                <w:highlight w:val="none"/>
                <w:u w:val="none" w:color="auto"/>
              </w:rPr>
              <w:t>（3）噪声</w:t>
            </w:r>
          </w:p>
          <w:p w14:paraId="59F179B4">
            <w:pPr>
              <w:widowControl w:val="0"/>
              <w:adjustRightInd/>
              <w:snapToGrid/>
              <w:spacing w:after="0" w:line="360" w:lineRule="auto"/>
              <w:ind w:firstLine="480" w:firstLineChars="200"/>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lang w:val="en-US" w:eastAsia="zh-CN"/>
              </w:rPr>
              <w:t>建设单位在验收期间</w:t>
            </w:r>
            <w:r>
              <w:rPr>
                <w:rFonts w:hint="default" w:ascii="Times New Roman" w:hAnsi="Times New Roman" w:eastAsia="宋体" w:cs="Times New Roman"/>
                <w:color w:val="auto"/>
                <w:sz w:val="24"/>
                <w:szCs w:val="24"/>
                <w:u w:val="none" w:color="auto"/>
              </w:rPr>
              <w:t>厂界噪声检测结果见表</w:t>
            </w:r>
            <w:r>
              <w:rPr>
                <w:rFonts w:hint="default" w:ascii="Times New Roman" w:hAnsi="Times New Roman" w:eastAsia="宋体" w:cs="Times New Roman"/>
                <w:color w:val="auto"/>
                <w:sz w:val="24"/>
                <w:szCs w:val="24"/>
                <w:u w:val="none" w:color="auto"/>
                <w:lang w:val="en-US" w:eastAsia="zh-CN"/>
              </w:rPr>
              <w:t>2</w:t>
            </w:r>
            <w:r>
              <w:rPr>
                <w:rFonts w:hint="default" w:ascii="Times New Roman" w:hAnsi="Times New Roman" w:eastAsia="宋体" w:cs="Times New Roman"/>
                <w:color w:val="auto"/>
                <w:sz w:val="24"/>
                <w:szCs w:val="24"/>
                <w:u w:val="none" w:color="auto"/>
              </w:rPr>
              <w:t>-</w:t>
            </w:r>
            <w:r>
              <w:rPr>
                <w:rFonts w:hint="default" w:ascii="Times New Roman" w:hAnsi="Times New Roman" w:eastAsia="宋体" w:cs="Times New Roman"/>
                <w:color w:val="auto"/>
                <w:sz w:val="24"/>
                <w:szCs w:val="24"/>
                <w:u w:val="none" w:color="auto"/>
                <w:lang w:val="en-US" w:eastAsia="zh-CN"/>
              </w:rPr>
              <w:t>19</w:t>
            </w:r>
            <w:r>
              <w:rPr>
                <w:rFonts w:hint="default" w:ascii="Times New Roman" w:hAnsi="Times New Roman" w:eastAsia="宋体" w:cs="Times New Roman"/>
                <w:color w:val="auto"/>
                <w:sz w:val="24"/>
                <w:szCs w:val="24"/>
                <w:u w:val="none" w:color="auto"/>
              </w:rPr>
              <w:t>。</w:t>
            </w:r>
          </w:p>
          <w:p w14:paraId="51F2A7CD">
            <w:pPr>
              <w:widowControl w:val="0"/>
              <w:adjustRightInd/>
              <w:snapToGrid/>
              <w:spacing w:after="0"/>
              <w:jc w:val="center"/>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表</w:t>
            </w:r>
            <w:r>
              <w:rPr>
                <w:rFonts w:hint="default" w:ascii="Times New Roman" w:hAnsi="Times New Roman" w:eastAsia="宋体" w:cs="Times New Roman"/>
                <w:b/>
                <w:bCs/>
                <w:color w:val="auto"/>
                <w:sz w:val="21"/>
                <w:szCs w:val="21"/>
                <w:u w:val="none" w:color="auto"/>
                <w:lang w:val="en-US" w:eastAsia="zh-CN"/>
              </w:rPr>
              <w:t>2</w:t>
            </w:r>
            <w:r>
              <w:rPr>
                <w:rFonts w:hint="default" w:ascii="Times New Roman" w:hAnsi="Times New Roman" w:eastAsia="宋体" w:cs="Times New Roman"/>
                <w:b/>
                <w:bCs/>
                <w:color w:val="auto"/>
                <w:sz w:val="21"/>
                <w:szCs w:val="21"/>
                <w:u w:val="none" w:color="auto"/>
              </w:rPr>
              <w:t>-</w:t>
            </w:r>
            <w:r>
              <w:rPr>
                <w:rFonts w:hint="default" w:ascii="Times New Roman" w:hAnsi="Times New Roman" w:eastAsia="宋体" w:cs="Times New Roman"/>
                <w:b/>
                <w:bCs/>
                <w:color w:val="auto"/>
                <w:sz w:val="21"/>
                <w:szCs w:val="21"/>
                <w:u w:val="none" w:color="auto"/>
                <w:lang w:val="en-US" w:eastAsia="zh-CN"/>
              </w:rPr>
              <w:t xml:space="preserve">19 </w:t>
            </w:r>
            <w:r>
              <w:rPr>
                <w:rFonts w:hint="default" w:ascii="Times New Roman" w:hAnsi="Times New Roman" w:eastAsia="宋体" w:cs="Times New Roman"/>
                <w:b/>
                <w:bCs/>
                <w:color w:val="auto"/>
                <w:sz w:val="21"/>
                <w:szCs w:val="21"/>
                <w:u w:val="none" w:color="auto"/>
              </w:rPr>
              <w:t xml:space="preserve"> 厂界噪声检测结果  单位dB（A）</w:t>
            </w:r>
          </w:p>
          <w:tbl>
            <w:tblPr>
              <w:tblStyle w:val="31"/>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398"/>
              <w:gridCol w:w="2576"/>
              <w:gridCol w:w="1180"/>
              <w:gridCol w:w="1066"/>
              <w:gridCol w:w="1202"/>
              <w:gridCol w:w="1049"/>
            </w:tblGrid>
            <w:tr w14:paraId="1154EBB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25" w:type="pct"/>
                  <w:vMerge w:val="restart"/>
                  <w:tcBorders>
                    <w:tl2br w:val="nil"/>
                    <w:tr2bl w:val="nil"/>
                  </w:tcBorders>
                  <w:noWrap w:val="0"/>
                  <w:vAlign w:val="center"/>
                </w:tcPr>
                <w:p w14:paraId="51A94C08">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采样时间</w:t>
                  </w:r>
                </w:p>
              </w:tc>
              <w:tc>
                <w:tcPr>
                  <w:tcW w:w="1520" w:type="pct"/>
                  <w:vMerge w:val="restart"/>
                  <w:tcBorders>
                    <w:tl2br w:val="nil"/>
                    <w:tr2bl w:val="nil"/>
                  </w:tcBorders>
                  <w:noWrap w:val="0"/>
                  <w:vAlign w:val="center"/>
                </w:tcPr>
                <w:p w14:paraId="0E48BDD4">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采样点位</w:t>
                  </w:r>
                </w:p>
              </w:tc>
              <w:tc>
                <w:tcPr>
                  <w:tcW w:w="2653" w:type="pct"/>
                  <w:gridSpan w:val="4"/>
                  <w:tcBorders>
                    <w:tl2br w:val="nil"/>
                    <w:tr2bl w:val="nil"/>
                  </w:tcBorders>
                  <w:noWrap w:val="0"/>
                  <w:vAlign w:val="center"/>
                </w:tcPr>
                <w:p w14:paraId="66F1ABF7">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检测结果dB（A）</w:t>
                  </w:r>
                </w:p>
              </w:tc>
            </w:tr>
            <w:tr w14:paraId="4FE817C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25" w:type="pct"/>
                  <w:vMerge w:val="continue"/>
                  <w:tcBorders>
                    <w:tl2br w:val="nil"/>
                    <w:tr2bl w:val="nil"/>
                  </w:tcBorders>
                  <w:noWrap w:val="0"/>
                  <w:vAlign w:val="center"/>
                </w:tcPr>
                <w:p w14:paraId="1D85E2D1">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b/>
                      <w:bCs/>
                      <w:color w:val="auto"/>
                      <w:sz w:val="21"/>
                      <w:szCs w:val="21"/>
                      <w:u w:val="none" w:color="auto"/>
                    </w:rPr>
                  </w:pPr>
                </w:p>
              </w:tc>
              <w:tc>
                <w:tcPr>
                  <w:tcW w:w="1520" w:type="pct"/>
                  <w:vMerge w:val="continue"/>
                  <w:tcBorders>
                    <w:tl2br w:val="nil"/>
                    <w:tr2bl w:val="nil"/>
                  </w:tcBorders>
                  <w:noWrap w:val="0"/>
                  <w:vAlign w:val="center"/>
                </w:tcPr>
                <w:p w14:paraId="34B4A55B">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b/>
                      <w:bCs/>
                      <w:color w:val="auto"/>
                      <w:sz w:val="21"/>
                      <w:szCs w:val="21"/>
                      <w:u w:val="none" w:color="auto"/>
                    </w:rPr>
                  </w:pPr>
                </w:p>
              </w:tc>
              <w:tc>
                <w:tcPr>
                  <w:tcW w:w="696" w:type="pct"/>
                  <w:tcBorders>
                    <w:tl2br w:val="nil"/>
                    <w:tr2bl w:val="nil"/>
                  </w:tcBorders>
                  <w:noWrap w:val="0"/>
                  <w:vAlign w:val="center"/>
                </w:tcPr>
                <w:p w14:paraId="40860BF9">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昼间</w:t>
                  </w:r>
                </w:p>
              </w:tc>
              <w:tc>
                <w:tcPr>
                  <w:tcW w:w="629" w:type="pct"/>
                  <w:tcBorders>
                    <w:tl2br w:val="nil"/>
                    <w:tr2bl w:val="nil"/>
                  </w:tcBorders>
                  <w:noWrap w:val="0"/>
                  <w:vAlign w:val="center"/>
                </w:tcPr>
                <w:p w14:paraId="372344CE">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参考限值</w:t>
                  </w:r>
                </w:p>
              </w:tc>
              <w:tc>
                <w:tcPr>
                  <w:tcW w:w="709" w:type="pct"/>
                  <w:tcBorders>
                    <w:tl2br w:val="nil"/>
                    <w:tr2bl w:val="nil"/>
                  </w:tcBorders>
                  <w:noWrap w:val="0"/>
                  <w:vAlign w:val="center"/>
                </w:tcPr>
                <w:p w14:paraId="10493BD3">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夜间</w:t>
                  </w:r>
                </w:p>
              </w:tc>
              <w:tc>
                <w:tcPr>
                  <w:tcW w:w="618" w:type="pct"/>
                  <w:tcBorders>
                    <w:tl2br w:val="nil"/>
                    <w:tr2bl w:val="nil"/>
                  </w:tcBorders>
                  <w:noWrap w:val="0"/>
                  <w:vAlign w:val="center"/>
                </w:tcPr>
                <w:p w14:paraId="26E449BA">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参考限值</w:t>
                  </w:r>
                </w:p>
              </w:tc>
            </w:tr>
            <w:tr w14:paraId="5E4BD83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25" w:type="pct"/>
                  <w:vMerge w:val="restart"/>
                  <w:tcBorders>
                    <w:tl2br w:val="nil"/>
                    <w:tr2bl w:val="nil"/>
                  </w:tcBorders>
                  <w:noWrap w:val="0"/>
                  <w:vAlign w:val="center"/>
                </w:tcPr>
                <w:p w14:paraId="1A894DB6">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5</w:t>
                  </w:r>
                  <w:r>
                    <w:rPr>
                      <w:rFonts w:hint="default" w:ascii="Times New Roman" w:hAnsi="Times New Roman" w:eastAsia="宋体" w:cs="Times New Roman"/>
                      <w:color w:val="auto"/>
                      <w:sz w:val="21"/>
                      <w:szCs w:val="21"/>
                      <w:u w:val="none" w:color="auto"/>
                    </w:rPr>
                    <w:t>月</w:t>
                  </w:r>
                  <w:r>
                    <w:rPr>
                      <w:rFonts w:hint="default" w:ascii="Times New Roman" w:hAnsi="Times New Roman" w:eastAsia="宋体" w:cs="Times New Roman"/>
                      <w:color w:val="auto"/>
                      <w:sz w:val="21"/>
                      <w:szCs w:val="21"/>
                      <w:u w:val="none" w:color="auto"/>
                      <w:lang w:val="en-US" w:eastAsia="zh-CN"/>
                    </w:rPr>
                    <w:t>30</w:t>
                  </w:r>
                  <w:r>
                    <w:rPr>
                      <w:rFonts w:hint="default" w:ascii="Times New Roman" w:hAnsi="Times New Roman" w:eastAsia="宋体" w:cs="Times New Roman"/>
                      <w:color w:val="auto"/>
                      <w:sz w:val="21"/>
                      <w:szCs w:val="21"/>
                      <w:u w:val="none" w:color="auto"/>
                    </w:rPr>
                    <w:t>日</w:t>
                  </w:r>
                </w:p>
              </w:tc>
              <w:tc>
                <w:tcPr>
                  <w:tcW w:w="1520" w:type="pct"/>
                  <w:tcBorders>
                    <w:tl2br w:val="nil"/>
                    <w:tr2bl w:val="nil"/>
                  </w:tcBorders>
                  <w:noWrap w:val="0"/>
                  <w:vAlign w:val="center"/>
                </w:tcPr>
                <w:p w14:paraId="72037B5E">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color w:val="auto"/>
                      <w:sz w:val="21"/>
                      <w:szCs w:val="22"/>
                      <w:u w:val="none" w:color="auto"/>
                      <w:lang w:val="en-US" w:eastAsia="zh-CN"/>
                    </w:rPr>
                  </w:pPr>
                  <w:r>
                    <w:rPr>
                      <w:rFonts w:hint="default" w:ascii="Times New Roman" w:hAnsi="Times New Roman" w:eastAsia="宋体" w:cs="Times New Roman"/>
                      <w:color w:val="auto"/>
                      <w:sz w:val="21"/>
                      <w:szCs w:val="22"/>
                      <w:u w:val="none" w:color="auto"/>
                      <w:lang w:val="en-US" w:eastAsia="zh-CN"/>
                    </w:rPr>
                    <w:t>N1</w:t>
                  </w:r>
                </w:p>
              </w:tc>
              <w:tc>
                <w:tcPr>
                  <w:tcW w:w="696" w:type="pct"/>
                  <w:tcBorders>
                    <w:tl2br w:val="nil"/>
                    <w:tr2bl w:val="nil"/>
                  </w:tcBorders>
                  <w:noWrap w:val="0"/>
                  <w:vAlign w:val="center"/>
                </w:tcPr>
                <w:p w14:paraId="219D417A">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54</w:t>
                  </w:r>
                </w:p>
              </w:tc>
              <w:tc>
                <w:tcPr>
                  <w:tcW w:w="629" w:type="pct"/>
                  <w:tcBorders>
                    <w:tl2br w:val="nil"/>
                    <w:tr2bl w:val="nil"/>
                  </w:tcBorders>
                  <w:noWrap w:val="0"/>
                  <w:vAlign w:val="center"/>
                </w:tcPr>
                <w:p w14:paraId="289C1CEA">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70</w:t>
                  </w:r>
                </w:p>
              </w:tc>
              <w:tc>
                <w:tcPr>
                  <w:tcW w:w="709" w:type="pct"/>
                  <w:tcBorders>
                    <w:tl2br w:val="nil"/>
                    <w:tr2bl w:val="nil"/>
                  </w:tcBorders>
                  <w:noWrap w:val="0"/>
                  <w:vAlign w:val="center"/>
                </w:tcPr>
                <w:p w14:paraId="7BBE6749">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44</w:t>
                  </w:r>
                </w:p>
              </w:tc>
              <w:tc>
                <w:tcPr>
                  <w:tcW w:w="618" w:type="pct"/>
                  <w:tcBorders>
                    <w:tl2br w:val="nil"/>
                    <w:tr2bl w:val="nil"/>
                  </w:tcBorders>
                  <w:noWrap w:val="0"/>
                  <w:vAlign w:val="center"/>
                </w:tcPr>
                <w:p w14:paraId="4CDD3D47">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55</w:t>
                  </w:r>
                </w:p>
              </w:tc>
            </w:tr>
            <w:tr w14:paraId="3B48D2F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25" w:type="pct"/>
                  <w:vMerge w:val="continue"/>
                  <w:tcBorders>
                    <w:tl2br w:val="nil"/>
                    <w:tr2bl w:val="nil"/>
                  </w:tcBorders>
                  <w:noWrap w:val="0"/>
                  <w:vAlign w:val="center"/>
                </w:tcPr>
                <w:p w14:paraId="0C8C59BA">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color w:val="auto"/>
                      <w:sz w:val="21"/>
                      <w:szCs w:val="21"/>
                      <w:u w:val="none" w:color="auto"/>
                    </w:rPr>
                  </w:pPr>
                </w:p>
              </w:tc>
              <w:tc>
                <w:tcPr>
                  <w:tcW w:w="1520" w:type="pct"/>
                  <w:tcBorders>
                    <w:tl2br w:val="nil"/>
                    <w:tr2bl w:val="nil"/>
                  </w:tcBorders>
                  <w:noWrap w:val="0"/>
                  <w:vAlign w:val="center"/>
                </w:tcPr>
                <w:p w14:paraId="2D3B8352">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color w:val="auto"/>
                      <w:sz w:val="21"/>
                      <w:szCs w:val="22"/>
                      <w:u w:val="none" w:color="auto"/>
                      <w:lang w:val="en-US" w:eastAsia="zh-CN"/>
                    </w:rPr>
                  </w:pPr>
                  <w:r>
                    <w:rPr>
                      <w:rFonts w:hint="default" w:ascii="Times New Roman" w:hAnsi="Times New Roman" w:eastAsia="宋体" w:cs="Times New Roman"/>
                      <w:color w:val="auto"/>
                      <w:sz w:val="21"/>
                      <w:szCs w:val="22"/>
                      <w:u w:val="none" w:color="auto"/>
                      <w:lang w:val="en-US" w:eastAsia="zh-CN"/>
                    </w:rPr>
                    <w:t>N2</w:t>
                  </w:r>
                </w:p>
              </w:tc>
              <w:tc>
                <w:tcPr>
                  <w:tcW w:w="696" w:type="pct"/>
                  <w:tcBorders>
                    <w:tl2br w:val="nil"/>
                    <w:tr2bl w:val="nil"/>
                  </w:tcBorders>
                  <w:noWrap w:val="0"/>
                  <w:vAlign w:val="center"/>
                </w:tcPr>
                <w:p w14:paraId="080E5572">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56</w:t>
                  </w:r>
                </w:p>
              </w:tc>
              <w:tc>
                <w:tcPr>
                  <w:tcW w:w="629" w:type="pct"/>
                  <w:vMerge w:val="restart"/>
                  <w:tcBorders>
                    <w:tl2br w:val="nil"/>
                    <w:tr2bl w:val="nil"/>
                  </w:tcBorders>
                  <w:noWrap w:val="0"/>
                  <w:vAlign w:val="center"/>
                </w:tcPr>
                <w:p w14:paraId="343E1394">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65</w:t>
                  </w:r>
                </w:p>
              </w:tc>
              <w:tc>
                <w:tcPr>
                  <w:tcW w:w="709" w:type="pct"/>
                  <w:tcBorders>
                    <w:tl2br w:val="nil"/>
                    <w:tr2bl w:val="nil"/>
                  </w:tcBorders>
                  <w:noWrap w:val="0"/>
                  <w:vAlign w:val="center"/>
                </w:tcPr>
                <w:p w14:paraId="70EC6D08">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45</w:t>
                  </w:r>
                </w:p>
              </w:tc>
              <w:tc>
                <w:tcPr>
                  <w:tcW w:w="618" w:type="pct"/>
                  <w:vMerge w:val="restart"/>
                  <w:tcBorders>
                    <w:tl2br w:val="nil"/>
                    <w:tr2bl w:val="nil"/>
                  </w:tcBorders>
                  <w:noWrap w:val="0"/>
                  <w:vAlign w:val="center"/>
                </w:tcPr>
                <w:p w14:paraId="6BCF827D">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55</w:t>
                  </w:r>
                </w:p>
              </w:tc>
            </w:tr>
            <w:tr w14:paraId="4AB515D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25" w:type="pct"/>
                  <w:vMerge w:val="continue"/>
                  <w:tcBorders>
                    <w:tl2br w:val="nil"/>
                    <w:tr2bl w:val="nil"/>
                  </w:tcBorders>
                  <w:noWrap w:val="0"/>
                  <w:vAlign w:val="center"/>
                </w:tcPr>
                <w:p w14:paraId="15F99239">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color w:val="auto"/>
                      <w:sz w:val="21"/>
                      <w:szCs w:val="21"/>
                      <w:u w:val="none" w:color="auto"/>
                    </w:rPr>
                  </w:pPr>
                </w:p>
              </w:tc>
              <w:tc>
                <w:tcPr>
                  <w:tcW w:w="1520" w:type="pct"/>
                  <w:tcBorders>
                    <w:tl2br w:val="nil"/>
                    <w:tr2bl w:val="nil"/>
                  </w:tcBorders>
                  <w:noWrap w:val="0"/>
                  <w:vAlign w:val="center"/>
                </w:tcPr>
                <w:p w14:paraId="525613CE">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color w:val="auto"/>
                      <w:sz w:val="21"/>
                      <w:szCs w:val="22"/>
                      <w:u w:val="none" w:color="auto"/>
                      <w:lang w:val="en-US" w:eastAsia="zh-CN"/>
                    </w:rPr>
                  </w:pPr>
                  <w:r>
                    <w:rPr>
                      <w:rFonts w:hint="default" w:ascii="Times New Roman" w:hAnsi="Times New Roman" w:eastAsia="宋体" w:cs="Times New Roman"/>
                      <w:color w:val="auto"/>
                      <w:sz w:val="21"/>
                      <w:szCs w:val="22"/>
                      <w:u w:val="none" w:color="auto"/>
                      <w:lang w:val="en-US" w:eastAsia="zh-CN"/>
                    </w:rPr>
                    <w:t>N3</w:t>
                  </w:r>
                </w:p>
              </w:tc>
              <w:tc>
                <w:tcPr>
                  <w:tcW w:w="696" w:type="pct"/>
                  <w:tcBorders>
                    <w:tl2br w:val="nil"/>
                    <w:tr2bl w:val="nil"/>
                  </w:tcBorders>
                  <w:noWrap w:val="0"/>
                  <w:vAlign w:val="center"/>
                </w:tcPr>
                <w:p w14:paraId="07728BF9">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57</w:t>
                  </w:r>
                </w:p>
              </w:tc>
              <w:tc>
                <w:tcPr>
                  <w:tcW w:w="629" w:type="pct"/>
                  <w:vMerge w:val="continue"/>
                  <w:tcBorders>
                    <w:tl2br w:val="nil"/>
                    <w:tr2bl w:val="nil"/>
                  </w:tcBorders>
                  <w:noWrap w:val="0"/>
                  <w:vAlign w:val="center"/>
                </w:tcPr>
                <w:p w14:paraId="77DE9C17">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color w:val="auto"/>
                      <w:sz w:val="21"/>
                      <w:szCs w:val="21"/>
                      <w:u w:val="none" w:color="auto"/>
                    </w:rPr>
                  </w:pPr>
                </w:p>
              </w:tc>
              <w:tc>
                <w:tcPr>
                  <w:tcW w:w="709" w:type="pct"/>
                  <w:tcBorders>
                    <w:tl2br w:val="nil"/>
                    <w:tr2bl w:val="nil"/>
                  </w:tcBorders>
                  <w:noWrap w:val="0"/>
                  <w:vAlign w:val="center"/>
                </w:tcPr>
                <w:p w14:paraId="37A58AFB">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47</w:t>
                  </w:r>
                </w:p>
              </w:tc>
              <w:tc>
                <w:tcPr>
                  <w:tcW w:w="618" w:type="pct"/>
                  <w:vMerge w:val="continue"/>
                  <w:tcBorders>
                    <w:tl2br w:val="nil"/>
                    <w:tr2bl w:val="nil"/>
                  </w:tcBorders>
                  <w:noWrap w:val="0"/>
                  <w:vAlign w:val="center"/>
                </w:tcPr>
                <w:p w14:paraId="6D7E2F71">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color w:val="auto"/>
                      <w:sz w:val="21"/>
                      <w:szCs w:val="21"/>
                      <w:u w:val="none" w:color="auto"/>
                    </w:rPr>
                  </w:pPr>
                </w:p>
              </w:tc>
            </w:tr>
            <w:tr w14:paraId="2DC07E6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25" w:type="pct"/>
                  <w:vMerge w:val="continue"/>
                  <w:tcBorders>
                    <w:tl2br w:val="nil"/>
                    <w:tr2bl w:val="nil"/>
                  </w:tcBorders>
                  <w:noWrap w:val="0"/>
                  <w:vAlign w:val="center"/>
                </w:tcPr>
                <w:p w14:paraId="2F163B92">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color w:val="auto"/>
                      <w:sz w:val="21"/>
                      <w:szCs w:val="21"/>
                      <w:u w:val="none" w:color="auto"/>
                    </w:rPr>
                  </w:pPr>
                </w:p>
              </w:tc>
              <w:tc>
                <w:tcPr>
                  <w:tcW w:w="1520" w:type="pct"/>
                  <w:tcBorders>
                    <w:tl2br w:val="nil"/>
                    <w:tr2bl w:val="nil"/>
                  </w:tcBorders>
                  <w:noWrap w:val="0"/>
                  <w:vAlign w:val="center"/>
                </w:tcPr>
                <w:p w14:paraId="2ED154F5">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color w:val="auto"/>
                      <w:sz w:val="21"/>
                      <w:szCs w:val="22"/>
                      <w:u w:val="none" w:color="auto"/>
                      <w:lang w:val="en-US" w:eastAsia="zh-CN"/>
                    </w:rPr>
                  </w:pPr>
                  <w:r>
                    <w:rPr>
                      <w:rFonts w:hint="default" w:ascii="Times New Roman" w:hAnsi="Times New Roman" w:eastAsia="宋体" w:cs="Times New Roman"/>
                      <w:color w:val="auto"/>
                      <w:sz w:val="21"/>
                      <w:szCs w:val="22"/>
                      <w:u w:val="none" w:color="auto"/>
                      <w:lang w:val="en-US" w:eastAsia="zh-CN"/>
                    </w:rPr>
                    <w:t>N4</w:t>
                  </w:r>
                </w:p>
              </w:tc>
              <w:tc>
                <w:tcPr>
                  <w:tcW w:w="696" w:type="pct"/>
                  <w:tcBorders>
                    <w:tl2br w:val="nil"/>
                    <w:tr2bl w:val="nil"/>
                  </w:tcBorders>
                  <w:noWrap w:val="0"/>
                  <w:vAlign w:val="center"/>
                </w:tcPr>
                <w:p w14:paraId="1B19512E">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55</w:t>
                  </w:r>
                </w:p>
              </w:tc>
              <w:tc>
                <w:tcPr>
                  <w:tcW w:w="629" w:type="pct"/>
                  <w:tcBorders>
                    <w:tl2br w:val="nil"/>
                    <w:tr2bl w:val="nil"/>
                  </w:tcBorders>
                  <w:noWrap w:val="0"/>
                  <w:vAlign w:val="center"/>
                </w:tcPr>
                <w:p w14:paraId="6613EE30">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70</w:t>
                  </w:r>
                </w:p>
              </w:tc>
              <w:tc>
                <w:tcPr>
                  <w:tcW w:w="709" w:type="pct"/>
                  <w:tcBorders>
                    <w:tl2br w:val="nil"/>
                    <w:tr2bl w:val="nil"/>
                  </w:tcBorders>
                  <w:noWrap w:val="0"/>
                  <w:vAlign w:val="center"/>
                </w:tcPr>
                <w:p w14:paraId="169290C1">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45</w:t>
                  </w:r>
                </w:p>
              </w:tc>
              <w:tc>
                <w:tcPr>
                  <w:tcW w:w="618" w:type="pct"/>
                  <w:tcBorders>
                    <w:tl2br w:val="nil"/>
                    <w:tr2bl w:val="nil"/>
                  </w:tcBorders>
                  <w:noWrap w:val="0"/>
                  <w:vAlign w:val="center"/>
                </w:tcPr>
                <w:p w14:paraId="439DFB2C">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55</w:t>
                  </w:r>
                </w:p>
              </w:tc>
            </w:tr>
            <w:tr w14:paraId="559748C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25" w:type="pct"/>
                  <w:vMerge w:val="restart"/>
                  <w:tcBorders>
                    <w:tl2br w:val="nil"/>
                    <w:tr2bl w:val="nil"/>
                  </w:tcBorders>
                  <w:noWrap w:val="0"/>
                  <w:vAlign w:val="center"/>
                </w:tcPr>
                <w:p w14:paraId="00FAB125">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color w:val="auto"/>
                      <w:sz w:val="21"/>
                      <w:szCs w:val="21"/>
                      <w:u w:val="none" w:color="auto"/>
                      <w:lang w:val="en-US" w:eastAsia="zh-CN"/>
                    </w:rPr>
                    <w:t>5</w:t>
                  </w:r>
                  <w:r>
                    <w:rPr>
                      <w:rFonts w:hint="default" w:ascii="Times New Roman" w:hAnsi="Times New Roman" w:eastAsia="宋体" w:cs="Times New Roman"/>
                      <w:color w:val="auto"/>
                      <w:sz w:val="21"/>
                      <w:szCs w:val="21"/>
                      <w:u w:val="none" w:color="auto"/>
                    </w:rPr>
                    <w:t>月</w:t>
                  </w:r>
                  <w:r>
                    <w:rPr>
                      <w:rFonts w:hint="default" w:ascii="Times New Roman" w:hAnsi="Times New Roman" w:eastAsia="宋体" w:cs="Times New Roman"/>
                      <w:color w:val="auto"/>
                      <w:sz w:val="21"/>
                      <w:szCs w:val="21"/>
                      <w:u w:val="none" w:color="auto"/>
                      <w:lang w:val="en-US" w:eastAsia="zh-CN"/>
                    </w:rPr>
                    <w:t>31</w:t>
                  </w:r>
                  <w:r>
                    <w:rPr>
                      <w:rFonts w:hint="default" w:ascii="Times New Roman" w:hAnsi="Times New Roman" w:eastAsia="宋体" w:cs="Times New Roman"/>
                      <w:color w:val="auto"/>
                      <w:sz w:val="21"/>
                      <w:szCs w:val="21"/>
                      <w:u w:val="none" w:color="auto"/>
                    </w:rPr>
                    <w:t>日</w:t>
                  </w:r>
                </w:p>
              </w:tc>
              <w:tc>
                <w:tcPr>
                  <w:tcW w:w="1520" w:type="pct"/>
                  <w:tcBorders>
                    <w:tl2br w:val="nil"/>
                    <w:tr2bl w:val="nil"/>
                  </w:tcBorders>
                  <w:noWrap w:val="0"/>
                  <w:vAlign w:val="center"/>
                </w:tcPr>
                <w:p w14:paraId="22FDE9AB">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color w:val="auto"/>
                      <w:kern w:val="2"/>
                      <w:sz w:val="21"/>
                      <w:szCs w:val="22"/>
                      <w:u w:val="none" w:color="auto"/>
                      <w:lang w:val="en-US" w:eastAsia="zh-CN" w:bidi="ar-SA"/>
                    </w:rPr>
                  </w:pPr>
                  <w:r>
                    <w:rPr>
                      <w:rFonts w:hint="default" w:ascii="Times New Roman" w:hAnsi="Times New Roman" w:eastAsia="宋体" w:cs="Times New Roman"/>
                      <w:color w:val="auto"/>
                      <w:sz w:val="21"/>
                      <w:szCs w:val="22"/>
                      <w:u w:val="none" w:color="auto"/>
                      <w:lang w:val="en-US" w:eastAsia="zh-CN"/>
                    </w:rPr>
                    <w:t>N1</w:t>
                  </w:r>
                </w:p>
              </w:tc>
              <w:tc>
                <w:tcPr>
                  <w:tcW w:w="696" w:type="pct"/>
                  <w:tcBorders>
                    <w:tl2br w:val="nil"/>
                    <w:tr2bl w:val="nil"/>
                  </w:tcBorders>
                  <w:noWrap w:val="0"/>
                  <w:vAlign w:val="center"/>
                </w:tcPr>
                <w:p w14:paraId="12F116D6">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53</w:t>
                  </w:r>
                </w:p>
              </w:tc>
              <w:tc>
                <w:tcPr>
                  <w:tcW w:w="629" w:type="pct"/>
                  <w:tcBorders>
                    <w:tl2br w:val="nil"/>
                    <w:tr2bl w:val="nil"/>
                  </w:tcBorders>
                  <w:noWrap w:val="0"/>
                  <w:vAlign w:val="center"/>
                </w:tcPr>
                <w:p w14:paraId="29D786B7">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70</w:t>
                  </w:r>
                </w:p>
              </w:tc>
              <w:tc>
                <w:tcPr>
                  <w:tcW w:w="709" w:type="pct"/>
                  <w:tcBorders>
                    <w:tl2br w:val="nil"/>
                    <w:tr2bl w:val="nil"/>
                  </w:tcBorders>
                  <w:noWrap w:val="0"/>
                  <w:vAlign w:val="center"/>
                </w:tcPr>
                <w:p w14:paraId="27EAE15D">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42</w:t>
                  </w:r>
                </w:p>
              </w:tc>
              <w:tc>
                <w:tcPr>
                  <w:tcW w:w="618" w:type="pct"/>
                  <w:tcBorders>
                    <w:tl2br w:val="nil"/>
                    <w:tr2bl w:val="nil"/>
                  </w:tcBorders>
                  <w:noWrap w:val="0"/>
                  <w:vAlign w:val="center"/>
                </w:tcPr>
                <w:p w14:paraId="4A232C84">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55</w:t>
                  </w:r>
                </w:p>
              </w:tc>
            </w:tr>
            <w:tr w14:paraId="294AE20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25" w:type="pct"/>
                  <w:vMerge w:val="continue"/>
                  <w:tcBorders>
                    <w:tl2br w:val="nil"/>
                    <w:tr2bl w:val="nil"/>
                  </w:tcBorders>
                  <w:noWrap w:val="0"/>
                  <w:vAlign w:val="center"/>
                </w:tcPr>
                <w:p w14:paraId="0CCFD4A5">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color w:val="auto"/>
                      <w:kern w:val="0"/>
                      <w:sz w:val="21"/>
                      <w:szCs w:val="21"/>
                      <w:u w:val="none" w:color="auto"/>
                    </w:rPr>
                    <w:t>46</w:t>
                  </w:r>
                </w:p>
              </w:tc>
              <w:tc>
                <w:tcPr>
                  <w:tcW w:w="1520" w:type="pct"/>
                  <w:tcBorders>
                    <w:tl2br w:val="nil"/>
                    <w:tr2bl w:val="nil"/>
                  </w:tcBorders>
                  <w:noWrap w:val="0"/>
                  <w:vAlign w:val="center"/>
                </w:tcPr>
                <w:p w14:paraId="3A0A03CA">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color w:val="auto"/>
                      <w:kern w:val="2"/>
                      <w:sz w:val="21"/>
                      <w:szCs w:val="22"/>
                      <w:u w:val="none" w:color="auto"/>
                      <w:lang w:val="en-US" w:eastAsia="zh-CN" w:bidi="ar-SA"/>
                    </w:rPr>
                  </w:pPr>
                  <w:r>
                    <w:rPr>
                      <w:rFonts w:hint="default" w:ascii="Times New Roman" w:hAnsi="Times New Roman" w:eastAsia="宋体" w:cs="Times New Roman"/>
                      <w:color w:val="auto"/>
                      <w:sz w:val="21"/>
                      <w:szCs w:val="22"/>
                      <w:u w:val="none" w:color="auto"/>
                      <w:lang w:val="en-US" w:eastAsia="zh-CN"/>
                    </w:rPr>
                    <w:t>N2</w:t>
                  </w:r>
                </w:p>
              </w:tc>
              <w:tc>
                <w:tcPr>
                  <w:tcW w:w="696" w:type="pct"/>
                  <w:tcBorders>
                    <w:tl2br w:val="nil"/>
                    <w:tr2bl w:val="nil"/>
                  </w:tcBorders>
                  <w:noWrap w:val="0"/>
                  <w:vAlign w:val="center"/>
                </w:tcPr>
                <w:p w14:paraId="02737BA1">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54</w:t>
                  </w:r>
                </w:p>
              </w:tc>
              <w:tc>
                <w:tcPr>
                  <w:tcW w:w="629" w:type="pct"/>
                  <w:vMerge w:val="restart"/>
                  <w:tcBorders>
                    <w:tl2br w:val="nil"/>
                    <w:tr2bl w:val="nil"/>
                  </w:tcBorders>
                  <w:noWrap w:val="0"/>
                  <w:vAlign w:val="center"/>
                </w:tcPr>
                <w:p w14:paraId="11CA3B68">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65</w:t>
                  </w:r>
                </w:p>
              </w:tc>
              <w:tc>
                <w:tcPr>
                  <w:tcW w:w="709" w:type="pct"/>
                  <w:tcBorders>
                    <w:tl2br w:val="nil"/>
                    <w:tr2bl w:val="nil"/>
                  </w:tcBorders>
                  <w:noWrap w:val="0"/>
                  <w:vAlign w:val="center"/>
                </w:tcPr>
                <w:p w14:paraId="6F9EA96D">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45</w:t>
                  </w:r>
                </w:p>
              </w:tc>
              <w:tc>
                <w:tcPr>
                  <w:tcW w:w="618" w:type="pct"/>
                  <w:vMerge w:val="restart"/>
                  <w:tcBorders>
                    <w:tl2br w:val="nil"/>
                    <w:tr2bl w:val="nil"/>
                  </w:tcBorders>
                  <w:noWrap w:val="0"/>
                  <w:vAlign w:val="center"/>
                </w:tcPr>
                <w:p w14:paraId="7989F893">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55</w:t>
                  </w:r>
                </w:p>
              </w:tc>
            </w:tr>
            <w:tr w14:paraId="67A05C0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25" w:type="pct"/>
                  <w:vMerge w:val="continue"/>
                  <w:tcBorders>
                    <w:tl2br w:val="nil"/>
                    <w:tr2bl w:val="nil"/>
                  </w:tcBorders>
                  <w:noWrap w:val="0"/>
                  <w:vAlign w:val="center"/>
                </w:tcPr>
                <w:p w14:paraId="0FF7D848">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color w:val="auto"/>
                      <w:kern w:val="0"/>
                      <w:sz w:val="21"/>
                      <w:szCs w:val="21"/>
                      <w:u w:val="none" w:color="auto"/>
                    </w:rPr>
                  </w:pPr>
                </w:p>
              </w:tc>
              <w:tc>
                <w:tcPr>
                  <w:tcW w:w="1520" w:type="pct"/>
                  <w:tcBorders>
                    <w:tl2br w:val="nil"/>
                    <w:tr2bl w:val="nil"/>
                  </w:tcBorders>
                  <w:noWrap w:val="0"/>
                  <w:vAlign w:val="center"/>
                </w:tcPr>
                <w:p w14:paraId="5A10B025">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color w:val="auto"/>
                      <w:kern w:val="2"/>
                      <w:sz w:val="21"/>
                      <w:szCs w:val="22"/>
                      <w:u w:val="none" w:color="auto"/>
                      <w:lang w:val="en-US" w:eastAsia="zh-CN" w:bidi="ar-SA"/>
                    </w:rPr>
                  </w:pPr>
                  <w:r>
                    <w:rPr>
                      <w:rFonts w:hint="default" w:ascii="Times New Roman" w:hAnsi="Times New Roman" w:eastAsia="宋体" w:cs="Times New Roman"/>
                      <w:color w:val="auto"/>
                      <w:sz w:val="21"/>
                      <w:szCs w:val="22"/>
                      <w:u w:val="none" w:color="auto"/>
                      <w:lang w:val="en-US" w:eastAsia="zh-CN"/>
                    </w:rPr>
                    <w:t>N3</w:t>
                  </w:r>
                </w:p>
              </w:tc>
              <w:tc>
                <w:tcPr>
                  <w:tcW w:w="696" w:type="pct"/>
                  <w:tcBorders>
                    <w:tl2br w:val="nil"/>
                    <w:tr2bl w:val="nil"/>
                  </w:tcBorders>
                  <w:noWrap w:val="0"/>
                  <w:vAlign w:val="center"/>
                </w:tcPr>
                <w:p w14:paraId="65AD88A5">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57</w:t>
                  </w:r>
                </w:p>
              </w:tc>
              <w:tc>
                <w:tcPr>
                  <w:tcW w:w="629" w:type="pct"/>
                  <w:vMerge w:val="continue"/>
                  <w:tcBorders>
                    <w:tl2br w:val="nil"/>
                    <w:tr2bl w:val="nil"/>
                  </w:tcBorders>
                  <w:noWrap w:val="0"/>
                  <w:vAlign w:val="center"/>
                </w:tcPr>
                <w:p w14:paraId="3A46D277">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color w:val="auto"/>
                      <w:sz w:val="21"/>
                      <w:szCs w:val="21"/>
                      <w:u w:val="none" w:color="auto"/>
                    </w:rPr>
                  </w:pPr>
                </w:p>
              </w:tc>
              <w:tc>
                <w:tcPr>
                  <w:tcW w:w="709" w:type="pct"/>
                  <w:tcBorders>
                    <w:tl2br w:val="nil"/>
                    <w:tr2bl w:val="nil"/>
                  </w:tcBorders>
                  <w:noWrap w:val="0"/>
                  <w:vAlign w:val="center"/>
                </w:tcPr>
                <w:p w14:paraId="1B1BE2D4">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46</w:t>
                  </w:r>
                </w:p>
              </w:tc>
              <w:tc>
                <w:tcPr>
                  <w:tcW w:w="618" w:type="pct"/>
                  <w:vMerge w:val="continue"/>
                  <w:tcBorders>
                    <w:tl2br w:val="nil"/>
                    <w:tr2bl w:val="nil"/>
                  </w:tcBorders>
                  <w:noWrap w:val="0"/>
                  <w:vAlign w:val="center"/>
                </w:tcPr>
                <w:p w14:paraId="4DB6BDB8">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color w:val="auto"/>
                      <w:sz w:val="21"/>
                      <w:szCs w:val="21"/>
                      <w:u w:val="none" w:color="auto"/>
                    </w:rPr>
                  </w:pPr>
                </w:p>
              </w:tc>
            </w:tr>
            <w:tr w14:paraId="459AE19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25" w:type="pct"/>
                  <w:vMerge w:val="continue"/>
                  <w:tcBorders>
                    <w:tl2br w:val="nil"/>
                    <w:tr2bl w:val="nil"/>
                  </w:tcBorders>
                  <w:noWrap w:val="0"/>
                  <w:vAlign w:val="center"/>
                </w:tcPr>
                <w:p w14:paraId="11E8ABB3">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color w:val="auto"/>
                      <w:sz w:val="21"/>
                      <w:szCs w:val="21"/>
                      <w:u w:val="none" w:color="auto"/>
                    </w:rPr>
                  </w:pPr>
                </w:p>
              </w:tc>
              <w:tc>
                <w:tcPr>
                  <w:tcW w:w="1520" w:type="pct"/>
                  <w:tcBorders>
                    <w:tl2br w:val="nil"/>
                    <w:tr2bl w:val="nil"/>
                  </w:tcBorders>
                  <w:noWrap w:val="0"/>
                  <w:vAlign w:val="center"/>
                </w:tcPr>
                <w:p w14:paraId="7A1A8F61">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color w:val="auto"/>
                      <w:kern w:val="2"/>
                      <w:sz w:val="21"/>
                      <w:szCs w:val="22"/>
                      <w:u w:val="none" w:color="auto"/>
                      <w:lang w:val="en-US" w:eastAsia="zh-CN" w:bidi="ar-SA"/>
                    </w:rPr>
                  </w:pPr>
                  <w:r>
                    <w:rPr>
                      <w:rFonts w:hint="default" w:ascii="Times New Roman" w:hAnsi="Times New Roman" w:eastAsia="宋体" w:cs="Times New Roman"/>
                      <w:color w:val="auto"/>
                      <w:sz w:val="21"/>
                      <w:szCs w:val="22"/>
                      <w:u w:val="none" w:color="auto"/>
                      <w:lang w:val="en-US" w:eastAsia="zh-CN"/>
                    </w:rPr>
                    <w:t>N4</w:t>
                  </w:r>
                </w:p>
              </w:tc>
              <w:tc>
                <w:tcPr>
                  <w:tcW w:w="696" w:type="pct"/>
                  <w:tcBorders>
                    <w:tl2br w:val="nil"/>
                    <w:tr2bl w:val="nil"/>
                  </w:tcBorders>
                  <w:noWrap w:val="0"/>
                  <w:vAlign w:val="center"/>
                </w:tcPr>
                <w:p w14:paraId="0703E3AD">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56</w:t>
                  </w:r>
                </w:p>
              </w:tc>
              <w:tc>
                <w:tcPr>
                  <w:tcW w:w="629" w:type="pct"/>
                  <w:tcBorders>
                    <w:tl2br w:val="nil"/>
                    <w:tr2bl w:val="nil"/>
                  </w:tcBorders>
                  <w:noWrap w:val="0"/>
                  <w:vAlign w:val="center"/>
                </w:tcPr>
                <w:p w14:paraId="2A3575F2">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70</w:t>
                  </w:r>
                </w:p>
              </w:tc>
              <w:tc>
                <w:tcPr>
                  <w:tcW w:w="709" w:type="pct"/>
                  <w:tcBorders>
                    <w:tl2br w:val="nil"/>
                    <w:tr2bl w:val="nil"/>
                  </w:tcBorders>
                  <w:noWrap w:val="0"/>
                  <w:vAlign w:val="center"/>
                </w:tcPr>
                <w:p w14:paraId="415A418B">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47</w:t>
                  </w:r>
                </w:p>
              </w:tc>
              <w:tc>
                <w:tcPr>
                  <w:tcW w:w="618" w:type="pct"/>
                  <w:tcBorders>
                    <w:tl2br w:val="nil"/>
                    <w:tr2bl w:val="nil"/>
                  </w:tcBorders>
                  <w:noWrap w:val="0"/>
                  <w:vAlign w:val="center"/>
                </w:tcPr>
                <w:p w14:paraId="35EE0B3B">
                  <w:pPr>
                    <w:keepNext w:val="0"/>
                    <w:keepLines w:val="0"/>
                    <w:pageBreakBefore w:val="0"/>
                    <w:widowControl/>
                    <w:kinsoku/>
                    <w:wordWrap/>
                    <w:overflowPunct/>
                    <w:topLinePunct w:val="0"/>
                    <w:autoSpaceDE/>
                    <w:autoSpaceDN/>
                    <w:bidi w:val="0"/>
                    <w:adjustRightInd/>
                    <w:snapToGrid/>
                    <w:spacing w:beforeLines="0" w:after="0" w:afterLines="0"/>
                    <w:jc w:val="center"/>
                    <w:textAlignment w:val="auto"/>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55</w:t>
                  </w:r>
                </w:p>
              </w:tc>
            </w:tr>
          </w:tbl>
          <w:p w14:paraId="69E91C2C">
            <w:pPr>
              <w:keepNext w:val="0"/>
              <w:keepLines w:val="0"/>
              <w:pageBreakBefore w:val="0"/>
              <w:widowControl/>
              <w:kinsoku/>
              <w:wordWrap/>
              <w:overflowPunct/>
              <w:topLinePunct w:val="0"/>
              <w:autoSpaceDE/>
              <w:autoSpaceDN/>
              <w:bidi w:val="0"/>
              <w:adjustRightInd/>
              <w:snapToGrid/>
              <w:spacing w:after="0"/>
              <w:textAlignment w:val="auto"/>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注：N2、N3</w:t>
            </w:r>
            <w:r>
              <w:rPr>
                <w:rFonts w:hint="default" w:ascii="Times New Roman" w:hAnsi="Times New Roman" w:eastAsia="宋体" w:cs="Times New Roman"/>
                <w:b/>
                <w:bCs/>
                <w:color w:val="auto"/>
                <w:sz w:val="21"/>
                <w:szCs w:val="21"/>
                <w:u w:val="none" w:color="auto"/>
                <w:lang w:val="en-US" w:eastAsia="zh-CN"/>
              </w:rPr>
              <w:t>执行</w:t>
            </w:r>
            <w:r>
              <w:rPr>
                <w:rFonts w:hint="default" w:ascii="Times New Roman" w:hAnsi="Times New Roman" w:eastAsia="宋体" w:cs="Times New Roman"/>
                <w:b/>
                <w:bCs/>
                <w:color w:val="auto"/>
                <w:sz w:val="21"/>
                <w:szCs w:val="21"/>
                <w:u w:val="none" w:color="auto"/>
              </w:rPr>
              <w:t>《工业企业厂界环境噪声排放标准》（GB 12348-2008）3类标准，N1、N4执行4类标准。</w:t>
            </w:r>
          </w:p>
          <w:p w14:paraId="7C60DA97">
            <w:pPr>
              <w:widowControl w:val="0"/>
              <w:spacing w:after="0" w:line="360" w:lineRule="auto"/>
              <w:ind w:firstLine="480" w:firstLineChars="200"/>
              <w:jc w:val="both"/>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4"/>
                <w:szCs w:val="24"/>
                <w:u w:val="none" w:color="auto"/>
              </w:rPr>
              <w:t>由上表可知，</w:t>
            </w:r>
            <w:r>
              <w:rPr>
                <w:rFonts w:hint="default" w:ascii="Times New Roman" w:hAnsi="Times New Roman" w:eastAsia="宋体" w:cs="Times New Roman"/>
                <w:color w:val="auto"/>
                <w:sz w:val="24"/>
                <w:szCs w:val="24"/>
                <w:u w:val="none" w:color="auto"/>
                <w:lang w:val="en-US" w:eastAsia="zh-CN"/>
              </w:rPr>
              <w:t>建设单位</w:t>
            </w:r>
            <w:r>
              <w:rPr>
                <w:rFonts w:hint="default" w:ascii="Times New Roman" w:hAnsi="Times New Roman" w:eastAsia="宋体" w:cs="Times New Roman"/>
                <w:color w:val="auto"/>
                <w:sz w:val="24"/>
                <w:szCs w:val="24"/>
                <w:u w:val="none" w:color="auto"/>
              </w:rPr>
              <w:t>厂界噪声满足《工业企业厂界环境噪声排放标准》（GB12348-2008）中的</w:t>
            </w:r>
            <w:r>
              <w:rPr>
                <w:rFonts w:hint="default" w:ascii="Times New Roman" w:hAnsi="Times New Roman" w:eastAsia="宋体" w:cs="Times New Roman"/>
                <w:color w:val="auto"/>
                <w:sz w:val="24"/>
                <w:szCs w:val="24"/>
                <w:u w:val="none" w:color="auto"/>
                <w:lang w:val="en-US" w:eastAsia="zh-CN"/>
              </w:rPr>
              <w:t>相关标准限制要求</w:t>
            </w:r>
            <w:r>
              <w:rPr>
                <w:rFonts w:hint="default" w:ascii="Times New Roman" w:hAnsi="Times New Roman" w:eastAsia="宋体" w:cs="Times New Roman"/>
                <w:color w:val="auto"/>
                <w:sz w:val="21"/>
                <w:szCs w:val="21"/>
                <w:u w:val="none" w:color="auto"/>
              </w:rPr>
              <w:t>。</w:t>
            </w:r>
          </w:p>
          <w:p w14:paraId="68C8839D">
            <w:pPr>
              <w:spacing w:line="360" w:lineRule="auto"/>
              <w:ind w:firstLine="480" w:firstLineChars="200"/>
              <w:rPr>
                <w:rFonts w:hint="default" w:ascii="Times New Roman" w:hAnsi="Times New Roman" w:eastAsia="宋体" w:cs="Times New Roman"/>
                <w:color w:val="auto"/>
                <w:sz w:val="24"/>
                <w:highlight w:val="none"/>
                <w:u w:val="none" w:color="auto"/>
                <w:lang w:val="en-US" w:eastAsia="zh-CN"/>
              </w:rPr>
            </w:pPr>
            <w:r>
              <w:rPr>
                <w:rFonts w:hint="default" w:ascii="Times New Roman" w:hAnsi="Times New Roman" w:eastAsia="宋体" w:cs="Times New Roman"/>
                <w:color w:val="auto"/>
                <w:sz w:val="24"/>
                <w:highlight w:val="none"/>
                <w:u w:val="none" w:color="auto"/>
              </w:rPr>
              <w:t>（</w:t>
            </w:r>
            <w:r>
              <w:rPr>
                <w:rFonts w:hint="default" w:ascii="Times New Roman" w:hAnsi="Times New Roman" w:eastAsia="宋体" w:cs="Times New Roman"/>
                <w:color w:val="auto"/>
                <w:sz w:val="24"/>
                <w:highlight w:val="none"/>
                <w:u w:val="none" w:color="auto"/>
                <w:lang w:val="en-US" w:eastAsia="zh-CN"/>
              </w:rPr>
              <w:t>4</w:t>
            </w:r>
            <w:r>
              <w:rPr>
                <w:rFonts w:hint="default" w:ascii="Times New Roman" w:hAnsi="Times New Roman" w:eastAsia="宋体" w:cs="Times New Roman"/>
                <w:color w:val="auto"/>
                <w:sz w:val="24"/>
                <w:highlight w:val="none"/>
                <w:u w:val="none" w:color="auto"/>
              </w:rPr>
              <w:t>）</w:t>
            </w:r>
            <w:r>
              <w:rPr>
                <w:rFonts w:hint="default" w:ascii="Times New Roman" w:hAnsi="Times New Roman" w:eastAsia="宋体" w:cs="Times New Roman"/>
                <w:color w:val="auto"/>
                <w:sz w:val="24"/>
                <w:highlight w:val="none"/>
                <w:u w:val="none" w:color="auto"/>
                <w:lang w:val="en-US" w:eastAsia="zh-CN"/>
              </w:rPr>
              <w:t>固废</w:t>
            </w:r>
          </w:p>
          <w:p w14:paraId="1F14518C">
            <w:pPr>
              <w:pStyle w:val="97"/>
              <w:widowControl w:val="0"/>
              <w:spacing w:before="0" w:beforeAutospacing="0" w:after="0" w:afterAutospacing="0" w:line="360" w:lineRule="auto"/>
              <w:ind w:firstLine="480" w:firstLineChars="200"/>
              <w:jc w:val="both"/>
              <w:rPr>
                <w:rFonts w:hint="default" w:ascii="Times New Roman" w:hAnsi="Times New Roman" w:eastAsia="宋体" w:cs="Times New Roman"/>
                <w:color w:val="auto"/>
                <w:u w:val="none" w:color="auto"/>
                <w:lang w:eastAsia="zh-CN"/>
              </w:rPr>
            </w:pPr>
            <w:r>
              <w:rPr>
                <w:rFonts w:hint="default" w:ascii="Times New Roman" w:hAnsi="Times New Roman" w:eastAsia="宋体" w:cs="Times New Roman"/>
                <w:color w:val="auto"/>
                <w:u w:val="none" w:color="auto"/>
              </w:rPr>
              <w:t>公司已建设有</w:t>
            </w:r>
            <w:r>
              <w:rPr>
                <w:rFonts w:hint="default" w:ascii="Times New Roman" w:hAnsi="Times New Roman" w:eastAsia="宋体" w:cs="Times New Roman"/>
                <w:color w:val="auto"/>
                <w:u w:val="none" w:color="auto"/>
                <w:lang w:val="en-US" w:eastAsia="zh-CN"/>
              </w:rPr>
              <w:t>一座危废库合计面积为300</w:t>
            </w:r>
            <w:r>
              <w:rPr>
                <w:rFonts w:hint="default" w:ascii="Times New Roman" w:hAnsi="Times New Roman" w:eastAsia="宋体" w:cs="Times New Roman"/>
                <w:color w:val="auto"/>
                <w:u w:val="none" w:color="auto"/>
              </w:rPr>
              <w:t>m</w:t>
            </w:r>
            <w:r>
              <w:rPr>
                <w:rFonts w:hint="default" w:ascii="Times New Roman" w:hAnsi="Times New Roman" w:eastAsia="宋体" w:cs="Times New Roman"/>
                <w:color w:val="auto"/>
                <w:u w:val="none" w:color="auto"/>
                <w:vertAlign w:val="superscript"/>
              </w:rPr>
              <w:t>2</w:t>
            </w:r>
            <w:r>
              <w:rPr>
                <w:rFonts w:hint="default" w:ascii="Times New Roman" w:hAnsi="Times New Roman" w:eastAsia="宋体" w:cs="Times New Roman"/>
                <w:color w:val="auto"/>
                <w:u w:val="none" w:color="auto"/>
              </w:rPr>
              <w:t>的危废暂存间</w:t>
            </w:r>
            <w:r>
              <w:rPr>
                <w:rFonts w:hint="default" w:ascii="Times New Roman" w:hAnsi="Times New Roman" w:eastAsia="宋体" w:cs="Times New Roman"/>
                <w:color w:val="auto"/>
                <w:u w:val="none" w:color="auto"/>
                <w:lang w:eastAsia="zh-CN"/>
              </w:rPr>
              <w:t>（</w:t>
            </w:r>
            <w:r>
              <w:rPr>
                <w:rFonts w:hint="default" w:ascii="Times New Roman" w:hAnsi="Times New Roman" w:eastAsia="宋体" w:cs="Times New Roman"/>
                <w:color w:val="auto"/>
                <w:u w:val="none" w:color="auto"/>
                <w:lang w:val="en-US" w:eastAsia="zh-CN"/>
              </w:rPr>
              <w:t>共设置三间100m</w:t>
            </w:r>
            <w:r>
              <w:rPr>
                <w:rFonts w:hint="default" w:ascii="Times New Roman" w:hAnsi="Times New Roman" w:eastAsia="宋体" w:cs="Times New Roman"/>
                <w:color w:val="auto"/>
                <w:u w:val="none" w:color="auto"/>
                <w:vertAlign w:val="superscript"/>
                <w:lang w:val="en-US" w:eastAsia="zh-CN"/>
              </w:rPr>
              <w:t>2</w:t>
            </w:r>
            <w:r>
              <w:rPr>
                <w:rFonts w:hint="default" w:ascii="Times New Roman" w:hAnsi="Times New Roman" w:eastAsia="宋体" w:cs="Times New Roman"/>
                <w:color w:val="auto"/>
                <w:u w:val="none" w:color="auto"/>
                <w:lang w:eastAsia="zh-CN"/>
              </w:rPr>
              <w:t>）</w:t>
            </w:r>
            <w:r>
              <w:rPr>
                <w:rFonts w:hint="default" w:ascii="Times New Roman" w:hAnsi="Times New Roman" w:eastAsia="宋体" w:cs="Times New Roman"/>
                <w:color w:val="auto"/>
                <w:u w:val="none" w:color="auto"/>
              </w:rPr>
              <w:t>和</w:t>
            </w:r>
            <w:r>
              <w:rPr>
                <w:rFonts w:hint="default" w:ascii="Times New Roman" w:hAnsi="Times New Roman" w:eastAsia="宋体" w:cs="Times New Roman"/>
                <w:color w:val="auto"/>
                <w:u w:val="none" w:color="auto"/>
                <w:lang w:val="en-US" w:eastAsia="zh-CN"/>
              </w:rPr>
              <w:t>200</w:t>
            </w:r>
            <w:r>
              <w:rPr>
                <w:rFonts w:hint="default" w:ascii="Times New Roman" w:hAnsi="Times New Roman" w:eastAsia="宋体" w:cs="Times New Roman"/>
                <w:color w:val="auto"/>
                <w:u w:val="none" w:color="auto"/>
              </w:rPr>
              <w:t>m</w:t>
            </w:r>
            <w:r>
              <w:rPr>
                <w:rFonts w:hint="default" w:ascii="Times New Roman" w:hAnsi="Times New Roman" w:eastAsia="宋体" w:cs="Times New Roman"/>
                <w:color w:val="auto"/>
                <w:u w:val="none" w:color="auto"/>
                <w:vertAlign w:val="superscript"/>
              </w:rPr>
              <w:t>2</w:t>
            </w:r>
            <w:r>
              <w:rPr>
                <w:rFonts w:hint="default" w:ascii="Times New Roman" w:hAnsi="Times New Roman" w:eastAsia="宋体" w:cs="Times New Roman"/>
                <w:color w:val="auto"/>
                <w:u w:val="none" w:color="auto"/>
              </w:rPr>
              <w:t>的一般固废暂存间，经对照《一般工业固体废物贮存和填埋污染控制标准》（GB18599-2020）、</w:t>
            </w:r>
            <w:r>
              <w:rPr>
                <w:rFonts w:hint="default" w:ascii="Times New Roman" w:hAnsi="Times New Roman" w:eastAsia="宋体" w:cs="Times New Roman"/>
                <w:color w:val="auto"/>
                <w:u w:val="none" w:color="auto"/>
                <w:lang w:eastAsia="zh-CN"/>
              </w:rPr>
              <w:t>《危险废物贮存污染控制标准》（GB18596-2023）</w:t>
            </w:r>
            <w:r>
              <w:rPr>
                <w:rFonts w:hint="default" w:ascii="Times New Roman" w:hAnsi="Times New Roman" w:eastAsia="宋体" w:cs="Times New Roman"/>
                <w:color w:val="auto"/>
                <w:u w:val="none" w:color="auto"/>
              </w:rPr>
              <w:t>，能够满足相关规范要求</w:t>
            </w:r>
            <w:r>
              <w:rPr>
                <w:rFonts w:hint="default" w:ascii="Times New Roman" w:hAnsi="Times New Roman" w:eastAsia="宋体" w:cs="Times New Roman"/>
                <w:color w:val="auto"/>
                <w:u w:val="none" w:color="auto"/>
                <w:lang w:eastAsia="zh-CN"/>
              </w:rPr>
              <w:t>，</w:t>
            </w:r>
            <w:r>
              <w:rPr>
                <w:rFonts w:hint="default" w:ascii="Times New Roman" w:hAnsi="Times New Roman" w:eastAsia="宋体" w:cs="Times New Roman"/>
                <w:color w:val="auto"/>
                <w:u w:val="none" w:color="auto"/>
                <w:lang w:val="en-US" w:eastAsia="zh-CN"/>
              </w:rPr>
              <w:t>其中2处危废暂存间作为铝灰渣及二次灰渣贮存，1处危废暂存间作为其他类危废贮存，且已设置相关隔断措施</w:t>
            </w:r>
            <w:r>
              <w:rPr>
                <w:rFonts w:hint="default" w:ascii="Times New Roman" w:hAnsi="Times New Roman" w:eastAsia="宋体" w:cs="Times New Roman"/>
                <w:color w:val="auto"/>
                <w:u w:val="none" w:color="auto"/>
              </w:rPr>
              <w:t>。公司产生的危险废物依据属性和资质单位处置能力分别交由资质单位广西锋华环保科技有限公司</w:t>
            </w:r>
            <w:r>
              <w:rPr>
                <w:rFonts w:hint="default" w:ascii="Times New Roman" w:hAnsi="Times New Roman" w:eastAsia="宋体" w:cs="Times New Roman"/>
                <w:color w:val="auto"/>
                <w:u w:val="none" w:color="auto"/>
                <w:lang w:eastAsia="zh-CN"/>
              </w:rPr>
              <w:t>、湖南久和环保科技有限公司、湖南瀚洋环保科技有限公司、远大(湖南)再生燃油股份有限公司</w:t>
            </w:r>
            <w:r>
              <w:rPr>
                <w:rFonts w:hint="default" w:ascii="Times New Roman" w:hAnsi="Times New Roman" w:eastAsia="宋体" w:cs="Times New Roman"/>
                <w:color w:val="auto"/>
                <w:u w:val="none" w:color="auto"/>
                <w:lang w:val="en-US" w:eastAsia="zh-CN"/>
              </w:rPr>
              <w:t>等资质单位</w:t>
            </w:r>
            <w:r>
              <w:rPr>
                <w:rFonts w:hint="default" w:ascii="Times New Roman" w:hAnsi="Times New Roman" w:eastAsia="宋体" w:cs="Times New Roman"/>
                <w:color w:val="auto"/>
                <w:u w:val="none" w:color="auto"/>
              </w:rPr>
              <w:t>进行无害化处理；生活垃圾交由</w:t>
            </w:r>
            <w:r>
              <w:rPr>
                <w:rFonts w:hint="default" w:ascii="Times New Roman" w:hAnsi="Times New Roman" w:eastAsia="宋体" w:cs="Times New Roman"/>
                <w:color w:val="auto"/>
                <w:u w:val="none" w:color="auto"/>
                <w:lang w:val="en-US" w:eastAsia="zh-CN"/>
              </w:rPr>
              <w:t>港区</w:t>
            </w:r>
            <w:r>
              <w:rPr>
                <w:rFonts w:hint="default" w:ascii="Times New Roman" w:hAnsi="Times New Roman" w:eastAsia="宋体" w:cs="Times New Roman"/>
                <w:color w:val="auto"/>
                <w:u w:val="none" w:color="auto"/>
              </w:rPr>
              <w:t>环卫部门定期清运</w:t>
            </w:r>
            <w:r>
              <w:rPr>
                <w:rFonts w:hint="default" w:ascii="Times New Roman" w:hAnsi="Times New Roman" w:eastAsia="宋体" w:cs="Times New Roman"/>
                <w:color w:val="auto"/>
                <w:u w:val="none" w:color="auto"/>
                <w:lang w:eastAsia="zh-CN"/>
              </w:rPr>
              <w:t>。</w:t>
            </w:r>
          </w:p>
          <w:p w14:paraId="7EA6D517">
            <w:pPr>
              <w:pStyle w:val="30"/>
              <w:spacing w:after="0" w:line="360" w:lineRule="auto"/>
              <w:ind w:left="0" w:leftChars="0" w:firstLine="480" w:firstLineChars="200"/>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根据现场勘查，公司内未发生固废随意倾倒、危废泄漏等违法事故。</w:t>
            </w:r>
          </w:p>
          <w:p w14:paraId="07C4BDE8">
            <w:pPr>
              <w:widowControl/>
              <w:spacing w:line="360" w:lineRule="auto"/>
              <w:ind w:firstLine="480" w:firstLineChars="200"/>
              <w:jc w:val="left"/>
              <w:rPr>
                <w:rFonts w:hint="default" w:ascii="Times New Roman" w:hAnsi="Times New Roman" w:eastAsia="宋体" w:cs="Times New Roman"/>
                <w:b/>
                <w:bCs/>
                <w:color w:val="auto"/>
                <w:sz w:val="24"/>
                <w:szCs w:val="32"/>
                <w:highlight w:val="none"/>
                <w:u w:val="none" w:color="auto"/>
                <w:lang w:val="en-US" w:eastAsia="zh-CN"/>
              </w:rPr>
            </w:pPr>
            <w:r>
              <w:rPr>
                <w:rFonts w:hint="default" w:ascii="Times New Roman" w:hAnsi="Times New Roman" w:eastAsia="宋体" w:cs="Times New Roman"/>
                <w:color w:val="auto"/>
                <w:sz w:val="24"/>
                <w:szCs w:val="24"/>
                <w:u w:val="none" w:color="auto"/>
                <w:lang w:val="en-US" w:eastAsia="zh-CN"/>
              </w:rPr>
              <w:t>综上分析可知，建设单位现有工程能够做到达标排放。</w:t>
            </w:r>
          </w:p>
          <w:p w14:paraId="39904606">
            <w:pPr>
              <w:keepNext w:val="0"/>
              <w:keepLines w:val="0"/>
              <w:pageBreakBefore w:val="0"/>
              <w:widowControl/>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bCs/>
                <w:color w:val="auto"/>
                <w:sz w:val="24"/>
                <w:szCs w:val="32"/>
                <w:highlight w:val="none"/>
                <w:u w:val="none" w:color="auto"/>
              </w:rPr>
            </w:pPr>
            <w:r>
              <w:rPr>
                <w:rFonts w:hint="default" w:ascii="Times New Roman" w:hAnsi="Times New Roman" w:eastAsia="宋体" w:cs="Times New Roman"/>
                <w:b/>
                <w:bCs/>
                <w:color w:val="auto"/>
                <w:sz w:val="24"/>
                <w:szCs w:val="32"/>
                <w:highlight w:val="none"/>
                <w:u w:val="none" w:color="auto"/>
                <w:lang w:val="en-US" w:eastAsia="zh-CN"/>
              </w:rPr>
              <w:t>5</w:t>
            </w:r>
            <w:r>
              <w:rPr>
                <w:rFonts w:hint="default" w:ascii="Times New Roman" w:hAnsi="Times New Roman" w:eastAsia="宋体" w:cs="Times New Roman"/>
                <w:b/>
                <w:bCs/>
                <w:color w:val="auto"/>
                <w:sz w:val="24"/>
                <w:szCs w:val="32"/>
                <w:highlight w:val="none"/>
                <w:u w:val="none" w:color="auto"/>
              </w:rPr>
              <w:t>、</w:t>
            </w:r>
            <w:r>
              <w:rPr>
                <w:rFonts w:hint="default" w:ascii="Times New Roman" w:hAnsi="Times New Roman" w:eastAsia="宋体" w:cs="Times New Roman"/>
                <w:b/>
                <w:bCs/>
                <w:color w:val="auto"/>
                <w:kern w:val="0"/>
                <w:sz w:val="24"/>
                <w:highlight w:val="none"/>
                <w:u w:val="none" w:color="auto"/>
              </w:rPr>
              <w:t>现有项目工程污染物实际排放总量核算</w:t>
            </w:r>
          </w:p>
          <w:p w14:paraId="143C3E6D">
            <w:pPr>
              <w:widowControl/>
              <w:spacing w:line="360" w:lineRule="auto"/>
              <w:ind w:firstLine="480" w:firstLineChars="200"/>
              <w:jc w:val="left"/>
              <w:rPr>
                <w:rFonts w:hint="default" w:ascii="Times New Roman" w:hAnsi="Times New Roman" w:eastAsia="宋体" w:cs="Times New Roman"/>
                <w:color w:val="auto"/>
                <w:kern w:val="0"/>
                <w:sz w:val="24"/>
                <w:highlight w:val="none"/>
                <w:u w:val="none" w:color="auto"/>
                <w:lang w:val="en-US" w:eastAsia="zh-CN"/>
              </w:rPr>
            </w:pPr>
            <w:r>
              <w:rPr>
                <w:rFonts w:hint="default" w:ascii="Times New Roman" w:hAnsi="Times New Roman" w:eastAsia="宋体" w:cs="Times New Roman"/>
                <w:color w:val="auto"/>
                <w:kern w:val="0"/>
                <w:sz w:val="24"/>
                <w:highlight w:val="none"/>
                <w:u w:val="none" w:color="auto"/>
                <w:lang w:val="en-US" w:eastAsia="zh-CN"/>
              </w:rPr>
              <w:t>由于镁合金180吨加工项目实际处于停止状态，因此不纳入实际排污总量核算。</w:t>
            </w:r>
          </w:p>
          <w:p w14:paraId="4B54C189">
            <w:pPr>
              <w:widowControl/>
              <w:spacing w:line="360" w:lineRule="auto"/>
              <w:ind w:firstLine="480" w:firstLineChars="200"/>
              <w:jc w:val="left"/>
              <w:rPr>
                <w:rFonts w:hint="default" w:ascii="Times New Roman" w:hAnsi="Times New Roman" w:eastAsia="宋体" w:cs="Times New Roman"/>
                <w:color w:val="auto"/>
                <w:kern w:val="0"/>
                <w:sz w:val="24"/>
                <w:highlight w:val="none"/>
                <w:u w:val="none" w:color="auto"/>
                <w:lang w:val="en-US" w:eastAsia="zh-CN"/>
              </w:rPr>
            </w:pPr>
            <w:r>
              <w:rPr>
                <w:rFonts w:hint="default" w:ascii="Times New Roman" w:hAnsi="Times New Roman" w:eastAsia="宋体" w:cs="Times New Roman"/>
                <w:color w:val="auto"/>
                <w:kern w:val="0"/>
                <w:sz w:val="24"/>
                <w:highlight w:val="none"/>
                <w:u w:val="none" w:color="auto"/>
                <w:lang w:val="en-US" w:eastAsia="zh-CN"/>
              </w:rPr>
              <w:t>（1）现有工程实际排放总量核算</w:t>
            </w:r>
          </w:p>
          <w:p w14:paraId="653DDC90">
            <w:pPr>
              <w:widowControl w:val="0"/>
              <w:adjustRightInd/>
              <w:snapToGrid/>
              <w:spacing w:after="0" w:line="360" w:lineRule="auto"/>
              <w:ind w:firstLine="482" w:firstLineChars="200"/>
              <w:rPr>
                <w:rFonts w:hint="default" w:ascii="Times New Roman" w:hAnsi="Times New Roman" w:eastAsia="宋体" w:cs="Times New Roman"/>
                <w:b/>
                <w:bCs/>
                <w:color w:val="auto"/>
                <w:sz w:val="24"/>
                <w:szCs w:val="24"/>
                <w:highlight w:val="none"/>
                <w:u w:val="none" w:color="auto"/>
                <w:lang w:val="en-US" w:eastAsia="zh-CN"/>
              </w:rPr>
            </w:pPr>
            <w:r>
              <w:rPr>
                <w:rFonts w:hint="default" w:ascii="Times New Roman" w:hAnsi="Times New Roman" w:eastAsia="宋体" w:cs="Times New Roman"/>
                <w:b/>
                <w:bCs/>
                <w:color w:val="auto"/>
                <w:sz w:val="24"/>
                <w:szCs w:val="24"/>
                <w:highlight w:val="none"/>
                <w:u w:val="none" w:color="auto"/>
                <w:lang w:val="en-US" w:eastAsia="zh-CN"/>
              </w:rPr>
              <w:t>①废水总量分析</w:t>
            </w:r>
          </w:p>
          <w:p w14:paraId="23127070">
            <w:pPr>
              <w:widowControl w:val="0"/>
              <w:adjustRightInd/>
              <w:snapToGrid/>
              <w:spacing w:after="0" w:line="360" w:lineRule="auto"/>
              <w:ind w:firstLine="480" w:firstLineChars="200"/>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根据验收期间</w:t>
            </w:r>
            <w:r>
              <w:rPr>
                <w:rFonts w:hint="default" w:ascii="Times New Roman" w:hAnsi="Times New Roman" w:eastAsia="宋体" w:cs="Times New Roman"/>
                <w:color w:val="auto"/>
                <w:sz w:val="24"/>
                <w:szCs w:val="24"/>
                <w:highlight w:val="none"/>
                <w:u w:val="none" w:color="auto"/>
                <w:lang w:val="en-US" w:eastAsia="zh-CN"/>
              </w:rPr>
              <w:t>对企业排水</w:t>
            </w:r>
            <w:r>
              <w:rPr>
                <w:rFonts w:hint="default" w:ascii="Times New Roman" w:hAnsi="Times New Roman" w:eastAsia="宋体" w:cs="Times New Roman"/>
                <w:color w:val="auto"/>
                <w:sz w:val="24"/>
                <w:szCs w:val="24"/>
                <w:highlight w:val="none"/>
                <w:u w:val="none" w:color="auto"/>
              </w:rPr>
              <w:t>调查，</w:t>
            </w:r>
            <w:r>
              <w:rPr>
                <w:rFonts w:hint="default" w:ascii="Times New Roman" w:hAnsi="Times New Roman" w:eastAsia="宋体" w:cs="Times New Roman"/>
                <w:color w:val="auto"/>
                <w:sz w:val="24"/>
                <w:szCs w:val="24"/>
                <w:highlight w:val="none"/>
                <w:u w:val="none" w:color="auto"/>
                <w:lang w:val="en-US" w:eastAsia="zh-CN"/>
              </w:rPr>
              <w:t>现有</w:t>
            </w:r>
            <w:r>
              <w:rPr>
                <w:rFonts w:hint="default" w:ascii="Times New Roman" w:hAnsi="Times New Roman" w:eastAsia="宋体" w:cs="Times New Roman"/>
                <w:color w:val="auto"/>
                <w:sz w:val="24"/>
                <w:szCs w:val="24"/>
                <w:highlight w:val="none"/>
                <w:u w:val="none" w:color="auto"/>
              </w:rPr>
              <w:t>项目每天排放废水量约</w:t>
            </w:r>
            <w:r>
              <w:rPr>
                <w:rFonts w:hint="default" w:ascii="Times New Roman" w:hAnsi="Times New Roman" w:eastAsia="宋体" w:cs="Times New Roman"/>
                <w:color w:val="auto"/>
                <w:sz w:val="24"/>
                <w:szCs w:val="24"/>
                <w:highlight w:val="none"/>
                <w:u w:val="none" w:color="auto"/>
                <w:lang w:val="en-US" w:eastAsia="zh-CN"/>
              </w:rPr>
              <w:t>350.084</w:t>
            </w:r>
            <w:r>
              <w:rPr>
                <w:rFonts w:hint="default" w:ascii="Times New Roman" w:hAnsi="Times New Roman" w:eastAsia="宋体" w:cs="Times New Roman"/>
                <w:color w:val="auto"/>
                <w:sz w:val="24"/>
                <w:szCs w:val="24"/>
                <w:highlight w:val="none"/>
                <w:u w:val="none" w:color="auto"/>
              </w:rPr>
              <w:t>m</w:t>
            </w:r>
            <w:r>
              <w:rPr>
                <w:rFonts w:hint="default" w:ascii="Times New Roman" w:hAnsi="Times New Roman" w:eastAsia="宋体" w:cs="Times New Roman"/>
                <w:color w:val="auto"/>
                <w:sz w:val="24"/>
                <w:szCs w:val="24"/>
                <w:highlight w:val="none"/>
                <w:u w:val="none" w:color="auto"/>
                <w:vertAlign w:val="superscript"/>
              </w:rPr>
              <w:t>3</w:t>
            </w:r>
            <w:r>
              <w:rPr>
                <w:rFonts w:hint="default" w:ascii="Times New Roman" w:hAnsi="Times New Roman" w:eastAsia="宋体" w:cs="Times New Roman"/>
                <w:color w:val="auto"/>
                <w:sz w:val="24"/>
                <w:szCs w:val="24"/>
                <w:highlight w:val="none"/>
                <w:u w:val="none" w:color="auto"/>
              </w:rPr>
              <w:t>/d，</w:t>
            </w:r>
            <w:r>
              <w:rPr>
                <w:rFonts w:hint="default" w:ascii="Times New Roman" w:hAnsi="Times New Roman" w:eastAsia="宋体" w:cs="Times New Roman"/>
                <w:color w:val="auto"/>
                <w:sz w:val="24"/>
                <w:szCs w:val="24"/>
                <w:highlight w:val="none"/>
                <w:u w:val="none" w:color="auto"/>
                <w:lang w:val="en-US" w:eastAsia="zh-CN"/>
              </w:rPr>
              <w:t>现有</w:t>
            </w:r>
            <w:r>
              <w:rPr>
                <w:rFonts w:hint="default" w:ascii="Times New Roman" w:hAnsi="Times New Roman" w:eastAsia="宋体" w:cs="Times New Roman"/>
                <w:color w:val="auto"/>
                <w:sz w:val="24"/>
                <w:szCs w:val="24"/>
                <w:highlight w:val="none"/>
                <w:u w:val="none" w:color="auto"/>
              </w:rPr>
              <w:t>项目废水经污水处理厂深度处理后达标排放，计算废水主要污染物排放总量按达标排放最大限值计算，化学需氧量=35</w:t>
            </w:r>
            <w:r>
              <w:rPr>
                <w:rFonts w:hint="default" w:ascii="Times New Roman" w:hAnsi="Times New Roman" w:eastAsia="宋体" w:cs="Times New Roman"/>
                <w:color w:val="auto"/>
                <w:sz w:val="24"/>
                <w:szCs w:val="24"/>
                <w:highlight w:val="none"/>
                <w:u w:val="none" w:color="auto"/>
                <w:lang w:val="en-US" w:eastAsia="zh-CN"/>
              </w:rPr>
              <w:t>4</w:t>
            </w:r>
            <w:r>
              <w:rPr>
                <w:rFonts w:hint="default" w:ascii="Times New Roman" w:hAnsi="Times New Roman" w:eastAsia="宋体" w:cs="Times New Roman"/>
                <w:color w:val="auto"/>
                <w:sz w:val="24"/>
                <w:szCs w:val="24"/>
                <w:highlight w:val="none"/>
                <w:u w:val="none" w:color="auto"/>
              </w:rPr>
              <w:t>天/年*</w:t>
            </w:r>
            <w:r>
              <w:rPr>
                <w:rFonts w:hint="default" w:ascii="Times New Roman" w:hAnsi="Times New Roman" w:eastAsia="宋体" w:cs="Times New Roman"/>
                <w:color w:val="auto"/>
                <w:sz w:val="24"/>
                <w:szCs w:val="24"/>
                <w:highlight w:val="none"/>
                <w:u w:val="none" w:color="auto"/>
                <w:lang w:val="en-US" w:eastAsia="zh-CN"/>
              </w:rPr>
              <w:t>350.084</w:t>
            </w:r>
            <w:r>
              <w:rPr>
                <w:rFonts w:hint="default" w:ascii="Times New Roman" w:hAnsi="Times New Roman" w:eastAsia="宋体" w:cs="Times New Roman"/>
                <w:color w:val="auto"/>
                <w:sz w:val="24"/>
                <w:szCs w:val="24"/>
                <w:highlight w:val="none"/>
                <w:u w:val="none" w:color="auto"/>
              </w:rPr>
              <w:t>吨/天*50mg/L=</w:t>
            </w:r>
            <w:r>
              <w:rPr>
                <w:rFonts w:hint="default" w:ascii="Times New Roman" w:hAnsi="Times New Roman" w:eastAsia="宋体" w:cs="Times New Roman"/>
                <w:color w:val="auto"/>
                <w:sz w:val="24"/>
                <w:szCs w:val="24"/>
                <w:highlight w:val="none"/>
                <w:u w:val="none" w:color="auto"/>
                <w:lang w:val="en-US" w:eastAsia="zh-CN"/>
              </w:rPr>
              <w:t>6.1965</w:t>
            </w:r>
            <w:r>
              <w:rPr>
                <w:rFonts w:hint="default" w:ascii="Times New Roman" w:hAnsi="Times New Roman" w:eastAsia="宋体" w:cs="Times New Roman"/>
                <w:color w:val="auto"/>
                <w:sz w:val="24"/>
                <w:szCs w:val="24"/>
                <w:highlight w:val="none"/>
                <w:u w:val="none" w:color="auto"/>
              </w:rPr>
              <w:t>吨/年、氨氮=35</w:t>
            </w:r>
            <w:r>
              <w:rPr>
                <w:rFonts w:hint="default" w:ascii="Times New Roman" w:hAnsi="Times New Roman" w:eastAsia="宋体" w:cs="Times New Roman"/>
                <w:color w:val="auto"/>
                <w:sz w:val="24"/>
                <w:szCs w:val="24"/>
                <w:highlight w:val="none"/>
                <w:u w:val="none" w:color="auto"/>
                <w:lang w:val="en-US" w:eastAsia="zh-CN"/>
              </w:rPr>
              <w:t>4</w:t>
            </w:r>
            <w:r>
              <w:rPr>
                <w:rFonts w:hint="default" w:ascii="Times New Roman" w:hAnsi="Times New Roman" w:eastAsia="宋体" w:cs="Times New Roman"/>
                <w:color w:val="auto"/>
                <w:sz w:val="24"/>
                <w:szCs w:val="24"/>
                <w:highlight w:val="none"/>
                <w:u w:val="none" w:color="auto"/>
              </w:rPr>
              <w:t>天/年*</w:t>
            </w:r>
            <w:r>
              <w:rPr>
                <w:rFonts w:hint="default" w:ascii="Times New Roman" w:hAnsi="Times New Roman" w:eastAsia="宋体" w:cs="Times New Roman"/>
                <w:color w:val="auto"/>
                <w:sz w:val="24"/>
                <w:szCs w:val="24"/>
                <w:highlight w:val="none"/>
                <w:u w:val="none" w:color="auto"/>
                <w:lang w:val="en-US" w:eastAsia="zh-CN"/>
              </w:rPr>
              <w:t>350.084</w:t>
            </w:r>
            <w:r>
              <w:rPr>
                <w:rFonts w:hint="default" w:ascii="Times New Roman" w:hAnsi="Times New Roman" w:eastAsia="宋体" w:cs="Times New Roman"/>
                <w:color w:val="auto"/>
                <w:sz w:val="24"/>
                <w:szCs w:val="24"/>
                <w:highlight w:val="none"/>
                <w:u w:val="none" w:color="auto"/>
              </w:rPr>
              <w:t>吨/天*5mg/L=0.</w:t>
            </w:r>
            <w:r>
              <w:rPr>
                <w:rFonts w:hint="default" w:ascii="Times New Roman" w:hAnsi="Times New Roman" w:eastAsia="宋体" w:cs="Times New Roman"/>
                <w:color w:val="auto"/>
                <w:sz w:val="24"/>
                <w:szCs w:val="24"/>
                <w:highlight w:val="none"/>
                <w:u w:val="none" w:color="auto"/>
                <w:lang w:val="en-US" w:eastAsia="zh-CN"/>
              </w:rPr>
              <w:t>6197</w:t>
            </w:r>
            <w:r>
              <w:rPr>
                <w:rFonts w:hint="default" w:ascii="Times New Roman" w:hAnsi="Times New Roman" w:eastAsia="宋体" w:cs="Times New Roman"/>
                <w:color w:val="auto"/>
                <w:sz w:val="24"/>
                <w:szCs w:val="24"/>
                <w:highlight w:val="none"/>
                <w:u w:val="none" w:color="auto"/>
              </w:rPr>
              <w:t>吨/年。可知均小于废水总量控制指标。</w:t>
            </w:r>
          </w:p>
          <w:p w14:paraId="450BE6FA">
            <w:pPr>
              <w:widowControl w:val="0"/>
              <w:adjustRightInd/>
              <w:snapToGrid/>
              <w:spacing w:after="0" w:line="360" w:lineRule="auto"/>
              <w:ind w:firstLine="480" w:firstLineChars="200"/>
              <w:rPr>
                <w:rFonts w:hint="default" w:ascii="Times New Roman" w:hAnsi="Times New Roman" w:eastAsia="宋体" w:cs="Times New Roman"/>
                <w:color w:val="auto"/>
                <w:sz w:val="24"/>
                <w:szCs w:val="24"/>
                <w:highlight w:val="none"/>
                <w:u w:val="none" w:color="auto"/>
                <w:lang w:val="en-US" w:eastAsia="zh-CN"/>
              </w:rPr>
            </w:pPr>
            <w:r>
              <w:rPr>
                <w:rFonts w:hint="default" w:ascii="Times New Roman" w:hAnsi="Times New Roman" w:eastAsia="宋体" w:cs="Times New Roman"/>
                <w:color w:val="auto"/>
                <w:sz w:val="24"/>
                <w:szCs w:val="24"/>
                <w:highlight w:val="none"/>
                <w:u w:val="none" w:color="auto"/>
                <w:lang w:val="en-US" w:eastAsia="zh-CN"/>
              </w:rPr>
              <w:t>若按满负荷计算（按各生产车间生产负荷均值89.57%计），则企业废水化学需氧量和氨氮排放量分别为：</w:t>
            </w:r>
            <w:r>
              <w:rPr>
                <w:rFonts w:hint="default" w:ascii="Times New Roman" w:hAnsi="Times New Roman" w:eastAsia="宋体" w:cs="Times New Roman"/>
                <w:color w:val="auto"/>
                <w:sz w:val="24"/>
                <w:szCs w:val="24"/>
                <w:highlight w:val="none"/>
                <w:u w:val="none" w:color="auto"/>
              </w:rPr>
              <w:t>化学需氧量=35</w:t>
            </w:r>
            <w:r>
              <w:rPr>
                <w:rFonts w:hint="default" w:ascii="Times New Roman" w:hAnsi="Times New Roman" w:eastAsia="宋体" w:cs="Times New Roman"/>
                <w:color w:val="auto"/>
                <w:sz w:val="24"/>
                <w:szCs w:val="24"/>
                <w:highlight w:val="none"/>
                <w:u w:val="none" w:color="auto"/>
                <w:lang w:val="en-US" w:eastAsia="zh-CN"/>
              </w:rPr>
              <w:t>4</w:t>
            </w:r>
            <w:r>
              <w:rPr>
                <w:rFonts w:hint="default" w:ascii="Times New Roman" w:hAnsi="Times New Roman" w:eastAsia="宋体" w:cs="Times New Roman"/>
                <w:color w:val="auto"/>
                <w:sz w:val="24"/>
                <w:szCs w:val="24"/>
                <w:highlight w:val="none"/>
                <w:u w:val="none" w:color="auto"/>
              </w:rPr>
              <w:t>天/年*</w:t>
            </w:r>
            <w:r>
              <w:rPr>
                <w:rFonts w:hint="default" w:ascii="Times New Roman" w:hAnsi="Times New Roman" w:eastAsia="宋体" w:cs="Times New Roman"/>
                <w:color w:val="auto"/>
                <w:sz w:val="24"/>
                <w:szCs w:val="24"/>
                <w:highlight w:val="none"/>
                <w:u w:val="none" w:color="auto"/>
                <w:lang w:val="en-US" w:eastAsia="zh-CN"/>
              </w:rPr>
              <w:t>390.85</w:t>
            </w:r>
            <w:r>
              <w:rPr>
                <w:rFonts w:hint="default" w:ascii="Times New Roman" w:hAnsi="Times New Roman" w:eastAsia="宋体" w:cs="Times New Roman"/>
                <w:color w:val="auto"/>
                <w:sz w:val="24"/>
                <w:szCs w:val="24"/>
                <w:highlight w:val="none"/>
                <w:u w:val="none" w:color="auto"/>
              </w:rPr>
              <w:t>吨/天*50mg/L=</w:t>
            </w:r>
            <w:r>
              <w:rPr>
                <w:rFonts w:hint="default" w:ascii="Times New Roman" w:hAnsi="Times New Roman" w:eastAsia="宋体" w:cs="Times New Roman"/>
                <w:color w:val="auto"/>
                <w:sz w:val="24"/>
                <w:szCs w:val="24"/>
                <w:highlight w:val="none"/>
                <w:u w:val="none" w:color="auto"/>
                <w:lang w:val="en-US" w:eastAsia="zh-CN"/>
              </w:rPr>
              <w:t>6.9180</w:t>
            </w:r>
            <w:r>
              <w:rPr>
                <w:rFonts w:hint="default" w:ascii="Times New Roman" w:hAnsi="Times New Roman" w:eastAsia="宋体" w:cs="Times New Roman"/>
                <w:color w:val="auto"/>
                <w:sz w:val="24"/>
                <w:szCs w:val="24"/>
                <w:highlight w:val="none"/>
                <w:u w:val="none" w:color="auto"/>
              </w:rPr>
              <w:t>吨/年、氨氮=35</w:t>
            </w:r>
            <w:r>
              <w:rPr>
                <w:rFonts w:hint="default" w:ascii="Times New Roman" w:hAnsi="Times New Roman" w:eastAsia="宋体" w:cs="Times New Roman"/>
                <w:color w:val="auto"/>
                <w:sz w:val="24"/>
                <w:szCs w:val="24"/>
                <w:highlight w:val="none"/>
                <w:u w:val="none" w:color="auto"/>
                <w:lang w:val="en-US" w:eastAsia="zh-CN"/>
              </w:rPr>
              <w:t>4</w:t>
            </w:r>
            <w:r>
              <w:rPr>
                <w:rFonts w:hint="default" w:ascii="Times New Roman" w:hAnsi="Times New Roman" w:eastAsia="宋体" w:cs="Times New Roman"/>
                <w:color w:val="auto"/>
                <w:sz w:val="24"/>
                <w:szCs w:val="24"/>
                <w:highlight w:val="none"/>
                <w:u w:val="none" w:color="auto"/>
              </w:rPr>
              <w:t>天/年*</w:t>
            </w:r>
            <w:r>
              <w:rPr>
                <w:rFonts w:hint="default" w:ascii="Times New Roman" w:hAnsi="Times New Roman" w:eastAsia="宋体" w:cs="Times New Roman"/>
                <w:color w:val="auto"/>
                <w:sz w:val="24"/>
                <w:szCs w:val="24"/>
                <w:highlight w:val="none"/>
                <w:u w:val="none" w:color="auto"/>
                <w:lang w:val="en-US" w:eastAsia="zh-CN"/>
              </w:rPr>
              <w:t>390.85</w:t>
            </w:r>
            <w:r>
              <w:rPr>
                <w:rFonts w:hint="default" w:ascii="Times New Roman" w:hAnsi="Times New Roman" w:eastAsia="宋体" w:cs="Times New Roman"/>
                <w:color w:val="auto"/>
                <w:sz w:val="24"/>
                <w:szCs w:val="24"/>
                <w:highlight w:val="none"/>
                <w:u w:val="none" w:color="auto"/>
              </w:rPr>
              <w:t>吨/天*5mg/L=0.</w:t>
            </w:r>
            <w:r>
              <w:rPr>
                <w:rFonts w:hint="default" w:ascii="Times New Roman" w:hAnsi="Times New Roman" w:eastAsia="宋体" w:cs="Times New Roman"/>
                <w:color w:val="auto"/>
                <w:sz w:val="24"/>
                <w:szCs w:val="24"/>
                <w:highlight w:val="none"/>
                <w:u w:val="none" w:color="auto"/>
                <w:lang w:val="en-US" w:eastAsia="zh-CN"/>
              </w:rPr>
              <w:t>6918</w:t>
            </w:r>
            <w:r>
              <w:rPr>
                <w:rFonts w:hint="default" w:ascii="Times New Roman" w:hAnsi="Times New Roman" w:eastAsia="宋体" w:cs="Times New Roman"/>
                <w:color w:val="auto"/>
                <w:sz w:val="24"/>
                <w:szCs w:val="24"/>
                <w:highlight w:val="none"/>
                <w:u w:val="none" w:color="auto"/>
              </w:rPr>
              <w:t>吨/年</w:t>
            </w:r>
            <w:r>
              <w:rPr>
                <w:rFonts w:hint="default" w:ascii="Times New Roman" w:hAnsi="Times New Roman" w:eastAsia="宋体" w:cs="Times New Roman"/>
                <w:color w:val="auto"/>
                <w:sz w:val="24"/>
                <w:szCs w:val="24"/>
                <w:highlight w:val="none"/>
                <w:u w:val="none" w:color="auto"/>
                <w:lang w:eastAsia="zh-CN"/>
              </w:rPr>
              <w:t>。</w:t>
            </w:r>
          </w:p>
          <w:p w14:paraId="087B226B">
            <w:pPr>
              <w:widowControl w:val="0"/>
              <w:adjustRightInd/>
              <w:snapToGrid/>
              <w:spacing w:after="0" w:line="360" w:lineRule="auto"/>
              <w:ind w:firstLine="482" w:firstLineChars="200"/>
              <w:rPr>
                <w:rFonts w:hint="default" w:ascii="Times New Roman" w:hAnsi="Times New Roman" w:eastAsia="宋体" w:cs="Times New Roman"/>
                <w:b/>
                <w:bCs/>
                <w:color w:val="auto"/>
                <w:sz w:val="24"/>
                <w:szCs w:val="24"/>
                <w:highlight w:val="none"/>
                <w:u w:val="none" w:color="auto"/>
                <w:lang w:val="en-US" w:eastAsia="zh-CN"/>
              </w:rPr>
            </w:pPr>
            <w:r>
              <w:rPr>
                <w:rFonts w:hint="default" w:ascii="Times New Roman" w:hAnsi="Times New Roman" w:eastAsia="宋体" w:cs="Times New Roman"/>
                <w:b/>
                <w:bCs/>
                <w:color w:val="auto"/>
                <w:sz w:val="24"/>
                <w:szCs w:val="24"/>
                <w:highlight w:val="none"/>
                <w:u w:val="none" w:color="auto"/>
                <w:lang w:val="en-US" w:eastAsia="zh-CN"/>
              </w:rPr>
              <w:t>②废气总量分析</w:t>
            </w:r>
          </w:p>
          <w:p w14:paraId="0449A5A7">
            <w:pPr>
              <w:widowControl w:val="0"/>
              <w:adjustRightInd/>
              <w:snapToGrid/>
              <w:spacing w:after="0" w:line="360" w:lineRule="auto"/>
              <w:ind w:firstLine="480" w:firstLineChars="200"/>
              <w:rPr>
                <w:rFonts w:hint="default" w:ascii="Times New Roman" w:hAnsi="Times New Roman" w:eastAsia="宋体" w:cs="Times New Roman"/>
                <w:color w:val="auto"/>
                <w:sz w:val="24"/>
                <w:szCs w:val="24"/>
                <w:highlight w:val="none"/>
                <w:u w:val="none" w:color="auto"/>
                <w:lang w:eastAsia="zh-CN"/>
              </w:rPr>
            </w:pPr>
            <w:r>
              <w:rPr>
                <w:rFonts w:hint="default" w:ascii="Times New Roman" w:hAnsi="Times New Roman" w:eastAsia="宋体" w:cs="Times New Roman"/>
                <w:color w:val="auto"/>
                <w:sz w:val="24"/>
                <w:szCs w:val="24"/>
                <w:highlight w:val="none"/>
                <w:u w:val="none" w:color="auto"/>
              </w:rPr>
              <w:t>全年排放总量</w:t>
            </w:r>
            <w:r>
              <w:rPr>
                <w:rFonts w:hint="default" w:ascii="Times New Roman" w:hAnsi="Times New Roman" w:eastAsia="宋体" w:cs="Times New Roman"/>
                <w:color w:val="auto"/>
                <w:sz w:val="24"/>
                <w:szCs w:val="24"/>
                <w:highlight w:val="none"/>
                <w:u w:val="none" w:color="auto"/>
                <w:lang w:eastAsia="zh-CN"/>
              </w:rPr>
              <w:t>依据</w:t>
            </w:r>
            <w:r>
              <w:rPr>
                <w:rFonts w:hint="default" w:ascii="Times New Roman" w:hAnsi="Times New Roman" w:eastAsia="宋体" w:cs="Times New Roman"/>
                <w:color w:val="auto"/>
                <w:sz w:val="24"/>
                <w:szCs w:val="24"/>
                <w:highlight w:val="none"/>
                <w:u w:val="none" w:color="auto"/>
              </w:rPr>
              <w:t>实测的</w:t>
            </w:r>
            <w:r>
              <w:rPr>
                <w:rFonts w:hint="default" w:ascii="Times New Roman" w:hAnsi="Times New Roman" w:eastAsia="宋体" w:cs="Times New Roman"/>
                <w:color w:val="auto"/>
                <w:sz w:val="24"/>
                <w:szCs w:val="24"/>
                <w:highlight w:val="none"/>
                <w:u w:val="none" w:color="auto"/>
                <w:lang w:val="en-US" w:eastAsia="zh-CN"/>
              </w:rPr>
              <w:t>二氧化硫、氮氧化物</w:t>
            </w:r>
            <w:r>
              <w:rPr>
                <w:rFonts w:hint="default" w:ascii="Times New Roman" w:hAnsi="Times New Roman" w:eastAsia="宋体" w:cs="Times New Roman"/>
                <w:color w:val="auto"/>
                <w:sz w:val="24"/>
                <w:szCs w:val="24"/>
                <w:highlight w:val="none"/>
                <w:u w:val="none" w:color="auto"/>
              </w:rPr>
              <w:t>排放速率</w:t>
            </w:r>
            <w:r>
              <w:rPr>
                <w:rFonts w:hint="default" w:ascii="Times New Roman" w:hAnsi="Times New Roman" w:eastAsia="宋体" w:cs="Times New Roman"/>
                <w:color w:val="auto"/>
                <w:sz w:val="24"/>
                <w:szCs w:val="24"/>
                <w:highlight w:val="none"/>
                <w:u w:val="none" w:color="auto"/>
                <w:lang w:val="en-US" w:eastAsia="zh-CN"/>
              </w:rPr>
              <w:t>均值</w:t>
            </w:r>
            <w:r>
              <w:rPr>
                <w:rFonts w:hint="default" w:ascii="Times New Roman" w:hAnsi="Times New Roman" w:eastAsia="宋体" w:cs="Times New Roman"/>
                <w:color w:val="auto"/>
                <w:sz w:val="24"/>
                <w:szCs w:val="24"/>
                <w:highlight w:val="none"/>
                <w:u w:val="none" w:color="auto"/>
              </w:rPr>
              <w:t>计算，</w:t>
            </w:r>
            <w:r>
              <w:rPr>
                <w:rFonts w:hint="default" w:ascii="Times New Roman" w:hAnsi="Times New Roman" w:eastAsia="宋体" w:cs="Times New Roman"/>
                <w:color w:val="auto"/>
                <w:sz w:val="24"/>
                <w:szCs w:val="24"/>
                <w:highlight w:val="none"/>
                <w:u w:val="none" w:color="auto"/>
                <w:lang w:eastAsia="zh-CN"/>
              </w:rPr>
              <w:t>排放时间依据企业生产工艺及废气实际产生实际进行统计，</w:t>
            </w:r>
          </w:p>
          <w:p w14:paraId="5DCE0213">
            <w:pPr>
              <w:widowControl w:val="0"/>
              <w:adjustRightInd/>
              <w:snapToGrid/>
              <w:spacing w:after="0" w:line="360" w:lineRule="auto"/>
              <w:ind w:firstLine="480" w:firstLineChars="200"/>
              <w:rPr>
                <w:rFonts w:hint="default" w:ascii="Times New Roman" w:hAnsi="Times New Roman" w:eastAsia="宋体" w:cs="Times New Roman"/>
                <w:color w:val="auto"/>
                <w:sz w:val="24"/>
                <w:szCs w:val="24"/>
                <w:highlight w:val="none"/>
                <w:u w:val="none" w:color="auto"/>
                <w:lang w:eastAsia="zh-CN"/>
              </w:rPr>
            </w:pPr>
            <w:r>
              <w:rPr>
                <w:rFonts w:hint="default" w:ascii="Times New Roman" w:hAnsi="Times New Roman" w:eastAsia="宋体" w:cs="Times New Roman"/>
                <w:color w:val="auto"/>
                <w:sz w:val="24"/>
                <w:szCs w:val="24"/>
                <w:highlight w:val="none"/>
                <w:u w:val="none" w:color="auto"/>
                <w:lang w:val="en-US" w:eastAsia="zh-CN"/>
              </w:rPr>
              <w:t>二氧化硫排放速率：DA001：0.36</w:t>
            </w:r>
            <w:r>
              <w:rPr>
                <w:rFonts w:hint="default" w:ascii="Times New Roman" w:hAnsi="Times New Roman" w:eastAsia="宋体" w:cs="Times New Roman"/>
                <w:color w:val="auto"/>
                <w:sz w:val="24"/>
                <w:szCs w:val="24"/>
                <w:highlight w:val="none"/>
                <w:u w:val="none" w:color="auto"/>
              </w:rPr>
              <w:t>kg/h</w:t>
            </w:r>
            <w:r>
              <w:rPr>
                <w:rFonts w:hint="default" w:ascii="Times New Roman" w:hAnsi="Times New Roman" w:eastAsia="宋体" w:cs="Times New Roman"/>
                <w:color w:val="auto"/>
                <w:sz w:val="24"/>
                <w:szCs w:val="24"/>
                <w:highlight w:val="none"/>
                <w:u w:val="none" w:color="auto"/>
                <w:lang w:eastAsia="zh-CN"/>
              </w:rPr>
              <w:t>；</w:t>
            </w:r>
            <w:r>
              <w:rPr>
                <w:rFonts w:hint="default" w:ascii="Times New Roman" w:hAnsi="Times New Roman" w:eastAsia="宋体" w:cs="Times New Roman"/>
                <w:color w:val="auto"/>
                <w:sz w:val="24"/>
                <w:szCs w:val="24"/>
                <w:highlight w:val="none"/>
                <w:u w:val="none" w:color="auto"/>
                <w:lang w:val="en-US" w:eastAsia="zh-CN"/>
              </w:rPr>
              <w:t>DA005：0.0533</w:t>
            </w:r>
            <w:r>
              <w:rPr>
                <w:rFonts w:hint="default" w:ascii="Times New Roman" w:hAnsi="Times New Roman" w:eastAsia="宋体" w:cs="Times New Roman"/>
                <w:color w:val="auto"/>
                <w:sz w:val="24"/>
                <w:szCs w:val="24"/>
                <w:highlight w:val="none"/>
                <w:u w:val="none" w:color="auto"/>
              </w:rPr>
              <w:t>kg/h</w:t>
            </w:r>
            <w:r>
              <w:rPr>
                <w:rFonts w:hint="default" w:ascii="Times New Roman" w:hAnsi="Times New Roman" w:eastAsia="宋体" w:cs="Times New Roman"/>
                <w:color w:val="auto"/>
                <w:sz w:val="24"/>
                <w:szCs w:val="24"/>
                <w:highlight w:val="none"/>
                <w:u w:val="none" w:color="auto"/>
                <w:lang w:eastAsia="zh-CN"/>
              </w:rPr>
              <w:t>；</w:t>
            </w:r>
            <w:r>
              <w:rPr>
                <w:rFonts w:hint="default" w:ascii="Times New Roman" w:hAnsi="Times New Roman" w:eastAsia="宋体" w:cs="Times New Roman"/>
                <w:color w:val="auto"/>
                <w:sz w:val="24"/>
                <w:szCs w:val="24"/>
                <w:highlight w:val="none"/>
                <w:u w:val="none" w:color="auto"/>
                <w:lang w:val="en-US" w:eastAsia="zh-CN"/>
              </w:rPr>
              <w:t>DA006：0.0333</w:t>
            </w:r>
            <w:r>
              <w:rPr>
                <w:rFonts w:hint="default" w:ascii="Times New Roman" w:hAnsi="Times New Roman" w:eastAsia="宋体" w:cs="Times New Roman"/>
                <w:color w:val="auto"/>
                <w:sz w:val="24"/>
                <w:szCs w:val="24"/>
                <w:highlight w:val="none"/>
                <w:u w:val="none" w:color="auto"/>
              </w:rPr>
              <w:t>kg/h</w:t>
            </w:r>
            <w:r>
              <w:rPr>
                <w:rFonts w:hint="default" w:ascii="Times New Roman" w:hAnsi="Times New Roman" w:eastAsia="宋体" w:cs="Times New Roman"/>
                <w:color w:val="auto"/>
                <w:sz w:val="24"/>
                <w:szCs w:val="24"/>
                <w:highlight w:val="none"/>
                <w:u w:val="none" w:color="auto"/>
                <w:lang w:eastAsia="zh-CN"/>
              </w:rPr>
              <w:t>。</w:t>
            </w:r>
          </w:p>
          <w:p w14:paraId="38F4C65F">
            <w:pPr>
              <w:widowControl w:val="0"/>
              <w:adjustRightInd/>
              <w:snapToGrid/>
              <w:spacing w:after="0" w:line="360" w:lineRule="auto"/>
              <w:ind w:firstLine="480" w:firstLineChars="200"/>
              <w:rPr>
                <w:rFonts w:hint="default" w:ascii="Times New Roman" w:hAnsi="Times New Roman" w:eastAsia="宋体" w:cs="Times New Roman"/>
                <w:color w:val="auto"/>
                <w:sz w:val="24"/>
                <w:szCs w:val="24"/>
                <w:highlight w:val="none"/>
                <w:u w:val="none" w:color="auto"/>
                <w:lang w:val="en-US" w:eastAsia="zh-CN"/>
              </w:rPr>
            </w:pPr>
            <w:r>
              <w:rPr>
                <w:rFonts w:hint="default" w:ascii="Times New Roman" w:hAnsi="Times New Roman" w:eastAsia="宋体" w:cs="Times New Roman"/>
                <w:color w:val="auto"/>
                <w:sz w:val="24"/>
                <w:szCs w:val="24"/>
                <w:highlight w:val="none"/>
                <w:u w:val="none" w:color="auto"/>
                <w:lang w:val="en-US" w:eastAsia="zh-CN"/>
              </w:rPr>
              <w:t>氮氧化物排放速率：DA001：0.23</w:t>
            </w:r>
            <w:r>
              <w:rPr>
                <w:rFonts w:hint="default" w:ascii="Times New Roman" w:hAnsi="Times New Roman" w:eastAsia="宋体" w:cs="Times New Roman"/>
                <w:color w:val="auto"/>
                <w:sz w:val="24"/>
                <w:szCs w:val="24"/>
                <w:highlight w:val="none"/>
                <w:u w:val="none" w:color="auto"/>
              </w:rPr>
              <w:t>kg/h</w:t>
            </w:r>
            <w:r>
              <w:rPr>
                <w:rFonts w:hint="default" w:ascii="Times New Roman" w:hAnsi="Times New Roman" w:eastAsia="宋体" w:cs="Times New Roman"/>
                <w:color w:val="auto"/>
                <w:sz w:val="24"/>
                <w:szCs w:val="24"/>
                <w:highlight w:val="none"/>
                <w:u w:val="none" w:color="auto"/>
                <w:lang w:eastAsia="zh-CN"/>
              </w:rPr>
              <w:t>；</w:t>
            </w:r>
            <w:r>
              <w:rPr>
                <w:rFonts w:hint="default" w:ascii="Times New Roman" w:hAnsi="Times New Roman" w:eastAsia="宋体" w:cs="Times New Roman"/>
                <w:color w:val="auto"/>
                <w:sz w:val="24"/>
                <w:szCs w:val="24"/>
                <w:highlight w:val="none"/>
                <w:u w:val="none" w:color="auto"/>
                <w:lang w:val="en-US" w:eastAsia="zh-CN"/>
              </w:rPr>
              <w:t>DA005：0.0383</w:t>
            </w:r>
            <w:r>
              <w:rPr>
                <w:rFonts w:hint="default" w:ascii="Times New Roman" w:hAnsi="Times New Roman" w:eastAsia="宋体" w:cs="Times New Roman"/>
                <w:color w:val="auto"/>
                <w:sz w:val="24"/>
                <w:szCs w:val="24"/>
                <w:highlight w:val="none"/>
                <w:u w:val="none" w:color="auto"/>
              </w:rPr>
              <w:t>kg/h</w:t>
            </w:r>
            <w:r>
              <w:rPr>
                <w:rFonts w:hint="default" w:ascii="Times New Roman" w:hAnsi="Times New Roman" w:eastAsia="宋体" w:cs="Times New Roman"/>
                <w:color w:val="auto"/>
                <w:sz w:val="24"/>
                <w:szCs w:val="24"/>
                <w:highlight w:val="none"/>
                <w:u w:val="none" w:color="auto"/>
                <w:lang w:eastAsia="zh-CN"/>
              </w:rPr>
              <w:t>；</w:t>
            </w:r>
            <w:r>
              <w:rPr>
                <w:rFonts w:hint="default" w:ascii="Times New Roman" w:hAnsi="Times New Roman" w:eastAsia="宋体" w:cs="Times New Roman"/>
                <w:color w:val="auto"/>
                <w:sz w:val="24"/>
                <w:szCs w:val="24"/>
                <w:highlight w:val="none"/>
                <w:u w:val="none" w:color="auto"/>
                <w:lang w:val="en-US" w:eastAsia="zh-CN"/>
              </w:rPr>
              <w:t>DA006：0.03</w:t>
            </w:r>
            <w:r>
              <w:rPr>
                <w:rFonts w:hint="default" w:ascii="Times New Roman" w:hAnsi="Times New Roman" w:eastAsia="宋体" w:cs="Times New Roman"/>
                <w:color w:val="auto"/>
                <w:sz w:val="24"/>
                <w:szCs w:val="24"/>
                <w:highlight w:val="none"/>
                <w:u w:val="none" w:color="auto"/>
              </w:rPr>
              <w:t>kg/h</w:t>
            </w:r>
            <w:r>
              <w:rPr>
                <w:rFonts w:hint="default" w:ascii="Times New Roman" w:hAnsi="Times New Roman" w:eastAsia="宋体" w:cs="Times New Roman"/>
                <w:color w:val="auto"/>
                <w:sz w:val="24"/>
                <w:szCs w:val="24"/>
                <w:highlight w:val="none"/>
                <w:u w:val="none" w:color="auto"/>
                <w:lang w:eastAsia="zh-CN"/>
              </w:rPr>
              <w:t>。</w:t>
            </w:r>
          </w:p>
          <w:p w14:paraId="2B2C4C55">
            <w:pPr>
              <w:keepNext w:val="0"/>
              <w:keepLines w:val="0"/>
              <w:pageBreakBefore w:val="0"/>
              <w:widowControl w:val="0"/>
              <w:kinsoku w:val="0"/>
              <w:wordWrap/>
              <w:overflowPunct w:val="0"/>
              <w:topLinePunct w:val="0"/>
              <w:autoSpaceDE w:val="0"/>
              <w:autoSpaceDN/>
              <w:bidi w:val="0"/>
              <w:adjustRightInd/>
              <w:snapToGrid/>
              <w:spacing w:after="0" w:line="360" w:lineRule="auto"/>
              <w:ind w:firstLine="480" w:firstLineChars="200"/>
              <w:textAlignment w:val="auto"/>
              <w:rPr>
                <w:rFonts w:hint="default" w:ascii="Times New Roman" w:hAnsi="Times New Roman" w:eastAsia="宋体" w:cs="Times New Roman"/>
                <w:color w:val="auto"/>
                <w:sz w:val="24"/>
                <w:szCs w:val="24"/>
                <w:highlight w:val="none"/>
                <w:u w:val="none" w:color="auto"/>
                <w:lang w:val="en-US" w:eastAsia="zh-CN"/>
              </w:rPr>
            </w:pPr>
            <w:r>
              <w:rPr>
                <w:rFonts w:hint="default" w:ascii="Times New Roman" w:hAnsi="Times New Roman" w:eastAsia="宋体" w:cs="Times New Roman"/>
                <w:color w:val="auto"/>
                <w:sz w:val="24"/>
                <w:szCs w:val="24"/>
                <w:highlight w:val="none"/>
                <w:u w:val="none" w:color="auto"/>
                <w:lang w:val="en-US" w:eastAsia="zh-CN"/>
              </w:rPr>
              <w:t>企业受订单影响，现有工程验收监测期间实际为两台35t矩形燃气熔铝炉同时作业，但原定作业规律未发生变化，仅增加当班作业台数，在此种作业条件下，铝合金熔铸车间实际生产时间为3520h（产能不超过设计量）。</w:t>
            </w:r>
          </w:p>
          <w:p w14:paraId="489968E6">
            <w:pPr>
              <w:keepNext w:val="0"/>
              <w:keepLines w:val="0"/>
              <w:pageBreakBefore w:val="0"/>
              <w:widowControl w:val="0"/>
              <w:kinsoku w:val="0"/>
              <w:wordWrap/>
              <w:overflowPunct w:val="0"/>
              <w:topLinePunct w:val="0"/>
              <w:autoSpaceDE w:val="0"/>
              <w:autoSpaceDN/>
              <w:bidi w:val="0"/>
              <w:adjustRightInd/>
              <w:snapToGrid/>
              <w:spacing w:after="0" w:line="360" w:lineRule="auto"/>
              <w:ind w:firstLine="480" w:firstLineChars="200"/>
              <w:textAlignment w:val="auto"/>
              <w:rPr>
                <w:rFonts w:hint="default" w:ascii="Times New Roman" w:hAnsi="Times New Roman" w:eastAsia="宋体" w:cs="Times New Roman"/>
                <w:color w:val="auto"/>
                <w:sz w:val="24"/>
                <w:szCs w:val="24"/>
                <w:highlight w:val="none"/>
                <w:u w:val="none" w:color="auto"/>
                <w:lang w:val="en-US" w:eastAsia="zh-CN"/>
              </w:rPr>
            </w:pPr>
            <w:r>
              <w:rPr>
                <w:rFonts w:hint="default" w:ascii="Times New Roman" w:hAnsi="Times New Roman" w:eastAsia="宋体" w:cs="Times New Roman"/>
                <w:color w:val="auto"/>
                <w:sz w:val="24"/>
                <w:szCs w:val="24"/>
                <w:highlight w:val="none"/>
                <w:u w:val="none" w:color="auto"/>
                <w:lang w:val="en-US" w:eastAsia="zh-CN"/>
              </w:rPr>
              <w:t>环锻车间模锻工序（DA005）验收期间平均作业时间为2.2h，年运行时间260d/a，则实际运行时间572h/a；模具加热工序（DA006）为15.7h，年运行时间260d/a，则实际运行时间4082h/a。</w:t>
            </w:r>
          </w:p>
          <w:p w14:paraId="71A3821E">
            <w:pPr>
              <w:widowControl w:val="0"/>
              <w:adjustRightInd/>
              <w:snapToGrid/>
              <w:spacing w:after="0" w:line="360" w:lineRule="auto"/>
              <w:ind w:firstLine="480" w:firstLineChars="200"/>
              <w:rPr>
                <w:rFonts w:hint="default" w:ascii="Times New Roman" w:hAnsi="Times New Roman" w:eastAsia="宋体" w:cs="Times New Roman"/>
                <w:color w:val="auto"/>
                <w:sz w:val="24"/>
                <w:szCs w:val="24"/>
                <w:highlight w:val="none"/>
                <w:u w:val="none" w:color="auto"/>
                <w:lang w:val="en-US" w:eastAsia="zh-CN"/>
              </w:rPr>
            </w:pPr>
            <w:r>
              <w:rPr>
                <w:rFonts w:hint="default" w:ascii="Times New Roman" w:hAnsi="Times New Roman" w:eastAsia="宋体" w:cs="Times New Roman"/>
                <w:color w:val="auto"/>
                <w:sz w:val="24"/>
                <w:szCs w:val="24"/>
                <w:highlight w:val="none"/>
                <w:u w:val="none" w:color="auto"/>
                <w:lang w:val="en-US" w:eastAsia="zh-CN"/>
              </w:rPr>
              <w:t>经计算二氧化硫全年排放量约为：</w:t>
            </w:r>
          </w:p>
          <w:p w14:paraId="6E5C1435">
            <w:pPr>
              <w:widowControl w:val="0"/>
              <w:adjustRightInd/>
              <w:snapToGrid/>
              <w:spacing w:after="0" w:line="360" w:lineRule="auto"/>
              <w:ind w:firstLine="480" w:firstLineChars="200"/>
              <w:rPr>
                <w:rFonts w:hint="default" w:ascii="Times New Roman" w:hAnsi="Times New Roman" w:eastAsia="宋体" w:cs="Times New Roman"/>
                <w:color w:val="auto"/>
                <w:sz w:val="24"/>
                <w:szCs w:val="24"/>
                <w:highlight w:val="none"/>
                <w:u w:val="none" w:color="auto"/>
                <w:lang w:val="en-US" w:eastAsia="zh-CN"/>
              </w:rPr>
            </w:pPr>
            <w:r>
              <w:rPr>
                <w:rFonts w:hint="default" w:ascii="Times New Roman" w:hAnsi="Times New Roman" w:eastAsia="宋体" w:cs="Times New Roman"/>
                <w:color w:val="auto"/>
                <w:sz w:val="24"/>
                <w:szCs w:val="24"/>
                <w:highlight w:val="none"/>
                <w:u w:val="none" w:color="auto"/>
                <w:lang w:val="en-US" w:eastAsia="zh-CN"/>
              </w:rPr>
              <w:t>0.36</w:t>
            </w:r>
            <w:r>
              <w:rPr>
                <w:rFonts w:hint="default" w:ascii="Times New Roman" w:hAnsi="Times New Roman" w:eastAsia="宋体" w:cs="Times New Roman"/>
                <w:color w:val="auto"/>
                <w:sz w:val="24"/>
                <w:szCs w:val="24"/>
                <w:highlight w:val="none"/>
                <w:u w:val="none" w:color="auto"/>
              </w:rPr>
              <w:t>kg/h</w:t>
            </w:r>
            <w:r>
              <w:rPr>
                <w:rFonts w:hint="default" w:ascii="Times New Roman" w:hAnsi="Times New Roman" w:eastAsia="宋体" w:cs="Times New Roman"/>
                <w:color w:val="auto"/>
                <w:sz w:val="24"/>
                <w:szCs w:val="24"/>
                <w:highlight w:val="none"/>
                <w:u w:val="none" w:color="auto"/>
                <w:lang w:val="en-US" w:eastAsia="zh-CN"/>
              </w:rPr>
              <w:t>*3520h/a+0.0533</w:t>
            </w:r>
            <w:r>
              <w:rPr>
                <w:rFonts w:hint="default" w:ascii="Times New Roman" w:hAnsi="Times New Roman" w:eastAsia="宋体" w:cs="Times New Roman"/>
                <w:color w:val="auto"/>
                <w:sz w:val="24"/>
                <w:szCs w:val="24"/>
                <w:highlight w:val="none"/>
                <w:u w:val="none" w:color="auto"/>
              </w:rPr>
              <w:t>kg/h</w:t>
            </w:r>
            <w:r>
              <w:rPr>
                <w:rFonts w:hint="default" w:ascii="Times New Roman" w:hAnsi="Times New Roman" w:eastAsia="宋体" w:cs="Times New Roman"/>
                <w:color w:val="auto"/>
                <w:sz w:val="24"/>
                <w:szCs w:val="24"/>
                <w:highlight w:val="none"/>
                <w:u w:val="none" w:color="auto"/>
                <w:lang w:val="en-US" w:eastAsia="zh-CN"/>
              </w:rPr>
              <w:t>*572h/a+0.0333</w:t>
            </w:r>
            <w:r>
              <w:rPr>
                <w:rFonts w:hint="default" w:ascii="Times New Roman" w:hAnsi="Times New Roman" w:eastAsia="宋体" w:cs="Times New Roman"/>
                <w:color w:val="auto"/>
                <w:sz w:val="24"/>
                <w:szCs w:val="24"/>
                <w:highlight w:val="none"/>
                <w:u w:val="none" w:color="auto"/>
              </w:rPr>
              <w:t>kg/h</w:t>
            </w:r>
            <w:r>
              <w:rPr>
                <w:rFonts w:hint="default" w:ascii="Times New Roman" w:hAnsi="Times New Roman" w:eastAsia="宋体" w:cs="Times New Roman"/>
                <w:color w:val="auto"/>
                <w:sz w:val="24"/>
                <w:szCs w:val="24"/>
                <w:highlight w:val="none"/>
                <w:u w:val="none" w:color="auto"/>
                <w:lang w:val="en-US" w:eastAsia="zh-CN"/>
              </w:rPr>
              <w:t>*4082h/a=1.4336t/a＜1.5t/a的总量指标要求。</w:t>
            </w:r>
          </w:p>
          <w:p w14:paraId="0F8B2436">
            <w:pPr>
              <w:widowControl w:val="0"/>
              <w:adjustRightInd/>
              <w:snapToGrid/>
              <w:spacing w:after="0" w:line="360" w:lineRule="auto"/>
              <w:ind w:firstLine="480" w:firstLineChars="200"/>
              <w:rPr>
                <w:rFonts w:hint="default" w:ascii="Times New Roman" w:hAnsi="Times New Roman" w:eastAsia="宋体" w:cs="Times New Roman"/>
                <w:color w:val="auto"/>
                <w:sz w:val="24"/>
                <w:szCs w:val="24"/>
                <w:highlight w:val="none"/>
                <w:u w:val="none" w:color="auto"/>
                <w:lang w:val="en-US" w:eastAsia="zh-CN"/>
              </w:rPr>
            </w:pPr>
            <w:r>
              <w:rPr>
                <w:rFonts w:hint="default" w:ascii="Times New Roman" w:hAnsi="Times New Roman" w:eastAsia="宋体" w:cs="Times New Roman"/>
                <w:color w:val="auto"/>
                <w:sz w:val="24"/>
                <w:szCs w:val="24"/>
                <w:highlight w:val="none"/>
                <w:u w:val="none" w:color="auto"/>
                <w:lang w:val="en-US" w:eastAsia="zh-CN"/>
              </w:rPr>
              <w:t>经计算氮氧化物全年排放量约为：</w:t>
            </w:r>
          </w:p>
          <w:p w14:paraId="4257F215">
            <w:pPr>
              <w:widowControl w:val="0"/>
              <w:adjustRightInd/>
              <w:snapToGrid/>
              <w:spacing w:after="0" w:line="360" w:lineRule="auto"/>
              <w:ind w:firstLine="480" w:firstLineChars="200"/>
              <w:rPr>
                <w:rFonts w:hint="default" w:ascii="Times New Roman" w:hAnsi="Times New Roman" w:eastAsia="宋体" w:cs="Times New Roman"/>
                <w:color w:val="auto"/>
                <w:sz w:val="24"/>
                <w:szCs w:val="24"/>
                <w:highlight w:val="none"/>
                <w:u w:val="none" w:color="auto"/>
                <w:lang w:val="en-US" w:eastAsia="zh-CN"/>
              </w:rPr>
            </w:pPr>
            <w:r>
              <w:rPr>
                <w:rFonts w:hint="default" w:ascii="Times New Roman" w:hAnsi="Times New Roman" w:eastAsia="宋体" w:cs="Times New Roman"/>
                <w:color w:val="auto"/>
                <w:sz w:val="24"/>
                <w:szCs w:val="24"/>
                <w:highlight w:val="none"/>
                <w:u w:val="none" w:color="auto"/>
                <w:lang w:val="en-US" w:eastAsia="zh-CN"/>
              </w:rPr>
              <w:t>0.23</w:t>
            </w:r>
            <w:r>
              <w:rPr>
                <w:rFonts w:hint="default" w:ascii="Times New Roman" w:hAnsi="Times New Roman" w:eastAsia="宋体" w:cs="Times New Roman"/>
                <w:color w:val="auto"/>
                <w:sz w:val="24"/>
                <w:szCs w:val="24"/>
                <w:highlight w:val="none"/>
                <w:u w:val="none" w:color="auto"/>
              </w:rPr>
              <w:t>kg/h</w:t>
            </w:r>
            <w:r>
              <w:rPr>
                <w:rFonts w:hint="default" w:ascii="Times New Roman" w:hAnsi="Times New Roman" w:eastAsia="宋体" w:cs="Times New Roman"/>
                <w:color w:val="auto"/>
                <w:sz w:val="24"/>
                <w:szCs w:val="24"/>
                <w:highlight w:val="none"/>
                <w:u w:val="none" w:color="auto"/>
                <w:lang w:val="en-US" w:eastAsia="zh-CN"/>
              </w:rPr>
              <w:t>*3520h/a+0.03833</w:t>
            </w:r>
            <w:r>
              <w:rPr>
                <w:rFonts w:hint="default" w:ascii="Times New Roman" w:hAnsi="Times New Roman" w:eastAsia="宋体" w:cs="Times New Roman"/>
                <w:color w:val="auto"/>
                <w:sz w:val="24"/>
                <w:szCs w:val="24"/>
                <w:highlight w:val="none"/>
                <w:u w:val="none" w:color="auto"/>
              </w:rPr>
              <w:t>kg/h</w:t>
            </w:r>
            <w:r>
              <w:rPr>
                <w:rFonts w:hint="default" w:ascii="Times New Roman" w:hAnsi="Times New Roman" w:eastAsia="宋体" w:cs="Times New Roman"/>
                <w:color w:val="auto"/>
                <w:sz w:val="24"/>
                <w:szCs w:val="24"/>
                <w:highlight w:val="none"/>
                <w:u w:val="none" w:color="auto"/>
                <w:lang w:val="en-US" w:eastAsia="zh-CN"/>
              </w:rPr>
              <w:t>*572h/a+0.03</w:t>
            </w:r>
            <w:r>
              <w:rPr>
                <w:rFonts w:hint="default" w:ascii="Times New Roman" w:hAnsi="Times New Roman" w:eastAsia="宋体" w:cs="Times New Roman"/>
                <w:color w:val="auto"/>
                <w:sz w:val="24"/>
                <w:szCs w:val="24"/>
                <w:highlight w:val="none"/>
                <w:u w:val="none" w:color="auto"/>
              </w:rPr>
              <w:t>kg/h</w:t>
            </w:r>
            <w:r>
              <w:rPr>
                <w:rFonts w:hint="default" w:ascii="Times New Roman" w:hAnsi="Times New Roman" w:eastAsia="宋体" w:cs="Times New Roman"/>
                <w:color w:val="auto"/>
                <w:sz w:val="24"/>
                <w:szCs w:val="24"/>
                <w:highlight w:val="none"/>
                <w:u w:val="none" w:color="auto"/>
                <w:lang w:val="en-US" w:eastAsia="zh-CN"/>
              </w:rPr>
              <w:t>*4082h/a=0.9540t/a＜11.5t/a的总量指标要求。</w:t>
            </w:r>
          </w:p>
          <w:p w14:paraId="4A13AB55">
            <w:pPr>
              <w:widowControl/>
              <w:spacing w:line="360" w:lineRule="auto"/>
              <w:ind w:firstLine="480" w:firstLineChars="200"/>
              <w:jc w:val="left"/>
              <w:rPr>
                <w:rFonts w:hint="default" w:ascii="Times New Roman" w:hAnsi="Times New Roman" w:eastAsia="宋体" w:cs="Times New Roman"/>
                <w:color w:val="auto"/>
                <w:kern w:val="0"/>
                <w:sz w:val="24"/>
                <w:highlight w:val="none"/>
                <w:u w:val="none" w:color="auto"/>
                <w:lang w:val="en-US" w:eastAsia="zh-CN"/>
              </w:rPr>
            </w:pPr>
            <w:r>
              <w:rPr>
                <w:rFonts w:hint="default" w:ascii="Times New Roman" w:hAnsi="Times New Roman" w:eastAsia="宋体" w:cs="Times New Roman"/>
                <w:color w:val="auto"/>
                <w:sz w:val="24"/>
                <w:szCs w:val="24"/>
                <w:highlight w:val="none"/>
                <w:u w:val="none" w:color="auto"/>
                <w:lang w:val="en-US" w:eastAsia="zh-CN"/>
              </w:rPr>
              <w:t>铝合金熔铸车间熔炉需确保生产安全，本次验收期间熔炉装载量已是最大装载量（若超出存在安全隐患），因此铝合金熔铸车间排放统计的二氧化硫、氮氧化物按满负荷计；环锻车间模锻工序和模具加热工序，折算为满负荷（产能负荷为87.50%），则二氧化硫、氮氧化物实际排放量分别为1.4574t/a、0.9746t/a。</w:t>
            </w:r>
          </w:p>
          <w:p w14:paraId="79731202">
            <w:pPr>
              <w:widowControl/>
              <w:spacing w:line="360" w:lineRule="auto"/>
              <w:ind w:firstLine="480" w:firstLineChars="200"/>
              <w:jc w:val="left"/>
              <w:rPr>
                <w:rFonts w:hint="default" w:ascii="Times New Roman" w:hAnsi="Times New Roman" w:eastAsia="宋体" w:cs="Times New Roman"/>
                <w:color w:val="auto"/>
                <w:kern w:val="0"/>
                <w:sz w:val="24"/>
                <w:highlight w:val="none"/>
                <w:u w:val="none" w:color="auto"/>
                <w:lang w:val="en-US" w:eastAsia="zh-CN"/>
              </w:rPr>
            </w:pPr>
            <w:r>
              <w:rPr>
                <w:rFonts w:hint="default" w:ascii="Times New Roman" w:hAnsi="Times New Roman" w:eastAsia="宋体" w:cs="Times New Roman"/>
                <w:color w:val="auto"/>
                <w:kern w:val="0"/>
                <w:sz w:val="24"/>
                <w:highlight w:val="none"/>
                <w:u w:val="none" w:color="auto"/>
                <w:lang w:val="en-US" w:eastAsia="zh-CN"/>
              </w:rPr>
              <w:t>（2）现有工程环评许可排放量</w:t>
            </w:r>
          </w:p>
          <w:p w14:paraId="2A196AD5">
            <w:pPr>
              <w:widowControl/>
              <w:spacing w:line="360" w:lineRule="auto"/>
              <w:ind w:firstLine="480" w:firstLineChars="200"/>
              <w:jc w:val="left"/>
              <w:rPr>
                <w:rFonts w:hint="default" w:ascii="Times New Roman" w:hAnsi="Times New Roman" w:eastAsia="宋体" w:cs="Times New Roman"/>
                <w:color w:val="auto"/>
                <w:kern w:val="0"/>
                <w:sz w:val="24"/>
                <w:highlight w:val="none"/>
                <w:u w:val="none" w:color="auto"/>
                <w:lang w:val="en-US" w:eastAsia="zh-CN"/>
              </w:rPr>
            </w:pPr>
            <w:r>
              <w:rPr>
                <w:rFonts w:hint="default" w:ascii="Times New Roman" w:hAnsi="Times New Roman" w:eastAsia="宋体" w:cs="Times New Roman"/>
                <w:color w:val="auto"/>
                <w:kern w:val="0"/>
                <w:sz w:val="24"/>
                <w:highlight w:val="none"/>
                <w:u w:val="none" w:color="auto"/>
                <w:lang w:val="en-US" w:eastAsia="zh-CN"/>
              </w:rPr>
              <w:t>现有工程许可排放量情况具体如下：</w:t>
            </w:r>
          </w:p>
          <w:p w14:paraId="744454B1">
            <w:pPr>
              <w:widowControl w:val="0"/>
              <w:autoSpaceDE w:val="0"/>
              <w:autoSpaceDN w:val="0"/>
              <w:adjustRightInd/>
              <w:snapToGrid/>
              <w:spacing w:after="0"/>
              <w:jc w:val="center"/>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表2-</w:t>
            </w:r>
            <w:r>
              <w:rPr>
                <w:rFonts w:hint="default" w:ascii="Times New Roman" w:hAnsi="Times New Roman" w:eastAsia="宋体" w:cs="Times New Roman"/>
                <w:b/>
                <w:bCs/>
                <w:color w:val="auto"/>
                <w:sz w:val="21"/>
                <w:szCs w:val="21"/>
                <w:u w:val="none" w:color="auto"/>
                <w:lang w:val="en-US" w:eastAsia="zh-CN"/>
              </w:rPr>
              <w:t>20</w:t>
            </w:r>
            <w:r>
              <w:rPr>
                <w:rFonts w:hint="default" w:ascii="Times New Roman" w:hAnsi="Times New Roman" w:eastAsia="宋体" w:cs="Times New Roman"/>
                <w:b/>
                <w:bCs/>
                <w:color w:val="auto"/>
                <w:sz w:val="21"/>
                <w:szCs w:val="21"/>
                <w:u w:val="none" w:color="auto"/>
              </w:rPr>
              <w:t xml:space="preserve"> 现有项目排污情况一览表</w:t>
            </w:r>
          </w:p>
          <w:tbl>
            <w:tblPr>
              <w:tblStyle w:val="32"/>
              <w:tblW w:w="4998" w:type="pct"/>
              <w:tblInd w:w="-5"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209"/>
              <w:gridCol w:w="1758"/>
              <w:gridCol w:w="2825"/>
              <w:gridCol w:w="2678"/>
            </w:tblGrid>
            <w:tr w14:paraId="78CE5B0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14" w:type="pct"/>
                  <w:tcBorders>
                    <w:tl2br w:val="nil"/>
                    <w:tr2bl w:val="nil"/>
                  </w:tcBorders>
                  <w:vAlign w:val="center"/>
                </w:tcPr>
                <w:p w14:paraId="3E8CF258">
                  <w:pPr>
                    <w:widowControl/>
                    <w:jc w:val="center"/>
                    <w:rPr>
                      <w:rFonts w:hint="default" w:ascii="Times New Roman" w:hAnsi="Times New Roman" w:eastAsia="宋体" w:cs="Times New Roman"/>
                      <w:b/>
                      <w:bCs/>
                      <w:color w:val="auto"/>
                      <w:kern w:val="0"/>
                      <w:sz w:val="21"/>
                      <w:szCs w:val="21"/>
                      <w:highlight w:val="none"/>
                      <w:u w:val="none" w:color="auto"/>
                      <w:lang w:eastAsia="zh-CN"/>
                    </w:rPr>
                  </w:pPr>
                  <w:r>
                    <w:rPr>
                      <w:rFonts w:hint="default" w:ascii="Times New Roman" w:hAnsi="Times New Roman" w:eastAsia="宋体" w:cs="Times New Roman"/>
                      <w:b/>
                      <w:bCs/>
                      <w:color w:val="auto"/>
                      <w:kern w:val="0"/>
                      <w:sz w:val="21"/>
                      <w:szCs w:val="21"/>
                      <w:highlight w:val="none"/>
                      <w:u w:val="none" w:color="auto"/>
                      <w:lang w:val="en-US" w:eastAsia="zh-CN"/>
                    </w:rPr>
                    <w:t>类别</w:t>
                  </w:r>
                </w:p>
              </w:tc>
              <w:tc>
                <w:tcPr>
                  <w:tcW w:w="2705" w:type="pct"/>
                  <w:gridSpan w:val="2"/>
                  <w:tcBorders>
                    <w:tl2br w:val="nil"/>
                    <w:tr2bl w:val="nil"/>
                  </w:tcBorders>
                  <w:vAlign w:val="center"/>
                </w:tcPr>
                <w:p w14:paraId="1063126A">
                  <w:pPr>
                    <w:widowControl/>
                    <w:jc w:val="center"/>
                    <w:rPr>
                      <w:rFonts w:hint="default" w:ascii="Times New Roman" w:hAnsi="Times New Roman" w:eastAsia="宋体" w:cs="Times New Roman"/>
                      <w:b/>
                      <w:bCs/>
                      <w:color w:val="auto"/>
                      <w:kern w:val="0"/>
                      <w:sz w:val="21"/>
                      <w:szCs w:val="21"/>
                      <w:highlight w:val="none"/>
                      <w:u w:val="none" w:color="auto"/>
                    </w:rPr>
                  </w:pPr>
                  <w:r>
                    <w:rPr>
                      <w:rFonts w:hint="default" w:ascii="Times New Roman" w:hAnsi="Times New Roman" w:eastAsia="宋体" w:cs="Times New Roman"/>
                      <w:b/>
                      <w:bCs/>
                      <w:color w:val="auto"/>
                      <w:kern w:val="0"/>
                      <w:sz w:val="21"/>
                      <w:szCs w:val="21"/>
                      <w:highlight w:val="none"/>
                      <w:u w:val="none" w:color="auto"/>
                    </w:rPr>
                    <w:t>污染物</w:t>
                  </w:r>
                </w:p>
              </w:tc>
              <w:tc>
                <w:tcPr>
                  <w:tcW w:w="1580" w:type="pct"/>
                  <w:tcBorders>
                    <w:tl2br w:val="nil"/>
                    <w:tr2bl w:val="nil"/>
                  </w:tcBorders>
                  <w:vAlign w:val="center"/>
                </w:tcPr>
                <w:p w14:paraId="16690F49">
                  <w:pPr>
                    <w:widowControl/>
                    <w:jc w:val="center"/>
                    <w:rPr>
                      <w:rFonts w:hint="default" w:ascii="Times New Roman" w:hAnsi="Times New Roman" w:eastAsia="宋体" w:cs="Times New Roman"/>
                      <w:b/>
                      <w:bCs/>
                      <w:color w:val="auto"/>
                      <w:kern w:val="0"/>
                      <w:sz w:val="21"/>
                      <w:szCs w:val="21"/>
                      <w:highlight w:val="none"/>
                      <w:u w:val="none" w:color="auto"/>
                      <w:lang w:eastAsia="zh-CN"/>
                    </w:rPr>
                  </w:pPr>
                  <w:r>
                    <w:rPr>
                      <w:rFonts w:hint="default" w:ascii="Times New Roman" w:hAnsi="Times New Roman" w:eastAsia="宋体" w:cs="Times New Roman"/>
                      <w:b/>
                      <w:bCs/>
                      <w:color w:val="auto"/>
                      <w:kern w:val="0"/>
                      <w:sz w:val="21"/>
                      <w:szCs w:val="21"/>
                      <w:highlight w:val="none"/>
                      <w:u w:val="none" w:color="auto"/>
                      <w:lang w:val="en-US" w:eastAsia="zh-CN"/>
                    </w:rPr>
                    <w:t>许可</w:t>
                  </w:r>
                  <w:r>
                    <w:rPr>
                      <w:rFonts w:hint="default" w:ascii="Times New Roman" w:hAnsi="Times New Roman" w:eastAsia="宋体" w:cs="Times New Roman"/>
                      <w:b/>
                      <w:bCs/>
                      <w:color w:val="auto"/>
                      <w:kern w:val="0"/>
                      <w:sz w:val="21"/>
                      <w:szCs w:val="21"/>
                      <w:highlight w:val="none"/>
                      <w:u w:val="none" w:color="auto"/>
                    </w:rPr>
                    <w:t>排放量</w:t>
                  </w:r>
                  <w:r>
                    <w:rPr>
                      <w:rFonts w:hint="default" w:ascii="Times New Roman" w:hAnsi="Times New Roman" w:eastAsia="宋体" w:cs="Times New Roman"/>
                      <w:b/>
                      <w:bCs/>
                      <w:color w:val="auto"/>
                      <w:kern w:val="0"/>
                      <w:sz w:val="21"/>
                      <w:szCs w:val="21"/>
                      <w:highlight w:val="none"/>
                      <w:u w:val="none" w:color="auto"/>
                      <w:lang w:eastAsia="zh-CN"/>
                    </w:rPr>
                    <w:t>（</w:t>
                  </w:r>
                  <w:r>
                    <w:rPr>
                      <w:rFonts w:hint="default" w:ascii="Times New Roman" w:hAnsi="Times New Roman" w:eastAsia="宋体" w:cs="Times New Roman"/>
                      <w:b/>
                      <w:bCs/>
                      <w:color w:val="auto"/>
                      <w:kern w:val="0"/>
                      <w:sz w:val="21"/>
                      <w:szCs w:val="21"/>
                      <w:highlight w:val="none"/>
                      <w:u w:val="none" w:color="auto"/>
                      <w:lang w:val="en-US" w:eastAsia="zh-CN"/>
                    </w:rPr>
                    <w:t>t/a</w:t>
                  </w:r>
                  <w:r>
                    <w:rPr>
                      <w:rFonts w:hint="default" w:ascii="Times New Roman" w:hAnsi="Times New Roman" w:eastAsia="宋体" w:cs="Times New Roman"/>
                      <w:b/>
                      <w:bCs/>
                      <w:color w:val="auto"/>
                      <w:kern w:val="0"/>
                      <w:sz w:val="21"/>
                      <w:szCs w:val="21"/>
                      <w:highlight w:val="none"/>
                      <w:u w:val="none" w:color="auto"/>
                      <w:lang w:eastAsia="zh-CN"/>
                    </w:rPr>
                    <w:t>）</w:t>
                  </w:r>
                </w:p>
              </w:tc>
            </w:tr>
            <w:tr w14:paraId="4434F79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47" w:hRule="atLeast"/>
              </w:trPr>
              <w:tc>
                <w:tcPr>
                  <w:tcW w:w="714" w:type="pct"/>
                  <w:vMerge w:val="restart"/>
                  <w:tcBorders>
                    <w:tl2br w:val="nil"/>
                    <w:tr2bl w:val="nil"/>
                  </w:tcBorders>
                  <w:vAlign w:val="center"/>
                </w:tcPr>
                <w:p w14:paraId="3F51F9B7">
                  <w:pPr>
                    <w:widowControl/>
                    <w:jc w:val="center"/>
                    <w:rPr>
                      <w:rFonts w:hint="default" w:ascii="Times New Roman" w:hAnsi="Times New Roman" w:eastAsia="宋体" w:cs="Times New Roman"/>
                      <w:color w:val="auto"/>
                      <w:kern w:val="0"/>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废气</w:t>
                  </w:r>
                </w:p>
              </w:tc>
              <w:tc>
                <w:tcPr>
                  <w:tcW w:w="2705" w:type="pct"/>
                  <w:gridSpan w:val="2"/>
                  <w:tcBorders>
                    <w:tl2br w:val="nil"/>
                    <w:tr2bl w:val="nil"/>
                  </w:tcBorders>
                  <w:vAlign w:val="center"/>
                </w:tcPr>
                <w:p w14:paraId="57242510">
                  <w:pPr>
                    <w:keepNext w:val="0"/>
                    <w:keepLines w:val="0"/>
                    <w:widowControl/>
                    <w:suppressLineNumbers w:val="0"/>
                    <w:topLinePunct w:val="0"/>
                    <w:bidi w:val="0"/>
                    <w:adjustRightInd/>
                    <w:snapToGrid/>
                    <w:jc w:val="center"/>
                    <w:textAlignment w:val="center"/>
                    <w:rPr>
                      <w:rFonts w:hint="default" w:ascii="Times New Roman" w:hAnsi="Times New Roman" w:eastAsia="宋体" w:cs="Times New Roman"/>
                      <w:b w:val="0"/>
                      <w:bCs/>
                      <w:color w:val="auto"/>
                      <w:kern w:val="2"/>
                      <w:sz w:val="21"/>
                      <w:szCs w:val="21"/>
                      <w:highlight w:val="none"/>
                      <w:u w:val="none" w:color="auto"/>
                      <w:lang w:val="en-US" w:eastAsia="zh-CN" w:bidi="ar-SA"/>
                    </w:rPr>
                  </w:pPr>
                  <w:r>
                    <w:rPr>
                      <w:rFonts w:hint="default" w:ascii="Times New Roman" w:hAnsi="Times New Roman" w:eastAsia="宋体" w:cs="Times New Roman"/>
                      <w:b w:val="0"/>
                      <w:bCs/>
                      <w:i w:val="0"/>
                      <w:iCs w:val="0"/>
                      <w:color w:val="auto"/>
                      <w:kern w:val="0"/>
                      <w:sz w:val="21"/>
                      <w:szCs w:val="21"/>
                      <w:u w:val="none" w:color="auto"/>
                      <w:lang w:val="en-US" w:eastAsia="zh-CN" w:bidi="ar"/>
                    </w:rPr>
                    <w:t>二氧化硫</w:t>
                  </w:r>
                </w:p>
              </w:tc>
              <w:tc>
                <w:tcPr>
                  <w:tcW w:w="1580" w:type="pct"/>
                  <w:tcBorders>
                    <w:tl2br w:val="nil"/>
                    <w:tr2bl w:val="nil"/>
                  </w:tcBorders>
                  <w:vAlign w:val="center"/>
                </w:tcPr>
                <w:p w14:paraId="1D6E1FF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1.4967</w:t>
                  </w:r>
                </w:p>
              </w:tc>
            </w:tr>
            <w:tr w14:paraId="495F8FE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14" w:type="pct"/>
                  <w:vMerge w:val="continue"/>
                  <w:tcBorders>
                    <w:tl2br w:val="nil"/>
                    <w:tr2bl w:val="nil"/>
                  </w:tcBorders>
                  <w:vAlign w:val="center"/>
                </w:tcPr>
                <w:p w14:paraId="359D4F8F">
                  <w:pPr>
                    <w:widowControl/>
                    <w:jc w:val="center"/>
                    <w:rPr>
                      <w:rFonts w:hint="default" w:ascii="Times New Roman" w:hAnsi="Times New Roman" w:eastAsia="宋体" w:cs="Times New Roman"/>
                      <w:color w:val="auto"/>
                      <w:kern w:val="0"/>
                      <w:sz w:val="21"/>
                      <w:szCs w:val="21"/>
                      <w:highlight w:val="none"/>
                      <w:u w:val="none" w:color="auto"/>
                    </w:rPr>
                  </w:pPr>
                </w:p>
              </w:tc>
              <w:tc>
                <w:tcPr>
                  <w:tcW w:w="2705" w:type="pct"/>
                  <w:gridSpan w:val="2"/>
                  <w:tcBorders>
                    <w:tl2br w:val="nil"/>
                    <w:tr2bl w:val="nil"/>
                  </w:tcBorders>
                  <w:vAlign w:val="center"/>
                </w:tcPr>
                <w:p w14:paraId="11ECED19">
                  <w:pPr>
                    <w:keepNext w:val="0"/>
                    <w:keepLines w:val="0"/>
                    <w:widowControl/>
                    <w:suppressLineNumbers w:val="0"/>
                    <w:topLinePunct w:val="0"/>
                    <w:bidi w:val="0"/>
                    <w:adjustRightInd/>
                    <w:snapToGrid/>
                    <w:jc w:val="center"/>
                    <w:textAlignment w:val="center"/>
                    <w:rPr>
                      <w:rFonts w:hint="default" w:ascii="Times New Roman" w:hAnsi="Times New Roman" w:eastAsia="宋体" w:cs="Times New Roman"/>
                      <w:b w:val="0"/>
                      <w:bCs/>
                      <w:color w:val="auto"/>
                      <w:kern w:val="2"/>
                      <w:sz w:val="21"/>
                      <w:szCs w:val="21"/>
                      <w:highlight w:val="none"/>
                      <w:u w:val="none" w:color="auto"/>
                      <w:lang w:val="en-US" w:eastAsia="zh-CN" w:bidi="ar-SA"/>
                    </w:rPr>
                  </w:pPr>
                  <w:r>
                    <w:rPr>
                      <w:rFonts w:hint="default" w:ascii="Times New Roman" w:hAnsi="Times New Roman" w:eastAsia="宋体" w:cs="Times New Roman"/>
                      <w:b w:val="0"/>
                      <w:bCs/>
                      <w:i w:val="0"/>
                      <w:iCs w:val="0"/>
                      <w:color w:val="auto"/>
                      <w:kern w:val="0"/>
                      <w:sz w:val="21"/>
                      <w:szCs w:val="21"/>
                      <w:u w:val="none" w:color="auto"/>
                      <w:lang w:val="en-US" w:eastAsia="zh-CN" w:bidi="ar"/>
                    </w:rPr>
                    <w:t>氮氧化物</w:t>
                  </w:r>
                </w:p>
              </w:tc>
              <w:tc>
                <w:tcPr>
                  <w:tcW w:w="1580" w:type="pct"/>
                  <w:tcBorders>
                    <w:tl2br w:val="nil"/>
                    <w:tr2bl w:val="nil"/>
                  </w:tcBorders>
                  <w:vAlign w:val="center"/>
                </w:tcPr>
                <w:p w14:paraId="558C542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11.4613</w:t>
                  </w:r>
                </w:p>
              </w:tc>
            </w:tr>
            <w:tr w14:paraId="2B87D5E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14" w:type="pct"/>
                  <w:vMerge w:val="continue"/>
                  <w:tcBorders>
                    <w:tl2br w:val="nil"/>
                    <w:tr2bl w:val="nil"/>
                  </w:tcBorders>
                  <w:vAlign w:val="center"/>
                </w:tcPr>
                <w:p w14:paraId="3C6FB7C1">
                  <w:pPr>
                    <w:widowControl/>
                    <w:jc w:val="center"/>
                    <w:rPr>
                      <w:rFonts w:hint="default" w:ascii="Times New Roman" w:hAnsi="Times New Roman" w:eastAsia="宋体" w:cs="Times New Roman"/>
                      <w:color w:val="auto"/>
                      <w:kern w:val="0"/>
                      <w:sz w:val="21"/>
                      <w:szCs w:val="21"/>
                      <w:highlight w:val="none"/>
                      <w:u w:val="none" w:color="auto"/>
                    </w:rPr>
                  </w:pPr>
                </w:p>
              </w:tc>
              <w:tc>
                <w:tcPr>
                  <w:tcW w:w="2705" w:type="pct"/>
                  <w:gridSpan w:val="2"/>
                  <w:tcBorders>
                    <w:tl2br w:val="nil"/>
                    <w:tr2bl w:val="nil"/>
                  </w:tcBorders>
                  <w:vAlign w:val="center"/>
                </w:tcPr>
                <w:p w14:paraId="7E029369">
                  <w:pPr>
                    <w:keepNext w:val="0"/>
                    <w:keepLines w:val="0"/>
                    <w:widowControl/>
                    <w:suppressLineNumbers w:val="0"/>
                    <w:topLinePunct w:val="0"/>
                    <w:bidi w:val="0"/>
                    <w:adjustRightInd/>
                    <w:snapToGrid/>
                    <w:jc w:val="center"/>
                    <w:textAlignment w:val="center"/>
                    <w:rPr>
                      <w:rFonts w:hint="default" w:ascii="Times New Roman" w:hAnsi="Times New Roman" w:eastAsia="宋体" w:cs="Times New Roman"/>
                      <w:b w:val="0"/>
                      <w:bCs/>
                      <w:color w:val="auto"/>
                      <w:kern w:val="2"/>
                      <w:sz w:val="21"/>
                      <w:szCs w:val="21"/>
                      <w:highlight w:val="none"/>
                      <w:u w:val="none" w:color="auto"/>
                      <w:lang w:val="en-US" w:eastAsia="zh-CN" w:bidi="ar-SA"/>
                    </w:rPr>
                  </w:pPr>
                  <w:r>
                    <w:rPr>
                      <w:rFonts w:hint="default" w:ascii="Times New Roman" w:hAnsi="Times New Roman" w:eastAsia="宋体" w:cs="Times New Roman"/>
                      <w:b w:val="0"/>
                      <w:bCs/>
                      <w:i w:val="0"/>
                      <w:iCs w:val="0"/>
                      <w:color w:val="auto"/>
                      <w:kern w:val="0"/>
                      <w:sz w:val="21"/>
                      <w:szCs w:val="21"/>
                      <w:u w:val="none" w:color="auto"/>
                      <w:lang w:val="en-US" w:eastAsia="zh-CN" w:bidi="ar"/>
                    </w:rPr>
                    <w:t>颗粒物</w:t>
                  </w:r>
                </w:p>
              </w:tc>
              <w:tc>
                <w:tcPr>
                  <w:tcW w:w="1580" w:type="pct"/>
                  <w:tcBorders>
                    <w:tl2br w:val="nil"/>
                    <w:tr2bl w:val="nil"/>
                  </w:tcBorders>
                  <w:vAlign w:val="center"/>
                </w:tcPr>
                <w:p w14:paraId="5916CDD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2.3562</w:t>
                  </w:r>
                </w:p>
              </w:tc>
            </w:tr>
            <w:tr w14:paraId="13CC2F4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14" w:type="pct"/>
                  <w:vMerge w:val="continue"/>
                  <w:tcBorders>
                    <w:tl2br w:val="nil"/>
                    <w:tr2bl w:val="nil"/>
                  </w:tcBorders>
                  <w:vAlign w:val="center"/>
                </w:tcPr>
                <w:p w14:paraId="3B7E34B5">
                  <w:pPr>
                    <w:widowControl/>
                    <w:jc w:val="center"/>
                    <w:rPr>
                      <w:rFonts w:hint="default" w:ascii="Times New Roman" w:hAnsi="Times New Roman" w:eastAsia="宋体" w:cs="Times New Roman"/>
                      <w:color w:val="auto"/>
                      <w:kern w:val="0"/>
                      <w:sz w:val="21"/>
                      <w:szCs w:val="21"/>
                      <w:highlight w:val="none"/>
                      <w:u w:val="none" w:color="auto"/>
                    </w:rPr>
                  </w:pPr>
                </w:p>
              </w:tc>
              <w:tc>
                <w:tcPr>
                  <w:tcW w:w="2705" w:type="pct"/>
                  <w:gridSpan w:val="2"/>
                  <w:tcBorders>
                    <w:tl2br w:val="nil"/>
                    <w:tr2bl w:val="nil"/>
                  </w:tcBorders>
                  <w:vAlign w:val="center"/>
                </w:tcPr>
                <w:p w14:paraId="57E6864F">
                  <w:pPr>
                    <w:keepNext w:val="0"/>
                    <w:keepLines w:val="0"/>
                    <w:widowControl/>
                    <w:suppressLineNumbers w:val="0"/>
                    <w:topLinePunct w:val="0"/>
                    <w:bidi w:val="0"/>
                    <w:adjustRightInd/>
                    <w:snapToGrid/>
                    <w:jc w:val="center"/>
                    <w:textAlignment w:val="center"/>
                    <w:rPr>
                      <w:rFonts w:hint="default" w:ascii="Times New Roman" w:hAnsi="Times New Roman" w:eastAsia="宋体" w:cs="Times New Roman"/>
                      <w:b w:val="0"/>
                      <w:bCs/>
                      <w:color w:val="auto"/>
                      <w:kern w:val="2"/>
                      <w:sz w:val="21"/>
                      <w:szCs w:val="21"/>
                      <w:highlight w:val="none"/>
                      <w:u w:val="none" w:color="auto"/>
                      <w:lang w:val="en-US" w:eastAsia="zh-CN" w:bidi="ar-SA"/>
                    </w:rPr>
                  </w:pPr>
                  <w:r>
                    <w:rPr>
                      <w:rFonts w:hint="default" w:ascii="Times New Roman" w:hAnsi="Times New Roman" w:eastAsia="宋体" w:cs="Times New Roman"/>
                      <w:b w:val="0"/>
                      <w:bCs/>
                      <w:i w:val="0"/>
                      <w:iCs w:val="0"/>
                      <w:color w:val="auto"/>
                      <w:kern w:val="0"/>
                      <w:sz w:val="21"/>
                      <w:szCs w:val="21"/>
                      <w:u w:val="none" w:color="auto"/>
                      <w:lang w:val="en-US" w:eastAsia="zh-CN" w:bidi="ar"/>
                    </w:rPr>
                    <w:t>锰及其化合物</w:t>
                  </w:r>
                </w:p>
              </w:tc>
              <w:tc>
                <w:tcPr>
                  <w:tcW w:w="1580" w:type="pct"/>
                  <w:tcBorders>
                    <w:tl2br w:val="nil"/>
                    <w:tr2bl w:val="nil"/>
                  </w:tcBorders>
                  <w:vAlign w:val="center"/>
                </w:tcPr>
                <w:p w14:paraId="293DEC0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0.00100575</w:t>
                  </w:r>
                </w:p>
              </w:tc>
            </w:tr>
            <w:tr w14:paraId="19C317F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14" w:type="pct"/>
                  <w:vMerge w:val="continue"/>
                  <w:tcBorders>
                    <w:tl2br w:val="nil"/>
                    <w:tr2bl w:val="nil"/>
                  </w:tcBorders>
                  <w:vAlign w:val="center"/>
                </w:tcPr>
                <w:p w14:paraId="55AE2076">
                  <w:pPr>
                    <w:widowControl/>
                    <w:jc w:val="center"/>
                    <w:rPr>
                      <w:rFonts w:hint="default" w:ascii="Times New Roman" w:hAnsi="Times New Roman" w:eastAsia="宋体" w:cs="Times New Roman"/>
                      <w:color w:val="auto"/>
                      <w:kern w:val="0"/>
                      <w:sz w:val="21"/>
                      <w:szCs w:val="21"/>
                      <w:highlight w:val="none"/>
                      <w:u w:val="none" w:color="auto"/>
                    </w:rPr>
                  </w:pPr>
                </w:p>
              </w:tc>
              <w:tc>
                <w:tcPr>
                  <w:tcW w:w="2705" w:type="pct"/>
                  <w:gridSpan w:val="2"/>
                  <w:tcBorders>
                    <w:tl2br w:val="nil"/>
                    <w:tr2bl w:val="nil"/>
                  </w:tcBorders>
                  <w:vAlign w:val="center"/>
                </w:tcPr>
                <w:p w14:paraId="211BBCA9">
                  <w:pPr>
                    <w:keepNext w:val="0"/>
                    <w:keepLines w:val="0"/>
                    <w:widowControl/>
                    <w:suppressLineNumbers w:val="0"/>
                    <w:topLinePunct w:val="0"/>
                    <w:bidi w:val="0"/>
                    <w:adjustRightInd/>
                    <w:snapToGrid/>
                    <w:jc w:val="center"/>
                    <w:textAlignment w:val="center"/>
                    <w:rPr>
                      <w:rFonts w:hint="default" w:ascii="Times New Roman" w:hAnsi="Times New Roman" w:eastAsia="宋体" w:cs="Times New Roman"/>
                      <w:b w:val="0"/>
                      <w:bCs/>
                      <w:color w:val="auto"/>
                      <w:kern w:val="2"/>
                      <w:sz w:val="21"/>
                      <w:szCs w:val="21"/>
                      <w:highlight w:val="none"/>
                      <w:u w:val="none" w:color="auto"/>
                      <w:lang w:val="en-US" w:eastAsia="zh-CN" w:bidi="ar-SA"/>
                    </w:rPr>
                  </w:pPr>
                  <w:r>
                    <w:rPr>
                      <w:rFonts w:hint="default" w:ascii="Times New Roman" w:hAnsi="Times New Roman" w:eastAsia="宋体" w:cs="Times New Roman"/>
                      <w:b w:val="0"/>
                      <w:bCs/>
                      <w:i w:val="0"/>
                      <w:iCs w:val="0"/>
                      <w:color w:val="auto"/>
                      <w:kern w:val="0"/>
                      <w:sz w:val="21"/>
                      <w:szCs w:val="21"/>
                      <w:u w:val="none" w:color="auto"/>
                      <w:lang w:val="en-US" w:eastAsia="zh-CN" w:bidi="ar"/>
                    </w:rPr>
                    <w:t>镍及其化合物</w:t>
                  </w:r>
                </w:p>
              </w:tc>
              <w:tc>
                <w:tcPr>
                  <w:tcW w:w="1580" w:type="pct"/>
                  <w:tcBorders>
                    <w:tl2br w:val="nil"/>
                    <w:tr2bl w:val="nil"/>
                  </w:tcBorders>
                  <w:vAlign w:val="center"/>
                </w:tcPr>
                <w:p w14:paraId="4D60482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0.0017523</w:t>
                  </w:r>
                </w:p>
              </w:tc>
            </w:tr>
            <w:tr w14:paraId="3F146CF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14" w:type="pct"/>
                  <w:vMerge w:val="continue"/>
                  <w:tcBorders>
                    <w:tl2br w:val="nil"/>
                    <w:tr2bl w:val="nil"/>
                  </w:tcBorders>
                  <w:vAlign w:val="center"/>
                </w:tcPr>
                <w:p w14:paraId="4F720614">
                  <w:pPr>
                    <w:widowControl/>
                    <w:jc w:val="center"/>
                    <w:rPr>
                      <w:rFonts w:hint="default" w:ascii="Times New Roman" w:hAnsi="Times New Roman" w:eastAsia="宋体" w:cs="Times New Roman"/>
                      <w:color w:val="auto"/>
                      <w:kern w:val="0"/>
                      <w:sz w:val="21"/>
                      <w:szCs w:val="21"/>
                      <w:highlight w:val="none"/>
                      <w:u w:val="none" w:color="auto"/>
                    </w:rPr>
                  </w:pPr>
                </w:p>
              </w:tc>
              <w:tc>
                <w:tcPr>
                  <w:tcW w:w="2705" w:type="pct"/>
                  <w:gridSpan w:val="2"/>
                  <w:tcBorders>
                    <w:tl2br w:val="nil"/>
                    <w:tr2bl w:val="nil"/>
                  </w:tcBorders>
                  <w:vAlign w:val="center"/>
                </w:tcPr>
                <w:p w14:paraId="63CFF407">
                  <w:pPr>
                    <w:keepNext w:val="0"/>
                    <w:keepLines w:val="0"/>
                    <w:widowControl/>
                    <w:suppressLineNumbers w:val="0"/>
                    <w:topLinePunct w:val="0"/>
                    <w:bidi w:val="0"/>
                    <w:adjustRightInd/>
                    <w:snapToGrid/>
                    <w:jc w:val="center"/>
                    <w:textAlignment w:val="center"/>
                    <w:rPr>
                      <w:rFonts w:hint="default" w:ascii="Times New Roman" w:hAnsi="Times New Roman" w:eastAsia="宋体" w:cs="Times New Roman"/>
                      <w:b w:val="0"/>
                      <w:bCs/>
                      <w:color w:val="auto"/>
                      <w:kern w:val="2"/>
                      <w:sz w:val="21"/>
                      <w:szCs w:val="21"/>
                      <w:highlight w:val="none"/>
                      <w:u w:val="none" w:color="auto"/>
                      <w:lang w:val="en-US" w:eastAsia="zh-CN" w:bidi="ar-SA"/>
                    </w:rPr>
                  </w:pPr>
                  <w:r>
                    <w:rPr>
                      <w:rFonts w:hint="default" w:ascii="Times New Roman" w:hAnsi="Times New Roman" w:eastAsia="宋体" w:cs="Times New Roman"/>
                      <w:b w:val="0"/>
                      <w:bCs/>
                      <w:i w:val="0"/>
                      <w:iCs w:val="0"/>
                      <w:color w:val="auto"/>
                      <w:kern w:val="0"/>
                      <w:sz w:val="21"/>
                      <w:szCs w:val="21"/>
                      <w:u w:val="none" w:color="auto"/>
                      <w:lang w:val="en-US" w:eastAsia="zh-CN" w:bidi="ar"/>
                    </w:rPr>
                    <w:t>铬及其化合物</w:t>
                  </w:r>
                </w:p>
              </w:tc>
              <w:tc>
                <w:tcPr>
                  <w:tcW w:w="1580" w:type="pct"/>
                  <w:tcBorders>
                    <w:tl2br w:val="nil"/>
                    <w:tr2bl w:val="nil"/>
                  </w:tcBorders>
                  <w:vAlign w:val="center"/>
                </w:tcPr>
                <w:p w14:paraId="0923B51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0.00088263</w:t>
                  </w:r>
                </w:p>
              </w:tc>
            </w:tr>
            <w:tr w14:paraId="74A8C09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14" w:type="pct"/>
                  <w:vMerge w:val="continue"/>
                  <w:tcBorders>
                    <w:tl2br w:val="nil"/>
                    <w:tr2bl w:val="nil"/>
                  </w:tcBorders>
                  <w:vAlign w:val="center"/>
                </w:tcPr>
                <w:p w14:paraId="0AB1CB68">
                  <w:pPr>
                    <w:widowControl/>
                    <w:jc w:val="center"/>
                    <w:rPr>
                      <w:rFonts w:hint="default" w:ascii="Times New Roman" w:hAnsi="Times New Roman" w:eastAsia="宋体" w:cs="Times New Roman"/>
                      <w:color w:val="auto"/>
                      <w:kern w:val="0"/>
                      <w:sz w:val="21"/>
                      <w:szCs w:val="21"/>
                      <w:highlight w:val="none"/>
                      <w:u w:val="none" w:color="auto"/>
                    </w:rPr>
                  </w:pPr>
                </w:p>
              </w:tc>
              <w:tc>
                <w:tcPr>
                  <w:tcW w:w="2705" w:type="pct"/>
                  <w:gridSpan w:val="2"/>
                  <w:tcBorders>
                    <w:tl2br w:val="nil"/>
                    <w:tr2bl w:val="nil"/>
                  </w:tcBorders>
                  <w:vAlign w:val="center"/>
                </w:tcPr>
                <w:p w14:paraId="37AAE172">
                  <w:pPr>
                    <w:keepNext w:val="0"/>
                    <w:keepLines w:val="0"/>
                    <w:widowControl/>
                    <w:suppressLineNumbers w:val="0"/>
                    <w:topLinePunct w:val="0"/>
                    <w:bidi w:val="0"/>
                    <w:adjustRightInd/>
                    <w:snapToGrid/>
                    <w:jc w:val="center"/>
                    <w:textAlignment w:val="center"/>
                    <w:rPr>
                      <w:rFonts w:hint="default" w:ascii="Times New Roman" w:hAnsi="Times New Roman" w:eastAsia="宋体" w:cs="Times New Roman"/>
                      <w:b w:val="0"/>
                      <w:bCs/>
                      <w:color w:val="auto"/>
                      <w:kern w:val="2"/>
                      <w:sz w:val="21"/>
                      <w:szCs w:val="21"/>
                      <w:highlight w:val="none"/>
                      <w:u w:val="none" w:color="auto"/>
                      <w:lang w:val="en-US" w:eastAsia="zh-CN" w:bidi="ar-SA"/>
                    </w:rPr>
                  </w:pPr>
                  <w:r>
                    <w:rPr>
                      <w:rFonts w:hint="default" w:ascii="Times New Roman" w:hAnsi="Times New Roman" w:eastAsia="宋体" w:cs="Times New Roman"/>
                      <w:b w:val="0"/>
                      <w:bCs/>
                      <w:i w:val="0"/>
                      <w:iCs w:val="0"/>
                      <w:color w:val="auto"/>
                      <w:kern w:val="0"/>
                      <w:sz w:val="21"/>
                      <w:szCs w:val="21"/>
                      <w:u w:val="none" w:color="auto"/>
                      <w:lang w:val="en-US" w:eastAsia="zh-CN" w:bidi="ar"/>
                    </w:rPr>
                    <w:t>铜及其化合物</w:t>
                  </w:r>
                </w:p>
              </w:tc>
              <w:tc>
                <w:tcPr>
                  <w:tcW w:w="1580" w:type="pct"/>
                  <w:tcBorders>
                    <w:tl2br w:val="nil"/>
                    <w:tr2bl w:val="nil"/>
                  </w:tcBorders>
                  <w:vAlign w:val="center"/>
                </w:tcPr>
                <w:p w14:paraId="5920E4F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0.01235262</w:t>
                  </w:r>
                </w:p>
              </w:tc>
            </w:tr>
            <w:tr w14:paraId="69B844E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14" w:type="pct"/>
                  <w:vMerge w:val="continue"/>
                  <w:tcBorders>
                    <w:tl2br w:val="nil"/>
                    <w:tr2bl w:val="nil"/>
                  </w:tcBorders>
                  <w:vAlign w:val="center"/>
                </w:tcPr>
                <w:p w14:paraId="352388CF">
                  <w:pPr>
                    <w:widowControl/>
                    <w:jc w:val="center"/>
                    <w:rPr>
                      <w:rFonts w:hint="default" w:ascii="Times New Roman" w:hAnsi="Times New Roman" w:eastAsia="宋体" w:cs="Times New Roman"/>
                      <w:color w:val="auto"/>
                      <w:kern w:val="0"/>
                      <w:sz w:val="21"/>
                      <w:szCs w:val="21"/>
                      <w:highlight w:val="none"/>
                      <w:u w:val="none" w:color="auto"/>
                    </w:rPr>
                  </w:pPr>
                </w:p>
              </w:tc>
              <w:tc>
                <w:tcPr>
                  <w:tcW w:w="2705" w:type="pct"/>
                  <w:gridSpan w:val="2"/>
                  <w:tcBorders>
                    <w:tl2br w:val="nil"/>
                    <w:tr2bl w:val="nil"/>
                  </w:tcBorders>
                  <w:vAlign w:val="center"/>
                </w:tcPr>
                <w:p w14:paraId="574D72F7">
                  <w:pPr>
                    <w:keepNext w:val="0"/>
                    <w:keepLines w:val="0"/>
                    <w:widowControl/>
                    <w:suppressLineNumbers w:val="0"/>
                    <w:topLinePunct w:val="0"/>
                    <w:bidi w:val="0"/>
                    <w:adjustRightInd/>
                    <w:snapToGrid/>
                    <w:jc w:val="center"/>
                    <w:textAlignment w:val="center"/>
                    <w:rPr>
                      <w:rFonts w:hint="default" w:ascii="Times New Roman" w:hAnsi="Times New Roman" w:eastAsia="宋体" w:cs="Times New Roman"/>
                      <w:b w:val="0"/>
                      <w:bCs/>
                      <w:color w:val="auto"/>
                      <w:kern w:val="0"/>
                      <w:sz w:val="21"/>
                      <w:szCs w:val="21"/>
                      <w:highlight w:val="none"/>
                      <w:u w:val="none" w:color="auto"/>
                      <w:lang w:val="en-US" w:eastAsia="zh-CN" w:bidi="ar"/>
                    </w:rPr>
                  </w:pPr>
                  <w:r>
                    <w:rPr>
                      <w:rFonts w:hint="default" w:ascii="Times New Roman" w:hAnsi="Times New Roman" w:eastAsia="宋体" w:cs="Times New Roman"/>
                      <w:b w:val="0"/>
                      <w:bCs/>
                      <w:i w:val="0"/>
                      <w:iCs w:val="0"/>
                      <w:color w:val="auto"/>
                      <w:kern w:val="0"/>
                      <w:sz w:val="21"/>
                      <w:szCs w:val="21"/>
                      <w:u w:val="none" w:color="auto"/>
                      <w:lang w:val="en-US" w:eastAsia="zh-CN" w:bidi="ar"/>
                    </w:rPr>
                    <w:t>碱雾</w:t>
                  </w:r>
                </w:p>
              </w:tc>
              <w:tc>
                <w:tcPr>
                  <w:tcW w:w="1580" w:type="pct"/>
                  <w:tcBorders>
                    <w:tl2br w:val="nil"/>
                    <w:tr2bl w:val="nil"/>
                  </w:tcBorders>
                  <w:vAlign w:val="center"/>
                </w:tcPr>
                <w:p w14:paraId="3BE42BB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0.227</w:t>
                  </w:r>
                </w:p>
              </w:tc>
            </w:tr>
            <w:tr w14:paraId="71464F9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14" w:type="pct"/>
                  <w:vMerge w:val="continue"/>
                  <w:tcBorders>
                    <w:tl2br w:val="nil"/>
                    <w:tr2bl w:val="nil"/>
                  </w:tcBorders>
                  <w:vAlign w:val="center"/>
                </w:tcPr>
                <w:p w14:paraId="16955B45">
                  <w:pPr>
                    <w:widowControl/>
                    <w:jc w:val="center"/>
                    <w:rPr>
                      <w:rFonts w:hint="default" w:ascii="Times New Roman" w:hAnsi="Times New Roman" w:eastAsia="宋体" w:cs="Times New Roman"/>
                      <w:color w:val="auto"/>
                      <w:kern w:val="0"/>
                      <w:sz w:val="21"/>
                      <w:szCs w:val="21"/>
                      <w:highlight w:val="none"/>
                      <w:u w:val="none" w:color="auto"/>
                    </w:rPr>
                  </w:pPr>
                </w:p>
              </w:tc>
              <w:tc>
                <w:tcPr>
                  <w:tcW w:w="2705" w:type="pct"/>
                  <w:gridSpan w:val="2"/>
                  <w:tcBorders>
                    <w:tl2br w:val="nil"/>
                    <w:tr2bl w:val="nil"/>
                  </w:tcBorders>
                  <w:vAlign w:val="center"/>
                </w:tcPr>
                <w:p w14:paraId="2D18F170">
                  <w:pPr>
                    <w:keepNext w:val="0"/>
                    <w:keepLines w:val="0"/>
                    <w:widowControl/>
                    <w:suppressLineNumbers w:val="0"/>
                    <w:topLinePunct w:val="0"/>
                    <w:bidi w:val="0"/>
                    <w:adjustRightInd/>
                    <w:snapToGrid/>
                    <w:jc w:val="center"/>
                    <w:textAlignment w:val="center"/>
                    <w:rPr>
                      <w:rFonts w:hint="default" w:ascii="Times New Roman" w:hAnsi="Times New Roman" w:eastAsia="宋体" w:cs="Times New Roman"/>
                      <w:b w:val="0"/>
                      <w:bCs/>
                      <w:color w:val="auto"/>
                      <w:kern w:val="0"/>
                      <w:sz w:val="21"/>
                      <w:szCs w:val="21"/>
                      <w:highlight w:val="none"/>
                      <w:u w:val="none" w:color="auto"/>
                      <w:lang w:val="en-US" w:eastAsia="zh-CN" w:bidi="ar"/>
                    </w:rPr>
                  </w:pPr>
                  <w:r>
                    <w:rPr>
                      <w:rFonts w:hint="default" w:ascii="Times New Roman" w:hAnsi="Times New Roman" w:eastAsia="宋体" w:cs="Times New Roman"/>
                      <w:b w:val="0"/>
                      <w:bCs/>
                      <w:i w:val="0"/>
                      <w:iCs w:val="0"/>
                      <w:color w:val="auto"/>
                      <w:kern w:val="0"/>
                      <w:sz w:val="21"/>
                      <w:szCs w:val="21"/>
                      <w:u w:val="none" w:color="auto"/>
                      <w:lang w:val="en-US" w:eastAsia="zh-CN" w:bidi="ar"/>
                    </w:rPr>
                    <w:t>NH</w:t>
                  </w:r>
                  <w:r>
                    <w:rPr>
                      <w:rFonts w:hint="default" w:ascii="Times New Roman" w:hAnsi="Times New Roman" w:eastAsia="宋体" w:cs="Times New Roman"/>
                      <w:b w:val="0"/>
                      <w:bCs/>
                      <w:i w:val="0"/>
                      <w:iCs w:val="0"/>
                      <w:color w:val="auto"/>
                      <w:kern w:val="0"/>
                      <w:sz w:val="21"/>
                      <w:szCs w:val="21"/>
                      <w:u w:val="none" w:color="auto"/>
                      <w:vertAlign w:val="subscript"/>
                      <w:lang w:val="en-US" w:eastAsia="zh-CN" w:bidi="ar"/>
                    </w:rPr>
                    <w:t>3</w:t>
                  </w:r>
                </w:p>
              </w:tc>
              <w:tc>
                <w:tcPr>
                  <w:tcW w:w="1580" w:type="pct"/>
                  <w:tcBorders>
                    <w:tl2br w:val="nil"/>
                    <w:tr2bl w:val="nil"/>
                  </w:tcBorders>
                  <w:vAlign w:val="center"/>
                </w:tcPr>
                <w:p w14:paraId="5750CFD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0.0017</w:t>
                  </w:r>
                </w:p>
              </w:tc>
            </w:tr>
            <w:tr w14:paraId="1F004C5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14" w:type="pct"/>
                  <w:vMerge w:val="continue"/>
                  <w:tcBorders>
                    <w:tl2br w:val="nil"/>
                    <w:tr2bl w:val="nil"/>
                  </w:tcBorders>
                  <w:vAlign w:val="center"/>
                </w:tcPr>
                <w:p w14:paraId="17839199">
                  <w:pPr>
                    <w:widowControl/>
                    <w:jc w:val="center"/>
                    <w:rPr>
                      <w:rFonts w:hint="default" w:ascii="Times New Roman" w:hAnsi="Times New Roman" w:eastAsia="宋体" w:cs="Times New Roman"/>
                      <w:color w:val="auto"/>
                      <w:kern w:val="0"/>
                      <w:sz w:val="21"/>
                      <w:szCs w:val="21"/>
                      <w:highlight w:val="none"/>
                      <w:u w:val="none" w:color="auto"/>
                    </w:rPr>
                  </w:pPr>
                </w:p>
              </w:tc>
              <w:tc>
                <w:tcPr>
                  <w:tcW w:w="2705" w:type="pct"/>
                  <w:gridSpan w:val="2"/>
                  <w:tcBorders>
                    <w:tl2br w:val="nil"/>
                    <w:tr2bl w:val="nil"/>
                  </w:tcBorders>
                  <w:vAlign w:val="center"/>
                </w:tcPr>
                <w:p w14:paraId="6BE83BB4">
                  <w:pPr>
                    <w:keepNext w:val="0"/>
                    <w:keepLines w:val="0"/>
                    <w:widowControl/>
                    <w:suppressLineNumbers w:val="0"/>
                    <w:topLinePunct w:val="0"/>
                    <w:bidi w:val="0"/>
                    <w:adjustRightInd/>
                    <w:snapToGrid/>
                    <w:jc w:val="center"/>
                    <w:textAlignment w:val="center"/>
                    <w:rPr>
                      <w:rFonts w:hint="default" w:ascii="Times New Roman" w:hAnsi="Times New Roman" w:eastAsia="宋体" w:cs="Times New Roman"/>
                      <w:b w:val="0"/>
                      <w:bCs/>
                      <w:color w:val="auto"/>
                      <w:kern w:val="0"/>
                      <w:sz w:val="21"/>
                      <w:szCs w:val="21"/>
                      <w:highlight w:val="none"/>
                      <w:u w:val="none" w:color="auto"/>
                      <w:lang w:val="en-US" w:eastAsia="zh-CN" w:bidi="ar"/>
                    </w:rPr>
                  </w:pPr>
                  <w:r>
                    <w:rPr>
                      <w:rFonts w:hint="default" w:ascii="Times New Roman" w:hAnsi="Times New Roman" w:eastAsia="宋体" w:cs="Times New Roman"/>
                      <w:b w:val="0"/>
                      <w:bCs/>
                      <w:i w:val="0"/>
                      <w:iCs w:val="0"/>
                      <w:color w:val="auto"/>
                      <w:kern w:val="0"/>
                      <w:sz w:val="22"/>
                      <w:szCs w:val="22"/>
                      <w:u w:val="none" w:color="auto"/>
                      <w:lang w:val="en-US" w:eastAsia="zh-CN" w:bidi="ar"/>
                    </w:rPr>
                    <w:t>H</w:t>
                  </w:r>
                  <w:r>
                    <w:rPr>
                      <w:rFonts w:hint="default" w:ascii="Times New Roman" w:hAnsi="Times New Roman" w:eastAsia="宋体" w:cs="Times New Roman"/>
                      <w:b w:val="0"/>
                      <w:bCs/>
                      <w:i w:val="0"/>
                      <w:iCs w:val="0"/>
                      <w:color w:val="auto"/>
                      <w:kern w:val="0"/>
                      <w:sz w:val="22"/>
                      <w:szCs w:val="22"/>
                      <w:u w:val="none" w:color="auto"/>
                      <w:vertAlign w:val="subscript"/>
                      <w:lang w:val="en-US" w:eastAsia="zh-CN" w:bidi="ar"/>
                    </w:rPr>
                    <w:t>2</w:t>
                  </w:r>
                  <w:r>
                    <w:rPr>
                      <w:rFonts w:hint="default" w:ascii="Times New Roman" w:hAnsi="Times New Roman" w:eastAsia="宋体" w:cs="Times New Roman"/>
                      <w:b w:val="0"/>
                      <w:bCs/>
                      <w:i w:val="0"/>
                      <w:iCs w:val="0"/>
                      <w:color w:val="auto"/>
                      <w:kern w:val="0"/>
                      <w:sz w:val="22"/>
                      <w:szCs w:val="22"/>
                      <w:u w:val="none" w:color="auto"/>
                      <w:lang w:val="en-US" w:eastAsia="zh-CN" w:bidi="ar"/>
                    </w:rPr>
                    <w:t>S</w:t>
                  </w:r>
                </w:p>
              </w:tc>
              <w:tc>
                <w:tcPr>
                  <w:tcW w:w="1580" w:type="pct"/>
                  <w:tcBorders>
                    <w:tl2br w:val="nil"/>
                    <w:tr2bl w:val="nil"/>
                  </w:tcBorders>
                  <w:vAlign w:val="center"/>
                </w:tcPr>
                <w:p w14:paraId="0D0305E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0.00008</w:t>
                  </w:r>
                </w:p>
              </w:tc>
            </w:tr>
            <w:tr w14:paraId="7C44A8F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14" w:type="pct"/>
                  <w:vMerge w:val="continue"/>
                  <w:tcBorders>
                    <w:tl2br w:val="nil"/>
                    <w:tr2bl w:val="nil"/>
                  </w:tcBorders>
                  <w:vAlign w:val="center"/>
                </w:tcPr>
                <w:p w14:paraId="7B90424D">
                  <w:pPr>
                    <w:widowControl/>
                    <w:jc w:val="center"/>
                    <w:rPr>
                      <w:rFonts w:hint="default" w:ascii="Times New Roman" w:hAnsi="Times New Roman" w:eastAsia="宋体" w:cs="Times New Roman"/>
                      <w:color w:val="auto"/>
                      <w:kern w:val="0"/>
                      <w:sz w:val="21"/>
                      <w:szCs w:val="21"/>
                      <w:highlight w:val="none"/>
                      <w:u w:val="none" w:color="auto"/>
                    </w:rPr>
                  </w:pPr>
                </w:p>
              </w:tc>
              <w:tc>
                <w:tcPr>
                  <w:tcW w:w="2705" w:type="pct"/>
                  <w:gridSpan w:val="2"/>
                  <w:tcBorders>
                    <w:tl2br w:val="nil"/>
                    <w:tr2bl w:val="nil"/>
                  </w:tcBorders>
                  <w:vAlign w:val="center"/>
                </w:tcPr>
                <w:p w14:paraId="6CF4AE24">
                  <w:pPr>
                    <w:keepNext w:val="0"/>
                    <w:keepLines w:val="0"/>
                    <w:widowControl/>
                    <w:suppressLineNumbers w:val="0"/>
                    <w:topLinePunct w:val="0"/>
                    <w:bidi w:val="0"/>
                    <w:adjustRightInd/>
                    <w:snapToGrid/>
                    <w:jc w:val="center"/>
                    <w:textAlignment w:val="center"/>
                    <w:rPr>
                      <w:rFonts w:hint="default" w:ascii="Times New Roman" w:hAnsi="Times New Roman" w:eastAsia="宋体" w:cs="Times New Roman"/>
                      <w:b w:val="0"/>
                      <w:bCs/>
                      <w:i w:val="0"/>
                      <w:iCs w:val="0"/>
                      <w:color w:val="auto"/>
                      <w:kern w:val="0"/>
                      <w:sz w:val="21"/>
                      <w:szCs w:val="21"/>
                      <w:u w:val="none" w:color="auto"/>
                      <w:lang w:val="en-US" w:eastAsia="zh-CN" w:bidi="ar"/>
                    </w:rPr>
                  </w:pPr>
                  <w:r>
                    <w:rPr>
                      <w:rFonts w:hint="default" w:ascii="Times New Roman" w:hAnsi="Times New Roman" w:eastAsia="宋体" w:cs="Times New Roman"/>
                      <w:b w:val="0"/>
                      <w:bCs/>
                      <w:i w:val="0"/>
                      <w:iCs w:val="0"/>
                      <w:color w:val="auto"/>
                      <w:kern w:val="0"/>
                      <w:sz w:val="21"/>
                      <w:szCs w:val="21"/>
                      <w:u w:val="none" w:color="auto"/>
                      <w:lang w:val="en-US" w:eastAsia="zh-CN" w:bidi="ar"/>
                    </w:rPr>
                    <w:t>HCL</w:t>
                  </w:r>
                </w:p>
              </w:tc>
              <w:tc>
                <w:tcPr>
                  <w:tcW w:w="1580" w:type="pct"/>
                  <w:tcBorders>
                    <w:tl2br w:val="nil"/>
                    <w:tr2bl w:val="nil"/>
                  </w:tcBorders>
                  <w:vAlign w:val="center"/>
                </w:tcPr>
                <w:p w14:paraId="06FCE96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0.0093</w:t>
                  </w:r>
                </w:p>
              </w:tc>
            </w:tr>
            <w:tr w14:paraId="03D1A73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14" w:type="pct"/>
                  <w:vMerge w:val="restart"/>
                  <w:tcBorders>
                    <w:tl2br w:val="nil"/>
                    <w:tr2bl w:val="nil"/>
                  </w:tcBorders>
                  <w:vAlign w:val="center"/>
                </w:tcPr>
                <w:p w14:paraId="7876DA91">
                  <w:pPr>
                    <w:widowControl/>
                    <w:jc w:val="center"/>
                    <w:rPr>
                      <w:rFonts w:hint="default" w:ascii="Times New Roman" w:hAnsi="Times New Roman" w:eastAsia="宋体" w:cs="Times New Roman"/>
                      <w:color w:val="auto"/>
                      <w:kern w:val="0"/>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废水</w:t>
                  </w:r>
                </w:p>
              </w:tc>
              <w:tc>
                <w:tcPr>
                  <w:tcW w:w="2705" w:type="pct"/>
                  <w:gridSpan w:val="2"/>
                  <w:tcBorders>
                    <w:tl2br w:val="nil"/>
                    <w:tr2bl w:val="nil"/>
                  </w:tcBorders>
                  <w:vAlign w:val="center"/>
                </w:tcPr>
                <w:p w14:paraId="50D340DA">
                  <w:pPr>
                    <w:keepNext w:val="0"/>
                    <w:keepLines w:val="0"/>
                    <w:widowControl/>
                    <w:suppressLineNumbers w:val="0"/>
                    <w:topLinePunct w:val="0"/>
                    <w:bidi w:val="0"/>
                    <w:adjustRightInd/>
                    <w:snapToGrid/>
                    <w:jc w:val="center"/>
                    <w:textAlignment w:val="center"/>
                    <w:rPr>
                      <w:rFonts w:hint="default" w:ascii="Times New Roman" w:hAnsi="Times New Roman" w:eastAsia="宋体" w:cs="Times New Roman"/>
                      <w:b w:val="0"/>
                      <w:bCs/>
                      <w:i w:val="0"/>
                      <w:iCs w:val="0"/>
                      <w:color w:val="auto"/>
                      <w:kern w:val="0"/>
                      <w:sz w:val="21"/>
                      <w:szCs w:val="21"/>
                      <w:u w:val="none" w:color="auto"/>
                      <w:lang w:val="en-US" w:eastAsia="zh-CN" w:bidi="ar"/>
                    </w:rPr>
                  </w:pPr>
                  <w:r>
                    <w:rPr>
                      <w:rFonts w:hint="default" w:ascii="Times New Roman" w:hAnsi="Times New Roman" w:eastAsia="宋体" w:cs="Times New Roman"/>
                      <w:b w:val="0"/>
                      <w:bCs/>
                      <w:i w:val="0"/>
                      <w:iCs w:val="0"/>
                      <w:color w:val="auto"/>
                      <w:kern w:val="0"/>
                      <w:sz w:val="21"/>
                      <w:szCs w:val="21"/>
                      <w:u w:val="none" w:color="auto"/>
                      <w:lang w:val="en-US" w:eastAsia="zh-CN" w:bidi="ar"/>
                    </w:rPr>
                    <w:t>废水量</w:t>
                  </w:r>
                </w:p>
              </w:tc>
              <w:tc>
                <w:tcPr>
                  <w:tcW w:w="1580" w:type="pct"/>
                  <w:tcBorders>
                    <w:tl2br w:val="nil"/>
                    <w:tr2bl w:val="nil"/>
                  </w:tcBorders>
                  <w:vAlign w:val="center"/>
                </w:tcPr>
                <w:p w14:paraId="4E2A3E7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140244.128</w:t>
                  </w:r>
                </w:p>
              </w:tc>
            </w:tr>
            <w:tr w14:paraId="6FD7CA2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14" w:type="pct"/>
                  <w:vMerge w:val="continue"/>
                  <w:tcBorders>
                    <w:tl2br w:val="nil"/>
                    <w:tr2bl w:val="nil"/>
                  </w:tcBorders>
                  <w:vAlign w:val="center"/>
                </w:tcPr>
                <w:p w14:paraId="7326FEEA">
                  <w:pPr>
                    <w:widowControl/>
                    <w:jc w:val="center"/>
                    <w:rPr>
                      <w:rFonts w:hint="default" w:ascii="Times New Roman" w:hAnsi="Times New Roman" w:eastAsia="宋体" w:cs="Times New Roman"/>
                      <w:color w:val="auto"/>
                      <w:kern w:val="0"/>
                      <w:sz w:val="21"/>
                      <w:szCs w:val="21"/>
                      <w:highlight w:val="none"/>
                      <w:u w:val="none" w:color="auto"/>
                    </w:rPr>
                  </w:pPr>
                </w:p>
              </w:tc>
              <w:tc>
                <w:tcPr>
                  <w:tcW w:w="2705" w:type="pct"/>
                  <w:gridSpan w:val="2"/>
                  <w:tcBorders>
                    <w:tl2br w:val="nil"/>
                    <w:tr2bl w:val="nil"/>
                  </w:tcBorders>
                  <w:vAlign w:val="center"/>
                </w:tcPr>
                <w:p w14:paraId="4F8E279B">
                  <w:pPr>
                    <w:keepNext w:val="0"/>
                    <w:keepLines w:val="0"/>
                    <w:widowControl/>
                    <w:suppressLineNumbers w:val="0"/>
                    <w:topLinePunct w:val="0"/>
                    <w:bidi w:val="0"/>
                    <w:adjustRightInd/>
                    <w:snapToGrid/>
                    <w:jc w:val="center"/>
                    <w:textAlignment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i w:val="0"/>
                      <w:iCs w:val="0"/>
                      <w:color w:val="auto"/>
                      <w:kern w:val="0"/>
                      <w:sz w:val="21"/>
                      <w:szCs w:val="21"/>
                      <w:highlight w:val="none"/>
                      <w:u w:val="none" w:color="auto"/>
                      <w:lang w:val="en-US" w:eastAsia="zh-CN" w:bidi="ar"/>
                    </w:rPr>
                    <w:t>COD</w:t>
                  </w:r>
                </w:p>
              </w:tc>
              <w:tc>
                <w:tcPr>
                  <w:tcW w:w="1580" w:type="pct"/>
                  <w:tcBorders>
                    <w:tl2br w:val="nil"/>
                    <w:tr2bl w:val="nil"/>
                  </w:tcBorders>
                  <w:vAlign w:val="center"/>
                </w:tcPr>
                <w:p w14:paraId="5A2FEA67">
                  <w:pPr>
                    <w:keepNext w:val="0"/>
                    <w:keepLines w:val="0"/>
                    <w:widowControl/>
                    <w:suppressLineNumbers w:val="0"/>
                    <w:topLinePunct w:val="0"/>
                    <w:bidi w:val="0"/>
                    <w:adjustRightInd/>
                    <w:snapToGrid/>
                    <w:jc w:val="center"/>
                    <w:textAlignment w:val="center"/>
                    <w:rPr>
                      <w:rFonts w:hint="default" w:ascii="Times New Roman" w:hAnsi="Times New Roman" w:eastAsia="宋体" w:cs="Times New Roman"/>
                      <w:i w:val="0"/>
                      <w:iCs w:val="0"/>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7.0122</w:t>
                  </w:r>
                </w:p>
              </w:tc>
            </w:tr>
            <w:tr w14:paraId="3433301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14" w:type="pct"/>
                  <w:vMerge w:val="continue"/>
                  <w:tcBorders>
                    <w:tl2br w:val="nil"/>
                    <w:tr2bl w:val="nil"/>
                  </w:tcBorders>
                  <w:vAlign w:val="center"/>
                </w:tcPr>
                <w:p w14:paraId="3D9FEE8F">
                  <w:pPr>
                    <w:widowControl/>
                    <w:jc w:val="center"/>
                    <w:rPr>
                      <w:rFonts w:hint="default" w:ascii="Times New Roman" w:hAnsi="Times New Roman" w:eastAsia="宋体" w:cs="Times New Roman"/>
                      <w:color w:val="auto"/>
                      <w:kern w:val="0"/>
                      <w:sz w:val="21"/>
                      <w:szCs w:val="21"/>
                      <w:highlight w:val="none"/>
                      <w:u w:val="none" w:color="auto"/>
                    </w:rPr>
                  </w:pPr>
                </w:p>
              </w:tc>
              <w:tc>
                <w:tcPr>
                  <w:tcW w:w="2705" w:type="pct"/>
                  <w:gridSpan w:val="2"/>
                  <w:tcBorders>
                    <w:tl2br w:val="nil"/>
                    <w:tr2bl w:val="nil"/>
                  </w:tcBorders>
                  <w:vAlign w:val="center"/>
                </w:tcPr>
                <w:p w14:paraId="1C97067E">
                  <w:pPr>
                    <w:keepNext w:val="0"/>
                    <w:keepLines w:val="0"/>
                    <w:widowControl/>
                    <w:suppressLineNumbers w:val="0"/>
                    <w:topLinePunct w:val="0"/>
                    <w:bidi w:val="0"/>
                    <w:adjustRightInd/>
                    <w:snapToGrid/>
                    <w:jc w:val="center"/>
                    <w:textAlignment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i w:val="0"/>
                      <w:iCs w:val="0"/>
                      <w:color w:val="auto"/>
                      <w:kern w:val="0"/>
                      <w:sz w:val="21"/>
                      <w:szCs w:val="21"/>
                      <w:highlight w:val="none"/>
                      <w:u w:val="none" w:color="auto"/>
                      <w:lang w:val="en-US" w:eastAsia="zh-CN" w:bidi="ar"/>
                    </w:rPr>
                    <w:t>BOD</w:t>
                  </w:r>
                  <w:r>
                    <w:rPr>
                      <w:rFonts w:hint="default" w:ascii="Times New Roman" w:hAnsi="Times New Roman" w:eastAsia="宋体" w:cs="Times New Roman"/>
                      <w:i w:val="0"/>
                      <w:iCs w:val="0"/>
                      <w:color w:val="auto"/>
                      <w:kern w:val="0"/>
                      <w:sz w:val="21"/>
                      <w:szCs w:val="21"/>
                      <w:highlight w:val="none"/>
                      <w:u w:val="none" w:color="auto"/>
                      <w:vertAlign w:val="subscript"/>
                      <w:lang w:val="en-US" w:eastAsia="zh-CN" w:bidi="ar"/>
                    </w:rPr>
                    <w:t>5</w:t>
                  </w:r>
                </w:p>
              </w:tc>
              <w:tc>
                <w:tcPr>
                  <w:tcW w:w="1580" w:type="pct"/>
                  <w:tcBorders>
                    <w:tl2br w:val="nil"/>
                    <w:tr2bl w:val="nil"/>
                  </w:tcBorders>
                  <w:vAlign w:val="center"/>
                </w:tcPr>
                <w:p w14:paraId="007AFE8E">
                  <w:pPr>
                    <w:keepNext w:val="0"/>
                    <w:keepLines w:val="0"/>
                    <w:widowControl/>
                    <w:suppressLineNumbers w:val="0"/>
                    <w:topLinePunct w:val="0"/>
                    <w:bidi w:val="0"/>
                    <w:adjustRightInd/>
                    <w:snapToGrid/>
                    <w:jc w:val="center"/>
                    <w:textAlignment w:val="center"/>
                    <w:rPr>
                      <w:rFonts w:hint="default" w:ascii="Times New Roman" w:hAnsi="Times New Roman" w:eastAsia="宋体" w:cs="Times New Roman"/>
                      <w:i w:val="0"/>
                      <w:iCs w:val="0"/>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1.4024</w:t>
                  </w:r>
                </w:p>
              </w:tc>
            </w:tr>
            <w:tr w14:paraId="7E8AFFC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14" w:type="pct"/>
                  <w:vMerge w:val="continue"/>
                  <w:tcBorders>
                    <w:tl2br w:val="nil"/>
                    <w:tr2bl w:val="nil"/>
                  </w:tcBorders>
                  <w:vAlign w:val="center"/>
                </w:tcPr>
                <w:p w14:paraId="1C0AA543">
                  <w:pPr>
                    <w:widowControl/>
                    <w:jc w:val="center"/>
                    <w:rPr>
                      <w:rFonts w:hint="default" w:ascii="Times New Roman" w:hAnsi="Times New Roman" w:eastAsia="宋体" w:cs="Times New Roman"/>
                      <w:color w:val="auto"/>
                      <w:kern w:val="0"/>
                      <w:sz w:val="21"/>
                      <w:szCs w:val="21"/>
                      <w:highlight w:val="none"/>
                      <w:u w:val="none" w:color="auto"/>
                    </w:rPr>
                  </w:pPr>
                </w:p>
              </w:tc>
              <w:tc>
                <w:tcPr>
                  <w:tcW w:w="2705" w:type="pct"/>
                  <w:gridSpan w:val="2"/>
                  <w:tcBorders>
                    <w:tl2br w:val="nil"/>
                    <w:tr2bl w:val="nil"/>
                  </w:tcBorders>
                  <w:vAlign w:val="center"/>
                </w:tcPr>
                <w:p w14:paraId="26A4B94D">
                  <w:pPr>
                    <w:keepNext w:val="0"/>
                    <w:keepLines w:val="0"/>
                    <w:widowControl/>
                    <w:suppressLineNumbers w:val="0"/>
                    <w:topLinePunct w:val="0"/>
                    <w:bidi w:val="0"/>
                    <w:adjustRightInd/>
                    <w:snapToGrid/>
                    <w:jc w:val="center"/>
                    <w:textAlignment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i w:val="0"/>
                      <w:iCs w:val="0"/>
                      <w:color w:val="auto"/>
                      <w:kern w:val="0"/>
                      <w:sz w:val="21"/>
                      <w:szCs w:val="21"/>
                      <w:highlight w:val="none"/>
                      <w:u w:val="none" w:color="auto"/>
                      <w:lang w:val="en-US" w:eastAsia="zh-CN" w:bidi="ar"/>
                    </w:rPr>
                    <w:t>SS</w:t>
                  </w:r>
                </w:p>
              </w:tc>
              <w:tc>
                <w:tcPr>
                  <w:tcW w:w="1580" w:type="pct"/>
                  <w:tcBorders>
                    <w:tl2br w:val="nil"/>
                    <w:tr2bl w:val="nil"/>
                  </w:tcBorders>
                  <w:vAlign w:val="center"/>
                </w:tcPr>
                <w:p w14:paraId="13244E6A">
                  <w:pPr>
                    <w:keepNext w:val="0"/>
                    <w:keepLines w:val="0"/>
                    <w:widowControl/>
                    <w:suppressLineNumbers w:val="0"/>
                    <w:topLinePunct w:val="0"/>
                    <w:bidi w:val="0"/>
                    <w:adjustRightInd/>
                    <w:snapToGrid/>
                    <w:jc w:val="center"/>
                    <w:textAlignment w:val="center"/>
                    <w:rPr>
                      <w:rFonts w:hint="default" w:ascii="Times New Roman" w:hAnsi="Times New Roman" w:eastAsia="宋体" w:cs="Times New Roman"/>
                      <w:i w:val="0"/>
                      <w:iCs w:val="0"/>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1.4024</w:t>
                  </w:r>
                </w:p>
              </w:tc>
            </w:tr>
            <w:tr w14:paraId="1DC6B4E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14" w:type="pct"/>
                  <w:vMerge w:val="continue"/>
                  <w:tcBorders>
                    <w:tl2br w:val="nil"/>
                    <w:tr2bl w:val="nil"/>
                  </w:tcBorders>
                  <w:vAlign w:val="center"/>
                </w:tcPr>
                <w:p w14:paraId="6B167B64">
                  <w:pPr>
                    <w:widowControl/>
                    <w:jc w:val="center"/>
                    <w:rPr>
                      <w:rFonts w:hint="default" w:ascii="Times New Roman" w:hAnsi="Times New Roman" w:eastAsia="宋体" w:cs="Times New Roman"/>
                      <w:color w:val="auto"/>
                      <w:kern w:val="0"/>
                      <w:sz w:val="21"/>
                      <w:szCs w:val="21"/>
                      <w:highlight w:val="none"/>
                      <w:u w:val="none" w:color="auto"/>
                    </w:rPr>
                  </w:pPr>
                </w:p>
              </w:tc>
              <w:tc>
                <w:tcPr>
                  <w:tcW w:w="2705" w:type="pct"/>
                  <w:gridSpan w:val="2"/>
                  <w:tcBorders>
                    <w:tl2br w:val="nil"/>
                    <w:tr2bl w:val="nil"/>
                  </w:tcBorders>
                  <w:vAlign w:val="center"/>
                </w:tcPr>
                <w:p w14:paraId="4277AFBB">
                  <w:pPr>
                    <w:keepNext w:val="0"/>
                    <w:keepLines w:val="0"/>
                    <w:widowControl/>
                    <w:suppressLineNumbers w:val="0"/>
                    <w:topLinePunct w:val="0"/>
                    <w:bidi w:val="0"/>
                    <w:adjustRightInd/>
                    <w:snapToGrid/>
                    <w:jc w:val="center"/>
                    <w:textAlignment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i w:val="0"/>
                      <w:iCs w:val="0"/>
                      <w:color w:val="auto"/>
                      <w:kern w:val="0"/>
                      <w:sz w:val="21"/>
                      <w:szCs w:val="21"/>
                      <w:highlight w:val="none"/>
                      <w:u w:val="none" w:color="auto"/>
                      <w:lang w:val="en-US" w:eastAsia="zh-CN" w:bidi="ar"/>
                    </w:rPr>
                    <w:t>氨氮</w:t>
                  </w:r>
                </w:p>
              </w:tc>
              <w:tc>
                <w:tcPr>
                  <w:tcW w:w="1580" w:type="pct"/>
                  <w:tcBorders>
                    <w:tl2br w:val="nil"/>
                    <w:tr2bl w:val="nil"/>
                  </w:tcBorders>
                  <w:vAlign w:val="center"/>
                </w:tcPr>
                <w:p w14:paraId="417A28B6">
                  <w:pPr>
                    <w:keepNext w:val="0"/>
                    <w:keepLines w:val="0"/>
                    <w:widowControl/>
                    <w:suppressLineNumbers w:val="0"/>
                    <w:topLinePunct w:val="0"/>
                    <w:bidi w:val="0"/>
                    <w:adjustRightInd/>
                    <w:snapToGrid/>
                    <w:jc w:val="center"/>
                    <w:textAlignment w:val="center"/>
                    <w:rPr>
                      <w:rFonts w:hint="default" w:ascii="Times New Roman" w:hAnsi="Times New Roman" w:eastAsia="宋体" w:cs="Times New Roman"/>
                      <w:i w:val="0"/>
                      <w:iCs w:val="0"/>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0.7012</w:t>
                  </w:r>
                </w:p>
              </w:tc>
            </w:tr>
            <w:tr w14:paraId="327D12A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14" w:type="pct"/>
                  <w:vMerge w:val="continue"/>
                  <w:tcBorders>
                    <w:tl2br w:val="nil"/>
                    <w:tr2bl w:val="nil"/>
                  </w:tcBorders>
                  <w:vAlign w:val="center"/>
                </w:tcPr>
                <w:p w14:paraId="728DDDCE">
                  <w:pPr>
                    <w:widowControl/>
                    <w:jc w:val="center"/>
                    <w:rPr>
                      <w:rFonts w:hint="default" w:ascii="Times New Roman" w:hAnsi="Times New Roman" w:eastAsia="宋体" w:cs="Times New Roman"/>
                      <w:color w:val="auto"/>
                      <w:kern w:val="0"/>
                      <w:sz w:val="21"/>
                      <w:szCs w:val="21"/>
                      <w:highlight w:val="none"/>
                      <w:u w:val="none" w:color="auto"/>
                    </w:rPr>
                  </w:pPr>
                </w:p>
              </w:tc>
              <w:tc>
                <w:tcPr>
                  <w:tcW w:w="2705" w:type="pct"/>
                  <w:gridSpan w:val="2"/>
                  <w:tcBorders>
                    <w:tl2br w:val="nil"/>
                    <w:tr2bl w:val="nil"/>
                  </w:tcBorders>
                  <w:vAlign w:val="center"/>
                </w:tcPr>
                <w:p w14:paraId="5AA28634">
                  <w:pPr>
                    <w:keepNext w:val="0"/>
                    <w:keepLines w:val="0"/>
                    <w:widowControl/>
                    <w:suppressLineNumbers w:val="0"/>
                    <w:topLinePunct w:val="0"/>
                    <w:bidi w:val="0"/>
                    <w:adjustRightInd/>
                    <w:snapToGrid/>
                    <w:jc w:val="center"/>
                    <w:textAlignment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i w:val="0"/>
                      <w:iCs w:val="0"/>
                      <w:color w:val="auto"/>
                      <w:kern w:val="0"/>
                      <w:sz w:val="21"/>
                      <w:szCs w:val="21"/>
                      <w:highlight w:val="none"/>
                      <w:u w:val="none" w:color="auto"/>
                      <w:lang w:val="en-US" w:eastAsia="zh-CN" w:bidi="ar"/>
                    </w:rPr>
                    <w:t>动植物油类</w:t>
                  </w:r>
                </w:p>
              </w:tc>
              <w:tc>
                <w:tcPr>
                  <w:tcW w:w="1580" w:type="pct"/>
                  <w:tcBorders>
                    <w:tl2br w:val="nil"/>
                    <w:tr2bl w:val="nil"/>
                  </w:tcBorders>
                  <w:vAlign w:val="center"/>
                </w:tcPr>
                <w:p w14:paraId="01F12304">
                  <w:pPr>
                    <w:keepNext w:val="0"/>
                    <w:keepLines w:val="0"/>
                    <w:widowControl/>
                    <w:suppressLineNumbers w:val="0"/>
                    <w:topLinePunct w:val="0"/>
                    <w:bidi w:val="0"/>
                    <w:adjustRightInd/>
                    <w:snapToGrid/>
                    <w:jc w:val="center"/>
                    <w:textAlignment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i w:val="0"/>
                      <w:iCs w:val="0"/>
                      <w:color w:val="auto"/>
                      <w:kern w:val="0"/>
                      <w:sz w:val="21"/>
                      <w:szCs w:val="21"/>
                      <w:highlight w:val="none"/>
                      <w:u w:val="none" w:color="auto"/>
                      <w:lang w:val="en-US" w:eastAsia="zh-CN" w:bidi="ar"/>
                    </w:rPr>
                    <w:t>0.1402</w:t>
                  </w:r>
                </w:p>
              </w:tc>
            </w:tr>
            <w:tr w14:paraId="689ACF2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14" w:type="pct"/>
                  <w:vMerge w:val="continue"/>
                  <w:tcBorders>
                    <w:tl2br w:val="nil"/>
                    <w:tr2bl w:val="nil"/>
                  </w:tcBorders>
                  <w:vAlign w:val="center"/>
                </w:tcPr>
                <w:p w14:paraId="100E34E3">
                  <w:pPr>
                    <w:widowControl/>
                    <w:jc w:val="center"/>
                    <w:rPr>
                      <w:rFonts w:hint="default" w:ascii="Times New Roman" w:hAnsi="Times New Roman" w:eastAsia="宋体" w:cs="Times New Roman"/>
                      <w:color w:val="auto"/>
                      <w:kern w:val="0"/>
                      <w:sz w:val="21"/>
                      <w:szCs w:val="21"/>
                      <w:highlight w:val="none"/>
                      <w:u w:val="none" w:color="auto"/>
                    </w:rPr>
                  </w:pPr>
                </w:p>
              </w:tc>
              <w:tc>
                <w:tcPr>
                  <w:tcW w:w="2705" w:type="pct"/>
                  <w:gridSpan w:val="2"/>
                  <w:tcBorders>
                    <w:tl2br w:val="nil"/>
                    <w:tr2bl w:val="nil"/>
                  </w:tcBorders>
                  <w:vAlign w:val="center"/>
                </w:tcPr>
                <w:p w14:paraId="2D2A9A2A">
                  <w:pPr>
                    <w:keepNext w:val="0"/>
                    <w:keepLines w:val="0"/>
                    <w:widowControl/>
                    <w:suppressLineNumbers w:val="0"/>
                    <w:topLinePunct w:val="0"/>
                    <w:bidi w:val="0"/>
                    <w:adjustRightInd/>
                    <w:snapToGrid/>
                    <w:jc w:val="center"/>
                    <w:textAlignment w:val="center"/>
                    <w:rPr>
                      <w:rFonts w:hint="default" w:ascii="Times New Roman" w:hAnsi="Times New Roman" w:eastAsia="宋体" w:cs="Times New Roman"/>
                      <w:i w:val="0"/>
                      <w:iCs w:val="0"/>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石油类</w:t>
                  </w:r>
                </w:p>
              </w:tc>
              <w:tc>
                <w:tcPr>
                  <w:tcW w:w="1580" w:type="pct"/>
                  <w:tcBorders>
                    <w:tl2br w:val="nil"/>
                    <w:tr2bl w:val="nil"/>
                  </w:tcBorders>
                  <w:vAlign w:val="center"/>
                </w:tcPr>
                <w:p w14:paraId="6A19E937">
                  <w:pPr>
                    <w:keepNext w:val="0"/>
                    <w:keepLines w:val="0"/>
                    <w:widowControl/>
                    <w:suppressLineNumbers w:val="0"/>
                    <w:topLinePunct w:val="0"/>
                    <w:bidi w:val="0"/>
                    <w:adjustRightInd/>
                    <w:snapToGrid/>
                    <w:jc w:val="center"/>
                    <w:textAlignment w:val="center"/>
                    <w:rPr>
                      <w:rFonts w:hint="default" w:ascii="Times New Roman" w:hAnsi="Times New Roman" w:eastAsia="宋体" w:cs="Times New Roman"/>
                      <w:i w:val="0"/>
                      <w:iCs w:val="0"/>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0.1402</w:t>
                  </w:r>
                </w:p>
              </w:tc>
            </w:tr>
            <w:tr w14:paraId="1C594B5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14" w:type="pct"/>
                  <w:vMerge w:val="restart"/>
                  <w:tcBorders>
                    <w:tl2br w:val="nil"/>
                    <w:tr2bl w:val="nil"/>
                  </w:tcBorders>
                  <w:vAlign w:val="center"/>
                </w:tcPr>
                <w:p w14:paraId="7329480C">
                  <w:pPr>
                    <w:widowControl/>
                    <w:jc w:val="center"/>
                    <w:rPr>
                      <w:rFonts w:hint="default" w:ascii="Times New Roman" w:hAnsi="Times New Roman" w:eastAsia="宋体" w:cs="Times New Roman"/>
                      <w:color w:val="auto"/>
                      <w:kern w:val="0"/>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固废</w:t>
                  </w:r>
                </w:p>
              </w:tc>
              <w:tc>
                <w:tcPr>
                  <w:tcW w:w="2705" w:type="pct"/>
                  <w:gridSpan w:val="2"/>
                  <w:tcBorders>
                    <w:tl2br w:val="nil"/>
                    <w:tr2bl w:val="nil"/>
                  </w:tcBorders>
                  <w:vAlign w:val="center"/>
                </w:tcPr>
                <w:p w14:paraId="2AB6901B">
                  <w:pPr>
                    <w:spacing w:line="240" w:lineRule="atLeast"/>
                    <w:jc w:val="center"/>
                    <w:rPr>
                      <w:rFonts w:hint="default" w:ascii="Times New Roman" w:hAnsi="Times New Roman" w:eastAsia="宋体" w:cs="Times New Roman"/>
                      <w:color w:val="auto"/>
                      <w:kern w:val="21"/>
                      <w:sz w:val="21"/>
                      <w:szCs w:val="21"/>
                      <w:u w:val="none" w:color="auto"/>
                      <w:lang w:val="en-US" w:eastAsia="zh-CN" w:bidi="ar-SA"/>
                    </w:rPr>
                  </w:pPr>
                  <w:r>
                    <w:rPr>
                      <w:rFonts w:hint="default" w:ascii="Times New Roman" w:hAnsi="Times New Roman" w:eastAsia="宋体" w:cs="Times New Roman"/>
                      <w:color w:val="auto"/>
                      <w:kern w:val="21"/>
                      <w:szCs w:val="21"/>
                      <w:u w:val="none" w:color="auto"/>
                    </w:rPr>
                    <w:t>生活垃圾</w:t>
                  </w:r>
                </w:p>
              </w:tc>
              <w:tc>
                <w:tcPr>
                  <w:tcW w:w="1580" w:type="pct"/>
                  <w:tcBorders>
                    <w:tl2br w:val="nil"/>
                    <w:tr2bl w:val="nil"/>
                  </w:tcBorders>
                  <w:vAlign w:val="center"/>
                </w:tcPr>
                <w:p w14:paraId="01313B6D">
                  <w:pPr>
                    <w:spacing w:line="240" w:lineRule="atLeast"/>
                    <w:jc w:val="center"/>
                    <w:rPr>
                      <w:rFonts w:hint="default" w:ascii="Times New Roman" w:hAnsi="Times New Roman" w:eastAsia="宋体" w:cs="Times New Roman"/>
                      <w:color w:val="auto"/>
                      <w:kern w:val="21"/>
                      <w:sz w:val="21"/>
                      <w:szCs w:val="21"/>
                      <w:u w:val="none" w:color="auto"/>
                      <w:lang w:val="en-US" w:eastAsia="zh-CN" w:bidi="ar-SA"/>
                    </w:rPr>
                  </w:pPr>
                  <w:r>
                    <w:rPr>
                      <w:rFonts w:hint="default" w:ascii="Times New Roman" w:hAnsi="Times New Roman" w:eastAsia="宋体" w:cs="Times New Roman"/>
                      <w:color w:val="auto"/>
                      <w:kern w:val="21"/>
                      <w:szCs w:val="21"/>
                      <w:u w:val="none" w:color="auto"/>
                    </w:rPr>
                    <w:t>123.9</w:t>
                  </w:r>
                </w:p>
              </w:tc>
            </w:tr>
            <w:tr w14:paraId="25E725A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14" w:type="pct"/>
                  <w:vMerge w:val="continue"/>
                  <w:tcBorders>
                    <w:tl2br w:val="nil"/>
                    <w:tr2bl w:val="nil"/>
                  </w:tcBorders>
                </w:tcPr>
                <w:p w14:paraId="3987DA21">
                  <w:pPr>
                    <w:widowControl/>
                    <w:jc w:val="center"/>
                    <w:rPr>
                      <w:rFonts w:hint="default" w:ascii="Times New Roman" w:hAnsi="Times New Roman" w:eastAsia="宋体" w:cs="Times New Roman"/>
                      <w:color w:val="auto"/>
                      <w:kern w:val="0"/>
                      <w:sz w:val="21"/>
                      <w:szCs w:val="21"/>
                      <w:highlight w:val="none"/>
                      <w:u w:val="none" w:color="auto"/>
                    </w:rPr>
                  </w:pPr>
                </w:p>
              </w:tc>
              <w:tc>
                <w:tcPr>
                  <w:tcW w:w="2705" w:type="pct"/>
                  <w:gridSpan w:val="2"/>
                  <w:tcBorders>
                    <w:tl2br w:val="nil"/>
                    <w:tr2bl w:val="nil"/>
                  </w:tcBorders>
                  <w:vAlign w:val="center"/>
                </w:tcPr>
                <w:p w14:paraId="2A154B07">
                  <w:pPr>
                    <w:spacing w:line="240" w:lineRule="atLeast"/>
                    <w:jc w:val="center"/>
                    <w:rPr>
                      <w:rFonts w:hint="default" w:ascii="Times New Roman" w:hAnsi="Times New Roman" w:eastAsia="宋体" w:cs="Times New Roman"/>
                      <w:color w:val="auto"/>
                      <w:kern w:val="21"/>
                      <w:sz w:val="21"/>
                      <w:szCs w:val="21"/>
                      <w:u w:val="none" w:color="auto"/>
                      <w:lang w:val="en-US" w:eastAsia="zh-CN" w:bidi="ar-SA"/>
                    </w:rPr>
                  </w:pPr>
                  <w:r>
                    <w:rPr>
                      <w:rFonts w:hint="default" w:ascii="Times New Roman" w:hAnsi="Times New Roman" w:eastAsia="宋体" w:cs="Times New Roman"/>
                      <w:color w:val="auto"/>
                      <w:kern w:val="21"/>
                      <w:szCs w:val="21"/>
                      <w:u w:val="none" w:color="auto"/>
                      <w:lang w:eastAsia="zh-CN"/>
                    </w:rPr>
                    <w:t>废矿物油、乳液桶、含油抹布</w:t>
                  </w:r>
                </w:p>
              </w:tc>
              <w:tc>
                <w:tcPr>
                  <w:tcW w:w="1580" w:type="pct"/>
                  <w:tcBorders>
                    <w:tl2br w:val="nil"/>
                    <w:tr2bl w:val="nil"/>
                  </w:tcBorders>
                  <w:vAlign w:val="center"/>
                </w:tcPr>
                <w:p w14:paraId="281481DB">
                  <w:pPr>
                    <w:spacing w:line="240" w:lineRule="atLeast"/>
                    <w:jc w:val="center"/>
                    <w:rPr>
                      <w:rFonts w:hint="default" w:ascii="Times New Roman" w:hAnsi="Times New Roman" w:eastAsia="宋体" w:cs="Times New Roman"/>
                      <w:color w:val="auto"/>
                      <w:kern w:val="21"/>
                      <w:sz w:val="21"/>
                      <w:szCs w:val="21"/>
                      <w:u w:val="none" w:color="auto"/>
                      <w:lang w:val="en-US" w:eastAsia="zh-CN" w:bidi="ar-SA"/>
                    </w:rPr>
                  </w:pPr>
                  <w:r>
                    <w:rPr>
                      <w:rFonts w:hint="default" w:ascii="Times New Roman" w:hAnsi="Times New Roman" w:eastAsia="宋体" w:cs="Times New Roman"/>
                      <w:color w:val="auto"/>
                      <w:kern w:val="21"/>
                      <w:szCs w:val="21"/>
                      <w:u w:val="none" w:color="auto"/>
                      <w:lang w:val="en-US" w:eastAsia="zh-CN"/>
                    </w:rPr>
                    <w:t>2.06</w:t>
                  </w:r>
                </w:p>
              </w:tc>
            </w:tr>
            <w:tr w14:paraId="1E974AD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14" w:type="pct"/>
                  <w:vMerge w:val="continue"/>
                  <w:tcBorders>
                    <w:tl2br w:val="nil"/>
                    <w:tr2bl w:val="nil"/>
                  </w:tcBorders>
                </w:tcPr>
                <w:p w14:paraId="5A11B572">
                  <w:pPr>
                    <w:widowControl/>
                    <w:jc w:val="center"/>
                    <w:rPr>
                      <w:rFonts w:hint="default" w:ascii="Times New Roman" w:hAnsi="Times New Roman" w:eastAsia="宋体" w:cs="Times New Roman"/>
                      <w:color w:val="auto"/>
                      <w:kern w:val="0"/>
                      <w:sz w:val="21"/>
                      <w:szCs w:val="21"/>
                      <w:highlight w:val="none"/>
                      <w:u w:val="none" w:color="auto"/>
                    </w:rPr>
                  </w:pPr>
                </w:p>
              </w:tc>
              <w:tc>
                <w:tcPr>
                  <w:tcW w:w="2705" w:type="pct"/>
                  <w:gridSpan w:val="2"/>
                  <w:tcBorders>
                    <w:tl2br w:val="nil"/>
                    <w:tr2bl w:val="nil"/>
                  </w:tcBorders>
                  <w:vAlign w:val="center"/>
                </w:tcPr>
                <w:p w14:paraId="1F7233DC">
                  <w:pPr>
                    <w:spacing w:line="240" w:lineRule="atLeast"/>
                    <w:jc w:val="center"/>
                    <w:rPr>
                      <w:rFonts w:hint="default" w:ascii="Times New Roman" w:hAnsi="Times New Roman" w:eastAsia="宋体" w:cs="Times New Roman"/>
                      <w:color w:val="auto"/>
                      <w:kern w:val="21"/>
                      <w:sz w:val="21"/>
                      <w:szCs w:val="21"/>
                      <w:u w:val="none" w:color="auto"/>
                      <w:lang w:val="en-US" w:eastAsia="zh-CN" w:bidi="ar-SA"/>
                    </w:rPr>
                  </w:pPr>
                  <w:r>
                    <w:rPr>
                      <w:rFonts w:hint="default" w:ascii="Times New Roman" w:hAnsi="Times New Roman" w:eastAsia="宋体" w:cs="Times New Roman"/>
                      <w:color w:val="auto"/>
                      <w:kern w:val="21"/>
                      <w:szCs w:val="21"/>
                      <w:u w:val="none" w:color="auto"/>
                    </w:rPr>
                    <w:t>废矿物油</w:t>
                  </w:r>
                </w:p>
              </w:tc>
              <w:tc>
                <w:tcPr>
                  <w:tcW w:w="1580" w:type="pct"/>
                  <w:tcBorders>
                    <w:tl2br w:val="nil"/>
                    <w:tr2bl w:val="nil"/>
                  </w:tcBorders>
                  <w:vAlign w:val="center"/>
                </w:tcPr>
                <w:p w14:paraId="6807221E">
                  <w:pPr>
                    <w:spacing w:line="240" w:lineRule="atLeast"/>
                    <w:jc w:val="center"/>
                    <w:rPr>
                      <w:rFonts w:hint="default" w:ascii="Times New Roman" w:hAnsi="Times New Roman" w:eastAsia="宋体" w:cs="Times New Roman"/>
                      <w:color w:val="auto"/>
                      <w:kern w:val="21"/>
                      <w:sz w:val="21"/>
                      <w:szCs w:val="21"/>
                      <w:u w:val="none" w:color="auto"/>
                      <w:lang w:val="en-US" w:eastAsia="zh-CN" w:bidi="ar-SA"/>
                    </w:rPr>
                  </w:pPr>
                  <w:r>
                    <w:rPr>
                      <w:rFonts w:hint="default" w:ascii="Times New Roman" w:hAnsi="Times New Roman" w:eastAsia="宋体" w:cs="Times New Roman"/>
                      <w:color w:val="auto"/>
                      <w:kern w:val="21"/>
                      <w:szCs w:val="21"/>
                      <w:u w:val="none" w:color="auto"/>
                      <w:lang w:val="en-US" w:eastAsia="zh-CN"/>
                    </w:rPr>
                    <w:t>24.69</w:t>
                  </w:r>
                </w:p>
              </w:tc>
            </w:tr>
            <w:tr w14:paraId="76EC2DA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14" w:type="pct"/>
                  <w:vMerge w:val="continue"/>
                  <w:tcBorders>
                    <w:tl2br w:val="nil"/>
                    <w:tr2bl w:val="nil"/>
                  </w:tcBorders>
                </w:tcPr>
                <w:p w14:paraId="624E78CD">
                  <w:pPr>
                    <w:widowControl/>
                    <w:jc w:val="center"/>
                    <w:rPr>
                      <w:rFonts w:hint="default" w:ascii="Times New Roman" w:hAnsi="Times New Roman" w:eastAsia="宋体" w:cs="Times New Roman"/>
                      <w:color w:val="auto"/>
                      <w:kern w:val="0"/>
                      <w:sz w:val="21"/>
                      <w:szCs w:val="21"/>
                      <w:highlight w:val="none"/>
                      <w:u w:val="none" w:color="auto"/>
                    </w:rPr>
                  </w:pPr>
                </w:p>
              </w:tc>
              <w:tc>
                <w:tcPr>
                  <w:tcW w:w="2705" w:type="pct"/>
                  <w:gridSpan w:val="2"/>
                  <w:tcBorders>
                    <w:tl2br w:val="nil"/>
                    <w:tr2bl w:val="nil"/>
                  </w:tcBorders>
                  <w:vAlign w:val="center"/>
                </w:tcPr>
                <w:p w14:paraId="0496633E">
                  <w:pPr>
                    <w:spacing w:line="240" w:lineRule="atLeast"/>
                    <w:jc w:val="center"/>
                    <w:rPr>
                      <w:rFonts w:hint="default" w:ascii="Times New Roman" w:hAnsi="Times New Roman" w:eastAsia="宋体" w:cs="Times New Roman"/>
                      <w:color w:val="auto"/>
                      <w:kern w:val="21"/>
                      <w:sz w:val="21"/>
                      <w:szCs w:val="21"/>
                      <w:u w:val="none" w:color="auto"/>
                      <w:lang w:val="en-US" w:eastAsia="zh-CN" w:bidi="ar-SA"/>
                    </w:rPr>
                  </w:pPr>
                  <w:r>
                    <w:rPr>
                      <w:rFonts w:hint="default" w:ascii="Times New Roman" w:hAnsi="Times New Roman" w:eastAsia="宋体" w:cs="Times New Roman"/>
                      <w:color w:val="auto"/>
                      <w:kern w:val="21"/>
                      <w:szCs w:val="21"/>
                      <w:u w:val="none" w:color="auto"/>
                    </w:rPr>
                    <w:t>废乳液</w:t>
                  </w:r>
                </w:p>
              </w:tc>
              <w:tc>
                <w:tcPr>
                  <w:tcW w:w="1580" w:type="pct"/>
                  <w:tcBorders>
                    <w:tl2br w:val="nil"/>
                    <w:tr2bl w:val="nil"/>
                  </w:tcBorders>
                  <w:vAlign w:val="center"/>
                </w:tcPr>
                <w:p w14:paraId="5AB845C3">
                  <w:pPr>
                    <w:spacing w:line="240" w:lineRule="atLeast"/>
                    <w:jc w:val="center"/>
                    <w:rPr>
                      <w:rFonts w:hint="default" w:ascii="Times New Roman" w:hAnsi="Times New Roman" w:eastAsia="宋体" w:cs="Times New Roman"/>
                      <w:color w:val="auto"/>
                      <w:kern w:val="21"/>
                      <w:sz w:val="21"/>
                      <w:szCs w:val="21"/>
                      <w:u w:val="none" w:color="auto"/>
                      <w:lang w:val="en-US" w:eastAsia="zh-CN" w:bidi="ar-SA"/>
                    </w:rPr>
                  </w:pPr>
                  <w:r>
                    <w:rPr>
                      <w:rFonts w:hint="default" w:ascii="Times New Roman" w:hAnsi="Times New Roman" w:eastAsia="宋体" w:cs="Times New Roman"/>
                      <w:color w:val="auto"/>
                      <w:kern w:val="21"/>
                      <w:szCs w:val="21"/>
                      <w:u w:val="none" w:color="auto"/>
                      <w:lang w:val="en-US" w:eastAsia="zh-CN"/>
                    </w:rPr>
                    <w:t>4.197</w:t>
                  </w:r>
                </w:p>
              </w:tc>
            </w:tr>
            <w:tr w14:paraId="3E62ADB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14" w:type="pct"/>
                  <w:vMerge w:val="continue"/>
                  <w:tcBorders>
                    <w:tl2br w:val="nil"/>
                    <w:tr2bl w:val="nil"/>
                  </w:tcBorders>
                </w:tcPr>
                <w:p w14:paraId="2ED7FBA6">
                  <w:pPr>
                    <w:widowControl/>
                    <w:jc w:val="center"/>
                    <w:rPr>
                      <w:rFonts w:hint="default" w:ascii="Times New Roman" w:hAnsi="Times New Roman" w:eastAsia="宋体" w:cs="Times New Roman"/>
                      <w:color w:val="auto"/>
                      <w:kern w:val="0"/>
                      <w:sz w:val="21"/>
                      <w:szCs w:val="21"/>
                      <w:highlight w:val="none"/>
                      <w:u w:val="none" w:color="auto"/>
                    </w:rPr>
                  </w:pPr>
                </w:p>
              </w:tc>
              <w:tc>
                <w:tcPr>
                  <w:tcW w:w="2705" w:type="pct"/>
                  <w:gridSpan w:val="2"/>
                  <w:tcBorders>
                    <w:tl2br w:val="nil"/>
                    <w:tr2bl w:val="nil"/>
                  </w:tcBorders>
                  <w:vAlign w:val="center"/>
                </w:tcPr>
                <w:p w14:paraId="6AED05A1">
                  <w:pPr>
                    <w:spacing w:line="240" w:lineRule="atLeast"/>
                    <w:jc w:val="center"/>
                    <w:rPr>
                      <w:rFonts w:hint="default" w:ascii="Times New Roman" w:hAnsi="Times New Roman" w:eastAsia="宋体" w:cs="Times New Roman"/>
                      <w:color w:val="auto"/>
                      <w:kern w:val="21"/>
                      <w:sz w:val="21"/>
                      <w:szCs w:val="21"/>
                      <w:u w:val="none" w:color="auto"/>
                      <w:lang w:val="en-US" w:eastAsia="zh-CN" w:bidi="ar-SA"/>
                    </w:rPr>
                  </w:pPr>
                  <w:r>
                    <w:rPr>
                      <w:rFonts w:hint="default" w:ascii="Times New Roman" w:hAnsi="Times New Roman" w:eastAsia="宋体" w:cs="Times New Roman"/>
                      <w:color w:val="auto"/>
                      <w:kern w:val="21"/>
                      <w:szCs w:val="21"/>
                      <w:u w:val="none" w:color="auto"/>
                      <w:lang w:eastAsia="zh-CN"/>
                    </w:rPr>
                    <w:t>含油</w:t>
                  </w:r>
                  <w:r>
                    <w:rPr>
                      <w:rFonts w:hint="default" w:ascii="Times New Roman" w:hAnsi="Times New Roman" w:eastAsia="宋体" w:cs="Times New Roman"/>
                      <w:color w:val="auto"/>
                      <w:kern w:val="21"/>
                      <w:szCs w:val="21"/>
                      <w:u w:val="none" w:color="auto"/>
                    </w:rPr>
                    <w:t>浮渣和污泥</w:t>
                  </w:r>
                </w:p>
              </w:tc>
              <w:tc>
                <w:tcPr>
                  <w:tcW w:w="1580" w:type="pct"/>
                  <w:tcBorders>
                    <w:tl2br w:val="nil"/>
                    <w:tr2bl w:val="nil"/>
                  </w:tcBorders>
                  <w:vAlign w:val="center"/>
                </w:tcPr>
                <w:p w14:paraId="0EC94EB8">
                  <w:pPr>
                    <w:spacing w:line="240" w:lineRule="atLeast"/>
                    <w:jc w:val="center"/>
                    <w:rPr>
                      <w:rFonts w:hint="default" w:ascii="Times New Roman" w:hAnsi="Times New Roman" w:eastAsia="宋体" w:cs="Times New Roman"/>
                      <w:color w:val="auto"/>
                      <w:kern w:val="21"/>
                      <w:sz w:val="21"/>
                      <w:szCs w:val="21"/>
                      <w:u w:val="none" w:color="auto"/>
                      <w:lang w:val="en-US" w:eastAsia="zh-CN" w:bidi="ar-SA"/>
                    </w:rPr>
                  </w:pPr>
                  <w:r>
                    <w:rPr>
                      <w:rFonts w:hint="default" w:ascii="Times New Roman" w:hAnsi="Times New Roman" w:eastAsia="宋体" w:cs="Times New Roman"/>
                      <w:color w:val="auto"/>
                      <w:kern w:val="21"/>
                      <w:szCs w:val="21"/>
                      <w:u w:val="none" w:color="auto"/>
                      <w:lang w:val="en-US" w:eastAsia="zh-CN"/>
                    </w:rPr>
                    <w:t>91.7568（含水率60%）</w:t>
                  </w:r>
                </w:p>
              </w:tc>
            </w:tr>
            <w:tr w14:paraId="77FFA3B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14" w:type="pct"/>
                  <w:vMerge w:val="continue"/>
                  <w:tcBorders>
                    <w:tl2br w:val="nil"/>
                    <w:tr2bl w:val="nil"/>
                  </w:tcBorders>
                </w:tcPr>
                <w:p w14:paraId="194C7A9E">
                  <w:pPr>
                    <w:widowControl/>
                    <w:jc w:val="center"/>
                    <w:rPr>
                      <w:rFonts w:hint="default" w:ascii="Times New Roman" w:hAnsi="Times New Roman" w:eastAsia="宋体" w:cs="Times New Roman"/>
                      <w:color w:val="auto"/>
                      <w:kern w:val="0"/>
                      <w:sz w:val="21"/>
                      <w:szCs w:val="21"/>
                      <w:highlight w:val="none"/>
                      <w:u w:val="none" w:color="auto"/>
                    </w:rPr>
                  </w:pPr>
                </w:p>
              </w:tc>
              <w:tc>
                <w:tcPr>
                  <w:tcW w:w="2705" w:type="pct"/>
                  <w:gridSpan w:val="2"/>
                  <w:tcBorders>
                    <w:tl2br w:val="nil"/>
                    <w:tr2bl w:val="nil"/>
                  </w:tcBorders>
                  <w:vAlign w:val="center"/>
                </w:tcPr>
                <w:p w14:paraId="6262E3BA">
                  <w:pPr>
                    <w:spacing w:line="240" w:lineRule="atLeast"/>
                    <w:jc w:val="center"/>
                    <w:rPr>
                      <w:rFonts w:hint="default" w:ascii="Times New Roman" w:hAnsi="Times New Roman" w:eastAsia="宋体" w:cs="Times New Roman"/>
                      <w:color w:val="auto"/>
                      <w:kern w:val="21"/>
                      <w:sz w:val="21"/>
                      <w:szCs w:val="21"/>
                      <w:u w:val="none" w:color="auto"/>
                      <w:lang w:val="en-US" w:eastAsia="zh-CN" w:bidi="ar-SA"/>
                    </w:rPr>
                  </w:pPr>
                  <w:r>
                    <w:rPr>
                      <w:rFonts w:hint="default" w:ascii="Times New Roman" w:hAnsi="Times New Roman" w:eastAsia="宋体" w:cs="Times New Roman"/>
                      <w:color w:val="auto"/>
                      <w:kern w:val="21"/>
                      <w:szCs w:val="21"/>
                      <w:u w:val="none" w:color="auto"/>
                    </w:rPr>
                    <w:t>浮油</w:t>
                  </w:r>
                </w:p>
              </w:tc>
              <w:tc>
                <w:tcPr>
                  <w:tcW w:w="1580" w:type="pct"/>
                  <w:tcBorders>
                    <w:tl2br w:val="nil"/>
                    <w:tr2bl w:val="nil"/>
                  </w:tcBorders>
                  <w:vAlign w:val="center"/>
                </w:tcPr>
                <w:p w14:paraId="01FDA1A0">
                  <w:pPr>
                    <w:spacing w:line="240" w:lineRule="atLeast"/>
                    <w:jc w:val="center"/>
                    <w:rPr>
                      <w:rFonts w:hint="default" w:ascii="Times New Roman" w:hAnsi="Times New Roman" w:eastAsia="宋体" w:cs="Times New Roman"/>
                      <w:color w:val="auto"/>
                      <w:kern w:val="21"/>
                      <w:sz w:val="21"/>
                      <w:szCs w:val="21"/>
                      <w:u w:val="none" w:color="auto"/>
                      <w:lang w:val="en-US" w:eastAsia="zh-CN" w:bidi="ar-SA"/>
                    </w:rPr>
                  </w:pPr>
                  <w:r>
                    <w:rPr>
                      <w:rFonts w:hint="default" w:ascii="Times New Roman" w:hAnsi="Times New Roman" w:eastAsia="宋体" w:cs="Times New Roman"/>
                      <w:color w:val="auto"/>
                      <w:kern w:val="21"/>
                      <w:szCs w:val="21"/>
                      <w:u w:val="none" w:color="auto"/>
                      <w:lang w:val="en-US" w:eastAsia="zh-CN"/>
                    </w:rPr>
                    <w:t>4.1111</w:t>
                  </w:r>
                </w:p>
              </w:tc>
            </w:tr>
            <w:tr w14:paraId="08504C7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14" w:type="pct"/>
                  <w:vMerge w:val="continue"/>
                  <w:tcBorders>
                    <w:tl2br w:val="nil"/>
                    <w:tr2bl w:val="nil"/>
                  </w:tcBorders>
                </w:tcPr>
                <w:p w14:paraId="69EEEEB2">
                  <w:pPr>
                    <w:widowControl/>
                    <w:jc w:val="center"/>
                    <w:rPr>
                      <w:rFonts w:hint="default" w:ascii="Times New Roman" w:hAnsi="Times New Roman" w:eastAsia="宋体" w:cs="Times New Roman"/>
                      <w:color w:val="auto"/>
                      <w:kern w:val="0"/>
                      <w:sz w:val="21"/>
                      <w:szCs w:val="21"/>
                      <w:highlight w:val="none"/>
                      <w:u w:val="none" w:color="auto"/>
                    </w:rPr>
                  </w:pPr>
                </w:p>
              </w:tc>
              <w:tc>
                <w:tcPr>
                  <w:tcW w:w="1038" w:type="pct"/>
                  <w:vMerge w:val="restart"/>
                  <w:tcBorders>
                    <w:tl2br w:val="nil"/>
                    <w:tr2bl w:val="nil"/>
                  </w:tcBorders>
                  <w:vAlign w:val="center"/>
                </w:tcPr>
                <w:p w14:paraId="52685B0D">
                  <w:pPr>
                    <w:spacing w:line="240" w:lineRule="atLeast"/>
                    <w:jc w:val="center"/>
                    <w:rPr>
                      <w:rFonts w:hint="default" w:ascii="Times New Roman" w:hAnsi="Times New Roman" w:eastAsia="宋体" w:cs="Times New Roman"/>
                      <w:color w:val="auto"/>
                      <w:kern w:val="21"/>
                      <w:sz w:val="21"/>
                      <w:szCs w:val="21"/>
                      <w:u w:val="none" w:color="auto"/>
                      <w:lang w:val="en-US" w:eastAsia="zh-CN" w:bidi="ar-SA"/>
                    </w:rPr>
                  </w:pPr>
                  <w:r>
                    <w:rPr>
                      <w:rFonts w:hint="default" w:ascii="Times New Roman" w:hAnsi="Times New Roman" w:eastAsia="宋体" w:cs="Times New Roman"/>
                      <w:color w:val="auto"/>
                      <w:kern w:val="21"/>
                      <w:szCs w:val="21"/>
                      <w:u w:val="none" w:color="auto"/>
                      <w:lang w:eastAsia="zh-CN"/>
                    </w:rPr>
                    <w:t>灰渣、残渣</w:t>
                  </w:r>
                </w:p>
              </w:tc>
              <w:tc>
                <w:tcPr>
                  <w:tcW w:w="1667" w:type="pct"/>
                  <w:tcBorders>
                    <w:tl2br w:val="nil"/>
                    <w:tr2bl w:val="nil"/>
                  </w:tcBorders>
                  <w:vAlign w:val="center"/>
                </w:tcPr>
                <w:p w14:paraId="2FE4A93C">
                  <w:pPr>
                    <w:spacing w:line="240" w:lineRule="atLeast"/>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u w:val="none" w:color="auto"/>
                    </w:rPr>
                    <w:t>浊循环过滤残渣</w:t>
                  </w:r>
                </w:p>
              </w:tc>
              <w:tc>
                <w:tcPr>
                  <w:tcW w:w="1580" w:type="pct"/>
                  <w:tcBorders>
                    <w:tl2br w:val="nil"/>
                    <w:tr2bl w:val="nil"/>
                  </w:tcBorders>
                  <w:vAlign w:val="center"/>
                </w:tcPr>
                <w:p w14:paraId="43573F66">
                  <w:pPr>
                    <w:spacing w:line="240" w:lineRule="atLeast"/>
                    <w:jc w:val="center"/>
                    <w:rPr>
                      <w:rFonts w:hint="default" w:ascii="Times New Roman" w:hAnsi="Times New Roman" w:eastAsia="宋体" w:cs="Times New Roman"/>
                      <w:color w:val="auto"/>
                      <w:kern w:val="21"/>
                      <w:sz w:val="21"/>
                      <w:szCs w:val="21"/>
                      <w:u w:val="none" w:color="auto"/>
                      <w:lang w:val="en-US" w:eastAsia="zh-CN" w:bidi="ar-SA"/>
                    </w:rPr>
                  </w:pPr>
                  <w:r>
                    <w:rPr>
                      <w:rFonts w:hint="default" w:ascii="Times New Roman" w:hAnsi="Times New Roman" w:eastAsia="宋体" w:cs="Times New Roman"/>
                      <w:color w:val="auto"/>
                      <w:kern w:val="21"/>
                      <w:szCs w:val="21"/>
                      <w:u w:val="none" w:color="auto"/>
                      <w:lang w:val="en-US" w:eastAsia="zh-CN"/>
                    </w:rPr>
                    <w:t>0.3389</w:t>
                  </w:r>
                </w:p>
              </w:tc>
            </w:tr>
            <w:tr w14:paraId="3426B5C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14" w:type="pct"/>
                  <w:vMerge w:val="continue"/>
                  <w:tcBorders>
                    <w:tl2br w:val="nil"/>
                    <w:tr2bl w:val="nil"/>
                  </w:tcBorders>
                </w:tcPr>
                <w:p w14:paraId="34B7FB70">
                  <w:pPr>
                    <w:widowControl/>
                    <w:jc w:val="center"/>
                    <w:rPr>
                      <w:rFonts w:hint="default" w:ascii="Times New Roman" w:hAnsi="Times New Roman" w:eastAsia="宋体" w:cs="Times New Roman"/>
                      <w:color w:val="auto"/>
                      <w:kern w:val="0"/>
                      <w:sz w:val="21"/>
                      <w:szCs w:val="21"/>
                      <w:highlight w:val="none"/>
                      <w:u w:val="none" w:color="auto"/>
                    </w:rPr>
                  </w:pPr>
                </w:p>
              </w:tc>
              <w:tc>
                <w:tcPr>
                  <w:tcW w:w="1038" w:type="pct"/>
                  <w:vMerge w:val="continue"/>
                  <w:tcBorders>
                    <w:tl2br w:val="nil"/>
                    <w:tr2bl w:val="nil"/>
                  </w:tcBorders>
                </w:tcPr>
                <w:p w14:paraId="0568361B">
                  <w:pPr>
                    <w:pStyle w:val="94"/>
                    <w:adjustRightInd w:val="0"/>
                    <w:snapToGrid w:val="0"/>
                    <w:spacing w:line="240" w:lineRule="auto"/>
                    <w:rPr>
                      <w:rFonts w:hint="default" w:ascii="Times New Roman" w:hAnsi="Times New Roman" w:eastAsia="宋体" w:cs="Times New Roman"/>
                      <w:color w:val="auto"/>
                      <w:sz w:val="21"/>
                      <w:szCs w:val="21"/>
                      <w:highlight w:val="none"/>
                      <w:u w:val="none" w:color="auto"/>
                    </w:rPr>
                  </w:pPr>
                </w:p>
              </w:tc>
              <w:tc>
                <w:tcPr>
                  <w:tcW w:w="1667" w:type="pct"/>
                  <w:tcBorders>
                    <w:tl2br w:val="nil"/>
                    <w:tr2bl w:val="nil"/>
                  </w:tcBorders>
                  <w:vAlign w:val="center"/>
                </w:tcPr>
                <w:p w14:paraId="6157997F">
                  <w:pPr>
                    <w:spacing w:line="240" w:lineRule="atLeast"/>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Cs w:val="21"/>
                      <w:u w:val="none" w:color="auto"/>
                      <w:lang w:eastAsia="zh-CN"/>
                    </w:rPr>
                    <w:t>铝灰渣及二次铝灰渣</w:t>
                  </w:r>
                </w:p>
              </w:tc>
              <w:tc>
                <w:tcPr>
                  <w:tcW w:w="1580" w:type="pct"/>
                  <w:tcBorders>
                    <w:tl2br w:val="nil"/>
                    <w:tr2bl w:val="nil"/>
                  </w:tcBorders>
                  <w:vAlign w:val="center"/>
                </w:tcPr>
                <w:p w14:paraId="132FAAA8">
                  <w:pPr>
                    <w:spacing w:line="240" w:lineRule="atLeast"/>
                    <w:jc w:val="center"/>
                    <w:rPr>
                      <w:rFonts w:hint="default" w:ascii="Times New Roman" w:hAnsi="Times New Roman" w:eastAsia="宋体" w:cs="Times New Roman"/>
                      <w:color w:val="auto"/>
                      <w:kern w:val="21"/>
                      <w:sz w:val="21"/>
                      <w:szCs w:val="21"/>
                      <w:u w:val="none" w:color="auto"/>
                      <w:lang w:val="en-US" w:eastAsia="zh-CN" w:bidi="ar-SA"/>
                    </w:rPr>
                  </w:pPr>
                  <w:r>
                    <w:rPr>
                      <w:rFonts w:hint="default" w:ascii="Times New Roman" w:hAnsi="Times New Roman" w:eastAsia="宋体" w:cs="Times New Roman"/>
                      <w:color w:val="auto"/>
                      <w:kern w:val="21"/>
                      <w:szCs w:val="21"/>
                      <w:u w:val="none" w:color="auto"/>
                      <w:lang w:val="en-US" w:eastAsia="zh-CN"/>
                    </w:rPr>
                    <w:t>734.3748</w:t>
                  </w:r>
                </w:p>
              </w:tc>
            </w:tr>
            <w:tr w14:paraId="2A17840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14" w:type="pct"/>
                  <w:vMerge w:val="continue"/>
                  <w:tcBorders>
                    <w:tl2br w:val="nil"/>
                    <w:tr2bl w:val="nil"/>
                  </w:tcBorders>
                </w:tcPr>
                <w:p w14:paraId="444BA3E9">
                  <w:pPr>
                    <w:widowControl/>
                    <w:jc w:val="center"/>
                    <w:rPr>
                      <w:rFonts w:hint="default" w:ascii="Times New Roman" w:hAnsi="Times New Roman" w:eastAsia="宋体" w:cs="Times New Roman"/>
                      <w:color w:val="auto"/>
                      <w:kern w:val="0"/>
                      <w:sz w:val="21"/>
                      <w:szCs w:val="21"/>
                      <w:highlight w:val="none"/>
                      <w:u w:val="none" w:color="auto"/>
                    </w:rPr>
                  </w:pPr>
                </w:p>
              </w:tc>
              <w:tc>
                <w:tcPr>
                  <w:tcW w:w="2705" w:type="pct"/>
                  <w:gridSpan w:val="2"/>
                  <w:tcBorders>
                    <w:tl2br w:val="nil"/>
                    <w:tr2bl w:val="nil"/>
                  </w:tcBorders>
                  <w:vAlign w:val="center"/>
                </w:tcPr>
                <w:p w14:paraId="1501722C">
                  <w:pPr>
                    <w:spacing w:line="240" w:lineRule="atLeast"/>
                    <w:jc w:val="center"/>
                    <w:rPr>
                      <w:rFonts w:hint="default" w:ascii="Times New Roman" w:hAnsi="Times New Roman" w:eastAsia="宋体" w:cs="Times New Roman"/>
                      <w:color w:val="auto"/>
                      <w:kern w:val="21"/>
                      <w:sz w:val="21"/>
                      <w:szCs w:val="21"/>
                      <w:u w:val="none" w:color="auto"/>
                      <w:lang w:val="en-US" w:eastAsia="zh-CN" w:bidi="ar-SA"/>
                    </w:rPr>
                  </w:pPr>
                  <w:r>
                    <w:rPr>
                      <w:rFonts w:hint="default" w:ascii="Times New Roman" w:hAnsi="Times New Roman" w:eastAsia="宋体" w:cs="Times New Roman"/>
                      <w:color w:val="auto"/>
                      <w:kern w:val="21"/>
                      <w:szCs w:val="21"/>
                      <w:u w:val="none" w:color="auto"/>
                      <w:lang w:eastAsia="zh-CN"/>
                    </w:rPr>
                    <w:t>蚀洗槽铝残渣</w:t>
                  </w:r>
                </w:p>
              </w:tc>
              <w:tc>
                <w:tcPr>
                  <w:tcW w:w="1580" w:type="pct"/>
                  <w:tcBorders>
                    <w:tl2br w:val="nil"/>
                    <w:tr2bl w:val="nil"/>
                  </w:tcBorders>
                  <w:vAlign w:val="center"/>
                </w:tcPr>
                <w:p w14:paraId="2C2E12C8">
                  <w:pPr>
                    <w:spacing w:line="240" w:lineRule="atLeast"/>
                    <w:jc w:val="center"/>
                    <w:rPr>
                      <w:rFonts w:hint="default" w:ascii="Times New Roman" w:hAnsi="Times New Roman" w:eastAsia="宋体" w:cs="Times New Roman"/>
                      <w:color w:val="auto"/>
                      <w:kern w:val="21"/>
                      <w:sz w:val="21"/>
                      <w:szCs w:val="21"/>
                      <w:u w:val="none" w:color="auto"/>
                      <w:lang w:val="en-US" w:eastAsia="zh-CN" w:bidi="ar-SA"/>
                    </w:rPr>
                  </w:pPr>
                  <w:r>
                    <w:rPr>
                      <w:rFonts w:hint="default" w:ascii="Times New Roman" w:hAnsi="Times New Roman" w:eastAsia="宋体" w:cs="Times New Roman"/>
                      <w:color w:val="auto"/>
                      <w:kern w:val="21"/>
                      <w:szCs w:val="21"/>
                      <w:u w:val="none" w:color="auto"/>
                      <w:lang w:val="en-US" w:eastAsia="zh-CN"/>
                    </w:rPr>
                    <w:t>5.9351</w:t>
                  </w:r>
                </w:p>
              </w:tc>
            </w:tr>
            <w:tr w14:paraId="6110725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14" w:type="pct"/>
                  <w:vMerge w:val="continue"/>
                  <w:tcBorders>
                    <w:tl2br w:val="nil"/>
                    <w:tr2bl w:val="nil"/>
                  </w:tcBorders>
                </w:tcPr>
                <w:p w14:paraId="639208A1">
                  <w:pPr>
                    <w:widowControl/>
                    <w:jc w:val="center"/>
                    <w:rPr>
                      <w:rFonts w:hint="default" w:ascii="Times New Roman" w:hAnsi="Times New Roman" w:eastAsia="宋体" w:cs="Times New Roman"/>
                      <w:color w:val="auto"/>
                      <w:kern w:val="0"/>
                      <w:sz w:val="21"/>
                      <w:szCs w:val="21"/>
                      <w:highlight w:val="none"/>
                      <w:u w:val="none" w:color="auto"/>
                    </w:rPr>
                  </w:pPr>
                </w:p>
              </w:tc>
              <w:tc>
                <w:tcPr>
                  <w:tcW w:w="1038" w:type="pct"/>
                  <w:vMerge w:val="restart"/>
                  <w:tcBorders>
                    <w:tl2br w:val="nil"/>
                    <w:tr2bl w:val="nil"/>
                  </w:tcBorders>
                  <w:vAlign w:val="center"/>
                </w:tcPr>
                <w:p w14:paraId="32A346BE">
                  <w:pPr>
                    <w:spacing w:line="240" w:lineRule="atLeast"/>
                    <w:jc w:val="center"/>
                    <w:rPr>
                      <w:rFonts w:hint="default" w:ascii="Times New Roman" w:hAnsi="Times New Roman" w:eastAsia="宋体" w:cs="Times New Roman"/>
                      <w:color w:val="auto"/>
                      <w:kern w:val="21"/>
                      <w:sz w:val="21"/>
                      <w:szCs w:val="21"/>
                      <w:u w:val="none" w:color="auto"/>
                      <w:lang w:val="en-US" w:eastAsia="zh-CN" w:bidi="ar-SA"/>
                    </w:rPr>
                  </w:pPr>
                  <w:r>
                    <w:rPr>
                      <w:rFonts w:hint="default" w:ascii="Times New Roman" w:hAnsi="Times New Roman" w:eastAsia="宋体" w:cs="Times New Roman"/>
                      <w:color w:val="auto"/>
                      <w:kern w:val="21"/>
                      <w:szCs w:val="21"/>
                      <w:u w:val="none" w:color="auto"/>
                      <w:lang w:eastAsia="zh-CN"/>
                    </w:rPr>
                    <w:t>废边角料</w:t>
                  </w:r>
                </w:p>
              </w:tc>
              <w:tc>
                <w:tcPr>
                  <w:tcW w:w="1667" w:type="pct"/>
                  <w:tcBorders>
                    <w:tl2br w:val="nil"/>
                    <w:tr2bl w:val="nil"/>
                  </w:tcBorders>
                  <w:vAlign w:val="center"/>
                </w:tcPr>
                <w:p w14:paraId="11E18B58">
                  <w:pPr>
                    <w:spacing w:line="240" w:lineRule="atLeast"/>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Cs w:val="21"/>
                      <w:u w:val="none" w:color="auto"/>
                    </w:rPr>
                    <w:t>机加工工序</w:t>
                  </w:r>
                  <w:r>
                    <w:rPr>
                      <w:rFonts w:hint="default" w:ascii="Times New Roman" w:hAnsi="Times New Roman" w:eastAsia="宋体" w:cs="Times New Roman"/>
                      <w:color w:val="auto"/>
                      <w:szCs w:val="21"/>
                      <w:u w:val="none" w:color="auto"/>
                      <w:lang w:eastAsia="zh-CN"/>
                    </w:rPr>
                    <w:t>（</w:t>
                  </w:r>
                  <w:r>
                    <w:rPr>
                      <w:rFonts w:hint="default" w:ascii="Times New Roman" w:hAnsi="Times New Roman" w:eastAsia="宋体" w:cs="Times New Roman"/>
                      <w:color w:val="auto"/>
                      <w:szCs w:val="21"/>
                      <w:u w:val="none" w:color="auto"/>
                      <w:lang w:val="en-US" w:eastAsia="zh-CN"/>
                    </w:rPr>
                    <w:t>不含铝锂车间</w:t>
                  </w:r>
                  <w:r>
                    <w:rPr>
                      <w:rFonts w:hint="default" w:ascii="Times New Roman" w:hAnsi="Times New Roman" w:eastAsia="宋体" w:cs="Times New Roman"/>
                      <w:color w:val="auto"/>
                      <w:szCs w:val="21"/>
                      <w:u w:val="none" w:color="auto"/>
                      <w:lang w:eastAsia="zh-CN"/>
                    </w:rPr>
                    <w:t>）</w:t>
                  </w:r>
                </w:p>
              </w:tc>
              <w:tc>
                <w:tcPr>
                  <w:tcW w:w="1580" w:type="pct"/>
                  <w:tcBorders>
                    <w:tl2br w:val="nil"/>
                    <w:tr2bl w:val="nil"/>
                  </w:tcBorders>
                  <w:vAlign w:val="center"/>
                </w:tcPr>
                <w:p w14:paraId="21CD426E">
                  <w:pPr>
                    <w:spacing w:line="240" w:lineRule="atLeast"/>
                    <w:jc w:val="center"/>
                    <w:rPr>
                      <w:rFonts w:hint="default" w:ascii="Times New Roman" w:hAnsi="Times New Roman" w:eastAsia="宋体" w:cs="Times New Roman"/>
                      <w:color w:val="auto"/>
                      <w:kern w:val="21"/>
                      <w:sz w:val="21"/>
                      <w:szCs w:val="21"/>
                      <w:u w:val="none" w:color="auto"/>
                      <w:lang w:val="en-US" w:eastAsia="zh-CN" w:bidi="ar-SA"/>
                    </w:rPr>
                  </w:pPr>
                  <w:r>
                    <w:rPr>
                      <w:rFonts w:hint="default" w:ascii="Times New Roman" w:hAnsi="Times New Roman" w:eastAsia="宋体" w:cs="Times New Roman"/>
                      <w:color w:val="auto"/>
                      <w:u w:val="none" w:color="auto"/>
                    </w:rPr>
                    <w:t>6591.195</w:t>
                  </w:r>
                </w:p>
              </w:tc>
            </w:tr>
            <w:tr w14:paraId="6175A6C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14" w:type="pct"/>
                  <w:vMerge w:val="continue"/>
                  <w:tcBorders>
                    <w:tl2br w:val="nil"/>
                    <w:tr2bl w:val="nil"/>
                  </w:tcBorders>
                </w:tcPr>
                <w:p w14:paraId="18B11AC3">
                  <w:pPr>
                    <w:widowControl/>
                    <w:jc w:val="center"/>
                    <w:rPr>
                      <w:rFonts w:hint="default" w:ascii="Times New Roman" w:hAnsi="Times New Roman" w:eastAsia="宋体" w:cs="Times New Roman"/>
                      <w:color w:val="auto"/>
                      <w:kern w:val="0"/>
                      <w:sz w:val="21"/>
                      <w:szCs w:val="21"/>
                      <w:highlight w:val="none"/>
                      <w:u w:val="none" w:color="auto"/>
                    </w:rPr>
                  </w:pPr>
                </w:p>
              </w:tc>
              <w:tc>
                <w:tcPr>
                  <w:tcW w:w="1038" w:type="pct"/>
                  <w:vMerge w:val="continue"/>
                  <w:tcBorders>
                    <w:tl2br w:val="nil"/>
                    <w:tr2bl w:val="nil"/>
                  </w:tcBorders>
                </w:tcPr>
                <w:p w14:paraId="3D1E07B7">
                  <w:pPr>
                    <w:pStyle w:val="94"/>
                    <w:adjustRightInd w:val="0"/>
                    <w:snapToGrid w:val="0"/>
                    <w:spacing w:line="240" w:lineRule="auto"/>
                    <w:rPr>
                      <w:rFonts w:hint="default" w:ascii="Times New Roman" w:hAnsi="Times New Roman" w:eastAsia="宋体" w:cs="Times New Roman"/>
                      <w:color w:val="auto"/>
                      <w:sz w:val="21"/>
                      <w:szCs w:val="21"/>
                      <w:highlight w:val="none"/>
                      <w:u w:val="none" w:color="auto"/>
                    </w:rPr>
                  </w:pPr>
                </w:p>
              </w:tc>
              <w:tc>
                <w:tcPr>
                  <w:tcW w:w="1667" w:type="pct"/>
                  <w:tcBorders>
                    <w:tl2br w:val="nil"/>
                    <w:tr2bl w:val="nil"/>
                  </w:tcBorders>
                  <w:vAlign w:val="center"/>
                </w:tcPr>
                <w:p w14:paraId="2F9A3548">
                  <w:pPr>
                    <w:spacing w:line="240" w:lineRule="atLeast"/>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Cs w:val="21"/>
                      <w:u w:val="none" w:color="auto"/>
                    </w:rPr>
                    <w:t>机加工工序</w:t>
                  </w:r>
                  <w:r>
                    <w:rPr>
                      <w:rFonts w:hint="default" w:ascii="Times New Roman" w:hAnsi="Times New Roman" w:eastAsia="宋体" w:cs="Times New Roman"/>
                      <w:color w:val="auto"/>
                      <w:szCs w:val="21"/>
                      <w:u w:val="none" w:color="auto"/>
                      <w:lang w:eastAsia="zh-CN"/>
                    </w:rPr>
                    <w:t>（</w:t>
                  </w:r>
                  <w:r>
                    <w:rPr>
                      <w:rFonts w:hint="default" w:ascii="Times New Roman" w:hAnsi="Times New Roman" w:eastAsia="宋体" w:cs="Times New Roman"/>
                      <w:color w:val="auto"/>
                      <w:szCs w:val="21"/>
                      <w:u w:val="none" w:color="auto"/>
                      <w:lang w:val="en-US" w:eastAsia="zh-CN"/>
                    </w:rPr>
                    <w:t>铝锂车间</w:t>
                  </w:r>
                  <w:r>
                    <w:rPr>
                      <w:rFonts w:hint="default" w:ascii="Times New Roman" w:hAnsi="Times New Roman" w:eastAsia="宋体" w:cs="Times New Roman"/>
                      <w:color w:val="auto"/>
                      <w:szCs w:val="21"/>
                      <w:u w:val="none" w:color="auto"/>
                      <w:lang w:eastAsia="zh-CN"/>
                    </w:rPr>
                    <w:t>）</w:t>
                  </w:r>
                </w:p>
              </w:tc>
              <w:tc>
                <w:tcPr>
                  <w:tcW w:w="1580" w:type="pct"/>
                  <w:tcBorders>
                    <w:tl2br w:val="nil"/>
                    <w:tr2bl w:val="nil"/>
                  </w:tcBorders>
                  <w:vAlign w:val="center"/>
                </w:tcPr>
                <w:p w14:paraId="4F8F3045">
                  <w:pPr>
                    <w:spacing w:line="240" w:lineRule="atLeast"/>
                    <w:jc w:val="center"/>
                    <w:rPr>
                      <w:rFonts w:hint="default" w:ascii="Times New Roman" w:hAnsi="Times New Roman" w:eastAsia="宋体" w:cs="Times New Roman"/>
                      <w:color w:val="auto"/>
                      <w:kern w:val="21"/>
                      <w:sz w:val="21"/>
                      <w:szCs w:val="21"/>
                      <w:u w:val="none" w:color="auto"/>
                      <w:lang w:val="en-US" w:eastAsia="zh-CN" w:bidi="ar-SA"/>
                    </w:rPr>
                  </w:pPr>
                  <w:r>
                    <w:rPr>
                      <w:rFonts w:hint="default" w:ascii="Times New Roman" w:hAnsi="Times New Roman" w:eastAsia="宋体" w:cs="Times New Roman"/>
                      <w:color w:val="auto"/>
                      <w:kern w:val="21"/>
                      <w:szCs w:val="21"/>
                      <w:u w:val="none" w:color="auto"/>
                      <w:lang w:val="en-US" w:eastAsia="zh-CN"/>
                    </w:rPr>
                    <w:t>526.638</w:t>
                  </w:r>
                </w:p>
              </w:tc>
            </w:tr>
            <w:tr w14:paraId="72FDDEF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14" w:type="pct"/>
                  <w:vMerge w:val="continue"/>
                  <w:tcBorders>
                    <w:tl2br w:val="nil"/>
                    <w:tr2bl w:val="nil"/>
                  </w:tcBorders>
                </w:tcPr>
                <w:p w14:paraId="715F5EF0">
                  <w:pPr>
                    <w:widowControl/>
                    <w:jc w:val="center"/>
                    <w:rPr>
                      <w:rFonts w:hint="default" w:ascii="Times New Roman" w:hAnsi="Times New Roman" w:eastAsia="宋体" w:cs="Times New Roman"/>
                      <w:color w:val="auto"/>
                      <w:kern w:val="0"/>
                      <w:sz w:val="21"/>
                      <w:szCs w:val="21"/>
                      <w:highlight w:val="none"/>
                      <w:u w:val="none" w:color="auto"/>
                    </w:rPr>
                  </w:pPr>
                </w:p>
              </w:tc>
              <w:tc>
                <w:tcPr>
                  <w:tcW w:w="1038" w:type="pct"/>
                  <w:vMerge w:val="restart"/>
                  <w:tcBorders>
                    <w:tl2br w:val="nil"/>
                    <w:tr2bl w:val="nil"/>
                  </w:tcBorders>
                  <w:vAlign w:val="center"/>
                </w:tcPr>
                <w:p w14:paraId="448A7A04">
                  <w:pPr>
                    <w:spacing w:line="240" w:lineRule="atLeast"/>
                    <w:jc w:val="center"/>
                    <w:rPr>
                      <w:rFonts w:hint="default" w:ascii="Times New Roman" w:hAnsi="Times New Roman" w:eastAsia="宋体" w:cs="Times New Roman"/>
                      <w:color w:val="auto"/>
                      <w:kern w:val="21"/>
                      <w:sz w:val="21"/>
                      <w:szCs w:val="21"/>
                      <w:highlight w:val="none"/>
                      <w:u w:val="none" w:color="auto"/>
                      <w:lang w:val="en-US" w:eastAsia="zh-CN" w:bidi="ar-SA"/>
                    </w:rPr>
                  </w:pPr>
                  <w:r>
                    <w:rPr>
                      <w:rFonts w:hint="default" w:ascii="Times New Roman" w:hAnsi="Times New Roman" w:eastAsia="宋体" w:cs="Times New Roman"/>
                      <w:color w:val="auto"/>
                      <w:kern w:val="21"/>
                      <w:szCs w:val="21"/>
                      <w:highlight w:val="none"/>
                      <w:u w:val="none" w:color="auto"/>
                    </w:rPr>
                    <w:t>除尘收集的粉尘</w:t>
                  </w:r>
                </w:p>
              </w:tc>
              <w:tc>
                <w:tcPr>
                  <w:tcW w:w="1667" w:type="pct"/>
                  <w:tcBorders>
                    <w:tl2br w:val="nil"/>
                    <w:tr2bl w:val="nil"/>
                  </w:tcBorders>
                  <w:vAlign w:val="center"/>
                </w:tcPr>
                <w:p w14:paraId="46A3FEA6">
                  <w:pPr>
                    <w:topLinePunct w:val="0"/>
                    <w:bidi w:val="0"/>
                    <w:adjustRightInd/>
                    <w:snapToGrid/>
                    <w:spacing w:line="240" w:lineRule="atLeast"/>
                    <w:jc w:val="center"/>
                    <w:rPr>
                      <w:rFonts w:hint="default" w:ascii="Times New Roman" w:hAnsi="Times New Roman" w:eastAsia="宋体" w:cs="Times New Roman"/>
                      <w:color w:val="auto"/>
                      <w:kern w:val="21"/>
                      <w:sz w:val="21"/>
                      <w:szCs w:val="21"/>
                      <w:highlight w:val="none"/>
                      <w:u w:val="none" w:color="auto"/>
                      <w:lang w:val="en-US" w:eastAsia="zh-CN" w:bidi="ar-SA"/>
                    </w:rPr>
                  </w:pPr>
                  <w:r>
                    <w:rPr>
                      <w:rFonts w:hint="default" w:ascii="Times New Roman" w:hAnsi="Times New Roman" w:eastAsia="宋体" w:cs="Times New Roman"/>
                      <w:color w:val="auto"/>
                      <w:kern w:val="21"/>
                      <w:sz w:val="21"/>
                      <w:szCs w:val="21"/>
                      <w:highlight w:val="none"/>
                      <w:u w:val="none" w:color="auto"/>
                      <w:lang w:val="en-US" w:eastAsia="zh-CN" w:bidi="ar-SA"/>
                    </w:rPr>
                    <w:t>危险废物（代码：321-034-48）</w:t>
                  </w:r>
                </w:p>
              </w:tc>
              <w:tc>
                <w:tcPr>
                  <w:tcW w:w="1580" w:type="pct"/>
                  <w:tcBorders>
                    <w:tl2br w:val="nil"/>
                    <w:tr2bl w:val="nil"/>
                  </w:tcBorders>
                  <w:vAlign w:val="center"/>
                </w:tcPr>
                <w:p w14:paraId="43B7D413">
                  <w:pPr>
                    <w:topLinePunct w:val="0"/>
                    <w:bidi w:val="0"/>
                    <w:adjustRightInd/>
                    <w:snapToGrid/>
                    <w:spacing w:line="240" w:lineRule="atLeast"/>
                    <w:jc w:val="center"/>
                    <w:rPr>
                      <w:rFonts w:hint="default" w:ascii="Times New Roman" w:hAnsi="Times New Roman" w:eastAsia="宋体" w:cs="Times New Roman"/>
                      <w:color w:val="auto"/>
                      <w:kern w:val="21"/>
                      <w:sz w:val="21"/>
                      <w:szCs w:val="21"/>
                      <w:highlight w:val="none"/>
                      <w:u w:val="none" w:color="auto"/>
                      <w:lang w:val="en-US" w:eastAsia="zh-CN" w:bidi="ar-SA"/>
                    </w:rPr>
                  </w:pPr>
                  <w:r>
                    <w:rPr>
                      <w:rFonts w:hint="default" w:ascii="Times New Roman" w:hAnsi="Times New Roman" w:eastAsia="宋体" w:cs="Times New Roman"/>
                      <w:color w:val="auto"/>
                      <w:kern w:val="21"/>
                      <w:sz w:val="21"/>
                      <w:szCs w:val="21"/>
                      <w:highlight w:val="none"/>
                      <w:u w:val="none" w:color="auto"/>
                      <w:lang w:val="en-US" w:eastAsia="zh-CN" w:bidi="ar-SA"/>
                    </w:rPr>
                    <w:t>94.5396</w:t>
                  </w:r>
                </w:p>
              </w:tc>
            </w:tr>
            <w:tr w14:paraId="58AD9BE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14" w:type="pct"/>
                  <w:vMerge w:val="continue"/>
                  <w:tcBorders>
                    <w:tl2br w:val="nil"/>
                    <w:tr2bl w:val="nil"/>
                  </w:tcBorders>
                </w:tcPr>
                <w:p w14:paraId="127AB03D">
                  <w:pPr>
                    <w:widowControl/>
                    <w:jc w:val="center"/>
                    <w:rPr>
                      <w:rFonts w:hint="default" w:ascii="Times New Roman" w:hAnsi="Times New Roman" w:eastAsia="宋体" w:cs="Times New Roman"/>
                      <w:color w:val="auto"/>
                      <w:kern w:val="0"/>
                      <w:sz w:val="21"/>
                      <w:szCs w:val="21"/>
                      <w:highlight w:val="none"/>
                      <w:u w:val="none" w:color="auto"/>
                    </w:rPr>
                  </w:pPr>
                </w:p>
              </w:tc>
              <w:tc>
                <w:tcPr>
                  <w:tcW w:w="1038" w:type="pct"/>
                  <w:vMerge w:val="continue"/>
                  <w:tcBorders>
                    <w:tl2br w:val="nil"/>
                    <w:tr2bl w:val="nil"/>
                  </w:tcBorders>
                </w:tcPr>
                <w:p w14:paraId="19B65F67">
                  <w:pPr>
                    <w:pStyle w:val="94"/>
                    <w:adjustRightInd w:val="0"/>
                    <w:snapToGrid w:val="0"/>
                    <w:spacing w:line="240" w:lineRule="auto"/>
                    <w:rPr>
                      <w:rFonts w:hint="default" w:ascii="Times New Roman" w:hAnsi="Times New Roman" w:eastAsia="宋体" w:cs="Times New Roman"/>
                      <w:color w:val="auto"/>
                      <w:sz w:val="21"/>
                      <w:szCs w:val="21"/>
                      <w:highlight w:val="none"/>
                      <w:u w:val="none" w:color="auto"/>
                    </w:rPr>
                  </w:pPr>
                </w:p>
              </w:tc>
              <w:tc>
                <w:tcPr>
                  <w:tcW w:w="1667" w:type="pct"/>
                  <w:tcBorders>
                    <w:tl2br w:val="nil"/>
                    <w:tr2bl w:val="nil"/>
                  </w:tcBorders>
                  <w:vAlign w:val="center"/>
                </w:tcPr>
                <w:p w14:paraId="6F18A161">
                  <w:pPr>
                    <w:topLinePunct w:val="0"/>
                    <w:bidi w:val="0"/>
                    <w:adjustRightInd/>
                    <w:snapToGrid/>
                    <w:spacing w:line="240" w:lineRule="atLeast"/>
                    <w:jc w:val="center"/>
                    <w:rPr>
                      <w:rFonts w:hint="default" w:ascii="Times New Roman" w:hAnsi="Times New Roman" w:eastAsia="宋体" w:cs="Times New Roman"/>
                      <w:color w:val="auto"/>
                      <w:kern w:val="21"/>
                      <w:sz w:val="21"/>
                      <w:szCs w:val="21"/>
                      <w:highlight w:val="none"/>
                      <w:u w:val="none" w:color="auto"/>
                      <w:lang w:val="en-US" w:eastAsia="zh-CN" w:bidi="ar-SA"/>
                    </w:rPr>
                  </w:pPr>
                  <w:r>
                    <w:rPr>
                      <w:rFonts w:hint="default" w:ascii="Times New Roman" w:hAnsi="Times New Roman" w:eastAsia="宋体" w:cs="Times New Roman"/>
                      <w:color w:val="auto"/>
                      <w:kern w:val="21"/>
                      <w:szCs w:val="21"/>
                      <w:highlight w:val="none"/>
                      <w:u w:val="none" w:color="auto"/>
                    </w:rPr>
                    <w:t>一般固废</w:t>
                  </w:r>
                </w:p>
              </w:tc>
              <w:tc>
                <w:tcPr>
                  <w:tcW w:w="1580" w:type="pct"/>
                  <w:tcBorders>
                    <w:tl2br w:val="nil"/>
                    <w:tr2bl w:val="nil"/>
                  </w:tcBorders>
                  <w:vAlign w:val="center"/>
                </w:tcPr>
                <w:p w14:paraId="3F9A5E1A">
                  <w:pPr>
                    <w:topLinePunct w:val="0"/>
                    <w:bidi w:val="0"/>
                    <w:adjustRightInd/>
                    <w:snapToGrid/>
                    <w:spacing w:line="240" w:lineRule="atLeast"/>
                    <w:jc w:val="center"/>
                    <w:rPr>
                      <w:rFonts w:hint="default" w:ascii="Times New Roman" w:hAnsi="Times New Roman" w:eastAsia="宋体" w:cs="Times New Roman"/>
                      <w:color w:val="auto"/>
                      <w:kern w:val="21"/>
                      <w:sz w:val="21"/>
                      <w:szCs w:val="21"/>
                      <w:highlight w:val="none"/>
                      <w:u w:val="none" w:color="auto"/>
                      <w:lang w:val="en-US" w:eastAsia="zh-CN" w:bidi="ar-SA"/>
                    </w:rPr>
                  </w:pPr>
                  <w:r>
                    <w:rPr>
                      <w:rFonts w:hint="default" w:ascii="Times New Roman" w:hAnsi="Times New Roman" w:eastAsia="宋体" w:cs="Times New Roman"/>
                      <w:color w:val="auto"/>
                      <w:kern w:val="21"/>
                      <w:sz w:val="21"/>
                      <w:szCs w:val="21"/>
                      <w:highlight w:val="none"/>
                      <w:u w:val="none" w:color="auto"/>
                      <w:lang w:val="en-US" w:eastAsia="zh-CN" w:bidi="ar-SA"/>
                    </w:rPr>
                    <w:t>2.6372</w:t>
                  </w:r>
                </w:p>
              </w:tc>
            </w:tr>
            <w:tr w14:paraId="665C95A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53" w:hRule="atLeast"/>
              </w:trPr>
              <w:tc>
                <w:tcPr>
                  <w:tcW w:w="714" w:type="pct"/>
                  <w:vMerge w:val="continue"/>
                  <w:tcBorders>
                    <w:tl2br w:val="nil"/>
                    <w:tr2bl w:val="nil"/>
                  </w:tcBorders>
                </w:tcPr>
                <w:p w14:paraId="17B9C204">
                  <w:pPr>
                    <w:widowControl/>
                    <w:jc w:val="center"/>
                    <w:rPr>
                      <w:rFonts w:hint="default" w:ascii="Times New Roman" w:hAnsi="Times New Roman" w:eastAsia="宋体" w:cs="Times New Roman"/>
                      <w:color w:val="auto"/>
                      <w:kern w:val="0"/>
                      <w:sz w:val="21"/>
                      <w:szCs w:val="21"/>
                      <w:highlight w:val="none"/>
                      <w:u w:val="none" w:color="auto"/>
                    </w:rPr>
                  </w:pPr>
                </w:p>
              </w:tc>
              <w:tc>
                <w:tcPr>
                  <w:tcW w:w="2705" w:type="pct"/>
                  <w:gridSpan w:val="2"/>
                  <w:tcBorders>
                    <w:tl2br w:val="nil"/>
                    <w:tr2bl w:val="nil"/>
                  </w:tcBorders>
                  <w:vAlign w:val="center"/>
                </w:tcPr>
                <w:p w14:paraId="1EB26798">
                  <w:pPr>
                    <w:spacing w:line="240" w:lineRule="atLeast"/>
                    <w:jc w:val="center"/>
                    <w:rPr>
                      <w:rFonts w:hint="default" w:ascii="Times New Roman" w:hAnsi="Times New Roman" w:eastAsia="宋体" w:cs="Times New Roman"/>
                      <w:color w:val="auto"/>
                      <w:kern w:val="21"/>
                      <w:sz w:val="21"/>
                      <w:szCs w:val="21"/>
                      <w:u w:val="none" w:color="auto"/>
                      <w:lang w:val="en-US" w:eastAsia="zh-CN" w:bidi="ar-SA"/>
                    </w:rPr>
                  </w:pPr>
                  <w:r>
                    <w:rPr>
                      <w:rFonts w:hint="default" w:ascii="Times New Roman" w:hAnsi="Times New Roman" w:eastAsia="宋体" w:cs="Times New Roman"/>
                      <w:color w:val="auto"/>
                      <w:kern w:val="21"/>
                      <w:szCs w:val="21"/>
                      <w:u w:val="none" w:color="auto"/>
                      <w:lang w:eastAsia="zh-CN"/>
                    </w:rPr>
                    <w:t>废包装材料</w:t>
                  </w:r>
                </w:p>
              </w:tc>
              <w:tc>
                <w:tcPr>
                  <w:tcW w:w="1580" w:type="pct"/>
                  <w:tcBorders>
                    <w:tl2br w:val="nil"/>
                    <w:tr2bl w:val="nil"/>
                  </w:tcBorders>
                  <w:vAlign w:val="center"/>
                </w:tcPr>
                <w:p w14:paraId="4AFD5C86">
                  <w:pPr>
                    <w:spacing w:line="240" w:lineRule="atLeast"/>
                    <w:jc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11.7264</w:t>
                  </w:r>
                </w:p>
              </w:tc>
            </w:tr>
            <w:tr w14:paraId="4AAD5B6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14" w:type="pct"/>
                  <w:vMerge w:val="continue"/>
                  <w:tcBorders>
                    <w:tl2br w:val="nil"/>
                    <w:tr2bl w:val="nil"/>
                  </w:tcBorders>
                </w:tcPr>
                <w:p w14:paraId="59DE51DB">
                  <w:pPr>
                    <w:widowControl/>
                    <w:jc w:val="center"/>
                    <w:rPr>
                      <w:rFonts w:hint="default" w:ascii="Times New Roman" w:hAnsi="Times New Roman" w:eastAsia="宋体" w:cs="Times New Roman"/>
                      <w:color w:val="auto"/>
                      <w:kern w:val="0"/>
                      <w:sz w:val="21"/>
                      <w:szCs w:val="21"/>
                      <w:highlight w:val="none"/>
                      <w:u w:val="none" w:color="auto"/>
                    </w:rPr>
                  </w:pPr>
                </w:p>
              </w:tc>
              <w:tc>
                <w:tcPr>
                  <w:tcW w:w="2705" w:type="pct"/>
                  <w:gridSpan w:val="2"/>
                  <w:tcBorders>
                    <w:tl2br w:val="nil"/>
                    <w:tr2bl w:val="nil"/>
                  </w:tcBorders>
                  <w:vAlign w:val="center"/>
                </w:tcPr>
                <w:p w14:paraId="315159F1">
                  <w:pPr>
                    <w:spacing w:line="240" w:lineRule="atLeast"/>
                    <w:jc w:val="center"/>
                    <w:rPr>
                      <w:rFonts w:hint="default" w:ascii="Times New Roman" w:hAnsi="Times New Roman" w:eastAsia="宋体" w:cs="Times New Roman"/>
                      <w:color w:val="auto"/>
                      <w:kern w:val="21"/>
                      <w:sz w:val="21"/>
                      <w:szCs w:val="21"/>
                      <w:u w:val="none" w:color="auto"/>
                      <w:lang w:val="en-US" w:eastAsia="zh-CN" w:bidi="ar-SA"/>
                    </w:rPr>
                  </w:pPr>
                  <w:r>
                    <w:rPr>
                      <w:rFonts w:hint="default" w:ascii="Times New Roman" w:hAnsi="Times New Roman" w:eastAsia="宋体" w:cs="Times New Roman"/>
                      <w:color w:val="auto"/>
                      <w:kern w:val="21"/>
                      <w:szCs w:val="21"/>
                      <w:u w:val="none" w:color="auto"/>
                    </w:rPr>
                    <w:t>废模具</w:t>
                  </w:r>
                </w:p>
              </w:tc>
              <w:tc>
                <w:tcPr>
                  <w:tcW w:w="1580" w:type="pct"/>
                  <w:tcBorders>
                    <w:tl2br w:val="nil"/>
                    <w:tr2bl w:val="nil"/>
                  </w:tcBorders>
                  <w:vAlign w:val="center"/>
                </w:tcPr>
                <w:p w14:paraId="661FE35B">
                  <w:pPr>
                    <w:spacing w:line="240" w:lineRule="atLeast"/>
                    <w:jc w:val="center"/>
                    <w:rPr>
                      <w:rFonts w:hint="default" w:ascii="Times New Roman" w:hAnsi="Times New Roman" w:eastAsia="宋体" w:cs="Times New Roman"/>
                      <w:color w:val="auto"/>
                      <w:kern w:val="21"/>
                      <w:sz w:val="21"/>
                      <w:szCs w:val="21"/>
                      <w:u w:val="none" w:color="auto"/>
                      <w:lang w:val="en-US" w:eastAsia="zh-CN" w:bidi="ar-SA"/>
                    </w:rPr>
                  </w:pPr>
                  <w:r>
                    <w:rPr>
                      <w:rFonts w:hint="default" w:ascii="Times New Roman" w:hAnsi="Times New Roman" w:eastAsia="宋体" w:cs="Times New Roman"/>
                      <w:color w:val="auto"/>
                      <w:kern w:val="21"/>
                      <w:szCs w:val="21"/>
                      <w:u w:val="none" w:color="auto"/>
                      <w:lang w:val="en-US" w:eastAsia="zh-CN"/>
                    </w:rPr>
                    <w:t>310.1</w:t>
                  </w:r>
                </w:p>
              </w:tc>
            </w:tr>
            <w:tr w14:paraId="0D564A3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14" w:type="pct"/>
                  <w:vMerge w:val="continue"/>
                  <w:tcBorders>
                    <w:tl2br w:val="nil"/>
                    <w:tr2bl w:val="nil"/>
                  </w:tcBorders>
                </w:tcPr>
                <w:p w14:paraId="082CC3BD">
                  <w:pPr>
                    <w:widowControl/>
                    <w:jc w:val="center"/>
                    <w:rPr>
                      <w:rFonts w:hint="default" w:ascii="Times New Roman" w:hAnsi="Times New Roman" w:eastAsia="宋体" w:cs="Times New Roman"/>
                      <w:color w:val="auto"/>
                      <w:kern w:val="0"/>
                      <w:sz w:val="21"/>
                      <w:szCs w:val="21"/>
                      <w:highlight w:val="none"/>
                      <w:u w:val="none" w:color="auto"/>
                    </w:rPr>
                  </w:pPr>
                </w:p>
              </w:tc>
              <w:tc>
                <w:tcPr>
                  <w:tcW w:w="2705" w:type="pct"/>
                  <w:gridSpan w:val="2"/>
                  <w:tcBorders>
                    <w:tl2br w:val="nil"/>
                    <w:tr2bl w:val="nil"/>
                  </w:tcBorders>
                  <w:vAlign w:val="center"/>
                </w:tcPr>
                <w:p w14:paraId="68EF36D1">
                  <w:pPr>
                    <w:spacing w:line="240" w:lineRule="atLeast"/>
                    <w:jc w:val="center"/>
                    <w:rPr>
                      <w:rFonts w:hint="default" w:ascii="Times New Roman" w:hAnsi="Times New Roman" w:eastAsia="宋体" w:cs="Times New Roman"/>
                      <w:color w:val="auto"/>
                      <w:kern w:val="21"/>
                      <w:sz w:val="21"/>
                      <w:szCs w:val="21"/>
                      <w:u w:val="none" w:color="auto"/>
                      <w:lang w:val="en-US" w:eastAsia="zh-CN" w:bidi="ar-SA"/>
                    </w:rPr>
                  </w:pPr>
                  <w:r>
                    <w:rPr>
                      <w:rFonts w:hint="default" w:ascii="Times New Roman" w:hAnsi="Times New Roman" w:eastAsia="宋体" w:cs="Times New Roman"/>
                      <w:color w:val="auto"/>
                      <w:kern w:val="21"/>
                      <w:szCs w:val="21"/>
                      <w:u w:val="none" w:color="auto"/>
                    </w:rPr>
                    <w:t>废耐火材料</w:t>
                  </w:r>
                </w:p>
              </w:tc>
              <w:tc>
                <w:tcPr>
                  <w:tcW w:w="1580" w:type="pct"/>
                  <w:tcBorders>
                    <w:tl2br w:val="nil"/>
                    <w:tr2bl w:val="nil"/>
                  </w:tcBorders>
                  <w:vAlign w:val="center"/>
                </w:tcPr>
                <w:p w14:paraId="3DC547BD">
                  <w:pPr>
                    <w:spacing w:line="240" w:lineRule="atLeast"/>
                    <w:jc w:val="center"/>
                    <w:rPr>
                      <w:rFonts w:hint="default" w:ascii="Times New Roman" w:hAnsi="Times New Roman" w:eastAsia="宋体" w:cs="Times New Roman"/>
                      <w:color w:val="auto"/>
                      <w:kern w:val="21"/>
                      <w:sz w:val="21"/>
                      <w:szCs w:val="21"/>
                      <w:u w:val="none" w:color="auto"/>
                      <w:lang w:val="en-US" w:eastAsia="zh-CN" w:bidi="ar-SA"/>
                    </w:rPr>
                  </w:pPr>
                  <w:r>
                    <w:rPr>
                      <w:rFonts w:hint="default" w:ascii="Times New Roman" w:hAnsi="Times New Roman" w:eastAsia="宋体" w:cs="Times New Roman"/>
                      <w:color w:val="auto"/>
                      <w:kern w:val="21"/>
                      <w:szCs w:val="21"/>
                      <w:u w:val="none" w:color="auto"/>
                    </w:rPr>
                    <w:t>48</w:t>
                  </w:r>
                </w:p>
              </w:tc>
            </w:tr>
            <w:tr w14:paraId="73316FC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14" w:type="pct"/>
                  <w:vMerge w:val="continue"/>
                  <w:tcBorders>
                    <w:tl2br w:val="nil"/>
                    <w:tr2bl w:val="nil"/>
                  </w:tcBorders>
                </w:tcPr>
                <w:p w14:paraId="5373FD68">
                  <w:pPr>
                    <w:widowControl/>
                    <w:jc w:val="center"/>
                    <w:rPr>
                      <w:rFonts w:hint="default" w:ascii="Times New Roman" w:hAnsi="Times New Roman" w:eastAsia="宋体" w:cs="Times New Roman"/>
                      <w:color w:val="auto"/>
                      <w:kern w:val="0"/>
                      <w:sz w:val="21"/>
                      <w:szCs w:val="21"/>
                      <w:highlight w:val="none"/>
                      <w:u w:val="none" w:color="auto"/>
                    </w:rPr>
                  </w:pPr>
                </w:p>
              </w:tc>
              <w:tc>
                <w:tcPr>
                  <w:tcW w:w="2705" w:type="pct"/>
                  <w:gridSpan w:val="2"/>
                  <w:tcBorders>
                    <w:tl2br w:val="nil"/>
                    <w:tr2bl w:val="nil"/>
                  </w:tcBorders>
                  <w:vAlign w:val="center"/>
                </w:tcPr>
                <w:p w14:paraId="2D8D8B5A">
                  <w:pPr>
                    <w:spacing w:line="240" w:lineRule="atLeast"/>
                    <w:jc w:val="center"/>
                    <w:rPr>
                      <w:rFonts w:hint="default" w:ascii="Times New Roman" w:hAnsi="Times New Roman" w:eastAsia="宋体" w:cs="Times New Roman"/>
                      <w:color w:val="auto"/>
                      <w:kern w:val="21"/>
                      <w:sz w:val="21"/>
                      <w:szCs w:val="21"/>
                      <w:u w:val="none" w:color="auto"/>
                      <w:lang w:val="en-US" w:eastAsia="zh-CN" w:bidi="ar-SA"/>
                    </w:rPr>
                  </w:pPr>
                  <w:r>
                    <w:rPr>
                      <w:rFonts w:hint="default" w:ascii="Times New Roman" w:hAnsi="Times New Roman" w:eastAsia="宋体" w:cs="Times New Roman"/>
                      <w:color w:val="auto"/>
                      <w:kern w:val="21"/>
                      <w:szCs w:val="21"/>
                      <w:u w:val="none" w:color="auto"/>
                    </w:rPr>
                    <w:t>废CFF过滤板</w:t>
                  </w:r>
                </w:p>
              </w:tc>
              <w:tc>
                <w:tcPr>
                  <w:tcW w:w="1580" w:type="pct"/>
                  <w:tcBorders>
                    <w:tl2br w:val="nil"/>
                    <w:tr2bl w:val="nil"/>
                  </w:tcBorders>
                  <w:vAlign w:val="center"/>
                </w:tcPr>
                <w:p w14:paraId="6BC3466A">
                  <w:pPr>
                    <w:spacing w:line="240" w:lineRule="atLeast"/>
                    <w:jc w:val="center"/>
                    <w:rPr>
                      <w:rFonts w:hint="default" w:ascii="Times New Roman" w:hAnsi="Times New Roman" w:eastAsia="宋体" w:cs="Times New Roman"/>
                      <w:color w:val="auto"/>
                      <w:kern w:val="21"/>
                      <w:sz w:val="21"/>
                      <w:szCs w:val="21"/>
                      <w:u w:val="none" w:color="auto"/>
                      <w:lang w:val="en-US" w:eastAsia="zh-CN" w:bidi="ar-SA"/>
                    </w:rPr>
                  </w:pPr>
                  <w:r>
                    <w:rPr>
                      <w:rFonts w:hint="default" w:ascii="Times New Roman" w:hAnsi="Times New Roman" w:eastAsia="宋体" w:cs="Times New Roman"/>
                      <w:color w:val="auto"/>
                      <w:kern w:val="21"/>
                      <w:szCs w:val="21"/>
                      <w:u w:val="none" w:color="auto"/>
                      <w:lang w:val="en-US" w:eastAsia="zh-CN"/>
                    </w:rPr>
                    <w:t>8028</w:t>
                  </w:r>
                  <w:r>
                    <w:rPr>
                      <w:rFonts w:hint="default" w:ascii="Times New Roman" w:hAnsi="Times New Roman" w:eastAsia="宋体" w:cs="Times New Roman"/>
                      <w:color w:val="auto"/>
                      <w:kern w:val="21"/>
                      <w:szCs w:val="21"/>
                      <w:u w:val="none" w:color="auto"/>
                    </w:rPr>
                    <w:t>块/a</w:t>
                  </w:r>
                </w:p>
              </w:tc>
            </w:tr>
            <w:tr w14:paraId="01B9E69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14" w:type="pct"/>
                  <w:vMerge w:val="continue"/>
                  <w:tcBorders>
                    <w:tl2br w:val="nil"/>
                    <w:tr2bl w:val="nil"/>
                  </w:tcBorders>
                </w:tcPr>
                <w:p w14:paraId="63B6886B">
                  <w:pPr>
                    <w:widowControl/>
                    <w:jc w:val="center"/>
                    <w:rPr>
                      <w:rFonts w:hint="default" w:ascii="Times New Roman" w:hAnsi="Times New Roman" w:eastAsia="宋体" w:cs="Times New Roman"/>
                      <w:color w:val="auto"/>
                      <w:kern w:val="0"/>
                      <w:sz w:val="21"/>
                      <w:szCs w:val="21"/>
                      <w:highlight w:val="none"/>
                      <w:u w:val="none" w:color="auto"/>
                    </w:rPr>
                  </w:pPr>
                </w:p>
              </w:tc>
              <w:tc>
                <w:tcPr>
                  <w:tcW w:w="2705" w:type="pct"/>
                  <w:gridSpan w:val="2"/>
                  <w:tcBorders>
                    <w:tl2br w:val="nil"/>
                    <w:tr2bl w:val="nil"/>
                  </w:tcBorders>
                  <w:vAlign w:val="center"/>
                </w:tcPr>
                <w:p w14:paraId="0590915E">
                  <w:pPr>
                    <w:spacing w:line="240" w:lineRule="atLeast"/>
                    <w:jc w:val="center"/>
                    <w:rPr>
                      <w:rFonts w:hint="default" w:ascii="Times New Roman" w:hAnsi="Times New Roman" w:eastAsia="宋体" w:cs="Times New Roman"/>
                      <w:color w:val="auto"/>
                      <w:kern w:val="21"/>
                      <w:sz w:val="21"/>
                      <w:szCs w:val="21"/>
                      <w:u w:val="none" w:color="auto"/>
                      <w:lang w:val="en-US" w:eastAsia="zh-CN" w:bidi="ar-SA"/>
                    </w:rPr>
                  </w:pPr>
                  <w:r>
                    <w:rPr>
                      <w:rFonts w:hint="default" w:ascii="Times New Roman" w:hAnsi="Times New Roman" w:eastAsia="宋体" w:cs="Times New Roman"/>
                      <w:color w:val="auto"/>
                      <w:u w:val="none" w:color="auto"/>
                    </w:rPr>
                    <w:t>餐厨垃圾及废动植物油</w:t>
                  </w:r>
                </w:p>
              </w:tc>
              <w:tc>
                <w:tcPr>
                  <w:tcW w:w="1580" w:type="pct"/>
                  <w:tcBorders>
                    <w:tl2br w:val="nil"/>
                    <w:tr2bl w:val="nil"/>
                  </w:tcBorders>
                  <w:vAlign w:val="center"/>
                </w:tcPr>
                <w:p w14:paraId="067EDBB4">
                  <w:pPr>
                    <w:spacing w:line="240" w:lineRule="atLeast"/>
                    <w:jc w:val="center"/>
                    <w:rPr>
                      <w:rFonts w:hint="default" w:ascii="Times New Roman" w:hAnsi="Times New Roman" w:eastAsia="宋体" w:cs="Times New Roman"/>
                      <w:color w:val="auto"/>
                      <w:kern w:val="21"/>
                      <w:sz w:val="21"/>
                      <w:szCs w:val="21"/>
                      <w:u w:val="none" w:color="auto"/>
                      <w:lang w:val="en-US" w:eastAsia="zh-CN" w:bidi="ar-SA"/>
                    </w:rPr>
                  </w:pPr>
                  <w:r>
                    <w:rPr>
                      <w:rFonts w:hint="default" w:ascii="Times New Roman" w:hAnsi="Times New Roman" w:eastAsia="宋体" w:cs="Times New Roman"/>
                      <w:color w:val="auto"/>
                      <w:kern w:val="21"/>
                      <w:szCs w:val="21"/>
                      <w:u w:val="none" w:color="auto"/>
                      <w:lang w:val="en-US" w:eastAsia="zh-CN"/>
                    </w:rPr>
                    <w:t>19.7992</w:t>
                  </w:r>
                </w:p>
              </w:tc>
            </w:tr>
            <w:tr w14:paraId="10FEB16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14" w:type="pct"/>
                  <w:vMerge w:val="continue"/>
                  <w:tcBorders>
                    <w:tl2br w:val="nil"/>
                    <w:tr2bl w:val="nil"/>
                  </w:tcBorders>
                </w:tcPr>
                <w:p w14:paraId="46106AEB">
                  <w:pPr>
                    <w:widowControl/>
                    <w:jc w:val="center"/>
                    <w:rPr>
                      <w:rFonts w:hint="default" w:ascii="Times New Roman" w:hAnsi="Times New Roman" w:eastAsia="宋体" w:cs="Times New Roman"/>
                      <w:color w:val="auto"/>
                      <w:kern w:val="0"/>
                      <w:sz w:val="21"/>
                      <w:szCs w:val="21"/>
                      <w:highlight w:val="none"/>
                      <w:u w:val="none" w:color="auto"/>
                    </w:rPr>
                  </w:pPr>
                </w:p>
              </w:tc>
              <w:tc>
                <w:tcPr>
                  <w:tcW w:w="2705" w:type="pct"/>
                  <w:gridSpan w:val="2"/>
                  <w:tcBorders>
                    <w:tl2br w:val="nil"/>
                    <w:tr2bl w:val="nil"/>
                  </w:tcBorders>
                  <w:vAlign w:val="center"/>
                </w:tcPr>
                <w:p w14:paraId="1E3A2BFF">
                  <w:pPr>
                    <w:spacing w:line="240" w:lineRule="atLeast"/>
                    <w:jc w:val="center"/>
                    <w:rPr>
                      <w:rFonts w:hint="default" w:ascii="Times New Roman" w:hAnsi="Times New Roman" w:eastAsia="宋体" w:cs="Times New Roman"/>
                      <w:color w:val="auto"/>
                      <w:kern w:val="2"/>
                      <w:sz w:val="21"/>
                      <w:szCs w:val="24"/>
                      <w:u w:val="none" w:color="auto"/>
                      <w:lang w:val="en-US" w:eastAsia="zh-CN" w:bidi="ar-SA"/>
                    </w:rPr>
                  </w:pPr>
                  <w:r>
                    <w:rPr>
                      <w:rFonts w:hint="default" w:ascii="Times New Roman" w:hAnsi="Times New Roman" w:eastAsia="宋体" w:cs="Times New Roman"/>
                      <w:color w:val="auto"/>
                      <w:u w:val="none" w:color="auto"/>
                    </w:rPr>
                    <w:t>实验室废液</w:t>
                  </w:r>
                </w:p>
              </w:tc>
              <w:tc>
                <w:tcPr>
                  <w:tcW w:w="1580" w:type="pct"/>
                  <w:tcBorders>
                    <w:tl2br w:val="nil"/>
                    <w:tr2bl w:val="nil"/>
                  </w:tcBorders>
                  <w:vAlign w:val="center"/>
                </w:tcPr>
                <w:p w14:paraId="3061D6D9">
                  <w:pPr>
                    <w:spacing w:line="240" w:lineRule="atLeast"/>
                    <w:jc w:val="center"/>
                    <w:rPr>
                      <w:rFonts w:hint="default" w:ascii="Times New Roman" w:hAnsi="Times New Roman" w:eastAsia="宋体" w:cs="Times New Roman"/>
                      <w:color w:val="auto"/>
                      <w:kern w:val="21"/>
                      <w:sz w:val="21"/>
                      <w:szCs w:val="21"/>
                      <w:u w:val="none" w:color="auto"/>
                      <w:lang w:val="en-US" w:eastAsia="zh-CN" w:bidi="ar-SA"/>
                    </w:rPr>
                  </w:pPr>
                  <w:r>
                    <w:rPr>
                      <w:rFonts w:hint="default" w:ascii="Times New Roman" w:hAnsi="Times New Roman" w:eastAsia="宋体" w:cs="Times New Roman"/>
                      <w:color w:val="auto"/>
                      <w:kern w:val="21"/>
                      <w:szCs w:val="21"/>
                      <w:u w:val="none" w:color="auto"/>
                      <w:lang w:val="en-US" w:eastAsia="zh-CN"/>
                    </w:rPr>
                    <w:t>11.328</w:t>
                  </w:r>
                </w:p>
              </w:tc>
            </w:tr>
            <w:tr w14:paraId="44128C1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14" w:type="pct"/>
                  <w:vMerge w:val="continue"/>
                  <w:tcBorders>
                    <w:tl2br w:val="nil"/>
                    <w:tr2bl w:val="nil"/>
                  </w:tcBorders>
                </w:tcPr>
                <w:p w14:paraId="79E11A1E">
                  <w:pPr>
                    <w:widowControl/>
                    <w:jc w:val="center"/>
                    <w:rPr>
                      <w:rFonts w:hint="default" w:ascii="Times New Roman" w:hAnsi="Times New Roman" w:eastAsia="宋体" w:cs="Times New Roman"/>
                      <w:color w:val="auto"/>
                      <w:kern w:val="0"/>
                      <w:sz w:val="21"/>
                      <w:szCs w:val="21"/>
                      <w:highlight w:val="none"/>
                      <w:u w:val="none" w:color="auto"/>
                    </w:rPr>
                  </w:pPr>
                </w:p>
              </w:tc>
              <w:tc>
                <w:tcPr>
                  <w:tcW w:w="2705" w:type="pct"/>
                  <w:gridSpan w:val="2"/>
                  <w:tcBorders>
                    <w:tl2br w:val="nil"/>
                    <w:tr2bl w:val="nil"/>
                  </w:tcBorders>
                  <w:vAlign w:val="center"/>
                </w:tcPr>
                <w:p w14:paraId="1F7C160F">
                  <w:pPr>
                    <w:spacing w:line="240" w:lineRule="atLeast"/>
                    <w:jc w:val="center"/>
                    <w:rPr>
                      <w:rFonts w:hint="default" w:ascii="Times New Roman" w:hAnsi="Times New Roman" w:eastAsia="宋体" w:cs="Times New Roman"/>
                      <w:color w:val="auto"/>
                      <w:kern w:val="2"/>
                      <w:sz w:val="21"/>
                      <w:szCs w:val="24"/>
                      <w:u w:val="none" w:color="auto"/>
                      <w:lang w:val="en-US" w:eastAsia="zh-CN" w:bidi="ar-SA"/>
                    </w:rPr>
                  </w:pPr>
                  <w:r>
                    <w:rPr>
                      <w:rFonts w:hint="default" w:ascii="Times New Roman" w:hAnsi="Times New Roman" w:eastAsia="宋体" w:cs="Times New Roman"/>
                      <w:color w:val="auto"/>
                      <w:u w:val="none" w:color="auto"/>
                      <w:lang w:eastAsia="zh-CN"/>
                    </w:rPr>
                    <w:t>废催化剂（铁触媒）</w:t>
                  </w:r>
                </w:p>
              </w:tc>
              <w:tc>
                <w:tcPr>
                  <w:tcW w:w="1580" w:type="pct"/>
                  <w:tcBorders>
                    <w:tl2br w:val="nil"/>
                    <w:tr2bl w:val="nil"/>
                  </w:tcBorders>
                  <w:vAlign w:val="center"/>
                </w:tcPr>
                <w:p w14:paraId="3C928DA8">
                  <w:pPr>
                    <w:spacing w:line="240" w:lineRule="atLeast"/>
                    <w:jc w:val="center"/>
                    <w:rPr>
                      <w:rFonts w:hint="default" w:ascii="Times New Roman" w:hAnsi="Times New Roman" w:eastAsia="宋体" w:cs="Times New Roman"/>
                      <w:color w:val="auto"/>
                      <w:kern w:val="21"/>
                      <w:sz w:val="21"/>
                      <w:szCs w:val="21"/>
                      <w:u w:val="none" w:color="auto"/>
                      <w:lang w:val="en-US" w:eastAsia="zh-CN" w:bidi="ar-SA"/>
                    </w:rPr>
                  </w:pPr>
                  <w:r>
                    <w:rPr>
                      <w:rFonts w:hint="default" w:ascii="Times New Roman" w:hAnsi="Times New Roman" w:eastAsia="宋体" w:cs="Times New Roman"/>
                      <w:color w:val="auto"/>
                      <w:kern w:val="21"/>
                      <w:szCs w:val="21"/>
                      <w:u w:val="none" w:color="auto"/>
                      <w:lang w:val="en-US" w:eastAsia="zh-CN"/>
                    </w:rPr>
                    <w:t>0.5</w:t>
                  </w:r>
                </w:p>
              </w:tc>
            </w:tr>
            <w:tr w14:paraId="2261369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14" w:type="pct"/>
                  <w:vMerge w:val="continue"/>
                  <w:tcBorders>
                    <w:tl2br w:val="nil"/>
                    <w:tr2bl w:val="nil"/>
                  </w:tcBorders>
                </w:tcPr>
                <w:p w14:paraId="695AFD31">
                  <w:pPr>
                    <w:widowControl/>
                    <w:jc w:val="center"/>
                    <w:rPr>
                      <w:rFonts w:hint="default" w:ascii="Times New Roman" w:hAnsi="Times New Roman" w:eastAsia="宋体" w:cs="Times New Roman"/>
                      <w:color w:val="auto"/>
                      <w:kern w:val="0"/>
                      <w:sz w:val="21"/>
                      <w:szCs w:val="21"/>
                      <w:highlight w:val="none"/>
                      <w:u w:val="none" w:color="auto"/>
                    </w:rPr>
                  </w:pPr>
                </w:p>
              </w:tc>
              <w:tc>
                <w:tcPr>
                  <w:tcW w:w="2705" w:type="pct"/>
                  <w:gridSpan w:val="2"/>
                  <w:tcBorders>
                    <w:tl2br w:val="nil"/>
                    <w:tr2bl w:val="nil"/>
                  </w:tcBorders>
                  <w:vAlign w:val="center"/>
                </w:tcPr>
                <w:p w14:paraId="26D5C19E">
                  <w:pPr>
                    <w:spacing w:line="240" w:lineRule="atLeast"/>
                    <w:jc w:val="center"/>
                    <w:rPr>
                      <w:rFonts w:hint="default" w:ascii="Times New Roman" w:hAnsi="Times New Roman" w:eastAsia="宋体" w:cs="Times New Roman"/>
                      <w:color w:val="auto"/>
                      <w:kern w:val="2"/>
                      <w:sz w:val="21"/>
                      <w:szCs w:val="24"/>
                      <w:u w:val="none" w:color="auto"/>
                      <w:lang w:val="en-US" w:eastAsia="zh-CN" w:bidi="ar-SA"/>
                    </w:rPr>
                  </w:pPr>
                  <w:r>
                    <w:rPr>
                      <w:rFonts w:hint="default" w:ascii="Times New Roman" w:hAnsi="Times New Roman" w:eastAsia="宋体" w:cs="Times New Roman"/>
                      <w:color w:val="auto"/>
                      <w:u w:val="none" w:color="auto"/>
                      <w:lang w:val="en-US" w:eastAsia="zh-CN"/>
                    </w:rPr>
                    <w:t>废钢丸、废砂</w:t>
                  </w:r>
                </w:p>
              </w:tc>
              <w:tc>
                <w:tcPr>
                  <w:tcW w:w="1580" w:type="pct"/>
                  <w:tcBorders>
                    <w:tl2br w:val="nil"/>
                    <w:tr2bl w:val="nil"/>
                  </w:tcBorders>
                  <w:vAlign w:val="center"/>
                </w:tcPr>
                <w:p w14:paraId="5F4C8258">
                  <w:pPr>
                    <w:spacing w:line="240" w:lineRule="atLeast"/>
                    <w:jc w:val="center"/>
                    <w:rPr>
                      <w:rFonts w:hint="default" w:ascii="Times New Roman" w:hAnsi="Times New Roman" w:eastAsia="宋体" w:cs="Times New Roman"/>
                      <w:color w:val="auto"/>
                      <w:kern w:val="21"/>
                      <w:sz w:val="21"/>
                      <w:szCs w:val="21"/>
                      <w:u w:val="none" w:color="auto"/>
                      <w:lang w:val="en-US" w:eastAsia="zh-CN" w:bidi="ar-SA"/>
                    </w:rPr>
                  </w:pPr>
                  <w:r>
                    <w:rPr>
                      <w:rFonts w:hint="default" w:ascii="Times New Roman" w:hAnsi="Times New Roman" w:eastAsia="宋体" w:cs="Times New Roman"/>
                      <w:color w:val="auto"/>
                      <w:kern w:val="21"/>
                      <w:szCs w:val="21"/>
                      <w:u w:val="none" w:color="auto"/>
                      <w:lang w:val="en-US" w:eastAsia="zh-CN"/>
                    </w:rPr>
                    <w:t>15</w:t>
                  </w:r>
                </w:p>
              </w:tc>
            </w:tr>
            <w:tr w14:paraId="59C3001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14" w:type="pct"/>
                  <w:vMerge w:val="continue"/>
                  <w:tcBorders>
                    <w:tl2br w:val="nil"/>
                    <w:tr2bl w:val="nil"/>
                  </w:tcBorders>
                </w:tcPr>
                <w:p w14:paraId="76F1542E">
                  <w:pPr>
                    <w:widowControl/>
                    <w:jc w:val="center"/>
                    <w:rPr>
                      <w:rFonts w:hint="default" w:ascii="Times New Roman" w:hAnsi="Times New Roman" w:eastAsia="宋体" w:cs="Times New Roman"/>
                      <w:color w:val="auto"/>
                      <w:kern w:val="0"/>
                      <w:sz w:val="21"/>
                      <w:szCs w:val="21"/>
                      <w:highlight w:val="none"/>
                      <w:u w:val="none" w:color="auto"/>
                    </w:rPr>
                  </w:pPr>
                </w:p>
              </w:tc>
              <w:tc>
                <w:tcPr>
                  <w:tcW w:w="2705" w:type="pct"/>
                  <w:gridSpan w:val="2"/>
                  <w:tcBorders>
                    <w:tl2br w:val="nil"/>
                    <w:tr2bl w:val="nil"/>
                  </w:tcBorders>
                  <w:vAlign w:val="center"/>
                </w:tcPr>
                <w:p w14:paraId="69FD826B">
                  <w:pPr>
                    <w:spacing w:line="240" w:lineRule="atLeast"/>
                    <w:jc w:val="center"/>
                    <w:rPr>
                      <w:rFonts w:hint="default" w:ascii="Times New Roman" w:hAnsi="Times New Roman" w:eastAsia="宋体" w:cs="Times New Roman"/>
                      <w:color w:val="auto"/>
                      <w:kern w:val="2"/>
                      <w:sz w:val="21"/>
                      <w:szCs w:val="24"/>
                      <w:highlight w:val="none"/>
                      <w:u w:val="none" w:color="auto"/>
                      <w:lang w:val="en-US" w:eastAsia="zh-CN" w:bidi="ar-SA"/>
                    </w:rPr>
                  </w:pPr>
                  <w:r>
                    <w:rPr>
                      <w:rFonts w:hint="default" w:ascii="Times New Roman" w:hAnsi="Times New Roman" w:eastAsia="宋体" w:cs="Times New Roman"/>
                      <w:color w:val="auto"/>
                      <w:highlight w:val="none"/>
                      <w:u w:val="none" w:color="auto"/>
                      <w:lang w:eastAsia="zh-CN"/>
                    </w:rPr>
                    <w:t>泥饼</w:t>
                  </w:r>
                </w:p>
              </w:tc>
              <w:tc>
                <w:tcPr>
                  <w:tcW w:w="1580" w:type="pct"/>
                  <w:tcBorders>
                    <w:tl2br w:val="nil"/>
                    <w:tr2bl w:val="nil"/>
                  </w:tcBorders>
                  <w:vAlign w:val="center"/>
                </w:tcPr>
                <w:p w14:paraId="00D80C4E">
                  <w:pPr>
                    <w:spacing w:line="240" w:lineRule="atLeast"/>
                    <w:jc w:val="center"/>
                    <w:rPr>
                      <w:rFonts w:hint="default" w:ascii="Times New Roman" w:hAnsi="Times New Roman" w:eastAsia="宋体" w:cs="Times New Roman"/>
                      <w:color w:val="auto"/>
                      <w:kern w:val="21"/>
                      <w:sz w:val="21"/>
                      <w:szCs w:val="21"/>
                      <w:highlight w:val="none"/>
                      <w:u w:val="none" w:color="auto"/>
                      <w:lang w:val="en-US" w:eastAsia="zh-CN" w:bidi="ar-SA"/>
                    </w:rPr>
                  </w:pPr>
                  <w:r>
                    <w:rPr>
                      <w:rFonts w:hint="default" w:ascii="Times New Roman" w:hAnsi="Times New Roman" w:eastAsia="宋体" w:cs="Times New Roman"/>
                      <w:color w:val="auto"/>
                      <w:kern w:val="21"/>
                      <w:szCs w:val="21"/>
                      <w:highlight w:val="none"/>
                      <w:u w:val="none" w:color="auto"/>
                      <w:lang w:val="en-US" w:eastAsia="zh-CN"/>
                    </w:rPr>
                    <w:t>62.658</w:t>
                  </w:r>
                </w:p>
              </w:tc>
            </w:tr>
            <w:tr w14:paraId="3ED82F0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14" w:type="pct"/>
                  <w:vMerge w:val="continue"/>
                  <w:tcBorders>
                    <w:tl2br w:val="nil"/>
                    <w:tr2bl w:val="nil"/>
                  </w:tcBorders>
                </w:tcPr>
                <w:p w14:paraId="04D59E9C">
                  <w:pPr>
                    <w:widowControl/>
                    <w:jc w:val="center"/>
                    <w:rPr>
                      <w:rFonts w:hint="default" w:ascii="Times New Roman" w:hAnsi="Times New Roman" w:eastAsia="宋体" w:cs="Times New Roman"/>
                      <w:color w:val="auto"/>
                      <w:kern w:val="0"/>
                      <w:sz w:val="21"/>
                      <w:szCs w:val="21"/>
                      <w:highlight w:val="none"/>
                      <w:u w:val="none" w:color="auto"/>
                    </w:rPr>
                  </w:pPr>
                </w:p>
              </w:tc>
              <w:tc>
                <w:tcPr>
                  <w:tcW w:w="2705" w:type="pct"/>
                  <w:gridSpan w:val="2"/>
                  <w:tcBorders>
                    <w:tl2br w:val="nil"/>
                    <w:tr2bl w:val="nil"/>
                  </w:tcBorders>
                  <w:vAlign w:val="center"/>
                </w:tcPr>
                <w:p w14:paraId="7A406ECE">
                  <w:pPr>
                    <w:topLinePunct w:val="0"/>
                    <w:bidi w:val="0"/>
                    <w:adjustRightInd/>
                    <w:snapToGrid/>
                    <w:spacing w:line="240" w:lineRule="atLeast"/>
                    <w:jc w:val="center"/>
                    <w:rPr>
                      <w:rFonts w:hint="default" w:ascii="Times New Roman" w:hAnsi="Times New Roman" w:eastAsia="宋体" w:cs="Times New Roman"/>
                      <w:color w:val="auto"/>
                      <w:kern w:val="2"/>
                      <w:sz w:val="21"/>
                      <w:szCs w:val="24"/>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lang w:val="en-US" w:eastAsia="zh-CN"/>
                    </w:rPr>
                    <w:t>泥沙沉渣</w:t>
                  </w:r>
                </w:p>
              </w:tc>
              <w:tc>
                <w:tcPr>
                  <w:tcW w:w="1580" w:type="pct"/>
                  <w:tcBorders>
                    <w:tl2br w:val="nil"/>
                    <w:tr2bl w:val="nil"/>
                  </w:tcBorders>
                  <w:vAlign w:val="center"/>
                </w:tcPr>
                <w:p w14:paraId="083F6F71">
                  <w:pPr>
                    <w:topLinePunct w:val="0"/>
                    <w:bidi w:val="0"/>
                    <w:adjustRightInd/>
                    <w:snapToGrid/>
                    <w:spacing w:line="240" w:lineRule="atLeast"/>
                    <w:jc w:val="center"/>
                    <w:rPr>
                      <w:rFonts w:hint="default" w:ascii="Times New Roman" w:hAnsi="Times New Roman" w:eastAsia="宋体" w:cs="Times New Roman"/>
                      <w:color w:val="auto"/>
                      <w:kern w:val="21"/>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lang w:val="en-US" w:eastAsia="zh-CN"/>
                    </w:rPr>
                    <w:t>0.0444</w:t>
                  </w:r>
                </w:p>
              </w:tc>
            </w:tr>
          </w:tbl>
          <w:p w14:paraId="400A1353">
            <w:pPr>
              <w:pStyle w:val="30"/>
              <w:spacing w:after="0" w:line="360" w:lineRule="auto"/>
              <w:ind w:left="0" w:leftChars="0" w:firstLine="482" w:firstLineChars="200"/>
              <w:rPr>
                <w:rFonts w:hint="default" w:ascii="Times New Roman" w:hAnsi="Times New Roman" w:eastAsia="宋体" w:cs="Times New Roman"/>
                <w:b/>
                <w:color w:val="auto"/>
                <w:sz w:val="24"/>
                <w:u w:val="none" w:color="auto"/>
                <w:lang w:eastAsia="zh-CN"/>
              </w:rPr>
            </w:pPr>
            <w:r>
              <w:rPr>
                <w:rFonts w:hint="default" w:ascii="Times New Roman" w:hAnsi="Times New Roman" w:eastAsia="宋体" w:cs="Times New Roman"/>
                <w:b/>
                <w:color w:val="auto"/>
                <w:sz w:val="24"/>
                <w:u w:val="none" w:color="auto"/>
                <w:lang w:val="en-US" w:eastAsia="zh-CN"/>
              </w:rPr>
              <w:t>6、</w:t>
            </w:r>
            <w:bookmarkStart w:id="85" w:name="_Toc384903272"/>
            <w:bookmarkStart w:id="86" w:name="_Toc456602327"/>
            <w:r>
              <w:rPr>
                <w:rFonts w:hint="default" w:ascii="Times New Roman" w:hAnsi="Times New Roman" w:eastAsia="宋体" w:cs="Times New Roman"/>
                <w:b/>
                <w:color w:val="auto"/>
                <w:sz w:val="24"/>
                <w:u w:val="none" w:color="auto"/>
                <w:lang w:eastAsia="zh-CN"/>
              </w:rPr>
              <w:t>中创空天厂区</w:t>
            </w:r>
            <w:r>
              <w:rPr>
                <w:rFonts w:hint="default" w:ascii="Times New Roman" w:hAnsi="Times New Roman" w:eastAsia="宋体" w:cs="Times New Roman"/>
                <w:b/>
                <w:color w:val="auto"/>
                <w:sz w:val="24"/>
                <w:u w:val="none" w:color="auto"/>
              </w:rPr>
              <w:t>存在的环境问题</w:t>
            </w:r>
            <w:bookmarkEnd w:id="85"/>
            <w:bookmarkEnd w:id="86"/>
          </w:p>
          <w:p w14:paraId="6E48A472">
            <w:pPr>
              <w:keepNext w:val="0"/>
              <w:keepLines w:val="0"/>
              <w:pageBreakBefore w:val="0"/>
              <w:widowControl w:val="0"/>
              <w:kinsoku/>
              <w:wordWrap/>
              <w:overflowPunct/>
              <w:topLinePunct w:val="0"/>
              <w:bidi w:val="0"/>
              <w:snapToGrid/>
              <w:spacing w:line="360" w:lineRule="auto"/>
              <w:ind w:firstLine="480" w:firstLineChars="200"/>
              <w:jc w:val="both"/>
              <w:textAlignment w:val="auto"/>
              <w:rPr>
                <w:rFonts w:hint="default" w:ascii="Times New Roman" w:hAnsi="Times New Roman" w:eastAsia="宋体" w:cs="Times New Roman"/>
                <w:color w:val="auto"/>
                <w:sz w:val="24"/>
                <w:highlight w:val="none"/>
                <w:u w:val="none" w:color="auto"/>
                <w:lang w:val="en-US" w:eastAsia="zh-CN"/>
              </w:rPr>
            </w:pPr>
            <w:r>
              <w:rPr>
                <w:rFonts w:hint="default" w:ascii="Times New Roman" w:hAnsi="Times New Roman" w:eastAsia="宋体" w:cs="Times New Roman"/>
                <w:color w:val="auto"/>
                <w:sz w:val="24"/>
                <w:highlight w:val="none"/>
                <w:u w:val="none" w:color="auto"/>
                <w:lang w:eastAsia="zh-CN"/>
              </w:rPr>
              <w:t>（</w:t>
            </w:r>
            <w:r>
              <w:rPr>
                <w:rFonts w:hint="default" w:ascii="Times New Roman" w:hAnsi="Times New Roman" w:eastAsia="宋体" w:cs="Times New Roman"/>
                <w:color w:val="auto"/>
                <w:sz w:val="24"/>
                <w:highlight w:val="none"/>
                <w:u w:val="none" w:color="auto"/>
                <w:lang w:val="en-US" w:eastAsia="zh-CN"/>
              </w:rPr>
              <w:t>1</w:t>
            </w:r>
            <w:r>
              <w:rPr>
                <w:rFonts w:hint="default" w:ascii="Times New Roman" w:hAnsi="Times New Roman" w:eastAsia="宋体" w:cs="Times New Roman"/>
                <w:color w:val="auto"/>
                <w:sz w:val="24"/>
                <w:highlight w:val="none"/>
                <w:u w:val="none" w:color="auto"/>
                <w:lang w:eastAsia="zh-CN"/>
              </w:rPr>
              <w:t>）</w:t>
            </w:r>
            <w:r>
              <w:rPr>
                <w:rFonts w:hint="default" w:ascii="Times New Roman" w:hAnsi="Times New Roman" w:eastAsia="宋体" w:cs="Times New Roman"/>
                <w:color w:val="auto"/>
                <w:sz w:val="24"/>
                <w:highlight w:val="none"/>
                <w:u w:val="none" w:color="auto"/>
              </w:rPr>
              <w:t>根据</w:t>
            </w:r>
            <w:r>
              <w:rPr>
                <w:rFonts w:hint="default" w:ascii="Times New Roman" w:hAnsi="Times New Roman" w:eastAsia="宋体" w:cs="Times New Roman"/>
                <w:color w:val="auto"/>
                <w:sz w:val="24"/>
                <w:highlight w:val="none"/>
                <w:u w:val="none" w:color="auto"/>
                <w:lang w:val="en-US" w:eastAsia="zh-CN"/>
              </w:rPr>
              <w:t>企业现场勘察和调阅相关资料</w:t>
            </w:r>
            <w:r>
              <w:rPr>
                <w:rFonts w:hint="default" w:ascii="Times New Roman" w:hAnsi="Times New Roman" w:eastAsia="宋体" w:cs="Times New Roman"/>
                <w:color w:val="auto"/>
                <w:sz w:val="24"/>
                <w:highlight w:val="none"/>
                <w:u w:val="none" w:color="auto"/>
              </w:rPr>
              <w:t>，</w:t>
            </w:r>
            <w:r>
              <w:rPr>
                <w:rFonts w:hint="default" w:ascii="Times New Roman" w:hAnsi="Times New Roman" w:eastAsia="宋体" w:cs="Times New Roman"/>
                <w:color w:val="auto"/>
                <w:sz w:val="24"/>
                <w:highlight w:val="none"/>
                <w:u w:val="none" w:color="auto"/>
                <w:lang w:val="en-US" w:eastAsia="zh-CN"/>
              </w:rPr>
              <w:t>现有工程的危废暂存间建设符合《危险废物贮存污染控制标准》（GB18596-2023）中提出的建设要求，相关废气排气筒已建设相关采样平台，已开展例行监测，环保设施运行良好，废水和废气经处理后能够做到达标排放。根据对建设单位现有工程项目的梳理发现，《年加工镁合金180吨扩建项目》实际处于停止阶段（该项目利用现有挤压车间设备，无新增设备用地等），既未开展验收，也未提出明确的项目中止，本次评价要求对项目实际情况进行界定，若项目保留且未来开展生产，则依据相关环境管理要求开展环保手续。</w:t>
            </w:r>
          </w:p>
          <w:p w14:paraId="6E3805B8">
            <w:pPr>
              <w:keepNext w:val="0"/>
              <w:keepLines w:val="0"/>
              <w:pageBreakBefore w:val="0"/>
              <w:widowControl w:val="0"/>
              <w:kinsoku/>
              <w:wordWrap/>
              <w:overflowPunct/>
              <w:topLinePunct w:val="0"/>
              <w:bidi w:val="0"/>
              <w:snapToGrid/>
              <w:spacing w:line="360" w:lineRule="auto"/>
              <w:ind w:firstLine="480" w:firstLineChars="200"/>
              <w:jc w:val="both"/>
              <w:textAlignment w:val="auto"/>
              <w:rPr>
                <w:rFonts w:hint="default" w:ascii="Times New Roman" w:hAnsi="Times New Roman" w:eastAsia="宋体" w:cs="Times New Roman"/>
                <w:bCs/>
                <w:color w:val="auto"/>
                <w:szCs w:val="21"/>
                <w:u w:val="none" w:color="auto"/>
                <w:lang w:val="en-US" w:eastAsia="zh-CN"/>
              </w:rPr>
            </w:pPr>
            <w:r>
              <w:rPr>
                <w:rFonts w:hint="default" w:ascii="Times New Roman" w:hAnsi="Times New Roman" w:eastAsia="宋体" w:cs="Times New Roman"/>
                <w:color w:val="auto"/>
                <w:sz w:val="24"/>
                <w:highlight w:val="none"/>
                <w:u w:val="none" w:color="auto"/>
                <w:lang w:val="en-US" w:eastAsia="zh-CN"/>
              </w:rPr>
              <w:t>（2）根据对项目现场勘查，本项目实际已有相关生产设备进入厂区，并有相关生产设备正在安装过程，属于“未批先建”情形，本次评价要求建设单位立即停止相关建设</w:t>
            </w:r>
            <w:r>
              <w:rPr>
                <w:rFonts w:hint="eastAsia" w:cs="Times New Roman"/>
                <w:color w:val="auto"/>
                <w:sz w:val="24"/>
                <w:highlight w:val="none"/>
                <w:u w:val="none" w:color="auto"/>
                <w:lang w:val="en-US" w:eastAsia="zh-CN"/>
              </w:rPr>
              <w:t>活动</w:t>
            </w:r>
            <w:r>
              <w:rPr>
                <w:rFonts w:hint="default" w:ascii="Times New Roman" w:hAnsi="Times New Roman" w:eastAsia="宋体" w:cs="Times New Roman"/>
                <w:color w:val="auto"/>
                <w:sz w:val="24"/>
                <w:highlight w:val="none"/>
                <w:u w:val="none" w:color="auto"/>
                <w:lang w:val="en-US" w:eastAsia="zh-CN"/>
              </w:rPr>
              <w:t>，并积极配合相关部门调查取证和开展本次环境影响评价工作。</w:t>
            </w:r>
          </w:p>
        </w:tc>
      </w:tr>
    </w:tbl>
    <w:p w14:paraId="03317F66">
      <w:pPr>
        <w:pStyle w:val="26"/>
        <w:jc w:val="center"/>
        <w:rPr>
          <w:rFonts w:hint="default" w:ascii="Times New Roman" w:hAnsi="Times New Roman" w:eastAsia="宋体" w:cs="Times New Roman"/>
          <w:snapToGrid w:val="0"/>
          <w:color w:val="auto"/>
          <w:sz w:val="36"/>
          <w:szCs w:val="36"/>
          <w:u w:val="none" w:color="auto"/>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p>
    <w:p w14:paraId="0E6DA1F9">
      <w:pPr>
        <w:pStyle w:val="26"/>
        <w:jc w:val="center"/>
        <w:outlineLvl w:val="0"/>
        <w:rPr>
          <w:rFonts w:hint="default" w:ascii="Times New Roman" w:hAnsi="Times New Roman" w:eastAsia="宋体" w:cs="Times New Roman"/>
          <w:b/>
          <w:bCs/>
          <w:snapToGrid w:val="0"/>
          <w:color w:val="auto"/>
          <w:sz w:val="30"/>
          <w:szCs w:val="30"/>
          <w:u w:val="none" w:color="auto"/>
        </w:rPr>
      </w:pPr>
      <w:bookmarkStart w:id="87" w:name="_Toc21722"/>
      <w:r>
        <w:rPr>
          <w:rFonts w:hint="default" w:ascii="Times New Roman" w:hAnsi="Times New Roman" w:eastAsia="宋体" w:cs="Times New Roman"/>
          <w:b/>
          <w:bCs/>
          <w:snapToGrid w:val="0"/>
          <w:color w:val="auto"/>
          <w:sz w:val="30"/>
          <w:szCs w:val="30"/>
          <w:u w:val="none" w:color="auto"/>
        </w:rPr>
        <w:t>三、区域环境质量现状、环境保护目标及评价标准</w:t>
      </w:r>
      <w:bookmarkEnd w:id="87"/>
    </w:p>
    <w:tbl>
      <w:tblPr>
        <w:tblStyle w:val="31"/>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00"/>
        <w:gridCol w:w="8190"/>
      </w:tblGrid>
      <w:tr w14:paraId="006E20A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800" w:type="dxa"/>
            <w:noWrap w:val="0"/>
            <w:vAlign w:val="center"/>
          </w:tcPr>
          <w:p w14:paraId="095E426C">
            <w:pPr>
              <w:adjustRightInd w:val="0"/>
              <w:snapToGrid w:val="0"/>
              <w:jc w:val="center"/>
              <w:rPr>
                <w:rFonts w:hint="default" w:ascii="Times New Roman" w:hAnsi="Times New Roman" w:eastAsia="宋体" w:cs="Times New Roman"/>
                <w:color w:val="auto"/>
                <w:kern w:val="0"/>
                <w:szCs w:val="21"/>
                <w:u w:val="none" w:color="auto"/>
              </w:rPr>
            </w:pPr>
            <w:r>
              <w:rPr>
                <w:rFonts w:hint="default" w:ascii="Times New Roman" w:hAnsi="Times New Roman" w:eastAsia="宋体" w:cs="Times New Roman"/>
                <w:color w:val="auto"/>
                <w:kern w:val="0"/>
                <w:szCs w:val="21"/>
                <w:u w:val="none" w:color="auto"/>
              </w:rPr>
              <w:t>区域</w:t>
            </w:r>
          </w:p>
          <w:p w14:paraId="66AE4B44">
            <w:pPr>
              <w:adjustRightInd w:val="0"/>
              <w:snapToGrid w:val="0"/>
              <w:jc w:val="center"/>
              <w:rPr>
                <w:rFonts w:hint="default" w:ascii="Times New Roman" w:hAnsi="Times New Roman" w:eastAsia="宋体" w:cs="Times New Roman"/>
                <w:color w:val="auto"/>
                <w:kern w:val="0"/>
                <w:szCs w:val="21"/>
                <w:u w:val="none" w:color="auto"/>
              </w:rPr>
            </w:pPr>
            <w:r>
              <w:rPr>
                <w:rFonts w:hint="default" w:ascii="Times New Roman" w:hAnsi="Times New Roman" w:eastAsia="宋体" w:cs="Times New Roman"/>
                <w:color w:val="auto"/>
                <w:kern w:val="0"/>
                <w:szCs w:val="21"/>
                <w:u w:val="none" w:color="auto"/>
              </w:rPr>
              <w:t>环境</w:t>
            </w:r>
          </w:p>
          <w:p w14:paraId="4B911CD7">
            <w:pPr>
              <w:adjustRightInd w:val="0"/>
              <w:snapToGrid w:val="0"/>
              <w:jc w:val="center"/>
              <w:rPr>
                <w:rFonts w:hint="default" w:ascii="Times New Roman" w:hAnsi="Times New Roman" w:eastAsia="宋体" w:cs="Times New Roman"/>
                <w:color w:val="auto"/>
                <w:kern w:val="0"/>
                <w:szCs w:val="21"/>
                <w:u w:val="none" w:color="auto"/>
              </w:rPr>
            </w:pPr>
            <w:r>
              <w:rPr>
                <w:rFonts w:hint="default" w:ascii="Times New Roman" w:hAnsi="Times New Roman" w:eastAsia="宋体" w:cs="Times New Roman"/>
                <w:color w:val="auto"/>
                <w:kern w:val="0"/>
                <w:szCs w:val="21"/>
                <w:u w:val="none" w:color="auto"/>
              </w:rPr>
              <w:t>质量</w:t>
            </w:r>
          </w:p>
          <w:p w14:paraId="4D1FF89D">
            <w:pPr>
              <w:adjustRightInd w:val="0"/>
              <w:snapToGrid w:val="0"/>
              <w:jc w:val="center"/>
              <w:rPr>
                <w:rFonts w:hint="default" w:ascii="Times New Roman" w:hAnsi="Times New Roman" w:eastAsia="宋体" w:cs="Times New Roman"/>
                <w:color w:val="auto"/>
                <w:kern w:val="0"/>
                <w:szCs w:val="21"/>
                <w:u w:val="none" w:color="auto"/>
              </w:rPr>
            </w:pPr>
            <w:r>
              <w:rPr>
                <w:rFonts w:hint="default" w:ascii="Times New Roman" w:hAnsi="Times New Roman" w:eastAsia="宋体" w:cs="Times New Roman"/>
                <w:color w:val="auto"/>
                <w:kern w:val="0"/>
                <w:szCs w:val="21"/>
                <w:u w:val="none" w:color="auto"/>
              </w:rPr>
              <w:t>现状</w:t>
            </w:r>
          </w:p>
        </w:tc>
        <w:tc>
          <w:tcPr>
            <w:tcW w:w="8190" w:type="dxa"/>
            <w:noWrap w:val="0"/>
            <w:vAlign w:val="center"/>
          </w:tcPr>
          <w:p w14:paraId="7830787C">
            <w:pPr>
              <w:numPr>
                <w:ilvl w:val="0"/>
                <w:numId w:val="5"/>
              </w:numPr>
              <w:adjustRightInd w:val="0"/>
              <w:snapToGrid w:val="0"/>
              <w:spacing w:line="360" w:lineRule="auto"/>
              <w:rPr>
                <w:rFonts w:hint="default" w:ascii="Times New Roman" w:hAnsi="Times New Roman" w:eastAsia="宋体" w:cs="Times New Roman"/>
                <w:b/>
                <w:bCs/>
                <w:color w:val="auto"/>
                <w:sz w:val="24"/>
                <w:szCs w:val="32"/>
                <w:u w:val="none" w:color="auto"/>
              </w:rPr>
            </w:pPr>
            <w:r>
              <w:rPr>
                <w:rFonts w:hint="default" w:ascii="Times New Roman" w:hAnsi="Times New Roman" w:eastAsia="宋体" w:cs="Times New Roman"/>
                <w:b/>
                <w:bCs/>
                <w:color w:val="auto"/>
                <w:sz w:val="24"/>
                <w:szCs w:val="32"/>
                <w:u w:val="none" w:color="auto"/>
              </w:rPr>
              <w:t>大气环境</w:t>
            </w:r>
          </w:p>
          <w:p w14:paraId="599790B8">
            <w:pPr>
              <w:pStyle w:val="67"/>
              <w:spacing w:line="360" w:lineRule="auto"/>
              <w:ind w:left="420" w:leftChars="200"/>
              <w:rPr>
                <w:rFonts w:hint="default" w:ascii="Times New Roman" w:hAnsi="Times New Roman" w:eastAsia="宋体" w:cs="Times New Roman"/>
                <w:color w:val="auto"/>
                <w:sz w:val="24"/>
                <w:szCs w:val="22"/>
                <w:u w:val="none" w:color="auto"/>
              </w:rPr>
            </w:pPr>
            <w:r>
              <w:rPr>
                <w:rFonts w:hint="default" w:ascii="Times New Roman" w:hAnsi="Times New Roman" w:eastAsia="宋体" w:cs="Times New Roman"/>
                <w:color w:val="auto"/>
                <w:sz w:val="24"/>
                <w:szCs w:val="22"/>
                <w:u w:val="none" w:color="auto"/>
              </w:rPr>
              <w:t>（1）达标区判定</w:t>
            </w:r>
          </w:p>
          <w:p w14:paraId="6E2F196C">
            <w:pPr>
              <w:widowControl/>
              <w:spacing w:line="360" w:lineRule="auto"/>
              <w:ind w:firstLine="480" w:firstLineChars="200"/>
              <w:rPr>
                <w:rFonts w:hint="default" w:ascii="Times New Roman" w:hAnsi="Times New Roman" w:eastAsia="宋体" w:cs="Times New Roman"/>
                <w:color w:val="auto"/>
                <w:kern w:val="0"/>
                <w:sz w:val="24"/>
                <w:highlight w:val="none"/>
                <w:u w:val="none" w:color="auto"/>
                <w:lang w:bidi="ar"/>
              </w:rPr>
            </w:pPr>
            <w:r>
              <w:rPr>
                <w:rFonts w:hint="default" w:ascii="Times New Roman" w:hAnsi="Times New Roman" w:eastAsia="宋体" w:cs="Times New Roman"/>
                <w:color w:val="auto"/>
                <w:sz w:val="24"/>
                <w:szCs w:val="22"/>
                <w:u w:val="none" w:color="auto"/>
              </w:rPr>
              <w:t>为了解项目所在区域环境空气质量状况，本次评价大气环境质量现状调查资料引用生态环境主管部门已公布的2024年岳阳市城区常规自动空气监测点年均监测值的数据来进行项目所在区域环境质量空气现状评价。环境空气质量数据见下表。</w:t>
            </w:r>
          </w:p>
          <w:p w14:paraId="4FCA1A1C">
            <w:pPr>
              <w:widowControl/>
              <w:spacing w:line="360" w:lineRule="auto"/>
              <w:ind w:firstLine="480" w:firstLineChars="200"/>
              <w:rPr>
                <w:rFonts w:hint="default" w:ascii="Times New Roman" w:hAnsi="Times New Roman" w:eastAsia="宋体" w:cs="Times New Roman"/>
                <w:color w:val="auto"/>
                <w:kern w:val="0"/>
                <w:sz w:val="24"/>
                <w:highlight w:val="none"/>
                <w:u w:val="none" w:color="auto"/>
                <w:lang w:bidi="ar"/>
              </w:rPr>
            </w:pPr>
            <w:r>
              <w:rPr>
                <w:rFonts w:hint="default" w:ascii="Times New Roman" w:hAnsi="Times New Roman" w:eastAsia="宋体" w:cs="Times New Roman"/>
                <w:color w:val="auto"/>
                <w:kern w:val="0"/>
                <w:sz w:val="24"/>
                <w:highlight w:val="none"/>
                <w:u w:val="none" w:color="auto"/>
                <w:lang w:bidi="ar"/>
              </w:rPr>
              <w:t>区域空气质量现状评价表见表3-1。</w:t>
            </w:r>
          </w:p>
          <w:p w14:paraId="08621E1B">
            <w:pPr>
              <w:pStyle w:val="67"/>
              <w:jc w:val="center"/>
              <w:rPr>
                <w:rFonts w:hint="default" w:ascii="Times New Roman" w:hAnsi="Times New Roman" w:eastAsia="宋体" w:cs="Times New Roman"/>
                <w:b/>
                <w:bCs/>
                <w:color w:val="auto"/>
                <w:u w:val="none" w:color="auto"/>
              </w:rPr>
            </w:pPr>
            <w:r>
              <w:rPr>
                <w:rFonts w:hint="default" w:ascii="Times New Roman" w:hAnsi="Times New Roman" w:eastAsia="宋体" w:cs="Times New Roman"/>
                <w:b/>
                <w:bCs/>
                <w:color w:val="auto"/>
                <w:u w:val="none" w:color="auto"/>
              </w:rPr>
              <w:t>表3-1  202</w:t>
            </w:r>
            <w:r>
              <w:rPr>
                <w:rFonts w:hint="default" w:ascii="Times New Roman" w:hAnsi="Times New Roman" w:eastAsia="宋体" w:cs="Times New Roman"/>
                <w:b/>
                <w:bCs/>
                <w:color w:val="auto"/>
                <w:u w:val="none" w:color="auto"/>
                <w:lang w:val="en-US" w:eastAsia="zh-CN"/>
              </w:rPr>
              <w:t>4</w:t>
            </w:r>
            <w:r>
              <w:rPr>
                <w:rFonts w:hint="default" w:ascii="Times New Roman" w:hAnsi="Times New Roman" w:eastAsia="宋体" w:cs="Times New Roman"/>
                <w:b/>
                <w:bCs/>
                <w:color w:val="auto"/>
                <w:u w:val="none" w:color="auto"/>
              </w:rPr>
              <w:t>年</w:t>
            </w:r>
            <w:r>
              <w:rPr>
                <w:rFonts w:hint="default" w:ascii="Times New Roman" w:hAnsi="Times New Roman" w:eastAsia="宋体" w:cs="Times New Roman"/>
                <w:b/>
                <w:bCs/>
                <w:color w:val="auto"/>
                <w:u w:val="none" w:color="auto"/>
                <w:lang w:val="en-US" w:eastAsia="zh-CN"/>
              </w:rPr>
              <w:t>岳阳市</w:t>
            </w:r>
            <w:r>
              <w:rPr>
                <w:rFonts w:hint="default" w:ascii="Times New Roman" w:hAnsi="Times New Roman" w:eastAsia="宋体" w:cs="Times New Roman"/>
                <w:b/>
                <w:bCs/>
                <w:color w:val="auto"/>
                <w:u w:val="none" w:color="auto"/>
              </w:rPr>
              <w:t>区域空气质量现状评价表</w:t>
            </w:r>
          </w:p>
          <w:tbl>
            <w:tblPr>
              <w:tblStyle w:val="31"/>
              <w:tblW w:w="4998"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
            <w:tblGrid>
              <w:gridCol w:w="768"/>
              <w:gridCol w:w="2532"/>
              <w:gridCol w:w="1499"/>
              <w:gridCol w:w="1341"/>
              <w:gridCol w:w="927"/>
              <w:gridCol w:w="874"/>
            </w:tblGrid>
            <w:tr w14:paraId="76FC5FF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51" w:hRule="atLeast"/>
              </w:trPr>
              <w:tc>
                <w:tcPr>
                  <w:tcW w:w="484" w:type="pct"/>
                  <w:shd w:val="clear" w:color="auto" w:fill="auto"/>
                  <w:vAlign w:val="center"/>
                </w:tcPr>
                <w:p w14:paraId="1E73E8F9">
                  <w:pPr>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污染物</w:t>
                  </w:r>
                </w:p>
              </w:tc>
              <w:tc>
                <w:tcPr>
                  <w:tcW w:w="1593" w:type="pct"/>
                  <w:shd w:val="clear" w:color="auto" w:fill="auto"/>
                  <w:vAlign w:val="center"/>
                </w:tcPr>
                <w:p w14:paraId="5C06A2E2">
                  <w:pPr>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年评价指标</w:t>
                  </w:r>
                </w:p>
              </w:tc>
              <w:tc>
                <w:tcPr>
                  <w:tcW w:w="943" w:type="pct"/>
                  <w:vAlign w:val="center"/>
                </w:tcPr>
                <w:p w14:paraId="5F6BDA45">
                  <w:pPr>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现状浓度/(μg/m³)</w:t>
                  </w:r>
                </w:p>
              </w:tc>
              <w:tc>
                <w:tcPr>
                  <w:tcW w:w="844" w:type="pct"/>
                  <w:vAlign w:val="center"/>
                </w:tcPr>
                <w:p w14:paraId="6265B299">
                  <w:pPr>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标准值/(μg/m³)</w:t>
                  </w:r>
                </w:p>
              </w:tc>
              <w:tc>
                <w:tcPr>
                  <w:tcW w:w="583" w:type="pct"/>
                  <w:vAlign w:val="center"/>
                </w:tcPr>
                <w:p w14:paraId="6E3A5C94">
                  <w:pPr>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占标率/%</w:t>
                  </w:r>
                </w:p>
              </w:tc>
              <w:tc>
                <w:tcPr>
                  <w:tcW w:w="550" w:type="pct"/>
                  <w:vAlign w:val="center"/>
                </w:tcPr>
                <w:p w14:paraId="27C3AA9C">
                  <w:pPr>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达标情况</w:t>
                  </w:r>
                </w:p>
              </w:tc>
            </w:tr>
            <w:tr w14:paraId="66D2B6F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1" w:hRule="atLeast"/>
              </w:trPr>
              <w:tc>
                <w:tcPr>
                  <w:tcW w:w="484" w:type="pct"/>
                  <w:shd w:val="clear" w:color="auto" w:fill="auto"/>
                  <w:vAlign w:val="center"/>
                </w:tcPr>
                <w:p w14:paraId="6EE6322E">
                  <w:pPr>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SO</w:t>
                  </w:r>
                  <w:r>
                    <w:rPr>
                      <w:rFonts w:hint="default" w:ascii="Times New Roman" w:hAnsi="Times New Roman" w:eastAsia="宋体" w:cs="Times New Roman"/>
                      <w:color w:val="auto"/>
                      <w:szCs w:val="21"/>
                      <w:u w:val="none" w:color="auto"/>
                      <w:vertAlign w:val="subscript"/>
                    </w:rPr>
                    <w:t>2</w:t>
                  </w:r>
                </w:p>
              </w:tc>
              <w:tc>
                <w:tcPr>
                  <w:tcW w:w="1593" w:type="pct"/>
                  <w:shd w:val="clear" w:color="auto" w:fill="auto"/>
                  <w:vAlign w:val="center"/>
                </w:tcPr>
                <w:p w14:paraId="20AD3D03">
                  <w:pPr>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年平均质量浓度</w:t>
                  </w:r>
                </w:p>
              </w:tc>
              <w:tc>
                <w:tcPr>
                  <w:tcW w:w="943" w:type="pct"/>
                  <w:vAlign w:val="center"/>
                </w:tcPr>
                <w:p w14:paraId="59CCD0E7">
                  <w:pPr>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8</w:t>
                  </w:r>
                </w:p>
              </w:tc>
              <w:tc>
                <w:tcPr>
                  <w:tcW w:w="844" w:type="pct"/>
                  <w:vAlign w:val="center"/>
                </w:tcPr>
                <w:p w14:paraId="1EEBA16B">
                  <w:pPr>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60</w:t>
                  </w:r>
                </w:p>
              </w:tc>
              <w:tc>
                <w:tcPr>
                  <w:tcW w:w="583" w:type="pct"/>
                  <w:vAlign w:val="center"/>
                </w:tcPr>
                <w:p w14:paraId="592B7F1E">
                  <w:pPr>
                    <w:adjustRightInd w:val="0"/>
                    <w:snapToGrid w:val="0"/>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13.3</w:t>
                  </w:r>
                </w:p>
              </w:tc>
              <w:tc>
                <w:tcPr>
                  <w:tcW w:w="550" w:type="pct"/>
                  <w:vAlign w:val="center"/>
                </w:tcPr>
                <w:p w14:paraId="2B9688E2">
                  <w:pPr>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达标</w:t>
                  </w:r>
                </w:p>
              </w:tc>
            </w:tr>
            <w:tr w14:paraId="61B5CA7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1" w:hRule="atLeast"/>
              </w:trPr>
              <w:tc>
                <w:tcPr>
                  <w:tcW w:w="484" w:type="pct"/>
                  <w:shd w:val="clear" w:color="auto" w:fill="auto"/>
                  <w:vAlign w:val="center"/>
                </w:tcPr>
                <w:p w14:paraId="6B24C2D6">
                  <w:pPr>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NO</w:t>
                  </w:r>
                  <w:r>
                    <w:rPr>
                      <w:rFonts w:hint="default" w:ascii="Times New Roman" w:hAnsi="Times New Roman" w:eastAsia="宋体" w:cs="Times New Roman"/>
                      <w:color w:val="auto"/>
                      <w:szCs w:val="21"/>
                      <w:u w:val="none" w:color="auto"/>
                      <w:vertAlign w:val="subscript"/>
                    </w:rPr>
                    <w:t>2</w:t>
                  </w:r>
                </w:p>
              </w:tc>
              <w:tc>
                <w:tcPr>
                  <w:tcW w:w="1593" w:type="pct"/>
                  <w:shd w:val="clear" w:color="auto" w:fill="auto"/>
                  <w:vAlign w:val="center"/>
                </w:tcPr>
                <w:p w14:paraId="03A5996C">
                  <w:pPr>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年平均质量浓度</w:t>
                  </w:r>
                </w:p>
              </w:tc>
              <w:tc>
                <w:tcPr>
                  <w:tcW w:w="943" w:type="pct"/>
                  <w:vAlign w:val="center"/>
                </w:tcPr>
                <w:p w14:paraId="44072C9B">
                  <w:pPr>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22</w:t>
                  </w:r>
                </w:p>
              </w:tc>
              <w:tc>
                <w:tcPr>
                  <w:tcW w:w="844" w:type="pct"/>
                  <w:vAlign w:val="center"/>
                </w:tcPr>
                <w:p w14:paraId="58E47385">
                  <w:pPr>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40</w:t>
                  </w:r>
                </w:p>
              </w:tc>
              <w:tc>
                <w:tcPr>
                  <w:tcW w:w="583" w:type="pct"/>
                  <w:vAlign w:val="center"/>
                </w:tcPr>
                <w:p w14:paraId="1824DF66">
                  <w:pPr>
                    <w:adjustRightInd w:val="0"/>
                    <w:snapToGrid w:val="0"/>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55</w:t>
                  </w:r>
                </w:p>
              </w:tc>
              <w:tc>
                <w:tcPr>
                  <w:tcW w:w="550" w:type="pct"/>
                  <w:vAlign w:val="center"/>
                </w:tcPr>
                <w:p w14:paraId="47F16424">
                  <w:pPr>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达标</w:t>
                  </w:r>
                </w:p>
              </w:tc>
            </w:tr>
            <w:tr w14:paraId="77A105E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1" w:hRule="atLeast"/>
              </w:trPr>
              <w:tc>
                <w:tcPr>
                  <w:tcW w:w="484" w:type="pct"/>
                  <w:shd w:val="clear" w:color="auto" w:fill="auto"/>
                  <w:vAlign w:val="center"/>
                </w:tcPr>
                <w:p w14:paraId="480D936D">
                  <w:pPr>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PM</w:t>
                  </w:r>
                  <w:r>
                    <w:rPr>
                      <w:rFonts w:hint="default" w:ascii="Times New Roman" w:hAnsi="Times New Roman" w:eastAsia="宋体" w:cs="Times New Roman"/>
                      <w:color w:val="auto"/>
                      <w:szCs w:val="21"/>
                      <w:u w:val="none" w:color="auto"/>
                      <w:vertAlign w:val="subscript"/>
                    </w:rPr>
                    <w:t>10</w:t>
                  </w:r>
                </w:p>
              </w:tc>
              <w:tc>
                <w:tcPr>
                  <w:tcW w:w="1593" w:type="pct"/>
                  <w:shd w:val="clear" w:color="auto" w:fill="auto"/>
                  <w:vAlign w:val="center"/>
                </w:tcPr>
                <w:p w14:paraId="02E5E53C">
                  <w:pPr>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年平均质量浓度</w:t>
                  </w:r>
                </w:p>
              </w:tc>
              <w:tc>
                <w:tcPr>
                  <w:tcW w:w="943" w:type="pct"/>
                  <w:vAlign w:val="center"/>
                </w:tcPr>
                <w:p w14:paraId="3DD58573">
                  <w:pPr>
                    <w:jc w:val="center"/>
                    <w:rPr>
                      <w:rFonts w:hint="default" w:ascii="Times New Roman" w:hAnsi="Times New Roman" w:eastAsia="宋体" w:cs="Times New Roman"/>
                      <w:color w:val="auto"/>
                      <w:szCs w:val="21"/>
                      <w:u w:val="none" w:color="auto"/>
                      <w:lang w:eastAsia="zh-CN"/>
                    </w:rPr>
                  </w:pPr>
                  <w:r>
                    <w:rPr>
                      <w:rFonts w:hint="default" w:ascii="Times New Roman" w:hAnsi="Times New Roman" w:eastAsia="宋体" w:cs="Times New Roman"/>
                      <w:color w:val="auto"/>
                      <w:szCs w:val="21"/>
                      <w:u w:val="none" w:color="auto"/>
                    </w:rPr>
                    <w:t>5</w:t>
                  </w:r>
                  <w:r>
                    <w:rPr>
                      <w:rFonts w:hint="default" w:ascii="Times New Roman" w:hAnsi="Times New Roman" w:eastAsia="宋体" w:cs="Times New Roman"/>
                      <w:color w:val="auto"/>
                      <w:szCs w:val="21"/>
                      <w:u w:val="none" w:color="auto"/>
                      <w:lang w:val="en-US" w:eastAsia="zh-CN"/>
                    </w:rPr>
                    <w:t>1</w:t>
                  </w:r>
                </w:p>
              </w:tc>
              <w:tc>
                <w:tcPr>
                  <w:tcW w:w="844" w:type="pct"/>
                  <w:vAlign w:val="center"/>
                </w:tcPr>
                <w:p w14:paraId="29448CE4">
                  <w:pPr>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70</w:t>
                  </w:r>
                </w:p>
              </w:tc>
              <w:tc>
                <w:tcPr>
                  <w:tcW w:w="583" w:type="pct"/>
                  <w:vAlign w:val="center"/>
                </w:tcPr>
                <w:p w14:paraId="755F62BF">
                  <w:pPr>
                    <w:adjustRightInd w:val="0"/>
                    <w:snapToGrid w:val="0"/>
                    <w:jc w:val="center"/>
                    <w:rPr>
                      <w:rFonts w:hint="default" w:ascii="Times New Roman" w:hAnsi="Times New Roman" w:eastAsia="宋体" w:cs="Times New Roman"/>
                      <w:color w:val="auto"/>
                      <w:szCs w:val="21"/>
                      <w:u w:val="none" w:color="auto"/>
                      <w:lang w:val="en-US" w:eastAsia="zh-CN"/>
                    </w:rPr>
                  </w:pPr>
                  <w:r>
                    <w:rPr>
                      <w:rFonts w:hint="default" w:ascii="Times New Roman" w:hAnsi="Times New Roman" w:eastAsia="宋体" w:cs="Times New Roman"/>
                      <w:color w:val="auto"/>
                      <w:szCs w:val="21"/>
                      <w:u w:val="none" w:color="auto"/>
                      <w:lang w:val="en-US" w:eastAsia="zh-CN"/>
                    </w:rPr>
                    <w:t>72.8</w:t>
                  </w:r>
                </w:p>
              </w:tc>
              <w:tc>
                <w:tcPr>
                  <w:tcW w:w="550" w:type="pct"/>
                  <w:vAlign w:val="center"/>
                </w:tcPr>
                <w:p w14:paraId="6C6096F2">
                  <w:pPr>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达标</w:t>
                  </w:r>
                </w:p>
              </w:tc>
            </w:tr>
            <w:tr w14:paraId="41C1760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1" w:hRule="atLeast"/>
              </w:trPr>
              <w:tc>
                <w:tcPr>
                  <w:tcW w:w="484" w:type="pct"/>
                  <w:shd w:val="clear" w:color="auto" w:fill="auto"/>
                  <w:vAlign w:val="center"/>
                </w:tcPr>
                <w:p w14:paraId="26AE2C0B">
                  <w:pPr>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PM</w:t>
                  </w:r>
                  <w:r>
                    <w:rPr>
                      <w:rFonts w:hint="default" w:ascii="Times New Roman" w:hAnsi="Times New Roman" w:eastAsia="宋体" w:cs="Times New Roman"/>
                      <w:color w:val="auto"/>
                      <w:szCs w:val="21"/>
                      <w:u w:val="none" w:color="auto"/>
                      <w:vertAlign w:val="subscript"/>
                    </w:rPr>
                    <w:t>2.5</w:t>
                  </w:r>
                </w:p>
              </w:tc>
              <w:tc>
                <w:tcPr>
                  <w:tcW w:w="1593" w:type="pct"/>
                  <w:shd w:val="clear" w:color="auto" w:fill="auto"/>
                  <w:vAlign w:val="center"/>
                </w:tcPr>
                <w:p w14:paraId="16B78E47">
                  <w:pPr>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年平均质量浓度</w:t>
                  </w:r>
                </w:p>
              </w:tc>
              <w:tc>
                <w:tcPr>
                  <w:tcW w:w="943" w:type="pct"/>
                  <w:vAlign w:val="center"/>
                </w:tcPr>
                <w:p w14:paraId="47146058">
                  <w:pPr>
                    <w:jc w:val="center"/>
                    <w:rPr>
                      <w:rFonts w:hint="default" w:ascii="Times New Roman" w:hAnsi="Times New Roman" w:eastAsia="宋体" w:cs="Times New Roman"/>
                      <w:color w:val="auto"/>
                      <w:szCs w:val="21"/>
                      <w:u w:val="none" w:color="auto"/>
                      <w:lang w:eastAsia="zh-CN"/>
                    </w:rPr>
                  </w:pPr>
                  <w:r>
                    <w:rPr>
                      <w:rFonts w:hint="default" w:ascii="Times New Roman" w:hAnsi="Times New Roman" w:eastAsia="宋体" w:cs="Times New Roman"/>
                      <w:color w:val="auto"/>
                      <w:szCs w:val="21"/>
                      <w:u w:val="none" w:color="auto"/>
                    </w:rPr>
                    <w:t>3</w:t>
                  </w:r>
                  <w:r>
                    <w:rPr>
                      <w:rFonts w:hint="default" w:ascii="Times New Roman" w:hAnsi="Times New Roman" w:eastAsia="宋体" w:cs="Times New Roman"/>
                      <w:color w:val="auto"/>
                      <w:szCs w:val="21"/>
                      <w:u w:val="none" w:color="auto"/>
                      <w:lang w:val="en-US" w:eastAsia="zh-CN"/>
                    </w:rPr>
                    <w:t>5</w:t>
                  </w:r>
                </w:p>
              </w:tc>
              <w:tc>
                <w:tcPr>
                  <w:tcW w:w="844" w:type="pct"/>
                  <w:vAlign w:val="center"/>
                </w:tcPr>
                <w:p w14:paraId="359D0601">
                  <w:pPr>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35</w:t>
                  </w:r>
                </w:p>
              </w:tc>
              <w:tc>
                <w:tcPr>
                  <w:tcW w:w="583" w:type="pct"/>
                  <w:vAlign w:val="center"/>
                </w:tcPr>
                <w:p w14:paraId="42711243">
                  <w:pPr>
                    <w:adjustRightInd w:val="0"/>
                    <w:snapToGrid w:val="0"/>
                    <w:jc w:val="center"/>
                    <w:rPr>
                      <w:rFonts w:hint="default" w:ascii="Times New Roman" w:hAnsi="Times New Roman" w:eastAsia="宋体" w:cs="Times New Roman"/>
                      <w:color w:val="auto"/>
                      <w:szCs w:val="21"/>
                      <w:u w:val="none" w:color="auto"/>
                      <w:lang w:eastAsia="zh-CN"/>
                    </w:rPr>
                  </w:pPr>
                  <w:r>
                    <w:rPr>
                      <w:rFonts w:hint="default" w:ascii="Times New Roman" w:hAnsi="Times New Roman" w:eastAsia="宋体" w:cs="Times New Roman"/>
                      <w:color w:val="auto"/>
                      <w:szCs w:val="21"/>
                      <w:u w:val="none" w:color="auto"/>
                    </w:rPr>
                    <w:t>10</w:t>
                  </w:r>
                  <w:r>
                    <w:rPr>
                      <w:rFonts w:hint="default" w:ascii="Times New Roman" w:hAnsi="Times New Roman" w:eastAsia="宋体" w:cs="Times New Roman"/>
                      <w:color w:val="auto"/>
                      <w:szCs w:val="21"/>
                      <w:u w:val="none" w:color="auto"/>
                      <w:lang w:val="en-US" w:eastAsia="zh-CN"/>
                    </w:rPr>
                    <w:t>0</w:t>
                  </w:r>
                </w:p>
              </w:tc>
              <w:tc>
                <w:tcPr>
                  <w:tcW w:w="550" w:type="pct"/>
                  <w:vAlign w:val="center"/>
                </w:tcPr>
                <w:p w14:paraId="188E2250">
                  <w:pPr>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达标</w:t>
                  </w:r>
                </w:p>
              </w:tc>
            </w:tr>
            <w:tr w14:paraId="4C48620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71" w:hRule="atLeast"/>
              </w:trPr>
              <w:tc>
                <w:tcPr>
                  <w:tcW w:w="484" w:type="pct"/>
                  <w:shd w:val="clear" w:color="auto" w:fill="auto"/>
                  <w:vAlign w:val="center"/>
                </w:tcPr>
                <w:p w14:paraId="1194E9A5">
                  <w:pPr>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CO</w:t>
                  </w:r>
                </w:p>
              </w:tc>
              <w:tc>
                <w:tcPr>
                  <w:tcW w:w="1593" w:type="pct"/>
                  <w:shd w:val="clear" w:color="auto" w:fill="auto"/>
                  <w:vAlign w:val="center"/>
                </w:tcPr>
                <w:p w14:paraId="0121E941">
                  <w:pPr>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95位百分位数日平均质量浓度</w:t>
                  </w:r>
                </w:p>
              </w:tc>
              <w:tc>
                <w:tcPr>
                  <w:tcW w:w="943" w:type="pct"/>
                  <w:vAlign w:val="center"/>
                </w:tcPr>
                <w:p w14:paraId="1E6519BE">
                  <w:pPr>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1</w:t>
                  </w:r>
                  <w:r>
                    <w:rPr>
                      <w:rFonts w:hint="default" w:ascii="Times New Roman" w:hAnsi="Times New Roman" w:eastAsia="宋体" w:cs="Times New Roman"/>
                      <w:color w:val="auto"/>
                      <w:szCs w:val="21"/>
                      <w:u w:val="none" w:color="auto"/>
                      <w:lang w:val="en-US" w:eastAsia="zh-CN"/>
                    </w:rPr>
                    <w:t>0</w:t>
                  </w:r>
                  <w:r>
                    <w:rPr>
                      <w:rFonts w:hint="default" w:ascii="Times New Roman" w:hAnsi="Times New Roman" w:eastAsia="宋体" w:cs="Times New Roman"/>
                      <w:color w:val="auto"/>
                      <w:szCs w:val="21"/>
                      <w:u w:val="none" w:color="auto"/>
                    </w:rPr>
                    <w:t>00</w:t>
                  </w:r>
                </w:p>
              </w:tc>
              <w:tc>
                <w:tcPr>
                  <w:tcW w:w="844" w:type="pct"/>
                  <w:vAlign w:val="center"/>
                </w:tcPr>
                <w:p w14:paraId="4A4D1431">
                  <w:pPr>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4000</w:t>
                  </w:r>
                </w:p>
              </w:tc>
              <w:tc>
                <w:tcPr>
                  <w:tcW w:w="583" w:type="pct"/>
                  <w:vAlign w:val="center"/>
                </w:tcPr>
                <w:p w14:paraId="3D02990A">
                  <w:pPr>
                    <w:adjustRightInd w:val="0"/>
                    <w:snapToGrid w:val="0"/>
                    <w:jc w:val="center"/>
                    <w:rPr>
                      <w:rFonts w:hint="default" w:ascii="Times New Roman" w:hAnsi="Times New Roman" w:eastAsia="宋体" w:cs="Times New Roman"/>
                      <w:color w:val="auto"/>
                      <w:szCs w:val="21"/>
                      <w:u w:val="none" w:color="auto"/>
                      <w:lang w:val="en-US" w:eastAsia="zh-CN"/>
                    </w:rPr>
                  </w:pPr>
                  <w:r>
                    <w:rPr>
                      <w:rFonts w:hint="default" w:ascii="Times New Roman" w:hAnsi="Times New Roman" w:eastAsia="宋体" w:cs="Times New Roman"/>
                      <w:color w:val="auto"/>
                      <w:szCs w:val="21"/>
                      <w:u w:val="none" w:color="auto"/>
                    </w:rPr>
                    <w:t>2</w:t>
                  </w:r>
                  <w:r>
                    <w:rPr>
                      <w:rFonts w:hint="default" w:ascii="Times New Roman" w:hAnsi="Times New Roman" w:eastAsia="宋体" w:cs="Times New Roman"/>
                      <w:color w:val="auto"/>
                      <w:szCs w:val="21"/>
                      <w:u w:val="none" w:color="auto"/>
                      <w:lang w:val="en-US" w:eastAsia="zh-CN"/>
                    </w:rPr>
                    <w:t>5.0</w:t>
                  </w:r>
                </w:p>
              </w:tc>
              <w:tc>
                <w:tcPr>
                  <w:tcW w:w="550" w:type="pct"/>
                  <w:vAlign w:val="center"/>
                </w:tcPr>
                <w:p w14:paraId="7002D634">
                  <w:pPr>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达标</w:t>
                  </w:r>
                </w:p>
              </w:tc>
            </w:tr>
            <w:tr w14:paraId="5F9C6E7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11" w:hRule="atLeast"/>
              </w:trPr>
              <w:tc>
                <w:tcPr>
                  <w:tcW w:w="484" w:type="pct"/>
                  <w:shd w:val="clear" w:color="auto" w:fill="auto"/>
                  <w:vAlign w:val="center"/>
                </w:tcPr>
                <w:p w14:paraId="67999127">
                  <w:pPr>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O</w:t>
                  </w:r>
                  <w:r>
                    <w:rPr>
                      <w:rFonts w:hint="default" w:ascii="Times New Roman" w:hAnsi="Times New Roman" w:eastAsia="宋体" w:cs="Times New Roman"/>
                      <w:color w:val="auto"/>
                      <w:szCs w:val="21"/>
                      <w:u w:val="none" w:color="auto"/>
                      <w:vertAlign w:val="subscript"/>
                    </w:rPr>
                    <w:t>3</w:t>
                  </w:r>
                </w:p>
              </w:tc>
              <w:tc>
                <w:tcPr>
                  <w:tcW w:w="1593" w:type="pct"/>
                  <w:shd w:val="clear" w:color="auto" w:fill="auto"/>
                  <w:vAlign w:val="center"/>
                </w:tcPr>
                <w:p w14:paraId="0638234C">
                  <w:pPr>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日最大8小时平均第90百分位数</w:t>
                  </w:r>
                </w:p>
              </w:tc>
              <w:tc>
                <w:tcPr>
                  <w:tcW w:w="943" w:type="pct"/>
                  <w:vAlign w:val="center"/>
                </w:tcPr>
                <w:p w14:paraId="578B2288">
                  <w:pPr>
                    <w:jc w:val="center"/>
                    <w:rPr>
                      <w:rFonts w:hint="default" w:ascii="Times New Roman" w:hAnsi="Times New Roman" w:eastAsia="宋体" w:cs="Times New Roman"/>
                      <w:color w:val="auto"/>
                      <w:szCs w:val="21"/>
                      <w:u w:val="none" w:color="auto"/>
                      <w:lang w:eastAsia="zh-CN"/>
                    </w:rPr>
                  </w:pPr>
                  <w:r>
                    <w:rPr>
                      <w:rFonts w:hint="default" w:ascii="Times New Roman" w:hAnsi="Times New Roman" w:eastAsia="宋体" w:cs="Times New Roman"/>
                      <w:color w:val="auto"/>
                      <w:szCs w:val="21"/>
                      <w:u w:val="none" w:color="auto"/>
                    </w:rPr>
                    <w:t>14</w:t>
                  </w:r>
                  <w:r>
                    <w:rPr>
                      <w:rFonts w:hint="default" w:ascii="Times New Roman" w:hAnsi="Times New Roman" w:eastAsia="宋体" w:cs="Times New Roman"/>
                      <w:color w:val="auto"/>
                      <w:szCs w:val="21"/>
                      <w:u w:val="none" w:color="auto"/>
                      <w:lang w:val="en-US" w:eastAsia="zh-CN"/>
                    </w:rPr>
                    <w:t>8</w:t>
                  </w:r>
                </w:p>
              </w:tc>
              <w:tc>
                <w:tcPr>
                  <w:tcW w:w="844" w:type="pct"/>
                  <w:vAlign w:val="center"/>
                </w:tcPr>
                <w:p w14:paraId="17DFDCAA">
                  <w:pPr>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160</w:t>
                  </w:r>
                </w:p>
              </w:tc>
              <w:tc>
                <w:tcPr>
                  <w:tcW w:w="583" w:type="pct"/>
                  <w:vAlign w:val="center"/>
                </w:tcPr>
                <w:p w14:paraId="30A4B0D0">
                  <w:pPr>
                    <w:adjustRightInd w:val="0"/>
                    <w:snapToGrid w:val="0"/>
                    <w:jc w:val="center"/>
                    <w:rPr>
                      <w:rFonts w:hint="default" w:ascii="Times New Roman" w:hAnsi="Times New Roman" w:eastAsia="宋体" w:cs="Times New Roman"/>
                      <w:color w:val="auto"/>
                      <w:szCs w:val="21"/>
                      <w:u w:val="none" w:color="auto"/>
                      <w:lang w:val="en-US" w:eastAsia="zh-CN"/>
                    </w:rPr>
                  </w:pPr>
                  <w:r>
                    <w:rPr>
                      <w:rFonts w:hint="default" w:ascii="Times New Roman" w:hAnsi="Times New Roman" w:eastAsia="宋体" w:cs="Times New Roman"/>
                      <w:color w:val="auto"/>
                      <w:szCs w:val="21"/>
                      <w:u w:val="none" w:color="auto"/>
                    </w:rPr>
                    <w:t>9</w:t>
                  </w:r>
                  <w:r>
                    <w:rPr>
                      <w:rFonts w:hint="default" w:ascii="Times New Roman" w:hAnsi="Times New Roman" w:eastAsia="宋体" w:cs="Times New Roman"/>
                      <w:color w:val="auto"/>
                      <w:szCs w:val="21"/>
                      <w:u w:val="none" w:color="auto"/>
                      <w:lang w:val="en-US" w:eastAsia="zh-CN"/>
                    </w:rPr>
                    <w:t>2.5</w:t>
                  </w:r>
                </w:p>
              </w:tc>
              <w:tc>
                <w:tcPr>
                  <w:tcW w:w="550" w:type="pct"/>
                  <w:vAlign w:val="center"/>
                </w:tcPr>
                <w:p w14:paraId="5F799AF7">
                  <w:pPr>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达标</w:t>
                  </w:r>
                </w:p>
              </w:tc>
            </w:tr>
          </w:tbl>
          <w:p w14:paraId="60DA3827">
            <w:pPr>
              <w:spacing w:line="360" w:lineRule="auto"/>
              <w:ind w:firstLine="480" w:firstLineChars="200"/>
              <w:textAlignment w:val="center"/>
              <w:rPr>
                <w:rFonts w:hint="default" w:ascii="Times New Roman" w:hAnsi="Times New Roman" w:eastAsia="宋体" w:cs="Times New Roman"/>
                <w:color w:val="auto"/>
                <w:sz w:val="24"/>
                <w:szCs w:val="21"/>
                <w:u w:val="none" w:color="auto"/>
              </w:rPr>
            </w:pPr>
            <w:r>
              <w:rPr>
                <w:rFonts w:hint="default" w:ascii="Times New Roman" w:hAnsi="Times New Roman" w:eastAsia="宋体" w:cs="Times New Roman"/>
                <w:color w:val="auto"/>
                <w:kern w:val="0"/>
                <w:sz w:val="24"/>
                <w:szCs w:val="21"/>
                <w:u w:val="none" w:color="auto"/>
                <w:lang w:bidi="ar"/>
              </w:rPr>
              <w:t>项目所在区域为二类空气功能区，执行《环境空气质量标准》（GB3095-2012）中二级标准，</w:t>
            </w:r>
            <w:r>
              <w:rPr>
                <w:rFonts w:hint="default" w:ascii="Times New Roman" w:hAnsi="Times New Roman" w:eastAsia="宋体" w:cs="Times New Roman"/>
                <w:color w:val="auto"/>
                <w:sz w:val="24"/>
                <w:szCs w:val="22"/>
                <w:u w:val="none" w:color="auto"/>
              </w:rPr>
              <w:t>根据上表中对岳阳市城区空气质量统计结果分析可知，本项目所在区域为</w:t>
            </w:r>
            <w:r>
              <w:rPr>
                <w:rFonts w:hint="default" w:ascii="Times New Roman" w:hAnsi="Times New Roman" w:eastAsia="宋体" w:cs="Times New Roman"/>
                <w:color w:val="auto"/>
                <w:sz w:val="24"/>
                <w:szCs w:val="21"/>
                <w:u w:val="none" w:color="auto"/>
              </w:rPr>
              <w:t>达标区。</w:t>
            </w:r>
          </w:p>
          <w:p w14:paraId="23B4680D">
            <w:pPr>
              <w:spacing w:line="360" w:lineRule="auto"/>
              <w:ind w:firstLine="480" w:firstLineChars="200"/>
              <w:textAlignment w:val="center"/>
              <w:rPr>
                <w:rFonts w:hint="default" w:ascii="Times New Roman" w:hAnsi="Times New Roman" w:eastAsia="宋体" w:cs="Times New Roman"/>
                <w:bCs/>
                <w:color w:val="auto"/>
                <w:kern w:val="24"/>
                <w:sz w:val="24"/>
                <w:highlight w:val="none"/>
                <w:u w:val="none" w:color="auto"/>
              </w:rPr>
            </w:pPr>
            <w:r>
              <w:rPr>
                <w:rFonts w:hint="default" w:ascii="Times New Roman" w:hAnsi="Times New Roman" w:eastAsia="宋体" w:cs="Times New Roman"/>
                <w:bCs/>
                <w:color w:val="auto"/>
                <w:kern w:val="24"/>
                <w:sz w:val="24"/>
                <w:highlight w:val="none"/>
                <w:u w:val="none" w:color="auto"/>
              </w:rPr>
              <w:t>（2）其他污染物环境质量现状</w:t>
            </w:r>
          </w:p>
          <w:p w14:paraId="21B0566A">
            <w:pPr>
              <w:spacing w:line="360" w:lineRule="auto"/>
              <w:ind w:firstLine="480" w:firstLineChars="200"/>
              <w:textAlignment w:val="center"/>
              <w:rPr>
                <w:rFonts w:hint="default" w:ascii="Times New Roman" w:hAnsi="Times New Roman" w:eastAsia="宋体" w:cs="Times New Roman"/>
                <w:bCs/>
                <w:color w:val="auto"/>
                <w:kern w:val="24"/>
                <w:sz w:val="24"/>
                <w:highlight w:val="none"/>
                <w:u w:val="none" w:color="auto"/>
              </w:rPr>
            </w:pPr>
            <w:r>
              <w:rPr>
                <w:rFonts w:hint="default" w:ascii="Times New Roman" w:hAnsi="Times New Roman" w:eastAsia="宋体" w:cs="Times New Roman"/>
                <w:color w:val="auto"/>
                <w:sz w:val="24"/>
                <w:highlight w:val="none"/>
                <w:u w:val="none" w:color="auto"/>
              </w:rPr>
              <w:t>为进一步了解项目区域空气环境其他污染因子现状</w:t>
            </w:r>
            <w:r>
              <w:rPr>
                <w:rFonts w:hint="default" w:ascii="Times New Roman" w:hAnsi="Times New Roman" w:eastAsia="宋体" w:cs="Times New Roman"/>
                <w:bCs/>
                <w:color w:val="auto"/>
                <w:kern w:val="24"/>
                <w:sz w:val="24"/>
                <w:highlight w:val="none"/>
                <w:u w:val="none" w:color="auto"/>
              </w:rPr>
              <w:t>，本次评价引用</w:t>
            </w:r>
            <w:r>
              <w:rPr>
                <w:rFonts w:hint="default" w:ascii="Times New Roman" w:hAnsi="Times New Roman" w:eastAsia="宋体" w:cs="Times New Roman"/>
                <w:bCs/>
                <w:color w:val="auto"/>
                <w:kern w:val="24"/>
                <w:sz w:val="24"/>
                <w:highlight w:val="none"/>
                <w:u w:val="none" w:color="auto"/>
                <w:lang w:val="en-US" w:eastAsia="zh-CN"/>
              </w:rPr>
              <w:t>建设单位委托湖南湘健环保科技有限公司开展的TSP、NOx</w:t>
            </w:r>
            <w:r>
              <w:rPr>
                <w:rFonts w:hint="default" w:ascii="Times New Roman" w:hAnsi="Times New Roman" w:eastAsia="宋体" w:cs="Times New Roman"/>
                <w:bCs/>
                <w:color w:val="auto"/>
                <w:kern w:val="24"/>
                <w:sz w:val="24"/>
                <w:highlight w:val="none"/>
                <w:u w:val="none" w:color="auto"/>
              </w:rPr>
              <w:t>历史监测数据，监测时间为202</w:t>
            </w:r>
            <w:r>
              <w:rPr>
                <w:rFonts w:hint="default" w:ascii="Times New Roman" w:hAnsi="Times New Roman" w:eastAsia="宋体" w:cs="Times New Roman"/>
                <w:bCs/>
                <w:color w:val="auto"/>
                <w:kern w:val="24"/>
                <w:sz w:val="24"/>
                <w:highlight w:val="none"/>
                <w:u w:val="none" w:color="auto"/>
                <w:lang w:val="en-US" w:eastAsia="zh-CN"/>
              </w:rPr>
              <w:t>5</w:t>
            </w:r>
            <w:r>
              <w:rPr>
                <w:rFonts w:hint="default" w:ascii="Times New Roman" w:hAnsi="Times New Roman" w:eastAsia="宋体" w:cs="Times New Roman"/>
                <w:bCs/>
                <w:color w:val="auto"/>
                <w:kern w:val="24"/>
                <w:sz w:val="24"/>
                <w:highlight w:val="none"/>
                <w:u w:val="none" w:color="auto"/>
              </w:rPr>
              <w:t>年6月</w:t>
            </w:r>
            <w:r>
              <w:rPr>
                <w:rFonts w:hint="default" w:ascii="Times New Roman" w:hAnsi="Times New Roman" w:eastAsia="宋体" w:cs="Times New Roman"/>
                <w:bCs/>
                <w:color w:val="auto"/>
                <w:kern w:val="24"/>
                <w:sz w:val="24"/>
                <w:highlight w:val="none"/>
                <w:u w:val="none" w:color="auto"/>
                <w:lang w:val="en-US" w:eastAsia="zh-CN"/>
              </w:rPr>
              <w:t>16</w:t>
            </w:r>
            <w:r>
              <w:rPr>
                <w:rFonts w:hint="default" w:ascii="Times New Roman" w:hAnsi="Times New Roman" w:eastAsia="宋体" w:cs="Times New Roman"/>
                <w:bCs/>
                <w:color w:val="auto"/>
                <w:kern w:val="24"/>
                <w:sz w:val="24"/>
                <w:highlight w:val="none"/>
                <w:u w:val="none" w:color="auto"/>
              </w:rPr>
              <w:t>日～6月</w:t>
            </w:r>
            <w:r>
              <w:rPr>
                <w:rFonts w:hint="default" w:ascii="Times New Roman" w:hAnsi="Times New Roman" w:eastAsia="宋体" w:cs="Times New Roman"/>
                <w:bCs/>
                <w:color w:val="auto"/>
                <w:kern w:val="24"/>
                <w:sz w:val="24"/>
                <w:highlight w:val="none"/>
                <w:u w:val="none" w:color="auto"/>
                <w:lang w:val="en-US" w:eastAsia="zh-CN"/>
              </w:rPr>
              <w:t>21</w:t>
            </w:r>
            <w:r>
              <w:rPr>
                <w:rFonts w:hint="default" w:ascii="Times New Roman" w:hAnsi="Times New Roman" w:eastAsia="宋体" w:cs="Times New Roman"/>
                <w:bCs/>
                <w:color w:val="auto"/>
                <w:kern w:val="24"/>
                <w:sz w:val="24"/>
                <w:highlight w:val="none"/>
                <w:u w:val="none" w:color="auto"/>
              </w:rPr>
              <w:t>日。</w:t>
            </w:r>
            <w:r>
              <w:rPr>
                <w:rFonts w:hint="default" w:ascii="Times New Roman" w:hAnsi="Times New Roman" w:eastAsia="宋体" w:cs="Times New Roman"/>
                <w:color w:val="auto"/>
                <w:kern w:val="0"/>
                <w:sz w:val="24"/>
                <w:szCs w:val="28"/>
                <w:highlight w:val="none"/>
                <w:u w:val="none" w:color="auto"/>
                <w:lang w:val="en-US" w:eastAsia="zh-CN"/>
              </w:rPr>
              <w:t>本项目引用的历史数据属于项目周边5千米范围内近3年的现有监测数据，因此引用数据有效。</w:t>
            </w:r>
          </w:p>
          <w:p w14:paraId="0240DDC4">
            <w:pPr>
              <w:spacing w:line="360" w:lineRule="auto"/>
              <w:ind w:firstLine="480" w:firstLineChars="200"/>
              <w:rPr>
                <w:rFonts w:hint="default" w:ascii="Times New Roman" w:hAnsi="Times New Roman" w:eastAsia="宋体" w:cs="Times New Roman"/>
                <w:bCs/>
                <w:color w:val="auto"/>
                <w:sz w:val="24"/>
                <w:highlight w:val="none"/>
                <w:u w:val="none" w:color="auto"/>
              </w:rPr>
            </w:pPr>
            <w:r>
              <w:rPr>
                <w:rFonts w:hint="default" w:ascii="Times New Roman" w:hAnsi="Times New Roman" w:eastAsia="宋体" w:cs="Times New Roman"/>
                <w:bCs/>
                <w:color w:val="auto"/>
                <w:kern w:val="24"/>
                <w:sz w:val="24"/>
                <w:highlight w:val="none"/>
                <w:u w:val="none" w:color="auto"/>
              </w:rPr>
              <w:t>①监测点布设：共设1个大气监测点位，具体见下表</w:t>
            </w:r>
            <w:r>
              <w:rPr>
                <w:rFonts w:hint="default" w:ascii="Times New Roman" w:hAnsi="Times New Roman" w:eastAsia="宋体" w:cs="Times New Roman"/>
                <w:bCs/>
                <w:color w:val="auto"/>
                <w:sz w:val="24"/>
                <w:highlight w:val="none"/>
                <w:u w:val="none" w:color="auto"/>
              </w:rPr>
              <w:t>3-2</w:t>
            </w:r>
          </w:p>
          <w:p w14:paraId="66DE7221">
            <w:pPr>
              <w:pStyle w:val="2"/>
              <w:snapToGrid/>
              <w:spacing w:before="0" w:after="0" w:line="240" w:lineRule="auto"/>
              <w:ind w:right="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b/>
                <w:color w:val="auto"/>
                <w:sz w:val="21"/>
                <w:szCs w:val="21"/>
                <w:highlight w:val="none"/>
                <w:u w:val="none" w:color="auto"/>
              </w:rPr>
              <w:t>表3-2 其他污染物补充监测点位基本信息</w:t>
            </w:r>
          </w:p>
          <w:tbl>
            <w:tblPr>
              <w:tblStyle w:val="31"/>
              <w:tblW w:w="4998" w:type="pct"/>
              <w:tblInd w:w="-1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
            <w:tblGrid>
              <w:gridCol w:w="1114"/>
              <w:gridCol w:w="761"/>
              <w:gridCol w:w="688"/>
              <w:gridCol w:w="1000"/>
              <w:gridCol w:w="1275"/>
              <w:gridCol w:w="2095"/>
              <w:gridCol w:w="1008"/>
            </w:tblGrid>
            <w:tr w14:paraId="622F146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70" w:hRule="atLeast"/>
              </w:trPr>
              <w:tc>
                <w:tcPr>
                  <w:tcW w:w="701" w:type="pct"/>
                  <w:vMerge w:val="restart"/>
                  <w:tcBorders>
                    <w:tl2br w:val="nil"/>
                    <w:tr2bl w:val="nil"/>
                  </w:tcBorders>
                  <w:noWrap w:val="0"/>
                  <w:tcMar>
                    <w:top w:w="15" w:type="dxa"/>
                    <w:left w:w="15" w:type="dxa"/>
                    <w:right w:w="15" w:type="dxa"/>
                  </w:tcMar>
                  <w:vAlign w:val="center"/>
                </w:tcPr>
                <w:p w14:paraId="40DDF9DD">
                  <w:pPr>
                    <w:contextualSpacing/>
                    <w:jc w:val="center"/>
                    <w:rPr>
                      <w:rFonts w:hint="default" w:ascii="Times New Roman" w:hAnsi="Times New Roman" w:eastAsia="宋体" w:cs="Times New Roman"/>
                      <w:b/>
                      <w:bCs/>
                      <w:color w:val="auto"/>
                      <w:szCs w:val="21"/>
                      <w:highlight w:val="none"/>
                      <w:u w:val="none" w:color="auto"/>
                    </w:rPr>
                  </w:pPr>
                  <w:r>
                    <w:rPr>
                      <w:rFonts w:hint="default" w:ascii="Times New Roman" w:hAnsi="Times New Roman" w:eastAsia="宋体" w:cs="Times New Roman"/>
                      <w:b/>
                      <w:bCs/>
                      <w:color w:val="auto"/>
                      <w:szCs w:val="21"/>
                      <w:highlight w:val="none"/>
                      <w:u w:val="none" w:color="auto"/>
                    </w:rPr>
                    <w:t>监测点名称</w:t>
                  </w:r>
                </w:p>
              </w:tc>
              <w:tc>
                <w:tcPr>
                  <w:tcW w:w="912" w:type="pct"/>
                  <w:gridSpan w:val="2"/>
                  <w:tcBorders>
                    <w:tl2br w:val="nil"/>
                    <w:tr2bl w:val="nil"/>
                  </w:tcBorders>
                  <w:noWrap w:val="0"/>
                  <w:tcMar>
                    <w:top w:w="15" w:type="dxa"/>
                    <w:left w:w="15" w:type="dxa"/>
                    <w:right w:w="15" w:type="dxa"/>
                  </w:tcMar>
                  <w:vAlign w:val="center"/>
                </w:tcPr>
                <w:p w14:paraId="5B0DCA78">
                  <w:pPr>
                    <w:contextualSpacing/>
                    <w:jc w:val="center"/>
                    <w:rPr>
                      <w:rFonts w:hint="default" w:ascii="Times New Roman" w:hAnsi="Times New Roman" w:eastAsia="宋体" w:cs="Times New Roman"/>
                      <w:b/>
                      <w:bCs/>
                      <w:color w:val="auto"/>
                      <w:szCs w:val="21"/>
                      <w:highlight w:val="none"/>
                      <w:u w:val="none" w:color="auto"/>
                    </w:rPr>
                  </w:pPr>
                  <w:r>
                    <w:rPr>
                      <w:rFonts w:hint="default" w:ascii="Times New Roman" w:hAnsi="Times New Roman" w:eastAsia="宋体" w:cs="Times New Roman"/>
                      <w:b/>
                      <w:bCs/>
                      <w:color w:val="auto"/>
                      <w:szCs w:val="21"/>
                      <w:highlight w:val="none"/>
                      <w:u w:val="none" w:color="auto"/>
                    </w:rPr>
                    <w:t>监测点坐标</w:t>
                  </w:r>
                </w:p>
              </w:tc>
              <w:tc>
                <w:tcPr>
                  <w:tcW w:w="629" w:type="pct"/>
                  <w:vMerge w:val="restart"/>
                  <w:tcBorders>
                    <w:tl2br w:val="nil"/>
                    <w:tr2bl w:val="nil"/>
                  </w:tcBorders>
                  <w:noWrap w:val="0"/>
                  <w:tcMar>
                    <w:top w:w="15" w:type="dxa"/>
                    <w:left w:w="15" w:type="dxa"/>
                    <w:right w:w="15" w:type="dxa"/>
                  </w:tcMar>
                  <w:vAlign w:val="center"/>
                </w:tcPr>
                <w:p w14:paraId="31CDBB52">
                  <w:pPr>
                    <w:contextualSpacing/>
                    <w:jc w:val="center"/>
                    <w:rPr>
                      <w:rFonts w:hint="default" w:ascii="Times New Roman" w:hAnsi="Times New Roman" w:eastAsia="宋体" w:cs="Times New Roman"/>
                      <w:b/>
                      <w:bCs/>
                      <w:color w:val="auto"/>
                      <w:szCs w:val="21"/>
                      <w:highlight w:val="none"/>
                      <w:u w:val="none" w:color="auto"/>
                    </w:rPr>
                  </w:pPr>
                  <w:r>
                    <w:rPr>
                      <w:rFonts w:hint="default" w:ascii="Times New Roman" w:hAnsi="Times New Roman" w:eastAsia="宋体" w:cs="Times New Roman"/>
                      <w:b/>
                      <w:bCs/>
                      <w:color w:val="auto"/>
                      <w:szCs w:val="21"/>
                      <w:highlight w:val="none"/>
                      <w:u w:val="none" w:color="auto"/>
                    </w:rPr>
                    <w:t>监测因子</w:t>
                  </w:r>
                </w:p>
              </w:tc>
              <w:tc>
                <w:tcPr>
                  <w:tcW w:w="802" w:type="pct"/>
                  <w:vMerge w:val="restart"/>
                  <w:tcBorders>
                    <w:tl2br w:val="nil"/>
                    <w:tr2bl w:val="nil"/>
                  </w:tcBorders>
                  <w:noWrap w:val="0"/>
                  <w:tcMar>
                    <w:top w:w="15" w:type="dxa"/>
                    <w:left w:w="15" w:type="dxa"/>
                    <w:right w:w="15" w:type="dxa"/>
                  </w:tcMar>
                  <w:vAlign w:val="center"/>
                </w:tcPr>
                <w:p w14:paraId="20277F8D">
                  <w:pPr>
                    <w:contextualSpacing/>
                    <w:jc w:val="center"/>
                    <w:rPr>
                      <w:rFonts w:hint="default" w:ascii="Times New Roman" w:hAnsi="Times New Roman" w:eastAsia="宋体" w:cs="Times New Roman"/>
                      <w:b/>
                      <w:bCs/>
                      <w:color w:val="auto"/>
                      <w:szCs w:val="21"/>
                      <w:highlight w:val="none"/>
                      <w:u w:val="none" w:color="auto"/>
                    </w:rPr>
                  </w:pPr>
                  <w:r>
                    <w:rPr>
                      <w:rFonts w:hint="default" w:ascii="Times New Roman" w:hAnsi="Times New Roman" w:eastAsia="宋体" w:cs="Times New Roman"/>
                      <w:b/>
                      <w:bCs/>
                      <w:color w:val="auto"/>
                      <w:szCs w:val="21"/>
                      <w:highlight w:val="none"/>
                      <w:u w:val="none" w:color="auto"/>
                    </w:rPr>
                    <w:t>监测时段</w:t>
                  </w:r>
                </w:p>
              </w:tc>
              <w:tc>
                <w:tcPr>
                  <w:tcW w:w="1318" w:type="pct"/>
                  <w:vMerge w:val="restart"/>
                  <w:tcBorders>
                    <w:tl2br w:val="nil"/>
                    <w:tr2bl w:val="nil"/>
                  </w:tcBorders>
                  <w:noWrap w:val="0"/>
                  <w:tcMar>
                    <w:top w:w="15" w:type="dxa"/>
                    <w:left w:w="15" w:type="dxa"/>
                    <w:right w:w="15" w:type="dxa"/>
                  </w:tcMar>
                  <w:vAlign w:val="center"/>
                </w:tcPr>
                <w:p w14:paraId="74900CFB">
                  <w:pPr>
                    <w:contextualSpacing/>
                    <w:jc w:val="center"/>
                    <w:rPr>
                      <w:rFonts w:hint="default" w:ascii="Times New Roman" w:hAnsi="Times New Roman" w:eastAsia="宋体" w:cs="Times New Roman"/>
                      <w:b/>
                      <w:bCs/>
                      <w:color w:val="auto"/>
                      <w:szCs w:val="21"/>
                      <w:highlight w:val="none"/>
                      <w:u w:val="none" w:color="auto"/>
                    </w:rPr>
                  </w:pPr>
                  <w:r>
                    <w:rPr>
                      <w:rFonts w:hint="default" w:ascii="Times New Roman" w:hAnsi="Times New Roman" w:eastAsia="宋体" w:cs="Times New Roman"/>
                      <w:b/>
                      <w:bCs/>
                      <w:color w:val="auto"/>
                      <w:szCs w:val="21"/>
                      <w:highlight w:val="none"/>
                      <w:u w:val="none" w:color="auto"/>
                    </w:rPr>
                    <w:t>相对厂址方位</w:t>
                  </w:r>
                </w:p>
              </w:tc>
              <w:tc>
                <w:tcPr>
                  <w:tcW w:w="634" w:type="pct"/>
                  <w:vMerge w:val="restart"/>
                  <w:tcBorders>
                    <w:tl2br w:val="nil"/>
                    <w:tr2bl w:val="nil"/>
                  </w:tcBorders>
                  <w:noWrap w:val="0"/>
                  <w:tcMar>
                    <w:top w:w="15" w:type="dxa"/>
                    <w:left w:w="15" w:type="dxa"/>
                    <w:right w:w="15" w:type="dxa"/>
                  </w:tcMar>
                  <w:vAlign w:val="center"/>
                </w:tcPr>
                <w:p w14:paraId="65767241">
                  <w:pPr>
                    <w:contextualSpacing/>
                    <w:jc w:val="center"/>
                    <w:rPr>
                      <w:rFonts w:hint="default" w:ascii="Times New Roman" w:hAnsi="Times New Roman" w:eastAsia="宋体" w:cs="Times New Roman"/>
                      <w:b/>
                      <w:bCs/>
                      <w:color w:val="auto"/>
                      <w:szCs w:val="21"/>
                      <w:highlight w:val="none"/>
                      <w:u w:val="none" w:color="auto"/>
                    </w:rPr>
                  </w:pPr>
                  <w:r>
                    <w:rPr>
                      <w:rFonts w:hint="default" w:ascii="Times New Roman" w:hAnsi="Times New Roman" w:eastAsia="宋体" w:cs="Times New Roman"/>
                      <w:b/>
                      <w:bCs/>
                      <w:color w:val="auto"/>
                      <w:szCs w:val="21"/>
                      <w:highlight w:val="none"/>
                      <w:u w:val="none" w:color="auto"/>
                    </w:rPr>
                    <w:t>相对厂界距离/m</w:t>
                  </w:r>
                </w:p>
              </w:tc>
            </w:tr>
            <w:tr w14:paraId="1ECAD43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70" w:hRule="atLeast"/>
              </w:trPr>
              <w:tc>
                <w:tcPr>
                  <w:tcW w:w="701" w:type="pct"/>
                  <w:vMerge w:val="continue"/>
                  <w:tcBorders>
                    <w:tl2br w:val="nil"/>
                    <w:tr2bl w:val="nil"/>
                  </w:tcBorders>
                  <w:noWrap w:val="0"/>
                  <w:tcMar>
                    <w:top w:w="15" w:type="dxa"/>
                    <w:left w:w="15" w:type="dxa"/>
                    <w:right w:w="15" w:type="dxa"/>
                  </w:tcMar>
                  <w:vAlign w:val="center"/>
                </w:tcPr>
                <w:p w14:paraId="2C69AC56">
                  <w:pPr>
                    <w:contextualSpacing/>
                    <w:jc w:val="center"/>
                    <w:rPr>
                      <w:rFonts w:hint="default" w:ascii="Times New Roman" w:hAnsi="Times New Roman" w:eastAsia="宋体" w:cs="Times New Roman"/>
                      <w:color w:val="auto"/>
                      <w:szCs w:val="21"/>
                      <w:highlight w:val="none"/>
                      <w:u w:val="none" w:color="auto"/>
                    </w:rPr>
                  </w:pPr>
                </w:p>
              </w:tc>
              <w:tc>
                <w:tcPr>
                  <w:tcW w:w="479" w:type="pct"/>
                  <w:tcBorders>
                    <w:tl2br w:val="nil"/>
                    <w:tr2bl w:val="nil"/>
                  </w:tcBorders>
                  <w:noWrap w:val="0"/>
                  <w:tcMar>
                    <w:top w:w="15" w:type="dxa"/>
                    <w:left w:w="15" w:type="dxa"/>
                    <w:right w:w="15" w:type="dxa"/>
                  </w:tcMar>
                  <w:vAlign w:val="center"/>
                </w:tcPr>
                <w:p w14:paraId="61A61BB4">
                  <w:pPr>
                    <w:widowControl/>
                    <w:contextualSpacing/>
                    <w:jc w:val="center"/>
                    <w:textAlignment w:val="center"/>
                    <w:rPr>
                      <w:rFonts w:hint="default" w:ascii="Times New Roman" w:hAnsi="Times New Roman" w:eastAsia="宋体" w:cs="Times New Roman"/>
                      <w:b/>
                      <w:bCs/>
                      <w:color w:val="auto"/>
                      <w:szCs w:val="21"/>
                      <w:highlight w:val="none"/>
                      <w:u w:val="none" w:color="auto"/>
                    </w:rPr>
                  </w:pPr>
                  <w:r>
                    <w:rPr>
                      <w:rFonts w:hint="default" w:ascii="Times New Roman" w:hAnsi="Times New Roman" w:eastAsia="宋体" w:cs="Times New Roman"/>
                      <w:b/>
                      <w:bCs/>
                      <w:color w:val="auto"/>
                      <w:szCs w:val="21"/>
                      <w:highlight w:val="none"/>
                      <w:u w:val="none" w:color="auto"/>
                    </w:rPr>
                    <w:t>X</w:t>
                  </w:r>
                </w:p>
              </w:tc>
              <w:tc>
                <w:tcPr>
                  <w:tcW w:w="433" w:type="pct"/>
                  <w:tcBorders>
                    <w:tl2br w:val="nil"/>
                    <w:tr2bl w:val="nil"/>
                  </w:tcBorders>
                  <w:noWrap w:val="0"/>
                  <w:tcMar>
                    <w:top w:w="15" w:type="dxa"/>
                    <w:left w:w="15" w:type="dxa"/>
                    <w:right w:w="15" w:type="dxa"/>
                  </w:tcMar>
                  <w:vAlign w:val="center"/>
                </w:tcPr>
                <w:p w14:paraId="039EEDFC">
                  <w:pPr>
                    <w:widowControl/>
                    <w:contextualSpacing/>
                    <w:jc w:val="center"/>
                    <w:textAlignment w:val="center"/>
                    <w:rPr>
                      <w:rFonts w:hint="default" w:ascii="Times New Roman" w:hAnsi="Times New Roman" w:eastAsia="宋体" w:cs="Times New Roman"/>
                      <w:b/>
                      <w:bCs/>
                      <w:color w:val="auto"/>
                      <w:szCs w:val="21"/>
                      <w:highlight w:val="none"/>
                      <w:u w:val="none" w:color="auto"/>
                    </w:rPr>
                  </w:pPr>
                  <w:r>
                    <w:rPr>
                      <w:rFonts w:hint="default" w:ascii="Times New Roman" w:hAnsi="Times New Roman" w:eastAsia="宋体" w:cs="Times New Roman"/>
                      <w:b/>
                      <w:bCs/>
                      <w:color w:val="auto"/>
                      <w:szCs w:val="21"/>
                      <w:highlight w:val="none"/>
                      <w:u w:val="none" w:color="auto"/>
                    </w:rPr>
                    <w:t>Y</w:t>
                  </w:r>
                </w:p>
              </w:tc>
              <w:tc>
                <w:tcPr>
                  <w:tcW w:w="629" w:type="pct"/>
                  <w:vMerge w:val="continue"/>
                  <w:tcBorders>
                    <w:tl2br w:val="nil"/>
                    <w:tr2bl w:val="nil"/>
                  </w:tcBorders>
                  <w:noWrap w:val="0"/>
                  <w:tcMar>
                    <w:top w:w="15" w:type="dxa"/>
                    <w:left w:w="15" w:type="dxa"/>
                    <w:right w:w="15" w:type="dxa"/>
                  </w:tcMar>
                  <w:vAlign w:val="center"/>
                </w:tcPr>
                <w:p w14:paraId="08A1660B">
                  <w:pPr>
                    <w:contextualSpacing/>
                    <w:jc w:val="center"/>
                    <w:rPr>
                      <w:rFonts w:hint="default" w:ascii="Times New Roman" w:hAnsi="Times New Roman" w:eastAsia="宋体" w:cs="Times New Roman"/>
                      <w:b/>
                      <w:bCs/>
                      <w:color w:val="auto"/>
                      <w:szCs w:val="21"/>
                      <w:highlight w:val="none"/>
                      <w:u w:val="none" w:color="auto"/>
                    </w:rPr>
                  </w:pPr>
                </w:p>
              </w:tc>
              <w:tc>
                <w:tcPr>
                  <w:tcW w:w="802" w:type="pct"/>
                  <w:vMerge w:val="continue"/>
                  <w:tcBorders>
                    <w:tl2br w:val="nil"/>
                    <w:tr2bl w:val="nil"/>
                  </w:tcBorders>
                  <w:noWrap w:val="0"/>
                  <w:tcMar>
                    <w:top w:w="15" w:type="dxa"/>
                    <w:left w:w="15" w:type="dxa"/>
                    <w:right w:w="15" w:type="dxa"/>
                  </w:tcMar>
                  <w:vAlign w:val="center"/>
                </w:tcPr>
                <w:p w14:paraId="1A67970C">
                  <w:pPr>
                    <w:contextualSpacing/>
                    <w:jc w:val="center"/>
                    <w:rPr>
                      <w:rFonts w:hint="default" w:ascii="Times New Roman" w:hAnsi="Times New Roman" w:eastAsia="宋体" w:cs="Times New Roman"/>
                      <w:b/>
                      <w:bCs/>
                      <w:color w:val="auto"/>
                      <w:szCs w:val="21"/>
                      <w:highlight w:val="none"/>
                      <w:u w:val="none" w:color="auto"/>
                    </w:rPr>
                  </w:pPr>
                </w:p>
              </w:tc>
              <w:tc>
                <w:tcPr>
                  <w:tcW w:w="1318" w:type="pct"/>
                  <w:vMerge w:val="continue"/>
                  <w:tcBorders>
                    <w:tl2br w:val="nil"/>
                    <w:tr2bl w:val="nil"/>
                  </w:tcBorders>
                  <w:noWrap w:val="0"/>
                  <w:tcMar>
                    <w:top w:w="15" w:type="dxa"/>
                    <w:left w:w="15" w:type="dxa"/>
                    <w:right w:w="15" w:type="dxa"/>
                  </w:tcMar>
                  <w:vAlign w:val="center"/>
                </w:tcPr>
                <w:p w14:paraId="32A5C3C8">
                  <w:pPr>
                    <w:contextualSpacing/>
                    <w:jc w:val="center"/>
                    <w:rPr>
                      <w:rFonts w:hint="default" w:ascii="Times New Roman" w:hAnsi="Times New Roman" w:eastAsia="宋体" w:cs="Times New Roman"/>
                      <w:b/>
                      <w:bCs/>
                      <w:color w:val="auto"/>
                      <w:szCs w:val="21"/>
                      <w:highlight w:val="none"/>
                      <w:u w:val="none" w:color="auto"/>
                    </w:rPr>
                  </w:pPr>
                </w:p>
              </w:tc>
              <w:tc>
                <w:tcPr>
                  <w:tcW w:w="634" w:type="pct"/>
                  <w:vMerge w:val="continue"/>
                  <w:tcBorders>
                    <w:tl2br w:val="nil"/>
                    <w:tr2bl w:val="nil"/>
                  </w:tcBorders>
                  <w:noWrap w:val="0"/>
                  <w:tcMar>
                    <w:top w:w="15" w:type="dxa"/>
                    <w:left w:w="15" w:type="dxa"/>
                    <w:right w:w="15" w:type="dxa"/>
                  </w:tcMar>
                  <w:vAlign w:val="center"/>
                </w:tcPr>
                <w:p w14:paraId="16B228E6">
                  <w:pPr>
                    <w:contextualSpacing/>
                    <w:jc w:val="center"/>
                    <w:rPr>
                      <w:rFonts w:hint="default" w:ascii="Times New Roman" w:hAnsi="Times New Roman" w:eastAsia="宋体" w:cs="Times New Roman"/>
                      <w:b/>
                      <w:bCs/>
                      <w:color w:val="auto"/>
                      <w:szCs w:val="21"/>
                      <w:highlight w:val="none"/>
                      <w:u w:val="none" w:color="auto"/>
                    </w:rPr>
                  </w:pPr>
                </w:p>
              </w:tc>
            </w:tr>
            <w:tr w14:paraId="65FD27A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186" w:hRule="atLeast"/>
              </w:trPr>
              <w:tc>
                <w:tcPr>
                  <w:tcW w:w="701" w:type="pct"/>
                  <w:vMerge w:val="restart"/>
                  <w:tcBorders>
                    <w:tl2br w:val="nil"/>
                    <w:tr2bl w:val="nil"/>
                  </w:tcBorders>
                  <w:noWrap w:val="0"/>
                  <w:tcMar>
                    <w:top w:w="15" w:type="dxa"/>
                    <w:left w:w="15" w:type="dxa"/>
                    <w:right w:w="15" w:type="dxa"/>
                  </w:tcMar>
                  <w:vAlign w:val="center"/>
                </w:tcPr>
                <w:p w14:paraId="2CE465A5">
                  <w:pPr>
                    <w:contextualSpacing/>
                    <w:jc w:val="center"/>
                    <w:rPr>
                      <w:rFonts w:hint="default" w:ascii="Times New Roman" w:hAnsi="Times New Roman" w:eastAsia="宋体" w:cs="Times New Roman"/>
                      <w:color w:val="auto"/>
                      <w:szCs w:val="21"/>
                      <w:highlight w:val="none"/>
                      <w:u w:val="none" w:color="auto"/>
                      <w:lang w:val="en-US" w:eastAsia="zh-CN"/>
                    </w:rPr>
                  </w:pPr>
                  <w:r>
                    <w:rPr>
                      <w:rFonts w:hint="default" w:ascii="Times New Roman" w:hAnsi="Times New Roman" w:eastAsia="宋体" w:cs="Times New Roman"/>
                      <w:color w:val="auto"/>
                      <w:szCs w:val="21"/>
                      <w:highlight w:val="none"/>
                      <w:u w:val="none" w:color="auto"/>
                      <w:lang w:val="en-US" w:eastAsia="zh-CN"/>
                    </w:rPr>
                    <w:t>G1</w:t>
                  </w:r>
                </w:p>
              </w:tc>
              <w:tc>
                <w:tcPr>
                  <w:tcW w:w="479" w:type="pct"/>
                  <w:vMerge w:val="restart"/>
                  <w:tcBorders>
                    <w:tl2br w:val="nil"/>
                    <w:tr2bl w:val="nil"/>
                  </w:tcBorders>
                  <w:noWrap w:val="0"/>
                  <w:tcMar>
                    <w:top w:w="15" w:type="dxa"/>
                    <w:left w:w="15" w:type="dxa"/>
                    <w:right w:w="15" w:type="dxa"/>
                  </w:tcMar>
                  <w:vAlign w:val="center"/>
                </w:tcPr>
                <w:p w14:paraId="36E51864">
                  <w:pPr>
                    <w:contextualSpacing/>
                    <w:jc w:val="center"/>
                    <w:rPr>
                      <w:rFonts w:hint="default" w:ascii="Times New Roman" w:hAnsi="Times New Roman" w:eastAsia="宋体" w:cs="Times New Roman"/>
                      <w:color w:val="auto"/>
                      <w:szCs w:val="21"/>
                      <w:highlight w:val="none"/>
                      <w:u w:val="none" w:color="auto"/>
                      <w:lang w:val="en-US" w:eastAsia="zh-CN"/>
                    </w:rPr>
                  </w:pPr>
                  <w:r>
                    <w:rPr>
                      <w:rFonts w:hint="default" w:ascii="Times New Roman" w:hAnsi="Times New Roman" w:eastAsia="宋体" w:cs="Times New Roman"/>
                      <w:color w:val="auto"/>
                      <w:szCs w:val="21"/>
                      <w:highlight w:val="none"/>
                      <w:u w:val="none" w:color="auto"/>
                    </w:rPr>
                    <w:t>113.</w:t>
                  </w:r>
                  <w:r>
                    <w:rPr>
                      <w:rFonts w:hint="default" w:ascii="Times New Roman" w:hAnsi="Times New Roman" w:eastAsia="宋体" w:cs="Times New Roman"/>
                      <w:color w:val="auto"/>
                      <w:szCs w:val="21"/>
                      <w:highlight w:val="none"/>
                      <w:u w:val="none" w:color="auto"/>
                      <w:lang w:val="en-US" w:eastAsia="zh-CN"/>
                    </w:rPr>
                    <w:t>190238</w:t>
                  </w:r>
                </w:p>
              </w:tc>
              <w:tc>
                <w:tcPr>
                  <w:tcW w:w="433" w:type="pct"/>
                  <w:vMerge w:val="restart"/>
                  <w:tcBorders>
                    <w:tl2br w:val="nil"/>
                    <w:tr2bl w:val="nil"/>
                  </w:tcBorders>
                  <w:noWrap w:val="0"/>
                  <w:tcMar>
                    <w:top w:w="15" w:type="dxa"/>
                    <w:left w:w="15" w:type="dxa"/>
                    <w:right w:w="15" w:type="dxa"/>
                  </w:tcMar>
                  <w:vAlign w:val="center"/>
                </w:tcPr>
                <w:p w14:paraId="31E2D965">
                  <w:pPr>
                    <w:contextualSpacing/>
                    <w:jc w:val="center"/>
                    <w:rPr>
                      <w:rFonts w:hint="default" w:ascii="Times New Roman" w:hAnsi="Times New Roman" w:eastAsia="宋体" w:cs="Times New Roman"/>
                      <w:color w:val="auto"/>
                      <w:szCs w:val="21"/>
                      <w:highlight w:val="none"/>
                      <w:u w:val="none" w:color="auto"/>
                      <w:lang w:val="en-US" w:eastAsia="zh-CN"/>
                    </w:rPr>
                  </w:pPr>
                  <w:r>
                    <w:rPr>
                      <w:rFonts w:hint="default" w:ascii="Times New Roman" w:hAnsi="Times New Roman" w:eastAsia="宋体" w:cs="Times New Roman"/>
                      <w:color w:val="auto"/>
                      <w:szCs w:val="21"/>
                      <w:highlight w:val="none"/>
                      <w:u w:val="none" w:color="auto"/>
                    </w:rPr>
                    <w:t>29.</w:t>
                  </w:r>
                  <w:r>
                    <w:rPr>
                      <w:rFonts w:hint="default" w:ascii="Times New Roman" w:hAnsi="Times New Roman" w:eastAsia="宋体" w:cs="Times New Roman"/>
                      <w:color w:val="auto"/>
                      <w:szCs w:val="21"/>
                      <w:highlight w:val="none"/>
                      <w:u w:val="none" w:color="auto"/>
                      <w:lang w:val="en-US" w:eastAsia="zh-CN"/>
                    </w:rPr>
                    <w:t>458873</w:t>
                  </w:r>
                </w:p>
              </w:tc>
              <w:tc>
                <w:tcPr>
                  <w:tcW w:w="629" w:type="pct"/>
                  <w:vMerge w:val="restart"/>
                  <w:tcBorders>
                    <w:tl2br w:val="nil"/>
                    <w:tr2bl w:val="nil"/>
                  </w:tcBorders>
                  <w:noWrap w:val="0"/>
                  <w:tcMar>
                    <w:top w:w="15" w:type="dxa"/>
                    <w:left w:w="15" w:type="dxa"/>
                    <w:right w:w="15" w:type="dxa"/>
                  </w:tcMar>
                  <w:vAlign w:val="center"/>
                </w:tcPr>
                <w:p w14:paraId="0E9CC71C">
                  <w:pPr>
                    <w:contextualSpacing/>
                    <w:jc w:val="center"/>
                    <w:rPr>
                      <w:rFonts w:hint="default" w:ascii="Times New Roman" w:hAnsi="Times New Roman" w:eastAsia="宋体" w:cs="Times New Roman"/>
                      <w:color w:val="auto"/>
                      <w:szCs w:val="21"/>
                      <w:highlight w:val="none"/>
                      <w:u w:val="none" w:color="auto"/>
                      <w:lang w:val="en-US" w:eastAsia="zh-CN"/>
                    </w:rPr>
                  </w:pPr>
                  <w:r>
                    <w:rPr>
                      <w:rFonts w:hint="default" w:ascii="Times New Roman" w:hAnsi="Times New Roman" w:eastAsia="宋体" w:cs="Times New Roman"/>
                      <w:color w:val="auto"/>
                      <w:szCs w:val="21"/>
                      <w:highlight w:val="none"/>
                      <w:u w:val="none" w:color="auto"/>
                      <w:lang w:val="en-US" w:eastAsia="zh-CN"/>
                    </w:rPr>
                    <w:t>TSP</w:t>
                  </w:r>
                  <w:r>
                    <w:rPr>
                      <w:rFonts w:hint="eastAsia" w:cs="Times New Roman"/>
                      <w:color w:val="auto"/>
                      <w:szCs w:val="21"/>
                      <w:highlight w:val="none"/>
                      <w:u w:val="none" w:color="auto"/>
                      <w:lang w:val="en-US" w:eastAsia="zh-CN"/>
                    </w:rPr>
                    <w:t>、</w:t>
                  </w:r>
                  <w:r>
                    <w:rPr>
                      <w:rFonts w:hint="default" w:ascii="Times New Roman" w:hAnsi="Times New Roman" w:eastAsia="宋体" w:cs="Times New Roman"/>
                      <w:color w:val="auto"/>
                      <w:szCs w:val="21"/>
                      <w:highlight w:val="none"/>
                      <w:u w:val="none" w:color="auto"/>
                      <w:lang w:val="en-US" w:eastAsia="zh-CN"/>
                    </w:rPr>
                    <w:t>NOx</w:t>
                  </w:r>
                </w:p>
              </w:tc>
              <w:tc>
                <w:tcPr>
                  <w:tcW w:w="802" w:type="pct"/>
                  <w:vMerge w:val="restart"/>
                  <w:tcBorders>
                    <w:tl2br w:val="nil"/>
                    <w:tr2bl w:val="nil"/>
                  </w:tcBorders>
                  <w:noWrap w:val="0"/>
                  <w:tcMar>
                    <w:top w:w="15" w:type="dxa"/>
                    <w:left w:w="15" w:type="dxa"/>
                    <w:right w:w="15" w:type="dxa"/>
                  </w:tcMar>
                  <w:vAlign w:val="center"/>
                </w:tcPr>
                <w:p w14:paraId="6B9E44FE">
                  <w:pPr>
                    <w:contextualSpacing/>
                    <w:jc w:val="center"/>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lang w:val="en-US" w:eastAsia="zh-CN"/>
                    </w:rPr>
                    <w:t>3</w:t>
                  </w:r>
                  <w:r>
                    <w:rPr>
                      <w:rFonts w:hint="default" w:ascii="Times New Roman" w:hAnsi="Times New Roman" w:eastAsia="宋体" w:cs="Times New Roman"/>
                      <w:color w:val="auto"/>
                      <w:szCs w:val="21"/>
                      <w:highlight w:val="none"/>
                      <w:u w:val="none" w:color="auto"/>
                    </w:rPr>
                    <w:t>d（测</w:t>
                  </w:r>
                  <w:r>
                    <w:rPr>
                      <w:rFonts w:hint="default" w:ascii="Times New Roman" w:hAnsi="Times New Roman" w:eastAsia="宋体" w:cs="Times New Roman"/>
                      <w:color w:val="auto"/>
                      <w:szCs w:val="21"/>
                      <w:highlight w:val="none"/>
                      <w:u w:val="none" w:color="auto"/>
                      <w:lang w:val="en-US" w:eastAsia="zh-CN"/>
                    </w:rPr>
                    <w:t>24</w:t>
                  </w:r>
                  <w:r>
                    <w:rPr>
                      <w:rFonts w:hint="default" w:ascii="Times New Roman" w:hAnsi="Times New Roman" w:eastAsia="宋体" w:cs="Times New Roman"/>
                      <w:color w:val="auto"/>
                      <w:szCs w:val="21"/>
                      <w:highlight w:val="none"/>
                      <w:u w:val="none" w:color="auto"/>
                    </w:rPr>
                    <w:t>h均值）</w:t>
                  </w:r>
                </w:p>
              </w:tc>
              <w:tc>
                <w:tcPr>
                  <w:tcW w:w="1318" w:type="pct"/>
                  <w:tcBorders>
                    <w:tl2br w:val="nil"/>
                    <w:tr2bl w:val="nil"/>
                  </w:tcBorders>
                  <w:noWrap w:val="0"/>
                  <w:tcMar>
                    <w:top w:w="15" w:type="dxa"/>
                    <w:left w:w="15" w:type="dxa"/>
                    <w:right w:w="15" w:type="dxa"/>
                  </w:tcMar>
                  <w:vAlign w:val="center"/>
                </w:tcPr>
                <w:p w14:paraId="2B2E6126">
                  <w:pPr>
                    <w:contextualSpacing/>
                    <w:jc w:val="center"/>
                    <w:rPr>
                      <w:rFonts w:hint="default" w:ascii="Times New Roman" w:hAnsi="Times New Roman" w:eastAsia="宋体" w:cs="Times New Roman"/>
                      <w:color w:val="auto"/>
                      <w:szCs w:val="21"/>
                      <w:highlight w:val="none"/>
                      <w:u w:val="none" w:color="auto"/>
                      <w:lang w:val="en-US" w:eastAsia="zh-CN"/>
                    </w:rPr>
                  </w:pPr>
                  <w:r>
                    <w:rPr>
                      <w:rFonts w:hint="default" w:ascii="Times New Roman" w:hAnsi="Times New Roman" w:eastAsia="宋体" w:cs="Times New Roman"/>
                      <w:color w:val="auto"/>
                      <w:szCs w:val="21"/>
                      <w:highlight w:val="none"/>
                      <w:u w:val="none" w:color="auto"/>
                      <w:lang w:val="en-US" w:eastAsia="zh-CN"/>
                    </w:rPr>
                    <w:t>中创空天厂区西南向</w:t>
                  </w:r>
                </w:p>
              </w:tc>
              <w:tc>
                <w:tcPr>
                  <w:tcW w:w="634" w:type="pct"/>
                  <w:tcBorders>
                    <w:tl2br w:val="nil"/>
                    <w:tr2bl w:val="nil"/>
                  </w:tcBorders>
                  <w:noWrap w:val="0"/>
                  <w:tcMar>
                    <w:top w:w="15" w:type="dxa"/>
                    <w:left w:w="15" w:type="dxa"/>
                    <w:right w:w="15" w:type="dxa"/>
                  </w:tcMar>
                  <w:vAlign w:val="center"/>
                </w:tcPr>
                <w:p w14:paraId="5E0664C9">
                  <w:pPr>
                    <w:contextualSpacing/>
                    <w:jc w:val="center"/>
                    <w:rPr>
                      <w:rFonts w:hint="default" w:ascii="Times New Roman" w:hAnsi="Times New Roman" w:eastAsia="宋体" w:cs="Times New Roman"/>
                      <w:color w:val="auto"/>
                      <w:szCs w:val="21"/>
                      <w:highlight w:val="none"/>
                      <w:u w:val="none" w:color="auto"/>
                      <w:lang w:val="en-US" w:eastAsia="zh-CN"/>
                    </w:rPr>
                  </w:pPr>
                  <w:r>
                    <w:rPr>
                      <w:rFonts w:hint="default" w:ascii="Times New Roman" w:hAnsi="Times New Roman" w:eastAsia="宋体" w:cs="Times New Roman"/>
                      <w:color w:val="auto"/>
                      <w:szCs w:val="21"/>
                      <w:highlight w:val="none"/>
                      <w:u w:val="none" w:color="auto"/>
                      <w:lang w:val="en-US" w:eastAsia="zh-CN"/>
                    </w:rPr>
                    <w:t>2811</w:t>
                  </w:r>
                </w:p>
              </w:tc>
            </w:tr>
            <w:tr w14:paraId="003095C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186" w:hRule="atLeast"/>
              </w:trPr>
              <w:tc>
                <w:tcPr>
                  <w:tcW w:w="701" w:type="pct"/>
                  <w:vMerge w:val="continue"/>
                  <w:tcBorders>
                    <w:tl2br w:val="nil"/>
                    <w:tr2bl w:val="nil"/>
                  </w:tcBorders>
                  <w:noWrap w:val="0"/>
                  <w:tcMar>
                    <w:top w:w="15" w:type="dxa"/>
                    <w:left w:w="15" w:type="dxa"/>
                    <w:right w:w="15" w:type="dxa"/>
                  </w:tcMar>
                  <w:vAlign w:val="center"/>
                </w:tcPr>
                <w:p w14:paraId="09534340">
                  <w:pPr>
                    <w:contextualSpacing/>
                    <w:jc w:val="center"/>
                    <w:rPr>
                      <w:rFonts w:hint="default" w:ascii="Times New Roman" w:hAnsi="Times New Roman" w:eastAsia="宋体" w:cs="Times New Roman"/>
                      <w:color w:val="auto"/>
                      <w:szCs w:val="21"/>
                      <w:highlight w:val="none"/>
                      <w:u w:val="none" w:color="auto"/>
                      <w:lang w:val="en-US" w:eastAsia="zh-CN"/>
                    </w:rPr>
                  </w:pPr>
                </w:p>
              </w:tc>
              <w:tc>
                <w:tcPr>
                  <w:tcW w:w="479" w:type="pct"/>
                  <w:vMerge w:val="continue"/>
                  <w:tcBorders>
                    <w:tl2br w:val="nil"/>
                    <w:tr2bl w:val="nil"/>
                  </w:tcBorders>
                  <w:noWrap w:val="0"/>
                  <w:tcMar>
                    <w:top w:w="15" w:type="dxa"/>
                    <w:left w:w="15" w:type="dxa"/>
                    <w:right w:w="15" w:type="dxa"/>
                  </w:tcMar>
                  <w:vAlign w:val="center"/>
                </w:tcPr>
                <w:p w14:paraId="749A489D">
                  <w:pPr>
                    <w:contextualSpacing/>
                    <w:jc w:val="center"/>
                    <w:rPr>
                      <w:rFonts w:hint="default" w:ascii="Times New Roman" w:hAnsi="Times New Roman" w:eastAsia="宋体" w:cs="Times New Roman"/>
                      <w:color w:val="auto"/>
                      <w:szCs w:val="21"/>
                      <w:highlight w:val="none"/>
                      <w:u w:val="none" w:color="auto"/>
                    </w:rPr>
                  </w:pPr>
                </w:p>
              </w:tc>
              <w:tc>
                <w:tcPr>
                  <w:tcW w:w="433" w:type="pct"/>
                  <w:vMerge w:val="continue"/>
                  <w:tcBorders>
                    <w:tl2br w:val="nil"/>
                    <w:tr2bl w:val="nil"/>
                  </w:tcBorders>
                  <w:noWrap w:val="0"/>
                  <w:tcMar>
                    <w:top w:w="15" w:type="dxa"/>
                    <w:left w:w="15" w:type="dxa"/>
                    <w:right w:w="15" w:type="dxa"/>
                  </w:tcMar>
                  <w:vAlign w:val="center"/>
                </w:tcPr>
                <w:p w14:paraId="5FF487CD">
                  <w:pPr>
                    <w:contextualSpacing/>
                    <w:jc w:val="center"/>
                    <w:rPr>
                      <w:rFonts w:hint="default" w:ascii="Times New Roman" w:hAnsi="Times New Roman" w:eastAsia="宋体" w:cs="Times New Roman"/>
                      <w:color w:val="auto"/>
                      <w:szCs w:val="21"/>
                      <w:highlight w:val="none"/>
                      <w:u w:val="none" w:color="auto"/>
                    </w:rPr>
                  </w:pPr>
                </w:p>
              </w:tc>
              <w:tc>
                <w:tcPr>
                  <w:tcW w:w="629" w:type="pct"/>
                  <w:vMerge w:val="continue"/>
                  <w:tcBorders>
                    <w:tl2br w:val="nil"/>
                    <w:tr2bl w:val="nil"/>
                  </w:tcBorders>
                  <w:noWrap w:val="0"/>
                  <w:tcMar>
                    <w:top w:w="15" w:type="dxa"/>
                    <w:left w:w="15" w:type="dxa"/>
                    <w:right w:w="15" w:type="dxa"/>
                  </w:tcMar>
                  <w:vAlign w:val="center"/>
                </w:tcPr>
                <w:p w14:paraId="51F237E9">
                  <w:pPr>
                    <w:contextualSpacing/>
                    <w:jc w:val="center"/>
                    <w:rPr>
                      <w:rFonts w:hint="default" w:ascii="Times New Roman" w:hAnsi="Times New Roman" w:eastAsia="宋体" w:cs="Times New Roman"/>
                      <w:color w:val="auto"/>
                      <w:szCs w:val="21"/>
                      <w:highlight w:val="none"/>
                      <w:u w:val="none" w:color="auto"/>
                      <w:lang w:val="en-US" w:eastAsia="zh-CN"/>
                    </w:rPr>
                  </w:pPr>
                </w:p>
              </w:tc>
              <w:tc>
                <w:tcPr>
                  <w:tcW w:w="802" w:type="pct"/>
                  <w:vMerge w:val="continue"/>
                  <w:tcBorders>
                    <w:tl2br w:val="nil"/>
                    <w:tr2bl w:val="nil"/>
                  </w:tcBorders>
                  <w:noWrap w:val="0"/>
                  <w:tcMar>
                    <w:top w:w="15" w:type="dxa"/>
                    <w:left w:w="15" w:type="dxa"/>
                    <w:right w:w="15" w:type="dxa"/>
                  </w:tcMar>
                  <w:vAlign w:val="center"/>
                </w:tcPr>
                <w:p w14:paraId="08732036">
                  <w:pPr>
                    <w:contextualSpacing/>
                    <w:jc w:val="center"/>
                    <w:rPr>
                      <w:rFonts w:hint="default" w:ascii="Times New Roman" w:hAnsi="Times New Roman" w:eastAsia="宋体" w:cs="Times New Roman"/>
                      <w:color w:val="auto"/>
                      <w:szCs w:val="21"/>
                      <w:highlight w:val="none"/>
                      <w:u w:val="none" w:color="auto"/>
                      <w:lang w:val="en-US" w:eastAsia="zh-CN"/>
                    </w:rPr>
                  </w:pPr>
                </w:p>
              </w:tc>
              <w:tc>
                <w:tcPr>
                  <w:tcW w:w="1318" w:type="pct"/>
                  <w:tcBorders>
                    <w:tl2br w:val="nil"/>
                    <w:tr2bl w:val="nil"/>
                  </w:tcBorders>
                  <w:noWrap w:val="0"/>
                  <w:tcMar>
                    <w:top w:w="15" w:type="dxa"/>
                    <w:left w:w="15" w:type="dxa"/>
                    <w:right w:w="15" w:type="dxa"/>
                  </w:tcMar>
                  <w:vAlign w:val="center"/>
                </w:tcPr>
                <w:p w14:paraId="759029BA">
                  <w:pPr>
                    <w:contextualSpacing/>
                    <w:jc w:val="center"/>
                    <w:rPr>
                      <w:rFonts w:hint="default" w:ascii="Times New Roman" w:hAnsi="Times New Roman" w:eastAsia="宋体" w:cs="Times New Roman"/>
                      <w:color w:val="auto"/>
                      <w:szCs w:val="21"/>
                      <w:highlight w:val="none"/>
                      <w:u w:val="none" w:color="auto"/>
                      <w:lang w:val="en-US" w:eastAsia="zh-CN"/>
                    </w:rPr>
                  </w:pPr>
                  <w:r>
                    <w:rPr>
                      <w:rFonts w:hint="default" w:ascii="Times New Roman" w:hAnsi="Times New Roman" w:eastAsia="宋体" w:cs="Times New Roman"/>
                      <w:color w:val="auto"/>
                      <w:szCs w:val="21"/>
                      <w:highlight w:val="none"/>
                      <w:u w:val="none" w:color="auto"/>
                      <w:lang w:val="en-US" w:eastAsia="zh-CN"/>
                    </w:rPr>
                    <w:t>临港高新产业园区西南向</w:t>
                  </w:r>
                </w:p>
              </w:tc>
              <w:tc>
                <w:tcPr>
                  <w:tcW w:w="634" w:type="pct"/>
                  <w:tcBorders>
                    <w:tl2br w:val="nil"/>
                    <w:tr2bl w:val="nil"/>
                  </w:tcBorders>
                  <w:noWrap w:val="0"/>
                  <w:tcMar>
                    <w:top w:w="15" w:type="dxa"/>
                    <w:left w:w="15" w:type="dxa"/>
                    <w:right w:w="15" w:type="dxa"/>
                  </w:tcMar>
                  <w:vAlign w:val="center"/>
                </w:tcPr>
                <w:p w14:paraId="0D79D3A3">
                  <w:pPr>
                    <w:contextualSpacing/>
                    <w:jc w:val="center"/>
                    <w:rPr>
                      <w:rFonts w:hint="default" w:ascii="Times New Roman" w:hAnsi="Times New Roman" w:eastAsia="宋体" w:cs="Times New Roman"/>
                      <w:color w:val="auto"/>
                      <w:szCs w:val="21"/>
                      <w:highlight w:val="none"/>
                      <w:u w:val="none" w:color="auto"/>
                      <w:lang w:val="en-US" w:eastAsia="zh-CN"/>
                    </w:rPr>
                  </w:pPr>
                  <w:r>
                    <w:rPr>
                      <w:rFonts w:hint="default" w:ascii="Times New Roman" w:hAnsi="Times New Roman" w:eastAsia="宋体" w:cs="Times New Roman"/>
                      <w:color w:val="auto"/>
                      <w:szCs w:val="21"/>
                      <w:highlight w:val="none"/>
                      <w:u w:val="none" w:color="auto"/>
                      <w:lang w:val="en-US" w:eastAsia="zh-CN"/>
                    </w:rPr>
                    <w:t>1181</w:t>
                  </w:r>
                </w:p>
              </w:tc>
            </w:tr>
          </w:tbl>
          <w:p w14:paraId="36A69F5A">
            <w:pPr>
              <w:spacing w:line="360" w:lineRule="auto"/>
              <w:ind w:firstLine="480" w:firstLineChars="200"/>
              <w:rPr>
                <w:rFonts w:hint="default" w:ascii="Times New Roman" w:hAnsi="Times New Roman" w:eastAsia="宋体" w:cs="Times New Roman"/>
                <w:bCs/>
                <w:color w:val="auto"/>
                <w:kern w:val="24"/>
                <w:sz w:val="24"/>
                <w:highlight w:val="yellow"/>
                <w:u w:val="none" w:color="auto"/>
              </w:rPr>
            </w:pPr>
            <w:r>
              <w:rPr>
                <w:rFonts w:hint="default" w:ascii="Times New Roman" w:hAnsi="Times New Roman" w:eastAsia="宋体" w:cs="Times New Roman"/>
                <w:bCs/>
                <w:color w:val="auto"/>
                <w:kern w:val="24"/>
                <w:sz w:val="24"/>
                <w:highlight w:val="none"/>
                <w:u w:val="none" w:color="auto"/>
              </w:rPr>
              <w:t>②</w:t>
            </w:r>
            <w:r>
              <w:rPr>
                <w:rFonts w:hint="default" w:ascii="Times New Roman" w:hAnsi="Times New Roman" w:eastAsia="宋体" w:cs="Times New Roman"/>
                <w:color w:val="auto"/>
                <w:sz w:val="24"/>
                <w:highlight w:val="none"/>
                <w:u w:val="none" w:color="auto"/>
              </w:rPr>
              <w:t>评价标准：</w:t>
            </w:r>
            <w:r>
              <w:rPr>
                <w:rFonts w:hint="default" w:ascii="Times New Roman" w:hAnsi="Times New Roman" w:eastAsia="宋体" w:cs="Times New Roman"/>
                <w:color w:val="auto"/>
                <w:sz w:val="24"/>
                <w:highlight w:val="none"/>
                <w:u w:val="none" w:color="auto"/>
                <w:lang w:val="en-US" w:eastAsia="zh-CN"/>
              </w:rPr>
              <w:t>TSP、</w:t>
            </w:r>
            <w:r>
              <w:rPr>
                <w:rFonts w:hint="default" w:ascii="Times New Roman" w:hAnsi="Times New Roman" w:eastAsia="宋体" w:cs="Times New Roman"/>
                <w:bCs/>
                <w:color w:val="auto"/>
                <w:kern w:val="24"/>
                <w:sz w:val="24"/>
                <w:highlight w:val="none"/>
                <w:u w:val="none" w:color="auto"/>
                <w:lang w:val="en-US" w:eastAsia="zh-CN"/>
              </w:rPr>
              <w:t>NOx</w:t>
            </w:r>
            <w:r>
              <w:rPr>
                <w:rFonts w:hint="default" w:ascii="Times New Roman" w:hAnsi="Times New Roman" w:eastAsia="宋体" w:cs="Times New Roman"/>
                <w:color w:val="auto"/>
                <w:sz w:val="24"/>
                <w:highlight w:val="none"/>
                <w:u w:val="none" w:color="auto"/>
              </w:rPr>
              <w:t>执行《</w:t>
            </w:r>
            <w:r>
              <w:rPr>
                <w:rFonts w:hint="default" w:ascii="Times New Roman" w:hAnsi="Times New Roman" w:eastAsia="宋体" w:cs="Times New Roman"/>
                <w:color w:val="auto"/>
                <w:sz w:val="24"/>
                <w:highlight w:val="none"/>
                <w:u w:val="none" w:color="auto"/>
                <w:lang w:val="en-US" w:eastAsia="zh-CN"/>
              </w:rPr>
              <w:t>环境空气质量标准</w:t>
            </w:r>
            <w:r>
              <w:rPr>
                <w:rFonts w:hint="default" w:ascii="Times New Roman" w:hAnsi="Times New Roman" w:eastAsia="宋体" w:cs="Times New Roman"/>
                <w:color w:val="auto"/>
                <w:sz w:val="24"/>
                <w:highlight w:val="none"/>
                <w:u w:val="none" w:color="auto"/>
              </w:rPr>
              <w:t>》（</w:t>
            </w:r>
            <w:r>
              <w:rPr>
                <w:rFonts w:hint="default" w:ascii="Times New Roman" w:hAnsi="Times New Roman" w:eastAsia="宋体" w:cs="Times New Roman"/>
                <w:color w:val="auto"/>
                <w:sz w:val="24"/>
                <w:highlight w:val="none"/>
                <w:u w:val="none" w:color="auto"/>
                <w:lang w:val="en-US" w:eastAsia="zh-CN"/>
              </w:rPr>
              <w:t>GB3095</w:t>
            </w:r>
            <w:r>
              <w:rPr>
                <w:rFonts w:hint="default" w:ascii="Times New Roman" w:hAnsi="Times New Roman" w:eastAsia="宋体" w:cs="Times New Roman"/>
                <w:color w:val="auto"/>
                <w:sz w:val="24"/>
                <w:highlight w:val="none"/>
                <w:u w:val="none" w:color="auto"/>
              </w:rPr>
              <w:t>-201</w:t>
            </w:r>
            <w:r>
              <w:rPr>
                <w:rFonts w:hint="default" w:ascii="Times New Roman" w:hAnsi="Times New Roman" w:eastAsia="宋体" w:cs="Times New Roman"/>
                <w:color w:val="auto"/>
                <w:sz w:val="24"/>
                <w:highlight w:val="none"/>
                <w:u w:val="none" w:color="auto"/>
                <w:lang w:val="en-US" w:eastAsia="zh-CN"/>
              </w:rPr>
              <w:t>2</w:t>
            </w:r>
            <w:r>
              <w:rPr>
                <w:rFonts w:hint="default" w:ascii="Times New Roman" w:hAnsi="Times New Roman" w:eastAsia="宋体" w:cs="Times New Roman"/>
                <w:color w:val="auto"/>
                <w:sz w:val="24"/>
                <w:highlight w:val="none"/>
                <w:u w:val="none" w:color="auto"/>
              </w:rPr>
              <w:t>）</w:t>
            </w:r>
            <w:r>
              <w:rPr>
                <w:rFonts w:hint="default" w:ascii="Times New Roman" w:hAnsi="Times New Roman" w:eastAsia="宋体" w:cs="Times New Roman"/>
                <w:color w:val="auto"/>
                <w:sz w:val="24"/>
                <w:highlight w:val="none"/>
                <w:u w:val="none" w:color="auto"/>
                <w:lang w:val="en-US" w:eastAsia="zh-CN"/>
              </w:rPr>
              <w:t>表2</w:t>
            </w:r>
            <w:r>
              <w:rPr>
                <w:rFonts w:hint="default" w:ascii="Times New Roman" w:hAnsi="Times New Roman" w:eastAsia="宋体" w:cs="Times New Roman"/>
                <w:color w:val="auto"/>
                <w:sz w:val="24"/>
                <w:highlight w:val="none"/>
                <w:u w:val="none" w:color="auto"/>
              </w:rPr>
              <w:t>中限值标准；</w:t>
            </w:r>
          </w:p>
          <w:p w14:paraId="2AF6C2EF">
            <w:pPr>
              <w:spacing w:line="360" w:lineRule="auto"/>
              <w:ind w:firstLine="480" w:firstLineChars="200"/>
              <w:rPr>
                <w:rFonts w:hint="default" w:ascii="Times New Roman" w:hAnsi="Times New Roman" w:eastAsia="宋体" w:cs="Times New Roman"/>
                <w:bCs/>
                <w:color w:val="auto"/>
                <w:kern w:val="24"/>
                <w:sz w:val="24"/>
                <w:highlight w:val="none"/>
                <w:u w:val="none" w:color="auto"/>
              </w:rPr>
            </w:pPr>
            <w:r>
              <w:rPr>
                <w:rFonts w:hint="default" w:ascii="Times New Roman" w:hAnsi="Times New Roman" w:eastAsia="宋体" w:cs="Times New Roman"/>
                <w:bCs/>
                <w:color w:val="auto"/>
                <w:kern w:val="24"/>
                <w:sz w:val="24"/>
                <w:highlight w:val="none"/>
                <w:u w:val="none" w:color="auto"/>
              </w:rPr>
              <w:t>③监测结果统计与评价：监测结果统计见表3-3。</w:t>
            </w:r>
          </w:p>
          <w:p w14:paraId="1360B1F1">
            <w:pPr>
              <w:jc w:val="center"/>
              <w:rPr>
                <w:rFonts w:hint="default" w:ascii="Times New Roman" w:hAnsi="Times New Roman" w:eastAsia="宋体" w:cs="Times New Roman"/>
                <w:b/>
                <w:color w:val="auto"/>
                <w:szCs w:val="21"/>
                <w:highlight w:val="none"/>
                <w:u w:val="none" w:color="auto"/>
              </w:rPr>
            </w:pPr>
            <w:r>
              <w:rPr>
                <w:rFonts w:hint="default" w:ascii="Times New Roman" w:hAnsi="Times New Roman" w:eastAsia="宋体" w:cs="Times New Roman"/>
                <w:b/>
                <w:color w:val="auto"/>
                <w:szCs w:val="21"/>
                <w:highlight w:val="none"/>
                <w:u w:val="none" w:color="auto"/>
              </w:rPr>
              <w:t>表3-3其他污染物环境质量现状（监测结果）表</w:t>
            </w:r>
          </w:p>
          <w:tbl>
            <w:tblPr>
              <w:tblStyle w:val="31"/>
              <w:tblW w:w="4996" w:type="pct"/>
              <w:tblInd w:w="-1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
            <w:tblGrid>
              <w:gridCol w:w="736"/>
              <w:gridCol w:w="1010"/>
              <w:gridCol w:w="931"/>
              <w:gridCol w:w="867"/>
              <w:gridCol w:w="677"/>
              <w:gridCol w:w="1004"/>
              <w:gridCol w:w="950"/>
              <w:gridCol w:w="693"/>
              <w:gridCol w:w="554"/>
              <w:gridCol w:w="516"/>
            </w:tblGrid>
            <w:tr w14:paraId="57744A5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518" w:hRule="atLeast"/>
              </w:trPr>
              <w:tc>
                <w:tcPr>
                  <w:tcW w:w="463" w:type="pct"/>
                  <w:vMerge w:val="restart"/>
                  <w:tcBorders>
                    <w:tl2br w:val="nil"/>
                    <w:tr2bl w:val="nil"/>
                  </w:tcBorders>
                  <w:noWrap w:val="0"/>
                  <w:tcMar>
                    <w:top w:w="15" w:type="dxa"/>
                    <w:left w:w="15" w:type="dxa"/>
                    <w:right w:w="15" w:type="dxa"/>
                  </w:tcMar>
                  <w:vAlign w:val="center"/>
                </w:tcPr>
                <w:p w14:paraId="410732BE">
                  <w:pPr>
                    <w:contextualSpacing/>
                    <w:jc w:val="center"/>
                    <w:rPr>
                      <w:rFonts w:hint="default" w:ascii="Times New Roman" w:hAnsi="Times New Roman" w:eastAsia="宋体" w:cs="Times New Roman"/>
                      <w:b/>
                      <w:bCs w:val="0"/>
                      <w:color w:val="auto"/>
                      <w:szCs w:val="21"/>
                      <w:highlight w:val="none"/>
                      <w:u w:val="none" w:color="auto"/>
                    </w:rPr>
                  </w:pPr>
                  <w:r>
                    <w:rPr>
                      <w:rFonts w:hint="default" w:ascii="Times New Roman" w:hAnsi="Times New Roman" w:eastAsia="宋体" w:cs="Times New Roman"/>
                      <w:b/>
                      <w:bCs w:val="0"/>
                      <w:color w:val="auto"/>
                      <w:szCs w:val="21"/>
                      <w:highlight w:val="none"/>
                      <w:u w:val="none" w:color="auto"/>
                    </w:rPr>
                    <w:t>监测</w:t>
                  </w:r>
                </w:p>
                <w:p w14:paraId="124A2041">
                  <w:pPr>
                    <w:contextualSpacing/>
                    <w:jc w:val="center"/>
                    <w:rPr>
                      <w:rFonts w:hint="default" w:ascii="Times New Roman" w:hAnsi="Times New Roman" w:eastAsia="宋体" w:cs="Times New Roman"/>
                      <w:b/>
                      <w:bCs w:val="0"/>
                      <w:color w:val="auto"/>
                      <w:szCs w:val="21"/>
                      <w:highlight w:val="none"/>
                      <w:u w:val="none" w:color="auto"/>
                    </w:rPr>
                  </w:pPr>
                  <w:r>
                    <w:rPr>
                      <w:rFonts w:hint="default" w:ascii="Times New Roman" w:hAnsi="Times New Roman" w:eastAsia="宋体" w:cs="Times New Roman"/>
                      <w:b/>
                      <w:bCs w:val="0"/>
                      <w:color w:val="auto"/>
                      <w:szCs w:val="21"/>
                      <w:highlight w:val="none"/>
                      <w:u w:val="none" w:color="auto"/>
                    </w:rPr>
                    <w:t>点位</w:t>
                  </w:r>
                </w:p>
              </w:tc>
              <w:tc>
                <w:tcPr>
                  <w:tcW w:w="1222" w:type="pct"/>
                  <w:gridSpan w:val="2"/>
                  <w:tcBorders>
                    <w:tl2br w:val="nil"/>
                    <w:tr2bl w:val="nil"/>
                  </w:tcBorders>
                  <w:noWrap w:val="0"/>
                  <w:tcMar>
                    <w:top w:w="15" w:type="dxa"/>
                    <w:left w:w="15" w:type="dxa"/>
                    <w:right w:w="15" w:type="dxa"/>
                  </w:tcMar>
                  <w:vAlign w:val="center"/>
                </w:tcPr>
                <w:p w14:paraId="107A8CB5">
                  <w:pPr>
                    <w:contextualSpacing/>
                    <w:jc w:val="center"/>
                    <w:rPr>
                      <w:rFonts w:hint="default" w:ascii="Times New Roman" w:hAnsi="Times New Roman" w:eastAsia="宋体" w:cs="Times New Roman"/>
                      <w:b/>
                      <w:bCs w:val="0"/>
                      <w:color w:val="auto"/>
                      <w:szCs w:val="21"/>
                      <w:highlight w:val="none"/>
                      <w:u w:val="none" w:color="auto"/>
                    </w:rPr>
                  </w:pPr>
                  <w:r>
                    <w:rPr>
                      <w:rFonts w:hint="default" w:ascii="Times New Roman" w:hAnsi="Times New Roman" w:eastAsia="宋体" w:cs="Times New Roman"/>
                      <w:b/>
                      <w:bCs w:val="0"/>
                      <w:color w:val="auto"/>
                      <w:szCs w:val="21"/>
                      <w:highlight w:val="none"/>
                      <w:u w:val="none" w:color="auto"/>
                    </w:rPr>
                    <w:t>监测点坐标</w:t>
                  </w:r>
                </w:p>
              </w:tc>
              <w:tc>
                <w:tcPr>
                  <w:tcW w:w="546" w:type="pct"/>
                  <w:vMerge w:val="restart"/>
                  <w:tcBorders>
                    <w:tl2br w:val="nil"/>
                    <w:tr2bl w:val="nil"/>
                  </w:tcBorders>
                  <w:noWrap w:val="0"/>
                  <w:tcMar>
                    <w:top w:w="15" w:type="dxa"/>
                    <w:left w:w="15" w:type="dxa"/>
                    <w:right w:w="15" w:type="dxa"/>
                  </w:tcMar>
                  <w:vAlign w:val="center"/>
                </w:tcPr>
                <w:p w14:paraId="2628E8F9">
                  <w:pPr>
                    <w:contextualSpacing/>
                    <w:jc w:val="center"/>
                    <w:rPr>
                      <w:rFonts w:hint="default" w:ascii="Times New Roman" w:hAnsi="Times New Roman" w:eastAsia="宋体" w:cs="Times New Roman"/>
                      <w:b/>
                      <w:bCs w:val="0"/>
                      <w:color w:val="auto"/>
                      <w:szCs w:val="21"/>
                      <w:highlight w:val="none"/>
                      <w:u w:val="none" w:color="auto"/>
                    </w:rPr>
                  </w:pPr>
                  <w:r>
                    <w:rPr>
                      <w:rFonts w:hint="default" w:ascii="Times New Roman" w:hAnsi="Times New Roman" w:eastAsia="宋体" w:cs="Times New Roman"/>
                      <w:b/>
                      <w:bCs w:val="0"/>
                      <w:color w:val="auto"/>
                      <w:szCs w:val="21"/>
                      <w:highlight w:val="none"/>
                      <w:u w:val="none" w:color="auto"/>
                    </w:rPr>
                    <w:t>污染物</w:t>
                  </w:r>
                </w:p>
              </w:tc>
              <w:tc>
                <w:tcPr>
                  <w:tcW w:w="426" w:type="pct"/>
                  <w:vMerge w:val="restart"/>
                  <w:tcBorders>
                    <w:tl2br w:val="nil"/>
                    <w:tr2bl w:val="nil"/>
                  </w:tcBorders>
                  <w:noWrap w:val="0"/>
                  <w:tcMar>
                    <w:top w:w="15" w:type="dxa"/>
                    <w:left w:w="15" w:type="dxa"/>
                    <w:right w:w="15" w:type="dxa"/>
                  </w:tcMar>
                  <w:vAlign w:val="center"/>
                </w:tcPr>
                <w:p w14:paraId="53653AA3">
                  <w:pPr>
                    <w:contextualSpacing/>
                    <w:jc w:val="center"/>
                    <w:rPr>
                      <w:rFonts w:hint="default" w:ascii="Times New Roman" w:hAnsi="Times New Roman" w:eastAsia="宋体" w:cs="Times New Roman"/>
                      <w:b/>
                      <w:bCs w:val="0"/>
                      <w:color w:val="auto"/>
                      <w:szCs w:val="21"/>
                      <w:highlight w:val="none"/>
                      <w:u w:val="none" w:color="auto"/>
                    </w:rPr>
                  </w:pPr>
                  <w:r>
                    <w:rPr>
                      <w:rFonts w:hint="default" w:ascii="Times New Roman" w:hAnsi="Times New Roman" w:eastAsia="宋体" w:cs="Times New Roman"/>
                      <w:b/>
                      <w:bCs w:val="0"/>
                      <w:color w:val="auto"/>
                      <w:szCs w:val="21"/>
                      <w:highlight w:val="none"/>
                      <w:u w:val="none" w:color="auto"/>
                    </w:rPr>
                    <w:t>平均时间</w:t>
                  </w:r>
                </w:p>
              </w:tc>
              <w:tc>
                <w:tcPr>
                  <w:tcW w:w="632" w:type="pct"/>
                  <w:vMerge w:val="restart"/>
                  <w:tcBorders>
                    <w:tl2br w:val="nil"/>
                    <w:tr2bl w:val="nil"/>
                  </w:tcBorders>
                  <w:noWrap w:val="0"/>
                  <w:tcMar>
                    <w:top w:w="15" w:type="dxa"/>
                    <w:left w:w="15" w:type="dxa"/>
                    <w:right w:w="15" w:type="dxa"/>
                  </w:tcMar>
                  <w:vAlign w:val="center"/>
                </w:tcPr>
                <w:p w14:paraId="6AAF3AA0">
                  <w:pPr>
                    <w:contextualSpacing/>
                    <w:jc w:val="center"/>
                    <w:rPr>
                      <w:rFonts w:hint="default" w:ascii="Times New Roman" w:hAnsi="Times New Roman" w:eastAsia="宋体" w:cs="Times New Roman"/>
                      <w:b/>
                      <w:bCs w:val="0"/>
                      <w:color w:val="auto"/>
                      <w:szCs w:val="21"/>
                      <w:highlight w:val="none"/>
                      <w:u w:val="none" w:color="auto"/>
                    </w:rPr>
                  </w:pPr>
                  <w:r>
                    <w:rPr>
                      <w:rFonts w:hint="default" w:ascii="Times New Roman" w:hAnsi="Times New Roman" w:eastAsia="宋体" w:cs="Times New Roman"/>
                      <w:b/>
                      <w:bCs w:val="0"/>
                      <w:color w:val="auto"/>
                      <w:szCs w:val="21"/>
                      <w:highlight w:val="none"/>
                      <w:u w:val="none" w:color="auto"/>
                    </w:rPr>
                    <w:t>评价标准/（μg/m</w:t>
                  </w:r>
                  <w:r>
                    <w:rPr>
                      <w:rFonts w:hint="default" w:ascii="Times New Roman" w:hAnsi="Times New Roman" w:eastAsia="宋体" w:cs="Times New Roman"/>
                      <w:b/>
                      <w:bCs w:val="0"/>
                      <w:color w:val="auto"/>
                      <w:szCs w:val="21"/>
                      <w:highlight w:val="none"/>
                      <w:u w:val="none" w:color="auto"/>
                      <w:vertAlign w:val="superscript"/>
                    </w:rPr>
                    <w:t>3</w:t>
                  </w:r>
                  <w:r>
                    <w:rPr>
                      <w:rFonts w:hint="default" w:ascii="Times New Roman" w:hAnsi="Times New Roman" w:eastAsia="宋体" w:cs="Times New Roman"/>
                      <w:b/>
                      <w:bCs w:val="0"/>
                      <w:color w:val="auto"/>
                      <w:szCs w:val="21"/>
                      <w:highlight w:val="none"/>
                      <w:u w:val="none" w:color="auto"/>
                    </w:rPr>
                    <w:t>）</w:t>
                  </w:r>
                </w:p>
              </w:tc>
              <w:tc>
                <w:tcPr>
                  <w:tcW w:w="598" w:type="pct"/>
                  <w:vMerge w:val="restart"/>
                  <w:tcBorders>
                    <w:tl2br w:val="nil"/>
                    <w:tr2bl w:val="nil"/>
                  </w:tcBorders>
                  <w:noWrap w:val="0"/>
                  <w:tcMar>
                    <w:top w:w="15" w:type="dxa"/>
                    <w:left w:w="15" w:type="dxa"/>
                    <w:right w:w="15" w:type="dxa"/>
                  </w:tcMar>
                  <w:vAlign w:val="center"/>
                </w:tcPr>
                <w:p w14:paraId="510AC5D4">
                  <w:pPr>
                    <w:contextualSpacing/>
                    <w:jc w:val="center"/>
                    <w:rPr>
                      <w:rFonts w:hint="default" w:ascii="Times New Roman" w:hAnsi="Times New Roman" w:eastAsia="宋体" w:cs="Times New Roman"/>
                      <w:b/>
                      <w:bCs w:val="0"/>
                      <w:color w:val="auto"/>
                      <w:szCs w:val="21"/>
                      <w:highlight w:val="none"/>
                      <w:u w:val="none" w:color="auto"/>
                    </w:rPr>
                  </w:pPr>
                  <w:r>
                    <w:rPr>
                      <w:rFonts w:hint="default" w:ascii="Times New Roman" w:hAnsi="Times New Roman" w:eastAsia="宋体" w:cs="Times New Roman"/>
                      <w:b/>
                      <w:bCs w:val="0"/>
                      <w:color w:val="auto"/>
                      <w:szCs w:val="21"/>
                      <w:highlight w:val="none"/>
                      <w:u w:val="none" w:color="auto"/>
                    </w:rPr>
                    <w:t>监测浓度范围/（μg/m</w:t>
                  </w:r>
                  <w:r>
                    <w:rPr>
                      <w:rFonts w:hint="default" w:ascii="Times New Roman" w:hAnsi="Times New Roman" w:eastAsia="宋体" w:cs="Times New Roman"/>
                      <w:b/>
                      <w:bCs w:val="0"/>
                      <w:color w:val="auto"/>
                      <w:szCs w:val="21"/>
                      <w:highlight w:val="none"/>
                      <w:u w:val="none" w:color="auto"/>
                      <w:vertAlign w:val="superscript"/>
                    </w:rPr>
                    <w:t>3</w:t>
                  </w:r>
                  <w:r>
                    <w:rPr>
                      <w:rFonts w:hint="default" w:ascii="Times New Roman" w:hAnsi="Times New Roman" w:eastAsia="宋体" w:cs="Times New Roman"/>
                      <w:b/>
                      <w:bCs w:val="0"/>
                      <w:color w:val="auto"/>
                      <w:szCs w:val="21"/>
                      <w:highlight w:val="none"/>
                      <w:u w:val="none" w:color="auto"/>
                    </w:rPr>
                    <w:t>）</w:t>
                  </w:r>
                </w:p>
              </w:tc>
              <w:tc>
                <w:tcPr>
                  <w:tcW w:w="436" w:type="pct"/>
                  <w:vMerge w:val="restart"/>
                  <w:tcBorders>
                    <w:tl2br w:val="nil"/>
                    <w:tr2bl w:val="nil"/>
                  </w:tcBorders>
                  <w:noWrap w:val="0"/>
                  <w:tcMar>
                    <w:top w:w="15" w:type="dxa"/>
                    <w:left w:w="15" w:type="dxa"/>
                    <w:right w:w="15" w:type="dxa"/>
                  </w:tcMar>
                  <w:vAlign w:val="center"/>
                </w:tcPr>
                <w:p w14:paraId="2C7CFD87">
                  <w:pPr>
                    <w:contextualSpacing/>
                    <w:jc w:val="center"/>
                    <w:rPr>
                      <w:rFonts w:hint="default" w:ascii="Times New Roman" w:hAnsi="Times New Roman" w:eastAsia="宋体" w:cs="Times New Roman"/>
                      <w:b/>
                      <w:bCs w:val="0"/>
                      <w:color w:val="auto"/>
                      <w:szCs w:val="21"/>
                      <w:highlight w:val="none"/>
                      <w:u w:val="none" w:color="auto"/>
                    </w:rPr>
                  </w:pPr>
                  <w:r>
                    <w:rPr>
                      <w:rFonts w:hint="default" w:ascii="Times New Roman" w:hAnsi="Times New Roman" w:eastAsia="宋体" w:cs="Times New Roman"/>
                      <w:b/>
                      <w:bCs w:val="0"/>
                      <w:color w:val="auto"/>
                      <w:szCs w:val="21"/>
                      <w:highlight w:val="none"/>
                      <w:u w:val="none" w:color="auto"/>
                    </w:rPr>
                    <w:t>最大浓度占标率/%</w:t>
                  </w:r>
                </w:p>
              </w:tc>
              <w:tc>
                <w:tcPr>
                  <w:tcW w:w="349" w:type="pct"/>
                  <w:vMerge w:val="restart"/>
                  <w:tcBorders>
                    <w:tl2br w:val="nil"/>
                    <w:tr2bl w:val="nil"/>
                  </w:tcBorders>
                  <w:noWrap w:val="0"/>
                  <w:tcMar>
                    <w:top w:w="15" w:type="dxa"/>
                    <w:left w:w="15" w:type="dxa"/>
                    <w:right w:w="15" w:type="dxa"/>
                  </w:tcMar>
                  <w:vAlign w:val="center"/>
                </w:tcPr>
                <w:p w14:paraId="0DFCAD7D">
                  <w:pPr>
                    <w:contextualSpacing/>
                    <w:jc w:val="center"/>
                    <w:rPr>
                      <w:rFonts w:hint="default" w:ascii="Times New Roman" w:hAnsi="Times New Roman" w:eastAsia="宋体" w:cs="Times New Roman"/>
                      <w:b/>
                      <w:bCs w:val="0"/>
                      <w:color w:val="auto"/>
                      <w:szCs w:val="21"/>
                      <w:highlight w:val="none"/>
                      <w:u w:val="none" w:color="auto"/>
                    </w:rPr>
                  </w:pPr>
                  <w:r>
                    <w:rPr>
                      <w:rFonts w:hint="default" w:ascii="Times New Roman" w:hAnsi="Times New Roman" w:eastAsia="宋体" w:cs="Times New Roman"/>
                      <w:b/>
                      <w:bCs w:val="0"/>
                      <w:color w:val="auto"/>
                      <w:szCs w:val="21"/>
                      <w:highlight w:val="none"/>
                      <w:u w:val="none" w:color="auto"/>
                    </w:rPr>
                    <w:t>超标率/%</w:t>
                  </w:r>
                </w:p>
              </w:tc>
              <w:tc>
                <w:tcPr>
                  <w:tcW w:w="324" w:type="pct"/>
                  <w:vMerge w:val="restart"/>
                  <w:tcBorders>
                    <w:tl2br w:val="nil"/>
                    <w:tr2bl w:val="nil"/>
                  </w:tcBorders>
                  <w:noWrap w:val="0"/>
                  <w:tcMar>
                    <w:top w:w="15" w:type="dxa"/>
                    <w:left w:w="15" w:type="dxa"/>
                    <w:right w:w="15" w:type="dxa"/>
                  </w:tcMar>
                  <w:vAlign w:val="center"/>
                </w:tcPr>
                <w:p w14:paraId="28192961">
                  <w:pPr>
                    <w:contextualSpacing/>
                    <w:jc w:val="center"/>
                    <w:rPr>
                      <w:rFonts w:hint="default" w:ascii="Times New Roman" w:hAnsi="Times New Roman" w:eastAsia="宋体" w:cs="Times New Roman"/>
                      <w:b/>
                      <w:bCs w:val="0"/>
                      <w:color w:val="auto"/>
                      <w:szCs w:val="21"/>
                      <w:highlight w:val="none"/>
                      <w:u w:val="none" w:color="auto"/>
                    </w:rPr>
                  </w:pPr>
                  <w:r>
                    <w:rPr>
                      <w:rFonts w:hint="default" w:ascii="Times New Roman" w:hAnsi="Times New Roman" w:eastAsia="宋体" w:cs="Times New Roman"/>
                      <w:b/>
                      <w:bCs w:val="0"/>
                      <w:color w:val="auto"/>
                      <w:szCs w:val="21"/>
                      <w:highlight w:val="none"/>
                      <w:u w:val="none" w:color="auto"/>
                    </w:rPr>
                    <w:t>达标情况</w:t>
                  </w:r>
                </w:p>
              </w:tc>
            </w:tr>
            <w:tr w14:paraId="1089219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70" w:hRule="atLeast"/>
              </w:trPr>
              <w:tc>
                <w:tcPr>
                  <w:tcW w:w="463" w:type="pct"/>
                  <w:vMerge w:val="continue"/>
                  <w:tcBorders>
                    <w:tl2br w:val="nil"/>
                    <w:tr2bl w:val="nil"/>
                  </w:tcBorders>
                  <w:noWrap w:val="0"/>
                  <w:tcMar>
                    <w:top w:w="15" w:type="dxa"/>
                    <w:left w:w="15" w:type="dxa"/>
                    <w:right w:w="15" w:type="dxa"/>
                  </w:tcMar>
                  <w:vAlign w:val="center"/>
                </w:tcPr>
                <w:p w14:paraId="2B85B4BA">
                  <w:pPr>
                    <w:contextualSpacing/>
                    <w:jc w:val="center"/>
                    <w:rPr>
                      <w:rFonts w:hint="default" w:ascii="Times New Roman" w:hAnsi="Times New Roman" w:eastAsia="宋体" w:cs="Times New Roman"/>
                      <w:b/>
                      <w:bCs w:val="0"/>
                      <w:color w:val="auto"/>
                      <w:szCs w:val="21"/>
                      <w:highlight w:val="none"/>
                      <w:u w:val="none" w:color="auto"/>
                    </w:rPr>
                  </w:pPr>
                </w:p>
              </w:tc>
              <w:tc>
                <w:tcPr>
                  <w:tcW w:w="636" w:type="pct"/>
                  <w:tcBorders>
                    <w:tl2br w:val="nil"/>
                    <w:tr2bl w:val="nil"/>
                  </w:tcBorders>
                  <w:noWrap w:val="0"/>
                  <w:tcMar>
                    <w:top w:w="15" w:type="dxa"/>
                    <w:left w:w="15" w:type="dxa"/>
                    <w:right w:w="15" w:type="dxa"/>
                  </w:tcMar>
                  <w:vAlign w:val="center"/>
                </w:tcPr>
                <w:p w14:paraId="60862AEA">
                  <w:pPr>
                    <w:widowControl/>
                    <w:contextualSpacing/>
                    <w:jc w:val="center"/>
                    <w:textAlignment w:val="center"/>
                    <w:rPr>
                      <w:rFonts w:hint="default" w:ascii="Times New Roman" w:hAnsi="Times New Roman" w:eastAsia="宋体" w:cs="Times New Roman"/>
                      <w:b/>
                      <w:bCs w:val="0"/>
                      <w:color w:val="auto"/>
                      <w:szCs w:val="21"/>
                      <w:highlight w:val="none"/>
                      <w:u w:val="none" w:color="auto"/>
                    </w:rPr>
                  </w:pPr>
                  <w:r>
                    <w:rPr>
                      <w:rFonts w:hint="default" w:ascii="Times New Roman" w:hAnsi="Times New Roman" w:eastAsia="宋体" w:cs="Times New Roman"/>
                      <w:b/>
                      <w:bCs w:val="0"/>
                      <w:color w:val="auto"/>
                      <w:szCs w:val="21"/>
                      <w:highlight w:val="none"/>
                      <w:u w:val="none" w:color="auto"/>
                    </w:rPr>
                    <w:t>X</w:t>
                  </w:r>
                </w:p>
              </w:tc>
              <w:tc>
                <w:tcPr>
                  <w:tcW w:w="585" w:type="pct"/>
                  <w:tcBorders>
                    <w:tl2br w:val="nil"/>
                    <w:tr2bl w:val="nil"/>
                  </w:tcBorders>
                  <w:noWrap w:val="0"/>
                  <w:tcMar>
                    <w:top w:w="15" w:type="dxa"/>
                    <w:left w:w="15" w:type="dxa"/>
                    <w:right w:w="15" w:type="dxa"/>
                  </w:tcMar>
                  <w:vAlign w:val="center"/>
                </w:tcPr>
                <w:p w14:paraId="3E1C2DCC">
                  <w:pPr>
                    <w:widowControl/>
                    <w:contextualSpacing/>
                    <w:jc w:val="center"/>
                    <w:textAlignment w:val="center"/>
                    <w:rPr>
                      <w:rFonts w:hint="default" w:ascii="Times New Roman" w:hAnsi="Times New Roman" w:eastAsia="宋体" w:cs="Times New Roman"/>
                      <w:b/>
                      <w:bCs w:val="0"/>
                      <w:color w:val="auto"/>
                      <w:szCs w:val="21"/>
                      <w:highlight w:val="none"/>
                      <w:u w:val="none" w:color="auto"/>
                    </w:rPr>
                  </w:pPr>
                  <w:r>
                    <w:rPr>
                      <w:rFonts w:hint="default" w:ascii="Times New Roman" w:hAnsi="Times New Roman" w:eastAsia="宋体" w:cs="Times New Roman"/>
                      <w:b/>
                      <w:bCs w:val="0"/>
                      <w:color w:val="auto"/>
                      <w:szCs w:val="21"/>
                      <w:highlight w:val="none"/>
                      <w:u w:val="none" w:color="auto"/>
                    </w:rPr>
                    <w:t>Y</w:t>
                  </w:r>
                </w:p>
              </w:tc>
              <w:tc>
                <w:tcPr>
                  <w:tcW w:w="546" w:type="pct"/>
                  <w:vMerge w:val="continue"/>
                  <w:tcBorders>
                    <w:tl2br w:val="nil"/>
                    <w:tr2bl w:val="nil"/>
                  </w:tcBorders>
                  <w:noWrap w:val="0"/>
                  <w:tcMar>
                    <w:top w:w="15" w:type="dxa"/>
                    <w:left w:w="15" w:type="dxa"/>
                    <w:right w:w="15" w:type="dxa"/>
                  </w:tcMar>
                  <w:vAlign w:val="center"/>
                </w:tcPr>
                <w:p w14:paraId="107F937F">
                  <w:pPr>
                    <w:contextualSpacing/>
                    <w:jc w:val="center"/>
                    <w:rPr>
                      <w:rFonts w:hint="default" w:ascii="Times New Roman" w:hAnsi="Times New Roman" w:eastAsia="宋体" w:cs="Times New Roman"/>
                      <w:color w:val="auto"/>
                      <w:szCs w:val="21"/>
                      <w:highlight w:val="none"/>
                      <w:u w:val="none" w:color="auto"/>
                    </w:rPr>
                  </w:pPr>
                </w:p>
              </w:tc>
              <w:tc>
                <w:tcPr>
                  <w:tcW w:w="426" w:type="pct"/>
                  <w:vMerge w:val="continue"/>
                  <w:tcBorders>
                    <w:tl2br w:val="nil"/>
                    <w:tr2bl w:val="nil"/>
                  </w:tcBorders>
                  <w:noWrap w:val="0"/>
                  <w:tcMar>
                    <w:top w:w="15" w:type="dxa"/>
                    <w:left w:w="15" w:type="dxa"/>
                    <w:right w:w="15" w:type="dxa"/>
                  </w:tcMar>
                  <w:vAlign w:val="center"/>
                </w:tcPr>
                <w:p w14:paraId="2AB6538A">
                  <w:pPr>
                    <w:contextualSpacing/>
                    <w:jc w:val="center"/>
                    <w:rPr>
                      <w:rFonts w:hint="default" w:ascii="Times New Roman" w:hAnsi="Times New Roman" w:eastAsia="宋体" w:cs="Times New Roman"/>
                      <w:color w:val="auto"/>
                      <w:szCs w:val="21"/>
                      <w:highlight w:val="none"/>
                      <w:u w:val="none" w:color="auto"/>
                    </w:rPr>
                  </w:pPr>
                </w:p>
              </w:tc>
              <w:tc>
                <w:tcPr>
                  <w:tcW w:w="632" w:type="pct"/>
                  <w:vMerge w:val="continue"/>
                  <w:tcBorders>
                    <w:tl2br w:val="nil"/>
                    <w:tr2bl w:val="nil"/>
                  </w:tcBorders>
                  <w:noWrap w:val="0"/>
                  <w:tcMar>
                    <w:top w:w="15" w:type="dxa"/>
                    <w:left w:w="15" w:type="dxa"/>
                    <w:right w:w="15" w:type="dxa"/>
                  </w:tcMar>
                  <w:vAlign w:val="center"/>
                </w:tcPr>
                <w:p w14:paraId="4CFA6441">
                  <w:pPr>
                    <w:contextualSpacing/>
                    <w:jc w:val="center"/>
                    <w:rPr>
                      <w:rFonts w:hint="default" w:ascii="Times New Roman" w:hAnsi="Times New Roman" w:eastAsia="宋体" w:cs="Times New Roman"/>
                      <w:color w:val="auto"/>
                      <w:szCs w:val="21"/>
                      <w:highlight w:val="none"/>
                      <w:u w:val="none" w:color="auto"/>
                    </w:rPr>
                  </w:pPr>
                </w:p>
              </w:tc>
              <w:tc>
                <w:tcPr>
                  <w:tcW w:w="598" w:type="pct"/>
                  <w:vMerge w:val="continue"/>
                  <w:tcBorders>
                    <w:tl2br w:val="nil"/>
                    <w:tr2bl w:val="nil"/>
                  </w:tcBorders>
                  <w:noWrap w:val="0"/>
                  <w:tcMar>
                    <w:top w:w="15" w:type="dxa"/>
                    <w:left w:w="15" w:type="dxa"/>
                    <w:right w:w="15" w:type="dxa"/>
                  </w:tcMar>
                  <w:vAlign w:val="center"/>
                </w:tcPr>
                <w:p w14:paraId="26733138">
                  <w:pPr>
                    <w:contextualSpacing/>
                    <w:jc w:val="center"/>
                    <w:rPr>
                      <w:rFonts w:hint="default" w:ascii="Times New Roman" w:hAnsi="Times New Roman" w:eastAsia="宋体" w:cs="Times New Roman"/>
                      <w:color w:val="auto"/>
                      <w:szCs w:val="21"/>
                      <w:highlight w:val="none"/>
                      <w:u w:val="none" w:color="auto"/>
                    </w:rPr>
                  </w:pPr>
                </w:p>
              </w:tc>
              <w:tc>
                <w:tcPr>
                  <w:tcW w:w="436" w:type="pct"/>
                  <w:vMerge w:val="continue"/>
                  <w:tcBorders>
                    <w:tl2br w:val="nil"/>
                    <w:tr2bl w:val="nil"/>
                  </w:tcBorders>
                  <w:noWrap w:val="0"/>
                  <w:tcMar>
                    <w:top w:w="15" w:type="dxa"/>
                    <w:left w:w="15" w:type="dxa"/>
                    <w:right w:w="15" w:type="dxa"/>
                  </w:tcMar>
                  <w:vAlign w:val="center"/>
                </w:tcPr>
                <w:p w14:paraId="47AE19CD">
                  <w:pPr>
                    <w:contextualSpacing/>
                    <w:jc w:val="center"/>
                    <w:rPr>
                      <w:rFonts w:hint="default" w:ascii="Times New Roman" w:hAnsi="Times New Roman" w:eastAsia="宋体" w:cs="Times New Roman"/>
                      <w:color w:val="auto"/>
                      <w:szCs w:val="21"/>
                      <w:highlight w:val="none"/>
                      <w:u w:val="none" w:color="auto"/>
                    </w:rPr>
                  </w:pPr>
                </w:p>
              </w:tc>
              <w:tc>
                <w:tcPr>
                  <w:tcW w:w="349" w:type="pct"/>
                  <w:vMerge w:val="continue"/>
                  <w:tcBorders>
                    <w:tl2br w:val="nil"/>
                    <w:tr2bl w:val="nil"/>
                  </w:tcBorders>
                  <w:noWrap w:val="0"/>
                  <w:tcMar>
                    <w:top w:w="15" w:type="dxa"/>
                    <w:left w:w="15" w:type="dxa"/>
                    <w:right w:w="15" w:type="dxa"/>
                  </w:tcMar>
                  <w:vAlign w:val="center"/>
                </w:tcPr>
                <w:p w14:paraId="574945E4">
                  <w:pPr>
                    <w:contextualSpacing/>
                    <w:jc w:val="center"/>
                    <w:rPr>
                      <w:rFonts w:hint="default" w:ascii="Times New Roman" w:hAnsi="Times New Roman" w:eastAsia="宋体" w:cs="Times New Roman"/>
                      <w:color w:val="auto"/>
                      <w:szCs w:val="21"/>
                      <w:highlight w:val="none"/>
                      <w:u w:val="none" w:color="auto"/>
                    </w:rPr>
                  </w:pPr>
                </w:p>
              </w:tc>
              <w:tc>
                <w:tcPr>
                  <w:tcW w:w="324" w:type="pct"/>
                  <w:vMerge w:val="continue"/>
                  <w:tcBorders>
                    <w:tl2br w:val="nil"/>
                    <w:tr2bl w:val="nil"/>
                  </w:tcBorders>
                  <w:noWrap w:val="0"/>
                  <w:tcMar>
                    <w:top w:w="15" w:type="dxa"/>
                    <w:left w:w="15" w:type="dxa"/>
                    <w:right w:w="15" w:type="dxa"/>
                  </w:tcMar>
                  <w:vAlign w:val="center"/>
                </w:tcPr>
                <w:p w14:paraId="5B147BEC">
                  <w:pPr>
                    <w:contextualSpacing/>
                    <w:jc w:val="center"/>
                    <w:rPr>
                      <w:rFonts w:hint="default" w:ascii="Times New Roman" w:hAnsi="Times New Roman" w:eastAsia="宋体" w:cs="Times New Roman"/>
                      <w:color w:val="auto"/>
                      <w:szCs w:val="21"/>
                      <w:highlight w:val="none"/>
                      <w:u w:val="none" w:color="auto"/>
                    </w:rPr>
                  </w:pPr>
                </w:p>
              </w:tc>
            </w:tr>
            <w:tr w14:paraId="5EC7A96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80" w:hRule="atLeast"/>
              </w:trPr>
              <w:tc>
                <w:tcPr>
                  <w:tcW w:w="463" w:type="pct"/>
                  <w:vMerge w:val="restart"/>
                  <w:tcBorders>
                    <w:tl2br w:val="nil"/>
                    <w:tr2bl w:val="nil"/>
                  </w:tcBorders>
                  <w:noWrap w:val="0"/>
                  <w:tcMar>
                    <w:top w:w="15" w:type="dxa"/>
                    <w:left w:w="15" w:type="dxa"/>
                    <w:right w:w="15" w:type="dxa"/>
                  </w:tcMar>
                  <w:vAlign w:val="center"/>
                </w:tcPr>
                <w:p w14:paraId="08CEA8D3">
                  <w:pPr>
                    <w:contextualSpacing/>
                    <w:jc w:val="center"/>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lang w:val="en-US" w:eastAsia="zh-CN"/>
                    </w:rPr>
                    <w:t>G1</w:t>
                  </w:r>
                </w:p>
              </w:tc>
              <w:tc>
                <w:tcPr>
                  <w:tcW w:w="636" w:type="pct"/>
                  <w:vMerge w:val="restart"/>
                  <w:tcBorders>
                    <w:tl2br w:val="nil"/>
                    <w:tr2bl w:val="nil"/>
                  </w:tcBorders>
                  <w:noWrap w:val="0"/>
                  <w:tcMar>
                    <w:top w:w="15" w:type="dxa"/>
                    <w:left w:w="15" w:type="dxa"/>
                    <w:right w:w="15" w:type="dxa"/>
                  </w:tcMar>
                  <w:vAlign w:val="center"/>
                </w:tcPr>
                <w:p w14:paraId="4571164A">
                  <w:pPr>
                    <w:contextualSpacing/>
                    <w:jc w:val="center"/>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rPr>
                    <w:t>113.</w:t>
                  </w:r>
                  <w:r>
                    <w:rPr>
                      <w:rFonts w:hint="default" w:ascii="Times New Roman" w:hAnsi="Times New Roman" w:eastAsia="宋体" w:cs="Times New Roman"/>
                      <w:color w:val="auto"/>
                      <w:szCs w:val="21"/>
                      <w:highlight w:val="none"/>
                      <w:u w:val="none" w:color="auto"/>
                      <w:lang w:val="en-US" w:eastAsia="zh-CN"/>
                    </w:rPr>
                    <w:t>190238</w:t>
                  </w:r>
                </w:p>
              </w:tc>
              <w:tc>
                <w:tcPr>
                  <w:tcW w:w="585" w:type="pct"/>
                  <w:vMerge w:val="restart"/>
                  <w:tcBorders>
                    <w:tl2br w:val="nil"/>
                    <w:tr2bl w:val="nil"/>
                  </w:tcBorders>
                  <w:noWrap w:val="0"/>
                  <w:tcMar>
                    <w:top w:w="15" w:type="dxa"/>
                    <w:left w:w="15" w:type="dxa"/>
                    <w:right w:w="15" w:type="dxa"/>
                  </w:tcMar>
                  <w:vAlign w:val="center"/>
                </w:tcPr>
                <w:p w14:paraId="478A5619">
                  <w:pPr>
                    <w:contextualSpacing/>
                    <w:jc w:val="center"/>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rPr>
                    <w:t>29.</w:t>
                  </w:r>
                  <w:r>
                    <w:rPr>
                      <w:rFonts w:hint="default" w:ascii="Times New Roman" w:hAnsi="Times New Roman" w:eastAsia="宋体" w:cs="Times New Roman"/>
                      <w:color w:val="auto"/>
                      <w:szCs w:val="21"/>
                      <w:highlight w:val="none"/>
                      <w:u w:val="none" w:color="auto"/>
                      <w:lang w:val="en-US" w:eastAsia="zh-CN"/>
                    </w:rPr>
                    <w:t>458873</w:t>
                  </w:r>
                </w:p>
              </w:tc>
              <w:tc>
                <w:tcPr>
                  <w:tcW w:w="546" w:type="pct"/>
                  <w:tcBorders>
                    <w:tl2br w:val="nil"/>
                    <w:tr2bl w:val="nil"/>
                  </w:tcBorders>
                  <w:noWrap w:val="0"/>
                  <w:tcMar>
                    <w:top w:w="15" w:type="dxa"/>
                    <w:left w:w="15" w:type="dxa"/>
                    <w:right w:w="15" w:type="dxa"/>
                  </w:tcMar>
                  <w:vAlign w:val="center"/>
                </w:tcPr>
                <w:p w14:paraId="6B97BC5C">
                  <w:pPr>
                    <w:contextualSpacing/>
                    <w:jc w:val="center"/>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lang w:val="en-US" w:eastAsia="zh-CN"/>
                    </w:rPr>
                    <w:t>TSP</w:t>
                  </w:r>
                </w:p>
              </w:tc>
              <w:tc>
                <w:tcPr>
                  <w:tcW w:w="426" w:type="pct"/>
                  <w:vMerge w:val="restart"/>
                  <w:tcBorders>
                    <w:tl2br w:val="nil"/>
                    <w:tr2bl w:val="nil"/>
                  </w:tcBorders>
                  <w:noWrap w:val="0"/>
                  <w:tcMar>
                    <w:top w:w="15" w:type="dxa"/>
                    <w:left w:w="15" w:type="dxa"/>
                    <w:right w:w="15" w:type="dxa"/>
                  </w:tcMar>
                  <w:vAlign w:val="center"/>
                </w:tcPr>
                <w:p w14:paraId="115A76C3">
                  <w:pPr>
                    <w:contextualSpacing/>
                    <w:jc w:val="center"/>
                    <w:rPr>
                      <w:rFonts w:hint="default" w:ascii="Times New Roman" w:hAnsi="Times New Roman" w:eastAsia="宋体" w:cs="Times New Roman"/>
                      <w:color w:val="auto"/>
                      <w:szCs w:val="21"/>
                      <w:highlight w:val="none"/>
                      <w:u w:val="none" w:color="auto"/>
                      <w:lang w:val="en-US" w:eastAsia="zh-CN"/>
                    </w:rPr>
                  </w:pPr>
                  <w:r>
                    <w:rPr>
                      <w:rFonts w:hint="default" w:ascii="Times New Roman" w:hAnsi="Times New Roman" w:eastAsia="宋体" w:cs="Times New Roman"/>
                      <w:color w:val="auto"/>
                      <w:szCs w:val="21"/>
                      <w:highlight w:val="none"/>
                      <w:u w:val="none" w:color="auto"/>
                      <w:lang w:val="en-US" w:eastAsia="zh-CN"/>
                    </w:rPr>
                    <w:t>日均值</w:t>
                  </w:r>
                </w:p>
              </w:tc>
              <w:tc>
                <w:tcPr>
                  <w:tcW w:w="632" w:type="pct"/>
                  <w:tcBorders>
                    <w:tl2br w:val="nil"/>
                    <w:tr2bl w:val="nil"/>
                  </w:tcBorders>
                  <w:noWrap w:val="0"/>
                  <w:tcMar>
                    <w:top w:w="15" w:type="dxa"/>
                    <w:left w:w="15" w:type="dxa"/>
                    <w:right w:w="15" w:type="dxa"/>
                  </w:tcMar>
                  <w:vAlign w:val="center"/>
                </w:tcPr>
                <w:p w14:paraId="4F534CC0">
                  <w:pPr>
                    <w:contextualSpacing/>
                    <w:jc w:val="center"/>
                    <w:rPr>
                      <w:rFonts w:hint="default" w:ascii="Times New Roman" w:hAnsi="Times New Roman" w:eastAsia="宋体" w:cs="Times New Roman"/>
                      <w:color w:val="auto"/>
                      <w:szCs w:val="21"/>
                      <w:highlight w:val="none"/>
                      <w:u w:val="none" w:color="auto"/>
                      <w:lang w:val="en-US" w:eastAsia="zh-CN"/>
                    </w:rPr>
                  </w:pPr>
                  <w:r>
                    <w:rPr>
                      <w:rFonts w:hint="default" w:ascii="Times New Roman" w:hAnsi="Times New Roman" w:eastAsia="宋体" w:cs="Times New Roman"/>
                      <w:color w:val="auto"/>
                      <w:szCs w:val="21"/>
                      <w:highlight w:val="none"/>
                      <w:u w:val="none" w:color="auto"/>
                      <w:lang w:val="en-US" w:eastAsia="zh-CN"/>
                    </w:rPr>
                    <w:t>300</w:t>
                  </w:r>
                </w:p>
              </w:tc>
              <w:tc>
                <w:tcPr>
                  <w:tcW w:w="598" w:type="pct"/>
                  <w:tcBorders>
                    <w:tl2br w:val="nil"/>
                    <w:tr2bl w:val="nil"/>
                  </w:tcBorders>
                  <w:noWrap w:val="0"/>
                  <w:tcMar>
                    <w:top w:w="15" w:type="dxa"/>
                    <w:left w:w="15" w:type="dxa"/>
                    <w:right w:w="15" w:type="dxa"/>
                  </w:tcMar>
                  <w:vAlign w:val="center"/>
                </w:tcPr>
                <w:p w14:paraId="0A7EF732">
                  <w:pPr>
                    <w:contextualSpacing/>
                    <w:jc w:val="center"/>
                    <w:rPr>
                      <w:rFonts w:hint="default" w:ascii="Times New Roman" w:hAnsi="Times New Roman" w:eastAsia="宋体" w:cs="Times New Roman"/>
                      <w:color w:val="auto"/>
                      <w:szCs w:val="21"/>
                      <w:highlight w:val="none"/>
                      <w:u w:val="none" w:color="auto"/>
                      <w:lang w:val="en-US" w:eastAsia="zh-CN"/>
                    </w:rPr>
                  </w:pPr>
                  <w:r>
                    <w:rPr>
                      <w:rFonts w:hint="default" w:ascii="Times New Roman" w:hAnsi="Times New Roman" w:eastAsia="宋体" w:cs="Times New Roman"/>
                      <w:color w:val="auto"/>
                      <w:szCs w:val="21"/>
                      <w:highlight w:val="none"/>
                      <w:u w:val="none" w:color="auto"/>
                      <w:lang w:val="en-US" w:eastAsia="zh-CN"/>
                    </w:rPr>
                    <w:t>72~79</w:t>
                  </w:r>
                </w:p>
              </w:tc>
              <w:tc>
                <w:tcPr>
                  <w:tcW w:w="436" w:type="pct"/>
                  <w:tcBorders>
                    <w:tl2br w:val="nil"/>
                    <w:tr2bl w:val="nil"/>
                  </w:tcBorders>
                  <w:noWrap w:val="0"/>
                  <w:tcMar>
                    <w:top w:w="15" w:type="dxa"/>
                    <w:left w:w="15" w:type="dxa"/>
                    <w:right w:w="15" w:type="dxa"/>
                  </w:tcMar>
                  <w:vAlign w:val="center"/>
                </w:tcPr>
                <w:p w14:paraId="10E2032D">
                  <w:pPr>
                    <w:contextualSpacing/>
                    <w:jc w:val="center"/>
                    <w:rPr>
                      <w:rFonts w:hint="default" w:ascii="Times New Roman" w:hAnsi="Times New Roman" w:eastAsia="宋体" w:cs="Times New Roman"/>
                      <w:color w:val="auto"/>
                      <w:szCs w:val="21"/>
                      <w:highlight w:val="none"/>
                      <w:u w:val="none" w:color="auto"/>
                      <w:lang w:val="en-US" w:eastAsia="zh-CN"/>
                    </w:rPr>
                  </w:pPr>
                  <w:r>
                    <w:rPr>
                      <w:rFonts w:hint="default" w:ascii="Times New Roman" w:hAnsi="Times New Roman" w:eastAsia="宋体" w:cs="Times New Roman"/>
                      <w:color w:val="auto"/>
                      <w:szCs w:val="21"/>
                      <w:highlight w:val="none"/>
                      <w:u w:val="none" w:color="auto"/>
                      <w:lang w:val="en-US" w:eastAsia="zh-CN"/>
                    </w:rPr>
                    <w:t>26.3%</w:t>
                  </w:r>
                </w:p>
              </w:tc>
              <w:tc>
                <w:tcPr>
                  <w:tcW w:w="349" w:type="pct"/>
                  <w:tcBorders>
                    <w:tl2br w:val="nil"/>
                    <w:tr2bl w:val="nil"/>
                  </w:tcBorders>
                  <w:noWrap w:val="0"/>
                  <w:tcMar>
                    <w:top w:w="15" w:type="dxa"/>
                    <w:left w:w="15" w:type="dxa"/>
                    <w:right w:w="15" w:type="dxa"/>
                  </w:tcMar>
                  <w:vAlign w:val="center"/>
                </w:tcPr>
                <w:p w14:paraId="28BAB44A">
                  <w:pPr>
                    <w:contextualSpacing/>
                    <w:jc w:val="center"/>
                    <w:rPr>
                      <w:rFonts w:hint="default" w:ascii="Times New Roman" w:hAnsi="Times New Roman" w:eastAsia="宋体" w:cs="Times New Roman"/>
                      <w:color w:val="auto"/>
                      <w:szCs w:val="21"/>
                      <w:highlight w:val="none"/>
                      <w:u w:val="none" w:color="auto"/>
                      <w:lang w:val="en-US" w:eastAsia="zh-CN"/>
                    </w:rPr>
                  </w:pPr>
                  <w:r>
                    <w:rPr>
                      <w:rFonts w:hint="default" w:ascii="Times New Roman" w:hAnsi="Times New Roman" w:eastAsia="宋体" w:cs="Times New Roman"/>
                      <w:color w:val="auto"/>
                      <w:szCs w:val="21"/>
                      <w:highlight w:val="none"/>
                      <w:u w:val="none" w:color="auto"/>
                      <w:lang w:val="en-US" w:eastAsia="zh-CN"/>
                    </w:rPr>
                    <w:t>0</w:t>
                  </w:r>
                </w:p>
              </w:tc>
              <w:tc>
                <w:tcPr>
                  <w:tcW w:w="324" w:type="pct"/>
                  <w:tcBorders>
                    <w:tl2br w:val="nil"/>
                    <w:tr2bl w:val="nil"/>
                  </w:tcBorders>
                  <w:noWrap w:val="0"/>
                  <w:tcMar>
                    <w:top w:w="15" w:type="dxa"/>
                    <w:left w:w="15" w:type="dxa"/>
                    <w:right w:w="15" w:type="dxa"/>
                  </w:tcMar>
                  <w:vAlign w:val="center"/>
                </w:tcPr>
                <w:p w14:paraId="3CDC07CF">
                  <w:pPr>
                    <w:contextualSpacing/>
                    <w:jc w:val="center"/>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rPr>
                    <w:t>达标</w:t>
                  </w:r>
                </w:p>
              </w:tc>
            </w:tr>
            <w:tr w14:paraId="75A6130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80" w:hRule="atLeast"/>
              </w:trPr>
              <w:tc>
                <w:tcPr>
                  <w:tcW w:w="463" w:type="pct"/>
                  <w:vMerge w:val="continue"/>
                  <w:tcBorders>
                    <w:tl2br w:val="nil"/>
                    <w:tr2bl w:val="nil"/>
                  </w:tcBorders>
                  <w:noWrap w:val="0"/>
                  <w:tcMar>
                    <w:top w:w="15" w:type="dxa"/>
                    <w:left w:w="15" w:type="dxa"/>
                    <w:right w:w="15" w:type="dxa"/>
                  </w:tcMar>
                  <w:vAlign w:val="center"/>
                </w:tcPr>
                <w:p w14:paraId="10F2751D">
                  <w:pPr>
                    <w:contextualSpacing/>
                    <w:jc w:val="center"/>
                    <w:rPr>
                      <w:rFonts w:hint="default" w:ascii="Times New Roman" w:hAnsi="Times New Roman" w:eastAsia="宋体" w:cs="Times New Roman"/>
                      <w:color w:val="auto"/>
                      <w:szCs w:val="21"/>
                      <w:highlight w:val="none"/>
                      <w:u w:val="none" w:color="auto"/>
                      <w:lang w:val="en-US" w:eastAsia="zh-CN"/>
                    </w:rPr>
                  </w:pPr>
                </w:p>
              </w:tc>
              <w:tc>
                <w:tcPr>
                  <w:tcW w:w="636" w:type="pct"/>
                  <w:vMerge w:val="continue"/>
                  <w:tcBorders>
                    <w:tl2br w:val="nil"/>
                    <w:tr2bl w:val="nil"/>
                  </w:tcBorders>
                  <w:noWrap w:val="0"/>
                  <w:tcMar>
                    <w:top w:w="15" w:type="dxa"/>
                    <w:left w:w="15" w:type="dxa"/>
                    <w:right w:w="15" w:type="dxa"/>
                  </w:tcMar>
                  <w:vAlign w:val="center"/>
                </w:tcPr>
                <w:p w14:paraId="4DE07A43">
                  <w:pPr>
                    <w:contextualSpacing/>
                    <w:jc w:val="center"/>
                    <w:rPr>
                      <w:rFonts w:hint="default" w:ascii="Times New Roman" w:hAnsi="Times New Roman" w:eastAsia="宋体" w:cs="Times New Roman"/>
                      <w:color w:val="auto"/>
                      <w:szCs w:val="21"/>
                      <w:highlight w:val="none"/>
                      <w:u w:val="none" w:color="auto"/>
                    </w:rPr>
                  </w:pPr>
                </w:p>
              </w:tc>
              <w:tc>
                <w:tcPr>
                  <w:tcW w:w="585" w:type="pct"/>
                  <w:vMerge w:val="continue"/>
                  <w:tcBorders>
                    <w:tl2br w:val="nil"/>
                    <w:tr2bl w:val="nil"/>
                  </w:tcBorders>
                  <w:noWrap w:val="0"/>
                  <w:tcMar>
                    <w:top w:w="15" w:type="dxa"/>
                    <w:left w:w="15" w:type="dxa"/>
                    <w:right w:w="15" w:type="dxa"/>
                  </w:tcMar>
                  <w:vAlign w:val="center"/>
                </w:tcPr>
                <w:p w14:paraId="580CC792">
                  <w:pPr>
                    <w:contextualSpacing/>
                    <w:jc w:val="center"/>
                    <w:rPr>
                      <w:rFonts w:hint="default" w:ascii="Times New Roman" w:hAnsi="Times New Roman" w:eastAsia="宋体" w:cs="Times New Roman"/>
                      <w:color w:val="auto"/>
                      <w:szCs w:val="21"/>
                      <w:highlight w:val="none"/>
                      <w:u w:val="none" w:color="auto"/>
                    </w:rPr>
                  </w:pPr>
                </w:p>
              </w:tc>
              <w:tc>
                <w:tcPr>
                  <w:tcW w:w="546" w:type="pct"/>
                  <w:tcBorders>
                    <w:tl2br w:val="nil"/>
                    <w:tr2bl w:val="nil"/>
                  </w:tcBorders>
                  <w:noWrap w:val="0"/>
                  <w:tcMar>
                    <w:top w:w="15" w:type="dxa"/>
                    <w:left w:w="15" w:type="dxa"/>
                    <w:right w:w="15" w:type="dxa"/>
                  </w:tcMar>
                  <w:vAlign w:val="center"/>
                </w:tcPr>
                <w:p w14:paraId="2796FBF9">
                  <w:pPr>
                    <w:contextualSpacing/>
                    <w:jc w:val="center"/>
                    <w:rPr>
                      <w:rFonts w:hint="default" w:ascii="Times New Roman" w:hAnsi="Times New Roman" w:eastAsia="宋体" w:cs="Times New Roman"/>
                      <w:color w:val="auto"/>
                      <w:szCs w:val="21"/>
                      <w:highlight w:val="none"/>
                      <w:u w:val="none" w:color="auto"/>
                      <w:lang w:val="en-US" w:eastAsia="zh-CN"/>
                    </w:rPr>
                  </w:pPr>
                  <w:r>
                    <w:rPr>
                      <w:rFonts w:hint="default" w:ascii="Times New Roman" w:hAnsi="Times New Roman" w:eastAsia="宋体" w:cs="Times New Roman"/>
                      <w:color w:val="auto"/>
                      <w:szCs w:val="21"/>
                      <w:highlight w:val="none"/>
                      <w:u w:val="none" w:color="auto"/>
                      <w:lang w:val="en-US" w:eastAsia="zh-CN"/>
                    </w:rPr>
                    <w:t>NOx</w:t>
                  </w:r>
                </w:p>
              </w:tc>
              <w:tc>
                <w:tcPr>
                  <w:tcW w:w="426" w:type="pct"/>
                  <w:vMerge w:val="continue"/>
                  <w:tcBorders>
                    <w:tl2br w:val="nil"/>
                    <w:tr2bl w:val="nil"/>
                  </w:tcBorders>
                  <w:noWrap w:val="0"/>
                  <w:tcMar>
                    <w:top w:w="15" w:type="dxa"/>
                    <w:left w:w="15" w:type="dxa"/>
                    <w:right w:w="15" w:type="dxa"/>
                  </w:tcMar>
                  <w:vAlign w:val="center"/>
                </w:tcPr>
                <w:p w14:paraId="7C65ABB7">
                  <w:pPr>
                    <w:contextualSpacing/>
                    <w:jc w:val="center"/>
                    <w:rPr>
                      <w:rFonts w:hint="default" w:ascii="Times New Roman" w:hAnsi="Times New Roman" w:eastAsia="宋体" w:cs="Times New Roman"/>
                      <w:color w:val="auto"/>
                      <w:szCs w:val="21"/>
                      <w:highlight w:val="none"/>
                      <w:u w:val="none" w:color="auto"/>
                      <w:lang w:val="en-US" w:eastAsia="zh-CN"/>
                    </w:rPr>
                  </w:pPr>
                </w:p>
              </w:tc>
              <w:tc>
                <w:tcPr>
                  <w:tcW w:w="632" w:type="pct"/>
                  <w:tcBorders>
                    <w:tl2br w:val="nil"/>
                    <w:tr2bl w:val="nil"/>
                  </w:tcBorders>
                  <w:noWrap w:val="0"/>
                  <w:tcMar>
                    <w:top w:w="15" w:type="dxa"/>
                    <w:left w:w="15" w:type="dxa"/>
                    <w:right w:w="15" w:type="dxa"/>
                  </w:tcMar>
                  <w:vAlign w:val="center"/>
                </w:tcPr>
                <w:p w14:paraId="03EFE842">
                  <w:pPr>
                    <w:contextualSpacing/>
                    <w:jc w:val="center"/>
                    <w:rPr>
                      <w:rFonts w:hint="default" w:ascii="Times New Roman" w:hAnsi="Times New Roman" w:eastAsia="宋体" w:cs="Times New Roman"/>
                      <w:color w:val="auto"/>
                      <w:szCs w:val="21"/>
                      <w:highlight w:val="none"/>
                      <w:u w:val="none" w:color="auto"/>
                      <w:lang w:val="en-US" w:eastAsia="zh-CN"/>
                    </w:rPr>
                  </w:pPr>
                  <w:r>
                    <w:rPr>
                      <w:rFonts w:hint="default" w:ascii="Times New Roman" w:hAnsi="Times New Roman" w:eastAsia="宋体" w:cs="Times New Roman"/>
                      <w:color w:val="auto"/>
                      <w:szCs w:val="21"/>
                      <w:highlight w:val="none"/>
                      <w:u w:val="none" w:color="auto"/>
                      <w:lang w:val="en-US" w:eastAsia="zh-CN"/>
                    </w:rPr>
                    <w:t>100</w:t>
                  </w:r>
                </w:p>
              </w:tc>
              <w:tc>
                <w:tcPr>
                  <w:tcW w:w="598" w:type="pct"/>
                  <w:tcBorders>
                    <w:tl2br w:val="nil"/>
                    <w:tr2bl w:val="nil"/>
                  </w:tcBorders>
                  <w:noWrap w:val="0"/>
                  <w:tcMar>
                    <w:top w:w="15" w:type="dxa"/>
                    <w:left w:w="15" w:type="dxa"/>
                    <w:right w:w="15" w:type="dxa"/>
                  </w:tcMar>
                  <w:vAlign w:val="center"/>
                </w:tcPr>
                <w:p w14:paraId="23499B9C">
                  <w:pPr>
                    <w:contextualSpacing/>
                    <w:jc w:val="center"/>
                    <w:rPr>
                      <w:rFonts w:hint="default" w:ascii="Times New Roman" w:hAnsi="Times New Roman" w:eastAsia="宋体" w:cs="Times New Roman"/>
                      <w:color w:val="auto"/>
                      <w:szCs w:val="21"/>
                      <w:highlight w:val="none"/>
                      <w:u w:val="none" w:color="auto"/>
                      <w:lang w:val="en-US" w:eastAsia="zh-CN"/>
                    </w:rPr>
                  </w:pPr>
                  <w:r>
                    <w:rPr>
                      <w:rFonts w:hint="default" w:ascii="Times New Roman" w:hAnsi="Times New Roman" w:eastAsia="宋体" w:cs="Times New Roman"/>
                      <w:color w:val="auto"/>
                      <w:szCs w:val="21"/>
                      <w:highlight w:val="none"/>
                      <w:u w:val="none" w:color="auto"/>
                      <w:lang w:val="en-US" w:eastAsia="zh-CN"/>
                    </w:rPr>
                    <w:t>15~18</w:t>
                  </w:r>
                </w:p>
              </w:tc>
              <w:tc>
                <w:tcPr>
                  <w:tcW w:w="436" w:type="pct"/>
                  <w:tcBorders>
                    <w:tl2br w:val="nil"/>
                    <w:tr2bl w:val="nil"/>
                  </w:tcBorders>
                  <w:noWrap w:val="0"/>
                  <w:tcMar>
                    <w:top w:w="15" w:type="dxa"/>
                    <w:left w:w="15" w:type="dxa"/>
                    <w:right w:w="15" w:type="dxa"/>
                  </w:tcMar>
                  <w:vAlign w:val="center"/>
                </w:tcPr>
                <w:p w14:paraId="02F3B397">
                  <w:pPr>
                    <w:contextualSpacing/>
                    <w:jc w:val="center"/>
                    <w:rPr>
                      <w:rFonts w:hint="default" w:ascii="Times New Roman" w:hAnsi="Times New Roman" w:eastAsia="宋体" w:cs="Times New Roman"/>
                      <w:color w:val="auto"/>
                      <w:szCs w:val="21"/>
                      <w:highlight w:val="none"/>
                      <w:u w:val="none" w:color="auto"/>
                      <w:lang w:val="en-US" w:eastAsia="zh-CN"/>
                    </w:rPr>
                  </w:pPr>
                  <w:r>
                    <w:rPr>
                      <w:rFonts w:hint="default" w:ascii="Times New Roman" w:hAnsi="Times New Roman" w:eastAsia="宋体" w:cs="Times New Roman"/>
                      <w:color w:val="auto"/>
                      <w:szCs w:val="21"/>
                      <w:highlight w:val="none"/>
                      <w:u w:val="none" w:color="auto"/>
                      <w:lang w:val="en-US" w:eastAsia="zh-CN"/>
                    </w:rPr>
                    <w:t>18%</w:t>
                  </w:r>
                </w:p>
              </w:tc>
              <w:tc>
                <w:tcPr>
                  <w:tcW w:w="349" w:type="pct"/>
                  <w:tcBorders>
                    <w:tl2br w:val="nil"/>
                    <w:tr2bl w:val="nil"/>
                  </w:tcBorders>
                  <w:noWrap w:val="0"/>
                  <w:tcMar>
                    <w:top w:w="15" w:type="dxa"/>
                    <w:left w:w="15" w:type="dxa"/>
                    <w:right w:w="15" w:type="dxa"/>
                  </w:tcMar>
                  <w:vAlign w:val="center"/>
                </w:tcPr>
                <w:p w14:paraId="080EB672">
                  <w:pPr>
                    <w:contextualSpacing/>
                    <w:jc w:val="center"/>
                    <w:rPr>
                      <w:rFonts w:hint="default" w:ascii="Times New Roman" w:hAnsi="Times New Roman" w:eastAsia="宋体" w:cs="Times New Roman"/>
                      <w:color w:val="auto"/>
                      <w:szCs w:val="21"/>
                      <w:highlight w:val="none"/>
                      <w:u w:val="none" w:color="auto"/>
                      <w:lang w:val="en-US" w:eastAsia="zh-CN"/>
                    </w:rPr>
                  </w:pPr>
                  <w:r>
                    <w:rPr>
                      <w:rFonts w:hint="default" w:ascii="Times New Roman" w:hAnsi="Times New Roman" w:eastAsia="宋体" w:cs="Times New Roman"/>
                      <w:color w:val="auto"/>
                      <w:szCs w:val="21"/>
                      <w:highlight w:val="none"/>
                      <w:u w:val="none" w:color="auto"/>
                      <w:lang w:val="en-US" w:eastAsia="zh-CN"/>
                    </w:rPr>
                    <w:t>0</w:t>
                  </w:r>
                </w:p>
              </w:tc>
              <w:tc>
                <w:tcPr>
                  <w:tcW w:w="324" w:type="pct"/>
                  <w:tcBorders>
                    <w:tl2br w:val="nil"/>
                    <w:tr2bl w:val="nil"/>
                  </w:tcBorders>
                  <w:noWrap w:val="0"/>
                  <w:tcMar>
                    <w:top w:w="15" w:type="dxa"/>
                    <w:left w:w="15" w:type="dxa"/>
                    <w:right w:w="15" w:type="dxa"/>
                  </w:tcMar>
                  <w:vAlign w:val="center"/>
                </w:tcPr>
                <w:p w14:paraId="00DEFCD0">
                  <w:pPr>
                    <w:contextualSpacing/>
                    <w:jc w:val="center"/>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rPr>
                    <w:t>达标</w:t>
                  </w:r>
                </w:p>
              </w:tc>
            </w:tr>
          </w:tbl>
          <w:p w14:paraId="3AA9DF4E">
            <w:pPr>
              <w:spacing w:line="360" w:lineRule="auto"/>
              <w:ind w:firstLine="480" w:firstLineChars="200"/>
              <w:rPr>
                <w:rFonts w:hint="default" w:ascii="Times New Roman" w:hAnsi="Times New Roman" w:eastAsia="宋体" w:cs="Times New Roman"/>
                <w:color w:val="auto"/>
                <w:kern w:val="0"/>
                <w:sz w:val="24"/>
                <w:szCs w:val="28"/>
                <w:highlight w:val="none"/>
                <w:u w:val="none" w:color="auto"/>
              </w:rPr>
            </w:pPr>
            <w:r>
              <w:rPr>
                <w:rFonts w:hint="default" w:ascii="Times New Roman" w:hAnsi="Times New Roman" w:eastAsia="宋体" w:cs="Times New Roman"/>
                <w:color w:val="auto"/>
                <w:kern w:val="0"/>
                <w:sz w:val="24"/>
                <w:szCs w:val="28"/>
                <w:highlight w:val="none"/>
                <w:u w:val="none" w:color="auto"/>
                <w:lang w:val="en-US" w:eastAsia="zh-CN"/>
              </w:rPr>
              <w:t>根据</w:t>
            </w:r>
            <w:r>
              <w:rPr>
                <w:rFonts w:hint="default" w:ascii="Times New Roman" w:hAnsi="Times New Roman" w:eastAsia="宋体" w:cs="Times New Roman"/>
                <w:color w:val="auto"/>
                <w:kern w:val="0"/>
                <w:sz w:val="24"/>
                <w:szCs w:val="28"/>
                <w:highlight w:val="none"/>
                <w:u w:val="none" w:color="auto"/>
              </w:rPr>
              <w:t>监测结果表明，项目所在区域的环境空气中</w:t>
            </w:r>
            <w:r>
              <w:rPr>
                <w:rFonts w:hint="default" w:ascii="Times New Roman" w:hAnsi="Times New Roman" w:eastAsia="宋体" w:cs="Times New Roman"/>
                <w:color w:val="auto"/>
                <w:kern w:val="0"/>
                <w:sz w:val="24"/>
                <w:szCs w:val="28"/>
                <w:highlight w:val="none"/>
                <w:u w:val="none" w:color="auto"/>
                <w:lang w:val="en-US" w:eastAsia="zh-CN"/>
              </w:rPr>
              <w:t>TSP</w:t>
            </w:r>
            <w:r>
              <w:rPr>
                <w:rFonts w:hint="default" w:ascii="Times New Roman" w:hAnsi="Times New Roman" w:eastAsia="宋体" w:cs="Times New Roman"/>
                <w:color w:val="auto"/>
                <w:sz w:val="24"/>
                <w:highlight w:val="none"/>
                <w:u w:val="none" w:color="auto"/>
                <w:lang w:val="en-US" w:eastAsia="zh-CN"/>
              </w:rPr>
              <w:t>、</w:t>
            </w:r>
            <w:r>
              <w:rPr>
                <w:rFonts w:hint="default" w:ascii="Times New Roman" w:hAnsi="Times New Roman" w:eastAsia="宋体" w:cs="Times New Roman"/>
                <w:bCs/>
                <w:color w:val="auto"/>
                <w:kern w:val="24"/>
                <w:sz w:val="24"/>
                <w:highlight w:val="none"/>
                <w:u w:val="none" w:color="auto"/>
                <w:lang w:val="en-US" w:eastAsia="zh-CN"/>
              </w:rPr>
              <w:t>NOx</w:t>
            </w:r>
            <w:r>
              <w:rPr>
                <w:rFonts w:hint="default" w:ascii="Times New Roman" w:hAnsi="Times New Roman" w:eastAsia="宋体" w:cs="Times New Roman"/>
                <w:color w:val="auto"/>
                <w:kern w:val="0"/>
                <w:sz w:val="24"/>
                <w:szCs w:val="28"/>
                <w:highlight w:val="none"/>
                <w:u w:val="none" w:color="auto"/>
              </w:rPr>
              <w:t>的历史监测结果能达到</w:t>
            </w:r>
            <w:r>
              <w:rPr>
                <w:rFonts w:hint="default" w:ascii="Times New Roman" w:hAnsi="Times New Roman" w:eastAsia="宋体" w:cs="Times New Roman"/>
                <w:color w:val="auto"/>
                <w:sz w:val="24"/>
                <w:highlight w:val="none"/>
                <w:u w:val="none" w:color="auto"/>
              </w:rPr>
              <w:t>《</w:t>
            </w:r>
            <w:r>
              <w:rPr>
                <w:rFonts w:hint="default" w:ascii="Times New Roman" w:hAnsi="Times New Roman" w:eastAsia="宋体" w:cs="Times New Roman"/>
                <w:color w:val="auto"/>
                <w:sz w:val="24"/>
                <w:highlight w:val="none"/>
                <w:u w:val="none" w:color="auto"/>
                <w:lang w:val="en-US" w:eastAsia="zh-CN"/>
              </w:rPr>
              <w:t>环境空气质量标准</w:t>
            </w:r>
            <w:r>
              <w:rPr>
                <w:rFonts w:hint="default" w:ascii="Times New Roman" w:hAnsi="Times New Roman" w:eastAsia="宋体" w:cs="Times New Roman"/>
                <w:color w:val="auto"/>
                <w:sz w:val="24"/>
                <w:highlight w:val="none"/>
                <w:u w:val="none" w:color="auto"/>
              </w:rPr>
              <w:t>》（</w:t>
            </w:r>
            <w:r>
              <w:rPr>
                <w:rFonts w:hint="default" w:ascii="Times New Roman" w:hAnsi="Times New Roman" w:eastAsia="宋体" w:cs="Times New Roman"/>
                <w:color w:val="auto"/>
                <w:sz w:val="24"/>
                <w:highlight w:val="none"/>
                <w:u w:val="none" w:color="auto"/>
                <w:lang w:val="en-US" w:eastAsia="zh-CN"/>
              </w:rPr>
              <w:t>GB3095</w:t>
            </w:r>
            <w:r>
              <w:rPr>
                <w:rFonts w:hint="default" w:ascii="Times New Roman" w:hAnsi="Times New Roman" w:eastAsia="宋体" w:cs="Times New Roman"/>
                <w:color w:val="auto"/>
                <w:sz w:val="24"/>
                <w:highlight w:val="none"/>
                <w:u w:val="none" w:color="auto"/>
              </w:rPr>
              <w:t>-201</w:t>
            </w:r>
            <w:r>
              <w:rPr>
                <w:rFonts w:hint="default" w:ascii="Times New Roman" w:hAnsi="Times New Roman" w:eastAsia="宋体" w:cs="Times New Roman"/>
                <w:color w:val="auto"/>
                <w:sz w:val="24"/>
                <w:highlight w:val="none"/>
                <w:u w:val="none" w:color="auto"/>
                <w:lang w:val="en-US" w:eastAsia="zh-CN"/>
              </w:rPr>
              <w:t>2</w:t>
            </w:r>
            <w:r>
              <w:rPr>
                <w:rFonts w:hint="default" w:ascii="Times New Roman" w:hAnsi="Times New Roman" w:eastAsia="宋体" w:cs="Times New Roman"/>
                <w:color w:val="auto"/>
                <w:sz w:val="24"/>
                <w:highlight w:val="none"/>
                <w:u w:val="none" w:color="auto"/>
              </w:rPr>
              <w:t>）</w:t>
            </w:r>
            <w:r>
              <w:rPr>
                <w:rFonts w:hint="default" w:ascii="Times New Roman" w:hAnsi="Times New Roman" w:eastAsia="宋体" w:cs="Times New Roman"/>
                <w:color w:val="auto"/>
                <w:sz w:val="24"/>
                <w:highlight w:val="none"/>
                <w:u w:val="none" w:color="auto"/>
                <w:lang w:val="en-US" w:eastAsia="zh-CN"/>
              </w:rPr>
              <w:t>表2</w:t>
            </w:r>
            <w:r>
              <w:rPr>
                <w:rFonts w:hint="default" w:ascii="Times New Roman" w:hAnsi="Times New Roman" w:eastAsia="宋体" w:cs="Times New Roman"/>
                <w:color w:val="auto"/>
                <w:sz w:val="24"/>
                <w:highlight w:val="none"/>
                <w:u w:val="none" w:color="auto"/>
              </w:rPr>
              <w:t>中限值标准</w:t>
            </w:r>
            <w:r>
              <w:rPr>
                <w:rFonts w:hint="default" w:ascii="Times New Roman" w:hAnsi="Times New Roman" w:eastAsia="宋体" w:cs="Times New Roman"/>
                <w:color w:val="auto"/>
                <w:kern w:val="0"/>
                <w:sz w:val="24"/>
                <w:szCs w:val="28"/>
                <w:highlight w:val="none"/>
                <w:u w:val="none" w:color="auto"/>
              </w:rPr>
              <w:t>要求。</w:t>
            </w:r>
          </w:p>
          <w:p w14:paraId="7EA7D1C9">
            <w:pPr>
              <w:pStyle w:val="72"/>
              <w:numPr>
                <w:ilvl w:val="0"/>
                <w:numId w:val="5"/>
              </w:numPr>
              <w:spacing w:line="360" w:lineRule="auto"/>
              <w:ind w:firstLineChars="0"/>
              <w:rPr>
                <w:rFonts w:hint="default" w:ascii="Times New Roman" w:hAnsi="Times New Roman" w:eastAsia="宋体" w:cs="Times New Roman"/>
                <w:b/>
                <w:bCs/>
                <w:color w:val="auto"/>
                <w:sz w:val="24"/>
                <w:szCs w:val="28"/>
                <w:u w:val="none" w:color="auto"/>
              </w:rPr>
            </w:pPr>
            <w:r>
              <w:rPr>
                <w:rFonts w:hint="default" w:ascii="Times New Roman" w:hAnsi="Times New Roman" w:eastAsia="宋体" w:cs="Times New Roman"/>
                <w:b/>
                <w:bCs/>
                <w:color w:val="auto"/>
                <w:sz w:val="24"/>
                <w:szCs w:val="28"/>
                <w:u w:val="none" w:color="auto"/>
              </w:rPr>
              <w:t>地表水环境</w:t>
            </w:r>
          </w:p>
          <w:p w14:paraId="50E633EF">
            <w:pPr>
              <w:spacing w:line="360" w:lineRule="auto"/>
              <w:ind w:firstLine="480" w:firstLineChars="200"/>
              <w:rPr>
                <w:rFonts w:hint="default" w:ascii="Times New Roman" w:hAnsi="Times New Roman" w:eastAsia="宋体" w:cs="Times New Roman"/>
                <w:color w:val="auto"/>
                <w:kern w:val="0"/>
                <w:sz w:val="24"/>
                <w:szCs w:val="28"/>
                <w:highlight w:val="none"/>
                <w:u w:val="none" w:color="auto"/>
              </w:rPr>
            </w:pPr>
            <w:r>
              <w:rPr>
                <w:rFonts w:hint="default" w:ascii="Times New Roman" w:hAnsi="Times New Roman" w:eastAsia="宋体" w:cs="Times New Roman"/>
                <w:color w:val="auto"/>
                <w:kern w:val="0"/>
                <w:sz w:val="24"/>
                <w:szCs w:val="28"/>
                <w:highlight w:val="none"/>
                <w:u w:val="none" w:color="auto"/>
              </w:rPr>
              <w:t>2024年岳阳市地表水水质总体为良，水环境质量整体状况稳定，局部水域水质有所改善。Ⅰ至Ⅲ类水质比例为84.0%；Ⅳ类水质比例为16.0%；无Ⅴ类及以上水质。</w:t>
            </w:r>
          </w:p>
          <w:p w14:paraId="1FA6F3C6">
            <w:pPr>
              <w:spacing w:line="360" w:lineRule="auto"/>
              <w:ind w:firstLine="480" w:firstLineChars="200"/>
              <w:rPr>
                <w:rFonts w:hint="default" w:ascii="Times New Roman" w:hAnsi="Times New Roman" w:eastAsia="宋体" w:cs="Times New Roman"/>
                <w:color w:val="auto"/>
                <w:kern w:val="0"/>
                <w:sz w:val="24"/>
                <w:szCs w:val="28"/>
                <w:highlight w:val="none"/>
                <w:u w:val="none" w:color="auto"/>
              </w:rPr>
            </w:pPr>
            <w:r>
              <w:rPr>
                <w:rFonts w:hint="default" w:ascii="Times New Roman" w:hAnsi="Times New Roman" w:eastAsia="宋体" w:cs="Times New Roman"/>
                <w:color w:val="auto"/>
                <w:kern w:val="0"/>
                <w:sz w:val="24"/>
                <w:szCs w:val="28"/>
                <w:highlight w:val="none"/>
                <w:u w:val="none" w:color="auto"/>
              </w:rPr>
              <w:t>（1）饮用水源地水质状况</w:t>
            </w:r>
          </w:p>
          <w:p w14:paraId="08D13E1E">
            <w:pPr>
              <w:spacing w:line="360" w:lineRule="auto"/>
              <w:ind w:firstLine="480" w:firstLineChars="200"/>
              <w:rPr>
                <w:rFonts w:hint="default" w:ascii="Times New Roman" w:hAnsi="Times New Roman" w:eastAsia="宋体" w:cs="Times New Roman"/>
                <w:color w:val="auto"/>
                <w:kern w:val="0"/>
                <w:sz w:val="24"/>
                <w:szCs w:val="28"/>
                <w:highlight w:val="none"/>
                <w:u w:val="none" w:color="auto"/>
              </w:rPr>
            </w:pPr>
            <w:r>
              <w:rPr>
                <w:rFonts w:hint="default" w:ascii="Times New Roman" w:hAnsi="Times New Roman" w:eastAsia="宋体" w:cs="Times New Roman"/>
                <w:color w:val="auto"/>
                <w:kern w:val="0"/>
                <w:sz w:val="24"/>
                <w:szCs w:val="28"/>
                <w:highlight w:val="none"/>
                <w:u w:val="none" w:color="auto"/>
              </w:rPr>
              <w:t>城市集中式饮用水源地金凤水库水质达到国家《地表水环境质量标准》（GB3838-2002）Ⅱ类标准，水质为优。</w:t>
            </w:r>
          </w:p>
          <w:p w14:paraId="784F1668">
            <w:pPr>
              <w:spacing w:line="360" w:lineRule="auto"/>
              <w:ind w:firstLine="480" w:firstLineChars="200"/>
              <w:rPr>
                <w:rFonts w:hint="default" w:ascii="Times New Roman" w:hAnsi="Times New Roman" w:eastAsia="宋体" w:cs="Times New Roman"/>
                <w:color w:val="auto"/>
                <w:kern w:val="0"/>
                <w:sz w:val="24"/>
                <w:szCs w:val="28"/>
                <w:highlight w:val="none"/>
                <w:u w:val="none" w:color="auto"/>
              </w:rPr>
            </w:pPr>
            <w:r>
              <w:rPr>
                <w:rFonts w:hint="default" w:ascii="Times New Roman" w:hAnsi="Times New Roman" w:eastAsia="宋体" w:cs="Times New Roman"/>
                <w:color w:val="auto"/>
                <w:kern w:val="0"/>
                <w:sz w:val="24"/>
                <w:szCs w:val="28"/>
                <w:highlight w:val="none"/>
                <w:u w:val="none" w:color="auto"/>
              </w:rPr>
              <w:t>（2）主要江河水质状况</w:t>
            </w:r>
          </w:p>
          <w:p w14:paraId="7BF31C1E">
            <w:pPr>
              <w:spacing w:line="360" w:lineRule="auto"/>
              <w:ind w:firstLine="480" w:firstLineChars="200"/>
              <w:rPr>
                <w:rFonts w:hint="default" w:ascii="Times New Roman" w:hAnsi="Times New Roman" w:eastAsia="宋体" w:cs="Times New Roman"/>
                <w:color w:val="auto"/>
                <w:kern w:val="0"/>
                <w:sz w:val="24"/>
                <w:szCs w:val="28"/>
                <w:highlight w:val="none"/>
                <w:u w:val="none" w:color="auto"/>
              </w:rPr>
            </w:pPr>
            <w:r>
              <w:rPr>
                <w:rFonts w:hint="default" w:ascii="Times New Roman" w:hAnsi="Times New Roman" w:eastAsia="宋体" w:cs="Times New Roman"/>
                <w:color w:val="auto"/>
                <w:kern w:val="0"/>
                <w:sz w:val="24"/>
                <w:szCs w:val="28"/>
                <w:highlight w:val="none"/>
                <w:u w:val="none" w:color="auto"/>
              </w:rPr>
              <w:t>2024年，38个全市江河考核断面中，Ⅰ至Ⅲ类水质断面38个，占比100%。</w:t>
            </w:r>
          </w:p>
          <w:p w14:paraId="03DFAD34">
            <w:pPr>
              <w:spacing w:line="360" w:lineRule="auto"/>
              <w:ind w:firstLine="480" w:firstLineChars="200"/>
              <w:rPr>
                <w:rFonts w:hint="default" w:ascii="Times New Roman" w:hAnsi="Times New Roman" w:eastAsia="宋体" w:cs="Times New Roman"/>
                <w:color w:val="auto"/>
                <w:kern w:val="0"/>
                <w:sz w:val="24"/>
                <w:szCs w:val="28"/>
                <w:highlight w:val="none"/>
                <w:u w:val="none" w:color="auto"/>
              </w:rPr>
            </w:pPr>
            <w:r>
              <w:rPr>
                <w:rFonts w:hint="default" w:ascii="Times New Roman" w:hAnsi="Times New Roman" w:eastAsia="宋体" w:cs="Times New Roman"/>
                <w:color w:val="auto"/>
                <w:kern w:val="0"/>
                <w:sz w:val="24"/>
                <w:szCs w:val="28"/>
                <w:highlight w:val="none"/>
                <w:u w:val="none" w:color="auto"/>
              </w:rPr>
              <w:t>2024年长江干流岳阳段水体水质总体为优。5个监测断面水质均达到Ⅱ类。</w:t>
            </w:r>
          </w:p>
          <w:p w14:paraId="03398BA4">
            <w:pPr>
              <w:spacing w:line="360" w:lineRule="auto"/>
              <w:ind w:firstLine="480" w:firstLineChars="200"/>
              <w:rPr>
                <w:rFonts w:hint="default" w:ascii="Times New Roman" w:hAnsi="Times New Roman" w:eastAsia="宋体" w:cs="Times New Roman"/>
                <w:color w:val="auto"/>
                <w:kern w:val="0"/>
                <w:sz w:val="24"/>
                <w:szCs w:val="28"/>
                <w:highlight w:val="none"/>
                <w:u w:val="none" w:color="auto"/>
              </w:rPr>
            </w:pPr>
            <w:r>
              <w:rPr>
                <w:rFonts w:hint="default" w:ascii="Times New Roman" w:hAnsi="Times New Roman" w:eastAsia="宋体" w:cs="Times New Roman"/>
                <w:color w:val="auto"/>
                <w:kern w:val="0"/>
                <w:sz w:val="24"/>
                <w:szCs w:val="28"/>
                <w:highlight w:val="none"/>
                <w:u w:val="none" w:color="auto"/>
              </w:rPr>
              <w:t>湘江干、支流岳阳段水体水质总体为优。5个监测断面水质均达到Ⅱ类。</w:t>
            </w:r>
          </w:p>
          <w:p w14:paraId="0B6DDDA0">
            <w:pPr>
              <w:spacing w:line="360" w:lineRule="auto"/>
              <w:ind w:firstLine="480" w:firstLineChars="200"/>
              <w:rPr>
                <w:rFonts w:hint="default" w:ascii="Times New Roman" w:hAnsi="Times New Roman" w:eastAsia="宋体" w:cs="Times New Roman"/>
                <w:color w:val="auto"/>
                <w:kern w:val="0"/>
                <w:sz w:val="24"/>
                <w:szCs w:val="28"/>
                <w:highlight w:val="none"/>
                <w:u w:val="none" w:color="auto"/>
              </w:rPr>
            </w:pPr>
            <w:r>
              <w:rPr>
                <w:rFonts w:hint="default" w:ascii="Times New Roman" w:hAnsi="Times New Roman" w:eastAsia="宋体" w:cs="Times New Roman"/>
                <w:color w:val="auto"/>
                <w:kern w:val="0"/>
                <w:sz w:val="24"/>
                <w:szCs w:val="28"/>
                <w:highlight w:val="none"/>
                <w:u w:val="none" w:color="auto"/>
              </w:rPr>
              <w:t>环洞庭湖河流水质状况总体为优。Ⅰ～Ⅲ类水质断面28个，占比100%。其中汨罗江水质总体为优，10个控制断面水质均达到Ⅱ类；新墙河水质总体为优，9个控制断面水质均达到Ⅱ类；藕池河东支岳阳段水质总体为优，4个控制断面水质均达到或优于Ⅲ类；华容河水质总体为良，2个控制断面水质均达到或优于Ⅲ类；其他水体（资江洪道、坦渡河和源潭河）3个控制断面水质均达到Ⅱ类。</w:t>
            </w:r>
          </w:p>
          <w:p w14:paraId="456073DB">
            <w:pPr>
              <w:spacing w:line="360" w:lineRule="auto"/>
              <w:ind w:firstLine="480" w:firstLineChars="200"/>
              <w:rPr>
                <w:rFonts w:hint="default" w:ascii="Times New Roman" w:hAnsi="Times New Roman" w:eastAsia="宋体" w:cs="Times New Roman"/>
                <w:color w:val="auto"/>
                <w:kern w:val="0"/>
                <w:sz w:val="24"/>
                <w:szCs w:val="28"/>
                <w:highlight w:val="none"/>
                <w:u w:val="none" w:color="auto"/>
              </w:rPr>
            </w:pPr>
            <w:r>
              <w:rPr>
                <w:rFonts w:hint="default" w:ascii="Times New Roman" w:hAnsi="Times New Roman" w:eastAsia="宋体" w:cs="Times New Roman"/>
                <w:color w:val="auto"/>
                <w:kern w:val="0"/>
                <w:sz w:val="24"/>
                <w:szCs w:val="28"/>
                <w:highlight w:val="none"/>
                <w:u w:val="none" w:color="auto"/>
              </w:rPr>
              <w:t>（3）岳阳洞庭湖水质</w:t>
            </w:r>
          </w:p>
          <w:p w14:paraId="1E4A0B48">
            <w:pPr>
              <w:spacing w:line="360" w:lineRule="auto"/>
              <w:ind w:firstLine="480" w:firstLineChars="200"/>
              <w:rPr>
                <w:rFonts w:hint="default" w:ascii="Times New Roman" w:hAnsi="Times New Roman" w:eastAsia="宋体" w:cs="Times New Roman"/>
                <w:color w:val="auto"/>
                <w:kern w:val="0"/>
                <w:sz w:val="24"/>
                <w:szCs w:val="28"/>
                <w:highlight w:val="none"/>
                <w:u w:val="none" w:color="auto"/>
              </w:rPr>
            </w:pPr>
            <w:r>
              <w:rPr>
                <w:rFonts w:hint="default" w:ascii="Times New Roman" w:hAnsi="Times New Roman" w:eastAsia="宋体" w:cs="Times New Roman"/>
                <w:color w:val="auto"/>
                <w:kern w:val="0"/>
                <w:sz w:val="24"/>
                <w:szCs w:val="28"/>
                <w:highlight w:val="none"/>
                <w:u w:val="none" w:color="auto"/>
              </w:rPr>
              <w:t>2024年，岳阳洞庭湖湖体整体水质为轻度污染（Ⅳ类），7个断面均为Ⅳ类水质，超标污染物为总磷。</w:t>
            </w:r>
          </w:p>
          <w:p w14:paraId="0F75F80F">
            <w:pPr>
              <w:spacing w:line="360" w:lineRule="auto"/>
              <w:ind w:firstLine="480" w:firstLineChars="200"/>
              <w:rPr>
                <w:rFonts w:hint="default" w:ascii="Times New Roman" w:hAnsi="Times New Roman" w:eastAsia="宋体" w:cs="Times New Roman"/>
                <w:color w:val="auto"/>
                <w:kern w:val="0"/>
                <w:sz w:val="24"/>
                <w:szCs w:val="28"/>
                <w:highlight w:val="none"/>
                <w:u w:val="none" w:color="auto"/>
              </w:rPr>
            </w:pPr>
            <w:r>
              <w:rPr>
                <w:rFonts w:hint="default" w:ascii="Times New Roman" w:hAnsi="Times New Roman" w:eastAsia="宋体" w:cs="Times New Roman"/>
                <w:color w:val="auto"/>
                <w:kern w:val="0"/>
                <w:sz w:val="24"/>
                <w:szCs w:val="28"/>
                <w:highlight w:val="none"/>
                <w:u w:val="none" w:color="auto"/>
              </w:rPr>
              <w:t>岳阳洞庭湖湖体总体处于中营养水平，7个断面中有6个断面为中营养状态，1个断面（洞庭湖出口）为轻度富营养状态。洞庭湖水质综合评价达到考核要求，岳阳洞庭湖总磷浓度均值为0.062mg/l。</w:t>
            </w:r>
          </w:p>
          <w:p w14:paraId="43D938AC">
            <w:pPr>
              <w:spacing w:line="360" w:lineRule="auto"/>
              <w:ind w:firstLine="480" w:firstLineChars="200"/>
              <w:rPr>
                <w:rFonts w:hint="default" w:ascii="Times New Roman" w:hAnsi="Times New Roman" w:eastAsia="宋体" w:cs="Times New Roman"/>
                <w:color w:val="auto"/>
                <w:kern w:val="0"/>
                <w:sz w:val="24"/>
                <w:szCs w:val="28"/>
                <w:highlight w:val="none"/>
                <w:u w:val="none" w:color="auto"/>
              </w:rPr>
            </w:pPr>
            <w:r>
              <w:rPr>
                <w:rFonts w:hint="default" w:ascii="Times New Roman" w:hAnsi="Times New Roman" w:eastAsia="宋体" w:cs="Times New Roman"/>
                <w:color w:val="auto"/>
                <w:kern w:val="0"/>
                <w:sz w:val="24"/>
                <w:szCs w:val="28"/>
                <w:highlight w:val="none"/>
                <w:u w:val="none" w:color="auto"/>
              </w:rPr>
              <w:t>（4）洞庭湖内湖水质</w:t>
            </w:r>
          </w:p>
          <w:p w14:paraId="7AB7972E">
            <w:pPr>
              <w:spacing w:line="360" w:lineRule="auto"/>
              <w:ind w:firstLine="480" w:firstLineChars="200"/>
              <w:rPr>
                <w:rFonts w:hint="default" w:ascii="Times New Roman" w:hAnsi="Times New Roman" w:eastAsia="宋体" w:cs="Times New Roman"/>
                <w:color w:val="auto"/>
                <w:kern w:val="0"/>
                <w:sz w:val="24"/>
                <w:szCs w:val="28"/>
                <w:u w:val="none" w:color="auto"/>
              </w:rPr>
            </w:pPr>
            <w:r>
              <w:rPr>
                <w:rFonts w:hint="default" w:ascii="Times New Roman" w:hAnsi="Times New Roman" w:eastAsia="宋体" w:cs="Times New Roman"/>
                <w:color w:val="auto"/>
                <w:kern w:val="0"/>
                <w:sz w:val="24"/>
                <w:szCs w:val="28"/>
                <w:highlight w:val="none"/>
                <w:u w:val="none" w:color="auto"/>
              </w:rPr>
              <w:t>2024年，洞庭湖内湖总体水质为良。岳阳洞庭湖内湖5个控制断面中有4个断面为Ⅲ类水质，1个断面（华容东湖）为Ⅳ类水质，超标污染物为总磷。洞庭湖内湖5个断面中有2个断面属中营养状态，3个断面为轻度富营养状态。</w:t>
            </w:r>
          </w:p>
          <w:p w14:paraId="2B3BBDDF">
            <w:pPr>
              <w:pStyle w:val="29"/>
              <w:numPr>
                <w:ilvl w:val="0"/>
                <w:numId w:val="0"/>
              </w:numPr>
              <w:adjustRightInd/>
              <w:snapToGrid/>
              <w:spacing w:before="0" w:beforeLines="0"/>
              <w:rPr>
                <w:rFonts w:hint="default" w:ascii="Times New Roman" w:hAnsi="Times New Roman" w:eastAsia="宋体" w:cs="Times New Roman"/>
                <w:b/>
                <w:color w:val="auto"/>
                <w:kern w:val="2"/>
                <w:highlight w:val="none"/>
                <w:u w:val="none" w:color="auto"/>
              </w:rPr>
            </w:pPr>
            <w:r>
              <w:rPr>
                <w:rFonts w:hint="default" w:ascii="Times New Roman" w:hAnsi="Times New Roman" w:eastAsia="宋体" w:cs="Times New Roman"/>
                <w:b/>
                <w:color w:val="auto"/>
                <w:kern w:val="2"/>
                <w:highlight w:val="none"/>
                <w:u w:val="none" w:color="auto"/>
                <w:lang w:val="en-US" w:eastAsia="zh-CN"/>
              </w:rPr>
              <w:t>3、</w:t>
            </w:r>
            <w:r>
              <w:rPr>
                <w:rFonts w:hint="default" w:ascii="Times New Roman" w:hAnsi="Times New Roman" w:eastAsia="宋体" w:cs="Times New Roman"/>
                <w:b/>
                <w:color w:val="auto"/>
                <w:kern w:val="2"/>
                <w:highlight w:val="none"/>
                <w:u w:val="none" w:color="auto"/>
              </w:rPr>
              <w:t>声环境质量现状</w:t>
            </w:r>
          </w:p>
          <w:p w14:paraId="5709FDCF">
            <w:pPr>
              <w:pStyle w:val="29"/>
              <w:adjustRightInd/>
              <w:snapToGrid/>
              <w:spacing w:before="0" w:beforeLines="0"/>
              <w:ind w:firstLine="480"/>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lang w:val="en-US" w:eastAsia="zh-CN"/>
              </w:rPr>
              <w:t>经现场勘察，</w:t>
            </w:r>
            <w:r>
              <w:rPr>
                <w:rFonts w:hint="default" w:ascii="Times New Roman" w:hAnsi="Times New Roman" w:eastAsia="宋体" w:cs="Times New Roman"/>
                <w:color w:val="auto"/>
                <w:highlight w:val="none"/>
                <w:u w:val="none" w:color="auto"/>
              </w:rPr>
              <w:t>本项目50米范围内无声环境保护目标。</w:t>
            </w:r>
          </w:p>
          <w:p w14:paraId="35C77017">
            <w:pPr>
              <w:pStyle w:val="29"/>
              <w:adjustRightInd/>
              <w:snapToGrid/>
              <w:spacing w:before="0" w:beforeLines="0"/>
              <w:ind w:left="0" w:leftChars="0" w:firstLine="0" w:firstLineChars="0"/>
              <w:rPr>
                <w:rFonts w:hint="default" w:ascii="Times New Roman" w:hAnsi="Times New Roman" w:eastAsia="宋体" w:cs="Times New Roman"/>
                <w:b/>
                <w:color w:val="auto"/>
                <w:kern w:val="2"/>
                <w:highlight w:val="none"/>
                <w:u w:val="none" w:color="auto"/>
              </w:rPr>
            </w:pPr>
            <w:r>
              <w:rPr>
                <w:rFonts w:hint="default" w:ascii="Times New Roman" w:hAnsi="Times New Roman" w:eastAsia="宋体" w:cs="Times New Roman"/>
                <w:b/>
                <w:color w:val="auto"/>
                <w:kern w:val="2"/>
                <w:highlight w:val="none"/>
                <w:u w:val="none" w:color="auto"/>
                <w:lang w:val="en-US" w:eastAsia="zh-CN"/>
              </w:rPr>
              <w:t>4</w:t>
            </w:r>
            <w:r>
              <w:rPr>
                <w:rFonts w:hint="default" w:ascii="Times New Roman" w:hAnsi="Times New Roman" w:eastAsia="宋体" w:cs="Times New Roman"/>
                <w:b/>
                <w:color w:val="auto"/>
                <w:kern w:val="2"/>
                <w:highlight w:val="none"/>
                <w:u w:val="none" w:color="auto"/>
              </w:rPr>
              <w:t>、生态环境质量</w:t>
            </w:r>
            <w:bookmarkStart w:id="88" w:name="_Toc508206565"/>
          </w:p>
          <w:bookmarkEnd w:id="88"/>
          <w:p w14:paraId="159D2F04">
            <w:pPr>
              <w:adjustRightInd w:val="0"/>
              <w:snapToGrid w:val="0"/>
              <w:spacing w:line="360" w:lineRule="auto"/>
              <w:ind w:firstLine="480" w:firstLineChars="200"/>
              <w:rPr>
                <w:rFonts w:hint="default" w:ascii="Times New Roman" w:hAnsi="Times New Roman" w:eastAsia="宋体" w:cs="Times New Roman"/>
                <w:color w:val="auto"/>
                <w:sz w:val="24"/>
                <w:highlight w:val="none"/>
                <w:u w:val="none" w:color="auto"/>
              </w:rPr>
            </w:pPr>
            <w:r>
              <w:rPr>
                <w:rFonts w:hint="default" w:ascii="Times New Roman" w:hAnsi="Times New Roman" w:eastAsia="宋体" w:cs="Times New Roman"/>
                <w:color w:val="auto"/>
                <w:sz w:val="24"/>
                <w:highlight w:val="none"/>
                <w:u w:val="none" w:color="auto"/>
              </w:rPr>
              <w:t>项目所在区域</w:t>
            </w:r>
            <w:r>
              <w:rPr>
                <w:rFonts w:hint="default" w:ascii="Times New Roman" w:hAnsi="Times New Roman" w:eastAsia="宋体" w:cs="Times New Roman"/>
                <w:color w:val="auto"/>
                <w:sz w:val="24"/>
                <w:highlight w:val="none"/>
                <w:u w:val="none" w:color="auto"/>
                <w:lang w:val="en-US" w:eastAsia="zh-CN"/>
              </w:rPr>
              <w:t>位于湖南中创空天新材料股份有限公司产业化基地内和湖南城陵矶临港高新产业园已建厂房，属于已取得规划及其规划环评批复的</w:t>
            </w:r>
            <w:r>
              <w:rPr>
                <w:rFonts w:hint="default" w:ascii="Times New Roman" w:hAnsi="Times New Roman" w:eastAsia="宋体" w:cs="Times New Roman"/>
                <w:color w:val="auto"/>
                <w:sz w:val="24"/>
                <w:szCs w:val="24"/>
                <w:highlight w:val="none"/>
                <w:u w:val="none" w:color="auto"/>
                <w:lang w:eastAsia="zh-CN"/>
              </w:rPr>
              <w:t>湖南城陵矶临港产业新区</w:t>
            </w:r>
            <w:r>
              <w:rPr>
                <w:rFonts w:hint="default" w:ascii="Times New Roman" w:hAnsi="Times New Roman" w:eastAsia="宋体" w:cs="Times New Roman"/>
                <w:color w:val="auto"/>
                <w:sz w:val="24"/>
                <w:highlight w:val="none"/>
                <w:u w:val="none" w:color="auto"/>
              </w:rPr>
              <w:t>，</w:t>
            </w:r>
            <w:r>
              <w:rPr>
                <w:rFonts w:hint="default" w:ascii="Times New Roman" w:hAnsi="Times New Roman" w:eastAsia="宋体" w:cs="Times New Roman"/>
                <w:color w:val="auto"/>
                <w:sz w:val="24"/>
                <w:highlight w:val="none"/>
                <w:u w:val="none" w:color="auto"/>
                <w:lang w:val="en-US" w:eastAsia="zh-CN"/>
              </w:rPr>
              <w:t>产业基地内</w:t>
            </w:r>
            <w:r>
              <w:rPr>
                <w:rFonts w:hint="default" w:ascii="Times New Roman" w:hAnsi="Times New Roman" w:eastAsia="宋体" w:cs="Times New Roman"/>
                <w:color w:val="auto"/>
                <w:sz w:val="24"/>
                <w:highlight w:val="none"/>
                <w:u w:val="none" w:color="auto"/>
              </w:rPr>
              <w:t>主要植被为人工绿化地。评价区域内生态环境受人为影响，无天然林及珍稀植被；区域内生物多样性较低，无珍稀动物。</w:t>
            </w:r>
          </w:p>
          <w:p w14:paraId="13455A64">
            <w:pPr>
              <w:pStyle w:val="29"/>
              <w:keepNext w:val="0"/>
              <w:keepLines w:val="0"/>
              <w:pageBreakBefore w:val="0"/>
              <w:kinsoku/>
              <w:wordWrap/>
              <w:overflowPunct/>
              <w:topLinePunct w:val="0"/>
              <w:autoSpaceDE/>
              <w:autoSpaceDN/>
              <w:bidi w:val="0"/>
              <w:adjustRightInd/>
              <w:snapToGrid/>
              <w:spacing w:before="0"/>
              <w:ind w:left="0" w:leftChars="0" w:firstLine="0" w:firstLineChars="0"/>
              <w:textAlignment w:val="auto"/>
              <w:rPr>
                <w:rFonts w:hint="default" w:ascii="Times New Roman" w:hAnsi="Times New Roman" w:eastAsia="宋体" w:cs="Times New Roman"/>
                <w:b/>
                <w:color w:val="auto"/>
                <w:kern w:val="2"/>
                <w:highlight w:val="none"/>
                <w:u w:val="none" w:color="auto"/>
                <w:lang w:val="en-US" w:eastAsia="zh-CN"/>
              </w:rPr>
            </w:pPr>
            <w:r>
              <w:rPr>
                <w:rFonts w:hint="default" w:ascii="Times New Roman" w:hAnsi="Times New Roman" w:eastAsia="宋体" w:cs="Times New Roman"/>
                <w:b/>
                <w:color w:val="auto"/>
                <w:kern w:val="2"/>
                <w:highlight w:val="none"/>
                <w:u w:val="none" w:color="auto"/>
                <w:lang w:val="en-US" w:eastAsia="zh-CN"/>
              </w:rPr>
              <w:t>5、土壤、地下水环境质量</w:t>
            </w:r>
          </w:p>
          <w:p w14:paraId="5FF5420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Cs w:val="21"/>
                <w:u w:val="none" w:color="auto"/>
                <w:lang w:val="en-US" w:eastAsia="zh-CN"/>
              </w:rPr>
            </w:pPr>
            <w:r>
              <w:rPr>
                <w:rFonts w:hint="default" w:ascii="Times New Roman" w:hAnsi="Times New Roman" w:eastAsia="宋体" w:cs="Times New Roman"/>
                <w:color w:val="auto"/>
                <w:sz w:val="24"/>
                <w:highlight w:val="none"/>
                <w:u w:val="none" w:color="auto"/>
                <w:lang w:val="en-US" w:eastAsia="zh-CN"/>
              </w:rPr>
              <w:t>本项目拟建区域均已硬化，且无地下生产设施，不存在土壤、地下水污染途径，故无需开展现状检测。</w:t>
            </w:r>
          </w:p>
        </w:tc>
      </w:tr>
      <w:tr w14:paraId="7E7C799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800" w:type="dxa"/>
            <w:noWrap w:val="0"/>
            <w:vAlign w:val="center"/>
          </w:tcPr>
          <w:p w14:paraId="621BF9BA">
            <w:pPr>
              <w:adjustRightInd w:val="0"/>
              <w:snapToGrid w:val="0"/>
              <w:jc w:val="center"/>
              <w:rPr>
                <w:rFonts w:hint="default" w:ascii="Times New Roman" w:hAnsi="Times New Roman" w:eastAsia="宋体" w:cs="Times New Roman"/>
                <w:color w:val="auto"/>
                <w:kern w:val="0"/>
                <w:szCs w:val="21"/>
                <w:u w:val="none" w:color="auto"/>
              </w:rPr>
            </w:pPr>
            <w:r>
              <w:rPr>
                <w:rFonts w:hint="default" w:ascii="Times New Roman" w:hAnsi="Times New Roman" w:eastAsia="宋体" w:cs="Times New Roman"/>
                <w:color w:val="auto"/>
                <w:kern w:val="0"/>
                <w:szCs w:val="21"/>
                <w:u w:val="none" w:color="auto"/>
              </w:rPr>
              <w:t>环境</w:t>
            </w:r>
          </w:p>
          <w:p w14:paraId="6DDFE975">
            <w:pPr>
              <w:adjustRightInd w:val="0"/>
              <w:snapToGrid w:val="0"/>
              <w:jc w:val="center"/>
              <w:rPr>
                <w:rFonts w:hint="default" w:ascii="Times New Roman" w:hAnsi="Times New Roman" w:eastAsia="宋体" w:cs="Times New Roman"/>
                <w:color w:val="auto"/>
                <w:kern w:val="0"/>
                <w:szCs w:val="21"/>
                <w:u w:val="none" w:color="auto"/>
              </w:rPr>
            </w:pPr>
            <w:r>
              <w:rPr>
                <w:rFonts w:hint="default" w:ascii="Times New Roman" w:hAnsi="Times New Roman" w:eastAsia="宋体" w:cs="Times New Roman"/>
                <w:color w:val="auto"/>
                <w:kern w:val="0"/>
                <w:szCs w:val="21"/>
                <w:u w:val="none" w:color="auto"/>
              </w:rPr>
              <w:t>保护</w:t>
            </w:r>
          </w:p>
          <w:p w14:paraId="511D0699">
            <w:pPr>
              <w:adjustRightInd w:val="0"/>
              <w:snapToGrid w:val="0"/>
              <w:jc w:val="center"/>
              <w:rPr>
                <w:rFonts w:hint="default" w:ascii="Times New Roman" w:hAnsi="Times New Roman" w:eastAsia="宋体" w:cs="Times New Roman"/>
                <w:color w:val="auto"/>
                <w:kern w:val="0"/>
                <w:szCs w:val="21"/>
                <w:u w:val="none" w:color="auto"/>
              </w:rPr>
            </w:pPr>
            <w:r>
              <w:rPr>
                <w:rFonts w:hint="default" w:ascii="Times New Roman" w:hAnsi="Times New Roman" w:eastAsia="宋体" w:cs="Times New Roman"/>
                <w:color w:val="auto"/>
                <w:kern w:val="0"/>
                <w:szCs w:val="21"/>
                <w:u w:val="none" w:color="auto"/>
              </w:rPr>
              <w:t>目标</w:t>
            </w:r>
          </w:p>
        </w:tc>
        <w:tc>
          <w:tcPr>
            <w:tcW w:w="8190" w:type="dxa"/>
            <w:noWrap w:val="0"/>
            <w:vAlign w:val="center"/>
          </w:tcPr>
          <w:p w14:paraId="68B9A56B">
            <w:pPr>
              <w:pStyle w:val="62"/>
              <w:adjustRightInd/>
              <w:spacing w:line="360" w:lineRule="auto"/>
              <w:ind w:firstLine="480" w:firstLineChars="200"/>
              <w:rPr>
                <w:rFonts w:hint="default" w:ascii="Times New Roman" w:hAnsi="Times New Roman" w:eastAsia="宋体" w:cs="Times New Roman"/>
                <w:bCs/>
                <w:color w:val="auto"/>
                <w:u w:val="none" w:color="auto"/>
              </w:rPr>
            </w:pPr>
            <w:r>
              <w:rPr>
                <w:rFonts w:hint="default" w:ascii="Times New Roman" w:hAnsi="Times New Roman" w:eastAsia="宋体" w:cs="Times New Roman"/>
                <w:color w:val="auto"/>
                <w:u w:val="none" w:color="auto"/>
              </w:rPr>
              <w:t>根据现场勘查，本项目大气环境保护目标详见下表。</w:t>
            </w:r>
          </w:p>
          <w:p w14:paraId="658BEE6B">
            <w:pPr>
              <w:pStyle w:val="2"/>
              <w:snapToGrid/>
              <w:spacing w:before="0" w:after="0" w:line="240" w:lineRule="auto"/>
              <w:ind w:right="0"/>
              <w:jc w:val="center"/>
              <w:rPr>
                <w:rFonts w:hint="default" w:ascii="Times New Roman" w:hAnsi="Times New Roman" w:eastAsia="宋体" w:cs="Times New Roman"/>
                <w:b/>
                <w:bCs/>
                <w:color w:val="auto"/>
                <w:sz w:val="21"/>
                <w:szCs w:val="16"/>
                <w:u w:val="none" w:color="auto"/>
              </w:rPr>
            </w:pPr>
            <w:r>
              <w:rPr>
                <w:rFonts w:hint="default" w:ascii="Times New Roman" w:hAnsi="Times New Roman" w:eastAsia="宋体" w:cs="Times New Roman"/>
                <w:b/>
                <w:bCs/>
                <w:color w:val="auto"/>
                <w:sz w:val="21"/>
                <w:szCs w:val="16"/>
                <w:u w:val="none" w:color="auto"/>
              </w:rPr>
              <w:t>表3</w:t>
            </w:r>
            <w:r>
              <w:rPr>
                <w:rFonts w:hint="default" w:ascii="Times New Roman" w:hAnsi="Times New Roman" w:eastAsia="宋体" w:cs="Times New Roman"/>
                <w:b/>
                <w:bCs/>
                <w:color w:val="auto"/>
                <w:sz w:val="21"/>
                <w:szCs w:val="16"/>
                <w:u w:val="none" w:color="auto"/>
                <w:lang w:val="en-US" w:eastAsia="zh-CN"/>
              </w:rPr>
              <w:t>-4</w:t>
            </w:r>
            <w:r>
              <w:rPr>
                <w:rFonts w:hint="default" w:ascii="Times New Roman" w:hAnsi="Times New Roman" w:eastAsia="宋体" w:cs="Times New Roman"/>
                <w:b/>
                <w:bCs/>
                <w:color w:val="auto"/>
                <w:sz w:val="21"/>
                <w:szCs w:val="16"/>
                <w:u w:val="none" w:color="auto"/>
              </w:rPr>
              <w:t xml:space="preserve">  项目周边环境空气保护目标</w:t>
            </w:r>
            <w:r>
              <w:rPr>
                <w:rFonts w:hint="default" w:ascii="Times New Roman" w:hAnsi="Times New Roman" w:eastAsia="宋体" w:cs="Times New Roman"/>
                <w:b/>
                <w:color w:val="auto"/>
                <w:sz w:val="21"/>
                <w:szCs w:val="16"/>
                <w:u w:val="none" w:color="auto"/>
              </w:rPr>
              <w:t>一览表</w:t>
            </w:r>
          </w:p>
          <w:tbl>
            <w:tblPr>
              <w:tblStyle w:val="31"/>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02"/>
              <w:gridCol w:w="1236"/>
              <w:gridCol w:w="1522"/>
              <w:gridCol w:w="2059"/>
              <w:gridCol w:w="402"/>
              <w:gridCol w:w="615"/>
              <w:gridCol w:w="402"/>
              <w:gridCol w:w="403"/>
              <w:gridCol w:w="903"/>
            </w:tblGrid>
            <w:tr w14:paraId="0067A8C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253" w:type="pct"/>
                  <w:vMerge w:val="restart"/>
                  <w:tcBorders>
                    <w:tl2br w:val="nil"/>
                    <w:tr2bl w:val="nil"/>
                  </w:tcBorders>
                  <w:noWrap w:val="0"/>
                  <w:vAlign w:val="center"/>
                </w:tcPr>
                <w:p w14:paraId="2FC054F1">
                  <w:pPr>
                    <w:jc w:val="center"/>
                    <w:rPr>
                      <w:rFonts w:hint="default" w:ascii="Times New Roman" w:hAnsi="Times New Roman" w:eastAsia="宋体" w:cs="Times New Roman"/>
                      <w:b/>
                      <w:color w:val="auto"/>
                      <w:szCs w:val="21"/>
                      <w:highlight w:val="none"/>
                      <w:u w:val="none" w:color="auto"/>
                      <w:lang w:val="en-US" w:eastAsia="zh-CN"/>
                    </w:rPr>
                  </w:pPr>
                  <w:r>
                    <w:rPr>
                      <w:rFonts w:hint="default" w:ascii="Times New Roman" w:hAnsi="Times New Roman" w:eastAsia="宋体" w:cs="Times New Roman"/>
                      <w:b/>
                      <w:color w:val="auto"/>
                      <w:szCs w:val="21"/>
                      <w:highlight w:val="none"/>
                      <w:u w:val="none" w:color="auto"/>
                      <w:lang w:val="en-US" w:eastAsia="zh-CN"/>
                    </w:rPr>
                    <w:t>厂区</w:t>
                  </w:r>
                </w:p>
              </w:tc>
              <w:tc>
                <w:tcPr>
                  <w:tcW w:w="777" w:type="pct"/>
                  <w:vMerge w:val="restart"/>
                  <w:tcBorders>
                    <w:tl2br w:val="nil"/>
                    <w:tr2bl w:val="nil"/>
                  </w:tcBorders>
                  <w:noWrap w:val="0"/>
                  <w:vAlign w:val="center"/>
                </w:tcPr>
                <w:p w14:paraId="78A41765">
                  <w:pPr>
                    <w:jc w:val="center"/>
                    <w:rPr>
                      <w:rFonts w:hint="default" w:ascii="Times New Roman" w:hAnsi="Times New Roman" w:eastAsia="宋体" w:cs="Times New Roman"/>
                      <w:b/>
                      <w:color w:val="auto"/>
                      <w:szCs w:val="21"/>
                      <w:highlight w:val="none"/>
                      <w:u w:val="none" w:color="auto"/>
                    </w:rPr>
                  </w:pPr>
                  <w:r>
                    <w:rPr>
                      <w:rFonts w:hint="default" w:ascii="Times New Roman" w:hAnsi="Times New Roman" w:eastAsia="宋体" w:cs="Times New Roman"/>
                      <w:b/>
                      <w:color w:val="auto"/>
                      <w:szCs w:val="21"/>
                      <w:highlight w:val="none"/>
                      <w:u w:val="none" w:color="auto"/>
                    </w:rPr>
                    <w:t>名称</w:t>
                  </w:r>
                </w:p>
              </w:tc>
              <w:tc>
                <w:tcPr>
                  <w:tcW w:w="2253" w:type="pct"/>
                  <w:gridSpan w:val="2"/>
                  <w:tcBorders>
                    <w:tl2br w:val="nil"/>
                    <w:tr2bl w:val="nil"/>
                  </w:tcBorders>
                  <w:noWrap w:val="0"/>
                  <w:vAlign w:val="center"/>
                </w:tcPr>
                <w:p w14:paraId="6AA90A36">
                  <w:pPr>
                    <w:jc w:val="center"/>
                    <w:rPr>
                      <w:rFonts w:hint="default" w:ascii="Times New Roman" w:hAnsi="Times New Roman" w:eastAsia="宋体" w:cs="Times New Roman"/>
                      <w:b/>
                      <w:color w:val="auto"/>
                      <w:szCs w:val="21"/>
                      <w:highlight w:val="none"/>
                      <w:u w:val="none" w:color="auto"/>
                    </w:rPr>
                  </w:pPr>
                  <w:r>
                    <w:rPr>
                      <w:rFonts w:hint="default" w:ascii="Times New Roman" w:hAnsi="Times New Roman" w:eastAsia="宋体" w:cs="Times New Roman"/>
                      <w:b/>
                      <w:color w:val="auto"/>
                      <w:szCs w:val="21"/>
                      <w:highlight w:val="none"/>
                      <w:u w:val="none" w:color="auto"/>
                    </w:rPr>
                    <w:t>坐标</w:t>
                  </w:r>
                </w:p>
              </w:tc>
              <w:tc>
                <w:tcPr>
                  <w:tcW w:w="253" w:type="pct"/>
                  <w:vMerge w:val="restart"/>
                  <w:tcBorders>
                    <w:tl2br w:val="nil"/>
                    <w:tr2bl w:val="nil"/>
                  </w:tcBorders>
                  <w:noWrap w:val="0"/>
                  <w:vAlign w:val="center"/>
                </w:tcPr>
                <w:p w14:paraId="72E0B76E">
                  <w:pPr>
                    <w:jc w:val="center"/>
                    <w:rPr>
                      <w:rFonts w:hint="default" w:ascii="Times New Roman" w:hAnsi="Times New Roman" w:eastAsia="宋体" w:cs="Times New Roman"/>
                      <w:b/>
                      <w:color w:val="auto"/>
                      <w:szCs w:val="21"/>
                      <w:highlight w:val="none"/>
                      <w:u w:val="none" w:color="auto"/>
                    </w:rPr>
                  </w:pPr>
                  <w:r>
                    <w:rPr>
                      <w:rFonts w:hint="default" w:ascii="Times New Roman" w:hAnsi="Times New Roman" w:eastAsia="宋体" w:cs="Times New Roman"/>
                      <w:b/>
                      <w:color w:val="auto"/>
                      <w:szCs w:val="21"/>
                      <w:highlight w:val="none"/>
                      <w:u w:val="none" w:color="auto"/>
                    </w:rPr>
                    <w:t>保护对象</w:t>
                  </w:r>
                </w:p>
              </w:tc>
              <w:tc>
                <w:tcPr>
                  <w:tcW w:w="387" w:type="pct"/>
                  <w:vMerge w:val="restart"/>
                  <w:tcBorders>
                    <w:tl2br w:val="nil"/>
                    <w:tr2bl w:val="nil"/>
                  </w:tcBorders>
                  <w:noWrap w:val="0"/>
                  <w:vAlign w:val="center"/>
                </w:tcPr>
                <w:p w14:paraId="182BA9D9">
                  <w:pPr>
                    <w:jc w:val="center"/>
                    <w:rPr>
                      <w:rFonts w:hint="default" w:ascii="Times New Roman" w:hAnsi="Times New Roman" w:eastAsia="宋体" w:cs="Times New Roman"/>
                      <w:b/>
                      <w:color w:val="auto"/>
                      <w:szCs w:val="21"/>
                      <w:highlight w:val="none"/>
                      <w:u w:val="none" w:color="auto"/>
                    </w:rPr>
                  </w:pPr>
                  <w:r>
                    <w:rPr>
                      <w:rFonts w:hint="default" w:ascii="Times New Roman" w:hAnsi="Times New Roman" w:eastAsia="宋体" w:cs="Times New Roman"/>
                      <w:b/>
                      <w:color w:val="auto"/>
                      <w:szCs w:val="21"/>
                      <w:highlight w:val="none"/>
                      <w:u w:val="none" w:color="auto"/>
                    </w:rPr>
                    <w:t>保护内容</w:t>
                  </w:r>
                </w:p>
              </w:tc>
              <w:tc>
                <w:tcPr>
                  <w:tcW w:w="253" w:type="pct"/>
                  <w:vMerge w:val="restart"/>
                  <w:tcBorders>
                    <w:tl2br w:val="nil"/>
                    <w:tr2bl w:val="nil"/>
                  </w:tcBorders>
                  <w:noWrap w:val="0"/>
                  <w:vAlign w:val="center"/>
                </w:tcPr>
                <w:p w14:paraId="10BC9589">
                  <w:pPr>
                    <w:jc w:val="center"/>
                    <w:rPr>
                      <w:rFonts w:hint="default" w:ascii="Times New Roman" w:hAnsi="Times New Roman" w:eastAsia="宋体" w:cs="Times New Roman"/>
                      <w:b/>
                      <w:color w:val="auto"/>
                      <w:szCs w:val="21"/>
                      <w:highlight w:val="none"/>
                      <w:u w:val="none" w:color="auto"/>
                    </w:rPr>
                  </w:pPr>
                  <w:r>
                    <w:rPr>
                      <w:rFonts w:hint="default" w:ascii="Times New Roman" w:hAnsi="Times New Roman" w:eastAsia="宋体" w:cs="Times New Roman"/>
                      <w:b/>
                      <w:color w:val="auto"/>
                      <w:szCs w:val="21"/>
                      <w:highlight w:val="none"/>
                      <w:u w:val="none" w:color="auto"/>
                    </w:rPr>
                    <w:t>环境</w:t>
                  </w:r>
                </w:p>
                <w:p w14:paraId="3268B77D">
                  <w:pPr>
                    <w:jc w:val="center"/>
                    <w:rPr>
                      <w:rFonts w:hint="default" w:ascii="Times New Roman" w:hAnsi="Times New Roman" w:eastAsia="宋体" w:cs="Times New Roman"/>
                      <w:b/>
                      <w:color w:val="auto"/>
                      <w:szCs w:val="21"/>
                      <w:highlight w:val="none"/>
                      <w:u w:val="none" w:color="auto"/>
                    </w:rPr>
                  </w:pPr>
                  <w:r>
                    <w:rPr>
                      <w:rFonts w:hint="default" w:ascii="Times New Roman" w:hAnsi="Times New Roman" w:eastAsia="宋体" w:cs="Times New Roman"/>
                      <w:b/>
                      <w:color w:val="auto"/>
                      <w:szCs w:val="21"/>
                      <w:highlight w:val="none"/>
                      <w:u w:val="none" w:color="auto"/>
                    </w:rPr>
                    <w:t>功能区</w:t>
                  </w:r>
                </w:p>
              </w:tc>
              <w:tc>
                <w:tcPr>
                  <w:tcW w:w="253" w:type="pct"/>
                  <w:vMerge w:val="restart"/>
                  <w:tcBorders>
                    <w:tl2br w:val="nil"/>
                    <w:tr2bl w:val="nil"/>
                  </w:tcBorders>
                  <w:noWrap w:val="0"/>
                  <w:vAlign w:val="center"/>
                </w:tcPr>
                <w:p w14:paraId="57AA7E8A">
                  <w:pPr>
                    <w:jc w:val="center"/>
                    <w:rPr>
                      <w:rFonts w:hint="default" w:ascii="Times New Roman" w:hAnsi="Times New Roman" w:eastAsia="宋体" w:cs="Times New Roman"/>
                      <w:b/>
                      <w:color w:val="auto"/>
                      <w:szCs w:val="21"/>
                      <w:highlight w:val="none"/>
                      <w:u w:val="none" w:color="auto"/>
                    </w:rPr>
                  </w:pPr>
                  <w:r>
                    <w:rPr>
                      <w:rFonts w:hint="default" w:ascii="Times New Roman" w:hAnsi="Times New Roman" w:eastAsia="宋体" w:cs="Times New Roman"/>
                      <w:b/>
                      <w:color w:val="auto"/>
                      <w:szCs w:val="21"/>
                      <w:highlight w:val="none"/>
                      <w:u w:val="none" w:color="auto"/>
                    </w:rPr>
                    <w:t>相对厂址方位</w:t>
                  </w:r>
                </w:p>
              </w:tc>
              <w:tc>
                <w:tcPr>
                  <w:tcW w:w="568" w:type="pct"/>
                  <w:vMerge w:val="restart"/>
                  <w:tcBorders>
                    <w:tl2br w:val="nil"/>
                    <w:tr2bl w:val="nil"/>
                  </w:tcBorders>
                  <w:noWrap w:val="0"/>
                  <w:vAlign w:val="center"/>
                </w:tcPr>
                <w:p w14:paraId="6E3CB2DA">
                  <w:pPr>
                    <w:jc w:val="center"/>
                    <w:rPr>
                      <w:rFonts w:hint="default" w:ascii="Times New Roman" w:hAnsi="Times New Roman" w:eastAsia="宋体" w:cs="Times New Roman"/>
                      <w:b/>
                      <w:color w:val="auto"/>
                      <w:szCs w:val="21"/>
                      <w:highlight w:val="none"/>
                      <w:u w:val="none" w:color="auto"/>
                    </w:rPr>
                  </w:pPr>
                  <w:r>
                    <w:rPr>
                      <w:rFonts w:hint="default" w:ascii="Times New Roman" w:hAnsi="Times New Roman" w:eastAsia="宋体" w:cs="Times New Roman"/>
                      <w:b/>
                      <w:color w:val="auto"/>
                      <w:szCs w:val="21"/>
                      <w:highlight w:val="none"/>
                      <w:u w:val="none" w:color="auto"/>
                    </w:rPr>
                    <w:t>相对厂址距离m</w:t>
                  </w:r>
                </w:p>
              </w:tc>
            </w:tr>
            <w:tr w14:paraId="0E314CB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253" w:type="pct"/>
                  <w:vMerge w:val="continue"/>
                  <w:tcBorders>
                    <w:tl2br w:val="nil"/>
                    <w:tr2bl w:val="nil"/>
                  </w:tcBorders>
                  <w:noWrap w:val="0"/>
                  <w:vAlign w:val="center"/>
                </w:tcPr>
                <w:p w14:paraId="6FCC9C74">
                  <w:pPr>
                    <w:jc w:val="center"/>
                    <w:rPr>
                      <w:rFonts w:hint="default" w:ascii="Times New Roman" w:hAnsi="Times New Roman" w:eastAsia="宋体" w:cs="Times New Roman"/>
                      <w:color w:val="auto"/>
                      <w:szCs w:val="21"/>
                      <w:highlight w:val="none"/>
                      <w:u w:val="none" w:color="auto"/>
                    </w:rPr>
                  </w:pPr>
                </w:p>
              </w:tc>
              <w:tc>
                <w:tcPr>
                  <w:tcW w:w="777" w:type="pct"/>
                  <w:vMerge w:val="continue"/>
                  <w:tcBorders>
                    <w:tl2br w:val="nil"/>
                    <w:tr2bl w:val="nil"/>
                  </w:tcBorders>
                  <w:noWrap w:val="0"/>
                  <w:vAlign w:val="center"/>
                </w:tcPr>
                <w:p w14:paraId="3B270B77">
                  <w:pPr>
                    <w:jc w:val="center"/>
                    <w:rPr>
                      <w:rFonts w:hint="default" w:ascii="Times New Roman" w:hAnsi="Times New Roman" w:eastAsia="宋体" w:cs="Times New Roman"/>
                      <w:color w:val="auto"/>
                      <w:szCs w:val="21"/>
                      <w:highlight w:val="none"/>
                      <w:u w:val="none" w:color="auto"/>
                    </w:rPr>
                  </w:pPr>
                </w:p>
              </w:tc>
              <w:tc>
                <w:tcPr>
                  <w:tcW w:w="957" w:type="pct"/>
                  <w:tcBorders>
                    <w:tl2br w:val="nil"/>
                    <w:tr2bl w:val="nil"/>
                  </w:tcBorders>
                  <w:noWrap w:val="0"/>
                  <w:vAlign w:val="center"/>
                </w:tcPr>
                <w:p w14:paraId="28C67836">
                  <w:pPr>
                    <w:jc w:val="center"/>
                    <w:rPr>
                      <w:rFonts w:hint="default" w:ascii="Times New Roman" w:hAnsi="Times New Roman" w:eastAsia="宋体" w:cs="Times New Roman"/>
                      <w:b/>
                      <w:color w:val="auto"/>
                      <w:szCs w:val="21"/>
                      <w:highlight w:val="none"/>
                      <w:u w:val="none" w:color="auto"/>
                    </w:rPr>
                  </w:pPr>
                  <w:r>
                    <w:rPr>
                      <w:rFonts w:hint="default" w:ascii="Times New Roman" w:hAnsi="Times New Roman" w:eastAsia="宋体" w:cs="Times New Roman"/>
                      <w:b/>
                      <w:color w:val="auto"/>
                      <w:szCs w:val="21"/>
                      <w:highlight w:val="none"/>
                      <w:u w:val="none" w:color="auto"/>
                    </w:rPr>
                    <w:t>X</w:t>
                  </w:r>
                </w:p>
              </w:tc>
              <w:tc>
                <w:tcPr>
                  <w:tcW w:w="1295" w:type="pct"/>
                  <w:tcBorders>
                    <w:tl2br w:val="nil"/>
                    <w:tr2bl w:val="nil"/>
                  </w:tcBorders>
                  <w:noWrap w:val="0"/>
                  <w:vAlign w:val="center"/>
                </w:tcPr>
                <w:p w14:paraId="449419FE">
                  <w:pPr>
                    <w:jc w:val="center"/>
                    <w:rPr>
                      <w:rFonts w:hint="default" w:ascii="Times New Roman" w:hAnsi="Times New Roman" w:eastAsia="宋体" w:cs="Times New Roman"/>
                      <w:b/>
                      <w:color w:val="auto"/>
                      <w:szCs w:val="21"/>
                      <w:highlight w:val="none"/>
                      <w:u w:val="none" w:color="auto"/>
                    </w:rPr>
                  </w:pPr>
                  <w:r>
                    <w:rPr>
                      <w:rFonts w:hint="default" w:ascii="Times New Roman" w:hAnsi="Times New Roman" w:eastAsia="宋体" w:cs="Times New Roman"/>
                      <w:b/>
                      <w:color w:val="auto"/>
                      <w:szCs w:val="21"/>
                      <w:highlight w:val="none"/>
                      <w:u w:val="none" w:color="auto"/>
                    </w:rPr>
                    <w:t>Y</w:t>
                  </w:r>
                </w:p>
              </w:tc>
              <w:tc>
                <w:tcPr>
                  <w:tcW w:w="253" w:type="pct"/>
                  <w:vMerge w:val="continue"/>
                  <w:tcBorders>
                    <w:tl2br w:val="nil"/>
                    <w:tr2bl w:val="nil"/>
                  </w:tcBorders>
                  <w:noWrap w:val="0"/>
                  <w:vAlign w:val="center"/>
                </w:tcPr>
                <w:p w14:paraId="3B4D89DD">
                  <w:pPr>
                    <w:jc w:val="center"/>
                    <w:rPr>
                      <w:rFonts w:hint="default" w:ascii="Times New Roman" w:hAnsi="Times New Roman" w:eastAsia="宋体" w:cs="Times New Roman"/>
                      <w:color w:val="auto"/>
                      <w:szCs w:val="21"/>
                      <w:highlight w:val="none"/>
                      <w:u w:val="none" w:color="auto"/>
                    </w:rPr>
                  </w:pPr>
                </w:p>
              </w:tc>
              <w:tc>
                <w:tcPr>
                  <w:tcW w:w="387" w:type="pct"/>
                  <w:vMerge w:val="continue"/>
                  <w:tcBorders>
                    <w:tl2br w:val="nil"/>
                    <w:tr2bl w:val="nil"/>
                  </w:tcBorders>
                  <w:noWrap w:val="0"/>
                  <w:vAlign w:val="center"/>
                </w:tcPr>
                <w:p w14:paraId="70BEF6A4">
                  <w:pPr>
                    <w:jc w:val="center"/>
                    <w:rPr>
                      <w:rFonts w:hint="default" w:ascii="Times New Roman" w:hAnsi="Times New Roman" w:eastAsia="宋体" w:cs="Times New Roman"/>
                      <w:color w:val="auto"/>
                      <w:szCs w:val="21"/>
                      <w:highlight w:val="none"/>
                      <w:u w:val="none" w:color="auto"/>
                    </w:rPr>
                  </w:pPr>
                </w:p>
              </w:tc>
              <w:tc>
                <w:tcPr>
                  <w:tcW w:w="253" w:type="pct"/>
                  <w:vMerge w:val="continue"/>
                  <w:tcBorders>
                    <w:tl2br w:val="nil"/>
                    <w:tr2bl w:val="nil"/>
                  </w:tcBorders>
                  <w:noWrap w:val="0"/>
                  <w:vAlign w:val="center"/>
                </w:tcPr>
                <w:p w14:paraId="291A5F0E">
                  <w:pPr>
                    <w:jc w:val="center"/>
                    <w:rPr>
                      <w:rFonts w:hint="default" w:ascii="Times New Roman" w:hAnsi="Times New Roman" w:eastAsia="宋体" w:cs="Times New Roman"/>
                      <w:color w:val="auto"/>
                      <w:szCs w:val="21"/>
                      <w:highlight w:val="none"/>
                      <w:u w:val="none" w:color="auto"/>
                    </w:rPr>
                  </w:pPr>
                </w:p>
              </w:tc>
              <w:tc>
                <w:tcPr>
                  <w:tcW w:w="253" w:type="pct"/>
                  <w:vMerge w:val="continue"/>
                  <w:tcBorders>
                    <w:tl2br w:val="nil"/>
                    <w:tr2bl w:val="nil"/>
                  </w:tcBorders>
                  <w:noWrap w:val="0"/>
                  <w:vAlign w:val="center"/>
                </w:tcPr>
                <w:p w14:paraId="5CAAC83F">
                  <w:pPr>
                    <w:jc w:val="center"/>
                    <w:rPr>
                      <w:rFonts w:hint="default" w:ascii="Times New Roman" w:hAnsi="Times New Roman" w:eastAsia="宋体" w:cs="Times New Roman"/>
                      <w:color w:val="auto"/>
                      <w:szCs w:val="21"/>
                      <w:highlight w:val="none"/>
                      <w:u w:val="none" w:color="auto"/>
                    </w:rPr>
                  </w:pPr>
                </w:p>
              </w:tc>
              <w:tc>
                <w:tcPr>
                  <w:tcW w:w="568" w:type="pct"/>
                  <w:vMerge w:val="continue"/>
                  <w:tcBorders>
                    <w:tl2br w:val="nil"/>
                    <w:tr2bl w:val="nil"/>
                  </w:tcBorders>
                  <w:noWrap w:val="0"/>
                  <w:vAlign w:val="center"/>
                </w:tcPr>
                <w:p w14:paraId="2339F725">
                  <w:pPr>
                    <w:jc w:val="center"/>
                    <w:rPr>
                      <w:rFonts w:hint="default" w:ascii="Times New Roman" w:hAnsi="Times New Roman" w:eastAsia="宋体" w:cs="Times New Roman"/>
                      <w:color w:val="auto"/>
                      <w:szCs w:val="21"/>
                      <w:highlight w:val="none"/>
                      <w:u w:val="none" w:color="auto"/>
                    </w:rPr>
                  </w:pPr>
                </w:p>
              </w:tc>
            </w:tr>
            <w:tr w14:paraId="07AAF50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253" w:type="pct"/>
                  <w:vMerge w:val="restart"/>
                  <w:tcBorders>
                    <w:tl2br w:val="nil"/>
                    <w:tr2bl w:val="nil"/>
                  </w:tcBorders>
                  <w:noWrap w:val="0"/>
                  <w:vAlign w:val="center"/>
                </w:tcPr>
                <w:p w14:paraId="4561DAC2">
                  <w:pPr>
                    <w:widowControl/>
                    <w:topLinePunct w:val="0"/>
                    <w:bidi w:val="0"/>
                    <w:adjustRightInd/>
                    <w:snapToGrid/>
                    <w:jc w:val="center"/>
                    <w:textAlignment w:val="center"/>
                    <w:rPr>
                      <w:rFonts w:hint="default" w:ascii="Times New Roman" w:hAnsi="Times New Roman" w:eastAsia="宋体" w:cs="Times New Roman"/>
                      <w:color w:val="auto"/>
                      <w:kern w:val="0"/>
                      <w:szCs w:val="21"/>
                      <w:u w:val="none" w:color="auto"/>
                      <w:lang w:val="en-US" w:eastAsia="zh-CN" w:bidi="ar"/>
                    </w:rPr>
                  </w:pPr>
                  <w:r>
                    <w:rPr>
                      <w:rFonts w:hint="default" w:ascii="Times New Roman" w:hAnsi="Times New Roman" w:eastAsia="宋体" w:cs="Times New Roman"/>
                      <w:color w:val="auto"/>
                      <w:kern w:val="0"/>
                      <w:szCs w:val="21"/>
                      <w:u w:val="none" w:color="auto"/>
                      <w:lang w:val="en-US" w:eastAsia="zh-CN" w:bidi="ar"/>
                    </w:rPr>
                    <w:t>中创空天厂区</w:t>
                  </w:r>
                </w:p>
              </w:tc>
              <w:tc>
                <w:tcPr>
                  <w:tcW w:w="777" w:type="pct"/>
                  <w:tcBorders>
                    <w:tl2br w:val="nil"/>
                    <w:tr2bl w:val="nil"/>
                  </w:tcBorders>
                  <w:noWrap w:val="0"/>
                  <w:vAlign w:val="center"/>
                </w:tcPr>
                <w:p w14:paraId="4A268004">
                  <w:pPr>
                    <w:jc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安置小区（停建）</w:t>
                  </w:r>
                </w:p>
              </w:tc>
              <w:tc>
                <w:tcPr>
                  <w:tcW w:w="957" w:type="pct"/>
                  <w:tcBorders>
                    <w:tl2br w:val="nil"/>
                    <w:tr2bl w:val="nil"/>
                  </w:tcBorders>
                  <w:noWrap w:val="0"/>
                  <w:vAlign w:val="center"/>
                </w:tcPr>
                <w:p w14:paraId="3C428A98">
                  <w:pPr>
                    <w:jc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113°12′7.40546″</w:t>
                  </w:r>
                </w:p>
              </w:tc>
              <w:tc>
                <w:tcPr>
                  <w:tcW w:w="1295" w:type="pct"/>
                  <w:tcBorders>
                    <w:tl2br w:val="nil"/>
                    <w:tr2bl w:val="nil"/>
                  </w:tcBorders>
                  <w:noWrap w:val="0"/>
                  <w:vAlign w:val="center"/>
                </w:tcPr>
                <w:p w14:paraId="33123EA7">
                  <w:pPr>
                    <w:jc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29°28′52.04250″</w:t>
                  </w:r>
                </w:p>
              </w:tc>
              <w:tc>
                <w:tcPr>
                  <w:tcW w:w="253" w:type="pct"/>
                  <w:vMerge w:val="restart"/>
                  <w:tcBorders>
                    <w:tl2br w:val="nil"/>
                    <w:tr2bl w:val="nil"/>
                  </w:tcBorders>
                  <w:noWrap w:val="0"/>
                  <w:vAlign w:val="center"/>
                </w:tcPr>
                <w:p w14:paraId="303E145A">
                  <w:pPr>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Cs w:val="21"/>
                      <w:highlight w:val="none"/>
                      <w:u w:val="none" w:color="auto"/>
                    </w:rPr>
                    <w:t>居民</w:t>
                  </w:r>
                </w:p>
              </w:tc>
              <w:tc>
                <w:tcPr>
                  <w:tcW w:w="387" w:type="pct"/>
                  <w:tcBorders>
                    <w:tl2br w:val="nil"/>
                    <w:tr2bl w:val="nil"/>
                  </w:tcBorders>
                  <w:noWrap w:val="0"/>
                  <w:vAlign w:val="center"/>
                </w:tcPr>
                <w:p w14:paraId="4AE390D1">
                  <w:pPr>
                    <w:jc w:val="center"/>
                    <w:rPr>
                      <w:rFonts w:hint="default" w:ascii="Times New Roman" w:hAnsi="Times New Roman" w:eastAsia="宋体" w:cs="Times New Roman"/>
                      <w:color w:val="auto"/>
                      <w:szCs w:val="21"/>
                      <w:highlight w:val="none"/>
                      <w:u w:val="none" w:color="auto"/>
                      <w:lang w:val="en-US" w:eastAsia="zh-CN"/>
                    </w:rPr>
                  </w:pPr>
                  <w:r>
                    <w:rPr>
                      <w:rFonts w:hint="default" w:ascii="Times New Roman" w:hAnsi="Times New Roman" w:eastAsia="宋体" w:cs="Times New Roman"/>
                      <w:color w:val="auto"/>
                      <w:szCs w:val="21"/>
                      <w:highlight w:val="none"/>
                      <w:u w:val="none" w:color="auto"/>
                      <w:lang w:val="en-US" w:eastAsia="zh-CN"/>
                    </w:rPr>
                    <w:t>/</w:t>
                  </w:r>
                </w:p>
              </w:tc>
              <w:tc>
                <w:tcPr>
                  <w:tcW w:w="253" w:type="pct"/>
                  <w:vMerge w:val="restart"/>
                  <w:tcBorders>
                    <w:tl2br w:val="nil"/>
                    <w:tr2bl w:val="nil"/>
                  </w:tcBorders>
                  <w:noWrap w:val="0"/>
                  <w:vAlign w:val="center"/>
                </w:tcPr>
                <w:p w14:paraId="791F1147">
                  <w:pPr>
                    <w:jc w:val="center"/>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rPr>
                    <w:t>二类区</w:t>
                  </w:r>
                </w:p>
              </w:tc>
              <w:tc>
                <w:tcPr>
                  <w:tcW w:w="253" w:type="pct"/>
                  <w:tcBorders>
                    <w:tl2br w:val="nil"/>
                    <w:tr2bl w:val="nil"/>
                  </w:tcBorders>
                  <w:noWrap w:val="0"/>
                  <w:vAlign w:val="center"/>
                </w:tcPr>
                <w:p w14:paraId="6084FB3C">
                  <w:pPr>
                    <w:jc w:val="center"/>
                    <w:rPr>
                      <w:rFonts w:hint="default" w:ascii="Times New Roman" w:hAnsi="Times New Roman" w:eastAsia="宋体" w:cs="Times New Roman"/>
                      <w:color w:val="auto"/>
                      <w:szCs w:val="21"/>
                      <w:highlight w:val="none"/>
                      <w:u w:val="none" w:color="auto"/>
                      <w:lang w:val="en-US" w:eastAsia="zh-CN"/>
                    </w:rPr>
                  </w:pPr>
                  <w:r>
                    <w:rPr>
                      <w:rFonts w:hint="default" w:ascii="Times New Roman" w:hAnsi="Times New Roman" w:eastAsia="宋体" w:cs="Times New Roman"/>
                      <w:color w:val="auto"/>
                      <w:szCs w:val="21"/>
                      <w:highlight w:val="none"/>
                      <w:u w:val="none" w:color="auto"/>
                      <w:lang w:val="en-US" w:eastAsia="zh-CN"/>
                    </w:rPr>
                    <w:t>南</w:t>
                  </w:r>
                </w:p>
              </w:tc>
              <w:tc>
                <w:tcPr>
                  <w:tcW w:w="568" w:type="pct"/>
                  <w:tcBorders>
                    <w:tl2br w:val="nil"/>
                    <w:tr2bl w:val="nil"/>
                  </w:tcBorders>
                  <w:noWrap w:val="0"/>
                  <w:vAlign w:val="center"/>
                </w:tcPr>
                <w:p w14:paraId="584985B0">
                  <w:pPr>
                    <w:jc w:val="center"/>
                    <w:rPr>
                      <w:rFonts w:hint="default" w:ascii="Times New Roman" w:hAnsi="Times New Roman" w:eastAsia="宋体" w:cs="Times New Roman"/>
                      <w:color w:val="auto"/>
                      <w:szCs w:val="21"/>
                      <w:highlight w:val="none"/>
                      <w:u w:val="none" w:color="auto"/>
                      <w:lang w:val="en-US" w:eastAsia="zh-CN"/>
                    </w:rPr>
                  </w:pPr>
                  <w:r>
                    <w:rPr>
                      <w:rFonts w:hint="default" w:ascii="Times New Roman" w:hAnsi="Times New Roman" w:eastAsia="宋体" w:cs="Times New Roman"/>
                      <w:i w:val="0"/>
                      <w:iCs w:val="0"/>
                      <w:color w:val="auto"/>
                      <w:kern w:val="0"/>
                      <w:sz w:val="21"/>
                      <w:szCs w:val="21"/>
                      <w:u w:val="none" w:color="auto"/>
                      <w:lang w:val="en-US" w:eastAsia="zh-CN" w:bidi="ar"/>
                    </w:rPr>
                    <w:t>57~223</w:t>
                  </w:r>
                </w:p>
              </w:tc>
            </w:tr>
            <w:tr w14:paraId="123634D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253" w:type="pct"/>
                  <w:vMerge w:val="continue"/>
                  <w:tcBorders>
                    <w:tl2br w:val="nil"/>
                    <w:tr2bl w:val="nil"/>
                  </w:tcBorders>
                  <w:noWrap w:val="0"/>
                  <w:vAlign w:val="center"/>
                </w:tcPr>
                <w:p w14:paraId="3FEF62E5">
                  <w:pPr>
                    <w:widowControl/>
                    <w:topLinePunct w:val="0"/>
                    <w:bidi w:val="0"/>
                    <w:adjustRightInd/>
                    <w:snapToGrid/>
                    <w:jc w:val="center"/>
                    <w:textAlignment w:val="center"/>
                    <w:rPr>
                      <w:rFonts w:hint="default" w:ascii="Times New Roman" w:hAnsi="Times New Roman" w:eastAsia="宋体" w:cs="Times New Roman"/>
                      <w:color w:val="auto"/>
                      <w:kern w:val="0"/>
                      <w:szCs w:val="21"/>
                      <w:highlight w:val="none"/>
                      <w:u w:val="none" w:color="auto"/>
                      <w:lang w:eastAsia="zh-CN" w:bidi="ar"/>
                    </w:rPr>
                  </w:pPr>
                </w:p>
              </w:tc>
              <w:tc>
                <w:tcPr>
                  <w:tcW w:w="777" w:type="pct"/>
                  <w:tcBorders>
                    <w:tl2br w:val="nil"/>
                    <w:tr2bl w:val="nil"/>
                  </w:tcBorders>
                  <w:noWrap w:val="0"/>
                  <w:vAlign w:val="center"/>
                </w:tcPr>
                <w:p w14:paraId="4FF012B1">
                  <w:pPr>
                    <w:jc w:val="center"/>
                    <w:rPr>
                      <w:rFonts w:hint="default" w:ascii="Times New Roman" w:hAnsi="Times New Roman" w:eastAsia="宋体" w:cs="Times New Roman"/>
                      <w:color w:val="auto"/>
                      <w:u w:val="none" w:color="auto"/>
                      <w:lang w:eastAsia="zh-CN"/>
                    </w:rPr>
                  </w:pPr>
                  <w:r>
                    <w:rPr>
                      <w:rFonts w:hint="default" w:ascii="Times New Roman" w:hAnsi="Times New Roman" w:eastAsia="宋体" w:cs="Times New Roman"/>
                      <w:color w:val="auto"/>
                      <w:u w:val="none" w:color="auto"/>
                      <w:lang w:val="en-US" w:eastAsia="zh-CN"/>
                    </w:rPr>
                    <w:t>松阳湖小区</w:t>
                  </w:r>
                </w:p>
              </w:tc>
              <w:tc>
                <w:tcPr>
                  <w:tcW w:w="957" w:type="pct"/>
                  <w:tcBorders>
                    <w:tl2br w:val="nil"/>
                    <w:tr2bl w:val="nil"/>
                  </w:tcBorders>
                  <w:noWrap w:val="0"/>
                  <w:vAlign w:val="center"/>
                </w:tcPr>
                <w:p w14:paraId="4789A795">
                  <w:pPr>
                    <w:jc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113°12′5.12665″</w:t>
                  </w:r>
                </w:p>
              </w:tc>
              <w:tc>
                <w:tcPr>
                  <w:tcW w:w="1295" w:type="pct"/>
                  <w:tcBorders>
                    <w:tl2br w:val="nil"/>
                    <w:tr2bl w:val="nil"/>
                  </w:tcBorders>
                  <w:noWrap w:val="0"/>
                  <w:vAlign w:val="center"/>
                </w:tcPr>
                <w:p w14:paraId="6AA28662">
                  <w:pPr>
                    <w:jc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29°29′4.71111″</w:t>
                  </w:r>
                </w:p>
              </w:tc>
              <w:tc>
                <w:tcPr>
                  <w:tcW w:w="253" w:type="pct"/>
                  <w:vMerge w:val="continue"/>
                  <w:tcBorders>
                    <w:tl2br w:val="nil"/>
                    <w:tr2bl w:val="nil"/>
                  </w:tcBorders>
                  <w:noWrap w:val="0"/>
                  <w:vAlign w:val="center"/>
                </w:tcPr>
                <w:p w14:paraId="5456AB9A">
                  <w:pPr>
                    <w:jc w:val="center"/>
                    <w:rPr>
                      <w:rFonts w:hint="default" w:ascii="Times New Roman" w:hAnsi="Times New Roman" w:eastAsia="宋体" w:cs="Times New Roman"/>
                      <w:color w:val="auto"/>
                      <w:kern w:val="2"/>
                      <w:sz w:val="21"/>
                      <w:szCs w:val="21"/>
                      <w:highlight w:val="none"/>
                      <w:u w:val="none" w:color="auto"/>
                      <w:lang w:val="en-US" w:eastAsia="zh-CN" w:bidi="ar-SA"/>
                    </w:rPr>
                  </w:pPr>
                </w:p>
              </w:tc>
              <w:tc>
                <w:tcPr>
                  <w:tcW w:w="387" w:type="pct"/>
                  <w:tcBorders>
                    <w:tl2br w:val="nil"/>
                    <w:tr2bl w:val="nil"/>
                  </w:tcBorders>
                  <w:noWrap w:val="0"/>
                  <w:vAlign w:val="center"/>
                </w:tcPr>
                <w:p w14:paraId="128275DC">
                  <w:pPr>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i w:val="0"/>
                      <w:iCs w:val="0"/>
                      <w:color w:val="auto"/>
                      <w:kern w:val="0"/>
                      <w:sz w:val="21"/>
                      <w:szCs w:val="21"/>
                      <w:u w:val="none" w:color="auto"/>
                      <w:lang w:val="en-US" w:eastAsia="zh-CN" w:bidi="ar"/>
                    </w:rPr>
                    <w:t>约</w:t>
                  </w:r>
                  <w:r>
                    <w:rPr>
                      <w:rFonts w:hint="default" w:ascii="Times New Roman" w:hAnsi="Times New Roman" w:eastAsia="宋体" w:cs="Times New Roman"/>
                      <w:i w:val="0"/>
                      <w:iCs w:val="0"/>
                      <w:color w:val="auto"/>
                      <w:kern w:val="0"/>
                      <w:sz w:val="22"/>
                      <w:szCs w:val="22"/>
                      <w:u w:val="none" w:color="auto"/>
                      <w:lang w:val="en-US" w:eastAsia="zh-CN" w:bidi="ar"/>
                    </w:rPr>
                    <w:t>2000</w:t>
                  </w:r>
                  <w:r>
                    <w:rPr>
                      <w:rFonts w:hint="default" w:ascii="Times New Roman" w:hAnsi="Times New Roman" w:eastAsia="宋体" w:cs="Times New Roman"/>
                      <w:color w:val="auto"/>
                      <w:kern w:val="0"/>
                      <w:sz w:val="21"/>
                      <w:szCs w:val="21"/>
                      <w:u w:val="none" w:color="auto"/>
                      <w:lang w:val="en-US" w:eastAsia="zh-CN" w:bidi="ar"/>
                    </w:rPr>
                    <w:t>人</w:t>
                  </w:r>
                </w:p>
              </w:tc>
              <w:tc>
                <w:tcPr>
                  <w:tcW w:w="253" w:type="pct"/>
                  <w:vMerge w:val="continue"/>
                  <w:tcBorders>
                    <w:tl2br w:val="nil"/>
                    <w:tr2bl w:val="nil"/>
                  </w:tcBorders>
                  <w:noWrap w:val="0"/>
                  <w:vAlign w:val="center"/>
                </w:tcPr>
                <w:p w14:paraId="46CEB9D3">
                  <w:pPr>
                    <w:jc w:val="center"/>
                    <w:rPr>
                      <w:rFonts w:hint="default" w:ascii="Times New Roman" w:hAnsi="Times New Roman" w:eastAsia="宋体" w:cs="Times New Roman"/>
                      <w:color w:val="auto"/>
                      <w:kern w:val="2"/>
                      <w:sz w:val="21"/>
                      <w:szCs w:val="21"/>
                      <w:highlight w:val="none"/>
                      <w:u w:val="none" w:color="auto"/>
                      <w:lang w:val="en-US" w:eastAsia="zh-CN" w:bidi="ar-SA"/>
                    </w:rPr>
                  </w:pPr>
                </w:p>
              </w:tc>
              <w:tc>
                <w:tcPr>
                  <w:tcW w:w="253" w:type="pct"/>
                  <w:tcBorders>
                    <w:tl2br w:val="nil"/>
                    <w:tr2bl w:val="nil"/>
                  </w:tcBorders>
                  <w:noWrap w:val="0"/>
                  <w:vAlign w:val="center"/>
                </w:tcPr>
                <w:p w14:paraId="02E34D7E">
                  <w:pPr>
                    <w:widowControl/>
                    <w:topLinePunct w:val="0"/>
                    <w:bidi w:val="0"/>
                    <w:adjustRightInd/>
                    <w:snapToGrid/>
                    <w:jc w:val="center"/>
                    <w:textAlignment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kern w:val="2"/>
                      <w:sz w:val="21"/>
                      <w:szCs w:val="21"/>
                      <w:u w:val="none" w:color="auto"/>
                      <w:lang w:val="en-US" w:eastAsia="zh-CN" w:bidi="ar-SA"/>
                    </w:rPr>
                    <w:t>西</w:t>
                  </w:r>
                </w:p>
              </w:tc>
              <w:tc>
                <w:tcPr>
                  <w:tcW w:w="568" w:type="pct"/>
                  <w:tcBorders>
                    <w:tl2br w:val="nil"/>
                    <w:tr2bl w:val="nil"/>
                  </w:tcBorders>
                  <w:noWrap w:val="0"/>
                  <w:vAlign w:val="center"/>
                </w:tcPr>
                <w:p w14:paraId="62D4E035">
                  <w:pPr>
                    <w:widowControl/>
                    <w:topLinePunct w:val="0"/>
                    <w:bidi w:val="0"/>
                    <w:adjustRightInd/>
                    <w:snapToGrid/>
                    <w:jc w:val="center"/>
                    <w:textAlignment w:val="center"/>
                    <w:rPr>
                      <w:rFonts w:hint="default" w:ascii="Times New Roman" w:hAnsi="Times New Roman" w:eastAsia="宋体" w:cs="Times New Roman"/>
                      <w:color w:val="auto"/>
                      <w:kern w:val="2"/>
                      <w:sz w:val="21"/>
                      <w:szCs w:val="21"/>
                      <w:highlight w:val="yellow"/>
                      <w:u w:val="none" w:color="auto"/>
                      <w:lang w:val="en-US" w:eastAsia="zh-CN" w:bidi="ar-SA"/>
                    </w:rPr>
                  </w:pPr>
                  <w:r>
                    <w:rPr>
                      <w:rFonts w:hint="default" w:ascii="Times New Roman" w:hAnsi="Times New Roman" w:eastAsia="宋体" w:cs="Times New Roman"/>
                      <w:i w:val="0"/>
                      <w:iCs w:val="0"/>
                      <w:color w:val="auto"/>
                      <w:kern w:val="0"/>
                      <w:sz w:val="21"/>
                      <w:szCs w:val="21"/>
                      <w:u w:val="none" w:color="auto"/>
                      <w:lang w:val="en-US" w:eastAsia="zh-CN" w:bidi="ar"/>
                    </w:rPr>
                    <w:t>79~135</w:t>
                  </w:r>
                </w:p>
              </w:tc>
            </w:tr>
            <w:tr w14:paraId="77AED82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253" w:type="pct"/>
                  <w:vMerge w:val="continue"/>
                  <w:tcBorders>
                    <w:tl2br w:val="nil"/>
                    <w:tr2bl w:val="nil"/>
                  </w:tcBorders>
                  <w:noWrap w:val="0"/>
                  <w:vAlign w:val="center"/>
                </w:tcPr>
                <w:p w14:paraId="518AE374">
                  <w:pPr>
                    <w:widowControl/>
                    <w:topLinePunct w:val="0"/>
                    <w:bidi w:val="0"/>
                    <w:adjustRightInd/>
                    <w:snapToGrid/>
                    <w:jc w:val="center"/>
                    <w:textAlignment w:val="center"/>
                    <w:rPr>
                      <w:rFonts w:hint="default" w:ascii="Times New Roman" w:hAnsi="Times New Roman" w:eastAsia="宋体" w:cs="Times New Roman"/>
                      <w:color w:val="auto"/>
                      <w:kern w:val="0"/>
                      <w:szCs w:val="21"/>
                      <w:highlight w:val="none"/>
                      <w:u w:val="none" w:color="auto"/>
                      <w:lang w:eastAsia="zh-CN" w:bidi="ar"/>
                    </w:rPr>
                  </w:pPr>
                </w:p>
              </w:tc>
              <w:tc>
                <w:tcPr>
                  <w:tcW w:w="777" w:type="pct"/>
                  <w:tcBorders>
                    <w:tl2br w:val="nil"/>
                    <w:tr2bl w:val="nil"/>
                  </w:tcBorders>
                  <w:noWrap w:val="0"/>
                  <w:vAlign w:val="center"/>
                </w:tcPr>
                <w:p w14:paraId="1E40C63F">
                  <w:pPr>
                    <w:jc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今创新港首府</w:t>
                  </w:r>
                </w:p>
              </w:tc>
              <w:tc>
                <w:tcPr>
                  <w:tcW w:w="957" w:type="pct"/>
                  <w:tcBorders>
                    <w:tl2br w:val="nil"/>
                    <w:tr2bl w:val="nil"/>
                  </w:tcBorders>
                  <w:noWrap w:val="0"/>
                  <w:vAlign w:val="center"/>
                </w:tcPr>
                <w:p w14:paraId="39B9781C">
                  <w:pPr>
                    <w:jc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113°11′58.17437″</w:t>
                  </w:r>
                </w:p>
              </w:tc>
              <w:tc>
                <w:tcPr>
                  <w:tcW w:w="1295" w:type="pct"/>
                  <w:tcBorders>
                    <w:tl2br w:val="nil"/>
                    <w:tr2bl w:val="nil"/>
                  </w:tcBorders>
                  <w:noWrap w:val="0"/>
                  <w:vAlign w:val="center"/>
                </w:tcPr>
                <w:p w14:paraId="24FB28EA">
                  <w:pPr>
                    <w:jc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29°28′57.72020″</w:t>
                  </w:r>
                </w:p>
              </w:tc>
              <w:tc>
                <w:tcPr>
                  <w:tcW w:w="253" w:type="pct"/>
                  <w:vMerge w:val="continue"/>
                  <w:tcBorders>
                    <w:tl2br w:val="nil"/>
                    <w:tr2bl w:val="nil"/>
                  </w:tcBorders>
                  <w:noWrap w:val="0"/>
                  <w:vAlign w:val="center"/>
                </w:tcPr>
                <w:p w14:paraId="58AE9BAA">
                  <w:pPr>
                    <w:jc w:val="center"/>
                    <w:rPr>
                      <w:rFonts w:hint="default" w:ascii="Times New Roman" w:hAnsi="Times New Roman" w:eastAsia="宋体" w:cs="Times New Roman"/>
                      <w:color w:val="auto"/>
                      <w:kern w:val="2"/>
                      <w:sz w:val="21"/>
                      <w:szCs w:val="21"/>
                      <w:highlight w:val="none"/>
                      <w:u w:val="none" w:color="auto"/>
                      <w:lang w:val="en-US" w:eastAsia="zh-CN" w:bidi="ar-SA"/>
                    </w:rPr>
                  </w:pPr>
                </w:p>
              </w:tc>
              <w:tc>
                <w:tcPr>
                  <w:tcW w:w="387" w:type="pct"/>
                  <w:tcBorders>
                    <w:tl2br w:val="nil"/>
                    <w:tr2bl w:val="nil"/>
                  </w:tcBorders>
                  <w:noWrap w:val="0"/>
                  <w:vAlign w:val="center"/>
                </w:tcPr>
                <w:p w14:paraId="19A43885">
                  <w:pPr>
                    <w:widowControl/>
                    <w:topLinePunct w:val="0"/>
                    <w:bidi w:val="0"/>
                    <w:adjustRightInd/>
                    <w:snapToGrid/>
                    <w:jc w:val="center"/>
                    <w:textAlignment w:val="center"/>
                    <w:rPr>
                      <w:rFonts w:hint="default" w:ascii="Times New Roman" w:hAnsi="Times New Roman" w:eastAsia="宋体" w:cs="Times New Roman"/>
                      <w:color w:val="auto"/>
                      <w:kern w:val="0"/>
                      <w:sz w:val="21"/>
                      <w:szCs w:val="21"/>
                      <w:u w:val="none" w:color="auto"/>
                      <w:lang w:val="en-US" w:eastAsia="zh-CN" w:bidi="ar"/>
                    </w:rPr>
                  </w:pPr>
                  <w:r>
                    <w:rPr>
                      <w:rFonts w:hint="default" w:ascii="Times New Roman" w:hAnsi="Times New Roman" w:eastAsia="宋体" w:cs="Times New Roman"/>
                      <w:color w:val="auto"/>
                      <w:kern w:val="0"/>
                      <w:sz w:val="21"/>
                      <w:szCs w:val="21"/>
                      <w:u w:val="none" w:color="auto"/>
                      <w:lang w:val="en-US" w:eastAsia="zh-CN" w:bidi="ar"/>
                    </w:rPr>
                    <w:t>约2500人</w:t>
                  </w:r>
                </w:p>
              </w:tc>
              <w:tc>
                <w:tcPr>
                  <w:tcW w:w="253" w:type="pct"/>
                  <w:vMerge w:val="continue"/>
                  <w:tcBorders>
                    <w:tl2br w:val="nil"/>
                    <w:tr2bl w:val="nil"/>
                  </w:tcBorders>
                  <w:noWrap w:val="0"/>
                  <w:vAlign w:val="center"/>
                </w:tcPr>
                <w:p w14:paraId="2446B06F">
                  <w:pPr>
                    <w:jc w:val="center"/>
                    <w:rPr>
                      <w:rFonts w:hint="default" w:ascii="Times New Roman" w:hAnsi="Times New Roman" w:eastAsia="宋体" w:cs="Times New Roman"/>
                      <w:color w:val="auto"/>
                      <w:szCs w:val="21"/>
                      <w:highlight w:val="none"/>
                      <w:u w:val="none" w:color="auto"/>
                    </w:rPr>
                  </w:pPr>
                </w:p>
              </w:tc>
              <w:tc>
                <w:tcPr>
                  <w:tcW w:w="253" w:type="pct"/>
                  <w:tcBorders>
                    <w:tl2br w:val="nil"/>
                    <w:tr2bl w:val="nil"/>
                  </w:tcBorders>
                  <w:noWrap w:val="0"/>
                  <w:vAlign w:val="center"/>
                </w:tcPr>
                <w:p w14:paraId="4610A412">
                  <w:pPr>
                    <w:widowControl/>
                    <w:topLinePunct w:val="0"/>
                    <w:bidi w:val="0"/>
                    <w:adjustRightInd/>
                    <w:snapToGrid/>
                    <w:jc w:val="center"/>
                    <w:textAlignment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kern w:val="2"/>
                      <w:sz w:val="21"/>
                      <w:szCs w:val="21"/>
                      <w:u w:val="none" w:color="auto"/>
                      <w:lang w:val="en-US" w:eastAsia="zh-CN" w:bidi="ar-SA"/>
                    </w:rPr>
                    <w:t>西</w:t>
                  </w:r>
                </w:p>
              </w:tc>
              <w:tc>
                <w:tcPr>
                  <w:tcW w:w="568" w:type="pct"/>
                  <w:tcBorders>
                    <w:tl2br w:val="nil"/>
                    <w:tr2bl w:val="nil"/>
                  </w:tcBorders>
                  <w:noWrap w:val="0"/>
                  <w:vAlign w:val="center"/>
                </w:tcPr>
                <w:p w14:paraId="2D9415BA">
                  <w:pPr>
                    <w:widowControl/>
                    <w:topLinePunct w:val="0"/>
                    <w:bidi w:val="0"/>
                    <w:adjustRightInd/>
                    <w:snapToGrid/>
                    <w:jc w:val="center"/>
                    <w:textAlignment w:val="center"/>
                    <w:rPr>
                      <w:rFonts w:hint="default" w:ascii="Times New Roman" w:hAnsi="Times New Roman" w:eastAsia="宋体" w:cs="Times New Roman"/>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121~458</w:t>
                  </w:r>
                </w:p>
              </w:tc>
            </w:tr>
            <w:tr w14:paraId="5C92A1D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253" w:type="pct"/>
                  <w:vMerge w:val="continue"/>
                  <w:tcBorders>
                    <w:tl2br w:val="nil"/>
                    <w:tr2bl w:val="nil"/>
                  </w:tcBorders>
                  <w:noWrap w:val="0"/>
                  <w:vAlign w:val="center"/>
                </w:tcPr>
                <w:p w14:paraId="68ECE41B">
                  <w:pPr>
                    <w:widowControl/>
                    <w:topLinePunct w:val="0"/>
                    <w:bidi w:val="0"/>
                    <w:adjustRightInd/>
                    <w:snapToGrid/>
                    <w:jc w:val="center"/>
                    <w:textAlignment w:val="center"/>
                    <w:rPr>
                      <w:rFonts w:hint="default" w:ascii="Times New Roman" w:hAnsi="Times New Roman" w:eastAsia="宋体" w:cs="Times New Roman"/>
                      <w:color w:val="auto"/>
                      <w:kern w:val="0"/>
                      <w:szCs w:val="21"/>
                      <w:u w:val="none" w:color="auto"/>
                      <w:lang w:bidi="ar"/>
                    </w:rPr>
                  </w:pPr>
                </w:p>
              </w:tc>
              <w:tc>
                <w:tcPr>
                  <w:tcW w:w="777" w:type="pct"/>
                  <w:tcBorders>
                    <w:tl2br w:val="nil"/>
                    <w:tr2bl w:val="nil"/>
                  </w:tcBorders>
                  <w:noWrap w:val="0"/>
                  <w:vAlign w:val="center"/>
                </w:tcPr>
                <w:p w14:paraId="1EE25A95">
                  <w:pPr>
                    <w:jc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长形咀居民点-1</w:t>
                  </w:r>
                </w:p>
              </w:tc>
              <w:tc>
                <w:tcPr>
                  <w:tcW w:w="957" w:type="pct"/>
                  <w:tcBorders>
                    <w:tl2br w:val="nil"/>
                    <w:tr2bl w:val="nil"/>
                  </w:tcBorders>
                  <w:noWrap w:val="0"/>
                  <w:vAlign w:val="center"/>
                </w:tcPr>
                <w:p w14:paraId="7C3361B7">
                  <w:pPr>
                    <w:jc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113°12′34.71249″</w:t>
                  </w:r>
                </w:p>
              </w:tc>
              <w:tc>
                <w:tcPr>
                  <w:tcW w:w="1295" w:type="pct"/>
                  <w:tcBorders>
                    <w:tl2br w:val="nil"/>
                    <w:tr2bl w:val="nil"/>
                  </w:tcBorders>
                  <w:noWrap w:val="0"/>
                  <w:vAlign w:val="center"/>
                </w:tcPr>
                <w:p w14:paraId="4300CE2F">
                  <w:pPr>
                    <w:jc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29°28′48.45049″</w:t>
                  </w:r>
                </w:p>
              </w:tc>
              <w:tc>
                <w:tcPr>
                  <w:tcW w:w="253" w:type="pct"/>
                  <w:vMerge w:val="continue"/>
                  <w:tcBorders>
                    <w:tl2br w:val="nil"/>
                    <w:tr2bl w:val="nil"/>
                  </w:tcBorders>
                  <w:noWrap w:val="0"/>
                  <w:vAlign w:val="center"/>
                </w:tcPr>
                <w:p w14:paraId="360F2BB2">
                  <w:pPr>
                    <w:jc w:val="center"/>
                    <w:rPr>
                      <w:rFonts w:hint="default" w:ascii="Times New Roman" w:hAnsi="Times New Roman" w:eastAsia="宋体" w:cs="Times New Roman"/>
                      <w:color w:val="auto"/>
                      <w:szCs w:val="21"/>
                      <w:highlight w:val="none"/>
                      <w:u w:val="none" w:color="auto"/>
                    </w:rPr>
                  </w:pPr>
                </w:p>
              </w:tc>
              <w:tc>
                <w:tcPr>
                  <w:tcW w:w="387" w:type="pct"/>
                  <w:tcBorders>
                    <w:tl2br w:val="nil"/>
                    <w:tr2bl w:val="nil"/>
                  </w:tcBorders>
                  <w:noWrap w:val="0"/>
                  <w:vAlign w:val="center"/>
                </w:tcPr>
                <w:p w14:paraId="00532C07">
                  <w:pPr>
                    <w:widowControl/>
                    <w:topLinePunct w:val="0"/>
                    <w:bidi w:val="0"/>
                    <w:adjustRightInd/>
                    <w:snapToGrid/>
                    <w:jc w:val="center"/>
                    <w:textAlignment w:val="center"/>
                    <w:rPr>
                      <w:rFonts w:hint="default" w:ascii="Times New Roman" w:hAnsi="Times New Roman" w:eastAsia="宋体" w:cs="Times New Roman"/>
                      <w:color w:val="auto"/>
                      <w:kern w:val="0"/>
                      <w:sz w:val="21"/>
                      <w:szCs w:val="21"/>
                      <w:u w:val="none" w:color="auto"/>
                      <w:lang w:val="en-US" w:eastAsia="zh-CN" w:bidi="ar"/>
                    </w:rPr>
                  </w:pPr>
                  <w:r>
                    <w:rPr>
                      <w:rFonts w:hint="default" w:ascii="Times New Roman" w:hAnsi="Times New Roman" w:eastAsia="宋体" w:cs="Times New Roman"/>
                      <w:color w:val="auto"/>
                      <w:kern w:val="0"/>
                      <w:sz w:val="21"/>
                      <w:szCs w:val="21"/>
                      <w:u w:val="none" w:color="auto"/>
                      <w:lang w:val="en-US" w:eastAsia="zh-CN" w:bidi="ar"/>
                    </w:rPr>
                    <w:t>10人</w:t>
                  </w:r>
                </w:p>
              </w:tc>
              <w:tc>
                <w:tcPr>
                  <w:tcW w:w="253" w:type="pct"/>
                  <w:vMerge w:val="continue"/>
                  <w:tcBorders>
                    <w:tl2br w:val="nil"/>
                    <w:tr2bl w:val="nil"/>
                  </w:tcBorders>
                  <w:noWrap w:val="0"/>
                  <w:vAlign w:val="center"/>
                </w:tcPr>
                <w:p w14:paraId="454951B3">
                  <w:pPr>
                    <w:jc w:val="center"/>
                    <w:rPr>
                      <w:rFonts w:hint="default" w:ascii="Times New Roman" w:hAnsi="Times New Roman" w:eastAsia="宋体" w:cs="Times New Roman"/>
                      <w:color w:val="auto"/>
                      <w:szCs w:val="21"/>
                      <w:highlight w:val="none"/>
                      <w:u w:val="none" w:color="auto"/>
                    </w:rPr>
                  </w:pPr>
                </w:p>
              </w:tc>
              <w:tc>
                <w:tcPr>
                  <w:tcW w:w="253" w:type="pct"/>
                  <w:tcBorders>
                    <w:tl2br w:val="nil"/>
                    <w:tr2bl w:val="nil"/>
                  </w:tcBorders>
                  <w:noWrap w:val="0"/>
                  <w:vAlign w:val="center"/>
                </w:tcPr>
                <w:p w14:paraId="14E5D4DB">
                  <w:pPr>
                    <w:widowControl/>
                    <w:topLinePunct w:val="0"/>
                    <w:bidi w:val="0"/>
                    <w:adjustRightInd/>
                    <w:snapToGrid/>
                    <w:jc w:val="center"/>
                    <w:textAlignment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kern w:val="2"/>
                      <w:sz w:val="21"/>
                      <w:szCs w:val="21"/>
                      <w:u w:val="none" w:color="auto"/>
                      <w:lang w:val="en-US" w:eastAsia="zh-CN" w:bidi="ar-SA"/>
                    </w:rPr>
                    <w:t>东</w:t>
                  </w:r>
                </w:p>
              </w:tc>
              <w:tc>
                <w:tcPr>
                  <w:tcW w:w="568" w:type="pct"/>
                  <w:tcBorders>
                    <w:tl2br w:val="nil"/>
                    <w:tr2bl w:val="nil"/>
                  </w:tcBorders>
                  <w:noWrap w:val="0"/>
                  <w:vAlign w:val="center"/>
                </w:tcPr>
                <w:p w14:paraId="07B2F089">
                  <w:pPr>
                    <w:widowControl/>
                    <w:topLinePunct w:val="0"/>
                    <w:bidi w:val="0"/>
                    <w:adjustRightInd/>
                    <w:snapToGrid/>
                    <w:jc w:val="center"/>
                    <w:textAlignment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kern w:val="2"/>
                      <w:sz w:val="21"/>
                      <w:szCs w:val="21"/>
                      <w:u w:val="none" w:color="auto"/>
                      <w:lang w:val="en-US" w:eastAsia="zh-CN" w:bidi="ar-SA"/>
                    </w:rPr>
                    <w:t>360~413</w:t>
                  </w:r>
                </w:p>
              </w:tc>
            </w:tr>
            <w:tr w14:paraId="2590C75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253" w:type="pct"/>
                  <w:vMerge w:val="continue"/>
                  <w:tcBorders>
                    <w:tl2br w:val="nil"/>
                    <w:tr2bl w:val="nil"/>
                  </w:tcBorders>
                  <w:noWrap w:val="0"/>
                  <w:vAlign w:val="center"/>
                </w:tcPr>
                <w:p w14:paraId="754B7FD9">
                  <w:pPr>
                    <w:widowControl/>
                    <w:topLinePunct w:val="0"/>
                    <w:bidi w:val="0"/>
                    <w:adjustRightInd/>
                    <w:snapToGrid/>
                    <w:jc w:val="center"/>
                    <w:textAlignment w:val="center"/>
                    <w:rPr>
                      <w:rFonts w:hint="default" w:ascii="Times New Roman" w:hAnsi="Times New Roman" w:eastAsia="宋体" w:cs="Times New Roman"/>
                      <w:color w:val="auto"/>
                      <w:kern w:val="0"/>
                      <w:szCs w:val="21"/>
                      <w:u w:val="none" w:color="auto"/>
                      <w:lang w:bidi="ar"/>
                    </w:rPr>
                  </w:pPr>
                </w:p>
              </w:tc>
              <w:tc>
                <w:tcPr>
                  <w:tcW w:w="777" w:type="pct"/>
                  <w:tcBorders>
                    <w:tl2br w:val="nil"/>
                    <w:tr2bl w:val="nil"/>
                  </w:tcBorders>
                  <w:noWrap w:val="0"/>
                  <w:vAlign w:val="center"/>
                </w:tcPr>
                <w:p w14:paraId="06A875DE">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val="en-US" w:eastAsia="zh-CN"/>
                    </w:rPr>
                    <w:t>长形咀居民点-2</w:t>
                  </w:r>
                </w:p>
              </w:tc>
              <w:tc>
                <w:tcPr>
                  <w:tcW w:w="957" w:type="pct"/>
                  <w:tcBorders>
                    <w:tl2br w:val="nil"/>
                    <w:tr2bl w:val="nil"/>
                  </w:tcBorders>
                  <w:noWrap w:val="0"/>
                  <w:vAlign w:val="center"/>
                </w:tcPr>
                <w:p w14:paraId="74E9904B">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val="en-US" w:eastAsia="zh-CN"/>
                    </w:rPr>
                    <w:t>113°12′33.97864″</w:t>
                  </w:r>
                </w:p>
              </w:tc>
              <w:tc>
                <w:tcPr>
                  <w:tcW w:w="1295" w:type="pct"/>
                  <w:tcBorders>
                    <w:tl2br w:val="nil"/>
                    <w:tr2bl w:val="nil"/>
                  </w:tcBorders>
                  <w:noWrap w:val="0"/>
                  <w:vAlign w:val="center"/>
                </w:tcPr>
                <w:p w14:paraId="00DA85AB">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val="en-US" w:eastAsia="zh-CN"/>
                    </w:rPr>
                    <w:t>29°28′40.22362″</w:t>
                  </w:r>
                </w:p>
              </w:tc>
              <w:tc>
                <w:tcPr>
                  <w:tcW w:w="253" w:type="pct"/>
                  <w:vMerge w:val="continue"/>
                  <w:tcBorders>
                    <w:tl2br w:val="nil"/>
                    <w:tr2bl w:val="nil"/>
                  </w:tcBorders>
                  <w:noWrap w:val="0"/>
                  <w:vAlign w:val="center"/>
                </w:tcPr>
                <w:p w14:paraId="32A8D15B">
                  <w:pPr>
                    <w:jc w:val="center"/>
                    <w:rPr>
                      <w:rFonts w:hint="default" w:ascii="Times New Roman" w:hAnsi="Times New Roman" w:eastAsia="宋体" w:cs="Times New Roman"/>
                      <w:color w:val="auto"/>
                      <w:szCs w:val="21"/>
                      <w:highlight w:val="none"/>
                      <w:u w:val="none" w:color="auto"/>
                    </w:rPr>
                  </w:pPr>
                </w:p>
              </w:tc>
              <w:tc>
                <w:tcPr>
                  <w:tcW w:w="387" w:type="pct"/>
                  <w:tcBorders>
                    <w:tl2br w:val="nil"/>
                    <w:tr2bl w:val="nil"/>
                  </w:tcBorders>
                  <w:noWrap w:val="0"/>
                  <w:vAlign w:val="center"/>
                </w:tcPr>
                <w:p w14:paraId="3E3799E4">
                  <w:pPr>
                    <w:widowControl/>
                    <w:topLinePunct w:val="0"/>
                    <w:bidi w:val="0"/>
                    <w:adjustRightInd/>
                    <w:snapToGrid/>
                    <w:jc w:val="center"/>
                    <w:textAlignment w:val="center"/>
                    <w:rPr>
                      <w:rFonts w:hint="default" w:ascii="Times New Roman" w:hAnsi="Times New Roman" w:eastAsia="宋体" w:cs="Times New Roman"/>
                      <w:color w:val="auto"/>
                      <w:kern w:val="0"/>
                      <w:szCs w:val="21"/>
                      <w:u w:val="none" w:color="auto"/>
                      <w:lang w:val="en-US" w:eastAsia="zh-CN" w:bidi="ar"/>
                    </w:rPr>
                  </w:pPr>
                  <w:r>
                    <w:rPr>
                      <w:rFonts w:hint="default" w:ascii="Times New Roman" w:hAnsi="Times New Roman" w:eastAsia="宋体" w:cs="Times New Roman"/>
                      <w:color w:val="auto"/>
                      <w:kern w:val="0"/>
                      <w:szCs w:val="21"/>
                      <w:u w:val="none" w:color="auto"/>
                      <w:lang w:val="en-US" w:eastAsia="zh-CN" w:bidi="ar"/>
                    </w:rPr>
                    <w:t>9人</w:t>
                  </w:r>
                </w:p>
              </w:tc>
              <w:tc>
                <w:tcPr>
                  <w:tcW w:w="253" w:type="pct"/>
                  <w:vMerge w:val="continue"/>
                  <w:tcBorders>
                    <w:tl2br w:val="nil"/>
                    <w:tr2bl w:val="nil"/>
                  </w:tcBorders>
                  <w:noWrap w:val="0"/>
                  <w:vAlign w:val="center"/>
                </w:tcPr>
                <w:p w14:paraId="41EEF32F">
                  <w:pPr>
                    <w:jc w:val="center"/>
                    <w:rPr>
                      <w:rFonts w:hint="default" w:ascii="Times New Roman" w:hAnsi="Times New Roman" w:eastAsia="宋体" w:cs="Times New Roman"/>
                      <w:color w:val="auto"/>
                      <w:szCs w:val="21"/>
                      <w:highlight w:val="none"/>
                      <w:u w:val="none" w:color="auto"/>
                    </w:rPr>
                  </w:pPr>
                </w:p>
              </w:tc>
              <w:tc>
                <w:tcPr>
                  <w:tcW w:w="253" w:type="pct"/>
                  <w:tcBorders>
                    <w:tl2br w:val="nil"/>
                    <w:tr2bl w:val="nil"/>
                  </w:tcBorders>
                  <w:noWrap w:val="0"/>
                  <w:vAlign w:val="center"/>
                </w:tcPr>
                <w:p w14:paraId="705540B1">
                  <w:pPr>
                    <w:widowControl/>
                    <w:topLinePunct w:val="0"/>
                    <w:bidi w:val="0"/>
                    <w:adjustRightInd/>
                    <w:snapToGrid/>
                    <w:jc w:val="center"/>
                    <w:textAlignment w:val="center"/>
                    <w:rPr>
                      <w:rFonts w:hint="default" w:ascii="Times New Roman" w:hAnsi="Times New Roman" w:eastAsia="宋体" w:cs="Times New Roman"/>
                      <w:color w:val="auto"/>
                      <w:szCs w:val="21"/>
                      <w:u w:val="none" w:color="auto"/>
                      <w:lang w:val="en-US" w:eastAsia="zh-CN"/>
                    </w:rPr>
                  </w:pPr>
                  <w:r>
                    <w:rPr>
                      <w:rFonts w:hint="default" w:ascii="Times New Roman" w:hAnsi="Times New Roman" w:eastAsia="宋体" w:cs="Times New Roman"/>
                      <w:color w:val="auto"/>
                      <w:szCs w:val="21"/>
                      <w:u w:val="none" w:color="auto"/>
                      <w:lang w:val="en-US" w:eastAsia="zh-CN"/>
                    </w:rPr>
                    <w:t>东南</w:t>
                  </w:r>
                </w:p>
              </w:tc>
              <w:tc>
                <w:tcPr>
                  <w:tcW w:w="568" w:type="pct"/>
                  <w:tcBorders>
                    <w:tl2br w:val="nil"/>
                    <w:tr2bl w:val="nil"/>
                  </w:tcBorders>
                  <w:noWrap w:val="0"/>
                  <w:vAlign w:val="center"/>
                </w:tcPr>
                <w:p w14:paraId="7325285F">
                  <w:pPr>
                    <w:widowControl/>
                    <w:topLinePunct w:val="0"/>
                    <w:bidi w:val="0"/>
                    <w:adjustRightInd/>
                    <w:snapToGrid/>
                    <w:jc w:val="center"/>
                    <w:textAlignment w:val="center"/>
                    <w:rPr>
                      <w:rFonts w:hint="default" w:ascii="Times New Roman" w:hAnsi="Times New Roman" w:eastAsia="宋体" w:cs="Times New Roman"/>
                      <w:color w:val="auto"/>
                      <w:szCs w:val="21"/>
                      <w:u w:val="none" w:color="auto"/>
                      <w:lang w:val="en-US" w:eastAsia="zh-CN"/>
                    </w:rPr>
                  </w:pPr>
                  <w:r>
                    <w:rPr>
                      <w:rFonts w:hint="default" w:ascii="Times New Roman" w:hAnsi="Times New Roman" w:eastAsia="宋体" w:cs="Times New Roman"/>
                      <w:color w:val="auto"/>
                      <w:szCs w:val="21"/>
                      <w:u w:val="none" w:color="auto"/>
                      <w:lang w:val="en-US" w:eastAsia="zh-CN"/>
                    </w:rPr>
                    <w:t>456~500</w:t>
                  </w:r>
                </w:p>
              </w:tc>
            </w:tr>
            <w:tr w14:paraId="6FE6C4A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253" w:type="pct"/>
                  <w:vMerge w:val="continue"/>
                  <w:tcBorders>
                    <w:tl2br w:val="nil"/>
                    <w:tr2bl w:val="nil"/>
                  </w:tcBorders>
                  <w:noWrap w:val="0"/>
                  <w:vAlign w:val="center"/>
                </w:tcPr>
                <w:p w14:paraId="533525BA">
                  <w:pPr>
                    <w:widowControl/>
                    <w:topLinePunct w:val="0"/>
                    <w:bidi w:val="0"/>
                    <w:adjustRightInd/>
                    <w:snapToGrid/>
                    <w:jc w:val="center"/>
                    <w:textAlignment w:val="center"/>
                    <w:rPr>
                      <w:rFonts w:hint="default" w:ascii="Times New Roman" w:hAnsi="Times New Roman" w:eastAsia="宋体" w:cs="Times New Roman"/>
                      <w:color w:val="auto"/>
                      <w:kern w:val="0"/>
                      <w:szCs w:val="21"/>
                      <w:u w:val="none" w:color="auto"/>
                      <w:lang w:bidi="ar"/>
                    </w:rPr>
                  </w:pPr>
                </w:p>
              </w:tc>
              <w:tc>
                <w:tcPr>
                  <w:tcW w:w="777" w:type="pct"/>
                  <w:tcBorders>
                    <w:tl2br w:val="nil"/>
                    <w:tr2bl w:val="nil"/>
                  </w:tcBorders>
                  <w:noWrap w:val="0"/>
                  <w:vAlign w:val="center"/>
                </w:tcPr>
                <w:p w14:paraId="22A69600">
                  <w:pPr>
                    <w:jc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三五一七公租房（未投入使用）</w:t>
                  </w:r>
                </w:p>
              </w:tc>
              <w:tc>
                <w:tcPr>
                  <w:tcW w:w="957" w:type="pct"/>
                  <w:tcBorders>
                    <w:tl2br w:val="nil"/>
                    <w:tr2bl w:val="nil"/>
                  </w:tcBorders>
                  <w:noWrap w:val="0"/>
                  <w:vAlign w:val="center"/>
                </w:tcPr>
                <w:p w14:paraId="2D899927">
                  <w:pPr>
                    <w:jc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113°12′49.04193″</w:t>
                  </w:r>
                </w:p>
              </w:tc>
              <w:tc>
                <w:tcPr>
                  <w:tcW w:w="1295" w:type="pct"/>
                  <w:tcBorders>
                    <w:tl2br w:val="nil"/>
                    <w:tr2bl w:val="nil"/>
                  </w:tcBorders>
                  <w:noWrap w:val="0"/>
                  <w:vAlign w:val="center"/>
                </w:tcPr>
                <w:p w14:paraId="5BFE72A0">
                  <w:pPr>
                    <w:jc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29°29′12.35863″</w:t>
                  </w:r>
                </w:p>
              </w:tc>
              <w:tc>
                <w:tcPr>
                  <w:tcW w:w="253" w:type="pct"/>
                  <w:vMerge w:val="continue"/>
                  <w:tcBorders>
                    <w:tl2br w:val="nil"/>
                    <w:tr2bl w:val="nil"/>
                  </w:tcBorders>
                  <w:noWrap w:val="0"/>
                  <w:vAlign w:val="center"/>
                </w:tcPr>
                <w:p w14:paraId="5485892A">
                  <w:pPr>
                    <w:jc w:val="center"/>
                    <w:rPr>
                      <w:rFonts w:hint="default" w:ascii="Times New Roman" w:hAnsi="Times New Roman" w:eastAsia="宋体" w:cs="Times New Roman"/>
                      <w:color w:val="auto"/>
                      <w:szCs w:val="21"/>
                      <w:highlight w:val="none"/>
                      <w:u w:val="none" w:color="auto"/>
                    </w:rPr>
                  </w:pPr>
                </w:p>
              </w:tc>
              <w:tc>
                <w:tcPr>
                  <w:tcW w:w="387" w:type="pct"/>
                  <w:tcBorders>
                    <w:tl2br w:val="nil"/>
                    <w:tr2bl w:val="nil"/>
                  </w:tcBorders>
                  <w:noWrap w:val="0"/>
                  <w:vAlign w:val="center"/>
                </w:tcPr>
                <w:p w14:paraId="3126601E">
                  <w:pPr>
                    <w:widowControl/>
                    <w:topLinePunct w:val="0"/>
                    <w:bidi w:val="0"/>
                    <w:adjustRightInd/>
                    <w:snapToGrid/>
                    <w:jc w:val="center"/>
                    <w:textAlignment w:val="center"/>
                    <w:rPr>
                      <w:rFonts w:hint="default" w:ascii="Times New Roman" w:hAnsi="Times New Roman" w:eastAsia="宋体" w:cs="Times New Roman"/>
                      <w:color w:val="auto"/>
                      <w:kern w:val="0"/>
                      <w:szCs w:val="21"/>
                      <w:u w:val="none" w:color="auto"/>
                      <w:lang w:bidi="ar"/>
                    </w:rPr>
                  </w:pPr>
                  <w:r>
                    <w:rPr>
                      <w:rFonts w:hint="default" w:ascii="Times New Roman" w:hAnsi="Times New Roman" w:eastAsia="宋体" w:cs="Times New Roman"/>
                      <w:color w:val="auto"/>
                      <w:szCs w:val="21"/>
                      <w:highlight w:val="none"/>
                      <w:u w:val="none" w:color="auto"/>
                      <w:lang w:val="en-US" w:eastAsia="zh-CN"/>
                    </w:rPr>
                    <w:t>/</w:t>
                  </w:r>
                </w:p>
              </w:tc>
              <w:tc>
                <w:tcPr>
                  <w:tcW w:w="253" w:type="pct"/>
                  <w:vMerge w:val="continue"/>
                  <w:tcBorders>
                    <w:tl2br w:val="nil"/>
                    <w:tr2bl w:val="nil"/>
                  </w:tcBorders>
                  <w:noWrap w:val="0"/>
                  <w:vAlign w:val="center"/>
                </w:tcPr>
                <w:p w14:paraId="06A6BADB">
                  <w:pPr>
                    <w:jc w:val="center"/>
                    <w:rPr>
                      <w:rFonts w:hint="default" w:ascii="Times New Roman" w:hAnsi="Times New Roman" w:eastAsia="宋体" w:cs="Times New Roman"/>
                      <w:color w:val="auto"/>
                      <w:szCs w:val="21"/>
                      <w:highlight w:val="none"/>
                      <w:u w:val="none" w:color="auto"/>
                    </w:rPr>
                  </w:pPr>
                </w:p>
              </w:tc>
              <w:tc>
                <w:tcPr>
                  <w:tcW w:w="253" w:type="pct"/>
                  <w:tcBorders>
                    <w:tl2br w:val="nil"/>
                    <w:tr2bl w:val="nil"/>
                  </w:tcBorders>
                  <w:noWrap w:val="0"/>
                  <w:vAlign w:val="center"/>
                </w:tcPr>
                <w:p w14:paraId="1D030930">
                  <w:pPr>
                    <w:widowControl/>
                    <w:topLinePunct w:val="0"/>
                    <w:bidi w:val="0"/>
                    <w:adjustRightInd/>
                    <w:snapToGrid/>
                    <w:jc w:val="center"/>
                    <w:textAlignment w:val="center"/>
                    <w:rPr>
                      <w:rFonts w:hint="default" w:ascii="Times New Roman" w:hAnsi="Times New Roman" w:eastAsia="宋体" w:cs="Times New Roman"/>
                      <w:color w:val="auto"/>
                      <w:kern w:val="0"/>
                      <w:sz w:val="21"/>
                      <w:szCs w:val="21"/>
                      <w:u w:val="none" w:color="auto"/>
                      <w:lang w:val="en-US" w:eastAsia="zh-CN" w:bidi="ar"/>
                    </w:rPr>
                  </w:pPr>
                  <w:r>
                    <w:rPr>
                      <w:rFonts w:hint="default" w:ascii="Times New Roman" w:hAnsi="Times New Roman" w:eastAsia="宋体" w:cs="Times New Roman"/>
                      <w:color w:val="auto"/>
                      <w:kern w:val="0"/>
                      <w:sz w:val="21"/>
                      <w:szCs w:val="21"/>
                      <w:u w:val="none" w:color="auto"/>
                      <w:lang w:val="en-US" w:eastAsia="zh-CN" w:bidi="ar"/>
                    </w:rPr>
                    <w:t>东</w:t>
                  </w:r>
                </w:p>
              </w:tc>
              <w:tc>
                <w:tcPr>
                  <w:tcW w:w="568" w:type="pct"/>
                  <w:tcBorders>
                    <w:tl2br w:val="nil"/>
                    <w:tr2bl w:val="nil"/>
                  </w:tcBorders>
                  <w:noWrap w:val="0"/>
                  <w:vAlign w:val="center"/>
                </w:tcPr>
                <w:p w14:paraId="077386A3">
                  <w:pPr>
                    <w:widowControl/>
                    <w:topLinePunct w:val="0"/>
                    <w:bidi w:val="0"/>
                    <w:adjustRightInd/>
                    <w:snapToGrid/>
                    <w:jc w:val="center"/>
                    <w:textAlignment w:val="center"/>
                    <w:rPr>
                      <w:rFonts w:hint="default" w:ascii="Times New Roman" w:hAnsi="Times New Roman" w:eastAsia="宋体" w:cs="Times New Roman"/>
                      <w:color w:val="auto"/>
                      <w:kern w:val="0"/>
                      <w:sz w:val="21"/>
                      <w:szCs w:val="21"/>
                      <w:u w:val="none" w:color="auto"/>
                      <w:lang w:val="en-US" w:eastAsia="zh-CN" w:bidi="ar"/>
                    </w:rPr>
                  </w:pPr>
                  <w:r>
                    <w:rPr>
                      <w:rFonts w:hint="default" w:ascii="Times New Roman" w:hAnsi="Times New Roman" w:eastAsia="宋体" w:cs="Times New Roman"/>
                      <w:color w:val="auto"/>
                      <w:kern w:val="0"/>
                      <w:sz w:val="21"/>
                      <w:szCs w:val="21"/>
                      <w:u w:val="none" w:color="auto"/>
                      <w:lang w:val="en-US" w:eastAsia="zh-CN" w:bidi="ar"/>
                    </w:rPr>
                    <w:t>350~434</w:t>
                  </w:r>
                </w:p>
              </w:tc>
            </w:tr>
            <w:tr w14:paraId="6688719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253" w:type="pct"/>
                  <w:vMerge w:val="continue"/>
                  <w:tcBorders>
                    <w:tl2br w:val="nil"/>
                    <w:tr2bl w:val="nil"/>
                  </w:tcBorders>
                  <w:noWrap w:val="0"/>
                  <w:vAlign w:val="center"/>
                </w:tcPr>
                <w:p w14:paraId="039BE69D">
                  <w:pPr>
                    <w:widowControl/>
                    <w:topLinePunct w:val="0"/>
                    <w:bidi w:val="0"/>
                    <w:adjustRightInd/>
                    <w:snapToGrid/>
                    <w:jc w:val="center"/>
                    <w:textAlignment w:val="center"/>
                    <w:rPr>
                      <w:rFonts w:hint="default" w:ascii="Times New Roman" w:hAnsi="Times New Roman" w:eastAsia="宋体" w:cs="Times New Roman"/>
                      <w:color w:val="auto"/>
                      <w:kern w:val="0"/>
                      <w:szCs w:val="21"/>
                      <w:u w:val="none" w:color="auto"/>
                      <w:lang w:bidi="ar"/>
                    </w:rPr>
                  </w:pPr>
                </w:p>
              </w:tc>
              <w:tc>
                <w:tcPr>
                  <w:tcW w:w="777" w:type="pct"/>
                  <w:tcBorders>
                    <w:tl2br w:val="nil"/>
                    <w:tr2bl w:val="nil"/>
                  </w:tcBorders>
                  <w:noWrap w:val="0"/>
                  <w:vAlign w:val="center"/>
                </w:tcPr>
                <w:p w14:paraId="1003DD7C">
                  <w:pPr>
                    <w:jc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永济新镇保障性住房</w:t>
                  </w:r>
                </w:p>
              </w:tc>
              <w:tc>
                <w:tcPr>
                  <w:tcW w:w="957" w:type="pct"/>
                  <w:tcBorders>
                    <w:tl2br w:val="nil"/>
                    <w:tr2bl w:val="nil"/>
                  </w:tcBorders>
                  <w:noWrap w:val="0"/>
                  <w:vAlign w:val="center"/>
                </w:tcPr>
                <w:p w14:paraId="15D1C6C5">
                  <w:pPr>
                    <w:jc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113°12′2.96372″</w:t>
                  </w:r>
                </w:p>
              </w:tc>
              <w:tc>
                <w:tcPr>
                  <w:tcW w:w="1295" w:type="pct"/>
                  <w:tcBorders>
                    <w:tl2br w:val="nil"/>
                    <w:tr2bl w:val="nil"/>
                  </w:tcBorders>
                  <w:noWrap w:val="0"/>
                  <w:vAlign w:val="center"/>
                </w:tcPr>
                <w:p w14:paraId="6707815A">
                  <w:pPr>
                    <w:jc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29°29′8.80524″</w:t>
                  </w:r>
                </w:p>
              </w:tc>
              <w:tc>
                <w:tcPr>
                  <w:tcW w:w="253" w:type="pct"/>
                  <w:vMerge w:val="continue"/>
                  <w:tcBorders>
                    <w:tl2br w:val="nil"/>
                    <w:tr2bl w:val="nil"/>
                  </w:tcBorders>
                  <w:noWrap w:val="0"/>
                  <w:vAlign w:val="center"/>
                </w:tcPr>
                <w:p w14:paraId="35CDF960">
                  <w:pPr>
                    <w:jc w:val="center"/>
                    <w:rPr>
                      <w:rFonts w:hint="default" w:ascii="Times New Roman" w:hAnsi="Times New Roman" w:eastAsia="宋体" w:cs="Times New Roman"/>
                      <w:color w:val="auto"/>
                      <w:szCs w:val="21"/>
                      <w:highlight w:val="none"/>
                      <w:u w:val="none" w:color="auto"/>
                    </w:rPr>
                  </w:pPr>
                </w:p>
              </w:tc>
              <w:tc>
                <w:tcPr>
                  <w:tcW w:w="387" w:type="pct"/>
                  <w:tcBorders>
                    <w:tl2br w:val="nil"/>
                    <w:tr2bl w:val="nil"/>
                  </w:tcBorders>
                  <w:noWrap w:val="0"/>
                  <w:vAlign w:val="center"/>
                </w:tcPr>
                <w:p w14:paraId="659195AC">
                  <w:pPr>
                    <w:widowControl/>
                    <w:topLinePunct w:val="0"/>
                    <w:bidi w:val="0"/>
                    <w:adjustRightInd/>
                    <w:snapToGrid/>
                    <w:jc w:val="center"/>
                    <w:textAlignment w:val="center"/>
                    <w:rPr>
                      <w:rFonts w:hint="default" w:ascii="Times New Roman" w:hAnsi="Times New Roman" w:eastAsia="宋体" w:cs="Times New Roman"/>
                      <w:color w:val="auto"/>
                      <w:kern w:val="0"/>
                      <w:sz w:val="21"/>
                      <w:szCs w:val="21"/>
                      <w:u w:val="none" w:color="auto"/>
                      <w:lang w:val="en-US" w:eastAsia="zh-CN" w:bidi="ar"/>
                    </w:rPr>
                  </w:pPr>
                  <w:r>
                    <w:rPr>
                      <w:rFonts w:hint="default" w:ascii="Times New Roman" w:hAnsi="Times New Roman" w:eastAsia="宋体" w:cs="Times New Roman"/>
                      <w:color w:val="auto"/>
                      <w:kern w:val="0"/>
                      <w:sz w:val="21"/>
                      <w:szCs w:val="21"/>
                      <w:u w:val="none" w:color="auto"/>
                      <w:lang w:val="en-US" w:eastAsia="zh-CN" w:bidi="ar"/>
                    </w:rPr>
                    <w:t>约</w:t>
                  </w:r>
                  <w:r>
                    <w:rPr>
                      <w:rFonts w:hint="default" w:ascii="Times New Roman" w:hAnsi="Times New Roman" w:eastAsia="宋体" w:cs="Times New Roman"/>
                      <w:i w:val="0"/>
                      <w:iCs w:val="0"/>
                      <w:color w:val="auto"/>
                      <w:kern w:val="0"/>
                      <w:sz w:val="21"/>
                      <w:szCs w:val="21"/>
                      <w:u w:val="none" w:color="auto"/>
                      <w:lang w:val="en-US" w:eastAsia="zh-CN" w:bidi="ar"/>
                    </w:rPr>
                    <w:t>1554</w:t>
                  </w:r>
                </w:p>
              </w:tc>
              <w:tc>
                <w:tcPr>
                  <w:tcW w:w="253" w:type="pct"/>
                  <w:vMerge w:val="continue"/>
                  <w:tcBorders>
                    <w:tl2br w:val="nil"/>
                    <w:tr2bl w:val="nil"/>
                  </w:tcBorders>
                  <w:noWrap w:val="0"/>
                  <w:vAlign w:val="center"/>
                </w:tcPr>
                <w:p w14:paraId="5574C720">
                  <w:pPr>
                    <w:jc w:val="center"/>
                    <w:rPr>
                      <w:rFonts w:hint="default" w:ascii="Times New Roman" w:hAnsi="Times New Roman" w:eastAsia="宋体" w:cs="Times New Roman"/>
                      <w:color w:val="auto"/>
                      <w:szCs w:val="21"/>
                      <w:highlight w:val="none"/>
                      <w:u w:val="none" w:color="auto"/>
                    </w:rPr>
                  </w:pPr>
                </w:p>
              </w:tc>
              <w:tc>
                <w:tcPr>
                  <w:tcW w:w="253" w:type="pct"/>
                  <w:tcBorders>
                    <w:tl2br w:val="nil"/>
                    <w:tr2bl w:val="nil"/>
                  </w:tcBorders>
                  <w:noWrap w:val="0"/>
                  <w:vAlign w:val="center"/>
                </w:tcPr>
                <w:p w14:paraId="1EC084B9">
                  <w:pPr>
                    <w:widowControl/>
                    <w:topLinePunct w:val="0"/>
                    <w:bidi w:val="0"/>
                    <w:adjustRightInd/>
                    <w:snapToGrid/>
                    <w:jc w:val="center"/>
                    <w:textAlignment w:val="center"/>
                    <w:rPr>
                      <w:rFonts w:hint="default" w:ascii="Times New Roman" w:hAnsi="Times New Roman" w:eastAsia="宋体" w:cs="Times New Roman"/>
                      <w:color w:val="auto"/>
                      <w:kern w:val="0"/>
                      <w:sz w:val="21"/>
                      <w:szCs w:val="21"/>
                      <w:u w:val="none" w:color="auto"/>
                      <w:lang w:val="en-US" w:eastAsia="zh-CN" w:bidi="ar"/>
                    </w:rPr>
                  </w:pPr>
                  <w:r>
                    <w:rPr>
                      <w:rFonts w:hint="default" w:ascii="Times New Roman" w:hAnsi="Times New Roman" w:eastAsia="宋体" w:cs="Times New Roman"/>
                      <w:color w:val="auto"/>
                      <w:kern w:val="0"/>
                      <w:sz w:val="21"/>
                      <w:szCs w:val="21"/>
                      <w:u w:val="none" w:color="auto"/>
                      <w:lang w:val="en-US" w:eastAsia="zh-CN" w:bidi="ar"/>
                    </w:rPr>
                    <w:t>东</w:t>
                  </w:r>
                </w:p>
              </w:tc>
              <w:tc>
                <w:tcPr>
                  <w:tcW w:w="568" w:type="pct"/>
                  <w:tcBorders>
                    <w:tl2br w:val="nil"/>
                    <w:tr2bl w:val="nil"/>
                  </w:tcBorders>
                  <w:noWrap w:val="0"/>
                  <w:vAlign w:val="center"/>
                </w:tcPr>
                <w:p w14:paraId="0585F45F">
                  <w:pPr>
                    <w:widowControl/>
                    <w:topLinePunct w:val="0"/>
                    <w:bidi w:val="0"/>
                    <w:adjustRightInd/>
                    <w:snapToGrid/>
                    <w:jc w:val="center"/>
                    <w:textAlignment w:val="center"/>
                    <w:rPr>
                      <w:rFonts w:hint="default" w:ascii="Times New Roman" w:hAnsi="Times New Roman" w:eastAsia="宋体" w:cs="Times New Roman"/>
                      <w:color w:val="auto"/>
                      <w:kern w:val="0"/>
                      <w:sz w:val="21"/>
                      <w:szCs w:val="21"/>
                      <w:u w:val="none" w:color="auto"/>
                      <w:lang w:val="en-US" w:eastAsia="zh-CN" w:bidi="ar"/>
                    </w:rPr>
                  </w:pPr>
                  <w:r>
                    <w:rPr>
                      <w:rFonts w:hint="default" w:ascii="Times New Roman" w:hAnsi="Times New Roman" w:eastAsia="宋体" w:cs="Times New Roman"/>
                      <w:color w:val="auto"/>
                      <w:kern w:val="0"/>
                      <w:sz w:val="21"/>
                      <w:szCs w:val="21"/>
                      <w:u w:val="none" w:color="auto"/>
                      <w:lang w:val="en-US" w:eastAsia="zh-CN" w:bidi="ar"/>
                    </w:rPr>
                    <w:t>147~292</w:t>
                  </w:r>
                </w:p>
              </w:tc>
            </w:tr>
            <w:tr w14:paraId="218B940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253" w:type="pct"/>
                  <w:vMerge w:val="continue"/>
                  <w:tcBorders>
                    <w:tl2br w:val="nil"/>
                    <w:tr2bl w:val="nil"/>
                  </w:tcBorders>
                  <w:noWrap w:val="0"/>
                  <w:vAlign w:val="center"/>
                </w:tcPr>
                <w:p w14:paraId="6A1B7D58">
                  <w:pPr>
                    <w:widowControl/>
                    <w:topLinePunct w:val="0"/>
                    <w:bidi w:val="0"/>
                    <w:adjustRightInd/>
                    <w:snapToGrid/>
                    <w:jc w:val="center"/>
                    <w:textAlignment w:val="center"/>
                    <w:rPr>
                      <w:rFonts w:hint="default" w:ascii="Times New Roman" w:hAnsi="Times New Roman" w:eastAsia="宋体" w:cs="Times New Roman"/>
                      <w:color w:val="auto"/>
                      <w:kern w:val="0"/>
                      <w:szCs w:val="21"/>
                      <w:u w:val="none" w:color="auto"/>
                      <w:lang w:bidi="ar"/>
                    </w:rPr>
                  </w:pPr>
                </w:p>
              </w:tc>
              <w:tc>
                <w:tcPr>
                  <w:tcW w:w="777" w:type="pct"/>
                  <w:tcBorders>
                    <w:tl2br w:val="nil"/>
                    <w:tr2bl w:val="nil"/>
                  </w:tcBorders>
                  <w:noWrap w:val="0"/>
                  <w:vAlign w:val="center"/>
                </w:tcPr>
                <w:p w14:paraId="7EC2884D">
                  <w:pPr>
                    <w:jc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象骨港居民点</w:t>
                  </w:r>
                </w:p>
              </w:tc>
              <w:tc>
                <w:tcPr>
                  <w:tcW w:w="957" w:type="pct"/>
                  <w:tcBorders>
                    <w:tl2br w:val="nil"/>
                    <w:tr2bl w:val="nil"/>
                  </w:tcBorders>
                  <w:noWrap w:val="0"/>
                  <w:vAlign w:val="center"/>
                </w:tcPr>
                <w:p w14:paraId="743E3742">
                  <w:pPr>
                    <w:jc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113°11′58.25161″</w:t>
                  </w:r>
                </w:p>
              </w:tc>
              <w:tc>
                <w:tcPr>
                  <w:tcW w:w="1295" w:type="pct"/>
                  <w:tcBorders>
                    <w:tl2br w:val="nil"/>
                    <w:tr2bl w:val="nil"/>
                  </w:tcBorders>
                  <w:noWrap w:val="0"/>
                  <w:vAlign w:val="center"/>
                </w:tcPr>
                <w:p w14:paraId="1B10D5BA">
                  <w:pPr>
                    <w:jc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29°29′2.04607″</w:t>
                  </w:r>
                </w:p>
              </w:tc>
              <w:tc>
                <w:tcPr>
                  <w:tcW w:w="253" w:type="pct"/>
                  <w:vMerge w:val="continue"/>
                  <w:tcBorders>
                    <w:tl2br w:val="nil"/>
                    <w:tr2bl w:val="nil"/>
                  </w:tcBorders>
                  <w:noWrap w:val="0"/>
                  <w:vAlign w:val="center"/>
                </w:tcPr>
                <w:p w14:paraId="6026C6AF">
                  <w:pPr>
                    <w:jc w:val="center"/>
                    <w:rPr>
                      <w:rFonts w:hint="default" w:ascii="Times New Roman" w:hAnsi="Times New Roman" w:eastAsia="宋体" w:cs="Times New Roman"/>
                      <w:color w:val="auto"/>
                      <w:szCs w:val="21"/>
                      <w:highlight w:val="none"/>
                      <w:u w:val="none" w:color="auto"/>
                    </w:rPr>
                  </w:pPr>
                </w:p>
              </w:tc>
              <w:tc>
                <w:tcPr>
                  <w:tcW w:w="387" w:type="pct"/>
                  <w:tcBorders>
                    <w:tl2br w:val="nil"/>
                    <w:tr2bl w:val="nil"/>
                  </w:tcBorders>
                  <w:noWrap w:val="0"/>
                  <w:vAlign w:val="center"/>
                </w:tcPr>
                <w:p w14:paraId="0AA24B8F">
                  <w:pPr>
                    <w:widowControl/>
                    <w:topLinePunct w:val="0"/>
                    <w:bidi w:val="0"/>
                    <w:adjustRightInd/>
                    <w:snapToGrid/>
                    <w:jc w:val="center"/>
                    <w:textAlignment w:val="center"/>
                    <w:rPr>
                      <w:rFonts w:hint="default" w:ascii="Times New Roman" w:hAnsi="Times New Roman" w:eastAsia="宋体" w:cs="Times New Roman"/>
                      <w:color w:val="auto"/>
                      <w:kern w:val="0"/>
                      <w:sz w:val="21"/>
                      <w:szCs w:val="21"/>
                      <w:u w:val="none" w:color="auto"/>
                      <w:lang w:val="en-US" w:eastAsia="zh-CN" w:bidi="ar"/>
                    </w:rPr>
                  </w:pPr>
                  <w:r>
                    <w:rPr>
                      <w:rFonts w:hint="default" w:ascii="Times New Roman" w:hAnsi="Times New Roman" w:eastAsia="宋体" w:cs="Times New Roman"/>
                      <w:color w:val="auto"/>
                      <w:kern w:val="0"/>
                      <w:sz w:val="21"/>
                      <w:szCs w:val="21"/>
                      <w:u w:val="none" w:color="auto"/>
                      <w:lang w:val="en-US" w:eastAsia="zh-CN" w:bidi="ar"/>
                    </w:rPr>
                    <w:t>约210人</w:t>
                  </w:r>
                </w:p>
              </w:tc>
              <w:tc>
                <w:tcPr>
                  <w:tcW w:w="253" w:type="pct"/>
                  <w:vMerge w:val="continue"/>
                  <w:tcBorders>
                    <w:tl2br w:val="nil"/>
                    <w:tr2bl w:val="nil"/>
                  </w:tcBorders>
                  <w:noWrap w:val="0"/>
                  <w:vAlign w:val="center"/>
                </w:tcPr>
                <w:p w14:paraId="558CC6A6">
                  <w:pPr>
                    <w:jc w:val="center"/>
                    <w:rPr>
                      <w:rFonts w:hint="default" w:ascii="Times New Roman" w:hAnsi="Times New Roman" w:eastAsia="宋体" w:cs="Times New Roman"/>
                      <w:color w:val="auto"/>
                      <w:szCs w:val="21"/>
                      <w:highlight w:val="none"/>
                      <w:u w:val="none" w:color="auto"/>
                    </w:rPr>
                  </w:pPr>
                </w:p>
              </w:tc>
              <w:tc>
                <w:tcPr>
                  <w:tcW w:w="253" w:type="pct"/>
                  <w:tcBorders>
                    <w:tl2br w:val="nil"/>
                    <w:tr2bl w:val="nil"/>
                  </w:tcBorders>
                  <w:noWrap w:val="0"/>
                  <w:vAlign w:val="center"/>
                </w:tcPr>
                <w:p w14:paraId="42FF1302">
                  <w:pPr>
                    <w:widowControl/>
                    <w:topLinePunct w:val="0"/>
                    <w:bidi w:val="0"/>
                    <w:adjustRightInd/>
                    <w:snapToGrid/>
                    <w:jc w:val="center"/>
                    <w:textAlignment w:val="center"/>
                    <w:rPr>
                      <w:rFonts w:hint="default" w:ascii="Times New Roman" w:hAnsi="Times New Roman" w:eastAsia="宋体" w:cs="Times New Roman"/>
                      <w:color w:val="auto"/>
                      <w:kern w:val="0"/>
                      <w:sz w:val="21"/>
                      <w:szCs w:val="21"/>
                      <w:u w:val="none" w:color="auto"/>
                      <w:lang w:val="en-US" w:eastAsia="zh-CN" w:bidi="ar"/>
                    </w:rPr>
                  </w:pPr>
                  <w:r>
                    <w:rPr>
                      <w:rFonts w:hint="default" w:ascii="Times New Roman" w:hAnsi="Times New Roman" w:eastAsia="宋体" w:cs="Times New Roman"/>
                      <w:color w:val="auto"/>
                      <w:kern w:val="0"/>
                      <w:sz w:val="21"/>
                      <w:szCs w:val="21"/>
                      <w:u w:val="none" w:color="auto"/>
                      <w:lang w:val="en-US" w:eastAsia="zh-CN" w:bidi="ar"/>
                    </w:rPr>
                    <w:t>东</w:t>
                  </w:r>
                </w:p>
              </w:tc>
              <w:tc>
                <w:tcPr>
                  <w:tcW w:w="568" w:type="pct"/>
                  <w:tcBorders>
                    <w:tl2br w:val="nil"/>
                    <w:tr2bl w:val="nil"/>
                  </w:tcBorders>
                  <w:noWrap w:val="0"/>
                  <w:vAlign w:val="center"/>
                </w:tcPr>
                <w:p w14:paraId="479AF5AD">
                  <w:pPr>
                    <w:widowControl/>
                    <w:topLinePunct w:val="0"/>
                    <w:bidi w:val="0"/>
                    <w:adjustRightInd/>
                    <w:snapToGrid/>
                    <w:jc w:val="center"/>
                    <w:textAlignment w:val="center"/>
                    <w:rPr>
                      <w:rFonts w:hint="default" w:ascii="Times New Roman" w:hAnsi="Times New Roman" w:eastAsia="宋体" w:cs="Times New Roman"/>
                      <w:color w:val="auto"/>
                      <w:kern w:val="0"/>
                      <w:sz w:val="21"/>
                      <w:szCs w:val="21"/>
                      <w:u w:val="none" w:color="auto"/>
                      <w:lang w:val="en-US" w:eastAsia="zh-CN" w:bidi="ar"/>
                    </w:rPr>
                  </w:pPr>
                  <w:r>
                    <w:rPr>
                      <w:rFonts w:hint="default" w:ascii="Times New Roman" w:hAnsi="Times New Roman" w:eastAsia="宋体" w:cs="Times New Roman"/>
                      <w:color w:val="auto"/>
                      <w:kern w:val="0"/>
                      <w:sz w:val="21"/>
                      <w:szCs w:val="21"/>
                      <w:u w:val="none" w:color="auto"/>
                      <w:lang w:val="en-US" w:eastAsia="zh-CN" w:bidi="ar"/>
                    </w:rPr>
                    <w:t>101~500</w:t>
                  </w:r>
                </w:p>
              </w:tc>
            </w:tr>
            <w:tr w14:paraId="01ED0AE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253" w:type="pct"/>
                  <w:vMerge w:val="continue"/>
                  <w:tcBorders>
                    <w:tl2br w:val="nil"/>
                    <w:tr2bl w:val="nil"/>
                  </w:tcBorders>
                  <w:noWrap w:val="0"/>
                  <w:vAlign w:val="center"/>
                </w:tcPr>
                <w:p w14:paraId="532FDED3">
                  <w:pPr>
                    <w:widowControl/>
                    <w:topLinePunct w:val="0"/>
                    <w:bidi w:val="0"/>
                    <w:adjustRightInd/>
                    <w:snapToGrid/>
                    <w:jc w:val="center"/>
                    <w:textAlignment w:val="center"/>
                    <w:rPr>
                      <w:rFonts w:hint="default" w:ascii="Times New Roman" w:hAnsi="Times New Roman" w:eastAsia="宋体" w:cs="Times New Roman"/>
                      <w:color w:val="auto"/>
                      <w:kern w:val="0"/>
                      <w:szCs w:val="21"/>
                      <w:u w:val="none" w:color="auto"/>
                      <w:lang w:bidi="ar"/>
                    </w:rPr>
                  </w:pPr>
                </w:p>
              </w:tc>
              <w:tc>
                <w:tcPr>
                  <w:tcW w:w="777" w:type="pct"/>
                  <w:tcBorders>
                    <w:tl2br w:val="nil"/>
                    <w:tr2bl w:val="nil"/>
                  </w:tcBorders>
                  <w:noWrap w:val="0"/>
                  <w:vAlign w:val="center"/>
                </w:tcPr>
                <w:p w14:paraId="763EA5B8">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val="en-US" w:eastAsia="zh-CN"/>
                    </w:rPr>
                    <w:t>王家屋场</w:t>
                  </w:r>
                </w:p>
              </w:tc>
              <w:tc>
                <w:tcPr>
                  <w:tcW w:w="957" w:type="pct"/>
                  <w:tcBorders>
                    <w:tl2br w:val="nil"/>
                    <w:tr2bl w:val="nil"/>
                  </w:tcBorders>
                  <w:noWrap w:val="0"/>
                  <w:vAlign w:val="center"/>
                </w:tcPr>
                <w:p w14:paraId="0ED03E8F">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val="en-US" w:eastAsia="zh-CN"/>
                    </w:rPr>
                    <w:t>113°11′47.86181″</w:t>
                  </w:r>
                </w:p>
              </w:tc>
              <w:tc>
                <w:tcPr>
                  <w:tcW w:w="1295" w:type="pct"/>
                  <w:tcBorders>
                    <w:tl2br w:val="nil"/>
                    <w:tr2bl w:val="nil"/>
                  </w:tcBorders>
                  <w:noWrap w:val="0"/>
                  <w:vAlign w:val="center"/>
                </w:tcPr>
                <w:p w14:paraId="5FB7F21A">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val="en-US" w:eastAsia="zh-CN"/>
                    </w:rPr>
                    <w:t>29°29′3.62964″</w:t>
                  </w:r>
                </w:p>
              </w:tc>
              <w:tc>
                <w:tcPr>
                  <w:tcW w:w="253" w:type="pct"/>
                  <w:vMerge w:val="continue"/>
                  <w:tcBorders>
                    <w:tl2br w:val="nil"/>
                    <w:tr2bl w:val="nil"/>
                  </w:tcBorders>
                  <w:noWrap w:val="0"/>
                  <w:vAlign w:val="center"/>
                </w:tcPr>
                <w:p w14:paraId="71D2F501">
                  <w:pPr>
                    <w:jc w:val="center"/>
                    <w:rPr>
                      <w:rFonts w:hint="default" w:ascii="Times New Roman" w:hAnsi="Times New Roman" w:eastAsia="宋体" w:cs="Times New Roman"/>
                      <w:color w:val="auto"/>
                      <w:szCs w:val="21"/>
                      <w:highlight w:val="none"/>
                      <w:u w:val="none" w:color="auto"/>
                    </w:rPr>
                  </w:pPr>
                </w:p>
              </w:tc>
              <w:tc>
                <w:tcPr>
                  <w:tcW w:w="387" w:type="pct"/>
                  <w:tcBorders>
                    <w:tl2br w:val="nil"/>
                    <w:tr2bl w:val="nil"/>
                  </w:tcBorders>
                  <w:noWrap w:val="0"/>
                  <w:vAlign w:val="center"/>
                </w:tcPr>
                <w:p w14:paraId="5A10D9B2">
                  <w:pPr>
                    <w:widowControl/>
                    <w:topLinePunct w:val="0"/>
                    <w:bidi w:val="0"/>
                    <w:adjustRightInd/>
                    <w:snapToGrid/>
                    <w:jc w:val="center"/>
                    <w:textAlignment w:val="center"/>
                    <w:rPr>
                      <w:rFonts w:hint="default" w:ascii="Times New Roman" w:hAnsi="Times New Roman" w:eastAsia="宋体" w:cs="Times New Roman"/>
                      <w:color w:val="auto"/>
                      <w:szCs w:val="21"/>
                      <w:u w:val="none" w:color="auto"/>
                      <w:lang w:val="en-US" w:eastAsia="zh-CN"/>
                    </w:rPr>
                  </w:pPr>
                  <w:r>
                    <w:rPr>
                      <w:rFonts w:hint="default" w:ascii="Times New Roman" w:hAnsi="Times New Roman" w:eastAsia="宋体" w:cs="Times New Roman"/>
                      <w:color w:val="auto"/>
                      <w:szCs w:val="21"/>
                      <w:u w:val="none" w:color="auto"/>
                      <w:lang w:val="en-US" w:eastAsia="zh-CN"/>
                    </w:rPr>
                    <w:t>约67人</w:t>
                  </w:r>
                </w:p>
              </w:tc>
              <w:tc>
                <w:tcPr>
                  <w:tcW w:w="253" w:type="pct"/>
                  <w:vMerge w:val="continue"/>
                  <w:tcBorders>
                    <w:tl2br w:val="nil"/>
                    <w:tr2bl w:val="nil"/>
                  </w:tcBorders>
                  <w:noWrap w:val="0"/>
                  <w:vAlign w:val="center"/>
                </w:tcPr>
                <w:p w14:paraId="2E78E31D">
                  <w:pPr>
                    <w:jc w:val="center"/>
                    <w:rPr>
                      <w:rFonts w:hint="default" w:ascii="Times New Roman" w:hAnsi="Times New Roman" w:eastAsia="宋体" w:cs="Times New Roman"/>
                      <w:color w:val="auto"/>
                      <w:szCs w:val="21"/>
                      <w:highlight w:val="none"/>
                      <w:u w:val="none" w:color="auto"/>
                    </w:rPr>
                  </w:pPr>
                </w:p>
              </w:tc>
              <w:tc>
                <w:tcPr>
                  <w:tcW w:w="253" w:type="pct"/>
                  <w:tcBorders>
                    <w:tl2br w:val="nil"/>
                    <w:tr2bl w:val="nil"/>
                  </w:tcBorders>
                  <w:noWrap w:val="0"/>
                  <w:vAlign w:val="center"/>
                </w:tcPr>
                <w:p w14:paraId="60BE8F34">
                  <w:pPr>
                    <w:widowControl/>
                    <w:topLinePunct w:val="0"/>
                    <w:bidi w:val="0"/>
                    <w:adjustRightInd/>
                    <w:snapToGrid/>
                    <w:jc w:val="center"/>
                    <w:textAlignment w:val="center"/>
                    <w:rPr>
                      <w:rFonts w:hint="default" w:ascii="Times New Roman" w:hAnsi="Times New Roman" w:eastAsia="宋体" w:cs="Times New Roman"/>
                      <w:color w:val="auto"/>
                      <w:kern w:val="0"/>
                      <w:szCs w:val="21"/>
                      <w:u w:val="none" w:color="auto"/>
                      <w:lang w:bidi="ar"/>
                    </w:rPr>
                  </w:pPr>
                  <w:r>
                    <w:rPr>
                      <w:rFonts w:hint="default" w:ascii="Times New Roman" w:hAnsi="Times New Roman" w:eastAsia="宋体" w:cs="Times New Roman"/>
                      <w:color w:val="auto"/>
                      <w:kern w:val="0"/>
                      <w:sz w:val="21"/>
                      <w:szCs w:val="21"/>
                      <w:u w:val="none" w:color="auto"/>
                      <w:lang w:val="en-US" w:eastAsia="zh-CN" w:bidi="ar"/>
                    </w:rPr>
                    <w:t>东</w:t>
                  </w:r>
                </w:p>
              </w:tc>
              <w:tc>
                <w:tcPr>
                  <w:tcW w:w="568" w:type="pct"/>
                  <w:tcBorders>
                    <w:tl2br w:val="nil"/>
                    <w:tr2bl w:val="nil"/>
                  </w:tcBorders>
                  <w:noWrap w:val="0"/>
                  <w:vAlign w:val="center"/>
                </w:tcPr>
                <w:p w14:paraId="16B38A26">
                  <w:pPr>
                    <w:widowControl/>
                    <w:topLinePunct w:val="0"/>
                    <w:bidi w:val="0"/>
                    <w:adjustRightInd/>
                    <w:snapToGrid/>
                    <w:jc w:val="center"/>
                    <w:textAlignment w:val="center"/>
                    <w:rPr>
                      <w:rFonts w:hint="default" w:ascii="Times New Roman" w:hAnsi="Times New Roman" w:eastAsia="宋体" w:cs="Times New Roman"/>
                      <w:color w:val="auto"/>
                      <w:kern w:val="0"/>
                      <w:szCs w:val="21"/>
                      <w:u w:val="none" w:color="auto"/>
                      <w:lang w:val="en-US" w:eastAsia="zh-CN" w:bidi="ar"/>
                    </w:rPr>
                  </w:pPr>
                  <w:r>
                    <w:rPr>
                      <w:rFonts w:hint="default" w:ascii="Times New Roman" w:hAnsi="Times New Roman" w:eastAsia="宋体" w:cs="Times New Roman"/>
                      <w:color w:val="auto"/>
                      <w:kern w:val="0"/>
                      <w:szCs w:val="21"/>
                      <w:u w:val="none" w:color="auto"/>
                      <w:lang w:val="en-US" w:eastAsia="zh-CN" w:bidi="ar"/>
                    </w:rPr>
                    <w:t>457~500</w:t>
                  </w:r>
                </w:p>
              </w:tc>
            </w:tr>
            <w:tr w14:paraId="5BDB40A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253" w:type="pct"/>
                  <w:vMerge w:val="restart"/>
                  <w:tcBorders>
                    <w:tl2br w:val="nil"/>
                    <w:tr2bl w:val="nil"/>
                  </w:tcBorders>
                  <w:noWrap w:val="0"/>
                  <w:vAlign w:val="center"/>
                </w:tcPr>
                <w:p w14:paraId="09F90BB9">
                  <w:pPr>
                    <w:widowControl/>
                    <w:topLinePunct w:val="0"/>
                    <w:bidi w:val="0"/>
                    <w:adjustRightInd/>
                    <w:snapToGrid/>
                    <w:jc w:val="center"/>
                    <w:textAlignment w:val="center"/>
                    <w:rPr>
                      <w:rFonts w:hint="default" w:ascii="Times New Roman" w:hAnsi="Times New Roman" w:eastAsia="宋体" w:cs="Times New Roman"/>
                      <w:color w:val="auto"/>
                      <w:kern w:val="0"/>
                      <w:szCs w:val="21"/>
                      <w:u w:val="none" w:color="auto"/>
                      <w:lang w:val="en-US" w:eastAsia="zh-CN" w:bidi="ar"/>
                    </w:rPr>
                  </w:pPr>
                  <w:r>
                    <w:rPr>
                      <w:rFonts w:hint="default" w:ascii="Times New Roman" w:hAnsi="Times New Roman" w:eastAsia="宋体" w:cs="Times New Roman"/>
                      <w:color w:val="auto"/>
                      <w:kern w:val="0"/>
                      <w:szCs w:val="21"/>
                      <w:u w:val="none" w:color="auto"/>
                      <w:lang w:bidi="ar"/>
                    </w:rPr>
                    <w:t>临港高新产业园</w:t>
                  </w:r>
                  <w:r>
                    <w:rPr>
                      <w:rFonts w:hint="default" w:ascii="Times New Roman" w:hAnsi="Times New Roman" w:eastAsia="宋体" w:cs="Times New Roman"/>
                      <w:color w:val="auto"/>
                      <w:kern w:val="0"/>
                      <w:szCs w:val="21"/>
                      <w:u w:val="none" w:color="auto"/>
                      <w:lang w:val="en-US" w:eastAsia="zh-CN" w:bidi="ar"/>
                    </w:rPr>
                    <w:t>区</w:t>
                  </w:r>
                </w:p>
              </w:tc>
              <w:tc>
                <w:tcPr>
                  <w:tcW w:w="777" w:type="pct"/>
                  <w:tcBorders>
                    <w:tl2br w:val="nil"/>
                    <w:tr2bl w:val="nil"/>
                  </w:tcBorders>
                  <w:noWrap w:val="0"/>
                  <w:vAlign w:val="center"/>
                </w:tcPr>
                <w:p w14:paraId="4FF37D61">
                  <w:pPr>
                    <w:widowControl/>
                    <w:topLinePunct w:val="0"/>
                    <w:bidi w:val="0"/>
                    <w:adjustRightInd/>
                    <w:snapToGrid/>
                    <w:jc w:val="center"/>
                    <w:textAlignment w:val="center"/>
                    <w:rPr>
                      <w:rFonts w:hint="default" w:ascii="Times New Roman" w:hAnsi="Times New Roman" w:eastAsia="宋体" w:cs="Times New Roman"/>
                      <w:color w:val="auto"/>
                      <w:kern w:val="0"/>
                      <w:szCs w:val="21"/>
                      <w:u w:val="none" w:color="auto"/>
                      <w:lang w:bidi="ar"/>
                    </w:rPr>
                  </w:pPr>
                  <w:r>
                    <w:rPr>
                      <w:rFonts w:hint="default" w:ascii="Times New Roman" w:hAnsi="Times New Roman" w:eastAsia="宋体" w:cs="Times New Roman"/>
                      <w:color w:val="auto"/>
                      <w:kern w:val="0"/>
                      <w:szCs w:val="21"/>
                      <w:u w:val="none" w:color="auto"/>
                      <w:lang w:bidi="ar"/>
                    </w:rPr>
                    <w:t>岳阳市物流工程职业学校(新校区)</w:t>
                  </w:r>
                </w:p>
              </w:tc>
              <w:tc>
                <w:tcPr>
                  <w:tcW w:w="957" w:type="pct"/>
                  <w:vMerge w:val="restart"/>
                  <w:tcBorders>
                    <w:tl2br w:val="nil"/>
                    <w:tr2bl w:val="nil"/>
                  </w:tcBorders>
                  <w:noWrap w:val="0"/>
                  <w:vAlign w:val="center"/>
                </w:tcPr>
                <w:p w14:paraId="60BDDDE7">
                  <w:pPr>
                    <w:keepNext w:val="0"/>
                    <w:keepLines w:val="0"/>
                    <w:widowControl/>
                    <w:suppressLineNumbers w:val="0"/>
                    <w:jc w:val="center"/>
                    <w:textAlignment w:val="center"/>
                    <w:rPr>
                      <w:rFonts w:hint="default" w:ascii="Times New Roman" w:hAnsi="Times New Roman" w:eastAsia="宋体" w:cs="Times New Roman"/>
                      <w:color w:val="auto"/>
                      <w:szCs w:val="21"/>
                      <w:u w:val="none" w:color="auto"/>
                      <w:lang w:eastAsia="zh-CN"/>
                    </w:rPr>
                  </w:pPr>
                  <w:r>
                    <w:rPr>
                      <w:rFonts w:hint="default" w:ascii="Times New Roman" w:hAnsi="Times New Roman" w:eastAsia="宋体" w:cs="Times New Roman"/>
                      <w:i w:val="0"/>
                      <w:iCs w:val="0"/>
                      <w:color w:val="auto"/>
                      <w:kern w:val="0"/>
                      <w:sz w:val="22"/>
                      <w:szCs w:val="22"/>
                      <w:u w:val="none" w:color="auto"/>
                      <w:lang w:val="en-US" w:eastAsia="zh-CN" w:bidi="ar"/>
                    </w:rPr>
                    <w:t>113°11′41.37301″</w:t>
                  </w:r>
                </w:p>
              </w:tc>
              <w:tc>
                <w:tcPr>
                  <w:tcW w:w="1295" w:type="pct"/>
                  <w:vMerge w:val="restart"/>
                  <w:tcBorders>
                    <w:tl2br w:val="nil"/>
                    <w:tr2bl w:val="nil"/>
                  </w:tcBorders>
                  <w:noWrap w:val="0"/>
                  <w:vAlign w:val="center"/>
                </w:tcPr>
                <w:p w14:paraId="1A64C737">
                  <w:pPr>
                    <w:keepNext w:val="0"/>
                    <w:keepLines w:val="0"/>
                    <w:widowControl/>
                    <w:suppressLineNumbers w:val="0"/>
                    <w:jc w:val="center"/>
                    <w:textAlignment w:val="center"/>
                    <w:rPr>
                      <w:rFonts w:hint="default" w:ascii="Times New Roman" w:hAnsi="Times New Roman" w:eastAsia="宋体" w:cs="Times New Roman"/>
                      <w:color w:val="auto"/>
                      <w:kern w:val="0"/>
                      <w:szCs w:val="21"/>
                      <w:u w:val="none" w:color="auto"/>
                      <w:lang w:bidi="ar"/>
                    </w:rPr>
                  </w:pPr>
                  <w:r>
                    <w:rPr>
                      <w:rFonts w:hint="default" w:ascii="Times New Roman" w:hAnsi="Times New Roman" w:eastAsia="宋体" w:cs="Times New Roman"/>
                      <w:i w:val="0"/>
                      <w:iCs w:val="0"/>
                      <w:color w:val="auto"/>
                      <w:kern w:val="0"/>
                      <w:sz w:val="22"/>
                      <w:szCs w:val="22"/>
                      <w:u w:val="none" w:color="auto"/>
                      <w:lang w:val="en-US" w:eastAsia="zh-CN" w:bidi="ar"/>
                    </w:rPr>
                    <w:t>29°27′58.54853″</w:t>
                  </w:r>
                </w:p>
              </w:tc>
              <w:tc>
                <w:tcPr>
                  <w:tcW w:w="253" w:type="pct"/>
                  <w:tcBorders>
                    <w:tl2br w:val="nil"/>
                    <w:tr2bl w:val="nil"/>
                  </w:tcBorders>
                  <w:noWrap w:val="0"/>
                  <w:vAlign w:val="center"/>
                </w:tcPr>
                <w:p w14:paraId="033A649A">
                  <w:pPr>
                    <w:jc w:val="center"/>
                    <w:rPr>
                      <w:rFonts w:hint="default" w:ascii="Times New Roman" w:hAnsi="Times New Roman" w:eastAsia="宋体" w:cs="Times New Roman"/>
                      <w:color w:val="auto"/>
                      <w:szCs w:val="21"/>
                      <w:highlight w:val="none"/>
                      <w:u w:val="none" w:color="auto"/>
                      <w:lang w:val="en-US" w:eastAsia="zh-CN"/>
                    </w:rPr>
                  </w:pPr>
                  <w:r>
                    <w:rPr>
                      <w:rFonts w:hint="default" w:ascii="Times New Roman" w:hAnsi="Times New Roman" w:eastAsia="宋体" w:cs="Times New Roman"/>
                      <w:color w:val="auto"/>
                      <w:szCs w:val="21"/>
                      <w:highlight w:val="none"/>
                      <w:u w:val="none" w:color="auto"/>
                      <w:lang w:val="en-US" w:eastAsia="zh-CN"/>
                    </w:rPr>
                    <w:t>师生</w:t>
                  </w:r>
                </w:p>
              </w:tc>
              <w:tc>
                <w:tcPr>
                  <w:tcW w:w="387" w:type="pct"/>
                  <w:tcBorders>
                    <w:tl2br w:val="nil"/>
                    <w:tr2bl w:val="nil"/>
                  </w:tcBorders>
                  <w:noWrap w:val="0"/>
                  <w:vAlign w:val="center"/>
                </w:tcPr>
                <w:p w14:paraId="35DEDC0B">
                  <w:pPr>
                    <w:widowControl/>
                    <w:topLinePunct w:val="0"/>
                    <w:bidi w:val="0"/>
                    <w:adjustRightInd/>
                    <w:snapToGrid/>
                    <w:jc w:val="center"/>
                    <w:textAlignment w:val="center"/>
                    <w:rPr>
                      <w:rFonts w:hint="default" w:ascii="Times New Roman" w:hAnsi="Times New Roman" w:eastAsia="宋体" w:cs="Times New Roman"/>
                      <w:color w:val="auto"/>
                      <w:szCs w:val="21"/>
                      <w:u w:val="none" w:color="auto"/>
                      <w:lang w:val="en-US" w:eastAsia="zh-CN"/>
                    </w:rPr>
                  </w:pPr>
                  <w:r>
                    <w:rPr>
                      <w:rFonts w:hint="default" w:ascii="Times New Roman" w:hAnsi="Times New Roman" w:eastAsia="宋体" w:cs="Times New Roman"/>
                      <w:color w:val="auto"/>
                      <w:szCs w:val="21"/>
                      <w:u w:val="none" w:color="auto"/>
                      <w:lang w:val="en-US" w:eastAsia="zh-CN"/>
                    </w:rPr>
                    <w:t>约1500人</w:t>
                  </w:r>
                </w:p>
              </w:tc>
              <w:tc>
                <w:tcPr>
                  <w:tcW w:w="253" w:type="pct"/>
                  <w:vMerge w:val="continue"/>
                  <w:tcBorders>
                    <w:tl2br w:val="nil"/>
                    <w:tr2bl w:val="nil"/>
                  </w:tcBorders>
                  <w:noWrap w:val="0"/>
                  <w:vAlign w:val="center"/>
                </w:tcPr>
                <w:p w14:paraId="077B80D6">
                  <w:pPr>
                    <w:jc w:val="center"/>
                    <w:rPr>
                      <w:rFonts w:hint="default" w:ascii="Times New Roman" w:hAnsi="Times New Roman" w:eastAsia="宋体" w:cs="Times New Roman"/>
                      <w:color w:val="auto"/>
                      <w:szCs w:val="21"/>
                      <w:highlight w:val="none"/>
                      <w:u w:val="none" w:color="auto"/>
                    </w:rPr>
                  </w:pPr>
                </w:p>
              </w:tc>
              <w:tc>
                <w:tcPr>
                  <w:tcW w:w="253" w:type="pct"/>
                  <w:tcBorders>
                    <w:tl2br w:val="nil"/>
                    <w:tr2bl w:val="nil"/>
                  </w:tcBorders>
                  <w:noWrap w:val="0"/>
                  <w:vAlign w:val="center"/>
                </w:tcPr>
                <w:p w14:paraId="5049523E">
                  <w:pPr>
                    <w:widowControl/>
                    <w:topLinePunct w:val="0"/>
                    <w:bidi w:val="0"/>
                    <w:adjustRightInd/>
                    <w:snapToGrid/>
                    <w:jc w:val="center"/>
                    <w:textAlignment w:val="center"/>
                    <w:rPr>
                      <w:rFonts w:hint="default" w:ascii="Times New Roman" w:hAnsi="Times New Roman" w:eastAsia="宋体" w:cs="Times New Roman"/>
                      <w:color w:val="auto"/>
                      <w:kern w:val="0"/>
                      <w:szCs w:val="21"/>
                      <w:u w:val="none" w:color="auto"/>
                      <w:lang w:val="en-US" w:eastAsia="zh-CN" w:bidi="ar"/>
                    </w:rPr>
                  </w:pPr>
                  <w:r>
                    <w:rPr>
                      <w:rFonts w:hint="default" w:ascii="Times New Roman" w:hAnsi="Times New Roman" w:eastAsia="宋体" w:cs="Times New Roman"/>
                      <w:color w:val="auto"/>
                      <w:kern w:val="0"/>
                      <w:szCs w:val="21"/>
                      <w:u w:val="none" w:color="auto"/>
                      <w:lang w:val="en-US" w:eastAsia="zh-CN" w:bidi="ar"/>
                    </w:rPr>
                    <w:t>西南</w:t>
                  </w:r>
                </w:p>
              </w:tc>
              <w:tc>
                <w:tcPr>
                  <w:tcW w:w="568" w:type="pct"/>
                  <w:tcBorders>
                    <w:tl2br w:val="nil"/>
                    <w:tr2bl w:val="nil"/>
                  </w:tcBorders>
                  <w:noWrap w:val="0"/>
                  <w:vAlign w:val="center"/>
                </w:tcPr>
                <w:p w14:paraId="4C087017">
                  <w:pPr>
                    <w:widowControl/>
                    <w:topLinePunct w:val="0"/>
                    <w:bidi w:val="0"/>
                    <w:adjustRightInd/>
                    <w:snapToGrid/>
                    <w:jc w:val="center"/>
                    <w:textAlignment w:val="center"/>
                    <w:rPr>
                      <w:rFonts w:hint="default" w:ascii="Times New Roman" w:hAnsi="Times New Roman" w:eastAsia="宋体" w:cs="Times New Roman"/>
                      <w:color w:val="auto"/>
                      <w:kern w:val="0"/>
                      <w:szCs w:val="21"/>
                      <w:u w:val="none" w:color="auto"/>
                      <w:lang w:val="en-US" w:eastAsia="zh-CN" w:bidi="ar"/>
                    </w:rPr>
                  </w:pPr>
                  <w:r>
                    <w:rPr>
                      <w:rFonts w:hint="default" w:ascii="Times New Roman" w:hAnsi="Times New Roman" w:eastAsia="宋体" w:cs="Times New Roman"/>
                      <w:color w:val="auto"/>
                      <w:kern w:val="0"/>
                      <w:szCs w:val="21"/>
                      <w:u w:val="none" w:color="auto"/>
                      <w:lang w:val="en-US" w:eastAsia="zh-CN" w:bidi="ar"/>
                    </w:rPr>
                    <w:t>326~500</w:t>
                  </w:r>
                </w:p>
              </w:tc>
            </w:tr>
            <w:tr w14:paraId="55046C9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253" w:type="pct"/>
                  <w:vMerge w:val="continue"/>
                  <w:tcBorders>
                    <w:tl2br w:val="nil"/>
                    <w:tr2bl w:val="nil"/>
                  </w:tcBorders>
                  <w:noWrap w:val="0"/>
                  <w:vAlign w:val="center"/>
                </w:tcPr>
                <w:p w14:paraId="358BB258">
                  <w:pPr>
                    <w:widowControl/>
                    <w:topLinePunct w:val="0"/>
                    <w:bidi w:val="0"/>
                    <w:adjustRightInd/>
                    <w:snapToGrid/>
                    <w:jc w:val="center"/>
                    <w:textAlignment w:val="center"/>
                    <w:rPr>
                      <w:rFonts w:hint="default" w:ascii="Times New Roman" w:hAnsi="Times New Roman" w:eastAsia="宋体" w:cs="Times New Roman"/>
                      <w:color w:val="auto"/>
                      <w:kern w:val="0"/>
                      <w:szCs w:val="21"/>
                      <w:u w:val="none" w:color="auto"/>
                      <w:lang w:bidi="ar"/>
                    </w:rPr>
                  </w:pPr>
                </w:p>
              </w:tc>
              <w:tc>
                <w:tcPr>
                  <w:tcW w:w="777" w:type="pct"/>
                  <w:tcBorders>
                    <w:tl2br w:val="nil"/>
                    <w:tr2bl w:val="nil"/>
                  </w:tcBorders>
                  <w:noWrap w:val="0"/>
                  <w:vAlign w:val="center"/>
                </w:tcPr>
                <w:p w14:paraId="7EEB47D3">
                  <w:pPr>
                    <w:widowControl/>
                    <w:topLinePunct w:val="0"/>
                    <w:bidi w:val="0"/>
                    <w:adjustRightInd/>
                    <w:snapToGrid/>
                    <w:jc w:val="center"/>
                    <w:textAlignment w:val="center"/>
                    <w:rPr>
                      <w:rFonts w:hint="default" w:ascii="Times New Roman" w:hAnsi="Times New Roman" w:eastAsia="宋体" w:cs="Times New Roman"/>
                      <w:color w:val="auto"/>
                      <w:kern w:val="0"/>
                      <w:szCs w:val="21"/>
                      <w:u w:val="none" w:color="auto"/>
                      <w:lang w:bidi="ar"/>
                    </w:rPr>
                  </w:pPr>
                  <w:r>
                    <w:rPr>
                      <w:rFonts w:hint="default" w:ascii="Times New Roman" w:hAnsi="Times New Roman" w:eastAsia="宋体" w:cs="Times New Roman"/>
                      <w:color w:val="auto"/>
                      <w:kern w:val="0"/>
                      <w:szCs w:val="21"/>
                      <w:u w:val="none" w:color="auto"/>
                      <w:lang w:bidi="ar"/>
                    </w:rPr>
                    <w:t>岳阳职业技术学院自贸区现代产业学院</w:t>
                  </w:r>
                </w:p>
              </w:tc>
              <w:tc>
                <w:tcPr>
                  <w:tcW w:w="957" w:type="pct"/>
                  <w:vMerge w:val="continue"/>
                  <w:tcBorders>
                    <w:tl2br w:val="nil"/>
                    <w:tr2bl w:val="nil"/>
                  </w:tcBorders>
                  <w:shd w:val="clear" w:color="auto" w:fill="auto"/>
                  <w:noWrap w:val="0"/>
                  <w:vAlign w:val="center"/>
                </w:tcPr>
                <w:p w14:paraId="74E5E3F1">
                  <w:pPr>
                    <w:keepNext w:val="0"/>
                    <w:keepLines w:val="0"/>
                    <w:widowControl/>
                    <w:suppressLineNumbers w:val="0"/>
                    <w:jc w:val="center"/>
                    <w:textAlignment w:val="center"/>
                    <w:rPr>
                      <w:rFonts w:hint="default" w:ascii="Times New Roman" w:hAnsi="Times New Roman" w:eastAsia="宋体" w:cs="Times New Roman"/>
                      <w:color w:val="auto"/>
                      <w:kern w:val="2"/>
                      <w:sz w:val="21"/>
                      <w:szCs w:val="21"/>
                      <w:u w:val="none" w:color="auto"/>
                      <w:lang w:val="en-US" w:eastAsia="zh-CN" w:bidi="ar-SA"/>
                    </w:rPr>
                  </w:pPr>
                </w:p>
              </w:tc>
              <w:tc>
                <w:tcPr>
                  <w:tcW w:w="1295" w:type="pct"/>
                  <w:vMerge w:val="continue"/>
                  <w:tcBorders>
                    <w:tl2br w:val="nil"/>
                    <w:tr2bl w:val="nil"/>
                  </w:tcBorders>
                  <w:shd w:val="clear" w:color="auto" w:fill="auto"/>
                  <w:noWrap w:val="0"/>
                  <w:vAlign w:val="center"/>
                </w:tcPr>
                <w:p w14:paraId="4EDD47AC">
                  <w:pPr>
                    <w:keepNext w:val="0"/>
                    <w:keepLines w:val="0"/>
                    <w:widowControl/>
                    <w:suppressLineNumbers w:val="0"/>
                    <w:jc w:val="center"/>
                    <w:textAlignment w:val="center"/>
                    <w:rPr>
                      <w:rFonts w:hint="default" w:ascii="Times New Roman" w:hAnsi="Times New Roman" w:eastAsia="宋体" w:cs="Times New Roman"/>
                      <w:color w:val="auto"/>
                      <w:kern w:val="0"/>
                      <w:sz w:val="21"/>
                      <w:szCs w:val="21"/>
                      <w:u w:val="none" w:color="auto"/>
                      <w:lang w:val="en-US" w:eastAsia="zh-CN" w:bidi="ar"/>
                    </w:rPr>
                  </w:pPr>
                </w:p>
              </w:tc>
              <w:tc>
                <w:tcPr>
                  <w:tcW w:w="253" w:type="pct"/>
                  <w:tcBorders>
                    <w:tl2br w:val="nil"/>
                    <w:tr2bl w:val="nil"/>
                  </w:tcBorders>
                  <w:shd w:val="clear" w:color="auto" w:fill="auto"/>
                  <w:noWrap w:val="0"/>
                  <w:vAlign w:val="center"/>
                </w:tcPr>
                <w:p w14:paraId="34F5B356">
                  <w:pPr>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Cs w:val="21"/>
                      <w:highlight w:val="none"/>
                      <w:u w:val="none" w:color="auto"/>
                      <w:lang w:val="en-US" w:eastAsia="zh-CN"/>
                    </w:rPr>
                    <w:t>师生</w:t>
                  </w:r>
                </w:p>
              </w:tc>
              <w:tc>
                <w:tcPr>
                  <w:tcW w:w="387" w:type="pct"/>
                  <w:tcBorders>
                    <w:tl2br w:val="nil"/>
                    <w:tr2bl w:val="nil"/>
                  </w:tcBorders>
                  <w:noWrap w:val="0"/>
                  <w:vAlign w:val="center"/>
                </w:tcPr>
                <w:p w14:paraId="38695B71">
                  <w:pPr>
                    <w:widowControl/>
                    <w:topLinePunct w:val="0"/>
                    <w:bidi w:val="0"/>
                    <w:adjustRightInd/>
                    <w:snapToGrid/>
                    <w:jc w:val="center"/>
                    <w:textAlignment w:val="center"/>
                    <w:rPr>
                      <w:rFonts w:hint="default" w:ascii="Times New Roman" w:hAnsi="Times New Roman" w:eastAsia="宋体" w:cs="Times New Roman"/>
                      <w:color w:val="auto"/>
                      <w:szCs w:val="21"/>
                      <w:u w:val="none" w:color="auto"/>
                      <w:lang w:val="en-US" w:eastAsia="zh-CN"/>
                    </w:rPr>
                  </w:pPr>
                  <w:r>
                    <w:rPr>
                      <w:rFonts w:hint="default" w:ascii="Times New Roman" w:hAnsi="Times New Roman" w:eastAsia="宋体" w:cs="Times New Roman"/>
                      <w:color w:val="auto"/>
                      <w:szCs w:val="21"/>
                      <w:u w:val="none" w:color="auto"/>
                      <w:lang w:val="en-US" w:eastAsia="zh-CN"/>
                    </w:rPr>
                    <w:t>约1500人</w:t>
                  </w:r>
                </w:p>
              </w:tc>
              <w:tc>
                <w:tcPr>
                  <w:tcW w:w="253" w:type="pct"/>
                  <w:vMerge w:val="continue"/>
                  <w:tcBorders>
                    <w:tl2br w:val="nil"/>
                    <w:tr2bl w:val="nil"/>
                  </w:tcBorders>
                  <w:noWrap w:val="0"/>
                  <w:vAlign w:val="center"/>
                </w:tcPr>
                <w:p w14:paraId="0416C459">
                  <w:pPr>
                    <w:jc w:val="center"/>
                    <w:rPr>
                      <w:rFonts w:hint="default" w:ascii="Times New Roman" w:hAnsi="Times New Roman" w:eastAsia="宋体" w:cs="Times New Roman"/>
                      <w:color w:val="auto"/>
                      <w:szCs w:val="21"/>
                      <w:highlight w:val="none"/>
                      <w:u w:val="none" w:color="auto"/>
                    </w:rPr>
                  </w:pPr>
                </w:p>
              </w:tc>
              <w:tc>
                <w:tcPr>
                  <w:tcW w:w="253" w:type="pct"/>
                  <w:tcBorders>
                    <w:tl2br w:val="nil"/>
                    <w:tr2bl w:val="nil"/>
                  </w:tcBorders>
                  <w:shd w:val="clear" w:color="auto" w:fill="auto"/>
                  <w:noWrap w:val="0"/>
                  <w:vAlign w:val="center"/>
                </w:tcPr>
                <w:p w14:paraId="4B116B61">
                  <w:pPr>
                    <w:widowControl/>
                    <w:topLinePunct w:val="0"/>
                    <w:bidi w:val="0"/>
                    <w:adjustRightInd/>
                    <w:snapToGrid/>
                    <w:jc w:val="center"/>
                    <w:textAlignment w:val="center"/>
                    <w:rPr>
                      <w:rFonts w:hint="default" w:ascii="Times New Roman" w:hAnsi="Times New Roman" w:eastAsia="宋体" w:cs="Times New Roman"/>
                      <w:color w:val="auto"/>
                      <w:kern w:val="0"/>
                      <w:sz w:val="21"/>
                      <w:szCs w:val="21"/>
                      <w:u w:val="none" w:color="auto"/>
                      <w:lang w:val="en-US" w:eastAsia="zh-CN" w:bidi="ar"/>
                    </w:rPr>
                  </w:pPr>
                  <w:r>
                    <w:rPr>
                      <w:rFonts w:hint="default" w:ascii="Times New Roman" w:hAnsi="Times New Roman" w:eastAsia="宋体" w:cs="Times New Roman"/>
                      <w:color w:val="auto"/>
                      <w:kern w:val="0"/>
                      <w:szCs w:val="21"/>
                      <w:u w:val="none" w:color="auto"/>
                      <w:lang w:val="en-US" w:eastAsia="zh-CN" w:bidi="ar"/>
                    </w:rPr>
                    <w:t>西南</w:t>
                  </w:r>
                </w:p>
              </w:tc>
              <w:tc>
                <w:tcPr>
                  <w:tcW w:w="568" w:type="pct"/>
                  <w:tcBorders>
                    <w:tl2br w:val="nil"/>
                    <w:tr2bl w:val="nil"/>
                  </w:tcBorders>
                  <w:noWrap w:val="0"/>
                  <w:vAlign w:val="center"/>
                </w:tcPr>
                <w:p w14:paraId="4301B540">
                  <w:pPr>
                    <w:widowControl/>
                    <w:topLinePunct w:val="0"/>
                    <w:bidi w:val="0"/>
                    <w:adjustRightInd/>
                    <w:snapToGrid/>
                    <w:jc w:val="center"/>
                    <w:textAlignment w:val="center"/>
                    <w:rPr>
                      <w:rFonts w:hint="default" w:ascii="Times New Roman" w:hAnsi="Times New Roman" w:eastAsia="宋体" w:cs="Times New Roman"/>
                      <w:color w:val="auto"/>
                      <w:kern w:val="0"/>
                      <w:szCs w:val="21"/>
                      <w:u w:val="none" w:color="auto"/>
                      <w:lang w:val="en-US" w:eastAsia="zh-CN" w:bidi="ar"/>
                    </w:rPr>
                  </w:pPr>
                  <w:r>
                    <w:rPr>
                      <w:rFonts w:hint="default" w:ascii="Times New Roman" w:hAnsi="Times New Roman" w:eastAsia="宋体" w:cs="Times New Roman"/>
                      <w:color w:val="auto"/>
                      <w:kern w:val="0"/>
                      <w:szCs w:val="21"/>
                      <w:u w:val="none" w:color="auto"/>
                      <w:lang w:val="en-US" w:eastAsia="zh-CN" w:bidi="ar"/>
                    </w:rPr>
                    <w:t>217~451</w:t>
                  </w:r>
                </w:p>
              </w:tc>
            </w:tr>
            <w:tr w14:paraId="1B10813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253" w:type="pct"/>
                  <w:vMerge w:val="continue"/>
                  <w:tcBorders>
                    <w:tl2br w:val="nil"/>
                    <w:tr2bl w:val="nil"/>
                  </w:tcBorders>
                  <w:noWrap w:val="0"/>
                  <w:vAlign w:val="center"/>
                </w:tcPr>
                <w:p w14:paraId="66F2E062">
                  <w:pPr>
                    <w:widowControl/>
                    <w:topLinePunct w:val="0"/>
                    <w:bidi w:val="0"/>
                    <w:adjustRightInd/>
                    <w:snapToGrid/>
                    <w:jc w:val="center"/>
                    <w:textAlignment w:val="center"/>
                    <w:rPr>
                      <w:rFonts w:hint="default" w:ascii="Times New Roman" w:hAnsi="Times New Roman" w:eastAsia="宋体" w:cs="Times New Roman"/>
                      <w:color w:val="auto"/>
                      <w:kern w:val="0"/>
                      <w:szCs w:val="21"/>
                      <w:u w:val="none" w:color="auto"/>
                      <w:lang w:bidi="ar"/>
                    </w:rPr>
                  </w:pPr>
                </w:p>
              </w:tc>
              <w:tc>
                <w:tcPr>
                  <w:tcW w:w="777" w:type="pct"/>
                  <w:tcBorders>
                    <w:tl2br w:val="nil"/>
                    <w:tr2bl w:val="nil"/>
                  </w:tcBorders>
                  <w:shd w:val="clear" w:color="auto" w:fill="auto"/>
                  <w:noWrap w:val="0"/>
                  <w:vAlign w:val="center"/>
                </w:tcPr>
                <w:p w14:paraId="0ED15D26">
                  <w:pPr>
                    <w:jc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岳阳市城陵矶高新产业园办公楼</w:t>
                  </w:r>
                </w:p>
              </w:tc>
              <w:tc>
                <w:tcPr>
                  <w:tcW w:w="957" w:type="pct"/>
                  <w:tcBorders>
                    <w:tl2br w:val="nil"/>
                    <w:tr2bl w:val="nil"/>
                  </w:tcBorders>
                  <w:shd w:val="clear" w:color="auto" w:fill="auto"/>
                  <w:noWrap w:val="0"/>
                  <w:vAlign w:val="center"/>
                </w:tcPr>
                <w:p w14:paraId="10C8CC9E">
                  <w:pPr>
                    <w:jc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113°12′15.20747″</w:t>
                  </w:r>
                </w:p>
              </w:tc>
              <w:tc>
                <w:tcPr>
                  <w:tcW w:w="1295" w:type="pct"/>
                  <w:tcBorders>
                    <w:tl2br w:val="nil"/>
                    <w:tr2bl w:val="nil"/>
                  </w:tcBorders>
                  <w:shd w:val="clear" w:color="auto" w:fill="auto"/>
                  <w:noWrap w:val="0"/>
                  <w:vAlign w:val="center"/>
                </w:tcPr>
                <w:p w14:paraId="3199CB46">
                  <w:pPr>
                    <w:jc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29°28′0.01623″</w:t>
                  </w:r>
                </w:p>
              </w:tc>
              <w:tc>
                <w:tcPr>
                  <w:tcW w:w="253" w:type="pct"/>
                  <w:tcBorders>
                    <w:tl2br w:val="nil"/>
                    <w:tr2bl w:val="nil"/>
                  </w:tcBorders>
                  <w:shd w:val="clear" w:color="auto" w:fill="auto"/>
                  <w:noWrap w:val="0"/>
                  <w:vAlign w:val="center"/>
                </w:tcPr>
                <w:p w14:paraId="1CE13BBA">
                  <w:pPr>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Cs w:val="21"/>
                      <w:u w:val="none" w:color="auto"/>
                    </w:rPr>
                    <w:t>行政办公</w:t>
                  </w:r>
                </w:p>
              </w:tc>
              <w:tc>
                <w:tcPr>
                  <w:tcW w:w="387" w:type="pct"/>
                  <w:tcBorders>
                    <w:tl2br w:val="nil"/>
                    <w:tr2bl w:val="nil"/>
                  </w:tcBorders>
                  <w:shd w:val="clear" w:color="auto" w:fill="auto"/>
                  <w:noWrap w:val="0"/>
                  <w:vAlign w:val="center"/>
                </w:tcPr>
                <w:p w14:paraId="298C5FFA">
                  <w:pPr>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Cs w:val="21"/>
                      <w:u w:val="none" w:color="auto"/>
                    </w:rPr>
                    <w:t>500人</w:t>
                  </w:r>
                </w:p>
              </w:tc>
              <w:tc>
                <w:tcPr>
                  <w:tcW w:w="253" w:type="pct"/>
                  <w:vMerge w:val="continue"/>
                  <w:tcBorders>
                    <w:tl2br w:val="nil"/>
                    <w:tr2bl w:val="nil"/>
                  </w:tcBorders>
                  <w:shd w:val="clear" w:color="auto" w:fill="auto"/>
                  <w:noWrap w:val="0"/>
                  <w:vAlign w:val="center"/>
                </w:tcPr>
                <w:p w14:paraId="407C7499">
                  <w:pPr>
                    <w:jc w:val="center"/>
                    <w:rPr>
                      <w:rFonts w:hint="default" w:ascii="Times New Roman" w:hAnsi="Times New Roman" w:eastAsia="宋体" w:cs="Times New Roman"/>
                      <w:color w:val="auto"/>
                      <w:kern w:val="2"/>
                      <w:sz w:val="21"/>
                      <w:szCs w:val="21"/>
                      <w:u w:val="none" w:color="auto"/>
                      <w:lang w:val="en-US" w:eastAsia="zh-CN" w:bidi="ar-SA"/>
                    </w:rPr>
                  </w:pPr>
                </w:p>
              </w:tc>
              <w:tc>
                <w:tcPr>
                  <w:tcW w:w="253" w:type="pct"/>
                  <w:tcBorders>
                    <w:tl2br w:val="nil"/>
                    <w:tr2bl w:val="nil"/>
                  </w:tcBorders>
                  <w:shd w:val="clear" w:color="auto" w:fill="auto"/>
                  <w:noWrap w:val="0"/>
                  <w:vAlign w:val="center"/>
                </w:tcPr>
                <w:p w14:paraId="3F476B88">
                  <w:pPr>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Cs w:val="21"/>
                      <w:u w:val="none" w:color="auto"/>
                    </w:rPr>
                    <w:t>东</w:t>
                  </w:r>
                </w:p>
              </w:tc>
              <w:tc>
                <w:tcPr>
                  <w:tcW w:w="568" w:type="pct"/>
                  <w:tcBorders>
                    <w:tl2br w:val="nil"/>
                    <w:tr2bl w:val="nil"/>
                  </w:tcBorders>
                  <w:shd w:val="clear" w:color="auto" w:fill="auto"/>
                  <w:noWrap w:val="0"/>
                  <w:vAlign w:val="center"/>
                </w:tcPr>
                <w:p w14:paraId="65E9733A">
                  <w:pPr>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Cs w:val="21"/>
                      <w:u w:val="none" w:color="auto"/>
                      <w:lang w:val="en-US" w:eastAsia="zh-CN"/>
                    </w:rPr>
                    <w:t>354~411</w:t>
                  </w:r>
                </w:p>
              </w:tc>
            </w:tr>
            <w:tr w14:paraId="5AD5BE4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253" w:type="pct"/>
                  <w:vMerge w:val="continue"/>
                  <w:tcBorders>
                    <w:tl2br w:val="nil"/>
                    <w:tr2bl w:val="nil"/>
                  </w:tcBorders>
                  <w:noWrap w:val="0"/>
                  <w:vAlign w:val="center"/>
                </w:tcPr>
                <w:p w14:paraId="50F00160">
                  <w:pPr>
                    <w:widowControl/>
                    <w:topLinePunct w:val="0"/>
                    <w:bidi w:val="0"/>
                    <w:adjustRightInd/>
                    <w:snapToGrid/>
                    <w:jc w:val="center"/>
                    <w:textAlignment w:val="center"/>
                    <w:rPr>
                      <w:rFonts w:hint="default" w:ascii="Times New Roman" w:hAnsi="Times New Roman" w:eastAsia="宋体" w:cs="Times New Roman"/>
                      <w:color w:val="auto"/>
                      <w:kern w:val="0"/>
                      <w:szCs w:val="21"/>
                      <w:u w:val="none" w:color="auto"/>
                      <w:lang w:bidi="ar"/>
                    </w:rPr>
                  </w:pPr>
                </w:p>
              </w:tc>
              <w:tc>
                <w:tcPr>
                  <w:tcW w:w="777" w:type="pct"/>
                  <w:tcBorders>
                    <w:tl2br w:val="nil"/>
                    <w:tr2bl w:val="nil"/>
                  </w:tcBorders>
                  <w:shd w:val="clear" w:color="auto" w:fill="auto"/>
                  <w:noWrap w:val="0"/>
                  <w:vAlign w:val="center"/>
                </w:tcPr>
                <w:p w14:paraId="66B00F11">
                  <w:pPr>
                    <w:jc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滨湖村居民-1</w:t>
                  </w:r>
                </w:p>
              </w:tc>
              <w:tc>
                <w:tcPr>
                  <w:tcW w:w="957" w:type="pct"/>
                  <w:tcBorders>
                    <w:tl2br w:val="nil"/>
                    <w:tr2bl w:val="nil"/>
                  </w:tcBorders>
                  <w:shd w:val="clear" w:color="auto" w:fill="auto"/>
                  <w:noWrap w:val="0"/>
                  <w:vAlign w:val="center"/>
                </w:tcPr>
                <w:p w14:paraId="05F4B883">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val="en-US" w:eastAsia="zh-CN"/>
                    </w:rPr>
                    <w:t>113°12′5.89913″</w:t>
                  </w:r>
                </w:p>
              </w:tc>
              <w:tc>
                <w:tcPr>
                  <w:tcW w:w="1295" w:type="pct"/>
                  <w:tcBorders>
                    <w:tl2br w:val="nil"/>
                    <w:tr2bl w:val="nil"/>
                  </w:tcBorders>
                  <w:shd w:val="clear" w:color="auto" w:fill="auto"/>
                  <w:noWrap w:val="0"/>
                  <w:vAlign w:val="center"/>
                </w:tcPr>
                <w:p w14:paraId="5E4CC133">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val="en-US" w:eastAsia="zh-CN"/>
                    </w:rPr>
                    <w:t>29°27′47.92698″</w:t>
                  </w:r>
                </w:p>
              </w:tc>
              <w:tc>
                <w:tcPr>
                  <w:tcW w:w="253" w:type="pct"/>
                  <w:vMerge w:val="restart"/>
                  <w:tcBorders>
                    <w:tl2br w:val="nil"/>
                    <w:tr2bl w:val="nil"/>
                  </w:tcBorders>
                  <w:shd w:val="clear" w:color="auto" w:fill="auto"/>
                  <w:noWrap w:val="0"/>
                  <w:vAlign w:val="center"/>
                </w:tcPr>
                <w:p w14:paraId="59DC5952">
                  <w:pPr>
                    <w:jc w:val="center"/>
                    <w:rPr>
                      <w:rFonts w:hint="default" w:ascii="Times New Roman" w:hAnsi="Times New Roman" w:eastAsia="宋体" w:cs="Times New Roman"/>
                      <w:color w:val="auto"/>
                      <w:szCs w:val="21"/>
                      <w:u w:val="none" w:color="auto"/>
                      <w:lang w:val="en-US" w:eastAsia="zh-CN"/>
                    </w:rPr>
                  </w:pPr>
                  <w:r>
                    <w:rPr>
                      <w:rFonts w:hint="default" w:ascii="Times New Roman" w:hAnsi="Times New Roman" w:eastAsia="宋体" w:cs="Times New Roman"/>
                      <w:color w:val="auto"/>
                      <w:szCs w:val="21"/>
                      <w:u w:val="none" w:color="auto"/>
                      <w:lang w:val="en-US" w:eastAsia="zh-CN"/>
                    </w:rPr>
                    <w:t>村民</w:t>
                  </w:r>
                </w:p>
              </w:tc>
              <w:tc>
                <w:tcPr>
                  <w:tcW w:w="387" w:type="pct"/>
                  <w:tcBorders>
                    <w:tl2br w:val="nil"/>
                    <w:tr2bl w:val="nil"/>
                  </w:tcBorders>
                  <w:shd w:val="clear" w:color="auto" w:fill="auto"/>
                  <w:noWrap w:val="0"/>
                  <w:vAlign w:val="center"/>
                </w:tcPr>
                <w:p w14:paraId="631CD834">
                  <w:pPr>
                    <w:jc w:val="center"/>
                    <w:rPr>
                      <w:rFonts w:hint="default" w:ascii="Times New Roman" w:hAnsi="Times New Roman" w:eastAsia="宋体" w:cs="Times New Roman"/>
                      <w:color w:val="auto"/>
                      <w:szCs w:val="21"/>
                      <w:u w:val="none" w:color="auto"/>
                      <w:lang w:val="en-US" w:eastAsia="zh-CN"/>
                    </w:rPr>
                  </w:pPr>
                  <w:r>
                    <w:rPr>
                      <w:rFonts w:hint="default" w:ascii="Times New Roman" w:hAnsi="Times New Roman" w:eastAsia="宋体" w:cs="Times New Roman"/>
                      <w:color w:val="auto"/>
                      <w:szCs w:val="21"/>
                      <w:u w:val="none" w:color="auto"/>
                      <w:lang w:val="en-US" w:eastAsia="zh-CN"/>
                    </w:rPr>
                    <w:t>27人</w:t>
                  </w:r>
                </w:p>
              </w:tc>
              <w:tc>
                <w:tcPr>
                  <w:tcW w:w="253" w:type="pct"/>
                  <w:vMerge w:val="continue"/>
                  <w:tcBorders>
                    <w:tl2br w:val="nil"/>
                    <w:tr2bl w:val="nil"/>
                  </w:tcBorders>
                  <w:shd w:val="clear" w:color="auto" w:fill="auto"/>
                  <w:noWrap w:val="0"/>
                  <w:vAlign w:val="center"/>
                </w:tcPr>
                <w:p w14:paraId="13AC1B2B">
                  <w:pPr>
                    <w:jc w:val="center"/>
                    <w:rPr>
                      <w:rFonts w:hint="default" w:ascii="Times New Roman" w:hAnsi="Times New Roman" w:eastAsia="宋体" w:cs="Times New Roman"/>
                      <w:color w:val="auto"/>
                      <w:kern w:val="2"/>
                      <w:sz w:val="21"/>
                      <w:szCs w:val="21"/>
                      <w:u w:val="none" w:color="auto"/>
                      <w:lang w:val="en-US" w:eastAsia="zh-CN" w:bidi="ar-SA"/>
                    </w:rPr>
                  </w:pPr>
                </w:p>
              </w:tc>
              <w:tc>
                <w:tcPr>
                  <w:tcW w:w="253" w:type="pct"/>
                  <w:tcBorders>
                    <w:tl2br w:val="nil"/>
                    <w:tr2bl w:val="nil"/>
                  </w:tcBorders>
                  <w:shd w:val="clear" w:color="auto" w:fill="auto"/>
                  <w:noWrap w:val="0"/>
                  <w:vAlign w:val="center"/>
                </w:tcPr>
                <w:p w14:paraId="7A4F462F">
                  <w:pPr>
                    <w:jc w:val="center"/>
                    <w:rPr>
                      <w:rFonts w:hint="default" w:ascii="Times New Roman" w:hAnsi="Times New Roman" w:eastAsia="宋体" w:cs="Times New Roman"/>
                      <w:color w:val="auto"/>
                      <w:szCs w:val="21"/>
                      <w:u w:val="none" w:color="auto"/>
                      <w:lang w:val="en-US" w:eastAsia="zh-CN"/>
                    </w:rPr>
                  </w:pPr>
                  <w:r>
                    <w:rPr>
                      <w:rFonts w:hint="default" w:ascii="Times New Roman" w:hAnsi="Times New Roman" w:eastAsia="宋体" w:cs="Times New Roman"/>
                      <w:color w:val="auto"/>
                      <w:szCs w:val="21"/>
                      <w:u w:val="none" w:color="auto"/>
                      <w:lang w:val="en-US" w:eastAsia="zh-CN"/>
                    </w:rPr>
                    <w:t>东南</w:t>
                  </w:r>
                </w:p>
              </w:tc>
              <w:tc>
                <w:tcPr>
                  <w:tcW w:w="568" w:type="pct"/>
                  <w:tcBorders>
                    <w:tl2br w:val="nil"/>
                    <w:tr2bl w:val="nil"/>
                  </w:tcBorders>
                  <w:shd w:val="clear" w:color="auto" w:fill="auto"/>
                  <w:noWrap w:val="0"/>
                  <w:vAlign w:val="center"/>
                </w:tcPr>
                <w:p w14:paraId="4E90D368">
                  <w:pPr>
                    <w:jc w:val="center"/>
                    <w:rPr>
                      <w:rFonts w:hint="default" w:ascii="Times New Roman" w:hAnsi="Times New Roman" w:eastAsia="宋体" w:cs="Times New Roman"/>
                      <w:color w:val="auto"/>
                      <w:szCs w:val="21"/>
                      <w:u w:val="none" w:color="auto"/>
                      <w:lang w:val="en-US" w:eastAsia="zh-CN"/>
                    </w:rPr>
                  </w:pPr>
                  <w:r>
                    <w:rPr>
                      <w:rFonts w:hint="default" w:ascii="Times New Roman" w:hAnsi="Times New Roman" w:eastAsia="宋体" w:cs="Times New Roman"/>
                      <w:color w:val="auto"/>
                      <w:szCs w:val="21"/>
                      <w:u w:val="none" w:color="auto"/>
                      <w:lang w:val="en-US" w:eastAsia="zh-CN"/>
                    </w:rPr>
                    <w:t>333~500</w:t>
                  </w:r>
                </w:p>
              </w:tc>
            </w:tr>
            <w:tr w14:paraId="44616F5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253" w:type="pct"/>
                  <w:vMerge w:val="continue"/>
                  <w:tcBorders>
                    <w:tl2br w:val="nil"/>
                    <w:tr2bl w:val="nil"/>
                  </w:tcBorders>
                  <w:noWrap w:val="0"/>
                  <w:vAlign w:val="center"/>
                </w:tcPr>
                <w:p w14:paraId="7106017A">
                  <w:pPr>
                    <w:widowControl/>
                    <w:topLinePunct w:val="0"/>
                    <w:bidi w:val="0"/>
                    <w:adjustRightInd/>
                    <w:snapToGrid/>
                    <w:jc w:val="center"/>
                    <w:textAlignment w:val="center"/>
                    <w:rPr>
                      <w:rFonts w:hint="default" w:ascii="Times New Roman" w:hAnsi="Times New Roman" w:eastAsia="宋体" w:cs="Times New Roman"/>
                      <w:color w:val="auto"/>
                      <w:kern w:val="0"/>
                      <w:szCs w:val="21"/>
                      <w:u w:val="none" w:color="auto"/>
                      <w:lang w:bidi="ar"/>
                    </w:rPr>
                  </w:pPr>
                </w:p>
              </w:tc>
              <w:tc>
                <w:tcPr>
                  <w:tcW w:w="777" w:type="pct"/>
                  <w:tcBorders>
                    <w:tl2br w:val="nil"/>
                    <w:tr2bl w:val="nil"/>
                  </w:tcBorders>
                  <w:shd w:val="clear" w:color="auto" w:fill="auto"/>
                  <w:noWrap w:val="0"/>
                  <w:vAlign w:val="center"/>
                </w:tcPr>
                <w:p w14:paraId="44CA081F">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val="en-US" w:eastAsia="zh-CN"/>
                    </w:rPr>
                    <w:t>滨湖村居民-2</w:t>
                  </w:r>
                </w:p>
              </w:tc>
              <w:tc>
                <w:tcPr>
                  <w:tcW w:w="957" w:type="pct"/>
                  <w:tcBorders>
                    <w:tl2br w:val="nil"/>
                    <w:tr2bl w:val="nil"/>
                  </w:tcBorders>
                  <w:shd w:val="clear" w:color="auto" w:fill="auto"/>
                  <w:noWrap w:val="0"/>
                  <w:vAlign w:val="center"/>
                </w:tcPr>
                <w:p w14:paraId="1BA0783E">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val="en-US" w:eastAsia="zh-CN"/>
                    </w:rPr>
                    <w:t>113°12′0.18280″</w:t>
                  </w:r>
                </w:p>
              </w:tc>
              <w:tc>
                <w:tcPr>
                  <w:tcW w:w="1295" w:type="pct"/>
                  <w:tcBorders>
                    <w:tl2br w:val="nil"/>
                    <w:tr2bl w:val="nil"/>
                  </w:tcBorders>
                  <w:shd w:val="clear" w:color="auto" w:fill="auto"/>
                  <w:noWrap w:val="0"/>
                  <w:vAlign w:val="center"/>
                </w:tcPr>
                <w:p w14:paraId="5CD91EB2">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val="en-US" w:eastAsia="zh-CN"/>
                    </w:rPr>
                    <w:t>29°27′52.25284″</w:t>
                  </w:r>
                </w:p>
              </w:tc>
              <w:tc>
                <w:tcPr>
                  <w:tcW w:w="253" w:type="pct"/>
                  <w:vMerge w:val="continue"/>
                  <w:tcBorders>
                    <w:tl2br w:val="nil"/>
                    <w:tr2bl w:val="nil"/>
                  </w:tcBorders>
                  <w:shd w:val="clear" w:color="auto" w:fill="auto"/>
                  <w:noWrap w:val="0"/>
                  <w:vAlign w:val="center"/>
                </w:tcPr>
                <w:p w14:paraId="5962D4AC">
                  <w:pPr>
                    <w:jc w:val="center"/>
                    <w:rPr>
                      <w:rFonts w:hint="default" w:ascii="Times New Roman" w:hAnsi="Times New Roman" w:eastAsia="宋体" w:cs="Times New Roman"/>
                      <w:color w:val="auto"/>
                      <w:szCs w:val="21"/>
                      <w:u w:val="none" w:color="auto"/>
                      <w:lang w:val="en-US" w:eastAsia="zh-CN"/>
                    </w:rPr>
                  </w:pPr>
                </w:p>
              </w:tc>
              <w:tc>
                <w:tcPr>
                  <w:tcW w:w="387" w:type="pct"/>
                  <w:tcBorders>
                    <w:tl2br w:val="nil"/>
                    <w:tr2bl w:val="nil"/>
                  </w:tcBorders>
                  <w:shd w:val="clear" w:color="auto" w:fill="auto"/>
                  <w:noWrap w:val="0"/>
                  <w:vAlign w:val="center"/>
                </w:tcPr>
                <w:p w14:paraId="332A45BA">
                  <w:pPr>
                    <w:jc w:val="center"/>
                    <w:rPr>
                      <w:rFonts w:hint="default" w:ascii="Times New Roman" w:hAnsi="Times New Roman" w:eastAsia="宋体" w:cs="Times New Roman"/>
                      <w:color w:val="auto"/>
                      <w:szCs w:val="21"/>
                      <w:u w:val="none" w:color="auto"/>
                      <w:lang w:val="en-US" w:eastAsia="zh-CN"/>
                    </w:rPr>
                  </w:pPr>
                  <w:r>
                    <w:rPr>
                      <w:rFonts w:hint="default" w:ascii="Times New Roman" w:hAnsi="Times New Roman" w:eastAsia="宋体" w:cs="Times New Roman"/>
                      <w:color w:val="auto"/>
                      <w:szCs w:val="21"/>
                      <w:u w:val="none" w:color="auto"/>
                      <w:lang w:val="en-US" w:eastAsia="zh-CN"/>
                    </w:rPr>
                    <w:t>2人</w:t>
                  </w:r>
                </w:p>
              </w:tc>
              <w:tc>
                <w:tcPr>
                  <w:tcW w:w="253" w:type="pct"/>
                  <w:vMerge w:val="continue"/>
                  <w:tcBorders>
                    <w:tl2br w:val="nil"/>
                    <w:tr2bl w:val="nil"/>
                  </w:tcBorders>
                  <w:shd w:val="clear" w:color="auto" w:fill="auto"/>
                  <w:noWrap w:val="0"/>
                  <w:vAlign w:val="center"/>
                </w:tcPr>
                <w:p w14:paraId="6DA35E27">
                  <w:pPr>
                    <w:jc w:val="center"/>
                    <w:rPr>
                      <w:rFonts w:hint="default" w:ascii="Times New Roman" w:hAnsi="Times New Roman" w:eastAsia="宋体" w:cs="Times New Roman"/>
                      <w:color w:val="auto"/>
                      <w:kern w:val="2"/>
                      <w:sz w:val="21"/>
                      <w:szCs w:val="21"/>
                      <w:u w:val="none" w:color="auto"/>
                      <w:lang w:val="en-US" w:eastAsia="zh-CN" w:bidi="ar-SA"/>
                    </w:rPr>
                  </w:pPr>
                </w:p>
              </w:tc>
              <w:tc>
                <w:tcPr>
                  <w:tcW w:w="253" w:type="pct"/>
                  <w:tcBorders>
                    <w:tl2br w:val="nil"/>
                    <w:tr2bl w:val="nil"/>
                  </w:tcBorders>
                  <w:shd w:val="clear" w:color="auto" w:fill="auto"/>
                  <w:noWrap w:val="0"/>
                  <w:vAlign w:val="center"/>
                </w:tcPr>
                <w:p w14:paraId="34839614">
                  <w:pPr>
                    <w:jc w:val="center"/>
                    <w:rPr>
                      <w:rFonts w:hint="default" w:ascii="Times New Roman" w:hAnsi="Times New Roman" w:eastAsia="宋体" w:cs="Times New Roman"/>
                      <w:color w:val="auto"/>
                      <w:szCs w:val="21"/>
                      <w:u w:val="none" w:color="auto"/>
                      <w:lang w:val="en-US" w:eastAsia="zh-CN"/>
                    </w:rPr>
                  </w:pPr>
                  <w:r>
                    <w:rPr>
                      <w:rFonts w:hint="default" w:ascii="Times New Roman" w:hAnsi="Times New Roman" w:eastAsia="宋体" w:cs="Times New Roman"/>
                      <w:color w:val="auto"/>
                      <w:szCs w:val="21"/>
                      <w:u w:val="none" w:color="auto"/>
                      <w:lang w:val="en-US" w:eastAsia="zh-CN"/>
                    </w:rPr>
                    <w:t>南</w:t>
                  </w:r>
                </w:p>
              </w:tc>
              <w:tc>
                <w:tcPr>
                  <w:tcW w:w="568" w:type="pct"/>
                  <w:tcBorders>
                    <w:tl2br w:val="nil"/>
                    <w:tr2bl w:val="nil"/>
                  </w:tcBorders>
                  <w:shd w:val="clear" w:color="auto" w:fill="auto"/>
                  <w:noWrap w:val="0"/>
                  <w:vAlign w:val="center"/>
                </w:tcPr>
                <w:p w14:paraId="4A66D528">
                  <w:pPr>
                    <w:jc w:val="center"/>
                    <w:rPr>
                      <w:rFonts w:hint="default" w:ascii="Times New Roman" w:hAnsi="Times New Roman" w:eastAsia="宋体" w:cs="Times New Roman"/>
                      <w:color w:val="auto"/>
                      <w:szCs w:val="21"/>
                      <w:u w:val="none" w:color="auto"/>
                      <w:lang w:val="en-US" w:eastAsia="zh-CN"/>
                    </w:rPr>
                  </w:pPr>
                  <w:r>
                    <w:rPr>
                      <w:rFonts w:hint="default" w:ascii="Times New Roman" w:hAnsi="Times New Roman" w:eastAsia="宋体" w:cs="Times New Roman"/>
                      <w:color w:val="auto"/>
                      <w:szCs w:val="21"/>
                      <w:u w:val="none" w:color="auto"/>
                      <w:lang w:val="en-US" w:eastAsia="zh-CN"/>
                    </w:rPr>
                    <w:t>271</w:t>
                  </w:r>
                </w:p>
              </w:tc>
            </w:tr>
            <w:tr w14:paraId="53321BD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253" w:type="pct"/>
                  <w:vMerge w:val="continue"/>
                  <w:tcBorders>
                    <w:tl2br w:val="nil"/>
                    <w:tr2bl w:val="nil"/>
                  </w:tcBorders>
                  <w:noWrap w:val="0"/>
                  <w:vAlign w:val="center"/>
                </w:tcPr>
                <w:p w14:paraId="1BEDF2B4">
                  <w:pPr>
                    <w:widowControl/>
                    <w:topLinePunct w:val="0"/>
                    <w:bidi w:val="0"/>
                    <w:adjustRightInd/>
                    <w:snapToGrid/>
                    <w:jc w:val="center"/>
                    <w:textAlignment w:val="center"/>
                    <w:rPr>
                      <w:rFonts w:hint="default" w:ascii="Times New Roman" w:hAnsi="Times New Roman" w:eastAsia="宋体" w:cs="Times New Roman"/>
                      <w:color w:val="auto"/>
                      <w:kern w:val="0"/>
                      <w:szCs w:val="21"/>
                      <w:u w:val="none" w:color="auto"/>
                      <w:lang w:bidi="ar"/>
                    </w:rPr>
                  </w:pPr>
                </w:p>
              </w:tc>
              <w:tc>
                <w:tcPr>
                  <w:tcW w:w="777" w:type="pct"/>
                  <w:tcBorders>
                    <w:tl2br w:val="nil"/>
                    <w:tr2bl w:val="nil"/>
                  </w:tcBorders>
                  <w:shd w:val="clear" w:color="auto" w:fill="auto"/>
                  <w:noWrap w:val="0"/>
                  <w:vAlign w:val="center"/>
                </w:tcPr>
                <w:p w14:paraId="42DD9175">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val="en-US" w:eastAsia="zh-CN"/>
                    </w:rPr>
                    <w:t>滨湖村居民-3</w:t>
                  </w:r>
                </w:p>
              </w:tc>
              <w:tc>
                <w:tcPr>
                  <w:tcW w:w="957" w:type="pct"/>
                  <w:tcBorders>
                    <w:tl2br w:val="nil"/>
                    <w:tr2bl w:val="nil"/>
                  </w:tcBorders>
                  <w:shd w:val="clear" w:color="auto" w:fill="auto"/>
                  <w:noWrap w:val="0"/>
                  <w:vAlign w:val="center"/>
                </w:tcPr>
                <w:p w14:paraId="41AE390D">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val="en-US" w:eastAsia="zh-CN"/>
                    </w:rPr>
                    <w:t>113°11′51.18346″</w:t>
                  </w:r>
                </w:p>
              </w:tc>
              <w:tc>
                <w:tcPr>
                  <w:tcW w:w="1295" w:type="pct"/>
                  <w:tcBorders>
                    <w:tl2br w:val="nil"/>
                    <w:tr2bl w:val="nil"/>
                  </w:tcBorders>
                  <w:shd w:val="clear" w:color="auto" w:fill="auto"/>
                  <w:noWrap w:val="0"/>
                  <w:vAlign w:val="center"/>
                </w:tcPr>
                <w:p w14:paraId="46797484">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val="en-US" w:eastAsia="zh-CN"/>
                    </w:rPr>
                    <w:t>29°27′52.25284″</w:t>
                  </w:r>
                </w:p>
              </w:tc>
              <w:tc>
                <w:tcPr>
                  <w:tcW w:w="253" w:type="pct"/>
                  <w:vMerge w:val="continue"/>
                  <w:tcBorders>
                    <w:tl2br w:val="nil"/>
                    <w:tr2bl w:val="nil"/>
                  </w:tcBorders>
                  <w:shd w:val="clear" w:color="auto" w:fill="auto"/>
                  <w:noWrap w:val="0"/>
                  <w:vAlign w:val="center"/>
                </w:tcPr>
                <w:p w14:paraId="11289813">
                  <w:pPr>
                    <w:jc w:val="center"/>
                    <w:rPr>
                      <w:rFonts w:hint="default" w:ascii="Times New Roman" w:hAnsi="Times New Roman" w:eastAsia="宋体" w:cs="Times New Roman"/>
                      <w:color w:val="auto"/>
                      <w:szCs w:val="21"/>
                      <w:u w:val="none" w:color="auto"/>
                      <w:lang w:val="en-US" w:eastAsia="zh-CN"/>
                    </w:rPr>
                  </w:pPr>
                </w:p>
              </w:tc>
              <w:tc>
                <w:tcPr>
                  <w:tcW w:w="387" w:type="pct"/>
                  <w:tcBorders>
                    <w:tl2br w:val="nil"/>
                    <w:tr2bl w:val="nil"/>
                  </w:tcBorders>
                  <w:shd w:val="clear" w:color="auto" w:fill="auto"/>
                  <w:noWrap w:val="0"/>
                  <w:vAlign w:val="center"/>
                </w:tcPr>
                <w:p w14:paraId="3ABD56C7">
                  <w:pPr>
                    <w:jc w:val="center"/>
                    <w:rPr>
                      <w:rFonts w:hint="default" w:ascii="Times New Roman" w:hAnsi="Times New Roman" w:eastAsia="宋体" w:cs="Times New Roman"/>
                      <w:color w:val="auto"/>
                      <w:szCs w:val="21"/>
                      <w:u w:val="none" w:color="auto"/>
                      <w:lang w:val="en-US" w:eastAsia="zh-CN"/>
                    </w:rPr>
                  </w:pPr>
                  <w:r>
                    <w:rPr>
                      <w:rFonts w:hint="default" w:ascii="Times New Roman" w:hAnsi="Times New Roman" w:eastAsia="宋体" w:cs="Times New Roman"/>
                      <w:color w:val="auto"/>
                      <w:szCs w:val="21"/>
                      <w:u w:val="none" w:color="auto"/>
                      <w:lang w:val="en-US" w:eastAsia="zh-CN"/>
                    </w:rPr>
                    <w:t>4人</w:t>
                  </w:r>
                </w:p>
              </w:tc>
              <w:tc>
                <w:tcPr>
                  <w:tcW w:w="253" w:type="pct"/>
                  <w:vMerge w:val="continue"/>
                  <w:tcBorders>
                    <w:tl2br w:val="nil"/>
                    <w:tr2bl w:val="nil"/>
                  </w:tcBorders>
                  <w:shd w:val="clear" w:color="auto" w:fill="auto"/>
                  <w:noWrap w:val="0"/>
                  <w:vAlign w:val="center"/>
                </w:tcPr>
                <w:p w14:paraId="0AA45222">
                  <w:pPr>
                    <w:jc w:val="center"/>
                    <w:rPr>
                      <w:rFonts w:hint="default" w:ascii="Times New Roman" w:hAnsi="Times New Roman" w:eastAsia="宋体" w:cs="Times New Roman"/>
                      <w:color w:val="auto"/>
                      <w:kern w:val="2"/>
                      <w:sz w:val="21"/>
                      <w:szCs w:val="21"/>
                      <w:u w:val="none" w:color="auto"/>
                      <w:lang w:val="en-US" w:eastAsia="zh-CN" w:bidi="ar-SA"/>
                    </w:rPr>
                  </w:pPr>
                </w:p>
              </w:tc>
              <w:tc>
                <w:tcPr>
                  <w:tcW w:w="253" w:type="pct"/>
                  <w:tcBorders>
                    <w:tl2br w:val="nil"/>
                    <w:tr2bl w:val="nil"/>
                  </w:tcBorders>
                  <w:shd w:val="clear" w:color="auto" w:fill="auto"/>
                  <w:noWrap w:val="0"/>
                  <w:vAlign w:val="center"/>
                </w:tcPr>
                <w:p w14:paraId="0CF9479D">
                  <w:pPr>
                    <w:jc w:val="center"/>
                    <w:rPr>
                      <w:rFonts w:hint="default" w:ascii="Times New Roman" w:hAnsi="Times New Roman" w:eastAsia="宋体" w:cs="Times New Roman"/>
                      <w:color w:val="auto"/>
                      <w:szCs w:val="21"/>
                      <w:u w:val="none" w:color="auto"/>
                      <w:lang w:val="en-US" w:eastAsia="zh-CN"/>
                    </w:rPr>
                  </w:pPr>
                  <w:r>
                    <w:rPr>
                      <w:rFonts w:hint="default" w:ascii="Times New Roman" w:hAnsi="Times New Roman" w:eastAsia="宋体" w:cs="Times New Roman"/>
                      <w:color w:val="auto"/>
                      <w:szCs w:val="21"/>
                      <w:u w:val="none" w:color="auto"/>
                      <w:lang w:val="en-US" w:eastAsia="zh-CN"/>
                    </w:rPr>
                    <w:t>南</w:t>
                  </w:r>
                </w:p>
              </w:tc>
              <w:tc>
                <w:tcPr>
                  <w:tcW w:w="568" w:type="pct"/>
                  <w:tcBorders>
                    <w:tl2br w:val="nil"/>
                    <w:tr2bl w:val="nil"/>
                  </w:tcBorders>
                  <w:shd w:val="clear" w:color="auto" w:fill="auto"/>
                  <w:noWrap w:val="0"/>
                  <w:vAlign w:val="center"/>
                </w:tcPr>
                <w:p w14:paraId="5CD20AEA">
                  <w:pPr>
                    <w:jc w:val="center"/>
                    <w:rPr>
                      <w:rFonts w:hint="default" w:ascii="Times New Roman" w:hAnsi="Times New Roman" w:eastAsia="宋体" w:cs="Times New Roman"/>
                      <w:color w:val="auto"/>
                      <w:szCs w:val="21"/>
                      <w:u w:val="none" w:color="auto"/>
                      <w:lang w:val="en-US" w:eastAsia="zh-CN"/>
                    </w:rPr>
                  </w:pPr>
                  <w:r>
                    <w:rPr>
                      <w:rFonts w:hint="default" w:ascii="Times New Roman" w:hAnsi="Times New Roman" w:eastAsia="宋体" w:cs="Times New Roman"/>
                      <w:color w:val="auto"/>
                      <w:szCs w:val="21"/>
                      <w:u w:val="none" w:color="auto"/>
                      <w:lang w:val="en-US" w:eastAsia="zh-CN"/>
                    </w:rPr>
                    <w:t>286</w:t>
                  </w:r>
                </w:p>
              </w:tc>
            </w:tr>
            <w:tr w14:paraId="4F4A4DE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253" w:type="pct"/>
                  <w:vMerge w:val="continue"/>
                  <w:tcBorders>
                    <w:tl2br w:val="nil"/>
                    <w:tr2bl w:val="nil"/>
                  </w:tcBorders>
                  <w:noWrap w:val="0"/>
                  <w:vAlign w:val="center"/>
                </w:tcPr>
                <w:p w14:paraId="32F5B6D7">
                  <w:pPr>
                    <w:widowControl/>
                    <w:topLinePunct w:val="0"/>
                    <w:bidi w:val="0"/>
                    <w:adjustRightInd/>
                    <w:snapToGrid/>
                    <w:jc w:val="center"/>
                    <w:textAlignment w:val="center"/>
                    <w:rPr>
                      <w:rFonts w:hint="default" w:ascii="Times New Roman" w:hAnsi="Times New Roman" w:eastAsia="宋体" w:cs="Times New Roman"/>
                      <w:color w:val="auto"/>
                      <w:kern w:val="0"/>
                      <w:szCs w:val="21"/>
                      <w:u w:val="none" w:color="auto"/>
                      <w:lang w:bidi="ar"/>
                    </w:rPr>
                  </w:pPr>
                </w:p>
              </w:tc>
              <w:tc>
                <w:tcPr>
                  <w:tcW w:w="777" w:type="pct"/>
                  <w:tcBorders>
                    <w:tl2br w:val="nil"/>
                    <w:tr2bl w:val="nil"/>
                  </w:tcBorders>
                  <w:shd w:val="clear" w:color="auto" w:fill="auto"/>
                  <w:noWrap w:val="0"/>
                  <w:vAlign w:val="center"/>
                </w:tcPr>
                <w:p w14:paraId="1CD5B315">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val="en-US" w:eastAsia="zh-CN"/>
                    </w:rPr>
                    <w:t>滨湖村居民-4</w:t>
                  </w:r>
                </w:p>
              </w:tc>
              <w:tc>
                <w:tcPr>
                  <w:tcW w:w="957" w:type="pct"/>
                  <w:tcBorders>
                    <w:tl2br w:val="nil"/>
                    <w:tr2bl w:val="nil"/>
                  </w:tcBorders>
                  <w:shd w:val="clear" w:color="auto" w:fill="auto"/>
                  <w:noWrap w:val="0"/>
                  <w:vAlign w:val="center"/>
                </w:tcPr>
                <w:p w14:paraId="5D3DCB5C">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val="en-US" w:eastAsia="zh-CN"/>
                    </w:rPr>
                    <w:t>113°11′43.69044″</w:t>
                  </w:r>
                </w:p>
              </w:tc>
              <w:tc>
                <w:tcPr>
                  <w:tcW w:w="1295" w:type="pct"/>
                  <w:tcBorders>
                    <w:tl2br w:val="nil"/>
                    <w:tr2bl w:val="nil"/>
                  </w:tcBorders>
                  <w:shd w:val="clear" w:color="auto" w:fill="auto"/>
                  <w:noWrap w:val="0"/>
                  <w:vAlign w:val="center"/>
                </w:tcPr>
                <w:p w14:paraId="718A7698">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val="en-US" w:eastAsia="zh-CN"/>
                    </w:rPr>
                    <w:t>29°27′52.48459″</w:t>
                  </w:r>
                </w:p>
              </w:tc>
              <w:tc>
                <w:tcPr>
                  <w:tcW w:w="253" w:type="pct"/>
                  <w:vMerge w:val="continue"/>
                  <w:tcBorders>
                    <w:tl2br w:val="nil"/>
                    <w:tr2bl w:val="nil"/>
                  </w:tcBorders>
                  <w:shd w:val="clear" w:color="auto" w:fill="auto"/>
                  <w:noWrap w:val="0"/>
                  <w:vAlign w:val="center"/>
                </w:tcPr>
                <w:p w14:paraId="7E9CC96F">
                  <w:pPr>
                    <w:jc w:val="center"/>
                    <w:rPr>
                      <w:rFonts w:hint="default" w:ascii="Times New Roman" w:hAnsi="Times New Roman" w:eastAsia="宋体" w:cs="Times New Roman"/>
                      <w:color w:val="auto"/>
                      <w:szCs w:val="21"/>
                      <w:u w:val="none" w:color="auto"/>
                      <w:lang w:val="en-US" w:eastAsia="zh-CN"/>
                    </w:rPr>
                  </w:pPr>
                </w:p>
              </w:tc>
              <w:tc>
                <w:tcPr>
                  <w:tcW w:w="387" w:type="pct"/>
                  <w:tcBorders>
                    <w:tl2br w:val="nil"/>
                    <w:tr2bl w:val="nil"/>
                  </w:tcBorders>
                  <w:shd w:val="clear" w:color="auto" w:fill="auto"/>
                  <w:noWrap w:val="0"/>
                  <w:vAlign w:val="center"/>
                </w:tcPr>
                <w:p w14:paraId="41FDECAA">
                  <w:pPr>
                    <w:jc w:val="center"/>
                    <w:rPr>
                      <w:rFonts w:hint="default" w:ascii="Times New Roman" w:hAnsi="Times New Roman" w:eastAsia="宋体" w:cs="Times New Roman"/>
                      <w:color w:val="auto"/>
                      <w:szCs w:val="21"/>
                      <w:u w:val="none" w:color="auto"/>
                      <w:lang w:val="en-US" w:eastAsia="zh-CN"/>
                    </w:rPr>
                  </w:pPr>
                  <w:r>
                    <w:rPr>
                      <w:rFonts w:hint="default" w:ascii="Times New Roman" w:hAnsi="Times New Roman" w:eastAsia="宋体" w:cs="Times New Roman"/>
                      <w:color w:val="auto"/>
                      <w:szCs w:val="21"/>
                      <w:u w:val="none" w:color="auto"/>
                      <w:lang w:val="en-US" w:eastAsia="zh-CN"/>
                    </w:rPr>
                    <w:t>2人</w:t>
                  </w:r>
                </w:p>
              </w:tc>
              <w:tc>
                <w:tcPr>
                  <w:tcW w:w="253" w:type="pct"/>
                  <w:vMerge w:val="continue"/>
                  <w:tcBorders>
                    <w:tl2br w:val="nil"/>
                    <w:tr2bl w:val="nil"/>
                  </w:tcBorders>
                  <w:shd w:val="clear" w:color="auto" w:fill="auto"/>
                  <w:noWrap w:val="0"/>
                  <w:vAlign w:val="center"/>
                </w:tcPr>
                <w:p w14:paraId="29C4AF0B">
                  <w:pPr>
                    <w:jc w:val="center"/>
                    <w:rPr>
                      <w:rFonts w:hint="default" w:ascii="Times New Roman" w:hAnsi="Times New Roman" w:eastAsia="宋体" w:cs="Times New Roman"/>
                      <w:color w:val="auto"/>
                      <w:kern w:val="2"/>
                      <w:sz w:val="21"/>
                      <w:szCs w:val="21"/>
                      <w:u w:val="none" w:color="auto"/>
                      <w:lang w:val="en-US" w:eastAsia="zh-CN" w:bidi="ar-SA"/>
                    </w:rPr>
                  </w:pPr>
                </w:p>
              </w:tc>
              <w:tc>
                <w:tcPr>
                  <w:tcW w:w="253" w:type="pct"/>
                  <w:tcBorders>
                    <w:tl2br w:val="nil"/>
                    <w:tr2bl w:val="nil"/>
                  </w:tcBorders>
                  <w:shd w:val="clear" w:color="auto" w:fill="auto"/>
                  <w:noWrap w:val="0"/>
                  <w:vAlign w:val="center"/>
                </w:tcPr>
                <w:p w14:paraId="46907989">
                  <w:pPr>
                    <w:jc w:val="center"/>
                    <w:rPr>
                      <w:rFonts w:hint="default" w:ascii="Times New Roman" w:hAnsi="Times New Roman" w:eastAsia="宋体" w:cs="Times New Roman"/>
                      <w:color w:val="auto"/>
                      <w:szCs w:val="21"/>
                      <w:u w:val="none" w:color="auto"/>
                      <w:lang w:val="en-US" w:eastAsia="zh-CN"/>
                    </w:rPr>
                  </w:pPr>
                  <w:r>
                    <w:rPr>
                      <w:rFonts w:hint="default" w:ascii="Times New Roman" w:hAnsi="Times New Roman" w:eastAsia="宋体" w:cs="Times New Roman"/>
                      <w:color w:val="auto"/>
                      <w:szCs w:val="21"/>
                      <w:u w:val="none" w:color="auto"/>
                      <w:lang w:val="en-US" w:eastAsia="zh-CN"/>
                    </w:rPr>
                    <w:t>西南</w:t>
                  </w:r>
                </w:p>
              </w:tc>
              <w:tc>
                <w:tcPr>
                  <w:tcW w:w="568" w:type="pct"/>
                  <w:tcBorders>
                    <w:tl2br w:val="nil"/>
                    <w:tr2bl w:val="nil"/>
                  </w:tcBorders>
                  <w:shd w:val="clear" w:color="auto" w:fill="auto"/>
                  <w:noWrap w:val="0"/>
                  <w:vAlign w:val="center"/>
                </w:tcPr>
                <w:p w14:paraId="34A6C201">
                  <w:pPr>
                    <w:jc w:val="center"/>
                    <w:rPr>
                      <w:rFonts w:hint="default" w:ascii="Times New Roman" w:hAnsi="Times New Roman" w:eastAsia="宋体" w:cs="Times New Roman"/>
                      <w:color w:val="auto"/>
                      <w:szCs w:val="21"/>
                      <w:u w:val="none" w:color="auto"/>
                      <w:lang w:val="en-US" w:eastAsia="zh-CN"/>
                    </w:rPr>
                  </w:pPr>
                  <w:r>
                    <w:rPr>
                      <w:rFonts w:hint="default" w:ascii="Times New Roman" w:hAnsi="Times New Roman" w:eastAsia="宋体" w:cs="Times New Roman"/>
                      <w:color w:val="auto"/>
                      <w:szCs w:val="21"/>
                      <w:u w:val="none" w:color="auto"/>
                      <w:lang w:val="en-US" w:eastAsia="zh-CN"/>
                    </w:rPr>
                    <w:t>369</w:t>
                  </w:r>
                </w:p>
              </w:tc>
            </w:tr>
          </w:tbl>
          <w:p w14:paraId="637F7BE5">
            <w:pPr>
              <w:autoSpaceDE w:val="0"/>
              <w:autoSpaceDN w:val="0"/>
              <w:adjustRightInd w:val="0"/>
              <w:jc w:val="center"/>
              <w:rPr>
                <w:rFonts w:hint="default" w:ascii="Times New Roman" w:hAnsi="Times New Roman" w:eastAsia="宋体" w:cs="Times New Roman"/>
                <w:b/>
                <w:color w:val="auto"/>
                <w:kern w:val="0"/>
                <w:szCs w:val="21"/>
                <w:u w:val="none" w:color="auto"/>
              </w:rPr>
            </w:pPr>
          </w:p>
          <w:p w14:paraId="67FC022B">
            <w:pPr>
              <w:autoSpaceDE w:val="0"/>
              <w:autoSpaceDN w:val="0"/>
              <w:adjustRightInd w:val="0"/>
              <w:jc w:val="center"/>
              <w:rPr>
                <w:rFonts w:hint="default" w:ascii="Times New Roman" w:hAnsi="Times New Roman" w:eastAsia="宋体" w:cs="Times New Roman"/>
                <w:b/>
                <w:color w:val="auto"/>
                <w:kern w:val="0"/>
                <w:szCs w:val="21"/>
                <w:u w:val="none" w:color="auto"/>
              </w:rPr>
            </w:pPr>
          </w:p>
          <w:p w14:paraId="095FD76C">
            <w:pPr>
              <w:autoSpaceDE w:val="0"/>
              <w:autoSpaceDN w:val="0"/>
              <w:adjustRightInd w:val="0"/>
              <w:jc w:val="center"/>
              <w:rPr>
                <w:rFonts w:hint="default" w:ascii="Times New Roman" w:hAnsi="Times New Roman" w:eastAsia="宋体" w:cs="Times New Roman"/>
                <w:b/>
                <w:color w:val="auto"/>
                <w:kern w:val="0"/>
                <w:szCs w:val="21"/>
                <w:u w:val="none" w:color="auto"/>
              </w:rPr>
            </w:pPr>
            <w:r>
              <w:rPr>
                <w:rFonts w:hint="default" w:ascii="Times New Roman" w:hAnsi="Times New Roman" w:eastAsia="宋体" w:cs="Times New Roman"/>
                <w:b/>
                <w:color w:val="auto"/>
                <w:kern w:val="0"/>
                <w:szCs w:val="21"/>
                <w:u w:val="none" w:color="auto"/>
              </w:rPr>
              <w:t>表3-</w:t>
            </w:r>
            <w:r>
              <w:rPr>
                <w:rFonts w:hint="default" w:ascii="Times New Roman" w:hAnsi="Times New Roman" w:eastAsia="宋体" w:cs="Times New Roman"/>
                <w:b/>
                <w:color w:val="auto"/>
                <w:kern w:val="0"/>
                <w:szCs w:val="21"/>
                <w:u w:val="none" w:color="auto"/>
                <w:lang w:val="en-US" w:eastAsia="zh-CN"/>
              </w:rPr>
              <w:t>5</w:t>
            </w:r>
            <w:r>
              <w:rPr>
                <w:rFonts w:hint="default" w:ascii="Times New Roman" w:hAnsi="Times New Roman" w:eastAsia="宋体" w:cs="Times New Roman"/>
                <w:b/>
                <w:color w:val="auto"/>
                <w:kern w:val="0"/>
                <w:szCs w:val="21"/>
                <w:u w:val="none" w:color="auto"/>
              </w:rPr>
              <w:t xml:space="preserve">   其他环境要素保护目标</w:t>
            </w:r>
          </w:p>
          <w:tbl>
            <w:tblPr>
              <w:tblStyle w:val="31"/>
              <w:tblW w:w="4996"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919"/>
              <w:gridCol w:w="920"/>
              <w:gridCol w:w="957"/>
              <w:gridCol w:w="477"/>
              <w:gridCol w:w="864"/>
              <w:gridCol w:w="1964"/>
              <w:gridCol w:w="1837"/>
            </w:tblGrid>
            <w:tr w14:paraId="74FB54D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tblHeader/>
                <w:jc w:val="center"/>
              </w:trPr>
              <w:tc>
                <w:tcPr>
                  <w:tcW w:w="920" w:type="dxa"/>
                  <w:tcBorders>
                    <w:tl2br w:val="nil"/>
                    <w:tr2bl w:val="nil"/>
                  </w:tcBorders>
                  <w:noWrap w:val="0"/>
                  <w:vAlign w:val="center"/>
                </w:tcPr>
                <w:p w14:paraId="71FB9FA0">
                  <w:pPr>
                    <w:jc w:val="center"/>
                    <w:rPr>
                      <w:rFonts w:hint="default" w:ascii="Times New Roman" w:hAnsi="Times New Roman" w:eastAsia="宋体" w:cs="Times New Roman"/>
                      <w:b/>
                      <w:bCs/>
                      <w:color w:val="auto"/>
                      <w:szCs w:val="21"/>
                      <w:highlight w:val="none"/>
                      <w:u w:val="none" w:color="auto"/>
                    </w:rPr>
                  </w:pPr>
                  <w:r>
                    <w:rPr>
                      <w:rFonts w:hint="default" w:ascii="Times New Roman" w:hAnsi="Times New Roman" w:eastAsia="宋体" w:cs="Times New Roman"/>
                      <w:b/>
                      <w:color w:val="auto"/>
                      <w:szCs w:val="21"/>
                      <w:highlight w:val="none"/>
                      <w:u w:val="none" w:color="auto"/>
                      <w:lang w:val="en-US" w:eastAsia="zh-CN"/>
                    </w:rPr>
                    <w:t>厂区</w:t>
                  </w:r>
                </w:p>
              </w:tc>
              <w:tc>
                <w:tcPr>
                  <w:tcW w:w="921" w:type="dxa"/>
                  <w:tcBorders>
                    <w:tl2br w:val="nil"/>
                    <w:tr2bl w:val="nil"/>
                  </w:tcBorders>
                  <w:noWrap w:val="0"/>
                  <w:vAlign w:val="center"/>
                </w:tcPr>
                <w:p w14:paraId="5DB9E626">
                  <w:pPr>
                    <w:jc w:val="center"/>
                    <w:rPr>
                      <w:rFonts w:hint="default" w:ascii="Times New Roman" w:hAnsi="Times New Roman" w:eastAsia="宋体" w:cs="Times New Roman"/>
                      <w:b/>
                      <w:color w:val="auto"/>
                      <w:szCs w:val="21"/>
                      <w:highlight w:val="none"/>
                      <w:u w:val="none" w:color="auto"/>
                    </w:rPr>
                  </w:pPr>
                  <w:r>
                    <w:rPr>
                      <w:rFonts w:hint="default" w:ascii="Times New Roman" w:hAnsi="Times New Roman" w:eastAsia="宋体" w:cs="Times New Roman"/>
                      <w:b/>
                      <w:bCs/>
                      <w:color w:val="auto"/>
                      <w:szCs w:val="21"/>
                      <w:highlight w:val="none"/>
                      <w:u w:val="none" w:color="auto"/>
                    </w:rPr>
                    <w:t>环境要素</w:t>
                  </w:r>
                </w:p>
              </w:tc>
              <w:tc>
                <w:tcPr>
                  <w:tcW w:w="958" w:type="dxa"/>
                  <w:tcBorders>
                    <w:tl2br w:val="nil"/>
                    <w:tr2bl w:val="nil"/>
                  </w:tcBorders>
                  <w:noWrap w:val="0"/>
                  <w:vAlign w:val="center"/>
                </w:tcPr>
                <w:p w14:paraId="2EB82770">
                  <w:pPr>
                    <w:jc w:val="center"/>
                    <w:rPr>
                      <w:rFonts w:hint="default" w:ascii="Times New Roman" w:hAnsi="Times New Roman" w:eastAsia="宋体" w:cs="Times New Roman"/>
                      <w:b/>
                      <w:color w:val="auto"/>
                      <w:szCs w:val="21"/>
                      <w:highlight w:val="none"/>
                      <w:u w:val="none" w:color="auto"/>
                    </w:rPr>
                  </w:pPr>
                  <w:r>
                    <w:rPr>
                      <w:rFonts w:hint="default" w:ascii="Times New Roman" w:hAnsi="Times New Roman" w:eastAsia="宋体" w:cs="Times New Roman"/>
                      <w:b/>
                      <w:color w:val="auto"/>
                      <w:szCs w:val="21"/>
                      <w:highlight w:val="none"/>
                      <w:u w:val="none" w:color="auto"/>
                    </w:rPr>
                    <w:t>环境保护目标</w:t>
                  </w:r>
                </w:p>
              </w:tc>
              <w:tc>
                <w:tcPr>
                  <w:tcW w:w="477" w:type="dxa"/>
                  <w:tcBorders>
                    <w:tl2br w:val="nil"/>
                    <w:tr2bl w:val="nil"/>
                  </w:tcBorders>
                  <w:noWrap w:val="0"/>
                  <w:vAlign w:val="center"/>
                </w:tcPr>
                <w:p w14:paraId="31D58C59">
                  <w:pPr>
                    <w:jc w:val="center"/>
                    <w:rPr>
                      <w:rFonts w:hint="default" w:ascii="Times New Roman" w:hAnsi="Times New Roman" w:eastAsia="宋体" w:cs="Times New Roman"/>
                      <w:b/>
                      <w:color w:val="auto"/>
                      <w:szCs w:val="21"/>
                      <w:highlight w:val="none"/>
                      <w:u w:val="none" w:color="auto"/>
                    </w:rPr>
                  </w:pPr>
                  <w:r>
                    <w:rPr>
                      <w:rFonts w:hint="default" w:ascii="Times New Roman" w:hAnsi="Times New Roman" w:eastAsia="宋体" w:cs="Times New Roman"/>
                      <w:b/>
                      <w:color w:val="auto"/>
                      <w:szCs w:val="21"/>
                      <w:highlight w:val="none"/>
                      <w:u w:val="none" w:color="auto"/>
                    </w:rPr>
                    <w:t>方位</w:t>
                  </w:r>
                </w:p>
              </w:tc>
              <w:tc>
                <w:tcPr>
                  <w:tcW w:w="865" w:type="dxa"/>
                  <w:tcBorders>
                    <w:tl2br w:val="nil"/>
                    <w:tr2bl w:val="nil"/>
                  </w:tcBorders>
                  <w:noWrap w:val="0"/>
                  <w:vAlign w:val="center"/>
                </w:tcPr>
                <w:p w14:paraId="1C6FD769">
                  <w:pPr>
                    <w:jc w:val="center"/>
                    <w:rPr>
                      <w:rFonts w:hint="default" w:ascii="Times New Roman" w:hAnsi="Times New Roman" w:eastAsia="宋体" w:cs="Times New Roman"/>
                      <w:b/>
                      <w:color w:val="auto"/>
                      <w:szCs w:val="21"/>
                      <w:highlight w:val="none"/>
                      <w:u w:val="none" w:color="auto"/>
                    </w:rPr>
                  </w:pPr>
                  <w:r>
                    <w:rPr>
                      <w:rFonts w:hint="default" w:ascii="Times New Roman" w:hAnsi="Times New Roman" w:eastAsia="宋体" w:cs="Times New Roman"/>
                      <w:b/>
                      <w:color w:val="auto"/>
                      <w:szCs w:val="21"/>
                      <w:highlight w:val="none"/>
                      <w:u w:val="none" w:color="auto"/>
                    </w:rPr>
                    <w:t>与厂界最近距离m</w:t>
                  </w:r>
                </w:p>
              </w:tc>
              <w:tc>
                <w:tcPr>
                  <w:tcW w:w="1965" w:type="dxa"/>
                  <w:tcBorders>
                    <w:tl2br w:val="nil"/>
                    <w:tr2bl w:val="nil"/>
                  </w:tcBorders>
                  <w:noWrap w:val="0"/>
                  <w:vAlign w:val="center"/>
                </w:tcPr>
                <w:p w14:paraId="13FEC3A0">
                  <w:pPr>
                    <w:jc w:val="center"/>
                    <w:rPr>
                      <w:rFonts w:hint="default" w:ascii="Times New Roman" w:hAnsi="Times New Roman" w:eastAsia="宋体" w:cs="Times New Roman"/>
                      <w:b/>
                      <w:color w:val="auto"/>
                      <w:szCs w:val="21"/>
                      <w:highlight w:val="none"/>
                      <w:u w:val="none" w:color="auto"/>
                    </w:rPr>
                  </w:pPr>
                  <w:r>
                    <w:rPr>
                      <w:rFonts w:hint="default" w:ascii="Times New Roman" w:hAnsi="Times New Roman" w:eastAsia="宋体" w:cs="Times New Roman"/>
                      <w:b/>
                      <w:color w:val="auto"/>
                      <w:szCs w:val="21"/>
                      <w:highlight w:val="none"/>
                      <w:u w:val="none" w:color="auto"/>
                    </w:rPr>
                    <w:t>规模、功能</w:t>
                  </w:r>
                </w:p>
              </w:tc>
              <w:tc>
                <w:tcPr>
                  <w:tcW w:w="1838" w:type="dxa"/>
                  <w:tcBorders>
                    <w:tl2br w:val="nil"/>
                    <w:tr2bl w:val="nil"/>
                  </w:tcBorders>
                  <w:noWrap w:val="0"/>
                  <w:vAlign w:val="center"/>
                </w:tcPr>
                <w:p w14:paraId="265F757F">
                  <w:pPr>
                    <w:jc w:val="center"/>
                    <w:rPr>
                      <w:rFonts w:hint="default" w:ascii="Times New Roman" w:hAnsi="Times New Roman" w:eastAsia="宋体" w:cs="Times New Roman"/>
                      <w:b/>
                      <w:color w:val="auto"/>
                      <w:szCs w:val="21"/>
                      <w:highlight w:val="none"/>
                      <w:u w:val="none" w:color="auto"/>
                    </w:rPr>
                  </w:pPr>
                  <w:r>
                    <w:rPr>
                      <w:rFonts w:hint="default" w:ascii="Times New Roman" w:hAnsi="Times New Roman" w:eastAsia="宋体" w:cs="Times New Roman"/>
                      <w:b/>
                      <w:color w:val="auto"/>
                      <w:szCs w:val="21"/>
                      <w:highlight w:val="none"/>
                      <w:u w:val="none" w:color="auto"/>
                    </w:rPr>
                    <w:t>保护级别</w:t>
                  </w:r>
                </w:p>
              </w:tc>
            </w:tr>
            <w:tr w14:paraId="00B78EF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920" w:type="dxa"/>
                  <w:vMerge w:val="restart"/>
                  <w:tcBorders>
                    <w:tl2br w:val="nil"/>
                    <w:tr2bl w:val="nil"/>
                  </w:tcBorders>
                  <w:noWrap w:val="0"/>
                  <w:vAlign w:val="center"/>
                </w:tcPr>
                <w:p w14:paraId="76D794F3">
                  <w:pPr>
                    <w:widowControl/>
                    <w:topLinePunct w:val="0"/>
                    <w:bidi w:val="0"/>
                    <w:adjustRightInd/>
                    <w:snapToGrid/>
                    <w:jc w:val="center"/>
                    <w:textAlignment w:val="center"/>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kern w:val="0"/>
                      <w:szCs w:val="21"/>
                      <w:u w:val="none" w:color="auto"/>
                      <w:lang w:val="en-US" w:eastAsia="zh-CN" w:bidi="ar"/>
                    </w:rPr>
                    <w:t>中创空天厂区</w:t>
                  </w:r>
                </w:p>
              </w:tc>
              <w:tc>
                <w:tcPr>
                  <w:tcW w:w="921" w:type="dxa"/>
                  <w:vMerge w:val="restart"/>
                  <w:tcBorders>
                    <w:tl2br w:val="nil"/>
                    <w:tr2bl w:val="nil"/>
                  </w:tcBorders>
                  <w:noWrap w:val="0"/>
                  <w:vAlign w:val="center"/>
                </w:tcPr>
                <w:p w14:paraId="3B4CD390">
                  <w:pPr>
                    <w:jc w:val="center"/>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rPr>
                    <w:t>地表水</w:t>
                  </w:r>
                </w:p>
              </w:tc>
              <w:tc>
                <w:tcPr>
                  <w:tcW w:w="958" w:type="dxa"/>
                  <w:tcBorders>
                    <w:tl2br w:val="nil"/>
                    <w:tr2bl w:val="nil"/>
                  </w:tcBorders>
                  <w:noWrap w:val="0"/>
                  <w:vAlign w:val="center"/>
                </w:tcPr>
                <w:p w14:paraId="7F302272">
                  <w:pPr>
                    <w:topLinePunct w:val="0"/>
                    <w:bidi w:val="0"/>
                    <w:adjustRightInd/>
                    <w:snapToGrid/>
                    <w:jc w:val="center"/>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u w:val="none" w:color="auto"/>
                    </w:rPr>
                    <w:t>长江</w:t>
                  </w:r>
                </w:p>
              </w:tc>
              <w:tc>
                <w:tcPr>
                  <w:tcW w:w="477" w:type="dxa"/>
                  <w:tcBorders>
                    <w:tl2br w:val="nil"/>
                    <w:tr2bl w:val="nil"/>
                  </w:tcBorders>
                  <w:noWrap w:val="0"/>
                  <w:vAlign w:val="center"/>
                </w:tcPr>
                <w:p w14:paraId="37271A17">
                  <w:pPr>
                    <w:topLinePunct w:val="0"/>
                    <w:bidi w:val="0"/>
                    <w:adjustRightInd/>
                    <w:snapToGrid/>
                    <w:jc w:val="center"/>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u w:val="none" w:color="auto"/>
                    </w:rPr>
                    <w:t>西侧</w:t>
                  </w:r>
                </w:p>
              </w:tc>
              <w:tc>
                <w:tcPr>
                  <w:tcW w:w="865" w:type="dxa"/>
                  <w:tcBorders>
                    <w:tl2br w:val="nil"/>
                    <w:tr2bl w:val="nil"/>
                  </w:tcBorders>
                  <w:noWrap w:val="0"/>
                  <w:vAlign w:val="center"/>
                </w:tcPr>
                <w:p w14:paraId="07C9FC27">
                  <w:pPr>
                    <w:topLinePunct w:val="0"/>
                    <w:bidi w:val="0"/>
                    <w:adjustRightInd/>
                    <w:snapToGrid/>
                    <w:jc w:val="center"/>
                    <w:rPr>
                      <w:rFonts w:hint="default" w:ascii="Times New Roman" w:hAnsi="Times New Roman" w:eastAsia="宋体" w:cs="Times New Roman"/>
                      <w:color w:val="auto"/>
                      <w:szCs w:val="21"/>
                      <w:highlight w:val="none"/>
                      <w:u w:val="none" w:color="auto"/>
                      <w:lang w:val="en-US" w:eastAsia="zh-CN"/>
                    </w:rPr>
                  </w:pPr>
                  <w:r>
                    <w:rPr>
                      <w:rFonts w:hint="default" w:ascii="Times New Roman" w:hAnsi="Times New Roman" w:eastAsia="宋体" w:cs="Times New Roman"/>
                      <w:color w:val="auto"/>
                      <w:szCs w:val="21"/>
                      <w:u w:val="none" w:color="auto"/>
                    </w:rPr>
                    <w:t>135</w:t>
                  </w:r>
                  <w:r>
                    <w:rPr>
                      <w:rFonts w:hint="default" w:ascii="Times New Roman" w:hAnsi="Times New Roman" w:eastAsia="宋体" w:cs="Times New Roman"/>
                      <w:color w:val="auto"/>
                      <w:szCs w:val="21"/>
                      <w:u w:val="none" w:color="auto"/>
                      <w:lang w:val="en-US" w:eastAsia="zh-CN"/>
                    </w:rPr>
                    <w:t>0</w:t>
                  </w:r>
                </w:p>
              </w:tc>
              <w:tc>
                <w:tcPr>
                  <w:tcW w:w="1965" w:type="dxa"/>
                  <w:tcBorders>
                    <w:tl2br w:val="nil"/>
                    <w:tr2bl w:val="nil"/>
                  </w:tcBorders>
                  <w:noWrap w:val="0"/>
                  <w:vAlign w:val="center"/>
                </w:tcPr>
                <w:p w14:paraId="5EC5F8FA">
                  <w:pPr>
                    <w:jc w:val="center"/>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u w:val="none" w:color="auto"/>
                    </w:rPr>
                    <w:t>平均流量为20300m</w:t>
                  </w:r>
                  <w:r>
                    <w:rPr>
                      <w:rFonts w:hint="default" w:ascii="Times New Roman" w:hAnsi="Times New Roman" w:eastAsia="宋体" w:cs="Times New Roman"/>
                      <w:color w:val="auto"/>
                      <w:szCs w:val="21"/>
                      <w:u w:val="none" w:color="auto"/>
                      <w:vertAlign w:val="superscript"/>
                    </w:rPr>
                    <w:t>3</w:t>
                  </w:r>
                  <w:r>
                    <w:rPr>
                      <w:rFonts w:hint="default" w:ascii="Times New Roman" w:hAnsi="Times New Roman" w:eastAsia="宋体" w:cs="Times New Roman"/>
                      <w:color w:val="auto"/>
                      <w:szCs w:val="21"/>
                      <w:u w:val="none" w:color="auto"/>
                    </w:rPr>
                    <w:t>/s</w:t>
                  </w:r>
                  <w:r>
                    <w:rPr>
                      <w:rFonts w:hint="default" w:ascii="Times New Roman" w:hAnsi="Times New Roman" w:eastAsia="宋体" w:cs="Times New Roman"/>
                      <w:color w:val="auto"/>
                      <w:szCs w:val="21"/>
                      <w:u w:val="none" w:color="auto"/>
                      <w:lang w:eastAsia="zh-CN"/>
                    </w:rPr>
                    <w:t>，</w:t>
                  </w:r>
                  <w:r>
                    <w:rPr>
                      <w:rFonts w:hint="default" w:ascii="Times New Roman" w:hAnsi="Times New Roman" w:eastAsia="宋体" w:cs="Times New Roman"/>
                      <w:color w:val="auto"/>
                      <w:szCs w:val="21"/>
                      <w:highlight w:val="none"/>
                      <w:u w:val="none" w:color="auto"/>
                      <w:lang w:val="en-US" w:eastAsia="zh-CN"/>
                    </w:rPr>
                    <w:t>农业</w:t>
                  </w:r>
                  <w:r>
                    <w:rPr>
                      <w:rFonts w:hint="default" w:ascii="Times New Roman" w:hAnsi="Times New Roman" w:eastAsia="宋体" w:cs="Times New Roman"/>
                      <w:color w:val="auto"/>
                      <w:szCs w:val="21"/>
                      <w:highlight w:val="none"/>
                      <w:u w:val="none" w:color="auto"/>
                      <w:lang w:eastAsia="zh-CN"/>
                    </w:rPr>
                    <w:t>、</w:t>
                  </w:r>
                  <w:r>
                    <w:rPr>
                      <w:rFonts w:hint="default" w:ascii="Times New Roman" w:hAnsi="Times New Roman" w:eastAsia="宋体" w:cs="Times New Roman"/>
                      <w:color w:val="auto"/>
                      <w:szCs w:val="21"/>
                      <w:highlight w:val="none"/>
                      <w:u w:val="none" w:color="auto"/>
                    </w:rPr>
                    <w:t>渔业用水</w:t>
                  </w:r>
                </w:p>
              </w:tc>
              <w:tc>
                <w:tcPr>
                  <w:tcW w:w="1838" w:type="dxa"/>
                  <w:vMerge w:val="restart"/>
                  <w:tcBorders>
                    <w:tl2br w:val="nil"/>
                    <w:tr2bl w:val="nil"/>
                  </w:tcBorders>
                  <w:noWrap w:val="0"/>
                  <w:vAlign w:val="center"/>
                </w:tcPr>
                <w:p w14:paraId="74FD1AA3">
                  <w:pPr>
                    <w:jc w:val="center"/>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lang w:eastAsia="zh-CN"/>
                    </w:rPr>
                    <w:t>（</w:t>
                  </w:r>
                  <w:r>
                    <w:rPr>
                      <w:rFonts w:hint="default" w:ascii="Times New Roman" w:hAnsi="Times New Roman" w:eastAsia="宋体" w:cs="Times New Roman"/>
                      <w:color w:val="auto"/>
                      <w:szCs w:val="21"/>
                      <w:highlight w:val="none"/>
                      <w:u w:val="none" w:color="auto"/>
                    </w:rPr>
                    <w:t>GB3838-2002</w:t>
                  </w:r>
                  <w:r>
                    <w:rPr>
                      <w:rFonts w:hint="default" w:ascii="Times New Roman" w:hAnsi="Times New Roman" w:eastAsia="宋体" w:cs="Times New Roman"/>
                      <w:color w:val="auto"/>
                      <w:szCs w:val="21"/>
                      <w:highlight w:val="none"/>
                      <w:u w:val="none" w:color="auto"/>
                      <w:lang w:eastAsia="zh-CN"/>
                    </w:rPr>
                    <w:t>）</w:t>
                  </w:r>
                  <w:r>
                    <w:rPr>
                      <w:rFonts w:hint="default" w:ascii="Times New Roman" w:hAnsi="Times New Roman" w:eastAsia="宋体" w:cs="Times New Roman"/>
                      <w:color w:val="auto"/>
                      <w:szCs w:val="21"/>
                      <w:highlight w:val="none"/>
                      <w:u w:val="none" w:color="auto"/>
                    </w:rPr>
                    <w:t>III类</w:t>
                  </w:r>
                </w:p>
              </w:tc>
            </w:tr>
            <w:tr w14:paraId="59050F8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920" w:type="dxa"/>
                  <w:vMerge w:val="continue"/>
                  <w:tcBorders>
                    <w:tl2br w:val="nil"/>
                    <w:tr2bl w:val="nil"/>
                  </w:tcBorders>
                  <w:noWrap w:val="0"/>
                  <w:vAlign w:val="center"/>
                </w:tcPr>
                <w:p w14:paraId="2C7E64D7">
                  <w:pPr>
                    <w:jc w:val="center"/>
                    <w:rPr>
                      <w:rFonts w:hint="default" w:ascii="Times New Roman" w:hAnsi="Times New Roman" w:eastAsia="宋体" w:cs="Times New Roman"/>
                      <w:color w:val="auto"/>
                      <w:szCs w:val="21"/>
                      <w:highlight w:val="none"/>
                      <w:u w:val="none" w:color="auto"/>
                    </w:rPr>
                  </w:pPr>
                </w:p>
              </w:tc>
              <w:tc>
                <w:tcPr>
                  <w:tcW w:w="921" w:type="dxa"/>
                  <w:vMerge w:val="continue"/>
                  <w:tcBorders>
                    <w:tl2br w:val="nil"/>
                    <w:tr2bl w:val="nil"/>
                  </w:tcBorders>
                  <w:noWrap w:val="0"/>
                  <w:vAlign w:val="center"/>
                </w:tcPr>
                <w:p w14:paraId="3F51E4A9">
                  <w:pPr>
                    <w:jc w:val="center"/>
                    <w:rPr>
                      <w:rFonts w:hint="default" w:ascii="Times New Roman" w:hAnsi="Times New Roman" w:eastAsia="宋体" w:cs="Times New Roman"/>
                      <w:color w:val="auto"/>
                      <w:szCs w:val="21"/>
                      <w:highlight w:val="none"/>
                      <w:u w:val="none" w:color="auto"/>
                    </w:rPr>
                  </w:pPr>
                </w:p>
              </w:tc>
              <w:tc>
                <w:tcPr>
                  <w:tcW w:w="958" w:type="dxa"/>
                  <w:tcBorders>
                    <w:tl2br w:val="nil"/>
                    <w:tr2bl w:val="nil"/>
                  </w:tcBorders>
                  <w:noWrap w:val="0"/>
                  <w:vAlign w:val="center"/>
                </w:tcPr>
                <w:p w14:paraId="452BA305">
                  <w:pPr>
                    <w:topLinePunct w:val="0"/>
                    <w:bidi w:val="0"/>
                    <w:adjustRightInd/>
                    <w:snapToGrid/>
                    <w:jc w:val="center"/>
                    <w:rPr>
                      <w:rFonts w:hint="default" w:ascii="Times New Roman" w:hAnsi="Times New Roman" w:eastAsia="宋体" w:cs="Times New Roman"/>
                      <w:color w:val="auto"/>
                      <w:szCs w:val="21"/>
                      <w:highlight w:val="none"/>
                      <w:u w:val="none" w:color="auto"/>
                      <w:lang w:val="en-US" w:eastAsia="zh-CN"/>
                    </w:rPr>
                  </w:pPr>
                  <w:r>
                    <w:rPr>
                      <w:rFonts w:hint="default" w:ascii="Times New Roman" w:hAnsi="Times New Roman" w:eastAsia="宋体" w:cs="Times New Roman"/>
                      <w:color w:val="auto"/>
                      <w:szCs w:val="21"/>
                      <w:u w:val="none" w:color="auto"/>
                    </w:rPr>
                    <w:t>象骨港</w:t>
                  </w:r>
                </w:p>
              </w:tc>
              <w:tc>
                <w:tcPr>
                  <w:tcW w:w="477" w:type="dxa"/>
                  <w:tcBorders>
                    <w:tl2br w:val="nil"/>
                    <w:tr2bl w:val="nil"/>
                  </w:tcBorders>
                  <w:noWrap w:val="0"/>
                  <w:vAlign w:val="center"/>
                </w:tcPr>
                <w:p w14:paraId="30C45209">
                  <w:pPr>
                    <w:topLinePunct w:val="0"/>
                    <w:bidi w:val="0"/>
                    <w:adjustRightInd/>
                    <w:snapToGrid/>
                    <w:jc w:val="center"/>
                    <w:rPr>
                      <w:rFonts w:hint="default" w:ascii="Times New Roman" w:hAnsi="Times New Roman" w:eastAsia="宋体" w:cs="Times New Roman"/>
                      <w:color w:val="auto"/>
                      <w:szCs w:val="21"/>
                      <w:highlight w:val="none"/>
                      <w:u w:val="none" w:color="auto"/>
                      <w:lang w:val="en-US" w:eastAsia="zh-CN"/>
                    </w:rPr>
                  </w:pPr>
                  <w:r>
                    <w:rPr>
                      <w:rFonts w:hint="default" w:ascii="Times New Roman" w:hAnsi="Times New Roman" w:eastAsia="宋体" w:cs="Times New Roman"/>
                      <w:color w:val="auto"/>
                      <w:szCs w:val="21"/>
                      <w:u w:val="none" w:color="auto"/>
                    </w:rPr>
                    <w:t>南侧</w:t>
                  </w:r>
                </w:p>
              </w:tc>
              <w:tc>
                <w:tcPr>
                  <w:tcW w:w="865" w:type="dxa"/>
                  <w:tcBorders>
                    <w:tl2br w:val="nil"/>
                    <w:tr2bl w:val="nil"/>
                  </w:tcBorders>
                  <w:noWrap w:val="0"/>
                  <w:vAlign w:val="center"/>
                </w:tcPr>
                <w:p w14:paraId="3E21ABE0">
                  <w:pPr>
                    <w:topLinePunct w:val="0"/>
                    <w:bidi w:val="0"/>
                    <w:adjustRightInd/>
                    <w:snapToGrid/>
                    <w:jc w:val="center"/>
                    <w:rPr>
                      <w:rFonts w:hint="default" w:ascii="Times New Roman" w:hAnsi="Times New Roman" w:eastAsia="宋体" w:cs="Times New Roman"/>
                      <w:color w:val="auto"/>
                      <w:szCs w:val="21"/>
                      <w:highlight w:val="none"/>
                      <w:u w:val="none" w:color="auto"/>
                      <w:lang w:val="en-US" w:eastAsia="zh-CN"/>
                    </w:rPr>
                  </w:pPr>
                  <w:r>
                    <w:rPr>
                      <w:rFonts w:hint="default" w:ascii="Times New Roman" w:hAnsi="Times New Roman" w:eastAsia="宋体" w:cs="Times New Roman"/>
                      <w:color w:val="auto"/>
                      <w:szCs w:val="21"/>
                      <w:u w:val="none" w:color="auto"/>
                    </w:rPr>
                    <w:t>220</w:t>
                  </w:r>
                </w:p>
              </w:tc>
              <w:tc>
                <w:tcPr>
                  <w:tcW w:w="1965" w:type="dxa"/>
                  <w:tcBorders>
                    <w:tl2br w:val="nil"/>
                    <w:tr2bl w:val="nil"/>
                  </w:tcBorders>
                  <w:noWrap w:val="0"/>
                  <w:vAlign w:val="center"/>
                </w:tcPr>
                <w:p w14:paraId="7AFE9E96">
                  <w:pPr>
                    <w:jc w:val="center"/>
                    <w:rPr>
                      <w:rFonts w:hint="default" w:ascii="Times New Roman" w:hAnsi="Times New Roman" w:eastAsia="宋体" w:cs="Times New Roman"/>
                      <w:color w:val="auto"/>
                      <w:szCs w:val="21"/>
                      <w:highlight w:val="none"/>
                      <w:u w:val="none" w:color="auto"/>
                      <w:lang w:val="en-US" w:eastAsia="zh-CN"/>
                    </w:rPr>
                  </w:pPr>
                  <w:r>
                    <w:rPr>
                      <w:rFonts w:hint="default" w:ascii="Times New Roman" w:hAnsi="Times New Roman" w:eastAsia="宋体" w:cs="Times New Roman"/>
                      <w:color w:val="auto"/>
                      <w:szCs w:val="21"/>
                      <w:u w:val="none" w:color="auto"/>
                    </w:rPr>
                    <w:t>小河</w:t>
                  </w:r>
                  <w:r>
                    <w:rPr>
                      <w:rFonts w:hint="default" w:ascii="Times New Roman" w:hAnsi="Times New Roman" w:eastAsia="宋体" w:cs="Times New Roman"/>
                      <w:color w:val="auto"/>
                      <w:szCs w:val="21"/>
                      <w:u w:val="none" w:color="auto"/>
                      <w:lang w:eastAsia="zh-CN"/>
                    </w:rPr>
                    <w:t>，</w:t>
                  </w:r>
                  <w:r>
                    <w:rPr>
                      <w:rFonts w:hint="default" w:ascii="Times New Roman" w:hAnsi="Times New Roman" w:eastAsia="宋体" w:cs="Times New Roman"/>
                      <w:color w:val="auto"/>
                      <w:szCs w:val="21"/>
                      <w:highlight w:val="none"/>
                      <w:u w:val="none" w:color="auto"/>
                    </w:rPr>
                    <w:t>渔业用水</w:t>
                  </w:r>
                </w:p>
              </w:tc>
              <w:tc>
                <w:tcPr>
                  <w:tcW w:w="1838" w:type="dxa"/>
                  <w:vMerge w:val="continue"/>
                  <w:tcBorders>
                    <w:tl2br w:val="nil"/>
                    <w:tr2bl w:val="nil"/>
                  </w:tcBorders>
                  <w:noWrap w:val="0"/>
                  <w:vAlign w:val="center"/>
                </w:tcPr>
                <w:p w14:paraId="76EF346B">
                  <w:pPr>
                    <w:jc w:val="center"/>
                    <w:rPr>
                      <w:rFonts w:hint="default" w:ascii="Times New Roman" w:hAnsi="Times New Roman" w:eastAsia="宋体" w:cs="Times New Roman"/>
                      <w:color w:val="auto"/>
                      <w:szCs w:val="21"/>
                      <w:highlight w:val="none"/>
                      <w:u w:val="none" w:color="auto"/>
                    </w:rPr>
                  </w:pPr>
                </w:p>
              </w:tc>
            </w:tr>
            <w:tr w14:paraId="338D081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920" w:type="dxa"/>
                  <w:vMerge w:val="restart"/>
                  <w:tcBorders>
                    <w:tl2br w:val="nil"/>
                    <w:tr2bl w:val="nil"/>
                  </w:tcBorders>
                  <w:noWrap w:val="0"/>
                  <w:vAlign w:val="center"/>
                </w:tcPr>
                <w:p w14:paraId="338B3BF6">
                  <w:pPr>
                    <w:jc w:val="center"/>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 w:val="21"/>
                      <w:szCs w:val="21"/>
                      <w:highlight w:val="none"/>
                      <w:u w:val="none" w:color="auto"/>
                    </w:rPr>
                    <w:t>临港高新产业园</w:t>
                  </w:r>
                  <w:r>
                    <w:rPr>
                      <w:rFonts w:hint="default" w:ascii="Times New Roman" w:hAnsi="Times New Roman" w:eastAsia="宋体" w:cs="Times New Roman"/>
                      <w:color w:val="auto"/>
                      <w:sz w:val="21"/>
                      <w:szCs w:val="21"/>
                      <w:highlight w:val="none"/>
                      <w:u w:val="none" w:color="auto"/>
                      <w:lang w:val="en-US" w:eastAsia="zh-CN"/>
                    </w:rPr>
                    <w:t>区</w:t>
                  </w:r>
                </w:p>
              </w:tc>
              <w:tc>
                <w:tcPr>
                  <w:tcW w:w="921" w:type="dxa"/>
                  <w:vMerge w:val="restart"/>
                  <w:tcBorders>
                    <w:tl2br w:val="nil"/>
                    <w:tr2bl w:val="nil"/>
                  </w:tcBorders>
                  <w:shd w:val="clear" w:color="auto" w:fill="auto"/>
                  <w:noWrap w:val="0"/>
                  <w:vAlign w:val="center"/>
                </w:tcPr>
                <w:p w14:paraId="5676B824">
                  <w:pPr>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Cs w:val="21"/>
                      <w:highlight w:val="none"/>
                      <w:u w:val="none" w:color="auto"/>
                    </w:rPr>
                    <w:t>地表水</w:t>
                  </w:r>
                </w:p>
              </w:tc>
              <w:tc>
                <w:tcPr>
                  <w:tcW w:w="958" w:type="dxa"/>
                  <w:tcBorders>
                    <w:tl2br w:val="nil"/>
                    <w:tr2bl w:val="nil"/>
                  </w:tcBorders>
                  <w:shd w:val="clear" w:color="auto" w:fill="auto"/>
                  <w:noWrap w:val="0"/>
                  <w:vAlign w:val="center"/>
                </w:tcPr>
                <w:p w14:paraId="094D2B33">
                  <w:pPr>
                    <w:topLinePunct w:val="0"/>
                    <w:bidi w:val="0"/>
                    <w:adjustRightInd/>
                    <w:snapToGrid/>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Cs w:val="21"/>
                      <w:u w:val="none" w:color="auto"/>
                    </w:rPr>
                    <w:t>长江</w:t>
                  </w:r>
                </w:p>
              </w:tc>
              <w:tc>
                <w:tcPr>
                  <w:tcW w:w="477" w:type="dxa"/>
                  <w:tcBorders>
                    <w:tl2br w:val="nil"/>
                    <w:tr2bl w:val="nil"/>
                  </w:tcBorders>
                  <w:shd w:val="clear" w:color="auto" w:fill="auto"/>
                  <w:noWrap w:val="0"/>
                  <w:vAlign w:val="center"/>
                </w:tcPr>
                <w:p w14:paraId="5FBF48C6">
                  <w:pPr>
                    <w:topLinePunct w:val="0"/>
                    <w:bidi w:val="0"/>
                    <w:adjustRightInd/>
                    <w:snapToGrid/>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Cs w:val="21"/>
                      <w:u w:val="none" w:color="auto"/>
                    </w:rPr>
                    <w:t>西侧</w:t>
                  </w:r>
                </w:p>
              </w:tc>
              <w:tc>
                <w:tcPr>
                  <w:tcW w:w="865" w:type="dxa"/>
                  <w:tcBorders>
                    <w:tl2br w:val="nil"/>
                    <w:tr2bl w:val="nil"/>
                  </w:tcBorders>
                  <w:noWrap w:val="0"/>
                  <w:vAlign w:val="center"/>
                </w:tcPr>
                <w:p w14:paraId="18C2A708">
                  <w:pPr>
                    <w:topLinePunct w:val="0"/>
                    <w:bidi w:val="0"/>
                    <w:adjustRightInd/>
                    <w:snapToGrid/>
                    <w:jc w:val="center"/>
                    <w:rPr>
                      <w:rFonts w:hint="default" w:ascii="Times New Roman" w:hAnsi="Times New Roman" w:eastAsia="宋体" w:cs="Times New Roman"/>
                      <w:color w:val="auto"/>
                      <w:szCs w:val="21"/>
                      <w:u w:val="none" w:color="auto"/>
                      <w:lang w:val="en-US" w:eastAsia="zh-CN"/>
                    </w:rPr>
                  </w:pPr>
                  <w:r>
                    <w:rPr>
                      <w:rFonts w:hint="default" w:ascii="Times New Roman" w:hAnsi="Times New Roman" w:eastAsia="宋体" w:cs="Times New Roman"/>
                      <w:color w:val="auto"/>
                      <w:szCs w:val="21"/>
                      <w:u w:val="none" w:color="auto"/>
                      <w:lang w:val="en-US" w:eastAsia="zh-CN"/>
                    </w:rPr>
                    <w:t>2134</w:t>
                  </w:r>
                </w:p>
              </w:tc>
              <w:tc>
                <w:tcPr>
                  <w:tcW w:w="1965" w:type="dxa"/>
                  <w:tcBorders>
                    <w:tl2br w:val="nil"/>
                    <w:tr2bl w:val="nil"/>
                  </w:tcBorders>
                  <w:shd w:val="clear" w:color="auto" w:fill="auto"/>
                  <w:noWrap w:val="0"/>
                  <w:vAlign w:val="center"/>
                </w:tcPr>
                <w:p w14:paraId="3DB477AB">
                  <w:pPr>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Cs w:val="21"/>
                      <w:u w:val="none" w:color="auto"/>
                    </w:rPr>
                    <w:t>平均流量为20300m</w:t>
                  </w:r>
                  <w:r>
                    <w:rPr>
                      <w:rFonts w:hint="default" w:ascii="Times New Roman" w:hAnsi="Times New Roman" w:eastAsia="宋体" w:cs="Times New Roman"/>
                      <w:color w:val="auto"/>
                      <w:szCs w:val="21"/>
                      <w:u w:val="none" w:color="auto"/>
                      <w:vertAlign w:val="superscript"/>
                    </w:rPr>
                    <w:t>3</w:t>
                  </w:r>
                  <w:r>
                    <w:rPr>
                      <w:rFonts w:hint="default" w:ascii="Times New Roman" w:hAnsi="Times New Roman" w:eastAsia="宋体" w:cs="Times New Roman"/>
                      <w:color w:val="auto"/>
                      <w:szCs w:val="21"/>
                      <w:u w:val="none" w:color="auto"/>
                    </w:rPr>
                    <w:t>/s</w:t>
                  </w:r>
                  <w:r>
                    <w:rPr>
                      <w:rFonts w:hint="default" w:ascii="Times New Roman" w:hAnsi="Times New Roman" w:eastAsia="宋体" w:cs="Times New Roman"/>
                      <w:color w:val="auto"/>
                      <w:szCs w:val="21"/>
                      <w:u w:val="none" w:color="auto"/>
                      <w:lang w:eastAsia="zh-CN"/>
                    </w:rPr>
                    <w:t>，</w:t>
                  </w:r>
                  <w:r>
                    <w:rPr>
                      <w:rFonts w:hint="default" w:ascii="Times New Roman" w:hAnsi="Times New Roman" w:eastAsia="宋体" w:cs="Times New Roman"/>
                      <w:color w:val="auto"/>
                      <w:szCs w:val="21"/>
                      <w:highlight w:val="none"/>
                      <w:u w:val="none" w:color="auto"/>
                      <w:lang w:val="en-US" w:eastAsia="zh-CN"/>
                    </w:rPr>
                    <w:t>农业</w:t>
                  </w:r>
                  <w:r>
                    <w:rPr>
                      <w:rFonts w:hint="default" w:ascii="Times New Roman" w:hAnsi="Times New Roman" w:eastAsia="宋体" w:cs="Times New Roman"/>
                      <w:color w:val="auto"/>
                      <w:szCs w:val="21"/>
                      <w:highlight w:val="none"/>
                      <w:u w:val="none" w:color="auto"/>
                      <w:lang w:eastAsia="zh-CN"/>
                    </w:rPr>
                    <w:t>、</w:t>
                  </w:r>
                  <w:r>
                    <w:rPr>
                      <w:rFonts w:hint="default" w:ascii="Times New Roman" w:hAnsi="Times New Roman" w:eastAsia="宋体" w:cs="Times New Roman"/>
                      <w:color w:val="auto"/>
                      <w:szCs w:val="21"/>
                      <w:highlight w:val="none"/>
                      <w:u w:val="none" w:color="auto"/>
                    </w:rPr>
                    <w:t>渔业用水</w:t>
                  </w:r>
                </w:p>
              </w:tc>
              <w:tc>
                <w:tcPr>
                  <w:tcW w:w="1838" w:type="dxa"/>
                  <w:vMerge w:val="continue"/>
                  <w:tcBorders>
                    <w:tl2br w:val="nil"/>
                    <w:tr2bl w:val="nil"/>
                  </w:tcBorders>
                  <w:noWrap w:val="0"/>
                  <w:vAlign w:val="center"/>
                </w:tcPr>
                <w:p w14:paraId="69BDF3E4">
                  <w:pPr>
                    <w:jc w:val="center"/>
                    <w:rPr>
                      <w:rFonts w:hint="default" w:ascii="Times New Roman" w:hAnsi="Times New Roman" w:eastAsia="宋体" w:cs="Times New Roman"/>
                      <w:color w:val="auto"/>
                      <w:szCs w:val="21"/>
                      <w:highlight w:val="none"/>
                      <w:u w:val="none" w:color="auto"/>
                    </w:rPr>
                  </w:pPr>
                </w:p>
              </w:tc>
            </w:tr>
            <w:tr w14:paraId="3D10C07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920" w:type="dxa"/>
                  <w:vMerge w:val="continue"/>
                  <w:tcBorders>
                    <w:tl2br w:val="nil"/>
                    <w:tr2bl w:val="nil"/>
                  </w:tcBorders>
                  <w:noWrap w:val="0"/>
                  <w:vAlign w:val="center"/>
                </w:tcPr>
                <w:p w14:paraId="1F5E3399">
                  <w:pPr>
                    <w:jc w:val="center"/>
                    <w:rPr>
                      <w:rFonts w:hint="default" w:ascii="Times New Roman" w:hAnsi="Times New Roman" w:eastAsia="宋体" w:cs="Times New Roman"/>
                      <w:color w:val="auto"/>
                      <w:szCs w:val="21"/>
                      <w:highlight w:val="none"/>
                      <w:u w:val="none" w:color="auto"/>
                    </w:rPr>
                  </w:pPr>
                </w:p>
              </w:tc>
              <w:tc>
                <w:tcPr>
                  <w:tcW w:w="921" w:type="dxa"/>
                  <w:vMerge w:val="continue"/>
                  <w:tcBorders>
                    <w:tl2br w:val="nil"/>
                    <w:tr2bl w:val="nil"/>
                  </w:tcBorders>
                  <w:noWrap w:val="0"/>
                  <w:vAlign w:val="center"/>
                </w:tcPr>
                <w:p w14:paraId="6B32010E">
                  <w:pPr>
                    <w:jc w:val="center"/>
                    <w:rPr>
                      <w:rFonts w:hint="default" w:ascii="Times New Roman" w:hAnsi="Times New Roman" w:eastAsia="宋体" w:cs="Times New Roman"/>
                      <w:color w:val="auto"/>
                      <w:szCs w:val="21"/>
                      <w:highlight w:val="none"/>
                      <w:u w:val="none" w:color="auto"/>
                    </w:rPr>
                  </w:pPr>
                </w:p>
              </w:tc>
              <w:tc>
                <w:tcPr>
                  <w:tcW w:w="958" w:type="dxa"/>
                  <w:tcBorders>
                    <w:tl2br w:val="nil"/>
                    <w:tr2bl w:val="nil"/>
                  </w:tcBorders>
                  <w:shd w:val="clear" w:color="auto" w:fill="auto"/>
                  <w:noWrap w:val="0"/>
                  <w:vAlign w:val="center"/>
                </w:tcPr>
                <w:p w14:paraId="256D88E3">
                  <w:pPr>
                    <w:topLinePunct w:val="0"/>
                    <w:bidi w:val="0"/>
                    <w:adjustRightInd/>
                    <w:snapToGrid/>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Cs w:val="21"/>
                      <w:u w:val="none" w:color="auto"/>
                    </w:rPr>
                    <w:t>象骨港</w:t>
                  </w:r>
                </w:p>
              </w:tc>
              <w:tc>
                <w:tcPr>
                  <w:tcW w:w="477" w:type="dxa"/>
                  <w:tcBorders>
                    <w:tl2br w:val="nil"/>
                    <w:tr2bl w:val="nil"/>
                  </w:tcBorders>
                  <w:noWrap w:val="0"/>
                  <w:vAlign w:val="center"/>
                </w:tcPr>
                <w:p w14:paraId="410345FF">
                  <w:pPr>
                    <w:topLinePunct w:val="0"/>
                    <w:bidi w:val="0"/>
                    <w:adjustRightInd/>
                    <w:snapToGrid/>
                    <w:jc w:val="center"/>
                    <w:rPr>
                      <w:rFonts w:hint="default" w:ascii="Times New Roman" w:hAnsi="Times New Roman" w:eastAsia="宋体" w:cs="Times New Roman"/>
                      <w:color w:val="auto"/>
                      <w:szCs w:val="21"/>
                      <w:u w:val="none" w:color="auto"/>
                      <w:lang w:val="en-US" w:eastAsia="zh-CN"/>
                    </w:rPr>
                  </w:pPr>
                  <w:r>
                    <w:rPr>
                      <w:rFonts w:hint="default" w:ascii="Times New Roman" w:hAnsi="Times New Roman" w:eastAsia="宋体" w:cs="Times New Roman"/>
                      <w:color w:val="auto"/>
                      <w:szCs w:val="21"/>
                      <w:u w:val="none" w:color="auto"/>
                      <w:lang w:val="en-US" w:eastAsia="zh-CN"/>
                    </w:rPr>
                    <w:t>北侧</w:t>
                  </w:r>
                </w:p>
              </w:tc>
              <w:tc>
                <w:tcPr>
                  <w:tcW w:w="865" w:type="dxa"/>
                  <w:tcBorders>
                    <w:tl2br w:val="nil"/>
                    <w:tr2bl w:val="nil"/>
                  </w:tcBorders>
                  <w:noWrap w:val="0"/>
                  <w:vAlign w:val="center"/>
                </w:tcPr>
                <w:p w14:paraId="3F311566">
                  <w:pPr>
                    <w:topLinePunct w:val="0"/>
                    <w:bidi w:val="0"/>
                    <w:adjustRightInd/>
                    <w:snapToGrid/>
                    <w:jc w:val="center"/>
                    <w:rPr>
                      <w:rFonts w:hint="default" w:ascii="Times New Roman" w:hAnsi="Times New Roman" w:eastAsia="宋体" w:cs="Times New Roman"/>
                      <w:color w:val="auto"/>
                      <w:szCs w:val="21"/>
                      <w:u w:val="none" w:color="auto"/>
                      <w:lang w:val="en-US" w:eastAsia="zh-CN"/>
                    </w:rPr>
                  </w:pPr>
                  <w:r>
                    <w:rPr>
                      <w:rFonts w:hint="default" w:ascii="Times New Roman" w:hAnsi="Times New Roman" w:eastAsia="宋体" w:cs="Times New Roman"/>
                      <w:color w:val="auto"/>
                      <w:szCs w:val="21"/>
                      <w:u w:val="none" w:color="auto"/>
                      <w:lang w:val="en-US" w:eastAsia="zh-CN"/>
                    </w:rPr>
                    <w:t>1172</w:t>
                  </w:r>
                </w:p>
              </w:tc>
              <w:tc>
                <w:tcPr>
                  <w:tcW w:w="1965" w:type="dxa"/>
                  <w:tcBorders>
                    <w:tl2br w:val="nil"/>
                    <w:tr2bl w:val="nil"/>
                  </w:tcBorders>
                  <w:shd w:val="clear" w:color="auto" w:fill="auto"/>
                  <w:noWrap w:val="0"/>
                  <w:vAlign w:val="center"/>
                </w:tcPr>
                <w:p w14:paraId="57D6B265">
                  <w:pPr>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Cs w:val="21"/>
                      <w:u w:val="none" w:color="auto"/>
                    </w:rPr>
                    <w:t>小河</w:t>
                  </w:r>
                  <w:r>
                    <w:rPr>
                      <w:rFonts w:hint="default" w:ascii="Times New Roman" w:hAnsi="Times New Roman" w:eastAsia="宋体" w:cs="Times New Roman"/>
                      <w:color w:val="auto"/>
                      <w:szCs w:val="21"/>
                      <w:u w:val="none" w:color="auto"/>
                      <w:lang w:eastAsia="zh-CN"/>
                    </w:rPr>
                    <w:t>，</w:t>
                  </w:r>
                  <w:r>
                    <w:rPr>
                      <w:rFonts w:hint="default" w:ascii="Times New Roman" w:hAnsi="Times New Roman" w:eastAsia="宋体" w:cs="Times New Roman"/>
                      <w:color w:val="auto"/>
                      <w:szCs w:val="21"/>
                      <w:highlight w:val="none"/>
                      <w:u w:val="none" w:color="auto"/>
                    </w:rPr>
                    <w:t>渔业用水</w:t>
                  </w:r>
                </w:p>
              </w:tc>
              <w:tc>
                <w:tcPr>
                  <w:tcW w:w="1838" w:type="dxa"/>
                  <w:vMerge w:val="continue"/>
                  <w:tcBorders>
                    <w:tl2br w:val="nil"/>
                    <w:tr2bl w:val="nil"/>
                  </w:tcBorders>
                  <w:noWrap w:val="0"/>
                  <w:vAlign w:val="center"/>
                </w:tcPr>
                <w:p w14:paraId="605BECFB">
                  <w:pPr>
                    <w:jc w:val="center"/>
                    <w:rPr>
                      <w:rFonts w:hint="default" w:ascii="Times New Roman" w:hAnsi="Times New Roman" w:eastAsia="宋体" w:cs="Times New Roman"/>
                      <w:color w:val="auto"/>
                      <w:szCs w:val="21"/>
                      <w:highlight w:val="none"/>
                      <w:u w:val="none" w:color="auto"/>
                    </w:rPr>
                  </w:pPr>
                </w:p>
              </w:tc>
            </w:tr>
            <w:tr w14:paraId="7A51644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69" w:hRule="atLeast"/>
                <w:jc w:val="center"/>
              </w:trPr>
              <w:tc>
                <w:tcPr>
                  <w:tcW w:w="920" w:type="dxa"/>
                  <w:vMerge w:val="restart"/>
                  <w:tcBorders>
                    <w:tl2br w:val="nil"/>
                    <w:tr2bl w:val="nil"/>
                  </w:tcBorders>
                  <w:noWrap w:val="0"/>
                  <w:vAlign w:val="center"/>
                </w:tcPr>
                <w:p w14:paraId="2CB3523F">
                  <w:pPr>
                    <w:jc w:val="center"/>
                    <w:rPr>
                      <w:rFonts w:hint="default" w:ascii="Times New Roman" w:hAnsi="Times New Roman" w:eastAsia="宋体" w:cs="Times New Roman"/>
                      <w:color w:val="auto"/>
                      <w:szCs w:val="21"/>
                      <w:highlight w:val="none"/>
                      <w:u w:val="none" w:color="auto"/>
                      <w:lang w:val="en-US" w:eastAsia="zh-CN"/>
                    </w:rPr>
                  </w:pPr>
                  <w:r>
                    <w:rPr>
                      <w:rFonts w:hint="default" w:ascii="Times New Roman" w:hAnsi="Times New Roman" w:eastAsia="宋体" w:cs="Times New Roman"/>
                      <w:color w:val="auto"/>
                      <w:kern w:val="0"/>
                      <w:szCs w:val="21"/>
                      <w:u w:val="none" w:color="auto"/>
                      <w:lang w:val="en-US" w:eastAsia="zh-CN" w:bidi="ar"/>
                    </w:rPr>
                    <w:t>中创空天厂区、</w:t>
                  </w:r>
                  <w:r>
                    <w:rPr>
                      <w:rFonts w:hint="default" w:ascii="Times New Roman" w:hAnsi="Times New Roman" w:eastAsia="宋体" w:cs="Times New Roman"/>
                      <w:color w:val="auto"/>
                      <w:sz w:val="21"/>
                      <w:szCs w:val="21"/>
                      <w:highlight w:val="none"/>
                      <w:u w:val="none" w:color="auto"/>
                    </w:rPr>
                    <w:t>临港高新产业园</w:t>
                  </w:r>
                  <w:r>
                    <w:rPr>
                      <w:rFonts w:hint="default" w:ascii="Times New Roman" w:hAnsi="Times New Roman" w:eastAsia="宋体" w:cs="Times New Roman"/>
                      <w:color w:val="auto"/>
                      <w:sz w:val="21"/>
                      <w:szCs w:val="21"/>
                      <w:highlight w:val="none"/>
                      <w:u w:val="none" w:color="auto"/>
                      <w:lang w:val="en-US" w:eastAsia="zh-CN"/>
                    </w:rPr>
                    <w:t>区</w:t>
                  </w:r>
                </w:p>
              </w:tc>
              <w:tc>
                <w:tcPr>
                  <w:tcW w:w="921" w:type="dxa"/>
                  <w:tcBorders>
                    <w:tl2br w:val="nil"/>
                    <w:tr2bl w:val="nil"/>
                  </w:tcBorders>
                  <w:noWrap w:val="0"/>
                  <w:vAlign w:val="center"/>
                </w:tcPr>
                <w:p w14:paraId="752D0C66">
                  <w:pPr>
                    <w:jc w:val="center"/>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rPr>
                    <w:t>地下水环境</w:t>
                  </w:r>
                </w:p>
              </w:tc>
              <w:tc>
                <w:tcPr>
                  <w:tcW w:w="6103" w:type="dxa"/>
                  <w:gridSpan w:val="5"/>
                  <w:tcBorders>
                    <w:tl2br w:val="nil"/>
                    <w:tr2bl w:val="nil"/>
                  </w:tcBorders>
                  <w:noWrap w:val="0"/>
                  <w:vAlign w:val="center"/>
                </w:tcPr>
                <w:p w14:paraId="6D9A185B">
                  <w:pPr>
                    <w:jc w:val="center"/>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rPr>
                    <w:t>厂界500米范围内无地下水集中式、分散式饮用式水源和热水、矿泉水、温泉等特殊地下水资源</w:t>
                  </w:r>
                </w:p>
              </w:tc>
            </w:tr>
            <w:tr w14:paraId="2797317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920" w:type="dxa"/>
                  <w:vMerge w:val="continue"/>
                  <w:tcBorders>
                    <w:tl2br w:val="nil"/>
                    <w:tr2bl w:val="nil"/>
                  </w:tcBorders>
                  <w:noWrap w:val="0"/>
                  <w:vAlign w:val="center"/>
                </w:tcPr>
                <w:p w14:paraId="1C2FC4D0">
                  <w:pPr>
                    <w:jc w:val="center"/>
                    <w:rPr>
                      <w:rFonts w:hint="default" w:ascii="Times New Roman" w:hAnsi="Times New Roman" w:eastAsia="宋体" w:cs="Times New Roman"/>
                      <w:color w:val="auto"/>
                      <w:szCs w:val="21"/>
                      <w:highlight w:val="none"/>
                      <w:u w:val="none" w:color="auto"/>
                    </w:rPr>
                  </w:pPr>
                </w:p>
              </w:tc>
              <w:tc>
                <w:tcPr>
                  <w:tcW w:w="921" w:type="dxa"/>
                  <w:tcBorders>
                    <w:tl2br w:val="nil"/>
                    <w:tr2bl w:val="nil"/>
                  </w:tcBorders>
                  <w:noWrap w:val="0"/>
                  <w:vAlign w:val="center"/>
                </w:tcPr>
                <w:p w14:paraId="6A4AC607">
                  <w:pPr>
                    <w:jc w:val="center"/>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rPr>
                    <w:t>声环境</w:t>
                  </w:r>
                </w:p>
              </w:tc>
              <w:tc>
                <w:tcPr>
                  <w:tcW w:w="6103" w:type="dxa"/>
                  <w:gridSpan w:val="5"/>
                  <w:tcBorders>
                    <w:tl2br w:val="nil"/>
                    <w:tr2bl w:val="nil"/>
                  </w:tcBorders>
                  <w:noWrap w:val="0"/>
                  <w:vAlign w:val="center"/>
                </w:tcPr>
                <w:p w14:paraId="336CB380">
                  <w:pPr>
                    <w:jc w:val="center"/>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rPr>
                    <w:t>厂界外50米范围内无声环境敏感保护目标</w:t>
                  </w:r>
                </w:p>
              </w:tc>
            </w:tr>
            <w:tr w14:paraId="714AAE4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920" w:type="dxa"/>
                  <w:vMerge w:val="continue"/>
                  <w:tcBorders>
                    <w:tl2br w:val="nil"/>
                    <w:tr2bl w:val="nil"/>
                  </w:tcBorders>
                  <w:noWrap w:val="0"/>
                  <w:vAlign w:val="center"/>
                </w:tcPr>
                <w:p w14:paraId="176193A0">
                  <w:pPr>
                    <w:jc w:val="center"/>
                    <w:rPr>
                      <w:rFonts w:hint="default" w:ascii="Times New Roman" w:hAnsi="Times New Roman" w:eastAsia="宋体" w:cs="Times New Roman"/>
                      <w:color w:val="auto"/>
                      <w:szCs w:val="21"/>
                      <w:highlight w:val="none"/>
                      <w:u w:val="none" w:color="auto"/>
                    </w:rPr>
                  </w:pPr>
                </w:p>
              </w:tc>
              <w:tc>
                <w:tcPr>
                  <w:tcW w:w="921" w:type="dxa"/>
                  <w:tcBorders>
                    <w:tl2br w:val="nil"/>
                    <w:tr2bl w:val="nil"/>
                  </w:tcBorders>
                  <w:noWrap w:val="0"/>
                  <w:vAlign w:val="center"/>
                </w:tcPr>
                <w:p w14:paraId="3B8420C8">
                  <w:pPr>
                    <w:jc w:val="center"/>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rPr>
                    <w:t>生态环境</w:t>
                  </w:r>
                </w:p>
              </w:tc>
              <w:tc>
                <w:tcPr>
                  <w:tcW w:w="6103" w:type="dxa"/>
                  <w:gridSpan w:val="5"/>
                  <w:tcBorders>
                    <w:tl2br w:val="nil"/>
                    <w:tr2bl w:val="nil"/>
                  </w:tcBorders>
                  <w:noWrap w:val="0"/>
                  <w:vAlign w:val="center"/>
                </w:tcPr>
                <w:p w14:paraId="4B08FB9D">
                  <w:pPr>
                    <w:jc w:val="center"/>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rPr>
                    <w:t>评价范围内无</w:t>
                  </w:r>
                  <w:r>
                    <w:rPr>
                      <w:rFonts w:hint="default" w:ascii="Times New Roman" w:hAnsi="Times New Roman" w:eastAsia="宋体" w:cs="Times New Roman"/>
                      <w:color w:val="auto"/>
                      <w:szCs w:val="21"/>
                      <w:highlight w:val="none"/>
                      <w:u w:val="none" w:color="auto"/>
                      <w:lang w:val="en-US" w:eastAsia="zh-CN"/>
                    </w:rPr>
                    <w:t>珍稀、濒危等生态保护目标</w:t>
                  </w:r>
                </w:p>
              </w:tc>
            </w:tr>
          </w:tbl>
          <w:p w14:paraId="67C90CCB">
            <w:pPr>
              <w:adjustRightInd w:val="0"/>
              <w:snapToGrid w:val="0"/>
              <w:rPr>
                <w:rFonts w:hint="default" w:ascii="Times New Roman" w:hAnsi="Times New Roman" w:eastAsia="宋体" w:cs="Times New Roman"/>
                <w:color w:val="auto"/>
                <w:kern w:val="0"/>
                <w:szCs w:val="21"/>
                <w:u w:val="none" w:color="auto"/>
              </w:rPr>
            </w:pPr>
          </w:p>
        </w:tc>
      </w:tr>
      <w:tr w14:paraId="2D4BB38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800" w:type="dxa"/>
            <w:noWrap w:val="0"/>
            <w:tcMar>
              <w:left w:w="28" w:type="dxa"/>
              <w:right w:w="28" w:type="dxa"/>
            </w:tcMar>
            <w:vAlign w:val="center"/>
          </w:tcPr>
          <w:p w14:paraId="54ABFE3E">
            <w:pPr>
              <w:adjustRightInd w:val="0"/>
              <w:snapToGrid w:val="0"/>
              <w:jc w:val="center"/>
              <w:rPr>
                <w:rFonts w:hint="default" w:ascii="Times New Roman" w:hAnsi="Times New Roman" w:eastAsia="宋体" w:cs="Times New Roman"/>
                <w:color w:val="auto"/>
                <w:kern w:val="0"/>
                <w:szCs w:val="21"/>
                <w:u w:val="none" w:color="auto"/>
              </w:rPr>
            </w:pPr>
            <w:r>
              <w:rPr>
                <w:rFonts w:hint="default" w:ascii="Times New Roman" w:hAnsi="Times New Roman" w:eastAsia="宋体" w:cs="Times New Roman"/>
                <w:color w:val="auto"/>
                <w:kern w:val="0"/>
                <w:szCs w:val="21"/>
                <w:u w:val="none" w:color="auto"/>
              </w:rPr>
              <w:t>污染</w:t>
            </w:r>
          </w:p>
          <w:p w14:paraId="3E61766E">
            <w:pPr>
              <w:adjustRightInd w:val="0"/>
              <w:snapToGrid w:val="0"/>
              <w:jc w:val="center"/>
              <w:rPr>
                <w:rFonts w:hint="default" w:ascii="Times New Roman" w:hAnsi="Times New Roman" w:eastAsia="宋体" w:cs="Times New Roman"/>
                <w:color w:val="auto"/>
                <w:kern w:val="0"/>
                <w:szCs w:val="21"/>
                <w:u w:val="none" w:color="auto"/>
              </w:rPr>
            </w:pPr>
            <w:r>
              <w:rPr>
                <w:rFonts w:hint="default" w:ascii="Times New Roman" w:hAnsi="Times New Roman" w:eastAsia="宋体" w:cs="Times New Roman"/>
                <w:color w:val="auto"/>
                <w:kern w:val="0"/>
                <w:szCs w:val="21"/>
                <w:u w:val="none" w:color="auto"/>
              </w:rPr>
              <w:t>物排</w:t>
            </w:r>
          </w:p>
          <w:p w14:paraId="614B4724">
            <w:pPr>
              <w:adjustRightInd w:val="0"/>
              <w:snapToGrid w:val="0"/>
              <w:jc w:val="center"/>
              <w:rPr>
                <w:rFonts w:hint="default" w:ascii="Times New Roman" w:hAnsi="Times New Roman" w:eastAsia="宋体" w:cs="Times New Roman"/>
                <w:color w:val="auto"/>
                <w:kern w:val="0"/>
                <w:szCs w:val="21"/>
                <w:u w:val="none" w:color="auto"/>
              </w:rPr>
            </w:pPr>
            <w:r>
              <w:rPr>
                <w:rFonts w:hint="default" w:ascii="Times New Roman" w:hAnsi="Times New Roman" w:eastAsia="宋体" w:cs="Times New Roman"/>
                <w:color w:val="auto"/>
                <w:kern w:val="0"/>
                <w:szCs w:val="21"/>
                <w:u w:val="none" w:color="auto"/>
              </w:rPr>
              <w:t>放控</w:t>
            </w:r>
          </w:p>
          <w:p w14:paraId="7401D18F">
            <w:pPr>
              <w:adjustRightInd w:val="0"/>
              <w:snapToGrid w:val="0"/>
              <w:jc w:val="center"/>
              <w:rPr>
                <w:rFonts w:hint="default" w:ascii="Times New Roman" w:hAnsi="Times New Roman" w:eastAsia="宋体" w:cs="Times New Roman"/>
                <w:color w:val="auto"/>
                <w:kern w:val="0"/>
                <w:szCs w:val="21"/>
                <w:u w:val="none" w:color="auto"/>
              </w:rPr>
            </w:pPr>
            <w:r>
              <w:rPr>
                <w:rFonts w:hint="default" w:ascii="Times New Roman" w:hAnsi="Times New Roman" w:eastAsia="宋体" w:cs="Times New Roman"/>
                <w:color w:val="auto"/>
                <w:kern w:val="0"/>
                <w:szCs w:val="21"/>
                <w:u w:val="none" w:color="auto"/>
              </w:rPr>
              <w:t>制标</w:t>
            </w:r>
          </w:p>
          <w:p w14:paraId="19150673">
            <w:pPr>
              <w:adjustRightInd w:val="0"/>
              <w:snapToGrid w:val="0"/>
              <w:jc w:val="center"/>
              <w:rPr>
                <w:rFonts w:hint="default" w:ascii="Times New Roman" w:hAnsi="Times New Roman" w:eastAsia="宋体" w:cs="Times New Roman"/>
                <w:color w:val="auto"/>
                <w:kern w:val="0"/>
                <w:szCs w:val="21"/>
                <w:u w:val="none" w:color="auto"/>
              </w:rPr>
            </w:pPr>
            <w:r>
              <w:rPr>
                <w:rFonts w:hint="default" w:ascii="Times New Roman" w:hAnsi="Times New Roman" w:eastAsia="宋体" w:cs="Times New Roman"/>
                <w:color w:val="auto"/>
                <w:kern w:val="0"/>
                <w:szCs w:val="21"/>
                <w:u w:val="none" w:color="auto"/>
              </w:rPr>
              <w:t>准</w:t>
            </w:r>
          </w:p>
        </w:tc>
        <w:tc>
          <w:tcPr>
            <w:tcW w:w="8190" w:type="dxa"/>
            <w:noWrap w:val="0"/>
            <w:vAlign w:val="center"/>
          </w:tcPr>
          <w:p w14:paraId="31064224">
            <w:pPr>
              <w:adjustRightInd w:val="0"/>
              <w:snapToGrid w:val="0"/>
              <w:spacing w:line="360" w:lineRule="auto"/>
              <w:rPr>
                <w:rFonts w:hint="default" w:ascii="Times New Roman" w:hAnsi="Times New Roman" w:eastAsia="宋体" w:cs="Times New Roman"/>
                <w:b/>
                <w:color w:val="auto"/>
                <w:spacing w:val="-10"/>
                <w:sz w:val="24"/>
                <w:highlight w:val="none"/>
                <w:u w:val="none" w:color="auto"/>
              </w:rPr>
            </w:pPr>
            <w:r>
              <w:rPr>
                <w:rFonts w:hint="default" w:ascii="Times New Roman" w:hAnsi="Times New Roman" w:eastAsia="宋体" w:cs="Times New Roman"/>
                <w:b/>
                <w:color w:val="auto"/>
                <w:spacing w:val="-10"/>
                <w:sz w:val="24"/>
                <w:highlight w:val="none"/>
                <w:u w:val="none" w:color="auto"/>
              </w:rPr>
              <w:t>一、废气排放标准</w:t>
            </w:r>
          </w:p>
          <w:p w14:paraId="0E7222AA">
            <w:pPr>
              <w:spacing w:line="336" w:lineRule="auto"/>
              <w:ind w:firstLine="480" w:firstLineChars="200"/>
              <w:rPr>
                <w:rFonts w:hint="default" w:ascii="Times New Roman" w:hAnsi="Times New Roman" w:eastAsia="宋体" w:cs="Times New Roman"/>
                <w:color w:val="auto"/>
                <w:sz w:val="24"/>
                <w:u w:val="none" w:color="auto"/>
              </w:rPr>
            </w:pPr>
            <w:r>
              <w:rPr>
                <w:rFonts w:hint="default" w:ascii="Times New Roman" w:hAnsi="Times New Roman" w:eastAsia="宋体" w:cs="Times New Roman"/>
                <w:color w:val="auto"/>
                <w:sz w:val="24"/>
                <w:u w:val="none" w:color="auto"/>
                <w:lang w:val="en-US" w:eastAsia="zh-CN"/>
              </w:rPr>
              <w:t>1、</w:t>
            </w:r>
            <w:r>
              <w:rPr>
                <w:rFonts w:hint="default" w:ascii="Times New Roman" w:hAnsi="Times New Roman" w:eastAsia="宋体" w:cs="Times New Roman"/>
                <w:color w:val="auto"/>
                <w:sz w:val="24"/>
                <w:u w:val="none" w:color="auto"/>
              </w:rPr>
              <w:t>施工期</w:t>
            </w:r>
          </w:p>
          <w:p w14:paraId="3806ACEC">
            <w:pPr>
              <w:autoSpaceDE w:val="0"/>
              <w:autoSpaceDN w:val="0"/>
              <w:spacing w:line="360" w:lineRule="auto"/>
              <w:ind w:firstLine="480" w:firstLineChars="200"/>
              <w:contextualSpacing/>
              <w:rPr>
                <w:rFonts w:hint="default" w:ascii="Times New Roman" w:hAnsi="Times New Roman" w:eastAsia="宋体" w:cs="Times New Roman"/>
                <w:b w:val="0"/>
                <w:bCs/>
                <w:color w:val="auto"/>
                <w:spacing w:val="0"/>
                <w:sz w:val="24"/>
                <w:u w:val="none" w:color="auto"/>
                <w:lang w:val="en-US" w:eastAsia="zh-CN"/>
              </w:rPr>
            </w:pPr>
            <w:r>
              <w:rPr>
                <w:rFonts w:hint="default" w:ascii="Times New Roman" w:hAnsi="Times New Roman" w:eastAsia="宋体" w:cs="Times New Roman"/>
                <w:color w:val="auto"/>
                <w:sz w:val="24"/>
                <w:u w:val="none" w:color="auto"/>
              </w:rPr>
              <w:t>施工期废气执行《大气污染物综合排放标准》（GB16297-1996）</w:t>
            </w:r>
            <w:r>
              <w:rPr>
                <w:rFonts w:hint="default" w:ascii="Times New Roman" w:hAnsi="Times New Roman" w:eastAsia="宋体" w:cs="Times New Roman"/>
                <w:color w:val="auto"/>
                <w:sz w:val="24"/>
                <w:szCs w:val="32"/>
                <w:u w:val="none" w:color="auto"/>
              </w:rPr>
              <w:t>无组织排放浓度限值</w:t>
            </w:r>
            <w:r>
              <w:rPr>
                <w:rFonts w:hint="default" w:ascii="Times New Roman" w:hAnsi="Times New Roman" w:eastAsia="宋体" w:cs="Times New Roman"/>
                <w:color w:val="auto"/>
                <w:sz w:val="24"/>
                <w:u w:val="none" w:color="auto"/>
              </w:rPr>
              <w:t>。</w:t>
            </w:r>
          </w:p>
          <w:p w14:paraId="1A2DE7EC">
            <w:pPr>
              <w:spacing w:line="336" w:lineRule="auto"/>
              <w:ind w:firstLine="480" w:firstLineChars="200"/>
              <w:rPr>
                <w:rFonts w:hint="default" w:ascii="Times New Roman" w:hAnsi="Times New Roman" w:eastAsia="宋体" w:cs="Times New Roman"/>
                <w:color w:val="auto"/>
                <w:sz w:val="24"/>
                <w:u w:val="none" w:color="auto"/>
              </w:rPr>
            </w:pPr>
            <w:r>
              <w:rPr>
                <w:rFonts w:hint="default" w:ascii="Times New Roman" w:hAnsi="Times New Roman" w:eastAsia="宋体" w:cs="Times New Roman"/>
                <w:color w:val="auto"/>
                <w:sz w:val="24"/>
                <w:u w:val="none" w:color="auto"/>
                <w:lang w:val="en-US" w:eastAsia="zh-CN"/>
              </w:rPr>
              <w:t>2、</w:t>
            </w:r>
            <w:r>
              <w:rPr>
                <w:rFonts w:hint="default" w:ascii="Times New Roman" w:hAnsi="Times New Roman" w:eastAsia="宋体" w:cs="Times New Roman"/>
                <w:color w:val="auto"/>
                <w:sz w:val="24"/>
                <w:u w:val="none" w:color="auto"/>
              </w:rPr>
              <w:t>运营期</w:t>
            </w:r>
          </w:p>
          <w:p w14:paraId="20D1752C">
            <w:pPr>
              <w:spacing w:line="336" w:lineRule="auto"/>
              <w:ind w:firstLine="480" w:firstLineChars="200"/>
              <w:rPr>
                <w:rFonts w:hint="default" w:ascii="Times New Roman" w:hAnsi="Times New Roman" w:eastAsia="宋体" w:cs="Times New Roman"/>
                <w:color w:val="auto"/>
                <w:sz w:val="24"/>
                <w:u w:val="none" w:color="auto"/>
                <w:lang w:val="en-US" w:eastAsia="zh-CN"/>
              </w:rPr>
            </w:pPr>
            <w:r>
              <w:rPr>
                <w:rFonts w:hint="default" w:ascii="Times New Roman" w:hAnsi="Times New Roman" w:eastAsia="宋体" w:cs="Times New Roman"/>
                <w:color w:val="auto"/>
                <w:sz w:val="24"/>
                <w:u w:val="none" w:color="auto"/>
                <w:lang w:val="en-US" w:eastAsia="zh-CN"/>
              </w:rPr>
              <w:t>（1）中创空天厂区</w:t>
            </w:r>
          </w:p>
          <w:p w14:paraId="08C851BA">
            <w:pPr>
              <w:spacing w:line="336" w:lineRule="auto"/>
              <w:ind w:firstLine="480" w:firstLineChars="200"/>
              <w:rPr>
                <w:rFonts w:hint="default" w:ascii="Times New Roman" w:hAnsi="Times New Roman" w:eastAsia="宋体" w:cs="Times New Roman"/>
                <w:color w:val="auto"/>
                <w:sz w:val="24"/>
                <w:u w:val="none" w:color="auto"/>
                <w:lang w:val="en-US" w:eastAsia="zh-CN"/>
              </w:rPr>
            </w:pPr>
            <w:r>
              <w:rPr>
                <w:rFonts w:hint="default" w:ascii="Times New Roman" w:hAnsi="Times New Roman" w:eastAsia="宋体" w:cs="Times New Roman"/>
                <w:color w:val="auto"/>
                <w:sz w:val="24"/>
                <w:u w:val="none" w:color="auto"/>
                <w:lang w:val="en-US" w:eastAsia="zh-CN"/>
              </w:rPr>
              <w:t>①有组织废气：</w:t>
            </w:r>
          </w:p>
          <w:p w14:paraId="2561D987">
            <w:pPr>
              <w:keepNext w:val="0"/>
              <w:keepLines w:val="0"/>
              <w:pageBreakBefore w:val="0"/>
              <w:widowControl w:val="0"/>
              <w:numPr>
                <w:ilvl w:val="0"/>
                <w:numId w:val="6"/>
              </w:numPr>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eastAsia="宋体" w:cs="Times New Roman"/>
                <w:color w:val="auto"/>
                <w:sz w:val="24"/>
                <w:u w:val="none" w:color="auto"/>
                <w:lang w:val="en-US" w:eastAsia="zh-CN"/>
              </w:rPr>
            </w:pPr>
            <w:r>
              <w:rPr>
                <w:rFonts w:hint="default" w:ascii="Times New Roman" w:hAnsi="Times New Roman" w:eastAsia="宋体" w:cs="Times New Roman"/>
                <w:color w:val="auto"/>
                <w:sz w:val="24"/>
                <w:u w:val="none" w:color="auto"/>
                <w:lang w:val="en-US" w:eastAsia="zh-CN"/>
              </w:rPr>
              <w:t>DA010排气筒：该排气筒废气来源于金属熔化烟尘、生物质颗粒燃烧废气、天然气燃烧废气、铝灰渣处理等工艺，执行《大气污染物综合排放标准》（GB16297-1996）中的表2的二级标准、《工业炉窑大气污染物排放标准》（GB9078-1996）中表二有色金属熔炼炉的二级标准及表4相关标准限值；其中35t熔化炉、35t保温炉涉及对多余铝水进行铸锭，根据《铸造工业大气污染物排放标准》（GB39726-2020）中表1的相关注释内容，35t熔化炉（生物质颗粒）废气参照执行冲天炉标准、35t保温炉（天然气）参照执行燃气炉标准。根据上述分析，DA010排气筒废气污染物从严执行相关标准。</w:t>
            </w:r>
          </w:p>
          <w:p w14:paraId="25057BCE">
            <w:pPr>
              <w:keepNext w:val="0"/>
              <w:keepLines w:val="0"/>
              <w:pageBreakBefore w:val="0"/>
              <w:widowControl w:val="0"/>
              <w:numPr>
                <w:ilvl w:val="0"/>
                <w:numId w:val="6"/>
              </w:numPr>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eastAsia="宋体" w:cs="Times New Roman"/>
                <w:color w:val="auto"/>
                <w:sz w:val="24"/>
                <w:u w:val="none" w:color="auto"/>
                <w:lang w:val="en-US" w:eastAsia="zh-CN"/>
              </w:rPr>
            </w:pPr>
            <w:r>
              <w:rPr>
                <w:rFonts w:hint="default" w:ascii="Times New Roman" w:hAnsi="Times New Roman" w:eastAsia="宋体" w:cs="Times New Roman"/>
                <w:color w:val="auto"/>
                <w:sz w:val="24"/>
                <w:u w:val="none" w:color="auto"/>
                <w:lang w:val="en-US" w:eastAsia="zh-CN"/>
              </w:rPr>
              <w:t>DA011排气筒：该排气筒废气来源于压铸工艺废气，执行《大气污染物综合排放标准》（GB16297-1996）中的表2的二级标准。</w:t>
            </w:r>
          </w:p>
          <w:p w14:paraId="269BDCCB">
            <w:pPr>
              <w:spacing w:line="336" w:lineRule="auto"/>
              <w:ind w:firstLine="480" w:firstLineChars="200"/>
              <w:rPr>
                <w:rFonts w:hint="default" w:ascii="Times New Roman" w:hAnsi="Times New Roman" w:eastAsia="宋体" w:cs="Times New Roman"/>
                <w:color w:val="auto"/>
                <w:sz w:val="24"/>
                <w:u w:val="none" w:color="auto"/>
                <w:lang w:val="en-US" w:eastAsia="zh-CN"/>
              </w:rPr>
            </w:pPr>
            <w:r>
              <w:rPr>
                <w:rFonts w:hint="default" w:ascii="Times New Roman" w:hAnsi="Times New Roman" w:eastAsia="宋体" w:cs="Times New Roman"/>
                <w:color w:val="auto"/>
                <w:sz w:val="24"/>
                <w:u w:val="none" w:color="auto"/>
                <w:lang w:val="en-US" w:eastAsia="zh-CN"/>
              </w:rPr>
              <w:t>②无组织废气：执行《大气污染物综合排放标准》（GB16297-1996）中的表2的无组织排放浓度监控限值；</w:t>
            </w:r>
          </w:p>
          <w:p w14:paraId="13B1785F">
            <w:pPr>
              <w:spacing w:line="336" w:lineRule="auto"/>
              <w:ind w:firstLine="480" w:firstLineChars="200"/>
              <w:rPr>
                <w:rFonts w:hint="default" w:ascii="Times New Roman" w:hAnsi="Times New Roman" w:eastAsia="宋体" w:cs="Times New Roman"/>
                <w:color w:val="auto"/>
                <w:sz w:val="24"/>
                <w:u w:val="none" w:color="auto"/>
                <w:lang w:val="en-US" w:eastAsia="zh-CN"/>
              </w:rPr>
            </w:pPr>
            <w:r>
              <w:rPr>
                <w:rFonts w:hint="default" w:ascii="Times New Roman" w:hAnsi="Times New Roman" w:eastAsia="宋体" w:cs="Times New Roman"/>
                <w:color w:val="auto"/>
                <w:sz w:val="24"/>
                <w:u w:val="none" w:color="auto"/>
                <w:lang w:val="en-US" w:eastAsia="zh-CN"/>
              </w:rPr>
              <w:t>③厂区内厂房外废气：执行《铸造工业大气污染物排放标准》（GB39726-2020）表A.1的标准限值。</w:t>
            </w:r>
          </w:p>
          <w:p w14:paraId="3DF5EDCA">
            <w:pPr>
              <w:spacing w:line="336" w:lineRule="auto"/>
              <w:ind w:firstLine="480" w:firstLineChars="200"/>
              <w:rPr>
                <w:rFonts w:hint="default" w:ascii="Times New Roman" w:hAnsi="Times New Roman" w:eastAsia="宋体" w:cs="Times New Roman"/>
                <w:color w:val="auto"/>
                <w:sz w:val="24"/>
                <w:u w:val="none" w:color="auto"/>
                <w:lang w:val="en-US" w:eastAsia="zh-CN"/>
              </w:rPr>
            </w:pPr>
            <w:r>
              <w:rPr>
                <w:rFonts w:hint="default" w:ascii="Times New Roman" w:hAnsi="Times New Roman" w:eastAsia="宋体" w:cs="Times New Roman"/>
                <w:color w:val="auto"/>
                <w:sz w:val="24"/>
                <w:u w:val="none" w:color="auto"/>
                <w:lang w:val="en-US" w:eastAsia="zh-CN"/>
              </w:rPr>
              <w:t>具体各污染物执行标准及其限值如下：</w:t>
            </w:r>
          </w:p>
          <w:p w14:paraId="528C3028">
            <w:pPr>
              <w:adjustRightInd w:val="0"/>
              <w:snapToGrid w:val="0"/>
              <w:jc w:val="center"/>
              <w:rPr>
                <w:rFonts w:hint="default" w:ascii="Times New Roman" w:hAnsi="Times New Roman" w:eastAsia="宋体" w:cs="Times New Roman"/>
                <w:b/>
                <w:color w:val="auto"/>
                <w:sz w:val="21"/>
                <w:szCs w:val="21"/>
                <w:u w:val="none" w:color="auto"/>
              </w:rPr>
            </w:pPr>
            <w:r>
              <w:rPr>
                <w:rFonts w:hint="default" w:ascii="Times New Roman" w:hAnsi="Times New Roman" w:eastAsia="宋体" w:cs="Times New Roman"/>
                <w:b/>
                <w:color w:val="auto"/>
                <w:sz w:val="21"/>
                <w:szCs w:val="21"/>
                <w:u w:val="none" w:color="auto"/>
              </w:rPr>
              <w:t xml:space="preserve">表3-6  </w:t>
            </w:r>
            <w:r>
              <w:rPr>
                <w:rFonts w:hint="default" w:ascii="Times New Roman" w:hAnsi="Times New Roman" w:eastAsia="宋体" w:cs="Times New Roman"/>
                <w:b/>
                <w:color w:val="auto"/>
                <w:sz w:val="21"/>
                <w:szCs w:val="21"/>
                <w:u w:val="none" w:color="auto"/>
                <w:lang w:val="en-US" w:eastAsia="zh-CN"/>
              </w:rPr>
              <w:t>有组织</w:t>
            </w:r>
            <w:r>
              <w:rPr>
                <w:rFonts w:hint="default" w:ascii="Times New Roman" w:hAnsi="Times New Roman" w:eastAsia="宋体" w:cs="Times New Roman"/>
                <w:b/>
                <w:color w:val="auto"/>
                <w:sz w:val="21"/>
                <w:szCs w:val="21"/>
                <w:u w:val="none" w:color="auto"/>
              </w:rPr>
              <w:t>废气执行标准</w:t>
            </w:r>
          </w:p>
          <w:tbl>
            <w:tblPr>
              <w:tblStyle w:val="31"/>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28" w:type="dxa"/>
                <w:bottom w:w="0" w:type="dxa"/>
                <w:right w:w="28" w:type="dxa"/>
              </w:tblCellMar>
            </w:tblPr>
            <w:tblGrid>
              <w:gridCol w:w="926"/>
              <w:gridCol w:w="1090"/>
              <w:gridCol w:w="1455"/>
              <w:gridCol w:w="926"/>
              <w:gridCol w:w="1325"/>
              <w:gridCol w:w="2219"/>
            </w:tblGrid>
            <w:tr w14:paraId="73F15FA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cantSplit/>
                <w:trHeight w:val="862" w:hRule="atLeast"/>
                <w:jc w:val="center"/>
              </w:trPr>
              <w:tc>
                <w:tcPr>
                  <w:tcW w:w="926" w:type="dxa"/>
                  <w:tcBorders>
                    <w:tl2br w:val="nil"/>
                    <w:tr2bl w:val="nil"/>
                  </w:tcBorders>
                  <w:noWrap w:val="0"/>
                  <w:vAlign w:val="center"/>
                </w:tcPr>
                <w:p w14:paraId="2FBB0FAC">
                  <w:pPr>
                    <w:spacing w:line="240" w:lineRule="auto"/>
                    <w:jc w:val="center"/>
                    <w:rPr>
                      <w:rFonts w:hint="default" w:ascii="Times New Roman" w:hAnsi="Times New Roman" w:eastAsia="宋体" w:cs="Times New Roman"/>
                      <w:b/>
                      <w:bCs/>
                      <w:color w:val="auto"/>
                      <w:sz w:val="21"/>
                      <w:szCs w:val="21"/>
                      <w:u w:val="none" w:color="auto"/>
                      <w:lang w:val="en-US" w:eastAsia="zh-CN"/>
                    </w:rPr>
                  </w:pPr>
                  <w:r>
                    <w:rPr>
                      <w:rFonts w:hint="default" w:ascii="Times New Roman" w:hAnsi="Times New Roman" w:eastAsia="宋体" w:cs="Times New Roman"/>
                      <w:b/>
                      <w:bCs/>
                      <w:color w:val="auto"/>
                      <w:sz w:val="21"/>
                      <w:szCs w:val="21"/>
                      <w:u w:val="none" w:color="auto"/>
                      <w:lang w:val="en-US" w:eastAsia="zh-CN"/>
                    </w:rPr>
                    <w:t>排气筒</w:t>
                  </w:r>
                </w:p>
              </w:tc>
              <w:tc>
                <w:tcPr>
                  <w:tcW w:w="1090" w:type="dxa"/>
                  <w:tcBorders>
                    <w:tl2br w:val="nil"/>
                    <w:tr2bl w:val="nil"/>
                  </w:tcBorders>
                  <w:noWrap w:val="0"/>
                  <w:vAlign w:val="center"/>
                </w:tcPr>
                <w:p w14:paraId="6FB30C66">
                  <w:pPr>
                    <w:spacing w:line="240" w:lineRule="auto"/>
                    <w:jc w:val="center"/>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污染物名称</w:t>
                  </w:r>
                </w:p>
              </w:tc>
              <w:tc>
                <w:tcPr>
                  <w:tcW w:w="1455" w:type="dxa"/>
                  <w:tcBorders>
                    <w:tl2br w:val="nil"/>
                    <w:tr2bl w:val="nil"/>
                  </w:tcBorders>
                  <w:noWrap w:val="0"/>
                  <w:vAlign w:val="center"/>
                </w:tcPr>
                <w:p w14:paraId="33A65513">
                  <w:pPr>
                    <w:spacing w:line="240" w:lineRule="auto"/>
                    <w:jc w:val="center"/>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最高允许排放浓度（mg/m</w:t>
                  </w:r>
                  <w:r>
                    <w:rPr>
                      <w:rFonts w:hint="default" w:ascii="Times New Roman" w:hAnsi="Times New Roman" w:eastAsia="宋体" w:cs="Times New Roman"/>
                      <w:b/>
                      <w:bCs/>
                      <w:color w:val="auto"/>
                      <w:sz w:val="21"/>
                      <w:szCs w:val="21"/>
                      <w:u w:val="none" w:color="auto"/>
                      <w:vertAlign w:val="superscript"/>
                    </w:rPr>
                    <w:t>3</w:t>
                  </w:r>
                  <w:r>
                    <w:rPr>
                      <w:rFonts w:hint="default" w:ascii="Times New Roman" w:hAnsi="Times New Roman" w:eastAsia="宋体" w:cs="Times New Roman"/>
                      <w:b/>
                      <w:bCs/>
                      <w:color w:val="auto"/>
                      <w:sz w:val="21"/>
                      <w:szCs w:val="21"/>
                      <w:u w:val="none" w:color="auto"/>
                    </w:rPr>
                    <w:t>）</w:t>
                  </w:r>
                </w:p>
              </w:tc>
              <w:tc>
                <w:tcPr>
                  <w:tcW w:w="926" w:type="dxa"/>
                  <w:tcBorders>
                    <w:tl2br w:val="nil"/>
                    <w:tr2bl w:val="nil"/>
                  </w:tcBorders>
                  <w:noWrap w:val="0"/>
                  <w:vAlign w:val="center"/>
                </w:tcPr>
                <w:p w14:paraId="207D2D27">
                  <w:pPr>
                    <w:spacing w:line="240" w:lineRule="auto"/>
                    <w:jc w:val="center"/>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排气筒高度（m）</w:t>
                  </w:r>
                </w:p>
              </w:tc>
              <w:tc>
                <w:tcPr>
                  <w:tcW w:w="1325" w:type="dxa"/>
                  <w:tcBorders>
                    <w:tl2br w:val="nil"/>
                    <w:tr2bl w:val="nil"/>
                  </w:tcBorders>
                  <w:noWrap w:val="0"/>
                  <w:vAlign w:val="center"/>
                </w:tcPr>
                <w:p w14:paraId="1840133D">
                  <w:pPr>
                    <w:spacing w:line="240" w:lineRule="auto"/>
                    <w:jc w:val="center"/>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最高允许排放速率（kg/h）</w:t>
                  </w:r>
                </w:p>
              </w:tc>
              <w:tc>
                <w:tcPr>
                  <w:tcW w:w="2219" w:type="dxa"/>
                  <w:tcBorders>
                    <w:tl2br w:val="nil"/>
                    <w:tr2bl w:val="nil"/>
                  </w:tcBorders>
                  <w:noWrap w:val="0"/>
                  <w:vAlign w:val="center"/>
                </w:tcPr>
                <w:p w14:paraId="598078F2">
                  <w:pPr>
                    <w:spacing w:line="240" w:lineRule="auto"/>
                    <w:jc w:val="center"/>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标准来源</w:t>
                  </w:r>
                </w:p>
              </w:tc>
            </w:tr>
            <w:tr w14:paraId="4CFF011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cantSplit/>
                <w:trHeight w:val="331" w:hRule="atLeast"/>
                <w:jc w:val="center"/>
              </w:trPr>
              <w:tc>
                <w:tcPr>
                  <w:tcW w:w="926" w:type="dxa"/>
                  <w:vMerge w:val="restart"/>
                  <w:tcBorders>
                    <w:tl2br w:val="nil"/>
                    <w:tr2bl w:val="nil"/>
                  </w:tcBorders>
                  <w:noWrap w:val="0"/>
                  <w:vAlign w:val="center"/>
                </w:tcPr>
                <w:p w14:paraId="7F446D49">
                  <w:pPr>
                    <w:spacing w:line="240" w:lineRule="auto"/>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DA010</w:t>
                  </w:r>
                </w:p>
              </w:tc>
              <w:tc>
                <w:tcPr>
                  <w:tcW w:w="1090" w:type="dxa"/>
                  <w:tcBorders>
                    <w:tl2br w:val="nil"/>
                    <w:tr2bl w:val="nil"/>
                  </w:tcBorders>
                  <w:noWrap w:val="0"/>
                  <w:vAlign w:val="center"/>
                </w:tcPr>
                <w:p w14:paraId="7813F371">
                  <w:pPr>
                    <w:keepNext w:val="0"/>
                    <w:keepLines w:val="0"/>
                    <w:widowControl/>
                    <w:suppressLineNumbers w:val="0"/>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颗粒物</w:t>
                  </w:r>
                </w:p>
              </w:tc>
              <w:tc>
                <w:tcPr>
                  <w:tcW w:w="1455" w:type="dxa"/>
                  <w:tcBorders>
                    <w:tl2br w:val="nil"/>
                    <w:tr2bl w:val="nil"/>
                  </w:tcBorders>
                  <w:noWrap w:val="0"/>
                  <w:vAlign w:val="center"/>
                </w:tcPr>
                <w:p w14:paraId="505B187A">
                  <w:pPr>
                    <w:widowControl/>
                    <w:spacing w:line="240" w:lineRule="auto"/>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30</w:t>
                  </w:r>
                </w:p>
              </w:tc>
              <w:tc>
                <w:tcPr>
                  <w:tcW w:w="926" w:type="dxa"/>
                  <w:vMerge w:val="restart"/>
                  <w:tcBorders>
                    <w:tl2br w:val="nil"/>
                    <w:tr2bl w:val="nil"/>
                  </w:tcBorders>
                  <w:noWrap w:val="0"/>
                  <w:vAlign w:val="center"/>
                </w:tcPr>
                <w:p w14:paraId="66D8927B">
                  <w:pPr>
                    <w:widowControl/>
                    <w:spacing w:line="240" w:lineRule="auto"/>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20</w:t>
                  </w:r>
                </w:p>
              </w:tc>
              <w:tc>
                <w:tcPr>
                  <w:tcW w:w="1325" w:type="dxa"/>
                  <w:tcBorders>
                    <w:tl2br w:val="nil"/>
                    <w:tr2bl w:val="nil"/>
                  </w:tcBorders>
                  <w:noWrap w:val="0"/>
                  <w:vAlign w:val="center"/>
                </w:tcPr>
                <w:p w14:paraId="6D3E62E3">
                  <w:pPr>
                    <w:spacing w:line="240" w:lineRule="auto"/>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w:t>
                  </w:r>
                </w:p>
              </w:tc>
              <w:tc>
                <w:tcPr>
                  <w:tcW w:w="2219" w:type="dxa"/>
                  <w:vMerge w:val="restart"/>
                  <w:tcBorders>
                    <w:tl2br w:val="nil"/>
                    <w:tr2bl w:val="nil"/>
                  </w:tcBorders>
                  <w:noWrap w:val="0"/>
                  <w:vAlign w:val="center"/>
                </w:tcPr>
                <w:p w14:paraId="771A13F7">
                  <w:pPr>
                    <w:spacing w:line="240" w:lineRule="auto"/>
                    <w:jc w:val="center"/>
                    <w:rPr>
                      <w:rFonts w:hint="default" w:ascii="Times New Roman" w:hAnsi="Times New Roman" w:eastAsia="宋体" w:cs="Times New Roman"/>
                      <w:color w:val="auto"/>
                      <w:sz w:val="21"/>
                      <w:szCs w:val="21"/>
                      <w:u w:val="none" w:color="auto"/>
                      <w:lang w:eastAsia="zh-CN"/>
                    </w:rPr>
                  </w:pPr>
                  <w:r>
                    <w:rPr>
                      <w:rFonts w:hint="default" w:ascii="Times New Roman" w:hAnsi="Times New Roman" w:eastAsia="宋体" w:cs="Times New Roman"/>
                      <w:color w:val="auto"/>
                      <w:sz w:val="21"/>
                      <w:szCs w:val="21"/>
                      <w:u w:val="none" w:color="auto"/>
                      <w:lang w:val="en-US" w:eastAsia="zh-CN"/>
                    </w:rPr>
                    <w:t>从严执行</w:t>
                  </w:r>
                  <w:r>
                    <w:rPr>
                      <w:rFonts w:hint="default" w:ascii="Times New Roman" w:hAnsi="Times New Roman" w:eastAsia="宋体" w:cs="Times New Roman"/>
                      <w:color w:val="auto"/>
                      <w:sz w:val="21"/>
                      <w:szCs w:val="21"/>
                      <w:u w:val="none" w:color="auto"/>
                    </w:rPr>
                    <w:t>GB16297-1996</w:t>
                  </w: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lang w:val="en-US" w:eastAsia="zh-CN"/>
                    </w:rPr>
                    <w:t>GB9078-1996、GB39726-2020</w:t>
                  </w:r>
                </w:p>
              </w:tc>
            </w:tr>
            <w:tr w14:paraId="67705AA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cantSplit/>
                <w:trHeight w:val="486" w:hRule="atLeast"/>
                <w:jc w:val="center"/>
              </w:trPr>
              <w:tc>
                <w:tcPr>
                  <w:tcW w:w="926" w:type="dxa"/>
                  <w:vMerge w:val="continue"/>
                  <w:tcBorders>
                    <w:tl2br w:val="nil"/>
                    <w:tr2bl w:val="nil"/>
                  </w:tcBorders>
                  <w:noWrap w:val="0"/>
                  <w:vAlign w:val="center"/>
                </w:tcPr>
                <w:p w14:paraId="16CF578C">
                  <w:pPr>
                    <w:spacing w:line="240" w:lineRule="auto"/>
                    <w:jc w:val="center"/>
                    <w:rPr>
                      <w:rFonts w:hint="default" w:ascii="Times New Roman" w:hAnsi="Times New Roman" w:eastAsia="宋体" w:cs="Times New Roman"/>
                      <w:color w:val="auto"/>
                      <w:sz w:val="21"/>
                      <w:szCs w:val="21"/>
                      <w:u w:val="none" w:color="auto"/>
                    </w:rPr>
                  </w:pPr>
                </w:p>
              </w:tc>
              <w:tc>
                <w:tcPr>
                  <w:tcW w:w="1090" w:type="dxa"/>
                  <w:tcBorders>
                    <w:tl2br w:val="nil"/>
                    <w:tr2bl w:val="nil"/>
                  </w:tcBorders>
                  <w:noWrap w:val="0"/>
                  <w:vAlign w:val="center"/>
                </w:tcPr>
                <w:p w14:paraId="7902CFAF">
                  <w:pPr>
                    <w:keepNext w:val="0"/>
                    <w:keepLines w:val="0"/>
                    <w:widowControl/>
                    <w:suppressLineNumbers w:val="0"/>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二氧化硫</w:t>
                  </w:r>
                </w:p>
              </w:tc>
              <w:tc>
                <w:tcPr>
                  <w:tcW w:w="1455" w:type="dxa"/>
                  <w:tcBorders>
                    <w:tl2br w:val="nil"/>
                    <w:tr2bl w:val="nil"/>
                  </w:tcBorders>
                  <w:noWrap w:val="0"/>
                  <w:vAlign w:val="center"/>
                </w:tcPr>
                <w:p w14:paraId="7339BF99">
                  <w:pPr>
                    <w:widowControl/>
                    <w:spacing w:line="240" w:lineRule="auto"/>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100</w:t>
                  </w:r>
                </w:p>
              </w:tc>
              <w:tc>
                <w:tcPr>
                  <w:tcW w:w="926" w:type="dxa"/>
                  <w:vMerge w:val="continue"/>
                  <w:tcBorders>
                    <w:tl2br w:val="nil"/>
                    <w:tr2bl w:val="nil"/>
                  </w:tcBorders>
                  <w:noWrap w:val="0"/>
                  <w:vAlign w:val="center"/>
                </w:tcPr>
                <w:p w14:paraId="3FB60CD8">
                  <w:pPr>
                    <w:widowControl/>
                    <w:spacing w:line="240" w:lineRule="auto"/>
                    <w:jc w:val="center"/>
                    <w:rPr>
                      <w:rFonts w:hint="default" w:ascii="Times New Roman" w:hAnsi="Times New Roman" w:eastAsia="宋体" w:cs="Times New Roman"/>
                      <w:color w:val="auto"/>
                      <w:sz w:val="21"/>
                      <w:szCs w:val="21"/>
                      <w:u w:val="none" w:color="auto"/>
                    </w:rPr>
                  </w:pPr>
                </w:p>
              </w:tc>
              <w:tc>
                <w:tcPr>
                  <w:tcW w:w="1325" w:type="dxa"/>
                  <w:tcBorders>
                    <w:tl2br w:val="nil"/>
                    <w:tr2bl w:val="nil"/>
                  </w:tcBorders>
                  <w:noWrap w:val="0"/>
                  <w:vAlign w:val="center"/>
                </w:tcPr>
                <w:p w14:paraId="5D1D1E5C">
                  <w:pPr>
                    <w:spacing w:line="240" w:lineRule="auto"/>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w:t>
                  </w:r>
                </w:p>
              </w:tc>
              <w:tc>
                <w:tcPr>
                  <w:tcW w:w="2219" w:type="dxa"/>
                  <w:vMerge w:val="continue"/>
                  <w:tcBorders>
                    <w:tl2br w:val="nil"/>
                    <w:tr2bl w:val="nil"/>
                  </w:tcBorders>
                  <w:noWrap w:val="0"/>
                  <w:vAlign w:val="center"/>
                </w:tcPr>
                <w:p w14:paraId="425A0FD9">
                  <w:pPr>
                    <w:spacing w:line="240" w:lineRule="auto"/>
                    <w:jc w:val="center"/>
                    <w:rPr>
                      <w:rFonts w:hint="default" w:ascii="Times New Roman" w:hAnsi="Times New Roman" w:eastAsia="宋体" w:cs="Times New Roman"/>
                      <w:color w:val="auto"/>
                      <w:sz w:val="21"/>
                      <w:szCs w:val="21"/>
                      <w:u w:val="none" w:color="auto"/>
                    </w:rPr>
                  </w:pPr>
                </w:p>
              </w:tc>
            </w:tr>
            <w:tr w14:paraId="4CF1465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cantSplit/>
                <w:trHeight w:val="486" w:hRule="atLeast"/>
                <w:jc w:val="center"/>
              </w:trPr>
              <w:tc>
                <w:tcPr>
                  <w:tcW w:w="926" w:type="dxa"/>
                  <w:vMerge w:val="continue"/>
                  <w:tcBorders>
                    <w:tl2br w:val="nil"/>
                    <w:tr2bl w:val="nil"/>
                  </w:tcBorders>
                  <w:noWrap w:val="0"/>
                  <w:vAlign w:val="center"/>
                </w:tcPr>
                <w:p w14:paraId="3BC7558A">
                  <w:pPr>
                    <w:spacing w:line="240" w:lineRule="auto"/>
                    <w:jc w:val="center"/>
                    <w:rPr>
                      <w:rFonts w:hint="default" w:ascii="Times New Roman" w:hAnsi="Times New Roman" w:eastAsia="宋体" w:cs="Times New Roman"/>
                      <w:color w:val="auto"/>
                      <w:sz w:val="21"/>
                      <w:szCs w:val="21"/>
                      <w:u w:val="none" w:color="auto"/>
                    </w:rPr>
                  </w:pPr>
                </w:p>
              </w:tc>
              <w:tc>
                <w:tcPr>
                  <w:tcW w:w="1090" w:type="dxa"/>
                  <w:tcBorders>
                    <w:tl2br w:val="nil"/>
                    <w:tr2bl w:val="nil"/>
                  </w:tcBorders>
                  <w:noWrap w:val="0"/>
                  <w:vAlign w:val="center"/>
                </w:tcPr>
                <w:p w14:paraId="1012DD8A">
                  <w:pPr>
                    <w:keepNext w:val="0"/>
                    <w:keepLines w:val="0"/>
                    <w:widowControl/>
                    <w:suppressLineNumbers w:val="0"/>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氮氧化物</w:t>
                  </w:r>
                </w:p>
              </w:tc>
              <w:tc>
                <w:tcPr>
                  <w:tcW w:w="1455" w:type="dxa"/>
                  <w:tcBorders>
                    <w:tl2br w:val="nil"/>
                    <w:tr2bl w:val="nil"/>
                  </w:tcBorders>
                  <w:noWrap w:val="0"/>
                  <w:vAlign w:val="center"/>
                </w:tcPr>
                <w:p w14:paraId="12C36126">
                  <w:pPr>
                    <w:widowControl/>
                    <w:spacing w:line="240" w:lineRule="auto"/>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240</w:t>
                  </w:r>
                </w:p>
              </w:tc>
              <w:tc>
                <w:tcPr>
                  <w:tcW w:w="926" w:type="dxa"/>
                  <w:vMerge w:val="continue"/>
                  <w:tcBorders>
                    <w:tl2br w:val="nil"/>
                    <w:tr2bl w:val="nil"/>
                  </w:tcBorders>
                  <w:noWrap w:val="0"/>
                  <w:vAlign w:val="center"/>
                </w:tcPr>
                <w:p w14:paraId="5B6EB0BC">
                  <w:pPr>
                    <w:widowControl/>
                    <w:spacing w:line="240" w:lineRule="auto"/>
                    <w:jc w:val="center"/>
                    <w:rPr>
                      <w:rFonts w:hint="default" w:ascii="Times New Roman" w:hAnsi="Times New Roman" w:eastAsia="宋体" w:cs="Times New Roman"/>
                      <w:color w:val="auto"/>
                      <w:sz w:val="21"/>
                      <w:szCs w:val="21"/>
                      <w:u w:val="none" w:color="auto"/>
                    </w:rPr>
                  </w:pPr>
                </w:p>
              </w:tc>
              <w:tc>
                <w:tcPr>
                  <w:tcW w:w="1325" w:type="dxa"/>
                  <w:tcBorders>
                    <w:tl2br w:val="nil"/>
                    <w:tr2bl w:val="nil"/>
                  </w:tcBorders>
                  <w:noWrap w:val="0"/>
                  <w:vAlign w:val="center"/>
                </w:tcPr>
                <w:p w14:paraId="6B32BA2A">
                  <w:pPr>
                    <w:spacing w:line="240" w:lineRule="auto"/>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1.3</w:t>
                  </w:r>
                </w:p>
              </w:tc>
              <w:tc>
                <w:tcPr>
                  <w:tcW w:w="2219" w:type="dxa"/>
                  <w:vMerge w:val="continue"/>
                  <w:tcBorders>
                    <w:tl2br w:val="nil"/>
                    <w:tr2bl w:val="nil"/>
                  </w:tcBorders>
                  <w:noWrap w:val="0"/>
                  <w:vAlign w:val="center"/>
                </w:tcPr>
                <w:p w14:paraId="2E7C4D33">
                  <w:pPr>
                    <w:spacing w:line="240" w:lineRule="auto"/>
                    <w:jc w:val="center"/>
                    <w:rPr>
                      <w:rFonts w:hint="default" w:ascii="Times New Roman" w:hAnsi="Times New Roman" w:eastAsia="宋体" w:cs="Times New Roman"/>
                      <w:color w:val="auto"/>
                      <w:sz w:val="21"/>
                      <w:szCs w:val="21"/>
                      <w:u w:val="none" w:color="auto"/>
                    </w:rPr>
                  </w:pPr>
                </w:p>
              </w:tc>
            </w:tr>
            <w:tr w14:paraId="629B89E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cantSplit/>
                <w:trHeight w:val="486" w:hRule="atLeast"/>
                <w:jc w:val="center"/>
              </w:trPr>
              <w:tc>
                <w:tcPr>
                  <w:tcW w:w="926" w:type="dxa"/>
                  <w:vMerge w:val="restart"/>
                  <w:tcBorders>
                    <w:tl2br w:val="nil"/>
                    <w:tr2bl w:val="nil"/>
                  </w:tcBorders>
                  <w:noWrap w:val="0"/>
                  <w:vAlign w:val="center"/>
                </w:tcPr>
                <w:p w14:paraId="755C099F">
                  <w:pPr>
                    <w:spacing w:line="240" w:lineRule="auto"/>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DA011</w:t>
                  </w:r>
                </w:p>
              </w:tc>
              <w:tc>
                <w:tcPr>
                  <w:tcW w:w="1090" w:type="dxa"/>
                  <w:tcBorders>
                    <w:tl2br w:val="nil"/>
                    <w:tr2bl w:val="nil"/>
                  </w:tcBorders>
                  <w:shd w:val="clear" w:color="auto" w:fill="auto"/>
                  <w:noWrap w:val="0"/>
                  <w:vAlign w:val="center"/>
                </w:tcPr>
                <w:p w14:paraId="5F1942F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颗粒物</w:t>
                  </w:r>
                </w:p>
              </w:tc>
              <w:tc>
                <w:tcPr>
                  <w:tcW w:w="1455" w:type="dxa"/>
                  <w:tcBorders>
                    <w:tl2br w:val="nil"/>
                    <w:tr2bl w:val="nil"/>
                  </w:tcBorders>
                  <w:shd w:val="clear" w:color="auto" w:fill="auto"/>
                  <w:noWrap w:val="0"/>
                  <w:vAlign w:val="center"/>
                </w:tcPr>
                <w:p w14:paraId="73C699F9">
                  <w:pPr>
                    <w:widowControl/>
                    <w:spacing w:line="240" w:lineRule="auto"/>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kern w:val="2"/>
                      <w:sz w:val="21"/>
                      <w:szCs w:val="21"/>
                      <w:u w:val="none" w:color="auto"/>
                      <w:lang w:val="en-US" w:eastAsia="zh-CN" w:bidi="ar-SA"/>
                    </w:rPr>
                    <w:t>120</w:t>
                  </w:r>
                </w:p>
              </w:tc>
              <w:tc>
                <w:tcPr>
                  <w:tcW w:w="926" w:type="dxa"/>
                  <w:vMerge w:val="restart"/>
                  <w:tcBorders>
                    <w:tl2br w:val="nil"/>
                    <w:tr2bl w:val="nil"/>
                  </w:tcBorders>
                  <w:noWrap w:val="0"/>
                  <w:vAlign w:val="center"/>
                </w:tcPr>
                <w:p w14:paraId="3815106E">
                  <w:pPr>
                    <w:widowControl/>
                    <w:spacing w:line="240" w:lineRule="auto"/>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20</w:t>
                  </w:r>
                </w:p>
              </w:tc>
              <w:tc>
                <w:tcPr>
                  <w:tcW w:w="1325" w:type="dxa"/>
                  <w:tcBorders>
                    <w:tl2br w:val="nil"/>
                    <w:tr2bl w:val="nil"/>
                  </w:tcBorders>
                  <w:noWrap w:val="0"/>
                  <w:vAlign w:val="center"/>
                </w:tcPr>
                <w:p w14:paraId="1C07A94B">
                  <w:pPr>
                    <w:spacing w:line="240" w:lineRule="auto"/>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u w:val="none" w:color="auto"/>
                      <w:lang w:val="en-US" w:eastAsia="zh-CN"/>
                    </w:rPr>
                    <w:t>5.9</w:t>
                  </w:r>
                </w:p>
              </w:tc>
              <w:tc>
                <w:tcPr>
                  <w:tcW w:w="2219" w:type="dxa"/>
                  <w:vMerge w:val="restart"/>
                  <w:tcBorders>
                    <w:tl2br w:val="nil"/>
                    <w:tr2bl w:val="nil"/>
                  </w:tcBorders>
                  <w:noWrap w:val="0"/>
                  <w:vAlign w:val="center"/>
                </w:tcPr>
                <w:p w14:paraId="04841568">
                  <w:pPr>
                    <w:spacing w:line="240" w:lineRule="auto"/>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GB16297-1996</w:t>
                  </w:r>
                </w:p>
              </w:tc>
            </w:tr>
            <w:tr w14:paraId="0E12245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cantSplit/>
                <w:trHeight w:val="486" w:hRule="atLeast"/>
                <w:jc w:val="center"/>
              </w:trPr>
              <w:tc>
                <w:tcPr>
                  <w:tcW w:w="926" w:type="dxa"/>
                  <w:vMerge w:val="continue"/>
                  <w:tcBorders>
                    <w:tl2br w:val="nil"/>
                    <w:tr2bl w:val="nil"/>
                  </w:tcBorders>
                  <w:noWrap w:val="0"/>
                  <w:vAlign w:val="center"/>
                </w:tcPr>
                <w:p w14:paraId="22013BAA">
                  <w:pPr>
                    <w:spacing w:line="240" w:lineRule="auto"/>
                    <w:jc w:val="center"/>
                    <w:rPr>
                      <w:rFonts w:hint="default" w:ascii="Times New Roman" w:hAnsi="Times New Roman" w:eastAsia="宋体" w:cs="Times New Roman"/>
                      <w:color w:val="auto"/>
                      <w:sz w:val="21"/>
                      <w:szCs w:val="21"/>
                      <w:u w:val="none" w:color="auto"/>
                      <w:lang w:val="en-US" w:eastAsia="zh-CN"/>
                    </w:rPr>
                  </w:pPr>
                </w:p>
              </w:tc>
              <w:tc>
                <w:tcPr>
                  <w:tcW w:w="1090" w:type="dxa"/>
                  <w:tcBorders>
                    <w:tl2br w:val="nil"/>
                    <w:tr2bl w:val="nil"/>
                  </w:tcBorders>
                  <w:shd w:val="clear" w:color="auto" w:fill="auto"/>
                  <w:noWrap w:val="0"/>
                  <w:vAlign w:val="center"/>
                </w:tcPr>
                <w:p w14:paraId="56BF9D6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非甲烷总烃</w:t>
                  </w:r>
                </w:p>
              </w:tc>
              <w:tc>
                <w:tcPr>
                  <w:tcW w:w="1455" w:type="dxa"/>
                  <w:tcBorders>
                    <w:tl2br w:val="nil"/>
                    <w:tr2bl w:val="nil"/>
                  </w:tcBorders>
                  <w:shd w:val="clear" w:color="auto" w:fill="auto"/>
                  <w:noWrap w:val="0"/>
                  <w:vAlign w:val="center"/>
                </w:tcPr>
                <w:p w14:paraId="16277054">
                  <w:pPr>
                    <w:widowControl/>
                    <w:spacing w:line="240" w:lineRule="auto"/>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kern w:val="2"/>
                      <w:sz w:val="21"/>
                      <w:szCs w:val="21"/>
                      <w:u w:val="none" w:color="auto"/>
                      <w:lang w:val="en-US" w:eastAsia="zh-CN" w:bidi="ar-SA"/>
                    </w:rPr>
                    <w:t>120</w:t>
                  </w:r>
                </w:p>
              </w:tc>
              <w:tc>
                <w:tcPr>
                  <w:tcW w:w="926" w:type="dxa"/>
                  <w:vMerge w:val="continue"/>
                  <w:tcBorders>
                    <w:tl2br w:val="nil"/>
                    <w:tr2bl w:val="nil"/>
                  </w:tcBorders>
                  <w:noWrap w:val="0"/>
                  <w:vAlign w:val="center"/>
                </w:tcPr>
                <w:p w14:paraId="764BBEB7">
                  <w:pPr>
                    <w:widowControl/>
                    <w:spacing w:line="240" w:lineRule="auto"/>
                    <w:jc w:val="center"/>
                    <w:rPr>
                      <w:rFonts w:hint="default" w:ascii="Times New Roman" w:hAnsi="Times New Roman" w:eastAsia="宋体" w:cs="Times New Roman"/>
                      <w:color w:val="auto"/>
                      <w:sz w:val="21"/>
                      <w:szCs w:val="21"/>
                      <w:u w:val="none" w:color="auto"/>
                      <w:lang w:val="en-US" w:eastAsia="zh-CN"/>
                    </w:rPr>
                  </w:pPr>
                </w:p>
              </w:tc>
              <w:tc>
                <w:tcPr>
                  <w:tcW w:w="1325" w:type="dxa"/>
                  <w:tcBorders>
                    <w:tl2br w:val="nil"/>
                    <w:tr2bl w:val="nil"/>
                  </w:tcBorders>
                  <w:noWrap w:val="0"/>
                  <w:vAlign w:val="center"/>
                </w:tcPr>
                <w:p w14:paraId="6C7AD59D">
                  <w:pPr>
                    <w:spacing w:line="240" w:lineRule="auto"/>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17</w:t>
                  </w:r>
                </w:p>
              </w:tc>
              <w:tc>
                <w:tcPr>
                  <w:tcW w:w="2219" w:type="dxa"/>
                  <w:vMerge w:val="continue"/>
                  <w:tcBorders>
                    <w:tl2br w:val="nil"/>
                    <w:tr2bl w:val="nil"/>
                  </w:tcBorders>
                  <w:noWrap w:val="0"/>
                  <w:vAlign w:val="center"/>
                </w:tcPr>
                <w:p w14:paraId="3D6B2FB5">
                  <w:pPr>
                    <w:spacing w:line="240" w:lineRule="auto"/>
                    <w:jc w:val="center"/>
                    <w:rPr>
                      <w:rFonts w:hint="default" w:ascii="Times New Roman" w:hAnsi="Times New Roman" w:eastAsia="宋体" w:cs="Times New Roman"/>
                      <w:color w:val="auto"/>
                      <w:sz w:val="21"/>
                      <w:szCs w:val="21"/>
                      <w:u w:val="none" w:color="auto"/>
                      <w:lang w:val="en-US" w:eastAsia="zh-CN"/>
                    </w:rPr>
                  </w:pPr>
                </w:p>
              </w:tc>
            </w:tr>
          </w:tbl>
          <w:p w14:paraId="0E47E7E2">
            <w:pPr>
              <w:adjustRightInd w:val="0"/>
              <w:snapToGrid w:val="0"/>
              <w:jc w:val="center"/>
              <w:rPr>
                <w:rFonts w:hint="default" w:ascii="Times New Roman" w:hAnsi="Times New Roman" w:eastAsia="宋体" w:cs="Times New Roman"/>
                <w:b/>
                <w:color w:val="auto"/>
                <w:sz w:val="21"/>
                <w:szCs w:val="21"/>
                <w:u w:val="none" w:color="auto"/>
              </w:rPr>
            </w:pPr>
            <w:r>
              <w:rPr>
                <w:rFonts w:hint="default" w:ascii="Times New Roman" w:hAnsi="Times New Roman" w:eastAsia="宋体" w:cs="Times New Roman"/>
                <w:b/>
                <w:color w:val="auto"/>
                <w:sz w:val="21"/>
                <w:szCs w:val="21"/>
                <w:u w:val="none" w:color="auto"/>
              </w:rPr>
              <w:t>表3-</w:t>
            </w:r>
            <w:r>
              <w:rPr>
                <w:rFonts w:hint="default" w:ascii="Times New Roman" w:hAnsi="Times New Roman" w:eastAsia="宋体" w:cs="Times New Roman"/>
                <w:b/>
                <w:color w:val="auto"/>
                <w:sz w:val="21"/>
                <w:szCs w:val="21"/>
                <w:u w:val="none" w:color="auto"/>
                <w:lang w:val="en-US" w:eastAsia="zh-CN"/>
              </w:rPr>
              <w:t>7</w:t>
            </w:r>
            <w:r>
              <w:rPr>
                <w:rFonts w:hint="default" w:ascii="Times New Roman" w:hAnsi="Times New Roman" w:eastAsia="宋体" w:cs="Times New Roman"/>
                <w:b/>
                <w:color w:val="auto"/>
                <w:sz w:val="21"/>
                <w:szCs w:val="21"/>
                <w:u w:val="none" w:color="auto"/>
              </w:rPr>
              <w:t xml:space="preserve">  </w:t>
            </w:r>
            <w:r>
              <w:rPr>
                <w:rFonts w:hint="default" w:ascii="Times New Roman" w:hAnsi="Times New Roman" w:eastAsia="宋体" w:cs="Times New Roman"/>
                <w:b/>
                <w:color w:val="auto"/>
                <w:sz w:val="21"/>
                <w:szCs w:val="21"/>
                <w:u w:val="none" w:color="auto"/>
                <w:lang w:val="en-US" w:eastAsia="zh-CN"/>
              </w:rPr>
              <w:t>无组织</w:t>
            </w:r>
            <w:r>
              <w:rPr>
                <w:rFonts w:hint="default" w:ascii="Times New Roman" w:hAnsi="Times New Roman" w:eastAsia="宋体" w:cs="Times New Roman"/>
                <w:b/>
                <w:color w:val="auto"/>
                <w:sz w:val="21"/>
                <w:szCs w:val="21"/>
                <w:u w:val="none" w:color="auto"/>
              </w:rPr>
              <w:t>废气执行标准</w:t>
            </w:r>
          </w:p>
          <w:tbl>
            <w:tblPr>
              <w:tblStyle w:val="31"/>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734"/>
              <w:gridCol w:w="2040"/>
              <w:gridCol w:w="1903"/>
              <w:gridCol w:w="2264"/>
            </w:tblGrid>
            <w:tr w14:paraId="551A296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17" w:hRule="atLeast"/>
                <w:jc w:val="center"/>
              </w:trPr>
              <w:tc>
                <w:tcPr>
                  <w:tcW w:w="1092" w:type="pct"/>
                  <w:vMerge w:val="restart"/>
                  <w:tcBorders>
                    <w:tl2br w:val="nil"/>
                    <w:tr2bl w:val="nil"/>
                  </w:tcBorders>
                  <w:vAlign w:val="center"/>
                </w:tcPr>
                <w:p w14:paraId="21294681">
                  <w:pPr>
                    <w:snapToGrid w:val="0"/>
                    <w:jc w:val="center"/>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污染物</w:t>
                  </w:r>
                </w:p>
              </w:tc>
              <w:tc>
                <w:tcPr>
                  <w:tcW w:w="2482" w:type="pct"/>
                  <w:gridSpan w:val="2"/>
                  <w:tcBorders>
                    <w:tl2br w:val="nil"/>
                    <w:tr2bl w:val="nil"/>
                  </w:tcBorders>
                  <w:vAlign w:val="center"/>
                </w:tcPr>
                <w:p w14:paraId="7A9577A7">
                  <w:pPr>
                    <w:snapToGrid w:val="0"/>
                    <w:jc w:val="center"/>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无组织排放监控浓度限值</w:t>
                  </w:r>
                </w:p>
              </w:tc>
              <w:tc>
                <w:tcPr>
                  <w:tcW w:w="1425" w:type="pct"/>
                  <w:vMerge w:val="restart"/>
                  <w:tcBorders>
                    <w:tl2br w:val="nil"/>
                    <w:tr2bl w:val="nil"/>
                  </w:tcBorders>
                  <w:vAlign w:val="center"/>
                </w:tcPr>
                <w:p w14:paraId="19E3E9D9">
                  <w:pPr>
                    <w:snapToGrid w:val="0"/>
                    <w:jc w:val="center"/>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标准来源</w:t>
                  </w:r>
                </w:p>
              </w:tc>
            </w:tr>
            <w:tr w14:paraId="795FEB2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1092" w:type="pct"/>
                  <w:vMerge w:val="continue"/>
                  <w:tcBorders>
                    <w:tl2br w:val="nil"/>
                    <w:tr2bl w:val="nil"/>
                  </w:tcBorders>
                  <w:vAlign w:val="center"/>
                </w:tcPr>
                <w:p w14:paraId="3C5522D9">
                  <w:pPr>
                    <w:snapToGrid w:val="0"/>
                    <w:jc w:val="center"/>
                    <w:rPr>
                      <w:rFonts w:hint="default" w:ascii="Times New Roman" w:hAnsi="Times New Roman" w:eastAsia="宋体" w:cs="Times New Roman"/>
                      <w:b/>
                      <w:bCs/>
                      <w:color w:val="auto"/>
                      <w:sz w:val="21"/>
                      <w:szCs w:val="21"/>
                      <w:u w:val="none" w:color="auto"/>
                    </w:rPr>
                  </w:pPr>
                </w:p>
              </w:tc>
              <w:tc>
                <w:tcPr>
                  <w:tcW w:w="1284" w:type="pct"/>
                  <w:tcBorders>
                    <w:tl2br w:val="nil"/>
                    <w:tr2bl w:val="nil"/>
                  </w:tcBorders>
                  <w:vAlign w:val="center"/>
                </w:tcPr>
                <w:p w14:paraId="3815CF5F">
                  <w:pPr>
                    <w:snapToGrid w:val="0"/>
                    <w:jc w:val="center"/>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监控点</w:t>
                  </w:r>
                </w:p>
              </w:tc>
              <w:tc>
                <w:tcPr>
                  <w:tcW w:w="1198" w:type="pct"/>
                  <w:tcBorders>
                    <w:tl2br w:val="nil"/>
                    <w:tr2bl w:val="nil"/>
                  </w:tcBorders>
                  <w:vAlign w:val="center"/>
                </w:tcPr>
                <w:p w14:paraId="5BCDBF0F">
                  <w:pPr>
                    <w:snapToGrid w:val="0"/>
                    <w:jc w:val="center"/>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浓度限值（mg/m</w:t>
                  </w:r>
                  <w:r>
                    <w:rPr>
                      <w:rFonts w:hint="default" w:ascii="Times New Roman" w:hAnsi="Times New Roman" w:eastAsia="宋体" w:cs="Times New Roman"/>
                      <w:b/>
                      <w:bCs/>
                      <w:color w:val="auto"/>
                      <w:sz w:val="21"/>
                      <w:szCs w:val="21"/>
                      <w:u w:val="none" w:color="auto"/>
                      <w:vertAlign w:val="superscript"/>
                    </w:rPr>
                    <w:t>3</w:t>
                  </w:r>
                  <w:r>
                    <w:rPr>
                      <w:rFonts w:hint="default" w:ascii="Times New Roman" w:hAnsi="Times New Roman" w:eastAsia="宋体" w:cs="Times New Roman"/>
                      <w:b/>
                      <w:bCs/>
                      <w:color w:val="auto"/>
                      <w:sz w:val="21"/>
                      <w:szCs w:val="21"/>
                      <w:u w:val="none" w:color="auto"/>
                    </w:rPr>
                    <w:t>）</w:t>
                  </w:r>
                </w:p>
              </w:tc>
              <w:tc>
                <w:tcPr>
                  <w:tcW w:w="1425" w:type="pct"/>
                  <w:vMerge w:val="continue"/>
                  <w:tcBorders>
                    <w:tl2br w:val="nil"/>
                    <w:tr2bl w:val="nil"/>
                  </w:tcBorders>
                  <w:vAlign w:val="center"/>
                </w:tcPr>
                <w:p w14:paraId="796C61D2">
                  <w:pPr>
                    <w:snapToGrid w:val="0"/>
                    <w:jc w:val="center"/>
                    <w:rPr>
                      <w:rFonts w:hint="default" w:ascii="Times New Roman" w:hAnsi="Times New Roman" w:eastAsia="宋体" w:cs="Times New Roman"/>
                      <w:b/>
                      <w:bCs/>
                      <w:color w:val="auto"/>
                      <w:sz w:val="21"/>
                      <w:szCs w:val="21"/>
                      <w:u w:val="none" w:color="auto"/>
                    </w:rPr>
                  </w:pPr>
                </w:p>
              </w:tc>
            </w:tr>
            <w:tr w14:paraId="505063F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092" w:type="pct"/>
                  <w:tcBorders>
                    <w:tl2br w:val="nil"/>
                    <w:tr2bl w:val="nil"/>
                  </w:tcBorders>
                  <w:shd w:val="clear" w:color="auto" w:fill="auto"/>
                  <w:vAlign w:val="center"/>
                </w:tcPr>
                <w:p w14:paraId="4DF90D49">
                  <w:pPr>
                    <w:keepNext w:val="0"/>
                    <w:keepLines w:val="0"/>
                    <w:widowControl/>
                    <w:suppressLineNumbers w:val="0"/>
                    <w:jc w:val="center"/>
                    <w:textAlignment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i w:val="0"/>
                      <w:iCs w:val="0"/>
                      <w:color w:val="auto"/>
                      <w:kern w:val="0"/>
                      <w:sz w:val="21"/>
                      <w:szCs w:val="21"/>
                      <w:u w:val="none" w:color="auto"/>
                      <w:lang w:val="en-US" w:eastAsia="zh-CN" w:bidi="ar"/>
                    </w:rPr>
                    <w:t>颗粒物</w:t>
                  </w:r>
                </w:p>
              </w:tc>
              <w:tc>
                <w:tcPr>
                  <w:tcW w:w="1284" w:type="pct"/>
                  <w:vMerge w:val="restart"/>
                  <w:tcBorders>
                    <w:tl2br w:val="nil"/>
                    <w:tr2bl w:val="nil"/>
                  </w:tcBorders>
                  <w:vAlign w:val="center"/>
                </w:tcPr>
                <w:p w14:paraId="4B88FBDF">
                  <w:pPr>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周界外浓度最高点</w:t>
                  </w:r>
                </w:p>
              </w:tc>
              <w:tc>
                <w:tcPr>
                  <w:tcW w:w="1198" w:type="pct"/>
                  <w:tcBorders>
                    <w:tl2br w:val="nil"/>
                    <w:tr2bl w:val="nil"/>
                  </w:tcBorders>
                  <w:vAlign w:val="center"/>
                </w:tcPr>
                <w:p w14:paraId="065EF3F8">
                  <w:pPr>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1.0</w:t>
                  </w:r>
                </w:p>
              </w:tc>
              <w:tc>
                <w:tcPr>
                  <w:tcW w:w="1425" w:type="pct"/>
                  <w:vMerge w:val="restart"/>
                  <w:tcBorders>
                    <w:tl2br w:val="nil"/>
                    <w:tr2bl w:val="nil"/>
                  </w:tcBorders>
                  <w:vAlign w:val="center"/>
                </w:tcPr>
                <w:p w14:paraId="7054DF56">
                  <w:pPr>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GB16297-1996</w:t>
                  </w:r>
                </w:p>
              </w:tc>
            </w:tr>
            <w:tr w14:paraId="749468B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736" w:type="dxa"/>
                  <w:shd w:val="clear" w:color="auto" w:fill="auto"/>
                  <w:vAlign w:val="center"/>
                </w:tcPr>
                <w:p w14:paraId="4C1857C0">
                  <w:pPr>
                    <w:keepNext w:val="0"/>
                    <w:keepLines w:val="0"/>
                    <w:widowControl/>
                    <w:suppressLineNumbers w:val="0"/>
                    <w:jc w:val="center"/>
                    <w:textAlignment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i w:val="0"/>
                      <w:iCs w:val="0"/>
                      <w:color w:val="auto"/>
                      <w:kern w:val="0"/>
                      <w:sz w:val="21"/>
                      <w:szCs w:val="21"/>
                      <w:u w:val="none" w:color="auto"/>
                      <w:lang w:val="en-US" w:eastAsia="zh-CN" w:bidi="ar"/>
                    </w:rPr>
                    <w:t>二氧化硫</w:t>
                  </w:r>
                </w:p>
              </w:tc>
              <w:tc>
                <w:tcPr>
                  <w:tcW w:w="1284" w:type="pct"/>
                  <w:vMerge w:val="continue"/>
                </w:tcPr>
                <w:p w14:paraId="6C4F0332">
                  <w:pPr>
                    <w:snapToGrid w:val="0"/>
                    <w:jc w:val="center"/>
                    <w:rPr>
                      <w:rFonts w:hint="default" w:ascii="Times New Roman" w:hAnsi="Times New Roman" w:eastAsia="宋体" w:cs="Times New Roman"/>
                      <w:color w:val="auto"/>
                      <w:sz w:val="21"/>
                      <w:szCs w:val="21"/>
                      <w:u w:val="none" w:color="auto"/>
                    </w:rPr>
                  </w:pPr>
                </w:p>
              </w:tc>
              <w:tc>
                <w:tcPr>
                  <w:tcW w:w="1198" w:type="pct"/>
                </w:tcPr>
                <w:p w14:paraId="3B7BC91E">
                  <w:pPr>
                    <w:snapToGrid w:val="0"/>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0.40</w:t>
                  </w:r>
                </w:p>
              </w:tc>
              <w:tc>
                <w:tcPr>
                  <w:tcW w:w="1425" w:type="pct"/>
                  <w:vMerge w:val="continue"/>
                </w:tcPr>
                <w:p w14:paraId="5726AB3A">
                  <w:pPr>
                    <w:snapToGrid w:val="0"/>
                    <w:jc w:val="center"/>
                    <w:rPr>
                      <w:rFonts w:hint="default" w:ascii="Times New Roman" w:hAnsi="Times New Roman" w:eastAsia="宋体" w:cs="Times New Roman"/>
                      <w:color w:val="auto"/>
                      <w:sz w:val="21"/>
                      <w:szCs w:val="21"/>
                      <w:u w:val="none" w:color="auto"/>
                    </w:rPr>
                  </w:pPr>
                </w:p>
              </w:tc>
            </w:tr>
            <w:tr w14:paraId="6ECB32E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736" w:type="dxa"/>
                  <w:shd w:val="clear" w:color="auto" w:fill="auto"/>
                  <w:vAlign w:val="center"/>
                </w:tcPr>
                <w:p w14:paraId="7898933E">
                  <w:pPr>
                    <w:keepNext w:val="0"/>
                    <w:keepLines w:val="0"/>
                    <w:widowControl/>
                    <w:suppressLineNumbers w:val="0"/>
                    <w:jc w:val="center"/>
                    <w:textAlignment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i w:val="0"/>
                      <w:iCs w:val="0"/>
                      <w:color w:val="auto"/>
                      <w:kern w:val="0"/>
                      <w:sz w:val="21"/>
                      <w:szCs w:val="21"/>
                      <w:u w:val="none" w:color="auto"/>
                      <w:lang w:val="en-US" w:eastAsia="zh-CN" w:bidi="ar"/>
                    </w:rPr>
                    <w:t>氮氧化物</w:t>
                  </w:r>
                </w:p>
              </w:tc>
              <w:tc>
                <w:tcPr>
                  <w:tcW w:w="1284" w:type="pct"/>
                  <w:vMerge w:val="continue"/>
                </w:tcPr>
                <w:p w14:paraId="3E480E7C">
                  <w:pPr>
                    <w:snapToGrid w:val="0"/>
                    <w:jc w:val="center"/>
                    <w:rPr>
                      <w:rFonts w:hint="default" w:ascii="Times New Roman" w:hAnsi="Times New Roman" w:eastAsia="宋体" w:cs="Times New Roman"/>
                      <w:color w:val="auto"/>
                      <w:sz w:val="21"/>
                      <w:szCs w:val="21"/>
                      <w:u w:val="none" w:color="auto"/>
                    </w:rPr>
                  </w:pPr>
                </w:p>
              </w:tc>
              <w:tc>
                <w:tcPr>
                  <w:tcW w:w="1198" w:type="pct"/>
                </w:tcPr>
                <w:p w14:paraId="1F4CB097">
                  <w:pPr>
                    <w:snapToGrid w:val="0"/>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0.12</w:t>
                  </w:r>
                </w:p>
              </w:tc>
              <w:tc>
                <w:tcPr>
                  <w:tcW w:w="1425" w:type="pct"/>
                  <w:vMerge w:val="continue"/>
                </w:tcPr>
                <w:p w14:paraId="46F9E39D">
                  <w:pPr>
                    <w:snapToGrid w:val="0"/>
                    <w:jc w:val="center"/>
                    <w:rPr>
                      <w:rFonts w:hint="default" w:ascii="Times New Roman" w:hAnsi="Times New Roman" w:eastAsia="宋体" w:cs="Times New Roman"/>
                      <w:color w:val="auto"/>
                      <w:sz w:val="21"/>
                      <w:szCs w:val="21"/>
                      <w:u w:val="none" w:color="auto"/>
                    </w:rPr>
                  </w:pPr>
                </w:p>
              </w:tc>
            </w:tr>
            <w:tr w14:paraId="6C0186F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736" w:type="dxa"/>
                  <w:shd w:val="clear" w:color="auto" w:fill="auto"/>
                  <w:vAlign w:val="center"/>
                </w:tcPr>
                <w:p w14:paraId="72A13F4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非甲烷总烃</w:t>
                  </w:r>
                </w:p>
              </w:tc>
              <w:tc>
                <w:tcPr>
                  <w:tcW w:w="1284" w:type="pct"/>
                  <w:vMerge w:val="continue"/>
                </w:tcPr>
                <w:p w14:paraId="65D71E16">
                  <w:pPr>
                    <w:snapToGrid w:val="0"/>
                    <w:jc w:val="center"/>
                    <w:rPr>
                      <w:rFonts w:hint="default" w:ascii="Times New Roman" w:hAnsi="Times New Roman" w:eastAsia="宋体" w:cs="Times New Roman"/>
                      <w:color w:val="auto"/>
                      <w:sz w:val="21"/>
                      <w:szCs w:val="21"/>
                      <w:u w:val="none" w:color="auto"/>
                      <w:lang w:val="en-US" w:eastAsia="zh-CN"/>
                    </w:rPr>
                  </w:pPr>
                </w:p>
              </w:tc>
              <w:tc>
                <w:tcPr>
                  <w:tcW w:w="1198" w:type="pct"/>
                </w:tcPr>
                <w:p w14:paraId="7B0BCB69">
                  <w:pPr>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4.0</w:t>
                  </w:r>
                </w:p>
              </w:tc>
              <w:tc>
                <w:tcPr>
                  <w:tcW w:w="1425" w:type="pct"/>
                  <w:vMerge w:val="continue"/>
                </w:tcPr>
                <w:p w14:paraId="01C3A37C">
                  <w:pPr>
                    <w:snapToGrid w:val="0"/>
                    <w:jc w:val="center"/>
                    <w:rPr>
                      <w:rFonts w:hint="default" w:ascii="Times New Roman" w:hAnsi="Times New Roman" w:eastAsia="宋体" w:cs="Times New Roman"/>
                      <w:color w:val="auto"/>
                      <w:sz w:val="21"/>
                      <w:szCs w:val="21"/>
                      <w:u w:val="none" w:color="auto"/>
                    </w:rPr>
                  </w:pPr>
                </w:p>
              </w:tc>
            </w:tr>
          </w:tbl>
          <w:p w14:paraId="22BE2873">
            <w:pPr>
              <w:adjustRightInd w:val="0"/>
              <w:snapToGrid w:val="0"/>
              <w:jc w:val="center"/>
              <w:rPr>
                <w:rFonts w:hint="default" w:ascii="Times New Roman" w:hAnsi="Times New Roman" w:eastAsia="宋体" w:cs="Times New Roman"/>
                <w:b/>
                <w:color w:val="auto"/>
                <w:szCs w:val="21"/>
                <w:u w:val="none" w:color="auto"/>
              </w:rPr>
            </w:pPr>
            <w:r>
              <w:rPr>
                <w:rFonts w:hint="default" w:ascii="Times New Roman" w:hAnsi="Times New Roman" w:eastAsia="宋体" w:cs="Times New Roman"/>
                <w:b/>
                <w:color w:val="auto"/>
                <w:szCs w:val="21"/>
                <w:u w:val="none" w:color="auto"/>
              </w:rPr>
              <w:t>表3-</w:t>
            </w:r>
            <w:r>
              <w:rPr>
                <w:rFonts w:hint="default" w:ascii="Times New Roman" w:hAnsi="Times New Roman" w:eastAsia="宋体" w:cs="Times New Roman"/>
                <w:b/>
                <w:color w:val="auto"/>
                <w:szCs w:val="21"/>
                <w:u w:val="none" w:color="auto"/>
                <w:lang w:val="en-US" w:eastAsia="zh-CN"/>
              </w:rPr>
              <w:t>8</w:t>
            </w:r>
            <w:r>
              <w:rPr>
                <w:rFonts w:hint="default" w:ascii="Times New Roman" w:hAnsi="Times New Roman" w:eastAsia="宋体" w:cs="Times New Roman"/>
                <w:b/>
                <w:color w:val="auto"/>
                <w:szCs w:val="21"/>
                <w:u w:val="none" w:color="auto"/>
              </w:rPr>
              <w:t xml:space="preserve">  </w:t>
            </w:r>
            <w:r>
              <w:rPr>
                <w:rFonts w:hint="default" w:ascii="Times New Roman" w:hAnsi="Times New Roman" w:eastAsia="宋体" w:cs="Times New Roman"/>
                <w:b/>
                <w:color w:val="auto"/>
                <w:szCs w:val="21"/>
                <w:u w:val="none" w:color="auto"/>
                <w:lang w:val="en-US" w:eastAsia="zh-CN"/>
              </w:rPr>
              <w:t>厂区内厂房外</w:t>
            </w:r>
            <w:r>
              <w:rPr>
                <w:rFonts w:hint="default" w:ascii="Times New Roman" w:hAnsi="Times New Roman" w:eastAsia="宋体" w:cs="Times New Roman"/>
                <w:b/>
                <w:color w:val="auto"/>
                <w:szCs w:val="21"/>
                <w:u w:val="none" w:color="auto"/>
              </w:rPr>
              <w:t>废气执行标准</w:t>
            </w:r>
          </w:p>
          <w:tbl>
            <w:tblPr>
              <w:tblStyle w:val="31"/>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735"/>
              <w:gridCol w:w="1476"/>
              <w:gridCol w:w="2445"/>
              <w:gridCol w:w="2285"/>
            </w:tblGrid>
            <w:tr w14:paraId="50FDD1C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092" w:type="pct"/>
                  <w:vMerge w:val="restart"/>
                  <w:tcBorders>
                    <w:tl2br w:val="nil"/>
                    <w:tr2bl w:val="nil"/>
                  </w:tcBorders>
                  <w:vAlign w:val="center"/>
                </w:tcPr>
                <w:p w14:paraId="4AB29B12">
                  <w:pPr>
                    <w:snapToGrid w:val="0"/>
                    <w:jc w:val="center"/>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污染物</w:t>
                  </w:r>
                </w:p>
              </w:tc>
              <w:tc>
                <w:tcPr>
                  <w:tcW w:w="2468" w:type="pct"/>
                  <w:gridSpan w:val="2"/>
                  <w:tcBorders>
                    <w:tl2br w:val="nil"/>
                    <w:tr2bl w:val="nil"/>
                  </w:tcBorders>
                  <w:vAlign w:val="center"/>
                </w:tcPr>
                <w:p w14:paraId="6DACC634">
                  <w:pPr>
                    <w:snapToGrid w:val="0"/>
                    <w:jc w:val="center"/>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无组织排放监控浓度限值</w:t>
                  </w:r>
                </w:p>
              </w:tc>
              <w:tc>
                <w:tcPr>
                  <w:tcW w:w="1438" w:type="pct"/>
                  <w:vMerge w:val="restart"/>
                  <w:tcBorders>
                    <w:tl2br w:val="nil"/>
                    <w:tr2bl w:val="nil"/>
                  </w:tcBorders>
                  <w:vAlign w:val="center"/>
                </w:tcPr>
                <w:p w14:paraId="49B79F81">
                  <w:pPr>
                    <w:snapToGrid w:val="0"/>
                    <w:jc w:val="center"/>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标准来源</w:t>
                  </w:r>
                </w:p>
              </w:tc>
            </w:tr>
            <w:tr w14:paraId="7F49102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1092" w:type="pct"/>
                  <w:vMerge w:val="continue"/>
                  <w:tcBorders>
                    <w:tl2br w:val="nil"/>
                    <w:tr2bl w:val="nil"/>
                  </w:tcBorders>
                  <w:vAlign w:val="center"/>
                </w:tcPr>
                <w:p w14:paraId="691A2EB6">
                  <w:pPr>
                    <w:snapToGrid w:val="0"/>
                    <w:jc w:val="center"/>
                    <w:rPr>
                      <w:rFonts w:hint="default" w:ascii="Times New Roman" w:hAnsi="Times New Roman" w:eastAsia="宋体" w:cs="Times New Roman"/>
                      <w:b/>
                      <w:bCs/>
                      <w:color w:val="auto"/>
                      <w:sz w:val="21"/>
                      <w:szCs w:val="21"/>
                      <w:u w:val="none" w:color="auto"/>
                    </w:rPr>
                  </w:pPr>
                </w:p>
              </w:tc>
              <w:tc>
                <w:tcPr>
                  <w:tcW w:w="929" w:type="pct"/>
                  <w:tcBorders>
                    <w:tl2br w:val="nil"/>
                    <w:tr2bl w:val="nil"/>
                  </w:tcBorders>
                  <w:vAlign w:val="center"/>
                </w:tcPr>
                <w:p w14:paraId="38A4D7A6">
                  <w:pPr>
                    <w:snapToGrid w:val="0"/>
                    <w:jc w:val="center"/>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监控点</w:t>
                  </w:r>
                </w:p>
              </w:tc>
              <w:tc>
                <w:tcPr>
                  <w:tcW w:w="1539" w:type="pct"/>
                  <w:tcBorders>
                    <w:tl2br w:val="nil"/>
                    <w:tr2bl w:val="nil"/>
                  </w:tcBorders>
                  <w:vAlign w:val="center"/>
                </w:tcPr>
                <w:p w14:paraId="6493C7CE">
                  <w:pPr>
                    <w:snapToGrid w:val="0"/>
                    <w:jc w:val="center"/>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浓度限值（mg/m</w:t>
                  </w:r>
                  <w:r>
                    <w:rPr>
                      <w:rFonts w:hint="default" w:ascii="Times New Roman" w:hAnsi="Times New Roman" w:eastAsia="宋体" w:cs="Times New Roman"/>
                      <w:b/>
                      <w:bCs/>
                      <w:color w:val="auto"/>
                      <w:sz w:val="21"/>
                      <w:szCs w:val="21"/>
                      <w:u w:val="none" w:color="auto"/>
                      <w:vertAlign w:val="superscript"/>
                    </w:rPr>
                    <w:t>3</w:t>
                  </w:r>
                  <w:r>
                    <w:rPr>
                      <w:rFonts w:hint="default" w:ascii="Times New Roman" w:hAnsi="Times New Roman" w:eastAsia="宋体" w:cs="Times New Roman"/>
                      <w:b/>
                      <w:bCs/>
                      <w:color w:val="auto"/>
                      <w:sz w:val="21"/>
                      <w:szCs w:val="21"/>
                      <w:u w:val="none" w:color="auto"/>
                    </w:rPr>
                    <w:t>）</w:t>
                  </w:r>
                </w:p>
              </w:tc>
              <w:tc>
                <w:tcPr>
                  <w:tcW w:w="1438" w:type="pct"/>
                  <w:vMerge w:val="continue"/>
                  <w:tcBorders>
                    <w:tl2br w:val="nil"/>
                    <w:tr2bl w:val="nil"/>
                  </w:tcBorders>
                  <w:vAlign w:val="center"/>
                </w:tcPr>
                <w:p w14:paraId="71BC8BC8">
                  <w:pPr>
                    <w:snapToGrid w:val="0"/>
                    <w:jc w:val="center"/>
                    <w:rPr>
                      <w:rFonts w:hint="default" w:ascii="Times New Roman" w:hAnsi="Times New Roman" w:eastAsia="宋体" w:cs="Times New Roman"/>
                      <w:b/>
                      <w:bCs/>
                      <w:color w:val="auto"/>
                      <w:sz w:val="21"/>
                      <w:szCs w:val="21"/>
                      <w:u w:val="none" w:color="auto"/>
                    </w:rPr>
                  </w:pPr>
                </w:p>
              </w:tc>
            </w:tr>
            <w:tr w14:paraId="2BDCB4A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092" w:type="pct"/>
                  <w:tcBorders>
                    <w:tl2br w:val="nil"/>
                    <w:tr2bl w:val="nil"/>
                  </w:tcBorders>
                  <w:vAlign w:val="center"/>
                </w:tcPr>
                <w:p w14:paraId="5B99E550">
                  <w:pPr>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颗粒物</w:t>
                  </w:r>
                </w:p>
              </w:tc>
              <w:tc>
                <w:tcPr>
                  <w:tcW w:w="929" w:type="pct"/>
                  <w:vMerge w:val="restart"/>
                  <w:tcBorders>
                    <w:tl2br w:val="nil"/>
                    <w:tr2bl w:val="nil"/>
                  </w:tcBorders>
                  <w:vAlign w:val="center"/>
                </w:tcPr>
                <w:p w14:paraId="37D6119F">
                  <w:pPr>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在厂房外设置监控点</w:t>
                  </w:r>
                </w:p>
              </w:tc>
              <w:tc>
                <w:tcPr>
                  <w:tcW w:w="1539" w:type="pct"/>
                  <w:tcBorders>
                    <w:tl2br w:val="nil"/>
                    <w:tr2bl w:val="nil"/>
                  </w:tcBorders>
                  <w:vAlign w:val="center"/>
                </w:tcPr>
                <w:p w14:paraId="6489B3A1">
                  <w:pPr>
                    <w:snapToGrid w:val="0"/>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5.0</w:t>
                  </w:r>
                </w:p>
              </w:tc>
              <w:tc>
                <w:tcPr>
                  <w:tcW w:w="1438" w:type="pct"/>
                  <w:vMerge w:val="restart"/>
                  <w:tcBorders>
                    <w:tl2br w:val="nil"/>
                    <w:tr2bl w:val="nil"/>
                  </w:tcBorders>
                  <w:vAlign w:val="center"/>
                </w:tcPr>
                <w:p w14:paraId="3482B276">
                  <w:pPr>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GB39726-2020</w:t>
                  </w:r>
                </w:p>
              </w:tc>
            </w:tr>
            <w:tr w14:paraId="7E3EB46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1092" w:type="pct"/>
                  <w:vMerge w:val="restart"/>
                  <w:tcBorders>
                    <w:tl2br w:val="nil"/>
                    <w:tr2bl w:val="nil"/>
                  </w:tcBorders>
                  <w:vAlign w:val="center"/>
                </w:tcPr>
                <w:p w14:paraId="07483954">
                  <w:pPr>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非甲烷总烃</w:t>
                  </w:r>
                </w:p>
              </w:tc>
              <w:tc>
                <w:tcPr>
                  <w:tcW w:w="929" w:type="pct"/>
                  <w:vMerge w:val="continue"/>
                  <w:tcBorders>
                    <w:tl2br w:val="nil"/>
                    <w:tr2bl w:val="nil"/>
                  </w:tcBorders>
                  <w:vAlign w:val="center"/>
                </w:tcPr>
                <w:p w14:paraId="4165BBC4">
                  <w:pPr>
                    <w:snapToGrid w:val="0"/>
                    <w:jc w:val="center"/>
                    <w:rPr>
                      <w:rFonts w:hint="default" w:ascii="Times New Roman" w:hAnsi="Times New Roman" w:eastAsia="宋体" w:cs="Times New Roman"/>
                      <w:color w:val="auto"/>
                      <w:sz w:val="21"/>
                      <w:szCs w:val="21"/>
                      <w:u w:val="none" w:color="auto"/>
                    </w:rPr>
                  </w:pPr>
                </w:p>
              </w:tc>
              <w:tc>
                <w:tcPr>
                  <w:tcW w:w="1539" w:type="pct"/>
                  <w:tcBorders>
                    <w:tl2br w:val="nil"/>
                    <w:tr2bl w:val="nil"/>
                  </w:tcBorders>
                  <w:vAlign w:val="center"/>
                </w:tcPr>
                <w:p w14:paraId="46093354">
                  <w:pPr>
                    <w:snapToGrid w:val="0"/>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10（1h均值）</w:t>
                  </w:r>
                </w:p>
              </w:tc>
              <w:tc>
                <w:tcPr>
                  <w:tcW w:w="1438" w:type="pct"/>
                  <w:vMerge w:val="continue"/>
                  <w:tcBorders>
                    <w:tl2br w:val="nil"/>
                    <w:tr2bl w:val="nil"/>
                  </w:tcBorders>
                  <w:vAlign w:val="center"/>
                </w:tcPr>
                <w:p w14:paraId="0259E8AC">
                  <w:pPr>
                    <w:snapToGrid w:val="0"/>
                    <w:jc w:val="center"/>
                    <w:rPr>
                      <w:rFonts w:hint="default" w:ascii="Times New Roman" w:hAnsi="Times New Roman" w:eastAsia="宋体" w:cs="Times New Roman"/>
                      <w:color w:val="auto"/>
                      <w:sz w:val="21"/>
                      <w:szCs w:val="21"/>
                      <w:u w:val="none" w:color="auto"/>
                    </w:rPr>
                  </w:pPr>
                </w:p>
              </w:tc>
            </w:tr>
            <w:tr w14:paraId="25E40C3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092" w:type="pct"/>
                  <w:vMerge w:val="continue"/>
                  <w:tcBorders>
                    <w:tl2br w:val="nil"/>
                    <w:tr2bl w:val="nil"/>
                  </w:tcBorders>
                  <w:vAlign w:val="center"/>
                </w:tcPr>
                <w:p w14:paraId="71505452">
                  <w:pPr>
                    <w:jc w:val="center"/>
                    <w:rPr>
                      <w:rFonts w:hint="default" w:ascii="Times New Roman" w:hAnsi="Times New Roman" w:eastAsia="宋体" w:cs="Times New Roman"/>
                      <w:color w:val="auto"/>
                      <w:sz w:val="21"/>
                      <w:szCs w:val="21"/>
                      <w:u w:val="none" w:color="auto"/>
                      <w:lang w:val="en-US" w:eastAsia="zh-CN"/>
                    </w:rPr>
                  </w:pPr>
                </w:p>
              </w:tc>
              <w:tc>
                <w:tcPr>
                  <w:tcW w:w="929" w:type="pct"/>
                  <w:vMerge w:val="continue"/>
                  <w:tcBorders>
                    <w:tl2br w:val="nil"/>
                    <w:tr2bl w:val="nil"/>
                  </w:tcBorders>
                  <w:vAlign w:val="center"/>
                </w:tcPr>
                <w:p w14:paraId="741CC115">
                  <w:pPr>
                    <w:snapToGrid w:val="0"/>
                    <w:jc w:val="center"/>
                    <w:rPr>
                      <w:rFonts w:hint="default" w:ascii="Times New Roman" w:hAnsi="Times New Roman" w:eastAsia="宋体" w:cs="Times New Roman"/>
                      <w:color w:val="auto"/>
                      <w:sz w:val="21"/>
                      <w:szCs w:val="21"/>
                      <w:u w:val="none" w:color="auto"/>
                    </w:rPr>
                  </w:pPr>
                </w:p>
              </w:tc>
              <w:tc>
                <w:tcPr>
                  <w:tcW w:w="1539" w:type="pct"/>
                  <w:tcBorders>
                    <w:tl2br w:val="nil"/>
                    <w:tr2bl w:val="nil"/>
                  </w:tcBorders>
                  <w:vAlign w:val="center"/>
                </w:tcPr>
                <w:p w14:paraId="4716A54B">
                  <w:pPr>
                    <w:snapToGrid w:val="0"/>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30（任意一次浓度）</w:t>
                  </w:r>
                </w:p>
              </w:tc>
              <w:tc>
                <w:tcPr>
                  <w:tcW w:w="1438" w:type="pct"/>
                  <w:vMerge w:val="continue"/>
                  <w:tcBorders>
                    <w:tl2br w:val="nil"/>
                    <w:tr2bl w:val="nil"/>
                  </w:tcBorders>
                  <w:vAlign w:val="center"/>
                </w:tcPr>
                <w:p w14:paraId="0C7FC9CD">
                  <w:pPr>
                    <w:snapToGrid w:val="0"/>
                    <w:jc w:val="center"/>
                    <w:rPr>
                      <w:rFonts w:hint="default" w:ascii="Times New Roman" w:hAnsi="Times New Roman" w:eastAsia="宋体" w:cs="Times New Roman"/>
                      <w:color w:val="auto"/>
                      <w:sz w:val="21"/>
                      <w:szCs w:val="21"/>
                      <w:u w:val="none" w:color="auto"/>
                    </w:rPr>
                  </w:pPr>
                </w:p>
              </w:tc>
            </w:tr>
          </w:tbl>
          <w:p w14:paraId="74C2AA98">
            <w:pPr>
              <w:spacing w:line="336" w:lineRule="auto"/>
              <w:ind w:firstLine="480" w:firstLineChars="200"/>
              <w:rPr>
                <w:rFonts w:hint="default" w:ascii="Times New Roman" w:hAnsi="Times New Roman" w:eastAsia="宋体" w:cs="Times New Roman"/>
                <w:color w:val="auto"/>
                <w:sz w:val="24"/>
                <w:u w:val="none" w:color="auto"/>
                <w:lang w:val="en-US" w:eastAsia="zh-CN"/>
              </w:rPr>
            </w:pPr>
            <w:r>
              <w:rPr>
                <w:rFonts w:hint="default" w:ascii="Times New Roman" w:hAnsi="Times New Roman" w:eastAsia="宋体" w:cs="Times New Roman"/>
                <w:color w:val="auto"/>
                <w:sz w:val="24"/>
                <w:u w:val="none" w:color="auto"/>
                <w:lang w:val="en-US" w:eastAsia="zh-CN"/>
              </w:rPr>
              <w:t>（2）临港高新产业园区</w:t>
            </w:r>
          </w:p>
          <w:p w14:paraId="371F68AB">
            <w:pPr>
              <w:spacing w:line="336" w:lineRule="auto"/>
              <w:ind w:firstLine="480" w:firstLineChars="200"/>
              <w:rPr>
                <w:rFonts w:hint="default" w:ascii="Times New Roman" w:hAnsi="Times New Roman" w:eastAsia="宋体" w:cs="Times New Roman"/>
                <w:color w:val="auto"/>
                <w:sz w:val="24"/>
                <w:u w:val="none" w:color="auto"/>
                <w:lang w:val="en-US" w:eastAsia="zh-CN"/>
              </w:rPr>
            </w:pPr>
            <w:r>
              <w:rPr>
                <w:rFonts w:hint="default" w:ascii="Times New Roman" w:hAnsi="Times New Roman" w:eastAsia="宋体" w:cs="Times New Roman"/>
                <w:color w:val="auto"/>
                <w:sz w:val="24"/>
                <w:u w:val="none" w:color="auto"/>
                <w:lang w:val="en-US" w:eastAsia="zh-CN"/>
              </w:rPr>
              <w:t>①有组织废气：DA012排气筒涉及对产品表面处理（即浸渗处理），参照执行《表面涂装(汽车制造及维修)挥发性有机物、镍排放标准》（DB43/ 1356-2017）表1的汽车制造排放标准。</w:t>
            </w:r>
          </w:p>
          <w:p w14:paraId="5363FE5C">
            <w:pPr>
              <w:spacing w:line="336" w:lineRule="auto"/>
              <w:ind w:firstLine="480" w:firstLineChars="200"/>
              <w:rPr>
                <w:rFonts w:hint="default" w:ascii="Times New Roman" w:hAnsi="Times New Roman" w:eastAsia="宋体" w:cs="Times New Roman"/>
                <w:color w:val="auto"/>
                <w:sz w:val="24"/>
                <w:u w:val="none" w:color="auto"/>
                <w:lang w:val="en-US" w:eastAsia="zh-CN"/>
              </w:rPr>
            </w:pPr>
            <w:r>
              <w:rPr>
                <w:rFonts w:hint="default" w:ascii="Times New Roman" w:hAnsi="Times New Roman" w:eastAsia="宋体" w:cs="Times New Roman"/>
                <w:color w:val="auto"/>
                <w:sz w:val="24"/>
                <w:u w:val="none" w:color="auto"/>
                <w:lang w:val="en-US" w:eastAsia="zh-CN"/>
              </w:rPr>
              <w:t>②无组织废气：无组织排放的颗粒物需执行《大气污染物综合排放标准》（GB16297-1996）标准、非甲烷总烃需执行《表面涂装(汽车制造及维修)挥发性有机物、镍排放标准》（DB43/ 1356-2017）。</w:t>
            </w:r>
          </w:p>
          <w:p w14:paraId="4D121669">
            <w:pPr>
              <w:spacing w:line="336" w:lineRule="auto"/>
              <w:ind w:firstLine="480" w:firstLineChars="200"/>
              <w:rPr>
                <w:rFonts w:hint="default" w:ascii="Times New Roman" w:hAnsi="Times New Roman" w:eastAsia="宋体" w:cs="Times New Roman"/>
                <w:color w:val="auto"/>
                <w:sz w:val="24"/>
                <w:u w:val="none" w:color="auto"/>
                <w:lang w:val="en-US" w:eastAsia="zh-CN"/>
              </w:rPr>
            </w:pPr>
            <w:r>
              <w:rPr>
                <w:rFonts w:hint="default" w:ascii="Times New Roman" w:hAnsi="Times New Roman" w:eastAsia="宋体" w:cs="Times New Roman"/>
                <w:color w:val="auto"/>
                <w:sz w:val="24"/>
                <w:u w:val="none" w:color="auto"/>
                <w:lang w:val="en-US" w:eastAsia="zh-CN"/>
              </w:rPr>
              <w:t>③厂区内厂房外废气：考虑到建设单位利用4栋互相临近的厂房开展生产作业，因此厂区内厂房外非甲烷总烃需《挥发性有机物无组织排放控制标准》（GB 37822-2019）。</w:t>
            </w:r>
          </w:p>
          <w:p w14:paraId="6058FFDB">
            <w:pPr>
              <w:spacing w:line="336" w:lineRule="auto"/>
              <w:ind w:firstLine="480" w:firstLineChars="200"/>
              <w:rPr>
                <w:rFonts w:hint="default" w:ascii="Times New Roman" w:hAnsi="Times New Roman" w:eastAsia="宋体" w:cs="Times New Roman"/>
                <w:color w:val="auto"/>
                <w:sz w:val="24"/>
                <w:u w:val="none" w:color="auto"/>
                <w:lang w:val="en-US" w:eastAsia="zh-CN"/>
              </w:rPr>
            </w:pPr>
            <w:r>
              <w:rPr>
                <w:rFonts w:hint="default" w:ascii="Times New Roman" w:hAnsi="Times New Roman" w:eastAsia="宋体" w:cs="Times New Roman"/>
                <w:color w:val="auto"/>
                <w:sz w:val="24"/>
                <w:u w:val="none" w:color="auto"/>
                <w:lang w:val="en-US" w:eastAsia="zh-CN"/>
              </w:rPr>
              <w:t>具体各污染物执行标准及其限值如下：</w:t>
            </w:r>
          </w:p>
          <w:p w14:paraId="36D18C2F">
            <w:pPr>
              <w:adjustRightInd w:val="0"/>
              <w:snapToGrid w:val="0"/>
              <w:jc w:val="center"/>
              <w:rPr>
                <w:rFonts w:hint="default" w:ascii="Times New Roman" w:hAnsi="Times New Roman" w:eastAsia="宋体" w:cs="Times New Roman"/>
                <w:b/>
                <w:color w:val="auto"/>
                <w:szCs w:val="21"/>
                <w:u w:val="none" w:color="auto"/>
              </w:rPr>
            </w:pPr>
            <w:r>
              <w:rPr>
                <w:rFonts w:hint="default" w:ascii="Times New Roman" w:hAnsi="Times New Roman" w:eastAsia="宋体" w:cs="Times New Roman"/>
                <w:b/>
                <w:color w:val="auto"/>
                <w:szCs w:val="21"/>
                <w:u w:val="none" w:color="auto"/>
              </w:rPr>
              <w:t>表3-</w:t>
            </w:r>
            <w:r>
              <w:rPr>
                <w:rFonts w:hint="default" w:ascii="Times New Roman" w:hAnsi="Times New Roman" w:eastAsia="宋体" w:cs="Times New Roman"/>
                <w:b/>
                <w:color w:val="auto"/>
                <w:szCs w:val="21"/>
                <w:u w:val="none" w:color="auto"/>
                <w:lang w:val="en-US" w:eastAsia="zh-CN"/>
              </w:rPr>
              <w:t>9</w:t>
            </w:r>
            <w:r>
              <w:rPr>
                <w:rFonts w:hint="default" w:ascii="Times New Roman" w:hAnsi="Times New Roman" w:eastAsia="宋体" w:cs="Times New Roman"/>
                <w:b/>
                <w:color w:val="auto"/>
                <w:szCs w:val="21"/>
                <w:u w:val="none" w:color="auto"/>
              </w:rPr>
              <w:t xml:space="preserve">  </w:t>
            </w:r>
            <w:r>
              <w:rPr>
                <w:rFonts w:hint="default" w:ascii="Times New Roman" w:hAnsi="Times New Roman" w:eastAsia="宋体" w:cs="Times New Roman"/>
                <w:b/>
                <w:color w:val="auto"/>
                <w:szCs w:val="21"/>
                <w:u w:val="none" w:color="auto"/>
                <w:lang w:val="en-US" w:eastAsia="zh-CN"/>
              </w:rPr>
              <w:t>有组织</w:t>
            </w:r>
            <w:r>
              <w:rPr>
                <w:rFonts w:hint="default" w:ascii="Times New Roman" w:hAnsi="Times New Roman" w:eastAsia="宋体" w:cs="Times New Roman"/>
                <w:b/>
                <w:color w:val="auto"/>
                <w:szCs w:val="21"/>
                <w:u w:val="none" w:color="auto"/>
              </w:rPr>
              <w:t>废气执行标准</w:t>
            </w:r>
          </w:p>
          <w:tbl>
            <w:tblPr>
              <w:tblStyle w:val="31"/>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28" w:type="dxa"/>
                <w:bottom w:w="0" w:type="dxa"/>
                <w:right w:w="28" w:type="dxa"/>
              </w:tblCellMar>
            </w:tblPr>
            <w:tblGrid>
              <w:gridCol w:w="926"/>
              <w:gridCol w:w="1090"/>
              <w:gridCol w:w="1455"/>
              <w:gridCol w:w="926"/>
              <w:gridCol w:w="1325"/>
              <w:gridCol w:w="2219"/>
            </w:tblGrid>
            <w:tr w14:paraId="4C5DD94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cantSplit/>
                <w:trHeight w:val="862" w:hRule="atLeast"/>
                <w:jc w:val="center"/>
              </w:trPr>
              <w:tc>
                <w:tcPr>
                  <w:tcW w:w="927" w:type="dxa"/>
                  <w:tcBorders>
                    <w:tl2br w:val="nil"/>
                    <w:tr2bl w:val="nil"/>
                  </w:tcBorders>
                  <w:noWrap w:val="0"/>
                  <w:vAlign w:val="center"/>
                </w:tcPr>
                <w:p w14:paraId="7E564492">
                  <w:pPr>
                    <w:spacing w:line="240" w:lineRule="auto"/>
                    <w:jc w:val="center"/>
                    <w:rPr>
                      <w:rFonts w:hint="default" w:ascii="Times New Roman" w:hAnsi="Times New Roman" w:eastAsia="宋体" w:cs="Times New Roman"/>
                      <w:b/>
                      <w:bCs/>
                      <w:color w:val="auto"/>
                      <w:sz w:val="21"/>
                      <w:szCs w:val="21"/>
                      <w:u w:val="none" w:color="auto"/>
                      <w:lang w:val="en-US" w:eastAsia="zh-CN"/>
                    </w:rPr>
                  </w:pPr>
                  <w:r>
                    <w:rPr>
                      <w:rFonts w:hint="default" w:ascii="Times New Roman" w:hAnsi="Times New Roman" w:eastAsia="宋体" w:cs="Times New Roman"/>
                      <w:b/>
                      <w:bCs/>
                      <w:color w:val="auto"/>
                      <w:sz w:val="21"/>
                      <w:szCs w:val="21"/>
                      <w:u w:val="none" w:color="auto"/>
                      <w:lang w:val="en-US" w:eastAsia="zh-CN"/>
                    </w:rPr>
                    <w:t>排气筒</w:t>
                  </w:r>
                </w:p>
              </w:tc>
              <w:tc>
                <w:tcPr>
                  <w:tcW w:w="1091" w:type="dxa"/>
                  <w:tcBorders>
                    <w:tl2br w:val="nil"/>
                    <w:tr2bl w:val="nil"/>
                  </w:tcBorders>
                  <w:noWrap w:val="0"/>
                  <w:vAlign w:val="center"/>
                </w:tcPr>
                <w:p w14:paraId="09A63F9E">
                  <w:pPr>
                    <w:spacing w:line="240" w:lineRule="auto"/>
                    <w:jc w:val="center"/>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污染物名称</w:t>
                  </w:r>
                </w:p>
              </w:tc>
              <w:tc>
                <w:tcPr>
                  <w:tcW w:w="1456" w:type="dxa"/>
                  <w:tcBorders>
                    <w:tl2br w:val="nil"/>
                    <w:tr2bl w:val="nil"/>
                  </w:tcBorders>
                  <w:noWrap w:val="0"/>
                  <w:vAlign w:val="center"/>
                </w:tcPr>
                <w:p w14:paraId="02A02E25">
                  <w:pPr>
                    <w:spacing w:line="240" w:lineRule="auto"/>
                    <w:jc w:val="center"/>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最高允许排放浓度（mg/m</w:t>
                  </w:r>
                  <w:r>
                    <w:rPr>
                      <w:rFonts w:hint="default" w:ascii="Times New Roman" w:hAnsi="Times New Roman" w:eastAsia="宋体" w:cs="Times New Roman"/>
                      <w:b/>
                      <w:bCs/>
                      <w:color w:val="auto"/>
                      <w:sz w:val="21"/>
                      <w:szCs w:val="21"/>
                      <w:u w:val="none" w:color="auto"/>
                      <w:vertAlign w:val="superscript"/>
                    </w:rPr>
                    <w:t>3</w:t>
                  </w:r>
                  <w:r>
                    <w:rPr>
                      <w:rFonts w:hint="default" w:ascii="Times New Roman" w:hAnsi="Times New Roman" w:eastAsia="宋体" w:cs="Times New Roman"/>
                      <w:b/>
                      <w:bCs/>
                      <w:color w:val="auto"/>
                      <w:sz w:val="21"/>
                      <w:szCs w:val="21"/>
                      <w:u w:val="none" w:color="auto"/>
                    </w:rPr>
                    <w:t>）</w:t>
                  </w:r>
                </w:p>
              </w:tc>
              <w:tc>
                <w:tcPr>
                  <w:tcW w:w="927" w:type="dxa"/>
                  <w:tcBorders>
                    <w:tl2br w:val="nil"/>
                    <w:tr2bl w:val="nil"/>
                  </w:tcBorders>
                  <w:noWrap w:val="0"/>
                  <w:vAlign w:val="center"/>
                </w:tcPr>
                <w:p w14:paraId="4876E97A">
                  <w:pPr>
                    <w:spacing w:line="240" w:lineRule="auto"/>
                    <w:jc w:val="center"/>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排气筒高度（m）</w:t>
                  </w:r>
                </w:p>
              </w:tc>
              <w:tc>
                <w:tcPr>
                  <w:tcW w:w="1326" w:type="dxa"/>
                  <w:tcBorders>
                    <w:tl2br w:val="nil"/>
                    <w:tr2bl w:val="nil"/>
                  </w:tcBorders>
                  <w:noWrap w:val="0"/>
                  <w:vAlign w:val="center"/>
                </w:tcPr>
                <w:p w14:paraId="2E8D7C77">
                  <w:pPr>
                    <w:spacing w:line="240" w:lineRule="auto"/>
                    <w:jc w:val="center"/>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最高允许排放速率（kg/h）</w:t>
                  </w:r>
                </w:p>
              </w:tc>
              <w:tc>
                <w:tcPr>
                  <w:tcW w:w="2220" w:type="dxa"/>
                  <w:tcBorders>
                    <w:tl2br w:val="nil"/>
                    <w:tr2bl w:val="nil"/>
                  </w:tcBorders>
                  <w:noWrap w:val="0"/>
                  <w:vAlign w:val="center"/>
                </w:tcPr>
                <w:p w14:paraId="7E035B55">
                  <w:pPr>
                    <w:spacing w:line="240" w:lineRule="auto"/>
                    <w:jc w:val="center"/>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标准来源</w:t>
                  </w:r>
                </w:p>
              </w:tc>
            </w:tr>
            <w:tr w14:paraId="30F59A8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cantSplit/>
                <w:trHeight w:val="331" w:hRule="atLeast"/>
                <w:jc w:val="center"/>
              </w:trPr>
              <w:tc>
                <w:tcPr>
                  <w:tcW w:w="927" w:type="dxa"/>
                  <w:tcBorders>
                    <w:tl2br w:val="nil"/>
                    <w:tr2bl w:val="nil"/>
                  </w:tcBorders>
                  <w:noWrap w:val="0"/>
                  <w:vAlign w:val="center"/>
                </w:tcPr>
                <w:p w14:paraId="2E1D40E3">
                  <w:pPr>
                    <w:spacing w:line="240" w:lineRule="auto"/>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DA012</w:t>
                  </w:r>
                </w:p>
              </w:tc>
              <w:tc>
                <w:tcPr>
                  <w:tcW w:w="1091" w:type="dxa"/>
                  <w:tcBorders>
                    <w:tl2br w:val="nil"/>
                    <w:tr2bl w:val="nil"/>
                  </w:tcBorders>
                  <w:noWrap w:val="0"/>
                  <w:vAlign w:val="center"/>
                </w:tcPr>
                <w:p w14:paraId="2B9F5803">
                  <w:pPr>
                    <w:spacing w:line="240" w:lineRule="auto"/>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非甲烷总烃</w:t>
                  </w:r>
                </w:p>
              </w:tc>
              <w:tc>
                <w:tcPr>
                  <w:tcW w:w="1456" w:type="dxa"/>
                  <w:tcBorders>
                    <w:tl2br w:val="nil"/>
                    <w:tr2bl w:val="nil"/>
                  </w:tcBorders>
                  <w:noWrap w:val="0"/>
                  <w:vAlign w:val="center"/>
                </w:tcPr>
                <w:p w14:paraId="00E5D031">
                  <w:pPr>
                    <w:widowControl/>
                    <w:spacing w:line="240" w:lineRule="auto"/>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40</w:t>
                  </w:r>
                </w:p>
              </w:tc>
              <w:tc>
                <w:tcPr>
                  <w:tcW w:w="927" w:type="dxa"/>
                  <w:tcBorders>
                    <w:tl2br w:val="nil"/>
                    <w:tr2bl w:val="nil"/>
                  </w:tcBorders>
                  <w:noWrap w:val="0"/>
                  <w:vAlign w:val="center"/>
                </w:tcPr>
                <w:p w14:paraId="3E501857">
                  <w:pPr>
                    <w:widowControl/>
                    <w:spacing w:line="240" w:lineRule="auto"/>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15</w:t>
                  </w:r>
                </w:p>
              </w:tc>
              <w:tc>
                <w:tcPr>
                  <w:tcW w:w="1326" w:type="dxa"/>
                  <w:tcBorders>
                    <w:tl2br w:val="nil"/>
                    <w:tr2bl w:val="nil"/>
                  </w:tcBorders>
                  <w:noWrap w:val="0"/>
                  <w:vAlign w:val="center"/>
                </w:tcPr>
                <w:p w14:paraId="1CDD49BC">
                  <w:pPr>
                    <w:spacing w:line="240" w:lineRule="auto"/>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w:t>
                  </w:r>
                </w:p>
              </w:tc>
              <w:tc>
                <w:tcPr>
                  <w:tcW w:w="2220" w:type="dxa"/>
                  <w:tcBorders>
                    <w:tl2br w:val="nil"/>
                    <w:tr2bl w:val="nil"/>
                  </w:tcBorders>
                  <w:noWrap w:val="0"/>
                  <w:vAlign w:val="center"/>
                </w:tcPr>
                <w:p w14:paraId="4936054D">
                  <w:pPr>
                    <w:spacing w:line="240" w:lineRule="auto"/>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DB43/1356-2017</w:t>
                  </w:r>
                </w:p>
              </w:tc>
            </w:tr>
          </w:tbl>
          <w:p w14:paraId="30F1BD40">
            <w:pPr>
              <w:adjustRightInd w:val="0"/>
              <w:snapToGrid w:val="0"/>
              <w:jc w:val="center"/>
              <w:rPr>
                <w:rFonts w:hint="default" w:ascii="Times New Roman" w:hAnsi="Times New Roman" w:eastAsia="宋体" w:cs="Times New Roman"/>
                <w:b/>
                <w:color w:val="auto"/>
                <w:szCs w:val="21"/>
                <w:u w:val="none" w:color="auto"/>
              </w:rPr>
            </w:pPr>
            <w:r>
              <w:rPr>
                <w:rFonts w:hint="default" w:ascii="Times New Roman" w:hAnsi="Times New Roman" w:eastAsia="宋体" w:cs="Times New Roman"/>
                <w:b/>
                <w:color w:val="auto"/>
                <w:szCs w:val="21"/>
                <w:u w:val="none" w:color="auto"/>
              </w:rPr>
              <w:t>表3-</w:t>
            </w:r>
            <w:r>
              <w:rPr>
                <w:rFonts w:hint="default" w:ascii="Times New Roman" w:hAnsi="Times New Roman" w:eastAsia="宋体" w:cs="Times New Roman"/>
                <w:b/>
                <w:color w:val="auto"/>
                <w:szCs w:val="21"/>
                <w:u w:val="none" w:color="auto"/>
                <w:lang w:val="en-US" w:eastAsia="zh-CN"/>
              </w:rPr>
              <w:t>10</w:t>
            </w:r>
            <w:r>
              <w:rPr>
                <w:rFonts w:hint="default" w:ascii="Times New Roman" w:hAnsi="Times New Roman" w:eastAsia="宋体" w:cs="Times New Roman"/>
                <w:b/>
                <w:color w:val="auto"/>
                <w:szCs w:val="21"/>
                <w:u w:val="none" w:color="auto"/>
              </w:rPr>
              <w:t xml:space="preserve">  </w:t>
            </w:r>
            <w:r>
              <w:rPr>
                <w:rFonts w:hint="default" w:ascii="Times New Roman" w:hAnsi="Times New Roman" w:eastAsia="宋体" w:cs="Times New Roman"/>
                <w:b/>
                <w:color w:val="auto"/>
                <w:szCs w:val="21"/>
                <w:u w:val="none" w:color="auto"/>
                <w:lang w:val="en-US" w:eastAsia="zh-CN"/>
              </w:rPr>
              <w:t>无组织</w:t>
            </w:r>
            <w:r>
              <w:rPr>
                <w:rFonts w:hint="default" w:ascii="Times New Roman" w:hAnsi="Times New Roman" w:eastAsia="宋体" w:cs="Times New Roman"/>
                <w:b/>
                <w:color w:val="auto"/>
                <w:szCs w:val="21"/>
                <w:u w:val="none" w:color="auto"/>
              </w:rPr>
              <w:t>废气执行标准</w:t>
            </w:r>
          </w:p>
          <w:tbl>
            <w:tblPr>
              <w:tblStyle w:val="31"/>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734"/>
              <w:gridCol w:w="1476"/>
              <w:gridCol w:w="2467"/>
              <w:gridCol w:w="2264"/>
            </w:tblGrid>
            <w:tr w14:paraId="669FBC1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17" w:hRule="atLeast"/>
                <w:jc w:val="center"/>
              </w:trPr>
              <w:tc>
                <w:tcPr>
                  <w:tcW w:w="1092" w:type="pct"/>
                  <w:vMerge w:val="restart"/>
                  <w:tcBorders>
                    <w:tl2br w:val="nil"/>
                    <w:tr2bl w:val="nil"/>
                  </w:tcBorders>
                  <w:vAlign w:val="center"/>
                </w:tcPr>
                <w:p w14:paraId="626AD4F9">
                  <w:pPr>
                    <w:snapToGrid w:val="0"/>
                    <w:jc w:val="center"/>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污染物</w:t>
                  </w:r>
                </w:p>
              </w:tc>
              <w:tc>
                <w:tcPr>
                  <w:tcW w:w="2482" w:type="pct"/>
                  <w:gridSpan w:val="2"/>
                  <w:tcBorders>
                    <w:tl2br w:val="nil"/>
                    <w:tr2bl w:val="nil"/>
                  </w:tcBorders>
                  <w:vAlign w:val="center"/>
                </w:tcPr>
                <w:p w14:paraId="2EC12A2A">
                  <w:pPr>
                    <w:snapToGrid w:val="0"/>
                    <w:jc w:val="center"/>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无组织排放监控浓度限值</w:t>
                  </w:r>
                </w:p>
              </w:tc>
              <w:tc>
                <w:tcPr>
                  <w:tcW w:w="1425" w:type="pct"/>
                  <w:vMerge w:val="restart"/>
                  <w:tcBorders>
                    <w:tl2br w:val="nil"/>
                    <w:tr2bl w:val="nil"/>
                  </w:tcBorders>
                  <w:vAlign w:val="center"/>
                </w:tcPr>
                <w:p w14:paraId="3FA3359E">
                  <w:pPr>
                    <w:snapToGrid w:val="0"/>
                    <w:jc w:val="center"/>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标准来源</w:t>
                  </w:r>
                </w:p>
              </w:tc>
            </w:tr>
            <w:tr w14:paraId="5F1DD43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1092" w:type="pct"/>
                  <w:vMerge w:val="continue"/>
                  <w:tcBorders>
                    <w:tl2br w:val="nil"/>
                    <w:tr2bl w:val="nil"/>
                  </w:tcBorders>
                  <w:vAlign w:val="center"/>
                </w:tcPr>
                <w:p w14:paraId="6D54A553">
                  <w:pPr>
                    <w:snapToGrid w:val="0"/>
                    <w:jc w:val="center"/>
                    <w:rPr>
                      <w:rFonts w:hint="default" w:ascii="Times New Roman" w:hAnsi="Times New Roman" w:eastAsia="宋体" w:cs="Times New Roman"/>
                      <w:b/>
                      <w:bCs/>
                      <w:color w:val="auto"/>
                      <w:sz w:val="21"/>
                      <w:szCs w:val="21"/>
                      <w:u w:val="none" w:color="auto"/>
                    </w:rPr>
                  </w:pPr>
                </w:p>
              </w:tc>
              <w:tc>
                <w:tcPr>
                  <w:tcW w:w="929" w:type="pct"/>
                  <w:tcBorders>
                    <w:tl2br w:val="nil"/>
                    <w:tr2bl w:val="nil"/>
                  </w:tcBorders>
                  <w:vAlign w:val="center"/>
                </w:tcPr>
                <w:p w14:paraId="6DD475B2">
                  <w:pPr>
                    <w:snapToGrid w:val="0"/>
                    <w:jc w:val="center"/>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监控点</w:t>
                  </w:r>
                </w:p>
              </w:tc>
              <w:tc>
                <w:tcPr>
                  <w:tcW w:w="1553" w:type="pct"/>
                  <w:tcBorders>
                    <w:tl2br w:val="nil"/>
                    <w:tr2bl w:val="nil"/>
                  </w:tcBorders>
                  <w:vAlign w:val="center"/>
                </w:tcPr>
                <w:p w14:paraId="3D179507">
                  <w:pPr>
                    <w:snapToGrid w:val="0"/>
                    <w:jc w:val="center"/>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浓度限值（mg/m</w:t>
                  </w:r>
                  <w:r>
                    <w:rPr>
                      <w:rFonts w:hint="default" w:ascii="Times New Roman" w:hAnsi="Times New Roman" w:eastAsia="宋体" w:cs="Times New Roman"/>
                      <w:b/>
                      <w:bCs/>
                      <w:color w:val="auto"/>
                      <w:sz w:val="21"/>
                      <w:szCs w:val="21"/>
                      <w:u w:val="none" w:color="auto"/>
                      <w:vertAlign w:val="superscript"/>
                    </w:rPr>
                    <w:t>3</w:t>
                  </w:r>
                  <w:r>
                    <w:rPr>
                      <w:rFonts w:hint="default" w:ascii="Times New Roman" w:hAnsi="Times New Roman" w:eastAsia="宋体" w:cs="Times New Roman"/>
                      <w:b/>
                      <w:bCs/>
                      <w:color w:val="auto"/>
                      <w:sz w:val="21"/>
                      <w:szCs w:val="21"/>
                      <w:u w:val="none" w:color="auto"/>
                    </w:rPr>
                    <w:t>）</w:t>
                  </w:r>
                </w:p>
              </w:tc>
              <w:tc>
                <w:tcPr>
                  <w:tcW w:w="1425" w:type="pct"/>
                  <w:vMerge w:val="continue"/>
                  <w:tcBorders>
                    <w:tl2br w:val="nil"/>
                    <w:tr2bl w:val="nil"/>
                  </w:tcBorders>
                  <w:vAlign w:val="center"/>
                </w:tcPr>
                <w:p w14:paraId="5AD10EC3">
                  <w:pPr>
                    <w:snapToGrid w:val="0"/>
                    <w:jc w:val="center"/>
                    <w:rPr>
                      <w:rFonts w:hint="default" w:ascii="Times New Roman" w:hAnsi="Times New Roman" w:eastAsia="宋体" w:cs="Times New Roman"/>
                      <w:b/>
                      <w:bCs/>
                      <w:color w:val="auto"/>
                      <w:sz w:val="21"/>
                      <w:szCs w:val="21"/>
                      <w:u w:val="none" w:color="auto"/>
                    </w:rPr>
                  </w:pPr>
                </w:p>
              </w:tc>
            </w:tr>
            <w:tr w14:paraId="0067660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092" w:type="pct"/>
                  <w:tcBorders>
                    <w:tl2br w:val="nil"/>
                    <w:tr2bl w:val="nil"/>
                  </w:tcBorders>
                  <w:vAlign w:val="center"/>
                </w:tcPr>
                <w:p w14:paraId="5010C739">
                  <w:pPr>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非甲烷总烃</w:t>
                  </w:r>
                </w:p>
              </w:tc>
              <w:tc>
                <w:tcPr>
                  <w:tcW w:w="929" w:type="pct"/>
                  <w:vMerge w:val="restart"/>
                  <w:tcBorders>
                    <w:tl2br w:val="nil"/>
                    <w:tr2bl w:val="nil"/>
                  </w:tcBorders>
                  <w:vAlign w:val="center"/>
                </w:tcPr>
                <w:p w14:paraId="3529EBA4">
                  <w:pPr>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周界外浓度最高点</w:t>
                  </w:r>
                </w:p>
              </w:tc>
              <w:tc>
                <w:tcPr>
                  <w:tcW w:w="1553" w:type="pct"/>
                  <w:tcBorders>
                    <w:tl2br w:val="nil"/>
                    <w:tr2bl w:val="nil"/>
                  </w:tcBorders>
                  <w:vAlign w:val="center"/>
                </w:tcPr>
                <w:p w14:paraId="3B0988D2">
                  <w:pPr>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2</w:t>
                  </w:r>
                  <w:r>
                    <w:rPr>
                      <w:rFonts w:hint="default" w:ascii="Times New Roman" w:hAnsi="Times New Roman" w:eastAsia="宋体" w:cs="Times New Roman"/>
                      <w:color w:val="auto"/>
                      <w:sz w:val="21"/>
                      <w:szCs w:val="21"/>
                      <w:u w:val="none" w:color="auto"/>
                    </w:rPr>
                    <w:t>.0</w:t>
                  </w:r>
                </w:p>
              </w:tc>
              <w:tc>
                <w:tcPr>
                  <w:tcW w:w="1425" w:type="pct"/>
                  <w:tcBorders>
                    <w:tl2br w:val="nil"/>
                    <w:tr2bl w:val="nil"/>
                  </w:tcBorders>
                  <w:vAlign w:val="center"/>
                </w:tcPr>
                <w:p w14:paraId="0113F3B3">
                  <w:pPr>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DB43/1356-2017</w:t>
                  </w:r>
                </w:p>
              </w:tc>
            </w:tr>
            <w:tr w14:paraId="4F240BA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092" w:type="pct"/>
                  <w:tcBorders>
                    <w:tl2br w:val="nil"/>
                    <w:tr2bl w:val="nil"/>
                  </w:tcBorders>
                  <w:vAlign w:val="center"/>
                </w:tcPr>
                <w:p w14:paraId="0F953E3F">
                  <w:pPr>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color="auto"/>
                      <w:lang w:val="en-US" w:eastAsia="zh-CN" w:bidi="ar"/>
                    </w:rPr>
                    <w:t>颗粒物</w:t>
                  </w:r>
                </w:p>
              </w:tc>
              <w:tc>
                <w:tcPr>
                  <w:tcW w:w="929" w:type="pct"/>
                  <w:vMerge w:val="continue"/>
                  <w:tcBorders>
                    <w:tl2br w:val="nil"/>
                    <w:tr2bl w:val="nil"/>
                  </w:tcBorders>
                  <w:vAlign w:val="center"/>
                </w:tcPr>
                <w:p w14:paraId="08241ABE">
                  <w:pPr>
                    <w:snapToGrid w:val="0"/>
                    <w:jc w:val="center"/>
                    <w:rPr>
                      <w:rFonts w:hint="default" w:ascii="Times New Roman" w:hAnsi="Times New Roman" w:eastAsia="宋体" w:cs="Times New Roman"/>
                      <w:color w:val="auto"/>
                      <w:sz w:val="21"/>
                      <w:szCs w:val="21"/>
                      <w:u w:val="none" w:color="auto"/>
                    </w:rPr>
                  </w:pPr>
                </w:p>
              </w:tc>
              <w:tc>
                <w:tcPr>
                  <w:tcW w:w="1553" w:type="pct"/>
                  <w:tcBorders>
                    <w:tl2br w:val="nil"/>
                    <w:tr2bl w:val="nil"/>
                  </w:tcBorders>
                  <w:vAlign w:val="center"/>
                </w:tcPr>
                <w:p w14:paraId="48CF9A0F">
                  <w:pPr>
                    <w:snapToGrid w:val="0"/>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rPr>
                    <w:t>1.0</w:t>
                  </w:r>
                </w:p>
              </w:tc>
              <w:tc>
                <w:tcPr>
                  <w:tcW w:w="1425" w:type="pct"/>
                  <w:tcBorders>
                    <w:tl2br w:val="nil"/>
                    <w:tr2bl w:val="nil"/>
                  </w:tcBorders>
                  <w:shd w:val="clear" w:color="auto" w:fill="auto"/>
                  <w:vAlign w:val="center"/>
                </w:tcPr>
                <w:p w14:paraId="02B7C58D">
                  <w:pPr>
                    <w:snapToGrid w:val="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GB16297-1996</w:t>
                  </w:r>
                </w:p>
              </w:tc>
            </w:tr>
          </w:tbl>
          <w:p w14:paraId="4C429B6B">
            <w:pPr>
              <w:adjustRightInd w:val="0"/>
              <w:snapToGrid w:val="0"/>
              <w:jc w:val="center"/>
              <w:rPr>
                <w:rFonts w:hint="default" w:ascii="Times New Roman" w:hAnsi="Times New Roman" w:eastAsia="宋体" w:cs="Times New Roman"/>
                <w:b/>
                <w:color w:val="auto"/>
                <w:szCs w:val="21"/>
                <w:u w:val="none" w:color="auto"/>
              </w:rPr>
            </w:pPr>
            <w:r>
              <w:rPr>
                <w:rFonts w:hint="default" w:ascii="Times New Roman" w:hAnsi="Times New Roman" w:eastAsia="宋体" w:cs="Times New Roman"/>
                <w:b/>
                <w:color w:val="auto"/>
                <w:szCs w:val="21"/>
                <w:u w:val="none" w:color="auto"/>
              </w:rPr>
              <w:t>表3-</w:t>
            </w:r>
            <w:r>
              <w:rPr>
                <w:rFonts w:hint="default" w:ascii="Times New Roman" w:hAnsi="Times New Roman" w:eastAsia="宋体" w:cs="Times New Roman"/>
                <w:b/>
                <w:color w:val="auto"/>
                <w:szCs w:val="21"/>
                <w:u w:val="none" w:color="auto"/>
                <w:lang w:val="en-US" w:eastAsia="zh-CN"/>
              </w:rPr>
              <w:t>11</w:t>
            </w:r>
            <w:r>
              <w:rPr>
                <w:rFonts w:hint="default" w:ascii="Times New Roman" w:hAnsi="Times New Roman" w:eastAsia="宋体" w:cs="Times New Roman"/>
                <w:b/>
                <w:color w:val="auto"/>
                <w:szCs w:val="21"/>
                <w:u w:val="none" w:color="auto"/>
              </w:rPr>
              <w:t xml:space="preserve">  </w:t>
            </w:r>
            <w:r>
              <w:rPr>
                <w:rFonts w:hint="default" w:ascii="Times New Roman" w:hAnsi="Times New Roman" w:eastAsia="宋体" w:cs="Times New Roman"/>
                <w:b/>
                <w:color w:val="auto"/>
                <w:szCs w:val="21"/>
                <w:u w:val="none" w:color="auto"/>
                <w:lang w:val="en-US" w:eastAsia="zh-CN"/>
              </w:rPr>
              <w:t>厂区内厂房外</w:t>
            </w:r>
            <w:r>
              <w:rPr>
                <w:rFonts w:hint="default" w:ascii="Times New Roman" w:hAnsi="Times New Roman" w:eastAsia="宋体" w:cs="Times New Roman"/>
                <w:b/>
                <w:color w:val="auto"/>
                <w:szCs w:val="21"/>
                <w:u w:val="none" w:color="auto"/>
              </w:rPr>
              <w:t>废气执行标准</w:t>
            </w:r>
          </w:p>
          <w:tbl>
            <w:tblPr>
              <w:tblStyle w:val="31"/>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735"/>
              <w:gridCol w:w="1476"/>
              <w:gridCol w:w="2445"/>
              <w:gridCol w:w="2285"/>
            </w:tblGrid>
            <w:tr w14:paraId="66E7667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092" w:type="pct"/>
                  <w:vMerge w:val="restart"/>
                  <w:tcBorders>
                    <w:tl2br w:val="nil"/>
                    <w:tr2bl w:val="nil"/>
                  </w:tcBorders>
                  <w:vAlign w:val="center"/>
                </w:tcPr>
                <w:p w14:paraId="7C8698FE">
                  <w:pPr>
                    <w:snapToGrid w:val="0"/>
                    <w:jc w:val="center"/>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污染物</w:t>
                  </w:r>
                </w:p>
              </w:tc>
              <w:tc>
                <w:tcPr>
                  <w:tcW w:w="2468" w:type="pct"/>
                  <w:gridSpan w:val="2"/>
                  <w:tcBorders>
                    <w:tl2br w:val="nil"/>
                    <w:tr2bl w:val="nil"/>
                  </w:tcBorders>
                  <w:vAlign w:val="center"/>
                </w:tcPr>
                <w:p w14:paraId="02D233B5">
                  <w:pPr>
                    <w:snapToGrid w:val="0"/>
                    <w:jc w:val="center"/>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无组织排放监控浓度限值</w:t>
                  </w:r>
                </w:p>
              </w:tc>
              <w:tc>
                <w:tcPr>
                  <w:tcW w:w="1438" w:type="pct"/>
                  <w:vMerge w:val="restart"/>
                  <w:tcBorders>
                    <w:tl2br w:val="nil"/>
                    <w:tr2bl w:val="nil"/>
                  </w:tcBorders>
                  <w:vAlign w:val="center"/>
                </w:tcPr>
                <w:p w14:paraId="14121B32">
                  <w:pPr>
                    <w:snapToGrid w:val="0"/>
                    <w:jc w:val="center"/>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标准来源</w:t>
                  </w:r>
                </w:p>
              </w:tc>
            </w:tr>
            <w:tr w14:paraId="7C746E7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1092" w:type="pct"/>
                  <w:vMerge w:val="continue"/>
                  <w:tcBorders>
                    <w:tl2br w:val="nil"/>
                    <w:tr2bl w:val="nil"/>
                  </w:tcBorders>
                  <w:vAlign w:val="center"/>
                </w:tcPr>
                <w:p w14:paraId="62759957">
                  <w:pPr>
                    <w:snapToGrid w:val="0"/>
                    <w:jc w:val="center"/>
                    <w:rPr>
                      <w:rFonts w:hint="default" w:ascii="Times New Roman" w:hAnsi="Times New Roman" w:eastAsia="宋体" w:cs="Times New Roman"/>
                      <w:b/>
                      <w:bCs/>
                      <w:color w:val="auto"/>
                      <w:sz w:val="21"/>
                      <w:szCs w:val="21"/>
                      <w:u w:val="none" w:color="auto"/>
                    </w:rPr>
                  </w:pPr>
                </w:p>
              </w:tc>
              <w:tc>
                <w:tcPr>
                  <w:tcW w:w="929" w:type="pct"/>
                  <w:tcBorders>
                    <w:tl2br w:val="nil"/>
                    <w:tr2bl w:val="nil"/>
                  </w:tcBorders>
                  <w:vAlign w:val="center"/>
                </w:tcPr>
                <w:p w14:paraId="0EE5A5A5">
                  <w:pPr>
                    <w:snapToGrid w:val="0"/>
                    <w:jc w:val="center"/>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监控点</w:t>
                  </w:r>
                </w:p>
              </w:tc>
              <w:tc>
                <w:tcPr>
                  <w:tcW w:w="1539" w:type="pct"/>
                  <w:tcBorders>
                    <w:tl2br w:val="nil"/>
                    <w:tr2bl w:val="nil"/>
                  </w:tcBorders>
                  <w:vAlign w:val="center"/>
                </w:tcPr>
                <w:p w14:paraId="16DD737A">
                  <w:pPr>
                    <w:snapToGrid w:val="0"/>
                    <w:jc w:val="center"/>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浓度限值（mg/m</w:t>
                  </w:r>
                  <w:r>
                    <w:rPr>
                      <w:rFonts w:hint="default" w:ascii="Times New Roman" w:hAnsi="Times New Roman" w:eastAsia="宋体" w:cs="Times New Roman"/>
                      <w:b/>
                      <w:bCs/>
                      <w:color w:val="auto"/>
                      <w:sz w:val="21"/>
                      <w:szCs w:val="21"/>
                      <w:u w:val="none" w:color="auto"/>
                      <w:vertAlign w:val="superscript"/>
                    </w:rPr>
                    <w:t>3</w:t>
                  </w:r>
                  <w:r>
                    <w:rPr>
                      <w:rFonts w:hint="default" w:ascii="Times New Roman" w:hAnsi="Times New Roman" w:eastAsia="宋体" w:cs="Times New Roman"/>
                      <w:b/>
                      <w:bCs/>
                      <w:color w:val="auto"/>
                      <w:sz w:val="21"/>
                      <w:szCs w:val="21"/>
                      <w:u w:val="none" w:color="auto"/>
                    </w:rPr>
                    <w:t>）</w:t>
                  </w:r>
                </w:p>
              </w:tc>
              <w:tc>
                <w:tcPr>
                  <w:tcW w:w="1438" w:type="pct"/>
                  <w:vMerge w:val="continue"/>
                  <w:tcBorders>
                    <w:tl2br w:val="nil"/>
                    <w:tr2bl w:val="nil"/>
                  </w:tcBorders>
                  <w:vAlign w:val="center"/>
                </w:tcPr>
                <w:p w14:paraId="4E9BC77A">
                  <w:pPr>
                    <w:snapToGrid w:val="0"/>
                    <w:jc w:val="center"/>
                    <w:rPr>
                      <w:rFonts w:hint="default" w:ascii="Times New Roman" w:hAnsi="Times New Roman" w:eastAsia="宋体" w:cs="Times New Roman"/>
                      <w:b/>
                      <w:bCs/>
                      <w:color w:val="auto"/>
                      <w:sz w:val="21"/>
                      <w:szCs w:val="21"/>
                      <w:u w:val="none" w:color="auto"/>
                    </w:rPr>
                  </w:pPr>
                </w:p>
              </w:tc>
            </w:tr>
            <w:tr w14:paraId="2D5C7F1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092" w:type="pct"/>
                  <w:vMerge w:val="restart"/>
                  <w:tcBorders>
                    <w:tl2br w:val="nil"/>
                    <w:tr2bl w:val="nil"/>
                  </w:tcBorders>
                  <w:vAlign w:val="center"/>
                </w:tcPr>
                <w:p w14:paraId="0BD6DB3D">
                  <w:pPr>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非甲烷总烃</w:t>
                  </w:r>
                </w:p>
              </w:tc>
              <w:tc>
                <w:tcPr>
                  <w:tcW w:w="929" w:type="pct"/>
                  <w:vMerge w:val="restart"/>
                  <w:tcBorders>
                    <w:tl2br w:val="nil"/>
                    <w:tr2bl w:val="nil"/>
                  </w:tcBorders>
                  <w:vAlign w:val="center"/>
                </w:tcPr>
                <w:p w14:paraId="235C3366">
                  <w:pPr>
                    <w:snapToGrid w:val="0"/>
                    <w:jc w:val="center"/>
                    <w:rPr>
                      <w:rFonts w:hint="default" w:ascii="Times New Roman" w:hAnsi="Times New Roman" w:eastAsia="宋体" w:cs="Times New Roman"/>
                      <w:color w:val="auto"/>
                      <w:sz w:val="21"/>
                      <w:szCs w:val="21"/>
                      <w:u w:val="none" w:color="auto"/>
                      <w:lang w:eastAsia="zh-CN"/>
                    </w:rPr>
                  </w:pPr>
                  <w:r>
                    <w:rPr>
                      <w:rFonts w:hint="default" w:ascii="Times New Roman" w:hAnsi="Times New Roman" w:eastAsia="宋体" w:cs="Times New Roman"/>
                      <w:color w:val="auto"/>
                      <w:sz w:val="21"/>
                      <w:szCs w:val="21"/>
                      <w:u w:val="none" w:color="auto"/>
                    </w:rPr>
                    <w:t>在厂房外设置监控点</w:t>
                  </w: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lang w:val="en-US" w:eastAsia="zh-CN"/>
                    </w:rPr>
                    <w:t>4栋厂房中间</w:t>
                  </w:r>
                  <w:r>
                    <w:rPr>
                      <w:rFonts w:hint="default" w:ascii="Times New Roman" w:hAnsi="Times New Roman" w:eastAsia="宋体" w:cs="Times New Roman"/>
                      <w:color w:val="auto"/>
                      <w:sz w:val="21"/>
                      <w:szCs w:val="21"/>
                      <w:u w:val="none" w:color="auto"/>
                      <w:lang w:eastAsia="zh-CN"/>
                    </w:rPr>
                    <w:t>）</w:t>
                  </w:r>
                </w:p>
              </w:tc>
              <w:tc>
                <w:tcPr>
                  <w:tcW w:w="1539" w:type="pct"/>
                  <w:tcBorders>
                    <w:tl2br w:val="nil"/>
                    <w:tr2bl w:val="nil"/>
                  </w:tcBorders>
                  <w:shd w:val="clear" w:color="auto" w:fill="auto"/>
                  <w:vAlign w:val="center"/>
                </w:tcPr>
                <w:p w14:paraId="632472E7">
                  <w:pPr>
                    <w:snapToGrid w:val="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10（1h均值）</w:t>
                  </w:r>
                </w:p>
              </w:tc>
              <w:tc>
                <w:tcPr>
                  <w:tcW w:w="1438" w:type="pct"/>
                  <w:vMerge w:val="restart"/>
                  <w:tcBorders>
                    <w:tl2br w:val="nil"/>
                    <w:tr2bl w:val="nil"/>
                  </w:tcBorders>
                  <w:vAlign w:val="center"/>
                </w:tcPr>
                <w:p w14:paraId="18586AE9">
                  <w:pPr>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GB 37822-2019</w:t>
                  </w:r>
                </w:p>
              </w:tc>
            </w:tr>
            <w:tr w14:paraId="0401613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092" w:type="pct"/>
                  <w:vMerge w:val="continue"/>
                </w:tcPr>
                <w:p w14:paraId="2203A50D">
                  <w:pPr>
                    <w:jc w:val="center"/>
                    <w:rPr>
                      <w:rFonts w:hint="default" w:ascii="Times New Roman" w:hAnsi="Times New Roman" w:eastAsia="宋体" w:cs="Times New Roman"/>
                      <w:color w:val="auto"/>
                      <w:sz w:val="21"/>
                      <w:szCs w:val="21"/>
                      <w:u w:val="none" w:color="auto"/>
                    </w:rPr>
                  </w:pPr>
                </w:p>
              </w:tc>
              <w:tc>
                <w:tcPr>
                  <w:tcW w:w="929" w:type="pct"/>
                  <w:vMerge w:val="continue"/>
                </w:tcPr>
                <w:p w14:paraId="15FA9D93">
                  <w:pPr>
                    <w:snapToGrid w:val="0"/>
                    <w:jc w:val="center"/>
                    <w:rPr>
                      <w:rFonts w:hint="default" w:ascii="Times New Roman" w:hAnsi="Times New Roman" w:eastAsia="宋体" w:cs="Times New Roman"/>
                      <w:color w:val="auto"/>
                      <w:sz w:val="21"/>
                      <w:szCs w:val="21"/>
                      <w:u w:val="none" w:color="auto"/>
                    </w:rPr>
                  </w:pPr>
                </w:p>
              </w:tc>
              <w:tc>
                <w:tcPr>
                  <w:tcW w:w="2447" w:type="dxa"/>
                  <w:shd w:val="clear" w:color="auto" w:fill="auto"/>
                  <w:vAlign w:val="center"/>
                </w:tcPr>
                <w:p w14:paraId="687416FA">
                  <w:pPr>
                    <w:snapToGrid w:val="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30（任意一次浓度）</w:t>
                  </w:r>
                </w:p>
              </w:tc>
              <w:tc>
                <w:tcPr>
                  <w:tcW w:w="1438" w:type="pct"/>
                  <w:vMerge w:val="continue"/>
                </w:tcPr>
                <w:p w14:paraId="78683C14">
                  <w:pPr>
                    <w:snapToGrid w:val="0"/>
                    <w:jc w:val="center"/>
                    <w:rPr>
                      <w:rFonts w:hint="default" w:ascii="Times New Roman" w:hAnsi="Times New Roman" w:eastAsia="宋体" w:cs="Times New Roman"/>
                      <w:color w:val="auto"/>
                      <w:sz w:val="21"/>
                      <w:szCs w:val="21"/>
                      <w:u w:val="none" w:color="auto"/>
                    </w:rPr>
                  </w:pPr>
                </w:p>
              </w:tc>
            </w:tr>
          </w:tbl>
          <w:p w14:paraId="6FB3C63A">
            <w:pPr>
              <w:autoSpaceDE w:val="0"/>
              <w:autoSpaceDN w:val="0"/>
              <w:spacing w:line="360" w:lineRule="auto"/>
              <w:contextualSpacing/>
              <w:rPr>
                <w:rFonts w:hint="default" w:ascii="Times New Roman" w:hAnsi="Times New Roman" w:eastAsia="宋体" w:cs="Times New Roman"/>
                <w:bCs/>
                <w:color w:val="auto"/>
                <w:szCs w:val="21"/>
                <w:u w:val="none" w:color="auto"/>
              </w:rPr>
            </w:pPr>
            <w:r>
              <w:rPr>
                <w:rFonts w:hint="default" w:ascii="Times New Roman" w:hAnsi="Times New Roman" w:eastAsia="宋体" w:cs="Times New Roman"/>
                <w:b/>
                <w:color w:val="auto"/>
                <w:spacing w:val="-10"/>
                <w:sz w:val="24"/>
                <w:u w:val="none" w:color="auto"/>
              </w:rPr>
              <w:t>二、废水排放标准</w:t>
            </w:r>
          </w:p>
          <w:p w14:paraId="7014326A">
            <w:pPr>
              <w:autoSpaceDE w:val="0"/>
              <w:autoSpaceDN w:val="0"/>
              <w:spacing w:line="360" w:lineRule="auto"/>
              <w:ind w:firstLine="480" w:firstLineChars="200"/>
              <w:contextualSpacing/>
              <w:rPr>
                <w:rFonts w:hint="default" w:ascii="Times New Roman" w:hAnsi="Times New Roman" w:eastAsia="宋体" w:cs="Times New Roman"/>
                <w:bCs/>
                <w:color w:val="auto"/>
                <w:sz w:val="24"/>
                <w:highlight w:val="none"/>
                <w:u w:val="none" w:color="auto"/>
                <w:lang w:val="en-US" w:eastAsia="zh-CN"/>
              </w:rPr>
            </w:pPr>
            <w:r>
              <w:rPr>
                <w:rFonts w:hint="default" w:ascii="Times New Roman" w:hAnsi="Times New Roman" w:eastAsia="宋体" w:cs="Times New Roman"/>
                <w:bCs/>
                <w:color w:val="auto"/>
                <w:sz w:val="24"/>
                <w:u w:val="none" w:color="auto"/>
              </w:rPr>
              <w:t>项目</w:t>
            </w:r>
            <w:r>
              <w:rPr>
                <w:rFonts w:hint="default" w:ascii="Times New Roman" w:hAnsi="Times New Roman" w:eastAsia="宋体" w:cs="Times New Roman"/>
                <w:bCs/>
                <w:color w:val="auto"/>
                <w:sz w:val="24"/>
                <w:u w:val="none" w:color="auto"/>
                <w:lang w:val="en-US" w:eastAsia="zh-CN"/>
              </w:rPr>
              <w:t>中创空天厂区、</w:t>
            </w:r>
            <w:r>
              <w:rPr>
                <w:rFonts w:hint="default" w:ascii="Times New Roman" w:hAnsi="Times New Roman" w:eastAsia="宋体" w:cs="Times New Roman"/>
                <w:bCs/>
                <w:color w:val="auto"/>
                <w:sz w:val="24"/>
                <w:u w:val="none" w:color="auto"/>
              </w:rPr>
              <w:t>临港高新产业园区</w:t>
            </w:r>
            <w:r>
              <w:rPr>
                <w:rFonts w:hint="default" w:ascii="Times New Roman" w:hAnsi="Times New Roman" w:eastAsia="宋体" w:cs="Times New Roman"/>
                <w:bCs/>
                <w:color w:val="auto"/>
                <w:sz w:val="24"/>
                <w:u w:val="none" w:color="auto"/>
                <w:lang w:eastAsia="zh-CN"/>
              </w:rPr>
              <w:t>：</w:t>
            </w:r>
            <w:r>
              <w:rPr>
                <w:rFonts w:hint="default" w:ascii="Times New Roman" w:hAnsi="Times New Roman" w:eastAsia="宋体" w:cs="Times New Roman"/>
                <w:bCs/>
                <w:color w:val="auto"/>
                <w:sz w:val="24"/>
                <w:u w:val="none" w:color="auto"/>
                <w:lang w:val="en-US" w:eastAsia="zh-CN"/>
              </w:rPr>
              <w:t>项目运营期各类废水</w:t>
            </w:r>
            <w:r>
              <w:rPr>
                <w:rFonts w:hint="default" w:ascii="Times New Roman" w:hAnsi="Times New Roman" w:eastAsia="宋体" w:cs="Times New Roman"/>
                <w:bCs/>
                <w:color w:val="auto"/>
                <w:sz w:val="24"/>
                <w:highlight w:val="none"/>
                <w:u w:val="none" w:color="auto"/>
              </w:rPr>
              <w:t>预处理后满足《污水综合排放标准》（GB8978-1996）三级排放标准</w:t>
            </w:r>
            <w:r>
              <w:rPr>
                <w:rFonts w:hint="default" w:ascii="Times New Roman" w:hAnsi="Times New Roman" w:eastAsia="宋体" w:cs="Times New Roman"/>
                <w:bCs/>
                <w:color w:val="auto"/>
                <w:sz w:val="24"/>
                <w:highlight w:val="none"/>
                <w:u w:val="none" w:color="auto"/>
                <w:lang w:val="en-US" w:eastAsia="zh-CN"/>
              </w:rPr>
              <w:t>及</w:t>
            </w:r>
            <w:r>
              <w:rPr>
                <w:rFonts w:hint="default" w:ascii="Times New Roman" w:hAnsi="Times New Roman" w:eastAsia="宋体" w:cs="Times New Roman"/>
                <w:color w:val="auto"/>
                <w:sz w:val="24"/>
                <w:highlight w:val="none"/>
                <w:u w:val="none" w:color="auto"/>
                <w:shd w:val="clear" w:color="auto" w:fill="FFFFFF"/>
              </w:rPr>
              <w:t>湖南城陵矶临港产业新区污水处理厂</w:t>
            </w:r>
            <w:r>
              <w:rPr>
                <w:rFonts w:hint="default" w:ascii="Times New Roman" w:hAnsi="Times New Roman" w:eastAsia="宋体" w:cs="Times New Roman"/>
                <w:bCs/>
                <w:color w:val="auto"/>
                <w:sz w:val="24"/>
                <w:highlight w:val="none"/>
                <w:u w:val="none" w:color="auto"/>
              </w:rPr>
              <w:t>进水水质要求</w:t>
            </w:r>
            <w:r>
              <w:rPr>
                <w:rFonts w:hint="default" w:ascii="Times New Roman" w:hAnsi="Times New Roman" w:eastAsia="宋体" w:cs="Times New Roman"/>
                <w:bCs/>
                <w:color w:val="auto"/>
                <w:sz w:val="24"/>
                <w:highlight w:val="none"/>
                <w:u w:val="none" w:color="auto"/>
                <w:lang w:val="en-US" w:eastAsia="zh-CN"/>
              </w:rPr>
              <w:t>后，分别通过中创空天厂区现有工程总排口</w:t>
            </w:r>
            <w:r>
              <w:rPr>
                <w:rFonts w:hint="default" w:ascii="Times New Roman" w:hAnsi="Times New Roman" w:eastAsia="宋体" w:cs="Times New Roman"/>
                <w:bCs/>
                <w:color w:val="auto"/>
                <w:sz w:val="24"/>
                <w:highlight w:val="none"/>
                <w:u w:val="none" w:color="auto"/>
              </w:rPr>
              <w:t>DW00</w:t>
            </w:r>
            <w:r>
              <w:rPr>
                <w:rFonts w:hint="default" w:ascii="Times New Roman" w:hAnsi="Times New Roman" w:eastAsia="宋体" w:cs="Times New Roman"/>
                <w:bCs/>
                <w:color w:val="auto"/>
                <w:sz w:val="24"/>
                <w:highlight w:val="none"/>
                <w:u w:val="none" w:color="auto"/>
                <w:lang w:val="en-US" w:eastAsia="zh-CN"/>
              </w:rPr>
              <w:t>1、临港高新产业园区总排口DW002</w:t>
            </w:r>
            <w:r>
              <w:rPr>
                <w:rFonts w:hint="default" w:ascii="Times New Roman" w:hAnsi="Times New Roman" w:eastAsia="宋体" w:cs="Times New Roman"/>
                <w:bCs/>
                <w:color w:val="auto"/>
                <w:sz w:val="24"/>
                <w:highlight w:val="none"/>
                <w:u w:val="none" w:color="auto"/>
              </w:rPr>
              <w:t>排至湖南城陵矶临港产业新区污水处理厂</w:t>
            </w:r>
            <w:r>
              <w:rPr>
                <w:rFonts w:hint="default" w:ascii="Times New Roman" w:hAnsi="Times New Roman" w:eastAsia="宋体" w:cs="Times New Roman"/>
                <w:bCs/>
                <w:color w:val="auto"/>
                <w:sz w:val="24"/>
                <w:highlight w:val="none"/>
                <w:u w:val="none" w:color="auto"/>
                <w:lang w:eastAsia="zh-CN"/>
              </w:rPr>
              <w:t>，</w:t>
            </w:r>
            <w:r>
              <w:rPr>
                <w:rFonts w:hint="default" w:ascii="Times New Roman" w:hAnsi="Times New Roman" w:eastAsia="宋体" w:cs="Times New Roman"/>
                <w:bCs/>
                <w:color w:val="auto"/>
                <w:sz w:val="24"/>
                <w:highlight w:val="none"/>
                <w:u w:val="none" w:color="auto"/>
                <w:lang w:val="en-US" w:eastAsia="zh-CN"/>
              </w:rPr>
              <w:t>执行标准及具体限值详见下表。</w:t>
            </w:r>
          </w:p>
          <w:p w14:paraId="6901CA8E">
            <w:pPr>
              <w:adjustRightInd w:val="0"/>
              <w:snapToGrid w:val="0"/>
              <w:jc w:val="center"/>
              <w:rPr>
                <w:rFonts w:hint="default" w:ascii="Times New Roman" w:hAnsi="Times New Roman" w:eastAsia="宋体" w:cs="Times New Roman"/>
                <w:b/>
                <w:color w:val="auto"/>
                <w:szCs w:val="21"/>
                <w:u w:val="none" w:color="auto"/>
              </w:rPr>
            </w:pPr>
            <w:r>
              <w:rPr>
                <w:rFonts w:hint="default" w:ascii="Times New Roman" w:hAnsi="Times New Roman" w:eastAsia="宋体" w:cs="Times New Roman"/>
                <w:b/>
                <w:color w:val="auto"/>
                <w:szCs w:val="21"/>
                <w:u w:val="none" w:color="auto"/>
              </w:rPr>
              <w:t>表3-</w:t>
            </w:r>
            <w:r>
              <w:rPr>
                <w:rFonts w:hint="default" w:ascii="Times New Roman" w:hAnsi="Times New Roman" w:eastAsia="宋体" w:cs="Times New Roman"/>
                <w:b/>
                <w:color w:val="auto"/>
                <w:szCs w:val="21"/>
                <w:u w:val="none" w:color="auto"/>
                <w:lang w:val="en-US" w:eastAsia="zh-CN"/>
              </w:rPr>
              <w:t>12</w:t>
            </w:r>
            <w:r>
              <w:rPr>
                <w:rFonts w:hint="default" w:ascii="Times New Roman" w:hAnsi="Times New Roman" w:eastAsia="宋体" w:cs="Times New Roman"/>
                <w:b/>
                <w:color w:val="auto"/>
                <w:szCs w:val="21"/>
                <w:u w:val="none" w:color="auto"/>
              </w:rPr>
              <w:t xml:space="preserve">  水污染物排放标准表    单位：mg/L</w:t>
            </w:r>
          </w:p>
          <w:tbl>
            <w:tblPr>
              <w:tblStyle w:val="31"/>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3331"/>
              <w:gridCol w:w="677"/>
              <w:gridCol w:w="903"/>
              <w:gridCol w:w="871"/>
              <w:gridCol w:w="645"/>
              <w:gridCol w:w="785"/>
              <w:gridCol w:w="729"/>
            </w:tblGrid>
            <w:tr w14:paraId="3F0C2C0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096" w:type="pct"/>
                  <w:tcBorders>
                    <w:tl2br w:val="nil"/>
                    <w:tr2bl w:val="nil"/>
                  </w:tcBorders>
                  <w:noWrap w:val="0"/>
                  <w:vAlign w:val="center"/>
                </w:tcPr>
                <w:p w14:paraId="0FA65EC1">
                  <w:pPr>
                    <w:pStyle w:val="62"/>
                    <w:jc w:val="center"/>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项目</w:t>
                  </w:r>
                </w:p>
              </w:tc>
              <w:tc>
                <w:tcPr>
                  <w:tcW w:w="426" w:type="pct"/>
                  <w:tcBorders>
                    <w:tl2br w:val="nil"/>
                    <w:tr2bl w:val="nil"/>
                  </w:tcBorders>
                  <w:noWrap w:val="0"/>
                  <w:vAlign w:val="center"/>
                </w:tcPr>
                <w:p w14:paraId="3BD2B4FB">
                  <w:pPr>
                    <w:pStyle w:val="62"/>
                    <w:snapToGrid w:val="0"/>
                    <w:jc w:val="center"/>
                    <w:rPr>
                      <w:rFonts w:hint="default" w:ascii="Times New Roman" w:hAnsi="Times New Roman" w:eastAsia="宋体" w:cs="Times New Roman"/>
                      <w:b/>
                      <w:bCs/>
                      <w:color w:val="auto"/>
                      <w:kern w:val="2"/>
                      <w:sz w:val="21"/>
                      <w:szCs w:val="21"/>
                      <w:u w:val="none" w:color="auto"/>
                      <w:lang w:val="en-US" w:eastAsia="zh-CN" w:bidi="ar-SA"/>
                    </w:rPr>
                  </w:pPr>
                  <w:r>
                    <w:rPr>
                      <w:rFonts w:hint="default" w:ascii="Times New Roman" w:hAnsi="Times New Roman" w:eastAsia="宋体" w:cs="Times New Roman"/>
                      <w:b/>
                      <w:bCs/>
                      <w:color w:val="auto"/>
                      <w:sz w:val="21"/>
                      <w:szCs w:val="21"/>
                      <w:u w:val="none" w:color="auto"/>
                    </w:rPr>
                    <w:t>pH</w:t>
                  </w:r>
                </w:p>
              </w:tc>
              <w:tc>
                <w:tcPr>
                  <w:tcW w:w="568" w:type="pct"/>
                  <w:tcBorders>
                    <w:tl2br w:val="nil"/>
                    <w:tr2bl w:val="nil"/>
                  </w:tcBorders>
                  <w:noWrap w:val="0"/>
                  <w:vAlign w:val="center"/>
                </w:tcPr>
                <w:p w14:paraId="281E7D85">
                  <w:pPr>
                    <w:pStyle w:val="62"/>
                    <w:snapToGrid w:val="0"/>
                    <w:jc w:val="center"/>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COD</w:t>
                  </w:r>
                </w:p>
              </w:tc>
              <w:tc>
                <w:tcPr>
                  <w:tcW w:w="548" w:type="pct"/>
                  <w:tcBorders>
                    <w:tl2br w:val="nil"/>
                    <w:tr2bl w:val="nil"/>
                  </w:tcBorders>
                  <w:noWrap w:val="0"/>
                  <w:vAlign w:val="center"/>
                </w:tcPr>
                <w:p w14:paraId="3DD1DD42">
                  <w:pPr>
                    <w:pStyle w:val="62"/>
                    <w:snapToGrid w:val="0"/>
                    <w:jc w:val="center"/>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BOD</w:t>
                  </w:r>
                  <w:r>
                    <w:rPr>
                      <w:rFonts w:hint="default" w:ascii="Times New Roman" w:hAnsi="Times New Roman" w:eastAsia="宋体" w:cs="Times New Roman"/>
                      <w:b/>
                      <w:bCs/>
                      <w:color w:val="auto"/>
                      <w:sz w:val="21"/>
                      <w:szCs w:val="21"/>
                      <w:u w:val="none" w:color="auto"/>
                      <w:vertAlign w:val="subscript"/>
                    </w:rPr>
                    <w:t>5</w:t>
                  </w:r>
                </w:p>
              </w:tc>
              <w:tc>
                <w:tcPr>
                  <w:tcW w:w="406" w:type="pct"/>
                  <w:tcBorders>
                    <w:tl2br w:val="nil"/>
                    <w:tr2bl w:val="nil"/>
                  </w:tcBorders>
                  <w:noWrap w:val="0"/>
                  <w:vAlign w:val="center"/>
                </w:tcPr>
                <w:p w14:paraId="079B6766">
                  <w:pPr>
                    <w:pStyle w:val="62"/>
                    <w:snapToGrid w:val="0"/>
                    <w:jc w:val="center"/>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SS</w:t>
                  </w:r>
                </w:p>
              </w:tc>
              <w:tc>
                <w:tcPr>
                  <w:tcW w:w="494" w:type="pct"/>
                  <w:tcBorders>
                    <w:tl2br w:val="nil"/>
                    <w:tr2bl w:val="nil"/>
                  </w:tcBorders>
                  <w:noWrap w:val="0"/>
                  <w:vAlign w:val="center"/>
                </w:tcPr>
                <w:p w14:paraId="5C342A35">
                  <w:pPr>
                    <w:pStyle w:val="62"/>
                    <w:snapToGrid w:val="0"/>
                    <w:jc w:val="center"/>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NH</w:t>
                  </w:r>
                  <w:r>
                    <w:rPr>
                      <w:rFonts w:hint="default" w:ascii="Times New Roman" w:hAnsi="Times New Roman" w:eastAsia="宋体" w:cs="Times New Roman"/>
                      <w:b/>
                      <w:bCs/>
                      <w:color w:val="auto"/>
                      <w:sz w:val="21"/>
                      <w:szCs w:val="21"/>
                      <w:u w:val="none" w:color="auto"/>
                      <w:vertAlign w:val="subscript"/>
                    </w:rPr>
                    <w:t>3</w:t>
                  </w:r>
                  <w:r>
                    <w:rPr>
                      <w:rFonts w:hint="default" w:ascii="Times New Roman" w:hAnsi="Times New Roman" w:eastAsia="宋体" w:cs="Times New Roman"/>
                      <w:b/>
                      <w:bCs/>
                      <w:color w:val="auto"/>
                      <w:sz w:val="21"/>
                      <w:szCs w:val="21"/>
                      <w:u w:val="none" w:color="auto"/>
                    </w:rPr>
                    <w:t>-N</w:t>
                  </w:r>
                </w:p>
              </w:tc>
              <w:tc>
                <w:tcPr>
                  <w:tcW w:w="459" w:type="pct"/>
                  <w:tcBorders>
                    <w:tl2br w:val="nil"/>
                    <w:tr2bl w:val="nil"/>
                  </w:tcBorders>
                  <w:noWrap w:val="0"/>
                  <w:vAlign w:val="center"/>
                </w:tcPr>
                <w:p w14:paraId="55E6B70C">
                  <w:pPr>
                    <w:pStyle w:val="62"/>
                    <w:snapToGrid w:val="0"/>
                    <w:jc w:val="center"/>
                    <w:rPr>
                      <w:rFonts w:hint="default" w:ascii="Times New Roman" w:hAnsi="Times New Roman" w:eastAsia="宋体" w:cs="Times New Roman"/>
                      <w:b/>
                      <w:bCs/>
                      <w:color w:val="auto"/>
                      <w:sz w:val="21"/>
                      <w:szCs w:val="21"/>
                      <w:u w:val="none" w:color="auto"/>
                      <w:lang w:val="en-US" w:eastAsia="zh-CN"/>
                    </w:rPr>
                  </w:pPr>
                  <w:r>
                    <w:rPr>
                      <w:rFonts w:hint="default" w:ascii="Times New Roman" w:hAnsi="Times New Roman" w:eastAsia="宋体" w:cs="Times New Roman"/>
                      <w:b/>
                      <w:bCs/>
                      <w:color w:val="auto"/>
                      <w:sz w:val="21"/>
                      <w:szCs w:val="21"/>
                      <w:u w:val="none" w:color="auto"/>
                      <w:lang w:val="en-US" w:eastAsia="zh-CN"/>
                    </w:rPr>
                    <w:t>石油类</w:t>
                  </w:r>
                </w:p>
              </w:tc>
            </w:tr>
            <w:tr w14:paraId="15181E2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096" w:type="pct"/>
                  <w:tcBorders>
                    <w:tl2br w:val="nil"/>
                    <w:tr2bl w:val="nil"/>
                  </w:tcBorders>
                  <w:noWrap w:val="0"/>
                  <w:vAlign w:val="center"/>
                </w:tcPr>
                <w:p w14:paraId="65964D7A">
                  <w:pPr>
                    <w:pStyle w:val="62"/>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湖南城陵矶临港产业新区污水处理厂进水浓度标准</w:t>
                  </w:r>
                </w:p>
              </w:tc>
              <w:tc>
                <w:tcPr>
                  <w:tcW w:w="426" w:type="pct"/>
                  <w:tcBorders>
                    <w:tl2br w:val="nil"/>
                    <w:tr2bl w:val="nil"/>
                  </w:tcBorders>
                  <w:noWrap w:val="0"/>
                  <w:vAlign w:val="center"/>
                </w:tcPr>
                <w:p w14:paraId="562733B8">
                  <w:pPr>
                    <w:pStyle w:val="62"/>
                    <w:snapToGrid w:val="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6~9</w:t>
                  </w:r>
                </w:p>
              </w:tc>
              <w:tc>
                <w:tcPr>
                  <w:tcW w:w="568" w:type="pct"/>
                  <w:tcBorders>
                    <w:tl2br w:val="nil"/>
                    <w:tr2bl w:val="nil"/>
                  </w:tcBorders>
                  <w:noWrap w:val="0"/>
                  <w:vAlign w:val="center"/>
                </w:tcPr>
                <w:p w14:paraId="160B6924">
                  <w:pPr>
                    <w:pStyle w:val="62"/>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500</w:t>
                  </w:r>
                </w:p>
              </w:tc>
              <w:tc>
                <w:tcPr>
                  <w:tcW w:w="548" w:type="pct"/>
                  <w:tcBorders>
                    <w:tl2br w:val="nil"/>
                    <w:tr2bl w:val="nil"/>
                  </w:tcBorders>
                  <w:noWrap w:val="0"/>
                  <w:vAlign w:val="center"/>
                </w:tcPr>
                <w:p w14:paraId="6DDE239E">
                  <w:pPr>
                    <w:pStyle w:val="62"/>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3</w:t>
                  </w:r>
                  <w:r>
                    <w:rPr>
                      <w:rFonts w:hint="default" w:ascii="Times New Roman" w:hAnsi="Times New Roman" w:eastAsia="宋体" w:cs="Times New Roman"/>
                      <w:color w:val="auto"/>
                      <w:sz w:val="21"/>
                      <w:szCs w:val="21"/>
                      <w:u w:val="none" w:color="auto"/>
                    </w:rPr>
                    <w:t>00</w:t>
                  </w:r>
                </w:p>
              </w:tc>
              <w:tc>
                <w:tcPr>
                  <w:tcW w:w="406" w:type="pct"/>
                  <w:tcBorders>
                    <w:tl2br w:val="nil"/>
                    <w:tr2bl w:val="nil"/>
                  </w:tcBorders>
                  <w:noWrap w:val="0"/>
                  <w:vAlign w:val="center"/>
                </w:tcPr>
                <w:p w14:paraId="5C6C1A1C">
                  <w:pPr>
                    <w:pStyle w:val="62"/>
                    <w:snapToGrid w:val="0"/>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400</w:t>
                  </w:r>
                </w:p>
              </w:tc>
              <w:tc>
                <w:tcPr>
                  <w:tcW w:w="494" w:type="pct"/>
                  <w:tcBorders>
                    <w:tl2br w:val="nil"/>
                    <w:tr2bl w:val="nil"/>
                  </w:tcBorders>
                  <w:noWrap w:val="0"/>
                  <w:vAlign w:val="center"/>
                </w:tcPr>
                <w:p w14:paraId="1A9F3FB8">
                  <w:pPr>
                    <w:pStyle w:val="62"/>
                    <w:snapToGrid w:val="0"/>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45</w:t>
                  </w:r>
                </w:p>
              </w:tc>
              <w:tc>
                <w:tcPr>
                  <w:tcW w:w="459" w:type="pct"/>
                  <w:tcBorders>
                    <w:tl2br w:val="nil"/>
                    <w:tr2bl w:val="nil"/>
                  </w:tcBorders>
                  <w:noWrap w:val="0"/>
                  <w:vAlign w:val="center"/>
                </w:tcPr>
                <w:p w14:paraId="1BD46831">
                  <w:pPr>
                    <w:pStyle w:val="62"/>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15</w:t>
                  </w:r>
                </w:p>
              </w:tc>
            </w:tr>
            <w:tr w14:paraId="688C708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096" w:type="pct"/>
                  <w:tcBorders>
                    <w:tl2br w:val="nil"/>
                    <w:tr2bl w:val="nil"/>
                  </w:tcBorders>
                  <w:noWrap w:val="0"/>
                  <w:vAlign w:val="center"/>
                </w:tcPr>
                <w:p w14:paraId="0289FFD7">
                  <w:pPr>
                    <w:pStyle w:val="62"/>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《污水综合排放标准》（GB8978-1996）三级排放标</w:t>
                  </w:r>
                </w:p>
              </w:tc>
              <w:tc>
                <w:tcPr>
                  <w:tcW w:w="426" w:type="pct"/>
                  <w:tcBorders>
                    <w:tl2br w:val="nil"/>
                    <w:tr2bl w:val="nil"/>
                  </w:tcBorders>
                  <w:noWrap w:val="0"/>
                  <w:vAlign w:val="center"/>
                </w:tcPr>
                <w:p w14:paraId="0460E4ED">
                  <w:pPr>
                    <w:pStyle w:val="62"/>
                    <w:snapToGrid w:val="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6-9</w:t>
                  </w:r>
                </w:p>
              </w:tc>
              <w:tc>
                <w:tcPr>
                  <w:tcW w:w="568" w:type="pct"/>
                  <w:tcBorders>
                    <w:tl2br w:val="nil"/>
                    <w:tr2bl w:val="nil"/>
                  </w:tcBorders>
                  <w:noWrap w:val="0"/>
                  <w:vAlign w:val="center"/>
                </w:tcPr>
                <w:p w14:paraId="0525DA22">
                  <w:pPr>
                    <w:pStyle w:val="62"/>
                    <w:snapToGrid w:val="0"/>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500</w:t>
                  </w:r>
                </w:p>
              </w:tc>
              <w:tc>
                <w:tcPr>
                  <w:tcW w:w="548" w:type="pct"/>
                  <w:tcBorders>
                    <w:tl2br w:val="nil"/>
                    <w:tr2bl w:val="nil"/>
                  </w:tcBorders>
                  <w:noWrap w:val="0"/>
                  <w:vAlign w:val="center"/>
                </w:tcPr>
                <w:p w14:paraId="2077B743">
                  <w:pPr>
                    <w:pStyle w:val="62"/>
                    <w:snapToGrid w:val="0"/>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300</w:t>
                  </w:r>
                </w:p>
              </w:tc>
              <w:tc>
                <w:tcPr>
                  <w:tcW w:w="406" w:type="pct"/>
                  <w:tcBorders>
                    <w:tl2br w:val="nil"/>
                    <w:tr2bl w:val="nil"/>
                  </w:tcBorders>
                  <w:noWrap w:val="0"/>
                  <w:vAlign w:val="center"/>
                </w:tcPr>
                <w:p w14:paraId="6E6CA840">
                  <w:pPr>
                    <w:pStyle w:val="62"/>
                    <w:snapToGrid w:val="0"/>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400</w:t>
                  </w:r>
                </w:p>
              </w:tc>
              <w:tc>
                <w:tcPr>
                  <w:tcW w:w="494" w:type="pct"/>
                  <w:tcBorders>
                    <w:tl2br w:val="nil"/>
                    <w:tr2bl w:val="nil"/>
                  </w:tcBorders>
                  <w:noWrap w:val="0"/>
                  <w:vAlign w:val="center"/>
                </w:tcPr>
                <w:p w14:paraId="38B57BC5">
                  <w:pPr>
                    <w:pStyle w:val="62"/>
                    <w:snapToGrid w:val="0"/>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w:t>
                  </w:r>
                </w:p>
              </w:tc>
              <w:tc>
                <w:tcPr>
                  <w:tcW w:w="459" w:type="pct"/>
                  <w:tcBorders>
                    <w:tl2br w:val="nil"/>
                    <w:tr2bl w:val="nil"/>
                  </w:tcBorders>
                  <w:noWrap w:val="0"/>
                  <w:vAlign w:val="center"/>
                </w:tcPr>
                <w:p w14:paraId="41BABBEA">
                  <w:pPr>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20</w:t>
                  </w:r>
                </w:p>
              </w:tc>
            </w:tr>
            <w:tr w14:paraId="4570102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096" w:type="pct"/>
                  <w:tcBorders>
                    <w:tl2br w:val="nil"/>
                    <w:tr2bl w:val="nil"/>
                  </w:tcBorders>
                  <w:noWrap w:val="0"/>
                  <w:vAlign w:val="center"/>
                </w:tcPr>
                <w:p w14:paraId="0C7C567A">
                  <w:pPr>
                    <w:pStyle w:val="62"/>
                    <w:adjustRightInd/>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DW001总排口</w:t>
                  </w:r>
                  <w:r>
                    <w:rPr>
                      <w:rFonts w:hint="default" w:ascii="Times New Roman" w:hAnsi="Times New Roman" w:eastAsia="宋体" w:cs="Times New Roman"/>
                      <w:color w:val="auto"/>
                      <w:sz w:val="21"/>
                      <w:szCs w:val="21"/>
                      <w:u w:val="none" w:color="auto"/>
                      <w:vertAlign w:val="superscript"/>
                      <w:lang w:val="en-US" w:eastAsia="zh-CN"/>
                    </w:rPr>
                    <w:t>[1]</w:t>
                  </w:r>
                </w:p>
              </w:tc>
              <w:tc>
                <w:tcPr>
                  <w:tcW w:w="426" w:type="pct"/>
                  <w:vMerge w:val="restart"/>
                  <w:tcBorders>
                    <w:tl2br w:val="nil"/>
                    <w:tr2bl w:val="nil"/>
                  </w:tcBorders>
                  <w:noWrap w:val="0"/>
                  <w:vAlign w:val="center"/>
                </w:tcPr>
                <w:p w14:paraId="54334FAE">
                  <w:pPr>
                    <w:pStyle w:val="62"/>
                    <w:adjustRightInd/>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6~9</w:t>
                  </w:r>
                </w:p>
              </w:tc>
              <w:tc>
                <w:tcPr>
                  <w:tcW w:w="568" w:type="pct"/>
                  <w:vMerge w:val="restart"/>
                  <w:tcBorders>
                    <w:tl2br w:val="nil"/>
                    <w:tr2bl w:val="nil"/>
                  </w:tcBorders>
                  <w:noWrap w:val="0"/>
                  <w:vAlign w:val="center"/>
                </w:tcPr>
                <w:p w14:paraId="116C7E67">
                  <w:pPr>
                    <w:pStyle w:val="62"/>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500</w:t>
                  </w:r>
                </w:p>
              </w:tc>
              <w:tc>
                <w:tcPr>
                  <w:tcW w:w="548" w:type="pct"/>
                  <w:vMerge w:val="restart"/>
                  <w:tcBorders>
                    <w:tl2br w:val="nil"/>
                    <w:tr2bl w:val="nil"/>
                  </w:tcBorders>
                  <w:noWrap w:val="0"/>
                  <w:vAlign w:val="center"/>
                </w:tcPr>
                <w:p w14:paraId="362CE1D3">
                  <w:pPr>
                    <w:pStyle w:val="62"/>
                    <w:adjustRightInd/>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3</w:t>
                  </w:r>
                  <w:r>
                    <w:rPr>
                      <w:rFonts w:hint="default" w:ascii="Times New Roman" w:hAnsi="Times New Roman" w:eastAsia="宋体" w:cs="Times New Roman"/>
                      <w:color w:val="auto"/>
                      <w:sz w:val="21"/>
                      <w:szCs w:val="21"/>
                      <w:u w:val="none" w:color="auto"/>
                    </w:rPr>
                    <w:t>00</w:t>
                  </w:r>
                </w:p>
              </w:tc>
              <w:tc>
                <w:tcPr>
                  <w:tcW w:w="406" w:type="pct"/>
                  <w:vMerge w:val="restart"/>
                  <w:tcBorders>
                    <w:tl2br w:val="nil"/>
                    <w:tr2bl w:val="nil"/>
                  </w:tcBorders>
                  <w:noWrap w:val="0"/>
                  <w:vAlign w:val="center"/>
                </w:tcPr>
                <w:p w14:paraId="080BADDE">
                  <w:pPr>
                    <w:pStyle w:val="62"/>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300</w:t>
                  </w:r>
                </w:p>
              </w:tc>
              <w:tc>
                <w:tcPr>
                  <w:tcW w:w="494" w:type="pct"/>
                  <w:vMerge w:val="restart"/>
                  <w:tcBorders>
                    <w:tl2br w:val="nil"/>
                    <w:tr2bl w:val="nil"/>
                  </w:tcBorders>
                  <w:noWrap w:val="0"/>
                  <w:vAlign w:val="center"/>
                </w:tcPr>
                <w:p w14:paraId="552B4447">
                  <w:pPr>
                    <w:pStyle w:val="62"/>
                    <w:snapToGrid w:val="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45</w:t>
                  </w:r>
                </w:p>
              </w:tc>
              <w:tc>
                <w:tcPr>
                  <w:tcW w:w="459" w:type="pct"/>
                  <w:vMerge w:val="restart"/>
                  <w:tcBorders>
                    <w:tl2br w:val="nil"/>
                    <w:tr2bl w:val="nil"/>
                  </w:tcBorders>
                  <w:noWrap w:val="0"/>
                  <w:vAlign w:val="center"/>
                </w:tcPr>
                <w:p w14:paraId="0ED4234F">
                  <w:pPr>
                    <w:pStyle w:val="62"/>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15</w:t>
                  </w:r>
                </w:p>
              </w:tc>
            </w:tr>
            <w:tr w14:paraId="4FB9990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096" w:type="pct"/>
                  <w:tcBorders>
                    <w:tl2br w:val="nil"/>
                    <w:tr2bl w:val="nil"/>
                  </w:tcBorders>
                  <w:noWrap w:val="0"/>
                  <w:vAlign w:val="center"/>
                </w:tcPr>
                <w:p w14:paraId="3086E916">
                  <w:pPr>
                    <w:pStyle w:val="62"/>
                    <w:adjustRightInd/>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DW002总排口</w:t>
                  </w:r>
                </w:p>
              </w:tc>
              <w:tc>
                <w:tcPr>
                  <w:tcW w:w="426" w:type="pct"/>
                  <w:vMerge w:val="continue"/>
                  <w:tcBorders>
                    <w:tl2br w:val="nil"/>
                    <w:tr2bl w:val="nil"/>
                  </w:tcBorders>
                  <w:noWrap w:val="0"/>
                  <w:vAlign w:val="center"/>
                </w:tcPr>
                <w:p w14:paraId="29B8D370">
                  <w:pPr>
                    <w:pStyle w:val="62"/>
                    <w:adjustRightInd/>
                    <w:jc w:val="center"/>
                    <w:rPr>
                      <w:rFonts w:hint="default" w:ascii="Times New Roman" w:hAnsi="Times New Roman" w:eastAsia="宋体" w:cs="Times New Roman"/>
                      <w:color w:val="auto"/>
                      <w:sz w:val="21"/>
                      <w:szCs w:val="21"/>
                      <w:u w:val="none" w:color="auto"/>
                    </w:rPr>
                  </w:pPr>
                </w:p>
              </w:tc>
              <w:tc>
                <w:tcPr>
                  <w:tcW w:w="568" w:type="pct"/>
                  <w:vMerge w:val="continue"/>
                  <w:tcBorders>
                    <w:tl2br w:val="nil"/>
                    <w:tr2bl w:val="nil"/>
                  </w:tcBorders>
                  <w:noWrap w:val="0"/>
                  <w:vAlign w:val="center"/>
                </w:tcPr>
                <w:p w14:paraId="268F987E">
                  <w:pPr>
                    <w:pStyle w:val="62"/>
                    <w:jc w:val="center"/>
                    <w:rPr>
                      <w:rFonts w:hint="default" w:ascii="Times New Roman" w:hAnsi="Times New Roman" w:eastAsia="宋体" w:cs="Times New Roman"/>
                      <w:color w:val="auto"/>
                      <w:sz w:val="21"/>
                      <w:szCs w:val="21"/>
                      <w:u w:val="none" w:color="auto"/>
                      <w:lang w:val="en-US" w:eastAsia="zh-CN"/>
                    </w:rPr>
                  </w:pPr>
                </w:p>
              </w:tc>
              <w:tc>
                <w:tcPr>
                  <w:tcW w:w="548" w:type="pct"/>
                  <w:vMerge w:val="continue"/>
                  <w:tcBorders>
                    <w:tl2br w:val="nil"/>
                    <w:tr2bl w:val="nil"/>
                  </w:tcBorders>
                  <w:noWrap w:val="0"/>
                  <w:vAlign w:val="center"/>
                </w:tcPr>
                <w:p w14:paraId="050BEA1C">
                  <w:pPr>
                    <w:pStyle w:val="62"/>
                    <w:adjustRightInd/>
                    <w:jc w:val="center"/>
                    <w:rPr>
                      <w:rFonts w:hint="default" w:ascii="Times New Roman" w:hAnsi="Times New Roman" w:eastAsia="宋体" w:cs="Times New Roman"/>
                      <w:color w:val="auto"/>
                      <w:sz w:val="21"/>
                      <w:szCs w:val="21"/>
                      <w:u w:val="none" w:color="auto"/>
                      <w:lang w:val="en-US" w:eastAsia="zh-CN"/>
                    </w:rPr>
                  </w:pPr>
                </w:p>
              </w:tc>
              <w:tc>
                <w:tcPr>
                  <w:tcW w:w="406" w:type="pct"/>
                  <w:vMerge w:val="continue"/>
                  <w:tcBorders>
                    <w:tl2br w:val="nil"/>
                    <w:tr2bl w:val="nil"/>
                  </w:tcBorders>
                  <w:noWrap w:val="0"/>
                  <w:vAlign w:val="center"/>
                </w:tcPr>
                <w:p w14:paraId="7B57B3A1">
                  <w:pPr>
                    <w:pStyle w:val="62"/>
                    <w:jc w:val="center"/>
                    <w:rPr>
                      <w:rFonts w:hint="default" w:ascii="Times New Roman" w:hAnsi="Times New Roman" w:eastAsia="宋体" w:cs="Times New Roman"/>
                      <w:color w:val="auto"/>
                      <w:sz w:val="21"/>
                      <w:szCs w:val="21"/>
                      <w:u w:val="none" w:color="auto"/>
                      <w:lang w:val="en-US" w:eastAsia="zh-CN"/>
                    </w:rPr>
                  </w:pPr>
                </w:p>
              </w:tc>
              <w:tc>
                <w:tcPr>
                  <w:tcW w:w="494" w:type="pct"/>
                  <w:vMerge w:val="continue"/>
                  <w:tcBorders>
                    <w:tl2br w:val="nil"/>
                    <w:tr2bl w:val="nil"/>
                  </w:tcBorders>
                  <w:noWrap w:val="0"/>
                  <w:vAlign w:val="center"/>
                </w:tcPr>
                <w:p w14:paraId="09C3BCE1">
                  <w:pPr>
                    <w:pStyle w:val="62"/>
                    <w:snapToGrid w:val="0"/>
                    <w:jc w:val="center"/>
                    <w:rPr>
                      <w:rFonts w:hint="default" w:ascii="Times New Roman" w:hAnsi="Times New Roman" w:eastAsia="宋体" w:cs="Times New Roman"/>
                      <w:color w:val="auto"/>
                      <w:sz w:val="21"/>
                      <w:szCs w:val="21"/>
                      <w:u w:val="none" w:color="auto"/>
                      <w:lang w:val="en-US" w:eastAsia="zh-CN"/>
                    </w:rPr>
                  </w:pPr>
                </w:p>
              </w:tc>
              <w:tc>
                <w:tcPr>
                  <w:tcW w:w="459" w:type="pct"/>
                  <w:vMerge w:val="continue"/>
                  <w:tcBorders>
                    <w:tl2br w:val="nil"/>
                    <w:tr2bl w:val="nil"/>
                  </w:tcBorders>
                  <w:noWrap w:val="0"/>
                  <w:vAlign w:val="center"/>
                </w:tcPr>
                <w:p w14:paraId="1310B854">
                  <w:pPr>
                    <w:pStyle w:val="62"/>
                    <w:jc w:val="center"/>
                    <w:rPr>
                      <w:rFonts w:hint="default" w:ascii="Times New Roman" w:hAnsi="Times New Roman" w:eastAsia="宋体" w:cs="Times New Roman"/>
                      <w:color w:val="auto"/>
                      <w:sz w:val="21"/>
                      <w:szCs w:val="21"/>
                      <w:u w:val="none" w:color="auto"/>
                      <w:lang w:val="en-US" w:eastAsia="zh-CN"/>
                    </w:rPr>
                  </w:pPr>
                </w:p>
              </w:tc>
            </w:tr>
          </w:tbl>
          <w:p w14:paraId="044B6BE1">
            <w:pPr>
              <w:rPr>
                <w:rFonts w:hint="default" w:ascii="Times New Roman" w:hAnsi="Times New Roman" w:eastAsia="宋体" w:cs="Times New Roman"/>
                <w:b/>
                <w:bCs/>
                <w:color w:val="auto"/>
                <w:u w:val="none" w:color="auto"/>
                <w:lang w:val="en-US" w:eastAsia="zh-CN"/>
              </w:rPr>
            </w:pPr>
            <w:r>
              <w:rPr>
                <w:rFonts w:hint="default" w:ascii="Times New Roman" w:hAnsi="Times New Roman" w:eastAsia="宋体" w:cs="Times New Roman"/>
                <w:b/>
                <w:bCs/>
                <w:color w:val="auto"/>
                <w:u w:val="none" w:color="auto"/>
                <w:lang w:val="en-US" w:eastAsia="zh-CN"/>
              </w:rPr>
              <w:t>注[1]：与中创空天厂区现有工程总排口执行标准一致。</w:t>
            </w:r>
          </w:p>
          <w:p w14:paraId="65340EC9">
            <w:pPr>
              <w:autoSpaceDE w:val="0"/>
              <w:autoSpaceDN w:val="0"/>
              <w:spacing w:line="360" w:lineRule="auto"/>
              <w:contextualSpacing/>
              <w:rPr>
                <w:rFonts w:hint="default" w:ascii="Times New Roman" w:hAnsi="Times New Roman" w:eastAsia="宋体" w:cs="Times New Roman"/>
                <w:bCs/>
                <w:color w:val="auto"/>
                <w:szCs w:val="21"/>
                <w:u w:val="none" w:color="auto"/>
              </w:rPr>
            </w:pPr>
            <w:r>
              <w:rPr>
                <w:rFonts w:hint="default" w:ascii="Times New Roman" w:hAnsi="Times New Roman" w:eastAsia="宋体" w:cs="Times New Roman"/>
                <w:b/>
                <w:color w:val="auto"/>
                <w:spacing w:val="-10"/>
                <w:sz w:val="24"/>
                <w:u w:val="none" w:color="auto"/>
              </w:rPr>
              <w:t>三、噪声排放标准</w:t>
            </w:r>
          </w:p>
          <w:p w14:paraId="7CF920FC">
            <w:pPr>
              <w:autoSpaceDE w:val="0"/>
              <w:autoSpaceDN w:val="0"/>
              <w:spacing w:line="360" w:lineRule="auto"/>
              <w:ind w:firstLine="480" w:firstLineChars="200"/>
              <w:contextualSpacing/>
              <w:rPr>
                <w:rFonts w:hint="default" w:ascii="Times New Roman" w:hAnsi="Times New Roman" w:eastAsia="宋体" w:cs="Times New Roman"/>
                <w:color w:val="auto"/>
                <w:sz w:val="24"/>
                <w:u w:val="none" w:color="auto"/>
              </w:rPr>
            </w:pPr>
            <w:r>
              <w:rPr>
                <w:rFonts w:hint="default" w:ascii="Times New Roman" w:hAnsi="Times New Roman" w:eastAsia="宋体" w:cs="Times New Roman"/>
                <w:bCs/>
                <w:color w:val="auto"/>
                <w:sz w:val="24"/>
                <w:u w:val="none" w:color="auto"/>
              </w:rPr>
              <w:t>项目</w:t>
            </w:r>
            <w:r>
              <w:rPr>
                <w:rFonts w:hint="default" w:ascii="Times New Roman" w:hAnsi="Times New Roman" w:eastAsia="宋体" w:cs="Times New Roman"/>
                <w:bCs/>
                <w:color w:val="auto"/>
                <w:sz w:val="24"/>
                <w:u w:val="none" w:color="auto"/>
                <w:lang w:val="en-US" w:eastAsia="zh-CN"/>
              </w:rPr>
              <w:t>中创空天厂区、</w:t>
            </w:r>
            <w:r>
              <w:rPr>
                <w:rFonts w:hint="default" w:ascii="Times New Roman" w:hAnsi="Times New Roman" w:eastAsia="宋体" w:cs="Times New Roman"/>
                <w:bCs/>
                <w:color w:val="auto"/>
                <w:sz w:val="24"/>
                <w:u w:val="none" w:color="auto"/>
              </w:rPr>
              <w:t>临港高新产业园区施工期噪声</w:t>
            </w:r>
            <w:r>
              <w:rPr>
                <w:rFonts w:hint="default" w:ascii="Times New Roman" w:hAnsi="Times New Roman" w:eastAsia="宋体" w:cs="Times New Roman"/>
                <w:bCs/>
                <w:color w:val="auto"/>
                <w:sz w:val="24"/>
                <w:u w:val="none" w:color="auto"/>
                <w:lang w:val="en-US" w:eastAsia="zh-CN"/>
              </w:rPr>
              <w:t>均</w:t>
            </w:r>
            <w:r>
              <w:rPr>
                <w:rFonts w:hint="default" w:ascii="Times New Roman" w:hAnsi="Times New Roman" w:eastAsia="宋体" w:cs="Times New Roman"/>
                <w:bCs/>
                <w:color w:val="auto"/>
                <w:sz w:val="24"/>
                <w:u w:val="none" w:color="auto"/>
              </w:rPr>
              <w:t>执行</w:t>
            </w:r>
            <w:r>
              <w:rPr>
                <w:rFonts w:hint="default" w:ascii="Times New Roman" w:hAnsi="Times New Roman" w:eastAsia="宋体" w:cs="Times New Roman"/>
                <w:color w:val="auto"/>
                <w:sz w:val="24"/>
                <w:u w:val="none" w:color="auto"/>
              </w:rPr>
              <w:t>《建筑施工场界环境噪声排放标准》（GB12523-2011）表1标准；</w:t>
            </w:r>
          </w:p>
          <w:p w14:paraId="5FC4741C">
            <w:pPr>
              <w:autoSpaceDE w:val="0"/>
              <w:autoSpaceDN w:val="0"/>
              <w:spacing w:line="360" w:lineRule="auto"/>
              <w:ind w:firstLine="480" w:firstLineChars="200"/>
              <w:contextualSpacing/>
              <w:rPr>
                <w:rFonts w:hint="default" w:ascii="Times New Roman" w:hAnsi="Times New Roman" w:eastAsia="宋体" w:cs="Times New Roman"/>
                <w:color w:val="auto"/>
                <w:sz w:val="24"/>
                <w:u w:val="none" w:color="auto"/>
              </w:rPr>
            </w:pPr>
            <w:r>
              <w:rPr>
                <w:rFonts w:hint="default" w:ascii="Times New Roman" w:hAnsi="Times New Roman" w:eastAsia="宋体" w:cs="Times New Roman"/>
                <w:bCs/>
                <w:color w:val="auto"/>
                <w:sz w:val="24"/>
                <w:u w:val="none" w:color="auto"/>
              </w:rPr>
              <w:t>项目</w:t>
            </w:r>
            <w:r>
              <w:rPr>
                <w:rFonts w:hint="default" w:ascii="Times New Roman" w:hAnsi="Times New Roman" w:eastAsia="宋体" w:cs="Times New Roman"/>
                <w:bCs/>
                <w:color w:val="auto"/>
                <w:sz w:val="24"/>
                <w:u w:val="none" w:color="auto"/>
                <w:lang w:val="en-US" w:eastAsia="zh-CN"/>
              </w:rPr>
              <w:t>中创空天厂区</w:t>
            </w:r>
            <w:r>
              <w:rPr>
                <w:rFonts w:hint="default" w:ascii="Times New Roman" w:hAnsi="Times New Roman" w:eastAsia="宋体" w:cs="Times New Roman"/>
                <w:color w:val="auto"/>
                <w:sz w:val="24"/>
                <w:highlight w:val="none"/>
                <w:u w:val="none" w:color="auto"/>
              </w:rPr>
              <w:t>项目北侧、西侧临近交通干线一侧一定距离内执行《工业企业厂界环境噪声排放标准》（GB12348-2008）4类标准、东侧和南侧执行3类标准</w:t>
            </w:r>
            <w:r>
              <w:rPr>
                <w:rFonts w:hint="default" w:ascii="Times New Roman" w:hAnsi="Times New Roman" w:eastAsia="宋体" w:cs="Times New Roman"/>
                <w:color w:val="auto"/>
                <w:sz w:val="24"/>
                <w:highlight w:val="none"/>
                <w:u w:val="none" w:color="auto"/>
                <w:lang w:eastAsia="zh-CN"/>
              </w:rPr>
              <w:t>；</w:t>
            </w:r>
            <w:r>
              <w:rPr>
                <w:rFonts w:hint="default" w:ascii="Times New Roman" w:hAnsi="Times New Roman" w:eastAsia="宋体" w:cs="Times New Roman"/>
                <w:bCs/>
                <w:color w:val="auto"/>
                <w:sz w:val="24"/>
                <w:u w:val="none" w:color="auto"/>
              </w:rPr>
              <w:t>临港高新产业园区营运期厂界</w:t>
            </w:r>
            <w:r>
              <w:rPr>
                <w:rFonts w:hint="default" w:ascii="Times New Roman" w:hAnsi="Times New Roman" w:eastAsia="宋体" w:cs="Times New Roman"/>
                <w:bCs/>
                <w:color w:val="auto"/>
                <w:sz w:val="24"/>
                <w:u w:val="none" w:color="auto"/>
                <w:lang w:val="en-US" w:eastAsia="zh-CN"/>
              </w:rPr>
              <w:t>四周</w:t>
            </w:r>
            <w:r>
              <w:rPr>
                <w:rFonts w:hint="default" w:ascii="Times New Roman" w:hAnsi="Times New Roman" w:eastAsia="宋体" w:cs="Times New Roman"/>
                <w:bCs/>
                <w:color w:val="auto"/>
                <w:sz w:val="24"/>
                <w:u w:val="none" w:color="auto"/>
              </w:rPr>
              <w:t>噪声</w:t>
            </w:r>
            <w:r>
              <w:rPr>
                <w:rFonts w:hint="default" w:ascii="Times New Roman" w:hAnsi="Times New Roman" w:eastAsia="宋体" w:cs="Times New Roman"/>
                <w:bCs/>
                <w:color w:val="auto"/>
                <w:sz w:val="24"/>
                <w:u w:val="none" w:color="auto"/>
                <w:lang w:val="en-US" w:eastAsia="zh-CN"/>
              </w:rPr>
              <w:t>均</w:t>
            </w:r>
            <w:r>
              <w:rPr>
                <w:rFonts w:hint="default" w:ascii="Times New Roman" w:hAnsi="Times New Roman" w:eastAsia="宋体" w:cs="Times New Roman"/>
                <w:bCs/>
                <w:color w:val="auto"/>
                <w:sz w:val="24"/>
                <w:u w:val="none" w:color="auto"/>
              </w:rPr>
              <w:t>执行《工业企业厂界环境噪声排放标准》（GB12348-2008）中的3类标准。</w:t>
            </w:r>
          </w:p>
          <w:p w14:paraId="3C1B8BC7">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b/>
                <w:color w:val="auto"/>
                <w:kern w:val="0"/>
                <w:sz w:val="21"/>
                <w:szCs w:val="21"/>
                <w:u w:val="none" w:color="auto"/>
                <w:lang w:val="en-US" w:eastAsia="zh-CN" w:bidi="ar-SA"/>
              </w:rPr>
            </w:pPr>
            <w:r>
              <w:rPr>
                <w:rFonts w:hint="default" w:ascii="Times New Roman" w:hAnsi="Times New Roman" w:eastAsia="宋体" w:cs="Times New Roman"/>
                <w:b/>
                <w:bCs/>
                <w:color w:val="auto"/>
                <w:sz w:val="21"/>
                <w:szCs w:val="21"/>
                <w:u w:val="none" w:color="auto"/>
              </w:rPr>
              <w:t>表3-</w:t>
            </w:r>
            <w:r>
              <w:rPr>
                <w:rFonts w:hint="default" w:ascii="Times New Roman" w:hAnsi="Times New Roman" w:eastAsia="宋体" w:cs="Times New Roman"/>
                <w:b/>
                <w:bCs/>
                <w:color w:val="auto"/>
                <w:sz w:val="21"/>
                <w:szCs w:val="21"/>
                <w:u w:val="none" w:color="auto"/>
                <w:lang w:val="en-US" w:eastAsia="zh-CN"/>
              </w:rPr>
              <w:t>13</w:t>
            </w:r>
            <w:r>
              <w:rPr>
                <w:rFonts w:hint="default" w:ascii="Times New Roman" w:hAnsi="Times New Roman" w:eastAsia="宋体" w:cs="Times New Roman"/>
                <w:b/>
                <w:bCs/>
                <w:color w:val="auto"/>
                <w:sz w:val="21"/>
                <w:szCs w:val="21"/>
                <w:u w:val="none" w:color="auto"/>
              </w:rPr>
              <w:t xml:space="preserve">  噪声排放标准限值表</w:t>
            </w:r>
            <w:r>
              <w:rPr>
                <w:rFonts w:hint="default" w:ascii="Times New Roman" w:hAnsi="Times New Roman" w:eastAsia="宋体" w:cs="Times New Roman"/>
                <w:b/>
                <w:bCs/>
                <w:color w:val="auto"/>
                <w:sz w:val="21"/>
                <w:szCs w:val="21"/>
                <w:u w:val="none" w:color="auto"/>
                <w:lang w:val="en-US" w:eastAsia="zh-CN"/>
              </w:rPr>
              <w:t xml:space="preserve">  </w:t>
            </w:r>
            <w:r>
              <w:rPr>
                <w:rFonts w:hint="default" w:ascii="Times New Roman" w:hAnsi="Times New Roman" w:eastAsia="宋体" w:cs="Times New Roman"/>
                <w:b/>
                <w:color w:val="auto"/>
                <w:kern w:val="0"/>
                <w:sz w:val="21"/>
                <w:szCs w:val="21"/>
                <w:u w:val="none" w:color="auto"/>
                <w:vertAlign w:val="baseline"/>
                <w:lang w:val="en-US" w:eastAsia="zh-CN" w:bidi="ar-SA"/>
              </w:rPr>
              <w:t>单位：dB(A)</w:t>
            </w:r>
          </w:p>
          <w:tbl>
            <w:tblPr>
              <w:tblStyle w:val="31"/>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013"/>
              <w:gridCol w:w="990"/>
              <w:gridCol w:w="988"/>
              <w:gridCol w:w="1173"/>
              <w:gridCol w:w="3780"/>
            </w:tblGrid>
            <w:tr w14:paraId="62AEECA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38" w:type="pct"/>
                  <w:vMerge w:val="restart"/>
                  <w:tcBorders>
                    <w:tl2br w:val="nil"/>
                    <w:tr2bl w:val="nil"/>
                  </w:tcBorders>
                  <w:vAlign w:val="center"/>
                </w:tcPr>
                <w:p w14:paraId="3227D302">
                  <w:pPr>
                    <w:adjustRightInd w:val="0"/>
                    <w:snapToGrid w:val="0"/>
                    <w:jc w:val="center"/>
                    <w:rPr>
                      <w:rFonts w:hint="default" w:ascii="Times New Roman" w:hAnsi="Times New Roman" w:eastAsia="宋体" w:cs="Times New Roman"/>
                      <w:b/>
                      <w:bCs/>
                      <w:color w:val="auto"/>
                      <w:szCs w:val="21"/>
                      <w:u w:val="none" w:color="auto"/>
                    </w:rPr>
                  </w:pPr>
                  <w:r>
                    <w:rPr>
                      <w:rFonts w:hint="default" w:ascii="Times New Roman" w:hAnsi="Times New Roman" w:eastAsia="宋体" w:cs="Times New Roman"/>
                      <w:b/>
                      <w:bCs/>
                      <w:color w:val="auto"/>
                      <w:szCs w:val="21"/>
                      <w:u w:val="none" w:color="auto"/>
                    </w:rPr>
                    <w:t>级别</w:t>
                  </w:r>
                </w:p>
              </w:tc>
              <w:tc>
                <w:tcPr>
                  <w:tcW w:w="1245" w:type="pct"/>
                  <w:gridSpan w:val="2"/>
                  <w:tcBorders>
                    <w:tl2br w:val="nil"/>
                    <w:tr2bl w:val="nil"/>
                  </w:tcBorders>
                  <w:vAlign w:val="center"/>
                </w:tcPr>
                <w:p w14:paraId="3CD6C998">
                  <w:pPr>
                    <w:adjustRightInd w:val="0"/>
                    <w:snapToGrid w:val="0"/>
                    <w:jc w:val="center"/>
                    <w:rPr>
                      <w:rFonts w:hint="default" w:ascii="Times New Roman" w:hAnsi="Times New Roman" w:eastAsia="宋体" w:cs="Times New Roman"/>
                      <w:b/>
                      <w:bCs/>
                      <w:color w:val="auto"/>
                      <w:szCs w:val="21"/>
                      <w:u w:val="none" w:color="auto"/>
                    </w:rPr>
                  </w:pPr>
                  <w:r>
                    <w:rPr>
                      <w:rFonts w:hint="default" w:ascii="Times New Roman" w:hAnsi="Times New Roman" w:eastAsia="宋体" w:cs="Times New Roman"/>
                      <w:b/>
                      <w:bCs/>
                      <w:color w:val="auto"/>
                      <w:szCs w:val="21"/>
                      <w:u w:val="none" w:color="auto"/>
                    </w:rPr>
                    <w:t>限值</w:t>
                  </w:r>
                </w:p>
              </w:tc>
              <w:tc>
                <w:tcPr>
                  <w:tcW w:w="738" w:type="pct"/>
                  <w:vMerge w:val="restart"/>
                  <w:tcBorders>
                    <w:tl2br w:val="nil"/>
                    <w:tr2bl w:val="nil"/>
                  </w:tcBorders>
                  <w:vAlign w:val="center"/>
                </w:tcPr>
                <w:p w14:paraId="1700AC34">
                  <w:pPr>
                    <w:adjustRightInd w:val="0"/>
                    <w:snapToGrid w:val="0"/>
                    <w:jc w:val="center"/>
                    <w:rPr>
                      <w:rFonts w:hint="default" w:ascii="Times New Roman" w:hAnsi="Times New Roman" w:eastAsia="宋体" w:cs="Times New Roman"/>
                      <w:b/>
                      <w:bCs/>
                      <w:color w:val="auto"/>
                      <w:szCs w:val="21"/>
                      <w:u w:val="none" w:color="auto"/>
                    </w:rPr>
                  </w:pPr>
                  <w:r>
                    <w:rPr>
                      <w:rFonts w:hint="default" w:ascii="Times New Roman" w:hAnsi="Times New Roman" w:eastAsia="宋体" w:cs="Times New Roman"/>
                      <w:b/>
                      <w:bCs/>
                      <w:color w:val="auto"/>
                      <w:szCs w:val="21"/>
                      <w:u w:val="none" w:color="auto"/>
                    </w:rPr>
                    <w:t>单位</w:t>
                  </w:r>
                </w:p>
              </w:tc>
              <w:tc>
                <w:tcPr>
                  <w:tcW w:w="2379" w:type="pct"/>
                  <w:vMerge w:val="restart"/>
                  <w:tcBorders>
                    <w:tl2br w:val="nil"/>
                    <w:tr2bl w:val="nil"/>
                  </w:tcBorders>
                  <w:vAlign w:val="center"/>
                </w:tcPr>
                <w:p w14:paraId="0FDB1485">
                  <w:pPr>
                    <w:adjustRightInd w:val="0"/>
                    <w:snapToGrid w:val="0"/>
                    <w:jc w:val="center"/>
                    <w:rPr>
                      <w:rFonts w:hint="default" w:ascii="Times New Roman" w:hAnsi="Times New Roman" w:eastAsia="宋体" w:cs="Times New Roman"/>
                      <w:b/>
                      <w:bCs/>
                      <w:color w:val="auto"/>
                      <w:szCs w:val="21"/>
                      <w:u w:val="none" w:color="auto"/>
                    </w:rPr>
                  </w:pPr>
                  <w:r>
                    <w:rPr>
                      <w:rFonts w:hint="default" w:ascii="Times New Roman" w:hAnsi="Times New Roman" w:eastAsia="宋体" w:cs="Times New Roman"/>
                      <w:b/>
                      <w:bCs/>
                      <w:color w:val="auto"/>
                      <w:szCs w:val="21"/>
                      <w:u w:val="none" w:color="auto"/>
                    </w:rPr>
                    <w:t>标准</w:t>
                  </w:r>
                </w:p>
              </w:tc>
            </w:tr>
            <w:tr w14:paraId="3D1B3CE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38" w:type="pct"/>
                  <w:vMerge w:val="continue"/>
                  <w:tcBorders>
                    <w:tl2br w:val="nil"/>
                    <w:tr2bl w:val="nil"/>
                  </w:tcBorders>
                  <w:vAlign w:val="center"/>
                </w:tcPr>
                <w:p w14:paraId="6BBAE285">
                  <w:pPr>
                    <w:adjustRightInd w:val="0"/>
                    <w:snapToGrid w:val="0"/>
                    <w:jc w:val="center"/>
                    <w:rPr>
                      <w:rFonts w:hint="default" w:ascii="Times New Roman" w:hAnsi="Times New Roman" w:eastAsia="宋体" w:cs="Times New Roman"/>
                      <w:b/>
                      <w:bCs/>
                      <w:color w:val="auto"/>
                      <w:szCs w:val="21"/>
                      <w:u w:val="none" w:color="auto"/>
                    </w:rPr>
                  </w:pPr>
                </w:p>
              </w:tc>
              <w:tc>
                <w:tcPr>
                  <w:tcW w:w="623" w:type="pct"/>
                  <w:tcBorders>
                    <w:tl2br w:val="nil"/>
                    <w:tr2bl w:val="nil"/>
                  </w:tcBorders>
                  <w:vAlign w:val="center"/>
                </w:tcPr>
                <w:p w14:paraId="7B90E633">
                  <w:pPr>
                    <w:adjustRightInd w:val="0"/>
                    <w:snapToGrid w:val="0"/>
                    <w:jc w:val="center"/>
                    <w:rPr>
                      <w:rFonts w:hint="default" w:ascii="Times New Roman" w:hAnsi="Times New Roman" w:eastAsia="宋体" w:cs="Times New Roman"/>
                      <w:b/>
                      <w:bCs/>
                      <w:color w:val="auto"/>
                      <w:szCs w:val="21"/>
                      <w:u w:val="none" w:color="auto"/>
                    </w:rPr>
                  </w:pPr>
                  <w:r>
                    <w:rPr>
                      <w:rFonts w:hint="default" w:ascii="Times New Roman" w:hAnsi="Times New Roman" w:eastAsia="宋体" w:cs="Times New Roman"/>
                      <w:b/>
                      <w:bCs/>
                      <w:color w:val="auto"/>
                      <w:szCs w:val="21"/>
                      <w:u w:val="none" w:color="auto"/>
                    </w:rPr>
                    <w:t>昼间</w:t>
                  </w:r>
                </w:p>
              </w:tc>
              <w:tc>
                <w:tcPr>
                  <w:tcW w:w="622" w:type="pct"/>
                  <w:tcBorders>
                    <w:tl2br w:val="nil"/>
                    <w:tr2bl w:val="nil"/>
                  </w:tcBorders>
                  <w:vAlign w:val="center"/>
                </w:tcPr>
                <w:p w14:paraId="00DC234C">
                  <w:pPr>
                    <w:adjustRightInd w:val="0"/>
                    <w:snapToGrid w:val="0"/>
                    <w:jc w:val="center"/>
                    <w:rPr>
                      <w:rFonts w:hint="default" w:ascii="Times New Roman" w:hAnsi="Times New Roman" w:eastAsia="宋体" w:cs="Times New Roman"/>
                      <w:b/>
                      <w:bCs/>
                      <w:color w:val="auto"/>
                      <w:szCs w:val="21"/>
                      <w:u w:val="none" w:color="auto"/>
                    </w:rPr>
                  </w:pPr>
                  <w:r>
                    <w:rPr>
                      <w:rFonts w:hint="default" w:ascii="Times New Roman" w:hAnsi="Times New Roman" w:eastAsia="宋体" w:cs="Times New Roman"/>
                      <w:b/>
                      <w:bCs/>
                      <w:color w:val="auto"/>
                      <w:szCs w:val="21"/>
                      <w:u w:val="none" w:color="auto"/>
                    </w:rPr>
                    <w:t>夜间</w:t>
                  </w:r>
                </w:p>
              </w:tc>
              <w:tc>
                <w:tcPr>
                  <w:tcW w:w="738" w:type="pct"/>
                  <w:vMerge w:val="continue"/>
                  <w:tcBorders>
                    <w:tl2br w:val="nil"/>
                    <w:tr2bl w:val="nil"/>
                  </w:tcBorders>
                  <w:vAlign w:val="center"/>
                </w:tcPr>
                <w:p w14:paraId="1842DC53">
                  <w:pPr>
                    <w:widowControl/>
                    <w:jc w:val="left"/>
                    <w:rPr>
                      <w:rFonts w:hint="default" w:ascii="Times New Roman" w:hAnsi="Times New Roman" w:eastAsia="宋体" w:cs="Times New Roman"/>
                      <w:b/>
                      <w:bCs/>
                      <w:color w:val="auto"/>
                      <w:szCs w:val="21"/>
                      <w:u w:val="none" w:color="auto"/>
                    </w:rPr>
                  </w:pPr>
                </w:p>
              </w:tc>
              <w:tc>
                <w:tcPr>
                  <w:tcW w:w="2379" w:type="pct"/>
                  <w:vMerge w:val="continue"/>
                  <w:tcBorders>
                    <w:tl2br w:val="nil"/>
                    <w:tr2bl w:val="nil"/>
                  </w:tcBorders>
                  <w:vAlign w:val="center"/>
                </w:tcPr>
                <w:p w14:paraId="580B1B18">
                  <w:pPr>
                    <w:widowControl/>
                    <w:jc w:val="left"/>
                    <w:rPr>
                      <w:rFonts w:hint="default" w:ascii="Times New Roman" w:hAnsi="Times New Roman" w:eastAsia="宋体" w:cs="Times New Roman"/>
                      <w:b/>
                      <w:bCs/>
                      <w:color w:val="auto"/>
                      <w:szCs w:val="21"/>
                      <w:u w:val="none" w:color="auto"/>
                    </w:rPr>
                  </w:pPr>
                </w:p>
              </w:tc>
            </w:tr>
            <w:tr w14:paraId="63ADD72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38" w:type="pct"/>
                  <w:tcBorders>
                    <w:tl2br w:val="nil"/>
                    <w:tr2bl w:val="nil"/>
                  </w:tcBorders>
                  <w:vAlign w:val="center"/>
                </w:tcPr>
                <w:p w14:paraId="58FB34BD">
                  <w:pPr>
                    <w:adjustRightInd w:val="0"/>
                    <w:snapToGrid w:val="0"/>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w:t>
                  </w:r>
                </w:p>
              </w:tc>
              <w:tc>
                <w:tcPr>
                  <w:tcW w:w="623" w:type="pct"/>
                  <w:tcBorders>
                    <w:tl2br w:val="nil"/>
                    <w:tr2bl w:val="nil"/>
                  </w:tcBorders>
                  <w:vAlign w:val="center"/>
                </w:tcPr>
                <w:p w14:paraId="38232EEC">
                  <w:pPr>
                    <w:adjustRightInd w:val="0"/>
                    <w:snapToGrid w:val="0"/>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70</w:t>
                  </w:r>
                </w:p>
              </w:tc>
              <w:tc>
                <w:tcPr>
                  <w:tcW w:w="622" w:type="pct"/>
                  <w:tcBorders>
                    <w:tl2br w:val="nil"/>
                    <w:tr2bl w:val="nil"/>
                  </w:tcBorders>
                  <w:vAlign w:val="center"/>
                </w:tcPr>
                <w:p w14:paraId="38CBDBAB">
                  <w:pPr>
                    <w:adjustRightInd w:val="0"/>
                    <w:snapToGrid w:val="0"/>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55</w:t>
                  </w:r>
                </w:p>
              </w:tc>
              <w:tc>
                <w:tcPr>
                  <w:tcW w:w="738" w:type="pct"/>
                  <w:tcBorders>
                    <w:tl2br w:val="nil"/>
                    <w:tr2bl w:val="nil"/>
                  </w:tcBorders>
                  <w:vAlign w:val="center"/>
                </w:tcPr>
                <w:p w14:paraId="7FB6F0FB">
                  <w:pPr>
                    <w:adjustRightInd w:val="0"/>
                    <w:snapToGrid w:val="0"/>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dB（A）</w:t>
                  </w:r>
                </w:p>
              </w:tc>
              <w:tc>
                <w:tcPr>
                  <w:tcW w:w="2379" w:type="pct"/>
                  <w:tcBorders>
                    <w:tl2br w:val="nil"/>
                    <w:tr2bl w:val="nil"/>
                  </w:tcBorders>
                  <w:vAlign w:val="center"/>
                </w:tcPr>
                <w:p w14:paraId="2847C06D">
                  <w:pPr>
                    <w:adjustRightInd w:val="0"/>
                    <w:snapToGrid w:val="0"/>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《建筑施工场界环境噪声排放标准》（GB12523-2011）表1标准</w:t>
                  </w:r>
                </w:p>
              </w:tc>
            </w:tr>
            <w:tr w14:paraId="1947382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38" w:type="pct"/>
                  <w:tcBorders>
                    <w:tl2br w:val="nil"/>
                    <w:tr2bl w:val="nil"/>
                  </w:tcBorders>
                  <w:vAlign w:val="center"/>
                </w:tcPr>
                <w:p w14:paraId="1F241743">
                  <w:pPr>
                    <w:adjustRightInd w:val="0"/>
                    <w:snapToGrid w:val="0"/>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3类</w:t>
                  </w:r>
                </w:p>
              </w:tc>
              <w:tc>
                <w:tcPr>
                  <w:tcW w:w="623" w:type="pct"/>
                  <w:tcBorders>
                    <w:tl2br w:val="nil"/>
                    <w:tr2bl w:val="nil"/>
                  </w:tcBorders>
                  <w:vAlign w:val="center"/>
                </w:tcPr>
                <w:p w14:paraId="469D373D">
                  <w:pPr>
                    <w:adjustRightInd w:val="0"/>
                    <w:snapToGrid w:val="0"/>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65</w:t>
                  </w:r>
                </w:p>
              </w:tc>
              <w:tc>
                <w:tcPr>
                  <w:tcW w:w="622" w:type="pct"/>
                  <w:tcBorders>
                    <w:tl2br w:val="nil"/>
                    <w:tr2bl w:val="nil"/>
                  </w:tcBorders>
                  <w:vAlign w:val="center"/>
                </w:tcPr>
                <w:p w14:paraId="185CE718">
                  <w:pPr>
                    <w:adjustRightInd w:val="0"/>
                    <w:snapToGrid w:val="0"/>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55</w:t>
                  </w:r>
                </w:p>
              </w:tc>
              <w:tc>
                <w:tcPr>
                  <w:tcW w:w="738" w:type="pct"/>
                  <w:tcBorders>
                    <w:tl2br w:val="nil"/>
                    <w:tr2bl w:val="nil"/>
                  </w:tcBorders>
                  <w:vAlign w:val="center"/>
                </w:tcPr>
                <w:p w14:paraId="3F1A4595">
                  <w:pPr>
                    <w:adjustRightInd w:val="0"/>
                    <w:snapToGrid w:val="0"/>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dB（A）</w:t>
                  </w:r>
                </w:p>
              </w:tc>
              <w:tc>
                <w:tcPr>
                  <w:tcW w:w="2379" w:type="pct"/>
                  <w:tcBorders>
                    <w:tl2br w:val="nil"/>
                    <w:tr2bl w:val="nil"/>
                  </w:tcBorders>
                  <w:vAlign w:val="center"/>
                </w:tcPr>
                <w:p w14:paraId="6DEC3201">
                  <w:pPr>
                    <w:adjustRightInd w:val="0"/>
                    <w:snapToGrid w:val="0"/>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《工业企业厂界环境噪声排放标准》（GB12348-2008）3类标准</w:t>
                  </w:r>
                </w:p>
              </w:tc>
            </w:tr>
            <w:tr w14:paraId="08D5995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38" w:type="pct"/>
                  <w:tcBorders>
                    <w:tl2br w:val="nil"/>
                    <w:tr2bl w:val="nil"/>
                  </w:tcBorders>
                  <w:vAlign w:val="center"/>
                </w:tcPr>
                <w:p w14:paraId="75FC0CDB">
                  <w:pPr>
                    <w:adjustRightInd w:val="0"/>
                    <w:snapToGrid w:val="0"/>
                    <w:jc w:val="center"/>
                    <w:rPr>
                      <w:rFonts w:hint="default" w:ascii="Times New Roman" w:hAnsi="Times New Roman" w:eastAsia="宋体" w:cs="Times New Roman"/>
                      <w:color w:val="auto"/>
                      <w:szCs w:val="21"/>
                      <w:u w:val="none" w:color="auto"/>
                      <w:lang w:val="en-US" w:eastAsia="zh-CN"/>
                    </w:rPr>
                  </w:pPr>
                  <w:r>
                    <w:rPr>
                      <w:rFonts w:hint="default" w:ascii="Times New Roman" w:hAnsi="Times New Roman" w:eastAsia="宋体" w:cs="Times New Roman"/>
                      <w:color w:val="auto"/>
                      <w:szCs w:val="21"/>
                      <w:u w:val="none" w:color="auto"/>
                      <w:lang w:val="en-US" w:eastAsia="zh-CN"/>
                    </w:rPr>
                    <w:t>4类</w:t>
                  </w:r>
                </w:p>
              </w:tc>
              <w:tc>
                <w:tcPr>
                  <w:tcW w:w="990" w:type="dxa"/>
                  <w:tcBorders>
                    <w:tl2br w:val="nil"/>
                    <w:tr2bl w:val="nil"/>
                  </w:tcBorders>
                  <w:vAlign w:val="center"/>
                </w:tcPr>
                <w:p w14:paraId="4A21629E">
                  <w:pPr>
                    <w:widowControl/>
                    <w:topLinePunct w:val="0"/>
                    <w:bidi w:val="0"/>
                    <w:adjustRightInd/>
                    <w:snapToGrid/>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kern w:val="0"/>
                      <w:szCs w:val="21"/>
                      <w:highlight w:val="none"/>
                      <w:u w:val="none" w:color="auto"/>
                    </w:rPr>
                    <w:t>70</w:t>
                  </w:r>
                </w:p>
              </w:tc>
              <w:tc>
                <w:tcPr>
                  <w:tcW w:w="988" w:type="dxa"/>
                  <w:tcBorders>
                    <w:tl2br w:val="nil"/>
                    <w:tr2bl w:val="nil"/>
                  </w:tcBorders>
                  <w:vAlign w:val="center"/>
                </w:tcPr>
                <w:p w14:paraId="46554717">
                  <w:pPr>
                    <w:widowControl/>
                    <w:topLinePunct w:val="0"/>
                    <w:bidi w:val="0"/>
                    <w:adjustRightInd/>
                    <w:snapToGrid/>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kern w:val="0"/>
                      <w:szCs w:val="21"/>
                      <w:highlight w:val="none"/>
                      <w:u w:val="none" w:color="auto"/>
                    </w:rPr>
                    <w:t>55</w:t>
                  </w:r>
                </w:p>
              </w:tc>
              <w:tc>
                <w:tcPr>
                  <w:tcW w:w="738" w:type="pct"/>
                  <w:tcBorders>
                    <w:tl2br w:val="nil"/>
                    <w:tr2bl w:val="nil"/>
                  </w:tcBorders>
                  <w:vAlign w:val="center"/>
                </w:tcPr>
                <w:p w14:paraId="3B496FC6">
                  <w:pPr>
                    <w:adjustRightInd w:val="0"/>
                    <w:snapToGrid w:val="0"/>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dB（A）</w:t>
                  </w:r>
                </w:p>
              </w:tc>
              <w:tc>
                <w:tcPr>
                  <w:tcW w:w="2379" w:type="pct"/>
                  <w:tcBorders>
                    <w:tl2br w:val="nil"/>
                    <w:tr2bl w:val="nil"/>
                  </w:tcBorders>
                  <w:vAlign w:val="center"/>
                </w:tcPr>
                <w:p w14:paraId="79A789E6">
                  <w:pPr>
                    <w:adjustRightInd w:val="0"/>
                    <w:snapToGrid w:val="0"/>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《工业企业厂界环境噪声排放标准》（GB12348-2008）</w:t>
                  </w:r>
                  <w:r>
                    <w:rPr>
                      <w:rFonts w:hint="default" w:ascii="Times New Roman" w:hAnsi="Times New Roman" w:eastAsia="宋体" w:cs="Times New Roman"/>
                      <w:color w:val="auto"/>
                      <w:szCs w:val="21"/>
                      <w:u w:val="none" w:color="auto"/>
                      <w:lang w:val="en-US" w:eastAsia="zh-CN"/>
                    </w:rPr>
                    <w:t>4</w:t>
                  </w:r>
                  <w:r>
                    <w:rPr>
                      <w:rFonts w:hint="default" w:ascii="Times New Roman" w:hAnsi="Times New Roman" w:eastAsia="宋体" w:cs="Times New Roman"/>
                      <w:color w:val="auto"/>
                      <w:szCs w:val="21"/>
                      <w:u w:val="none" w:color="auto"/>
                    </w:rPr>
                    <w:t>类标准</w:t>
                  </w:r>
                </w:p>
              </w:tc>
            </w:tr>
          </w:tbl>
          <w:p w14:paraId="7E89CC5B">
            <w:pPr>
              <w:autoSpaceDE w:val="0"/>
              <w:autoSpaceDN w:val="0"/>
              <w:spacing w:line="360" w:lineRule="auto"/>
              <w:contextualSpacing/>
              <w:rPr>
                <w:rFonts w:hint="default" w:ascii="Times New Roman" w:hAnsi="Times New Roman" w:eastAsia="宋体" w:cs="Times New Roman"/>
                <w:bCs/>
                <w:color w:val="auto"/>
                <w:szCs w:val="21"/>
                <w:u w:val="none" w:color="auto"/>
              </w:rPr>
            </w:pPr>
            <w:r>
              <w:rPr>
                <w:rFonts w:hint="default" w:ascii="Times New Roman" w:hAnsi="Times New Roman" w:eastAsia="宋体" w:cs="Times New Roman"/>
                <w:b/>
                <w:color w:val="auto"/>
                <w:spacing w:val="-10"/>
                <w:sz w:val="24"/>
                <w:u w:val="none" w:color="auto"/>
              </w:rPr>
              <w:t>四、固体废物标准</w:t>
            </w:r>
          </w:p>
          <w:p w14:paraId="2C8BB532">
            <w:pPr>
              <w:autoSpaceDE w:val="0"/>
              <w:autoSpaceDN w:val="0"/>
              <w:spacing w:line="360" w:lineRule="auto"/>
              <w:ind w:firstLine="480" w:firstLineChars="200"/>
              <w:contextualSpacing/>
              <w:rPr>
                <w:rFonts w:hint="default" w:ascii="Times New Roman" w:hAnsi="Times New Roman" w:eastAsia="宋体" w:cs="Times New Roman"/>
                <w:color w:val="auto"/>
                <w:kern w:val="0"/>
                <w:szCs w:val="21"/>
                <w:u w:val="none" w:color="auto"/>
              </w:rPr>
            </w:pPr>
            <w:r>
              <w:rPr>
                <w:rFonts w:hint="default" w:ascii="Times New Roman" w:hAnsi="Times New Roman" w:eastAsia="宋体" w:cs="Times New Roman"/>
                <w:bCs/>
                <w:color w:val="auto"/>
                <w:sz w:val="24"/>
                <w:u w:val="none" w:color="auto"/>
                <w:lang w:val="en-US" w:eastAsia="zh-CN"/>
              </w:rPr>
              <w:t>中创空天厂区、</w:t>
            </w:r>
            <w:r>
              <w:rPr>
                <w:rFonts w:hint="default" w:ascii="Times New Roman" w:hAnsi="Times New Roman" w:eastAsia="宋体" w:cs="Times New Roman"/>
                <w:bCs/>
                <w:color w:val="auto"/>
                <w:sz w:val="24"/>
                <w:u w:val="none" w:color="auto"/>
              </w:rPr>
              <w:t>临港高新产业园区</w:t>
            </w:r>
            <w:r>
              <w:rPr>
                <w:rFonts w:hint="default" w:ascii="Times New Roman" w:hAnsi="Times New Roman" w:eastAsia="宋体" w:cs="Times New Roman"/>
                <w:bCs/>
                <w:color w:val="auto"/>
                <w:sz w:val="24"/>
                <w:u w:val="none" w:color="auto"/>
                <w:lang w:eastAsia="zh-CN"/>
              </w:rPr>
              <w:t>：</w:t>
            </w:r>
            <w:r>
              <w:rPr>
                <w:rFonts w:hint="default" w:ascii="Times New Roman" w:hAnsi="Times New Roman" w:eastAsia="宋体" w:cs="Times New Roman"/>
                <w:bCs/>
                <w:color w:val="auto"/>
                <w:sz w:val="24"/>
                <w:u w:val="none" w:color="auto"/>
              </w:rPr>
              <w:t>一般固体废物贮存执行《一般工业固体废物贮存和填埋污染控制标准》（GB18599-2020）中有关要求；危险废物贮存执行</w:t>
            </w:r>
            <w:r>
              <w:rPr>
                <w:rFonts w:hint="default" w:ascii="Times New Roman" w:hAnsi="Times New Roman" w:eastAsia="宋体" w:cs="Times New Roman"/>
                <w:bCs/>
                <w:color w:val="auto"/>
                <w:sz w:val="24"/>
                <w:u w:val="none" w:color="auto"/>
                <w:lang w:eastAsia="zh-CN"/>
              </w:rPr>
              <w:t>《危险废物贮存污染控制标准》（GB18597-2023）</w:t>
            </w:r>
            <w:r>
              <w:rPr>
                <w:rFonts w:hint="default" w:ascii="Times New Roman" w:hAnsi="Times New Roman" w:eastAsia="宋体" w:cs="Times New Roman"/>
                <w:bCs/>
                <w:color w:val="auto"/>
                <w:sz w:val="24"/>
                <w:u w:val="none" w:color="auto"/>
              </w:rPr>
              <w:t>中有关要求；生活垃圾在厂区内分类收集后，定期交由当地环卫部门清运。</w:t>
            </w:r>
          </w:p>
        </w:tc>
      </w:tr>
      <w:tr w14:paraId="6EEEE41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800" w:type="dxa"/>
            <w:noWrap w:val="0"/>
            <w:vAlign w:val="center"/>
          </w:tcPr>
          <w:p w14:paraId="54C4A07F">
            <w:pPr>
              <w:adjustRightInd w:val="0"/>
              <w:snapToGrid w:val="0"/>
              <w:jc w:val="center"/>
              <w:rPr>
                <w:rFonts w:hint="default" w:ascii="Times New Roman" w:hAnsi="Times New Roman" w:eastAsia="宋体" w:cs="Times New Roman"/>
                <w:color w:val="auto"/>
                <w:kern w:val="0"/>
                <w:szCs w:val="21"/>
                <w:highlight w:val="none"/>
                <w:u w:val="none" w:color="auto"/>
              </w:rPr>
            </w:pPr>
            <w:r>
              <w:rPr>
                <w:rFonts w:hint="default" w:ascii="Times New Roman" w:hAnsi="Times New Roman" w:eastAsia="宋体" w:cs="Times New Roman"/>
                <w:color w:val="auto"/>
                <w:kern w:val="0"/>
                <w:szCs w:val="21"/>
                <w:highlight w:val="none"/>
                <w:u w:val="none" w:color="auto"/>
              </w:rPr>
              <w:t>总量</w:t>
            </w:r>
          </w:p>
          <w:p w14:paraId="6AB0430E">
            <w:pPr>
              <w:adjustRightInd w:val="0"/>
              <w:snapToGrid w:val="0"/>
              <w:jc w:val="center"/>
              <w:rPr>
                <w:rFonts w:hint="default" w:ascii="Times New Roman" w:hAnsi="Times New Roman" w:eastAsia="宋体" w:cs="Times New Roman"/>
                <w:color w:val="auto"/>
                <w:kern w:val="0"/>
                <w:szCs w:val="21"/>
                <w:highlight w:val="none"/>
                <w:u w:val="none" w:color="auto"/>
              </w:rPr>
            </w:pPr>
            <w:r>
              <w:rPr>
                <w:rFonts w:hint="default" w:ascii="Times New Roman" w:hAnsi="Times New Roman" w:eastAsia="宋体" w:cs="Times New Roman"/>
                <w:color w:val="auto"/>
                <w:kern w:val="0"/>
                <w:szCs w:val="21"/>
                <w:highlight w:val="none"/>
                <w:u w:val="none" w:color="auto"/>
              </w:rPr>
              <w:t>控制</w:t>
            </w:r>
          </w:p>
          <w:p w14:paraId="5554DF2B">
            <w:pPr>
              <w:adjustRightInd w:val="0"/>
              <w:snapToGrid w:val="0"/>
              <w:jc w:val="center"/>
              <w:rPr>
                <w:rFonts w:hint="default" w:ascii="Times New Roman" w:hAnsi="Times New Roman" w:eastAsia="宋体" w:cs="Times New Roman"/>
                <w:color w:val="auto"/>
                <w:kern w:val="0"/>
                <w:szCs w:val="21"/>
                <w:highlight w:val="none"/>
                <w:u w:val="none" w:color="auto"/>
              </w:rPr>
            </w:pPr>
            <w:r>
              <w:rPr>
                <w:rFonts w:hint="default" w:ascii="Times New Roman" w:hAnsi="Times New Roman" w:eastAsia="宋体" w:cs="Times New Roman"/>
                <w:color w:val="auto"/>
                <w:kern w:val="0"/>
                <w:szCs w:val="21"/>
                <w:highlight w:val="none"/>
                <w:u w:val="none" w:color="auto"/>
              </w:rPr>
              <w:t>指标</w:t>
            </w:r>
          </w:p>
        </w:tc>
        <w:tc>
          <w:tcPr>
            <w:tcW w:w="8190" w:type="dxa"/>
            <w:noWrap w:val="0"/>
            <w:vAlign w:val="center"/>
          </w:tcPr>
          <w:p w14:paraId="7A97BE39">
            <w:pPr>
              <w:spacing w:line="360" w:lineRule="auto"/>
              <w:ind w:firstLine="482" w:firstLineChars="200"/>
              <w:rPr>
                <w:rFonts w:hint="default" w:ascii="Times New Roman" w:hAnsi="Times New Roman" w:eastAsia="宋体" w:cs="Times New Roman"/>
                <w:b/>
                <w:bCs/>
                <w:color w:val="auto"/>
                <w:kern w:val="0"/>
                <w:sz w:val="24"/>
                <w:highlight w:val="none"/>
                <w:u w:val="none" w:color="auto"/>
              </w:rPr>
            </w:pPr>
            <w:r>
              <w:rPr>
                <w:rFonts w:hint="default" w:ascii="Times New Roman" w:hAnsi="Times New Roman" w:eastAsia="宋体" w:cs="Times New Roman"/>
                <w:b/>
                <w:bCs/>
                <w:color w:val="auto"/>
                <w:kern w:val="0"/>
                <w:sz w:val="24"/>
                <w:highlight w:val="none"/>
                <w:u w:val="none" w:color="auto"/>
              </w:rPr>
              <w:t>1、废水总量控制指标</w:t>
            </w:r>
          </w:p>
          <w:p w14:paraId="5F123CEB">
            <w:pPr>
              <w:spacing w:line="360" w:lineRule="auto"/>
              <w:ind w:firstLine="480" w:firstLineChars="200"/>
              <w:rPr>
                <w:rFonts w:hint="default" w:ascii="Times New Roman" w:hAnsi="Times New Roman" w:eastAsia="宋体" w:cs="Times New Roman"/>
                <w:color w:val="auto"/>
                <w:spacing w:val="-5"/>
                <w:sz w:val="24"/>
                <w:highlight w:val="none"/>
                <w:u w:val="none" w:color="auto"/>
                <w:lang w:val="en-US" w:eastAsia="zh-CN"/>
              </w:rPr>
            </w:pPr>
            <w:r>
              <w:rPr>
                <w:rFonts w:hint="default" w:ascii="Times New Roman" w:hAnsi="Times New Roman" w:eastAsia="宋体" w:cs="Times New Roman"/>
                <w:color w:val="auto"/>
                <w:sz w:val="24"/>
                <w:szCs w:val="32"/>
                <w:highlight w:val="none"/>
                <w:u w:val="none" w:color="auto"/>
              </w:rPr>
              <w:t>本项目废水进入湖南城陵矶临港产业新区污水处理厂处理达到《城镇污水处理厂污染物排放标准》（GB18918-2002）中一级A标准后经象骨港汇入长江</w:t>
            </w:r>
            <w:r>
              <w:rPr>
                <w:rFonts w:hint="default" w:ascii="Times New Roman" w:hAnsi="Times New Roman" w:eastAsia="宋体" w:cs="Times New Roman"/>
                <w:color w:val="auto"/>
                <w:sz w:val="24"/>
                <w:szCs w:val="32"/>
                <w:highlight w:val="none"/>
                <w:u w:val="none" w:color="auto"/>
                <w:lang w:eastAsia="zh-CN"/>
              </w:rPr>
              <w:t>。</w:t>
            </w:r>
            <w:r>
              <w:rPr>
                <w:rFonts w:hint="default" w:ascii="Times New Roman" w:hAnsi="Times New Roman" w:eastAsia="宋体" w:cs="Times New Roman"/>
                <w:color w:val="auto"/>
                <w:sz w:val="24"/>
                <w:szCs w:val="32"/>
                <w:highlight w:val="none"/>
                <w:u w:val="none" w:color="auto"/>
                <w:lang w:val="en-US" w:eastAsia="zh-CN"/>
              </w:rPr>
              <w:t>项目中创空天厂区新增废水排放量为</w:t>
            </w:r>
            <w:r>
              <w:rPr>
                <w:rFonts w:hint="default" w:ascii="Times New Roman" w:hAnsi="Times New Roman" w:eastAsia="宋体" w:cs="Times New Roman"/>
                <w:color w:val="auto"/>
                <w:sz w:val="24"/>
                <w:szCs w:val="32"/>
                <w:highlight w:val="none"/>
                <w:u w:val="none" w:color="auto"/>
              </w:rPr>
              <w:t>2749.6</w:t>
            </w:r>
            <w:r>
              <w:rPr>
                <w:rFonts w:hint="default" w:ascii="Times New Roman" w:hAnsi="Times New Roman" w:eastAsia="宋体" w:cs="Times New Roman"/>
                <w:color w:val="auto"/>
                <w:sz w:val="24"/>
                <w:szCs w:val="32"/>
                <w:highlight w:val="none"/>
                <w:u w:val="none" w:color="auto"/>
                <w:lang w:val="en-US" w:eastAsia="zh-CN"/>
              </w:rPr>
              <w:t>t/a</w:t>
            </w:r>
            <w:r>
              <w:rPr>
                <w:rFonts w:hint="default" w:ascii="Times New Roman" w:hAnsi="Times New Roman" w:eastAsia="宋体" w:cs="Times New Roman"/>
                <w:color w:val="auto"/>
                <w:sz w:val="24"/>
                <w:szCs w:val="32"/>
                <w:highlight w:val="none"/>
                <w:u w:val="none" w:color="auto"/>
                <w:lang w:eastAsia="zh-CN"/>
              </w:rPr>
              <w:t>，</w:t>
            </w:r>
            <w:r>
              <w:rPr>
                <w:rFonts w:hint="default" w:ascii="Times New Roman" w:hAnsi="Times New Roman" w:eastAsia="宋体" w:cs="Times New Roman"/>
                <w:color w:val="auto"/>
                <w:sz w:val="24"/>
                <w:szCs w:val="32"/>
                <w:highlight w:val="none"/>
                <w:u w:val="none" w:color="auto"/>
              </w:rPr>
              <w:t>临港高新产业园区</w:t>
            </w:r>
            <w:r>
              <w:rPr>
                <w:rFonts w:hint="default" w:ascii="Times New Roman" w:hAnsi="Times New Roman" w:eastAsia="宋体" w:cs="Times New Roman"/>
                <w:color w:val="auto"/>
                <w:sz w:val="24"/>
                <w:szCs w:val="32"/>
                <w:highlight w:val="none"/>
                <w:u w:val="none" w:color="auto"/>
                <w:lang w:val="en-US" w:eastAsia="zh-CN"/>
              </w:rPr>
              <w:t>废水排放量为7854t/a，</w:t>
            </w:r>
            <w:r>
              <w:rPr>
                <w:rFonts w:hint="default" w:ascii="Times New Roman" w:hAnsi="Times New Roman" w:eastAsia="宋体" w:cs="Times New Roman"/>
                <w:color w:val="auto"/>
                <w:sz w:val="24"/>
                <w:szCs w:val="32"/>
                <w:highlight w:val="none"/>
                <w:u w:val="none" w:color="auto"/>
              </w:rPr>
              <w:t>最终</w:t>
            </w:r>
            <w:r>
              <w:rPr>
                <w:rFonts w:hint="default" w:ascii="Times New Roman" w:hAnsi="Times New Roman" w:eastAsia="宋体" w:cs="Times New Roman"/>
                <w:color w:val="auto"/>
                <w:sz w:val="24"/>
                <w:szCs w:val="32"/>
                <w:highlight w:val="none"/>
                <w:u w:val="none" w:color="auto"/>
                <w:lang w:val="en-US" w:eastAsia="zh-CN"/>
              </w:rPr>
              <w:t>新增</w:t>
            </w:r>
            <w:r>
              <w:rPr>
                <w:rFonts w:hint="default" w:ascii="Times New Roman" w:hAnsi="Times New Roman" w:eastAsia="宋体" w:cs="Times New Roman"/>
                <w:color w:val="auto"/>
                <w:sz w:val="24"/>
                <w:szCs w:val="32"/>
                <w:highlight w:val="none"/>
                <w:u w:val="none" w:color="auto"/>
              </w:rPr>
              <w:t>排放COD、氨氮约为</w:t>
            </w:r>
            <w:r>
              <w:rPr>
                <w:rFonts w:hint="default" w:ascii="Times New Roman" w:hAnsi="Times New Roman" w:eastAsia="宋体" w:cs="Times New Roman"/>
                <w:color w:val="auto"/>
                <w:sz w:val="24"/>
                <w:szCs w:val="32"/>
                <w:highlight w:val="none"/>
                <w:u w:val="none" w:color="auto"/>
                <w:lang w:val="en-US" w:eastAsia="zh-CN"/>
              </w:rPr>
              <w:t>0.3927</w:t>
            </w:r>
            <w:r>
              <w:rPr>
                <w:rFonts w:hint="default" w:ascii="Times New Roman" w:hAnsi="Times New Roman" w:eastAsia="宋体" w:cs="Times New Roman"/>
                <w:color w:val="auto"/>
                <w:sz w:val="24"/>
                <w:szCs w:val="32"/>
                <w:highlight w:val="none"/>
                <w:u w:val="none" w:color="auto"/>
              </w:rPr>
              <w:t>t/a、</w:t>
            </w:r>
            <w:r>
              <w:rPr>
                <w:rFonts w:hint="default" w:ascii="Times New Roman" w:hAnsi="Times New Roman" w:eastAsia="宋体" w:cs="Times New Roman"/>
                <w:color w:val="auto"/>
                <w:sz w:val="24"/>
                <w:szCs w:val="32"/>
                <w:highlight w:val="none"/>
                <w:u w:val="none" w:color="auto"/>
                <w:lang w:val="en-US" w:eastAsia="zh-CN"/>
              </w:rPr>
              <w:t>0.0393</w:t>
            </w:r>
            <w:r>
              <w:rPr>
                <w:rFonts w:hint="default" w:ascii="Times New Roman" w:hAnsi="Times New Roman" w:eastAsia="宋体" w:cs="Times New Roman"/>
                <w:color w:val="auto"/>
                <w:sz w:val="24"/>
                <w:szCs w:val="32"/>
                <w:highlight w:val="none"/>
                <w:u w:val="none" w:color="auto"/>
              </w:rPr>
              <w:t>t/a</w:t>
            </w:r>
            <w:r>
              <w:rPr>
                <w:rFonts w:hint="default" w:ascii="Times New Roman" w:hAnsi="Times New Roman" w:eastAsia="宋体" w:cs="Times New Roman"/>
                <w:color w:val="auto"/>
                <w:sz w:val="24"/>
                <w:szCs w:val="32"/>
                <w:highlight w:val="none"/>
                <w:u w:val="none" w:color="auto"/>
                <w:lang w:eastAsia="zh-CN"/>
              </w:rPr>
              <w:t>。</w:t>
            </w:r>
            <w:r>
              <w:rPr>
                <w:rFonts w:hint="default" w:ascii="Times New Roman" w:hAnsi="Times New Roman" w:eastAsia="宋体" w:cs="Times New Roman"/>
                <w:color w:val="auto"/>
                <w:kern w:val="0"/>
                <w:sz w:val="24"/>
                <w:highlight w:val="none"/>
                <w:u w:val="none" w:color="auto"/>
                <w:lang w:val="en-US" w:eastAsia="zh-CN"/>
              </w:rPr>
              <w:t>由于不涉及对现有污染源的“以新带老”削减措施，故</w:t>
            </w:r>
            <w:r>
              <w:rPr>
                <w:rFonts w:hint="default" w:ascii="Times New Roman" w:hAnsi="Times New Roman" w:eastAsia="宋体" w:cs="Times New Roman"/>
                <w:color w:val="auto"/>
                <w:sz w:val="24"/>
                <w:szCs w:val="32"/>
                <w:highlight w:val="none"/>
                <w:u w:val="none" w:color="auto"/>
              </w:rPr>
              <w:t>本次评价</w:t>
            </w:r>
            <w:r>
              <w:rPr>
                <w:rFonts w:hint="default" w:ascii="Times New Roman" w:hAnsi="Times New Roman" w:eastAsia="宋体" w:cs="Times New Roman"/>
                <w:color w:val="auto"/>
                <w:sz w:val="24"/>
                <w:szCs w:val="32"/>
                <w:highlight w:val="none"/>
                <w:u w:val="none" w:color="auto"/>
                <w:lang w:val="en-US" w:eastAsia="zh-CN"/>
              </w:rPr>
              <w:t>需新</w:t>
            </w:r>
            <w:r>
              <w:rPr>
                <w:rFonts w:hint="default" w:ascii="Times New Roman" w:hAnsi="Times New Roman" w:eastAsia="宋体" w:cs="Times New Roman"/>
                <w:color w:val="auto"/>
                <w:sz w:val="24"/>
                <w:szCs w:val="32"/>
                <w:highlight w:val="none"/>
                <w:u w:val="none" w:color="auto"/>
              </w:rPr>
              <w:t>购买COD、氨氮总量指标为</w:t>
            </w:r>
            <w:r>
              <w:rPr>
                <w:rFonts w:hint="default" w:ascii="Times New Roman" w:hAnsi="Times New Roman" w:eastAsia="宋体" w:cs="Times New Roman"/>
                <w:color w:val="auto"/>
                <w:sz w:val="24"/>
                <w:szCs w:val="32"/>
                <w:highlight w:val="none"/>
                <w:u w:val="none" w:color="auto"/>
                <w:lang w:val="en-US" w:eastAsia="zh-CN"/>
              </w:rPr>
              <w:t>0.4</w:t>
            </w:r>
            <w:r>
              <w:rPr>
                <w:rFonts w:hint="default" w:ascii="Times New Roman" w:hAnsi="Times New Roman" w:eastAsia="宋体" w:cs="Times New Roman"/>
                <w:color w:val="auto"/>
                <w:sz w:val="24"/>
                <w:szCs w:val="32"/>
                <w:highlight w:val="none"/>
                <w:u w:val="none" w:color="auto"/>
              </w:rPr>
              <w:t>t/a、</w:t>
            </w:r>
            <w:r>
              <w:rPr>
                <w:rFonts w:hint="default" w:ascii="Times New Roman" w:hAnsi="Times New Roman" w:eastAsia="宋体" w:cs="Times New Roman"/>
                <w:color w:val="auto"/>
                <w:sz w:val="24"/>
                <w:szCs w:val="32"/>
                <w:highlight w:val="none"/>
                <w:u w:val="none" w:color="auto"/>
                <w:lang w:val="en-US" w:eastAsia="zh-CN"/>
              </w:rPr>
              <w:t>0.1</w:t>
            </w:r>
            <w:r>
              <w:rPr>
                <w:rFonts w:hint="default" w:ascii="Times New Roman" w:hAnsi="Times New Roman" w:eastAsia="宋体" w:cs="Times New Roman"/>
                <w:color w:val="auto"/>
                <w:sz w:val="24"/>
                <w:szCs w:val="32"/>
                <w:highlight w:val="none"/>
                <w:u w:val="none" w:color="auto"/>
              </w:rPr>
              <w:t>t/a。</w:t>
            </w:r>
          </w:p>
          <w:p w14:paraId="3F250F24">
            <w:pPr>
              <w:spacing w:line="360" w:lineRule="auto"/>
              <w:ind w:firstLine="482" w:firstLineChars="200"/>
              <w:rPr>
                <w:rFonts w:hint="default" w:ascii="Times New Roman" w:hAnsi="Times New Roman" w:eastAsia="宋体" w:cs="Times New Roman"/>
                <w:b/>
                <w:bCs/>
                <w:color w:val="auto"/>
                <w:kern w:val="0"/>
                <w:sz w:val="24"/>
                <w:highlight w:val="none"/>
                <w:u w:val="none" w:color="auto"/>
              </w:rPr>
            </w:pPr>
            <w:r>
              <w:rPr>
                <w:rFonts w:hint="default" w:ascii="Times New Roman" w:hAnsi="Times New Roman" w:eastAsia="宋体" w:cs="Times New Roman"/>
                <w:b/>
                <w:bCs/>
                <w:color w:val="auto"/>
                <w:kern w:val="0"/>
                <w:sz w:val="24"/>
                <w:highlight w:val="none"/>
                <w:u w:val="none" w:color="auto"/>
              </w:rPr>
              <w:t>2、废气总量控制指标</w:t>
            </w:r>
          </w:p>
          <w:p w14:paraId="43268FBF">
            <w:pPr>
              <w:spacing w:line="360" w:lineRule="auto"/>
              <w:ind w:firstLine="480" w:firstLineChars="200"/>
              <w:rPr>
                <w:rFonts w:hint="default" w:ascii="Times New Roman" w:hAnsi="Times New Roman" w:eastAsia="宋体" w:cs="Times New Roman"/>
                <w:color w:val="auto"/>
                <w:kern w:val="0"/>
                <w:szCs w:val="21"/>
                <w:highlight w:val="none"/>
                <w:u w:val="none" w:color="auto"/>
              </w:rPr>
            </w:pPr>
            <w:r>
              <w:rPr>
                <w:rFonts w:hint="default" w:ascii="Times New Roman" w:hAnsi="Times New Roman" w:eastAsia="宋体" w:cs="Times New Roman"/>
                <w:color w:val="auto"/>
                <w:kern w:val="0"/>
                <w:sz w:val="24"/>
                <w:highlight w:val="none"/>
                <w:u w:val="none" w:color="auto"/>
                <w:lang w:val="en-US" w:eastAsia="zh-CN"/>
              </w:rPr>
              <w:t>本项目建成运营后新增</w:t>
            </w:r>
            <w:r>
              <w:rPr>
                <w:rFonts w:hint="default" w:ascii="Times New Roman" w:hAnsi="Times New Roman" w:eastAsia="宋体" w:cs="Times New Roman"/>
                <w:color w:val="auto"/>
                <w:kern w:val="0"/>
                <w:sz w:val="24"/>
                <w:highlight w:val="none"/>
                <w:u w:val="none" w:color="auto"/>
              </w:rPr>
              <w:t>二氧化硫、氮氧化物</w:t>
            </w:r>
            <w:r>
              <w:rPr>
                <w:rFonts w:hint="default" w:ascii="Times New Roman" w:hAnsi="Times New Roman" w:eastAsia="宋体" w:cs="Times New Roman"/>
                <w:color w:val="auto"/>
                <w:kern w:val="0"/>
                <w:sz w:val="24"/>
                <w:highlight w:val="none"/>
                <w:u w:val="none" w:color="auto"/>
                <w:lang w:eastAsia="zh-CN"/>
              </w:rPr>
              <w:t>、</w:t>
            </w:r>
            <w:r>
              <w:rPr>
                <w:rFonts w:hint="default" w:ascii="Times New Roman" w:hAnsi="Times New Roman" w:eastAsia="宋体" w:cs="Times New Roman"/>
                <w:color w:val="auto"/>
                <w:kern w:val="0"/>
                <w:sz w:val="24"/>
                <w:highlight w:val="none"/>
                <w:u w:val="none" w:color="auto"/>
              </w:rPr>
              <w:t>颗粒物排放</w:t>
            </w:r>
            <w:r>
              <w:rPr>
                <w:rFonts w:hint="default" w:ascii="Times New Roman" w:hAnsi="Times New Roman" w:eastAsia="宋体" w:cs="Times New Roman"/>
                <w:color w:val="auto"/>
                <w:kern w:val="0"/>
                <w:sz w:val="24"/>
                <w:highlight w:val="none"/>
                <w:u w:val="none" w:color="auto"/>
                <w:lang w:val="en-US" w:eastAsia="zh-CN"/>
              </w:rPr>
              <w:t>量分别为5.6491t/a、11.496t/a、17.7067‬t/a</w:t>
            </w:r>
            <w:r>
              <w:rPr>
                <w:rFonts w:hint="default" w:ascii="Times New Roman" w:hAnsi="Times New Roman" w:eastAsia="宋体" w:cs="Times New Roman"/>
                <w:color w:val="auto"/>
                <w:kern w:val="0"/>
                <w:sz w:val="24"/>
                <w:highlight w:val="none"/>
                <w:u w:val="none" w:color="auto"/>
              </w:rPr>
              <w:t>，</w:t>
            </w:r>
            <w:r>
              <w:rPr>
                <w:rFonts w:hint="default" w:ascii="Times New Roman" w:hAnsi="Times New Roman" w:eastAsia="宋体" w:cs="Times New Roman"/>
                <w:color w:val="auto"/>
                <w:kern w:val="0"/>
                <w:sz w:val="24"/>
                <w:highlight w:val="none"/>
                <w:u w:val="none" w:color="auto"/>
                <w:lang w:val="en-US" w:eastAsia="zh-CN"/>
              </w:rPr>
              <w:t>由于不涉及对现有污染源的“以新带老”削减措施，</w:t>
            </w:r>
            <w:r>
              <w:rPr>
                <w:rFonts w:hint="default" w:ascii="Times New Roman" w:hAnsi="Times New Roman" w:eastAsia="宋体" w:cs="Times New Roman"/>
                <w:color w:val="auto"/>
                <w:kern w:val="0"/>
                <w:sz w:val="24"/>
                <w:highlight w:val="none"/>
                <w:u w:val="none" w:color="auto"/>
              </w:rPr>
              <w:t>故本次评价需</w:t>
            </w:r>
            <w:r>
              <w:rPr>
                <w:rFonts w:hint="default" w:ascii="Times New Roman" w:hAnsi="Times New Roman" w:eastAsia="宋体" w:cs="Times New Roman"/>
                <w:color w:val="auto"/>
                <w:kern w:val="0"/>
                <w:sz w:val="24"/>
                <w:highlight w:val="none"/>
                <w:u w:val="none" w:color="auto"/>
                <w:lang w:val="en-US" w:eastAsia="zh-CN"/>
              </w:rPr>
              <w:t>新购买</w:t>
            </w:r>
            <w:r>
              <w:rPr>
                <w:rFonts w:hint="default" w:ascii="Times New Roman" w:hAnsi="Times New Roman" w:eastAsia="宋体" w:cs="Times New Roman"/>
                <w:color w:val="auto"/>
                <w:kern w:val="0"/>
                <w:sz w:val="24"/>
                <w:highlight w:val="none"/>
                <w:u w:val="none" w:color="auto"/>
              </w:rPr>
              <w:t>废气总量指标二氧化硫、氮氧化物</w:t>
            </w:r>
            <w:r>
              <w:rPr>
                <w:rFonts w:hint="default" w:ascii="Times New Roman" w:hAnsi="Times New Roman" w:eastAsia="宋体" w:cs="Times New Roman"/>
                <w:color w:val="auto"/>
                <w:kern w:val="0"/>
                <w:sz w:val="24"/>
                <w:highlight w:val="none"/>
                <w:u w:val="none" w:color="auto"/>
                <w:lang w:val="en-US" w:eastAsia="zh-CN"/>
              </w:rPr>
              <w:t>分别为5.7t/a、11.5t/a，颗粒物建议设置控制性指标17.8t/a</w:t>
            </w:r>
            <w:r>
              <w:rPr>
                <w:rFonts w:hint="default" w:ascii="Times New Roman" w:hAnsi="Times New Roman" w:eastAsia="宋体" w:cs="Times New Roman"/>
                <w:color w:val="auto"/>
                <w:kern w:val="0"/>
                <w:sz w:val="24"/>
                <w:highlight w:val="none"/>
                <w:u w:val="none" w:color="auto"/>
              </w:rPr>
              <w:t>。</w:t>
            </w:r>
          </w:p>
        </w:tc>
      </w:tr>
    </w:tbl>
    <w:p w14:paraId="70E7AB84">
      <w:pPr>
        <w:pStyle w:val="26"/>
        <w:jc w:val="center"/>
        <w:outlineLvl w:val="0"/>
        <w:rPr>
          <w:rFonts w:hint="default" w:ascii="Times New Roman" w:hAnsi="Times New Roman" w:eastAsia="宋体" w:cs="Times New Roman"/>
          <w:b/>
          <w:bCs/>
          <w:snapToGrid w:val="0"/>
          <w:color w:val="auto"/>
          <w:sz w:val="30"/>
          <w:szCs w:val="30"/>
          <w:u w:val="none" w:color="auto"/>
        </w:rPr>
      </w:pPr>
      <w:r>
        <w:rPr>
          <w:rFonts w:hint="default" w:ascii="Times New Roman" w:hAnsi="Times New Roman" w:eastAsia="宋体" w:cs="Times New Roman"/>
          <w:b/>
          <w:bCs/>
          <w:snapToGrid w:val="0"/>
          <w:color w:val="auto"/>
          <w:sz w:val="36"/>
          <w:szCs w:val="36"/>
          <w:u w:val="none" w:color="auto"/>
        </w:rPr>
        <w:br w:type="page"/>
      </w:r>
      <w:bookmarkStart w:id="89" w:name="_Toc8072"/>
      <w:r>
        <w:rPr>
          <w:rFonts w:hint="default" w:ascii="Times New Roman" w:hAnsi="Times New Roman" w:eastAsia="宋体" w:cs="Times New Roman"/>
          <w:b/>
          <w:bCs/>
          <w:snapToGrid w:val="0"/>
          <w:color w:val="auto"/>
          <w:sz w:val="30"/>
          <w:szCs w:val="30"/>
          <w:u w:val="none" w:color="auto"/>
        </w:rPr>
        <w:t>四、主要环境影响和保护措施</w:t>
      </w:r>
      <w:bookmarkEnd w:id="89"/>
    </w:p>
    <w:tbl>
      <w:tblPr>
        <w:tblStyle w:val="31"/>
        <w:tblW w:w="898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217"/>
        <w:gridCol w:w="8764"/>
      </w:tblGrid>
      <w:tr w14:paraId="241CCA4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3" w:type="dxa"/>
            <w:noWrap w:val="0"/>
            <w:tcMar>
              <w:left w:w="28" w:type="dxa"/>
              <w:right w:w="28" w:type="dxa"/>
            </w:tcMar>
            <w:vAlign w:val="center"/>
          </w:tcPr>
          <w:p w14:paraId="2FC28093">
            <w:pPr>
              <w:pStyle w:val="26"/>
              <w:adjustRightInd w:val="0"/>
              <w:snapToGrid w:val="0"/>
              <w:spacing w:before="0" w:beforeAutospacing="0" w:after="0" w:afterAutospacing="0"/>
              <w:jc w:val="center"/>
              <w:rPr>
                <w:rFonts w:hint="default" w:ascii="Times New Roman" w:hAnsi="Times New Roman" w:eastAsia="宋体" w:cs="Times New Roman"/>
                <w:color w:val="auto"/>
                <w:spacing w:val="0"/>
                <w:kern w:val="2"/>
                <w:sz w:val="21"/>
                <w:szCs w:val="21"/>
                <w:u w:val="none" w:color="auto"/>
              </w:rPr>
            </w:pPr>
            <w:r>
              <w:rPr>
                <w:rFonts w:hint="default" w:ascii="Times New Roman" w:hAnsi="Times New Roman" w:eastAsia="宋体" w:cs="Times New Roman"/>
                <w:color w:val="auto"/>
                <w:spacing w:val="0"/>
                <w:kern w:val="2"/>
                <w:sz w:val="21"/>
                <w:szCs w:val="21"/>
                <w:u w:val="none" w:color="auto"/>
              </w:rPr>
              <w:t>施工</w:t>
            </w:r>
          </w:p>
          <w:p w14:paraId="797D2FDC">
            <w:pPr>
              <w:pStyle w:val="26"/>
              <w:adjustRightInd w:val="0"/>
              <w:snapToGrid w:val="0"/>
              <w:spacing w:before="0" w:beforeAutospacing="0" w:after="0" w:afterAutospacing="0"/>
              <w:jc w:val="center"/>
              <w:rPr>
                <w:rFonts w:hint="default" w:ascii="Times New Roman" w:hAnsi="Times New Roman" w:eastAsia="宋体" w:cs="Times New Roman"/>
                <w:color w:val="auto"/>
                <w:spacing w:val="0"/>
                <w:kern w:val="2"/>
                <w:sz w:val="21"/>
                <w:szCs w:val="21"/>
                <w:u w:val="none" w:color="auto"/>
              </w:rPr>
            </w:pPr>
            <w:r>
              <w:rPr>
                <w:rFonts w:hint="default" w:ascii="Times New Roman" w:hAnsi="Times New Roman" w:eastAsia="宋体" w:cs="Times New Roman"/>
                <w:color w:val="auto"/>
                <w:spacing w:val="0"/>
                <w:kern w:val="2"/>
                <w:sz w:val="21"/>
                <w:szCs w:val="21"/>
                <w:u w:val="none" w:color="auto"/>
              </w:rPr>
              <w:t>期环</w:t>
            </w:r>
          </w:p>
          <w:p w14:paraId="24C2CAEF">
            <w:pPr>
              <w:pStyle w:val="26"/>
              <w:adjustRightInd w:val="0"/>
              <w:snapToGrid w:val="0"/>
              <w:spacing w:before="0" w:beforeAutospacing="0" w:after="0" w:afterAutospacing="0"/>
              <w:jc w:val="center"/>
              <w:rPr>
                <w:rFonts w:hint="default" w:ascii="Times New Roman" w:hAnsi="Times New Roman" w:eastAsia="宋体" w:cs="Times New Roman"/>
                <w:color w:val="auto"/>
                <w:spacing w:val="0"/>
                <w:kern w:val="2"/>
                <w:sz w:val="21"/>
                <w:szCs w:val="21"/>
                <w:u w:val="none" w:color="auto"/>
              </w:rPr>
            </w:pPr>
            <w:r>
              <w:rPr>
                <w:rFonts w:hint="default" w:ascii="Times New Roman" w:hAnsi="Times New Roman" w:eastAsia="宋体" w:cs="Times New Roman"/>
                <w:color w:val="auto"/>
                <w:spacing w:val="0"/>
                <w:kern w:val="2"/>
                <w:sz w:val="21"/>
                <w:szCs w:val="21"/>
                <w:u w:val="none" w:color="auto"/>
              </w:rPr>
              <w:t>境保</w:t>
            </w:r>
          </w:p>
          <w:p w14:paraId="409A4E1C">
            <w:pPr>
              <w:pStyle w:val="26"/>
              <w:adjustRightInd w:val="0"/>
              <w:snapToGrid w:val="0"/>
              <w:spacing w:before="0" w:beforeAutospacing="0" w:after="0" w:afterAutospacing="0"/>
              <w:jc w:val="center"/>
              <w:rPr>
                <w:rFonts w:hint="default" w:ascii="Times New Roman" w:hAnsi="Times New Roman" w:eastAsia="宋体" w:cs="Times New Roman"/>
                <w:color w:val="auto"/>
                <w:spacing w:val="0"/>
                <w:kern w:val="2"/>
                <w:sz w:val="21"/>
                <w:szCs w:val="21"/>
                <w:u w:val="none" w:color="auto"/>
              </w:rPr>
            </w:pPr>
            <w:r>
              <w:rPr>
                <w:rFonts w:hint="default" w:ascii="Times New Roman" w:hAnsi="Times New Roman" w:eastAsia="宋体" w:cs="Times New Roman"/>
                <w:color w:val="auto"/>
                <w:spacing w:val="0"/>
                <w:kern w:val="2"/>
                <w:sz w:val="21"/>
                <w:szCs w:val="21"/>
                <w:u w:val="none" w:color="auto"/>
              </w:rPr>
              <w:t>护措</w:t>
            </w:r>
          </w:p>
          <w:p w14:paraId="6C86E18F">
            <w:pPr>
              <w:pStyle w:val="26"/>
              <w:adjustRightInd w:val="0"/>
              <w:snapToGrid w:val="0"/>
              <w:spacing w:before="0" w:beforeAutospacing="0" w:after="0" w:afterAutospacing="0"/>
              <w:jc w:val="center"/>
              <w:rPr>
                <w:rFonts w:hint="default" w:ascii="Times New Roman" w:hAnsi="Times New Roman" w:eastAsia="宋体" w:cs="Times New Roman"/>
                <w:bCs/>
                <w:color w:val="auto"/>
                <w:spacing w:val="0"/>
                <w:kern w:val="2"/>
                <w:sz w:val="21"/>
                <w:szCs w:val="21"/>
                <w:u w:val="none" w:color="auto"/>
              </w:rPr>
            </w:pPr>
            <w:r>
              <w:rPr>
                <w:rFonts w:hint="default" w:ascii="Times New Roman" w:hAnsi="Times New Roman" w:eastAsia="宋体" w:cs="Times New Roman"/>
                <w:color w:val="auto"/>
                <w:spacing w:val="0"/>
                <w:kern w:val="2"/>
                <w:sz w:val="21"/>
                <w:szCs w:val="21"/>
                <w:u w:val="none" w:color="auto"/>
              </w:rPr>
              <w:t>施</w:t>
            </w:r>
          </w:p>
        </w:tc>
        <w:tc>
          <w:tcPr>
            <w:tcW w:w="8618" w:type="dxa"/>
            <w:noWrap w:val="0"/>
            <w:vAlign w:val="center"/>
          </w:tcPr>
          <w:p w14:paraId="0D901804">
            <w:pPr>
              <w:adjustRightInd w:val="0"/>
              <w:snapToGrid w:val="0"/>
              <w:spacing w:line="360" w:lineRule="auto"/>
              <w:ind w:firstLine="480" w:firstLineChars="200"/>
              <w:rPr>
                <w:rFonts w:hint="default" w:ascii="Times New Roman" w:hAnsi="Times New Roman" w:eastAsia="宋体" w:cs="Times New Roman"/>
                <w:bCs/>
                <w:color w:val="auto"/>
                <w:spacing w:val="0"/>
                <w:sz w:val="24"/>
                <w:u w:val="none" w:color="auto"/>
              </w:rPr>
            </w:pPr>
            <w:r>
              <w:rPr>
                <w:rFonts w:hint="default" w:ascii="Times New Roman" w:hAnsi="Times New Roman" w:eastAsia="宋体" w:cs="Times New Roman"/>
                <w:color w:val="auto"/>
                <w:spacing w:val="0"/>
                <w:sz w:val="24"/>
                <w:u w:val="none" w:color="auto"/>
              </w:rPr>
              <w:t>本项目利用已建厂房进行项目建设，</w:t>
            </w:r>
            <w:r>
              <w:rPr>
                <w:rFonts w:hint="default" w:ascii="Times New Roman" w:hAnsi="Times New Roman" w:eastAsia="宋体" w:cs="Times New Roman"/>
                <w:bCs/>
                <w:color w:val="auto"/>
                <w:spacing w:val="0"/>
                <w:sz w:val="24"/>
                <w:u w:val="none" w:color="auto"/>
              </w:rPr>
              <w:t>无</w:t>
            </w:r>
            <w:r>
              <w:rPr>
                <w:rFonts w:hint="default" w:ascii="Times New Roman" w:hAnsi="Times New Roman" w:eastAsia="宋体" w:cs="Times New Roman"/>
                <w:bCs/>
                <w:color w:val="auto"/>
                <w:spacing w:val="0"/>
                <w:sz w:val="24"/>
                <w:u w:val="none" w:color="auto"/>
                <w:lang w:val="en-US" w:eastAsia="zh-CN"/>
              </w:rPr>
              <w:t>土建等施工，主要为设备安装施工，且施工期较短，产生的影响较小，因此本次评价仅对定性分析，具体</w:t>
            </w:r>
            <w:r>
              <w:rPr>
                <w:rFonts w:hint="default" w:ascii="Times New Roman" w:hAnsi="Times New Roman" w:eastAsia="宋体" w:cs="Times New Roman"/>
                <w:bCs/>
                <w:color w:val="auto"/>
                <w:spacing w:val="0"/>
                <w:sz w:val="24"/>
                <w:u w:val="none" w:color="auto"/>
              </w:rPr>
              <w:t>如下：</w:t>
            </w:r>
          </w:p>
          <w:p w14:paraId="36C6058A">
            <w:pPr>
              <w:adjustRightInd w:val="0"/>
              <w:snapToGrid w:val="0"/>
              <w:spacing w:line="360" w:lineRule="auto"/>
              <w:ind w:firstLine="482" w:firstLineChars="200"/>
              <w:rPr>
                <w:rFonts w:hint="default" w:ascii="Times New Roman" w:hAnsi="Times New Roman" w:eastAsia="宋体" w:cs="Times New Roman"/>
                <w:b/>
                <w:bCs w:val="0"/>
                <w:color w:val="auto"/>
                <w:spacing w:val="0"/>
                <w:sz w:val="24"/>
                <w:u w:val="none" w:color="auto"/>
              </w:rPr>
            </w:pPr>
            <w:r>
              <w:rPr>
                <w:rFonts w:hint="default" w:ascii="Times New Roman" w:hAnsi="Times New Roman" w:eastAsia="宋体" w:cs="Times New Roman"/>
                <w:b/>
                <w:bCs w:val="0"/>
                <w:color w:val="auto"/>
                <w:spacing w:val="0"/>
                <w:sz w:val="24"/>
                <w:u w:val="none" w:color="auto"/>
              </w:rPr>
              <w:t>1、施工废气对环境影响分析</w:t>
            </w:r>
          </w:p>
          <w:p w14:paraId="0D40E7E7">
            <w:pPr>
              <w:adjustRightInd w:val="0"/>
              <w:snapToGrid w:val="0"/>
              <w:spacing w:line="360" w:lineRule="auto"/>
              <w:ind w:firstLine="480" w:firstLineChars="200"/>
              <w:rPr>
                <w:rFonts w:hint="default" w:ascii="Times New Roman" w:hAnsi="Times New Roman" w:eastAsia="宋体" w:cs="Times New Roman"/>
                <w:bCs/>
                <w:color w:val="auto"/>
                <w:spacing w:val="0"/>
                <w:sz w:val="24"/>
                <w:u w:val="none" w:color="auto"/>
              </w:rPr>
            </w:pPr>
            <w:r>
              <w:rPr>
                <w:rFonts w:hint="default" w:ascii="Times New Roman" w:hAnsi="Times New Roman" w:eastAsia="宋体" w:cs="Times New Roman"/>
                <w:bCs/>
                <w:color w:val="auto"/>
                <w:spacing w:val="0"/>
                <w:sz w:val="24"/>
                <w:u w:val="none" w:color="auto"/>
              </w:rPr>
              <w:t>要求</w:t>
            </w:r>
            <w:r>
              <w:rPr>
                <w:rFonts w:hint="default" w:ascii="Times New Roman" w:hAnsi="Times New Roman" w:eastAsia="宋体" w:cs="Times New Roman"/>
                <w:bCs/>
                <w:color w:val="auto"/>
                <w:spacing w:val="0"/>
                <w:sz w:val="24"/>
                <w:u w:val="none" w:color="auto"/>
                <w:lang w:val="en-US" w:eastAsia="zh-CN"/>
              </w:rPr>
              <w:t>水泥等粉料</w:t>
            </w:r>
            <w:r>
              <w:rPr>
                <w:rFonts w:hint="default" w:ascii="Times New Roman" w:hAnsi="Times New Roman" w:eastAsia="宋体" w:cs="Times New Roman"/>
                <w:bCs/>
                <w:color w:val="auto"/>
                <w:spacing w:val="0"/>
                <w:sz w:val="24"/>
                <w:u w:val="none" w:color="auto"/>
              </w:rPr>
              <w:t>卸货时轻放，防止扬尘的产生，同时要求进出汽车限速，减少运输扬尘的产生。采取措施后粉尘产生量很少，对周边环境影响较小。</w:t>
            </w:r>
          </w:p>
          <w:p w14:paraId="3A497511">
            <w:pPr>
              <w:adjustRightInd w:val="0"/>
              <w:snapToGrid w:val="0"/>
              <w:spacing w:line="360" w:lineRule="auto"/>
              <w:ind w:firstLine="482" w:firstLineChars="200"/>
              <w:rPr>
                <w:rFonts w:hint="default" w:ascii="Times New Roman" w:hAnsi="Times New Roman" w:eastAsia="宋体" w:cs="Times New Roman"/>
                <w:b/>
                <w:bCs w:val="0"/>
                <w:color w:val="auto"/>
                <w:spacing w:val="0"/>
                <w:sz w:val="24"/>
                <w:u w:val="none" w:color="auto"/>
              </w:rPr>
            </w:pPr>
            <w:r>
              <w:rPr>
                <w:rFonts w:hint="default" w:ascii="Times New Roman" w:hAnsi="Times New Roman" w:eastAsia="宋体" w:cs="Times New Roman"/>
                <w:b/>
                <w:bCs w:val="0"/>
                <w:color w:val="auto"/>
                <w:spacing w:val="0"/>
                <w:sz w:val="24"/>
                <w:u w:val="none" w:color="auto"/>
              </w:rPr>
              <w:t>2、施工噪声对环境影响分析</w:t>
            </w:r>
          </w:p>
          <w:p w14:paraId="284A0356">
            <w:pPr>
              <w:adjustRightInd w:val="0"/>
              <w:snapToGrid w:val="0"/>
              <w:spacing w:line="360" w:lineRule="auto"/>
              <w:ind w:firstLine="480" w:firstLineChars="200"/>
              <w:rPr>
                <w:rFonts w:hint="default" w:ascii="Times New Roman" w:hAnsi="Times New Roman" w:eastAsia="宋体" w:cs="Times New Roman"/>
                <w:bCs/>
                <w:color w:val="auto"/>
                <w:spacing w:val="0"/>
                <w:sz w:val="24"/>
                <w:u w:val="none" w:color="auto"/>
              </w:rPr>
            </w:pPr>
            <w:r>
              <w:rPr>
                <w:rFonts w:hint="default" w:ascii="Times New Roman" w:hAnsi="Times New Roman" w:eastAsia="宋体" w:cs="Times New Roman"/>
                <w:bCs/>
                <w:color w:val="auto"/>
                <w:spacing w:val="0"/>
                <w:sz w:val="24"/>
                <w:u w:val="none" w:color="auto"/>
              </w:rPr>
              <w:t>施工期噪声是本项目施工期最主要的影响因素，工程主要噪声源为设备安装时产生的噪声。施工期主要噪声设备为电钻、电锤、手工钻等。项目在施工期采取的噪声防治措施如下：</w:t>
            </w:r>
          </w:p>
          <w:p w14:paraId="3B48478A">
            <w:pPr>
              <w:adjustRightInd w:val="0"/>
              <w:snapToGrid w:val="0"/>
              <w:spacing w:line="360" w:lineRule="auto"/>
              <w:ind w:firstLine="480" w:firstLineChars="200"/>
              <w:rPr>
                <w:rFonts w:hint="default" w:ascii="Times New Roman" w:hAnsi="Times New Roman" w:eastAsia="宋体" w:cs="Times New Roman"/>
                <w:bCs/>
                <w:color w:val="auto"/>
                <w:spacing w:val="0"/>
                <w:sz w:val="24"/>
                <w:u w:val="none" w:color="auto"/>
              </w:rPr>
            </w:pPr>
            <w:r>
              <w:rPr>
                <w:rFonts w:hint="default" w:ascii="Times New Roman" w:hAnsi="Times New Roman" w:eastAsia="宋体" w:cs="Times New Roman"/>
                <w:bCs/>
                <w:color w:val="auto"/>
                <w:spacing w:val="0"/>
                <w:sz w:val="24"/>
                <w:u w:val="none" w:color="auto"/>
              </w:rPr>
              <w:t>（1）要求安装人员使用电钻等工具时应注意关窗，避免噪声通过门窗发散，尽量缩短使用时间，减少噪声周围辐射。</w:t>
            </w:r>
          </w:p>
          <w:p w14:paraId="79DAFD3C">
            <w:pPr>
              <w:adjustRightInd w:val="0"/>
              <w:snapToGrid w:val="0"/>
              <w:spacing w:line="360" w:lineRule="auto"/>
              <w:ind w:firstLine="480" w:firstLineChars="200"/>
              <w:rPr>
                <w:rFonts w:hint="default" w:ascii="Times New Roman" w:hAnsi="Times New Roman" w:eastAsia="宋体" w:cs="Times New Roman"/>
                <w:bCs/>
                <w:color w:val="auto"/>
                <w:spacing w:val="0"/>
                <w:sz w:val="24"/>
                <w:u w:val="none" w:color="auto"/>
              </w:rPr>
            </w:pPr>
            <w:r>
              <w:rPr>
                <w:rFonts w:hint="default" w:ascii="Times New Roman" w:hAnsi="Times New Roman" w:eastAsia="宋体" w:cs="Times New Roman"/>
                <w:bCs/>
                <w:color w:val="auto"/>
                <w:spacing w:val="0"/>
                <w:sz w:val="24"/>
                <w:u w:val="none" w:color="auto"/>
              </w:rPr>
              <w:t>（2）要求进出汽车限速，禁止鸣笛以降低装卸料噪声及机动车的交通噪声的影响；</w:t>
            </w:r>
          </w:p>
          <w:p w14:paraId="6F26E722">
            <w:pPr>
              <w:adjustRightInd w:val="0"/>
              <w:snapToGrid w:val="0"/>
              <w:spacing w:line="360" w:lineRule="auto"/>
              <w:ind w:firstLine="480" w:firstLineChars="200"/>
              <w:rPr>
                <w:rFonts w:hint="default" w:ascii="Times New Roman" w:hAnsi="Times New Roman" w:eastAsia="宋体" w:cs="Times New Roman"/>
                <w:bCs/>
                <w:color w:val="auto"/>
                <w:spacing w:val="0"/>
                <w:sz w:val="24"/>
                <w:u w:val="none" w:color="auto"/>
              </w:rPr>
            </w:pPr>
            <w:r>
              <w:rPr>
                <w:rFonts w:hint="default" w:ascii="Times New Roman" w:hAnsi="Times New Roman" w:eastAsia="宋体" w:cs="Times New Roman"/>
                <w:bCs/>
                <w:color w:val="auto"/>
                <w:spacing w:val="0"/>
                <w:sz w:val="24"/>
                <w:u w:val="none" w:color="auto"/>
              </w:rPr>
              <w:t>（3）加强施工期噪声管理，减少人为噪声；加强施工作业管理，确保文明施工，提高施工管理和操作人员的环保意识，文明施工，尽量避免施工噪声扰民。</w:t>
            </w:r>
          </w:p>
          <w:p w14:paraId="19F1F5B7">
            <w:pPr>
              <w:adjustRightInd w:val="0"/>
              <w:snapToGrid w:val="0"/>
              <w:spacing w:line="360" w:lineRule="auto"/>
              <w:ind w:firstLine="482" w:firstLineChars="200"/>
              <w:rPr>
                <w:rFonts w:hint="default" w:ascii="Times New Roman" w:hAnsi="Times New Roman" w:eastAsia="宋体" w:cs="Times New Roman"/>
                <w:b/>
                <w:bCs w:val="0"/>
                <w:color w:val="auto"/>
                <w:spacing w:val="0"/>
                <w:sz w:val="24"/>
                <w:u w:val="none" w:color="auto"/>
              </w:rPr>
            </w:pPr>
            <w:r>
              <w:rPr>
                <w:rFonts w:hint="default" w:ascii="Times New Roman" w:hAnsi="Times New Roman" w:eastAsia="宋体" w:cs="Times New Roman"/>
                <w:b/>
                <w:bCs w:val="0"/>
                <w:color w:val="auto"/>
                <w:spacing w:val="0"/>
                <w:sz w:val="24"/>
                <w:u w:val="none" w:color="auto"/>
              </w:rPr>
              <w:t>3、固体废弃物对环境影响分析</w:t>
            </w:r>
          </w:p>
          <w:p w14:paraId="69BBBFCA">
            <w:pPr>
              <w:adjustRightInd w:val="0"/>
              <w:snapToGrid w:val="0"/>
              <w:spacing w:line="360" w:lineRule="auto"/>
              <w:ind w:firstLine="480" w:firstLineChars="200"/>
              <w:rPr>
                <w:rFonts w:hint="default" w:ascii="Times New Roman" w:hAnsi="Times New Roman" w:eastAsia="宋体" w:cs="Times New Roman"/>
                <w:bCs/>
                <w:color w:val="auto"/>
                <w:spacing w:val="0"/>
                <w:sz w:val="24"/>
                <w:u w:val="none" w:color="auto"/>
              </w:rPr>
            </w:pPr>
            <w:r>
              <w:rPr>
                <w:rFonts w:hint="default" w:ascii="Times New Roman" w:hAnsi="Times New Roman" w:eastAsia="宋体" w:cs="Times New Roman"/>
                <w:bCs/>
                <w:color w:val="auto"/>
                <w:spacing w:val="0"/>
                <w:sz w:val="24"/>
                <w:u w:val="none" w:color="auto"/>
              </w:rPr>
              <w:t>项目施工期安装设备过程中，拆卸下来的设备外包装材料不能随意堆放，要集中收集至垃圾箱，交由环卫部门统一清运处理，生活垃圾交由环卫部门清运。采取上述措施后，项目施工期固体废物不会对周围环境产生污染影响。</w:t>
            </w:r>
          </w:p>
          <w:p w14:paraId="2BA10756">
            <w:pPr>
              <w:adjustRightInd w:val="0"/>
              <w:snapToGrid w:val="0"/>
              <w:spacing w:line="360" w:lineRule="auto"/>
              <w:ind w:firstLine="482" w:firstLineChars="200"/>
              <w:rPr>
                <w:rFonts w:hint="default" w:ascii="Times New Roman" w:hAnsi="Times New Roman" w:eastAsia="宋体" w:cs="Times New Roman"/>
                <w:b/>
                <w:bCs w:val="0"/>
                <w:color w:val="auto"/>
                <w:spacing w:val="0"/>
                <w:sz w:val="24"/>
                <w:u w:val="none" w:color="auto"/>
                <w:lang w:val="en-US" w:eastAsia="zh-CN"/>
              </w:rPr>
            </w:pPr>
            <w:r>
              <w:rPr>
                <w:rFonts w:hint="default" w:ascii="Times New Roman" w:hAnsi="Times New Roman" w:eastAsia="宋体" w:cs="Times New Roman"/>
                <w:b/>
                <w:bCs w:val="0"/>
                <w:color w:val="auto"/>
                <w:spacing w:val="0"/>
                <w:sz w:val="24"/>
                <w:u w:val="none" w:color="auto"/>
                <w:lang w:val="en-US" w:eastAsia="zh-CN"/>
              </w:rPr>
              <w:t>4、施工期废水对环境影响分析</w:t>
            </w:r>
          </w:p>
          <w:p w14:paraId="5E993990">
            <w:pPr>
              <w:adjustRightInd w:val="0"/>
              <w:snapToGrid w:val="0"/>
              <w:spacing w:line="360" w:lineRule="auto"/>
              <w:ind w:firstLine="480" w:firstLineChars="200"/>
              <w:rPr>
                <w:rFonts w:hint="default" w:ascii="Times New Roman" w:hAnsi="Times New Roman" w:eastAsia="宋体" w:cs="Times New Roman"/>
                <w:bCs/>
                <w:color w:val="auto"/>
                <w:spacing w:val="0"/>
                <w:sz w:val="24"/>
                <w:u w:val="none" w:color="auto"/>
                <w:lang w:val="en-US" w:eastAsia="zh-CN"/>
              </w:rPr>
            </w:pPr>
            <w:r>
              <w:rPr>
                <w:rFonts w:hint="default" w:ascii="Times New Roman" w:hAnsi="Times New Roman" w:eastAsia="宋体" w:cs="Times New Roman"/>
                <w:bCs/>
                <w:color w:val="auto"/>
                <w:spacing w:val="0"/>
                <w:sz w:val="24"/>
                <w:u w:val="none" w:color="auto"/>
                <w:lang w:val="en-US" w:eastAsia="zh-CN"/>
              </w:rPr>
              <w:t>施工期废水主要为施工人员产生的生活污水，主要通过厂区已建的化粪池进行预处理，通过市政污水管网进入污水处理厂深度处理，因此施工期废水不会对外环境再产生明显影响。</w:t>
            </w:r>
          </w:p>
          <w:p w14:paraId="15CBAEF6">
            <w:pPr>
              <w:adjustRightInd w:val="0"/>
              <w:snapToGrid w:val="0"/>
              <w:spacing w:line="360" w:lineRule="auto"/>
              <w:ind w:firstLine="480" w:firstLineChars="200"/>
              <w:rPr>
                <w:rFonts w:hint="default" w:ascii="Times New Roman" w:hAnsi="Times New Roman" w:eastAsia="宋体" w:cs="Times New Roman"/>
                <w:bCs/>
                <w:color w:val="auto"/>
                <w:spacing w:val="0"/>
                <w:szCs w:val="21"/>
                <w:u w:val="none" w:color="auto"/>
              </w:rPr>
            </w:pPr>
            <w:r>
              <w:rPr>
                <w:rFonts w:hint="default" w:ascii="Times New Roman" w:hAnsi="Times New Roman" w:eastAsia="宋体" w:cs="Times New Roman"/>
                <w:bCs/>
                <w:color w:val="auto"/>
                <w:spacing w:val="0"/>
                <w:sz w:val="24"/>
                <w:u w:val="none" w:color="auto"/>
              </w:rPr>
              <w:t>综上所述，本工程施工期的影响是暂时的，在施工结束后，影响区域的各环境影响基本可以恢复。只要认真制定和落实工程施工期应采取的环保对策措施，工程施工期的环境影响问题可以得到消除或有效控制</w:t>
            </w:r>
            <w:r>
              <w:rPr>
                <w:rFonts w:hint="default" w:ascii="Times New Roman" w:hAnsi="Times New Roman" w:eastAsia="宋体" w:cs="Times New Roman"/>
                <w:color w:val="auto"/>
                <w:spacing w:val="0"/>
                <w:sz w:val="24"/>
                <w:szCs w:val="32"/>
                <w:u w:val="none" w:color="auto"/>
              </w:rPr>
              <w:t>。</w:t>
            </w:r>
          </w:p>
        </w:tc>
      </w:tr>
      <w:tr w14:paraId="0F2F10B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3" w:type="dxa"/>
            <w:noWrap w:val="0"/>
            <w:tcMar>
              <w:left w:w="28" w:type="dxa"/>
              <w:right w:w="28" w:type="dxa"/>
            </w:tcMar>
            <w:vAlign w:val="center"/>
          </w:tcPr>
          <w:p w14:paraId="4A3CB980">
            <w:pPr>
              <w:adjustRightInd w:val="0"/>
              <w:snapToGrid w:val="0"/>
              <w:jc w:val="center"/>
              <w:rPr>
                <w:rFonts w:hint="default" w:ascii="Times New Roman" w:hAnsi="Times New Roman" w:eastAsia="宋体" w:cs="Times New Roman"/>
                <w:bCs/>
                <w:color w:val="auto"/>
                <w:spacing w:val="0"/>
                <w:szCs w:val="21"/>
                <w:u w:val="none" w:color="auto"/>
              </w:rPr>
            </w:pPr>
            <w:r>
              <w:rPr>
                <w:rFonts w:hint="default" w:ascii="Times New Roman" w:hAnsi="Times New Roman" w:eastAsia="宋体" w:cs="Times New Roman"/>
                <w:bCs/>
                <w:color w:val="auto"/>
                <w:spacing w:val="0"/>
                <w:szCs w:val="21"/>
                <w:u w:val="none" w:color="auto"/>
              </w:rPr>
              <w:t>运营</w:t>
            </w:r>
          </w:p>
          <w:p w14:paraId="600E4DB2">
            <w:pPr>
              <w:adjustRightInd w:val="0"/>
              <w:snapToGrid w:val="0"/>
              <w:jc w:val="center"/>
              <w:rPr>
                <w:rFonts w:hint="default" w:ascii="Times New Roman" w:hAnsi="Times New Roman" w:eastAsia="宋体" w:cs="Times New Roman"/>
                <w:bCs/>
                <w:color w:val="auto"/>
                <w:spacing w:val="0"/>
                <w:szCs w:val="21"/>
                <w:u w:val="none" w:color="auto"/>
              </w:rPr>
            </w:pPr>
            <w:r>
              <w:rPr>
                <w:rFonts w:hint="default" w:ascii="Times New Roman" w:hAnsi="Times New Roman" w:eastAsia="宋体" w:cs="Times New Roman"/>
                <w:bCs/>
                <w:color w:val="auto"/>
                <w:spacing w:val="0"/>
                <w:szCs w:val="21"/>
                <w:u w:val="none" w:color="auto"/>
              </w:rPr>
              <w:t>期环</w:t>
            </w:r>
          </w:p>
          <w:p w14:paraId="4E453B45">
            <w:pPr>
              <w:adjustRightInd w:val="0"/>
              <w:snapToGrid w:val="0"/>
              <w:jc w:val="center"/>
              <w:rPr>
                <w:rFonts w:hint="default" w:ascii="Times New Roman" w:hAnsi="Times New Roman" w:eastAsia="宋体" w:cs="Times New Roman"/>
                <w:bCs/>
                <w:color w:val="auto"/>
                <w:spacing w:val="0"/>
                <w:szCs w:val="21"/>
                <w:u w:val="none" w:color="auto"/>
              </w:rPr>
            </w:pPr>
            <w:r>
              <w:rPr>
                <w:rFonts w:hint="default" w:ascii="Times New Roman" w:hAnsi="Times New Roman" w:eastAsia="宋体" w:cs="Times New Roman"/>
                <w:bCs/>
                <w:color w:val="auto"/>
                <w:spacing w:val="0"/>
                <w:szCs w:val="21"/>
                <w:u w:val="none" w:color="auto"/>
              </w:rPr>
              <w:t>境影</w:t>
            </w:r>
          </w:p>
          <w:p w14:paraId="3E3AD594">
            <w:pPr>
              <w:adjustRightInd w:val="0"/>
              <w:snapToGrid w:val="0"/>
              <w:jc w:val="center"/>
              <w:rPr>
                <w:rFonts w:hint="default" w:ascii="Times New Roman" w:hAnsi="Times New Roman" w:eastAsia="宋体" w:cs="Times New Roman"/>
                <w:bCs/>
                <w:color w:val="auto"/>
                <w:spacing w:val="0"/>
                <w:szCs w:val="21"/>
                <w:u w:val="none" w:color="auto"/>
              </w:rPr>
            </w:pPr>
            <w:r>
              <w:rPr>
                <w:rFonts w:hint="default" w:ascii="Times New Roman" w:hAnsi="Times New Roman" w:eastAsia="宋体" w:cs="Times New Roman"/>
                <w:bCs/>
                <w:color w:val="auto"/>
                <w:spacing w:val="0"/>
                <w:szCs w:val="21"/>
                <w:u w:val="none" w:color="auto"/>
              </w:rPr>
              <w:t>响和</w:t>
            </w:r>
          </w:p>
          <w:p w14:paraId="6C9FB1D2">
            <w:pPr>
              <w:adjustRightInd w:val="0"/>
              <w:snapToGrid w:val="0"/>
              <w:jc w:val="center"/>
              <w:rPr>
                <w:rFonts w:hint="default" w:ascii="Times New Roman" w:hAnsi="Times New Roman" w:eastAsia="宋体" w:cs="Times New Roman"/>
                <w:bCs/>
                <w:color w:val="auto"/>
                <w:spacing w:val="0"/>
                <w:szCs w:val="21"/>
                <w:u w:val="none" w:color="auto"/>
              </w:rPr>
            </w:pPr>
            <w:r>
              <w:rPr>
                <w:rFonts w:hint="default" w:ascii="Times New Roman" w:hAnsi="Times New Roman" w:eastAsia="宋体" w:cs="Times New Roman"/>
                <w:bCs/>
                <w:color w:val="auto"/>
                <w:spacing w:val="0"/>
                <w:szCs w:val="21"/>
                <w:u w:val="none" w:color="auto"/>
              </w:rPr>
              <w:t>保护</w:t>
            </w:r>
          </w:p>
          <w:p w14:paraId="410B364B">
            <w:pPr>
              <w:adjustRightInd w:val="0"/>
              <w:snapToGrid w:val="0"/>
              <w:jc w:val="center"/>
              <w:rPr>
                <w:rFonts w:hint="default" w:ascii="Times New Roman" w:hAnsi="Times New Roman" w:eastAsia="宋体" w:cs="Times New Roman"/>
                <w:bCs/>
                <w:color w:val="auto"/>
                <w:spacing w:val="0"/>
                <w:szCs w:val="21"/>
                <w:u w:val="none" w:color="auto"/>
              </w:rPr>
            </w:pPr>
            <w:r>
              <w:rPr>
                <w:rFonts w:hint="default" w:ascii="Times New Roman" w:hAnsi="Times New Roman" w:eastAsia="宋体" w:cs="Times New Roman"/>
                <w:bCs/>
                <w:color w:val="auto"/>
                <w:spacing w:val="0"/>
                <w:szCs w:val="21"/>
                <w:u w:val="none" w:color="auto"/>
              </w:rPr>
              <w:t>措施</w:t>
            </w:r>
          </w:p>
        </w:tc>
        <w:tc>
          <w:tcPr>
            <w:tcW w:w="8618" w:type="dxa"/>
            <w:noWrap w:val="0"/>
            <w:vAlign w:val="center"/>
          </w:tcPr>
          <w:p w14:paraId="2F76A73A">
            <w:pPr>
              <w:adjustRightInd w:val="0"/>
              <w:snapToGrid w:val="0"/>
              <w:spacing w:line="360" w:lineRule="auto"/>
              <w:ind w:firstLine="482" w:firstLineChars="200"/>
              <w:rPr>
                <w:rFonts w:hint="default" w:ascii="Times New Roman" w:hAnsi="Times New Roman" w:eastAsia="宋体" w:cs="Times New Roman"/>
                <w:b/>
                <w:color w:val="auto"/>
                <w:spacing w:val="0"/>
                <w:sz w:val="24"/>
                <w:u w:val="none" w:color="auto"/>
              </w:rPr>
            </w:pPr>
            <w:r>
              <w:rPr>
                <w:rFonts w:hint="default" w:ascii="Times New Roman" w:hAnsi="Times New Roman" w:eastAsia="宋体" w:cs="Times New Roman"/>
                <w:b/>
                <w:color w:val="auto"/>
                <w:spacing w:val="0"/>
                <w:sz w:val="24"/>
                <w:u w:val="none" w:color="auto"/>
              </w:rPr>
              <w:t>一、废气</w:t>
            </w:r>
          </w:p>
          <w:p w14:paraId="11849304">
            <w:pPr>
              <w:adjustRightInd w:val="0"/>
              <w:snapToGrid w:val="0"/>
              <w:spacing w:line="360" w:lineRule="auto"/>
              <w:ind w:firstLine="480" w:firstLineChars="200"/>
              <w:rPr>
                <w:rFonts w:hint="default" w:ascii="Times New Roman" w:hAnsi="Times New Roman" w:eastAsia="宋体" w:cs="Times New Roman"/>
                <w:bCs/>
                <w:color w:val="auto"/>
                <w:spacing w:val="0"/>
                <w:sz w:val="24"/>
                <w:u w:val="none" w:color="auto"/>
              </w:rPr>
            </w:pPr>
            <w:r>
              <w:rPr>
                <w:rFonts w:hint="default" w:ascii="Times New Roman" w:hAnsi="Times New Roman" w:eastAsia="宋体" w:cs="Times New Roman"/>
                <w:color w:val="auto"/>
                <w:spacing w:val="0"/>
                <w:sz w:val="24"/>
                <w:u w:val="none" w:color="auto"/>
              </w:rPr>
              <w:t>根据对项目营运期废气产污环节分析，项目运营后废气污染物</w:t>
            </w:r>
            <w:r>
              <w:rPr>
                <w:rFonts w:hint="default" w:ascii="Times New Roman" w:hAnsi="Times New Roman" w:eastAsia="宋体" w:cs="Times New Roman"/>
                <w:color w:val="auto"/>
                <w:spacing w:val="0"/>
                <w:sz w:val="24"/>
                <w:u w:val="none" w:color="auto"/>
                <w:lang w:val="en-US" w:eastAsia="zh-CN"/>
              </w:rPr>
              <w:t>源强分析如下：</w:t>
            </w:r>
          </w:p>
          <w:p w14:paraId="2B4B95D1">
            <w:pPr>
              <w:spacing w:line="360" w:lineRule="auto"/>
              <w:ind w:firstLine="482" w:firstLineChars="200"/>
              <w:rPr>
                <w:rFonts w:hint="default" w:ascii="Times New Roman" w:hAnsi="Times New Roman" w:eastAsia="宋体" w:cs="Times New Roman"/>
                <w:b/>
                <w:color w:val="auto"/>
                <w:spacing w:val="0"/>
                <w:sz w:val="24"/>
                <w:u w:val="none" w:color="auto"/>
                <w:lang w:val="en-US" w:eastAsia="zh-CN"/>
              </w:rPr>
            </w:pPr>
            <w:r>
              <w:rPr>
                <w:rFonts w:hint="default" w:ascii="Times New Roman" w:hAnsi="Times New Roman" w:eastAsia="宋体" w:cs="Times New Roman"/>
                <w:b/>
                <w:color w:val="auto"/>
                <w:spacing w:val="0"/>
                <w:sz w:val="24"/>
                <w:u w:val="none" w:color="auto"/>
              </w:rPr>
              <w:t>1、废气源强</w:t>
            </w:r>
            <w:r>
              <w:rPr>
                <w:rFonts w:hint="default" w:ascii="Times New Roman" w:hAnsi="Times New Roman" w:eastAsia="宋体" w:cs="Times New Roman"/>
                <w:b/>
                <w:color w:val="auto"/>
                <w:spacing w:val="0"/>
                <w:sz w:val="24"/>
                <w:u w:val="none" w:color="auto"/>
                <w:lang w:val="en-US" w:eastAsia="zh-CN"/>
              </w:rPr>
              <w:t>及收集、处理措施</w:t>
            </w:r>
          </w:p>
          <w:p w14:paraId="54757DEB">
            <w:pPr>
              <w:pStyle w:val="2"/>
              <w:snapToGrid/>
              <w:spacing w:before="0" w:after="0" w:line="360" w:lineRule="auto"/>
              <w:ind w:right="0" w:firstLine="482" w:firstLineChars="200"/>
              <w:rPr>
                <w:rFonts w:hint="default" w:ascii="Times New Roman" w:hAnsi="Times New Roman" w:eastAsia="宋体" w:cs="Times New Roman"/>
                <w:b/>
                <w:bCs/>
                <w:color w:val="auto"/>
                <w:spacing w:val="0"/>
                <w:sz w:val="24"/>
                <w:u w:val="none" w:color="auto"/>
                <w:lang w:val="en-US" w:eastAsia="zh-CN"/>
              </w:rPr>
            </w:pPr>
            <w:r>
              <w:rPr>
                <w:rFonts w:hint="default" w:ascii="Times New Roman" w:hAnsi="Times New Roman" w:eastAsia="宋体" w:cs="Times New Roman"/>
                <w:b/>
                <w:bCs/>
                <w:color w:val="auto"/>
                <w:spacing w:val="0"/>
                <w:sz w:val="24"/>
                <w:u w:val="none" w:color="auto"/>
                <w:lang w:val="en-US" w:eastAsia="zh-CN"/>
              </w:rPr>
              <w:t>（1）铝合金熔铸二厂废气</w:t>
            </w:r>
          </w:p>
          <w:p w14:paraId="0FDA4408">
            <w:pPr>
              <w:pStyle w:val="2"/>
              <w:snapToGrid/>
              <w:spacing w:before="0" w:after="0" w:line="360" w:lineRule="auto"/>
              <w:ind w:right="0" w:firstLine="480" w:firstLineChars="200"/>
              <w:rPr>
                <w:rFonts w:hint="default" w:ascii="Times New Roman" w:hAnsi="Times New Roman" w:eastAsia="宋体" w:cs="Times New Roman"/>
                <w:b w:val="0"/>
                <w:bCs w:val="0"/>
                <w:color w:val="auto"/>
                <w:spacing w:val="0"/>
                <w:sz w:val="24"/>
                <w:u w:val="none" w:color="auto"/>
                <w:lang w:val="en-US" w:eastAsia="zh-CN"/>
              </w:rPr>
            </w:pPr>
            <w:r>
              <w:rPr>
                <w:rFonts w:hint="default" w:ascii="Times New Roman" w:hAnsi="Times New Roman" w:eastAsia="宋体" w:cs="Times New Roman"/>
                <w:b w:val="0"/>
                <w:bCs w:val="0"/>
                <w:color w:val="auto"/>
                <w:spacing w:val="0"/>
                <w:sz w:val="24"/>
                <w:u w:val="none" w:color="auto"/>
                <w:lang w:val="en-US" w:eastAsia="zh-CN"/>
              </w:rPr>
              <w:t>①熔化烟尘（G1）及收集措施</w:t>
            </w:r>
          </w:p>
          <w:p w14:paraId="7FE9A46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32"/>
                <w:highlight w:val="none"/>
                <w:u w:val="none" w:color="auto"/>
                <w:lang w:val="en-US" w:eastAsia="zh-CN"/>
              </w:rPr>
            </w:pPr>
            <w:r>
              <w:rPr>
                <w:rFonts w:hint="default" w:ascii="Times New Roman" w:hAnsi="Times New Roman" w:eastAsia="宋体" w:cs="Times New Roman"/>
                <w:color w:val="auto"/>
                <w:sz w:val="24"/>
                <w:szCs w:val="32"/>
                <w:highlight w:val="none"/>
                <w:u w:val="none" w:color="auto"/>
                <w:lang w:val="en-US" w:eastAsia="zh-CN"/>
              </w:rPr>
              <w:t>因此熔化炉燃料涉及天然气和生物质颗粒，因此本次评价</w:t>
            </w:r>
            <w:r>
              <w:rPr>
                <w:rFonts w:hint="default" w:ascii="Times New Roman" w:hAnsi="Times New Roman" w:eastAsia="宋体" w:cs="Times New Roman"/>
                <w:color w:val="auto"/>
                <w:sz w:val="24"/>
                <w:szCs w:val="32"/>
                <w:highlight w:val="none"/>
                <w:u w:val="none" w:color="auto"/>
                <w:lang w:eastAsia="zh-CN"/>
              </w:rPr>
              <w:t>熔化烟尘参考《3240 有色金属合金制造行业系数手册》</w:t>
            </w:r>
            <w:r>
              <w:rPr>
                <w:rFonts w:hint="default" w:ascii="Times New Roman" w:hAnsi="Times New Roman" w:eastAsia="宋体" w:cs="Times New Roman"/>
                <w:color w:val="auto"/>
                <w:sz w:val="24"/>
                <w:szCs w:val="32"/>
                <w:highlight w:val="none"/>
                <w:u w:val="none" w:color="auto"/>
                <w:lang w:val="en-US" w:eastAsia="zh-CN"/>
              </w:rPr>
              <w:t>中反射炉铝硅合金的颗粒物产生系数，为5.78kg/t产品。项目铝合金产品按用量计，则为36015t产品/a，则50t、45t熔化炉产生的颗粒物约为208.1667t/a。年工作时间为330d/a*24h/d=7920h/a，则产生速率约为26.2837kg/h。</w:t>
            </w:r>
          </w:p>
          <w:p w14:paraId="2DEE265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32"/>
                <w:highlight w:val="none"/>
                <w:u w:val="none" w:color="auto"/>
                <w:lang w:val="en-US" w:eastAsia="zh-CN"/>
              </w:rPr>
            </w:pPr>
            <w:r>
              <w:rPr>
                <w:rFonts w:hint="default" w:ascii="Times New Roman" w:hAnsi="Times New Roman" w:eastAsia="宋体" w:cs="Times New Roman"/>
                <w:color w:val="auto"/>
                <w:sz w:val="24"/>
                <w:szCs w:val="32"/>
                <w:highlight w:val="none"/>
                <w:u w:val="none" w:color="auto"/>
                <w:lang w:val="en-US" w:eastAsia="zh-CN"/>
              </w:rPr>
              <w:t>在压铸工序中会产生一定量的报废品，该报废品回35t熔化炉重熔，并与回收铝一起用于生产铝合金铸锭外售，根据建设单位提供的设计方案，预计产生约9200t/a的外售铝合金铸锭，则35t熔化炉产生的颗粒物约为53.176t/a。35t熔化炉主要用于报废品、回收铝的重熔铸锭，因此每炉按30t装载量需装载307炉（向上取整），每次熔化时间6~8h（按7h计），则全年工作时间为2149h/a，则产生速率约为24.7445kg/h。</w:t>
            </w:r>
          </w:p>
          <w:p w14:paraId="7775167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32"/>
                <w:highlight w:val="none"/>
                <w:u w:val="none" w:color="auto"/>
                <w:lang w:val="en-US" w:eastAsia="zh-CN"/>
              </w:rPr>
            </w:pPr>
            <w:r>
              <w:rPr>
                <w:rFonts w:hint="default" w:ascii="Times New Roman" w:hAnsi="Times New Roman" w:eastAsia="宋体" w:cs="Times New Roman"/>
                <w:color w:val="auto"/>
                <w:sz w:val="24"/>
                <w:szCs w:val="32"/>
                <w:highlight w:val="none"/>
                <w:u w:val="none" w:color="auto"/>
                <w:lang w:val="en-US" w:eastAsia="zh-CN"/>
              </w:rPr>
              <w:t>根据上述，</w:t>
            </w:r>
            <w:r>
              <w:rPr>
                <w:rFonts w:hint="default" w:ascii="Times New Roman" w:hAnsi="Times New Roman" w:eastAsia="宋体" w:cs="Times New Roman"/>
                <w:b w:val="0"/>
                <w:bCs w:val="0"/>
                <w:color w:val="auto"/>
                <w:spacing w:val="0"/>
                <w:sz w:val="24"/>
                <w:u w:val="none" w:color="auto"/>
                <w:lang w:val="en-US" w:eastAsia="zh-CN"/>
              </w:rPr>
              <w:t>熔化烟尘（G1）</w:t>
            </w:r>
            <w:r>
              <w:rPr>
                <w:rFonts w:hint="default" w:ascii="Times New Roman" w:hAnsi="Times New Roman" w:eastAsia="宋体" w:cs="Times New Roman"/>
                <w:color w:val="auto"/>
                <w:sz w:val="24"/>
                <w:szCs w:val="32"/>
                <w:highlight w:val="none"/>
                <w:u w:val="none" w:color="auto"/>
                <w:lang w:val="en-US" w:eastAsia="zh-CN"/>
              </w:rPr>
              <w:t>合计产生量约为261.3427t/a，最大粉尘产生速率为51.0282kg/h（各工序同时生产）。</w:t>
            </w:r>
          </w:p>
          <w:p w14:paraId="1850B84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32"/>
                <w:highlight w:val="none"/>
                <w:u w:val="none" w:color="auto"/>
                <w:lang w:val="en-US" w:eastAsia="zh-CN"/>
              </w:rPr>
            </w:pPr>
            <w:r>
              <w:rPr>
                <w:rFonts w:hint="default" w:ascii="Times New Roman" w:hAnsi="Times New Roman" w:eastAsia="宋体" w:cs="Times New Roman"/>
                <w:b w:val="0"/>
                <w:bCs w:val="0"/>
                <w:color w:val="auto"/>
                <w:spacing w:val="0"/>
                <w:sz w:val="24"/>
                <w:u w:val="none" w:color="auto"/>
                <w:lang w:val="en-US" w:eastAsia="zh-CN"/>
              </w:rPr>
              <w:t>收集措施：为确保在熔融混配过程中隔绝氧气对金属的氧化作用，因此采用氮气作为保护气体，同时整个设备需处于密闭状态（若有泄漏可能导致整炉料报废），熔化烟尘通过熔化炉顶部的排气装置进行密闭式收集，并通过引风机导入TA010废气处理系统处理，其收集效率按100%计。</w:t>
            </w:r>
          </w:p>
          <w:p w14:paraId="015584C2">
            <w:pPr>
              <w:pStyle w:val="2"/>
              <w:snapToGrid/>
              <w:spacing w:before="0" w:after="0" w:line="360" w:lineRule="auto"/>
              <w:ind w:right="0" w:firstLine="480" w:firstLineChars="200"/>
              <w:rPr>
                <w:rFonts w:hint="default" w:ascii="Times New Roman" w:hAnsi="Times New Roman" w:eastAsia="宋体" w:cs="Times New Roman"/>
                <w:b w:val="0"/>
                <w:bCs w:val="0"/>
                <w:color w:val="auto"/>
                <w:spacing w:val="0"/>
                <w:sz w:val="24"/>
                <w:u w:val="none" w:color="auto"/>
                <w:lang w:val="en-US" w:eastAsia="zh-CN"/>
              </w:rPr>
            </w:pPr>
            <w:r>
              <w:rPr>
                <w:rFonts w:hint="default" w:ascii="Times New Roman" w:hAnsi="Times New Roman" w:eastAsia="宋体" w:cs="Times New Roman"/>
                <w:b w:val="0"/>
                <w:bCs w:val="0"/>
                <w:color w:val="auto"/>
                <w:spacing w:val="0"/>
                <w:sz w:val="24"/>
                <w:u w:val="none" w:color="auto"/>
                <w:lang w:val="en-US" w:eastAsia="zh-CN"/>
              </w:rPr>
              <w:t>②生物质颗粒燃烧废气（G2）及收集措施</w:t>
            </w:r>
          </w:p>
          <w:p w14:paraId="6831F480">
            <w:pPr>
              <w:pStyle w:val="101"/>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u w:val="none" w:color="auto"/>
                <w:lang w:val="en-US" w:eastAsia="zh-CN"/>
              </w:rPr>
              <w:t>根据建设单位提供的能源评估报告，项目预计使用生物质颗粒约为16000t/a，年燃烧时间按</w:t>
            </w:r>
            <w:r>
              <w:rPr>
                <w:rFonts w:hint="default" w:ascii="Times New Roman" w:hAnsi="Times New Roman" w:eastAsia="宋体" w:cs="Times New Roman"/>
                <w:color w:val="auto"/>
                <w:sz w:val="24"/>
                <w:szCs w:val="32"/>
                <w:highlight w:val="none"/>
                <w:u w:val="none" w:color="auto"/>
                <w:lang w:val="en-US" w:eastAsia="zh-CN"/>
              </w:rPr>
              <w:t>330d/a*24h/d=7920h/a</w:t>
            </w:r>
            <w:r>
              <w:rPr>
                <w:rFonts w:hint="default" w:ascii="Times New Roman" w:hAnsi="Times New Roman" w:eastAsia="宋体" w:cs="Times New Roman"/>
                <w:color w:val="auto"/>
                <w:u w:val="none" w:color="auto"/>
                <w:lang w:val="en-US" w:eastAsia="zh-CN"/>
              </w:rPr>
              <w:t>。参考</w:t>
            </w:r>
            <w:bookmarkStart w:id="90" w:name="OLE_LINK1"/>
            <w:r>
              <w:rPr>
                <w:rFonts w:hint="default" w:ascii="Times New Roman" w:hAnsi="Times New Roman" w:eastAsia="宋体" w:cs="Times New Roman"/>
                <w:color w:val="auto"/>
                <w:szCs w:val="24"/>
                <w:highlight w:val="none"/>
                <w:u w:val="none" w:color="auto"/>
              </w:rPr>
              <w:t>《排放源统计调查产排污核算方法和系数手册》中“4430工业锅炉（热力生产和供应行业）产污系数表-生物质工业锅炉</w:t>
            </w:r>
            <w:r>
              <w:rPr>
                <w:rFonts w:hint="default" w:ascii="Times New Roman" w:hAnsi="Times New Roman" w:eastAsia="宋体" w:cs="Times New Roman"/>
                <w:color w:val="auto"/>
                <w:szCs w:val="24"/>
                <w:highlight w:val="none"/>
                <w:u w:val="none" w:color="auto"/>
                <w:lang w:eastAsia="zh-CN"/>
              </w:rPr>
              <w:t>（</w:t>
            </w:r>
            <w:r>
              <w:rPr>
                <w:rFonts w:hint="default" w:ascii="Times New Roman" w:hAnsi="Times New Roman" w:eastAsia="宋体" w:cs="Times New Roman"/>
                <w:b w:val="0"/>
                <w:bCs w:val="0"/>
                <w:color w:val="auto"/>
                <w:spacing w:val="0"/>
                <w:sz w:val="24"/>
                <w:u w:val="none" w:color="auto"/>
                <w:lang w:val="en-US" w:eastAsia="zh-CN"/>
              </w:rPr>
              <w:t>层燃炉</w:t>
            </w:r>
            <w:r>
              <w:rPr>
                <w:rFonts w:hint="default" w:ascii="Times New Roman" w:hAnsi="Times New Roman" w:eastAsia="宋体" w:cs="Times New Roman"/>
                <w:color w:val="auto"/>
                <w:szCs w:val="24"/>
                <w:highlight w:val="none"/>
                <w:u w:val="none" w:color="auto"/>
                <w:lang w:eastAsia="zh-CN"/>
              </w:rPr>
              <w:t>）</w:t>
            </w:r>
            <w:r>
              <w:rPr>
                <w:rFonts w:hint="default" w:ascii="Times New Roman" w:hAnsi="Times New Roman" w:eastAsia="宋体" w:cs="Times New Roman"/>
                <w:color w:val="auto"/>
                <w:szCs w:val="24"/>
                <w:highlight w:val="none"/>
                <w:u w:val="none" w:color="auto"/>
              </w:rPr>
              <w:t>，</w:t>
            </w:r>
            <w:bookmarkEnd w:id="90"/>
            <w:r>
              <w:rPr>
                <w:rFonts w:hint="default" w:ascii="Times New Roman" w:hAnsi="Times New Roman" w:eastAsia="宋体" w:cs="Times New Roman"/>
                <w:color w:val="auto"/>
                <w:szCs w:val="24"/>
                <w:highlight w:val="none"/>
                <w:u w:val="none" w:color="auto"/>
              </w:rPr>
              <w:t>则废气污染物产排污系数</w:t>
            </w:r>
            <w:r>
              <w:rPr>
                <w:rFonts w:hint="default" w:ascii="Times New Roman" w:hAnsi="Times New Roman" w:eastAsia="宋体" w:cs="Times New Roman"/>
                <w:color w:val="auto"/>
                <w:highlight w:val="none"/>
                <w:u w:val="none" w:color="auto"/>
              </w:rPr>
              <w:t>下表：</w:t>
            </w:r>
          </w:p>
          <w:p w14:paraId="5D656C0E">
            <w:pPr>
              <w:jc w:val="center"/>
              <w:rPr>
                <w:rFonts w:hint="default" w:ascii="Times New Roman" w:hAnsi="Times New Roman" w:eastAsia="宋体" w:cs="Times New Roman"/>
                <w:b/>
                <w:bCs/>
                <w:color w:val="auto"/>
                <w:u w:val="none" w:color="auto"/>
                <w:lang w:val="en-US" w:eastAsia="zh-CN"/>
              </w:rPr>
            </w:pPr>
            <w:r>
              <w:rPr>
                <w:rFonts w:hint="default" w:ascii="Times New Roman" w:hAnsi="Times New Roman" w:eastAsia="宋体" w:cs="Times New Roman"/>
                <w:b/>
                <w:bCs/>
                <w:color w:val="auto"/>
                <w:u w:val="none" w:color="auto"/>
                <w:lang w:val="en-US" w:eastAsia="zh-CN"/>
              </w:rPr>
              <w:t>表4-1 生物质</w:t>
            </w:r>
            <w:r>
              <w:rPr>
                <w:rFonts w:hint="default" w:ascii="Times New Roman" w:hAnsi="Times New Roman" w:eastAsia="宋体" w:cs="Times New Roman"/>
                <w:b/>
                <w:bCs/>
                <w:color w:val="auto"/>
                <w:u w:val="none" w:color="auto"/>
              </w:rPr>
              <w:t>燃烧废气</w:t>
            </w:r>
            <w:r>
              <w:rPr>
                <w:rFonts w:hint="default" w:ascii="Times New Roman" w:hAnsi="Times New Roman" w:eastAsia="宋体" w:cs="Times New Roman"/>
                <w:b/>
                <w:bCs/>
                <w:color w:val="auto"/>
                <w:u w:val="none" w:color="auto"/>
                <w:lang w:val="en-US" w:eastAsia="zh-CN"/>
              </w:rPr>
              <w:t>污染物产污系数表</w:t>
            </w:r>
          </w:p>
          <w:tbl>
            <w:tblPr>
              <w:tblStyle w:val="32"/>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153"/>
              <w:gridCol w:w="2245"/>
              <w:gridCol w:w="2058"/>
              <w:gridCol w:w="2059"/>
            </w:tblGrid>
            <w:tr w14:paraId="00FA86E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264" w:type="pct"/>
                  <w:tcBorders>
                    <w:tl2br w:val="nil"/>
                    <w:tr2bl w:val="nil"/>
                  </w:tcBorders>
                  <w:vAlign w:val="center"/>
                </w:tcPr>
                <w:p w14:paraId="535590BF">
                  <w:pPr>
                    <w:jc w:val="center"/>
                    <w:rPr>
                      <w:rFonts w:hint="default" w:ascii="Times New Roman" w:hAnsi="Times New Roman" w:eastAsia="宋体" w:cs="Times New Roman"/>
                      <w:b/>
                      <w:bCs/>
                      <w:color w:val="auto"/>
                      <w:highlight w:val="none"/>
                      <w:u w:val="none" w:color="auto"/>
                    </w:rPr>
                  </w:pPr>
                  <w:r>
                    <w:rPr>
                      <w:rFonts w:hint="default" w:ascii="Times New Roman" w:hAnsi="Times New Roman" w:eastAsia="宋体" w:cs="Times New Roman"/>
                      <w:b/>
                      <w:bCs/>
                      <w:color w:val="auto"/>
                      <w:highlight w:val="none"/>
                      <w:u w:val="none" w:color="auto"/>
                    </w:rPr>
                    <w:t>污染物名称</w:t>
                  </w:r>
                </w:p>
              </w:tc>
              <w:tc>
                <w:tcPr>
                  <w:tcW w:w="1318" w:type="pct"/>
                  <w:tcBorders>
                    <w:tl2br w:val="nil"/>
                    <w:tr2bl w:val="nil"/>
                  </w:tcBorders>
                  <w:vAlign w:val="center"/>
                </w:tcPr>
                <w:p w14:paraId="7776AAE4">
                  <w:pPr>
                    <w:jc w:val="center"/>
                    <w:rPr>
                      <w:rFonts w:hint="default" w:ascii="Times New Roman" w:hAnsi="Times New Roman" w:eastAsia="宋体" w:cs="Times New Roman"/>
                      <w:b/>
                      <w:bCs/>
                      <w:color w:val="auto"/>
                      <w:highlight w:val="none"/>
                      <w:u w:val="none" w:color="auto"/>
                    </w:rPr>
                  </w:pPr>
                  <w:r>
                    <w:rPr>
                      <w:rFonts w:hint="default" w:ascii="Times New Roman" w:hAnsi="Times New Roman" w:eastAsia="宋体" w:cs="Times New Roman"/>
                      <w:b/>
                      <w:bCs/>
                      <w:color w:val="auto"/>
                      <w:highlight w:val="none"/>
                      <w:u w:val="none" w:color="auto"/>
                    </w:rPr>
                    <w:t>单位</w:t>
                  </w:r>
                </w:p>
              </w:tc>
              <w:tc>
                <w:tcPr>
                  <w:tcW w:w="1208" w:type="pct"/>
                  <w:tcBorders>
                    <w:tl2br w:val="nil"/>
                    <w:tr2bl w:val="nil"/>
                  </w:tcBorders>
                  <w:vAlign w:val="center"/>
                </w:tcPr>
                <w:p w14:paraId="52D28868">
                  <w:pPr>
                    <w:jc w:val="center"/>
                    <w:rPr>
                      <w:rFonts w:hint="default" w:ascii="Times New Roman" w:hAnsi="Times New Roman" w:eastAsia="宋体" w:cs="Times New Roman"/>
                      <w:b/>
                      <w:bCs/>
                      <w:color w:val="auto"/>
                      <w:highlight w:val="none"/>
                      <w:u w:val="none" w:color="auto"/>
                    </w:rPr>
                  </w:pPr>
                  <w:r>
                    <w:rPr>
                      <w:rFonts w:hint="default" w:ascii="Times New Roman" w:hAnsi="Times New Roman" w:eastAsia="宋体" w:cs="Times New Roman"/>
                      <w:b/>
                      <w:bCs/>
                      <w:color w:val="auto"/>
                      <w:highlight w:val="none"/>
                      <w:u w:val="none" w:color="auto"/>
                    </w:rPr>
                    <w:t>产污系数</w:t>
                  </w:r>
                </w:p>
              </w:tc>
              <w:tc>
                <w:tcPr>
                  <w:tcW w:w="1208" w:type="pct"/>
                  <w:tcBorders>
                    <w:tl2br w:val="nil"/>
                    <w:tr2bl w:val="nil"/>
                  </w:tcBorders>
                  <w:vAlign w:val="center"/>
                </w:tcPr>
                <w:p w14:paraId="5845C834">
                  <w:pPr>
                    <w:jc w:val="center"/>
                    <w:rPr>
                      <w:rFonts w:hint="default" w:ascii="Times New Roman" w:hAnsi="Times New Roman" w:eastAsia="宋体" w:cs="Times New Roman"/>
                      <w:b/>
                      <w:bCs/>
                      <w:color w:val="auto"/>
                      <w:highlight w:val="none"/>
                      <w:u w:val="none" w:color="auto"/>
                      <w:lang w:val="en-US" w:eastAsia="zh-CN"/>
                    </w:rPr>
                  </w:pPr>
                  <w:r>
                    <w:rPr>
                      <w:rFonts w:hint="default" w:ascii="Times New Roman" w:hAnsi="Times New Roman" w:eastAsia="宋体" w:cs="Times New Roman"/>
                      <w:b/>
                      <w:bCs/>
                      <w:color w:val="auto"/>
                      <w:highlight w:val="none"/>
                      <w:u w:val="none" w:color="auto"/>
                      <w:lang w:val="en-US" w:eastAsia="zh-CN"/>
                    </w:rPr>
                    <w:t>备注</w:t>
                  </w:r>
                </w:p>
              </w:tc>
            </w:tr>
            <w:tr w14:paraId="61C08A7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264" w:type="pct"/>
                  <w:tcBorders>
                    <w:tl2br w:val="nil"/>
                    <w:tr2bl w:val="nil"/>
                  </w:tcBorders>
                  <w:vAlign w:val="center"/>
                </w:tcPr>
                <w:p w14:paraId="74AF6587">
                  <w:pPr>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烟气量</w:t>
                  </w:r>
                </w:p>
              </w:tc>
              <w:tc>
                <w:tcPr>
                  <w:tcW w:w="1318" w:type="pct"/>
                  <w:tcBorders>
                    <w:tl2br w:val="nil"/>
                    <w:tr2bl w:val="nil"/>
                  </w:tcBorders>
                  <w:vAlign w:val="center"/>
                </w:tcPr>
                <w:p w14:paraId="369DCDBB">
                  <w:pPr>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标m</w:t>
                  </w:r>
                  <w:r>
                    <w:rPr>
                      <w:rFonts w:hint="default" w:ascii="Times New Roman" w:hAnsi="Times New Roman" w:eastAsia="宋体" w:cs="Times New Roman"/>
                      <w:color w:val="auto"/>
                      <w:highlight w:val="none"/>
                      <w:u w:val="none" w:color="auto"/>
                      <w:vertAlign w:val="superscript"/>
                    </w:rPr>
                    <w:t>3</w:t>
                  </w:r>
                  <w:r>
                    <w:rPr>
                      <w:rFonts w:hint="default" w:ascii="Times New Roman" w:hAnsi="Times New Roman" w:eastAsia="宋体" w:cs="Times New Roman"/>
                      <w:color w:val="auto"/>
                      <w:highlight w:val="none"/>
                      <w:u w:val="none" w:color="auto"/>
                    </w:rPr>
                    <w:t>/t-原料</w:t>
                  </w:r>
                </w:p>
              </w:tc>
              <w:tc>
                <w:tcPr>
                  <w:tcW w:w="1208" w:type="pct"/>
                  <w:tcBorders>
                    <w:tl2br w:val="nil"/>
                    <w:tr2bl w:val="nil"/>
                  </w:tcBorders>
                  <w:vAlign w:val="center"/>
                </w:tcPr>
                <w:p w14:paraId="2D431474">
                  <w:pPr>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6240</w:t>
                  </w:r>
                </w:p>
              </w:tc>
              <w:tc>
                <w:tcPr>
                  <w:tcW w:w="1208" w:type="pct"/>
                  <w:tcBorders>
                    <w:tl2br w:val="nil"/>
                    <w:tr2bl w:val="nil"/>
                  </w:tcBorders>
                  <w:vAlign w:val="center"/>
                </w:tcPr>
                <w:p w14:paraId="0F207586">
                  <w:pPr>
                    <w:jc w:val="center"/>
                    <w:rPr>
                      <w:rFonts w:hint="default" w:ascii="Times New Roman" w:hAnsi="Times New Roman" w:eastAsia="宋体" w:cs="Times New Roman"/>
                      <w:color w:val="auto"/>
                      <w:highlight w:val="none"/>
                      <w:u w:val="none" w:color="auto"/>
                    </w:rPr>
                  </w:pPr>
                </w:p>
              </w:tc>
            </w:tr>
            <w:tr w14:paraId="4E3253B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264" w:type="pct"/>
                  <w:tcBorders>
                    <w:tl2br w:val="nil"/>
                    <w:tr2bl w:val="nil"/>
                  </w:tcBorders>
                  <w:shd w:val="clear" w:color="auto" w:fill="auto"/>
                  <w:vAlign w:val="center"/>
                </w:tcPr>
                <w:p w14:paraId="0FD5093F">
                  <w:pPr>
                    <w:jc w:val="center"/>
                    <w:rPr>
                      <w:rFonts w:hint="default" w:ascii="Times New Roman" w:hAnsi="Times New Roman" w:eastAsia="宋体" w:cs="Times New Roman"/>
                      <w:color w:val="auto"/>
                      <w:kern w:val="2"/>
                      <w:sz w:val="21"/>
                      <w:szCs w:val="24"/>
                      <w:highlight w:val="none"/>
                      <w:u w:val="none" w:color="auto"/>
                      <w:lang w:val="en-US" w:eastAsia="zh-CN" w:bidi="ar-SA"/>
                    </w:rPr>
                  </w:pPr>
                  <w:r>
                    <w:rPr>
                      <w:rFonts w:hint="default" w:ascii="Times New Roman" w:hAnsi="Times New Roman" w:eastAsia="宋体" w:cs="Times New Roman"/>
                      <w:color w:val="auto"/>
                      <w:highlight w:val="none"/>
                      <w:u w:val="none" w:color="auto"/>
                    </w:rPr>
                    <w:t>烟尘</w:t>
                  </w:r>
                </w:p>
              </w:tc>
              <w:tc>
                <w:tcPr>
                  <w:tcW w:w="1318" w:type="pct"/>
                  <w:tcBorders>
                    <w:tl2br w:val="nil"/>
                    <w:tr2bl w:val="nil"/>
                  </w:tcBorders>
                  <w:shd w:val="clear" w:color="auto" w:fill="auto"/>
                  <w:vAlign w:val="center"/>
                </w:tcPr>
                <w:p w14:paraId="294AD345">
                  <w:pPr>
                    <w:jc w:val="center"/>
                    <w:rPr>
                      <w:rFonts w:hint="default" w:ascii="Times New Roman" w:hAnsi="Times New Roman" w:eastAsia="宋体" w:cs="Times New Roman"/>
                      <w:color w:val="auto"/>
                      <w:kern w:val="2"/>
                      <w:sz w:val="21"/>
                      <w:szCs w:val="24"/>
                      <w:highlight w:val="none"/>
                      <w:u w:val="none" w:color="auto"/>
                      <w:lang w:val="en-US" w:eastAsia="zh-CN" w:bidi="ar-SA"/>
                    </w:rPr>
                  </w:pPr>
                  <w:r>
                    <w:rPr>
                      <w:rFonts w:hint="default" w:ascii="Times New Roman" w:hAnsi="Times New Roman" w:eastAsia="宋体" w:cs="Times New Roman"/>
                      <w:color w:val="auto"/>
                      <w:highlight w:val="none"/>
                      <w:u w:val="none" w:color="auto"/>
                    </w:rPr>
                    <w:t>kg/t-原料</w:t>
                  </w:r>
                </w:p>
              </w:tc>
              <w:tc>
                <w:tcPr>
                  <w:tcW w:w="1208" w:type="pct"/>
                  <w:tcBorders>
                    <w:tl2br w:val="nil"/>
                    <w:tr2bl w:val="nil"/>
                  </w:tcBorders>
                  <w:shd w:val="clear" w:color="auto" w:fill="auto"/>
                  <w:vAlign w:val="center"/>
                </w:tcPr>
                <w:p w14:paraId="4F657B01">
                  <w:pPr>
                    <w:jc w:val="center"/>
                    <w:rPr>
                      <w:rFonts w:hint="default" w:ascii="Times New Roman" w:hAnsi="Times New Roman" w:eastAsia="宋体" w:cs="Times New Roman"/>
                      <w:color w:val="auto"/>
                      <w:kern w:val="2"/>
                      <w:sz w:val="21"/>
                      <w:szCs w:val="24"/>
                      <w:highlight w:val="none"/>
                      <w:u w:val="none" w:color="auto"/>
                      <w:lang w:val="en-US" w:eastAsia="zh-CN" w:bidi="ar-SA"/>
                    </w:rPr>
                  </w:pPr>
                  <w:r>
                    <w:rPr>
                      <w:rFonts w:hint="default" w:ascii="Times New Roman" w:hAnsi="Times New Roman" w:eastAsia="宋体" w:cs="Times New Roman"/>
                      <w:color w:val="auto"/>
                      <w:highlight w:val="none"/>
                      <w:u w:val="none" w:color="auto"/>
                    </w:rPr>
                    <w:t>0.5</w:t>
                  </w:r>
                </w:p>
              </w:tc>
              <w:tc>
                <w:tcPr>
                  <w:tcW w:w="1208" w:type="pct"/>
                  <w:tcBorders>
                    <w:tl2br w:val="nil"/>
                    <w:tr2bl w:val="nil"/>
                  </w:tcBorders>
                  <w:shd w:val="clear" w:color="auto" w:fill="auto"/>
                  <w:vAlign w:val="center"/>
                </w:tcPr>
                <w:p w14:paraId="6BB2BD5B">
                  <w:pPr>
                    <w:jc w:val="center"/>
                    <w:rPr>
                      <w:rFonts w:hint="default" w:ascii="Times New Roman" w:hAnsi="Times New Roman" w:eastAsia="宋体" w:cs="Times New Roman"/>
                      <w:color w:val="auto"/>
                      <w:kern w:val="2"/>
                      <w:sz w:val="21"/>
                      <w:szCs w:val="24"/>
                      <w:highlight w:val="none"/>
                      <w:u w:val="none" w:color="auto"/>
                      <w:lang w:val="en-US" w:eastAsia="zh-CN" w:bidi="ar-SA"/>
                    </w:rPr>
                  </w:pPr>
                </w:p>
              </w:tc>
            </w:tr>
            <w:tr w14:paraId="524582D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264" w:type="pct"/>
                  <w:tcBorders>
                    <w:tl2br w:val="nil"/>
                    <w:tr2bl w:val="nil"/>
                  </w:tcBorders>
                  <w:vAlign w:val="center"/>
                </w:tcPr>
                <w:p w14:paraId="7524D8F4">
                  <w:pPr>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SO</w:t>
                  </w:r>
                  <w:r>
                    <w:rPr>
                      <w:rFonts w:hint="default" w:ascii="Times New Roman" w:hAnsi="Times New Roman" w:eastAsia="宋体" w:cs="Times New Roman"/>
                      <w:color w:val="auto"/>
                      <w:highlight w:val="none"/>
                      <w:u w:val="none" w:color="auto"/>
                      <w:vertAlign w:val="subscript"/>
                    </w:rPr>
                    <w:t>2</w:t>
                  </w:r>
                </w:p>
              </w:tc>
              <w:tc>
                <w:tcPr>
                  <w:tcW w:w="1318" w:type="pct"/>
                  <w:tcBorders>
                    <w:tl2br w:val="nil"/>
                    <w:tr2bl w:val="nil"/>
                  </w:tcBorders>
                  <w:vAlign w:val="center"/>
                </w:tcPr>
                <w:p w14:paraId="49128F88">
                  <w:pPr>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kg/t-原料</w:t>
                  </w:r>
                </w:p>
              </w:tc>
              <w:tc>
                <w:tcPr>
                  <w:tcW w:w="1208" w:type="pct"/>
                  <w:tcBorders>
                    <w:tl2br w:val="nil"/>
                    <w:tr2bl w:val="nil"/>
                  </w:tcBorders>
                  <w:vAlign w:val="center"/>
                </w:tcPr>
                <w:p w14:paraId="36224968">
                  <w:pPr>
                    <w:jc w:val="center"/>
                    <w:rPr>
                      <w:rFonts w:hint="default" w:ascii="Times New Roman" w:hAnsi="Times New Roman" w:eastAsia="宋体" w:cs="Times New Roman"/>
                      <w:color w:val="auto"/>
                      <w:highlight w:val="none"/>
                      <w:u w:val="none" w:color="auto"/>
                      <w:lang w:eastAsia="zh-CN"/>
                    </w:rPr>
                  </w:pPr>
                  <w:r>
                    <w:rPr>
                      <w:rFonts w:hint="default" w:ascii="Times New Roman" w:hAnsi="Times New Roman" w:eastAsia="宋体" w:cs="Times New Roman"/>
                      <w:color w:val="auto"/>
                      <w:highlight w:val="none"/>
                      <w:u w:val="none" w:color="auto"/>
                    </w:rPr>
                    <w:t>17S</w:t>
                  </w:r>
                  <w:r>
                    <w:rPr>
                      <w:rFonts w:hint="default" w:ascii="Times New Roman" w:hAnsi="Times New Roman" w:eastAsia="宋体" w:cs="Times New Roman"/>
                      <w:color w:val="auto"/>
                      <w:highlight w:val="none"/>
                      <w:u w:val="none" w:color="auto"/>
                      <w:lang w:eastAsia="zh-CN"/>
                    </w:rPr>
                    <w:t>（</w:t>
                  </w:r>
                  <w:r>
                    <w:rPr>
                      <w:rFonts w:hint="default" w:ascii="Times New Roman" w:hAnsi="Times New Roman" w:eastAsia="宋体" w:cs="Times New Roman"/>
                      <w:color w:val="auto"/>
                      <w:highlight w:val="none"/>
                      <w:u w:val="none" w:color="auto"/>
                      <w:lang w:val="en-US" w:eastAsia="zh-CN"/>
                    </w:rPr>
                    <w:t>0.34</w:t>
                  </w:r>
                  <w:r>
                    <w:rPr>
                      <w:rFonts w:hint="default" w:ascii="Times New Roman" w:hAnsi="Times New Roman" w:eastAsia="宋体" w:cs="Times New Roman"/>
                      <w:color w:val="auto"/>
                      <w:highlight w:val="none"/>
                      <w:u w:val="none" w:color="auto"/>
                      <w:lang w:eastAsia="zh-CN"/>
                    </w:rPr>
                    <w:t>）</w:t>
                  </w:r>
                </w:p>
              </w:tc>
              <w:tc>
                <w:tcPr>
                  <w:tcW w:w="1208" w:type="pct"/>
                  <w:tcBorders>
                    <w:tl2br w:val="nil"/>
                    <w:tr2bl w:val="nil"/>
                  </w:tcBorders>
                  <w:vAlign w:val="center"/>
                </w:tcPr>
                <w:p w14:paraId="05A1C104">
                  <w:pPr>
                    <w:jc w:val="center"/>
                    <w:rPr>
                      <w:rFonts w:hint="default" w:ascii="Times New Roman" w:hAnsi="Times New Roman" w:eastAsia="宋体" w:cs="Times New Roman"/>
                      <w:color w:val="auto"/>
                      <w:highlight w:val="none"/>
                      <w:u w:val="none" w:color="auto"/>
                    </w:rPr>
                  </w:pPr>
                </w:p>
              </w:tc>
            </w:tr>
            <w:tr w14:paraId="088722D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264" w:type="pct"/>
                  <w:tcBorders>
                    <w:tl2br w:val="nil"/>
                    <w:tr2bl w:val="nil"/>
                  </w:tcBorders>
                  <w:vAlign w:val="center"/>
                </w:tcPr>
                <w:p w14:paraId="71798024">
                  <w:pPr>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NOx</w:t>
                  </w:r>
                </w:p>
              </w:tc>
              <w:tc>
                <w:tcPr>
                  <w:tcW w:w="1318" w:type="pct"/>
                  <w:tcBorders>
                    <w:tl2br w:val="nil"/>
                    <w:tr2bl w:val="nil"/>
                  </w:tcBorders>
                  <w:vAlign w:val="center"/>
                </w:tcPr>
                <w:p w14:paraId="162EFA10">
                  <w:pPr>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kg/t-原料</w:t>
                  </w:r>
                </w:p>
              </w:tc>
              <w:tc>
                <w:tcPr>
                  <w:tcW w:w="1208" w:type="pct"/>
                  <w:tcBorders>
                    <w:tl2br w:val="nil"/>
                    <w:tr2bl w:val="nil"/>
                  </w:tcBorders>
                  <w:vAlign w:val="center"/>
                </w:tcPr>
                <w:p w14:paraId="5FB646FF">
                  <w:pPr>
                    <w:jc w:val="center"/>
                    <w:rPr>
                      <w:rFonts w:hint="default" w:ascii="Times New Roman" w:hAnsi="Times New Roman" w:eastAsia="宋体" w:cs="Times New Roman"/>
                      <w:color w:val="auto"/>
                      <w:highlight w:val="none"/>
                      <w:u w:val="none" w:color="auto"/>
                      <w:lang w:val="en-US" w:eastAsia="zh-CN"/>
                    </w:rPr>
                  </w:pPr>
                  <w:r>
                    <w:rPr>
                      <w:rFonts w:hint="default" w:ascii="Times New Roman" w:hAnsi="Times New Roman" w:eastAsia="宋体" w:cs="Times New Roman"/>
                      <w:color w:val="auto"/>
                      <w:highlight w:val="none"/>
                      <w:u w:val="none" w:color="auto"/>
                    </w:rPr>
                    <w:t>1.02</w:t>
                  </w:r>
                  <w:r>
                    <w:rPr>
                      <w:rFonts w:hint="default" w:ascii="Times New Roman" w:hAnsi="Times New Roman" w:eastAsia="宋体" w:cs="Times New Roman"/>
                      <w:color w:val="auto"/>
                      <w:highlight w:val="none"/>
                      <w:u w:val="none" w:color="auto"/>
                      <w:lang w:val="en-US" w:eastAsia="zh-CN"/>
                    </w:rPr>
                    <w:t>*（1-30%）</w:t>
                  </w:r>
                </w:p>
              </w:tc>
              <w:tc>
                <w:tcPr>
                  <w:tcW w:w="1208" w:type="pct"/>
                  <w:tcBorders>
                    <w:tl2br w:val="nil"/>
                    <w:tr2bl w:val="nil"/>
                  </w:tcBorders>
                  <w:vAlign w:val="center"/>
                </w:tcPr>
                <w:p w14:paraId="450E6582">
                  <w:pPr>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lang w:val="en-US" w:eastAsia="zh-CN"/>
                    </w:rPr>
                    <w:t>低氮燃烧</w:t>
                  </w:r>
                </w:p>
              </w:tc>
            </w:tr>
          </w:tbl>
          <w:p w14:paraId="0CF223F1">
            <w:pPr>
              <w:pStyle w:val="104"/>
              <w:rPr>
                <w:rFonts w:hint="default" w:ascii="Times New Roman" w:hAnsi="Times New Roman" w:eastAsia="宋体" w:cs="Times New Roman"/>
                <w:b/>
                <w:bCs/>
                <w:color w:val="auto"/>
                <w:highlight w:val="none"/>
                <w:u w:val="none" w:color="auto"/>
              </w:rPr>
            </w:pPr>
            <w:r>
              <w:rPr>
                <w:rFonts w:hint="default" w:ascii="Times New Roman" w:hAnsi="Times New Roman" w:eastAsia="宋体" w:cs="Times New Roman"/>
                <w:b/>
                <w:bCs/>
                <w:color w:val="auto"/>
                <w:highlight w:val="none"/>
                <w:u w:val="none" w:color="auto"/>
              </w:rPr>
              <w:t>注：产排污系数表中二氧化硫的产排污系数是以含硫量（S%）的形式表示的，其中含硫量（S%）是指生物质收到基硫分含量，以质量百分数的形式表示。</w:t>
            </w:r>
            <w:r>
              <w:rPr>
                <w:rFonts w:hint="default" w:ascii="Times New Roman" w:hAnsi="Times New Roman" w:eastAsia="宋体" w:cs="Times New Roman"/>
                <w:b/>
                <w:bCs/>
                <w:color w:val="auto"/>
                <w:highlight w:val="none"/>
                <w:u w:val="none" w:color="auto"/>
                <w:lang w:val="en-US" w:eastAsia="zh-CN"/>
              </w:rPr>
              <w:t>根据</w:t>
            </w:r>
            <w:r>
              <w:rPr>
                <w:rFonts w:hint="default" w:ascii="Times New Roman" w:hAnsi="Times New Roman" w:eastAsia="宋体" w:cs="Times New Roman"/>
                <w:b/>
                <w:bCs/>
                <w:color w:val="auto"/>
                <w:highlight w:val="none"/>
                <w:u w:val="none" w:color="auto"/>
              </w:rPr>
              <w:t>生物质</w:t>
            </w:r>
            <w:r>
              <w:rPr>
                <w:rFonts w:hint="default" w:ascii="Times New Roman" w:hAnsi="Times New Roman" w:eastAsia="宋体" w:cs="Times New Roman"/>
                <w:b/>
                <w:bCs/>
                <w:color w:val="auto"/>
                <w:highlight w:val="none"/>
                <w:u w:val="none" w:color="auto"/>
                <w:lang w:val="en-US" w:eastAsia="zh-CN"/>
              </w:rPr>
              <w:t>颗粒成分分析报告（详见附件7），全硫含量为0.02%，</w:t>
            </w:r>
            <w:r>
              <w:rPr>
                <w:rFonts w:hint="default" w:ascii="Times New Roman" w:hAnsi="Times New Roman" w:eastAsia="宋体" w:cs="Times New Roman"/>
                <w:b/>
                <w:bCs/>
                <w:color w:val="auto"/>
                <w:highlight w:val="none"/>
                <w:u w:val="none" w:color="auto"/>
              </w:rPr>
              <w:t>则S=</w:t>
            </w:r>
            <w:r>
              <w:rPr>
                <w:rFonts w:hint="default" w:ascii="Times New Roman" w:hAnsi="Times New Roman" w:eastAsia="宋体" w:cs="Times New Roman"/>
                <w:b/>
                <w:bCs/>
                <w:color w:val="auto"/>
                <w:highlight w:val="none"/>
                <w:u w:val="none" w:color="auto"/>
                <w:lang w:eastAsia="zh-CN"/>
              </w:rPr>
              <w:t>0.0</w:t>
            </w:r>
            <w:r>
              <w:rPr>
                <w:rFonts w:hint="default" w:ascii="Times New Roman" w:hAnsi="Times New Roman" w:eastAsia="宋体" w:cs="Times New Roman"/>
                <w:b/>
                <w:bCs/>
                <w:color w:val="auto"/>
                <w:highlight w:val="none"/>
                <w:u w:val="none" w:color="auto"/>
                <w:lang w:val="en-US" w:eastAsia="zh-CN"/>
              </w:rPr>
              <w:t>2</w:t>
            </w:r>
            <w:r>
              <w:rPr>
                <w:rFonts w:hint="default" w:ascii="Times New Roman" w:hAnsi="Times New Roman" w:eastAsia="宋体" w:cs="Times New Roman"/>
                <w:b/>
                <w:bCs/>
                <w:color w:val="auto"/>
                <w:highlight w:val="none"/>
                <w:u w:val="none" w:color="auto"/>
              </w:rPr>
              <w:t>。</w:t>
            </w:r>
          </w:p>
          <w:p w14:paraId="2682E714">
            <w:pPr>
              <w:jc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b/>
                <w:bCs/>
                <w:color w:val="auto"/>
                <w:u w:val="none" w:color="auto"/>
                <w:lang w:val="en-US" w:eastAsia="zh-CN"/>
              </w:rPr>
              <w:t>表4-2 生物质</w:t>
            </w:r>
            <w:r>
              <w:rPr>
                <w:rFonts w:hint="default" w:ascii="Times New Roman" w:hAnsi="Times New Roman" w:eastAsia="宋体" w:cs="Times New Roman"/>
                <w:b/>
                <w:bCs/>
                <w:color w:val="auto"/>
                <w:u w:val="none" w:color="auto"/>
              </w:rPr>
              <w:t>燃烧废气排放情况一览表</w:t>
            </w:r>
          </w:p>
          <w:tbl>
            <w:tblPr>
              <w:tblStyle w:val="32"/>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3295"/>
              <w:gridCol w:w="2610"/>
              <w:gridCol w:w="2610"/>
            </w:tblGrid>
            <w:tr w14:paraId="3B47138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934" w:type="pct"/>
                  <w:tcBorders>
                    <w:tl2br w:val="nil"/>
                    <w:tr2bl w:val="nil"/>
                  </w:tcBorders>
                  <w:vAlign w:val="center"/>
                </w:tcPr>
                <w:p w14:paraId="51C40A96">
                  <w:pPr>
                    <w:jc w:val="center"/>
                    <w:rPr>
                      <w:rFonts w:hint="default" w:ascii="Times New Roman" w:hAnsi="Times New Roman" w:eastAsia="宋体" w:cs="Times New Roman"/>
                      <w:b/>
                      <w:bCs/>
                      <w:color w:val="auto"/>
                      <w:highlight w:val="none"/>
                      <w:u w:val="none" w:color="auto"/>
                    </w:rPr>
                  </w:pPr>
                  <w:r>
                    <w:rPr>
                      <w:rFonts w:hint="default" w:ascii="Times New Roman" w:hAnsi="Times New Roman" w:eastAsia="宋体" w:cs="Times New Roman"/>
                      <w:b/>
                      <w:bCs/>
                      <w:color w:val="auto"/>
                      <w:highlight w:val="none"/>
                      <w:u w:val="none" w:color="auto"/>
                    </w:rPr>
                    <w:t>污染物名称</w:t>
                  </w:r>
                </w:p>
              </w:tc>
              <w:tc>
                <w:tcPr>
                  <w:tcW w:w="1532" w:type="pct"/>
                  <w:tcBorders>
                    <w:tl2br w:val="nil"/>
                    <w:tr2bl w:val="nil"/>
                  </w:tcBorders>
                  <w:shd w:val="clear" w:color="auto" w:fill="auto"/>
                  <w:vAlign w:val="center"/>
                </w:tcPr>
                <w:p w14:paraId="3D689A79">
                  <w:pPr>
                    <w:jc w:val="center"/>
                    <w:rPr>
                      <w:rFonts w:hint="default" w:ascii="Times New Roman" w:hAnsi="Times New Roman" w:eastAsia="宋体" w:cs="Times New Roman"/>
                      <w:b/>
                      <w:bCs/>
                      <w:color w:val="auto"/>
                      <w:kern w:val="2"/>
                      <w:sz w:val="21"/>
                      <w:szCs w:val="24"/>
                      <w:highlight w:val="none"/>
                      <w:u w:val="none" w:color="auto"/>
                      <w:lang w:val="en-US" w:eastAsia="zh-CN" w:bidi="ar-SA"/>
                    </w:rPr>
                  </w:pPr>
                  <w:r>
                    <w:rPr>
                      <w:rFonts w:hint="default" w:ascii="Times New Roman" w:hAnsi="Times New Roman" w:eastAsia="宋体" w:cs="Times New Roman"/>
                      <w:b/>
                      <w:bCs/>
                      <w:color w:val="auto"/>
                      <w:highlight w:val="none"/>
                      <w:u w:val="none" w:color="auto"/>
                    </w:rPr>
                    <w:t>产生量t/a</w:t>
                  </w:r>
                </w:p>
              </w:tc>
              <w:tc>
                <w:tcPr>
                  <w:tcW w:w="1532" w:type="pct"/>
                  <w:tcBorders>
                    <w:tl2br w:val="nil"/>
                    <w:tr2bl w:val="nil"/>
                  </w:tcBorders>
                  <w:shd w:val="clear" w:color="auto" w:fill="auto"/>
                  <w:vAlign w:val="center"/>
                </w:tcPr>
                <w:p w14:paraId="46C14242">
                  <w:pPr>
                    <w:jc w:val="center"/>
                    <w:rPr>
                      <w:rFonts w:hint="default" w:ascii="Times New Roman" w:hAnsi="Times New Roman" w:eastAsia="宋体" w:cs="Times New Roman"/>
                      <w:b/>
                      <w:bCs/>
                      <w:color w:val="auto"/>
                      <w:highlight w:val="none"/>
                      <w:u w:val="none" w:color="auto"/>
                      <w:lang w:val="en-US" w:eastAsia="zh-CN"/>
                    </w:rPr>
                  </w:pPr>
                  <w:r>
                    <w:rPr>
                      <w:rFonts w:hint="default" w:ascii="Times New Roman" w:hAnsi="Times New Roman" w:eastAsia="宋体" w:cs="Times New Roman"/>
                      <w:b/>
                      <w:bCs/>
                      <w:color w:val="auto"/>
                      <w:highlight w:val="none"/>
                      <w:u w:val="none" w:color="auto"/>
                      <w:lang w:val="en-US" w:eastAsia="zh-CN"/>
                    </w:rPr>
                    <w:t>产生速率（kg/h）</w:t>
                  </w:r>
                </w:p>
              </w:tc>
            </w:tr>
            <w:tr w14:paraId="36F7F74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934" w:type="pct"/>
                  <w:tcBorders>
                    <w:tl2br w:val="nil"/>
                    <w:tr2bl w:val="nil"/>
                  </w:tcBorders>
                  <w:vAlign w:val="center"/>
                </w:tcPr>
                <w:p w14:paraId="3D9312FE">
                  <w:pPr>
                    <w:jc w:val="center"/>
                    <w:rPr>
                      <w:rFonts w:hint="default" w:ascii="Times New Roman" w:hAnsi="Times New Roman" w:eastAsia="宋体" w:cs="Times New Roman"/>
                      <w:color w:val="auto"/>
                      <w:highlight w:val="none"/>
                      <w:u w:val="none" w:color="auto"/>
                      <w:lang w:val="en-US" w:eastAsia="zh-CN"/>
                    </w:rPr>
                  </w:pPr>
                  <w:r>
                    <w:rPr>
                      <w:rFonts w:hint="default" w:ascii="Times New Roman" w:hAnsi="Times New Roman" w:eastAsia="宋体" w:cs="Times New Roman"/>
                      <w:color w:val="auto"/>
                      <w:highlight w:val="none"/>
                      <w:u w:val="none" w:color="auto"/>
                      <w:lang w:val="en-US" w:eastAsia="zh-CN"/>
                    </w:rPr>
                    <w:t>烟气量</w:t>
                  </w:r>
                </w:p>
              </w:tc>
              <w:tc>
                <w:tcPr>
                  <w:tcW w:w="1532" w:type="pct"/>
                  <w:tcBorders>
                    <w:tl2br w:val="nil"/>
                    <w:tr2bl w:val="nil"/>
                  </w:tcBorders>
                  <w:shd w:val="clear" w:color="auto" w:fill="auto"/>
                  <w:vAlign w:val="center"/>
                </w:tcPr>
                <w:p w14:paraId="331A383E">
                  <w:pPr>
                    <w:jc w:val="center"/>
                    <w:rPr>
                      <w:rFonts w:hint="default" w:ascii="Times New Roman" w:hAnsi="Times New Roman" w:eastAsia="宋体" w:cs="Times New Roman"/>
                      <w:color w:val="auto"/>
                      <w:highlight w:val="none"/>
                      <w:u w:val="none" w:color="auto"/>
                      <w:lang w:val="en-US" w:eastAsia="zh-CN"/>
                    </w:rPr>
                  </w:pPr>
                  <w:r>
                    <w:rPr>
                      <w:rFonts w:hint="default" w:ascii="Times New Roman" w:hAnsi="Times New Roman" w:eastAsia="宋体" w:cs="Times New Roman"/>
                      <w:color w:val="auto"/>
                      <w:highlight w:val="none"/>
                      <w:u w:val="none" w:color="auto"/>
                      <w:lang w:val="en-US" w:eastAsia="zh-CN"/>
                    </w:rPr>
                    <w:t>99840000（</w:t>
                  </w:r>
                  <w:r>
                    <w:rPr>
                      <w:rFonts w:hint="default" w:ascii="Times New Roman" w:hAnsi="Times New Roman" w:eastAsia="宋体" w:cs="Times New Roman"/>
                      <w:color w:val="auto"/>
                      <w:highlight w:val="none"/>
                      <w:u w:val="none" w:color="auto"/>
                    </w:rPr>
                    <w:t>标m</w:t>
                  </w:r>
                  <w:r>
                    <w:rPr>
                      <w:rFonts w:hint="default" w:ascii="Times New Roman" w:hAnsi="Times New Roman" w:eastAsia="宋体" w:cs="Times New Roman"/>
                      <w:color w:val="auto"/>
                      <w:highlight w:val="none"/>
                      <w:u w:val="none" w:color="auto"/>
                      <w:vertAlign w:val="superscript"/>
                    </w:rPr>
                    <w:t>3</w:t>
                  </w:r>
                  <w:r>
                    <w:rPr>
                      <w:rFonts w:hint="default" w:ascii="Times New Roman" w:hAnsi="Times New Roman" w:eastAsia="宋体" w:cs="Times New Roman"/>
                      <w:color w:val="auto"/>
                      <w:highlight w:val="none"/>
                      <w:u w:val="none" w:color="auto"/>
                    </w:rPr>
                    <w:t>/</w:t>
                  </w:r>
                  <w:r>
                    <w:rPr>
                      <w:rFonts w:hint="default" w:ascii="Times New Roman" w:hAnsi="Times New Roman" w:eastAsia="宋体" w:cs="Times New Roman"/>
                      <w:color w:val="auto"/>
                      <w:highlight w:val="none"/>
                      <w:u w:val="none" w:color="auto"/>
                      <w:lang w:val="en-US" w:eastAsia="zh-CN"/>
                    </w:rPr>
                    <w:t>a）</w:t>
                  </w:r>
                </w:p>
              </w:tc>
              <w:tc>
                <w:tcPr>
                  <w:tcW w:w="2426" w:type="dxa"/>
                  <w:tcBorders>
                    <w:tl2br w:val="nil"/>
                    <w:tr2bl w:val="nil"/>
                  </w:tcBorders>
                  <w:shd w:val="clear" w:color="auto" w:fill="auto"/>
                  <w:vAlign w:val="center"/>
                </w:tcPr>
                <w:p w14:paraId="55B328B1">
                  <w:pPr>
                    <w:keepNext w:val="0"/>
                    <w:keepLines w:val="0"/>
                    <w:widowControl/>
                    <w:suppressLineNumbers w:val="0"/>
                    <w:jc w:val="center"/>
                    <w:textAlignment w:val="center"/>
                    <w:rPr>
                      <w:rFonts w:hint="default" w:ascii="Times New Roman" w:hAnsi="Times New Roman" w:eastAsia="宋体" w:cs="Times New Roman"/>
                      <w:color w:val="auto"/>
                      <w:highlight w:val="none"/>
                      <w:u w:val="none" w:color="auto"/>
                      <w:lang w:val="en-US" w:eastAsia="zh-CN"/>
                    </w:rPr>
                  </w:pPr>
                  <w:r>
                    <w:rPr>
                      <w:rFonts w:hint="default" w:ascii="Times New Roman" w:hAnsi="Times New Roman" w:eastAsia="宋体" w:cs="Times New Roman"/>
                      <w:i w:val="0"/>
                      <w:iCs w:val="0"/>
                      <w:color w:val="auto"/>
                      <w:kern w:val="0"/>
                      <w:sz w:val="21"/>
                      <w:szCs w:val="21"/>
                      <w:u w:val="none" w:color="auto"/>
                      <w:lang w:val="en-US" w:eastAsia="zh-CN" w:bidi="ar"/>
                    </w:rPr>
                    <w:t>12606.06</w:t>
                  </w:r>
                  <w:r>
                    <w:rPr>
                      <w:rFonts w:hint="default" w:ascii="Times New Roman" w:hAnsi="Times New Roman" w:eastAsia="宋体" w:cs="Times New Roman"/>
                      <w:color w:val="auto"/>
                      <w:highlight w:val="none"/>
                      <w:u w:val="none" w:color="auto"/>
                    </w:rPr>
                    <w:t>m</w:t>
                  </w:r>
                  <w:r>
                    <w:rPr>
                      <w:rFonts w:hint="default" w:ascii="Times New Roman" w:hAnsi="Times New Roman" w:eastAsia="宋体" w:cs="Times New Roman"/>
                      <w:color w:val="auto"/>
                      <w:highlight w:val="none"/>
                      <w:u w:val="none" w:color="auto"/>
                      <w:vertAlign w:val="superscript"/>
                    </w:rPr>
                    <w:t>3</w:t>
                  </w:r>
                  <w:r>
                    <w:rPr>
                      <w:rFonts w:hint="default" w:ascii="Times New Roman" w:hAnsi="Times New Roman" w:eastAsia="宋体" w:cs="Times New Roman"/>
                      <w:color w:val="auto"/>
                      <w:highlight w:val="none"/>
                      <w:u w:val="none" w:color="auto"/>
                    </w:rPr>
                    <w:t>/</w:t>
                  </w:r>
                  <w:r>
                    <w:rPr>
                      <w:rFonts w:hint="default" w:ascii="Times New Roman" w:hAnsi="Times New Roman" w:eastAsia="宋体" w:cs="Times New Roman"/>
                      <w:color w:val="auto"/>
                      <w:highlight w:val="none"/>
                      <w:u w:val="none" w:color="auto"/>
                      <w:lang w:val="en-US" w:eastAsia="zh-CN"/>
                    </w:rPr>
                    <w:t>h</w:t>
                  </w:r>
                </w:p>
              </w:tc>
            </w:tr>
            <w:tr w14:paraId="436AEC7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934" w:type="pct"/>
                  <w:tcBorders>
                    <w:tl2br w:val="nil"/>
                    <w:tr2bl w:val="nil"/>
                  </w:tcBorders>
                  <w:shd w:val="clear" w:color="auto" w:fill="auto"/>
                  <w:vAlign w:val="center"/>
                </w:tcPr>
                <w:p w14:paraId="5F55B308">
                  <w:pPr>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烟尘</w:t>
                  </w:r>
                </w:p>
              </w:tc>
              <w:tc>
                <w:tcPr>
                  <w:tcW w:w="1532" w:type="pct"/>
                  <w:tcBorders>
                    <w:tl2br w:val="nil"/>
                    <w:tr2bl w:val="nil"/>
                  </w:tcBorders>
                  <w:shd w:val="clear" w:color="auto" w:fill="auto"/>
                  <w:vAlign w:val="center"/>
                </w:tcPr>
                <w:p w14:paraId="4A8CD432">
                  <w:pPr>
                    <w:keepNext w:val="0"/>
                    <w:keepLines w:val="0"/>
                    <w:widowControl/>
                    <w:suppressLineNumbers w:val="0"/>
                    <w:jc w:val="center"/>
                    <w:textAlignment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8</w:t>
                  </w:r>
                </w:p>
              </w:tc>
              <w:tc>
                <w:tcPr>
                  <w:tcW w:w="2426" w:type="dxa"/>
                  <w:tcBorders>
                    <w:tl2br w:val="nil"/>
                    <w:tr2bl w:val="nil"/>
                  </w:tcBorders>
                  <w:shd w:val="clear" w:color="auto" w:fill="auto"/>
                  <w:vAlign w:val="center"/>
                </w:tcPr>
                <w:p w14:paraId="1DD2E32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1.0101</w:t>
                  </w:r>
                </w:p>
              </w:tc>
            </w:tr>
            <w:tr w14:paraId="794340F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934" w:type="pct"/>
                  <w:tcBorders>
                    <w:tl2br w:val="nil"/>
                    <w:tr2bl w:val="nil"/>
                  </w:tcBorders>
                  <w:shd w:val="clear" w:color="auto" w:fill="auto"/>
                  <w:vAlign w:val="center"/>
                </w:tcPr>
                <w:p w14:paraId="62B3CFA4">
                  <w:pPr>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SO</w:t>
                  </w:r>
                  <w:r>
                    <w:rPr>
                      <w:rFonts w:hint="default" w:ascii="Times New Roman" w:hAnsi="Times New Roman" w:eastAsia="宋体" w:cs="Times New Roman"/>
                      <w:color w:val="auto"/>
                      <w:highlight w:val="none"/>
                      <w:u w:val="none" w:color="auto"/>
                      <w:vertAlign w:val="subscript"/>
                    </w:rPr>
                    <w:t>2</w:t>
                  </w:r>
                </w:p>
              </w:tc>
              <w:tc>
                <w:tcPr>
                  <w:tcW w:w="1532" w:type="pct"/>
                  <w:tcBorders>
                    <w:tl2br w:val="nil"/>
                    <w:tr2bl w:val="nil"/>
                  </w:tcBorders>
                  <w:shd w:val="clear" w:color="auto" w:fill="auto"/>
                  <w:vAlign w:val="center"/>
                </w:tcPr>
                <w:p w14:paraId="5CD045C2">
                  <w:pPr>
                    <w:keepNext w:val="0"/>
                    <w:keepLines w:val="0"/>
                    <w:widowControl/>
                    <w:suppressLineNumbers w:val="0"/>
                    <w:jc w:val="center"/>
                    <w:textAlignment w:val="center"/>
                    <w:rPr>
                      <w:rFonts w:hint="default" w:ascii="Times New Roman" w:hAnsi="Times New Roman" w:eastAsia="宋体" w:cs="Times New Roman"/>
                      <w:color w:val="auto"/>
                      <w:highlight w:val="none"/>
                      <w:u w:val="none" w:color="auto"/>
                      <w:lang w:eastAsia="zh-CN"/>
                    </w:rPr>
                  </w:pPr>
                  <w:r>
                    <w:rPr>
                      <w:rFonts w:hint="default" w:ascii="Times New Roman" w:hAnsi="Times New Roman" w:eastAsia="宋体" w:cs="Times New Roman"/>
                      <w:i w:val="0"/>
                      <w:iCs w:val="0"/>
                      <w:color w:val="auto"/>
                      <w:kern w:val="0"/>
                      <w:sz w:val="21"/>
                      <w:szCs w:val="21"/>
                      <w:u w:val="none" w:color="auto"/>
                      <w:lang w:val="en-US" w:eastAsia="zh-CN" w:bidi="ar"/>
                    </w:rPr>
                    <w:t>5.44</w:t>
                  </w:r>
                </w:p>
              </w:tc>
              <w:tc>
                <w:tcPr>
                  <w:tcW w:w="2426" w:type="dxa"/>
                  <w:tcBorders>
                    <w:tl2br w:val="nil"/>
                    <w:tr2bl w:val="nil"/>
                  </w:tcBorders>
                  <w:shd w:val="clear" w:color="auto" w:fill="auto"/>
                  <w:vAlign w:val="center"/>
                </w:tcPr>
                <w:p w14:paraId="4C2713B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0.6869</w:t>
                  </w:r>
                </w:p>
              </w:tc>
            </w:tr>
            <w:tr w14:paraId="22685AE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934" w:type="pct"/>
                  <w:tcBorders>
                    <w:tl2br w:val="nil"/>
                    <w:tr2bl w:val="nil"/>
                  </w:tcBorders>
                  <w:shd w:val="clear" w:color="auto" w:fill="auto"/>
                  <w:vAlign w:val="center"/>
                </w:tcPr>
                <w:p w14:paraId="7C4B8342">
                  <w:pPr>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NOx</w:t>
                  </w:r>
                </w:p>
              </w:tc>
              <w:tc>
                <w:tcPr>
                  <w:tcW w:w="1532" w:type="pct"/>
                  <w:tcBorders>
                    <w:tl2br w:val="nil"/>
                    <w:tr2bl w:val="nil"/>
                  </w:tcBorders>
                  <w:vAlign w:val="center"/>
                </w:tcPr>
                <w:p w14:paraId="7EA99716">
                  <w:pPr>
                    <w:keepNext w:val="0"/>
                    <w:keepLines w:val="0"/>
                    <w:widowControl/>
                    <w:suppressLineNumbers w:val="0"/>
                    <w:jc w:val="center"/>
                    <w:textAlignment w:val="center"/>
                    <w:rPr>
                      <w:rFonts w:hint="default" w:ascii="Times New Roman" w:hAnsi="Times New Roman" w:eastAsia="宋体" w:cs="Times New Roman"/>
                      <w:snapToGrid w:val="0"/>
                      <w:color w:val="auto"/>
                      <w:kern w:val="0"/>
                      <w:highlight w:val="none"/>
                      <w:u w:val="none" w:color="auto"/>
                      <w:lang w:val="en-US"/>
                    </w:rPr>
                  </w:pPr>
                  <w:r>
                    <w:rPr>
                      <w:rFonts w:hint="default" w:ascii="Times New Roman" w:hAnsi="Times New Roman" w:eastAsia="宋体" w:cs="Times New Roman"/>
                      <w:i w:val="0"/>
                      <w:iCs w:val="0"/>
                      <w:color w:val="auto"/>
                      <w:kern w:val="0"/>
                      <w:sz w:val="21"/>
                      <w:szCs w:val="21"/>
                      <w:u w:val="none" w:color="auto"/>
                      <w:lang w:val="en-US" w:eastAsia="zh-CN" w:bidi="ar"/>
                    </w:rPr>
                    <w:t>11.424</w:t>
                  </w:r>
                </w:p>
              </w:tc>
              <w:tc>
                <w:tcPr>
                  <w:tcW w:w="2426" w:type="dxa"/>
                  <w:tcBorders>
                    <w:tl2br w:val="nil"/>
                    <w:tr2bl w:val="nil"/>
                  </w:tcBorders>
                  <w:vAlign w:val="center"/>
                </w:tcPr>
                <w:p w14:paraId="44F8830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1.4424</w:t>
                  </w:r>
                </w:p>
              </w:tc>
            </w:tr>
          </w:tbl>
          <w:p w14:paraId="207408C0">
            <w:pPr>
              <w:rPr>
                <w:rFonts w:hint="default" w:ascii="Times New Roman" w:hAnsi="Times New Roman" w:eastAsia="宋体" w:cs="Times New Roman"/>
                <w:b/>
                <w:bCs/>
                <w:color w:val="auto"/>
                <w:u w:val="none" w:color="auto"/>
                <w:lang w:val="en-US" w:eastAsia="zh-CN"/>
              </w:rPr>
            </w:pPr>
            <w:r>
              <w:rPr>
                <w:rFonts w:hint="default" w:ascii="Times New Roman" w:hAnsi="Times New Roman" w:eastAsia="宋体" w:cs="Times New Roman"/>
                <w:b/>
                <w:bCs/>
                <w:color w:val="auto"/>
                <w:u w:val="none" w:color="auto"/>
                <w:lang w:val="en-US" w:eastAsia="zh-CN"/>
              </w:rPr>
              <w:t>注：年工作时间按45t、50t熔化炉运行时间计（7920h/a）。</w:t>
            </w:r>
          </w:p>
          <w:p w14:paraId="19E7F874">
            <w:pPr>
              <w:pStyle w:val="2"/>
              <w:snapToGrid/>
              <w:spacing w:before="0" w:after="0" w:line="360" w:lineRule="auto"/>
              <w:ind w:right="0" w:firstLine="480" w:firstLineChars="200"/>
              <w:rPr>
                <w:rFonts w:hint="default" w:ascii="Times New Roman" w:hAnsi="Times New Roman" w:eastAsia="宋体" w:cs="Times New Roman"/>
                <w:b w:val="0"/>
                <w:bCs w:val="0"/>
                <w:color w:val="auto"/>
                <w:spacing w:val="0"/>
                <w:sz w:val="24"/>
                <w:u w:val="none" w:color="auto"/>
                <w:lang w:val="en-US" w:eastAsia="zh-CN"/>
              </w:rPr>
            </w:pPr>
            <w:r>
              <w:rPr>
                <w:rFonts w:hint="default" w:ascii="Times New Roman" w:hAnsi="Times New Roman" w:eastAsia="宋体" w:cs="Times New Roman"/>
                <w:b w:val="0"/>
                <w:bCs w:val="0"/>
                <w:color w:val="auto"/>
                <w:spacing w:val="0"/>
                <w:sz w:val="24"/>
                <w:u w:val="none" w:color="auto"/>
                <w:lang w:val="en-US" w:eastAsia="zh-CN"/>
              </w:rPr>
              <w:t>收集措施：生物质颗粒在熔化炉专用燃烧室内进行燃烧，燃烧废气通过燃烧室内顶部收集，其投加生物质颗粒为自动投加，通过专用风机进行鼓风，本次评价从严考虑，收集效率按90%计。</w:t>
            </w:r>
          </w:p>
          <w:p w14:paraId="64FC0B48">
            <w:pPr>
              <w:pStyle w:val="2"/>
              <w:snapToGrid/>
              <w:spacing w:before="0" w:after="0" w:line="360" w:lineRule="auto"/>
              <w:ind w:right="0" w:firstLine="480" w:firstLineChars="200"/>
              <w:rPr>
                <w:rFonts w:hint="default" w:ascii="Times New Roman" w:hAnsi="Times New Roman" w:eastAsia="宋体" w:cs="Times New Roman"/>
                <w:b w:val="0"/>
                <w:bCs w:val="0"/>
                <w:color w:val="auto"/>
                <w:spacing w:val="0"/>
                <w:sz w:val="24"/>
                <w:u w:val="none" w:color="auto"/>
                <w:lang w:val="en-US" w:eastAsia="zh-CN"/>
              </w:rPr>
            </w:pPr>
            <w:r>
              <w:rPr>
                <w:rFonts w:hint="default" w:ascii="Times New Roman" w:hAnsi="Times New Roman" w:eastAsia="宋体" w:cs="Times New Roman"/>
                <w:b w:val="0"/>
                <w:bCs w:val="0"/>
                <w:color w:val="auto"/>
                <w:spacing w:val="0"/>
                <w:sz w:val="24"/>
                <w:u w:val="none" w:color="auto"/>
                <w:lang w:val="en-US" w:eastAsia="zh-CN"/>
              </w:rPr>
              <w:t>③天然气燃烧废气（G3）及收集措施</w:t>
            </w:r>
          </w:p>
          <w:p w14:paraId="39753CFB">
            <w:pPr>
              <w:pStyle w:val="101"/>
              <w:rPr>
                <w:rFonts w:hint="default" w:ascii="Times New Roman" w:hAnsi="Times New Roman" w:eastAsia="宋体" w:cs="Times New Roman"/>
                <w:color w:val="auto"/>
                <w:sz w:val="24"/>
                <w:szCs w:val="32"/>
                <w:highlight w:val="none"/>
                <w:u w:val="none" w:color="auto"/>
                <w:lang w:val="en-US" w:eastAsia="zh-CN"/>
              </w:rPr>
            </w:pPr>
            <w:r>
              <w:rPr>
                <w:rFonts w:hint="default" w:ascii="Times New Roman" w:hAnsi="Times New Roman" w:eastAsia="宋体" w:cs="Times New Roman"/>
                <w:color w:val="auto"/>
                <w:u w:val="none" w:color="auto"/>
                <w:lang w:val="en-US" w:eastAsia="zh-CN"/>
              </w:rPr>
              <w:t>根据建设单位提供的能源评估报告，项目预计使用天然气约为30万m</w:t>
            </w:r>
            <w:r>
              <w:rPr>
                <w:rFonts w:hint="default" w:ascii="Times New Roman" w:hAnsi="Times New Roman" w:eastAsia="宋体" w:cs="Times New Roman"/>
                <w:color w:val="auto"/>
                <w:u w:val="none" w:color="auto"/>
                <w:vertAlign w:val="superscript"/>
                <w:lang w:val="en-US" w:eastAsia="zh-CN"/>
              </w:rPr>
              <w:t>3</w:t>
            </w:r>
            <w:r>
              <w:rPr>
                <w:rFonts w:hint="default" w:ascii="Times New Roman" w:hAnsi="Times New Roman" w:eastAsia="宋体" w:cs="Times New Roman"/>
                <w:color w:val="auto"/>
                <w:u w:val="none" w:color="auto"/>
                <w:lang w:val="en-US" w:eastAsia="zh-CN"/>
              </w:rPr>
              <w:t>/a，年工作时间按</w:t>
            </w:r>
            <w:r>
              <w:rPr>
                <w:rFonts w:hint="default" w:ascii="Times New Roman" w:hAnsi="Times New Roman" w:eastAsia="宋体" w:cs="Times New Roman"/>
                <w:color w:val="auto"/>
                <w:sz w:val="24"/>
                <w:szCs w:val="32"/>
                <w:highlight w:val="none"/>
                <w:u w:val="none" w:color="auto"/>
                <w:lang w:val="en-US" w:eastAsia="zh-CN"/>
              </w:rPr>
              <w:t>35t保温炉作业时间计，按30t装载量计算，则预计需1201炉（向上取整），每炉保温0.5h，则预计工作时长为600.5h/a。</w:t>
            </w:r>
          </w:p>
          <w:p w14:paraId="27192066">
            <w:pPr>
              <w:pStyle w:val="101"/>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u w:val="none" w:color="auto"/>
                <w:lang w:val="en-US" w:eastAsia="zh-CN"/>
              </w:rPr>
              <w:t>参考</w:t>
            </w:r>
            <w:r>
              <w:rPr>
                <w:rFonts w:hint="default" w:ascii="Times New Roman" w:hAnsi="Times New Roman" w:eastAsia="宋体" w:cs="Times New Roman"/>
                <w:color w:val="auto"/>
                <w:szCs w:val="24"/>
                <w:highlight w:val="none"/>
                <w:u w:val="none" w:color="auto"/>
              </w:rPr>
              <w:t>《排放源统计调查产排污核算方法和系数手册》中“4430工业锅炉（热力生产和供应行业）产污系数表-</w:t>
            </w:r>
            <w:r>
              <w:rPr>
                <w:rFonts w:hint="default" w:ascii="Times New Roman" w:hAnsi="Times New Roman" w:eastAsia="宋体" w:cs="Times New Roman"/>
                <w:color w:val="auto"/>
                <w:szCs w:val="24"/>
                <w:highlight w:val="none"/>
                <w:u w:val="none" w:color="auto"/>
                <w:lang w:val="en-US" w:eastAsia="zh-CN"/>
              </w:rPr>
              <w:t>天然气</w:t>
            </w:r>
            <w:r>
              <w:rPr>
                <w:rFonts w:hint="default" w:ascii="Times New Roman" w:hAnsi="Times New Roman" w:eastAsia="宋体" w:cs="Times New Roman"/>
                <w:color w:val="auto"/>
                <w:szCs w:val="24"/>
                <w:highlight w:val="none"/>
                <w:u w:val="none" w:color="auto"/>
              </w:rPr>
              <w:t>工业锅炉，</w:t>
            </w:r>
            <w:r>
              <w:rPr>
                <w:rFonts w:hint="default" w:ascii="Times New Roman" w:hAnsi="Times New Roman" w:eastAsia="宋体" w:cs="Times New Roman"/>
                <w:color w:val="auto"/>
                <w:szCs w:val="24"/>
                <w:highlight w:val="none"/>
                <w:u w:val="none" w:color="auto"/>
                <w:lang w:val="en-US" w:eastAsia="zh-CN"/>
              </w:rPr>
              <w:t>其中颗粒物</w:t>
            </w:r>
            <w:r>
              <w:rPr>
                <w:rFonts w:hint="default" w:ascii="Times New Roman" w:hAnsi="Times New Roman" w:eastAsia="宋体" w:cs="Times New Roman"/>
                <w:color w:val="auto"/>
                <w:sz w:val="24"/>
                <w:szCs w:val="32"/>
                <w:highlight w:val="none"/>
                <w:u w:val="none" w:color="auto"/>
              </w:rPr>
              <w:t>参考《环境保护实用数据手册》（P69）表2-63产生系数计算，产生系数为2.4kg/万m</w:t>
            </w:r>
            <w:r>
              <w:rPr>
                <w:rFonts w:hint="default" w:ascii="Times New Roman" w:hAnsi="Times New Roman" w:eastAsia="宋体" w:cs="Times New Roman"/>
                <w:color w:val="auto"/>
                <w:sz w:val="24"/>
                <w:szCs w:val="32"/>
                <w:highlight w:val="none"/>
                <w:u w:val="none" w:color="auto"/>
                <w:vertAlign w:val="superscript"/>
              </w:rPr>
              <w:t>3</w:t>
            </w:r>
            <w:r>
              <w:rPr>
                <w:rFonts w:hint="default" w:ascii="Times New Roman" w:hAnsi="Times New Roman" w:eastAsia="宋体" w:cs="Times New Roman"/>
                <w:color w:val="auto"/>
                <w:sz w:val="24"/>
                <w:szCs w:val="32"/>
                <w:highlight w:val="none"/>
                <w:u w:val="none" w:color="auto"/>
                <w:lang w:eastAsia="zh-CN"/>
              </w:rPr>
              <w:t>。</w:t>
            </w:r>
            <w:r>
              <w:rPr>
                <w:rFonts w:hint="default" w:ascii="Times New Roman" w:hAnsi="Times New Roman" w:eastAsia="宋体" w:cs="Times New Roman"/>
                <w:color w:val="auto"/>
                <w:szCs w:val="24"/>
                <w:highlight w:val="none"/>
                <w:u w:val="none" w:color="auto"/>
              </w:rPr>
              <w:t>则废气污染物产排污系数</w:t>
            </w:r>
            <w:r>
              <w:rPr>
                <w:rFonts w:hint="default" w:ascii="Times New Roman" w:hAnsi="Times New Roman" w:eastAsia="宋体" w:cs="Times New Roman"/>
                <w:color w:val="auto"/>
                <w:highlight w:val="none"/>
                <w:u w:val="none" w:color="auto"/>
              </w:rPr>
              <w:t>下表：</w:t>
            </w:r>
          </w:p>
          <w:p w14:paraId="37DBD192">
            <w:pPr>
              <w:jc w:val="center"/>
              <w:rPr>
                <w:rFonts w:hint="default" w:ascii="Times New Roman" w:hAnsi="Times New Roman" w:eastAsia="宋体" w:cs="Times New Roman"/>
                <w:b/>
                <w:bCs/>
                <w:color w:val="auto"/>
                <w:u w:val="none" w:color="auto"/>
                <w:lang w:val="en-US" w:eastAsia="zh-CN"/>
              </w:rPr>
            </w:pPr>
            <w:r>
              <w:rPr>
                <w:rFonts w:hint="default" w:ascii="Times New Roman" w:hAnsi="Times New Roman" w:eastAsia="宋体" w:cs="Times New Roman"/>
                <w:b/>
                <w:bCs/>
                <w:color w:val="auto"/>
                <w:u w:val="none" w:color="auto"/>
                <w:lang w:val="en-US" w:eastAsia="zh-CN"/>
              </w:rPr>
              <w:t>表4-3 天然气</w:t>
            </w:r>
            <w:r>
              <w:rPr>
                <w:rFonts w:hint="default" w:ascii="Times New Roman" w:hAnsi="Times New Roman" w:eastAsia="宋体" w:cs="Times New Roman"/>
                <w:b/>
                <w:bCs/>
                <w:color w:val="auto"/>
                <w:u w:val="none" w:color="auto"/>
              </w:rPr>
              <w:t>燃烧废气</w:t>
            </w:r>
            <w:r>
              <w:rPr>
                <w:rFonts w:hint="default" w:ascii="Times New Roman" w:hAnsi="Times New Roman" w:eastAsia="宋体" w:cs="Times New Roman"/>
                <w:b/>
                <w:bCs/>
                <w:color w:val="auto"/>
                <w:u w:val="none" w:color="auto"/>
                <w:lang w:val="en-US" w:eastAsia="zh-CN"/>
              </w:rPr>
              <w:t>污染物产污系数表</w:t>
            </w:r>
          </w:p>
          <w:tbl>
            <w:tblPr>
              <w:tblStyle w:val="32"/>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154"/>
              <w:gridCol w:w="2245"/>
              <w:gridCol w:w="2058"/>
              <w:gridCol w:w="2058"/>
            </w:tblGrid>
            <w:tr w14:paraId="67F2B81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265" w:type="pct"/>
                  <w:tcBorders>
                    <w:tl2br w:val="nil"/>
                    <w:tr2bl w:val="nil"/>
                  </w:tcBorders>
                  <w:vAlign w:val="center"/>
                </w:tcPr>
                <w:p w14:paraId="7BB26774">
                  <w:pPr>
                    <w:jc w:val="center"/>
                    <w:rPr>
                      <w:rFonts w:hint="default" w:ascii="Times New Roman" w:hAnsi="Times New Roman" w:eastAsia="宋体" w:cs="Times New Roman"/>
                      <w:b/>
                      <w:bCs/>
                      <w:color w:val="auto"/>
                      <w:highlight w:val="none"/>
                      <w:u w:val="none" w:color="auto"/>
                    </w:rPr>
                  </w:pPr>
                  <w:r>
                    <w:rPr>
                      <w:rFonts w:hint="default" w:ascii="Times New Roman" w:hAnsi="Times New Roman" w:eastAsia="宋体" w:cs="Times New Roman"/>
                      <w:b/>
                      <w:bCs/>
                      <w:color w:val="auto"/>
                      <w:highlight w:val="none"/>
                      <w:u w:val="none" w:color="auto"/>
                    </w:rPr>
                    <w:t>污染物名称</w:t>
                  </w:r>
                </w:p>
              </w:tc>
              <w:tc>
                <w:tcPr>
                  <w:tcW w:w="1318" w:type="pct"/>
                  <w:tcBorders>
                    <w:tl2br w:val="nil"/>
                    <w:tr2bl w:val="nil"/>
                  </w:tcBorders>
                  <w:vAlign w:val="center"/>
                </w:tcPr>
                <w:p w14:paraId="25631547">
                  <w:pPr>
                    <w:jc w:val="center"/>
                    <w:rPr>
                      <w:rFonts w:hint="default" w:ascii="Times New Roman" w:hAnsi="Times New Roman" w:eastAsia="宋体" w:cs="Times New Roman"/>
                      <w:b/>
                      <w:bCs/>
                      <w:color w:val="auto"/>
                      <w:highlight w:val="none"/>
                      <w:u w:val="none" w:color="auto"/>
                    </w:rPr>
                  </w:pPr>
                  <w:r>
                    <w:rPr>
                      <w:rFonts w:hint="default" w:ascii="Times New Roman" w:hAnsi="Times New Roman" w:eastAsia="宋体" w:cs="Times New Roman"/>
                      <w:b/>
                      <w:bCs/>
                      <w:color w:val="auto"/>
                      <w:highlight w:val="none"/>
                      <w:u w:val="none" w:color="auto"/>
                    </w:rPr>
                    <w:t>单位</w:t>
                  </w:r>
                </w:p>
              </w:tc>
              <w:tc>
                <w:tcPr>
                  <w:tcW w:w="1208" w:type="pct"/>
                  <w:tcBorders>
                    <w:tl2br w:val="nil"/>
                    <w:tr2bl w:val="nil"/>
                  </w:tcBorders>
                  <w:vAlign w:val="center"/>
                </w:tcPr>
                <w:p w14:paraId="43528A31">
                  <w:pPr>
                    <w:jc w:val="center"/>
                    <w:rPr>
                      <w:rFonts w:hint="default" w:ascii="Times New Roman" w:hAnsi="Times New Roman" w:eastAsia="宋体" w:cs="Times New Roman"/>
                      <w:b/>
                      <w:bCs/>
                      <w:color w:val="auto"/>
                      <w:highlight w:val="none"/>
                      <w:u w:val="none" w:color="auto"/>
                    </w:rPr>
                  </w:pPr>
                  <w:r>
                    <w:rPr>
                      <w:rFonts w:hint="default" w:ascii="Times New Roman" w:hAnsi="Times New Roman" w:eastAsia="宋体" w:cs="Times New Roman"/>
                      <w:b/>
                      <w:bCs/>
                      <w:color w:val="auto"/>
                      <w:highlight w:val="none"/>
                      <w:u w:val="none" w:color="auto"/>
                    </w:rPr>
                    <w:t>产污系数</w:t>
                  </w:r>
                </w:p>
              </w:tc>
              <w:tc>
                <w:tcPr>
                  <w:tcW w:w="1208" w:type="pct"/>
                  <w:tcBorders>
                    <w:tl2br w:val="nil"/>
                    <w:tr2bl w:val="nil"/>
                  </w:tcBorders>
                  <w:vAlign w:val="center"/>
                </w:tcPr>
                <w:p w14:paraId="23A797C9">
                  <w:pPr>
                    <w:jc w:val="center"/>
                    <w:rPr>
                      <w:rFonts w:hint="default" w:ascii="Times New Roman" w:hAnsi="Times New Roman" w:eastAsia="宋体" w:cs="Times New Roman"/>
                      <w:b/>
                      <w:bCs/>
                      <w:color w:val="auto"/>
                      <w:highlight w:val="none"/>
                      <w:u w:val="none" w:color="auto"/>
                      <w:lang w:val="en-US" w:eastAsia="zh-CN"/>
                    </w:rPr>
                  </w:pPr>
                  <w:r>
                    <w:rPr>
                      <w:rFonts w:hint="default" w:ascii="Times New Roman" w:hAnsi="Times New Roman" w:eastAsia="宋体" w:cs="Times New Roman"/>
                      <w:b/>
                      <w:bCs/>
                      <w:color w:val="auto"/>
                      <w:highlight w:val="none"/>
                      <w:u w:val="none" w:color="auto"/>
                      <w:lang w:val="en-US" w:eastAsia="zh-CN"/>
                    </w:rPr>
                    <w:t>备注</w:t>
                  </w:r>
                </w:p>
              </w:tc>
            </w:tr>
            <w:tr w14:paraId="58A5A86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265" w:type="pct"/>
                  <w:tcBorders>
                    <w:tl2br w:val="nil"/>
                    <w:tr2bl w:val="nil"/>
                  </w:tcBorders>
                  <w:vAlign w:val="center"/>
                </w:tcPr>
                <w:p w14:paraId="55C52888">
                  <w:pPr>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烟气量</w:t>
                  </w:r>
                </w:p>
              </w:tc>
              <w:tc>
                <w:tcPr>
                  <w:tcW w:w="1318" w:type="pct"/>
                  <w:tcBorders>
                    <w:tl2br w:val="nil"/>
                    <w:tr2bl w:val="nil"/>
                  </w:tcBorders>
                  <w:vAlign w:val="center"/>
                </w:tcPr>
                <w:p w14:paraId="497133D5">
                  <w:pPr>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标m</w:t>
                  </w:r>
                  <w:r>
                    <w:rPr>
                      <w:rFonts w:hint="default" w:ascii="Times New Roman" w:hAnsi="Times New Roman" w:eastAsia="宋体" w:cs="Times New Roman"/>
                      <w:color w:val="auto"/>
                      <w:highlight w:val="none"/>
                      <w:u w:val="none" w:color="auto"/>
                      <w:vertAlign w:val="superscript"/>
                    </w:rPr>
                    <w:t>3</w:t>
                  </w:r>
                  <w:r>
                    <w:rPr>
                      <w:rFonts w:hint="default" w:ascii="Times New Roman" w:hAnsi="Times New Roman" w:eastAsia="宋体" w:cs="Times New Roman"/>
                      <w:color w:val="auto"/>
                      <w:highlight w:val="none"/>
                      <w:u w:val="none" w:color="auto"/>
                    </w:rPr>
                    <w:t>/</w:t>
                  </w:r>
                  <w:r>
                    <w:rPr>
                      <w:rFonts w:hint="default" w:ascii="Times New Roman" w:hAnsi="Times New Roman" w:eastAsia="宋体" w:cs="Times New Roman"/>
                      <w:color w:val="auto"/>
                      <w:highlight w:val="none"/>
                      <w:u w:val="none" w:color="auto"/>
                      <w:lang w:val="en-US" w:eastAsia="zh-CN"/>
                    </w:rPr>
                    <w:t>万</w:t>
                  </w:r>
                  <w:r>
                    <w:rPr>
                      <w:rFonts w:hint="default" w:ascii="Times New Roman" w:hAnsi="Times New Roman" w:eastAsia="宋体" w:cs="Times New Roman"/>
                      <w:color w:val="auto"/>
                      <w:highlight w:val="none"/>
                      <w:u w:val="none" w:color="auto"/>
                    </w:rPr>
                    <w:t>m</w:t>
                  </w:r>
                  <w:r>
                    <w:rPr>
                      <w:rFonts w:hint="default" w:ascii="Times New Roman" w:hAnsi="Times New Roman" w:eastAsia="宋体" w:cs="Times New Roman"/>
                      <w:color w:val="auto"/>
                      <w:highlight w:val="none"/>
                      <w:u w:val="none" w:color="auto"/>
                      <w:vertAlign w:val="superscript"/>
                    </w:rPr>
                    <w:t>3</w:t>
                  </w:r>
                  <w:r>
                    <w:rPr>
                      <w:rFonts w:hint="default" w:ascii="Times New Roman" w:hAnsi="Times New Roman" w:eastAsia="宋体" w:cs="Times New Roman"/>
                      <w:color w:val="auto"/>
                      <w:highlight w:val="none"/>
                      <w:u w:val="none" w:color="auto"/>
                    </w:rPr>
                    <w:t>-原料</w:t>
                  </w:r>
                </w:p>
              </w:tc>
              <w:tc>
                <w:tcPr>
                  <w:tcW w:w="1208" w:type="pct"/>
                  <w:tcBorders>
                    <w:tl2br w:val="nil"/>
                    <w:tr2bl w:val="nil"/>
                  </w:tcBorders>
                  <w:vAlign w:val="center"/>
                </w:tcPr>
                <w:p w14:paraId="6221412F">
                  <w:pPr>
                    <w:jc w:val="center"/>
                    <w:rPr>
                      <w:rFonts w:hint="default" w:ascii="Times New Roman" w:hAnsi="Times New Roman" w:eastAsia="宋体" w:cs="Times New Roman"/>
                      <w:color w:val="auto"/>
                      <w:highlight w:val="none"/>
                      <w:u w:val="none" w:color="auto"/>
                      <w:lang w:val="en-US" w:eastAsia="zh-CN"/>
                    </w:rPr>
                  </w:pPr>
                  <w:r>
                    <w:rPr>
                      <w:rFonts w:hint="default" w:ascii="Times New Roman" w:hAnsi="Times New Roman" w:eastAsia="宋体" w:cs="Times New Roman"/>
                      <w:color w:val="auto"/>
                      <w:highlight w:val="none"/>
                      <w:u w:val="none" w:color="auto"/>
                      <w:lang w:val="en-US" w:eastAsia="zh-CN"/>
                    </w:rPr>
                    <w:t>107753</w:t>
                  </w:r>
                </w:p>
              </w:tc>
              <w:tc>
                <w:tcPr>
                  <w:tcW w:w="1208" w:type="pct"/>
                  <w:tcBorders>
                    <w:tl2br w:val="nil"/>
                    <w:tr2bl w:val="nil"/>
                  </w:tcBorders>
                  <w:vAlign w:val="center"/>
                </w:tcPr>
                <w:p w14:paraId="637AD3A4">
                  <w:pPr>
                    <w:jc w:val="center"/>
                    <w:rPr>
                      <w:rFonts w:hint="default" w:ascii="Times New Roman" w:hAnsi="Times New Roman" w:eastAsia="宋体" w:cs="Times New Roman"/>
                      <w:color w:val="auto"/>
                      <w:highlight w:val="none"/>
                      <w:u w:val="none" w:color="auto"/>
                      <w:lang w:val="en-US" w:eastAsia="zh-CN"/>
                    </w:rPr>
                  </w:pPr>
                </w:p>
              </w:tc>
            </w:tr>
            <w:tr w14:paraId="1BF3655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23" w:hRule="atLeast"/>
              </w:trPr>
              <w:tc>
                <w:tcPr>
                  <w:tcW w:w="1265" w:type="pct"/>
                  <w:tcBorders>
                    <w:tl2br w:val="nil"/>
                    <w:tr2bl w:val="nil"/>
                  </w:tcBorders>
                  <w:shd w:val="clear" w:color="auto" w:fill="auto"/>
                  <w:vAlign w:val="center"/>
                </w:tcPr>
                <w:p w14:paraId="2C5A443A">
                  <w:pPr>
                    <w:jc w:val="center"/>
                    <w:rPr>
                      <w:rFonts w:hint="default" w:ascii="Times New Roman" w:hAnsi="Times New Roman" w:eastAsia="宋体" w:cs="Times New Roman"/>
                      <w:color w:val="auto"/>
                      <w:kern w:val="2"/>
                      <w:sz w:val="21"/>
                      <w:szCs w:val="24"/>
                      <w:highlight w:val="none"/>
                      <w:u w:val="none" w:color="auto"/>
                      <w:lang w:val="en-US" w:eastAsia="zh-CN" w:bidi="ar-SA"/>
                    </w:rPr>
                  </w:pPr>
                  <w:r>
                    <w:rPr>
                      <w:rFonts w:hint="default" w:ascii="Times New Roman" w:hAnsi="Times New Roman" w:eastAsia="宋体" w:cs="Times New Roman"/>
                      <w:color w:val="auto"/>
                      <w:highlight w:val="none"/>
                      <w:u w:val="none" w:color="auto"/>
                    </w:rPr>
                    <w:t>烟尘</w:t>
                  </w:r>
                </w:p>
              </w:tc>
              <w:tc>
                <w:tcPr>
                  <w:tcW w:w="1318" w:type="pct"/>
                  <w:tcBorders>
                    <w:tl2br w:val="nil"/>
                    <w:tr2bl w:val="nil"/>
                  </w:tcBorders>
                  <w:shd w:val="clear" w:color="auto" w:fill="auto"/>
                  <w:vAlign w:val="center"/>
                </w:tcPr>
                <w:p w14:paraId="0A122C42">
                  <w:pPr>
                    <w:jc w:val="center"/>
                    <w:rPr>
                      <w:rFonts w:hint="default" w:ascii="Times New Roman" w:hAnsi="Times New Roman" w:eastAsia="宋体" w:cs="Times New Roman"/>
                      <w:color w:val="auto"/>
                      <w:kern w:val="2"/>
                      <w:sz w:val="21"/>
                      <w:szCs w:val="24"/>
                      <w:highlight w:val="none"/>
                      <w:u w:val="none" w:color="auto"/>
                      <w:lang w:val="en-US" w:eastAsia="zh-CN" w:bidi="ar-SA"/>
                    </w:rPr>
                  </w:pPr>
                  <w:r>
                    <w:rPr>
                      <w:rFonts w:hint="default" w:ascii="Times New Roman" w:hAnsi="Times New Roman" w:eastAsia="宋体" w:cs="Times New Roman"/>
                      <w:color w:val="auto"/>
                      <w:highlight w:val="none"/>
                      <w:u w:val="none" w:color="auto"/>
                    </w:rPr>
                    <w:t>kg/</w:t>
                  </w:r>
                  <w:r>
                    <w:rPr>
                      <w:rFonts w:hint="default" w:ascii="Times New Roman" w:hAnsi="Times New Roman" w:eastAsia="宋体" w:cs="Times New Roman"/>
                      <w:color w:val="auto"/>
                      <w:highlight w:val="none"/>
                      <w:u w:val="none" w:color="auto"/>
                      <w:lang w:val="en-US" w:eastAsia="zh-CN"/>
                    </w:rPr>
                    <w:t>万</w:t>
                  </w:r>
                  <w:r>
                    <w:rPr>
                      <w:rFonts w:hint="default" w:ascii="Times New Roman" w:hAnsi="Times New Roman" w:eastAsia="宋体" w:cs="Times New Roman"/>
                      <w:color w:val="auto"/>
                      <w:highlight w:val="none"/>
                      <w:u w:val="none" w:color="auto"/>
                    </w:rPr>
                    <w:t>m</w:t>
                  </w:r>
                  <w:r>
                    <w:rPr>
                      <w:rFonts w:hint="default" w:ascii="Times New Roman" w:hAnsi="Times New Roman" w:eastAsia="宋体" w:cs="Times New Roman"/>
                      <w:color w:val="auto"/>
                      <w:highlight w:val="none"/>
                      <w:u w:val="none" w:color="auto"/>
                      <w:vertAlign w:val="superscript"/>
                    </w:rPr>
                    <w:t>3</w:t>
                  </w:r>
                  <w:r>
                    <w:rPr>
                      <w:rFonts w:hint="default" w:ascii="Times New Roman" w:hAnsi="Times New Roman" w:eastAsia="宋体" w:cs="Times New Roman"/>
                      <w:color w:val="auto"/>
                      <w:highlight w:val="none"/>
                      <w:u w:val="none" w:color="auto"/>
                    </w:rPr>
                    <w:t>-原料</w:t>
                  </w:r>
                </w:p>
              </w:tc>
              <w:tc>
                <w:tcPr>
                  <w:tcW w:w="1208" w:type="pct"/>
                  <w:tcBorders>
                    <w:tl2br w:val="nil"/>
                    <w:tr2bl w:val="nil"/>
                  </w:tcBorders>
                  <w:shd w:val="clear" w:color="auto" w:fill="auto"/>
                  <w:vAlign w:val="center"/>
                </w:tcPr>
                <w:p w14:paraId="1E947C23">
                  <w:pPr>
                    <w:jc w:val="center"/>
                    <w:rPr>
                      <w:rFonts w:hint="default" w:ascii="Times New Roman" w:hAnsi="Times New Roman" w:eastAsia="宋体" w:cs="Times New Roman"/>
                      <w:color w:val="auto"/>
                      <w:kern w:val="2"/>
                      <w:sz w:val="21"/>
                      <w:szCs w:val="24"/>
                      <w:highlight w:val="none"/>
                      <w:u w:val="none" w:color="auto"/>
                      <w:lang w:val="en-US" w:eastAsia="zh-CN" w:bidi="ar-SA"/>
                    </w:rPr>
                  </w:pPr>
                  <w:r>
                    <w:rPr>
                      <w:rFonts w:hint="default" w:ascii="Times New Roman" w:hAnsi="Times New Roman" w:eastAsia="宋体" w:cs="Times New Roman"/>
                      <w:color w:val="auto"/>
                      <w:highlight w:val="none"/>
                      <w:u w:val="none" w:color="auto"/>
                      <w:lang w:val="en-US" w:eastAsia="zh-CN"/>
                    </w:rPr>
                    <w:t>2.4</w:t>
                  </w:r>
                </w:p>
              </w:tc>
              <w:tc>
                <w:tcPr>
                  <w:tcW w:w="1208" w:type="pct"/>
                  <w:tcBorders>
                    <w:tl2br w:val="nil"/>
                    <w:tr2bl w:val="nil"/>
                  </w:tcBorders>
                  <w:shd w:val="clear" w:color="auto" w:fill="auto"/>
                  <w:vAlign w:val="center"/>
                </w:tcPr>
                <w:p w14:paraId="0C10DC99">
                  <w:pPr>
                    <w:jc w:val="center"/>
                    <w:rPr>
                      <w:rFonts w:hint="default" w:ascii="Times New Roman" w:hAnsi="Times New Roman" w:eastAsia="宋体" w:cs="Times New Roman"/>
                      <w:color w:val="auto"/>
                      <w:kern w:val="2"/>
                      <w:sz w:val="21"/>
                      <w:szCs w:val="24"/>
                      <w:highlight w:val="none"/>
                      <w:u w:val="none" w:color="auto"/>
                      <w:lang w:val="en-US" w:eastAsia="zh-CN" w:bidi="ar-SA"/>
                    </w:rPr>
                  </w:pPr>
                </w:p>
              </w:tc>
            </w:tr>
            <w:tr w14:paraId="27CDEA9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265" w:type="pct"/>
                  <w:tcBorders>
                    <w:tl2br w:val="nil"/>
                    <w:tr2bl w:val="nil"/>
                  </w:tcBorders>
                  <w:vAlign w:val="center"/>
                </w:tcPr>
                <w:p w14:paraId="06A168CA">
                  <w:pPr>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SO</w:t>
                  </w:r>
                  <w:r>
                    <w:rPr>
                      <w:rFonts w:hint="default" w:ascii="Times New Roman" w:hAnsi="Times New Roman" w:eastAsia="宋体" w:cs="Times New Roman"/>
                      <w:color w:val="auto"/>
                      <w:highlight w:val="none"/>
                      <w:u w:val="none" w:color="auto"/>
                      <w:vertAlign w:val="subscript"/>
                    </w:rPr>
                    <w:t>2</w:t>
                  </w:r>
                </w:p>
              </w:tc>
              <w:tc>
                <w:tcPr>
                  <w:tcW w:w="1318" w:type="pct"/>
                  <w:tcBorders>
                    <w:tl2br w:val="nil"/>
                    <w:tr2bl w:val="nil"/>
                  </w:tcBorders>
                  <w:vAlign w:val="center"/>
                </w:tcPr>
                <w:p w14:paraId="73585189">
                  <w:pPr>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kg/</w:t>
                  </w:r>
                  <w:r>
                    <w:rPr>
                      <w:rFonts w:hint="default" w:ascii="Times New Roman" w:hAnsi="Times New Roman" w:eastAsia="宋体" w:cs="Times New Roman"/>
                      <w:color w:val="auto"/>
                      <w:highlight w:val="none"/>
                      <w:u w:val="none" w:color="auto"/>
                      <w:lang w:val="en-US" w:eastAsia="zh-CN"/>
                    </w:rPr>
                    <w:t>万</w:t>
                  </w:r>
                  <w:r>
                    <w:rPr>
                      <w:rFonts w:hint="default" w:ascii="Times New Roman" w:hAnsi="Times New Roman" w:eastAsia="宋体" w:cs="Times New Roman"/>
                      <w:color w:val="auto"/>
                      <w:highlight w:val="none"/>
                      <w:u w:val="none" w:color="auto"/>
                    </w:rPr>
                    <w:t>m</w:t>
                  </w:r>
                  <w:r>
                    <w:rPr>
                      <w:rFonts w:hint="default" w:ascii="Times New Roman" w:hAnsi="Times New Roman" w:eastAsia="宋体" w:cs="Times New Roman"/>
                      <w:color w:val="auto"/>
                      <w:highlight w:val="none"/>
                      <w:u w:val="none" w:color="auto"/>
                      <w:vertAlign w:val="superscript"/>
                    </w:rPr>
                    <w:t>3</w:t>
                  </w:r>
                  <w:r>
                    <w:rPr>
                      <w:rFonts w:hint="default" w:ascii="Times New Roman" w:hAnsi="Times New Roman" w:eastAsia="宋体" w:cs="Times New Roman"/>
                      <w:color w:val="auto"/>
                      <w:highlight w:val="none"/>
                      <w:u w:val="none" w:color="auto"/>
                    </w:rPr>
                    <w:t>-原料</w:t>
                  </w:r>
                </w:p>
              </w:tc>
              <w:tc>
                <w:tcPr>
                  <w:tcW w:w="1208" w:type="pct"/>
                  <w:tcBorders>
                    <w:tl2br w:val="nil"/>
                    <w:tr2bl w:val="nil"/>
                  </w:tcBorders>
                  <w:vAlign w:val="center"/>
                </w:tcPr>
                <w:p w14:paraId="3E8D552E">
                  <w:pPr>
                    <w:jc w:val="center"/>
                    <w:rPr>
                      <w:rFonts w:hint="default" w:ascii="Times New Roman" w:hAnsi="Times New Roman" w:eastAsia="宋体" w:cs="Times New Roman"/>
                      <w:color w:val="auto"/>
                      <w:highlight w:val="none"/>
                      <w:u w:val="none" w:color="auto"/>
                      <w:lang w:val="en-US" w:eastAsia="zh-CN"/>
                    </w:rPr>
                  </w:pPr>
                  <w:r>
                    <w:rPr>
                      <w:rFonts w:hint="default" w:ascii="Times New Roman" w:hAnsi="Times New Roman" w:eastAsia="宋体" w:cs="Times New Roman"/>
                      <w:color w:val="auto"/>
                      <w:highlight w:val="none"/>
                      <w:u w:val="none" w:color="auto"/>
                      <w:lang w:val="en-US" w:eastAsia="zh-CN"/>
                    </w:rPr>
                    <w:t>0.02S（2）</w:t>
                  </w:r>
                </w:p>
              </w:tc>
              <w:tc>
                <w:tcPr>
                  <w:tcW w:w="1208" w:type="pct"/>
                  <w:tcBorders>
                    <w:tl2br w:val="nil"/>
                    <w:tr2bl w:val="nil"/>
                  </w:tcBorders>
                  <w:vAlign w:val="center"/>
                </w:tcPr>
                <w:p w14:paraId="5E60DB89">
                  <w:pPr>
                    <w:jc w:val="center"/>
                    <w:rPr>
                      <w:rFonts w:hint="default" w:ascii="Times New Roman" w:hAnsi="Times New Roman" w:eastAsia="宋体" w:cs="Times New Roman"/>
                      <w:color w:val="auto"/>
                      <w:highlight w:val="none"/>
                      <w:u w:val="none" w:color="auto"/>
                      <w:lang w:val="en-US" w:eastAsia="zh-CN"/>
                    </w:rPr>
                  </w:pPr>
                </w:p>
              </w:tc>
            </w:tr>
            <w:tr w14:paraId="429E216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265" w:type="pct"/>
                  <w:tcBorders>
                    <w:tl2br w:val="nil"/>
                    <w:tr2bl w:val="nil"/>
                  </w:tcBorders>
                  <w:vAlign w:val="center"/>
                </w:tcPr>
                <w:p w14:paraId="3CF607BE">
                  <w:pPr>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NOx</w:t>
                  </w:r>
                </w:p>
              </w:tc>
              <w:tc>
                <w:tcPr>
                  <w:tcW w:w="1318" w:type="pct"/>
                  <w:tcBorders>
                    <w:tl2br w:val="nil"/>
                    <w:tr2bl w:val="nil"/>
                  </w:tcBorders>
                  <w:vAlign w:val="center"/>
                </w:tcPr>
                <w:p w14:paraId="712F5316">
                  <w:pPr>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kg/</w:t>
                  </w:r>
                  <w:r>
                    <w:rPr>
                      <w:rFonts w:hint="default" w:ascii="Times New Roman" w:hAnsi="Times New Roman" w:eastAsia="宋体" w:cs="Times New Roman"/>
                      <w:color w:val="auto"/>
                      <w:highlight w:val="none"/>
                      <w:u w:val="none" w:color="auto"/>
                      <w:lang w:val="en-US" w:eastAsia="zh-CN"/>
                    </w:rPr>
                    <w:t>万</w:t>
                  </w:r>
                  <w:r>
                    <w:rPr>
                      <w:rFonts w:hint="default" w:ascii="Times New Roman" w:hAnsi="Times New Roman" w:eastAsia="宋体" w:cs="Times New Roman"/>
                      <w:color w:val="auto"/>
                      <w:highlight w:val="none"/>
                      <w:u w:val="none" w:color="auto"/>
                    </w:rPr>
                    <w:t>m</w:t>
                  </w:r>
                  <w:r>
                    <w:rPr>
                      <w:rFonts w:hint="default" w:ascii="Times New Roman" w:hAnsi="Times New Roman" w:eastAsia="宋体" w:cs="Times New Roman"/>
                      <w:color w:val="auto"/>
                      <w:highlight w:val="none"/>
                      <w:u w:val="none" w:color="auto"/>
                      <w:vertAlign w:val="superscript"/>
                    </w:rPr>
                    <w:t>3</w:t>
                  </w:r>
                  <w:r>
                    <w:rPr>
                      <w:rFonts w:hint="default" w:ascii="Times New Roman" w:hAnsi="Times New Roman" w:eastAsia="宋体" w:cs="Times New Roman"/>
                      <w:color w:val="auto"/>
                      <w:highlight w:val="none"/>
                      <w:u w:val="none" w:color="auto"/>
                    </w:rPr>
                    <w:t>-原料</w:t>
                  </w:r>
                </w:p>
              </w:tc>
              <w:tc>
                <w:tcPr>
                  <w:tcW w:w="1208" w:type="pct"/>
                  <w:tcBorders>
                    <w:tl2br w:val="nil"/>
                    <w:tr2bl w:val="nil"/>
                  </w:tcBorders>
                  <w:vAlign w:val="center"/>
                </w:tcPr>
                <w:p w14:paraId="3A545FE0">
                  <w:pPr>
                    <w:jc w:val="center"/>
                    <w:rPr>
                      <w:rFonts w:hint="default" w:ascii="Times New Roman" w:hAnsi="Times New Roman" w:eastAsia="宋体" w:cs="Times New Roman"/>
                      <w:color w:val="auto"/>
                      <w:highlight w:val="none"/>
                      <w:u w:val="none" w:color="auto"/>
                      <w:lang w:val="en-US" w:eastAsia="zh-CN"/>
                    </w:rPr>
                  </w:pPr>
                  <w:r>
                    <w:rPr>
                      <w:rFonts w:hint="default" w:ascii="Times New Roman" w:hAnsi="Times New Roman" w:eastAsia="宋体" w:cs="Times New Roman"/>
                      <w:color w:val="auto"/>
                      <w:highlight w:val="none"/>
                      <w:u w:val="none" w:color="auto"/>
                      <w:lang w:val="en-US" w:eastAsia="zh-CN"/>
                    </w:rPr>
                    <w:t>6.97</w:t>
                  </w:r>
                </w:p>
              </w:tc>
              <w:tc>
                <w:tcPr>
                  <w:tcW w:w="1208" w:type="pct"/>
                  <w:tcBorders>
                    <w:tl2br w:val="nil"/>
                    <w:tr2bl w:val="nil"/>
                  </w:tcBorders>
                  <w:vAlign w:val="center"/>
                </w:tcPr>
                <w:p w14:paraId="3E1B2ACD">
                  <w:pPr>
                    <w:jc w:val="center"/>
                    <w:rPr>
                      <w:rFonts w:hint="default" w:ascii="Times New Roman" w:hAnsi="Times New Roman" w:eastAsia="宋体" w:cs="Times New Roman"/>
                      <w:color w:val="auto"/>
                      <w:highlight w:val="none"/>
                      <w:u w:val="none" w:color="auto"/>
                      <w:lang w:val="en-US" w:eastAsia="zh-CN"/>
                    </w:rPr>
                  </w:pPr>
                  <w:r>
                    <w:rPr>
                      <w:rFonts w:hint="default" w:ascii="Times New Roman" w:hAnsi="Times New Roman" w:eastAsia="宋体" w:cs="Times New Roman"/>
                      <w:color w:val="auto"/>
                      <w:highlight w:val="none"/>
                      <w:u w:val="none" w:color="auto"/>
                      <w:lang w:val="en-US" w:eastAsia="zh-CN"/>
                    </w:rPr>
                    <w:t>低氮燃烧-国内领先</w:t>
                  </w:r>
                </w:p>
              </w:tc>
            </w:tr>
          </w:tbl>
          <w:p w14:paraId="5BBD29C6">
            <w:pPr>
              <w:pStyle w:val="104"/>
              <w:rPr>
                <w:rFonts w:hint="default" w:ascii="Times New Roman" w:hAnsi="Times New Roman" w:eastAsia="宋体" w:cs="Times New Roman"/>
                <w:b/>
                <w:bCs/>
                <w:color w:val="auto"/>
                <w:highlight w:val="none"/>
                <w:u w:val="none" w:color="auto"/>
              </w:rPr>
            </w:pPr>
            <w:r>
              <w:rPr>
                <w:rFonts w:hint="default" w:ascii="Times New Roman" w:hAnsi="Times New Roman" w:eastAsia="宋体" w:cs="Times New Roman"/>
                <w:b/>
                <w:bCs/>
                <w:color w:val="auto"/>
                <w:highlight w:val="none"/>
                <w:u w:val="none" w:color="auto"/>
              </w:rPr>
              <w:t>注：产排污系数表中二氧化硫的产排污系数是以含硫量（S%）的形式表示的，其中含硫量（S%）</w:t>
            </w:r>
            <w:r>
              <w:rPr>
                <w:rFonts w:hint="default" w:ascii="Times New Roman" w:hAnsi="Times New Roman" w:eastAsia="宋体" w:cs="Times New Roman"/>
                <w:b/>
                <w:bCs/>
                <w:color w:val="auto"/>
                <w:highlight w:val="none"/>
                <w:u w:val="none" w:color="auto"/>
                <w:lang w:val="en-US" w:eastAsia="zh-CN"/>
              </w:rPr>
              <w:t>参照《天然气》（GB17820-2018）表1标准，考虑到项目处于属于已取得规划及其规划环评批复的湖南城陵矶临港产业新区，属于工业园区，因此含硫量参照表1二类标准，取值100。</w:t>
            </w:r>
          </w:p>
          <w:p w14:paraId="27E8DD2E">
            <w:pPr>
              <w:jc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b/>
                <w:bCs/>
                <w:color w:val="auto"/>
                <w:u w:val="none" w:color="auto"/>
                <w:lang w:val="en-US" w:eastAsia="zh-CN"/>
              </w:rPr>
              <w:t>表4-4 天然气</w:t>
            </w:r>
            <w:r>
              <w:rPr>
                <w:rFonts w:hint="default" w:ascii="Times New Roman" w:hAnsi="Times New Roman" w:eastAsia="宋体" w:cs="Times New Roman"/>
                <w:b/>
                <w:bCs/>
                <w:color w:val="auto"/>
                <w:u w:val="none" w:color="auto"/>
              </w:rPr>
              <w:t>燃烧废气排放情况一览表</w:t>
            </w:r>
          </w:p>
          <w:tbl>
            <w:tblPr>
              <w:tblStyle w:val="32"/>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3295"/>
              <w:gridCol w:w="2610"/>
              <w:gridCol w:w="2610"/>
            </w:tblGrid>
            <w:tr w14:paraId="71A9243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934" w:type="pct"/>
                  <w:tcBorders>
                    <w:tl2br w:val="nil"/>
                    <w:tr2bl w:val="nil"/>
                  </w:tcBorders>
                  <w:vAlign w:val="center"/>
                </w:tcPr>
                <w:p w14:paraId="0EF7AE6E">
                  <w:pPr>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污染物名称</w:t>
                  </w:r>
                </w:p>
              </w:tc>
              <w:tc>
                <w:tcPr>
                  <w:tcW w:w="1532" w:type="pct"/>
                  <w:tcBorders>
                    <w:tl2br w:val="nil"/>
                    <w:tr2bl w:val="nil"/>
                  </w:tcBorders>
                  <w:shd w:val="clear" w:color="auto" w:fill="auto"/>
                  <w:vAlign w:val="center"/>
                </w:tcPr>
                <w:p w14:paraId="24CB1B62">
                  <w:pPr>
                    <w:jc w:val="center"/>
                    <w:rPr>
                      <w:rFonts w:hint="default" w:ascii="Times New Roman" w:hAnsi="Times New Roman" w:eastAsia="宋体" w:cs="Times New Roman"/>
                      <w:color w:val="auto"/>
                      <w:kern w:val="2"/>
                      <w:sz w:val="21"/>
                      <w:szCs w:val="24"/>
                      <w:highlight w:val="none"/>
                      <w:u w:val="none" w:color="auto"/>
                      <w:lang w:val="en-US" w:eastAsia="zh-CN" w:bidi="ar-SA"/>
                    </w:rPr>
                  </w:pPr>
                  <w:r>
                    <w:rPr>
                      <w:rFonts w:hint="default" w:ascii="Times New Roman" w:hAnsi="Times New Roman" w:eastAsia="宋体" w:cs="Times New Roman"/>
                      <w:color w:val="auto"/>
                      <w:highlight w:val="none"/>
                      <w:u w:val="none" w:color="auto"/>
                    </w:rPr>
                    <w:t>产生量t/a</w:t>
                  </w:r>
                </w:p>
              </w:tc>
              <w:tc>
                <w:tcPr>
                  <w:tcW w:w="1532" w:type="pct"/>
                  <w:tcBorders>
                    <w:tl2br w:val="nil"/>
                    <w:tr2bl w:val="nil"/>
                  </w:tcBorders>
                  <w:shd w:val="clear" w:color="auto" w:fill="auto"/>
                  <w:vAlign w:val="center"/>
                </w:tcPr>
                <w:p w14:paraId="50F2A108">
                  <w:pPr>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lang w:val="en-US" w:eastAsia="zh-CN"/>
                    </w:rPr>
                    <w:t>产生速率（kg/h）</w:t>
                  </w:r>
                </w:p>
              </w:tc>
            </w:tr>
            <w:tr w14:paraId="50BA494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934" w:type="pct"/>
                  <w:tcBorders>
                    <w:tl2br w:val="nil"/>
                    <w:tr2bl w:val="nil"/>
                  </w:tcBorders>
                  <w:vAlign w:val="center"/>
                </w:tcPr>
                <w:p w14:paraId="73946CA9">
                  <w:pPr>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烟气量</w:t>
                  </w:r>
                </w:p>
              </w:tc>
              <w:tc>
                <w:tcPr>
                  <w:tcW w:w="1532" w:type="pct"/>
                  <w:tcBorders>
                    <w:tl2br w:val="nil"/>
                    <w:tr2bl w:val="nil"/>
                  </w:tcBorders>
                  <w:shd w:val="clear" w:color="auto" w:fill="auto"/>
                  <w:vAlign w:val="center"/>
                </w:tcPr>
                <w:p w14:paraId="4B1004A0">
                  <w:pPr>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lang w:val="en-US" w:eastAsia="zh-CN"/>
                    </w:rPr>
                    <w:t>3232590（</w:t>
                  </w:r>
                  <w:r>
                    <w:rPr>
                      <w:rFonts w:hint="default" w:ascii="Times New Roman" w:hAnsi="Times New Roman" w:eastAsia="宋体" w:cs="Times New Roman"/>
                      <w:color w:val="auto"/>
                      <w:highlight w:val="none"/>
                      <w:u w:val="none" w:color="auto"/>
                    </w:rPr>
                    <w:t>标m</w:t>
                  </w:r>
                  <w:r>
                    <w:rPr>
                      <w:rFonts w:hint="default" w:ascii="Times New Roman" w:hAnsi="Times New Roman" w:eastAsia="宋体" w:cs="Times New Roman"/>
                      <w:color w:val="auto"/>
                      <w:highlight w:val="none"/>
                      <w:u w:val="none" w:color="auto"/>
                      <w:vertAlign w:val="superscript"/>
                    </w:rPr>
                    <w:t>3</w:t>
                  </w:r>
                  <w:r>
                    <w:rPr>
                      <w:rFonts w:hint="default" w:ascii="Times New Roman" w:hAnsi="Times New Roman" w:eastAsia="宋体" w:cs="Times New Roman"/>
                      <w:color w:val="auto"/>
                      <w:highlight w:val="none"/>
                      <w:u w:val="none" w:color="auto"/>
                    </w:rPr>
                    <w:t>/</w:t>
                  </w:r>
                  <w:r>
                    <w:rPr>
                      <w:rFonts w:hint="default" w:ascii="Times New Roman" w:hAnsi="Times New Roman" w:eastAsia="宋体" w:cs="Times New Roman"/>
                      <w:color w:val="auto"/>
                      <w:highlight w:val="none"/>
                      <w:u w:val="none" w:color="auto"/>
                      <w:lang w:val="en-US" w:eastAsia="zh-CN"/>
                    </w:rPr>
                    <w:t>a）</w:t>
                  </w:r>
                </w:p>
              </w:tc>
              <w:tc>
                <w:tcPr>
                  <w:tcW w:w="2426" w:type="dxa"/>
                  <w:tcBorders>
                    <w:tl2br w:val="nil"/>
                    <w:tr2bl w:val="nil"/>
                  </w:tcBorders>
                  <w:shd w:val="clear" w:color="auto" w:fill="auto"/>
                  <w:vAlign w:val="center"/>
                </w:tcPr>
                <w:p w14:paraId="60BDA753">
                  <w:pPr>
                    <w:jc w:val="center"/>
                    <w:rPr>
                      <w:rFonts w:hint="default" w:ascii="Times New Roman" w:hAnsi="Times New Roman" w:eastAsia="宋体" w:cs="Times New Roman"/>
                      <w:color w:val="auto"/>
                      <w:highlight w:val="none"/>
                      <w:u w:val="none" w:color="auto"/>
                      <w:lang w:val="en-US" w:eastAsia="zh-CN"/>
                    </w:rPr>
                  </w:pPr>
                  <w:r>
                    <w:rPr>
                      <w:rFonts w:hint="default" w:ascii="Times New Roman" w:hAnsi="Times New Roman" w:eastAsia="宋体" w:cs="Times New Roman"/>
                      <w:color w:val="auto"/>
                      <w:highlight w:val="none"/>
                      <w:u w:val="none" w:color="auto"/>
                      <w:lang w:val="en-US" w:eastAsia="zh-CN"/>
                    </w:rPr>
                    <w:t>5383.16</w:t>
                  </w:r>
                  <w:r>
                    <w:rPr>
                      <w:rFonts w:hint="default" w:ascii="Times New Roman" w:hAnsi="Times New Roman" w:eastAsia="宋体" w:cs="Times New Roman"/>
                      <w:color w:val="auto"/>
                      <w:highlight w:val="none"/>
                      <w:u w:val="none" w:color="auto"/>
                    </w:rPr>
                    <w:t>m</w:t>
                  </w:r>
                  <w:r>
                    <w:rPr>
                      <w:rFonts w:hint="default" w:ascii="Times New Roman" w:hAnsi="Times New Roman" w:eastAsia="宋体" w:cs="Times New Roman"/>
                      <w:color w:val="auto"/>
                      <w:highlight w:val="none"/>
                      <w:u w:val="none" w:color="auto"/>
                      <w:vertAlign w:val="superscript"/>
                    </w:rPr>
                    <w:t>3</w:t>
                  </w:r>
                  <w:r>
                    <w:rPr>
                      <w:rFonts w:hint="default" w:ascii="Times New Roman" w:hAnsi="Times New Roman" w:eastAsia="宋体" w:cs="Times New Roman"/>
                      <w:color w:val="auto"/>
                      <w:highlight w:val="none"/>
                      <w:u w:val="none" w:color="auto"/>
                      <w:lang w:val="en-US" w:eastAsia="zh-CN"/>
                    </w:rPr>
                    <w:t>/h</w:t>
                  </w:r>
                </w:p>
              </w:tc>
            </w:tr>
            <w:tr w14:paraId="7A92FEE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934" w:type="pct"/>
                  <w:tcBorders>
                    <w:tl2br w:val="nil"/>
                    <w:tr2bl w:val="nil"/>
                  </w:tcBorders>
                  <w:shd w:val="clear" w:color="auto" w:fill="auto"/>
                  <w:vAlign w:val="center"/>
                </w:tcPr>
                <w:p w14:paraId="6AE9A9B4">
                  <w:pPr>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烟尘</w:t>
                  </w:r>
                </w:p>
              </w:tc>
              <w:tc>
                <w:tcPr>
                  <w:tcW w:w="1532" w:type="pct"/>
                  <w:tcBorders>
                    <w:tl2br w:val="nil"/>
                    <w:tr2bl w:val="nil"/>
                  </w:tcBorders>
                  <w:shd w:val="clear" w:color="auto" w:fill="auto"/>
                  <w:vAlign w:val="center"/>
                </w:tcPr>
                <w:p w14:paraId="33D5CD8B">
                  <w:pPr>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lang w:val="en-US" w:eastAsia="zh-CN"/>
                    </w:rPr>
                    <w:t>0.06</w:t>
                  </w:r>
                </w:p>
              </w:tc>
              <w:tc>
                <w:tcPr>
                  <w:tcW w:w="2426" w:type="dxa"/>
                  <w:tcBorders>
                    <w:tl2br w:val="nil"/>
                    <w:tr2bl w:val="nil"/>
                  </w:tcBorders>
                  <w:shd w:val="clear" w:color="auto" w:fill="auto"/>
                  <w:vAlign w:val="center"/>
                </w:tcPr>
                <w:p w14:paraId="7D4E9899">
                  <w:pPr>
                    <w:jc w:val="center"/>
                    <w:rPr>
                      <w:rFonts w:hint="default" w:ascii="Times New Roman" w:hAnsi="Times New Roman" w:eastAsia="宋体" w:cs="Times New Roman"/>
                      <w:color w:val="auto"/>
                      <w:highlight w:val="none"/>
                      <w:u w:val="none" w:color="auto"/>
                      <w:lang w:val="en-US" w:eastAsia="zh-CN"/>
                    </w:rPr>
                  </w:pPr>
                  <w:r>
                    <w:rPr>
                      <w:rFonts w:hint="default" w:ascii="Times New Roman" w:hAnsi="Times New Roman" w:eastAsia="宋体" w:cs="Times New Roman"/>
                      <w:color w:val="auto"/>
                      <w:highlight w:val="none"/>
                      <w:u w:val="none" w:color="auto"/>
                      <w:lang w:val="en-US" w:eastAsia="zh-CN"/>
                    </w:rPr>
                    <w:t>0.1199</w:t>
                  </w:r>
                </w:p>
              </w:tc>
            </w:tr>
            <w:tr w14:paraId="3972664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934" w:type="pct"/>
                  <w:tcBorders>
                    <w:tl2br w:val="nil"/>
                    <w:tr2bl w:val="nil"/>
                  </w:tcBorders>
                  <w:shd w:val="clear" w:color="auto" w:fill="auto"/>
                  <w:vAlign w:val="center"/>
                </w:tcPr>
                <w:p w14:paraId="33218B69">
                  <w:pPr>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SO</w:t>
                  </w:r>
                  <w:r>
                    <w:rPr>
                      <w:rFonts w:hint="default" w:ascii="Times New Roman" w:hAnsi="Times New Roman" w:eastAsia="宋体" w:cs="Times New Roman"/>
                      <w:color w:val="auto"/>
                      <w:highlight w:val="none"/>
                      <w:u w:val="none" w:color="auto"/>
                      <w:vertAlign w:val="subscript"/>
                    </w:rPr>
                    <w:t>2</w:t>
                  </w:r>
                </w:p>
              </w:tc>
              <w:tc>
                <w:tcPr>
                  <w:tcW w:w="1532" w:type="pct"/>
                  <w:tcBorders>
                    <w:tl2br w:val="nil"/>
                    <w:tr2bl w:val="nil"/>
                  </w:tcBorders>
                  <w:shd w:val="clear" w:color="auto" w:fill="auto"/>
                  <w:vAlign w:val="center"/>
                </w:tcPr>
                <w:p w14:paraId="14C565EE">
                  <w:pPr>
                    <w:jc w:val="center"/>
                    <w:rPr>
                      <w:rFonts w:hint="default" w:ascii="Times New Roman" w:hAnsi="Times New Roman" w:eastAsia="宋体" w:cs="Times New Roman"/>
                      <w:color w:val="auto"/>
                      <w:highlight w:val="none"/>
                      <w:u w:val="none" w:color="auto"/>
                      <w:lang w:eastAsia="zh-CN"/>
                    </w:rPr>
                  </w:pPr>
                  <w:r>
                    <w:rPr>
                      <w:rFonts w:hint="default" w:ascii="Times New Roman" w:hAnsi="Times New Roman" w:eastAsia="宋体" w:cs="Times New Roman"/>
                      <w:color w:val="auto"/>
                      <w:highlight w:val="none"/>
                      <w:u w:val="none" w:color="auto"/>
                      <w:lang w:val="en-US" w:eastAsia="zh-CN"/>
                    </w:rPr>
                    <w:t>0.2091</w:t>
                  </w:r>
                </w:p>
              </w:tc>
              <w:tc>
                <w:tcPr>
                  <w:tcW w:w="2426" w:type="dxa"/>
                  <w:tcBorders>
                    <w:tl2br w:val="nil"/>
                    <w:tr2bl w:val="nil"/>
                  </w:tcBorders>
                  <w:shd w:val="clear" w:color="auto" w:fill="auto"/>
                  <w:vAlign w:val="center"/>
                </w:tcPr>
                <w:p w14:paraId="21D211E6">
                  <w:pPr>
                    <w:jc w:val="center"/>
                    <w:rPr>
                      <w:rFonts w:hint="default" w:ascii="Times New Roman" w:hAnsi="Times New Roman" w:eastAsia="宋体" w:cs="Times New Roman"/>
                      <w:color w:val="auto"/>
                      <w:highlight w:val="none"/>
                      <w:u w:val="none" w:color="auto"/>
                      <w:lang w:val="en-US" w:eastAsia="zh-CN"/>
                    </w:rPr>
                  </w:pPr>
                  <w:r>
                    <w:rPr>
                      <w:rFonts w:hint="default" w:ascii="Times New Roman" w:hAnsi="Times New Roman" w:eastAsia="宋体" w:cs="Times New Roman"/>
                      <w:color w:val="auto"/>
                      <w:highlight w:val="none"/>
                      <w:u w:val="none" w:color="auto"/>
                      <w:lang w:val="en-US" w:eastAsia="zh-CN"/>
                    </w:rPr>
                    <w:t>0.0999</w:t>
                  </w:r>
                </w:p>
              </w:tc>
            </w:tr>
            <w:tr w14:paraId="4B752E9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934" w:type="pct"/>
                  <w:tcBorders>
                    <w:tl2br w:val="nil"/>
                    <w:tr2bl w:val="nil"/>
                  </w:tcBorders>
                  <w:shd w:val="clear" w:color="auto" w:fill="auto"/>
                  <w:vAlign w:val="center"/>
                </w:tcPr>
                <w:p w14:paraId="7043E73B">
                  <w:pPr>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NOx</w:t>
                  </w:r>
                </w:p>
              </w:tc>
              <w:tc>
                <w:tcPr>
                  <w:tcW w:w="1532" w:type="pct"/>
                  <w:tcBorders>
                    <w:tl2br w:val="nil"/>
                    <w:tr2bl w:val="nil"/>
                  </w:tcBorders>
                  <w:vAlign w:val="center"/>
                </w:tcPr>
                <w:p w14:paraId="01BB9128">
                  <w:pPr>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lang w:val="en-US" w:eastAsia="zh-CN"/>
                    </w:rPr>
                    <w:t>0.072</w:t>
                  </w:r>
                </w:p>
              </w:tc>
              <w:tc>
                <w:tcPr>
                  <w:tcW w:w="2426" w:type="dxa"/>
                  <w:tcBorders>
                    <w:tl2br w:val="nil"/>
                    <w:tr2bl w:val="nil"/>
                  </w:tcBorders>
                  <w:vAlign w:val="center"/>
                </w:tcPr>
                <w:p w14:paraId="281F7821">
                  <w:pPr>
                    <w:jc w:val="center"/>
                    <w:rPr>
                      <w:rFonts w:hint="default" w:ascii="Times New Roman" w:hAnsi="Times New Roman" w:eastAsia="宋体" w:cs="Times New Roman"/>
                      <w:color w:val="auto"/>
                      <w:highlight w:val="none"/>
                      <w:u w:val="none" w:color="auto"/>
                      <w:lang w:val="en-US" w:eastAsia="zh-CN"/>
                    </w:rPr>
                  </w:pPr>
                  <w:r>
                    <w:rPr>
                      <w:rFonts w:hint="default" w:ascii="Times New Roman" w:hAnsi="Times New Roman" w:eastAsia="宋体" w:cs="Times New Roman"/>
                      <w:color w:val="auto"/>
                      <w:highlight w:val="none"/>
                      <w:u w:val="none" w:color="auto"/>
                      <w:lang w:val="en-US" w:eastAsia="zh-CN"/>
                    </w:rPr>
                    <w:t>0.0348</w:t>
                  </w:r>
                </w:p>
              </w:tc>
            </w:tr>
          </w:tbl>
          <w:p w14:paraId="690236F6">
            <w:pPr>
              <w:pStyle w:val="2"/>
              <w:snapToGrid/>
              <w:spacing w:before="0" w:after="0" w:line="360" w:lineRule="auto"/>
              <w:ind w:right="0" w:firstLine="480" w:firstLineChars="200"/>
              <w:rPr>
                <w:rFonts w:hint="default" w:ascii="Times New Roman" w:hAnsi="Times New Roman" w:eastAsia="宋体" w:cs="Times New Roman"/>
                <w:b w:val="0"/>
                <w:bCs w:val="0"/>
                <w:color w:val="auto"/>
                <w:spacing w:val="0"/>
                <w:sz w:val="24"/>
                <w:u w:val="none" w:color="auto"/>
                <w:lang w:val="en-US" w:eastAsia="zh-CN"/>
              </w:rPr>
            </w:pPr>
            <w:r>
              <w:rPr>
                <w:rFonts w:hint="default" w:ascii="Times New Roman" w:hAnsi="Times New Roman" w:eastAsia="宋体" w:cs="Times New Roman"/>
                <w:b w:val="0"/>
                <w:bCs w:val="0"/>
                <w:color w:val="auto"/>
                <w:spacing w:val="0"/>
                <w:sz w:val="24"/>
                <w:u w:val="none" w:color="auto"/>
                <w:lang w:val="en-US" w:eastAsia="zh-CN"/>
              </w:rPr>
              <w:t>收集措施：天然气在熔化炉专用燃烧室内进行燃烧，燃烧废气通过燃烧室内顶部收集，天然气为管道天然气，通过专用风机进行鼓风，本次评价从严考虑，收集效率按95%计。</w:t>
            </w:r>
          </w:p>
          <w:p w14:paraId="518E6FBA">
            <w:pPr>
              <w:pStyle w:val="2"/>
              <w:snapToGrid/>
              <w:spacing w:before="0" w:after="0" w:line="360" w:lineRule="auto"/>
              <w:ind w:right="0" w:firstLine="480" w:firstLineChars="200"/>
              <w:rPr>
                <w:rFonts w:hint="default" w:ascii="Times New Roman" w:hAnsi="Times New Roman" w:eastAsia="宋体" w:cs="Times New Roman"/>
                <w:b w:val="0"/>
                <w:bCs w:val="0"/>
                <w:color w:val="auto"/>
                <w:spacing w:val="0"/>
                <w:sz w:val="24"/>
                <w:u w:val="none" w:color="auto"/>
                <w:lang w:val="en-US" w:eastAsia="zh-CN"/>
              </w:rPr>
            </w:pPr>
            <w:r>
              <w:rPr>
                <w:rFonts w:hint="default" w:ascii="Times New Roman" w:hAnsi="Times New Roman" w:eastAsia="宋体" w:cs="Times New Roman"/>
                <w:b w:val="0"/>
                <w:bCs w:val="0"/>
                <w:color w:val="auto"/>
                <w:spacing w:val="0"/>
                <w:sz w:val="24"/>
                <w:u w:val="none" w:color="auto"/>
                <w:lang w:val="en-US" w:eastAsia="zh-CN"/>
              </w:rPr>
              <w:t>④铝灰渣处理粉尘（G4）及收集措施</w:t>
            </w:r>
          </w:p>
          <w:p w14:paraId="3F68C501">
            <w:pPr>
              <w:pStyle w:val="2"/>
              <w:snapToGrid/>
              <w:spacing w:before="0" w:after="0" w:line="360" w:lineRule="auto"/>
              <w:ind w:right="0" w:firstLine="480" w:firstLineChars="200"/>
              <w:rPr>
                <w:rFonts w:hint="default" w:ascii="Times New Roman" w:hAnsi="Times New Roman" w:eastAsia="宋体" w:cs="Times New Roman"/>
                <w:b w:val="0"/>
                <w:bCs w:val="0"/>
                <w:color w:val="auto"/>
                <w:spacing w:val="0"/>
                <w:sz w:val="24"/>
                <w:u w:val="none" w:color="auto"/>
                <w:lang w:val="en-US" w:eastAsia="zh-CN"/>
              </w:rPr>
            </w:pPr>
            <w:r>
              <w:rPr>
                <w:rFonts w:hint="default" w:ascii="Times New Roman" w:hAnsi="Times New Roman" w:eastAsia="宋体" w:cs="Times New Roman"/>
                <w:b w:val="0"/>
                <w:bCs w:val="0"/>
                <w:color w:val="auto"/>
                <w:spacing w:val="0"/>
                <w:sz w:val="24"/>
                <w:u w:val="none" w:color="auto"/>
                <w:lang w:val="en-US" w:eastAsia="zh-CN"/>
              </w:rPr>
              <w:t>根据建设单位提供的资料，在浇包（铝水包）进行铸锭或转移至压铸工序时，需要将表面的氧化物（氧化铝、氧化硅等）扒除，会产生一定量的铝渣，该部分铝渣含铝量≥90%，具备较高的回收价值，因此经立式搅拌机、冷灰桶等工序进行回收铝，最终形成铸锭外售。</w:t>
            </w:r>
          </w:p>
          <w:p w14:paraId="62CAD8FF">
            <w:pPr>
              <w:pStyle w:val="2"/>
              <w:snapToGrid/>
              <w:spacing w:before="0" w:after="0" w:line="360" w:lineRule="auto"/>
              <w:ind w:right="0" w:firstLine="480" w:firstLineChars="200"/>
              <w:rPr>
                <w:rFonts w:hint="default" w:ascii="Times New Roman" w:hAnsi="Times New Roman" w:eastAsia="宋体" w:cs="Times New Roman"/>
                <w:b w:val="0"/>
                <w:bCs w:val="0"/>
                <w:color w:val="auto"/>
                <w:sz w:val="24"/>
                <w:szCs w:val="32"/>
                <w:highlight w:val="none"/>
                <w:u w:val="none" w:color="auto"/>
                <w:lang w:val="en-US" w:eastAsia="zh-CN"/>
              </w:rPr>
            </w:pPr>
            <w:r>
              <w:rPr>
                <w:rFonts w:hint="default" w:ascii="Times New Roman" w:hAnsi="Times New Roman" w:eastAsia="宋体" w:cs="Times New Roman"/>
                <w:b w:val="0"/>
                <w:bCs w:val="0"/>
                <w:color w:val="auto"/>
                <w:spacing w:val="0"/>
                <w:sz w:val="24"/>
                <w:u w:val="none" w:color="auto"/>
                <w:lang w:val="en-US" w:eastAsia="zh-CN"/>
              </w:rPr>
              <w:t>目前尚无相关扒渣产物系数，因此采用建设单位现有工程数据，其扒渣量约为熔炼量36015t/a的1~5%（本次评价取均值3%），预计约为1080.45t/a，</w:t>
            </w:r>
            <w:r>
              <w:rPr>
                <w:rFonts w:hint="default" w:ascii="Times New Roman" w:hAnsi="Times New Roman" w:eastAsia="宋体" w:cs="Times New Roman"/>
                <w:b w:val="0"/>
                <w:bCs w:val="0"/>
                <w:color w:val="auto"/>
                <w:sz w:val="24"/>
                <w:szCs w:val="32"/>
                <w:highlight w:val="none"/>
                <w:u w:val="none" w:color="auto"/>
                <w:lang w:eastAsia="zh-CN"/>
              </w:rPr>
              <w:t>参考《环境保护实用手册》中</w:t>
            </w:r>
            <w:r>
              <w:rPr>
                <w:rFonts w:hint="default" w:ascii="Times New Roman" w:hAnsi="Times New Roman" w:eastAsia="宋体" w:cs="Times New Roman"/>
                <w:b w:val="0"/>
                <w:bCs w:val="0"/>
                <w:color w:val="auto"/>
                <w:sz w:val="24"/>
                <w:szCs w:val="32"/>
                <w:highlight w:val="none"/>
                <w:u w:val="none" w:color="auto"/>
                <w:lang w:val="en-US" w:eastAsia="zh-CN"/>
              </w:rPr>
              <w:t>“</w:t>
            </w:r>
            <w:r>
              <w:rPr>
                <w:rFonts w:hint="default" w:ascii="Times New Roman" w:hAnsi="Times New Roman" w:eastAsia="宋体" w:cs="Times New Roman"/>
                <w:b w:val="0"/>
                <w:bCs w:val="0"/>
                <w:color w:val="auto"/>
                <w:sz w:val="24"/>
                <w:szCs w:val="32"/>
                <w:highlight w:val="none"/>
                <w:u w:val="none" w:color="auto"/>
                <w:lang w:eastAsia="zh-CN"/>
              </w:rPr>
              <w:t>表</w:t>
            </w:r>
            <w:r>
              <w:rPr>
                <w:rFonts w:hint="default" w:ascii="Times New Roman" w:hAnsi="Times New Roman" w:eastAsia="宋体" w:cs="Times New Roman"/>
                <w:b w:val="0"/>
                <w:bCs w:val="0"/>
                <w:color w:val="auto"/>
                <w:sz w:val="24"/>
                <w:szCs w:val="32"/>
                <w:highlight w:val="none"/>
                <w:u w:val="none" w:color="auto"/>
                <w:lang w:val="en-US" w:eastAsia="zh-CN"/>
              </w:rPr>
              <w:t>2-97第二次铝加工业颗粒物排放系数（kg/t加工金属）的废铝处理炉”可知，粉尘产生系数约为14.6kg/t，粉尘产生量约为15.7746t/a。根据建设单位提供的资料显示，铝灰渣处理能力约为7.5t/h，预计处理时间约为144.06h/a</w:t>
            </w:r>
            <w:r>
              <w:rPr>
                <w:rFonts w:hint="default" w:ascii="Times New Roman" w:hAnsi="Times New Roman" w:eastAsia="宋体" w:cs="Times New Roman"/>
                <w:color w:val="auto"/>
                <w:sz w:val="24"/>
                <w:szCs w:val="32"/>
                <w:highlight w:val="none"/>
                <w:u w:val="none" w:color="auto"/>
                <w:lang w:val="en-US" w:eastAsia="zh-CN"/>
              </w:rPr>
              <w:t>，则产生速率约为109.5002kg/h。</w:t>
            </w:r>
          </w:p>
          <w:p w14:paraId="5CBE610B">
            <w:pPr>
              <w:pStyle w:val="2"/>
              <w:snapToGrid/>
              <w:spacing w:before="0" w:after="0" w:line="360" w:lineRule="auto"/>
              <w:ind w:right="0" w:firstLine="480" w:firstLineChars="200"/>
              <w:rPr>
                <w:rFonts w:hint="default" w:ascii="Times New Roman" w:hAnsi="Times New Roman" w:eastAsia="宋体" w:cs="Times New Roman"/>
                <w:b w:val="0"/>
                <w:bCs w:val="0"/>
                <w:color w:val="auto"/>
                <w:spacing w:val="0"/>
                <w:sz w:val="24"/>
                <w:u w:val="none" w:color="auto"/>
                <w:lang w:val="en-US" w:eastAsia="zh-CN"/>
              </w:rPr>
            </w:pPr>
            <w:r>
              <w:rPr>
                <w:rFonts w:hint="default" w:ascii="Times New Roman" w:hAnsi="Times New Roman" w:eastAsia="宋体" w:cs="Times New Roman"/>
                <w:b w:val="0"/>
                <w:bCs w:val="0"/>
                <w:color w:val="auto"/>
                <w:spacing w:val="0"/>
                <w:sz w:val="24"/>
                <w:u w:val="none" w:color="auto"/>
                <w:lang w:val="en-US" w:eastAsia="zh-CN"/>
              </w:rPr>
              <w:t>收集措施：本次评价要求铝灰渣处理过程中的各个设备或工序采用密闭式收集，并在设备内形成微负压，不得进行敞口作业。采用此种集气方式后废气收集效率按90%计。</w:t>
            </w:r>
          </w:p>
          <w:p w14:paraId="45F5BF28">
            <w:pPr>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drawing>
                <wp:inline distT="0" distB="0" distL="114300" distR="114300">
                  <wp:extent cx="4762500" cy="2686050"/>
                  <wp:effectExtent l="0" t="0" r="0" b="0"/>
                  <wp:docPr id="4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8"/>
                          <pic:cNvPicPr>
                            <a:picLocks noChangeAspect="1"/>
                          </pic:cNvPicPr>
                        </pic:nvPicPr>
                        <pic:blipFill>
                          <a:blip r:embed="rId40"/>
                          <a:stretch>
                            <a:fillRect/>
                          </a:stretch>
                        </pic:blipFill>
                        <pic:spPr>
                          <a:xfrm>
                            <a:off x="0" y="0"/>
                            <a:ext cx="4762500" cy="2686050"/>
                          </a:xfrm>
                          <a:prstGeom prst="rect">
                            <a:avLst/>
                          </a:prstGeom>
                          <a:noFill/>
                          <a:ln>
                            <a:noFill/>
                          </a:ln>
                        </pic:spPr>
                      </pic:pic>
                    </a:graphicData>
                  </a:graphic>
                </wp:inline>
              </w:drawing>
            </w:r>
          </w:p>
          <w:p w14:paraId="535B8A57">
            <w:pPr>
              <w:jc w:val="center"/>
              <w:rPr>
                <w:rFonts w:hint="default" w:ascii="Times New Roman" w:hAnsi="Times New Roman" w:eastAsia="宋体" w:cs="Times New Roman"/>
                <w:b/>
                <w:bCs/>
                <w:color w:val="auto"/>
                <w:highlight w:val="none"/>
                <w:u w:val="none" w:color="auto"/>
                <w:lang w:val="en-US" w:eastAsia="zh-CN"/>
              </w:rPr>
            </w:pPr>
            <w:r>
              <w:rPr>
                <w:rFonts w:hint="default" w:ascii="Times New Roman" w:hAnsi="Times New Roman" w:eastAsia="宋体" w:cs="Times New Roman"/>
                <w:b/>
                <w:bCs/>
                <w:color w:val="auto"/>
                <w:highlight w:val="none"/>
                <w:u w:val="none" w:color="auto"/>
                <w:lang w:val="en-US" w:eastAsia="zh-CN"/>
              </w:rPr>
              <w:t>图4-1  集气罩示意图</w:t>
            </w:r>
          </w:p>
          <w:p w14:paraId="5CB0FF2B">
            <w:pPr>
              <w:topLinePunct w:val="0"/>
              <w:bidi w:val="0"/>
              <w:adjustRightInd/>
              <w:snapToGrid/>
              <w:spacing w:line="360" w:lineRule="auto"/>
              <w:ind w:firstLine="480" w:firstLineChars="200"/>
              <w:rPr>
                <w:rFonts w:hint="default" w:ascii="Times New Roman" w:hAnsi="Times New Roman" w:eastAsia="宋体" w:cs="Times New Roman"/>
                <w:i w:val="0"/>
                <w:iCs w:val="0"/>
                <w:color w:val="auto"/>
                <w:spacing w:val="0"/>
                <w:sz w:val="24"/>
                <w:szCs w:val="24"/>
                <w:u w:val="none" w:color="auto"/>
                <w:lang w:val="en-US" w:eastAsia="zh-CN"/>
              </w:rPr>
            </w:pPr>
            <w:r>
              <w:rPr>
                <w:rFonts w:hint="default" w:ascii="Times New Roman" w:hAnsi="Times New Roman" w:eastAsia="宋体" w:cs="Times New Roman"/>
                <w:i w:val="0"/>
                <w:iCs w:val="0"/>
                <w:color w:val="auto"/>
                <w:spacing w:val="0"/>
                <w:sz w:val="24"/>
                <w:szCs w:val="24"/>
                <w:u w:val="none" w:color="auto"/>
                <w:lang w:val="en-US" w:eastAsia="zh-CN"/>
              </w:rPr>
              <w:t>⑤源强统计分析</w:t>
            </w:r>
          </w:p>
          <w:p w14:paraId="04288833">
            <w:pPr>
              <w:pStyle w:val="2"/>
              <w:snapToGrid/>
              <w:spacing w:before="0" w:after="0" w:line="360" w:lineRule="auto"/>
              <w:ind w:right="0" w:firstLine="480" w:firstLineChars="200"/>
              <w:rPr>
                <w:rFonts w:hint="default" w:ascii="Times New Roman" w:hAnsi="Times New Roman" w:eastAsia="宋体" w:cs="Times New Roman"/>
                <w:b w:val="0"/>
                <w:bCs w:val="0"/>
                <w:color w:val="auto"/>
                <w:spacing w:val="0"/>
                <w:sz w:val="24"/>
                <w:u w:val="none" w:color="auto"/>
                <w:lang w:val="en-US" w:eastAsia="zh-CN"/>
              </w:rPr>
            </w:pPr>
            <w:r>
              <w:rPr>
                <w:rFonts w:hint="default" w:ascii="Times New Roman" w:hAnsi="Times New Roman" w:eastAsia="宋体" w:cs="Times New Roman"/>
                <w:b w:val="0"/>
                <w:bCs w:val="0"/>
                <w:color w:val="auto"/>
                <w:spacing w:val="0"/>
                <w:sz w:val="24"/>
                <w:u w:val="none" w:color="auto"/>
                <w:lang w:val="en-US" w:eastAsia="zh-CN"/>
              </w:rPr>
              <w:t>根据上述分析，若各工序同时运行时，则废气最大源强情形如下：</w:t>
            </w:r>
          </w:p>
          <w:p w14:paraId="75E6030A">
            <w:pPr>
              <w:jc w:val="center"/>
              <w:rPr>
                <w:rFonts w:hint="default" w:ascii="Times New Roman" w:hAnsi="Times New Roman" w:eastAsia="宋体" w:cs="Times New Roman"/>
                <w:b/>
                <w:bCs/>
                <w:color w:val="auto"/>
                <w:u w:val="none" w:color="auto"/>
                <w:lang w:val="en-US" w:eastAsia="zh-CN"/>
              </w:rPr>
            </w:pPr>
            <w:r>
              <w:rPr>
                <w:rFonts w:hint="default" w:ascii="Times New Roman" w:hAnsi="Times New Roman" w:eastAsia="宋体" w:cs="Times New Roman"/>
                <w:b/>
                <w:bCs/>
                <w:color w:val="auto"/>
                <w:u w:val="none" w:color="auto"/>
                <w:lang w:val="en-US" w:eastAsia="zh-CN"/>
              </w:rPr>
              <w:t>表4-5  源强最大情形统计分析表</w:t>
            </w:r>
          </w:p>
          <w:tbl>
            <w:tblPr>
              <w:tblStyle w:val="32"/>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004"/>
              <w:gridCol w:w="1411"/>
              <w:gridCol w:w="1563"/>
              <w:gridCol w:w="1077"/>
              <w:gridCol w:w="1306"/>
              <w:gridCol w:w="1077"/>
              <w:gridCol w:w="1077"/>
            </w:tblGrid>
            <w:tr w14:paraId="2685507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3" w:hRule="atLeast"/>
              </w:trPr>
              <w:tc>
                <w:tcPr>
                  <w:tcW w:w="589" w:type="pct"/>
                  <w:vMerge w:val="restart"/>
                  <w:tcBorders>
                    <w:tl2br w:val="nil"/>
                    <w:tr2bl w:val="nil"/>
                  </w:tcBorders>
                  <w:shd w:val="clear" w:color="auto" w:fill="auto"/>
                  <w:vAlign w:val="center"/>
                </w:tcPr>
                <w:p w14:paraId="628FBF33">
                  <w:pPr>
                    <w:jc w:val="center"/>
                    <w:rPr>
                      <w:rFonts w:hint="default" w:ascii="Times New Roman" w:hAnsi="Times New Roman" w:eastAsia="宋体" w:cs="Times New Roman"/>
                      <w:b/>
                      <w:bCs/>
                      <w:color w:val="auto"/>
                      <w:u w:val="none" w:color="auto"/>
                      <w:lang w:val="en-US" w:eastAsia="zh-CN"/>
                    </w:rPr>
                  </w:pPr>
                  <w:r>
                    <w:rPr>
                      <w:rFonts w:hint="default" w:ascii="Times New Roman" w:hAnsi="Times New Roman" w:eastAsia="宋体" w:cs="Times New Roman"/>
                      <w:b/>
                      <w:bCs/>
                      <w:color w:val="auto"/>
                      <w:u w:val="none" w:color="auto"/>
                    </w:rPr>
                    <w:t>污染物名称</w:t>
                  </w:r>
                </w:p>
              </w:tc>
              <w:tc>
                <w:tcPr>
                  <w:tcW w:w="828" w:type="pct"/>
                  <w:vMerge w:val="restart"/>
                  <w:tcBorders>
                    <w:tl2br w:val="nil"/>
                    <w:tr2bl w:val="nil"/>
                  </w:tcBorders>
                  <w:vAlign w:val="center"/>
                </w:tcPr>
                <w:p w14:paraId="649D715A">
                  <w:pPr>
                    <w:jc w:val="center"/>
                    <w:rPr>
                      <w:rFonts w:hint="default" w:ascii="Times New Roman" w:hAnsi="Times New Roman" w:eastAsia="宋体" w:cs="Times New Roman"/>
                      <w:b/>
                      <w:bCs/>
                      <w:color w:val="auto"/>
                      <w:u w:val="none" w:color="auto"/>
                      <w:lang w:val="en-US" w:eastAsia="zh-CN"/>
                    </w:rPr>
                  </w:pPr>
                  <w:r>
                    <w:rPr>
                      <w:rFonts w:hint="default" w:ascii="Times New Roman" w:hAnsi="Times New Roman" w:eastAsia="宋体" w:cs="Times New Roman"/>
                      <w:b/>
                      <w:bCs/>
                      <w:color w:val="auto"/>
                      <w:u w:val="none" w:color="auto"/>
                      <w:lang w:val="en-US" w:eastAsia="zh-CN"/>
                    </w:rPr>
                    <w:t>产生量</w:t>
                  </w:r>
                </w:p>
                <w:p w14:paraId="13F0C498">
                  <w:pPr>
                    <w:jc w:val="center"/>
                    <w:rPr>
                      <w:rFonts w:hint="default" w:ascii="Times New Roman" w:hAnsi="Times New Roman" w:eastAsia="宋体" w:cs="Times New Roman"/>
                      <w:b/>
                      <w:bCs/>
                      <w:color w:val="auto"/>
                      <w:u w:val="none" w:color="auto"/>
                      <w:lang w:val="en-US" w:eastAsia="zh-CN"/>
                    </w:rPr>
                  </w:pPr>
                  <w:r>
                    <w:rPr>
                      <w:rFonts w:hint="default" w:ascii="Times New Roman" w:hAnsi="Times New Roman" w:eastAsia="宋体" w:cs="Times New Roman"/>
                      <w:b/>
                      <w:bCs/>
                      <w:color w:val="auto"/>
                      <w:u w:val="none" w:color="auto"/>
                      <w:lang w:val="en-US" w:eastAsia="zh-CN"/>
                    </w:rPr>
                    <w:t>t/a</w:t>
                  </w:r>
                </w:p>
              </w:tc>
              <w:tc>
                <w:tcPr>
                  <w:tcW w:w="917" w:type="pct"/>
                  <w:vMerge w:val="restart"/>
                  <w:tcBorders>
                    <w:tl2br w:val="nil"/>
                    <w:tr2bl w:val="nil"/>
                  </w:tcBorders>
                  <w:vAlign w:val="center"/>
                </w:tcPr>
                <w:p w14:paraId="5DC521E2">
                  <w:pPr>
                    <w:jc w:val="center"/>
                    <w:rPr>
                      <w:rFonts w:hint="default" w:ascii="Times New Roman" w:hAnsi="Times New Roman" w:eastAsia="宋体" w:cs="Times New Roman"/>
                      <w:b/>
                      <w:bCs/>
                      <w:color w:val="auto"/>
                      <w:u w:val="none" w:color="auto"/>
                      <w:lang w:val="en-US" w:eastAsia="zh-CN"/>
                    </w:rPr>
                  </w:pPr>
                  <w:r>
                    <w:rPr>
                      <w:rFonts w:hint="default" w:ascii="Times New Roman" w:hAnsi="Times New Roman" w:eastAsia="宋体" w:cs="Times New Roman"/>
                      <w:b/>
                      <w:bCs/>
                      <w:color w:val="auto"/>
                      <w:u w:val="none" w:color="auto"/>
                      <w:lang w:val="en-US" w:eastAsia="zh-CN"/>
                    </w:rPr>
                    <w:t>产生速率</w:t>
                  </w:r>
                </w:p>
                <w:p w14:paraId="4811CB48">
                  <w:pPr>
                    <w:jc w:val="center"/>
                    <w:rPr>
                      <w:rFonts w:hint="default" w:ascii="Times New Roman" w:hAnsi="Times New Roman" w:eastAsia="宋体" w:cs="Times New Roman"/>
                      <w:b/>
                      <w:bCs/>
                      <w:color w:val="auto"/>
                      <w:u w:val="none" w:color="auto"/>
                      <w:lang w:val="en-US" w:eastAsia="zh-CN"/>
                    </w:rPr>
                  </w:pPr>
                  <w:r>
                    <w:rPr>
                      <w:rFonts w:hint="default" w:ascii="Times New Roman" w:hAnsi="Times New Roman" w:eastAsia="宋体" w:cs="Times New Roman"/>
                      <w:b/>
                      <w:bCs/>
                      <w:color w:val="auto"/>
                      <w:u w:val="none" w:color="auto"/>
                      <w:lang w:val="en-US" w:eastAsia="zh-CN"/>
                    </w:rPr>
                    <w:t>kg/h</w:t>
                  </w:r>
                </w:p>
              </w:tc>
              <w:tc>
                <w:tcPr>
                  <w:tcW w:w="1398" w:type="pct"/>
                  <w:gridSpan w:val="2"/>
                  <w:tcBorders>
                    <w:tl2br w:val="nil"/>
                    <w:tr2bl w:val="nil"/>
                  </w:tcBorders>
                  <w:vAlign w:val="center"/>
                </w:tcPr>
                <w:p w14:paraId="174B7749">
                  <w:pPr>
                    <w:jc w:val="center"/>
                    <w:rPr>
                      <w:rFonts w:hint="default" w:ascii="Times New Roman" w:hAnsi="Times New Roman" w:eastAsia="宋体" w:cs="Times New Roman"/>
                      <w:b/>
                      <w:bCs/>
                      <w:color w:val="auto"/>
                      <w:u w:val="none" w:color="auto"/>
                      <w:lang w:val="en-US" w:eastAsia="zh-CN"/>
                    </w:rPr>
                  </w:pPr>
                  <w:r>
                    <w:rPr>
                      <w:rFonts w:hint="default" w:ascii="Times New Roman" w:hAnsi="Times New Roman" w:eastAsia="宋体" w:cs="Times New Roman"/>
                      <w:b/>
                      <w:bCs/>
                      <w:color w:val="auto"/>
                      <w:u w:val="none" w:color="auto"/>
                      <w:lang w:val="en-US" w:eastAsia="zh-CN"/>
                    </w:rPr>
                    <w:t>被收集情况</w:t>
                  </w:r>
                </w:p>
              </w:tc>
              <w:tc>
                <w:tcPr>
                  <w:tcW w:w="632" w:type="pct"/>
                  <w:vMerge w:val="restart"/>
                  <w:tcBorders>
                    <w:tl2br w:val="nil"/>
                    <w:tr2bl w:val="nil"/>
                  </w:tcBorders>
                  <w:vAlign w:val="center"/>
                </w:tcPr>
                <w:p w14:paraId="5AD5BD2F">
                  <w:pPr>
                    <w:jc w:val="center"/>
                    <w:rPr>
                      <w:rFonts w:hint="default" w:ascii="Times New Roman" w:hAnsi="Times New Roman" w:eastAsia="宋体" w:cs="Times New Roman"/>
                      <w:b/>
                      <w:bCs/>
                      <w:color w:val="auto"/>
                      <w:u w:val="none" w:color="auto"/>
                      <w:lang w:val="en-US" w:eastAsia="zh-CN"/>
                    </w:rPr>
                  </w:pPr>
                  <w:r>
                    <w:rPr>
                      <w:rFonts w:hint="default" w:ascii="Times New Roman" w:hAnsi="Times New Roman" w:eastAsia="宋体" w:cs="Times New Roman"/>
                      <w:b/>
                      <w:bCs/>
                      <w:color w:val="auto"/>
                      <w:u w:val="none" w:color="auto"/>
                      <w:lang w:val="en-US" w:eastAsia="zh-CN"/>
                    </w:rPr>
                    <w:t>无组织排放速率kg/h</w:t>
                  </w:r>
                </w:p>
              </w:tc>
              <w:tc>
                <w:tcPr>
                  <w:tcW w:w="632" w:type="pct"/>
                  <w:vMerge w:val="restart"/>
                  <w:tcBorders>
                    <w:tl2br w:val="nil"/>
                    <w:tr2bl w:val="nil"/>
                  </w:tcBorders>
                  <w:vAlign w:val="center"/>
                </w:tcPr>
                <w:p w14:paraId="55A3CC27">
                  <w:pPr>
                    <w:jc w:val="center"/>
                    <w:rPr>
                      <w:rFonts w:hint="default" w:ascii="Times New Roman" w:hAnsi="Times New Roman" w:eastAsia="宋体" w:cs="Times New Roman"/>
                      <w:b/>
                      <w:bCs/>
                      <w:color w:val="auto"/>
                      <w:u w:val="none" w:color="auto"/>
                      <w:lang w:val="en-US" w:eastAsia="zh-CN"/>
                    </w:rPr>
                  </w:pPr>
                  <w:r>
                    <w:rPr>
                      <w:rFonts w:hint="default" w:ascii="Times New Roman" w:hAnsi="Times New Roman" w:eastAsia="宋体" w:cs="Times New Roman"/>
                      <w:b/>
                      <w:bCs/>
                      <w:color w:val="auto"/>
                      <w:u w:val="none" w:color="auto"/>
                      <w:lang w:val="en-US" w:eastAsia="zh-CN"/>
                    </w:rPr>
                    <w:t>无组织排放量t/a</w:t>
                  </w:r>
                </w:p>
              </w:tc>
            </w:tr>
            <w:tr w14:paraId="0D56FC0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3" w:hRule="atLeast"/>
              </w:trPr>
              <w:tc>
                <w:tcPr>
                  <w:tcW w:w="589" w:type="pct"/>
                  <w:vMerge w:val="continue"/>
                  <w:tcBorders>
                    <w:tl2br w:val="nil"/>
                    <w:tr2bl w:val="nil"/>
                  </w:tcBorders>
                  <w:shd w:val="clear" w:color="auto" w:fill="auto"/>
                  <w:vAlign w:val="center"/>
                </w:tcPr>
                <w:p w14:paraId="1FEC3B76">
                  <w:pPr>
                    <w:jc w:val="center"/>
                    <w:rPr>
                      <w:rFonts w:hint="default" w:ascii="Times New Roman" w:hAnsi="Times New Roman" w:eastAsia="宋体" w:cs="Times New Roman"/>
                      <w:color w:val="auto"/>
                      <w:u w:val="none" w:color="auto"/>
                    </w:rPr>
                  </w:pPr>
                </w:p>
              </w:tc>
              <w:tc>
                <w:tcPr>
                  <w:tcW w:w="828" w:type="pct"/>
                  <w:vMerge w:val="continue"/>
                  <w:tcBorders>
                    <w:tl2br w:val="nil"/>
                    <w:tr2bl w:val="nil"/>
                  </w:tcBorders>
                  <w:vAlign w:val="center"/>
                </w:tcPr>
                <w:p w14:paraId="263081B7">
                  <w:pPr>
                    <w:jc w:val="center"/>
                    <w:rPr>
                      <w:rFonts w:hint="default" w:ascii="Times New Roman" w:hAnsi="Times New Roman" w:eastAsia="宋体" w:cs="Times New Roman"/>
                      <w:color w:val="auto"/>
                      <w:u w:val="none" w:color="auto"/>
                    </w:rPr>
                  </w:pPr>
                </w:p>
              </w:tc>
              <w:tc>
                <w:tcPr>
                  <w:tcW w:w="917" w:type="pct"/>
                  <w:vMerge w:val="continue"/>
                  <w:tcBorders>
                    <w:tl2br w:val="nil"/>
                    <w:tr2bl w:val="nil"/>
                  </w:tcBorders>
                  <w:vAlign w:val="center"/>
                </w:tcPr>
                <w:p w14:paraId="688E0B6E">
                  <w:pPr>
                    <w:jc w:val="center"/>
                    <w:rPr>
                      <w:rFonts w:hint="default" w:ascii="Times New Roman" w:hAnsi="Times New Roman" w:eastAsia="宋体" w:cs="Times New Roman"/>
                      <w:color w:val="auto"/>
                      <w:u w:val="none" w:color="auto"/>
                    </w:rPr>
                  </w:pPr>
                </w:p>
              </w:tc>
              <w:tc>
                <w:tcPr>
                  <w:tcW w:w="632" w:type="pct"/>
                  <w:tcBorders>
                    <w:tl2br w:val="nil"/>
                    <w:tr2bl w:val="nil"/>
                  </w:tcBorders>
                  <w:vAlign w:val="center"/>
                </w:tcPr>
                <w:p w14:paraId="1EE4FCF0">
                  <w:pPr>
                    <w:jc w:val="center"/>
                    <w:rPr>
                      <w:rFonts w:hint="default" w:ascii="Times New Roman" w:hAnsi="Times New Roman" w:eastAsia="宋体" w:cs="Times New Roman"/>
                      <w:b/>
                      <w:bCs/>
                      <w:color w:val="auto"/>
                      <w:u w:val="none" w:color="auto"/>
                      <w:lang w:val="en-US" w:eastAsia="zh-CN"/>
                    </w:rPr>
                  </w:pPr>
                  <w:r>
                    <w:rPr>
                      <w:rFonts w:hint="default" w:ascii="Times New Roman" w:hAnsi="Times New Roman" w:eastAsia="宋体" w:cs="Times New Roman"/>
                      <w:b/>
                      <w:bCs/>
                      <w:color w:val="auto"/>
                      <w:u w:val="none" w:color="auto"/>
                      <w:lang w:val="en-US" w:eastAsia="zh-CN"/>
                    </w:rPr>
                    <w:t>收集量</w:t>
                  </w:r>
                </w:p>
                <w:p w14:paraId="2589B0AA">
                  <w:pPr>
                    <w:jc w:val="center"/>
                    <w:rPr>
                      <w:rFonts w:hint="default" w:ascii="Times New Roman" w:hAnsi="Times New Roman" w:eastAsia="宋体" w:cs="Times New Roman"/>
                      <w:b/>
                      <w:bCs/>
                      <w:color w:val="auto"/>
                      <w:u w:val="none" w:color="auto"/>
                      <w:lang w:val="en-US" w:eastAsia="zh-CN"/>
                    </w:rPr>
                  </w:pPr>
                  <w:r>
                    <w:rPr>
                      <w:rFonts w:hint="default" w:ascii="Times New Roman" w:hAnsi="Times New Roman" w:eastAsia="宋体" w:cs="Times New Roman"/>
                      <w:b/>
                      <w:bCs/>
                      <w:color w:val="auto"/>
                      <w:u w:val="none" w:color="auto"/>
                      <w:lang w:val="en-US" w:eastAsia="zh-CN"/>
                    </w:rPr>
                    <w:t>t/a</w:t>
                  </w:r>
                </w:p>
              </w:tc>
              <w:tc>
                <w:tcPr>
                  <w:tcW w:w="765" w:type="pct"/>
                  <w:tcBorders>
                    <w:tl2br w:val="nil"/>
                    <w:tr2bl w:val="nil"/>
                  </w:tcBorders>
                  <w:vAlign w:val="center"/>
                </w:tcPr>
                <w:p w14:paraId="5F4C31CF">
                  <w:pPr>
                    <w:jc w:val="center"/>
                    <w:rPr>
                      <w:rFonts w:hint="default" w:ascii="Times New Roman" w:hAnsi="Times New Roman" w:eastAsia="宋体" w:cs="Times New Roman"/>
                      <w:b/>
                      <w:bCs/>
                      <w:color w:val="auto"/>
                      <w:u w:val="none" w:color="auto"/>
                      <w:lang w:val="en-US" w:eastAsia="zh-CN"/>
                    </w:rPr>
                  </w:pPr>
                  <w:r>
                    <w:rPr>
                      <w:rFonts w:hint="default" w:ascii="Times New Roman" w:hAnsi="Times New Roman" w:eastAsia="宋体" w:cs="Times New Roman"/>
                      <w:b/>
                      <w:bCs/>
                      <w:color w:val="auto"/>
                      <w:u w:val="none" w:color="auto"/>
                      <w:lang w:val="en-US" w:eastAsia="zh-CN"/>
                    </w:rPr>
                    <w:t>收集速率kg/h</w:t>
                  </w:r>
                </w:p>
              </w:tc>
              <w:tc>
                <w:tcPr>
                  <w:tcW w:w="632" w:type="pct"/>
                  <w:vMerge w:val="continue"/>
                  <w:tcBorders>
                    <w:tl2br w:val="nil"/>
                    <w:tr2bl w:val="nil"/>
                  </w:tcBorders>
                  <w:vAlign w:val="center"/>
                </w:tcPr>
                <w:p w14:paraId="33995215">
                  <w:pPr>
                    <w:jc w:val="center"/>
                    <w:rPr>
                      <w:rFonts w:hint="default" w:ascii="Times New Roman" w:hAnsi="Times New Roman" w:eastAsia="宋体" w:cs="Times New Roman"/>
                      <w:color w:val="auto"/>
                      <w:u w:val="none" w:color="auto"/>
                    </w:rPr>
                  </w:pPr>
                </w:p>
              </w:tc>
              <w:tc>
                <w:tcPr>
                  <w:tcW w:w="632" w:type="pct"/>
                  <w:vMerge w:val="continue"/>
                  <w:tcBorders>
                    <w:tl2br w:val="nil"/>
                    <w:tr2bl w:val="nil"/>
                  </w:tcBorders>
                  <w:vAlign w:val="center"/>
                </w:tcPr>
                <w:p w14:paraId="6F6DDF88">
                  <w:pPr>
                    <w:jc w:val="center"/>
                    <w:rPr>
                      <w:rFonts w:hint="default" w:ascii="Times New Roman" w:hAnsi="Times New Roman" w:eastAsia="宋体" w:cs="Times New Roman"/>
                      <w:color w:val="auto"/>
                      <w:u w:val="none" w:color="auto"/>
                    </w:rPr>
                  </w:pPr>
                </w:p>
              </w:tc>
            </w:tr>
            <w:tr w14:paraId="4770849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89" w:type="pct"/>
                  <w:tcBorders>
                    <w:tl2br w:val="nil"/>
                    <w:tr2bl w:val="nil"/>
                  </w:tcBorders>
                  <w:shd w:val="clear" w:color="auto" w:fill="auto"/>
                  <w:vAlign w:val="center"/>
                </w:tcPr>
                <w:p w14:paraId="05E2D256">
                  <w:pPr>
                    <w:jc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颗粒物</w:t>
                  </w:r>
                </w:p>
              </w:tc>
              <w:tc>
                <w:tcPr>
                  <w:tcW w:w="1413" w:type="dxa"/>
                  <w:tcBorders>
                    <w:tl2br w:val="nil"/>
                    <w:tr2bl w:val="nil"/>
                  </w:tcBorders>
                  <w:shd w:val="clear" w:color="auto" w:fill="auto"/>
                  <w:vAlign w:val="center"/>
                </w:tcPr>
                <w:p w14:paraId="5AE36523">
                  <w:pPr>
                    <w:keepNext w:val="0"/>
                    <w:keepLines w:val="0"/>
                    <w:widowControl/>
                    <w:suppressLineNumbers w:val="0"/>
                    <w:jc w:val="center"/>
                    <w:textAlignment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i w:val="0"/>
                      <w:iCs w:val="0"/>
                      <w:color w:val="auto"/>
                      <w:kern w:val="0"/>
                      <w:sz w:val="21"/>
                      <w:szCs w:val="21"/>
                      <w:u w:val="none" w:color="auto"/>
                      <w:lang w:val="en-US" w:eastAsia="zh-CN" w:bidi="ar"/>
                    </w:rPr>
                    <w:t>285.1773</w:t>
                  </w:r>
                </w:p>
              </w:tc>
              <w:tc>
                <w:tcPr>
                  <w:tcW w:w="1565" w:type="dxa"/>
                  <w:tcBorders>
                    <w:tl2br w:val="nil"/>
                    <w:tr2bl w:val="nil"/>
                  </w:tcBorders>
                  <w:shd w:val="clear" w:color="auto" w:fill="auto"/>
                  <w:vAlign w:val="center"/>
                </w:tcPr>
                <w:p w14:paraId="6D718E7B">
                  <w:pPr>
                    <w:keepNext w:val="0"/>
                    <w:keepLines w:val="0"/>
                    <w:widowControl/>
                    <w:suppressLineNumbers w:val="0"/>
                    <w:jc w:val="center"/>
                    <w:textAlignment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i w:val="0"/>
                      <w:iCs w:val="0"/>
                      <w:color w:val="auto"/>
                      <w:kern w:val="0"/>
                      <w:sz w:val="21"/>
                      <w:szCs w:val="21"/>
                      <w:u w:val="none" w:color="auto"/>
                      <w:lang w:val="en-US" w:eastAsia="zh-CN" w:bidi="ar"/>
                    </w:rPr>
                    <w:t>161.6584</w:t>
                  </w:r>
                </w:p>
              </w:tc>
              <w:tc>
                <w:tcPr>
                  <w:tcW w:w="1079" w:type="dxa"/>
                  <w:tcBorders>
                    <w:tl2br w:val="nil"/>
                    <w:tr2bl w:val="nil"/>
                  </w:tcBorders>
                  <w:vAlign w:val="center"/>
                </w:tcPr>
                <w:p w14:paraId="54F55449">
                  <w:pPr>
                    <w:keepNext w:val="0"/>
                    <w:keepLines w:val="0"/>
                    <w:widowControl/>
                    <w:suppressLineNumbers w:val="0"/>
                    <w:jc w:val="center"/>
                    <w:textAlignment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i w:val="0"/>
                      <w:iCs w:val="0"/>
                      <w:color w:val="auto"/>
                      <w:kern w:val="0"/>
                      <w:sz w:val="21"/>
                      <w:szCs w:val="21"/>
                      <w:u w:val="none" w:color="auto"/>
                      <w:lang w:val="en-US" w:eastAsia="zh-CN" w:bidi="ar"/>
                    </w:rPr>
                    <w:t>282.7968</w:t>
                  </w:r>
                </w:p>
              </w:tc>
              <w:tc>
                <w:tcPr>
                  <w:tcW w:w="1307" w:type="dxa"/>
                  <w:tcBorders>
                    <w:tl2br w:val="nil"/>
                    <w:tr2bl w:val="nil"/>
                  </w:tcBorders>
                  <w:vAlign w:val="center"/>
                </w:tcPr>
                <w:p w14:paraId="212E3F28">
                  <w:pPr>
                    <w:keepNext w:val="0"/>
                    <w:keepLines w:val="0"/>
                    <w:widowControl/>
                    <w:suppressLineNumbers w:val="0"/>
                    <w:jc w:val="center"/>
                    <w:textAlignment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i w:val="0"/>
                      <w:iCs w:val="0"/>
                      <w:color w:val="auto"/>
                      <w:kern w:val="0"/>
                      <w:sz w:val="21"/>
                      <w:szCs w:val="21"/>
                      <w:u w:val="none" w:color="auto"/>
                      <w:lang w:val="en-US" w:eastAsia="zh-CN" w:bidi="ar"/>
                    </w:rPr>
                    <w:t>150.6014</w:t>
                  </w:r>
                </w:p>
              </w:tc>
              <w:tc>
                <w:tcPr>
                  <w:tcW w:w="1079" w:type="dxa"/>
                  <w:tcBorders>
                    <w:tl2br w:val="nil"/>
                    <w:tr2bl w:val="nil"/>
                  </w:tcBorders>
                  <w:vAlign w:val="center"/>
                </w:tcPr>
                <w:p w14:paraId="78CF3472">
                  <w:pPr>
                    <w:keepNext w:val="0"/>
                    <w:keepLines w:val="0"/>
                    <w:widowControl/>
                    <w:suppressLineNumbers w:val="0"/>
                    <w:jc w:val="center"/>
                    <w:textAlignment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i w:val="0"/>
                      <w:iCs w:val="0"/>
                      <w:color w:val="auto"/>
                      <w:kern w:val="0"/>
                      <w:sz w:val="21"/>
                      <w:szCs w:val="21"/>
                      <w:u w:val="none" w:color="auto"/>
                      <w:lang w:val="en-US" w:eastAsia="zh-CN" w:bidi="ar"/>
                    </w:rPr>
                    <w:t>11.057</w:t>
                  </w:r>
                </w:p>
              </w:tc>
              <w:tc>
                <w:tcPr>
                  <w:tcW w:w="1079" w:type="dxa"/>
                  <w:tcBorders>
                    <w:tl2br w:val="nil"/>
                    <w:tr2bl w:val="nil"/>
                  </w:tcBorders>
                  <w:vAlign w:val="center"/>
                </w:tcPr>
                <w:p w14:paraId="2A541810">
                  <w:pPr>
                    <w:keepNext w:val="0"/>
                    <w:keepLines w:val="0"/>
                    <w:widowControl/>
                    <w:suppressLineNumbers w:val="0"/>
                    <w:jc w:val="center"/>
                    <w:textAlignment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i w:val="0"/>
                      <w:iCs w:val="0"/>
                      <w:color w:val="auto"/>
                      <w:kern w:val="0"/>
                      <w:sz w:val="21"/>
                      <w:szCs w:val="21"/>
                      <w:u w:val="none" w:color="auto"/>
                      <w:lang w:val="en-US" w:eastAsia="zh-CN" w:bidi="ar"/>
                    </w:rPr>
                    <w:t>2.3805</w:t>
                  </w:r>
                </w:p>
              </w:tc>
            </w:tr>
            <w:tr w14:paraId="1C4A13B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89" w:type="pct"/>
                  <w:tcBorders>
                    <w:tl2br w:val="nil"/>
                    <w:tr2bl w:val="nil"/>
                  </w:tcBorders>
                  <w:shd w:val="clear" w:color="auto" w:fill="auto"/>
                  <w:vAlign w:val="center"/>
                </w:tcPr>
                <w:p w14:paraId="786D3F38">
                  <w:pPr>
                    <w:jc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rPr>
                    <w:t>SO</w:t>
                  </w:r>
                  <w:r>
                    <w:rPr>
                      <w:rFonts w:hint="default" w:ascii="Times New Roman" w:hAnsi="Times New Roman" w:eastAsia="宋体" w:cs="Times New Roman"/>
                      <w:color w:val="auto"/>
                      <w:u w:val="none" w:color="auto"/>
                      <w:vertAlign w:val="subscript"/>
                    </w:rPr>
                    <w:t>2</w:t>
                  </w:r>
                </w:p>
              </w:tc>
              <w:tc>
                <w:tcPr>
                  <w:tcW w:w="1413" w:type="dxa"/>
                  <w:tcBorders>
                    <w:tl2br w:val="nil"/>
                    <w:tr2bl w:val="nil"/>
                  </w:tcBorders>
                  <w:shd w:val="clear" w:color="auto" w:fill="auto"/>
                  <w:vAlign w:val="center"/>
                </w:tcPr>
                <w:p w14:paraId="2D4D7DC1">
                  <w:pPr>
                    <w:keepNext w:val="0"/>
                    <w:keepLines w:val="0"/>
                    <w:widowControl/>
                    <w:suppressLineNumbers w:val="0"/>
                    <w:jc w:val="center"/>
                    <w:textAlignment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i w:val="0"/>
                      <w:iCs w:val="0"/>
                      <w:color w:val="auto"/>
                      <w:kern w:val="0"/>
                      <w:sz w:val="21"/>
                      <w:szCs w:val="21"/>
                      <w:u w:val="none" w:color="auto"/>
                      <w:lang w:val="en-US" w:eastAsia="zh-CN" w:bidi="ar"/>
                    </w:rPr>
                    <w:t>5.6491</w:t>
                  </w:r>
                </w:p>
              </w:tc>
              <w:tc>
                <w:tcPr>
                  <w:tcW w:w="1565" w:type="dxa"/>
                  <w:tcBorders>
                    <w:tl2br w:val="nil"/>
                    <w:tr2bl w:val="nil"/>
                  </w:tcBorders>
                  <w:shd w:val="clear" w:color="auto" w:fill="auto"/>
                  <w:vAlign w:val="center"/>
                </w:tcPr>
                <w:p w14:paraId="2000BD7C">
                  <w:pPr>
                    <w:keepNext w:val="0"/>
                    <w:keepLines w:val="0"/>
                    <w:widowControl/>
                    <w:suppressLineNumbers w:val="0"/>
                    <w:jc w:val="center"/>
                    <w:textAlignment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i w:val="0"/>
                      <w:iCs w:val="0"/>
                      <w:color w:val="auto"/>
                      <w:kern w:val="0"/>
                      <w:sz w:val="21"/>
                      <w:szCs w:val="21"/>
                      <w:u w:val="none" w:color="auto"/>
                      <w:lang w:val="en-US" w:eastAsia="zh-CN" w:bidi="ar"/>
                    </w:rPr>
                    <w:t>0.7868</w:t>
                  </w:r>
                </w:p>
              </w:tc>
              <w:tc>
                <w:tcPr>
                  <w:tcW w:w="1079" w:type="dxa"/>
                  <w:tcBorders>
                    <w:tl2br w:val="nil"/>
                    <w:tr2bl w:val="nil"/>
                  </w:tcBorders>
                  <w:vAlign w:val="center"/>
                </w:tcPr>
                <w:p w14:paraId="3B076E66">
                  <w:pPr>
                    <w:keepNext w:val="0"/>
                    <w:keepLines w:val="0"/>
                    <w:widowControl/>
                    <w:suppressLineNumbers w:val="0"/>
                    <w:jc w:val="center"/>
                    <w:textAlignment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i w:val="0"/>
                      <w:iCs w:val="0"/>
                      <w:color w:val="auto"/>
                      <w:kern w:val="0"/>
                      <w:sz w:val="21"/>
                      <w:szCs w:val="21"/>
                      <w:u w:val="none" w:color="auto"/>
                      <w:lang w:val="en-US" w:eastAsia="zh-CN" w:bidi="ar"/>
                    </w:rPr>
                    <w:t>5.0946</w:t>
                  </w:r>
                </w:p>
              </w:tc>
              <w:tc>
                <w:tcPr>
                  <w:tcW w:w="1307" w:type="dxa"/>
                  <w:tcBorders>
                    <w:tl2br w:val="nil"/>
                    <w:tr2bl w:val="nil"/>
                  </w:tcBorders>
                  <w:vAlign w:val="center"/>
                </w:tcPr>
                <w:p w14:paraId="0D2B6093">
                  <w:pPr>
                    <w:keepNext w:val="0"/>
                    <w:keepLines w:val="0"/>
                    <w:widowControl/>
                    <w:suppressLineNumbers w:val="0"/>
                    <w:jc w:val="center"/>
                    <w:textAlignment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i w:val="0"/>
                      <w:iCs w:val="0"/>
                      <w:color w:val="auto"/>
                      <w:kern w:val="0"/>
                      <w:sz w:val="21"/>
                      <w:szCs w:val="21"/>
                      <w:u w:val="none" w:color="auto"/>
                      <w:lang w:val="en-US" w:eastAsia="zh-CN" w:bidi="ar"/>
                    </w:rPr>
                    <w:t>0.7131</w:t>
                  </w:r>
                </w:p>
              </w:tc>
              <w:tc>
                <w:tcPr>
                  <w:tcW w:w="1079" w:type="dxa"/>
                  <w:tcBorders>
                    <w:tl2br w:val="nil"/>
                    <w:tr2bl w:val="nil"/>
                  </w:tcBorders>
                  <w:vAlign w:val="center"/>
                </w:tcPr>
                <w:p w14:paraId="3B226CEB">
                  <w:pPr>
                    <w:keepNext w:val="0"/>
                    <w:keepLines w:val="0"/>
                    <w:widowControl/>
                    <w:suppressLineNumbers w:val="0"/>
                    <w:jc w:val="center"/>
                    <w:textAlignment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i w:val="0"/>
                      <w:iCs w:val="0"/>
                      <w:color w:val="auto"/>
                      <w:kern w:val="0"/>
                      <w:sz w:val="21"/>
                      <w:szCs w:val="21"/>
                      <w:u w:val="none" w:color="auto"/>
                      <w:lang w:val="en-US" w:eastAsia="zh-CN" w:bidi="ar"/>
                    </w:rPr>
                    <w:t>0.0737</w:t>
                  </w:r>
                </w:p>
              </w:tc>
              <w:tc>
                <w:tcPr>
                  <w:tcW w:w="1079" w:type="dxa"/>
                  <w:tcBorders>
                    <w:tl2br w:val="nil"/>
                    <w:tr2bl w:val="nil"/>
                  </w:tcBorders>
                  <w:vAlign w:val="center"/>
                </w:tcPr>
                <w:p w14:paraId="32C2486E">
                  <w:pPr>
                    <w:keepNext w:val="0"/>
                    <w:keepLines w:val="0"/>
                    <w:widowControl/>
                    <w:suppressLineNumbers w:val="0"/>
                    <w:jc w:val="center"/>
                    <w:textAlignment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i w:val="0"/>
                      <w:iCs w:val="0"/>
                      <w:color w:val="auto"/>
                      <w:kern w:val="0"/>
                      <w:sz w:val="21"/>
                      <w:szCs w:val="21"/>
                      <w:u w:val="none" w:color="auto"/>
                      <w:lang w:val="en-US" w:eastAsia="zh-CN" w:bidi="ar"/>
                    </w:rPr>
                    <w:t>0.5545</w:t>
                  </w:r>
                </w:p>
              </w:tc>
            </w:tr>
            <w:tr w14:paraId="0CABEAC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89" w:type="pct"/>
                  <w:tcBorders>
                    <w:tl2br w:val="nil"/>
                    <w:tr2bl w:val="nil"/>
                  </w:tcBorders>
                  <w:shd w:val="clear" w:color="auto" w:fill="auto"/>
                  <w:vAlign w:val="center"/>
                </w:tcPr>
                <w:p w14:paraId="3F475587">
                  <w:pPr>
                    <w:jc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rPr>
                    <w:t>NO</w:t>
                  </w:r>
                  <w:r>
                    <w:rPr>
                      <w:rFonts w:hint="default" w:ascii="Times New Roman" w:hAnsi="Times New Roman" w:eastAsia="宋体" w:cs="Times New Roman"/>
                      <w:color w:val="auto"/>
                      <w:u w:val="none" w:color="auto"/>
                      <w:vertAlign w:val="subscript"/>
                    </w:rPr>
                    <w:t>x</w:t>
                  </w:r>
                </w:p>
              </w:tc>
              <w:tc>
                <w:tcPr>
                  <w:tcW w:w="1413" w:type="dxa"/>
                  <w:tcBorders>
                    <w:tl2br w:val="nil"/>
                    <w:tr2bl w:val="nil"/>
                  </w:tcBorders>
                  <w:shd w:val="clear" w:color="auto" w:fill="auto"/>
                  <w:vAlign w:val="center"/>
                </w:tcPr>
                <w:p w14:paraId="1C453648">
                  <w:pPr>
                    <w:keepNext w:val="0"/>
                    <w:keepLines w:val="0"/>
                    <w:widowControl/>
                    <w:suppressLineNumbers w:val="0"/>
                    <w:jc w:val="center"/>
                    <w:textAlignment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i w:val="0"/>
                      <w:iCs w:val="0"/>
                      <w:color w:val="auto"/>
                      <w:kern w:val="0"/>
                      <w:sz w:val="21"/>
                      <w:szCs w:val="21"/>
                      <w:u w:val="none" w:color="auto"/>
                      <w:lang w:val="en-US" w:eastAsia="zh-CN" w:bidi="ar"/>
                    </w:rPr>
                    <w:t>11.496</w:t>
                  </w:r>
                </w:p>
              </w:tc>
              <w:tc>
                <w:tcPr>
                  <w:tcW w:w="1565" w:type="dxa"/>
                  <w:tcBorders>
                    <w:tl2br w:val="nil"/>
                    <w:tr2bl w:val="nil"/>
                  </w:tcBorders>
                  <w:shd w:val="clear" w:color="auto" w:fill="auto"/>
                  <w:vAlign w:val="center"/>
                </w:tcPr>
                <w:p w14:paraId="245E7CB4">
                  <w:pPr>
                    <w:keepNext w:val="0"/>
                    <w:keepLines w:val="0"/>
                    <w:widowControl/>
                    <w:suppressLineNumbers w:val="0"/>
                    <w:jc w:val="center"/>
                    <w:textAlignment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i w:val="0"/>
                      <w:iCs w:val="0"/>
                      <w:color w:val="auto"/>
                      <w:kern w:val="0"/>
                      <w:sz w:val="21"/>
                      <w:szCs w:val="21"/>
                      <w:u w:val="none" w:color="auto"/>
                      <w:lang w:val="en-US" w:eastAsia="zh-CN" w:bidi="ar"/>
                    </w:rPr>
                    <w:t>1.4772</w:t>
                  </w:r>
                </w:p>
              </w:tc>
              <w:tc>
                <w:tcPr>
                  <w:tcW w:w="1079" w:type="dxa"/>
                  <w:tcBorders>
                    <w:tl2br w:val="nil"/>
                    <w:tr2bl w:val="nil"/>
                  </w:tcBorders>
                  <w:vAlign w:val="center"/>
                </w:tcPr>
                <w:p w14:paraId="5464DC3E">
                  <w:pPr>
                    <w:keepNext w:val="0"/>
                    <w:keepLines w:val="0"/>
                    <w:widowControl/>
                    <w:suppressLineNumbers w:val="0"/>
                    <w:jc w:val="center"/>
                    <w:textAlignment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i w:val="0"/>
                      <w:iCs w:val="0"/>
                      <w:color w:val="auto"/>
                      <w:kern w:val="0"/>
                      <w:sz w:val="21"/>
                      <w:szCs w:val="21"/>
                      <w:u w:val="none" w:color="auto"/>
                      <w:lang w:val="en-US" w:eastAsia="zh-CN" w:bidi="ar"/>
                    </w:rPr>
                    <w:t>10.35</w:t>
                  </w:r>
                </w:p>
              </w:tc>
              <w:tc>
                <w:tcPr>
                  <w:tcW w:w="1307" w:type="dxa"/>
                  <w:tcBorders>
                    <w:tl2br w:val="nil"/>
                    <w:tr2bl w:val="nil"/>
                  </w:tcBorders>
                  <w:vAlign w:val="center"/>
                </w:tcPr>
                <w:p w14:paraId="4D1FCFB4">
                  <w:pPr>
                    <w:keepNext w:val="0"/>
                    <w:keepLines w:val="0"/>
                    <w:widowControl/>
                    <w:suppressLineNumbers w:val="0"/>
                    <w:jc w:val="center"/>
                    <w:textAlignment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i w:val="0"/>
                      <w:iCs w:val="0"/>
                      <w:color w:val="auto"/>
                      <w:kern w:val="0"/>
                      <w:sz w:val="21"/>
                      <w:szCs w:val="21"/>
                      <w:u w:val="none" w:color="auto"/>
                      <w:lang w:val="en-US" w:eastAsia="zh-CN" w:bidi="ar"/>
                    </w:rPr>
                    <w:t>1.3313</w:t>
                  </w:r>
                </w:p>
              </w:tc>
              <w:tc>
                <w:tcPr>
                  <w:tcW w:w="1079" w:type="dxa"/>
                  <w:tcBorders>
                    <w:tl2br w:val="nil"/>
                    <w:tr2bl w:val="nil"/>
                  </w:tcBorders>
                  <w:vAlign w:val="center"/>
                </w:tcPr>
                <w:p w14:paraId="514920AD">
                  <w:pPr>
                    <w:keepNext w:val="0"/>
                    <w:keepLines w:val="0"/>
                    <w:widowControl/>
                    <w:suppressLineNumbers w:val="0"/>
                    <w:jc w:val="center"/>
                    <w:textAlignment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i w:val="0"/>
                      <w:iCs w:val="0"/>
                      <w:color w:val="auto"/>
                      <w:kern w:val="0"/>
                      <w:sz w:val="21"/>
                      <w:szCs w:val="21"/>
                      <w:u w:val="none" w:color="auto"/>
                      <w:lang w:val="en-US" w:eastAsia="zh-CN" w:bidi="ar"/>
                    </w:rPr>
                    <w:t>0.1459</w:t>
                  </w:r>
                </w:p>
              </w:tc>
              <w:tc>
                <w:tcPr>
                  <w:tcW w:w="1079" w:type="dxa"/>
                  <w:tcBorders>
                    <w:tl2br w:val="nil"/>
                    <w:tr2bl w:val="nil"/>
                  </w:tcBorders>
                  <w:vAlign w:val="center"/>
                </w:tcPr>
                <w:p w14:paraId="32DDDA53">
                  <w:pPr>
                    <w:keepNext w:val="0"/>
                    <w:keepLines w:val="0"/>
                    <w:widowControl/>
                    <w:suppressLineNumbers w:val="0"/>
                    <w:jc w:val="center"/>
                    <w:textAlignment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i w:val="0"/>
                      <w:iCs w:val="0"/>
                      <w:color w:val="auto"/>
                      <w:kern w:val="0"/>
                      <w:sz w:val="21"/>
                      <w:szCs w:val="21"/>
                      <w:u w:val="none" w:color="auto"/>
                      <w:lang w:val="en-US" w:eastAsia="zh-CN" w:bidi="ar"/>
                    </w:rPr>
                    <w:t>1.146</w:t>
                  </w:r>
                </w:p>
              </w:tc>
            </w:tr>
          </w:tbl>
          <w:p w14:paraId="69F7920C">
            <w:pPr>
              <w:pStyle w:val="2"/>
              <w:snapToGrid/>
              <w:spacing w:before="0" w:after="0" w:line="360" w:lineRule="auto"/>
              <w:ind w:right="0" w:firstLine="480" w:firstLineChars="200"/>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b w:val="0"/>
                <w:bCs w:val="0"/>
                <w:color w:val="auto"/>
                <w:spacing w:val="0"/>
                <w:sz w:val="24"/>
                <w:u w:val="none" w:color="auto"/>
                <w:lang w:val="en-US" w:eastAsia="zh-CN"/>
              </w:rPr>
              <w:t>被收集废气采用烟气冷却+多管重力除尘+布袋除尘，参考《排放源统计调查产排污核算方法和系数手册》中生物质层燃炉多管旋风除尘效率70%、袋式除尘器除尘效率99.7%，则最终除尘效率约为99.91%。建设单位拟配套21万m</w:t>
            </w:r>
            <w:r>
              <w:rPr>
                <w:rFonts w:hint="default" w:ascii="Times New Roman" w:hAnsi="Times New Roman" w:eastAsia="宋体" w:cs="Times New Roman"/>
                <w:b w:val="0"/>
                <w:bCs w:val="0"/>
                <w:color w:val="auto"/>
                <w:spacing w:val="0"/>
                <w:sz w:val="24"/>
                <w:u w:val="none" w:color="auto"/>
                <w:vertAlign w:val="superscript"/>
                <w:lang w:val="en-US" w:eastAsia="zh-CN"/>
              </w:rPr>
              <w:t>3</w:t>
            </w:r>
            <w:r>
              <w:rPr>
                <w:rFonts w:hint="default" w:ascii="Times New Roman" w:hAnsi="Times New Roman" w:eastAsia="宋体" w:cs="Times New Roman"/>
                <w:b w:val="0"/>
                <w:bCs w:val="0"/>
                <w:color w:val="auto"/>
                <w:spacing w:val="0"/>
                <w:sz w:val="24"/>
                <w:u w:val="none" w:color="auto"/>
                <w:lang w:val="en-US" w:eastAsia="zh-CN"/>
              </w:rPr>
              <w:t>/h风机，高度为20m、内径为2.5m的排气筒，则DA010排气筒最大排放情况如下表述：</w:t>
            </w:r>
          </w:p>
          <w:p w14:paraId="3239D2EE">
            <w:pPr>
              <w:jc w:val="center"/>
              <w:rPr>
                <w:rFonts w:hint="default" w:ascii="Times New Roman" w:hAnsi="Times New Roman" w:eastAsia="宋体" w:cs="Times New Roman"/>
                <w:b/>
                <w:bCs/>
                <w:color w:val="auto"/>
                <w:u w:val="none" w:color="auto"/>
                <w:lang w:val="en-US" w:eastAsia="zh-CN"/>
              </w:rPr>
            </w:pPr>
            <w:r>
              <w:rPr>
                <w:rFonts w:hint="default" w:ascii="Times New Roman" w:hAnsi="Times New Roman" w:eastAsia="宋体" w:cs="Times New Roman"/>
                <w:b/>
                <w:bCs/>
                <w:color w:val="auto"/>
                <w:u w:val="none" w:color="auto"/>
                <w:lang w:val="en-US" w:eastAsia="zh-CN"/>
              </w:rPr>
              <w:t>表4-6  DA010排气筒最大情形统计分析表</w:t>
            </w:r>
          </w:p>
          <w:tbl>
            <w:tblPr>
              <w:tblStyle w:val="32"/>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472"/>
              <w:gridCol w:w="1760"/>
              <w:gridCol w:w="1761"/>
              <w:gridCol w:w="1761"/>
              <w:gridCol w:w="1761"/>
            </w:tblGrid>
            <w:tr w14:paraId="5578C50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3" w:hRule="atLeast"/>
              </w:trPr>
              <w:tc>
                <w:tcPr>
                  <w:tcW w:w="864" w:type="pct"/>
                  <w:tcBorders>
                    <w:tl2br w:val="nil"/>
                    <w:tr2bl w:val="nil"/>
                  </w:tcBorders>
                  <w:shd w:val="clear" w:color="auto" w:fill="auto"/>
                  <w:vAlign w:val="center"/>
                </w:tcPr>
                <w:p w14:paraId="0649EFE2">
                  <w:pPr>
                    <w:jc w:val="center"/>
                    <w:rPr>
                      <w:rFonts w:hint="default" w:ascii="Times New Roman" w:hAnsi="Times New Roman" w:eastAsia="宋体" w:cs="Times New Roman"/>
                      <w:b/>
                      <w:bCs/>
                      <w:color w:val="auto"/>
                      <w:u w:val="none" w:color="auto"/>
                      <w:lang w:val="en-US" w:eastAsia="zh-CN"/>
                    </w:rPr>
                  </w:pPr>
                  <w:r>
                    <w:rPr>
                      <w:rFonts w:hint="default" w:ascii="Times New Roman" w:hAnsi="Times New Roman" w:eastAsia="宋体" w:cs="Times New Roman"/>
                      <w:b/>
                      <w:bCs/>
                      <w:color w:val="auto"/>
                      <w:u w:val="none" w:color="auto"/>
                    </w:rPr>
                    <w:t>污染物名称</w:t>
                  </w:r>
                </w:p>
              </w:tc>
              <w:tc>
                <w:tcPr>
                  <w:tcW w:w="1033" w:type="pct"/>
                  <w:tcBorders>
                    <w:tl2br w:val="nil"/>
                    <w:tr2bl w:val="nil"/>
                  </w:tcBorders>
                  <w:vAlign w:val="center"/>
                </w:tcPr>
                <w:p w14:paraId="3630050F">
                  <w:pPr>
                    <w:jc w:val="center"/>
                    <w:rPr>
                      <w:rFonts w:hint="default" w:ascii="Times New Roman" w:hAnsi="Times New Roman" w:eastAsia="宋体" w:cs="Times New Roman"/>
                      <w:b/>
                      <w:bCs/>
                      <w:color w:val="auto"/>
                      <w:u w:val="none" w:color="auto"/>
                      <w:lang w:val="en-US" w:eastAsia="zh-CN"/>
                    </w:rPr>
                  </w:pPr>
                  <w:r>
                    <w:rPr>
                      <w:rFonts w:hint="default" w:ascii="Times New Roman" w:hAnsi="Times New Roman" w:eastAsia="宋体" w:cs="Times New Roman"/>
                      <w:b/>
                      <w:bCs/>
                      <w:color w:val="auto"/>
                      <w:u w:val="none" w:color="auto"/>
                      <w:lang w:val="en-US" w:eastAsia="zh-CN"/>
                    </w:rPr>
                    <w:t>排放速率kg/h</w:t>
                  </w:r>
                </w:p>
              </w:tc>
              <w:tc>
                <w:tcPr>
                  <w:tcW w:w="1033" w:type="pct"/>
                  <w:tcBorders>
                    <w:tl2br w:val="nil"/>
                    <w:tr2bl w:val="nil"/>
                  </w:tcBorders>
                  <w:vAlign w:val="center"/>
                </w:tcPr>
                <w:p w14:paraId="3FAEE88D">
                  <w:pPr>
                    <w:jc w:val="center"/>
                    <w:rPr>
                      <w:rFonts w:hint="default" w:ascii="Times New Roman" w:hAnsi="Times New Roman" w:eastAsia="宋体" w:cs="Times New Roman"/>
                      <w:b/>
                      <w:bCs/>
                      <w:color w:val="auto"/>
                      <w:u w:val="none" w:color="auto"/>
                      <w:lang w:val="en-US" w:eastAsia="zh-CN"/>
                    </w:rPr>
                  </w:pPr>
                  <w:r>
                    <w:rPr>
                      <w:rFonts w:hint="default" w:ascii="Times New Roman" w:hAnsi="Times New Roman" w:eastAsia="宋体" w:cs="Times New Roman"/>
                      <w:b/>
                      <w:bCs/>
                      <w:color w:val="auto"/>
                      <w:u w:val="none" w:color="auto"/>
                      <w:lang w:val="en-US" w:eastAsia="zh-CN"/>
                    </w:rPr>
                    <w:t>排放量t/a</w:t>
                  </w:r>
                </w:p>
              </w:tc>
              <w:tc>
                <w:tcPr>
                  <w:tcW w:w="1033" w:type="pct"/>
                  <w:tcBorders>
                    <w:tl2br w:val="nil"/>
                    <w:tr2bl w:val="nil"/>
                  </w:tcBorders>
                  <w:vAlign w:val="center"/>
                </w:tcPr>
                <w:p w14:paraId="76F1D162">
                  <w:pPr>
                    <w:jc w:val="center"/>
                    <w:rPr>
                      <w:rFonts w:hint="default" w:ascii="Times New Roman" w:hAnsi="Times New Roman" w:eastAsia="宋体" w:cs="Times New Roman"/>
                      <w:b/>
                      <w:bCs/>
                      <w:color w:val="auto"/>
                      <w:u w:val="none" w:color="auto"/>
                      <w:lang w:val="en-US" w:eastAsia="zh-CN"/>
                    </w:rPr>
                  </w:pPr>
                  <w:r>
                    <w:rPr>
                      <w:rFonts w:hint="default" w:ascii="Times New Roman" w:hAnsi="Times New Roman" w:eastAsia="宋体" w:cs="Times New Roman"/>
                      <w:b/>
                      <w:bCs/>
                      <w:color w:val="auto"/>
                      <w:u w:val="none" w:color="auto"/>
                      <w:lang w:val="en-US" w:eastAsia="zh-CN"/>
                    </w:rPr>
                    <w:t>排放浓度mg/m</w:t>
                  </w:r>
                  <w:r>
                    <w:rPr>
                      <w:rFonts w:hint="default" w:ascii="Times New Roman" w:hAnsi="Times New Roman" w:eastAsia="宋体" w:cs="Times New Roman"/>
                      <w:b/>
                      <w:bCs/>
                      <w:color w:val="auto"/>
                      <w:u w:val="none" w:color="auto"/>
                      <w:vertAlign w:val="superscript"/>
                      <w:lang w:val="en-US" w:eastAsia="zh-CN"/>
                    </w:rPr>
                    <w:t>3</w:t>
                  </w:r>
                </w:p>
              </w:tc>
              <w:tc>
                <w:tcPr>
                  <w:tcW w:w="1033" w:type="pct"/>
                  <w:tcBorders>
                    <w:tl2br w:val="nil"/>
                    <w:tr2bl w:val="nil"/>
                  </w:tcBorders>
                  <w:vAlign w:val="center"/>
                </w:tcPr>
                <w:p w14:paraId="6E2FE9D6">
                  <w:pPr>
                    <w:jc w:val="center"/>
                    <w:rPr>
                      <w:rFonts w:hint="default" w:ascii="Times New Roman" w:hAnsi="Times New Roman" w:eastAsia="宋体" w:cs="Times New Roman"/>
                      <w:b/>
                      <w:bCs/>
                      <w:color w:val="auto"/>
                      <w:u w:val="none" w:color="auto"/>
                      <w:lang w:val="en-US" w:eastAsia="zh-CN"/>
                    </w:rPr>
                  </w:pPr>
                  <w:r>
                    <w:rPr>
                      <w:rFonts w:hint="default" w:ascii="Times New Roman" w:hAnsi="Times New Roman" w:eastAsia="宋体" w:cs="Times New Roman"/>
                      <w:b/>
                      <w:bCs/>
                      <w:color w:val="auto"/>
                      <w:u w:val="none" w:color="auto"/>
                      <w:lang w:val="en-US" w:eastAsia="zh-CN"/>
                    </w:rPr>
                    <w:t>备注</w:t>
                  </w:r>
                </w:p>
              </w:tc>
            </w:tr>
            <w:tr w14:paraId="10C578B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82" w:hRule="atLeast"/>
              </w:trPr>
              <w:tc>
                <w:tcPr>
                  <w:tcW w:w="864" w:type="pct"/>
                  <w:tcBorders>
                    <w:tl2br w:val="nil"/>
                    <w:tr2bl w:val="nil"/>
                  </w:tcBorders>
                  <w:shd w:val="clear" w:color="auto" w:fill="auto"/>
                  <w:vAlign w:val="center"/>
                </w:tcPr>
                <w:p w14:paraId="6BAE425B">
                  <w:pPr>
                    <w:jc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颗粒物</w:t>
                  </w:r>
                </w:p>
              </w:tc>
              <w:tc>
                <w:tcPr>
                  <w:tcW w:w="1033" w:type="pct"/>
                  <w:tcBorders>
                    <w:tl2br w:val="nil"/>
                    <w:tr2bl w:val="nil"/>
                  </w:tcBorders>
                  <w:vAlign w:val="center"/>
                </w:tcPr>
                <w:p w14:paraId="66124E23">
                  <w:pPr>
                    <w:jc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0.1355</w:t>
                  </w:r>
                </w:p>
              </w:tc>
              <w:tc>
                <w:tcPr>
                  <w:tcW w:w="1033" w:type="pct"/>
                  <w:tcBorders>
                    <w:tl2br w:val="nil"/>
                    <w:tr2bl w:val="nil"/>
                  </w:tcBorders>
                  <w:vAlign w:val="center"/>
                </w:tcPr>
                <w:p w14:paraId="7B2943A3">
                  <w:pPr>
                    <w:keepNext w:val="0"/>
                    <w:keepLines w:val="0"/>
                    <w:widowControl/>
                    <w:suppressLineNumbers w:val="0"/>
                    <w:jc w:val="center"/>
                    <w:textAlignment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0.2545</w:t>
                  </w:r>
                </w:p>
              </w:tc>
              <w:tc>
                <w:tcPr>
                  <w:tcW w:w="1033" w:type="pct"/>
                  <w:tcBorders>
                    <w:tl2br w:val="nil"/>
                    <w:tr2bl w:val="nil"/>
                  </w:tcBorders>
                  <w:vAlign w:val="center"/>
                </w:tcPr>
                <w:p w14:paraId="07F1865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0.65</w:t>
                  </w:r>
                </w:p>
              </w:tc>
              <w:tc>
                <w:tcPr>
                  <w:tcW w:w="1033" w:type="pct"/>
                  <w:tcBorders>
                    <w:tl2br w:val="nil"/>
                    <w:tr2bl w:val="nil"/>
                  </w:tcBorders>
                  <w:vAlign w:val="center"/>
                </w:tcPr>
                <w:p w14:paraId="13E0D73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p>
              </w:tc>
            </w:tr>
            <w:tr w14:paraId="2BD46DB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864" w:type="pct"/>
                  <w:tcBorders>
                    <w:tl2br w:val="nil"/>
                    <w:tr2bl w:val="nil"/>
                  </w:tcBorders>
                  <w:shd w:val="clear" w:color="auto" w:fill="auto"/>
                  <w:vAlign w:val="center"/>
                </w:tcPr>
                <w:p w14:paraId="269B2A25">
                  <w:pPr>
                    <w:jc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rPr>
                    <w:t>SO</w:t>
                  </w:r>
                  <w:r>
                    <w:rPr>
                      <w:rFonts w:hint="default" w:ascii="Times New Roman" w:hAnsi="Times New Roman" w:eastAsia="宋体" w:cs="Times New Roman"/>
                      <w:color w:val="auto"/>
                      <w:u w:val="none" w:color="auto"/>
                      <w:vertAlign w:val="subscript"/>
                    </w:rPr>
                    <w:t>2</w:t>
                  </w:r>
                </w:p>
              </w:tc>
              <w:tc>
                <w:tcPr>
                  <w:tcW w:w="1033" w:type="pct"/>
                  <w:tcBorders>
                    <w:tl2br w:val="nil"/>
                    <w:tr2bl w:val="nil"/>
                  </w:tcBorders>
                  <w:vAlign w:val="center"/>
                </w:tcPr>
                <w:p w14:paraId="1B800928">
                  <w:pPr>
                    <w:keepNext w:val="0"/>
                    <w:keepLines w:val="0"/>
                    <w:widowControl/>
                    <w:suppressLineNumbers w:val="0"/>
                    <w:jc w:val="center"/>
                    <w:textAlignment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i w:val="0"/>
                      <w:iCs w:val="0"/>
                      <w:color w:val="auto"/>
                      <w:kern w:val="0"/>
                      <w:sz w:val="21"/>
                      <w:szCs w:val="21"/>
                      <w:u w:val="none" w:color="auto"/>
                      <w:lang w:val="en-US" w:eastAsia="zh-CN" w:bidi="ar"/>
                    </w:rPr>
                    <w:t>0.7131</w:t>
                  </w:r>
                </w:p>
              </w:tc>
              <w:tc>
                <w:tcPr>
                  <w:tcW w:w="1033" w:type="pct"/>
                  <w:tcBorders>
                    <w:tl2br w:val="nil"/>
                    <w:tr2bl w:val="nil"/>
                  </w:tcBorders>
                  <w:vAlign w:val="center"/>
                </w:tcPr>
                <w:p w14:paraId="5E797588">
                  <w:pPr>
                    <w:keepNext w:val="0"/>
                    <w:keepLines w:val="0"/>
                    <w:widowControl/>
                    <w:suppressLineNumbers w:val="0"/>
                    <w:jc w:val="center"/>
                    <w:textAlignment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i w:val="0"/>
                      <w:iCs w:val="0"/>
                      <w:color w:val="auto"/>
                      <w:kern w:val="0"/>
                      <w:sz w:val="21"/>
                      <w:szCs w:val="21"/>
                      <w:u w:val="none" w:color="auto"/>
                      <w:lang w:val="en-US" w:eastAsia="zh-CN" w:bidi="ar"/>
                    </w:rPr>
                    <w:t>5.0946</w:t>
                  </w:r>
                </w:p>
              </w:tc>
              <w:tc>
                <w:tcPr>
                  <w:tcW w:w="1033" w:type="pct"/>
                  <w:tcBorders>
                    <w:tl2br w:val="nil"/>
                    <w:tr2bl w:val="nil"/>
                  </w:tcBorders>
                  <w:vAlign w:val="center"/>
                </w:tcPr>
                <w:p w14:paraId="68B3522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39.64</w:t>
                  </w:r>
                </w:p>
              </w:tc>
              <w:tc>
                <w:tcPr>
                  <w:tcW w:w="1033" w:type="pct"/>
                  <w:vMerge w:val="restart"/>
                  <w:tcBorders>
                    <w:tl2br w:val="nil"/>
                    <w:tr2bl w:val="nil"/>
                  </w:tcBorders>
                  <w:vAlign w:val="center"/>
                </w:tcPr>
                <w:p w14:paraId="6F60781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考虑到需折算含氧量，因此按燃料燃烧产生废气量核算</w:t>
                  </w:r>
                </w:p>
              </w:tc>
            </w:tr>
            <w:tr w14:paraId="1337CB7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864" w:type="pct"/>
                  <w:tcBorders>
                    <w:tl2br w:val="nil"/>
                    <w:tr2bl w:val="nil"/>
                  </w:tcBorders>
                  <w:shd w:val="clear" w:color="auto" w:fill="auto"/>
                  <w:vAlign w:val="center"/>
                </w:tcPr>
                <w:p w14:paraId="3AF8AF00">
                  <w:pPr>
                    <w:jc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rPr>
                    <w:t>NO</w:t>
                  </w:r>
                  <w:r>
                    <w:rPr>
                      <w:rFonts w:hint="default" w:ascii="Times New Roman" w:hAnsi="Times New Roman" w:eastAsia="宋体" w:cs="Times New Roman"/>
                      <w:color w:val="auto"/>
                      <w:u w:val="none" w:color="auto"/>
                      <w:vertAlign w:val="subscript"/>
                    </w:rPr>
                    <w:t>x</w:t>
                  </w:r>
                </w:p>
              </w:tc>
              <w:tc>
                <w:tcPr>
                  <w:tcW w:w="1033" w:type="pct"/>
                  <w:tcBorders>
                    <w:tl2br w:val="nil"/>
                    <w:tr2bl w:val="nil"/>
                  </w:tcBorders>
                  <w:vAlign w:val="center"/>
                </w:tcPr>
                <w:p w14:paraId="6A650C21">
                  <w:pPr>
                    <w:keepNext w:val="0"/>
                    <w:keepLines w:val="0"/>
                    <w:widowControl/>
                    <w:suppressLineNumbers w:val="0"/>
                    <w:jc w:val="center"/>
                    <w:textAlignment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i w:val="0"/>
                      <w:iCs w:val="0"/>
                      <w:color w:val="auto"/>
                      <w:kern w:val="0"/>
                      <w:sz w:val="21"/>
                      <w:szCs w:val="21"/>
                      <w:u w:val="none" w:color="auto"/>
                      <w:lang w:val="en-US" w:eastAsia="zh-CN" w:bidi="ar"/>
                    </w:rPr>
                    <w:t>1.3313</w:t>
                  </w:r>
                </w:p>
              </w:tc>
              <w:tc>
                <w:tcPr>
                  <w:tcW w:w="1033" w:type="pct"/>
                  <w:tcBorders>
                    <w:tl2br w:val="nil"/>
                    <w:tr2bl w:val="nil"/>
                  </w:tcBorders>
                  <w:vAlign w:val="center"/>
                </w:tcPr>
                <w:p w14:paraId="2E88AF02">
                  <w:pPr>
                    <w:keepNext w:val="0"/>
                    <w:keepLines w:val="0"/>
                    <w:widowControl/>
                    <w:suppressLineNumbers w:val="0"/>
                    <w:jc w:val="center"/>
                    <w:textAlignment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i w:val="0"/>
                      <w:iCs w:val="0"/>
                      <w:color w:val="auto"/>
                      <w:kern w:val="0"/>
                      <w:sz w:val="21"/>
                      <w:szCs w:val="21"/>
                      <w:u w:val="none" w:color="auto"/>
                      <w:lang w:val="en-US" w:eastAsia="zh-CN" w:bidi="ar"/>
                    </w:rPr>
                    <w:t>10.3500</w:t>
                  </w:r>
                </w:p>
              </w:tc>
              <w:tc>
                <w:tcPr>
                  <w:tcW w:w="1033" w:type="pct"/>
                  <w:tcBorders>
                    <w:tl2br w:val="nil"/>
                    <w:tr2bl w:val="nil"/>
                  </w:tcBorders>
                  <w:vAlign w:val="center"/>
                </w:tcPr>
                <w:p w14:paraId="424AB9F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74.01</w:t>
                  </w:r>
                </w:p>
              </w:tc>
              <w:tc>
                <w:tcPr>
                  <w:tcW w:w="1033" w:type="pct"/>
                  <w:vMerge w:val="continue"/>
                  <w:tcBorders>
                    <w:tl2br w:val="nil"/>
                    <w:tr2bl w:val="nil"/>
                  </w:tcBorders>
                  <w:vAlign w:val="center"/>
                </w:tcPr>
                <w:p w14:paraId="741767A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p>
              </w:tc>
            </w:tr>
          </w:tbl>
          <w:p w14:paraId="6C4CE413">
            <w:pPr>
              <w:pStyle w:val="2"/>
              <w:snapToGrid/>
              <w:spacing w:before="0" w:after="0" w:line="360" w:lineRule="auto"/>
              <w:ind w:right="0" w:firstLine="480" w:firstLineChars="200"/>
              <w:rPr>
                <w:rFonts w:hint="default" w:ascii="Times New Roman" w:hAnsi="Times New Roman" w:eastAsia="宋体" w:cs="Times New Roman"/>
                <w:b w:val="0"/>
                <w:bCs w:val="0"/>
                <w:color w:val="auto"/>
                <w:spacing w:val="0"/>
                <w:sz w:val="24"/>
                <w:u w:val="none" w:color="auto"/>
                <w:lang w:val="en-US" w:eastAsia="zh-CN"/>
              </w:rPr>
            </w:pPr>
            <w:r>
              <w:rPr>
                <w:rFonts w:hint="default" w:ascii="Times New Roman" w:hAnsi="Times New Roman" w:eastAsia="宋体" w:cs="Times New Roman"/>
                <w:b w:val="0"/>
                <w:bCs w:val="0"/>
                <w:color w:val="auto"/>
                <w:spacing w:val="0"/>
                <w:sz w:val="24"/>
                <w:u w:val="none" w:color="auto"/>
                <w:lang w:val="en-US" w:eastAsia="zh-CN"/>
              </w:rPr>
              <w:t>根据上述分析，在各生产工序同时生产时DA010排气筒能够满足相关排放标准限值要求。</w:t>
            </w:r>
          </w:p>
          <w:p w14:paraId="29D0ED53">
            <w:pPr>
              <w:pStyle w:val="2"/>
              <w:snapToGrid/>
              <w:spacing w:before="0" w:after="0" w:line="360" w:lineRule="auto"/>
              <w:ind w:right="0" w:firstLine="482" w:firstLineChars="200"/>
              <w:rPr>
                <w:rFonts w:hint="default" w:ascii="Times New Roman" w:hAnsi="Times New Roman" w:eastAsia="宋体" w:cs="Times New Roman"/>
                <w:b w:val="0"/>
                <w:bCs w:val="0"/>
                <w:color w:val="auto"/>
                <w:spacing w:val="0"/>
                <w:sz w:val="24"/>
                <w:u w:val="none" w:color="auto"/>
                <w:lang w:val="en-US" w:eastAsia="zh-CN"/>
              </w:rPr>
            </w:pPr>
            <w:r>
              <w:rPr>
                <w:rFonts w:hint="default" w:ascii="Times New Roman" w:hAnsi="Times New Roman" w:eastAsia="宋体" w:cs="Times New Roman"/>
                <w:b/>
                <w:bCs/>
                <w:color w:val="auto"/>
                <w:spacing w:val="0"/>
                <w:sz w:val="24"/>
                <w:u w:val="none" w:color="auto"/>
                <w:lang w:val="en-US" w:eastAsia="zh-CN"/>
              </w:rPr>
              <w:t>（2）铝合金熔铸一厂废气</w:t>
            </w:r>
          </w:p>
          <w:p w14:paraId="36F62A03">
            <w:pPr>
              <w:spacing w:line="360" w:lineRule="auto"/>
              <w:ind w:firstLine="482" w:firstLineChars="200"/>
              <w:rPr>
                <w:rFonts w:hint="default" w:ascii="Times New Roman" w:hAnsi="Times New Roman" w:eastAsia="宋体" w:cs="Times New Roman"/>
                <w:color w:val="auto"/>
                <w:sz w:val="24"/>
                <w:u w:val="none" w:color="auto"/>
              </w:rPr>
            </w:pPr>
            <w:r>
              <w:rPr>
                <w:rFonts w:hint="default" w:ascii="Times New Roman" w:hAnsi="Times New Roman" w:eastAsia="宋体" w:cs="Times New Roman"/>
                <w:b/>
                <w:bCs/>
                <w:color w:val="auto"/>
                <w:spacing w:val="0"/>
                <w:sz w:val="24"/>
                <w:u w:val="none" w:color="auto"/>
                <w:lang w:val="en-US" w:eastAsia="zh-CN"/>
              </w:rPr>
              <w:t>①压铸工艺（G5）</w:t>
            </w:r>
          </w:p>
          <w:p w14:paraId="09351ABC">
            <w:pPr>
              <w:spacing w:line="360" w:lineRule="auto"/>
              <w:ind w:firstLine="480" w:firstLineChars="200"/>
              <w:rPr>
                <w:rFonts w:hint="default" w:ascii="Times New Roman" w:hAnsi="Times New Roman" w:eastAsia="宋体" w:cs="Times New Roman"/>
                <w:color w:val="auto"/>
                <w:kern w:val="0"/>
                <w:sz w:val="24"/>
                <w:u w:val="none" w:color="auto"/>
              </w:rPr>
            </w:pPr>
            <w:r>
              <w:rPr>
                <w:rFonts w:hint="default" w:ascii="Times New Roman" w:hAnsi="Times New Roman" w:eastAsia="宋体" w:cs="Times New Roman"/>
                <w:color w:val="auto"/>
                <w:sz w:val="24"/>
                <w:u w:val="none" w:color="auto"/>
              </w:rPr>
              <w:t>项目压铸过程使用喷雾机器人在模具内</w:t>
            </w:r>
            <w:r>
              <w:rPr>
                <w:rFonts w:hint="default" w:ascii="Times New Roman" w:hAnsi="Times New Roman" w:eastAsia="宋体" w:cs="Times New Roman"/>
                <w:color w:val="auto"/>
                <w:sz w:val="24"/>
                <w:u w:val="none" w:color="auto"/>
                <w:lang w:val="en-US" w:eastAsia="zh-CN"/>
              </w:rPr>
              <w:t>喷涂</w:t>
            </w:r>
            <w:r>
              <w:rPr>
                <w:rFonts w:hint="default" w:ascii="Times New Roman" w:hAnsi="Times New Roman" w:eastAsia="宋体" w:cs="Times New Roman"/>
                <w:color w:val="auto"/>
                <w:sz w:val="24"/>
                <w:u w:val="none" w:color="auto"/>
              </w:rPr>
              <w:t>脱模剂，</w:t>
            </w:r>
            <w:r>
              <w:rPr>
                <w:rFonts w:hint="default" w:ascii="Times New Roman" w:hAnsi="Times New Roman" w:eastAsia="宋体" w:cs="Times New Roman"/>
                <w:color w:val="auto"/>
                <w:sz w:val="24"/>
                <w:u w:val="none" w:color="auto"/>
                <w:lang w:val="en-US" w:eastAsia="zh-CN"/>
              </w:rPr>
              <w:t>再</w:t>
            </w:r>
            <w:r>
              <w:rPr>
                <w:rFonts w:hint="default" w:ascii="Times New Roman" w:hAnsi="Times New Roman" w:eastAsia="宋体" w:cs="Times New Roman"/>
                <w:color w:val="auto"/>
                <w:sz w:val="24"/>
                <w:u w:val="none" w:color="auto"/>
              </w:rPr>
              <w:t>将熔化金属液加入压铸机内进行重力压铸，</w:t>
            </w:r>
            <w:r>
              <w:rPr>
                <w:rFonts w:hint="default" w:ascii="Times New Roman" w:hAnsi="Times New Roman" w:eastAsia="宋体" w:cs="Times New Roman"/>
                <w:color w:val="auto"/>
                <w:sz w:val="24"/>
                <w:u w:val="none" w:color="auto"/>
                <w:lang w:val="en-US" w:eastAsia="zh-CN"/>
              </w:rPr>
              <w:t>参考</w:t>
            </w:r>
            <w:r>
              <w:rPr>
                <w:rFonts w:hint="default" w:ascii="Times New Roman" w:hAnsi="Times New Roman" w:eastAsia="宋体" w:cs="Times New Roman"/>
                <w:color w:val="auto"/>
                <w:kern w:val="0"/>
                <w:sz w:val="24"/>
                <w:u w:val="none" w:color="auto"/>
              </w:rPr>
              <w:t>《排放源统计调查产排污核算方法和系数手册》(2021版)中“机械行业系数手册”中铸造工段，采用</w:t>
            </w:r>
            <w:r>
              <w:rPr>
                <w:rFonts w:hint="default" w:ascii="Times New Roman" w:hAnsi="Times New Roman" w:eastAsia="宋体" w:cs="Times New Roman"/>
                <w:color w:val="auto"/>
                <w:sz w:val="24"/>
                <w:u w:val="none" w:color="auto"/>
              </w:rPr>
              <w:t>金属液、脱模剂为原料进行重力浇注过程中，压铸工艺过程</w:t>
            </w:r>
            <w:r>
              <w:rPr>
                <w:rFonts w:hint="default" w:ascii="Times New Roman" w:hAnsi="Times New Roman" w:eastAsia="宋体" w:cs="Times New Roman"/>
                <w:color w:val="auto"/>
                <w:kern w:val="0"/>
                <w:sz w:val="24"/>
                <w:u w:val="none" w:color="auto"/>
              </w:rPr>
              <w:t>颗粒物产生系数取0.247kg/t产品，同时考虑</w:t>
            </w:r>
            <w:r>
              <w:rPr>
                <w:rFonts w:hint="default" w:ascii="Times New Roman" w:hAnsi="Times New Roman" w:eastAsia="宋体" w:cs="Times New Roman"/>
                <w:color w:val="auto"/>
                <w:sz w:val="24"/>
                <w:u w:val="none" w:color="auto"/>
              </w:rPr>
              <w:t>脱模剂</w:t>
            </w:r>
            <w:r>
              <w:rPr>
                <w:rFonts w:hint="default" w:ascii="Times New Roman" w:hAnsi="Times New Roman" w:eastAsia="宋体" w:cs="Times New Roman"/>
                <w:color w:val="auto"/>
                <w:sz w:val="24"/>
                <w:u w:val="none" w:color="auto"/>
                <w:lang w:eastAsia="zh-CN"/>
              </w:rPr>
              <w:t>（</w:t>
            </w:r>
            <w:r>
              <w:rPr>
                <w:rFonts w:hint="default" w:ascii="Times New Roman" w:hAnsi="Times New Roman" w:eastAsia="宋体" w:cs="Times New Roman"/>
                <w:color w:val="auto"/>
                <w:sz w:val="24"/>
                <w:u w:val="none" w:color="auto"/>
                <w:lang w:val="en-US" w:eastAsia="zh-CN"/>
              </w:rPr>
              <w:t>水性</w:t>
            </w:r>
            <w:r>
              <w:rPr>
                <w:rFonts w:hint="default" w:ascii="Times New Roman" w:hAnsi="Times New Roman" w:eastAsia="宋体" w:cs="Times New Roman"/>
                <w:color w:val="auto"/>
                <w:sz w:val="24"/>
                <w:u w:val="none" w:color="auto"/>
                <w:lang w:eastAsia="zh-CN"/>
              </w:rPr>
              <w:t>）</w:t>
            </w:r>
            <w:r>
              <w:rPr>
                <w:rFonts w:hint="default" w:ascii="Times New Roman" w:hAnsi="Times New Roman" w:eastAsia="宋体" w:cs="Times New Roman"/>
                <w:color w:val="auto"/>
                <w:sz w:val="24"/>
                <w:u w:val="none" w:color="auto"/>
              </w:rPr>
              <w:t>含有可挥发有机</w:t>
            </w:r>
            <w:bookmarkStart w:id="91" w:name="_Hlk149118648"/>
            <w:r>
              <w:rPr>
                <w:rFonts w:hint="default" w:ascii="Times New Roman" w:hAnsi="Times New Roman" w:eastAsia="宋体" w:cs="Times New Roman"/>
                <w:color w:val="auto"/>
                <w:sz w:val="24"/>
                <w:u w:val="none" w:color="auto"/>
              </w:rPr>
              <w:t>成分</w:t>
            </w:r>
            <w:bookmarkEnd w:id="91"/>
            <w:r>
              <w:rPr>
                <w:rFonts w:hint="default" w:ascii="Times New Roman" w:hAnsi="Times New Roman" w:eastAsia="宋体" w:cs="Times New Roman"/>
                <w:color w:val="auto"/>
                <w:sz w:val="24"/>
                <w:u w:val="none" w:color="auto"/>
              </w:rPr>
              <w:t>，会形成挥发性有机废气，同时参考采用涂料进行有色金属浇注压铸过程的挥发性有机物</w:t>
            </w:r>
            <w:r>
              <w:rPr>
                <w:rFonts w:hint="default" w:ascii="Times New Roman" w:hAnsi="Times New Roman" w:eastAsia="宋体" w:cs="Times New Roman"/>
                <w:color w:val="auto"/>
                <w:kern w:val="0"/>
                <w:sz w:val="24"/>
                <w:u w:val="none" w:color="auto"/>
              </w:rPr>
              <w:t>产生系数取0.12kg/t产品。</w:t>
            </w:r>
          </w:p>
          <w:p w14:paraId="07237E7E">
            <w:pPr>
              <w:spacing w:line="360" w:lineRule="auto"/>
              <w:ind w:firstLine="480" w:firstLineChars="200"/>
              <w:rPr>
                <w:rFonts w:hint="default" w:ascii="Times New Roman" w:hAnsi="Times New Roman" w:eastAsia="宋体" w:cs="Times New Roman"/>
                <w:color w:val="auto"/>
                <w:kern w:val="0"/>
                <w:sz w:val="24"/>
                <w:u w:val="none" w:color="auto"/>
              </w:rPr>
            </w:pPr>
            <w:r>
              <w:rPr>
                <w:rFonts w:hint="default" w:ascii="Times New Roman" w:hAnsi="Times New Roman" w:eastAsia="宋体" w:cs="Times New Roman"/>
                <w:color w:val="auto"/>
                <w:kern w:val="0"/>
                <w:sz w:val="24"/>
                <w:u w:val="none" w:color="auto"/>
                <w:lang w:val="en-US" w:eastAsia="zh-CN"/>
              </w:rPr>
              <w:t>压铸量按熔炼量减去扒渣量、铸锭量、粉尘产生量计算，则为36015-1080.45-9200-261.3427=25473.2073‬t/a计，</w:t>
            </w:r>
            <w:r>
              <w:rPr>
                <w:rFonts w:hint="default" w:ascii="Times New Roman" w:hAnsi="Times New Roman" w:eastAsia="宋体" w:cs="Times New Roman"/>
                <w:color w:val="auto"/>
                <w:sz w:val="24"/>
                <w:u w:val="none" w:color="auto"/>
              </w:rPr>
              <w:t>则压铸脱模废气中颗粒物产生量为</w:t>
            </w:r>
            <w:r>
              <w:rPr>
                <w:rFonts w:hint="default" w:ascii="Times New Roman" w:hAnsi="Times New Roman" w:eastAsia="宋体" w:cs="Times New Roman"/>
                <w:color w:val="auto"/>
                <w:sz w:val="24"/>
                <w:u w:val="none" w:color="auto"/>
                <w:lang w:val="en-US" w:eastAsia="zh-CN"/>
              </w:rPr>
              <w:t>6.2919</w:t>
            </w:r>
            <w:r>
              <w:rPr>
                <w:rFonts w:hint="default" w:ascii="Times New Roman" w:hAnsi="Times New Roman" w:eastAsia="宋体" w:cs="Times New Roman"/>
                <w:color w:val="auto"/>
                <w:sz w:val="24"/>
                <w:u w:val="none" w:color="auto"/>
              </w:rPr>
              <w:t>t/a、VOCs</w:t>
            </w:r>
            <w:r>
              <w:rPr>
                <w:rFonts w:hint="default" w:ascii="Times New Roman" w:hAnsi="Times New Roman" w:eastAsia="宋体" w:cs="Times New Roman"/>
                <w:color w:val="auto"/>
                <w:sz w:val="24"/>
                <w:u w:val="none" w:color="auto"/>
                <w:lang w:eastAsia="zh-CN"/>
              </w:rPr>
              <w:t>（</w:t>
            </w:r>
            <w:r>
              <w:rPr>
                <w:rFonts w:hint="default" w:ascii="Times New Roman" w:hAnsi="Times New Roman" w:eastAsia="宋体" w:cs="Times New Roman"/>
                <w:color w:val="auto"/>
                <w:sz w:val="24"/>
                <w:u w:val="none" w:color="auto"/>
                <w:lang w:val="en-US" w:eastAsia="zh-CN"/>
              </w:rPr>
              <w:t>以非甲烷总烃表征</w:t>
            </w:r>
            <w:r>
              <w:rPr>
                <w:rFonts w:hint="default" w:ascii="Times New Roman" w:hAnsi="Times New Roman" w:eastAsia="宋体" w:cs="Times New Roman"/>
                <w:color w:val="auto"/>
                <w:sz w:val="24"/>
                <w:u w:val="none" w:color="auto"/>
                <w:lang w:eastAsia="zh-CN"/>
              </w:rPr>
              <w:t>）</w:t>
            </w:r>
            <w:r>
              <w:rPr>
                <w:rFonts w:hint="default" w:ascii="Times New Roman" w:hAnsi="Times New Roman" w:eastAsia="宋体" w:cs="Times New Roman"/>
                <w:color w:val="auto"/>
                <w:sz w:val="24"/>
                <w:u w:val="none" w:color="auto"/>
              </w:rPr>
              <w:t>产生量为</w:t>
            </w:r>
            <w:r>
              <w:rPr>
                <w:rFonts w:hint="default" w:ascii="Times New Roman" w:hAnsi="Times New Roman" w:eastAsia="宋体" w:cs="Times New Roman"/>
                <w:color w:val="auto"/>
                <w:sz w:val="24"/>
                <w:u w:val="none" w:color="auto"/>
                <w:lang w:val="en-US" w:eastAsia="zh-CN"/>
              </w:rPr>
              <w:t>3.0568</w:t>
            </w:r>
            <w:r>
              <w:rPr>
                <w:rFonts w:hint="default" w:ascii="Times New Roman" w:hAnsi="Times New Roman" w:eastAsia="宋体" w:cs="Times New Roman"/>
                <w:color w:val="auto"/>
                <w:sz w:val="24"/>
                <w:u w:val="none" w:color="auto"/>
              </w:rPr>
              <w:t>t/a，压铸</w:t>
            </w:r>
            <w:r>
              <w:rPr>
                <w:rFonts w:hint="default" w:ascii="Times New Roman" w:hAnsi="Times New Roman" w:eastAsia="宋体" w:cs="Times New Roman"/>
                <w:color w:val="auto"/>
                <w:kern w:val="0"/>
                <w:sz w:val="24"/>
                <w:u w:val="none" w:color="auto"/>
              </w:rPr>
              <w:t>脱模工序与熔化炉保温过程同步运行（按每天</w:t>
            </w:r>
            <w:r>
              <w:rPr>
                <w:rFonts w:hint="default" w:ascii="Times New Roman" w:hAnsi="Times New Roman" w:eastAsia="宋体" w:cs="Times New Roman"/>
                <w:color w:val="auto"/>
                <w:kern w:val="0"/>
                <w:sz w:val="24"/>
                <w:u w:val="none" w:color="auto"/>
                <w:lang w:val="en-US" w:eastAsia="zh-CN"/>
              </w:rPr>
              <w:t>24</w:t>
            </w:r>
            <w:r>
              <w:rPr>
                <w:rFonts w:hint="default" w:ascii="Times New Roman" w:hAnsi="Times New Roman" w:eastAsia="宋体" w:cs="Times New Roman"/>
                <w:color w:val="auto"/>
                <w:kern w:val="0"/>
                <w:sz w:val="24"/>
                <w:u w:val="none" w:color="auto"/>
              </w:rPr>
              <w:t>h计），全年运行时间为</w:t>
            </w:r>
            <w:r>
              <w:rPr>
                <w:rFonts w:hint="default" w:ascii="Times New Roman" w:hAnsi="Times New Roman" w:eastAsia="宋体" w:cs="Times New Roman"/>
                <w:color w:val="auto"/>
                <w:kern w:val="0"/>
                <w:sz w:val="24"/>
                <w:u w:val="none" w:color="auto"/>
                <w:lang w:val="en-US" w:eastAsia="zh-CN"/>
              </w:rPr>
              <w:t>7920</w:t>
            </w:r>
            <w:r>
              <w:rPr>
                <w:rFonts w:hint="default" w:ascii="Times New Roman" w:hAnsi="Times New Roman" w:eastAsia="宋体" w:cs="Times New Roman"/>
                <w:color w:val="auto"/>
                <w:kern w:val="0"/>
                <w:sz w:val="24"/>
                <w:u w:val="none" w:color="auto"/>
              </w:rPr>
              <w:t>h/a。压铸脱模废气中颗粒物产生速率为</w:t>
            </w:r>
            <w:r>
              <w:rPr>
                <w:rFonts w:hint="default" w:ascii="Times New Roman" w:hAnsi="Times New Roman" w:eastAsia="宋体" w:cs="Times New Roman"/>
                <w:color w:val="auto"/>
                <w:kern w:val="0"/>
                <w:sz w:val="24"/>
                <w:u w:val="none" w:color="auto"/>
                <w:lang w:val="en-US" w:eastAsia="zh-CN"/>
              </w:rPr>
              <w:t>0.7944</w:t>
            </w:r>
            <w:r>
              <w:rPr>
                <w:rFonts w:hint="default" w:ascii="Times New Roman" w:hAnsi="Times New Roman" w:eastAsia="宋体" w:cs="Times New Roman"/>
                <w:color w:val="auto"/>
                <w:kern w:val="0"/>
                <w:sz w:val="24"/>
                <w:u w:val="none" w:color="auto"/>
              </w:rPr>
              <w:t>kg/h、</w:t>
            </w:r>
            <w:r>
              <w:rPr>
                <w:rFonts w:hint="default" w:ascii="Times New Roman" w:hAnsi="Times New Roman" w:eastAsia="宋体" w:cs="Times New Roman"/>
                <w:color w:val="auto"/>
                <w:sz w:val="24"/>
                <w:u w:val="none" w:color="auto"/>
              </w:rPr>
              <w:t>VOCs</w:t>
            </w:r>
            <w:r>
              <w:rPr>
                <w:rFonts w:hint="default" w:ascii="Times New Roman" w:hAnsi="Times New Roman" w:eastAsia="宋体" w:cs="Times New Roman"/>
                <w:color w:val="auto"/>
                <w:sz w:val="24"/>
                <w:u w:val="none" w:color="auto"/>
                <w:lang w:eastAsia="zh-CN"/>
              </w:rPr>
              <w:t>（</w:t>
            </w:r>
            <w:r>
              <w:rPr>
                <w:rFonts w:hint="default" w:ascii="Times New Roman" w:hAnsi="Times New Roman" w:eastAsia="宋体" w:cs="Times New Roman"/>
                <w:color w:val="auto"/>
                <w:sz w:val="24"/>
                <w:u w:val="none" w:color="auto"/>
                <w:lang w:val="en-US" w:eastAsia="zh-CN"/>
              </w:rPr>
              <w:t>以非甲烷总烃表征</w:t>
            </w:r>
            <w:r>
              <w:rPr>
                <w:rFonts w:hint="default" w:ascii="Times New Roman" w:hAnsi="Times New Roman" w:eastAsia="宋体" w:cs="Times New Roman"/>
                <w:color w:val="auto"/>
                <w:sz w:val="24"/>
                <w:u w:val="none" w:color="auto"/>
                <w:lang w:eastAsia="zh-CN"/>
              </w:rPr>
              <w:t>）</w:t>
            </w:r>
            <w:r>
              <w:rPr>
                <w:rFonts w:hint="default" w:ascii="Times New Roman" w:hAnsi="Times New Roman" w:eastAsia="宋体" w:cs="Times New Roman"/>
                <w:color w:val="auto"/>
                <w:kern w:val="0"/>
                <w:sz w:val="24"/>
                <w:u w:val="none" w:color="auto"/>
              </w:rPr>
              <w:t>产生速率为</w:t>
            </w:r>
            <w:r>
              <w:rPr>
                <w:rFonts w:hint="default" w:ascii="Times New Roman" w:hAnsi="Times New Roman" w:eastAsia="宋体" w:cs="Times New Roman"/>
                <w:color w:val="auto"/>
                <w:kern w:val="0"/>
                <w:sz w:val="24"/>
                <w:u w:val="none" w:color="auto"/>
                <w:lang w:val="en-US" w:eastAsia="zh-CN"/>
              </w:rPr>
              <w:t>0.3860</w:t>
            </w:r>
            <w:r>
              <w:rPr>
                <w:rFonts w:hint="default" w:ascii="Times New Roman" w:hAnsi="Times New Roman" w:eastAsia="宋体" w:cs="Times New Roman"/>
                <w:color w:val="auto"/>
                <w:kern w:val="0"/>
                <w:sz w:val="24"/>
                <w:u w:val="none" w:color="auto"/>
              </w:rPr>
              <w:t>kg/h。</w:t>
            </w:r>
          </w:p>
          <w:p w14:paraId="63E66393">
            <w:pPr>
              <w:pStyle w:val="2"/>
              <w:snapToGrid/>
              <w:spacing w:before="0" w:after="0" w:line="360" w:lineRule="auto"/>
              <w:ind w:right="0" w:firstLine="480" w:firstLineChars="200"/>
              <w:rPr>
                <w:rFonts w:hint="default" w:ascii="Times New Roman" w:hAnsi="Times New Roman" w:eastAsia="宋体" w:cs="Times New Roman"/>
                <w:color w:val="auto"/>
                <w:sz w:val="24"/>
                <w:u w:val="none" w:color="auto"/>
              </w:rPr>
            </w:pPr>
            <w:r>
              <w:rPr>
                <w:rFonts w:hint="default" w:ascii="Times New Roman" w:hAnsi="Times New Roman" w:eastAsia="宋体" w:cs="Times New Roman"/>
                <w:color w:val="auto"/>
                <w:sz w:val="24"/>
                <w:u w:val="none" w:color="auto"/>
              </w:rPr>
              <w:t>参考《主要污染物总量减排核算技术指南（2022年修订）》中表2-3废气收集率通用系数）</w:t>
            </w:r>
            <w:r>
              <w:rPr>
                <w:rFonts w:hint="default" w:ascii="Times New Roman" w:hAnsi="Times New Roman" w:eastAsia="宋体" w:cs="Times New Roman"/>
                <w:color w:val="auto"/>
                <w:sz w:val="24"/>
                <w:u w:val="none" w:color="auto"/>
                <w:lang w:eastAsia="zh-CN"/>
              </w:rPr>
              <w:t>，</w:t>
            </w:r>
            <w:r>
              <w:rPr>
                <w:rFonts w:hint="default" w:ascii="Times New Roman" w:hAnsi="Times New Roman" w:eastAsia="宋体" w:cs="Times New Roman"/>
                <w:color w:val="auto"/>
                <w:sz w:val="24"/>
                <w:u w:val="none" w:color="auto"/>
              </w:rPr>
              <w:t>上述熔炉压铸区废气在设备区设置半密闭式集气系统设计收集效率按65%，配套抽风机设计风量为</w:t>
            </w:r>
            <w:r>
              <w:rPr>
                <w:rFonts w:hint="default" w:ascii="Times New Roman" w:hAnsi="Times New Roman" w:eastAsia="宋体" w:cs="Times New Roman"/>
                <w:color w:val="auto"/>
                <w:kern w:val="0"/>
                <w:sz w:val="24"/>
                <w:u w:val="none" w:color="auto"/>
                <w:lang w:val="en-US" w:eastAsia="zh-CN"/>
              </w:rPr>
              <w:t>1</w:t>
            </w:r>
            <w:r>
              <w:rPr>
                <w:rFonts w:hint="default" w:ascii="Times New Roman" w:hAnsi="Times New Roman" w:eastAsia="宋体" w:cs="Times New Roman"/>
                <w:color w:val="auto"/>
                <w:kern w:val="0"/>
                <w:sz w:val="24"/>
                <w:u w:val="none" w:color="auto"/>
              </w:rPr>
              <w:t>0000Nm³/h。</w:t>
            </w:r>
            <w:r>
              <w:rPr>
                <w:rFonts w:hint="default" w:ascii="Times New Roman" w:hAnsi="Times New Roman" w:eastAsia="宋体" w:cs="Times New Roman"/>
                <w:color w:val="auto"/>
                <w:sz w:val="24"/>
                <w:u w:val="none" w:color="auto"/>
              </w:rPr>
              <w:t>通过</w:t>
            </w:r>
            <w:r>
              <w:rPr>
                <w:rFonts w:hint="default" w:ascii="Times New Roman" w:hAnsi="Times New Roman" w:eastAsia="宋体" w:cs="Times New Roman"/>
                <w:color w:val="auto"/>
                <w:sz w:val="24"/>
                <w:u w:val="none" w:color="auto"/>
                <w:lang w:val="en-US" w:eastAsia="zh-CN"/>
              </w:rPr>
              <w:t>布袋除尘</w:t>
            </w:r>
            <w:r>
              <w:rPr>
                <w:rFonts w:hint="default" w:ascii="Times New Roman" w:hAnsi="Times New Roman" w:eastAsia="宋体" w:cs="Times New Roman"/>
                <w:color w:val="auto"/>
                <w:sz w:val="24"/>
                <w:u w:val="none" w:color="auto"/>
              </w:rPr>
              <w:t>+活性炭吸附系统处理后通过一根</w:t>
            </w:r>
            <w:r>
              <w:rPr>
                <w:rFonts w:hint="default" w:ascii="Times New Roman" w:hAnsi="Times New Roman" w:eastAsia="宋体" w:cs="Times New Roman"/>
                <w:color w:val="auto"/>
                <w:sz w:val="24"/>
                <w:u w:val="none" w:color="auto"/>
                <w:lang w:val="en-US" w:eastAsia="zh-CN"/>
              </w:rPr>
              <w:t>20</w:t>
            </w:r>
            <w:r>
              <w:rPr>
                <w:rFonts w:hint="default" w:ascii="Times New Roman" w:hAnsi="Times New Roman" w:eastAsia="宋体" w:cs="Times New Roman"/>
                <w:color w:val="auto"/>
                <w:sz w:val="24"/>
                <w:u w:val="none" w:color="auto"/>
              </w:rPr>
              <w:t>m排气筒（DA001</w:t>
            </w:r>
            <w:r>
              <w:rPr>
                <w:rFonts w:hint="default" w:ascii="Times New Roman" w:hAnsi="Times New Roman" w:eastAsia="宋体" w:cs="Times New Roman"/>
                <w:color w:val="auto"/>
                <w:sz w:val="24"/>
                <w:u w:val="none" w:color="auto"/>
                <w:lang w:val="en-US" w:eastAsia="zh-CN"/>
              </w:rPr>
              <w:t>1</w:t>
            </w:r>
            <w:r>
              <w:rPr>
                <w:rFonts w:hint="default" w:ascii="Times New Roman" w:hAnsi="Times New Roman" w:eastAsia="宋体" w:cs="Times New Roman"/>
                <w:color w:val="auto"/>
                <w:sz w:val="24"/>
                <w:u w:val="none" w:color="auto"/>
              </w:rPr>
              <w:t>）外排，</w:t>
            </w:r>
          </w:p>
          <w:p w14:paraId="2737A14F">
            <w:pPr>
              <w:pStyle w:val="2"/>
              <w:snapToGrid/>
              <w:spacing w:before="0" w:after="0" w:line="360" w:lineRule="auto"/>
              <w:ind w:right="0" w:firstLine="480" w:firstLineChars="200"/>
              <w:rPr>
                <w:rFonts w:hint="default" w:ascii="Times New Roman" w:hAnsi="Times New Roman" w:eastAsia="宋体" w:cs="Times New Roman"/>
                <w:color w:val="auto"/>
                <w:sz w:val="24"/>
                <w:u w:val="none" w:color="auto"/>
                <w:lang w:val="en-US" w:eastAsia="zh-CN"/>
              </w:rPr>
            </w:pPr>
            <w:r>
              <w:rPr>
                <w:rFonts w:hint="default" w:ascii="Times New Roman" w:hAnsi="Times New Roman" w:eastAsia="宋体" w:cs="Times New Roman"/>
                <w:color w:val="auto"/>
                <w:sz w:val="24"/>
                <w:u w:val="none" w:color="auto"/>
                <w:lang w:val="en-US" w:eastAsia="zh-CN"/>
              </w:rPr>
              <w:t>参考</w:t>
            </w:r>
            <w:r>
              <w:rPr>
                <w:rFonts w:hint="default" w:ascii="Times New Roman" w:hAnsi="Times New Roman" w:eastAsia="宋体" w:cs="Times New Roman"/>
                <w:color w:val="auto"/>
                <w:kern w:val="0"/>
                <w:sz w:val="24"/>
                <w:u w:val="none" w:color="auto"/>
              </w:rPr>
              <w:t>《排放源统计调查产排污核算方法和系数手册》(2021版)中“机械行业系数手册”中</w:t>
            </w:r>
            <w:r>
              <w:rPr>
                <w:rFonts w:hint="default" w:ascii="Times New Roman" w:hAnsi="Times New Roman" w:eastAsia="宋体" w:cs="Times New Roman"/>
                <w:color w:val="auto"/>
                <w:kern w:val="0"/>
                <w:sz w:val="24"/>
                <w:u w:val="none" w:color="auto"/>
                <w:lang w:val="en-US" w:eastAsia="zh-CN"/>
              </w:rPr>
              <w:t>布袋除尘器对颗粒物去除效率为95%、活性炭吸附效率按15%计，则合计颗粒物去除效率为95.75%；参考</w:t>
            </w:r>
            <w:r>
              <w:rPr>
                <w:rFonts w:hint="default" w:ascii="Times New Roman" w:hAnsi="Times New Roman" w:eastAsia="宋体" w:cs="Times New Roman"/>
                <w:color w:val="auto"/>
                <w:sz w:val="24"/>
                <w:u w:val="none" w:color="auto"/>
              </w:rPr>
              <w:t>《主要污染物总量减排核算技术指南（2022年修订）》中表2-3</w:t>
            </w:r>
            <w:r>
              <w:rPr>
                <w:rFonts w:hint="default" w:ascii="Times New Roman" w:hAnsi="Times New Roman" w:eastAsia="宋体" w:cs="Times New Roman"/>
                <w:color w:val="auto"/>
                <w:sz w:val="24"/>
                <w:u w:val="none" w:color="auto"/>
                <w:lang w:val="en-US" w:eastAsia="zh-CN"/>
              </w:rPr>
              <w:t>活性炭按一次性活性炭不再生吸附效率15%计。</w:t>
            </w:r>
          </w:p>
          <w:p w14:paraId="303AC0BA">
            <w:pPr>
              <w:pStyle w:val="2"/>
              <w:snapToGrid/>
              <w:spacing w:before="0" w:after="0" w:line="360" w:lineRule="auto"/>
              <w:ind w:right="0" w:firstLine="480" w:firstLineChars="200"/>
              <w:rPr>
                <w:rFonts w:hint="default" w:ascii="Times New Roman" w:hAnsi="Times New Roman" w:eastAsia="宋体" w:cs="Times New Roman"/>
                <w:color w:val="auto"/>
                <w:sz w:val="24"/>
                <w:szCs w:val="32"/>
                <w:u w:val="none" w:color="auto"/>
                <w:lang w:val="en-US" w:eastAsia="zh-CN"/>
              </w:rPr>
            </w:pPr>
            <w:r>
              <w:rPr>
                <w:rFonts w:hint="default" w:ascii="Times New Roman" w:hAnsi="Times New Roman" w:eastAsia="宋体" w:cs="Times New Roman"/>
                <w:color w:val="auto"/>
                <w:sz w:val="24"/>
                <w:szCs w:val="32"/>
                <w:u w:val="none" w:color="auto"/>
                <w:lang w:val="en-US" w:eastAsia="zh-CN"/>
              </w:rPr>
              <w:t>经工程分析污染物排放情况如下：</w:t>
            </w:r>
          </w:p>
          <w:p w14:paraId="6F677D22">
            <w:pPr>
              <w:jc w:val="center"/>
              <w:rPr>
                <w:rFonts w:hint="default" w:ascii="Times New Roman" w:hAnsi="Times New Roman" w:eastAsia="宋体" w:cs="Times New Roman"/>
                <w:color w:val="auto"/>
                <w:sz w:val="24"/>
                <w:szCs w:val="32"/>
                <w:u w:val="none" w:color="auto"/>
                <w:lang w:val="en-US" w:eastAsia="zh-CN"/>
              </w:rPr>
            </w:pPr>
            <w:r>
              <w:rPr>
                <w:rFonts w:hint="default" w:ascii="Times New Roman" w:hAnsi="Times New Roman" w:eastAsia="宋体" w:cs="Times New Roman"/>
                <w:b/>
                <w:bCs/>
                <w:color w:val="auto"/>
                <w:u w:val="none" w:color="auto"/>
                <w:lang w:val="en-US" w:eastAsia="zh-CN"/>
              </w:rPr>
              <w:t>表4-7  铝合金熔铸一厂压铸废气污染物排放情况一览表</w:t>
            </w:r>
          </w:p>
          <w:tbl>
            <w:tblPr>
              <w:tblStyle w:val="32"/>
              <w:tblW w:w="4999"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014"/>
              <w:gridCol w:w="1310"/>
              <w:gridCol w:w="2002"/>
              <w:gridCol w:w="2095"/>
              <w:gridCol w:w="2095"/>
            </w:tblGrid>
            <w:tr w14:paraId="7237628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364" w:type="pct"/>
                  <w:gridSpan w:val="2"/>
                  <w:tcBorders>
                    <w:tl2br w:val="nil"/>
                    <w:tr2bl w:val="nil"/>
                  </w:tcBorders>
                  <w:vAlign w:val="center"/>
                </w:tcPr>
                <w:p w14:paraId="4A3C0D2E">
                  <w:pPr>
                    <w:pStyle w:val="2"/>
                    <w:keepNext w:val="0"/>
                    <w:keepLines w:val="0"/>
                    <w:pageBreakBefore w:val="0"/>
                    <w:widowControl/>
                    <w:kinsoku/>
                    <w:wordWrap/>
                    <w:overflowPunct/>
                    <w:topLinePunct w:val="0"/>
                    <w:autoSpaceDE/>
                    <w:autoSpaceDN/>
                    <w:bidi w:val="0"/>
                    <w:adjustRightInd/>
                    <w:snapToGrid/>
                    <w:spacing w:before="0" w:after="0" w:line="240" w:lineRule="auto"/>
                    <w:ind w:right="0"/>
                    <w:jc w:val="center"/>
                    <w:rPr>
                      <w:rFonts w:hint="default" w:ascii="Times New Roman" w:hAnsi="Times New Roman" w:eastAsia="宋体" w:cs="Times New Roman"/>
                      <w:b/>
                      <w:bCs/>
                      <w:color w:val="auto"/>
                      <w:sz w:val="21"/>
                      <w:szCs w:val="21"/>
                      <w:u w:val="none" w:color="auto"/>
                      <w:vertAlign w:val="baseline"/>
                      <w:lang w:val="en-US" w:eastAsia="zh-CN"/>
                    </w:rPr>
                  </w:pPr>
                  <w:r>
                    <w:rPr>
                      <w:rFonts w:hint="default" w:ascii="Times New Roman" w:hAnsi="Times New Roman" w:eastAsia="宋体" w:cs="Times New Roman"/>
                      <w:b/>
                      <w:bCs/>
                      <w:color w:val="auto"/>
                      <w:sz w:val="21"/>
                      <w:szCs w:val="21"/>
                      <w:u w:val="none" w:color="auto"/>
                      <w:vertAlign w:val="baseline"/>
                      <w:lang w:val="en-US" w:eastAsia="zh-CN"/>
                    </w:rPr>
                    <w:t>排放形式及污染物</w:t>
                  </w:r>
                </w:p>
              </w:tc>
              <w:tc>
                <w:tcPr>
                  <w:tcW w:w="1175" w:type="pct"/>
                  <w:tcBorders>
                    <w:tl2br w:val="nil"/>
                    <w:tr2bl w:val="nil"/>
                  </w:tcBorders>
                  <w:vAlign w:val="center"/>
                </w:tcPr>
                <w:p w14:paraId="150D3447">
                  <w:pPr>
                    <w:pStyle w:val="2"/>
                    <w:keepNext w:val="0"/>
                    <w:keepLines w:val="0"/>
                    <w:pageBreakBefore w:val="0"/>
                    <w:widowControl/>
                    <w:kinsoku/>
                    <w:wordWrap/>
                    <w:overflowPunct/>
                    <w:topLinePunct w:val="0"/>
                    <w:autoSpaceDE/>
                    <w:autoSpaceDN/>
                    <w:bidi w:val="0"/>
                    <w:adjustRightInd/>
                    <w:snapToGrid/>
                    <w:spacing w:before="0" w:after="0" w:line="240" w:lineRule="auto"/>
                    <w:ind w:right="0"/>
                    <w:jc w:val="center"/>
                    <w:rPr>
                      <w:rFonts w:hint="default" w:ascii="Times New Roman" w:hAnsi="Times New Roman" w:eastAsia="宋体" w:cs="Times New Roman"/>
                      <w:b/>
                      <w:bCs/>
                      <w:color w:val="auto"/>
                      <w:sz w:val="21"/>
                      <w:szCs w:val="21"/>
                      <w:u w:val="none" w:color="auto"/>
                      <w:vertAlign w:val="baseline"/>
                      <w:lang w:val="en-US" w:eastAsia="zh-CN"/>
                    </w:rPr>
                  </w:pPr>
                  <w:r>
                    <w:rPr>
                      <w:rFonts w:hint="default" w:ascii="Times New Roman" w:hAnsi="Times New Roman" w:eastAsia="宋体" w:cs="Times New Roman"/>
                      <w:b/>
                      <w:bCs/>
                      <w:color w:val="auto"/>
                      <w:sz w:val="21"/>
                      <w:szCs w:val="21"/>
                      <w:u w:val="none" w:color="auto"/>
                      <w:vertAlign w:val="baseline"/>
                      <w:lang w:val="en-US" w:eastAsia="zh-CN"/>
                    </w:rPr>
                    <w:t>排放速率（kg/h）</w:t>
                  </w:r>
                </w:p>
              </w:tc>
              <w:tc>
                <w:tcPr>
                  <w:tcW w:w="1230" w:type="pct"/>
                  <w:tcBorders>
                    <w:tl2br w:val="nil"/>
                    <w:tr2bl w:val="nil"/>
                  </w:tcBorders>
                  <w:vAlign w:val="center"/>
                </w:tcPr>
                <w:p w14:paraId="5CDFBF25">
                  <w:pPr>
                    <w:pStyle w:val="2"/>
                    <w:keepNext w:val="0"/>
                    <w:keepLines w:val="0"/>
                    <w:pageBreakBefore w:val="0"/>
                    <w:widowControl/>
                    <w:kinsoku/>
                    <w:wordWrap/>
                    <w:overflowPunct/>
                    <w:topLinePunct w:val="0"/>
                    <w:autoSpaceDE/>
                    <w:autoSpaceDN/>
                    <w:bidi w:val="0"/>
                    <w:adjustRightInd/>
                    <w:snapToGrid/>
                    <w:spacing w:before="0" w:after="0" w:line="240" w:lineRule="auto"/>
                    <w:ind w:right="0"/>
                    <w:jc w:val="center"/>
                    <w:rPr>
                      <w:rFonts w:hint="default" w:ascii="Times New Roman" w:hAnsi="Times New Roman" w:eastAsia="宋体" w:cs="Times New Roman"/>
                      <w:b/>
                      <w:bCs/>
                      <w:color w:val="auto"/>
                      <w:sz w:val="21"/>
                      <w:szCs w:val="21"/>
                      <w:u w:val="none" w:color="auto"/>
                      <w:vertAlign w:val="baseline"/>
                      <w:lang w:val="en-US" w:eastAsia="zh-CN"/>
                    </w:rPr>
                  </w:pPr>
                  <w:r>
                    <w:rPr>
                      <w:rFonts w:hint="default" w:ascii="Times New Roman" w:hAnsi="Times New Roman" w:eastAsia="宋体" w:cs="Times New Roman"/>
                      <w:b/>
                      <w:bCs/>
                      <w:color w:val="auto"/>
                      <w:sz w:val="21"/>
                      <w:szCs w:val="21"/>
                      <w:u w:val="none" w:color="auto"/>
                      <w:vertAlign w:val="baseline"/>
                      <w:lang w:val="en-US" w:eastAsia="zh-CN"/>
                    </w:rPr>
                    <w:t>排放量（t/a）</w:t>
                  </w:r>
                </w:p>
              </w:tc>
              <w:tc>
                <w:tcPr>
                  <w:tcW w:w="1230" w:type="pct"/>
                  <w:tcBorders>
                    <w:tl2br w:val="nil"/>
                    <w:tr2bl w:val="nil"/>
                  </w:tcBorders>
                  <w:vAlign w:val="center"/>
                </w:tcPr>
                <w:p w14:paraId="023D7724">
                  <w:pPr>
                    <w:pStyle w:val="2"/>
                    <w:keepNext w:val="0"/>
                    <w:keepLines w:val="0"/>
                    <w:pageBreakBefore w:val="0"/>
                    <w:widowControl/>
                    <w:kinsoku/>
                    <w:wordWrap/>
                    <w:overflowPunct/>
                    <w:topLinePunct w:val="0"/>
                    <w:autoSpaceDE/>
                    <w:autoSpaceDN/>
                    <w:bidi w:val="0"/>
                    <w:adjustRightInd/>
                    <w:snapToGrid/>
                    <w:spacing w:before="0" w:after="0" w:line="240" w:lineRule="auto"/>
                    <w:ind w:right="0"/>
                    <w:jc w:val="center"/>
                    <w:rPr>
                      <w:rFonts w:hint="default" w:ascii="Times New Roman" w:hAnsi="Times New Roman" w:eastAsia="宋体" w:cs="Times New Roman"/>
                      <w:b/>
                      <w:bCs/>
                      <w:color w:val="auto"/>
                      <w:sz w:val="21"/>
                      <w:szCs w:val="21"/>
                      <w:u w:val="none" w:color="auto"/>
                      <w:vertAlign w:val="baseline"/>
                      <w:lang w:val="en-US" w:eastAsia="zh-CN"/>
                    </w:rPr>
                  </w:pPr>
                  <w:r>
                    <w:rPr>
                      <w:rFonts w:hint="default" w:ascii="Times New Roman" w:hAnsi="Times New Roman" w:eastAsia="宋体" w:cs="Times New Roman"/>
                      <w:b/>
                      <w:bCs/>
                      <w:color w:val="auto"/>
                      <w:sz w:val="21"/>
                      <w:szCs w:val="21"/>
                      <w:u w:val="none" w:color="auto"/>
                      <w:vertAlign w:val="baseline"/>
                      <w:lang w:val="en-US" w:eastAsia="zh-CN"/>
                    </w:rPr>
                    <w:t>排放浓度（mg/m</w:t>
                  </w:r>
                  <w:r>
                    <w:rPr>
                      <w:rFonts w:hint="default" w:ascii="Times New Roman" w:hAnsi="Times New Roman" w:eastAsia="宋体" w:cs="Times New Roman"/>
                      <w:b/>
                      <w:bCs/>
                      <w:color w:val="auto"/>
                      <w:sz w:val="21"/>
                      <w:szCs w:val="21"/>
                      <w:u w:val="none" w:color="auto"/>
                      <w:vertAlign w:val="superscript"/>
                      <w:lang w:val="en-US" w:eastAsia="zh-CN"/>
                    </w:rPr>
                    <w:t>3</w:t>
                  </w:r>
                  <w:r>
                    <w:rPr>
                      <w:rFonts w:hint="default" w:ascii="Times New Roman" w:hAnsi="Times New Roman" w:eastAsia="宋体" w:cs="Times New Roman"/>
                      <w:b/>
                      <w:bCs/>
                      <w:color w:val="auto"/>
                      <w:sz w:val="21"/>
                      <w:szCs w:val="21"/>
                      <w:u w:val="none" w:color="auto"/>
                      <w:vertAlign w:val="baseline"/>
                      <w:lang w:val="en-US" w:eastAsia="zh-CN"/>
                    </w:rPr>
                    <w:t>）</w:t>
                  </w:r>
                </w:p>
              </w:tc>
            </w:tr>
            <w:tr w14:paraId="6C7291F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95" w:type="pct"/>
                  <w:vMerge w:val="restart"/>
                  <w:tcBorders>
                    <w:tl2br w:val="nil"/>
                    <w:tr2bl w:val="nil"/>
                  </w:tcBorders>
                  <w:vAlign w:val="center"/>
                </w:tcPr>
                <w:p w14:paraId="1D388E1D">
                  <w:pPr>
                    <w:pStyle w:val="2"/>
                    <w:keepNext w:val="0"/>
                    <w:keepLines w:val="0"/>
                    <w:pageBreakBefore w:val="0"/>
                    <w:widowControl/>
                    <w:kinsoku/>
                    <w:wordWrap/>
                    <w:overflowPunct/>
                    <w:topLinePunct w:val="0"/>
                    <w:autoSpaceDE/>
                    <w:autoSpaceDN/>
                    <w:bidi w:val="0"/>
                    <w:adjustRightInd/>
                    <w:snapToGrid/>
                    <w:spacing w:before="0" w:after="0" w:line="240" w:lineRule="auto"/>
                    <w:ind w:right="0"/>
                    <w:jc w:val="center"/>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DA011</w:t>
                  </w:r>
                </w:p>
              </w:tc>
              <w:tc>
                <w:tcPr>
                  <w:tcW w:w="769" w:type="pct"/>
                  <w:tcBorders>
                    <w:tl2br w:val="nil"/>
                    <w:tr2bl w:val="nil"/>
                  </w:tcBorders>
                  <w:vAlign w:val="center"/>
                </w:tcPr>
                <w:p w14:paraId="144BC00F">
                  <w:pPr>
                    <w:pStyle w:val="2"/>
                    <w:keepNext w:val="0"/>
                    <w:keepLines w:val="0"/>
                    <w:pageBreakBefore w:val="0"/>
                    <w:widowControl/>
                    <w:kinsoku/>
                    <w:wordWrap/>
                    <w:overflowPunct/>
                    <w:topLinePunct w:val="0"/>
                    <w:autoSpaceDE/>
                    <w:autoSpaceDN/>
                    <w:bidi w:val="0"/>
                    <w:adjustRightInd/>
                    <w:snapToGrid/>
                    <w:spacing w:before="0" w:after="0" w:line="240" w:lineRule="auto"/>
                    <w:ind w:right="0"/>
                    <w:jc w:val="center"/>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颗粒物</w:t>
                  </w:r>
                </w:p>
              </w:tc>
              <w:tc>
                <w:tcPr>
                  <w:tcW w:w="2004" w:type="dxa"/>
                  <w:tcBorders>
                    <w:tl2br w:val="nil"/>
                    <w:tr2bl w:val="nil"/>
                  </w:tcBorders>
                  <w:vAlign w:val="top"/>
                </w:tcPr>
                <w:p w14:paraId="482CB2C7">
                  <w:pPr>
                    <w:keepNext w:val="0"/>
                    <w:keepLines w:val="0"/>
                    <w:widowControl/>
                    <w:suppressLineNumbers w:val="0"/>
                    <w:jc w:val="center"/>
                    <w:textAlignment w:val="top"/>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0.0219</w:t>
                  </w:r>
                </w:p>
              </w:tc>
              <w:tc>
                <w:tcPr>
                  <w:tcW w:w="2098" w:type="dxa"/>
                  <w:tcBorders>
                    <w:tl2br w:val="nil"/>
                    <w:tr2bl w:val="nil"/>
                  </w:tcBorders>
                  <w:vAlign w:val="top"/>
                </w:tcPr>
                <w:p w14:paraId="186DE853">
                  <w:pPr>
                    <w:keepNext w:val="0"/>
                    <w:keepLines w:val="0"/>
                    <w:widowControl/>
                    <w:suppressLineNumbers w:val="0"/>
                    <w:jc w:val="center"/>
                    <w:textAlignment w:val="top"/>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i w:val="0"/>
                      <w:iCs w:val="0"/>
                      <w:color w:val="auto"/>
                      <w:kern w:val="0"/>
                      <w:sz w:val="21"/>
                      <w:szCs w:val="21"/>
                      <w:u w:val="none" w:color="auto"/>
                      <w:lang w:val="en-US" w:eastAsia="zh-CN" w:bidi="ar"/>
                    </w:rPr>
                    <w:t>0.1738</w:t>
                  </w:r>
                </w:p>
              </w:tc>
              <w:tc>
                <w:tcPr>
                  <w:tcW w:w="2098" w:type="dxa"/>
                  <w:tcBorders>
                    <w:tl2br w:val="nil"/>
                    <w:tr2bl w:val="nil"/>
                  </w:tcBorders>
                  <w:vAlign w:val="top"/>
                </w:tcPr>
                <w:p w14:paraId="45D37ADB">
                  <w:pPr>
                    <w:keepNext w:val="0"/>
                    <w:keepLines w:val="0"/>
                    <w:widowControl/>
                    <w:suppressLineNumbers w:val="0"/>
                    <w:jc w:val="center"/>
                    <w:textAlignment w:val="top"/>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i w:val="0"/>
                      <w:iCs w:val="0"/>
                      <w:color w:val="auto"/>
                      <w:kern w:val="0"/>
                      <w:sz w:val="21"/>
                      <w:szCs w:val="21"/>
                      <w:u w:val="none" w:color="auto"/>
                      <w:lang w:val="en-US" w:eastAsia="zh-CN" w:bidi="ar"/>
                    </w:rPr>
                    <w:t>2.19</w:t>
                  </w:r>
                </w:p>
              </w:tc>
            </w:tr>
            <w:tr w14:paraId="2512294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95" w:type="pct"/>
                  <w:vMerge w:val="continue"/>
                  <w:tcBorders>
                    <w:tl2br w:val="nil"/>
                    <w:tr2bl w:val="nil"/>
                  </w:tcBorders>
                  <w:vAlign w:val="center"/>
                </w:tcPr>
                <w:p w14:paraId="5A0A6849">
                  <w:pPr>
                    <w:pStyle w:val="2"/>
                    <w:keepNext w:val="0"/>
                    <w:keepLines w:val="0"/>
                    <w:pageBreakBefore w:val="0"/>
                    <w:widowControl/>
                    <w:kinsoku/>
                    <w:wordWrap/>
                    <w:overflowPunct/>
                    <w:topLinePunct w:val="0"/>
                    <w:autoSpaceDE/>
                    <w:autoSpaceDN/>
                    <w:bidi w:val="0"/>
                    <w:adjustRightInd/>
                    <w:snapToGrid/>
                    <w:spacing w:before="0" w:after="0" w:line="240" w:lineRule="auto"/>
                    <w:ind w:right="0"/>
                    <w:jc w:val="both"/>
                    <w:rPr>
                      <w:rFonts w:hint="default" w:ascii="Times New Roman" w:hAnsi="Times New Roman" w:eastAsia="宋体" w:cs="Times New Roman"/>
                      <w:color w:val="auto"/>
                      <w:sz w:val="21"/>
                      <w:szCs w:val="21"/>
                      <w:u w:val="none" w:color="auto"/>
                      <w:vertAlign w:val="baseline"/>
                      <w:lang w:val="en-US" w:eastAsia="zh-CN"/>
                    </w:rPr>
                  </w:pPr>
                </w:p>
              </w:tc>
              <w:tc>
                <w:tcPr>
                  <w:tcW w:w="769" w:type="pct"/>
                  <w:tcBorders>
                    <w:tl2br w:val="nil"/>
                    <w:tr2bl w:val="nil"/>
                  </w:tcBorders>
                  <w:vAlign w:val="center"/>
                </w:tcPr>
                <w:p w14:paraId="5AC19FFB">
                  <w:pPr>
                    <w:pStyle w:val="2"/>
                    <w:keepNext w:val="0"/>
                    <w:keepLines w:val="0"/>
                    <w:pageBreakBefore w:val="0"/>
                    <w:widowControl/>
                    <w:kinsoku/>
                    <w:wordWrap/>
                    <w:overflowPunct/>
                    <w:topLinePunct w:val="0"/>
                    <w:autoSpaceDE/>
                    <w:autoSpaceDN/>
                    <w:bidi w:val="0"/>
                    <w:adjustRightInd/>
                    <w:snapToGrid/>
                    <w:spacing w:before="0" w:after="0" w:line="240" w:lineRule="auto"/>
                    <w:ind w:right="0"/>
                    <w:jc w:val="center"/>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非甲烷总烃</w:t>
                  </w:r>
                </w:p>
              </w:tc>
              <w:tc>
                <w:tcPr>
                  <w:tcW w:w="2004" w:type="dxa"/>
                  <w:tcBorders>
                    <w:tl2br w:val="nil"/>
                    <w:tr2bl w:val="nil"/>
                  </w:tcBorders>
                  <w:vAlign w:val="top"/>
                </w:tcPr>
                <w:p w14:paraId="3099CBBE">
                  <w:pPr>
                    <w:keepNext w:val="0"/>
                    <w:keepLines w:val="0"/>
                    <w:widowControl/>
                    <w:suppressLineNumbers w:val="0"/>
                    <w:jc w:val="center"/>
                    <w:textAlignment w:val="top"/>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0.2132</w:t>
                  </w:r>
                </w:p>
              </w:tc>
              <w:tc>
                <w:tcPr>
                  <w:tcW w:w="2098" w:type="dxa"/>
                  <w:tcBorders>
                    <w:tl2br w:val="nil"/>
                    <w:tr2bl w:val="nil"/>
                  </w:tcBorders>
                  <w:vAlign w:val="top"/>
                </w:tcPr>
                <w:p w14:paraId="4E54AE34">
                  <w:pPr>
                    <w:keepNext w:val="0"/>
                    <w:keepLines w:val="0"/>
                    <w:widowControl/>
                    <w:suppressLineNumbers w:val="0"/>
                    <w:jc w:val="center"/>
                    <w:textAlignment w:val="top"/>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i w:val="0"/>
                      <w:iCs w:val="0"/>
                      <w:color w:val="auto"/>
                      <w:kern w:val="0"/>
                      <w:sz w:val="21"/>
                      <w:szCs w:val="21"/>
                      <w:u w:val="none" w:color="auto"/>
                      <w:lang w:val="en-US" w:eastAsia="zh-CN" w:bidi="ar"/>
                    </w:rPr>
                    <w:t>1.6889</w:t>
                  </w:r>
                </w:p>
              </w:tc>
              <w:tc>
                <w:tcPr>
                  <w:tcW w:w="2098" w:type="dxa"/>
                  <w:tcBorders>
                    <w:tl2br w:val="nil"/>
                    <w:tr2bl w:val="nil"/>
                  </w:tcBorders>
                  <w:vAlign w:val="top"/>
                </w:tcPr>
                <w:p w14:paraId="363312FC">
                  <w:pPr>
                    <w:keepNext w:val="0"/>
                    <w:keepLines w:val="0"/>
                    <w:widowControl/>
                    <w:suppressLineNumbers w:val="0"/>
                    <w:jc w:val="center"/>
                    <w:textAlignment w:val="top"/>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i w:val="0"/>
                      <w:iCs w:val="0"/>
                      <w:color w:val="auto"/>
                      <w:kern w:val="0"/>
                      <w:sz w:val="21"/>
                      <w:szCs w:val="21"/>
                      <w:u w:val="none" w:color="auto"/>
                      <w:lang w:val="en-US" w:eastAsia="zh-CN" w:bidi="ar"/>
                    </w:rPr>
                    <w:t>21.32</w:t>
                  </w:r>
                </w:p>
              </w:tc>
            </w:tr>
            <w:tr w14:paraId="7CD718C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95" w:type="pct"/>
                  <w:vMerge w:val="restart"/>
                  <w:tcBorders>
                    <w:tl2br w:val="nil"/>
                    <w:tr2bl w:val="nil"/>
                  </w:tcBorders>
                  <w:vAlign w:val="center"/>
                </w:tcPr>
                <w:p w14:paraId="14A18CFC">
                  <w:pPr>
                    <w:pStyle w:val="2"/>
                    <w:keepNext w:val="0"/>
                    <w:keepLines w:val="0"/>
                    <w:pageBreakBefore w:val="0"/>
                    <w:widowControl/>
                    <w:kinsoku/>
                    <w:wordWrap/>
                    <w:overflowPunct/>
                    <w:topLinePunct w:val="0"/>
                    <w:autoSpaceDE/>
                    <w:autoSpaceDN/>
                    <w:bidi w:val="0"/>
                    <w:adjustRightInd/>
                    <w:snapToGrid/>
                    <w:spacing w:before="0" w:after="0" w:line="240" w:lineRule="auto"/>
                    <w:ind w:right="0"/>
                    <w:jc w:val="center"/>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无组织</w:t>
                  </w:r>
                </w:p>
              </w:tc>
              <w:tc>
                <w:tcPr>
                  <w:tcW w:w="769" w:type="pct"/>
                  <w:tcBorders>
                    <w:tl2br w:val="nil"/>
                    <w:tr2bl w:val="nil"/>
                  </w:tcBorders>
                  <w:shd w:val="clear" w:color="auto" w:fill="auto"/>
                  <w:vAlign w:val="center"/>
                </w:tcPr>
                <w:p w14:paraId="4DC56817">
                  <w:pPr>
                    <w:pStyle w:val="2"/>
                    <w:keepNext w:val="0"/>
                    <w:keepLines w:val="0"/>
                    <w:pageBreakBefore w:val="0"/>
                    <w:widowControl/>
                    <w:kinsoku/>
                    <w:wordWrap/>
                    <w:overflowPunct/>
                    <w:topLinePunct w:val="0"/>
                    <w:autoSpaceDE/>
                    <w:autoSpaceDN/>
                    <w:bidi w:val="0"/>
                    <w:adjustRightInd/>
                    <w:snapToGrid/>
                    <w:spacing w:before="0" w:after="0" w:line="240" w:lineRule="auto"/>
                    <w:ind w:right="0" w:rightChars="0"/>
                    <w:jc w:val="center"/>
                    <w:rPr>
                      <w:rFonts w:hint="default" w:ascii="Times New Roman" w:hAnsi="Times New Roman" w:eastAsia="宋体" w:cs="Times New Roman"/>
                      <w:color w:val="auto"/>
                      <w:kern w:val="0"/>
                      <w:sz w:val="21"/>
                      <w:szCs w:val="21"/>
                      <w:u w:val="none" w:color="auto"/>
                      <w:vertAlign w:val="baseline"/>
                      <w:lang w:val="en-US" w:eastAsia="zh-CN" w:bidi="ar-SA"/>
                    </w:rPr>
                  </w:pPr>
                  <w:r>
                    <w:rPr>
                      <w:rFonts w:hint="default" w:ascii="Times New Roman" w:hAnsi="Times New Roman" w:eastAsia="宋体" w:cs="Times New Roman"/>
                      <w:color w:val="auto"/>
                      <w:sz w:val="21"/>
                      <w:szCs w:val="21"/>
                      <w:u w:val="none" w:color="auto"/>
                      <w:vertAlign w:val="baseline"/>
                      <w:lang w:val="en-US" w:eastAsia="zh-CN"/>
                    </w:rPr>
                    <w:t>颗粒物</w:t>
                  </w:r>
                </w:p>
              </w:tc>
              <w:tc>
                <w:tcPr>
                  <w:tcW w:w="2004" w:type="dxa"/>
                  <w:tcBorders>
                    <w:tl2br w:val="nil"/>
                    <w:tr2bl w:val="nil"/>
                  </w:tcBorders>
                  <w:vAlign w:val="center"/>
                </w:tcPr>
                <w:p w14:paraId="3164BC7C">
                  <w:pPr>
                    <w:keepNext w:val="0"/>
                    <w:keepLines w:val="0"/>
                    <w:pageBreakBefore w:val="0"/>
                    <w:widowControl/>
                    <w:suppressLineNumbers w:val="0"/>
                    <w:kinsoku/>
                    <w:wordWrap/>
                    <w:overflowPunct/>
                    <w:topLinePunct w:val="0"/>
                    <w:autoSpaceDE/>
                    <w:autoSpaceDN/>
                    <w:bidi w:val="0"/>
                    <w:adjustRightInd/>
                    <w:snapToGrid/>
                    <w:ind w:right="0"/>
                    <w:jc w:val="center"/>
                    <w:textAlignment w:val="top"/>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 xml:space="preserve">0.2781 </w:t>
                  </w:r>
                </w:p>
              </w:tc>
              <w:tc>
                <w:tcPr>
                  <w:tcW w:w="2098" w:type="dxa"/>
                  <w:tcBorders>
                    <w:tl2br w:val="nil"/>
                    <w:tr2bl w:val="nil"/>
                  </w:tcBorders>
                  <w:vAlign w:val="top"/>
                </w:tcPr>
                <w:p w14:paraId="30504DB5">
                  <w:pPr>
                    <w:keepNext w:val="0"/>
                    <w:keepLines w:val="0"/>
                    <w:pageBreakBefore w:val="0"/>
                    <w:widowControl/>
                    <w:suppressLineNumbers w:val="0"/>
                    <w:kinsoku/>
                    <w:wordWrap/>
                    <w:overflowPunct/>
                    <w:topLinePunct w:val="0"/>
                    <w:autoSpaceDE/>
                    <w:autoSpaceDN/>
                    <w:bidi w:val="0"/>
                    <w:adjustRightInd/>
                    <w:snapToGrid/>
                    <w:ind w:right="0"/>
                    <w:jc w:val="center"/>
                    <w:textAlignment w:val="top"/>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i w:val="0"/>
                      <w:iCs w:val="0"/>
                      <w:color w:val="auto"/>
                      <w:kern w:val="0"/>
                      <w:sz w:val="21"/>
                      <w:szCs w:val="21"/>
                      <w:u w:val="none" w:color="auto"/>
                      <w:lang w:val="en-US" w:eastAsia="zh-CN" w:bidi="ar"/>
                    </w:rPr>
                    <w:t>2.2022</w:t>
                  </w:r>
                </w:p>
              </w:tc>
              <w:tc>
                <w:tcPr>
                  <w:tcW w:w="1230" w:type="pct"/>
                  <w:tcBorders>
                    <w:tl2br w:val="nil"/>
                    <w:tr2bl w:val="nil"/>
                  </w:tcBorders>
                  <w:vAlign w:val="center"/>
                </w:tcPr>
                <w:p w14:paraId="5BA5779F">
                  <w:pPr>
                    <w:keepNext w:val="0"/>
                    <w:keepLines w:val="0"/>
                    <w:pageBreakBefore w:val="0"/>
                    <w:widowControl/>
                    <w:kinsoku/>
                    <w:wordWrap/>
                    <w:overflowPunct/>
                    <w:topLinePunct w:val="0"/>
                    <w:autoSpaceDE/>
                    <w:autoSpaceDN/>
                    <w:bidi w:val="0"/>
                    <w:adjustRightInd/>
                    <w:snapToGrid/>
                    <w:spacing w:before="0" w:after="0" w:line="240" w:lineRule="auto"/>
                    <w:ind w:right="0"/>
                    <w:jc w:val="center"/>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w:t>
                  </w:r>
                </w:p>
              </w:tc>
            </w:tr>
            <w:tr w14:paraId="479F76F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95" w:type="pct"/>
                  <w:vMerge w:val="continue"/>
                  <w:tcBorders>
                    <w:tl2br w:val="nil"/>
                    <w:tr2bl w:val="nil"/>
                  </w:tcBorders>
                  <w:vAlign w:val="center"/>
                </w:tcPr>
                <w:p w14:paraId="00EF7184">
                  <w:pPr>
                    <w:pStyle w:val="2"/>
                    <w:keepNext w:val="0"/>
                    <w:keepLines w:val="0"/>
                    <w:pageBreakBefore w:val="0"/>
                    <w:widowControl/>
                    <w:kinsoku/>
                    <w:wordWrap/>
                    <w:overflowPunct/>
                    <w:topLinePunct w:val="0"/>
                    <w:autoSpaceDE/>
                    <w:autoSpaceDN/>
                    <w:bidi w:val="0"/>
                    <w:adjustRightInd/>
                    <w:snapToGrid/>
                    <w:spacing w:before="0" w:after="0" w:line="240" w:lineRule="auto"/>
                    <w:ind w:right="0"/>
                    <w:jc w:val="center"/>
                    <w:rPr>
                      <w:rFonts w:hint="default" w:ascii="Times New Roman" w:hAnsi="Times New Roman" w:eastAsia="宋体" w:cs="Times New Roman"/>
                      <w:color w:val="auto"/>
                      <w:sz w:val="21"/>
                      <w:szCs w:val="21"/>
                      <w:u w:val="none" w:color="auto"/>
                      <w:vertAlign w:val="baseline"/>
                      <w:lang w:val="en-US" w:eastAsia="zh-CN"/>
                    </w:rPr>
                  </w:pPr>
                </w:p>
              </w:tc>
              <w:tc>
                <w:tcPr>
                  <w:tcW w:w="769" w:type="pct"/>
                  <w:tcBorders>
                    <w:tl2br w:val="nil"/>
                    <w:tr2bl w:val="nil"/>
                  </w:tcBorders>
                  <w:shd w:val="clear" w:color="auto" w:fill="auto"/>
                  <w:vAlign w:val="center"/>
                </w:tcPr>
                <w:p w14:paraId="0A496ABF">
                  <w:pPr>
                    <w:pStyle w:val="2"/>
                    <w:keepNext w:val="0"/>
                    <w:keepLines w:val="0"/>
                    <w:pageBreakBefore w:val="0"/>
                    <w:widowControl/>
                    <w:kinsoku/>
                    <w:wordWrap/>
                    <w:overflowPunct/>
                    <w:topLinePunct w:val="0"/>
                    <w:autoSpaceDE/>
                    <w:autoSpaceDN/>
                    <w:bidi w:val="0"/>
                    <w:adjustRightInd/>
                    <w:snapToGrid/>
                    <w:spacing w:before="0" w:after="0" w:line="240" w:lineRule="auto"/>
                    <w:ind w:right="0" w:rightChars="0"/>
                    <w:jc w:val="center"/>
                    <w:rPr>
                      <w:rFonts w:hint="default" w:ascii="Times New Roman" w:hAnsi="Times New Roman" w:eastAsia="宋体" w:cs="Times New Roman"/>
                      <w:color w:val="auto"/>
                      <w:kern w:val="0"/>
                      <w:sz w:val="21"/>
                      <w:szCs w:val="21"/>
                      <w:u w:val="none" w:color="auto"/>
                      <w:vertAlign w:val="baseline"/>
                      <w:lang w:val="en-US" w:eastAsia="zh-CN" w:bidi="ar-SA"/>
                    </w:rPr>
                  </w:pPr>
                  <w:r>
                    <w:rPr>
                      <w:rFonts w:hint="default" w:ascii="Times New Roman" w:hAnsi="Times New Roman" w:eastAsia="宋体" w:cs="Times New Roman"/>
                      <w:color w:val="auto"/>
                      <w:sz w:val="21"/>
                      <w:szCs w:val="21"/>
                      <w:u w:val="none" w:color="auto"/>
                      <w:vertAlign w:val="baseline"/>
                      <w:lang w:val="en-US" w:eastAsia="zh-CN"/>
                    </w:rPr>
                    <w:t>非甲烷总烃</w:t>
                  </w:r>
                </w:p>
              </w:tc>
              <w:tc>
                <w:tcPr>
                  <w:tcW w:w="2004" w:type="dxa"/>
                  <w:tcBorders>
                    <w:tl2br w:val="nil"/>
                    <w:tr2bl w:val="nil"/>
                  </w:tcBorders>
                  <w:vAlign w:val="center"/>
                </w:tcPr>
                <w:p w14:paraId="0A5A1391">
                  <w:pPr>
                    <w:keepNext w:val="0"/>
                    <w:keepLines w:val="0"/>
                    <w:pageBreakBefore w:val="0"/>
                    <w:widowControl/>
                    <w:suppressLineNumbers w:val="0"/>
                    <w:kinsoku/>
                    <w:wordWrap/>
                    <w:overflowPunct/>
                    <w:topLinePunct w:val="0"/>
                    <w:autoSpaceDE/>
                    <w:autoSpaceDN/>
                    <w:bidi w:val="0"/>
                    <w:adjustRightInd/>
                    <w:snapToGrid/>
                    <w:ind w:right="0"/>
                    <w:jc w:val="center"/>
                    <w:textAlignment w:val="top"/>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 xml:space="preserve">0.1351 </w:t>
                  </w:r>
                </w:p>
              </w:tc>
              <w:tc>
                <w:tcPr>
                  <w:tcW w:w="2098" w:type="dxa"/>
                  <w:tcBorders>
                    <w:tl2br w:val="nil"/>
                    <w:tr2bl w:val="nil"/>
                  </w:tcBorders>
                  <w:vAlign w:val="top"/>
                </w:tcPr>
                <w:p w14:paraId="041C689C">
                  <w:pPr>
                    <w:keepNext w:val="0"/>
                    <w:keepLines w:val="0"/>
                    <w:pageBreakBefore w:val="0"/>
                    <w:widowControl/>
                    <w:suppressLineNumbers w:val="0"/>
                    <w:kinsoku/>
                    <w:wordWrap/>
                    <w:overflowPunct/>
                    <w:topLinePunct w:val="0"/>
                    <w:autoSpaceDE/>
                    <w:autoSpaceDN/>
                    <w:bidi w:val="0"/>
                    <w:adjustRightInd/>
                    <w:snapToGrid/>
                    <w:ind w:right="0"/>
                    <w:jc w:val="center"/>
                    <w:textAlignment w:val="top"/>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i w:val="0"/>
                      <w:iCs w:val="0"/>
                      <w:color w:val="auto"/>
                      <w:kern w:val="0"/>
                      <w:sz w:val="21"/>
                      <w:szCs w:val="21"/>
                      <w:u w:val="none" w:color="auto"/>
                      <w:lang w:val="en-US" w:eastAsia="zh-CN" w:bidi="ar"/>
                    </w:rPr>
                    <w:t>1.0699</w:t>
                  </w:r>
                </w:p>
              </w:tc>
              <w:tc>
                <w:tcPr>
                  <w:tcW w:w="1230" w:type="pct"/>
                  <w:tcBorders>
                    <w:tl2br w:val="nil"/>
                    <w:tr2bl w:val="nil"/>
                  </w:tcBorders>
                  <w:vAlign w:val="center"/>
                </w:tcPr>
                <w:p w14:paraId="0E22C70F">
                  <w:pPr>
                    <w:keepNext w:val="0"/>
                    <w:keepLines w:val="0"/>
                    <w:pageBreakBefore w:val="0"/>
                    <w:widowControl/>
                    <w:kinsoku/>
                    <w:wordWrap/>
                    <w:overflowPunct/>
                    <w:topLinePunct w:val="0"/>
                    <w:autoSpaceDE/>
                    <w:autoSpaceDN/>
                    <w:bidi w:val="0"/>
                    <w:adjustRightInd/>
                    <w:snapToGrid/>
                    <w:spacing w:before="0" w:after="0" w:line="240" w:lineRule="auto"/>
                    <w:ind w:right="0"/>
                    <w:jc w:val="center"/>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w:t>
                  </w:r>
                </w:p>
              </w:tc>
            </w:tr>
          </w:tbl>
          <w:p w14:paraId="18568E89">
            <w:pPr>
              <w:pStyle w:val="2"/>
              <w:snapToGrid/>
              <w:spacing w:before="0" w:after="0" w:line="360" w:lineRule="auto"/>
              <w:ind w:right="0" w:firstLine="482" w:firstLineChars="200"/>
              <w:rPr>
                <w:rFonts w:hint="default" w:ascii="Times New Roman" w:hAnsi="Times New Roman" w:eastAsia="宋体" w:cs="Times New Roman"/>
                <w:b/>
                <w:bCs/>
                <w:color w:val="auto"/>
                <w:spacing w:val="0"/>
                <w:sz w:val="24"/>
                <w:u w:val="none" w:color="auto"/>
                <w:lang w:val="en-US" w:eastAsia="zh-CN"/>
              </w:rPr>
            </w:pPr>
            <w:r>
              <w:rPr>
                <w:rFonts w:hint="default" w:ascii="Times New Roman" w:hAnsi="Times New Roman" w:eastAsia="宋体" w:cs="Times New Roman"/>
                <w:b/>
                <w:bCs/>
                <w:color w:val="auto"/>
                <w:spacing w:val="0"/>
                <w:sz w:val="24"/>
                <w:u w:val="none" w:color="auto"/>
                <w:lang w:val="en-US" w:eastAsia="zh-CN"/>
              </w:rPr>
              <w:t>②激光打标粉尘废气（G6-1）</w:t>
            </w:r>
          </w:p>
          <w:p w14:paraId="0270D254">
            <w:pPr>
              <w:pStyle w:val="2"/>
              <w:snapToGrid/>
              <w:spacing w:before="0" w:after="0" w:line="360" w:lineRule="auto"/>
              <w:ind w:right="0" w:firstLine="480" w:firstLineChars="200"/>
              <w:rPr>
                <w:rFonts w:hint="default" w:ascii="Times New Roman" w:hAnsi="Times New Roman" w:eastAsia="宋体" w:cs="Times New Roman"/>
                <w:i w:val="0"/>
                <w:iCs w:val="0"/>
                <w:color w:val="auto"/>
                <w:spacing w:val="0"/>
                <w:sz w:val="24"/>
                <w:szCs w:val="24"/>
                <w:u w:val="none" w:color="auto"/>
                <w:lang w:val="en-US" w:eastAsia="zh-CN"/>
              </w:rPr>
            </w:pPr>
            <w:r>
              <w:rPr>
                <w:rFonts w:hint="default" w:ascii="Times New Roman" w:hAnsi="Times New Roman" w:eastAsia="宋体" w:cs="Times New Roman"/>
                <w:i w:val="0"/>
                <w:iCs w:val="0"/>
                <w:color w:val="auto"/>
                <w:spacing w:val="0"/>
                <w:sz w:val="24"/>
                <w:szCs w:val="24"/>
                <w:u w:val="none" w:color="auto"/>
                <w:lang w:val="en-US" w:eastAsia="zh-CN"/>
              </w:rPr>
              <w:t>目前并无相关激光打标粉尘废气核算系数，因此本次评价采用物料平衡方式进行核算激光打标粉尘，具体如下：</w:t>
            </w:r>
          </w:p>
          <w:p w14:paraId="1F9234D7">
            <w:pPr>
              <w:pStyle w:val="2"/>
              <w:snapToGrid/>
              <w:spacing w:before="0" w:after="0" w:line="360" w:lineRule="auto"/>
              <w:ind w:right="0" w:firstLine="480" w:firstLineChars="200"/>
              <w:rPr>
                <w:rFonts w:hint="default" w:ascii="Times New Roman" w:hAnsi="Times New Roman" w:eastAsia="宋体" w:cs="Times New Roman"/>
                <w:i w:val="0"/>
                <w:iCs w:val="0"/>
                <w:color w:val="auto"/>
                <w:spacing w:val="0"/>
                <w:sz w:val="24"/>
                <w:szCs w:val="24"/>
                <w:u w:val="none" w:color="auto"/>
                <w:lang w:val="en-US" w:eastAsia="zh-CN"/>
              </w:rPr>
            </w:pPr>
            <w:r>
              <w:rPr>
                <w:rFonts w:hint="default" w:ascii="Times New Roman" w:hAnsi="Times New Roman" w:eastAsia="宋体" w:cs="Times New Roman"/>
                <w:i w:val="0"/>
                <w:iCs w:val="0"/>
                <w:color w:val="auto"/>
                <w:spacing w:val="0"/>
                <w:sz w:val="24"/>
                <w:szCs w:val="24"/>
                <w:u w:val="none" w:color="auto"/>
                <w:lang w:val="en-US" w:eastAsia="zh-CN"/>
              </w:rPr>
              <w:t>A、打标规格最大为3cm*2cm*0.01cm，则0.06cm</w:t>
            </w:r>
            <w:r>
              <w:rPr>
                <w:rFonts w:hint="default" w:ascii="Times New Roman" w:hAnsi="Times New Roman" w:eastAsia="宋体" w:cs="Times New Roman"/>
                <w:i w:val="0"/>
                <w:iCs w:val="0"/>
                <w:color w:val="auto"/>
                <w:spacing w:val="0"/>
                <w:sz w:val="24"/>
                <w:szCs w:val="24"/>
                <w:u w:val="none" w:color="auto"/>
                <w:vertAlign w:val="superscript"/>
                <w:lang w:val="en-US" w:eastAsia="zh-CN"/>
              </w:rPr>
              <w:t>3</w:t>
            </w:r>
            <w:r>
              <w:rPr>
                <w:rFonts w:hint="default" w:ascii="Times New Roman" w:hAnsi="Times New Roman" w:eastAsia="宋体" w:cs="Times New Roman"/>
                <w:i w:val="0"/>
                <w:iCs w:val="0"/>
                <w:color w:val="auto"/>
                <w:spacing w:val="0"/>
                <w:sz w:val="24"/>
                <w:szCs w:val="24"/>
                <w:u w:val="none" w:color="auto"/>
                <w:lang w:val="en-US" w:eastAsia="zh-CN"/>
              </w:rPr>
              <w:t>/件；</w:t>
            </w:r>
          </w:p>
          <w:p w14:paraId="52A29EE0">
            <w:pPr>
              <w:pStyle w:val="2"/>
              <w:snapToGrid/>
              <w:spacing w:before="0" w:after="0" w:line="360" w:lineRule="auto"/>
              <w:ind w:right="0" w:firstLine="480" w:firstLineChars="200"/>
              <w:rPr>
                <w:rFonts w:hint="default" w:ascii="Times New Roman" w:hAnsi="Times New Roman" w:eastAsia="宋体" w:cs="Times New Roman"/>
                <w:i w:val="0"/>
                <w:iCs w:val="0"/>
                <w:color w:val="auto"/>
                <w:spacing w:val="0"/>
                <w:sz w:val="24"/>
                <w:szCs w:val="24"/>
                <w:u w:val="none" w:color="auto"/>
                <w:lang w:val="en-US" w:eastAsia="zh-CN"/>
              </w:rPr>
            </w:pPr>
            <w:r>
              <w:rPr>
                <w:rFonts w:hint="default" w:ascii="Times New Roman" w:hAnsi="Times New Roman" w:eastAsia="宋体" w:cs="Times New Roman"/>
                <w:i w:val="0"/>
                <w:iCs w:val="0"/>
                <w:color w:val="auto"/>
                <w:spacing w:val="0"/>
                <w:sz w:val="24"/>
                <w:szCs w:val="24"/>
                <w:u w:val="none" w:color="auto"/>
                <w:lang w:val="en-US" w:eastAsia="zh-CN"/>
              </w:rPr>
              <w:t>B、中创空天厂区需打标件约为80万件/a（铸锭无需打标），则产生约0.048m</w:t>
            </w:r>
            <w:r>
              <w:rPr>
                <w:rFonts w:hint="default" w:ascii="Times New Roman" w:hAnsi="Times New Roman" w:eastAsia="宋体" w:cs="Times New Roman"/>
                <w:i w:val="0"/>
                <w:iCs w:val="0"/>
                <w:color w:val="auto"/>
                <w:spacing w:val="0"/>
                <w:sz w:val="24"/>
                <w:szCs w:val="24"/>
                <w:u w:val="none" w:color="auto"/>
                <w:vertAlign w:val="superscript"/>
                <w:lang w:val="en-US" w:eastAsia="zh-CN"/>
              </w:rPr>
              <w:t>3</w:t>
            </w:r>
            <w:r>
              <w:rPr>
                <w:rFonts w:hint="default" w:ascii="Times New Roman" w:hAnsi="Times New Roman" w:eastAsia="宋体" w:cs="Times New Roman"/>
                <w:i w:val="0"/>
                <w:iCs w:val="0"/>
                <w:color w:val="auto"/>
                <w:spacing w:val="0"/>
                <w:sz w:val="24"/>
                <w:szCs w:val="24"/>
                <w:u w:val="none" w:color="auto"/>
                <w:lang w:val="en-US" w:eastAsia="zh-CN"/>
              </w:rPr>
              <w:t>/a；</w:t>
            </w:r>
          </w:p>
          <w:p w14:paraId="0FD04536">
            <w:pPr>
              <w:pStyle w:val="2"/>
              <w:snapToGrid/>
              <w:spacing w:before="0" w:after="0" w:line="360" w:lineRule="auto"/>
              <w:ind w:right="0" w:firstLine="480" w:firstLineChars="200"/>
              <w:rPr>
                <w:rFonts w:hint="default" w:ascii="Times New Roman" w:hAnsi="Times New Roman" w:eastAsia="宋体" w:cs="Times New Roman"/>
                <w:i w:val="0"/>
                <w:iCs w:val="0"/>
                <w:color w:val="auto"/>
                <w:spacing w:val="0"/>
                <w:sz w:val="24"/>
                <w:szCs w:val="24"/>
                <w:u w:val="none" w:color="auto"/>
                <w:lang w:val="en-US" w:eastAsia="zh-CN"/>
              </w:rPr>
            </w:pPr>
            <w:r>
              <w:rPr>
                <w:rFonts w:hint="default" w:ascii="Times New Roman" w:hAnsi="Times New Roman" w:eastAsia="宋体" w:cs="Times New Roman"/>
                <w:i w:val="0"/>
                <w:iCs w:val="0"/>
                <w:color w:val="auto"/>
                <w:spacing w:val="0"/>
                <w:sz w:val="24"/>
                <w:szCs w:val="24"/>
                <w:u w:val="none" w:color="auto"/>
                <w:lang w:val="en-US" w:eastAsia="zh-CN"/>
              </w:rPr>
              <w:t>C、激光打标粉尘中铝、铜、硅按投料占比计，则分别为87.5%、1.7%、10.8%，则该粉尘密度约为2.66t/m</w:t>
            </w:r>
            <w:r>
              <w:rPr>
                <w:rFonts w:hint="default" w:ascii="Times New Roman" w:hAnsi="Times New Roman" w:eastAsia="宋体" w:cs="Times New Roman"/>
                <w:i w:val="0"/>
                <w:iCs w:val="0"/>
                <w:color w:val="auto"/>
                <w:spacing w:val="0"/>
                <w:sz w:val="24"/>
                <w:szCs w:val="24"/>
                <w:u w:val="none" w:color="auto"/>
                <w:vertAlign w:val="superscript"/>
                <w:lang w:val="en-US" w:eastAsia="zh-CN"/>
              </w:rPr>
              <w:t>3</w:t>
            </w:r>
            <w:r>
              <w:rPr>
                <w:rFonts w:hint="default" w:ascii="Times New Roman" w:hAnsi="Times New Roman" w:eastAsia="宋体" w:cs="Times New Roman"/>
                <w:i w:val="0"/>
                <w:iCs w:val="0"/>
                <w:color w:val="auto"/>
                <w:spacing w:val="0"/>
                <w:sz w:val="24"/>
                <w:szCs w:val="24"/>
                <w:u w:val="none" w:color="auto"/>
                <w:lang w:val="en-US" w:eastAsia="zh-CN"/>
              </w:rPr>
              <w:t>。</w:t>
            </w:r>
          </w:p>
          <w:p w14:paraId="0C844CA5">
            <w:pPr>
              <w:pStyle w:val="2"/>
              <w:snapToGrid/>
              <w:spacing w:before="0" w:after="0" w:line="360" w:lineRule="auto"/>
              <w:ind w:right="0" w:firstLine="480" w:firstLineChars="200"/>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i w:val="0"/>
                <w:iCs w:val="0"/>
                <w:color w:val="auto"/>
                <w:spacing w:val="0"/>
                <w:sz w:val="24"/>
                <w:szCs w:val="24"/>
                <w:u w:val="none" w:color="auto"/>
                <w:lang w:val="en-US" w:eastAsia="zh-CN"/>
              </w:rPr>
              <w:t>D、产生的粉尘量则为2.66t/m</w:t>
            </w:r>
            <w:r>
              <w:rPr>
                <w:rFonts w:hint="default" w:ascii="Times New Roman" w:hAnsi="Times New Roman" w:eastAsia="宋体" w:cs="Times New Roman"/>
                <w:i w:val="0"/>
                <w:iCs w:val="0"/>
                <w:color w:val="auto"/>
                <w:spacing w:val="0"/>
                <w:sz w:val="24"/>
                <w:szCs w:val="24"/>
                <w:u w:val="none" w:color="auto"/>
                <w:vertAlign w:val="superscript"/>
                <w:lang w:val="en-US" w:eastAsia="zh-CN"/>
              </w:rPr>
              <w:t>3</w:t>
            </w:r>
            <w:r>
              <w:rPr>
                <w:rFonts w:hint="default" w:ascii="Times New Roman" w:hAnsi="Times New Roman" w:eastAsia="宋体" w:cs="Times New Roman"/>
                <w:i w:val="0"/>
                <w:iCs w:val="0"/>
                <w:color w:val="auto"/>
                <w:spacing w:val="0"/>
                <w:sz w:val="24"/>
                <w:szCs w:val="24"/>
                <w:u w:val="none" w:color="auto"/>
                <w:lang w:val="en-US" w:eastAsia="zh-CN"/>
              </w:rPr>
              <w:t>*0.048m</w:t>
            </w:r>
            <w:r>
              <w:rPr>
                <w:rFonts w:hint="default" w:ascii="Times New Roman" w:hAnsi="Times New Roman" w:eastAsia="宋体" w:cs="Times New Roman"/>
                <w:i w:val="0"/>
                <w:iCs w:val="0"/>
                <w:color w:val="auto"/>
                <w:spacing w:val="0"/>
                <w:sz w:val="24"/>
                <w:szCs w:val="24"/>
                <w:u w:val="none" w:color="auto"/>
                <w:vertAlign w:val="superscript"/>
                <w:lang w:val="en-US" w:eastAsia="zh-CN"/>
              </w:rPr>
              <w:t>3</w:t>
            </w:r>
            <w:r>
              <w:rPr>
                <w:rFonts w:hint="default" w:ascii="Times New Roman" w:hAnsi="Times New Roman" w:eastAsia="宋体" w:cs="Times New Roman"/>
                <w:i w:val="0"/>
                <w:iCs w:val="0"/>
                <w:color w:val="auto"/>
                <w:spacing w:val="0"/>
                <w:sz w:val="24"/>
                <w:szCs w:val="24"/>
                <w:u w:val="none" w:color="auto"/>
                <w:lang w:val="en-US" w:eastAsia="zh-CN"/>
              </w:rPr>
              <w:t>/a=0.1277t/a。</w:t>
            </w:r>
          </w:p>
          <w:p w14:paraId="2A30BE2E">
            <w:pPr>
              <w:pStyle w:val="2"/>
              <w:snapToGrid/>
              <w:spacing w:before="0" w:after="0" w:line="360" w:lineRule="auto"/>
              <w:ind w:right="0" w:firstLine="480" w:firstLineChars="200"/>
              <w:rPr>
                <w:rFonts w:hint="default" w:ascii="Times New Roman" w:hAnsi="Times New Roman" w:eastAsia="宋体" w:cs="Times New Roman"/>
                <w:color w:val="auto"/>
                <w:sz w:val="24"/>
                <w:szCs w:val="32"/>
                <w:u w:val="none" w:color="auto"/>
                <w:lang w:val="en-US" w:eastAsia="zh-CN"/>
              </w:rPr>
            </w:pPr>
            <w:r>
              <w:rPr>
                <w:rFonts w:hint="default" w:ascii="Times New Roman" w:hAnsi="Times New Roman" w:eastAsia="宋体" w:cs="Times New Roman"/>
                <w:b w:val="0"/>
                <w:bCs w:val="0"/>
                <w:color w:val="auto"/>
                <w:spacing w:val="0"/>
                <w:sz w:val="24"/>
                <w:u w:val="none" w:color="auto"/>
                <w:lang w:val="en-US" w:eastAsia="zh-CN"/>
              </w:rPr>
              <w:t>本次评价要求建设单位配套1台移动式布袋除尘器对激光粉尘进行吸尘处理，</w:t>
            </w:r>
            <w:r>
              <w:rPr>
                <w:rFonts w:hint="default" w:ascii="Times New Roman" w:hAnsi="Times New Roman" w:eastAsia="宋体" w:cs="Times New Roman"/>
                <w:color w:val="auto"/>
                <w:sz w:val="24"/>
                <w:u w:val="none" w:color="auto"/>
              </w:rPr>
              <w:t>参考《主要污染物总量减排核算技术指南（2022年修订）》中表2-3废气收集率通用系数）</w:t>
            </w:r>
            <w:r>
              <w:rPr>
                <w:rFonts w:hint="default" w:ascii="Times New Roman" w:hAnsi="Times New Roman" w:eastAsia="宋体" w:cs="Times New Roman"/>
                <w:color w:val="auto"/>
                <w:sz w:val="24"/>
                <w:u w:val="none" w:color="auto"/>
                <w:lang w:val="en-US" w:eastAsia="zh-CN"/>
              </w:rPr>
              <w:t>中</w:t>
            </w:r>
            <w:r>
              <w:rPr>
                <w:rFonts w:hint="default" w:ascii="Times New Roman" w:hAnsi="Times New Roman" w:eastAsia="宋体" w:cs="Times New Roman"/>
                <w:color w:val="auto"/>
                <w:sz w:val="24"/>
                <w:u w:val="none" w:color="auto"/>
              </w:rPr>
              <w:t>符合标准要求的外部集气罩</w:t>
            </w:r>
            <w:r>
              <w:rPr>
                <w:rFonts w:hint="default" w:ascii="Times New Roman" w:hAnsi="Times New Roman" w:eastAsia="宋体" w:cs="Times New Roman"/>
                <w:color w:val="auto"/>
                <w:sz w:val="24"/>
                <w:u w:val="none" w:color="auto"/>
                <w:lang w:eastAsia="zh-CN"/>
              </w:rPr>
              <w:t>，</w:t>
            </w:r>
            <w:r>
              <w:rPr>
                <w:rFonts w:hint="default" w:ascii="Times New Roman" w:hAnsi="Times New Roman" w:eastAsia="宋体" w:cs="Times New Roman"/>
                <w:color w:val="auto"/>
                <w:sz w:val="24"/>
                <w:u w:val="none" w:color="auto"/>
                <w:lang w:val="en-US" w:eastAsia="zh-CN"/>
              </w:rPr>
              <w:t>收集效率按</w:t>
            </w:r>
            <w:r>
              <w:rPr>
                <w:rFonts w:hint="default" w:ascii="Times New Roman" w:hAnsi="Times New Roman" w:eastAsia="宋体" w:cs="Times New Roman"/>
                <w:color w:val="auto"/>
                <w:sz w:val="24"/>
                <w:u w:val="none" w:color="auto"/>
              </w:rPr>
              <w:t>30%</w:t>
            </w:r>
            <w:r>
              <w:rPr>
                <w:rFonts w:hint="default" w:ascii="Times New Roman" w:hAnsi="Times New Roman" w:eastAsia="宋体" w:cs="Times New Roman"/>
                <w:color w:val="auto"/>
                <w:sz w:val="24"/>
                <w:u w:val="none" w:color="auto"/>
                <w:lang w:val="en-US" w:eastAsia="zh-CN"/>
              </w:rPr>
              <w:t>计，参考</w:t>
            </w:r>
            <w:r>
              <w:rPr>
                <w:rFonts w:hint="default" w:ascii="Times New Roman" w:hAnsi="Times New Roman" w:eastAsia="宋体" w:cs="Times New Roman"/>
                <w:color w:val="auto"/>
                <w:kern w:val="0"/>
                <w:sz w:val="24"/>
                <w:u w:val="none" w:color="auto"/>
              </w:rPr>
              <w:t>《排放源统计调查产排污核算方法和系数手册》(2021版)中“机械行业系数手册”</w:t>
            </w:r>
            <w:r>
              <w:rPr>
                <w:rFonts w:hint="default" w:ascii="Times New Roman" w:hAnsi="Times New Roman" w:eastAsia="宋体" w:cs="Times New Roman"/>
                <w:color w:val="auto"/>
                <w:kern w:val="0"/>
                <w:sz w:val="24"/>
                <w:u w:val="none" w:color="auto"/>
                <w:lang w:val="en-US" w:eastAsia="zh-CN"/>
              </w:rPr>
              <w:t>中袋式除尘器效率95%计</w:t>
            </w:r>
            <w:r>
              <w:rPr>
                <w:rFonts w:hint="default" w:ascii="Times New Roman" w:hAnsi="Times New Roman" w:eastAsia="宋体" w:cs="Times New Roman"/>
                <w:color w:val="auto"/>
                <w:sz w:val="24"/>
                <w:szCs w:val="32"/>
                <w:u w:val="none" w:color="auto"/>
              </w:rPr>
              <w:t>。</w:t>
            </w:r>
            <w:r>
              <w:rPr>
                <w:rFonts w:hint="default" w:ascii="Times New Roman" w:hAnsi="Times New Roman" w:eastAsia="宋体" w:cs="Times New Roman"/>
                <w:color w:val="auto"/>
                <w:sz w:val="24"/>
                <w:szCs w:val="32"/>
                <w:u w:val="none" w:color="auto"/>
                <w:lang w:val="en-US" w:eastAsia="zh-CN"/>
              </w:rPr>
              <w:t>激光打标工序按每天运行2h，年运行时间330天。经工程分析污染物排放情况如下：</w:t>
            </w:r>
          </w:p>
          <w:p w14:paraId="3D299529">
            <w:pPr>
              <w:jc w:val="center"/>
              <w:rPr>
                <w:rFonts w:hint="default" w:ascii="Times New Roman" w:hAnsi="Times New Roman" w:eastAsia="宋体" w:cs="Times New Roman"/>
                <w:b/>
                <w:bCs/>
                <w:color w:val="auto"/>
                <w:u w:val="none" w:color="auto"/>
                <w:lang w:val="en-US" w:eastAsia="zh-CN"/>
              </w:rPr>
            </w:pPr>
            <w:r>
              <w:rPr>
                <w:rFonts w:hint="default" w:ascii="Times New Roman" w:hAnsi="Times New Roman" w:eastAsia="宋体" w:cs="Times New Roman"/>
                <w:b/>
                <w:bCs/>
                <w:color w:val="auto"/>
                <w:u w:val="none" w:color="auto"/>
                <w:lang w:val="en-US" w:eastAsia="zh-CN"/>
              </w:rPr>
              <w:t>表4-8  铝合金熔铸一厂激光打标污染物排放情况一览表</w:t>
            </w:r>
          </w:p>
          <w:tbl>
            <w:tblPr>
              <w:tblStyle w:val="32"/>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161"/>
              <w:gridCol w:w="1799"/>
              <w:gridCol w:w="2286"/>
              <w:gridCol w:w="3269"/>
            </w:tblGrid>
            <w:tr w14:paraId="1198079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738" w:type="pct"/>
                  <w:gridSpan w:val="2"/>
                  <w:tcBorders>
                    <w:tl2br w:val="nil"/>
                    <w:tr2bl w:val="nil"/>
                  </w:tcBorders>
                  <w:vAlign w:val="center"/>
                </w:tcPr>
                <w:p w14:paraId="3FC2788E">
                  <w:pPr>
                    <w:pStyle w:val="2"/>
                    <w:keepNext w:val="0"/>
                    <w:keepLines w:val="0"/>
                    <w:pageBreakBefore w:val="0"/>
                    <w:widowControl/>
                    <w:kinsoku/>
                    <w:wordWrap/>
                    <w:overflowPunct/>
                    <w:topLinePunct w:val="0"/>
                    <w:autoSpaceDE/>
                    <w:autoSpaceDN/>
                    <w:bidi w:val="0"/>
                    <w:adjustRightInd/>
                    <w:snapToGrid/>
                    <w:spacing w:before="0" w:after="0" w:line="240" w:lineRule="auto"/>
                    <w:jc w:val="center"/>
                    <w:rPr>
                      <w:rFonts w:hint="default" w:ascii="Times New Roman" w:hAnsi="Times New Roman" w:eastAsia="宋体" w:cs="Times New Roman"/>
                      <w:b/>
                      <w:bCs/>
                      <w:color w:val="auto"/>
                      <w:sz w:val="21"/>
                      <w:szCs w:val="21"/>
                      <w:u w:val="none" w:color="auto"/>
                      <w:vertAlign w:val="baseline"/>
                      <w:lang w:val="en-US" w:eastAsia="zh-CN"/>
                    </w:rPr>
                  </w:pPr>
                  <w:r>
                    <w:rPr>
                      <w:rFonts w:hint="default" w:ascii="Times New Roman" w:hAnsi="Times New Roman" w:eastAsia="宋体" w:cs="Times New Roman"/>
                      <w:b/>
                      <w:bCs/>
                      <w:color w:val="auto"/>
                      <w:sz w:val="21"/>
                      <w:szCs w:val="21"/>
                      <w:u w:val="none" w:color="auto"/>
                      <w:vertAlign w:val="baseline"/>
                      <w:lang w:val="en-US" w:eastAsia="zh-CN"/>
                    </w:rPr>
                    <w:t>排放形式及污染物</w:t>
                  </w:r>
                </w:p>
              </w:tc>
              <w:tc>
                <w:tcPr>
                  <w:tcW w:w="1342" w:type="pct"/>
                  <w:tcBorders>
                    <w:tl2br w:val="nil"/>
                    <w:tr2bl w:val="nil"/>
                  </w:tcBorders>
                  <w:vAlign w:val="center"/>
                </w:tcPr>
                <w:p w14:paraId="1FF3BE19">
                  <w:pPr>
                    <w:pStyle w:val="2"/>
                    <w:keepNext w:val="0"/>
                    <w:keepLines w:val="0"/>
                    <w:pageBreakBefore w:val="0"/>
                    <w:widowControl/>
                    <w:kinsoku/>
                    <w:wordWrap/>
                    <w:overflowPunct/>
                    <w:topLinePunct w:val="0"/>
                    <w:autoSpaceDE/>
                    <w:autoSpaceDN/>
                    <w:bidi w:val="0"/>
                    <w:adjustRightInd/>
                    <w:snapToGrid/>
                    <w:spacing w:before="0" w:after="0" w:line="240" w:lineRule="auto"/>
                    <w:jc w:val="center"/>
                    <w:rPr>
                      <w:rFonts w:hint="default" w:ascii="Times New Roman" w:hAnsi="Times New Roman" w:eastAsia="宋体" w:cs="Times New Roman"/>
                      <w:b/>
                      <w:bCs/>
                      <w:color w:val="auto"/>
                      <w:sz w:val="21"/>
                      <w:szCs w:val="21"/>
                      <w:u w:val="none" w:color="auto"/>
                      <w:vertAlign w:val="baseline"/>
                      <w:lang w:val="en-US" w:eastAsia="zh-CN"/>
                    </w:rPr>
                  </w:pPr>
                  <w:r>
                    <w:rPr>
                      <w:rFonts w:hint="default" w:ascii="Times New Roman" w:hAnsi="Times New Roman" w:eastAsia="宋体" w:cs="Times New Roman"/>
                      <w:b/>
                      <w:bCs/>
                      <w:color w:val="auto"/>
                      <w:sz w:val="21"/>
                      <w:szCs w:val="21"/>
                      <w:u w:val="none" w:color="auto"/>
                      <w:vertAlign w:val="baseline"/>
                      <w:lang w:val="en-US" w:eastAsia="zh-CN"/>
                    </w:rPr>
                    <w:t>排放速率（kg/h）</w:t>
                  </w:r>
                </w:p>
              </w:tc>
              <w:tc>
                <w:tcPr>
                  <w:tcW w:w="1919" w:type="pct"/>
                  <w:tcBorders>
                    <w:tl2br w:val="nil"/>
                    <w:tr2bl w:val="nil"/>
                  </w:tcBorders>
                  <w:vAlign w:val="center"/>
                </w:tcPr>
                <w:p w14:paraId="346AFB76">
                  <w:pPr>
                    <w:pStyle w:val="2"/>
                    <w:keepNext w:val="0"/>
                    <w:keepLines w:val="0"/>
                    <w:pageBreakBefore w:val="0"/>
                    <w:widowControl/>
                    <w:kinsoku/>
                    <w:wordWrap/>
                    <w:overflowPunct/>
                    <w:topLinePunct w:val="0"/>
                    <w:autoSpaceDE/>
                    <w:autoSpaceDN/>
                    <w:bidi w:val="0"/>
                    <w:adjustRightInd/>
                    <w:snapToGrid/>
                    <w:spacing w:before="0" w:after="0" w:line="240" w:lineRule="auto"/>
                    <w:jc w:val="center"/>
                    <w:rPr>
                      <w:rFonts w:hint="default" w:ascii="Times New Roman" w:hAnsi="Times New Roman" w:eastAsia="宋体" w:cs="Times New Roman"/>
                      <w:b/>
                      <w:bCs/>
                      <w:color w:val="auto"/>
                      <w:sz w:val="21"/>
                      <w:szCs w:val="21"/>
                      <w:u w:val="none" w:color="auto"/>
                      <w:vertAlign w:val="baseline"/>
                      <w:lang w:val="en-US" w:eastAsia="zh-CN"/>
                    </w:rPr>
                  </w:pPr>
                  <w:r>
                    <w:rPr>
                      <w:rFonts w:hint="default" w:ascii="Times New Roman" w:hAnsi="Times New Roman" w:eastAsia="宋体" w:cs="Times New Roman"/>
                      <w:b/>
                      <w:bCs/>
                      <w:color w:val="auto"/>
                      <w:sz w:val="21"/>
                      <w:szCs w:val="21"/>
                      <w:u w:val="none" w:color="auto"/>
                      <w:vertAlign w:val="baseline"/>
                      <w:lang w:val="en-US" w:eastAsia="zh-CN"/>
                    </w:rPr>
                    <w:t>排放量（t/a）</w:t>
                  </w:r>
                </w:p>
              </w:tc>
            </w:tr>
            <w:tr w14:paraId="0953036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82" w:type="pct"/>
                  <w:tcBorders>
                    <w:tl2br w:val="nil"/>
                    <w:tr2bl w:val="nil"/>
                  </w:tcBorders>
                  <w:vAlign w:val="center"/>
                </w:tcPr>
                <w:p w14:paraId="02E1FB88">
                  <w:pPr>
                    <w:pStyle w:val="2"/>
                    <w:keepNext w:val="0"/>
                    <w:keepLines w:val="0"/>
                    <w:pageBreakBefore w:val="0"/>
                    <w:widowControl/>
                    <w:kinsoku/>
                    <w:wordWrap/>
                    <w:overflowPunct/>
                    <w:topLinePunct w:val="0"/>
                    <w:autoSpaceDE/>
                    <w:autoSpaceDN/>
                    <w:bidi w:val="0"/>
                    <w:adjustRightInd/>
                    <w:snapToGrid/>
                    <w:spacing w:before="0" w:after="0" w:line="240" w:lineRule="auto"/>
                    <w:jc w:val="center"/>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无组织</w:t>
                  </w:r>
                </w:p>
              </w:tc>
              <w:tc>
                <w:tcPr>
                  <w:tcW w:w="1055" w:type="pct"/>
                  <w:tcBorders>
                    <w:tl2br w:val="nil"/>
                    <w:tr2bl w:val="nil"/>
                  </w:tcBorders>
                  <w:shd w:val="clear" w:color="auto" w:fill="auto"/>
                  <w:vAlign w:val="center"/>
                </w:tcPr>
                <w:p w14:paraId="4E0D7116">
                  <w:pPr>
                    <w:pStyle w:val="2"/>
                    <w:keepNext w:val="0"/>
                    <w:keepLines w:val="0"/>
                    <w:pageBreakBefore w:val="0"/>
                    <w:widowControl/>
                    <w:kinsoku/>
                    <w:wordWrap/>
                    <w:overflowPunct/>
                    <w:topLinePunct w:val="0"/>
                    <w:autoSpaceDE/>
                    <w:autoSpaceDN/>
                    <w:bidi w:val="0"/>
                    <w:adjustRightInd/>
                    <w:snapToGrid/>
                    <w:spacing w:before="0" w:after="0" w:line="240" w:lineRule="auto"/>
                    <w:ind w:right="113" w:rightChars="0"/>
                    <w:jc w:val="center"/>
                    <w:rPr>
                      <w:rFonts w:hint="default" w:ascii="Times New Roman" w:hAnsi="Times New Roman" w:eastAsia="宋体" w:cs="Times New Roman"/>
                      <w:color w:val="auto"/>
                      <w:kern w:val="0"/>
                      <w:sz w:val="21"/>
                      <w:szCs w:val="21"/>
                      <w:u w:val="none" w:color="auto"/>
                      <w:vertAlign w:val="baseline"/>
                      <w:lang w:val="en-US" w:eastAsia="zh-CN" w:bidi="ar-SA"/>
                    </w:rPr>
                  </w:pPr>
                  <w:r>
                    <w:rPr>
                      <w:rFonts w:hint="default" w:ascii="Times New Roman" w:hAnsi="Times New Roman" w:eastAsia="宋体" w:cs="Times New Roman"/>
                      <w:color w:val="auto"/>
                      <w:sz w:val="21"/>
                      <w:szCs w:val="21"/>
                      <w:u w:val="none" w:color="auto"/>
                      <w:vertAlign w:val="baseline"/>
                      <w:lang w:val="en-US" w:eastAsia="zh-CN"/>
                    </w:rPr>
                    <w:t>颗粒物</w:t>
                  </w:r>
                </w:p>
              </w:tc>
              <w:tc>
                <w:tcPr>
                  <w:tcW w:w="1342" w:type="pct"/>
                  <w:tcBorders>
                    <w:tl2br w:val="nil"/>
                    <w:tr2bl w:val="nil"/>
                  </w:tcBorders>
                  <w:vAlign w:val="center"/>
                </w:tcPr>
                <w:p w14:paraId="267F6147">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top"/>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0.1383</w:t>
                  </w:r>
                </w:p>
              </w:tc>
              <w:tc>
                <w:tcPr>
                  <w:tcW w:w="1919" w:type="pct"/>
                  <w:tcBorders>
                    <w:tl2br w:val="nil"/>
                    <w:tr2bl w:val="nil"/>
                  </w:tcBorders>
                  <w:vAlign w:val="center"/>
                </w:tcPr>
                <w:p w14:paraId="64C7120C">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top"/>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0.0913（经处理后排放量：0.0019、未被收集部分：0.0894）</w:t>
                  </w:r>
                </w:p>
              </w:tc>
            </w:tr>
          </w:tbl>
          <w:p w14:paraId="5AA8B39F">
            <w:pPr>
              <w:pStyle w:val="2"/>
              <w:snapToGrid/>
              <w:spacing w:before="0" w:after="0" w:line="360" w:lineRule="auto"/>
              <w:ind w:right="0" w:firstLine="482" w:firstLineChars="200"/>
              <w:rPr>
                <w:rFonts w:hint="default" w:ascii="Times New Roman" w:hAnsi="Times New Roman" w:eastAsia="宋体" w:cs="Times New Roman"/>
                <w:b/>
                <w:bCs/>
                <w:color w:val="auto"/>
                <w:spacing w:val="0"/>
                <w:sz w:val="24"/>
                <w:u w:val="none" w:color="auto"/>
                <w:lang w:val="en-US" w:eastAsia="zh-CN"/>
              </w:rPr>
            </w:pPr>
            <w:r>
              <w:rPr>
                <w:rFonts w:hint="default" w:ascii="Times New Roman" w:hAnsi="Times New Roman" w:eastAsia="宋体" w:cs="Times New Roman"/>
                <w:b/>
                <w:bCs/>
                <w:color w:val="auto"/>
                <w:spacing w:val="0"/>
                <w:sz w:val="24"/>
                <w:u w:val="none" w:color="auto"/>
                <w:lang w:val="en-US" w:eastAsia="zh-CN"/>
              </w:rPr>
              <w:t>（3）临港高新产业园区废气</w:t>
            </w:r>
          </w:p>
          <w:p w14:paraId="46224BF1">
            <w:pPr>
              <w:pStyle w:val="2"/>
              <w:snapToGrid/>
              <w:spacing w:before="0" w:after="0" w:line="360" w:lineRule="auto"/>
              <w:ind w:right="0" w:firstLine="482" w:firstLineChars="200"/>
              <w:rPr>
                <w:rFonts w:hint="default" w:ascii="Times New Roman" w:hAnsi="Times New Roman" w:eastAsia="宋体" w:cs="Times New Roman"/>
                <w:b/>
                <w:bCs/>
                <w:color w:val="auto"/>
                <w:spacing w:val="0"/>
                <w:sz w:val="24"/>
                <w:u w:val="none" w:color="auto"/>
                <w:lang w:val="en-US" w:eastAsia="zh-CN"/>
              </w:rPr>
            </w:pPr>
            <w:r>
              <w:rPr>
                <w:rFonts w:hint="default" w:ascii="Times New Roman" w:hAnsi="Times New Roman" w:eastAsia="宋体" w:cs="Times New Roman"/>
                <w:b/>
                <w:bCs/>
                <w:color w:val="auto"/>
                <w:spacing w:val="0"/>
                <w:sz w:val="24"/>
                <w:u w:val="none" w:color="auto"/>
                <w:lang w:val="en-US" w:eastAsia="zh-CN"/>
              </w:rPr>
              <w:t>①激光打标粉尘废气（G6-2）</w:t>
            </w:r>
          </w:p>
          <w:p w14:paraId="687E6432">
            <w:pPr>
              <w:pStyle w:val="2"/>
              <w:snapToGrid/>
              <w:spacing w:before="0" w:after="0" w:line="360" w:lineRule="auto"/>
              <w:ind w:right="0" w:firstLine="480" w:firstLineChars="200"/>
              <w:rPr>
                <w:rFonts w:hint="default" w:ascii="Times New Roman" w:hAnsi="Times New Roman" w:eastAsia="宋体" w:cs="Times New Roman"/>
                <w:i w:val="0"/>
                <w:iCs w:val="0"/>
                <w:color w:val="auto"/>
                <w:spacing w:val="0"/>
                <w:sz w:val="24"/>
                <w:szCs w:val="24"/>
                <w:u w:val="none" w:color="auto"/>
                <w:lang w:val="en-US" w:eastAsia="zh-CN"/>
              </w:rPr>
            </w:pPr>
            <w:r>
              <w:rPr>
                <w:rFonts w:hint="default" w:ascii="Times New Roman" w:hAnsi="Times New Roman" w:eastAsia="宋体" w:cs="Times New Roman"/>
                <w:i w:val="0"/>
                <w:iCs w:val="0"/>
                <w:color w:val="auto"/>
                <w:spacing w:val="0"/>
                <w:sz w:val="24"/>
                <w:szCs w:val="24"/>
                <w:u w:val="none" w:color="auto"/>
                <w:lang w:val="en-US" w:eastAsia="zh-CN"/>
              </w:rPr>
              <w:t>目前并无相关激光打标粉尘废气核算系数，因此本次评价采用物料平衡方式进行核算激光打标粉尘，具体如下：</w:t>
            </w:r>
          </w:p>
          <w:p w14:paraId="3F6DBE62">
            <w:pPr>
              <w:pStyle w:val="2"/>
              <w:snapToGrid/>
              <w:spacing w:before="0" w:after="0" w:line="360" w:lineRule="auto"/>
              <w:ind w:right="0" w:firstLine="480" w:firstLineChars="200"/>
              <w:rPr>
                <w:rFonts w:hint="default" w:ascii="Times New Roman" w:hAnsi="Times New Roman" w:eastAsia="宋体" w:cs="Times New Roman"/>
                <w:i w:val="0"/>
                <w:iCs w:val="0"/>
                <w:color w:val="auto"/>
                <w:spacing w:val="0"/>
                <w:sz w:val="24"/>
                <w:szCs w:val="24"/>
                <w:u w:val="none" w:color="auto"/>
                <w:lang w:val="en-US" w:eastAsia="zh-CN"/>
              </w:rPr>
            </w:pPr>
            <w:r>
              <w:rPr>
                <w:rFonts w:hint="default" w:ascii="Times New Roman" w:hAnsi="Times New Roman" w:eastAsia="宋体" w:cs="Times New Roman"/>
                <w:i w:val="0"/>
                <w:iCs w:val="0"/>
                <w:color w:val="auto"/>
                <w:spacing w:val="0"/>
                <w:sz w:val="24"/>
                <w:szCs w:val="24"/>
                <w:u w:val="none" w:color="auto"/>
                <w:lang w:val="en-US" w:eastAsia="zh-CN"/>
              </w:rPr>
              <w:t>A、打标规格最大为3cm*2cm*0.01cm，则0.06cm</w:t>
            </w:r>
            <w:r>
              <w:rPr>
                <w:rFonts w:hint="default" w:ascii="Times New Roman" w:hAnsi="Times New Roman" w:eastAsia="宋体" w:cs="Times New Roman"/>
                <w:i w:val="0"/>
                <w:iCs w:val="0"/>
                <w:color w:val="auto"/>
                <w:spacing w:val="0"/>
                <w:sz w:val="24"/>
                <w:szCs w:val="24"/>
                <w:u w:val="none" w:color="auto"/>
                <w:vertAlign w:val="superscript"/>
                <w:lang w:val="en-US" w:eastAsia="zh-CN"/>
              </w:rPr>
              <w:t>3</w:t>
            </w:r>
            <w:r>
              <w:rPr>
                <w:rFonts w:hint="default" w:ascii="Times New Roman" w:hAnsi="Times New Roman" w:eastAsia="宋体" w:cs="Times New Roman"/>
                <w:i w:val="0"/>
                <w:iCs w:val="0"/>
                <w:color w:val="auto"/>
                <w:spacing w:val="0"/>
                <w:sz w:val="24"/>
                <w:szCs w:val="24"/>
                <w:u w:val="none" w:color="auto"/>
                <w:lang w:val="en-US" w:eastAsia="zh-CN"/>
              </w:rPr>
              <w:t>/件；</w:t>
            </w:r>
          </w:p>
          <w:p w14:paraId="67CE94E7">
            <w:pPr>
              <w:pStyle w:val="2"/>
              <w:snapToGrid/>
              <w:spacing w:before="0" w:after="0" w:line="360" w:lineRule="auto"/>
              <w:ind w:right="0" w:firstLine="480" w:firstLineChars="200"/>
              <w:rPr>
                <w:rFonts w:hint="default" w:ascii="Times New Roman" w:hAnsi="Times New Roman" w:eastAsia="宋体" w:cs="Times New Roman"/>
                <w:i w:val="0"/>
                <w:iCs w:val="0"/>
                <w:color w:val="auto"/>
                <w:spacing w:val="0"/>
                <w:sz w:val="24"/>
                <w:szCs w:val="24"/>
                <w:u w:val="none" w:color="auto"/>
                <w:lang w:val="en-US" w:eastAsia="zh-CN"/>
              </w:rPr>
            </w:pPr>
            <w:r>
              <w:rPr>
                <w:rFonts w:hint="default" w:ascii="Times New Roman" w:hAnsi="Times New Roman" w:eastAsia="宋体" w:cs="Times New Roman"/>
                <w:i w:val="0"/>
                <w:iCs w:val="0"/>
                <w:color w:val="auto"/>
                <w:spacing w:val="0"/>
                <w:sz w:val="24"/>
                <w:szCs w:val="24"/>
                <w:u w:val="none" w:color="auto"/>
                <w:lang w:val="en-US" w:eastAsia="zh-CN"/>
              </w:rPr>
              <w:t>B、中创空天厂区需打标件约为80万件/a（铸锭无需打标），则产生约0.048m</w:t>
            </w:r>
            <w:r>
              <w:rPr>
                <w:rFonts w:hint="default" w:ascii="Times New Roman" w:hAnsi="Times New Roman" w:eastAsia="宋体" w:cs="Times New Roman"/>
                <w:i w:val="0"/>
                <w:iCs w:val="0"/>
                <w:color w:val="auto"/>
                <w:spacing w:val="0"/>
                <w:sz w:val="24"/>
                <w:szCs w:val="24"/>
                <w:u w:val="none" w:color="auto"/>
                <w:vertAlign w:val="superscript"/>
                <w:lang w:val="en-US" w:eastAsia="zh-CN"/>
              </w:rPr>
              <w:t>3</w:t>
            </w:r>
            <w:r>
              <w:rPr>
                <w:rFonts w:hint="default" w:ascii="Times New Roman" w:hAnsi="Times New Roman" w:eastAsia="宋体" w:cs="Times New Roman"/>
                <w:i w:val="0"/>
                <w:iCs w:val="0"/>
                <w:color w:val="auto"/>
                <w:spacing w:val="0"/>
                <w:sz w:val="24"/>
                <w:szCs w:val="24"/>
                <w:u w:val="none" w:color="auto"/>
                <w:lang w:val="en-US" w:eastAsia="zh-CN"/>
              </w:rPr>
              <w:t>/a；</w:t>
            </w:r>
          </w:p>
          <w:p w14:paraId="271261CF">
            <w:pPr>
              <w:pStyle w:val="2"/>
              <w:snapToGrid/>
              <w:spacing w:before="0" w:after="0" w:line="360" w:lineRule="auto"/>
              <w:ind w:right="0" w:firstLine="480" w:firstLineChars="200"/>
              <w:rPr>
                <w:rFonts w:hint="default" w:ascii="Times New Roman" w:hAnsi="Times New Roman" w:eastAsia="宋体" w:cs="Times New Roman"/>
                <w:i w:val="0"/>
                <w:iCs w:val="0"/>
                <w:color w:val="auto"/>
                <w:spacing w:val="0"/>
                <w:sz w:val="24"/>
                <w:szCs w:val="24"/>
                <w:u w:val="none" w:color="auto"/>
                <w:lang w:val="en-US" w:eastAsia="zh-CN"/>
              </w:rPr>
            </w:pPr>
            <w:r>
              <w:rPr>
                <w:rFonts w:hint="default" w:ascii="Times New Roman" w:hAnsi="Times New Roman" w:eastAsia="宋体" w:cs="Times New Roman"/>
                <w:i w:val="0"/>
                <w:iCs w:val="0"/>
                <w:color w:val="auto"/>
                <w:spacing w:val="0"/>
                <w:sz w:val="24"/>
                <w:szCs w:val="24"/>
                <w:u w:val="none" w:color="auto"/>
                <w:lang w:val="en-US" w:eastAsia="zh-CN"/>
              </w:rPr>
              <w:t>C、激光打标粉尘中铝、铜、硅按投料占比计，则分别为87.5%、1.7%、10.8%，则该粉尘密度约为2.66t/m</w:t>
            </w:r>
            <w:r>
              <w:rPr>
                <w:rFonts w:hint="default" w:ascii="Times New Roman" w:hAnsi="Times New Roman" w:eastAsia="宋体" w:cs="Times New Roman"/>
                <w:i w:val="0"/>
                <w:iCs w:val="0"/>
                <w:color w:val="auto"/>
                <w:spacing w:val="0"/>
                <w:sz w:val="24"/>
                <w:szCs w:val="24"/>
                <w:u w:val="none" w:color="auto"/>
                <w:vertAlign w:val="superscript"/>
                <w:lang w:val="en-US" w:eastAsia="zh-CN"/>
              </w:rPr>
              <w:t>3</w:t>
            </w:r>
            <w:r>
              <w:rPr>
                <w:rFonts w:hint="default" w:ascii="Times New Roman" w:hAnsi="Times New Roman" w:eastAsia="宋体" w:cs="Times New Roman"/>
                <w:i w:val="0"/>
                <w:iCs w:val="0"/>
                <w:color w:val="auto"/>
                <w:spacing w:val="0"/>
                <w:sz w:val="24"/>
                <w:szCs w:val="24"/>
                <w:u w:val="none" w:color="auto"/>
                <w:lang w:val="en-US" w:eastAsia="zh-CN"/>
              </w:rPr>
              <w:t>。</w:t>
            </w:r>
          </w:p>
          <w:p w14:paraId="5123C8C9">
            <w:pPr>
              <w:pStyle w:val="2"/>
              <w:snapToGrid/>
              <w:spacing w:before="0" w:after="0" w:line="360" w:lineRule="auto"/>
              <w:ind w:right="0" w:firstLine="480" w:firstLineChars="200"/>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i w:val="0"/>
                <w:iCs w:val="0"/>
                <w:color w:val="auto"/>
                <w:spacing w:val="0"/>
                <w:sz w:val="24"/>
                <w:szCs w:val="24"/>
                <w:u w:val="none" w:color="auto"/>
                <w:lang w:val="en-US" w:eastAsia="zh-CN"/>
              </w:rPr>
              <w:t>D、产生的粉尘量则为2.66t/m</w:t>
            </w:r>
            <w:r>
              <w:rPr>
                <w:rFonts w:hint="default" w:ascii="Times New Roman" w:hAnsi="Times New Roman" w:eastAsia="宋体" w:cs="Times New Roman"/>
                <w:i w:val="0"/>
                <w:iCs w:val="0"/>
                <w:color w:val="auto"/>
                <w:spacing w:val="0"/>
                <w:sz w:val="24"/>
                <w:szCs w:val="24"/>
                <w:u w:val="none" w:color="auto"/>
                <w:vertAlign w:val="superscript"/>
                <w:lang w:val="en-US" w:eastAsia="zh-CN"/>
              </w:rPr>
              <w:t>3</w:t>
            </w:r>
            <w:r>
              <w:rPr>
                <w:rFonts w:hint="default" w:ascii="Times New Roman" w:hAnsi="Times New Roman" w:eastAsia="宋体" w:cs="Times New Roman"/>
                <w:i w:val="0"/>
                <w:iCs w:val="0"/>
                <w:color w:val="auto"/>
                <w:spacing w:val="0"/>
                <w:sz w:val="24"/>
                <w:szCs w:val="24"/>
                <w:u w:val="none" w:color="auto"/>
                <w:lang w:val="en-US" w:eastAsia="zh-CN"/>
              </w:rPr>
              <w:t>*0.048m</w:t>
            </w:r>
            <w:r>
              <w:rPr>
                <w:rFonts w:hint="default" w:ascii="Times New Roman" w:hAnsi="Times New Roman" w:eastAsia="宋体" w:cs="Times New Roman"/>
                <w:i w:val="0"/>
                <w:iCs w:val="0"/>
                <w:color w:val="auto"/>
                <w:spacing w:val="0"/>
                <w:sz w:val="24"/>
                <w:szCs w:val="24"/>
                <w:u w:val="none" w:color="auto"/>
                <w:vertAlign w:val="superscript"/>
                <w:lang w:val="en-US" w:eastAsia="zh-CN"/>
              </w:rPr>
              <w:t>3</w:t>
            </w:r>
            <w:r>
              <w:rPr>
                <w:rFonts w:hint="default" w:ascii="Times New Roman" w:hAnsi="Times New Roman" w:eastAsia="宋体" w:cs="Times New Roman"/>
                <w:i w:val="0"/>
                <w:iCs w:val="0"/>
                <w:color w:val="auto"/>
                <w:spacing w:val="0"/>
                <w:sz w:val="24"/>
                <w:szCs w:val="24"/>
                <w:u w:val="none" w:color="auto"/>
                <w:lang w:val="en-US" w:eastAsia="zh-CN"/>
              </w:rPr>
              <w:t>/a=0.1277t/a。</w:t>
            </w:r>
          </w:p>
          <w:p w14:paraId="23680320">
            <w:pPr>
              <w:pStyle w:val="2"/>
              <w:snapToGrid/>
              <w:spacing w:before="0" w:after="0" w:line="360" w:lineRule="auto"/>
              <w:ind w:right="0" w:firstLine="480" w:firstLineChars="200"/>
              <w:rPr>
                <w:rFonts w:hint="default" w:ascii="Times New Roman" w:hAnsi="Times New Roman" w:eastAsia="宋体" w:cs="Times New Roman"/>
                <w:color w:val="auto"/>
                <w:sz w:val="24"/>
                <w:szCs w:val="32"/>
                <w:u w:val="none" w:color="auto"/>
                <w:lang w:val="en-US" w:eastAsia="zh-CN"/>
              </w:rPr>
            </w:pPr>
            <w:r>
              <w:rPr>
                <w:rFonts w:hint="default" w:ascii="Times New Roman" w:hAnsi="Times New Roman" w:eastAsia="宋体" w:cs="Times New Roman"/>
                <w:b w:val="0"/>
                <w:bCs w:val="0"/>
                <w:color w:val="auto"/>
                <w:spacing w:val="0"/>
                <w:sz w:val="24"/>
                <w:u w:val="none" w:color="auto"/>
                <w:lang w:val="en-US" w:eastAsia="zh-CN"/>
              </w:rPr>
              <w:t>本次评价要求建设单位配套1台移动式布袋除尘器对激光粉尘进行吸尘处理，</w:t>
            </w:r>
            <w:r>
              <w:rPr>
                <w:rFonts w:hint="default" w:ascii="Times New Roman" w:hAnsi="Times New Roman" w:eastAsia="宋体" w:cs="Times New Roman"/>
                <w:color w:val="auto"/>
                <w:sz w:val="24"/>
                <w:u w:val="none" w:color="auto"/>
              </w:rPr>
              <w:t>参考《主要污染物总量减排核算技术指南（2022年修订）》中表2-3废气收集率通用系数）</w:t>
            </w:r>
            <w:r>
              <w:rPr>
                <w:rFonts w:hint="default" w:ascii="Times New Roman" w:hAnsi="Times New Roman" w:eastAsia="宋体" w:cs="Times New Roman"/>
                <w:color w:val="auto"/>
                <w:sz w:val="24"/>
                <w:u w:val="none" w:color="auto"/>
                <w:lang w:val="en-US" w:eastAsia="zh-CN"/>
              </w:rPr>
              <w:t>中</w:t>
            </w:r>
            <w:r>
              <w:rPr>
                <w:rFonts w:hint="default" w:ascii="Times New Roman" w:hAnsi="Times New Roman" w:eastAsia="宋体" w:cs="Times New Roman"/>
                <w:color w:val="auto"/>
                <w:sz w:val="24"/>
                <w:u w:val="none" w:color="auto"/>
              </w:rPr>
              <w:t>符合标准要求的外部集气罩</w:t>
            </w:r>
            <w:r>
              <w:rPr>
                <w:rFonts w:hint="default" w:ascii="Times New Roman" w:hAnsi="Times New Roman" w:eastAsia="宋体" w:cs="Times New Roman"/>
                <w:color w:val="auto"/>
                <w:sz w:val="24"/>
                <w:u w:val="none" w:color="auto"/>
                <w:lang w:eastAsia="zh-CN"/>
              </w:rPr>
              <w:t>，</w:t>
            </w:r>
            <w:r>
              <w:rPr>
                <w:rFonts w:hint="default" w:ascii="Times New Roman" w:hAnsi="Times New Roman" w:eastAsia="宋体" w:cs="Times New Roman"/>
                <w:color w:val="auto"/>
                <w:sz w:val="24"/>
                <w:u w:val="none" w:color="auto"/>
                <w:lang w:val="en-US" w:eastAsia="zh-CN"/>
              </w:rPr>
              <w:t>收集效率按</w:t>
            </w:r>
            <w:r>
              <w:rPr>
                <w:rFonts w:hint="default" w:ascii="Times New Roman" w:hAnsi="Times New Roman" w:eastAsia="宋体" w:cs="Times New Roman"/>
                <w:color w:val="auto"/>
                <w:sz w:val="24"/>
                <w:u w:val="none" w:color="auto"/>
              </w:rPr>
              <w:t>30%</w:t>
            </w:r>
            <w:r>
              <w:rPr>
                <w:rFonts w:hint="default" w:ascii="Times New Roman" w:hAnsi="Times New Roman" w:eastAsia="宋体" w:cs="Times New Roman"/>
                <w:color w:val="auto"/>
                <w:sz w:val="24"/>
                <w:u w:val="none" w:color="auto"/>
                <w:lang w:val="en-US" w:eastAsia="zh-CN"/>
              </w:rPr>
              <w:t>计，参考</w:t>
            </w:r>
            <w:r>
              <w:rPr>
                <w:rFonts w:hint="default" w:ascii="Times New Roman" w:hAnsi="Times New Roman" w:eastAsia="宋体" w:cs="Times New Roman"/>
                <w:color w:val="auto"/>
                <w:kern w:val="0"/>
                <w:sz w:val="24"/>
                <w:u w:val="none" w:color="auto"/>
              </w:rPr>
              <w:t>《排放源统计调查产排污核算方法和系数手册》(2021版)中“机械行业系数手册”</w:t>
            </w:r>
            <w:r>
              <w:rPr>
                <w:rFonts w:hint="default" w:ascii="Times New Roman" w:hAnsi="Times New Roman" w:eastAsia="宋体" w:cs="Times New Roman"/>
                <w:color w:val="auto"/>
                <w:kern w:val="0"/>
                <w:sz w:val="24"/>
                <w:u w:val="none" w:color="auto"/>
                <w:lang w:val="en-US" w:eastAsia="zh-CN"/>
              </w:rPr>
              <w:t>中袋式除尘器效率95%计</w:t>
            </w:r>
            <w:r>
              <w:rPr>
                <w:rFonts w:hint="default" w:ascii="Times New Roman" w:hAnsi="Times New Roman" w:eastAsia="宋体" w:cs="Times New Roman"/>
                <w:color w:val="auto"/>
                <w:sz w:val="24"/>
                <w:szCs w:val="32"/>
                <w:u w:val="none" w:color="auto"/>
              </w:rPr>
              <w:t>。</w:t>
            </w:r>
            <w:r>
              <w:rPr>
                <w:rFonts w:hint="default" w:ascii="Times New Roman" w:hAnsi="Times New Roman" w:eastAsia="宋体" w:cs="Times New Roman"/>
                <w:color w:val="auto"/>
                <w:sz w:val="24"/>
                <w:szCs w:val="32"/>
                <w:u w:val="none" w:color="auto"/>
                <w:lang w:val="en-US" w:eastAsia="zh-CN"/>
              </w:rPr>
              <w:t>激光打标工序按每天运行2h，年运行时间330天。经工程分析污染物排放情况如下：</w:t>
            </w:r>
          </w:p>
          <w:p w14:paraId="514EA3AB">
            <w:pPr>
              <w:jc w:val="center"/>
              <w:rPr>
                <w:rFonts w:hint="default" w:ascii="Times New Roman" w:hAnsi="Times New Roman" w:eastAsia="宋体" w:cs="Times New Roman"/>
                <w:color w:val="auto"/>
                <w:sz w:val="24"/>
                <w:szCs w:val="32"/>
                <w:u w:val="none" w:color="auto"/>
                <w:lang w:val="en-US" w:eastAsia="zh-CN"/>
              </w:rPr>
            </w:pPr>
            <w:r>
              <w:rPr>
                <w:rFonts w:hint="default" w:ascii="Times New Roman" w:hAnsi="Times New Roman" w:eastAsia="宋体" w:cs="Times New Roman"/>
                <w:b/>
                <w:bCs/>
                <w:color w:val="auto"/>
                <w:u w:val="none" w:color="auto"/>
                <w:lang w:val="en-US" w:eastAsia="zh-CN"/>
              </w:rPr>
              <w:t>表4-9  激光打标粉尘废气污染物排放情况一览表</w:t>
            </w:r>
          </w:p>
          <w:tbl>
            <w:tblPr>
              <w:tblStyle w:val="32"/>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164"/>
              <w:gridCol w:w="1796"/>
              <w:gridCol w:w="2286"/>
              <w:gridCol w:w="3269"/>
            </w:tblGrid>
            <w:tr w14:paraId="598BD8E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737" w:type="pct"/>
                  <w:gridSpan w:val="2"/>
                  <w:tcBorders>
                    <w:tl2br w:val="nil"/>
                    <w:tr2bl w:val="nil"/>
                  </w:tcBorders>
                  <w:vAlign w:val="center"/>
                </w:tcPr>
                <w:p w14:paraId="0BB3B498">
                  <w:pPr>
                    <w:pStyle w:val="2"/>
                    <w:keepNext w:val="0"/>
                    <w:keepLines w:val="0"/>
                    <w:pageBreakBefore w:val="0"/>
                    <w:widowControl/>
                    <w:kinsoku/>
                    <w:wordWrap/>
                    <w:overflowPunct/>
                    <w:topLinePunct w:val="0"/>
                    <w:autoSpaceDE/>
                    <w:autoSpaceDN/>
                    <w:bidi w:val="0"/>
                    <w:adjustRightInd/>
                    <w:snapToGrid/>
                    <w:spacing w:before="0" w:after="0" w:line="240" w:lineRule="auto"/>
                    <w:jc w:val="center"/>
                    <w:rPr>
                      <w:rFonts w:hint="default" w:ascii="Times New Roman" w:hAnsi="Times New Roman" w:eastAsia="宋体" w:cs="Times New Roman"/>
                      <w:b/>
                      <w:bCs/>
                      <w:color w:val="auto"/>
                      <w:sz w:val="21"/>
                      <w:szCs w:val="21"/>
                      <w:u w:val="none" w:color="auto"/>
                      <w:vertAlign w:val="baseline"/>
                      <w:lang w:val="en-US" w:eastAsia="zh-CN"/>
                    </w:rPr>
                  </w:pPr>
                  <w:r>
                    <w:rPr>
                      <w:rFonts w:hint="default" w:ascii="Times New Roman" w:hAnsi="Times New Roman" w:eastAsia="宋体" w:cs="Times New Roman"/>
                      <w:b/>
                      <w:bCs/>
                      <w:color w:val="auto"/>
                      <w:sz w:val="21"/>
                      <w:szCs w:val="21"/>
                      <w:u w:val="none" w:color="auto"/>
                      <w:vertAlign w:val="baseline"/>
                      <w:lang w:val="en-US" w:eastAsia="zh-CN"/>
                    </w:rPr>
                    <w:t>排放形式及污染物</w:t>
                  </w:r>
                </w:p>
              </w:tc>
              <w:tc>
                <w:tcPr>
                  <w:tcW w:w="1342" w:type="pct"/>
                  <w:tcBorders>
                    <w:tl2br w:val="nil"/>
                    <w:tr2bl w:val="nil"/>
                  </w:tcBorders>
                  <w:vAlign w:val="center"/>
                </w:tcPr>
                <w:p w14:paraId="69B5D1D4">
                  <w:pPr>
                    <w:pStyle w:val="2"/>
                    <w:keepNext w:val="0"/>
                    <w:keepLines w:val="0"/>
                    <w:pageBreakBefore w:val="0"/>
                    <w:widowControl/>
                    <w:kinsoku/>
                    <w:wordWrap/>
                    <w:overflowPunct/>
                    <w:topLinePunct w:val="0"/>
                    <w:autoSpaceDE/>
                    <w:autoSpaceDN/>
                    <w:bidi w:val="0"/>
                    <w:adjustRightInd/>
                    <w:snapToGrid/>
                    <w:spacing w:before="0" w:after="0" w:line="240" w:lineRule="auto"/>
                    <w:jc w:val="center"/>
                    <w:rPr>
                      <w:rFonts w:hint="default" w:ascii="Times New Roman" w:hAnsi="Times New Roman" w:eastAsia="宋体" w:cs="Times New Roman"/>
                      <w:b/>
                      <w:bCs/>
                      <w:color w:val="auto"/>
                      <w:sz w:val="21"/>
                      <w:szCs w:val="21"/>
                      <w:u w:val="none" w:color="auto"/>
                      <w:vertAlign w:val="baseline"/>
                      <w:lang w:val="en-US" w:eastAsia="zh-CN"/>
                    </w:rPr>
                  </w:pPr>
                  <w:r>
                    <w:rPr>
                      <w:rFonts w:hint="default" w:ascii="Times New Roman" w:hAnsi="Times New Roman" w:eastAsia="宋体" w:cs="Times New Roman"/>
                      <w:b/>
                      <w:bCs/>
                      <w:color w:val="auto"/>
                      <w:sz w:val="21"/>
                      <w:szCs w:val="21"/>
                      <w:u w:val="none" w:color="auto"/>
                      <w:vertAlign w:val="baseline"/>
                      <w:lang w:val="en-US" w:eastAsia="zh-CN"/>
                    </w:rPr>
                    <w:t>排放速率（kg/h）</w:t>
                  </w:r>
                </w:p>
              </w:tc>
              <w:tc>
                <w:tcPr>
                  <w:tcW w:w="1919" w:type="pct"/>
                  <w:tcBorders>
                    <w:tl2br w:val="nil"/>
                    <w:tr2bl w:val="nil"/>
                  </w:tcBorders>
                  <w:vAlign w:val="center"/>
                </w:tcPr>
                <w:p w14:paraId="1E73909F">
                  <w:pPr>
                    <w:pStyle w:val="2"/>
                    <w:keepNext w:val="0"/>
                    <w:keepLines w:val="0"/>
                    <w:pageBreakBefore w:val="0"/>
                    <w:widowControl/>
                    <w:kinsoku/>
                    <w:wordWrap/>
                    <w:overflowPunct/>
                    <w:topLinePunct w:val="0"/>
                    <w:autoSpaceDE/>
                    <w:autoSpaceDN/>
                    <w:bidi w:val="0"/>
                    <w:adjustRightInd/>
                    <w:snapToGrid/>
                    <w:spacing w:before="0" w:after="0" w:line="240" w:lineRule="auto"/>
                    <w:jc w:val="center"/>
                    <w:rPr>
                      <w:rFonts w:hint="default" w:ascii="Times New Roman" w:hAnsi="Times New Roman" w:eastAsia="宋体" w:cs="Times New Roman"/>
                      <w:b/>
                      <w:bCs/>
                      <w:color w:val="auto"/>
                      <w:sz w:val="21"/>
                      <w:szCs w:val="21"/>
                      <w:u w:val="none" w:color="auto"/>
                      <w:vertAlign w:val="baseline"/>
                      <w:lang w:val="en-US" w:eastAsia="zh-CN"/>
                    </w:rPr>
                  </w:pPr>
                  <w:r>
                    <w:rPr>
                      <w:rFonts w:hint="default" w:ascii="Times New Roman" w:hAnsi="Times New Roman" w:eastAsia="宋体" w:cs="Times New Roman"/>
                      <w:b/>
                      <w:bCs/>
                      <w:color w:val="auto"/>
                      <w:sz w:val="21"/>
                      <w:szCs w:val="21"/>
                      <w:u w:val="none" w:color="auto"/>
                      <w:vertAlign w:val="baseline"/>
                      <w:lang w:val="en-US" w:eastAsia="zh-CN"/>
                    </w:rPr>
                    <w:t>排放量（t/a）</w:t>
                  </w:r>
                </w:p>
              </w:tc>
            </w:tr>
            <w:tr w14:paraId="3A283E6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83" w:type="pct"/>
                  <w:tcBorders>
                    <w:tl2br w:val="nil"/>
                    <w:tr2bl w:val="nil"/>
                  </w:tcBorders>
                  <w:vAlign w:val="center"/>
                </w:tcPr>
                <w:p w14:paraId="7ED041DB">
                  <w:pPr>
                    <w:pStyle w:val="2"/>
                    <w:keepNext w:val="0"/>
                    <w:keepLines w:val="0"/>
                    <w:pageBreakBefore w:val="0"/>
                    <w:widowControl/>
                    <w:kinsoku/>
                    <w:wordWrap/>
                    <w:overflowPunct/>
                    <w:topLinePunct w:val="0"/>
                    <w:autoSpaceDE/>
                    <w:autoSpaceDN/>
                    <w:bidi w:val="0"/>
                    <w:adjustRightInd/>
                    <w:snapToGrid/>
                    <w:spacing w:before="0" w:after="0" w:line="240" w:lineRule="auto"/>
                    <w:jc w:val="center"/>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无组织</w:t>
                  </w:r>
                </w:p>
              </w:tc>
              <w:tc>
                <w:tcPr>
                  <w:tcW w:w="1054" w:type="pct"/>
                  <w:tcBorders>
                    <w:tl2br w:val="nil"/>
                    <w:tr2bl w:val="nil"/>
                  </w:tcBorders>
                  <w:shd w:val="clear" w:color="auto" w:fill="auto"/>
                  <w:vAlign w:val="center"/>
                </w:tcPr>
                <w:p w14:paraId="08E6CE3F">
                  <w:pPr>
                    <w:pStyle w:val="2"/>
                    <w:keepNext w:val="0"/>
                    <w:keepLines w:val="0"/>
                    <w:pageBreakBefore w:val="0"/>
                    <w:widowControl/>
                    <w:kinsoku/>
                    <w:wordWrap/>
                    <w:overflowPunct/>
                    <w:topLinePunct w:val="0"/>
                    <w:autoSpaceDE/>
                    <w:autoSpaceDN/>
                    <w:bidi w:val="0"/>
                    <w:adjustRightInd/>
                    <w:snapToGrid/>
                    <w:spacing w:before="0" w:after="0" w:line="240" w:lineRule="auto"/>
                    <w:ind w:right="113" w:rightChars="0"/>
                    <w:jc w:val="center"/>
                    <w:rPr>
                      <w:rFonts w:hint="default" w:ascii="Times New Roman" w:hAnsi="Times New Roman" w:eastAsia="宋体" w:cs="Times New Roman"/>
                      <w:color w:val="auto"/>
                      <w:kern w:val="0"/>
                      <w:sz w:val="21"/>
                      <w:szCs w:val="21"/>
                      <w:u w:val="none" w:color="auto"/>
                      <w:vertAlign w:val="baseline"/>
                      <w:lang w:val="en-US" w:eastAsia="zh-CN" w:bidi="ar-SA"/>
                    </w:rPr>
                  </w:pPr>
                  <w:r>
                    <w:rPr>
                      <w:rFonts w:hint="default" w:ascii="Times New Roman" w:hAnsi="Times New Roman" w:eastAsia="宋体" w:cs="Times New Roman"/>
                      <w:color w:val="auto"/>
                      <w:sz w:val="21"/>
                      <w:szCs w:val="21"/>
                      <w:u w:val="none" w:color="auto"/>
                      <w:vertAlign w:val="baseline"/>
                      <w:lang w:val="en-US" w:eastAsia="zh-CN"/>
                    </w:rPr>
                    <w:t>颗粒物</w:t>
                  </w:r>
                </w:p>
              </w:tc>
              <w:tc>
                <w:tcPr>
                  <w:tcW w:w="1342" w:type="pct"/>
                  <w:tcBorders>
                    <w:tl2br w:val="nil"/>
                    <w:tr2bl w:val="nil"/>
                  </w:tcBorders>
                  <w:vAlign w:val="center"/>
                </w:tcPr>
                <w:p w14:paraId="0819B945">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top"/>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0.1383</w:t>
                  </w:r>
                </w:p>
              </w:tc>
              <w:tc>
                <w:tcPr>
                  <w:tcW w:w="1919" w:type="pct"/>
                  <w:tcBorders>
                    <w:tl2br w:val="nil"/>
                    <w:tr2bl w:val="nil"/>
                  </w:tcBorders>
                  <w:vAlign w:val="center"/>
                </w:tcPr>
                <w:p w14:paraId="22FDABBB">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top"/>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0.0913（经处理后排放量：0.0019、未被收集部分：0.0894）</w:t>
                  </w:r>
                </w:p>
              </w:tc>
            </w:tr>
          </w:tbl>
          <w:p w14:paraId="75C5C7F3">
            <w:pPr>
              <w:pStyle w:val="2"/>
              <w:snapToGrid/>
              <w:spacing w:before="0" w:after="0" w:line="360" w:lineRule="auto"/>
              <w:ind w:right="0" w:firstLine="482" w:firstLineChars="200"/>
              <w:rPr>
                <w:rFonts w:hint="default" w:ascii="Times New Roman" w:hAnsi="Times New Roman" w:eastAsia="宋体" w:cs="Times New Roman"/>
                <w:b/>
                <w:bCs/>
                <w:color w:val="auto"/>
                <w:spacing w:val="0"/>
                <w:sz w:val="24"/>
                <w:u w:val="none" w:color="auto"/>
                <w:lang w:val="en-US" w:eastAsia="zh-CN"/>
              </w:rPr>
            </w:pPr>
            <w:r>
              <w:rPr>
                <w:rFonts w:hint="default" w:ascii="Times New Roman" w:hAnsi="Times New Roman" w:eastAsia="宋体" w:cs="Times New Roman"/>
                <w:b/>
                <w:bCs/>
                <w:color w:val="auto"/>
                <w:spacing w:val="0"/>
                <w:sz w:val="24"/>
                <w:u w:val="none" w:color="auto"/>
                <w:lang w:val="en-US" w:eastAsia="zh-CN"/>
              </w:rPr>
              <w:t>②去毛刺粉尘废气（G7-1）</w:t>
            </w:r>
          </w:p>
          <w:p w14:paraId="59AC658C">
            <w:pPr>
              <w:spacing w:line="360" w:lineRule="auto"/>
              <w:ind w:firstLine="480" w:firstLineChars="200"/>
              <w:rPr>
                <w:rFonts w:hint="default" w:ascii="Times New Roman" w:hAnsi="Times New Roman" w:eastAsia="宋体" w:cs="Times New Roman"/>
                <w:color w:val="auto"/>
                <w:kern w:val="0"/>
                <w:sz w:val="24"/>
                <w:u w:val="none" w:color="auto"/>
              </w:rPr>
            </w:pPr>
            <w:r>
              <w:rPr>
                <w:rFonts w:hint="default" w:ascii="Times New Roman" w:hAnsi="Times New Roman" w:eastAsia="宋体" w:cs="Times New Roman"/>
                <w:color w:val="auto"/>
                <w:kern w:val="0"/>
                <w:sz w:val="24"/>
                <w:u w:val="none" w:color="auto"/>
              </w:rPr>
              <w:t>项目去毛刺废气颗粒物产生源强参照《排放源统计调查产排污核算方法和系数手册》(2021版)中“机械行业系数手册”，预处理工序在抛丸、打磨工序颗粒物产生系数取2.19kg/t原料，</w:t>
            </w:r>
            <w:r>
              <w:rPr>
                <w:rFonts w:hint="default" w:ascii="Times New Roman" w:hAnsi="Times New Roman" w:eastAsia="宋体" w:cs="Times New Roman"/>
                <w:color w:val="auto"/>
                <w:kern w:val="0"/>
                <w:sz w:val="24"/>
                <w:u w:val="none" w:color="auto"/>
                <w:lang w:val="en-US" w:eastAsia="zh-CN"/>
              </w:rPr>
              <w:t>根据上述物料平衡计算，剩余加工量按26391.3344‬‬‬t/a计</w:t>
            </w:r>
            <w:r>
              <w:rPr>
                <w:rFonts w:hint="default" w:ascii="Times New Roman" w:hAnsi="Times New Roman" w:eastAsia="宋体" w:cs="Times New Roman"/>
                <w:color w:val="auto"/>
                <w:kern w:val="0"/>
                <w:sz w:val="24"/>
                <w:u w:val="none" w:color="auto"/>
                <w:lang w:eastAsia="zh-CN"/>
              </w:rPr>
              <w:t>，</w:t>
            </w:r>
            <w:r>
              <w:rPr>
                <w:rFonts w:hint="default" w:ascii="Times New Roman" w:hAnsi="Times New Roman" w:eastAsia="宋体" w:cs="Times New Roman"/>
                <w:color w:val="auto"/>
                <w:kern w:val="0"/>
                <w:sz w:val="24"/>
                <w:u w:val="none" w:color="auto"/>
              </w:rPr>
              <w:t>工作时间为全天</w:t>
            </w:r>
            <w:r>
              <w:rPr>
                <w:rFonts w:hint="default" w:ascii="Times New Roman" w:hAnsi="Times New Roman" w:eastAsia="宋体" w:cs="Times New Roman"/>
                <w:color w:val="auto"/>
                <w:kern w:val="0"/>
                <w:sz w:val="24"/>
                <w:u w:val="none" w:color="auto"/>
                <w:lang w:val="en-US" w:eastAsia="zh-CN"/>
              </w:rPr>
              <w:t>8</w:t>
            </w:r>
            <w:r>
              <w:rPr>
                <w:rFonts w:hint="default" w:ascii="Times New Roman" w:hAnsi="Times New Roman" w:eastAsia="宋体" w:cs="Times New Roman"/>
                <w:color w:val="auto"/>
                <w:kern w:val="0"/>
                <w:sz w:val="24"/>
                <w:u w:val="none" w:color="auto"/>
              </w:rPr>
              <w:t>h运行</w:t>
            </w:r>
            <w:r>
              <w:rPr>
                <w:rFonts w:hint="default" w:ascii="Times New Roman" w:hAnsi="Times New Roman" w:eastAsia="宋体" w:cs="Times New Roman"/>
                <w:color w:val="auto"/>
                <w:kern w:val="0"/>
                <w:sz w:val="24"/>
                <w:u w:val="none" w:color="auto"/>
                <w:lang w:eastAsia="zh-CN"/>
              </w:rPr>
              <w:t>，</w:t>
            </w:r>
            <w:r>
              <w:rPr>
                <w:rFonts w:hint="default" w:ascii="Times New Roman" w:hAnsi="Times New Roman" w:eastAsia="宋体" w:cs="Times New Roman"/>
                <w:color w:val="auto"/>
                <w:kern w:val="0"/>
                <w:sz w:val="24"/>
                <w:u w:val="none" w:color="auto"/>
                <w:lang w:val="en-US" w:eastAsia="zh-CN"/>
              </w:rPr>
              <w:t>全年300天，</w:t>
            </w:r>
            <w:r>
              <w:rPr>
                <w:rFonts w:hint="default" w:ascii="Times New Roman" w:hAnsi="Times New Roman" w:eastAsia="宋体" w:cs="Times New Roman"/>
                <w:color w:val="auto"/>
                <w:kern w:val="0"/>
                <w:sz w:val="24"/>
                <w:u w:val="none" w:color="auto"/>
              </w:rPr>
              <w:t>则项目去毛刺产生的颗粒物为</w:t>
            </w:r>
            <w:r>
              <w:rPr>
                <w:rFonts w:hint="default" w:ascii="Times New Roman" w:hAnsi="Times New Roman" w:eastAsia="宋体" w:cs="Times New Roman"/>
                <w:color w:val="auto"/>
                <w:kern w:val="0"/>
                <w:sz w:val="24"/>
                <w:u w:val="none" w:color="auto"/>
                <w:lang w:val="en-US" w:eastAsia="zh-CN"/>
              </w:rPr>
              <w:t>57.797</w:t>
            </w:r>
            <w:r>
              <w:rPr>
                <w:rFonts w:hint="default" w:ascii="Times New Roman" w:hAnsi="Times New Roman" w:eastAsia="宋体" w:cs="Times New Roman"/>
                <w:color w:val="auto"/>
                <w:kern w:val="0"/>
                <w:sz w:val="24"/>
                <w:u w:val="none" w:color="auto"/>
              </w:rPr>
              <w:t>t/a</w:t>
            </w:r>
            <w:r>
              <w:rPr>
                <w:rFonts w:hint="default" w:ascii="Times New Roman" w:hAnsi="Times New Roman" w:eastAsia="宋体" w:cs="Times New Roman"/>
                <w:color w:val="auto"/>
                <w:kern w:val="0"/>
                <w:sz w:val="24"/>
                <w:u w:val="none" w:color="auto"/>
                <w:lang w:eastAsia="zh-CN"/>
              </w:rPr>
              <w:t>、</w:t>
            </w:r>
            <w:r>
              <w:rPr>
                <w:rFonts w:hint="default" w:ascii="Times New Roman" w:hAnsi="Times New Roman" w:eastAsia="宋体" w:cs="Times New Roman"/>
                <w:color w:val="auto"/>
                <w:kern w:val="0"/>
                <w:sz w:val="24"/>
                <w:u w:val="none" w:color="auto"/>
                <w:lang w:val="en-US" w:eastAsia="zh-CN"/>
              </w:rPr>
              <w:t>24.0821kg/h</w:t>
            </w:r>
            <w:r>
              <w:rPr>
                <w:rFonts w:hint="default" w:ascii="Times New Roman" w:hAnsi="Times New Roman" w:eastAsia="宋体" w:cs="Times New Roman"/>
                <w:color w:val="auto"/>
                <w:kern w:val="0"/>
                <w:sz w:val="24"/>
                <w:u w:val="none" w:color="auto"/>
              </w:rPr>
              <w:t>。</w:t>
            </w:r>
          </w:p>
          <w:p w14:paraId="70F97D7E">
            <w:pPr>
              <w:spacing w:line="360" w:lineRule="auto"/>
              <w:ind w:firstLine="480" w:firstLineChars="200"/>
              <w:rPr>
                <w:rFonts w:hint="default" w:ascii="Times New Roman" w:hAnsi="Times New Roman" w:eastAsia="宋体" w:cs="Times New Roman"/>
                <w:color w:val="auto"/>
                <w:kern w:val="0"/>
                <w:sz w:val="24"/>
                <w:u w:val="none" w:color="auto"/>
                <w:lang w:val="en-US" w:eastAsia="zh-CN"/>
              </w:rPr>
            </w:pPr>
            <w:r>
              <w:rPr>
                <w:rFonts w:hint="default" w:ascii="Times New Roman" w:hAnsi="Times New Roman" w:eastAsia="宋体" w:cs="Times New Roman"/>
                <w:color w:val="auto"/>
                <w:kern w:val="0"/>
                <w:sz w:val="24"/>
                <w:u w:val="none" w:color="auto"/>
                <w:lang w:val="en-US" w:eastAsia="zh-CN"/>
              </w:rPr>
              <w:t>六轴去毛刺打磨机配置封闭式防尘房（即作业空间），用于隔离打磨过程中产生的粉尘、火花和噪音。防尘房内部集成集尘系统（风机+布袋除尘器）经处理后废气在车间内排放，同时经集尘系统抽气形成微负压状态，</w:t>
            </w:r>
            <w:r>
              <w:rPr>
                <w:rFonts w:hint="default" w:ascii="Times New Roman" w:hAnsi="Times New Roman" w:eastAsia="宋体" w:cs="Times New Roman"/>
                <w:color w:val="auto"/>
                <w:sz w:val="24"/>
                <w:u w:val="none" w:color="auto"/>
              </w:rPr>
              <w:t>参考《主要污染物总量减排核算技术指南（2022年修订）》中表2-3废气收集率通用系数）</w:t>
            </w:r>
            <w:r>
              <w:rPr>
                <w:rFonts w:hint="default" w:ascii="Times New Roman" w:hAnsi="Times New Roman" w:eastAsia="宋体" w:cs="Times New Roman"/>
                <w:color w:val="auto"/>
                <w:sz w:val="24"/>
                <w:u w:val="none" w:color="auto"/>
                <w:lang w:val="en-US" w:eastAsia="zh-CN"/>
              </w:rPr>
              <w:t>中</w:t>
            </w:r>
            <w:r>
              <w:rPr>
                <w:rFonts w:hint="default" w:ascii="Times New Roman" w:hAnsi="Times New Roman" w:eastAsia="宋体" w:cs="Times New Roman"/>
                <w:color w:val="auto"/>
                <w:sz w:val="24"/>
                <w:u w:val="none" w:color="auto"/>
              </w:rPr>
              <w:t>密闭</w:t>
            </w:r>
            <w:r>
              <w:rPr>
                <w:rFonts w:hint="default" w:ascii="Times New Roman" w:hAnsi="Times New Roman" w:eastAsia="宋体" w:cs="Times New Roman"/>
                <w:color w:val="auto"/>
                <w:sz w:val="24"/>
                <w:u w:val="none" w:color="auto"/>
                <w:lang w:val="en-US" w:eastAsia="zh-CN"/>
              </w:rPr>
              <w:t>空间、负压状态，收集效率按90%计；布袋除尘效率按</w:t>
            </w:r>
            <w:r>
              <w:rPr>
                <w:rFonts w:hint="default" w:ascii="Times New Roman" w:hAnsi="Times New Roman" w:eastAsia="宋体" w:cs="Times New Roman"/>
                <w:color w:val="auto"/>
                <w:kern w:val="0"/>
                <w:sz w:val="24"/>
                <w:u w:val="none" w:color="auto"/>
              </w:rPr>
              <w:t>“机械行业系数手册”</w:t>
            </w:r>
            <w:r>
              <w:rPr>
                <w:rFonts w:hint="default" w:ascii="Times New Roman" w:hAnsi="Times New Roman" w:eastAsia="宋体" w:cs="Times New Roman"/>
                <w:color w:val="auto"/>
                <w:kern w:val="0"/>
                <w:sz w:val="24"/>
                <w:u w:val="none" w:color="auto"/>
                <w:lang w:val="en-US" w:eastAsia="zh-CN"/>
              </w:rPr>
              <w:t>中袋式除尘效率95%计。经核算后去毛刺废气排放情况如下：</w:t>
            </w:r>
          </w:p>
          <w:p w14:paraId="3FA4CED8">
            <w:pPr>
              <w:jc w:val="center"/>
              <w:rPr>
                <w:rFonts w:hint="default" w:ascii="Times New Roman" w:hAnsi="Times New Roman" w:eastAsia="宋体" w:cs="Times New Roman"/>
                <w:color w:val="auto"/>
                <w:sz w:val="24"/>
                <w:szCs w:val="32"/>
                <w:u w:val="none" w:color="auto"/>
                <w:lang w:val="en-US" w:eastAsia="zh-CN"/>
              </w:rPr>
            </w:pPr>
            <w:r>
              <w:rPr>
                <w:rFonts w:hint="default" w:ascii="Times New Roman" w:hAnsi="Times New Roman" w:eastAsia="宋体" w:cs="Times New Roman"/>
                <w:b/>
                <w:bCs/>
                <w:color w:val="auto"/>
                <w:u w:val="none" w:color="auto"/>
                <w:lang w:val="en-US" w:eastAsia="zh-CN"/>
              </w:rPr>
              <w:t>表4-10  去毛刺废气污染物排放情况一览表</w:t>
            </w:r>
          </w:p>
          <w:tbl>
            <w:tblPr>
              <w:tblStyle w:val="32"/>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163"/>
              <w:gridCol w:w="1797"/>
              <w:gridCol w:w="2056"/>
              <w:gridCol w:w="3499"/>
            </w:tblGrid>
            <w:tr w14:paraId="37AD970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738" w:type="pct"/>
                  <w:gridSpan w:val="2"/>
                  <w:tcBorders>
                    <w:tl2br w:val="nil"/>
                    <w:tr2bl w:val="nil"/>
                  </w:tcBorders>
                  <w:vAlign w:val="center"/>
                </w:tcPr>
                <w:p w14:paraId="0A89DFEB">
                  <w:pPr>
                    <w:pStyle w:val="2"/>
                    <w:keepNext w:val="0"/>
                    <w:keepLines w:val="0"/>
                    <w:pageBreakBefore w:val="0"/>
                    <w:widowControl/>
                    <w:kinsoku/>
                    <w:wordWrap/>
                    <w:overflowPunct/>
                    <w:topLinePunct w:val="0"/>
                    <w:autoSpaceDE/>
                    <w:autoSpaceDN/>
                    <w:bidi w:val="0"/>
                    <w:adjustRightInd/>
                    <w:snapToGrid/>
                    <w:spacing w:before="0" w:after="0" w:line="240" w:lineRule="auto"/>
                    <w:jc w:val="center"/>
                    <w:rPr>
                      <w:rFonts w:hint="default" w:ascii="Times New Roman" w:hAnsi="Times New Roman" w:eastAsia="宋体" w:cs="Times New Roman"/>
                      <w:b/>
                      <w:bCs/>
                      <w:color w:val="auto"/>
                      <w:sz w:val="21"/>
                      <w:szCs w:val="21"/>
                      <w:u w:val="none" w:color="auto"/>
                      <w:vertAlign w:val="baseline"/>
                      <w:lang w:val="en-US" w:eastAsia="zh-CN"/>
                    </w:rPr>
                  </w:pPr>
                  <w:r>
                    <w:rPr>
                      <w:rFonts w:hint="default" w:ascii="Times New Roman" w:hAnsi="Times New Roman" w:eastAsia="宋体" w:cs="Times New Roman"/>
                      <w:b/>
                      <w:bCs/>
                      <w:color w:val="auto"/>
                      <w:sz w:val="21"/>
                      <w:szCs w:val="21"/>
                      <w:u w:val="none" w:color="auto"/>
                      <w:vertAlign w:val="baseline"/>
                      <w:lang w:val="en-US" w:eastAsia="zh-CN"/>
                    </w:rPr>
                    <w:t>排放形式及污染物</w:t>
                  </w:r>
                </w:p>
              </w:tc>
              <w:tc>
                <w:tcPr>
                  <w:tcW w:w="1207" w:type="pct"/>
                  <w:tcBorders>
                    <w:tl2br w:val="nil"/>
                    <w:tr2bl w:val="nil"/>
                  </w:tcBorders>
                  <w:vAlign w:val="center"/>
                </w:tcPr>
                <w:p w14:paraId="7D21E090">
                  <w:pPr>
                    <w:pStyle w:val="2"/>
                    <w:keepNext w:val="0"/>
                    <w:keepLines w:val="0"/>
                    <w:pageBreakBefore w:val="0"/>
                    <w:widowControl/>
                    <w:kinsoku/>
                    <w:wordWrap/>
                    <w:overflowPunct/>
                    <w:topLinePunct w:val="0"/>
                    <w:autoSpaceDE/>
                    <w:autoSpaceDN/>
                    <w:bidi w:val="0"/>
                    <w:adjustRightInd/>
                    <w:snapToGrid/>
                    <w:spacing w:before="0" w:after="0" w:line="240" w:lineRule="auto"/>
                    <w:jc w:val="center"/>
                    <w:rPr>
                      <w:rFonts w:hint="default" w:ascii="Times New Roman" w:hAnsi="Times New Roman" w:eastAsia="宋体" w:cs="Times New Roman"/>
                      <w:b/>
                      <w:bCs/>
                      <w:color w:val="auto"/>
                      <w:sz w:val="21"/>
                      <w:szCs w:val="21"/>
                      <w:u w:val="none" w:color="auto"/>
                      <w:vertAlign w:val="baseline"/>
                      <w:lang w:val="en-US" w:eastAsia="zh-CN"/>
                    </w:rPr>
                  </w:pPr>
                  <w:r>
                    <w:rPr>
                      <w:rFonts w:hint="default" w:ascii="Times New Roman" w:hAnsi="Times New Roman" w:eastAsia="宋体" w:cs="Times New Roman"/>
                      <w:b/>
                      <w:bCs/>
                      <w:color w:val="auto"/>
                      <w:sz w:val="21"/>
                      <w:szCs w:val="21"/>
                      <w:u w:val="none" w:color="auto"/>
                      <w:vertAlign w:val="baseline"/>
                      <w:lang w:val="en-US" w:eastAsia="zh-CN"/>
                    </w:rPr>
                    <w:t>排放速率（kg/h）</w:t>
                  </w:r>
                </w:p>
              </w:tc>
              <w:tc>
                <w:tcPr>
                  <w:tcW w:w="2054" w:type="pct"/>
                  <w:tcBorders>
                    <w:tl2br w:val="nil"/>
                    <w:tr2bl w:val="nil"/>
                  </w:tcBorders>
                  <w:vAlign w:val="center"/>
                </w:tcPr>
                <w:p w14:paraId="3976E2D4">
                  <w:pPr>
                    <w:pStyle w:val="2"/>
                    <w:keepNext w:val="0"/>
                    <w:keepLines w:val="0"/>
                    <w:pageBreakBefore w:val="0"/>
                    <w:widowControl/>
                    <w:kinsoku/>
                    <w:wordWrap/>
                    <w:overflowPunct/>
                    <w:topLinePunct w:val="0"/>
                    <w:autoSpaceDE/>
                    <w:autoSpaceDN/>
                    <w:bidi w:val="0"/>
                    <w:adjustRightInd/>
                    <w:snapToGrid/>
                    <w:spacing w:before="0" w:after="0" w:line="240" w:lineRule="auto"/>
                    <w:jc w:val="center"/>
                    <w:rPr>
                      <w:rFonts w:hint="default" w:ascii="Times New Roman" w:hAnsi="Times New Roman" w:eastAsia="宋体" w:cs="Times New Roman"/>
                      <w:b/>
                      <w:bCs/>
                      <w:color w:val="auto"/>
                      <w:sz w:val="21"/>
                      <w:szCs w:val="21"/>
                      <w:u w:val="none" w:color="auto"/>
                      <w:vertAlign w:val="baseline"/>
                      <w:lang w:val="en-US" w:eastAsia="zh-CN"/>
                    </w:rPr>
                  </w:pPr>
                  <w:r>
                    <w:rPr>
                      <w:rFonts w:hint="default" w:ascii="Times New Roman" w:hAnsi="Times New Roman" w:eastAsia="宋体" w:cs="Times New Roman"/>
                      <w:b/>
                      <w:bCs/>
                      <w:color w:val="auto"/>
                      <w:sz w:val="21"/>
                      <w:szCs w:val="21"/>
                      <w:u w:val="none" w:color="auto"/>
                      <w:vertAlign w:val="baseline"/>
                      <w:lang w:val="en-US" w:eastAsia="zh-CN"/>
                    </w:rPr>
                    <w:t>排放量（t/a）</w:t>
                  </w:r>
                </w:p>
              </w:tc>
            </w:tr>
            <w:tr w14:paraId="2901F8A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83" w:type="pct"/>
                  <w:tcBorders>
                    <w:tl2br w:val="nil"/>
                    <w:tr2bl w:val="nil"/>
                  </w:tcBorders>
                  <w:vAlign w:val="center"/>
                </w:tcPr>
                <w:p w14:paraId="7AB01DD1">
                  <w:pPr>
                    <w:pStyle w:val="2"/>
                    <w:keepNext w:val="0"/>
                    <w:keepLines w:val="0"/>
                    <w:pageBreakBefore w:val="0"/>
                    <w:widowControl/>
                    <w:kinsoku/>
                    <w:wordWrap/>
                    <w:overflowPunct/>
                    <w:topLinePunct w:val="0"/>
                    <w:autoSpaceDE/>
                    <w:autoSpaceDN/>
                    <w:bidi w:val="0"/>
                    <w:adjustRightInd/>
                    <w:snapToGrid/>
                    <w:spacing w:before="0" w:after="0" w:line="240" w:lineRule="auto"/>
                    <w:jc w:val="center"/>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无组织</w:t>
                  </w:r>
                </w:p>
              </w:tc>
              <w:tc>
                <w:tcPr>
                  <w:tcW w:w="1054" w:type="pct"/>
                  <w:tcBorders>
                    <w:tl2br w:val="nil"/>
                    <w:tr2bl w:val="nil"/>
                  </w:tcBorders>
                  <w:shd w:val="clear" w:color="auto" w:fill="auto"/>
                  <w:vAlign w:val="center"/>
                </w:tcPr>
                <w:p w14:paraId="1C5FCF46">
                  <w:pPr>
                    <w:pStyle w:val="2"/>
                    <w:keepNext w:val="0"/>
                    <w:keepLines w:val="0"/>
                    <w:pageBreakBefore w:val="0"/>
                    <w:widowControl/>
                    <w:kinsoku/>
                    <w:wordWrap/>
                    <w:overflowPunct/>
                    <w:topLinePunct w:val="0"/>
                    <w:autoSpaceDE/>
                    <w:autoSpaceDN/>
                    <w:bidi w:val="0"/>
                    <w:adjustRightInd/>
                    <w:snapToGrid/>
                    <w:spacing w:before="0" w:after="0" w:line="240" w:lineRule="auto"/>
                    <w:ind w:right="113" w:rightChars="0"/>
                    <w:jc w:val="center"/>
                    <w:rPr>
                      <w:rFonts w:hint="default" w:ascii="Times New Roman" w:hAnsi="Times New Roman" w:eastAsia="宋体" w:cs="Times New Roman"/>
                      <w:color w:val="auto"/>
                      <w:kern w:val="0"/>
                      <w:sz w:val="21"/>
                      <w:szCs w:val="21"/>
                      <w:u w:val="none" w:color="auto"/>
                      <w:vertAlign w:val="baseline"/>
                      <w:lang w:val="en-US" w:eastAsia="zh-CN" w:bidi="ar-SA"/>
                    </w:rPr>
                  </w:pPr>
                  <w:r>
                    <w:rPr>
                      <w:rFonts w:hint="default" w:ascii="Times New Roman" w:hAnsi="Times New Roman" w:eastAsia="宋体" w:cs="Times New Roman"/>
                      <w:color w:val="auto"/>
                      <w:sz w:val="21"/>
                      <w:szCs w:val="21"/>
                      <w:u w:val="none" w:color="auto"/>
                      <w:vertAlign w:val="baseline"/>
                      <w:lang w:val="en-US" w:eastAsia="zh-CN"/>
                    </w:rPr>
                    <w:t>颗粒物</w:t>
                  </w:r>
                </w:p>
              </w:tc>
              <w:tc>
                <w:tcPr>
                  <w:tcW w:w="1207" w:type="pct"/>
                  <w:tcBorders>
                    <w:tl2br w:val="nil"/>
                    <w:tr2bl w:val="nil"/>
                  </w:tcBorders>
                  <w:vAlign w:val="center"/>
                </w:tcPr>
                <w:p w14:paraId="15E13A41">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top"/>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3.4919</w:t>
                  </w:r>
                </w:p>
              </w:tc>
              <w:tc>
                <w:tcPr>
                  <w:tcW w:w="2054" w:type="pct"/>
                  <w:tcBorders>
                    <w:tl2br w:val="nil"/>
                    <w:tr2bl w:val="nil"/>
                  </w:tcBorders>
                  <w:vAlign w:val="center"/>
                </w:tcPr>
                <w:p w14:paraId="150A6559">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top"/>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8.3806（经处理后排放量：2.6009、未被收集部分：5.7797）</w:t>
                  </w:r>
                </w:p>
              </w:tc>
            </w:tr>
          </w:tbl>
          <w:p w14:paraId="0E853BDC">
            <w:pPr>
              <w:pStyle w:val="2"/>
              <w:snapToGrid/>
              <w:spacing w:before="0" w:after="0" w:line="360" w:lineRule="auto"/>
              <w:ind w:right="0" w:firstLine="482" w:firstLineChars="200"/>
              <w:rPr>
                <w:rFonts w:hint="default" w:ascii="Times New Roman" w:hAnsi="Times New Roman" w:eastAsia="宋体" w:cs="Times New Roman"/>
                <w:b/>
                <w:bCs/>
                <w:color w:val="auto"/>
                <w:spacing w:val="0"/>
                <w:sz w:val="24"/>
                <w:u w:val="none" w:color="auto"/>
                <w:lang w:val="en-US" w:eastAsia="zh-CN"/>
              </w:rPr>
            </w:pPr>
            <w:r>
              <w:rPr>
                <w:rFonts w:hint="default" w:ascii="Times New Roman" w:hAnsi="Times New Roman" w:eastAsia="宋体" w:cs="Times New Roman"/>
                <w:b/>
                <w:bCs/>
                <w:color w:val="auto"/>
                <w:spacing w:val="0"/>
                <w:sz w:val="24"/>
                <w:u w:val="none" w:color="auto"/>
                <w:lang w:val="en-US" w:eastAsia="zh-CN"/>
              </w:rPr>
              <w:t>③人工补充打磨</w:t>
            </w:r>
            <w:r>
              <w:rPr>
                <w:rFonts w:hint="default" w:ascii="Times New Roman" w:hAnsi="Times New Roman" w:eastAsia="宋体" w:cs="Times New Roman"/>
                <w:b/>
                <w:bCs/>
                <w:color w:val="auto"/>
                <w:kern w:val="0"/>
                <w:sz w:val="24"/>
                <w:u w:val="none" w:color="auto"/>
                <w:lang w:val="en-US" w:eastAsia="zh-CN"/>
              </w:rPr>
              <w:t>粉尘废气</w:t>
            </w:r>
            <w:r>
              <w:rPr>
                <w:rFonts w:hint="default" w:ascii="Times New Roman" w:hAnsi="Times New Roman" w:eastAsia="宋体" w:cs="Times New Roman"/>
                <w:b/>
                <w:bCs/>
                <w:color w:val="auto"/>
                <w:spacing w:val="0"/>
                <w:sz w:val="24"/>
                <w:u w:val="none" w:color="auto"/>
                <w:lang w:val="en-US" w:eastAsia="zh-CN"/>
              </w:rPr>
              <w:t>粉尘废气（G7-2）</w:t>
            </w:r>
          </w:p>
          <w:p w14:paraId="52D568FA">
            <w:pPr>
              <w:pStyle w:val="2"/>
              <w:snapToGrid/>
              <w:spacing w:before="0" w:after="0" w:line="360" w:lineRule="auto"/>
              <w:ind w:right="0" w:firstLine="480" w:firstLineChars="200"/>
              <w:rPr>
                <w:rFonts w:hint="default" w:ascii="Times New Roman" w:hAnsi="Times New Roman" w:eastAsia="宋体" w:cs="Times New Roman"/>
                <w:color w:val="auto"/>
                <w:kern w:val="0"/>
                <w:sz w:val="24"/>
                <w:u w:val="none" w:color="auto"/>
              </w:rPr>
            </w:pPr>
            <w:r>
              <w:rPr>
                <w:rFonts w:hint="default" w:ascii="Times New Roman" w:hAnsi="Times New Roman" w:eastAsia="宋体" w:cs="Times New Roman"/>
                <w:b w:val="0"/>
                <w:bCs w:val="0"/>
                <w:color w:val="auto"/>
                <w:spacing w:val="0"/>
                <w:sz w:val="24"/>
                <w:u w:val="none" w:color="auto"/>
                <w:lang w:val="en-US" w:eastAsia="zh-CN"/>
              </w:rPr>
              <w:t>本项目拟对</w:t>
            </w:r>
            <w:r>
              <w:rPr>
                <w:rFonts w:hint="default" w:ascii="Times New Roman" w:hAnsi="Times New Roman" w:eastAsia="宋体" w:cs="Times New Roman"/>
                <w:color w:val="auto"/>
                <w:kern w:val="0"/>
                <w:sz w:val="24"/>
                <w:u w:val="none" w:color="auto"/>
                <w:lang w:val="en-US" w:eastAsia="zh-CN"/>
              </w:rPr>
              <w:t>六轴去毛刺打磨机处理后的不符合要求的工件进行人工补充打磨，其中打磨量约为加工量的10%，根据上述计算可知，人工打磨量约为2639.1334‬‬‬t/a。</w:t>
            </w:r>
            <w:r>
              <w:rPr>
                <w:rFonts w:hint="default" w:ascii="Times New Roman" w:hAnsi="Times New Roman" w:eastAsia="宋体" w:cs="Times New Roman"/>
                <w:color w:val="auto"/>
                <w:kern w:val="0"/>
                <w:sz w:val="24"/>
                <w:u w:val="none" w:color="auto"/>
              </w:rPr>
              <w:t>废气颗粒物产生源强参照《排放源统计调查产排污核算方法和系数手册》(2021版)中“机械行业系数手册”，预处理工序在抛丸、打磨工序颗粒物产生系数取2.19kg/t原料，工作时间为全天</w:t>
            </w:r>
            <w:r>
              <w:rPr>
                <w:rFonts w:hint="default" w:ascii="Times New Roman" w:hAnsi="Times New Roman" w:eastAsia="宋体" w:cs="Times New Roman"/>
                <w:color w:val="auto"/>
                <w:kern w:val="0"/>
                <w:sz w:val="24"/>
                <w:u w:val="none" w:color="auto"/>
                <w:lang w:val="en-US" w:eastAsia="zh-CN"/>
              </w:rPr>
              <w:t>8</w:t>
            </w:r>
            <w:r>
              <w:rPr>
                <w:rFonts w:hint="default" w:ascii="Times New Roman" w:hAnsi="Times New Roman" w:eastAsia="宋体" w:cs="Times New Roman"/>
                <w:color w:val="auto"/>
                <w:kern w:val="0"/>
                <w:sz w:val="24"/>
                <w:u w:val="none" w:color="auto"/>
              </w:rPr>
              <w:t>h运行</w:t>
            </w:r>
            <w:r>
              <w:rPr>
                <w:rFonts w:hint="default" w:ascii="Times New Roman" w:hAnsi="Times New Roman" w:eastAsia="宋体" w:cs="Times New Roman"/>
                <w:color w:val="auto"/>
                <w:kern w:val="0"/>
                <w:sz w:val="24"/>
                <w:u w:val="none" w:color="auto"/>
                <w:lang w:eastAsia="zh-CN"/>
              </w:rPr>
              <w:t>，</w:t>
            </w:r>
            <w:r>
              <w:rPr>
                <w:rFonts w:hint="default" w:ascii="Times New Roman" w:hAnsi="Times New Roman" w:eastAsia="宋体" w:cs="Times New Roman"/>
                <w:color w:val="auto"/>
                <w:kern w:val="0"/>
                <w:sz w:val="24"/>
                <w:u w:val="none" w:color="auto"/>
                <w:lang w:val="en-US" w:eastAsia="zh-CN"/>
              </w:rPr>
              <w:t>全年300天，</w:t>
            </w:r>
            <w:r>
              <w:rPr>
                <w:rFonts w:hint="default" w:ascii="Times New Roman" w:hAnsi="Times New Roman" w:eastAsia="宋体" w:cs="Times New Roman"/>
                <w:color w:val="auto"/>
                <w:kern w:val="0"/>
                <w:sz w:val="24"/>
                <w:u w:val="none" w:color="auto"/>
              </w:rPr>
              <w:t>则项目去毛刺产生的颗粒物为</w:t>
            </w:r>
            <w:r>
              <w:rPr>
                <w:rFonts w:hint="default" w:ascii="Times New Roman" w:hAnsi="Times New Roman" w:eastAsia="宋体" w:cs="Times New Roman"/>
                <w:color w:val="auto"/>
                <w:kern w:val="0"/>
                <w:sz w:val="24"/>
                <w:u w:val="none" w:color="auto"/>
                <w:lang w:val="en-US" w:eastAsia="zh-CN"/>
              </w:rPr>
              <w:t>5.7797</w:t>
            </w:r>
            <w:r>
              <w:rPr>
                <w:rFonts w:hint="default" w:ascii="Times New Roman" w:hAnsi="Times New Roman" w:eastAsia="宋体" w:cs="Times New Roman"/>
                <w:color w:val="auto"/>
                <w:kern w:val="0"/>
                <w:sz w:val="24"/>
                <w:u w:val="none" w:color="auto"/>
              </w:rPr>
              <w:t>t/a</w:t>
            </w:r>
            <w:r>
              <w:rPr>
                <w:rFonts w:hint="default" w:ascii="Times New Roman" w:hAnsi="Times New Roman" w:eastAsia="宋体" w:cs="Times New Roman"/>
                <w:color w:val="auto"/>
                <w:kern w:val="0"/>
                <w:sz w:val="24"/>
                <w:u w:val="none" w:color="auto"/>
                <w:lang w:eastAsia="zh-CN"/>
              </w:rPr>
              <w:t>、</w:t>
            </w:r>
            <w:r>
              <w:rPr>
                <w:rFonts w:hint="default" w:ascii="Times New Roman" w:hAnsi="Times New Roman" w:eastAsia="宋体" w:cs="Times New Roman"/>
                <w:color w:val="auto"/>
                <w:kern w:val="0"/>
                <w:sz w:val="24"/>
                <w:u w:val="none" w:color="auto"/>
                <w:lang w:val="en-US" w:eastAsia="zh-CN"/>
              </w:rPr>
              <w:t>2.4082kg/h</w:t>
            </w:r>
            <w:r>
              <w:rPr>
                <w:rFonts w:hint="default" w:ascii="Times New Roman" w:hAnsi="Times New Roman" w:eastAsia="宋体" w:cs="Times New Roman"/>
                <w:color w:val="auto"/>
                <w:kern w:val="0"/>
                <w:sz w:val="24"/>
                <w:u w:val="none" w:color="auto"/>
              </w:rPr>
              <w:t>。</w:t>
            </w:r>
          </w:p>
          <w:p w14:paraId="50C11A83">
            <w:pPr>
              <w:spacing w:line="360" w:lineRule="auto"/>
              <w:ind w:firstLine="480" w:firstLineChars="200"/>
              <w:rPr>
                <w:rFonts w:hint="default" w:ascii="Times New Roman" w:hAnsi="Times New Roman" w:eastAsia="宋体" w:cs="Times New Roman"/>
                <w:color w:val="auto"/>
                <w:kern w:val="0"/>
                <w:sz w:val="24"/>
                <w:u w:val="none" w:color="auto"/>
                <w:lang w:val="en-US" w:eastAsia="zh-CN"/>
              </w:rPr>
            </w:pPr>
            <w:r>
              <w:rPr>
                <w:rFonts w:hint="default" w:ascii="Times New Roman" w:hAnsi="Times New Roman" w:eastAsia="宋体" w:cs="Times New Roman"/>
                <w:color w:val="auto"/>
                <w:kern w:val="0"/>
                <w:sz w:val="24"/>
                <w:u w:val="none" w:color="auto"/>
                <w:lang w:val="en-US" w:eastAsia="zh-CN"/>
              </w:rPr>
              <w:t>本项目要求建设单位对人工打磨工位设置相应的移动式除尘器进行收集处理，其收集口要求采用符合标准要求的外部集气罩，</w:t>
            </w:r>
            <w:r>
              <w:rPr>
                <w:rFonts w:hint="default" w:ascii="Times New Roman" w:hAnsi="Times New Roman" w:eastAsia="宋体" w:cs="Times New Roman"/>
                <w:color w:val="auto"/>
                <w:sz w:val="24"/>
                <w:u w:val="none" w:color="auto"/>
              </w:rPr>
              <w:t>参考《主要污染物总量减排核算技术指南（2022年修订）》中表2-3废气收集率通用系数</w:t>
            </w:r>
            <w:r>
              <w:rPr>
                <w:rFonts w:hint="default" w:ascii="Times New Roman" w:hAnsi="Times New Roman" w:eastAsia="宋体" w:cs="Times New Roman"/>
                <w:color w:val="auto"/>
                <w:sz w:val="24"/>
                <w:u w:val="none" w:color="auto"/>
                <w:lang w:val="en-US" w:eastAsia="zh-CN"/>
              </w:rPr>
              <w:t>，收集效率按30%计，经处理器处理后通过在车间内无组织排放。布袋除尘效率按</w:t>
            </w:r>
            <w:r>
              <w:rPr>
                <w:rFonts w:hint="default" w:ascii="Times New Roman" w:hAnsi="Times New Roman" w:eastAsia="宋体" w:cs="Times New Roman"/>
                <w:color w:val="auto"/>
                <w:kern w:val="0"/>
                <w:sz w:val="24"/>
                <w:u w:val="none" w:color="auto"/>
              </w:rPr>
              <w:t>“机械行业系数手册”</w:t>
            </w:r>
            <w:r>
              <w:rPr>
                <w:rFonts w:hint="default" w:ascii="Times New Roman" w:hAnsi="Times New Roman" w:eastAsia="宋体" w:cs="Times New Roman"/>
                <w:color w:val="auto"/>
                <w:kern w:val="0"/>
                <w:sz w:val="24"/>
                <w:u w:val="none" w:color="auto"/>
                <w:lang w:val="en-US" w:eastAsia="zh-CN"/>
              </w:rPr>
              <w:t>中袋式除尘效率95%计。经核算后人工补充打磨废气排放情况如下：</w:t>
            </w:r>
          </w:p>
          <w:p w14:paraId="7B093096">
            <w:pPr>
              <w:jc w:val="center"/>
              <w:rPr>
                <w:rFonts w:hint="default" w:ascii="Times New Roman" w:hAnsi="Times New Roman" w:eastAsia="宋体" w:cs="Times New Roman"/>
                <w:color w:val="auto"/>
                <w:sz w:val="24"/>
                <w:szCs w:val="32"/>
                <w:u w:val="none" w:color="auto"/>
                <w:lang w:val="en-US" w:eastAsia="zh-CN"/>
              </w:rPr>
            </w:pPr>
            <w:r>
              <w:rPr>
                <w:rFonts w:hint="default" w:ascii="Times New Roman" w:hAnsi="Times New Roman" w:eastAsia="宋体" w:cs="Times New Roman"/>
                <w:b/>
                <w:bCs/>
                <w:color w:val="auto"/>
                <w:u w:val="none" w:color="auto"/>
                <w:lang w:val="en-US" w:eastAsia="zh-CN"/>
              </w:rPr>
              <w:t>表4-11  人工补充打磨废气污染物排放情况一览表</w:t>
            </w:r>
          </w:p>
          <w:tbl>
            <w:tblPr>
              <w:tblStyle w:val="32"/>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163"/>
              <w:gridCol w:w="1797"/>
              <w:gridCol w:w="2056"/>
              <w:gridCol w:w="3499"/>
            </w:tblGrid>
            <w:tr w14:paraId="047C0AE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738" w:type="pct"/>
                  <w:gridSpan w:val="2"/>
                  <w:tcBorders>
                    <w:tl2br w:val="nil"/>
                    <w:tr2bl w:val="nil"/>
                  </w:tcBorders>
                  <w:vAlign w:val="center"/>
                </w:tcPr>
                <w:p w14:paraId="7C0AF328">
                  <w:pPr>
                    <w:pStyle w:val="2"/>
                    <w:keepNext w:val="0"/>
                    <w:keepLines w:val="0"/>
                    <w:pageBreakBefore w:val="0"/>
                    <w:widowControl/>
                    <w:kinsoku/>
                    <w:wordWrap/>
                    <w:overflowPunct/>
                    <w:topLinePunct w:val="0"/>
                    <w:autoSpaceDE/>
                    <w:autoSpaceDN/>
                    <w:bidi w:val="0"/>
                    <w:adjustRightInd/>
                    <w:snapToGrid/>
                    <w:spacing w:before="0" w:after="0" w:line="240" w:lineRule="auto"/>
                    <w:jc w:val="center"/>
                    <w:rPr>
                      <w:rFonts w:hint="default" w:ascii="Times New Roman" w:hAnsi="Times New Roman" w:eastAsia="宋体" w:cs="Times New Roman"/>
                      <w:b/>
                      <w:bCs/>
                      <w:color w:val="auto"/>
                      <w:sz w:val="21"/>
                      <w:szCs w:val="21"/>
                      <w:u w:val="none" w:color="auto"/>
                      <w:vertAlign w:val="baseline"/>
                      <w:lang w:val="en-US" w:eastAsia="zh-CN"/>
                    </w:rPr>
                  </w:pPr>
                  <w:r>
                    <w:rPr>
                      <w:rFonts w:hint="default" w:ascii="Times New Roman" w:hAnsi="Times New Roman" w:eastAsia="宋体" w:cs="Times New Roman"/>
                      <w:b/>
                      <w:bCs/>
                      <w:color w:val="auto"/>
                      <w:sz w:val="21"/>
                      <w:szCs w:val="21"/>
                      <w:u w:val="none" w:color="auto"/>
                      <w:vertAlign w:val="baseline"/>
                      <w:lang w:val="en-US" w:eastAsia="zh-CN"/>
                    </w:rPr>
                    <w:t>排放形式及污染物</w:t>
                  </w:r>
                </w:p>
              </w:tc>
              <w:tc>
                <w:tcPr>
                  <w:tcW w:w="1207" w:type="pct"/>
                  <w:tcBorders>
                    <w:tl2br w:val="nil"/>
                    <w:tr2bl w:val="nil"/>
                  </w:tcBorders>
                  <w:vAlign w:val="center"/>
                </w:tcPr>
                <w:p w14:paraId="724C1CBB">
                  <w:pPr>
                    <w:pStyle w:val="2"/>
                    <w:keepNext w:val="0"/>
                    <w:keepLines w:val="0"/>
                    <w:pageBreakBefore w:val="0"/>
                    <w:widowControl/>
                    <w:kinsoku/>
                    <w:wordWrap/>
                    <w:overflowPunct/>
                    <w:topLinePunct w:val="0"/>
                    <w:autoSpaceDE/>
                    <w:autoSpaceDN/>
                    <w:bidi w:val="0"/>
                    <w:adjustRightInd/>
                    <w:snapToGrid/>
                    <w:spacing w:before="0" w:after="0" w:line="240" w:lineRule="auto"/>
                    <w:jc w:val="center"/>
                    <w:rPr>
                      <w:rFonts w:hint="default" w:ascii="Times New Roman" w:hAnsi="Times New Roman" w:eastAsia="宋体" w:cs="Times New Roman"/>
                      <w:b/>
                      <w:bCs/>
                      <w:color w:val="auto"/>
                      <w:sz w:val="21"/>
                      <w:szCs w:val="21"/>
                      <w:u w:val="none" w:color="auto"/>
                      <w:vertAlign w:val="baseline"/>
                      <w:lang w:val="en-US" w:eastAsia="zh-CN"/>
                    </w:rPr>
                  </w:pPr>
                  <w:r>
                    <w:rPr>
                      <w:rFonts w:hint="default" w:ascii="Times New Roman" w:hAnsi="Times New Roman" w:eastAsia="宋体" w:cs="Times New Roman"/>
                      <w:b/>
                      <w:bCs/>
                      <w:color w:val="auto"/>
                      <w:sz w:val="21"/>
                      <w:szCs w:val="21"/>
                      <w:u w:val="none" w:color="auto"/>
                      <w:vertAlign w:val="baseline"/>
                      <w:lang w:val="en-US" w:eastAsia="zh-CN"/>
                    </w:rPr>
                    <w:t>排放速率（kg/h）</w:t>
                  </w:r>
                </w:p>
              </w:tc>
              <w:tc>
                <w:tcPr>
                  <w:tcW w:w="2054" w:type="pct"/>
                  <w:tcBorders>
                    <w:tl2br w:val="nil"/>
                    <w:tr2bl w:val="nil"/>
                  </w:tcBorders>
                  <w:vAlign w:val="center"/>
                </w:tcPr>
                <w:p w14:paraId="137E9005">
                  <w:pPr>
                    <w:pStyle w:val="2"/>
                    <w:keepNext w:val="0"/>
                    <w:keepLines w:val="0"/>
                    <w:pageBreakBefore w:val="0"/>
                    <w:widowControl/>
                    <w:kinsoku/>
                    <w:wordWrap/>
                    <w:overflowPunct/>
                    <w:topLinePunct w:val="0"/>
                    <w:autoSpaceDE/>
                    <w:autoSpaceDN/>
                    <w:bidi w:val="0"/>
                    <w:adjustRightInd/>
                    <w:snapToGrid/>
                    <w:spacing w:before="0" w:after="0" w:line="240" w:lineRule="auto"/>
                    <w:jc w:val="center"/>
                    <w:rPr>
                      <w:rFonts w:hint="default" w:ascii="Times New Roman" w:hAnsi="Times New Roman" w:eastAsia="宋体" w:cs="Times New Roman"/>
                      <w:b/>
                      <w:bCs/>
                      <w:color w:val="auto"/>
                      <w:sz w:val="21"/>
                      <w:szCs w:val="21"/>
                      <w:u w:val="none" w:color="auto"/>
                      <w:vertAlign w:val="baseline"/>
                      <w:lang w:val="en-US" w:eastAsia="zh-CN"/>
                    </w:rPr>
                  </w:pPr>
                  <w:r>
                    <w:rPr>
                      <w:rFonts w:hint="default" w:ascii="Times New Roman" w:hAnsi="Times New Roman" w:eastAsia="宋体" w:cs="Times New Roman"/>
                      <w:b/>
                      <w:bCs/>
                      <w:color w:val="auto"/>
                      <w:sz w:val="21"/>
                      <w:szCs w:val="21"/>
                      <w:u w:val="none" w:color="auto"/>
                      <w:vertAlign w:val="baseline"/>
                      <w:lang w:val="en-US" w:eastAsia="zh-CN"/>
                    </w:rPr>
                    <w:t>排放量（t/a）</w:t>
                  </w:r>
                </w:p>
              </w:tc>
            </w:tr>
            <w:tr w14:paraId="7C5C057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83" w:type="pct"/>
                  <w:tcBorders>
                    <w:tl2br w:val="nil"/>
                    <w:tr2bl w:val="nil"/>
                  </w:tcBorders>
                  <w:vAlign w:val="center"/>
                </w:tcPr>
                <w:p w14:paraId="1F88E7EC">
                  <w:pPr>
                    <w:pStyle w:val="2"/>
                    <w:keepNext w:val="0"/>
                    <w:keepLines w:val="0"/>
                    <w:pageBreakBefore w:val="0"/>
                    <w:widowControl/>
                    <w:kinsoku/>
                    <w:wordWrap/>
                    <w:overflowPunct/>
                    <w:topLinePunct w:val="0"/>
                    <w:autoSpaceDE/>
                    <w:autoSpaceDN/>
                    <w:bidi w:val="0"/>
                    <w:adjustRightInd/>
                    <w:snapToGrid/>
                    <w:spacing w:before="0" w:after="0" w:line="240" w:lineRule="auto"/>
                    <w:jc w:val="center"/>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无组织</w:t>
                  </w:r>
                </w:p>
              </w:tc>
              <w:tc>
                <w:tcPr>
                  <w:tcW w:w="1054" w:type="pct"/>
                  <w:tcBorders>
                    <w:tl2br w:val="nil"/>
                    <w:tr2bl w:val="nil"/>
                  </w:tcBorders>
                  <w:shd w:val="clear" w:color="auto" w:fill="auto"/>
                  <w:vAlign w:val="center"/>
                </w:tcPr>
                <w:p w14:paraId="46EBC3FF">
                  <w:pPr>
                    <w:pStyle w:val="2"/>
                    <w:keepNext w:val="0"/>
                    <w:keepLines w:val="0"/>
                    <w:pageBreakBefore w:val="0"/>
                    <w:widowControl/>
                    <w:kinsoku/>
                    <w:wordWrap/>
                    <w:overflowPunct/>
                    <w:topLinePunct w:val="0"/>
                    <w:autoSpaceDE/>
                    <w:autoSpaceDN/>
                    <w:bidi w:val="0"/>
                    <w:adjustRightInd/>
                    <w:snapToGrid/>
                    <w:spacing w:before="0" w:after="0" w:line="240" w:lineRule="auto"/>
                    <w:ind w:right="113" w:rightChars="0"/>
                    <w:jc w:val="center"/>
                    <w:rPr>
                      <w:rFonts w:hint="default" w:ascii="Times New Roman" w:hAnsi="Times New Roman" w:eastAsia="宋体" w:cs="Times New Roman"/>
                      <w:color w:val="auto"/>
                      <w:kern w:val="0"/>
                      <w:sz w:val="21"/>
                      <w:szCs w:val="21"/>
                      <w:u w:val="none" w:color="auto"/>
                      <w:vertAlign w:val="baseline"/>
                      <w:lang w:val="en-US" w:eastAsia="zh-CN" w:bidi="ar-SA"/>
                    </w:rPr>
                  </w:pPr>
                  <w:r>
                    <w:rPr>
                      <w:rFonts w:hint="default" w:ascii="Times New Roman" w:hAnsi="Times New Roman" w:eastAsia="宋体" w:cs="Times New Roman"/>
                      <w:color w:val="auto"/>
                      <w:sz w:val="21"/>
                      <w:szCs w:val="21"/>
                      <w:u w:val="none" w:color="auto"/>
                      <w:vertAlign w:val="baseline"/>
                      <w:lang w:val="en-US" w:eastAsia="zh-CN"/>
                    </w:rPr>
                    <w:t>颗粒物</w:t>
                  </w:r>
                </w:p>
              </w:tc>
              <w:tc>
                <w:tcPr>
                  <w:tcW w:w="1207" w:type="pct"/>
                  <w:tcBorders>
                    <w:tl2br w:val="nil"/>
                    <w:tr2bl w:val="nil"/>
                  </w:tcBorders>
                  <w:vAlign w:val="center"/>
                </w:tcPr>
                <w:p w14:paraId="201825EF">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top"/>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1.7219</w:t>
                  </w:r>
                </w:p>
              </w:tc>
              <w:tc>
                <w:tcPr>
                  <w:tcW w:w="2054" w:type="pct"/>
                  <w:tcBorders>
                    <w:tl2br w:val="nil"/>
                    <w:tr2bl w:val="nil"/>
                  </w:tcBorders>
                  <w:vAlign w:val="center"/>
                </w:tcPr>
                <w:p w14:paraId="49C8684B">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top"/>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4.1325（经处理后排放量：0.0867、未被收集部分：4.0458）</w:t>
                  </w:r>
                </w:p>
              </w:tc>
            </w:tr>
          </w:tbl>
          <w:p w14:paraId="3C60C38F">
            <w:pPr>
              <w:pStyle w:val="2"/>
              <w:snapToGrid/>
              <w:spacing w:before="0" w:after="0" w:line="360" w:lineRule="auto"/>
              <w:ind w:right="0" w:firstLine="482" w:firstLineChars="200"/>
              <w:rPr>
                <w:rFonts w:hint="default" w:ascii="Times New Roman" w:hAnsi="Times New Roman" w:eastAsia="宋体" w:cs="Times New Roman"/>
                <w:b/>
                <w:bCs/>
                <w:color w:val="auto"/>
                <w:spacing w:val="0"/>
                <w:sz w:val="24"/>
                <w:u w:val="none" w:color="auto"/>
                <w:lang w:val="en-US" w:eastAsia="zh-CN"/>
              </w:rPr>
            </w:pPr>
            <w:r>
              <w:rPr>
                <w:rFonts w:hint="default" w:ascii="Times New Roman" w:hAnsi="Times New Roman" w:eastAsia="宋体" w:cs="Times New Roman"/>
                <w:b/>
                <w:bCs/>
                <w:color w:val="auto"/>
                <w:spacing w:val="0"/>
                <w:sz w:val="24"/>
                <w:u w:val="none" w:color="auto"/>
                <w:lang w:val="en-US" w:eastAsia="zh-CN"/>
              </w:rPr>
              <w:t>④浸渗处理废气（G8）</w:t>
            </w:r>
          </w:p>
          <w:p w14:paraId="24CAFBB0">
            <w:pPr>
              <w:pStyle w:val="2"/>
              <w:snapToGrid/>
              <w:spacing w:before="0" w:after="0" w:line="360" w:lineRule="auto"/>
              <w:ind w:right="0" w:firstLine="480" w:firstLineChars="200"/>
              <w:rPr>
                <w:rFonts w:hint="default" w:ascii="Times New Roman" w:hAnsi="Times New Roman" w:eastAsia="宋体" w:cs="Times New Roman"/>
                <w:color w:val="auto"/>
                <w:kern w:val="0"/>
                <w:sz w:val="24"/>
                <w:u w:val="none" w:color="auto"/>
                <w:lang w:eastAsia="zh-CN"/>
              </w:rPr>
            </w:pPr>
            <w:r>
              <w:rPr>
                <w:rFonts w:hint="default" w:ascii="Times New Roman" w:hAnsi="Times New Roman" w:eastAsia="宋体" w:cs="Times New Roman"/>
                <w:color w:val="auto"/>
                <w:kern w:val="0"/>
                <w:sz w:val="24"/>
                <w:u w:val="none" w:color="auto"/>
              </w:rPr>
              <w:t>浸渗处理</w:t>
            </w:r>
            <w:r>
              <w:rPr>
                <w:rFonts w:hint="default" w:ascii="Times New Roman" w:hAnsi="Times New Roman" w:eastAsia="宋体" w:cs="Times New Roman"/>
                <w:color w:val="auto"/>
                <w:kern w:val="0"/>
                <w:sz w:val="24"/>
                <w:u w:val="none" w:color="auto"/>
                <w:lang w:val="en-US" w:eastAsia="zh-CN"/>
              </w:rPr>
              <w:t>仅用于处理轻微不合格产品，主要用于密封金属微孔，</w:t>
            </w:r>
            <w:r>
              <w:rPr>
                <w:rFonts w:hint="default" w:ascii="Times New Roman" w:hAnsi="Times New Roman" w:eastAsia="宋体" w:cs="Times New Roman"/>
                <w:color w:val="auto"/>
                <w:kern w:val="0"/>
                <w:sz w:val="24"/>
                <w:u w:val="none" w:color="auto"/>
              </w:rPr>
              <w:t>项目浸渗处理废气产生源强参照《排放源统计调查产排污核算方法和系数手册》(2021版)中“机械行业系数手册”，浸</w:t>
            </w:r>
            <w:r>
              <w:rPr>
                <w:rFonts w:hint="default" w:ascii="Times New Roman" w:hAnsi="Times New Roman" w:eastAsia="宋体" w:cs="Times New Roman"/>
                <w:color w:val="auto"/>
                <w:kern w:val="0"/>
                <w:sz w:val="24"/>
                <w:u w:val="none" w:color="auto"/>
                <w:lang w:val="en-US" w:eastAsia="zh-CN"/>
              </w:rPr>
              <w:t>底漆工艺</w:t>
            </w:r>
            <w:r>
              <w:rPr>
                <w:rFonts w:hint="default" w:ascii="Times New Roman" w:hAnsi="Times New Roman" w:eastAsia="宋体" w:cs="Times New Roman"/>
                <w:color w:val="auto"/>
                <w:kern w:val="0"/>
                <w:sz w:val="24"/>
                <w:u w:val="none" w:color="auto"/>
              </w:rPr>
              <w:t>产生系数取</w:t>
            </w:r>
            <w:r>
              <w:rPr>
                <w:rFonts w:hint="default" w:ascii="Times New Roman" w:hAnsi="Times New Roman" w:eastAsia="宋体" w:cs="Times New Roman"/>
                <w:color w:val="auto"/>
                <w:kern w:val="0"/>
                <w:sz w:val="24"/>
                <w:u w:val="none" w:color="auto"/>
                <w:lang w:val="en-US" w:eastAsia="zh-CN"/>
              </w:rPr>
              <w:t>212</w:t>
            </w:r>
            <w:r>
              <w:rPr>
                <w:rFonts w:hint="default" w:ascii="Times New Roman" w:hAnsi="Times New Roman" w:eastAsia="宋体" w:cs="Times New Roman"/>
                <w:color w:val="auto"/>
                <w:kern w:val="0"/>
                <w:sz w:val="24"/>
                <w:u w:val="none" w:color="auto"/>
              </w:rPr>
              <w:t>kg/t</w:t>
            </w:r>
            <w:r>
              <w:rPr>
                <w:rFonts w:hint="default" w:ascii="Times New Roman" w:hAnsi="Times New Roman" w:eastAsia="宋体" w:cs="Times New Roman"/>
                <w:color w:val="auto"/>
                <w:kern w:val="0"/>
                <w:sz w:val="24"/>
                <w:u w:val="none" w:color="auto"/>
                <w:lang w:val="en-US" w:eastAsia="zh-CN"/>
              </w:rPr>
              <w:t>-</w:t>
            </w:r>
            <w:r>
              <w:rPr>
                <w:rFonts w:hint="default" w:ascii="Times New Roman" w:hAnsi="Times New Roman" w:eastAsia="宋体" w:cs="Times New Roman"/>
                <w:color w:val="auto"/>
                <w:kern w:val="0"/>
                <w:sz w:val="24"/>
                <w:u w:val="none" w:color="auto"/>
              </w:rPr>
              <w:t>原料</w:t>
            </w:r>
            <w:r>
              <w:rPr>
                <w:rFonts w:hint="default" w:ascii="Times New Roman" w:hAnsi="Times New Roman" w:eastAsia="宋体" w:cs="Times New Roman"/>
                <w:color w:val="auto"/>
                <w:kern w:val="0"/>
                <w:sz w:val="24"/>
                <w:u w:val="none" w:color="auto"/>
                <w:lang w:eastAsia="zh-CN"/>
              </w:rPr>
              <w:t>。</w:t>
            </w:r>
          </w:p>
          <w:p w14:paraId="2F54B681">
            <w:pPr>
              <w:pStyle w:val="2"/>
              <w:snapToGrid/>
              <w:spacing w:before="0" w:after="0" w:line="360" w:lineRule="auto"/>
              <w:ind w:right="0" w:firstLine="480" w:firstLineChars="200"/>
              <w:rPr>
                <w:rFonts w:hint="default" w:ascii="Times New Roman" w:hAnsi="Times New Roman" w:eastAsia="宋体" w:cs="Times New Roman"/>
                <w:color w:val="auto"/>
                <w:kern w:val="0"/>
                <w:sz w:val="24"/>
                <w:u w:val="none" w:color="auto"/>
                <w:lang w:val="en-US"/>
              </w:rPr>
            </w:pPr>
            <w:r>
              <w:rPr>
                <w:rFonts w:hint="default" w:ascii="Times New Roman" w:hAnsi="Times New Roman" w:eastAsia="宋体" w:cs="Times New Roman"/>
                <w:color w:val="auto"/>
                <w:kern w:val="0"/>
                <w:sz w:val="24"/>
                <w:u w:val="none" w:color="auto"/>
                <w:lang w:val="en-US" w:eastAsia="zh-CN"/>
              </w:rPr>
              <w:t>根据建设单位提供的设计资料，仅设置一套浸渗处理设备，产品</w:t>
            </w:r>
            <w:r>
              <w:rPr>
                <w:rFonts w:hint="default" w:ascii="Times New Roman" w:hAnsi="Times New Roman" w:eastAsia="宋体" w:cs="Times New Roman"/>
                <w:color w:val="auto"/>
                <w:kern w:val="0"/>
                <w:sz w:val="24"/>
                <w:u w:val="none" w:color="auto"/>
              </w:rPr>
              <w:t>浸渗率按</w:t>
            </w:r>
            <w:r>
              <w:rPr>
                <w:rFonts w:hint="default" w:ascii="Times New Roman" w:hAnsi="Times New Roman" w:eastAsia="宋体" w:cs="Times New Roman"/>
                <w:color w:val="auto"/>
                <w:kern w:val="0"/>
                <w:sz w:val="24"/>
                <w:u w:val="none" w:color="auto"/>
                <w:lang w:val="en-US" w:eastAsia="zh-CN"/>
              </w:rPr>
              <w:t>1</w:t>
            </w:r>
            <w:r>
              <w:rPr>
                <w:rFonts w:hint="default" w:ascii="Times New Roman" w:hAnsi="Times New Roman" w:eastAsia="宋体" w:cs="Times New Roman"/>
                <w:color w:val="auto"/>
                <w:kern w:val="0"/>
                <w:sz w:val="24"/>
                <w:u w:val="none" w:color="auto"/>
              </w:rPr>
              <w:t>0%</w:t>
            </w:r>
            <w:r>
              <w:rPr>
                <w:rFonts w:hint="default" w:ascii="Times New Roman" w:hAnsi="Times New Roman" w:eastAsia="宋体" w:cs="Times New Roman"/>
                <w:color w:val="auto"/>
                <w:kern w:val="0"/>
                <w:sz w:val="24"/>
                <w:u w:val="none" w:color="auto"/>
                <w:lang w:val="en-US" w:eastAsia="zh-CN"/>
              </w:rPr>
              <w:t>计</w:t>
            </w:r>
            <w:r>
              <w:rPr>
                <w:rFonts w:hint="default" w:ascii="Times New Roman" w:hAnsi="Times New Roman" w:eastAsia="宋体" w:cs="Times New Roman"/>
                <w:color w:val="auto"/>
                <w:kern w:val="0"/>
                <w:sz w:val="24"/>
                <w:u w:val="none" w:color="auto"/>
                <w:lang w:eastAsia="zh-CN"/>
              </w:rPr>
              <w:t>（</w:t>
            </w:r>
            <w:r>
              <w:rPr>
                <w:rFonts w:hint="default" w:ascii="Times New Roman" w:hAnsi="Times New Roman" w:eastAsia="宋体" w:cs="Times New Roman"/>
                <w:color w:val="auto"/>
                <w:kern w:val="0"/>
                <w:sz w:val="24"/>
                <w:u w:val="none" w:color="auto"/>
                <w:lang w:val="en-US" w:eastAsia="zh-CN"/>
              </w:rPr>
              <w:t>该上限为生产红线</w:t>
            </w:r>
            <w:r>
              <w:rPr>
                <w:rFonts w:hint="default" w:ascii="Times New Roman" w:hAnsi="Times New Roman" w:eastAsia="宋体" w:cs="Times New Roman"/>
                <w:color w:val="auto"/>
                <w:kern w:val="0"/>
                <w:sz w:val="24"/>
                <w:u w:val="none" w:color="auto"/>
                <w:lang w:eastAsia="zh-CN"/>
              </w:rPr>
              <w:t>）</w:t>
            </w:r>
            <w:r>
              <w:rPr>
                <w:rFonts w:hint="default" w:ascii="Times New Roman" w:hAnsi="Times New Roman" w:eastAsia="宋体" w:cs="Times New Roman"/>
                <w:color w:val="auto"/>
                <w:kern w:val="0"/>
                <w:sz w:val="24"/>
                <w:u w:val="none" w:color="auto"/>
              </w:rPr>
              <w:t>，每件产品5-6g</w:t>
            </w:r>
            <w:r>
              <w:rPr>
                <w:rFonts w:hint="default" w:ascii="Times New Roman" w:hAnsi="Times New Roman" w:eastAsia="宋体" w:cs="Times New Roman"/>
                <w:color w:val="auto"/>
                <w:kern w:val="0"/>
                <w:sz w:val="24"/>
                <w:u w:val="none" w:color="auto"/>
                <w:lang w:eastAsia="zh-CN"/>
              </w:rPr>
              <w:t>（</w:t>
            </w:r>
            <w:r>
              <w:rPr>
                <w:rFonts w:hint="default" w:ascii="Times New Roman" w:hAnsi="Times New Roman" w:eastAsia="宋体" w:cs="Times New Roman"/>
                <w:color w:val="auto"/>
                <w:kern w:val="0"/>
                <w:sz w:val="24"/>
                <w:u w:val="none" w:color="auto"/>
                <w:lang w:val="en-US" w:eastAsia="zh-CN"/>
              </w:rPr>
              <w:t>按均值5.5g计</w:t>
            </w:r>
            <w:r>
              <w:rPr>
                <w:rFonts w:hint="default" w:ascii="Times New Roman" w:hAnsi="Times New Roman" w:eastAsia="宋体" w:cs="Times New Roman"/>
                <w:color w:val="auto"/>
                <w:kern w:val="0"/>
                <w:sz w:val="24"/>
                <w:u w:val="none" w:color="auto"/>
                <w:lang w:eastAsia="zh-CN"/>
              </w:rPr>
              <w:t>），</w:t>
            </w:r>
            <w:r>
              <w:rPr>
                <w:rFonts w:hint="default" w:ascii="Times New Roman" w:hAnsi="Times New Roman" w:eastAsia="宋体" w:cs="Times New Roman"/>
                <w:color w:val="auto"/>
                <w:kern w:val="0"/>
                <w:sz w:val="24"/>
                <w:u w:val="none" w:color="auto"/>
                <w:lang w:val="en-US" w:eastAsia="zh-CN"/>
              </w:rPr>
              <w:t>每批次</w:t>
            </w:r>
            <w:r>
              <w:rPr>
                <w:rFonts w:hint="default" w:ascii="Times New Roman" w:hAnsi="Times New Roman" w:eastAsia="宋体" w:cs="Times New Roman"/>
                <w:color w:val="auto"/>
                <w:kern w:val="0"/>
                <w:sz w:val="24"/>
                <w:u w:val="none" w:color="auto"/>
              </w:rPr>
              <w:t>浸渗</w:t>
            </w:r>
            <w:r>
              <w:rPr>
                <w:rFonts w:hint="default" w:ascii="Times New Roman" w:hAnsi="Times New Roman" w:eastAsia="宋体" w:cs="Times New Roman"/>
                <w:color w:val="auto"/>
                <w:kern w:val="0"/>
                <w:sz w:val="24"/>
                <w:u w:val="none" w:color="auto"/>
                <w:lang w:val="en-US" w:eastAsia="zh-CN"/>
              </w:rPr>
              <w:t>时长约为10~15分钟（本次评价按12.5分钟计）</w:t>
            </w:r>
            <w:r>
              <w:rPr>
                <w:rFonts w:hint="default" w:ascii="Times New Roman" w:hAnsi="Times New Roman" w:eastAsia="宋体" w:cs="Times New Roman"/>
                <w:color w:val="auto"/>
                <w:kern w:val="0"/>
                <w:sz w:val="24"/>
                <w:u w:val="none" w:color="auto"/>
              </w:rPr>
              <w:t>，</w:t>
            </w:r>
            <w:r>
              <w:rPr>
                <w:rFonts w:hint="default" w:ascii="Times New Roman" w:hAnsi="Times New Roman" w:eastAsia="宋体" w:cs="Times New Roman"/>
                <w:color w:val="auto"/>
                <w:kern w:val="0"/>
                <w:sz w:val="24"/>
                <w:u w:val="none" w:color="auto"/>
                <w:lang w:val="en-US" w:eastAsia="zh-CN"/>
              </w:rPr>
              <w:t>则全年产品为80万件，</w:t>
            </w:r>
            <w:r>
              <w:rPr>
                <w:rFonts w:hint="default" w:ascii="Times New Roman" w:hAnsi="Times New Roman" w:eastAsia="宋体" w:cs="Times New Roman"/>
                <w:color w:val="auto"/>
                <w:kern w:val="0"/>
                <w:sz w:val="24"/>
                <w:u w:val="none" w:color="auto"/>
              </w:rPr>
              <w:t>浸渗</w:t>
            </w:r>
            <w:r>
              <w:rPr>
                <w:rFonts w:hint="default" w:ascii="Times New Roman" w:hAnsi="Times New Roman" w:eastAsia="宋体" w:cs="Times New Roman"/>
                <w:color w:val="auto"/>
                <w:kern w:val="0"/>
                <w:sz w:val="24"/>
                <w:u w:val="none" w:color="auto"/>
                <w:lang w:val="en-US" w:eastAsia="zh-CN"/>
              </w:rPr>
              <w:t>产品约为8万件/a（其中后箱体3.8万件/a、4.2万件/a），</w:t>
            </w:r>
            <w:r>
              <w:rPr>
                <w:rFonts w:hint="default" w:ascii="Times New Roman" w:hAnsi="Times New Roman" w:eastAsia="宋体" w:cs="Times New Roman"/>
                <w:color w:val="auto"/>
                <w:kern w:val="0"/>
                <w:sz w:val="24"/>
                <w:u w:val="none" w:color="auto"/>
              </w:rPr>
              <w:t>浸渗液年用量</w:t>
            </w:r>
            <w:r>
              <w:rPr>
                <w:rFonts w:hint="default" w:ascii="Times New Roman" w:hAnsi="Times New Roman" w:eastAsia="宋体" w:cs="Times New Roman"/>
                <w:color w:val="auto"/>
                <w:kern w:val="0"/>
                <w:sz w:val="24"/>
                <w:u w:val="none" w:color="auto"/>
                <w:lang w:val="en-US" w:eastAsia="zh-CN"/>
              </w:rPr>
              <w:t>0.44t/a，废气产生量约为0.0933t/a。</w:t>
            </w:r>
          </w:p>
          <w:p w14:paraId="526A75AA">
            <w:pPr>
              <w:pStyle w:val="2"/>
              <w:snapToGrid/>
              <w:spacing w:before="0" w:after="0" w:line="360" w:lineRule="auto"/>
              <w:ind w:right="0" w:firstLine="480" w:firstLineChars="200"/>
              <w:rPr>
                <w:rFonts w:hint="default" w:ascii="Times New Roman" w:hAnsi="Times New Roman" w:eastAsia="宋体" w:cs="Times New Roman"/>
                <w:color w:val="auto"/>
                <w:kern w:val="0"/>
                <w:sz w:val="24"/>
                <w:u w:val="none" w:color="auto"/>
                <w:lang w:val="en-US" w:eastAsia="zh-CN"/>
              </w:rPr>
            </w:pPr>
            <w:r>
              <w:rPr>
                <w:rFonts w:hint="default" w:ascii="Times New Roman" w:hAnsi="Times New Roman" w:eastAsia="宋体" w:cs="Times New Roman"/>
                <w:color w:val="auto"/>
                <w:kern w:val="0"/>
                <w:sz w:val="24"/>
                <w:u w:val="none" w:color="auto"/>
                <w:lang w:val="en-US" w:eastAsia="zh-CN"/>
              </w:rPr>
              <w:t>真空浸渗罐有效容积：直径约1.6m，高度2.2m，有效装载空间约4.5m³（需预留30%空间保障真空度、介质流动和工件间距），将工件倾斜10°~15°，利用对角线方向空间，罐底直径1.5m则可排3件，堆叠层数：罐高2.2m÷工件高度（1.05m/0.83m）+层间隔≥2层，因此后箱体每批次可处理约6件，共计处理6334批次（向上取整），全年运行时间1320h；铝挤压电机壳（Φ180/Φ154）单托盘按六边形密排，每层7×5=35件，罐高2.2m÷(托盘高0.1m+工件高0.2m)≈7层，则每批次可处理约245件，共计处理172批次（向上取整），全年运行时间257.5h/a。</w:t>
            </w:r>
          </w:p>
          <w:p w14:paraId="78DE74BA">
            <w:pPr>
              <w:pStyle w:val="2"/>
              <w:snapToGrid/>
              <w:spacing w:before="0" w:after="0" w:line="360" w:lineRule="auto"/>
              <w:ind w:right="0" w:firstLine="480" w:firstLineChars="200"/>
              <w:rPr>
                <w:rFonts w:hint="default" w:ascii="Times New Roman" w:hAnsi="Times New Roman" w:eastAsia="宋体" w:cs="Times New Roman"/>
                <w:b/>
                <w:bCs/>
                <w:color w:val="auto"/>
                <w:spacing w:val="0"/>
                <w:sz w:val="24"/>
                <w:u w:val="none" w:color="auto"/>
                <w:lang w:val="en-US" w:eastAsia="zh-CN"/>
              </w:rPr>
            </w:pPr>
            <w:r>
              <w:rPr>
                <w:rFonts w:hint="default" w:ascii="Times New Roman" w:hAnsi="Times New Roman" w:eastAsia="宋体" w:cs="Times New Roman"/>
                <w:color w:val="auto"/>
                <w:kern w:val="0"/>
                <w:sz w:val="24"/>
                <w:u w:val="none" w:color="auto"/>
                <w:lang w:val="en-US" w:eastAsia="zh-CN"/>
              </w:rPr>
              <w:t>根据上述分析，合计全年运行时间1577.5h/a，最大产生挥发性有机废气量约为0.0933t/a、0.0591kg/h。</w:t>
            </w:r>
          </w:p>
          <w:p w14:paraId="63183325">
            <w:pPr>
              <w:pStyle w:val="2"/>
              <w:snapToGrid/>
              <w:spacing w:before="0" w:after="0" w:line="360" w:lineRule="auto"/>
              <w:ind w:right="0" w:firstLine="480" w:firstLineChars="200"/>
              <w:rPr>
                <w:rFonts w:hint="default" w:ascii="Times New Roman" w:hAnsi="Times New Roman" w:eastAsia="宋体" w:cs="Times New Roman"/>
                <w:b/>
                <w:bCs/>
                <w:color w:val="auto"/>
                <w:spacing w:val="0"/>
                <w:sz w:val="24"/>
                <w:u w:val="none" w:color="auto"/>
                <w:lang w:val="en-US" w:eastAsia="zh-CN"/>
              </w:rPr>
            </w:pPr>
            <w:r>
              <w:rPr>
                <w:rFonts w:hint="default" w:ascii="Times New Roman" w:hAnsi="Times New Roman" w:eastAsia="宋体" w:cs="Times New Roman"/>
                <w:b w:val="0"/>
                <w:bCs w:val="0"/>
                <w:color w:val="auto"/>
                <w:spacing w:val="0"/>
                <w:sz w:val="24"/>
                <w:u w:val="none" w:color="auto"/>
                <w:lang w:val="en-US" w:eastAsia="zh-CN"/>
              </w:rPr>
              <w:t>建设单位拟配套TA012废气处理系统：干湿分离器+二级活性炭吸附处理+15m高排气筒，设置风量为5000m</w:t>
            </w:r>
            <w:r>
              <w:rPr>
                <w:rFonts w:hint="default" w:ascii="Times New Roman" w:hAnsi="Times New Roman" w:eastAsia="宋体" w:cs="Times New Roman"/>
                <w:b w:val="0"/>
                <w:bCs w:val="0"/>
                <w:color w:val="auto"/>
                <w:spacing w:val="0"/>
                <w:sz w:val="24"/>
                <w:u w:val="none" w:color="auto"/>
                <w:vertAlign w:val="superscript"/>
                <w:lang w:val="en-US" w:eastAsia="zh-CN"/>
              </w:rPr>
              <w:t>3</w:t>
            </w:r>
            <w:r>
              <w:rPr>
                <w:rFonts w:hint="default" w:ascii="Times New Roman" w:hAnsi="Times New Roman" w:eastAsia="宋体" w:cs="Times New Roman"/>
                <w:b w:val="0"/>
                <w:bCs w:val="0"/>
                <w:color w:val="auto"/>
                <w:spacing w:val="0"/>
                <w:sz w:val="24"/>
                <w:u w:val="none" w:color="auto"/>
                <w:lang w:val="en-US" w:eastAsia="zh-CN"/>
              </w:rPr>
              <w:t>/h。集气管道直接连接各类</w:t>
            </w:r>
            <w:r>
              <w:rPr>
                <w:rFonts w:hint="default" w:ascii="Times New Roman" w:hAnsi="Times New Roman" w:eastAsia="宋体" w:cs="Times New Roman"/>
                <w:color w:val="auto"/>
                <w:kern w:val="0"/>
                <w:sz w:val="24"/>
                <w:u w:val="none" w:color="auto"/>
                <w:lang w:val="en-US" w:eastAsia="zh-CN"/>
              </w:rPr>
              <w:t>浸渗罐进行密闭收集，抽气时会形成微负压，但考虑到在工艺结束后续开启罐盖打破负压状态，因此</w:t>
            </w:r>
            <w:r>
              <w:rPr>
                <w:rFonts w:hint="default" w:ascii="Times New Roman" w:hAnsi="Times New Roman" w:eastAsia="宋体" w:cs="Times New Roman"/>
                <w:color w:val="auto"/>
                <w:sz w:val="24"/>
                <w:u w:val="none" w:color="auto"/>
              </w:rPr>
              <w:t>参考《主要污染物总量减排核算技术指南（2022年修订）》中表2-3废气收集率通用系数</w:t>
            </w:r>
            <w:r>
              <w:rPr>
                <w:rFonts w:hint="default" w:ascii="Times New Roman" w:hAnsi="Times New Roman" w:eastAsia="宋体" w:cs="Times New Roman"/>
                <w:color w:val="auto"/>
                <w:sz w:val="24"/>
                <w:u w:val="none" w:color="auto"/>
                <w:lang w:val="en-US" w:eastAsia="zh-CN"/>
              </w:rPr>
              <w:t>的密闭空间（正压）状态收集效率按80%计，活性炭吸附效率按一次性活性炭吸附（不再生）的15%处理效率，两级活性炭吸附效率按27.75%，则污染物排放情况如下：</w:t>
            </w:r>
          </w:p>
          <w:p w14:paraId="329BCCFB">
            <w:pPr>
              <w:jc w:val="center"/>
              <w:rPr>
                <w:rFonts w:hint="default" w:ascii="Times New Roman" w:hAnsi="Times New Roman" w:eastAsia="宋体" w:cs="Times New Roman"/>
                <w:b/>
                <w:bCs/>
                <w:color w:val="auto"/>
                <w:u w:val="none" w:color="auto"/>
                <w:lang w:val="en-US" w:eastAsia="zh-CN"/>
              </w:rPr>
            </w:pPr>
            <w:r>
              <w:rPr>
                <w:rFonts w:hint="default" w:ascii="Times New Roman" w:hAnsi="Times New Roman" w:eastAsia="宋体" w:cs="Times New Roman"/>
                <w:b/>
                <w:bCs/>
                <w:color w:val="auto"/>
                <w:u w:val="none" w:color="auto"/>
                <w:lang w:val="en-US" w:eastAsia="zh-CN"/>
              </w:rPr>
              <w:t>表4-12  源强最大情形统计分析表</w:t>
            </w:r>
          </w:p>
          <w:tbl>
            <w:tblPr>
              <w:tblStyle w:val="32"/>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543"/>
              <w:gridCol w:w="1220"/>
              <w:gridCol w:w="1220"/>
              <w:gridCol w:w="1220"/>
              <w:gridCol w:w="1656"/>
              <w:gridCol w:w="1656"/>
            </w:tblGrid>
            <w:tr w14:paraId="3593151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3" w:hRule="atLeast"/>
              </w:trPr>
              <w:tc>
                <w:tcPr>
                  <w:tcW w:w="906" w:type="pct"/>
                  <w:vMerge w:val="restart"/>
                  <w:tcBorders>
                    <w:tl2br w:val="nil"/>
                    <w:tr2bl w:val="nil"/>
                  </w:tcBorders>
                  <w:shd w:val="clear" w:color="auto" w:fill="auto"/>
                  <w:vAlign w:val="center"/>
                </w:tcPr>
                <w:p w14:paraId="73C51566">
                  <w:pPr>
                    <w:jc w:val="center"/>
                    <w:rPr>
                      <w:rFonts w:hint="default" w:ascii="Times New Roman" w:hAnsi="Times New Roman" w:eastAsia="宋体" w:cs="Times New Roman"/>
                      <w:b/>
                      <w:bCs/>
                      <w:color w:val="auto"/>
                      <w:u w:val="none" w:color="auto"/>
                      <w:lang w:val="en-US" w:eastAsia="zh-CN"/>
                    </w:rPr>
                  </w:pPr>
                  <w:r>
                    <w:rPr>
                      <w:rFonts w:hint="default" w:ascii="Times New Roman" w:hAnsi="Times New Roman" w:eastAsia="宋体" w:cs="Times New Roman"/>
                      <w:b/>
                      <w:bCs/>
                      <w:color w:val="auto"/>
                      <w:u w:val="none" w:color="auto"/>
                    </w:rPr>
                    <w:t>污染物名称</w:t>
                  </w:r>
                </w:p>
              </w:tc>
              <w:tc>
                <w:tcPr>
                  <w:tcW w:w="2148" w:type="pct"/>
                  <w:gridSpan w:val="3"/>
                  <w:tcBorders>
                    <w:tl2br w:val="nil"/>
                    <w:tr2bl w:val="nil"/>
                  </w:tcBorders>
                  <w:vAlign w:val="center"/>
                </w:tcPr>
                <w:p w14:paraId="7EF7ECFA">
                  <w:pPr>
                    <w:jc w:val="center"/>
                    <w:rPr>
                      <w:rFonts w:hint="default" w:ascii="Times New Roman" w:hAnsi="Times New Roman" w:eastAsia="宋体" w:cs="Times New Roman"/>
                      <w:b/>
                      <w:bCs/>
                      <w:color w:val="auto"/>
                      <w:u w:val="none" w:color="auto"/>
                      <w:lang w:val="en-US" w:eastAsia="zh-CN"/>
                    </w:rPr>
                  </w:pPr>
                  <w:r>
                    <w:rPr>
                      <w:rFonts w:hint="default" w:ascii="Times New Roman" w:hAnsi="Times New Roman" w:eastAsia="宋体" w:cs="Times New Roman"/>
                      <w:b/>
                      <w:bCs/>
                      <w:color w:val="auto"/>
                      <w:u w:val="none" w:color="auto"/>
                      <w:lang w:val="en-US" w:eastAsia="zh-CN"/>
                    </w:rPr>
                    <w:t>DA012有组织排放情况</w:t>
                  </w:r>
                </w:p>
              </w:tc>
              <w:tc>
                <w:tcPr>
                  <w:tcW w:w="972" w:type="pct"/>
                  <w:vMerge w:val="restart"/>
                  <w:tcBorders>
                    <w:tl2br w:val="nil"/>
                    <w:tr2bl w:val="nil"/>
                  </w:tcBorders>
                  <w:vAlign w:val="center"/>
                </w:tcPr>
                <w:p w14:paraId="1A46198F">
                  <w:pPr>
                    <w:jc w:val="center"/>
                    <w:rPr>
                      <w:rFonts w:hint="default" w:ascii="Times New Roman" w:hAnsi="Times New Roman" w:eastAsia="宋体" w:cs="Times New Roman"/>
                      <w:b/>
                      <w:bCs/>
                      <w:color w:val="auto"/>
                      <w:u w:val="none" w:color="auto"/>
                      <w:lang w:val="en-US" w:eastAsia="zh-CN"/>
                    </w:rPr>
                  </w:pPr>
                  <w:r>
                    <w:rPr>
                      <w:rFonts w:hint="default" w:ascii="Times New Roman" w:hAnsi="Times New Roman" w:eastAsia="宋体" w:cs="Times New Roman"/>
                      <w:b/>
                      <w:bCs/>
                      <w:color w:val="auto"/>
                      <w:u w:val="none" w:color="auto"/>
                      <w:lang w:val="en-US" w:eastAsia="zh-CN"/>
                    </w:rPr>
                    <w:t>无组织排放速率kg/h</w:t>
                  </w:r>
                </w:p>
              </w:tc>
              <w:tc>
                <w:tcPr>
                  <w:tcW w:w="972" w:type="pct"/>
                  <w:vMerge w:val="restart"/>
                  <w:tcBorders>
                    <w:tl2br w:val="nil"/>
                    <w:tr2bl w:val="nil"/>
                  </w:tcBorders>
                  <w:vAlign w:val="center"/>
                </w:tcPr>
                <w:p w14:paraId="53316535">
                  <w:pPr>
                    <w:jc w:val="center"/>
                    <w:rPr>
                      <w:rFonts w:hint="default" w:ascii="Times New Roman" w:hAnsi="Times New Roman" w:eastAsia="宋体" w:cs="Times New Roman"/>
                      <w:b/>
                      <w:bCs/>
                      <w:color w:val="auto"/>
                      <w:u w:val="none" w:color="auto"/>
                      <w:lang w:val="en-US" w:eastAsia="zh-CN"/>
                    </w:rPr>
                  </w:pPr>
                  <w:r>
                    <w:rPr>
                      <w:rFonts w:hint="default" w:ascii="Times New Roman" w:hAnsi="Times New Roman" w:eastAsia="宋体" w:cs="Times New Roman"/>
                      <w:b/>
                      <w:bCs/>
                      <w:color w:val="auto"/>
                      <w:u w:val="none" w:color="auto"/>
                      <w:lang w:val="en-US" w:eastAsia="zh-CN"/>
                    </w:rPr>
                    <w:t>无组织排放量t/a</w:t>
                  </w:r>
                </w:p>
              </w:tc>
            </w:tr>
            <w:tr w14:paraId="7CD5C94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3" w:hRule="atLeast"/>
              </w:trPr>
              <w:tc>
                <w:tcPr>
                  <w:tcW w:w="906" w:type="pct"/>
                  <w:vMerge w:val="continue"/>
                  <w:tcBorders>
                    <w:tl2br w:val="nil"/>
                    <w:tr2bl w:val="nil"/>
                  </w:tcBorders>
                  <w:shd w:val="clear" w:color="auto" w:fill="auto"/>
                  <w:vAlign w:val="center"/>
                </w:tcPr>
                <w:p w14:paraId="06A3DD39">
                  <w:pPr>
                    <w:jc w:val="center"/>
                    <w:rPr>
                      <w:rFonts w:hint="default" w:ascii="Times New Roman" w:hAnsi="Times New Roman" w:eastAsia="宋体" w:cs="Times New Roman"/>
                      <w:color w:val="auto"/>
                      <w:u w:val="none" w:color="auto"/>
                    </w:rPr>
                  </w:pPr>
                </w:p>
              </w:tc>
              <w:tc>
                <w:tcPr>
                  <w:tcW w:w="716" w:type="pct"/>
                  <w:tcBorders>
                    <w:tl2br w:val="nil"/>
                    <w:tr2bl w:val="nil"/>
                  </w:tcBorders>
                  <w:vAlign w:val="center"/>
                </w:tcPr>
                <w:p w14:paraId="13CA92B7">
                  <w:pPr>
                    <w:jc w:val="center"/>
                    <w:rPr>
                      <w:rFonts w:hint="default" w:ascii="Times New Roman" w:hAnsi="Times New Roman" w:eastAsia="宋体" w:cs="Times New Roman"/>
                      <w:b/>
                      <w:bCs/>
                      <w:color w:val="auto"/>
                      <w:u w:val="none" w:color="auto"/>
                      <w:lang w:val="en-US" w:eastAsia="zh-CN"/>
                    </w:rPr>
                  </w:pPr>
                  <w:r>
                    <w:rPr>
                      <w:rFonts w:hint="default" w:ascii="Times New Roman" w:hAnsi="Times New Roman" w:eastAsia="宋体" w:cs="Times New Roman"/>
                      <w:b/>
                      <w:bCs/>
                      <w:color w:val="auto"/>
                      <w:u w:val="none" w:color="auto"/>
                      <w:lang w:val="en-US" w:eastAsia="zh-CN"/>
                    </w:rPr>
                    <w:t>排放量</w:t>
                  </w:r>
                </w:p>
                <w:p w14:paraId="350ED1D5">
                  <w:pPr>
                    <w:jc w:val="center"/>
                    <w:rPr>
                      <w:rFonts w:hint="default" w:ascii="Times New Roman" w:hAnsi="Times New Roman" w:eastAsia="宋体" w:cs="Times New Roman"/>
                      <w:b/>
                      <w:bCs/>
                      <w:color w:val="auto"/>
                      <w:u w:val="none" w:color="auto"/>
                      <w:lang w:val="en-US" w:eastAsia="zh-CN"/>
                    </w:rPr>
                  </w:pPr>
                  <w:r>
                    <w:rPr>
                      <w:rFonts w:hint="default" w:ascii="Times New Roman" w:hAnsi="Times New Roman" w:eastAsia="宋体" w:cs="Times New Roman"/>
                      <w:b/>
                      <w:bCs/>
                      <w:color w:val="auto"/>
                      <w:u w:val="none" w:color="auto"/>
                      <w:lang w:val="en-US" w:eastAsia="zh-CN"/>
                    </w:rPr>
                    <w:t>t/a</w:t>
                  </w:r>
                </w:p>
              </w:tc>
              <w:tc>
                <w:tcPr>
                  <w:tcW w:w="716" w:type="pct"/>
                  <w:tcBorders>
                    <w:tl2br w:val="nil"/>
                    <w:tr2bl w:val="nil"/>
                  </w:tcBorders>
                  <w:vAlign w:val="center"/>
                </w:tcPr>
                <w:p w14:paraId="4B29F946">
                  <w:pPr>
                    <w:jc w:val="center"/>
                    <w:rPr>
                      <w:rFonts w:hint="default" w:ascii="Times New Roman" w:hAnsi="Times New Roman" w:eastAsia="宋体" w:cs="Times New Roman"/>
                      <w:b/>
                      <w:bCs/>
                      <w:color w:val="auto"/>
                      <w:u w:val="none" w:color="auto"/>
                      <w:lang w:val="en-US" w:eastAsia="zh-CN"/>
                    </w:rPr>
                  </w:pPr>
                  <w:r>
                    <w:rPr>
                      <w:rFonts w:hint="default" w:ascii="Times New Roman" w:hAnsi="Times New Roman" w:eastAsia="宋体" w:cs="Times New Roman"/>
                      <w:b/>
                      <w:bCs/>
                      <w:color w:val="auto"/>
                      <w:u w:val="none" w:color="auto"/>
                      <w:lang w:val="en-US" w:eastAsia="zh-CN"/>
                    </w:rPr>
                    <w:t>排放速率kg/h</w:t>
                  </w:r>
                </w:p>
              </w:tc>
              <w:tc>
                <w:tcPr>
                  <w:tcW w:w="716" w:type="pct"/>
                  <w:tcBorders>
                    <w:tl2br w:val="nil"/>
                    <w:tr2bl w:val="nil"/>
                  </w:tcBorders>
                  <w:vAlign w:val="center"/>
                </w:tcPr>
                <w:p w14:paraId="748EE5FB">
                  <w:pPr>
                    <w:jc w:val="center"/>
                    <w:rPr>
                      <w:rFonts w:hint="default" w:ascii="Times New Roman" w:hAnsi="Times New Roman" w:eastAsia="宋体" w:cs="Times New Roman"/>
                      <w:b/>
                      <w:bCs/>
                      <w:color w:val="auto"/>
                      <w:u w:val="none" w:color="auto"/>
                      <w:lang w:val="en-US" w:eastAsia="zh-CN"/>
                    </w:rPr>
                  </w:pPr>
                  <w:r>
                    <w:rPr>
                      <w:rFonts w:hint="default" w:ascii="Times New Roman" w:hAnsi="Times New Roman" w:eastAsia="宋体" w:cs="Times New Roman"/>
                      <w:b/>
                      <w:bCs/>
                      <w:color w:val="auto"/>
                      <w:u w:val="none" w:color="auto"/>
                      <w:lang w:val="en-US" w:eastAsia="zh-CN"/>
                    </w:rPr>
                    <w:t>排放浓度mg/m</w:t>
                  </w:r>
                  <w:r>
                    <w:rPr>
                      <w:rFonts w:hint="default" w:ascii="Times New Roman" w:hAnsi="Times New Roman" w:eastAsia="宋体" w:cs="Times New Roman"/>
                      <w:b/>
                      <w:bCs/>
                      <w:color w:val="auto"/>
                      <w:u w:val="none" w:color="auto"/>
                      <w:vertAlign w:val="superscript"/>
                      <w:lang w:val="en-US" w:eastAsia="zh-CN"/>
                    </w:rPr>
                    <w:t>3</w:t>
                  </w:r>
                </w:p>
              </w:tc>
              <w:tc>
                <w:tcPr>
                  <w:tcW w:w="972" w:type="pct"/>
                  <w:vMerge w:val="continue"/>
                  <w:tcBorders>
                    <w:tl2br w:val="nil"/>
                    <w:tr2bl w:val="nil"/>
                  </w:tcBorders>
                  <w:vAlign w:val="center"/>
                </w:tcPr>
                <w:p w14:paraId="6754724B">
                  <w:pPr>
                    <w:jc w:val="center"/>
                    <w:rPr>
                      <w:rFonts w:hint="default" w:ascii="Times New Roman" w:hAnsi="Times New Roman" w:eastAsia="宋体" w:cs="Times New Roman"/>
                      <w:color w:val="auto"/>
                      <w:u w:val="none" w:color="auto"/>
                    </w:rPr>
                  </w:pPr>
                </w:p>
              </w:tc>
              <w:tc>
                <w:tcPr>
                  <w:tcW w:w="972" w:type="pct"/>
                  <w:vMerge w:val="continue"/>
                  <w:tcBorders>
                    <w:tl2br w:val="nil"/>
                    <w:tr2bl w:val="nil"/>
                  </w:tcBorders>
                  <w:vAlign w:val="center"/>
                </w:tcPr>
                <w:p w14:paraId="499229D9">
                  <w:pPr>
                    <w:jc w:val="center"/>
                    <w:rPr>
                      <w:rFonts w:hint="default" w:ascii="Times New Roman" w:hAnsi="Times New Roman" w:eastAsia="宋体" w:cs="Times New Roman"/>
                      <w:color w:val="auto"/>
                      <w:u w:val="none" w:color="auto"/>
                    </w:rPr>
                  </w:pPr>
                </w:p>
              </w:tc>
            </w:tr>
            <w:tr w14:paraId="59BE859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82" w:hRule="atLeast"/>
              </w:trPr>
              <w:tc>
                <w:tcPr>
                  <w:tcW w:w="906" w:type="pct"/>
                  <w:tcBorders>
                    <w:tl2br w:val="nil"/>
                    <w:tr2bl w:val="nil"/>
                  </w:tcBorders>
                  <w:shd w:val="clear" w:color="auto" w:fill="auto"/>
                  <w:vAlign w:val="center"/>
                </w:tcPr>
                <w:p w14:paraId="4513090F">
                  <w:pPr>
                    <w:jc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非甲烷总烃</w:t>
                  </w:r>
                </w:p>
              </w:tc>
              <w:tc>
                <w:tcPr>
                  <w:tcW w:w="716" w:type="pct"/>
                  <w:tcBorders>
                    <w:tl2br w:val="nil"/>
                    <w:tr2bl w:val="nil"/>
                  </w:tcBorders>
                  <w:vAlign w:val="center"/>
                </w:tcPr>
                <w:p w14:paraId="610F3972">
                  <w:pPr>
                    <w:keepNext w:val="0"/>
                    <w:keepLines w:val="0"/>
                    <w:widowControl/>
                    <w:suppressLineNumbers w:val="0"/>
                    <w:jc w:val="center"/>
                    <w:textAlignment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0.0539</w:t>
                  </w:r>
                </w:p>
              </w:tc>
              <w:tc>
                <w:tcPr>
                  <w:tcW w:w="716" w:type="pct"/>
                  <w:tcBorders>
                    <w:tl2br w:val="nil"/>
                    <w:tr2bl w:val="nil"/>
                  </w:tcBorders>
                  <w:vAlign w:val="center"/>
                </w:tcPr>
                <w:p w14:paraId="4BFF6E8D">
                  <w:pPr>
                    <w:keepNext w:val="0"/>
                    <w:keepLines w:val="0"/>
                    <w:widowControl/>
                    <w:suppressLineNumbers w:val="0"/>
                    <w:jc w:val="center"/>
                    <w:textAlignment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0.0342</w:t>
                  </w:r>
                </w:p>
              </w:tc>
              <w:tc>
                <w:tcPr>
                  <w:tcW w:w="716" w:type="pct"/>
                  <w:tcBorders>
                    <w:tl2br w:val="nil"/>
                    <w:tr2bl w:val="nil"/>
                  </w:tcBorders>
                  <w:vAlign w:val="center"/>
                </w:tcPr>
                <w:p w14:paraId="22A6EF1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6.84</w:t>
                  </w:r>
                </w:p>
              </w:tc>
              <w:tc>
                <w:tcPr>
                  <w:tcW w:w="972" w:type="pct"/>
                  <w:tcBorders>
                    <w:tl2br w:val="nil"/>
                    <w:tr2bl w:val="nil"/>
                  </w:tcBorders>
                  <w:vAlign w:val="center"/>
                </w:tcPr>
                <w:p w14:paraId="57291EE5">
                  <w:pPr>
                    <w:keepNext w:val="0"/>
                    <w:keepLines w:val="0"/>
                    <w:widowControl/>
                    <w:suppressLineNumbers w:val="0"/>
                    <w:jc w:val="center"/>
                    <w:textAlignment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0.0118</w:t>
                  </w:r>
                </w:p>
              </w:tc>
              <w:tc>
                <w:tcPr>
                  <w:tcW w:w="972" w:type="pct"/>
                  <w:tcBorders>
                    <w:tl2br w:val="nil"/>
                    <w:tr2bl w:val="nil"/>
                  </w:tcBorders>
                  <w:vAlign w:val="center"/>
                </w:tcPr>
                <w:p w14:paraId="6089CEB8">
                  <w:pPr>
                    <w:keepNext w:val="0"/>
                    <w:keepLines w:val="0"/>
                    <w:widowControl/>
                    <w:suppressLineNumbers w:val="0"/>
                    <w:jc w:val="center"/>
                    <w:textAlignment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0.0187</w:t>
                  </w:r>
                </w:p>
              </w:tc>
            </w:tr>
          </w:tbl>
          <w:p w14:paraId="1EE890D0">
            <w:pPr>
              <w:pStyle w:val="2"/>
              <w:snapToGrid/>
              <w:spacing w:before="0" w:after="0" w:line="360" w:lineRule="auto"/>
              <w:ind w:right="0" w:firstLine="482" w:firstLineChars="200"/>
              <w:rPr>
                <w:rFonts w:hint="default" w:ascii="Times New Roman" w:hAnsi="Times New Roman" w:eastAsia="宋体" w:cs="Times New Roman"/>
                <w:b/>
                <w:bCs/>
                <w:color w:val="auto"/>
                <w:spacing w:val="0"/>
                <w:sz w:val="24"/>
                <w:u w:val="none" w:color="auto"/>
                <w:lang w:val="en-US" w:eastAsia="zh-CN"/>
              </w:rPr>
            </w:pPr>
            <w:r>
              <w:rPr>
                <w:rFonts w:hint="default" w:ascii="Times New Roman" w:hAnsi="Times New Roman" w:eastAsia="宋体" w:cs="Times New Roman"/>
                <w:b/>
                <w:bCs/>
                <w:color w:val="auto"/>
                <w:spacing w:val="0"/>
                <w:sz w:val="24"/>
                <w:u w:val="none" w:color="auto"/>
                <w:lang w:val="en-US" w:eastAsia="zh-CN"/>
              </w:rPr>
              <w:t>⑤CNC粗/精加工油雾废气（G9）</w:t>
            </w:r>
          </w:p>
          <w:p w14:paraId="0D7BA191">
            <w:pPr>
              <w:pStyle w:val="2"/>
              <w:snapToGrid/>
              <w:spacing w:before="0" w:after="0" w:line="360" w:lineRule="auto"/>
              <w:ind w:right="0" w:firstLine="480" w:firstLineChars="200"/>
              <w:rPr>
                <w:rFonts w:hint="default" w:ascii="Times New Roman" w:hAnsi="Times New Roman" w:eastAsia="宋体" w:cs="Times New Roman"/>
                <w:color w:val="auto"/>
                <w:kern w:val="0"/>
                <w:sz w:val="24"/>
                <w:u w:val="none" w:color="auto"/>
                <w:lang w:val="en-US" w:eastAsia="zh-CN"/>
              </w:rPr>
            </w:pPr>
            <w:r>
              <w:rPr>
                <w:rFonts w:hint="default" w:ascii="Times New Roman" w:hAnsi="Times New Roman" w:eastAsia="宋体" w:cs="Times New Roman"/>
                <w:color w:val="auto"/>
                <w:sz w:val="24"/>
                <w:u w:val="none" w:color="auto"/>
              </w:rPr>
              <w:t>CNC粗/精</w:t>
            </w:r>
            <w:r>
              <w:rPr>
                <w:rFonts w:hint="default" w:ascii="Times New Roman" w:hAnsi="Times New Roman" w:eastAsia="宋体" w:cs="Times New Roman"/>
                <w:color w:val="auto"/>
                <w:kern w:val="0"/>
                <w:sz w:val="24"/>
                <w:u w:val="none" w:color="auto"/>
              </w:rPr>
              <w:t>加工工序每天运行</w:t>
            </w:r>
            <w:r>
              <w:rPr>
                <w:rFonts w:hint="default" w:ascii="Times New Roman" w:hAnsi="Times New Roman" w:eastAsia="宋体" w:cs="Times New Roman"/>
                <w:color w:val="auto"/>
                <w:kern w:val="0"/>
                <w:sz w:val="24"/>
                <w:u w:val="none" w:color="auto"/>
                <w:lang w:val="en-US" w:eastAsia="zh-CN"/>
              </w:rPr>
              <w:t>8</w:t>
            </w:r>
            <w:r>
              <w:rPr>
                <w:rFonts w:hint="default" w:ascii="Times New Roman" w:hAnsi="Times New Roman" w:eastAsia="宋体" w:cs="Times New Roman"/>
                <w:color w:val="auto"/>
                <w:kern w:val="0"/>
                <w:sz w:val="24"/>
                <w:u w:val="none" w:color="auto"/>
              </w:rPr>
              <w:t>h，年运行时间为</w:t>
            </w:r>
            <w:r>
              <w:rPr>
                <w:rFonts w:hint="default" w:ascii="Times New Roman" w:hAnsi="Times New Roman" w:eastAsia="宋体" w:cs="Times New Roman"/>
                <w:color w:val="auto"/>
                <w:kern w:val="0"/>
                <w:sz w:val="24"/>
                <w:u w:val="none" w:color="auto"/>
                <w:lang w:val="en-US" w:eastAsia="zh-CN"/>
              </w:rPr>
              <w:t>24</w:t>
            </w:r>
            <w:r>
              <w:rPr>
                <w:rFonts w:hint="default" w:ascii="Times New Roman" w:hAnsi="Times New Roman" w:eastAsia="宋体" w:cs="Times New Roman"/>
                <w:color w:val="auto"/>
                <w:kern w:val="0"/>
                <w:sz w:val="24"/>
                <w:u w:val="none" w:color="auto"/>
              </w:rPr>
              <w:t>00h</w:t>
            </w:r>
            <w:r>
              <w:rPr>
                <w:rFonts w:hint="default" w:ascii="Times New Roman" w:hAnsi="Times New Roman" w:eastAsia="宋体" w:cs="Times New Roman"/>
                <w:color w:val="auto"/>
                <w:kern w:val="0"/>
                <w:sz w:val="24"/>
                <w:u w:val="none" w:color="auto"/>
                <w:lang w:eastAsia="zh-CN"/>
              </w:rPr>
              <w:t>。</w:t>
            </w:r>
            <w:r>
              <w:rPr>
                <w:rFonts w:hint="default" w:ascii="Times New Roman" w:hAnsi="Times New Roman" w:eastAsia="宋体" w:cs="Times New Roman"/>
                <w:color w:val="auto"/>
                <w:sz w:val="24"/>
                <w:u w:val="none" w:color="auto"/>
              </w:rPr>
              <w:t>CNC粗/精加工设备使用切削液进行冷却和润滑</w:t>
            </w:r>
            <w:r>
              <w:rPr>
                <w:rFonts w:hint="default" w:ascii="Times New Roman" w:hAnsi="Times New Roman" w:eastAsia="宋体" w:cs="Times New Roman"/>
                <w:color w:val="auto"/>
                <w:sz w:val="24"/>
                <w:u w:val="none" w:color="auto"/>
                <w:lang w:eastAsia="zh-CN"/>
              </w:rPr>
              <w:t>，</w:t>
            </w:r>
            <w:r>
              <w:rPr>
                <w:rFonts w:hint="default" w:ascii="Times New Roman" w:hAnsi="Times New Roman" w:eastAsia="宋体" w:cs="Times New Roman"/>
                <w:color w:val="auto"/>
                <w:sz w:val="24"/>
                <w:u w:val="none" w:color="auto"/>
                <w:lang w:val="en-US" w:eastAsia="zh-CN"/>
              </w:rPr>
              <w:t>因此不会产生金属颗粒物，但加工</w:t>
            </w:r>
            <w:r>
              <w:rPr>
                <w:rFonts w:hint="default" w:ascii="Times New Roman" w:hAnsi="Times New Roman" w:eastAsia="宋体" w:cs="Times New Roman"/>
                <w:color w:val="auto"/>
                <w:sz w:val="24"/>
                <w:u w:val="none" w:color="auto"/>
              </w:rPr>
              <w:t>过程中挥发产生一定量的挥发油雾废气，</w:t>
            </w:r>
            <w:r>
              <w:rPr>
                <w:rFonts w:hint="default" w:ascii="Times New Roman" w:hAnsi="Times New Roman" w:eastAsia="宋体" w:cs="Times New Roman"/>
                <w:color w:val="auto"/>
                <w:kern w:val="0"/>
                <w:sz w:val="24"/>
                <w:u w:val="none" w:color="auto"/>
                <w:lang w:val="en-US" w:eastAsia="zh-CN"/>
              </w:rPr>
              <w:t>根据油雾属于切削液经高频振动后产生的颗粒状的液态物质，但切削液主要还有一定量的挥发性有机物，还具备一定的挥发性，其在一定状态下可全部转换为挥发性有机废气，本次评价从严考虑该油雾以非甲烷总烃表征。</w:t>
            </w:r>
          </w:p>
          <w:p w14:paraId="08A27362">
            <w:pPr>
              <w:spacing w:line="360" w:lineRule="auto"/>
              <w:ind w:firstLine="480" w:firstLineChars="200"/>
              <w:rPr>
                <w:rFonts w:hint="default" w:ascii="Times New Roman" w:hAnsi="Times New Roman" w:eastAsia="宋体" w:cs="Times New Roman"/>
                <w:color w:val="auto"/>
                <w:kern w:val="0"/>
                <w:sz w:val="24"/>
                <w:u w:val="none" w:color="auto"/>
              </w:rPr>
            </w:pPr>
            <w:r>
              <w:rPr>
                <w:rFonts w:hint="default" w:ascii="Times New Roman" w:hAnsi="Times New Roman" w:eastAsia="宋体" w:cs="Times New Roman"/>
                <w:color w:val="auto"/>
                <w:kern w:val="0"/>
                <w:sz w:val="24"/>
                <w:u w:val="none" w:color="auto"/>
              </w:rPr>
              <w:t>产生源强参照《排放源统计调查产排污核算方法和系数手册》(2021版)中“机械行业系数手册”，切削液在湿件机加工中产生的废气挥发性有机物产污系数为5.64kg/t-原料</w:t>
            </w:r>
            <w:r>
              <w:rPr>
                <w:rFonts w:hint="default" w:ascii="Times New Roman" w:hAnsi="Times New Roman" w:eastAsia="宋体" w:cs="Times New Roman"/>
                <w:color w:val="auto"/>
                <w:kern w:val="0"/>
                <w:sz w:val="24"/>
                <w:u w:val="none" w:color="auto"/>
                <w:lang w:eastAsia="zh-CN"/>
              </w:rPr>
              <w:t>，</w:t>
            </w:r>
            <w:r>
              <w:rPr>
                <w:rFonts w:hint="default" w:ascii="Times New Roman" w:hAnsi="Times New Roman" w:eastAsia="宋体" w:cs="Times New Roman"/>
                <w:color w:val="auto"/>
                <w:kern w:val="0"/>
                <w:sz w:val="24"/>
                <w:u w:val="none" w:color="auto"/>
                <w:lang w:val="en-US" w:eastAsia="zh-CN"/>
              </w:rPr>
              <w:t>根据设计单位提供的参数资料，在线用量为25t，经切削液过滤棉处理后循环使用，后期仅做补充。</w:t>
            </w:r>
            <w:r>
              <w:rPr>
                <w:rFonts w:hint="default" w:ascii="Times New Roman" w:hAnsi="Times New Roman" w:eastAsia="宋体" w:cs="Times New Roman"/>
                <w:color w:val="auto"/>
                <w:kern w:val="0"/>
                <w:sz w:val="24"/>
                <w:u w:val="none" w:color="auto"/>
              </w:rPr>
              <w:t>经计算，油雾废气中挥发性有机物产生量为</w:t>
            </w:r>
            <w:r>
              <w:rPr>
                <w:rFonts w:hint="default" w:ascii="Times New Roman" w:hAnsi="Times New Roman" w:eastAsia="宋体" w:cs="Times New Roman"/>
                <w:color w:val="auto"/>
                <w:kern w:val="0"/>
                <w:sz w:val="24"/>
                <w:u w:val="none" w:color="auto"/>
                <w:lang w:val="en-US" w:eastAsia="zh-CN"/>
              </w:rPr>
              <w:t>0.141t</w:t>
            </w:r>
            <w:r>
              <w:rPr>
                <w:rFonts w:hint="default" w:ascii="Times New Roman" w:hAnsi="Times New Roman" w:eastAsia="宋体" w:cs="Times New Roman"/>
                <w:color w:val="auto"/>
                <w:kern w:val="0"/>
                <w:sz w:val="24"/>
                <w:u w:val="none" w:color="auto"/>
              </w:rPr>
              <w:t>/a</w:t>
            </w:r>
            <w:r>
              <w:rPr>
                <w:rFonts w:hint="default" w:ascii="Times New Roman" w:hAnsi="Times New Roman" w:eastAsia="宋体" w:cs="Times New Roman"/>
                <w:color w:val="auto"/>
                <w:kern w:val="0"/>
                <w:sz w:val="24"/>
                <w:u w:val="none" w:color="auto"/>
                <w:lang w:eastAsia="zh-CN"/>
              </w:rPr>
              <w:t>、</w:t>
            </w:r>
            <w:r>
              <w:rPr>
                <w:rFonts w:hint="default" w:ascii="Times New Roman" w:hAnsi="Times New Roman" w:eastAsia="宋体" w:cs="Times New Roman"/>
                <w:color w:val="auto"/>
                <w:kern w:val="0"/>
                <w:sz w:val="24"/>
                <w:u w:val="none" w:color="auto"/>
                <w:lang w:val="en-US" w:eastAsia="zh-CN"/>
              </w:rPr>
              <w:t>0.0588kg/h</w:t>
            </w:r>
            <w:r>
              <w:rPr>
                <w:rFonts w:hint="default" w:ascii="Times New Roman" w:hAnsi="Times New Roman" w:eastAsia="宋体" w:cs="Times New Roman"/>
                <w:color w:val="auto"/>
                <w:kern w:val="0"/>
                <w:sz w:val="24"/>
                <w:u w:val="none" w:color="auto"/>
              </w:rPr>
              <w:t>。</w:t>
            </w:r>
          </w:p>
          <w:p w14:paraId="7C5E4409">
            <w:pPr>
              <w:pStyle w:val="2"/>
              <w:snapToGrid/>
              <w:spacing w:before="0" w:after="0" w:line="360" w:lineRule="auto"/>
              <w:ind w:right="0" w:firstLine="480" w:firstLineChars="200"/>
              <w:rPr>
                <w:rFonts w:hint="default" w:ascii="Times New Roman" w:hAnsi="Times New Roman" w:eastAsia="宋体" w:cs="Times New Roman"/>
                <w:color w:val="auto"/>
                <w:kern w:val="0"/>
                <w:sz w:val="24"/>
                <w:u w:val="none" w:color="auto"/>
                <w:lang w:val="en-US" w:eastAsia="zh-CN"/>
              </w:rPr>
            </w:pPr>
            <w:r>
              <w:rPr>
                <w:rFonts w:hint="default" w:ascii="Times New Roman" w:hAnsi="Times New Roman" w:eastAsia="宋体" w:cs="Times New Roman"/>
                <w:color w:val="auto"/>
                <w:kern w:val="0"/>
                <w:sz w:val="24"/>
                <w:u w:val="none" w:color="auto"/>
                <w:lang w:val="en-US" w:eastAsia="zh-CN"/>
              </w:rPr>
              <w:t>建设单位为</w:t>
            </w:r>
            <w:r>
              <w:rPr>
                <w:rFonts w:hint="default" w:ascii="Times New Roman" w:hAnsi="Times New Roman" w:eastAsia="宋体" w:cs="Times New Roman"/>
                <w:color w:val="auto"/>
                <w:sz w:val="24"/>
                <w:u w:val="none" w:color="auto"/>
              </w:rPr>
              <w:t>CNC粗/精加工</w:t>
            </w:r>
            <w:r>
              <w:rPr>
                <w:rFonts w:hint="default" w:ascii="Times New Roman" w:hAnsi="Times New Roman" w:eastAsia="宋体" w:cs="Times New Roman"/>
                <w:color w:val="auto"/>
                <w:kern w:val="0"/>
                <w:sz w:val="24"/>
                <w:u w:val="none" w:color="auto"/>
                <w:lang w:val="en-US" w:eastAsia="zh-CN"/>
              </w:rPr>
              <w:t>设备配套静电油雾分离器（每台设备单独配套1个），处理后车间内排放。目前</w:t>
            </w:r>
            <w:r>
              <w:rPr>
                <w:rFonts w:hint="default" w:ascii="Times New Roman" w:hAnsi="Times New Roman" w:eastAsia="宋体" w:cs="Times New Roman"/>
                <w:color w:val="auto"/>
                <w:kern w:val="0"/>
                <w:sz w:val="24"/>
                <w:u w:val="none" w:color="auto"/>
              </w:rPr>
              <w:t>《排放源统计调查产排污核算方法和系数手册》(2021版)中</w:t>
            </w:r>
            <w:r>
              <w:rPr>
                <w:rFonts w:hint="default" w:ascii="Times New Roman" w:hAnsi="Times New Roman" w:eastAsia="宋体" w:cs="Times New Roman"/>
                <w:color w:val="auto"/>
                <w:kern w:val="0"/>
                <w:sz w:val="24"/>
                <w:u w:val="none" w:color="auto"/>
                <w:lang w:val="en-US" w:eastAsia="zh-CN"/>
              </w:rPr>
              <w:t>尚无相关去除效率资料，建设单位提供的《临港高新产业园机加产线油雾净化机技术协议》（苏州咪呜环保科技有限公司）中的技术参数，去除效率≥99%，本次评价认为该去除效率过高，不予采纳。</w:t>
            </w:r>
          </w:p>
          <w:p w14:paraId="25599C8F">
            <w:pPr>
              <w:pStyle w:val="2"/>
              <w:snapToGrid/>
              <w:spacing w:before="0" w:after="0" w:line="360" w:lineRule="auto"/>
              <w:ind w:right="0" w:firstLine="480" w:firstLineChars="200"/>
              <w:rPr>
                <w:rFonts w:hint="default" w:ascii="Times New Roman" w:hAnsi="Times New Roman" w:eastAsia="宋体" w:cs="Times New Roman"/>
                <w:color w:val="auto"/>
                <w:kern w:val="0"/>
                <w:sz w:val="24"/>
                <w:u w:val="none" w:color="auto"/>
                <w:lang w:val="en-US" w:eastAsia="zh-CN"/>
              </w:rPr>
            </w:pPr>
            <w:r>
              <w:rPr>
                <w:rFonts w:hint="default" w:ascii="Times New Roman" w:hAnsi="Times New Roman" w:eastAsia="宋体" w:cs="Times New Roman"/>
                <w:color w:val="auto"/>
                <w:kern w:val="0"/>
                <w:sz w:val="24"/>
                <w:u w:val="none" w:color="auto"/>
                <w:lang w:val="en-US" w:eastAsia="zh-CN"/>
              </w:rPr>
              <w:t>静电油雾分离器通过高压电场（通常30–100kV）使油雾颗粒荷电并吸附至集尘极，其效率受粒径分布、电场强度及气流组织影响：对0.01-10μm颗粒高效捕集，尤其0.1-0.5μm颗粒因荷电充分，驱动力强，效率可达92-99%；＞10μm颗粒易被预过滤拦截（效率＞95%），极板材质（如316L不锈钢）和电压稳定性直接影响效率。电压降至额定值80%以下（如30kV→24kV）时，效率下降10-20%，效率下降至73.6%-79.2%，本次评价从严考虑按70%计。</w:t>
            </w:r>
          </w:p>
          <w:p w14:paraId="21420A26">
            <w:pPr>
              <w:pStyle w:val="2"/>
              <w:snapToGrid/>
              <w:spacing w:before="0" w:after="0" w:line="360" w:lineRule="auto"/>
              <w:ind w:right="0" w:firstLine="480" w:firstLineChars="200"/>
              <w:rPr>
                <w:rFonts w:hint="default" w:ascii="Times New Roman" w:hAnsi="Times New Roman" w:eastAsia="宋体" w:cs="Times New Roman"/>
                <w:b/>
                <w:bCs/>
                <w:color w:val="auto"/>
                <w:spacing w:val="0"/>
                <w:sz w:val="24"/>
                <w:u w:val="none" w:color="auto"/>
                <w:lang w:val="en-US" w:eastAsia="zh-CN"/>
              </w:rPr>
            </w:pPr>
            <w:r>
              <w:rPr>
                <w:rFonts w:hint="default" w:ascii="Times New Roman" w:hAnsi="Times New Roman" w:eastAsia="宋体" w:cs="Times New Roman"/>
                <w:color w:val="auto"/>
                <w:sz w:val="24"/>
                <w:u w:val="none" w:color="auto"/>
              </w:rPr>
              <w:t>CNC粗/精加工</w:t>
            </w:r>
            <w:r>
              <w:rPr>
                <w:rFonts w:hint="default" w:ascii="Times New Roman" w:hAnsi="Times New Roman" w:eastAsia="宋体" w:cs="Times New Roman"/>
                <w:color w:val="auto"/>
                <w:kern w:val="0"/>
                <w:sz w:val="24"/>
                <w:u w:val="none" w:color="auto"/>
                <w:lang w:val="en-US" w:eastAsia="zh-CN"/>
              </w:rPr>
              <w:t>设备产生的油雾直接通过集气管道在设备内部进行收集，通过抽风可形成微负压，但考虑到在工艺结束后续开启仓门打破负压状态，因此</w:t>
            </w:r>
            <w:r>
              <w:rPr>
                <w:rFonts w:hint="default" w:ascii="Times New Roman" w:hAnsi="Times New Roman" w:eastAsia="宋体" w:cs="Times New Roman"/>
                <w:color w:val="auto"/>
                <w:sz w:val="24"/>
                <w:u w:val="none" w:color="auto"/>
              </w:rPr>
              <w:t>参考《主要污染物总量减排核算技术指南（2022年修订）》中表2-3废气收集率通用系数</w:t>
            </w:r>
            <w:r>
              <w:rPr>
                <w:rFonts w:hint="default" w:ascii="Times New Roman" w:hAnsi="Times New Roman" w:eastAsia="宋体" w:cs="Times New Roman"/>
                <w:color w:val="auto"/>
                <w:sz w:val="24"/>
                <w:u w:val="none" w:color="auto"/>
                <w:lang w:val="en-US" w:eastAsia="zh-CN"/>
              </w:rPr>
              <w:t>的密闭空间（正压）状态收集效率按80%计。则污染物排放情况如下：</w:t>
            </w:r>
          </w:p>
          <w:p w14:paraId="007BCFF7">
            <w:pPr>
              <w:jc w:val="center"/>
              <w:rPr>
                <w:rFonts w:hint="default" w:ascii="Times New Roman" w:hAnsi="Times New Roman" w:eastAsia="宋体" w:cs="Times New Roman"/>
                <w:b/>
                <w:bCs/>
                <w:color w:val="auto"/>
                <w:u w:val="none" w:color="auto"/>
                <w:lang w:val="en-US" w:eastAsia="zh-CN"/>
              </w:rPr>
            </w:pPr>
            <w:r>
              <w:rPr>
                <w:rFonts w:hint="default" w:ascii="Times New Roman" w:hAnsi="Times New Roman" w:eastAsia="宋体" w:cs="Times New Roman"/>
                <w:b/>
                <w:bCs/>
                <w:color w:val="auto"/>
                <w:u w:val="none" w:color="auto"/>
                <w:lang w:val="en-US" w:eastAsia="zh-CN"/>
              </w:rPr>
              <w:t>表4-13  源强最大情形统计分析表</w:t>
            </w:r>
          </w:p>
          <w:tbl>
            <w:tblPr>
              <w:tblStyle w:val="32"/>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161"/>
              <w:gridCol w:w="1799"/>
              <w:gridCol w:w="2286"/>
              <w:gridCol w:w="3269"/>
            </w:tblGrid>
            <w:tr w14:paraId="5ED466A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738" w:type="pct"/>
                  <w:gridSpan w:val="2"/>
                  <w:tcBorders>
                    <w:tl2br w:val="nil"/>
                    <w:tr2bl w:val="nil"/>
                  </w:tcBorders>
                  <w:vAlign w:val="center"/>
                </w:tcPr>
                <w:p w14:paraId="53C9FE14">
                  <w:pPr>
                    <w:pStyle w:val="2"/>
                    <w:keepNext w:val="0"/>
                    <w:keepLines w:val="0"/>
                    <w:pageBreakBefore w:val="0"/>
                    <w:widowControl/>
                    <w:kinsoku/>
                    <w:wordWrap/>
                    <w:overflowPunct/>
                    <w:topLinePunct w:val="0"/>
                    <w:autoSpaceDE/>
                    <w:autoSpaceDN/>
                    <w:bidi w:val="0"/>
                    <w:adjustRightInd/>
                    <w:snapToGrid/>
                    <w:spacing w:before="0" w:after="0" w:line="240" w:lineRule="auto"/>
                    <w:jc w:val="center"/>
                    <w:rPr>
                      <w:rFonts w:hint="default" w:ascii="Times New Roman" w:hAnsi="Times New Roman" w:eastAsia="宋体" w:cs="Times New Roman"/>
                      <w:b/>
                      <w:bCs/>
                      <w:color w:val="auto"/>
                      <w:sz w:val="21"/>
                      <w:szCs w:val="21"/>
                      <w:u w:val="none" w:color="auto"/>
                      <w:vertAlign w:val="baseline"/>
                      <w:lang w:val="en-US" w:eastAsia="zh-CN"/>
                    </w:rPr>
                  </w:pPr>
                  <w:r>
                    <w:rPr>
                      <w:rFonts w:hint="default" w:ascii="Times New Roman" w:hAnsi="Times New Roman" w:eastAsia="宋体" w:cs="Times New Roman"/>
                      <w:b/>
                      <w:bCs/>
                      <w:color w:val="auto"/>
                      <w:sz w:val="21"/>
                      <w:szCs w:val="21"/>
                      <w:u w:val="none" w:color="auto"/>
                      <w:vertAlign w:val="baseline"/>
                      <w:lang w:val="en-US" w:eastAsia="zh-CN"/>
                    </w:rPr>
                    <w:t>排放形式及污染物</w:t>
                  </w:r>
                </w:p>
              </w:tc>
              <w:tc>
                <w:tcPr>
                  <w:tcW w:w="1342" w:type="pct"/>
                  <w:tcBorders>
                    <w:tl2br w:val="nil"/>
                    <w:tr2bl w:val="nil"/>
                  </w:tcBorders>
                  <w:vAlign w:val="center"/>
                </w:tcPr>
                <w:p w14:paraId="08F4499A">
                  <w:pPr>
                    <w:pStyle w:val="2"/>
                    <w:keepNext w:val="0"/>
                    <w:keepLines w:val="0"/>
                    <w:pageBreakBefore w:val="0"/>
                    <w:widowControl/>
                    <w:kinsoku/>
                    <w:wordWrap/>
                    <w:overflowPunct/>
                    <w:topLinePunct w:val="0"/>
                    <w:autoSpaceDE/>
                    <w:autoSpaceDN/>
                    <w:bidi w:val="0"/>
                    <w:adjustRightInd/>
                    <w:snapToGrid/>
                    <w:spacing w:before="0" w:after="0" w:line="240" w:lineRule="auto"/>
                    <w:jc w:val="center"/>
                    <w:rPr>
                      <w:rFonts w:hint="default" w:ascii="Times New Roman" w:hAnsi="Times New Roman" w:eastAsia="宋体" w:cs="Times New Roman"/>
                      <w:b/>
                      <w:bCs/>
                      <w:color w:val="auto"/>
                      <w:sz w:val="21"/>
                      <w:szCs w:val="21"/>
                      <w:u w:val="none" w:color="auto"/>
                      <w:vertAlign w:val="baseline"/>
                      <w:lang w:val="en-US" w:eastAsia="zh-CN"/>
                    </w:rPr>
                  </w:pPr>
                  <w:r>
                    <w:rPr>
                      <w:rFonts w:hint="default" w:ascii="Times New Roman" w:hAnsi="Times New Roman" w:eastAsia="宋体" w:cs="Times New Roman"/>
                      <w:b/>
                      <w:bCs/>
                      <w:color w:val="auto"/>
                      <w:sz w:val="21"/>
                      <w:szCs w:val="21"/>
                      <w:u w:val="none" w:color="auto"/>
                      <w:vertAlign w:val="baseline"/>
                      <w:lang w:val="en-US" w:eastAsia="zh-CN"/>
                    </w:rPr>
                    <w:t>排放速率（kg/h）</w:t>
                  </w:r>
                </w:p>
              </w:tc>
              <w:tc>
                <w:tcPr>
                  <w:tcW w:w="1919" w:type="pct"/>
                  <w:tcBorders>
                    <w:tl2br w:val="nil"/>
                    <w:tr2bl w:val="nil"/>
                  </w:tcBorders>
                  <w:vAlign w:val="center"/>
                </w:tcPr>
                <w:p w14:paraId="7F52A6FA">
                  <w:pPr>
                    <w:pStyle w:val="2"/>
                    <w:keepNext w:val="0"/>
                    <w:keepLines w:val="0"/>
                    <w:pageBreakBefore w:val="0"/>
                    <w:widowControl/>
                    <w:kinsoku/>
                    <w:wordWrap/>
                    <w:overflowPunct/>
                    <w:topLinePunct w:val="0"/>
                    <w:autoSpaceDE/>
                    <w:autoSpaceDN/>
                    <w:bidi w:val="0"/>
                    <w:adjustRightInd/>
                    <w:snapToGrid/>
                    <w:spacing w:before="0" w:after="0" w:line="240" w:lineRule="auto"/>
                    <w:jc w:val="center"/>
                    <w:rPr>
                      <w:rFonts w:hint="default" w:ascii="Times New Roman" w:hAnsi="Times New Roman" w:eastAsia="宋体" w:cs="Times New Roman"/>
                      <w:b/>
                      <w:bCs/>
                      <w:color w:val="auto"/>
                      <w:sz w:val="21"/>
                      <w:szCs w:val="21"/>
                      <w:u w:val="none" w:color="auto"/>
                      <w:vertAlign w:val="baseline"/>
                      <w:lang w:val="en-US" w:eastAsia="zh-CN"/>
                    </w:rPr>
                  </w:pPr>
                  <w:r>
                    <w:rPr>
                      <w:rFonts w:hint="default" w:ascii="Times New Roman" w:hAnsi="Times New Roman" w:eastAsia="宋体" w:cs="Times New Roman"/>
                      <w:b/>
                      <w:bCs/>
                      <w:color w:val="auto"/>
                      <w:sz w:val="21"/>
                      <w:szCs w:val="21"/>
                      <w:u w:val="none" w:color="auto"/>
                      <w:vertAlign w:val="baseline"/>
                      <w:lang w:val="en-US" w:eastAsia="zh-CN"/>
                    </w:rPr>
                    <w:t>排放量（t/a）</w:t>
                  </w:r>
                </w:p>
              </w:tc>
            </w:tr>
            <w:tr w14:paraId="039CF1D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82" w:type="pct"/>
                  <w:tcBorders>
                    <w:tl2br w:val="nil"/>
                    <w:tr2bl w:val="nil"/>
                  </w:tcBorders>
                  <w:vAlign w:val="center"/>
                </w:tcPr>
                <w:p w14:paraId="6F278DB0">
                  <w:pPr>
                    <w:pStyle w:val="2"/>
                    <w:keepNext w:val="0"/>
                    <w:keepLines w:val="0"/>
                    <w:pageBreakBefore w:val="0"/>
                    <w:widowControl/>
                    <w:kinsoku/>
                    <w:wordWrap/>
                    <w:overflowPunct/>
                    <w:topLinePunct w:val="0"/>
                    <w:autoSpaceDE/>
                    <w:autoSpaceDN/>
                    <w:bidi w:val="0"/>
                    <w:adjustRightInd/>
                    <w:snapToGrid/>
                    <w:spacing w:before="0" w:after="0" w:line="240" w:lineRule="auto"/>
                    <w:jc w:val="center"/>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无组织</w:t>
                  </w:r>
                </w:p>
              </w:tc>
              <w:tc>
                <w:tcPr>
                  <w:tcW w:w="1055" w:type="pct"/>
                  <w:tcBorders>
                    <w:tl2br w:val="nil"/>
                    <w:tr2bl w:val="nil"/>
                  </w:tcBorders>
                  <w:shd w:val="clear" w:color="auto" w:fill="auto"/>
                  <w:vAlign w:val="center"/>
                </w:tcPr>
                <w:p w14:paraId="44E983FF">
                  <w:pPr>
                    <w:pStyle w:val="2"/>
                    <w:keepNext w:val="0"/>
                    <w:keepLines w:val="0"/>
                    <w:pageBreakBefore w:val="0"/>
                    <w:widowControl/>
                    <w:kinsoku/>
                    <w:wordWrap/>
                    <w:overflowPunct/>
                    <w:topLinePunct w:val="0"/>
                    <w:autoSpaceDE/>
                    <w:autoSpaceDN/>
                    <w:bidi w:val="0"/>
                    <w:adjustRightInd/>
                    <w:snapToGrid/>
                    <w:spacing w:before="0" w:after="0" w:line="240" w:lineRule="auto"/>
                    <w:ind w:right="113" w:rightChars="0"/>
                    <w:jc w:val="center"/>
                    <w:rPr>
                      <w:rFonts w:hint="default" w:ascii="Times New Roman" w:hAnsi="Times New Roman" w:eastAsia="宋体" w:cs="Times New Roman"/>
                      <w:color w:val="auto"/>
                      <w:kern w:val="0"/>
                      <w:sz w:val="21"/>
                      <w:szCs w:val="21"/>
                      <w:u w:val="none" w:color="auto"/>
                      <w:vertAlign w:val="baseline"/>
                      <w:lang w:val="en-US" w:eastAsia="zh-CN" w:bidi="ar-SA"/>
                    </w:rPr>
                  </w:pPr>
                  <w:r>
                    <w:rPr>
                      <w:rFonts w:hint="default" w:ascii="Times New Roman" w:hAnsi="Times New Roman" w:eastAsia="宋体" w:cs="Times New Roman"/>
                      <w:color w:val="auto"/>
                      <w:sz w:val="21"/>
                      <w:szCs w:val="21"/>
                      <w:u w:val="none" w:color="auto"/>
                      <w:vertAlign w:val="baseline"/>
                      <w:lang w:val="en-US" w:eastAsia="zh-CN"/>
                    </w:rPr>
                    <w:t>油雾</w:t>
                  </w:r>
                </w:p>
              </w:tc>
              <w:tc>
                <w:tcPr>
                  <w:tcW w:w="1342" w:type="pct"/>
                  <w:tcBorders>
                    <w:tl2br w:val="nil"/>
                    <w:tr2bl w:val="nil"/>
                  </w:tcBorders>
                  <w:vAlign w:val="center"/>
                </w:tcPr>
                <w:p w14:paraId="40FF83C1">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top"/>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0.0258</w:t>
                  </w:r>
                </w:p>
              </w:tc>
              <w:tc>
                <w:tcPr>
                  <w:tcW w:w="1919" w:type="pct"/>
                  <w:tcBorders>
                    <w:tl2br w:val="nil"/>
                    <w:tr2bl w:val="nil"/>
                  </w:tcBorders>
                  <w:vAlign w:val="center"/>
                </w:tcPr>
                <w:p w14:paraId="0FCA545F">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top"/>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0.0620（经处理后排放量：0.0338、未被收集部分：0.0282）</w:t>
                  </w:r>
                </w:p>
              </w:tc>
            </w:tr>
          </w:tbl>
          <w:p w14:paraId="096B3BE2">
            <w:pPr>
              <w:pStyle w:val="2"/>
              <w:snapToGrid/>
              <w:spacing w:before="0" w:after="0" w:line="360" w:lineRule="auto"/>
              <w:ind w:right="0" w:firstLine="482" w:firstLineChars="200"/>
              <w:rPr>
                <w:rFonts w:hint="default" w:ascii="Times New Roman" w:hAnsi="Times New Roman" w:eastAsia="宋体" w:cs="Times New Roman"/>
                <w:b/>
                <w:color w:val="auto"/>
                <w:spacing w:val="0"/>
                <w:sz w:val="24"/>
                <w:highlight w:val="none"/>
                <w:u w:val="none" w:color="auto"/>
                <w:lang w:val="en-US" w:eastAsia="zh-CN"/>
              </w:rPr>
            </w:pPr>
            <w:r>
              <w:rPr>
                <w:rFonts w:hint="default" w:ascii="Times New Roman" w:hAnsi="Times New Roman" w:eastAsia="宋体" w:cs="Times New Roman"/>
                <w:b/>
                <w:color w:val="auto"/>
                <w:spacing w:val="0"/>
                <w:sz w:val="24"/>
                <w:highlight w:val="none"/>
                <w:u w:val="none" w:color="auto"/>
                <w:lang w:val="en-US" w:eastAsia="zh-CN"/>
              </w:rPr>
              <w:t>（4）食堂废气（中创空天厂区）</w:t>
            </w:r>
          </w:p>
          <w:p w14:paraId="024F5961">
            <w:pPr>
              <w:pStyle w:val="2"/>
              <w:snapToGrid/>
              <w:spacing w:before="0" w:after="0" w:line="360" w:lineRule="auto"/>
              <w:ind w:right="0" w:firstLine="480" w:firstLineChars="200"/>
              <w:rPr>
                <w:rFonts w:hint="default" w:ascii="Times New Roman" w:hAnsi="Times New Roman" w:eastAsia="宋体" w:cs="Times New Roman"/>
                <w:b w:val="0"/>
                <w:bCs/>
                <w:color w:val="auto"/>
                <w:spacing w:val="0"/>
                <w:sz w:val="24"/>
                <w:highlight w:val="none"/>
                <w:u w:val="none" w:color="auto"/>
                <w:lang w:val="en-US" w:eastAsia="zh-CN"/>
              </w:rPr>
            </w:pPr>
            <w:r>
              <w:rPr>
                <w:rFonts w:hint="default" w:ascii="Times New Roman" w:hAnsi="Times New Roman" w:eastAsia="宋体" w:cs="Times New Roman"/>
                <w:b w:val="0"/>
                <w:bCs/>
                <w:color w:val="auto"/>
                <w:spacing w:val="0"/>
                <w:sz w:val="24"/>
                <w:highlight w:val="none"/>
                <w:u w:val="none" w:color="auto"/>
                <w:lang w:val="en-US" w:eastAsia="zh-CN"/>
              </w:rPr>
              <w:t>本项目临港高新产业园区员工就餐依托园区食堂，因此本次评价仅考虑中创空天厂区新增员工导致的食堂废气。</w:t>
            </w:r>
          </w:p>
          <w:p w14:paraId="1341191F">
            <w:pPr>
              <w:pStyle w:val="2"/>
              <w:snapToGrid/>
              <w:spacing w:before="0" w:after="0" w:line="360" w:lineRule="auto"/>
              <w:ind w:right="0" w:firstLine="480" w:firstLineChars="200"/>
              <w:rPr>
                <w:rFonts w:hint="default" w:ascii="Times New Roman" w:hAnsi="Times New Roman" w:eastAsia="宋体" w:cs="Times New Roman"/>
                <w:b w:val="0"/>
                <w:bCs/>
                <w:color w:val="auto"/>
                <w:spacing w:val="0"/>
                <w:sz w:val="24"/>
                <w:highlight w:val="none"/>
                <w:u w:val="none" w:color="auto"/>
                <w:lang w:val="en-US" w:eastAsia="zh-CN"/>
              </w:rPr>
            </w:pPr>
            <w:r>
              <w:rPr>
                <w:rFonts w:hint="default" w:ascii="Times New Roman" w:hAnsi="Times New Roman" w:eastAsia="宋体" w:cs="Times New Roman"/>
                <w:b w:val="0"/>
                <w:bCs/>
                <w:color w:val="auto"/>
                <w:spacing w:val="0"/>
                <w:sz w:val="24"/>
                <w:highlight w:val="none"/>
                <w:u w:val="none" w:color="auto"/>
                <w:lang w:val="en-US" w:eastAsia="zh-CN"/>
              </w:rPr>
              <w:t>①食堂油烟</w:t>
            </w:r>
          </w:p>
          <w:p w14:paraId="0799A076">
            <w:pPr>
              <w:pStyle w:val="2"/>
              <w:snapToGrid/>
              <w:spacing w:before="0" w:after="0" w:line="360" w:lineRule="auto"/>
              <w:ind w:right="0" w:firstLine="480" w:firstLineChars="200"/>
              <w:rPr>
                <w:rFonts w:hint="default" w:ascii="Times New Roman" w:hAnsi="Times New Roman" w:eastAsia="宋体" w:cs="Times New Roman"/>
                <w:b w:val="0"/>
                <w:bCs/>
                <w:color w:val="auto"/>
                <w:spacing w:val="0"/>
                <w:sz w:val="24"/>
                <w:highlight w:val="none"/>
                <w:u w:val="none" w:color="auto"/>
                <w:lang w:val="en-US" w:eastAsia="zh-CN"/>
              </w:rPr>
            </w:pPr>
            <w:r>
              <w:rPr>
                <w:rFonts w:hint="default" w:ascii="Times New Roman" w:hAnsi="Times New Roman" w:eastAsia="宋体" w:cs="Times New Roman"/>
                <w:b w:val="0"/>
                <w:bCs/>
                <w:color w:val="auto"/>
                <w:spacing w:val="0"/>
                <w:sz w:val="24"/>
                <w:highlight w:val="none"/>
                <w:u w:val="none" w:color="auto"/>
                <w:lang w:val="en-US" w:eastAsia="zh-CN"/>
              </w:rPr>
              <w:t>食物在煎、炒、炸和烤等加工过程中会挥发出油烟，即油雾和裂解出的挥发性物质，组分比较复杂，包括烷烃类、脂肪酸类、醇类、酮类、杂环化合物、瑙族化合物和多环芳烃等。根据饮食习惯和工作时间，厨房油烟排放时间主要集中在每天的6:30～7:30、11:30～13:30和17:30～19:30三个时间段，排放具有间歇性，共计每天灶台工作时间约为5h，共建设灶台数为5个，每个灶头风量5000m</w:t>
            </w:r>
            <w:r>
              <w:rPr>
                <w:rFonts w:hint="default" w:ascii="Times New Roman" w:hAnsi="Times New Roman" w:eastAsia="宋体" w:cs="Times New Roman"/>
                <w:b w:val="0"/>
                <w:bCs/>
                <w:color w:val="auto"/>
                <w:spacing w:val="0"/>
                <w:sz w:val="24"/>
                <w:highlight w:val="none"/>
                <w:u w:val="none" w:color="auto"/>
                <w:vertAlign w:val="superscript"/>
                <w:lang w:val="en-US" w:eastAsia="zh-CN"/>
              </w:rPr>
              <w:t>3</w:t>
            </w:r>
            <w:r>
              <w:rPr>
                <w:rFonts w:hint="default" w:ascii="Times New Roman" w:hAnsi="Times New Roman" w:eastAsia="宋体" w:cs="Times New Roman"/>
                <w:b w:val="0"/>
                <w:bCs/>
                <w:color w:val="auto"/>
                <w:spacing w:val="0"/>
                <w:sz w:val="24"/>
                <w:highlight w:val="none"/>
                <w:u w:val="none" w:color="auto"/>
                <w:lang w:val="en-US" w:eastAsia="zh-CN"/>
              </w:rPr>
              <w:t>/h，根据《饮食业油烟排放标准（试行）》（GB18483-2001）表1规模划分为小型。</w:t>
            </w:r>
          </w:p>
          <w:p w14:paraId="1501B6DB">
            <w:pPr>
              <w:pStyle w:val="2"/>
              <w:snapToGrid/>
              <w:spacing w:before="0" w:after="0" w:line="360" w:lineRule="auto"/>
              <w:ind w:right="0" w:firstLine="480" w:firstLineChars="200"/>
              <w:rPr>
                <w:rFonts w:hint="default" w:ascii="Times New Roman" w:hAnsi="Times New Roman" w:eastAsia="宋体" w:cs="Times New Roman"/>
                <w:b w:val="0"/>
                <w:bCs/>
                <w:color w:val="auto"/>
                <w:spacing w:val="0"/>
                <w:sz w:val="24"/>
                <w:highlight w:val="none"/>
                <w:u w:val="none" w:color="auto"/>
                <w:lang w:val="en-US" w:eastAsia="zh-CN"/>
              </w:rPr>
            </w:pPr>
            <w:r>
              <w:rPr>
                <w:rFonts w:hint="default" w:ascii="Times New Roman" w:hAnsi="Times New Roman" w:eastAsia="宋体" w:cs="Times New Roman"/>
                <w:b w:val="0"/>
                <w:bCs/>
                <w:color w:val="auto"/>
                <w:spacing w:val="0"/>
                <w:sz w:val="24"/>
                <w:highlight w:val="none"/>
                <w:u w:val="none" w:color="auto"/>
                <w:lang w:val="en-US" w:eastAsia="zh-CN"/>
              </w:rPr>
              <w:t>本项目扩建后最多约66人在厂内食堂用餐，采用清洁能源天然气作为燃料。据调查居民人均日食用油用量约10g/人·d，一般油烟挥发量占总耗油量的2~4%，平均为3%。项目员工日常生活油烟产生情况见下表。</w:t>
            </w:r>
          </w:p>
          <w:p w14:paraId="256A3DD0">
            <w:pPr>
              <w:jc w:val="center"/>
              <w:rPr>
                <w:rFonts w:hint="default" w:ascii="Times New Roman" w:hAnsi="Times New Roman" w:eastAsia="宋体" w:cs="Times New Roman"/>
                <w:b/>
                <w:color w:val="auto"/>
                <w:sz w:val="21"/>
                <w:szCs w:val="21"/>
                <w:highlight w:val="none"/>
                <w:u w:val="none" w:color="auto"/>
              </w:rPr>
            </w:pPr>
            <w:r>
              <w:rPr>
                <w:rFonts w:hint="default" w:ascii="Times New Roman" w:hAnsi="Times New Roman" w:eastAsia="宋体" w:cs="Times New Roman"/>
                <w:b/>
                <w:color w:val="auto"/>
                <w:sz w:val="21"/>
                <w:szCs w:val="21"/>
                <w:highlight w:val="none"/>
                <w:u w:val="none" w:color="auto"/>
                <w:lang w:val="en-US" w:eastAsia="zh-CN"/>
              </w:rPr>
              <w:t xml:space="preserve">表4-14  </w:t>
            </w:r>
            <w:r>
              <w:rPr>
                <w:rFonts w:hint="default" w:ascii="Times New Roman" w:hAnsi="Times New Roman" w:eastAsia="宋体" w:cs="Times New Roman"/>
                <w:b/>
                <w:color w:val="auto"/>
                <w:sz w:val="21"/>
                <w:szCs w:val="21"/>
                <w:highlight w:val="none"/>
                <w:u w:val="none" w:color="auto"/>
              </w:rPr>
              <w:t>员工日常生活食用油消耗和油烟废气产生情况</w:t>
            </w:r>
          </w:p>
          <w:tbl>
            <w:tblPr>
              <w:tblStyle w:val="31"/>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1120"/>
              <w:gridCol w:w="2087"/>
              <w:gridCol w:w="1707"/>
              <w:gridCol w:w="1488"/>
              <w:gridCol w:w="2113"/>
            </w:tblGrid>
            <w:tr w14:paraId="166CA1A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657" w:type="pct"/>
                  <w:noWrap w:val="0"/>
                  <w:tcMar>
                    <w:top w:w="15" w:type="dxa"/>
                    <w:left w:w="15" w:type="dxa"/>
                    <w:bottom w:w="0" w:type="dxa"/>
                    <w:right w:w="15" w:type="dxa"/>
                  </w:tcMar>
                  <w:vAlign w:val="center"/>
                </w:tcPr>
                <w:p w14:paraId="424E6E90">
                  <w:pPr>
                    <w:pStyle w:val="94"/>
                    <w:topLinePunct w:val="0"/>
                    <w:bidi w:val="0"/>
                    <w:adjustRightInd/>
                    <w:snapToGrid/>
                    <w:spacing w:line="240" w:lineRule="auto"/>
                    <w:rPr>
                      <w:rFonts w:hint="default" w:ascii="Times New Roman" w:hAnsi="Times New Roman" w:eastAsia="宋体" w:cs="Times New Roman"/>
                      <w:b/>
                      <w:bCs/>
                      <w:color w:val="auto"/>
                      <w:szCs w:val="21"/>
                      <w:highlight w:val="none"/>
                      <w:u w:val="none" w:color="auto"/>
                    </w:rPr>
                  </w:pPr>
                  <w:r>
                    <w:rPr>
                      <w:rFonts w:hint="default" w:ascii="Times New Roman" w:hAnsi="Times New Roman" w:eastAsia="宋体" w:cs="Times New Roman"/>
                      <w:b/>
                      <w:bCs/>
                      <w:color w:val="auto"/>
                      <w:szCs w:val="21"/>
                      <w:highlight w:val="none"/>
                      <w:u w:val="none" w:color="auto"/>
                    </w:rPr>
                    <w:t>人数</w:t>
                  </w:r>
                </w:p>
              </w:tc>
              <w:tc>
                <w:tcPr>
                  <w:tcW w:w="1225" w:type="pct"/>
                  <w:noWrap w:val="0"/>
                  <w:tcMar>
                    <w:top w:w="15" w:type="dxa"/>
                    <w:left w:w="15" w:type="dxa"/>
                    <w:bottom w:w="0" w:type="dxa"/>
                    <w:right w:w="15" w:type="dxa"/>
                  </w:tcMar>
                  <w:vAlign w:val="center"/>
                </w:tcPr>
                <w:p w14:paraId="4BFEECC6">
                  <w:pPr>
                    <w:pStyle w:val="94"/>
                    <w:topLinePunct w:val="0"/>
                    <w:bidi w:val="0"/>
                    <w:adjustRightInd/>
                    <w:snapToGrid/>
                    <w:spacing w:line="240" w:lineRule="auto"/>
                    <w:rPr>
                      <w:rFonts w:hint="default" w:ascii="Times New Roman" w:hAnsi="Times New Roman" w:eastAsia="宋体" w:cs="Times New Roman"/>
                      <w:b/>
                      <w:bCs/>
                      <w:color w:val="auto"/>
                      <w:szCs w:val="21"/>
                      <w:highlight w:val="none"/>
                      <w:u w:val="none" w:color="auto"/>
                    </w:rPr>
                  </w:pPr>
                  <w:r>
                    <w:rPr>
                      <w:rFonts w:hint="default" w:ascii="Times New Roman" w:hAnsi="Times New Roman" w:eastAsia="宋体" w:cs="Times New Roman"/>
                      <w:b/>
                      <w:bCs/>
                      <w:color w:val="auto"/>
                      <w:szCs w:val="21"/>
                      <w:highlight w:val="none"/>
                      <w:u w:val="none" w:color="auto"/>
                    </w:rPr>
                    <w:t>用油指标（g/人·d）</w:t>
                  </w:r>
                </w:p>
              </w:tc>
              <w:tc>
                <w:tcPr>
                  <w:tcW w:w="1002" w:type="pct"/>
                  <w:noWrap w:val="0"/>
                  <w:tcMar>
                    <w:top w:w="15" w:type="dxa"/>
                    <w:left w:w="15" w:type="dxa"/>
                    <w:bottom w:w="0" w:type="dxa"/>
                    <w:right w:w="15" w:type="dxa"/>
                  </w:tcMar>
                  <w:vAlign w:val="center"/>
                </w:tcPr>
                <w:p w14:paraId="436FAE5D">
                  <w:pPr>
                    <w:pStyle w:val="94"/>
                    <w:topLinePunct w:val="0"/>
                    <w:bidi w:val="0"/>
                    <w:adjustRightInd/>
                    <w:snapToGrid/>
                    <w:spacing w:line="240" w:lineRule="auto"/>
                    <w:rPr>
                      <w:rFonts w:hint="default" w:ascii="Times New Roman" w:hAnsi="Times New Roman" w:eastAsia="宋体" w:cs="Times New Roman"/>
                      <w:b/>
                      <w:bCs/>
                      <w:color w:val="auto"/>
                      <w:szCs w:val="21"/>
                      <w:highlight w:val="none"/>
                      <w:u w:val="none" w:color="auto"/>
                    </w:rPr>
                  </w:pPr>
                  <w:r>
                    <w:rPr>
                      <w:rFonts w:hint="default" w:ascii="Times New Roman" w:hAnsi="Times New Roman" w:eastAsia="宋体" w:cs="Times New Roman"/>
                      <w:b/>
                      <w:bCs/>
                      <w:color w:val="auto"/>
                      <w:szCs w:val="21"/>
                      <w:highlight w:val="none"/>
                      <w:u w:val="none" w:color="auto"/>
                    </w:rPr>
                    <w:t>耗油量（t/a）</w:t>
                  </w:r>
                </w:p>
              </w:tc>
              <w:tc>
                <w:tcPr>
                  <w:tcW w:w="873" w:type="pct"/>
                  <w:noWrap w:val="0"/>
                  <w:tcMar>
                    <w:top w:w="15" w:type="dxa"/>
                    <w:left w:w="15" w:type="dxa"/>
                    <w:bottom w:w="0" w:type="dxa"/>
                    <w:right w:w="15" w:type="dxa"/>
                  </w:tcMar>
                  <w:vAlign w:val="center"/>
                </w:tcPr>
                <w:p w14:paraId="0343FCD3">
                  <w:pPr>
                    <w:pStyle w:val="94"/>
                    <w:topLinePunct w:val="0"/>
                    <w:bidi w:val="0"/>
                    <w:adjustRightInd/>
                    <w:snapToGrid/>
                    <w:spacing w:line="240" w:lineRule="auto"/>
                    <w:rPr>
                      <w:rFonts w:hint="default" w:ascii="Times New Roman" w:hAnsi="Times New Roman" w:eastAsia="宋体" w:cs="Times New Roman"/>
                      <w:b/>
                      <w:bCs/>
                      <w:color w:val="auto"/>
                      <w:szCs w:val="21"/>
                      <w:highlight w:val="none"/>
                      <w:u w:val="none" w:color="auto"/>
                    </w:rPr>
                  </w:pPr>
                  <w:r>
                    <w:rPr>
                      <w:rFonts w:hint="default" w:ascii="Times New Roman" w:hAnsi="Times New Roman" w:eastAsia="宋体" w:cs="Times New Roman"/>
                      <w:b/>
                      <w:bCs/>
                      <w:color w:val="auto"/>
                      <w:szCs w:val="21"/>
                      <w:highlight w:val="none"/>
                      <w:u w:val="none" w:color="auto"/>
                    </w:rPr>
                    <w:t>油烟挥发系数</w:t>
                  </w:r>
                </w:p>
              </w:tc>
              <w:tc>
                <w:tcPr>
                  <w:tcW w:w="1240" w:type="pct"/>
                  <w:noWrap w:val="0"/>
                  <w:vAlign w:val="center"/>
                </w:tcPr>
                <w:p w14:paraId="789F18D8">
                  <w:pPr>
                    <w:pStyle w:val="94"/>
                    <w:topLinePunct w:val="0"/>
                    <w:bidi w:val="0"/>
                    <w:adjustRightInd/>
                    <w:snapToGrid/>
                    <w:spacing w:line="240" w:lineRule="auto"/>
                    <w:rPr>
                      <w:rFonts w:hint="default" w:ascii="Times New Roman" w:hAnsi="Times New Roman" w:eastAsia="宋体" w:cs="Times New Roman"/>
                      <w:b/>
                      <w:bCs/>
                      <w:color w:val="auto"/>
                      <w:szCs w:val="21"/>
                      <w:highlight w:val="none"/>
                      <w:u w:val="none" w:color="auto"/>
                    </w:rPr>
                  </w:pPr>
                  <w:r>
                    <w:rPr>
                      <w:rFonts w:hint="default" w:ascii="Times New Roman" w:hAnsi="Times New Roman" w:eastAsia="宋体" w:cs="Times New Roman"/>
                      <w:b/>
                      <w:bCs/>
                      <w:color w:val="auto"/>
                      <w:szCs w:val="21"/>
                      <w:highlight w:val="none"/>
                      <w:u w:val="none" w:color="auto"/>
                    </w:rPr>
                    <w:t>油烟产生量（t/a）</w:t>
                  </w:r>
                </w:p>
              </w:tc>
            </w:tr>
            <w:tr w14:paraId="59A6D96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657" w:type="pct"/>
                  <w:noWrap w:val="0"/>
                  <w:tcMar>
                    <w:top w:w="15" w:type="dxa"/>
                    <w:left w:w="15" w:type="dxa"/>
                    <w:bottom w:w="0" w:type="dxa"/>
                    <w:right w:w="15" w:type="dxa"/>
                  </w:tcMar>
                  <w:vAlign w:val="center"/>
                </w:tcPr>
                <w:p w14:paraId="32956612">
                  <w:pPr>
                    <w:widowControl/>
                    <w:topLinePunct w:val="0"/>
                    <w:bidi w:val="0"/>
                    <w:adjustRightInd/>
                    <w:snapToGrid/>
                    <w:jc w:val="center"/>
                    <w:textAlignment w:val="center"/>
                    <w:rPr>
                      <w:rFonts w:hint="default" w:ascii="Times New Roman" w:hAnsi="Times New Roman" w:eastAsia="宋体" w:cs="Times New Roman"/>
                      <w:color w:val="auto"/>
                      <w:szCs w:val="21"/>
                      <w:highlight w:val="none"/>
                      <w:u w:val="none" w:color="auto"/>
                      <w:lang w:val="en-US" w:eastAsia="zh-CN"/>
                    </w:rPr>
                  </w:pPr>
                  <w:r>
                    <w:rPr>
                      <w:rFonts w:hint="default" w:ascii="Times New Roman" w:hAnsi="Times New Roman" w:eastAsia="宋体" w:cs="Times New Roman"/>
                      <w:color w:val="auto"/>
                      <w:kern w:val="0"/>
                      <w:szCs w:val="21"/>
                      <w:highlight w:val="none"/>
                      <w:u w:val="none" w:color="auto"/>
                      <w:lang w:val="en-US" w:eastAsia="zh-CN" w:bidi="ar"/>
                    </w:rPr>
                    <w:t>66</w:t>
                  </w:r>
                </w:p>
              </w:tc>
              <w:tc>
                <w:tcPr>
                  <w:tcW w:w="1225" w:type="pct"/>
                  <w:noWrap w:val="0"/>
                  <w:tcMar>
                    <w:top w:w="15" w:type="dxa"/>
                    <w:left w:w="15" w:type="dxa"/>
                    <w:bottom w:w="0" w:type="dxa"/>
                    <w:right w:w="15" w:type="dxa"/>
                  </w:tcMar>
                  <w:vAlign w:val="center"/>
                </w:tcPr>
                <w:p w14:paraId="30F3F572">
                  <w:pPr>
                    <w:widowControl/>
                    <w:topLinePunct w:val="0"/>
                    <w:bidi w:val="0"/>
                    <w:adjustRightInd/>
                    <w:snapToGrid/>
                    <w:jc w:val="center"/>
                    <w:textAlignment w:val="center"/>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kern w:val="0"/>
                      <w:szCs w:val="21"/>
                      <w:highlight w:val="none"/>
                      <w:u w:val="none" w:color="auto"/>
                      <w:lang w:bidi="ar"/>
                    </w:rPr>
                    <w:t>10</w:t>
                  </w:r>
                </w:p>
              </w:tc>
              <w:tc>
                <w:tcPr>
                  <w:tcW w:w="1002" w:type="pct"/>
                  <w:noWrap w:val="0"/>
                  <w:tcMar>
                    <w:top w:w="15" w:type="dxa"/>
                    <w:left w:w="15" w:type="dxa"/>
                    <w:bottom w:w="0" w:type="dxa"/>
                    <w:right w:w="15" w:type="dxa"/>
                  </w:tcMar>
                  <w:vAlign w:val="center"/>
                </w:tcPr>
                <w:p w14:paraId="1A0837E8">
                  <w:pPr>
                    <w:widowControl/>
                    <w:topLinePunct w:val="0"/>
                    <w:bidi w:val="0"/>
                    <w:adjustRightInd/>
                    <w:snapToGrid/>
                    <w:jc w:val="center"/>
                    <w:textAlignment w:val="center"/>
                    <w:rPr>
                      <w:rFonts w:hint="default" w:ascii="Times New Roman" w:hAnsi="Times New Roman" w:eastAsia="宋体" w:cs="Times New Roman"/>
                      <w:color w:val="auto"/>
                      <w:szCs w:val="21"/>
                      <w:highlight w:val="none"/>
                      <w:u w:val="none" w:color="auto"/>
                      <w:lang w:val="en-US" w:eastAsia="zh-CN"/>
                    </w:rPr>
                  </w:pPr>
                  <w:r>
                    <w:rPr>
                      <w:rFonts w:hint="default" w:ascii="Times New Roman" w:hAnsi="Times New Roman" w:eastAsia="宋体" w:cs="Times New Roman"/>
                      <w:color w:val="auto"/>
                      <w:szCs w:val="21"/>
                      <w:highlight w:val="none"/>
                      <w:u w:val="none" w:color="auto"/>
                      <w:lang w:val="en-US" w:eastAsia="zh-CN"/>
                    </w:rPr>
                    <w:t>0.2178</w:t>
                  </w:r>
                </w:p>
              </w:tc>
              <w:tc>
                <w:tcPr>
                  <w:tcW w:w="873" w:type="pct"/>
                  <w:noWrap w:val="0"/>
                  <w:tcMar>
                    <w:top w:w="15" w:type="dxa"/>
                    <w:left w:w="15" w:type="dxa"/>
                    <w:bottom w:w="0" w:type="dxa"/>
                    <w:right w:w="15" w:type="dxa"/>
                  </w:tcMar>
                  <w:vAlign w:val="center"/>
                </w:tcPr>
                <w:p w14:paraId="0BA00C77">
                  <w:pPr>
                    <w:widowControl/>
                    <w:topLinePunct w:val="0"/>
                    <w:bidi w:val="0"/>
                    <w:adjustRightInd/>
                    <w:snapToGrid/>
                    <w:jc w:val="center"/>
                    <w:textAlignment w:val="center"/>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kern w:val="0"/>
                      <w:szCs w:val="21"/>
                      <w:highlight w:val="none"/>
                      <w:u w:val="none" w:color="auto"/>
                      <w:lang w:bidi="ar"/>
                    </w:rPr>
                    <w:t>3%</w:t>
                  </w:r>
                </w:p>
              </w:tc>
              <w:tc>
                <w:tcPr>
                  <w:tcW w:w="1240" w:type="pct"/>
                  <w:noWrap w:val="0"/>
                  <w:vAlign w:val="center"/>
                </w:tcPr>
                <w:p w14:paraId="4C0FB1C2">
                  <w:pPr>
                    <w:widowControl/>
                    <w:topLinePunct w:val="0"/>
                    <w:bidi w:val="0"/>
                    <w:adjustRightInd/>
                    <w:snapToGrid/>
                    <w:jc w:val="center"/>
                    <w:textAlignment w:val="center"/>
                    <w:rPr>
                      <w:rFonts w:hint="default" w:ascii="Times New Roman" w:hAnsi="Times New Roman" w:eastAsia="宋体" w:cs="Times New Roman"/>
                      <w:color w:val="auto"/>
                      <w:szCs w:val="21"/>
                      <w:highlight w:val="none"/>
                      <w:u w:val="none" w:color="auto"/>
                      <w:lang w:val="en-US" w:eastAsia="zh-CN"/>
                    </w:rPr>
                  </w:pPr>
                  <w:r>
                    <w:rPr>
                      <w:rFonts w:hint="default" w:ascii="Times New Roman" w:hAnsi="Times New Roman" w:eastAsia="宋体" w:cs="Times New Roman"/>
                      <w:color w:val="auto"/>
                      <w:szCs w:val="21"/>
                      <w:highlight w:val="none"/>
                      <w:u w:val="none" w:color="auto"/>
                      <w:lang w:val="en-US" w:eastAsia="zh-CN"/>
                    </w:rPr>
                    <w:t>0.0065</w:t>
                  </w:r>
                </w:p>
              </w:tc>
            </w:tr>
          </w:tbl>
          <w:p w14:paraId="5474E9FC">
            <w:pPr>
              <w:pStyle w:val="2"/>
              <w:snapToGrid/>
              <w:spacing w:before="0" w:after="0" w:line="360" w:lineRule="auto"/>
              <w:ind w:right="0" w:firstLine="480" w:firstLineChars="200"/>
              <w:rPr>
                <w:rFonts w:hint="default" w:ascii="Times New Roman" w:hAnsi="Times New Roman" w:eastAsia="宋体" w:cs="Times New Roman"/>
                <w:b w:val="0"/>
                <w:bCs/>
                <w:color w:val="auto"/>
                <w:spacing w:val="0"/>
                <w:sz w:val="24"/>
                <w:highlight w:val="none"/>
                <w:u w:val="none" w:color="auto"/>
                <w:lang w:val="en-US" w:eastAsia="zh-CN"/>
              </w:rPr>
            </w:pPr>
            <w:r>
              <w:rPr>
                <w:rFonts w:hint="default" w:ascii="Times New Roman" w:hAnsi="Times New Roman" w:eastAsia="宋体" w:cs="Times New Roman"/>
                <w:color w:val="auto"/>
                <w:sz w:val="24"/>
                <w:highlight w:val="none"/>
                <w:u w:val="none" w:color="auto"/>
              </w:rPr>
              <w:t>根据上述分析</w:t>
            </w:r>
            <w:r>
              <w:rPr>
                <w:rFonts w:hint="default" w:ascii="Times New Roman" w:hAnsi="Times New Roman" w:eastAsia="宋体" w:cs="Times New Roman"/>
                <w:color w:val="auto"/>
                <w:sz w:val="24"/>
                <w:highlight w:val="none"/>
                <w:u w:val="none" w:color="auto"/>
                <w:lang w:eastAsia="zh-CN"/>
              </w:rPr>
              <w:t>，</w:t>
            </w:r>
            <w:r>
              <w:rPr>
                <w:rFonts w:hint="default" w:ascii="Times New Roman" w:hAnsi="Times New Roman" w:eastAsia="宋体" w:cs="Times New Roman"/>
                <w:color w:val="auto"/>
                <w:sz w:val="24"/>
                <w:highlight w:val="none"/>
                <w:u w:val="none" w:color="auto"/>
              </w:rPr>
              <w:t>本次评价建议设置去除率≥75%的油烟净化设施</w:t>
            </w:r>
            <w:r>
              <w:rPr>
                <w:rFonts w:hint="default" w:ascii="Times New Roman" w:hAnsi="Times New Roman" w:eastAsia="宋体" w:cs="Times New Roman"/>
                <w:color w:val="auto"/>
                <w:sz w:val="24"/>
                <w:highlight w:val="none"/>
                <w:u w:val="none" w:color="auto"/>
                <w:lang w:eastAsia="zh-CN"/>
              </w:rPr>
              <w:t>，</w:t>
            </w:r>
            <w:r>
              <w:rPr>
                <w:rFonts w:hint="default" w:ascii="Times New Roman" w:hAnsi="Times New Roman" w:eastAsia="宋体" w:cs="Times New Roman"/>
                <w:color w:val="auto"/>
                <w:sz w:val="24"/>
                <w:highlight w:val="none"/>
                <w:u w:val="none" w:color="auto"/>
              </w:rPr>
              <w:t>以满足</w:t>
            </w:r>
            <w:r>
              <w:rPr>
                <w:rFonts w:hint="default" w:ascii="Times New Roman" w:hAnsi="Times New Roman" w:eastAsia="宋体" w:cs="Times New Roman"/>
                <w:color w:val="auto"/>
                <w:sz w:val="24"/>
                <w:szCs w:val="21"/>
                <w:highlight w:val="none"/>
                <w:u w:val="none" w:color="auto"/>
              </w:rPr>
              <w:t>《饮食业油烟排放标准（试行）》（GB18483-2001）表2要求。</w:t>
            </w:r>
            <w:r>
              <w:rPr>
                <w:rFonts w:hint="default" w:ascii="Times New Roman" w:hAnsi="Times New Roman" w:eastAsia="宋体" w:cs="Times New Roman"/>
                <w:color w:val="auto"/>
                <w:sz w:val="24"/>
                <w:highlight w:val="none"/>
                <w:u w:val="none" w:color="auto"/>
              </w:rPr>
              <w:t>净化设施排放口设置在高于楼顶</w:t>
            </w:r>
            <w:r>
              <w:rPr>
                <w:rFonts w:hint="default" w:ascii="Times New Roman" w:hAnsi="Times New Roman" w:eastAsia="宋体" w:cs="Times New Roman"/>
                <w:color w:val="auto"/>
                <w:sz w:val="24"/>
                <w:highlight w:val="none"/>
                <w:u w:val="none" w:color="auto"/>
                <w:lang w:val="en-US" w:eastAsia="zh-CN"/>
              </w:rPr>
              <w:t>1</w:t>
            </w:r>
            <w:r>
              <w:rPr>
                <w:rFonts w:hint="default" w:ascii="Times New Roman" w:hAnsi="Times New Roman" w:eastAsia="宋体" w:cs="Times New Roman"/>
                <w:color w:val="auto"/>
                <w:sz w:val="24"/>
                <w:highlight w:val="none"/>
                <w:u w:val="none" w:color="auto"/>
              </w:rPr>
              <w:t>m处</w:t>
            </w:r>
            <w:r>
              <w:rPr>
                <w:rFonts w:hint="default" w:ascii="Times New Roman" w:hAnsi="Times New Roman" w:eastAsia="宋体" w:cs="Times New Roman"/>
                <w:color w:val="auto"/>
                <w:sz w:val="24"/>
                <w:highlight w:val="none"/>
                <w:u w:val="none" w:color="auto"/>
                <w:lang w:eastAsia="zh-CN"/>
              </w:rPr>
              <w:t>，</w:t>
            </w:r>
            <w:r>
              <w:rPr>
                <w:rFonts w:hint="default" w:ascii="Times New Roman" w:hAnsi="Times New Roman" w:eastAsia="宋体" w:cs="Times New Roman"/>
                <w:color w:val="auto"/>
                <w:sz w:val="24"/>
                <w:highlight w:val="none"/>
                <w:u w:val="none" w:color="auto"/>
              </w:rPr>
              <w:t>并避开建筑物。</w:t>
            </w:r>
          </w:p>
          <w:p w14:paraId="72B6BA45">
            <w:pPr>
              <w:pStyle w:val="2"/>
              <w:snapToGrid/>
              <w:spacing w:before="0" w:after="0" w:line="360" w:lineRule="auto"/>
              <w:ind w:right="0" w:firstLine="480" w:firstLineChars="200"/>
              <w:rPr>
                <w:rFonts w:hint="default" w:ascii="Times New Roman" w:hAnsi="Times New Roman" w:eastAsia="宋体" w:cs="Times New Roman"/>
                <w:b w:val="0"/>
                <w:bCs/>
                <w:color w:val="auto"/>
                <w:spacing w:val="0"/>
                <w:sz w:val="24"/>
                <w:highlight w:val="none"/>
                <w:u w:val="none" w:color="auto"/>
                <w:lang w:val="en-US" w:eastAsia="zh-CN"/>
              </w:rPr>
            </w:pPr>
            <w:r>
              <w:rPr>
                <w:rFonts w:hint="default" w:ascii="Times New Roman" w:hAnsi="Times New Roman" w:eastAsia="宋体" w:cs="Times New Roman"/>
                <w:b w:val="0"/>
                <w:bCs/>
                <w:color w:val="auto"/>
                <w:spacing w:val="0"/>
                <w:sz w:val="24"/>
                <w:highlight w:val="none"/>
                <w:u w:val="none" w:color="auto"/>
                <w:lang w:val="en-US" w:eastAsia="zh-CN"/>
              </w:rPr>
              <w:t>食堂油烟经油烟罩（类似集气罩）收集后经净化设施处理，通过专用烟道在屋顶排放，其收集效率参考《主要污染物总量减排核算技术指南（2022年修订）》表2-3中“符合标准要求的外部集气罩”集气效率30%计，则油烟有组织排放量约为0.0005t/a、排放速率0.0003kg/h、排放浓度为0.012mg/m</w:t>
            </w:r>
            <w:r>
              <w:rPr>
                <w:rFonts w:hint="default" w:ascii="Times New Roman" w:hAnsi="Times New Roman" w:eastAsia="宋体" w:cs="Times New Roman"/>
                <w:b w:val="0"/>
                <w:bCs/>
                <w:color w:val="auto"/>
                <w:spacing w:val="0"/>
                <w:sz w:val="24"/>
                <w:highlight w:val="none"/>
                <w:u w:val="none" w:color="auto"/>
                <w:vertAlign w:val="superscript"/>
                <w:lang w:val="en-US" w:eastAsia="zh-CN"/>
              </w:rPr>
              <w:t>3</w:t>
            </w:r>
            <w:r>
              <w:rPr>
                <w:rFonts w:hint="default" w:ascii="Times New Roman" w:hAnsi="Times New Roman" w:eastAsia="宋体" w:cs="Times New Roman"/>
                <w:b w:val="0"/>
                <w:bCs/>
                <w:color w:val="auto"/>
                <w:spacing w:val="0"/>
                <w:sz w:val="24"/>
                <w:highlight w:val="none"/>
                <w:u w:val="none" w:color="auto"/>
                <w:lang w:val="en-US" w:eastAsia="zh-CN"/>
              </w:rPr>
              <w:t>，可达到《饮食业油烟排放标准（试行）》（GB 18483-2001）表2的最高允许排放浓度要求。无组织排放量为0.0045t/a、0.0027kg/h。</w:t>
            </w:r>
          </w:p>
          <w:p w14:paraId="3E61EE8C">
            <w:pPr>
              <w:pStyle w:val="2"/>
              <w:snapToGrid/>
              <w:spacing w:before="0" w:after="0" w:line="360" w:lineRule="auto"/>
              <w:ind w:right="0" w:firstLine="480" w:firstLineChars="200"/>
              <w:rPr>
                <w:rFonts w:hint="default" w:ascii="Times New Roman" w:hAnsi="Times New Roman" w:eastAsia="宋体" w:cs="Times New Roman"/>
                <w:b w:val="0"/>
                <w:bCs/>
                <w:color w:val="auto"/>
                <w:spacing w:val="0"/>
                <w:sz w:val="24"/>
                <w:highlight w:val="none"/>
                <w:u w:val="none" w:color="auto"/>
                <w:lang w:val="en-US" w:eastAsia="zh-CN"/>
              </w:rPr>
            </w:pPr>
            <w:r>
              <w:rPr>
                <w:rFonts w:hint="default" w:ascii="Times New Roman" w:hAnsi="Times New Roman" w:eastAsia="宋体" w:cs="Times New Roman"/>
                <w:b w:val="0"/>
                <w:bCs/>
                <w:color w:val="auto"/>
                <w:spacing w:val="0"/>
                <w:sz w:val="24"/>
                <w:highlight w:val="none"/>
                <w:u w:val="none" w:color="auto"/>
                <w:lang w:val="en-US" w:eastAsia="zh-CN"/>
              </w:rPr>
              <w:t>②食堂燃料废气</w:t>
            </w:r>
          </w:p>
          <w:p w14:paraId="30E47E52">
            <w:pPr>
              <w:pStyle w:val="2"/>
              <w:snapToGrid/>
              <w:spacing w:before="0" w:after="0" w:line="360" w:lineRule="auto"/>
              <w:ind w:right="0" w:firstLine="480" w:firstLineChars="200"/>
              <w:rPr>
                <w:rFonts w:hint="default" w:ascii="Times New Roman" w:hAnsi="Times New Roman" w:eastAsia="宋体" w:cs="Times New Roman"/>
                <w:b w:val="0"/>
                <w:bCs/>
                <w:color w:val="auto"/>
                <w:spacing w:val="0"/>
                <w:sz w:val="24"/>
                <w:highlight w:val="none"/>
                <w:u w:val="none" w:color="auto"/>
                <w:lang w:val="en-US" w:eastAsia="zh-CN"/>
              </w:rPr>
            </w:pPr>
            <w:r>
              <w:rPr>
                <w:rFonts w:hint="default" w:ascii="Times New Roman" w:hAnsi="Times New Roman" w:eastAsia="宋体" w:cs="Times New Roman"/>
                <w:b w:val="0"/>
                <w:bCs/>
                <w:color w:val="auto"/>
                <w:spacing w:val="0"/>
                <w:sz w:val="24"/>
                <w:highlight w:val="none"/>
                <w:u w:val="none" w:color="auto"/>
                <w:lang w:val="en-US" w:eastAsia="zh-CN"/>
              </w:rPr>
              <w:t>建设项目食堂以管道天然气为燃料，参考相关文献资料，人均用气量约为0.43m</w:t>
            </w:r>
            <w:r>
              <w:rPr>
                <w:rFonts w:hint="default" w:ascii="Times New Roman" w:hAnsi="Times New Roman" w:eastAsia="宋体" w:cs="Times New Roman"/>
                <w:b w:val="0"/>
                <w:bCs/>
                <w:color w:val="auto"/>
                <w:spacing w:val="0"/>
                <w:sz w:val="24"/>
                <w:highlight w:val="none"/>
                <w:u w:val="none" w:color="auto"/>
                <w:vertAlign w:val="superscript"/>
                <w:lang w:val="en-US" w:eastAsia="zh-CN"/>
              </w:rPr>
              <w:t>3</w:t>
            </w:r>
            <w:r>
              <w:rPr>
                <w:rFonts w:hint="default" w:ascii="Times New Roman" w:hAnsi="Times New Roman" w:eastAsia="宋体" w:cs="Times New Roman"/>
                <w:b w:val="0"/>
                <w:bCs/>
                <w:color w:val="auto"/>
                <w:spacing w:val="0"/>
                <w:sz w:val="24"/>
                <w:highlight w:val="none"/>
                <w:u w:val="none" w:color="auto"/>
                <w:lang w:val="en-US" w:eastAsia="zh-CN"/>
              </w:rPr>
              <w:t>/人·d，项目最大就餐人数为66人，年工作时间为330天，项目用气量约为28.38m</w:t>
            </w:r>
            <w:r>
              <w:rPr>
                <w:rFonts w:hint="default" w:ascii="Times New Roman" w:hAnsi="Times New Roman" w:eastAsia="宋体" w:cs="Times New Roman"/>
                <w:b w:val="0"/>
                <w:bCs/>
                <w:color w:val="auto"/>
                <w:spacing w:val="0"/>
                <w:sz w:val="24"/>
                <w:highlight w:val="none"/>
                <w:u w:val="none" w:color="auto"/>
                <w:vertAlign w:val="superscript"/>
                <w:lang w:val="en-US" w:eastAsia="zh-CN"/>
              </w:rPr>
              <w:t>3</w:t>
            </w:r>
            <w:r>
              <w:rPr>
                <w:rFonts w:hint="default" w:ascii="Times New Roman" w:hAnsi="Times New Roman" w:eastAsia="宋体" w:cs="Times New Roman"/>
                <w:b w:val="0"/>
                <w:bCs/>
                <w:color w:val="auto"/>
                <w:spacing w:val="0"/>
                <w:sz w:val="24"/>
                <w:highlight w:val="none"/>
                <w:u w:val="none" w:color="auto"/>
                <w:lang w:val="en-US" w:eastAsia="zh-CN"/>
              </w:rPr>
              <w:t>/d（9365.4m</w:t>
            </w:r>
            <w:r>
              <w:rPr>
                <w:rFonts w:hint="default" w:ascii="Times New Roman" w:hAnsi="Times New Roman" w:eastAsia="宋体" w:cs="Times New Roman"/>
                <w:b w:val="0"/>
                <w:bCs/>
                <w:color w:val="auto"/>
                <w:spacing w:val="0"/>
                <w:sz w:val="24"/>
                <w:highlight w:val="none"/>
                <w:u w:val="none" w:color="auto"/>
                <w:vertAlign w:val="superscript"/>
                <w:lang w:val="en-US" w:eastAsia="zh-CN"/>
              </w:rPr>
              <w:t>3</w:t>
            </w:r>
            <w:r>
              <w:rPr>
                <w:rFonts w:hint="default" w:ascii="Times New Roman" w:hAnsi="Times New Roman" w:eastAsia="宋体" w:cs="Times New Roman"/>
                <w:b w:val="0"/>
                <w:bCs/>
                <w:color w:val="auto"/>
                <w:spacing w:val="0"/>
                <w:sz w:val="24"/>
                <w:highlight w:val="none"/>
                <w:u w:val="none" w:color="auto"/>
                <w:lang w:val="en-US" w:eastAsia="zh-CN"/>
              </w:rPr>
              <w:t>/a）。天然气属于清洁能源，燃烧后产生的污染物很少，主要为NO</w:t>
            </w:r>
            <w:r>
              <w:rPr>
                <w:rFonts w:hint="default" w:ascii="Times New Roman" w:hAnsi="Times New Roman" w:eastAsia="宋体" w:cs="Times New Roman"/>
                <w:b w:val="0"/>
                <w:bCs/>
                <w:color w:val="auto"/>
                <w:spacing w:val="0"/>
                <w:sz w:val="24"/>
                <w:highlight w:val="none"/>
                <w:u w:val="none" w:color="auto"/>
                <w:vertAlign w:val="subscript"/>
                <w:lang w:val="en-US" w:eastAsia="zh-CN"/>
              </w:rPr>
              <w:t>x</w:t>
            </w:r>
            <w:r>
              <w:rPr>
                <w:rFonts w:hint="default" w:ascii="Times New Roman" w:hAnsi="Times New Roman" w:eastAsia="宋体" w:cs="Times New Roman"/>
                <w:b w:val="0"/>
                <w:bCs/>
                <w:color w:val="auto"/>
                <w:spacing w:val="0"/>
                <w:sz w:val="24"/>
                <w:highlight w:val="none"/>
                <w:u w:val="none" w:color="auto"/>
                <w:lang w:val="en-US" w:eastAsia="zh-CN"/>
              </w:rPr>
              <w:t>、SO</w:t>
            </w:r>
            <w:r>
              <w:rPr>
                <w:rFonts w:hint="default" w:ascii="Times New Roman" w:hAnsi="Times New Roman" w:eastAsia="宋体" w:cs="Times New Roman"/>
                <w:b w:val="0"/>
                <w:bCs/>
                <w:color w:val="auto"/>
                <w:spacing w:val="0"/>
                <w:sz w:val="24"/>
                <w:highlight w:val="none"/>
                <w:u w:val="none" w:color="auto"/>
                <w:vertAlign w:val="subscript"/>
                <w:lang w:val="en-US" w:eastAsia="zh-CN"/>
              </w:rPr>
              <w:t>2</w:t>
            </w:r>
            <w:r>
              <w:rPr>
                <w:rFonts w:hint="default" w:ascii="Times New Roman" w:hAnsi="Times New Roman" w:eastAsia="宋体" w:cs="Times New Roman"/>
                <w:b w:val="0"/>
                <w:bCs/>
                <w:color w:val="auto"/>
                <w:spacing w:val="0"/>
                <w:sz w:val="24"/>
                <w:highlight w:val="none"/>
                <w:u w:val="none" w:color="auto"/>
                <w:lang w:val="en-US" w:eastAsia="zh-CN"/>
              </w:rPr>
              <w:t>、烟尘，产生的废气通过油烟净化设施抽至楼顶排放。</w:t>
            </w:r>
          </w:p>
          <w:p w14:paraId="6E655DDC">
            <w:pPr>
              <w:pStyle w:val="2"/>
              <w:snapToGrid/>
              <w:spacing w:before="0" w:after="0" w:line="360" w:lineRule="auto"/>
              <w:ind w:right="0" w:firstLine="480" w:firstLineChars="200"/>
              <w:rPr>
                <w:rFonts w:hint="default" w:ascii="Times New Roman" w:hAnsi="Times New Roman" w:eastAsia="宋体" w:cs="Times New Roman"/>
                <w:b w:val="0"/>
                <w:bCs/>
                <w:color w:val="auto"/>
                <w:spacing w:val="0"/>
                <w:sz w:val="24"/>
                <w:highlight w:val="none"/>
                <w:u w:val="none" w:color="auto"/>
                <w:lang w:val="en-US" w:eastAsia="zh-CN"/>
              </w:rPr>
            </w:pPr>
            <w:r>
              <w:rPr>
                <w:rFonts w:hint="default" w:ascii="Times New Roman" w:hAnsi="Times New Roman" w:eastAsia="宋体" w:cs="Times New Roman"/>
                <w:b w:val="0"/>
                <w:bCs/>
                <w:color w:val="auto"/>
                <w:spacing w:val="0"/>
                <w:sz w:val="24"/>
                <w:highlight w:val="none"/>
                <w:u w:val="none" w:color="auto"/>
                <w:lang w:val="en-US" w:eastAsia="zh-CN"/>
              </w:rPr>
              <w:t>食堂油烟、天然气燃烧产生的污染物量极少，项目周边较为空旷，具有良好的通风条件，食堂油烟和天然气燃烧废气经净化器设施抽至楼顶排放后可很快消散，不会对周边环境造成明显影响，且属于生活源。因此本次评价仅对食堂废气进行定性分析。</w:t>
            </w:r>
          </w:p>
          <w:p w14:paraId="6A2A06B9">
            <w:pPr>
              <w:pStyle w:val="2"/>
              <w:snapToGrid/>
              <w:spacing w:before="0" w:after="0" w:line="360" w:lineRule="auto"/>
              <w:ind w:right="0" w:firstLine="482" w:firstLineChars="200"/>
              <w:rPr>
                <w:rFonts w:hint="default" w:ascii="Times New Roman" w:hAnsi="Times New Roman" w:eastAsia="宋体" w:cs="Times New Roman"/>
                <w:b/>
                <w:bCs/>
                <w:color w:val="auto"/>
                <w:spacing w:val="0"/>
                <w:sz w:val="24"/>
                <w:highlight w:val="none"/>
                <w:u w:val="none" w:color="auto"/>
                <w:lang w:val="en-US" w:eastAsia="zh-CN"/>
              </w:rPr>
            </w:pPr>
            <w:r>
              <w:rPr>
                <w:rFonts w:hint="default" w:ascii="Times New Roman" w:hAnsi="Times New Roman" w:eastAsia="宋体" w:cs="Times New Roman"/>
                <w:b/>
                <w:color w:val="auto"/>
                <w:spacing w:val="0"/>
                <w:sz w:val="24"/>
                <w:highlight w:val="none"/>
                <w:u w:val="none" w:color="auto"/>
                <w:lang w:val="en-US" w:eastAsia="zh-CN"/>
              </w:rPr>
              <w:t>2</w:t>
            </w:r>
            <w:r>
              <w:rPr>
                <w:rFonts w:hint="default" w:ascii="Times New Roman" w:hAnsi="Times New Roman" w:eastAsia="宋体" w:cs="Times New Roman"/>
                <w:b/>
                <w:color w:val="auto"/>
                <w:spacing w:val="0"/>
                <w:sz w:val="24"/>
                <w:highlight w:val="none"/>
                <w:u w:val="none" w:color="auto"/>
              </w:rPr>
              <w:t>、废气源强</w:t>
            </w:r>
            <w:r>
              <w:rPr>
                <w:rFonts w:hint="default" w:ascii="Times New Roman" w:hAnsi="Times New Roman" w:eastAsia="宋体" w:cs="Times New Roman"/>
                <w:b/>
                <w:color w:val="auto"/>
                <w:spacing w:val="0"/>
                <w:sz w:val="24"/>
                <w:highlight w:val="none"/>
                <w:u w:val="none" w:color="auto"/>
                <w:lang w:val="en-US" w:eastAsia="zh-CN"/>
              </w:rPr>
              <w:t>汇总</w:t>
            </w:r>
          </w:p>
          <w:p w14:paraId="53FF3428">
            <w:pPr>
              <w:pStyle w:val="2"/>
              <w:snapToGrid/>
              <w:spacing w:before="0" w:after="0" w:line="360" w:lineRule="auto"/>
              <w:ind w:right="0" w:firstLine="480" w:firstLineChars="200"/>
              <w:rPr>
                <w:rFonts w:hint="default" w:ascii="Times New Roman" w:hAnsi="Times New Roman" w:eastAsia="宋体" w:cs="Times New Roman"/>
                <w:color w:val="auto"/>
                <w:spacing w:val="0"/>
                <w:sz w:val="24"/>
                <w:szCs w:val="24"/>
                <w:highlight w:val="none"/>
                <w:u w:val="none" w:color="auto"/>
                <w:lang w:val="en-US" w:eastAsia="zh-CN"/>
              </w:rPr>
            </w:pPr>
            <w:r>
              <w:rPr>
                <w:rFonts w:hint="default" w:ascii="Times New Roman" w:hAnsi="Times New Roman" w:eastAsia="宋体" w:cs="Times New Roman"/>
                <w:color w:val="auto"/>
                <w:spacing w:val="0"/>
                <w:sz w:val="24"/>
                <w:szCs w:val="24"/>
                <w:highlight w:val="none"/>
                <w:u w:val="none" w:color="auto"/>
                <w:lang w:val="en-US" w:eastAsia="zh-CN"/>
              </w:rPr>
              <w:t>根据上述分析可知，项目废气污染物源强如下表示所示：</w:t>
            </w:r>
          </w:p>
          <w:p w14:paraId="77584622">
            <w:pPr>
              <w:jc w:val="center"/>
              <w:rPr>
                <w:rFonts w:hint="default" w:ascii="Times New Roman" w:hAnsi="Times New Roman" w:eastAsia="宋体" w:cs="Times New Roman"/>
                <w:b/>
                <w:bCs/>
                <w:color w:val="auto"/>
                <w:spacing w:val="0"/>
                <w:highlight w:val="none"/>
                <w:u w:val="none" w:color="auto"/>
              </w:rPr>
            </w:pPr>
            <w:r>
              <w:rPr>
                <w:rFonts w:hint="default" w:ascii="Times New Roman" w:hAnsi="Times New Roman" w:eastAsia="宋体" w:cs="Times New Roman"/>
                <w:b/>
                <w:bCs/>
                <w:color w:val="auto"/>
                <w:spacing w:val="0"/>
                <w:highlight w:val="none"/>
                <w:u w:val="none" w:color="auto"/>
              </w:rPr>
              <w:t>表4-</w:t>
            </w:r>
            <w:r>
              <w:rPr>
                <w:rFonts w:hint="default" w:ascii="Times New Roman" w:hAnsi="Times New Roman" w:eastAsia="宋体" w:cs="Times New Roman"/>
                <w:b/>
                <w:bCs/>
                <w:color w:val="auto"/>
                <w:spacing w:val="0"/>
                <w:highlight w:val="none"/>
                <w:u w:val="none" w:color="auto"/>
                <w:lang w:val="en-US" w:eastAsia="zh-CN"/>
              </w:rPr>
              <w:t>15</w:t>
            </w:r>
            <w:r>
              <w:rPr>
                <w:rFonts w:hint="default" w:ascii="Times New Roman" w:hAnsi="Times New Roman" w:eastAsia="宋体" w:cs="Times New Roman"/>
                <w:b/>
                <w:bCs/>
                <w:color w:val="auto"/>
                <w:spacing w:val="0"/>
                <w:highlight w:val="none"/>
                <w:u w:val="none" w:color="auto"/>
              </w:rPr>
              <w:t xml:space="preserve">  项目废气</w:t>
            </w:r>
            <w:r>
              <w:rPr>
                <w:rFonts w:hint="default" w:ascii="Times New Roman" w:hAnsi="Times New Roman" w:eastAsia="宋体" w:cs="Times New Roman"/>
                <w:b/>
                <w:bCs/>
                <w:color w:val="auto"/>
                <w:spacing w:val="0"/>
                <w:highlight w:val="none"/>
                <w:u w:val="none" w:color="auto"/>
                <w:lang w:val="en-US" w:eastAsia="zh-CN"/>
              </w:rPr>
              <w:t>源强</w:t>
            </w:r>
            <w:r>
              <w:rPr>
                <w:rFonts w:hint="default" w:ascii="Times New Roman" w:hAnsi="Times New Roman" w:eastAsia="宋体" w:cs="Times New Roman"/>
                <w:b/>
                <w:bCs/>
                <w:color w:val="auto"/>
                <w:spacing w:val="0"/>
                <w:highlight w:val="none"/>
                <w:u w:val="none" w:color="auto"/>
              </w:rPr>
              <w:t>一览表</w:t>
            </w:r>
          </w:p>
          <w:tbl>
            <w:tblPr>
              <w:tblStyle w:val="31"/>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062"/>
              <w:gridCol w:w="2585"/>
              <w:gridCol w:w="1513"/>
              <w:gridCol w:w="1513"/>
              <w:gridCol w:w="1842"/>
            </w:tblGrid>
            <w:tr w14:paraId="3A5A5AC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623" w:type="pct"/>
                  <w:tcBorders>
                    <w:tl2br w:val="nil"/>
                    <w:tr2bl w:val="nil"/>
                  </w:tcBorders>
                  <w:noWrap w:val="0"/>
                  <w:vAlign w:val="center"/>
                </w:tcPr>
                <w:p w14:paraId="516B81A8">
                  <w:pPr>
                    <w:adjustRightInd w:val="0"/>
                    <w:snapToGrid w:val="0"/>
                    <w:jc w:val="center"/>
                    <w:rPr>
                      <w:rFonts w:hint="default" w:ascii="Times New Roman" w:hAnsi="Times New Roman" w:eastAsia="宋体" w:cs="Times New Roman"/>
                      <w:b/>
                      <w:color w:val="auto"/>
                      <w:sz w:val="21"/>
                      <w:szCs w:val="21"/>
                      <w:u w:val="none" w:color="auto"/>
                    </w:rPr>
                  </w:pPr>
                  <w:r>
                    <w:rPr>
                      <w:rFonts w:hint="default" w:ascii="Times New Roman" w:hAnsi="Times New Roman" w:eastAsia="宋体" w:cs="Times New Roman"/>
                      <w:b/>
                      <w:color w:val="auto"/>
                      <w:sz w:val="21"/>
                      <w:szCs w:val="21"/>
                      <w:u w:val="none" w:color="auto"/>
                    </w:rPr>
                    <w:t>厂区</w:t>
                  </w:r>
                </w:p>
              </w:tc>
              <w:tc>
                <w:tcPr>
                  <w:tcW w:w="1517" w:type="pct"/>
                  <w:tcBorders>
                    <w:tl2br w:val="nil"/>
                    <w:tr2bl w:val="nil"/>
                  </w:tcBorders>
                  <w:noWrap w:val="0"/>
                  <w:vAlign w:val="center"/>
                </w:tcPr>
                <w:p w14:paraId="0F108D10">
                  <w:pPr>
                    <w:adjustRightInd w:val="0"/>
                    <w:snapToGrid w:val="0"/>
                    <w:jc w:val="center"/>
                    <w:rPr>
                      <w:rFonts w:hint="default" w:ascii="Times New Roman" w:hAnsi="Times New Roman" w:eastAsia="宋体" w:cs="Times New Roman"/>
                      <w:b/>
                      <w:color w:val="auto"/>
                      <w:sz w:val="21"/>
                      <w:szCs w:val="21"/>
                      <w:u w:val="none" w:color="auto"/>
                    </w:rPr>
                  </w:pPr>
                  <w:r>
                    <w:rPr>
                      <w:rFonts w:hint="default" w:ascii="Times New Roman" w:hAnsi="Times New Roman" w:eastAsia="宋体" w:cs="Times New Roman"/>
                      <w:b/>
                      <w:color w:val="auto"/>
                      <w:sz w:val="21"/>
                      <w:szCs w:val="21"/>
                      <w:u w:val="none" w:color="auto"/>
                    </w:rPr>
                    <w:t>排放源</w:t>
                  </w:r>
                </w:p>
              </w:tc>
              <w:tc>
                <w:tcPr>
                  <w:tcW w:w="888" w:type="pct"/>
                  <w:tcBorders>
                    <w:tl2br w:val="nil"/>
                    <w:tr2bl w:val="nil"/>
                  </w:tcBorders>
                  <w:shd w:val="clear" w:color="auto" w:fill="auto"/>
                  <w:noWrap w:val="0"/>
                  <w:vAlign w:val="center"/>
                </w:tcPr>
                <w:p w14:paraId="6B3FC300">
                  <w:pPr>
                    <w:adjustRightInd w:val="0"/>
                    <w:snapToGrid w:val="0"/>
                    <w:jc w:val="center"/>
                    <w:rPr>
                      <w:rFonts w:hint="default" w:ascii="Times New Roman" w:hAnsi="Times New Roman" w:eastAsia="宋体" w:cs="Times New Roman"/>
                      <w:b/>
                      <w:color w:val="auto"/>
                      <w:kern w:val="2"/>
                      <w:sz w:val="21"/>
                      <w:szCs w:val="21"/>
                      <w:u w:val="none" w:color="auto"/>
                      <w:lang w:val="en-US" w:eastAsia="zh-CN" w:bidi="ar-SA"/>
                    </w:rPr>
                  </w:pPr>
                  <w:r>
                    <w:rPr>
                      <w:rFonts w:hint="default" w:ascii="Times New Roman" w:hAnsi="Times New Roman" w:eastAsia="宋体" w:cs="Times New Roman"/>
                      <w:b/>
                      <w:color w:val="auto"/>
                      <w:sz w:val="21"/>
                      <w:szCs w:val="21"/>
                      <w:u w:val="none" w:color="auto"/>
                    </w:rPr>
                    <w:t>排放方式</w:t>
                  </w:r>
                </w:p>
              </w:tc>
              <w:tc>
                <w:tcPr>
                  <w:tcW w:w="888" w:type="pct"/>
                  <w:tcBorders>
                    <w:tl2br w:val="nil"/>
                    <w:tr2bl w:val="nil"/>
                  </w:tcBorders>
                  <w:noWrap w:val="0"/>
                  <w:vAlign w:val="center"/>
                </w:tcPr>
                <w:p w14:paraId="53A0246A">
                  <w:pPr>
                    <w:adjustRightInd w:val="0"/>
                    <w:snapToGrid w:val="0"/>
                    <w:jc w:val="center"/>
                    <w:rPr>
                      <w:rFonts w:hint="default" w:ascii="Times New Roman" w:hAnsi="Times New Roman" w:eastAsia="宋体" w:cs="Times New Roman"/>
                      <w:b/>
                      <w:color w:val="auto"/>
                      <w:sz w:val="21"/>
                      <w:szCs w:val="21"/>
                      <w:u w:val="none" w:color="auto"/>
                    </w:rPr>
                  </w:pPr>
                  <w:r>
                    <w:rPr>
                      <w:rFonts w:hint="default" w:ascii="Times New Roman" w:hAnsi="Times New Roman" w:eastAsia="宋体" w:cs="Times New Roman"/>
                      <w:b/>
                      <w:color w:val="auto"/>
                      <w:sz w:val="21"/>
                      <w:szCs w:val="21"/>
                      <w:u w:val="none" w:color="auto"/>
                    </w:rPr>
                    <w:t>污染因子</w:t>
                  </w:r>
                </w:p>
              </w:tc>
              <w:tc>
                <w:tcPr>
                  <w:tcW w:w="1081" w:type="pct"/>
                  <w:tcBorders>
                    <w:tl2br w:val="nil"/>
                    <w:tr2bl w:val="nil"/>
                  </w:tcBorders>
                  <w:noWrap w:val="0"/>
                  <w:vAlign w:val="center"/>
                </w:tcPr>
                <w:p w14:paraId="66B727BF">
                  <w:pPr>
                    <w:adjustRightInd w:val="0"/>
                    <w:snapToGrid w:val="0"/>
                    <w:jc w:val="center"/>
                    <w:rPr>
                      <w:rFonts w:hint="default" w:ascii="Times New Roman" w:hAnsi="Times New Roman" w:eastAsia="宋体" w:cs="Times New Roman"/>
                      <w:b/>
                      <w:color w:val="auto"/>
                      <w:sz w:val="21"/>
                      <w:szCs w:val="21"/>
                      <w:u w:val="none" w:color="auto"/>
                    </w:rPr>
                  </w:pPr>
                  <w:r>
                    <w:rPr>
                      <w:rFonts w:hint="default" w:ascii="Times New Roman" w:hAnsi="Times New Roman" w:eastAsia="宋体" w:cs="Times New Roman"/>
                      <w:b/>
                      <w:color w:val="auto"/>
                      <w:sz w:val="21"/>
                      <w:szCs w:val="21"/>
                      <w:u w:val="none" w:color="auto"/>
                    </w:rPr>
                    <w:t>排放量（t/a）</w:t>
                  </w:r>
                </w:p>
              </w:tc>
            </w:tr>
            <w:tr w14:paraId="13AE537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99" w:hRule="atLeast"/>
              </w:trPr>
              <w:tc>
                <w:tcPr>
                  <w:tcW w:w="623" w:type="pct"/>
                  <w:vMerge w:val="restart"/>
                  <w:tcBorders>
                    <w:tl2br w:val="nil"/>
                    <w:tr2bl w:val="nil"/>
                  </w:tcBorders>
                  <w:noWrap w:val="0"/>
                  <w:vAlign w:val="center"/>
                </w:tcPr>
                <w:p w14:paraId="726254DA">
                  <w:pPr>
                    <w:adjustRightInd w:val="0"/>
                    <w:snapToGrid w:val="0"/>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中创空天厂区</w:t>
                  </w:r>
                </w:p>
              </w:tc>
              <w:tc>
                <w:tcPr>
                  <w:tcW w:w="1517" w:type="pct"/>
                  <w:vMerge w:val="restart"/>
                  <w:tcBorders>
                    <w:tl2br w:val="nil"/>
                    <w:tr2bl w:val="nil"/>
                  </w:tcBorders>
                  <w:noWrap w:val="0"/>
                  <w:vAlign w:val="center"/>
                </w:tcPr>
                <w:p w14:paraId="076EA248">
                  <w:pPr>
                    <w:adjustRightInd w:val="0"/>
                    <w:snapToGrid w:val="0"/>
                    <w:jc w:val="center"/>
                    <w:rPr>
                      <w:rFonts w:hint="default" w:ascii="Times New Roman" w:hAnsi="Times New Roman" w:eastAsia="宋体" w:cs="Times New Roman"/>
                      <w:bCs/>
                      <w:color w:val="auto"/>
                      <w:sz w:val="21"/>
                      <w:szCs w:val="21"/>
                      <w:u w:val="none" w:color="auto"/>
                      <w:lang w:eastAsia="zh-CN"/>
                    </w:rPr>
                  </w:pPr>
                  <w:r>
                    <w:rPr>
                      <w:rFonts w:hint="default" w:ascii="Times New Roman" w:hAnsi="Times New Roman" w:eastAsia="宋体" w:cs="Times New Roman"/>
                      <w:bCs/>
                      <w:color w:val="auto"/>
                      <w:sz w:val="21"/>
                      <w:szCs w:val="21"/>
                      <w:u w:val="none" w:color="auto"/>
                    </w:rPr>
                    <w:t>熔化烟尘（G1）</w:t>
                  </w:r>
                  <w:r>
                    <w:rPr>
                      <w:rFonts w:hint="default" w:ascii="Times New Roman" w:hAnsi="Times New Roman" w:eastAsia="宋体" w:cs="Times New Roman"/>
                      <w:bCs/>
                      <w:color w:val="auto"/>
                      <w:sz w:val="21"/>
                      <w:szCs w:val="21"/>
                      <w:u w:val="none" w:color="auto"/>
                      <w:lang w:eastAsia="zh-CN"/>
                    </w:rPr>
                    <w:t>、生物质颗粒燃烧废气（G2）、天然气燃烧废气（G3）、铝灰渣处理粉尘（G4）</w:t>
                  </w:r>
                </w:p>
              </w:tc>
              <w:tc>
                <w:tcPr>
                  <w:tcW w:w="888" w:type="pct"/>
                  <w:vMerge w:val="restart"/>
                  <w:tcBorders>
                    <w:tl2br w:val="nil"/>
                    <w:tr2bl w:val="nil"/>
                  </w:tcBorders>
                  <w:noWrap w:val="0"/>
                  <w:vAlign w:val="center"/>
                </w:tcPr>
                <w:p w14:paraId="6FD960DB">
                  <w:pPr>
                    <w:adjustRightInd w:val="0"/>
                    <w:snapToGrid w:val="0"/>
                    <w:jc w:val="center"/>
                    <w:rPr>
                      <w:rFonts w:hint="default" w:ascii="Times New Roman" w:hAnsi="Times New Roman" w:eastAsia="宋体" w:cs="Times New Roman"/>
                      <w:bCs/>
                      <w:color w:val="auto"/>
                      <w:sz w:val="21"/>
                      <w:szCs w:val="21"/>
                      <w:u w:val="none" w:color="auto"/>
                      <w:lang w:val="en-US" w:eastAsia="zh-CN"/>
                    </w:rPr>
                  </w:pPr>
                  <w:r>
                    <w:rPr>
                      <w:rFonts w:hint="default" w:ascii="Times New Roman" w:hAnsi="Times New Roman" w:eastAsia="宋体" w:cs="Times New Roman"/>
                      <w:bCs/>
                      <w:color w:val="auto"/>
                      <w:sz w:val="21"/>
                      <w:szCs w:val="21"/>
                      <w:u w:val="none" w:color="auto"/>
                      <w:lang w:val="en-US" w:eastAsia="zh-CN"/>
                    </w:rPr>
                    <w:t>DA010</w:t>
                  </w:r>
                </w:p>
              </w:tc>
              <w:tc>
                <w:tcPr>
                  <w:tcW w:w="888" w:type="pct"/>
                  <w:tcBorders>
                    <w:tl2br w:val="nil"/>
                    <w:tr2bl w:val="nil"/>
                  </w:tcBorders>
                  <w:noWrap w:val="0"/>
                  <w:vAlign w:val="center"/>
                </w:tcPr>
                <w:p w14:paraId="54CB8C92">
                  <w:pPr>
                    <w:jc w:val="center"/>
                    <w:rPr>
                      <w:rFonts w:hint="default" w:ascii="Times New Roman" w:hAnsi="Times New Roman" w:eastAsia="宋体" w:cs="Times New Roman"/>
                      <w:bCs/>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颗粒物</w:t>
                  </w:r>
                </w:p>
              </w:tc>
              <w:tc>
                <w:tcPr>
                  <w:tcW w:w="1081" w:type="pct"/>
                  <w:tcBorders>
                    <w:tl2br w:val="nil"/>
                    <w:tr2bl w:val="nil"/>
                  </w:tcBorders>
                  <w:noWrap w:val="0"/>
                  <w:vAlign w:val="center"/>
                </w:tcPr>
                <w:p w14:paraId="009E3A11">
                  <w:pPr>
                    <w:keepNext w:val="0"/>
                    <w:keepLines w:val="0"/>
                    <w:widowControl/>
                    <w:suppressLineNumbers w:val="0"/>
                    <w:jc w:val="center"/>
                    <w:textAlignment w:val="center"/>
                    <w:rPr>
                      <w:rFonts w:hint="default" w:ascii="Times New Roman" w:hAnsi="Times New Roman" w:eastAsia="宋体" w:cs="Times New Roman"/>
                      <w:bCs/>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0.2545</w:t>
                  </w:r>
                </w:p>
              </w:tc>
            </w:tr>
            <w:tr w14:paraId="78B8512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23" w:type="pct"/>
                  <w:vMerge w:val="continue"/>
                  <w:tcBorders>
                    <w:tl2br w:val="nil"/>
                    <w:tr2bl w:val="nil"/>
                  </w:tcBorders>
                  <w:noWrap w:val="0"/>
                  <w:vAlign w:val="center"/>
                </w:tcPr>
                <w:p w14:paraId="413DEBDE">
                  <w:pPr>
                    <w:adjustRightInd w:val="0"/>
                    <w:snapToGrid w:val="0"/>
                    <w:jc w:val="center"/>
                    <w:rPr>
                      <w:rFonts w:hint="default" w:ascii="Times New Roman" w:hAnsi="Times New Roman" w:eastAsia="宋体" w:cs="Times New Roman"/>
                      <w:color w:val="auto"/>
                      <w:sz w:val="21"/>
                      <w:szCs w:val="21"/>
                      <w:u w:val="none" w:color="auto"/>
                      <w:lang w:val="en-US" w:eastAsia="zh-CN"/>
                    </w:rPr>
                  </w:pPr>
                </w:p>
              </w:tc>
              <w:tc>
                <w:tcPr>
                  <w:tcW w:w="1517" w:type="pct"/>
                  <w:vMerge w:val="continue"/>
                  <w:tcBorders>
                    <w:tl2br w:val="nil"/>
                    <w:tr2bl w:val="nil"/>
                  </w:tcBorders>
                  <w:noWrap w:val="0"/>
                  <w:vAlign w:val="center"/>
                </w:tcPr>
                <w:p w14:paraId="4BB8DFBD">
                  <w:pPr>
                    <w:adjustRightInd w:val="0"/>
                    <w:snapToGrid w:val="0"/>
                    <w:jc w:val="center"/>
                    <w:rPr>
                      <w:rFonts w:hint="default" w:ascii="Times New Roman" w:hAnsi="Times New Roman" w:eastAsia="宋体" w:cs="Times New Roman"/>
                      <w:bCs/>
                      <w:color w:val="auto"/>
                      <w:sz w:val="21"/>
                      <w:szCs w:val="21"/>
                      <w:u w:val="none" w:color="auto"/>
                    </w:rPr>
                  </w:pPr>
                </w:p>
              </w:tc>
              <w:tc>
                <w:tcPr>
                  <w:tcW w:w="888" w:type="pct"/>
                  <w:vMerge w:val="continue"/>
                  <w:tcBorders>
                    <w:tl2br w:val="nil"/>
                    <w:tr2bl w:val="nil"/>
                  </w:tcBorders>
                  <w:noWrap w:val="0"/>
                  <w:vAlign w:val="center"/>
                </w:tcPr>
                <w:p w14:paraId="5DD170AE">
                  <w:pPr>
                    <w:adjustRightInd w:val="0"/>
                    <w:snapToGrid w:val="0"/>
                    <w:jc w:val="center"/>
                    <w:rPr>
                      <w:rFonts w:hint="default" w:ascii="Times New Roman" w:hAnsi="Times New Roman" w:eastAsia="宋体" w:cs="Times New Roman"/>
                      <w:bCs/>
                      <w:color w:val="auto"/>
                      <w:sz w:val="21"/>
                      <w:szCs w:val="21"/>
                      <w:u w:val="none" w:color="auto"/>
                    </w:rPr>
                  </w:pPr>
                </w:p>
              </w:tc>
              <w:tc>
                <w:tcPr>
                  <w:tcW w:w="888" w:type="pct"/>
                  <w:tcBorders>
                    <w:tl2br w:val="nil"/>
                    <w:tr2bl w:val="nil"/>
                  </w:tcBorders>
                  <w:noWrap w:val="0"/>
                  <w:vAlign w:val="center"/>
                </w:tcPr>
                <w:p w14:paraId="77A85E9D">
                  <w:pPr>
                    <w:jc w:val="center"/>
                    <w:rPr>
                      <w:rFonts w:hint="default" w:ascii="Times New Roman" w:hAnsi="Times New Roman" w:eastAsia="宋体" w:cs="Times New Roman"/>
                      <w:bCs/>
                      <w:color w:val="auto"/>
                      <w:sz w:val="21"/>
                      <w:szCs w:val="21"/>
                      <w:u w:val="none" w:color="auto"/>
                    </w:rPr>
                  </w:pPr>
                  <w:r>
                    <w:rPr>
                      <w:rFonts w:hint="default" w:ascii="Times New Roman" w:hAnsi="Times New Roman" w:eastAsia="宋体" w:cs="Times New Roman"/>
                      <w:color w:val="auto"/>
                      <w:sz w:val="21"/>
                      <w:szCs w:val="21"/>
                      <w:u w:val="none" w:color="auto"/>
                    </w:rPr>
                    <w:t>SO</w:t>
                  </w:r>
                  <w:r>
                    <w:rPr>
                      <w:rFonts w:hint="default" w:ascii="Times New Roman" w:hAnsi="Times New Roman" w:eastAsia="宋体" w:cs="Times New Roman"/>
                      <w:color w:val="auto"/>
                      <w:sz w:val="21"/>
                      <w:szCs w:val="21"/>
                      <w:u w:val="none" w:color="auto"/>
                      <w:vertAlign w:val="subscript"/>
                    </w:rPr>
                    <w:t>2</w:t>
                  </w:r>
                </w:p>
              </w:tc>
              <w:tc>
                <w:tcPr>
                  <w:tcW w:w="1081" w:type="pct"/>
                  <w:tcBorders>
                    <w:tl2br w:val="nil"/>
                    <w:tr2bl w:val="nil"/>
                  </w:tcBorders>
                  <w:noWrap w:val="0"/>
                  <w:vAlign w:val="center"/>
                </w:tcPr>
                <w:p w14:paraId="73D964B1">
                  <w:pPr>
                    <w:keepNext w:val="0"/>
                    <w:keepLines w:val="0"/>
                    <w:widowControl/>
                    <w:suppressLineNumbers w:val="0"/>
                    <w:jc w:val="center"/>
                    <w:textAlignment w:val="center"/>
                    <w:rPr>
                      <w:rFonts w:hint="default" w:ascii="Times New Roman" w:hAnsi="Times New Roman" w:eastAsia="宋体" w:cs="Times New Roman"/>
                      <w:bCs/>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5.0946</w:t>
                  </w:r>
                </w:p>
              </w:tc>
            </w:tr>
            <w:tr w14:paraId="02B3EE2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23" w:type="pct"/>
                  <w:vMerge w:val="continue"/>
                  <w:tcBorders>
                    <w:tl2br w:val="nil"/>
                    <w:tr2bl w:val="nil"/>
                  </w:tcBorders>
                  <w:noWrap w:val="0"/>
                  <w:vAlign w:val="center"/>
                </w:tcPr>
                <w:p w14:paraId="5BF9F4C1">
                  <w:pPr>
                    <w:adjustRightInd w:val="0"/>
                    <w:snapToGrid w:val="0"/>
                    <w:jc w:val="center"/>
                    <w:rPr>
                      <w:rFonts w:hint="default" w:ascii="Times New Roman" w:hAnsi="Times New Roman" w:eastAsia="宋体" w:cs="Times New Roman"/>
                      <w:color w:val="auto"/>
                      <w:sz w:val="21"/>
                      <w:szCs w:val="21"/>
                      <w:u w:val="none" w:color="auto"/>
                      <w:lang w:val="en-US" w:eastAsia="zh-CN"/>
                    </w:rPr>
                  </w:pPr>
                </w:p>
              </w:tc>
              <w:tc>
                <w:tcPr>
                  <w:tcW w:w="1517" w:type="pct"/>
                  <w:vMerge w:val="continue"/>
                  <w:tcBorders>
                    <w:tl2br w:val="nil"/>
                    <w:tr2bl w:val="nil"/>
                  </w:tcBorders>
                  <w:noWrap w:val="0"/>
                  <w:vAlign w:val="center"/>
                </w:tcPr>
                <w:p w14:paraId="44070370">
                  <w:pPr>
                    <w:adjustRightInd w:val="0"/>
                    <w:snapToGrid w:val="0"/>
                    <w:jc w:val="center"/>
                    <w:rPr>
                      <w:rFonts w:hint="default" w:ascii="Times New Roman" w:hAnsi="Times New Roman" w:eastAsia="宋体" w:cs="Times New Roman"/>
                      <w:bCs/>
                      <w:color w:val="auto"/>
                      <w:sz w:val="21"/>
                      <w:szCs w:val="21"/>
                      <w:u w:val="none" w:color="auto"/>
                    </w:rPr>
                  </w:pPr>
                </w:p>
              </w:tc>
              <w:tc>
                <w:tcPr>
                  <w:tcW w:w="888" w:type="pct"/>
                  <w:vMerge w:val="continue"/>
                  <w:tcBorders>
                    <w:tl2br w:val="nil"/>
                    <w:tr2bl w:val="nil"/>
                  </w:tcBorders>
                  <w:noWrap w:val="0"/>
                  <w:vAlign w:val="center"/>
                </w:tcPr>
                <w:p w14:paraId="58242D9F">
                  <w:pPr>
                    <w:adjustRightInd w:val="0"/>
                    <w:snapToGrid w:val="0"/>
                    <w:jc w:val="center"/>
                    <w:rPr>
                      <w:rFonts w:hint="default" w:ascii="Times New Roman" w:hAnsi="Times New Roman" w:eastAsia="宋体" w:cs="Times New Roman"/>
                      <w:bCs/>
                      <w:color w:val="auto"/>
                      <w:sz w:val="21"/>
                      <w:szCs w:val="21"/>
                      <w:u w:val="none" w:color="auto"/>
                    </w:rPr>
                  </w:pPr>
                </w:p>
              </w:tc>
              <w:tc>
                <w:tcPr>
                  <w:tcW w:w="888" w:type="pct"/>
                  <w:tcBorders>
                    <w:tl2br w:val="nil"/>
                    <w:tr2bl w:val="nil"/>
                  </w:tcBorders>
                  <w:noWrap w:val="0"/>
                  <w:vAlign w:val="center"/>
                </w:tcPr>
                <w:p w14:paraId="12B30DF6">
                  <w:pPr>
                    <w:jc w:val="center"/>
                    <w:rPr>
                      <w:rFonts w:hint="default" w:ascii="Times New Roman" w:hAnsi="Times New Roman" w:eastAsia="宋体" w:cs="Times New Roman"/>
                      <w:bCs/>
                      <w:color w:val="auto"/>
                      <w:sz w:val="21"/>
                      <w:szCs w:val="21"/>
                      <w:u w:val="none" w:color="auto"/>
                    </w:rPr>
                  </w:pPr>
                  <w:r>
                    <w:rPr>
                      <w:rFonts w:hint="default" w:ascii="Times New Roman" w:hAnsi="Times New Roman" w:eastAsia="宋体" w:cs="Times New Roman"/>
                      <w:color w:val="auto"/>
                      <w:sz w:val="21"/>
                      <w:szCs w:val="21"/>
                      <w:u w:val="none" w:color="auto"/>
                    </w:rPr>
                    <w:t>NO</w:t>
                  </w:r>
                  <w:r>
                    <w:rPr>
                      <w:rFonts w:hint="default" w:ascii="Times New Roman" w:hAnsi="Times New Roman" w:eastAsia="宋体" w:cs="Times New Roman"/>
                      <w:color w:val="auto"/>
                      <w:sz w:val="21"/>
                      <w:szCs w:val="21"/>
                      <w:u w:val="none" w:color="auto"/>
                      <w:vertAlign w:val="subscript"/>
                    </w:rPr>
                    <w:t>x</w:t>
                  </w:r>
                </w:p>
              </w:tc>
              <w:tc>
                <w:tcPr>
                  <w:tcW w:w="1081" w:type="pct"/>
                  <w:tcBorders>
                    <w:tl2br w:val="nil"/>
                    <w:tr2bl w:val="nil"/>
                  </w:tcBorders>
                  <w:noWrap w:val="0"/>
                  <w:vAlign w:val="center"/>
                </w:tcPr>
                <w:p w14:paraId="1F7E8C1C">
                  <w:pPr>
                    <w:keepNext w:val="0"/>
                    <w:keepLines w:val="0"/>
                    <w:widowControl/>
                    <w:suppressLineNumbers w:val="0"/>
                    <w:jc w:val="center"/>
                    <w:textAlignment w:val="center"/>
                    <w:rPr>
                      <w:rFonts w:hint="default" w:ascii="Times New Roman" w:hAnsi="Times New Roman" w:eastAsia="宋体" w:cs="Times New Roman"/>
                      <w:bCs/>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10.3500</w:t>
                  </w:r>
                </w:p>
              </w:tc>
            </w:tr>
            <w:tr w14:paraId="687E341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23" w:type="pct"/>
                  <w:vMerge w:val="continue"/>
                  <w:tcBorders>
                    <w:tl2br w:val="nil"/>
                    <w:tr2bl w:val="nil"/>
                  </w:tcBorders>
                  <w:noWrap w:val="0"/>
                  <w:vAlign w:val="center"/>
                </w:tcPr>
                <w:p w14:paraId="3AB126ED">
                  <w:pPr>
                    <w:adjustRightInd w:val="0"/>
                    <w:snapToGrid w:val="0"/>
                    <w:jc w:val="center"/>
                    <w:rPr>
                      <w:rFonts w:hint="default" w:ascii="Times New Roman" w:hAnsi="Times New Roman" w:eastAsia="宋体" w:cs="Times New Roman"/>
                      <w:color w:val="auto"/>
                      <w:sz w:val="21"/>
                      <w:szCs w:val="21"/>
                      <w:u w:val="none" w:color="auto"/>
                      <w:lang w:val="en-US" w:eastAsia="zh-CN"/>
                    </w:rPr>
                  </w:pPr>
                </w:p>
              </w:tc>
              <w:tc>
                <w:tcPr>
                  <w:tcW w:w="1517" w:type="pct"/>
                  <w:vMerge w:val="continue"/>
                  <w:tcBorders>
                    <w:tl2br w:val="nil"/>
                    <w:tr2bl w:val="nil"/>
                  </w:tcBorders>
                  <w:noWrap w:val="0"/>
                  <w:vAlign w:val="center"/>
                </w:tcPr>
                <w:p w14:paraId="028DDB5B">
                  <w:pPr>
                    <w:adjustRightInd w:val="0"/>
                    <w:snapToGrid w:val="0"/>
                    <w:jc w:val="center"/>
                    <w:rPr>
                      <w:rFonts w:hint="default" w:ascii="Times New Roman" w:hAnsi="Times New Roman" w:eastAsia="宋体" w:cs="Times New Roman"/>
                      <w:bCs/>
                      <w:color w:val="auto"/>
                      <w:sz w:val="21"/>
                      <w:szCs w:val="21"/>
                      <w:u w:val="none" w:color="auto"/>
                    </w:rPr>
                  </w:pPr>
                </w:p>
              </w:tc>
              <w:tc>
                <w:tcPr>
                  <w:tcW w:w="888" w:type="pct"/>
                  <w:vMerge w:val="restart"/>
                  <w:tcBorders>
                    <w:tl2br w:val="nil"/>
                    <w:tr2bl w:val="nil"/>
                  </w:tcBorders>
                  <w:noWrap w:val="0"/>
                  <w:vAlign w:val="center"/>
                </w:tcPr>
                <w:p w14:paraId="1235DEF9">
                  <w:pPr>
                    <w:adjustRightInd w:val="0"/>
                    <w:snapToGrid w:val="0"/>
                    <w:jc w:val="center"/>
                    <w:rPr>
                      <w:rFonts w:hint="default" w:ascii="Times New Roman" w:hAnsi="Times New Roman" w:eastAsia="宋体" w:cs="Times New Roman"/>
                      <w:bCs/>
                      <w:color w:val="auto"/>
                      <w:sz w:val="21"/>
                      <w:szCs w:val="21"/>
                      <w:u w:val="none" w:color="auto"/>
                      <w:lang w:val="en-US" w:eastAsia="zh-CN"/>
                    </w:rPr>
                  </w:pPr>
                  <w:r>
                    <w:rPr>
                      <w:rFonts w:hint="default" w:ascii="Times New Roman" w:hAnsi="Times New Roman" w:eastAsia="宋体" w:cs="Times New Roman"/>
                      <w:bCs/>
                      <w:color w:val="auto"/>
                      <w:sz w:val="21"/>
                      <w:szCs w:val="21"/>
                      <w:u w:val="none" w:color="auto"/>
                      <w:lang w:val="en-US" w:eastAsia="zh-CN"/>
                    </w:rPr>
                    <w:t>无组织</w:t>
                  </w:r>
                </w:p>
              </w:tc>
              <w:tc>
                <w:tcPr>
                  <w:tcW w:w="888" w:type="pct"/>
                  <w:tcBorders>
                    <w:tl2br w:val="nil"/>
                    <w:tr2bl w:val="nil"/>
                  </w:tcBorders>
                  <w:noWrap w:val="0"/>
                  <w:vAlign w:val="center"/>
                </w:tcPr>
                <w:p w14:paraId="15392826">
                  <w:pPr>
                    <w:jc w:val="center"/>
                    <w:rPr>
                      <w:rFonts w:hint="default" w:ascii="Times New Roman" w:hAnsi="Times New Roman" w:eastAsia="宋体" w:cs="Times New Roman"/>
                      <w:bCs/>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颗粒物</w:t>
                  </w:r>
                </w:p>
              </w:tc>
              <w:tc>
                <w:tcPr>
                  <w:tcW w:w="1081" w:type="pct"/>
                  <w:tcBorders>
                    <w:tl2br w:val="nil"/>
                    <w:tr2bl w:val="nil"/>
                  </w:tcBorders>
                  <w:noWrap w:val="0"/>
                  <w:vAlign w:val="center"/>
                </w:tcPr>
                <w:p w14:paraId="13B6B764">
                  <w:pPr>
                    <w:keepNext w:val="0"/>
                    <w:keepLines w:val="0"/>
                    <w:widowControl/>
                    <w:suppressLineNumbers w:val="0"/>
                    <w:jc w:val="center"/>
                    <w:textAlignment w:val="center"/>
                    <w:rPr>
                      <w:rFonts w:hint="default" w:ascii="Times New Roman" w:hAnsi="Times New Roman" w:eastAsia="宋体" w:cs="Times New Roman"/>
                      <w:bCs/>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2.3805</w:t>
                  </w:r>
                </w:p>
              </w:tc>
            </w:tr>
            <w:tr w14:paraId="56E809A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23" w:type="pct"/>
                  <w:vMerge w:val="continue"/>
                  <w:tcBorders>
                    <w:tl2br w:val="nil"/>
                    <w:tr2bl w:val="nil"/>
                  </w:tcBorders>
                  <w:noWrap w:val="0"/>
                  <w:vAlign w:val="center"/>
                </w:tcPr>
                <w:p w14:paraId="0AA78964">
                  <w:pPr>
                    <w:adjustRightInd w:val="0"/>
                    <w:snapToGrid w:val="0"/>
                    <w:jc w:val="center"/>
                    <w:rPr>
                      <w:rFonts w:hint="default" w:ascii="Times New Roman" w:hAnsi="Times New Roman" w:eastAsia="宋体" w:cs="Times New Roman"/>
                      <w:color w:val="auto"/>
                      <w:sz w:val="21"/>
                      <w:szCs w:val="21"/>
                      <w:u w:val="none" w:color="auto"/>
                      <w:lang w:val="en-US" w:eastAsia="zh-CN"/>
                    </w:rPr>
                  </w:pPr>
                </w:p>
              </w:tc>
              <w:tc>
                <w:tcPr>
                  <w:tcW w:w="1517" w:type="pct"/>
                  <w:vMerge w:val="continue"/>
                  <w:tcBorders>
                    <w:tl2br w:val="nil"/>
                    <w:tr2bl w:val="nil"/>
                  </w:tcBorders>
                  <w:noWrap w:val="0"/>
                  <w:vAlign w:val="center"/>
                </w:tcPr>
                <w:p w14:paraId="008D1B3A">
                  <w:pPr>
                    <w:adjustRightInd w:val="0"/>
                    <w:snapToGrid w:val="0"/>
                    <w:jc w:val="center"/>
                    <w:rPr>
                      <w:rFonts w:hint="default" w:ascii="Times New Roman" w:hAnsi="Times New Roman" w:eastAsia="宋体" w:cs="Times New Roman"/>
                      <w:bCs/>
                      <w:color w:val="auto"/>
                      <w:sz w:val="21"/>
                      <w:szCs w:val="21"/>
                      <w:u w:val="none" w:color="auto"/>
                    </w:rPr>
                  </w:pPr>
                </w:p>
              </w:tc>
              <w:tc>
                <w:tcPr>
                  <w:tcW w:w="888" w:type="pct"/>
                  <w:vMerge w:val="continue"/>
                  <w:tcBorders>
                    <w:tl2br w:val="nil"/>
                    <w:tr2bl w:val="nil"/>
                  </w:tcBorders>
                  <w:noWrap w:val="0"/>
                  <w:vAlign w:val="center"/>
                </w:tcPr>
                <w:p w14:paraId="19AC0B4F">
                  <w:pPr>
                    <w:adjustRightInd w:val="0"/>
                    <w:snapToGrid w:val="0"/>
                    <w:jc w:val="center"/>
                    <w:rPr>
                      <w:rFonts w:hint="default" w:ascii="Times New Roman" w:hAnsi="Times New Roman" w:eastAsia="宋体" w:cs="Times New Roman"/>
                      <w:bCs/>
                      <w:color w:val="auto"/>
                      <w:sz w:val="21"/>
                      <w:szCs w:val="21"/>
                      <w:u w:val="none" w:color="auto"/>
                    </w:rPr>
                  </w:pPr>
                </w:p>
              </w:tc>
              <w:tc>
                <w:tcPr>
                  <w:tcW w:w="888" w:type="pct"/>
                  <w:tcBorders>
                    <w:tl2br w:val="nil"/>
                    <w:tr2bl w:val="nil"/>
                  </w:tcBorders>
                  <w:noWrap w:val="0"/>
                  <w:vAlign w:val="center"/>
                </w:tcPr>
                <w:p w14:paraId="7538E882">
                  <w:pPr>
                    <w:jc w:val="center"/>
                    <w:rPr>
                      <w:rFonts w:hint="default" w:ascii="Times New Roman" w:hAnsi="Times New Roman" w:eastAsia="宋体" w:cs="Times New Roman"/>
                      <w:bCs/>
                      <w:color w:val="auto"/>
                      <w:sz w:val="21"/>
                      <w:szCs w:val="21"/>
                      <w:u w:val="none" w:color="auto"/>
                    </w:rPr>
                  </w:pPr>
                  <w:r>
                    <w:rPr>
                      <w:rFonts w:hint="default" w:ascii="Times New Roman" w:hAnsi="Times New Roman" w:eastAsia="宋体" w:cs="Times New Roman"/>
                      <w:color w:val="auto"/>
                      <w:sz w:val="21"/>
                      <w:szCs w:val="21"/>
                      <w:u w:val="none" w:color="auto"/>
                    </w:rPr>
                    <w:t>SO</w:t>
                  </w:r>
                  <w:r>
                    <w:rPr>
                      <w:rFonts w:hint="default" w:ascii="Times New Roman" w:hAnsi="Times New Roman" w:eastAsia="宋体" w:cs="Times New Roman"/>
                      <w:color w:val="auto"/>
                      <w:sz w:val="21"/>
                      <w:szCs w:val="21"/>
                      <w:u w:val="none" w:color="auto"/>
                      <w:vertAlign w:val="subscript"/>
                    </w:rPr>
                    <w:t>2</w:t>
                  </w:r>
                </w:p>
              </w:tc>
              <w:tc>
                <w:tcPr>
                  <w:tcW w:w="1081" w:type="pct"/>
                  <w:tcBorders>
                    <w:tl2br w:val="nil"/>
                    <w:tr2bl w:val="nil"/>
                  </w:tcBorders>
                  <w:noWrap w:val="0"/>
                  <w:vAlign w:val="center"/>
                </w:tcPr>
                <w:p w14:paraId="7CAA95DE">
                  <w:pPr>
                    <w:keepNext w:val="0"/>
                    <w:keepLines w:val="0"/>
                    <w:widowControl/>
                    <w:suppressLineNumbers w:val="0"/>
                    <w:jc w:val="center"/>
                    <w:textAlignment w:val="center"/>
                    <w:rPr>
                      <w:rFonts w:hint="default" w:ascii="Times New Roman" w:hAnsi="Times New Roman" w:eastAsia="宋体" w:cs="Times New Roman"/>
                      <w:bCs/>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0.5545</w:t>
                  </w:r>
                </w:p>
              </w:tc>
            </w:tr>
            <w:tr w14:paraId="3B2B93D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23" w:type="pct"/>
                  <w:vMerge w:val="continue"/>
                  <w:tcBorders>
                    <w:tl2br w:val="nil"/>
                    <w:tr2bl w:val="nil"/>
                  </w:tcBorders>
                  <w:noWrap w:val="0"/>
                  <w:vAlign w:val="center"/>
                </w:tcPr>
                <w:p w14:paraId="180AC5A5">
                  <w:pPr>
                    <w:adjustRightInd w:val="0"/>
                    <w:snapToGrid w:val="0"/>
                    <w:jc w:val="center"/>
                    <w:rPr>
                      <w:rFonts w:hint="default" w:ascii="Times New Roman" w:hAnsi="Times New Roman" w:eastAsia="宋体" w:cs="Times New Roman"/>
                      <w:color w:val="auto"/>
                      <w:sz w:val="21"/>
                      <w:szCs w:val="21"/>
                      <w:u w:val="none" w:color="auto"/>
                      <w:lang w:val="en-US" w:eastAsia="zh-CN"/>
                    </w:rPr>
                  </w:pPr>
                </w:p>
              </w:tc>
              <w:tc>
                <w:tcPr>
                  <w:tcW w:w="1517" w:type="pct"/>
                  <w:vMerge w:val="continue"/>
                  <w:tcBorders>
                    <w:tl2br w:val="nil"/>
                    <w:tr2bl w:val="nil"/>
                  </w:tcBorders>
                  <w:noWrap w:val="0"/>
                  <w:vAlign w:val="center"/>
                </w:tcPr>
                <w:p w14:paraId="2EAA7ED4">
                  <w:pPr>
                    <w:adjustRightInd w:val="0"/>
                    <w:snapToGrid w:val="0"/>
                    <w:jc w:val="center"/>
                    <w:rPr>
                      <w:rFonts w:hint="default" w:ascii="Times New Roman" w:hAnsi="Times New Roman" w:eastAsia="宋体" w:cs="Times New Roman"/>
                      <w:bCs/>
                      <w:color w:val="auto"/>
                      <w:sz w:val="21"/>
                      <w:szCs w:val="21"/>
                      <w:u w:val="none" w:color="auto"/>
                    </w:rPr>
                  </w:pPr>
                </w:p>
              </w:tc>
              <w:tc>
                <w:tcPr>
                  <w:tcW w:w="888" w:type="pct"/>
                  <w:vMerge w:val="continue"/>
                  <w:tcBorders>
                    <w:tl2br w:val="nil"/>
                    <w:tr2bl w:val="nil"/>
                  </w:tcBorders>
                  <w:noWrap w:val="0"/>
                  <w:vAlign w:val="center"/>
                </w:tcPr>
                <w:p w14:paraId="3BFD96C8">
                  <w:pPr>
                    <w:adjustRightInd w:val="0"/>
                    <w:snapToGrid w:val="0"/>
                    <w:jc w:val="center"/>
                    <w:rPr>
                      <w:rFonts w:hint="default" w:ascii="Times New Roman" w:hAnsi="Times New Roman" w:eastAsia="宋体" w:cs="Times New Roman"/>
                      <w:bCs/>
                      <w:color w:val="auto"/>
                      <w:sz w:val="21"/>
                      <w:szCs w:val="21"/>
                      <w:u w:val="none" w:color="auto"/>
                    </w:rPr>
                  </w:pPr>
                </w:p>
              </w:tc>
              <w:tc>
                <w:tcPr>
                  <w:tcW w:w="888" w:type="pct"/>
                  <w:tcBorders>
                    <w:tl2br w:val="nil"/>
                    <w:tr2bl w:val="nil"/>
                  </w:tcBorders>
                  <w:noWrap w:val="0"/>
                  <w:vAlign w:val="center"/>
                </w:tcPr>
                <w:p w14:paraId="32941473">
                  <w:pPr>
                    <w:jc w:val="center"/>
                    <w:rPr>
                      <w:rFonts w:hint="default" w:ascii="Times New Roman" w:hAnsi="Times New Roman" w:eastAsia="宋体" w:cs="Times New Roman"/>
                      <w:bCs/>
                      <w:color w:val="auto"/>
                      <w:sz w:val="21"/>
                      <w:szCs w:val="21"/>
                      <w:u w:val="none" w:color="auto"/>
                    </w:rPr>
                  </w:pPr>
                  <w:r>
                    <w:rPr>
                      <w:rFonts w:hint="default" w:ascii="Times New Roman" w:hAnsi="Times New Roman" w:eastAsia="宋体" w:cs="Times New Roman"/>
                      <w:color w:val="auto"/>
                      <w:sz w:val="21"/>
                      <w:szCs w:val="21"/>
                      <w:u w:val="none" w:color="auto"/>
                    </w:rPr>
                    <w:t>NO</w:t>
                  </w:r>
                  <w:r>
                    <w:rPr>
                      <w:rFonts w:hint="default" w:ascii="Times New Roman" w:hAnsi="Times New Roman" w:eastAsia="宋体" w:cs="Times New Roman"/>
                      <w:color w:val="auto"/>
                      <w:sz w:val="21"/>
                      <w:szCs w:val="21"/>
                      <w:u w:val="none" w:color="auto"/>
                      <w:vertAlign w:val="subscript"/>
                    </w:rPr>
                    <w:t>x</w:t>
                  </w:r>
                </w:p>
              </w:tc>
              <w:tc>
                <w:tcPr>
                  <w:tcW w:w="1081" w:type="pct"/>
                  <w:tcBorders>
                    <w:tl2br w:val="nil"/>
                    <w:tr2bl w:val="nil"/>
                  </w:tcBorders>
                  <w:noWrap w:val="0"/>
                  <w:vAlign w:val="center"/>
                </w:tcPr>
                <w:p w14:paraId="1CD2E296">
                  <w:pPr>
                    <w:keepNext w:val="0"/>
                    <w:keepLines w:val="0"/>
                    <w:widowControl/>
                    <w:suppressLineNumbers w:val="0"/>
                    <w:jc w:val="center"/>
                    <w:textAlignment w:val="center"/>
                    <w:rPr>
                      <w:rFonts w:hint="default" w:ascii="Times New Roman" w:hAnsi="Times New Roman" w:eastAsia="宋体" w:cs="Times New Roman"/>
                      <w:bCs/>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1.146</w:t>
                  </w:r>
                </w:p>
              </w:tc>
            </w:tr>
            <w:tr w14:paraId="1C54AE7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23" w:type="pct"/>
                  <w:vMerge w:val="continue"/>
                  <w:tcBorders>
                    <w:tl2br w:val="nil"/>
                    <w:tr2bl w:val="nil"/>
                  </w:tcBorders>
                  <w:noWrap w:val="0"/>
                  <w:vAlign w:val="center"/>
                </w:tcPr>
                <w:p w14:paraId="085691E2">
                  <w:pPr>
                    <w:adjustRightInd w:val="0"/>
                    <w:snapToGrid w:val="0"/>
                    <w:jc w:val="center"/>
                    <w:rPr>
                      <w:rFonts w:hint="default" w:ascii="Times New Roman" w:hAnsi="Times New Roman" w:eastAsia="宋体" w:cs="Times New Roman"/>
                      <w:color w:val="auto"/>
                      <w:sz w:val="21"/>
                      <w:szCs w:val="21"/>
                      <w:u w:val="none" w:color="auto"/>
                      <w:lang w:val="en-US" w:eastAsia="zh-CN"/>
                    </w:rPr>
                  </w:pPr>
                </w:p>
              </w:tc>
              <w:tc>
                <w:tcPr>
                  <w:tcW w:w="1517" w:type="pct"/>
                  <w:vMerge w:val="restart"/>
                  <w:tcBorders>
                    <w:tl2br w:val="nil"/>
                    <w:tr2bl w:val="nil"/>
                  </w:tcBorders>
                  <w:noWrap w:val="0"/>
                  <w:vAlign w:val="center"/>
                </w:tcPr>
                <w:p w14:paraId="0AE32031">
                  <w:pPr>
                    <w:adjustRightInd w:val="0"/>
                    <w:snapToGrid w:val="0"/>
                    <w:jc w:val="center"/>
                    <w:rPr>
                      <w:rFonts w:hint="default" w:ascii="Times New Roman" w:hAnsi="Times New Roman" w:eastAsia="宋体" w:cs="Times New Roman"/>
                      <w:bCs/>
                      <w:color w:val="auto"/>
                      <w:sz w:val="21"/>
                      <w:szCs w:val="21"/>
                      <w:u w:val="none" w:color="auto"/>
                    </w:rPr>
                  </w:pPr>
                  <w:r>
                    <w:rPr>
                      <w:rFonts w:hint="default" w:ascii="Times New Roman" w:hAnsi="Times New Roman" w:eastAsia="宋体" w:cs="Times New Roman"/>
                      <w:bCs/>
                      <w:color w:val="auto"/>
                      <w:sz w:val="21"/>
                      <w:szCs w:val="21"/>
                      <w:u w:val="none" w:color="auto"/>
                    </w:rPr>
                    <w:t>压铸工艺（G5）</w:t>
                  </w:r>
                </w:p>
              </w:tc>
              <w:tc>
                <w:tcPr>
                  <w:tcW w:w="888" w:type="pct"/>
                  <w:vMerge w:val="restart"/>
                  <w:tcBorders>
                    <w:tl2br w:val="nil"/>
                    <w:tr2bl w:val="nil"/>
                  </w:tcBorders>
                  <w:noWrap w:val="0"/>
                  <w:vAlign w:val="center"/>
                </w:tcPr>
                <w:p w14:paraId="7FFA0826">
                  <w:pPr>
                    <w:adjustRightInd w:val="0"/>
                    <w:snapToGrid w:val="0"/>
                    <w:jc w:val="center"/>
                    <w:rPr>
                      <w:rFonts w:hint="default" w:ascii="Times New Roman" w:hAnsi="Times New Roman" w:eastAsia="宋体" w:cs="Times New Roman"/>
                      <w:bCs/>
                      <w:color w:val="auto"/>
                      <w:sz w:val="21"/>
                      <w:szCs w:val="21"/>
                      <w:u w:val="none" w:color="auto"/>
                      <w:lang w:val="en-US" w:eastAsia="zh-CN"/>
                    </w:rPr>
                  </w:pPr>
                  <w:r>
                    <w:rPr>
                      <w:rFonts w:hint="default" w:ascii="Times New Roman" w:hAnsi="Times New Roman" w:eastAsia="宋体" w:cs="Times New Roman"/>
                      <w:bCs/>
                      <w:color w:val="auto"/>
                      <w:sz w:val="21"/>
                      <w:szCs w:val="21"/>
                      <w:u w:val="none" w:color="auto"/>
                      <w:lang w:val="en-US" w:eastAsia="zh-CN"/>
                    </w:rPr>
                    <w:t>DA011</w:t>
                  </w:r>
                </w:p>
              </w:tc>
              <w:tc>
                <w:tcPr>
                  <w:tcW w:w="888" w:type="pct"/>
                  <w:tcBorders>
                    <w:tl2br w:val="nil"/>
                    <w:tr2bl w:val="nil"/>
                  </w:tcBorders>
                  <w:noWrap w:val="0"/>
                  <w:vAlign w:val="center"/>
                </w:tcPr>
                <w:p w14:paraId="23DB1CF1">
                  <w:pPr>
                    <w:pStyle w:val="2"/>
                    <w:keepNext w:val="0"/>
                    <w:keepLines w:val="0"/>
                    <w:pageBreakBefore w:val="0"/>
                    <w:widowControl/>
                    <w:kinsoku/>
                    <w:wordWrap/>
                    <w:overflowPunct/>
                    <w:topLinePunct w:val="0"/>
                    <w:autoSpaceDE/>
                    <w:autoSpaceDN/>
                    <w:bidi w:val="0"/>
                    <w:adjustRightInd/>
                    <w:snapToGrid/>
                    <w:spacing w:before="0" w:after="0" w:line="240" w:lineRule="auto"/>
                    <w:ind w:right="113" w:right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vertAlign w:val="baseline"/>
                      <w:lang w:val="en-US" w:eastAsia="zh-CN"/>
                    </w:rPr>
                    <w:t>颗粒物</w:t>
                  </w:r>
                </w:p>
              </w:tc>
              <w:tc>
                <w:tcPr>
                  <w:tcW w:w="1081" w:type="pct"/>
                  <w:tcBorders>
                    <w:tl2br w:val="nil"/>
                    <w:tr2bl w:val="nil"/>
                  </w:tcBorders>
                  <w:shd w:val="clear" w:color="auto" w:fill="auto"/>
                  <w:noWrap w:val="0"/>
                  <w:vAlign w:val="top"/>
                </w:tcPr>
                <w:p w14:paraId="4E836C9F">
                  <w:pPr>
                    <w:keepNext w:val="0"/>
                    <w:keepLines w:val="0"/>
                    <w:widowControl/>
                    <w:suppressLineNumbers w:val="0"/>
                    <w:jc w:val="center"/>
                    <w:textAlignment w:val="top"/>
                    <w:rPr>
                      <w:rFonts w:hint="default" w:ascii="Times New Roman" w:hAnsi="Times New Roman" w:eastAsia="宋体" w:cs="Times New Roman"/>
                      <w:color w:val="auto"/>
                      <w:kern w:val="2"/>
                      <w:sz w:val="21"/>
                      <w:szCs w:val="21"/>
                      <w:u w:val="none" w:color="auto"/>
                      <w:vertAlign w:val="baseline"/>
                      <w:lang w:val="en-US" w:eastAsia="zh-CN" w:bidi="ar-SA"/>
                    </w:rPr>
                  </w:pPr>
                  <w:r>
                    <w:rPr>
                      <w:rFonts w:hint="default" w:ascii="Times New Roman" w:hAnsi="Times New Roman" w:eastAsia="宋体" w:cs="Times New Roman"/>
                      <w:i w:val="0"/>
                      <w:iCs w:val="0"/>
                      <w:color w:val="auto"/>
                      <w:kern w:val="0"/>
                      <w:sz w:val="21"/>
                      <w:szCs w:val="21"/>
                      <w:u w:val="none" w:color="auto"/>
                      <w:lang w:val="en-US" w:eastAsia="zh-CN" w:bidi="ar"/>
                    </w:rPr>
                    <w:t>0.1738</w:t>
                  </w:r>
                </w:p>
              </w:tc>
            </w:tr>
            <w:tr w14:paraId="09BB8C9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23" w:type="pct"/>
                  <w:vMerge w:val="continue"/>
                  <w:tcBorders>
                    <w:tl2br w:val="nil"/>
                    <w:tr2bl w:val="nil"/>
                  </w:tcBorders>
                  <w:noWrap w:val="0"/>
                  <w:vAlign w:val="center"/>
                </w:tcPr>
                <w:p w14:paraId="5C42A1DB">
                  <w:pPr>
                    <w:adjustRightInd w:val="0"/>
                    <w:snapToGrid w:val="0"/>
                    <w:jc w:val="center"/>
                    <w:rPr>
                      <w:rFonts w:hint="default" w:ascii="Times New Roman" w:hAnsi="Times New Roman" w:eastAsia="宋体" w:cs="Times New Roman"/>
                      <w:color w:val="auto"/>
                      <w:sz w:val="21"/>
                      <w:szCs w:val="21"/>
                      <w:u w:val="none" w:color="auto"/>
                      <w:lang w:val="en-US" w:eastAsia="zh-CN"/>
                    </w:rPr>
                  </w:pPr>
                </w:p>
              </w:tc>
              <w:tc>
                <w:tcPr>
                  <w:tcW w:w="1517" w:type="pct"/>
                  <w:vMerge w:val="continue"/>
                  <w:tcBorders>
                    <w:tl2br w:val="nil"/>
                    <w:tr2bl w:val="nil"/>
                  </w:tcBorders>
                  <w:noWrap w:val="0"/>
                  <w:vAlign w:val="center"/>
                </w:tcPr>
                <w:p w14:paraId="4A3B91E5">
                  <w:pPr>
                    <w:adjustRightInd w:val="0"/>
                    <w:snapToGrid w:val="0"/>
                    <w:jc w:val="center"/>
                    <w:rPr>
                      <w:rFonts w:hint="default" w:ascii="Times New Roman" w:hAnsi="Times New Roman" w:eastAsia="宋体" w:cs="Times New Roman"/>
                      <w:bCs/>
                      <w:color w:val="auto"/>
                      <w:sz w:val="21"/>
                      <w:szCs w:val="21"/>
                      <w:u w:val="none" w:color="auto"/>
                    </w:rPr>
                  </w:pPr>
                </w:p>
              </w:tc>
              <w:tc>
                <w:tcPr>
                  <w:tcW w:w="888" w:type="pct"/>
                  <w:vMerge w:val="continue"/>
                  <w:tcBorders>
                    <w:tl2br w:val="nil"/>
                    <w:tr2bl w:val="nil"/>
                  </w:tcBorders>
                  <w:noWrap w:val="0"/>
                  <w:vAlign w:val="center"/>
                </w:tcPr>
                <w:p w14:paraId="670648E3">
                  <w:pPr>
                    <w:adjustRightInd w:val="0"/>
                    <w:snapToGrid w:val="0"/>
                    <w:jc w:val="center"/>
                    <w:rPr>
                      <w:rFonts w:hint="default" w:ascii="Times New Roman" w:hAnsi="Times New Roman" w:eastAsia="宋体" w:cs="Times New Roman"/>
                      <w:bCs/>
                      <w:color w:val="auto"/>
                      <w:sz w:val="21"/>
                      <w:szCs w:val="21"/>
                      <w:u w:val="none" w:color="auto"/>
                    </w:rPr>
                  </w:pPr>
                </w:p>
              </w:tc>
              <w:tc>
                <w:tcPr>
                  <w:tcW w:w="888" w:type="pct"/>
                  <w:tcBorders>
                    <w:tl2br w:val="nil"/>
                    <w:tr2bl w:val="nil"/>
                  </w:tcBorders>
                  <w:noWrap w:val="0"/>
                  <w:vAlign w:val="center"/>
                </w:tcPr>
                <w:p w14:paraId="56E8D99C">
                  <w:pPr>
                    <w:pStyle w:val="2"/>
                    <w:keepNext w:val="0"/>
                    <w:keepLines w:val="0"/>
                    <w:pageBreakBefore w:val="0"/>
                    <w:widowControl/>
                    <w:kinsoku/>
                    <w:wordWrap/>
                    <w:overflowPunct/>
                    <w:topLinePunct w:val="0"/>
                    <w:autoSpaceDE/>
                    <w:autoSpaceDN/>
                    <w:bidi w:val="0"/>
                    <w:adjustRightInd/>
                    <w:snapToGrid/>
                    <w:spacing w:before="0" w:after="0" w:line="240" w:lineRule="auto"/>
                    <w:ind w:right="113" w:right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vertAlign w:val="baseline"/>
                      <w:lang w:val="en-US" w:eastAsia="zh-CN"/>
                    </w:rPr>
                    <w:t>非甲烷总烃</w:t>
                  </w:r>
                </w:p>
              </w:tc>
              <w:tc>
                <w:tcPr>
                  <w:tcW w:w="1081" w:type="pct"/>
                  <w:tcBorders>
                    <w:tl2br w:val="nil"/>
                    <w:tr2bl w:val="nil"/>
                  </w:tcBorders>
                  <w:shd w:val="clear" w:color="auto" w:fill="auto"/>
                  <w:noWrap w:val="0"/>
                  <w:vAlign w:val="top"/>
                </w:tcPr>
                <w:p w14:paraId="1FF029AC">
                  <w:pPr>
                    <w:keepNext w:val="0"/>
                    <w:keepLines w:val="0"/>
                    <w:widowControl/>
                    <w:suppressLineNumbers w:val="0"/>
                    <w:jc w:val="center"/>
                    <w:textAlignment w:val="top"/>
                    <w:rPr>
                      <w:rFonts w:hint="default" w:ascii="Times New Roman" w:hAnsi="Times New Roman" w:eastAsia="宋体" w:cs="Times New Roman"/>
                      <w:color w:val="auto"/>
                      <w:kern w:val="2"/>
                      <w:sz w:val="21"/>
                      <w:szCs w:val="21"/>
                      <w:u w:val="none" w:color="auto"/>
                      <w:vertAlign w:val="baseline"/>
                      <w:lang w:val="en-US" w:eastAsia="zh-CN" w:bidi="ar-SA"/>
                    </w:rPr>
                  </w:pPr>
                  <w:r>
                    <w:rPr>
                      <w:rFonts w:hint="default" w:ascii="Times New Roman" w:hAnsi="Times New Roman" w:eastAsia="宋体" w:cs="Times New Roman"/>
                      <w:i w:val="0"/>
                      <w:iCs w:val="0"/>
                      <w:color w:val="auto"/>
                      <w:kern w:val="0"/>
                      <w:sz w:val="21"/>
                      <w:szCs w:val="21"/>
                      <w:u w:val="none" w:color="auto"/>
                      <w:lang w:val="en-US" w:eastAsia="zh-CN" w:bidi="ar"/>
                    </w:rPr>
                    <w:t>1.6889</w:t>
                  </w:r>
                </w:p>
              </w:tc>
            </w:tr>
            <w:tr w14:paraId="7D19BC8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23" w:type="pct"/>
                  <w:vMerge w:val="continue"/>
                  <w:tcBorders>
                    <w:tl2br w:val="nil"/>
                    <w:tr2bl w:val="nil"/>
                  </w:tcBorders>
                  <w:noWrap w:val="0"/>
                  <w:vAlign w:val="center"/>
                </w:tcPr>
                <w:p w14:paraId="2F3EDB7E">
                  <w:pPr>
                    <w:adjustRightInd w:val="0"/>
                    <w:snapToGrid w:val="0"/>
                    <w:jc w:val="center"/>
                    <w:rPr>
                      <w:rFonts w:hint="default" w:ascii="Times New Roman" w:hAnsi="Times New Roman" w:eastAsia="宋体" w:cs="Times New Roman"/>
                      <w:color w:val="auto"/>
                      <w:sz w:val="21"/>
                      <w:szCs w:val="21"/>
                      <w:u w:val="none" w:color="auto"/>
                      <w:lang w:val="en-US" w:eastAsia="zh-CN"/>
                    </w:rPr>
                  </w:pPr>
                </w:p>
              </w:tc>
              <w:tc>
                <w:tcPr>
                  <w:tcW w:w="1517" w:type="pct"/>
                  <w:vMerge w:val="continue"/>
                  <w:tcBorders>
                    <w:tl2br w:val="nil"/>
                    <w:tr2bl w:val="nil"/>
                  </w:tcBorders>
                  <w:noWrap w:val="0"/>
                  <w:vAlign w:val="center"/>
                </w:tcPr>
                <w:p w14:paraId="0D10AEE5">
                  <w:pPr>
                    <w:adjustRightInd w:val="0"/>
                    <w:snapToGrid w:val="0"/>
                    <w:jc w:val="center"/>
                    <w:rPr>
                      <w:rFonts w:hint="default" w:ascii="Times New Roman" w:hAnsi="Times New Roman" w:eastAsia="宋体" w:cs="Times New Roman"/>
                      <w:bCs/>
                      <w:color w:val="auto"/>
                      <w:sz w:val="21"/>
                      <w:szCs w:val="21"/>
                      <w:u w:val="none" w:color="auto"/>
                    </w:rPr>
                  </w:pPr>
                </w:p>
              </w:tc>
              <w:tc>
                <w:tcPr>
                  <w:tcW w:w="888" w:type="pct"/>
                  <w:vMerge w:val="restart"/>
                  <w:tcBorders>
                    <w:tl2br w:val="nil"/>
                    <w:tr2bl w:val="nil"/>
                  </w:tcBorders>
                  <w:noWrap w:val="0"/>
                  <w:vAlign w:val="center"/>
                </w:tcPr>
                <w:p w14:paraId="40BB05F6">
                  <w:pPr>
                    <w:adjustRightInd w:val="0"/>
                    <w:snapToGrid w:val="0"/>
                    <w:jc w:val="center"/>
                    <w:rPr>
                      <w:rFonts w:hint="default" w:ascii="Times New Roman" w:hAnsi="Times New Roman" w:eastAsia="宋体" w:cs="Times New Roman"/>
                      <w:bCs/>
                      <w:color w:val="auto"/>
                      <w:sz w:val="21"/>
                      <w:szCs w:val="21"/>
                      <w:u w:val="none" w:color="auto"/>
                      <w:lang w:val="en-US" w:eastAsia="zh-CN"/>
                    </w:rPr>
                  </w:pPr>
                  <w:r>
                    <w:rPr>
                      <w:rFonts w:hint="default" w:ascii="Times New Roman" w:hAnsi="Times New Roman" w:eastAsia="宋体" w:cs="Times New Roman"/>
                      <w:bCs/>
                      <w:color w:val="auto"/>
                      <w:sz w:val="21"/>
                      <w:szCs w:val="21"/>
                      <w:u w:val="none" w:color="auto"/>
                      <w:lang w:val="en-US" w:eastAsia="zh-CN"/>
                    </w:rPr>
                    <w:t>无组织</w:t>
                  </w:r>
                </w:p>
              </w:tc>
              <w:tc>
                <w:tcPr>
                  <w:tcW w:w="888" w:type="pct"/>
                  <w:tcBorders>
                    <w:tl2br w:val="nil"/>
                    <w:tr2bl w:val="nil"/>
                  </w:tcBorders>
                  <w:noWrap w:val="0"/>
                  <w:vAlign w:val="center"/>
                </w:tcPr>
                <w:p w14:paraId="38F17466">
                  <w:pPr>
                    <w:pStyle w:val="2"/>
                    <w:keepNext w:val="0"/>
                    <w:keepLines w:val="0"/>
                    <w:pageBreakBefore w:val="0"/>
                    <w:widowControl/>
                    <w:kinsoku/>
                    <w:wordWrap/>
                    <w:overflowPunct/>
                    <w:topLinePunct w:val="0"/>
                    <w:autoSpaceDE/>
                    <w:autoSpaceDN/>
                    <w:bidi w:val="0"/>
                    <w:adjustRightInd/>
                    <w:snapToGrid/>
                    <w:spacing w:before="0" w:after="0" w:line="240" w:lineRule="auto"/>
                    <w:ind w:right="113" w:right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vertAlign w:val="baseline"/>
                      <w:lang w:val="en-US" w:eastAsia="zh-CN"/>
                    </w:rPr>
                    <w:t>颗粒物</w:t>
                  </w:r>
                </w:p>
              </w:tc>
              <w:tc>
                <w:tcPr>
                  <w:tcW w:w="1081" w:type="pct"/>
                  <w:tcBorders>
                    <w:tl2br w:val="nil"/>
                    <w:tr2bl w:val="nil"/>
                  </w:tcBorders>
                  <w:shd w:val="clear" w:color="auto" w:fill="auto"/>
                  <w:noWrap w:val="0"/>
                  <w:vAlign w:val="top"/>
                </w:tcPr>
                <w:p w14:paraId="3FC10A78">
                  <w:pPr>
                    <w:keepNext w:val="0"/>
                    <w:keepLines w:val="0"/>
                    <w:widowControl/>
                    <w:suppressLineNumbers w:val="0"/>
                    <w:jc w:val="center"/>
                    <w:textAlignment w:val="top"/>
                    <w:rPr>
                      <w:rFonts w:hint="default" w:ascii="Times New Roman" w:hAnsi="Times New Roman" w:eastAsia="宋体" w:cs="Times New Roman"/>
                      <w:color w:val="auto"/>
                      <w:kern w:val="2"/>
                      <w:sz w:val="21"/>
                      <w:szCs w:val="21"/>
                      <w:u w:val="none" w:color="auto"/>
                      <w:vertAlign w:val="baseline"/>
                      <w:lang w:val="en-US" w:eastAsia="zh-CN" w:bidi="ar-SA"/>
                    </w:rPr>
                  </w:pPr>
                  <w:r>
                    <w:rPr>
                      <w:rFonts w:hint="default" w:ascii="Times New Roman" w:hAnsi="Times New Roman" w:eastAsia="宋体" w:cs="Times New Roman"/>
                      <w:i w:val="0"/>
                      <w:iCs w:val="0"/>
                      <w:color w:val="auto"/>
                      <w:kern w:val="0"/>
                      <w:sz w:val="21"/>
                      <w:szCs w:val="21"/>
                      <w:u w:val="none" w:color="auto"/>
                      <w:lang w:val="en-US" w:eastAsia="zh-CN" w:bidi="ar"/>
                    </w:rPr>
                    <w:t>2.2022</w:t>
                  </w:r>
                </w:p>
              </w:tc>
            </w:tr>
            <w:tr w14:paraId="74B5679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23" w:type="pct"/>
                  <w:vMerge w:val="continue"/>
                  <w:tcBorders>
                    <w:tl2br w:val="nil"/>
                    <w:tr2bl w:val="nil"/>
                  </w:tcBorders>
                  <w:noWrap w:val="0"/>
                  <w:vAlign w:val="center"/>
                </w:tcPr>
                <w:p w14:paraId="7273B7A0">
                  <w:pPr>
                    <w:adjustRightInd w:val="0"/>
                    <w:snapToGrid w:val="0"/>
                    <w:jc w:val="center"/>
                    <w:rPr>
                      <w:rFonts w:hint="default" w:ascii="Times New Roman" w:hAnsi="Times New Roman" w:eastAsia="宋体" w:cs="Times New Roman"/>
                      <w:color w:val="auto"/>
                      <w:sz w:val="21"/>
                      <w:szCs w:val="21"/>
                      <w:u w:val="none" w:color="auto"/>
                      <w:lang w:val="en-US" w:eastAsia="zh-CN"/>
                    </w:rPr>
                  </w:pPr>
                </w:p>
              </w:tc>
              <w:tc>
                <w:tcPr>
                  <w:tcW w:w="1517" w:type="pct"/>
                  <w:vMerge w:val="continue"/>
                  <w:tcBorders>
                    <w:tl2br w:val="nil"/>
                    <w:tr2bl w:val="nil"/>
                  </w:tcBorders>
                  <w:noWrap w:val="0"/>
                  <w:vAlign w:val="center"/>
                </w:tcPr>
                <w:p w14:paraId="6F8A98AE">
                  <w:pPr>
                    <w:adjustRightInd w:val="0"/>
                    <w:snapToGrid w:val="0"/>
                    <w:jc w:val="center"/>
                    <w:rPr>
                      <w:rFonts w:hint="default" w:ascii="Times New Roman" w:hAnsi="Times New Roman" w:eastAsia="宋体" w:cs="Times New Roman"/>
                      <w:bCs/>
                      <w:color w:val="auto"/>
                      <w:sz w:val="21"/>
                      <w:szCs w:val="21"/>
                      <w:u w:val="none" w:color="auto"/>
                    </w:rPr>
                  </w:pPr>
                </w:p>
              </w:tc>
              <w:tc>
                <w:tcPr>
                  <w:tcW w:w="888" w:type="pct"/>
                  <w:vMerge w:val="continue"/>
                  <w:tcBorders>
                    <w:tl2br w:val="nil"/>
                    <w:tr2bl w:val="nil"/>
                  </w:tcBorders>
                  <w:noWrap w:val="0"/>
                  <w:vAlign w:val="center"/>
                </w:tcPr>
                <w:p w14:paraId="13504B2A">
                  <w:pPr>
                    <w:adjustRightInd w:val="0"/>
                    <w:snapToGrid w:val="0"/>
                    <w:jc w:val="center"/>
                    <w:rPr>
                      <w:rFonts w:hint="default" w:ascii="Times New Roman" w:hAnsi="Times New Roman" w:eastAsia="宋体" w:cs="Times New Roman"/>
                      <w:bCs/>
                      <w:color w:val="auto"/>
                      <w:sz w:val="21"/>
                      <w:szCs w:val="21"/>
                      <w:u w:val="none" w:color="auto"/>
                    </w:rPr>
                  </w:pPr>
                </w:p>
              </w:tc>
              <w:tc>
                <w:tcPr>
                  <w:tcW w:w="888" w:type="pct"/>
                  <w:tcBorders>
                    <w:tl2br w:val="nil"/>
                    <w:tr2bl w:val="nil"/>
                  </w:tcBorders>
                  <w:noWrap w:val="0"/>
                  <w:vAlign w:val="center"/>
                </w:tcPr>
                <w:p w14:paraId="7933682B">
                  <w:pPr>
                    <w:pStyle w:val="2"/>
                    <w:keepNext w:val="0"/>
                    <w:keepLines w:val="0"/>
                    <w:pageBreakBefore w:val="0"/>
                    <w:widowControl/>
                    <w:kinsoku/>
                    <w:wordWrap/>
                    <w:overflowPunct/>
                    <w:topLinePunct w:val="0"/>
                    <w:autoSpaceDE/>
                    <w:autoSpaceDN/>
                    <w:bidi w:val="0"/>
                    <w:adjustRightInd/>
                    <w:snapToGrid/>
                    <w:spacing w:before="0" w:after="0" w:line="240" w:lineRule="auto"/>
                    <w:ind w:right="113" w:right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vertAlign w:val="baseline"/>
                      <w:lang w:val="en-US" w:eastAsia="zh-CN"/>
                    </w:rPr>
                    <w:t>非甲烷总烃</w:t>
                  </w:r>
                </w:p>
              </w:tc>
              <w:tc>
                <w:tcPr>
                  <w:tcW w:w="1081" w:type="pct"/>
                  <w:tcBorders>
                    <w:tl2br w:val="nil"/>
                    <w:tr2bl w:val="nil"/>
                  </w:tcBorders>
                  <w:shd w:val="clear" w:color="auto" w:fill="auto"/>
                  <w:noWrap w:val="0"/>
                  <w:vAlign w:val="top"/>
                </w:tcPr>
                <w:p w14:paraId="793DEADB">
                  <w:pPr>
                    <w:keepNext w:val="0"/>
                    <w:keepLines w:val="0"/>
                    <w:widowControl/>
                    <w:suppressLineNumbers w:val="0"/>
                    <w:jc w:val="center"/>
                    <w:textAlignment w:val="top"/>
                    <w:rPr>
                      <w:rFonts w:hint="default" w:ascii="Times New Roman" w:hAnsi="Times New Roman" w:eastAsia="宋体" w:cs="Times New Roman"/>
                      <w:color w:val="auto"/>
                      <w:kern w:val="2"/>
                      <w:sz w:val="21"/>
                      <w:szCs w:val="21"/>
                      <w:u w:val="none" w:color="auto"/>
                      <w:vertAlign w:val="baseline"/>
                      <w:lang w:val="en-US" w:eastAsia="zh-CN" w:bidi="ar-SA"/>
                    </w:rPr>
                  </w:pPr>
                  <w:r>
                    <w:rPr>
                      <w:rFonts w:hint="default" w:ascii="Times New Roman" w:hAnsi="Times New Roman" w:eastAsia="宋体" w:cs="Times New Roman"/>
                      <w:i w:val="0"/>
                      <w:iCs w:val="0"/>
                      <w:color w:val="auto"/>
                      <w:kern w:val="0"/>
                      <w:sz w:val="21"/>
                      <w:szCs w:val="21"/>
                      <w:u w:val="none" w:color="auto"/>
                      <w:lang w:val="en-US" w:eastAsia="zh-CN" w:bidi="ar"/>
                    </w:rPr>
                    <w:t>1.0699</w:t>
                  </w:r>
                </w:p>
              </w:tc>
            </w:tr>
            <w:tr w14:paraId="22E8B5A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23" w:type="pct"/>
                  <w:vMerge w:val="continue"/>
                  <w:tcBorders>
                    <w:tl2br w:val="nil"/>
                    <w:tr2bl w:val="nil"/>
                  </w:tcBorders>
                  <w:noWrap w:val="0"/>
                  <w:vAlign w:val="center"/>
                </w:tcPr>
                <w:p w14:paraId="3DD7D733">
                  <w:pPr>
                    <w:adjustRightInd w:val="0"/>
                    <w:snapToGrid w:val="0"/>
                    <w:jc w:val="center"/>
                    <w:rPr>
                      <w:rFonts w:hint="default" w:ascii="Times New Roman" w:hAnsi="Times New Roman" w:eastAsia="宋体" w:cs="Times New Roman"/>
                      <w:color w:val="auto"/>
                      <w:sz w:val="21"/>
                      <w:szCs w:val="21"/>
                      <w:u w:val="none" w:color="auto"/>
                      <w:lang w:val="en-US" w:eastAsia="zh-CN"/>
                    </w:rPr>
                  </w:pPr>
                </w:p>
              </w:tc>
              <w:tc>
                <w:tcPr>
                  <w:tcW w:w="1517" w:type="pct"/>
                  <w:tcBorders>
                    <w:tl2br w:val="nil"/>
                    <w:tr2bl w:val="nil"/>
                  </w:tcBorders>
                  <w:noWrap w:val="0"/>
                  <w:vAlign w:val="center"/>
                </w:tcPr>
                <w:p w14:paraId="70A0025D">
                  <w:pPr>
                    <w:adjustRightInd w:val="0"/>
                    <w:snapToGrid w:val="0"/>
                    <w:jc w:val="center"/>
                    <w:rPr>
                      <w:rFonts w:hint="default" w:ascii="Times New Roman" w:hAnsi="Times New Roman" w:eastAsia="宋体" w:cs="Times New Roman"/>
                      <w:bCs/>
                      <w:color w:val="auto"/>
                      <w:sz w:val="21"/>
                      <w:szCs w:val="21"/>
                      <w:u w:val="none" w:color="auto"/>
                    </w:rPr>
                  </w:pPr>
                  <w:r>
                    <w:rPr>
                      <w:rFonts w:hint="default" w:ascii="Times New Roman" w:hAnsi="Times New Roman" w:eastAsia="宋体" w:cs="Times New Roman"/>
                      <w:bCs/>
                      <w:color w:val="auto"/>
                      <w:sz w:val="21"/>
                      <w:szCs w:val="21"/>
                      <w:u w:val="none" w:color="auto"/>
                    </w:rPr>
                    <w:t>激光打标粉尘废气（G6-1）</w:t>
                  </w:r>
                </w:p>
              </w:tc>
              <w:tc>
                <w:tcPr>
                  <w:tcW w:w="888" w:type="pct"/>
                  <w:tcBorders>
                    <w:tl2br w:val="nil"/>
                    <w:tr2bl w:val="nil"/>
                  </w:tcBorders>
                  <w:noWrap w:val="0"/>
                  <w:vAlign w:val="center"/>
                </w:tcPr>
                <w:p w14:paraId="4DF6839A">
                  <w:pPr>
                    <w:adjustRightInd w:val="0"/>
                    <w:snapToGrid w:val="0"/>
                    <w:jc w:val="center"/>
                    <w:rPr>
                      <w:rFonts w:hint="default" w:ascii="Times New Roman" w:hAnsi="Times New Roman" w:eastAsia="宋体" w:cs="Times New Roman"/>
                      <w:bCs/>
                      <w:color w:val="auto"/>
                      <w:sz w:val="21"/>
                      <w:szCs w:val="21"/>
                      <w:u w:val="none" w:color="auto"/>
                    </w:rPr>
                  </w:pPr>
                  <w:r>
                    <w:rPr>
                      <w:rFonts w:hint="default" w:ascii="Times New Roman" w:hAnsi="Times New Roman" w:eastAsia="宋体" w:cs="Times New Roman"/>
                      <w:bCs/>
                      <w:color w:val="auto"/>
                      <w:sz w:val="21"/>
                      <w:szCs w:val="21"/>
                      <w:u w:val="none" w:color="auto"/>
                      <w:lang w:val="en-US" w:eastAsia="zh-CN"/>
                    </w:rPr>
                    <w:t>无组织</w:t>
                  </w:r>
                </w:p>
              </w:tc>
              <w:tc>
                <w:tcPr>
                  <w:tcW w:w="888" w:type="pct"/>
                  <w:tcBorders>
                    <w:tl2br w:val="nil"/>
                    <w:tr2bl w:val="nil"/>
                  </w:tcBorders>
                  <w:noWrap w:val="0"/>
                  <w:vAlign w:val="center"/>
                </w:tcPr>
                <w:p w14:paraId="4434180E">
                  <w:pPr>
                    <w:pStyle w:val="2"/>
                    <w:keepNext w:val="0"/>
                    <w:keepLines w:val="0"/>
                    <w:pageBreakBefore w:val="0"/>
                    <w:widowControl/>
                    <w:kinsoku/>
                    <w:wordWrap/>
                    <w:overflowPunct/>
                    <w:topLinePunct w:val="0"/>
                    <w:autoSpaceDE/>
                    <w:autoSpaceDN/>
                    <w:bidi w:val="0"/>
                    <w:adjustRightInd/>
                    <w:snapToGrid/>
                    <w:spacing w:before="0" w:after="0" w:line="240" w:lineRule="auto"/>
                    <w:ind w:right="113" w:rightChars="0"/>
                    <w:jc w:val="center"/>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颗粒物</w:t>
                  </w:r>
                </w:p>
              </w:tc>
              <w:tc>
                <w:tcPr>
                  <w:tcW w:w="1081" w:type="pct"/>
                  <w:tcBorders>
                    <w:tl2br w:val="nil"/>
                    <w:tr2bl w:val="nil"/>
                  </w:tcBorders>
                  <w:noWrap w:val="0"/>
                  <w:vAlign w:val="center"/>
                </w:tcPr>
                <w:p w14:paraId="6EEFD1AB">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top"/>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0.0913</w:t>
                  </w:r>
                </w:p>
              </w:tc>
            </w:tr>
            <w:tr w14:paraId="4D4A4DB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49" w:hRule="atLeast"/>
              </w:trPr>
              <w:tc>
                <w:tcPr>
                  <w:tcW w:w="623" w:type="pct"/>
                  <w:vMerge w:val="continue"/>
                  <w:tcBorders>
                    <w:tl2br w:val="nil"/>
                    <w:tr2bl w:val="nil"/>
                  </w:tcBorders>
                  <w:noWrap w:val="0"/>
                  <w:vAlign w:val="center"/>
                </w:tcPr>
                <w:p w14:paraId="2F83C83E">
                  <w:pPr>
                    <w:adjustRightInd w:val="0"/>
                    <w:snapToGrid w:val="0"/>
                    <w:jc w:val="center"/>
                    <w:rPr>
                      <w:rFonts w:hint="default" w:ascii="Times New Roman" w:hAnsi="Times New Roman" w:eastAsia="宋体" w:cs="Times New Roman"/>
                      <w:color w:val="auto"/>
                      <w:sz w:val="21"/>
                      <w:szCs w:val="21"/>
                      <w:u w:val="none" w:color="auto"/>
                    </w:rPr>
                  </w:pPr>
                </w:p>
              </w:tc>
              <w:tc>
                <w:tcPr>
                  <w:tcW w:w="1517" w:type="pct"/>
                  <w:vMerge w:val="restart"/>
                  <w:tcBorders>
                    <w:tl2br w:val="nil"/>
                    <w:tr2bl w:val="nil"/>
                  </w:tcBorders>
                  <w:noWrap w:val="0"/>
                  <w:vAlign w:val="center"/>
                </w:tcPr>
                <w:p w14:paraId="01DAD32A">
                  <w:pPr>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食堂油烟</w:t>
                  </w:r>
                </w:p>
              </w:tc>
              <w:tc>
                <w:tcPr>
                  <w:tcW w:w="888" w:type="pct"/>
                  <w:tcBorders>
                    <w:tl2br w:val="nil"/>
                    <w:tr2bl w:val="nil"/>
                  </w:tcBorders>
                  <w:noWrap w:val="0"/>
                  <w:vAlign w:val="center"/>
                </w:tcPr>
                <w:p w14:paraId="555DC438">
                  <w:pPr>
                    <w:adjustRightInd w:val="0"/>
                    <w:snapToGrid w:val="0"/>
                    <w:jc w:val="center"/>
                    <w:rPr>
                      <w:rFonts w:hint="default" w:ascii="Times New Roman" w:hAnsi="Times New Roman" w:eastAsia="宋体" w:cs="Times New Roman"/>
                      <w:bCs/>
                      <w:color w:val="auto"/>
                      <w:sz w:val="21"/>
                      <w:szCs w:val="21"/>
                      <w:u w:val="none" w:color="auto"/>
                      <w:lang w:val="en-US" w:eastAsia="zh-CN"/>
                    </w:rPr>
                  </w:pPr>
                  <w:r>
                    <w:rPr>
                      <w:rFonts w:hint="default" w:ascii="Times New Roman" w:hAnsi="Times New Roman" w:eastAsia="宋体" w:cs="Times New Roman"/>
                      <w:bCs/>
                      <w:color w:val="auto"/>
                      <w:sz w:val="21"/>
                      <w:szCs w:val="21"/>
                      <w:u w:val="none" w:color="auto"/>
                      <w:lang w:val="en-US" w:eastAsia="zh-CN"/>
                    </w:rPr>
                    <w:t>有组织（屋顶烟道）</w:t>
                  </w:r>
                </w:p>
              </w:tc>
              <w:tc>
                <w:tcPr>
                  <w:tcW w:w="888" w:type="pct"/>
                  <w:tcBorders>
                    <w:tl2br w:val="nil"/>
                    <w:tr2bl w:val="nil"/>
                  </w:tcBorders>
                  <w:noWrap w:val="0"/>
                  <w:vAlign w:val="center"/>
                </w:tcPr>
                <w:p w14:paraId="7B1D9A83">
                  <w:pPr>
                    <w:adjustRightInd w:val="0"/>
                    <w:snapToGrid w:val="0"/>
                    <w:jc w:val="center"/>
                    <w:rPr>
                      <w:rFonts w:hint="default" w:ascii="Times New Roman" w:hAnsi="Times New Roman" w:eastAsia="宋体" w:cs="Times New Roman"/>
                      <w:bCs/>
                      <w:color w:val="auto"/>
                      <w:sz w:val="21"/>
                      <w:szCs w:val="21"/>
                      <w:u w:val="none" w:color="auto"/>
                    </w:rPr>
                  </w:pPr>
                  <w:r>
                    <w:rPr>
                      <w:rFonts w:hint="default" w:ascii="Times New Roman" w:hAnsi="Times New Roman" w:eastAsia="宋体" w:cs="Times New Roman"/>
                      <w:bCs/>
                      <w:color w:val="auto"/>
                      <w:sz w:val="21"/>
                      <w:szCs w:val="21"/>
                      <w:u w:val="none" w:color="auto"/>
                    </w:rPr>
                    <w:t>油烟</w:t>
                  </w:r>
                </w:p>
              </w:tc>
              <w:tc>
                <w:tcPr>
                  <w:tcW w:w="1081" w:type="pct"/>
                  <w:tcBorders>
                    <w:tl2br w:val="nil"/>
                    <w:tr2bl w:val="nil"/>
                  </w:tcBorders>
                  <w:noWrap w:val="0"/>
                  <w:vAlign w:val="center"/>
                </w:tcPr>
                <w:p w14:paraId="0E3CA915">
                  <w:pPr>
                    <w:adjustRightInd w:val="0"/>
                    <w:snapToGrid w:val="0"/>
                    <w:jc w:val="center"/>
                    <w:rPr>
                      <w:rFonts w:hint="default" w:ascii="Times New Roman" w:hAnsi="Times New Roman" w:eastAsia="宋体" w:cs="Times New Roman"/>
                      <w:bCs/>
                      <w:color w:val="auto"/>
                      <w:sz w:val="21"/>
                      <w:szCs w:val="21"/>
                      <w:u w:val="none" w:color="auto"/>
                      <w:lang w:val="en-US" w:eastAsia="zh-CN"/>
                    </w:rPr>
                  </w:pPr>
                  <w:r>
                    <w:rPr>
                      <w:rFonts w:hint="default" w:ascii="Times New Roman" w:hAnsi="Times New Roman" w:eastAsia="宋体" w:cs="Times New Roman"/>
                      <w:bCs/>
                      <w:color w:val="auto"/>
                      <w:sz w:val="21"/>
                      <w:szCs w:val="21"/>
                      <w:u w:val="none" w:color="auto"/>
                      <w:lang w:val="en-US" w:eastAsia="zh-CN"/>
                    </w:rPr>
                    <w:t>0.0005</w:t>
                  </w:r>
                </w:p>
              </w:tc>
            </w:tr>
            <w:tr w14:paraId="6F617A1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49" w:hRule="atLeast"/>
              </w:trPr>
              <w:tc>
                <w:tcPr>
                  <w:tcW w:w="623" w:type="pct"/>
                  <w:vMerge w:val="continue"/>
                  <w:tcBorders>
                    <w:tl2br w:val="nil"/>
                    <w:tr2bl w:val="nil"/>
                  </w:tcBorders>
                  <w:noWrap w:val="0"/>
                  <w:vAlign w:val="center"/>
                </w:tcPr>
                <w:p w14:paraId="7A114519">
                  <w:pPr>
                    <w:adjustRightInd w:val="0"/>
                    <w:snapToGrid w:val="0"/>
                    <w:jc w:val="center"/>
                    <w:rPr>
                      <w:rFonts w:hint="default" w:ascii="Times New Roman" w:hAnsi="Times New Roman" w:eastAsia="宋体" w:cs="Times New Roman"/>
                      <w:color w:val="auto"/>
                      <w:sz w:val="21"/>
                      <w:szCs w:val="21"/>
                      <w:u w:val="none" w:color="auto"/>
                    </w:rPr>
                  </w:pPr>
                </w:p>
              </w:tc>
              <w:tc>
                <w:tcPr>
                  <w:tcW w:w="1517" w:type="pct"/>
                  <w:vMerge w:val="continue"/>
                  <w:tcBorders>
                    <w:tl2br w:val="nil"/>
                    <w:tr2bl w:val="nil"/>
                  </w:tcBorders>
                  <w:noWrap w:val="0"/>
                  <w:vAlign w:val="center"/>
                </w:tcPr>
                <w:p w14:paraId="20BC86D4">
                  <w:pPr>
                    <w:adjustRightInd w:val="0"/>
                    <w:snapToGrid w:val="0"/>
                    <w:jc w:val="center"/>
                    <w:rPr>
                      <w:rFonts w:hint="default" w:ascii="Times New Roman" w:hAnsi="Times New Roman" w:eastAsia="宋体" w:cs="Times New Roman"/>
                      <w:color w:val="auto"/>
                      <w:sz w:val="21"/>
                      <w:szCs w:val="21"/>
                      <w:u w:val="none" w:color="auto"/>
                    </w:rPr>
                  </w:pPr>
                </w:p>
              </w:tc>
              <w:tc>
                <w:tcPr>
                  <w:tcW w:w="888" w:type="pct"/>
                  <w:tcBorders>
                    <w:tl2br w:val="nil"/>
                    <w:tr2bl w:val="nil"/>
                  </w:tcBorders>
                  <w:noWrap w:val="0"/>
                  <w:vAlign w:val="center"/>
                </w:tcPr>
                <w:p w14:paraId="02671592">
                  <w:pPr>
                    <w:adjustRightInd w:val="0"/>
                    <w:snapToGrid w:val="0"/>
                    <w:jc w:val="center"/>
                    <w:rPr>
                      <w:rFonts w:hint="default" w:ascii="Times New Roman" w:hAnsi="Times New Roman" w:eastAsia="宋体" w:cs="Times New Roman"/>
                      <w:bCs/>
                      <w:color w:val="auto"/>
                      <w:sz w:val="21"/>
                      <w:szCs w:val="21"/>
                      <w:u w:val="none" w:color="auto"/>
                      <w:lang w:val="en-US" w:eastAsia="zh-CN"/>
                    </w:rPr>
                  </w:pPr>
                  <w:r>
                    <w:rPr>
                      <w:rFonts w:hint="default" w:ascii="Times New Roman" w:hAnsi="Times New Roman" w:eastAsia="宋体" w:cs="Times New Roman"/>
                      <w:bCs/>
                      <w:color w:val="auto"/>
                      <w:sz w:val="21"/>
                      <w:szCs w:val="21"/>
                      <w:u w:val="none" w:color="auto"/>
                      <w:lang w:val="en-US" w:eastAsia="zh-CN"/>
                    </w:rPr>
                    <w:t>无组织</w:t>
                  </w:r>
                </w:p>
              </w:tc>
              <w:tc>
                <w:tcPr>
                  <w:tcW w:w="888" w:type="pct"/>
                  <w:tcBorders>
                    <w:tl2br w:val="nil"/>
                    <w:tr2bl w:val="nil"/>
                  </w:tcBorders>
                  <w:noWrap w:val="0"/>
                  <w:vAlign w:val="center"/>
                </w:tcPr>
                <w:p w14:paraId="428D24CE">
                  <w:pPr>
                    <w:adjustRightInd w:val="0"/>
                    <w:snapToGrid w:val="0"/>
                    <w:jc w:val="center"/>
                    <w:rPr>
                      <w:rFonts w:hint="default" w:ascii="Times New Roman" w:hAnsi="Times New Roman" w:eastAsia="宋体" w:cs="Times New Roman"/>
                      <w:bCs/>
                      <w:color w:val="auto"/>
                      <w:sz w:val="21"/>
                      <w:szCs w:val="21"/>
                      <w:u w:val="none" w:color="auto"/>
                    </w:rPr>
                  </w:pPr>
                  <w:r>
                    <w:rPr>
                      <w:rFonts w:hint="default" w:ascii="Times New Roman" w:hAnsi="Times New Roman" w:eastAsia="宋体" w:cs="Times New Roman"/>
                      <w:bCs/>
                      <w:color w:val="auto"/>
                      <w:sz w:val="21"/>
                      <w:szCs w:val="21"/>
                      <w:u w:val="none" w:color="auto"/>
                    </w:rPr>
                    <w:t>油烟</w:t>
                  </w:r>
                </w:p>
              </w:tc>
              <w:tc>
                <w:tcPr>
                  <w:tcW w:w="1081" w:type="pct"/>
                  <w:tcBorders>
                    <w:tl2br w:val="nil"/>
                    <w:tr2bl w:val="nil"/>
                  </w:tcBorders>
                  <w:noWrap w:val="0"/>
                  <w:vAlign w:val="center"/>
                </w:tcPr>
                <w:p w14:paraId="374DB1CF">
                  <w:pPr>
                    <w:adjustRightInd w:val="0"/>
                    <w:snapToGrid w:val="0"/>
                    <w:jc w:val="center"/>
                    <w:rPr>
                      <w:rFonts w:hint="default" w:ascii="Times New Roman" w:hAnsi="Times New Roman" w:eastAsia="宋体" w:cs="Times New Roman"/>
                      <w:bCs/>
                      <w:color w:val="auto"/>
                      <w:sz w:val="21"/>
                      <w:szCs w:val="21"/>
                      <w:u w:val="none" w:color="auto"/>
                      <w:lang w:val="en-US" w:eastAsia="zh-CN"/>
                    </w:rPr>
                  </w:pPr>
                  <w:r>
                    <w:rPr>
                      <w:rFonts w:hint="default" w:ascii="Times New Roman" w:hAnsi="Times New Roman" w:eastAsia="宋体" w:cs="Times New Roman"/>
                      <w:bCs/>
                      <w:color w:val="auto"/>
                      <w:sz w:val="21"/>
                      <w:szCs w:val="21"/>
                      <w:u w:val="none" w:color="auto"/>
                      <w:lang w:val="en-US" w:eastAsia="zh-CN"/>
                    </w:rPr>
                    <w:t>0.0045</w:t>
                  </w:r>
                </w:p>
              </w:tc>
            </w:tr>
            <w:tr w14:paraId="3218255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623" w:type="pct"/>
                  <w:vMerge w:val="restart"/>
                  <w:tcBorders>
                    <w:tl2br w:val="nil"/>
                    <w:tr2bl w:val="nil"/>
                  </w:tcBorders>
                  <w:noWrap w:val="0"/>
                  <w:vAlign w:val="center"/>
                </w:tcPr>
                <w:p w14:paraId="1B6BE8CA">
                  <w:pPr>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临港高新产业园区</w:t>
                  </w:r>
                </w:p>
              </w:tc>
              <w:tc>
                <w:tcPr>
                  <w:tcW w:w="1517" w:type="pct"/>
                  <w:tcBorders>
                    <w:tl2br w:val="nil"/>
                    <w:tr2bl w:val="nil"/>
                  </w:tcBorders>
                  <w:noWrap w:val="0"/>
                  <w:vAlign w:val="center"/>
                </w:tcPr>
                <w:p w14:paraId="3BEB4AE8">
                  <w:pPr>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激光打标粉尘废气（G6-2）</w:t>
                  </w:r>
                </w:p>
              </w:tc>
              <w:tc>
                <w:tcPr>
                  <w:tcW w:w="888" w:type="pct"/>
                  <w:tcBorders>
                    <w:tl2br w:val="nil"/>
                    <w:tr2bl w:val="nil"/>
                  </w:tcBorders>
                  <w:shd w:val="clear" w:color="auto" w:fill="auto"/>
                  <w:noWrap w:val="0"/>
                  <w:vAlign w:val="center"/>
                </w:tcPr>
                <w:p w14:paraId="79E80E63">
                  <w:pPr>
                    <w:adjustRightInd w:val="0"/>
                    <w:snapToGrid w:val="0"/>
                    <w:jc w:val="center"/>
                    <w:rPr>
                      <w:rFonts w:hint="default" w:ascii="Times New Roman" w:hAnsi="Times New Roman" w:eastAsia="宋体" w:cs="Times New Roman"/>
                      <w:bCs/>
                      <w:color w:val="auto"/>
                      <w:kern w:val="2"/>
                      <w:sz w:val="21"/>
                      <w:szCs w:val="21"/>
                      <w:u w:val="none" w:color="auto"/>
                      <w:lang w:val="en-US" w:eastAsia="zh-CN" w:bidi="ar-SA"/>
                    </w:rPr>
                  </w:pPr>
                  <w:r>
                    <w:rPr>
                      <w:rFonts w:hint="default" w:ascii="Times New Roman" w:hAnsi="Times New Roman" w:eastAsia="宋体" w:cs="Times New Roman"/>
                      <w:bCs/>
                      <w:color w:val="auto"/>
                      <w:sz w:val="21"/>
                      <w:szCs w:val="21"/>
                      <w:u w:val="none" w:color="auto"/>
                      <w:lang w:val="en-US" w:eastAsia="zh-CN"/>
                    </w:rPr>
                    <w:t>无组织</w:t>
                  </w:r>
                </w:p>
              </w:tc>
              <w:tc>
                <w:tcPr>
                  <w:tcW w:w="888" w:type="pct"/>
                  <w:tcBorders>
                    <w:tl2br w:val="nil"/>
                    <w:tr2bl w:val="nil"/>
                  </w:tcBorders>
                  <w:shd w:val="clear" w:color="auto" w:fill="auto"/>
                  <w:noWrap w:val="0"/>
                  <w:vAlign w:val="center"/>
                </w:tcPr>
                <w:p w14:paraId="4E12198D">
                  <w:pPr>
                    <w:pStyle w:val="2"/>
                    <w:keepNext w:val="0"/>
                    <w:keepLines w:val="0"/>
                    <w:pageBreakBefore w:val="0"/>
                    <w:widowControl/>
                    <w:kinsoku/>
                    <w:wordWrap/>
                    <w:overflowPunct/>
                    <w:topLinePunct w:val="0"/>
                    <w:autoSpaceDE/>
                    <w:autoSpaceDN/>
                    <w:bidi w:val="0"/>
                    <w:adjustRightInd/>
                    <w:snapToGrid/>
                    <w:spacing w:before="0" w:after="0" w:line="240" w:lineRule="auto"/>
                    <w:ind w:right="113" w:rightChars="0"/>
                    <w:jc w:val="center"/>
                    <w:rPr>
                      <w:rFonts w:hint="default" w:ascii="Times New Roman" w:hAnsi="Times New Roman" w:eastAsia="宋体" w:cs="Times New Roman"/>
                      <w:color w:val="auto"/>
                      <w:kern w:val="0"/>
                      <w:sz w:val="21"/>
                      <w:szCs w:val="21"/>
                      <w:u w:val="none" w:color="auto"/>
                      <w:vertAlign w:val="baseline"/>
                      <w:lang w:val="en-US" w:eastAsia="zh-CN" w:bidi="ar-SA"/>
                    </w:rPr>
                  </w:pPr>
                  <w:r>
                    <w:rPr>
                      <w:rFonts w:hint="default" w:ascii="Times New Roman" w:hAnsi="Times New Roman" w:eastAsia="宋体" w:cs="Times New Roman"/>
                      <w:color w:val="auto"/>
                      <w:sz w:val="21"/>
                      <w:szCs w:val="21"/>
                      <w:u w:val="none" w:color="auto"/>
                      <w:vertAlign w:val="baseline"/>
                      <w:lang w:val="en-US" w:eastAsia="zh-CN"/>
                    </w:rPr>
                    <w:t>颗粒物</w:t>
                  </w:r>
                </w:p>
              </w:tc>
              <w:tc>
                <w:tcPr>
                  <w:tcW w:w="1081" w:type="pct"/>
                  <w:tcBorders>
                    <w:tl2br w:val="nil"/>
                    <w:tr2bl w:val="nil"/>
                  </w:tcBorders>
                  <w:noWrap w:val="0"/>
                  <w:vAlign w:val="center"/>
                </w:tcPr>
                <w:p w14:paraId="29BFDF65">
                  <w:pPr>
                    <w:adjustRightInd w:val="0"/>
                    <w:snapToGrid w:val="0"/>
                    <w:jc w:val="center"/>
                    <w:rPr>
                      <w:rFonts w:hint="default" w:ascii="Times New Roman" w:hAnsi="Times New Roman" w:eastAsia="宋体" w:cs="Times New Roman"/>
                      <w:bCs/>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0.0913</w:t>
                  </w:r>
                </w:p>
              </w:tc>
            </w:tr>
            <w:tr w14:paraId="19C635F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623" w:type="pct"/>
                  <w:vMerge w:val="continue"/>
                  <w:tcBorders>
                    <w:tl2br w:val="nil"/>
                    <w:tr2bl w:val="nil"/>
                  </w:tcBorders>
                  <w:noWrap w:val="0"/>
                  <w:vAlign w:val="center"/>
                </w:tcPr>
                <w:p w14:paraId="25783362">
                  <w:pPr>
                    <w:adjustRightInd w:val="0"/>
                    <w:snapToGrid w:val="0"/>
                    <w:jc w:val="center"/>
                    <w:rPr>
                      <w:rFonts w:hint="default" w:ascii="Times New Roman" w:hAnsi="Times New Roman" w:eastAsia="宋体" w:cs="Times New Roman"/>
                      <w:color w:val="auto"/>
                      <w:sz w:val="21"/>
                      <w:szCs w:val="21"/>
                      <w:u w:val="none" w:color="auto"/>
                    </w:rPr>
                  </w:pPr>
                </w:p>
              </w:tc>
              <w:tc>
                <w:tcPr>
                  <w:tcW w:w="1517" w:type="pct"/>
                  <w:tcBorders>
                    <w:tl2br w:val="nil"/>
                    <w:tr2bl w:val="nil"/>
                  </w:tcBorders>
                  <w:noWrap w:val="0"/>
                  <w:vAlign w:val="center"/>
                </w:tcPr>
                <w:p w14:paraId="137B4B08">
                  <w:pPr>
                    <w:adjustRightInd w:val="0"/>
                    <w:snapToGrid w:val="0"/>
                    <w:jc w:val="center"/>
                    <w:rPr>
                      <w:rFonts w:hint="default" w:ascii="Times New Roman" w:hAnsi="Times New Roman" w:eastAsia="宋体" w:cs="Times New Roman"/>
                      <w:bCs/>
                      <w:color w:val="auto"/>
                      <w:sz w:val="21"/>
                      <w:szCs w:val="21"/>
                      <w:u w:val="none" w:color="auto"/>
                    </w:rPr>
                  </w:pPr>
                  <w:r>
                    <w:rPr>
                      <w:rFonts w:hint="default" w:ascii="Times New Roman" w:hAnsi="Times New Roman" w:eastAsia="宋体" w:cs="Times New Roman"/>
                      <w:color w:val="auto"/>
                      <w:sz w:val="21"/>
                      <w:szCs w:val="21"/>
                      <w:u w:val="none" w:color="auto"/>
                    </w:rPr>
                    <w:t>去毛刺废气（G7</w:t>
                  </w:r>
                  <w:r>
                    <w:rPr>
                      <w:rFonts w:hint="default" w:ascii="Times New Roman" w:hAnsi="Times New Roman" w:eastAsia="宋体" w:cs="Times New Roman"/>
                      <w:color w:val="auto"/>
                      <w:sz w:val="21"/>
                      <w:szCs w:val="21"/>
                      <w:u w:val="none" w:color="auto"/>
                      <w:lang w:val="en-US" w:eastAsia="zh-CN"/>
                    </w:rPr>
                    <w:t>-1</w:t>
                  </w:r>
                  <w:r>
                    <w:rPr>
                      <w:rFonts w:hint="default" w:ascii="Times New Roman" w:hAnsi="Times New Roman" w:eastAsia="宋体" w:cs="Times New Roman"/>
                      <w:color w:val="auto"/>
                      <w:sz w:val="21"/>
                      <w:szCs w:val="21"/>
                      <w:u w:val="none" w:color="auto"/>
                    </w:rPr>
                    <w:t>）</w:t>
                  </w:r>
                </w:p>
              </w:tc>
              <w:tc>
                <w:tcPr>
                  <w:tcW w:w="888" w:type="pct"/>
                  <w:tcBorders>
                    <w:tl2br w:val="nil"/>
                    <w:tr2bl w:val="nil"/>
                  </w:tcBorders>
                  <w:noWrap w:val="0"/>
                  <w:vAlign w:val="center"/>
                </w:tcPr>
                <w:p w14:paraId="275648E9">
                  <w:pPr>
                    <w:adjustRightInd w:val="0"/>
                    <w:snapToGrid w:val="0"/>
                    <w:jc w:val="center"/>
                    <w:rPr>
                      <w:rFonts w:hint="default" w:ascii="Times New Roman" w:hAnsi="Times New Roman" w:eastAsia="宋体" w:cs="Times New Roman"/>
                      <w:bCs/>
                      <w:color w:val="auto"/>
                      <w:sz w:val="21"/>
                      <w:szCs w:val="21"/>
                      <w:u w:val="none" w:color="auto"/>
                    </w:rPr>
                  </w:pPr>
                  <w:r>
                    <w:rPr>
                      <w:rFonts w:hint="default" w:ascii="Times New Roman" w:hAnsi="Times New Roman" w:eastAsia="宋体" w:cs="Times New Roman"/>
                      <w:bCs/>
                      <w:color w:val="auto"/>
                      <w:sz w:val="21"/>
                      <w:szCs w:val="21"/>
                      <w:u w:val="none" w:color="auto"/>
                      <w:lang w:val="en-US" w:eastAsia="zh-CN"/>
                    </w:rPr>
                    <w:t>无组织</w:t>
                  </w:r>
                </w:p>
              </w:tc>
              <w:tc>
                <w:tcPr>
                  <w:tcW w:w="888" w:type="pct"/>
                  <w:tcBorders>
                    <w:tl2br w:val="nil"/>
                    <w:tr2bl w:val="nil"/>
                  </w:tcBorders>
                  <w:noWrap w:val="0"/>
                  <w:vAlign w:val="center"/>
                </w:tcPr>
                <w:p w14:paraId="23F42912">
                  <w:pPr>
                    <w:adjustRightInd w:val="0"/>
                    <w:snapToGrid w:val="0"/>
                    <w:jc w:val="center"/>
                    <w:rPr>
                      <w:rFonts w:hint="default" w:ascii="Times New Roman" w:hAnsi="Times New Roman" w:eastAsia="宋体" w:cs="Times New Roman"/>
                      <w:bCs/>
                      <w:color w:val="auto"/>
                      <w:sz w:val="21"/>
                      <w:szCs w:val="21"/>
                      <w:u w:val="none" w:color="auto"/>
                    </w:rPr>
                  </w:pPr>
                  <w:r>
                    <w:rPr>
                      <w:rFonts w:hint="default" w:ascii="Times New Roman" w:hAnsi="Times New Roman" w:eastAsia="宋体" w:cs="Times New Roman"/>
                      <w:bCs/>
                      <w:color w:val="auto"/>
                      <w:sz w:val="21"/>
                      <w:szCs w:val="21"/>
                      <w:u w:val="none" w:color="auto"/>
                    </w:rPr>
                    <w:t>颗粒物</w:t>
                  </w:r>
                </w:p>
              </w:tc>
              <w:tc>
                <w:tcPr>
                  <w:tcW w:w="1081" w:type="pct"/>
                  <w:tcBorders>
                    <w:tl2br w:val="nil"/>
                    <w:tr2bl w:val="nil"/>
                  </w:tcBorders>
                  <w:noWrap w:val="0"/>
                  <w:vAlign w:val="center"/>
                </w:tcPr>
                <w:p w14:paraId="1EF1951D">
                  <w:pPr>
                    <w:adjustRightInd w:val="0"/>
                    <w:snapToGrid w:val="0"/>
                    <w:jc w:val="center"/>
                    <w:rPr>
                      <w:rFonts w:hint="default" w:ascii="Times New Roman" w:hAnsi="Times New Roman" w:eastAsia="宋体" w:cs="Times New Roman"/>
                      <w:bCs/>
                      <w:color w:val="auto"/>
                      <w:sz w:val="21"/>
                      <w:szCs w:val="21"/>
                      <w:u w:val="none" w:color="auto"/>
                      <w:lang w:val="en-US"/>
                    </w:rPr>
                  </w:pPr>
                  <w:r>
                    <w:rPr>
                      <w:rFonts w:hint="default" w:ascii="Times New Roman" w:hAnsi="Times New Roman" w:eastAsia="宋体" w:cs="Times New Roman"/>
                      <w:color w:val="auto"/>
                      <w:sz w:val="21"/>
                      <w:szCs w:val="21"/>
                      <w:u w:val="none" w:color="auto"/>
                      <w:vertAlign w:val="baseline"/>
                      <w:lang w:val="en-US" w:eastAsia="zh-CN"/>
                    </w:rPr>
                    <w:t>8.3806</w:t>
                  </w:r>
                </w:p>
              </w:tc>
            </w:tr>
            <w:tr w14:paraId="32B7DFF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623" w:type="pct"/>
                  <w:vMerge w:val="continue"/>
                  <w:tcBorders>
                    <w:tl2br w:val="nil"/>
                    <w:tr2bl w:val="nil"/>
                  </w:tcBorders>
                  <w:noWrap w:val="0"/>
                  <w:vAlign w:val="center"/>
                </w:tcPr>
                <w:p w14:paraId="0A6CB9D4">
                  <w:pPr>
                    <w:adjustRightInd w:val="0"/>
                    <w:snapToGrid w:val="0"/>
                    <w:jc w:val="center"/>
                    <w:rPr>
                      <w:rFonts w:hint="default" w:ascii="Times New Roman" w:hAnsi="Times New Roman" w:eastAsia="宋体" w:cs="Times New Roman"/>
                      <w:color w:val="auto"/>
                      <w:sz w:val="21"/>
                      <w:szCs w:val="21"/>
                      <w:u w:val="none" w:color="auto"/>
                    </w:rPr>
                  </w:pPr>
                </w:p>
              </w:tc>
              <w:tc>
                <w:tcPr>
                  <w:tcW w:w="1517" w:type="pct"/>
                  <w:tcBorders>
                    <w:tl2br w:val="nil"/>
                    <w:tr2bl w:val="nil"/>
                  </w:tcBorders>
                  <w:noWrap w:val="0"/>
                  <w:vAlign w:val="center"/>
                </w:tcPr>
                <w:p w14:paraId="40912862">
                  <w:pPr>
                    <w:adjustRightInd w:val="0"/>
                    <w:snapToGrid w:val="0"/>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人工补充打磨（G7-2）</w:t>
                  </w:r>
                </w:p>
              </w:tc>
              <w:tc>
                <w:tcPr>
                  <w:tcW w:w="888" w:type="pct"/>
                  <w:tcBorders>
                    <w:tl2br w:val="nil"/>
                    <w:tr2bl w:val="nil"/>
                  </w:tcBorders>
                  <w:shd w:val="clear" w:color="auto" w:fill="auto"/>
                  <w:noWrap w:val="0"/>
                  <w:vAlign w:val="center"/>
                </w:tcPr>
                <w:p w14:paraId="18C9D896">
                  <w:pPr>
                    <w:adjustRightInd w:val="0"/>
                    <w:snapToGrid w:val="0"/>
                    <w:jc w:val="center"/>
                    <w:rPr>
                      <w:rFonts w:hint="default" w:ascii="Times New Roman" w:hAnsi="Times New Roman" w:eastAsia="宋体" w:cs="Times New Roman"/>
                      <w:bCs/>
                      <w:color w:val="auto"/>
                      <w:kern w:val="2"/>
                      <w:sz w:val="21"/>
                      <w:szCs w:val="21"/>
                      <w:u w:val="none" w:color="auto"/>
                      <w:lang w:val="en-US" w:eastAsia="zh-CN" w:bidi="ar-SA"/>
                    </w:rPr>
                  </w:pPr>
                  <w:r>
                    <w:rPr>
                      <w:rFonts w:hint="default" w:ascii="Times New Roman" w:hAnsi="Times New Roman" w:eastAsia="宋体" w:cs="Times New Roman"/>
                      <w:bCs/>
                      <w:color w:val="auto"/>
                      <w:sz w:val="21"/>
                      <w:szCs w:val="21"/>
                      <w:u w:val="none" w:color="auto"/>
                      <w:lang w:val="en-US" w:eastAsia="zh-CN"/>
                    </w:rPr>
                    <w:t>无组织</w:t>
                  </w:r>
                </w:p>
              </w:tc>
              <w:tc>
                <w:tcPr>
                  <w:tcW w:w="888" w:type="pct"/>
                  <w:tcBorders>
                    <w:tl2br w:val="nil"/>
                    <w:tr2bl w:val="nil"/>
                  </w:tcBorders>
                  <w:shd w:val="clear" w:color="auto" w:fill="auto"/>
                  <w:noWrap w:val="0"/>
                  <w:vAlign w:val="center"/>
                </w:tcPr>
                <w:p w14:paraId="5DE7AF59">
                  <w:pPr>
                    <w:adjustRightInd w:val="0"/>
                    <w:snapToGrid w:val="0"/>
                    <w:jc w:val="center"/>
                    <w:rPr>
                      <w:rFonts w:hint="default" w:ascii="Times New Roman" w:hAnsi="Times New Roman" w:eastAsia="宋体" w:cs="Times New Roman"/>
                      <w:bCs/>
                      <w:color w:val="auto"/>
                      <w:kern w:val="2"/>
                      <w:sz w:val="21"/>
                      <w:szCs w:val="21"/>
                      <w:u w:val="none" w:color="auto"/>
                      <w:lang w:val="en-US" w:eastAsia="zh-CN" w:bidi="ar-SA"/>
                    </w:rPr>
                  </w:pPr>
                  <w:r>
                    <w:rPr>
                      <w:rFonts w:hint="default" w:ascii="Times New Roman" w:hAnsi="Times New Roman" w:eastAsia="宋体" w:cs="Times New Roman"/>
                      <w:bCs/>
                      <w:color w:val="auto"/>
                      <w:sz w:val="21"/>
                      <w:szCs w:val="21"/>
                      <w:u w:val="none" w:color="auto"/>
                    </w:rPr>
                    <w:t>颗粒物</w:t>
                  </w:r>
                </w:p>
              </w:tc>
              <w:tc>
                <w:tcPr>
                  <w:tcW w:w="1081" w:type="pct"/>
                  <w:tcBorders>
                    <w:tl2br w:val="nil"/>
                    <w:tr2bl w:val="nil"/>
                  </w:tcBorders>
                  <w:noWrap w:val="0"/>
                  <w:vAlign w:val="center"/>
                </w:tcPr>
                <w:p w14:paraId="5AE77DC2">
                  <w:pPr>
                    <w:adjustRightInd w:val="0"/>
                    <w:snapToGrid w:val="0"/>
                    <w:jc w:val="center"/>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4.1325</w:t>
                  </w:r>
                </w:p>
              </w:tc>
            </w:tr>
            <w:tr w14:paraId="1618388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623" w:type="pct"/>
                  <w:vMerge w:val="continue"/>
                  <w:tcBorders>
                    <w:tl2br w:val="nil"/>
                    <w:tr2bl w:val="nil"/>
                  </w:tcBorders>
                  <w:noWrap w:val="0"/>
                  <w:vAlign w:val="center"/>
                </w:tcPr>
                <w:p w14:paraId="47A79C4B">
                  <w:pPr>
                    <w:adjustRightInd w:val="0"/>
                    <w:snapToGrid w:val="0"/>
                    <w:jc w:val="center"/>
                    <w:rPr>
                      <w:rFonts w:hint="default" w:ascii="Times New Roman" w:hAnsi="Times New Roman" w:eastAsia="宋体" w:cs="Times New Roman"/>
                      <w:color w:val="auto"/>
                      <w:sz w:val="21"/>
                      <w:szCs w:val="21"/>
                      <w:u w:val="none" w:color="auto"/>
                    </w:rPr>
                  </w:pPr>
                </w:p>
              </w:tc>
              <w:tc>
                <w:tcPr>
                  <w:tcW w:w="1517" w:type="pct"/>
                  <w:vMerge w:val="restart"/>
                  <w:tcBorders>
                    <w:tl2br w:val="nil"/>
                    <w:tr2bl w:val="nil"/>
                  </w:tcBorders>
                  <w:noWrap w:val="0"/>
                  <w:vAlign w:val="center"/>
                </w:tcPr>
                <w:p w14:paraId="4525DAEC">
                  <w:pPr>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浸渗处理废气（G8）</w:t>
                  </w:r>
                </w:p>
              </w:tc>
              <w:tc>
                <w:tcPr>
                  <w:tcW w:w="888" w:type="pct"/>
                  <w:tcBorders>
                    <w:tl2br w:val="nil"/>
                    <w:tr2bl w:val="nil"/>
                  </w:tcBorders>
                  <w:noWrap w:val="0"/>
                  <w:vAlign w:val="center"/>
                </w:tcPr>
                <w:p w14:paraId="2C4D1B96">
                  <w:pPr>
                    <w:adjustRightInd w:val="0"/>
                    <w:snapToGrid w:val="0"/>
                    <w:jc w:val="center"/>
                    <w:rPr>
                      <w:rFonts w:hint="default" w:ascii="Times New Roman" w:hAnsi="Times New Roman" w:eastAsia="宋体" w:cs="Times New Roman"/>
                      <w:bCs/>
                      <w:color w:val="auto"/>
                      <w:sz w:val="21"/>
                      <w:szCs w:val="21"/>
                      <w:u w:val="none" w:color="auto"/>
                      <w:lang w:val="en-US" w:eastAsia="zh-CN"/>
                    </w:rPr>
                  </w:pPr>
                  <w:r>
                    <w:rPr>
                      <w:rFonts w:hint="default" w:ascii="Times New Roman" w:hAnsi="Times New Roman" w:eastAsia="宋体" w:cs="Times New Roman"/>
                      <w:bCs/>
                      <w:color w:val="auto"/>
                      <w:sz w:val="21"/>
                      <w:szCs w:val="21"/>
                      <w:u w:val="none" w:color="auto"/>
                      <w:lang w:val="en-US" w:eastAsia="zh-CN"/>
                    </w:rPr>
                    <w:t>DA012</w:t>
                  </w:r>
                </w:p>
              </w:tc>
              <w:tc>
                <w:tcPr>
                  <w:tcW w:w="888" w:type="pct"/>
                  <w:tcBorders>
                    <w:tl2br w:val="nil"/>
                    <w:tr2bl w:val="nil"/>
                  </w:tcBorders>
                  <w:noWrap w:val="0"/>
                  <w:vAlign w:val="center"/>
                </w:tcPr>
                <w:p w14:paraId="78B9C00F">
                  <w:pPr>
                    <w:adjustRightInd w:val="0"/>
                    <w:snapToGrid w:val="0"/>
                    <w:jc w:val="center"/>
                    <w:rPr>
                      <w:rFonts w:hint="default" w:ascii="Times New Roman" w:hAnsi="Times New Roman" w:eastAsia="宋体" w:cs="Times New Roman"/>
                      <w:bCs/>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非甲烷总烃</w:t>
                  </w:r>
                </w:p>
              </w:tc>
              <w:tc>
                <w:tcPr>
                  <w:tcW w:w="1081" w:type="pct"/>
                  <w:tcBorders>
                    <w:tl2br w:val="nil"/>
                    <w:tr2bl w:val="nil"/>
                  </w:tcBorders>
                  <w:noWrap w:val="0"/>
                  <w:vAlign w:val="center"/>
                </w:tcPr>
                <w:p w14:paraId="5048D3BD">
                  <w:pPr>
                    <w:adjustRightInd w:val="0"/>
                    <w:snapToGrid w:val="0"/>
                    <w:jc w:val="center"/>
                    <w:rPr>
                      <w:rFonts w:hint="default" w:ascii="Times New Roman" w:hAnsi="Times New Roman" w:eastAsia="宋体" w:cs="Times New Roman"/>
                      <w:bCs/>
                      <w:color w:val="auto"/>
                      <w:sz w:val="21"/>
                      <w:szCs w:val="21"/>
                      <w:u w:val="none" w:color="auto"/>
                      <w:lang w:val="en-US" w:eastAsia="zh-CN"/>
                    </w:rPr>
                  </w:pPr>
                  <w:r>
                    <w:rPr>
                      <w:rFonts w:hint="default" w:ascii="Times New Roman" w:hAnsi="Times New Roman" w:eastAsia="宋体" w:cs="Times New Roman"/>
                      <w:bCs/>
                      <w:color w:val="auto"/>
                      <w:sz w:val="21"/>
                      <w:szCs w:val="21"/>
                      <w:u w:val="none" w:color="auto"/>
                      <w:lang w:val="en-US" w:eastAsia="zh-CN"/>
                    </w:rPr>
                    <w:t>0.0539</w:t>
                  </w:r>
                </w:p>
              </w:tc>
            </w:tr>
            <w:tr w14:paraId="63D147D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623" w:type="pct"/>
                  <w:vMerge w:val="continue"/>
                  <w:tcBorders>
                    <w:tl2br w:val="nil"/>
                    <w:tr2bl w:val="nil"/>
                  </w:tcBorders>
                  <w:noWrap w:val="0"/>
                  <w:vAlign w:val="center"/>
                </w:tcPr>
                <w:p w14:paraId="565263A1">
                  <w:pPr>
                    <w:adjustRightInd w:val="0"/>
                    <w:snapToGrid w:val="0"/>
                    <w:jc w:val="center"/>
                    <w:rPr>
                      <w:rFonts w:hint="default" w:ascii="Times New Roman" w:hAnsi="Times New Roman" w:eastAsia="宋体" w:cs="Times New Roman"/>
                      <w:color w:val="auto"/>
                      <w:sz w:val="21"/>
                      <w:szCs w:val="21"/>
                      <w:u w:val="none" w:color="auto"/>
                    </w:rPr>
                  </w:pPr>
                </w:p>
              </w:tc>
              <w:tc>
                <w:tcPr>
                  <w:tcW w:w="1517" w:type="pct"/>
                  <w:vMerge w:val="continue"/>
                  <w:tcBorders>
                    <w:tl2br w:val="nil"/>
                    <w:tr2bl w:val="nil"/>
                  </w:tcBorders>
                  <w:noWrap w:val="0"/>
                  <w:vAlign w:val="center"/>
                </w:tcPr>
                <w:p w14:paraId="0C5024C4">
                  <w:pPr>
                    <w:adjustRightInd w:val="0"/>
                    <w:snapToGrid w:val="0"/>
                    <w:jc w:val="center"/>
                    <w:rPr>
                      <w:rFonts w:hint="default" w:ascii="Times New Roman" w:hAnsi="Times New Roman" w:eastAsia="宋体" w:cs="Times New Roman"/>
                      <w:color w:val="auto"/>
                      <w:sz w:val="21"/>
                      <w:szCs w:val="21"/>
                      <w:u w:val="none" w:color="auto"/>
                    </w:rPr>
                  </w:pPr>
                </w:p>
              </w:tc>
              <w:tc>
                <w:tcPr>
                  <w:tcW w:w="888" w:type="pct"/>
                  <w:tcBorders>
                    <w:tl2br w:val="nil"/>
                    <w:tr2bl w:val="nil"/>
                  </w:tcBorders>
                  <w:noWrap w:val="0"/>
                  <w:vAlign w:val="center"/>
                </w:tcPr>
                <w:p w14:paraId="6E70C1FB">
                  <w:pPr>
                    <w:adjustRightInd w:val="0"/>
                    <w:snapToGrid w:val="0"/>
                    <w:jc w:val="center"/>
                    <w:rPr>
                      <w:rFonts w:hint="default" w:ascii="Times New Roman" w:hAnsi="Times New Roman" w:eastAsia="宋体" w:cs="Times New Roman"/>
                      <w:bCs/>
                      <w:color w:val="auto"/>
                      <w:sz w:val="21"/>
                      <w:szCs w:val="21"/>
                      <w:u w:val="none" w:color="auto"/>
                    </w:rPr>
                  </w:pPr>
                  <w:r>
                    <w:rPr>
                      <w:rFonts w:hint="default" w:ascii="Times New Roman" w:hAnsi="Times New Roman" w:eastAsia="宋体" w:cs="Times New Roman"/>
                      <w:bCs/>
                      <w:color w:val="auto"/>
                      <w:sz w:val="21"/>
                      <w:szCs w:val="21"/>
                      <w:u w:val="none" w:color="auto"/>
                      <w:lang w:val="en-US" w:eastAsia="zh-CN"/>
                    </w:rPr>
                    <w:t>无组织</w:t>
                  </w:r>
                </w:p>
              </w:tc>
              <w:tc>
                <w:tcPr>
                  <w:tcW w:w="888" w:type="pct"/>
                  <w:tcBorders>
                    <w:tl2br w:val="nil"/>
                    <w:tr2bl w:val="nil"/>
                  </w:tcBorders>
                  <w:noWrap w:val="0"/>
                  <w:vAlign w:val="center"/>
                </w:tcPr>
                <w:p w14:paraId="1716F797">
                  <w:pPr>
                    <w:adjustRightInd w:val="0"/>
                    <w:snapToGrid w:val="0"/>
                    <w:jc w:val="center"/>
                    <w:rPr>
                      <w:rFonts w:hint="default" w:ascii="Times New Roman" w:hAnsi="Times New Roman" w:eastAsia="宋体" w:cs="Times New Roman"/>
                      <w:bCs/>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非甲烷总烃</w:t>
                  </w:r>
                </w:p>
              </w:tc>
              <w:tc>
                <w:tcPr>
                  <w:tcW w:w="1081" w:type="pct"/>
                  <w:tcBorders>
                    <w:tl2br w:val="nil"/>
                    <w:tr2bl w:val="nil"/>
                  </w:tcBorders>
                  <w:noWrap w:val="0"/>
                  <w:vAlign w:val="center"/>
                </w:tcPr>
                <w:p w14:paraId="1DFFF220">
                  <w:pPr>
                    <w:adjustRightInd w:val="0"/>
                    <w:snapToGrid w:val="0"/>
                    <w:jc w:val="center"/>
                    <w:rPr>
                      <w:rFonts w:hint="default" w:ascii="Times New Roman" w:hAnsi="Times New Roman" w:eastAsia="宋体" w:cs="Times New Roman"/>
                      <w:bCs/>
                      <w:color w:val="auto"/>
                      <w:sz w:val="21"/>
                      <w:szCs w:val="21"/>
                      <w:u w:val="none" w:color="auto"/>
                      <w:lang w:val="en-US" w:eastAsia="zh-CN"/>
                    </w:rPr>
                  </w:pPr>
                  <w:r>
                    <w:rPr>
                      <w:rFonts w:hint="default" w:ascii="Times New Roman" w:hAnsi="Times New Roman" w:eastAsia="宋体" w:cs="Times New Roman"/>
                      <w:bCs/>
                      <w:color w:val="auto"/>
                      <w:sz w:val="21"/>
                      <w:szCs w:val="21"/>
                      <w:u w:val="none" w:color="auto"/>
                      <w:lang w:val="en-US" w:eastAsia="zh-CN"/>
                    </w:rPr>
                    <w:t>0.0187</w:t>
                  </w:r>
                </w:p>
              </w:tc>
            </w:tr>
            <w:tr w14:paraId="35AD5B6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623" w:type="pct"/>
                  <w:vMerge w:val="continue"/>
                  <w:tcBorders>
                    <w:tl2br w:val="nil"/>
                    <w:tr2bl w:val="nil"/>
                  </w:tcBorders>
                  <w:noWrap w:val="0"/>
                  <w:vAlign w:val="center"/>
                </w:tcPr>
                <w:p w14:paraId="5EBD1606">
                  <w:pPr>
                    <w:adjustRightInd w:val="0"/>
                    <w:snapToGrid w:val="0"/>
                    <w:jc w:val="center"/>
                    <w:rPr>
                      <w:rFonts w:hint="default" w:ascii="Times New Roman" w:hAnsi="Times New Roman" w:eastAsia="宋体" w:cs="Times New Roman"/>
                      <w:color w:val="auto"/>
                      <w:sz w:val="21"/>
                      <w:szCs w:val="21"/>
                      <w:u w:val="none" w:color="auto"/>
                    </w:rPr>
                  </w:pPr>
                </w:p>
              </w:tc>
              <w:tc>
                <w:tcPr>
                  <w:tcW w:w="1517" w:type="pct"/>
                  <w:tcBorders>
                    <w:tl2br w:val="nil"/>
                    <w:tr2bl w:val="nil"/>
                  </w:tcBorders>
                  <w:noWrap w:val="0"/>
                  <w:vAlign w:val="center"/>
                </w:tcPr>
                <w:p w14:paraId="0A704419">
                  <w:pPr>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CNC粗/精加工油雾废气（G9）</w:t>
                  </w:r>
                </w:p>
              </w:tc>
              <w:tc>
                <w:tcPr>
                  <w:tcW w:w="888" w:type="pct"/>
                  <w:tcBorders>
                    <w:tl2br w:val="nil"/>
                    <w:tr2bl w:val="nil"/>
                  </w:tcBorders>
                  <w:noWrap w:val="0"/>
                  <w:vAlign w:val="center"/>
                </w:tcPr>
                <w:p w14:paraId="75524E12">
                  <w:pPr>
                    <w:adjustRightInd w:val="0"/>
                    <w:snapToGrid w:val="0"/>
                    <w:jc w:val="center"/>
                    <w:rPr>
                      <w:rFonts w:hint="default" w:ascii="Times New Roman" w:hAnsi="Times New Roman" w:eastAsia="宋体" w:cs="Times New Roman"/>
                      <w:bCs/>
                      <w:color w:val="auto"/>
                      <w:sz w:val="21"/>
                      <w:szCs w:val="21"/>
                      <w:u w:val="none" w:color="auto"/>
                      <w:lang w:val="en-US" w:eastAsia="zh-CN"/>
                    </w:rPr>
                  </w:pPr>
                  <w:r>
                    <w:rPr>
                      <w:rFonts w:hint="default" w:ascii="Times New Roman" w:hAnsi="Times New Roman" w:eastAsia="宋体" w:cs="Times New Roman"/>
                      <w:bCs/>
                      <w:color w:val="auto"/>
                      <w:sz w:val="21"/>
                      <w:szCs w:val="21"/>
                      <w:u w:val="none" w:color="auto"/>
                      <w:lang w:val="en-US" w:eastAsia="zh-CN"/>
                    </w:rPr>
                    <w:t>无组织</w:t>
                  </w:r>
                </w:p>
              </w:tc>
              <w:tc>
                <w:tcPr>
                  <w:tcW w:w="888" w:type="pct"/>
                  <w:tcBorders>
                    <w:tl2br w:val="nil"/>
                    <w:tr2bl w:val="nil"/>
                  </w:tcBorders>
                  <w:noWrap w:val="0"/>
                  <w:vAlign w:val="center"/>
                </w:tcPr>
                <w:p w14:paraId="6F9DC1EB">
                  <w:pPr>
                    <w:adjustRightInd w:val="0"/>
                    <w:snapToGrid w:val="0"/>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bCs/>
                      <w:color w:val="auto"/>
                      <w:sz w:val="21"/>
                      <w:szCs w:val="21"/>
                      <w:u w:val="none" w:color="auto"/>
                      <w:lang w:val="en-US" w:eastAsia="zh-CN"/>
                    </w:rPr>
                    <w:t>油雾</w:t>
                  </w:r>
                </w:p>
              </w:tc>
              <w:tc>
                <w:tcPr>
                  <w:tcW w:w="1081" w:type="pct"/>
                  <w:tcBorders>
                    <w:tl2br w:val="nil"/>
                    <w:tr2bl w:val="nil"/>
                  </w:tcBorders>
                  <w:noWrap w:val="0"/>
                  <w:vAlign w:val="center"/>
                </w:tcPr>
                <w:p w14:paraId="5DD3D2EC">
                  <w:pPr>
                    <w:adjustRightInd w:val="0"/>
                    <w:snapToGrid w:val="0"/>
                    <w:jc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color w:val="auto"/>
                      <w:sz w:val="21"/>
                      <w:szCs w:val="21"/>
                      <w:u w:val="none" w:color="auto"/>
                      <w:vertAlign w:val="baseline"/>
                      <w:lang w:val="en-US" w:eastAsia="zh-CN"/>
                    </w:rPr>
                    <w:t>0.0620</w:t>
                  </w:r>
                </w:p>
              </w:tc>
            </w:tr>
          </w:tbl>
          <w:p w14:paraId="03105411">
            <w:pPr>
              <w:spacing w:line="360" w:lineRule="auto"/>
              <w:ind w:firstLine="482" w:firstLineChars="200"/>
              <w:rPr>
                <w:rFonts w:hint="default" w:ascii="Times New Roman" w:hAnsi="Times New Roman" w:eastAsia="宋体" w:cs="Times New Roman"/>
                <w:b/>
                <w:bCs/>
                <w:color w:val="auto"/>
                <w:spacing w:val="0"/>
                <w:sz w:val="24"/>
                <w:u w:val="none" w:color="auto"/>
                <w:lang w:val="en-US" w:eastAsia="zh-CN"/>
              </w:rPr>
            </w:pPr>
            <w:r>
              <w:rPr>
                <w:rFonts w:hint="default" w:ascii="Times New Roman" w:hAnsi="Times New Roman" w:eastAsia="宋体" w:cs="Times New Roman"/>
                <w:b/>
                <w:color w:val="auto"/>
                <w:spacing w:val="0"/>
                <w:sz w:val="24"/>
                <w:u w:val="none" w:color="auto"/>
                <w:lang w:val="en-US" w:eastAsia="zh-CN"/>
              </w:rPr>
              <w:t>3</w:t>
            </w:r>
            <w:r>
              <w:rPr>
                <w:rFonts w:hint="default" w:ascii="Times New Roman" w:hAnsi="Times New Roman" w:eastAsia="宋体" w:cs="Times New Roman"/>
                <w:b/>
                <w:color w:val="auto"/>
                <w:spacing w:val="0"/>
                <w:sz w:val="24"/>
                <w:u w:val="none" w:color="auto"/>
              </w:rPr>
              <w:t>、</w:t>
            </w:r>
            <w:r>
              <w:rPr>
                <w:rFonts w:hint="default" w:ascii="Times New Roman" w:hAnsi="Times New Roman" w:eastAsia="宋体" w:cs="Times New Roman"/>
                <w:b/>
                <w:bCs/>
                <w:color w:val="auto"/>
                <w:spacing w:val="0"/>
                <w:sz w:val="24"/>
                <w:u w:val="none" w:color="auto"/>
              </w:rPr>
              <w:t>大气污染源排放口基本情况</w:t>
            </w:r>
            <w:r>
              <w:rPr>
                <w:rFonts w:hint="default" w:ascii="Times New Roman" w:hAnsi="Times New Roman" w:eastAsia="宋体" w:cs="Times New Roman"/>
                <w:b/>
                <w:bCs/>
                <w:color w:val="auto"/>
                <w:spacing w:val="0"/>
                <w:sz w:val="24"/>
                <w:u w:val="none" w:color="auto"/>
                <w:lang w:val="en-US" w:eastAsia="zh-CN"/>
              </w:rPr>
              <w:t>及排气筒设置可行性分析</w:t>
            </w:r>
          </w:p>
          <w:p w14:paraId="012ECF12">
            <w:pPr>
              <w:spacing w:line="360" w:lineRule="auto"/>
              <w:ind w:firstLine="480" w:firstLineChars="200"/>
              <w:rPr>
                <w:rFonts w:hint="default" w:ascii="Times New Roman" w:hAnsi="Times New Roman" w:eastAsia="宋体" w:cs="Times New Roman"/>
                <w:color w:val="auto"/>
                <w:sz w:val="24"/>
                <w:u w:val="none" w:color="auto"/>
                <w:lang w:val="en-US" w:eastAsia="zh-CN"/>
              </w:rPr>
            </w:pPr>
            <w:r>
              <w:rPr>
                <w:rFonts w:hint="default" w:ascii="Times New Roman" w:hAnsi="Times New Roman" w:eastAsia="宋体" w:cs="Times New Roman"/>
                <w:color w:val="auto"/>
                <w:sz w:val="24"/>
                <w:u w:val="none" w:color="auto"/>
                <w:lang w:eastAsia="zh-CN"/>
              </w:rPr>
              <w:t>（</w:t>
            </w:r>
            <w:r>
              <w:rPr>
                <w:rFonts w:hint="default" w:ascii="Times New Roman" w:hAnsi="Times New Roman" w:eastAsia="宋体" w:cs="Times New Roman"/>
                <w:color w:val="auto"/>
                <w:sz w:val="24"/>
                <w:u w:val="none" w:color="auto"/>
                <w:lang w:val="en-US" w:eastAsia="zh-CN"/>
              </w:rPr>
              <w:t>1</w:t>
            </w:r>
            <w:r>
              <w:rPr>
                <w:rFonts w:hint="default" w:ascii="Times New Roman" w:hAnsi="Times New Roman" w:eastAsia="宋体" w:cs="Times New Roman"/>
                <w:color w:val="auto"/>
                <w:sz w:val="24"/>
                <w:u w:val="none" w:color="auto"/>
                <w:lang w:eastAsia="zh-CN"/>
              </w:rPr>
              <w:t>）</w:t>
            </w:r>
            <w:r>
              <w:rPr>
                <w:rFonts w:hint="default" w:ascii="Times New Roman" w:hAnsi="Times New Roman" w:eastAsia="宋体" w:cs="Times New Roman"/>
                <w:color w:val="auto"/>
                <w:sz w:val="24"/>
                <w:u w:val="none" w:color="auto"/>
                <w:lang w:val="en-US" w:eastAsia="zh-CN"/>
              </w:rPr>
              <w:t>排气筒设置情况</w:t>
            </w:r>
          </w:p>
          <w:p w14:paraId="651C9D77">
            <w:pPr>
              <w:spacing w:line="360" w:lineRule="auto"/>
              <w:ind w:firstLine="480" w:firstLineChars="200"/>
              <w:rPr>
                <w:rFonts w:hint="default" w:ascii="Times New Roman" w:hAnsi="Times New Roman" w:eastAsia="宋体" w:cs="Times New Roman"/>
                <w:color w:val="auto"/>
                <w:sz w:val="24"/>
                <w:u w:val="none" w:color="auto"/>
              </w:rPr>
            </w:pPr>
            <w:r>
              <w:rPr>
                <w:rFonts w:hint="default" w:ascii="Times New Roman" w:hAnsi="Times New Roman" w:eastAsia="宋体" w:cs="Times New Roman"/>
                <w:color w:val="auto"/>
                <w:sz w:val="24"/>
                <w:u w:val="none" w:color="auto"/>
              </w:rPr>
              <w:t>项目废气排放口基本情况见表4-</w:t>
            </w:r>
            <w:r>
              <w:rPr>
                <w:rFonts w:hint="default" w:ascii="Times New Roman" w:hAnsi="Times New Roman" w:eastAsia="宋体" w:cs="Times New Roman"/>
                <w:color w:val="auto"/>
                <w:sz w:val="24"/>
                <w:u w:val="none" w:color="auto"/>
                <w:lang w:val="en-US" w:eastAsia="zh-CN"/>
              </w:rPr>
              <w:t>16</w:t>
            </w:r>
            <w:r>
              <w:rPr>
                <w:rFonts w:hint="default" w:ascii="Times New Roman" w:hAnsi="Times New Roman" w:eastAsia="宋体" w:cs="Times New Roman"/>
                <w:color w:val="auto"/>
                <w:sz w:val="24"/>
                <w:u w:val="none" w:color="auto"/>
              </w:rPr>
              <w:t>。</w:t>
            </w:r>
          </w:p>
          <w:p w14:paraId="40AB69AB">
            <w:pPr>
              <w:jc w:val="center"/>
              <w:rPr>
                <w:rFonts w:hint="default" w:ascii="Times New Roman" w:hAnsi="Times New Roman" w:eastAsia="宋体" w:cs="Times New Roman"/>
                <w:b/>
                <w:bCs/>
                <w:color w:val="auto"/>
                <w:u w:val="none" w:color="auto"/>
                <w:lang w:val="zh-CN"/>
              </w:rPr>
            </w:pPr>
            <w:r>
              <w:rPr>
                <w:rFonts w:hint="default" w:ascii="Times New Roman" w:hAnsi="Times New Roman" w:eastAsia="宋体" w:cs="Times New Roman"/>
                <w:b/>
                <w:bCs/>
                <w:color w:val="auto"/>
                <w:u w:val="none" w:color="auto"/>
                <w:lang w:val="zh-CN"/>
              </w:rPr>
              <w:t>表4-</w:t>
            </w:r>
            <w:r>
              <w:rPr>
                <w:rFonts w:hint="default" w:ascii="Times New Roman" w:hAnsi="Times New Roman" w:eastAsia="宋体" w:cs="Times New Roman"/>
                <w:b/>
                <w:bCs/>
                <w:color w:val="auto"/>
                <w:u w:val="none" w:color="auto"/>
                <w:lang w:val="en-US" w:eastAsia="zh-CN"/>
              </w:rPr>
              <w:t>16</w:t>
            </w:r>
            <w:r>
              <w:rPr>
                <w:rFonts w:hint="default" w:ascii="Times New Roman" w:hAnsi="Times New Roman" w:eastAsia="宋体" w:cs="Times New Roman"/>
                <w:b/>
                <w:bCs/>
                <w:color w:val="auto"/>
                <w:u w:val="none" w:color="auto"/>
                <w:lang w:val="zh-CN"/>
              </w:rPr>
              <w:t xml:space="preserve">  废气排放口基本情况</w:t>
            </w:r>
          </w:p>
          <w:tbl>
            <w:tblPr>
              <w:tblStyle w:val="31"/>
              <w:tblW w:w="4996"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085"/>
              <w:gridCol w:w="2151"/>
              <w:gridCol w:w="879"/>
              <w:gridCol w:w="879"/>
              <w:gridCol w:w="879"/>
              <w:gridCol w:w="879"/>
              <w:gridCol w:w="879"/>
              <w:gridCol w:w="880"/>
            </w:tblGrid>
            <w:tr w14:paraId="4054307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701" w:type="pct"/>
                  <w:tcBorders>
                    <w:tl2br w:val="nil"/>
                    <w:tr2bl w:val="nil"/>
                  </w:tcBorders>
                  <w:noWrap w:val="0"/>
                  <w:vAlign w:val="center"/>
                </w:tcPr>
                <w:p w14:paraId="1BF5555F">
                  <w:pPr>
                    <w:jc w:val="center"/>
                    <w:rPr>
                      <w:rFonts w:hint="default" w:ascii="Times New Roman" w:hAnsi="Times New Roman" w:eastAsia="宋体" w:cs="Times New Roman"/>
                      <w:b/>
                      <w:bCs/>
                      <w:color w:val="auto"/>
                      <w:u w:val="none" w:color="auto"/>
                    </w:rPr>
                  </w:pPr>
                  <w:r>
                    <w:rPr>
                      <w:rFonts w:hint="default" w:ascii="Times New Roman" w:hAnsi="Times New Roman" w:eastAsia="宋体" w:cs="Times New Roman"/>
                      <w:b/>
                      <w:bCs/>
                      <w:color w:val="auto"/>
                      <w:u w:val="none" w:color="auto"/>
                    </w:rPr>
                    <w:t>排放口编号</w:t>
                  </w:r>
                </w:p>
              </w:tc>
              <w:tc>
                <w:tcPr>
                  <w:tcW w:w="816" w:type="pct"/>
                  <w:tcBorders>
                    <w:tl2br w:val="nil"/>
                    <w:tr2bl w:val="nil"/>
                  </w:tcBorders>
                  <w:noWrap w:val="0"/>
                  <w:vAlign w:val="center"/>
                </w:tcPr>
                <w:p w14:paraId="2FE36BCB">
                  <w:pPr>
                    <w:jc w:val="center"/>
                    <w:rPr>
                      <w:rFonts w:hint="default" w:ascii="Times New Roman" w:hAnsi="Times New Roman" w:eastAsia="宋体" w:cs="Times New Roman"/>
                      <w:b/>
                      <w:bCs/>
                      <w:color w:val="auto"/>
                      <w:u w:val="none" w:color="auto"/>
                    </w:rPr>
                  </w:pPr>
                  <w:r>
                    <w:rPr>
                      <w:rFonts w:hint="default" w:ascii="Times New Roman" w:hAnsi="Times New Roman" w:eastAsia="宋体" w:cs="Times New Roman"/>
                      <w:b/>
                      <w:bCs/>
                      <w:color w:val="auto"/>
                      <w:u w:val="none" w:color="auto"/>
                    </w:rPr>
                    <w:t>地理坐标</w:t>
                  </w:r>
                </w:p>
              </w:tc>
              <w:tc>
                <w:tcPr>
                  <w:tcW w:w="580" w:type="pct"/>
                  <w:tcBorders>
                    <w:tl2br w:val="nil"/>
                    <w:tr2bl w:val="nil"/>
                  </w:tcBorders>
                  <w:noWrap w:val="0"/>
                  <w:vAlign w:val="center"/>
                </w:tcPr>
                <w:p w14:paraId="4F7D3EAE">
                  <w:pPr>
                    <w:jc w:val="center"/>
                    <w:rPr>
                      <w:rFonts w:hint="default" w:ascii="Times New Roman" w:hAnsi="Times New Roman" w:eastAsia="宋体" w:cs="Times New Roman"/>
                      <w:b/>
                      <w:bCs/>
                      <w:color w:val="auto"/>
                      <w:u w:val="none" w:color="auto"/>
                    </w:rPr>
                  </w:pPr>
                  <w:r>
                    <w:rPr>
                      <w:rFonts w:hint="default" w:ascii="Times New Roman" w:hAnsi="Times New Roman" w:eastAsia="宋体" w:cs="Times New Roman"/>
                      <w:b/>
                      <w:bCs/>
                      <w:color w:val="auto"/>
                      <w:u w:val="none" w:color="auto"/>
                    </w:rPr>
                    <w:t>高度/m</w:t>
                  </w:r>
                </w:p>
              </w:tc>
              <w:tc>
                <w:tcPr>
                  <w:tcW w:w="580" w:type="pct"/>
                  <w:tcBorders>
                    <w:tl2br w:val="nil"/>
                    <w:tr2bl w:val="nil"/>
                  </w:tcBorders>
                  <w:noWrap w:val="0"/>
                  <w:vAlign w:val="center"/>
                </w:tcPr>
                <w:p w14:paraId="274B293F">
                  <w:pPr>
                    <w:jc w:val="center"/>
                    <w:rPr>
                      <w:rFonts w:hint="default" w:ascii="Times New Roman" w:hAnsi="Times New Roman" w:eastAsia="宋体" w:cs="Times New Roman"/>
                      <w:b/>
                      <w:bCs/>
                      <w:color w:val="auto"/>
                      <w:u w:val="none" w:color="auto"/>
                    </w:rPr>
                  </w:pPr>
                  <w:r>
                    <w:rPr>
                      <w:rFonts w:hint="default" w:ascii="Times New Roman" w:hAnsi="Times New Roman" w:eastAsia="宋体" w:cs="Times New Roman"/>
                      <w:b/>
                      <w:bCs/>
                      <w:color w:val="auto"/>
                      <w:u w:val="none" w:color="auto"/>
                    </w:rPr>
                    <w:t>内径/m</w:t>
                  </w:r>
                </w:p>
              </w:tc>
              <w:tc>
                <w:tcPr>
                  <w:tcW w:w="580" w:type="pct"/>
                  <w:tcBorders>
                    <w:tl2br w:val="nil"/>
                    <w:tr2bl w:val="nil"/>
                  </w:tcBorders>
                  <w:noWrap w:val="0"/>
                  <w:vAlign w:val="center"/>
                </w:tcPr>
                <w:p w14:paraId="0929A8CF">
                  <w:pPr>
                    <w:jc w:val="center"/>
                    <w:rPr>
                      <w:rFonts w:hint="default" w:ascii="Times New Roman" w:hAnsi="Times New Roman" w:eastAsia="宋体" w:cs="Times New Roman"/>
                      <w:b/>
                      <w:bCs/>
                      <w:color w:val="auto"/>
                      <w:u w:val="none" w:color="auto"/>
                    </w:rPr>
                  </w:pPr>
                  <w:r>
                    <w:rPr>
                      <w:rFonts w:hint="default" w:ascii="Times New Roman" w:hAnsi="Times New Roman" w:eastAsia="宋体" w:cs="Times New Roman"/>
                      <w:b/>
                      <w:bCs/>
                      <w:color w:val="auto"/>
                      <w:u w:val="none" w:color="auto"/>
                    </w:rPr>
                    <w:t>温度/℃</w:t>
                  </w:r>
                </w:p>
              </w:tc>
              <w:tc>
                <w:tcPr>
                  <w:tcW w:w="580" w:type="pct"/>
                  <w:tcBorders>
                    <w:tl2br w:val="nil"/>
                    <w:tr2bl w:val="nil"/>
                  </w:tcBorders>
                  <w:noWrap w:val="0"/>
                  <w:vAlign w:val="center"/>
                </w:tcPr>
                <w:p w14:paraId="1A42578D">
                  <w:pPr>
                    <w:jc w:val="center"/>
                    <w:rPr>
                      <w:rFonts w:hint="default" w:ascii="Times New Roman" w:hAnsi="Times New Roman" w:eastAsia="宋体" w:cs="Times New Roman"/>
                      <w:b/>
                      <w:bCs/>
                      <w:color w:val="auto"/>
                      <w:u w:val="none" w:color="auto"/>
                    </w:rPr>
                  </w:pPr>
                  <w:r>
                    <w:rPr>
                      <w:rFonts w:hint="default" w:ascii="Times New Roman" w:hAnsi="Times New Roman" w:eastAsia="宋体" w:cs="Times New Roman"/>
                      <w:b/>
                      <w:bCs/>
                      <w:color w:val="auto"/>
                      <w:u w:val="none" w:color="auto"/>
                    </w:rPr>
                    <w:t>风量/m</w:t>
                  </w:r>
                  <w:r>
                    <w:rPr>
                      <w:rFonts w:hint="default" w:ascii="Times New Roman" w:hAnsi="Times New Roman" w:eastAsia="宋体" w:cs="Times New Roman"/>
                      <w:b/>
                      <w:bCs/>
                      <w:color w:val="auto"/>
                      <w:sz w:val="22"/>
                      <w:szCs w:val="22"/>
                      <w:u w:val="none" w:color="auto"/>
                      <w:vertAlign w:val="superscript"/>
                    </w:rPr>
                    <w:t>3</w:t>
                  </w:r>
                  <w:r>
                    <w:rPr>
                      <w:rFonts w:hint="default" w:ascii="Times New Roman" w:hAnsi="Times New Roman" w:eastAsia="宋体" w:cs="Times New Roman"/>
                      <w:b/>
                      <w:bCs/>
                      <w:color w:val="auto"/>
                      <w:u w:val="none" w:color="auto"/>
                    </w:rPr>
                    <w:t>/h</w:t>
                  </w:r>
                </w:p>
              </w:tc>
              <w:tc>
                <w:tcPr>
                  <w:tcW w:w="580" w:type="pct"/>
                  <w:tcBorders>
                    <w:tl2br w:val="nil"/>
                    <w:tr2bl w:val="nil"/>
                  </w:tcBorders>
                  <w:noWrap w:val="0"/>
                  <w:vAlign w:val="center"/>
                </w:tcPr>
                <w:p w14:paraId="62174342">
                  <w:pPr>
                    <w:jc w:val="center"/>
                    <w:rPr>
                      <w:rFonts w:hint="default" w:ascii="Times New Roman" w:hAnsi="Times New Roman" w:eastAsia="宋体" w:cs="Times New Roman"/>
                      <w:b/>
                      <w:bCs/>
                      <w:color w:val="auto"/>
                      <w:u w:val="none" w:color="auto"/>
                    </w:rPr>
                  </w:pPr>
                  <w:r>
                    <w:rPr>
                      <w:rFonts w:hint="default" w:ascii="Times New Roman" w:hAnsi="Times New Roman" w:eastAsia="宋体" w:cs="Times New Roman"/>
                      <w:b/>
                      <w:bCs/>
                      <w:color w:val="auto"/>
                      <w:u w:val="none" w:color="auto"/>
                    </w:rPr>
                    <w:t>流速/m/s</w:t>
                  </w:r>
                </w:p>
              </w:tc>
              <w:tc>
                <w:tcPr>
                  <w:tcW w:w="580" w:type="pct"/>
                  <w:tcBorders>
                    <w:tl2br w:val="nil"/>
                    <w:tr2bl w:val="nil"/>
                  </w:tcBorders>
                  <w:noWrap w:val="0"/>
                  <w:vAlign w:val="center"/>
                </w:tcPr>
                <w:p w14:paraId="10A86CFB">
                  <w:pPr>
                    <w:jc w:val="center"/>
                    <w:rPr>
                      <w:rFonts w:hint="default" w:ascii="Times New Roman" w:hAnsi="Times New Roman" w:eastAsia="宋体" w:cs="Times New Roman"/>
                      <w:b/>
                      <w:bCs/>
                      <w:color w:val="auto"/>
                      <w:u w:val="none" w:color="auto"/>
                    </w:rPr>
                  </w:pPr>
                  <w:r>
                    <w:rPr>
                      <w:rFonts w:hint="default" w:ascii="Times New Roman" w:hAnsi="Times New Roman" w:eastAsia="宋体" w:cs="Times New Roman"/>
                      <w:b/>
                      <w:bCs/>
                      <w:color w:val="auto"/>
                      <w:u w:val="none" w:color="auto"/>
                    </w:rPr>
                    <w:t>类型</w:t>
                  </w:r>
                </w:p>
              </w:tc>
            </w:tr>
            <w:tr w14:paraId="7AA6957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701" w:type="pct"/>
                  <w:tcBorders>
                    <w:tl2br w:val="nil"/>
                    <w:tr2bl w:val="nil"/>
                  </w:tcBorders>
                  <w:noWrap w:val="0"/>
                  <w:vAlign w:val="center"/>
                </w:tcPr>
                <w:p w14:paraId="0B6EC8BB">
                  <w:pPr>
                    <w:jc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rPr>
                    <w:t>DA0</w:t>
                  </w:r>
                  <w:r>
                    <w:rPr>
                      <w:rFonts w:hint="default" w:ascii="Times New Roman" w:hAnsi="Times New Roman" w:eastAsia="宋体" w:cs="Times New Roman"/>
                      <w:color w:val="auto"/>
                      <w:u w:val="none" w:color="auto"/>
                      <w:lang w:val="en-US" w:eastAsia="zh-CN"/>
                    </w:rPr>
                    <w:t>10</w:t>
                  </w:r>
                </w:p>
              </w:tc>
              <w:tc>
                <w:tcPr>
                  <w:tcW w:w="816" w:type="pct"/>
                  <w:tcBorders>
                    <w:tl2br w:val="nil"/>
                    <w:tr2bl w:val="nil"/>
                  </w:tcBorders>
                  <w:noWrap w:val="0"/>
                  <w:vAlign w:val="center"/>
                </w:tcPr>
                <w:p w14:paraId="580C6A92">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113.204691,29.483402</w:t>
                  </w:r>
                </w:p>
              </w:tc>
              <w:tc>
                <w:tcPr>
                  <w:tcW w:w="580" w:type="pct"/>
                  <w:tcBorders>
                    <w:tl2br w:val="nil"/>
                    <w:tr2bl w:val="nil"/>
                  </w:tcBorders>
                  <w:noWrap w:val="0"/>
                  <w:vAlign w:val="center"/>
                </w:tcPr>
                <w:p w14:paraId="6E4C4A93">
                  <w:pPr>
                    <w:jc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20</w:t>
                  </w:r>
                </w:p>
              </w:tc>
              <w:tc>
                <w:tcPr>
                  <w:tcW w:w="580" w:type="pct"/>
                  <w:tcBorders>
                    <w:tl2br w:val="nil"/>
                    <w:tr2bl w:val="nil"/>
                  </w:tcBorders>
                  <w:noWrap w:val="0"/>
                  <w:vAlign w:val="center"/>
                </w:tcPr>
                <w:p w14:paraId="60892791">
                  <w:pPr>
                    <w:jc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2.0</w:t>
                  </w:r>
                </w:p>
              </w:tc>
              <w:tc>
                <w:tcPr>
                  <w:tcW w:w="580" w:type="pct"/>
                  <w:tcBorders>
                    <w:tl2br w:val="nil"/>
                    <w:tr2bl w:val="nil"/>
                  </w:tcBorders>
                  <w:noWrap w:val="0"/>
                  <w:vAlign w:val="center"/>
                </w:tcPr>
                <w:p w14:paraId="6E66E145">
                  <w:pPr>
                    <w:jc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80</w:t>
                  </w:r>
                </w:p>
              </w:tc>
              <w:tc>
                <w:tcPr>
                  <w:tcW w:w="580" w:type="pct"/>
                  <w:tcBorders>
                    <w:tl2br w:val="nil"/>
                    <w:tr2bl w:val="nil"/>
                  </w:tcBorders>
                  <w:noWrap w:val="0"/>
                  <w:vAlign w:val="center"/>
                </w:tcPr>
                <w:p w14:paraId="18752770">
                  <w:pPr>
                    <w:jc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21万</w:t>
                  </w:r>
                </w:p>
              </w:tc>
              <w:tc>
                <w:tcPr>
                  <w:tcW w:w="580" w:type="pct"/>
                  <w:tcBorders>
                    <w:tl2br w:val="nil"/>
                    <w:tr2bl w:val="nil"/>
                  </w:tcBorders>
                  <w:noWrap w:val="0"/>
                  <w:vAlign w:val="center"/>
                </w:tcPr>
                <w:p w14:paraId="335B2580">
                  <w:pPr>
                    <w:jc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18.58</w:t>
                  </w:r>
                </w:p>
              </w:tc>
              <w:tc>
                <w:tcPr>
                  <w:tcW w:w="580" w:type="pct"/>
                  <w:tcBorders>
                    <w:tl2br w:val="nil"/>
                    <w:tr2bl w:val="nil"/>
                  </w:tcBorders>
                  <w:noWrap w:val="0"/>
                  <w:vAlign w:val="center"/>
                </w:tcPr>
                <w:p w14:paraId="31E09F90">
                  <w:pPr>
                    <w:snapToGrid w:val="0"/>
                    <w:jc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主要排放口</w:t>
                  </w:r>
                </w:p>
              </w:tc>
            </w:tr>
            <w:tr w14:paraId="44892DF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701" w:type="pct"/>
                  <w:tcBorders>
                    <w:tl2br w:val="nil"/>
                    <w:tr2bl w:val="nil"/>
                  </w:tcBorders>
                  <w:noWrap w:val="0"/>
                  <w:vAlign w:val="center"/>
                </w:tcPr>
                <w:p w14:paraId="25768754">
                  <w:pPr>
                    <w:jc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DA011</w:t>
                  </w:r>
                </w:p>
              </w:tc>
              <w:tc>
                <w:tcPr>
                  <w:tcW w:w="816" w:type="pct"/>
                  <w:tcBorders>
                    <w:tl2br w:val="nil"/>
                    <w:tr2bl w:val="nil"/>
                  </w:tcBorders>
                  <w:noWrap w:val="0"/>
                  <w:vAlign w:val="center"/>
                </w:tcPr>
                <w:p w14:paraId="6A300218">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113.205335,29.483847</w:t>
                  </w:r>
                </w:p>
              </w:tc>
              <w:tc>
                <w:tcPr>
                  <w:tcW w:w="580" w:type="pct"/>
                  <w:tcBorders>
                    <w:tl2br w:val="nil"/>
                    <w:tr2bl w:val="nil"/>
                  </w:tcBorders>
                  <w:noWrap w:val="0"/>
                  <w:vAlign w:val="center"/>
                </w:tcPr>
                <w:p w14:paraId="50751D83">
                  <w:pPr>
                    <w:jc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20</w:t>
                  </w:r>
                </w:p>
              </w:tc>
              <w:tc>
                <w:tcPr>
                  <w:tcW w:w="580" w:type="pct"/>
                  <w:tcBorders>
                    <w:tl2br w:val="nil"/>
                    <w:tr2bl w:val="nil"/>
                  </w:tcBorders>
                  <w:noWrap w:val="0"/>
                  <w:vAlign w:val="center"/>
                </w:tcPr>
                <w:p w14:paraId="0177D30A">
                  <w:pPr>
                    <w:jc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0.5</w:t>
                  </w:r>
                </w:p>
              </w:tc>
              <w:tc>
                <w:tcPr>
                  <w:tcW w:w="580" w:type="pct"/>
                  <w:tcBorders>
                    <w:tl2br w:val="nil"/>
                    <w:tr2bl w:val="nil"/>
                  </w:tcBorders>
                  <w:noWrap w:val="0"/>
                  <w:vAlign w:val="center"/>
                </w:tcPr>
                <w:p w14:paraId="05B6FB3D">
                  <w:pPr>
                    <w:jc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50</w:t>
                  </w:r>
                </w:p>
              </w:tc>
              <w:tc>
                <w:tcPr>
                  <w:tcW w:w="580" w:type="pct"/>
                  <w:tcBorders>
                    <w:tl2br w:val="nil"/>
                    <w:tr2bl w:val="nil"/>
                  </w:tcBorders>
                  <w:noWrap w:val="0"/>
                  <w:vAlign w:val="center"/>
                </w:tcPr>
                <w:p w14:paraId="7639DA34">
                  <w:pPr>
                    <w:jc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10000</w:t>
                  </w:r>
                </w:p>
              </w:tc>
              <w:tc>
                <w:tcPr>
                  <w:tcW w:w="580" w:type="pct"/>
                  <w:tcBorders>
                    <w:tl2br w:val="nil"/>
                    <w:tr2bl w:val="nil"/>
                  </w:tcBorders>
                  <w:noWrap w:val="0"/>
                  <w:vAlign w:val="center"/>
                </w:tcPr>
                <w:p w14:paraId="626DD992">
                  <w:pPr>
                    <w:jc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14.18</w:t>
                  </w:r>
                </w:p>
              </w:tc>
              <w:tc>
                <w:tcPr>
                  <w:tcW w:w="580" w:type="pct"/>
                  <w:tcBorders>
                    <w:tl2br w:val="nil"/>
                    <w:tr2bl w:val="nil"/>
                  </w:tcBorders>
                  <w:noWrap w:val="0"/>
                  <w:vAlign w:val="center"/>
                </w:tcPr>
                <w:p w14:paraId="255D8FE0">
                  <w:pPr>
                    <w:snapToGrid w:val="0"/>
                    <w:jc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一般排放口</w:t>
                  </w:r>
                </w:p>
              </w:tc>
            </w:tr>
            <w:tr w14:paraId="708B921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701" w:type="pct"/>
                  <w:tcBorders>
                    <w:tl2br w:val="nil"/>
                    <w:tr2bl w:val="nil"/>
                  </w:tcBorders>
                  <w:noWrap w:val="0"/>
                  <w:vAlign w:val="center"/>
                </w:tcPr>
                <w:p w14:paraId="5C4FDD38">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DA0</w:t>
                  </w:r>
                  <w:r>
                    <w:rPr>
                      <w:rFonts w:hint="default" w:ascii="Times New Roman" w:hAnsi="Times New Roman" w:eastAsia="宋体" w:cs="Times New Roman"/>
                      <w:color w:val="auto"/>
                      <w:u w:val="none" w:color="auto"/>
                      <w:lang w:val="en-US" w:eastAsia="zh-CN"/>
                    </w:rPr>
                    <w:t>1</w:t>
                  </w:r>
                  <w:r>
                    <w:rPr>
                      <w:rFonts w:hint="default" w:ascii="Times New Roman" w:hAnsi="Times New Roman" w:eastAsia="宋体" w:cs="Times New Roman"/>
                      <w:color w:val="auto"/>
                      <w:u w:val="none" w:color="auto"/>
                    </w:rPr>
                    <w:t>2</w:t>
                  </w:r>
                </w:p>
              </w:tc>
              <w:tc>
                <w:tcPr>
                  <w:tcW w:w="816" w:type="pct"/>
                  <w:tcBorders>
                    <w:tl2br w:val="nil"/>
                    <w:tr2bl w:val="nil"/>
                  </w:tcBorders>
                  <w:noWrap w:val="0"/>
                  <w:vAlign w:val="center"/>
                </w:tcPr>
                <w:p w14:paraId="22ACCF5B">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113.198887,29.467582</w:t>
                  </w:r>
                </w:p>
              </w:tc>
              <w:tc>
                <w:tcPr>
                  <w:tcW w:w="580" w:type="pct"/>
                  <w:tcBorders>
                    <w:tl2br w:val="nil"/>
                    <w:tr2bl w:val="nil"/>
                  </w:tcBorders>
                  <w:noWrap w:val="0"/>
                  <w:vAlign w:val="center"/>
                </w:tcPr>
                <w:p w14:paraId="6C955154">
                  <w:pPr>
                    <w:jc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15</w:t>
                  </w:r>
                </w:p>
              </w:tc>
              <w:tc>
                <w:tcPr>
                  <w:tcW w:w="580" w:type="pct"/>
                  <w:tcBorders>
                    <w:tl2br w:val="nil"/>
                    <w:tr2bl w:val="nil"/>
                  </w:tcBorders>
                  <w:noWrap w:val="0"/>
                  <w:vAlign w:val="center"/>
                </w:tcPr>
                <w:p w14:paraId="217B6FD4">
                  <w:pPr>
                    <w:jc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0.35</w:t>
                  </w:r>
                </w:p>
              </w:tc>
              <w:tc>
                <w:tcPr>
                  <w:tcW w:w="580" w:type="pct"/>
                  <w:tcBorders>
                    <w:tl2br w:val="nil"/>
                    <w:tr2bl w:val="nil"/>
                  </w:tcBorders>
                  <w:noWrap w:val="0"/>
                  <w:vAlign w:val="center"/>
                </w:tcPr>
                <w:p w14:paraId="18A821AA">
                  <w:pPr>
                    <w:jc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25</w:t>
                  </w:r>
                </w:p>
              </w:tc>
              <w:tc>
                <w:tcPr>
                  <w:tcW w:w="580" w:type="pct"/>
                  <w:tcBorders>
                    <w:tl2br w:val="nil"/>
                    <w:tr2bl w:val="nil"/>
                  </w:tcBorders>
                  <w:noWrap w:val="0"/>
                  <w:vAlign w:val="center"/>
                </w:tcPr>
                <w:p w14:paraId="693C3D52">
                  <w:pPr>
                    <w:jc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5000</w:t>
                  </w:r>
                </w:p>
              </w:tc>
              <w:tc>
                <w:tcPr>
                  <w:tcW w:w="580" w:type="pct"/>
                  <w:tcBorders>
                    <w:tl2br w:val="nil"/>
                    <w:tr2bl w:val="nil"/>
                  </w:tcBorders>
                  <w:noWrap w:val="0"/>
                  <w:vAlign w:val="center"/>
                </w:tcPr>
                <w:p w14:paraId="2EBFDC34">
                  <w:pPr>
                    <w:jc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14.44</w:t>
                  </w:r>
                </w:p>
              </w:tc>
              <w:tc>
                <w:tcPr>
                  <w:tcW w:w="580" w:type="pct"/>
                  <w:tcBorders>
                    <w:tl2br w:val="nil"/>
                    <w:tr2bl w:val="nil"/>
                  </w:tcBorders>
                  <w:shd w:val="clear" w:color="auto" w:fill="auto"/>
                  <w:noWrap w:val="0"/>
                  <w:vAlign w:val="center"/>
                </w:tcPr>
                <w:p w14:paraId="44887D5C">
                  <w:pPr>
                    <w:snapToGrid w:val="0"/>
                    <w:jc w:val="center"/>
                    <w:rPr>
                      <w:rFonts w:hint="default" w:ascii="Times New Roman" w:hAnsi="Times New Roman" w:eastAsia="宋体" w:cs="Times New Roman"/>
                      <w:color w:val="auto"/>
                      <w:kern w:val="2"/>
                      <w:sz w:val="21"/>
                      <w:szCs w:val="24"/>
                      <w:u w:val="none" w:color="auto"/>
                      <w:lang w:val="en-US" w:eastAsia="zh-CN" w:bidi="ar-SA"/>
                    </w:rPr>
                  </w:pPr>
                  <w:r>
                    <w:rPr>
                      <w:rFonts w:hint="default" w:ascii="Times New Roman" w:hAnsi="Times New Roman" w:eastAsia="宋体" w:cs="Times New Roman"/>
                      <w:color w:val="auto"/>
                      <w:u w:val="none" w:color="auto"/>
                      <w:lang w:val="en-US" w:eastAsia="zh-CN"/>
                    </w:rPr>
                    <w:t>一般排放口</w:t>
                  </w:r>
                </w:p>
              </w:tc>
            </w:tr>
          </w:tbl>
          <w:p w14:paraId="7F17E538">
            <w:pPr>
              <w:spacing w:line="360" w:lineRule="auto"/>
              <w:ind w:firstLine="480" w:firstLineChars="200"/>
              <w:rPr>
                <w:rFonts w:hint="default" w:ascii="Times New Roman" w:hAnsi="Times New Roman" w:eastAsia="宋体" w:cs="Times New Roman"/>
                <w:b w:val="0"/>
                <w:bCs w:val="0"/>
                <w:color w:val="auto"/>
                <w:spacing w:val="0"/>
                <w:sz w:val="24"/>
                <w:highlight w:val="none"/>
                <w:u w:val="none" w:color="auto"/>
                <w:lang w:val="en-US" w:eastAsia="zh-CN"/>
              </w:rPr>
            </w:pPr>
            <w:r>
              <w:rPr>
                <w:rFonts w:hint="default" w:ascii="Times New Roman" w:hAnsi="Times New Roman" w:eastAsia="宋体" w:cs="Times New Roman"/>
                <w:b w:val="0"/>
                <w:bCs w:val="0"/>
                <w:color w:val="auto"/>
                <w:spacing w:val="0"/>
                <w:sz w:val="24"/>
                <w:highlight w:val="none"/>
                <w:u w:val="none" w:color="auto"/>
                <w:lang w:val="en-US" w:eastAsia="zh-CN"/>
              </w:rPr>
              <w:t>（2）排气筒设置可行性分析</w:t>
            </w:r>
          </w:p>
          <w:p w14:paraId="409D5D79">
            <w:pPr>
              <w:spacing w:line="360" w:lineRule="auto"/>
              <w:ind w:firstLine="480" w:firstLineChars="200"/>
              <w:contextualSpacing/>
              <w:rPr>
                <w:rFonts w:hint="default" w:ascii="Times New Roman" w:hAnsi="Times New Roman" w:eastAsia="宋体" w:cs="Times New Roman"/>
                <w:color w:val="auto"/>
                <w:sz w:val="24"/>
                <w:u w:val="none" w:color="auto"/>
                <w:lang w:eastAsia="zh-CN"/>
              </w:rPr>
            </w:pPr>
            <w:r>
              <w:rPr>
                <w:rFonts w:hint="default" w:ascii="Times New Roman" w:hAnsi="Times New Roman" w:eastAsia="宋体" w:cs="Times New Roman"/>
                <w:color w:val="auto"/>
                <w:sz w:val="24"/>
                <w:u w:val="none" w:color="auto"/>
              </w:rPr>
              <w:t>根据《铸造工业大气污染物排放标准》（GB 39726-2020）中“4.7除移动式除尘设备外，其他车间或生产设施排气筒高度不低于15 m，具体高度以及与周围建筑物的相对高度关系应根据环境影响评价文件确定。”本项目车间配套建设的废气处理设施设置的</w:t>
            </w:r>
            <w:r>
              <w:rPr>
                <w:rFonts w:hint="default" w:ascii="Times New Roman" w:hAnsi="Times New Roman" w:eastAsia="宋体" w:cs="Times New Roman"/>
                <w:color w:val="auto"/>
                <w:sz w:val="24"/>
                <w:u w:val="none" w:color="auto"/>
                <w:lang w:val="en-US" w:eastAsia="zh-CN"/>
              </w:rPr>
              <w:t>DA010、DA011</w:t>
            </w:r>
            <w:r>
              <w:rPr>
                <w:rFonts w:hint="default" w:ascii="Times New Roman" w:hAnsi="Times New Roman" w:eastAsia="宋体" w:cs="Times New Roman"/>
                <w:color w:val="auto"/>
                <w:sz w:val="24"/>
                <w:u w:val="none" w:color="auto"/>
              </w:rPr>
              <w:t>排气筒高度</w:t>
            </w:r>
            <w:r>
              <w:rPr>
                <w:rFonts w:hint="default" w:ascii="Times New Roman" w:hAnsi="Times New Roman" w:eastAsia="宋体" w:cs="Times New Roman"/>
                <w:color w:val="auto"/>
                <w:sz w:val="24"/>
                <w:u w:val="none" w:color="auto"/>
                <w:lang w:val="en-US" w:eastAsia="zh-CN"/>
              </w:rPr>
              <w:t>均为</w:t>
            </w:r>
            <w:r>
              <w:rPr>
                <w:rFonts w:hint="default" w:ascii="Times New Roman" w:hAnsi="Times New Roman" w:eastAsia="宋体" w:cs="Times New Roman"/>
                <w:color w:val="auto"/>
                <w:sz w:val="24"/>
                <w:u w:val="none" w:color="auto"/>
              </w:rPr>
              <w:t>20m</w:t>
            </w:r>
            <w:r>
              <w:rPr>
                <w:rFonts w:hint="default" w:ascii="Times New Roman" w:hAnsi="Times New Roman" w:eastAsia="宋体" w:cs="Times New Roman"/>
                <w:color w:val="auto"/>
                <w:sz w:val="24"/>
                <w:u w:val="none" w:color="auto"/>
                <w:lang w:eastAsia="zh-CN"/>
              </w:rPr>
              <w:t>。</w:t>
            </w:r>
          </w:p>
          <w:p w14:paraId="3D6BD68C">
            <w:pPr>
              <w:spacing w:line="360" w:lineRule="auto"/>
              <w:ind w:firstLine="480" w:firstLineChars="200"/>
              <w:contextualSpacing/>
              <w:rPr>
                <w:rFonts w:hint="default" w:ascii="Times New Roman" w:hAnsi="Times New Roman" w:eastAsia="宋体" w:cs="Times New Roman"/>
                <w:color w:val="auto"/>
                <w:sz w:val="24"/>
                <w:u w:val="none" w:color="auto"/>
              </w:rPr>
            </w:pPr>
            <w:r>
              <w:rPr>
                <w:rFonts w:hint="default" w:ascii="Times New Roman" w:hAnsi="Times New Roman" w:eastAsia="宋体" w:cs="Times New Roman"/>
                <w:color w:val="auto"/>
                <w:sz w:val="24"/>
                <w:u w:val="none" w:color="auto"/>
                <w:lang w:val="en-US" w:eastAsia="zh-CN"/>
              </w:rPr>
              <w:t>根据《表面涂装(汽车制造及维修)挥发性有机物、镍排放标准》（DB43/ 1356-2017）“排气筒高度要求4.5：涉及表面涂装工序产生挥发性有机物的生产工艺和装置必须设立局部或整体气体收集系统和集中净化处理装置，并经排气筒排放。排气筒高度不应低于15m，具体高度及距周围建筑物的距离按批复的环境影响评价文件确定”。本项目厂房最高约为12m，临港高新产业园区配套的废气</w:t>
            </w:r>
            <w:r>
              <w:rPr>
                <w:rFonts w:hint="default" w:ascii="Times New Roman" w:hAnsi="Times New Roman" w:eastAsia="宋体" w:cs="Times New Roman"/>
                <w:color w:val="auto"/>
                <w:sz w:val="24"/>
                <w:u w:val="none" w:color="auto"/>
              </w:rPr>
              <w:t>处理设施设置的</w:t>
            </w:r>
            <w:r>
              <w:rPr>
                <w:rFonts w:hint="default" w:ascii="Times New Roman" w:hAnsi="Times New Roman" w:eastAsia="宋体" w:cs="Times New Roman"/>
                <w:color w:val="auto"/>
                <w:sz w:val="24"/>
                <w:u w:val="none" w:color="auto"/>
                <w:lang w:val="en-US" w:eastAsia="zh-CN"/>
              </w:rPr>
              <w:t>DA012</w:t>
            </w:r>
            <w:r>
              <w:rPr>
                <w:rFonts w:hint="default" w:ascii="Times New Roman" w:hAnsi="Times New Roman" w:eastAsia="宋体" w:cs="Times New Roman"/>
                <w:color w:val="auto"/>
                <w:sz w:val="24"/>
                <w:u w:val="none" w:color="auto"/>
              </w:rPr>
              <w:t>排气筒高度</w:t>
            </w:r>
            <w:r>
              <w:rPr>
                <w:rFonts w:hint="default" w:ascii="Times New Roman" w:hAnsi="Times New Roman" w:eastAsia="宋体" w:cs="Times New Roman"/>
                <w:color w:val="auto"/>
                <w:sz w:val="24"/>
                <w:u w:val="none" w:color="auto"/>
                <w:lang w:val="en-US" w:eastAsia="zh-CN"/>
              </w:rPr>
              <w:t>为15</w:t>
            </w:r>
            <w:r>
              <w:rPr>
                <w:rFonts w:hint="default" w:ascii="Times New Roman" w:hAnsi="Times New Roman" w:eastAsia="宋体" w:cs="Times New Roman"/>
                <w:color w:val="auto"/>
                <w:sz w:val="24"/>
                <w:u w:val="none" w:color="auto"/>
              </w:rPr>
              <w:t>m</w:t>
            </w:r>
            <w:r>
              <w:rPr>
                <w:rFonts w:hint="default" w:ascii="Times New Roman" w:hAnsi="Times New Roman" w:eastAsia="宋体" w:cs="Times New Roman"/>
                <w:color w:val="auto"/>
                <w:sz w:val="24"/>
                <w:u w:val="none" w:color="auto"/>
                <w:lang w:eastAsia="zh-CN"/>
              </w:rPr>
              <w:t>，</w:t>
            </w:r>
            <w:r>
              <w:rPr>
                <w:rFonts w:hint="default" w:ascii="Times New Roman" w:hAnsi="Times New Roman" w:eastAsia="宋体" w:cs="Times New Roman"/>
                <w:color w:val="auto"/>
                <w:sz w:val="24"/>
                <w:u w:val="none" w:color="auto"/>
                <w:lang w:val="en-US" w:eastAsia="zh-CN"/>
              </w:rPr>
              <w:t>高出厂房约3m。</w:t>
            </w:r>
          </w:p>
          <w:p w14:paraId="004B76BE">
            <w:pPr>
              <w:spacing w:line="360" w:lineRule="auto"/>
              <w:ind w:firstLine="480" w:firstLineChars="200"/>
              <w:contextualSpacing/>
              <w:rPr>
                <w:rFonts w:hint="default" w:ascii="Times New Roman" w:hAnsi="Times New Roman" w:eastAsia="宋体" w:cs="Times New Roman"/>
                <w:color w:val="auto"/>
                <w:sz w:val="24"/>
                <w:u w:val="none" w:color="auto"/>
              </w:rPr>
            </w:pPr>
            <w:r>
              <w:rPr>
                <w:rFonts w:hint="default" w:ascii="Times New Roman" w:hAnsi="Times New Roman" w:eastAsia="宋体" w:cs="Times New Roman"/>
                <w:color w:val="auto"/>
                <w:sz w:val="24"/>
                <w:u w:val="none" w:color="auto"/>
              </w:rPr>
              <w:t>DA0</w:t>
            </w:r>
            <w:r>
              <w:rPr>
                <w:rFonts w:hint="default" w:ascii="Times New Roman" w:hAnsi="Times New Roman" w:eastAsia="宋体" w:cs="Times New Roman"/>
                <w:color w:val="auto"/>
                <w:sz w:val="24"/>
                <w:u w:val="none" w:color="auto"/>
                <w:lang w:val="en-US" w:eastAsia="zh-CN"/>
              </w:rPr>
              <w:t>10、DA011、DA012</w:t>
            </w:r>
            <w:r>
              <w:rPr>
                <w:rFonts w:hint="default" w:ascii="Times New Roman" w:hAnsi="Times New Roman" w:eastAsia="宋体" w:cs="Times New Roman"/>
                <w:color w:val="auto"/>
                <w:sz w:val="24"/>
                <w:u w:val="none" w:color="auto"/>
              </w:rPr>
              <w:t>排气筒出口处烟气流速</w:t>
            </w:r>
            <w:r>
              <w:rPr>
                <w:rFonts w:hint="default" w:ascii="Times New Roman" w:hAnsi="Times New Roman" w:eastAsia="宋体" w:cs="Times New Roman"/>
                <w:color w:val="auto"/>
                <w:sz w:val="24"/>
                <w:u w:val="none" w:color="auto"/>
                <w:lang w:val="en-US" w:eastAsia="zh-CN"/>
              </w:rPr>
              <w:t>分别为18.58</w:t>
            </w:r>
            <w:r>
              <w:rPr>
                <w:rFonts w:hint="default" w:ascii="Times New Roman" w:hAnsi="Times New Roman" w:eastAsia="宋体" w:cs="Times New Roman"/>
                <w:color w:val="auto"/>
                <w:sz w:val="24"/>
                <w:u w:val="none" w:color="auto"/>
              </w:rPr>
              <w:t>m/s</w:t>
            </w:r>
            <w:r>
              <w:rPr>
                <w:rFonts w:hint="default" w:ascii="Times New Roman" w:hAnsi="Times New Roman" w:eastAsia="宋体" w:cs="Times New Roman"/>
                <w:color w:val="auto"/>
                <w:sz w:val="24"/>
                <w:u w:val="none" w:color="auto"/>
                <w:lang w:eastAsia="zh-CN"/>
              </w:rPr>
              <w:t>、</w:t>
            </w:r>
            <w:r>
              <w:rPr>
                <w:rFonts w:hint="default" w:ascii="Times New Roman" w:hAnsi="Times New Roman" w:eastAsia="宋体" w:cs="Times New Roman"/>
                <w:color w:val="auto"/>
                <w:sz w:val="24"/>
                <w:u w:val="none" w:color="auto"/>
                <w:lang w:val="en-US" w:eastAsia="zh-CN"/>
              </w:rPr>
              <w:t>14.18</w:t>
            </w:r>
            <w:r>
              <w:rPr>
                <w:rFonts w:hint="default" w:ascii="Times New Roman" w:hAnsi="Times New Roman" w:eastAsia="宋体" w:cs="Times New Roman"/>
                <w:color w:val="auto"/>
                <w:sz w:val="24"/>
                <w:u w:val="none" w:color="auto"/>
              </w:rPr>
              <w:t>m/s</w:t>
            </w:r>
            <w:r>
              <w:rPr>
                <w:rFonts w:hint="default" w:ascii="Times New Roman" w:hAnsi="Times New Roman" w:eastAsia="宋体" w:cs="Times New Roman"/>
                <w:color w:val="auto"/>
                <w:sz w:val="24"/>
                <w:u w:val="none" w:color="auto"/>
                <w:lang w:eastAsia="zh-CN"/>
              </w:rPr>
              <w:t>、</w:t>
            </w:r>
            <w:r>
              <w:rPr>
                <w:rFonts w:hint="default" w:ascii="Times New Roman" w:hAnsi="Times New Roman" w:eastAsia="宋体" w:cs="Times New Roman"/>
                <w:color w:val="auto"/>
                <w:sz w:val="24"/>
                <w:u w:val="none" w:color="auto"/>
                <w:lang w:val="en-US" w:eastAsia="zh-CN"/>
              </w:rPr>
              <w:t>14.44</w:t>
            </w:r>
            <w:r>
              <w:rPr>
                <w:rFonts w:hint="default" w:ascii="Times New Roman" w:hAnsi="Times New Roman" w:eastAsia="宋体" w:cs="Times New Roman"/>
                <w:color w:val="auto"/>
                <w:sz w:val="24"/>
                <w:u w:val="none" w:color="auto"/>
              </w:rPr>
              <w:t>m/s。按照《制定地方大气污染物排放标准的技术方法》（GB/T 13201-91）中规定“排气筒出口处烟气速度Vs不得小于按公式计算出的风速Vc的1.5倍”，岳阳地区近年来统计平均风速为2.8m/s，计算的Vc=5.69，则排气筒出口风速不得小于8.54m/s。由以上分析可知，项目设置的各个排气筒烟气出口流速大于所在地区的1.5Vc。</w:t>
            </w:r>
          </w:p>
          <w:p w14:paraId="5D17B8B2">
            <w:pPr>
              <w:spacing w:line="360" w:lineRule="auto"/>
              <w:ind w:firstLine="480" w:firstLineChars="200"/>
              <w:rPr>
                <w:rFonts w:hint="default" w:ascii="Times New Roman" w:hAnsi="Times New Roman" w:eastAsia="宋体" w:cs="Times New Roman"/>
                <w:b w:val="0"/>
                <w:bCs w:val="0"/>
                <w:color w:val="auto"/>
                <w:spacing w:val="0"/>
                <w:sz w:val="24"/>
                <w:highlight w:val="none"/>
                <w:u w:val="none" w:color="auto"/>
                <w:lang w:val="en-US" w:eastAsia="zh-CN"/>
              </w:rPr>
            </w:pPr>
            <w:r>
              <w:rPr>
                <w:rFonts w:hint="default" w:ascii="Times New Roman" w:hAnsi="Times New Roman" w:eastAsia="宋体" w:cs="Times New Roman"/>
                <w:color w:val="auto"/>
                <w:sz w:val="24"/>
                <w:u w:val="none" w:color="auto"/>
                <w:lang w:val="en-US" w:eastAsia="zh-CN"/>
              </w:rPr>
              <w:t>综上，</w:t>
            </w:r>
            <w:r>
              <w:rPr>
                <w:rFonts w:hint="default" w:ascii="Times New Roman" w:hAnsi="Times New Roman" w:eastAsia="宋体" w:cs="Times New Roman"/>
                <w:color w:val="auto"/>
                <w:sz w:val="24"/>
                <w:u w:val="none" w:color="auto"/>
              </w:rPr>
              <w:t>排气筒高度设置符合DB43/1356-2017和GB39726-2020中排气筒高度设置要求</w:t>
            </w:r>
            <w:r>
              <w:rPr>
                <w:rFonts w:hint="default" w:ascii="Times New Roman" w:hAnsi="Times New Roman" w:eastAsia="宋体" w:cs="Times New Roman"/>
                <w:color w:val="auto"/>
                <w:sz w:val="24"/>
                <w:u w:val="none" w:color="auto"/>
                <w:lang w:eastAsia="zh-CN"/>
              </w:rPr>
              <w:t>，</w:t>
            </w:r>
            <w:r>
              <w:rPr>
                <w:rFonts w:hint="default" w:ascii="Times New Roman" w:hAnsi="Times New Roman" w:eastAsia="宋体" w:cs="Times New Roman"/>
                <w:color w:val="auto"/>
                <w:sz w:val="24"/>
                <w:u w:val="none" w:color="auto"/>
                <w:lang w:val="en-US" w:eastAsia="zh-CN"/>
              </w:rPr>
              <w:t>排气筒流速设置符合</w:t>
            </w:r>
            <w:r>
              <w:rPr>
                <w:rFonts w:hint="default" w:ascii="Times New Roman" w:hAnsi="Times New Roman" w:eastAsia="宋体" w:cs="Times New Roman"/>
                <w:color w:val="auto"/>
                <w:sz w:val="24"/>
                <w:u w:val="none" w:color="auto"/>
              </w:rPr>
              <w:t>GB/T 13201-91</w:t>
            </w:r>
            <w:r>
              <w:rPr>
                <w:rFonts w:hint="default" w:ascii="Times New Roman" w:hAnsi="Times New Roman" w:eastAsia="宋体" w:cs="Times New Roman"/>
                <w:color w:val="auto"/>
                <w:sz w:val="24"/>
                <w:u w:val="none" w:color="auto"/>
                <w:lang w:val="en-US" w:eastAsia="zh-CN"/>
              </w:rPr>
              <w:t>要求</w:t>
            </w:r>
            <w:r>
              <w:rPr>
                <w:rFonts w:hint="default" w:ascii="Times New Roman" w:hAnsi="Times New Roman" w:eastAsia="宋体" w:cs="Times New Roman"/>
                <w:color w:val="auto"/>
                <w:sz w:val="24"/>
                <w:u w:val="none" w:color="auto"/>
              </w:rPr>
              <w:t>，则项目排气筒参数设置合理可行。</w:t>
            </w:r>
          </w:p>
          <w:p w14:paraId="229F5022">
            <w:pPr>
              <w:spacing w:line="360" w:lineRule="auto"/>
              <w:ind w:firstLine="482" w:firstLineChars="200"/>
              <w:rPr>
                <w:rFonts w:hint="default" w:ascii="Times New Roman" w:hAnsi="Times New Roman" w:eastAsia="宋体" w:cs="Times New Roman"/>
                <w:b/>
                <w:bCs/>
                <w:color w:val="auto"/>
                <w:spacing w:val="0"/>
                <w:sz w:val="24"/>
                <w:highlight w:val="none"/>
                <w:u w:val="none" w:color="auto"/>
                <w:lang w:val="en-US" w:eastAsia="zh-CN"/>
              </w:rPr>
            </w:pPr>
            <w:r>
              <w:rPr>
                <w:rFonts w:hint="default" w:ascii="Times New Roman" w:hAnsi="Times New Roman" w:eastAsia="宋体" w:cs="Times New Roman"/>
                <w:b/>
                <w:bCs/>
                <w:color w:val="auto"/>
                <w:spacing w:val="0"/>
                <w:sz w:val="24"/>
                <w:highlight w:val="none"/>
                <w:u w:val="none" w:color="auto"/>
                <w:lang w:val="en-US" w:eastAsia="zh-CN"/>
              </w:rPr>
              <w:t>4、大气污染物排放量核算</w:t>
            </w:r>
          </w:p>
          <w:p w14:paraId="2296A010">
            <w:pPr>
              <w:spacing w:line="360" w:lineRule="auto"/>
              <w:ind w:firstLine="480" w:firstLineChars="200"/>
              <w:outlineLvl w:val="9"/>
              <w:rPr>
                <w:rFonts w:hint="default" w:ascii="Times New Roman" w:hAnsi="Times New Roman" w:eastAsia="宋体" w:cs="Times New Roman"/>
                <w:color w:val="auto"/>
                <w:spacing w:val="0"/>
                <w:highlight w:val="none"/>
                <w:u w:val="none" w:color="auto"/>
              </w:rPr>
            </w:pPr>
            <w:r>
              <w:rPr>
                <w:rFonts w:hint="default" w:ascii="Times New Roman" w:hAnsi="Times New Roman" w:eastAsia="宋体" w:cs="Times New Roman"/>
                <w:color w:val="auto"/>
                <w:spacing w:val="0"/>
                <w:sz w:val="24"/>
                <w:highlight w:val="none"/>
                <w:u w:val="none" w:color="auto"/>
                <w:lang w:val="en-US" w:eastAsia="zh-CN" w:bidi="ar"/>
              </w:rPr>
              <w:t>（1）</w:t>
            </w:r>
            <w:r>
              <w:rPr>
                <w:rFonts w:hint="default" w:ascii="Times New Roman" w:hAnsi="Times New Roman" w:eastAsia="宋体" w:cs="Times New Roman"/>
                <w:color w:val="auto"/>
                <w:spacing w:val="0"/>
                <w:sz w:val="24"/>
                <w:szCs w:val="32"/>
                <w:highlight w:val="none"/>
                <w:u w:val="none" w:color="auto"/>
                <w:lang w:val="en-US" w:eastAsia="zh-CN"/>
              </w:rPr>
              <w:t>有</w:t>
            </w:r>
            <w:r>
              <w:rPr>
                <w:rFonts w:hint="default" w:ascii="Times New Roman" w:hAnsi="Times New Roman" w:eastAsia="宋体" w:cs="Times New Roman"/>
                <w:color w:val="auto"/>
                <w:spacing w:val="0"/>
                <w:sz w:val="24"/>
                <w:szCs w:val="32"/>
                <w:highlight w:val="none"/>
                <w:u w:val="none" w:color="auto"/>
              </w:rPr>
              <w:t>组织排放量核算</w:t>
            </w:r>
          </w:p>
          <w:p w14:paraId="1ABDB35E">
            <w:pPr>
              <w:pStyle w:val="55"/>
              <w:spacing w:line="240" w:lineRule="auto"/>
              <w:ind w:firstLine="0" w:firstLineChars="0"/>
              <w:jc w:val="center"/>
              <w:rPr>
                <w:rFonts w:hint="default" w:ascii="Times New Roman" w:hAnsi="Times New Roman" w:eastAsia="宋体" w:cs="Times New Roman"/>
                <w:color w:val="auto"/>
                <w:u w:val="none" w:color="auto"/>
              </w:rPr>
            </w:pPr>
            <w:r>
              <w:rPr>
                <w:rFonts w:hint="default" w:ascii="Times New Roman" w:hAnsi="Times New Roman" w:eastAsia="宋体" w:cs="Times New Roman"/>
                <w:b/>
                <w:bCs/>
                <w:color w:val="auto"/>
                <w:sz w:val="21"/>
                <w:szCs w:val="16"/>
                <w:u w:val="none" w:color="auto"/>
              </w:rPr>
              <w:t>表4-</w:t>
            </w:r>
            <w:r>
              <w:rPr>
                <w:rFonts w:hint="default" w:ascii="Times New Roman" w:hAnsi="Times New Roman" w:eastAsia="宋体" w:cs="Times New Roman"/>
                <w:b/>
                <w:bCs/>
                <w:color w:val="auto"/>
                <w:sz w:val="21"/>
                <w:szCs w:val="16"/>
                <w:u w:val="none" w:color="auto"/>
                <w:lang w:val="en-US" w:eastAsia="zh-CN"/>
              </w:rPr>
              <w:t>17</w:t>
            </w:r>
            <w:r>
              <w:rPr>
                <w:rFonts w:hint="default" w:ascii="Times New Roman" w:hAnsi="Times New Roman" w:eastAsia="宋体" w:cs="Times New Roman"/>
                <w:b/>
                <w:bCs/>
                <w:color w:val="auto"/>
                <w:sz w:val="21"/>
                <w:szCs w:val="16"/>
                <w:u w:val="none" w:color="auto"/>
              </w:rPr>
              <w:t xml:space="preserve">  大气污染物有组织排放量核算表</w:t>
            </w:r>
          </w:p>
          <w:tbl>
            <w:tblPr>
              <w:tblStyle w:val="31"/>
              <w:tblW w:w="4991"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08" w:type="dxa"/>
                <w:bottom w:w="0" w:type="dxa"/>
                <w:right w:w="108" w:type="dxa"/>
              </w:tblCellMar>
            </w:tblPr>
            <w:tblGrid>
              <w:gridCol w:w="445"/>
              <w:gridCol w:w="888"/>
              <w:gridCol w:w="3"/>
              <w:gridCol w:w="906"/>
              <w:gridCol w:w="1553"/>
              <w:gridCol w:w="1582"/>
              <w:gridCol w:w="1488"/>
              <w:gridCol w:w="1638"/>
            </w:tblGrid>
            <w:tr w14:paraId="2962B5C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62" w:type="pct"/>
                  <w:tcBorders>
                    <w:tl2br w:val="nil"/>
                    <w:tr2bl w:val="nil"/>
                  </w:tcBorders>
                  <w:noWrap w:val="0"/>
                  <w:vAlign w:val="center"/>
                </w:tcPr>
                <w:p w14:paraId="29514140">
                  <w:pPr>
                    <w:jc w:val="center"/>
                    <w:rPr>
                      <w:rFonts w:hint="default" w:ascii="Times New Roman" w:hAnsi="Times New Roman" w:eastAsia="宋体" w:cs="Times New Roman"/>
                      <w:b/>
                      <w:bCs/>
                      <w:color w:val="auto"/>
                      <w:u w:val="none" w:color="auto"/>
                    </w:rPr>
                  </w:pPr>
                  <w:r>
                    <w:rPr>
                      <w:rFonts w:hint="default" w:ascii="Times New Roman" w:hAnsi="Times New Roman" w:eastAsia="宋体" w:cs="Times New Roman"/>
                      <w:b/>
                      <w:bCs/>
                      <w:color w:val="auto"/>
                      <w:u w:val="none" w:color="auto"/>
                    </w:rPr>
                    <w:t>序号</w:t>
                  </w:r>
                </w:p>
              </w:tc>
              <w:tc>
                <w:tcPr>
                  <w:tcW w:w="1057" w:type="pct"/>
                  <w:gridSpan w:val="3"/>
                  <w:tcBorders>
                    <w:tl2br w:val="nil"/>
                    <w:tr2bl w:val="nil"/>
                  </w:tcBorders>
                  <w:noWrap w:val="0"/>
                  <w:vAlign w:val="center"/>
                </w:tcPr>
                <w:p w14:paraId="59A0C65A">
                  <w:pPr>
                    <w:jc w:val="center"/>
                    <w:rPr>
                      <w:rFonts w:hint="default" w:ascii="Times New Roman" w:hAnsi="Times New Roman" w:eastAsia="宋体" w:cs="Times New Roman"/>
                      <w:b/>
                      <w:bCs/>
                      <w:color w:val="auto"/>
                      <w:u w:val="none" w:color="auto"/>
                    </w:rPr>
                  </w:pPr>
                  <w:r>
                    <w:rPr>
                      <w:rFonts w:hint="default" w:ascii="Times New Roman" w:hAnsi="Times New Roman" w:eastAsia="宋体" w:cs="Times New Roman"/>
                      <w:b/>
                      <w:bCs/>
                      <w:color w:val="auto"/>
                      <w:u w:val="none" w:color="auto"/>
                    </w:rPr>
                    <w:t>排气筒编号</w:t>
                  </w:r>
                </w:p>
              </w:tc>
              <w:tc>
                <w:tcPr>
                  <w:tcW w:w="913" w:type="pct"/>
                  <w:tcBorders>
                    <w:tl2br w:val="nil"/>
                    <w:tr2bl w:val="nil"/>
                  </w:tcBorders>
                  <w:noWrap w:val="0"/>
                  <w:vAlign w:val="center"/>
                </w:tcPr>
                <w:p w14:paraId="6172CA6D">
                  <w:pPr>
                    <w:jc w:val="center"/>
                    <w:rPr>
                      <w:rFonts w:hint="default" w:ascii="Times New Roman" w:hAnsi="Times New Roman" w:eastAsia="宋体" w:cs="Times New Roman"/>
                      <w:b/>
                      <w:bCs/>
                      <w:color w:val="auto"/>
                      <w:u w:val="none" w:color="auto"/>
                    </w:rPr>
                  </w:pPr>
                  <w:r>
                    <w:rPr>
                      <w:rFonts w:hint="default" w:ascii="Times New Roman" w:hAnsi="Times New Roman" w:eastAsia="宋体" w:cs="Times New Roman"/>
                      <w:b/>
                      <w:bCs/>
                      <w:color w:val="auto"/>
                      <w:u w:val="none" w:color="auto"/>
                    </w:rPr>
                    <w:t>污染物</w:t>
                  </w:r>
                </w:p>
              </w:tc>
              <w:tc>
                <w:tcPr>
                  <w:tcW w:w="930" w:type="pct"/>
                  <w:tcBorders>
                    <w:tl2br w:val="nil"/>
                    <w:tr2bl w:val="nil"/>
                  </w:tcBorders>
                  <w:noWrap w:val="0"/>
                  <w:vAlign w:val="center"/>
                </w:tcPr>
                <w:p w14:paraId="38B54625">
                  <w:pPr>
                    <w:jc w:val="center"/>
                    <w:rPr>
                      <w:rFonts w:hint="default" w:ascii="Times New Roman" w:hAnsi="Times New Roman" w:eastAsia="宋体" w:cs="Times New Roman"/>
                      <w:b/>
                      <w:bCs/>
                      <w:color w:val="auto"/>
                      <w:u w:val="none" w:color="auto"/>
                    </w:rPr>
                  </w:pPr>
                  <w:r>
                    <w:rPr>
                      <w:rFonts w:hint="default" w:ascii="Times New Roman" w:hAnsi="Times New Roman" w:eastAsia="宋体" w:cs="Times New Roman"/>
                      <w:b/>
                      <w:bCs/>
                      <w:color w:val="auto"/>
                      <w:u w:val="none" w:color="auto"/>
                    </w:rPr>
                    <w:t>核算排放浓度</w:t>
                  </w:r>
                </w:p>
                <w:p w14:paraId="3803B55F">
                  <w:pPr>
                    <w:jc w:val="center"/>
                    <w:rPr>
                      <w:rFonts w:hint="default" w:ascii="Times New Roman" w:hAnsi="Times New Roman" w:eastAsia="宋体" w:cs="Times New Roman"/>
                      <w:b/>
                      <w:bCs/>
                      <w:color w:val="auto"/>
                      <w:u w:val="none" w:color="auto"/>
                    </w:rPr>
                  </w:pPr>
                  <w:r>
                    <w:rPr>
                      <w:rFonts w:hint="default" w:ascii="Times New Roman" w:hAnsi="Times New Roman" w:eastAsia="宋体" w:cs="Times New Roman"/>
                      <w:b/>
                      <w:bCs/>
                      <w:color w:val="auto"/>
                      <w:u w:val="none" w:color="auto"/>
                    </w:rPr>
                    <w:t>（mg/m</w:t>
                  </w:r>
                  <w:r>
                    <w:rPr>
                      <w:rFonts w:hint="default" w:ascii="Times New Roman" w:hAnsi="Times New Roman" w:eastAsia="宋体" w:cs="Times New Roman"/>
                      <w:b/>
                      <w:bCs/>
                      <w:color w:val="auto"/>
                      <w:u w:val="none" w:color="auto"/>
                      <w:vertAlign w:val="superscript"/>
                    </w:rPr>
                    <w:t>3</w:t>
                  </w:r>
                  <w:r>
                    <w:rPr>
                      <w:rFonts w:hint="default" w:ascii="Times New Roman" w:hAnsi="Times New Roman" w:eastAsia="宋体" w:cs="Times New Roman"/>
                      <w:b/>
                      <w:bCs/>
                      <w:color w:val="auto"/>
                      <w:u w:val="none" w:color="auto"/>
                    </w:rPr>
                    <w:t>）</w:t>
                  </w:r>
                </w:p>
              </w:tc>
              <w:tc>
                <w:tcPr>
                  <w:tcW w:w="874" w:type="pct"/>
                  <w:tcBorders>
                    <w:tl2br w:val="nil"/>
                    <w:tr2bl w:val="nil"/>
                  </w:tcBorders>
                  <w:noWrap w:val="0"/>
                  <w:vAlign w:val="center"/>
                </w:tcPr>
                <w:p w14:paraId="32041082">
                  <w:pPr>
                    <w:jc w:val="center"/>
                    <w:rPr>
                      <w:rFonts w:hint="default" w:ascii="Times New Roman" w:hAnsi="Times New Roman" w:eastAsia="宋体" w:cs="Times New Roman"/>
                      <w:b/>
                      <w:bCs/>
                      <w:color w:val="auto"/>
                      <w:u w:val="none" w:color="auto"/>
                    </w:rPr>
                  </w:pPr>
                  <w:r>
                    <w:rPr>
                      <w:rFonts w:hint="default" w:ascii="Times New Roman" w:hAnsi="Times New Roman" w:eastAsia="宋体" w:cs="Times New Roman"/>
                      <w:b/>
                      <w:bCs/>
                      <w:color w:val="auto"/>
                      <w:u w:val="none" w:color="auto"/>
                    </w:rPr>
                    <w:t>核算排放速率（kg/h）</w:t>
                  </w:r>
                </w:p>
              </w:tc>
              <w:tc>
                <w:tcPr>
                  <w:tcW w:w="962" w:type="pct"/>
                  <w:tcBorders>
                    <w:tl2br w:val="nil"/>
                    <w:tr2bl w:val="nil"/>
                  </w:tcBorders>
                  <w:noWrap w:val="0"/>
                  <w:vAlign w:val="center"/>
                </w:tcPr>
                <w:p w14:paraId="67DFFFB9">
                  <w:pPr>
                    <w:jc w:val="center"/>
                    <w:rPr>
                      <w:rFonts w:hint="default" w:ascii="Times New Roman" w:hAnsi="Times New Roman" w:eastAsia="宋体" w:cs="Times New Roman"/>
                      <w:b/>
                      <w:bCs/>
                      <w:color w:val="auto"/>
                      <w:u w:val="none" w:color="auto"/>
                    </w:rPr>
                  </w:pPr>
                  <w:r>
                    <w:rPr>
                      <w:rFonts w:hint="default" w:ascii="Times New Roman" w:hAnsi="Times New Roman" w:eastAsia="宋体" w:cs="Times New Roman"/>
                      <w:b/>
                      <w:bCs/>
                      <w:color w:val="auto"/>
                      <w:u w:val="none" w:color="auto"/>
                    </w:rPr>
                    <w:t>核算年排放量（t/a）</w:t>
                  </w:r>
                </w:p>
              </w:tc>
            </w:tr>
            <w:tr w14:paraId="4AD1A8A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000" w:type="pct"/>
                  <w:gridSpan w:val="8"/>
                  <w:tcBorders>
                    <w:tl2br w:val="nil"/>
                    <w:tr2bl w:val="nil"/>
                  </w:tcBorders>
                  <w:noWrap w:val="0"/>
                  <w:vAlign w:val="center"/>
                </w:tcPr>
                <w:p w14:paraId="231CB173">
                  <w:pPr>
                    <w:jc w:val="center"/>
                    <w:rPr>
                      <w:rFonts w:hint="default" w:ascii="Times New Roman" w:hAnsi="Times New Roman" w:eastAsia="宋体" w:cs="Times New Roman"/>
                      <w:b/>
                      <w:bCs/>
                      <w:color w:val="auto"/>
                      <w:u w:val="none" w:color="auto"/>
                      <w:lang w:val="en-US" w:eastAsia="zh-CN"/>
                    </w:rPr>
                  </w:pPr>
                  <w:r>
                    <w:rPr>
                      <w:rFonts w:hint="default" w:ascii="Times New Roman" w:hAnsi="Times New Roman" w:eastAsia="宋体" w:cs="Times New Roman"/>
                      <w:b/>
                      <w:bCs/>
                      <w:color w:val="auto"/>
                      <w:u w:val="none" w:color="auto"/>
                      <w:lang w:val="en-US" w:eastAsia="zh-CN"/>
                    </w:rPr>
                    <w:t>主要排放口</w:t>
                  </w:r>
                </w:p>
              </w:tc>
            </w:tr>
            <w:tr w14:paraId="449A994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62" w:type="pct"/>
                  <w:vMerge w:val="restart"/>
                  <w:tcBorders>
                    <w:tl2br w:val="nil"/>
                    <w:tr2bl w:val="nil"/>
                  </w:tcBorders>
                  <w:noWrap w:val="0"/>
                  <w:vAlign w:val="center"/>
                </w:tcPr>
                <w:p w14:paraId="1854B2EE">
                  <w:pPr>
                    <w:jc w:val="center"/>
                    <w:rPr>
                      <w:rFonts w:hint="default" w:ascii="Times New Roman" w:hAnsi="Times New Roman" w:eastAsia="宋体" w:cs="Times New Roman"/>
                      <w:b/>
                      <w:bCs/>
                      <w:color w:val="auto"/>
                      <w:u w:val="none" w:color="auto"/>
                      <w:lang w:val="en-US" w:eastAsia="zh-CN"/>
                    </w:rPr>
                  </w:pPr>
                  <w:r>
                    <w:rPr>
                      <w:rFonts w:hint="default" w:ascii="Times New Roman" w:hAnsi="Times New Roman" w:eastAsia="宋体" w:cs="Times New Roman"/>
                      <w:b/>
                      <w:bCs/>
                      <w:color w:val="auto"/>
                      <w:u w:val="none" w:color="auto"/>
                      <w:lang w:val="en-US" w:eastAsia="zh-CN"/>
                    </w:rPr>
                    <w:t>1</w:t>
                  </w:r>
                </w:p>
              </w:tc>
              <w:tc>
                <w:tcPr>
                  <w:tcW w:w="524" w:type="pct"/>
                  <w:gridSpan w:val="2"/>
                  <w:vMerge w:val="restart"/>
                  <w:tcBorders>
                    <w:tl2br w:val="nil"/>
                    <w:tr2bl w:val="nil"/>
                  </w:tcBorders>
                  <w:noWrap w:val="0"/>
                  <w:vAlign w:val="center"/>
                </w:tcPr>
                <w:p w14:paraId="567867A7">
                  <w:pPr>
                    <w:jc w:val="center"/>
                    <w:rPr>
                      <w:rFonts w:hint="default" w:ascii="Times New Roman" w:hAnsi="Times New Roman" w:eastAsia="宋体" w:cs="Times New Roman"/>
                      <w:b/>
                      <w:bCs/>
                      <w:color w:val="auto"/>
                      <w:u w:val="none" w:color="auto"/>
                    </w:rPr>
                  </w:pPr>
                  <w:r>
                    <w:rPr>
                      <w:rFonts w:hint="default" w:ascii="Times New Roman" w:hAnsi="Times New Roman" w:eastAsia="宋体" w:cs="Times New Roman"/>
                      <w:color w:val="auto"/>
                      <w:u w:val="none" w:color="auto"/>
                      <w:lang w:val="en-US" w:eastAsia="zh-CN"/>
                    </w:rPr>
                    <w:t>中创空天厂区</w:t>
                  </w:r>
                </w:p>
              </w:tc>
              <w:tc>
                <w:tcPr>
                  <w:tcW w:w="532" w:type="pct"/>
                  <w:vMerge w:val="restart"/>
                  <w:tcBorders>
                    <w:tl2br w:val="nil"/>
                    <w:tr2bl w:val="nil"/>
                  </w:tcBorders>
                  <w:shd w:val="clear" w:color="auto" w:fill="auto"/>
                  <w:noWrap w:val="0"/>
                  <w:vAlign w:val="center"/>
                </w:tcPr>
                <w:p w14:paraId="5891C2CC">
                  <w:pPr>
                    <w:pStyle w:val="46"/>
                    <w:rPr>
                      <w:rFonts w:hint="default" w:ascii="Times New Roman" w:hAnsi="Times New Roman" w:eastAsia="宋体" w:cs="Times New Roman"/>
                      <w:color w:val="auto"/>
                      <w:sz w:val="21"/>
                      <w:u w:val="none" w:color="auto"/>
                      <w:lang w:val="en-US" w:eastAsia="zh-CN" w:bidi="ar-SA"/>
                    </w:rPr>
                  </w:pPr>
                  <w:r>
                    <w:rPr>
                      <w:rFonts w:hint="default" w:ascii="Times New Roman" w:hAnsi="Times New Roman" w:eastAsia="宋体" w:cs="Times New Roman"/>
                      <w:color w:val="auto"/>
                      <w:u w:val="none" w:color="auto"/>
                    </w:rPr>
                    <w:t>DA01</w:t>
                  </w:r>
                  <w:r>
                    <w:rPr>
                      <w:rFonts w:hint="default" w:ascii="Times New Roman" w:hAnsi="Times New Roman" w:eastAsia="宋体" w:cs="Times New Roman"/>
                      <w:color w:val="auto"/>
                      <w:u w:val="none" w:color="auto"/>
                      <w:lang w:val="en-US" w:eastAsia="zh-CN"/>
                    </w:rPr>
                    <w:t>0</w:t>
                  </w:r>
                </w:p>
              </w:tc>
              <w:tc>
                <w:tcPr>
                  <w:tcW w:w="913" w:type="pct"/>
                  <w:tcBorders>
                    <w:tl2br w:val="nil"/>
                    <w:tr2bl w:val="nil"/>
                  </w:tcBorders>
                  <w:noWrap w:val="0"/>
                  <w:vAlign w:val="center"/>
                </w:tcPr>
                <w:p w14:paraId="5D8D8C33">
                  <w:pPr>
                    <w:jc w:val="center"/>
                    <w:rPr>
                      <w:rFonts w:hint="default" w:ascii="Times New Roman" w:hAnsi="Times New Roman" w:eastAsia="宋体" w:cs="Times New Roman"/>
                      <w:b/>
                      <w:bCs/>
                      <w:color w:val="auto"/>
                      <w:u w:val="none" w:color="auto"/>
                    </w:rPr>
                  </w:pPr>
                  <w:r>
                    <w:rPr>
                      <w:rFonts w:hint="default" w:ascii="Times New Roman" w:hAnsi="Times New Roman" w:eastAsia="宋体" w:cs="Times New Roman"/>
                      <w:color w:val="auto"/>
                      <w:u w:val="none" w:color="auto"/>
                      <w:lang w:val="en-US" w:eastAsia="zh-CN"/>
                    </w:rPr>
                    <w:t>颗粒物</w:t>
                  </w:r>
                </w:p>
              </w:tc>
              <w:tc>
                <w:tcPr>
                  <w:tcW w:w="930" w:type="pct"/>
                  <w:tcBorders>
                    <w:tl2br w:val="nil"/>
                    <w:tr2bl w:val="nil"/>
                  </w:tcBorders>
                  <w:noWrap w:val="0"/>
                  <w:vAlign w:val="center"/>
                </w:tcPr>
                <w:p w14:paraId="06280A65">
                  <w:pPr>
                    <w:keepNext w:val="0"/>
                    <w:keepLines w:val="0"/>
                    <w:widowControl/>
                    <w:suppressLineNumbers w:val="0"/>
                    <w:jc w:val="center"/>
                    <w:textAlignment w:val="center"/>
                    <w:rPr>
                      <w:rFonts w:hint="default" w:ascii="Times New Roman" w:hAnsi="Times New Roman" w:eastAsia="宋体" w:cs="Times New Roman"/>
                      <w:b/>
                      <w:bCs/>
                      <w:color w:val="auto"/>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0.65</w:t>
                  </w:r>
                </w:p>
              </w:tc>
              <w:tc>
                <w:tcPr>
                  <w:tcW w:w="874" w:type="pct"/>
                  <w:tcBorders>
                    <w:tl2br w:val="nil"/>
                    <w:tr2bl w:val="nil"/>
                  </w:tcBorders>
                  <w:noWrap w:val="0"/>
                  <w:vAlign w:val="center"/>
                </w:tcPr>
                <w:p w14:paraId="3332941F">
                  <w:pPr>
                    <w:jc w:val="center"/>
                    <w:rPr>
                      <w:rFonts w:hint="default" w:ascii="Times New Roman" w:hAnsi="Times New Roman" w:eastAsia="宋体" w:cs="Times New Roman"/>
                      <w:b/>
                      <w:bCs/>
                      <w:color w:val="auto"/>
                      <w:u w:val="none" w:color="auto"/>
                    </w:rPr>
                  </w:pPr>
                  <w:r>
                    <w:rPr>
                      <w:rFonts w:hint="default" w:ascii="Times New Roman" w:hAnsi="Times New Roman" w:eastAsia="宋体" w:cs="Times New Roman"/>
                      <w:color w:val="auto"/>
                      <w:u w:val="none" w:color="auto"/>
                      <w:lang w:val="en-US" w:eastAsia="zh-CN"/>
                    </w:rPr>
                    <w:t>0.1355</w:t>
                  </w:r>
                </w:p>
              </w:tc>
              <w:tc>
                <w:tcPr>
                  <w:tcW w:w="962" w:type="pct"/>
                  <w:tcBorders>
                    <w:tl2br w:val="nil"/>
                    <w:tr2bl w:val="nil"/>
                  </w:tcBorders>
                  <w:noWrap w:val="0"/>
                  <w:vAlign w:val="center"/>
                </w:tcPr>
                <w:p w14:paraId="67E4CE52">
                  <w:pPr>
                    <w:keepNext w:val="0"/>
                    <w:keepLines w:val="0"/>
                    <w:widowControl/>
                    <w:suppressLineNumbers w:val="0"/>
                    <w:jc w:val="center"/>
                    <w:textAlignment w:val="center"/>
                    <w:rPr>
                      <w:rFonts w:hint="default" w:ascii="Times New Roman" w:hAnsi="Times New Roman" w:eastAsia="宋体" w:cs="Times New Roman"/>
                      <w:b/>
                      <w:bCs/>
                      <w:color w:val="auto"/>
                      <w:u w:val="none" w:color="auto"/>
                    </w:rPr>
                  </w:pPr>
                  <w:r>
                    <w:rPr>
                      <w:rFonts w:hint="default" w:ascii="Times New Roman" w:hAnsi="Times New Roman" w:eastAsia="宋体" w:cs="Times New Roman"/>
                      <w:color w:val="auto"/>
                      <w:u w:val="none" w:color="auto"/>
                      <w:lang w:val="en-US" w:eastAsia="zh-CN"/>
                    </w:rPr>
                    <w:t>0.2545</w:t>
                  </w:r>
                </w:p>
              </w:tc>
            </w:tr>
            <w:tr w14:paraId="7D84E79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62" w:type="pct"/>
                  <w:vMerge w:val="continue"/>
                  <w:tcBorders>
                    <w:tl2br w:val="nil"/>
                    <w:tr2bl w:val="nil"/>
                  </w:tcBorders>
                  <w:noWrap w:val="0"/>
                  <w:vAlign w:val="center"/>
                </w:tcPr>
                <w:p w14:paraId="0245922B">
                  <w:pPr>
                    <w:jc w:val="center"/>
                    <w:rPr>
                      <w:rFonts w:hint="default" w:ascii="Times New Roman" w:hAnsi="Times New Roman" w:eastAsia="宋体" w:cs="Times New Roman"/>
                      <w:b/>
                      <w:bCs/>
                      <w:color w:val="auto"/>
                      <w:u w:val="none" w:color="auto"/>
                    </w:rPr>
                  </w:pPr>
                </w:p>
              </w:tc>
              <w:tc>
                <w:tcPr>
                  <w:tcW w:w="524" w:type="pct"/>
                  <w:gridSpan w:val="2"/>
                  <w:vMerge w:val="continue"/>
                  <w:tcBorders>
                    <w:tl2br w:val="nil"/>
                    <w:tr2bl w:val="nil"/>
                  </w:tcBorders>
                  <w:noWrap w:val="0"/>
                  <w:vAlign w:val="center"/>
                </w:tcPr>
                <w:p w14:paraId="29D1ED48">
                  <w:pPr>
                    <w:jc w:val="center"/>
                    <w:rPr>
                      <w:rFonts w:hint="default" w:ascii="Times New Roman" w:hAnsi="Times New Roman" w:eastAsia="宋体" w:cs="Times New Roman"/>
                      <w:b/>
                      <w:bCs/>
                      <w:color w:val="auto"/>
                      <w:u w:val="none" w:color="auto"/>
                    </w:rPr>
                  </w:pPr>
                </w:p>
              </w:tc>
              <w:tc>
                <w:tcPr>
                  <w:tcW w:w="532" w:type="pct"/>
                  <w:vMerge w:val="continue"/>
                  <w:tcBorders>
                    <w:tl2br w:val="nil"/>
                    <w:tr2bl w:val="nil"/>
                  </w:tcBorders>
                  <w:noWrap w:val="0"/>
                  <w:vAlign w:val="center"/>
                </w:tcPr>
                <w:p w14:paraId="09809F31">
                  <w:pPr>
                    <w:jc w:val="center"/>
                    <w:rPr>
                      <w:rFonts w:hint="default" w:ascii="Times New Roman" w:hAnsi="Times New Roman" w:eastAsia="宋体" w:cs="Times New Roman"/>
                      <w:b/>
                      <w:bCs/>
                      <w:color w:val="auto"/>
                      <w:u w:val="none" w:color="auto"/>
                    </w:rPr>
                  </w:pPr>
                </w:p>
              </w:tc>
              <w:tc>
                <w:tcPr>
                  <w:tcW w:w="913" w:type="pct"/>
                  <w:tcBorders>
                    <w:tl2br w:val="nil"/>
                    <w:tr2bl w:val="nil"/>
                  </w:tcBorders>
                  <w:noWrap w:val="0"/>
                  <w:vAlign w:val="center"/>
                </w:tcPr>
                <w:p w14:paraId="723237CB">
                  <w:pPr>
                    <w:jc w:val="center"/>
                    <w:rPr>
                      <w:rFonts w:hint="default" w:ascii="Times New Roman" w:hAnsi="Times New Roman" w:eastAsia="宋体" w:cs="Times New Roman"/>
                      <w:b/>
                      <w:bCs/>
                      <w:color w:val="auto"/>
                      <w:u w:val="none" w:color="auto"/>
                    </w:rPr>
                  </w:pPr>
                  <w:r>
                    <w:rPr>
                      <w:rFonts w:hint="default" w:ascii="Times New Roman" w:hAnsi="Times New Roman" w:eastAsia="宋体" w:cs="Times New Roman"/>
                      <w:color w:val="auto"/>
                      <w:u w:val="none" w:color="auto"/>
                    </w:rPr>
                    <w:t>SO</w:t>
                  </w:r>
                  <w:r>
                    <w:rPr>
                      <w:rFonts w:hint="default" w:ascii="Times New Roman" w:hAnsi="Times New Roman" w:eastAsia="宋体" w:cs="Times New Roman"/>
                      <w:color w:val="auto"/>
                      <w:u w:val="none" w:color="auto"/>
                      <w:vertAlign w:val="subscript"/>
                    </w:rPr>
                    <w:t>2</w:t>
                  </w:r>
                </w:p>
              </w:tc>
              <w:tc>
                <w:tcPr>
                  <w:tcW w:w="930" w:type="pct"/>
                  <w:tcBorders>
                    <w:tl2br w:val="nil"/>
                    <w:tr2bl w:val="nil"/>
                  </w:tcBorders>
                  <w:noWrap w:val="0"/>
                  <w:vAlign w:val="center"/>
                </w:tcPr>
                <w:p w14:paraId="6DC1F895">
                  <w:pPr>
                    <w:keepNext w:val="0"/>
                    <w:keepLines w:val="0"/>
                    <w:widowControl/>
                    <w:suppressLineNumbers w:val="0"/>
                    <w:jc w:val="center"/>
                    <w:textAlignment w:val="center"/>
                    <w:rPr>
                      <w:rFonts w:hint="default" w:ascii="Times New Roman" w:hAnsi="Times New Roman" w:eastAsia="宋体" w:cs="Times New Roman"/>
                      <w:b/>
                      <w:bCs/>
                      <w:color w:val="auto"/>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39.64</w:t>
                  </w:r>
                </w:p>
              </w:tc>
              <w:tc>
                <w:tcPr>
                  <w:tcW w:w="874" w:type="pct"/>
                  <w:tcBorders>
                    <w:tl2br w:val="nil"/>
                    <w:tr2bl w:val="nil"/>
                  </w:tcBorders>
                  <w:noWrap w:val="0"/>
                  <w:vAlign w:val="center"/>
                </w:tcPr>
                <w:p w14:paraId="3F046DB0">
                  <w:pPr>
                    <w:keepNext w:val="0"/>
                    <w:keepLines w:val="0"/>
                    <w:widowControl/>
                    <w:suppressLineNumbers w:val="0"/>
                    <w:jc w:val="center"/>
                    <w:textAlignment w:val="center"/>
                    <w:rPr>
                      <w:rFonts w:hint="default" w:ascii="Times New Roman" w:hAnsi="Times New Roman" w:eastAsia="宋体" w:cs="Times New Roman"/>
                      <w:b/>
                      <w:bCs/>
                      <w:color w:val="auto"/>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0.7131</w:t>
                  </w:r>
                </w:p>
              </w:tc>
              <w:tc>
                <w:tcPr>
                  <w:tcW w:w="962" w:type="pct"/>
                  <w:tcBorders>
                    <w:tl2br w:val="nil"/>
                    <w:tr2bl w:val="nil"/>
                  </w:tcBorders>
                  <w:noWrap w:val="0"/>
                  <w:vAlign w:val="center"/>
                </w:tcPr>
                <w:p w14:paraId="1832095A">
                  <w:pPr>
                    <w:keepNext w:val="0"/>
                    <w:keepLines w:val="0"/>
                    <w:widowControl/>
                    <w:suppressLineNumbers w:val="0"/>
                    <w:jc w:val="center"/>
                    <w:textAlignment w:val="center"/>
                    <w:rPr>
                      <w:rFonts w:hint="default" w:ascii="Times New Roman" w:hAnsi="Times New Roman" w:eastAsia="宋体" w:cs="Times New Roman"/>
                      <w:b/>
                      <w:bCs/>
                      <w:color w:val="auto"/>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5.0946</w:t>
                  </w:r>
                </w:p>
              </w:tc>
            </w:tr>
            <w:tr w14:paraId="25D8C34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62" w:type="pct"/>
                  <w:vMerge w:val="continue"/>
                  <w:tcBorders>
                    <w:tl2br w:val="nil"/>
                    <w:tr2bl w:val="nil"/>
                  </w:tcBorders>
                  <w:noWrap w:val="0"/>
                  <w:vAlign w:val="center"/>
                </w:tcPr>
                <w:p w14:paraId="4BE7416A">
                  <w:pPr>
                    <w:jc w:val="center"/>
                    <w:rPr>
                      <w:rFonts w:hint="default" w:ascii="Times New Roman" w:hAnsi="Times New Roman" w:eastAsia="宋体" w:cs="Times New Roman"/>
                      <w:b/>
                      <w:bCs/>
                      <w:color w:val="auto"/>
                      <w:u w:val="none" w:color="auto"/>
                    </w:rPr>
                  </w:pPr>
                </w:p>
              </w:tc>
              <w:tc>
                <w:tcPr>
                  <w:tcW w:w="524" w:type="pct"/>
                  <w:gridSpan w:val="2"/>
                  <w:vMerge w:val="continue"/>
                  <w:tcBorders>
                    <w:tl2br w:val="nil"/>
                    <w:tr2bl w:val="nil"/>
                  </w:tcBorders>
                  <w:noWrap w:val="0"/>
                  <w:vAlign w:val="center"/>
                </w:tcPr>
                <w:p w14:paraId="1F915D59">
                  <w:pPr>
                    <w:jc w:val="center"/>
                    <w:rPr>
                      <w:rFonts w:hint="default" w:ascii="Times New Roman" w:hAnsi="Times New Roman" w:eastAsia="宋体" w:cs="Times New Roman"/>
                      <w:b/>
                      <w:bCs/>
                      <w:color w:val="auto"/>
                      <w:u w:val="none" w:color="auto"/>
                    </w:rPr>
                  </w:pPr>
                </w:p>
              </w:tc>
              <w:tc>
                <w:tcPr>
                  <w:tcW w:w="532" w:type="pct"/>
                  <w:vMerge w:val="continue"/>
                  <w:tcBorders>
                    <w:tl2br w:val="nil"/>
                    <w:tr2bl w:val="nil"/>
                  </w:tcBorders>
                  <w:noWrap w:val="0"/>
                  <w:vAlign w:val="center"/>
                </w:tcPr>
                <w:p w14:paraId="6C1FFBFF">
                  <w:pPr>
                    <w:jc w:val="center"/>
                    <w:rPr>
                      <w:rFonts w:hint="default" w:ascii="Times New Roman" w:hAnsi="Times New Roman" w:eastAsia="宋体" w:cs="Times New Roman"/>
                      <w:b/>
                      <w:bCs/>
                      <w:color w:val="auto"/>
                      <w:u w:val="none" w:color="auto"/>
                    </w:rPr>
                  </w:pPr>
                </w:p>
              </w:tc>
              <w:tc>
                <w:tcPr>
                  <w:tcW w:w="913" w:type="pct"/>
                  <w:tcBorders>
                    <w:tl2br w:val="nil"/>
                    <w:tr2bl w:val="nil"/>
                  </w:tcBorders>
                  <w:noWrap w:val="0"/>
                  <w:vAlign w:val="center"/>
                </w:tcPr>
                <w:p w14:paraId="24A4DE6C">
                  <w:pPr>
                    <w:jc w:val="center"/>
                    <w:rPr>
                      <w:rFonts w:hint="default" w:ascii="Times New Roman" w:hAnsi="Times New Roman" w:eastAsia="宋体" w:cs="Times New Roman"/>
                      <w:b/>
                      <w:bCs/>
                      <w:color w:val="auto"/>
                      <w:u w:val="none" w:color="auto"/>
                    </w:rPr>
                  </w:pPr>
                  <w:r>
                    <w:rPr>
                      <w:rFonts w:hint="default" w:ascii="Times New Roman" w:hAnsi="Times New Roman" w:eastAsia="宋体" w:cs="Times New Roman"/>
                      <w:color w:val="auto"/>
                      <w:u w:val="none" w:color="auto"/>
                    </w:rPr>
                    <w:t>NO</w:t>
                  </w:r>
                  <w:r>
                    <w:rPr>
                      <w:rFonts w:hint="default" w:ascii="Times New Roman" w:hAnsi="Times New Roman" w:eastAsia="宋体" w:cs="Times New Roman"/>
                      <w:color w:val="auto"/>
                      <w:u w:val="none" w:color="auto"/>
                      <w:vertAlign w:val="subscript"/>
                    </w:rPr>
                    <w:t>x</w:t>
                  </w:r>
                </w:p>
              </w:tc>
              <w:tc>
                <w:tcPr>
                  <w:tcW w:w="930" w:type="pct"/>
                  <w:tcBorders>
                    <w:tl2br w:val="nil"/>
                    <w:tr2bl w:val="nil"/>
                  </w:tcBorders>
                  <w:noWrap w:val="0"/>
                  <w:vAlign w:val="center"/>
                </w:tcPr>
                <w:p w14:paraId="176CE843">
                  <w:pPr>
                    <w:keepNext w:val="0"/>
                    <w:keepLines w:val="0"/>
                    <w:widowControl/>
                    <w:suppressLineNumbers w:val="0"/>
                    <w:jc w:val="center"/>
                    <w:textAlignment w:val="center"/>
                    <w:rPr>
                      <w:rFonts w:hint="default" w:ascii="Times New Roman" w:hAnsi="Times New Roman" w:eastAsia="宋体" w:cs="Times New Roman"/>
                      <w:b/>
                      <w:bCs/>
                      <w:color w:val="auto"/>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74.01</w:t>
                  </w:r>
                </w:p>
              </w:tc>
              <w:tc>
                <w:tcPr>
                  <w:tcW w:w="874" w:type="pct"/>
                  <w:tcBorders>
                    <w:tl2br w:val="nil"/>
                    <w:tr2bl w:val="nil"/>
                  </w:tcBorders>
                  <w:noWrap w:val="0"/>
                  <w:vAlign w:val="center"/>
                </w:tcPr>
                <w:p w14:paraId="662FC189">
                  <w:pPr>
                    <w:keepNext w:val="0"/>
                    <w:keepLines w:val="0"/>
                    <w:widowControl/>
                    <w:suppressLineNumbers w:val="0"/>
                    <w:jc w:val="center"/>
                    <w:textAlignment w:val="center"/>
                    <w:rPr>
                      <w:rFonts w:hint="default" w:ascii="Times New Roman" w:hAnsi="Times New Roman" w:eastAsia="宋体" w:cs="Times New Roman"/>
                      <w:b/>
                      <w:bCs/>
                      <w:color w:val="auto"/>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1.3313</w:t>
                  </w:r>
                </w:p>
              </w:tc>
              <w:tc>
                <w:tcPr>
                  <w:tcW w:w="962" w:type="pct"/>
                  <w:tcBorders>
                    <w:tl2br w:val="nil"/>
                    <w:tr2bl w:val="nil"/>
                  </w:tcBorders>
                  <w:noWrap w:val="0"/>
                  <w:vAlign w:val="center"/>
                </w:tcPr>
                <w:p w14:paraId="6499B406">
                  <w:pPr>
                    <w:keepNext w:val="0"/>
                    <w:keepLines w:val="0"/>
                    <w:widowControl/>
                    <w:suppressLineNumbers w:val="0"/>
                    <w:jc w:val="center"/>
                    <w:textAlignment w:val="center"/>
                    <w:rPr>
                      <w:rFonts w:hint="default" w:ascii="Times New Roman" w:hAnsi="Times New Roman" w:eastAsia="宋体" w:cs="Times New Roman"/>
                      <w:b/>
                      <w:bCs/>
                      <w:color w:val="auto"/>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10.3500</w:t>
                  </w:r>
                </w:p>
              </w:tc>
            </w:tr>
            <w:tr w14:paraId="596DA0E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000" w:type="pct"/>
                  <w:gridSpan w:val="8"/>
                  <w:tcBorders>
                    <w:tl2br w:val="nil"/>
                    <w:tr2bl w:val="nil"/>
                  </w:tcBorders>
                  <w:noWrap w:val="0"/>
                  <w:vAlign w:val="center"/>
                </w:tcPr>
                <w:p w14:paraId="66FB5C2E">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b/>
                      <w:bCs/>
                      <w:color w:val="auto"/>
                      <w:u w:val="none" w:color="auto"/>
                    </w:rPr>
                    <w:t>一般排放口</w:t>
                  </w:r>
                </w:p>
              </w:tc>
            </w:tr>
            <w:tr w14:paraId="5931711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69" w:hRule="atLeast"/>
                <w:jc w:val="center"/>
              </w:trPr>
              <w:tc>
                <w:tcPr>
                  <w:tcW w:w="262" w:type="pct"/>
                  <w:vMerge w:val="restart"/>
                  <w:tcBorders>
                    <w:tl2br w:val="nil"/>
                    <w:tr2bl w:val="nil"/>
                  </w:tcBorders>
                  <w:noWrap w:val="0"/>
                  <w:vAlign w:val="center"/>
                </w:tcPr>
                <w:p w14:paraId="1DBE7835">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1</w:t>
                  </w:r>
                </w:p>
              </w:tc>
              <w:tc>
                <w:tcPr>
                  <w:tcW w:w="522" w:type="pct"/>
                  <w:vMerge w:val="restart"/>
                  <w:tcBorders>
                    <w:tl2br w:val="nil"/>
                    <w:tr2bl w:val="nil"/>
                  </w:tcBorders>
                  <w:noWrap w:val="0"/>
                  <w:vAlign w:val="center"/>
                </w:tcPr>
                <w:p w14:paraId="64100113">
                  <w:pPr>
                    <w:adjustRightInd w:val="0"/>
                    <w:snapToGrid w:val="0"/>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val="en-US" w:eastAsia="zh-CN"/>
                    </w:rPr>
                    <w:t>中创空天厂区</w:t>
                  </w:r>
                </w:p>
              </w:tc>
              <w:tc>
                <w:tcPr>
                  <w:tcW w:w="534" w:type="pct"/>
                  <w:gridSpan w:val="2"/>
                  <w:vMerge w:val="restart"/>
                  <w:tcBorders>
                    <w:tl2br w:val="nil"/>
                    <w:tr2bl w:val="nil"/>
                  </w:tcBorders>
                  <w:noWrap w:val="0"/>
                  <w:vAlign w:val="center"/>
                </w:tcPr>
                <w:p w14:paraId="1EDDA986">
                  <w:pPr>
                    <w:pStyle w:val="46"/>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rPr>
                    <w:t>DA01</w:t>
                  </w:r>
                  <w:r>
                    <w:rPr>
                      <w:rFonts w:hint="default" w:ascii="Times New Roman" w:hAnsi="Times New Roman" w:eastAsia="宋体" w:cs="Times New Roman"/>
                      <w:color w:val="auto"/>
                      <w:u w:val="none" w:color="auto"/>
                      <w:lang w:val="en-US" w:eastAsia="zh-CN"/>
                    </w:rPr>
                    <w:t>1</w:t>
                  </w:r>
                </w:p>
              </w:tc>
              <w:tc>
                <w:tcPr>
                  <w:tcW w:w="913" w:type="pct"/>
                  <w:tcBorders>
                    <w:tl2br w:val="nil"/>
                    <w:tr2bl w:val="nil"/>
                  </w:tcBorders>
                  <w:shd w:val="clear" w:color="auto" w:fill="auto"/>
                  <w:noWrap w:val="0"/>
                  <w:vAlign w:val="center"/>
                </w:tcPr>
                <w:p w14:paraId="5F7AF65F">
                  <w:pPr>
                    <w:pStyle w:val="2"/>
                    <w:keepNext w:val="0"/>
                    <w:keepLines w:val="0"/>
                    <w:pageBreakBefore w:val="0"/>
                    <w:widowControl/>
                    <w:kinsoku/>
                    <w:wordWrap/>
                    <w:overflowPunct/>
                    <w:topLinePunct w:val="0"/>
                    <w:autoSpaceDE/>
                    <w:autoSpaceDN/>
                    <w:bidi w:val="0"/>
                    <w:adjustRightInd/>
                    <w:snapToGrid/>
                    <w:spacing w:before="0" w:after="0" w:line="240" w:lineRule="auto"/>
                    <w:ind w:right="113" w:rightChars="0"/>
                    <w:jc w:val="center"/>
                    <w:rPr>
                      <w:rFonts w:hint="default" w:ascii="Times New Roman" w:hAnsi="Times New Roman" w:eastAsia="宋体" w:cs="Times New Roman"/>
                      <w:color w:val="auto"/>
                      <w:kern w:val="0"/>
                      <w:sz w:val="18"/>
                      <w:szCs w:val="18"/>
                      <w:u w:val="none" w:color="auto"/>
                      <w:lang w:val="en-US" w:eastAsia="zh-CN" w:bidi="ar"/>
                    </w:rPr>
                  </w:pPr>
                  <w:r>
                    <w:rPr>
                      <w:rFonts w:hint="default" w:ascii="Times New Roman" w:hAnsi="Times New Roman" w:eastAsia="宋体" w:cs="Times New Roman"/>
                      <w:color w:val="auto"/>
                      <w:sz w:val="21"/>
                      <w:szCs w:val="21"/>
                      <w:u w:val="none" w:color="auto"/>
                      <w:vertAlign w:val="baseline"/>
                      <w:lang w:val="en-US" w:eastAsia="zh-CN"/>
                    </w:rPr>
                    <w:t>颗粒物</w:t>
                  </w:r>
                </w:p>
              </w:tc>
              <w:tc>
                <w:tcPr>
                  <w:tcW w:w="930" w:type="pct"/>
                  <w:tcBorders>
                    <w:tl2br w:val="nil"/>
                    <w:tr2bl w:val="nil"/>
                  </w:tcBorders>
                  <w:shd w:val="clear" w:color="auto" w:fill="auto"/>
                  <w:noWrap w:val="0"/>
                  <w:vAlign w:val="top"/>
                </w:tcPr>
                <w:p w14:paraId="2E45C9E3">
                  <w:pPr>
                    <w:keepNext w:val="0"/>
                    <w:keepLines w:val="0"/>
                    <w:widowControl/>
                    <w:suppressLineNumbers w:val="0"/>
                    <w:jc w:val="center"/>
                    <w:textAlignment w:val="top"/>
                    <w:rPr>
                      <w:rFonts w:hint="default" w:ascii="Times New Roman" w:hAnsi="Times New Roman" w:eastAsia="宋体" w:cs="Times New Roman"/>
                      <w:color w:val="auto"/>
                      <w:kern w:val="2"/>
                      <w:sz w:val="21"/>
                      <w:szCs w:val="24"/>
                      <w:u w:val="none" w:color="auto"/>
                      <w:lang w:val="en-US" w:eastAsia="zh-CN" w:bidi="ar-SA"/>
                    </w:rPr>
                  </w:pPr>
                  <w:r>
                    <w:rPr>
                      <w:rFonts w:hint="default" w:ascii="Times New Roman" w:hAnsi="Times New Roman" w:eastAsia="宋体" w:cs="Times New Roman"/>
                      <w:i w:val="0"/>
                      <w:iCs w:val="0"/>
                      <w:color w:val="auto"/>
                      <w:kern w:val="0"/>
                      <w:sz w:val="21"/>
                      <w:szCs w:val="21"/>
                      <w:u w:val="none" w:color="auto"/>
                      <w:lang w:val="en-US" w:eastAsia="zh-CN" w:bidi="ar"/>
                    </w:rPr>
                    <w:t>2.19</w:t>
                  </w:r>
                </w:p>
              </w:tc>
              <w:tc>
                <w:tcPr>
                  <w:tcW w:w="874" w:type="pct"/>
                  <w:tcBorders>
                    <w:tl2br w:val="nil"/>
                    <w:tr2bl w:val="nil"/>
                  </w:tcBorders>
                  <w:shd w:val="clear" w:color="auto" w:fill="auto"/>
                  <w:noWrap w:val="0"/>
                  <w:vAlign w:val="top"/>
                </w:tcPr>
                <w:p w14:paraId="3675EC10">
                  <w:pPr>
                    <w:keepNext w:val="0"/>
                    <w:keepLines w:val="0"/>
                    <w:widowControl/>
                    <w:suppressLineNumbers w:val="0"/>
                    <w:jc w:val="center"/>
                    <w:textAlignment w:val="top"/>
                    <w:rPr>
                      <w:rFonts w:hint="default" w:ascii="Times New Roman" w:hAnsi="Times New Roman" w:eastAsia="宋体" w:cs="Times New Roman"/>
                      <w:color w:val="auto"/>
                      <w:kern w:val="2"/>
                      <w:sz w:val="21"/>
                      <w:szCs w:val="24"/>
                      <w:u w:val="none" w:color="auto"/>
                      <w:lang w:val="en-US" w:eastAsia="zh-CN" w:bidi="ar-SA"/>
                    </w:rPr>
                  </w:pPr>
                  <w:r>
                    <w:rPr>
                      <w:rFonts w:hint="default" w:ascii="Times New Roman" w:hAnsi="Times New Roman" w:eastAsia="宋体" w:cs="Times New Roman"/>
                      <w:i w:val="0"/>
                      <w:iCs w:val="0"/>
                      <w:color w:val="auto"/>
                      <w:kern w:val="0"/>
                      <w:sz w:val="21"/>
                      <w:szCs w:val="21"/>
                      <w:u w:val="none" w:color="auto"/>
                      <w:lang w:val="en-US" w:eastAsia="zh-CN" w:bidi="ar"/>
                    </w:rPr>
                    <w:t>0.0219</w:t>
                  </w:r>
                </w:p>
              </w:tc>
              <w:tc>
                <w:tcPr>
                  <w:tcW w:w="962" w:type="pct"/>
                  <w:tcBorders>
                    <w:tl2br w:val="nil"/>
                    <w:tr2bl w:val="nil"/>
                  </w:tcBorders>
                  <w:shd w:val="clear" w:color="auto" w:fill="auto"/>
                  <w:noWrap w:val="0"/>
                  <w:vAlign w:val="top"/>
                </w:tcPr>
                <w:p w14:paraId="19945778">
                  <w:pPr>
                    <w:keepNext w:val="0"/>
                    <w:keepLines w:val="0"/>
                    <w:widowControl/>
                    <w:suppressLineNumbers w:val="0"/>
                    <w:jc w:val="center"/>
                    <w:textAlignment w:val="top"/>
                    <w:rPr>
                      <w:rFonts w:hint="default" w:ascii="Times New Roman" w:hAnsi="Times New Roman" w:eastAsia="宋体" w:cs="Times New Roman"/>
                      <w:color w:val="auto"/>
                      <w:kern w:val="0"/>
                      <w:sz w:val="21"/>
                      <w:szCs w:val="24"/>
                      <w:u w:val="none" w:color="auto"/>
                      <w:lang w:val="en-US" w:eastAsia="zh-CN" w:bidi="ar-SA"/>
                    </w:rPr>
                  </w:pPr>
                  <w:r>
                    <w:rPr>
                      <w:rFonts w:hint="default" w:ascii="Times New Roman" w:hAnsi="Times New Roman" w:eastAsia="宋体" w:cs="Times New Roman"/>
                      <w:i w:val="0"/>
                      <w:iCs w:val="0"/>
                      <w:color w:val="auto"/>
                      <w:kern w:val="0"/>
                      <w:sz w:val="21"/>
                      <w:szCs w:val="21"/>
                      <w:u w:val="none" w:color="auto"/>
                      <w:lang w:val="en-US" w:eastAsia="zh-CN" w:bidi="ar"/>
                    </w:rPr>
                    <w:t>0.1738</w:t>
                  </w:r>
                </w:p>
              </w:tc>
            </w:tr>
            <w:tr w14:paraId="6A6E181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69" w:hRule="atLeast"/>
                <w:jc w:val="center"/>
              </w:trPr>
              <w:tc>
                <w:tcPr>
                  <w:tcW w:w="262" w:type="pct"/>
                  <w:vMerge w:val="continue"/>
                  <w:tcBorders>
                    <w:tl2br w:val="nil"/>
                    <w:tr2bl w:val="nil"/>
                  </w:tcBorders>
                  <w:noWrap w:val="0"/>
                  <w:vAlign w:val="center"/>
                </w:tcPr>
                <w:p w14:paraId="41272E03">
                  <w:pPr>
                    <w:jc w:val="center"/>
                    <w:rPr>
                      <w:rFonts w:hint="default" w:ascii="Times New Roman" w:hAnsi="Times New Roman" w:eastAsia="宋体" w:cs="Times New Roman"/>
                      <w:color w:val="auto"/>
                      <w:u w:val="none" w:color="auto"/>
                    </w:rPr>
                  </w:pPr>
                </w:p>
              </w:tc>
              <w:tc>
                <w:tcPr>
                  <w:tcW w:w="522" w:type="pct"/>
                  <w:vMerge w:val="continue"/>
                  <w:tcBorders>
                    <w:tl2br w:val="nil"/>
                    <w:tr2bl w:val="nil"/>
                  </w:tcBorders>
                  <w:noWrap w:val="0"/>
                  <w:vAlign w:val="center"/>
                </w:tcPr>
                <w:p w14:paraId="2541F160">
                  <w:pPr>
                    <w:adjustRightInd w:val="0"/>
                    <w:snapToGrid w:val="0"/>
                    <w:jc w:val="center"/>
                    <w:rPr>
                      <w:rFonts w:hint="default" w:ascii="Times New Roman" w:hAnsi="Times New Roman" w:eastAsia="宋体" w:cs="Times New Roman"/>
                      <w:color w:val="auto"/>
                      <w:u w:val="none" w:color="auto"/>
                      <w:lang w:val="en-US" w:eastAsia="zh-CN"/>
                    </w:rPr>
                  </w:pPr>
                </w:p>
              </w:tc>
              <w:tc>
                <w:tcPr>
                  <w:tcW w:w="534" w:type="pct"/>
                  <w:gridSpan w:val="2"/>
                  <w:vMerge w:val="continue"/>
                  <w:tcBorders>
                    <w:tl2br w:val="nil"/>
                    <w:tr2bl w:val="nil"/>
                  </w:tcBorders>
                  <w:noWrap w:val="0"/>
                  <w:vAlign w:val="center"/>
                </w:tcPr>
                <w:p w14:paraId="1BCA5F0F">
                  <w:pPr>
                    <w:pStyle w:val="46"/>
                    <w:rPr>
                      <w:rFonts w:hint="default" w:ascii="Times New Roman" w:hAnsi="Times New Roman" w:eastAsia="宋体" w:cs="Times New Roman"/>
                      <w:color w:val="auto"/>
                      <w:u w:val="none" w:color="auto"/>
                    </w:rPr>
                  </w:pPr>
                </w:p>
              </w:tc>
              <w:tc>
                <w:tcPr>
                  <w:tcW w:w="913" w:type="pct"/>
                  <w:tcBorders>
                    <w:tl2br w:val="nil"/>
                    <w:tr2bl w:val="nil"/>
                  </w:tcBorders>
                  <w:shd w:val="clear" w:color="auto" w:fill="auto"/>
                  <w:noWrap w:val="0"/>
                  <w:vAlign w:val="center"/>
                </w:tcPr>
                <w:p w14:paraId="65B5C036">
                  <w:pPr>
                    <w:pStyle w:val="2"/>
                    <w:keepNext w:val="0"/>
                    <w:keepLines w:val="0"/>
                    <w:pageBreakBefore w:val="0"/>
                    <w:widowControl/>
                    <w:kinsoku/>
                    <w:wordWrap/>
                    <w:overflowPunct/>
                    <w:topLinePunct w:val="0"/>
                    <w:autoSpaceDE/>
                    <w:autoSpaceDN/>
                    <w:bidi w:val="0"/>
                    <w:adjustRightInd/>
                    <w:snapToGrid/>
                    <w:spacing w:before="0" w:after="0" w:line="240" w:lineRule="auto"/>
                    <w:ind w:right="113" w:rightChars="0"/>
                    <w:jc w:val="center"/>
                    <w:rPr>
                      <w:rFonts w:hint="default" w:ascii="Times New Roman" w:hAnsi="Times New Roman" w:eastAsia="宋体" w:cs="Times New Roman"/>
                      <w:color w:val="auto"/>
                      <w:kern w:val="0"/>
                      <w:sz w:val="18"/>
                      <w:szCs w:val="18"/>
                      <w:u w:val="none" w:color="auto"/>
                      <w:lang w:val="en-US" w:eastAsia="zh-CN" w:bidi="ar-SA"/>
                    </w:rPr>
                  </w:pPr>
                  <w:r>
                    <w:rPr>
                      <w:rFonts w:hint="default" w:ascii="Times New Roman" w:hAnsi="Times New Roman" w:eastAsia="宋体" w:cs="Times New Roman"/>
                      <w:color w:val="auto"/>
                      <w:sz w:val="21"/>
                      <w:szCs w:val="21"/>
                      <w:u w:val="none" w:color="auto"/>
                      <w:vertAlign w:val="baseline"/>
                      <w:lang w:val="en-US" w:eastAsia="zh-CN"/>
                    </w:rPr>
                    <w:t>非甲烷总烃</w:t>
                  </w:r>
                </w:p>
              </w:tc>
              <w:tc>
                <w:tcPr>
                  <w:tcW w:w="930" w:type="pct"/>
                  <w:tcBorders>
                    <w:tl2br w:val="nil"/>
                    <w:tr2bl w:val="nil"/>
                  </w:tcBorders>
                  <w:shd w:val="clear" w:color="auto" w:fill="auto"/>
                  <w:noWrap w:val="0"/>
                  <w:vAlign w:val="top"/>
                </w:tcPr>
                <w:p w14:paraId="5D36B119">
                  <w:pPr>
                    <w:keepNext w:val="0"/>
                    <w:keepLines w:val="0"/>
                    <w:widowControl/>
                    <w:suppressLineNumbers w:val="0"/>
                    <w:jc w:val="center"/>
                    <w:textAlignment w:val="top"/>
                    <w:rPr>
                      <w:rFonts w:hint="default" w:ascii="Times New Roman" w:hAnsi="Times New Roman" w:eastAsia="宋体" w:cs="Times New Roman"/>
                      <w:color w:val="auto"/>
                      <w:kern w:val="2"/>
                      <w:sz w:val="21"/>
                      <w:szCs w:val="24"/>
                      <w:u w:val="none" w:color="auto"/>
                      <w:lang w:val="en-US" w:eastAsia="zh-CN" w:bidi="ar-SA"/>
                    </w:rPr>
                  </w:pPr>
                  <w:r>
                    <w:rPr>
                      <w:rFonts w:hint="default" w:ascii="Times New Roman" w:hAnsi="Times New Roman" w:eastAsia="宋体" w:cs="Times New Roman"/>
                      <w:i w:val="0"/>
                      <w:iCs w:val="0"/>
                      <w:color w:val="auto"/>
                      <w:kern w:val="0"/>
                      <w:sz w:val="21"/>
                      <w:szCs w:val="21"/>
                      <w:u w:val="none" w:color="auto"/>
                      <w:lang w:val="en-US" w:eastAsia="zh-CN" w:bidi="ar"/>
                    </w:rPr>
                    <w:t>21.32</w:t>
                  </w:r>
                </w:p>
              </w:tc>
              <w:tc>
                <w:tcPr>
                  <w:tcW w:w="874" w:type="pct"/>
                  <w:tcBorders>
                    <w:tl2br w:val="nil"/>
                    <w:tr2bl w:val="nil"/>
                  </w:tcBorders>
                  <w:shd w:val="clear" w:color="auto" w:fill="auto"/>
                  <w:noWrap w:val="0"/>
                  <w:vAlign w:val="top"/>
                </w:tcPr>
                <w:p w14:paraId="543496B3">
                  <w:pPr>
                    <w:keepNext w:val="0"/>
                    <w:keepLines w:val="0"/>
                    <w:widowControl/>
                    <w:suppressLineNumbers w:val="0"/>
                    <w:jc w:val="center"/>
                    <w:textAlignment w:val="top"/>
                    <w:rPr>
                      <w:rFonts w:hint="default" w:ascii="Times New Roman" w:hAnsi="Times New Roman" w:eastAsia="宋体" w:cs="Times New Roman"/>
                      <w:color w:val="auto"/>
                      <w:kern w:val="2"/>
                      <w:sz w:val="21"/>
                      <w:szCs w:val="24"/>
                      <w:u w:val="none" w:color="auto"/>
                      <w:lang w:val="en-US" w:eastAsia="zh-CN" w:bidi="ar-SA"/>
                    </w:rPr>
                  </w:pPr>
                  <w:r>
                    <w:rPr>
                      <w:rFonts w:hint="default" w:ascii="Times New Roman" w:hAnsi="Times New Roman" w:eastAsia="宋体" w:cs="Times New Roman"/>
                      <w:i w:val="0"/>
                      <w:iCs w:val="0"/>
                      <w:color w:val="auto"/>
                      <w:kern w:val="0"/>
                      <w:sz w:val="21"/>
                      <w:szCs w:val="21"/>
                      <w:u w:val="none" w:color="auto"/>
                      <w:lang w:val="en-US" w:eastAsia="zh-CN" w:bidi="ar"/>
                    </w:rPr>
                    <w:t>0.2132</w:t>
                  </w:r>
                </w:p>
              </w:tc>
              <w:tc>
                <w:tcPr>
                  <w:tcW w:w="962" w:type="pct"/>
                  <w:tcBorders>
                    <w:tl2br w:val="nil"/>
                    <w:tr2bl w:val="nil"/>
                  </w:tcBorders>
                  <w:shd w:val="clear" w:color="auto" w:fill="auto"/>
                  <w:noWrap w:val="0"/>
                  <w:vAlign w:val="top"/>
                </w:tcPr>
                <w:p w14:paraId="0047BD63">
                  <w:pPr>
                    <w:keepNext w:val="0"/>
                    <w:keepLines w:val="0"/>
                    <w:widowControl/>
                    <w:suppressLineNumbers w:val="0"/>
                    <w:jc w:val="center"/>
                    <w:textAlignment w:val="top"/>
                    <w:rPr>
                      <w:rFonts w:hint="default" w:ascii="Times New Roman" w:hAnsi="Times New Roman" w:eastAsia="宋体" w:cs="Times New Roman"/>
                      <w:color w:val="auto"/>
                      <w:kern w:val="2"/>
                      <w:sz w:val="21"/>
                      <w:szCs w:val="24"/>
                      <w:u w:val="none" w:color="auto"/>
                      <w:lang w:val="en-US" w:eastAsia="zh-CN" w:bidi="ar-SA"/>
                    </w:rPr>
                  </w:pPr>
                  <w:r>
                    <w:rPr>
                      <w:rFonts w:hint="default" w:ascii="Times New Roman" w:hAnsi="Times New Roman" w:eastAsia="宋体" w:cs="Times New Roman"/>
                      <w:i w:val="0"/>
                      <w:iCs w:val="0"/>
                      <w:color w:val="auto"/>
                      <w:kern w:val="0"/>
                      <w:sz w:val="21"/>
                      <w:szCs w:val="21"/>
                      <w:u w:val="none" w:color="auto"/>
                      <w:lang w:val="en-US" w:eastAsia="zh-CN" w:bidi="ar"/>
                    </w:rPr>
                    <w:t>1.6889</w:t>
                  </w:r>
                </w:p>
              </w:tc>
            </w:tr>
            <w:tr w14:paraId="1A32B58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69" w:hRule="atLeast"/>
                <w:jc w:val="center"/>
              </w:trPr>
              <w:tc>
                <w:tcPr>
                  <w:tcW w:w="262" w:type="pct"/>
                  <w:tcBorders>
                    <w:tl2br w:val="nil"/>
                    <w:tr2bl w:val="nil"/>
                  </w:tcBorders>
                  <w:noWrap w:val="0"/>
                  <w:vAlign w:val="center"/>
                </w:tcPr>
                <w:p w14:paraId="2933519F">
                  <w:pPr>
                    <w:jc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2</w:t>
                  </w:r>
                </w:p>
              </w:tc>
              <w:tc>
                <w:tcPr>
                  <w:tcW w:w="522" w:type="pct"/>
                  <w:tcBorders>
                    <w:tl2br w:val="nil"/>
                    <w:tr2bl w:val="nil"/>
                  </w:tcBorders>
                  <w:noWrap w:val="0"/>
                  <w:vAlign w:val="center"/>
                </w:tcPr>
                <w:p w14:paraId="57E9F4A4">
                  <w:pPr>
                    <w:adjustRightInd w:val="0"/>
                    <w:snapToGrid w:val="0"/>
                    <w:jc w:val="center"/>
                    <w:rPr>
                      <w:rFonts w:hint="default" w:ascii="Times New Roman" w:hAnsi="Times New Roman" w:eastAsia="宋体" w:cs="Times New Roman"/>
                      <w:color w:val="auto"/>
                      <w:kern w:val="0"/>
                      <w:u w:val="none" w:color="auto"/>
                      <w:lang w:bidi="ar"/>
                    </w:rPr>
                  </w:pPr>
                  <w:r>
                    <w:rPr>
                      <w:rFonts w:hint="default" w:ascii="Times New Roman" w:hAnsi="Times New Roman" w:eastAsia="宋体" w:cs="Times New Roman"/>
                      <w:color w:val="auto"/>
                      <w:u w:val="none" w:color="auto"/>
                    </w:rPr>
                    <w:t>临港高新产业园区</w:t>
                  </w:r>
                </w:p>
              </w:tc>
              <w:tc>
                <w:tcPr>
                  <w:tcW w:w="534" w:type="pct"/>
                  <w:gridSpan w:val="2"/>
                  <w:tcBorders>
                    <w:tl2br w:val="nil"/>
                    <w:tr2bl w:val="nil"/>
                  </w:tcBorders>
                  <w:noWrap w:val="0"/>
                  <w:vAlign w:val="center"/>
                </w:tcPr>
                <w:p w14:paraId="417E4564">
                  <w:pPr>
                    <w:widowControl/>
                    <w:jc w:val="center"/>
                    <w:textAlignment w:val="center"/>
                    <w:rPr>
                      <w:rFonts w:hint="default" w:ascii="Times New Roman" w:hAnsi="Times New Roman" w:eastAsia="宋体" w:cs="Times New Roman"/>
                      <w:color w:val="auto"/>
                      <w:kern w:val="0"/>
                      <w:u w:val="none" w:color="auto"/>
                      <w:lang w:val="en-US" w:eastAsia="zh-CN" w:bidi="ar"/>
                    </w:rPr>
                  </w:pPr>
                  <w:r>
                    <w:rPr>
                      <w:rFonts w:hint="default" w:ascii="Times New Roman" w:hAnsi="Times New Roman" w:eastAsia="宋体" w:cs="Times New Roman"/>
                      <w:color w:val="auto"/>
                      <w:kern w:val="0"/>
                      <w:u w:val="none" w:color="auto"/>
                      <w:lang w:val="en-US" w:eastAsia="zh-CN" w:bidi="ar"/>
                    </w:rPr>
                    <w:t>DA012</w:t>
                  </w:r>
                </w:p>
              </w:tc>
              <w:tc>
                <w:tcPr>
                  <w:tcW w:w="913" w:type="pct"/>
                  <w:tcBorders>
                    <w:tl2br w:val="nil"/>
                    <w:tr2bl w:val="nil"/>
                  </w:tcBorders>
                  <w:noWrap w:val="0"/>
                  <w:vAlign w:val="center"/>
                </w:tcPr>
                <w:p w14:paraId="059863FB">
                  <w:pPr>
                    <w:tabs>
                      <w:tab w:val="left" w:pos="4325"/>
                    </w:tabs>
                    <w:kinsoku w:val="0"/>
                    <w:overflowPunct w:val="0"/>
                    <w:autoSpaceDE w:val="0"/>
                    <w:autoSpaceDN w:val="0"/>
                    <w:jc w:val="center"/>
                    <w:rPr>
                      <w:rFonts w:hint="default" w:ascii="Times New Roman" w:hAnsi="Times New Roman" w:eastAsia="宋体" w:cs="Times New Roman"/>
                      <w:color w:val="auto"/>
                      <w:kern w:val="0"/>
                      <w:u w:val="none" w:color="auto"/>
                    </w:rPr>
                  </w:pPr>
                  <w:r>
                    <w:rPr>
                      <w:rFonts w:hint="default" w:ascii="Times New Roman" w:hAnsi="Times New Roman" w:eastAsia="宋体" w:cs="Times New Roman"/>
                      <w:color w:val="auto"/>
                      <w:sz w:val="21"/>
                      <w:szCs w:val="21"/>
                      <w:u w:val="none" w:color="auto"/>
                      <w:vertAlign w:val="baseline"/>
                      <w:lang w:val="en-US" w:eastAsia="zh-CN"/>
                    </w:rPr>
                    <w:t>非甲烷总烃</w:t>
                  </w:r>
                </w:p>
              </w:tc>
              <w:tc>
                <w:tcPr>
                  <w:tcW w:w="930" w:type="pct"/>
                  <w:tcBorders>
                    <w:tl2br w:val="nil"/>
                    <w:tr2bl w:val="nil"/>
                  </w:tcBorders>
                  <w:noWrap w:val="0"/>
                  <w:vAlign w:val="center"/>
                </w:tcPr>
                <w:p w14:paraId="4AE5C2F4">
                  <w:pPr>
                    <w:jc w:val="center"/>
                    <w:rPr>
                      <w:rFonts w:hint="default" w:ascii="Times New Roman" w:hAnsi="Times New Roman" w:eastAsia="宋体" w:cs="Times New Roman"/>
                      <w:color w:val="auto"/>
                      <w:sz w:val="22"/>
                      <w:szCs w:val="22"/>
                      <w:u w:val="none" w:color="auto"/>
                      <w:lang w:val="en-US" w:eastAsia="zh-CN"/>
                    </w:rPr>
                  </w:pPr>
                  <w:r>
                    <w:rPr>
                      <w:rFonts w:hint="default" w:ascii="Times New Roman" w:hAnsi="Times New Roman" w:eastAsia="宋体" w:cs="Times New Roman"/>
                      <w:color w:val="auto"/>
                      <w:sz w:val="22"/>
                      <w:szCs w:val="22"/>
                      <w:u w:val="none" w:color="auto"/>
                      <w:lang w:val="en-US" w:eastAsia="zh-CN"/>
                    </w:rPr>
                    <w:t>6.84</w:t>
                  </w:r>
                </w:p>
              </w:tc>
              <w:tc>
                <w:tcPr>
                  <w:tcW w:w="874" w:type="pct"/>
                  <w:tcBorders>
                    <w:tl2br w:val="nil"/>
                    <w:tr2bl w:val="nil"/>
                  </w:tcBorders>
                  <w:noWrap w:val="0"/>
                  <w:vAlign w:val="center"/>
                </w:tcPr>
                <w:p w14:paraId="22F675A8">
                  <w:pPr>
                    <w:jc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0.0342</w:t>
                  </w:r>
                </w:p>
              </w:tc>
              <w:tc>
                <w:tcPr>
                  <w:tcW w:w="962" w:type="pct"/>
                  <w:tcBorders>
                    <w:tl2br w:val="nil"/>
                    <w:tr2bl w:val="nil"/>
                  </w:tcBorders>
                  <w:noWrap w:val="0"/>
                  <w:vAlign w:val="center"/>
                </w:tcPr>
                <w:p w14:paraId="10D90AAA">
                  <w:pPr>
                    <w:jc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0.0539</w:t>
                  </w:r>
                </w:p>
              </w:tc>
            </w:tr>
            <w:tr w14:paraId="288EFB5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319" w:type="pct"/>
                  <w:gridSpan w:val="4"/>
                  <w:vMerge w:val="restart"/>
                  <w:tcBorders>
                    <w:tl2br w:val="nil"/>
                    <w:tr2bl w:val="nil"/>
                  </w:tcBorders>
                  <w:noWrap w:val="0"/>
                  <w:vAlign w:val="center"/>
                </w:tcPr>
                <w:p w14:paraId="6F491E95">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val="en-US" w:eastAsia="zh-CN"/>
                    </w:rPr>
                    <w:t>有组织</w:t>
                  </w:r>
                  <w:r>
                    <w:rPr>
                      <w:rFonts w:hint="default" w:ascii="Times New Roman" w:hAnsi="Times New Roman" w:eastAsia="宋体" w:cs="Times New Roman"/>
                      <w:color w:val="auto"/>
                      <w:u w:val="none" w:color="auto"/>
                    </w:rPr>
                    <w:t>排放口合计</w:t>
                  </w:r>
                </w:p>
              </w:tc>
              <w:tc>
                <w:tcPr>
                  <w:tcW w:w="2718" w:type="pct"/>
                  <w:gridSpan w:val="3"/>
                  <w:tcBorders>
                    <w:tl2br w:val="nil"/>
                    <w:tr2bl w:val="nil"/>
                  </w:tcBorders>
                  <w:noWrap w:val="0"/>
                  <w:vAlign w:val="center"/>
                </w:tcPr>
                <w:p w14:paraId="03B8D6A2">
                  <w:pPr>
                    <w:keepNext w:val="0"/>
                    <w:keepLines w:val="0"/>
                    <w:widowControl/>
                    <w:suppressLineNumbers w:val="0"/>
                    <w:jc w:val="center"/>
                    <w:textAlignment w:val="center"/>
                    <w:rPr>
                      <w:rFonts w:hint="default" w:ascii="Times New Roman" w:hAnsi="Times New Roman" w:eastAsia="宋体" w:cs="Times New Roman"/>
                      <w:color w:val="auto"/>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颗粒物</w:t>
                  </w:r>
                </w:p>
              </w:tc>
              <w:tc>
                <w:tcPr>
                  <w:tcW w:w="962" w:type="pct"/>
                  <w:tcBorders>
                    <w:tl2br w:val="nil"/>
                    <w:tr2bl w:val="nil"/>
                  </w:tcBorders>
                  <w:noWrap w:val="0"/>
                  <w:vAlign w:val="center"/>
                </w:tcPr>
                <w:p w14:paraId="2B3E724B">
                  <w:pPr>
                    <w:keepNext w:val="0"/>
                    <w:keepLines w:val="0"/>
                    <w:widowControl/>
                    <w:suppressLineNumbers w:val="0"/>
                    <w:jc w:val="center"/>
                    <w:textAlignment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0.4283</w:t>
                  </w:r>
                </w:p>
              </w:tc>
            </w:tr>
            <w:tr w14:paraId="26237CC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319" w:type="pct"/>
                  <w:gridSpan w:val="4"/>
                  <w:vMerge w:val="continue"/>
                  <w:tcBorders>
                    <w:tl2br w:val="nil"/>
                    <w:tr2bl w:val="nil"/>
                  </w:tcBorders>
                  <w:noWrap w:val="0"/>
                  <w:vAlign w:val="center"/>
                </w:tcPr>
                <w:p w14:paraId="57E25A7F">
                  <w:pPr>
                    <w:jc w:val="center"/>
                    <w:rPr>
                      <w:rFonts w:hint="default" w:ascii="Times New Roman" w:hAnsi="Times New Roman" w:eastAsia="宋体" w:cs="Times New Roman"/>
                      <w:color w:val="auto"/>
                      <w:u w:val="none" w:color="auto"/>
                    </w:rPr>
                  </w:pPr>
                </w:p>
              </w:tc>
              <w:tc>
                <w:tcPr>
                  <w:tcW w:w="2718" w:type="pct"/>
                  <w:gridSpan w:val="3"/>
                  <w:tcBorders>
                    <w:tl2br w:val="nil"/>
                    <w:tr2bl w:val="nil"/>
                  </w:tcBorders>
                  <w:noWrap w:val="0"/>
                  <w:vAlign w:val="center"/>
                </w:tcPr>
                <w:p w14:paraId="1A35EFEE">
                  <w:pPr>
                    <w:keepNext w:val="0"/>
                    <w:keepLines w:val="0"/>
                    <w:widowControl/>
                    <w:suppressLineNumbers w:val="0"/>
                    <w:jc w:val="center"/>
                    <w:textAlignment w:val="center"/>
                    <w:rPr>
                      <w:rFonts w:hint="default" w:ascii="Times New Roman" w:hAnsi="Times New Roman" w:eastAsia="宋体" w:cs="Times New Roman"/>
                      <w:color w:val="auto"/>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SO</w:t>
                  </w:r>
                  <w:r>
                    <w:rPr>
                      <w:rFonts w:hint="default" w:ascii="Times New Roman" w:hAnsi="Times New Roman" w:eastAsia="宋体" w:cs="Times New Roman"/>
                      <w:i w:val="0"/>
                      <w:iCs w:val="0"/>
                      <w:color w:val="auto"/>
                      <w:kern w:val="0"/>
                      <w:sz w:val="21"/>
                      <w:szCs w:val="21"/>
                      <w:u w:val="none" w:color="auto"/>
                      <w:vertAlign w:val="subscript"/>
                      <w:lang w:val="en-US" w:eastAsia="zh-CN" w:bidi="ar"/>
                    </w:rPr>
                    <w:t>2</w:t>
                  </w:r>
                </w:p>
              </w:tc>
              <w:tc>
                <w:tcPr>
                  <w:tcW w:w="962" w:type="pct"/>
                  <w:tcBorders>
                    <w:tl2br w:val="nil"/>
                    <w:tr2bl w:val="nil"/>
                  </w:tcBorders>
                  <w:noWrap w:val="0"/>
                  <w:vAlign w:val="center"/>
                </w:tcPr>
                <w:p w14:paraId="532C263C">
                  <w:pPr>
                    <w:keepNext w:val="0"/>
                    <w:keepLines w:val="0"/>
                    <w:widowControl/>
                    <w:suppressLineNumbers w:val="0"/>
                    <w:jc w:val="center"/>
                    <w:textAlignment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5.0946</w:t>
                  </w:r>
                </w:p>
              </w:tc>
            </w:tr>
            <w:tr w14:paraId="4A0E102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319" w:type="pct"/>
                  <w:gridSpan w:val="4"/>
                  <w:vMerge w:val="continue"/>
                  <w:tcBorders>
                    <w:tl2br w:val="nil"/>
                    <w:tr2bl w:val="nil"/>
                  </w:tcBorders>
                  <w:noWrap w:val="0"/>
                  <w:vAlign w:val="center"/>
                </w:tcPr>
                <w:p w14:paraId="4B30623F">
                  <w:pPr>
                    <w:jc w:val="center"/>
                    <w:rPr>
                      <w:rFonts w:hint="default" w:ascii="Times New Roman" w:hAnsi="Times New Roman" w:eastAsia="宋体" w:cs="Times New Roman"/>
                      <w:color w:val="auto"/>
                      <w:u w:val="none" w:color="auto"/>
                    </w:rPr>
                  </w:pPr>
                </w:p>
              </w:tc>
              <w:tc>
                <w:tcPr>
                  <w:tcW w:w="2718" w:type="pct"/>
                  <w:gridSpan w:val="3"/>
                  <w:tcBorders>
                    <w:tl2br w:val="nil"/>
                    <w:tr2bl w:val="nil"/>
                  </w:tcBorders>
                  <w:noWrap w:val="0"/>
                  <w:vAlign w:val="center"/>
                </w:tcPr>
                <w:p w14:paraId="19E91E0B">
                  <w:pPr>
                    <w:keepNext w:val="0"/>
                    <w:keepLines w:val="0"/>
                    <w:widowControl/>
                    <w:suppressLineNumbers w:val="0"/>
                    <w:jc w:val="center"/>
                    <w:textAlignment w:val="center"/>
                    <w:rPr>
                      <w:rFonts w:hint="default" w:ascii="Times New Roman" w:hAnsi="Times New Roman" w:eastAsia="宋体" w:cs="Times New Roman"/>
                      <w:color w:val="auto"/>
                      <w:szCs w:val="18"/>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NO</w:t>
                  </w:r>
                  <w:r>
                    <w:rPr>
                      <w:rFonts w:hint="default" w:ascii="Times New Roman" w:hAnsi="Times New Roman" w:eastAsia="宋体" w:cs="Times New Roman"/>
                      <w:i w:val="0"/>
                      <w:iCs w:val="0"/>
                      <w:color w:val="auto"/>
                      <w:kern w:val="0"/>
                      <w:sz w:val="21"/>
                      <w:szCs w:val="21"/>
                      <w:u w:val="none" w:color="auto"/>
                      <w:vertAlign w:val="subscript"/>
                      <w:lang w:val="en-US" w:eastAsia="zh-CN" w:bidi="ar"/>
                    </w:rPr>
                    <w:t>x</w:t>
                  </w:r>
                </w:p>
              </w:tc>
              <w:tc>
                <w:tcPr>
                  <w:tcW w:w="962" w:type="pct"/>
                  <w:tcBorders>
                    <w:tl2br w:val="nil"/>
                    <w:tr2bl w:val="nil"/>
                  </w:tcBorders>
                  <w:noWrap w:val="0"/>
                  <w:vAlign w:val="center"/>
                </w:tcPr>
                <w:p w14:paraId="35AEFE6A">
                  <w:pPr>
                    <w:keepNext w:val="0"/>
                    <w:keepLines w:val="0"/>
                    <w:widowControl/>
                    <w:suppressLineNumbers w:val="0"/>
                    <w:jc w:val="center"/>
                    <w:textAlignment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10.35</w:t>
                  </w:r>
                </w:p>
              </w:tc>
            </w:tr>
            <w:tr w14:paraId="7563F9E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319" w:type="pct"/>
                  <w:gridSpan w:val="4"/>
                  <w:vMerge w:val="continue"/>
                  <w:tcBorders>
                    <w:tl2br w:val="nil"/>
                    <w:tr2bl w:val="nil"/>
                  </w:tcBorders>
                  <w:noWrap w:val="0"/>
                  <w:vAlign w:val="center"/>
                </w:tcPr>
                <w:p w14:paraId="0D949A6A">
                  <w:pPr>
                    <w:jc w:val="center"/>
                    <w:rPr>
                      <w:rFonts w:hint="default" w:ascii="Times New Roman" w:hAnsi="Times New Roman" w:eastAsia="宋体" w:cs="Times New Roman"/>
                      <w:color w:val="auto"/>
                      <w:u w:val="none" w:color="auto"/>
                    </w:rPr>
                  </w:pPr>
                </w:p>
              </w:tc>
              <w:tc>
                <w:tcPr>
                  <w:tcW w:w="2718" w:type="pct"/>
                  <w:gridSpan w:val="3"/>
                  <w:tcBorders>
                    <w:tl2br w:val="nil"/>
                    <w:tr2bl w:val="nil"/>
                  </w:tcBorders>
                  <w:noWrap w:val="0"/>
                  <w:vAlign w:val="center"/>
                </w:tcPr>
                <w:p w14:paraId="59A099C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非甲烷总烃</w:t>
                  </w:r>
                </w:p>
              </w:tc>
              <w:tc>
                <w:tcPr>
                  <w:tcW w:w="962" w:type="pct"/>
                  <w:tcBorders>
                    <w:tl2br w:val="nil"/>
                    <w:tr2bl w:val="nil"/>
                  </w:tcBorders>
                  <w:noWrap w:val="0"/>
                  <w:vAlign w:val="center"/>
                </w:tcPr>
                <w:p w14:paraId="582D8311">
                  <w:pPr>
                    <w:keepNext w:val="0"/>
                    <w:keepLines w:val="0"/>
                    <w:widowControl/>
                    <w:suppressLineNumbers w:val="0"/>
                    <w:jc w:val="center"/>
                    <w:textAlignment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1.7428</w:t>
                  </w:r>
                </w:p>
              </w:tc>
            </w:tr>
          </w:tbl>
          <w:p w14:paraId="023968EE">
            <w:pPr>
              <w:rPr>
                <w:rFonts w:hint="default" w:ascii="Times New Roman" w:hAnsi="Times New Roman" w:eastAsia="宋体" w:cs="Times New Roman"/>
                <w:b/>
                <w:bCs/>
                <w:color w:val="auto"/>
                <w:u w:val="none" w:color="auto"/>
                <w:lang w:val="en-US" w:eastAsia="zh-CN"/>
              </w:rPr>
            </w:pPr>
            <w:r>
              <w:rPr>
                <w:rFonts w:hint="default" w:ascii="Times New Roman" w:hAnsi="Times New Roman" w:eastAsia="宋体" w:cs="Times New Roman"/>
                <w:b/>
                <w:bCs/>
                <w:color w:val="auto"/>
                <w:u w:val="none" w:color="auto"/>
                <w:lang w:val="en-US" w:eastAsia="zh-CN"/>
              </w:rPr>
              <w:t>注：DA010排放浓度、排放速率为各工序同时生产时最大情形。</w:t>
            </w:r>
          </w:p>
          <w:p w14:paraId="17A2B26C">
            <w:pPr>
              <w:spacing w:line="360" w:lineRule="auto"/>
              <w:ind w:firstLine="480" w:firstLineChars="200"/>
              <w:outlineLvl w:val="9"/>
              <w:rPr>
                <w:rFonts w:hint="default" w:ascii="Times New Roman" w:hAnsi="Times New Roman" w:eastAsia="宋体" w:cs="Times New Roman"/>
                <w:color w:val="auto"/>
                <w:spacing w:val="0"/>
                <w:highlight w:val="none"/>
                <w:u w:val="none" w:color="auto"/>
              </w:rPr>
            </w:pPr>
            <w:r>
              <w:rPr>
                <w:rFonts w:hint="default" w:ascii="Times New Roman" w:hAnsi="Times New Roman" w:eastAsia="宋体" w:cs="Times New Roman"/>
                <w:color w:val="auto"/>
                <w:spacing w:val="0"/>
                <w:sz w:val="24"/>
                <w:highlight w:val="none"/>
                <w:u w:val="none" w:color="auto"/>
                <w:lang w:val="en-US" w:eastAsia="zh-CN" w:bidi="ar"/>
              </w:rPr>
              <w:t>（2）</w:t>
            </w:r>
            <w:r>
              <w:rPr>
                <w:rFonts w:hint="default" w:ascii="Times New Roman" w:hAnsi="Times New Roman" w:eastAsia="宋体" w:cs="Times New Roman"/>
                <w:color w:val="auto"/>
                <w:spacing w:val="0"/>
                <w:sz w:val="24"/>
                <w:szCs w:val="32"/>
                <w:highlight w:val="none"/>
                <w:u w:val="none" w:color="auto"/>
              </w:rPr>
              <w:t>无组织排放量核算</w:t>
            </w:r>
          </w:p>
          <w:p w14:paraId="56DE8C3F">
            <w:pPr>
              <w:pStyle w:val="45"/>
              <w:outlineLvl w:val="9"/>
              <w:rPr>
                <w:rFonts w:hint="default" w:ascii="Times New Roman" w:hAnsi="Times New Roman" w:eastAsia="宋体" w:cs="Times New Roman"/>
                <w:b/>
                <w:color w:val="auto"/>
                <w:spacing w:val="0"/>
                <w:highlight w:val="none"/>
                <w:u w:val="none" w:color="auto"/>
                <w:lang w:val="en-US" w:eastAsia="zh-CN"/>
              </w:rPr>
            </w:pPr>
            <w:r>
              <w:rPr>
                <w:rFonts w:hint="default" w:ascii="Times New Roman" w:hAnsi="Times New Roman" w:eastAsia="宋体" w:cs="Times New Roman"/>
                <w:b/>
                <w:color w:val="auto"/>
                <w:spacing w:val="0"/>
                <w:highlight w:val="none"/>
                <w:u w:val="none" w:color="auto"/>
                <w:lang w:val="en-US" w:eastAsia="zh-CN"/>
              </w:rPr>
              <w:t>表4-18  大气污染物无组织排放量核算表</w:t>
            </w:r>
          </w:p>
          <w:tbl>
            <w:tblPr>
              <w:tblStyle w:val="31"/>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427"/>
              <w:gridCol w:w="590"/>
              <w:gridCol w:w="893"/>
              <w:gridCol w:w="863"/>
              <w:gridCol w:w="1286"/>
              <w:gridCol w:w="1943"/>
              <w:gridCol w:w="1229"/>
              <w:gridCol w:w="925"/>
            </w:tblGrid>
            <w:tr w14:paraId="2B7A8AC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27" w:type="dxa"/>
                  <w:vMerge w:val="restart"/>
                  <w:tcBorders>
                    <w:tl2br w:val="nil"/>
                    <w:tr2bl w:val="nil"/>
                  </w:tcBorders>
                  <w:noWrap w:val="0"/>
                  <w:vAlign w:val="center"/>
                </w:tcPr>
                <w:p w14:paraId="61B076BA">
                  <w:pPr>
                    <w:jc w:val="center"/>
                    <w:outlineLvl w:val="9"/>
                    <w:rPr>
                      <w:rFonts w:hint="default" w:ascii="Times New Roman" w:hAnsi="Times New Roman" w:eastAsia="宋体" w:cs="Times New Roman"/>
                      <w:b/>
                      <w:bCs/>
                      <w:color w:val="auto"/>
                      <w:spacing w:val="0"/>
                      <w:sz w:val="21"/>
                      <w:szCs w:val="21"/>
                      <w:highlight w:val="none"/>
                      <w:u w:val="none" w:color="auto"/>
                    </w:rPr>
                  </w:pPr>
                  <w:r>
                    <w:rPr>
                      <w:rFonts w:hint="default" w:ascii="Times New Roman" w:hAnsi="Times New Roman" w:eastAsia="宋体" w:cs="Times New Roman"/>
                      <w:b/>
                      <w:bCs/>
                      <w:color w:val="auto"/>
                      <w:spacing w:val="0"/>
                      <w:sz w:val="21"/>
                      <w:szCs w:val="21"/>
                      <w:highlight w:val="none"/>
                      <w:u w:val="none" w:color="auto"/>
                    </w:rPr>
                    <w:t>序号</w:t>
                  </w:r>
                </w:p>
              </w:tc>
              <w:tc>
                <w:tcPr>
                  <w:tcW w:w="590" w:type="dxa"/>
                  <w:vMerge w:val="restart"/>
                  <w:tcBorders>
                    <w:tl2br w:val="nil"/>
                    <w:tr2bl w:val="nil"/>
                  </w:tcBorders>
                  <w:noWrap w:val="0"/>
                  <w:vAlign w:val="center"/>
                </w:tcPr>
                <w:p w14:paraId="355ECD40">
                  <w:pPr>
                    <w:jc w:val="center"/>
                    <w:outlineLvl w:val="9"/>
                    <w:rPr>
                      <w:rFonts w:hint="default" w:ascii="Times New Roman" w:hAnsi="Times New Roman" w:eastAsia="宋体" w:cs="Times New Roman"/>
                      <w:b/>
                      <w:bCs/>
                      <w:color w:val="auto"/>
                      <w:spacing w:val="0"/>
                      <w:sz w:val="21"/>
                      <w:szCs w:val="21"/>
                      <w:highlight w:val="none"/>
                      <w:u w:val="none" w:color="auto"/>
                    </w:rPr>
                  </w:pPr>
                  <w:r>
                    <w:rPr>
                      <w:rFonts w:hint="default" w:ascii="Times New Roman" w:hAnsi="Times New Roman" w:eastAsia="宋体" w:cs="Times New Roman"/>
                      <w:b/>
                      <w:bCs/>
                      <w:color w:val="auto"/>
                      <w:spacing w:val="0"/>
                      <w:sz w:val="21"/>
                      <w:szCs w:val="21"/>
                      <w:highlight w:val="none"/>
                      <w:u w:val="none" w:color="auto"/>
                    </w:rPr>
                    <w:t>排放口编号</w:t>
                  </w:r>
                </w:p>
              </w:tc>
              <w:tc>
                <w:tcPr>
                  <w:tcW w:w="893" w:type="dxa"/>
                  <w:vMerge w:val="restart"/>
                  <w:tcBorders>
                    <w:tl2br w:val="nil"/>
                    <w:tr2bl w:val="nil"/>
                  </w:tcBorders>
                  <w:noWrap w:val="0"/>
                  <w:vAlign w:val="center"/>
                </w:tcPr>
                <w:p w14:paraId="234B4036">
                  <w:pPr>
                    <w:jc w:val="center"/>
                    <w:outlineLvl w:val="9"/>
                    <w:rPr>
                      <w:rFonts w:hint="default" w:ascii="Times New Roman" w:hAnsi="Times New Roman" w:eastAsia="宋体" w:cs="Times New Roman"/>
                      <w:b/>
                      <w:bCs/>
                      <w:color w:val="auto"/>
                      <w:spacing w:val="0"/>
                      <w:sz w:val="21"/>
                      <w:szCs w:val="21"/>
                      <w:highlight w:val="none"/>
                      <w:u w:val="none" w:color="auto"/>
                    </w:rPr>
                  </w:pPr>
                  <w:r>
                    <w:rPr>
                      <w:rFonts w:hint="default" w:ascii="Times New Roman" w:hAnsi="Times New Roman" w:eastAsia="宋体" w:cs="Times New Roman"/>
                      <w:b/>
                      <w:bCs/>
                      <w:color w:val="auto"/>
                      <w:spacing w:val="0"/>
                      <w:sz w:val="21"/>
                      <w:szCs w:val="21"/>
                      <w:highlight w:val="none"/>
                      <w:u w:val="none" w:color="auto"/>
                    </w:rPr>
                    <w:t>产污环节</w:t>
                  </w:r>
                </w:p>
              </w:tc>
              <w:tc>
                <w:tcPr>
                  <w:tcW w:w="863" w:type="dxa"/>
                  <w:vMerge w:val="restart"/>
                  <w:tcBorders>
                    <w:tl2br w:val="nil"/>
                    <w:tr2bl w:val="nil"/>
                  </w:tcBorders>
                  <w:noWrap w:val="0"/>
                  <w:vAlign w:val="center"/>
                </w:tcPr>
                <w:p w14:paraId="36CE4576">
                  <w:pPr>
                    <w:jc w:val="center"/>
                    <w:outlineLvl w:val="9"/>
                    <w:rPr>
                      <w:rFonts w:hint="default" w:ascii="Times New Roman" w:hAnsi="Times New Roman" w:eastAsia="宋体" w:cs="Times New Roman"/>
                      <w:b/>
                      <w:bCs/>
                      <w:color w:val="auto"/>
                      <w:spacing w:val="0"/>
                      <w:sz w:val="21"/>
                      <w:szCs w:val="21"/>
                      <w:highlight w:val="none"/>
                      <w:u w:val="none" w:color="auto"/>
                    </w:rPr>
                  </w:pPr>
                  <w:r>
                    <w:rPr>
                      <w:rFonts w:hint="default" w:ascii="Times New Roman" w:hAnsi="Times New Roman" w:eastAsia="宋体" w:cs="Times New Roman"/>
                      <w:b/>
                      <w:bCs/>
                      <w:color w:val="auto"/>
                      <w:spacing w:val="0"/>
                      <w:sz w:val="21"/>
                      <w:szCs w:val="21"/>
                      <w:highlight w:val="none"/>
                      <w:u w:val="none" w:color="auto"/>
                    </w:rPr>
                    <w:t>污染物</w:t>
                  </w:r>
                </w:p>
              </w:tc>
              <w:tc>
                <w:tcPr>
                  <w:tcW w:w="1286" w:type="dxa"/>
                  <w:vMerge w:val="restart"/>
                  <w:tcBorders>
                    <w:tl2br w:val="nil"/>
                    <w:tr2bl w:val="nil"/>
                  </w:tcBorders>
                  <w:noWrap w:val="0"/>
                  <w:vAlign w:val="center"/>
                </w:tcPr>
                <w:p w14:paraId="58EE1127">
                  <w:pPr>
                    <w:jc w:val="center"/>
                    <w:outlineLvl w:val="9"/>
                    <w:rPr>
                      <w:rFonts w:hint="default" w:ascii="Times New Roman" w:hAnsi="Times New Roman" w:eastAsia="宋体" w:cs="Times New Roman"/>
                      <w:b/>
                      <w:bCs/>
                      <w:color w:val="auto"/>
                      <w:spacing w:val="0"/>
                      <w:sz w:val="21"/>
                      <w:szCs w:val="21"/>
                      <w:highlight w:val="none"/>
                      <w:u w:val="none" w:color="auto"/>
                    </w:rPr>
                  </w:pPr>
                  <w:r>
                    <w:rPr>
                      <w:rFonts w:hint="default" w:ascii="Times New Roman" w:hAnsi="Times New Roman" w:eastAsia="宋体" w:cs="Times New Roman"/>
                      <w:b/>
                      <w:bCs/>
                      <w:color w:val="auto"/>
                      <w:spacing w:val="0"/>
                      <w:sz w:val="21"/>
                      <w:szCs w:val="21"/>
                      <w:highlight w:val="none"/>
                      <w:u w:val="none" w:color="auto"/>
                    </w:rPr>
                    <w:t>主要污染防治措施</w:t>
                  </w:r>
                </w:p>
              </w:tc>
              <w:tc>
                <w:tcPr>
                  <w:tcW w:w="3172" w:type="dxa"/>
                  <w:gridSpan w:val="2"/>
                  <w:tcBorders>
                    <w:tl2br w:val="nil"/>
                    <w:tr2bl w:val="nil"/>
                  </w:tcBorders>
                  <w:noWrap w:val="0"/>
                  <w:vAlign w:val="center"/>
                </w:tcPr>
                <w:p w14:paraId="39BE9B15">
                  <w:pPr>
                    <w:jc w:val="center"/>
                    <w:outlineLvl w:val="9"/>
                    <w:rPr>
                      <w:rFonts w:hint="default" w:ascii="Times New Roman" w:hAnsi="Times New Roman" w:eastAsia="宋体" w:cs="Times New Roman"/>
                      <w:b/>
                      <w:bCs/>
                      <w:color w:val="auto"/>
                      <w:spacing w:val="0"/>
                      <w:sz w:val="21"/>
                      <w:szCs w:val="21"/>
                      <w:highlight w:val="none"/>
                      <w:u w:val="none" w:color="auto"/>
                    </w:rPr>
                  </w:pPr>
                  <w:r>
                    <w:rPr>
                      <w:rFonts w:hint="default" w:ascii="Times New Roman" w:hAnsi="Times New Roman" w:eastAsia="宋体" w:cs="Times New Roman"/>
                      <w:b/>
                      <w:bCs/>
                      <w:color w:val="auto"/>
                      <w:spacing w:val="0"/>
                      <w:sz w:val="21"/>
                      <w:szCs w:val="21"/>
                      <w:highlight w:val="none"/>
                      <w:u w:val="none" w:color="auto"/>
                    </w:rPr>
                    <w:t>国家或地方污染物排放标准</w:t>
                  </w:r>
                </w:p>
              </w:tc>
              <w:tc>
                <w:tcPr>
                  <w:tcW w:w="925" w:type="dxa"/>
                  <w:vMerge w:val="restart"/>
                  <w:tcBorders>
                    <w:tl2br w:val="nil"/>
                    <w:tr2bl w:val="nil"/>
                  </w:tcBorders>
                  <w:noWrap w:val="0"/>
                  <w:vAlign w:val="center"/>
                </w:tcPr>
                <w:p w14:paraId="34004896">
                  <w:pPr>
                    <w:jc w:val="center"/>
                    <w:outlineLvl w:val="9"/>
                    <w:rPr>
                      <w:rFonts w:hint="default" w:ascii="Times New Roman" w:hAnsi="Times New Roman" w:eastAsia="宋体" w:cs="Times New Roman"/>
                      <w:b/>
                      <w:bCs/>
                      <w:color w:val="auto"/>
                      <w:spacing w:val="0"/>
                      <w:sz w:val="21"/>
                      <w:szCs w:val="21"/>
                      <w:highlight w:val="none"/>
                      <w:u w:val="none" w:color="auto"/>
                    </w:rPr>
                  </w:pPr>
                  <w:r>
                    <w:rPr>
                      <w:rFonts w:hint="default" w:ascii="Times New Roman" w:hAnsi="Times New Roman" w:eastAsia="宋体" w:cs="Times New Roman"/>
                      <w:b/>
                      <w:bCs/>
                      <w:color w:val="auto"/>
                      <w:spacing w:val="0"/>
                      <w:sz w:val="21"/>
                      <w:szCs w:val="21"/>
                      <w:highlight w:val="none"/>
                      <w:u w:val="none" w:color="auto"/>
                    </w:rPr>
                    <w:t>年排放量</w:t>
                  </w:r>
                </w:p>
                <w:p w14:paraId="0CE28D27">
                  <w:pPr>
                    <w:jc w:val="center"/>
                    <w:outlineLvl w:val="9"/>
                    <w:rPr>
                      <w:rFonts w:hint="default" w:ascii="Times New Roman" w:hAnsi="Times New Roman" w:eastAsia="宋体" w:cs="Times New Roman"/>
                      <w:b/>
                      <w:bCs/>
                      <w:color w:val="auto"/>
                      <w:spacing w:val="0"/>
                      <w:sz w:val="21"/>
                      <w:szCs w:val="21"/>
                      <w:highlight w:val="none"/>
                      <w:u w:val="none" w:color="auto"/>
                    </w:rPr>
                  </w:pPr>
                  <w:r>
                    <w:rPr>
                      <w:rFonts w:hint="default" w:ascii="Times New Roman" w:hAnsi="Times New Roman" w:eastAsia="宋体" w:cs="Times New Roman"/>
                      <w:b/>
                      <w:bCs/>
                      <w:color w:val="auto"/>
                      <w:spacing w:val="0"/>
                      <w:sz w:val="21"/>
                      <w:szCs w:val="21"/>
                      <w:highlight w:val="none"/>
                      <w:u w:val="none" w:color="auto"/>
                    </w:rPr>
                    <w:t>（t/a）</w:t>
                  </w:r>
                </w:p>
              </w:tc>
            </w:tr>
            <w:tr w14:paraId="3A600EB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27" w:type="dxa"/>
                  <w:vMerge w:val="continue"/>
                  <w:tcBorders>
                    <w:tl2br w:val="nil"/>
                    <w:tr2bl w:val="nil"/>
                  </w:tcBorders>
                  <w:noWrap w:val="0"/>
                  <w:vAlign w:val="center"/>
                </w:tcPr>
                <w:p w14:paraId="5A191AF2">
                  <w:pPr>
                    <w:jc w:val="center"/>
                    <w:outlineLvl w:val="9"/>
                    <w:rPr>
                      <w:rFonts w:hint="default" w:ascii="Times New Roman" w:hAnsi="Times New Roman" w:eastAsia="宋体" w:cs="Times New Roman"/>
                      <w:color w:val="auto"/>
                      <w:spacing w:val="0"/>
                      <w:sz w:val="21"/>
                      <w:szCs w:val="21"/>
                      <w:highlight w:val="none"/>
                      <w:u w:val="none" w:color="auto"/>
                    </w:rPr>
                  </w:pPr>
                </w:p>
              </w:tc>
              <w:tc>
                <w:tcPr>
                  <w:tcW w:w="590" w:type="dxa"/>
                  <w:vMerge w:val="continue"/>
                  <w:tcBorders>
                    <w:tl2br w:val="nil"/>
                    <w:tr2bl w:val="nil"/>
                  </w:tcBorders>
                  <w:noWrap w:val="0"/>
                  <w:vAlign w:val="center"/>
                </w:tcPr>
                <w:p w14:paraId="31AC6E89">
                  <w:pPr>
                    <w:jc w:val="center"/>
                    <w:outlineLvl w:val="9"/>
                    <w:rPr>
                      <w:rFonts w:hint="default" w:ascii="Times New Roman" w:hAnsi="Times New Roman" w:eastAsia="宋体" w:cs="Times New Roman"/>
                      <w:color w:val="auto"/>
                      <w:spacing w:val="0"/>
                      <w:sz w:val="21"/>
                      <w:szCs w:val="21"/>
                      <w:highlight w:val="none"/>
                      <w:u w:val="none" w:color="auto"/>
                    </w:rPr>
                  </w:pPr>
                </w:p>
              </w:tc>
              <w:tc>
                <w:tcPr>
                  <w:tcW w:w="893" w:type="dxa"/>
                  <w:vMerge w:val="continue"/>
                  <w:tcBorders>
                    <w:tl2br w:val="nil"/>
                    <w:tr2bl w:val="nil"/>
                  </w:tcBorders>
                  <w:noWrap w:val="0"/>
                  <w:vAlign w:val="center"/>
                </w:tcPr>
                <w:p w14:paraId="757C9FFF">
                  <w:pPr>
                    <w:jc w:val="center"/>
                    <w:outlineLvl w:val="9"/>
                    <w:rPr>
                      <w:rFonts w:hint="default" w:ascii="Times New Roman" w:hAnsi="Times New Roman" w:eastAsia="宋体" w:cs="Times New Roman"/>
                      <w:color w:val="auto"/>
                      <w:spacing w:val="0"/>
                      <w:sz w:val="21"/>
                      <w:szCs w:val="21"/>
                      <w:highlight w:val="none"/>
                      <w:u w:val="none" w:color="auto"/>
                    </w:rPr>
                  </w:pPr>
                </w:p>
              </w:tc>
              <w:tc>
                <w:tcPr>
                  <w:tcW w:w="863" w:type="dxa"/>
                  <w:vMerge w:val="continue"/>
                  <w:tcBorders>
                    <w:tl2br w:val="nil"/>
                    <w:tr2bl w:val="nil"/>
                  </w:tcBorders>
                  <w:noWrap w:val="0"/>
                  <w:vAlign w:val="center"/>
                </w:tcPr>
                <w:p w14:paraId="2DADF703">
                  <w:pPr>
                    <w:jc w:val="center"/>
                    <w:outlineLvl w:val="9"/>
                    <w:rPr>
                      <w:rFonts w:hint="default" w:ascii="Times New Roman" w:hAnsi="Times New Roman" w:eastAsia="宋体" w:cs="Times New Roman"/>
                      <w:color w:val="auto"/>
                      <w:spacing w:val="0"/>
                      <w:sz w:val="21"/>
                      <w:szCs w:val="21"/>
                      <w:highlight w:val="none"/>
                      <w:u w:val="none" w:color="auto"/>
                    </w:rPr>
                  </w:pPr>
                </w:p>
              </w:tc>
              <w:tc>
                <w:tcPr>
                  <w:tcW w:w="1286" w:type="dxa"/>
                  <w:vMerge w:val="continue"/>
                  <w:tcBorders>
                    <w:tl2br w:val="nil"/>
                    <w:tr2bl w:val="nil"/>
                  </w:tcBorders>
                  <w:noWrap w:val="0"/>
                  <w:vAlign w:val="center"/>
                </w:tcPr>
                <w:p w14:paraId="20398102">
                  <w:pPr>
                    <w:jc w:val="center"/>
                    <w:outlineLvl w:val="9"/>
                    <w:rPr>
                      <w:rFonts w:hint="default" w:ascii="Times New Roman" w:hAnsi="Times New Roman" w:eastAsia="宋体" w:cs="Times New Roman"/>
                      <w:color w:val="auto"/>
                      <w:spacing w:val="0"/>
                      <w:sz w:val="21"/>
                      <w:szCs w:val="21"/>
                      <w:highlight w:val="none"/>
                      <w:u w:val="none" w:color="auto"/>
                    </w:rPr>
                  </w:pPr>
                </w:p>
              </w:tc>
              <w:tc>
                <w:tcPr>
                  <w:tcW w:w="1943" w:type="dxa"/>
                  <w:tcBorders>
                    <w:tl2br w:val="nil"/>
                    <w:tr2bl w:val="nil"/>
                  </w:tcBorders>
                  <w:noWrap w:val="0"/>
                  <w:vAlign w:val="center"/>
                </w:tcPr>
                <w:p w14:paraId="3FC9FDFC">
                  <w:pPr>
                    <w:jc w:val="center"/>
                    <w:outlineLvl w:val="9"/>
                    <w:rPr>
                      <w:rFonts w:hint="default" w:ascii="Times New Roman" w:hAnsi="Times New Roman" w:eastAsia="宋体" w:cs="Times New Roman"/>
                      <w:b/>
                      <w:bCs/>
                      <w:color w:val="auto"/>
                      <w:spacing w:val="0"/>
                      <w:sz w:val="21"/>
                      <w:szCs w:val="21"/>
                      <w:highlight w:val="none"/>
                      <w:u w:val="none" w:color="auto"/>
                    </w:rPr>
                  </w:pPr>
                  <w:r>
                    <w:rPr>
                      <w:rFonts w:hint="default" w:ascii="Times New Roman" w:hAnsi="Times New Roman" w:eastAsia="宋体" w:cs="Times New Roman"/>
                      <w:b/>
                      <w:bCs/>
                      <w:color w:val="auto"/>
                      <w:spacing w:val="0"/>
                      <w:sz w:val="21"/>
                      <w:szCs w:val="21"/>
                      <w:highlight w:val="none"/>
                      <w:u w:val="none" w:color="auto"/>
                    </w:rPr>
                    <w:t>标准名称</w:t>
                  </w:r>
                </w:p>
              </w:tc>
              <w:tc>
                <w:tcPr>
                  <w:tcW w:w="1229" w:type="dxa"/>
                  <w:tcBorders>
                    <w:tl2br w:val="nil"/>
                    <w:tr2bl w:val="nil"/>
                  </w:tcBorders>
                  <w:noWrap w:val="0"/>
                  <w:vAlign w:val="center"/>
                </w:tcPr>
                <w:p w14:paraId="3DF80297">
                  <w:pPr>
                    <w:jc w:val="center"/>
                    <w:outlineLvl w:val="9"/>
                    <w:rPr>
                      <w:rFonts w:hint="default" w:ascii="Times New Roman" w:hAnsi="Times New Roman" w:eastAsia="宋体" w:cs="Times New Roman"/>
                      <w:b/>
                      <w:bCs/>
                      <w:color w:val="auto"/>
                      <w:spacing w:val="0"/>
                      <w:sz w:val="21"/>
                      <w:szCs w:val="21"/>
                      <w:highlight w:val="none"/>
                      <w:u w:val="none" w:color="auto"/>
                    </w:rPr>
                  </w:pPr>
                  <w:r>
                    <w:rPr>
                      <w:rFonts w:hint="default" w:ascii="Times New Roman" w:hAnsi="Times New Roman" w:eastAsia="宋体" w:cs="Times New Roman"/>
                      <w:b/>
                      <w:bCs/>
                      <w:color w:val="auto"/>
                      <w:spacing w:val="0"/>
                      <w:sz w:val="21"/>
                      <w:szCs w:val="21"/>
                      <w:highlight w:val="none"/>
                      <w:u w:val="none" w:color="auto"/>
                    </w:rPr>
                    <w:t>浓度限值/（mg/m</w:t>
                  </w:r>
                  <w:r>
                    <w:rPr>
                      <w:rFonts w:hint="default" w:ascii="Times New Roman" w:hAnsi="Times New Roman" w:eastAsia="宋体" w:cs="Times New Roman"/>
                      <w:b/>
                      <w:bCs/>
                      <w:color w:val="auto"/>
                      <w:spacing w:val="0"/>
                      <w:sz w:val="21"/>
                      <w:szCs w:val="21"/>
                      <w:highlight w:val="none"/>
                      <w:u w:val="none" w:color="auto"/>
                      <w:vertAlign w:val="superscript"/>
                    </w:rPr>
                    <w:t>3</w:t>
                  </w:r>
                  <w:r>
                    <w:rPr>
                      <w:rFonts w:hint="default" w:ascii="Times New Roman" w:hAnsi="Times New Roman" w:eastAsia="宋体" w:cs="Times New Roman"/>
                      <w:b/>
                      <w:bCs/>
                      <w:color w:val="auto"/>
                      <w:spacing w:val="0"/>
                      <w:sz w:val="21"/>
                      <w:szCs w:val="21"/>
                      <w:highlight w:val="none"/>
                      <w:u w:val="none" w:color="auto"/>
                    </w:rPr>
                    <w:t>）</w:t>
                  </w:r>
                </w:p>
              </w:tc>
              <w:tc>
                <w:tcPr>
                  <w:tcW w:w="925" w:type="dxa"/>
                  <w:vMerge w:val="continue"/>
                  <w:tcBorders>
                    <w:tl2br w:val="nil"/>
                    <w:tr2bl w:val="nil"/>
                  </w:tcBorders>
                  <w:noWrap w:val="0"/>
                  <w:vAlign w:val="center"/>
                </w:tcPr>
                <w:p w14:paraId="50EB4100">
                  <w:pPr>
                    <w:jc w:val="center"/>
                    <w:outlineLvl w:val="9"/>
                    <w:rPr>
                      <w:rFonts w:hint="default" w:ascii="Times New Roman" w:hAnsi="Times New Roman" w:eastAsia="宋体" w:cs="Times New Roman"/>
                      <w:color w:val="auto"/>
                      <w:spacing w:val="0"/>
                      <w:sz w:val="21"/>
                      <w:szCs w:val="21"/>
                      <w:highlight w:val="none"/>
                      <w:u w:val="none" w:color="auto"/>
                    </w:rPr>
                  </w:pPr>
                </w:p>
              </w:tc>
            </w:tr>
            <w:tr w14:paraId="27D4637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27" w:type="dxa"/>
                  <w:vMerge w:val="restart"/>
                  <w:tcBorders>
                    <w:tl2br w:val="nil"/>
                    <w:tr2bl w:val="nil"/>
                  </w:tcBorders>
                  <w:noWrap w:val="0"/>
                  <w:vAlign w:val="center"/>
                </w:tcPr>
                <w:p w14:paraId="4A8C558D">
                  <w:pPr>
                    <w:jc w:val="center"/>
                    <w:outlineLvl w:val="9"/>
                    <w:rPr>
                      <w:rFonts w:hint="default" w:ascii="Times New Roman" w:hAnsi="Times New Roman" w:eastAsia="宋体" w:cs="Times New Roman"/>
                      <w:color w:val="auto"/>
                      <w:spacing w:val="0"/>
                      <w:sz w:val="21"/>
                      <w:szCs w:val="21"/>
                      <w:highlight w:val="none"/>
                      <w:u w:val="none" w:color="auto"/>
                    </w:rPr>
                  </w:pPr>
                  <w:r>
                    <w:rPr>
                      <w:rFonts w:hint="default" w:ascii="Times New Roman" w:hAnsi="Times New Roman" w:eastAsia="宋体" w:cs="Times New Roman"/>
                      <w:color w:val="auto"/>
                      <w:spacing w:val="0"/>
                      <w:sz w:val="21"/>
                      <w:szCs w:val="21"/>
                      <w:highlight w:val="none"/>
                      <w:u w:val="none" w:color="auto"/>
                    </w:rPr>
                    <w:t>1</w:t>
                  </w:r>
                </w:p>
              </w:tc>
              <w:tc>
                <w:tcPr>
                  <w:tcW w:w="590" w:type="dxa"/>
                  <w:vMerge w:val="restart"/>
                  <w:tcBorders>
                    <w:tl2br w:val="nil"/>
                    <w:tr2bl w:val="nil"/>
                  </w:tcBorders>
                  <w:noWrap w:val="0"/>
                  <w:vAlign w:val="center"/>
                </w:tcPr>
                <w:p w14:paraId="198277F0">
                  <w:pPr>
                    <w:jc w:val="center"/>
                    <w:outlineLvl w:val="9"/>
                    <w:rPr>
                      <w:rFonts w:hint="default" w:ascii="Times New Roman" w:hAnsi="Times New Roman" w:eastAsia="宋体" w:cs="Times New Roman"/>
                      <w:color w:val="auto"/>
                      <w:spacing w:val="0"/>
                      <w:sz w:val="21"/>
                      <w:szCs w:val="21"/>
                      <w:highlight w:val="none"/>
                      <w:u w:val="none" w:color="auto"/>
                    </w:rPr>
                  </w:pPr>
                  <w:r>
                    <w:rPr>
                      <w:rFonts w:hint="default" w:ascii="Times New Roman" w:hAnsi="Times New Roman" w:eastAsia="宋体" w:cs="Times New Roman"/>
                      <w:color w:val="auto"/>
                      <w:spacing w:val="0"/>
                      <w:sz w:val="21"/>
                      <w:szCs w:val="21"/>
                      <w:highlight w:val="none"/>
                      <w:u w:val="none" w:color="auto"/>
                    </w:rPr>
                    <w:t>/</w:t>
                  </w:r>
                </w:p>
              </w:tc>
              <w:tc>
                <w:tcPr>
                  <w:tcW w:w="893" w:type="dxa"/>
                  <w:vMerge w:val="restart"/>
                  <w:tcBorders>
                    <w:tl2br w:val="nil"/>
                    <w:tr2bl w:val="nil"/>
                  </w:tcBorders>
                  <w:noWrap w:val="0"/>
                  <w:vAlign w:val="center"/>
                </w:tcPr>
                <w:p w14:paraId="316623DE">
                  <w:pPr>
                    <w:jc w:val="center"/>
                    <w:rPr>
                      <w:rFonts w:hint="default" w:ascii="Times New Roman" w:hAnsi="Times New Roman" w:eastAsia="宋体" w:cs="Times New Roman"/>
                      <w:color w:val="auto"/>
                      <w:spacing w:val="0"/>
                      <w:kern w:val="2"/>
                      <w:sz w:val="21"/>
                      <w:szCs w:val="21"/>
                      <w:highlight w:val="none"/>
                      <w:u w:val="none" w:color="auto"/>
                      <w:lang w:val="en-US" w:eastAsia="zh-CN" w:bidi="ar-SA"/>
                    </w:rPr>
                  </w:pPr>
                  <w:r>
                    <w:rPr>
                      <w:rFonts w:hint="default" w:ascii="Times New Roman" w:hAnsi="Times New Roman" w:eastAsia="宋体" w:cs="Times New Roman"/>
                      <w:color w:val="auto"/>
                      <w:spacing w:val="0"/>
                      <w:kern w:val="2"/>
                      <w:sz w:val="21"/>
                      <w:szCs w:val="21"/>
                      <w:highlight w:val="none"/>
                      <w:u w:val="none" w:color="auto"/>
                      <w:lang w:val="en-US" w:eastAsia="zh-CN" w:bidi="ar-SA"/>
                    </w:rPr>
                    <w:t>铝合金熔铸二厂各工序未被收集废气</w:t>
                  </w:r>
                </w:p>
              </w:tc>
              <w:tc>
                <w:tcPr>
                  <w:tcW w:w="863" w:type="dxa"/>
                  <w:tcBorders>
                    <w:tl2br w:val="nil"/>
                    <w:tr2bl w:val="nil"/>
                  </w:tcBorders>
                  <w:noWrap w:val="0"/>
                  <w:vAlign w:val="center"/>
                </w:tcPr>
                <w:p w14:paraId="450ACF3A">
                  <w:pPr>
                    <w:jc w:val="center"/>
                    <w:rPr>
                      <w:rFonts w:hint="default" w:ascii="Times New Roman" w:hAnsi="Times New Roman" w:eastAsia="宋体" w:cs="Times New Roman"/>
                      <w:color w:val="auto"/>
                      <w:spacing w:val="0"/>
                      <w:kern w:val="2"/>
                      <w:sz w:val="21"/>
                      <w:szCs w:val="21"/>
                      <w:highlight w:val="none"/>
                      <w:u w:val="none" w:color="auto"/>
                      <w:lang w:val="zh-CN" w:eastAsia="zh-CN" w:bidi="ar-SA"/>
                    </w:rPr>
                  </w:pPr>
                  <w:r>
                    <w:rPr>
                      <w:rFonts w:hint="default" w:ascii="Times New Roman" w:hAnsi="Times New Roman" w:eastAsia="宋体" w:cs="Times New Roman"/>
                      <w:color w:val="auto"/>
                      <w:u w:val="none" w:color="auto"/>
                      <w:lang w:val="en-US" w:eastAsia="zh-CN"/>
                    </w:rPr>
                    <w:t>颗粒物</w:t>
                  </w:r>
                </w:p>
              </w:tc>
              <w:tc>
                <w:tcPr>
                  <w:tcW w:w="1286" w:type="dxa"/>
                  <w:vMerge w:val="restart"/>
                  <w:tcBorders>
                    <w:tl2br w:val="nil"/>
                    <w:tr2bl w:val="nil"/>
                  </w:tcBorders>
                  <w:noWrap w:val="0"/>
                  <w:vAlign w:val="center"/>
                </w:tcPr>
                <w:p w14:paraId="4520F7EE">
                  <w:pPr>
                    <w:jc w:val="center"/>
                    <w:rPr>
                      <w:rFonts w:hint="default" w:ascii="Times New Roman" w:hAnsi="Times New Roman" w:eastAsia="宋体" w:cs="Times New Roman"/>
                      <w:color w:val="auto"/>
                      <w:spacing w:val="0"/>
                      <w:sz w:val="21"/>
                      <w:szCs w:val="21"/>
                      <w:highlight w:val="none"/>
                      <w:u w:val="none" w:color="auto"/>
                      <w:lang w:val="en-US" w:eastAsia="zh-CN"/>
                    </w:rPr>
                  </w:pPr>
                  <w:r>
                    <w:rPr>
                      <w:rFonts w:hint="default" w:ascii="Times New Roman" w:hAnsi="Times New Roman" w:eastAsia="宋体" w:cs="Times New Roman"/>
                      <w:color w:val="auto"/>
                      <w:spacing w:val="0"/>
                      <w:sz w:val="21"/>
                      <w:szCs w:val="21"/>
                      <w:highlight w:val="none"/>
                      <w:u w:val="none" w:color="auto"/>
                      <w:lang w:val="en-US" w:eastAsia="zh-CN"/>
                    </w:rPr>
                    <w:t>强化集气系统，工段设置密闭式，提高废气收集效率</w:t>
                  </w:r>
                </w:p>
              </w:tc>
              <w:tc>
                <w:tcPr>
                  <w:tcW w:w="1943" w:type="dxa"/>
                  <w:vMerge w:val="restart"/>
                  <w:tcBorders>
                    <w:tl2br w:val="nil"/>
                    <w:tr2bl w:val="nil"/>
                  </w:tcBorders>
                  <w:noWrap w:val="0"/>
                  <w:vAlign w:val="center"/>
                </w:tcPr>
                <w:p w14:paraId="23C183F1">
                  <w:pPr>
                    <w:jc w:val="center"/>
                    <w:rPr>
                      <w:rFonts w:hint="default" w:ascii="Times New Roman" w:hAnsi="Times New Roman" w:eastAsia="宋体" w:cs="Times New Roman"/>
                      <w:color w:val="auto"/>
                      <w:spacing w:val="0"/>
                      <w:kern w:val="2"/>
                      <w:sz w:val="21"/>
                      <w:szCs w:val="21"/>
                      <w:highlight w:val="none"/>
                      <w:u w:val="none" w:color="auto"/>
                      <w:lang w:val="en-US" w:eastAsia="zh-CN" w:bidi="ar-SA"/>
                    </w:rPr>
                  </w:pPr>
                  <w:r>
                    <w:rPr>
                      <w:rFonts w:hint="default" w:ascii="Times New Roman" w:hAnsi="Times New Roman" w:eastAsia="宋体" w:cs="Times New Roman"/>
                      <w:color w:val="auto"/>
                      <w:spacing w:val="0"/>
                      <w:kern w:val="2"/>
                      <w:sz w:val="21"/>
                      <w:szCs w:val="21"/>
                      <w:highlight w:val="none"/>
                      <w:u w:val="none" w:color="auto"/>
                      <w:lang w:val="en-US" w:eastAsia="zh-CN" w:bidi="ar-SA"/>
                    </w:rPr>
                    <w:t xml:space="preserve">《铸造工业大气污染物排放标准》（GB 39726-2020）、《大气污染物综合排放标准》（GB16297-1996）中表2 </w:t>
                  </w:r>
                </w:p>
              </w:tc>
              <w:tc>
                <w:tcPr>
                  <w:tcW w:w="1229" w:type="dxa"/>
                  <w:tcBorders>
                    <w:tl2br w:val="nil"/>
                    <w:tr2bl w:val="nil"/>
                  </w:tcBorders>
                  <w:noWrap w:val="0"/>
                  <w:vAlign w:val="center"/>
                </w:tcPr>
                <w:p w14:paraId="4E5AD0DE">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厂区内5.0</w:t>
                  </w:r>
                </w:p>
                <w:p w14:paraId="51339E38">
                  <w:pPr>
                    <w:jc w:val="center"/>
                    <w:rPr>
                      <w:rFonts w:hint="default" w:ascii="Times New Roman" w:hAnsi="Times New Roman" w:eastAsia="宋体" w:cs="Times New Roman"/>
                      <w:color w:val="auto"/>
                      <w:spacing w:val="0"/>
                      <w:kern w:val="2"/>
                      <w:sz w:val="21"/>
                      <w:szCs w:val="21"/>
                      <w:u w:val="none" w:color="auto"/>
                      <w:lang w:val="en-US" w:eastAsia="zh-CN" w:bidi="ar-SA"/>
                    </w:rPr>
                  </w:pPr>
                  <w:r>
                    <w:rPr>
                      <w:rFonts w:hint="default" w:ascii="Times New Roman" w:hAnsi="Times New Roman" w:eastAsia="宋体" w:cs="Times New Roman"/>
                      <w:color w:val="auto"/>
                      <w:u w:val="none" w:color="auto"/>
                    </w:rPr>
                    <w:t>厂界1.0</w:t>
                  </w:r>
                </w:p>
              </w:tc>
              <w:tc>
                <w:tcPr>
                  <w:tcW w:w="925" w:type="dxa"/>
                  <w:tcBorders>
                    <w:tl2br w:val="nil"/>
                    <w:tr2bl w:val="nil"/>
                  </w:tcBorders>
                  <w:noWrap w:val="0"/>
                  <w:vAlign w:val="center"/>
                </w:tcPr>
                <w:p w14:paraId="5EFC8FE1">
                  <w:pPr>
                    <w:jc w:val="center"/>
                    <w:rPr>
                      <w:rFonts w:hint="default" w:ascii="Times New Roman" w:hAnsi="Times New Roman" w:eastAsia="宋体" w:cs="Times New Roman"/>
                      <w:color w:val="auto"/>
                      <w:spacing w:val="0"/>
                      <w:sz w:val="21"/>
                      <w:szCs w:val="21"/>
                      <w:highlight w:val="none"/>
                      <w:u w:val="none" w:color="auto"/>
                      <w:lang w:val="en-US" w:eastAsia="zh-CN"/>
                    </w:rPr>
                  </w:pPr>
                  <w:r>
                    <w:rPr>
                      <w:rFonts w:hint="default" w:ascii="Times New Roman" w:hAnsi="Times New Roman" w:eastAsia="宋体" w:cs="Times New Roman"/>
                      <w:color w:val="auto"/>
                      <w:spacing w:val="0"/>
                      <w:sz w:val="21"/>
                      <w:szCs w:val="21"/>
                      <w:highlight w:val="none"/>
                      <w:u w:val="none" w:color="auto"/>
                      <w:lang w:val="en-US" w:eastAsia="zh-CN"/>
                    </w:rPr>
                    <w:t>2.3805</w:t>
                  </w:r>
                </w:p>
              </w:tc>
            </w:tr>
            <w:tr w14:paraId="46E2E5F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27" w:type="dxa"/>
                  <w:vMerge w:val="continue"/>
                  <w:tcBorders>
                    <w:tl2br w:val="nil"/>
                    <w:tr2bl w:val="nil"/>
                  </w:tcBorders>
                  <w:noWrap w:val="0"/>
                  <w:vAlign w:val="center"/>
                </w:tcPr>
                <w:p w14:paraId="2EB8761A">
                  <w:pPr>
                    <w:jc w:val="center"/>
                    <w:outlineLvl w:val="9"/>
                    <w:rPr>
                      <w:rFonts w:hint="default" w:ascii="Times New Roman" w:hAnsi="Times New Roman" w:eastAsia="宋体" w:cs="Times New Roman"/>
                      <w:color w:val="auto"/>
                      <w:spacing w:val="0"/>
                      <w:sz w:val="21"/>
                      <w:szCs w:val="21"/>
                      <w:highlight w:val="none"/>
                      <w:u w:val="none" w:color="auto"/>
                    </w:rPr>
                  </w:pPr>
                </w:p>
              </w:tc>
              <w:tc>
                <w:tcPr>
                  <w:tcW w:w="590" w:type="dxa"/>
                  <w:vMerge w:val="continue"/>
                  <w:tcBorders>
                    <w:tl2br w:val="nil"/>
                    <w:tr2bl w:val="nil"/>
                  </w:tcBorders>
                  <w:noWrap w:val="0"/>
                  <w:vAlign w:val="center"/>
                </w:tcPr>
                <w:p w14:paraId="3C37A83F">
                  <w:pPr>
                    <w:jc w:val="center"/>
                    <w:outlineLvl w:val="9"/>
                    <w:rPr>
                      <w:rFonts w:hint="default" w:ascii="Times New Roman" w:hAnsi="Times New Roman" w:eastAsia="宋体" w:cs="Times New Roman"/>
                      <w:color w:val="auto"/>
                      <w:spacing w:val="0"/>
                      <w:sz w:val="21"/>
                      <w:szCs w:val="21"/>
                      <w:highlight w:val="none"/>
                      <w:u w:val="none" w:color="auto"/>
                    </w:rPr>
                  </w:pPr>
                </w:p>
              </w:tc>
              <w:tc>
                <w:tcPr>
                  <w:tcW w:w="893" w:type="dxa"/>
                  <w:vMerge w:val="continue"/>
                  <w:tcBorders>
                    <w:tl2br w:val="nil"/>
                    <w:tr2bl w:val="nil"/>
                  </w:tcBorders>
                  <w:noWrap w:val="0"/>
                  <w:vAlign w:val="center"/>
                </w:tcPr>
                <w:p w14:paraId="1B0717AD">
                  <w:pPr>
                    <w:jc w:val="center"/>
                    <w:rPr>
                      <w:rFonts w:hint="default" w:ascii="Times New Roman" w:hAnsi="Times New Roman" w:eastAsia="宋体" w:cs="Times New Roman"/>
                      <w:color w:val="auto"/>
                      <w:spacing w:val="0"/>
                      <w:kern w:val="2"/>
                      <w:sz w:val="21"/>
                      <w:szCs w:val="21"/>
                      <w:highlight w:val="none"/>
                      <w:u w:val="none" w:color="auto"/>
                      <w:lang w:val="en-US" w:eastAsia="zh-CN" w:bidi="ar-SA"/>
                    </w:rPr>
                  </w:pPr>
                </w:p>
              </w:tc>
              <w:tc>
                <w:tcPr>
                  <w:tcW w:w="863" w:type="dxa"/>
                  <w:tcBorders>
                    <w:tl2br w:val="nil"/>
                    <w:tr2bl w:val="nil"/>
                  </w:tcBorders>
                  <w:noWrap w:val="0"/>
                  <w:vAlign w:val="center"/>
                </w:tcPr>
                <w:p w14:paraId="507DFA78">
                  <w:pPr>
                    <w:jc w:val="center"/>
                    <w:rPr>
                      <w:rFonts w:hint="default" w:ascii="Times New Roman" w:hAnsi="Times New Roman" w:eastAsia="宋体" w:cs="Times New Roman"/>
                      <w:color w:val="auto"/>
                      <w:spacing w:val="0"/>
                      <w:kern w:val="2"/>
                      <w:sz w:val="21"/>
                      <w:szCs w:val="21"/>
                      <w:highlight w:val="none"/>
                      <w:u w:val="none" w:color="auto"/>
                      <w:lang w:val="zh-CN" w:eastAsia="zh-CN" w:bidi="ar-SA"/>
                    </w:rPr>
                  </w:pPr>
                  <w:r>
                    <w:rPr>
                      <w:rFonts w:hint="default" w:ascii="Times New Roman" w:hAnsi="Times New Roman" w:eastAsia="宋体" w:cs="Times New Roman"/>
                      <w:color w:val="auto"/>
                      <w:u w:val="none" w:color="auto"/>
                    </w:rPr>
                    <w:t>SO</w:t>
                  </w:r>
                  <w:r>
                    <w:rPr>
                      <w:rFonts w:hint="default" w:ascii="Times New Roman" w:hAnsi="Times New Roman" w:eastAsia="宋体" w:cs="Times New Roman"/>
                      <w:color w:val="auto"/>
                      <w:u w:val="none" w:color="auto"/>
                      <w:vertAlign w:val="subscript"/>
                    </w:rPr>
                    <w:t>2</w:t>
                  </w:r>
                </w:p>
              </w:tc>
              <w:tc>
                <w:tcPr>
                  <w:tcW w:w="1286" w:type="dxa"/>
                  <w:vMerge w:val="continue"/>
                  <w:tcBorders>
                    <w:tl2br w:val="nil"/>
                    <w:tr2bl w:val="nil"/>
                  </w:tcBorders>
                  <w:noWrap w:val="0"/>
                  <w:vAlign w:val="center"/>
                </w:tcPr>
                <w:p w14:paraId="1F749EF8">
                  <w:pPr>
                    <w:jc w:val="center"/>
                    <w:rPr>
                      <w:rFonts w:hint="default" w:ascii="Times New Roman" w:hAnsi="Times New Roman" w:eastAsia="宋体" w:cs="Times New Roman"/>
                      <w:color w:val="auto"/>
                      <w:spacing w:val="0"/>
                      <w:sz w:val="21"/>
                      <w:szCs w:val="21"/>
                      <w:highlight w:val="none"/>
                      <w:u w:val="none" w:color="auto"/>
                      <w:lang w:val="en-US" w:eastAsia="zh-CN"/>
                    </w:rPr>
                  </w:pPr>
                </w:p>
              </w:tc>
              <w:tc>
                <w:tcPr>
                  <w:tcW w:w="1943" w:type="dxa"/>
                  <w:vMerge w:val="continue"/>
                  <w:tcBorders>
                    <w:tl2br w:val="nil"/>
                    <w:tr2bl w:val="nil"/>
                  </w:tcBorders>
                  <w:noWrap w:val="0"/>
                  <w:vAlign w:val="center"/>
                </w:tcPr>
                <w:p w14:paraId="11147C0D">
                  <w:pPr>
                    <w:jc w:val="center"/>
                    <w:rPr>
                      <w:rFonts w:hint="default" w:ascii="Times New Roman" w:hAnsi="Times New Roman" w:eastAsia="宋体" w:cs="Times New Roman"/>
                      <w:color w:val="auto"/>
                      <w:spacing w:val="0"/>
                      <w:kern w:val="2"/>
                      <w:sz w:val="21"/>
                      <w:szCs w:val="21"/>
                      <w:highlight w:val="none"/>
                      <w:u w:val="none" w:color="auto"/>
                      <w:lang w:val="en-US" w:eastAsia="zh-CN" w:bidi="ar-SA"/>
                    </w:rPr>
                  </w:pPr>
                </w:p>
              </w:tc>
              <w:tc>
                <w:tcPr>
                  <w:tcW w:w="1229" w:type="dxa"/>
                  <w:tcBorders>
                    <w:tl2br w:val="nil"/>
                    <w:tr2bl w:val="nil"/>
                  </w:tcBorders>
                  <w:noWrap w:val="0"/>
                  <w:vAlign w:val="center"/>
                </w:tcPr>
                <w:p w14:paraId="37B8C65D">
                  <w:pPr>
                    <w:jc w:val="center"/>
                    <w:rPr>
                      <w:rFonts w:hint="default" w:ascii="Times New Roman" w:hAnsi="Times New Roman" w:eastAsia="宋体" w:cs="Times New Roman"/>
                      <w:color w:val="auto"/>
                      <w:spacing w:val="0"/>
                      <w:kern w:val="2"/>
                      <w:sz w:val="21"/>
                      <w:szCs w:val="21"/>
                      <w:u w:val="none" w:color="auto"/>
                      <w:lang w:val="en-US" w:eastAsia="zh-CN" w:bidi="ar-SA"/>
                    </w:rPr>
                  </w:pPr>
                  <w:r>
                    <w:rPr>
                      <w:rFonts w:hint="default" w:ascii="Times New Roman" w:hAnsi="Times New Roman" w:eastAsia="宋体" w:cs="Times New Roman"/>
                      <w:color w:val="auto"/>
                      <w:u w:val="none" w:color="auto"/>
                    </w:rPr>
                    <w:t>0.4</w:t>
                  </w:r>
                </w:p>
              </w:tc>
              <w:tc>
                <w:tcPr>
                  <w:tcW w:w="925" w:type="dxa"/>
                  <w:tcBorders>
                    <w:tl2br w:val="nil"/>
                    <w:tr2bl w:val="nil"/>
                  </w:tcBorders>
                  <w:noWrap w:val="0"/>
                  <w:vAlign w:val="center"/>
                </w:tcPr>
                <w:p w14:paraId="5177ACF1">
                  <w:pPr>
                    <w:jc w:val="center"/>
                    <w:rPr>
                      <w:rFonts w:hint="default" w:ascii="Times New Roman" w:hAnsi="Times New Roman" w:eastAsia="宋体" w:cs="Times New Roman"/>
                      <w:color w:val="auto"/>
                      <w:spacing w:val="0"/>
                      <w:sz w:val="21"/>
                      <w:szCs w:val="21"/>
                      <w:highlight w:val="none"/>
                      <w:u w:val="none" w:color="auto"/>
                      <w:lang w:val="en-US" w:eastAsia="zh-CN"/>
                    </w:rPr>
                  </w:pPr>
                  <w:r>
                    <w:rPr>
                      <w:rFonts w:hint="default" w:ascii="Times New Roman" w:hAnsi="Times New Roman" w:eastAsia="宋体" w:cs="Times New Roman"/>
                      <w:color w:val="auto"/>
                      <w:spacing w:val="0"/>
                      <w:sz w:val="21"/>
                      <w:szCs w:val="21"/>
                      <w:highlight w:val="none"/>
                      <w:u w:val="none" w:color="auto"/>
                      <w:lang w:val="en-US" w:eastAsia="zh-CN"/>
                    </w:rPr>
                    <w:t>0.5545</w:t>
                  </w:r>
                </w:p>
              </w:tc>
            </w:tr>
            <w:tr w14:paraId="64B4A23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27" w:type="dxa"/>
                  <w:vMerge w:val="continue"/>
                  <w:tcBorders>
                    <w:tl2br w:val="nil"/>
                    <w:tr2bl w:val="nil"/>
                  </w:tcBorders>
                  <w:noWrap w:val="0"/>
                  <w:vAlign w:val="center"/>
                </w:tcPr>
                <w:p w14:paraId="24C878AF">
                  <w:pPr>
                    <w:jc w:val="center"/>
                    <w:outlineLvl w:val="9"/>
                    <w:rPr>
                      <w:rFonts w:hint="default" w:ascii="Times New Roman" w:hAnsi="Times New Roman" w:eastAsia="宋体" w:cs="Times New Roman"/>
                      <w:color w:val="auto"/>
                      <w:spacing w:val="0"/>
                      <w:sz w:val="21"/>
                      <w:szCs w:val="21"/>
                      <w:highlight w:val="none"/>
                      <w:u w:val="none" w:color="auto"/>
                    </w:rPr>
                  </w:pPr>
                </w:p>
              </w:tc>
              <w:tc>
                <w:tcPr>
                  <w:tcW w:w="590" w:type="dxa"/>
                  <w:vMerge w:val="continue"/>
                  <w:tcBorders>
                    <w:tl2br w:val="nil"/>
                    <w:tr2bl w:val="nil"/>
                  </w:tcBorders>
                  <w:noWrap w:val="0"/>
                  <w:vAlign w:val="center"/>
                </w:tcPr>
                <w:p w14:paraId="4AF82BB7">
                  <w:pPr>
                    <w:jc w:val="center"/>
                    <w:outlineLvl w:val="9"/>
                    <w:rPr>
                      <w:rFonts w:hint="default" w:ascii="Times New Roman" w:hAnsi="Times New Roman" w:eastAsia="宋体" w:cs="Times New Roman"/>
                      <w:color w:val="auto"/>
                      <w:spacing w:val="0"/>
                      <w:sz w:val="21"/>
                      <w:szCs w:val="21"/>
                      <w:highlight w:val="none"/>
                      <w:u w:val="none" w:color="auto"/>
                    </w:rPr>
                  </w:pPr>
                </w:p>
              </w:tc>
              <w:tc>
                <w:tcPr>
                  <w:tcW w:w="893" w:type="dxa"/>
                  <w:vMerge w:val="continue"/>
                  <w:tcBorders>
                    <w:tl2br w:val="nil"/>
                    <w:tr2bl w:val="nil"/>
                  </w:tcBorders>
                  <w:noWrap w:val="0"/>
                  <w:vAlign w:val="center"/>
                </w:tcPr>
                <w:p w14:paraId="35336D75">
                  <w:pPr>
                    <w:jc w:val="center"/>
                    <w:rPr>
                      <w:rFonts w:hint="default" w:ascii="Times New Roman" w:hAnsi="Times New Roman" w:eastAsia="宋体" w:cs="Times New Roman"/>
                      <w:color w:val="auto"/>
                      <w:spacing w:val="0"/>
                      <w:kern w:val="2"/>
                      <w:sz w:val="21"/>
                      <w:szCs w:val="21"/>
                      <w:highlight w:val="none"/>
                      <w:u w:val="none" w:color="auto"/>
                      <w:lang w:val="en-US" w:eastAsia="zh-CN" w:bidi="ar-SA"/>
                    </w:rPr>
                  </w:pPr>
                </w:p>
              </w:tc>
              <w:tc>
                <w:tcPr>
                  <w:tcW w:w="863" w:type="dxa"/>
                  <w:tcBorders>
                    <w:tl2br w:val="nil"/>
                    <w:tr2bl w:val="nil"/>
                  </w:tcBorders>
                  <w:noWrap w:val="0"/>
                  <w:vAlign w:val="center"/>
                </w:tcPr>
                <w:p w14:paraId="191C2D07">
                  <w:pPr>
                    <w:jc w:val="center"/>
                    <w:rPr>
                      <w:rFonts w:hint="default" w:ascii="Times New Roman" w:hAnsi="Times New Roman" w:eastAsia="宋体" w:cs="Times New Roman"/>
                      <w:color w:val="auto"/>
                      <w:spacing w:val="0"/>
                      <w:kern w:val="2"/>
                      <w:sz w:val="21"/>
                      <w:szCs w:val="21"/>
                      <w:highlight w:val="none"/>
                      <w:u w:val="none" w:color="auto"/>
                      <w:lang w:val="zh-CN" w:eastAsia="zh-CN" w:bidi="ar-SA"/>
                    </w:rPr>
                  </w:pPr>
                  <w:r>
                    <w:rPr>
                      <w:rFonts w:hint="default" w:ascii="Times New Roman" w:hAnsi="Times New Roman" w:eastAsia="宋体" w:cs="Times New Roman"/>
                      <w:color w:val="auto"/>
                      <w:u w:val="none" w:color="auto"/>
                    </w:rPr>
                    <w:t>NO</w:t>
                  </w:r>
                  <w:r>
                    <w:rPr>
                      <w:rFonts w:hint="default" w:ascii="Times New Roman" w:hAnsi="Times New Roman" w:eastAsia="宋体" w:cs="Times New Roman"/>
                      <w:color w:val="auto"/>
                      <w:u w:val="none" w:color="auto"/>
                      <w:vertAlign w:val="subscript"/>
                    </w:rPr>
                    <w:t>x</w:t>
                  </w:r>
                </w:p>
              </w:tc>
              <w:tc>
                <w:tcPr>
                  <w:tcW w:w="1286" w:type="dxa"/>
                  <w:vMerge w:val="continue"/>
                  <w:tcBorders>
                    <w:tl2br w:val="nil"/>
                    <w:tr2bl w:val="nil"/>
                  </w:tcBorders>
                  <w:noWrap w:val="0"/>
                  <w:vAlign w:val="center"/>
                </w:tcPr>
                <w:p w14:paraId="3B9B63CE">
                  <w:pPr>
                    <w:jc w:val="center"/>
                    <w:rPr>
                      <w:rFonts w:hint="default" w:ascii="Times New Roman" w:hAnsi="Times New Roman" w:eastAsia="宋体" w:cs="Times New Roman"/>
                      <w:color w:val="auto"/>
                      <w:spacing w:val="0"/>
                      <w:sz w:val="21"/>
                      <w:szCs w:val="21"/>
                      <w:highlight w:val="none"/>
                      <w:u w:val="none" w:color="auto"/>
                      <w:lang w:val="en-US" w:eastAsia="zh-CN"/>
                    </w:rPr>
                  </w:pPr>
                </w:p>
              </w:tc>
              <w:tc>
                <w:tcPr>
                  <w:tcW w:w="1943" w:type="dxa"/>
                  <w:vMerge w:val="continue"/>
                  <w:tcBorders>
                    <w:tl2br w:val="nil"/>
                    <w:tr2bl w:val="nil"/>
                  </w:tcBorders>
                  <w:noWrap w:val="0"/>
                  <w:vAlign w:val="center"/>
                </w:tcPr>
                <w:p w14:paraId="2FD06329">
                  <w:pPr>
                    <w:jc w:val="center"/>
                    <w:rPr>
                      <w:rFonts w:hint="default" w:ascii="Times New Roman" w:hAnsi="Times New Roman" w:eastAsia="宋体" w:cs="Times New Roman"/>
                      <w:color w:val="auto"/>
                      <w:spacing w:val="0"/>
                      <w:kern w:val="2"/>
                      <w:sz w:val="21"/>
                      <w:szCs w:val="21"/>
                      <w:highlight w:val="none"/>
                      <w:u w:val="none" w:color="auto"/>
                      <w:lang w:val="en-US" w:eastAsia="zh-CN" w:bidi="ar-SA"/>
                    </w:rPr>
                  </w:pPr>
                </w:p>
              </w:tc>
              <w:tc>
                <w:tcPr>
                  <w:tcW w:w="1229" w:type="dxa"/>
                  <w:tcBorders>
                    <w:tl2br w:val="nil"/>
                    <w:tr2bl w:val="nil"/>
                  </w:tcBorders>
                  <w:noWrap w:val="0"/>
                  <w:vAlign w:val="center"/>
                </w:tcPr>
                <w:p w14:paraId="250AF5D3">
                  <w:pPr>
                    <w:jc w:val="center"/>
                    <w:rPr>
                      <w:rFonts w:hint="default" w:ascii="Times New Roman" w:hAnsi="Times New Roman" w:eastAsia="宋体" w:cs="Times New Roman"/>
                      <w:color w:val="auto"/>
                      <w:spacing w:val="0"/>
                      <w:kern w:val="2"/>
                      <w:sz w:val="21"/>
                      <w:szCs w:val="21"/>
                      <w:u w:val="none" w:color="auto"/>
                      <w:lang w:val="en-US" w:eastAsia="zh-CN" w:bidi="ar-SA"/>
                    </w:rPr>
                  </w:pPr>
                  <w:r>
                    <w:rPr>
                      <w:rFonts w:hint="default" w:ascii="Times New Roman" w:hAnsi="Times New Roman" w:eastAsia="宋体" w:cs="Times New Roman"/>
                      <w:color w:val="auto"/>
                      <w:u w:val="none" w:color="auto"/>
                    </w:rPr>
                    <w:t>0.12</w:t>
                  </w:r>
                </w:p>
              </w:tc>
              <w:tc>
                <w:tcPr>
                  <w:tcW w:w="925" w:type="dxa"/>
                  <w:tcBorders>
                    <w:tl2br w:val="nil"/>
                    <w:tr2bl w:val="nil"/>
                  </w:tcBorders>
                  <w:noWrap w:val="0"/>
                  <w:vAlign w:val="center"/>
                </w:tcPr>
                <w:p w14:paraId="27C1BD62">
                  <w:pPr>
                    <w:jc w:val="center"/>
                    <w:rPr>
                      <w:rFonts w:hint="default" w:ascii="Times New Roman" w:hAnsi="Times New Roman" w:eastAsia="宋体" w:cs="Times New Roman"/>
                      <w:color w:val="auto"/>
                      <w:spacing w:val="0"/>
                      <w:sz w:val="21"/>
                      <w:szCs w:val="21"/>
                      <w:highlight w:val="none"/>
                      <w:u w:val="none" w:color="auto"/>
                      <w:lang w:val="en-US" w:eastAsia="zh-CN"/>
                    </w:rPr>
                  </w:pPr>
                  <w:r>
                    <w:rPr>
                      <w:rFonts w:hint="default" w:ascii="Times New Roman" w:hAnsi="Times New Roman" w:eastAsia="宋体" w:cs="Times New Roman"/>
                      <w:color w:val="auto"/>
                      <w:spacing w:val="0"/>
                      <w:sz w:val="21"/>
                      <w:szCs w:val="21"/>
                      <w:highlight w:val="none"/>
                      <w:u w:val="none" w:color="auto"/>
                      <w:lang w:val="en-US" w:eastAsia="zh-CN"/>
                    </w:rPr>
                    <w:t>1.146</w:t>
                  </w:r>
                </w:p>
              </w:tc>
            </w:tr>
            <w:tr w14:paraId="7273860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27" w:type="dxa"/>
                  <w:vMerge w:val="restart"/>
                  <w:tcBorders>
                    <w:tl2br w:val="nil"/>
                    <w:tr2bl w:val="nil"/>
                  </w:tcBorders>
                  <w:noWrap w:val="0"/>
                  <w:vAlign w:val="center"/>
                </w:tcPr>
                <w:p w14:paraId="79A53CA9">
                  <w:pPr>
                    <w:jc w:val="center"/>
                    <w:outlineLvl w:val="9"/>
                    <w:rPr>
                      <w:rFonts w:hint="default" w:ascii="Times New Roman" w:hAnsi="Times New Roman" w:eastAsia="宋体" w:cs="Times New Roman"/>
                      <w:color w:val="auto"/>
                      <w:spacing w:val="0"/>
                      <w:sz w:val="21"/>
                      <w:szCs w:val="21"/>
                      <w:highlight w:val="none"/>
                      <w:u w:val="none" w:color="auto"/>
                      <w:lang w:val="en-US" w:eastAsia="zh-CN"/>
                    </w:rPr>
                  </w:pPr>
                  <w:r>
                    <w:rPr>
                      <w:rFonts w:hint="default" w:ascii="Times New Roman" w:hAnsi="Times New Roman" w:eastAsia="宋体" w:cs="Times New Roman"/>
                      <w:color w:val="auto"/>
                      <w:spacing w:val="0"/>
                      <w:sz w:val="21"/>
                      <w:szCs w:val="21"/>
                      <w:highlight w:val="none"/>
                      <w:u w:val="none" w:color="auto"/>
                      <w:lang w:val="en-US" w:eastAsia="zh-CN"/>
                    </w:rPr>
                    <w:t>2</w:t>
                  </w:r>
                </w:p>
              </w:tc>
              <w:tc>
                <w:tcPr>
                  <w:tcW w:w="590" w:type="dxa"/>
                  <w:vMerge w:val="restart"/>
                  <w:tcBorders>
                    <w:tl2br w:val="nil"/>
                    <w:tr2bl w:val="nil"/>
                  </w:tcBorders>
                  <w:noWrap w:val="0"/>
                  <w:vAlign w:val="center"/>
                </w:tcPr>
                <w:p w14:paraId="4965342E">
                  <w:pPr>
                    <w:jc w:val="center"/>
                    <w:outlineLvl w:val="9"/>
                    <w:rPr>
                      <w:rFonts w:hint="default" w:ascii="Times New Roman" w:hAnsi="Times New Roman" w:eastAsia="宋体" w:cs="Times New Roman"/>
                      <w:color w:val="auto"/>
                      <w:spacing w:val="0"/>
                      <w:sz w:val="21"/>
                      <w:szCs w:val="21"/>
                      <w:highlight w:val="none"/>
                      <w:u w:val="none" w:color="auto"/>
                    </w:rPr>
                  </w:pPr>
                  <w:r>
                    <w:rPr>
                      <w:rFonts w:hint="default" w:ascii="Times New Roman" w:hAnsi="Times New Roman" w:eastAsia="宋体" w:cs="Times New Roman"/>
                      <w:color w:val="auto"/>
                      <w:spacing w:val="0"/>
                      <w:sz w:val="21"/>
                      <w:szCs w:val="21"/>
                      <w:highlight w:val="none"/>
                      <w:u w:val="none" w:color="auto"/>
                    </w:rPr>
                    <w:t>/</w:t>
                  </w:r>
                </w:p>
              </w:tc>
              <w:tc>
                <w:tcPr>
                  <w:tcW w:w="893" w:type="dxa"/>
                  <w:vMerge w:val="restart"/>
                  <w:tcBorders>
                    <w:tl2br w:val="nil"/>
                    <w:tr2bl w:val="nil"/>
                  </w:tcBorders>
                  <w:noWrap w:val="0"/>
                  <w:vAlign w:val="center"/>
                </w:tcPr>
                <w:p w14:paraId="52F81129">
                  <w:pPr>
                    <w:jc w:val="center"/>
                    <w:rPr>
                      <w:rFonts w:hint="default" w:ascii="Times New Roman" w:hAnsi="Times New Roman" w:eastAsia="宋体" w:cs="Times New Roman"/>
                      <w:color w:val="auto"/>
                      <w:spacing w:val="0"/>
                      <w:kern w:val="2"/>
                      <w:sz w:val="21"/>
                      <w:szCs w:val="21"/>
                      <w:highlight w:val="none"/>
                      <w:u w:val="none" w:color="auto"/>
                      <w:lang w:val="en-US" w:eastAsia="zh-CN" w:bidi="ar-SA"/>
                    </w:rPr>
                  </w:pPr>
                  <w:r>
                    <w:rPr>
                      <w:rFonts w:hint="default" w:ascii="Times New Roman" w:hAnsi="Times New Roman" w:eastAsia="宋体" w:cs="Times New Roman"/>
                      <w:color w:val="auto"/>
                      <w:spacing w:val="0"/>
                      <w:kern w:val="2"/>
                      <w:sz w:val="21"/>
                      <w:szCs w:val="21"/>
                      <w:highlight w:val="none"/>
                      <w:u w:val="none" w:color="auto"/>
                      <w:lang w:val="en-US" w:eastAsia="zh-CN" w:bidi="ar-SA"/>
                    </w:rPr>
                    <w:t>铝合金熔铸一厂各工序未被收集废气</w:t>
                  </w:r>
                </w:p>
              </w:tc>
              <w:tc>
                <w:tcPr>
                  <w:tcW w:w="863" w:type="dxa"/>
                  <w:tcBorders>
                    <w:tl2br w:val="nil"/>
                    <w:tr2bl w:val="nil"/>
                  </w:tcBorders>
                  <w:noWrap w:val="0"/>
                  <w:vAlign w:val="center"/>
                </w:tcPr>
                <w:p w14:paraId="5D493F7B">
                  <w:pPr>
                    <w:pStyle w:val="2"/>
                    <w:keepNext w:val="0"/>
                    <w:keepLines w:val="0"/>
                    <w:pageBreakBefore w:val="0"/>
                    <w:widowControl/>
                    <w:kinsoku/>
                    <w:wordWrap/>
                    <w:overflowPunct/>
                    <w:topLinePunct w:val="0"/>
                    <w:autoSpaceDE/>
                    <w:autoSpaceDN/>
                    <w:bidi w:val="0"/>
                    <w:adjustRightInd/>
                    <w:snapToGrid/>
                    <w:spacing w:before="0" w:after="0" w:line="240" w:lineRule="auto"/>
                    <w:ind w:right="113" w:rightChars="0"/>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1"/>
                      <w:szCs w:val="21"/>
                      <w:u w:val="none" w:color="auto"/>
                      <w:vertAlign w:val="baseline"/>
                      <w:lang w:val="en-US" w:eastAsia="zh-CN"/>
                    </w:rPr>
                    <w:t>颗粒物</w:t>
                  </w:r>
                </w:p>
              </w:tc>
              <w:tc>
                <w:tcPr>
                  <w:tcW w:w="1286" w:type="dxa"/>
                  <w:vMerge w:val="restart"/>
                  <w:tcBorders>
                    <w:tl2br w:val="nil"/>
                    <w:tr2bl w:val="nil"/>
                  </w:tcBorders>
                  <w:noWrap w:val="0"/>
                  <w:vAlign w:val="center"/>
                </w:tcPr>
                <w:p w14:paraId="4F6E0219">
                  <w:pPr>
                    <w:jc w:val="center"/>
                    <w:rPr>
                      <w:rFonts w:hint="default" w:ascii="Times New Roman" w:hAnsi="Times New Roman" w:eastAsia="宋体" w:cs="Times New Roman"/>
                      <w:color w:val="auto"/>
                      <w:spacing w:val="0"/>
                      <w:sz w:val="21"/>
                      <w:szCs w:val="21"/>
                      <w:highlight w:val="none"/>
                      <w:u w:val="none" w:color="auto"/>
                      <w:lang w:val="en-US" w:eastAsia="zh-CN"/>
                    </w:rPr>
                  </w:pPr>
                  <w:r>
                    <w:rPr>
                      <w:rFonts w:hint="default" w:ascii="Times New Roman" w:hAnsi="Times New Roman" w:eastAsia="宋体" w:cs="Times New Roman"/>
                      <w:color w:val="auto"/>
                      <w:spacing w:val="0"/>
                      <w:sz w:val="21"/>
                      <w:szCs w:val="21"/>
                      <w:highlight w:val="none"/>
                      <w:u w:val="none" w:color="auto"/>
                      <w:lang w:val="en-US" w:eastAsia="zh-CN"/>
                    </w:rPr>
                    <w:t>强化集气系统，提高废气收集效率</w:t>
                  </w:r>
                </w:p>
              </w:tc>
              <w:tc>
                <w:tcPr>
                  <w:tcW w:w="1943" w:type="dxa"/>
                  <w:vMerge w:val="continue"/>
                  <w:tcBorders>
                    <w:tl2br w:val="nil"/>
                    <w:tr2bl w:val="nil"/>
                  </w:tcBorders>
                  <w:noWrap w:val="0"/>
                  <w:vAlign w:val="center"/>
                </w:tcPr>
                <w:p w14:paraId="4AE4A05F">
                  <w:pPr>
                    <w:jc w:val="center"/>
                    <w:rPr>
                      <w:rFonts w:hint="default" w:ascii="Times New Roman" w:hAnsi="Times New Roman" w:eastAsia="宋体" w:cs="Times New Roman"/>
                      <w:color w:val="auto"/>
                      <w:spacing w:val="0"/>
                      <w:kern w:val="2"/>
                      <w:sz w:val="21"/>
                      <w:szCs w:val="21"/>
                      <w:highlight w:val="none"/>
                      <w:u w:val="none" w:color="auto"/>
                      <w:lang w:val="en-US" w:eastAsia="zh-CN" w:bidi="ar-SA"/>
                    </w:rPr>
                  </w:pPr>
                </w:p>
              </w:tc>
              <w:tc>
                <w:tcPr>
                  <w:tcW w:w="1229" w:type="dxa"/>
                  <w:tcBorders>
                    <w:tl2br w:val="nil"/>
                    <w:tr2bl w:val="nil"/>
                  </w:tcBorders>
                  <w:noWrap w:val="0"/>
                  <w:vAlign w:val="center"/>
                </w:tcPr>
                <w:p w14:paraId="106AC726">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厂区内5.0</w:t>
                  </w:r>
                </w:p>
                <w:p w14:paraId="4F79F8A0">
                  <w:pPr>
                    <w:jc w:val="center"/>
                    <w:rPr>
                      <w:rFonts w:hint="default" w:ascii="Times New Roman" w:hAnsi="Times New Roman" w:eastAsia="宋体" w:cs="Times New Roman"/>
                      <w:color w:val="auto"/>
                      <w:spacing w:val="0"/>
                      <w:kern w:val="2"/>
                      <w:sz w:val="21"/>
                      <w:szCs w:val="21"/>
                      <w:u w:val="none" w:color="auto"/>
                      <w:lang w:val="en-US" w:eastAsia="zh-CN" w:bidi="ar-SA"/>
                    </w:rPr>
                  </w:pPr>
                  <w:r>
                    <w:rPr>
                      <w:rFonts w:hint="default" w:ascii="Times New Roman" w:hAnsi="Times New Roman" w:eastAsia="宋体" w:cs="Times New Roman"/>
                      <w:color w:val="auto"/>
                      <w:u w:val="none" w:color="auto"/>
                    </w:rPr>
                    <w:t>厂界1.0</w:t>
                  </w:r>
                </w:p>
              </w:tc>
              <w:tc>
                <w:tcPr>
                  <w:tcW w:w="925" w:type="dxa"/>
                  <w:tcBorders>
                    <w:tl2br w:val="nil"/>
                    <w:tr2bl w:val="nil"/>
                  </w:tcBorders>
                  <w:noWrap w:val="0"/>
                  <w:vAlign w:val="center"/>
                </w:tcPr>
                <w:p w14:paraId="2B99B697">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top"/>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2.2935</w:t>
                  </w:r>
                </w:p>
              </w:tc>
            </w:tr>
            <w:tr w14:paraId="30815E6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27" w:type="dxa"/>
                  <w:vMerge w:val="continue"/>
                  <w:tcBorders>
                    <w:tl2br w:val="nil"/>
                    <w:tr2bl w:val="nil"/>
                  </w:tcBorders>
                  <w:noWrap w:val="0"/>
                  <w:vAlign w:val="center"/>
                </w:tcPr>
                <w:p w14:paraId="01EB7362">
                  <w:pPr>
                    <w:jc w:val="center"/>
                    <w:outlineLvl w:val="9"/>
                    <w:rPr>
                      <w:rFonts w:hint="default" w:ascii="Times New Roman" w:hAnsi="Times New Roman" w:eastAsia="宋体" w:cs="Times New Roman"/>
                      <w:color w:val="auto"/>
                      <w:spacing w:val="0"/>
                      <w:sz w:val="21"/>
                      <w:szCs w:val="21"/>
                      <w:highlight w:val="none"/>
                      <w:u w:val="none" w:color="auto"/>
                      <w:lang w:val="en-US" w:eastAsia="zh-CN"/>
                    </w:rPr>
                  </w:pPr>
                </w:p>
              </w:tc>
              <w:tc>
                <w:tcPr>
                  <w:tcW w:w="590" w:type="dxa"/>
                  <w:vMerge w:val="continue"/>
                  <w:tcBorders>
                    <w:tl2br w:val="nil"/>
                    <w:tr2bl w:val="nil"/>
                  </w:tcBorders>
                  <w:noWrap w:val="0"/>
                  <w:vAlign w:val="center"/>
                </w:tcPr>
                <w:p w14:paraId="694FFF7A">
                  <w:pPr>
                    <w:jc w:val="center"/>
                    <w:outlineLvl w:val="9"/>
                    <w:rPr>
                      <w:rFonts w:hint="default" w:ascii="Times New Roman" w:hAnsi="Times New Roman" w:eastAsia="宋体" w:cs="Times New Roman"/>
                      <w:color w:val="auto"/>
                      <w:spacing w:val="0"/>
                      <w:sz w:val="21"/>
                      <w:szCs w:val="21"/>
                      <w:highlight w:val="none"/>
                      <w:u w:val="none" w:color="auto"/>
                    </w:rPr>
                  </w:pPr>
                </w:p>
              </w:tc>
              <w:tc>
                <w:tcPr>
                  <w:tcW w:w="893" w:type="dxa"/>
                  <w:vMerge w:val="continue"/>
                  <w:tcBorders>
                    <w:tl2br w:val="nil"/>
                    <w:tr2bl w:val="nil"/>
                  </w:tcBorders>
                  <w:noWrap w:val="0"/>
                  <w:vAlign w:val="center"/>
                </w:tcPr>
                <w:p w14:paraId="4FAB970E">
                  <w:pPr>
                    <w:jc w:val="center"/>
                    <w:rPr>
                      <w:rFonts w:hint="default" w:ascii="Times New Roman" w:hAnsi="Times New Roman" w:eastAsia="宋体" w:cs="Times New Roman"/>
                      <w:color w:val="auto"/>
                      <w:spacing w:val="0"/>
                      <w:sz w:val="21"/>
                      <w:szCs w:val="21"/>
                      <w:highlight w:val="none"/>
                      <w:u w:val="none" w:color="auto"/>
                      <w:lang w:val="en-US" w:eastAsia="zh-CN"/>
                    </w:rPr>
                  </w:pPr>
                </w:p>
              </w:tc>
              <w:tc>
                <w:tcPr>
                  <w:tcW w:w="863" w:type="dxa"/>
                  <w:tcBorders>
                    <w:tl2br w:val="nil"/>
                    <w:tr2bl w:val="nil"/>
                  </w:tcBorders>
                  <w:noWrap w:val="0"/>
                  <w:vAlign w:val="center"/>
                </w:tcPr>
                <w:p w14:paraId="79322A0F">
                  <w:pPr>
                    <w:pStyle w:val="2"/>
                    <w:keepNext w:val="0"/>
                    <w:keepLines w:val="0"/>
                    <w:pageBreakBefore w:val="0"/>
                    <w:widowControl/>
                    <w:kinsoku/>
                    <w:wordWrap/>
                    <w:overflowPunct/>
                    <w:topLinePunct w:val="0"/>
                    <w:autoSpaceDE/>
                    <w:autoSpaceDN/>
                    <w:bidi w:val="0"/>
                    <w:adjustRightInd/>
                    <w:snapToGrid/>
                    <w:spacing w:before="0" w:after="0" w:line="240" w:lineRule="auto"/>
                    <w:ind w:right="113" w:rightChars="0"/>
                    <w:jc w:val="center"/>
                    <w:rPr>
                      <w:rFonts w:hint="default" w:ascii="Times New Roman" w:hAnsi="Times New Roman" w:eastAsia="宋体" w:cs="Times New Roman"/>
                      <w:color w:val="auto"/>
                      <w:spacing w:val="0"/>
                      <w:sz w:val="21"/>
                      <w:szCs w:val="21"/>
                      <w:highlight w:val="none"/>
                      <w:u w:val="none" w:color="auto"/>
                      <w:lang w:val="en-US" w:eastAsia="zh-CN"/>
                    </w:rPr>
                  </w:pPr>
                  <w:r>
                    <w:rPr>
                      <w:rFonts w:hint="default" w:ascii="Times New Roman" w:hAnsi="Times New Roman" w:eastAsia="宋体" w:cs="Times New Roman"/>
                      <w:color w:val="auto"/>
                      <w:sz w:val="21"/>
                      <w:szCs w:val="21"/>
                      <w:u w:val="none" w:color="auto"/>
                      <w:vertAlign w:val="baseline"/>
                      <w:lang w:val="en-US" w:eastAsia="zh-CN"/>
                    </w:rPr>
                    <w:t>非甲烷总烃</w:t>
                  </w:r>
                </w:p>
              </w:tc>
              <w:tc>
                <w:tcPr>
                  <w:tcW w:w="1286" w:type="dxa"/>
                  <w:vMerge w:val="continue"/>
                  <w:tcBorders>
                    <w:tl2br w:val="nil"/>
                    <w:tr2bl w:val="nil"/>
                  </w:tcBorders>
                  <w:noWrap w:val="0"/>
                  <w:vAlign w:val="center"/>
                </w:tcPr>
                <w:p w14:paraId="61ACA459">
                  <w:pPr>
                    <w:jc w:val="center"/>
                    <w:rPr>
                      <w:rFonts w:hint="default" w:ascii="Times New Roman" w:hAnsi="Times New Roman" w:eastAsia="宋体" w:cs="Times New Roman"/>
                      <w:color w:val="auto"/>
                      <w:spacing w:val="0"/>
                      <w:kern w:val="2"/>
                      <w:sz w:val="21"/>
                      <w:szCs w:val="21"/>
                      <w:highlight w:val="none"/>
                      <w:u w:val="none" w:color="auto"/>
                      <w:lang w:val="en-US" w:eastAsia="zh-CN" w:bidi="ar-SA"/>
                    </w:rPr>
                  </w:pPr>
                </w:p>
              </w:tc>
              <w:tc>
                <w:tcPr>
                  <w:tcW w:w="1943" w:type="dxa"/>
                  <w:vMerge w:val="continue"/>
                  <w:tcBorders>
                    <w:tl2br w:val="nil"/>
                    <w:tr2bl w:val="nil"/>
                  </w:tcBorders>
                  <w:noWrap w:val="0"/>
                  <w:vAlign w:val="center"/>
                </w:tcPr>
                <w:p w14:paraId="38CF5BEE">
                  <w:pPr>
                    <w:autoSpaceDE w:val="0"/>
                    <w:autoSpaceDN w:val="0"/>
                    <w:jc w:val="center"/>
                    <w:rPr>
                      <w:rFonts w:hint="default" w:ascii="Times New Roman" w:hAnsi="Times New Roman" w:eastAsia="宋体" w:cs="Times New Roman"/>
                      <w:color w:val="auto"/>
                      <w:spacing w:val="0"/>
                      <w:kern w:val="0"/>
                      <w:sz w:val="21"/>
                      <w:szCs w:val="21"/>
                      <w:highlight w:val="none"/>
                      <w:u w:val="none" w:color="auto"/>
                      <w:lang w:val="en-US" w:eastAsia="zh-CN" w:bidi="ar-SA"/>
                    </w:rPr>
                  </w:pPr>
                </w:p>
              </w:tc>
              <w:tc>
                <w:tcPr>
                  <w:tcW w:w="1229" w:type="dxa"/>
                  <w:tcBorders>
                    <w:tl2br w:val="nil"/>
                    <w:tr2bl w:val="nil"/>
                  </w:tcBorders>
                  <w:noWrap w:val="0"/>
                  <w:vAlign w:val="center"/>
                </w:tcPr>
                <w:p w14:paraId="14E318E8">
                  <w:pPr>
                    <w:jc w:val="center"/>
                    <w:outlineLvl w:val="9"/>
                    <w:rPr>
                      <w:rFonts w:hint="default" w:ascii="Times New Roman" w:hAnsi="Times New Roman" w:eastAsia="宋体" w:cs="Times New Roman"/>
                      <w:color w:val="auto"/>
                      <w:spacing w:val="0"/>
                      <w:sz w:val="21"/>
                      <w:szCs w:val="21"/>
                      <w:highlight w:val="none"/>
                      <w:u w:val="none" w:color="auto"/>
                      <w:lang w:val="en-US" w:eastAsia="zh-CN"/>
                    </w:rPr>
                  </w:pPr>
                  <w:r>
                    <w:rPr>
                      <w:rFonts w:hint="default" w:ascii="Times New Roman" w:hAnsi="Times New Roman" w:eastAsia="宋体" w:cs="Times New Roman"/>
                      <w:color w:val="auto"/>
                      <w:spacing w:val="0"/>
                      <w:sz w:val="21"/>
                      <w:szCs w:val="21"/>
                      <w:highlight w:val="none"/>
                      <w:u w:val="none" w:color="auto"/>
                      <w:lang w:val="en-US" w:eastAsia="zh-CN"/>
                    </w:rPr>
                    <w:t>厂区内10</w:t>
                  </w:r>
                </w:p>
                <w:p w14:paraId="139CE59A">
                  <w:pPr>
                    <w:jc w:val="center"/>
                    <w:outlineLvl w:val="9"/>
                    <w:rPr>
                      <w:rFonts w:hint="default" w:ascii="Times New Roman" w:hAnsi="Times New Roman" w:eastAsia="宋体" w:cs="Times New Roman"/>
                      <w:color w:val="auto"/>
                      <w:spacing w:val="0"/>
                      <w:sz w:val="21"/>
                      <w:szCs w:val="21"/>
                      <w:highlight w:val="none"/>
                      <w:u w:val="none" w:color="auto"/>
                      <w:lang w:val="en-US" w:eastAsia="zh-CN"/>
                    </w:rPr>
                  </w:pPr>
                  <w:r>
                    <w:rPr>
                      <w:rFonts w:hint="default" w:ascii="Times New Roman" w:hAnsi="Times New Roman" w:eastAsia="宋体" w:cs="Times New Roman"/>
                      <w:color w:val="auto"/>
                      <w:spacing w:val="0"/>
                      <w:sz w:val="21"/>
                      <w:szCs w:val="21"/>
                      <w:highlight w:val="none"/>
                      <w:u w:val="none" w:color="auto"/>
                      <w:lang w:val="en-US" w:eastAsia="zh-CN"/>
                    </w:rPr>
                    <w:t>厂界4.0</w:t>
                  </w:r>
                </w:p>
              </w:tc>
              <w:tc>
                <w:tcPr>
                  <w:tcW w:w="925" w:type="dxa"/>
                  <w:tcBorders>
                    <w:tl2br w:val="nil"/>
                    <w:tr2bl w:val="nil"/>
                  </w:tcBorders>
                  <w:noWrap w:val="0"/>
                  <w:vAlign w:val="center"/>
                </w:tcPr>
                <w:p w14:paraId="76542DB2">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top"/>
                    <w:rPr>
                      <w:rFonts w:hint="default" w:ascii="Times New Roman" w:hAnsi="Times New Roman" w:eastAsia="宋体" w:cs="Times New Roman"/>
                      <w:color w:val="auto"/>
                      <w:spacing w:val="0"/>
                      <w:sz w:val="21"/>
                      <w:szCs w:val="21"/>
                      <w:highlight w:val="none"/>
                      <w:u w:val="none" w:color="auto"/>
                      <w:lang w:val="en-US" w:eastAsia="zh-CN"/>
                    </w:rPr>
                  </w:pPr>
                  <w:r>
                    <w:rPr>
                      <w:rFonts w:hint="default" w:ascii="Times New Roman" w:hAnsi="Times New Roman" w:eastAsia="宋体" w:cs="Times New Roman"/>
                      <w:color w:val="auto"/>
                      <w:spacing w:val="0"/>
                      <w:sz w:val="21"/>
                      <w:szCs w:val="21"/>
                      <w:highlight w:val="none"/>
                      <w:u w:val="none" w:color="auto"/>
                      <w:lang w:val="en-US" w:eastAsia="zh-CN"/>
                    </w:rPr>
                    <w:t>1.0699</w:t>
                  </w:r>
                </w:p>
              </w:tc>
            </w:tr>
            <w:tr w14:paraId="50BC913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27" w:type="dxa"/>
                  <w:tcBorders>
                    <w:tl2br w:val="nil"/>
                    <w:tr2bl w:val="nil"/>
                  </w:tcBorders>
                  <w:noWrap w:val="0"/>
                  <w:vAlign w:val="center"/>
                </w:tcPr>
                <w:p w14:paraId="1757E50D">
                  <w:pPr>
                    <w:jc w:val="center"/>
                    <w:outlineLvl w:val="9"/>
                    <w:rPr>
                      <w:rFonts w:hint="default" w:ascii="Times New Roman" w:hAnsi="Times New Roman" w:eastAsia="宋体" w:cs="Times New Roman"/>
                      <w:color w:val="auto"/>
                      <w:spacing w:val="0"/>
                      <w:sz w:val="21"/>
                      <w:szCs w:val="21"/>
                      <w:highlight w:val="none"/>
                      <w:u w:val="none" w:color="auto"/>
                      <w:lang w:val="en-US" w:eastAsia="zh-CN"/>
                    </w:rPr>
                  </w:pPr>
                  <w:r>
                    <w:rPr>
                      <w:rFonts w:hint="default" w:ascii="Times New Roman" w:hAnsi="Times New Roman" w:eastAsia="宋体" w:cs="Times New Roman"/>
                      <w:color w:val="auto"/>
                      <w:spacing w:val="0"/>
                      <w:sz w:val="21"/>
                      <w:szCs w:val="21"/>
                      <w:highlight w:val="none"/>
                      <w:u w:val="none" w:color="auto"/>
                      <w:lang w:val="en-US" w:eastAsia="zh-CN"/>
                    </w:rPr>
                    <w:t>3</w:t>
                  </w:r>
                </w:p>
              </w:tc>
              <w:tc>
                <w:tcPr>
                  <w:tcW w:w="590" w:type="dxa"/>
                  <w:tcBorders>
                    <w:tl2br w:val="nil"/>
                    <w:tr2bl w:val="nil"/>
                  </w:tcBorders>
                  <w:noWrap w:val="0"/>
                  <w:vAlign w:val="center"/>
                </w:tcPr>
                <w:p w14:paraId="73E5C596">
                  <w:pPr>
                    <w:jc w:val="center"/>
                    <w:outlineLvl w:val="9"/>
                    <w:rPr>
                      <w:rFonts w:hint="default" w:ascii="Times New Roman" w:hAnsi="Times New Roman" w:eastAsia="宋体" w:cs="Times New Roman"/>
                      <w:color w:val="auto"/>
                      <w:spacing w:val="0"/>
                      <w:sz w:val="21"/>
                      <w:szCs w:val="21"/>
                      <w:highlight w:val="none"/>
                      <w:u w:val="none" w:color="auto"/>
                    </w:rPr>
                  </w:pPr>
                  <w:r>
                    <w:rPr>
                      <w:rFonts w:hint="default" w:ascii="Times New Roman" w:hAnsi="Times New Roman" w:eastAsia="宋体" w:cs="Times New Roman"/>
                      <w:color w:val="auto"/>
                      <w:spacing w:val="0"/>
                      <w:sz w:val="21"/>
                      <w:szCs w:val="21"/>
                      <w:highlight w:val="none"/>
                      <w:u w:val="none" w:color="auto"/>
                      <w:lang w:val="en-US" w:eastAsia="zh-CN"/>
                    </w:rPr>
                    <w:t>/</w:t>
                  </w:r>
                </w:p>
              </w:tc>
              <w:tc>
                <w:tcPr>
                  <w:tcW w:w="893" w:type="dxa"/>
                  <w:tcBorders>
                    <w:tl2br w:val="nil"/>
                    <w:tr2bl w:val="nil"/>
                  </w:tcBorders>
                  <w:noWrap w:val="0"/>
                  <w:vAlign w:val="center"/>
                </w:tcPr>
                <w:p w14:paraId="35D4212E">
                  <w:pPr>
                    <w:jc w:val="center"/>
                    <w:rPr>
                      <w:rFonts w:hint="default" w:ascii="Times New Roman" w:hAnsi="Times New Roman" w:eastAsia="宋体" w:cs="Times New Roman"/>
                      <w:color w:val="auto"/>
                      <w:spacing w:val="0"/>
                      <w:sz w:val="21"/>
                      <w:szCs w:val="21"/>
                      <w:highlight w:val="none"/>
                      <w:u w:val="none" w:color="auto"/>
                      <w:lang w:val="en-US" w:eastAsia="zh-CN"/>
                    </w:rPr>
                  </w:pPr>
                  <w:r>
                    <w:rPr>
                      <w:rFonts w:hint="default" w:ascii="Times New Roman" w:hAnsi="Times New Roman" w:eastAsia="宋体" w:cs="Times New Roman"/>
                      <w:color w:val="auto"/>
                      <w:spacing w:val="0"/>
                      <w:sz w:val="21"/>
                      <w:szCs w:val="21"/>
                      <w:highlight w:val="none"/>
                      <w:u w:val="none" w:color="auto"/>
                      <w:lang w:val="en-US" w:eastAsia="zh-CN"/>
                    </w:rPr>
                    <w:t>临港高新产业园区-激光打标粉尘</w:t>
                  </w:r>
                </w:p>
              </w:tc>
              <w:tc>
                <w:tcPr>
                  <w:tcW w:w="863" w:type="dxa"/>
                  <w:tcBorders>
                    <w:tl2br w:val="nil"/>
                    <w:tr2bl w:val="nil"/>
                  </w:tcBorders>
                  <w:noWrap w:val="0"/>
                  <w:vAlign w:val="center"/>
                </w:tcPr>
                <w:p w14:paraId="38D24651">
                  <w:pPr>
                    <w:pStyle w:val="2"/>
                    <w:keepNext w:val="0"/>
                    <w:keepLines w:val="0"/>
                    <w:pageBreakBefore w:val="0"/>
                    <w:widowControl/>
                    <w:kinsoku/>
                    <w:wordWrap/>
                    <w:overflowPunct/>
                    <w:topLinePunct w:val="0"/>
                    <w:autoSpaceDE/>
                    <w:autoSpaceDN/>
                    <w:bidi w:val="0"/>
                    <w:adjustRightInd/>
                    <w:snapToGrid/>
                    <w:spacing w:before="0" w:after="0" w:line="240" w:lineRule="auto"/>
                    <w:ind w:right="113" w:rightChars="0"/>
                    <w:jc w:val="center"/>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颗粒物</w:t>
                  </w:r>
                </w:p>
              </w:tc>
              <w:tc>
                <w:tcPr>
                  <w:tcW w:w="1286" w:type="dxa"/>
                  <w:tcBorders>
                    <w:tl2br w:val="nil"/>
                    <w:tr2bl w:val="nil"/>
                  </w:tcBorders>
                  <w:noWrap w:val="0"/>
                  <w:vAlign w:val="center"/>
                </w:tcPr>
                <w:p w14:paraId="7EA1D796">
                  <w:pPr>
                    <w:jc w:val="center"/>
                    <w:rPr>
                      <w:rFonts w:hint="default" w:ascii="Times New Roman" w:hAnsi="Times New Roman" w:eastAsia="宋体" w:cs="Times New Roman"/>
                      <w:color w:val="auto"/>
                      <w:spacing w:val="0"/>
                      <w:kern w:val="2"/>
                      <w:sz w:val="21"/>
                      <w:szCs w:val="21"/>
                      <w:highlight w:val="none"/>
                      <w:u w:val="none" w:color="auto"/>
                      <w:lang w:val="en-US" w:eastAsia="zh-CN" w:bidi="ar-SA"/>
                    </w:rPr>
                  </w:pPr>
                  <w:r>
                    <w:rPr>
                      <w:rFonts w:hint="default" w:ascii="Times New Roman" w:hAnsi="Times New Roman" w:eastAsia="宋体" w:cs="Times New Roman"/>
                      <w:color w:val="auto"/>
                      <w:spacing w:val="0"/>
                      <w:kern w:val="2"/>
                      <w:sz w:val="21"/>
                      <w:szCs w:val="21"/>
                      <w:highlight w:val="none"/>
                      <w:u w:val="none" w:color="auto"/>
                      <w:lang w:val="en-US" w:eastAsia="zh-CN" w:bidi="ar-SA"/>
                    </w:rPr>
                    <w:t>移动式布袋除尘器</w:t>
                  </w:r>
                </w:p>
              </w:tc>
              <w:tc>
                <w:tcPr>
                  <w:tcW w:w="1943" w:type="dxa"/>
                  <w:vMerge w:val="restart"/>
                  <w:tcBorders>
                    <w:tl2br w:val="nil"/>
                    <w:tr2bl w:val="nil"/>
                  </w:tcBorders>
                  <w:noWrap w:val="0"/>
                  <w:vAlign w:val="center"/>
                </w:tcPr>
                <w:p w14:paraId="494215D7">
                  <w:pPr>
                    <w:autoSpaceDE w:val="0"/>
                    <w:autoSpaceDN w:val="0"/>
                    <w:jc w:val="center"/>
                    <w:rPr>
                      <w:rFonts w:hint="default" w:ascii="Times New Roman" w:hAnsi="Times New Roman" w:eastAsia="宋体" w:cs="Times New Roman"/>
                      <w:color w:val="auto"/>
                      <w:spacing w:val="0"/>
                      <w:kern w:val="0"/>
                      <w:sz w:val="21"/>
                      <w:szCs w:val="21"/>
                      <w:highlight w:val="none"/>
                      <w:u w:val="none" w:color="auto"/>
                      <w:lang w:val="en-US" w:eastAsia="zh-CN" w:bidi="ar-SA"/>
                    </w:rPr>
                  </w:pPr>
                  <w:r>
                    <w:rPr>
                      <w:rFonts w:hint="default" w:ascii="Times New Roman" w:hAnsi="Times New Roman" w:eastAsia="宋体" w:cs="Times New Roman"/>
                      <w:color w:val="auto"/>
                      <w:spacing w:val="0"/>
                      <w:kern w:val="2"/>
                      <w:sz w:val="21"/>
                      <w:szCs w:val="21"/>
                      <w:highlight w:val="none"/>
                      <w:u w:val="none" w:color="auto"/>
                      <w:lang w:val="en-US" w:eastAsia="zh-CN" w:bidi="ar-SA"/>
                    </w:rPr>
                    <w:t xml:space="preserve">《大气污染物综合排放标准》（GB16297-1996）中表2 </w:t>
                  </w:r>
                </w:p>
              </w:tc>
              <w:tc>
                <w:tcPr>
                  <w:tcW w:w="1229" w:type="dxa"/>
                  <w:vMerge w:val="restart"/>
                  <w:tcBorders>
                    <w:tl2br w:val="nil"/>
                    <w:tr2bl w:val="nil"/>
                  </w:tcBorders>
                  <w:noWrap w:val="0"/>
                  <w:vAlign w:val="center"/>
                </w:tcPr>
                <w:p w14:paraId="60674394">
                  <w:pPr>
                    <w:jc w:val="center"/>
                    <w:outlineLvl w:val="9"/>
                    <w:rPr>
                      <w:rFonts w:hint="default" w:ascii="Times New Roman" w:hAnsi="Times New Roman" w:eastAsia="宋体" w:cs="Times New Roman"/>
                      <w:color w:val="auto"/>
                      <w:spacing w:val="0"/>
                      <w:sz w:val="21"/>
                      <w:szCs w:val="21"/>
                      <w:highlight w:val="none"/>
                      <w:u w:val="none" w:color="auto"/>
                      <w:lang w:val="en-US" w:eastAsia="zh-CN"/>
                    </w:rPr>
                  </w:pPr>
                  <w:r>
                    <w:rPr>
                      <w:rFonts w:hint="default" w:ascii="Times New Roman" w:hAnsi="Times New Roman" w:eastAsia="宋体" w:cs="Times New Roman"/>
                      <w:color w:val="auto"/>
                      <w:u w:val="none" w:color="auto"/>
                    </w:rPr>
                    <w:t>厂界1.0</w:t>
                  </w:r>
                </w:p>
              </w:tc>
              <w:tc>
                <w:tcPr>
                  <w:tcW w:w="925" w:type="dxa"/>
                  <w:tcBorders>
                    <w:tl2br w:val="nil"/>
                    <w:tr2bl w:val="nil"/>
                  </w:tcBorders>
                  <w:noWrap w:val="0"/>
                  <w:vAlign w:val="center"/>
                </w:tcPr>
                <w:p w14:paraId="4411A869">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top"/>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0.0913</w:t>
                  </w:r>
                </w:p>
              </w:tc>
            </w:tr>
            <w:tr w14:paraId="4DD6231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27" w:type="dxa"/>
                  <w:tcBorders>
                    <w:tl2br w:val="nil"/>
                    <w:tr2bl w:val="nil"/>
                  </w:tcBorders>
                  <w:noWrap w:val="0"/>
                  <w:vAlign w:val="center"/>
                </w:tcPr>
                <w:p w14:paraId="38FC17E7">
                  <w:pPr>
                    <w:jc w:val="center"/>
                    <w:outlineLvl w:val="9"/>
                    <w:rPr>
                      <w:rFonts w:hint="default" w:ascii="Times New Roman" w:hAnsi="Times New Roman" w:eastAsia="宋体" w:cs="Times New Roman"/>
                      <w:color w:val="auto"/>
                      <w:spacing w:val="0"/>
                      <w:sz w:val="21"/>
                      <w:szCs w:val="21"/>
                      <w:highlight w:val="none"/>
                      <w:u w:val="none" w:color="auto"/>
                      <w:lang w:val="en-US" w:eastAsia="zh-CN"/>
                    </w:rPr>
                  </w:pPr>
                  <w:r>
                    <w:rPr>
                      <w:rFonts w:hint="default" w:ascii="Times New Roman" w:hAnsi="Times New Roman" w:eastAsia="宋体" w:cs="Times New Roman"/>
                      <w:color w:val="auto"/>
                      <w:spacing w:val="0"/>
                      <w:sz w:val="21"/>
                      <w:szCs w:val="21"/>
                      <w:highlight w:val="none"/>
                      <w:u w:val="none" w:color="auto"/>
                      <w:lang w:val="en-US" w:eastAsia="zh-CN"/>
                    </w:rPr>
                    <w:t>4</w:t>
                  </w:r>
                </w:p>
              </w:tc>
              <w:tc>
                <w:tcPr>
                  <w:tcW w:w="590" w:type="dxa"/>
                  <w:tcBorders>
                    <w:tl2br w:val="nil"/>
                    <w:tr2bl w:val="nil"/>
                  </w:tcBorders>
                  <w:noWrap w:val="0"/>
                  <w:vAlign w:val="center"/>
                </w:tcPr>
                <w:p w14:paraId="723659E5">
                  <w:pPr>
                    <w:jc w:val="center"/>
                    <w:outlineLvl w:val="9"/>
                    <w:rPr>
                      <w:rFonts w:hint="default" w:ascii="Times New Roman" w:hAnsi="Times New Roman" w:eastAsia="宋体" w:cs="Times New Roman"/>
                      <w:color w:val="auto"/>
                      <w:spacing w:val="0"/>
                      <w:sz w:val="21"/>
                      <w:szCs w:val="21"/>
                      <w:highlight w:val="none"/>
                      <w:u w:val="none" w:color="auto"/>
                    </w:rPr>
                  </w:pPr>
                  <w:r>
                    <w:rPr>
                      <w:rFonts w:hint="default" w:ascii="Times New Roman" w:hAnsi="Times New Roman" w:eastAsia="宋体" w:cs="Times New Roman"/>
                      <w:color w:val="auto"/>
                      <w:spacing w:val="0"/>
                      <w:sz w:val="21"/>
                      <w:szCs w:val="21"/>
                      <w:highlight w:val="none"/>
                      <w:u w:val="none" w:color="auto"/>
                      <w:lang w:val="en-US" w:eastAsia="zh-CN"/>
                    </w:rPr>
                    <w:t>/</w:t>
                  </w:r>
                </w:p>
              </w:tc>
              <w:tc>
                <w:tcPr>
                  <w:tcW w:w="893" w:type="dxa"/>
                  <w:tcBorders>
                    <w:tl2br w:val="nil"/>
                    <w:tr2bl w:val="nil"/>
                  </w:tcBorders>
                  <w:noWrap w:val="0"/>
                  <w:vAlign w:val="center"/>
                </w:tcPr>
                <w:p w14:paraId="4CB52FB7">
                  <w:pPr>
                    <w:jc w:val="center"/>
                    <w:rPr>
                      <w:rFonts w:hint="default" w:ascii="Times New Roman" w:hAnsi="Times New Roman" w:eastAsia="宋体" w:cs="Times New Roman"/>
                      <w:color w:val="auto"/>
                      <w:spacing w:val="0"/>
                      <w:sz w:val="21"/>
                      <w:szCs w:val="21"/>
                      <w:highlight w:val="none"/>
                      <w:u w:val="none" w:color="auto"/>
                      <w:lang w:val="en-US" w:eastAsia="zh-CN"/>
                    </w:rPr>
                  </w:pPr>
                  <w:r>
                    <w:rPr>
                      <w:rFonts w:hint="default" w:ascii="Times New Roman" w:hAnsi="Times New Roman" w:eastAsia="宋体" w:cs="Times New Roman"/>
                      <w:color w:val="auto"/>
                      <w:spacing w:val="0"/>
                      <w:sz w:val="21"/>
                      <w:szCs w:val="21"/>
                      <w:highlight w:val="none"/>
                      <w:u w:val="none" w:color="auto"/>
                      <w:lang w:val="en-US" w:eastAsia="zh-CN"/>
                    </w:rPr>
                    <w:t>临港高新产业园区-去毛刺粉尘废气</w:t>
                  </w:r>
                </w:p>
              </w:tc>
              <w:tc>
                <w:tcPr>
                  <w:tcW w:w="863" w:type="dxa"/>
                  <w:tcBorders>
                    <w:tl2br w:val="nil"/>
                    <w:tr2bl w:val="nil"/>
                  </w:tcBorders>
                  <w:noWrap w:val="0"/>
                  <w:vAlign w:val="center"/>
                </w:tcPr>
                <w:p w14:paraId="11CDF0EA">
                  <w:pPr>
                    <w:pStyle w:val="2"/>
                    <w:keepNext w:val="0"/>
                    <w:keepLines w:val="0"/>
                    <w:pageBreakBefore w:val="0"/>
                    <w:widowControl/>
                    <w:kinsoku/>
                    <w:wordWrap/>
                    <w:overflowPunct/>
                    <w:topLinePunct w:val="0"/>
                    <w:autoSpaceDE/>
                    <w:autoSpaceDN/>
                    <w:bidi w:val="0"/>
                    <w:adjustRightInd/>
                    <w:snapToGrid/>
                    <w:spacing w:before="0" w:after="0" w:line="240" w:lineRule="auto"/>
                    <w:ind w:right="113" w:rightChars="0"/>
                    <w:jc w:val="center"/>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颗粒物</w:t>
                  </w:r>
                </w:p>
              </w:tc>
              <w:tc>
                <w:tcPr>
                  <w:tcW w:w="1286" w:type="dxa"/>
                  <w:tcBorders>
                    <w:tl2br w:val="nil"/>
                    <w:tr2bl w:val="nil"/>
                  </w:tcBorders>
                  <w:noWrap w:val="0"/>
                  <w:vAlign w:val="center"/>
                </w:tcPr>
                <w:p w14:paraId="48C5C73E">
                  <w:pPr>
                    <w:jc w:val="center"/>
                    <w:rPr>
                      <w:rFonts w:hint="default" w:ascii="Times New Roman" w:hAnsi="Times New Roman" w:eastAsia="宋体" w:cs="Times New Roman"/>
                      <w:color w:val="auto"/>
                      <w:spacing w:val="0"/>
                      <w:kern w:val="2"/>
                      <w:sz w:val="21"/>
                      <w:szCs w:val="21"/>
                      <w:highlight w:val="none"/>
                      <w:u w:val="none" w:color="auto"/>
                      <w:lang w:val="en-US" w:eastAsia="zh-CN" w:bidi="ar-SA"/>
                    </w:rPr>
                  </w:pPr>
                  <w:r>
                    <w:rPr>
                      <w:rFonts w:hint="default" w:ascii="Times New Roman" w:hAnsi="Times New Roman" w:eastAsia="宋体" w:cs="Times New Roman"/>
                      <w:color w:val="auto"/>
                      <w:spacing w:val="0"/>
                      <w:kern w:val="2"/>
                      <w:sz w:val="21"/>
                      <w:szCs w:val="21"/>
                      <w:highlight w:val="none"/>
                      <w:u w:val="none" w:color="auto"/>
                      <w:lang w:val="en-US" w:eastAsia="zh-CN" w:bidi="ar-SA"/>
                    </w:rPr>
                    <w:t>设备自带除尘器</w:t>
                  </w:r>
                </w:p>
              </w:tc>
              <w:tc>
                <w:tcPr>
                  <w:tcW w:w="1943" w:type="dxa"/>
                  <w:vMerge w:val="continue"/>
                  <w:tcBorders>
                    <w:tl2br w:val="nil"/>
                    <w:tr2bl w:val="nil"/>
                  </w:tcBorders>
                  <w:noWrap w:val="0"/>
                  <w:vAlign w:val="center"/>
                </w:tcPr>
                <w:p w14:paraId="3BE895A5">
                  <w:pPr>
                    <w:autoSpaceDE w:val="0"/>
                    <w:autoSpaceDN w:val="0"/>
                    <w:jc w:val="center"/>
                    <w:rPr>
                      <w:rFonts w:hint="default" w:ascii="Times New Roman" w:hAnsi="Times New Roman" w:eastAsia="宋体" w:cs="Times New Roman"/>
                      <w:color w:val="auto"/>
                      <w:spacing w:val="0"/>
                      <w:kern w:val="0"/>
                      <w:sz w:val="21"/>
                      <w:szCs w:val="21"/>
                      <w:highlight w:val="none"/>
                      <w:u w:val="none" w:color="auto"/>
                      <w:lang w:val="en-US" w:eastAsia="zh-CN" w:bidi="ar-SA"/>
                    </w:rPr>
                  </w:pPr>
                </w:p>
              </w:tc>
              <w:tc>
                <w:tcPr>
                  <w:tcW w:w="1229" w:type="dxa"/>
                  <w:vMerge w:val="continue"/>
                  <w:tcBorders>
                    <w:tl2br w:val="nil"/>
                    <w:tr2bl w:val="nil"/>
                  </w:tcBorders>
                  <w:noWrap w:val="0"/>
                  <w:vAlign w:val="center"/>
                </w:tcPr>
                <w:p w14:paraId="25DEB114">
                  <w:pPr>
                    <w:jc w:val="center"/>
                    <w:outlineLvl w:val="9"/>
                    <w:rPr>
                      <w:rFonts w:hint="default" w:ascii="Times New Roman" w:hAnsi="Times New Roman" w:eastAsia="宋体" w:cs="Times New Roman"/>
                      <w:color w:val="auto"/>
                      <w:spacing w:val="0"/>
                      <w:sz w:val="21"/>
                      <w:szCs w:val="21"/>
                      <w:highlight w:val="none"/>
                      <w:u w:val="none" w:color="auto"/>
                      <w:lang w:val="en-US" w:eastAsia="zh-CN"/>
                    </w:rPr>
                  </w:pPr>
                </w:p>
              </w:tc>
              <w:tc>
                <w:tcPr>
                  <w:tcW w:w="925" w:type="dxa"/>
                  <w:tcBorders>
                    <w:tl2br w:val="nil"/>
                    <w:tr2bl w:val="nil"/>
                  </w:tcBorders>
                  <w:noWrap w:val="0"/>
                  <w:vAlign w:val="center"/>
                </w:tcPr>
                <w:p w14:paraId="70C424CC">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top"/>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color w:val="auto"/>
                      <w:u w:val="none" w:color="auto"/>
                      <w:lang w:val="en-US" w:eastAsia="zh-CN"/>
                    </w:rPr>
                    <w:t>8.3806</w:t>
                  </w:r>
                </w:p>
              </w:tc>
            </w:tr>
            <w:tr w14:paraId="349E946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27" w:type="dxa"/>
                  <w:tcBorders>
                    <w:tl2br w:val="nil"/>
                    <w:tr2bl w:val="nil"/>
                  </w:tcBorders>
                  <w:shd w:val="clear" w:color="auto" w:fill="auto"/>
                  <w:noWrap w:val="0"/>
                  <w:vAlign w:val="center"/>
                </w:tcPr>
                <w:p w14:paraId="7785E26D">
                  <w:pPr>
                    <w:jc w:val="center"/>
                    <w:outlineLvl w:val="9"/>
                    <w:rPr>
                      <w:rFonts w:hint="default" w:ascii="Times New Roman" w:hAnsi="Times New Roman" w:eastAsia="宋体" w:cs="Times New Roman"/>
                      <w:color w:val="auto"/>
                      <w:spacing w:val="0"/>
                      <w:kern w:val="2"/>
                      <w:sz w:val="21"/>
                      <w:szCs w:val="21"/>
                      <w:highlight w:val="none"/>
                      <w:u w:val="none" w:color="auto"/>
                      <w:lang w:val="en-US" w:eastAsia="zh-CN" w:bidi="ar-SA"/>
                    </w:rPr>
                  </w:pPr>
                  <w:r>
                    <w:rPr>
                      <w:rFonts w:hint="default" w:ascii="Times New Roman" w:hAnsi="Times New Roman" w:eastAsia="宋体" w:cs="Times New Roman"/>
                      <w:color w:val="auto"/>
                      <w:spacing w:val="0"/>
                      <w:sz w:val="21"/>
                      <w:szCs w:val="21"/>
                      <w:highlight w:val="none"/>
                      <w:u w:val="none" w:color="auto"/>
                      <w:lang w:val="en-US" w:eastAsia="zh-CN"/>
                    </w:rPr>
                    <w:t>5</w:t>
                  </w:r>
                </w:p>
              </w:tc>
              <w:tc>
                <w:tcPr>
                  <w:tcW w:w="590" w:type="dxa"/>
                  <w:tcBorders>
                    <w:tl2br w:val="nil"/>
                    <w:tr2bl w:val="nil"/>
                  </w:tcBorders>
                  <w:noWrap w:val="0"/>
                  <w:vAlign w:val="center"/>
                </w:tcPr>
                <w:p w14:paraId="1E6FAB42">
                  <w:pPr>
                    <w:jc w:val="center"/>
                    <w:outlineLvl w:val="9"/>
                    <w:rPr>
                      <w:rFonts w:hint="default" w:ascii="Times New Roman" w:hAnsi="Times New Roman" w:eastAsia="宋体" w:cs="Times New Roman"/>
                      <w:color w:val="auto"/>
                      <w:spacing w:val="0"/>
                      <w:sz w:val="21"/>
                      <w:szCs w:val="21"/>
                      <w:highlight w:val="none"/>
                      <w:u w:val="none" w:color="auto"/>
                      <w:lang w:val="en-US" w:eastAsia="zh-CN"/>
                    </w:rPr>
                  </w:pPr>
                  <w:r>
                    <w:rPr>
                      <w:rFonts w:hint="default" w:ascii="Times New Roman" w:hAnsi="Times New Roman" w:eastAsia="宋体" w:cs="Times New Roman"/>
                      <w:color w:val="auto"/>
                      <w:spacing w:val="0"/>
                      <w:sz w:val="21"/>
                      <w:szCs w:val="21"/>
                      <w:highlight w:val="none"/>
                      <w:u w:val="none" w:color="auto"/>
                      <w:lang w:val="en-US" w:eastAsia="zh-CN"/>
                    </w:rPr>
                    <w:t>/</w:t>
                  </w:r>
                </w:p>
              </w:tc>
              <w:tc>
                <w:tcPr>
                  <w:tcW w:w="893" w:type="dxa"/>
                  <w:tcBorders>
                    <w:tl2br w:val="nil"/>
                    <w:tr2bl w:val="nil"/>
                  </w:tcBorders>
                  <w:noWrap w:val="0"/>
                  <w:vAlign w:val="center"/>
                </w:tcPr>
                <w:p w14:paraId="58A329B6">
                  <w:pPr>
                    <w:jc w:val="center"/>
                    <w:rPr>
                      <w:rFonts w:hint="default" w:ascii="Times New Roman" w:hAnsi="Times New Roman" w:eastAsia="宋体" w:cs="Times New Roman"/>
                      <w:color w:val="auto"/>
                      <w:spacing w:val="0"/>
                      <w:sz w:val="21"/>
                      <w:szCs w:val="21"/>
                      <w:highlight w:val="none"/>
                      <w:u w:val="none" w:color="auto"/>
                      <w:lang w:val="en-US" w:eastAsia="zh-CN"/>
                    </w:rPr>
                  </w:pPr>
                  <w:r>
                    <w:rPr>
                      <w:rFonts w:hint="default" w:ascii="Times New Roman" w:hAnsi="Times New Roman" w:eastAsia="宋体" w:cs="Times New Roman"/>
                      <w:color w:val="auto"/>
                      <w:spacing w:val="0"/>
                      <w:sz w:val="21"/>
                      <w:szCs w:val="21"/>
                      <w:highlight w:val="none"/>
                      <w:u w:val="none" w:color="auto"/>
                      <w:lang w:val="en-US" w:eastAsia="zh-CN"/>
                    </w:rPr>
                    <w:t>临港高新产业园区-人工补充打磨</w:t>
                  </w:r>
                </w:p>
              </w:tc>
              <w:tc>
                <w:tcPr>
                  <w:tcW w:w="863" w:type="dxa"/>
                  <w:tcBorders>
                    <w:tl2br w:val="nil"/>
                    <w:tr2bl w:val="nil"/>
                  </w:tcBorders>
                  <w:shd w:val="clear" w:color="auto" w:fill="auto"/>
                  <w:noWrap w:val="0"/>
                  <w:vAlign w:val="center"/>
                </w:tcPr>
                <w:p w14:paraId="5919A50C">
                  <w:pPr>
                    <w:pStyle w:val="2"/>
                    <w:keepNext w:val="0"/>
                    <w:keepLines w:val="0"/>
                    <w:pageBreakBefore w:val="0"/>
                    <w:widowControl/>
                    <w:kinsoku/>
                    <w:wordWrap/>
                    <w:overflowPunct/>
                    <w:topLinePunct w:val="0"/>
                    <w:autoSpaceDE/>
                    <w:autoSpaceDN/>
                    <w:bidi w:val="0"/>
                    <w:adjustRightInd/>
                    <w:snapToGrid/>
                    <w:spacing w:before="0" w:after="0" w:line="240" w:lineRule="auto"/>
                    <w:ind w:right="113" w:rightChars="0"/>
                    <w:jc w:val="center"/>
                    <w:rPr>
                      <w:rFonts w:hint="default" w:ascii="Times New Roman" w:hAnsi="Times New Roman" w:eastAsia="宋体" w:cs="Times New Roman"/>
                      <w:color w:val="auto"/>
                      <w:kern w:val="0"/>
                      <w:sz w:val="21"/>
                      <w:szCs w:val="21"/>
                      <w:u w:val="none" w:color="auto"/>
                      <w:vertAlign w:val="baseline"/>
                      <w:lang w:val="en-US" w:eastAsia="zh-CN" w:bidi="ar-SA"/>
                    </w:rPr>
                  </w:pPr>
                  <w:r>
                    <w:rPr>
                      <w:rFonts w:hint="default" w:ascii="Times New Roman" w:hAnsi="Times New Roman" w:eastAsia="宋体" w:cs="Times New Roman"/>
                      <w:color w:val="auto"/>
                      <w:sz w:val="21"/>
                      <w:szCs w:val="21"/>
                      <w:u w:val="none" w:color="auto"/>
                      <w:vertAlign w:val="baseline"/>
                      <w:lang w:val="en-US" w:eastAsia="zh-CN"/>
                    </w:rPr>
                    <w:t>颗粒物</w:t>
                  </w:r>
                </w:p>
              </w:tc>
              <w:tc>
                <w:tcPr>
                  <w:tcW w:w="1286" w:type="dxa"/>
                  <w:tcBorders>
                    <w:tl2br w:val="nil"/>
                    <w:tr2bl w:val="nil"/>
                  </w:tcBorders>
                  <w:noWrap w:val="0"/>
                  <w:vAlign w:val="center"/>
                </w:tcPr>
                <w:p w14:paraId="5FC3A94D">
                  <w:pPr>
                    <w:jc w:val="center"/>
                    <w:rPr>
                      <w:rFonts w:hint="default" w:ascii="Times New Roman" w:hAnsi="Times New Roman" w:eastAsia="宋体" w:cs="Times New Roman"/>
                      <w:color w:val="auto"/>
                      <w:spacing w:val="0"/>
                      <w:kern w:val="2"/>
                      <w:sz w:val="21"/>
                      <w:szCs w:val="21"/>
                      <w:highlight w:val="none"/>
                      <w:u w:val="none" w:color="auto"/>
                      <w:lang w:val="en-US" w:eastAsia="zh-CN" w:bidi="ar-SA"/>
                    </w:rPr>
                  </w:pPr>
                  <w:r>
                    <w:rPr>
                      <w:rFonts w:hint="default" w:ascii="Times New Roman" w:hAnsi="Times New Roman" w:eastAsia="宋体" w:cs="Times New Roman"/>
                      <w:color w:val="auto"/>
                      <w:spacing w:val="0"/>
                      <w:kern w:val="2"/>
                      <w:sz w:val="21"/>
                      <w:szCs w:val="21"/>
                      <w:highlight w:val="none"/>
                      <w:u w:val="none" w:color="auto"/>
                      <w:lang w:val="en-US" w:eastAsia="zh-CN" w:bidi="ar-SA"/>
                    </w:rPr>
                    <w:t>移动式除尘器</w:t>
                  </w:r>
                </w:p>
              </w:tc>
              <w:tc>
                <w:tcPr>
                  <w:tcW w:w="1943" w:type="dxa"/>
                  <w:vMerge w:val="continue"/>
                  <w:tcBorders>
                    <w:tl2br w:val="nil"/>
                    <w:tr2bl w:val="nil"/>
                  </w:tcBorders>
                  <w:noWrap w:val="0"/>
                  <w:vAlign w:val="center"/>
                </w:tcPr>
                <w:p w14:paraId="08ECFE08">
                  <w:pPr>
                    <w:autoSpaceDE w:val="0"/>
                    <w:autoSpaceDN w:val="0"/>
                    <w:jc w:val="center"/>
                    <w:rPr>
                      <w:rFonts w:hint="default" w:ascii="Times New Roman" w:hAnsi="Times New Roman" w:eastAsia="宋体" w:cs="Times New Roman"/>
                      <w:color w:val="auto"/>
                      <w:spacing w:val="0"/>
                      <w:kern w:val="0"/>
                      <w:sz w:val="21"/>
                      <w:szCs w:val="21"/>
                      <w:highlight w:val="none"/>
                      <w:u w:val="none" w:color="auto"/>
                      <w:lang w:val="en-US" w:eastAsia="zh-CN" w:bidi="ar-SA"/>
                    </w:rPr>
                  </w:pPr>
                </w:p>
              </w:tc>
              <w:tc>
                <w:tcPr>
                  <w:tcW w:w="1229" w:type="dxa"/>
                  <w:vMerge w:val="continue"/>
                  <w:tcBorders>
                    <w:tl2br w:val="nil"/>
                    <w:tr2bl w:val="nil"/>
                  </w:tcBorders>
                  <w:noWrap w:val="0"/>
                  <w:vAlign w:val="center"/>
                </w:tcPr>
                <w:p w14:paraId="3EED9398">
                  <w:pPr>
                    <w:jc w:val="center"/>
                    <w:outlineLvl w:val="9"/>
                    <w:rPr>
                      <w:rFonts w:hint="default" w:ascii="Times New Roman" w:hAnsi="Times New Roman" w:eastAsia="宋体" w:cs="Times New Roman"/>
                      <w:color w:val="auto"/>
                      <w:spacing w:val="0"/>
                      <w:sz w:val="21"/>
                      <w:szCs w:val="21"/>
                      <w:highlight w:val="none"/>
                      <w:u w:val="none" w:color="auto"/>
                      <w:lang w:val="en-US" w:eastAsia="zh-CN"/>
                    </w:rPr>
                  </w:pPr>
                </w:p>
              </w:tc>
              <w:tc>
                <w:tcPr>
                  <w:tcW w:w="925" w:type="dxa"/>
                  <w:tcBorders>
                    <w:tl2br w:val="nil"/>
                    <w:tr2bl w:val="nil"/>
                  </w:tcBorders>
                  <w:noWrap w:val="0"/>
                  <w:vAlign w:val="center"/>
                </w:tcPr>
                <w:p w14:paraId="418C7284">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top"/>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4.1325</w:t>
                  </w:r>
                </w:p>
              </w:tc>
            </w:tr>
            <w:tr w14:paraId="7B8AB2B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27" w:type="dxa"/>
                  <w:tcBorders>
                    <w:tl2br w:val="nil"/>
                    <w:tr2bl w:val="nil"/>
                  </w:tcBorders>
                  <w:shd w:val="clear" w:color="auto" w:fill="auto"/>
                  <w:noWrap w:val="0"/>
                  <w:vAlign w:val="center"/>
                </w:tcPr>
                <w:p w14:paraId="5BDB0FEE">
                  <w:pPr>
                    <w:jc w:val="center"/>
                    <w:outlineLvl w:val="9"/>
                    <w:rPr>
                      <w:rFonts w:hint="default" w:ascii="Times New Roman" w:hAnsi="Times New Roman" w:eastAsia="宋体" w:cs="Times New Roman"/>
                      <w:color w:val="auto"/>
                      <w:spacing w:val="0"/>
                      <w:kern w:val="2"/>
                      <w:sz w:val="21"/>
                      <w:szCs w:val="21"/>
                      <w:highlight w:val="none"/>
                      <w:u w:val="none" w:color="auto"/>
                      <w:lang w:val="en-US" w:eastAsia="zh-CN" w:bidi="ar-SA"/>
                    </w:rPr>
                  </w:pPr>
                  <w:r>
                    <w:rPr>
                      <w:rFonts w:hint="default" w:ascii="Times New Roman" w:hAnsi="Times New Roman" w:eastAsia="宋体" w:cs="Times New Roman"/>
                      <w:color w:val="auto"/>
                      <w:spacing w:val="0"/>
                      <w:sz w:val="21"/>
                      <w:szCs w:val="21"/>
                      <w:highlight w:val="none"/>
                      <w:u w:val="none" w:color="auto"/>
                      <w:lang w:val="en-US" w:eastAsia="zh-CN"/>
                    </w:rPr>
                    <w:t>6</w:t>
                  </w:r>
                </w:p>
              </w:tc>
              <w:tc>
                <w:tcPr>
                  <w:tcW w:w="590" w:type="dxa"/>
                  <w:tcBorders>
                    <w:tl2br w:val="nil"/>
                    <w:tr2bl w:val="nil"/>
                  </w:tcBorders>
                  <w:noWrap w:val="0"/>
                  <w:vAlign w:val="center"/>
                </w:tcPr>
                <w:p w14:paraId="76404C12">
                  <w:pPr>
                    <w:jc w:val="center"/>
                    <w:outlineLvl w:val="9"/>
                    <w:rPr>
                      <w:rFonts w:hint="default" w:ascii="Times New Roman" w:hAnsi="Times New Roman" w:eastAsia="宋体" w:cs="Times New Roman"/>
                      <w:color w:val="auto"/>
                      <w:spacing w:val="0"/>
                      <w:sz w:val="21"/>
                      <w:szCs w:val="21"/>
                      <w:highlight w:val="none"/>
                      <w:u w:val="none" w:color="auto"/>
                    </w:rPr>
                  </w:pPr>
                  <w:r>
                    <w:rPr>
                      <w:rFonts w:hint="default" w:ascii="Times New Roman" w:hAnsi="Times New Roman" w:eastAsia="宋体" w:cs="Times New Roman"/>
                      <w:color w:val="auto"/>
                      <w:spacing w:val="0"/>
                      <w:sz w:val="21"/>
                      <w:szCs w:val="21"/>
                      <w:highlight w:val="none"/>
                      <w:u w:val="none" w:color="auto"/>
                      <w:lang w:val="en-US" w:eastAsia="zh-CN"/>
                    </w:rPr>
                    <w:t>/</w:t>
                  </w:r>
                </w:p>
              </w:tc>
              <w:tc>
                <w:tcPr>
                  <w:tcW w:w="893" w:type="dxa"/>
                  <w:tcBorders>
                    <w:tl2br w:val="nil"/>
                    <w:tr2bl w:val="nil"/>
                  </w:tcBorders>
                  <w:noWrap w:val="0"/>
                  <w:vAlign w:val="center"/>
                </w:tcPr>
                <w:p w14:paraId="543BE2B9">
                  <w:pPr>
                    <w:jc w:val="center"/>
                    <w:rPr>
                      <w:rFonts w:hint="default" w:ascii="Times New Roman" w:hAnsi="Times New Roman" w:eastAsia="宋体" w:cs="Times New Roman"/>
                      <w:color w:val="auto"/>
                      <w:spacing w:val="0"/>
                      <w:sz w:val="21"/>
                      <w:szCs w:val="21"/>
                      <w:highlight w:val="none"/>
                      <w:u w:val="none" w:color="auto"/>
                      <w:lang w:val="en-US" w:eastAsia="zh-CN"/>
                    </w:rPr>
                  </w:pPr>
                  <w:r>
                    <w:rPr>
                      <w:rFonts w:hint="default" w:ascii="Times New Roman" w:hAnsi="Times New Roman" w:eastAsia="宋体" w:cs="Times New Roman"/>
                      <w:color w:val="auto"/>
                      <w:spacing w:val="0"/>
                      <w:sz w:val="21"/>
                      <w:szCs w:val="21"/>
                      <w:highlight w:val="none"/>
                      <w:u w:val="none" w:color="auto"/>
                      <w:lang w:val="en-US" w:eastAsia="zh-CN"/>
                    </w:rPr>
                    <w:t>临港高新产业园区-浸渗废气</w:t>
                  </w:r>
                </w:p>
              </w:tc>
              <w:tc>
                <w:tcPr>
                  <w:tcW w:w="863" w:type="dxa"/>
                  <w:tcBorders>
                    <w:tl2br w:val="nil"/>
                    <w:tr2bl w:val="nil"/>
                  </w:tcBorders>
                  <w:noWrap w:val="0"/>
                  <w:vAlign w:val="center"/>
                </w:tcPr>
                <w:p w14:paraId="1F24AF1C">
                  <w:pPr>
                    <w:pStyle w:val="2"/>
                    <w:keepNext w:val="0"/>
                    <w:keepLines w:val="0"/>
                    <w:pageBreakBefore w:val="0"/>
                    <w:widowControl/>
                    <w:kinsoku/>
                    <w:wordWrap/>
                    <w:overflowPunct/>
                    <w:topLinePunct w:val="0"/>
                    <w:autoSpaceDE/>
                    <w:autoSpaceDN/>
                    <w:bidi w:val="0"/>
                    <w:adjustRightInd/>
                    <w:snapToGrid/>
                    <w:spacing w:before="0" w:after="0" w:line="240" w:lineRule="auto"/>
                    <w:ind w:right="113" w:rightChars="0"/>
                    <w:jc w:val="center"/>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非甲烷总烃</w:t>
                  </w:r>
                </w:p>
              </w:tc>
              <w:tc>
                <w:tcPr>
                  <w:tcW w:w="1286" w:type="dxa"/>
                  <w:vMerge w:val="restart"/>
                  <w:tcBorders>
                    <w:tl2br w:val="nil"/>
                    <w:tr2bl w:val="nil"/>
                  </w:tcBorders>
                  <w:noWrap w:val="0"/>
                  <w:vAlign w:val="center"/>
                </w:tcPr>
                <w:p w14:paraId="2A32AA99">
                  <w:pPr>
                    <w:jc w:val="center"/>
                    <w:rPr>
                      <w:rFonts w:hint="default" w:ascii="Times New Roman" w:hAnsi="Times New Roman" w:eastAsia="宋体" w:cs="Times New Roman"/>
                      <w:color w:val="auto"/>
                      <w:spacing w:val="0"/>
                      <w:kern w:val="2"/>
                      <w:sz w:val="21"/>
                      <w:szCs w:val="21"/>
                      <w:highlight w:val="none"/>
                      <w:u w:val="none" w:color="auto"/>
                      <w:lang w:val="en-US" w:eastAsia="zh-CN" w:bidi="ar-SA"/>
                    </w:rPr>
                  </w:pPr>
                  <w:r>
                    <w:rPr>
                      <w:rFonts w:hint="default" w:ascii="Times New Roman" w:hAnsi="Times New Roman" w:eastAsia="宋体" w:cs="Times New Roman"/>
                      <w:color w:val="auto"/>
                      <w:spacing w:val="0"/>
                      <w:sz w:val="21"/>
                      <w:szCs w:val="21"/>
                      <w:highlight w:val="none"/>
                      <w:u w:val="none" w:color="auto"/>
                      <w:lang w:val="en-US" w:eastAsia="zh-CN"/>
                    </w:rPr>
                    <w:t>强化集气系统，工段设置密闭式，提高废气收集效率</w:t>
                  </w:r>
                </w:p>
              </w:tc>
              <w:tc>
                <w:tcPr>
                  <w:tcW w:w="1943" w:type="dxa"/>
                  <w:vMerge w:val="restart"/>
                  <w:tcBorders>
                    <w:tl2br w:val="nil"/>
                    <w:tr2bl w:val="nil"/>
                  </w:tcBorders>
                  <w:noWrap w:val="0"/>
                  <w:vAlign w:val="center"/>
                </w:tcPr>
                <w:p w14:paraId="60B46301">
                  <w:pPr>
                    <w:autoSpaceDE w:val="0"/>
                    <w:autoSpaceDN w:val="0"/>
                    <w:jc w:val="center"/>
                    <w:rPr>
                      <w:rFonts w:hint="default" w:ascii="Times New Roman" w:hAnsi="Times New Roman" w:eastAsia="宋体" w:cs="Times New Roman"/>
                      <w:color w:val="auto"/>
                      <w:spacing w:val="0"/>
                      <w:kern w:val="0"/>
                      <w:sz w:val="21"/>
                      <w:szCs w:val="21"/>
                      <w:highlight w:val="none"/>
                      <w:u w:val="none" w:color="auto"/>
                      <w:lang w:val="en-US" w:eastAsia="zh-CN" w:bidi="ar-SA"/>
                    </w:rPr>
                  </w:pPr>
                  <w:r>
                    <w:rPr>
                      <w:rFonts w:hint="default" w:ascii="Times New Roman" w:hAnsi="Times New Roman" w:eastAsia="宋体" w:cs="Times New Roman"/>
                      <w:color w:val="auto"/>
                      <w:spacing w:val="0"/>
                      <w:kern w:val="0"/>
                      <w:sz w:val="21"/>
                      <w:szCs w:val="21"/>
                      <w:highlight w:val="none"/>
                      <w:u w:val="none" w:color="auto"/>
                      <w:lang w:val="en-US" w:eastAsia="zh-CN" w:bidi="ar-SA"/>
                    </w:rPr>
                    <w:t>《表面涂装(汽车制造及维修)挥发性有机物、镍排放标准》（DB43/ 1356-2017）、《挥发性有机物无组织排放控制标准》（GB 37822-2019）</w:t>
                  </w:r>
                </w:p>
              </w:tc>
              <w:tc>
                <w:tcPr>
                  <w:tcW w:w="1229" w:type="dxa"/>
                  <w:vMerge w:val="restart"/>
                  <w:tcBorders>
                    <w:tl2br w:val="nil"/>
                    <w:tr2bl w:val="nil"/>
                  </w:tcBorders>
                  <w:noWrap w:val="0"/>
                  <w:vAlign w:val="center"/>
                </w:tcPr>
                <w:p w14:paraId="3B790D40">
                  <w:pPr>
                    <w:jc w:val="center"/>
                    <w:outlineLvl w:val="9"/>
                    <w:rPr>
                      <w:rFonts w:hint="default" w:ascii="Times New Roman" w:hAnsi="Times New Roman" w:eastAsia="宋体" w:cs="Times New Roman"/>
                      <w:color w:val="auto"/>
                      <w:spacing w:val="0"/>
                      <w:sz w:val="21"/>
                      <w:szCs w:val="21"/>
                      <w:highlight w:val="none"/>
                      <w:u w:val="none" w:color="auto"/>
                      <w:lang w:val="en-US" w:eastAsia="zh-CN"/>
                    </w:rPr>
                  </w:pPr>
                  <w:r>
                    <w:rPr>
                      <w:rFonts w:hint="default" w:ascii="Times New Roman" w:hAnsi="Times New Roman" w:eastAsia="宋体" w:cs="Times New Roman"/>
                      <w:color w:val="auto"/>
                      <w:spacing w:val="0"/>
                      <w:sz w:val="21"/>
                      <w:szCs w:val="21"/>
                      <w:highlight w:val="none"/>
                      <w:u w:val="none" w:color="auto"/>
                      <w:lang w:val="en-US" w:eastAsia="zh-CN"/>
                    </w:rPr>
                    <w:t>厂区内10</w:t>
                  </w:r>
                </w:p>
                <w:p w14:paraId="0D641989">
                  <w:pPr>
                    <w:jc w:val="center"/>
                    <w:outlineLvl w:val="9"/>
                    <w:rPr>
                      <w:rFonts w:hint="default" w:ascii="Times New Roman" w:hAnsi="Times New Roman" w:eastAsia="宋体" w:cs="Times New Roman"/>
                      <w:color w:val="auto"/>
                      <w:spacing w:val="0"/>
                      <w:sz w:val="21"/>
                      <w:szCs w:val="21"/>
                      <w:highlight w:val="none"/>
                      <w:u w:val="none" w:color="auto"/>
                      <w:lang w:val="en-US" w:eastAsia="zh-CN"/>
                    </w:rPr>
                  </w:pPr>
                  <w:r>
                    <w:rPr>
                      <w:rFonts w:hint="default" w:ascii="Times New Roman" w:hAnsi="Times New Roman" w:eastAsia="宋体" w:cs="Times New Roman"/>
                      <w:color w:val="auto"/>
                      <w:spacing w:val="0"/>
                      <w:sz w:val="21"/>
                      <w:szCs w:val="21"/>
                      <w:highlight w:val="none"/>
                      <w:u w:val="none" w:color="auto"/>
                      <w:lang w:val="en-US" w:eastAsia="zh-CN"/>
                    </w:rPr>
                    <w:t>厂界4.0</w:t>
                  </w:r>
                </w:p>
              </w:tc>
              <w:tc>
                <w:tcPr>
                  <w:tcW w:w="925" w:type="dxa"/>
                  <w:tcBorders>
                    <w:tl2br w:val="nil"/>
                    <w:tr2bl w:val="nil"/>
                  </w:tcBorders>
                  <w:noWrap w:val="0"/>
                  <w:vAlign w:val="center"/>
                </w:tcPr>
                <w:p w14:paraId="48904117">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top"/>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0.0187</w:t>
                  </w:r>
                </w:p>
              </w:tc>
            </w:tr>
            <w:tr w14:paraId="1A78042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27" w:type="dxa"/>
                  <w:tcBorders>
                    <w:tl2br w:val="nil"/>
                    <w:tr2bl w:val="nil"/>
                  </w:tcBorders>
                  <w:noWrap w:val="0"/>
                  <w:vAlign w:val="center"/>
                </w:tcPr>
                <w:p w14:paraId="23CC164A">
                  <w:pPr>
                    <w:jc w:val="center"/>
                    <w:outlineLvl w:val="9"/>
                    <w:rPr>
                      <w:rFonts w:hint="default" w:ascii="Times New Roman" w:hAnsi="Times New Roman" w:eastAsia="宋体" w:cs="Times New Roman"/>
                      <w:color w:val="auto"/>
                      <w:spacing w:val="0"/>
                      <w:sz w:val="21"/>
                      <w:szCs w:val="21"/>
                      <w:highlight w:val="none"/>
                      <w:u w:val="none" w:color="auto"/>
                      <w:lang w:val="en-US" w:eastAsia="zh-CN"/>
                    </w:rPr>
                  </w:pPr>
                  <w:r>
                    <w:rPr>
                      <w:rFonts w:hint="default" w:ascii="Times New Roman" w:hAnsi="Times New Roman" w:eastAsia="宋体" w:cs="Times New Roman"/>
                      <w:color w:val="auto"/>
                      <w:spacing w:val="0"/>
                      <w:sz w:val="21"/>
                      <w:szCs w:val="21"/>
                      <w:highlight w:val="none"/>
                      <w:u w:val="none" w:color="auto"/>
                      <w:lang w:val="en-US" w:eastAsia="zh-CN"/>
                    </w:rPr>
                    <w:t>7</w:t>
                  </w:r>
                </w:p>
              </w:tc>
              <w:tc>
                <w:tcPr>
                  <w:tcW w:w="590" w:type="dxa"/>
                  <w:tcBorders>
                    <w:tl2br w:val="nil"/>
                    <w:tr2bl w:val="nil"/>
                  </w:tcBorders>
                  <w:noWrap w:val="0"/>
                  <w:vAlign w:val="center"/>
                </w:tcPr>
                <w:p w14:paraId="55ED5F9E">
                  <w:pPr>
                    <w:jc w:val="center"/>
                    <w:outlineLvl w:val="9"/>
                    <w:rPr>
                      <w:rFonts w:hint="default" w:ascii="Times New Roman" w:hAnsi="Times New Roman" w:eastAsia="宋体" w:cs="Times New Roman"/>
                      <w:color w:val="auto"/>
                      <w:spacing w:val="0"/>
                      <w:sz w:val="21"/>
                      <w:szCs w:val="21"/>
                      <w:highlight w:val="none"/>
                      <w:u w:val="none" w:color="auto"/>
                      <w:lang w:val="en-US" w:eastAsia="zh-CN"/>
                    </w:rPr>
                  </w:pPr>
                  <w:r>
                    <w:rPr>
                      <w:rFonts w:hint="default" w:ascii="Times New Roman" w:hAnsi="Times New Roman" w:eastAsia="宋体" w:cs="Times New Roman"/>
                      <w:color w:val="auto"/>
                      <w:spacing w:val="0"/>
                      <w:sz w:val="21"/>
                      <w:szCs w:val="21"/>
                      <w:highlight w:val="none"/>
                      <w:u w:val="none" w:color="auto"/>
                      <w:lang w:val="en-US" w:eastAsia="zh-CN"/>
                    </w:rPr>
                    <w:t>/</w:t>
                  </w:r>
                </w:p>
              </w:tc>
              <w:tc>
                <w:tcPr>
                  <w:tcW w:w="893" w:type="dxa"/>
                  <w:tcBorders>
                    <w:tl2br w:val="nil"/>
                    <w:tr2bl w:val="nil"/>
                  </w:tcBorders>
                  <w:noWrap w:val="0"/>
                  <w:vAlign w:val="center"/>
                </w:tcPr>
                <w:p w14:paraId="1E666D20">
                  <w:pPr>
                    <w:jc w:val="center"/>
                    <w:rPr>
                      <w:rFonts w:hint="default" w:ascii="Times New Roman" w:hAnsi="Times New Roman" w:eastAsia="宋体" w:cs="Times New Roman"/>
                      <w:color w:val="auto"/>
                      <w:spacing w:val="0"/>
                      <w:sz w:val="21"/>
                      <w:szCs w:val="21"/>
                      <w:highlight w:val="none"/>
                      <w:u w:val="none" w:color="auto"/>
                      <w:lang w:val="en-US" w:eastAsia="zh-CN"/>
                    </w:rPr>
                  </w:pPr>
                  <w:r>
                    <w:rPr>
                      <w:rFonts w:hint="default" w:ascii="Times New Roman" w:hAnsi="Times New Roman" w:eastAsia="宋体" w:cs="Times New Roman"/>
                      <w:color w:val="auto"/>
                      <w:spacing w:val="0"/>
                      <w:sz w:val="21"/>
                      <w:szCs w:val="21"/>
                      <w:highlight w:val="none"/>
                      <w:u w:val="none" w:color="auto"/>
                      <w:lang w:val="en-US" w:eastAsia="zh-CN"/>
                    </w:rPr>
                    <w:t>临港高新产业园区-CNC粗/精加工油雾废气</w:t>
                  </w:r>
                </w:p>
              </w:tc>
              <w:tc>
                <w:tcPr>
                  <w:tcW w:w="863" w:type="dxa"/>
                  <w:tcBorders>
                    <w:tl2br w:val="nil"/>
                    <w:tr2bl w:val="nil"/>
                  </w:tcBorders>
                  <w:noWrap w:val="0"/>
                  <w:vAlign w:val="center"/>
                </w:tcPr>
                <w:p w14:paraId="3375A09C">
                  <w:pPr>
                    <w:pStyle w:val="2"/>
                    <w:keepNext w:val="0"/>
                    <w:keepLines w:val="0"/>
                    <w:pageBreakBefore w:val="0"/>
                    <w:widowControl/>
                    <w:kinsoku/>
                    <w:wordWrap/>
                    <w:overflowPunct/>
                    <w:topLinePunct w:val="0"/>
                    <w:autoSpaceDE/>
                    <w:autoSpaceDN/>
                    <w:bidi w:val="0"/>
                    <w:adjustRightInd/>
                    <w:snapToGrid/>
                    <w:spacing w:before="0" w:after="0" w:line="240" w:lineRule="auto"/>
                    <w:ind w:right="113" w:rightChars="0"/>
                    <w:jc w:val="center"/>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油雾（以非甲烷总烃表征）</w:t>
                  </w:r>
                </w:p>
              </w:tc>
              <w:tc>
                <w:tcPr>
                  <w:tcW w:w="1286" w:type="dxa"/>
                  <w:vMerge w:val="continue"/>
                  <w:tcBorders>
                    <w:tl2br w:val="nil"/>
                    <w:tr2bl w:val="nil"/>
                  </w:tcBorders>
                  <w:noWrap w:val="0"/>
                  <w:vAlign w:val="center"/>
                </w:tcPr>
                <w:p w14:paraId="51A28962">
                  <w:pPr>
                    <w:jc w:val="center"/>
                    <w:rPr>
                      <w:rFonts w:hint="default" w:ascii="Times New Roman" w:hAnsi="Times New Roman" w:eastAsia="宋体" w:cs="Times New Roman"/>
                      <w:color w:val="auto"/>
                      <w:spacing w:val="0"/>
                      <w:sz w:val="21"/>
                      <w:szCs w:val="21"/>
                      <w:highlight w:val="none"/>
                      <w:u w:val="none" w:color="auto"/>
                      <w:lang w:val="en-US" w:eastAsia="zh-CN"/>
                    </w:rPr>
                  </w:pPr>
                </w:p>
              </w:tc>
              <w:tc>
                <w:tcPr>
                  <w:tcW w:w="1943" w:type="dxa"/>
                  <w:vMerge w:val="continue"/>
                  <w:tcBorders>
                    <w:tl2br w:val="nil"/>
                    <w:tr2bl w:val="nil"/>
                  </w:tcBorders>
                  <w:noWrap w:val="0"/>
                  <w:vAlign w:val="center"/>
                </w:tcPr>
                <w:p w14:paraId="5AD6245D">
                  <w:pPr>
                    <w:autoSpaceDE w:val="0"/>
                    <w:autoSpaceDN w:val="0"/>
                    <w:jc w:val="center"/>
                    <w:rPr>
                      <w:rFonts w:hint="default" w:ascii="Times New Roman" w:hAnsi="Times New Roman" w:eastAsia="宋体" w:cs="Times New Roman"/>
                      <w:color w:val="auto"/>
                      <w:spacing w:val="0"/>
                      <w:kern w:val="0"/>
                      <w:sz w:val="21"/>
                      <w:szCs w:val="21"/>
                      <w:highlight w:val="none"/>
                      <w:u w:val="none" w:color="auto"/>
                      <w:lang w:val="en-US" w:eastAsia="zh-CN" w:bidi="ar-SA"/>
                    </w:rPr>
                  </w:pPr>
                </w:p>
              </w:tc>
              <w:tc>
                <w:tcPr>
                  <w:tcW w:w="1229" w:type="dxa"/>
                  <w:vMerge w:val="continue"/>
                  <w:tcBorders>
                    <w:tl2br w:val="nil"/>
                    <w:tr2bl w:val="nil"/>
                  </w:tcBorders>
                  <w:noWrap w:val="0"/>
                  <w:vAlign w:val="center"/>
                </w:tcPr>
                <w:p w14:paraId="429475E1">
                  <w:pPr>
                    <w:jc w:val="center"/>
                    <w:outlineLvl w:val="9"/>
                    <w:rPr>
                      <w:rFonts w:hint="default" w:ascii="Times New Roman" w:hAnsi="Times New Roman" w:eastAsia="宋体" w:cs="Times New Roman"/>
                      <w:color w:val="auto"/>
                      <w:spacing w:val="0"/>
                      <w:sz w:val="21"/>
                      <w:szCs w:val="21"/>
                      <w:highlight w:val="none"/>
                      <w:u w:val="none" w:color="auto"/>
                      <w:lang w:val="en-US" w:eastAsia="zh-CN"/>
                    </w:rPr>
                  </w:pPr>
                </w:p>
              </w:tc>
              <w:tc>
                <w:tcPr>
                  <w:tcW w:w="925" w:type="dxa"/>
                  <w:tcBorders>
                    <w:tl2br w:val="nil"/>
                    <w:tr2bl w:val="nil"/>
                  </w:tcBorders>
                  <w:noWrap w:val="0"/>
                  <w:vAlign w:val="center"/>
                </w:tcPr>
                <w:p w14:paraId="3A164E1E">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top"/>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0.0620</w:t>
                  </w:r>
                </w:p>
              </w:tc>
            </w:tr>
            <w:tr w14:paraId="6C8736B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910" w:type="dxa"/>
                  <w:gridSpan w:val="3"/>
                  <w:vMerge w:val="restart"/>
                  <w:tcBorders>
                    <w:tl2br w:val="nil"/>
                    <w:tr2bl w:val="nil"/>
                  </w:tcBorders>
                  <w:noWrap w:val="0"/>
                  <w:vAlign w:val="center"/>
                </w:tcPr>
                <w:p w14:paraId="09A001BC">
                  <w:pPr>
                    <w:jc w:val="center"/>
                    <w:outlineLvl w:val="9"/>
                    <w:rPr>
                      <w:rFonts w:hint="default" w:ascii="Times New Roman" w:hAnsi="Times New Roman" w:eastAsia="宋体" w:cs="Times New Roman"/>
                      <w:color w:val="auto"/>
                      <w:spacing w:val="0"/>
                      <w:sz w:val="21"/>
                      <w:szCs w:val="21"/>
                      <w:highlight w:val="none"/>
                      <w:u w:val="none" w:color="auto"/>
                    </w:rPr>
                  </w:pPr>
                  <w:r>
                    <w:rPr>
                      <w:rFonts w:hint="default" w:ascii="Times New Roman" w:hAnsi="Times New Roman" w:eastAsia="宋体" w:cs="Times New Roman"/>
                      <w:color w:val="auto"/>
                      <w:spacing w:val="0"/>
                      <w:sz w:val="21"/>
                      <w:szCs w:val="21"/>
                      <w:highlight w:val="none"/>
                      <w:u w:val="none" w:color="auto"/>
                    </w:rPr>
                    <w:t>无组织排放合计</w:t>
                  </w:r>
                </w:p>
              </w:tc>
              <w:tc>
                <w:tcPr>
                  <w:tcW w:w="5321" w:type="dxa"/>
                  <w:gridSpan w:val="4"/>
                  <w:tcBorders>
                    <w:tl2br w:val="nil"/>
                    <w:tr2bl w:val="nil"/>
                  </w:tcBorders>
                  <w:shd w:val="clear" w:color="auto" w:fill="auto"/>
                  <w:noWrap w:val="0"/>
                  <w:vAlign w:val="center"/>
                </w:tcPr>
                <w:p w14:paraId="533C96E6">
                  <w:pPr>
                    <w:jc w:val="center"/>
                    <w:rPr>
                      <w:rFonts w:hint="default" w:ascii="Times New Roman" w:hAnsi="Times New Roman" w:eastAsia="宋体" w:cs="Times New Roman"/>
                      <w:color w:val="auto"/>
                      <w:spacing w:val="0"/>
                      <w:kern w:val="2"/>
                      <w:sz w:val="21"/>
                      <w:szCs w:val="21"/>
                      <w:highlight w:val="none"/>
                      <w:u w:val="none" w:color="auto"/>
                      <w:lang w:val="en-US" w:eastAsia="zh-CN" w:bidi="ar-SA"/>
                    </w:rPr>
                  </w:pPr>
                  <w:r>
                    <w:rPr>
                      <w:rFonts w:hint="default" w:ascii="Times New Roman" w:hAnsi="Times New Roman" w:eastAsia="宋体" w:cs="Times New Roman"/>
                      <w:color w:val="auto"/>
                      <w:u w:val="none" w:color="auto"/>
                      <w:lang w:val="en-US" w:eastAsia="zh-CN"/>
                    </w:rPr>
                    <w:t>颗粒物</w:t>
                  </w:r>
                </w:p>
              </w:tc>
              <w:tc>
                <w:tcPr>
                  <w:tcW w:w="925" w:type="dxa"/>
                  <w:tcBorders>
                    <w:tl2br w:val="nil"/>
                    <w:tr2bl w:val="nil"/>
                  </w:tcBorders>
                  <w:shd w:val="clear" w:color="auto" w:fill="auto"/>
                  <w:noWrap w:val="0"/>
                  <w:vAlign w:val="center"/>
                </w:tcPr>
                <w:p w14:paraId="141A15A9">
                  <w:pPr>
                    <w:keepNext w:val="0"/>
                    <w:keepLines w:val="0"/>
                    <w:widowControl/>
                    <w:suppressLineNumbers w:val="0"/>
                    <w:jc w:val="center"/>
                    <w:textAlignment w:val="center"/>
                    <w:rPr>
                      <w:rFonts w:hint="default" w:ascii="Times New Roman" w:hAnsi="Times New Roman" w:eastAsia="宋体" w:cs="Times New Roman"/>
                      <w:color w:val="auto"/>
                      <w:spacing w:val="0"/>
                      <w:kern w:val="2"/>
                      <w:sz w:val="21"/>
                      <w:szCs w:val="21"/>
                      <w:highlight w:val="none"/>
                      <w:u w:val="none" w:color="auto"/>
                      <w:lang w:val="en-US" w:eastAsia="zh-CN" w:bidi="ar-SA"/>
                    </w:rPr>
                  </w:pPr>
                  <w:r>
                    <w:rPr>
                      <w:rFonts w:hint="default" w:ascii="Times New Roman" w:hAnsi="Times New Roman" w:eastAsia="宋体" w:cs="Times New Roman"/>
                      <w:i w:val="0"/>
                      <w:iCs w:val="0"/>
                      <w:color w:val="auto"/>
                      <w:kern w:val="0"/>
                      <w:sz w:val="21"/>
                      <w:szCs w:val="21"/>
                      <w:u w:val="none" w:color="auto"/>
                      <w:lang w:val="en-US" w:eastAsia="zh-CN" w:bidi="ar"/>
                    </w:rPr>
                    <w:t>17.2784‬</w:t>
                  </w:r>
                </w:p>
              </w:tc>
            </w:tr>
            <w:tr w14:paraId="18B6C1A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910" w:type="dxa"/>
                  <w:gridSpan w:val="3"/>
                  <w:vMerge w:val="continue"/>
                  <w:tcBorders>
                    <w:tl2br w:val="nil"/>
                    <w:tr2bl w:val="nil"/>
                  </w:tcBorders>
                  <w:noWrap w:val="0"/>
                  <w:vAlign w:val="center"/>
                </w:tcPr>
                <w:p w14:paraId="1C1908B6">
                  <w:pPr>
                    <w:jc w:val="center"/>
                    <w:outlineLvl w:val="9"/>
                    <w:rPr>
                      <w:rFonts w:hint="default" w:ascii="Times New Roman" w:hAnsi="Times New Roman" w:eastAsia="宋体" w:cs="Times New Roman"/>
                      <w:color w:val="auto"/>
                      <w:spacing w:val="0"/>
                      <w:sz w:val="21"/>
                      <w:szCs w:val="21"/>
                      <w:highlight w:val="none"/>
                      <w:u w:val="none" w:color="auto"/>
                    </w:rPr>
                  </w:pPr>
                </w:p>
              </w:tc>
              <w:tc>
                <w:tcPr>
                  <w:tcW w:w="5321" w:type="dxa"/>
                  <w:gridSpan w:val="4"/>
                  <w:tcBorders>
                    <w:tl2br w:val="nil"/>
                    <w:tr2bl w:val="nil"/>
                  </w:tcBorders>
                  <w:shd w:val="clear" w:color="auto" w:fill="auto"/>
                  <w:noWrap w:val="0"/>
                  <w:vAlign w:val="center"/>
                </w:tcPr>
                <w:p w14:paraId="143CD6F7">
                  <w:pPr>
                    <w:jc w:val="center"/>
                    <w:rPr>
                      <w:rFonts w:hint="default" w:ascii="Times New Roman" w:hAnsi="Times New Roman" w:eastAsia="宋体" w:cs="Times New Roman"/>
                      <w:color w:val="auto"/>
                      <w:spacing w:val="0"/>
                      <w:kern w:val="2"/>
                      <w:sz w:val="21"/>
                      <w:szCs w:val="21"/>
                      <w:highlight w:val="none"/>
                      <w:u w:val="none" w:color="auto"/>
                      <w:lang w:val="en-US" w:eastAsia="zh-CN" w:bidi="ar-SA"/>
                    </w:rPr>
                  </w:pPr>
                  <w:r>
                    <w:rPr>
                      <w:rFonts w:hint="default" w:ascii="Times New Roman" w:hAnsi="Times New Roman" w:eastAsia="宋体" w:cs="Times New Roman"/>
                      <w:color w:val="auto"/>
                      <w:u w:val="none" w:color="auto"/>
                    </w:rPr>
                    <w:t>SO</w:t>
                  </w:r>
                  <w:r>
                    <w:rPr>
                      <w:rFonts w:hint="default" w:ascii="Times New Roman" w:hAnsi="Times New Roman" w:eastAsia="宋体" w:cs="Times New Roman"/>
                      <w:color w:val="auto"/>
                      <w:u w:val="none" w:color="auto"/>
                      <w:vertAlign w:val="subscript"/>
                    </w:rPr>
                    <w:t>2</w:t>
                  </w:r>
                </w:p>
              </w:tc>
              <w:tc>
                <w:tcPr>
                  <w:tcW w:w="925" w:type="dxa"/>
                  <w:tcBorders>
                    <w:tl2br w:val="nil"/>
                    <w:tr2bl w:val="nil"/>
                  </w:tcBorders>
                  <w:shd w:val="clear" w:color="auto" w:fill="auto"/>
                  <w:noWrap w:val="0"/>
                  <w:vAlign w:val="center"/>
                </w:tcPr>
                <w:p w14:paraId="5E8417A9">
                  <w:pPr>
                    <w:keepNext w:val="0"/>
                    <w:keepLines w:val="0"/>
                    <w:widowControl/>
                    <w:suppressLineNumbers w:val="0"/>
                    <w:jc w:val="center"/>
                    <w:textAlignment w:val="center"/>
                    <w:rPr>
                      <w:rFonts w:hint="default" w:ascii="Times New Roman" w:hAnsi="Times New Roman" w:eastAsia="宋体" w:cs="Times New Roman"/>
                      <w:color w:val="auto"/>
                      <w:spacing w:val="0"/>
                      <w:kern w:val="2"/>
                      <w:sz w:val="21"/>
                      <w:szCs w:val="21"/>
                      <w:highlight w:val="none"/>
                      <w:u w:val="none" w:color="auto"/>
                      <w:lang w:val="en-US" w:eastAsia="zh-CN" w:bidi="ar-SA"/>
                    </w:rPr>
                  </w:pPr>
                  <w:r>
                    <w:rPr>
                      <w:rFonts w:hint="default" w:ascii="Times New Roman" w:hAnsi="Times New Roman" w:eastAsia="宋体" w:cs="Times New Roman"/>
                      <w:i w:val="0"/>
                      <w:iCs w:val="0"/>
                      <w:color w:val="auto"/>
                      <w:kern w:val="0"/>
                      <w:sz w:val="21"/>
                      <w:szCs w:val="21"/>
                      <w:u w:val="none" w:color="auto"/>
                      <w:lang w:val="en-US" w:eastAsia="zh-CN" w:bidi="ar"/>
                    </w:rPr>
                    <w:t>0.5545</w:t>
                  </w:r>
                </w:p>
              </w:tc>
            </w:tr>
            <w:tr w14:paraId="3C4ABC8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910" w:type="dxa"/>
                  <w:gridSpan w:val="3"/>
                  <w:vMerge w:val="continue"/>
                  <w:tcBorders>
                    <w:tl2br w:val="nil"/>
                    <w:tr2bl w:val="nil"/>
                  </w:tcBorders>
                  <w:noWrap w:val="0"/>
                  <w:vAlign w:val="center"/>
                </w:tcPr>
                <w:p w14:paraId="2BFCC082">
                  <w:pPr>
                    <w:jc w:val="center"/>
                    <w:outlineLvl w:val="9"/>
                    <w:rPr>
                      <w:rFonts w:hint="default" w:ascii="Times New Roman" w:hAnsi="Times New Roman" w:eastAsia="宋体" w:cs="Times New Roman"/>
                      <w:color w:val="auto"/>
                      <w:spacing w:val="0"/>
                      <w:sz w:val="21"/>
                      <w:szCs w:val="21"/>
                      <w:highlight w:val="none"/>
                      <w:u w:val="none" w:color="auto"/>
                    </w:rPr>
                  </w:pPr>
                </w:p>
              </w:tc>
              <w:tc>
                <w:tcPr>
                  <w:tcW w:w="5321" w:type="dxa"/>
                  <w:gridSpan w:val="4"/>
                  <w:tcBorders>
                    <w:tl2br w:val="nil"/>
                    <w:tr2bl w:val="nil"/>
                  </w:tcBorders>
                  <w:shd w:val="clear" w:color="auto" w:fill="auto"/>
                  <w:noWrap w:val="0"/>
                  <w:vAlign w:val="center"/>
                </w:tcPr>
                <w:p w14:paraId="3A2D5064">
                  <w:pPr>
                    <w:jc w:val="center"/>
                    <w:rPr>
                      <w:rFonts w:hint="default" w:ascii="Times New Roman" w:hAnsi="Times New Roman" w:eastAsia="宋体" w:cs="Times New Roman"/>
                      <w:color w:val="auto"/>
                      <w:spacing w:val="0"/>
                      <w:kern w:val="2"/>
                      <w:sz w:val="21"/>
                      <w:szCs w:val="21"/>
                      <w:highlight w:val="none"/>
                      <w:u w:val="none" w:color="auto"/>
                      <w:lang w:val="en-US" w:eastAsia="zh-CN" w:bidi="ar-SA"/>
                    </w:rPr>
                  </w:pPr>
                  <w:r>
                    <w:rPr>
                      <w:rFonts w:hint="default" w:ascii="Times New Roman" w:hAnsi="Times New Roman" w:eastAsia="宋体" w:cs="Times New Roman"/>
                      <w:color w:val="auto"/>
                      <w:u w:val="none" w:color="auto"/>
                    </w:rPr>
                    <w:t>NO</w:t>
                  </w:r>
                  <w:r>
                    <w:rPr>
                      <w:rFonts w:hint="default" w:ascii="Times New Roman" w:hAnsi="Times New Roman" w:eastAsia="宋体" w:cs="Times New Roman"/>
                      <w:color w:val="auto"/>
                      <w:u w:val="none" w:color="auto"/>
                      <w:vertAlign w:val="subscript"/>
                    </w:rPr>
                    <w:t>x</w:t>
                  </w:r>
                </w:p>
              </w:tc>
              <w:tc>
                <w:tcPr>
                  <w:tcW w:w="925" w:type="dxa"/>
                  <w:tcBorders>
                    <w:tl2br w:val="nil"/>
                    <w:tr2bl w:val="nil"/>
                  </w:tcBorders>
                  <w:shd w:val="clear" w:color="auto" w:fill="auto"/>
                  <w:noWrap w:val="0"/>
                  <w:vAlign w:val="center"/>
                </w:tcPr>
                <w:p w14:paraId="1C671A2A">
                  <w:pPr>
                    <w:keepNext w:val="0"/>
                    <w:keepLines w:val="0"/>
                    <w:widowControl/>
                    <w:suppressLineNumbers w:val="0"/>
                    <w:jc w:val="center"/>
                    <w:textAlignment w:val="center"/>
                    <w:rPr>
                      <w:rFonts w:hint="default" w:ascii="Times New Roman" w:hAnsi="Times New Roman" w:eastAsia="宋体" w:cs="Times New Roman"/>
                      <w:color w:val="auto"/>
                      <w:spacing w:val="0"/>
                      <w:kern w:val="2"/>
                      <w:sz w:val="21"/>
                      <w:szCs w:val="21"/>
                      <w:highlight w:val="none"/>
                      <w:u w:val="none" w:color="auto"/>
                      <w:lang w:val="en-US" w:eastAsia="zh-CN" w:bidi="ar-SA"/>
                    </w:rPr>
                  </w:pPr>
                  <w:r>
                    <w:rPr>
                      <w:rFonts w:hint="default" w:ascii="Times New Roman" w:hAnsi="Times New Roman" w:eastAsia="宋体" w:cs="Times New Roman"/>
                      <w:i w:val="0"/>
                      <w:iCs w:val="0"/>
                      <w:color w:val="auto"/>
                      <w:kern w:val="0"/>
                      <w:sz w:val="21"/>
                      <w:szCs w:val="21"/>
                      <w:u w:val="none" w:color="auto"/>
                      <w:lang w:val="en-US" w:eastAsia="zh-CN" w:bidi="ar"/>
                    </w:rPr>
                    <w:t>1.146</w:t>
                  </w:r>
                </w:p>
              </w:tc>
            </w:tr>
            <w:tr w14:paraId="5817458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910" w:type="dxa"/>
                  <w:gridSpan w:val="3"/>
                  <w:vMerge w:val="continue"/>
                  <w:tcBorders>
                    <w:tl2br w:val="nil"/>
                    <w:tr2bl w:val="nil"/>
                  </w:tcBorders>
                  <w:noWrap w:val="0"/>
                  <w:vAlign w:val="center"/>
                </w:tcPr>
                <w:p w14:paraId="08A63C68">
                  <w:pPr>
                    <w:jc w:val="center"/>
                    <w:outlineLvl w:val="9"/>
                    <w:rPr>
                      <w:rFonts w:hint="default" w:ascii="Times New Roman" w:hAnsi="Times New Roman" w:eastAsia="宋体" w:cs="Times New Roman"/>
                      <w:color w:val="auto"/>
                      <w:spacing w:val="0"/>
                      <w:sz w:val="21"/>
                      <w:szCs w:val="21"/>
                      <w:highlight w:val="none"/>
                      <w:u w:val="none" w:color="auto"/>
                    </w:rPr>
                  </w:pPr>
                </w:p>
              </w:tc>
              <w:tc>
                <w:tcPr>
                  <w:tcW w:w="5321" w:type="dxa"/>
                  <w:gridSpan w:val="4"/>
                  <w:tcBorders>
                    <w:tl2br w:val="nil"/>
                    <w:tr2bl w:val="nil"/>
                  </w:tcBorders>
                  <w:shd w:val="clear" w:color="auto" w:fill="auto"/>
                  <w:noWrap w:val="0"/>
                  <w:vAlign w:val="center"/>
                </w:tcPr>
                <w:p w14:paraId="716D7D59">
                  <w:pPr>
                    <w:jc w:val="center"/>
                    <w:outlineLvl w:val="9"/>
                    <w:rPr>
                      <w:rFonts w:hint="default" w:ascii="Times New Roman" w:hAnsi="Times New Roman" w:eastAsia="宋体" w:cs="Times New Roman"/>
                      <w:color w:val="auto"/>
                      <w:kern w:val="2"/>
                      <w:sz w:val="21"/>
                      <w:szCs w:val="24"/>
                      <w:u w:val="none" w:color="auto"/>
                      <w:lang w:val="en-US" w:eastAsia="zh-CN" w:bidi="ar-SA"/>
                    </w:rPr>
                  </w:pPr>
                  <w:r>
                    <w:rPr>
                      <w:rFonts w:hint="default" w:ascii="Times New Roman" w:hAnsi="Times New Roman" w:eastAsia="宋体" w:cs="Times New Roman"/>
                      <w:color w:val="auto"/>
                      <w:spacing w:val="0"/>
                      <w:kern w:val="2"/>
                      <w:sz w:val="21"/>
                      <w:szCs w:val="21"/>
                      <w:highlight w:val="none"/>
                      <w:u w:val="none" w:color="auto"/>
                      <w:lang w:val="en-US" w:eastAsia="zh-CN" w:bidi="ar-SA"/>
                    </w:rPr>
                    <w:t>非甲烷总烃</w:t>
                  </w:r>
                </w:p>
              </w:tc>
              <w:tc>
                <w:tcPr>
                  <w:tcW w:w="925" w:type="dxa"/>
                  <w:tcBorders>
                    <w:tl2br w:val="nil"/>
                    <w:tr2bl w:val="nil"/>
                  </w:tcBorders>
                  <w:shd w:val="clear" w:color="auto" w:fill="auto"/>
                  <w:noWrap w:val="0"/>
                  <w:vAlign w:val="center"/>
                </w:tcPr>
                <w:p w14:paraId="7110444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1.1506</w:t>
                  </w:r>
                </w:p>
              </w:tc>
            </w:tr>
          </w:tbl>
          <w:p w14:paraId="24CEFE63">
            <w:pPr>
              <w:keepNext w:val="0"/>
              <w:keepLines w:val="0"/>
              <w:pageBreakBefore w:val="0"/>
              <w:widowControl w:val="0"/>
              <w:kinsoku/>
              <w:wordWrap/>
              <w:overflowPunct/>
              <w:topLinePunct w:val="0"/>
              <w:autoSpaceDE/>
              <w:autoSpaceDN/>
              <w:bidi w:val="0"/>
              <w:adjustRightInd/>
              <w:snapToGrid/>
              <w:spacing w:line="360" w:lineRule="auto"/>
              <w:ind w:firstLine="482"/>
              <w:textAlignment w:val="auto"/>
              <w:outlineLvl w:val="9"/>
              <w:rPr>
                <w:rFonts w:hint="default" w:ascii="Times New Roman" w:hAnsi="Times New Roman" w:eastAsia="宋体" w:cs="Times New Roman"/>
                <w:color w:val="auto"/>
                <w:spacing w:val="0"/>
                <w:sz w:val="24"/>
                <w:szCs w:val="32"/>
                <w:highlight w:val="none"/>
                <w:u w:val="none" w:color="auto"/>
              </w:rPr>
            </w:pPr>
            <w:r>
              <w:rPr>
                <w:rFonts w:hint="default" w:ascii="Times New Roman" w:hAnsi="Times New Roman" w:eastAsia="宋体" w:cs="Times New Roman"/>
                <w:color w:val="auto"/>
                <w:spacing w:val="0"/>
                <w:sz w:val="24"/>
                <w:szCs w:val="32"/>
                <w:highlight w:val="none"/>
                <w:u w:val="none" w:color="auto"/>
              </w:rPr>
              <w:t>（</w:t>
            </w:r>
            <w:r>
              <w:rPr>
                <w:rFonts w:hint="default" w:ascii="Times New Roman" w:hAnsi="Times New Roman" w:eastAsia="宋体" w:cs="Times New Roman"/>
                <w:color w:val="auto"/>
                <w:spacing w:val="0"/>
                <w:sz w:val="24"/>
                <w:szCs w:val="32"/>
                <w:highlight w:val="none"/>
                <w:u w:val="none" w:color="auto"/>
                <w:lang w:val="en-US" w:eastAsia="zh-CN"/>
              </w:rPr>
              <w:t>3</w:t>
            </w:r>
            <w:r>
              <w:rPr>
                <w:rFonts w:hint="default" w:ascii="Times New Roman" w:hAnsi="Times New Roman" w:eastAsia="宋体" w:cs="Times New Roman"/>
                <w:color w:val="auto"/>
                <w:spacing w:val="0"/>
                <w:sz w:val="24"/>
                <w:szCs w:val="32"/>
                <w:highlight w:val="none"/>
                <w:u w:val="none" w:color="auto"/>
              </w:rPr>
              <w:t>）项目主要污染物年排放量核算</w:t>
            </w:r>
          </w:p>
          <w:p w14:paraId="4B044E14">
            <w:pPr>
              <w:pStyle w:val="45"/>
              <w:outlineLvl w:val="9"/>
              <w:rPr>
                <w:rFonts w:hint="default" w:ascii="Times New Roman" w:hAnsi="Times New Roman" w:eastAsia="宋体" w:cs="Times New Roman"/>
                <w:b/>
                <w:color w:val="auto"/>
                <w:spacing w:val="0"/>
                <w:highlight w:val="none"/>
                <w:u w:val="none" w:color="auto"/>
                <w:lang w:val="en-US" w:eastAsia="zh-CN"/>
              </w:rPr>
            </w:pPr>
            <w:r>
              <w:rPr>
                <w:rFonts w:hint="default" w:ascii="Times New Roman" w:hAnsi="Times New Roman" w:eastAsia="宋体" w:cs="Times New Roman"/>
                <w:b/>
                <w:color w:val="auto"/>
                <w:spacing w:val="0"/>
                <w:highlight w:val="none"/>
                <w:u w:val="none" w:color="auto"/>
                <w:lang w:val="en-US" w:eastAsia="zh-CN"/>
              </w:rPr>
              <w:t>表4-19  项目主要污染物年排放量核算表</w:t>
            </w:r>
          </w:p>
          <w:tbl>
            <w:tblPr>
              <w:tblStyle w:val="31"/>
              <w:tblW w:w="4999"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3248"/>
              <w:gridCol w:w="5268"/>
            </w:tblGrid>
            <w:tr w14:paraId="69F0DFA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907" w:type="pct"/>
                  <w:tcBorders>
                    <w:tl2br w:val="nil"/>
                    <w:tr2bl w:val="nil"/>
                  </w:tcBorders>
                  <w:noWrap w:val="0"/>
                  <w:vAlign w:val="center"/>
                </w:tcPr>
                <w:p w14:paraId="5F1A8313">
                  <w:pPr>
                    <w:jc w:val="center"/>
                    <w:outlineLvl w:val="9"/>
                    <w:rPr>
                      <w:rFonts w:hint="default" w:ascii="Times New Roman" w:hAnsi="Times New Roman" w:eastAsia="宋体" w:cs="Times New Roman"/>
                      <w:b/>
                      <w:bCs/>
                      <w:color w:val="auto"/>
                      <w:spacing w:val="0"/>
                      <w:highlight w:val="none"/>
                      <w:u w:val="none" w:color="auto"/>
                    </w:rPr>
                  </w:pPr>
                  <w:r>
                    <w:rPr>
                      <w:rFonts w:hint="default" w:ascii="Times New Roman" w:hAnsi="Times New Roman" w:eastAsia="宋体" w:cs="Times New Roman"/>
                      <w:b/>
                      <w:bCs/>
                      <w:color w:val="auto"/>
                      <w:spacing w:val="0"/>
                      <w:highlight w:val="none"/>
                      <w:u w:val="none" w:color="auto"/>
                    </w:rPr>
                    <w:t>污染物</w:t>
                  </w:r>
                </w:p>
              </w:tc>
              <w:tc>
                <w:tcPr>
                  <w:tcW w:w="3092" w:type="pct"/>
                  <w:tcBorders>
                    <w:tl2br w:val="nil"/>
                    <w:tr2bl w:val="nil"/>
                  </w:tcBorders>
                  <w:noWrap w:val="0"/>
                  <w:vAlign w:val="center"/>
                </w:tcPr>
                <w:p w14:paraId="7CDC32CA">
                  <w:pPr>
                    <w:jc w:val="center"/>
                    <w:outlineLvl w:val="9"/>
                    <w:rPr>
                      <w:rFonts w:hint="default" w:ascii="Times New Roman" w:hAnsi="Times New Roman" w:eastAsia="宋体" w:cs="Times New Roman"/>
                      <w:b/>
                      <w:bCs/>
                      <w:color w:val="auto"/>
                      <w:spacing w:val="0"/>
                      <w:highlight w:val="none"/>
                      <w:u w:val="none" w:color="auto"/>
                    </w:rPr>
                  </w:pPr>
                  <w:r>
                    <w:rPr>
                      <w:rFonts w:hint="default" w:ascii="Times New Roman" w:hAnsi="Times New Roman" w:eastAsia="宋体" w:cs="Times New Roman"/>
                      <w:b/>
                      <w:bCs/>
                      <w:color w:val="auto"/>
                      <w:spacing w:val="0"/>
                      <w:highlight w:val="none"/>
                      <w:u w:val="none" w:color="auto"/>
                    </w:rPr>
                    <w:t>年排放量（t/a）</w:t>
                  </w:r>
                </w:p>
              </w:tc>
            </w:tr>
            <w:tr w14:paraId="59D7D6F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907" w:type="pct"/>
                  <w:tcBorders>
                    <w:tl2br w:val="nil"/>
                    <w:tr2bl w:val="nil"/>
                  </w:tcBorders>
                  <w:shd w:val="clear" w:color="auto" w:fill="auto"/>
                  <w:noWrap w:val="0"/>
                  <w:vAlign w:val="center"/>
                </w:tcPr>
                <w:p w14:paraId="122681F4">
                  <w:pPr>
                    <w:jc w:val="center"/>
                    <w:rPr>
                      <w:rFonts w:hint="default" w:ascii="Times New Roman" w:hAnsi="Times New Roman" w:eastAsia="宋体" w:cs="Times New Roman"/>
                      <w:color w:val="auto"/>
                      <w:spacing w:val="0"/>
                      <w:kern w:val="2"/>
                      <w:sz w:val="21"/>
                      <w:szCs w:val="21"/>
                      <w:highlight w:val="none"/>
                      <w:u w:val="none" w:color="auto"/>
                      <w:lang w:val="zh-CN" w:eastAsia="zh-CN" w:bidi="ar-SA"/>
                    </w:rPr>
                  </w:pPr>
                  <w:r>
                    <w:rPr>
                      <w:rFonts w:hint="default" w:ascii="Times New Roman" w:hAnsi="Times New Roman" w:eastAsia="宋体" w:cs="Times New Roman"/>
                      <w:color w:val="auto"/>
                      <w:u w:val="none" w:color="auto"/>
                      <w:lang w:val="en-US" w:eastAsia="zh-CN"/>
                    </w:rPr>
                    <w:t>颗粒物</w:t>
                  </w:r>
                </w:p>
              </w:tc>
              <w:tc>
                <w:tcPr>
                  <w:tcW w:w="5274" w:type="dxa"/>
                  <w:tcBorders>
                    <w:tl2br w:val="nil"/>
                    <w:tr2bl w:val="nil"/>
                  </w:tcBorders>
                  <w:noWrap w:val="0"/>
                  <w:vAlign w:val="center"/>
                </w:tcPr>
                <w:p w14:paraId="3C3356D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17.7067‬</w:t>
                  </w:r>
                </w:p>
              </w:tc>
            </w:tr>
            <w:tr w14:paraId="1E1B863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907" w:type="pct"/>
                  <w:tcBorders>
                    <w:tl2br w:val="nil"/>
                    <w:tr2bl w:val="nil"/>
                  </w:tcBorders>
                  <w:shd w:val="clear" w:color="auto" w:fill="auto"/>
                  <w:noWrap w:val="0"/>
                  <w:vAlign w:val="center"/>
                </w:tcPr>
                <w:p w14:paraId="77A9A272">
                  <w:pPr>
                    <w:jc w:val="center"/>
                    <w:rPr>
                      <w:rFonts w:hint="default" w:ascii="Times New Roman" w:hAnsi="Times New Roman" w:eastAsia="宋体" w:cs="Times New Roman"/>
                      <w:color w:val="auto"/>
                      <w:spacing w:val="0"/>
                      <w:kern w:val="2"/>
                      <w:sz w:val="21"/>
                      <w:szCs w:val="21"/>
                      <w:highlight w:val="none"/>
                      <w:u w:val="none" w:color="auto"/>
                      <w:lang w:val="en-US" w:eastAsia="zh-CN" w:bidi="ar-SA"/>
                    </w:rPr>
                  </w:pPr>
                  <w:r>
                    <w:rPr>
                      <w:rFonts w:hint="default" w:ascii="Times New Roman" w:hAnsi="Times New Roman" w:eastAsia="宋体" w:cs="Times New Roman"/>
                      <w:color w:val="auto"/>
                      <w:u w:val="none" w:color="auto"/>
                    </w:rPr>
                    <w:t>SO</w:t>
                  </w:r>
                  <w:r>
                    <w:rPr>
                      <w:rFonts w:hint="default" w:ascii="Times New Roman" w:hAnsi="Times New Roman" w:eastAsia="宋体" w:cs="Times New Roman"/>
                      <w:color w:val="auto"/>
                      <w:u w:val="none" w:color="auto"/>
                      <w:vertAlign w:val="subscript"/>
                    </w:rPr>
                    <w:t>2</w:t>
                  </w:r>
                </w:p>
              </w:tc>
              <w:tc>
                <w:tcPr>
                  <w:tcW w:w="5274" w:type="dxa"/>
                  <w:tcBorders>
                    <w:tl2br w:val="nil"/>
                    <w:tr2bl w:val="nil"/>
                  </w:tcBorders>
                  <w:noWrap w:val="0"/>
                  <w:vAlign w:val="center"/>
                </w:tcPr>
                <w:p w14:paraId="2B55D50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5.6491</w:t>
                  </w:r>
                </w:p>
              </w:tc>
            </w:tr>
            <w:tr w14:paraId="4B130B0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907" w:type="pct"/>
                  <w:tcBorders>
                    <w:tl2br w:val="nil"/>
                    <w:tr2bl w:val="nil"/>
                  </w:tcBorders>
                  <w:shd w:val="clear" w:color="auto" w:fill="auto"/>
                  <w:noWrap w:val="0"/>
                  <w:vAlign w:val="center"/>
                </w:tcPr>
                <w:p w14:paraId="5B9D119A">
                  <w:pPr>
                    <w:jc w:val="center"/>
                    <w:rPr>
                      <w:rFonts w:hint="default" w:ascii="Times New Roman" w:hAnsi="Times New Roman" w:eastAsia="宋体" w:cs="Times New Roman"/>
                      <w:color w:val="auto"/>
                      <w:spacing w:val="0"/>
                      <w:kern w:val="2"/>
                      <w:sz w:val="21"/>
                      <w:szCs w:val="21"/>
                      <w:highlight w:val="none"/>
                      <w:u w:val="none" w:color="auto"/>
                      <w:lang w:val="en-US" w:eastAsia="zh-CN" w:bidi="ar-SA"/>
                    </w:rPr>
                  </w:pPr>
                  <w:r>
                    <w:rPr>
                      <w:rFonts w:hint="default" w:ascii="Times New Roman" w:hAnsi="Times New Roman" w:eastAsia="宋体" w:cs="Times New Roman"/>
                      <w:color w:val="auto"/>
                      <w:u w:val="none" w:color="auto"/>
                    </w:rPr>
                    <w:t>NO</w:t>
                  </w:r>
                  <w:r>
                    <w:rPr>
                      <w:rFonts w:hint="default" w:ascii="Times New Roman" w:hAnsi="Times New Roman" w:eastAsia="宋体" w:cs="Times New Roman"/>
                      <w:color w:val="auto"/>
                      <w:u w:val="none" w:color="auto"/>
                      <w:vertAlign w:val="subscript"/>
                    </w:rPr>
                    <w:t>x</w:t>
                  </w:r>
                </w:p>
              </w:tc>
              <w:tc>
                <w:tcPr>
                  <w:tcW w:w="5274" w:type="dxa"/>
                  <w:tcBorders>
                    <w:tl2br w:val="nil"/>
                    <w:tr2bl w:val="nil"/>
                  </w:tcBorders>
                  <w:noWrap w:val="0"/>
                  <w:vAlign w:val="center"/>
                </w:tcPr>
                <w:p w14:paraId="47B1702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11.496</w:t>
                  </w:r>
                </w:p>
              </w:tc>
            </w:tr>
            <w:tr w14:paraId="230F922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907" w:type="pct"/>
                  <w:tcBorders>
                    <w:tl2br w:val="nil"/>
                    <w:tr2bl w:val="nil"/>
                  </w:tcBorders>
                  <w:shd w:val="clear" w:color="auto" w:fill="auto"/>
                  <w:noWrap w:val="0"/>
                  <w:vAlign w:val="center"/>
                </w:tcPr>
                <w:p w14:paraId="421EA55B">
                  <w:pPr>
                    <w:jc w:val="center"/>
                    <w:outlineLvl w:val="9"/>
                    <w:rPr>
                      <w:rFonts w:hint="default" w:ascii="Times New Roman" w:hAnsi="Times New Roman" w:eastAsia="宋体" w:cs="Times New Roman"/>
                      <w:color w:val="auto"/>
                      <w:kern w:val="2"/>
                      <w:sz w:val="21"/>
                      <w:szCs w:val="24"/>
                      <w:u w:val="none" w:color="auto"/>
                      <w:lang w:val="en-US" w:eastAsia="zh-CN" w:bidi="ar-SA"/>
                    </w:rPr>
                  </w:pPr>
                  <w:r>
                    <w:rPr>
                      <w:rFonts w:hint="default" w:ascii="Times New Roman" w:hAnsi="Times New Roman" w:eastAsia="宋体" w:cs="Times New Roman"/>
                      <w:color w:val="auto"/>
                      <w:spacing w:val="0"/>
                      <w:kern w:val="2"/>
                      <w:sz w:val="21"/>
                      <w:szCs w:val="21"/>
                      <w:highlight w:val="none"/>
                      <w:u w:val="none" w:color="auto"/>
                      <w:lang w:val="en-US" w:eastAsia="zh-CN" w:bidi="ar-SA"/>
                    </w:rPr>
                    <w:t>非甲烷总烃</w:t>
                  </w:r>
                </w:p>
              </w:tc>
              <w:tc>
                <w:tcPr>
                  <w:tcW w:w="5274" w:type="dxa"/>
                  <w:tcBorders>
                    <w:tl2br w:val="nil"/>
                    <w:tr2bl w:val="nil"/>
                  </w:tcBorders>
                  <w:noWrap w:val="0"/>
                  <w:vAlign w:val="center"/>
                </w:tcPr>
                <w:p w14:paraId="65308E3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2.8934</w:t>
                  </w:r>
                </w:p>
              </w:tc>
            </w:tr>
          </w:tbl>
          <w:p w14:paraId="3E0B088B">
            <w:pPr>
              <w:spacing w:line="360" w:lineRule="auto"/>
              <w:ind w:firstLine="482" w:firstLineChars="200"/>
              <w:rPr>
                <w:rFonts w:hint="default" w:ascii="Times New Roman" w:hAnsi="Times New Roman" w:eastAsia="宋体" w:cs="Times New Roman"/>
                <w:b/>
                <w:bCs/>
                <w:color w:val="auto"/>
                <w:spacing w:val="0"/>
                <w:sz w:val="24"/>
                <w:highlight w:val="none"/>
                <w:u w:val="none" w:color="auto"/>
              </w:rPr>
            </w:pPr>
            <w:r>
              <w:rPr>
                <w:rFonts w:hint="default" w:ascii="Times New Roman" w:hAnsi="Times New Roman" w:eastAsia="宋体" w:cs="Times New Roman"/>
                <w:b/>
                <w:bCs/>
                <w:color w:val="auto"/>
                <w:spacing w:val="0"/>
                <w:sz w:val="24"/>
                <w:highlight w:val="none"/>
                <w:u w:val="none" w:color="auto"/>
                <w:lang w:val="en-US" w:eastAsia="zh-CN"/>
              </w:rPr>
              <w:t>5</w:t>
            </w:r>
            <w:r>
              <w:rPr>
                <w:rFonts w:hint="default" w:ascii="Times New Roman" w:hAnsi="Times New Roman" w:eastAsia="宋体" w:cs="Times New Roman"/>
                <w:b/>
                <w:bCs/>
                <w:color w:val="auto"/>
                <w:spacing w:val="0"/>
                <w:sz w:val="24"/>
                <w:highlight w:val="none"/>
                <w:u w:val="none" w:color="auto"/>
              </w:rPr>
              <w:t>、非正常工况</w:t>
            </w:r>
          </w:p>
          <w:p w14:paraId="703DF72A">
            <w:pPr>
              <w:spacing w:line="360" w:lineRule="auto"/>
              <w:ind w:firstLine="480" w:firstLineChars="200"/>
              <w:rPr>
                <w:rFonts w:hint="default" w:ascii="Times New Roman" w:hAnsi="Times New Roman" w:eastAsia="宋体" w:cs="Times New Roman"/>
                <w:color w:val="auto"/>
                <w:spacing w:val="0"/>
                <w:sz w:val="24"/>
                <w:highlight w:val="none"/>
                <w:u w:val="none" w:color="auto"/>
              </w:rPr>
            </w:pPr>
            <w:r>
              <w:rPr>
                <w:rFonts w:hint="default" w:ascii="Times New Roman" w:hAnsi="Times New Roman" w:eastAsia="宋体" w:cs="Times New Roman"/>
                <w:color w:val="auto"/>
                <w:sz w:val="24"/>
                <w:u w:val="none" w:color="auto"/>
                <w:lang w:bidi="ar"/>
              </w:rPr>
              <w:t>根据大气导则规定，设备检修、污染物排放控制措施达不到应有处理效率、工业设备运转异常等情况下的污染物排放归为非正常排放。项目废气环保处理设备发生故障时，污染物未经有效处理排放时的非正常排放源强（本次评价取废气处理设施效率为0），排放历时不超过</w:t>
            </w:r>
            <w:r>
              <w:rPr>
                <w:rFonts w:hint="default" w:ascii="Times New Roman" w:hAnsi="Times New Roman" w:eastAsia="宋体" w:cs="Times New Roman"/>
                <w:color w:val="auto"/>
                <w:sz w:val="24"/>
                <w:u w:val="none" w:color="auto"/>
                <w:lang w:val="en-US" w:eastAsia="zh-CN" w:bidi="ar"/>
              </w:rPr>
              <w:t>0.5</w:t>
            </w:r>
            <w:r>
              <w:rPr>
                <w:rFonts w:hint="default" w:ascii="Times New Roman" w:hAnsi="Times New Roman" w:eastAsia="宋体" w:cs="Times New Roman"/>
                <w:color w:val="auto"/>
                <w:sz w:val="24"/>
                <w:u w:val="none" w:color="auto"/>
                <w:lang w:bidi="ar"/>
              </w:rPr>
              <w:t>h，发生频次一般为1次/年，非正常排放大气污染物会对周围环境空气产生一定的影响。经计算，在非正常工况下，大气污染物排放情况见下表。</w:t>
            </w:r>
          </w:p>
          <w:p w14:paraId="41754E0A">
            <w:pPr>
              <w:jc w:val="center"/>
              <w:rPr>
                <w:rFonts w:hint="default" w:ascii="Times New Roman" w:hAnsi="Times New Roman" w:eastAsia="宋体" w:cs="Times New Roman"/>
                <w:b/>
                <w:bCs/>
                <w:color w:val="auto"/>
                <w:spacing w:val="0"/>
                <w:highlight w:val="none"/>
                <w:u w:val="none" w:color="auto"/>
              </w:rPr>
            </w:pPr>
            <w:r>
              <w:rPr>
                <w:rFonts w:hint="default" w:ascii="Times New Roman" w:hAnsi="Times New Roman" w:eastAsia="宋体" w:cs="Times New Roman"/>
                <w:b/>
                <w:bCs/>
                <w:color w:val="auto"/>
                <w:spacing w:val="0"/>
                <w:highlight w:val="none"/>
                <w:u w:val="none" w:color="auto"/>
              </w:rPr>
              <w:t>表4-</w:t>
            </w:r>
            <w:r>
              <w:rPr>
                <w:rFonts w:hint="default" w:ascii="Times New Roman" w:hAnsi="Times New Roman" w:eastAsia="宋体" w:cs="Times New Roman"/>
                <w:b/>
                <w:bCs/>
                <w:color w:val="auto"/>
                <w:spacing w:val="0"/>
                <w:highlight w:val="none"/>
                <w:u w:val="none" w:color="auto"/>
                <w:lang w:val="en-US" w:eastAsia="zh-CN"/>
              </w:rPr>
              <w:t>20</w:t>
            </w:r>
            <w:r>
              <w:rPr>
                <w:rFonts w:hint="default" w:ascii="Times New Roman" w:hAnsi="Times New Roman" w:eastAsia="宋体" w:cs="Times New Roman"/>
                <w:b/>
                <w:bCs/>
                <w:color w:val="auto"/>
                <w:spacing w:val="0"/>
                <w:highlight w:val="none"/>
                <w:u w:val="none" w:color="auto"/>
              </w:rPr>
              <w:t xml:space="preserve">  废气非正常工况排放量核算</w:t>
            </w:r>
          </w:p>
          <w:tbl>
            <w:tblPr>
              <w:tblStyle w:val="31"/>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614"/>
              <w:gridCol w:w="1311"/>
              <w:gridCol w:w="1510"/>
              <w:gridCol w:w="1360"/>
              <w:gridCol w:w="1360"/>
              <w:gridCol w:w="1360"/>
            </w:tblGrid>
            <w:tr w14:paraId="50D4780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47" w:type="pct"/>
                  <w:noWrap w:val="0"/>
                  <w:vAlign w:val="center"/>
                </w:tcPr>
                <w:p w14:paraId="50B5335E">
                  <w:pPr>
                    <w:jc w:val="center"/>
                    <w:rPr>
                      <w:rFonts w:hint="default" w:ascii="Times New Roman" w:hAnsi="Times New Roman" w:eastAsia="宋体" w:cs="Times New Roman"/>
                      <w:b/>
                      <w:bCs/>
                      <w:color w:val="auto"/>
                      <w:spacing w:val="0"/>
                      <w:sz w:val="21"/>
                      <w:szCs w:val="21"/>
                      <w:highlight w:val="none"/>
                      <w:u w:val="none" w:color="auto"/>
                    </w:rPr>
                  </w:pPr>
                  <w:r>
                    <w:rPr>
                      <w:rFonts w:hint="default" w:ascii="Times New Roman" w:hAnsi="Times New Roman" w:eastAsia="宋体" w:cs="Times New Roman"/>
                      <w:b/>
                      <w:bCs/>
                      <w:color w:val="auto"/>
                      <w:spacing w:val="0"/>
                      <w:sz w:val="21"/>
                      <w:szCs w:val="21"/>
                      <w:highlight w:val="none"/>
                      <w:u w:val="none" w:color="auto"/>
                    </w:rPr>
                    <w:t>污染源</w:t>
                  </w:r>
                </w:p>
              </w:tc>
              <w:tc>
                <w:tcPr>
                  <w:tcW w:w="769" w:type="pct"/>
                  <w:noWrap w:val="0"/>
                  <w:vAlign w:val="center"/>
                </w:tcPr>
                <w:p w14:paraId="01342409">
                  <w:pPr>
                    <w:jc w:val="center"/>
                    <w:rPr>
                      <w:rFonts w:hint="default" w:ascii="Times New Roman" w:hAnsi="Times New Roman" w:eastAsia="宋体" w:cs="Times New Roman"/>
                      <w:b/>
                      <w:bCs/>
                      <w:color w:val="auto"/>
                      <w:spacing w:val="0"/>
                      <w:sz w:val="21"/>
                      <w:szCs w:val="21"/>
                      <w:highlight w:val="none"/>
                      <w:u w:val="none" w:color="auto"/>
                    </w:rPr>
                  </w:pPr>
                  <w:r>
                    <w:rPr>
                      <w:rFonts w:hint="default" w:ascii="Times New Roman" w:hAnsi="Times New Roman" w:eastAsia="宋体" w:cs="Times New Roman"/>
                      <w:b/>
                      <w:bCs/>
                      <w:color w:val="auto"/>
                      <w:spacing w:val="0"/>
                      <w:sz w:val="21"/>
                      <w:szCs w:val="21"/>
                      <w:highlight w:val="none"/>
                      <w:u w:val="none" w:color="auto"/>
                    </w:rPr>
                    <w:t>非正常排放原因</w:t>
                  </w:r>
                </w:p>
              </w:tc>
              <w:tc>
                <w:tcPr>
                  <w:tcW w:w="886" w:type="pct"/>
                  <w:noWrap w:val="0"/>
                  <w:vAlign w:val="center"/>
                </w:tcPr>
                <w:p w14:paraId="37BD6897">
                  <w:pPr>
                    <w:jc w:val="center"/>
                    <w:rPr>
                      <w:rFonts w:hint="default" w:ascii="Times New Roman" w:hAnsi="Times New Roman" w:eastAsia="宋体" w:cs="Times New Roman"/>
                      <w:b/>
                      <w:bCs/>
                      <w:color w:val="auto"/>
                      <w:spacing w:val="0"/>
                      <w:sz w:val="21"/>
                      <w:szCs w:val="21"/>
                      <w:highlight w:val="none"/>
                      <w:u w:val="none" w:color="auto"/>
                    </w:rPr>
                  </w:pPr>
                  <w:r>
                    <w:rPr>
                      <w:rFonts w:hint="default" w:ascii="Times New Roman" w:hAnsi="Times New Roman" w:eastAsia="宋体" w:cs="Times New Roman"/>
                      <w:b/>
                      <w:bCs/>
                      <w:color w:val="auto"/>
                      <w:spacing w:val="0"/>
                      <w:sz w:val="21"/>
                      <w:szCs w:val="21"/>
                      <w:highlight w:val="none"/>
                      <w:u w:val="none" w:color="auto"/>
                    </w:rPr>
                    <w:t>污染物</w:t>
                  </w:r>
                </w:p>
              </w:tc>
              <w:tc>
                <w:tcPr>
                  <w:tcW w:w="798" w:type="pct"/>
                  <w:noWrap w:val="0"/>
                  <w:vAlign w:val="center"/>
                </w:tcPr>
                <w:p w14:paraId="46EB2549">
                  <w:pPr>
                    <w:jc w:val="center"/>
                    <w:rPr>
                      <w:rFonts w:hint="default" w:ascii="Times New Roman" w:hAnsi="Times New Roman" w:eastAsia="宋体" w:cs="Times New Roman"/>
                      <w:b/>
                      <w:bCs/>
                      <w:color w:val="auto"/>
                      <w:spacing w:val="0"/>
                      <w:sz w:val="21"/>
                      <w:szCs w:val="21"/>
                      <w:highlight w:val="none"/>
                      <w:u w:val="none" w:color="auto"/>
                    </w:rPr>
                  </w:pPr>
                  <w:r>
                    <w:rPr>
                      <w:rFonts w:hint="default" w:ascii="Times New Roman" w:hAnsi="Times New Roman" w:eastAsia="宋体" w:cs="Times New Roman"/>
                      <w:b/>
                      <w:bCs/>
                      <w:color w:val="auto"/>
                      <w:spacing w:val="0"/>
                      <w:sz w:val="21"/>
                      <w:szCs w:val="21"/>
                      <w:highlight w:val="none"/>
                      <w:u w:val="none" w:color="auto"/>
                    </w:rPr>
                    <w:t>非正常排放浓度mg/m</w:t>
                  </w:r>
                  <w:r>
                    <w:rPr>
                      <w:rFonts w:hint="default" w:ascii="Times New Roman" w:hAnsi="Times New Roman" w:eastAsia="宋体" w:cs="Times New Roman"/>
                      <w:b/>
                      <w:bCs/>
                      <w:color w:val="auto"/>
                      <w:spacing w:val="0"/>
                      <w:sz w:val="21"/>
                      <w:szCs w:val="21"/>
                      <w:highlight w:val="none"/>
                      <w:u w:val="none" w:color="auto"/>
                      <w:vertAlign w:val="superscript"/>
                    </w:rPr>
                    <w:t>3</w:t>
                  </w:r>
                </w:p>
              </w:tc>
              <w:tc>
                <w:tcPr>
                  <w:tcW w:w="798" w:type="pct"/>
                  <w:noWrap w:val="0"/>
                  <w:vAlign w:val="center"/>
                </w:tcPr>
                <w:p w14:paraId="2B7F97A4">
                  <w:pPr>
                    <w:jc w:val="center"/>
                    <w:rPr>
                      <w:rFonts w:hint="default" w:ascii="Times New Roman" w:hAnsi="Times New Roman" w:eastAsia="宋体" w:cs="Times New Roman"/>
                      <w:b/>
                      <w:bCs/>
                      <w:color w:val="auto"/>
                      <w:spacing w:val="0"/>
                      <w:sz w:val="21"/>
                      <w:szCs w:val="21"/>
                      <w:highlight w:val="none"/>
                      <w:u w:val="none" w:color="auto"/>
                    </w:rPr>
                  </w:pPr>
                  <w:r>
                    <w:rPr>
                      <w:rFonts w:hint="default" w:ascii="Times New Roman" w:hAnsi="Times New Roman" w:eastAsia="宋体" w:cs="Times New Roman"/>
                      <w:b/>
                      <w:bCs/>
                      <w:color w:val="auto"/>
                      <w:spacing w:val="0"/>
                      <w:sz w:val="21"/>
                      <w:szCs w:val="21"/>
                      <w:highlight w:val="none"/>
                      <w:u w:val="none" w:color="auto"/>
                    </w:rPr>
                    <w:t>非正常排放速率kg/h</w:t>
                  </w:r>
                </w:p>
              </w:tc>
              <w:tc>
                <w:tcPr>
                  <w:tcW w:w="798" w:type="pct"/>
                  <w:noWrap w:val="0"/>
                  <w:vAlign w:val="center"/>
                </w:tcPr>
                <w:p w14:paraId="4BEFF827">
                  <w:pPr>
                    <w:jc w:val="center"/>
                    <w:rPr>
                      <w:rFonts w:hint="default" w:ascii="Times New Roman" w:hAnsi="Times New Roman" w:eastAsia="宋体" w:cs="Times New Roman"/>
                      <w:b/>
                      <w:bCs/>
                      <w:color w:val="auto"/>
                      <w:spacing w:val="0"/>
                      <w:sz w:val="21"/>
                      <w:szCs w:val="21"/>
                      <w:highlight w:val="none"/>
                      <w:u w:val="none" w:color="auto"/>
                      <w:lang w:val="en-US" w:eastAsia="zh-CN"/>
                    </w:rPr>
                  </w:pPr>
                  <w:r>
                    <w:rPr>
                      <w:rFonts w:hint="default" w:ascii="Times New Roman" w:hAnsi="Times New Roman" w:eastAsia="宋体" w:cs="Times New Roman"/>
                      <w:b/>
                      <w:bCs/>
                      <w:color w:val="auto"/>
                      <w:spacing w:val="0"/>
                      <w:sz w:val="21"/>
                      <w:szCs w:val="21"/>
                      <w:highlight w:val="none"/>
                      <w:u w:val="none" w:color="auto"/>
                      <w:lang w:val="en-US" w:eastAsia="zh-CN"/>
                    </w:rPr>
                    <w:t>频次</w:t>
                  </w:r>
                </w:p>
              </w:tc>
            </w:tr>
            <w:tr w14:paraId="6793555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47" w:type="pct"/>
                  <w:vMerge w:val="restart"/>
                  <w:noWrap w:val="0"/>
                  <w:vAlign w:val="center"/>
                </w:tcPr>
                <w:p w14:paraId="7C0276DE">
                  <w:pPr>
                    <w:jc w:val="center"/>
                    <w:rPr>
                      <w:rFonts w:hint="default" w:ascii="Times New Roman" w:hAnsi="Times New Roman" w:eastAsia="宋体" w:cs="Times New Roman"/>
                      <w:color w:val="auto"/>
                      <w:spacing w:val="0"/>
                      <w:kern w:val="2"/>
                      <w:sz w:val="21"/>
                      <w:szCs w:val="21"/>
                      <w:highlight w:val="none"/>
                      <w:u w:val="none" w:color="auto"/>
                      <w:lang w:val="en-US" w:eastAsia="zh-CN" w:bidi="ar-SA"/>
                    </w:rPr>
                  </w:pPr>
                  <w:r>
                    <w:rPr>
                      <w:rFonts w:hint="default" w:ascii="Times New Roman" w:hAnsi="Times New Roman" w:eastAsia="宋体" w:cs="Times New Roman"/>
                      <w:color w:val="auto"/>
                      <w:spacing w:val="0"/>
                      <w:kern w:val="2"/>
                      <w:sz w:val="21"/>
                      <w:szCs w:val="21"/>
                      <w:highlight w:val="none"/>
                      <w:u w:val="none" w:color="auto"/>
                      <w:lang w:val="en-US" w:eastAsia="zh-CN" w:bidi="ar-SA"/>
                    </w:rPr>
                    <w:t>DA010</w:t>
                  </w:r>
                </w:p>
              </w:tc>
              <w:tc>
                <w:tcPr>
                  <w:tcW w:w="769" w:type="pct"/>
                  <w:vMerge w:val="restart"/>
                  <w:noWrap w:val="0"/>
                  <w:vAlign w:val="center"/>
                </w:tcPr>
                <w:p w14:paraId="690D7A25">
                  <w:pPr>
                    <w:jc w:val="center"/>
                    <w:rPr>
                      <w:rFonts w:hint="default" w:ascii="Times New Roman" w:hAnsi="Times New Roman" w:eastAsia="宋体" w:cs="Times New Roman"/>
                      <w:color w:val="auto"/>
                      <w:spacing w:val="0"/>
                      <w:sz w:val="21"/>
                      <w:szCs w:val="21"/>
                      <w:highlight w:val="none"/>
                      <w:u w:val="none" w:color="auto"/>
                      <w:lang w:val="en-US" w:eastAsia="zh-CN"/>
                    </w:rPr>
                  </w:pPr>
                  <w:r>
                    <w:rPr>
                      <w:rFonts w:hint="default" w:ascii="Times New Roman" w:hAnsi="Times New Roman" w:eastAsia="宋体" w:cs="Times New Roman"/>
                      <w:color w:val="auto"/>
                      <w:sz w:val="21"/>
                      <w:szCs w:val="21"/>
                      <w:u w:val="none" w:color="auto"/>
                    </w:rPr>
                    <w:t>环保设施出现故障</w:t>
                  </w:r>
                </w:p>
              </w:tc>
              <w:tc>
                <w:tcPr>
                  <w:tcW w:w="886" w:type="pct"/>
                  <w:shd w:val="clear" w:color="auto" w:fill="auto"/>
                  <w:noWrap w:val="0"/>
                  <w:vAlign w:val="center"/>
                </w:tcPr>
                <w:p w14:paraId="06D9A096">
                  <w:pPr>
                    <w:jc w:val="center"/>
                    <w:rPr>
                      <w:rFonts w:hint="default" w:ascii="Times New Roman" w:hAnsi="Times New Roman" w:eastAsia="宋体" w:cs="Times New Roman"/>
                      <w:color w:val="auto"/>
                      <w:spacing w:val="0"/>
                      <w:kern w:val="2"/>
                      <w:sz w:val="21"/>
                      <w:szCs w:val="21"/>
                      <w:highlight w:val="none"/>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颗粒物</w:t>
                  </w:r>
                </w:p>
              </w:tc>
              <w:tc>
                <w:tcPr>
                  <w:tcW w:w="1362" w:type="dxa"/>
                  <w:noWrap w:val="0"/>
                  <w:vAlign w:val="center"/>
                </w:tcPr>
                <w:p w14:paraId="26CE1B8A">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highlight w:val="none"/>
                      <w:u w:val="none" w:color="auto"/>
                      <w:lang w:val="en-US" w:eastAsia="zh-CN"/>
                    </w:rPr>
                  </w:pPr>
                  <w:r>
                    <w:rPr>
                      <w:rFonts w:hint="default" w:ascii="Times New Roman" w:hAnsi="Times New Roman" w:eastAsia="宋体" w:cs="Times New Roman"/>
                      <w:color w:val="auto"/>
                      <w:spacing w:val="0"/>
                      <w:sz w:val="21"/>
                      <w:szCs w:val="21"/>
                      <w:highlight w:val="none"/>
                      <w:u w:val="none" w:color="auto"/>
                      <w:lang w:val="en-US" w:eastAsia="zh-CN"/>
                    </w:rPr>
                    <w:t xml:space="preserve">717.15 </w:t>
                  </w:r>
                </w:p>
              </w:tc>
              <w:tc>
                <w:tcPr>
                  <w:tcW w:w="1362" w:type="dxa"/>
                  <w:noWrap w:val="0"/>
                  <w:vAlign w:val="center"/>
                </w:tcPr>
                <w:p w14:paraId="67D4CEAA">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highlight w:val="none"/>
                      <w:u w:val="none" w:color="auto"/>
                      <w:lang w:val="en-US" w:eastAsia="zh-CN"/>
                    </w:rPr>
                  </w:pPr>
                  <w:r>
                    <w:rPr>
                      <w:rFonts w:hint="default" w:ascii="Times New Roman" w:hAnsi="Times New Roman" w:eastAsia="宋体" w:cs="Times New Roman"/>
                      <w:color w:val="auto"/>
                      <w:spacing w:val="0"/>
                      <w:sz w:val="21"/>
                      <w:szCs w:val="21"/>
                      <w:highlight w:val="none"/>
                      <w:u w:val="none" w:color="auto"/>
                      <w:lang w:val="en-US" w:eastAsia="zh-CN"/>
                    </w:rPr>
                    <w:t>150.6014</w:t>
                  </w:r>
                </w:p>
              </w:tc>
              <w:tc>
                <w:tcPr>
                  <w:tcW w:w="798" w:type="pct"/>
                  <w:vMerge w:val="restart"/>
                  <w:shd w:val="clear" w:color="auto" w:fill="auto"/>
                  <w:noWrap w:val="0"/>
                  <w:vAlign w:val="center"/>
                </w:tcPr>
                <w:p w14:paraId="1252E500">
                  <w:pPr>
                    <w:pStyle w:val="46"/>
                    <w:rPr>
                      <w:rFonts w:hint="default" w:ascii="Times New Roman" w:hAnsi="Times New Roman" w:eastAsia="宋体" w:cs="Times New Roman"/>
                      <w:color w:val="auto"/>
                      <w:spacing w:val="0"/>
                      <w:kern w:val="2"/>
                      <w:sz w:val="21"/>
                      <w:szCs w:val="21"/>
                      <w:highlight w:val="none"/>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0.5h/次·a</w:t>
                  </w:r>
                </w:p>
              </w:tc>
            </w:tr>
            <w:tr w14:paraId="58FBE54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47" w:type="pct"/>
                  <w:vMerge w:val="continue"/>
                  <w:noWrap w:val="0"/>
                  <w:vAlign w:val="center"/>
                </w:tcPr>
                <w:p w14:paraId="3F89BC80">
                  <w:pPr>
                    <w:jc w:val="center"/>
                    <w:rPr>
                      <w:rFonts w:hint="default" w:ascii="Times New Roman" w:hAnsi="Times New Roman" w:eastAsia="宋体" w:cs="Times New Roman"/>
                      <w:color w:val="auto"/>
                      <w:spacing w:val="0"/>
                      <w:kern w:val="2"/>
                      <w:sz w:val="21"/>
                      <w:szCs w:val="21"/>
                      <w:highlight w:val="none"/>
                      <w:u w:val="none" w:color="auto"/>
                      <w:lang w:val="en-US" w:eastAsia="zh-CN" w:bidi="ar-SA"/>
                    </w:rPr>
                  </w:pPr>
                </w:p>
              </w:tc>
              <w:tc>
                <w:tcPr>
                  <w:tcW w:w="769" w:type="pct"/>
                  <w:vMerge w:val="continue"/>
                  <w:noWrap w:val="0"/>
                  <w:vAlign w:val="center"/>
                </w:tcPr>
                <w:p w14:paraId="0C327C63">
                  <w:pPr>
                    <w:jc w:val="center"/>
                    <w:rPr>
                      <w:rFonts w:hint="default" w:ascii="Times New Roman" w:hAnsi="Times New Roman" w:eastAsia="宋体" w:cs="Times New Roman"/>
                      <w:color w:val="auto"/>
                      <w:spacing w:val="0"/>
                      <w:sz w:val="21"/>
                      <w:szCs w:val="21"/>
                      <w:highlight w:val="none"/>
                      <w:u w:val="none" w:color="auto"/>
                      <w:lang w:val="en-US" w:eastAsia="zh-CN"/>
                    </w:rPr>
                  </w:pPr>
                </w:p>
              </w:tc>
              <w:tc>
                <w:tcPr>
                  <w:tcW w:w="886" w:type="pct"/>
                  <w:shd w:val="clear" w:color="auto" w:fill="auto"/>
                  <w:noWrap w:val="0"/>
                  <w:vAlign w:val="center"/>
                </w:tcPr>
                <w:p w14:paraId="1B421A82">
                  <w:pPr>
                    <w:jc w:val="center"/>
                    <w:rPr>
                      <w:rFonts w:hint="default" w:ascii="Times New Roman" w:hAnsi="Times New Roman" w:eastAsia="宋体" w:cs="Times New Roman"/>
                      <w:color w:val="auto"/>
                      <w:spacing w:val="0"/>
                      <w:kern w:val="2"/>
                      <w:sz w:val="21"/>
                      <w:szCs w:val="21"/>
                      <w:highlight w:val="none"/>
                      <w:u w:val="none" w:color="auto"/>
                      <w:lang w:val="en-US" w:eastAsia="zh-CN" w:bidi="ar-SA"/>
                    </w:rPr>
                  </w:pPr>
                  <w:r>
                    <w:rPr>
                      <w:rFonts w:hint="default" w:ascii="Times New Roman" w:hAnsi="Times New Roman" w:eastAsia="宋体" w:cs="Times New Roman"/>
                      <w:color w:val="auto"/>
                      <w:sz w:val="21"/>
                      <w:szCs w:val="21"/>
                      <w:u w:val="none" w:color="auto"/>
                    </w:rPr>
                    <w:t>SO</w:t>
                  </w:r>
                  <w:r>
                    <w:rPr>
                      <w:rFonts w:hint="default" w:ascii="Times New Roman" w:hAnsi="Times New Roman" w:eastAsia="宋体" w:cs="Times New Roman"/>
                      <w:color w:val="auto"/>
                      <w:sz w:val="21"/>
                      <w:szCs w:val="21"/>
                      <w:u w:val="none" w:color="auto"/>
                      <w:vertAlign w:val="subscript"/>
                    </w:rPr>
                    <w:t>2</w:t>
                  </w:r>
                </w:p>
              </w:tc>
              <w:tc>
                <w:tcPr>
                  <w:tcW w:w="1362" w:type="dxa"/>
                  <w:noWrap w:val="0"/>
                  <w:vAlign w:val="center"/>
                </w:tcPr>
                <w:p w14:paraId="4637D4F8">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highlight w:val="none"/>
                      <w:u w:val="none" w:color="auto"/>
                      <w:lang w:val="en-US" w:eastAsia="zh-CN"/>
                    </w:rPr>
                  </w:pPr>
                  <w:r>
                    <w:rPr>
                      <w:rFonts w:hint="default" w:ascii="Times New Roman" w:hAnsi="Times New Roman" w:eastAsia="宋体" w:cs="Times New Roman"/>
                      <w:color w:val="auto"/>
                      <w:spacing w:val="0"/>
                      <w:sz w:val="21"/>
                      <w:szCs w:val="21"/>
                      <w:highlight w:val="none"/>
                      <w:u w:val="none" w:color="auto"/>
                      <w:lang w:val="en-US" w:eastAsia="zh-CN"/>
                    </w:rPr>
                    <w:t xml:space="preserve">3.40 </w:t>
                  </w:r>
                </w:p>
              </w:tc>
              <w:tc>
                <w:tcPr>
                  <w:tcW w:w="1362" w:type="dxa"/>
                  <w:noWrap w:val="0"/>
                  <w:vAlign w:val="center"/>
                </w:tcPr>
                <w:p w14:paraId="64D69727">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highlight w:val="none"/>
                      <w:u w:val="none" w:color="auto"/>
                      <w:lang w:val="en-US" w:eastAsia="zh-CN"/>
                    </w:rPr>
                  </w:pPr>
                  <w:r>
                    <w:rPr>
                      <w:rFonts w:hint="default" w:ascii="Times New Roman" w:hAnsi="Times New Roman" w:eastAsia="宋体" w:cs="Times New Roman"/>
                      <w:color w:val="auto"/>
                      <w:spacing w:val="0"/>
                      <w:sz w:val="21"/>
                      <w:szCs w:val="21"/>
                      <w:highlight w:val="none"/>
                      <w:u w:val="none" w:color="auto"/>
                      <w:lang w:val="en-US" w:eastAsia="zh-CN"/>
                    </w:rPr>
                    <w:t>0.7131</w:t>
                  </w:r>
                </w:p>
              </w:tc>
              <w:tc>
                <w:tcPr>
                  <w:tcW w:w="798" w:type="pct"/>
                  <w:vMerge w:val="continue"/>
                  <w:noWrap w:val="0"/>
                  <w:vAlign w:val="center"/>
                </w:tcPr>
                <w:p w14:paraId="3E1129DB">
                  <w:pPr>
                    <w:jc w:val="center"/>
                    <w:rPr>
                      <w:rFonts w:hint="default" w:ascii="Times New Roman" w:hAnsi="Times New Roman" w:eastAsia="宋体" w:cs="Times New Roman"/>
                      <w:color w:val="auto"/>
                      <w:spacing w:val="0"/>
                      <w:kern w:val="2"/>
                      <w:sz w:val="21"/>
                      <w:szCs w:val="21"/>
                      <w:highlight w:val="none"/>
                      <w:u w:val="none" w:color="auto"/>
                      <w:lang w:val="en-US" w:eastAsia="zh-CN" w:bidi="ar-SA"/>
                    </w:rPr>
                  </w:pPr>
                </w:p>
              </w:tc>
            </w:tr>
            <w:tr w14:paraId="1E02594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47" w:type="pct"/>
                  <w:vMerge w:val="continue"/>
                  <w:noWrap w:val="0"/>
                  <w:vAlign w:val="center"/>
                </w:tcPr>
                <w:p w14:paraId="306A03BC">
                  <w:pPr>
                    <w:jc w:val="center"/>
                    <w:rPr>
                      <w:rFonts w:hint="default" w:ascii="Times New Roman" w:hAnsi="Times New Roman" w:eastAsia="宋体" w:cs="Times New Roman"/>
                      <w:color w:val="auto"/>
                      <w:spacing w:val="0"/>
                      <w:kern w:val="2"/>
                      <w:sz w:val="21"/>
                      <w:szCs w:val="21"/>
                      <w:highlight w:val="none"/>
                      <w:u w:val="none" w:color="auto"/>
                      <w:lang w:val="en-US" w:eastAsia="zh-CN" w:bidi="ar-SA"/>
                    </w:rPr>
                  </w:pPr>
                </w:p>
              </w:tc>
              <w:tc>
                <w:tcPr>
                  <w:tcW w:w="769" w:type="pct"/>
                  <w:vMerge w:val="continue"/>
                  <w:noWrap w:val="0"/>
                  <w:vAlign w:val="center"/>
                </w:tcPr>
                <w:p w14:paraId="258E8674">
                  <w:pPr>
                    <w:jc w:val="center"/>
                    <w:rPr>
                      <w:rFonts w:hint="default" w:ascii="Times New Roman" w:hAnsi="Times New Roman" w:eastAsia="宋体" w:cs="Times New Roman"/>
                      <w:color w:val="auto"/>
                      <w:spacing w:val="0"/>
                      <w:sz w:val="21"/>
                      <w:szCs w:val="21"/>
                      <w:highlight w:val="none"/>
                      <w:u w:val="none" w:color="auto"/>
                      <w:lang w:val="en-US" w:eastAsia="zh-CN"/>
                    </w:rPr>
                  </w:pPr>
                </w:p>
              </w:tc>
              <w:tc>
                <w:tcPr>
                  <w:tcW w:w="886" w:type="pct"/>
                  <w:shd w:val="clear" w:color="auto" w:fill="auto"/>
                  <w:noWrap w:val="0"/>
                  <w:vAlign w:val="center"/>
                </w:tcPr>
                <w:p w14:paraId="071EC5EF">
                  <w:pPr>
                    <w:jc w:val="center"/>
                    <w:rPr>
                      <w:rFonts w:hint="default" w:ascii="Times New Roman" w:hAnsi="Times New Roman" w:eastAsia="宋体" w:cs="Times New Roman"/>
                      <w:color w:val="auto"/>
                      <w:spacing w:val="0"/>
                      <w:kern w:val="2"/>
                      <w:sz w:val="21"/>
                      <w:szCs w:val="21"/>
                      <w:highlight w:val="none"/>
                      <w:u w:val="none" w:color="auto"/>
                      <w:lang w:val="en-US" w:eastAsia="zh-CN" w:bidi="ar-SA"/>
                    </w:rPr>
                  </w:pPr>
                  <w:r>
                    <w:rPr>
                      <w:rFonts w:hint="default" w:ascii="Times New Roman" w:hAnsi="Times New Roman" w:eastAsia="宋体" w:cs="Times New Roman"/>
                      <w:color w:val="auto"/>
                      <w:sz w:val="21"/>
                      <w:szCs w:val="21"/>
                      <w:u w:val="none" w:color="auto"/>
                    </w:rPr>
                    <w:t>NO</w:t>
                  </w:r>
                  <w:r>
                    <w:rPr>
                      <w:rFonts w:hint="default" w:ascii="Times New Roman" w:hAnsi="Times New Roman" w:eastAsia="宋体" w:cs="Times New Roman"/>
                      <w:color w:val="auto"/>
                      <w:sz w:val="21"/>
                      <w:szCs w:val="21"/>
                      <w:u w:val="none" w:color="auto"/>
                      <w:vertAlign w:val="subscript"/>
                    </w:rPr>
                    <w:t>x</w:t>
                  </w:r>
                </w:p>
              </w:tc>
              <w:tc>
                <w:tcPr>
                  <w:tcW w:w="1362" w:type="dxa"/>
                  <w:noWrap w:val="0"/>
                  <w:vAlign w:val="center"/>
                </w:tcPr>
                <w:p w14:paraId="27256A5F">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highlight w:val="none"/>
                      <w:u w:val="none" w:color="auto"/>
                      <w:lang w:val="en-US" w:eastAsia="zh-CN"/>
                    </w:rPr>
                  </w:pPr>
                  <w:r>
                    <w:rPr>
                      <w:rFonts w:hint="default" w:ascii="Times New Roman" w:hAnsi="Times New Roman" w:eastAsia="宋体" w:cs="Times New Roman"/>
                      <w:color w:val="auto"/>
                      <w:spacing w:val="0"/>
                      <w:sz w:val="21"/>
                      <w:szCs w:val="21"/>
                      <w:highlight w:val="none"/>
                      <w:u w:val="none" w:color="auto"/>
                      <w:lang w:val="en-US" w:eastAsia="zh-CN"/>
                    </w:rPr>
                    <w:t xml:space="preserve">6.34 </w:t>
                  </w:r>
                </w:p>
              </w:tc>
              <w:tc>
                <w:tcPr>
                  <w:tcW w:w="1362" w:type="dxa"/>
                  <w:noWrap w:val="0"/>
                  <w:vAlign w:val="center"/>
                </w:tcPr>
                <w:p w14:paraId="3E93E2E8">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highlight w:val="none"/>
                      <w:u w:val="none" w:color="auto"/>
                      <w:lang w:val="en-US" w:eastAsia="zh-CN"/>
                    </w:rPr>
                  </w:pPr>
                  <w:r>
                    <w:rPr>
                      <w:rFonts w:hint="default" w:ascii="Times New Roman" w:hAnsi="Times New Roman" w:eastAsia="宋体" w:cs="Times New Roman"/>
                      <w:color w:val="auto"/>
                      <w:spacing w:val="0"/>
                      <w:sz w:val="21"/>
                      <w:szCs w:val="21"/>
                      <w:highlight w:val="none"/>
                      <w:u w:val="none" w:color="auto"/>
                      <w:lang w:val="en-US" w:eastAsia="zh-CN"/>
                    </w:rPr>
                    <w:t>1.3313</w:t>
                  </w:r>
                </w:p>
              </w:tc>
              <w:tc>
                <w:tcPr>
                  <w:tcW w:w="798" w:type="pct"/>
                  <w:vMerge w:val="continue"/>
                  <w:noWrap w:val="0"/>
                  <w:vAlign w:val="center"/>
                </w:tcPr>
                <w:p w14:paraId="3E33BD24">
                  <w:pPr>
                    <w:jc w:val="center"/>
                    <w:rPr>
                      <w:rFonts w:hint="default" w:ascii="Times New Roman" w:hAnsi="Times New Roman" w:eastAsia="宋体" w:cs="Times New Roman"/>
                      <w:color w:val="auto"/>
                      <w:spacing w:val="0"/>
                      <w:kern w:val="2"/>
                      <w:sz w:val="21"/>
                      <w:szCs w:val="21"/>
                      <w:highlight w:val="none"/>
                      <w:u w:val="none" w:color="auto"/>
                      <w:lang w:val="en-US" w:eastAsia="zh-CN" w:bidi="ar-SA"/>
                    </w:rPr>
                  </w:pPr>
                </w:p>
              </w:tc>
            </w:tr>
            <w:tr w14:paraId="3861CF5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47" w:type="pct"/>
                  <w:vMerge w:val="restart"/>
                  <w:noWrap w:val="0"/>
                  <w:vAlign w:val="center"/>
                </w:tcPr>
                <w:p w14:paraId="2DAA1C6B">
                  <w:pPr>
                    <w:jc w:val="center"/>
                    <w:rPr>
                      <w:rFonts w:hint="default" w:ascii="Times New Roman" w:hAnsi="Times New Roman" w:eastAsia="宋体" w:cs="Times New Roman"/>
                      <w:color w:val="auto"/>
                      <w:spacing w:val="0"/>
                      <w:kern w:val="2"/>
                      <w:sz w:val="21"/>
                      <w:szCs w:val="21"/>
                      <w:highlight w:val="none"/>
                      <w:u w:val="none" w:color="auto"/>
                      <w:lang w:val="en-US" w:eastAsia="zh-CN" w:bidi="ar-SA"/>
                    </w:rPr>
                  </w:pPr>
                  <w:r>
                    <w:rPr>
                      <w:rFonts w:hint="default" w:ascii="Times New Roman" w:hAnsi="Times New Roman" w:eastAsia="宋体" w:cs="Times New Roman"/>
                      <w:color w:val="auto"/>
                      <w:spacing w:val="0"/>
                      <w:kern w:val="2"/>
                      <w:sz w:val="21"/>
                      <w:szCs w:val="21"/>
                      <w:highlight w:val="none"/>
                      <w:u w:val="none" w:color="auto"/>
                      <w:lang w:val="en-US" w:eastAsia="zh-CN" w:bidi="ar-SA"/>
                    </w:rPr>
                    <w:t>DA011</w:t>
                  </w:r>
                </w:p>
              </w:tc>
              <w:tc>
                <w:tcPr>
                  <w:tcW w:w="769" w:type="pct"/>
                  <w:vMerge w:val="continue"/>
                  <w:noWrap w:val="0"/>
                  <w:vAlign w:val="center"/>
                </w:tcPr>
                <w:p w14:paraId="45E0216C">
                  <w:pPr>
                    <w:pStyle w:val="2"/>
                    <w:keepNext w:val="0"/>
                    <w:keepLines w:val="0"/>
                    <w:pageBreakBefore w:val="0"/>
                    <w:widowControl/>
                    <w:kinsoku/>
                    <w:wordWrap/>
                    <w:overflowPunct/>
                    <w:topLinePunct w:val="0"/>
                    <w:autoSpaceDE/>
                    <w:autoSpaceDN/>
                    <w:bidi w:val="0"/>
                    <w:adjustRightInd/>
                    <w:snapToGrid/>
                    <w:spacing w:before="0" w:after="0" w:line="240" w:lineRule="auto"/>
                    <w:ind w:right="113" w:rightChars="0"/>
                    <w:jc w:val="center"/>
                    <w:rPr>
                      <w:rFonts w:hint="default" w:ascii="Times New Roman" w:hAnsi="Times New Roman" w:eastAsia="宋体" w:cs="Times New Roman"/>
                      <w:color w:val="auto"/>
                      <w:spacing w:val="0"/>
                      <w:sz w:val="21"/>
                      <w:szCs w:val="21"/>
                      <w:highlight w:val="none"/>
                      <w:u w:val="none" w:color="auto"/>
                      <w:lang w:val="en-US" w:eastAsia="zh-CN"/>
                    </w:rPr>
                  </w:pPr>
                </w:p>
              </w:tc>
              <w:tc>
                <w:tcPr>
                  <w:tcW w:w="886" w:type="pct"/>
                  <w:shd w:val="clear" w:color="auto" w:fill="auto"/>
                  <w:noWrap w:val="0"/>
                  <w:vAlign w:val="center"/>
                </w:tcPr>
                <w:p w14:paraId="53C09747">
                  <w:pPr>
                    <w:pStyle w:val="2"/>
                    <w:keepNext w:val="0"/>
                    <w:keepLines w:val="0"/>
                    <w:pageBreakBefore w:val="0"/>
                    <w:widowControl/>
                    <w:kinsoku/>
                    <w:wordWrap/>
                    <w:overflowPunct/>
                    <w:topLinePunct w:val="0"/>
                    <w:autoSpaceDE/>
                    <w:autoSpaceDN/>
                    <w:bidi w:val="0"/>
                    <w:adjustRightInd/>
                    <w:snapToGrid/>
                    <w:spacing w:before="0" w:after="0" w:line="240" w:lineRule="auto"/>
                    <w:ind w:right="113" w:rightChars="0"/>
                    <w:jc w:val="center"/>
                    <w:rPr>
                      <w:rFonts w:hint="default" w:ascii="Times New Roman" w:hAnsi="Times New Roman" w:eastAsia="宋体" w:cs="Times New Roman"/>
                      <w:color w:val="auto"/>
                      <w:spacing w:val="0"/>
                      <w:kern w:val="0"/>
                      <w:sz w:val="21"/>
                      <w:szCs w:val="21"/>
                      <w:highlight w:val="none"/>
                      <w:u w:val="none" w:color="auto"/>
                      <w:lang w:val="en-US" w:eastAsia="zh-CN" w:bidi="ar-SA"/>
                    </w:rPr>
                  </w:pPr>
                  <w:r>
                    <w:rPr>
                      <w:rFonts w:hint="default" w:ascii="Times New Roman" w:hAnsi="Times New Roman" w:eastAsia="宋体" w:cs="Times New Roman"/>
                      <w:color w:val="auto"/>
                      <w:sz w:val="21"/>
                      <w:szCs w:val="21"/>
                      <w:u w:val="none" w:color="auto"/>
                      <w:vertAlign w:val="baseline"/>
                      <w:lang w:val="en-US" w:eastAsia="zh-CN"/>
                    </w:rPr>
                    <w:t>颗粒物</w:t>
                  </w:r>
                </w:p>
              </w:tc>
              <w:tc>
                <w:tcPr>
                  <w:tcW w:w="798" w:type="pct"/>
                  <w:noWrap w:val="0"/>
                  <w:vAlign w:val="center"/>
                </w:tcPr>
                <w:p w14:paraId="6FF1A270">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highlight w:val="none"/>
                      <w:u w:val="none" w:color="auto"/>
                      <w:lang w:val="en-US" w:eastAsia="zh-CN"/>
                    </w:rPr>
                  </w:pPr>
                  <w:r>
                    <w:rPr>
                      <w:rFonts w:hint="default" w:ascii="Times New Roman" w:hAnsi="Times New Roman" w:eastAsia="宋体" w:cs="Times New Roman"/>
                      <w:color w:val="auto"/>
                      <w:spacing w:val="0"/>
                      <w:sz w:val="21"/>
                      <w:szCs w:val="21"/>
                      <w:highlight w:val="none"/>
                      <w:u w:val="none" w:color="auto"/>
                      <w:lang w:val="en-US" w:eastAsia="zh-CN"/>
                    </w:rPr>
                    <w:t>51.64</w:t>
                  </w:r>
                </w:p>
              </w:tc>
              <w:tc>
                <w:tcPr>
                  <w:tcW w:w="798" w:type="pct"/>
                  <w:noWrap w:val="0"/>
                  <w:vAlign w:val="center"/>
                </w:tcPr>
                <w:p w14:paraId="3196C73C">
                  <w:pPr>
                    <w:widowControl/>
                    <w:jc w:val="center"/>
                    <w:textAlignment w:val="center"/>
                    <w:rPr>
                      <w:rFonts w:hint="default" w:ascii="Times New Roman" w:hAnsi="Times New Roman" w:eastAsia="宋体" w:cs="Times New Roman"/>
                      <w:color w:val="auto"/>
                      <w:spacing w:val="0"/>
                      <w:sz w:val="21"/>
                      <w:szCs w:val="21"/>
                      <w:highlight w:val="none"/>
                      <w:u w:val="none" w:color="auto"/>
                      <w:lang w:val="en-US" w:eastAsia="zh-CN"/>
                    </w:rPr>
                  </w:pPr>
                  <w:r>
                    <w:rPr>
                      <w:rFonts w:hint="default" w:ascii="Times New Roman" w:hAnsi="Times New Roman" w:eastAsia="宋体" w:cs="Times New Roman"/>
                      <w:color w:val="auto"/>
                      <w:spacing w:val="0"/>
                      <w:sz w:val="21"/>
                      <w:szCs w:val="21"/>
                      <w:highlight w:val="none"/>
                      <w:u w:val="none" w:color="auto"/>
                      <w:lang w:val="en-US" w:eastAsia="zh-CN"/>
                    </w:rPr>
                    <w:t>0.5164</w:t>
                  </w:r>
                </w:p>
              </w:tc>
              <w:tc>
                <w:tcPr>
                  <w:tcW w:w="798" w:type="pct"/>
                  <w:vMerge w:val="continue"/>
                  <w:shd w:val="clear" w:color="auto" w:fill="auto"/>
                  <w:noWrap w:val="0"/>
                  <w:vAlign w:val="center"/>
                </w:tcPr>
                <w:p w14:paraId="37601301">
                  <w:pPr>
                    <w:pStyle w:val="46"/>
                    <w:rPr>
                      <w:rFonts w:hint="default" w:ascii="Times New Roman" w:hAnsi="Times New Roman" w:eastAsia="宋体" w:cs="Times New Roman"/>
                      <w:color w:val="auto"/>
                      <w:spacing w:val="0"/>
                      <w:kern w:val="2"/>
                      <w:sz w:val="21"/>
                      <w:szCs w:val="21"/>
                      <w:highlight w:val="none"/>
                      <w:u w:val="none" w:color="auto"/>
                      <w:lang w:val="en-US" w:eastAsia="zh-CN" w:bidi="ar-SA"/>
                    </w:rPr>
                  </w:pPr>
                </w:p>
              </w:tc>
            </w:tr>
            <w:tr w14:paraId="2A8ED39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47" w:type="pct"/>
                  <w:vMerge w:val="continue"/>
                  <w:noWrap w:val="0"/>
                  <w:vAlign w:val="center"/>
                </w:tcPr>
                <w:p w14:paraId="2126E0B2">
                  <w:pPr>
                    <w:jc w:val="center"/>
                    <w:rPr>
                      <w:rFonts w:hint="default" w:ascii="Times New Roman" w:hAnsi="Times New Roman" w:eastAsia="宋体" w:cs="Times New Roman"/>
                      <w:color w:val="auto"/>
                      <w:spacing w:val="0"/>
                      <w:kern w:val="2"/>
                      <w:sz w:val="21"/>
                      <w:szCs w:val="21"/>
                      <w:highlight w:val="none"/>
                      <w:u w:val="none" w:color="auto"/>
                      <w:lang w:val="en-US" w:eastAsia="zh-CN" w:bidi="ar-SA"/>
                    </w:rPr>
                  </w:pPr>
                </w:p>
              </w:tc>
              <w:tc>
                <w:tcPr>
                  <w:tcW w:w="769" w:type="pct"/>
                  <w:vMerge w:val="continue"/>
                  <w:noWrap w:val="0"/>
                  <w:vAlign w:val="center"/>
                </w:tcPr>
                <w:p w14:paraId="7EE899D1">
                  <w:pPr>
                    <w:pStyle w:val="2"/>
                    <w:keepNext w:val="0"/>
                    <w:keepLines w:val="0"/>
                    <w:pageBreakBefore w:val="0"/>
                    <w:widowControl/>
                    <w:kinsoku/>
                    <w:wordWrap/>
                    <w:overflowPunct/>
                    <w:topLinePunct w:val="0"/>
                    <w:autoSpaceDE/>
                    <w:autoSpaceDN/>
                    <w:bidi w:val="0"/>
                    <w:adjustRightInd/>
                    <w:snapToGrid/>
                    <w:spacing w:before="0" w:after="0" w:line="240" w:lineRule="auto"/>
                    <w:ind w:right="113" w:rightChars="0"/>
                    <w:jc w:val="center"/>
                    <w:rPr>
                      <w:rFonts w:hint="default" w:ascii="Times New Roman" w:hAnsi="Times New Roman" w:eastAsia="宋体" w:cs="Times New Roman"/>
                      <w:color w:val="auto"/>
                      <w:spacing w:val="0"/>
                      <w:sz w:val="21"/>
                      <w:szCs w:val="21"/>
                      <w:highlight w:val="none"/>
                      <w:u w:val="none" w:color="auto"/>
                      <w:lang w:val="en-US" w:eastAsia="zh-CN"/>
                    </w:rPr>
                  </w:pPr>
                </w:p>
              </w:tc>
              <w:tc>
                <w:tcPr>
                  <w:tcW w:w="886" w:type="pct"/>
                  <w:shd w:val="clear" w:color="auto" w:fill="auto"/>
                  <w:noWrap w:val="0"/>
                  <w:vAlign w:val="center"/>
                </w:tcPr>
                <w:p w14:paraId="2A61B838">
                  <w:pPr>
                    <w:pStyle w:val="2"/>
                    <w:keepNext w:val="0"/>
                    <w:keepLines w:val="0"/>
                    <w:pageBreakBefore w:val="0"/>
                    <w:widowControl/>
                    <w:kinsoku/>
                    <w:wordWrap/>
                    <w:overflowPunct/>
                    <w:topLinePunct w:val="0"/>
                    <w:autoSpaceDE/>
                    <w:autoSpaceDN/>
                    <w:bidi w:val="0"/>
                    <w:adjustRightInd/>
                    <w:snapToGrid/>
                    <w:spacing w:before="0" w:after="0" w:line="240" w:lineRule="auto"/>
                    <w:ind w:right="113" w:rightChars="0"/>
                    <w:jc w:val="center"/>
                    <w:rPr>
                      <w:rFonts w:hint="default" w:ascii="Times New Roman" w:hAnsi="Times New Roman" w:eastAsia="宋体" w:cs="Times New Roman"/>
                      <w:color w:val="auto"/>
                      <w:spacing w:val="0"/>
                      <w:kern w:val="0"/>
                      <w:sz w:val="21"/>
                      <w:szCs w:val="21"/>
                      <w:highlight w:val="none"/>
                      <w:u w:val="none" w:color="auto"/>
                      <w:lang w:val="en-US" w:eastAsia="zh-CN" w:bidi="ar-SA"/>
                    </w:rPr>
                  </w:pPr>
                  <w:r>
                    <w:rPr>
                      <w:rFonts w:hint="default" w:ascii="Times New Roman" w:hAnsi="Times New Roman" w:eastAsia="宋体" w:cs="Times New Roman"/>
                      <w:color w:val="auto"/>
                      <w:sz w:val="21"/>
                      <w:szCs w:val="21"/>
                      <w:u w:val="none" w:color="auto"/>
                      <w:vertAlign w:val="baseline"/>
                      <w:lang w:val="en-US" w:eastAsia="zh-CN"/>
                    </w:rPr>
                    <w:t>非甲烷总烃</w:t>
                  </w:r>
                </w:p>
              </w:tc>
              <w:tc>
                <w:tcPr>
                  <w:tcW w:w="798" w:type="pct"/>
                  <w:noWrap w:val="0"/>
                  <w:vAlign w:val="center"/>
                </w:tcPr>
                <w:p w14:paraId="19C7519B">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highlight w:val="none"/>
                      <w:u w:val="none" w:color="auto"/>
                      <w:lang w:val="en-US" w:eastAsia="zh-CN"/>
                    </w:rPr>
                  </w:pPr>
                  <w:r>
                    <w:rPr>
                      <w:rFonts w:hint="default" w:ascii="Times New Roman" w:hAnsi="Times New Roman" w:eastAsia="宋体" w:cs="Times New Roman"/>
                      <w:color w:val="auto"/>
                      <w:spacing w:val="0"/>
                      <w:sz w:val="21"/>
                      <w:szCs w:val="21"/>
                      <w:highlight w:val="none"/>
                      <w:u w:val="none" w:color="auto"/>
                      <w:lang w:val="en-US" w:eastAsia="zh-CN"/>
                    </w:rPr>
                    <w:t>25.09</w:t>
                  </w:r>
                </w:p>
              </w:tc>
              <w:tc>
                <w:tcPr>
                  <w:tcW w:w="798" w:type="pct"/>
                  <w:noWrap w:val="0"/>
                  <w:vAlign w:val="center"/>
                </w:tcPr>
                <w:p w14:paraId="0560991E">
                  <w:pPr>
                    <w:widowControl/>
                    <w:jc w:val="center"/>
                    <w:textAlignment w:val="center"/>
                    <w:rPr>
                      <w:rFonts w:hint="default" w:ascii="Times New Roman" w:hAnsi="Times New Roman" w:eastAsia="宋体" w:cs="Times New Roman"/>
                      <w:color w:val="auto"/>
                      <w:spacing w:val="0"/>
                      <w:sz w:val="21"/>
                      <w:szCs w:val="21"/>
                      <w:highlight w:val="none"/>
                      <w:u w:val="none" w:color="auto"/>
                      <w:lang w:val="en-US" w:eastAsia="zh-CN"/>
                    </w:rPr>
                  </w:pPr>
                  <w:r>
                    <w:rPr>
                      <w:rFonts w:hint="default" w:ascii="Times New Roman" w:hAnsi="Times New Roman" w:eastAsia="宋体" w:cs="Times New Roman"/>
                      <w:color w:val="auto"/>
                      <w:spacing w:val="0"/>
                      <w:sz w:val="21"/>
                      <w:szCs w:val="21"/>
                      <w:highlight w:val="none"/>
                      <w:u w:val="none" w:color="auto"/>
                      <w:lang w:val="en-US" w:eastAsia="zh-CN"/>
                    </w:rPr>
                    <w:t>0.2509</w:t>
                  </w:r>
                </w:p>
              </w:tc>
              <w:tc>
                <w:tcPr>
                  <w:tcW w:w="798" w:type="pct"/>
                  <w:vMerge w:val="continue"/>
                  <w:noWrap w:val="0"/>
                  <w:vAlign w:val="center"/>
                </w:tcPr>
                <w:p w14:paraId="0F69B8B6">
                  <w:pPr>
                    <w:jc w:val="center"/>
                    <w:rPr>
                      <w:rFonts w:hint="default" w:ascii="Times New Roman" w:hAnsi="Times New Roman" w:eastAsia="宋体" w:cs="Times New Roman"/>
                      <w:color w:val="auto"/>
                      <w:spacing w:val="0"/>
                      <w:kern w:val="2"/>
                      <w:sz w:val="21"/>
                      <w:szCs w:val="21"/>
                      <w:highlight w:val="none"/>
                      <w:u w:val="none" w:color="auto"/>
                      <w:lang w:val="en-US" w:eastAsia="zh-CN" w:bidi="ar-SA"/>
                    </w:rPr>
                  </w:pPr>
                </w:p>
              </w:tc>
            </w:tr>
            <w:tr w14:paraId="4CD95E2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47" w:type="pct"/>
                  <w:noWrap w:val="0"/>
                  <w:vAlign w:val="center"/>
                </w:tcPr>
                <w:p w14:paraId="1D1BED6B">
                  <w:pPr>
                    <w:jc w:val="center"/>
                    <w:rPr>
                      <w:rFonts w:hint="default" w:ascii="Times New Roman" w:hAnsi="Times New Roman" w:eastAsia="宋体" w:cs="Times New Roman"/>
                      <w:color w:val="auto"/>
                      <w:spacing w:val="0"/>
                      <w:kern w:val="2"/>
                      <w:sz w:val="21"/>
                      <w:szCs w:val="21"/>
                      <w:highlight w:val="none"/>
                      <w:u w:val="none" w:color="auto"/>
                      <w:lang w:val="en-US" w:eastAsia="zh-CN" w:bidi="ar-SA"/>
                    </w:rPr>
                  </w:pPr>
                  <w:r>
                    <w:rPr>
                      <w:rFonts w:hint="default" w:ascii="Times New Roman" w:hAnsi="Times New Roman" w:eastAsia="宋体" w:cs="Times New Roman"/>
                      <w:color w:val="auto"/>
                      <w:spacing w:val="0"/>
                      <w:kern w:val="2"/>
                      <w:sz w:val="21"/>
                      <w:szCs w:val="21"/>
                      <w:highlight w:val="none"/>
                      <w:u w:val="none" w:color="auto"/>
                      <w:lang w:val="en-US" w:eastAsia="zh-CN" w:bidi="ar-SA"/>
                    </w:rPr>
                    <w:t>DA012</w:t>
                  </w:r>
                </w:p>
              </w:tc>
              <w:tc>
                <w:tcPr>
                  <w:tcW w:w="769" w:type="pct"/>
                  <w:vMerge w:val="continue"/>
                  <w:noWrap w:val="0"/>
                  <w:vAlign w:val="center"/>
                </w:tcPr>
                <w:p w14:paraId="4DA8D7D6">
                  <w:pPr>
                    <w:jc w:val="center"/>
                    <w:rPr>
                      <w:rFonts w:hint="default" w:ascii="Times New Roman" w:hAnsi="Times New Roman" w:eastAsia="宋体" w:cs="Times New Roman"/>
                      <w:color w:val="auto"/>
                      <w:spacing w:val="0"/>
                      <w:sz w:val="21"/>
                      <w:szCs w:val="21"/>
                      <w:highlight w:val="none"/>
                      <w:u w:val="none" w:color="auto"/>
                      <w:lang w:val="en-US" w:eastAsia="zh-CN"/>
                    </w:rPr>
                  </w:pPr>
                </w:p>
              </w:tc>
              <w:tc>
                <w:tcPr>
                  <w:tcW w:w="886" w:type="pct"/>
                  <w:noWrap w:val="0"/>
                  <w:vAlign w:val="center"/>
                </w:tcPr>
                <w:p w14:paraId="461036F1">
                  <w:pPr>
                    <w:jc w:val="center"/>
                    <w:rPr>
                      <w:rFonts w:hint="default" w:ascii="Times New Roman" w:hAnsi="Times New Roman" w:eastAsia="宋体" w:cs="Times New Roman"/>
                      <w:color w:val="auto"/>
                      <w:spacing w:val="0"/>
                      <w:kern w:val="2"/>
                      <w:sz w:val="21"/>
                      <w:szCs w:val="21"/>
                      <w:highlight w:val="none"/>
                      <w:u w:val="none" w:color="auto"/>
                      <w:lang w:val="en-US" w:eastAsia="zh-CN" w:bidi="ar-SA"/>
                    </w:rPr>
                  </w:pPr>
                  <w:r>
                    <w:rPr>
                      <w:rFonts w:hint="default" w:ascii="Times New Roman" w:hAnsi="Times New Roman" w:eastAsia="宋体" w:cs="Times New Roman"/>
                      <w:color w:val="auto"/>
                      <w:spacing w:val="0"/>
                      <w:kern w:val="2"/>
                      <w:sz w:val="21"/>
                      <w:szCs w:val="21"/>
                      <w:highlight w:val="none"/>
                      <w:u w:val="none" w:color="auto"/>
                      <w:lang w:val="en-US" w:eastAsia="zh-CN" w:bidi="ar-SA"/>
                    </w:rPr>
                    <w:t>非甲烷总烃</w:t>
                  </w:r>
                </w:p>
              </w:tc>
              <w:tc>
                <w:tcPr>
                  <w:tcW w:w="798" w:type="pct"/>
                  <w:noWrap w:val="0"/>
                  <w:vAlign w:val="center"/>
                </w:tcPr>
                <w:p w14:paraId="1F75D6A0">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highlight w:val="none"/>
                      <w:u w:val="none" w:color="auto"/>
                      <w:lang w:val="en-US" w:eastAsia="zh-CN"/>
                    </w:rPr>
                  </w:pPr>
                  <w:r>
                    <w:rPr>
                      <w:rFonts w:hint="default" w:ascii="Times New Roman" w:hAnsi="Times New Roman" w:eastAsia="宋体" w:cs="Times New Roman"/>
                      <w:color w:val="auto"/>
                      <w:spacing w:val="0"/>
                      <w:sz w:val="21"/>
                      <w:szCs w:val="21"/>
                      <w:highlight w:val="none"/>
                      <w:u w:val="none" w:color="auto"/>
                      <w:lang w:val="en-US" w:eastAsia="zh-CN"/>
                    </w:rPr>
                    <w:t>9.46</w:t>
                  </w:r>
                </w:p>
              </w:tc>
              <w:tc>
                <w:tcPr>
                  <w:tcW w:w="798" w:type="pct"/>
                  <w:noWrap w:val="0"/>
                  <w:vAlign w:val="center"/>
                </w:tcPr>
                <w:p w14:paraId="030257CB">
                  <w:pPr>
                    <w:widowControl/>
                    <w:jc w:val="center"/>
                    <w:textAlignment w:val="center"/>
                    <w:rPr>
                      <w:rFonts w:hint="default" w:ascii="Times New Roman" w:hAnsi="Times New Roman" w:eastAsia="宋体" w:cs="Times New Roman"/>
                      <w:color w:val="auto"/>
                      <w:spacing w:val="0"/>
                      <w:sz w:val="21"/>
                      <w:szCs w:val="21"/>
                      <w:highlight w:val="none"/>
                      <w:u w:val="none" w:color="auto"/>
                      <w:lang w:val="en-US" w:eastAsia="zh-CN"/>
                    </w:rPr>
                  </w:pPr>
                  <w:r>
                    <w:rPr>
                      <w:rFonts w:hint="default" w:ascii="Times New Roman" w:hAnsi="Times New Roman" w:eastAsia="宋体" w:cs="Times New Roman"/>
                      <w:color w:val="auto"/>
                      <w:spacing w:val="0"/>
                      <w:sz w:val="21"/>
                      <w:szCs w:val="21"/>
                      <w:highlight w:val="none"/>
                      <w:u w:val="none" w:color="auto"/>
                      <w:lang w:val="en-US" w:eastAsia="zh-CN"/>
                    </w:rPr>
                    <w:t>0.0473</w:t>
                  </w:r>
                </w:p>
              </w:tc>
              <w:tc>
                <w:tcPr>
                  <w:tcW w:w="798" w:type="pct"/>
                  <w:vMerge w:val="continue"/>
                  <w:noWrap w:val="0"/>
                  <w:vAlign w:val="center"/>
                </w:tcPr>
                <w:p w14:paraId="6EC1F684">
                  <w:pPr>
                    <w:pStyle w:val="46"/>
                    <w:rPr>
                      <w:rFonts w:hint="default" w:ascii="Times New Roman" w:hAnsi="Times New Roman" w:eastAsia="宋体" w:cs="Times New Roman"/>
                      <w:color w:val="auto"/>
                      <w:spacing w:val="0"/>
                      <w:kern w:val="2"/>
                      <w:sz w:val="21"/>
                      <w:szCs w:val="21"/>
                      <w:highlight w:val="none"/>
                      <w:u w:val="none" w:color="auto"/>
                      <w:lang w:val="en-US" w:eastAsia="zh-CN" w:bidi="ar-SA"/>
                    </w:rPr>
                  </w:pPr>
                </w:p>
              </w:tc>
            </w:tr>
          </w:tbl>
          <w:p w14:paraId="2A105A02">
            <w:pPr>
              <w:rPr>
                <w:rFonts w:hint="default" w:ascii="Times New Roman" w:hAnsi="Times New Roman" w:eastAsia="宋体" w:cs="Times New Roman"/>
                <w:b/>
                <w:bCs/>
                <w:color w:val="auto"/>
                <w:u w:val="none" w:color="auto"/>
                <w:lang w:val="en-US" w:eastAsia="zh-CN"/>
              </w:rPr>
            </w:pPr>
            <w:r>
              <w:rPr>
                <w:rFonts w:hint="default" w:ascii="Times New Roman" w:hAnsi="Times New Roman" w:eastAsia="宋体" w:cs="Times New Roman"/>
                <w:b/>
                <w:bCs/>
                <w:color w:val="auto"/>
                <w:u w:val="none" w:color="auto"/>
                <w:lang w:val="en-US" w:eastAsia="zh-CN"/>
              </w:rPr>
              <w:t>注：DA010按各工序同时生产时最大情形。</w:t>
            </w:r>
          </w:p>
          <w:p w14:paraId="298DE7BA">
            <w:pPr>
              <w:spacing w:line="360" w:lineRule="auto"/>
              <w:rPr>
                <w:rFonts w:hint="default" w:ascii="Times New Roman" w:hAnsi="Times New Roman" w:eastAsia="宋体" w:cs="Times New Roman"/>
                <w:b/>
                <w:bCs/>
                <w:color w:val="auto"/>
                <w:spacing w:val="0"/>
                <w:sz w:val="24"/>
                <w:highlight w:val="none"/>
                <w:u w:val="none" w:color="auto"/>
                <w:lang w:val="en-US" w:eastAsia="zh-CN"/>
              </w:rPr>
            </w:pPr>
            <w:r>
              <w:rPr>
                <w:rFonts w:hint="default" w:ascii="Times New Roman" w:hAnsi="Times New Roman" w:eastAsia="宋体" w:cs="Times New Roman"/>
                <w:b/>
                <w:bCs/>
                <w:color w:val="auto"/>
                <w:spacing w:val="0"/>
                <w:sz w:val="24"/>
                <w:highlight w:val="none"/>
                <w:u w:val="none" w:color="auto"/>
                <w:lang w:val="en-US" w:eastAsia="zh-CN"/>
              </w:rPr>
              <w:t>非正常工况控制措施：</w:t>
            </w:r>
          </w:p>
          <w:p w14:paraId="26998659">
            <w:pPr>
              <w:spacing w:line="360" w:lineRule="auto"/>
              <w:ind w:firstLine="480" w:firstLineChars="200"/>
              <w:rPr>
                <w:rFonts w:hint="default" w:ascii="Times New Roman" w:hAnsi="Times New Roman" w:eastAsia="宋体" w:cs="Times New Roman"/>
                <w:color w:val="auto"/>
                <w:spacing w:val="0"/>
                <w:sz w:val="24"/>
                <w:highlight w:val="none"/>
                <w:u w:val="none" w:color="auto"/>
                <w:lang w:val="en-US" w:eastAsia="zh-CN"/>
              </w:rPr>
            </w:pPr>
            <w:r>
              <w:rPr>
                <w:rFonts w:hint="default" w:ascii="Times New Roman" w:hAnsi="Times New Roman" w:eastAsia="宋体" w:cs="Times New Roman"/>
                <w:color w:val="auto"/>
                <w:spacing w:val="0"/>
                <w:sz w:val="24"/>
                <w:highlight w:val="none"/>
                <w:u w:val="none" w:color="auto"/>
                <w:lang w:val="en-US" w:eastAsia="zh-CN"/>
              </w:rPr>
              <w:t>①建设单位应加强日常的环保管理，密切关注废气处理装置的运行情况。</w:t>
            </w:r>
          </w:p>
          <w:p w14:paraId="2747E3C3">
            <w:pPr>
              <w:spacing w:line="360" w:lineRule="auto"/>
              <w:ind w:firstLine="480" w:firstLineChars="200"/>
              <w:rPr>
                <w:rFonts w:hint="default" w:ascii="Times New Roman" w:hAnsi="Times New Roman" w:eastAsia="宋体" w:cs="Times New Roman"/>
                <w:color w:val="auto"/>
                <w:spacing w:val="0"/>
                <w:sz w:val="24"/>
                <w:highlight w:val="none"/>
                <w:u w:val="none" w:color="auto"/>
                <w:lang w:val="en-US" w:eastAsia="zh-CN"/>
              </w:rPr>
            </w:pPr>
            <w:r>
              <w:rPr>
                <w:rFonts w:hint="default" w:ascii="Times New Roman" w:hAnsi="Times New Roman" w:eastAsia="宋体" w:cs="Times New Roman"/>
                <w:color w:val="auto"/>
                <w:spacing w:val="0"/>
                <w:sz w:val="24"/>
                <w:highlight w:val="none"/>
                <w:u w:val="none" w:color="auto"/>
                <w:lang w:val="en-US" w:eastAsia="zh-CN"/>
              </w:rPr>
              <w:t>②在项目运营期间，建设单位应保持设备净化能力和净化容量，确保环保设施的正常高效运行，将废气对大气环境的影响降到最低。</w:t>
            </w:r>
          </w:p>
          <w:p w14:paraId="7B865EC7">
            <w:pPr>
              <w:spacing w:line="360" w:lineRule="auto"/>
              <w:ind w:firstLine="480" w:firstLineChars="200"/>
              <w:rPr>
                <w:rFonts w:hint="default" w:ascii="Times New Roman" w:hAnsi="Times New Roman" w:eastAsia="宋体" w:cs="Times New Roman"/>
                <w:color w:val="auto"/>
                <w:spacing w:val="0"/>
                <w:sz w:val="24"/>
                <w:highlight w:val="none"/>
                <w:u w:val="none" w:color="auto"/>
                <w:lang w:val="en-US" w:eastAsia="zh-CN"/>
              </w:rPr>
            </w:pPr>
            <w:r>
              <w:rPr>
                <w:rFonts w:hint="default" w:ascii="Times New Roman" w:hAnsi="Times New Roman" w:eastAsia="宋体" w:cs="Times New Roman"/>
                <w:color w:val="auto"/>
                <w:spacing w:val="0"/>
                <w:sz w:val="24"/>
                <w:highlight w:val="none"/>
                <w:u w:val="none" w:color="auto"/>
                <w:lang w:val="en-US" w:eastAsia="zh-CN"/>
              </w:rPr>
              <w:t>③遇到废气处理设施运转不正常，应立即停止生产，修复试运转合格后再启动生产。</w:t>
            </w:r>
          </w:p>
          <w:p w14:paraId="15A61486">
            <w:pPr>
              <w:spacing w:line="360" w:lineRule="auto"/>
              <w:ind w:firstLine="480" w:firstLineChars="200"/>
              <w:rPr>
                <w:rFonts w:hint="default" w:ascii="Times New Roman" w:hAnsi="Times New Roman" w:eastAsia="宋体" w:cs="Times New Roman"/>
                <w:color w:val="auto"/>
                <w:spacing w:val="0"/>
                <w:sz w:val="24"/>
                <w:highlight w:val="none"/>
                <w:u w:val="none" w:color="auto"/>
                <w:lang w:val="en-US" w:eastAsia="zh-CN"/>
              </w:rPr>
            </w:pPr>
            <w:r>
              <w:rPr>
                <w:rFonts w:hint="default" w:ascii="Times New Roman" w:hAnsi="Times New Roman" w:eastAsia="宋体" w:cs="Times New Roman"/>
                <w:color w:val="auto"/>
                <w:spacing w:val="0"/>
                <w:sz w:val="24"/>
                <w:highlight w:val="none"/>
                <w:u w:val="none" w:color="auto"/>
                <w:lang w:val="en-US" w:eastAsia="zh-CN"/>
              </w:rPr>
              <w:t>根据上表分析可知，在非正常情况下排气筒将出现超标状态，特别是DA010排放的颗粒物，因此建设单位需确保废气处理设施的正常运行和维护保养。</w:t>
            </w:r>
          </w:p>
          <w:p w14:paraId="562D29A2">
            <w:pPr>
              <w:adjustRightInd w:val="0"/>
              <w:snapToGrid w:val="0"/>
              <w:spacing w:line="360" w:lineRule="auto"/>
              <w:ind w:firstLine="482" w:firstLineChars="200"/>
              <w:rPr>
                <w:rFonts w:hint="default" w:ascii="Times New Roman" w:hAnsi="Times New Roman" w:eastAsia="宋体" w:cs="Times New Roman"/>
                <w:b/>
                <w:color w:val="auto"/>
                <w:spacing w:val="0"/>
                <w:sz w:val="24"/>
                <w:highlight w:val="none"/>
                <w:u w:val="none" w:color="auto"/>
              </w:rPr>
            </w:pPr>
            <w:r>
              <w:rPr>
                <w:rFonts w:hint="default" w:ascii="Times New Roman" w:hAnsi="Times New Roman" w:eastAsia="宋体" w:cs="Times New Roman"/>
                <w:b/>
                <w:color w:val="auto"/>
                <w:spacing w:val="0"/>
                <w:sz w:val="24"/>
                <w:highlight w:val="none"/>
                <w:u w:val="none" w:color="auto"/>
                <w:lang w:val="en-US" w:eastAsia="zh-CN"/>
              </w:rPr>
              <w:t>6</w:t>
            </w:r>
            <w:r>
              <w:rPr>
                <w:rFonts w:hint="default" w:ascii="Times New Roman" w:hAnsi="Times New Roman" w:eastAsia="宋体" w:cs="Times New Roman"/>
                <w:b/>
                <w:color w:val="auto"/>
                <w:spacing w:val="0"/>
                <w:sz w:val="24"/>
                <w:highlight w:val="none"/>
                <w:u w:val="none" w:color="auto"/>
              </w:rPr>
              <w:t>、废气处理</w:t>
            </w:r>
            <w:r>
              <w:rPr>
                <w:rFonts w:hint="default" w:ascii="Times New Roman" w:hAnsi="Times New Roman" w:eastAsia="宋体" w:cs="Times New Roman"/>
                <w:b/>
                <w:color w:val="auto"/>
                <w:spacing w:val="0"/>
                <w:sz w:val="24"/>
                <w:highlight w:val="none"/>
                <w:u w:val="none" w:color="auto"/>
                <w:lang w:val="en-US" w:eastAsia="zh-CN"/>
              </w:rPr>
              <w:t>及达标</w:t>
            </w:r>
            <w:r>
              <w:rPr>
                <w:rFonts w:hint="default" w:ascii="Times New Roman" w:hAnsi="Times New Roman" w:eastAsia="宋体" w:cs="Times New Roman"/>
                <w:b/>
                <w:color w:val="auto"/>
                <w:spacing w:val="0"/>
                <w:sz w:val="24"/>
                <w:highlight w:val="none"/>
                <w:u w:val="none" w:color="auto"/>
              </w:rPr>
              <w:t>可行性</w:t>
            </w:r>
          </w:p>
          <w:p w14:paraId="781EF7E9">
            <w:pPr>
              <w:spacing w:line="360" w:lineRule="auto"/>
              <w:ind w:firstLine="480" w:firstLineChars="200"/>
              <w:rPr>
                <w:rFonts w:hint="default" w:ascii="Times New Roman" w:hAnsi="Times New Roman" w:eastAsia="宋体" w:cs="Times New Roman"/>
                <w:color w:val="auto"/>
                <w:spacing w:val="0"/>
                <w:sz w:val="24"/>
                <w:highlight w:val="none"/>
                <w:u w:val="none" w:color="auto"/>
              </w:rPr>
            </w:pPr>
            <w:r>
              <w:rPr>
                <w:rFonts w:hint="default" w:ascii="Times New Roman" w:hAnsi="Times New Roman" w:eastAsia="宋体" w:cs="Times New Roman"/>
                <w:color w:val="auto"/>
                <w:spacing w:val="0"/>
                <w:sz w:val="24"/>
                <w:highlight w:val="none"/>
                <w:u w:val="none" w:color="auto"/>
              </w:rPr>
              <w:t>（1）废气处理工艺</w:t>
            </w:r>
          </w:p>
          <w:p w14:paraId="088FA6CD">
            <w:pPr>
              <w:spacing w:line="360" w:lineRule="auto"/>
              <w:ind w:firstLine="480" w:firstLineChars="200"/>
              <w:rPr>
                <w:rFonts w:hint="default" w:ascii="Times New Roman" w:hAnsi="Times New Roman" w:eastAsia="宋体" w:cs="Times New Roman"/>
                <w:color w:val="auto"/>
                <w:spacing w:val="0"/>
                <w:sz w:val="24"/>
                <w:highlight w:val="none"/>
                <w:u w:val="none" w:color="auto"/>
                <w:lang w:val="en-US" w:eastAsia="zh-CN"/>
              </w:rPr>
            </w:pPr>
            <w:r>
              <w:rPr>
                <w:rFonts w:hint="default" w:ascii="Times New Roman" w:hAnsi="Times New Roman" w:eastAsia="宋体" w:cs="Times New Roman"/>
                <w:color w:val="auto"/>
                <w:spacing w:val="0"/>
                <w:sz w:val="24"/>
                <w:highlight w:val="none"/>
                <w:u w:val="none" w:color="auto"/>
                <w:lang w:val="en-US" w:eastAsia="zh-CN"/>
              </w:rPr>
              <w:t>按照《排污许可证申请与核发技术规范  工业炉窑》（HJ1121-2020）、《排污许可证申请与核发技术规范  金属铸造工业》（HJ 1115-2020）和《排污许可证申请与核发技术规范  汽车制造业》（HJ 971-2018）中废气治理可行性技术表可知：</w:t>
            </w:r>
          </w:p>
          <w:p w14:paraId="4A56D13A">
            <w:pPr>
              <w:jc w:val="center"/>
              <w:rPr>
                <w:rFonts w:hint="default" w:ascii="Times New Roman" w:hAnsi="Times New Roman" w:eastAsia="宋体" w:cs="Times New Roman"/>
                <w:b/>
                <w:bCs/>
                <w:color w:val="auto"/>
                <w:spacing w:val="0"/>
                <w:highlight w:val="none"/>
                <w:u w:val="none" w:color="auto"/>
                <w:lang w:val="en-US" w:eastAsia="zh-CN"/>
              </w:rPr>
            </w:pPr>
            <w:r>
              <w:rPr>
                <w:rFonts w:hint="default" w:ascii="Times New Roman" w:hAnsi="Times New Roman" w:eastAsia="宋体" w:cs="Times New Roman"/>
                <w:b/>
                <w:bCs/>
                <w:color w:val="auto"/>
                <w:spacing w:val="0"/>
                <w:highlight w:val="none"/>
                <w:u w:val="none" w:color="auto"/>
                <w:lang w:val="en-US" w:eastAsia="zh-CN"/>
              </w:rPr>
              <w:t>表4-21  废气处理可行技术对比一览表</w:t>
            </w:r>
          </w:p>
          <w:tbl>
            <w:tblPr>
              <w:tblStyle w:val="32"/>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50"/>
              <w:gridCol w:w="852"/>
              <w:gridCol w:w="1702"/>
              <w:gridCol w:w="1702"/>
              <w:gridCol w:w="2670"/>
              <w:gridCol w:w="739"/>
            </w:tblGrid>
            <w:tr w14:paraId="4E92013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999" w:type="pct"/>
                  <w:gridSpan w:val="2"/>
                  <w:tcBorders>
                    <w:tl2br w:val="nil"/>
                    <w:tr2bl w:val="nil"/>
                  </w:tcBorders>
                  <w:vAlign w:val="center"/>
                </w:tcPr>
                <w:p w14:paraId="50F2240D">
                  <w:pPr>
                    <w:jc w:val="center"/>
                    <w:rPr>
                      <w:rFonts w:hint="default" w:ascii="Times New Roman" w:hAnsi="Times New Roman" w:eastAsia="宋体" w:cs="Times New Roman"/>
                      <w:b/>
                      <w:bCs/>
                      <w:color w:val="auto"/>
                      <w:u w:val="none" w:color="auto"/>
                      <w:lang w:val="en-US" w:eastAsia="zh-CN"/>
                    </w:rPr>
                  </w:pPr>
                  <w:r>
                    <w:rPr>
                      <w:rFonts w:hint="default" w:ascii="Times New Roman" w:hAnsi="Times New Roman" w:eastAsia="宋体" w:cs="Times New Roman"/>
                      <w:b/>
                      <w:bCs/>
                      <w:color w:val="auto"/>
                      <w:u w:val="none" w:color="auto"/>
                      <w:lang w:val="en-US" w:eastAsia="zh-CN"/>
                    </w:rPr>
                    <w:t>污染源</w:t>
                  </w:r>
                </w:p>
              </w:tc>
              <w:tc>
                <w:tcPr>
                  <w:tcW w:w="999" w:type="pct"/>
                  <w:tcBorders>
                    <w:tl2br w:val="nil"/>
                    <w:tr2bl w:val="nil"/>
                  </w:tcBorders>
                  <w:vAlign w:val="center"/>
                </w:tcPr>
                <w:p w14:paraId="174F4888">
                  <w:pPr>
                    <w:jc w:val="center"/>
                    <w:rPr>
                      <w:rFonts w:hint="default" w:ascii="Times New Roman" w:hAnsi="Times New Roman" w:eastAsia="宋体" w:cs="Times New Roman"/>
                      <w:b/>
                      <w:bCs/>
                      <w:color w:val="auto"/>
                      <w:u w:val="none" w:color="auto"/>
                      <w:lang w:val="en-US" w:eastAsia="zh-CN"/>
                    </w:rPr>
                  </w:pPr>
                  <w:r>
                    <w:rPr>
                      <w:rFonts w:hint="default" w:ascii="Times New Roman" w:hAnsi="Times New Roman" w:eastAsia="宋体" w:cs="Times New Roman"/>
                      <w:b/>
                      <w:bCs/>
                      <w:color w:val="auto"/>
                      <w:u w:val="none" w:color="auto"/>
                      <w:lang w:val="en-US" w:eastAsia="zh-CN"/>
                    </w:rPr>
                    <w:t>废气处理所示</w:t>
                  </w:r>
                </w:p>
              </w:tc>
              <w:tc>
                <w:tcPr>
                  <w:tcW w:w="999" w:type="pct"/>
                  <w:tcBorders>
                    <w:tl2br w:val="nil"/>
                    <w:tr2bl w:val="nil"/>
                  </w:tcBorders>
                  <w:vAlign w:val="center"/>
                </w:tcPr>
                <w:p w14:paraId="71705581">
                  <w:pPr>
                    <w:jc w:val="center"/>
                    <w:rPr>
                      <w:rFonts w:hint="default" w:ascii="Times New Roman" w:hAnsi="Times New Roman" w:eastAsia="宋体" w:cs="Times New Roman"/>
                      <w:b/>
                      <w:bCs/>
                      <w:color w:val="auto"/>
                      <w:u w:val="none" w:color="auto"/>
                      <w:lang w:val="en-US" w:eastAsia="zh-CN"/>
                    </w:rPr>
                  </w:pPr>
                  <w:r>
                    <w:rPr>
                      <w:rFonts w:hint="default" w:ascii="Times New Roman" w:hAnsi="Times New Roman" w:eastAsia="宋体" w:cs="Times New Roman"/>
                      <w:b/>
                      <w:bCs/>
                      <w:color w:val="auto"/>
                      <w:u w:val="none" w:color="auto"/>
                      <w:lang w:val="en-US" w:eastAsia="zh-CN"/>
                    </w:rPr>
                    <w:t>技术规范可行技术</w:t>
                  </w:r>
                </w:p>
              </w:tc>
              <w:tc>
                <w:tcPr>
                  <w:tcW w:w="1567" w:type="pct"/>
                  <w:tcBorders>
                    <w:tl2br w:val="nil"/>
                    <w:tr2bl w:val="nil"/>
                  </w:tcBorders>
                  <w:vAlign w:val="center"/>
                </w:tcPr>
                <w:p w14:paraId="616E4FE6">
                  <w:pPr>
                    <w:jc w:val="center"/>
                    <w:rPr>
                      <w:rFonts w:hint="default" w:ascii="Times New Roman" w:hAnsi="Times New Roman" w:eastAsia="宋体" w:cs="Times New Roman"/>
                      <w:b/>
                      <w:bCs/>
                      <w:color w:val="auto"/>
                      <w:u w:val="none" w:color="auto"/>
                      <w:lang w:val="en-US" w:eastAsia="zh-CN"/>
                    </w:rPr>
                  </w:pPr>
                  <w:r>
                    <w:rPr>
                      <w:rFonts w:hint="default" w:ascii="Times New Roman" w:hAnsi="Times New Roman" w:eastAsia="宋体" w:cs="Times New Roman"/>
                      <w:b/>
                      <w:bCs/>
                      <w:color w:val="auto"/>
                      <w:u w:val="none" w:color="auto"/>
                      <w:lang w:val="en-US" w:eastAsia="zh-CN"/>
                    </w:rPr>
                    <w:t>分析</w:t>
                  </w:r>
                </w:p>
              </w:tc>
              <w:tc>
                <w:tcPr>
                  <w:tcW w:w="433" w:type="pct"/>
                  <w:tcBorders>
                    <w:tl2br w:val="nil"/>
                    <w:tr2bl w:val="nil"/>
                  </w:tcBorders>
                  <w:vAlign w:val="center"/>
                </w:tcPr>
                <w:p w14:paraId="32B1F770">
                  <w:pPr>
                    <w:jc w:val="center"/>
                    <w:rPr>
                      <w:rFonts w:hint="default" w:ascii="Times New Roman" w:hAnsi="Times New Roman" w:eastAsia="宋体" w:cs="Times New Roman"/>
                      <w:b/>
                      <w:bCs/>
                      <w:color w:val="auto"/>
                      <w:u w:val="none" w:color="auto"/>
                      <w:lang w:val="en-US" w:eastAsia="zh-CN"/>
                    </w:rPr>
                  </w:pPr>
                  <w:r>
                    <w:rPr>
                      <w:rFonts w:hint="default" w:ascii="Times New Roman" w:hAnsi="Times New Roman" w:eastAsia="宋体" w:cs="Times New Roman"/>
                      <w:b/>
                      <w:bCs/>
                      <w:color w:val="auto"/>
                      <w:u w:val="none" w:color="auto"/>
                      <w:lang w:val="en-US" w:eastAsia="zh-CN"/>
                    </w:rPr>
                    <w:t>是否可行</w:t>
                  </w:r>
                </w:p>
              </w:tc>
            </w:tr>
            <w:tr w14:paraId="2C58572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999" w:type="pct"/>
                  <w:gridSpan w:val="2"/>
                  <w:tcBorders>
                    <w:tl2br w:val="nil"/>
                    <w:tr2bl w:val="nil"/>
                  </w:tcBorders>
                  <w:vAlign w:val="center"/>
                </w:tcPr>
                <w:p w14:paraId="33C42357">
                  <w:pPr>
                    <w:jc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铝合金熔铸二厂各工序</w:t>
                  </w:r>
                  <w:r>
                    <w:rPr>
                      <w:rFonts w:hint="eastAsia" w:cs="Times New Roman"/>
                      <w:color w:val="auto"/>
                      <w:u w:val="none" w:color="auto"/>
                      <w:lang w:val="en-US" w:eastAsia="zh-CN"/>
                    </w:rPr>
                    <w:t>废气</w:t>
                  </w:r>
                </w:p>
              </w:tc>
              <w:tc>
                <w:tcPr>
                  <w:tcW w:w="999" w:type="pct"/>
                  <w:tcBorders>
                    <w:tl2br w:val="nil"/>
                    <w:tr2bl w:val="nil"/>
                  </w:tcBorders>
                  <w:vAlign w:val="center"/>
                </w:tcPr>
                <w:p w14:paraId="1E2EB2F2">
                  <w:pPr>
                    <w:jc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多管重力除尘器+布袋除尘</w:t>
                  </w:r>
                </w:p>
              </w:tc>
              <w:tc>
                <w:tcPr>
                  <w:tcW w:w="999" w:type="pct"/>
                  <w:tcBorders>
                    <w:tl2br w:val="nil"/>
                    <w:tr2bl w:val="nil"/>
                  </w:tcBorders>
                  <w:vAlign w:val="center"/>
                </w:tcPr>
                <w:p w14:paraId="53DAD4F3">
                  <w:pPr>
                    <w:jc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袋式除尘;静电除尘;电袋复合除尘</w:t>
                  </w:r>
                </w:p>
              </w:tc>
              <w:tc>
                <w:tcPr>
                  <w:tcW w:w="1567" w:type="pct"/>
                  <w:tcBorders>
                    <w:tl2br w:val="nil"/>
                    <w:tr2bl w:val="nil"/>
                  </w:tcBorders>
                  <w:vAlign w:val="center"/>
                </w:tcPr>
                <w:p w14:paraId="086D6F03">
                  <w:pPr>
                    <w:jc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已采用袋式除尘器，并经多管重力除尘预处理</w:t>
                  </w:r>
                </w:p>
              </w:tc>
              <w:tc>
                <w:tcPr>
                  <w:tcW w:w="433" w:type="pct"/>
                  <w:tcBorders>
                    <w:tl2br w:val="nil"/>
                    <w:tr2bl w:val="nil"/>
                  </w:tcBorders>
                  <w:vAlign w:val="center"/>
                </w:tcPr>
                <w:p w14:paraId="584B0F16">
                  <w:pPr>
                    <w:jc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是</w:t>
                  </w:r>
                </w:p>
              </w:tc>
            </w:tr>
            <w:tr w14:paraId="10A2F90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99" w:type="pct"/>
                  <w:vMerge w:val="restart"/>
                  <w:tcBorders>
                    <w:tl2br w:val="nil"/>
                    <w:tr2bl w:val="nil"/>
                  </w:tcBorders>
                  <w:vAlign w:val="center"/>
                </w:tcPr>
                <w:p w14:paraId="49AD92CF">
                  <w:pPr>
                    <w:jc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铝合金熔铸一厂</w:t>
                  </w:r>
                </w:p>
              </w:tc>
              <w:tc>
                <w:tcPr>
                  <w:tcW w:w="500" w:type="pct"/>
                  <w:tcBorders>
                    <w:tl2br w:val="nil"/>
                    <w:tr2bl w:val="nil"/>
                  </w:tcBorders>
                  <w:vAlign w:val="center"/>
                </w:tcPr>
                <w:p w14:paraId="0F9B91B2">
                  <w:pPr>
                    <w:jc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压铸工艺</w:t>
                  </w:r>
                </w:p>
              </w:tc>
              <w:tc>
                <w:tcPr>
                  <w:tcW w:w="999" w:type="pct"/>
                  <w:tcBorders>
                    <w:tl2br w:val="nil"/>
                    <w:tr2bl w:val="nil"/>
                  </w:tcBorders>
                  <w:vAlign w:val="center"/>
                </w:tcPr>
                <w:p w14:paraId="52EFE398">
                  <w:pPr>
                    <w:jc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布袋除尘+活性炭吸附</w:t>
                  </w:r>
                </w:p>
              </w:tc>
              <w:tc>
                <w:tcPr>
                  <w:tcW w:w="999" w:type="pct"/>
                  <w:tcBorders>
                    <w:tl2br w:val="nil"/>
                    <w:tr2bl w:val="nil"/>
                  </w:tcBorders>
                  <w:vAlign w:val="center"/>
                </w:tcPr>
                <w:p w14:paraId="7002F3E7">
                  <w:pPr>
                    <w:jc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连接活性炭吸附或催化燃烧装置，排放浓度可达60mg/m</w:t>
                  </w:r>
                  <w:r>
                    <w:rPr>
                      <w:rFonts w:hint="default" w:ascii="Times New Roman" w:hAnsi="Times New Roman" w:eastAsia="宋体" w:cs="Times New Roman"/>
                      <w:color w:val="auto"/>
                      <w:u w:val="none" w:color="auto"/>
                      <w:vertAlign w:val="superscript"/>
                      <w:lang w:val="en-US" w:eastAsia="zh-CN"/>
                    </w:rPr>
                    <w:t>3</w:t>
                  </w:r>
                  <w:r>
                    <w:rPr>
                      <w:rFonts w:hint="default" w:ascii="Times New Roman" w:hAnsi="Times New Roman" w:eastAsia="宋体" w:cs="Times New Roman"/>
                      <w:color w:val="auto"/>
                      <w:u w:val="none" w:color="auto"/>
                      <w:lang w:val="en-US" w:eastAsia="zh-CN"/>
                    </w:rPr>
                    <w:t>以下</w:t>
                  </w:r>
                </w:p>
              </w:tc>
              <w:tc>
                <w:tcPr>
                  <w:tcW w:w="1567" w:type="pct"/>
                  <w:tcBorders>
                    <w:tl2br w:val="nil"/>
                    <w:tr2bl w:val="nil"/>
                  </w:tcBorders>
                  <w:vAlign w:val="center"/>
                </w:tcPr>
                <w:p w14:paraId="571EE535">
                  <w:pPr>
                    <w:jc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经活性炭吸附处理，经核算后排放浓度约为</w:t>
                  </w:r>
                  <w:r>
                    <w:rPr>
                      <w:rFonts w:hint="default" w:ascii="Times New Roman" w:hAnsi="Times New Roman" w:eastAsia="宋体" w:cs="Times New Roman"/>
                      <w:i w:val="0"/>
                      <w:iCs w:val="0"/>
                      <w:color w:val="auto"/>
                      <w:kern w:val="0"/>
                      <w:sz w:val="21"/>
                      <w:szCs w:val="21"/>
                      <w:u w:val="none" w:color="auto"/>
                      <w:lang w:val="en-US" w:eastAsia="zh-CN" w:bidi="ar"/>
                    </w:rPr>
                    <w:t>21.32</w:t>
                  </w:r>
                  <w:r>
                    <w:rPr>
                      <w:rFonts w:hint="default" w:ascii="Times New Roman" w:hAnsi="Times New Roman" w:eastAsia="宋体" w:cs="Times New Roman"/>
                      <w:color w:val="auto"/>
                      <w:u w:val="none" w:color="auto"/>
                      <w:lang w:val="en-US" w:eastAsia="zh-CN"/>
                    </w:rPr>
                    <w:t>mg/m</w:t>
                  </w:r>
                  <w:r>
                    <w:rPr>
                      <w:rFonts w:hint="default" w:ascii="Times New Roman" w:hAnsi="Times New Roman" w:eastAsia="宋体" w:cs="Times New Roman"/>
                      <w:color w:val="auto"/>
                      <w:u w:val="none" w:color="auto"/>
                      <w:vertAlign w:val="superscript"/>
                      <w:lang w:val="en-US" w:eastAsia="zh-CN"/>
                    </w:rPr>
                    <w:t>3</w:t>
                  </w:r>
                </w:p>
              </w:tc>
              <w:tc>
                <w:tcPr>
                  <w:tcW w:w="433" w:type="pct"/>
                  <w:tcBorders>
                    <w:tl2br w:val="nil"/>
                    <w:tr2bl w:val="nil"/>
                  </w:tcBorders>
                  <w:vAlign w:val="center"/>
                </w:tcPr>
                <w:p w14:paraId="505051F2">
                  <w:pPr>
                    <w:jc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是</w:t>
                  </w:r>
                </w:p>
              </w:tc>
            </w:tr>
            <w:tr w14:paraId="2A4B6F3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99" w:type="pct"/>
                  <w:vMerge w:val="continue"/>
                  <w:tcBorders>
                    <w:tl2br w:val="nil"/>
                    <w:tr2bl w:val="nil"/>
                  </w:tcBorders>
                  <w:vAlign w:val="center"/>
                </w:tcPr>
                <w:p w14:paraId="0AC141F1">
                  <w:pPr>
                    <w:jc w:val="center"/>
                    <w:rPr>
                      <w:rFonts w:hint="default" w:ascii="Times New Roman" w:hAnsi="Times New Roman" w:eastAsia="宋体" w:cs="Times New Roman"/>
                      <w:color w:val="auto"/>
                      <w:u w:val="none" w:color="auto"/>
                      <w:lang w:val="en-US" w:eastAsia="zh-CN"/>
                    </w:rPr>
                  </w:pPr>
                </w:p>
              </w:tc>
              <w:tc>
                <w:tcPr>
                  <w:tcW w:w="500" w:type="pct"/>
                  <w:tcBorders>
                    <w:tl2br w:val="nil"/>
                    <w:tr2bl w:val="nil"/>
                  </w:tcBorders>
                  <w:vAlign w:val="center"/>
                </w:tcPr>
                <w:p w14:paraId="5CE7521C">
                  <w:pPr>
                    <w:jc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激光打标</w:t>
                  </w:r>
                </w:p>
              </w:tc>
              <w:tc>
                <w:tcPr>
                  <w:tcW w:w="999" w:type="pct"/>
                  <w:tcBorders>
                    <w:tl2br w:val="nil"/>
                    <w:tr2bl w:val="nil"/>
                  </w:tcBorders>
                  <w:vAlign w:val="center"/>
                </w:tcPr>
                <w:p w14:paraId="152AAE9B">
                  <w:pPr>
                    <w:jc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移动式布袋除尘器</w:t>
                  </w:r>
                </w:p>
              </w:tc>
              <w:tc>
                <w:tcPr>
                  <w:tcW w:w="999" w:type="pct"/>
                  <w:tcBorders>
                    <w:tl2br w:val="nil"/>
                    <w:tr2bl w:val="nil"/>
                  </w:tcBorders>
                  <w:vAlign w:val="center"/>
                </w:tcPr>
                <w:p w14:paraId="34F25A8D">
                  <w:pPr>
                    <w:jc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袋式过滤</w:t>
                  </w:r>
                </w:p>
              </w:tc>
              <w:tc>
                <w:tcPr>
                  <w:tcW w:w="1567" w:type="pct"/>
                  <w:tcBorders>
                    <w:tl2br w:val="nil"/>
                    <w:tr2bl w:val="nil"/>
                  </w:tcBorders>
                  <w:vAlign w:val="center"/>
                </w:tcPr>
                <w:p w14:paraId="614C1547">
                  <w:pPr>
                    <w:jc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已采用移动式布袋除尘器</w:t>
                  </w:r>
                </w:p>
              </w:tc>
              <w:tc>
                <w:tcPr>
                  <w:tcW w:w="433" w:type="pct"/>
                  <w:tcBorders>
                    <w:tl2br w:val="nil"/>
                    <w:tr2bl w:val="nil"/>
                  </w:tcBorders>
                  <w:vAlign w:val="center"/>
                </w:tcPr>
                <w:p w14:paraId="165AE15F">
                  <w:pPr>
                    <w:jc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是</w:t>
                  </w:r>
                </w:p>
              </w:tc>
            </w:tr>
            <w:tr w14:paraId="238444D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99" w:type="pct"/>
                  <w:vMerge w:val="restart"/>
                  <w:tcBorders>
                    <w:tl2br w:val="nil"/>
                    <w:tr2bl w:val="nil"/>
                  </w:tcBorders>
                  <w:vAlign w:val="center"/>
                </w:tcPr>
                <w:p w14:paraId="43EEBFDF">
                  <w:pPr>
                    <w:jc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临港高新产业园区</w:t>
                  </w:r>
                </w:p>
              </w:tc>
              <w:tc>
                <w:tcPr>
                  <w:tcW w:w="500" w:type="pct"/>
                  <w:tcBorders>
                    <w:tl2br w:val="nil"/>
                    <w:tr2bl w:val="nil"/>
                  </w:tcBorders>
                  <w:vAlign w:val="center"/>
                </w:tcPr>
                <w:p w14:paraId="2D68D785">
                  <w:pPr>
                    <w:jc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激光打标</w:t>
                  </w:r>
                </w:p>
              </w:tc>
              <w:tc>
                <w:tcPr>
                  <w:tcW w:w="999" w:type="pct"/>
                  <w:tcBorders>
                    <w:tl2br w:val="nil"/>
                    <w:tr2bl w:val="nil"/>
                  </w:tcBorders>
                  <w:vAlign w:val="center"/>
                </w:tcPr>
                <w:p w14:paraId="519B2FE6">
                  <w:pPr>
                    <w:jc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移动式布袋除尘器</w:t>
                  </w:r>
                </w:p>
              </w:tc>
              <w:tc>
                <w:tcPr>
                  <w:tcW w:w="999" w:type="pct"/>
                  <w:tcBorders>
                    <w:tl2br w:val="nil"/>
                    <w:tr2bl w:val="nil"/>
                  </w:tcBorders>
                  <w:vAlign w:val="center"/>
                </w:tcPr>
                <w:p w14:paraId="6B2D28EF">
                  <w:pPr>
                    <w:jc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袋式过滤</w:t>
                  </w:r>
                </w:p>
              </w:tc>
              <w:tc>
                <w:tcPr>
                  <w:tcW w:w="1567" w:type="pct"/>
                  <w:tcBorders>
                    <w:tl2br w:val="nil"/>
                    <w:tr2bl w:val="nil"/>
                  </w:tcBorders>
                  <w:shd w:val="clear" w:color="auto" w:fill="auto"/>
                  <w:vAlign w:val="center"/>
                </w:tcPr>
                <w:p w14:paraId="678BAD6B">
                  <w:pPr>
                    <w:jc w:val="center"/>
                    <w:rPr>
                      <w:rFonts w:hint="default" w:ascii="Times New Roman" w:hAnsi="Times New Roman" w:eastAsia="宋体" w:cs="Times New Roman"/>
                      <w:color w:val="auto"/>
                      <w:kern w:val="2"/>
                      <w:sz w:val="21"/>
                      <w:szCs w:val="24"/>
                      <w:u w:val="none" w:color="auto"/>
                      <w:lang w:val="en-US" w:eastAsia="zh-CN" w:bidi="ar-SA"/>
                    </w:rPr>
                  </w:pPr>
                  <w:r>
                    <w:rPr>
                      <w:rFonts w:hint="default" w:ascii="Times New Roman" w:hAnsi="Times New Roman" w:eastAsia="宋体" w:cs="Times New Roman"/>
                      <w:color w:val="auto"/>
                      <w:u w:val="none" w:color="auto"/>
                      <w:lang w:val="en-US" w:eastAsia="zh-CN"/>
                    </w:rPr>
                    <w:t>已采用移动式布袋除尘器</w:t>
                  </w:r>
                </w:p>
              </w:tc>
              <w:tc>
                <w:tcPr>
                  <w:tcW w:w="433" w:type="pct"/>
                  <w:tcBorders>
                    <w:tl2br w:val="nil"/>
                    <w:tr2bl w:val="nil"/>
                  </w:tcBorders>
                  <w:vAlign w:val="center"/>
                </w:tcPr>
                <w:p w14:paraId="3D82738C">
                  <w:pPr>
                    <w:jc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是</w:t>
                  </w:r>
                </w:p>
              </w:tc>
            </w:tr>
            <w:tr w14:paraId="2B2BDB9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99" w:type="pct"/>
                  <w:vMerge w:val="continue"/>
                  <w:tcBorders>
                    <w:tl2br w:val="nil"/>
                    <w:tr2bl w:val="nil"/>
                  </w:tcBorders>
                  <w:vAlign w:val="center"/>
                </w:tcPr>
                <w:p w14:paraId="0650D944">
                  <w:pPr>
                    <w:jc w:val="center"/>
                    <w:rPr>
                      <w:rFonts w:hint="default" w:ascii="Times New Roman" w:hAnsi="Times New Roman" w:eastAsia="宋体" w:cs="Times New Roman"/>
                      <w:color w:val="auto"/>
                      <w:u w:val="none" w:color="auto"/>
                      <w:lang w:val="en-US" w:eastAsia="zh-CN"/>
                    </w:rPr>
                  </w:pPr>
                </w:p>
              </w:tc>
              <w:tc>
                <w:tcPr>
                  <w:tcW w:w="500" w:type="pct"/>
                  <w:tcBorders>
                    <w:tl2br w:val="nil"/>
                    <w:tr2bl w:val="nil"/>
                  </w:tcBorders>
                  <w:vAlign w:val="center"/>
                </w:tcPr>
                <w:p w14:paraId="5CD8C9D8">
                  <w:pPr>
                    <w:jc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去毛刺废气</w:t>
                  </w:r>
                </w:p>
              </w:tc>
              <w:tc>
                <w:tcPr>
                  <w:tcW w:w="999" w:type="pct"/>
                  <w:tcBorders>
                    <w:tl2br w:val="nil"/>
                    <w:tr2bl w:val="nil"/>
                  </w:tcBorders>
                  <w:vAlign w:val="center"/>
                </w:tcPr>
                <w:p w14:paraId="500C186A">
                  <w:pPr>
                    <w:jc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布袋除尘器</w:t>
                  </w:r>
                </w:p>
              </w:tc>
              <w:tc>
                <w:tcPr>
                  <w:tcW w:w="999" w:type="pct"/>
                  <w:tcBorders>
                    <w:tl2br w:val="nil"/>
                    <w:tr2bl w:val="nil"/>
                  </w:tcBorders>
                  <w:shd w:val="clear" w:color="auto" w:fill="auto"/>
                  <w:vAlign w:val="center"/>
                </w:tcPr>
                <w:p w14:paraId="54AD01A0">
                  <w:pPr>
                    <w:jc w:val="center"/>
                    <w:rPr>
                      <w:rFonts w:hint="default" w:ascii="Times New Roman" w:hAnsi="Times New Roman" w:eastAsia="宋体" w:cs="Times New Roman"/>
                      <w:color w:val="auto"/>
                      <w:kern w:val="2"/>
                      <w:sz w:val="21"/>
                      <w:szCs w:val="24"/>
                      <w:u w:val="none" w:color="auto"/>
                      <w:lang w:val="en-US" w:eastAsia="zh-CN" w:bidi="ar-SA"/>
                    </w:rPr>
                  </w:pPr>
                  <w:r>
                    <w:rPr>
                      <w:rFonts w:hint="default" w:ascii="Times New Roman" w:hAnsi="Times New Roman" w:eastAsia="宋体" w:cs="Times New Roman"/>
                      <w:color w:val="auto"/>
                      <w:u w:val="none" w:color="auto"/>
                      <w:lang w:val="en-US" w:eastAsia="zh-CN"/>
                    </w:rPr>
                    <w:t>袋式过滤</w:t>
                  </w:r>
                </w:p>
              </w:tc>
              <w:tc>
                <w:tcPr>
                  <w:tcW w:w="1567" w:type="pct"/>
                  <w:tcBorders>
                    <w:tl2br w:val="nil"/>
                    <w:tr2bl w:val="nil"/>
                  </w:tcBorders>
                  <w:vAlign w:val="center"/>
                </w:tcPr>
                <w:p w14:paraId="6B114CC7">
                  <w:pPr>
                    <w:jc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已采用布袋除尘器</w:t>
                  </w:r>
                </w:p>
              </w:tc>
              <w:tc>
                <w:tcPr>
                  <w:tcW w:w="433" w:type="pct"/>
                  <w:tcBorders>
                    <w:tl2br w:val="nil"/>
                    <w:tr2bl w:val="nil"/>
                  </w:tcBorders>
                  <w:vAlign w:val="center"/>
                </w:tcPr>
                <w:p w14:paraId="62E6CE82">
                  <w:pPr>
                    <w:jc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是</w:t>
                  </w:r>
                </w:p>
              </w:tc>
            </w:tr>
            <w:tr w14:paraId="746266E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c>
                <w:tcPr>
                  <w:tcW w:w="499" w:type="pct"/>
                  <w:vMerge w:val="continue"/>
                  <w:tcBorders>
                    <w:tl2br w:val="nil"/>
                    <w:tr2bl w:val="nil"/>
                  </w:tcBorders>
                  <w:vAlign w:val="center"/>
                </w:tcPr>
                <w:p w14:paraId="772DFF38">
                  <w:pPr>
                    <w:jc w:val="center"/>
                    <w:rPr>
                      <w:rFonts w:hint="default" w:ascii="Times New Roman" w:hAnsi="Times New Roman" w:eastAsia="宋体" w:cs="Times New Roman"/>
                      <w:color w:val="auto"/>
                      <w:u w:val="none" w:color="auto"/>
                      <w:lang w:val="en-US" w:eastAsia="zh-CN"/>
                    </w:rPr>
                  </w:pPr>
                </w:p>
              </w:tc>
              <w:tc>
                <w:tcPr>
                  <w:tcW w:w="500" w:type="pct"/>
                  <w:tcBorders>
                    <w:tl2br w:val="nil"/>
                    <w:tr2bl w:val="nil"/>
                  </w:tcBorders>
                  <w:vAlign w:val="center"/>
                </w:tcPr>
                <w:p w14:paraId="3CAC4269">
                  <w:pPr>
                    <w:jc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浸渗处理废气</w:t>
                  </w:r>
                </w:p>
              </w:tc>
              <w:tc>
                <w:tcPr>
                  <w:tcW w:w="999" w:type="pct"/>
                  <w:tcBorders>
                    <w:tl2br w:val="nil"/>
                    <w:tr2bl w:val="nil"/>
                  </w:tcBorders>
                  <w:vAlign w:val="center"/>
                </w:tcPr>
                <w:p w14:paraId="6CCABDB1">
                  <w:pPr>
                    <w:jc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干湿分离器+二级活性炭吸附处理</w:t>
                  </w:r>
                </w:p>
              </w:tc>
              <w:tc>
                <w:tcPr>
                  <w:tcW w:w="999" w:type="pct"/>
                  <w:tcBorders>
                    <w:tl2br w:val="nil"/>
                    <w:tr2bl w:val="nil"/>
                  </w:tcBorders>
                  <w:vAlign w:val="center"/>
                </w:tcPr>
                <w:p w14:paraId="695EFE66">
                  <w:pPr>
                    <w:jc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无相关技术规范要求</w:t>
                  </w:r>
                </w:p>
              </w:tc>
              <w:tc>
                <w:tcPr>
                  <w:tcW w:w="1567" w:type="pct"/>
                  <w:tcBorders>
                    <w:tl2br w:val="nil"/>
                    <w:tr2bl w:val="nil"/>
                  </w:tcBorders>
                  <w:vAlign w:val="center"/>
                </w:tcPr>
                <w:p w14:paraId="0C0AA4B5">
                  <w:pPr>
                    <w:jc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浸渗剂为水性，且使用水浴固化，经干湿分离后再通过二级活性炭吸附处理，可做到达标排放，且采用的二级活性炭吸附处理不属于《国家污染防治技术指导目录》（2025 年）中低效类技术</w:t>
                  </w:r>
                </w:p>
              </w:tc>
              <w:tc>
                <w:tcPr>
                  <w:tcW w:w="433" w:type="pct"/>
                  <w:tcBorders>
                    <w:tl2br w:val="nil"/>
                    <w:tr2bl w:val="nil"/>
                  </w:tcBorders>
                  <w:vAlign w:val="center"/>
                </w:tcPr>
                <w:p w14:paraId="5F45BEF2">
                  <w:pPr>
                    <w:jc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是</w:t>
                  </w:r>
                </w:p>
              </w:tc>
            </w:tr>
            <w:tr w14:paraId="3FF926E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99" w:type="pct"/>
                  <w:vMerge w:val="continue"/>
                  <w:tcBorders>
                    <w:tl2br w:val="nil"/>
                    <w:tr2bl w:val="nil"/>
                  </w:tcBorders>
                  <w:vAlign w:val="center"/>
                </w:tcPr>
                <w:p w14:paraId="170E5A1A">
                  <w:pPr>
                    <w:jc w:val="center"/>
                    <w:rPr>
                      <w:rFonts w:hint="default" w:ascii="Times New Roman" w:hAnsi="Times New Roman" w:eastAsia="宋体" w:cs="Times New Roman"/>
                      <w:color w:val="auto"/>
                      <w:u w:val="none" w:color="auto"/>
                      <w:lang w:val="en-US" w:eastAsia="zh-CN"/>
                    </w:rPr>
                  </w:pPr>
                </w:p>
              </w:tc>
              <w:tc>
                <w:tcPr>
                  <w:tcW w:w="500" w:type="pct"/>
                  <w:tcBorders>
                    <w:tl2br w:val="nil"/>
                    <w:tr2bl w:val="nil"/>
                  </w:tcBorders>
                  <w:vAlign w:val="center"/>
                </w:tcPr>
                <w:p w14:paraId="601CAE6C">
                  <w:pPr>
                    <w:jc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CNC粗/精加工油雾废</w:t>
                  </w:r>
                </w:p>
              </w:tc>
              <w:tc>
                <w:tcPr>
                  <w:tcW w:w="999" w:type="pct"/>
                  <w:tcBorders>
                    <w:tl2br w:val="nil"/>
                    <w:tr2bl w:val="nil"/>
                  </w:tcBorders>
                  <w:vAlign w:val="center"/>
                </w:tcPr>
                <w:p w14:paraId="4976A5D6">
                  <w:pPr>
                    <w:jc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静电油雾分离器</w:t>
                  </w:r>
                </w:p>
              </w:tc>
              <w:tc>
                <w:tcPr>
                  <w:tcW w:w="999" w:type="pct"/>
                  <w:tcBorders>
                    <w:tl2br w:val="nil"/>
                    <w:tr2bl w:val="nil"/>
                  </w:tcBorders>
                  <w:vAlign w:val="center"/>
                </w:tcPr>
                <w:p w14:paraId="7B444714">
                  <w:pPr>
                    <w:jc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机械过滤、静电净化</w:t>
                  </w:r>
                </w:p>
              </w:tc>
              <w:tc>
                <w:tcPr>
                  <w:tcW w:w="1567" w:type="pct"/>
                  <w:tcBorders>
                    <w:tl2br w:val="nil"/>
                    <w:tr2bl w:val="nil"/>
                  </w:tcBorders>
                  <w:vAlign w:val="center"/>
                </w:tcPr>
                <w:p w14:paraId="7A2F0AB8">
                  <w:pPr>
                    <w:jc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已采用静电油雾分离器</w:t>
                  </w:r>
                </w:p>
              </w:tc>
              <w:tc>
                <w:tcPr>
                  <w:tcW w:w="433" w:type="pct"/>
                  <w:tcBorders>
                    <w:tl2br w:val="nil"/>
                    <w:tr2bl w:val="nil"/>
                  </w:tcBorders>
                  <w:vAlign w:val="center"/>
                </w:tcPr>
                <w:p w14:paraId="0A2BCEDF">
                  <w:pPr>
                    <w:jc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是</w:t>
                  </w:r>
                </w:p>
              </w:tc>
            </w:tr>
          </w:tbl>
          <w:p w14:paraId="2EC88EA4">
            <w:pPr>
              <w:spacing w:line="360" w:lineRule="auto"/>
              <w:ind w:firstLine="480" w:firstLineChars="200"/>
              <w:rPr>
                <w:rFonts w:hint="default" w:ascii="Times New Roman" w:hAnsi="Times New Roman" w:eastAsia="宋体" w:cs="Times New Roman"/>
                <w:color w:val="auto"/>
                <w:spacing w:val="0"/>
                <w:sz w:val="24"/>
                <w:highlight w:val="none"/>
                <w:u w:val="none" w:color="auto"/>
                <w:lang w:val="en-US" w:eastAsia="zh-CN"/>
              </w:rPr>
            </w:pPr>
            <w:r>
              <w:rPr>
                <w:rFonts w:hint="default" w:ascii="Times New Roman" w:hAnsi="Times New Roman" w:eastAsia="宋体" w:cs="Times New Roman"/>
                <w:color w:val="auto"/>
                <w:spacing w:val="0"/>
                <w:sz w:val="24"/>
                <w:highlight w:val="none"/>
                <w:u w:val="none" w:color="auto"/>
                <w:lang w:val="en-US" w:eastAsia="zh-CN"/>
              </w:rPr>
              <w:t>评价要求建设单位加强废气处理系统设备的检修及保养，提高管理人员素质，并设置设备事故应急措施及管理制度，确保设备长期处于良好状态，使设备达到预期的处理效果、确保废气处理达标可行性。</w:t>
            </w:r>
          </w:p>
          <w:p w14:paraId="7815A85F">
            <w:pPr>
              <w:spacing w:line="360" w:lineRule="auto"/>
              <w:ind w:firstLine="480" w:firstLineChars="200"/>
              <w:rPr>
                <w:rFonts w:hint="default" w:ascii="Times New Roman" w:hAnsi="Times New Roman" w:eastAsia="宋体" w:cs="Times New Roman"/>
                <w:color w:val="auto"/>
                <w:spacing w:val="0"/>
                <w:sz w:val="24"/>
                <w:highlight w:val="none"/>
                <w:u w:val="none" w:color="auto"/>
                <w:lang w:val="en-US" w:eastAsia="zh-CN"/>
              </w:rPr>
            </w:pPr>
            <w:r>
              <w:rPr>
                <w:rFonts w:hint="default" w:ascii="Times New Roman" w:hAnsi="Times New Roman" w:eastAsia="宋体" w:cs="Times New Roman"/>
                <w:color w:val="auto"/>
                <w:spacing w:val="0"/>
                <w:sz w:val="24"/>
                <w:highlight w:val="none"/>
                <w:u w:val="none" w:color="auto"/>
                <w:lang w:eastAsia="zh-CN"/>
              </w:rPr>
              <w:t>（</w:t>
            </w:r>
            <w:r>
              <w:rPr>
                <w:rFonts w:hint="default" w:ascii="Times New Roman" w:hAnsi="Times New Roman" w:eastAsia="宋体" w:cs="Times New Roman"/>
                <w:color w:val="auto"/>
                <w:spacing w:val="0"/>
                <w:sz w:val="24"/>
                <w:highlight w:val="none"/>
                <w:u w:val="none" w:color="auto"/>
                <w:lang w:val="en-US" w:eastAsia="zh-CN"/>
              </w:rPr>
              <w:t>2</w:t>
            </w:r>
            <w:r>
              <w:rPr>
                <w:rFonts w:hint="default" w:ascii="Times New Roman" w:hAnsi="Times New Roman" w:eastAsia="宋体" w:cs="Times New Roman"/>
                <w:color w:val="auto"/>
                <w:spacing w:val="0"/>
                <w:sz w:val="24"/>
                <w:highlight w:val="none"/>
                <w:u w:val="none" w:color="auto"/>
                <w:lang w:eastAsia="zh-CN"/>
              </w:rPr>
              <w:t>）</w:t>
            </w:r>
            <w:r>
              <w:rPr>
                <w:rFonts w:hint="default" w:ascii="Times New Roman" w:hAnsi="Times New Roman" w:eastAsia="宋体" w:cs="Times New Roman"/>
                <w:color w:val="auto"/>
                <w:spacing w:val="0"/>
                <w:sz w:val="24"/>
                <w:highlight w:val="none"/>
                <w:u w:val="none" w:color="auto"/>
                <w:lang w:val="en-US" w:eastAsia="zh-CN"/>
              </w:rPr>
              <w:t>无组织排放控制措施</w:t>
            </w:r>
          </w:p>
          <w:p w14:paraId="7881EB2E">
            <w:pPr>
              <w:spacing w:line="360" w:lineRule="auto"/>
              <w:ind w:firstLine="480" w:firstLineChars="200"/>
              <w:rPr>
                <w:rFonts w:hint="default" w:ascii="Times New Roman" w:hAnsi="Times New Roman" w:eastAsia="宋体" w:cs="Times New Roman"/>
                <w:color w:val="auto"/>
                <w:spacing w:val="0"/>
                <w:sz w:val="24"/>
                <w:highlight w:val="none"/>
                <w:u w:val="none" w:color="auto"/>
              </w:rPr>
            </w:pPr>
            <w:r>
              <w:rPr>
                <w:rFonts w:hint="default" w:ascii="Times New Roman" w:hAnsi="Times New Roman" w:eastAsia="宋体" w:cs="Times New Roman"/>
                <w:color w:val="auto"/>
                <w:spacing w:val="0"/>
                <w:sz w:val="24"/>
                <w:highlight w:val="none"/>
                <w:u w:val="none" w:color="auto"/>
              </w:rPr>
              <w:t>为了进一步减少项目无组织排放对周围环境的影响，本次评价提出如下控制无组织排放措施：</w:t>
            </w:r>
          </w:p>
          <w:p w14:paraId="3166E488">
            <w:pPr>
              <w:spacing w:line="360" w:lineRule="auto"/>
              <w:ind w:firstLine="480" w:firstLineChars="200"/>
              <w:rPr>
                <w:rFonts w:hint="default" w:ascii="Times New Roman" w:hAnsi="Times New Roman" w:eastAsia="宋体" w:cs="Times New Roman"/>
                <w:color w:val="auto"/>
                <w:spacing w:val="0"/>
                <w:sz w:val="24"/>
                <w:highlight w:val="none"/>
                <w:u w:val="none" w:color="auto"/>
              </w:rPr>
            </w:pPr>
            <w:r>
              <w:rPr>
                <w:rFonts w:hint="default" w:ascii="Times New Roman" w:hAnsi="Times New Roman" w:eastAsia="宋体" w:cs="Times New Roman"/>
                <w:color w:val="auto"/>
                <w:spacing w:val="0"/>
                <w:sz w:val="24"/>
                <w:highlight w:val="none"/>
                <w:u w:val="none" w:color="auto"/>
              </w:rPr>
              <w:t>①项目两个厂区加强生产工人的操作培训，减少因设备失误操作而导致粉尘外溢；加强设备操控，控制</w:t>
            </w:r>
            <w:r>
              <w:rPr>
                <w:rFonts w:hint="default" w:ascii="Times New Roman" w:hAnsi="Times New Roman" w:eastAsia="宋体" w:cs="Times New Roman"/>
                <w:color w:val="auto"/>
                <w:spacing w:val="0"/>
                <w:sz w:val="24"/>
                <w:highlight w:val="none"/>
                <w:u w:val="none" w:color="auto"/>
                <w:lang w:val="en-US" w:eastAsia="zh-CN"/>
              </w:rPr>
              <w:t>浸渗</w:t>
            </w:r>
            <w:r>
              <w:rPr>
                <w:rFonts w:hint="default" w:ascii="Times New Roman" w:hAnsi="Times New Roman" w:eastAsia="宋体" w:cs="Times New Roman"/>
                <w:color w:val="auto"/>
                <w:spacing w:val="0"/>
                <w:sz w:val="24"/>
                <w:highlight w:val="none"/>
                <w:u w:val="none" w:color="auto"/>
              </w:rPr>
              <w:t>生产的作业温度，避免温度过高而使</w:t>
            </w:r>
            <w:r>
              <w:rPr>
                <w:rFonts w:hint="default" w:ascii="Times New Roman" w:hAnsi="Times New Roman" w:eastAsia="宋体" w:cs="Times New Roman"/>
                <w:color w:val="auto"/>
                <w:spacing w:val="0"/>
                <w:sz w:val="24"/>
                <w:highlight w:val="none"/>
                <w:u w:val="none" w:color="auto"/>
                <w:lang w:val="en-US" w:eastAsia="zh-CN"/>
              </w:rPr>
              <w:t>有机物</w:t>
            </w:r>
            <w:r>
              <w:rPr>
                <w:rFonts w:hint="default" w:ascii="Times New Roman" w:hAnsi="Times New Roman" w:eastAsia="宋体" w:cs="Times New Roman"/>
                <w:color w:val="auto"/>
                <w:spacing w:val="0"/>
                <w:sz w:val="24"/>
                <w:highlight w:val="none"/>
                <w:u w:val="none" w:color="auto"/>
              </w:rPr>
              <w:t>大量挥发。</w:t>
            </w:r>
          </w:p>
          <w:p w14:paraId="1DE105A0">
            <w:pPr>
              <w:spacing w:line="360" w:lineRule="auto"/>
              <w:ind w:firstLine="480" w:firstLineChars="200"/>
              <w:rPr>
                <w:rFonts w:hint="default" w:ascii="Times New Roman" w:hAnsi="Times New Roman" w:eastAsia="宋体" w:cs="Times New Roman"/>
                <w:color w:val="auto"/>
                <w:spacing w:val="0"/>
                <w:sz w:val="24"/>
                <w:highlight w:val="none"/>
                <w:u w:val="none" w:color="auto"/>
              </w:rPr>
            </w:pPr>
            <w:r>
              <w:rPr>
                <w:rFonts w:hint="default" w:ascii="Times New Roman" w:hAnsi="Times New Roman" w:eastAsia="宋体" w:cs="Times New Roman"/>
                <w:color w:val="auto"/>
                <w:spacing w:val="0"/>
                <w:sz w:val="24"/>
                <w:highlight w:val="none"/>
                <w:u w:val="none" w:color="auto"/>
                <w:lang w:val="en-US" w:eastAsia="zh-CN"/>
              </w:rPr>
              <w:t>②</w:t>
            </w:r>
            <w:r>
              <w:rPr>
                <w:rFonts w:hint="default" w:ascii="Times New Roman" w:hAnsi="Times New Roman" w:eastAsia="宋体" w:cs="Times New Roman"/>
                <w:color w:val="auto"/>
                <w:spacing w:val="0"/>
                <w:sz w:val="24"/>
                <w:highlight w:val="none"/>
                <w:u w:val="none" w:color="auto"/>
              </w:rPr>
              <w:t>加强对原料的调度管理，在物料堆放、装卸过程中尽量降低落差，文明装卸，减少原料在装卸、运输过程产生的粉尘；在车辆运行区域、原材料堆放区域定期使用洒水车进行洒水减少粉尘，进出厂区运输车辆进行冲洗，及时对车辆运行区域进行增湿处理，对原料堆场物料表面进行洒水增湿处理。</w:t>
            </w:r>
          </w:p>
          <w:p w14:paraId="68D48CDB">
            <w:pPr>
              <w:spacing w:line="360" w:lineRule="auto"/>
              <w:ind w:firstLine="480" w:firstLineChars="200"/>
              <w:rPr>
                <w:rFonts w:hint="default" w:ascii="Times New Roman" w:hAnsi="Times New Roman" w:eastAsia="宋体" w:cs="Times New Roman"/>
                <w:color w:val="auto"/>
                <w:spacing w:val="0"/>
                <w:sz w:val="24"/>
                <w:highlight w:val="none"/>
                <w:u w:val="none" w:color="auto"/>
              </w:rPr>
            </w:pPr>
            <w:r>
              <w:rPr>
                <w:rFonts w:hint="default" w:ascii="Times New Roman" w:hAnsi="Times New Roman" w:eastAsia="宋体" w:cs="Times New Roman"/>
                <w:color w:val="auto"/>
                <w:spacing w:val="0"/>
                <w:sz w:val="24"/>
                <w:highlight w:val="none"/>
                <w:u w:val="none" w:color="auto"/>
                <w:lang w:val="en-US" w:eastAsia="zh-CN"/>
              </w:rPr>
              <w:t>③</w:t>
            </w:r>
            <w:r>
              <w:rPr>
                <w:rFonts w:hint="default" w:ascii="Times New Roman" w:hAnsi="Times New Roman" w:eastAsia="宋体" w:cs="Times New Roman"/>
                <w:color w:val="auto"/>
                <w:spacing w:val="0"/>
                <w:sz w:val="24"/>
                <w:highlight w:val="none"/>
                <w:u w:val="none" w:color="auto"/>
              </w:rPr>
              <w:t>原料运进不应装载过满，且应对运输车辆进行加盖封闭处理，成品外运时应对运输车辆进行密闭，实行密闭运输。</w:t>
            </w:r>
          </w:p>
          <w:p w14:paraId="77C494B1">
            <w:pPr>
              <w:spacing w:line="360" w:lineRule="auto"/>
              <w:ind w:firstLine="480" w:firstLineChars="200"/>
              <w:rPr>
                <w:rFonts w:hint="default" w:ascii="Times New Roman" w:hAnsi="Times New Roman" w:eastAsia="宋体" w:cs="Times New Roman"/>
                <w:color w:val="auto"/>
                <w:spacing w:val="0"/>
                <w:sz w:val="24"/>
                <w:highlight w:val="none"/>
                <w:u w:val="none" w:color="auto"/>
              </w:rPr>
            </w:pPr>
            <w:r>
              <w:rPr>
                <w:rFonts w:hint="default" w:ascii="Times New Roman" w:hAnsi="Times New Roman" w:eastAsia="宋体" w:cs="Times New Roman"/>
                <w:color w:val="auto"/>
                <w:spacing w:val="0"/>
                <w:sz w:val="24"/>
                <w:highlight w:val="none"/>
                <w:u w:val="none" w:color="auto"/>
              </w:rPr>
              <w:t>项目选用稳定成熟的环保设备、加强操作人员的培训和操作管理，做好治理设施定期维护，减少非正常排放情况发生。本次环评要求建设单位落实各项环保措施，保证设备的正常运转，防止人为或设备故障导致事故排放，实现废气达标排放。同时设备的制造和安装应严格进行调试。</w:t>
            </w:r>
          </w:p>
          <w:p w14:paraId="32C72716">
            <w:pPr>
              <w:spacing w:line="360" w:lineRule="auto"/>
              <w:ind w:firstLine="480" w:firstLineChars="200"/>
              <w:rPr>
                <w:rFonts w:hint="default" w:ascii="Times New Roman" w:hAnsi="Times New Roman" w:eastAsia="宋体" w:cs="Times New Roman"/>
                <w:color w:val="auto"/>
                <w:spacing w:val="0"/>
                <w:sz w:val="24"/>
                <w:highlight w:val="none"/>
                <w:u w:val="none" w:color="auto"/>
              </w:rPr>
            </w:pPr>
            <w:r>
              <w:rPr>
                <w:rFonts w:hint="default" w:ascii="Times New Roman" w:hAnsi="Times New Roman" w:eastAsia="宋体" w:cs="Times New Roman"/>
                <w:color w:val="auto"/>
                <w:spacing w:val="0"/>
                <w:sz w:val="24"/>
                <w:highlight w:val="none"/>
                <w:u w:val="none" w:color="auto"/>
              </w:rPr>
              <w:t>在落实以上措施后，项目厂区内各个废气产生源经合理处理后排放的废气污染物对周界外空气环境影响在可接受范围内，满足相应的废气污染物排放标准要求。</w:t>
            </w:r>
          </w:p>
          <w:p w14:paraId="3EC33465">
            <w:pPr>
              <w:spacing w:line="360" w:lineRule="auto"/>
              <w:ind w:firstLine="480" w:firstLineChars="200"/>
              <w:rPr>
                <w:rFonts w:hint="default" w:ascii="Times New Roman" w:hAnsi="Times New Roman" w:eastAsia="宋体" w:cs="Times New Roman"/>
                <w:color w:val="auto"/>
                <w:spacing w:val="0"/>
                <w:sz w:val="24"/>
                <w:highlight w:val="none"/>
                <w:u w:val="none" w:color="auto"/>
              </w:rPr>
            </w:pPr>
            <w:r>
              <w:rPr>
                <w:rFonts w:hint="default" w:ascii="Times New Roman" w:hAnsi="Times New Roman" w:eastAsia="宋体" w:cs="Times New Roman"/>
                <w:color w:val="auto"/>
                <w:spacing w:val="0"/>
                <w:sz w:val="24"/>
                <w:highlight w:val="none"/>
                <w:u w:val="none" w:color="auto"/>
              </w:rPr>
              <w:t>（</w:t>
            </w:r>
            <w:r>
              <w:rPr>
                <w:rFonts w:hint="default" w:ascii="Times New Roman" w:hAnsi="Times New Roman" w:eastAsia="宋体" w:cs="Times New Roman"/>
                <w:color w:val="auto"/>
                <w:spacing w:val="0"/>
                <w:sz w:val="24"/>
                <w:highlight w:val="none"/>
                <w:u w:val="none" w:color="auto"/>
                <w:lang w:val="en-US" w:eastAsia="zh-CN"/>
              </w:rPr>
              <w:t>3</w:t>
            </w:r>
            <w:r>
              <w:rPr>
                <w:rFonts w:hint="default" w:ascii="Times New Roman" w:hAnsi="Times New Roman" w:eastAsia="宋体" w:cs="Times New Roman"/>
                <w:color w:val="auto"/>
                <w:spacing w:val="0"/>
                <w:sz w:val="24"/>
                <w:highlight w:val="none"/>
                <w:u w:val="none" w:color="auto"/>
              </w:rPr>
              <w:t>）达标可行性</w:t>
            </w:r>
          </w:p>
          <w:p w14:paraId="178E7476">
            <w:pPr>
              <w:pStyle w:val="2"/>
              <w:snapToGrid/>
              <w:spacing w:before="0" w:after="0" w:line="360" w:lineRule="auto"/>
              <w:ind w:right="0" w:firstLine="480" w:firstLineChars="200"/>
              <w:rPr>
                <w:rFonts w:hint="default" w:ascii="Times New Roman" w:hAnsi="Times New Roman" w:eastAsia="宋体" w:cs="Times New Roman"/>
                <w:color w:val="auto"/>
                <w:spacing w:val="0"/>
                <w:sz w:val="24"/>
                <w:highlight w:val="none"/>
                <w:u w:val="none" w:color="auto"/>
              </w:rPr>
            </w:pPr>
            <w:r>
              <w:rPr>
                <w:rFonts w:hint="default" w:ascii="Times New Roman" w:hAnsi="Times New Roman" w:eastAsia="宋体" w:cs="Times New Roman"/>
                <w:color w:val="auto"/>
                <w:spacing w:val="0"/>
                <w:sz w:val="24"/>
                <w:highlight w:val="none"/>
                <w:u w:val="none" w:color="auto"/>
                <w:lang w:val="en-US" w:eastAsia="zh-CN"/>
              </w:rPr>
              <w:t>根据上述工程分析可知，本项目有组织排放均能够达到相关标准要求。本项目无组织排放的废气具有间隔排放、不规律排放、排放时间短、废气污染物量较小的特点，另项目所在地周边通风情况良好，因此本项目的废气排放对周围环境的影响是可以接受的</w:t>
            </w:r>
            <w:r>
              <w:rPr>
                <w:rFonts w:hint="default" w:ascii="Times New Roman" w:hAnsi="Times New Roman" w:eastAsia="宋体" w:cs="Times New Roman"/>
                <w:color w:val="auto"/>
                <w:spacing w:val="0"/>
                <w:sz w:val="24"/>
                <w:highlight w:val="none"/>
                <w:u w:val="none" w:color="auto"/>
              </w:rPr>
              <w:t>。</w:t>
            </w:r>
          </w:p>
          <w:p w14:paraId="573A5A6F">
            <w:pPr>
              <w:adjustRightInd w:val="0"/>
              <w:snapToGrid w:val="0"/>
              <w:spacing w:line="360" w:lineRule="auto"/>
              <w:ind w:firstLine="482" w:firstLineChars="200"/>
              <w:rPr>
                <w:rFonts w:hint="default" w:ascii="Times New Roman" w:hAnsi="Times New Roman" w:eastAsia="宋体" w:cs="Times New Roman"/>
                <w:b/>
                <w:bCs/>
                <w:color w:val="auto"/>
                <w:spacing w:val="0"/>
                <w:kern w:val="0"/>
                <w:sz w:val="24"/>
                <w:highlight w:val="none"/>
                <w:u w:val="none" w:color="auto"/>
              </w:rPr>
            </w:pPr>
            <w:r>
              <w:rPr>
                <w:rFonts w:hint="default" w:ascii="Times New Roman" w:hAnsi="Times New Roman" w:eastAsia="宋体" w:cs="Times New Roman"/>
                <w:b/>
                <w:bCs/>
                <w:color w:val="auto"/>
                <w:spacing w:val="0"/>
                <w:kern w:val="0"/>
                <w:sz w:val="24"/>
                <w:highlight w:val="none"/>
                <w:u w:val="none" w:color="auto"/>
                <w:lang w:val="en-US" w:eastAsia="zh-CN"/>
              </w:rPr>
              <w:t>7、</w:t>
            </w:r>
            <w:r>
              <w:rPr>
                <w:rFonts w:hint="default" w:ascii="Times New Roman" w:hAnsi="Times New Roman" w:eastAsia="宋体" w:cs="Times New Roman"/>
                <w:b/>
                <w:bCs/>
                <w:color w:val="auto"/>
                <w:spacing w:val="0"/>
                <w:kern w:val="0"/>
                <w:sz w:val="24"/>
                <w:highlight w:val="none"/>
                <w:u w:val="none" w:color="auto"/>
              </w:rPr>
              <w:t>废气环境影响分析</w:t>
            </w:r>
          </w:p>
          <w:p w14:paraId="54114169">
            <w:pPr>
              <w:pStyle w:val="2"/>
              <w:snapToGrid/>
              <w:spacing w:before="0" w:after="0" w:line="360" w:lineRule="auto"/>
              <w:ind w:right="0" w:firstLine="480" w:firstLineChars="200"/>
              <w:rPr>
                <w:rFonts w:hint="default" w:ascii="Times New Roman" w:hAnsi="Times New Roman" w:eastAsia="宋体" w:cs="Times New Roman"/>
                <w:color w:val="auto"/>
                <w:spacing w:val="0"/>
                <w:sz w:val="24"/>
                <w:highlight w:val="none"/>
                <w:u w:val="none" w:color="auto"/>
              </w:rPr>
            </w:pPr>
            <w:r>
              <w:rPr>
                <w:rFonts w:hint="default" w:ascii="Times New Roman" w:hAnsi="Times New Roman" w:eastAsia="宋体" w:cs="Times New Roman"/>
                <w:color w:val="auto"/>
                <w:spacing w:val="0"/>
                <w:sz w:val="24"/>
                <w:highlight w:val="none"/>
                <w:u w:val="none" w:color="auto"/>
              </w:rPr>
              <w:t>本项目位于</w:t>
            </w:r>
            <w:r>
              <w:rPr>
                <w:rFonts w:hint="default" w:ascii="Times New Roman" w:hAnsi="Times New Roman" w:eastAsia="宋体" w:cs="Times New Roman"/>
                <w:color w:val="auto"/>
                <w:spacing w:val="0"/>
                <w:sz w:val="24"/>
                <w:highlight w:val="none"/>
                <w:u w:val="none" w:color="auto"/>
                <w:lang w:val="en-US" w:eastAsia="zh-CN"/>
              </w:rPr>
              <w:t>产业园区</w:t>
            </w:r>
            <w:r>
              <w:rPr>
                <w:rFonts w:hint="default" w:ascii="Times New Roman" w:hAnsi="Times New Roman" w:eastAsia="宋体" w:cs="Times New Roman"/>
                <w:color w:val="auto"/>
                <w:spacing w:val="0"/>
                <w:sz w:val="24"/>
                <w:highlight w:val="none"/>
                <w:u w:val="none" w:color="auto"/>
              </w:rPr>
              <w:t>，</w:t>
            </w:r>
            <w:r>
              <w:rPr>
                <w:rFonts w:hint="default" w:ascii="Times New Roman" w:hAnsi="Times New Roman" w:eastAsia="宋体" w:cs="Times New Roman"/>
                <w:color w:val="auto"/>
                <w:spacing w:val="0"/>
                <w:sz w:val="24"/>
                <w:highlight w:val="none"/>
                <w:u w:val="none" w:color="auto"/>
                <w:lang w:val="en-US" w:eastAsia="zh-CN"/>
              </w:rPr>
              <w:t>依据基本因子判定，项目所在</w:t>
            </w:r>
            <w:r>
              <w:rPr>
                <w:rFonts w:hint="default" w:ascii="Times New Roman" w:hAnsi="Times New Roman" w:eastAsia="宋体" w:cs="Times New Roman"/>
                <w:color w:val="auto"/>
                <w:spacing w:val="0"/>
                <w:sz w:val="24"/>
                <w:highlight w:val="none"/>
                <w:u w:val="none" w:color="auto"/>
              </w:rPr>
              <w:t>区域属于环境空气质量达标区，</w:t>
            </w:r>
            <w:r>
              <w:rPr>
                <w:rFonts w:hint="default" w:ascii="Times New Roman" w:hAnsi="Times New Roman" w:eastAsia="宋体" w:cs="Times New Roman"/>
                <w:color w:val="auto"/>
                <w:spacing w:val="0"/>
                <w:sz w:val="24"/>
                <w:highlight w:val="none"/>
                <w:u w:val="none" w:color="auto"/>
                <w:lang w:val="en-US" w:eastAsia="zh-CN"/>
              </w:rPr>
              <w:t>根据TSP、NOx的现状监测结果满足相关环境空气质量标准，</w:t>
            </w:r>
            <w:r>
              <w:rPr>
                <w:rFonts w:hint="default" w:ascii="Times New Roman" w:hAnsi="Times New Roman" w:eastAsia="宋体" w:cs="Times New Roman"/>
                <w:color w:val="auto"/>
                <w:spacing w:val="0"/>
                <w:sz w:val="24"/>
                <w:highlight w:val="none"/>
                <w:u w:val="none" w:color="auto"/>
              </w:rPr>
              <w:t>区域环境质量现状较好。</w:t>
            </w:r>
            <w:r>
              <w:rPr>
                <w:rFonts w:hint="default" w:ascii="Times New Roman" w:hAnsi="Times New Roman" w:eastAsia="宋体" w:cs="Times New Roman"/>
                <w:color w:val="auto"/>
                <w:spacing w:val="0"/>
                <w:sz w:val="24"/>
                <w:highlight w:val="none"/>
                <w:u w:val="none" w:color="auto"/>
                <w:lang w:val="en-US" w:eastAsia="zh-CN"/>
              </w:rPr>
              <w:t>根据上述工程分析，</w:t>
            </w:r>
            <w:r>
              <w:rPr>
                <w:rFonts w:hint="default" w:ascii="Times New Roman" w:hAnsi="Times New Roman" w:eastAsia="宋体" w:cs="Times New Roman"/>
                <w:color w:val="auto"/>
                <w:spacing w:val="0"/>
                <w:sz w:val="24"/>
                <w:highlight w:val="none"/>
                <w:u w:val="none" w:color="auto"/>
              </w:rPr>
              <w:t>项目产生和排放的大气污染物对周围大气环境质量影响不大，不会造成周围大气环境质量明显下降。</w:t>
            </w:r>
          </w:p>
          <w:p w14:paraId="66F90D49">
            <w:pPr>
              <w:pStyle w:val="2"/>
              <w:snapToGrid/>
              <w:spacing w:before="0" w:after="0" w:line="360" w:lineRule="auto"/>
              <w:ind w:right="0" w:firstLine="480" w:firstLineChars="200"/>
              <w:rPr>
                <w:rFonts w:hint="default" w:ascii="Times New Roman" w:hAnsi="Times New Roman" w:eastAsia="宋体" w:cs="Times New Roman"/>
                <w:color w:val="auto"/>
                <w:spacing w:val="0"/>
                <w:sz w:val="24"/>
                <w:highlight w:val="none"/>
                <w:u w:val="none" w:color="auto"/>
              </w:rPr>
            </w:pPr>
            <w:r>
              <w:rPr>
                <w:rFonts w:hint="default" w:ascii="Times New Roman" w:hAnsi="Times New Roman" w:eastAsia="宋体" w:cs="Times New Roman"/>
                <w:color w:val="auto"/>
                <w:spacing w:val="0"/>
                <w:sz w:val="24"/>
                <w:highlight w:val="none"/>
                <w:u w:val="none" w:color="auto"/>
              </w:rPr>
              <w:t>为了进一步减轻本项目对周围大气环境的影响程度和范围，保证该地区的可持续发展，建设单位在生产过程中应该加强管理、规范作业，避免对周围大气环境造成污染影响。</w:t>
            </w:r>
          </w:p>
          <w:p w14:paraId="22AF3C8E">
            <w:pPr>
              <w:adjustRightInd w:val="0"/>
              <w:snapToGrid w:val="0"/>
              <w:spacing w:line="360" w:lineRule="auto"/>
              <w:ind w:firstLine="482" w:firstLineChars="200"/>
              <w:rPr>
                <w:rFonts w:hint="default" w:ascii="Times New Roman" w:hAnsi="Times New Roman" w:eastAsia="宋体" w:cs="Times New Roman"/>
                <w:b/>
                <w:bCs/>
                <w:color w:val="auto"/>
                <w:spacing w:val="0"/>
                <w:kern w:val="0"/>
                <w:sz w:val="24"/>
                <w:highlight w:val="none"/>
                <w:u w:val="none" w:color="auto"/>
              </w:rPr>
            </w:pPr>
            <w:r>
              <w:rPr>
                <w:rFonts w:hint="default" w:ascii="Times New Roman" w:hAnsi="Times New Roman" w:eastAsia="宋体" w:cs="Times New Roman"/>
                <w:b/>
                <w:bCs/>
                <w:color w:val="auto"/>
                <w:spacing w:val="0"/>
                <w:kern w:val="0"/>
                <w:sz w:val="24"/>
                <w:highlight w:val="none"/>
                <w:u w:val="none" w:color="auto"/>
                <w:lang w:val="en-US" w:eastAsia="zh-CN"/>
              </w:rPr>
              <w:t>8</w:t>
            </w:r>
            <w:r>
              <w:rPr>
                <w:rFonts w:hint="default" w:ascii="Times New Roman" w:hAnsi="Times New Roman" w:eastAsia="宋体" w:cs="Times New Roman"/>
                <w:b/>
                <w:bCs/>
                <w:color w:val="auto"/>
                <w:spacing w:val="0"/>
                <w:kern w:val="0"/>
                <w:sz w:val="24"/>
                <w:highlight w:val="none"/>
                <w:u w:val="none" w:color="auto"/>
              </w:rPr>
              <w:t>、监测要求</w:t>
            </w:r>
          </w:p>
          <w:p w14:paraId="032F3235">
            <w:pPr>
              <w:adjustRightInd w:val="0"/>
              <w:snapToGrid w:val="0"/>
              <w:spacing w:line="360" w:lineRule="auto"/>
              <w:ind w:firstLine="480" w:firstLineChars="200"/>
              <w:rPr>
                <w:rFonts w:hint="default" w:ascii="Times New Roman" w:hAnsi="Times New Roman" w:eastAsia="宋体" w:cs="Times New Roman"/>
                <w:color w:val="auto"/>
                <w:spacing w:val="0"/>
                <w:kern w:val="0"/>
                <w:sz w:val="24"/>
                <w:highlight w:val="none"/>
                <w:u w:val="none" w:color="auto"/>
              </w:rPr>
            </w:pPr>
            <w:r>
              <w:rPr>
                <w:rFonts w:hint="default" w:ascii="Times New Roman" w:hAnsi="Times New Roman" w:eastAsia="宋体" w:cs="Times New Roman"/>
                <w:color w:val="auto"/>
                <w:spacing w:val="0"/>
                <w:kern w:val="0"/>
                <w:sz w:val="24"/>
                <w:highlight w:val="none"/>
                <w:u w:val="none" w:color="auto"/>
                <w:lang w:val="en-US" w:eastAsia="zh-CN"/>
              </w:rPr>
              <w:t>根据《排污单位自行监测技术指南  总则》（HJ819-2017）、《排污单位自行监测技术指南 金属铸造工业》(HJ 1251-2022)、</w:t>
            </w:r>
            <w:r>
              <w:rPr>
                <w:rFonts w:hint="default" w:ascii="Times New Roman" w:hAnsi="Times New Roman" w:eastAsia="宋体" w:cs="Times New Roman"/>
                <w:color w:val="auto"/>
                <w:spacing w:val="0"/>
                <w:sz w:val="24"/>
                <w:highlight w:val="none"/>
                <w:u w:val="none" w:color="auto"/>
                <w:lang w:val="en-US" w:eastAsia="zh-CN"/>
              </w:rPr>
              <w:t>《排污许可证申请与核发技术规范  工业炉窑》（HJ1121-2020）、和《排污许可证申请与核发技术规范  汽车制造业》（HJ 971-2018）</w:t>
            </w:r>
            <w:r>
              <w:rPr>
                <w:rFonts w:hint="default" w:ascii="Times New Roman" w:hAnsi="Times New Roman" w:eastAsia="宋体" w:cs="Times New Roman"/>
                <w:color w:val="auto"/>
                <w:spacing w:val="0"/>
                <w:kern w:val="0"/>
                <w:sz w:val="24"/>
                <w:highlight w:val="none"/>
                <w:u w:val="none" w:color="auto"/>
                <w:lang w:val="en-US" w:eastAsia="zh-CN"/>
              </w:rPr>
              <w:t>的</w:t>
            </w:r>
            <w:r>
              <w:rPr>
                <w:rFonts w:hint="default" w:ascii="Times New Roman" w:hAnsi="Times New Roman" w:eastAsia="宋体" w:cs="Times New Roman"/>
                <w:color w:val="auto"/>
                <w:spacing w:val="0"/>
                <w:kern w:val="0"/>
                <w:sz w:val="24"/>
                <w:highlight w:val="none"/>
                <w:u w:val="none" w:color="auto"/>
              </w:rPr>
              <w:t>相关要求</w:t>
            </w:r>
            <w:r>
              <w:rPr>
                <w:rFonts w:hint="default" w:ascii="Times New Roman" w:hAnsi="Times New Roman" w:eastAsia="宋体" w:cs="Times New Roman"/>
                <w:color w:val="auto"/>
                <w:spacing w:val="0"/>
                <w:kern w:val="0"/>
                <w:sz w:val="24"/>
                <w:highlight w:val="none"/>
                <w:u w:val="none" w:color="auto"/>
                <w:lang w:eastAsia="zh-CN"/>
              </w:rPr>
              <w:t>，</w:t>
            </w:r>
            <w:r>
              <w:rPr>
                <w:rFonts w:hint="default" w:ascii="Times New Roman" w:hAnsi="Times New Roman" w:eastAsia="宋体" w:cs="Times New Roman"/>
                <w:color w:val="auto"/>
                <w:spacing w:val="0"/>
                <w:kern w:val="0"/>
                <w:sz w:val="24"/>
                <w:highlight w:val="none"/>
                <w:u w:val="none" w:color="auto"/>
                <w:lang w:val="en-US" w:eastAsia="zh-CN"/>
              </w:rPr>
              <w:t>提出监测要求，</w:t>
            </w:r>
            <w:r>
              <w:rPr>
                <w:rFonts w:hint="default" w:ascii="Times New Roman" w:hAnsi="Times New Roman" w:eastAsia="宋体" w:cs="Times New Roman"/>
                <w:color w:val="auto"/>
                <w:spacing w:val="0"/>
                <w:kern w:val="0"/>
                <w:sz w:val="24"/>
                <w:highlight w:val="none"/>
                <w:u w:val="none" w:color="auto"/>
              </w:rPr>
              <w:t>详见</w:t>
            </w:r>
            <w:r>
              <w:rPr>
                <w:rFonts w:hint="default" w:ascii="Times New Roman" w:hAnsi="Times New Roman" w:eastAsia="宋体" w:cs="Times New Roman"/>
                <w:color w:val="auto"/>
                <w:spacing w:val="0"/>
                <w:kern w:val="0"/>
                <w:sz w:val="24"/>
                <w:highlight w:val="none"/>
                <w:u w:val="none" w:color="auto"/>
                <w:lang w:val="en-US" w:eastAsia="zh-CN"/>
              </w:rPr>
              <w:t>下表</w:t>
            </w:r>
            <w:r>
              <w:rPr>
                <w:rFonts w:hint="default" w:ascii="Times New Roman" w:hAnsi="Times New Roman" w:eastAsia="宋体" w:cs="Times New Roman"/>
                <w:color w:val="auto"/>
                <w:spacing w:val="0"/>
                <w:kern w:val="0"/>
                <w:sz w:val="24"/>
                <w:highlight w:val="none"/>
                <w:u w:val="none" w:color="auto"/>
              </w:rPr>
              <w:t>。</w:t>
            </w:r>
          </w:p>
          <w:p w14:paraId="68FA146F">
            <w:pPr>
              <w:jc w:val="center"/>
              <w:rPr>
                <w:rFonts w:hint="default" w:ascii="Times New Roman" w:hAnsi="Times New Roman" w:eastAsia="宋体" w:cs="Times New Roman"/>
                <w:b/>
                <w:bCs/>
                <w:color w:val="auto"/>
                <w:spacing w:val="0"/>
                <w:szCs w:val="21"/>
                <w:highlight w:val="none"/>
                <w:u w:val="none" w:color="auto"/>
              </w:rPr>
            </w:pPr>
            <w:r>
              <w:rPr>
                <w:rFonts w:hint="default" w:ascii="Times New Roman" w:hAnsi="Times New Roman" w:eastAsia="宋体" w:cs="Times New Roman"/>
                <w:b/>
                <w:bCs/>
                <w:color w:val="auto"/>
                <w:spacing w:val="0"/>
                <w:szCs w:val="21"/>
                <w:highlight w:val="none"/>
                <w:u w:val="none" w:color="auto"/>
              </w:rPr>
              <w:t>表4-</w:t>
            </w:r>
            <w:r>
              <w:rPr>
                <w:rFonts w:hint="default" w:ascii="Times New Roman" w:hAnsi="Times New Roman" w:eastAsia="宋体" w:cs="Times New Roman"/>
                <w:b/>
                <w:bCs/>
                <w:color w:val="auto"/>
                <w:spacing w:val="0"/>
                <w:szCs w:val="21"/>
                <w:highlight w:val="none"/>
                <w:u w:val="none" w:color="auto"/>
                <w:lang w:val="en-US" w:eastAsia="zh-CN"/>
              </w:rPr>
              <w:t>22</w:t>
            </w:r>
            <w:r>
              <w:rPr>
                <w:rFonts w:hint="default" w:ascii="Times New Roman" w:hAnsi="Times New Roman" w:eastAsia="宋体" w:cs="Times New Roman"/>
                <w:b/>
                <w:bCs/>
                <w:color w:val="auto"/>
                <w:spacing w:val="0"/>
                <w:szCs w:val="21"/>
                <w:highlight w:val="none"/>
                <w:u w:val="none" w:color="auto"/>
              </w:rPr>
              <w:t xml:space="preserve">  </w:t>
            </w:r>
            <w:r>
              <w:rPr>
                <w:rFonts w:hint="default" w:ascii="Times New Roman" w:hAnsi="Times New Roman" w:eastAsia="宋体" w:cs="Times New Roman"/>
                <w:b/>
                <w:bCs/>
                <w:color w:val="auto"/>
                <w:spacing w:val="0"/>
                <w:szCs w:val="21"/>
                <w:highlight w:val="none"/>
                <w:u w:val="none" w:color="auto"/>
                <w:lang w:val="en-US" w:eastAsia="zh-CN"/>
              </w:rPr>
              <w:t>废气</w:t>
            </w:r>
            <w:r>
              <w:rPr>
                <w:rFonts w:hint="default" w:ascii="Times New Roman" w:hAnsi="Times New Roman" w:eastAsia="宋体" w:cs="Times New Roman"/>
                <w:b/>
                <w:bCs/>
                <w:color w:val="auto"/>
                <w:spacing w:val="0"/>
                <w:szCs w:val="21"/>
                <w:highlight w:val="none"/>
                <w:u w:val="none" w:color="auto"/>
              </w:rPr>
              <w:t>监测计划</w:t>
            </w:r>
          </w:p>
          <w:tbl>
            <w:tblPr>
              <w:tblStyle w:val="31"/>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995"/>
              <w:gridCol w:w="2191"/>
              <w:gridCol w:w="3789"/>
              <w:gridCol w:w="1540"/>
            </w:tblGrid>
            <w:tr w14:paraId="66754CE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84" w:type="pct"/>
                  <w:noWrap w:val="0"/>
                  <w:vAlign w:val="center"/>
                </w:tcPr>
                <w:p w14:paraId="7E27568E">
                  <w:pPr>
                    <w:jc w:val="center"/>
                    <w:rPr>
                      <w:rFonts w:hint="default" w:ascii="Times New Roman" w:hAnsi="Times New Roman" w:eastAsia="宋体" w:cs="Times New Roman"/>
                      <w:b/>
                      <w:bCs/>
                      <w:color w:val="auto"/>
                      <w:spacing w:val="0"/>
                      <w:kern w:val="24"/>
                      <w:szCs w:val="21"/>
                      <w:highlight w:val="none"/>
                      <w:u w:val="none" w:color="auto"/>
                      <w:lang w:eastAsia="zh-CN"/>
                    </w:rPr>
                  </w:pPr>
                  <w:r>
                    <w:rPr>
                      <w:rFonts w:hint="default" w:ascii="Times New Roman" w:hAnsi="Times New Roman" w:eastAsia="宋体" w:cs="Times New Roman"/>
                      <w:b/>
                      <w:bCs/>
                      <w:color w:val="auto"/>
                      <w:spacing w:val="0"/>
                      <w:kern w:val="24"/>
                      <w:szCs w:val="21"/>
                      <w:highlight w:val="none"/>
                      <w:u w:val="none" w:color="auto"/>
                      <w:lang w:val="en-US" w:eastAsia="zh-CN"/>
                    </w:rPr>
                    <w:t>厂区</w:t>
                  </w:r>
                </w:p>
              </w:tc>
              <w:tc>
                <w:tcPr>
                  <w:tcW w:w="1286" w:type="pct"/>
                  <w:noWrap w:val="0"/>
                  <w:vAlign w:val="center"/>
                </w:tcPr>
                <w:p w14:paraId="462B8B2B">
                  <w:pPr>
                    <w:jc w:val="center"/>
                    <w:rPr>
                      <w:rFonts w:hint="default" w:ascii="Times New Roman" w:hAnsi="Times New Roman" w:eastAsia="宋体" w:cs="Times New Roman"/>
                      <w:b/>
                      <w:bCs/>
                      <w:color w:val="auto"/>
                      <w:spacing w:val="0"/>
                      <w:kern w:val="24"/>
                      <w:szCs w:val="21"/>
                      <w:highlight w:val="none"/>
                      <w:u w:val="none" w:color="auto"/>
                    </w:rPr>
                  </w:pPr>
                  <w:r>
                    <w:rPr>
                      <w:rFonts w:hint="default" w:ascii="Times New Roman" w:hAnsi="Times New Roman" w:eastAsia="宋体" w:cs="Times New Roman"/>
                      <w:b/>
                      <w:bCs/>
                      <w:color w:val="auto"/>
                      <w:spacing w:val="0"/>
                      <w:kern w:val="24"/>
                      <w:szCs w:val="21"/>
                      <w:highlight w:val="none"/>
                      <w:u w:val="none" w:color="auto"/>
                    </w:rPr>
                    <w:t>污染源点位</w:t>
                  </w:r>
                </w:p>
              </w:tc>
              <w:tc>
                <w:tcPr>
                  <w:tcW w:w="2224" w:type="pct"/>
                  <w:noWrap w:val="0"/>
                  <w:vAlign w:val="center"/>
                </w:tcPr>
                <w:p w14:paraId="6EC51DF8">
                  <w:pPr>
                    <w:jc w:val="center"/>
                    <w:rPr>
                      <w:rFonts w:hint="default" w:ascii="Times New Roman" w:hAnsi="Times New Roman" w:eastAsia="宋体" w:cs="Times New Roman"/>
                      <w:b/>
                      <w:bCs/>
                      <w:color w:val="auto"/>
                      <w:spacing w:val="0"/>
                      <w:kern w:val="24"/>
                      <w:szCs w:val="21"/>
                      <w:highlight w:val="none"/>
                      <w:u w:val="none" w:color="auto"/>
                    </w:rPr>
                  </w:pPr>
                  <w:r>
                    <w:rPr>
                      <w:rFonts w:hint="default" w:ascii="Times New Roman" w:hAnsi="Times New Roman" w:eastAsia="宋体" w:cs="Times New Roman"/>
                      <w:b/>
                      <w:bCs/>
                      <w:color w:val="auto"/>
                      <w:spacing w:val="0"/>
                      <w:kern w:val="24"/>
                      <w:szCs w:val="21"/>
                      <w:highlight w:val="none"/>
                      <w:u w:val="none" w:color="auto"/>
                    </w:rPr>
                    <w:t>监测指标</w:t>
                  </w:r>
                </w:p>
              </w:tc>
              <w:tc>
                <w:tcPr>
                  <w:tcW w:w="904" w:type="pct"/>
                  <w:noWrap w:val="0"/>
                  <w:vAlign w:val="center"/>
                </w:tcPr>
                <w:p w14:paraId="40EA7D4D">
                  <w:pPr>
                    <w:jc w:val="center"/>
                    <w:rPr>
                      <w:rFonts w:hint="default" w:ascii="Times New Roman" w:hAnsi="Times New Roman" w:eastAsia="宋体" w:cs="Times New Roman"/>
                      <w:b/>
                      <w:bCs/>
                      <w:color w:val="auto"/>
                      <w:spacing w:val="0"/>
                      <w:kern w:val="24"/>
                      <w:szCs w:val="21"/>
                      <w:highlight w:val="none"/>
                      <w:u w:val="none" w:color="auto"/>
                    </w:rPr>
                  </w:pPr>
                  <w:r>
                    <w:rPr>
                      <w:rFonts w:hint="default" w:ascii="Times New Roman" w:hAnsi="Times New Roman" w:eastAsia="宋体" w:cs="Times New Roman"/>
                      <w:b/>
                      <w:bCs/>
                      <w:color w:val="auto"/>
                      <w:spacing w:val="0"/>
                      <w:kern w:val="24"/>
                      <w:szCs w:val="21"/>
                      <w:highlight w:val="none"/>
                      <w:u w:val="none" w:color="auto"/>
                    </w:rPr>
                    <w:t>监测频次</w:t>
                  </w:r>
                </w:p>
              </w:tc>
            </w:tr>
            <w:tr w14:paraId="0F8BA0D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84" w:type="pct"/>
                  <w:vMerge w:val="restart"/>
                  <w:noWrap w:val="0"/>
                  <w:vAlign w:val="center"/>
                </w:tcPr>
                <w:p w14:paraId="5B186376">
                  <w:pPr>
                    <w:jc w:val="center"/>
                    <w:rPr>
                      <w:rFonts w:hint="default" w:ascii="Times New Roman" w:hAnsi="Times New Roman" w:eastAsia="宋体" w:cs="Times New Roman"/>
                      <w:b/>
                      <w:bCs/>
                      <w:color w:val="auto"/>
                      <w:spacing w:val="0"/>
                      <w:kern w:val="24"/>
                      <w:szCs w:val="21"/>
                      <w:highlight w:val="none"/>
                      <w:u w:val="none" w:color="auto"/>
                      <w:lang w:val="en-US" w:eastAsia="zh-CN"/>
                    </w:rPr>
                  </w:pPr>
                  <w:r>
                    <w:rPr>
                      <w:rFonts w:hint="default" w:ascii="Times New Roman" w:hAnsi="Times New Roman" w:eastAsia="宋体" w:cs="Times New Roman"/>
                      <w:b/>
                      <w:bCs/>
                      <w:color w:val="auto"/>
                      <w:spacing w:val="0"/>
                      <w:kern w:val="24"/>
                      <w:szCs w:val="21"/>
                      <w:highlight w:val="none"/>
                      <w:u w:val="none" w:color="auto"/>
                      <w:lang w:val="en-US" w:eastAsia="zh-CN"/>
                    </w:rPr>
                    <w:t>中创空天厂区</w:t>
                  </w:r>
                </w:p>
              </w:tc>
              <w:tc>
                <w:tcPr>
                  <w:tcW w:w="1286" w:type="pct"/>
                  <w:vMerge w:val="restart"/>
                  <w:noWrap w:val="0"/>
                  <w:vAlign w:val="center"/>
                </w:tcPr>
                <w:p w14:paraId="4549768C">
                  <w:pPr>
                    <w:jc w:val="center"/>
                    <w:rPr>
                      <w:rFonts w:hint="default" w:ascii="Times New Roman" w:hAnsi="Times New Roman" w:eastAsia="宋体" w:cs="Times New Roman"/>
                      <w:b w:val="0"/>
                      <w:bCs w:val="0"/>
                      <w:color w:val="auto"/>
                      <w:spacing w:val="0"/>
                      <w:kern w:val="24"/>
                      <w:szCs w:val="21"/>
                      <w:highlight w:val="none"/>
                      <w:u w:val="none" w:color="auto"/>
                      <w:lang w:val="en-US" w:eastAsia="zh-CN"/>
                    </w:rPr>
                  </w:pPr>
                  <w:r>
                    <w:rPr>
                      <w:rFonts w:hint="default" w:ascii="Times New Roman" w:hAnsi="Times New Roman" w:eastAsia="宋体" w:cs="Times New Roman"/>
                      <w:b w:val="0"/>
                      <w:bCs w:val="0"/>
                      <w:color w:val="auto"/>
                      <w:spacing w:val="0"/>
                      <w:kern w:val="24"/>
                      <w:szCs w:val="21"/>
                      <w:highlight w:val="none"/>
                      <w:u w:val="none" w:color="auto"/>
                      <w:lang w:val="en-US" w:eastAsia="zh-CN"/>
                    </w:rPr>
                    <w:t>DA010</w:t>
                  </w:r>
                </w:p>
              </w:tc>
              <w:tc>
                <w:tcPr>
                  <w:tcW w:w="2224" w:type="pct"/>
                  <w:noWrap w:val="0"/>
                  <w:vAlign w:val="center"/>
                </w:tcPr>
                <w:p w14:paraId="6994273A">
                  <w:pPr>
                    <w:jc w:val="center"/>
                    <w:rPr>
                      <w:rFonts w:hint="default" w:ascii="Times New Roman" w:hAnsi="Times New Roman" w:eastAsia="宋体" w:cs="Times New Roman"/>
                      <w:b w:val="0"/>
                      <w:bCs w:val="0"/>
                      <w:color w:val="auto"/>
                      <w:spacing w:val="0"/>
                      <w:kern w:val="24"/>
                      <w:szCs w:val="21"/>
                      <w:highlight w:val="none"/>
                      <w:u w:val="none" w:color="auto"/>
                    </w:rPr>
                  </w:pPr>
                  <w:r>
                    <w:rPr>
                      <w:rFonts w:hint="default" w:ascii="Times New Roman" w:hAnsi="Times New Roman" w:eastAsia="宋体" w:cs="Times New Roman"/>
                      <w:b w:val="0"/>
                      <w:bCs w:val="0"/>
                      <w:color w:val="auto"/>
                      <w:spacing w:val="0"/>
                      <w:kern w:val="24"/>
                      <w:szCs w:val="21"/>
                      <w:highlight w:val="none"/>
                      <w:u w:val="none" w:color="auto"/>
                    </w:rPr>
                    <w:t>颗粒物</w:t>
                  </w:r>
                  <w:r>
                    <w:rPr>
                      <w:rFonts w:hint="default" w:ascii="Times New Roman" w:hAnsi="Times New Roman" w:eastAsia="宋体" w:cs="Times New Roman"/>
                      <w:b w:val="0"/>
                      <w:bCs w:val="0"/>
                      <w:color w:val="auto"/>
                      <w:spacing w:val="0"/>
                      <w:kern w:val="24"/>
                      <w:szCs w:val="21"/>
                      <w:highlight w:val="none"/>
                      <w:u w:val="none" w:color="auto"/>
                      <w:lang w:eastAsia="zh-CN"/>
                    </w:rPr>
                    <w:t>、</w:t>
                  </w:r>
                  <w:r>
                    <w:rPr>
                      <w:rFonts w:hint="default" w:ascii="Times New Roman" w:hAnsi="Times New Roman" w:eastAsia="宋体" w:cs="Times New Roman"/>
                      <w:b w:val="0"/>
                      <w:bCs w:val="0"/>
                      <w:color w:val="auto"/>
                      <w:spacing w:val="0"/>
                      <w:kern w:val="24"/>
                      <w:szCs w:val="21"/>
                      <w:highlight w:val="none"/>
                      <w:u w:val="none" w:color="auto"/>
                    </w:rPr>
                    <w:t>SO</w:t>
                  </w:r>
                  <w:r>
                    <w:rPr>
                      <w:rFonts w:hint="default" w:ascii="Times New Roman" w:hAnsi="Times New Roman" w:eastAsia="宋体" w:cs="Times New Roman"/>
                      <w:b w:val="0"/>
                      <w:bCs w:val="0"/>
                      <w:color w:val="auto"/>
                      <w:spacing w:val="0"/>
                      <w:kern w:val="24"/>
                      <w:szCs w:val="21"/>
                      <w:highlight w:val="none"/>
                      <w:u w:val="none" w:color="auto"/>
                      <w:vertAlign w:val="subscript"/>
                    </w:rPr>
                    <w:t>2</w:t>
                  </w:r>
                  <w:r>
                    <w:rPr>
                      <w:rFonts w:hint="default" w:ascii="Times New Roman" w:hAnsi="Times New Roman" w:eastAsia="宋体" w:cs="Times New Roman"/>
                      <w:b w:val="0"/>
                      <w:bCs w:val="0"/>
                      <w:color w:val="auto"/>
                      <w:spacing w:val="0"/>
                      <w:kern w:val="24"/>
                      <w:szCs w:val="21"/>
                      <w:highlight w:val="none"/>
                      <w:u w:val="none" w:color="auto"/>
                      <w:lang w:eastAsia="zh-CN"/>
                    </w:rPr>
                    <w:t>、</w:t>
                  </w:r>
                  <w:r>
                    <w:rPr>
                      <w:rFonts w:hint="default" w:ascii="Times New Roman" w:hAnsi="Times New Roman" w:eastAsia="宋体" w:cs="Times New Roman"/>
                      <w:b w:val="0"/>
                      <w:bCs w:val="0"/>
                      <w:color w:val="auto"/>
                      <w:spacing w:val="0"/>
                      <w:kern w:val="24"/>
                      <w:szCs w:val="21"/>
                      <w:highlight w:val="none"/>
                      <w:u w:val="none" w:color="auto"/>
                    </w:rPr>
                    <w:t>NO</w:t>
                  </w:r>
                  <w:r>
                    <w:rPr>
                      <w:rFonts w:hint="default" w:ascii="Times New Roman" w:hAnsi="Times New Roman" w:eastAsia="宋体" w:cs="Times New Roman"/>
                      <w:b w:val="0"/>
                      <w:bCs w:val="0"/>
                      <w:color w:val="auto"/>
                      <w:spacing w:val="0"/>
                      <w:kern w:val="24"/>
                      <w:szCs w:val="21"/>
                      <w:highlight w:val="none"/>
                      <w:u w:val="none" w:color="auto"/>
                      <w:vertAlign w:val="subscript"/>
                    </w:rPr>
                    <w:t>x</w:t>
                  </w:r>
                </w:p>
              </w:tc>
              <w:tc>
                <w:tcPr>
                  <w:tcW w:w="904" w:type="pct"/>
                  <w:noWrap w:val="0"/>
                  <w:vAlign w:val="center"/>
                </w:tcPr>
                <w:p w14:paraId="74E34E52">
                  <w:pPr>
                    <w:jc w:val="center"/>
                    <w:rPr>
                      <w:rFonts w:hint="default" w:ascii="Times New Roman" w:hAnsi="Times New Roman" w:eastAsia="宋体" w:cs="Times New Roman"/>
                      <w:b/>
                      <w:bCs/>
                      <w:color w:val="auto"/>
                      <w:spacing w:val="0"/>
                      <w:kern w:val="24"/>
                      <w:szCs w:val="21"/>
                      <w:highlight w:val="none"/>
                      <w:u w:val="none" w:color="auto"/>
                      <w:lang w:val="en-US" w:eastAsia="zh-CN"/>
                    </w:rPr>
                  </w:pPr>
                  <w:r>
                    <w:rPr>
                      <w:rFonts w:hint="default" w:ascii="Times New Roman" w:hAnsi="Times New Roman" w:eastAsia="宋体" w:cs="Times New Roman"/>
                      <w:color w:val="auto"/>
                      <w:spacing w:val="0"/>
                      <w:kern w:val="24"/>
                      <w:szCs w:val="21"/>
                      <w:highlight w:val="none"/>
                      <w:u w:val="none" w:color="auto"/>
                    </w:rPr>
                    <w:t>1次/</w:t>
                  </w:r>
                  <w:r>
                    <w:rPr>
                      <w:rFonts w:hint="default" w:ascii="Times New Roman" w:hAnsi="Times New Roman" w:eastAsia="宋体" w:cs="Times New Roman"/>
                      <w:color w:val="auto"/>
                      <w:spacing w:val="0"/>
                      <w:kern w:val="24"/>
                      <w:szCs w:val="21"/>
                      <w:highlight w:val="none"/>
                      <w:u w:val="none" w:color="auto"/>
                      <w:lang w:val="en-US" w:eastAsia="zh-CN"/>
                    </w:rPr>
                    <w:t>季度</w:t>
                  </w:r>
                </w:p>
              </w:tc>
            </w:tr>
            <w:tr w14:paraId="38530AE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84" w:type="pct"/>
                  <w:vMerge w:val="continue"/>
                  <w:noWrap w:val="0"/>
                  <w:vAlign w:val="center"/>
                </w:tcPr>
                <w:p w14:paraId="76EA65D7">
                  <w:pPr>
                    <w:jc w:val="center"/>
                    <w:rPr>
                      <w:rFonts w:hint="default" w:ascii="Times New Roman" w:hAnsi="Times New Roman" w:eastAsia="宋体" w:cs="Times New Roman"/>
                      <w:b/>
                      <w:bCs/>
                      <w:color w:val="auto"/>
                      <w:spacing w:val="0"/>
                      <w:kern w:val="24"/>
                      <w:szCs w:val="21"/>
                      <w:highlight w:val="none"/>
                      <w:u w:val="none" w:color="auto"/>
                      <w:lang w:val="en-US" w:eastAsia="zh-CN"/>
                    </w:rPr>
                  </w:pPr>
                </w:p>
              </w:tc>
              <w:tc>
                <w:tcPr>
                  <w:tcW w:w="1286" w:type="pct"/>
                  <w:vMerge w:val="continue"/>
                  <w:noWrap w:val="0"/>
                  <w:vAlign w:val="center"/>
                </w:tcPr>
                <w:p w14:paraId="360B70DF">
                  <w:pPr>
                    <w:jc w:val="center"/>
                    <w:rPr>
                      <w:rFonts w:hint="default" w:ascii="Times New Roman" w:hAnsi="Times New Roman" w:eastAsia="宋体" w:cs="Times New Roman"/>
                      <w:b w:val="0"/>
                      <w:bCs w:val="0"/>
                      <w:color w:val="auto"/>
                      <w:spacing w:val="0"/>
                      <w:kern w:val="24"/>
                      <w:szCs w:val="21"/>
                      <w:highlight w:val="none"/>
                      <w:u w:val="none" w:color="auto"/>
                      <w:lang w:val="en-US" w:eastAsia="zh-CN"/>
                    </w:rPr>
                  </w:pPr>
                </w:p>
              </w:tc>
              <w:tc>
                <w:tcPr>
                  <w:tcW w:w="2224" w:type="pct"/>
                  <w:noWrap w:val="0"/>
                  <w:vAlign w:val="center"/>
                </w:tcPr>
                <w:p w14:paraId="4E60ED25">
                  <w:pPr>
                    <w:jc w:val="center"/>
                    <w:rPr>
                      <w:rFonts w:hint="default" w:ascii="Times New Roman" w:hAnsi="Times New Roman" w:eastAsia="宋体" w:cs="Times New Roman"/>
                      <w:b w:val="0"/>
                      <w:bCs w:val="0"/>
                      <w:color w:val="auto"/>
                      <w:spacing w:val="0"/>
                      <w:kern w:val="24"/>
                      <w:szCs w:val="21"/>
                      <w:highlight w:val="none"/>
                      <w:u w:val="none" w:color="auto"/>
                      <w:lang w:val="en-US" w:eastAsia="zh-CN"/>
                    </w:rPr>
                  </w:pPr>
                  <w:r>
                    <w:rPr>
                      <w:rFonts w:hint="default" w:ascii="Times New Roman" w:hAnsi="Times New Roman" w:eastAsia="宋体" w:cs="Times New Roman"/>
                      <w:b w:val="0"/>
                      <w:bCs w:val="0"/>
                      <w:color w:val="auto"/>
                      <w:spacing w:val="0"/>
                      <w:kern w:val="24"/>
                      <w:szCs w:val="21"/>
                      <w:highlight w:val="none"/>
                      <w:u w:val="none" w:color="auto"/>
                      <w:lang w:val="en-US" w:eastAsia="zh-CN"/>
                    </w:rPr>
                    <w:t>烟气黑度</w:t>
                  </w:r>
                </w:p>
              </w:tc>
              <w:tc>
                <w:tcPr>
                  <w:tcW w:w="904" w:type="pct"/>
                  <w:noWrap w:val="0"/>
                  <w:vAlign w:val="center"/>
                </w:tcPr>
                <w:p w14:paraId="6AA13BA5">
                  <w:pPr>
                    <w:jc w:val="center"/>
                    <w:rPr>
                      <w:rFonts w:hint="default" w:ascii="Times New Roman" w:hAnsi="Times New Roman" w:eastAsia="宋体" w:cs="Times New Roman"/>
                      <w:b/>
                      <w:bCs/>
                      <w:color w:val="auto"/>
                      <w:spacing w:val="0"/>
                      <w:kern w:val="24"/>
                      <w:szCs w:val="21"/>
                      <w:highlight w:val="none"/>
                      <w:u w:val="none" w:color="auto"/>
                    </w:rPr>
                  </w:pPr>
                  <w:r>
                    <w:rPr>
                      <w:rFonts w:hint="default" w:ascii="Times New Roman" w:hAnsi="Times New Roman" w:eastAsia="宋体" w:cs="Times New Roman"/>
                      <w:color w:val="auto"/>
                      <w:spacing w:val="0"/>
                      <w:kern w:val="24"/>
                      <w:szCs w:val="21"/>
                      <w:highlight w:val="none"/>
                      <w:u w:val="none" w:color="auto"/>
                    </w:rPr>
                    <w:t>1次/年</w:t>
                  </w:r>
                </w:p>
              </w:tc>
            </w:tr>
            <w:tr w14:paraId="0CD8D00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84" w:type="pct"/>
                  <w:vMerge w:val="continue"/>
                  <w:noWrap w:val="0"/>
                  <w:vAlign w:val="center"/>
                </w:tcPr>
                <w:p w14:paraId="40035D64">
                  <w:pPr>
                    <w:jc w:val="center"/>
                    <w:rPr>
                      <w:rFonts w:hint="default" w:ascii="Times New Roman" w:hAnsi="Times New Roman" w:eastAsia="宋体" w:cs="Times New Roman"/>
                      <w:b/>
                      <w:bCs/>
                      <w:color w:val="auto"/>
                      <w:spacing w:val="0"/>
                      <w:kern w:val="24"/>
                      <w:szCs w:val="21"/>
                      <w:highlight w:val="none"/>
                      <w:u w:val="none" w:color="auto"/>
                    </w:rPr>
                  </w:pPr>
                </w:p>
              </w:tc>
              <w:tc>
                <w:tcPr>
                  <w:tcW w:w="1286" w:type="pct"/>
                  <w:noWrap w:val="0"/>
                  <w:vAlign w:val="center"/>
                </w:tcPr>
                <w:p w14:paraId="6680C612">
                  <w:pPr>
                    <w:jc w:val="center"/>
                    <w:rPr>
                      <w:rFonts w:hint="default" w:ascii="Times New Roman" w:hAnsi="Times New Roman" w:eastAsia="宋体" w:cs="Times New Roman"/>
                      <w:b w:val="0"/>
                      <w:bCs w:val="0"/>
                      <w:color w:val="auto"/>
                      <w:spacing w:val="0"/>
                      <w:kern w:val="24"/>
                      <w:szCs w:val="21"/>
                      <w:highlight w:val="none"/>
                      <w:u w:val="none" w:color="auto"/>
                      <w:lang w:val="en-US" w:eastAsia="zh-CN"/>
                    </w:rPr>
                  </w:pPr>
                  <w:r>
                    <w:rPr>
                      <w:rFonts w:hint="default" w:ascii="Times New Roman" w:hAnsi="Times New Roman" w:eastAsia="宋体" w:cs="Times New Roman"/>
                      <w:b w:val="0"/>
                      <w:bCs w:val="0"/>
                      <w:color w:val="auto"/>
                      <w:spacing w:val="0"/>
                      <w:kern w:val="24"/>
                      <w:szCs w:val="21"/>
                      <w:highlight w:val="none"/>
                      <w:u w:val="none" w:color="auto"/>
                      <w:lang w:val="en-US" w:eastAsia="zh-CN"/>
                    </w:rPr>
                    <w:t>DA011</w:t>
                  </w:r>
                </w:p>
              </w:tc>
              <w:tc>
                <w:tcPr>
                  <w:tcW w:w="2224" w:type="pct"/>
                  <w:noWrap w:val="0"/>
                  <w:vAlign w:val="center"/>
                </w:tcPr>
                <w:p w14:paraId="31BBAF09">
                  <w:pPr>
                    <w:jc w:val="center"/>
                    <w:rPr>
                      <w:rFonts w:hint="default" w:ascii="Times New Roman" w:hAnsi="Times New Roman" w:eastAsia="宋体" w:cs="Times New Roman"/>
                      <w:b w:val="0"/>
                      <w:bCs w:val="0"/>
                      <w:color w:val="auto"/>
                      <w:spacing w:val="0"/>
                      <w:kern w:val="24"/>
                      <w:szCs w:val="21"/>
                      <w:highlight w:val="none"/>
                      <w:u w:val="none" w:color="auto"/>
                      <w:lang w:eastAsia="zh-CN"/>
                    </w:rPr>
                  </w:pPr>
                  <w:r>
                    <w:rPr>
                      <w:rFonts w:hint="default" w:ascii="Times New Roman" w:hAnsi="Times New Roman" w:eastAsia="宋体" w:cs="Times New Roman"/>
                      <w:b w:val="0"/>
                      <w:bCs w:val="0"/>
                      <w:color w:val="auto"/>
                      <w:spacing w:val="0"/>
                      <w:kern w:val="24"/>
                      <w:szCs w:val="21"/>
                      <w:highlight w:val="none"/>
                      <w:u w:val="none" w:color="auto"/>
                    </w:rPr>
                    <w:t>颗粒物</w:t>
                  </w:r>
                  <w:r>
                    <w:rPr>
                      <w:rFonts w:hint="default" w:ascii="Times New Roman" w:hAnsi="Times New Roman" w:eastAsia="宋体" w:cs="Times New Roman"/>
                      <w:b w:val="0"/>
                      <w:bCs w:val="0"/>
                      <w:color w:val="auto"/>
                      <w:spacing w:val="0"/>
                      <w:kern w:val="24"/>
                      <w:szCs w:val="21"/>
                      <w:highlight w:val="none"/>
                      <w:u w:val="none" w:color="auto"/>
                      <w:lang w:eastAsia="zh-CN"/>
                    </w:rPr>
                    <w:t>、非甲烷总烃</w:t>
                  </w:r>
                </w:p>
              </w:tc>
              <w:tc>
                <w:tcPr>
                  <w:tcW w:w="904" w:type="pct"/>
                  <w:noWrap w:val="0"/>
                  <w:vAlign w:val="center"/>
                </w:tcPr>
                <w:p w14:paraId="7D8B3B3A">
                  <w:pPr>
                    <w:jc w:val="center"/>
                    <w:rPr>
                      <w:rFonts w:hint="default" w:ascii="Times New Roman" w:hAnsi="Times New Roman" w:eastAsia="宋体" w:cs="Times New Roman"/>
                      <w:b/>
                      <w:bCs/>
                      <w:color w:val="auto"/>
                      <w:spacing w:val="0"/>
                      <w:kern w:val="24"/>
                      <w:szCs w:val="21"/>
                      <w:highlight w:val="none"/>
                      <w:u w:val="none" w:color="auto"/>
                    </w:rPr>
                  </w:pPr>
                  <w:r>
                    <w:rPr>
                      <w:rFonts w:hint="default" w:ascii="Times New Roman" w:hAnsi="Times New Roman" w:eastAsia="宋体" w:cs="Times New Roman"/>
                      <w:color w:val="auto"/>
                      <w:spacing w:val="0"/>
                      <w:kern w:val="24"/>
                      <w:szCs w:val="21"/>
                      <w:highlight w:val="none"/>
                      <w:u w:val="none" w:color="auto"/>
                    </w:rPr>
                    <w:t>1次/年</w:t>
                  </w:r>
                </w:p>
              </w:tc>
            </w:tr>
            <w:tr w14:paraId="3920E30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84" w:type="pct"/>
                  <w:vMerge w:val="continue"/>
                  <w:noWrap w:val="0"/>
                  <w:vAlign w:val="center"/>
                </w:tcPr>
                <w:p w14:paraId="387AB3EB">
                  <w:pPr>
                    <w:jc w:val="center"/>
                    <w:rPr>
                      <w:rFonts w:hint="default" w:ascii="Times New Roman" w:hAnsi="Times New Roman" w:eastAsia="宋体" w:cs="Times New Roman"/>
                      <w:b/>
                      <w:bCs/>
                      <w:color w:val="auto"/>
                      <w:spacing w:val="0"/>
                      <w:kern w:val="24"/>
                      <w:szCs w:val="21"/>
                      <w:highlight w:val="none"/>
                      <w:u w:val="none" w:color="auto"/>
                    </w:rPr>
                  </w:pPr>
                </w:p>
              </w:tc>
              <w:tc>
                <w:tcPr>
                  <w:tcW w:w="1286" w:type="pct"/>
                  <w:shd w:val="clear" w:color="auto" w:fill="auto"/>
                  <w:noWrap w:val="0"/>
                  <w:vAlign w:val="center"/>
                </w:tcPr>
                <w:p w14:paraId="088F678A">
                  <w:pPr>
                    <w:jc w:val="center"/>
                    <w:rPr>
                      <w:rFonts w:hint="default" w:ascii="Times New Roman" w:hAnsi="Times New Roman" w:eastAsia="宋体" w:cs="Times New Roman"/>
                      <w:color w:val="auto"/>
                      <w:spacing w:val="0"/>
                      <w:kern w:val="24"/>
                      <w:sz w:val="21"/>
                      <w:szCs w:val="21"/>
                      <w:highlight w:val="none"/>
                      <w:u w:val="none" w:color="auto"/>
                      <w:lang w:val="en-US" w:eastAsia="zh-CN" w:bidi="ar-SA"/>
                    </w:rPr>
                  </w:pPr>
                  <w:r>
                    <w:rPr>
                      <w:rFonts w:hint="default" w:ascii="Times New Roman" w:hAnsi="Times New Roman" w:eastAsia="宋体" w:cs="Times New Roman"/>
                      <w:color w:val="auto"/>
                      <w:spacing w:val="0"/>
                      <w:kern w:val="24"/>
                      <w:szCs w:val="21"/>
                      <w:highlight w:val="none"/>
                      <w:u w:val="none" w:color="auto"/>
                    </w:rPr>
                    <w:t>厂界</w:t>
                  </w:r>
                </w:p>
              </w:tc>
              <w:tc>
                <w:tcPr>
                  <w:tcW w:w="2224" w:type="pct"/>
                  <w:shd w:val="clear" w:color="auto" w:fill="auto"/>
                  <w:noWrap w:val="0"/>
                  <w:vAlign w:val="center"/>
                </w:tcPr>
                <w:p w14:paraId="06C70FC5">
                  <w:pPr>
                    <w:jc w:val="center"/>
                    <w:rPr>
                      <w:rFonts w:hint="default" w:ascii="Times New Roman" w:hAnsi="Times New Roman" w:eastAsia="宋体" w:cs="Times New Roman"/>
                      <w:color w:val="auto"/>
                      <w:spacing w:val="0"/>
                      <w:kern w:val="24"/>
                      <w:sz w:val="21"/>
                      <w:szCs w:val="21"/>
                      <w:highlight w:val="none"/>
                      <w:u w:val="none" w:color="auto"/>
                      <w:lang w:val="en-US" w:eastAsia="zh-CN" w:bidi="ar-SA"/>
                    </w:rPr>
                  </w:pPr>
                  <w:r>
                    <w:rPr>
                      <w:rFonts w:hint="default" w:ascii="Times New Roman" w:hAnsi="Times New Roman" w:eastAsia="宋体" w:cs="Times New Roman"/>
                      <w:color w:val="auto"/>
                      <w:spacing w:val="0"/>
                      <w:kern w:val="24"/>
                      <w:szCs w:val="21"/>
                      <w:highlight w:val="none"/>
                      <w:u w:val="none" w:color="auto"/>
                      <w:lang w:val="en-US" w:eastAsia="zh-CN"/>
                    </w:rPr>
                    <w:t>颗粒物、非甲烷总烃</w:t>
                  </w:r>
                </w:p>
              </w:tc>
              <w:tc>
                <w:tcPr>
                  <w:tcW w:w="904" w:type="pct"/>
                  <w:shd w:val="clear" w:color="auto" w:fill="auto"/>
                  <w:noWrap w:val="0"/>
                  <w:vAlign w:val="center"/>
                </w:tcPr>
                <w:p w14:paraId="3071B39B">
                  <w:pPr>
                    <w:jc w:val="center"/>
                    <w:rPr>
                      <w:rFonts w:hint="default" w:ascii="Times New Roman" w:hAnsi="Times New Roman" w:eastAsia="宋体" w:cs="Times New Roman"/>
                      <w:color w:val="auto"/>
                      <w:spacing w:val="0"/>
                      <w:kern w:val="24"/>
                      <w:sz w:val="21"/>
                      <w:szCs w:val="21"/>
                      <w:highlight w:val="none"/>
                      <w:u w:val="none" w:color="auto"/>
                      <w:lang w:val="en-US" w:eastAsia="zh-CN" w:bidi="ar-SA"/>
                    </w:rPr>
                  </w:pPr>
                  <w:r>
                    <w:rPr>
                      <w:rFonts w:hint="default" w:ascii="Times New Roman" w:hAnsi="Times New Roman" w:eastAsia="宋体" w:cs="Times New Roman"/>
                      <w:color w:val="auto"/>
                      <w:spacing w:val="0"/>
                      <w:kern w:val="24"/>
                      <w:szCs w:val="21"/>
                      <w:highlight w:val="none"/>
                      <w:u w:val="none" w:color="auto"/>
                    </w:rPr>
                    <w:t>1次/年</w:t>
                  </w:r>
                </w:p>
              </w:tc>
            </w:tr>
            <w:tr w14:paraId="228BA25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84" w:type="pct"/>
                  <w:vMerge w:val="continue"/>
                  <w:noWrap w:val="0"/>
                  <w:vAlign w:val="center"/>
                </w:tcPr>
                <w:p w14:paraId="495EC7E2">
                  <w:pPr>
                    <w:jc w:val="center"/>
                    <w:rPr>
                      <w:rFonts w:hint="default" w:ascii="Times New Roman" w:hAnsi="Times New Roman" w:eastAsia="宋体" w:cs="Times New Roman"/>
                      <w:b/>
                      <w:bCs/>
                      <w:color w:val="auto"/>
                      <w:spacing w:val="0"/>
                      <w:kern w:val="24"/>
                      <w:szCs w:val="21"/>
                      <w:highlight w:val="none"/>
                      <w:u w:val="none" w:color="auto"/>
                    </w:rPr>
                  </w:pPr>
                </w:p>
              </w:tc>
              <w:tc>
                <w:tcPr>
                  <w:tcW w:w="1286" w:type="pct"/>
                  <w:noWrap w:val="0"/>
                  <w:vAlign w:val="center"/>
                </w:tcPr>
                <w:p w14:paraId="7E18818C">
                  <w:pPr>
                    <w:jc w:val="center"/>
                    <w:rPr>
                      <w:rFonts w:hint="default" w:ascii="Times New Roman" w:hAnsi="Times New Roman" w:eastAsia="宋体" w:cs="Times New Roman"/>
                      <w:b/>
                      <w:bCs/>
                      <w:color w:val="auto"/>
                      <w:spacing w:val="0"/>
                      <w:kern w:val="24"/>
                      <w:szCs w:val="21"/>
                      <w:highlight w:val="none"/>
                      <w:u w:val="none" w:color="auto"/>
                    </w:rPr>
                  </w:pPr>
                  <w:r>
                    <w:rPr>
                      <w:rFonts w:hint="default" w:ascii="Times New Roman" w:hAnsi="Times New Roman" w:eastAsia="宋体" w:cs="Times New Roman"/>
                      <w:color w:val="auto"/>
                      <w:spacing w:val="0"/>
                      <w:kern w:val="24"/>
                      <w:szCs w:val="21"/>
                      <w:highlight w:val="none"/>
                      <w:u w:val="none" w:color="auto"/>
                      <w:lang w:val="en-US" w:eastAsia="zh-CN"/>
                    </w:rPr>
                    <w:t>厂区内厂房外</w:t>
                  </w:r>
                </w:p>
              </w:tc>
              <w:tc>
                <w:tcPr>
                  <w:tcW w:w="2224" w:type="pct"/>
                  <w:noWrap w:val="0"/>
                  <w:vAlign w:val="center"/>
                </w:tcPr>
                <w:p w14:paraId="5902B8F3">
                  <w:pPr>
                    <w:jc w:val="center"/>
                    <w:rPr>
                      <w:rFonts w:hint="default" w:ascii="Times New Roman" w:hAnsi="Times New Roman" w:eastAsia="宋体" w:cs="Times New Roman"/>
                      <w:b/>
                      <w:bCs/>
                      <w:color w:val="auto"/>
                      <w:spacing w:val="0"/>
                      <w:kern w:val="24"/>
                      <w:szCs w:val="21"/>
                      <w:highlight w:val="none"/>
                      <w:u w:val="none" w:color="auto"/>
                    </w:rPr>
                  </w:pPr>
                  <w:r>
                    <w:rPr>
                      <w:rFonts w:hint="default" w:ascii="Times New Roman" w:hAnsi="Times New Roman" w:eastAsia="宋体" w:cs="Times New Roman"/>
                      <w:color w:val="auto"/>
                      <w:spacing w:val="0"/>
                      <w:kern w:val="24"/>
                      <w:szCs w:val="21"/>
                      <w:highlight w:val="none"/>
                      <w:u w:val="none" w:color="auto"/>
                      <w:lang w:val="en-US" w:eastAsia="zh-CN"/>
                    </w:rPr>
                    <w:t>颗粒物、非甲烷总烃</w:t>
                  </w:r>
                </w:p>
              </w:tc>
              <w:tc>
                <w:tcPr>
                  <w:tcW w:w="904" w:type="pct"/>
                  <w:noWrap w:val="0"/>
                  <w:vAlign w:val="center"/>
                </w:tcPr>
                <w:p w14:paraId="723C5230">
                  <w:pPr>
                    <w:jc w:val="center"/>
                    <w:rPr>
                      <w:rFonts w:hint="default" w:ascii="Times New Roman" w:hAnsi="Times New Roman" w:eastAsia="宋体" w:cs="Times New Roman"/>
                      <w:b/>
                      <w:bCs/>
                      <w:color w:val="auto"/>
                      <w:spacing w:val="0"/>
                      <w:kern w:val="24"/>
                      <w:szCs w:val="21"/>
                      <w:highlight w:val="none"/>
                      <w:u w:val="none" w:color="auto"/>
                    </w:rPr>
                  </w:pPr>
                  <w:r>
                    <w:rPr>
                      <w:rFonts w:hint="default" w:ascii="Times New Roman" w:hAnsi="Times New Roman" w:eastAsia="宋体" w:cs="Times New Roman"/>
                      <w:color w:val="auto"/>
                      <w:spacing w:val="0"/>
                      <w:kern w:val="24"/>
                      <w:szCs w:val="21"/>
                      <w:highlight w:val="none"/>
                      <w:u w:val="none" w:color="auto"/>
                    </w:rPr>
                    <w:t>1次/年</w:t>
                  </w:r>
                </w:p>
              </w:tc>
            </w:tr>
            <w:tr w14:paraId="0074030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84" w:type="pct"/>
                  <w:vMerge w:val="restart"/>
                  <w:noWrap w:val="0"/>
                  <w:vAlign w:val="center"/>
                </w:tcPr>
                <w:p w14:paraId="537AA77A">
                  <w:pPr>
                    <w:jc w:val="center"/>
                    <w:rPr>
                      <w:rFonts w:hint="default" w:ascii="Times New Roman" w:hAnsi="Times New Roman" w:eastAsia="宋体" w:cs="Times New Roman"/>
                      <w:b/>
                      <w:bCs/>
                      <w:color w:val="auto"/>
                      <w:spacing w:val="0"/>
                      <w:kern w:val="24"/>
                      <w:szCs w:val="21"/>
                      <w:highlight w:val="none"/>
                      <w:u w:val="none" w:color="auto"/>
                    </w:rPr>
                  </w:pPr>
                  <w:r>
                    <w:rPr>
                      <w:rFonts w:hint="default" w:ascii="Times New Roman" w:hAnsi="Times New Roman" w:eastAsia="宋体" w:cs="Times New Roman"/>
                      <w:b/>
                      <w:bCs/>
                      <w:color w:val="auto"/>
                      <w:spacing w:val="0"/>
                      <w:kern w:val="24"/>
                      <w:szCs w:val="21"/>
                      <w:highlight w:val="none"/>
                      <w:u w:val="none" w:color="auto"/>
                    </w:rPr>
                    <w:t>临港高新产业园区</w:t>
                  </w:r>
                </w:p>
              </w:tc>
              <w:tc>
                <w:tcPr>
                  <w:tcW w:w="1286" w:type="pct"/>
                  <w:noWrap w:val="0"/>
                  <w:vAlign w:val="center"/>
                </w:tcPr>
                <w:p w14:paraId="1F1EE8E9">
                  <w:pPr>
                    <w:jc w:val="center"/>
                    <w:rPr>
                      <w:rFonts w:hint="default" w:ascii="Times New Roman" w:hAnsi="Times New Roman" w:eastAsia="宋体" w:cs="Times New Roman"/>
                      <w:color w:val="auto"/>
                      <w:spacing w:val="0"/>
                      <w:kern w:val="24"/>
                      <w:szCs w:val="21"/>
                      <w:highlight w:val="none"/>
                      <w:u w:val="none" w:color="auto"/>
                      <w:lang w:val="en-US" w:eastAsia="zh-CN"/>
                    </w:rPr>
                  </w:pPr>
                  <w:r>
                    <w:rPr>
                      <w:rFonts w:hint="default" w:ascii="Times New Roman" w:hAnsi="Times New Roman" w:eastAsia="宋体" w:cs="Times New Roman"/>
                      <w:color w:val="auto"/>
                      <w:spacing w:val="0"/>
                      <w:kern w:val="24"/>
                      <w:szCs w:val="21"/>
                      <w:highlight w:val="none"/>
                      <w:u w:val="none" w:color="auto"/>
                      <w:lang w:val="en-US" w:eastAsia="zh-CN"/>
                    </w:rPr>
                    <w:t>DA012</w:t>
                  </w:r>
                </w:p>
              </w:tc>
              <w:tc>
                <w:tcPr>
                  <w:tcW w:w="2224" w:type="pct"/>
                  <w:noWrap w:val="0"/>
                  <w:vAlign w:val="center"/>
                </w:tcPr>
                <w:p w14:paraId="674798FD">
                  <w:pPr>
                    <w:jc w:val="center"/>
                    <w:rPr>
                      <w:rFonts w:hint="default" w:ascii="Times New Roman" w:hAnsi="Times New Roman" w:eastAsia="宋体" w:cs="Times New Roman"/>
                      <w:color w:val="auto"/>
                      <w:spacing w:val="0"/>
                      <w:kern w:val="24"/>
                      <w:szCs w:val="21"/>
                      <w:highlight w:val="none"/>
                      <w:u w:val="none" w:color="auto"/>
                      <w:lang w:val="en-US" w:eastAsia="zh-CN"/>
                    </w:rPr>
                  </w:pPr>
                  <w:r>
                    <w:rPr>
                      <w:rFonts w:hint="default" w:ascii="Times New Roman" w:hAnsi="Times New Roman" w:eastAsia="宋体" w:cs="Times New Roman"/>
                      <w:color w:val="auto"/>
                      <w:spacing w:val="0"/>
                      <w:kern w:val="24"/>
                      <w:szCs w:val="21"/>
                      <w:highlight w:val="none"/>
                      <w:u w:val="none" w:color="auto"/>
                      <w:lang w:val="en-US" w:eastAsia="zh-CN"/>
                    </w:rPr>
                    <w:t>非甲烷总烃</w:t>
                  </w:r>
                </w:p>
              </w:tc>
              <w:tc>
                <w:tcPr>
                  <w:tcW w:w="904" w:type="pct"/>
                  <w:noWrap w:val="0"/>
                  <w:vAlign w:val="center"/>
                </w:tcPr>
                <w:p w14:paraId="47E995AD">
                  <w:pPr>
                    <w:jc w:val="center"/>
                    <w:rPr>
                      <w:rFonts w:hint="default" w:ascii="Times New Roman" w:hAnsi="Times New Roman" w:eastAsia="宋体" w:cs="Times New Roman"/>
                      <w:color w:val="auto"/>
                      <w:spacing w:val="0"/>
                      <w:kern w:val="24"/>
                      <w:szCs w:val="21"/>
                      <w:highlight w:val="none"/>
                      <w:u w:val="none" w:color="auto"/>
                    </w:rPr>
                  </w:pPr>
                  <w:r>
                    <w:rPr>
                      <w:rFonts w:hint="default" w:ascii="Times New Roman" w:hAnsi="Times New Roman" w:eastAsia="宋体" w:cs="Times New Roman"/>
                      <w:color w:val="auto"/>
                      <w:spacing w:val="0"/>
                      <w:kern w:val="24"/>
                      <w:szCs w:val="21"/>
                      <w:highlight w:val="none"/>
                      <w:u w:val="none" w:color="auto"/>
                    </w:rPr>
                    <w:t>1次/年</w:t>
                  </w:r>
                </w:p>
              </w:tc>
            </w:tr>
            <w:tr w14:paraId="7E7BB3E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84" w:type="pct"/>
                  <w:vMerge w:val="continue"/>
                  <w:noWrap w:val="0"/>
                  <w:vAlign w:val="center"/>
                </w:tcPr>
                <w:p w14:paraId="03D6E0CF">
                  <w:pPr>
                    <w:jc w:val="center"/>
                    <w:rPr>
                      <w:rFonts w:hint="default" w:ascii="Times New Roman" w:hAnsi="Times New Roman" w:eastAsia="宋体" w:cs="Times New Roman"/>
                      <w:color w:val="auto"/>
                      <w:spacing w:val="0"/>
                      <w:kern w:val="24"/>
                      <w:szCs w:val="21"/>
                      <w:highlight w:val="none"/>
                      <w:u w:val="none" w:color="auto"/>
                    </w:rPr>
                  </w:pPr>
                </w:p>
              </w:tc>
              <w:tc>
                <w:tcPr>
                  <w:tcW w:w="1286" w:type="pct"/>
                  <w:noWrap w:val="0"/>
                  <w:vAlign w:val="center"/>
                </w:tcPr>
                <w:p w14:paraId="527CDE65">
                  <w:pPr>
                    <w:jc w:val="center"/>
                    <w:rPr>
                      <w:rFonts w:hint="default" w:ascii="Times New Roman" w:hAnsi="Times New Roman" w:eastAsia="宋体" w:cs="Times New Roman"/>
                      <w:color w:val="auto"/>
                      <w:spacing w:val="0"/>
                      <w:kern w:val="24"/>
                      <w:szCs w:val="21"/>
                      <w:highlight w:val="none"/>
                      <w:u w:val="none" w:color="auto"/>
                      <w:lang w:val="en-US" w:eastAsia="zh-CN"/>
                    </w:rPr>
                  </w:pPr>
                  <w:r>
                    <w:rPr>
                      <w:rFonts w:hint="default" w:ascii="Times New Roman" w:hAnsi="Times New Roman" w:eastAsia="宋体" w:cs="Times New Roman"/>
                      <w:color w:val="auto"/>
                      <w:spacing w:val="0"/>
                      <w:kern w:val="24"/>
                      <w:szCs w:val="21"/>
                      <w:highlight w:val="none"/>
                      <w:u w:val="none" w:color="auto"/>
                    </w:rPr>
                    <w:t>厂界</w:t>
                  </w:r>
                </w:p>
              </w:tc>
              <w:tc>
                <w:tcPr>
                  <w:tcW w:w="2224" w:type="pct"/>
                  <w:noWrap w:val="0"/>
                  <w:vAlign w:val="center"/>
                </w:tcPr>
                <w:p w14:paraId="316839DD">
                  <w:pPr>
                    <w:jc w:val="center"/>
                    <w:rPr>
                      <w:rFonts w:hint="default" w:ascii="Times New Roman" w:hAnsi="Times New Roman" w:eastAsia="宋体" w:cs="Times New Roman"/>
                      <w:color w:val="auto"/>
                      <w:spacing w:val="0"/>
                      <w:kern w:val="24"/>
                      <w:szCs w:val="21"/>
                      <w:highlight w:val="none"/>
                      <w:u w:val="none" w:color="auto"/>
                      <w:lang w:val="en-US" w:eastAsia="zh-CN"/>
                    </w:rPr>
                  </w:pPr>
                  <w:r>
                    <w:rPr>
                      <w:rFonts w:hint="default" w:ascii="Times New Roman" w:hAnsi="Times New Roman" w:eastAsia="宋体" w:cs="Times New Roman"/>
                      <w:color w:val="auto"/>
                      <w:spacing w:val="0"/>
                      <w:kern w:val="24"/>
                      <w:szCs w:val="21"/>
                      <w:highlight w:val="none"/>
                      <w:u w:val="none" w:color="auto"/>
                      <w:lang w:val="en-US" w:eastAsia="zh-CN"/>
                    </w:rPr>
                    <w:t>颗粒物、非甲烷总烃</w:t>
                  </w:r>
                </w:p>
              </w:tc>
              <w:tc>
                <w:tcPr>
                  <w:tcW w:w="904" w:type="pct"/>
                  <w:noWrap w:val="0"/>
                  <w:vAlign w:val="center"/>
                </w:tcPr>
                <w:p w14:paraId="4A42024B">
                  <w:pPr>
                    <w:jc w:val="center"/>
                    <w:rPr>
                      <w:rFonts w:hint="default" w:ascii="Times New Roman" w:hAnsi="Times New Roman" w:eastAsia="宋体" w:cs="Times New Roman"/>
                      <w:color w:val="auto"/>
                      <w:spacing w:val="0"/>
                      <w:kern w:val="24"/>
                      <w:szCs w:val="21"/>
                      <w:highlight w:val="none"/>
                      <w:u w:val="none" w:color="auto"/>
                    </w:rPr>
                  </w:pPr>
                  <w:r>
                    <w:rPr>
                      <w:rFonts w:hint="default" w:ascii="Times New Roman" w:hAnsi="Times New Roman" w:eastAsia="宋体" w:cs="Times New Roman"/>
                      <w:color w:val="auto"/>
                      <w:spacing w:val="0"/>
                      <w:kern w:val="24"/>
                      <w:szCs w:val="21"/>
                      <w:highlight w:val="none"/>
                      <w:u w:val="none" w:color="auto"/>
                    </w:rPr>
                    <w:t>1次/年</w:t>
                  </w:r>
                </w:p>
              </w:tc>
            </w:tr>
            <w:tr w14:paraId="0375F00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84" w:type="pct"/>
                  <w:vMerge w:val="continue"/>
                  <w:noWrap w:val="0"/>
                  <w:vAlign w:val="center"/>
                </w:tcPr>
                <w:p w14:paraId="482FA069">
                  <w:pPr>
                    <w:jc w:val="center"/>
                    <w:rPr>
                      <w:rFonts w:hint="default" w:ascii="Times New Roman" w:hAnsi="Times New Roman" w:eastAsia="宋体" w:cs="Times New Roman"/>
                      <w:color w:val="auto"/>
                      <w:spacing w:val="0"/>
                      <w:kern w:val="24"/>
                      <w:szCs w:val="21"/>
                      <w:highlight w:val="none"/>
                      <w:u w:val="none" w:color="auto"/>
                      <w:lang w:val="en-US" w:eastAsia="zh-CN"/>
                    </w:rPr>
                  </w:pPr>
                </w:p>
              </w:tc>
              <w:tc>
                <w:tcPr>
                  <w:tcW w:w="1286" w:type="pct"/>
                  <w:noWrap w:val="0"/>
                  <w:vAlign w:val="center"/>
                </w:tcPr>
                <w:p w14:paraId="1C1E4E43">
                  <w:pPr>
                    <w:jc w:val="center"/>
                    <w:rPr>
                      <w:rFonts w:hint="default" w:ascii="Times New Roman" w:hAnsi="Times New Roman" w:eastAsia="宋体" w:cs="Times New Roman"/>
                      <w:color w:val="auto"/>
                      <w:spacing w:val="0"/>
                      <w:kern w:val="24"/>
                      <w:szCs w:val="21"/>
                      <w:highlight w:val="none"/>
                      <w:u w:val="none" w:color="auto"/>
                      <w:lang w:val="en-US" w:eastAsia="zh-CN"/>
                    </w:rPr>
                  </w:pPr>
                  <w:r>
                    <w:rPr>
                      <w:rFonts w:hint="default" w:ascii="Times New Roman" w:hAnsi="Times New Roman" w:eastAsia="宋体" w:cs="Times New Roman"/>
                      <w:color w:val="auto"/>
                      <w:spacing w:val="0"/>
                      <w:kern w:val="24"/>
                      <w:szCs w:val="21"/>
                      <w:highlight w:val="none"/>
                      <w:u w:val="none" w:color="auto"/>
                      <w:lang w:val="en-US" w:eastAsia="zh-CN"/>
                    </w:rPr>
                    <w:t>厂区内厂房外</w:t>
                  </w:r>
                </w:p>
              </w:tc>
              <w:tc>
                <w:tcPr>
                  <w:tcW w:w="2224" w:type="pct"/>
                  <w:noWrap w:val="0"/>
                  <w:vAlign w:val="center"/>
                </w:tcPr>
                <w:p w14:paraId="1AC7E6EF">
                  <w:pPr>
                    <w:jc w:val="center"/>
                    <w:rPr>
                      <w:rFonts w:hint="default" w:ascii="Times New Roman" w:hAnsi="Times New Roman" w:eastAsia="宋体" w:cs="Times New Roman"/>
                      <w:color w:val="auto"/>
                      <w:spacing w:val="0"/>
                      <w:kern w:val="24"/>
                      <w:szCs w:val="21"/>
                      <w:highlight w:val="none"/>
                      <w:u w:val="none" w:color="auto"/>
                      <w:lang w:val="en-US" w:eastAsia="zh-CN"/>
                    </w:rPr>
                  </w:pPr>
                  <w:r>
                    <w:rPr>
                      <w:rFonts w:hint="default" w:ascii="Times New Roman" w:hAnsi="Times New Roman" w:eastAsia="宋体" w:cs="Times New Roman"/>
                      <w:color w:val="auto"/>
                      <w:spacing w:val="0"/>
                      <w:kern w:val="24"/>
                      <w:szCs w:val="21"/>
                      <w:highlight w:val="none"/>
                      <w:u w:val="none" w:color="auto"/>
                      <w:lang w:val="en-US" w:eastAsia="zh-CN"/>
                    </w:rPr>
                    <w:t>非甲烷总烃</w:t>
                  </w:r>
                </w:p>
              </w:tc>
              <w:tc>
                <w:tcPr>
                  <w:tcW w:w="904" w:type="pct"/>
                  <w:noWrap w:val="0"/>
                  <w:vAlign w:val="center"/>
                </w:tcPr>
                <w:p w14:paraId="6491F589">
                  <w:pPr>
                    <w:jc w:val="center"/>
                    <w:rPr>
                      <w:rFonts w:hint="default" w:ascii="Times New Roman" w:hAnsi="Times New Roman" w:eastAsia="宋体" w:cs="Times New Roman"/>
                      <w:color w:val="auto"/>
                      <w:spacing w:val="0"/>
                      <w:kern w:val="24"/>
                      <w:szCs w:val="21"/>
                      <w:highlight w:val="none"/>
                      <w:u w:val="none" w:color="auto"/>
                    </w:rPr>
                  </w:pPr>
                  <w:r>
                    <w:rPr>
                      <w:rFonts w:hint="default" w:ascii="Times New Roman" w:hAnsi="Times New Roman" w:eastAsia="宋体" w:cs="Times New Roman"/>
                      <w:color w:val="auto"/>
                      <w:spacing w:val="0"/>
                      <w:kern w:val="24"/>
                      <w:szCs w:val="21"/>
                      <w:highlight w:val="none"/>
                      <w:u w:val="none" w:color="auto"/>
                    </w:rPr>
                    <w:t>1次/年</w:t>
                  </w:r>
                </w:p>
              </w:tc>
            </w:tr>
          </w:tbl>
          <w:p w14:paraId="45666477">
            <w:pPr>
              <w:spacing w:line="360" w:lineRule="auto"/>
              <w:rPr>
                <w:rFonts w:hint="default" w:ascii="Times New Roman" w:hAnsi="Times New Roman" w:eastAsia="宋体" w:cs="Times New Roman"/>
                <w:b/>
                <w:bCs/>
                <w:color w:val="auto"/>
                <w:spacing w:val="0"/>
                <w:sz w:val="24"/>
                <w:u w:val="none" w:color="auto"/>
              </w:rPr>
            </w:pPr>
            <w:r>
              <w:rPr>
                <w:rFonts w:hint="default" w:ascii="Times New Roman" w:hAnsi="Times New Roman" w:eastAsia="宋体" w:cs="Times New Roman"/>
                <w:b/>
                <w:bCs/>
                <w:color w:val="auto"/>
                <w:spacing w:val="0"/>
                <w:sz w:val="24"/>
                <w:u w:val="none" w:color="auto"/>
              </w:rPr>
              <w:t>二、废水</w:t>
            </w:r>
          </w:p>
          <w:p w14:paraId="32F5B18B">
            <w:pPr>
              <w:spacing w:line="360" w:lineRule="auto"/>
              <w:ind w:firstLine="482" w:firstLineChars="200"/>
              <w:rPr>
                <w:rFonts w:hint="default" w:ascii="Times New Roman" w:hAnsi="Times New Roman" w:eastAsia="宋体" w:cs="Times New Roman"/>
                <w:b/>
                <w:bCs/>
                <w:color w:val="auto"/>
                <w:spacing w:val="0"/>
                <w:sz w:val="24"/>
                <w:u w:val="none" w:color="auto"/>
                <w:lang w:val="en-US" w:eastAsia="zh-CN"/>
              </w:rPr>
            </w:pPr>
            <w:r>
              <w:rPr>
                <w:rFonts w:hint="default" w:ascii="Times New Roman" w:hAnsi="Times New Roman" w:eastAsia="宋体" w:cs="Times New Roman"/>
                <w:b/>
                <w:bCs/>
                <w:color w:val="auto"/>
                <w:spacing w:val="0"/>
                <w:sz w:val="24"/>
                <w:u w:val="none" w:color="auto"/>
                <w:lang w:val="en-US" w:eastAsia="zh-CN"/>
              </w:rPr>
              <w:t>(一)废水源强及收集、处理措施</w:t>
            </w:r>
          </w:p>
          <w:p w14:paraId="6BDA1427">
            <w:pPr>
              <w:spacing w:line="360" w:lineRule="auto"/>
              <w:ind w:firstLine="482" w:firstLineChars="200"/>
              <w:rPr>
                <w:rFonts w:hint="default" w:ascii="Times New Roman" w:hAnsi="Times New Roman" w:eastAsia="宋体" w:cs="Times New Roman"/>
                <w:b/>
                <w:bCs/>
                <w:color w:val="auto"/>
                <w:spacing w:val="0"/>
                <w:sz w:val="24"/>
                <w:u w:val="none" w:color="auto"/>
                <w:lang w:val="en-US" w:eastAsia="zh-CN"/>
              </w:rPr>
            </w:pPr>
            <w:r>
              <w:rPr>
                <w:rFonts w:hint="default" w:ascii="Times New Roman" w:hAnsi="Times New Roman" w:eastAsia="宋体" w:cs="Times New Roman"/>
                <w:b/>
                <w:bCs/>
                <w:color w:val="auto"/>
                <w:spacing w:val="0"/>
                <w:sz w:val="24"/>
                <w:u w:val="none" w:color="auto"/>
                <w:lang w:val="en-US" w:eastAsia="zh-CN"/>
              </w:rPr>
              <w:t>1、中创空天厂区</w:t>
            </w:r>
          </w:p>
          <w:p w14:paraId="7177DA2B">
            <w:pPr>
              <w:spacing w:line="360" w:lineRule="auto"/>
              <w:ind w:firstLine="482" w:firstLineChars="200"/>
              <w:rPr>
                <w:rFonts w:hint="default" w:ascii="Times New Roman" w:hAnsi="Times New Roman" w:eastAsia="宋体" w:cs="Times New Roman"/>
                <w:b/>
                <w:bCs/>
                <w:color w:val="auto"/>
                <w:spacing w:val="0"/>
                <w:sz w:val="24"/>
                <w:u w:val="none" w:color="auto"/>
              </w:rPr>
            </w:pPr>
            <w:r>
              <w:rPr>
                <w:rFonts w:hint="default" w:ascii="Times New Roman" w:hAnsi="Times New Roman" w:eastAsia="宋体" w:cs="Times New Roman"/>
                <w:b/>
                <w:bCs/>
                <w:color w:val="auto"/>
                <w:spacing w:val="0"/>
                <w:sz w:val="24"/>
                <w:u w:val="none" w:color="auto"/>
                <w:lang w:val="en-US" w:eastAsia="zh-CN"/>
              </w:rPr>
              <w:t>（1）</w:t>
            </w:r>
            <w:r>
              <w:rPr>
                <w:rFonts w:hint="default" w:ascii="Times New Roman" w:hAnsi="Times New Roman" w:eastAsia="宋体" w:cs="Times New Roman"/>
                <w:b/>
                <w:bCs/>
                <w:color w:val="auto"/>
                <w:spacing w:val="0"/>
                <w:sz w:val="24"/>
                <w:u w:val="none" w:color="auto"/>
              </w:rPr>
              <w:t>生活污水</w:t>
            </w:r>
          </w:p>
          <w:p w14:paraId="07135784">
            <w:pPr>
              <w:wordWrap/>
              <w:topLinePunct w:val="0"/>
              <w:bidi w:val="0"/>
              <w:adjustRightInd/>
              <w:snapToGrid/>
              <w:spacing w:line="360" w:lineRule="auto"/>
              <w:ind w:firstLine="480" w:firstLineChars="200"/>
              <w:jc w:val="left"/>
              <w:rPr>
                <w:rFonts w:hint="default" w:ascii="Times New Roman" w:hAnsi="Times New Roman" w:eastAsia="宋体" w:cs="Times New Roman"/>
                <w:color w:val="auto"/>
                <w:spacing w:val="0"/>
                <w:sz w:val="24"/>
                <w:szCs w:val="32"/>
                <w:highlight w:val="none"/>
                <w:u w:val="none" w:color="auto"/>
              </w:rPr>
            </w:pPr>
            <w:r>
              <w:rPr>
                <w:rFonts w:hint="default" w:ascii="Times New Roman" w:hAnsi="Times New Roman" w:eastAsia="宋体" w:cs="Times New Roman"/>
                <w:bCs/>
                <w:color w:val="auto"/>
                <w:spacing w:val="0"/>
                <w:sz w:val="24"/>
                <w:szCs w:val="24"/>
                <w:highlight w:val="none"/>
                <w:u w:val="none" w:color="auto"/>
                <w:lang w:val="zh-CN"/>
              </w:rPr>
              <w:t>根据水平衡分析可知，项目中创空天厂区预计</w:t>
            </w:r>
            <w:r>
              <w:rPr>
                <w:rFonts w:hint="default" w:ascii="Times New Roman" w:hAnsi="Times New Roman" w:eastAsia="宋体" w:cs="Times New Roman"/>
                <w:bCs/>
                <w:color w:val="auto"/>
                <w:spacing w:val="0"/>
                <w:sz w:val="24"/>
                <w:szCs w:val="24"/>
                <w:highlight w:val="none"/>
                <w:u w:val="none" w:color="auto"/>
                <w:lang w:val="en-US" w:eastAsia="zh-CN"/>
              </w:rPr>
              <w:t>新增</w:t>
            </w:r>
            <w:r>
              <w:rPr>
                <w:rFonts w:hint="default" w:ascii="Times New Roman" w:hAnsi="Times New Roman" w:eastAsia="宋体" w:cs="Times New Roman"/>
                <w:color w:val="auto"/>
                <w:spacing w:val="0"/>
                <w:sz w:val="24"/>
                <w:szCs w:val="24"/>
                <w:highlight w:val="none"/>
                <w:u w:val="none" w:color="auto"/>
                <w:lang w:val="zh-CN"/>
              </w:rPr>
              <w:t>生活污水约为</w:t>
            </w:r>
            <w:r>
              <w:rPr>
                <w:rFonts w:hint="default" w:ascii="Times New Roman" w:hAnsi="Times New Roman" w:eastAsia="宋体" w:cs="Times New Roman"/>
                <w:color w:val="auto"/>
                <w:sz w:val="24"/>
                <w:szCs w:val="24"/>
                <w:u w:val="none" w:color="auto"/>
                <w:lang w:val="en-US" w:eastAsia="zh-CN"/>
              </w:rPr>
              <w:t>2613.6</w:t>
            </w:r>
            <w:r>
              <w:rPr>
                <w:rFonts w:hint="default" w:ascii="Times New Roman" w:hAnsi="Times New Roman" w:eastAsia="宋体" w:cs="Times New Roman"/>
                <w:color w:val="auto"/>
                <w:spacing w:val="0"/>
                <w:sz w:val="24"/>
                <w:szCs w:val="24"/>
                <w:highlight w:val="none"/>
                <w:u w:val="none" w:color="auto"/>
                <w:lang w:val="zh-CN"/>
              </w:rPr>
              <w:t>m</w:t>
            </w:r>
            <w:r>
              <w:rPr>
                <w:rFonts w:hint="default" w:ascii="Times New Roman" w:hAnsi="Times New Roman" w:eastAsia="宋体" w:cs="Times New Roman"/>
                <w:color w:val="auto"/>
                <w:spacing w:val="0"/>
                <w:sz w:val="24"/>
                <w:szCs w:val="24"/>
                <w:highlight w:val="none"/>
                <w:u w:val="none" w:color="auto"/>
                <w:vertAlign w:val="superscript"/>
                <w:lang w:val="zh-CN"/>
              </w:rPr>
              <w:t>3</w:t>
            </w:r>
            <w:r>
              <w:rPr>
                <w:rFonts w:hint="default" w:ascii="Times New Roman" w:hAnsi="Times New Roman" w:eastAsia="宋体" w:cs="Times New Roman"/>
                <w:color w:val="auto"/>
                <w:spacing w:val="0"/>
                <w:sz w:val="24"/>
                <w:szCs w:val="24"/>
                <w:highlight w:val="none"/>
                <w:u w:val="none" w:color="auto"/>
                <w:lang w:val="zh-CN"/>
              </w:rPr>
              <w:t>/a</w:t>
            </w:r>
            <w:r>
              <w:rPr>
                <w:rFonts w:hint="default" w:ascii="Times New Roman" w:hAnsi="Times New Roman" w:eastAsia="宋体" w:cs="Times New Roman"/>
                <w:b/>
                <w:bCs/>
                <w:color w:val="auto"/>
                <w:spacing w:val="0"/>
                <w:kern w:val="0"/>
                <w:sz w:val="24"/>
                <w:szCs w:val="24"/>
                <w:highlight w:val="none"/>
                <w:u w:val="none" w:color="auto"/>
                <w:lang w:bidi="ar"/>
              </w:rPr>
              <w:t>。</w:t>
            </w:r>
            <w:r>
              <w:rPr>
                <w:rFonts w:hint="default" w:ascii="Times New Roman" w:hAnsi="Times New Roman" w:eastAsia="宋体" w:cs="Times New Roman"/>
                <w:color w:val="auto"/>
                <w:spacing w:val="0"/>
                <w:sz w:val="24"/>
                <w:szCs w:val="24"/>
                <w:highlight w:val="none"/>
                <w:u w:val="none" w:color="auto"/>
                <w:lang w:eastAsia="zh-CN"/>
              </w:rPr>
              <w:t>根据</w:t>
            </w:r>
            <w:r>
              <w:rPr>
                <w:rFonts w:hint="default" w:ascii="Times New Roman" w:hAnsi="Times New Roman" w:eastAsia="宋体" w:cs="Times New Roman"/>
                <w:color w:val="auto"/>
                <w:spacing w:val="0"/>
                <w:sz w:val="24"/>
                <w:szCs w:val="24"/>
                <w:highlight w:val="none"/>
                <w:u w:val="none" w:color="auto"/>
              </w:rPr>
              <w:t>《排放源统计调查产排污核算方法和系数手册》</w:t>
            </w:r>
            <w:r>
              <w:rPr>
                <w:rFonts w:hint="default" w:ascii="Times New Roman" w:hAnsi="Times New Roman" w:eastAsia="宋体" w:cs="Times New Roman"/>
                <w:color w:val="auto"/>
                <w:spacing w:val="0"/>
                <w:sz w:val="24"/>
                <w:szCs w:val="24"/>
                <w:highlight w:val="none"/>
                <w:u w:val="none" w:color="auto"/>
                <w:lang w:val="en-US" w:eastAsia="zh-CN"/>
              </w:rPr>
              <w:t>中的《</w:t>
            </w:r>
            <w:r>
              <w:rPr>
                <w:rFonts w:hint="default" w:ascii="Times New Roman" w:hAnsi="Times New Roman" w:eastAsia="宋体" w:cs="Times New Roman"/>
                <w:color w:val="auto"/>
                <w:spacing w:val="0"/>
                <w:sz w:val="24"/>
                <w:szCs w:val="24"/>
                <w:highlight w:val="none"/>
                <w:u w:val="none" w:color="auto"/>
                <w:lang w:eastAsia="zh-CN"/>
              </w:rPr>
              <w:t>生活污染源产排污系数手册</w:t>
            </w:r>
            <w:r>
              <w:rPr>
                <w:rFonts w:hint="default" w:ascii="Times New Roman" w:hAnsi="Times New Roman" w:eastAsia="宋体" w:cs="Times New Roman"/>
                <w:color w:val="auto"/>
                <w:spacing w:val="0"/>
                <w:sz w:val="24"/>
                <w:szCs w:val="24"/>
                <w:highlight w:val="none"/>
                <w:u w:val="none" w:color="auto"/>
                <w:lang w:val="en-US" w:eastAsia="zh-CN"/>
              </w:rPr>
              <w:t>》中表1-1五区城镇生活污水污染物产污校核系数的产污系数平均值，其中SS、BOD</w:t>
            </w:r>
            <w:r>
              <w:rPr>
                <w:rFonts w:hint="default" w:ascii="Times New Roman" w:hAnsi="Times New Roman" w:eastAsia="宋体" w:cs="Times New Roman"/>
                <w:color w:val="auto"/>
                <w:spacing w:val="0"/>
                <w:sz w:val="24"/>
                <w:szCs w:val="24"/>
                <w:highlight w:val="none"/>
                <w:u w:val="none" w:color="auto"/>
                <w:vertAlign w:val="subscript"/>
              </w:rPr>
              <w:t>5</w:t>
            </w:r>
            <w:r>
              <w:rPr>
                <w:rFonts w:hint="default" w:ascii="Times New Roman" w:hAnsi="Times New Roman" w:eastAsia="宋体" w:cs="Times New Roman"/>
                <w:color w:val="auto"/>
                <w:spacing w:val="0"/>
                <w:sz w:val="24"/>
                <w:szCs w:val="24"/>
                <w:highlight w:val="none"/>
                <w:u w:val="none" w:color="auto"/>
                <w:lang w:val="en-US" w:eastAsia="zh-CN"/>
              </w:rPr>
              <w:t>和动植物油参考类似生活污水监测值</w:t>
            </w:r>
            <w:r>
              <w:rPr>
                <w:rFonts w:hint="default" w:ascii="Times New Roman" w:hAnsi="Times New Roman" w:eastAsia="宋体" w:cs="Times New Roman"/>
                <w:color w:val="auto"/>
                <w:spacing w:val="0"/>
                <w:sz w:val="24"/>
                <w:szCs w:val="24"/>
                <w:highlight w:val="none"/>
                <w:u w:val="none" w:color="auto"/>
                <w:lang w:eastAsia="zh-CN"/>
              </w:rPr>
              <w:t>，</w:t>
            </w:r>
            <w:r>
              <w:rPr>
                <w:rFonts w:hint="default" w:ascii="Times New Roman" w:hAnsi="Times New Roman" w:eastAsia="宋体" w:cs="Times New Roman"/>
                <w:color w:val="auto"/>
                <w:spacing w:val="0"/>
                <w:sz w:val="24"/>
                <w:szCs w:val="24"/>
                <w:highlight w:val="none"/>
                <w:u w:val="none" w:color="auto"/>
              </w:rPr>
              <w:t>COD</w:t>
            </w:r>
            <w:r>
              <w:rPr>
                <w:rFonts w:hint="default" w:ascii="Times New Roman" w:hAnsi="Times New Roman" w:eastAsia="宋体" w:cs="Times New Roman"/>
                <w:color w:val="auto"/>
                <w:spacing w:val="0"/>
                <w:sz w:val="24"/>
                <w:szCs w:val="24"/>
                <w:highlight w:val="none"/>
                <w:u w:val="none" w:color="auto"/>
                <w:vertAlign w:val="subscript"/>
              </w:rPr>
              <w:t>Cr</w:t>
            </w:r>
            <w:r>
              <w:rPr>
                <w:rFonts w:hint="default" w:ascii="Times New Roman" w:hAnsi="Times New Roman" w:eastAsia="宋体" w:cs="Times New Roman"/>
                <w:color w:val="auto"/>
                <w:spacing w:val="0"/>
                <w:sz w:val="24"/>
                <w:szCs w:val="24"/>
                <w:highlight w:val="none"/>
                <w:u w:val="none" w:color="auto"/>
              </w:rPr>
              <w:t>、BOD</w:t>
            </w:r>
            <w:r>
              <w:rPr>
                <w:rFonts w:hint="default" w:ascii="Times New Roman" w:hAnsi="Times New Roman" w:eastAsia="宋体" w:cs="Times New Roman"/>
                <w:color w:val="auto"/>
                <w:spacing w:val="0"/>
                <w:sz w:val="24"/>
                <w:szCs w:val="24"/>
                <w:highlight w:val="none"/>
                <w:u w:val="none" w:color="auto"/>
                <w:vertAlign w:val="subscript"/>
              </w:rPr>
              <w:t>5</w:t>
            </w:r>
            <w:r>
              <w:rPr>
                <w:rFonts w:hint="default" w:ascii="Times New Roman" w:hAnsi="Times New Roman" w:eastAsia="宋体" w:cs="Times New Roman"/>
                <w:color w:val="auto"/>
                <w:spacing w:val="0"/>
                <w:sz w:val="24"/>
                <w:szCs w:val="24"/>
                <w:highlight w:val="none"/>
                <w:u w:val="none" w:color="auto"/>
              </w:rPr>
              <w:t>、NH</w:t>
            </w:r>
            <w:r>
              <w:rPr>
                <w:rFonts w:hint="default" w:ascii="Times New Roman" w:hAnsi="Times New Roman" w:eastAsia="宋体" w:cs="Times New Roman"/>
                <w:color w:val="auto"/>
                <w:spacing w:val="0"/>
                <w:sz w:val="24"/>
                <w:szCs w:val="24"/>
                <w:highlight w:val="none"/>
                <w:u w:val="none" w:color="auto"/>
                <w:vertAlign w:val="subscript"/>
              </w:rPr>
              <w:t>3</w:t>
            </w:r>
            <w:r>
              <w:rPr>
                <w:rFonts w:hint="default" w:ascii="Times New Roman" w:hAnsi="Times New Roman" w:eastAsia="宋体" w:cs="Times New Roman"/>
                <w:color w:val="auto"/>
                <w:spacing w:val="0"/>
                <w:sz w:val="24"/>
                <w:szCs w:val="24"/>
                <w:highlight w:val="none"/>
                <w:u w:val="none" w:color="auto"/>
              </w:rPr>
              <w:t>-N、</w:t>
            </w:r>
            <w:r>
              <w:rPr>
                <w:rFonts w:hint="default" w:ascii="Times New Roman" w:hAnsi="Times New Roman" w:eastAsia="宋体" w:cs="Times New Roman"/>
                <w:color w:val="auto"/>
                <w:spacing w:val="0"/>
                <w:sz w:val="24"/>
                <w:szCs w:val="24"/>
                <w:highlight w:val="none"/>
                <w:u w:val="none" w:color="auto"/>
                <w:lang w:val="en-US" w:eastAsia="zh-CN"/>
              </w:rPr>
              <w:t>SS</w:t>
            </w:r>
            <w:r>
              <w:rPr>
                <w:rFonts w:hint="default" w:ascii="Times New Roman" w:hAnsi="Times New Roman" w:eastAsia="宋体" w:cs="Times New Roman"/>
                <w:color w:val="auto"/>
                <w:spacing w:val="0"/>
                <w:sz w:val="24"/>
                <w:szCs w:val="24"/>
                <w:highlight w:val="none"/>
                <w:u w:val="none" w:color="auto"/>
              </w:rPr>
              <w:t>和动植物油产生浓度分别为300mg/L、</w:t>
            </w:r>
            <w:r>
              <w:rPr>
                <w:rFonts w:hint="default" w:ascii="Times New Roman" w:hAnsi="Times New Roman" w:eastAsia="宋体" w:cs="Times New Roman"/>
                <w:color w:val="auto"/>
                <w:spacing w:val="0"/>
                <w:sz w:val="24"/>
                <w:szCs w:val="24"/>
                <w:highlight w:val="none"/>
                <w:u w:val="none" w:color="auto"/>
                <w:lang w:val="en-US" w:eastAsia="zh-CN"/>
              </w:rPr>
              <w:t>135</w:t>
            </w:r>
            <w:r>
              <w:rPr>
                <w:rFonts w:hint="default" w:ascii="Times New Roman" w:hAnsi="Times New Roman" w:eastAsia="宋体" w:cs="Times New Roman"/>
                <w:color w:val="auto"/>
                <w:spacing w:val="0"/>
                <w:sz w:val="24"/>
                <w:szCs w:val="24"/>
                <w:highlight w:val="none"/>
                <w:u w:val="none" w:color="auto"/>
              </w:rPr>
              <w:t>mg/L、</w:t>
            </w:r>
            <w:r>
              <w:rPr>
                <w:rFonts w:hint="default" w:ascii="Times New Roman" w:hAnsi="Times New Roman" w:eastAsia="宋体" w:cs="Times New Roman"/>
                <w:color w:val="auto"/>
                <w:spacing w:val="0"/>
                <w:sz w:val="24"/>
                <w:szCs w:val="24"/>
                <w:highlight w:val="none"/>
                <w:u w:val="none" w:color="auto"/>
                <w:lang w:val="en-US" w:eastAsia="zh-CN"/>
              </w:rPr>
              <w:t>23.6</w:t>
            </w:r>
            <w:r>
              <w:rPr>
                <w:rFonts w:hint="default" w:ascii="Times New Roman" w:hAnsi="Times New Roman" w:eastAsia="宋体" w:cs="Times New Roman"/>
                <w:color w:val="auto"/>
                <w:spacing w:val="0"/>
                <w:sz w:val="24"/>
                <w:szCs w:val="24"/>
                <w:highlight w:val="none"/>
                <w:u w:val="none" w:color="auto"/>
              </w:rPr>
              <w:t>mg/L、</w:t>
            </w:r>
            <w:r>
              <w:rPr>
                <w:rFonts w:hint="default" w:ascii="Times New Roman" w:hAnsi="Times New Roman" w:eastAsia="宋体" w:cs="Times New Roman"/>
                <w:color w:val="auto"/>
                <w:spacing w:val="0"/>
                <w:sz w:val="24"/>
                <w:szCs w:val="24"/>
                <w:highlight w:val="none"/>
                <w:u w:val="none" w:color="auto"/>
                <w:lang w:val="en-US" w:eastAsia="zh-CN"/>
              </w:rPr>
              <w:t>150</w:t>
            </w:r>
            <w:r>
              <w:rPr>
                <w:rFonts w:hint="default" w:ascii="Times New Roman" w:hAnsi="Times New Roman" w:eastAsia="宋体" w:cs="Times New Roman"/>
                <w:color w:val="auto"/>
                <w:spacing w:val="0"/>
                <w:sz w:val="24"/>
                <w:szCs w:val="24"/>
                <w:highlight w:val="none"/>
                <w:u w:val="none" w:color="auto"/>
              </w:rPr>
              <w:t>mg/L、</w:t>
            </w:r>
            <w:r>
              <w:rPr>
                <w:rFonts w:hint="default" w:ascii="Times New Roman" w:hAnsi="Times New Roman" w:eastAsia="宋体" w:cs="Times New Roman"/>
                <w:color w:val="auto"/>
                <w:spacing w:val="0"/>
                <w:sz w:val="24"/>
                <w:szCs w:val="24"/>
                <w:highlight w:val="none"/>
                <w:u w:val="none" w:color="auto"/>
                <w:lang w:val="en-US" w:eastAsia="zh-CN"/>
              </w:rPr>
              <w:t>3.84</w:t>
            </w:r>
            <w:r>
              <w:rPr>
                <w:rFonts w:hint="default" w:ascii="Times New Roman" w:hAnsi="Times New Roman" w:eastAsia="宋体" w:cs="Times New Roman"/>
                <w:color w:val="auto"/>
                <w:spacing w:val="0"/>
                <w:sz w:val="24"/>
                <w:szCs w:val="24"/>
                <w:highlight w:val="none"/>
                <w:u w:val="none" w:color="auto"/>
              </w:rPr>
              <w:t>mg/L，生活污水经办公区化粪池处理（食堂废水经隔油</w:t>
            </w:r>
            <w:r>
              <w:rPr>
                <w:rFonts w:hint="default" w:ascii="Times New Roman" w:hAnsi="Times New Roman" w:eastAsia="宋体" w:cs="Times New Roman"/>
                <w:color w:val="auto"/>
                <w:spacing w:val="0"/>
                <w:sz w:val="24"/>
                <w:szCs w:val="24"/>
                <w:highlight w:val="none"/>
                <w:u w:val="none" w:color="auto"/>
                <w:lang w:eastAsia="zh-CN"/>
              </w:rPr>
              <w:t>化粪池</w:t>
            </w:r>
            <w:r>
              <w:rPr>
                <w:rFonts w:hint="default" w:ascii="Times New Roman" w:hAnsi="Times New Roman" w:eastAsia="宋体" w:cs="Times New Roman"/>
                <w:color w:val="auto"/>
                <w:spacing w:val="0"/>
                <w:sz w:val="24"/>
                <w:szCs w:val="24"/>
                <w:highlight w:val="none"/>
                <w:u w:val="none" w:color="auto"/>
              </w:rPr>
              <w:t>处理）后通过厂区污水排放口接入园区污水收集管网。</w:t>
            </w:r>
            <w:r>
              <w:rPr>
                <w:rFonts w:hint="default" w:ascii="Times New Roman" w:hAnsi="Times New Roman" w:eastAsia="宋体" w:cs="Times New Roman"/>
                <w:color w:val="auto"/>
                <w:spacing w:val="0"/>
                <w:sz w:val="24"/>
                <w:szCs w:val="22"/>
                <w:highlight w:val="none"/>
                <w:u w:val="none" w:color="auto"/>
              </w:rPr>
              <w:t>根据相关资料可知，化粪池对CODcr、SS、BOD</w:t>
            </w:r>
            <w:r>
              <w:rPr>
                <w:rFonts w:hint="default" w:ascii="Times New Roman" w:hAnsi="Times New Roman" w:eastAsia="宋体" w:cs="Times New Roman"/>
                <w:color w:val="auto"/>
                <w:spacing w:val="0"/>
                <w:sz w:val="24"/>
                <w:szCs w:val="22"/>
                <w:highlight w:val="none"/>
                <w:u w:val="none" w:color="auto"/>
                <w:vertAlign w:val="subscript"/>
              </w:rPr>
              <w:t>5</w:t>
            </w:r>
            <w:r>
              <w:rPr>
                <w:rFonts w:hint="default" w:ascii="Times New Roman" w:hAnsi="Times New Roman" w:eastAsia="宋体" w:cs="Times New Roman"/>
                <w:color w:val="auto"/>
                <w:spacing w:val="0"/>
                <w:sz w:val="24"/>
                <w:szCs w:val="22"/>
                <w:highlight w:val="none"/>
                <w:u w:val="none" w:color="auto"/>
              </w:rPr>
              <w:t>、NH</w:t>
            </w:r>
            <w:r>
              <w:rPr>
                <w:rFonts w:hint="default" w:ascii="Times New Roman" w:hAnsi="Times New Roman" w:eastAsia="宋体" w:cs="Times New Roman"/>
                <w:color w:val="auto"/>
                <w:spacing w:val="0"/>
                <w:sz w:val="24"/>
                <w:szCs w:val="22"/>
                <w:highlight w:val="none"/>
                <w:u w:val="none" w:color="auto"/>
                <w:vertAlign w:val="subscript"/>
              </w:rPr>
              <w:t>3</w:t>
            </w:r>
            <w:r>
              <w:rPr>
                <w:rFonts w:hint="default" w:ascii="Times New Roman" w:hAnsi="Times New Roman" w:eastAsia="宋体" w:cs="Times New Roman"/>
                <w:color w:val="auto"/>
                <w:spacing w:val="0"/>
                <w:sz w:val="24"/>
                <w:szCs w:val="22"/>
                <w:highlight w:val="none"/>
                <w:u w:val="none" w:color="auto"/>
              </w:rPr>
              <w:t>-N、动植物油的去除率分别为15%、30%、9%、3%、0%，则</w:t>
            </w:r>
            <w:r>
              <w:rPr>
                <w:rFonts w:hint="default" w:ascii="Times New Roman" w:hAnsi="Times New Roman" w:eastAsia="宋体" w:cs="Times New Roman"/>
                <w:color w:val="auto"/>
                <w:spacing w:val="0"/>
                <w:sz w:val="24"/>
                <w:szCs w:val="32"/>
                <w:highlight w:val="none"/>
                <w:u w:val="none" w:color="auto"/>
              </w:rPr>
              <w:t>食堂废水的产生和预处理后情况见</w:t>
            </w:r>
            <w:r>
              <w:rPr>
                <w:rFonts w:hint="default" w:ascii="Times New Roman" w:hAnsi="Times New Roman" w:eastAsia="宋体" w:cs="Times New Roman"/>
                <w:color w:val="auto"/>
                <w:spacing w:val="0"/>
                <w:sz w:val="24"/>
                <w:szCs w:val="32"/>
                <w:highlight w:val="none"/>
                <w:u w:val="none" w:color="auto"/>
                <w:lang w:val="en-US" w:eastAsia="zh-CN"/>
              </w:rPr>
              <w:t>下表</w:t>
            </w:r>
            <w:r>
              <w:rPr>
                <w:rFonts w:hint="default" w:ascii="Times New Roman" w:hAnsi="Times New Roman" w:eastAsia="宋体" w:cs="Times New Roman"/>
                <w:color w:val="auto"/>
                <w:spacing w:val="0"/>
                <w:sz w:val="24"/>
                <w:szCs w:val="32"/>
                <w:highlight w:val="none"/>
                <w:u w:val="none" w:color="auto"/>
              </w:rPr>
              <w:t>。</w:t>
            </w:r>
          </w:p>
          <w:p w14:paraId="5B4B51BA">
            <w:pPr>
              <w:jc w:val="center"/>
              <w:rPr>
                <w:rFonts w:hint="default" w:ascii="Times New Roman" w:hAnsi="Times New Roman" w:eastAsia="宋体" w:cs="Times New Roman"/>
                <w:b/>
                <w:color w:val="auto"/>
                <w:spacing w:val="0"/>
                <w:sz w:val="21"/>
                <w:szCs w:val="21"/>
                <w:highlight w:val="none"/>
                <w:u w:val="none" w:color="auto"/>
              </w:rPr>
            </w:pPr>
            <w:r>
              <w:rPr>
                <w:rFonts w:hint="default" w:ascii="Times New Roman" w:hAnsi="Times New Roman" w:eastAsia="宋体" w:cs="Times New Roman"/>
                <w:b/>
                <w:color w:val="auto"/>
                <w:spacing w:val="0"/>
                <w:sz w:val="21"/>
                <w:szCs w:val="21"/>
                <w:highlight w:val="none"/>
                <w:u w:val="none" w:color="auto"/>
                <w:lang w:val="en-US" w:eastAsia="zh-CN"/>
              </w:rPr>
              <w:t xml:space="preserve">表4-23  </w:t>
            </w:r>
            <w:r>
              <w:rPr>
                <w:rFonts w:hint="default" w:ascii="Times New Roman" w:hAnsi="Times New Roman" w:eastAsia="宋体" w:cs="Times New Roman"/>
                <w:b/>
                <w:color w:val="auto"/>
                <w:spacing w:val="0"/>
                <w:sz w:val="21"/>
                <w:szCs w:val="21"/>
                <w:highlight w:val="none"/>
                <w:u w:val="none" w:color="auto"/>
                <w:lang w:eastAsia="zh-CN"/>
              </w:rPr>
              <w:t>生活污水</w:t>
            </w:r>
            <w:r>
              <w:rPr>
                <w:rFonts w:hint="default" w:ascii="Times New Roman" w:hAnsi="Times New Roman" w:eastAsia="宋体" w:cs="Times New Roman"/>
                <w:b/>
                <w:color w:val="auto"/>
                <w:spacing w:val="0"/>
                <w:sz w:val="21"/>
                <w:szCs w:val="21"/>
                <w:highlight w:val="none"/>
                <w:u w:val="none" w:color="auto"/>
              </w:rPr>
              <w:t>及预处理情况一览表</w:t>
            </w:r>
          </w:p>
          <w:tbl>
            <w:tblPr>
              <w:tblStyle w:val="31"/>
              <w:tblW w:w="4997"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08" w:type="dxa"/>
                <w:bottom w:w="0" w:type="dxa"/>
                <w:right w:w="108" w:type="dxa"/>
              </w:tblCellMar>
            </w:tblPr>
            <w:tblGrid>
              <w:gridCol w:w="955"/>
              <w:gridCol w:w="1456"/>
              <w:gridCol w:w="1458"/>
              <w:gridCol w:w="1589"/>
              <w:gridCol w:w="1460"/>
              <w:gridCol w:w="1589"/>
              <w:gridCol w:w="6"/>
            </w:tblGrid>
            <w:tr w14:paraId="5F4C7B8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315" w:hRule="atLeast"/>
                <w:tblHeader/>
                <w:jc w:val="center"/>
              </w:trPr>
              <w:tc>
                <w:tcPr>
                  <w:tcW w:w="561" w:type="pct"/>
                  <w:vMerge w:val="restart"/>
                  <w:noWrap w:val="0"/>
                  <w:vAlign w:val="center"/>
                </w:tcPr>
                <w:p w14:paraId="4B651195">
                  <w:pPr>
                    <w:wordWrap/>
                    <w:topLinePunct w:val="0"/>
                    <w:bidi w:val="0"/>
                    <w:adjustRightInd/>
                    <w:snapToGrid/>
                    <w:jc w:val="center"/>
                    <w:rPr>
                      <w:rFonts w:hint="default" w:ascii="Times New Roman" w:hAnsi="Times New Roman" w:eastAsia="宋体" w:cs="Times New Roman"/>
                      <w:b/>
                      <w:bCs/>
                      <w:color w:val="auto"/>
                      <w:spacing w:val="0"/>
                      <w:szCs w:val="21"/>
                      <w:highlight w:val="none"/>
                      <w:u w:val="none" w:color="auto"/>
                    </w:rPr>
                  </w:pPr>
                  <w:r>
                    <w:rPr>
                      <w:rFonts w:hint="default" w:ascii="Times New Roman" w:hAnsi="Times New Roman" w:eastAsia="宋体" w:cs="Times New Roman"/>
                      <w:b/>
                      <w:bCs/>
                      <w:color w:val="auto"/>
                      <w:spacing w:val="0"/>
                      <w:szCs w:val="21"/>
                      <w:highlight w:val="none"/>
                      <w:u w:val="none" w:color="auto"/>
                    </w:rPr>
                    <w:t>产生环节</w:t>
                  </w:r>
                </w:p>
              </w:tc>
              <w:tc>
                <w:tcPr>
                  <w:tcW w:w="855" w:type="pct"/>
                  <w:vMerge w:val="restart"/>
                  <w:noWrap w:val="0"/>
                  <w:vAlign w:val="center"/>
                </w:tcPr>
                <w:p w14:paraId="03988433">
                  <w:pPr>
                    <w:wordWrap/>
                    <w:topLinePunct w:val="0"/>
                    <w:bidi w:val="0"/>
                    <w:adjustRightInd/>
                    <w:snapToGrid/>
                    <w:jc w:val="center"/>
                    <w:rPr>
                      <w:rFonts w:hint="default" w:ascii="Times New Roman" w:hAnsi="Times New Roman" w:eastAsia="宋体" w:cs="Times New Roman"/>
                      <w:b/>
                      <w:bCs/>
                      <w:color w:val="auto"/>
                      <w:spacing w:val="0"/>
                      <w:szCs w:val="21"/>
                      <w:highlight w:val="none"/>
                      <w:u w:val="none" w:color="auto"/>
                    </w:rPr>
                  </w:pPr>
                  <w:r>
                    <w:rPr>
                      <w:rFonts w:hint="default" w:ascii="Times New Roman" w:hAnsi="Times New Roman" w:eastAsia="宋体" w:cs="Times New Roman"/>
                      <w:b/>
                      <w:bCs/>
                      <w:color w:val="auto"/>
                      <w:spacing w:val="0"/>
                      <w:szCs w:val="21"/>
                      <w:highlight w:val="none"/>
                      <w:u w:val="none" w:color="auto"/>
                    </w:rPr>
                    <w:t>指标</w:t>
                  </w:r>
                </w:p>
              </w:tc>
              <w:tc>
                <w:tcPr>
                  <w:tcW w:w="856" w:type="pct"/>
                  <w:vMerge w:val="restart"/>
                  <w:noWrap w:val="0"/>
                  <w:vAlign w:val="center"/>
                </w:tcPr>
                <w:p w14:paraId="7EC6ED52">
                  <w:pPr>
                    <w:wordWrap/>
                    <w:topLinePunct w:val="0"/>
                    <w:bidi w:val="0"/>
                    <w:adjustRightInd/>
                    <w:snapToGrid/>
                    <w:jc w:val="center"/>
                    <w:rPr>
                      <w:rFonts w:hint="default" w:ascii="Times New Roman" w:hAnsi="Times New Roman" w:eastAsia="宋体" w:cs="Times New Roman"/>
                      <w:b/>
                      <w:bCs/>
                      <w:color w:val="auto"/>
                      <w:spacing w:val="0"/>
                      <w:szCs w:val="21"/>
                      <w:highlight w:val="none"/>
                      <w:u w:val="none" w:color="auto"/>
                      <w:lang w:eastAsia="zh-CN"/>
                    </w:rPr>
                  </w:pPr>
                  <w:r>
                    <w:rPr>
                      <w:rFonts w:hint="default" w:ascii="Times New Roman" w:hAnsi="Times New Roman" w:eastAsia="宋体" w:cs="Times New Roman"/>
                      <w:b/>
                      <w:bCs/>
                      <w:color w:val="auto"/>
                      <w:spacing w:val="0"/>
                      <w:szCs w:val="21"/>
                      <w:highlight w:val="none"/>
                      <w:u w:val="none" w:color="auto"/>
                    </w:rPr>
                    <w:t>产生浓度</w:t>
                  </w:r>
                  <w:r>
                    <w:rPr>
                      <w:rFonts w:hint="default" w:ascii="Times New Roman" w:hAnsi="Times New Roman" w:eastAsia="宋体" w:cs="Times New Roman"/>
                      <w:b/>
                      <w:bCs/>
                      <w:color w:val="auto"/>
                      <w:spacing w:val="0"/>
                      <w:szCs w:val="21"/>
                      <w:highlight w:val="none"/>
                      <w:u w:val="none" w:color="auto"/>
                      <w:lang w:eastAsia="zh-CN"/>
                    </w:rPr>
                    <w:t>（</w:t>
                  </w:r>
                  <w:r>
                    <w:rPr>
                      <w:rFonts w:hint="default" w:ascii="Times New Roman" w:hAnsi="Times New Roman" w:eastAsia="宋体" w:cs="Times New Roman"/>
                      <w:b/>
                      <w:bCs/>
                      <w:color w:val="auto"/>
                      <w:spacing w:val="0"/>
                      <w:szCs w:val="21"/>
                      <w:highlight w:val="none"/>
                      <w:u w:val="none" w:color="auto"/>
                    </w:rPr>
                    <w:t>mg/L</w:t>
                  </w:r>
                  <w:r>
                    <w:rPr>
                      <w:rFonts w:hint="default" w:ascii="Times New Roman" w:hAnsi="Times New Roman" w:eastAsia="宋体" w:cs="Times New Roman"/>
                      <w:b/>
                      <w:bCs/>
                      <w:color w:val="auto"/>
                      <w:spacing w:val="0"/>
                      <w:szCs w:val="21"/>
                      <w:highlight w:val="none"/>
                      <w:u w:val="none" w:color="auto"/>
                      <w:lang w:eastAsia="zh-CN"/>
                    </w:rPr>
                    <w:t>）</w:t>
                  </w:r>
                </w:p>
              </w:tc>
              <w:tc>
                <w:tcPr>
                  <w:tcW w:w="933" w:type="pct"/>
                  <w:vMerge w:val="restart"/>
                  <w:noWrap w:val="0"/>
                  <w:vAlign w:val="center"/>
                </w:tcPr>
                <w:p w14:paraId="1BC3C1C7">
                  <w:pPr>
                    <w:wordWrap/>
                    <w:topLinePunct w:val="0"/>
                    <w:bidi w:val="0"/>
                    <w:adjustRightInd/>
                    <w:snapToGrid/>
                    <w:jc w:val="center"/>
                    <w:rPr>
                      <w:rFonts w:hint="default" w:ascii="Times New Roman" w:hAnsi="Times New Roman" w:eastAsia="宋体" w:cs="Times New Roman"/>
                      <w:b/>
                      <w:bCs/>
                      <w:color w:val="auto"/>
                      <w:spacing w:val="0"/>
                      <w:szCs w:val="21"/>
                      <w:highlight w:val="none"/>
                      <w:u w:val="none" w:color="auto"/>
                    </w:rPr>
                  </w:pPr>
                  <w:r>
                    <w:rPr>
                      <w:rFonts w:hint="default" w:ascii="Times New Roman" w:hAnsi="Times New Roman" w:eastAsia="宋体" w:cs="Times New Roman"/>
                      <w:b/>
                      <w:bCs/>
                      <w:color w:val="auto"/>
                      <w:spacing w:val="0"/>
                      <w:szCs w:val="21"/>
                      <w:highlight w:val="none"/>
                      <w:u w:val="none" w:color="auto"/>
                    </w:rPr>
                    <w:t>年产生量（t/a）</w:t>
                  </w:r>
                </w:p>
              </w:tc>
              <w:tc>
                <w:tcPr>
                  <w:tcW w:w="1793" w:type="pct"/>
                  <w:gridSpan w:val="3"/>
                  <w:noWrap w:val="0"/>
                  <w:vAlign w:val="center"/>
                </w:tcPr>
                <w:p w14:paraId="2673C821">
                  <w:pPr>
                    <w:wordWrap/>
                    <w:topLinePunct w:val="0"/>
                    <w:bidi w:val="0"/>
                    <w:adjustRightInd/>
                    <w:snapToGrid/>
                    <w:jc w:val="center"/>
                    <w:rPr>
                      <w:rFonts w:hint="default" w:ascii="Times New Roman" w:hAnsi="Times New Roman" w:eastAsia="宋体" w:cs="Times New Roman"/>
                      <w:b/>
                      <w:bCs/>
                      <w:color w:val="auto"/>
                      <w:spacing w:val="0"/>
                      <w:szCs w:val="21"/>
                      <w:highlight w:val="none"/>
                      <w:u w:val="none" w:color="auto"/>
                      <w:lang w:eastAsia="zh-CN"/>
                    </w:rPr>
                  </w:pPr>
                  <w:r>
                    <w:rPr>
                      <w:rFonts w:hint="default" w:ascii="Times New Roman" w:hAnsi="Times New Roman" w:eastAsia="宋体" w:cs="Times New Roman"/>
                      <w:b/>
                      <w:bCs/>
                      <w:color w:val="auto"/>
                      <w:spacing w:val="0"/>
                      <w:szCs w:val="21"/>
                      <w:highlight w:val="none"/>
                      <w:u w:val="none" w:color="auto"/>
                      <w:lang w:eastAsia="zh-CN"/>
                    </w:rPr>
                    <w:t>预处理</w:t>
                  </w:r>
                </w:p>
              </w:tc>
            </w:tr>
            <w:tr w14:paraId="2C3966A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gridAfter w:val="1"/>
                <w:wAfter w:w="1" w:type="pct"/>
                <w:trHeight w:val="403" w:hRule="atLeast"/>
                <w:tblHeader/>
                <w:jc w:val="center"/>
              </w:trPr>
              <w:tc>
                <w:tcPr>
                  <w:tcW w:w="561" w:type="pct"/>
                  <w:vMerge w:val="continue"/>
                  <w:noWrap w:val="0"/>
                  <w:vAlign w:val="center"/>
                </w:tcPr>
                <w:p w14:paraId="1533810D">
                  <w:pPr>
                    <w:wordWrap/>
                    <w:topLinePunct w:val="0"/>
                    <w:bidi w:val="0"/>
                    <w:adjustRightInd/>
                    <w:snapToGrid/>
                    <w:jc w:val="center"/>
                    <w:rPr>
                      <w:rFonts w:hint="default" w:ascii="Times New Roman" w:hAnsi="Times New Roman" w:eastAsia="宋体" w:cs="Times New Roman"/>
                      <w:color w:val="auto"/>
                      <w:spacing w:val="0"/>
                      <w:highlight w:val="none"/>
                      <w:u w:val="none" w:color="auto"/>
                    </w:rPr>
                  </w:pPr>
                </w:p>
              </w:tc>
              <w:tc>
                <w:tcPr>
                  <w:tcW w:w="855" w:type="pct"/>
                  <w:vMerge w:val="continue"/>
                  <w:noWrap w:val="0"/>
                  <w:vAlign w:val="center"/>
                </w:tcPr>
                <w:p w14:paraId="7262082A">
                  <w:pPr>
                    <w:wordWrap/>
                    <w:topLinePunct w:val="0"/>
                    <w:bidi w:val="0"/>
                    <w:adjustRightInd/>
                    <w:snapToGrid/>
                    <w:jc w:val="center"/>
                    <w:rPr>
                      <w:rFonts w:hint="default" w:ascii="Times New Roman" w:hAnsi="Times New Roman" w:eastAsia="宋体" w:cs="Times New Roman"/>
                      <w:color w:val="auto"/>
                      <w:spacing w:val="0"/>
                      <w:highlight w:val="none"/>
                      <w:u w:val="none" w:color="auto"/>
                    </w:rPr>
                  </w:pPr>
                </w:p>
              </w:tc>
              <w:tc>
                <w:tcPr>
                  <w:tcW w:w="856" w:type="pct"/>
                  <w:vMerge w:val="continue"/>
                  <w:noWrap w:val="0"/>
                  <w:vAlign w:val="center"/>
                </w:tcPr>
                <w:p w14:paraId="449F4E5E">
                  <w:pPr>
                    <w:wordWrap/>
                    <w:topLinePunct w:val="0"/>
                    <w:bidi w:val="0"/>
                    <w:adjustRightInd/>
                    <w:snapToGrid/>
                    <w:jc w:val="center"/>
                    <w:rPr>
                      <w:rFonts w:hint="default" w:ascii="Times New Roman" w:hAnsi="Times New Roman" w:eastAsia="宋体" w:cs="Times New Roman"/>
                      <w:color w:val="auto"/>
                      <w:spacing w:val="0"/>
                      <w:highlight w:val="none"/>
                      <w:u w:val="none" w:color="auto"/>
                    </w:rPr>
                  </w:pPr>
                </w:p>
              </w:tc>
              <w:tc>
                <w:tcPr>
                  <w:tcW w:w="933" w:type="pct"/>
                  <w:vMerge w:val="continue"/>
                  <w:noWrap w:val="0"/>
                  <w:vAlign w:val="center"/>
                </w:tcPr>
                <w:p w14:paraId="32E2120D">
                  <w:pPr>
                    <w:wordWrap/>
                    <w:topLinePunct w:val="0"/>
                    <w:bidi w:val="0"/>
                    <w:adjustRightInd/>
                    <w:snapToGrid/>
                    <w:jc w:val="center"/>
                    <w:rPr>
                      <w:rFonts w:hint="default" w:ascii="Times New Roman" w:hAnsi="Times New Roman" w:eastAsia="宋体" w:cs="Times New Roman"/>
                      <w:color w:val="auto"/>
                      <w:spacing w:val="0"/>
                      <w:highlight w:val="none"/>
                      <w:u w:val="none" w:color="auto"/>
                    </w:rPr>
                  </w:pPr>
                </w:p>
              </w:tc>
              <w:tc>
                <w:tcPr>
                  <w:tcW w:w="857" w:type="pct"/>
                  <w:noWrap w:val="0"/>
                  <w:vAlign w:val="center"/>
                </w:tcPr>
                <w:p w14:paraId="424B460F">
                  <w:pPr>
                    <w:wordWrap/>
                    <w:topLinePunct w:val="0"/>
                    <w:bidi w:val="0"/>
                    <w:adjustRightInd/>
                    <w:snapToGrid/>
                    <w:jc w:val="center"/>
                    <w:rPr>
                      <w:rFonts w:hint="default" w:ascii="Times New Roman" w:hAnsi="Times New Roman" w:eastAsia="宋体" w:cs="Times New Roman"/>
                      <w:b/>
                      <w:bCs/>
                      <w:color w:val="auto"/>
                      <w:spacing w:val="0"/>
                      <w:szCs w:val="21"/>
                      <w:highlight w:val="none"/>
                      <w:u w:val="none" w:color="auto"/>
                    </w:rPr>
                  </w:pPr>
                  <w:r>
                    <w:rPr>
                      <w:rFonts w:hint="default" w:ascii="Times New Roman" w:hAnsi="Times New Roman" w:eastAsia="宋体" w:cs="Times New Roman"/>
                      <w:b/>
                      <w:bCs/>
                      <w:color w:val="auto"/>
                      <w:spacing w:val="0"/>
                      <w:szCs w:val="21"/>
                      <w:highlight w:val="none"/>
                      <w:u w:val="none" w:color="auto"/>
                    </w:rPr>
                    <w:t>浓度</w:t>
                  </w:r>
                </w:p>
                <w:p w14:paraId="4DF03845">
                  <w:pPr>
                    <w:wordWrap/>
                    <w:topLinePunct w:val="0"/>
                    <w:bidi w:val="0"/>
                    <w:adjustRightInd/>
                    <w:snapToGrid/>
                    <w:jc w:val="center"/>
                    <w:rPr>
                      <w:rFonts w:hint="default" w:ascii="Times New Roman" w:hAnsi="Times New Roman" w:eastAsia="宋体" w:cs="Times New Roman"/>
                      <w:b/>
                      <w:bCs/>
                      <w:color w:val="auto"/>
                      <w:spacing w:val="0"/>
                      <w:szCs w:val="21"/>
                      <w:highlight w:val="none"/>
                      <w:u w:val="none" w:color="auto"/>
                      <w:lang w:eastAsia="zh-CN"/>
                    </w:rPr>
                  </w:pPr>
                  <w:r>
                    <w:rPr>
                      <w:rFonts w:hint="default" w:ascii="Times New Roman" w:hAnsi="Times New Roman" w:eastAsia="宋体" w:cs="Times New Roman"/>
                      <w:b/>
                      <w:bCs/>
                      <w:color w:val="auto"/>
                      <w:spacing w:val="0"/>
                      <w:szCs w:val="21"/>
                      <w:highlight w:val="none"/>
                      <w:u w:val="none" w:color="auto"/>
                      <w:lang w:eastAsia="zh-CN"/>
                    </w:rPr>
                    <w:t>（</w:t>
                  </w:r>
                  <w:r>
                    <w:rPr>
                      <w:rFonts w:hint="default" w:ascii="Times New Roman" w:hAnsi="Times New Roman" w:eastAsia="宋体" w:cs="Times New Roman"/>
                      <w:b/>
                      <w:bCs/>
                      <w:color w:val="auto"/>
                      <w:spacing w:val="0"/>
                      <w:szCs w:val="21"/>
                      <w:highlight w:val="none"/>
                      <w:u w:val="none" w:color="auto"/>
                    </w:rPr>
                    <w:t>mg/L</w:t>
                  </w:r>
                  <w:r>
                    <w:rPr>
                      <w:rFonts w:hint="default" w:ascii="Times New Roman" w:hAnsi="Times New Roman" w:eastAsia="宋体" w:cs="Times New Roman"/>
                      <w:b/>
                      <w:bCs/>
                      <w:color w:val="auto"/>
                      <w:spacing w:val="0"/>
                      <w:szCs w:val="21"/>
                      <w:highlight w:val="none"/>
                      <w:u w:val="none" w:color="auto"/>
                      <w:lang w:eastAsia="zh-CN"/>
                    </w:rPr>
                    <w:t>）</w:t>
                  </w:r>
                </w:p>
              </w:tc>
              <w:tc>
                <w:tcPr>
                  <w:tcW w:w="933" w:type="pct"/>
                  <w:noWrap w:val="0"/>
                  <w:vAlign w:val="center"/>
                </w:tcPr>
                <w:p w14:paraId="14BA9730">
                  <w:pPr>
                    <w:wordWrap/>
                    <w:topLinePunct w:val="0"/>
                    <w:bidi w:val="0"/>
                    <w:adjustRightInd/>
                    <w:snapToGrid/>
                    <w:jc w:val="center"/>
                    <w:rPr>
                      <w:rFonts w:hint="default" w:ascii="Times New Roman" w:hAnsi="Times New Roman" w:eastAsia="宋体" w:cs="Times New Roman"/>
                      <w:b/>
                      <w:bCs/>
                      <w:color w:val="auto"/>
                      <w:spacing w:val="0"/>
                      <w:szCs w:val="21"/>
                      <w:highlight w:val="none"/>
                      <w:u w:val="none" w:color="auto"/>
                    </w:rPr>
                  </w:pPr>
                  <w:r>
                    <w:rPr>
                      <w:rFonts w:hint="default" w:ascii="Times New Roman" w:hAnsi="Times New Roman" w:eastAsia="宋体" w:cs="Times New Roman"/>
                      <w:b/>
                      <w:bCs/>
                      <w:color w:val="auto"/>
                      <w:spacing w:val="0"/>
                      <w:szCs w:val="21"/>
                      <w:highlight w:val="none"/>
                      <w:u w:val="none" w:color="auto"/>
                    </w:rPr>
                    <w:t>年排放量（t/a）</w:t>
                  </w:r>
                </w:p>
              </w:tc>
            </w:tr>
            <w:tr w14:paraId="2A679A2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gridAfter w:val="1"/>
                <w:wAfter w:w="1" w:type="pct"/>
                <w:trHeight w:val="183" w:hRule="atLeast"/>
                <w:jc w:val="center"/>
              </w:trPr>
              <w:tc>
                <w:tcPr>
                  <w:tcW w:w="561" w:type="pct"/>
                  <w:vMerge w:val="restart"/>
                  <w:noWrap w:val="0"/>
                  <w:vAlign w:val="center"/>
                </w:tcPr>
                <w:p w14:paraId="490084EB">
                  <w:pPr>
                    <w:wordWrap/>
                    <w:topLinePunct w:val="0"/>
                    <w:bidi w:val="0"/>
                    <w:adjustRightInd/>
                    <w:snapToGrid/>
                    <w:jc w:val="center"/>
                    <w:rPr>
                      <w:rFonts w:hint="default" w:ascii="Times New Roman" w:hAnsi="Times New Roman" w:eastAsia="宋体" w:cs="Times New Roman"/>
                      <w:color w:val="auto"/>
                      <w:spacing w:val="0"/>
                      <w:szCs w:val="21"/>
                      <w:highlight w:val="none"/>
                      <w:u w:val="none" w:color="auto"/>
                    </w:rPr>
                  </w:pPr>
                  <w:r>
                    <w:rPr>
                      <w:rFonts w:hint="default" w:ascii="Times New Roman" w:hAnsi="Times New Roman" w:eastAsia="宋体" w:cs="Times New Roman"/>
                      <w:color w:val="auto"/>
                      <w:spacing w:val="0"/>
                      <w:szCs w:val="21"/>
                      <w:highlight w:val="none"/>
                      <w:u w:val="none" w:color="auto"/>
                      <w:lang w:val="en-US" w:eastAsia="zh-CN"/>
                    </w:rPr>
                    <w:t>生活污水</w:t>
                  </w:r>
                </w:p>
              </w:tc>
              <w:tc>
                <w:tcPr>
                  <w:tcW w:w="855" w:type="pct"/>
                  <w:noWrap w:val="0"/>
                  <w:vAlign w:val="center"/>
                </w:tcPr>
                <w:p w14:paraId="35B6EB51">
                  <w:pPr>
                    <w:widowControl/>
                    <w:wordWrap/>
                    <w:topLinePunct w:val="0"/>
                    <w:bidi w:val="0"/>
                    <w:adjustRightInd/>
                    <w:snapToGrid/>
                    <w:jc w:val="center"/>
                    <w:textAlignment w:val="center"/>
                    <w:rPr>
                      <w:rFonts w:hint="default" w:ascii="Times New Roman" w:hAnsi="Times New Roman" w:eastAsia="宋体" w:cs="Times New Roman"/>
                      <w:color w:val="auto"/>
                      <w:spacing w:val="0"/>
                      <w:szCs w:val="21"/>
                      <w:highlight w:val="none"/>
                      <w:u w:val="none" w:color="auto"/>
                    </w:rPr>
                  </w:pPr>
                  <w:r>
                    <w:rPr>
                      <w:rFonts w:hint="default" w:ascii="Times New Roman" w:hAnsi="Times New Roman" w:eastAsia="宋体" w:cs="Times New Roman"/>
                      <w:color w:val="auto"/>
                      <w:spacing w:val="0"/>
                      <w:kern w:val="0"/>
                      <w:szCs w:val="21"/>
                      <w:highlight w:val="none"/>
                      <w:u w:val="none" w:color="auto"/>
                      <w:lang w:bidi="ar"/>
                    </w:rPr>
                    <w:t>水量</w:t>
                  </w:r>
                </w:p>
              </w:tc>
              <w:tc>
                <w:tcPr>
                  <w:tcW w:w="856" w:type="pct"/>
                  <w:noWrap w:val="0"/>
                  <w:vAlign w:val="center"/>
                </w:tcPr>
                <w:p w14:paraId="57D5BA58">
                  <w:pPr>
                    <w:widowControl/>
                    <w:wordWrap/>
                    <w:topLinePunct w:val="0"/>
                    <w:bidi w:val="0"/>
                    <w:adjustRightInd/>
                    <w:snapToGrid/>
                    <w:jc w:val="center"/>
                    <w:textAlignment w:val="center"/>
                    <w:rPr>
                      <w:rFonts w:hint="default" w:ascii="Times New Roman" w:hAnsi="Times New Roman" w:eastAsia="宋体" w:cs="Times New Roman"/>
                      <w:color w:val="auto"/>
                      <w:spacing w:val="0"/>
                      <w:szCs w:val="21"/>
                      <w:highlight w:val="none"/>
                      <w:u w:val="none" w:color="auto"/>
                    </w:rPr>
                  </w:pPr>
                  <w:r>
                    <w:rPr>
                      <w:rFonts w:hint="default" w:ascii="Times New Roman" w:hAnsi="Times New Roman" w:eastAsia="宋体" w:cs="Times New Roman"/>
                      <w:color w:val="auto"/>
                      <w:spacing w:val="0"/>
                      <w:kern w:val="0"/>
                      <w:szCs w:val="21"/>
                      <w:highlight w:val="none"/>
                      <w:u w:val="none" w:color="auto"/>
                      <w:lang w:bidi="ar"/>
                    </w:rPr>
                    <w:t>——</w:t>
                  </w:r>
                </w:p>
              </w:tc>
              <w:tc>
                <w:tcPr>
                  <w:tcW w:w="933" w:type="pct"/>
                  <w:noWrap w:val="0"/>
                  <w:vAlign w:val="center"/>
                </w:tcPr>
                <w:p w14:paraId="0C00DF99">
                  <w:pPr>
                    <w:keepNext w:val="0"/>
                    <w:keepLines w:val="0"/>
                    <w:widowControl/>
                    <w:suppressLineNumbers w:val="0"/>
                    <w:wordWrap/>
                    <w:topLinePunct w:val="0"/>
                    <w:bidi w:val="0"/>
                    <w:adjustRightInd/>
                    <w:snapToGrid/>
                    <w:jc w:val="center"/>
                    <w:textAlignment w:val="center"/>
                    <w:rPr>
                      <w:rFonts w:hint="default" w:ascii="Times New Roman" w:hAnsi="Times New Roman" w:eastAsia="宋体" w:cs="Times New Roman"/>
                      <w:i w:val="0"/>
                      <w:color w:val="auto"/>
                      <w:spacing w:val="0"/>
                      <w:kern w:val="0"/>
                      <w:sz w:val="21"/>
                      <w:szCs w:val="21"/>
                      <w:highlight w:val="none"/>
                      <w:u w:val="none" w:color="auto"/>
                      <w:lang w:val="en-US" w:eastAsia="zh-CN" w:bidi="ar"/>
                    </w:rPr>
                  </w:pPr>
                  <w:r>
                    <w:rPr>
                      <w:rFonts w:hint="default" w:ascii="Times New Roman" w:hAnsi="Times New Roman" w:eastAsia="宋体" w:cs="Times New Roman"/>
                      <w:i w:val="0"/>
                      <w:color w:val="auto"/>
                      <w:spacing w:val="0"/>
                      <w:kern w:val="0"/>
                      <w:sz w:val="21"/>
                      <w:szCs w:val="21"/>
                      <w:highlight w:val="none"/>
                      <w:u w:val="none" w:color="auto"/>
                      <w:lang w:val="en-US" w:eastAsia="zh-CN" w:bidi="ar"/>
                    </w:rPr>
                    <w:t>2613.6</w:t>
                  </w:r>
                </w:p>
              </w:tc>
              <w:tc>
                <w:tcPr>
                  <w:tcW w:w="857" w:type="pct"/>
                  <w:noWrap w:val="0"/>
                  <w:vAlign w:val="center"/>
                </w:tcPr>
                <w:p w14:paraId="521F0E4E">
                  <w:pPr>
                    <w:keepNext w:val="0"/>
                    <w:keepLines w:val="0"/>
                    <w:widowControl/>
                    <w:suppressLineNumbers w:val="0"/>
                    <w:wordWrap/>
                    <w:topLinePunct w:val="0"/>
                    <w:bidi w:val="0"/>
                    <w:adjustRightInd/>
                    <w:snapToGrid/>
                    <w:jc w:val="center"/>
                    <w:textAlignment w:val="center"/>
                    <w:rPr>
                      <w:rFonts w:hint="default" w:ascii="Times New Roman" w:hAnsi="Times New Roman" w:eastAsia="宋体" w:cs="Times New Roman"/>
                      <w:i w:val="0"/>
                      <w:color w:val="auto"/>
                      <w:spacing w:val="0"/>
                      <w:kern w:val="0"/>
                      <w:sz w:val="21"/>
                      <w:szCs w:val="21"/>
                      <w:highlight w:val="none"/>
                      <w:u w:val="none" w:color="auto"/>
                      <w:lang w:val="en-US" w:eastAsia="zh-CN" w:bidi="ar"/>
                    </w:rPr>
                  </w:pPr>
                  <w:r>
                    <w:rPr>
                      <w:rFonts w:hint="default" w:ascii="Times New Roman" w:hAnsi="Times New Roman" w:eastAsia="宋体" w:cs="Times New Roman"/>
                      <w:color w:val="auto"/>
                      <w:spacing w:val="0"/>
                      <w:kern w:val="0"/>
                      <w:szCs w:val="21"/>
                      <w:highlight w:val="none"/>
                      <w:u w:val="none" w:color="auto"/>
                      <w:lang w:bidi="ar"/>
                    </w:rPr>
                    <w:t>——</w:t>
                  </w:r>
                </w:p>
              </w:tc>
              <w:tc>
                <w:tcPr>
                  <w:tcW w:w="933" w:type="pct"/>
                  <w:noWrap w:val="0"/>
                  <w:vAlign w:val="center"/>
                </w:tcPr>
                <w:p w14:paraId="16D1FCC7">
                  <w:pPr>
                    <w:keepNext w:val="0"/>
                    <w:keepLines w:val="0"/>
                    <w:widowControl/>
                    <w:suppressLineNumbers w:val="0"/>
                    <w:wordWrap/>
                    <w:topLinePunct w:val="0"/>
                    <w:bidi w:val="0"/>
                    <w:adjustRightInd/>
                    <w:snapToGrid/>
                    <w:jc w:val="center"/>
                    <w:textAlignment w:val="center"/>
                    <w:rPr>
                      <w:rFonts w:hint="default" w:ascii="Times New Roman" w:hAnsi="Times New Roman" w:eastAsia="宋体" w:cs="Times New Roman"/>
                      <w:i w:val="0"/>
                      <w:color w:val="auto"/>
                      <w:spacing w:val="0"/>
                      <w:kern w:val="0"/>
                      <w:sz w:val="21"/>
                      <w:szCs w:val="21"/>
                      <w:highlight w:val="none"/>
                      <w:u w:val="none" w:color="auto"/>
                      <w:lang w:val="en-US" w:eastAsia="zh-CN" w:bidi="ar"/>
                    </w:rPr>
                  </w:pPr>
                  <w:r>
                    <w:rPr>
                      <w:rFonts w:hint="default" w:ascii="Times New Roman" w:hAnsi="Times New Roman" w:eastAsia="宋体" w:cs="Times New Roman"/>
                      <w:i w:val="0"/>
                      <w:color w:val="auto"/>
                      <w:spacing w:val="0"/>
                      <w:kern w:val="0"/>
                      <w:sz w:val="21"/>
                      <w:szCs w:val="21"/>
                      <w:highlight w:val="none"/>
                      <w:u w:val="none" w:color="auto"/>
                      <w:lang w:val="en-US" w:eastAsia="zh-CN" w:bidi="ar"/>
                    </w:rPr>
                    <w:t>2613.6</w:t>
                  </w:r>
                </w:p>
              </w:tc>
            </w:tr>
            <w:tr w14:paraId="612D5BF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gridAfter w:val="1"/>
                <w:wAfter w:w="1" w:type="pct"/>
                <w:trHeight w:val="23" w:hRule="atLeast"/>
                <w:jc w:val="center"/>
              </w:trPr>
              <w:tc>
                <w:tcPr>
                  <w:tcW w:w="561" w:type="pct"/>
                  <w:vMerge w:val="continue"/>
                  <w:noWrap w:val="0"/>
                  <w:vAlign w:val="center"/>
                </w:tcPr>
                <w:p w14:paraId="534AF56A">
                  <w:pPr>
                    <w:wordWrap/>
                    <w:topLinePunct w:val="0"/>
                    <w:bidi w:val="0"/>
                    <w:adjustRightInd/>
                    <w:snapToGrid/>
                    <w:jc w:val="center"/>
                    <w:rPr>
                      <w:rFonts w:hint="default" w:ascii="Times New Roman" w:hAnsi="Times New Roman" w:eastAsia="宋体" w:cs="Times New Roman"/>
                      <w:color w:val="auto"/>
                      <w:spacing w:val="0"/>
                      <w:szCs w:val="21"/>
                      <w:highlight w:val="none"/>
                      <w:u w:val="none" w:color="auto"/>
                    </w:rPr>
                  </w:pPr>
                </w:p>
              </w:tc>
              <w:tc>
                <w:tcPr>
                  <w:tcW w:w="855" w:type="pct"/>
                  <w:noWrap w:val="0"/>
                  <w:vAlign w:val="center"/>
                </w:tcPr>
                <w:p w14:paraId="7F9A7113">
                  <w:pPr>
                    <w:wordWrap/>
                    <w:topLinePunct w:val="0"/>
                    <w:bidi w:val="0"/>
                    <w:adjustRightInd/>
                    <w:snapToGrid/>
                    <w:ind w:left="-105" w:leftChars="-50" w:right="-105" w:rightChars="-50"/>
                    <w:jc w:val="center"/>
                    <w:rPr>
                      <w:rFonts w:hint="default" w:ascii="Times New Roman" w:hAnsi="Times New Roman" w:eastAsia="宋体" w:cs="Times New Roman"/>
                      <w:color w:val="auto"/>
                      <w:spacing w:val="0"/>
                      <w:kern w:val="2"/>
                      <w:sz w:val="21"/>
                      <w:szCs w:val="21"/>
                      <w:highlight w:val="none"/>
                      <w:u w:val="none" w:color="auto"/>
                      <w:lang w:val="en-US" w:eastAsia="zh-CN" w:bidi="ar-SA"/>
                    </w:rPr>
                  </w:pPr>
                  <w:r>
                    <w:rPr>
                      <w:rFonts w:hint="default" w:ascii="Times New Roman" w:hAnsi="Times New Roman" w:eastAsia="宋体" w:cs="Times New Roman"/>
                      <w:color w:val="auto"/>
                      <w:spacing w:val="0"/>
                      <w:szCs w:val="21"/>
                      <w:highlight w:val="none"/>
                      <w:u w:val="none" w:color="auto"/>
                    </w:rPr>
                    <w:t>COD</w:t>
                  </w:r>
                </w:p>
              </w:tc>
              <w:tc>
                <w:tcPr>
                  <w:tcW w:w="856" w:type="pct"/>
                  <w:noWrap w:val="0"/>
                  <w:vAlign w:val="center"/>
                </w:tcPr>
                <w:p w14:paraId="2524A55A">
                  <w:pPr>
                    <w:wordWrap/>
                    <w:topLinePunct w:val="0"/>
                    <w:bidi w:val="0"/>
                    <w:adjustRightInd/>
                    <w:snapToGrid/>
                    <w:ind w:left="-105" w:leftChars="-50" w:right="-105" w:rightChars="-50"/>
                    <w:jc w:val="center"/>
                    <w:rPr>
                      <w:rFonts w:hint="default" w:ascii="Times New Roman" w:hAnsi="Times New Roman" w:eastAsia="宋体" w:cs="Times New Roman"/>
                      <w:color w:val="auto"/>
                      <w:spacing w:val="0"/>
                      <w:kern w:val="2"/>
                      <w:sz w:val="21"/>
                      <w:szCs w:val="21"/>
                      <w:highlight w:val="none"/>
                      <w:u w:val="none" w:color="auto"/>
                      <w:lang w:val="en-US" w:eastAsia="zh-CN" w:bidi="ar-SA"/>
                    </w:rPr>
                  </w:pPr>
                  <w:r>
                    <w:rPr>
                      <w:rFonts w:hint="default" w:ascii="Times New Roman" w:hAnsi="Times New Roman" w:eastAsia="宋体" w:cs="Times New Roman"/>
                      <w:color w:val="auto"/>
                      <w:spacing w:val="0"/>
                      <w:szCs w:val="21"/>
                      <w:highlight w:val="none"/>
                      <w:u w:val="none" w:color="auto"/>
                      <w:lang w:eastAsia="zh-CN"/>
                    </w:rPr>
                    <w:t>3</w:t>
                  </w:r>
                  <w:r>
                    <w:rPr>
                      <w:rFonts w:hint="default" w:ascii="Times New Roman" w:hAnsi="Times New Roman" w:eastAsia="宋体" w:cs="Times New Roman"/>
                      <w:color w:val="auto"/>
                      <w:spacing w:val="0"/>
                      <w:szCs w:val="21"/>
                      <w:highlight w:val="none"/>
                      <w:u w:val="none" w:color="auto"/>
                      <w:lang w:val="en-US" w:eastAsia="zh-CN"/>
                    </w:rPr>
                    <w:t>00</w:t>
                  </w:r>
                </w:p>
              </w:tc>
              <w:tc>
                <w:tcPr>
                  <w:tcW w:w="933" w:type="pct"/>
                  <w:noWrap w:val="0"/>
                  <w:vAlign w:val="center"/>
                </w:tcPr>
                <w:p w14:paraId="5B943B05">
                  <w:pPr>
                    <w:keepNext w:val="0"/>
                    <w:keepLines w:val="0"/>
                    <w:widowControl/>
                    <w:suppressLineNumbers w:val="0"/>
                    <w:jc w:val="center"/>
                    <w:textAlignment w:val="center"/>
                    <w:rPr>
                      <w:rFonts w:hint="default" w:ascii="Times New Roman" w:hAnsi="Times New Roman" w:eastAsia="宋体" w:cs="Times New Roman"/>
                      <w:color w:val="auto"/>
                      <w:spacing w:val="0"/>
                      <w:kern w:val="0"/>
                      <w:szCs w:val="21"/>
                      <w:highlight w:val="none"/>
                      <w:u w:val="none" w:color="auto"/>
                      <w:lang w:bidi="ar"/>
                    </w:rPr>
                  </w:pPr>
                  <w:r>
                    <w:rPr>
                      <w:rFonts w:hint="default" w:ascii="Times New Roman" w:hAnsi="Times New Roman" w:eastAsia="宋体" w:cs="Times New Roman"/>
                      <w:i w:val="0"/>
                      <w:iCs w:val="0"/>
                      <w:color w:val="auto"/>
                      <w:kern w:val="0"/>
                      <w:sz w:val="21"/>
                      <w:szCs w:val="21"/>
                      <w:u w:val="none" w:color="auto"/>
                      <w:lang w:val="en-US" w:eastAsia="zh-CN" w:bidi="ar"/>
                    </w:rPr>
                    <w:t xml:space="preserve">0.7841 </w:t>
                  </w:r>
                </w:p>
              </w:tc>
              <w:tc>
                <w:tcPr>
                  <w:tcW w:w="857" w:type="pct"/>
                  <w:noWrap w:val="0"/>
                  <w:vAlign w:val="center"/>
                </w:tcPr>
                <w:p w14:paraId="628C3CAB">
                  <w:pPr>
                    <w:keepNext w:val="0"/>
                    <w:keepLines w:val="0"/>
                    <w:widowControl/>
                    <w:suppressLineNumbers w:val="0"/>
                    <w:jc w:val="center"/>
                    <w:textAlignment w:val="center"/>
                    <w:rPr>
                      <w:rFonts w:hint="default" w:ascii="Times New Roman" w:hAnsi="Times New Roman" w:eastAsia="宋体" w:cs="Times New Roman"/>
                      <w:color w:val="auto"/>
                      <w:spacing w:val="0"/>
                      <w:kern w:val="2"/>
                      <w:sz w:val="21"/>
                      <w:szCs w:val="21"/>
                      <w:highlight w:val="none"/>
                      <w:u w:val="none" w:color="auto"/>
                      <w:lang w:val="en-US" w:eastAsia="zh-CN" w:bidi="ar-SA"/>
                    </w:rPr>
                  </w:pPr>
                  <w:r>
                    <w:rPr>
                      <w:rFonts w:hint="default" w:ascii="Times New Roman" w:hAnsi="Times New Roman" w:eastAsia="宋体" w:cs="Times New Roman"/>
                      <w:i w:val="0"/>
                      <w:iCs w:val="0"/>
                      <w:color w:val="auto"/>
                      <w:kern w:val="0"/>
                      <w:sz w:val="21"/>
                      <w:szCs w:val="21"/>
                      <w:u w:val="none" w:color="auto"/>
                      <w:lang w:val="en-US" w:eastAsia="zh-CN" w:bidi="ar"/>
                    </w:rPr>
                    <w:t>165</w:t>
                  </w:r>
                </w:p>
              </w:tc>
              <w:tc>
                <w:tcPr>
                  <w:tcW w:w="933" w:type="pct"/>
                  <w:noWrap w:val="0"/>
                  <w:vAlign w:val="center"/>
                </w:tcPr>
                <w:p w14:paraId="074ECFCE">
                  <w:pPr>
                    <w:keepNext w:val="0"/>
                    <w:keepLines w:val="0"/>
                    <w:widowControl/>
                    <w:suppressLineNumbers w:val="0"/>
                    <w:jc w:val="center"/>
                    <w:textAlignment w:val="center"/>
                    <w:rPr>
                      <w:rFonts w:hint="default" w:ascii="Times New Roman" w:hAnsi="Times New Roman" w:eastAsia="宋体" w:cs="Times New Roman"/>
                      <w:color w:val="auto"/>
                      <w:spacing w:val="0"/>
                      <w:kern w:val="0"/>
                      <w:szCs w:val="21"/>
                      <w:highlight w:val="none"/>
                      <w:u w:val="none" w:color="auto"/>
                      <w:lang w:bidi="ar"/>
                    </w:rPr>
                  </w:pPr>
                  <w:r>
                    <w:rPr>
                      <w:rFonts w:hint="default" w:ascii="Times New Roman" w:hAnsi="Times New Roman" w:eastAsia="宋体" w:cs="Times New Roman"/>
                      <w:i w:val="0"/>
                      <w:iCs w:val="0"/>
                      <w:color w:val="auto"/>
                      <w:kern w:val="0"/>
                      <w:sz w:val="21"/>
                      <w:szCs w:val="21"/>
                      <w:u w:val="none" w:color="auto"/>
                      <w:lang w:val="en-US" w:eastAsia="zh-CN" w:bidi="ar"/>
                    </w:rPr>
                    <w:t xml:space="preserve">0.4312 </w:t>
                  </w:r>
                </w:p>
              </w:tc>
            </w:tr>
            <w:tr w14:paraId="24AABEC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gridAfter w:val="1"/>
                <w:wAfter w:w="1" w:type="pct"/>
                <w:trHeight w:val="23" w:hRule="atLeast"/>
                <w:jc w:val="center"/>
              </w:trPr>
              <w:tc>
                <w:tcPr>
                  <w:tcW w:w="561" w:type="pct"/>
                  <w:vMerge w:val="continue"/>
                  <w:noWrap w:val="0"/>
                  <w:vAlign w:val="center"/>
                </w:tcPr>
                <w:p w14:paraId="397FB7E5">
                  <w:pPr>
                    <w:wordWrap/>
                    <w:topLinePunct w:val="0"/>
                    <w:bidi w:val="0"/>
                    <w:adjustRightInd/>
                    <w:snapToGrid/>
                    <w:jc w:val="center"/>
                    <w:rPr>
                      <w:rFonts w:hint="default" w:ascii="Times New Roman" w:hAnsi="Times New Roman" w:eastAsia="宋体" w:cs="Times New Roman"/>
                      <w:color w:val="auto"/>
                      <w:spacing w:val="0"/>
                      <w:szCs w:val="21"/>
                      <w:highlight w:val="none"/>
                      <w:u w:val="none" w:color="auto"/>
                    </w:rPr>
                  </w:pPr>
                </w:p>
              </w:tc>
              <w:tc>
                <w:tcPr>
                  <w:tcW w:w="855" w:type="pct"/>
                  <w:noWrap w:val="0"/>
                  <w:vAlign w:val="center"/>
                </w:tcPr>
                <w:p w14:paraId="150923B4">
                  <w:pPr>
                    <w:wordWrap/>
                    <w:topLinePunct w:val="0"/>
                    <w:bidi w:val="0"/>
                    <w:adjustRightInd/>
                    <w:snapToGrid/>
                    <w:ind w:left="-105" w:leftChars="-50" w:right="-105" w:rightChars="-50"/>
                    <w:jc w:val="center"/>
                    <w:rPr>
                      <w:rFonts w:hint="default" w:ascii="Times New Roman" w:hAnsi="Times New Roman" w:eastAsia="宋体" w:cs="Times New Roman"/>
                      <w:color w:val="auto"/>
                      <w:spacing w:val="0"/>
                      <w:kern w:val="2"/>
                      <w:sz w:val="21"/>
                      <w:szCs w:val="21"/>
                      <w:highlight w:val="none"/>
                      <w:u w:val="none" w:color="auto"/>
                      <w:lang w:val="en-US" w:eastAsia="zh-CN" w:bidi="ar-SA"/>
                    </w:rPr>
                  </w:pPr>
                  <w:r>
                    <w:rPr>
                      <w:rFonts w:hint="default" w:ascii="Times New Roman" w:hAnsi="Times New Roman" w:eastAsia="宋体" w:cs="Times New Roman"/>
                      <w:color w:val="auto"/>
                      <w:spacing w:val="0"/>
                      <w:szCs w:val="21"/>
                      <w:highlight w:val="none"/>
                      <w:u w:val="none" w:color="auto"/>
                    </w:rPr>
                    <w:t>BOD</w:t>
                  </w:r>
                  <w:r>
                    <w:rPr>
                      <w:rFonts w:hint="default" w:ascii="Times New Roman" w:hAnsi="Times New Roman" w:eastAsia="宋体" w:cs="Times New Roman"/>
                      <w:color w:val="auto"/>
                      <w:spacing w:val="0"/>
                      <w:szCs w:val="21"/>
                      <w:highlight w:val="none"/>
                      <w:u w:val="none" w:color="auto"/>
                      <w:vertAlign w:val="subscript"/>
                    </w:rPr>
                    <w:t>5</w:t>
                  </w:r>
                </w:p>
              </w:tc>
              <w:tc>
                <w:tcPr>
                  <w:tcW w:w="856" w:type="pct"/>
                  <w:noWrap w:val="0"/>
                  <w:vAlign w:val="center"/>
                </w:tcPr>
                <w:p w14:paraId="4F14171D">
                  <w:pPr>
                    <w:wordWrap/>
                    <w:topLinePunct w:val="0"/>
                    <w:bidi w:val="0"/>
                    <w:adjustRightInd/>
                    <w:snapToGrid/>
                    <w:ind w:left="-105" w:leftChars="-50" w:right="-105" w:rightChars="-50"/>
                    <w:jc w:val="center"/>
                    <w:rPr>
                      <w:rFonts w:hint="default" w:ascii="Times New Roman" w:hAnsi="Times New Roman" w:eastAsia="宋体" w:cs="Times New Roman"/>
                      <w:color w:val="auto"/>
                      <w:spacing w:val="0"/>
                      <w:kern w:val="2"/>
                      <w:sz w:val="21"/>
                      <w:szCs w:val="21"/>
                      <w:highlight w:val="none"/>
                      <w:u w:val="none" w:color="auto"/>
                      <w:lang w:val="en-US" w:eastAsia="zh-CN" w:bidi="ar-SA"/>
                    </w:rPr>
                  </w:pPr>
                  <w:r>
                    <w:rPr>
                      <w:rFonts w:hint="default" w:ascii="Times New Roman" w:hAnsi="Times New Roman" w:eastAsia="宋体" w:cs="Times New Roman"/>
                      <w:color w:val="auto"/>
                      <w:spacing w:val="0"/>
                      <w:szCs w:val="21"/>
                      <w:highlight w:val="none"/>
                      <w:u w:val="none" w:color="auto"/>
                    </w:rPr>
                    <w:t>1</w:t>
                  </w:r>
                  <w:r>
                    <w:rPr>
                      <w:rFonts w:hint="default" w:ascii="Times New Roman" w:hAnsi="Times New Roman" w:eastAsia="宋体" w:cs="Times New Roman"/>
                      <w:color w:val="auto"/>
                      <w:spacing w:val="0"/>
                      <w:szCs w:val="21"/>
                      <w:highlight w:val="none"/>
                      <w:u w:val="none" w:color="auto"/>
                      <w:lang w:val="en-US" w:eastAsia="zh-CN"/>
                    </w:rPr>
                    <w:t>35</w:t>
                  </w:r>
                </w:p>
              </w:tc>
              <w:tc>
                <w:tcPr>
                  <w:tcW w:w="933" w:type="pct"/>
                  <w:noWrap w:val="0"/>
                  <w:vAlign w:val="center"/>
                </w:tcPr>
                <w:p w14:paraId="1331295F">
                  <w:pPr>
                    <w:keepNext w:val="0"/>
                    <w:keepLines w:val="0"/>
                    <w:widowControl/>
                    <w:suppressLineNumbers w:val="0"/>
                    <w:jc w:val="center"/>
                    <w:textAlignment w:val="center"/>
                    <w:rPr>
                      <w:rFonts w:hint="default" w:ascii="Times New Roman" w:hAnsi="Times New Roman" w:eastAsia="宋体" w:cs="Times New Roman"/>
                      <w:color w:val="auto"/>
                      <w:spacing w:val="0"/>
                      <w:kern w:val="0"/>
                      <w:szCs w:val="21"/>
                      <w:highlight w:val="none"/>
                      <w:u w:val="none" w:color="auto"/>
                      <w:lang w:bidi="ar"/>
                    </w:rPr>
                  </w:pPr>
                  <w:r>
                    <w:rPr>
                      <w:rFonts w:hint="default" w:ascii="Times New Roman" w:hAnsi="Times New Roman" w:eastAsia="宋体" w:cs="Times New Roman"/>
                      <w:i w:val="0"/>
                      <w:iCs w:val="0"/>
                      <w:color w:val="auto"/>
                      <w:kern w:val="0"/>
                      <w:sz w:val="21"/>
                      <w:szCs w:val="21"/>
                      <w:u w:val="none" w:color="auto"/>
                      <w:lang w:val="en-US" w:eastAsia="zh-CN" w:bidi="ar"/>
                    </w:rPr>
                    <w:t xml:space="preserve">0.3528 </w:t>
                  </w:r>
                </w:p>
              </w:tc>
              <w:tc>
                <w:tcPr>
                  <w:tcW w:w="857" w:type="pct"/>
                  <w:noWrap w:val="0"/>
                  <w:vAlign w:val="center"/>
                </w:tcPr>
                <w:p w14:paraId="61EF65ED">
                  <w:pPr>
                    <w:keepNext w:val="0"/>
                    <w:keepLines w:val="0"/>
                    <w:widowControl/>
                    <w:suppressLineNumbers w:val="0"/>
                    <w:jc w:val="center"/>
                    <w:textAlignment w:val="center"/>
                    <w:rPr>
                      <w:rFonts w:hint="default" w:ascii="Times New Roman" w:hAnsi="Times New Roman" w:eastAsia="宋体" w:cs="Times New Roman"/>
                      <w:color w:val="auto"/>
                      <w:spacing w:val="0"/>
                      <w:kern w:val="2"/>
                      <w:sz w:val="21"/>
                      <w:szCs w:val="21"/>
                      <w:highlight w:val="none"/>
                      <w:u w:val="none" w:color="auto"/>
                      <w:lang w:val="en-US" w:eastAsia="zh-CN" w:bidi="ar-SA"/>
                    </w:rPr>
                  </w:pPr>
                  <w:r>
                    <w:rPr>
                      <w:rFonts w:hint="default" w:ascii="Times New Roman" w:hAnsi="Times New Roman" w:eastAsia="宋体" w:cs="Times New Roman"/>
                      <w:i w:val="0"/>
                      <w:iCs w:val="0"/>
                      <w:color w:val="auto"/>
                      <w:kern w:val="0"/>
                      <w:sz w:val="21"/>
                      <w:szCs w:val="21"/>
                      <w:u w:val="none" w:color="auto"/>
                      <w:lang w:val="en-US" w:eastAsia="zh-CN" w:bidi="ar"/>
                    </w:rPr>
                    <w:t>108</w:t>
                  </w:r>
                </w:p>
              </w:tc>
              <w:tc>
                <w:tcPr>
                  <w:tcW w:w="933" w:type="pct"/>
                  <w:noWrap w:val="0"/>
                  <w:vAlign w:val="center"/>
                </w:tcPr>
                <w:p w14:paraId="0A75C45F">
                  <w:pPr>
                    <w:keepNext w:val="0"/>
                    <w:keepLines w:val="0"/>
                    <w:widowControl/>
                    <w:suppressLineNumbers w:val="0"/>
                    <w:jc w:val="center"/>
                    <w:textAlignment w:val="center"/>
                    <w:rPr>
                      <w:rFonts w:hint="default" w:ascii="Times New Roman" w:hAnsi="Times New Roman" w:eastAsia="宋体" w:cs="Times New Roman"/>
                      <w:color w:val="auto"/>
                      <w:spacing w:val="0"/>
                      <w:kern w:val="0"/>
                      <w:szCs w:val="21"/>
                      <w:highlight w:val="none"/>
                      <w:u w:val="none" w:color="auto"/>
                      <w:lang w:bidi="ar"/>
                    </w:rPr>
                  </w:pPr>
                  <w:r>
                    <w:rPr>
                      <w:rFonts w:hint="default" w:ascii="Times New Roman" w:hAnsi="Times New Roman" w:eastAsia="宋体" w:cs="Times New Roman"/>
                      <w:i w:val="0"/>
                      <w:iCs w:val="0"/>
                      <w:color w:val="auto"/>
                      <w:kern w:val="0"/>
                      <w:sz w:val="21"/>
                      <w:szCs w:val="21"/>
                      <w:u w:val="none" w:color="auto"/>
                      <w:lang w:val="en-US" w:eastAsia="zh-CN" w:bidi="ar"/>
                    </w:rPr>
                    <w:t xml:space="preserve">0.2823 </w:t>
                  </w:r>
                </w:p>
              </w:tc>
            </w:tr>
            <w:tr w14:paraId="7BB56C7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gridAfter w:val="1"/>
                <w:wAfter w:w="1" w:type="pct"/>
                <w:trHeight w:val="23" w:hRule="atLeast"/>
                <w:jc w:val="center"/>
              </w:trPr>
              <w:tc>
                <w:tcPr>
                  <w:tcW w:w="561" w:type="pct"/>
                  <w:vMerge w:val="continue"/>
                  <w:noWrap w:val="0"/>
                  <w:vAlign w:val="center"/>
                </w:tcPr>
                <w:p w14:paraId="684059FF">
                  <w:pPr>
                    <w:wordWrap/>
                    <w:topLinePunct w:val="0"/>
                    <w:bidi w:val="0"/>
                    <w:adjustRightInd/>
                    <w:snapToGrid/>
                    <w:jc w:val="center"/>
                    <w:rPr>
                      <w:rFonts w:hint="default" w:ascii="Times New Roman" w:hAnsi="Times New Roman" w:eastAsia="宋体" w:cs="Times New Roman"/>
                      <w:color w:val="auto"/>
                      <w:spacing w:val="0"/>
                      <w:szCs w:val="21"/>
                      <w:highlight w:val="none"/>
                      <w:u w:val="none" w:color="auto"/>
                    </w:rPr>
                  </w:pPr>
                </w:p>
              </w:tc>
              <w:tc>
                <w:tcPr>
                  <w:tcW w:w="855" w:type="pct"/>
                  <w:noWrap w:val="0"/>
                  <w:vAlign w:val="center"/>
                </w:tcPr>
                <w:p w14:paraId="7F82B917">
                  <w:pPr>
                    <w:wordWrap/>
                    <w:topLinePunct w:val="0"/>
                    <w:bidi w:val="0"/>
                    <w:adjustRightInd/>
                    <w:snapToGrid/>
                    <w:ind w:left="-105" w:leftChars="-50" w:right="-105" w:rightChars="-50"/>
                    <w:jc w:val="center"/>
                    <w:rPr>
                      <w:rFonts w:hint="default" w:ascii="Times New Roman" w:hAnsi="Times New Roman" w:eastAsia="宋体" w:cs="Times New Roman"/>
                      <w:color w:val="auto"/>
                      <w:spacing w:val="0"/>
                      <w:kern w:val="2"/>
                      <w:sz w:val="21"/>
                      <w:szCs w:val="21"/>
                      <w:highlight w:val="none"/>
                      <w:u w:val="none" w:color="auto"/>
                      <w:lang w:val="en-US" w:eastAsia="zh-CN" w:bidi="ar-SA"/>
                    </w:rPr>
                  </w:pPr>
                  <w:r>
                    <w:rPr>
                      <w:rFonts w:hint="default" w:ascii="Times New Roman" w:hAnsi="Times New Roman" w:eastAsia="宋体" w:cs="Times New Roman"/>
                      <w:color w:val="auto"/>
                      <w:spacing w:val="0"/>
                      <w:szCs w:val="21"/>
                      <w:highlight w:val="none"/>
                      <w:u w:val="none" w:color="auto"/>
                    </w:rPr>
                    <w:t>氨氮</w:t>
                  </w:r>
                </w:p>
              </w:tc>
              <w:tc>
                <w:tcPr>
                  <w:tcW w:w="856" w:type="pct"/>
                  <w:noWrap w:val="0"/>
                  <w:vAlign w:val="center"/>
                </w:tcPr>
                <w:p w14:paraId="73EF4A31">
                  <w:pPr>
                    <w:wordWrap/>
                    <w:topLinePunct w:val="0"/>
                    <w:bidi w:val="0"/>
                    <w:adjustRightInd/>
                    <w:snapToGrid/>
                    <w:ind w:left="-105" w:leftChars="-50" w:right="-105" w:rightChars="-50"/>
                    <w:jc w:val="center"/>
                    <w:rPr>
                      <w:rFonts w:hint="default" w:ascii="Times New Roman" w:hAnsi="Times New Roman" w:eastAsia="宋体" w:cs="Times New Roman"/>
                      <w:color w:val="auto"/>
                      <w:spacing w:val="0"/>
                      <w:kern w:val="2"/>
                      <w:sz w:val="21"/>
                      <w:szCs w:val="21"/>
                      <w:highlight w:val="none"/>
                      <w:u w:val="none" w:color="auto"/>
                      <w:lang w:val="en-US" w:eastAsia="zh-CN" w:bidi="ar-SA"/>
                    </w:rPr>
                  </w:pPr>
                  <w:r>
                    <w:rPr>
                      <w:rFonts w:hint="default" w:ascii="Times New Roman" w:hAnsi="Times New Roman" w:eastAsia="宋体" w:cs="Times New Roman"/>
                      <w:color w:val="auto"/>
                      <w:spacing w:val="0"/>
                      <w:szCs w:val="21"/>
                      <w:highlight w:val="none"/>
                      <w:u w:val="none" w:color="auto"/>
                      <w:lang w:val="en-US" w:eastAsia="zh-CN"/>
                    </w:rPr>
                    <w:t>23.6</w:t>
                  </w:r>
                </w:p>
              </w:tc>
              <w:tc>
                <w:tcPr>
                  <w:tcW w:w="933" w:type="pct"/>
                  <w:noWrap w:val="0"/>
                  <w:vAlign w:val="center"/>
                </w:tcPr>
                <w:p w14:paraId="1DCF4F92">
                  <w:pPr>
                    <w:keepNext w:val="0"/>
                    <w:keepLines w:val="0"/>
                    <w:widowControl/>
                    <w:suppressLineNumbers w:val="0"/>
                    <w:jc w:val="center"/>
                    <w:textAlignment w:val="center"/>
                    <w:rPr>
                      <w:rFonts w:hint="default" w:ascii="Times New Roman" w:hAnsi="Times New Roman" w:eastAsia="宋体" w:cs="Times New Roman"/>
                      <w:color w:val="auto"/>
                      <w:spacing w:val="0"/>
                      <w:kern w:val="0"/>
                      <w:szCs w:val="21"/>
                      <w:highlight w:val="none"/>
                      <w:u w:val="none" w:color="auto"/>
                      <w:lang w:val="en-US" w:bidi="ar"/>
                    </w:rPr>
                  </w:pPr>
                  <w:r>
                    <w:rPr>
                      <w:rFonts w:hint="default" w:ascii="Times New Roman" w:hAnsi="Times New Roman" w:eastAsia="宋体" w:cs="Times New Roman"/>
                      <w:i w:val="0"/>
                      <w:iCs w:val="0"/>
                      <w:color w:val="auto"/>
                      <w:kern w:val="0"/>
                      <w:sz w:val="21"/>
                      <w:szCs w:val="21"/>
                      <w:u w:val="none" w:color="auto"/>
                      <w:lang w:val="en-US" w:eastAsia="zh-CN" w:bidi="ar"/>
                    </w:rPr>
                    <w:t xml:space="preserve">0.0617 </w:t>
                  </w:r>
                </w:p>
              </w:tc>
              <w:tc>
                <w:tcPr>
                  <w:tcW w:w="857" w:type="pct"/>
                  <w:noWrap w:val="0"/>
                  <w:vAlign w:val="center"/>
                </w:tcPr>
                <w:p w14:paraId="7283D2D9">
                  <w:pPr>
                    <w:keepNext w:val="0"/>
                    <w:keepLines w:val="0"/>
                    <w:widowControl/>
                    <w:suppressLineNumbers w:val="0"/>
                    <w:jc w:val="center"/>
                    <w:textAlignment w:val="center"/>
                    <w:rPr>
                      <w:rFonts w:hint="default" w:ascii="Times New Roman" w:hAnsi="Times New Roman" w:eastAsia="宋体" w:cs="Times New Roman"/>
                      <w:color w:val="auto"/>
                      <w:spacing w:val="0"/>
                      <w:kern w:val="2"/>
                      <w:sz w:val="21"/>
                      <w:szCs w:val="21"/>
                      <w:highlight w:val="none"/>
                      <w:u w:val="none" w:color="auto"/>
                      <w:lang w:val="en-US" w:eastAsia="zh-CN" w:bidi="ar-SA"/>
                    </w:rPr>
                  </w:pPr>
                  <w:r>
                    <w:rPr>
                      <w:rFonts w:hint="default" w:ascii="Times New Roman" w:hAnsi="Times New Roman" w:eastAsia="宋体" w:cs="Times New Roman"/>
                      <w:i w:val="0"/>
                      <w:iCs w:val="0"/>
                      <w:color w:val="auto"/>
                      <w:kern w:val="0"/>
                      <w:sz w:val="21"/>
                      <w:szCs w:val="21"/>
                      <w:u w:val="none" w:color="auto"/>
                      <w:lang w:val="en-US" w:eastAsia="zh-CN" w:bidi="ar"/>
                    </w:rPr>
                    <w:t>22.892</w:t>
                  </w:r>
                </w:p>
              </w:tc>
              <w:tc>
                <w:tcPr>
                  <w:tcW w:w="933" w:type="pct"/>
                  <w:noWrap w:val="0"/>
                  <w:vAlign w:val="center"/>
                </w:tcPr>
                <w:p w14:paraId="65BF758C">
                  <w:pPr>
                    <w:keepNext w:val="0"/>
                    <w:keepLines w:val="0"/>
                    <w:widowControl/>
                    <w:suppressLineNumbers w:val="0"/>
                    <w:jc w:val="center"/>
                    <w:textAlignment w:val="center"/>
                    <w:rPr>
                      <w:rFonts w:hint="default" w:ascii="Times New Roman" w:hAnsi="Times New Roman" w:eastAsia="宋体" w:cs="Times New Roman"/>
                      <w:color w:val="auto"/>
                      <w:spacing w:val="0"/>
                      <w:kern w:val="0"/>
                      <w:szCs w:val="21"/>
                      <w:highlight w:val="none"/>
                      <w:u w:val="none" w:color="auto"/>
                      <w:lang w:bidi="ar"/>
                    </w:rPr>
                  </w:pPr>
                  <w:r>
                    <w:rPr>
                      <w:rFonts w:hint="default" w:ascii="Times New Roman" w:hAnsi="Times New Roman" w:eastAsia="宋体" w:cs="Times New Roman"/>
                      <w:i w:val="0"/>
                      <w:iCs w:val="0"/>
                      <w:color w:val="auto"/>
                      <w:kern w:val="0"/>
                      <w:sz w:val="21"/>
                      <w:szCs w:val="21"/>
                      <w:u w:val="none" w:color="auto"/>
                      <w:lang w:val="en-US" w:eastAsia="zh-CN" w:bidi="ar"/>
                    </w:rPr>
                    <w:t xml:space="preserve">0.0598 </w:t>
                  </w:r>
                </w:p>
              </w:tc>
            </w:tr>
            <w:tr w14:paraId="74BBE43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gridAfter w:val="1"/>
                <w:wAfter w:w="1" w:type="pct"/>
                <w:trHeight w:val="23" w:hRule="atLeast"/>
                <w:jc w:val="center"/>
              </w:trPr>
              <w:tc>
                <w:tcPr>
                  <w:tcW w:w="561" w:type="pct"/>
                  <w:vMerge w:val="continue"/>
                  <w:noWrap w:val="0"/>
                  <w:vAlign w:val="top"/>
                </w:tcPr>
                <w:p w14:paraId="0D298AA8">
                  <w:pPr>
                    <w:wordWrap/>
                    <w:topLinePunct w:val="0"/>
                    <w:bidi w:val="0"/>
                    <w:adjustRightInd/>
                    <w:snapToGrid/>
                    <w:jc w:val="center"/>
                    <w:rPr>
                      <w:rFonts w:hint="default" w:ascii="Times New Roman" w:hAnsi="Times New Roman" w:eastAsia="宋体" w:cs="Times New Roman"/>
                      <w:color w:val="auto"/>
                      <w:spacing w:val="0"/>
                      <w:szCs w:val="21"/>
                      <w:highlight w:val="none"/>
                      <w:u w:val="none" w:color="auto"/>
                    </w:rPr>
                  </w:pPr>
                </w:p>
              </w:tc>
              <w:tc>
                <w:tcPr>
                  <w:tcW w:w="855" w:type="pct"/>
                  <w:noWrap w:val="0"/>
                  <w:vAlign w:val="center"/>
                </w:tcPr>
                <w:p w14:paraId="395C3AE0">
                  <w:pPr>
                    <w:wordWrap/>
                    <w:topLinePunct w:val="0"/>
                    <w:bidi w:val="0"/>
                    <w:adjustRightInd/>
                    <w:snapToGrid/>
                    <w:ind w:left="-105" w:leftChars="-50" w:right="-105" w:rightChars="-50"/>
                    <w:jc w:val="center"/>
                    <w:rPr>
                      <w:rFonts w:hint="default" w:ascii="Times New Roman" w:hAnsi="Times New Roman" w:eastAsia="宋体" w:cs="Times New Roman"/>
                      <w:color w:val="auto"/>
                      <w:spacing w:val="0"/>
                      <w:kern w:val="2"/>
                      <w:sz w:val="21"/>
                      <w:szCs w:val="21"/>
                      <w:highlight w:val="none"/>
                      <w:u w:val="none" w:color="auto"/>
                      <w:lang w:val="en-US" w:eastAsia="zh-CN" w:bidi="ar-SA"/>
                    </w:rPr>
                  </w:pPr>
                  <w:r>
                    <w:rPr>
                      <w:rFonts w:hint="default" w:ascii="Times New Roman" w:hAnsi="Times New Roman" w:eastAsia="宋体" w:cs="Times New Roman"/>
                      <w:color w:val="auto"/>
                      <w:spacing w:val="0"/>
                      <w:szCs w:val="21"/>
                      <w:highlight w:val="none"/>
                      <w:u w:val="none" w:color="auto"/>
                    </w:rPr>
                    <w:t>SS</w:t>
                  </w:r>
                </w:p>
              </w:tc>
              <w:tc>
                <w:tcPr>
                  <w:tcW w:w="856" w:type="pct"/>
                  <w:noWrap w:val="0"/>
                  <w:vAlign w:val="center"/>
                </w:tcPr>
                <w:p w14:paraId="20B0EBE1">
                  <w:pPr>
                    <w:wordWrap/>
                    <w:topLinePunct w:val="0"/>
                    <w:bidi w:val="0"/>
                    <w:adjustRightInd/>
                    <w:snapToGrid/>
                    <w:ind w:left="-105" w:leftChars="-50" w:right="-105" w:rightChars="-50"/>
                    <w:jc w:val="center"/>
                    <w:rPr>
                      <w:rFonts w:hint="default" w:ascii="Times New Roman" w:hAnsi="Times New Roman" w:eastAsia="宋体" w:cs="Times New Roman"/>
                      <w:color w:val="auto"/>
                      <w:spacing w:val="0"/>
                      <w:kern w:val="2"/>
                      <w:sz w:val="21"/>
                      <w:szCs w:val="21"/>
                      <w:highlight w:val="none"/>
                      <w:u w:val="none" w:color="auto"/>
                      <w:lang w:val="en-US" w:eastAsia="zh-CN" w:bidi="ar-SA"/>
                    </w:rPr>
                  </w:pPr>
                  <w:r>
                    <w:rPr>
                      <w:rFonts w:hint="default" w:ascii="Times New Roman" w:hAnsi="Times New Roman" w:eastAsia="宋体" w:cs="Times New Roman"/>
                      <w:color w:val="auto"/>
                      <w:spacing w:val="0"/>
                      <w:szCs w:val="21"/>
                      <w:highlight w:val="none"/>
                      <w:u w:val="none" w:color="auto"/>
                    </w:rPr>
                    <w:t>150</w:t>
                  </w:r>
                </w:p>
              </w:tc>
              <w:tc>
                <w:tcPr>
                  <w:tcW w:w="933" w:type="pct"/>
                  <w:noWrap w:val="0"/>
                  <w:vAlign w:val="center"/>
                </w:tcPr>
                <w:p w14:paraId="4B500AB3">
                  <w:pPr>
                    <w:keepNext w:val="0"/>
                    <w:keepLines w:val="0"/>
                    <w:widowControl/>
                    <w:suppressLineNumbers w:val="0"/>
                    <w:jc w:val="center"/>
                    <w:textAlignment w:val="center"/>
                    <w:rPr>
                      <w:rFonts w:hint="default" w:ascii="Times New Roman" w:hAnsi="Times New Roman" w:eastAsia="宋体" w:cs="Times New Roman"/>
                      <w:color w:val="auto"/>
                      <w:spacing w:val="0"/>
                      <w:kern w:val="0"/>
                      <w:szCs w:val="21"/>
                      <w:highlight w:val="none"/>
                      <w:u w:val="none" w:color="auto"/>
                      <w:lang w:bidi="ar"/>
                    </w:rPr>
                  </w:pPr>
                  <w:r>
                    <w:rPr>
                      <w:rFonts w:hint="default" w:ascii="Times New Roman" w:hAnsi="Times New Roman" w:eastAsia="宋体" w:cs="Times New Roman"/>
                      <w:i w:val="0"/>
                      <w:iCs w:val="0"/>
                      <w:color w:val="auto"/>
                      <w:kern w:val="0"/>
                      <w:sz w:val="21"/>
                      <w:szCs w:val="21"/>
                      <w:u w:val="none" w:color="auto"/>
                      <w:lang w:val="en-US" w:eastAsia="zh-CN" w:bidi="ar"/>
                    </w:rPr>
                    <w:t xml:space="preserve">0.3920 </w:t>
                  </w:r>
                </w:p>
              </w:tc>
              <w:tc>
                <w:tcPr>
                  <w:tcW w:w="857" w:type="pct"/>
                  <w:noWrap w:val="0"/>
                  <w:vAlign w:val="center"/>
                </w:tcPr>
                <w:p w14:paraId="4D8501CF">
                  <w:pPr>
                    <w:keepNext w:val="0"/>
                    <w:keepLines w:val="0"/>
                    <w:widowControl/>
                    <w:suppressLineNumbers w:val="0"/>
                    <w:jc w:val="center"/>
                    <w:textAlignment w:val="center"/>
                    <w:rPr>
                      <w:rFonts w:hint="default" w:ascii="Times New Roman" w:hAnsi="Times New Roman" w:eastAsia="宋体" w:cs="Times New Roman"/>
                      <w:color w:val="auto"/>
                      <w:spacing w:val="0"/>
                      <w:kern w:val="2"/>
                      <w:sz w:val="21"/>
                      <w:szCs w:val="21"/>
                      <w:highlight w:val="none"/>
                      <w:u w:val="none" w:color="auto"/>
                      <w:lang w:val="en-US" w:eastAsia="zh-CN" w:bidi="ar-SA"/>
                    </w:rPr>
                  </w:pPr>
                  <w:r>
                    <w:rPr>
                      <w:rFonts w:hint="default" w:ascii="Times New Roman" w:hAnsi="Times New Roman" w:eastAsia="宋体" w:cs="Times New Roman"/>
                      <w:i w:val="0"/>
                      <w:iCs w:val="0"/>
                      <w:color w:val="auto"/>
                      <w:kern w:val="0"/>
                      <w:sz w:val="21"/>
                      <w:szCs w:val="21"/>
                      <w:u w:val="none" w:color="auto"/>
                      <w:lang w:val="en-US" w:eastAsia="zh-CN" w:bidi="ar"/>
                    </w:rPr>
                    <w:t>52.5</w:t>
                  </w:r>
                </w:p>
              </w:tc>
              <w:tc>
                <w:tcPr>
                  <w:tcW w:w="933" w:type="pct"/>
                  <w:noWrap w:val="0"/>
                  <w:vAlign w:val="center"/>
                </w:tcPr>
                <w:p w14:paraId="343855DD">
                  <w:pPr>
                    <w:keepNext w:val="0"/>
                    <w:keepLines w:val="0"/>
                    <w:widowControl/>
                    <w:suppressLineNumbers w:val="0"/>
                    <w:jc w:val="center"/>
                    <w:textAlignment w:val="center"/>
                    <w:rPr>
                      <w:rFonts w:hint="default" w:ascii="Times New Roman" w:hAnsi="Times New Roman" w:eastAsia="宋体" w:cs="Times New Roman"/>
                      <w:color w:val="auto"/>
                      <w:spacing w:val="0"/>
                      <w:kern w:val="0"/>
                      <w:szCs w:val="21"/>
                      <w:highlight w:val="none"/>
                      <w:u w:val="none" w:color="auto"/>
                      <w:lang w:bidi="ar"/>
                    </w:rPr>
                  </w:pPr>
                  <w:r>
                    <w:rPr>
                      <w:rFonts w:hint="default" w:ascii="Times New Roman" w:hAnsi="Times New Roman" w:eastAsia="宋体" w:cs="Times New Roman"/>
                      <w:i w:val="0"/>
                      <w:iCs w:val="0"/>
                      <w:color w:val="auto"/>
                      <w:kern w:val="0"/>
                      <w:sz w:val="21"/>
                      <w:szCs w:val="21"/>
                      <w:u w:val="none" w:color="auto"/>
                      <w:lang w:val="en-US" w:eastAsia="zh-CN" w:bidi="ar"/>
                    </w:rPr>
                    <w:t xml:space="preserve">0.1372 </w:t>
                  </w:r>
                </w:p>
              </w:tc>
            </w:tr>
            <w:tr w14:paraId="3E245FA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gridAfter w:val="1"/>
                <w:wAfter w:w="1" w:type="pct"/>
                <w:trHeight w:val="23" w:hRule="atLeast"/>
                <w:jc w:val="center"/>
              </w:trPr>
              <w:tc>
                <w:tcPr>
                  <w:tcW w:w="561" w:type="pct"/>
                  <w:vMerge w:val="continue"/>
                  <w:noWrap w:val="0"/>
                  <w:vAlign w:val="top"/>
                </w:tcPr>
                <w:p w14:paraId="3A52BE29">
                  <w:pPr>
                    <w:wordWrap/>
                    <w:topLinePunct w:val="0"/>
                    <w:bidi w:val="0"/>
                    <w:adjustRightInd/>
                    <w:snapToGrid/>
                    <w:jc w:val="center"/>
                    <w:rPr>
                      <w:rFonts w:hint="default" w:ascii="Times New Roman" w:hAnsi="Times New Roman" w:eastAsia="宋体" w:cs="Times New Roman"/>
                      <w:color w:val="auto"/>
                      <w:spacing w:val="0"/>
                      <w:szCs w:val="21"/>
                      <w:highlight w:val="none"/>
                      <w:u w:val="none" w:color="auto"/>
                    </w:rPr>
                  </w:pPr>
                </w:p>
              </w:tc>
              <w:tc>
                <w:tcPr>
                  <w:tcW w:w="855" w:type="pct"/>
                  <w:noWrap w:val="0"/>
                  <w:vAlign w:val="center"/>
                </w:tcPr>
                <w:p w14:paraId="25DE174C">
                  <w:pPr>
                    <w:wordWrap/>
                    <w:topLinePunct w:val="0"/>
                    <w:bidi w:val="0"/>
                    <w:adjustRightInd/>
                    <w:snapToGrid/>
                    <w:ind w:left="-105" w:leftChars="-50" w:right="-105" w:rightChars="-50"/>
                    <w:jc w:val="center"/>
                    <w:rPr>
                      <w:rFonts w:hint="default" w:ascii="Times New Roman" w:hAnsi="Times New Roman" w:eastAsia="宋体" w:cs="Times New Roman"/>
                      <w:color w:val="auto"/>
                      <w:spacing w:val="0"/>
                      <w:kern w:val="2"/>
                      <w:sz w:val="21"/>
                      <w:szCs w:val="21"/>
                      <w:highlight w:val="none"/>
                      <w:u w:val="none" w:color="auto"/>
                      <w:lang w:val="en-US" w:eastAsia="zh-CN" w:bidi="ar-SA"/>
                    </w:rPr>
                  </w:pPr>
                  <w:r>
                    <w:rPr>
                      <w:rFonts w:hint="default" w:ascii="Times New Roman" w:hAnsi="Times New Roman" w:eastAsia="宋体" w:cs="Times New Roman"/>
                      <w:color w:val="auto"/>
                      <w:spacing w:val="0"/>
                      <w:szCs w:val="21"/>
                      <w:highlight w:val="none"/>
                      <w:u w:val="none" w:color="auto"/>
                    </w:rPr>
                    <w:t>动植物油</w:t>
                  </w:r>
                </w:p>
              </w:tc>
              <w:tc>
                <w:tcPr>
                  <w:tcW w:w="856" w:type="pct"/>
                  <w:noWrap w:val="0"/>
                  <w:vAlign w:val="center"/>
                </w:tcPr>
                <w:p w14:paraId="432AD002">
                  <w:pPr>
                    <w:wordWrap/>
                    <w:topLinePunct w:val="0"/>
                    <w:bidi w:val="0"/>
                    <w:adjustRightInd/>
                    <w:snapToGrid/>
                    <w:ind w:left="-105" w:leftChars="-50" w:right="-105" w:rightChars="-50"/>
                    <w:jc w:val="center"/>
                    <w:rPr>
                      <w:rFonts w:hint="default" w:ascii="Times New Roman" w:hAnsi="Times New Roman" w:eastAsia="宋体" w:cs="Times New Roman"/>
                      <w:color w:val="auto"/>
                      <w:spacing w:val="0"/>
                      <w:kern w:val="2"/>
                      <w:sz w:val="21"/>
                      <w:szCs w:val="21"/>
                      <w:highlight w:val="none"/>
                      <w:u w:val="none" w:color="auto"/>
                      <w:lang w:val="en-US" w:eastAsia="zh-CN" w:bidi="ar-SA"/>
                    </w:rPr>
                  </w:pPr>
                  <w:r>
                    <w:rPr>
                      <w:rFonts w:hint="default" w:ascii="Times New Roman" w:hAnsi="Times New Roman" w:eastAsia="宋体" w:cs="Times New Roman"/>
                      <w:color w:val="auto"/>
                      <w:spacing w:val="0"/>
                      <w:szCs w:val="21"/>
                      <w:highlight w:val="none"/>
                      <w:u w:val="none" w:color="auto"/>
                      <w:lang w:val="en-US" w:eastAsia="zh-CN"/>
                    </w:rPr>
                    <w:t>3.84</w:t>
                  </w:r>
                </w:p>
              </w:tc>
              <w:tc>
                <w:tcPr>
                  <w:tcW w:w="933" w:type="pct"/>
                  <w:noWrap w:val="0"/>
                  <w:vAlign w:val="center"/>
                </w:tcPr>
                <w:p w14:paraId="30BC45E3">
                  <w:pPr>
                    <w:keepNext w:val="0"/>
                    <w:keepLines w:val="0"/>
                    <w:widowControl/>
                    <w:suppressLineNumbers w:val="0"/>
                    <w:jc w:val="center"/>
                    <w:textAlignment w:val="center"/>
                    <w:rPr>
                      <w:rFonts w:hint="default" w:ascii="Times New Roman" w:hAnsi="Times New Roman" w:eastAsia="宋体" w:cs="Times New Roman"/>
                      <w:color w:val="auto"/>
                      <w:spacing w:val="0"/>
                      <w:kern w:val="0"/>
                      <w:szCs w:val="21"/>
                      <w:highlight w:val="none"/>
                      <w:u w:val="none" w:color="auto"/>
                      <w:lang w:bidi="ar"/>
                    </w:rPr>
                  </w:pPr>
                  <w:r>
                    <w:rPr>
                      <w:rFonts w:hint="default" w:ascii="Times New Roman" w:hAnsi="Times New Roman" w:eastAsia="宋体" w:cs="Times New Roman"/>
                      <w:i w:val="0"/>
                      <w:iCs w:val="0"/>
                      <w:color w:val="auto"/>
                      <w:kern w:val="0"/>
                      <w:sz w:val="21"/>
                      <w:szCs w:val="21"/>
                      <w:u w:val="none" w:color="auto"/>
                      <w:lang w:val="en-US" w:eastAsia="zh-CN" w:bidi="ar"/>
                    </w:rPr>
                    <w:t xml:space="preserve">0.0100 </w:t>
                  </w:r>
                </w:p>
              </w:tc>
              <w:tc>
                <w:tcPr>
                  <w:tcW w:w="857" w:type="pct"/>
                  <w:noWrap w:val="0"/>
                  <w:vAlign w:val="center"/>
                </w:tcPr>
                <w:p w14:paraId="2711C536">
                  <w:pPr>
                    <w:keepNext w:val="0"/>
                    <w:keepLines w:val="0"/>
                    <w:widowControl/>
                    <w:suppressLineNumbers w:val="0"/>
                    <w:jc w:val="center"/>
                    <w:textAlignment w:val="center"/>
                    <w:rPr>
                      <w:rFonts w:hint="default" w:ascii="Times New Roman" w:hAnsi="Times New Roman" w:eastAsia="宋体" w:cs="Times New Roman"/>
                      <w:color w:val="auto"/>
                      <w:spacing w:val="0"/>
                      <w:kern w:val="2"/>
                      <w:sz w:val="21"/>
                      <w:szCs w:val="21"/>
                      <w:highlight w:val="none"/>
                      <w:u w:val="none" w:color="auto"/>
                      <w:lang w:val="en-US" w:eastAsia="zh-CN" w:bidi="ar-SA"/>
                    </w:rPr>
                  </w:pPr>
                  <w:r>
                    <w:rPr>
                      <w:rFonts w:hint="default" w:ascii="Times New Roman" w:hAnsi="Times New Roman" w:eastAsia="宋体" w:cs="Times New Roman"/>
                      <w:i w:val="0"/>
                      <w:iCs w:val="0"/>
                      <w:color w:val="auto"/>
                      <w:kern w:val="0"/>
                      <w:sz w:val="21"/>
                      <w:szCs w:val="21"/>
                      <w:u w:val="none" w:color="auto"/>
                      <w:lang w:val="en-US" w:eastAsia="zh-CN" w:bidi="ar"/>
                    </w:rPr>
                    <w:t>0.576</w:t>
                  </w:r>
                </w:p>
              </w:tc>
              <w:tc>
                <w:tcPr>
                  <w:tcW w:w="933" w:type="pct"/>
                  <w:noWrap w:val="0"/>
                  <w:vAlign w:val="center"/>
                </w:tcPr>
                <w:p w14:paraId="3E8BAF11">
                  <w:pPr>
                    <w:keepNext w:val="0"/>
                    <w:keepLines w:val="0"/>
                    <w:widowControl/>
                    <w:suppressLineNumbers w:val="0"/>
                    <w:jc w:val="center"/>
                    <w:textAlignment w:val="center"/>
                    <w:rPr>
                      <w:rFonts w:hint="default" w:ascii="Times New Roman" w:hAnsi="Times New Roman" w:eastAsia="宋体" w:cs="Times New Roman"/>
                      <w:color w:val="auto"/>
                      <w:spacing w:val="0"/>
                      <w:kern w:val="0"/>
                      <w:szCs w:val="21"/>
                      <w:highlight w:val="none"/>
                      <w:u w:val="none" w:color="auto"/>
                      <w:lang w:val="en-US" w:bidi="ar"/>
                    </w:rPr>
                  </w:pPr>
                  <w:r>
                    <w:rPr>
                      <w:rFonts w:hint="default" w:ascii="Times New Roman" w:hAnsi="Times New Roman" w:eastAsia="宋体" w:cs="Times New Roman"/>
                      <w:i w:val="0"/>
                      <w:iCs w:val="0"/>
                      <w:color w:val="auto"/>
                      <w:kern w:val="0"/>
                      <w:sz w:val="21"/>
                      <w:szCs w:val="21"/>
                      <w:u w:val="none" w:color="auto"/>
                      <w:lang w:val="en-US" w:eastAsia="zh-CN" w:bidi="ar"/>
                    </w:rPr>
                    <w:t xml:space="preserve">0.0015 </w:t>
                  </w:r>
                </w:p>
              </w:tc>
            </w:tr>
          </w:tbl>
          <w:p w14:paraId="76179641">
            <w:pPr>
              <w:pStyle w:val="8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default" w:ascii="Times New Roman" w:hAnsi="Times New Roman" w:eastAsia="宋体" w:cs="Times New Roman"/>
                <w:b/>
                <w:bCs/>
                <w:color w:val="auto"/>
                <w:spacing w:val="0"/>
                <w:sz w:val="21"/>
                <w:szCs w:val="21"/>
                <w:highlight w:val="none"/>
                <w:u w:val="none" w:color="auto"/>
                <w:lang w:val="zh-CN"/>
              </w:rPr>
            </w:pPr>
            <w:r>
              <w:rPr>
                <w:rFonts w:hint="default" w:ascii="Times New Roman" w:hAnsi="Times New Roman" w:eastAsia="宋体" w:cs="Times New Roman"/>
                <w:b/>
                <w:bCs/>
                <w:color w:val="auto"/>
                <w:spacing w:val="0"/>
                <w:sz w:val="21"/>
                <w:szCs w:val="21"/>
                <w:highlight w:val="none"/>
                <w:u w:val="none" w:color="auto"/>
                <w:lang w:val="zh-CN"/>
              </w:rPr>
              <w:t>注：去除效率参考《村镇生活污染防治最佳可行技术指南（试行）》中化粪池对污染物的去除效率。</w:t>
            </w:r>
          </w:p>
          <w:p w14:paraId="74E6F0B9">
            <w:pPr>
              <w:pStyle w:val="86"/>
              <w:wordWrap/>
              <w:topLinePunct w:val="0"/>
              <w:bidi w:val="0"/>
              <w:adjustRightInd/>
              <w:snapToGrid/>
              <w:ind w:firstLine="480"/>
              <w:rPr>
                <w:rFonts w:hint="default" w:ascii="Times New Roman" w:hAnsi="Times New Roman" w:eastAsia="宋体" w:cs="Times New Roman"/>
                <w:color w:val="auto"/>
                <w:spacing w:val="0"/>
                <w:szCs w:val="24"/>
                <w:highlight w:val="none"/>
                <w:u w:val="none" w:color="auto"/>
                <w:lang w:val="zh-CN"/>
              </w:rPr>
            </w:pPr>
            <w:r>
              <w:rPr>
                <w:rFonts w:hint="default" w:ascii="Times New Roman" w:hAnsi="Times New Roman" w:eastAsia="宋体" w:cs="Times New Roman"/>
                <w:color w:val="auto"/>
                <w:spacing w:val="0"/>
                <w:szCs w:val="24"/>
                <w:highlight w:val="none"/>
                <w:u w:val="none" w:color="auto"/>
                <w:lang w:val="zh-CN"/>
              </w:rPr>
              <w:t>生活污水经预处理后，通过厂区排水管网进入园区污水管网，进而排入</w:t>
            </w:r>
            <w:r>
              <w:rPr>
                <w:rFonts w:hint="default" w:ascii="Times New Roman" w:hAnsi="Times New Roman" w:eastAsia="宋体" w:cs="Times New Roman"/>
                <w:color w:val="auto"/>
                <w:spacing w:val="0"/>
                <w:szCs w:val="24"/>
                <w:highlight w:val="none"/>
                <w:u w:val="none" w:color="auto"/>
                <w:lang w:eastAsia="zh-CN"/>
              </w:rPr>
              <w:t>污水处理厂</w:t>
            </w:r>
            <w:r>
              <w:rPr>
                <w:rFonts w:hint="default" w:ascii="Times New Roman" w:hAnsi="Times New Roman" w:eastAsia="宋体" w:cs="Times New Roman"/>
                <w:color w:val="auto"/>
                <w:spacing w:val="0"/>
                <w:szCs w:val="24"/>
                <w:highlight w:val="none"/>
                <w:u w:val="none" w:color="auto"/>
              </w:rPr>
              <w:t>。</w:t>
            </w:r>
          </w:p>
          <w:p w14:paraId="4AA05A2E">
            <w:pPr>
              <w:pStyle w:val="55"/>
              <w:ind w:firstLine="482"/>
              <w:rPr>
                <w:rFonts w:hint="default" w:ascii="Times New Roman" w:hAnsi="Times New Roman" w:eastAsia="宋体" w:cs="Times New Roman"/>
                <w:b/>
                <w:bCs/>
                <w:color w:val="auto"/>
                <w:spacing w:val="0"/>
                <w:u w:val="none" w:color="auto"/>
                <w:lang w:val="en-US" w:eastAsia="zh-CN"/>
              </w:rPr>
            </w:pPr>
            <w:r>
              <w:rPr>
                <w:rFonts w:hint="default" w:ascii="Times New Roman" w:hAnsi="Times New Roman" w:eastAsia="宋体" w:cs="Times New Roman"/>
                <w:b/>
                <w:bCs/>
                <w:color w:val="auto"/>
                <w:spacing w:val="0"/>
                <w:u w:val="none" w:color="auto"/>
                <w:lang w:val="en-US" w:eastAsia="zh-CN"/>
              </w:rPr>
              <w:t>（2）生产废水</w:t>
            </w:r>
          </w:p>
          <w:p w14:paraId="323DAC74">
            <w:pPr>
              <w:pStyle w:val="55"/>
              <w:ind w:firstLine="482"/>
              <w:rPr>
                <w:rFonts w:hint="default" w:ascii="Times New Roman" w:hAnsi="Times New Roman" w:eastAsia="宋体" w:cs="Times New Roman"/>
                <w:b w:val="0"/>
                <w:bCs w:val="0"/>
                <w:color w:val="auto"/>
                <w:spacing w:val="0"/>
                <w:u w:val="none" w:color="auto"/>
                <w:lang w:val="en-US" w:eastAsia="zh-CN"/>
              </w:rPr>
            </w:pPr>
            <w:r>
              <w:rPr>
                <w:rFonts w:hint="default" w:ascii="Times New Roman" w:hAnsi="Times New Roman" w:eastAsia="宋体" w:cs="Times New Roman"/>
                <w:b w:val="0"/>
                <w:bCs w:val="0"/>
                <w:color w:val="auto"/>
                <w:spacing w:val="0"/>
                <w:u w:val="none" w:color="auto"/>
                <w:lang w:val="en-US" w:eastAsia="zh-CN"/>
              </w:rPr>
              <w:t>项目中创空天厂区生产废水主要为铝合金熔铸二厂定期排放的间接循环冷却水。</w:t>
            </w:r>
          </w:p>
          <w:p w14:paraId="25678E28">
            <w:pPr>
              <w:pStyle w:val="55"/>
              <w:ind w:firstLine="482"/>
              <w:rPr>
                <w:rFonts w:hint="default" w:ascii="Times New Roman" w:hAnsi="Times New Roman" w:eastAsia="宋体" w:cs="Times New Roman"/>
                <w:bCs/>
                <w:color w:val="auto"/>
                <w:sz w:val="24"/>
                <w:highlight w:val="none"/>
                <w:u w:val="none" w:color="auto"/>
                <w:lang w:val="en-US" w:eastAsia="zh-CN"/>
              </w:rPr>
            </w:pPr>
            <w:r>
              <w:rPr>
                <w:rFonts w:hint="default" w:ascii="Times New Roman" w:hAnsi="Times New Roman" w:eastAsia="宋体" w:cs="Times New Roman"/>
                <w:b w:val="0"/>
                <w:bCs w:val="0"/>
                <w:color w:val="auto"/>
                <w:spacing w:val="0"/>
                <w:u w:val="none" w:color="auto"/>
                <w:lang w:val="en-US" w:eastAsia="zh-CN"/>
              </w:rPr>
              <w:t>根据水平衡分析可知，铝合金熔铸二厂定期排放的间接循环冷却水排放量约为</w:t>
            </w:r>
            <w:r>
              <w:rPr>
                <w:rFonts w:hint="default" w:ascii="Times New Roman" w:hAnsi="Times New Roman" w:eastAsia="宋体" w:cs="Times New Roman"/>
                <w:bCs/>
                <w:color w:val="auto"/>
                <w:sz w:val="24"/>
                <w:highlight w:val="none"/>
                <w:u w:val="none" w:color="auto"/>
                <w:lang w:val="en-US" w:eastAsia="zh-CN"/>
              </w:rPr>
              <w:t>16m</w:t>
            </w:r>
            <w:r>
              <w:rPr>
                <w:rFonts w:hint="default" w:ascii="Times New Roman" w:hAnsi="Times New Roman" w:eastAsia="宋体" w:cs="Times New Roman"/>
                <w:bCs/>
                <w:color w:val="auto"/>
                <w:sz w:val="24"/>
                <w:highlight w:val="none"/>
                <w:u w:val="none" w:color="auto"/>
                <w:vertAlign w:val="superscript"/>
                <w:lang w:val="en-US" w:eastAsia="zh-CN"/>
              </w:rPr>
              <w:t>3</w:t>
            </w:r>
            <w:r>
              <w:rPr>
                <w:rFonts w:hint="default" w:ascii="Times New Roman" w:hAnsi="Times New Roman" w:eastAsia="宋体" w:cs="Times New Roman"/>
                <w:bCs/>
                <w:color w:val="auto"/>
                <w:sz w:val="24"/>
                <w:highlight w:val="none"/>
                <w:u w:val="none" w:color="auto"/>
                <w:lang w:val="en-US" w:eastAsia="zh-CN"/>
              </w:rPr>
              <w:t>/a。该部分间接冷却水不与生产材料及产品等进行直接接触，未添加冷却剂、杀菌剂等药剂，主要污染物为悬浮物等，水质简单，可直接排入市政污水管网。</w:t>
            </w:r>
          </w:p>
          <w:p w14:paraId="3EC5CF60">
            <w:pPr>
              <w:spacing w:line="360" w:lineRule="auto"/>
              <w:ind w:firstLine="482" w:firstLineChars="200"/>
              <w:rPr>
                <w:rFonts w:hint="default" w:ascii="Times New Roman" w:hAnsi="Times New Roman" w:eastAsia="宋体" w:cs="Times New Roman"/>
                <w:b/>
                <w:bCs/>
                <w:color w:val="auto"/>
                <w:spacing w:val="0"/>
                <w:sz w:val="24"/>
                <w:u w:val="none" w:color="auto"/>
                <w:lang w:val="en-US" w:eastAsia="zh-CN"/>
              </w:rPr>
            </w:pPr>
            <w:r>
              <w:rPr>
                <w:rFonts w:hint="default" w:ascii="Times New Roman" w:hAnsi="Times New Roman" w:eastAsia="宋体" w:cs="Times New Roman"/>
                <w:b/>
                <w:bCs/>
                <w:color w:val="auto"/>
                <w:spacing w:val="0"/>
                <w:sz w:val="24"/>
                <w:u w:val="none" w:color="auto"/>
                <w:lang w:val="en-US" w:eastAsia="zh-CN"/>
              </w:rPr>
              <w:t>2、临港高新产业园区</w:t>
            </w:r>
          </w:p>
          <w:p w14:paraId="2DA34050">
            <w:pPr>
              <w:spacing w:line="360" w:lineRule="auto"/>
              <w:ind w:firstLine="482" w:firstLineChars="200"/>
              <w:rPr>
                <w:rFonts w:hint="default" w:ascii="Times New Roman" w:hAnsi="Times New Roman" w:eastAsia="宋体" w:cs="Times New Roman"/>
                <w:b/>
                <w:bCs/>
                <w:color w:val="auto"/>
                <w:spacing w:val="0"/>
                <w:sz w:val="24"/>
                <w:u w:val="none" w:color="auto"/>
              </w:rPr>
            </w:pPr>
            <w:r>
              <w:rPr>
                <w:rFonts w:hint="default" w:ascii="Times New Roman" w:hAnsi="Times New Roman" w:eastAsia="宋体" w:cs="Times New Roman"/>
                <w:b/>
                <w:bCs/>
                <w:color w:val="auto"/>
                <w:spacing w:val="0"/>
                <w:sz w:val="24"/>
                <w:u w:val="none" w:color="auto"/>
                <w:lang w:val="en-US" w:eastAsia="zh-CN"/>
              </w:rPr>
              <w:t>（1）</w:t>
            </w:r>
            <w:r>
              <w:rPr>
                <w:rFonts w:hint="default" w:ascii="Times New Roman" w:hAnsi="Times New Roman" w:eastAsia="宋体" w:cs="Times New Roman"/>
                <w:b/>
                <w:bCs/>
                <w:color w:val="auto"/>
                <w:spacing w:val="0"/>
                <w:sz w:val="24"/>
                <w:u w:val="none" w:color="auto"/>
              </w:rPr>
              <w:t>生活污水</w:t>
            </w:r>
          </w:p>
          <w:p w14:paraId="6DC5A463">
            <w:pPr>
              <w:wordWrap/>
              <w:topLinePunct w:val="0"/>
              <w:bidi w:val="0"/>
              <w:adjustRightInd/>
              <w:snapToGrid/>
              <w:spacing w:line="360" w:lineRule="auto"/>
              <w:ind w:firstLine="480" w:firstLineChars="200"/>
              <w:jc w:val="left"/>
              <w:rPr>
                <w:rFonts w:hint="default" w:ascii="Times New Roman" w:hAnsi="Times New Roman" w:eastAsia="宋体" w:cs="Times New Roman"/>
                <w:color w:val="auto"/>
                <w:spacing w:val="0"/>
                <w:sz w:val="24"/>
                <w:szCs w:val="32"/>
                <w:highlight w:val="none"/>
                <w:u w:val="none" w:color="auto"/>
              </w:rPr>
            </w:pPr>
            <w:r>
              <w:rPr>
                <w:rFonts w:hint="default" w:ascii="Times New Roman" w:hAnsi="Times New Roman" w:eastAsia="宋体" w:cs="Times New Roman"/>
                <w:bCs/>
                <w:color w:val="auto"/>
                <w:spacing w:val="0"/>
                <w:sz w:val="24"/>
                <w:szCs w:val="24"/>
                <w:highlight w:val="none"/>
                <w:u w:val="none" w:color="auto"/>
                <w:lang w:val="zh-CN"/>
              </w:rPr>
              <w:t>根据水平衡分析可知，项目中创空天厂区预计</w:t>
            </w:r>
            <w:r>
              <w:rPr>
                <w:rFonts w:hint="default" w:ascii="Times New Roman" w:hAnsi="Times New Roman" w:eastAsia="宋体" w:cs="Times New Roman"/>
                <w:bCs/>
                <w:color w:val="auto"/>
                <w:spacing w:val="0"/>
                <w:sz w:val="24"/>
                <w:szCs w:val="24"/>
                <w:highlight w:val="none"/>
                <w:u w:val="none" w:color="auto"/>
                <w:lang w:val="en-US" w:eastAsia="zh-CN"/>
              </w:rPr>
              <w:t>新增</w:t>
            </w:r>
            <w:r>
              <w:rPr>
                <w:rFonts w:hint="default" w:ascii="Times New Roman" w:hAnsi="Times New Roman" w:eastAsia="宋体" w:cs="Times New Roman"/>
                <w:color w:val="auto"/>
                <w:spacing w:val="0"/>
                <w:sz w:val="24"/>
                <w:szCs w:val="24"/>
                <w:highlight w:val="none"/>
                <w:u w:val="none" w:color="auto"/>
                <w:lang w:val="zh-CN"/>
              </w:rPr>
              <w:t>生活污水约为</w:t>
            </w:r>
            <w:r>
              <w:rPr>
                <w:rFonts w:hint="default" w:ascii="Times New Roman" w:hAnsi="Times New Roman" w:eastAsia="宋体" w:cs="Times New Roman"/>
                <w:color w:val="auto"/>
                <w:sz w:val="24"/>
                <w:szCs w:val="24"/>
                <w:u w:val="none" w:color="auto"/>
                <w:lang w:val="en-US" w:eastAsia="zh-CN"/>
              </w:rPr>
              <w:t>3374.4</w:t>
            </w:r>
            <w:r>
              <w:rPr>
                <w:rFonts w:hint="default" w:ascii="Times New Roman" w:hAnsi="Times New Roman" w:eastAsia="宋体" w:cs="Times New Roman"/>
                <w:color w:val="auto"/>
                <w:spacing w:val="0"/>
                <w:sz w:val="24"/>
                <w:szCs w:val="24"/>
                <w:highlight w:val="none"/>
                <w:u w:val="none" w:color="auto"/>
                <w:lang w:val="zh-CN"/>
              </w:rPr>
              <w:t>m</w:t>
            </w:r>
            <w:r>
              <w:rPr>
                <w:rFonts w:hint="default" w:ascii="Times New Roman" w:hAnsi="Times New Roman" w:eastAsia="宋体" w:cs="Times New Roman"/>
                <w:color w:val="auto"/>
                <w:spacing w:val="0"/>
                <w:sz w:val="24"/>
                <w:szCs w:val="24"/>
                <w:highlight w:val="none"/>
                <w:u w:val="none" w:color="auto"/>
                <w:vertAlign w:val="superscript"/>
                <w:lang w:val="zh-CN"/>
              </w:rPr>
              <w:t>3</w:t>
            </w:r>
            <w:r>
              <w:rPr>
                <w:rFonts w:hint="default" w:ascii="Times New Roman" w:hAnsi="Times New Roman" w:eastAsia="宋体" w:cs="Times New Roman"/>
                <w:color w:val="auto"/>
                <w:spacing w:val="0"/>
                <w:sz w:val="24"/>
                <w:szCs w:val="24"/>
                <w:highlight w:val="none"/>
                <w:u w:val="none" w:color="auto"/>
                <w:lang w:val="zh-CN"/>
              </w:rPr>
              <w:t>/a</w:t>
            </w:r>
            <w:r>
              <w:rPr>
                <w:rFonts w:hint="default" w:ascii="Times New Roman" w:hAnsi="Times New Roman" w:eastAsia="宋体" w:cs="Times New Roman"/>
                <w:b/>
                <w:bCs/>
                <w:color w:val="auto"/>
                <w:spacing w:val="0"/>
                <w:kern w:val="0"/>
                <w:sz w:val="24"/>
                <w:szCs w:val="24"/>
                <w:highlight w:val="none"/>
                <w:u w:val="none" w:color="auto"/>
                <w:lang w:bidi="ar"/>
              </w:rPr>
              <w:t>。</w:t>
            </w:r>
            <w:r>
              <w:rPr>
                <w:rFonts w:hint="default" w:ascii="Times New Roman" w:hAnsi="Times New Roman" w:eastAsia="宋体" w:cs="Times New Roman"/>
                <w:color w:val="auto"/>
                <w:spacing w:val="0"/>
                <w:sz w:val="24"/>
                <w:szCs w:val="24"/>
                <w:highlight w:val="none"/>
                <w:u w:val="none" w:color="auto"/>
                <w:lang w:eastAsia="zh-CN"/>
              </w:rPr>
              <w:t>根据</w:t>
            </w:r>
            <w:r>
              <w:rPr>
                <w:rFonts w:hint="default" w:ascii="Times New Roman" w:hAnsi="Times New Roman" w:eastAsia="宋体" w:cs="Times New Roman"/>
                <w:color w:val="auto"/>
                <w:spacing w:val="0"/>
                <w:sz w:val="24"/>
                <w:szCs w:val="24"/>
                <w:highlight w:val="none"/>
                <w:u w:val="none" w:color="auto"/>
              </w:rPr>
              <w:t>《排放源统计调查产排污核算方法和系数手册》</w:t>
            </w:r>
            <w:r>
              <w:rPr>
                <w:rFonts w:hint="default" w:ascii="Times New Roman" w:hAnsi="Times New Roman" w:eastAsia="宋体" w:cs="Times New Roman"/>
                <w:color w:val="auto"/>
                <w:spacing w:val="0"/>
                <w:sz w:val="24"/>
                <w:szCs w:val="24"/>
                <w:highlight w:val="none"/>
                <w:u w:val="none" w:color="auto"/>
                <w:lang w:val="en-US" w:eastAsia="zh-CN"/>
              </w:rPr>
              <w:t>中的《</w:t>
            </w:r>
            <w:r>
              <w:rPr>
                <w:rFonts w:hint="default" w:ascii="Times New Roman" w:hAnsi="Times New Roman" w:eastAsia="宋体" w:cs="Times New Roman"/>
                <w:color w:val="auto"/>
                <w:spacing w:val="0"/>
                <w:sz w:val="24"/>
                <w:szCs w:val="24"/>
                <w:highlight w:val="none"/>
                <w:u w:val="none" w:color="auto"/>
                <w:lang w:eastAsia="zh-CN"/>
              </w:rPr>
              <w:t>生活污染源产排污系数手册</w:t>
            </w:r>
            <w:r>
              <w:rPr>
                <w:rFonts w:hint="default" w:ascii="Times New Roman" w:hAnsi="Times New Roman" w:eastAsia="宋体" w:cs="Times New Roman"/>
                <w:color w:val="auto"/>
                <w:spacing w:val="0"/>
                <w:sz w:val="24"/>
                <w:szCs w:val="24"/>
                <w:highlight w:val="none"/>
                <w:u w:val="none" w:color="auto"/>
                <w:lang w:val="en-US" w:eastAsia="zh-CN"/>
              </w:rPr>
              <w:t>》中表1-1五区城镇生活污水污染物产污校核系数的产污系数平均值，其中SS、BOD</w:t>
            </w:r>
            <w:r>
              <w:rPr>
                <w:rFonts w:hint="default" w:ascii="Times New Roman" w:hAnsi="Times New Roman" w:eastAsia="宋体" w:cs="Times New Roman"/>
                <w:color w:val="auto"/>
                <w:spacing w:val="0"/>
                <w:sz w:val="24"/>
                <w:szCs w:val="24"/>
                <w:highlight w:val="none"/>
                <w:u w:val="none" w:color="auto"/>
                <w:vertAlign w:val="subscript"/>
              </w:rPr>
              <w:t>5</w:t>
            </w:r>
            <w:r>
              <w:rPr>
                <w:rFonts w:hint="default" w:ascii="Times New Roman" w:hAnsi="Times New Roman" w:eastAsia="宋体" w:cs="Times New Roman"/>
                <w:color w:val="auto"/>
                <w:spacing w:val="0"/>
                <w:sz w:val="24"/>
                <w:szCs w:val="24"/>
                <w:highlight w:val="none"/>
                <w:u w:val="none" w:color="auto"/>
                <w:lang w:val="en-US" w:eastAsia="zh-CN"/>
              </w:rPr>
              <w:t>和动植物油参考类似生活污水监测值</w:t>
            </w:r>
            <w:r>
              <w:rPr>
                <w:rFonts w:hint="default" w:ascii="Times New Roman" w:hAnsi="Times New Roman" w:eastAsia="宋体" w:cs="Times New Roman"/>
                <w:color w:val="auto"/>
                <w:spacing w:val="0"/>
                <w:sz w:val="24"/>
                <w:szCs w:val="24"/>
                <w:highlight w:val="none"/>
                <w:u w:val="none" w:color="auto"/>
                <w:lang w:eastAsia="zh-CN"/>
              </w:rPr>
              <w:t>，</w:t>
            </w:r>
            <w:r>
              <w:rPr>
                <w:rFonts w:hint="default" w:ascii="Times New Roman" w:hAnsi="Times New Roman" w:eastAsia="宋体" w:cs="Times New Roman"/>
                <w:color w:val="auto"/>
                <w:spacing w:val="0"/>
                <w:sz w:val="24"/>
                <w:szCs w:val="24"/>
                <w:highlight w:val="none"/>
                <w:u w:val="none" w:color="auto"/>
              </w:rPr>
              <w:t>COD</w:t>
            </w:r>
            <w:r>
              <w:rPr>
                <w:rFonts w:hint="default" w:ascii="Times New Roman" w:hAnsi="Times New Roman" w:eastAsia="宋体" w:cs="Times New Roman"/>
                <w:color w:val="auto"/>
                <w:spacing w:val="0"/>
                <w:sz w:val="24"/>
                <w:szCs w:val="24"/>
                <w:highlight w:val="none"/>
                <w:u w:val="none" w:color="auto"/>
                <w:vertAlign w:val="subscript"/>
              </w:rPr>
              <w:t>Cr</w:t>
            </w:r>
            <w:r>
              <w:rPr>
                <w:rFonts w:hint="default" w:ascii="Times New Roman" w:hAnsi="Times New Roman" w:eastAsia="宋体" w:cs="Times New Roman"/>
                <w:color w:val="auto"/>
                <w:spacing w:val="0"/>
                <w:sz w:val="24"/>
                <w:szCs w:val="24"/>
                <w:highlight w:val="none"/>
                <w:u w:val="none" w:color="auto"/>
              </w:rPr>
              <w:t>、BOD</w:t>
            </w:r>
            <w:r>
              <w:rPr>
                <w:rFonts w:hint="default" w:ascii="Times New Roman" w:hAnsi="Times New Roman" w:eastAsia="宋体" w:cs="Times New Roman"/>
                <w:color w:val="auto"/>
                <w:spacing w:val="0"/>
                <w:sz w:val="24"/>
                <w:szCs w:val="24"/>
                <w:highlight w:val="none"/>
                <w:u w:val="none" w:color="auto"/>
                <w:vertAlign w:val="subscript"/>
              </w:rPr>
              <w:t>5</w:t>
            </w:r>
            <w:r>
              <w:rPr>
                <w:rFonts w:hint="default" w:ascii="Times New Roman" w:hAnsi="Times New Roman" w:eastAsia="宋体" w:cs="Times New Roman"/>
                <w:color w:val="auto"/>
                <w:spacing w:val="0"/>
                <w:sz w:val="24"/>
                <w:szCs w:val="24"/>
                <w:highlight w:val="none"/>
                <w:u w:val="none" w:color="auto"/>
              </w:rPr>
              <w:t>、NH</w:t>
            </w:r>
            <w:r>
              <w:rPr>
                <w:rFonts w:hint="default" w:ascii="Times New Roman" w:hAnsi="Times New Roman" w:eastAsia="宋体" w:cs="Times New Roman"/>
                <w:color w:val="auto"/>
                <w:spacing w:val="0"/>
                <w:sz w:val="24"/>
                <w:szCs w:val="24"/>
                <w:highlight w:val="none"/>
                <w:u w:val="none" w:color="auto"/>
                <w:vertAlign w:val="subscript"/>
              </w:rPr>
              <w:t>3</w:t>
            </w:r>
            <w:r>
              <w:rPr>
                <w:rFonts w:hint="default" w:ascii="Times New Roman" w:hAnsi="Times New Roman" w:eastAsia="宋体" w:cs="Times New Roman"/>
                <w:color w:val="auto"/>
                <w:spacing w:val="0"/>
                <w:sz w:val="24"/>
                <w:szCs w:val="24"/>
                <w:highlight w:val="none"/>
                <w:u w:val="none" w:color="auto"/>
              </w:rPr>
              <w:t>-N</w:t>
            </w:r>
            <w:r>
              <w:rPr>
                <w:rFonts w:hint="default" w:ascii="Times New Roman" w:hAnsi="Times New Roman" w:eastAsia="宋体" w:cs="Times New Roman"/>
                <w:color w:val="auto"/>
                <w:spacing w:val="0"/>
                <w:sz w:val="24"/>
                <w:szCs w:val="24"/>
                <w:highlight w:val="none"/>
                <w:u w:val="none" w:color="auto"/>
                <w:lang w:eastAsia="zh-CN"/>
              </w:rPr>
              <w:t>、</w:t>
            </w:r>
            <w:r>
              <w:rPr>
                <w:rFonts w:hint="default" w:ascii="Times New Roman" w:hAnsi="Times New Roman" w:eastAsia="宋体" w:cs="Times New Roman"/>
                <w:color w:val="auto"/>
                <w:spacing w:val="0"/>
                <w:sz w:val="24"/>
                <w:szCs w:val="24"/>
                <w:highlight w:val="none"/>
                <w:u w:val="none" w:color="auto"/>
                <w:lang w:val="en-US" w:eastAsia="zh-CN"/>
              </w:rPr>
              <w:t>SS</w:t>
            </w:r>
            <w:r>
              <w:rPr>
                <w:rFonts w:hint="default" w:ascii="Times New Roman" w:hAnsi="Times New Roman" w:eastAsia="宋体" w:cs="Times New Roman"/>
                <w:color w:val="auto"/>
                <w:spacing w:val="0"/>
                <w:sz w:val="24"/>
                <w:szCs w:val="24"/>
                <w:highlight w:val="none"/>
                <w:u w:val="none" w:color="auto"/>
              </w:rPr>
              <w:t>和动植物油产生浓度分别为300mg/L、</w:t>
            </w:r>
            <w:r>
              <w:rPr>
                <w:rFonts w:hint="default" w:ascii="Times New Roman" w:hAnsi="Times New Roman" w:eastAsia="宋体" w:cs="Times New Roman"/>
                <w:color w:val="auto"/>
                <w:spacing w:val="0"/>
                <w:sz w:val="24"/>
                <w:szCs w:val="24"/>
                <w:highlight w:val="none"/>
                <w:u w:val="none" w:color="auto"/>
                <w:lang w:val="en-US" w:eastAsia="zh-CN"/>
              </w:rPr>
              <w:t>135</w:t>
            </w:r>
            <w:r>
              <w:rPr>
                <w:rFonts w:hint="default" w:ascii="Times New Roman" w:hAnsi="Times New Roman" w:eastAsia="宋体" w:cs="Times New Roman"/>
                <w:color w:val="auto"/>
                <w:spacing w:val="0"/>
                <w:sz w:val="24"/>
                <w:szCs w:val="24"/>
                <w:highlight w:val="none"/>
                <w:u w:val="none" w:color="auto"/>
              </w:rPr>
              <w:t>mg/L、</w:t>
            </w:r>
            <w:r>
              <w:rPr>
                <w:rFonts w:hint="default" w:ascii="Times New Roman" w:hAnsi="Times New Roman" w:eastAsia="宋体" w:cs="Times New Roman"/>
                <w:color w:val="auto"/>
                <w:spacing w:val="0"/>
                <w:sz w:val="24"/>
                <w:szCs w:val="24"/>
                <w:highlight w:val="none"/>
                <w:u w:val="none" w:color="auto"/>
                <w:lang w:val="en-US" w:eastAsia="zh-CN"/>
              </w:rPr>
              <w:t>23.6</w:t>
            </w:r>
            <w:r>
              <w:rPr>
                <w:rFonts w:hint="default" w:ascii="Times New Roman" w:hAnsi="Times New Roman" w:eastAsia="宋体" w:cs="Times New Roman"/>
                <w:color w:val="auto"/>
                <w:spacing w:val="0"/>
                <w:sz w:val="24"/>
                <w:szCs w:val="24"/>
                <w:highlight w:val="none"/>
                <w:u w:val="none" w:color="auto"/>
              </w:rPr>
              <w:t>mg/L、、</w:t>
            </w:r>
            <w:r>
              <w:rPr>
                <w:rFonts w:hint="default" w:ascii="Times New Roman" w:hAnsi="Times New Roman" w:eastAsia="宋体" w:cs="Times New Roman"/>
                <w:color w:val="auto"/>
                <w:spacing w:val="0"/>
                <w:sz w:val="24"/>
                <w:szCs w:val="24"/>
                <w:highlight w:val="none"/>
                <w:u w:val="none" w:color="auto"/>
                <w:lang w:val="en-US" w:eastAsia="zh-CN"/>
              </w:rPr>
              <w:t>150</w:t>
            </w:r>
            <w:r>
              <w:rPr>
                <w:rFonts w:hint="default" w:ascii="Times New Roman" w:hAnsi="Times New Roman" w:eastAsia="宋体" w:cs="Times New Roman"/>
                <w:color w:val="auto"/>
                <w:spacing w:val="0"/>
                <w:sz w:val="24"/>
                <w:szCs w:val="24"/>
                <w:highlight w:val="none"/>
                <w:u w:val="none" w:color="auto"/>
              </w:rPr>
              <w:t>mg/L、</w:t>
            </w:r>
            <w:r>
              <w:rPr>
                <w:rFonts w:hint="default" w:ascii="Times New Roman" w:hAnsi="Times New Roman" w:eastAsia="宋体" w:cs="Times New Roman"/>
                <w:color w:val="auto"/>
                <w:spacing w:val="0"/>
                <w:sz w:val="24"/>
                <w:szCs w:val="24"/>
                <w:highlight w:val="none"/>
                <w:u w:val="none" w:color="auto"/>
                <w:lang w:val="en-US" w:eastAsia="zh-CN"/>
              </w:rPr>
              <w:t>3.84</w:t>
            </w:r>
            <w:r>
              <w:rPr>
                <w:rFonts w:hint="default" w:ascii="Times New Roman" w:hAnsi="Times New Roman" w:eastAsia="宋体" w:cs="Times New Roman"/>
                <w:color w:val="auto"/>
                <w:spacing w:val="0"/>
                <w:sz w:val="24"/>
                <w:szCs w:val="24"/>
                <w:highlight w:val="none"/>
                <w:u w:val="none" w:color="auto"/>
              </w:rPr>
              <w:t>mg/L，生活污水经办公区化粪池处理（食堂废水经隔油</w:t>
            </w:r>
            <w:r>
              <w:rPr>
                <w:rFonts w:hint="default" w:ascii="Times New Roman" w:hAnsi="Times New Roman" w:eastAsia="宋体" w:cs="Times New Roman"/>
                <w:color w:val="auto"/>
                <w:spacing w:val="0"/>
                <w:sz w:val="24"/>
                <w:szCs w:val="24"/>
                <w:highlight w:val="none"/>
                <w:u w:val="none" w:color="auto"/>
                <w:lang w:eastAsia="zh-CN"/>
              </w:rPr>
              <w:t>化粪池</w:t>
            </w:r>
            <w:r>
              <w:rPr>
                <w:rFonts w:hint="default" w:ascii="Times New Roman" w:hAnsi="Times New Roman" w:eastAsia="宋体" w:cs="Times New Roman"/>
                <w:color w:val="auto"/>
                <w:spacing w:val="0"/>
                <w:sz w:val="24"/>
                <w:szCs w:val="24"/>
                <w:highlight w:val="none"/>
                <w:u w:val="none" w:color="auto"/>
              </w:rPr>
              <w:t>处理）后通过厂区污水排放口接入园区污水收集管网。</w:t>
            </w:r>
            <w:r>
              <w:rPr>
                <w:rFonts w:hint="default" w:ascii="Times New Roman" w:hAnsi="Times New Roman" w:eastAsia="宋体" w:cs="Times New Roman"/>
                <w:color w:val="auto"/>
                <w:spacing w:val="0"/>
                <w:sz w:val="24"/>
                <w:szCs w:val="22"/>
                <w:highlight w:val="none"/>
                <w:u w:val="none" w:color="auto"/>
              </w:rPr>
              <w:t>根据相关资料可知，化粪池对CODcr、SS、BOD</w:t>
            </w:r>
            <w:r>
              <w:rPr>
                <w:rFonts w:hint="default" w:ascii="Times New Roman" w:hAnsi="Times New Roman" w:eastAsia="宋体" w:cs="Times New Roman"/>
                <w:color w:val="auto"/>
                <w:spacing w:val="0"/>
                <w:sz w:val="24"/>
                <w:szCs w:val="22"/>
                <w:highlight w:val="none"/>
                <w:u w:val="none" w:color="auto"/>
                <w:vertAlign w:val="subscript"/>
              </w:rPr>
              <w:t>5</w:t>
            </w:r>
            <w:r>
              <w:rPr>
                <w:rFonts w:hint="default" w:ascii="Times New Roman" w:hAnsi="Times New Roman" w:eastAsia="宋体" w:cs="Times New Roman"/>
                <w:color w:val="auto"/>
                <w:spacing w:val="0"/>
                <w:sz w:val="24"/>
                <w:szCs w:val="22"/>
                <w:highlight w:val="none"/>
                <w:u w:val="none" w:color="auto"/>
              </w:rPr>
              <w:t>、NH</w:t>
            </w:r>
            <w:r>
              <w:rPr>
                <w:rFonts w:hint="default" w:ascii="Times New Roman" w:hAnsi="Times New Roman" w:eastAsia="宋体" w:cs="Times New Roman"/>
                <w:color w:val="auto"/>
                <w:spacing w:val="0"/>
                <w:sz w:val="24"/>
                <w:szCs w:val="22"/>
                <w:highlight w:val="none"/>
                <w:u w:val="none" w:color="auto"/>
                <w:vertAlign w:val="subscript"/>
              </w:rPr>
              <w:t>3</w:t>
            </w:r>
            <w:r>
              <w:rPr>
                <w:rFonts w:hint="default" w:ascii="Times New Roman" w:hAnsi="Times New Roman" w:eastAsia="宋体" w:cs="Times New Roman"/>
                <w:color w:val="auto"/>
                <w:spacing w:val="0"/>
                <w:sz w:val="24"/>
                <w:szCs w:val="22"/>
                <w:highlight w:val="none"/>
                <w:u w:val="none" w:color="auto"/>
              </w:rPr>
              <w:t>-N、动植物油的去除率分别为15%、30%、9%、3%、0%，则</w:t>
            </w:r>
            <w:r>
              <w:rPr>
                <w:rFonts w:hint="default" w:ascii="Times New Roman" w:hAnsi="Times New Roman" w:eastAsia="宋体" w:cs="Times New Roman"/>
                <w:color w:val="auto"/>
                <w:spacing w:val="0"/>
                <w:sz w:val="24"/>
                <w:szCs w:val="32"/>
                <w:highlight w:val="none"/>
                <w:u w:val="none" w:color="auto"/>
              </w:rPr>
              <w:t>食堂废水的产生和预处理后情况见</w:t>
            </w:r>
            <w:r>
              <w:rPr>
                <w:rFonts w:hint="default" w:ascii="Times New Roman" w:hAnsi="Times New Roman" w:eastAsia="宋体" w:cs="Times New Roman"/>
                <w:color w:val="auto"/>
                <w:spacing w:val="0"/>
                <w:sz w:val="24"/>
                <w:szCs w:val="32"/>
                <w:highlight w:val="none"/>
                <w:u w:val="none" w:color="auto"/>
                <w:lang w:val="en-US" w:eastAsia="zh-CN"/>
              </w:rPr>
              <w:t>下表</w:t>
            </w:r>
            <w:r>
              <w:rPr>
                <w:rFonts w:hint="default" w:ascii="Times New Roman" w:hAnsi="Times New Roman" w:eastAsia="宋体" w:cs="Times New Roman"/>
                <w:color w:val="auto"/>
                <w:spacing w:val="0"/>
                <w:sz w:val="24"/>
                <w:szCs w:val="32"/>
                <w:highlight w:val="none"/>
                <w:u w:val="none" w:color="auto"/>
              </w:rPr>
              <w:t>。</w:t>
            </w:r>
          </w:p>
          <w:p w14:paraId="6B17D40E">
            <w:pPr>
              <w:jc w:val="center"/>
              <w:rPr>
                <w:rFonts w:hint="default" w:ascii="Times New Roman" w:hAnsi="Times New Roman" w:eastAsia="宋体" w:cs="Times New Roman"/>
                <w:b/>
                <w:color w:val="auto"/>
                <w:spacing w:val="0"/>
                <w:sz w:val="21"/>
                <w:szCs w:val="21"/>
                <w:highlight w:val="none"/>
                <w:u w:val="none" w:color="auto"/>
              </w:rPr>
            </w:pPr>
            <w:r>
              <w:rPr>
                <w:rFonts w:hint="default" w:ascii="Times New Roman" w:hAnsi="Times New Roman" w:eastAsia="宋体" w:cs="Times New Roman"/>
                <w:b/>
                <w:color w:val="auto"/>
                <w:spacing w:val="0"/>
                <w:sz w:val="21"/>
                <w:szCs w:val="21"/>
                <w:highlight w:val="none"/>
                <w:u w:val="none" w:color="auto"/>
                <w:lang w:val="en-US" w:eastAsia="zh-CN"/>
              </w:rPr>
              <w:t xml:space="preserve">表4-24  </w:t>
            </w:r>
            <w:r>
              <w:rPr>
                <w:rFonts w:hint="default" w:ascii="Times New Roman" w:hAnsi="Times New Roman" w:eastAsia="宋体" w:cs="Times New Roman"/>
                <w:b/>
                <w:color w:val="auto"/>
                <w:spacing w:val="0"/>
                <w:sz w:val="21"/>
                <w:szCs w:val="21"/>
                <w:highlight w:val="none"/>
                <w:u w:val="none" w:color="auto"/>
                <w:lang w:eastAsia="zh-CN"/>
              </w:rPr>
              <w:t>生活污水</w:t>
            </w:r>
            <w:r>
              <w:rPr>
                <w:rFonts w:hint="default" w:ascii="Times New Roman" w:hAnsi="Times New Roman" w:eastAsia="宋体" w:cs="Times New Roman"/>
                <w:b/>
                <w:color w:val="auto"/>
                <w:spacing w:val="0"/>
                <w:sz w:val="21"/>
                <w:szCs w:val="21"/>
                <w:highlight w:val="none"/>
                <w:u w:val="none" w:color="auto"/>
              </w:rPr>
              <w:t>及预处理情况一览表</w:t>
            </w:r>
          </w:p>
          <w:tbl>
            <w:tblPr>
              <w:tblStyle w:val="31"/>
              <w:tblW w:w="4997"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08" w:type="dxa"/>
                <w:bottom w:w="0" w:type="dxa"/>
                <w:right w:w="108" w:type="dxa"/>
              </w:tblCellMar>
            </w:tblPr>
            <w:tblGrid>
              <w:gridCol w:w="955"/>
              <w:gridCol w:w="1456"/>
              <w:gridCol w:w="1458"/>
              <w:gridCol w:w="1589"/>
              <w:gridCol w:w="1460"/>
              <w:gridCol w:w="1589"/>
              <w:gridCol w:w="6"/>
            </w:tblGrid>
            <w:tr w14:paraId="463AD07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15" w:hRule="atLeast"/>
                <w:tblHeader/>
                <w:jc w:val="center"/>
              </w:trPr>
              <w:tc>
                <w:tcPr>
                  <w:tcW w:w="561" w:type="pct"/>
                  <w:vMerge w:val="restart"/>
                  <w:noWrap w:val="0"/>
                  <w:vAlign w:val="center"/>
                </w:tcPr>
                <w:p w14:paraId="69AEAA15">
                  <w:pPr>
                    <w:wordWrap/>
                    <w:topLinePunct w:val="0"/>
                    <w:bidi w:val="0"/>
                    <w:adjustRightInd/>
                    <w:snapToGrid/>
                    <w:jc w:val="center"/>
                    <w:rPr>
                      <w:rFonts w:hint="default" w:ascii="Times New Roman" w:hAnsi="Times New Roman" w:eastAsia="宋体" w:cs="Times New Roman"/>
                      <w:b/>
                      <w:bCs/>
                      <w:color w:val="auto"/>
                      <w:spacing w:val="0"/>
                      <w:szCs w:val="21"/>
                      <w:highlight w:val="none"/>
                      <w:u w:val="none" w:color="auto"/>
                    </w:rPr>
                  </w:pPr>
                  <w:r>
                    <w:rPr>
                      <w:rFonts w:hint="default" w:ascii="Times New Roman" w:hAnsi="Times New Roman" w:eastAsia="宋体" w:cs="Times New Roman"/>
                      <w:b/>
                      <w:bCs/>
                      <w:color w:val="auto"/>
                      <w:spacing w:val="0"/>
                      <w:szCs w:val="21"/>
                      <w:highlight w:val="none"/>
                      <w:u w:val="none" w:color="auto"/>
                    </w:rPr>
                    <w:t>产生环节</w:t>
                  </w:r>
                </w:p>
              </w:tc>
              <w:tc>
                <w:tcPr>
                  <w:tcW w:w="855" w:type="pct"/>
                  <w:vMerge w:val="restart"/>
                  <w:noWrap w:val="0"/>
                  <w:vAlign w:val="center"/>
                </w:tcPr>
                <w:p w14:paraId="4588D4DE">
                  <w:pPr>
                    <w:wordWrap/>
                    <w:topLinePunct w:val="0"/>
                    <w:bidi w:val="0"/>
                    <w:adjustRightInd/>
                    <w:snapToGrid/>
                    <w:jc w:val="center"/>
                    <w:rPr>
                      <w:rFonts w:hint="default" w:ascii="Times New Roman" w:hAnsi="Times New Roman" w:eastAsia="宋体" w:cs="Times New Roman"/>
                      <w:b/>
                      <w:bCs/>
                      <w:color w:val="auto"/>
                      <w:spacing w:val="0"/>
                      <w:szCs w:val="21"/>
                      <w:highlight w:val="none"/>
                      <w:u w:val="none" w:color="auto"/>
                    </w:rPr>
                  </w:pPr>
                  <w:r>
                    <w:rPr>
                      <w:rFonts w:hint="default" w:ascii="Times New Roman" w:hAnsi="Times New Roman" w:eastAsia="宋体" w:cs="Times New Roman"/>
                      <w:b/>
                      <w:bCs/>
                      <w:color w:val="auto"/>
                      <w:spacing w:val="0"/>
                      <w:szCs w:val="21"/>
                      <w:highlight w:val="none"/>
                      <w:u w:val="none" w:color="auto"/>
                    </w:rPr>
                    <w:t>指标</w:t>
                  </w:r>
                </w:p>
              </w:tc>
              <w:tc>
                <w:tcPr>
                  <w:tcW w:w="856" w:type="pct"/>
                  <w:vMerge w:val="restart"/>
                  <w:noWrap w:val="0"/>
                  <w:vAlign w:val="center"/>
                </w:tcPr>
                <w:p w14:paraId="4E6CF4B1">
                  <w:pPr>
                    <w:wordWrap/>
                    <w:topLinePunct w:val="0"/>
                    <w:bidi w:val="0"/>
                    <w:adjustRightInd/>
                    <w:snapToGrid/>
                    <w:jc w:val="center"/>
                    <w:rPr>
                      <w:rFonts w:hint="default" w:ascii="Times New Roman" w:hAnsi="Times New Roman" w:eastAsia="宋体" w:cs="Times New Roman"/>
                      <w:b/>
                      <w:bCs/>
                      <w:color w:val="auto"/>
                      <w:spacing w:val="0"/>
                      <w:szCs w:val="21"/>
                      <w:highlight w:val="none"/>
                      <w:u w:val="none" w:color="auto"/>
                      <w:lang w:eastAsia="zh-CN"/>
                    </w:rPr>
                  </w:pPr>
                  <w:r>
                    <w:rPr>
                      <w:rFonts w:hint="default" w:ascii="Times New Roman" w:hAnsi="Times New Roman" w:eastAsia="宋体" w:cs="Times New Roman"/>
                      <w:b/>
                      <w:bCs/>
                      <w:color w:val="auto"/>
                      <w:spacing w:val="0"/>
                      <w:szCs w:val="21"/>
                      <w:highlight w:val="none"/>
                      <w:u w:val="none" w:color="auto"/>
                    </w:rPr>
                    <w:t>产生浓度</w:t>
                  </w:r>
                  <w:r>
                    <w:rPr>
                      <w:rFonts w:hint="default" w:ascii="Times New Roman" w:hAnsi="Times New Roman" w:eastAsia="宋体" w:cs="Times New Roman"/>
                      <w:b/>
                      <w:bCs/>
                      <w:color w:val="auto"/>
                      <w:spacing w:val="0"/>
                      <w:szCs w:val="21"/>
                      <w:highlight w:val="none"/>
                      <w:u w:val="none" w:color="auto"/>
                      <w:lang w:eastAsia="zh-CN"/>
                    </w:rPr>
                    <w:t>（</w:t>
                  </w:r>
                  <w:r>
                    <w:rPr>
                      <w:rFonts w:hint="default" w:ascii="Times New Roman" w:hAnsi="Times New Roman" w:eastAsia="宋体" w:cs="Times New Roman"/>
                      <w:b/>
                      <w:bCs/>
                      <w:color w:val="auto"/>
                      <w:spacing w:val="0"/>
                      <w:szCs w:val="21"/>
                      <w:highlight w:val="none"/>
                      <w:u w:val="none" w:color="auto"/>
                    </w:rPr>
                    <w:t>mg/L</w:t>
                  </w:r>
                  <w:r>
                    <w:rPr>
                      <w:rFonts w:hint="default" w:ascii="Times New Roman" w:hAnsi="Times New Roman" w:eastAsia="宋体" w:cs="Times New Roman"/>
                      <w:b/>
                      <w:bCs/>
                      <w:color w:val="auto"/>
                      <w:spacing w:val="0"/>
                      <w:szCs w:val="21"/>
                      <w:highlight w:val="none"/>
                      <w:u w:val="none" w:color="auto"/>
                      <w:lang w:eastAsia="zh-CN"/>
                    </w:rPr>
                    <w:t>）</w:t>
                  </w:r>
                </w:p>
              </w:tc>
              <w:tc>
                <w:tcPr>
                  <w:tcW w:w="933" w:type="pct"/>
                  <w:vMerge w:val="restart"/>
                  <w:noWrap w:val="0"/>
                  <w:vAlign w:val="center"/>
                </w:tcPr>
                <w:p w14:paraId="1CE970BF">
                  <w:pPr>
                    <w:wordWrap/>
                    <w:topLinePunct w:val="0"/>
                    <w:bidi w:val="0"/>
                    <w:adjustRightInd/>
                    <w:snapToGrid/>
                    <w:jc w:val="center"/>
                    <w:rPr>
                      <w:rFonts w:hint="default" w:ascii="Times New Roman" w:hAnsi="Times New Roman" w:eastAsia="宋体" w:cs="Times New Roman"/>
                      <w:b/>
                      <w:bCs/>
                      <w:color w:val="auto"/>
                      <w:spacing w:val="0"/>
                      <w:szCs w:val="21"/>
                      <w:highlight w:val="none"/>
                      <w:u w:val="none" w:color="auto"/>
                    </w:rPr>
                  </w:pPr>
                  <w:r>
                    <w:rPr>
                      <w:rFonts w:hint="default" w:ascii="Times New Roman" w:hAnsi="Times New Roman" w:eastAsia="宋体" w:cs="Times New Roman"/>
                      <w:b/>
                      <w:bCs/>
                      <w:color w:val="auto"/>
                      <w:spacing w:val="0"/>
                      <w:szCs w:val="21"/>
                      <w:highlight w:val="none"/>
                      <w:u w:val="none" w:color="auto"/>
                    </w:rPr>
                    <w:t>年产生量（t/a）</w:t>
                  </w:r>
                </w:p>
              </w:tc>
              <w:tc>
                <w:tcPr>
                  <w:tcW w:w="1793" w:type="pct"/>
                  <w:gridSpan w:val="3"/>
                  <w:noWrap w:val="0"/>
                  <w:vAlign w:val="center"/>
                </w:tcPr>
                <w:p w14:paraId="18D37005">
                  <w:pPr>
                    <w:wordWrap/>
                    <w:topLinePunct w:val="0"/>
                    <w:bidi w:val="0"/>
                    <w:adjustRightInd/>
                    <w:snapToGrid/>
                    <w:jc w:val="center"/>
                    <w:rPr>
                      <w:rFonts w:hint="default" w:ascii="Times New Roman" w:hAnsi="Times New Roman" w:eastAsia="宋体" w:cs="Times New Roman"/>
                      <w:b/>
                      <w:bCs/>
                      <w:color w:val="auto"/>
                      <w:spacing w:val="0"/>
                      <w:szCs w:val="21"/>
                      <w:highlight w:val="none"/>
                      <w:u w:val="none" w:color="auto"/>
                      <w:lang w:eastAsia="zh-CN"/>
                    </w:rPr>
                  </w:pPr>
                  <w:r>
                    <w:rPr>
                      <w:rFonts w:hint="default" w:ascii="Times New Roman" w:hAnsi="Times New Roman" w:eastAsia="宋体" w:cs="Times New Roman"/>
                      <w:b/>
                      <w:bCs/>
                      <w:color w:val="auto"/>
                      <w:spacing w:val="0"/>
                      <w:szCs w:val="21"/>
                      <w:highlight w:val="none"/>
                      <w:u w:val="none" w:color="auto"/>
                      <w:lang w:eastAsia="zh-CN"/>
                    </w:rPr>
                    <w:t>预处理</w:t>
                  </w:r>
                </w:p>
              </w:tc>
            </w:tr>
            <w:tr w14:paraId="31DE774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gridAfter w:val="1"/>
                <w:wAfter w:w="1" w:type="pct"/>
                <w:trHeight w:val="403" w:hRule="atLeast"/>
                <w:tblHeader/>
                <w:jc w:val="center"/>
              </w:trPr>
              <w:tc>
                <w:tcPr>
                  <w:tcW w:w="561" w:type="pct"/>
                  <w:vMerge w:val="continue"/>
                  <w:noWrap w:val="0"/>
                  <w:vAlign w:val="center"/>
                </w:tcPr>
                <w:p w14:paraId="1D686804">
                  <w:pPr>
                    <w:wordWrap/>
                    <w:topLinePunct w:val="0"/>
                    <w:bidi w:val="0"/>
                    <w:adjustRightInd/>
                    <w:snapToGrid/>
                    <w:jc w:val="center"/>
                    <w:rPr>
                      <w:rFonts w:hint="default" w:ascii="Times New Roman" w:hAnsi="Times New Roman" w:eastAsia="宋体" w:cs="Times New Roman"/>
                      <w:color w:val="auto"/>
                      <w:spacing w:val="0"/>
                      <w:highlight w:val="none"/>
                      <w:u w:val="none" w:color="auto"/>
                    </w:rPr>
                  </w:pPr>
                </w:p>
              </w:tc>
              <w:tc>
                <w:tcPr>
                  <w:tcW w:w="855" w:type="pct"/>
                  <w:vMerge w:val="continue"/>
                  <w:noWrap w:val="0"/>
                  <w:vAlign w:val="center"/>
                </w:tcPr>
                <w:p w14:paraId="4D099375">
                  <w:pPr>
                    <w:wordWrap/>
                    <w:topLinePunct w:val="0"/>
                    <w:bidi w:val="0"/>
                    <w:adjustRightInd/>
                    <w:snapToGrid/>
                    <w:jc w:val="center"/>
                    <w:rPr>
                      <w:rFonts w:hint="default" w:ascii="Times New Roman" w:hAnsi="Times New Roman" w:eastAsia="宋体" w:cs="Times New Roman"/>
                      <w:color w:val="auto"/>
                      <w:spacing w:val="0"/>
                      <w:highlight w:val="none"/>
                      <w:u w:val="none" w:color="auto"/>
                    </w:rPr>
                  </w:pPr>
                </w:p>
              </w:tc>
              <w:tc>
                <w:tcPr>
                  <w:tcW w:w="856" w:type="pct"/>
                  <w:vMerge w:val="continue"/>
                  <w:noWrap w:val="0"/>
                  <w:vAlign w:val="center"/>
                </w:tcPr>
                <w:p w14:paraId="72E755C9">
                  <w:pPr>
                    <w:wordWrap/>
                    <w:topLinePunct w:val="0"/>
                    <w:bidi w:val="0"/>
                    <w:adjustRightInd/>
                    <w:snapToGrid/>
                    <w:jc w:val="center"/>
                    <w:rPr>
                      <w:rFonts w:hint="default" w:ascii="Times New Roman" w:hAnsi="Times New Roman" w:eastAsia="宋体" w:cs="Times New Roman"/>
                      <w:color w:val="auto"/>
                      <w:spacing w:val="0"/>
                      <w:highlight w:val="none"/>
                      <w:u w:val="none" w:color="auto"/>
                    </w:rPr>
                  </w:pPr>
                </w:p>
              </w:tc>
              <w:tc>
                <w:tcPr>
                  <w:tcW w:w="933" w:type="pct"/>
                  <w:vMerge w:val="continue"/>
                  <w:noWrap w:val="0"/>
                  <w:vAlign w:val="center"/>
                </w:tcPr>
                <w:p w14:paraId="49B42CB2">
                  <w:pPr>
                    <w:wordWrap/>
                    <w:topLinePunct w:val="0"/>
                    <w:bidi w:val="0"/>
                    <w:adjustRightInd/>
                    <w:snapToGrid/>
                    <w:jc w:val="center"/>
                    <w:rPr>
                      <w:rFonts w:hint="default" w:ascii="Times New Roman" w:hAnsi="Times New Roman" w:eastAsia="宋体" w:cs="Times New Roman"/>
                      <w:color w:val="auto"/>
                      <w:spacing w:val="0"/>
                      <w:highlight w:val="none"/>
                      <w:u w:val="none" w:color="auto"/>
                    </w:rPr>
                  </w:pPr>
                </w:p>
              </w:tc>
              <w:tc>
                <w:tcPr>
                  <w:tcW w:w="857" w:type="pct"/>
                  <w:noWrap w:val="0"/>
                  <w:vAlign w:val="center"/>
                </w:tcPr>
                <w:p w14:paraId="2FE4BE73">
                  <w:pPr>
                    <w:wordWrap/>
                    <w:topLinePunct w:val="0"/>
                    <w:bidi w:val="0"/>
                    <w:adjustRightInd/>
                    <w:snapToGrid/>
                    <w:jc w:val="center"/>
                    <w:rPr>
                      <w:rFonts w:hint="default" w:ascii="Times New Roman" w:hAnsi="Times New Roman" w:eastAsia="宋体" w:cs="Times New Roman"/>
                      <w:b/>
                      <w:bCs/>
                      <w:color w:val="auto"/>
                      <w:spacing w:val="0"/>
                      <w:szCs w:val="21"/>
                      <w:highlight w:val="none"/>
                      <w:u w:val="none" w:color="auto"/>
                    </w:rPr>
                  </w:pPr>
                  <w:r>
                    <w:rPr>
                      <w:rFonts w:hint="default" w:ascii="Times New Roman" w:hAnsi="Times New Roman" w:eastAsia="宋体" w:cs="Times New Roman"/>
                      <w:b/>
                      <w:bCs/>
                      <w:color w:val="auto"/>
                      <w:spacing w:val="0"/>
                      <w:szCs w:val="21"/>
                      <w:highlight w:val="none"/>
                      <w:u w:val="none" w:color="auto"/>
                    </w:rPr>
                    <w:t>浓度</w:t>
                  </w:r>
                </w:p>
                <w:p w14:paraId="7A87CCFD">
                  <w:pPr>
                    <w:wordWrap/>
                    <w:topLinePunct w:val="0"/>
                    <w:bidi w:val="0"/>
                    <w:adjustRightInd/>
                    <w:snapToGrid/>
                    <w:jc w:val="center"/>
                    <w:rPr>
                      <w:rFonts w:hint="default" w:ascii="Times New Roman" w:hAnsi="Times New Roman" w:eastAsia="宋体" w:cs="Times New Roman"/>
                      <w:b/>
                      <w:bCs/>
                      <w:color w:val="auto"/>
                      <w:spacing w:val="0"/>
                      <w:szCs w:val="21"/>
                      <w:highlight w:val="none"/>
                      <w:u w:val="none" w:color="auto"/>
                      <w:lang w:eastAsia="zh-CN"/>
                    </w:rPr>
                  </w:pPr>
                  <w:r>
                    <w:rPr>
                      <w:rFonts w:hint="default" w:ascii="Times New Roman" w:hAnsi="Times New Roman" w:eastAsia="宋体" w:cs="Times New Roman"/>
                      <w:b/>
                      <w:bCs/>
                      <w:color w:val="auto"/>
                      <w:spacing w:val="0"/>
                      <w:szCs w:val="21"/>
                      <w:highlight w:val="none"/>
                      <w:u w:val="none" w:color="auto"/>
                      <w:lang w:eastAsia="zh-CN"/>
                    </w:rPr>
                    <w:t>（</w:t>
                  </w:r>
                  <w:r>
                    <w:rPr>
                      <w:rFonts w:hint="default" w:ascii="Times New Roman" w:hAnsi="Times New Roman" w:eastAsia="宋体" w:cs="Times New Roman"/>
                      <w:b/>
                      <w:bCs/>
                      <w:color w:val="auto"/>
                      <w:spacing w:val="0"/>
                      <w:szCs w:val="21"/>
                      <w:highlight w:val="none"/>
                      <w:u w:val="none" w:color="auto"/>
                    </w:rPr>
                    <w:t>mg/L</w:t>
                  </w:r>
                  <w:r>
                    <w:rPr>
                      <w:rFonts w:hint="default" w:ascii="Times New Roman" w:hAnsi="Times New Roman" w:eastAsia="宋体" w:cs="Times New Roman"/>
                      <w:b/>
                      <w:bCs/>
                      <w:color w:val="auto"/>
                      <w:spacing w:val="0"/>
                      <w:szCs w:val="21"/>
                      <w:highlight w:val="none"/>
                      <w:u w:val="none" w:color="auto"/>
                      <w:lang w:eastAsia="zh-CN"/>
                    </w:rPr>
                    <w:t>）</w:t>
                  </w:r>
                </w:p>
              </w:tc>
              <w:tc>
                <w:tcPr>
                  <w:tcW w:w="933" w:type="pct"/>
                  <w:noWrap w:val="0"/>
                  <w:vAlign w:val="center"/>
                </w:tcPr>
                <w:p w14:paraId="1E00D95A">
                  <w:pPr>
                    <w:wordWrap/>
                    <w:topLinePunct w:val="0"/>
                    <w:bidi w:val="0"/>
                    <w:adjustRightInd/>
                    <w:snapToGrid/>
                    <w:jc w:val="center"/>
                    <w:rPr>
                      <w:rFonts w:hint="default" w:ascii="Times New Roman" w:hAnsi="Times New Roman" w:eastAsia="宋体" w:cs="Times New Roman"/>
                      <w:b/>
                      <w:bCs/>
                      <w:color w:val="auto"/>
                      <w:spacing w:val="0"/>
                      <w:szCs w:val="21"/>
                      <w:highlight w:val="none"/>
                      <w:u w:val="none" w:color="auto"/>
                    </w:rPr>
                  </w:pPr>
                  <w:r>
                    <w:rPr>
                      <w:rFonts w:hint="default" w:ascii="Times New Roman" w:hAnsi="Times New Roman" w:eastAsia="宋体" w:cs="Times New Roman"/>
                      <w:b/>
                      <w:bCs/>
                      <w:color w:val="auto"/>
                      <w:spacing w:val="0"/>
                      <w:szCs w:val="21"/>
                      <w:highlight w:val="none"/>
                      <w:u w:val="none" w:color="auto"/>
                    </w:rPr>
                    <w:t>年排放量（t/a）</w:t>
                  </w:r>
                </w:p>
              </w:tc>
            </w:tr>
            <w:tr w14:paraId="0AFE10F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gridAfter w:val="1"/>
                <w:wAfter w:w="1" w:type="pct"/>
                <w:trHeight w:val="183" w:hRule="atLeast"/>
                <w:jc w:val="center"/>
              </w:trPr>
              <w:tc>
                <w:tcPr>
                  <w:tcW w:w="561" w:type="pct"/>
                  <w:vMerge w:val="restart"/>
                  <w:noWrap w:val="0"/>
                  <w:vAlign w:val="center"/>
                </w:tcPr>
                <w:p w14:paraId="658738C1">
                  <w:pPr>
                    <w:wordWrap/>
                    <w:topLinePunct w:val="0"/>
                    <w:bidi w:val="0"/>
                    <w:adjustRightInd/>
                    <w:snapToGrid/>
                    <w:jc w:val="center"/>
                    <w:rPr>
                      <w:rFonts w:hint="default" w:ascii="Times New Roman" w:hAnsi="Times New Roman" w:eastAsia="宋体" w:cs="Times New Roman"/>
                      <w:color w:val="auto"/>
                      <w:spacing w:val="0"/>
                      <w:szCs w:val="21"/>
                      <w:highlight w:val="none"/>
                      <w:u w:val="none" w:color="auto"/>
                    </w:rPr>
                  </w:pPr>
                  <w:r>
                    <w:rPr>
                      <w:rFonts w:hint="default" w:ascii="Times New Roman" w:hAnsi="Times New Roman" w:eastAsia="宋体" w:cs="Times New Roman"/>
                      <w:color w:val="auto"/>
                      <w:spacing w:val="0"/>
                      <w:szCs w:val="21"/>
                      <w:highlight w:val="none"/>
                      <w:u w:val="none" w:color="auto"/>
                      <w:lang w:val="en-US" w:eastAsia="zh-CN"/>
                    </w:rPr>
                    <w:t>生活污水</w:t>
                  </w:r>
                </w:p>
              </w:tc>
              <w:tc>
                <w:tcPr>
                  <w:tcW w:w="855" w:type="pct"/>
                  <w:noWrap w:val="0"/>
                  <w:vAlign w:val="center"/>
                </w:tcPr>
                <w:p w14:paraId="27CE62C0">
                  <w:pPr>
                    <w:widowControl/>
                    <w:wordWrap/>
                    <w:topLinePunct w:val="0"/>
                    <w:bidi w:val="0"/>
                    <w:adjustRightInd/>
                    <w:snapToGrid/>
                    <w:jc w:val="center"/>
                    <w:textAlignment w:val="center"/>
                    <w:rPr>
                      <w:rFonts w:hint="default" w:ascii="Times New Roman" w:hAnsi="Times New Roman" w:eastAsia="宋体" w:cs="Times New Roman"/>
                      <w:color w:val="auto"/>
                      <w:spacing w:val="0"/>
                      <w:szCs w:val="21"/>
                      <w:highlight w:val="none"/>
                      <w:u w:val="none" w:color="auto"/>
                    </w:rPr>
                  </w:pPr>
                  <w:r>
                    <w:rPr>
                      <w:rFonts w:hint="default" w:ascii="Times New Roman" w:hAnsi="Times New Roman" w:eastAsia="宋体" w:cs="Times New Roman"/>
                      <w:color w:val="auto"/>
                      <w:spacing w:val="0"/>
                      <w:kern w:val="0"/>
                      <w:szCs w:val="21"/>
                      <w:highlight w:val="none"/>
                      <w:u w:val="none" w:color="auto"/>
                      <w:lang w:bidi="ar"/>
                    </w:rPr>
                    <w:t>水量</w:t>
                  </w:r>
                </w:p>
              </w:tc>
              <w:tc>
                <w:tcPr>
                  <w:tcW w:w="856" w:type="pct"/>
                  <w:noWrap w:val="0"/>
                  <w:vAlign w:val="center"/>
                </w:tcPr>
                <w:p w14:paraId="4D036CFD">
                  <w:pPr>
                    <w:widowControl/>
                    <w:wordWrap/>
                    <w:topLinePunct w:val="0"/>
                    <w:bidi w:val="0"/>
                    <w:adjustRightInd/>
                    <w:snapToGrid/>
                    <w:jc w:val="center"/>
                    <w:textAlignment w:val="center"/>
                    <w:rPr>
                      <w:rFonts w:hint="default" w:ascii="Times New Roman" w:hAnsi="Times New Roman" w:eastAsia="宋体" w:cs="Times New Roman"/>
                      <w:color w:val="auto"/>
                      <w:spacing w:val="0"/>
                      <w:szCs w:val="21"/>
                      <w:highlight w:val="none"/>
                      <w:u w:val="none" w:color="auto"/>
                    </w:rPr>
                  </w:pPr>
                  <w:r>
                    <w:rPr>
                      <w:rFonts w:hint="default" w:ascii="Times New Roman" w:hAnsi="Times New Roman" w:eastAsia="宋体" w:cs="Times New Roman"/>
                      <w:color w:val="auto"/>
                      <w:spacing w:val="0"/>
                      <w:kern w:val="0"/>
                      <w:szCs w:val="21"/>
                      <w:highlight w:val="none"/>
                      <w:u w:val="none" w:color="auto"/>
                      <w:lang w:bidi="ar"/>
                    </w:rPr>
                    <w:t>——</w:t>
                  </w:r>
                </w:p>
              </w:tc>
              <w:tc>
                <w:tcPr>
                  <w:tcW w:w="933" w:type="pct"/>
                  <w:noWrap w:val="0"/>
                  <w:vAlign w:val="center"/>
                </w:tcPr>
                <w:p w14:paraId="1DC9F4AC">
                  <w:pPr>
                    <w:keepNext w:val="0"/>
                    <w:keepLines w:val="0"/>
                    <w:widowControl/>
                    <w:suppressLineNumbers w:val="0"/>
                    <w:jc w:val="center"/>
                    <w:textAlignment w:val="center"/>
                    <w:rPr>
                      <w:rFonts w:hint="default" w:ascii="Times New Roman" w:hAnsi="Times New Roman" w:eastAsia="宋体" w:cs="Times New Roman"/>
                      <w:i w:val="0"/>
                      <w:color w:val="auto"/>
                      <w:spacing w:val="0"/>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3374.4</w:t>
                  </w:r>
                </w:p>
              </w:tc>
              <w:tc>
                <w:tcPr>
                  <w:tcW w:w="857" w:type="pct"/>
                  <w:noWrap w:val="0"/>
                  <w:vAlign w:val="center"/>
                </w:tcPr>
                <w:p w14:paraId="093A913B">
                  <w:pPr>
                    <w:keepNext w:val="0"/>
                    <w:keepLines w:val="0"/>
                    <w:widowControl/>
                    <w:suppressLineNumbers w:val="0"/>
                    <w:jc w:val="center"/>
                    <w:textAlignment w:val="center"/>
                    <w:rPr>
                      <w:rFonts w:hint="default" w:ascii="Times New Roman" w:hAnsi="Times New Roman" w:eastAsia="宋体" w:cs="Times New Roman"/>
                      <w:i w:val="0"/>
                      <w:color w:val="auto"/>
                      <w:spacing w:val="0"/>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933" w:type="pct"/>
                  <w:noWrap w:val="0"/>
                  <w:vAlign w:val="center"/>
                </w:tcPr>
                <w:p w14:paraId="7B9C7DB6">
                  <w:pPr>
                    <w:keepNext w:val="0"/>
                    <w:keepLines w:val="0"/>
                    <w:widowControl/>
                    <w:suppressLineNumbers w:val="0"/>
                    <w:jc w:val="center"/>
                    <w:textAlignment w:val="center"/>
                    <w:rPr>
                      <w:rFonts w:hint="default" w:ascii="Times New Roman" w:hAnsi="Times New Roman" w:eastAsia="宋体" w:cs="Times New Roman"/>
                      <w:i w:val="0"/>
                      <w:color w:val="auto"/>
                      <w:spacing w:val="0"/>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3374.4</w:t>
                  </w:r>
                </w:p>
              </w:tc>
            </w:tr>
            <w:tr w14:paraId="2C10B21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gridAfter w:val="1"/>
                <w:wAfter w:w="1" w:type="pct"/>
                <w:trHeight w:val="23" w:hRule="atLeast"/>
                <w:jc w:val="center"/>
              </w:trPr>
              <w:tc>
                <w:tcPr>
                  <w:tcW w:w="561" w:type="pct"/>
                  <w:vMerge w:val="continue"/>
                  <w:noWrap w:val="0"/>
                  <w:vAlign w:val="center"/>
                </w:tcPr>
                <w:p w14:paraId="4A308B26">
                  <w:pPr>
                    <w:wordWrap/>
                    <w:topLinePunct w:val="0"/>
                    <w:bidi w:val="0"/>
                    <w:adjustRightInd/>
                    <w:snapToGrid/>
                    <w:jc w:val="center"/>
                    <w:rPr>
                      <w:rFonts w:hint="default" w:ascii="Times New Roman" w:hAnsi="Times New Roman" w:eastAsia="宋体" w:cs="Times New Roman"/>
                      <w:color w:val="auto"/>
                      <w:spacing w:val="0"/>
                      <w:szCs w:val="21"/>
                      <w:highlight w:val="none"/>
                      <w:u w:val="none" w:color="auto"/>
                    </w:rPr>
                  </w:pPr>
                </w:p>
              </w:tc>
              <w:tc>
                <w:tcPr>
                  <w:tcW w:w="855" w:type="pct"/>
                  <w:noWrap w:val="0"/>
                  <w:vAlign w:val="center"/>
                </w:tcPr>
                <w:p w14:paraId="1B67A4AB">
                  <w:pPr>
                    <w:wordWrap/>
                    <w:topLinePunct w:val="0"/>
                    <w:bidi w:val="0"/>
                    <w:adjustRightInd/>
                    <w:snapToGrid/>
                    <w:ind w:left="-105" w:leftChars="-50" w:right="-105" w:rightChars="-50"/>
                    <w:jc w:val="center"/>
                    <w:rPr>
                      <w:rFonts w:hint="default" w:ascii="Times New Roman" w:hAnsi="Times New Roman" w:eastAsia="宋体" w:cs="Times New Roman"/>
                      <w:color w:val="auto"/>
                      <w:spacing w:val="0"/>
                      <w:kern w:val="2"/>
                      <w:sz w:val="21"/>
                      <w:szCs w:val="21"/>
                      <w:highlight w:val="none"/>
                      <w:u w:val="none" w:color="auto"/>
                      <w:lang w:val="en-US" w:eastAsia="zh-CN" w:bidi="ar-SA"/>
                    </w:rPr>
                  </w:pPr>
                  <w:r>
                    <w:rPr>
                      <w:rFonts w:hint="default" w:ascii="Times New Roman" w:hAnsi="Times New Roman" w:eastAsia="宋体" w:cs="Times New Roman"/>
                      <w:color w:val="auto"/>
                      <w:spacing w:val="0"/>
                      <w:szCs w:val="21"/>
                      <w:highlight w:val="none"/>
                      <w:u w:val="none" w:color="auto"/>
                    </w:rPr>
                    <w:t>COD</w:t>
                  </w:r>
                </w:p>
              </w:tc>
              <w:tc>
                <w:tcPr>
                  <w:tcW w:w="856" w:type="pct"/>
                  <w:noWrap w:val="0"/>
                  <w:vAlign w:val="center"/>
                </w:tcPr>
                <w:p w14:paraId="674BD860">
                  <w:pPr>
                    <w:wordWrap/>
                    <w:topLinePunct w:val="0"/>
                    <w:bidi w:val="0"/>
                    <w:adjustRightInd/>
                    <w:snapToGrid/>
                    <w:ind w:left="-105" w:leftChars="-50" w:right="-105" w:rightChars="-50"/>
                    <w:jc w:val="center"/>
                    <w:rPr>
                      <w:rFonts w:hint="default" w:ascii="Times New Roman" w:hAnsi="Times New Roman" w:eastAsia="宋体" w:cs="Times New Roman"/>
                      <w:color w:val="auto"/>
                      <w:spacing w:val="0"/>
                      <w:kern w:val="2"/>
                      <w:sz w:val="21"/>
                      <w:szCs w:val="21"/>
                      <w:highlight w:val="none"/>
                      <w:u w:val="none" w:color="auto"/>
                      <w:lang w:val="en-US" w:eastAsia="zh-CN" w:bidi="ar-SA"/>
                    </w:rPr>
                  </w:pPr>
                  <w:r>
                    <w:rPr>
                      <w:rFonts w:hint="default" w:ascii="Times New Roman" w:hAnsi="Times New Roman" w:eastAsia="宋体" w:cs="Times New Roman"/>
                      <w:color w:val="auto"/>
                      <w:spacing w:val="0"/>
                      <w:szCs w:val="21"/>
                      <w:highlight w:val="none"/>
                      <w:u w:val="none" w:color="auto"/>
                      <w:lang w:eastAsia="zh-CN"/>
                    </w:rPr>
                    <w:t>3</w:t>
                  </w:r>
                  <w:r>
                    <w:rPr>
                      <w:rFonts w:hint="default" w:ascii="Times New Roman" w:hAnsi="Times New Roman" w:eastAsia="宋体" w:cs="Times New Roman"/>
                      <w:color w:val="auto"/>
                      <w:spacing w:val="0"/>
                      <w:szCs w:val="21"/>
                      <w:highlight w:val="none"/>
                      <w:u w:val="none" w:color="auto"/>
                      <w:lang w:val="en-US" w:eastAsia="zh-CN"/>
                    </w:rPr>
                    <w:t>00</w:t>
                  </w:r>
                </w:p>
              </w:tc>
              <w:tc>
                <w:tcPr>
                  <w:tcW w:w="933" w:type="pct"/>
                  <w:noWrap w:val="0"/>
                  <w:vAlign w:val="center"/>
                </w:tcPr>
                <w:p w14:paraId="2C682E13">
                  <w:pPr>
                    <w:keepNext w:val="0"/>
                    <w:keepLines w:val="0"/>
                    <w:widowControl/>
                    <w:suppressLineNumbers w:val="0"/>
                    <w:jc w:val="center"/>
                    <w:textAlignment w:val="center"/>
                    <w:rPr>
                      <w:rFonts w:hint="default" w:ascii="Times New Roman" w:hAnsi="Times New Roman" w:eastAsia="宋体" w:cs="Times New Roman"/>
                      <w:color w:val="auto"/>
                      <w:spacing w:val="0"/>
                      <w:kern w:val="0"/>
                      <w:szCs w:val="21"/>
                      <w:highlight w:val="none"/>
                      <w:u w:val="none" w:color="auto"/>
                      <w:lang w:bidi="ar"/>
                    </w:rPr>
                  </w:pPr>
                  <w:r>
                    <w:rPr>
                      <w:rFonts w:hint="default" w:ascii="Times New Roman" w:hAnsi="Times New Roman" w:eastAsia="宋体" w:cs="Times New Roman"/>
                      <w:i w:val="0"/>
                      <w:iCs w:val="0"/>
                      <w:color w:val="auto"/>
                      <w:kern w:val="0"/>
                      <w:sz w:val="21"/>
                      <w:szCs w:val="21"/>
                      <w:u w:val="none" w:color="auto"/>
                      <w:lang w:val="en-US" w:eastAsia="zh-CN" w:bidi="ar"/>
                    </w:rPr>
                    <w:t xml:space="preserve">1.0123 </w:t>
                  </w:r>
                </w:p>
              </w:tc>
              <w:tc>
                <w:tcPr>
                  <w:tcW w:w="857" w:type="pct"/>
                  <w:noWrap w:val="0"/>
                  <w:vAlign w:val="center"/>
                </w:tcPr>
                <w:p w14:paraId="43C1FE30">
                  <w:pPr>
                    <w:keepNext w:val="0"/>
                    <w:keepLines w:val="0"/>
                    <w:widowControl/>
                    <w:suppressLineNumbers w:val="0"/>
                    <w:jc w:val="center"/>
                    <w:textAlignment w:val="center"/>
                    <w:rPr>
                      <w:rFonts w:hint="default" w:ascii="Times New Roman" w:hAnsi="Times New Roman" w:eastAsia="宋体" w:cs="Times New Roman"/>
                      <w:color w:val="auto"/>
                      <w:spacing w:val="0"/>
                      <w:kern w:val="2"/>
                      <w:sz w:val="21"/>
                      <w:szCs w:val="21"/>
                      <w:highlight w:val="none"/>
                      <w:u w:val="none" w:color="auto"/>
                      <w:lang w:val="en-US" w:eastAsia="zh-CN" w:bidi="ar-SA"/>
                    </w:rPr>
                  </w:pPr>
                  <w:r>
                    <w:rPr>
                      <w:rFonts w:hint="default" w:ascii="Times New Roman" w:hAnsi="Times New Roman" w:eastAsia="宋体" w:cs="Times New Roman"/>
                      <w:i w:val="0"/>
                      <w:iCs w:val="0"/>
                      <w:color w:val="auto"/>
                      <w:kern w:val="0"/>
                      <w:sz w:val="21"/>
                      <w:szCs w:val="21"/>
                      <w:u w:val="none" w:color="auto"/>
                      <w:lang w:val="en-US" w:eastAsia="zh-CN" w:bidi="ar"/>
                    </w:rPr>
                    <w:t>165</w:t>
                  </w:r>
                </w:p>
              </w:tc>
              <w:tc>
                <w:tcPr>
                  <w:tcW w:w="933" w:type="pct"/>
                  <w:noWrap w:val="0"/>
                  <w:vAlign w:val="center"/>
                </w:tcPr>
                <w:p w14:paraId="667B4FF1">
                  <w:pPr>
                    <w:keepNext w:val="0"/>
                    <w:keepLines w:val="0"/>
                    <w:widowControl/>
                    <w:suppressLineNumbers w:val="0"/>
                    <w:jc w:val="center"/>
                    <w:textAlignment w:val="center"/>
                    <w:rPr>
                      <w:rFonts w:hint="default" w:ascii="Times New Roman" w:hAnsi="Times New Roman" w:eastAsia="宋体" w:cs="Times New Roman"/>
                      <w:color w:val="auto"/>
                      <w:spacing w:val="0"/>
                      <w:kern w:val="0"/>
                      <w:szCs w:val="21"/>
                      <w:highlight w:val="none"/>
                      <w:u w:val="none" w:color="auto"/>
                      <w:lang w:bidi="ar"/>
                    </w:rPr>
                  </w:pPr>
                  <w:r>
                    <w:rPr>
                      <w:rFonts w:hint="default" w:ascii="Times New Roman" w:hAnsi="Times New Roman" w:eastAsia="宋体" w:cs="Times New Roman"/>
                      <w:i w:val="0"/>
                      <w:iCs w:val="0"/>
                      <w:color w:val="auto"/>
                      <w:kern w:val="0"/>
                      <w:sz w:val="21"/>
                      <w:szCs w:val="21"/>
                      <w:u w:val="none" w:color="auto"/>
                      <w:lang w:val="en-US" w:eastAsia="zh-CN" w:bidi="ar"/>
                    </w:rPr>
                    <w:t xml:space="preserve">0.5568 </w:t>
                  </w:r>
                </w:p>
              </w:tc>
            </w:tr>
            <w:tr w14:paraId="29C49CB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gridAfter w:val="1"/>
                <w:wAfter w:w="1" w:type="pct"/>
                <w:trHeight w:val="23" w:hRule="atLeast"/>
                <w:jc w:val="center"/>
              </w:trPr>
              <w:tc>
                <w:tcPr>
                  <w:tcW w:w="561" w:type="pct"/>
                  <w:vMerge w:val="continue"/>
                  <w:noWrap w:val="0"/>
                  <w:vAlign w:val="center"/>
                </w:tcPr>
                <w:p w14:paraId="78D1A05B">
                  <w:pPr>
                    <w:wordWrap/>
                    <w:topLinePunct w:val="0"/>
                    <w:bidi w:val="0"/>
                    <w:adjustRightInd/>
                    <w:snapToGrid/>
                    <w:jc w:val="center"/>
                    <w:rPr>
                      <w:rFonts w:hint="default" w:ascii="Times New Roman" w:hAnsi="Times New Roman" w:eastAsia="宋体" w:cs="Times New Roman"/>
                      <w:color w:val="auto"/>
                      <w:spacing w:val="0"/>
                      <w:szCs w:val="21"/>
                      <w:highlight w:val="none"/>
                      <w:u w:val="none" w:color="auto"/>
                    </w:rPr>
                  </w:pPr>
                </w:p>
              </w:tc>
              <w:tc>
                <w:tcPr>
                  <w:tcW w:w="855" w:type="pct"/>
                  <w:noWrap w:val="0"/>
                  <w:vAlign w:val="center"/>
                </w:tcPr>
                <w:p w14:paraId="54468028">
                  <w:pPr>
                    <w:wordWrap/>
                    <w:topLinePunct w:val="0"/>
                    <w:bidi w:val="0"/>
                    <w:adjustRightInd/>
                    <w:snapToGrid/>
                    <w:ind w:left="-105" w:leftChars="-50" w:right="-105" w:rightChars="-50"/>
                    <w:jc w:val="center"/>
                    <w:rPr>
                      <w:rFonts w:hint="default" w:ascii="Times New Roman" w:hAnsi="Times New Roman" w:eastAsia="宋体" w:cs="Times New Roman"/>
                      <w:color w:val="auto"/>
                      <w:spacing w:val="0"/>
                      <w:kern w:val="2"/>
                      <w:sz w:val="21"/>
                      <w:szCs w:val="21"/>
                      <w:highlight w:val="none"/>
                      <w:u w:val="none" w:color="auto"/>
                      <w:lang w:val="en-US" w:eastAsia="zh-CN" w:bidi="ar-SA"/>
                    </w:rPr>
                  </w:pPr>
                  <w:r>
                    <w:rPr>
                      <w:rFonts w:hint="default" w:ascii="Times New Roman" w:hAnsi="Times New Roman" w:eastAsia="宋体" w:cs="Times New Roman"/>
                      <w:color w:val="auto"/>
                      <w:spacing w:val="0"/>
                      <w:szCs w:val="21"/>
                      <w:highlight w:val="none"/>
                      <w:u w:val="none" w:color="auto"/>
                    </w:rPr>
                    <w:t>BOD</w:t>
                  </w:r>
                  <w:r>
                    <w:rPr>
                      <w:rFonts w:hint="default" w:ascii="Times New Roman" w:hAnsi="Times New Roman" w:eastAsia="宋体" w:cs="Times New Roman"/>
                      <w:color w:val="auto"/>
                      <w:spacing w:val="0"/>
                      <w:szCs w:val="21"/>
                      <w:highlight w:val="none"/>
                      <w:u w:val="none" w:color="auto"/>
                      <w:vertAlign w:val="subscript"/>
                    </w:rPr>
                    <w:t>5</w:t>
                  </w:r>
                </w:p>
              </w:tc>
              <w:tc>
                <w:tcPr>
                  <w:tcW w:w="856" w:type="pct"/>
                  <w:noWrap w:val="0"/>
                  <w:vAlign w:val="center"/>
                </w:tcPr>
                <w:p w14:paraId="62EA820F">
                  <w:pPr>
                    <w:wordWrap/>
                    <w:topLinePunct w:val="0"/>
                    <w:bidi w:val="0"/>
                    <w:adjustRightInd/>
                    <w:snapToGrid/>
                    <w:ind w:left="-105" w:leftChars="-50" w:right="-105" w:rightChars="-50"/>
                    <w:jc w:val="center"/>
                    <w:rPr>
                      <w:rFonts w:hint="default" w:ascii="Times New Roman" w:hAnsi="Times New Roman" w:eastAsia="宋体" w:cs="Times New Roman"/>
                      <w:color w:val="auto"/>
                      <w:spacing w:val="0"/>
                      <w:kern w:val="2"/>
                      <w:sz w:val="21"/>
                      <w:szCs w:val="21"/>
                      <w:highlight w:val="none"/>
                      <w:u w:val="none" w:color="auto"/>
                      <w:lang w:val="en-US" w:eastAsia="zh-CN" w:bidi="ar-SA"/>
                    </w:rPr>
                  </w:pPr>
                  <w:r>
                    <w:rPr>
                      <w:rFonts w:hint="default" w:ascii="Times New Roman" w:hAnsi="Times New Roman" w:eastAsia="宋体" w:cs="Times New Roman"/>
                      <w:color w:val="auto"/>
                      <w:spacing w:val="0"/>
                      <w:szCs w:val="21"/>
                      <w:highlight w:val="none"/>
                      <w:u w:val="none" w:color="auto"/>
                    </w:rPr>
                    <w:t>1</w:t>
                  </w:r>
                  <w:r>
                    <w:rPr>
                      <w:rFonts w:hint="default" w:ascii="Times New Roman" w:hAnsi="Times New Roman" w:eastAsia="宋体" w:cs="Times New Roman"/>
                      <w:color w:val="auto"/>
                      <w:spacing w:val="0"/>
                      <w:szCs w:val="21"/>
                      <w:highlight w:val="none"/>
                      <w:u w:val="none" w:color="auto"/>
                      <w:lang w:val="en-US" w:eastAsia="zh-CN"/>
                    </w:rPr>
                    <w:t>35</w:t>
                  </w:r>
                </w:p>
              </w:tc>
              <w:tc>
                <w:tcPr>
                  <w:tcW w:w="933" w:type="pct"/>
                  <w:noWrap w:val="0"/>
                  <w:vAlign w:val="center"/>
                </w:tcPr>
                <w:p w14:paraId="31632A54">
                  <w:pPr>
                    <w:keepNext w:val="0"/>
                    <w:keepLines w:val="0"/>
                    <w:widowControl/>
                    <w:suppressLineNumbers w:val="0"/>
                    <w:jc w:val="center"/>
                    <w:textAlignment w:val="center"/>
                    <w:rPr>
                      <w:rFonts w:hint="default" w:ascii="Times New Roman" w:hAnsi="Times New Roman" w:eastAsia="宋体" w:cs="Times New Roman"/>
                      <w:color w:val="auto"/>
                      <w:spacing w:val="0"/>
                      <w:kern w:val="0"/>
                      <w:szCs w:val="21"/>
                      <w:highlight w:val="none"/>
                      <w:u w:val="none" w:color="auto"/>
                      <w:lang w:bidi="ar"/>
                    </w:rPr>
                  </w:pPr>
                  <w:r>
                    <w:rPr>
                      <w:rFonts w:hint="default" w:ascii="Times New Roman" w:hAnsi="Times New Roman" w:eastAsia="宋体" w:cs="Times New Roman"/>
                      <w:i w:val="0"/>
                      <w:iCs w:val="0"/>
                      <w:color w:val="auto"/>
                      <w:kern w:val="0"/>
                      <w:sz w:val="21"/>
                      <w:szCs w:val="21"/>
                      <w:u w:val="none" w:color="auto"/>
                      <w:lang w:val="en-US" w:eastAsia="zh-CN" w:bidi="ar"/>
                    </w:rPr>
                    <w:t xml:space="preserve">0.4555 </w:t>
                  </w:r>
                </w:p>
              </w:tc>
              <w:tc>
                <w:tcPr>
                  <w:tcW w:w="857" w:type="pct"/>
                  <w:noWrap w:val="0"/>
                  <w:vAlign w:val="center"/>
                </w:tcPr>
                <w:p w14:paraId="5D61B6FF">
                  <w:pPr>
                    <w:keepNext w:val="0"/>
                    <w:keepLines w:val="0"/>
                    <w:widowControl/>
                    <w:suppressLineNumbers w:val="0"/>
                    <w:jc w:val="center"/>
                    <w:textAlignment w:val="center"/>
                    <w:rPr>
                      <w:rFonts w:hint="default" w:ascii="Times New Roman" w:hAnsi="Times New Roman" w:eastAsia="宋体" w:cs="Times New Roman"/>
                      <w:color w:val="auto"/>
                      <w:spacing w:val="0"/>
                      <w:kern w:val="2"/>
                      <w:sz w:val="21"/>
                      <w:szCs w:val="21"/>
                      <w:highlight w:val="none"/>
                      <w:u w:val="none" w:color="auto"/>
                      <w:lang w:val="en-US" w:eastAsia="zh-CN" w:bidi="ar-SA"/>
                    </w:rPr>
                  </w:pPr>
                  <w:r>
                    <w:rPr>
                      <w:rFonts w:hint="default" w:ascii="Times New Roman" w:hAnsi="Times New Roman" w:eastAsia="宋体" w:cs="Times New Roman"/>
                      <w:i w:val="0"/>
                      <w:iCs w:val="0"/>
                      <w:color w:val="auto"/>
                      <w:kern w:val="0"/>
                      <w:sz w:val="21"/>
                      <w:szCs w:val="21"/>
                      <w:u w:val="none" w:color="auto"/>
                      <w:lang w:val="en-US" w:eastAsia="zh-CN" w:bidi="ar"/>
                    </w:rPr>
                    <w:t>108</w:t>
                  </w:r>
                </w:p>
              </w:tc>
              <w:tc>
                <w:tcPr>
                  <w:tcW w:w="933" w:type="pct"/>
                  <w:noWrap w:val="0"/>
                  <w:vAlign w:val="center"/>
                </w:tcPr>
                <w:p w14:paraId="5C2CF2B3">
                  <w:pPr>
                    <w:keepNext w:val="0"/>
                    <w:keepLines w:val="0"/>
                    <w:widowControl/>
                    <w:suppressLineNumbers w:val="0"/>
                    <w:jc w:val="center"/>
                    <w:textAlignment w:val="center"/>
                    <w:rPr>
                      <w:rFonts w:hint="default" w:ascii="Times New Roman" w:hAnsi="Times New Roman" w:eastAsia="宋体" w:cs="Times New Roman"/>
                      <w:color w:val="auto"/>
                      <w:spacing w:val="0"/>
                      <w:kern w:val="0"/>
                      <w:szCs w:val="21"/>
                      <w:highlight w:val="none"/>
                      <w:u w:val="none" w:color="auto"/>
                      <w:lang w:bidi="ar"/>
                    </w:rPr>
                  </w:pPr>
                  <w:r>
                    <w:rPr>
                      <w:rFonts w:hint="default" w:ascii="Times New Roman" w:hAnsi="Times New Roman" w:eastAsia="宋体" w:cs="Times New Roman"/>
                      <w:i w:val="0"/>
                      <w:iCs w:val="0"/>
                      <w:color w:val="auto"/>
                      <w:kern w:val="0"/>
                      <w:sz w:val="21"/>
                      <w:szCs w:val="21"/>
                      <w:u w:val="none" w:color="auto"/>
                      <w:lang w:val="en-US" w:eastAsia="zh-CN" w:bidi="ar"/>
                    </w:rPr>
                    <w:t xml:space="preserve">0.3644 </w:t>
                  </w:r>
                </w:p>
              </w:tc>
            </w:tr>
            <w:tr w14:paraId="646ED07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gridAfter w:val="1"/>
                <w:wAfter w:w="1" w:type="pct"/>
                <w:trHeight w:val="23" w:hRule="atLeast"/>
                <w:jc w:val="center"/>
              </w:trPr>
              <w:tc>
                <w:tcPr>
                  <w:tcW w:w="561" w:type="pct"/>
                  <w:vMerge w:val="continue"/>
                  <w:noWrap w:val="0"/>
                  <w:vAlign w:val="center"/>
                </w:tcPr>
                <w:p w14:paraId="73586655">
                  <w:pPr>
                    <w:wordWrap/>
                    <w:topLinePunct w:val="0"/>
                    <w:bidi w:val="0"/>
                    <w:adjustRightInd/>
                    <w:snapToGrid/>
                    <w:jc w:val="center"/>
                    <w:rPr>
                      <w:rFonts w:hint="default" w:ascii="Times New Roman" w:hAnsi="Times New Roman" w:eastAsia="宋体" w:cs="Times New Roman"/>
                      <w:color w:val="auto"/>
                      <w:spacing w:val="0"/>
                      <w:szCs w:val="21"/>
                      <w:highlight w:val="none"/>
                      <w:u w:val="none" w:color="auto"/>
                    </w:rPr>
                  </w:pPr>
                </w:p>
              </w:tc>
              <w:tc>
                <w:tcPr>
                  <w:tcW w:w="855" w:type="pct"/>
                  <w:noWrap w:val="0"/>
                  <w:vAlign w:val="center"/>
                </w:tcPr>
                <w:p w14:paraId="4B2DE808">
                  <w:pPr>
                    <w:wordWrap/>
                    <w:topLinePunct w:val="0"/>
                    <w:bidi w:val="0"/>
                    <w:adjustRightInd/>
                    <w:snapToGrid/>
                    <w:ind w:left="-105" w:leftChars="-50" w:right="-105" w:rightChars="-50"/>
                    <w:jc w:val="center"/>
                    <w:rPr>
                      <w:rFonts w:hint="default" w:ascii="Times New Roman" w:hAnsi="Times New Roman" w:eastAsia="宋体" w:cs="Times New Roman"/>
                      <w:color w:val="auto"/>
                      <w:spacing w:val="0"/>
                      <w:kern w:val="2"/>
                      <w:sz w:val="21"/>
                      <w:szCs w:val="21"/>
                      <w:highlight w:val="none"/>
                      <w:u w:val="none" w:color="auto"/>
                      <w:lang w:val="en-US" w:eastAsia="zh-CN" w:bidi="ar-SA"/>
                    </w:rPr>
                  </w:pPr>
                  <w:r>
                    <w:rPr>
                      <w:rFonts w:hint="default" w:ascii="Times New Roman" w:hAnsi="Times New Roman" w:eastAsia="宋体" w:cs="Times New Roman"/>
                      <w:color w:val="auto"/>
                      <w:spacing w:val="0"/>
                      <w:szCs w:val="21"/>
                      <w:highlight w:val="none"/>
                      <w:u w:val="none" w:color="auto"/>
                    </w:rPr>
                    <w:t>氨氮</w:t>
                  </w:r>
                </w:p>
              </w:tc>
              <w:tc>
                <w:tcPr>
                  <w:tcW w:w="856" w:type="pct"/>
                  <w:noWrap w:val="0"/>
                  <w:vAlign w:val="center"/>
                </w:tcPr>
                <w:p w14:paraId="3D864A7F">
                  <w:pPr>
                    <w:wordWrap/>
                    <w:topLinePunct w:val="0"/>
                    <w:bidi w:val="0"/>
                    <w:adjustRightInd/>
                    <w:snapToGrid/>
                    <w:ind w:left="-105" w:leftChars="-50" w:right="-105" w:rightChars="-50"/>
                    <w:jc w:val="center"/>
                    <w:rPr>
                      <w:rFonts w:hint="default" w:ascii="Times New Roman" w:hAnsi="Times New Roman" w:eastAsia="宋体" w:cs="Times New Roman"/>
                      <w:color w:val="auto"/>
                      <w:spacing w:val="0"/>
                      <w:kern w:val="2"/>
                      <w:sz w:val="21"/>
                      <w:szCs w:val="21"/>
                      <w:highlight w:val="none"/>
                      <w:u w:val="none" w:color="auto"/>
                      <w:lang w:val="en-US" w:eastAsia="zh-CN" w:bidi="ar-SA"/>
                    </w:rPr>
                  </w:pPr>
                  <w:r>
                    <w:rPr>
                      <w:rFonts w:hint="default" w:ascii="Times New Roman" w:hAnsi="Times New Roman" w:eastAsia="宋体" w:cs="Times New Roman"/>
                      <w:color w:val="auto"/>
                      <w:spacing w:val="0"/>
                      <w:szCs w:val="21"/>
                      <w:highlight w:val="none"/>
                      <w:u w:val="none" w:color="auto"/>
                      <w:lang w:val="en-US" w:eastAsia="zh-CN"/>
                    </w:rPr>
                    <w:t>23.6</w:t>
                  </w:r>
                </w:p>
              </w:tc>
              <w:tc>
                <w:tcPr>
                  <w:tcW w:w="933" w:type="pct"/>
                  <w:noWrap w:val="0"/>
                  <w:vAlign w:val="center"/>
                </w:tcPr>
                <w:p w14:paraId="6C22D885">
                  <w:pPr>
                    <w:keepNext w:val="0"/>
                    <w:keepLines w:val="0"/>
                    <w:widowControl/>
                    <w:suppressLineNumbers w:val="0"/>
                    <w:jc w:val="center"/>
                    <w:textAlignment w:val="center"/>
                    <w:rPr>
                      <w:rFonts w:hint="default" w:ascii="Times New Roman" w:hAnsi="Times New Roman" w:eastAsia="宋体" w:cs="Times New Roman"/>
                      <w:color w:val="auto"/>
                      <w:spacing w:val="0"/>
                      <w:kern w:val="0"/>
                      <w:szCs w:val="21"/>
                      <w:highlight w:val="none"/>
                      <w:u w:val="none" w:color="auto"/>
                      <w:lang w:val="en-US" w:bidi="ar"/>
                    </w:rPr>
                  </w:pPr>
                  <w:r>
                    <w:rPr>
                      <w:rFonts w:hint="default" w:ascii="Times New Roman" w:hAnsi="Times New Roman" w:eastAsia="宋体" w:cs="Times New Roman"/>
                      <w:i w:val="0"/>
                      <w:iCs w:val="0"/>
                      <w:color w:val="auto"/>
                      <w:kern w:val="0"/>
                      <w:sz w:val="21"/>
                      <w:szCs w:val="21"/>
                      <w:u w:val="none" w:color="auto"/>
                      <w:lang w:val="en-US" w:eastAsia="zh-CN" w:bidi="ar"/>
                    </w:rPr>
                    <w:t xml:space="preserve">0.0796 </w:t>
                  </w:r>
                </w:p>
              </w:tc>
              <w:tc>
                <w:tcPr>
                  <w:tcW w:w="857" w:type="pct"/>
                  <w:noWrap w:val="0"/>
                  <w:vAlign w:val="center"/>
                </w:tcPr>
                <w:p w14:paraId="535FAA1A">
                  <w:pPr>
                    <w:keepNext w:val="0"/>
                    <w:keepLines w:val="0"/>
                    <w:widowControl/>
                    <w:suppressLineNumbers w:val="0"/>
                    <w:jc w:val="center"/>
                    <w:textAlignment w:val="center"/>
                    <w:rPr>
                      <w:rFonts w:hint="default" w:ascii="Times New Roman" w:hAnsi="Times New Roman" w:eastAsia="宋体" w:cs="Times New Roman"/>
                      <w:color w:val="auto"/>
                      <w:spacing w:val="0"/>
                      <w:kern w:val="2"/>
                      <w:sz w:val="21"/>
                      <w:szCs w:val="21"/>
                      <w:highlight w:val="none"/>
                      <w:u w:val="none" w:color="auto"/>
                      <w:lang w:val="en-US" w:eastAsia="zh-CN" w:bidi="ar-SA"/>
                    </w:rPr>
                  </w:pPr>
                  <w:r>
                    <w:rPr>
                      <w:rFonts w:hint="default" w:ascii="Times New Roman" w:hAnsi="Times New Roman" w:eastAsia="宋体" w:cs="Times New Roman"/>
                      <w:i w:val="0"/>
                      <w:iCs w:val="0"/>
                      <w:color w:val="auto"/>
                      <w:kern w:val="0"/>
                      <w:sz w:val="21"/>
                      <w:szCs w:val="21"/>
                      <w:u w:val="none" w:color="auto"/>
                      <w:lang w:val="en-US" w:eastAsia="zh-CN" w:bidi="ar"/>
                    </w:rPr>
                    <w:t>22.892</w:t>
                  </w:r>
                </w:p>
              </w:tc>
              <w:tc>
                <w:tcPr>
                  <w:tcW w:w="933" w:type="pct"/>
                  <w:noWrap w:val="0"/>
                  <w:vAlign w:val="center"/>
                </w:tcPr>
                <w:p w14:paraId="00AF1760">
                  <w:pPr>
                    <w:keepNext w:val="0"/>
                    <w:keepLines w:val="0"/>
                    <w:widowControl/>
                    <w:suppressLineNumbers w:val="0"/>
                    <w:jc w:val="center"/>
                    <w:textAlignment w:val="center"/>
                    <w:rPr>
                      <w:rFonts w:hint="default" w:ascii="Times New Roman" w:hAnsi="Times New Roman" w:eastAsia="宋体" w:cs="Times New Roman"/>
                      <w:color w:val="auto"/>
                      <w:spacing w:val="0"/>
                      <w:kern w:val="0"/>
                      <w:szCs w:val="21"/>
                      <w:highlight w:val="none"/>
                      <w:u w:val="none" w:color="auto"/>
                      <w:lang w:bidi="ar"/>
                    </w:rPr>
                  </w:pPr>
                  <w:r>
                    <w:rPr>
                      <w:rFonts w:hint="default" w:ascii="Times New Roman" w:hAnsi="Times New Roman" w:eastAsia="宋体" w:cs="Times New Roman"/>
                      <w:i w:val="0"/>
                      <w:iCs w:val="0"/>
                      <w:color w:val="auto"/>
                      <w:kern w:val="0"/>
                      <w:sz w:val="21"/>
                      <w:szCs w:val="21"/>
                      <w:u w:val="none" w:color="auto"/>
                      <w:lang w:val="en-US" w:eastAsia="zh-CN" w:bidi="ar"/>
                    </w:rPr>
                    <w:t xml:space="preserve">0.0772 </w:t>
                  </w:r>
                </w:p>
              </w:tc>
            </w:tr>
            <w:tr w14:paraId="0470001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gridAfter w:val="1"/>
                <w:wAfter w:w="1" w:type="pct"/>
                <w:trHeight w:val="23" w:hRule="atLeast"/>
                <w:jc w:val="center"/>
              </w:trPr>
              <w:tc>
                <w:tcPr>
                  <w:tcW w:w="561" w:type="pct"/>
                  <w:vMerge w:val="continue"/>
                  <w:noWrap w:val="0"/>
                  <w:vAlign w:val="top"/>
                </w:tcPr>
                <w:p w14:paraId="07046738">
                  <w:pPr>
                    <w:wordWrap/>
                    <w:topLinePunct w:val="0"/>
                    <w:bidi w:val="0"/>
                    <w:adjustRightInd/>
                    <w:snapToGrid/>
                    <w:jc w:val="center"/>
                    <w:rPr>
                      <w:rFonts w:hint="default" w:ascii="Times New Roman" w:hAnsi="Times New Roman" w:eastAsia="宋体" w:cs="Times New Roman"/>
                      <w:color w:val="auto"/>
                      <w:spacing w:val="0"/>
                      <w:szCs w:val="21"/>
                      <w:highlight w:val="none"/>
                      <w:u w:val="none" w:color="auto"/>
                    </w:rPr>
                  </w:pPr>
                </w:p>
              </w:tc>
              <w:tc>
                <w:tcPr>
                  <w:tcW w:w="855" w:type="pct"/>
                  <w:noWrap w:val="0"/>
                  <w:vAlign w:val="center"/>
                </w:tcPr>
                <w:p w14:paraId="2306426F">
                  <w:pPr>
                    <w:wordWrap/>
                    <w:topLinePunct w:val="0"/>
                    <w:bidi w:val="0"/>
                    <w:adjustRightInd/>
                    <w:snapToGrid/>
                    <w:ind w:left="-105" w:leftChars="-50" w:right="-105" w:rightChars="-50"/>
                    <w:jc w:val="center"/>
                    <w:rPr>
                      <w:rFonts w:hint="default" w:ascii="Times New Roman" w:hAnsi="Times New Roman" w:eastAsia="宋体" w:cs="Times New Roman"/>
                      <w:color w:val="auto"/>
                      <w:spacing w:val="0"/>
                      <w:kern w:val="2"/>
                      <w:sz w:val="21"/>
                      <w:szCs w:val="21"/>
                      <w:highlight w:val="none"/>
                      <w:u w:val="none" w:color="auto"/>
                      <w:lang w:val="en-US" w:eastAsia="zh-CN" w:bidi="ar-SA"/>
                    </w:rPr>
                  </w:pPr>
                  <w:r>
                    <w:rPr>
                      <w:rFonts w:hint="default" w:ascii="Times New Roman" w:hAnsi="Times New Roman" w:eastAsia="宋体" w:cs="Times New Roman"/>
                      <w:color w:val="auto"/>
                      <w:spacing w:val="0"/>
                      <w:szCs w:val="21"/>
                      <w:highlight w:val="none"/>
                      <w:u w:val="none" w:color="auto"/>
                    </w:rPr>
                    <w:t>SS</w:t>
                  </w:r>
                </w:p>
              </w:tc>
              <w:tc>
                <w:tcPr>
                  <w:tcW w:w="856" w:type="pct"/>
                  <w:noWrap w:val="0"/>
                  <w:vAlign w:val="center"/>
                </w:tcPr>
                <w:p w14:paraId="1EF2DDBE">
                  <w:pPr>
                    <w:wordWrap/>
                    <w:topLinePunct w:val="0"/>
                    <w:bidi w:val="0"/>
                    <w:adjustRightInd/>
                    <w:snapToGrid/>
                    <w:ind w:left="-105" w:leftChars="-50" w:right="-105" w:rightChars="-50"/>
                    <w:jc w:val="center"/>
                    <w:rPr>
                      <w:rFonts w:hint="default" w:ascii="Times New Roman" w:hAnsi="Times New Roman" w:eastAsia="宋体" w:cs="Times New Roman"/>
                      <w:color w:val="auto"/>
                      <w:spacing w:val="0"/>
                      <w:kern w:val="2"/>
                      <w:sz w:val="21"/>
                      <w:szCs w:val="21"/>
                      <w:highlight w:val="none"/>
                      <w:u w:val="none" w:color="auto"/>
                      <w:lang w:val="en-US" w:eastAsia="zh-CN" w:bidi="ar-SA"/>
                    </w:rPr>
                  </w:pPr>
                  <w:r>
                    <w:rPr>
                      <w:rFonts w:hint="default" w:ascii="Times New Roman" w:hAnsi="Times New Roman" w:eastAsia="宋体" w:cs="Times New Roman"/>
                      <w:color w:val="auto"/>
                      <w:spacing w:val="0"/>
                      <w:szCs w:val="21"/>
                      <w:highlight w:val="none"/>
                      <w:u w:val="none" w:color="auto"/>
                    </w:rPr>
                    <w:t>150</w:t>
                  </w:r>
                </w:p>
              </w:tc>
              <w:tc>
                <w:tcPr>
                  <w:tcW w:w="933" w:type="pct"/>
                  <w:noWrap w:val="0"/>
                  <w:vAlign w:val="center"/>
                </w:tcPr>
                <w:p w14:paraId="6C5DCBA5">
                  <w:pPr>
                    <w:keepNext w:val="0"/>
                    <w:keepLines w:val="0"/>
                    <w:widowControl/>
                    <w:suppressLineNumbers w:val="0"/>
                    <w:jc w:val="center"/>
                    <w:textAlignment w:val="center"/>
                    <w:rPr>
                      <w:rFonts w:hint="default" w:ascii="Times New Roman" w:hAnsi="Times New Roman" w:eastAsia="宋体" w:cs="Times New Roman"/>
                      <w:color w:val="auto"/>
                      <w:spacing w:val="0"/>
                      <w:kern w:val="0"/>
                      <w:szCs w:val="21"/>
                      <w:highlight w:val="none"/>
                      <w:u w:val="none" w:color="auto"/>
                      <w:lang w:bidi="ar"/>
                    </w:rPr>
                  </w:pPr>
                  <w:r>
                    <w:rPr>
                      <w:rFonts w:hint="default" w:ascii="Times New Roman" w:hAnsi="Times New Roman" w:eastAsia="宋体" w:cs="Times New Roman"/>
                      <w:i w:val="0"/>
                      <w:iCs w:val="0"/>
                      <w:color w:val="auto"/>
                      <w:kern w:val="0"/>
                      <w:sz w:val="21"/>
                      <w:szCs w:val="21"/>
                      <w:u w:val="none" w:color="auto"/>
                      <w:lang w:val="en-US" w:eastAsia="zh-CN" w:bidi="ar"/>
                    </w:rPr>
                    <w:t xml:space="preserve">0.5062 </w:t>
                  </w:r>
                </w:p>
              </w:tc>
              <w:tc>
                <w:tcPr>
                  <w:tcW w:w="857" w:type="pct"/>
                  <w:noWrap w:val="0"/>
                  <w:vAlign w:val="center"/>
                </w:tcPr>
                <w:p w14:paraId="0E63945B">
                  <w:pPr>
                    <w:keepNext w:val="0"/>
                    <w:keepLines w:val="0"/>
                    <w:widowControl/>
                    <w:suppressLineNumbers w:val="0"/>
                    <w:jc w:val="center"/>
                    <w:textAlignment w:val="center"/>
                    <w:rPr>
                      <w:rFonts w:hint="default" w:ascii="Times New Roman" w:hAnsi="Times New Roman" w:eastAsia="宋体" w:cs="Times New Roman"/>
                      <w:color w:val="auto"/>
                      <w:spacing w:val="0"/>
                      <w:kern w:val="2"/>
                      <w:sz w:val="21"/>
                      <w:szCs w:val="21"/>
                      <w:highlight w:val="none"/>
                      <w:u w:val="none" w:color="auto"/>
                      <w:lang w:val="en-US" w:eastAsia="zh-CN" w:bidi="ar-SA"/>
                    </w:rPr>
                  </w:pPr>
                  <w:r>
                    <w:rPr>
                      <w:rFonts w:hint="default" w:ascii="Times New Roman" w:hAnsi="Times New Roman" w:eastAsia="宋体" w:cs="Times New Roman"/>
                      <w:i w:val="0"/>
                      <w:iCs w:val="0"/>
                      <w:color w:val="auto"/>
                      <w:kern w:val="0"/>
                      <w:sz w:val="21"/>
                      <w:szCs w:val="21"/>
                      <w:u w:val="none" w:color="auto"/>
                      <w:lang w:val="en-US" w:eastAsia="zh-CN" w:bidi="ar"/>
                    </w:rPr>
                    <w:t>52.5</w:t>
                  </w:r>
                </w:p>
              </w:tc>
              <w:tc>
                <w:tcPr>
                  <w:tcW w:w="933" w:type="pct"/>
                  <w:noWrap w:val="0"/>
                  <w:vAlign w:val="center"/>
                </w:tcPr>
                <w:p w14:paraId="74A43C21">
                  <w:pPr>
                    <w:keepNext w:val="0"/>
                    <w:keepLines w:val="0"/>
                    <w:widowControl/>
                    <w:suppressLineNumbers w:val="0"/>
                    <w:jc w:val="center"/>
                    <w:textAlignment w:val="center"/>
                    <w:rPr>
                      <w:rFonts w:hint="default" w:ascii="Times New Roman" w:hAnsi="Times New Roman" w:eastAsia="宋体" w:cs="Times New Roman"/>
                      <w:color w:val="auto"/>
                      <w:spacing w:val="0"/>
                      <w:kern w:val="0"/>
                      <w:szCs w:val="21"/>
                      <w:highlight w:val="none"/>
                      <w:u w:val="none" w:color="auto"/>
                      <w:lang w:bidi="ar"/>
                    </w:rPr>
                  </w:pPr>
                  <w:r>
                    <w:rPr>
                      <w:rFonts w:hint="default" w:ascii="Times New Roman" w:hAnsi="Times New Roman" w:eastAsia="宋体" w:cs="Times New Roman"/>
                      <w:i w:val="0"/>
                      <w:iCs w:val="0"/>
                      <w:color w:val="auto"/>
                      <w:kern w:val="0"/>
                      <w:sz w:val="21"/>
                      <w:szCs w:val="21"/>
                      <w:u w:val="none" w:color="auto"/>
                      <w:lang w:val="en-US" w:eastAsia="zh-CN" w:bidi="ar"/>
                    </w:rPr>
                    <w:t xml:space="preserve">0.1772 </w:t>
                  </w:r>
                </w:p>
              </w:tc>
            </w:tr>
            <w:tr w14:paraId="3B868C0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gridAfter w:val="1"/>
                <w:wAfter w:w="1" w:type="pct"/>
                <w:trHeight w:val="23" w:hRule="atLeast"/>
                <w:jc w:val="center"/>
              </w:trPr>
              <w:tc>
                <w:tcPr>
                  <w:tcW w:w="561" w:type="pct"/>
                  <w:vMerge w:val="continue"/>
                  <w:noWrap w:val="0"/>
                  <w:vAlign w:val="top"/>
                </w:tcPr>
                <w:p w14:paraId="5A2DC898">
                  <w:pPr>
                    <w:wordWrap/>
                    <w:topLinePunct w:val="0"/>
                    <w:bidi w:val="0"/>
                    <w:adjustRightInd/>
                    <w:snapToGrid/>
                    <w:jc w:val="center"/>
                    <w:rPr>
                      <w:rFonts w:hint="default" w:ascii="Times New Roman" w:hAnsi="Times New Roman" w:eastAsia="宋体" w:cs="Times New Roman"/>
                      <w:color w:val="auto"/>
                      <w:spacing w:val="0"/>
                      <w:szCs w:val="21"/>
                      <w:highlight w:val="none"/>
                      <w:u w:val="none" w:color="auto"/>
                    </w:rPr>
                  </w:pPr>
                </w:p>
              </w:tc>
              <w:tc>
                <w:tcPr>
                  <w:tcW w:w="855" w:type="pct"/>
                  <w:noWrap w:val="0"/>
                  <w:vAlign w:val="center"/>
                </w:tcPr>
                <w:p w14:paraId="50BC1EAE">
                  <w:pPr>
                    <w:wordWrap/>
                    <w:topLinePunct w:val="0"/>
                    <w:bidi w:val="0"/>
                    <w:adjustRightInd/>
                    <w:snapToGrid/>
                    <w:ind w:left="-105" w:leftChars="-50" w:right="-105" w:rightChars="-50"/>
                    <w:jc w:val="center"/>
                    <w:rPr>
                      <w:rFonts w:hint="default" w:ascii="Times New Roman" w:hAnsi="Times New Roman" w:eastAsia="宋体" w:cs="Times New Roman"/>
                      <w:color w:val="auto"/>
                      <w:spacing w:val="0"/>
                      <w:kern w:val="2"/>
                      <w:sz w:val="21"/>
                      <w:szCs w:val="21"/>
                      <w:highlight w:val="none"/>
                      <w:u w:val="none" w:color="auto"/>
                      <w:lang w:val="en-US" w:eastAsia="zh-CN" w:bidi="ar-SA"/>
                    </w:rPr>
                  </w:pPr>
                  <w:r>
                    <w:rPr>
                      <w:rFonts w:hint="default" w:ascii="Times New Roman" w:hAnsi="Times New Roman" w:eastAsia="宋体" w:cs="Times New Roman"/>
                      <w:color w:val="auto"/>
                      <w:spacing w:val="0"/>
                      <w:szCs w:val="21"/>
                      <w:highlight w:val="none"/>
                      <w:u w:val="none" w:color="auto"/>
                    </w:rPr>
                    <w:t>动植物油</w:t>
                  </w:r>
                </w:p>
              </w:tc>
              <w:tc>
                <w:tcPr>
                  <w:tcW w:w="856" w:type="pct"/>
                  <w:noWrap w:val="0"/>
                  <w:vAlign w:val="center"/>
                </w:tcPr>
                <w:p w14:paraId="5EC44F72">
                  <w:pPr>
                    <w:wordWrap/>
                    <w:topLinePunct w:val="0"/>
                    <w:bidi w:val="0"/>
                    <w:adjustRightInd/>
                    <w:snapToGrid/>
                    <w:ind w:left="-105" w:leftChars="-50" w:right="-105" w:rightChars="-50"/>
                    <w:jc w:val="center"/>
                    <w:rPr>
                      <w:rFonts w:hint="default" w:ascii="Times New Roman" w:hAnsi="Times New Roman" w:eastAsia="宋体" w:cs="Times New Roman"/>
                      <w:color w:val="auto"/>
                      <w:spacing w:val="0"/>
                      <w:kern w:val="2"/>
                      <w:sz w:val="21"/>
                      <w:szCs w:val="21"/>
                      <w:highlight w:val="none"/>
                      <w:u w:val="none" w:color="auto"/>
                      <w:lang w:val="en-US" w:eastAsia="zh-CN" w:bidi="ar-SA"/>
                    </w:rPr>
                  </w:pPr>
                  <w:r>
                    <w:rPr>
                      <w:rFonts w:hint="default" w:ascii="Times New Roman" w:hAnsi="Times New Roman" w:eastAsia="宋体" w:cs="Times New Roman"/>
                      <w:color w:val="auto"/>
                      <w:spacing w:val="0"/>
                      <w:szCs w:val="21"/>
                      <w:highlight w:val="none"/>
                      <w:u w:val="none" w:color="auto"/>
                      <w:lang w:val="en-US" w:eastAsia="zh-CN"/>
                    </w:rPr>
                    <w:t>3.84</w:t>
                  </w:r>
                </w:p>
              </w:tc>
              <w:tc>
                <w:tcPr>
                  <w:tcW w:w="933" w:type="pct"/>
                  <w:noWrap w:val="0"/>
                  <w:vAlign w:val="center"/>
                </w:tcPr>
                <w:p w14:paraId="19957D3A">
                  <w:pPr>
                    <w:keepNext w:val="0"/>
                    <w:keepLines w:val="0"/>
                    <w:widowControl/>
                    <w:suppressLineNumbers w:val="0"/>
                    <w:jc w:val="center"/>
                    <w:textAlignment w:val="center"/>
                    <w:rPr>
                      <w:rFonts w:hint="default" w:ascii="Times New Roman" w:hAnsi="Times New Roman" w:eastAsia="宋体" w:cs="Times New Roman"/>
                      <w:color w:val="auto"/>
                      <w:spacing w:val="0"/>
                      <w:kern w:val="0"/>
                      <w:szCs w:val="21"/>
                      <w:highlight w:val="none"/>
                      <w:u w:val="none" w:color="auto"/>
                      <w:lang w:bidi="ar"/>
                    </w:rPr>
                  </w:pPr>
                  <w:r>
                    <w:rPr>
                      <w:rFonts w:hint="default" w:ascii="Times New Roman" w:hAnsi="Times New Roman" w:eastAsia="宋体" w:cs="Times New Roman"/>
                      <w:i w:val="0"/>
                      <w:iCs w:val="0"/>
                      <w:color w:val="auto"/>
                      <w:kern w:val="0"/>
                      <w:sz w:val="21"/>
                      <w:szCs w:val="21"/>
                      <w:u w:val="none" w:color="auto"/>
                      <w:lang w:val="en-US" w:eastAsia="zh-CN" w:bidi="ar"/>
                    </w:rPr>
                    <w:t xml:space="preserve">0.0130 </w:t>
                  </w:r>
                </w:p>
              </w:tc>
              <w:tc>
                <w:tcPr>
                  <w:tcW w:w="857" w:type="pct"/>
                  <w:noWrap w:val="0"/>
                  <w:vAlign w:val="center"/>
                </w:tcPr>
                <w:p w14:paraId="6AB0D9DC">
                  <w:pPr>
                    <w:keepNext w:val="0"/>
                    <w:keepLines w:val="0"/>
                    <w:widowControl/>
                    <w:suppressLineNumbers w:val="0"/>
                    <w:jc w:val="center"/>
                    <w:textAlignment w:val="center"/>
                    <w:rPr>
                      <w:rFonts w:hint="default" w:ascii="Times New Roman" w:hAnsi="Times New Roman" w:eastAsia="宋体" w:cs="Times New Roman"/>
                      <w:color w:val="auto"/>
                      <w:spacing w:val="0"/>
                      <w:kern w:val="2"/>
                      <w:sz w:val="21"/>
                      <w:szCs w:val="21"/>
                      <w:highlight w:val="none"/>
                      <w:u w:val="none" w:color="auto"/>
                      <w:lang w:val="en-US" w:eastAsia="zh-CN" w:bidi="ar-SA"/>
                    </w:rPr>
                  </w:pPr>
                  <w:r>
                    <w:rPr>
                      <w:rFonts w:hint="default" w:ascii="Times New Roman" w:hAnsi="Times New Roman" w:eastAsia="宋体" w:cs="Times New Roman"/>
                      <w:i w:val="0"/>
                      <w:iCs w:val="0"/>
                      <w:color w:val="auto"/>
                      <w:kern w:val="0"/>
                      <w:sz w:val="21"/>
                      <w:szCs w:val="21"/>
                      <w:u w:val="none" w:color="auto"/>
                      <w:lang w:val="en-US" w:eastAsia="zh-CN" w:bidi="ar"/>
                    </w:rPr>
                    <w:t>0.576</w:t>
                  </w:r>
                </w:p>
              </w:tc>
              <w:tc>
                <w:tcPr>
                  <w:tcW w:w="933" w:type="pct"/>
                  <w:noWrap w:val="0"/>
                  <w:vAlign w:val="center"/>
                </w:tcPr>
                <w:p w14:paraId="74B8F45A">
                  <w:pPr>
                    <w:keepNext w:val="0"/>
                    <w:keepLines w:val="0"/>
                    <w:widowControl/>
                    <w:suppressLineNumbers w:val="0"/>
                    <w:jc w:val="center"/>
                    <w:textAlignment w:val="center"/>
                    <w:rPr>
                      <w:rFonts w:hint="default" w:ascii="Times New Roman" w:hAnsi="Times New Roman" w:eastAsia="宋体" w:cs="Times New Roman"/>
                      <w:color w:val="auto"/>
                      <w:spacing w:val="0"/>
                      <w:kern w:val="0"/>
                      <w:szCs w:val="21"/>
                      <w:highlight w:val="none"/>
                      <w:u w:val="none" w:color="auto"/>
                      <w:lang w:val="en-US" w:bidi="ar"/>
                    </w:rPr>
                  </w:pPr>
                  <w:r>
                    <w:rPr>
                      <w:rFonts w:hint="default" w:ascii="Times New Roman" w:hAnsi="Times New Roman" w:eastAsia="宋体" w:cs="Times New Roman"/>
                      <w:i w:val="0"/>
                      <w:iCs w:val="0"/>
                      <w:color w:val="auto"/>
                      <w:kern w:val="0"/>
                      <w:sz w:val="21"/>
                      <w:szCs w:val="21"/>
                      <w:u w:val="none" w:color="auto"/>
                      <w:lang w:val="en-US" w:eastAsia="zh-CN" w:bidi="ar"/>
                    </w:rPr>
                    <w:t xml:space="preserve">0.0019 </w:t>
                  </w:r>
                </w:p>
              </w:tc>
            </w:tr>
          </w:tbl>
          <w:p w14:paraId="7FA9DB97">
            <w:pPr>
              <w:pStyle w:val="8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default" w:ascii="Times New Roman" w:hAnsi="Times New Roman" w:eastAsia="宋体" w:cs="Times New Roman"/>
                <w:b/>
                <w:bCs/>
                <w:color w:val="auto"/>
                <w:spacing w:val="0"/>
                <w:sz w:val="21"/>
                <w:szCs w:val="21"/>
                <w:highlight w:val="none"/>
                <w:u w:val="none" w:color="auto"/>
                <w:lang w:val="zh-CN"/>
              </w:rPr>
            </w:pPr>
            <w:r>
              <w:rPr>
                <w:rFonts w:hint="default" w:ascii="Times New Roman" w:hAnsi="Times New Roman" w:eastAsia="宋体" w:cs="Times New Roman"/>
                <w:b/>
                <w:bCs/>
                <w:color w:val="auto"/>
                <w:spacing w:val="0"/>
                <w:sz w:val="21"/>
                <w:szCs w:val="21"/>
                <w:highlight w:val="none"/>
                <w:u w:val="none" w:color="auto"/>
                <w:lang w:val="zh-CN"/>
              </w:rPr>
              <w:t>注：去除效率参考《村镇生活污染防治最佳可行技术指南（试行）》中化粪池对污染物的去除效率。</w:t>
            </w:r>
          </w:p>
          <w:p w14:paraId="74549BDF">
            <w:pPr>
              <w:pStyle w:val="86"/>
              <w:wordWrap/>
              <w:topLinePunct w:val="0"/>
              <w:bidi w:val="0"/>
              <w:adjustRightInd/>
              <w:snapToGrid/>
              <w:ind w:firstLine="480"/>
              <w:rPr>
                <w:rFonts w:hint="default" w:ascii="Times New Roman" w:hAnsi="Times New Roman" w:eastAsia="宋体" w:cs="Times New Roman"/>
                <w:color w:val="auto"/>
                <w:spacing w:val="0"/>
                <w:szCs w:val="24"/>
                <w:highlight w:val="none"/>
                <w:u w:val="none" w:color="auto"/>
                <w:lang w:val="zh-CN"/>
              </w:rPr>
            </w:pPr>
            <w:r>
              <w:rPr>
                <w:rFonts w:hint="default" w:ascii="Times New Roman" w:hAnsi="Times New Roman" w:eastAsia="宋体" w:cs="Times New Roman"/>
                <w:color w:val="auto"/>
                <w:spacing w:val="0"/>
                <w:szCs w:val="24"/>
                <w:highlight w:val="none"/>
                <w:u w:val="none" w:color="auto"/>
                <w:lang w:val="zh-CN"/>
              </w:rPr>
              <w:t>生活污水经预处理后，通过厂区排水管网进入园区污水管网，进而排入</w:t>
            </w:r>
            <w:r>
              <w:rPr>
                <w:rFonts w:hint="default" w:ascii="Times New Roman" w:hAnsi="Times New Roman" w:eastAsia="宋体" w:cs="Times New Roman"/>
                <w:color w:val="auto"/>
                <w:spacing w:val="0"/>
                <w:szCs w:val="24"/>
                <w:highlight w:val="none"/>
                <w:u w:val="none" w:color="auto"/>
                <w:lang w:eastAsia="zh-CN"/>
              </w:rPr>
              <w:t>污水处理厂</w:t>
            </w:r>
            <w:r>
              <w:rPr>
                <w:rFonts w:hint="default" w:ascii="Times New Roman" w:hAnsi="Times New Roman" w:eastAsia="宋体" w:cs="Times New Roman"/>
                <w:color w:val="auto"/>
                <w:spacing w:val="0"/>
                <w:szCs w:val="24"/>
                <w:highlight w:val="none"/>
                <w:u w:val="none" w:color="auto"/>
              </w:rPr>
              <w:t>。</w:t>
            </w:r>
          </w:p>
          <w:p w14:paraId="0592E079">
            <w:pPr>
              <w:pStyle w:val="55"/>
              <w:ind w:firstLine="482"/>
              <w:rPr>
                <w:rFonts w:hint="default" w:ascii="Times New Roman" w:hAnsi="Times New Roman" w:eastAsia="宋体" w:cs="Times New Roman"/>
                <w:b/>
                <w:bCs/>
                <w:color w:val="auto"/>
                <w:spacing w:val="0"/>
                <w:u w:val="none" w:color="auto"/>
                <w:lang w:val="en-US" w:eastAsia="zh-CN"/>
              </w:rPr>
            </w:pPr>
            <w:r>
              <w:rPr>
                <w:rFonts w:hint="default" w:ascii="Times New Roman" w:hAnsi="Times New Roman" w:eastAsia="宋体" w:cs="Times New Roman"/>
                <w:b/>
                <w:bCs/>
                <w:color w:val="auto"/>
                <w:spacing w:val="0"/>
                <w:u w:val="none" w:color="auto"/>
                <w:lang w:val="en-US" w:eastAsia="zh-CN"/>
              </w:rPr>
              <w:t>（2）生产废水</w:t>
            </w:r>
          </w:p>
          <w:p w14:paraId="7C025465">
            <w:pPr>
              <w:pStyle w:val="55"/>
              <w:ind w:firstLine="482"/>
              <w:rPr>
                <w:rFonts w:hint="default" w:ascii="Times New Roman" w:hAnsi="Times New Roman" w:eastAsia="宋体" w:cs="Times New Roman"/>
                <w:b w:val="0"/>
                <w:bCs w:val="0"/>
                <w:color w:val="auto"/>
                <w:spacing w:val="0"/>
                <w:u w:val="none" w:color="auto"/>
                <w:lang w:val="en-US" w:eastAsia="zh-CN"/>
              </w:rPr>
            </w:pPr>
            <w:r>
              <w:rPr>
                <w:rFonts w:hint="default" w:ascii="Times New Roman" w:hAnsi="Times New Roman" w:eastAsia="宋体" w:cs="Times New Roman"/>
                <w:b w:val="0"/>
                <w:bCs w:val="0"/>
                <w:color w:val="auto"/>
                <w:spacing w:val="0"/>
                <w:u w:val="none" w:color="auto"/>
                <w:lang w:val="en-US" w:eastAsia="zh-CN"/>
              </w:rPr>
              <w:t>项目临港高新产业园区生产废水有高压清洗工艺废水、浸渗工艺废水，根据水平衡分析可知，其排放量分别为1700t/a、150t/a。</w:t>
            </w:r>
          </w:p>
          <w:p w14:paraId="1AA14E3B">
            <w:pPr>
              <w:pStyle w:val="55"/>
              <w:ind w:firstLine="482"/>
              <w:rPr>
                <w:rFonts w:hint="default" w:ascii="Times New Roman" w:hAnsi="Times New Roman" w:eastAsia="宋体" w:cs="Times New Roman"/>
                <w:b w:val="0"/>
                <w:bCs w:val="0"/>
                <w:color w:val="auto"/>
                <w:spacing w:val="0"/>
                <w:u w:val="none" w:color="auto"/>
                <w:lang w:val="en-US" w:eastAsia="zh-CN"/>
              </w:rPr>
            </w:pPr>
            <w:r>
              <w:rPr>
                <w:rFonts w:hint="default" w:ascii="Times New Roman" w:hAnsi="Times New Roman" w:eastAsia="宋体" w:cs="Times New Roman"/>
                <w:b w:val="0"/>
                <w:bCs w:val="0"/>
                <w:color w:val="auto"/>
                <w:spacing w:val="0"/>
                <w:u w:val="none" w:color="auto"/>
                <w:lang w:val="en-US" w:eastAsia="zh-CN"/>
              </w:rPr>
              <w:t>项目产生的清洗废水，根据《33-37,431-434 机械行业系数手册》中“机械加工-清洗件-清洗液-加工件清洗-废水”的产物系数：COD为58.5kg/t-原料、石油类为19.5kg/t-原料，清洗剂年用量为25t/a，则COD产生量为1.4625t/a，石油类为0.4875t/a，高压清洗废水年产生量为1700t/a，则COD产生浓度为860.29mg/L，石油类产生浓度为286.76mg/L。</w:t>
            </w:r>
          </w:p>
          <w:p w14:paraId="7623F7FE">
            <w:pPr>
              <w:pStyle w:val="55"/>
              <w:ind w:firstLine="482"/>
              <w:rPr>
                <w:rFonts w:hint="default" w:ascii="Times New Roman" w:hAnsi="Times New Roman" w:eastAsia="宋体" w:cs="Times New Roman"/>
                <w:b w:val="0"/>
                <w:bCs w:val="0"/>
                <w:color w:val="auto"/>
                <w:spacing w:val="0"/>
                <w:u w:val="none" w:color="auto"/>
                <w:lang w:val="en-US" w:eastAsia="zh-CN"/>
              </w:rPr>
            </w:pPr>
            <w:r>
              <w:rPr>
                <w:rFonts w:hint="default" w:ascii="Times New Roman" w:hAnsi="Times New Roman" w:eastAsia="宋体" w:cs="Times New Roman"/>
                <w:b w:val="0"/>
                <w:bCs w:val="0"/>
                <w:color w:val="auto"/>
                <w:spacing w:val="0"/>
                <w:u w:val="none" w:color="auto"/>
                <w:lang w:val="en-US" w:eastAsia="zh-CN"/>
              </w:rPr>
              <w:t>目前尚无浸渗工艺废水污染源强参考依据，故本次评价按浸渗工艺配置时使用的浸渗剂使用量折算COD源强。</w:t>
            </w:r>
            <w:r>
              <w:rPr>
                <w:rFonts w:hint="default" w:ascii="Times New Roman" w:hAnsi="Times New Roman" w:eastAsia="宋体" w:cs="Times New Roman"/>
                <w:bCs/>
                <w:color w:val="auto"/>
                <w:sz w:val="24"/>
                <w:highlight w:val="none"/>
                <w:u w:val="none" w:color="auto"/>
                <w:lang w:val="en-US" w:eastAsia="zh-CN"/>
              </w:rPr>
              <w:t>根据设备参数，项目运行时最大用水在线量为5.0m</w:t>
            </w:r>
            <w:r>
              <w:rPr>
                <w:rFonts w:hint="default" w:ascii="Times New Roman" w:hAnsi="Times New Roman" w:eastAsia="宋体" w:cs="Times New Roman"/>
                <w:bCs/>
                <w:color w:val="auto"/>
                <w:sz w:val="24"/>
                <w:highlight w:val="none"/>
                <w:u w:val="none" w:color="auto"/>
                <w:vertAlign w:val="superscript"/>
                <w:lang w:val="en-US" w:eastAsia="zh-CN"/>
              </w:rPr>
              <w:t>3</w:t>
            </w:r>
            <w:r>
              <w:rPr>
                <w:rFonts w:hint="default" w:ascii="Times New Roman" w:hAnsi="Times New Roman" w:eastAsia="宋体" w:cs="Times New Roman"/>
                <w:bCs/>
                <w:color w:val="auto"/>
                <w:sz w:val="24"/>
                <w:highlight w:val="none"/>
                <w:u w:val="none" w:color="auto"/>
                <w:lang w:val="en-US" w:eastAsia="zh-CN"/>
              </w:rPr>
              <w:t>，每次配置</w:t>
            </w:r>
            <w:r>
              <w:rPr>
                <w:rFonts w:hint="default" w:ascii="Times New Roman" w:hAnsi="Times New Roman" w:eastAsia="宋体" w:cs="Times New Roman"/>
                <w:b w:val="0"/>
                <w:bCs w:val="0"/>
                <w:color w:val="auto"/>
                <w:spacing w:val="0"/>
                <w:u w:val="none" w:color="auto"/>
                <w:lang w:val="en-US" w:eastAsia="zh-CN"/>
              </w:rPr>
              <w:t>浸渗液时按3天用量，则0.44t/a×3d/次÷300d/a=0.0044t/次，则COD源强约为880mg/L。</w:t>
            </w:r>
          </w:p>
          <w:p w14:paraId="706896A0">
            <w:pPr>
              <w:pStyle w:val="55"/>
              <w:ind w:firstLine="482"/>
              <w:rPr>
                <w:rFonts w:hint="default" w:ascii="Times New Roman" w:hAnsi="Times New Roman" w:eastAsia="宋体" w:cs="Times New Roman"/>
                <w:b w:val="0"/>
                <w:bCs w:val="0"/>
                <w:color w:val="auto"/>
                <w:spacing w:val="0"/>
                <w:u w:val="none" w:color="auto"/>
                <w:lang w:val="en-US" w:eastAsia="zh-CN"/>
              </w:rPr>
            </w:pPr>
            <w:r>
              <w:rPr>
                <w:rFonts w:hint="default" w:ascii="Times New Roman" w:hAnsi="Times New Roman" w:eastAsia="宋体" w:cs="Times New Roman"/>
                <w:b w:val="0"/>
                <w:bCs w:val="0"/>
                <w:color w:val="auto"/>
                <w:spacing w:val="0"/>
                <w:u w:val="none" w:color="auto"/>
                <w:lang w:val="en-US" w:eastAsia="zh-CN"/>
              </w:rPr>
              <w:t>项目临港高新产业园区生产废水均进入自建的TW004废水处理站进行处理，废水处理规模：12t/d；废水处理工艺：调节池+pH调节+混凝气浮+两级水解酸化+生物接触氧化+二沉池+清水池，设计进水水质如下：</w:t>
            </w:r>
          </w:p>
          <w:p w14:paraId="44CCCB1E">
            <w:pPr>
              <w:jc w:val="center"/>
              <w:rPr>
                <w:rFonts w:hint="default" w:ascii="Times New Roman" w:hAnsi="Times New Roman" w:eastAsia="宋体" w:cs="Times New Roman"/>
                <w:b/>
                <w:bCs/>
                <w:color w:val="auto"/>
                <w:u w:val="none" w:color="auto"/>
                <w:lang w:val="en-US" w:eastAsia="zh-CN"/>
              </w:rPr>
            </w:pPr>
            <w:r>
              <w:rPr>
                <w:rFonts w:hint="default" w:ascii="Times New Roman" w:hAnsi="Times New Roman" w:eastAsia="宋体" w:cs="Times New Roman"/>
                <w:b/>
                <w:bCs/>
                <w:color w:val="auto"/>
                <w:u w:val="none" w:color="auto"/>
                <w:lang w:val="en-US" w:eastAsia="zh-CN"/>
              </w:rPr>
              <w:t>表4-25  TW004废水处理站进水水质</w:t>
            </w:r>
          </w:p>
          <w:tbl>
            <w:tblPr>
              <w:tblStyle w:val="31"/>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803"/>
              <w:gridCol w:w="937"/>
              <w:gridCol w:w="1247"/>
              <w:gridCol w:w="1094"/>
              <w:gridCol w:w="1094"/>
              <w:gridCol w:w="1094"/>
              <w:gridCol w:w="1246"/>
            </w:tblGrid>
            <w:tr w14:paraId="7B6EC3F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58" w:type="pct"/>
                  <w:tcBorders>
                    <w:tl2br w:val="nil"/>
                    <w:tr2bl w:val="nil"/>
                  </w:tcBorders>
                  <w:noWrap w:val="0"/>
                  <w:vAlign w:val="center"/>
                </w:tcPr>
                <w:p w14:paraId="30C04302">
                  <w:pPr>
                    <w:pStyle w:val="62"/>
                    <w:jc w:val="center"/>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项目</w:t>
                  </w:r>
                </w:p>
              </w:tc>
              <w:tc>
                <w:tcPr>
                  <w:tcW w:w="550" w:type="pct"/>
                  <w:tcBorders>
                    <w:tl2br w:val="nil"/>
                    <w:tr2bl w:val="nil"/>
                  </w:tcBorders>
                  <w:noWrap w:val="0"/>
                  <w:vAlign w:val="center"/>
                </w:tcPr>
                <w:p w14:paraId="7FFD631D">
                  <w:pPr>
                    <w:pStyle w:val="62"/>
                    <w:snapToGrid w:val="0"/>
                    <w:jc w:val="center"/>
                    <w:rPr>
                      <w:rFonts w:hint="default" w:ascii="Times New Roman" w:hAnsi="Times New Roman" w:eastAsia="宋体" w:cs="Times New Roman"/>
                      <w:b/>
                      <w:bCs/>
                      <w:color w:val="auto"/>
                      <w:kern w:val="2"/>
                      <w:sz w:val="21"/>
                      <w:szCs w:val="21"/>
                      <w:u w:val="none" w:color="auto"/>
                      <w:lang w:val="en-US" w:eastAsia="zh-CN" w:bidi="ar-SA"/>
                    </w:rPr>
                  </w:pPr>
                  <w:r>
                    <w:rPr>
                      <w:rFonts w:hint="default" w:ascii="Times New Roman" w:hAnsi="Times New Roman" w:eastAsia="宋体" w:cs="Times New Roman"/>
                      <w:b/>
                      <w:bCs/>
                      <w:color w:val="auto"/>
                      <w:sz w:val="21"/>
                      <w:szCs w:val="21"/>
                      <w:u w:val="none" w:color="auto"/>
                    </w:rPr>
                    <w:t>pH</w:t>
                  </w:r>
                </w:p>
              </w:tc>
              <w:tc>
                <w:tcPr>
                  <w:tcW w:w="732" w:type="pct"/>
                  <w:tcBorders>
                    <w:tl2br w:val="nil"/>
                    <w:tr2bl w:val="nil"/>
                  </w:tcBorders>
                  <w:noWrap w:val="0"/>
                  <w:vAlign w:val="center"/>
                </w:tcPr>
                <w:p w14:paraId="6DBAB88F">
                  <w:pPr>
                    <w:pStyle w:val="62"/>
                    <w:snapToGrid w:val="0"/>
                    <w:jc w:val="center"/>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COD</w:t>
                  </w:r>
                </w:p>
              </w:tc>
              <w:tc>
                <w:tcPr>
                  <w:tcW w:w="642" w:type="pct"/>
                  <w:tcBorders>
                    <w:tl2br w:val="nil"/>
                    <w:tr2bl w:val="nil"/>
                  </w:tcBorders>
                  <w:noWrap w:val="0"/>
                  <w:vAlign w:val="center"/>
                </w:tcPr>
                <w:p w14:paraId="599640F7">
                  <w:pPr>
                    <w:pStyle w:val="62"/>
                    <w:snapToGrid w:val="0"/>
                    <w:jc w:val="center"/>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BOD</w:t>
                  </w:r>
                  <w:r>
                    <w:rPr>
                      <w:rFonts w:hint="default" w:ascii="Times New Roman" w:hAnsi="Times New Roman" w:eastAsia="宋体" w:cs="Times New Roman"/>
                      <w:b/>
                      <w:bCs/>
                      <w:color w:val="auto"/>
                      <w:sz w:val="21"/>
                      <w:szCs w:val="21"/>
                      <w:u w:val="none" w:color="auto"/>
                      <w:vertAlign w:val="subscript"/>
                    </w:rPr>
                    <w:t>5</w:t>
                  </w:r>
                </w:p>
              </w:tc>
              <w:tc>
                <w:tcPr>
                  <w:tcW w:w="642" w:type="pct"/>
                  <w:tcBorders>
                    <w:tl2br w:val="nil"/>
                    <w:tr2bl w:val="nil"/>
                  </w:tcBorders>
                  <w:noWrap w:val="0"/>
                  <w:vAlign w:val="center"/>
                </w:tcPr>
                <w:p w14:paraId="0819CB88">
                  <w:pPr>
                    <w:pStyle w:val="62"/>
                    <w:snapToGrid w:val="0"/>
                    <w:jc w:val="center"/>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SS</w:t>
                  </w:r>
                </w:p>
              </w:tc>
              <w:tc>
                <w:tcPr>
                  <w:tcW w:w="642" w:type="pct"/>
                  <w:tcBorders>
                    <w:tl2br w:val="nil"/>
                    <w:tr2bl w:val="nil"/>
                  </w:tcBorders>
                  <w:noWrap w:val="0"/>
                  <w:vAlign w:val="center"/>
                </w:tcPr>
                <w:p w14:paraId="6E08A591">
                  <w:pPr>
                    <w:pStyle w:val="62"/>
                    <w:snapToGrid w:val="0"/>
                    <w:jc w:val="center"/>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NH</w:t>
                  </w:r>
                  <w:r>
                    <w:rPr>
                      <w:rFonts w:hint="default" w:ascii="Times New Roman" w:hAnsi="Times New Roman" w:eastAsia="宋体" w:cs="Times New Roman"/>
                      <w:b/>
                      <w:bCs/>
                      <w:color w:val="auto"/>
                      <w:sz w:val="21"/>
                      <w:szCs w:val="21"/>
                      <w:u w:val="none" w:color="auto"/>
                      <w:vertAlign w:val="subscript"/>
                    </w:rPr>
                    <w:t>3</w:t>
                  </w:r>
                  <w:r>
                    <w:rPr>
                      <w:rFonts w:hint="default" w:ascii="Times New Roman" w:hAnsi="Times New Roman" w:eastAsia="宋体" w:cs="Times New Roman"/>
                      <w:b/>
                      <w:bCs/>
                      <w:color w:val="auto"/>
                      <w:sz w:val="21"/>
                      <w:szCs w:val="21"/>
                      <w:u w:val="none" w:color="auto"/>
                    </w:rPr>
                    <w:t>-N</w:t>
                  </w:r>
                </w:p>
              </w:tc>
              <w:tc>
                <w:tcPr>
                  <w:tcW w:w="731" w:type="pct"/>
                  <w:tcBorders>
                    <w:tl2br w:val="nil"/>
                    <w:tr2bl w:val="nil"/>
                  </w:tcBorders>
                  <w:noWrap w:val="0"/>
                  <w:vAlign w:val="center"/>
                </w:tcPr>
                <w:p w14:paraId="5E906FCE">
                  <w:pPr>
                    <w:pStyle w:val="62"/>
                    <w:snapToGrid w:val="0"/>
                    <w:jc w:val="center"/>
                    <w:rPr>
                      <w:rFonts w:hint="default" w:ascii="Times New Roman" w:hAnsi="Times New Roman" w:eastAsia="宋体" w:cs="Times New Roman"/>
                      <w:b/>
                      <w:bCs/>
                      <w:color w:val="auto"/>
                      <w:sz w:val="21"/>
                      <w:szCs w:val="21"/>
                      <w:u w:val="none" w:color="auto"/>
                      <w:lang w:val="en-US" w:eastAsia="zh-CN"/>
                    </w:rPr>
                  </w:pPr>
                  <w:r>
                    <w:rPr>
                      <w:rFonts w:hint="default" w:ascii="Times New Roman" w:hAnsi="Times New Roman" w:eastAsia="宋体" w:cs="Times New Roman"/>
                      <w:b/>
                      <w:bCs/>
                      <w:color w:val="auto"/>
                      <w:sz w:val="21"/>
                      <w:szCs w:val="21"/>
                      <w:u w:val="none" w:color="auto"/>
                      <w:lang w:val="en-US" w:eastAsia="zh-CN"/>
                    </w:rPr>
                    <w:t>石油类</w:t>
                  </w:r>
                </w:p>
              </w:tc>
            </w:tr>
            <w:tr w14:paraId="6CF8717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58" w:type="pct"/>
                  <w:tcBorders>
                    <w:tl2br w:val="nil"/>
                    <w:tr2bl w:val="nil"/>
                  </w:tcBorders>
                  <w:noWrap w:val="0"/>
                  <w:vAlign w:val="center"/>
                </w:tcPr>
                <w:p w14:paraId="1E7CC780">
                  <w:pPr>
                    <w:pStyle w:val="62"/>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进水水质</w:t>
                  </w:r>
                </w:p>
              </w:tc>
              <w:tc>
                <w:tcPr>
                  <w:tcW w:w="550" w:type="pct"/>
                  <w:tcBorders>
                    <w:tl2br w:val="nil"/>
                    <w:tr2bl w:val="nil"/>
                  </w:tcBorders>
                  <w:noWrap w:val="0"/>
                  <w:vAlign w:val="center"/>
                </w:tcPr>
                <w:p w14:paraId="1134FA70">
                  <w:pPr>
                    <w:pStyle w:val="62"/>
                    <w:snapToGrid w:val="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6~9</w:t>
                  </w:r>
                </w:p>
              </w:tc>
              <w:tc>
                <w:tcPr>
                  <w:tcW w:w="732" w:type="pct"/>
                  <w:tcBorders>
                    <w:tl2br w:val="nil"/>
                    <w:tr2bl w:val="nil"/>
                  </w:tcBorders>
                  <w:noWrap w:val="0"/>
                  <w:vAlign w:val="center"/>
                </w:tcPr>
                <w:p w14:paraId="2B18807C">
                  <w:pPr>
                    <w:pStyle w:val="62"/>
                    <w:snapToGrid w:val="0"/>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≤1000</w:t>
                  </w:r>
                </w:p>
              </w:tc>
              <w:tc>
                <w:tcPr>
                  <w:tcW w:w="642" w:type="pct"/>
                  <w:tcBorders>
                    <w:tl2br w:val="nil"/>
                    <w:tr2bl w:val="nil"/>
                  </w:tcBorders>
                  <w:noWrap w:val="0"/>
                  <w:vAlign w:val="center"/>
                </w:tcPr>
                <w:p w14:paraId="71B97DAF">
                  <w:pPr>
                    <w:snapToGrid w:val="0"/>
                    <w:jc w:val="center"/>
                    <w:rPr>
                      <w:rFonts w:hint="default" w:ascii="Times New Roman" w:hAnsi="Times New Roman" w:eastAsia="宋体" w:cs="Times New Roman"/>
                      <w:color w:val="auto"/>
                      <w:sz w:val="21"/>
                      <w:szCs w:val="21"/>
                      <w:u w:val="none" w:color="auto"/>
                      <w:lang w:val="en-US"/>
                    </w:rPr>
                  </w:pPr>
                  <w:r>
                    <w:rPr>
                      <w:rFonts w:hint="default" w:ascii="Times New Roman" w:hAnsi="Times New Roman" w:eastAsia="宋体" w:cs="Times New Roman"/>
                      <w:color w:val="auto"/>
                      <w:sz w:val="21"/>
                      <w:szCs w:val="21"/>
                      <w:u w:val="none" w:color="auto"/>
                      <w:lang w:val="en-US" w:eastAsia="zh-CN"/>
                    </w:rPr>
                    <w:t>≤300</w:t>
                  </w:r>
                </w:p>
              </w:tc>
              <w:tc>
                <w:tcPr>
                  <w:tcW w:w="642" w:type="pct"/>
                  <w:tcBorders>
                    <w:tl2br w:val="nil"/>
                    <w:tr2bl w:val="nil"/>
                  </w:tcBorders>
                  <w:noWrap w:val="0"/>
                  <w:vAlign w:val="center"/>
                </w:tcPr>
                <w:p w14:paraId="2B6D58C9">
                  <w:pPr>
                    <w:snapToGrid w:val="0"/>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≤600</w:t>
                  </w:r>
                </w:p>
              </w:tc>
              <w:tc>
                <w:tcPr>
                  <w:tcW w:w="642" w:type="pct"/>
                  <w:tcBorders>
                    <w:tl2br w:val="nil"/>
                    <w:tr2bl w:val="nil"/>
                  </w:tcBorders>
                  <w:noWrap w:val="0"/>
                  <w:vAlign w:val="center"/>
                </w:tcPr>
                <w:p w14:paraId="7547917A">
                  <w:pPr>
                    <w:snapToGrid w:val="0"/>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≤35</w:t>
                  </w:r>
                </w:p>
              </w:tc>
              <w:tc>
                <w:tcPr>
                  <w:tcW w:w="731" w:type="pct"/>
                  <w:tcBorders>
                    <w:tl2br w:val="nil"/>
                    <w:tr2bl w:val="nil"/>
                  </w:tcBorders>
                  <w:noWrap w:val="0"/>
                  <w:vAlign w:val="center"/>
                </w:tcPr>
                <w:p w14:paraId="0510E858">
                  <w:pPr>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≤300</w:t>
                  </w:r>
                </w:p>
              </w:tc>
            </w:tr>
            <w:tr w14:paraId="1AD0A05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58" w:type="pct"/>
                  <w:tcBorders>
                    <w:tl2br w:val="nil"/>
                    <w:tr2bl w:val="nil"/>
                  </w:tcBorders>
                  <w:noWrap w:val="0"/>
                  <w:vAlign w:val="center"/>
                </w:tcPr>
                <w:p w14:paraId="1D0D295B">
                  <w:pPr>
                    <w:pStyle w:val="62"/>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出水水质</w:t>
                  </w:r>
                </w:p>
              </w:tc>
              <w:tc>
                <w:tcPr>
                  <w:tcW w:w="550" w:type="pct"/>
                  <w:tcBorders>
                    <w:tl2br w:val="nil"/>
                    <w:tr2bl w:val="nil"/>
                  </w:tcBorders>
                  <w:noWrap w:val="0"/>
                  <w:vAlign w:val="center"/>
                </w:tcPr>
                <w:p w14:paraId="4B9D8FDD">
                  <w:pPr>
                    <w:pStyle w:val="62"/>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6~9</w:t>
                  </w:r>
                </w:p>
              </w:tc>
              <w:tc>
                <w:tcPr>
                  <w:tcW w:w="732" w:type="pct"/>
                  <w:tcBorders>
                    <w:tl2br w:val="nil"/>
                    <w:tr2bl w:val="nil"/>
                  </w:tcBorders>
                  <w:noWrap w:val="0"/>
                  <w:vAlign w:val="center"/>
                </w:tcPr>
                <w:p w14:paraId="007F561E">
                  <w:pPr>
                    <w:snapToGrid w:val="0"/>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≤500</w:t>
                  </w:r>
                </w:p>
              </w:tc>
              <w:tc>
                <w:tcPr>
                  <w:tcW w:w="642" w:type="pct"/>
                  <w:tcBorders>
                    <w:tl2br w:val="nil"/>
                    <w:tr2bl w:val="nil"/>
                  </w:tcBorders>
                  <w:noWrap w:val="0"/>
                  <w:vAlign w:val="center"/>
                </w:tcPr>
                <w:p w14:paraId="2B77CA7E">
                  <w:pPr>
                    <w:snapToGrid w:val="0"/>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≤300</w:t>
                  </w:r>
                </w:p>
              </w:tc>
              <w:tc>
                <w:tcPr>
                  <w:tcW w:w="642" w:type="pct"/>
                  <w:tcBorders>
                    <w:tl2br w:val="nil"/>
                    <w:tr2bl w:val="nil"/>
                  </w:tcBorders>
                  <w:noWrap w:val="0"/>
                  <w:vAlign w:val="center"/>
                </w:tcPr>
                <w:p w14:paraId="38667A11">
                  <w:pPr>
                    <w:snapToGrid w:val="0"/>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≤400</w:t>
                  </w:r>
                </w:p>
              </w:tc>
              <w:tc>
                <w:tcPr>
                  <w:tcW w:w="642" w:type="pct"/>
                  <w:tcBorders>
                    <w:tl2br w:val="nil"/>
                    <w:tr2bl w:val="nil"/>
                  </w:tcBorders>
                  <w:noWrap w:val="0"/>
                  <w:vAlign w:val="center"/>
                </w:tcPr>
                <w:p w14:paraId="7D410D42">
                  <w:pPr>
                    <w:snapToGrid w:val="0"/>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≤35</w:t>
                  </w:r>
                </w:p>
              </w:tc>
              <w:tc>
                <w:tcPr>
                  <w:tcW w:w="731" w:type="pct"/>
                  <w:tcBorders>
                    <w:tl2br w:val="nil"/>
                    <w:tr2bl w:val="nil"/>
                  </w:tcBorders>
                  <w:noWrap w:val="0"/>
                  <w:vAlign w:val="center"/>
                </w:tcPr>
                <w:p w14:paraId="2D2CF8D8">
                  <w:pPr>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≤15</w:t>
                  </w:r>
                </w:p>
              </w:tc>
            </w:tr>
          </w:tbl>
          <w:p w14:paraId="4C43B3DD">
            <w:pPr>
              <w:rPr>
                <w:rFonts w:hint="default" w:ascii="Times New Roman" w:hAnsi="Times New Roman" w:eastAsia="宋体" w:cs="Times New Roman"/>
                <w:b/>
                <w:bCs/>
                <w:color w:val="auto"/>
                <w:u w:val="none" w:color="auto"/>
                <w:lang w:val="en-US" w:eastAsia="zh-CN"/>
              </w:rPr>
            </w:pPr>
            <w:r>
              <w:rPr>
                <w:rFonts w:hint="default" w:ascii="Times New Roman" w:hAnsi="Times New Roman" w:eastAsia="宋体" w:cs="Times New Roman"/>
                <w:b/>
                <w:bCs/>
                <w:color w:val="auto"/>
                <w:u w:val="none" w:color="auto"/>
                <w:lang w:val="en-US" w:eastAsia="zh-CN"/>
              </w:rPr>
              <w:t>注：根据建设单位提供的设计资料，出水水质依据排放标准制定。</w:t>
            </w:r>
          </w:p>
          <w:p w14:paraId="56E32F9E">
            <w:pPr>
              <w:spacing w:line="360" w:lineRule="auto"/>
              <w:ind w:firstLine="480" w:firstLineChars="200"/>
              <w:rPr>
                <w:rFonts w:hint="default" w:ascii="Times New Roman" w:hAnsi="Times New Roman" w:eastAsia="宋体" w:cs="Times New Roman"/>
                <w:color w:val="auto"/>
                <w:kern w:val="0"/>
                <w:sz w:val="24"/>
                <w:u w:val="none" w:color="auto"/>
                <w:lang w:val="en-US" w:eastAsia="zh-CN"/>
              </w:rPr>
            </w:pPr>
            <w:r>
              <w:rPr>
                <w:rFonts w:hint="default" w:ascii="Times New Roman" w:hAnsi="Times New Roman" w:eastAsia="宋体" w:cs="Times New Roman"/>
                <w:color w:val="auto"/>
                <w:kern w:val="0"/>
                <w:sz w:val="24"/>
                <w:u w:val="none" w:color="auto"/>
                <w:lang w:val="en-US" w:eastAsia="zh-CN"/>
              </w:rPr>
              <w:t>根据上述分析，项目临港高新产业园区生产废水均能够满足项目废水处理站进水水质要求。</w:t>
            </w:r>
            <w:r>
              <w:rPr>
                <w:rFonts w:hint="default" w:ascii="Times New Roman" w:hAnsi="Times New Roman" w:eastAsia="宋体" w:cs="Times New Roman"/>
                <w:color w:val="auto"/>
                <w:kern w:val="0"/>
                <w:sz w:val="24"/>
                <w:u w:val="none" w:color="auto"/>
              </w:rPr>
              <w:t>根据项目配套废水处理站设计说明并参考《排放源统计调查产排污核算方法和系数手册》(2021版)中“机械行业系数手册”中</w:t>
            </w:r>
            <w:r>
              <w:rPr>
                <w:rFonts w:hint="default" w:ascii="Times New Roman" w:hAnsi="Times New Roman" w:eastAsia="宋体" w:cs="Times New Roman"/>
                <w:color w:val="auto"/>
                <w:kern w:val="0"/>
                <w:sz w:val="24"/>
                <w:u w:val="none" w:color="auto"/>
                <w:lang w:val="en-US" w:eastAsia="zh-CN"/>
              </w:rPr>
              <w:t>相关去除效率具体如下：</w:t>
            </w:r>
          </w:p>
          <w:p w14:paraId="69CC68C9">
            <w:pPr>
              <w:jc w:val="center"/>
              <w:rPr>
                <w:rFonts w:hint="default" w:ascii="Times New Roman" w:hAnsi="Times New Roman" w:eastAsia="宋体" w:cs="Times New Roman"/>
                <w:b/>
                <w:bCs/>
                <w:color w:val="auto"/>
                <w:u w:val="none" w:color="auto"/>
                <w:lang w:val="en-US" w:eastAsia="zh-CN"/>
              </w:rPr>
            </w:pPr>
            <w:r>
              <w:rPr>
                <w:rFonts w:hint="default" w:ascii="Times New Roman" w:hAnsi="Times New Roman" w:eastAsia="宋体" w:cs="Times New Roman"/>
                <w:b/>
                <w:bCs/>
                <w:color w:val="auto"/>
                <w:u w:val="none" w:color="auto"/>
                <w:lang w:val="en-US" w:eastAsia="zh-CN"/>
              </w:rPr>
              <w:t>表4-26  废水处理效率及排放浓度</w:t>
            </w:r>
          </w:p>
          <w:tbl>
            <w:tblPr>
              <w:tblStyle w:val="32"/>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054"/>
              <w:gridCol w:w="4512"/>
              <w:gridCol w:w="1949"/>
            </w:tblGrid>
            <w:tr w14:paraId="74C1E14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06" w:type="pct"/>
                  <w:tcBorders>
                    <w:tl2br w:val="nil"/>
                    <w:tr2bl w:val="nil"/>
                  </w:tcBorders>
                  <w:vAlign w:val="center"/>
                </w:tcPr>
                <w:p w14:paraId="240FA556">
                  <w:pPr>
                    <w:jc w:val="center"/>
                    <w:rPr>
                      <w:rFonts w:hint="default" w:ascii="Times New Roman" w:hAnsi="Times New Roman" w:eastAsia="宋体" w:cs="Times New Roman"/>
                      <w:b/>
                      <w:bCs/>
                      <w:color w:val="auto"/>
                      <w:u w:val="none" w:color="auto"/>
                      <w:vertAlign w:val="baseline"/>
                      <w:lang w:val="en-US" w:eastAsia="zh-CN"/>
                    </w:rPr>
                  </w:pPr>
                  <w:r>
                    <w:rPr>
                      <w:rFonts w:hint="default" w:ascii="Times New Roman" w:hAnsi="Times New Roman" w:eastAsia="宋体" w:cs="Times New Roman"/>
                      <w:b/>
                      <w:bCs/>
                      <w:color w:val="auto"/>
                      <w:u w:val="none" w:color="auto"/>
                      <w:vertAlign w:val="baseline"/>
                      <w:lang w:val="en-US" w:eastAsia="zh-CN"/>
                    </w:rPr>
                    <w:t>污染物</w:t>
                  </w:r>
                </w:p>
              </w:tc>
              <w:tc>
                <w:tcPr>
                  <w:tcW w:w="2649" w:type="pct"/>
                  <w:tcBorders>
                    <w:tl2br w:val="nil"/>
                    <w:tr2bl w:val="nil"/>
                  </w:tcBorders>
                  <w:vAlign w:val="center"/>
                </w:tcPr>
                <w:p w14:paraId="7DDFC193">
                  <w:pPr>
                    <w:jc w:val="center"/>
                    <w:rPr>
                      <w:rFonts w:hint="default" w:ascii="Times New Roman" w:hAnsi="Times New Roman" w:eastAsia="宋体" w:cs="Times New Roman"/>
                      <w:b/>
                      <w:bCs/>
                      <w:color w:val="auto"/>
                      <w:u w:val="none" w:color="auto"/>
                      <w:vertAlign w:val="baseline"/>
                      <w:lang w:val="en-US" w:eastAsia="zh-CN"/>
                    </w:rPr>
                  </w:pPr>
                  <w:r>
                    <w:rPr>
                      <w:rFonts w:hint="default" w:ascii="Times New Roman" w:hAnsi="Times New Roman" w:eastAsia="宋体" w:cs="Times New Roman"/>
                      <w:b/>
                      <w:bCs/>
                      <w:color w:val="auto"/>
                      <w:u w:val="none" w:color="auto"/>
                      <w:vertAlign w:val="baseline"/>
                      <w:lang w:val="en-US" w:eastAsia="zh-CN"/>
                    </w:rPr>
                    <w:t>去除效率</w:t>
                  </w:r>
                </w:p>
              </w:tc>
              <w:tc>
                <w:tcPr>
                  <w:tcW w:w="1144" w:type="pct"/>
                  <w:tcBorders>
                    <w:tl2br w:val="nil"/>
                    <w:tr2bl w:val="nil"/>
                  </w:tcBorders>
                  <w:vAlign w:val="center"/>
                </w:tcPr>
                <w:p w14:paraId="5F21BFAB">
                  <w:pPr>
                    <w:jc w:val="center"/>
                    <w:rPr>
                      <w:rFonts w:hint="default" w:ascii="Times New Roman" w:hAnsi="Times New Roman" w:eastAsia="宋体" w:cs="Times New Roman"/>
                      <w:b/>
                      <w:bCs/>
                      <w:color w:val="auto"/>
                      <w:u w:val="none" w:color="auto"/>
                      <w:vertAlign w:val="baseline"/>
                      <w:lang w:val="en-US" w:eastAsia="zh-CN"/>
                    </w:rPr>
                  </w:pPr>
                  <w:r>
                    <w:rPr>
                      <w:rFonts w:hint="default" w:ascii="Times New Roman" w:hAnsi="Times New Roman" w:eastAsia="宋体" w:cs="Times New Roman"/>
                      <w:b/>
                      <w:bCs/>
                      <w:color w:val="auto"/>
                      <w:u w:val="none" w:color="auto"/>
                      <w:vertAlign w:val="baseline"/>
                      <w:lang w:val="en-US" w:eastAsia="zh-CN"/>
                    </w:rPr>
                    <w:t>排放浓度（mg/L）</w:t>
                  </w:r>
                </w:p>
              </w:tc>
            </w:tr>
            <w:tr w14:paraId="18419C7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06" w:type="pct"/>
                  <w:tcBorders>
                    <w:tl2br w:val="nil"/>
                    <w:tr2bl w:val="nil"/>
                  </w:tcBorders>
                  <w:vAlign w:val="center"/>
                </w:tcPr>
                <w:p w14:paraId="4F7729C3">
                  <w:pPr>
                    <w:jc w:val="center"/>
                    <w:rPr>
                      <w:rFonts w:hint="default" w:ascii="Times New Roman" w:hAnsi="Times New Roman" w:eastAsia="宋体" w:cs="Times New Roman"/>
                      <w:color w:val="auto"/>
                      <w:u w:val="none" w:color="auto"/>
                      <w:vertAlign w:val="baseline"/>
                      <w:lang w:val="en-US" w:eastAsia="zh-CN"/>
                    </w:rPr>
                  </w:pPr>
                  <w:r>
                    <w:rPr>
                      <w:rFonts w:hint="default" w:ascii="Times New Roman" w:hAnsi="Times New Roman" w:eastAsia="宋体" w:cs="Times New Roman"/>
                      <w:b/>
                      <w:bCs/>
                      <w:color w:val="auto"/>
                      <w:sz w:val="21"/>
                      <w:szCs w:val="21"/>
                      <w:u w:val="none" w:color="auto"/>
                    </w:rPr>
                    <w:t>COD</w:t>
                  </w:r>
                </w:p>
              </w:tc>
              <w:tc>
                <w:tcPr>
                  <w:tcW w:w="2649" w:type="pct"/>
                  <w:tcBorders>
                    <w:tl2br w:val="nil"/>
                    <w:tr2bl w:val="nil"/>
                  </w:tcBorders>
                  <w:vAlign w:val="center"/>
                </w:tcPr>
                <w:p w14:paraId="486406F8">
                  <w:pPr>
                    <w:jc w:val="center"/>
                    <w:rPr>
                      <w:rFonts w:hint="default" w:ascii="Times New Roman" w:hAnsi="Times New Roman" w:eastAsia="宋体" w:cs="Times New Roman"/>
                      <w:color w:val="auto"/>
                      <w:u w:val="none" w:color="auto"/>
                      <w:vertAlign w:val="baseline"/>
                      <w:lang w:val="en-US" w:eastAsia="zh-CN"/>
                    </w:rPr>
                  </w:pPr>
                  <w:r>
                    <w:rPr>
                      <w:rFonts w:hint="default" w:ascii="Times New Roman" w:hAnsi="Times New Roman" w:eastAsia="宋体" w:cs="Times New Roman"/>
                      <w:color w:val="auto"/>
                      <w:u w:val="none" w:color="auto"/>
                      <w:vertAlign w:val="baseline"/>
                      <w:lang w:val="en-US" w:eastAsia="zh-CN"/>
                    </w:rPr>
                    <w:t>87%</w:t>
                  </w:r>
                </w:p>
                <w:p w14:paraId="15ED209F">
                  <w:pPr>
                    <w:jc w:val="center"/>
                    <w:rPr>
                      <w:rFonts w:hint="default" w:ascii="Times New Roman" w:hAnsi="Times New Roman" w:eastAsia="宋体" w:cs="Times New Roman"/>
                      <w:color w:val="auto"/>
                      <w:u w:val="none" w:color="auto"/>
                      <w:vertAlign w:val="baseline"/>
                      <w:lang w:val="en-US" w:eastAsia="zh-CN"/>
                    </w:rPr>
                  </w:pPr>
                  <w:r>
                    <w:rPr>
                      <w:rFonts w:hint="default" w:ascii="Times New Roman" w:hAnsi="Times New Roman" w:eastAsia="宋体" w:cs="Times New Roman"/>
                      <w:color w:val="auto"/>
                      <w:u w:val="none" w:color="auto"/>
                      <w:vertAlign w:val="baseline"/>
                      <w:lang w:val="en-US" w:eastAsia="zh-CN"/>
                    </w:rPr>
                    <w:t>一级厌氧水解类=35%</w:t>
                  </w:r>
                </w:p>
                <w:p w14:paraId="31D1B3BE">
                  <w:pPr>
                    <w:jc w:val="center"/>
                    <w:rPr>
                      <w:rFonts w:hint="default" w:ascii="Times New Roman" w:hAnsi="Times New Roman" w:eastAsia="宋体" w:cs="Times New Roman"/>
                      <w:color w:val="auto"/>
                      <w:u w:val="none" w:color="auto"/>
                      <w:vertAlign w:val="baseline"/>
                      <w:lang w:val="en-US" w:eastAsia="zh-CN"/>
                    </w:rPr>
                  </w:pPr>
                  <w:r>
                    <w:rPr>
                      <w:rFonts w:hint="default" w:ascii="Times New Roman" w:hAnsi="Times New Roman" w:eastAsia="宋体" w:cs="Times New Roman"/>
                      <w:color w:val="auto"/>
                      <w:u w:val="none" w:color="auto"/>
                      <w:vertAlign w:val="baseline"/>
                      <w:lang w:val="en-US" w:eastAsia="zh-CN"/>
                    </w:rPr>
                    <w:t>一级厌氧水解类+一级生物接触氧化法=80%</w:t>
                  </w:r>
                </w:p>
              </w:tc>
              <w:tc>
                <w:tcPr>
                  <w:tcW w:w="1144" w:type="pct"/>
                  <w:tcBorders>
                    <w:tl2br w:val="nil"/>
                    <w:tr2bl w:val="nil"/>
                  </w:tcBorders>
                  <w:vAlign w:val="center"/>
                </w:tcPr>
                <w:p w14:paraId="4C461D73">
                  <w:pPr>
                    <w:jc w:val="center"/>
                    <w:rPr>
                      <w:rFonts w:hint="default" w:ascii="Times New Roman" w:hAnsi="Times New Roman" w:eastAsia="宋体" w:cs="Times New Roman"/>
                      <w:color w:val="auto"/>
                      <w:u w:val="none" w:color="auto"/>
                      <w:vertAlign w:val="baseline"/>
                      <w:lang w:val="en-US" w:eastAsia="zh-CN"/>
                    </w:rPr>
                  </w:pPr>
                  <w:r>
                    <w:rPr>
                      <w:rFonts w:hint="default" w:ascii="Times New Roman" w:hAnsi="Times New Roman" w:eastAsia="宋体" w:cs="Times New Roman"/>
                      <w:color w:val="auto"/>
                      <w:u w:val="none" w:color="auto"/>
                      <w:vertAlign w:val="baseline"/>
                      <w:lang w:val="en-US" w:eastAsia="zh-CN"/>
                    </w:rPr>
                    <w:t>130</w:t>
                  </w:r>
                </w:p>
              </w:tc>
            </w:tr>
            <w:tr w14:paraId="68F97F5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06" w:type="pct"/>
                  <w:tcBorders>
                    <w:tl2br w:val="nil"/>
                    <w:tr2bl w:val="nil"/>
                  </w:tcBorders>
                  <w:vAlign w:val="center"/>
                </w:tcPr>
                <w:p w14:paraId="0A8B0D81">
                  <w:pPr>
                    <w:jc w:val="center"/>
                    <w:rPr>
                      <w:rFonts w:hint="default" w:ascii="Times New Roman" w:hAnsi="Times New Roman" w:eastAsia="宋体" w:cs="Times New Roman"/>
                      <w:color w:val="auto"/>
                      <w:u w:val="none" w:color="auto"/>
                      <w:vertAlign w:val="baseline"/>
                      <w:lang w:val="en-US" w:eastAsia="zh-CN"/>
                    </w:rPr>
                  </w:pPr>
                  <w:r>
                    <w:rPr>
                      <w:rFonts w:hint="default" w:ascii="Times New Roman" w:hAnsi="Times New Roman" w:eastAsia="宋体" w:cs="Times New Roman"/>
                      <w:b/>
                      <w:bCs/>
                      <w:color w:val="auto"/>
                      <w:sz w:val="21"/>
                      <w:szCs w:val="21"/>
                      <w:u w:val="none" w:color="auto"/>
                    </w:rPr>
                    <w:t>BOD</w:t>
                  </w:r>
                  <w:r>
                    <w:rPr>
                      <w:rFonts w:hint="default" w:ascii="Times New Roman" w:hAnsi="Times New Roman" w:eastAsia="宋体" w:cs="Times New Roman"/>
                      <w:b/>
                      <w:bCs/>
                      <w:color w:val="auto"/>
                      <w:sz w:val="21"/>
                      <w:szCs w:val="21"/>
                      <w:u w:val="none" w:color="auto"/>
                      <w:vertAlign w:val="subscript"/>
                    </w:rPr>
                    <w:t>5</w:t>
                  </w:r>
                </w:p>
              </w:tc>
              <w:tc>
                <w:tcPr>
                  <w:tcW w:w="2649" w:type="pct"/>
                  <w:tcBorders>
                    <w:tl2br w:val="nil"/>
                    <w:tr2bl w:val="nil"/>
                  </w:tcBorders>
                  <w:vAlign w:val="center"/>
                </w:tcPr>
                <w:p w14:paraId="7B963EB2">
                  <w:pPr>
                    <w:jc w:val="center"/>
                    <w:rPr>
                      <w:rFonts w:hint="default" w:ascii="Times New Roman" w:hAnsi="Times New Roman" w:eastAsia="宋体" w:cs="Times New Roman"/>
                      <w:color w:val="auto"/>
                      <w:u w:val="none" w:color="auto"/>
                      <w:vertAlign w:val="baseline"/>
                      <w:lang w:val="en-US" w:eastAsia="zh-CN"/>
                    </w:rPr>
                  </w:pPr>
                  <w:r>
                    <w:rPr>
                      <w:rFonts w:hint="default" w:ascii="Times New Roman" w:hAnsi="Times New Roman" w:eastAsia="宋体" w:cs="Times New Roman"/>
                      <w:color w:val="auto"/>
                      <w:u w:val="none" w:color="auto"/>
                      <w:vertAlign w:val="baseline"/>
                      <w:lang w:val="en-US" w:eastAsia="zh-CN"/>
                    </w:rPr>
                    <w:t>70%</w:t>
                  </w:r>
                </w:p>
              </w:tc>
              <w:tc>
                <w:tcPr>
                  <w:tcW w:w="1144" w:type="pct"/>
                  <w:tcBorders>
                    <w:tl2br w:val="nil"/>
                    <w:tr2bl w:val="nil"/>
                  </w:tcBorders>
                  <w:vAlign w:val="center"/>
                </w:tcPr>
                <w:p w14:paraId="1F498EDF">
                  <w:pPr>
                    <w:jc w:val="center"/>
                    <w:rPr>
                      <w:rFonts w:hint="default" w:ascii="Times New Roman" w:hAnsi="Times New Roman" w:eastAsia="宋体" w:cs="Times New Roman"/>
                      <w:color w:val="auto"/>
                      <w:u w:val="none" w:color="auto"/>
                      <w:vertAlign w:val="baseline"/>
                      <w:lang w:val="en-US" w:eastAsia="zh-CN"/>
                    </w:rPr>
                  </w:pPr>
                  <w:r>
                    <w:rPr>
                      <w:rFonts w:hint="default" w:ascii="Times New Roman" w:hAnsi="Times New Roman" w:eastAsia="宋体" w:cs="Times New Roman"/>
                      <w:color w:val="auto"/>
                      <w:u w:val="none" w:color="auto"/>
                      <w:vertAlign w:val="baseline"/>
                      <w:lang w:val="en-US" w:eastAsia="zh-CN"/>
                    </w:rPr>
                    <w:t>90</w:t>
                  </w:r>
                </w:p>
              </w:tc>
            </w:tr>
            <w:tr w14:paraId="1F06F52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06" w:type="pct"/>
                  <w:tcBorders>
                    <w:tl2br w:val="nil"/>
                    <w:tr2bl w:val="nil"/>
                  </w:tcBorders>
                  <w:vAlign w:val="center"/>
                </w:tcPr>
                <w:p w14:paraId="7C0C669C">
                  <w:pPr>
                    <w:jc w:val="center"/>
                    <w:rPr>
                      <w:rFonts w:hint="default" w:ascii="Times New Roman" w:hAnsi="Times New Roman" w:eastAsia="宋体" w:cs="Times New Roman"/>
                      <w:color w:val="auto"/>
                      <w:u w:val="none" w:color="auto"/>
                      <w:vertAlign w:val="baseline"/>
                      <w:lang w:val="en-US" w:eastAsia="zh-CN"/>
                    </w:rPr>
                  </w:pPr>
                  <w:r>
                    <w:rPr>
                      <w:rFonts w:hint="default" w:ascii="Times New Roman" w:hAnsi="Times New Roman" w:eastAsia="宋体" w:cs="Times New Roman"/>
                      <w:b/>
                      <w:bCs/>
                      <w:color w:val="auto"/>
                      <w:sz w:val="21"/>
                      <w:szCs w:val="21"/>
                      <w:u w:val="none" w:color="auto"/>
                    </w:rPr>
                    <w:t>SS</w:t>
                  </w:r>
                </w:p>
              </w:tc>
              <w:tc>
                <w:tcPr>
                  <w:tcW w:w="2649" w:type="pct"/>
                  <w:tcBorders>
                    <w:tl2br w:val="nil"/>
                    <w:tr2bl w:val="nil"/>
                  </w:tcBorders>
                  <w:vAlign w:val="center"/>
                </w:tcPr>
                <w:p w14:paraId="02BF8670">
                  <w:pPr>
                    <w:jc w:val="center"/>
                    <w:rPr>
                      <w:rFonts w:hint="default" w:ascii="Times New Roman" w:hAnsi="Times New Roman" w:eastAsia="宋体" w:cs="Times New Roman"/>
                      <w:color w:val="auto"/>
                      <w:u w:val="none" w:color="auto"/>
                      <w:vertAlign w:val="baseline"/>
                      <w:lang w:val="en-US" w:eastAsia="zh-CN"/>
                    </w:rPr>
                  </w:pPr>
                  <w:r>
                    <w:rPr>
                      <w:rFonts w:hint="default" w:ascii="Times New Roman" w:hAnsi="Times New Roman" w:eastAsia="宋体" w:cs="Times New Roman"/>
                      <w:color w:val="auto"/>
                      <w:u w:val="none" w:color="auto"/>
                      <w:vertAlign w:val="baseline"/>
                      <w:lang w:val="en-US" w:eastAsia="zh-CN"/>
                    </w:rPr>
                    <w:t>90%</w:t>
                  </w:r>
                </w:p>
              </w:tc>
              <w:tc>
                <w:tcPr>
                  <w:tcW w:w="1144" w:type="pct"/>
                  <w:tcBorders>
                    <w:tl2br w:val="nil"/>
                    <w:tr2bl w:val="nil"/>
                  </w:tcBorders>
                  <w:vAlign w:val="center"/>
                </w:tcPr>
                <w:p w14:paraId="1E873D7D">
                  <w:pPr>
                    <w:jc w:val="center"/>
                    <w:rPr>
                      <w:rFonts w:hint="default" w:ascii="Times New Roman" w:hAnsi="Times New Roman" w:eastAsia="宋体" w:cs="Times New Roman"/>
                      <w:color w:val="auto"/>
                      <w:u w:val="none" w:color="auto"/>
                      <w:vertAlign w:val="baseline"/>
                      <w:lang w:val="en-US" w:eastAsia="zh-CN"/>
                    </w:rPr>
                  </w:pPr>
                  <w:r>
                    <w:rPr>
                      <w:rFonts w:hint="default" w:ascii="Times New Roman" w:hAnsi="Times New Roman" w:eastAsia="宋体" w:cs="Times New Roman"/>
                      <w:color w:val="auto"/>
                      <w:u w:val="none" w:color="auto"/>
                      <w:vertAlign w:val="baseline"/>
                      <w:lang w:val="en-US" w:eastAsia="zh-CN"/>
                    </w:rPr>
                    <w:t>60</w:t>
                  </w:r>
                </w:p>
              </w:tc>
            </w:tr>
            <w:tr w14:paraId="7535698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06" w:type="pct"/>
                  <w:tcBorders>
                    <w:tl2br w:val="nil"/>
                    <w:tr2bl w:val="nil"/>
                  </w:tcBorders>
                  <w:vAlign w:val="center"/>
                </w:tcPr>
                <w:p w14:paraId="568819AD">
                  <w:pPr>
                    <w:jc w:val="center"/>
                    <w:rPr>
                      <w:rFonts w:hint="default" w:ascii="Times New Roman" w:hAnsi="Times New Roman" w:eastAsia="宋体" w:cs="Times New Roman"/>
                      <w:color w:val="auto"/>
                      <w:u w:val="none" w:color="auto"/>
                      <w:vertAlign w:val="baseline"/>
                      <w:lang w:val="en-US" w:eastAsia="zh-CN"/>
                    </w:rPr>
                  </w:pPr>
                  <w:r>
                    <w:rPr>
                      <w:rFonts w:hint="default" w:ascii="Times New Roman" w:hAnsi="Times New Roman" w:eastAsia="宋体" w:cs="Times New Roman"/>
                      <w:b/>
                      <w:bCs/>
                      <w:color w:val="auto"/>
                      <w:sz w:val="21"/>
                      <w:szCs w:val="21"/>
                      <w:u w:val="none" w:color="auto"/>
                    </w:rPr>
                    <w:t>NH</w:t>
                  </w:r>
                  <w:r>
                    <w:rPr>
                      <w:rFonts w:hint="default" w:ascii="Times New Roman" w:hAnsi="Times New Roman" w:eastAsia="宋体" w:cs="Times New Roman"/>
                      <w:b/>
                      <w:bCs/>
                      <w:color w:val="auto"/>
                      <w:sz w:val="21"/>
                      <w:szCs w:val="21"/>
                      <w:u w:val="none" w:color="auto"/>
                      <w:vertAlign w:val="subscript"/>
                    </w:rPr>
                    <w:t>3</w:t>
                  </w:r>
                  <w:r>
                    <w:rPr>
                      <w:rFonts w:hint="default" w:ascii="Times New Roman" w:hAnsi="Times New Roman" w:eastAsia="宋体" w:cs="Times New Roman"/>
                      <w:b/>
                      <w:bCs/>
                      <w:color w:val="auto"/>
                      <w:sz w:val="21"/>
                      <w:szCs w:val="21"/>
                      <w:u w:val="none" w:color="auto"/>
                    </w:rPr>
                    <w:t>-N</w:t>
                  </w:r>
                </w:p>
              </w:tc>
              <w:tc>
                <w:tcPr>
                  <w:tcW w:w="2649" w:type="pct"/>
                  <w:tcBorders>
                    <w:tl2br w:val="nil"/>
                    <w:tr2bl w:val="nil"/>
                  </w:tcBorders>
                  <w:vAlign w:val="center"/>
                </w:tcPr>
                <w:p w14:paraId="7B9007DA">
                  <w:pPr>
                    <w:jc w:val="center"/>
                    <w:rPr>
                      <w:rFonts w:hint="default" w:ascii="Times New Roman" w:hAnsi="Times New Roman" w:eastAsia="宋体" w:cs="Times New Roman"/>
                      <w:color w:val="auto"/>
                      <w:u w:val="none" w:color="auto"/>
                      <w:vertAlign w:val="baseline"/>
                      <w:lang w:val="en-US" w:eastAsia="zh-CN"/>
                    </w:rPr>
                  </w:pPr>
                  <w:r>
                    <w:rPr>
                      <w:rFonts w:hint="default" w:ascii="Times New Roman" w:hAnsi="Times New Roman" w:eastAsia="宋体" w:cs="Times New Roman"/>
                      <w:color w:val="auto"/>
                      <w:u w:val="none" w:color="auto"/>
                      <w:vertAlign w:val="baseline"/>
                      <w:lang w:val="en-US" w:eastAsia="zh-CN"/>
                    </w:rPr>
                    <w:t>30%</w:t>
                  </w:r>
                </w:p>
              </w:tc>
              <w:tc>
                <w:tcPr>
                  <w:tcW w:w="1144" w:type="pct"/>
                  <w:tcBorders>
                    <w:tl2br w:val="nil"/>
                    <w:tr2bl w:val="nil"/>
                  </w:tcBorders>
                  <w:vAlign w:val="center"/>
                </w:tcPr>
                <w:p w14:paraId="0C8B2815">
                  <w:pPr>
                    <w:jc w:val="center"/>
                    <w:rPr>
                      <w:rFonts w:hint="default" w:ascii="Times New Roman" w:hAnsi="Times New Roman" w:eastAsia="宋体" w:cs="Times New Roman"/>
                      <w:color w:val="auto"/>
                      <w:u w:val="none" w:color="auto"/>
                      <w:vertAlign w:val="baseline"/>
                      <w:lang w:val="en-US" w:eastAsia="zh-CN"/>
                    </w:rPr>
                  </w:pPr>
                  <w:r>
                    <w:rPr>
                      <w:rFonts w:hint="default" w:ascii="Times New Roman" w:hAnsi="Times New Roman" w:eastAsia="宋体" w:cs="Times New Roman"/>
                      <w:color w:val="auto"/>
                      <w:u w:val="none" w:color="auto"/>
                      <w:vertAlign w:val="baseline"/>
                      <w:lang w:val="en-US" w:eastAsia="zh-CN"/>
                    </w:rPr>
                    <w:t>24.5</w:t>
                  </w:r>
                </w:p>
              </w:tc>
            </w:tr>
            <w:tr w14:paraId="081361C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06" w:type="pct"/>
                  <w:tcBorders>
                    <w:tl2br w:val="nil"/>
                    <w:tr2bl w:val="nil"/>
                  </w:tcBorders>
                  <w:vAlign w:val="center"/>
                </w:tcPr>
                <w:p w14:paraId="0121BA94">
                  <w:pPr>
                    <w:jc w:val="center"/>
                    <w:rPr>
                      <w:rFonts w:hint="default" w:ascii="Times New Roman" w:hAnsi="Times New Roman" w:eastAsia="宋体" w:cs="Times New Roman"/>
                      <w:b/>
                      <w:bCs/>
                      <w:color w:val="auto"/>
                      <w:sz w:val="21"/>
                      <w:szCs w:val="21"/>
                      <w:u w:val="none" w:color="auto"/>
                      <w:lang w:val="en-US" w:eastAsia="zh-CN"/>
                    </w:rPr>
                  </w:pPr>
                  <w:r>
                    <w:rPr>
                      <w:rFonts w:hint="default" w:ascii="Times New Roman" w:hAnsi="Times New Roman" w:eastAsia="宋体" w:cs="Times New Roman"/>
                      <w:b/>
                      <w:bCs/>
                      <w:color w:val="auto"/>
                      <w:sz w:val="21"/>
                      <w:szCs w:val="21"/>
                      <w:u w:val="none" w:color="auto"/>
                      <w:lang w:val="en-US" w:eastAsia="zh-CN"/>
                    </w:rPr>
                    <w:t>石油类</w:t>
                  </w:r>
                </w:p>
              </w:tc>
              <w:tc>
                <w:tcPr>
                  <w:tcW w:w="2649" w:type="pct"/>
                  <w:tcBorders>
                    <w:tl2br w:val="nil"/>
                    <w:tr2bl w:val="nil"/>
                  </w:tcBorders>
                  <w:vAlign w:val="center"/>
                </w:tcPr>
                <w:p w14:paraId="038456E7">
                  <w:pPr>
                    <w:jc w:val="center"/>
                    <w:rPr>
                      <w:rFonts w:hint="default" w:ascii="Times New Roman" w:hAnsi="Times New Roman" w:eastAsia="宋体" w:cs="Times New Roman"/>
                      <w:b w:val="0"/>
                      <w:bCs w:val="0"/>
                      <w:color w:val="auto"/>
                      <w:u w:val="none" w:color="auto"/>
                      <w:vertAlign w:val="baseline"/>
                      <w:lang w:val="en-US" w:eastAsia="zh-CN"/>
                    </w:rPr>
                  </w:pPr>
                  <w:r>
                    <w:rPr>
                      <w:rFonts w:hint="default" w:ascii="Times New Roman" w:hAnsi="Times New Roman" w:eastAsia="宋体" w:cs="Times New Roman"/>
                      <w:b w:val="0"/>
                      <w:bCs w:val="0"/>
                      <w:color w:val="auto"/>
                      <w:u w:val="none" w:color="auto"/>
                      <w:vertAlign w:val="baseline"/>
                      <w:lang w:val="en-US" w:eastAsia="zh-CN"/>
                    </w:rPr>
                    <w:t>96.1%</w:t>
                  </w:r>
                </w:p>
                <w:p w14:paraId="4170C854">
                  <w:pPr>
                    <w:jc w:val="center"/>
                    <w:rPr>
                      <w:rFonts w:hint="default" w:ascii="Times New Roman" w:hAnsi="Times New Roman" w:eastAsia="宋体" w:cs="Times New Roman"/>
                      <w:b w:val="0"/>
                      <w:bCs w:val="0"/>
                      <w:color w:val="auto"/>
                      <w:u w:val="none" w:color="auto"/>
                      <w:vertAlign w:val="baseline"/>
                      <w:lang w:val="en-US" w:eastAsia="zh-CN"/>
                    </w:rPr>
                  </w:pPr>
                  <w:r>
                    <w:rPr>
                      <w:rFonts w:hint="default" w:ascii="Times New Roman" w:hAnsi="Times New Roman" w:eastAsia="宋体" w:cs="Times New Roman"/>
                      <w:b w:val="0"/>
                      <w:bCs w:val="0"/>
                      <w:color w:val="auto"/>
                      <w:u w:val="none" w:color="auto"/>
                      <w:vertAlign w:val="baseline"/>
                      <w:lang w:val="en-US" w:eastAsia="zh-CN"/>
                    </w:rPr>
                    <w:t>化学混凝法+上浮处理=70%</w:t>
                  </w:r>
                </w:p>
                <w:p w14:paraId="19822811">
                  <w:pPr>
                    <w:jc w:val="center"/>
                    <w:rPr>
                      <w:rFonts w:hint="default" w:ascii="Times New Roman" w:hAnsi="Times New Roman" w:eastAsia="宋体" w:cs="Times New Roman"/>
                      <w:b w:val="0"/>
                      <w:bCs w:val="0"/>
                      <w:color w:val="auto"/>
                      <w:u w:val="none" w:color="auto"/>
                      <w:vertAlign w:val="baseline"/>
                      <w:lang w:val="en-US" w:eastAsia="zh-CN"/>
                    </w:rPr>
                  </w:pPr>
                  <w:r>
                    <w:rPr>
                      <w:rFonts w:hint="default" w:ascii="Times New Roman" w:hAnsi="Times New Roman" w:eastAsia="宋体" w:cs="Times New Roman"/>
                      <w:b w:val="0"/>
                      <w:bCs w:val="0"/>
                      <w:color w:val="auto"/>
                      <w:u w:val="none" w:color="auto"/>
                      <w:vertAlign w:val="baseline"/>
                      <w:lang w:val="en-US" w:eastAsia="zh-CN"/>
                    </w:rPr>
                    <w:t>一级厌氧水解类=35%</w:t>
                  </w:r>
                </w:p>
                <w:p w14:paraId="516BEDF7">
                  <w:pPr>
                    <w:jc w:val="center"/>
                    <w:rPr>
                      <w:rFonts w:hint="default" w:ascii="Times New Roman" w:hAnsi="Times New Roman" w:eastAsia="宋体" w:cs="Times New Roman"/>
                      <w:b w:val="0"/>
                      <w:bCs w:val="0"/>
                      <w:color w:val="auto"/>
                      <w:u w:val="none" w:color="auto"/>
                      <w:vertAlign w:val="baseline"/>
                      <w:lang w:val="en-US" w:eastAsia="zh-CN"/>
                    </w:rPr>
                  </w:pPr>
                  <w:r>
                    <w:rPr>
                      <w:rFonts w:hint="default" w:ascii="Times New Roman" w:hAnsi="Times New Roman" w:eastAsia="宋体" w:cs="Times New Roman"/>
                      <w:b w:val="0"/>
                      <w:bCs w:val="0"/>
                      <w:color w:val="auto"/>
                      <w:u w:val="none" w:color="auto"/>
                      <w:vertAlign w:val="baseline"/>
                      <w:lang w:val="en-US" w:eastAsia="zh-CN"/>
                    </w:rPr>
                    <w:t>一级厌氧水解类+一级生物接触氧化法=80%</w:t>
                  </w:r>
                </w:p>
              </w:tc>
              <w:tc>
                <w:tcPr>
                  <w:tcW w:w="1144" w:type="pct"/>
                  <w:tcBorders>
                    <w:tl2br w:val="nil"/>
                    <w:tr2bl w:val="nil"/>
                  </w:tcBorders>
                  <w:vAlign w:val="center"/>
                </w:tcPr>
                <w:p w14:paraId="10F2512D">
                  <w:pPr>
                    <w:jc w:val="center"/>
                    <w:rPr>
                      <w:rFonts w:hint="default" w:ascii="Times New Roman" w:hAnsi="Times New Roman" w:eastAsia="宋体" w:cs="Times New Roman"/>
                      <w:b w:val="0"/>
                      <w:bCs w:val="0"/>
                      <w:color w:val="auto"/>
                      <w:u w:val="none" w:color="auto"/>
                      <w:vertAlign w:val="baseline"/>
                      <w:lang w:val="en-US" w:eastAsia="zh-CN"/>
                    </w:rPr>
                  </w:pPr>
                  <w:r>
                    <w:rPr>
                      <w:rFonts w:hint="default" w:ascii="Times New Roman" w:hAnsi="Times New Roman" w:eastAsia="宋体" w:cs="Times New Roman"/>
                      <w:b w:val="0"/>
                      <w:bCs w:val="0"/>
                      <w:color w:val="auto"/>
                      <w:u w:val="none" w:color="auto"/>
                      <w:vertAlign w:val="baseline"/>
                      <w:lang w:val="en-US" w:eastAsia="zh-CN"/>
                    </w:rPr>
                    <w:t>11.7</w:t>
                  </w:r>
                </w:p>
              </w:tc>
            </w:tr>
          </w:tbl>
          <w:p w14:paraId="1F8B8098">
            <w:pPr>
              <w:rPr>
                <w:rFonts w:hint="default" w:ascii="Times New Roman" w:hAnsi="Times New Roman" w:eastAsia="宋体" w:cs="Times New Roman"/>
                <w:b/>
                <w:bCs/>
                <w:color w:val="auto"/>
                <w:u w:val="none" w:color="auto"/>
                <w:lang w:val="en-US" w:eastAsia="zh-CN"/>
              </w:rPr>
            </w:pPr>
            <w:r>
              <w:rPr>
                <w:rFonts w:hint="default" w:ascii="Times New Roman" w:hAnsi="Times New Roman" w:eastAsia="宋体" w:cs="Times New Roman"/>
                <w:b/>
                <w:bCs/>
                <w:color w:val="auto"/>
                <w:u w:val="none" w:color="auto"/>
                <w:lang w:val="en-US" w:eastAsia="zh-CN"/>
              </w:rPr>
              <w:t>注：按设计进水浓度计。</w:t>
            </w:r>
          </w:p>
          <w:p w14:paraId="4F2DF18A">
            <w:pPr>
              <w:spacing w:line="360" w:lineRule="auto"/>
              <w:ind w:firstLine="480" w:firstLineChars="200"/>
              <w:rPr>
                <w:rFonts w:hint="default" w:ascii="Times New Roman" w:hAnsi="Times New Roman" w:eastAsia="宋体" w:cs="Times New Roman"/>
                <w:color w:val="auto"/>
                <w:kern w:val="0"/>
                <w:sz w:val="24"/>
                <w:u w:val="none" w:color="auto"/>
              </w:rPr>
            </w:pPr>
            <w:r>
              <w:rPr>
                <w:rFonts w:hint="default" w:ascii="Times New Roman" w:hAnsi="Times New Roman" w:eastAsia="宋体" w:cs="Times New Roman"/>
                <w:color w:val="auto"/>
                <w:kern w:val="0"/>
                <w:sz w:val="24"/>
                <w:u w:val="none" w:color="auto"/>
                <w:lang w:val="en-US" w:eastAsia="zh-CN"/>
              </w:rPr>
              <w:t>综上述分析，建设单位在落实好废水处理措施后，</w:t>
            </w:r>
            <w:r>
              <w:rPr>
                <w:rFonts w:hint="default" w:ascii="Times New Roman" w:hAnsi="Times New Roman" w:eastAsia="宋体" w:cs="Times New Roman"/>
                <w:color w:val="auto"/>
                <w:kern w:val="0"/>
                <w:sz w:val="24"/>
                <w:u w:val="none" w:color="auto"/>
              </w:rPr>
              <w:t>项目临港高新产业园区生产废水通过自建的厂区</w:t>
            </w:r>
            <w:r>
              <w:rPr>
                <w:rFonts w:hint="default" w:ascii="Times New Roman" w:hAnsi="Times New Roman" w:eastAsia="宋体" w:cs="Times New Roman"/>
                <w:color w:val="auto"/>
                <w:kern w:val="0"/>
                <w:sz w:val="24"/>
                <w:u w:val="none" w:color="auto"/>
                <w:lang w:val="en-US" w:eastAsia="zh-CN"/>
              </w:rPr>
              <w:t>TW004</w:t>
            </w:r>
            <w:r>
              <w:rPr>
                <w:rFonts w:hint="default" w:ascii="Times New Roman" w:hAnsi="Times New Roman" w:eastAsia="宋体" w:cs="Times New Roman"/>
                <w:color w:val="auto"/>
                <w:kern w:val="0"/>
                <w:sz w:val="24"/>
                <w:u w:val="none" w:color="auto"/>
              </w:rPr>
              <w:t>废水处理站进行处理后，废水排放浓度</w:t>
            </w:r>
            <w:r>
              <w:rPr>
                <w:rFonts w:hint="default" w:ascii="Times New Roman" w:hAnsi="Times New Roman" w:eastAsia="宋体" w:cs="Times New Roman"/>
                <w:bCs/>
                <w:color w:val="auto"/>
                <w:sz w:val="24"/>
                <w:u w:val="none" w:color="auto"/>
              </w:rPr>
              <w:t>可达到</w:t>
            </w:r>
            <w:r>
              <w:rPr>
                <w:rFonts w:hint="default" w:ascii="Times New Roman" w:hAnsi="Times New Roman" w:eastAsia="宋体" w:cs="Times New Roman"/>
                <w:color w:val="auto"/>
                <w:sz w:val="24"/>
                <w:u w:val="none" w:color="auto"/>
              </w:rPr>
              <w:t>《污水综合排放标准》（GB8978-1996）中表4三级标准及湖南城陵矶临港产业新区污水处理厂进水水质标准要求。</w:t>
            </w:r>
          </w:p>
          <w:p w14:paraId="59E0D1F8">
            <w:pPr>
              <w:pStyle w:val="55"/>
              <w:ind w:firstLine="482"/>
              <w:rPr>
                <w:rFonts w:hint="default" w:ascii="Times New Roman" w:hAnsi="Times New Roman" w:eastAsia="宋体" w:cs="Times New Roman"/>
                <w:b/>
                <w:bCs/>
                <w:color w:val="auto"/>
                <w:spacing w:val="0"/>
                <w:u w:val="none" w:color="auto"/>
              </w:rPr>
            </w:pPr>
            <w:r>
              <w:rPr>
                <w:rFonts w:hint="default" w:ascii="Times New Roman" w:hAnsi="Times New Roman" w:eastAsia="宋体" w:cs="Times New Roman"/>
                <w:b/>
                <w:bCs/>
                <w:color w:val="auto"/>
                <w:spacing w:val="0"/>
                <w:u w:val="none" w:color="auto"/>
              </w:rPr>
              <w:t>2、污染物排放情况</w:t>
            </w:r>
          </w:p>
          <w:p w14:paraId="3BF272C9">
            <w:pPr>
              <w:pStyle w:val="55"/>
              <w:ind w:firstLine="480"/>
              <w:rPr>
                <w:rFonts w:hint="default" w:ascii="Times New Roman" w:hAnsi="Times New Roman" w:eastAsia="宋体" w:cs="Times New Roman"/>
                <w:color w:val="auto"/>
                <w:spacing w:val="0"/>
                <w:u w:val="none" w:color="auto"/>
              </w:rPr>
            </w:pPr>
            <w:r>
              <w:rPr>
                <w:rFonts w:hint="default" w:ascii="Times New Roman" w:hAnsi="Times New Roman" w:eastAsia="宋体" w:cs="Times New Roman"/>
                <w:color w:val="auto"/>
                <w:spacing w:val="0"/>
                <w:u w:val="none" w:color="auto"/>
              </w:rPr>
              <w:t>本项目废水类别、污染物排放及污染治理措施见表4-</w:t>
            </w:r>
            <w:r>
              <w:rPr>
                <w:rFonts w:hint="default" w:ascii="Times New Roman" w:hAnsi="Times New Roman" w:eastAsia="宋体" w:cs="Times New Roman"/>
                <w:color w:val="auto"/>
                <w:spacing w:val="0"/>
                <w:u w:val="none" w:color="auto"/>
                <w:lang w:val="en-US" w:eastAsia="zh-CN"/>
              </w:rPr>
              <w:t>27</w:t>
            </w:r>
            <w:r>
              <w:rPr>
                <w:rFonts w:hint="default" w:ascii="Times New Roman" w:hAnsi="Times New Roman" w:eastAsia="宋体" w:cs="Times New Roman"/>
                <w:color w:val="auto"/>
                <w:spacing w:val="0"/>
                <w:u w:val="none" w:color="auto"/>
              </w:rPr>
              <w:t>。</w:t>
            </w:r>
          </w:p>
          <w:p w14:paraId="27255B5F">
            <w:pPr>
              <w:jc w:val="center"/>
              <w:rPr>
                <w:rFonts w:hint="default" w:ascii="Times New Roman" w:hAnsi="Times New Roman" w:eastAsia="宋体" w:cs="Times New Roman"/>
                <w:b/>
                <w:bCs/>
                <w:color w:val="auto"/>
                <w:spacing w:val="0"/>
                <w:szCs w:val="21"/>
                <w:u w:val="none" w:color="auto"/>
              </w:rPr>
            </w:pPr>
            <w:r>
              <w:rPr>
                <w:rFonts w:hint="default" w:ascii="Times New Roman" w:hAnsi="Times New Roman" w:eastAsia="宋体" w:cs="Times New Roman"/>
                <w:b/>
                <w:bCs/>
                <w:color w:val="auto"/>
                <w:spacing w:val="0"/>
                <w:szCs w:val="21"/>
                <w:u w:val="none" w:color="auto"/>
              </w:rPr>
              <w:t>表4-</w:t>
            </w:r>
            <w:r>
              <w:rPr>
                <w:rFonts w:hint="default" w:ascii="Times New Roman" w:hAnsi="Times New Roman" w:eastAsia="宋体" w:cs="Times New Roman"/>
                <w:b/>
                <w:bCs/>
                <w:color w:val="auto"/>
                <w:spacing w:val="0"/>
                <w:szCs w:val="21"/>
                <w:u w:val="none" w:color="auto"/>
                <w:lang w:val="en-US" w:eastAsia="zh-CN"/>
              </w:rPr>
              <w:t xml:space="preserve">27  </w:t>
            </w:r>
            <w:r>
              <w:rPr>
                <w:rFonts w:hint="default" w:ascii="Times New Roman" w:hAnsi="Times New Roman" w:eastAsia="宋体" w:cs="Times New Roman"/>
                <w:b/>
                <w:bCs/>
                <w:color w:val="auto"/>
                <w:spacing w:val="0"/>
                <w:szCs w:val="21"/>
                <w:u w:val="none" w:color="auto"/>
              </w:rPr>
              <w:t>本项目废水类别、污染物及污染治理措施信息表</w:t>
            </w:r>
          </w:p>
          <w:tbl>
            <w:tblPr>
              <w:tblStyle w:val="31"/>
              <w:tblW w:w="4991"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427"/>
              <w:gridCol w:w="744"/>
              <w:gridCol w:w="870"/>
              <w:gridCol w:w="739"/>
              <w:gridCol w:w="636"/>
              <w:gridCol w:w="858"/>
              <w:gridCol w:w="716"/>
              <w:gridCol w:w="685"/>
              <w:gridCol w:w="1091"/>
              <w:gridCol w:w="729"/>
              <w:gridCol w:w="1008"/>
            </w:tblGrid>
            <w:tr w14:paraId="46B4776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40" w:hRule="atLeast"/>
                <w:jc w:val="center"/>
              </w:trPr>
              <w:tc>
                <w:tcPr>
                  <w:tcW w:w="250" w:type="pct"/>
                  <w:vMerge w:val="restart"/>
                  <w:noWrap w:val="0"/>
                  <w:vAlign w:val="center"/>
                </w:tcPr>
                <w:p w14:paraId="35275E8E">
                  <w:pPr>
                    <w:pStyle w:val="56"/>
                    <w:rPr>
                      <w:rFonts w:hint="default" w:ascii="Times New Roman" w:hAnsi="Times New Roman" w:eastAsia="宋体" w:cs="Times New Roman"/>
                      <w:b/>
                      <w:bCs/>
                      <w:color w:val="auto"/>
                      <w:spacing w:val="0"/>
                      <w:sz w:val="21"/>
                      <w:szCs w:val="21"/>
                      <w:u w:val="none" w:color="auto"/>
                    </w:rPr>
                  </w:pPr>
                  <w:r>
                    <w:rPr>
                      <w:rFonts w:hint="default" w:ascii="Times New Roman" w:hAnsi="Times New Roman" w:eastAsia="宋体" w:cs="Times New Roman"/>
                      <w:b/>
                      <w:bCs/>
                      <w:color w:val="auto"/>
                      <w:spacing w:val="0"/>
                      <w:sz w:val="21"/>
                      <w:szCs w:val="21"/>
                      <w:u w:val="none" w:color="auto"/>
                    </w:rPr>
                    <w:t>序号</w:t>
                  </w:r>
                </w:p>
              </w:tc>
              <w:tc>
                <w:tcPr>
                  <w:tcW w:w="438" w:type="pct"/>
                  <w:vMerge w:val="restart"/>
                  <w:noWrap w:val="0"/>
                  <w:vAlign w:val="center"/>
                </w:tcPr>
                <w:p w14:paraId="4538E7E4">
                  <w:pPr>
                    <w:pStyle w:val="56"/>
                    <w:rPr>
                      <w:rFonts w:hint="default" w:ascii="Times New Roman" w:hAnsi="Times New Roman" w:eastAsia="宋体" w:cs="Times New Roman"/>
                      <w:b/>
                      <w:bCs/>
                      <w:color w:val="auto"/>
                      <w:spacing w:val="0"/>
                      <w:sz w:val="21"/>
                      <w:szCs w:val="21"/>
                      <w:u w:val="none" w:color="auto"/>
                    </w:rPr>
                  </w:pPr>
                  <w:r>
                    <w:rPr>
                      <w:rFonts w:hint="default" w:ascii="Times New Roman" w:hAnsi="Times New Roman" w:eastAsia="宋体" w:cs="Times New Roman"/>
                      <w:b/>
                      <w:bCs/>
                      <w:color w:val="auto"/>
                      <w:spacing w:val="0"/>
                      <w:sz w:val="21"/>
                      <w:szCs w:val="21"/>
                      <w:u w:val="none" w:color="auto"/>
                    </w:rPr>
                    <w:t>废水类别</w:t>
                  </w:r>
                </w:p>
              </w:tc>
              <w:tc>
                <w:tcPr>
                  <w:tcW w:w="510" w:type="pct"/>
                  <w:vMerge w:val="restart"/>
                  <w:noWrap w:val="0"/>
                  <w:vAlign w:val="center"/>
                </w:tcPr>
                <w:p w14:paraId="4F53457E">
                  <w:pPr>
                    <w:pStyle w:val="56"/>
                    <w:rPr>
                      <w:rFonts w:hint="default" w:ascii="Times New Roman" w:hAnsi="Times New Roman" w:eastAsia="宋体" w:cs="Times New Roman"/>
                      <w:b/>
                      <w:bCs/>
                      <w:color w:val="auto"/>
                      <w:spacing w:val="0"/>
                      <w:sz w:val="21"/>
                      <w:szCs w:val="21"/>
                      <w:u w:val="none" w:color="auto"/>
                    </w:rPr>
                  </w:pPr>
                  <w:r>
                    <w:rPr>
                      <w:rFonts w:hint="default" w:ascii="Times New Roman" w:hAnsi="Times New Roman" w:eastAsia="宋体" w:cs="Times New Roman"/>
                      <w:b/>
                      <w:bCs/>
                      <w:color w:val="auto"/>
                      <w:spacing w:val="0"/>
                      <w:sz w:val="21"/>
                      <w:szCs w:val="21"/>
                      <w:u w:val="none" w:color="auto"/>
                    </w:rPr>
                    <w:t>污染物种类</w:t>
                  </w:r>
                </w:p>
              </w:tc>
              <w:tc>
                <w:tcPr>
                  <w:tcW w:w="435" w:type="pct"/>
                  <w:vMerge w:val="restart"/>
                  <w:noWrap w:val="0"/>
                  <w:vAlign w:val="center"/>
                </w:tcPr>
                <w:p w14:paraId="0EA4A5CF">
                  <w:pPr>
                    <w:pStyle w:val="56"/>
                    <w:rPr>
                      <w:rFonts w:hint="default" w:ascii="Times New Roman" w:hAnsi="Times New Roman" w:eastAsia="宋体" w:cs="Times New Roman"/>
                      <w:b/>
                      <w:bCs/>
                      <w:color w:val="auto"/>
                      <w:spacing w:val="0"/>
                      <w:sz w:val="21"/>
                      <w:szCs w:val="21"/>
                      <w:u w:val="none" w:color="auto"/>
                    </w:rPr>
                  </w:pPr>
                  <w:r>
                    <w:rPr>
                      <w:rFonts w:hint="default" w:ascii="Times New Roman" w:hAnsi="Times New Roman" w:eastAsia="宋体" w:cs="Times New Roman"/>
                      <w:b/>
                      <w:bCs/>
                      <w:color w:val="auto"/>
                      <w:spacing w:val="0"/>
                      <w:sz w:val="21"/>
                      <w:szCs w:val="21"/>
                      <w:u w:val="none" w:color="auto"/>
                    </w:rPr>
                    <w:t>排放去向</w:t>
                  </w:r>
                </w:p>
              </w:tc>
              <w:tc>
                <w:tcPr>
                  <w:tcW w:w="373" w:type="pct"/>
                  <w:vMerge w:val="restart"/>
                  <w:noWrap w:val="0"/>
                  <w:vAlign w:val="center"/>
                </w:tcPr>
                <w:p w14:paraId="1EF82640">
                  <w:pPr>
                    <w:pStyle w:val="56"/>
                    <w:rPr>
                      <w:rFonts w:hint="default" w:ascii="Times New Roman" w:hAnsi="Times New Roman" w:eastAsia="宋体" w:cs="Times New Roman"/>
                      <w:b/>
                      <w:bCs/>
                      <w:color w:val="auto"/>
                      <w:spacing w:val="0"/>
                      <w:sz w:val="21"/>
                      <w:szCs w:val="21"/>
                      <w:u w:val="none" w:color="auto"/>
                    </w:rPr>
                  </w:pPr>
                  <w:r>
                    <w:rPr>
                      <w:rFonts w:hint="default" w:ascii="Times New Roman" w:hAnsi="Times New Roman" w:eastAsia="宋体" w:cs="Times New Roman"/>
                      <w:b/>
                      <w:bCs/>
                      <w:color w:val="auto"/>
                      <w:spacing w:val="0"/>
                      <w:sz w:val="21"/>
                      <w:szCs w:val="21"/>
                      <w:u w:val="none" w:color="auto"/>
                    </w:rPr>
                    <w:t>排放规律</w:t>
                  </w:r>
                </w:p>
              </w:tc>
              <w:tc>
                <w:tcPr>
                  <w:tcW w:w="1327" w:type="pct"/>
                  <w:gridSpan w:val="3"/>
                  <w:noWrap w:val="0"/>
                  <w:vAlign w:val="center"/>
                </w:tcPr>
                <w:p w14:paraId="1CD6AE16">
                  <w:pPr>
                    <w:pStyle w:val="56"/>
                    <w:rPr>
                      <w:rFonts w:hint="default" w:ascii="Times New Roman" w:hAnsi="Times New Roman" w:eastAsia="宋体" w:cs="Times New Roman"/>
                      <w:b/>
                      <w:bCs/>
                      <w:color w:val="auto"/>
                      <w:spacing w:val="0"/>
                      <w:sz w:val="21"/>
                      <w:szCs w:val="21"/>
                      <w:u w:val="none" w:color="auto"/>
                    </w:rPr>
                  </w:pPr>
                  <w:r>
                    <w:rPr>
                      <w:rFonts w:hint="default" w:ascii="Times New Roman" w:hAnsi="Times New Roman" w:eastAsia="宋体" w:cs="Times New Roman"/>
                      <w:b/>
                      <w:bCs/>
                      <w:color w:val="auto"/>
                      <w:spacing w:val="0"/>
                      <w:sz w:val="21"/>
                      <w:szCs w:val="21"/>
                      <w:u w:val="none" w:color="auto"/>
                    </w:rPr>
                    <w:t>污染治理设施</w:t>
                  </w:r>
                </w:p>
              </w:tc>
              <w:tc>
                <w:tcPr>
                  <w:tcW w:w="641" w:type="pct"/>
                  <w:vMerge w:val="restart"/>
                  <w:noWrap w:val="0"/>
                  <w:vAlign w:val="center"/>
                </w:tcPr>
                <w:p w14:paraId="0FE30D1C">
                  <w:pPr>
                    <w:pStyle w:val="56"/>
                    <w:rPr>
                      <w:rFonts w:hint="default" w:ascii="Times New Roman" w:hAnsi="Times New Roman" w:eastAsia="宋体" w:cs="Times New Roman"/>
                      <w:b/>
                      <w:bCs/>
                      <w:color w:val="auto"/>
                      <w:spacing w:val="0"/>
                      <w:sz w:val="21"/>
                      <w:szCs w:val="21"/>
                      <w:u w:val="none" w:color="auto"/>
                    </w:rPr>
                  </w:pPr>
                  <w:r>
                    <w:rPr>
                      <w:rFonts w:hint="default" w:ascii="Times New Roman" w:hAnsi="Times New Roman" w:eastAsia="宋体" w:cs="Times New Roman"/>
                      <w:b/>
                      <w:bCs/>
                      <w:color w:val="auto"/>
                      <w:spacing w:val="0"/>
                      <w:sz w:val="21"/>
                      <w:szCs w:val="21"/>
                      <w:u w:val="none" w:color="auto"/>
                    </w:rPr>
                    <w:t>排放口编号</w:t>
                  </w:r>
                </w:p>
              </w:tc>
              <w:tc>
                <w:tcPr>
                  <w:tcW w:w="429" w:type="pct"/>
                  <w:vMerge w:val="restart"/>
                  <w:noWrap w:val="0"/>
                  <w:vAlign w:val="center"/>
                </w:tcPr>
                <w:p w14:paraId="466CA010">
                  <w:pPr>
                    <w:pStyle w:val="56"/>
                    <w:rPr>
                      <w:rFonts w:hint="default" w:ascii="Times New Roman" w:hAnsi="Times New Roman" w:eastAsia="宋体" w:cs="Times New Roman"/>
                      <w:b/>
                      <w:bCs/>
                      <w:color w:val="auto"/>
                      <w:spacing w:val="0"/>
                      <w:sz w:val="21"/>
                      <w:szCs w:val="21"/>
                      <w:u w:val="none" w:color="auto"/>
                    </w:rPr>
                  </w:pPr>
                  <w:r>
                    <w:rPr>
                      <w:rFonts w:hint="default" w:ascii="Times New Roman" w:hAnsi="Times New Roman" w:eastAsia="宋体" w:cs="Times New Roman"/>
                      <w:b/>
                      <w:bCs/>
                      <w:color w:val="auto"/>
                      <w:spacing w:val="0"/>
                      <w:sz w:val="21"/>
                      <w:szCs w:val="21"/>
                      <w:u w:val="none" w:color="auto"/>
                    </w:rPr>
                    <w:t>排放口设置是否符合要求</w:t>
                  </w:r>
                </w:p>
              </w:tc>
              <w:tc>
                <w:tcPr>
                  <w:tcW w:w="593" w:type="pct"/>
                  <w:vMerge w:val="restart"/>
                  <w:noWrap w:val="0"/>
                  <w:vAlign w:val="center"/>
                </w:tcPr>
                <w:p w14:paraId="6B2DEA26">
                  <w:pPr>
                    <w:pStyle w:val="56"/>
                    <w:rPr>
                      <w:rFonts w:hint="default" w:ascii="Times New Roman" w:hAnsi="Times New Roman" w:eastAsia="宋体" w:cs="Times New Roman"/>
                      <w:b/>
                      <w:bCs/>
                      <w:color w:val="auto"/>
                      <w:spacing w:val="0"/>
                      <w:sz w:val="21"/>
                      <w:szCs w:val="21"/>
                      <w:u w:val="none" w:color="auto"/>
                    </w:rPr>
                  </w:pPr>
                  <w:r>
                    <w:rPr>
                      <w:rFonts w:hint="default" w:ascii="Times New Roman" w:hAnsi="Times New Roman" w:eastAsia="宋体" w:cs="Times New Roman"/>
                      <w:b/>
                      <w:bCs/>
                      <w:color w:val="auto"/>
                      <w:spacing w:val="0"/>
                      <w:sz w:val="21"/>
                      <w:szCs w:val="21"/>
                      <w:u w:val="none" w:color="auto"/>
                    </w:rPr>
                    <w:t>排放口类型</w:t>
                  </w:r>
                </w:p>
              </w:tc>
            </w:tr>
            <w:tr w14:paraId="77585AE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0" w:type="pct"/>
                  <w:vMerge w:val="continue"/>
                  <w:noWrap w:val="0"/>
                  <w:vAlign w:val="center"/>
                </w:tcPr>
                <w:p w14:paraId="273FD18E">
                  <w:pPr>
                    <w:pStyle w:val="56"/>
                    <w:rPr>
                      <w:rFonts w:hint="default" w:ascii="Times New Roman" w:hAnsi="Times New Roman" w:eastAsia="宋体" w:cs="Times New Roman"/>
                      <w:color w:val="auto"/>
                      <w:spacing w:val="0"/>
                      <w:sz w:val="21"/>
                      <w:szCs w:val="21"/>
                      <w:u w:val="none" w:color="auto"/>
                    </w:rPr>
                  </w:pPr>
                </w:p>
              </w:tc>
              <w:tc>
                <w:tcPr>
                  <w:tcW w:w="438" w:type="pct"/>
                  <w:vMerge w:val="continue"/>
                  <w:noWrap w:val="0"/>
                  <w:vAlign w:val="center"/>
                </w:tcPr>
                <w:p w14:paraId="084B0493">
                  <w:pPr>
                    <w:pStyle w:val="56"/>
                    <w:rPr>
                      <w:rFonts w:hint="default" w:ascii="Times New Roman" w:hAnsi="Times New Roman" w:eastAsia="宋体" w:cs="Times New Roman"/>
                      <w:color w:val="auto"/>
                      <w:spacing w:val="0"/>
                      <w:sz w:val="21"/>
                      <w:szCs w:val="21"/>
                      <w:u w:val="none" w:color="auto"/>
                    </w:rPr>
                  </w:pPr>
                </w:p>
              </w:tc>
              <w:tc>
                <w:tcPr>
                  <w:tcW w:w="510" w:type="pct"/>
                  <w:vMerge w:val="continue"/>
                  <w:noWrap w:val="0"/>
                  <w:vAlign w:val="center"/>
                </w:tcPr>
                <w:p w14:paraId="7FADBA2E">
                  <w:pPr>
                    <w:pStyle w:val="56"/>
                    <w:rPr>
                      <w:rFonts w:hint="default" w:ascii="Times New Roman" w:hAnsi="Times New Roman" w:eastAsia="宋体" w:cs="Times New Roman"/>
                      <w:color w:val="auto"/>
                      <w:spacing w:val="0"/>
                      <w:sz w:val="21"/>
                      <w:szCs w:val="21"/>
                      <w:u w:val="none" w:color="auto"/>
                    </w:rPr>
                  </w:pPr>
                </w:p>
              </w:tc>
              <w:tc>
                <w:tcPr>
                  <w:tcW w:w="435" w:type="pct"/>
                  <w:vMerge w:val="continue"/>
                  <w:noWrap w:val="0"/>
                  <w:vAlign w:val="center"/>
                </w:tcPr>
                <w:p w14:paraId="65CC35EC">
                  <w:pPr>
                    <w:pStyle w:val="56"/>
                    <w:rPr>
                      <w:rFonts w:hint="default" w:ascii="Times New Roman" w:hAnsi="Times New Roman" w:eastAsia="宋体" w:cs="Times New Roman"/>
                      <w:color w:val="auto"/>
                      <w:spacing w:val="0"/>
                      <w:sz w:val="21"/>
                      <w:szCs w:val="21"/>
                      <w:u w:val="none" w:color="auto"/>
                    </w:rPr>
                  </w:pPr>
                </w:p>
              </w:tc>
              <w:tc>
                <w:tcPr>
                  <w:tcW w:w="373" w:type="pct"/>
                  <w:vMerge w:val="continue"/>
                  <w:noWrap w:val="0"/>
                  <w:vAlign w:val="center"/>
                </w:tcPr>
                <w:p w14:paraId="08F96B60">
                  <w:pPr>
                    <w:pStyle w:val="56"/>
                    <w:rPr>
                      <w:rFonts w:hint="default" w:ascii="Times New Roman" w:hAnsi="Times New Roman" w:eastAsia="宋体" w:cs="Times New Roman"/>
                      <w:color w:val="auto"/>
                      <w:spacing w:val="0"/>
                      <w:sz w:val="21"/>
                      <w:szCs w:val="21"/>
                      <w:u w:val="none" w:color="auto"/>
                    </w:rPr>
                  </w:pPr>
                </w:p>
              </w:tc>
              <w:tc>
                <w:tcPr>
                  <w:tcW w:w="503" w:type="pct"/>
                  <w:noWrap w:val="0"/>
                  <w:vAlign w:val="center"/>
                </w:tcPr>
                <w:p w14:paraId="00C33593">
                  <w:pPr>
                    <w:pStyle w:val="56"/>
                    <w:rPr>
                      <w:rFonts w:hint="default" w:ascii="Times New Roman" w:hAnsi="Times New Roman" w:eastAsia="宋体" w:cs="Times New Roman"/>
                      <w:b/>
                      <w:bCs/>
                      <w:color w:val="auto"/>
                      <w:spacing w:val="0"/>
                      <w:sz w:val="21"/>
                      <w:szCs w:val="21"/>
                      <w:u w:val="none" w:color="auto"/>
                    </w:rPr>
                  </w:pPr>
                  <w:r>
                    <w:rPr>
                      <w:rFonts w:hint="default" w:ascii="Times New Roman" w:hAnsi="Times New Roman" w:eastAsia="宋体" w:cs="Times New Roman"/>
                      <w:b/>
                      <w:bCs/>
                      <w:color w:val="auto"/>
                      <w:spacing w:val="0"/>
                      <w:sz w:val="21"/>
                      <w:szCs w:val="21"/>
                      <w:u w:val="none" w:color="auto"/>
                    </w:rPr>
                    <w:t>污染治理设施编号</w:t>
                  </w:r>
                </w:p>
              </w:tc>
              <w:tc>
                <w:tcPr>
                  <w:tcW w:w="421" w:type="pct"/>
                  <w:noWrap w:val="0"/>
                  <w:vAlign w:val="center"/>
                </w:tcPr>
                <w:p w14:paraId="05B4606D">
                  <w:pPr>
                    <w:pStyle w:val="56"/>
                    <w:rPr>
                      <w:rFonts w:hint="default" w:ascii="Times New Roman" w:hAnsi="Times New Roman" w:eastAsia="宋体" w:cs="Times New Roman"/>
                      <w:b/>
                      <w:bCs/>
                      <w:color w:val="auto"/>
                      <w:spacing w:val="0"/>
                      <w:sz w:val="21"/>
                      <w:szCs w:val="21"/>
                      <w:u w:val="none" w:color="auto"/>
                    </w:rPr>
                  </w:pPr>
                  <w:r>
                    <w:rPr>
                      <w:rFonts w:hint="default" w:ascii="Times New Roman" w:hAnsi="Times New Roman" w:eastAsia="宋体" w:cs="Times New Roman"/>
                      <w:b/>
                      <w:bCs/>
                      <w:color w:val="auto"/>
                      <w:spacing w:val="0"/>
                      <w:sz w:val="21"/>
                      <w:szCs w:val="21"/>
                      <w:u w:val="none" w:color="auto"/>
                    </w:rPr>
                    <w:t>污染治理设施名称</w:t>
                  </w:r>
                </w:p>
              </w:tc>
              <w:tc>
                <w:tcPr>
                  <w:tcW w:w="402" w:type="pct"/>
                  <w:noWrap w:val="0"/>
                  <w:vAlign w:val="center"/>
                </w:tcPr>
                <w:p w14:paraId="3BAB60A5">
                  <w:pPr>
                    <w:pStyle w:val="56"/>
                    <w:rPr>
                      <w:rFonts w:hint="default" w:ascii="Times New Roman" w:hAnsi="Times New Roman" w:eastAsia="宋体" w:cs="Times New Roman"/>
                      <w:b/>
                      <w:bCs/>
                      <w:color w:val="auto"/>
                      <w:spacing w:val="0"/>
                      <w:sz w:val="21"/>
                      <w:szCs w:val="21"/>
                      <w:u w:val="none" w:color="auto"/>
                    </w:rPr>
                  </w:pPr>
                  <w:r>
                    <w:rPr>
                      <w:rFonts w:hint="default" w:ascii="Times New Roman" w:hAnsi="Times New Roman" w:eastAsia="宋体" w:cs="Times New Roman"/>
                      <w:b/>
                      <w:bCs/>
                      <w:color w:val="auto"/>
                      <w:spacing w:val="0"/>
                      <w:sz w:val="21"/>
                      <w:szCs w:val="21"/>
                      <w:u w:val="none" w:color="auto"/>
                    </w:rPr>
                    <w:t>污染治理设施工艺</w:t>
                  </w:r>
                </w:p>
              </w:tc>
              <w:tc>
                <w:tcPr>
                  <w:tcW w:w="641" w:type="pct"/>
                  <w:vMerge w:val="continue"/>
                  <w:noWrap w:val="0"/>
                  <w:vAlign w:val="center"/>
                </w:tcPr>
                <w:p w14:paraId="2A6ABDEA">
                  <w:pPr>
                    <w:pStyle w:val="56"/>
                    <w:rPr>
                      <w:rFonts w:hint="default" w:ascii="Times New Roman" w:hAnsi="Times New Roman" w:eastAsia="宋体" w:cs="Times New Roman"/>
                      <w:color w:val="auto"/>
                      <w:spacing w:val="0"/>
                      <w:sz w:val="21"/>
                      <w:szCs w:val="21"/>
                      <w:u w:val="none" w:color="auto"/>
                    </w:rPr>
                  </w:pPr>
                </w:p>
              </w:tc>
              <w:tc>
                <w:tcPr>
                  <w:tcW w:w="429" w:type="pct"/>
                  <w:vMerge w:val="continue"/>
                  <w:noWrap w:val="0"/>
                  <w:vAlign w:val="center"/>
                </w:tcPr>
                <w:p w14:paraId="2C6154CF">
                  <w:pPr>
                    <w:pStyle w:val="56"/>
                    <w:rPr>
                      <w:rFonts w:hint="default" w:ascii="Times New Roman" w:hAnsi="Times New Roman" w:eastAsia="宋体" w:cs="Times New Roman"/>
                      <w:color w:val="auto"/>
                      <w:spacing w:val="0"/>
                      <w:sz w:val="21"/>
                      <w:szCs w:val="21"/>
                      <w:u w:val="none" w:color="auto"/>
                    </w:rPr>
                  </w:pPr>
                </w:p>
              </w:tc>
              <w:tc>
                <w:tcPr>
                  <w:tcW w:w="593" w:type="pct"/>
                  <w:vMerge w:val="continue"/>
                  <w:noWrap w:val="0"/>
                  <w:vAlign w:val="center"/>
                </w:tcPr>
                <w:p w14:paraId="3BE42879">
                  <w:pPr>
                    <w:pStyle w:val="56"/>
                    <w:rPr>
                      <w:rFonts w:hint="default" w:ascii="Times New Roman" w:hAnsi="Times New Roman" w:eastAsia="宋体" w:cs="Times New Roman"/>
                      <w:color w:val="auto"/>
                      <w:spacing w:val="0"/>
                      <w:sz w:val="21"/>
                      <w:szCs w:val="21"/>
                      <w:u w:val="none" w:color="auto"/>
                    </w:rPr>
                  </w:pPr>
                </w:p>
              </w:tc>
            </w:tr>
            <w:tr w14:paraId="4FA899E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0" w:type="pct"/>
                  <w:noWrap w:val="0"/>
                  <w:vAlign w:val="center"/>
                </w:tcPr>
                <w:p w14:paraId="1751DE9D">
                  <w:pPr>
                    <w:pStyle w:val="56"/>
                    <w:rPr>
                      <w:rFonts w:hint="default" w:ascii="Times New Roman" w:hAnsi="Times New Roman" w:eastAsia="宋体" w:cs="Times New Roman"/>
                      <w:color w:val="auto"/>
                      <w:spacing w:val="0"/>
                      <w:sz w:val="21"/>
                      <w:szCs w:val="21"/>
                      <w:u w:val="none" w:color="auto"/>
                      <w:lang w:val="en-US" w:eastAsia="zh-CN"/>
                    </w:rPr>
                  </w:pPr>
                  <w:r>
                    <w:rPr>
                      <w:rFonts w:hint="default" w:ascii="Times New Roman" w:hAnsi="Times New Roman" w:eastAsia="宋体" w:cs="Times New Roman"/>
                      <w:color w:val="auto"/>
                      <w:spacing w:val="0"/>
                      <w:sz w:val="21"/>
                      <w:szCs w:val="21"/>
                      <w:u w:val="none" w:color="auto"/>
                      <w:lang w:val="en-US" w:eastAsia="zh-CN"/>
                    </w:rPr>
                    <w:t>1</w:t>
                  </w:r>
                </w:p>
              </w:tc>
              <w:tc>
                <w:tcPr>
                  <w:tcW w:w="438" w:type="pct"/>
                  <w:noWrap w:val="0"/>
                  <w:vAlign w:val="center"/>
                </w:tcPr>
                <w:p w14:paraId="6AB3DBBF">
                  <w:pPr>
                    <w:pStyle w:val="56"/>
                    <w:rPr>
                      <w:rFonts w:hint="default" w:ascii="Times New Roman" w:hAnsi="Times New Roman" w:eastAsia="宋体" w:cs="Times New Roman"/>
                      <w:color w:val="auto"/>
                      <w:spacing w:val="0"/>
                      <w:sz w:val="21"/>
                      <w:szCs w:val="21"/>
                      <w:u w:val="none" w:color="auto"/>
                      <w:lang w:val="en-US" w:eastAsia="zh-CN"/>
                    </w:rPr>
                  </w:pPr>
                  <w:r>
                    <w:rPr>
                      <w:rFonts w:hint="default" w:ascii="Times New Roman" w:hAnsi="Times New Roman" w:eastAsia="宋体" w:cs="Times New Roman"/>
                      <w:color w:val="auto"/>
                      <w:spacing w:val="0"/>
                      <w:sz w:val="21"/>
                      <w:szCs w:val="21"/>
                      <w:u w:val="none" w:color="auto"/>
                      <w:lang w:val="en-US" w:eastAsia="zh-CN"/>
                    </w:rPr>
                    <w:t>生活污水（</w:t>
                  </w:r>
                  <w:r>
                    <w:rPr>
                      <w:rFonts w:hint="default" w:ascii="Times New Roman" w:hAnsi="Times New Roman" w:eastAsia="宋体" w:cs="Times New Roman"/>
                      <w:bCs/>
                      <w:color w:val="auto"/>
                      <w:sz w:val="21"/>
                      <w:szCs w:val="21"/>
                      <w:u w:val="none" w:color="auto"/>
                      <w:lang w:val="en-US" w:eastAsia="zh-CN"/>
                    </w:rPr>
                    <w:t>中创空天厂区</w:t>
                  </w:r>
                  <w:r>
                    <w:rPr>
                      <w:rFonts w:hint="default" w:ascii="Times New Roman" w:hAnsi="Times New Roman" w:eastAsia="宋体" w:cs="Times New Roman"/>
                      <w:color w:val="auto"/>
                      <w:spacing w:val="0"/>
                      <w:sz w:val="21"/>
                      <w:szCs w:val="21"/>
                      <w:u w:val="none" w:color="auto"/>
                      <w:lang w:val="en-US" w:eastAsia="zh-CN"/>
                    </w:rPr>
                    <w:t>）</w:t>
                  </w:r>
                </w:p>
              </w:tc>
              <w:tc>
                <w:tcPr>
                  <w:tcW w:w="510" w:type="pct"/>
                  <w:noWrap w:val="0"/>
                  <w:vAlign w:val="center"/>
                </w:tcPr>
                <w:p w14:paraId="520C12CD">
                  <w:pPr>
                    <w:pStyle w:val="56"/>
                    <w:ind w:firstLine="0" w:firstLineChars="0"/>
                    <w:rPr>
                      <w:rFonts w:hint="default" w:ascii="Times New Roman" w:hAnsi="Times New Roman" w:eastAsia="宋体" w:cs="Times New Roman"/>
                      <w:color w:val="auto"/>
                      <w:spacing w:val="0"/>
                      <w:sz w:val="21"/>
                      <w:szCs w:val="21"/>
                      <w:u w:val="none" w:color="auto"/>
                      <w:lang w:val="en-US" w:eastAsia="zh-CN"/>
                    </w:rPr>
                  </w:pPr>
                  <w:r>
                    <w:rPr>
                      <w:rFonts w:hint="default" w:ascii="Times New Roman" w:hAnsi="Times New Roman" w:eastAsia="宋体" w:cs="Times New Roman"/>
                      <w:color w:val="auto"/>
                      <w:sz w:val="21"/>
                      <w:szCs w:val="21"/>
                      <w:u w:val="none" w:color="auto"/>
                    </w:rPr>
                    <w:t>COD、SS、BOD、氨氮、动植物油等</w:t>
                  </w:r>
                </w:p>
              </w:tc>
              <w:tc>
                <w:tcPr>
                  <w:tcW w:w="435" w:type="pct"/>
                  <w:vMerge w:val="restart"/>
                  <w:noWrap w:val="0"/>
                  <w:vAlign w:val="center"/>
                </w:tcPr>
                <w:p w14:paraId="7141D6B6">
                  <w:pPr>
                    <w:pStyle w:val="56"/>
                    <w:rPr>
                      <w:rFonts w:hint="default" w:ascii="Times New Roman" w:hAnsi="Times New Roman" w:eastAsia="宋体" w:cs="Times New Roman"/>
                      <w:color w:val="auto"/>
                      <w:spacing w:val="0"/>
                      <w:sz w:val="21"/>
                      <w:szCs w:val="21"/>
                      <w:u w:val="none" w:color="auto"/>
                      <w:lang w:val="en-US" w:eastAsia="zh-CN"/>
                    </w:rPr>
                  </w:pPr>
                  <w:r>
                    <w:rPr>
                      <w:rFonts w:hint="default" w:ascii="Times New Roman" w:hAnsi="Times New Roman" w:eastAsia="宋体" w:cs="Times New Roman"/>
                      <w:color w:val="auto"/>
                      <w:spacing w:val="0"/>
                      <w:sz w:val="21"/>
                      <w:szCs w:val="21"/>
                      <w:u w:val="none" w:color="auto"/>
                      <w:lang w:val="en-US" w:eastAsia="zh-CN"/>
                    </w:rPr>
                    <w:t>湖南城陵矶临港产业新区污水处理厂</w:t>
                  </w:r>
                </w:p>
              </w:tc>
              <w:tc>
                <w:tcPr>
                  <w:tcW w:w="373" w:type="pct"/>
                  <w:vMerge w:val="restart"/>
                  <w:noWrap w:val="0"/>
                  <w:vAlign w:val="center"/>
                </w:tcPr>
                <w:p w14:paraId="2025B573">
                  <w:pPr>
                    <w:pStyle w:val="56"/>
                    <w:rPr>
                      <w:rFonts w:hint="default" w:ascii="Times New Roman" w:hAnsi="Times New Roman" w:eastAsia="宋体" w:cs="Times New Roman"/>
                      <w:color w:val="auto"/>
                      <w:spacing w:val="0"/>
                      <w:sz w:val="21"/>
                      <w:szCs w:val="21"/>
                      <w:u w:val="none" w:color="auto"/>
                      <w:lang w:val="en-US" w:eastAsia="zh-CN"/>
                    </w:rPr>
                  </w:pPr>
                  <w:r>
                    <w:rPr>
                      <w:rFonts w:hint="default" w:ascii="Times New Roman" w:hAnsi="Times New Roman" w:eastAsia="宋体" w:cs="Times New Roman"/>
                      <w:color w:val="auto"/>
                      <w:sz w:val="21"/>
                      <w:szCs w:val="21"/>
                      <w:highlight w:val="none"/>
                      <w:u w:val="none" w:color="auto"/>
                    </w:rPr>
                    <w:t>间断排放</w:t>
                  </w:r>
                  <w:r>
                    <w:rPr>
                      <w:rFonts w:hint="default" w:ascii="Times New Roman" w:hAnsi="Times New Roman" w:eastAsia="宋体" w:cs="Times New Roman"/>
                      <w:color w:val="auto"/>
                      <w:sz w:val="21"/>
                      <w:szCs w:val="21"/>
                      <w:highlight w:val="none"/>
                      <w:u w:val="none" w:color="auto"/>
                      <w:lang w:eastAsia="zh-CN"/>
                    </w:rPr>
                    <w:t>，</w:t>
                  </w:r>
                  <w:r>
                    <w:rPr>
                      <w:rFonts w:hint="default" w:ascii="Times New Roman" w:hAnsi="Times New Roman" w:eastAsia="宋体" w:cs="Times New Roman"/>
                      <w:color w:val="auto"/>
                      <w:sz w:val="21"/>
                      <w:szCs w:val="21"/>
                      <w:highlight w:val="none"/>
                      <w:u w:val="none" w:color="auto"/>
                    </w:rPr>
                    <w:t>排放期间流量不稳定</w:t>
                  </w:r>
                  <w:r>
                    <w:rPr>
                      <w:rFonts w:hint="default" w:ascii="Times New Roman" w:hAnsi="Times New Roman" w:eastAsia="宋体" w:cs="Times New Roman"/>
                      <w:color w:val="auto"/>
                      <w:sz w:val="21"/>
                      <w:szCs w:val="21"/>
                      <w:highlight w:val="none"/>
                      <w:u w:val="none" w:color="auto"/>
                      <w:lang w:eastAsia="zh-CN"/>
                    </w:rPr>
                    <w:t>，</w:t>
                  </w:r>
                  <w:r>
                    <w:rPr>
                      <w:rFonts w:hint="default" w:ascii="Times New Roman" w:hAnsi="Times New Roman" w:eastAsia="宋体" w:cs="Times New Roman"/>
                      <w:color w:val="auto"/>
                      <w:sz w:val="21"/>
                      <w:szCs w:val="21"/>
                      <w:highlight w:val="none"/>
                      <w:u w:val="none" w:color="auto"/>
                    </w:rPr>
                    <w:t>不属于冲击型排放</w:t>
                  </w:r>
                </w:p>
              </w:tc>
              <w:tc>
                <w:tcPr>
                  <w:tcW w:w="503" w:type="pct"/>
                  <w:noWrap w:val="0"/>
                  <w:vAlign w:val="center"/>
                </w:tcPr>
                <w:p w14:paraId="70701142">
                  <w:pPr>
                    <w:pStyle w:val="56"/>
                    <w:rPr>
                      <w:rFonts w:hint="default" w:ascii="Times New Roman" w:hAnsi="Times New Roman" w:eastAsia="宋体" w:cs="Times New Roman"/>
                      <w:color w:val="auto"/>
                      <w:spacing w:val="0"/>
                      <w:sz w:val="21"/>
                      <w:szCs w:val="21"/>
                      <w:u w:val="none" w:color="auto"/>
                      <w:lang w:val="en-US" w:eastAsia="zh-CN"/>
                    </w:rPr>
                  </w:pPr>
                  <w:r>
                    <w:rPr>
                      <w:rFonts w:hint="default" w:ascii="Times New Roman" w:hAnsi="Times New Roman" w:eastAsia="宋体" w:cs="Times New Roman"/>
                      <w:color w:val="auto"/>
                      <w:spacing w:val="0"/>
                      <w:sz w:val="21"/>
                      <w:szCs w:val="21"/>
                      <w:u w:val="none" w:color="auto"/>
                      <w:lang w:val="en-US" w:eastAsia="zh-CN"/>
                    </w:rPr>
                    <w:t>TW003</w:t>
                  </w:r>
                </w:p>
              </w:tc>
              <w:tc>
                <w:tcPr>
                  <w:tcW w:w="421" w:type="pct"/>
                  <w:noWrap w:val="0"/>
                  <w:vAlign w:val="center"/>
                </w:tcPr>
                <w:p w14:paraId="74890325">
                  <w:pPr>
                    <w:wordWrap/>
                    <w:topLinePunct w:val="0"/>
                    <w:bidi w:val="0"/>
                    <w:adjustRightInd/>
                    <w:snapToGrid/>
                    <w:spacing w:line="240" w:lineRule="exact"/>
                    <w:jc w:val="center"/>
                    <w:rPr>
                      <w:rFonts w:hint="default" w:ascii="Times New Roman" w:hAnsi="Times New Roman" w:eastAsia="宋体" w:cs="Times New Roman"/>
                      <w:color w:val="auto"/>
                      <w:spacing w:val="0"/>
                      <w:sz w:val="21"/>
                      <w:szCs w:val="21"/>
                      <w:u w:val="none" w:color="auto"/>
                      <w:lang w:val="en-US" w:eastAsia="zh-CN"/>
                    </w:rPr>
                  </w:pPr>
                  <w:r>
                    <w:rPr>
                      <w:rFonts w:hint="default" w:ascii="Times New Roman" w:hAnsi="Times New Roman" w:eastAsia="宋体" w:cs="Times New Roman"/>
                      <w:color w:val="auto"/>
                      <w:sz w:val="21"/>
                      <w:szCs w:val="21"/>
                      <w:u w:val="none" w:color="auto"/>
                    </w:rPr>
                    <w:t>生活污水处理系统</w:t>
                  </w:r>
                </w:p>
              </w:tc>
              <w:tc>
                <w:tcPr>
                  <w:tcW w:w="402" w:type="pct"/>
                  <w:noWrap w:val="0"/>
                  <w:vAlign w:val="center"/>
                </w:tcPr>
                <w:p w14:paraId="19D9C0B2">
                  <w:pPr>
                    <w:wordWrap/>
                    <w:topLinePunct w:val="0"/>
                    <w:bidi w:val="0"/>
                    <w:adjustRightInd/>
                    <w:snapToGrid/>
                    <w:spacing w:line="240" w:lineRule="exact"/>
                    <w:jc w:val="center"/>
                    <w:rPr>
                      <w:rFonts w:hint="default" w:ascii="Times New Roman" w:hAnsi="Times New Roman" w:eastAsia="宋体" w:cs="Times New Roman"/>
                      <w:color w:val="auto"/>
                      <w:spacing w:val="0"/>
                      <w:sz w:val="21"/>
                      <w:szCs w:val="21"/>
                      <w:u w:val="none" w:color="auto"/>
                      <w:lang w:val="en-US" w:eastAsia="zh-CN"/>
                    </w:rPr>
                  </w:pPr>
                  <w:r>
                    <w:rPr>
                      <w:rFonts w:hint="default" w:ascii="Times New Roman" w:hAnsi="Times New Roman" w:eastAsia="宋体" w:cs="Times New Roman"/>
                      <w:color w:val="auto"/>
                      <w:sz w:val="21"/>
                      <w:szCs w:val="21"/>
                      <w:u w:val="none" w:color="auto"/>
                    </w:rPr>
                    <w:t>化粪池</w:t>
                  </w: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rPr>
                    <w:t>隔油池</w:t>
                  </w:r>
                  <w:r>
                    <w:rPr>
                      <w:rFonts w:hint="default" w:ascii="Times New Roman" w:hAnsi="Times New Roman" w:eastAsia="宋体" w:cs="Times New Roman"/>
                      <w:color w:val="auto"/>
                      <w:sz w:val="21"/>
                      <w:szCs w:val="21"/>
                      <w:u w:val="none" w:color="auto"/>
                      <w:lang w:eastAsia="zh-CN"/>
                    </w:rPr>
                    <w:t>）</w:t>
                  </w:r>
                </w:p>
              </w:tc>
              <w:tc>
                <w:tcPr>
                  <w:tcW w:w="641" w:type="pct"/>
                  <w:vMerge w:val="restart"/>
                  <w:noWrap w:val="0"/>
                  <w:vAlign w:val="center"/>
                </w:tcPr>
                <w:p w14:paraId="1CC3437B">
                  <w:pPr>
                    <w:wordWrap/>
                    <w:topLinePunct w:val="0"/>
                    <w:bidi w:val="0"/>
                    <w:adjustRightInd/>
                    <w:snapToGrid/>
                    <w:spacing w:line="240" w:lineRule="exact"/>
                    <w:jc w:val="center"/>
                    <w:rPr>
                      <w:rFonts w:hint="default" w:ascii="Times New Roman" w:hAnsi="Times New Roman" w:eastAsia="宋体" w:cs="Times New Roman"/>
                      <w:color w:val="auto"/>
                      <w:spacing w:val="0"/>
                      <w:sz w:val="21"/>
                      <w:szCs w:val="21"/>
                      <w:u w:val="none" w:color="auto"/>
                      <w:lang w:val="en-US" w:eastAsia="zh-CN"/>
                    </w:rPr>
                  </w:pPr>
                  <w:r>
                    <w:rPr>
                      <w:rFonts w:hint="default" w:ascii="Times New Roman" w:hAnsi="Times New Roman" w:eastAsia="宋体" w:cs="Times New Roman"/>
                      <w:color w:val="auto"/>
                      <w:sz w:val="21"/>
                      <w:szCs w:val="21"/>
                      <w:u w:val="none" w:color="auto"/>
                    </w:rPr>
                    <w:t>DW00</w:t>
                  </w:r>
                  <w:r>
                    <w:rPr>
                      <w:rFonts w:hint="default" w:ascii="Times New Roman" w:hAnsi="Times New Roman" w:eastAsia="宋体" w:cs="Times New Roman"/>
                      <w:color w:val="auto"/>
                      <w:sz w:val="21"/>
                      <w:szCs w:val="21"/>
                      <w:u w:val="none" w:color="auto"/>
                      <w:lang w:val="en-US" w:eastAsia="zh-CN"/>
                    </w:rPr>
                    <w:t>1</w:t>
                  </w:r>
                </w:p>
              </w:tc>
              <w:tc>
                <w:tcPr>
                  <w:tcW w:w="429" w:type="pct"/>
                  <w:vMerge w:val="restart"/>
                  <w:noWrap w:val="0"/>
                  <w:vAlign w:val="center"/>
                </w:tcPr>
                <w:p w14:paraId="6D3A0456">
                  <w:pPr>
                    <w:wordWrap/>
                    <w:topLinePunct w:val="0"/>
                    <w:bidi w:val="0"/>
                    <w:adjustRightInd/>
                    <w:snapToGrid/>
                    <w:spacing w:line="240" w:lineRule="exact"/>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rPr>
                    <w:t>是</w:t>
                  </w:r>
                </w:p>
                <w:p w14:paraId="1118B762">
                  <w:pPr>
                    <w:wordWrap/>
                    <w:topLinePunct w:val="0"/>
                    <w:bidi w:val="0"/>
                    <w:adjustRightInd/>
                    <w:snapToGrid/>
                    <w:spacing w:line="240" w:lineRule="exact"/>
                    <w:jc w:val="center"/>
                    <w:rPr>
                      <w:rFonts w:hint="default" w:ascii="Times New Roman" w:hAnsi="Times New Roman" w:eastAsia="宋体" w:cs="Times New Roman"/>
                      <w:color w:val="auto"/>
                      <w:spacing w:val="0"/>
                      <w:sz w:val="21"/>
                      <w:szCs w:val="21"/>
                      <w:u w:val="none" w:color="auto"/>
                      <w:lang w:val="en-US" w:eastAsia="zh-CN"/>
                    </w:rPr>
                  </w:pP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rPr>
                    <w:t>否</w:t>
                  </w:r>
                </w:p>
              </w:tc>
              <w:tc>
                <w:tcPr>
                  <w:tcW w:w="593" w:type="pct"/>
                  <w:vMerge w:val="restart"/>
                  <w:noWrap w:val="0"/>
                  <w:vAlign w:val="center"/>
                </w:tcPr>
                <w:p w14:paraId="503247C0">
                  <w:pPr>
                    <w:wordWrap/>
                    <w:topLinePunct w:val="0"/>
                    <w:bidi w:val="0"/>
                    <w:adjustRightInd/>
                    <w:snapToGrid/>
                    <w:spacing w:line="240" w:lineRule="exact"/>
                    <w:jc w:val="left"/>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rPr>
                    <w:t>企业总排</w:t>
                  </w:r>
                </w:p>
                <w:p w14:paraId="7214BC68">
                  <w:pPr>
                    <w:wordWrap/>
                    <w:topLinePunct w:val="0"/>
                    <w:bidi w:val="0"/>
                    <w:adjustRightInd/>
                    <w:snapToGrid/>
                    <w:spacing w:line="240" w:lineRule="exact"/>
                    <w:jc w:val="left"/>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rPr>
                    <w:t>雨水排放</w:t>
                  </w:r>
                </w:p>
                <w:p w14:paraId="4538209D">
                  <w:pPr>
                    <w:wordWrap/>
                    <w:topLinePunct w:val="0"/>
                    <w:bidi w:val="0"/>
                    <w:adjustRightInd/>
                    <w:snapToGrid/>
                    <w:spacing w:line="240" w:lineRule="exact"/>
                    <w:jc w:val="left"/>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rPr>
                    <w:t>清净下水排放</w:t>
                  </w:r>
                </w:p>
                <w:p w14:paraId="1DA67671">
                  <w:pPr>
                    <w:wordWrap/>
                    <w:topLinePunct w:val="0"/>
                    <w:bidi w:val="0"/>
                    <w:adjustRightInd/>
                    <w:snapToGrid/>
                    <w:spacing w:line="240" w:lineRule="exact"/>
                    <w:jc w:val="left"/>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rPr>
                    <w:t>温排水排放</w:t>
                  </w:r>
                </w:p>
                <w:p w14:paraId="1BADC2D6">
                  <w:pPr>
                    <w:wordWrap/>
                    <w:topLinePunct w:val="0"/>
                    <w:bidi w:val="0"/>
                    <w:adjustRightInd/>
                    <w:snapToGrid/>
                    <w:spacing w:line="240" w:lineRule="exact"/>
                    <w:jc w:val="left"/>
                    <w:rPr>
                      <w:rFonts w:hint="default" w:ascii="Times New Roman" w:hAnsi="Times New Roman" w:eastAsia="宋体" w:cs="Times New Roman"/>
                      <w:color w:val="auto"/>
                      <w:spacing w:val="0"/>
                      <w:sz w:val="21"/>
                      <w:szCs w:val="21"/>
                      <w:u w:val="none" w:color="auto"/>
                      <w:lang w:val="en-US" w:eastAsia="zh-CN"/>
                    </w:rPr>
                  </w:pP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rPr>
                    <w:t>车间或车间处理设施排放口</w:t>
                  </w:r>
                </w:p>
              </w:tc>
            </w:tr>
            <w:tr w14:paraId="74D1066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0" w:type="pct"/>
                  <w:noWrap w:val="0"/>
                  <w:vAlign w:val="center"/>
                </w:tcPr>
                <w:p w14:paraId="15999D4B">
                  <w:pPr>
                    <w:pStyle w:val="56"/>
                    <w:rPr>
                      <w:rFonts w:hint="default" w:ascii="Times New Roman" w:hAnsi="Times New Roman" w:eastAsia="宋体" w:cs="Times New Roman"/>
                      <w:color w:val="auto"/>
                      <w:spacing w:val="0"/>
                      <w:sz w:val="21"/>
                      <w:szCs w:val="21"/>
                      <w:u w:val="none" w:color="auto"/>
                      <w:lang w:val="en-US" w:eastAsia="zh-CN"/>
                    </w:rPr>
                  </w:pPr>
                  <w:r>
                    <w:rPr>
                      <w:rFonts w:hint="default" w:ascii="Times New Roman" w:hAnsi="Times New Roman" w:eastAsia="宋体" w:cs="Times New Roman"/>
                      <w:color w:val="auto"/>
                      <w:spacing w:val="0"/>
                      <w:sz w:val="21"/>
                      <w:szCs w:val="21"/>
                      <w:u w:val="none" w:color="auto"/>
                      <w:lang w:val="en-US" w:eastAsia="zh-CN"/>
                    </w:rPr>
                    <w:t>2</w:t>
                  </w:r>
                </w:p>
              </w:tc>
              <w:tc>
                <w:tcPr>
                  <w:tcW w:w="438" w:type="pct"/>
                  <w:noWrap w:val="0"/>
                  <w:vAlign w:val="center"/>
                </w:tcPr>
                <w:p w14:paraId="440437BC">
                  <w:pPr>
                    <w:pStyle w:val="56"/>
                    <w:rPr>
                      <w:rFonts w:hint="default" w:ascii="Times New Roman" w:hAnsi="Times New Roman" w:eastAsia="宋体" w:cs="Times New Roman"/>
                      <w:color w:val="auto"/>
                      <w:spacing w:val="0"/>
                      <w:sz w:val="21"/>
                      <w:szCs w:val="21"/>
                      <w:u w:val="none" w:color="auto"/>
                      <w:lang w:val="en-US" w:eastAsia="zh-CN"/>
                    </w:rPr>
                  </w:pPr>
                  <w:r>
                    <w:rPr>
                      <w:rFonts w:hint="default" w:ascii="Times New Roman" w:hAnsi="Times New Roman" w:eastAsia="宋体" w:cs="Times New Roman"/>
                      <w:color w:val="auto"/>
                      <w:spacing w:val="0"/>
                      <w:sz w:val="21"/>
                      <w:szCs w:val="21"/>
                      <w:u w:val="none" w:color="auto"/>
                      <w:lang w:val="en-US" w:eastAsia="zh-CN"/>
                    </w:rPr>
                    <w:t>铝合金熔铸二厂间接循环冷却水</w:t>
                  </w:r>
                </w:p>
              </w:tc>
              <w:tc>
                <w:tcPr>
                  <w:tcW w:w="510" w:type="pct"/>
                  <w:noWrap w:val="0"/>
                  <w:vAlign w:val="center"/>
                </w:tcPr>
                <w:p w14:paraId="551FE3F4">
                  <w:pPr>
                    <w:pStyle w:val="56"/>
                    <w:ind w:firstLine="0" w:firstLineChars="0"/>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COD、SS</w:t>
                  </w:r>
                  <w:r>
                    <w:rPr>
                      <w:rFonts w:hint="default" w:ascii="Times New Roman" w:hAnsi="Times New Roman" w:eastAsia="宋体" w:cs="Times New Roman"/>
                      <w:color w:val="auto"/>
                      <w:sz w:val="21"/>
                      <w:szCs w:val="21"/>
                      <w:u w:val="none" w:color="auto"/>
                    </w:rPr>
                    <w:t>等</w:t>
                  </w:r>
                </w:p>
              </w:tc>
              <w:tc>
                <w:tcPr>
                  <w:tcW w:w="435" w:type="pct"/>
                  <w:vMerge w:val="continue"/>
                  <w:noWrap w:val="0"/>
                  <w:vAlign w:val="center"/>
                </w:tcPr>
                <w:p w14:paraId="61083E95">
                  <w:pPr>
                    <w:pStyle w:val="56"/>
                    <w:rPr>
                      <w:rFonts w:hint="default" w:ascii="Times New Roman" w:hAnsi="Times New Roman" w:eastAsia="宋体" w:cs="Times New Roman"/>
                      <w:color w:val="auto"/>
                      <w:spacing w:val="0"/>
                      <w:sz w:val="21"/>
                      <w:szCs w:val="21"/>
                      <w:u w:val="none" w:color="auto"/>
                      <w:lang w:val="en-US" w:eastAsia="zh-CN"/>
                    </w:rPr>
                  </w:pPr>
                </w:p>
              </w:tc>
              <w:tc>
                <w:tcPr>
                  <w:tcW w:w="373" w:type="pct"/>
                  <w:vMerge w:val="continue"/>
                  <w:noWrap w:val="0"/>
                  <w:vAlign w:val="center"/>
                </w:tcPr>
                <w:p w14:paraId="4AE4F0AB">
                  <w:pPr>
                    <w:pStyle w:val="56"/>
                    <w:rPr>
                      <w:rFonts w:hint="default" w:ascii="Times New Roman" w:hAnsi="Times New Roman" w:eastAsia="宋体" w:cs="Times New Roman"/>
                      <w:color w:val="auto"/>
                      <w:spacing w:val="0"/>
                      <w:sz w:val="21"/>
                      <w:szCs w:val="21"/>
                      <w:u w:val="none" w:color="auto"/>
                      <w:lang w:val="en-US" w:eastAsia="zh-CN"/>
                    </w:rPr>
                  </w:pPr>
                </w:p>
              </w:tc>
              <w:tc>
                <w:tcPr>
                  <w:tcW w:w="503" w:type="pct"/>
                  <w:noWrap w:val="0"/>
                  <w:vAlign w:val="center"/>
                </w:tcPr>
                <w:p w14:paraId="46E76295">
                  <w:pPr>
                    <w:pStyle w:val="56"/>
                    <w:rPr>
                      <w:rFonts w:hint="default" w:ascii="Times New Roman" w:hAnsi="Times New Roman" w:eastAsia="宋体" w:cs="Times New Roman"/>
                      <w:color w:val="auto"/>
                      <w:spacing w:val="0"/>
                      <w:sz w:val="21"/>
                      <w:szCs w:val="21"/>
                      <w:u w:val="none" w:color="auto"/>
                      <w:lang w:val="en-US" w:eastAsia="zh-CN"/>
                    </w:rPr>
                  </w:pPr>
                  <w:r>
                    <w:rPr>
                      <w:rFonts w:hint="default" w:ascii="Times New Roman" w:hAnsi="Times New Roman" w:eastAsia="宋体" w:cs="Times New Roman"/>
                      <w:color w:val="auto"/>
                      <w:spacing w:val="0"/>
                      <w:sz w:val="21"/>
                      <w:szCs w:val="21"/>
                      <w:u w:val="none" w:color="auto"/>
                      <w:lang w:val="en-US" w:eastAsia="zh-CN"/>
                    </w:rPr>
                    <w:t>/</w:t>
                  </w:r>
                </w:p>
              </w:tc>
              <w:tc>
                <w:tcPr>
                  <w:tcW w:w="421" w:type="pct"/>
                  <w:noWrap w:val="0"/>
                  <w:vAlign w:val="center"/>
                </w:tcPr>
                <w:p w14:paraId="0B48D214">
                  <w:pPr>
                    <w:wordWrap/>
                    <w:topLinePunct w:val="0"/>
                    <w:bidi w:val="0"/>
                    <w:adjustRightInd/>
                    <w:snapToGrid/>
                    <w:spacing w:line="240" w:lineRule="exact"/>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w:t>
                  </w:r>
                </w:p>
              </w:tc>
              <w:tc>
                <w:tcPr>
                  <w:tcW w:w="402" w:type="pct"/>
                  <w:noWrap w:val="0"/>
                  <w:vAlign w:val="center"/>
                </w:tcPr>
                <w:p w14:paraId="7DE164ED">
                  <w:pPr>
                    <w:wordWrap/>
                    <w:topLinePunct w:val="0"/>
                    <w:bidi w:val="0"/>
                    <w:adjustRightInd/>
                    <w:snapToGrid/>
                    <w:spacing w:line="240" w:lineRule="exact"/>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w:t>
                  </w:r>
                </w:p>
              </w:tc>
              <w:tc>
                <w:tcPr>
                  <w:tcW w:w="641" w:type="pct"/>
                  <w:vMerge w:val="continue"/>
                  <w:noWrap w:val="0"/>
                  <w:vAlign w:val="center"/>
                </w:tcPr>
                <w:p w14:paraId="1AC4AC90">
                  <w:pPr>
                    <w:wordWrap/>
                    <w:topLinePunct w:val="0"/>
                    <w:bidi w:val="0"/>
                    <w:adjustRightInd/>
                    <w:snapToGrid/>
                    <w:spacing w:line="240" w:lineRule="exact"/>
                    <w:jc w:val="center"/>
                    <w:rPr>
                      <w:rFonts w:hint="default" w:ascii="Times New Roman" w:hAnsi="Times New Roman" w:eastAsia="宋体" w:cs="Times New Roman"/>
                      <w:color w:val="auto"/>
                      <w:sz w:val="21"/>
                      <w:szCs w:val="21"/>
                      <w:u w:val="none" w:color="auto"/>
                    </w:rPr>
                  </w:pPr>
                </w:p>
              </w:tc>
              <w:tc>
                <w:tcPr>
                  <w:tcW w:w="429" w:type="pct"/>
                  <w:vMerge w:val="continue"/>
                  <w:noWrap w:val="0"/>
                  <w:vAlign w:val="center"/>
                </w:tcPr>
                <w:p w14:paraId="77B84864">
                  <w:pPr>
                    <w:wordWrap/>
                    <w:topLinePunct w:val="0"/>
                    <w:bidi w:val="0"/>
                    <w:adjustRightInd/>
                    <w:snapToGrid/>
                    <w:spacing w:line="240" w:lineRule="exact"/>
                    <w:jc w:val="center"/>
                    <w:rPr>
                      <w:rFonts w:hint="default" w:ascii="Times New Roman" w:hAnsi="Times New Roman" w:eastAsia="宋体" w:cs="Times New Roman"/>
                      <w:color w:val="auto"/>
                      <w:sz w:val="21"/>
                      <w:szCs w:val="21"/>
                      <w:u w:val="none" w:color="auto"/>
                      <w:lang w:eastAsia="zh-CN"/>
                    </w:rPr>
                  </w:pPr>
                </w:p>
              </w:tc>
              <w:tc>
                <w:tcPr>
                  <w:tcW w:w="593" w:type="pct"/>
                  <w:vMerge w:val="continue"/>
                  <w:noWrap w:val="0"/>
                  <w:vAlign w:val="center"/>
                </w:tcPr>
                <w:p w14:paraId="021A3ED3">
                  <w:pPr>
                    <w:wordWrap/>
                    <w:topLinePunct w:val="0"/>
                    <w:bidi w:val="0"/>
                    <w:adjustRightInd/>
                    <w:snapToGrid/>
                    <w:spacing w:line="240" w:lineRule="exact"/>
                    <w:jc w:val="left"/>
                    <w:rPr>
                      <w:rFonts w:hint="default" w:ascii="Times New Roman" w:hAnsi="Times New Roman" w:eastAsia="宋体" w:cs="Times New Roman"/>
                      <w:color w:val="auto"/>
                      <w:sz w:val="21"/>
                      <w:szCs w:val="21"/>
                      <w:u w:val="none" w:color="auto"/>
                      <w:lang w:eastAsia="zh-CN"/>
                    </w:rPr>
                  </w:pPr>
                </w:p>
              </w:tc>
            </w:tr>
            <w:tr w14:paraId="18876FE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0" w:type="pct"/>
                  <w:noWrap w:val="0"/>
                  <w:vAlign w:val="center"/>
                </w:tcPr>
                <w:p w14:paraId="2F970239">
                  <w:pPr>
                    <w:pStyle w:val="56"/>
                    <w:rPr>
                      <w:rFonts w:hint="default" w:ascii="Times New Roman" w:hAnsi="Times New Roman" w:eastAsia="宋体" w:cs="Times New Roman"/>
                      <w:color w:val="auto"/>
                      <w:spacing w:val="0"/>
                      <w:sz w:val="21"/>
                      <w:szCs w:val="21"/>
                      <w:u w:val="none" w:color="auto"/>
                      <w:lang w:val="en-US" w:eastAsia="zh-CN"/>
                    </w:rPr>
                  </w:pPr>
                  <w:r>
                    <w:rPr>
                      <w:rFonts w:hint="default" w:ascii="Times New Roman" w:hAnsi="Times New Roman" w:eastAsia="宋体" w:cs="Times New Roman"/>
                      <w:color w:val="auto"/>
                      <w:spacing w:val="0"/>
                      <w:sz w:val="21"/>
                      <w:szCs w:val="21"/>
                      <w:u w:val="none" w:color="auto"/>
                      <w:lang w:val="en-US" w:eastAsia="zh-CN"/>
                    </w:rPr>
                    <w:t>3</w:t>
                  </w:r>
                </w:p>
              </w:tc>
              <w:tc>
                <w:tcPr>
                  <w:tcW w:w="438" w:type="pct"/>
                  <w:noWrap w:val="0"/>
                  <w:vAlign w:val="center"/>
                </w:tcPr>
                <w:p w14:paraId="6977F393">
                  <w:pPr>
                    <w:pStyle w:val="56"/>
                    <w:rPr>
                      <w:rFonts w:hint="default" w:ascii="Times New Roman" w:hAnsi="Times New Roman" w:eastAsia="宋体" w:cs="Times New Roman"/>
                      <w:color w:val="auto"/>
                      <w:spacing w:val="0"/>
                      <w:sz w:val="21"/>
                      <w:szCs w:val="21"/>
                      <w:u w:val="none" w:color="auto"/>
                      <w:lang w:val="en-US" w:eastAsia="zh-CN"/>
                    </w:rPr>
                  </w:pPr>
                  <w:r>
                    <w:rPr>
                      <w:rFonts w:hint="default" w:ascii="Times New Roman" w:hAnsi="Times New Roman" w:eastAsia="宋体" w:cs="Times New Roman"/>
                      <w:color w:val="auto"/>
                      <w:spacing w:val="0"/>
                      <w:sz w:val="21"/>
                      <w:szCs w:val="21"/>
                      <w:u w:val="none" w:color="auto"/>
                      <w:lang w:val="en-US" w:eastAsia="zh-CN"/>
                    </w:rPr>
                    <w:t>生活污水（临港高新产业园区）</w:t>
                  </w:r>
                </w:p>
              </w:tc>
              <w:tc>
                <w:tcPr>
                  <w:tcW w:w="510" w:type="pct"/>
                  <w:shd w:val="clear" w:color="auto" w:fill="auto"/>
                  <w:noWrap w:val="0"/>
                  <w:vAlign w:val="center"/>
                </w:tcPr>
                <w:p w14:paraId="773D3604">
                  <w:pPr>
                    <w:pStyle w:val="56"/>
                    <w:ind w:firstLine="0" w:firstLineChars="0"/>
                    <w:rPr>
                      <w:rFonts w:hint="default" w:ascii="Times New Roman" w:hAnsi="Times New Roman" w:eastAsia="宋体" w:cs="Times New Roman"/>
                      <w:color w:val="auto"/>
                      <w:spacing w:val="0"/>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COD、SS、BOD、氨氮、动植物油等</w:t>
                  </w:r>
                </w:p>
              </w:tc>
              <w:tc>
                <w:tcPr>
                  <w:tcW w:w="435" w:type="pct"/>
                  <w:vMerge w:val="continue"/>
                  <w:noWrap w:val="0"/>
                  <w:vAlign w:val="center"/>
                </w:tcPr>
                <w:p w14:paraId="7FFFCA9E">
                  <w:pPr>
                    <w:pStyle w:val="56"/>
                    <w:rPr>
                      <w:rFonts w:hint="default" w:ascii="Times New Roman" w:hAnsi="Times New Roman" w:eastAsia="宋体" w:cs="Times New Roman"/>
                      <w:color w:val="auto"/>
                      <w:spacing w:val="0"/>
                      <w:sz w:val="21"/>
                      <w:szCs w:val="21"/>
                      <w:u w:val="none" w:color="auto"/>
                      <w:lang w:val="en-US" w:eastAsia="zh-CN"/>
                    </w:rPr>
                  </w:pPr>
                </w:p>
              </w:tc>
              <w:tc>
                <w:tcPr>
                  <w:tcW w:w="373" w:type="pct"/>
                  <w:vMerge w:val="continue"/>
                  <w:noWrap w:val="0"/>
                  <w:vAlign w:val="center"/>
                </w:tcPr>
                <w:p w14:paraId="65B194CE">
                  <w:pPr>
                    <w:pStyle w:val="56"/>
                    <w:rPr>
                      <w:rFonts w:hint="default" w:ascii="Times New Roman" w:hAnsi="Times New Roman" w:eastAsia="宋体" w:cs="Times New Roman"/>
                      <w:color w:val="auto"/>
                      <w:spacing w:val="0"/>
                      <w:sz w:val="21"/>
                      <w:szCs w:val="21"/>
                      <w:u w:val="none" w:color="auto"/>
                      <w:lang w:val="en-US" w:eastAsia="zh-CN"/>
                    </w:rPr>
                  </w:pPr>
                </w:p>
              </w:tc>
              <w:tc>
                <w:tcPr>
                  <w:tcW w:w="503" w:type="pct"/>
                  <w:noWrap w:val="0"/>
                  <w:vAlign w:val="center"/>
                </w:tcPr>
                <w:p w14:paraId="4F268383">
                  <w:pPr>
                    <w:pStyle w:val="56"/>
                    <w:ind w:firstLine="0" w:firstLineChars="0"/>
                    <w:rPr>
                      <w:rFonts w:hint="default" w:ascii="Times New Roman" w:hAnsi="Times New Roman" w:eastAsia="宋体" w:cs="Times New Roman"/>
                      <w:color w:val="auto"/>
                      <w:spacing w:val="0"/>
                      <w:sz w:val="21"/>
                      <w:szCs w:val="21"/>
                      <w:u w:val="none" w:color="auto"/>
                      <w:lang w:val="en-US" w:eastAsia="zh-CN"/>
                    </w:rPr>
                  </w:pPr>
                  <w:r>
                    <w:rPr>
                      <w:rFonts w:hint="default" w:ascii="Times New Roman" w:hAnsi="Times New Roman" w:eastAsia="宋体" w:cs="Times New Roman"/>
                      <w:color w:val="auto"/>
                      <w:spacing w:val="0"/>
                      <w:sz w:val="21"/>
                      <w:szCs w:val="21"/>
                      <w:u w:val="none" w:color="auto"/>
                      <w:lang w:val="en-US" w:eastAsia="zh-CN"/>
                    </w:rPr>
                    <w:t>TW005</w:t>
                  </w:r>
                </w:p>
              </w:tc>
              <w:tc>
                <w:tcPr>
                  <w:tcW w:w="421" w:type="pct"/>
                  <w:noWrap w:val="0"/>
                  <w:vAlign w:val="center"/>
                </w:tcPr>
                <w:p w14:paraId="24BF1372">
                  <w:pPr>
                    <w:wordWrap/>
                    <w:topLinePunct w:val="0"/>
                    <w:bidi w:val="0"/>
                    <w:adjustRightInd/>
                    <w:snapToGrid/>
                    <w:spacing w:line="240" w:lineRule="exact"/>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rPr>
                    <w:t>生活污水处理系统</w:t>
                  </w:r>
                </w:p>
              </w:tc>
              <w:tc>
                <w:tcPr>
                  <w:tcW w:w="402" w:type="pct"/>
                  <w:noWrap w:val="0"/>
                  <w:vAlign w:val="center"/>
                </w:tcPr>
                <w:p w14:paraId="055D6761">
                  <w:pPr>
                    <w:wordWrap/>
                    <w:topLinePunct w:val="0"/>
                    <w:bidi w:val="0"/>
                    <w:adjustRightInd/>
                    <w:snapToGrid/>
                    <w:spacing w:line="240" w:lineRule="exact"/>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化粪池</w:t>
                  </w:r>
                </w:p>
              </w:tc>
              <w:tc>
                <w:tcPr>
                  <w:tcW w:w="641" w:type="pct"/>
                  <w:noWrap w:val="0"/>
                  <w:vAlign w:val="center"/>
                </w:tcPr>
                <w:p w14:paraId="2724B641">
                  <w:pPr>
                    <w:wordWrap/>
                    <w:topLinePunct w:val="0"/>
                    <w:bidi w:val="0"/>
                    <w:adjustRightInd/>
                    <w:snapToGrid/>
                    <w:spacing w:line="240" w:lineRule="exact"/>
                    <w:jc w:val="center"/>
                    <w:rPr>
                      <w:rFonts w:hint="default" w:ascii="Times New Roman" w:hAnsi="Times New Roman" w:eastAsia="宋体" w:cs="Times New Roman"/>
                      <w:color w:val="auto"/>
                      <w:sz w:val="21"/>
                      <w:szCs w:val="21"/>
                      <w:u w:val="none" w:color="auto"/>
                      <w:lang w:val="en-US"/>
                    </w:rPr>
                  </w:pPr>
                  <w:r>
                    <w:rPr>
                      <w:rFonts w:hint="default" w:ascii="Times New Roman" w:hAnsi="Times New Roman" w:eastAsia="宋体" w:cs="Times New Roman"/>
                      <w:color w:val="auto"/>
                      <w:sz w:val="21"/>
                      <w:szCs w:val="21"/>
                      <w:u w:val="none" w:color="auto"/>
                    </w:rPr>
                    <w:t>DW00</w:t>
                  </w:r>
                  <w:r>
                    <w:rPr>
                      <w:rFonts w:hint="default" w:ascii="Times New Roman" w:hAnsi="Times New Roman" w:eastAsia="宋体" w:cs="Times New Roman"/>
                      <w:color w:val="auto"/>
                      <w:sz w:val="21"/>
                      <w:szCs w:val="21"/>
                      <w:u w:val="none" w:color="auto"/>
                      <w:lang w:val="en-US" w:eastAsia="zh-CN"/>
                    </w:rPr>
                    <w:t>3、DW004、DW005</w:t>
                  </w:r>
                </w:p>
              </w:tc>
              <w:tc>
                <w:tcPr>
                  <w:tcW w:w="429" w:type="pct"/>
                  <w:noWrap w:val="0"/>
                  <w:vAlign w:val="center"/>
                </w:tcPr>
                <w:p w14:paraId="0805F590">
                  <w:pPr>
                    <w:wordWrap/>
                    <w:topLinePunct w:val="0"/>
                    <w:bidi w:val="0"/>
                    <w:adjustRightInd/>
                    <w:snapToGrid/>
                    <w:spacing w:line="240" w:lineRule="exact"/>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rPr>
                    <w:t>是</w:t>
                  </w:r>
                </w:p>
                <w:p w14:paraId="3AC6EF64">
                  <w:pPr>
                    <w:wordWrap/>
                    <w:topLinePunct w:val="0"/>
                    <w:bidi w:val="0"/>
                    <w:adjustRightInd/>
                    <w:snapToGrid/>
                    <w:spacing w:line="240" w:lineRule="exact"/>
                    <w:jc w:val="center"/>
                    <w:rPr>
                      <w:rFonts w:hint="default" w:ascii="Times New Roman" w:hAnsi="Times New Roman" w:eastAsia="宋体" w:cs="Times New Roman"/>
                      <w:color w:val="auto"/>
                      <w:sz w:val="21"/>
                      <w:szCs w:val="21"/>
                      <w:u w:val="none" w:color="auto"/>
                      <w:lang w:eastAsia="zh-CN"/>
                    </w:rPr>
                  </w:pP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rPr>
                    <w:t>否</w:t>
                  </w:r>
                </w:p>
              </w:tc>
              <w:tc>
                <w:tcPr>
                  <w:tcW w:w="593" w:type="pct"/>
                  <w:noWrap w:val="0"/>
                  <w:vAlign w:val="center"/>
                </w:tcPr>
                <w:p w14:paraId="5B1FFF01">
                  <w:pPr>
                    <w:wordWrap/>
                    <w:topLinePunct w:val="0"/>
                    <w:bidi w:val="0"/>
                    <w:adjustRightInd/>
                    <w:snapToGrid/>
                    <w:spacing w:line="240" w:lineRule="exact"/>
                    <w:jc w:val="left"/>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rPr>
                    <w:t>企业总排</w:t>
                  </w:r>
                </w:p>
                <w:p w14:paraId="2B0BD2A1">
                  <w:pPr>
                    <w:wordWrap/>
                    <w:topLinePunct w:val="0"/>
                    <w:bidi w:val="0"/>
                    <w:adjustRightInd/>
                    <w:snapToGrid/>
                    <w:spacing w:line="240" w:lineRule="exact"/>
                    <w:jc w:val="left"/>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rPr>
                    <w:t>雨水排放</w:t>
                  </w:r>
                </w:p>
                <w:p w14:paraId="3EF2C4E1">
                  <w:pPr>
                    <w:wordWrap/>
                    <w:topLinePunct w:val="0"/>
                    <w:bidi w:val="0"/>
                    <w:adjustRightInd/>
                    <w:snapToGrid/>
                    <w:spacing w:line="240" w:lineRule="exact"/>
                    <w:jc w:val="left"/>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rPr>
                    <w:t>清净下水排放</w:t>
                  </w:r>
                </w:p>
                <w:p w14:paraId="6AE64212">
                  <w:pPr>
                    <w:wordWrap/>
                    <w:topLinePunct w:val="0"/>
                    <w:bidi w:val="0"/>
                    <w:adjustRightInd/>
                    <w:snapToGrid/>
                    <w:spacing w:line="240" w:lineRule="exact"/>
                    <w:jc w:val="left"/>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rPr>
                    <w:t>温排水排放</w:t>
                  </w:r>
                </w:p>
                <w:p w14:paraId="3FF39DC9">
                  <w:pPr>
                    <w:wordWrap/>
                    <w:topLinePunct w:val="0"/>
                    <w:bidi w:val="0"/>
                    <w:adjustRightInd/>
                    <w:snapToGrid/>
                    <w:spacing w:line="240" w:lineRule="exact"/>
                    <w:jc w:val="left"/>
                    <w:rPr>
                      <w:rFonts w:hint="default" w:ascii="Times New Roman" w:hAnsi="Times New Roman" w:eastAsia="宋体" w:cs="Times New Roman"/>
                      <w:color w:val="auto"/>
                      <w:sz w:val="21"/>
                      <w:szCs w:val="21"/>
                      <w:u w:val="none" w:color="auto"/>
                      <w:lang w:eastAsia="zh-CN"/>
                    </w:rPr>
                  </w:pP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rPr>
                    <w:t>车间或车间处理设施排放口</w:t>
                  </w:r>
                </w:p>
              </w:tc>
            </w:tr>
            <w:tr w14:paraId="73332DD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5" w:hRule="atLeast"/>
                <w:jc w:val="center"/>
              </w:trPr>
              <w:tc>
                <w:tcPr>
                  <w:tcW w:w="250" w:type="pct"/>
                  <w:noWrap w:val="0"/>
                  <w:vAlign w:val="center"/>
                </w:tcPr>
                <w:p w14:paraId="6143474C">
                  <w:pPr>
                    <w:pStyle w:val="56"/>
                    <w:rPr>
                      <w:rFonts w:hint="default" w:ascii="Times New Roman" w:hAnsi="Times New Roman" w:eastAsia="宋体" w:cs="Times New Roman"/>
                      <w:color w:val="auto"/>
                      <w:spacing w:val="0"/>
                      <w:sz w:val="21"/>
                      <w:szCs w:val="21"/>
                      <w:u w:val="none" w:color="auto"/>
                      <w:lang w:val="en-US" w:eastAsia="zh-CN"/>
                    </w:rPr>
                  </w:pPr>
                  <w:r>
                    <w:rPr>
                      <w:rFonts w:hint="default" w:ascii="Times New Roman" w:hAnsi="Times New Roman" w:eastAsia="宋体" w:cs="Times New Roman"/>
                      <w:color w:val="auto"/>
                      <w:spacing w:val="0"/>
                      <w:sz w:val="21"/>
                      <w:szCs w:val="21"/>
                      <w:u w:val="none" w:color="auto"/>
                      <w:lang w:val="en-US" w:eastAsia="zh-CN"/>
                    </w:rPr>
                    <w:t>4</w:t>
                  </w:r>
                </w:p>
              </w:tc>
              <w:tc>
                <w:tcPr>
                  <w:tcW w:w="438" w:type="pct"/>
                  <w:noWrap w:val="0"/>
                  <w:vAlign w:val="center"/>
                </w:tcPr>
                <w:p w14:paraId="590E8D22">
                  <w:pPr>
                    <w:pStyle w:val="56"/>
                    <w:rPr>
                      <w:rFonts w:hint="default" w:ascii="Times New Roman" w:hAnsi="Times New Roman" w:eastAsia="宋体" w:cs="Times New Roman"/>
                      <w:color w:val="auto"/>
                      <w:spacing w:val="0"/>
                      <w:sz w:val="21"/>
                      <w:szCs w:val="21"/>
                      <w:u w:val="none" w:color="auto"/>
                      <w:lang w:val="en-US" w:eastAsia="zh-CN"/>
                    </w:rPr>
                  </w:pPr>
                  <w:r>
                    <w:rPr>
                      <w:rFonts w:hint="default" w:ascii="Times New Roman" w:hAnsi="Times New Roman" w:eastAsia="宋体" w:cs="Times New Roman"/>
                      <w:color w:val="auto"/>
                      <w:spacing w:val="0"/>
                      <w:sz w:val="21"/>
                      <w:szCs w:val="21"/>
                      <w:u w:val="none" w:color="auto"/>
                      <w:lang w:val="en-US" w:eastAsia="zh-CN"/>
                    </w:rPr>
                    <w:t>生产废水（临港高新产业园区）</w:t>
                  </w:r>
                </w:p>
              </w:tc>
              <w:tc>
                <w:tcPr>
                  <w:tcW w:w="510" w:type="pct"/>
                  <w:noWrap w:val="0"/>
                  <w:vAlign w:val="center"/>
                </w:tcPr>
                <w:p w14:paraId="7D3BFE40">
                  <w:pPr>
                    <w:pStyle w:val="56"/>
                    <w:ind w:firstLine="0" w:firstLineChars="0"/>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rPr>
                    <w:t>COD、SS、BOD、氨氮</w:t>
                  </w: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lang w:val="en-US" w:eastAsia="zh-CN"/>
                    </w:rPr>
                    <w:t>石油类</w:t>
                  </w:r>
                  <w:r>
                    <w:rPr>
                      <w:rFonts w:hint="default" w:ascii="Times New Roman" w:hAnsi="Times New Roman" w:eastAsia="宋体" w:cs="Times New Roman"/>
                      <w:color w:val="auto"/>
                      <w:sz w:val="21"/>
                      <w:szCs w:val="21"/>
                      <w:u w:val="none" w:color="auto"/>
                    </w:rPr>
                    <w:t>等</w:t>
                  </w:r>
                </w:p>
              </w:tc>
              <w:tc>
                <w:tcPr>
                  <w:tcW w:w="435" w:type="pct"/>
                  <w:vMerge w:val="continue"/>
                  <w:noWrap w:val="0"/>
                  <w:vAlign w:val="center"/>
                </w:tcPr>
                <w:p w14:paraId="72680C0C">
                  <w:pPr>
                    <w:pStyle w:val="56"/>
                    <w:rPr>
                      <w:rFonts w:hint="default" w:ascii="Times New Roman" w:hAnsi="Times New Roman" w:eastAsia="宋体" w:cs="Times New Roman"/>
                      <w:color w:val="auto"/>
                      <w:spacing w:val="0"/>
                      <w:sz w:val="21"/>
                      <w:szCs w:val="21"/>
                      <w:u w:val="none" w:color="auto"/>
                      <w:lang w:val="en-US" w:eastAsia="zh-CN"/>
                    </w:rPr>
                  </w:pPr>
                </w:p>
              </w:tc>
              <w:tc>
                <w:tcPr>
                  <w:tcW w:w="373" w:type="pct"/>
                  <w:vMerge w:val="continue"/>
                  <w:noWrap w:val="0"/>
                  <w:vAlign w:val="center"/>
                </w:tcPr>
                <w:p w14:paraId="0F0F12B1">
                  <w:pPr>
                    <w:pStyle w:val="56"/>
                    <w:rPr>
                      <w:rFonts w:hint="default" w:ascii="Times New Roman" w:hAnsi="Times New Roman" w:eastAsia="宋体" w:cs="Times New Roman"/>
                      <w:color w:val="auto"/>
                      <w:spacing w:val="0"/>
                      <w:sz w:val="21"/>
                      <w:szCs w:val="21"/>
                      <w:u w:val="none" w:color="auto"/>
                      <w:lang w:val="en-US" w:eastAsia="zh-CN"/>
                    </w:rPr>
                  </w:pPr>
                </w:p>
              </w:tc>
              <w:tc>
                <w:tcPr>
                  <w:tcW w:w="503" w:type="pct"/>
                  <w:noWrap w:val="0"/>
                  <w:vAlign w:val="center"/>
                </w:tcPr>
                <w:p w14:paraId="19349AD9">
                  <w:pPr>
                    <w:pStyle w:val="56"/>
                    <w:rPr>
                      <w:rFonts w:hint="default" w:ascii="Times New Roman" w:hAnsi="Times New Roman" w:eastAsia="宋体" w:cs="Times New Roman"/>
                      <w:color w:val="auto"/>
                      <w:spacing w:val="0"/>
                      <w:sz w:val="21"/>
                      <w:szCs w:val="21"/>
                      <w:u w:val="none" w:color="auto"/>
                      <w:lang w:val="en-US" w:eastAsia="zh-CN"/>
                    </w:rPr>
                  </w:pPr>
                  <w:r>
                    <w:rPr>
                      <w:rFonts w:hint="default" w:ascii="Times New Roman" w:hAnsi="Times New Roman" w:eastAsia="宋体" w:cs="Times New Roman"/>
                      <w:color w:val="auto"/>
                      <w:spacing w:val="0"/>
                      <w:sz w:val="21"/>
                      <w:szCs w:val="21"/>
                      <w:u w:val="none" w:color="auto"/>
                      <w:lang w:val="en-US" w:eastAsia="zh-CN"/>
                    </w:rPr>
                    <w:t>TW004</w:t>
                  </w:r>
                </w:p>
              </w:tc>
              <w:tc>
                <w:tcPr>
                  <w:tcW w:w="421" w:type="pct"/>
                  <w:noWrap w:val="0"/>
                  <w:vAlign w:val="center"/>
                </w:tcPr>
                <w:p w14:paraId="0E62C97E">
                  <w:pPr>
                    <w:wordWrap/>
                    <w:topLinePunct w:val="0"/>
                    <w:bidi w:val="0"/>
                    <w:adjustRightInd/>
                    <w:snapToGrid/>
                    <w:spacing w:line="240" w:lineRule="exact"/>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废水处理站</w:t>
                  </w:r>
                </w:p>
              </w:tc>
              <w:tc>
                <w:tcPr>
                  <w:tcW w:w="402" w:type="pct"/>
                  <w:noWrap w:val="0"/>
                  <w:vAlign w:val="center"/>
                </w:tcPr>
                <w:p w14:paraId="1424DB47">
                  <w:pPr>
                    <w:wordWrap/>
                    <w:topLinePunct w:val="0"/>
                    <w:bidi w:val="0"/>
                    <w:adjustRightInd/>
                    <w:snapToGrid/>
                    <w:spacing w:line="240" w:lineRule="exact"/>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eastAsia="zh-CN"/>
                    </w:rPr>
                    <w:t>调节池+pH调节+混凝气浮+两级水解酸化+生物接触氧化+二沉池+清水池</w:t>
                  </w:r>
                </w:p>
              </w:tc>
              <w:tc>
                <w:tcPr>
                  <w:tcW w:w="641" w:type="pct"/>
                  <w:noWrap w:val="0"/>
                  <w:vAlign w:val="center"/>
                </w:tcPr>
                <w:p w14:paraId="13D485F4">
                  <w:pPr>
                    <w:wordWrap/>
                    <w:topLinePunct w:val="0"/>
                    <w:bidi w:val="0"/>
                    <w:adjustRightInd/>
                    <w:snapToGrid/>
                    <w:spacing w:line="240" w:lineRule="exact"/>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DW00</w:t>
                  </w:r>
                  <w:r>
                    <w:rPr>
                      <w:rFonts w:hint="default" w:ascii="Times New Roman" w:hAnsi="Times New Roman" w:eastAsia="宋体" w:cs="Times New Roman"/>
                      <w:color w:val="auto"/>
                      <w:sz w:val="21"/>
                      <w:szCs w:val="21"/>
                      <w:u w:val="none" w:color="auto"/>
                      <w:lang w:val="en-US" w:eastAsia="zh-CN"/>
                    </w:rPr>
                    <w:t>2</w:t>
                  </w:r>
                </w:p>
              </w:tc>
              <w:tc>
                <w:tcPr>
                  <w:tcW w:w="429" w:type="pct"/>
                  <w:noWrap w:val="0"/>
                  <w:vAlign w:val="center"/>
                </w:tcPr>
                <w:p w14:paraId="697CDA51">
                  <w:pPr>
                    <w:wordWrap/>
                    <w:topLinePunct w:val="0"/>
                    <w:bidi w:val="0"/>
                    <w:adjustRightInd/>
                    <w:snapToGrid/>
                    <w:spacing w:line="240" w:lineRule="exact"/>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rPr>
                    <w:t>是</w:t>
                  </w:r>
                </w:p>
                <w:p w14:paraId="2061F32C">
                  <w:pPr>
                    <w:wordWrap/>
                    <w:topLinePunct w:val="0"/>
                    <w:bidi w:val="0"/>
                    <w:adjustRightInd/>
                    <w:snapToGrid/>
                    <w:spacing w:line="240" w:lineRule="exact"/>
                    <w:jc w:val="center"/>
                    <w:rPr>
                      <w:rFonts w:hint="default" w:ascii="Times New Roman" w:hAnsi="Times New Roman" w:eastAsia="宋体" w:cs="Times New Roman"/>
                      <w:color w:val="auto"/>
                      <w:sz w:val="21"/>
                      <w:szCs w:val="21"/>
                      <w:u w:val="none" w:color="auto"/>
                      <w:lang w:eastAsia="zh-CN"/>
                    </w:rPr>
                  </w:pP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rPr>
                    <w:t>否</w:t>
                  </w:r>
                </w:p>
              </w:tc>
              <w:tc>
                <w:tcPr>
                  <w:tcW w:w="593" w:type="pct"/>
                  <w:noWrap w:val="0"/>
                  <w:vAlign w:val="center"/>
                </w:tcPr>
                <w:p w14:paraId="3144EA55">
                  <w:pPr>
                    <w:wordWrap/>
                    <w:topLinePunct w:val="0"/>
                    <w:bidi w:val="0"/>
                    <w:adjustRightInd/>
                    <w:snapToGrid/>
                    <w:spacing w:line="240" w:lineRule="exact"/>
                    <w:jc w:val="left"/>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rPr>
                    <w:t>企业总排</w:t>
                  </w:r>
                </w:p>
                <w:p w14:paraId="6D5921CD">
                  <w:pPr>
                    <w:wordWrap/>
                    <w:topLinePunct w:val="0"/>
                    <w:bidi w:val="0"/>
                    <w:adjustRightInd/>
                    <w:snapToGrid/>
                    <w:spacing w:line="240" w:lineRule="exact"/>
                    <w:jc w:val="left"/>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rPr>
                    <w:t>雨水排放</w:t>
                  </w:r>
                </w:p>
                <w:p w14:paraId="06204E3C">
                  <w:pPr>
                    <w:wordWrap/>
                    <w:topLinePunct w:val="0"/>
                    <w:bidi w:val="0"/>
                    <w:adjustRightInd/>
                    <w:snapToGrid/>
                    <w:spacing w:line="240" w:lineRule="exact"/>
                    <w:jc w:val="left"/>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rPr>
                    <w:t>清净下水排放</w:t>
                  </w:r>
                </w:p>
                <w:p w14:paraId="66B0E143">
                  <w:pPr>
                    <w:wordWrap/>
                    <w:topLinePunct w:val="0"/>
                    <w:bidi w:val="0"/>
                    <w:adjustRightInd/>
                    <w:snapToGrid/>
                    <w:spacing w:line="240" w:lineRule="exact"/>
                    <w:jc w:val="left"/>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rPr>
                    <w:t>温排水排放</w:t>
                  </w:r>
                </w:p>
                <w:p w14:paraId="3560A3ED">
                  <w:pPr>
                    <w:wordWrap/>
                    <w:topLinePunct w:val="0"/>
                    <w:bidi w:val="0"/>
                    <w:adjustRightInd/>
                    <w:snapToGrid/>
                    <w:spacing w:line="240" w:lineRule="exact"/>
                    <w:jc w:val="left"/>
                    <w:rPr>
                      <w:rFonts w:hint="default" w:ascii="Times New Roman" w:hAnsi="Times New Roman" w:eastAsia="宋体" w:cs="Times New Roman"/>
                      <w:color w:val="auto"/>
                      <w:sz w:val="21"/>
                      <w:szCs w:val="21"/>
                      <w:u w:val="none" w:color="auto"/>
                      <w:lang w:eastAsia="zh-CN"/>
                    </w:rPr>
                  </w:pP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rPr>
                    <w:t>车间或车间处理设施排放口</w:t>
                  </w:r>
                </w:p>
              </w:tc>
            </w:tr>
          </w:tbl>
          <w:p w14:paraId="16E597E1">
            <w:pPr>
              <w:jc w:val="center"/>
              <w:rPr>
                <w:rFonts w:hint="default" w:ascii="Times New Roman" w:hAnsi="Times New Roman" w:eastAsia="宋体" w:cs="Times New Roman"/>
                <w:b/>
                <w:bCs/>
                <w:color w:val="auto"/>
                <w:spacing w:val="0"/>
                <w:szCs w:val="21"/>
                <w:u w:val="none" w:color="auto"/>
              </w:rPr>
            </w:pPr>
            <w:r>
              <w:rPr>
                <w:rFonts w:hint="default" w:ascii="Times New Roman" w:hAnsi="Times New Roman" w:eastAsia="宋体" w:cs="Times New Roman"/>
                <w:b/>
                <w:bCs/>
                <w:color w:val="auto"/>
                <w:spacing w:val="0"/>
                <w:szCs w:val="21"/>
                <w:u w:val="none" w:color="auto"/>
              </w:rPr>
              <w:t>表4-</w:t>
            </w:r>
            <w:r>
              <w:rPr>
                <w:rFonts w:hint="default" w:ascii="Times New Roman" w:hAnsi="Times New Roman" w:eastAsia="宋体" w:cs="Times New Roman"/>
                <w:b/>
                <w:bCs/>
                <w:color w:val="auto"/>
                <w:spacing w:val="0"/>
                <w:szCs w:val="21"/>
                <w:u w:val="none" w:color="auto"/>
                <w:lang w:val="en-US" w:eastAsia="zh-CN"/>
              </w:rPr>
              <w:t>28</w:t>
            </w:r>
            <w:r>
              <w:rPr>
                <w:rFonts w:hint="default" w:ascii="Times New Roman" w:hAnsi="Times New Roman" w:eastAsia="宋体" w:cs="Times New Roman"/>
                <w:b/>
                <w:bCs/>
                <w:color w:val="auto"/>
                <w:spacing w:val="0"/>
                <w:szCs w:val="21"/>
                <w:u w:val="none" w:color="auto"/>
              </w:rPr>
              <w:t xml:space="preserve">   废水间接排放口基本情况表</w:t>
            </w:r>
          </w:p>
          <w:tbl>
            <w:tblPr>
              <w:tblStyle w:val="31"/>
              <w:tblW w:w="4997"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427"/>
              <w:gridCol w:w="902"/>
              <w:gridCol w:w="1311"/>
              <w:gridCol w:w="1319"/>
              <w:gridCol w:w="922"/>
              <w:gridCol w:w="427"/>
              <w:gridCol w:w="645"/>
              <w:gridCol w:w="427"/>
              <w:gridCol w:w="427"/>
              <w:gridCol w:w="741"/>
              <w:gridCol w:w="965"/>
            </w:tblGrid>
            <w:tr w14:paraId="1ECF581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73" w:hRule="atLeast"/>
              </w:trPr>
              <w:tc>
                <w:tcPr>
                  <w:tcW w:w="262" w:type="pct"/>
                  <w:vMerge w:val="restart"/>
                  <w:tcBorders>
                    <w:tl2br w:val="nil"/>
                    <w:tr2bl w:val="nil"/>
                  </w:tcBorders>
                  <w:noWrap w:val="0"/>
                  <w:vAlign w:val="center"/>
                </w:tcPr>
                <w:p w14:paraId="6822BF23">
                  <w:pPr>
                    <w:topLinePunct w:val="0"/>
                    <w:bidi w:val="0"/>
                    <w:adjustRightInd/>
                    <w:snapToGrid/>
                    <w:spacing w:line="240" w:lineRule="exact"/>
                    <w:jc w:val="center"/>
                    <w:rPr>
                      <w:rFonts w:hint="default" w:ascii="Times New Roman" w:hAnsi="Times New Roman" w:eastAsia="宋体" w:cs="Times New Roman"/>
                      <w:b/>
                      <w:bCs/>
                      <w:color w:val="auto"/>
                      <w:szCs w:val="21"/>
                      <w:highlight w:val="none"/>
                      <w:u w:val="none" w:color="auto"/>
                    </w:rPr>
                  </w:pPr>
                  <w:r>
                    <w:rPr>
                      <w:rFonts w:hint="default" w:ascii="Times New Roman" w:hAnsi="Times New Roman" w:eastAsia="宋体" w:cs="Times New Roman"/>
                      <w:b/>
                      <w:bCs/>
                      <w:color w:val="auto"/>
                      <w:szCs w:val="21"/>
                      <w:highlight w:val="none"/>
                      <w:u w:val="none" w:color="auto"/>
                    </w:rPr>
                    <w:t>序</w:t>
                  </w:r>
                </w:p>
                <w:p w14:paraId="03C4D310">
                  <w:pPr>
                    <w:topLinePunct w:val="0"/>
                    <w:bidi w:val="0"/>
                    <w:adjustRightInd/>
                    <w:snapToGrid/>
                    <w:spacing w:line="240" w:lineRule="exact"/>
                    <w:jc w:val="center"/>
                    <w:rPr>
                      <w:rFonts w:hint="default" w:ascii="Times New Roman" w:hAnsi="Times New Roman" w:eastAsia="宋体" w:cs="Times New Roman"/>
                      <w:b/>
                      <w:bCs/>
                      <w:color w:val="auto"/>
                      <w:szCs w:val="21"/>
                      <w:highlight w:val="none"/>
                      <w:u w:val="none" w:color="auto"/>
                    </w:rPr>
                  </w:pPr>
                  <w:r>
                    <w:rPr>
                      <w:rFonts w:hint="default" w:ascii="Times New Roman" w:hAnsi="Times New Roman" w:eastAsia="宋体" w:cs="Times New Roman"/>
                      <w:b/>
                      <w:bCs/>
                      <w:color w:val="auto"/>
                      <w:szCs w:val="21"/>
                      <w:highlight w:val="none"/>
                      <w:u w:val="none" w:color="auto"/>
                    </w:rPr>
                    <w:t>号</w:t>
                  </w:r>
                </w:p>
              </w:tc>
              <w:tc>
                <w:tcPr>
                  <w:tcW w:w="543" w:type="pct"/>
                  <w:vMerge w:val="restart"/>
                  <w:tcBorders>
                    <w:tl2br w:val="nil"/>
                    <w:tr2bl w:val="nil"/>
                  </w:tcBorders>
                  <w:noWrap w:val="0"/>
                  <w:vAlign w:val="center"/>
                </w:tcPr>
                <w:p w14:paraId="311F0CE7">
                  <w:pPr>
                    <w:topLinePunct w:val="0"/>
                    <w:bidi w:val="0"/>
                    <w:adjustRightInd/>
                    <w:snapToGrid/>
                    <w:spacing w:line="240" w:lineRule="exact"/>
                    <w:jc w:val="center"/>
                    <w:rPr>
                      <w:rFonts w:hint="default" w:ascii="Times New Roman" w:hAnsi="Times New Roman" w:eastAsia="宋体" w:cs="Times New Roman"/>
                      <w:b/>
                      <w:bCs/>
                      <w:color w:val="auto"/>
                      <w:szCs w:val="21"/>
                      <w:highlight w:val="none"/>
                      <w:u w:val="none" w:color="auto"/>
                    </w:rPr>
                  </w:pPr>
                  <w:r>
                    <w:rPr>
                      <w:rFonts w:hint="default" w:ascii="Times New Roman" w:hAnsi="Times New Roman" w:eastAsia="宋体" w:cs="Times New Roman"/>
                      <w:b/>
                      <w:bCs/>
                      <w:color w:val="auto"/>
                      <w:szCs w:val="21"/>
                      <w:highlight w:val="none"/>
                      <w:u w:val="none" w:color="auto"/>
                    </w:rPr>
                    <w:t>排放口编号</w:t>
                  </w:r>
                </w:p>
              </w:tc>
              <w:tc>
                <w:tcPr>
                  <w:tcW w:w="1430" w:type="pct"/>
                  <w:gridSpan w:val="2"/>
                  <w:tcBorders>
                    <w:tl2br w:val="nil"/>
                    <w:tr2bl w:val="nil"/>
                  </w:tcBorders>
                  <w:noWrap w:val="0"/>
                  <w:vAlign w:val="center"/>
                </w:tcPr>
                <w:p w14:paraId="46E8060D">
                  <w:pPr>
                    <w:topLinePunct w:val="0"/>
                    <w:bidi w:val="0"/>
                    <w:adjustRightInd/>
                    <w:snapToGrid/>
                    <w:spacing w:line="240" w:lineRule="exact"/>
                    <w:jc w:val="center"/>
                    <w:rPr>
                      <w:rFonts w:hint="default" w:ascii="Times New Roman" w:hAnsi="Times New Roman" w:eastAsia="宋体" w:cs="Times New Roman"/>
                      <w:b/>
                      <w:bCs/>
                      <w:color w:val="auto"/>
                      <w:szCs w:val="21"/>
                      <w:highlight w:val="none"/>
                      <w:u w:val="none" w:color="auto"/>
                    </w:rPr>
                  </w:pPr>
                  <w:r>
                    <w:rPr>
                      <w:rFonts w:hint="default" w:ascii="Times New Roman" w:hAnsi="Times New Roman" w:eastAsia="宋体" w:cs="Times New Roman"/>
                      <w:b/>
                      <w:bCs/>
                      <w:color w:val="auto"/>
                      <w:szCs w:val="21"/>
                      <w:highlight w:val="none"/>
                      <w:u w:val="none" w:color="auto"/>
                    </w:rPr>
                    <w:t>排放口地理坐标</w:t>
                  </w:r>
                </w:p>
              </w:tc>
              <w:tc>
                <w:tcPr>
                  <w:tcW w:w="554" w:type="pct"/>
                  <w:vMerge w:val="restart"/>
                  <w:tcBorders>
                    <w:tl2br w:val="nil"/>
                    <w:tr2bl w:val="nil"/>
                  </w:tcBorders>
                  <w:noWrap w:val="0"/>
                  <w:vAlign w:val="center"/>
                </w:tcPr>
                <w:p w14:paraId="785DAB8F">
                  <w:pPr>
                    <w:topLinePunct w:val="0"/>
                    <w:bidi w:val="0"/>
                    <w:adjustRightInd/>
                    <w:snapToGrid/>
                    <w:spacing w:line="240" w:lineRule="exact"/>
                    <w:jc w:val="center"/>
                    <w:rPr>
                      <w:rFonts w:hint="default" w:ascii="Times New Roman" w:hAnsi="Times New Roman" w:eastAsia="宋体" w:cs="Times New Roman"/>
                      <w:b/>
                      <w:bCs/>
                      <w:color w:val="auto"/>
                      <w:szCs w:val="21"/>
                      <w:highlight w:val="none"/>
                      <w:u w:val="none" w:color="auto"/>
                    </w:rPr>
                  </w:pPr>
                  <w:r>
                    <w:rPr>
                      <w:rFonts w:hint="default" w:ascii="Times New Roman" w:hAnsi="Times New Roman" w:eastAsia="宋体" w:cs="Times New Roman"/>
                      <w:b/>
                      <w:bCs/>
                      <w:color w:val="auto"/>
                      <w:szCs w:val="21"/>
                      <w:highlight w:val="none"/>
                      <w:u w:val="none" w:color="auto"/>
                    </w:rPr>
                    <w:t>废水排放量</w:t>
                  </w:r>
                </w:p>
                <w:p w14:paraId="3C82E595">
                  <w:pPr>
                    <w:topLinePunct w:val="0"/>
                    <w:bidi w:val="0"/>
                    <w:adjustRightInd/>
                    <w:snapToGrid/>
                    <w:spacing w:line="240" w:lineRule="exact"/>
                    <w:jc w:val="center"/>
                    <w:rPr>
                      <w:rFonts w:hint="default" w:ascii="Times New Roman" w:hAnsi="Times New Roman" w:eastAsia="宋体" w:cs="Times New Roman"/>
                      <w:b/>
                      <w:bCs/>
                      <w:color w:val="auto"/>
                      <w:szCs w:val="21"/>
                      <w:highlight w:val="none"/>
                      <w:u w:val="none" w:color="auto"/>
                    </w:rPr>
                  </w:pPr>
                  <w:r>
                    <w:rPr>
                      <w:rFonts w:hint="default" w:ascii="Times New Roman" w:hAnsi="Times New Roman" w:eastAsia="宋体" w:cs="Times New Roman"/>
                      <w:b/>
                      <w:bCs/>
                      <w:color w:val="auto"/>
                      <w:szCs w:val="21"/>
                      <w:highlight w:val="none"/>
                      <w:u w:val="none" w:color="auto"/>
                    </w:rPr>
                    <w:t>/（万t/a）</w:t>
                  </w:r>
                </w:p>
              </w:tc>
              <w:tc>
                <w:tcPr>
                  <w:tcW w:w="262" w:type="pct"/>
                  <w:vMerge w:val="restart"/>
                  <w:tcBorders>
                    <w:tl2br w:val="nil"/>
                    <w:tr2bl w:val="nil"/>
                  </w:tcBorders>
                  <w:noWrap w:val="0"/>
                  <w:vAlign w:val="center"/>
                </w:tcPr>
                <w:p w14:paraId="4E94561C">
                  <w:pPr>
                    <w:topLinePunct w:val="0"/>
                    <w:bidi w:val="0"/>
                    <w:adjustRightInd/>
                    <w:snapToGrid/>
                    <w:spacing w:line="240" w:lineRule="exact"/>
                    <w:jc w:val="center"/>
                    <w:rPr>
                      <w:rFonts w:hint="default" w:ascii="Times New Roman" w:hAnsi="Times New Roman" w:eastAsia="宋体" w:cs="Times New Roman"/>
                      <w:b/>
                      <w:bCs/>
                      <w:color w:val="auto"/>
                      <w:szCs w:val="21"/>
                      <w:highlight w:val="none"/>
                      <w:u w:val="none" w:color="auto"/>
                    </w:rPr>
                  </w:pPr>
                  <w:r>
                    <w:rPr>
                      <w:rFonts w:hint="default" w:ascii="Times New Roman" w:hAnsi="Times New Roman" w:eastAsia="宋体" w:cs="Times New Roman"/>
                      <w:b/>
                      <w:bCs/>
                      <w:color w:val="auto"/>
                      <w:szCs w:val="21"/>
                      <w:highlight w:val="none"/>
                      <w:u w:val="none" w:color="auto"/>
                    </w:rPr>
                    <w:t>排放去向</w:t>
                  </w:r>
                </w:p>
              </w:tc>
              <w:tc>
                <w:tcPr>
                  <w:tcW w:w="392" w:type="pct"/>
                  <w:vMerge w:val="restart"/>
                  <w:tcBorders>
                    <w:tl2br w:val="nil"/>
                    <w:tr2bl w:val="nil"/>
                  </w:tcBorders>
                  <w:noWrap w:val="0"/>
                  <w:vAlign w:val="center"/>
                </w:tcPr>
                <w:p w14:paraId="25DE3456">
                  <w:pPr>
                    <w:topLinePunct w:val="0"/>
                    <w:bidi w:val="0"/>
                    <w:adjustRightInd/>
                    <w:snapToGrid/>
                    <w:spacing w:line="240" w:lineRule="exact"/>
                    <w:jc w:val="center"/>
                    <w:rPr>
                      <w:rFonts w:hint="default" w:ascii="Times New Roman" w:hAnsi="Times New Roman" w:eastAsia="宋体" w:cs="Times New Roman"/>
                      <w:b/>
                      <w:bCs/>
                      <w:color w:val="auto"/>
                      <w:szCs w:val="21"/>
                      <w:highlight w:val="none"/>
                      <w:u w:val="none" w:color="auto"/>
                    </w:rPr>
                  </w:pPr>
                  <w:r>
                    <w:rPr>
                      <w:rFonts w:hint="default" w:ascii="Times New Roman" w:hAnsi="Times New Roman" w:eastAsia="宋体" w:cs="Times New Roman"/>
                      <w:b/>
                      <w:bCs/>
                      <w:color w:val="auto"/>
                      <w:szCs w:val="21"/>
                      <w:highlight w:val="none"/>
                      <w:u w:val="none" w:color="auto"/>
                    </w:rPr>
                    <w:t>排放</w:t>
                  </w:r>
                </w:p>
                <w:p w14:paraId="3C55EB29">
                  <w:pPr>
                    <w:topLinePunct w:val="0"/>
                    <w:bidi w:val="0"/>
                    <w:adjustRightInd/>
                    <w:snapToGrid/>
                    <w:spacing w:line="240" w:lineRule="exact"/>
                    <w:jc w:val="center"/>
                    <w:rPr>
                      <w:rFonts w:hint="default" w:ascii="Times New Roman" w:hAnsi="Times New Roman" w:eastAsia="宋体" w:cs="Times New Roman"/>
                      <w:b/>
                      <w:bCs/>
                      <w:color w:val="auto"/>
                      <w:szCs w:val="21"/>
                      <w:highlight w:val="none"/>
                      <w:u w:val="none" w:color="auto"/>
                    </w:rPr>
                  </w:pPr>
                  <w:r>
                    <w:rPr>
                      <w:rFonts w:hint="default" w:ascii="Times New Roman" w:hAnsi="Times New Roman" w:eastAsia="宋体" w:cs="Times New Roman"/>
                      <w:b/>
                      <w:bCs/>
                      <w:color w:val="auto"/>
                      <w:szCs w:val="21"/>
                      <w:highlight w:val="none"/>
                      <w:u w:val="none" w:color="auto"/>
                    </w:rPr>
                    <w:t>规律</w:t>
                  </w:r>
                </w:p>
              </w:tc>
              <w:tc>
                <w:tcPr>
                  <w:tcW w:w="262" w:type="pct"/>
                  <w:vMerge w:val="restart"/>
                  <w:tcBorders>
                    <w:tl2br w:val="nil"/>
                    <w:tr2bl w:val="nil"/>
                  </w:tcBorders>
                  <w:noWrap w:val="0"/>
                  <w:vAlign w:val="center"/>
                </w:tcPr>
                <w:p w14:paraId="01F1CC2D">
                  <w:pPr>
                    <w:topLinePunct w:val="0"/>
                    <w:bidi w:val="0"/>
                    <w:adjustRightInd/>
                    <w:snapToGrid/>
                    <w:spacing w:line="240" w:lineRule="exact"/>
                    <w:jc w:val="center"/>
                    <w:rPr>
                      <w:rFonts w:hint="default" w:ascii="Times New Roman" w:hAnsi="Times New Roman" w:eastAsia="宋体" w:cs="Times New Roman"/>
                      <w:b/>
                      <w:bCs/>
                      <w:color w:val="auto"/>
                      <w:szCs w:val="21"/>
                      <w:highlight w:val="none"/>
                      <w:u w:val="none" w:color="auto"/>
                    </w:rPr>
                  </w:pPr>
                  <w:r>
                    <w:rPr>
                      <w:rFonts w:hint="default" w:ascii="Times New Roman" w:hAnsi="Times New Roman" w:eastAsia="宋体" w:cs="Times New Roman"/>
                      <w:b/>
                      <w:bCs/>
                      <w:color w:val="auto"/>
                      <w:szCs w:val="21"/>
                      <w:highlight w:val="none"/>
                      <w:u w:val="none" w:color="auto"/>
                    </w:rPr>
                    <w:t>间歇排放时段</w:t>
                  </w:r>
                </w:p>
              </w:tc>
              <w:tc>
                <w:tcPr>
                  <w:tcW w:w="1290" w:type="pct"/>
                  <w:gridSpan w:val="3"/>
                  <w:tcBorders>
                    <w:tl2br w:val="nil"/>
                    <w:tr2bl w:val="nil"/>
                  </w:tcBorders>
                  <w:noWrap w:val="0"/>
                  <w:vAlign w:val="center"/>
                </w:tcPr>
                <w:p w14:paraId="0A6306C7">
                  <w:pPr>
                    <w:topLinePunct w:val="0"/>
                    <w:bidi w:val="0"/>
                    <w:adjustRightInd/>
                    <w:snapToGrid/>
                    <w:spacing w:line="240" w:lineRule="exact"/>
                    <w:jc w:val="center"/>
                    <w:rPr>
                      <w:rFonts w:hint="default" w:ascii="Times New Roman" w:hAnsi="Times New Roman" w:eastAsia="宋体" w:cs="Times New Roman"/>
                      <w:b/>
                      <w:bCs/>
                      <w:color w:val="auto"/>
                      <w:szCs w:val="21"/>
                      <w:highlight w:val="none"/>
                      <w:u w:val="none" w:color="auto"/>
                    </w:rPr>
                  </w:pPr>
                  <w:r>
                    <w:rPr>
                      <w:rFonts w:hint="default" w:ascii="Times New Roman" w:hAnsi="Times New Roman" w:eastAsia="宋体" w:cs="Times New Roman"/>
                      <w:b/>
                      <w:bCs/>
                      <w:color w:val="auto"/>
                      <w:szCs w:val="21"/>
                      <w:highlight w:val="none"/>
                      <w:u w:val="none" w:color="auto"/>
                    </w:rPr>
                    <w:t>受纳污水处理厂信息</w:t>
                  </w:r>
                </w:p>
              </w:tc>
            </w:tr>
            <w:tr w14:paraId="6E328EA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8" w:hRule="atLeast"/>
              </w:trPr>
              <w:tc>
                <w:tcPr>
                  <w:tcW w:w="262" w:type="pct"/>
                  <w:vMerge w:val="continue"/>
                  <w:tcBorders>
                    <w:tl2br w:val="nil"/>
                    <w:tr2bl w:val="nil"/>
                  </w:tcBorders>
                  <w:noWrap w:val="0"/>
                  <w:vAlign w:val="center"/>
                </w:tcPr>
                <w:p w14:paraId="0BBF30F4">
                  <w:pPr>
                    <w:topLinePunct w:val="0"/>
                    <w:bidi w:val="0"/>
                    <w:adjustRightInd/>
                    <w:snapToGrid/>
                    <w:jc w:val="center"/>
                    <w:rPr>
                      <w:rFonts w:hint="default" w:ascii="Times New Roman" w:hAnsi="Times New Roman" w:eastAsia="宋体" w:cs="Times New Roman"/>
                      <w:b/>
                      <w:bCs/>
                      <w:color w:val="auto"/>
                      <w:szCs w:val="21"/>
                      <w:highlight w:val="none"/>
                      <w:u w:val="none" w:color="auto"/>
                    </w:rPr>
                  </w:pPr>
                </w:p>
              </w:tc>
              <w:tc>
                <w:tcPr>
                  <w:tcW w:w="543" w:type="pct"/>
                  <w:vMerge w:val="continue"/>
                  <w:tcBorders>
                    <w:tl2br w:val="nil"/>
                    <w:tr2bl w:val="nil"/>
                  </w:tcBorders>
                  <w:noWrap w:val="0"/>
                  <w:vAlign w:val="center"/>
                </w:tcPr>
                <w:p w14:paraId="55BDA7FD">
                  <w:pPr>
                    <w:topLinePunct w:val="0"/>
                    <w:bidi w:val="0"/>
                    <w:adjustRightInd/>
                    <w:snapToGrid/>
                    <w:jc w:val="center"/>
                    <w:rPr>
                      <w:rFonts w:hint="default" w:ascii="Times New Roman" w:hAnsi="Times New Roman" w:eastAsia="宋体" w:cs="Times New Roman"/>
                      <w:b/>
                      <w:bCs/>
                      <w:color w:val="auto"/>
                      <w:szCs w:val="21"/>
                      <w:highlight w:val="none"/>
                      <w:u w:val="none" w:color="auto"/>
                    </w:rPr>
                  </w:pPr>
                </w:p>
              </w:tc>
              <w:tc>
                <w:tcPr>
                  <w:tcW w:w="744" w:type="pct"/>
                  <w:tcBorders>
                    <w:tl2br w:val="nil"/>
                    <w:tr2bl w:val="nil"/>
                  </w:tcBorders>
                  <w:noWrap w:val="0"/>
                  <w:vAlign w:val="center"/>
                </w:tcPr>
                <w:p w14:paraId="5C22D07F">
                  <w:pPr>
                    <w:topLinePunct w:val="0"/>
                    <w:bidi w:val="0"/>
                    <w:adjustRightInd/>
                    <w:snapToGrid/>
                    <w:jc w:val="center"/>
                    <w:rPr>
                      <w:rFonts w:hint="default" w:ascii="Times New Roman" w:hAnsi="Times New Roman" w:eastAsia="宋体" w:cs="Times New Roman"/>
                      <w:b/>
                      <w:bCs/>
                      <w:color w:val="auto"/>
                      <w:szCs w:val="21"/>
                      <w:highlight w:val="none"/>
                      <w:u w:val="none" w:color="auto"/>
                    </w:rPr>
                  </w:pPr>
                  <w:r>
                    <w:rPr>
                      <w:rFonts w:hint="default" w:ascii="Times New Roman" w:hAnsi="Times New Roman" w:eastAsia="宋体" w:cs="Times New Roman"/>
                      <w:b/>
                      <w:bCs/>
                      <w:color w:val="auto"/>
                      <w:szCs w:val="21"/>
                      <w:highlight w:val="none"/>
                      <w:u w:val="none" w:color="auto"/>
                    </w:rPr>
                    <w:t>经度</w:t>
                  </w:r>
                </w:p>
              </w:tc>
              <w:tc>
                <w:tcPr>
                  <w:tcW w:w="685" w:type="pct"/>
                  <w:tcBorders>
                    <w:tl2br w:val="nil"/>
                    <w:tr2bl w:val="nil"/>
                  </w:tcBorders>
                  <w:noWrap w:val="0"/>
                  <w:vAlign w:val="center"/>
                </w:tcPr>
                <w:p w14:paraId="7BAEFC5B">
                  <w:pPr>
                    <w:topLinePunct w:val="0"/>
                    <w:bidi w:val="0"/>
                    <w:adjustRightInd/>
                    <w:snapToGrid/>
                    <w:jc w:val="center"/>
                    <w:rPr>
                      <w:rFonts w:hint="default" w:ascii="Times New Roman" w:hAnsi="Times New Roman" w:eastAsia="宋体" w:cs="Times New Roman"/>
                      <w:b/>
                      <w:bCs/>
                      <w:color w:val="auto"/>
                      <w:szCs w:val="21"/>
                      <w:highlight w:val="none"/>
                      <w:u w:val="none" w:color="auto"/>
                    </w:rPr>
                  </w:pPr>
                  <w:r>
                    <w:rPr>
                      <w:rFonts w:hint="default" w:ascii="Times New Roman" w:hAnsi="Times New Roman" w:eastAsia="宋体" w:cs="Times New Roman"/>
                      <w:b/>
                      <w:bCs/>
                      <w:color w:val="auto"/>
                      <w:szCs w:val="21"/>
                      <w:highlight w:val="none"/>
                      <w:u w:val="none" w:color="auto"/>
                    </w:rPr>
                    <w:t>纬度</w:t>
                  </w:r>
                </w:p>
              </w:tc>
              <w:tc>
                <w:tcPr>
                  <w:tcW w:w="554" w:type="pct"/>
                  <w:vMerge w:val="continue"/>
                  <w:tcBorders>
                    <w:tl2br w:val="nil"/>
                    <w:tr2bl w:val="nil"/>
                  </w:tcBorders>
                  <w:noWrap w:val="0"/>
                  <w:vAlign w:val="center"/>
                </w:tcPr>
                <w:p w14:paraId="45CA9262">
                  <w:pPr>
                    <w:topLinePunct w:val="0"/>
                    <w:bidi w:val="0"/>
                    <w:adjustRightInd/>
                    <w:snapToGrid/>
                    <w:jc w:val="center"/>
                    <w:rPr>
                      <w:rFonts w:hint="default" w:ascii="Times New Roman" w:hAnsi="Times New Roman" w:eastAsia="宋体" w:cs="Times New Roman"/>
                      <w:b/>
                      <w:bCs/>
                      <w:color w:val="auto"/>
                      <w:szCs w:val="21"/>
                      <w:highlight w:val="none"/>
                      <w:u w:val="none" w:color="auto"/>
                    </w:rPr>
                  </w:pPr>
                </w:p>
              </w:tc>
              <w:tc>
                <w:tcPr>
                  <w:tcW w:w="262" w:type="pct"/>
                  <w:vMerge w:val="continue"/>
                  <w:tcBorders>
                    <w:tl2br w:val="nil"/>
                    <w:tr2bl w:val="nil"/>
                  </w:tcBorders>
                  <w:noWrap w:val="0"/>
                  <w:vAlign w:val="center"/>
                </w:tcPr>
                <w:p w14:paraId="36030219">
                  <w:pPr>
                    <w:topLinePunct w:val="0"/>
                    <w:bidi w:val="0"/>
                    <w:adjustRightInd/>
                    <w:snapToGrid/>
                    <w:jc w:val="center"/>
                    <w:rPr>
                      <w:rFonts w:hint="default" w:ascii="Times New Roman" w:hAnsi="Times New Roman" w:eastAsia="宋体" w:cs="Times New Roman"/>
                      <w:b/>
                      <w:bCs/>
                      <w:color w:val="auto"/>
                      <w:szCs w:val="21"/>
                      <w:highlight w:val="none"/>
                      <w:u w:val="none" w:color="auto"/>
                    </w:rPr>
                  </w:pPr>
                </w:p>
              </w:tc>
              <w:tc>
                <w:tcPr>
                  <w:tcW w:w="392" w:type="pct"/>
                  <w:vMerge w:val="continue"/>
                  <w:tcBorders>
                    <w:tl2br w:val="nil"/>
                    <w:tr2bl w:val="nil"/>
                  </w:tcBorders>
                  <w:noWrap w:val="0"/>
                  <w:vAlign w:val="center"/>
                </w:tcPr>
                <w:p w14:paraId="66246718">
                  <w:pPr>
                    <w:topLinePunct w:val="0"/>
                    <w:bidi w:val="0"/>
                    <w:adjustRightInd/>
                    <w:snapToGrid/>
                    <w:jc w:val="center"/>
                    <w:rPr>
                      <w:rFonts w:hint="default" w:ascii="Times New Roman" w:hAnsi="Times New Roman" w:eastAsia="宋体" w:cs="Times New Roman"/>
                      <w:b/>
                      <w:bCs/>
                      <w:color w:val="auto"/>
                      <w:szCs w:val="21"/>
                      <w:highlight w:val="none"/>
                      <w:u w:val="none" w:color="auto"/>
                    </w:rPr>
                  </w:pPr>
                </w:p>
              </w:tc>
              <w:tc>
                <w:tcPr>
                  <w:tcW w:w="262" w:type="pct"/>
                  <w:vMerge w:val="continue"/>
                  <w:tcBorders>
                    <w:tl2br w:val="nil"/>
                    <w:tr2bl w:val="nil"/>
                  </w:tcBorders>
                  <w:noWrap w:val="0"/>
                  <w:vAlign w:val="center"/>
                </w:tcPr>
                <w:p w14:paraId="4797655C">
                  <w:pPr>
                    <w:topLinePunct w:val="0"/>
                    <w:bidi w:val="0"/>
                    <w:adjustRightInd/>
                    <w:snapToGrid/>
                    <w:jc w:val="center"/>
                    <w:rPr>
                      <w:rFonts w:hint="default" w:ascii="Times New Roman" w:hAnsi="Times New Roman" w:eastAsia="宋体" w:cs="Times New Roman"/>
                      <w:b/>
                      <w:bCs/>
                      <w:color w:val="auto"/>
                      <w:szCs w:val="21"/>
                      <w:highlight w:val="none"/>
                      <w:u w:val="none" w:color="auto"/>
                    </w:rPr>
                  </w:pPr>
                </w:p>
              </w:tc>
              <w:tc>
                <w:tcPr>
                  <w:tcW w:w="262" w:type="pct"/>
                  <w:tcBorders>
                    <w:tl2br w:val="nil"/>
                    <w:tr2bl w:val="nil"/>
                  </w:tcBorders>
                  <w:noWrap w:val="0"/>
                  <w:vAlign w:val="center"/>
                </w:tcPr>
                <w:p w14:paraId="2AA1FD16">
                  <w:pPr>
                    <w:topLinePunct w:val="0"/>
                    <w:bidi w:val="0"/>
                    <w:adjustRightInd/>
                    <w:snapToGrid/>
                    <w:jc w:val="center"/>
                    <w:rPr>
                      <w:rFonts w:hint="default" w:ascii="Times New Roman" w:hAnsi="Times New Roman" w:eastAsia="宋体" w:cs="Times New Roman"/>
                      <w:b/>
                      <w:bCs/>
                      <w:color w:val="auto"/>
                      <w:szCs w:val="21"/>
                      <w:highlight w:val="none"/>
                      <w:u w:val="none" w:color="auto"/>
                    </w:rPr>
                  </w:pPr>
                  <w:r>
                    <w:rPr>
                      <w:rFonts w:hint="default" w:ascii="Times New Roman" w:hAnsi="Times New Roman" w:eastAsia="宋体" w:cs="Times New Roman"/>
                      <w:b/>
                      <w:bCs/>
                      <w:color w:val="auto"/>
                      <w:szCs w:val="21"/>
                      <w:highlight w:val="none"/>
                      <w:u w:val="none" w:color="auto"/>
                    </w:rPr>
                    <w:t>名称</w:t>
                  </w:r>
                </w:p>
              </w:tc>
              <w:tc>
                <w:tcPr>
                  <w:tcW w:w="449" w:type="pct"/>
                  <w:tcBorders>
                    <w:tl2br w:val="nil"/>
                    <w:tr2bl w:val="nil"/>
                  </w:tcBorders>
                  <w:noWrap w:val="0"/>
                  <w:vAlign w:val="center"/>
                </w:tcPr>
                <w:p w14:paraId="1B518835">
                  <w:pPr>
                    <w:topLinePunct w:val="0"/>
                    <w:bidi w:val="0"/>
                    <w:adjustRightInd/>
                    <w:snapToGrid/>
                    <w:jc w:val="center"/>
                    <w:rPr>
                      <w:rFonts w:hint="default" w:ascii="Times New Roman" w:hAnsi="Times New Roman" w:eastAsia="宋体" w:cs="Times New Roman"/>
                      <w:b/>
                      <w:bCs/>
                      <w:color w:val="auto"/>
                      <w:szCs w:val="21"/>
                      <w:highlight w:val="none"/>
                      <w:u w:val="none" w:color="auto"/>
                    </w:rPr>
                  </w:pPr>
                  <w:r>
                    <w:rPr>
                      <w:rFonts w:hint="default" w:ascii="Times New Roman" w:hAnsi="Times New Roman" w:eastAsia="宋体" w:cs="Times New Roman"/>
                      <w:b/>
                      <w:bCs/>
                      <w:color w:val="auto"/>
                      <w:szCs w:val="21"/>
                      <w:highlight w:val="none"/>
                      <w:u w:val="none" w:color="auto"/>
                    </w:rPr>
                    <w:t>污染物</w:t>
                  </w:r>
                </w:p>
                <w:p w14:paraId="1C8EFFC7">
                  <w:pPr>
                    <w:topLinePunct w:val="0"/>
                    <w:bidi w:val="0"/>
                    <w:adjustRightInd/>
                    <w:snapToGrid/>
                    <w:jc w:val="center"/>
                    <w:rPr>
                      <w:rFonts w:hint="default" w:ascii="Times New Roman" w:hAnsi="Times New Roman" w:eastAsia="宋体" w:cs="Times New Roman"/>
                      <w:b/>
                      <w:bCs/>
                      <w:color w:val="auto"/>
                      <w:szCs w:val="21"/>
                      <w:highlight w:val="none"/>
                      <w:u w:val="none" w:color="auto"/>
                    </w:rPr>
                  </w:pPr>
                  <w:r>
                    <w:rPr>
                      <w:rFonts w:hint="default" w:ascii="Times New Roman" w:hAnsi="Times New Roman" w:eastAsia="宋体" w:cs="Times New Roman"/>
                      <w:b/>
                      <w:bCs/>
                      <w:color w:val="auto"/>
                      <w:szCs w:val="21"/>
                      <w:highlight w:val="none"/>
                      <w:u w:val="none" w:color="auto"/>
                    </w:rPr>
                    <w:t>种类</w:t>
                  </w:r>
                </w:p>
              </w:tc>
              <w:tc>
                <w:tcPr>
                  <w:tcW w:w="577" w:type="pct"/>
                  <w:tcBorders>
                    <w:tl2br w:val="nil"/>
                    <w:tr2bl w:val="nil"/>
                  </w:tcBorders>
                  <w:noWrap w:val="0"/>
                  <w:vAlign w:val="center"/>
                </w:tcPr>
                <w:p w14:paraId="2E2F889F">
                  <w:pPr>
                    <w:topLinePunct w:val="0"/>
                    <w:bidi w:val="0"/>
                    <w:adjustRightInd/>
                    <w:snapToGrid/>
                    <w:jc w:val="center"/>
                    <w:rPr>
                      <w:rFonts w:hint="default" w:ascii="Times New Roman" w:hAnsi="Times New Roman" w:eastAsia="宋体" w:cs="Times New Roman"/>
                      <w:b/>
                      <w:bCs/>
                      <w:color w:val="auto"/>
                      <w:szCs w:val="21"/>
                      <w:highlight w:val="none"/>
                      <w:u w:val="none" w:color="auto"/>
                    </w:rPr>
                  </w:pPr>
                  <w:r>
                    <w:rPr>
                      <w:rFonts w:hint="default" w:ascii="Times New Roman" w:hAnsi="Times New Roman" w:eastAsia="宋体" w:cs="Times New Roman"/>
                      <w:b/>
                      <w:bCs/>
                      <w:color w:val="auto"/>
                      <w:szCs w:val="21"/>
                      <w:highlight w:val="none"/>
                      <w:u w:val="none" w:color="auto"/>
                    </w:rPr>
                    <w:t>国家或地方污染物排放标准浓度限值</w:t>
                  </w:r>
                </w:p>
              </w:tc>
            </w:tr>
            <w:tr w14:paraId="40951B7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5" w:hRule="atLeast"/>
              </w:trPr>
              <w:tc>
                <w:tcPr>
                  <w:tcW w:w="262" w:type="pct"/>
                  <w:vMerge w:val="restart"/>
                  <w:tcBorders>
                    <w:tl2br w:val="nil"/>
                    <w:tr2bl w:val="nil"/>
                  </w:tcBorders>
                  <w:noWrap w:val="0"/>
                  <w:vAlign w:val="center"/>
                </w:tcPr>
                <w:p w14:paraId="68F08E04">
                  <w:pPr>
                    <w:topLinePunct w:val="0"/>
                    <w:bidi w:val="0"/>
                    <w:adjustRightInd/>
                    <w:snapToGrid/>
                    <w:jc w:val="center"/>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rPr>
                    <w:t>1</w:t>
                  </w:r>
                </w:p>
              </w:tc>
              <w:tc>
                <w:tcPr>
                  <w:tcW w:w="543" w:type="pct"/>
                  <w:vMerge w:val="restart"/>
                  <w:tcBorders>
                    <w:tl2br w:val="nil"/>
                    <w:tr2bl w:val="nil"/>
                  </w:tcBorders>
                  <w:noWrap w:val="0"/>
                  <w:vAlign w:val="center"/>
                </w:tcPr>
                <w:p w14:paraId="3ED47C61">
                  <w:pPr>
                    <w:topLinePunct w:val="0"/>
                    <w:bidi w:val="0"/>
                    <w:adjustRightInd/>
                    <w:snapToGrid/>
                    <w:jc w:val="center"/>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highlight w:val="none"/>
                      <w:u w:val="none" w:color="auto"/>
                      <w:lang w:val="en-US" w:eastAsia="zh-CN"/>
                    </w:rPr>
                    <w:t>DW00</w:t>
                  </w:r>
                  <w:r>
                    <w:rPr>
                      <w:rFonts w:hint="default" w:ascii="Times New Roman" w:hAnsi="Times New Roman" w:eastAsia="宋体" w:cs="Times New Roman"/>
                      <w:color w:val="auto"/>
                      <w:highlight w:val="none"/>
                      <w:u w:val="none" w:color="auto"/>
                    </w:rPr>
                    <w:t>1</w:t>
                  </w:r>
                </w:p>
              </w:tc>
              <w:tc>
                <w:tcPr>
                  <w:tcW w:w="744" w:type="pct"/>
                  <w:vMerge w:val="restart"/>
                  <w:tcBorders>
                    <w:tl2br w:val="nil"/>
                    <w:tr2bl w:val="nil"/>
                  </w:tcBorders>
                  <w:noWrap w:val="0"/>
                  <w:vAlign w:val="center"/>
                </w:tcPr>
                <w:p w14:paraId="6ECCF05B">
                  <w:pPr>
                    <w:topLinePunct w:val="0"/>
                    <w:bidi w:val="0"/>
                    <w:adjustRightInd/>
                    <w:snapToGrid/>
                    <w:jc w:val="center"/>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highlight w:val="none"/>
                      <w:u w:val="none" w:color="auto"/>
                    </w:rPr>
                    <w:t>113.201526</w:t>
                  </w:r>
                </w:p>
              </w:tc>
              <w:tc>
                <w:tcPr>
                  <w:tcW w:w="685" w:type="pct"/>
                  <w:vMerge w:val="restart"/>
                  <w:tcBorders>
                    <w:tl2br w:val="nil"/>
                    <w:tr2bl w:val="nil"/>
                  </w:tcBorders>
                  <w:noWrap w:val="0"/>
                  <w:vAlign w:val="center"/>
                </w:tcPr>
                <w:p w14:paraId="215720CE">
                  <w:pPr>
                    <w:topLinePunct w:val="0"/>
                    <w:bidi w:val="0"/>
                    <w:adjustRightInd/>
                    <w:snapToGrid/>
                    <w:jc w:val="center"/>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highlight w:val="none"/>
                      <w:u w:val="none" w:color="auto"/>
                    </w:rPr>
                    <w:t>29.483023</w:t>
                  </w:r>
                </w:p>
              </w:tc>
              <w:tc>
                <w:tcPr>
                  <w:tcW w:w="554" w:type="pct"/>
                  <w:vMerge w:val="restart"/>
                  <w:tcBorders>
                    <w:tl2br w:val="nil"/>
                    <w:tr2bl w:val="nil"/>
                  </w:tcBorders>
                  <w:noWrap w:val="0"/>
                  <w:vAlign w:val="center"/>
                </w:tcPr>
                <w:p w14:paraId="15D20FD1">
                  <w:pPr>
                    <w:topLinePunct w:val="0"/>
                    <w:bidi w:val="0"/>
                    <w:adjustRightInd/>
                    <w:snapToGrid/>
                    <w:jc w:val="center"/>
                    <w:rPr>
                      <w:rFonts w:hint="default" w:ascii="Times New Roman" w:hAnsi="Times New Roman" w:eastAsia="宋体" w:cs="Times New Roman"/>
                      <w:color w:val="auto"/>
                      <w:szCs w:val="21"/>
                      <w:highlight w:val="none"/>
                      <w:u w:val="none" w:color="auto"/>
                      <w:lang w:val="en-US" w:eastAsia="zh-CN"/>
                    </w:rPr>
                  </w:pPr>
                  <w:r>
                    <w:rPr>
                      <w:rFonts w:hint="default" w:ascii="Times New Roman" w:hAnsi="Times New Roman" w:eastAsia="宋体" w:cs="Times New Roman"/>
                      <w:color w:val="auto"/>
                      <w:szCs w:val="21"/>
                      <w:highlight w:val="none"/>
                      <w:u w:val="none" w:color="auto"/>
                      <w:lang w:val="en-US" w:eastAsia="zh-CN"/>
                    </w:rPr>
                    <w:t>0.26296</w:t>
                  </w:r>
                </w:p>
              </w:tc>
              <w:tc>
                <w:tcPr>
                  <w:tcW w:w="262" w:type="pct"/>
                  <w:vMerge w:val="restart"/>
                  <w:tcBorders>
                    <w:tl2br w:val="nil"/>
                    <w:tr2bl w:val="nil"/>
                  </w:tcBorders>
                  <w:noWrap w:val="0"/>
                  <w:vAlign w:val="center"/>
                </w:tcPr>
                <w:p w14:paraId="5059CBF8">
                  <w:pPr>
                    <w:pStyle w:val="46"/>
                    <w:topLinePunct w:val="0"/>
                    <w:bidi w:val="0"/>
                    <w:adjustRightInd/>
                    <w:snapToGrid/>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rPr>
                    <w:t>工业废水集中处理厂</w:t>
                  </w:r>
                </w:p>
              </w:tc>
              <w:tc>
                <w:tcPr>
                  <w:tcW w:w="392" w:type="pct"/>
                  <w:vMerge w:val="restart"/>
                  <w:tcBorders>
                    <w:tl2br w:val="nil"/>
                    <w:tr2bl w:val="nil"/>
                  </w:tcBorders>
                  <w:noWrap w:val="0"/>
                  <w:vAlign w:val="center"/>
                </w:tcPr>
                <w:p w14:paraId="545B96AF">
                  <w:pPr>
                    <w:pStyle w:val="46"/>
                    <w:topLinePunct w:val="0"/>
                    <w:bidi w:val="0"/>
                    <w:adjustRightInd/>
                    <w:snapToGrid/>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rPr>
                    <w:t>间断排放</w:t>
                  </w:r>
                  <w:r>
                    <w:rPr>
                      <w:rFonts w:hint="default" w:ascii="Times New Roman" w:hAnsi="Times New Roman" w:eastAsia="宋体" w:cs="Times New Roman"/>
                      <w:color w:val="auto"/>
                      <w:szCs w:val="21"/>
                      <w:highlight w:val="none"/>
                      <w:u w:val="none" w:color="auto"/>
                      <w:lang w:eastAsia="zh-CN"/>
                    </w:rPr>
                    <w:t>，</w:t>
                  </w:r>
                  <w:r>
                    <w:rPr>
                      <w:rFonts w:hint="default" w:ascii="Times New Roman" w:hAnsi="Times New Roman" w:eastAsia="宋体" w:cs="Times New Roman"/>
                      <w:color w:val="auto"/>
                      <w:szCs w:val="21"/>
                      <w:highlight w:val="none"/>
                      <w:u w:val="none" w:color="auto"/>
                    </w:rPr>
                    <w:t>排放期间流量不稳定</w:t>
                  </w:r>
                  <w:r>
                    <w:rPr>
                      <w:rFonts w:hint="default" w:ascii="Times New Roman" w:hAnsi="Times New Roman" w:eastAsia="宋体" w:cs="Times New Roman"/>
                      <w:color w:val="auto"/>
                      <w:szCs w:val="21"/>
                      <w:highlight w:val="none"/>
                      <w:u w:val="none" w:color="auto"/>
                      <w:lang w:eastAsia="zh-CN"/>
                    </w:rPr>
                    <w:t>，</w:t>
                  </w:r>
                  <w:r>
                    <w:rPr>
                      <w:rFonts w:hint="default" w:ascii="Times New Roman" w:hAnsi="Times New Roman" w:eastAsia="宋体" w:cs="Times New Roman"/>
                      <w:color w:val="auto"/>
                      <w:szCs w:val="21"/>
                      <w:highlight w:val="none"/>
                      <w:u w:val="none" w:color="auto"/>
                    </w:rPr>
                    <w:t>不属于冲击型排放</w:t>
                  </w:r>
                </w:p>
              </w:tc>
              <w:tc>
                <w:tcPr>
                  <w:tcW w:w="262" w:type="pct"/>
                  <w:vMerge w:val="restart"/>
                  <w:tcBorders>
                    <w:tl2br w:val="nil"/>
                    <w:tr2bl w:val="nil"/>
                  </w:tcBorders>
                  <w:noWrap w:val="0"/>
                  <w:vAlign w:val="center"/>
                </w:tcPr>
                <w:p w14:paraId="1C8DF331">
                  <w:pPr>
                    <w:topLinePunct w:val="0"/>
                    <w:bidi w:val="0"/>
                    <w:adjustRightInd/>
                    <w:snapToGrid/>
                    <w:jc w:val="center"/>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rPr>
                    <w:t>/</w:t>
                  </w:r>
                </w:p>
              </w:tc>
              <w:tc>
                <w:tcPr>
                  <w:tcW w:w="262" w:type="pct"/>
                  <w:vMerge w:val="restart"/>
                  <w:tcBorders>
                    <w:tl2br w:val="nil"/>
                    <w:tr2bl w:val="nil"/>
                  </w:tcBorders>
                  <w:noWrap w:val="0"/>
                  <w:vAlign w:val="center"/>
                </w:tcPr>
                <w:p w14:paraId="1ACC255E">
                  <w:pPr>
                    <w:topLinePunct w:val="0"/>
                    <w:bidi w:val="0"/>
                    <w:adjustRightInd/>
                    <w:snapToGrid/>
                    <w:jc w:val="center"/>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rPr>
                    <w:t>湖南城陵矶临港产业新区污水处理厂</w:t>
                  </w:r>
                </w:p>
              </w:tc>
              <w:tc>
                <w:tcPr>
                  <w:tcW w:w="449" w:type="pct"/>
                  <w:tcBorders>
                    <w:tl2br w:val="nil"/>
                    <w:tr2bl w:val="nil"/>
                  </w:tcBorders>
                  <w:noWrap w:val="0"/>
                  <w:vAlign w:val="center"/>
                </w:tcPr>
                <w:p w14:paraId="49CBF913">
                  <w:pPr>
                    <w:topLinePunct w:val="0"/>
                    <w:bidi w:val="0"/>
                    <w:adjustRightInd/>
                    <w:snapToGrid/>
                    <w:jc w:val="center"/>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rPr>
                    <w:t>pH</w:t>
                  </w:r>
                </w:p>
              </w:tc>
              <w:tc>
                <w:tcPr>
                  <w:tcW w:w="577" w:type="pct"/>
                  <w:tcBorders>
                    <w:tl2br w:val="nil"/>
                    <w:tr2bl w:val="nil"/>
                  </w:tcBorders>
                  <w:noWrap w:val="0"/>
                  <w:vAlign w:val="center"/>
                </w:tcPr>
                <w:p w14:paraId="690DCBB7">
                  <w:pPr>
                    <w:topLinePunct w:val="0"/>
                    <w:bidi w:val="0"/>
                    <w:adjustRightInd/>
                    <w:snapToGrid/>
                    <w:jc w:val="center"/>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rPr>
                    <w:t>6~9（无量纲）</w:t>
                  </w:r>
                </w:p>
              </w:tc>
            </w:tr>
            <w:tr w14:paraId="3441921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5" w:hRule="atLeast"/>
              </w:trPr>
              <w:tc>
                <w:tcPr>
                  <w:tcW w:w="262" w:type="pct"/>
                  <w:vMerge w:val="continue"/>
                  <w:tcBorders>
                    <w:tl2br w:val="nil"/>
                    <w:tr2bl w:val="nil"/>
                  </w:tcBorders>
                  <w:noWrap w:val="0"/>
                  <w:vAlign w:val="center"/>
                </w:tcPr>
                <w:p w14:paraId="17220E66">
                  <w:pPr>
                    <w:topLinePunct w:val="0"/>
                    <w:bidi w:val="0"/>
                    <w:adjustRightInd/>
                    <w:snapToGrid/>
                    <w:jc w:val="center"/>
                    <w:rPr>
                      <w:rFonts w:hint="default" w:ascii="Times New Roman" w:hAnsi="Times New Roman" w:eastAsia="宋体" w:cs="Times New Roman"/>
                      <w:color w:val="auto"/>
                      <w:szCs w:val="21"/>
                      <w:highlight w:val="none"/>
                      <w:u w:val="none" w:color="auto"/>
                    </w:rPr>
                  </w:pPr>
                </w:p>
              </w:tc>
              <w:tc>
                <w:tcPr>
                  <w:tcW w:w="543" w:type="pct"/>
                  <w:vMerge w:val="continue"/>
                  <w:tcBorders>
                    <w:tl2br w:val="nil"/>
                    <w:tr2bl w:val="nil"/>
                  </w:tcBorders>
                  <w:noWrap w:val="0"/>
                  <w:vAlign w:val="center"/>
                </w:tcPr>
                <w:p w14:paraId="4A5A65FD">
                  <w:pPr>
                    <w:topLinePunct w:val="0"/>
                    <w:bidi w:val="0"/>
                    <w:adjustRightInd/>
                    <w:snapToGrid/>
                    <w:jc w:val="center"/>
                    <w:rPr>
                      <w:rFonts w:hint="default" w:ascii="Times New Roman" w:hAnsi="Times New Roman" w:eastAsia="宋体" w:cs="Times New Roman"/>
                      <w:color w:val="auto"/>
                      <w:highlight w:val="none"/>
                      <w:u w:val="none" w:color="auto"/>
                    </w:rPr>
                  </w:pPr>
                </w:p>
              </w:tc>
              <w:tc>
                <w:tcPr>
                  <w:tcW w:w="744" w:type="pct"/>
                  <w:vMerge w:val="continue"/>
                  <w:tcBorders>
                    <w:tl2br w:val="nil"/>
                    <w:tr2bl w:val="nil"/>
                  </w:tcBorders>
                  <w:noWrap w:val="0"/>
                  <w:vAlign w:val="center"/>
                </w:tcPr>
                <w:p w14:paraId="2A579A19">
                  <w:pPr>
                    <w:topLinePunct w:val="0"/>
                    <w:bidi w:val="0"/>
                    <w:adjustRightInd/>
                    <w:snapToGrid/>
                    <w:jc w:val="center"/>
                    <w:rPr>
                      <w:rFonts w:hint="default" w:ascii="Times New Roman" w:hAnsi="Times New Roman" w:eastAsia="宋体" w:cs="Times New Roman"/>
                      <w:color w:val="auto"/>
                      <w:szCs w:val="21"/>
                      <w:highlight w:val="none"/>
                      <w:u w:val="none" w:color="auto"/>
                    </w:rPr>
                  </w:pPr>
                </w:p>
              </w:tc>
              <w:tc>
                <w:tcPr>
                  <w:tcW w:w="685" w:type="pct"/>
                  <w:vMerge w:val="continue"/>
                  <w:tcBorders>
                    <w:tl2br w:val="nil"/>
                    <w:tr2bl w:val="nil"/>
                  </w:tcBorders>
                  <w:noWrap w:val="0"/>
                  <w:vAlign w:val="center"/>
                </w:tcPr>
                <w:p w14:paraId="4FF22D6F">
                  <w:pPr>
                    <w:topLinePunct w:val="0"/>
                    <w:bidi w:val="0"/>
                    <w:adjustRightInd/>
                    <w:snapToGrid/>
                    <w:jc w:val="center"/>
                    <w:rPr>
                      <w:rFonts w:hint="default" w:ascii="Times New Roman" w:hAnsi="Times New Roman" w:eastAsia="宋体" w:cs="Times New Roman"/>
                      <w:color w:val="auto"/>
                      <w:szCs w:val="21"/>
                      <w:highlight w:val="none"/>
                      <w:u w:val="none" w:color="auto"/>
                    </w:rPr>
                  </w:pPr>
                </w:p>
              </w:tc>
              <w:tc>
                <w:tcPr>
                  <w:tcW w:w="554" w:type="pct"/>
                  <w:vMerge w:val="continue"/>
                  <w:tcBorders>
                    <w:tl2br w:val="nil"/>
                    <w:tr2bl w:val="nil"/>
                  </w:tcBorders>
                  <w:noWrap w:val="0"/>
                  <w:vAlign w:val="center"/>
                </w:tcPr>
                <w:p w14:paraId="6EE47CF3">
                  <w:pPr>
                    <w:topLinePunct w:val="0"/>
                    <w:bidi w:val="0"/>
                    <w:adjustRightInd/>
                    <w:snapToGrid/>
                    <w:jc w:val="center"/>
                    <w:rPr>
                      <w:rFonts w:hint="default" w:ascii="Times New Roman" w:hAnsi="Times New Roman" w:eastAsia="宋体" w:cs="Times New Roman"/>
                      <w:color w:val="auto"/>
                      <w:szCs w:val="21"/>
                      <w:highlight w:val="none"/>
                      <w:u w:val="none" w:color="auto"/>
                    </w:rPr>
                  </w:pPr>
                </w:p>
              </w:tc>
              <w:tc>
                <w:tcPr>
                  <w:tcW w:w="262" w:type="pct"/>
                  <w:vMerge w:val="continue"/>
                  <w:tcBorders>
                    <w:tl2br w:val="nil"/>
                    <w:tr2bl w:val="nil"/>
                  </w:tcBorders>
                  <w:noWrap w:val="0"/>
                  <w:vAlign w:val="center"/>
                </w:tcPr>
                <w:p w14:paraId="2C00238A">
                  <w:pPr>
                    <w:topLinePunct w:val="0"/>
                    <w:bidi w:val="0"/>
                    <w:adjustRightInd/>
                    <w:snapToGrid/>
                    <w:jc w:val="center"/>
                    <w:rPr>
                      <w:rFonts w:hint="default" w:ascii="Times New Roman" w:hAnsi="Times New Roman" w:eastAsia="宋体" w:cs="Times New Roman"/>
                      <w:color w:val="auto"/>
                      <w:szCs w:val="21"/>
                      <w:highlight w:val="none"/>
                      <w:u w:val="none" w:color="auto"/>
                    </w:rPr>
                  </w:pPr>
                </w:p>
              </w:tc>
              <w:tc>
                <w:tcPr>
                  <w:tcW w:w="392" w:type="pct"/>
                  <w:vMerge w:val="continue"/>
                  <w:tcBorders>
                    <w:tl2br w:val="nil"/>
                    <w:tr2bl w:val="nil"/>
                  </w:tcBorders>
                  <w:noWrap w:val="0"/>
                  <w:vAlign w:val="center"/>
                </w:tcPr>
                <w:p w14:paraId="13CB4016">
                  <w:pPr>
                    <w:topLinePunct w:val="0"/>
                    <w:bidi w:val="0"/>
                    <w:adjustRightInd/>
                    <w:snapToGrid/>
                    <w:jc w:val="center"/>
                    <w:rPr>
                      <w:rFonts w:hint="default" w:ascii="Times New Roman" w:hAnsi="Times New Roman" w:eastAsia="宋体" w:cs="Times New Roman"/>
                      <w:color w:val="auto"/>
                      <w:szCs w:val="21"/>
                      <w:highlight w:val="none"/>
                      <w:u w:val="none" w:color="auto"/>
                    </w:rPr>
                  </w:pPr>
                </w:p>
              </w:tc>
              <w:tc>
                <w:tcPr>
                  <w:tcW w:w="262" w:type="pct"/>
                  <w:vMerge w:val="continue"/>
                  <w:tcBorders>
                    <w:tl2br w:val="nil"/>
                    <w:tr2bl w:val="nil"/>
                  </w:tcBorders>
                  <w:noWrap w:val="0"/>
                  <w:vAlign w:val="center"/>
                </w:tcPr>
                <w:p w14:paraId="4DB70E1A">
                  <w:pPr>
                    <w:topLinePunct w:val="0"/>
                    <w:bidi w:val="0"/>
                    <w:adjustRightInd/>
                    <w:snapToGrid/>
                    <w:jc w:val="center"/>
                    <w:rPr>
                      <w:rFonts w:hint="default" w:ascii="Times New Roman" w:hAnsi="Times New Roman" w:eastAsia="宋体" w:cs="Times New Roman"/>
                      <w:color w:val="auto"/>
                      <w:szCs w:val="21"/>
                      <w:highlight w:val="none"/>
                      <w:u w:val="none" w:color="auto"/>
                    </w:rPr>
                  </w:pPr>
                </w:p>
              </w:tc>
              <w:tc>
                <w:tcPr>
                  <w:tcW w:w="262" w:type="pct"/>
                  <w:vMerge w:val="continue"/>
                  <w:tcBorders>
                    <w:tl2br w:val="nil"/>
                    <w:tr2bl w:val="nil"/>
                  </w:tcBorders>
                  <w:noWrap w:val="0"/>
                  <w:vAlign w:val="center"/>
                </w:tcPr>
                <w:p w14:paraId="68374645">
                  <w:pPr>
                    <w:topLinePunct w:val="0"/>
                    <w:bidi w:val="0"/>
                    <w:adjustRightInd/>
                    <w:snapToGrid/>
                    <w:jc w:val="center"/>
                    <w:rPr>
                      <w:rFonts w:hint="default" w:ascii="Times New Roman" w:hAnsi="Times New Roman" w:eastAsia="宋体" w:cs="Times New Roman"/>
                      <w:color w:val="auto"/>
                      <w:szCs w:val="21"/>
                      <w:highlight w:val="none"/>
                      <w:u w:val="none" w:color="auto"/>
                    </w:rPr>
                  </w:pPr>
                </w:p>
              </w:tc>
              <w:tc>
                <w:tcPr>
                  <w:tcW w:w="449" w:type="pct"/>
                  <w:tcBorders>
                    <w:tl2br w:val="nil"/>
                    <w:tr2bl w:val="nil"/>
                  </w:tcBorders>
                  <w:noWrap w:val="0"/>
                  <w:vAlign w:val="center"/>
                </w:tcPr>
                <w:p w14:paraId="11C25D96">
                  <w:pPr>
                    <w:topLinePunct w:val="0"/>
                    <w:bidi w:val="0"/>
                    <w:adjustRightInd/>
                    <w:snapToGrid/>
                    <w:jc w:val="center"/>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rPr>
                    <w:t>COD</w:t>
                  </w:r>
                </w:p>
              </w:tc>
              <w:tc>
                <w:tcPr>
                  <w:tcW w:w="577" w:type="pct"/>
                  <w:tcBorders>
                    <w:tl2br w:val="nil"/>
                    <w:tr2bl w:val="nil"/>
                  </w:tcBorders>
                  <w:noWrap w:val="0"/>
                  <w:vAlign w:val="center"/>
                </w:tcPr>
                <w:p w14:paraId="00BFDD29">
                  <w:pPr>
                    <w:topLinePunct w:val="0"/>
                    <w:bidi w:val="0"/>
                    <w:adjustRightInd/>
                    <w:snapToGrid/>
                    <w:jc w:val="center"/>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rPr>
                    <w:t>50mg/L</w:t>
                  </w:r>
                </w:p>
              </w:tc>
            </w:tr>
            <w:tr w14:paraId="68F0A53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5" w:hRule="atLeast"/>
              </w:trPr>
              <w:tc>
                <w:tcPr>
                  <w:tcW w:w="262" w:type="pct"/>
                  <w:vMerge w:val="continue"/>
                  <w:tcBorders>
                    <w:tl2br w:val="nil"/>
                    <w:tr2bl w:val="nil"/>
                  </w:tcBorders>
                  <w:noWrap w:val="0"/>
                  <w:vAlign w:val="center"/>
                </w:tcPr>
                <w:p w14:paraId="44987C8B">
                  <w:pPr>
                    <w:topLinePunct w:val="0"/>
                    <w:bidi w:val="0"/>
                    <w:adjustRightInd/>
                    <w:snapToGrid/>
                    <w:jc w:val="center"/>
                    <w:rPr>
                      <w:rFonts w:hint="default" w:ascii="Times New Roman" w:hAnsi="Times New Roman" w:eastAsia="宋体" w:cs="Times New Roman"/>
                      <w:color w:val="auto"/>
                      <w:szCs w:val="21"/>
                      <w:highlight w:val="none"/>
                      <w:u w:val="none" w:color="auto"/>
                    </w:rPr>
                  </w:pPr>
                </w:p>
              </w:tc>
              <w:tc>
                <w:tcPr>
                  <w:tcW w:w="543" w:type="pct"/>
                  <w:vMerge w:val="continue"/>
                  <w:tcBorders>
                    <w:tl2br w:val="nil"/>
                    <w:tr2bl w:val="nil"/>
                  </w:tcBorders>
                  <w:noWrap w:val="0"/>
                  <w:vAlign w:val="center"/>
                </w:tcPr>
                <w:p w14:paraId="11E23BBC">
                  <w:pPr>
                    <w:topLinePunct w:val="0"/>
                    <w:bidi w:val="0"/>
                    <w:adjustRightInd/>
                    <w:snapToGrid/>
                    <w:jc w:val="center"/>
                    <w:rPr>
                      <w:rFonts w:hint="default" w:ascii="Times New Roman" w:hAnsi="Times New Roman" w:eastAsia="宋体" w:cs="Times New Roman"/>
                      <w:color w:val="auto"/>
                      <w:highlight w:val="none"/>
                      <w:u w:val="none" w:color="auto"/>
                    </w:rPr>
                  </w:pPr>
                </w:p>
              </w:tc>
              <w:tc>
                <w:tcPr>
                  <w:tcW w:w="744" w:type="pct"/>
                  <w:vMerge w:val="continue"/>
                  <w:tcBorders>
                    <w:tl2br w:val="nil"/>
                    <w:tr2bl w:val="nil"/>
                  </w:tcBorders>
                  <w:noWrap w:val="0"/>
                  <w:vAlign w:val="center"/>
                </w:tcPr>
                <w:p w14:paraId="357F5860">
                  <w:pPr>
                    <w:topLinePunct w:val="0"/>
                    <w:bidi w:val="0"/>
                    <w:adjustRightInd/>
                    <w:snapToGrid/>
                    <w:jc w:val="center"/>
                    <w:rPr>
                      <w:rFonts w:hint="default" w:ascii="Times New Roman" w:hAnsi="Times New Roman" w:eastAsia="宋体" w:cs="Times New Roman"/>
                      <w:color w:val="auto"/>
                      <w:szCs w:val="21"/>
                      <w:highlight w:val="none"/>
                      <w:u w:val="none" w:color="auto"/>
                    </w:rPr>
                  </w:pPr>
                </w:p>
              </w:tc>
              <w:tc>
                <w:tcPr>
                  <w:tcW w:w="685" w:type="pct"/>
                  <w:vMerge w:val="continue"/>
                  <w:tcBorders>
                    <w:tl2br w:val="nil"/>
                    <w:tr2bl w:val="nil"/>
                  </w:tcBorders>
                  <w:noWrap w:val="0"/>
                  <w:vAlign w:val="center"/>
                </w:tcPr>
                <w:p w14:paraId="03CA961E">
                  <w:pPr>
                    <w:topLinePunct w:val="0"/>
                    <w:bidi w:val="0"/>
                    <w:adjustRightInd/>
                    <w:snapToGrid/>
                    <w:jc w:val="center"/>
                    <w:rPr>
                      <w:rFonts w:hint="default" w:ascii="Times New Roman" w:hAnsi="Times New Roman" w:eastAsia="宋体" w:cs="Times New Roman"/>
                      <w:color w:val="auto"/>
                      <w:szCs w:val="21"/>
                      <w:highlight w:val="none"/>
                      <w:u w:val="none" w:color="auto"/>
                    </w:rPr>
                  </w:pPr>
                </w:p>
              </w:tc>
              <w:tc>
                <w:tcPr>
                  <w:tcW w:w="554" w:type="pct"/>
                  <w:vMerge w:val="continue"/>
                  <w:tcBorders>
                    <w:tl2br w:val="nil"/>
                    <w:tr2bl w:val="nil"/>
                  </w:tcBorders>
                  <w:noWrap w:val="0"/>
                  <w:vAlign w:val="center"/>
                </w:tcPr>
                <w:p w14:paraId="3B8B1F99">
                  <w:pPr>
                    <w:topLinePunct w:val="0"/>
                    <w:bidi w:val="0"/>
                    <w:adjustRightInd/>
                    <w:snapToGrid/>
                    <w:jc w:val="center"/>
                    <w:rPr>
                      <w:rFonts w:hint="default" w:ascii="Times New Roman" w:hAnsi="Times New Roman" w:eastAsia="宋体" w:cs="Times New Roman"/>
                      <w:color w:val="auto"/>
                      <w:szCs w:val="21"/>
                      <w:highlight w:val="none"/>
                      <w:u w:val="none" w:color="auto"/>
                    </w:rPr>
                  </w:pPr>
                </w:p>
              </w:tc>
              <w:tc>
                <w:tcPr>
                  <w:tcW w:w="262" w:type="pct"/>
                  <w:vMerge w:val="continue"/>
                  <w:tcBorders>
                    <w:tl2br w:val="nil"/>
                    <w:tr2bl w:val="nil"/>
                  </w:tcBorders>
                  <w:noWrap w:val="0"/>
                  <w:vAlign w:val="center"/>
                </w:tcPr>
                <w:p w14:paraId="43934626">
                  <w:pPr>
                    <w:topLinePunct w:val="0"/>
                    <w:bidi w:val="0"/>
                    <w:adjustRightInd/>
                    <w:snapToGrid/>
                    <w:jc w:val="center"/>
                    <w:rPr>
                      <w:rFonts w:hint="default" w:ascii="Times New Roman" w:hAnsi="Times New Roman" w:eastAsia="宋体" w:cs="Times New Roman"/>
                      <w:color w:val="auto"/>
                      <w:szCs w:val="21"/>
                      <w:highlight w:val="none"/>
                      <w:u w:val="none" w:color="auto"/>
                    </w:rPr>
                  </w:pPr>
                </w:p>
              </w:tc>
              <w:tc>
                <w:tcPr>
                  <w:tcW w:w="392" w:type="pct"/>
                  <w:vMerge w:val="continue"/>
                  <w:tcBorders>
                    <w:tl2br w:val="nil"/>
                    <w:tr2bl w:val="nil"/>
                  </w:tcBorders>
                  <w:noWrap w:val="0"/>
                  <w:vAlign w:val="center"/>
                </w:tcPr>
                <w:p w14:paraId="59EB06A2">
                  <w:pPr>
                    <w:topLinePunct w:val="0"/>
                    <w:bidi w:val="0"/>
                    <w:adjustRightInd/>
                    <w:snapToGrid/>
                    <w:jc w:val="center"/>
                    <w:rPr>
                      <w:rFonts w:hint="default" w:ascii="Times New Roman" w:hAnsi="Times New Roman" w:eastAsia="宋体" w:cs="Times New Roman"/>
                      <w:color w:val="auto"/>
                      <w:szCs w:val="21"/>
                      <w:highlight w:val="none"/>
                      <w:u w:val="none" w:color="auto"/>
                    </w:rPr>
                  </w:pPr>
                </w:p>
              </w:tc>
              <w:tc>
                <w:tcPr>
                  <w:tcW w:w="262" w:type="pct"/>
                  <w:vMerge w:val="continue"/>
                  <w:tcBorders>
                    <w:tl2br w:val="nil"/>
                    <w:tr2bl w:val="nil"/>
                  </w:tcBorders>
                  <w:noWrap w:val="0"/>
                  <w:vAlign w:val="center"/>
                </w:tcPr>
                <w:p w14:paraId="759BAE03">
                  <w:pPr>
                    <w:topLinePunct w:val="0"/>
                    <w:bidi w:val="0"/>
                    <w:adjustRightInd/>
                    <w:snapToGrid/>
                    <w:jc w:val="center"/>
                    <w:rPr>
                      <w:rFonts w:hint="default" w:ascii="Times New Roman" w:hAnsi="Times New Roman" w:eastAsia="宋体" w:cs="Times New Roman"/>
                      <w:color w:val="auto"/>
                      <w:szCs w:val="21"/>
                      <w:highlight w:val="none"/>
                      <w:u w:val="none" w:color="auto"/>
                    </w:rPr>
                  </w:pPr>
                </w:p>
              </w:tc>
              <w:tc>
                <w:tcPr>
                  <w:tcW w:w="262" w:type="pct"/>
                  <w:vMerge w:val="continue"/>
                  <w:tcBorders>
                    <w:tl2br w:val="nil"/>
                    <w:tr2bl w:val="nil"/>
                  </w:tcBorders>
                  <w:noWrap w:val="0"/>
                  <w:vAlign w:val="center"/>
                </w:tcPr>
                <w:p w14:paraId="10AB65C4">
                  <w:pPr>
                    <w:topLinePunct w:val="0"/>
                    <w:bidi w:val="0"/>
                    <w:adjustRightInd/>
                    <w:snapToGrid/>
                    <w:jc w:val="center"/>
                    <w:rPr>
                      <w:rFonts w:hint="default" w:ascii="Times New Roman" w:hAnsi="Times New Roman" w:eastAsia="宋体" w:cs="Times New Roman"/>
                      <w:color w:val="auto"/>
                      <w:szCs w:val="21"/>
                      <w:highlight w:val="none"/>
                      <w:u w:val="none" w:color="auto"/>
                    </w:rPr>
                  </w:pPr>
                </w:p>
              </w:tc>
              <w:tc>
                <w:tcPr>
                  <w:tcW w:w="449" w:type="pct"/>
                  <w:tcBorders>
                    <w:tl2br w:val="nil"/>
                    <w:tr2bl w:val="nil"/>
                  </w:tcBorders>
                  <w:noWrap w:val="0"/>
                  <w:vAlign w:val="center"/>
                </w:tcPr>
                <w:p w14:paraId="5BAD291A">
                  <w:pPr>
                    <w:topLinePunct w:val="0"/>
                    <w:bidi w:val="0"/>
                    <w:adjustRightInd/>
                    <w:snapToGrid/>
                    <w:jc w:val="center"/>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rPr>
                    <w:t>BOD</w:t>
                  </w:r>
                  <w:r>
                    <w:rPr>
                      <w:rFonts w:hint="default" w:ascii="Times New Roman" w:hAnsi="Times New Roman" w:eastAsia="宋体" w:cs="Times New Roman"/>
                      <w:color w:val="auto"/>
                      <w:szCs w:val="21"/>
                      <w:highlight w:val="none"/>
                      <w:u w:val="none" w:color="auto"/>
                      <w:vertAlign w:val="subscript"/>
                    </w:rPr>
                    <w:t>5</w:t>
                  </w:r>
                </w:p>
              </w:tc>
              <w:tc>
                <w:tcPr>
                  <w:tcW w:w="577" w:type="pct"/>
                  <w:tcBorders>
                    <w:tl2br w:val="nil"/>
                    <w:tr2bl w:val="nil"/>
                  </w:tcBorders>
                  <w:noWrap w:val="0"/>
                  <w:vAlign w:val="center"/>
                </w:tcPr>
                <w:p w14:paraId="6AE10098">
                  <w:pPr>
                    <w:topLinePunct w:val="0"/>
                    <w:bidi w:val="0"/>
                    <w:adjustRightInd/>
                    <w:snapToGrid/>
                    <w:jc w:val="center"/>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rPr>
                    <w:t>10mg/L</w:t>
                  </w:r>
                </w:p>
              </w:tc>
            </w:tr>
            <w:tr w14:paraId="397FC60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8" w:hRule="atLeast"/>
              </w:trPr>
              <w:tc>
                <w:tcPr>
                  <w:tcW w:w="262" w:type="pct"/>
                  <w:vMerge w:val="continue"/>
                  <w:tcBorders>
                    <w:tl2br w:val="nil"/>
                    <w:tr2bl w:val="nil"/>
                  </w:tcBorders>
                  <w:noWrap w:val="0"/>
                  <w:vAlign w:val="center"/>
                </w:tcPr>
                <w:p w14:paraId="24FF8DA6">
                  <w:pPr>
                    <w:topLinePunct w:val="0"/>
                    <w:bidi w:val="0"/>
                    <w:adjustRightInd/>
                    <w:snapToGrid/>
                    <w:jc w:val="center"/>
                    <w:rPr>
                      <w:rFonts w:hint="default" w:ascii="Times New Roman" w:hAnsi="Times New Roman" w:eastAsia="宋体" w:cs="Times New Roman"/>
                      <w:color w:val="auto"/>
                      <w:szCs w:val="21"/>
                      <w:highlight w:val="none"/>
                      <w:u w:val="none" w:color="auto"/>
                    </w:rPr>
                  </w:pPr>
                </w:p>
              </w:tc>
              <w:tc>
                <w:tcPr>
                  <w:tcW w:w="543" w:type="pct"/>
                  <w:vMerge w:val="continue"/>
                  <w:tcBorders>
                    <w:tl2br w:val="nil"/>
                    <w:tr2bl w:val="nil"/>
                  </w:tcBorders>
                  <w:noWrap w:val="0"/>
                  <w:vAlign w:val="center"/>
                </w:tcPr>
                <w:p w14:paraId="40816AB2">
                  <w:pPr>
                    <w:topLinePunct w:val="0"/>
                    <w:bidi w:val="0"/>
                    <w:adjustRightInd/>
                    <w:snapToGrid/>
                    <w:jc w:val="center"/>
                    <w:rPr>
                      <w:rFonts w:hint="default" w:ascii="Times New Roman" w:hAnsi="Times New Roman" w:eastAsia="宋体" w:cs="Times New Roman"/>
                      <w:color w:val="auto"/>
                      <w:highlight w:val="none"/>
                      <w:u w:val="none" w:color="auto"/>
                    </w:rPr>
                  </w:pPr>
                </w:p>
              </w:tc>
              <w:tc>
                <w:tcPr>
                  <w:tcW w:w="744" w:type="pct"/>
                  <w:vMerge w:val="continue"/>
                  <w:tcBorders>
                    <w:tl2br w:val="nil"/>
                    <w:tr2bl w:val="nil"/>
                  </w:tcBorders>
                  <w:noWrap w:val="0"/>
                  <w:vAlign w:val="center"/>
                </w:tcPr>
                <w:p w14:paraId="69144755">
                  <w:pPr>
                    <w:topLinePunct w:val="0"/>
                    <w:bidi w:val="0"/>
                    <w:adjustRightInd/>
                    <w:snapToGrid/>
                    <w:jc w:val="center"/>
                    <w:rPr>
                      <w:rFonts w:hint="default" w:ascii="Times New Roman" w:hAnsi="Times New Roman" w:eastAsia="宋体" w:cs="Times New Roman"/>
                      <w:color w:val="auto"/>
                      <w:szCs w:val="21"/>
                      <w:highlight w:val="none"/>
                      <w:u w:val="none" w:color="auto"/>
                    </w:rPr>
                  </w:pPr>
                </w:p>
              </w:tc>
              <w:tc>
                <w:tcPr>
                  <w:tcW w:w="685" w:type="pct"/>
                  <w:vMerge w:val="continue"/>
                  <w:tcBorders>
                    <w:tl2br w:val="nil"/>
                    <w:tr2bl w:val="nil"/>
                  </w:tcBorders>
                  <w:noWrap w:val="0"/>
                  <w:vAlign w:val="center"/>
                </w:tcPr>
                <w:p w14:paraId="0C3F269B">
                  <w:pPr>
                    <w:topLinePunct w:val="0"/>
                    <w:bidi w:val="0"/>
                    <w:adjustRightInd/>
                    <w:snapToGrid/>
                    <w:jc w:val="center"/>
                    <w:rPr>
                      <w:rFonts w:hint="default" w:ascii="Times New Roman" w:hAnsi="Times New Roman" w:eastAsia="宋体" w:cs="Times New Roman"/>
                      <w:color w:val="auto"/>
                      <w:szCs w:val="21"/>
                      <w:highlight w:val="none"/>
                      <w:u w:val="none" w:color="auto"/>
                    </w:rPr>
                  </w:pPr>
                </w:p>
              </w:tc>
              <w:tc>
                <w:tcPr>
                  <w:tcW w:w="554" w:type="pct"/>
                  <w:vMerge w:val="continue"/>
                  <w:tcBorders>
                    <w:tl2br w:val="nil"/>
                    <w:tr2bl w:val="nil"/>
                  </w:tcBorders>
                  <w:noWrap w:val="0"/>
                  <w:vAlign w:val="center"/>
                </w:tcPr>
                <w:p w14:paraId="5E2862F3">
                  <w:pPr>
                    <w:topLinePunct w:val="0"/>
                    <w:bidi w:val="0"/>
                    <w:adjustRightInd/>
                    <w:snapToGrid/>
                    <w:jc w:val="center"/>
                    <w:rPr>
                      <w:rFonts w:hint="default" w:ascii="Times New Roman" w:hAnsi="Times New Roman" w:eastAsia="宋体" w:cs="Times New Roman"/>
                      <w:color w:val="auto"/>
                      <w:szCs w:val="21"/>
                      <w:highlight w:val="none"/>
                      <w:u w:val="none" w:color="auto"/>
                    </w:rPr>
                  </w:pPr>
                </w:p>
              </w:tc>
              <w:tc>
                <w:tcPr>
                  <w:tcW w:w="262" w:type="pct"/>
                  <w:vMerge w:val="continue"/>
                  <w:tcBorders>
                    <w:tl2br w:val="nil"/>
                    <w:tr2bl w:val="nil"/>
                  </w:tcBorders>
                  <w:noWrap w:val="0"/>
                  <w:vAlign w:val="center"/>
                </w:tcPr>
                <w:p w14:paraId="38F4738B">
                  <w:pPr>
                    <w:topLinePunct w:val="0"/>
                    <w:bidi w:val="0"/>
                    <w:adjustRightInd/>
                    <w:snapToGrid/>
                    <w:jc w:val="center"/>
                    <w:rPr>
                      <w:rFonts w:hint="default" w:ascii="Times New Roman" w:hAnsi="Times New Roman" w:eastAsia="宋体" w:cs="Times New Roman"/>
                      <w:color w:val="auto"/>
                      <w:szCs w:val="21"/>
                      <w:highlight w:val="none"/>
                      <w:u w:val="none" w:color="auto"/>
                    </w:rPr>
                  </w:pPr>
                </w:p>
              </w:tc>
              <w:tc>
                <w:tcPr>
                  <w:tcW w:w="392" w:type="pct"/>
                  <w:vMerge w:val="continue"/>
                  <w:tcBorders>
                    <w:tl2br w:val="nil"/>
                    <w:tr2bl w:val="nil"/>
                  </w:tcBorders>
                  <w:noWrap w:val="0"/>
                  <w:vAlign w:val="center"/>
                </w:tcPr>
                <w:p w14:paraId="60CE9F38">
                  <w:pPr>
                    <w:topLinePunct w:val="0"/>
                    <w:bidi w:val="0"/>
                    <w:adjustRightInd/>
                    <w:snapToGrid/>
                    <w:jc w:val="center"/>
                    <w:rPr>
                      <w:rFonts w:hint="default" w:ascii="Times New Roman" w:hAnsi="Times New Roman" w:eastAsia="宋体" w:cs="Times New Roman"/>
                      <w:color w:val="auto"/>
                      <w:szCs w:val="21"/>
                      <w:highlight w:val="none"/>
                      <w:u w:val="none" w:color="auto"/>
                    </w:rPr>
                  </w:pPr>
                </w:p>
              </w:tc>
              <w:tc>
                <w:tcPr>
                  <w:tcW w:w="262" w:type="pct"/>
                  <w:vMerge w:val="continue"/>
                  <w:tcBorders>
                    <w:tl2br w:val="nil"/>
                    <w:tr2bl w:val="nil"/>
                  </w:tcBorders>
                  <w:noWrap w:val="0"/>
                  <w:vAlign w:val="center"/>
                </w:tcPr>
                <w:p w14:paraId="310A1EA0">
                  <w:pPr>
                    <w:topLinePunct w:val="0"/>
                    <w:bidi w:val="0"/>
                    <w:adjustRightInd/>
                    <w:snapToGrid/>
                    <w:jc w:val="center"/>
                    <w:rPr>
                      <w:rFonts w:hint="default" w:ascii="Times New Roman" w:hAnsi="Times New Roman" w:eastAsia="宋体" w:cs="Times New Roman"/>
                      <w:color w:val="auto"/>
                      <w:szCs w:val="21"/>
                      <w:highlight w:val="none"/>
                      <w:u w:val="none" w:color="auto"/>
                    </w:rPr>
                  </w:pPr>
                </w:p>
              </w:tc>
              <w:tc>
                <w:tcPr>
                  <w:tcW w:w="262" w:type="pct"/>
                  <w:vMerge w:val="continue"/>
                  <w:tcBorders>
                    <w:tl2br w:val="nil"/>
                    <w:tr2bl w:val="nil"/>
                  </w:tcBorders>
                  <w:noWrap w:val="0"/>
                  <w:vAlign w:val="center"/>
                </w:tcPr>
                <w:p w14:paraId="6D90EF45">
                  <w:pPr>
                    <w:topLinePunct w:val="0"/>
                    <w:bidi w:val="0"/>
                    <w:adjustRightInd/>
                    <w:snapToGrid/>
                    <w:jc w:val="center"/>
                    <w:rPr>
                      <w:rFonts w:hint="default" w:ascii="Times New Roman" w:hAnsi="Times New Roman" w:eastAsia="宋体" w:cs="Times New Roman"/>
                      <w:color w:val="auto"/>
                      <w:szCs w:val="21"/>
                      <w:highlight w:val="none"/>
                      <w:u w:val="none" w:color="auto"/>
                    </w:rPr>
                  </w:pPr>
                </w:p>
              </w:tc>
              <w:tc>
                <w:tcPr>
                  <w:tcW w:w="449" w:type="pct"/>
                  <w:tcBorders>
                    <w:tl2br w:val="nil"/>
                    <w:tr2bl w:val="nil"/>
                  </w:tcBorders>
                  <w:noWrap w:val="0"/>
                  <w:vAlign w:val="center"/>
                </w:tcPr>
                <w:p w14:paraId="65F59211">
                  <w:pPr>
                    <w:topLinePunct w:val="0"/>
                    <w:bidi w:val="0"/>
                    <w:adjustRightInd/>
                    <w:snapToGrid/>
                    <w:jc w:val="center"/>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rPr>
                    <w:t>SS</w:t>
                  </w:r>
                </w:p>
              </w:tc>
              <w:tc>
                <w:tcPr>
                  <w:tcW w:w="577" w:type="pct"/>
                  <w:tcBorders>
                    <w:tl2br w:val="nil"/>
                    <w:tr2bl w:val="nil"/>
                  </w:tcBorders>
                  <w:noWrap w:val="0"/>
                  <w:vAlign w:val="center"/>
                </w:tcPr>
                <w:p w14:paraId="1AA22789">
                  <w:pPr>
                    <w:topLinePunct w:val="0"/>
                    <w:bidi w:val="0"/>
                    <w:adjustRightInd/>
                    <w:snapToGrid/>
                    <w:jc w:val="center"/>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rPr>
                    <w:t>10mg/L</w:t>
                  </w:r>
                </w:p>
              </w:tc>
            </w:tr>
            <w:tr w14:paraId="7EBAB64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5" w:hRule="atLeast"/>
              </w:trPr>
              <w:tc>
                <w:tcPr>
                  <w:tcW w:w="262" w:type="pct"/>
                  <w:vMerge w:val="continue"/>
                  <w:tcBorders>
                    <w:tl2br w:val="nil"/>
                    <w:tr2bl w:val="nil"/>
                  </w:tcBorders>
                  <w:noWrap w:val="0"/>
                  <w:vAlign w:val="center"/>
                </w:tcPr>
                <w:p w14:paraId="7DEE03E5">
                  <w:pPr>
                    <w:topLinePunct w:val="0"/>
                    <w:bidi w:val="0"/>
                    <w:adjustRightInd/>
                    <w:snapToGrid/>
                    <w:jc w:val="center"/>
                    <w:rPr>
                      <w:rFonts w:hint="default" w:ascii="Times New Roman" w:hAnsi="Times New Roman" w:eastAsia="宋体" w:cs="Times New Roman"/>
                      <w:color w:val="auto"/>
                      <w:szCs w:val="21"/>
                      <w:highlight w:val="none"/>
                      <w:u w:val="none" w:color="auto"/>
                    </w:rPr>
                  </w:pPr>
                </w:p>
              </w:tc>
              <w:tc>
                <w:tcPr>
                  <w:tcW w:w="543" w:type="pct"/>
                  <w:vMerge w:val="continue"/>
                  <w:tcBorders>
                    <w:tl2br w:val="nil"/>
                    <w:tr2bl w:val="nil"/>
                  </w:tcBorders>
                  <w:noWrap w:val="0"/>
                  <w:vAlign w:val="center"/>
                </w:tcPr>
                <w:p w14:paraId="40BC8583">
                  <w:pPr>
                    <w:topLinePunct w:val="0"/>
                    <w:bidi w:val="0"/>
                    <w:adjustRightInd/>
                    <w:snapToGrid/>
                    <w:jc w:val="center"/>
                    <w:rPr>
                      <w:rFonts w:hint="default" w:ascii="Times New Roman" w:hAnsi="Times New Roman" w:eastAsia="宋体" w:cs="Times New Roman"/>
                      <w:color w:val="auto"/>
                      <w:highlight w:val="none"/>
                      <w:u w:val="none" w:color="auto"/>
                    </w:rPr>
                  </w:pPr>
                </w:p>
              </w:tc>
              <w:tc>
                <w:tcPr>
                  <w:tcW w:w="744" w:type="pct"/>
                  <w:vMerge w:val="continue"/>
                  <w:tcBorders>
                    <w:tl2br w:val="nil"/>
                    <w:tr2bl w:val="nil"/>
                  </w:tcBorders>
                  <w:noWrap w:val="0"/>
                  <w:vAlign w:val="center"/>
                </w:tcPr>
                <w:p w14:paraId="7FDBC7A4">
                  <w:pPr>
                    <w:topLinePunct w:val="0"/>
                    <w:bidi w:val="0"/>
                    <w:adjustRightInd/>
                    <w:snapToGrid/>
                    <w:jc w:val="center"/>
                    <w:rPr>
                      <w:rFonts w:hint="default" w:ascii="Times New Roman" w:hAnsi="Times New Roman" w:eastAsia="宋体" w:cs="Times New Roman"/>
                      <w:color w:val="auto"/>
                      <w:szCs w:val="21"/>
                      <w:highlight w:val="none"/>
                      <w:u w:val="none" w:color="auto"/>
                    </w:rPr>
                  </w:pPr>
                </w:p>
              </w:tc>
              <w:tc>
                <w:tcPr>
                  <w:tcW w:w="685" w:type="pct"/>
                  <w:vMerge w:val="continue"/>
                  <w:tcBorders>
                    <w:tl2br w:val="nil"/>
                    <w:tr2bl w:val="nil"/>
                  </w:tcBorders>
                  <w:noWrap w:val="0"/>
                  <w:vAlign w:val="center"/>
                </w:tcPr>
                <w:p w14:paraId="66D1BEA1">
                  <w:pPr>
                    <w:topLinePunct w:val="0"/>
                    <w:bidi w:val="0"/>
                    <w:adjustRightInd/>
                    <w:snapToGrid/>
                    <w:jc w:val="center"/>
                    <w:rPr>
                      <w:rFonts w:hint="default" w:ascii="Times New Roman" w:hAnsi="Times New Roman" w:eastAsia="宋体" w:cs="Times New Roman"/>
                      <w:color w:val="auto"/>
                      <w:szCs w:val="21"/>
                      <w:highlight w:val="none"/>
                      <w:u w:val="none" w:color="auto"/>
                    </w:rPr>
                  </w:pPr>
                </w:p>
              </w:tc>
              <w:tc>
                <w:tcPr>
                  <w:tcW w:w="554" w:type="pct"/>
                  <w:vMerge w:val="continue"/>
                  <w:tcBorders>
                    <w:tl2br w:val="nil"/>
                    <w:tr2bl w:val="nil"/>
                  </w:tcBorders>
                  <w:noWrap w:val="0"/>
                  <w:vAlign w:val="center"/>
                </w:tcPr>
                <w:p w14:paraId="0E20CE63">
                  <w:pPr>
                    <w:topLinePunct w:val="0"/>
                    <w:bidi w:val="0"/>
                    <w:adjustRightInd/>
                    <w:snapToGrid/>
                    <w:jc w:val="center"/>
                    <w:rPr>
                      <w:rFonts w:hint="default" w:ascii="Times New Roman" w:hAnsi="Times New Roman" w:eastAsia="宋体" w:cs="Times New Roman"/>
                      <w:color w:val="auto"/>
                      <w:szCs w:val="21"/>
                      <w:highlight w:val="none"/>
                      <w:u w:val="none" w:color="auto"/>
                    </w:rPr>
                  </w:pPr>
                </w:p>
              </w:tc>
              <w:tc>
                <w:tcPr>
                  <w:tcW w:w="262" w:type="pct"/>
                  <w:vMerge w:val="continue"/>
                  <w:tcBorders>
                    <w:tl2br w:val="nil"/>
                    <w:tr2bl w:val="nil"/>
                  </w:tcBorders>
                  <w:noWrap w:val="0"/>
                  <w:vAlign w:val="center"/>
                </w:tcPr>
                <w:p w14:paraId="3237ECBF">
                  <w:pPr>
                    <w:topLinePunct w:val="0"/>
                    <w:bidi w:val="0"/>
                    <w:adjustRightInd/>
                    <w:snapToGrid/>
                    <w:jc w:val="center"/>
                    <w:rPr>
                      <w:rFonts w:hint="default" w:ascii="Times New Roman" w:hAnsi="Times New Roman" w:eastAsia="宋体" w:cs="Times New Roman"/>
                      <w:color w:val="auto"/>
                      <w:szCs w:val="21"/>
                      <w:highlight w:val="none"/>
                      <w:u w:val="none" w:color="auto"/>
                    </w:rPr>
                  </w:pPr>
                </w:p>
              </w:tc>
              <w:tc>
                <w:tcPr>
                  <w:tcW w:w="392" w:type="pct"/>
                  <w:vMerge w:val="continue"/>
                  <w:tcBorders>
                    <w:tl2br w:val="nil"/>
                    <w:tr2bl w:val="nil"/>
                  </w:tcBorders>
                  <w:noWrap w:val="0"/>
                  <w:vAlign w:val="center"/>
                </w:tcPr>
                <w:p w14:paraId="3075DF07">
                  <w:pPr>
                    <w:topLinePunct w:val="0"/>
                    <w:bidi w:val="0"/>
                    <w:adjustRightInd/>
                    <w:snapToGrid/>
                    <w:jc w:val="center"/>
                    <w:rPr>
                      <w:rFonts w:hint="default" w:ascii="Times New Roman" w:hAnsi="Times New Roman" w:eastAsia="宋体" w:cs="Times New Roman"/>
                      <w:color w:val="auto"/>
                      <w:szCs w:val="21"/>
                      <w:highlight w:val="none"/>
                      <w:u w:val="none" w:color="auto"/>
                    </w:rPr>
                  </w:pPr>
                </w:p>
              </w:tc>
              <w:tc>
                <w:tcPr>
                  <w:tcW w:w="262" w:type="pct"/>
                  <w:vMerge w:val="continue"/>
                  <w:tcBorders>
                    <w:tl2br w:val="nil"/>
                    <w:tr2bl w:val="nil"/>
                  </w:tcBorders>
                  <w:noWrap w:val="0"/>
                  <w:vAlign w:val="center"/>
                </w:tcPr>
                <w:p w14:paraId="1F34545F">
                  <w:pPr>
                    <w:topLinePunct w:val="0"/>
                    <w:bidi w:val="0"/>
                    <w:adjustRightInd/>
                    <w:snapToGrid/>
                    <w:jc w:val="center"/>
                    <w:rPr>
                      <w:rFonts w:hint="default" w:ascii="Times New Roman" w:hAnsi="Times New Roman" w:eastAsia="宋体" w:cs="Times New Roman"/>
                      <w:color w:val="auto"/>
                      <w:szCs w:val="21"/>
                      <w:highlight w:val="none"/>
                      <w:u w:val="none" w:color="auto"/>
                    </w:rPr>
                  </w:pPr>
                </w:p>
              </w:tc>
              <w:tc>
                <w:tcPr>
                  <w:tcW w:w="262" w:type="pct"/>
                  <w:vMerge w:val="continue"/>
                  <w:tcBorders>
                    <w:tl2br w:val="nil"/>
                    <w:tr2bl w:val="nil"/>
                  </w:tcBorders>
                  <w:noWrap w:val="0"/>
                  <w:vAlign w:val="center"/>
                </w:tcPr>
                <w:p w14:paraId="32C383FE">
                  <w:pPr>
                    <w:topLinePunct w:val="0"/>
                    <w:bidi w:val="0"/>
                    <w:adjustRightInd/>
                    <w:snapToGrid/>
                    <w:jc w:val="center"/>
                    <w:rPr>
                      <w:rFonts w:hint="default" w:ascii="Times New Roman" w:hAnsi="Times New Roman" w:eastAsia="宋体" w:cs="Times New Roman"/>
                      <w:color w:val="auto"/>
                      <w:szCs w:val="21"/>
                      <w:highlight w:val="none"/>
                      <w:u w:val="none" w:color="auto"/>
                    </w:rPr>
                  </w:pPr>
                </w:p>
              </w:tc>
              <w:tc>
                <w:tcPr>
                  <w:tcW w:w="449" w:type="pct"/>
                  <w:tcBorders>
                    <w:tl2br w:val="nil"/>
                    <w:tr2bl w:val="nil"/>
                  </w:tcBorders>
                  <w:noWrap w:val="0"/>
                  <w:vAlign w:val="center"/>
                </w:tcPr>
                <w:p w14:paraId="3408E663">
                  <w:pPr>
                    <w:topLinePunct w:val="0"/>
                    <w:bidi w:val="0"/>
                    <w:adjustRightInd/>
                    <w:snapToGrid/>
                    <w:jc w:val="center"/>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rPr>
                    <w:t>氨氮</w:t>
                  </w:r>
                </w:p>
              </w:tc>
              <w:tc>
                <w:tcPr>
                  <w:tcW w:w="577" w:type="pct"/>
                  <w:tcBorders>
                    <w:tl2br w:val="nil"/>
                    <w:tr2bl w:val="nil"/>
                  </w:tcBorders>
                  <w:noWrap w:val="0"/>
                  <w:vAlign w:val="center"/>
                </w:tcPr>
                <w:p w14:paraId="00940A03">
                  <w:pPr>
                    <w:topLinePunct w:val="0"/>
                    <w:bidi w:val="0"/>
                    <w:adjustRightInd/>
                    <w:snapToGrid/>
                    <w:jc w:val="center"/>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rPr>
                    <w:t>5mg/L</w:t>
                  </w:r>
                </w:p>
              </w:tc>
            </w:tr>
            <w:tr w14:paraId="71B52B5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5" w:hRule="atLeast"/>
              </w:trPr>
              <w:tc>
                <w:tcPr>
                  <w:tcW w:w="262" w:type="pct"/>
                  <w:vMerge w:val="continue"/>
                  <w:tcBorders>
                    <w:tl2br w:val="nil"/>
                    <w:tr2bl w:val="nil"/>
                  </w:tcBorders>
                  <w:noWrap w:val="0"/>
                  <w:vAlign w:val="center"/>
                </w:tcPr>
                <w:p w14:paraId="76A87EDE">
                  <w:pPr>
                    <w:topLinePunct w:val="0"/>
                    <w:bidi w:val="0"/>
                    <w:adjustRightInd/>
                    <w:snapToGrid/>
                    <w:jc w:val="center"/>
                    <w:rPr>
                      <w:rFonts w:hint="default" w:ascii="Times New Roman" w:hAnsi="Times New Roman" w:eastAsia="宋体" w:cs="Times New Roman"/>
                      <w:color w:val="auto"/>
                      <w:szCs w:val="21"/>
                      <w:highlight w:val="none"/>
                      <w:u w:val="none" w:color="auto"/>
                    </w:rPr>
                  </w:pPr>
                </w:p>
              </w:tc>
              <w:tc>
                <w:tcPr>
                  <w:tcW w:w="543" w:type="pct"/>
                  <w:vMerge w:val="continue"/>
                  <w:tcBorders>
                    <w:tl2br w:val="nil"/>
                    <w:tr2bl w:val="nil"/>
                  </w:tcBorders>
                  <w:noWrap w:val="0"/>
                  <w:vAlign w:val="center"/>
                </w:tcPr>
                <w:p w14:paraId="288F3C43">
                  <w:pPr>
                    <w:topLinePunct w:val="0"/>
                    <w:bidi w:val="0"/>
                    <w:adjustRightInd/>
                    <w:snapToGrid/>
                    <w:jc w:val="center"/>
                    <w:rPr>
                      <w:rFonts w:hint="default" w:ascii="Times New Roman" w:hAnsi="Times New Roman" w:eastAsia="宋体" w:cs="Times New Roman"/>
                      <w:color w:val="auto"/>
                      <w:highlight w:val="none"/>
                      <w:u w:val="none" w:color="auto"/>
                    </w:rPr>
                  </w:pPr>
                </w:p>
              </w:tc>
              <w:tc>
                <w:tcPr>
                  <w:tcW w:w="744" w:type="pct"/>
                  <w:vMerge w:val="continue"/>
                  <w:tcBorders>
                    <w:tl2br w:val="nil"/>
                    <w:tr2bl w:val="nil"/>
                  </w:tcBorders>
                  <w:noWrap w:val="0"/>
                  <w:vAlign w:val="center"/>
                </w:tcPr>
                <w:p w14:paraId="10907054">
                  <w:pPr>
                    <w:topLinePunct w:val="0"/>
                    <w:bidi w:val="0"/>
                    <w:adjustRightInd/>
                    <w:snapToGrid/>
                    <w:jc w:val="center"/>
                    <w:rPr>
                      <w:rFonts w:hint="default" w:ascii="Times New Roman" w:hAnsi="Times New Roman" w:eastAsia="宋体" w:cs="Times New Roman"/>
                      <w:color w:val="auto"/>
                      <w:szCs w:val="21"/>
                      <w:highlight w:val="none"/>
                      <w:u w:val="none" w:color="auto"/>
                    </w:rPr>
                  </w:pPr>
                </w:p>
              </w:tc>
              <w:tc>
                <w:tcPr>
                  <w:tcW w:w="685" w:type="pct"/>
                  <w:vMerge w:val="continue"/>
                  <w:tcBorders>
                    <w:tl2br w:val="nil"/>
                    <w:tr2bl w:val="nil"/>
                  </w:tcBorders>
                  <w:noWrap w:val="0"/>
                  <w:vAlign w:val="center"/>
                </w:tcPr>
                <w:p w14:paraId="72A48663">
                  <w:pPr>
                    <w:topLinePunct w:val="0"/>
                    <w:bidi w:val="0"/>
                    <w:adjustRightInd/>
                    <w:snapToGrid/>
                    <w:jc w:val="center"/>
                    <w:rPr>
                      <w:rFonts w:hint="default" w:ascii="Times New Roman" w:hAnsi="Times New Roman" w:eastAsia="宋体" w:cs="Times New Roman"/>
                      <w:color w:val="auto"/>
                      <w:szCs w:val="21"/>
                      <w:highlight w:val="none"/>
                      <w:u w:val="none" w:color="auto"/>
                    </w:rPr>
                  </w:pPr>
                </w:p>
              </w:tc>
              <w:tc>
                <w:tcPr>
                  <w:tcW w:w="554" w:type="pct"/>
                  <w:vMerge w:val="continue"/>
                  <w:tcBorders>
                    <w:tl2br w:val="nil"/>
                    <w:tr2bl w:val="nil"/>
                  </w:tcBorders>
                  <w:noWrap w:val="0"/>
                  <w:vAlign w:val="center"/>
                </w:tcPr>
                <w:p w14:paraId="0BC0883C">
                  <w:pPr>
                    <w:topLinePunct w:val="0"/>
                    <w:bidi w:val="0"/>
                    <w:adjustRightInd/>
                    <w:snapToGrid/>
                    <w:jc w:val="center"/>
                    <w:rPr>
                      <w:rFonts w:hint="default" w:ascii="Times New Roman" w:hAnsi="Times New Roman" w:eastAsia="宋体" w:cs="Times New Roman"/>
                      <w:color w:val="auto"/>
                      <w:szCs w:val="21"/>
                      <w:highlight w:val="none"/>
                      <w:u w:val="none" w:color="auto"/>
                    </w:rPr>
                  </w:pPr>
                </w:p>
              </w:tc>
              <w:tc>
                <w:tcPr>
                  <w:tcW w:w="262" w:type="pct"/>
                  <w:vMerge w:val="continue"/>
                  <w:tcBorders>
                    <w:tl2br w:val="nil"/>
                    <w:tr2bl w:val="nil"/>
                  </w:tcBorders>
                  <w:noWrap w:val="0"/>
                  <w:vAlign w:val="center"/>
                </w:tcPr>
                <w:p w14:paraId="2B797E11">
                  <w:pPr>
                    <w:topLinePunct w:val="0"/>
                    <w:bidi w:val="0"/>
                    <w:adjustRightInd/>
                    <w:snapToGrid/>
                    <w:jc w:val="center"/>
                    <w:rPr>
                      <w:rFonts w:hint="default" w:ascii="Times New Roman" w:hAnsi="Times New Roman" w:eastAsia="宋体" w:cs="Times New Roman"/>
                      <w:color w:val="auto"/>
                      <w:szCs w:val="21"/>
                      <w:highlight w:val="none"/>
                      <w:u w:val="none" w:color="auto"/>
                    </w:rPr>
                  </w:pPr>
                </w:p>
              </w:tc>
              <w:tc>
                <w:tcPr>
                  <w:tcW w:w="392" w:type="pct"/>
                  <w:vMerge w:val="continue"/>
                  <w:tcBorders>
                    <w:tl2br w:val="nil"/>
                    <w:tr2bl w:val="nil"/>
                  </w:tcBorders>
                  <w:noWrap w:val="0"/>
                  <w:vAlign w:val="center"/>
                </w:tcPr>
                <w:p w14:paraId="39CA010E">
                  <w:pPr>
                    <w:topLinePunct w:val="0"/>
                    <w:bidi w:val="0"/>
                    <w:adjustRightInd/>
                    <w:snapToGrid/>
                    <w:jc w:val="center"/>
                    <w:rPr>
                      <w:rFonts w:hint="default" w:ascii="Times New Roman" w:hAnsi="Times New Roman" w:eastAsia="宋体" w:cs="Times New Roman"/>
                      <w:color w:val="auto"/>
                      <w:szCs w:val="21"/>
                      <w:highlight w:val="none"/>
                      <w:u w:val="none" w:color="auto"/>
                    </w:rPr>
                  </w:pPr>
                </w:p>
              </w:tc>
              <w:tc>
                <w:tcPr>
                  <w:tcW w:w="262" w:type="pct"/>
                  <w:vMerge w:val="continue"/>
                  <w:tcBorders>
                    <w:tl2br w:val="nil"/>
                    <w:tr2bl w:val="nil"/>
                  </w:tcBorders>
                  <w:noWrap w:val="0"/>
                  <w:vAlign w:val="center"/>
                </w:tcPr>
                <w:p w14:paraId="333E7211">
                  <w:pPr>
                    <w:topLinePunct w:val="0"/>
                    <w:bidi w:val="0"/>
                    <w:adjustRightInd/>
                    <w:snapToGrid/>
                    <w:jc w:val="center"/>
                    <w:rPr>
                      <w:rFonts w:hint="default" w:ascii="Times New Roman" w:hAnsi="Times New Roman" w:eastAsia="宋体" w:cs="Times New Roman"/>
                      <w:color w:val="auto"/>
                      <w:szCs w:val="21"/>
                      <w:highlight w:val="none"/>
                      <w:u w:val="none" w:color="auto"/>
                    </w:rPr>
                  </w:pPr>
                </w:p>
              </w:tc>
              <w:tc>
                <w:tcPr>
                  <w:tcW w:w="262" w:type="pct"/>
                  <w:vMerge w:val="continue"/>
                  <w:tcBorders>
                    <w:tl2br w:val="nil"/>
                    <w:tr2bl w:val="nil"/>
                  </w:tcBorders>
                  <w:noWrap w:val="0"/>
                  <w:vAlign w:val="center"/>
                </w:tcPr>
                <w:p w14:paraId="1D456F94">
                  <w:pPr>
                    <w:topLinePunct w:val="0"/>
                    <w:bidi w:val="0"/>
                    <w:adjustRightInd/>
                    <w:snapToGrid/>
                    <w:jc w:val="center"/>
                    <w:rPr>
                      <w:rFonts w:hint="default" w:ascii="Times New Roman" w:hAnsi="Times New Roman" w:eastAsia="宋体" w:cs="Times New Roman"/>
                      <w:color w:val="auto"/>
                      <w:szCs w:val="21"/>
                      <w:highlight w:val="none"/>
                      <w:u w:val="none" w:color="auto"/>
                    </w:rPr>
                  </w:pPr>
                </w:p>
              </w:tc>
              <w:tc>
                <w:tcPr>
                  <w:tcW w:w="449" w:type="pct"/>
                  <w:tcBorders>
                    <w:tl2br w:val="nil"/>
                    <w:tr2bl w:val="nil"/>
                  </w:tcBorders>
                  <w:noWrap w:val="0"/>
                  <w:vAlign w:val="center"/>
                </w:tcPr>
                <w:p w14:paraId="147A0BB8">
                  <w:pPr>
                    <w:topLinePunct w:val="0"/>
                    <w:bidi w:val="0"/>
                    <w:adjustRightInd/>
                    <w:snapToGrid/>
                    <w:jc w:val="center"/>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rPr>
                    <w:t>动植物油</w:t>
                  </w:r>
                </w:p>
              </w:tc>
              <w:tc>
                <w:tcPr>
                  <w:tcW w:w="577" w:type="pct"/>
                  <w:tcBorders>
                    <w:tl2br w:val="nil"/>
                    <w:tr2bl w:val="nil"/>
                  </w:tcBorders>
                  <w:noWrap w:val="0"/>
                  <w:vAlign w:val="center"/>
                </w:tcPr>
                <w:p w14:paraId="646E7D56">
                  <w:pPr>
                    <w:topLinePunct w:val="0"/>
                    <w:bidi w:val="0"/>
                    <w:adjustRightInd/>
                    <w:snapToGrid/>
                    <w:jc w:val="center"/>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rPr>
                    <w:t>1.0mg/L</w:t>
                  </w:r>
                </w:p>
              </w:tc>
            </w:tr>
            <w:tr w14:paraId="59EB68F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262" w:type="pct"/>
                  <w:vMerge w:val="continue"/>
                  <w:tcBorders>
                    <w:tl2br w:val="nil"/>
                    <w:tr2bl w:val="nil"/>
                  </w:tcBorders>
                  <w:noWrap w:val="0"/>
                  <w:vAlign w:val="center"/>
                </w:tcPr>
                <w:p w14:paraId="18005984">
                  <w:pPr>
                    <w:topLinePunct w:val="0"/>
                    <w:bidi w:val="0"/>
                    <w:adjustRightInd/>
                    <w:snapToGrid/>
                    <w:jc w:val="center"/>
                    <w:rPr>
                      <w:rFonts w:hint="default" w:ascii="Times New Roman" w:hAnsi="Times New Roman" w:eastAsia="宋体" w:cs="Times New Roman"/>
                      <w:color w:val="auto"/>
                      <w:szCs w:val="21"/>
                      <w:highlight w:val="none"/>
                      <w:u w:val="none" w:color="auto"/>
                    </w:rPr>
                  </w:pPr>
                </w:p>
              </w:tc>
              <w:tc>
                <w:tcPr>
                  <w:tcW w:w="543" w:type="pct"/>
                  <w:vMerge w:val="continue"/>
                  <w:tcBorders>
                    <w:tl2br w:val="nil"/>
                    <w:tr2bl w:val="nil"/>
                  </w:tcBorders>
                  <w:noWrap w:val="0"/>
                  <w:vAlign w:val="center"/>
                </w:tcPr>
                <w:p w14:paraId="6F4B32BA">
                  <w:pPr>
                    <w:topLinePunct w:val="0"/>
                    <w:bidi w:val="0"/>
                    <w:adjustRightInd/>
                    <w:snapToGrid/>
                    <w:jc w:val="center"/>
                    <w:rPr>
                      <w:rFonts w:hint="default" w:ascii="Times New Roman" w:hAnsi="Times New Roman" w:eastAsia="宋体" w:cs="Times New Roman"/>
                      <w:color w:val="auto"/>
                      <w:highlight w:val="none"/>
                      <w:u w:val="none" w:color="auto"/>
                    </w:rPr>
                  </w:pPr>
                </w:p>
              </w:tc>
              <w:tc>
                <w:tcPr>
                  <w:tcW w:w="744" w:type="pct"/>
                  <w:vMerge w:val="continue"/>
                  <w:tcBorders>
                    <w:tl2br w:val="nil"/>
                    <w:tr2bl w:val="nil"/>
                  </w:tcBorders>
                  <w:noWrap w:val="0"/>
                  <w:vAlign w:val="center"/>
                </w:tcPr>
                <w:p w14:paraId="19EA01B4">
                  <w:pPr>
                    <w:topLinePunct w:val="0"/>
                    <w:bidi w:val="0"/>
                    <w:adjustRightInd/>
                    <w:snapToGrid/>
                    <w:jc w:val="center"/>
                    <w:rPr>
                      <w:rFonts w:hint="default" w:ascii="Times New Roman" w:hAnsi="Times New Roman" w:eastAsia="宋体" w:cs="Times New Roman"/>
                      <w:color w:val="auto"/>
                      <w:szCs w:val="21"/>
                      <w:highlight w:val="none"/>
                      <w:u w:val="none" w:color="auto"/>
                    </w:rPr>
                  </w:pPr>
                </w:p>
              </w:tc>
              <w:tc>
                <w:tcPr>
                  <w:tcW w:w="685" w:type="pct"/>
                  <w:vMerge w:val="continue"/>
                  <w:tcBorders>
                    <w:tl2br w:val="nil"/>
                    <w:tr2bl w:val="nil"/>
                  </w:tcBorders>
                  <w:noWrap w:val="0"/>
                  <w:vAlign w:val="center"/>
                </w:tcPr>
                <w:p w14:paraId="02ABA263">
                  <w:pPr>
                    <w:topLinePunct w:val="0"/>
                    <w:bidi w:val="0"/>
                    <w:adjustRightInd/>
                    <w:snapToGrid/>
                    <w:jc w:val="center"/>
                    <w:rPr>
                      <w:rFonts w:hint="default" w:ascii="Times New Roman" w:hAnsi="Times New Roman" w:eastAsia="宋体" w:cs="Times New Roman"/>
                      <w:color w:val="auto"/>
                      <w:szCs w:val="21"/>
                      <w:highlight w:val="none"/>
                      <w:u w:val="none" w:color="auto"/>
                    </w:rPr>
                  </w:pPr>
                </w:p>
              </w:tc>
              <w:tc>
                <w:tcPr>
                  <w:tcW w:w="554" w:type="pct"/>
                  <w:vMerge w:val="continue"/>
                  <w:tcBorders>
                    <w:tl2br w:val="nil"/>
                    <w:tr2bl w:val="nil"/>
                  </w:tcBorders>
                  <w:noWrap w:val="0"/>
                  <w:vAlign w:val="center"/>
                </w:tcPr>
                <w:p w14:paraId="54DA8438">
                  <w:pPr>
                    <w:topLinePunct w:val="0"/>
                    <w:bidi w:val="0"/>
                    <w:adjustRightInd/>
                    <w:snapToGrid/>
                    <w:jc w:val="center"/>
                    <w:rPr>
                      <w:rFonts w:hint="default" w:ascii="Times New Roman" w:hAnsi="Times New Roman" w:eastAsia="宋体" w:cs="Times New Roman"/>
                      <w:color w:val="auto"/>
                      <w:szCs w:val="21"/>
                      <w:highlight w:val="none"/>
                      <w:u w:val="none" w:color="auto"/>
                    </w:rPr>
                  </w:pPr>
                </w:p>
              </w:tc>
              <w:tc>
                <w:tcPr>
                  <w:tcW w:w="262" w:type="pct"/>
                  <w:vMerge w:val="continue"/>
                  <w:tcBorders>
                    <w:tl2br w:val="nil"/>
                    <w:tr2bl w:val="nil"/>
                  </w:tcBorders>
                  <w:noWrap w:val="0"/>
                  <w:vAlign w:val="center"/>
                </w:tcPr>
                <w:p w14:paraId="582E3254">
                  <w:pPr>
                    <w:topLinePunct w:val="0"/>
                    <w:bidi w:val="0"/>
                    <w:adjustRightInd/>
                    <w:snapToGrid/>
                    <w:jc w:val="center"/>
                    <w:rPr>
                      <w:rFonts w:hint="default" w:ascii="Times New Roman" w:hAnsi="Times New Roman" w:eastAsia="宋体" w:cs="Times New Roman"/>
                      <w:color w:val="auto"/>
                      <w:szCs w:val="21"/>
                      <w:highlight w:val="none"/>
                      <w:u w:val="none" w:color="auto"/>
                    </w:rPr>
                  </w:pPr>
                </w:p>
              </w:tc>
              <w:tc>
                <w:tcPr>
                  <w:tcW w:w="392" w:type="pct"/>
                  <w:vMerge w:val="continue"/>
                  <w:tcBorders>
                    <w:tl2br w:val="nil"/>
                    <w:tr2bl w:val="nil"/>
                  </w:tcBorders>
                  <w:noWrap w:val="0"/>
                  <w:vAlign w:val="center"/>
                </w:tcPr>
                <w:p w14:paraId="63EFBF7D">
                  <w:pPr>
                    <w:topLinePunct w:val="0"/>
                    <w:bidi w:val="0"/>
                    <w:adjustRightInd/>
                    <w:snapToGrid/>
                    <w:jc w:val="center"/>
                    <w:rPr>
                      <w:rFonts w:hint="default" w:ascii="Times New Roman" w:hAnsi="Times New Roman" w:eastAsia="宋体" w:cs="Times New Roman"/>
                      <w:color w:val="auto"/>
                      <w:szCs w:val="21"/>
                      <w:highlight w:val="none"/>
                      <w:u w:val="none" w:color="auto"/>
                    </w:rPr>
                  </w:pPr>
                </w:p>
              </w:tc>
              <w:tc>
                <w:tcPr>
                  <w:tcW w:w="262" w:type="pct"/>
                  <w:vMerge w:val="continue"/>
                  <w:tcBorders>
                    <w:tl2br w:val="nil"/>
                    <w:tr2bl w:val="nil"/>
                  </w:tcBorders>
                  <w:noWrap w:val="0"/>
                  <w:vAlign w:val="center"/>
                </w:tcPr>
                <w:p w14:paraId="6F3154E8">
                  <w:pPr>
                    <w:topLinePunct w:val="0"/>
                    <w:bidi w:val="0"/>
                    <w:adjustRightInd/>
                    <w:snapToGrid/>
                    <w:jc w:val="center"/>
                    <w:rPr>
                      <w:rFonts w:hint="default" w:ascii="Times New Roman" w:hAnsi="Times New Roman" w:eastAsia="宋体" w:cs="Times New Roman"/>
                      <w:color w:val="auto"/>
                      <w:szCs w:val="21"/>
                      <w:highlight w:val="none"/>
                      <w:u w:val="none" w:color="auto"/>
                    </w:rPr>
                  </w:pPr>
                </w:p>
              </w:tc>
              <w:tc>
                <w:tcPr>
                  <w:tcW w:w="262" w:type="pct"/>
                  <w:vMerge w:val="continue"/>
                  <w:tcBorders>
                    <w:tl2br w:val="nil"/>
                    <w:tr2bl w:val="nil"/>
                  </w:tcBorders>
                  <w:noWrap w:val="0"/>
                  <w:vAlign w:val="center"/>
                </w:tcPr>
                <w:p w14:paraId="08B745A4">
                  <w:pPr>
                    <w:topLinePunct w:val="0"/>
                    <w:bidi w:val="0"/>
                    <w:adjustRightInd/>
                    <w:snapToGrid/>
                    <w:jc w:val="center"/>
                    <w:rPr>
                      <w:rFonts w:hint="default" w:ascii="Times New Roman" w:hAnsi="Times New Roman" w:eastAsia="宋体" w:cs="Times New Roman"/>
                      <w:color w:val="auto"/>
                      <w:szCs w:val="21"/>
                      <w:highlight w:val="none"/>
                      <w:u w:val="none" w:color="auto"/>
                    </w:rPr>
                  </w:pPr>
                </w:p>
              </w:tc>
              <w:tc>
                <w:tcPr>
                  <w:tcW w:w="449" w:type="pct"/>
                  <w:vMerge w:val="restart"/>
                  <w:tcBorders>
                    <w:tl2br w:val="nil"/>
                    <w:tr2bl w:val="nil"/>
                  </w:tcBorders>
                  <w:noWrap w:val="0"/>
                  <w:vAlign w:val="center"/>
                </w:tcPr>
                <w:p w14:paraId="7AFB3DFC">
                  <w:pPr>
                    <w:topLinePunct w:val="0"/>
                    <w:bidi w:val="0"/>
                    <w:adjustRightInd/>
                    <w:snapToGrid/>
                    <w:jc w:val="center"/>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rPr>
                    <w:t>石油类</w:t>
                  </w:r>
                </w:p>
              </w:tc>
              <w:tc>
                <w:tcPr>
                  <w:tcW w:w="577" w:type="pct"/>
                  <w:vMerge w:val="restart"/>
                  <w:tcBorders>
                    <w:tl2br w:val="nil"/>
                    <w:tr2bl w:val="nil"/>
                  </w:tcBorders>
                  <w:noWrap w:val="0"/>
                  <w:vAlign w:val="center"/>
                </w:tcPr>
                <w:p w14:paraId="0D6E5FF0">
                  <w:pPr>
                    <w:topLinePunct w:val="0"/>
                    <w:bidi w:val="0"/>
                    <w:adjustRightInd/>
                    <w:snapToGrid/>
                    <w:jc w:val="center"/>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rPr>
                    <w:t>1.0mg/L</w:t>
                  </w:r>
                </w:p>
              </w:tc>
            </w:tr>
            <w:tr w14:paraId="350D8E7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5" w:hRule="atLeast"/>
              </w:trPr>
              <w:tc>
                <w:tcPr>
                  <w:tcW w:w="262" w:type="pct"/>
                  <w:tcBorders>
                    <w:tl2br w:val="nil"/>
                    <w:tr2bl w:val="nil"/>
                  </w:tcBorders>
                  <w:noWrap w:val="0"/>
                  <w:vAlign w:val="center"/>
                </w:tcPr>
                <w:p w14:paraId="6EBDF211">
                  <w:pPr>
                    <w:topLinePunct w:val="0"/>
                    <w:bidi w:val="0"/>
                    <w:adjustRightInd/>
                    <w:snapToGrid/>
                    <w:jc w:val="center"/>
                    <w:rPr>
                      <w:rFonts w:hint="default" w:ascii="Times New Roman" w:hAnsi="Times New Roman" w:eastAsia="宋体" w:cs="Times New Roman"/>
                      <w:color w:val="auto"/>
                      <w:szCs w:val="21"/>
                      <w:highlight w:val="none"/>
                      <w:u w:val="none" w:color="auto"/>
                      <w:lang w:val="en-US" w:eastAsia="zh-CN"/>
                    </w:rPr>
                  </w:pPr>
                  <w:r>
                    <w:rPr>
                      <w:rFonts w:hint="default" w:ascii="Times New Roman" w:hAnsi="Times New Roman" w:eastAsia="宋体" w:cs="Times New Roman"/>
                      <w:color w:val="auto"/>
                      <w:szCs w:val="21"/>
                      <w:highlight w:val="none"/>
                      <w:u w:val="none" w:color="auto"/>
                      <w:lang w:val="en-US" w:eastAsia="zh-CN"/>
                    </w:rPr>
                    <w:t>2</w:t>
                  </w:r>
                </w:p>
              </w:tc>
              <w:tc>
                <w:tcPr>
                  <w:tcW w:w="543" w:type="pct"/>
                  <w:tcBorders>
                    <w:tl2br w:val="nil"/>
                    <w:tr2bl w:val="nil"/>
                  </w:tcBorders>
                  <w:noWrap w:val="0"/>
                  <w:vAlign w:val="center"/>
                </w:tcPr>
                <w:p w14:paraId="76AB6344">
                  <w:pPr>
                    <w:topLinePunct w:val="0"/>
                    <w:bidi w:val="0"/>
                    <w:adjustRightInd/>
                    <w:snapToGrid/>
                    <w:jc w:val="center"/>
                    <w:rPr>
                      <w:rFonts w:hint="default" w:ascii="Times New Roman" w:hAnsi="Times New Roman" w:eastAsia="宋体" w:cs="Times New Roman"/>
                      <w:color w:val="auto"/>
                      <w:highlight w:val="none"/>
                      <w:u w:val="none" w:color="auto"/>
                      <w:lang w:val="en-US" w:eastAsia="zh-CN"/>
                    </w:rPr>
                  </w:pPr>
                  <w:r>
                    <w:rPr>
                      <w:rFonts w:hint="default" w:ascii="Times New Roman" w:hAnsi="Times New Roman" w:eastAsia="宋体" w:cs="Times New Roman"/>
                      <w:color w:val="auto"/>
                      <w:highlight w:val="none"/>
                      <w:u w:val="none" w:color="auto"/>
                      <w:lang w:val="en-US" w:eastAsia="zh-CN"/>
                    </w:rPr>
                    <w:t>DW002</w:t>
                  </w:r>
                </w:p>
              </w:tc>
              <w:tc>
                <w:tcPr>
                  <w:tcW w:w="744" w:type="pct"/>
                  <w:tcBorders>
                    <w:tl2br w:val="nil"/>
                    <w:tr2bl w:val="nil"/>
                  </w:tcBorders>
                  <w:noWrap w:val="0"/>
                  <w:vAlign w:val="center"/>
                </w:tcPr>
                <w:p w14:paraId="26F9B613">
                  <w:pPr>
                    <w:topLinePunct w:val="0"/>
                    <w:bidi w:val="0"/>
                    <w:adjustRightInd/>
                    <w:snapToGrid/>
                    <w:jc w:val="center"/>
                    <w:rPr>
                      <w:rFonts w:hint="default" w:ascii="Times New Roman" w:hAnsi="Times New Roman" w:eastAsia="宋体" w:cs="Times New Roman"/>
                      <w:color w:val="auto"/>
                      <w:szCs w:val="21"/>
                      <w:highlight w:val="none"/>
                      <w:u w:val="none" w:color="auto"/>
                      <w:lang w:val="en-US" w:eastAsia="zh-CN"/>
                    </w:rPr>
                  </w:pPr>
                  <w:r>
                    <w:rPr>
                      <w:rFonts w:hint="default" w:ascii="Times New Roman" w:hAnsi="Times New Roman" w:eastAsia="宋体" w:cs="Times New Roman"/>
                      <w:color w:val="auto"/>
                      <w:szCs w:val="21"/>
                      <w:highlight w:val="none"/>
                      <w:u w:val="none" w:color="auto"/>
                      <w:lang w:val="en-US" w:eastAsia="zh-CN"/>
                    </w:rPr>
                    <w:t>113.1980422</w:t>
                  </w:r>
                </w:p>
              </w:tc>
              <w:tc>
                <w:tcPr>
                  <w:tcW w:w="685" w:type="pct"/>
                  <w:tcBorders>
                    <w:tl2br w:val="nil"/>
                    <w:tr2bl w:val="nil"/>
                  </w:tcBorders>
                  <w:noWrap w:val="0"/>
                  <w:vAlign w:val="center"/>
                </w:tcPr>
                <w:p w14:paraId="1B455460">
                  <w:pPr>
                    <w:topLinePunct w:val="0"/>
                    <w:bidi w:val="0"/>
                    <w:adjustRightInd/>
                    <w:snapToGrid/>
                    <w:jc w:val="center"/>
                    <w:rPr>
                      <w:rFonts w:hint="default" w:ascii="Times New Roman" w:hAnsi="Times New Roman" w:eastAsia="宋体" w:cs="Times New Roman"/>
                      <w:color w:val="auto"/>
                      <w:szCs w:val="21"/>
                      <w:highlight w:val="none"/>
                      <w:u w:val="none" w:color="auto"/>
                      <w:lang w:val="en-US" w:eastAsia="zh-CN"/>
                    </w:rPr>
                  </w:pPr>
                  <w:r>
                    <w:rPr>
                      <w:rFonts w:hint="default" w:ascii="Times New Roman" w:hAnsi="Times New Roman" w:eastAsia="宋体" w:cs="Times New Roman"/>
                      <w:color w:val="auto"/>
                      <w:szCs w:val="21"/>
                      <w:highlight w:val="none"/>
                      <w:u w:val="none" w:color="auto"/>
                      <w:lang w:val="en-US" w:eastAsia="zh-CN"/>
                    </w:rPr>
                    <w:t>29.46771694</w:t>
                  </w:r>
                </w:p>
              </w:tc>
              <w:tc>
                <w:tcPr>
                  <w:tcW w:w="554" w:type="pct"/>
                  <w:tcBorders>
                    <w:tl2br w:val="nil"/>
                    <w:tr2bl w:val="nil"/>
                  </w:tcBorders>
                  <w:noWrap w:val="0"/>
                  <w:vAlign w:val="center"/>
                </w:tcPr>
                <w:p w14:paraId="0E08A9AA">
                  <w:pPr>
                    <w:topLinePunct w:val="0"/>
                    <w:bidi w:val="0"/>
                    <w:adjustRightInd/>
                    <w:snapToGrid/>
                    <w:jc w:val="center"/>
                    <w:rPr>
                      <w:rFonts w:hint="default" w:ascii="Times New Roman" w:hAnsi="Times New Roman" w:eastAsia="宋体" w:cs="Times New Roman"/>
                      <w:color w:val="auto"/>
                      <w:szCs w:val="21"/>
                      <w:highlight w:val="none"/>
                      <w:u w:val="none" w:color="auto"/>
                      <w:lang w:val="en-US" w:eastAsia="zh-CN"/>
                    </w:rPr>
                  </w:pPr>
                  <w:r>
                    <w:rPr>
                      <w:rFonts w:hint="default" w:ascii="Times New Roman" w:hAnsi="Times New Roman" w:eastAsia="宋体" w:cs="Times New Roman"/>
                      <w:color w:val="auto"/>
                      <w:szCs w:val="21"/>
                      <w:highlight w:val="none"/>
                      <w:u w:val="none" w:color="auto"/>
                      <w:lang w:val="en-US" w:eastAsia="zh-CN"/>
                    </w:rPr>
                    <w:t>0.1850</w:t>
                  </w:r>
                </w:p>
              </w:tc>
              <w:tc>
                <w:tcPr>
                  <w:tcW w:w="262" w:type="pct"/>
                  <w:vMerge w:val="continue"/>
                  <w:tcBorders>
                    <w:tl2br w:val="nil"/>
                    <w:tr2bl w:val="nil"/>
                  </w:tcBorders>
                  <w:noWrap w:val="0"/>
                  <w:vAlign w:val="center"/>
                </w:tcPr>
                <w:p w14:paraId="5B8C92B9">
                  <w:pPr>
                    <w:topLinePunct w:val="0"/>
                    <w:bidi w:val="0"/>
                    <w:adjustRightInd/>
                    <w:snapToGrid/>
                    <w:jc w:val="center"/>
                    <w:rPr>
                      <w:rFonts w:hint="default" w:ascii="Times New Roman" w:hAnsi="Times New Roman" w:eastAsia="宋体" w:cs="Times New Roman"/>
                      <w:color w:val="auto"/>
                      <w:szCs w:val="21"/>
                      <w:highlight w:val="none"/>
                      <w:u w:val="none" w:color="auto"/>
                    </w:rPr>
                  </w:pPr>
                </w:p>
              </w:tc>
              <w:tc>
                <w:tcPr>
                  <w:tcW w:w="392" w:type="pct"/>
                  <w:vMerge w:val="continue"/>
                  <w:tcBorders>
                    <w:tl2br w:val="nil"/>
                    <w:tr2bl w:val="nil"/>
                  </w:tcBorders>
                  <w:noWrap w:val="0"/>
                  <w:vAlign w:val="center"/>
                </w:tcPr>
                <w:p w14:paraId="63173F19">
                  <w:pPr>
                    <w:topLinePunct w:val="0"/>
                    <w:bidi w:val="0"/>
                    <w:adjustRightInd/>
                    <w:snapToGrid/>
                    <w:jc w:val="center"/>
                    <w:rPr>
                      <w:rFonts w:hint="default" w:ascii="Times New Roman" w:hAnsi="Times New Roman" w:eastAsia="宋体" w:cs="Times New Roman"/>
                      <w:color w:val="auto"/>
                      <w:szCs w:val="21"/>
                      <w:highlight w:val="none"/>
                      <w:u w:val="none" w:color="auto"/>
                    </w:rPr>
                  </w:pPr>
                </w:p>
              </w:tc>
              <w:tc>
                <w:tcPr>
                  <w:tcW w:w="262" w:type="pct"/>
                  <w:vMerge w:val="continue"/>
                  <w:tcBorders>
                    <w:tl2br w:val="nil"/>
                    <w:tr2bl w:val="nil"/>
                  </w:tcBorders>
                  <w:noWrap w:val="0"/>
                  <w:vAlign w:val="center"/>
                </w:tcPr>
                <w:p w14:paraId="68710810">
                  <w:pPr>
                    <w:topLinePunct w:val="0"/>
                    <w:bidi w:val="0"/>
                    <w:adjustRightInd/>
                    <w:snapToGrid/>
                    <w:jc w:val="center"/>
                    <w:rPr>
                      <w:rFonts w:hint="default" w:ascii="Times New Roman" w:hAnsi="Times New Roman" w:eastAsia="宋体" w:cs="Times New Roman"/>
                      <w:color w:val="auto"/>
                      <w:szCs w:val="21"/>
                      <w:highlight w:val="none"/>
                      <w:u w:val="none" w:color="auto"/>
                    </w:rPr>
                  </w:pPr>
                </w:p>
              </w:tc>
              <w:tc>
                <w:tcPr>
                  <w:tcW w:w="262" w:type="pct"/>
                  <w:vMerge w:val="continue"/>
                  <w:tcBorders>
                    <w:tl2br w:val="nil"/>
                    <w:tr2bl w:val="nil"/>
                  </w:tcBorders>
                  <w:noWrap w:val="0"/>
                  <w:vAlign w:val="center"/>
                </w:tcPr>
                <w:p w14:paraId="2D280257">
                  <w:pPr>
                    <w:topLinePunct w:val="0"/>
                    <w:bidi w:val="0"/>
                    <w:adjustRightInd/>
                    <w:snapToGrid/>
                    <w:jc w:val="center"/>
                    <w:rPr>
                      <w:rFonts w:hint="default" w:ascii="Times New Roman" w:hAnsi="Times New Roman" w:eastAsia="宋体" w:cs="Times New Roman"/>
                      <w:color w:val="auto"/>
                      <w:szCs w:val="21"/>
                      <w:highlight w:val="none"/>
                      <w:u w:val="none" w:color="auto"/>
                    </w:rPr>
                  </w:pPr>
                </w:p>
              </w:tc>
              <w:tc>
                <w:tcPr>
                  <w:tcW w:w="449" w:type="pct"/>
                  <w:vMerge w:val="continue"/>
                  <w:tcBorders>
                    <w:tl2br w:val="nil"/>
                    <w:tr2bl w:val="nil"/>
                  </w:tcBorders>
                  <w:noWrap w:val="0"/>
                  <w:vAlign w:val="center"/>
                </w:tcPr>
                <w:p w14:paraId="4A51A931">
                  <w:pPr>
                    <w:topLinePunct w:val="0"/>
                    <w:bidi w:val="0"/>
                    <w:adjustRightInd/>
                    <w:snapToGrid/>
                    <w:jc w:val="center"/>
                    <w:rPr>
                      <w:rFonts w:hint="default" w:ascii="Times New Roman" w:hAnsi="Times New Roman" w:eastAsia="宋体" w:cs="Times New Roman"/>
                      <w:color w:val="auto"/>
                      <w:szCs w:val="21"/>
                      <w:highlight w:val="none"/>
                      <w:u w:val="none" w:color="auto"/>
                      <w:lang w:val="en-US" w:eastAsia="zh-CN"/>
                    </w:rPr>
                  </w:pPr>
                </w:p>
              </w:tc>
              <w:tc>
                <w:tcPr>
                  <w:tcW w:w="577" w:type="pct"/>
                  <w:vMerge w:val="continue"/>
                  <w:tcBorders>
                    <w:tl2br w:val="nil"/>
                    <w:tr2bl w:val="nil"/>
                  </w:tcBorders>
                  <w:noWrap w:val="0"/>
                  <w:vAlign w:val="center"/>
                </w:tcPr>
                <w:p w14:paraId="75DE86BA">
                  <w:pPr>
                    <w:topLinePunct w:val="0"/>
                    <w:bidi w:val="0"/>
                    <w:adjustRightInd/>
                    <w:snapToGrid/>
                    <w:jc w:val="center"/>
                    <w:rPr>
                      <w:rFonts w:hint="default" w:ascii="Times New Roman" w:hAnsi="Times New Roman" w:eastAsia="宋体" w:cs="Times New Roman"/>
                      <w:color w:val="auto"/>
                      <w:szCs w:val="21"/>
                      <w:highlight w:val="none"/>
                      <w:u w:val="none" w:color="auto"/>
                      <w:lang w:val="en-US" w:eastAsia="zh-CN"/>
                    </w:rPr>
                  </w:pPr>
                </w:p>
              </w:tc>
            </w:tr>
            <w:tr w14:paraId="3D16219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5" w:hRule="atLeast"/>
              </w:trPr>
              <w:tc>
                <w:tcPr>
                  <w:tcW w:w="262" w:type="pct"/>
                  <w:tcBorders>
                    <w:tl2br w:val="nil"/>
                    <w:tr2bl w:val="nil"/>
                  </w:tcBorders>
                  <w:noWrap w:val="0"/>
                  <w:vAlign w:val="center"/>
                </w:tcPr>
                <w:p w14:paraId="27BA3F3E">
                  <w:pPr>
                    <w:topLinePunct w:val="0"/>
                    <w:bidi w:val="0"/>
                    <w:adjustRightInd/>
                    <w:snapToGrid/>
                    <w:jc w:val="center"/>
                    <w:rPr>
                      <w:rFonts w:hint="default" w:ascii="Times New Roman" w:hAnsi="Times New Roman" w:eastAsia="宋体" w:cs="Times New Roman"/>
                      <w:color w:val="auto"/>
                      <w:szCs w:val="21"/>
                      <w:highlight w:val="none"/>
                      <w:u w:val="none" w:color="auto"/>
                      <w:lang w:val="en-US" w:eastAsia="zh-CN"/>
                    </w:rPr>
                  </w:pPr>
                  <w:r>
                    <w:rPr>
                      <w:rFonts w:hint="default" w:ascii="Times New Roman" w:hAnsi="Times New Roman" w:eastAsia="宋体" w:cs="Times New Roman"/>
                      <w:color w:val="auto"/>
                      <w:szCs w:val="21"/>
                      <w:highlight w:val="none"/>
                      <w:u w:val="none" w:color="auto"/>
                      <w:lang w:val="en-US" w:eastAsia="zh-CN"/>
                    </w:rPr>
                    <w:t>3</w:t>
                  </w:r>
                </w:p>
              </w:tc>
              <w:tc>
                <w:tcPr>
                  <w:tcW w:w="543" w:type="pct"/>
                  <w:tcBorders>
                    <w:tl2br w:val="nil"/>
                    <w:tr2bl w:val="nil"/>
                  </w:tcBorders>
                  <w:noWrap w:val="0"/>
                  <w:vAlign w:val="center"/>
                </w:tcPr>
                <w:p w14:paraId="6197D373">
                  <w:pPr>
                    <w:topLinePunct w:val="0"/>
                    <w:bidi w:val="0"/>
                    <w:adjustRightInd/>
                    <w:snapToGrid/>
                    <w:jc w:val="center"/>
                    <w:rPr>
                      <w:rFonts w:hint="default" w:ascii="Times New Roman" w:hAnsi="Times New Roman" w:eastAsia="宋体" w:cs="Times New Roman"/>
                      <w:color w:val="auto"/>
                      <w:highlight w:val="none"/>
                      <w:u w:val="none" w:color="auto"/>
                      <w:lang w:val="en-US"/>
                    </w:rPr>
                  </w:pPr>
                  <w:r>
                    <w:rPr>
                      <w:rFonts w:hint="default" w:ascii="Times New Roman" w:hAnsi="Times New Roman" w:eastAsia="宋体" w:cs="Times New Roman"/>
                      <w:color w:val="auto"/>
                      <w:highlight w:val="none"/>
                      <w:u w:val="none" w:color="auto"/>
                      <w:lang w:val="en-US" w:eastAsia="zh-CN"/>
                    </w:rPr>
                    <w:t>DW003</w:t>
                  </w:r>
                </w:p>
              </w:tc>
              <w:tc>
                <w:tcPr>
                  <w:tcW w:w="744" w:type="pct"/>
                  <w:tcBorders>
                    <w:tl2br w:val="nil"/>
                    <w:tr2bl w:val="nil"/>
                  </w:tcBorders>
                  <w:noWrap w:val="0"/>
                  <w:vAlign w:val="center"/>
                </w:tcPr>
                <w:p w14:paraId="56A62084">
                  <w:pPr>
                    <w:topLinePunct w:val="0"/>
                    <w:bidi w:val="0"/>
                    <w:adjustRightInd/>
                    <w:snapToGrid/>
                    <w:jc w:val="center"/>
                    <w:rPr>
                      <w:rFonts w:hint="default" w:ascii="Times New Roman" w:hAnsi="Times New Roman" w:eastAsia="宋体" w:cs="Times New Roman"/>
                      <w:color w:val="auto"/>
                      <w:szCs w:val="21"/>
                      <w:highlight w:val="none"/>
                      <w:u w:val="none" w:color="auto"/>
                      <w:lang w:val="en-US" w:eastAsia="zh-CN"/>
                    </w:rPr>
                  </w:pPr>
                  <w:r>
                    <w:rPr>
                      <w:rFonts w:hint="default" w:ascii="Times New Roman" w:hAnsi="Times New Roman" w:eastAsia="宋体" w:cs="Times New Roman"/>
                      <w:color w:val="auto"/>
                      <w:szCs w:val="21"/>
                      <w:highlight w:val="none"/>
                      <w:u w:val="none" w:color="auto"/>
                      <w:lang w:val="en-US" w:eastAsia="zh-CN"/>
                    </w:rPr>
                    <w:t>113.1979806</w:t>
                  </w:r>
                </w:p>
              </w:tc>
              <w:tc>
                <w:tcPr>
                  <w:tcW w:w="685" w:type="pct"/>
                  <w:tcBorders>
                    <w:tl2br w:val="nil"/>
                    <w:tr2bl w:val="nil"/>
                  </w:tcBorders>
                  <w:noWrap w:val="0"/>
                  <w:vAlign w:val="center"/>
                </w:tcPr>
                <w:p w14:paraId="268216F2">
                  <w:pPr>
                    <w:topLinePunct w:val="0"/>
                    <w:bidi w:val="0"/>
                    <w:adjustRightInd/>
                    <w:snapToGrid/>
                    <w:jc w:val="center"/>
                    <w:rPr>
                      <w:rFonts w:hint="default" w:ascii="Times New Roman" w:hAnsi="Times New Roman" w:eastAsia="宋体" w:cs="Times New Roman"/>
                      <w:color w:val="auto"/>
                      <w:szCs w:val="21"/>
                      <w:highlight w:val="none"/>
                      <w:u w:val="none" w:color="auto"/>
                      <w:lang w:val="en-US" w:eastAsia="zh-CN"/>
                    </w:rPr>
                  </w:pPr>
                  <w:r>
                    <w:rPr>
                      <w:rFonts w:hint="default" w:ascii="Times New Roman" w:hAnsi="Times New Roman" w:eastAsia="宋体" w:cs="Times New Roman"/>
                      <w:color w:val="auto"/>
                      <w:szCs w:val="21"/>
                      <w:highlight w:val="none"/>
                      <w:u w:val="none" w:color="auto"/>
                      <w:lang w:val="en-US" w:eastAsia="zh-CN"/>
                    </w:rPr>
                    <w:t>29.46726776</w:t>
                  </w:r>
                </w:p>
              </w:tc>
              <w:tc>
                <w:tcPr>
                  <w:tcW w:w="554" w:type="pct"/>
                  <w:vMerge w:val="restart"/>
                  <w:tcBorders>
                    <w:tl2br w:val="nil"/>
                    <w:tr2bl w:val="nil"/>
                  </w:tcBorders>
                  <w:noWrap w:val="0"/>
                  <w:vAlign w:val="center"/>
                </w:tcPr>
                <w:p w14:paraId="38723B81">
                  <w:pPr>
                    <w:topLinePunct w:val="0"/>
                    <w:bidi w:val="0"/>
                    <w:adjustRightInd/>
                    <w:snapToGrid/>
                    <w:jc w:val="center"/>
                    <w:rPr>
                      <w:rFonts w:hint="default" w:ascii="Times New Roman" w:hAnsi="Times New Roman" w:eastAsia="宋体" w:cs="Times New Roman"/>
                      <w:color w:val="auto"/>
                      <w:szCs w:val="21"/>
                      <w:highlight w:val="none"/>
                      <w:u w:val="none" w:color="auto"/>
                      <w:lang w:val="en-US" w:eastAsia="zh-CN"/>
                    </w:rPr>
                  </w:pPr>
                  <w:r>
                    <w:rPr>
                      <w:rFonts w:hint="default" w:ascii="Times New Roman" w:hAnsi="Times New Roman" w:eastAsia="宋体" w:cs="Times New Roman"/>
                      <w:color w:val="auto"/>
                      <w:szCs w:val="21"/>
                      <w:highlight w:val="none"/>
                      <w:u w:val="none" w:color="auto"/>
                      <w:lang w:val="en-US" w:eastAsia="zh-CN"/>
                    </w:rPr>
                    <w:t>0.33744</w:t>
                  </w:r>
                </w:p>
              </w:tc>
              <w:tc>
                <w:tcPr>
                  <w:tcW w:w="262" w:type="pct"/>
                  <w:vMerge w:val="continue"/>
                  <w:tcBorders>
                    <w:tl2br w:val="nil"/>
                    <w:tr2bl w:val="nil"/>
                  </w:tcBorders>
                  <w:noWrap w:val="0"/>
                  <w:vAlign w:val="center"/>
                </w:tcPr>
                <w:p w14:paraId="05919EF0">
                  <w:pPr>
                    <w:topLinePunct w:val="0"/>
                    <w:bidi w:val="0"/>
                    <w:adjustRightInd/>
                    <w:snapToGrid/>
                    <w:jc w:val="center"/>
                    <w:rPr>
                      <w:rFonts w:hint="default" w:ascii="Times New Roman" w:hAnsi="Times New Roman" w:eastAsia="宋体" w:cs="Times New Roman"/>
                      <w:color w:val="auto"/>
                      <w:szCs w:val="21"/>
                      <w:highlight w:val="none"/>
                      <w:u w:val="none" w:color="auto"/>
                    </w:rPr>
                  </w:pPr>
                </w:p>
              </w:tc>
              <w:tc>
                <w:tcPr>
                  <w:tcW w:w="392" w:type="pct"/>
                  <w:vMerge w:val="continue"/>
                  <w:tcBorders>
                    <w:tl2br w:val="nil"/>
                    <w:tr2bl w:val="nil"/>
                  </w:tcBorders>
                  <w:noWrap w:val="0"/>
                  <w:vAlign w:val="center"/>
                </w:tcPr>
                <w:p w14:paraId="4E5BA4B1">
                  <w:pPr>
                    <w:topLinePunct w:val="0"/>
                    <w:bidi w:val="0"/>
                    <w:adjustRightInd/>
                    <w:snapToGrid/>
                    <w:jc w:val="center"/>
                    <w:rPr>
                      <w:rFonts w:hint="default" w:ascii="Times New Roman" w:hAnsi="Times New Roman" w:eastAsia="宋体" w:cs="Times New Roman"/>
                      <w:color w:val="auto"/>
                      <w:szCs w:val="21"/>
                      <w:highlight w:val="none"/>
                      <w:u w:val="none" w:color="auto"/>
                    </w:rPr>
                  </w:pPr>
                </w:p>
              </w:tc>
              <w:tc>
                <w:tcPr>
                  <w:tcW w:w="262" w:type="pct"/>
                  <w:vMerge w:val="continue"/>
                  <w:tcBorders>
                    <w:tl2br w:val="nil"/>
                    <w:tr2bl w:val="nil"/>
                  </w:tcBorders>
                  <w:noWrap w:val="0"/>
                  <w:vAlign w:val="center"/>
                </w:tcPr>
                <w:p w14:paraId="4A9A2160">
                  <w:pPr>
                    <w:topLinePunct w:val="0"/>
                    <w:bidi w:val="0"/>
                    <w:adjustRightInd/>
                    <w:snapToGrid/>
                    <w:jc w:val="center"/>
                    <w:rPr>
                      <w:rFonts w:hint="default" w:ascii="Times New Roman" w:hAnsi="Times New Roman" w:eastAsia="宋体" w:cs="Times New Roman"/>
                      <w:color w:val="auto"/>
                      <w:szCs w:val="21"/>
                      <w:highlight w:val="none"/>
                      <w:u w:val="none" w:color="auto"/>
                    </w:rPr>
                  </w:pPr>
                </w:p>
              </w:tc>
              <w:tc>
                <w:tcPr>
                  <w:tcW w:w="262" w:type="pct"/>
                  <w:vMerge w:val="continue"/>
                  <w:tcBorders>
                    <w:tl2br w:val="nil"/>
                    <w:tr2bl w:val="nil"/>
                  </w:tcBorders>
                  <w:noWrap w:val="0"/>
                  <w:vAlign w:val="center"/>
                </w:tcPr>
                <w:p w14:paraId="4AE6AEDA">
                  <w:pPr>
                    <w:topLinePunct w:val="0"/>
                    <w:bidi w:val="0"/>
                    <w:adjustRightInd/>
                    <w:snapToGrid/>
                    <w:jc w:val="center"/>
                    <w:rPr>
                      <w:rFonts w:hint="default" w:ascii="Times New Roman" w:hAnsi="Times New Roman" w:eastAsia="宋体" w:cs="Times New Roman"/>
                      <w:color w:val="auto"/>
                      <w:szCs w:val="21"/>
                      <w:highlight w:val="none"/>
                      <w:u w:val="none" w:color="auto"/>
                    </w:rPr>
                  </w:pPr>
                </w:p>
              </w:tc>
              <w:tc>
                <w:tcPr>
                  <w:tcW w:w="449" w:type="pct"/>
                  <w:vMerge w:val="continue"/>
                  <w:tcBorders>
                    <w:tl2br w:val="nil"/>
                    <w:tr2bl w:val="nil"/>
                  </w:tcBorders>
                  <w:noWrap w:val="0"/>
                  <w:vAlign w:val="center"/>
                </w:tcPr>
                <w:p w14:paraId="2FF89D28">
                  <w:pPr>
                    <w:topLinePunct w:val="0"/>
                    <w:bidi w:val="0"/>
                    <w:adjustRightInd/>
                    <w:snapToGrid/>
                    <w:jc w:val="center"/>
                    <w:rPr>
                      <w:rFonts w:hint="default" w:ascii="Times New Roman" w:hAnsi="Times New Roman" w:eastAsia="宋体" w:cs="Times New Roman"/>
                      <w:color w:val="auto"/>
                      <w:szCs w:val="21"/>
                      <w:highlight w:val="none"/>
                      <w:u w:val="none" w:color="auto"/>
                      <w:lang w:val="en-US" w:eastAsia="zh-CN"/>
                    </w:rPr>
                  </w:pPr>
                </w:p>
              </w:tc>
              <w:tc>
                <w:tcPr>
                  <w:tcW w:w="577" w:type="pct"/>
                  <w:vMerge w:val="continue"/>
                  <w:tcBorders>
                    <w:tl2br w:val="nil"/>
                    <w:tr2bl w:val="nil"/>
                  </w:tcBorders>
                  <w:noWrap w:val="0"/>
                  <w:vAlign w:val="center"/>
                </w:tcPr>
                <w:p w14:paraId="371D01C9">
                  <w:pPr>
                    <w:topLinePunct w:val="0"/>
                    <w:bidi w:val="0"/>
                    <w:adjustRightInd/>
                    <w:snapToGrid/>
                    <w:jc w:val="center"/>
                    <w:rPr>
                      <w:rFonts w:hint="default" w:ascii="Times New Roman" w:hAnsi="Times New Roman" w:eastAsia="宋体" w:cs="Times New Roman"/>
                      <w:color w:val="auto"/>
                      <w:szCs w:val="21"/>
                      <w:highlight w:val="none"/>
                      <w:u w:val="none" w:color="auto"/>
                      <w:lang w:val="en-US" w:eastAsia="zh-CN"/>
                    </w:rPr>
                  </w:pPr>
                </w:p>
              </w:tc>
            </w:tr>
            <w:tr w14:paraId="13C6698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5" w:hRule="atLeast"/>
              </w:trPr>
              <w:tc>
                <w:tcPr>
                  <w:tcW w:w="262" w:type="pct"/>
                  <w:tcBorders>
                    <w:tl2br w:val="nil"/>
                    <w:tr2bl w:val="nil"/>
                  </w:tcBorders>
                  <w:shd w:val="clear" w:color="auto" w:fill="auto"/>
                  <w:noWrap w:val="0"/>
                  <w:vAlign w:val="center"/>
                </w:tcPr>
                <w:p w14:paraId="70BB885A">
                  <w:pPr>
                    <w:topLinePunct w:val="0"/>
                    <w:bidi w:val="0"/>
                    <w:adjustRightInd/>
                    <w:snapToGrid/>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Cs w:val="21"/>
                      <w:highlight w:val="none"/>
                      <w:u w:val="none" w:color="auto"/>
                      <w:lang w:val="en-US" w:eastAsia="zh-CN"/>
                    </w:rPr>
                    <w:t>4</w:t>
                  </w:r>
                </w:p>
              </w:tc>
              <w:tc>
                <w:tcPr>
                  <w:tcW w:w="543" w:type="pct"/>
                  <w:tcBorders>
                    <w:tl2br w:val="nil"/>
                    <w:tr2bl w:val="nil"/>
                  </w:tcBorders>
                  <w:shd w:val="clear" w:color="auto" w:fill="auto"/>
                  <w:noWrap w:val="0"/>
                  <w:vAlign w:val="center"/>
                </w:tcPr>
                <w:p w14:paraId="23965188">
                  <w:pPr>
                    <w:topLinePunct w:val="0"/>
                    <w:bidi w:val="0"/>
                    <w:adjustRightInd/>
                    <w:snapToGrid/>
                    <w:jc w:val="center"/>
                    <w:rPr>
                      <w:rFonts w:hint="default" w:ascii="Times New Roman" w:hAnsi="Times New Roman" w:eastAsia="宋体" w:cs="Times New Roman"/>
                      <w:color w:val="auto"/>
                      <w:kern w:val="2"/>
                      <w:sz w:val="21"/>
                      <w:szCs w:val="24"/>
                      <w:highlight w:val="none"/>
                      <w:u w:val="none" w:color="auto"/>
                      <w:lang w:val="en-US" w:eastAsia="zh-CN" w:bidi="ar-SA"/>
                    </w:rPr>
                  </w:pPr>
                  <w:r>
                    <w:rPr>
                      <w:rFonts w:hint="default" w:ascii="Times New Roman" w:hAnsi="Times New Roman" w:eastAsia="宋体" w:cs="Times New Roman"/>
                      <w:color w:val="auto"/>
                      <w:highlight w:val="none"/>
                      <w:u w:val="none" w:color="auto"/>
                      <w:lang w:val="en-US" w:eastAsia="zh-CN"/>
                    </w:rPr>
                    <w:t>DW004</w:t>
                  </w:r>
                </w:p>
              </w:tc>
              <w:tc>
                <w:tcPr>
                  <w:tcW w:w="744" w:type="pct"/>
                  <w:tcBorders>
                    <w:tl2br w:val="nil"/>
                    <w:tr2bl w:val="nil"/>
                  </w:tcBorders>
                  <w:noWrap w:val="0"/>
                  <w:vAlign w:val="center"/>
                </w:tcPr>
                <w:p w14:paraId="0898E385">
                  <w:pPr>
                    <w:topLinePunct w:val="0"/>
                    <w:bidi w:val="0"/>
                    <w:adjustRightInd/>
                    <w:snapToGrid/>
                    <w:jc w:val="center"/>
                    <w:rPr>
                      <w:rFonts w:hint="default" w:ascii="Times New Roman" w:hAnsi="Times New Roman" w:eastAsia="宋体" w:cs="Times New Roman"/>
                      <w:color w:val="auto"/>
                      <w:szCs w:val="21"/>
                      <w:highlight w:val="none"/>
                      <w:u w:val="none" w:color="auto"/>
                      <w:lang w:val="en-US" w:eastAsia="zh-CN"/>
                    </w:rPr>
                  </w:pPr>
                  <w:r>
                    <w:rPr>
                      <w:rFonts w:hint="default" w:ascii="Times New Roman" w:hAnsi="Times New Roman" w:eastAsia="宋体" w:cs="Times New Roman"/>
                      <w:color w:val="auto"/>
                      <w:szCs w:val="21"/>
                      <w:highlight w:val="none"/>
                      <w:u w:val="none" w:color="auto"/>
                      <w:lang w:val="en-US" w:eastAsia="zh-CN"/>
                    </w:rPr>
                    <w:t>113.200306</w:t>
                  </w:r>
                </w:p>
              </w:tc>
              <w:tc>
                <w:tcPr>
                  <w:tcW w:w="685" w:type="pct"/>
                  <w:tcBorders>
                    <w:tl2br w:val="nil"/>
                    <w:tr2bl w:val="nil"/>
                  </w:tcBorders>
                  <w:noWrap w:val="0"/>
                  <w:vAlign w:val="center"/>
                </w:tcPr>
                <w:p w14:paraId="1A703409">
                  <w:pPr>
                    <w:topLinePunct w:val="0"/>
                    <w:bidi w:val="0"/>
                    <w:adjustRightInd/>
                    <w:snapToGrid/>
                    <w:jc w:val="center"/>
                    <w:rPr>
                      <w:rFonts w:hint="default" w:ascii="Times New Roman" w:hAnsi="Times New Roman" w:eastAsia="宋体" w:cs="Times New Roman"/>
                      <w:color w:val="auto"/>
                      <w:szCs w:val="21"/>
                      <w:highlight w:val="none"/>
                      <w:u w:val="none" w:color="auto"/>
                      <w:lang w:val="en-US" w:eastAsia="zh-CN"/>
                    </w:rPr>
                  </w:pPr>
                  <w:r>
                    <w:rPr>
                      <w:rFonts w:hint="default" w:ascii="Times New Roman" w:hAnsi="Times New Roman" w:eastAsia="宋体" w:cs="Times New Roman"/>
                      <w:color w:val="auto"/>
                      <w:szCs w:val="21"/>
                      <w:highlight w:val="none"/>
                      <w:u w:val="none" w:color="auto"/>
                      <w:lang w:val="en-US" w:eastAsia="zh-CN"/>
                    </w:rPr>
                    <w:t>29.46704427</w:t>
                  </w:r>
                </w:p>
              </w:tc>
              <w:tc>
                <w:tcPr>
                  <w:tcW w:w="554" w:type="pct"/>
                  <w:vMerge w:val="continue"/>
                  <w:tcBorders>
                    <w:tl2br w:val="nil"/>
                    <w:tr2bl w:val="nil"/>
                  </w:tcBorders>
                  <w:noWrap w:val="0"/>
                  <w:vAlign w:val="center"/>
                </w:tcPr>
                <w:p w14:paraId="29A26516">
                  <w:pPr>
                    <w:topLinePunct w:val="0"/>
                    <w:bidi w:val="0"/>
                    <w:adjustRightInd/>
                    <w:snapToGrid/>
                    <w:jc w:val="center"/>
                    <w:rPr>
                      <w:rFonts w:hint="default" w:ascii="Times New Roman" w:hAnsi="Times New Roman" w:eastAsia="宋体" w:cs="Times New Roman"/>
                      <w:color w:val="auto"/>
                      <w:u w:val="none" w:color="auto"/>
                    </w:rPr>
                  </w:pPr>
                </w:p>
              </w:tc>
              <w:tc>
                <w:tcPr>
                  <w:tcW w:w="262" w:type="pct"/>
                  <w:vMerge w:val="continue"/>
                  <w:tcBorders>
                    <w:tl2br w:val="nil"/>
                    <w:tr2bl w:val="nil"/>
                  </w:tcBorders>
                  <w:noWrap w:val="0"/>
                  <w:vAlign w:val="center"/>
                </w:tcPr>
                <w:p w14:paraId="0EAE06A3">
                  <w:pPr>
                    <w:topLinePunct w:val="0"/>
                    <w:bidi w:val="0"/>
                    <w:adjustRightInd/>
                    <w:snapToGrid/>
                    <w:jc w:val="center"/>
                    <w:rPr>
                      <w:rFonts w:hint="default" w:ascii="Times New Roman" w:hAnsi="Times New Roman" w:eastAsia="宋体" w:cs="Times New Roman"/>
                      <w:color w:val="auto"/>
                      <w:szCs w:val="21"/>
                      <w:highlight w:val="none"/>
                      <w:u w:val="none" w:color="auto"/>
                    </w:rPr>
                  </w:pPr>
                </w:p>
              </w:tc>
              <w:tc>
                <w:tcPr>
                  <w:tcW w:w="392" w:type="pct"/>
                  <w:vMerge w:val="continue"/>
                  <w:tcBorders>
                    <w:tl2br w:val="nil"/>
                    <w:tr2bl w:val="nil"/>
                  </w:tcBorders>
                  <w:noWrap w:val="0"/>
                  <w:vAlign w:val="center"/>
                </w:tcPr>
                <w:p w14:paraId="6AC9545B">
                  <w:pPr>
                    <w:topLinePunct w:val="0"/>
                    <w:bidi w:val="0"/>
                    <w:adjustRightInd/>
                    <w:snapToGrid/>
                    <w:jc w:val="center"/>
                    <w:rPr>
                      <w:rFonts w:hint="default" w:ascii="Times New Roman" w:hAnsi="Times New Roman" w:eastAsia="宋体" w:cs="Times New Roman"/>
                      <w:color w:val="auto"/>
                      <w:szCs w:val="21"/>
                      <w:highlight w:val="none"/>
                      <w:u w:val="none" w:color="auto"/>
                    </w:rPr>
                  </w:pPr>
                </w:p>
              </w:tc>
              <w:tc>
                <w:tcPr>
                  <w:tcW w:w="262" w:type="pct"/>
                  <w:vMerge w:val="continue"/>
                  <w:tcBorders>
                    <w:tl2br w:val="nil"/>
                    <w:tr2bl w:val="nil"/>
                  </w:tcBorders>
                  <w:noWrap w:val="0"/>
                  <w:vAlign w:val="center"/>
                </w:tcPr>
                <w:p w14:paraId="7E81E612">
                  <w:pPr>
                    <w:topLinePunct w:val="0"/>
                    <w:bidi w:val="0"/>
                    <w:adjustRightInd/>
                    <w:snapToGrid/>
                    <w:jc w:val="center"/>
                    <w:rPr>
                      <w:rFonts w:hint="default" w:ascii="Times New Roman" w:hAnsi="Times New Roman" w:eastAsia="宋体" w:cs="Times New Roman"/>
                      <w:color w:val="auto"/>
                      <w:szCs w:val="21"/>
                      <w:highlight w:val="none"/>
                      <w:u w:val="none" w:color="auto"/>
                    </w:rPr>
                  </w:pPr>
                </w:p>
              </w:tc>
              <w:tc>
                <w:tcPr>
                  <w:tcW w:w="262" w:type="pct"/>
                  <w:vMerge w:val="continue"/>
                  <w:tcBorders>
                    <w:tl2br w:val="nil"/>
                    <w:tr2bl w:val="nil"/>
                  </w:tcBorders>
                  <w:noWrap w:val="0"/>
                  <w:vAlign w:val="center"/>
                </w:tcPr>
                <w:p w14:paraId="5779DF7E">
                  <w:pPr>
                    <w:topLinePunct w:val="0"/>
                    <w:bidi w:val="0"/>
                    <w:adjustRightInd/>
                    <w:snapToGrid/>
                    <w:jc w:val="center"/>
                    <w:rPr>
                      <w:rFonts w:hint="default" w:ascii="Times New Roman" w:hAnsi="Times New Roman" w:eastAsia="宋体" w:cs="Times New Roman"/>
                      <w:color w:val="auto"/>
                      <w:szCs w:val="21"/>
                      <w:highlight w:val="none"/>
                      <w:u w:val="none" w:color="auto"/>
                    </w:rPr>
                  </w:pPr>
                </w:p>
              </w:tc>
              <w:tc>
                <w:tcPr>
                  <w:tcW w:w="449" w:type="pct"/>
                  <w:vMerge w:val="continue"/>
                  <w:tcBorders>
                    <w:tl2br w:val="nil"/>
                    <w:tr2bl w:val="nil"/>
                  </w:tcBorders>
                  <w:noWrap w:val="0"/>
                  <w:vAlign w:val="center"/>
                </w:tcPr>
                <w:p w14:paraId="050F6BF9">
                  <w:pPr>
                    <w:topLinePunct w:val="0"/>
                    <w:bidi w:val="0"/>
                    <w:adjustRightInd/>
                    <w:snapToGrid/>
                    <w:jc w:val="center"/>
                    <w:rPr>
                      <w:rFonts w:hint="default" w:ascii="Times New Roman" w:hAnsi="Times New Roman" w:eastAsia="宋体" w:cs="Times New Roman"/>
                      <w:color w:val="auto"/>
                      <w:szCs w:val="21"/>
                      <w:highlight w:val="none"/>
                      <w:u w:val="none" w:color="auto"/>
                      <w:lang w:val="en-US" w:eastAsia="zh-CN"/>
                    </w:rPr>
                  </w:pPr>
                </w:p>
              </w:tc>
              <w:tc>
                <w:tcPr>
                  <w:tcW w:w="577" w:type="pct"/>
                  <w:vMerge w:val="continue"/>
                  <w:tcBorders>
                    <w:tl2br w:val="nil"/>
                    <w:tr2bl w:val="nil"/>
                  </w:tcBorders>
                  <w:noWrap w:val="0"/>
                  <w:vAlign w:val="center"/>
                </w:tcPr>
                <w:p w14:paraId="76ACC014">
                  <w:pPr>
                    <w:topLinePunct w:val="0"/>
                    <w:bidi w:val="0"/>
                    <w:adjustRightInd/>
                    <w:snapToGrid/>
                    <w:jc w:val="center"/>
                    <w:rPr>
                      <w:rFonts w:hint="default" w:ascii="Times New Roman" w:hAnsi="Times New Roman" w:eastAsia="宋体" w:cs="Times New Roman"/>
                      <w:color w:val="auto"/>
                      <w:szCs w:val="21"/>
                      <w:highlight w:val="none"/>
                      <w:u w:val="none" w:color="auto"/>
                      <w:lang w:val="en-US" w:eastAsia="zh-CN"/>
                    </w:rPr>
                  </w:pPr>
                </w:p>
              </w:tc>
            </w:tr>
            <w:tr w14:paraId="6AD1BDC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5" w:hRule="atLeast"/>
              </w:trPr>
              <w:tc>
                <w:tcPr>
                  <w:tcW w:w="262" w:type="pct"/>
                  <w:tcBorders>
                    <w:tl2br w:val="nil"/>
                    <w:tr2bl w:val="nil"/>
                  </w:tcBorders>
                  <w:noWrap w:val="0"/>
                  <w:vAlign w:val="center"/>
                </w:tcPr>
                <w:p w14:paraId="3ACB0C28">
                  <w:pPr>
                    <w:topLinePunct w:val="0"/>
                    <w:bidi w:val="0"/>
                    <w:adjustRightInd/>
                    <w:snapToGrid/>
                    <w:jc w:val="center"/>
                    <w:rPr>
                      <w:rFonts w:hint="default" w:ascii="Times New Roman" w:hAnsi="Times New Roman" w:eastAsia="宋体" w:cs="Times New Roman"/>
                      <w:color w:val="auto"/>
                      <w:szCs w:val="21"/>
                      <w:highlight w:val="none"/>
                      <w:u w:val="none" w:color="auto"/>
                      <w:lang w:val="en-US" w:eastAsia="zh-CN"/>
                    </w:rPr>
                  </w:pPr>
                  <w:r>
                    <w:rPr>
                      <w:rFonts w:hint="default" w:ascii="Times New Roman" w:hAnsi="Times New Roman" w:eastAsia="宋体" w:cs="Times New Roman"/>
                      <w:color w:val="auto"/>
                      <w:szCs w:val="21"/>
                      <w:highlight w:val="none"/>
                      <w:u w:val="none" w:color="auto"/>
                      <w:lang w:val="en-US" w:eastAsia="zh-CN"/>
                    </w:rPr>
                    <w:t>5</w:t>
                  </w:r>
                </w:p>
              </w:tc>
              <w:tc>
                <w:tcPr>
                  <w:tcW w:w="543" w:type="pct"/>
                  <w:tcBorders>
                    <w:tl2br w:val="nil"/>
                    <w:tr2bl w:val="nil"/>
                  </w:tcBorders>
                  <w:noWrap w:val="0"/>
                  <w:vAlign w:val="center"/>
                </w:tcPr>
                <w:p w14:paraId="250B2B5B">
                  <w:pPr>
                    <w:topLinePunct w:val="0"/>
                    <w:bidi w:val="0"/>
                    <w:adjustRightInd/>
                    <w:snapToGrid/>
                    <w:jc w:val="center"/>
                    <w:rPr>
                      <w:rFonts w:hint="default" w:ascii="Times New Roman" w:hAnsi="Times New Roman" w:eastAsia="宋体" w:cs="Times New Roman"/>
                      <w:color w:val="auto"/>
                      <w:highlight w:val="none"/>
                      <w:u w:val="none" w:color="auto"/>
                      <w:lang w:val="en-US" w:eastAsia="zh-CN"/>
                    </w:rPr>
                  </w:pPr>
                  <w:r>
                    <w:rPr>
                      <w:rFonts w:hint="default" w:ascii="Times New Roman" w:hAnsi="Times New Roman" w:eastAsia="宋体" w:cs="Times New Roman"/>
                      <w:color w:val="auto"/>
                      <w:highlight w:val="none"/>
                      <w:u w:val="none" w:color="auto"/>
                      <w:lang w:val="en-US" w:eastAsia="zh-CN"/>
                    </w:rPr>
                    <w:t>DW005</w:t>
                  </w:r>
                </w:p>
              </w:tc>
              <w:tc>
                <w:tcPr>
                  <w:tcW w:w="744" w:type="pct"/>
                  <w:tcBorders>
                    <w:tl2br w:val="nil"/>
                    <w:tr2bl w:val="nil"/>
                  </w:tcBorders>
                  <w:noWrap w:val="0"/>
                  <w:vAlign w:val="center"/>
                </w:tcPr>
                <w:p w14:paraId="5ED0571C">
                  <w:pPr>
                    <w:topLinePunct w:val="0"/>
                    <w:bidi w:val="0"/>
                    <w:adjustRightInd/>
                    <w:snapToGrid/>
                    <w:jc w:val="center"/>
                    <w:rPr>
                      <w:rFonts w:hint="default" w:ascii="Times New Roman" w:hAnsi="Times New Roman" w:eastAsia="宋体" w:cs="Times New Roman"/>
                      <w:color w:val="auto"/>
                      <w:szCs w:val="21"/>
                      <w:highlight w:val="none"/>
                      <w:u w:val="none" w:color="auto"/>
                      <w:lang w:val="en-US" w:eastAsia="zh-CN"/>
                    </w:rPr>
                  </w:pPr>
                  <w:r>
                    <w:rPr>
                      <w:rFonts w:hint="default" w:ascii="Times New Roman" w:hAnsi="Times New Roman" w:eastAsia="宋体" w:cs="Times New Roman"/>
                      <w:color w:val="auto"/>
                      <w:szCs w:val="21"/>
                      <w:highlight w:val="none"/>
                      <w:u w:val="none" w:color="auto"/>
                      <w:lang w:val="en-US" w:eastAsia="zh-CN"/>
                    </w:rPr>
                    <w:t>113.2003208</w:t>
                  </w:r>
                </w:p>
              </w:tc>
              <w:tc>
                <w:tcPr>
                  <w:tcW w:w="685" w:type="pct"/>
                  <w:tcBorders>
                    <w:tl2br w:val="nil"/>
                    <w:tr2bl w:val="nil"/>
                  </w:tcBorders>
                  <w:noWrap w:val="0"/>
                  <w:vAlign w:val="center"/>
                </w:tcPr>
                <w:p w14:paraId="4DB828E4">
                  <w:pPr>
                    <w:topLinePunct w:val="0"/>
                    <w:bidi w:val="0"/>
                    <w:adjustRightInd/>
                    <w:snapToGrid/>
                    <w:jc w:val="center"/>
                    <w:rPr>
                      <w:rFonts w:hint="default" w:ascii="Times New Roman" w:hAnsi="Times New Roman" w:eastAsia="宋体" w:cs="Times New Roman"/>
                      <w:color w:val="auto"/>
                      <w:szCs w:val="21"/>
                      <w:highlight w:val="none"/>
                      <w:u w:val="none" w:color="auto"/>
                      <w:lang w:val="en-US" w:eastAsia="zh-CN"/>
                    </w:rPr>
                  </w:pPr>
                  <w:r>
                    <w:rPr>
                      <w:rFonts w:hint="default" w:ascii="Times New Roman" w:hAnsi="Times New Roman" w:eastAsia="宋体" w:cs="Times New Roman"/>
                      <w:color w:val="auto"/>
                      <w:szCs w:val="21"/>
                      <w:highlight w:val="none"/>
                      <w:u w:val="none" w:color="auto"/>
                      <w:lang w:val="en-US" w:eastAsia="zh-CN"/>
                    </w:rPr>
                    <w:t>29.46747751</w:t>
                  </w:r>
                </w:p>
              </w:tc>
              <w:tc>
                <w:tcPr>
                  <w:tcW w:w="554" w:type="pct"/>
                  <w:vMerge w:val="continue"/>
                  <w:tcBorders>
                    <w:tl2br w:val="nil"/>
                    <w:tr2bl w:val="nil"/>
                  </w:tcBorders>
                  <w:noWrap w:val="0"/>
                  <w:vAlign w:val="center"/>
                </w:tcPr>
                <w:p w14:paraId="03510326">
                  <w:pPr>
                    <w:topLinePunct w:val="0"/>
                    <w:bidi w:val="0"/>
                    <w:adjustRightInd/>
                    <w:snapToGrid/>
                    <w:jc w:val="center"/>
                    <w:rPr>
                      <w:rFonts w:hint="default" w:ascii="Times New Roman" w:hAnsi="Times New Roman" w:eastAsia="宋体" w:cs="Times New Roman"/>
                      <w:color w:val="auto"/>
                      <w:szCs w:val="21"/>
                      <w:highlight w:val="none"/>
                      <w:u w:val="none" w:color="auto"/>
                    </w:rPr>
                  </w:pPr>
                </w:p>
              </w:tc>
              <w:tc>
                <w:tcPr>
                  <w:tcW w:w="262" w:type="pct"/>
                  <w:vMerge w:val="continue"/>
                  <w:tcBorders>
                    <w:tl2br w:val="nil"/>
                    <w:tr2bl w:val="nil"/>
                  </w:tcBorders>
                  <w:noWrap w:val="0"/>
                  <w:vAlign w:val="center"/>
                </w:tcPr>
                <w:p w14:paraId="2F72193B">
                  <w:pPr>
                    <w:topLinePunct w:val="0"/>
                    <w:bidi w:val="0"/>
                    <w:adjustRightInd/>
                    <w:snapToGrid/>
                    <w:jc w:val="center"/>
                    <w:rPr>
                      <w:rFonts w:hint="default" w:ascii="Times New Roman" w:hAnsi="Times New Roman" w:eastAsia="宋体" w:cs="Times New Roman"/>
                      <w:color w:val="auto"/>
                      <w:szCs w:val="21"/>
                      <w:highlight w:val="none"/>
                      <w:u w:val="none" w:color="auto"/>
                    </w:rPr>
                  </w:pPr>
                </w:p>
              </w:tc>
              <w:tc>
                <w:tcPr>
                  <w:tcW w:w="392" w:type="pct"/>
                  <w:vMerge w:val="continue"/>
                  <w:tcBorders>
                    <w:tl2br w:val="nil"/>
                    <w:tr2bl w:val="nil"/>
                  </w:tcBorders>
                  <w:noWrap w:val="0"/>
                  <w:vAlign w:val="center"/>
                </w:tcPr>
                <w:p w14:paraId="4D3CB8CD">
                  <w:pPr>
                    <w:topLinePunct w:val="0"/>
                    <w:bidi w:val="0"/>
                    <w:adjustRightInd/>
                    <w:snapToGrid/>
                    <w:jc w:val="center"/>
                    <w:rPr>
                      <w:rFonts w:hint="default" w:ascii="Times New Roman" w:hAnsi="Times New Roman" w:eastAsia="宋体" w:cs="Times New Roman"/>
                      <w:color w:val="auto"/>
                      <w:szCs w:val="21"/>
                      <w:highlight w:val="none"/>
                      <w:u w:val="none" w:color="auto"/>
                    </w:rPr>
                  </w:pPr>
                </w:p>
              </w:tc>
              <w:tc>
                <w:tcPr>
                  <w:tcW w:w="262" w:type="pct"/>
                  <w:vMerge w:val="continue"/>
                  <w:tcBorders>
                    <w:tl2br w:val="nil"/>
                    <w:tr2bl w:val="nil"/>
                  </w:tcBorders>
                  <w:noWrap w:val="0"/>
                  <w:vAlign w:val="center"/>
                </w:tcPr>
                <w:p w14:paraId="11FD9F56">
                  <w:pPr>
                    <w:topLinePunct w:val="0"/>
                    <w:bidi w:val="0"/>
                    <w:adjustRightInd/>
                    <w:snapToGrid/>
                    <w:jc w:val="center"/>
                    <w:rPr>
                      <w:rFonts w:hint="default" w:ascii="Times New Roman" w:hAnsi="Times New Roman" w:eastAsia="宋体" w:cs="Times New Roman"/>
                      <w:color w:val="auto"/>
                      <w:szCs w:val="21"/>
                      <w:highlight w:val="none"/>
                      <w:u w:val="none" w:color="auto"/>
                    </w:rPr>
                  </w:pPr>
                </w:p>
              </w:tc>
              <w:tc>
                <w:tcPr>
                  <w:tcW w:w="262" w:type="pct"/>
                  <w:vMerge w:val="continue"/>
                  <w:tcBorders>
                    <w:tl2br w:val="nil"/>
                    <w:tr2bl w:val="nil"/>
                  </w:tcBorders>
                  <w:noWrap w:val="0"/>
                  <w:vAlign w:val="center"/>
                </w:tcPr>
                <w:p w14:paraId="26BA2818">
                  <w:pPr>
                    <w:topLinePunct w:val="0"/>
                    <w:bidi w:val="0"/>
                    <w:adjustRightInd/>
                    <w:snapToGrid/>
                    <w:jc w:val="center"/>
                    <w:rPr>
                      <w:rFonts w:hint="default" w:ascii="Times New Roman" w:hAnsi="Times New Roman" w:eastAsia="宋体" w:cs="Times New Roman"/>
                      <w:color w:val="auto"/>
                      <w:szCs w:val="21"/>
                      <w:highlight w:val="none"/>
                      <w:u w:val="none" w:color="auto"/>
                    </w:rPr>
                  </w:pPr>
                </w:p>
              </w:tc>
              <w:tc>
                <w:tcPr>
                  <w:tcW w:w="449" w:type="pct"/>
                  <w:vMerge w:val="continue"/>
                  <w:tcBorders>
                    <w:tl2br w:val="nil"/>
                    <w:tr2bl w:val="nil"/>
                  </w:tcBorders>
                  <w:noWrap w:val="0"/>
                  <w:vAlign w:val="center"/>
                </w:tcPr>
                <w:p w14:paraId="57CFEA39">
                  <w:pPr>
                    <w:topLinePunct w:val="0"/>
                    <w:bidi w:val="0"/>
                    <w:adjustRightInd/>
                    <w:snapToGrid/>
                    <w:jc w:val="center"/>
                    <w:rPr>
                      <w:rFonts w:hint="default" w:ascii="Times New Roman" w:hAnsi="Times New Roman" w:eastAsia="宋体" w:cs="Times New Roman"/>
                      <w:color w:val="auto"/>
                      <w:szCs w:val="21"/>
                      <w:highlight w:val="none"/>
                      <w:u w:val="none" w:color="auto"/>
                    </w:rPr>
                  </w:pPr>
                </w:p>
              </w:tc>
              <w:tc>
                <w:tcPr>
                  <w:tcW w:w="577" w:type="pct"/>
                  <w:vMerge w:val="continue"/>
                  <w:tcBorders>
                    <w:tl2br w:val="nil"/>
                    <w:tr2bl w:val="nil"/>
                  </w:tcBorders>
                  <w:noWrap w:val="0"/>
                  <w:vAlign w:val="center"/>
                </w:tcPr>
                <w:p w14:paraId="3B0D92D4">
                  <w:pPr>
                    <w:topLinePunct w:val="0"/>
                    <w:bidi w:val="0"/>
                    <w:adjustRightInd/>
                    <w:snapToGrid/>
                    <w:jc w:val="center"/>
                    <w:rPr>
                      <w:rFonts w:hint="default" w:ascii="Times New Roman" w:hAnsi="Times New Roman" w:eastAsia="宋体" w:cs="Times New Roman"/>
                      <w:color w:val="auto"/>
                      <w:szCs w:val="21"/>
                      <w:highlight w:val="none"/>
                      <w:u w:val="none" w:color="auto"/>
                    </w:rPr>
                  </w:pPr>
                </w:p>
              </w:tc>
            </w:tr>
          </w:tbl>
          <w:p w14:paraId="3FD416CD">
            <w:pPr>
              <w:pStyle w:val="45"/>
              <w:ind w:firstLine="422"/>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表4-</w:t>
            </w:r>
            <w:r>
              <w:rPr>
                <w:rFonts w:hint="default" w:ascii="Times New Roman" w:hAnsi="Times New Roman" w:eastAsia="宋体" w:cs="Times New Roman"/>
                <w:color w:val="auto"/>
                <w:u w:val="none" w:color="auto"/>
                <w:lang w:val="en-US" w:eastAsia="zh-CN"/>
              </w:rPr>
              <w:t>29</w:t>
            </w:r>
            <w:r>
              <w:rPr>
                <w:rFonts w:hint="default" w:ascii="Times New Roman" w:hAnsi="Times New Roman" w:eastAsia="宋体" w:cs="Times New Roman"/>
                <w:color w:val="auto"/>
                <w:u w:val="none" w:color="auto"/>
              </w:rPr>
              <w:t xml:space="preserve">  项目废水污染物排放信息表</w:t>
            </w:r>
          </w:p>
          <w:tbl>
            <w:tblPr>
              <w:tblStyle w:val="31"/>
              <w:tblW w:w="4998" w:type="pct"/>
              <w:tblInd w:w="-1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Layout w:type="autofit"/>
              <w:tblCellMar>
                <w:top w:w="0" w:type="dxa"/>
                <w:left w:w="108" w:type="dxa"/>
                <w:bottom w:w="0" w:type="dxa"/>
                <w:right w:w="108" w:type="dxa"/>
              </w:tblCellMar>
            </w:tblPr>
            <w:tblGrid>
              <w:gridCol w:w="1356"/>
              <w:gridCol w:w="1361"/>
              <w:gridCol w:w="1358"/>
              <w:gridCol w:w="1358"/>
              <w:gridCol w:w="1724"/>
              <w:gridCol w:w="1358"/>
            </w:tblGrid>
            <w:tr w14:paraId="2F1CFB8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90" w:hRule="atLeast"/>
              </w:trPr>
              <w:tc>
                <w:tcPr>
                  <w:tcW w:w="796" w:type="pct"/>
                  <w:tcBorders>
                    <w:tl2br w:val="nil"/>
                    <w:tr2bl w:val="nil"/>
                  </w:tcBorders>
                  <w:shd w:val="clear" w:color="auto" w:fill="auto"/>
                  <w:vAlign w:val="center"/>
                </w:tcPr>
                <w:p w14:paraId="21E0CE47">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color="auto"/>
                    </w:rPr>
                  </w:pPr>
                  <w:r>
                    <w:rPr>
                      <w:rFonts w:hint="default" w:ascii="Times New Roman" w:hAnsi="Times New Roman" w:eastAsia="宋体" w:cs="Times New Roman"/>
                      <w:b/>
                      <w:bCs/>
                      <w:i w:val="0"/>
                      <w:iCs w:val="0"/>
                      <w:color w:val="auto"/>
                      <w:kern w:val="0"/>
                      <w:sz w:val="21"/>
                      <w:szCs w:val="21"/>
                      <w:u w:val="none" w:color="auto"/>
                      <w:lang w:val="en-US" w:eastAsia="zh-CN" w:bidi="ar"/>
                    </w:rPr>
                    <w:t>序号</w:t>
                  </w:r>
                </w:p>
              </w:tc>
              <w:tc>
                <w:tcPr>
                  <w:tcW w:w="798" w:type="pct"/>
                  <w:tcBorders>
                    <w:tl2br w:val="nil"/>
                    <w:tr2bl w:val="nil"/>
                  </w:tcBorders>
                  <w:shd w:val="clear" w:color="auto" w:fill="auto"/>
                  <w:vAlign w:val="center"/>
                </w:tcPr>
                <w:p w14:paraId="673D5C18">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color="auto"/>
                    </w:rPr>
                  </w:pPr>
                  <w:r>
                    <w:rPr>
                      <w:rFonts w:hint="default" w:ascii="Times New Roman" w:hAnsi="Times New Roman" w:eastAsia="宋体" w:cs="Times New Roman"/>
                      <w:b/>
                      <w:bCs/>
                      <w:i w:val="0"/>
                      <w:iCs w:val="0"/>
                      <w:color w:val="auto"/>
                      <w:kern w:val="0"/>
                      <w:sz w:val="21"/>
                      <w:szCs w:val="21"/>
                      <w:u w:val="none" w:color="auto"/>
                      <w:lang w:val="en-US" w:eastAsia="zh-CN" w:bidi="ar"/>
                    </w:rPr>
                    <w:t>排放口编号</w:t>
                  </w:r>
                </w:p>
              </w:tc>
              <w:tc>
                <w:tcPr>
                  <w:tcW w:w="797" w:type="pct"/>
                  <w:tcBorders>
                    <w:tl2br w:val="nil"/>
                    <w:tr2bl w:val="nil"/>
                  </w:tcBorders>
                  <w:shd w:val="clear" w:color="auto" w:fill="auto"/>
                  <w:vAlign w:val="center"/>
                </w:tcPr>
                <w:p w14:paraId="1CE1A787">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color="auto"/>
                    </w:rPr>
                  </w:pPr>
                  <w:r>
                    <w:rPr>
                      <w:rFonts w:hint="default" w:ascii="Times New Roman" w:hAnsi="Times New Roman" w:eastAsia="宋体" w:cs="Times New Roman"/>
                      <w:b/>
                      <w:bCs/>
                      <w:i w:val="0"/>
                      <w:iCs w:val="0"/>
                      <w:color w:val="auto"/>
                      <w:kern w:val="0"/>
                      <w:sz w:val="21"/>
                      <w:szCs w:val="21"/>
                      <w:u w:val="none" w:color="auto"/>
                      <w:lang w:val="en-US" w:eastAsia="zh-CN" w:bidi="ar"/>
                    </w:rPr>
                    <w:t>污染物种类</w:t>
                  </w:r>
                </w:p>
              </w:tc>
              <w:tc>
                <w:tcPr>
                  <w:tcW w:w="797" w:type="pct"/>
                  <w:tcBorders>
                    <w:tl2br w:val="nil"/>
                    <w:tr2bl w:val="nil"/>
                  </w:tcBorders>
                  <w:shd w:val="clear" w:color="auto" w:fill="auto"/>
                  <w:vAlign w:val="center"/>
                </w:tcPr>
                <w:p w14:paraId="5F7138F5">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color="auto"/>
                    </w:rPr>
                  </w:pPr>
                  <w:r>
                    <w:rPr>
                      <w:rFonts w:hint="default" w:ascii="Times New Roman" w:hAnsi="Times New Roman" w:eastAsia="宋体" w:cs="Times New Roman"/>
                      <w:b/>
                      <w:bCs/>
                      <w:i w:val="0"/>
                      <w:iCs w:val="0"/>
                      <w:color w:val="auto"/>
                      <w:kern w:val="0"/>
                      <w:sz w:val="21"/>
                      <w:szCs w:val="21"/>
                      <w:u w:val="none" w:color="auto"/>
                      <w:lang w:val="en-US" w:eastAsia="zh-CN" w:bidi="ar"/>
                    </w:rPr>
                    <w:t>排放浓度（</w:t>
                  </w:r>
                  <w:r>
                    <w:rPr>
                      <w:rStyle w:val="50"/>
                      <w:rFonts w:hint="default" w:ascii="Times New Roman" w:hAnsi="Times New Roman" w:eastAsia="宋体" w:cs="Times New Roman"/>
                      <w:color w:val="auto"/>
                      <w:sz w:val="21"/>
                      <w:szCs w:val="21"/>
                      <w:u w:val="none" w:color="auto"/>
                      <w:lang w:val="en-US" w:eastAsia="zh-CN" w:bidi="ar"/>
                    </w:rPr>
                    <w:t>mg/L</w:t>
                  </w:r>
                  <w:r>
                    <w:rPr>
                      <w:rStyle w:val="47"/>
                      <w:rFonts w:hint="default" w:ascii="Times New Roman" w:hAnsi="Times New Roman" w:eastAsia="宋体" w:cs="Times New Roman"/>
                      <w:color w:val="auto"/>
                      <w:sz w:val="21"/>
                      <w:szCs w:val="21"/>
                      <w:u w:val="none" w:color="auto"/>
                      <w:lang w:val="en-US" w:eastAsia="zh-CN" w:bidi="ar"/>
                    </w:rPr>
                    <w:t>）</w:t>
                  </w:r>
                </w:p>
              </w:tc>
              <w:tc>
                <w:tcPr>
                  <w:tcW w:w="1011" w:type="pct"/>
                  <w:tcBorders>
                    <w:tl2br w:val="nil"/>
                    <w:tr2bl w:val="nil"/>
                  </w:tcBorders>
                  <w:shd w:val="clear" w:color="auto" w:fill="auto"/>
                  <w:vAlign w:val="center"/>
                </w:tcPr>
                <w:p w14:paraId="0E63A55A">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color="auto"/>
                    </w:rPr>
                  </w:pPr>
                  <w:r>
                    <w:rPr>
                      <w:rFonts w:hint="default" w:ascii="Times New Roman" w:hAnsi="Times New Roman" w:eastAsia="宋体" w:cs="Times New Roman"/>
                      <w:b/>
                      <w:bCs/>
                      <w:i w:val="0"/>
                      <w:iCs w:val="0"/>
                      <w:color w:val="auto"/>
                      <w:kern w:val="0"/>
                      <w:sz w:val="21"/>
                      <w:szCs w:val="21"/>
                      <w:u w:val="none" w:color="auto"/>
                      <w:lang w:val="en-US" w:eastAsia="zh-CN" w:bidi="ar"/>
                    </w:rPr>
                    <w:t>日排放量（</w:t>
                  </w:r>
                  <w:r>
                    <w:rPr>
                      <w:rStyle w:val="50"/>
                      <w:rFonts w:hint="default" w:ascii="Times New Roman" w:hAnsi="Times New Roman" w:eastAsia="宋体" w:cs="Times New Roman"/>
                      <w:color w:val="auto"/>
                      <w:sz w:val="21"/>
                      <w:szCs w:val="21"/>
                      <w:u w:val="none" w:color="auto"/>
                      <w:lang w:val="en-US" w:eastAsia="zh-CN" w:bidi="ar"/>
                    </w:rPr>
                    <w:t>kg/d</w:t>
                  </w:r>
                  <w:r>
                    <w:rPr>
                      <w:rStyle w:val="47"/>
                      <w:rFonts w:hint="default" w:ascii="Times New Roman" w:hAnsi="Times New Roman" w:eastAsia="宋体" w:cs="Times New Roman"/>
                      <w:color w:val="auto"/>
                      <w:sz w:val="21"/>
                      <w:szCs w:val="21"/>
                      <w:u w:val="none" w:color="auto"/>
                      <w:lang w:val="en-US" w:eastAsia="zh-CN" w:bidi="ar"/>
                    </w:rPr>
                    <w:t>）</w:t>
                  </w:r>
                </w:p>
              </w:tc>
              <w:tc>
                <w:tcPr>
                  <w:tcW w:w="797" w:type="pct"/>
                  <w:tcBorders>
                    <w:tl2br w:val="nil"/>
                    <w:tr2bl w:val="nil"/>
                  </w:tcBorders>
                  <w:shd w:val="clear" w:color="auto" w:fill="auto"/>
                  <w:vAlign w:val="center"/>
                </w:tcPr>
                <w:p w14:paraId="4FD6CA31">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color="auto"/>
                    </w:rPr>
                  </w:pPr>
                  <w:r>
                    <w:rPr>
                      <w:rFonts w:hint="default" w:ascii="Times New Roman" w:hAnsi="Times New Roman" w:eastAsia="宋体" w:cs="Times New Roman"/>
                      <w:b/>
                      <w:bCs/>
                      <w:i w:val="0"/>
                      <w:iCs w:val="0"/>
                      <w:color w:val="auto"/>
                      <w:kern w:val="0"/>
                      <w:sz w:val="21"/>
                      <w:szCs w:val="21"/>
                      <w:u w:val="none" w:color="auto"/>
                      <w:lang w:val="en-US" w:eastAsia="zh-CN" w:bidi="ar"/>
                    </w:rPr>
                    <w:t>年排放量（</w:t>
                  </w:r>
                  <w:r>
                    <w:rPr>
                      <w:rStyle w:val="50"/>
                      <w:rFonts w:hint="default" w:ascii="Times New Roman" w:hAnsi="Times New Roman" w:eastAsia="宋体" w:cs="Times New Roman"/>
                      <w:color w:val="auto"/>
                      <w:sz w:val="21"/>
                      <w:szCs w:val="21"/>
                      <w:u w:val="none" w:color="auto"/>
                      <w:lang w:val="en-US" w:eastAsia="zh-CN" w:bidi="ar"/>
                    </w:rPr>
                    <w:t>t/a</w:t>
                  </w:r>
                  <w:r>
                    <w:rPr>
                      <w:rStyle w:val="47"/>
                      <w:rFonts w:hint="default" w:ascii="Times New Roman" w:hAnsi="Times New Roman" w:eastAsia="宋体" w:cs="Times New Roman"/>
                      <w:color w:val="auto"/>
                      <w:sz w:val="21"/>
                      <w:szCs w:val="21"/>
                      <w:u w:val="none" w:color="auto"/>
                      <w:lang w:val="en-US" w:eastAsia="zh-CN" w:bidi="ar"/>
                    </w:rPr>
                    <w:t>）</w:t>
                  </w:r>
                </w:p>
              </w:tc>
            </w:tr>
            <w:tr w14:paraId="7E64AF3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796" w:type="pct"/>
                  <w:vMerge w:val="restart"/>
                  <w:tcBorders>
                    <w:tl2br w:val="nil"/>
                    <w:tr2bl w:val="nil"/>
                  </w:tcBorders>
                  <w:shd w:val="clear" w:color="auto" w:fill="auto"/>
                  <w:vAlign w:val="center"/>
                </w:tcPr>
                <w:p w14:paraId="5CB721D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w:t>
                  </w:r>
                </w:p>
              </w:tc>
              <w:tc>
                <w:tcPr>
                  <w:tcW w:w="798" w:type="pct"/>
                  <w:vMerge w:val="restart"/>
                  <w:tcBorders>
                    <w:tl2br w:val="nil"/>
                    <w:tr2bl w:val="nil"/>
                  </w:tcBorders>
                  <w:shd w:val="clear" w:color="auto" w:fill="auto"/>
                  <w:vAlign w:val="center"/>
                </w:tcPr>
                <w:p w14:paraId="5D1CF73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DW001</w:t>
                  </w:r>
                </w:p>
              </w:tc>
              <w:tc>
                <w:tcPr>
                  <w:tcW w:w="797" w:type="pct"/>
                  <w:tcBorders>
                    <w:tl2br w:val="nil"/>
                    <w:tr2bl w:val="nil"/>
                  </w:tcBorders>
                  <w:shd w:val="clear" w:color="auto" w:fill="auto"/>
                  <w:vAlign w:val="center"/>
                </w:tcPr>
                <w:p w14:paraId="77E9DFB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COD</w:t>
                  </w:r>
                </w:p>
              </w:tc>
              <w:tc>
                <w:tcPr>
                  <w:tcW w:w="797" w:type="pct"/>
                  <w:tcBorders>
                    <w:tl2br w:val="nil"/>
                    <w:tr2bl w:val="nil"/>
                  </w:tcBorders>
                  <w:shd w:val="clear" w:color="auto" w:fill="auto"/>
                  <w:vAlign w:val="center"/>
                </w:tcPr>
                <w:p w14:paraId="3C36D2A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50</w:t>
                  </w:r>
                </w:p>
              </w:tc>
              <w:tc>
                <w:tcPr>
                  <w:tcW w:w="1011" w:type="pct"/>
                  <w:tcBorders>
                    <w:tl2br w:val="nil"/>
                    <w:tr2bl w:val="nil"/>
                  </w:tcBorders>
                  <w:shd w:val="clear" w:color="auto" w:fill="auto"/>
                  <w:vAlign w:val="center"/>
                </w:tcPr>
                <w:p w14:paraId="7646F4B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 xml:space="preserve">0.3985 </w:t>
                  </w:r>
                </w:p>
              </w:tc>
              <w:tc>
                <w:tcPr>
                  <w:tcW w:w="797" w:type="pct"/>
                  <w:tcBorders>
                    <w:tl2br w:val="nil"/>
                    <w:tr2bl w:val="nil"/>
                  </w:tcBorders>
                  <w:shd w:val="clear" w:color="auto" w:fill="auto"/>
                  <w:vAlign w:val="center"/>
                </w:tcPr>
                <w:p w14:paraId="6B789C1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0.1315</w:t>
                  </w:r>
                </w:p>
              </w:tc>
            </w:tr>
            <w:tr w14:paraId="16F611D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45" w:hRule="atLeast"/>
              </w:trPr>
              <w:tc>
                <w:tcPr>
                  <w:tcW w:w="796" w:type="pct"/>
                  <w:vMerge w:val="continue"/>
                  <w:tcBorders>
                    <w:tl2br w:val="nil"/>
                    <w:tr2bl w:val="nil"/>
                  </w:tcBorders>
                  <w:shd w:val="clear" w:color="auto" w:fill="auto"/>
                  <w:vAlign w:val="center"/>
                </w:tcPr>
                <w:p w14:paraId="70381BAF">
                  <w:pPr>
                    <w:jc w:val="center"/>
                    <w:rPr>
                      <w:rFonts w:hint="default" w:ascii="Times New Roman" w:hAnsi="Times New Roman" w:eastAsia="宋体" w:cs="Times New Roman"/>
                      <w:i w:val="0"/>
                      <w:iCs w:val="0"/>
                      <w:color w:val="auto"/>
                      <w:sz w:val="21"/>
                      <w:szCs w:val="21"/>
                      <w:u w:val="none" w:color="auto"/>
                    </w:rPr>
                  </w:pPr>
                </w:p>
              </w:tc>
              <w:tc>
                <w:tcPr>
                  <w:tcW w:w="798" w:type="pct"/>
                  <w:vMerge w:val="continue"/>
                  <w:tcBorders>
                    <w:tl2br w:val="nil"/>
                    <w:tr2bl w:val="nil"/>
                  </w:tcBorders>
                  <w:shd w:val="clear" w:color="auto" w:fill="auto"/>
                  <w:vAlign w:val="center"/>
                </w:tcPr>
                <w:p w14:paraId="6BEECCF1">
                  <w:pPr>
                    <w:jc w:val="center"/>
                    <w:rPr>
                      <w:rFonts w:hint="default" w:ascii="Times New Roman" w:hAnsi="Times New Roman" w:eastAsia="宋体" w:cs="Times New Roman"/>
                      <w:i w:val="0"/>
                      <w:iCs w:val="0"/>
                      <w:color w:val="auto"/>
                      <w:sz w:val="21"/>
                      <w:szCs w:val="21"/>
                      <w:u w:val="none" w:color="auto"/>
                    </w:rPr>
                  </w:pPr>
                </w:p>
              </w:tc>
              <w:tc>
                <w:tcPr>
                  <w:tcW w:w="797" w:type="pct"/>
                  <w:tcBorders>
                    <w:tl2br w:val="nil"/>
                    <w:tr2bl w:val="nil"/>
                  </w:tcBorders>
                  <w:shd w:val="clear" w:color="auto" w:fill="auto"/>
                  <w:vAlign w:val="center"/>
                </w:tcPr>
                <w:p w14:paraId="01541D2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BOD</w:t>
                  </w:r>
                  <w:r>
                    <w:rPr>
                      <w:rStyle w:val="82"/>
                      <w:rFonts w:hint="default" w:ascii="Times New Roman" w:hAnsi="Times New Roman" w:eastAsia="宋体" w:cs="Times New Roman"/>
                      <w:color w:val="auto"/>
                      <w:sz w:val="21"/>
                      <w:szCs w:val="21"/>
                      <w:u w:val="none" w:color="auto"/>
                      <w:vertAlign w:val="subscript"/>
                      <w:lang w:val="en-US" w:eastAsia="zh-CN" w:bidi="ar"/>
                    </w:rPr>
                    <w:t>5</w:t>
                  </w:r>
                </w:p>
              </w:tc>
              <w:tc>
                <w:tcPr>
                  <w:tcW w:w="797" w:type="pct"/>
                  <w:tcBorders>
                    <w:tl2br w:val="nil"/>
                    <w:tr2bl w:val="nil"/>
                  </w:tcBorders>
                  <w:shd w:val="clear" w:color="auto" w:fill="auto"/>
                  <w:vAlign w:val="center"/>
                </w:tcPr>
                <w:p w14:paraId="388481F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10</w:t>
                  </w:r>
                </w:p>
              </w:tc>
              <w:tc>
                <w:tcPr>
                  <w:tcW w:w="1011" w:type="pct"/>
                  <w:tcBorders>
                    <w:tl2br w:val="nil"/>
                    <w:tr2bl w:val="nil"/>
                  </w:tcBorders>
                  <w:shd w:val="clear" w:color="auto" w:fill="auto"/>
                  <w:vAlign w:val="center"/>
                </w:tcPr>
                <w:p w14:paraId="6B4FA22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 xml:space="preserve">0.0797 </w:t>
                  </w:r>
                </w:p>
              </w:tc>
              <w:tc>
                <w:tcPr>
                  <w:tcW w:w="797" w:type="pct"/>
                  <w:tcBorders>
                    <w:tl2br w:val="nil"/>
                    <w:tr2bl w:val="nil"/>
                  </w:tcBorders>
                  <w:shd w:val="clear" w:color="auto" w:fill="auto"/>
                  <w:vAlign w:val="center"/>
                </w:tcPr>
                <w:p w14:paraId="1261998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0.0263</w:t>
                  </w:r>
                </w:p>
              </w:tc>
            </w:tr>
            <w:tr w14:paraId="18B8F77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796" w:type="pct"/>
                  <w:vMerge w:val="continue"/>
                  <w:tcBorders>
                    <w:tl2br w:val="nil"/>
                    <w:tr2bl w:val="nil"/>
                  </w:tcBorders>
                  <w:shd w:val="clear" w:color="auto" w:fill="auto"/>
                  <w:vAlign w:val="center"/>
                </w:tcPr>
                <w:p w14:paraId="7728AEE2">
                  <w:pPr>
                    <w:jc w:val="center"/>
                    <w:rPr>
                      <w:rFonts w:hint="default" w:ascii="Times New Roman" w:hAnsi="Times New Roman" w:eastAsia="宋体" w:cs="Times New Roman"/>
                      <w:i w:val="0"/>
                      <w:iCs w:val="0"/>
                      <w:color w:val="auto"/>
                      <w:sz w:val="21"/>
                      <w:szCs w:val="21"/>
                      <w:u w:val="none" w:color="auto"/>
                    </w:rPr>
                  </w:pPr>
                </w:p>
              </w:tc>
              <w:tc>
                <w:tcPr>
                  <w:tcW w:w="798" w:type="pct"/>
                  <w:vMerge w:val="continue"/>
                  <w:tcBorders>
                    <w:tl2br w:val="nil"/>
                    <w:tr2bl w:val="nil"/>
                  </w:tcBorders>
                  <w:shd w:val="clear" w:color="auto" w:fill="auto"/>
                  <w:vAlign w:val="center"/>
                </w:tcPr>
                <w:p w14:paraId="76AB9100">
                  <w:pPr>
                    <w:jc w:val="center"/>
                    <w:rPr>
                      <w:rFonts w:hint="default" w:ascii="Times New Roman" w:hAnsi="Times New Roman" w:eastAsia="宋体" w:cs="Times New Roman"/>
                      <w:i w:val="0"/>
                      <w:iCs w:val="0"/>
                      <w:color w:val="auto"/>
                      <w:sz w:val="21"/>
                      <w:szCs w:val="21"/>
                      <w:u w:val="none" w:color="auto"/>
                    </w:rPr>
                  </w:pPr>
                </w:p>
              </w:tc>
              <w:tc>
                <w:tcPr>
                  <w:tcW w:w="797" w:type="pct"/>
                  <w:tcBorders>
                    <w:tl2br w:val="nil"/>
                    <w:tr2bl w:val="nil"/>
                  </w:tcBorders>
                  <w:shd w:val="clear" w:color="auto" w:fill="auto"/>
                  <w:vAlign w:val="center"/>
                </w:tcPr>
                <w:p w14:paraId="4D80BDE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SS</w:t>
                  </w:r>
                </w:p>
              </w:tc>
              <w:tc>
                <w:tcPr>
                  <w:tcW w:w="797" w:type="pct"/>
                  <w:tcBorders>
                    <w:tl2br w:val="nil"/>
                    <w:tr2bl w:val="nil"/>
                  </w:tcBorders>
                  <w:shd w:val="clear" w:color="auto" w:fill="auto"/>
                  <w:vAlign w:val="center"/>
                </w:tcPr>
                <w:p w14:paraId="1A009EA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10</w:t>
                  </w:r>
                </w:p>
              </w:tc>
              <w:tc>
                <w:tcPr>
                  <w:tcW w:w="1011" w:type="pct"/>
                  <w:tcBorders>
                    <w:tl2br w:val="nil"/>
                    <w:tr2bl w:val="nil"/>
                  </w:tcBorders>
                  <w:shd w:val="clear" w:color="auto" w:fill="auto"/>
                  <w:vAlign w:val="center"/>
                </w:tcPr>
                <w:p w14:paraId="12D00F8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 xml:space="preserve">0.0797 </w:t>
                  </w:r>
                </w:p>
              </w:tc>
              <w:tc>
                <w:tcPr>
                  <w:tcW w:w="797" w:type="pct"/>
                  <w:tcBorders>
                    <w:tl2br w:val="nil"/>
                    <w:tr2bl w:val="nil"/>
                  </w:tcBorders>
                  <w:shd w:val="clear" w:color="auto" w:fill="auto"/>
                  <w:vAlign w:val="center"/>
                </w:tcPr>
                <w:p w14:paraId="4867FCB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0.0263</w:t>
                  </w:r>
                </w:p>
              </w:tc>
            </w:tr>
            <w:tr w14:paraId="372539E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796" w:type="pct"/>
                  <w:vMerge w:val="continue"/>
                  <w:tcBorders>
                    <w:tl2br w:val="nil"/>
                    <w:tr2bl w:val="nil"/>
                  </w:tcBorders>
                  <w:shd w:val="clear" w:color="auto" w:fill="auto"/>
                  <w:vAlign w:val="center"/>
                </w:tcPr>
                <w:p w14:paraId="025BABC4">
                  <w:pPr>
                    <w:jc w:val="center"/>
                    <w:rPr>
                      <w:rFonts w:hint="default" w:ascii="Times New Roman" w:hAnsi="Times New Roman" w:eastAsia="宋体" w:cs="Times New Roman"/>
                      <w:i w:val="0"/>
                      <w:iCs w:val="0"/>
                      <w:color w:val="auto"/>
                      <w:sz w:val="21"/>
                      <w:szCs w:val="21"/>
                      <w:u w:val="none" w:color="auto"/>
                    </w:rPr>
                  </w:pPr>
                </w:p>
              </w:tc>
              <w:tc>
                <w:tcPr>
                  <w:tcW w:w="798" w:type="pct"/>
                  <w:vMerge w:val="continue"/>
                  <w:tcBorders>
                    <w:tl2br w:val="nil"/>
                    <w:tr2bl w:val="nil"/>
                  </w:tcBorders>
                  <w:shd w:val="clear" w:color="auto" w:fill="auto"/>
                  <w:vAlign w:val="center"/>
                </w:tcPr>
                <w:p w14:paraId="74F39935">
                  <w:pPr>
                    <w:jc w:val="center"/>
                    <w:rPr>
                      <w:rFonts w:hint="default" w:ascii="Times New Roman" w:hAnsi="Times New Roman" w:eastAsia="宋体" w:cs="Times New Roman"/>
                      <w:i w:val="0"/>
                      <w:iCs w:val="0"/>
                      <w:color w:val="auto"/>
                      <w:sz w:val="21"/>
                      <w:szCs w:val="21"/>
                      <w:u w:val="none" w:color="auto"/>
                    </w:rPr>
                  </w:pPr>
                </w:p>
              </w:tc>
              <w:tc>
                <w:tcPr>
                  <w:tcW w:w="797" w:type="pct"/>
                  <w:tcBorders>
                    <w:tl2br w:val="nil"/>
                    <w:tr2bl w:val="nil"/>
                  </w:tcBorders>
                  <w:shd w:val="clear" w:color="auto" w:fill="auto"/>
                  <w:vAlign w:val="center"/>
                </w:tcPr>
                <w:p w14:paraId="708EB4E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氨氮</w:t>
                  </w:r>
                </w:p>
              </w:tc>
              <w:tc>
                <w:tcPr>
                  <w:tcW w:w="797" w:type="pct"/>
                  <w:tcBorders>
                    <w:tl2br w:val="nil"/>
                    <w:tr2bl w:val="nil"/>
                  </w:tcBorders>
                  <w:shd w:val="clear" w:color="auto" w:fill="auto"/>
                  <w:vAlign w:val="center"/>
                </w:tcPr>
                <w:p w14:paraId="40898A3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5</w:t>
                  </w:r>
                </w:p>
              </w:tc>
              <w:tc>
                <w:tcPr>
                  <w:tcW w:w="1011" w:type="pct"/>
                  <w:tcBorders>
                    <w:tl2br w:val="nil"/>
                    <w:tr2bl w:val="nil"/>
                  </w:tcBorders>
                  <w:shd w:val="clear" w:color="auto" w:fill="auto"/>
                  <w:vAlign w:val="center"/>
                </w:tcPr>
                <w:p w14:paraId="0D3E85A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 xml:space="preserve">0.0397 </w:t>
                  </w:r>
                </w:p>
              </w:tc>
              <w:tc>
                <w:tcPr>
                  <w:tcW w:w="797" w:type="pct"/>
                  <w:tcBorders>
                    <w:tl2br w:val="nil"/>
                    <w:tr2bl w:val="nil"/>
                  </w:tcBorders>
                  <w:shd w:val="clear" w:color="auto" w:fill="auto"/>
                  <w:vAlign w:val="center"/>
                </w:tcPr>
                <w:p w14:paraId="52230E4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0.0131</w:t>
                  </w:r>
                </w:p>
              </w:tc>
            </w:tr>
            <w:tr w14:paraId="3264F80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796" w:type="pct"/>
                  <w:vMerge w:val="continue"/>
                  <w:tcBorders>
                    <w:tl2br w:val="nil"/>
                    <w:tr2bl w:val="nil"/>
                  </w:tcBorders>
                  <w:shd w:val="clear" w:color="auto" w:fill="auto"/>
                  <w:vAlign w:val="center"/>
                </w:tcPr>
                <w:p w14:paraId="0316FDE3">
                  <w:pPr>
                    <w:jc w:val="center"/>
                    <w:rPr>
                      <w:rFonts w:hint="default" w:ascii="Times New Roman" w:hAnsi="Times New Roman" w:eastAsia="宋体" w:cs="Times New Roman"/>
                      <w:i w:val="0"/>
                      <w:iCs w:val="0"/>
                      <w:color w:val="auto"/>
                      <w:sz w:val="21"/>
                      <w:szCs w:val="21"/>
                      <w:u w:val="none" w:color="auto"/>
                    </w:rPr>
                  </w:pPr>
                </w:p>
              </w:tc>
              <w:tc>
                <w:tcPr>
                  <w:tcW w:w="798" w:type="pct"/>
                  <w:vMerge w:val="continue"/>
                  <w:tcBorders>
                    <w:tl2br w:val="nil"/>
                    <w:tr2bl w:val="nil"/>
                  </w:tcBorders>
                  <w:shd w:val="clear" w:color="auto" w:fill="auto"/>
                  <w:vAlign w:val="center"/>
                </w:tcPr>
                <w:p w14:paraId="005B3212">
                  <w:pPr>
                    <w:jc w:val="center"/>
                    <w:rPr>
                      <w:rFonts w:hint="default" w:ascii="Times New Roman" w:hAnsi="Times New Roman" w:eastAsia="宋体" w:cs="Times New Roman"/>
                      <w:i w:val="0"/>
                      <w:iCs w:val="0"/>
                      <w:color w:val="auto"/>
                      <w:sz w:val="21"/>
                      <w:szCs w:val="21"/>
                      <w:u w:val="none" w:color="auto"/>
                    </w:rPr>
                  </w:pPr>
                </w:p>
              </w:tc>
              <w:tc>
                <w:tcPr>
                  <w:tcW w:w="797" w:type="pct"/>
                  <w:tcBorders>
                    <w:tl2br w:val="nil"/>
                    <w:tr2bl w:val="nil"/>
                  </w:tcBorders>
                  <w:shd w:val="clear" w:color="auto" w:fill="auto"/>
                  <w:vAlign w:val="center"/>
                </w:tcPr>
                <w:p w14:paraId="2B8FBB2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动植物油</w:t>
                  </w:r>
                </w:p>
              </w:tc>
              <w:tc>
                <w:tcPr>
                  <w:tcW w:w="797" w:type="pct"/>
                  <w:tcBorders>
                    <w:tl2br w:val="nil"/>
                    <w:tr2bl w:val="nil"/>
                  </w:tcBorders>
                  <w:shd w:val="clear" w:color="auto" w:fill="auto"/>
                  <w:vAlign w:val="center"/>
                </w:tcPr>
                <w:p w14:paraId="52C9A3D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w:t>
                  </w:r>
                </w:p>
              </w:tc>
              <w:tc>
                <w:tcPr>
                  <w:tcW w:w="1011" w:type="pct"/>
                  <w:tcBorders>
                    <w:tl2br w:val="nil"/>
                    <w:tr2bl w:val="nil"/>
                  </w:tcBorders>
                  <w:shd w:val="clear" w:color="auto" w:fill="auto"/>
                  <w:vAlign w:val="center"/>
                </w:tcPr>
                <w:p w14:paraId="6817AE8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 xml:space="preserve">0.0079 </w:t>
                  </w:r>
                </w:p>
              </w:tc>
              <w:tc>
                <w:tcPr>
                  <w:tcW w:w="797" w:type="pct"/>
                  <w:tcBorders>
                    <w:tl2br w:val="nil"/>
                    <w:tr2bl w:val="nil"/>
                  </w:tcBorders>
                  <w:shd w:val="clear" w:color="auto" w:fill="auto"/>
                  <w:vAlign w:val="center"/>
                </w:tcPr>
                <w:p w14:paraId="056D20A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0.0026</w:t>
                  </w:r>
                </w:p>
              </w:tc>
            </w:tr>
            <w:tr w14:paraId="41E32DE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796" w:type="pct"/>
                  <w:vMerge w:val="continue"/>
                  <w:tcBorders>
                    <w:tl2br w:val="nil"/>
                    <w:tr2bl w:val="nil"/>
                  </w:tcBorders>
                  <w:shd w:val="clear" w:color="auto" w:fill="auto"/>
                  <w:vAlign w:val="center"/>
                </w:tcPr>
                <w:p w14:paraId="54C2AD41">
                  <w:pPr>
                    <w:jc w:val="center"/>
                    <w:rPr>
                      <w:rFonts w:hint="default" w:ascii="Times New Roman" w:hAnsi="Times New Roman" w:eastAsia="宋体" w:cs="Times New Roman"/>
                      <w:i w:val="0"/>
                      <w:iCs w:val="0"/>
                      <w:color w:val="auto"/>
                      <w:sz w:val="21"/>
                      <w:szCs w:val="21"/>
                      <w:u w:val="none" w:color="auto"/>
                    </w:rPr>
                  </w:pPr>
                </w:p>
              </w:tc>
              <w:tc>
                <w:tcPr>
                  <w:tcW w:w="798" w:type="pct"/>
                  <w:vMerge w:val="continue"/>
                  <w:tcBorders>
                    <w:tl2br w:val="nil"/>
                    <w:tr2bl w:val="nil"/>
                  </w:tcBorders>
                  <w:shd w:val="clear" w:color="auto" w:fill="auto"/>
                  <w:vAlign w:val="center"/>
                </w:tcPr>
                <w:p w14:paraId="2BEB138B">
                  <w:pPr>
                    <w:jc w:val="center"/>
                    <w:rPr>
                      <w:rFonts w:hint="default" w:ascii="Times New Roman" w:hAnsi="Times New Roman" w:eastAsia="宋体" w:cs="Times New Roman"/>
                      <w:i w:val="0"/>
                      <w:iCs w:val="0"/>
                      <w:color w:val="auto"/>
                      <w:sz w:val="21"/>
                      <w:szCs w:val="21"/>
                      <w:u w:val="none" w:color="auto"/>
                    </w:rPr>
                  </w:pPr>
                </w:p>
              </w:tc>
              <w:tc>
                <w:tcPr>
                  <w:tcW w:w="797" w:type="pct"/>
                  <w:tcBorders>
                    <w:tl2br w:val="nil"/>
                    <w:tr2bl w:val="nil"/>
                  </w:tcBorders>
                  <w:shd w:val="clear" w:color="auto" w:fill="auto"/>
                  <w:vAlign w:val="center"/>
                </w:tcPr>
                <w:p w14:paraId="0215DA9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石油类</w:t>
                  </w:r>
                </w:p>
              </w:tc>
              <w:tc>
                <w:tcPr>
                  <w:tcW w:w="797" w:type="pct"/>
                  <w:tcBorders>
                    <w:tl2br w:val="nil"/>
                    <w:tr2bl w:val="nil"/>
                  </w:tcBorders>
                  <w:shd w:val="clear" w:color="auto" w:fill="auto"/>
                  <w:vAlign w:val="center"/>
                </w:tcPr>
                <w:p w14:paraId="6073BAA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w:t>
                  </w:r>
                </w:p>
              </w:tc>
              <w:tc>
                <w:tcPr>
                  <w:tcW w:w="1011" w:type="pct"/>
                  <w:tcBorders>
                    <w:tl2br w:val="nil"/>
                    <w:tr2bl w:val="nil"/>
                  </w:tcBorders>
                  <w:shd w:val="clear" w:color="auto" w:fill="auto"/>
                  <w:vAlign w:val="center"/>
                </w:tcPr>
                <w:p w14:paraId="350545D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 xml:space="preserve">0.0079 </w:t>
                  </w:r>
                </w:p>
              </w:tc>
              <w:tc>
                <w:tcPr>
                  <w:tcW w:w="797" w:type="pct"/>
                  <w:tcBorders>
                    <w:tl2br w:val="nil"/>
                    <w:tr2bl w:val="nil"/>
                  </w:tcBorders>
                  <w:shd w:val="clear" w:color="auto" w:fill="auto"/>
                  <w:vAlign w:val="center"/>
                </w:tcPr>
                <w:p w14:paraId="3189D04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0.0026</w:t>
                  </w:r>
                </w:p>
              </w:tc>
            </w:tr>
            <w:tr w14:paraId="4B11664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796" w:type="pct"/>
                  <w:vMerge w:val="restart"/>
                  <w:tcBorders>
                    <w:tl2br w:val="nil"/>
                    <w:tr2bl w:val="nil"/>
                  </w:tcBorders>
                  <w:shd w:val="clear" w:color="auto" w:fill="auto"/>
                  <w:vAlign w:val="center"/>
                </w:tcPr>
                <w:p w14:paraId="219EE9F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w:t>
                  </w:r>
                </w:p>
              </w:tc>
              <w:tc>
                <w:tcPr>
                  <w:tcW w:w="798" w:type="pct"/>
                  <w:vMerge w:val="restart"/>
                  <w:tcBorders>
                    <w:tl2br w:val="nil"/>
                    <w:tr2bl w:val="nil"/>
                  </w:tcBorders>
                  <w:shd w:val="clear" w:color="auto" w:fill="auto"/>
                  <w:vAlign w:val="center"/>
                </w:tcPr>
                <w:p w14:paraId="38F3B42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DW002</w:t>
                  </w:r>
                </w:p>
              </w:tc>
              <w:tc>
                <w:tcPr>
                  <w:tcW w:w="797" w:type="pct"/>
                  <w:tcBorders>
                    <w:tl2br w:val="nil"/>
                    <w:tr2bl w:val="nil"/>
                  </w:tcBorders>
                  <w:shd w:val="clear" w:color="auto" w:fill="auto"/>
                  <w:vAlign w:val="center"/>
                </w:tcPr>
                <w:p w14:paraId="07E5429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COD</w:t>
                  </w:r>
                </w:p>
              </w:tc>
              <w:tc>
                <w:tcPr>
                  <w:tcW w:w="797" w:type="pct"/>
                  <w:tcBorders>
                    <w:tl2br w:val="nil"/>
                    <w:tr2bl w:val="nil"/>
                  </w:tcBorders>
                  <w:shd w:val="clear" w:color="auto" w:fill="auto"/>
                  <w:vAlign w:val="center"/>
                </w:tcPr>
                <w:p w14:paraId="2D49ED8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50</w:t>
                  </w:r>
                </w:p>
              </w:tc>
              <w:tc>
                <w:tcPr>
                  <w:tcW w:w="1011" w:type="pct"/>
                  <w:tcBorders>
                    <w:tl2br w:val="nil"/>
                    <w:tr2bl w:val="nil"/>
                  </w:tcBorders>
                  <w:shd w:val="clear" w:color="auto" w:fill="auto"/>
                  <w:noWrap/>
                  <w:vAlign w:val="center"/>
                </w:tcPr>
                <w:p w14:paraId="285530C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 xml:space="preserve">0.2803 </w:t>
                  </w:r>
                </w:p>
              </w:tc>
              <w:tc>
                <w:tcPr>
                  <w:tcW w:w="797" w:type="pct"/>
                  <w:tcBorders>
                    <w:tl2br w:val="nil"/>
                    <w:tr2bl w:val="nil"/>
                  </w:tcBorders>
                  <w:shd w:val="clear" w:color="auto" w:fill="auto"/>
                  <w:vAlign w:val="center"/>
                </w:tcPr>
                <w:p w14:paraId="26969B4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2"/>
                      <w:szCs w:val="22"/>
                      <w:u w:val="none" w:color="auto"/>
                      <w:lang w:val="en-US" w:eastAsia="zh-CN" w:bidi="ar"/>
                    </w:rPr>
                    <w:t>0.0925</w:t>
                  </w:r>
                </w:p>
              </w:tc>
            </w:tr>
            <w:tr w14:paraId="505CD02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5" w:hRule="atLeast"/>
              </w:trPr>
              <w:tc>
                <w:tcPr>
                  <w:tcW w:w="796" w:type="pct"/>
                  <w:vMerge w:val="continue"/>
                  <w:tcBorders>
                    <w:tl2br w:val="nil"/>
                    <w:tr2bl w:val="nil"/>
                  </w:tcBorders>
                  <w:shd w:val="clear" w:color="auto" w:fill="auto"/>
                  <w:vAlign w:val="center"/>
                </w:tcPr>
                <w:p w14:paraId="10FF391A">
                  <w:pPr>
                    <w:jc w:val="center"/>
                    <w:rPr>
                      <w:rFonts w:hint="default" w:ascii="Times New Roman" w:hAnsi="Times New Roman" w:eastAsia="宋体" w:cs="Times New Roman"/>
                      <w:i w:val="0"/>
                      <w:iCs w:val="0"/>
                      <w:color w:val="auto"/>
                      <w:sz w:val="21"/>
                      <w:szCs w:val="21"/>
                      <w:u w:val="none" w:color="auto"/>
                    </w:rPr>
                  </w:pPr>
                </w:p>
              </w:tc>
              <w:tc>
                <w:tcPr>
                  <w:tcW w:w="798" w:type="pct"/>
                  <w:vMerge w:val="continue"/>
                  <w:tcBorders>
                    <w:tl2br w:val="nil"/>
                    <w:tr2bl w:val="nil"/>
                  </w:tcBorders>
                  <w:shd w:val="clear" w:color="auto" w:fill="auto"/>
                  <w:vAlign w:val="center"/>
                </w:tcPr>
                <w:p w14:paraId="4D3D4262">
                  <w:pPr>
                    <w:jc w:val="center"/>
                    <w:rPr>
                      <w:rFonts w:hint="default" w:ascii="Times New Roman" w:hAnsi="Times New Roman" w:eastAsia="宋体" w:cs="Times New Roman"/>
                      <w:i w:val="0"/>
                      <w:iCs w:val="0"/>
                      <w:color w:val="auto"/>
                      <w:sz w:val="21"/>
                      <w:szCs w:val="21"/>
                      <w:u w:val="none" w:color="auto"/>
                    </w:rPr>
                  </w:pPr>
                </w:p>
              </w:tc>
              <w:tc>
                <w:tcPr>
                  <w:tcW w:w="797" w:type="pct"/>
                  <w:tcBorders>
                    <w:tl2br w:val="nil"/>
                    <w:tr2bl w:val="nil"/>
                  </w:tcBorders>
                  <w:shd w:val="clear" w:color="auto" w:fill="auto"/>
                  <w:vAlign w:val="center"/>
                </w:tcPr>
                <w:p w14:paraId="4717DDA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BOD</w:t>
                  </w:r>
                  <w:r>
                    <w:rPr>
                      <w:rStyle w:val="82"/>
                      <w:rFonts w:hint="default" w:ascii="Times New Roman" w:hAnsi="Times New Roman" w:eastAsia="宋体" w:cs="Times New Roman"/>
                      <w:color w:val="auto"/>
                      <w:sz w:val="21"/>
                      <w:szCs w:val="21"/>
                      <w:u w:val="none" w:color="auto"/>
                      <w:vertAlign w:val="subscript"/>
                      <w:lang w:val="en-US" w:eastAsia="zh-CN" w:bidi="ar"/>
                    </w:rPr>
                    <w:t>5</w:t>
                  </w:r>
                </w:p>
              </w:tc>
              <w:tc>
                <w:tcPr>
                  <w:tcW w:w="797" w:type="pct"/>
                  <w:tcBorders>
                    <w:tl2br w:val="nil"/>
                    <w:tr2bl w:val="nil"/>
                  </w:tcBorders>
                  <w:shd w:val="clear" w:color="auto" w:fill="auto"/>
                  <w:vAlign w:val="center"/>
                </w:tcPr>
                <w:p w14:paraId="1E030CF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10</w:t>
                  </w:r>
                </w:p>
              </w:tc>
              <w:tc>
                <w:tcPr>
                  <w:tcW w:w="1011" w:type="pct"/>
                  <w:tcBorders>
                    <w:tl2br w:val="nil"/>
                    <w:tr2bl w:val="nil"/>
                  </w:tcBorders>
                  <w:shd w:val="clear" w:color="auto" w:fill="auto"/>
                  <w:noWrap/>
                  <w:vAlign w:val="center"/>
                </w:tcPr>
                <w:p w14:paraId="1EBB0CF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 xml:space="preserve">0.0561 </w:t>
                  </w:r>
                </w:p>
              </w:tc>
              <w:tc>
                <w:tcPr>
                  <w:tcW w:w="797" w:type="pct"/>
                  <w:tcBorders>
                    <w:tl2br w:val="nil"/>
                    <w:tr2bl w:val="nil"/>
                  </w:tcBorders>
                  <w:shd w:val="clear" w:color="auto" w:fill="auto"/>
                  <w:vAlign w:val="center"/>
                </w:tcPr>
                <w:p w14:paraId="4E8266B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2"/>
                      <w:szCs w:val="22"/>
                      <w:u w:val="none" w:color="auto"/>
                      <w:lang w:val="en-US" w:eastAsia="zh-CN" w:bidi="ar"/>
                    </w:rPr>
                    <w:t>0.0185</w:t>
                  </w:r>
                </w:p>
              </w:tc>
            </w:tr>
            <w:tr w14:paraId="36F6620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796" w:type="pct"/>
                  <w:vMerge w:val="continue"/>
                  <w:tcBorders>
                    <w:tl2br w:val="nil"/>
                    <w:tr2bl w:val="nil"/>
                  </w:tcBorders>
                  <w:shd w:val="clear" w:color="auto" w:fill="auto"/>
                  <w:vAlign w:val="center"/>
                </w:tcPr>
                <w:p w14:paraId="4341AE65">
                  <w:pPr>
                    <w:jc w:val="center"/>
                    <w:rPr>
                      <w:rFonts w:hint="default" w:ascii="Times New Roman" w:hAnsi="Times New Roman" w:eastAsia="宋体" w:cs="Times New Roman"/>
                      <w:i w:val="0"/>
                      <w:iCs w:val="0"/>
                      <w:color w:val="auto"/>
                      <w:sz w:val="21"/>
                      <w:szCs w:val="21"/>
                      <w:u w:val="none" w:color="auto"/>
                    </w:rPr>
                  </w:pPr>
                </w:p>
              </w:tc>
              <w:tc>
                <w:tcPr>
                  <w:tcW w:w="798" w:type="pct"/>
                  <w:vMerge w:val="continue"/>
                  <w:tcBorders>
                    <w:tl2br w:val="nil"/>
                    <w:tr2bl w:val="nil"/>
                  </w:tcBorders>
                  <w:shd w:val="clear" w:color="auto" w:fill="auto"/>
                  <w:vAlign w:val="center"/>
                </w:tcPr>
                <w:p w14:paraId="19B12BFF">
                  <w:pPr>
                    <w:jc w:val="center"/>
                    <w:rPr>
                      <w:rFonts w:hint="default" w:ascii="Times New Roman" w:hAnsi="Times New Roman" w:eastAsia="宋体" w:cs="Times New Roman"/>
                      <w:i w:val="0"/>
                      <w:iCs w:val="0"/>
                      <w:color w:val="auto"/>
                      <w:sz w:val="21"/>
                      <w:szCs w:val="21"/>
                      <w:u w:val="none" w:color="auto"/>
                    </w:rPr>
                  </w:pPr>
                </w:p>
              </w:tc>
              <w:tc>
                <w:tcPr>
                  <w:tcW w:w="797" w:type="pct"/>
                  <w:tcBorders>
                    <w:tl2br w:val="nil"/>
                    <w:tr2bl w:val="nil"/>
                  </w:tcBorders>
                  <w:shd w:val="clear" w:color="auto" w:fill="auto"/>
                  <w:vAlign w:val="center"/>
                </w:tcPr>
                <w:p w14:paraId="3C46FC8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SS</w:t>
                  </w:r>
                </w:p>
              </w:tc>
              <w:tc>
                <w:tcPr>
                  <w:tcW w:w="797" w:type="pct"/>
                  <w:tcBorders>
                    <w:tl2br w:val="nil"/>
                    <w:tr2bl w:val="nil"/>
                  </w:tcBorders>
                  <w:shd w:val="clear" w:color="auto" w:fill="auto"/>
                  <w:vAlign w:val="center"/>
                </w:tcPr>
                <w:p w14:paraId="5C6C8D0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10</w:t>
                  </w:r>
                </w:p>
              </w:tc>
              <w:tc>
                <w:tcPr>
                  <w:tcW w:w="1011" w:type="pct"/>
                  <w:tcBorders>
                    <w:tl2br w:val="nil"/>
                    <w:tr2bl w:val="nil"/>
                  </w:tcBorders>
                  <w:shd w:val="clear" w:color="auto" w:fill="auto"/>
                  <w:noWrap/>
                  <w:vAlign w:val="center"/>
                </w:tcPr>
                <w:p w14:paraId="40D5625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 xml:space="preserve">0.0561 </w:t>
                  </w:r>
                </w:p>
              </w:tc>
              <w:tc>
                <w:tcPr>
                  <w:tcW w:w="797" w:type="pct"/>
                  <w:tcBorders>
                    <w:tl2br w:val="nil"/>
                    <w:tr2bl w:val="nil"/>
                  </w:tcBorders>
                  <w:shd w:val="clear" w:color="auto" w:fill="auto"/>
                  <w:vAlign w:val="center"/>
                </w:tcPr>
                <w:p w14:paraId="4B83221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2"/>
                      <w:szCs w:val="22"/>
                      <w:u w:val="none" w:color="auto"/>
                      <w:lang w:val="en-US" w:eastAsia="zh-CN" w:bidi="ar"/>
                    </w:rPr>
                    <w:t>0.0185</w:t>
                  </w:r>
                </w:p>
              </w:tc>
            </w:tr>
            <w:tr w14:paraId="1914F88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796" w:type="pct"/>
                  <w:vMerge w:val="continue"/>
                  <w:tcBorders>
                    <w:tl2br w:val="nil"/>
                    <w:tr2bl w:val="nil"/>
                  </w:tcBorders>
                  <w:shd w:val="clear" w:color="auto" w:fill="auto"/>
                  <w:vAlign w:val="center"/>
                </w:tcPr>
                <w:p w14:paraId="55AD5B99">
                  <w:pPr>
                    <w:jc w:val="center"/>
                    <w:rPr>
                      <w:rFonts w:hint="default" w:ascii="Times New Roman" w:hAnsi="Times New Roman" w:eastAsia="宋体" w:cs="Times New Roman"/>
                      <w:i w:val="0"/>
                      <w:iCs w:val="0"/>
                      <w:color w:val="auto"/>
                      <w:sz w:val="21"/>
                      <w:szCs w:val="21"/>
                      <w:u w:val="none" w:color="auto"/>
                    </w:rPr>
                  </w:pPr>
                </w:p>
              </w:tc>
              <w:tc>
                <w:tcPr>
                  <w:tcW w:w="798" w:type="pct"/>
                  <w:vMerge w:val="continue"/>
                  <w:tcBorders>
                    <w:tl2br w:val="nil"/>
                    <w:tr2bl w:val="nil"/>
                  </w:tcBorders>
                  <w:shd w:val="clear" w:color="auto" w:fill="auto"/>
                  <w:vAlign w:val="center"/>
                </w:tcPr>
                <w:p w14:paraId="65F4AFEF">
                  <w:pPr>
                    <w:jc w:val="center"/>
                    <w:rPr>
                      <w:rFonts w:hint="default" w:ascii="Times New Roman" w:hAnsi="Times New Roman" w:eastAsia="宋体" w:cs="Times New Roman"/>
                      <w:i w:val="0"/>
                      <w:iCs w:val="0"/>
                      <w:color w:val="auto"/>
                      <w:sz w:val="21"/>
                      <w:szCs w:val="21"/>
                      <w:u w:val="none" w:color="auto"/>
                    </w:rPr>
                  </w:pPr>
                </w:p>
              </w:tc>
              <w:tc>
                <w:tcPr>
                  <w:tcW w:w="797" w:type="pct"/>
                  <w:tcBorders>
                    <w:tl2br w:val="nil"/>
                    <w:tr2bl w:val="nil"/>
                  </w:tcBorders>
                  <w:shd w:val="clear" w:color="auto" w:fill="auto"/>
                  <w:vAlign w:val="center"/>
                </w:tcPr>
                <w:p w14:paraId="41DC08B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氨氮</w:t>
                  </w:r>
                </w:p>
              </w:tc>
              <w:tc>
                <w:tcPr>
                  <w:tcW w:w="797" w:type="pct"/>
                  <w:tcBorders>
                    <w:tl2br w:val="nil"/>
                    <w:tr2bl w:val="nil"/>
                  </w:tcBorders>
                  <w:shd w:val="clear" w:color="auto" w:fill="auto"/>
                  <w:vAlign w:val="center"/>
                </w:tcPr>
                <w:p w14:paraId="16C72EC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5</w:t>
                  </w:r>
                </w:p>
              </w:tc>
              <w:tc>
                <w:tcPr>
                  <w:tcW w:w="1011" w:type="pct"/>
                  <w:tcBorders>
                    <w:tl2br w:val="nil"/>
                    <w:tr2bl w:val="nil"/>
                  </w:tcBorders>
                  <w:shd w:val="clear" w:color="auto" w:fill="auto"/>
                  <w:noWrap/>
                  <w:vAlign w:val="center"/>
                </w:tcPr>
                <w:p w14:paraId="0665483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 xml:space="preserve">0.0282 </w:t>
                  </w:r>
                </w:p>
              </w:tc>
              <w:tc>
                <w:tcPr>
                  <w:tcW w:w="797" w:type="pct"/>
                  <w:tcBorders>
                    <w:tl2br w:val="nil"/>
                    <w:tr2bl w:val="nil"/>
                  </w:tcBorders>
                  <w:shd w:val="clear" w:color="auto" w:fill="auto"/>
                  <w:vAlign w:val="center"/>
                </w:tcPr>
                <w:p w14:paraId="35E17B9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2"/>
                      <w:szCs w:val="22"/>
                      <w:u w:val="none" w:color="auto"/>
                      <w:lang w:val="en-US" w:eastAsia="zh-CN" w:bidi="ar"/>
                    </w:rPr>
                    <w:t>0.0093</w:t>
                  </w:r>
                </w:p>
              </w:tc>
            </w:tr>
            <w:tr w14:paraId="23BCA73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796" w:type="pct"/>
                  <w:vMerge w:val="continue"/>
                  <w:tcBorders>
                    <w:tl2br w:val="nil"/>
                    <w:tr2bl w:val="nil"/>
                  </w:tcBorders>
                  <w:shd w:val="clear" w:color="auto" w:fill="auto"/>
                  <w:vAlign w:val="center"/>
                </w:tcPr>
                <w:p w14:paraId="6B23F03A">
                  <w:pPr>
                    <w:jc w:val="center"/>
                    <w:rPr>
                      <w:rFonts w:hint="default" w:ascii="Times New Roman" w:hAnsi="Times New Roman" w:eastAsia="宋体" w:cs="Times New Roman"/>
                      <w:i w:val="0"/>
                      <w:iCs w:val="0"/>
                      <w:color w:val="auto"/>
                      <w:sz w:val="21"/>
                      <w:szCs w:val="21"/>
                      <w:u w:val="none" w:color="auto"/>
                    </w:rPr>
                  </w:pPr>
                </w:p>
              </w:tc>
              <w:tc>
                <w:tcPr>
                  <w:tcW w:w="798" w:type="pct"/>
                  <w:vMerge w:val="continue"/>
                  <w:tcBorders>
                    <w:tl2br w:val="nil"/>
                    <w:tr2bl w:val="nil"/>
                  </w:tcBorders>
                  <w:shd w:val="clear" w:color="auto" w:fill="auto"/>
                  <w:vAlign w:val="center"/>
                </w:tcPr>
                <w:p w14:paraId="204602F3">
                  <w:pPr>
                    <w:jc w:val="center"/>
                    <w:rPr>
                      <w:rFonts w:hint="default" w:ascii="Times New Roman" w:hAnsi="Times New Roman" w:eastAsia="宋体" w:cs="Times New Roman"/>
                      <w:i w:val="0"/>
                      <w:iCs w:val="0"/>
                      <w:color w:val="auto"/>
                      <w:sz w:val="21"/>
                      <w:szCs w:val="21"/>
                      <w:u w:val="none" w:color="auto"/>
                    </w:rPr>
                  </w:pPr>
                </w:p>
              </w:tc>
              <w:tc>
                <w:tcPr>
                  <w:tcW w:w="797" w:type="pct"/>
                  <w:tcBorders>
                    <w:tl2br w:val="nil"/>
                    <w:tr2bl w:val="nil"/>
                  </w:tcBorders>
                  <w:shd w:val="clear" w:color="auto" w:fill="auto"/>
                  <w:vAlign w:val="center"/>
                </w:tcPr>
                <w:p w14:paraId="682482D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动植物油</w:t>
                  </w:r>
                </w:p>
              </w:tc>
              <w:tc>
                <w:tcPr>
                  <w:tcW w:w="797" w:type="pct"/>
                  <w:tcBorders>
                    <w:tl2br w:val="nil"/>
                    <w:tr2bl w:val="nil"/>
                  </w:tcBorders>
                  <w:shd w:val="clear" w:color="auto" w:fill="auto"/>
                  <w:vAlign w:val="center"/>
                </w:tcPr>
                <w:p w14:paraId="7908112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w:t>
                  </w:r>
                </w:p>
              </w:tc>
              <w:tc>
                <w:tcPr>
                  <w:tcW w:w="1011" w:type="pct"/>
                  <w:tcBorders>
                    <w:tl2br w:val="nil"/>
                    <w:tr2bl w:val="nil"/>
                  </w:tcBorders>
                  <w:shd w:val="clear" w:color="auto" w:fill="auto"/>
                  <w:noWrap/>
                  <w:vAlign w:val="center"/>
                </w:tcPr>
                <w:p w14:paraId="7CE5095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 xml:space="preserve">0.0058 </w:t>
                  </w:r>
                </w:p>
              </w:tc>
              <w:tc>
                <w:tcPr>
                  <w:tcW w:w="797" w:type="pct"/>
                  <w:tcBorders>
                    <w:tl2br w:val="nil"/>
                    <w:tr2bl w:val="nil"/>
                  </w:tcBorders>
                  <w:shd w:val="clear" w:color="auto" w:fill="auto"/>
                  <w:vAlign w:val="center"/>
                </w:tcPr>
                <w:p w14:paraId="61B35B1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2"/>
                      <w:szCs w:val="22"/>
                      <w:u w:val="none" w:color="auto"/>
                      <w:lang w:val="en-US" w:eastAsia="zh-CN" w:bidi="ar"/>
                    </w:rPr>
                    <w:t>0.0019</w:t>
                  </w:r>
                </w:p>
              </w:tc>
            </w:tr>
            <w:tr w14:paraId="76CF8A6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796" w:type="pct"/>
                  <w:vMerge w:val="continue"/>
                  <w:tcBorders>
                    <w:tl2br w:val="nil"/>
                    <w:tr2bl w:val="nil"/>
                  </w:tcBorders>
                  <w:shd w:val="clear" w:color="auto" w:fill="auto"/>
                  <w:vAlign w:val="center"/>
                </w:tcPr>
                <w:p w14:paraId="2762F5A9">
                  <w:pPr>
                    <w:jc w:val="center"/>
                    <w:rPr>
                      <w:rFonts w:hint="default" w:ascii="Times New Roman" w:hAnsi="Times New Roman" w:eastAsia="宋体" w:cs="Times New Roman"/>
                      <w:i w:val="0"/>
                      <w:iCs w:val="0"/>
                      <w:color w:val="auto"/>
                      <w:sz w:val="21"/>
                      <w:szCs w:val="21"/>
                      <w:u w:val="none" w:color="auto"/>
                    </w:rPr>
                  </w:pPr>
                </w:p>
              </w:tc>
              <w:tc>
                <w:tcPr>
                  <w:tcW w:w="798" w:type="pct"/>
                  <w:vMerge w:val="continue"/>
                  <w:tcBorders>
                    <w:tl2br w:val="nil"/>
                    <w:tr2bl w:val="nil"/>
                  </w:tcBorders>
                  <w:shd w:val="clear" w:color="auto" w:fill="auto"/>
                  <w:vAlign w:val="center"/>
                </w:tcPr>
                <w:p w14:paraId="654A8121">
                  <w:pPr>
                    <w:jc w:val="center"/>
                    <w:rPr>
                      <w:rFonts w:hint="default" w:ascii="Times New Roman" w:hAnsi="Times New Roman" w:eastAsia="宋体" w:cs="Times New Roman"/>
                      <w:i w:val="0"/>
                      <w:iCs w:val="0"/>
                      <w:color w:val="auto"/>
                      <w:sz w:val="21"/>
                      <w:szCs w:val="21"/>
                      <w:u w:val="none" w:color="auto"/>
                    </w:rPr>
                  </w:pPr>
                </w:p>
              </w:tc>
              <w:tc>
                <w:tcPr>
                  <w:tcW w:w="797" w:type="pct"/>
                  <w:tcBorders>
                    <w:tl2br w:val="nil"/>
                    <w:tr2bl w:val="nil"/>
                  </w:tcBorders>
                  <w:shd w:val="clear" w:color="auto" w:fill="auto"/>
                  <w:vAlign w:val="center"/>
                </w:tcPr>
                <w:p w14:paraId="1B7BA72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石油类</w:t>
                  </w:r>
                </w:p>
              </w:tc>
              <w:tc>
                <w:tcPr>
                  <w:tcW w:w="797" w:type="pct"/>
                  <w:tcBorders>
                    <w:tl2br w:val="nil"/>
                    <w:tr2bl w:val="nil"/>
                  </w:tcBorders>
                  <w:shd w:val="clear" w:color="auto" w:fill="auto"/>
                  <w:vAlign w:val="center"/>
                </w:tcPr>
                <w:p w14:paraId="6DEC7AD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w:t>
                  </w:r>
                </w:p>
              </w:tc>
              <w:tc>
                <w:tcPr>
                  <w:tcW w:w="1011" w:type="pct"/>
                  <w:tcBorders>
                    <w:tl2br w:val="nil"/>
                    <w:tr2bl w:val="nil"/>
                  </w:tcBorders>
                  <w:shd w:val="clear" w:color="auto" w:fill="auto"/>
                  <w:noWrap/>
                  <w:vAlign w:val="center"/>
                </w:tcPr>
                <w:p w14:paraId="6DEA20B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 xml:space="preserve">0.0058 </w:t>
                  </w:r>
                </w:p>
              </w:tc>
              <w:tc>
                <w:tcPr>
                  <w:tcW w:w="797" w:type="pct"/>
                  <w:tcBorders>
                    <w:tl2br w:val="nil"/>
                    <w:tr2bl w:val="nil"/>
                  </w:tcBorders>
                  <w:shd w:val="clear" w:color="auto" w:fill="auto"/>
                  <w:vAlign w:val="center"/>
                </w:tcPr>
                <w:p w14:paraId="50BA144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2"/>
                      <w:szCs w:val="22"/>
                      <w:u w:val="none" w:color="auto"/>
                      <w:lang w:val="en-US" w:eastAsia="zh-CN" w:bidi="ar"/>
                    </w:rPr>
                    <w:t>0.0019</w:t>
                  </w:r>
                </w:p>
              </w:tc>
            </w:tr>
            <w:tr w14:paraId="3C76CC5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796" w:type="pct"/>
                  <w:vMerge w:val="restart"/>
                  <w:tcBorders>
                    <w:tl2br w:val="nil"/>
                    <w:tr2bl w:val="nil"/>
                  </w:tcBorders>
                  <w:shd w:val="clear" w:color="auto" w:fill="auto"/>
                  <w:vAlign w:val="center"/>
                </w:tcPr>
                <w:p w14:paraId="2296F83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w:t>
                  </w:r>
                </w:p>
              </w:tc>
              <w:tc>
                <w:tcPr>
                  <w:tcW w:w="798" w:type="pct"/>
                  <w:vMerge w:val="restart"/>
                  <w:tcBorders>
                    <w:tl2br w:val="nil"/>
                    <w:tr2bl w:val="nil"/>
                  </w:tcBorders>
                  <w:shd w:val="clear" w:color="auto" w:fill="auto"/>
                  <w:vAlign w:val="center"/>
                </w:tcPr>
                <w:p w14:paraId="6E72587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lang w:val="en-US"/>
                    </w:rPr>
                  </w:pPr>
                  <w:r>
                    <w:rPr>
                      <w:rFonts w:hint="default" w:ascii="Times New Roman" w:hAnsi="Times New Roman" w:eastAsia="宋体" w:cs="Times New Roman"/>
                      <w:i w:val="0"/>
                      <w:iCs w:val="0"/>
                      <w:color w:val="auto"/>
                      <w:kern w:val="0"/>
                      <w:sz w:val="21"/>
                      <w:szCs w:val="21"/>
                      <w:u w:val="none" w:color="auto"/>
                      <w:lang w:val="en-US" w:eastAsia="zh-CN" w:bidi="ar"/>
                    </w:rPr>
                    <w:t>DW003、DW004、DW005（均为生活污水）</w:t>
                  </w:r>
                </w:p>
              </w:tc>
              <w:tc>
                <w:tcPr>
                  <w:tcW w:w="797" w:type="pct"/>
                  <w:tcBorders>
                    <w:tl2br w:val="nil"/>
                    <w:tr2bl w:val="nil"/>
                  </w:tcBorders>
                  <w:shd w:val="clear" w:color="auto" w:fill="auto"/>
                  <w:vAlign w:val="center"/>
                </w:tcPr>
                <w:p w14:paraId="69434DE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COD</w:t>
                  </w:r>
                </w:p>
              </w:tc>
              <w:tc>
                <w:tcPr>
                  <w:tcW w:w="797" w:type="pct"/>
                  <w:tcBorders>
                    <w:tl2br w:val="nil"/>
                    <w:tr2bl w:val="nil"/>
                  </w:tcBorders>
                  <w:shd w:val="clear" w:color="auto" w:fill="auto"/>
                  <w:vAlign w:val="center"/>
                </w:tcPr>
                <w:p w14:paraId="478E71C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50</w:t>
                  </w:r>
                </w:p>
              </w:tc>
              <w:tc>
                <w:tcPr>
                  <w:tcW w:w="1011" w:type="pct"/>
                  <w:tcBorders>
                    <w:tl2br w:val="nil"/>
                    <w:tr2bl w:val="nil"/>
                  </w:tcBorders>
                  <w:shd w:val="clear" w:color="auto" w:fill="auto"/>
                  <w:noWrap/>
                  <w:vAlign w:val="center"/>
                </w:tcPr>
                <w:p w14:paraId="0F27BEF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 xml:space="preserve">0.5112 </w:t>
                  </w:r>
                </w:p>
              </w:tc>
              <w:tc>
                <w:tcPr>
                  <w:tcW w:w="797" w:type="pct"/>
                  <w:tcBorders>
                    <w:tl2br w:val="nil"/>
                    <w:tr2bl w:val="nil"/>
                  </w:tcBorders>
                  <w:shd w:val="clear" w:color="auto" w:fill="auto"/>
                  <w:vAlign w:val="center"/>
                </w:tcPr>
                <w:p w14:paraId="50F9883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2"/>
                      <w:szCs w:val="22"/>
                      <w:u w:val="none" w:color="auto"/>
                      <w:lang w:val="en-US" w:eastAsia="zh-CN" w:bidi="ar"/>
                    </w:rPr>
                    <w:t>0.1687</w:t>
                  </w:r>
                </w:p>
              </w:tc>
            </w:tr>
            <w:tr w14:paraId="7FC1056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45" w:hRule="atLeast"/>
              </w:trPr>
              <w:tc>
                <w:tcPr>
                  <w:tcW w:w="796" w:type="pct"/>
                  <w:vMerge w:val="continue"/>
                  <w:tcBorders>
                    <w:tl2br w:val="nil"/>
                    <w:tr2bl w:val="nil"/>
                  </w:tcBorders>
                  <w:shd w:val="clear" w:color="auto" w:fill="auto"/>
                  <w:vAlign w:val="center"/>
                </w:tcPr>
                <w:p w14:paraId="4965C50F">
                  <w:pPr>
                    <w:jc w:val="center"/>
                    <w:rPr>
                      <w:rFonts w:hint="default" w:ascii="Times New Roman" w:hAnsi="Times New Roman" w:eastAsia="宋体" w:cs="Times New Roman"/>
                      <w:i w:val="0"/>
                      <w:iCs w:val="0"/>
                      <w:color w:val="auto"/>
                      <w:sz w:val="21"/>
                      <w:szCs w:val="21"/>
                      <w:u w:val="none" w:color="auto"/>
                    </w:rPr>
                  </w:pPr>
                </w:p>
              </w:tc>
              <w:tc>
                <w:tcPr>
                  <w:tcW w:w="798" w:type="pct"/>
                  <w:vMerge w:val="continue"/>
                  <w:tcBorders>
                    <w:tl2br w:val="nil"/>
                    <w:tr2bl w:val="nil"/>
                  </w:tcBorders>
                  <w:shd w:val="clear" w:color="auto" w:fill="auto"/>
                  <w:vAlign w:val="center"/>
                </w:tcPr>
                <w:p w14:paraId="624BFA42">
                  <w:pPr>
                    <w:jc w:val="center"/>
                    <w:rPr>
                      <w:rFonts w:hint="default" w:ascii="Times New Roman" w:hAnsi="Times New Roman" w:eastAsia="宋体" w:cs="Times New Roman"/>
                      <w:i w:val="0"/>
                      <w:iCs w:val="0"/>
                      <w:color w:val="auto"/>
                      <w:sz w:val="21"/>
                      <w:szCs w:val="21"/>
                      <w:u w:val="none" w:color="auto"/>
                    </w:rPr>
                  </w:pPr>
                </w:p>
              </w:tc>
              <w:tc>
                <w:tcPr>
                  <w:tcW w:w="797" w:type="pct"/>
                  <w:tcBorders>
                    <w:tl2br w:val="nil"/>
                    <w:tr2bl w:val="nil"/>
                  </w:tcBorders>
                  <w:shd w:val="clear" w:color="auto" w:fill="auto"/>
                  <w:vAlign w:val="center"/>
                </w:tcPr>
                <w:p w14:paraId="21FC167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BOD</w:t>
                  </w:r>
                  <w:r>
                    <w:rPr>
                      <w:rStyle w:val="82"/>
                      <w:rFonts w:hint="default" w:ascii="Times New Roman" w:hAnsi="Times New Roman" w:eastAsia="宋体" w:cs="Times New Roman"/>
                      <w:color w:val="auto"/>
                      <w:sz w:val="21"/>
                      <w:szCs w:val="21"/>
                      <w:u w:val="none" w:color="auto"/>
                      <w:vertAlign w:val="subscript"/>
                      <w:lang w:val="en-US" w:eastAsia="zh-CN" w:bidi="ar"/>
                    </w:rPr>
                    <w:t>5</w:t>
                  </w:r>
                </w:p>
              </w:tc>
              <w:tc>
                <w:tcPr>
                  <w:tcW w:w="797" w:type="pct"/>
                  <w:tcBorders>
                    <w:tl2br w:val="nil"/>
                    <w:tr2bl w:val="nil"/>
                  </w:tcBorders>
                  <w:shd w:val="clear" w:color="auto" w:fill="auto"/>
                  <w:vAlign w:val="center"/>
                </w:tcPr>
                <w:p w14:paraId="2AD4D6E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10</w:t>
                  </w:r>
                </w:p>
              </w:tc>
              <w:tc>
                <w:tcPr>
                  <w:tcW w:w="1011" w:type="pct"/>
                  <w:tcBorders>
                    <w:tl2br w:val="nil"/>
                    <w:tr2bl w:val="nil"/>
                  </w:tcBorders>
                  <w:shd w:val="clear" w:color="auto" w:fill="auto"/>
                  <w:noWrap/>
                  <w:vAlign w:val="center"/>
                </w:tcPr>
                <w:p w14:paraId="72B0FE1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 xml:space="preserve">0.1021 </w:t>
                  </w:r>
                </w:p>
              </w:tc>
              <w:tc>
                <w:tcPr>
                  <w:tcW w:w="797" w:type="pct"/>
                  <w:tcBorders>
                    <w:tl2br w:val="nil"/>
                    <w:tr2bl w:val="nil"/>
                  </w:tcBorders>
                  <w:shd w:val="clear" w:color="auto" w:fill="auto"/>
                  <w:vAlign w:val="center"/>
                </w:tcPr>
                <w:p w14:paraId="5A7E209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2"/>
                      <w:szCs w:val="22"/>
                      <w:u w:val="none" w:color="auto"/>
                      <w:lang w:val="en-US" w:eastAsia="zh-CN" w:bidi="ar"/>
                    </w:rPr>
                    <w:t>0.0337</w:t>
                  </w:r>
                </w:p>
              </w:tc>
            </w:tr>
            <w:tr w14:paraId="7EC89FC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796" w:type="pct"/>
                  <w:vMerge w:val="continue"/>
                  <w:tcBorders>
                    <w:tl2br w:val="nil"/>
                    <w:tr2bl w:val="nil"/>
                  </w:tcBorders>
                  <w:shd w:val="clear" w:color="auto" w:fill="auto"/>
                  <w:vAlign w:val="center"/>
                </w:tcPr>
                <w:p w14:paraId="2E8115DC">
                  <w:pPr>
                    <w:jc w:val="center"/>
                    <w:rPr>
                      <w:rFonts w:hint="default" w:ascii="Times New Roman" w:hAnsi="Times New Roman" w:eastAsia="宋体" w:cs="Times New Roman"/>
                      <w:i w:val="0"/>
                      <w:iCs w:val="0"/>
                      <w:color w:val="auto"/>
                      <w:sz w:val="21"/>
                      <w:szCs w:val="21"/>
                      <w:u w:val="none" w:color="auto"/>
                    </w:rPr>
                  </w:pPr>
                </w:p>
              </w:tc>
              <w:tc>
                <w:tcPr>
                  <w:tcW w:w="798" w:type="pct"/>
                  <w:vMerge w:val="continue"/>
                  <w:tcBorders>
                    <w:tl2br w:val="nil"/>
                    <w:tr2bl w:val="nil"/>
                  </w:tcBorders>
                  <w:shd w:val="clear" w:color="auto" w:fill="auto"/>
                  <w:vAlign w:val="center"/>
                </w:tcPr>
                <w:p w14:paraId="7ACB3BFC">
                  <w:pPr>
                    <w:jc w:val="center"/>
                    <w:rPr>
                      <w:rFonts w:hint="default" w:ascii="Times New Roman" w:hAnsi="Times New Roman" w:eastAsia="宋体" w:cs="Times New Roman"/>
                      <w:i w:val="0"/>
                      <w:iCs w:val="0"/>
                      <w:color w:val="auto"/>
                      <w:sz w:val="21"/>
                      <w:szCs w:val="21"/>
                      <w:u w:val="none" w:color="auto"/>
                    </w:rPr>
                  </w:pPr>
                </w:p>
              </w:tc>
              <w:tc>
                <w:tcPr>
                  <w:tcW w:w="797" w:type="pct"/>
                  <w:tcBorders>
                    <w:tl2br w:val="nil"/>
                    <w:tr2bl w:val="nil"/>
                  </w:tcBorders>
                  <w:shd w:val="clear" w:color="auto" w:fill="auto"/>
                  <w:vAlign w:val="center"/>
                </w:tcPr>
                <w:p w14:paraId="3F63187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SS</w:t>
                  </w:r>
                </w:p>
              </w:tc>
              <w:tc>
                <w:tcPr>
                  <w:tcW w:w="797" w:type="pct"/>
                  <w:tcBorders>
                    <w:tl2br w:val="nil"/>
                    <w:tr2bl w:val="nil"/>
                  </w:tcBorders>
                  <w:shd w:val="clear" w:color="auto" w:fill="auto"/>
                  <w:vAlign w:val="center"/>
                </w:tcPr>
                <w:p w14:paraId="34DE8CE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10</w:t>
                  </w:r>
                </w:p>
              </w:tc>
              <w:tc>
                <w:tcPr>
                  <w:tcW w:w="1011" w:type="pct"/>
                  <w:tcBorders>
                    <w:tl2br w:val="nil"/>
                    <w:tr2bl w:val="nil"/>
                  </w:tcBorders>
                  <w:shd w:val="clear" w:color="auto" w:fill="auto"/>
                  <w:noWrap/>
                  <w:vAlign w:val="center"/>
                </w:tcPr>
                <w:p w14:paraId="7588773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 xml:space="preserve">0.1021 </w:t>
                  </w:r>
                </w:p>
              </w:tc>
              <w:tc>
                <w:tcPr>
                  <w:tcW w:w="797" w:type="pct"/>
                  <w:tcBorders>
                    <w:tl2br w:val="nil"/>
                    <w:tr2bl w:val="nil"/>
                  </w:tcBorders>
                  <w:shd w:val="clear" w:color="auto" w:fill="auto"/>
                  <w:vAlign w:val="center"/>
                </w:tcPr>
                <w:p w14:paraId="6CBF4A3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2"/>
                      <w:szCs w:val="22"/>
                      <w:u w:val="none" w:color="auto"/>
                      <w:lang w:val="en-US" w:eastAsia="zh-CN" w:bidi="ar"/>
                    </w:rPr>
                    <w:t>0.0337</w:t>
                  </w:r>
                </w:p>
              </w:tc>
            </w:tr>
            <w:tr w14:paraId="5441BC0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796" w:type="pct"/>
                  <w:vMerge w:val="continue"/>
                  <w:tcBorders>
                    <w:tl2br w:val="nil"/>
                    <w:tr2bl w:val="nil"/>
                  </w:tcBorders>
                  <w:shd w:val="clear" w:color="auto" w:fill="auto"/>
                  <w:vAlign w:val="center"/>
                </w:tcPr>
                <w:p w14:paraId="59328421">
                  <w:pPr>
                    <w:jc w:val="center"/>
                    <w:rPr>
                      <w:rFonts w:hint="default" w:ascii="Times New Roman" w:hAnsi="Times New Roman" w:eastAsia="宋体" w:cs="Times New Roman"/>
                      <w:i w:val="0"/>
                      <w:iCs w:val="0"/>
                      <w:color w:val="auto"/>
                      <w:sz w:val="21"/>
                      <w:szCs w:val="21"/>
                      <w:u w:val="none" w:color="auto"/>
                    </w:rPr>
                  </w:pPr>
                </w:p>
              </w:tc>
              <w:tc>
                <w:tcPr>
                  <w:tcW w:w="798" w:type="pct"/>
                  <w:vMerge w:val="continue"/>
                  <w:tcBorders>
                    <w:tl2br w:val="nil"/>
                    <w:tr2bl w:val="nil"/>
                  </w:tcBorders>
                  <w:shd w:val="clear" w:color="auto" w:fill="auto"/>
                  <w:vAlign w:val="center"/>
                </w:tcPr>
                <w:p w14:paraId="16104F76">
                  <w:pPr>
                    <w:jc w:val="center"/>
                    <w:rPr>
                      <w:rFonts w:hint="default" w:ascii="Times New Roman" w:hAnsi="Times New Roman" w:eastAsia="宋体" w:cs="Times New Roman"/>
                      <w:i w:val="0"/>
                      <w:iCs w:val="0"/>
                      <w:color w:val="auto"/>
                      <w:sz w:val="21"/>
                      <w:szCs w:val="21"/>
                      <w:u w:val="none" w:color="auto"/>
                    </w:rPr>
                  </w:pPr>
                </w:p>
              </w:tc>
              <w:tc>
                <w:tcPr>
                  <w:tcW w:w="797" w:type="pct"/>
                  <w:tcBorders>
                    <w:tl2br w:val="nil"/>
                    <w:tr2bl w:val="nil"/>
                  </w:tcBorders>
                  <w:shd w:val="clear" w:color="auto" w:fill="auto"/>
                  <w:vAlign w:val="center"/>
                </w:tcPr>
                <w:p w14:paraId="0725A7C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氨氮</w:t>
                  </w:r>
                </w:p>
              </w:tc>
              <w:tc>
                <w:tcPr>
                  <w:tcW w:w="797" w:type="pct"/>
                  <w:tcBorders>
                    <w:tl2br w:val="nil"/>
                    <w:tr2bl w:val="nil"/>
                  </w:tcBorders>
                  <w:shd w:val="clear" w:color="auto" w:fill="auto"/>
                  <w:vAlign w:val="center"/>
                </w:tcPr>
                <w:p w14:paraId="2E57461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5</w:t>
                  </w:r>
                </w:p>
              </w:tc>
              <w:tc>
                <w:tcPr>
                  <w:tcW w:w="1011" w:type="pct"/>
                  <w:tcBorders>
                    <w:tl2br w:val="nil"/>
                    <w:tr2bl w:val="nil"/>
                  </w:tcBorders>
                  <w:shd w:val="clear" w:color="auto" w:fill="auto"/>
                  <w:noWrap/>
                  <w:vAlign w:val="center"/>
                </w:tcPr>
                <w:p w14:paraId="03BB4AF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 xml:space="preserve">0.0512 </w:t>
                  </w:r>
                </w:p>
              </w:tc>
              <w:tc>
                <w:tcPr>
                  <w:tcW w:w="797" w:type="pct"/>
                  <w:tcBorders>
                    <w:tl2br w:val="nil"/>
                    <w:tr2bl w:val="nil"/>
                  </w:tcBorders>
                  <w:shd w:val="clear" w:color="auto" w:fill="auto"/>
                  <w:vAlign w:val="center"/>
                </w:tcPr>
                <w:p w14:paraId="1261C15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2"/>
                      <w:szCs w:val="22"/>
                      <w:u w:val="none" w:color="auto"/>
                      <w:lang w:val="en-US" w:eastAsia="zh-CN" w:bidi="ar"/>
                    </w:rPr>
                    <w:t>0.0169</w:t>
                  </w:r>
                </w:p>
              </w:tc>
            </w:tr>
            <w:tr w14:paraId="4147251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796" w:type="pct"/>
                  <w:vMerge w:val="continue"/>
                  <w:tcBorders>
                    <w:tl2br w:val="nil"/>
                    <w:tr2bl w:val="nil"/>
                  </w:tcBorders>
                  <w:shd w:val="clear" w:color="auto" w:fill="auto"/>
                  <w:vAlign w:val="center"/>
                </w:tcPr>
                <w:p w14:paraId="5905693F">
                  <w:pPr>
                    <w:jc w:val="center"/>
                    <w:rPr>
                      <w:rFonts w:hint="default" w:ascii="Times New Roman" w:hAnsi="Times New Roman" w:eastAsia="宋体" w:cs="Times New Roman"/>
                      <w:i w:val="0"/>
                      <w:iCs w:val="0"/>
                      <w:color w:val="auto"/>
                      <w:sz w:val="21"/>
                      <w:szCs w:val="21"/>
                      <w:u w:val="none" w:color="auto"/>
                    </w:rPr>
                  </w:pPr>
                </w:p>
              </w:tc>
              <w:tc>
                <w:tcPr>
                  <w:tcW w:w="798" w:type="pct"/>
                  <w:vMerge w:val="continue"/>
                  <w:tcBorders>
                    <w:tl2br w:val="nil"/>
                    <w:tr2bl w:val="nil"/>
                  </w:tcBorders>
                  <w:shd w:val="clear" w:color="auto" w:fill="auto"/>
                  <w:vAlign w:val="center"/>
                </w:tcPr>
                <w:p w14:paraId="39475FE1">
                  <w:pPr>
                    <w:jc w:val="center"/>
                    <w:rPr>
                      <w:rFonts w:hint="default" w:ascii="Times New Roman" w:hAnsi="Times New Roman" w:eastAsia="宋体" w:cs="Times New Roman"/>
                      <w:i w:val="0"/>
                      <w:iCs w:val="0"/>
                      <w:color w:val="auto"/>
                      <w:sz w:val="21"/>
                      <w:szCs w:val="21"/>
                      <w:u w:val="none" w:color="auto"/>
                    </w:rPr>
                  </w:pPr>
                </w:p>
              </w:tc>
              <w:tc>
                <w:tcPr>
                  <w:tcW w:w="797" w:type="pct"/>
                  <w:tcBorders>
                    <w:tl2br w:val="nil"/>
                    <w:tr2bl w:val="nil"/>
                  </w:tcBorders>
                  <w:shd w:val="clear" w:color="auto" w:fill="auto"/>
                  <w:vAlign w:val="center"/>
                </w:tcPr>
                <w:p w14:paraId="7172330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动植物油</w:t>
                  </w:r>
                </w:p>
              </w:tc>
              <w:tc>
                <w:tcPr>
                  <w:tcW w:w="797" w:type="pct"/>
                  <w:tcBorders>
                    <w:tl2br w:val="nil"/>
                    <w:tr2bl w:val="nil"/>
                  </w:tcBorders>
                  <w:shd w:val="clear" w:color="auto" w:fill="auto"/>
                  <w:vAlign w:val="center"/>
                </w:tcPr>
                <w:p w14:paraId="1B7D5E6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w:t>
                  </w:r>
                </w:p>
              </w:tc>
              <w:tc>
                <w:tcPr>
                  <w:tcW w:w="1011" w:type="pct"/>
                  <w:tcBorders>
                    <w:tl2br w:val="nil"/>
                    <w:tr2bl w:val="nil"/>
                  </w:tcBorders>
                  <w:shd w:val="clear" w:color="auto" w:fill="auto"/>
                  <w:noWrap/>
                  <w:vAlign w:val="center"/>
                </w:tcPr>
                <w:p w14:paraId="43367E5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 xml:space="preserve">0.0103 </w:t>
                  </w:r>
                </w:p>
              </w:tc>
              <w:tc>
                <w:tcPr>
                  <w:tcW w:w="797" w:type="pct"/>
                  <w:tcBorders>
                    <w:tl2br w:val="nil"/>
                    <w:tr2bl w:val="nil"/>
                  </w:tcBorders>
                  <w:shd w:val="clear" w:color="auto" w:fill="auto"/>
                  <w:vAlign w:val="center"/>
                </w:tcPr>
                <w:p w14:paraId="71B3842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2"/>
                      <w:szCs w:val="22"/>
                      <w:u w:val="none" w:color="auto"/>
                      <w:lang w:val="en-US" w:eastAsia="zh-CN" w:bidi="ar"/>
                    </w:rPr>
                    <w:t>0.0034</w:t>
                  </w:r>
                </w:p>
              </w:tc>
            </w:tr>
            <w:tr w14:paraId="0A63E8A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796" w:type="pct"/>
                  <w:vMerge w:val="continue"/>
                  <w:tcBorders>
                    <w:tl2br w:val="nil"/>
                    <w:tr2bl w:val="nil"/>
                  </w:tcBorders>
                  <w:shd w:val="clear" w:color="auto" w:fill="auto"/>
                  <w:vAlign w:val="center"/>
                </w:tcPr>
                <w:p w14:paraId="0D8E4772">
                  <w:pPr>
                    <w:jc w:val="center"/>
                    <w:rPr>
                      <w:rFonts w:hint="default" w:ascii="Times New Roman" w:hAnsi="Times New Roman" w:eastAsia="宋体" w:cs="Times New Roman"/>
                      <w:i w:val="0"/>
                      <w:iCs w:val="0"/>
                      <w:color w:val="auto"/>
                      <w:sz w:val="21"/>
                      <w:szCs w:val="21"/>
                      <w:u w:val="none" w:color="auto"/>
                    </w:rPr>
                  </w:pPr>
                </w:p>
              </w:tc>
              <w:tc>
                <w:tcPr>
                  <w:tcW w:w="798" w:type="pct"/>
                  <w:vMerge w:val="continue"/>
                  <w:tcBorders>
                    <w:tl2br w:val="nil"/>
                    <w:tr2bl w:val="nil"/>
                  </w:tcBorders>
                  <w:shd w:val="clear" w:color="auto" w:fill="auto"/>
                  <w:vAlign w:val="center"/>
                </w:tcPr>
                <w:p w14:paraId="009E1469">
                  <w:pPr>
                    <w:jc w:val="center"/>
                    <w:rPr>
                      <w:rFonts w:hint="default" w:ascii="Times New Roman" w:hAnsi="Times New Roman" w:eastAsia="宋体" w:cs="Times New Roman"/>
                      <w:i w:val="0"/>
                      <w:iCs w:val="0"/>
                      <w:color w:val="auto"/>
                      <w:sz w:val="21"/>
                      <w:szCs w:val="21"/>
                      <w:u w:val="none" w:color="auto"/>
                    </w:rPr>
                  </w:pPr>
                </w:p>
              </w:tc>
              <w:tc>
                <w:tcPr>
                  <w:tcW w:w="797" w:type="pct"/>
                  <w:tcBorders>
                    <w:tl2br w:val="nil"/>
                    <w:tr2bl w:val="nil"/>
                  </w:tcBorders>
                  <w:shd w:val="clear" w:color="auto" w:fill="auto"/>
                  <w:vAlign w:val="center"/>
                </w:tcPr>
                <w:p w14:paraId="6F31D0D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石油类</w:t>
                  </w:r>
                </w:p>
              </w:tc>
              <w:tc>
                <w:tcPr>
                  <w:tcW w:w="797" w:type="pct"/>
                  <w:tcBorders>
                    <w:tl2br w:val="nil"/>
                    <w:tr2bl w:val="nil"/>
                  </w:tcBorders>
                  <w:shd w:val="clear" w:color="auto" w:fill="auto"/>
                  <w:vAlign w:val="center"/>
                </w:tcPr>
                <w:p w14:paraId="1C396D2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w:t>
                  </w:r>
                </w:p>
              </w:tc>
              <w:tc>
                <w:tcPr>
                  <w:tcW w:w="1011" w:type="pct"/>
                  <w:tcBorders>
                    <w:tl2br w:val="nil"/>
                    <w:tr2bl w:val="nil"/>
                  </w:tcBorders>
                  <w:shd w:val="clear" w:color="auto" w:fill="auto"/>
                  <w:noWrap/>
                  <w:vAlign w:val="center"/>
                </w:tcPr>
                <w:p w14:paraId="2BE8672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 xml:space="preserve">0.0103 </w:t>
                  </w:r>
                </w:p>
              </w:tc>
              <w:tc>
                <w:tcPr>
                  <w:tcW w:w="797" w:type="pct"/>
                  <w:tcBorders>
                    <w:tl2br w:val="nil"/>
                    <w:tr2bl w:val="nil"/>
                  </w:tcBorders>
                  <w:shd w:val="clear" w:color="auto" w:fill="auto"/>
                  <w:vAlign w:val="center"/>
                </w:tcPr>
                <w:p w14:paraId="6493852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2"/>
                      <w:szCs w:val="22"/>
                      <w:u w:val="none" w:color="auto"/>
                      <w:lang w:val="en-US" w:eastAsia="zh-CN" w:bidi="ar"/>
                    </w:rPr>
                    <w:t>0.0034</w:t>
                  </w:r>
                </w:p>
              </w:tc>
            </w:tr>
            <w:tr w14:paraId="4918761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70" w:hRule="atLeast"/>
              </w:trPr>
              <w:tc>
                <w:tcPr>
                  <w:tcW w:w="1595" w:type="pct"/>
                  <w:gridSpan w:val="2"/>
                  <w:vMerge w:val="restart"/>
                  <w:tcBorders>
                    <w:tl2br w:val="nil"/>
                    <w:tr2bl w:val="nil"/>
                  </w:tcBorders>
                  <w:shd w:val="clear" w:color="auto" w:fill="auto"/>
                  <w:vAlign w:val="center"/>
                </w:tcPr>
                <w:p w14:paraId="40D2AF9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排放口合计</w:t>
                  </w:r>
                </w:p>
              </w:tc>
              <w:tc>
                <w:tcPr>
                  <w:tcW w:w="2606" w:type="pct"/>
                  <w:gridSpan w:val="3"/>
                  <w:tcBorders>
                    <w:tl2br w:val="nil"/>
                    <w:tr2bl w:val="nil"/>
                  </w:tcBorders>
                  <w:shd w:val="clear" w:color="auto" w:fill="auto"/>
                  <w:vAlign w:val="center"/>
                </w:tcPr>
                <w:p w14:paraId="264B004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COD</w:t>
                  </w:r>
                </w:p>
              </w:tc>
              <w:tc>
                <w:tcPr>
                  <w:tcW w:w="797" w:type="pct"/>
                  <w:tcBorders>
                    <w:tl2br w:val="nil"/>
                    <w:tr2bl w:val="nil"/>
                  </w:tcBorders>
                  <w:shd w:val="clear" w:color="auto" w:fill="auto"/>
                  <w:vAlign w:val="center"/>
                </w:tcPr>
                <w:p w14:paraId="660BCD8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2"/>
                      <w:szCs w:val="22"/>
                      <w:u w:val="none" w:color="auto"/>
                      <w:lang w:val="en-US" w:eastAsia="zh-CN" w:bidi="ar"/>
                    </w:rPr>
                    <w:t>0.3927</w:t>
                  </w:r>
                </w:p>
              </w:tc>
            </w:tr>
            <w:tr w14:paraId="2B48046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70" w:hRule="atLeast"/>
              </w:trPr>
              <w:tc>
                <w:tcPr>
                  <w:tcW w:w="1595" w:type="pct"/>
                  <w:gridSpan w:val="2"/>
                  <w:vMerge w:val="continue"/>
                  <w:tcBorders>
                    <w:tl2br w:val="nil"/>
                    <w:tr2bl w:val="nil"/>
                  </w:tcBorders>
                  <w:shd w:val="clear" w:color="auto" w:fill="auto"/>
                  <w:vAlign w:val="center"/>
                </w:tcPr>
                <w:p w14:paraId="2A576F80">
                  <w:pPr>
                    <w:jc w:val="center"/>
                    <w:rPr>
                      <w:rFonts w:hint="default" w:ascii="Times New Roman" w:hAnsi="Times New Roman" w:eastAsia="宋体" w:cs="Times New Roman"/>
                      <w:i w:val="0"/>
                      <w:iCs w:val="0"/>
                      <w:color w:val="auto"/>
                      <w:sz w:val="21"/>
                      <w:szCs w:val="21"/>
                      <w:u w:val="none" w:color="auto"/>
                    </w:rPr>
                  </w:pPr>
                </w:p>
              </w:tc>
              <w:tc>
                <w:tcPr>
                  <w:tcW w:w="2606" w:type="pct"/>
                  <w:gridSpan w:val="3"/>
                  <w:tcBorders>
                    <w:tl2br w:val="nil"/>
                    <w:tr2bl w:val="nil"/>
                  </w:tcBorders>
                  <w:shd w:val="clear" w:color="auto" w:fill="auto"/>
                  <w:vAlign w:val="center"/>
                </w:tcPr>
                <w:p w14:paraId="6B90994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BOD</w:t>
                  </w:r>
                  <w:r>
                    <w:rPr>
                      <w:rStyle w:val="82"/>
                      <w:rFonts w:hint="default" w:ascii="Times New Roman" w:hAnsi="Times New Roman" w:eastAsia="宋体" w:cs="Times New Roman"/>
                      <w:color w:val="auto"/>
                      <w:sz w:val="21"/>
                      <w:szCs w:val="21"/>
                      <w:u w:val="none" w:color="auto"/>
                      <w:vertAlign w:val="subscript"/>
                      <w:lang w:val="en-US" w:eastAsia="zh-CN" w:bidi="ar"/>
                    </w:rPr>
                    <w:t>5</w:t>
                  </w:r>
                </w:p>
              </w:tc>
              <w:tc>
                <w:tcPr>
                  <w:tcW w:w="797" w:type="pct"/>
                  <w:tcBorders>
                    <w:tl2br w:val="nil"/>
                    <w:tr2bl w:val="nil"/>
                  </w:tcBorders>
                  <w:shd w:val="clear" w:color="auto" w:fill="auto"/>
                  <w:vAlign w:val="center"/>
                </w:tcPr>
                <w:p w14:paraId="7420C6D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2"/>
                      <w:szCs w:val="22"/>
                      <w:u w:val="none" w:color="auto"/>
                      <w:lang w:val="en-US" w:eastAsia="zh-CN" w:bidi="ar"/>
                    </w:rPr>
                    <w:t>0.0785</w:t>
                  </w:r>
                </w:p>
              </w:tc>
            </w:tr>
            <w:tr w14:paraId="1F56303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70" w:hRule="atLeast"/>
              </w:trPr>
              <w:tc>
                <w:tcPr>
                  <w:tcW w:w="1595" w:type="pct"/>
                  <w:gridSpan w:val="2"/>
                  <w:vMerge w:val="continue"/>
                  <w:tcBorders>
                    <w:tl2br w:val="nil"/>
                    <w:tr2bl w:val="nil"/>
                  </w:tcBorders>
                  <w:shd w:val="clear" w:color="auto" w:fill="auto"/>
                  <w:vAlign w:val="center"/>
                </w:tcPr>
                <w:p w14:paraId="348488CF">
                  <w:pPr>
                    <w:jc w:val="center"/>
                    <w:rPr>
                      <w:rFonts w:hint="default" w:ascii="Times New Roman" w:hAnsi="Times New Roman" w:eastAsia="宋体" w:cs="Times New Roman"/>
                      <w:i w:val="0"/>
                      <w:iCs w:val="0"/>
                      <w:color w:val="auto"/>
                      <w:sz w:val="21"/>
                      <w:szCs w:val="21"/>
                      <w:u w:val="none" w:color="auto"/>
                    </w:rPr>
                  </w:pPr>
                </w:p>
              </w:tc>
              <w:tc>
                <w:tcPr>
                  <w:tcW w:w="2606" w:type="pct"/>
                  <w:gridSpan w:val="3"/>
                  <w:tcBorders>
                    <w:tl2br w:val="nil"/>
                    <w:tr2bl w:val="nil"/>
                  </w:tcBorders>
                  <w:shd w:val="clear" w:color="auto" w:fill="auto"/>
                  <w:vAlign w:val="center"/>
                </w:tcPr>
                <w:p w14:paraId="3DD2009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SS</w:t>
                  </w:r>
                </w:p>
              </w:tc>
              <w:tc>
                <w:tcPr>
                  <w:tcW w:w="797" w:type="pct"/>
                  <w:tcBorders>
                    <w:tl2br w:val="nil"/>
                    <w:tr2bl w:val="nil"/>
                  </w:tcBorders>
                  <w:shd w:val="clear" w:color="auto" w:fill="auto"/>
                  <w:vAlign w:val="center"/>
                </w:tcPr>
                <w:p w14:paraId="1D29B93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2"/>
                      <w:szCs w:val="22"/>
                      <w:u w:val="none" w:color="auto"/>
                      <w:lang w:val="en-US" w:eastAsia="zh-CN" w:bidi="ar"/>
                    </w:rPr>
                    <w:t>0.0785</w:t>
                  </w:r>
                </w:p>
              </w:tc>
            </w:tr>
            <w:tr w14:paraId="347B398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0" w:hRule="atLeast"/>
              </w:trPr>
              <w:tc>
                <w:tcPr>
                  <w:tcW w:w="1595" w:type="pct"/>
                  <w:gridSpan w:val="2"/>
                  <w:vMerge w:val="continue"/>
                  <w:tcBorders>
                    <w:tl2br w:val="nil"/>
                    <w:tr2bl w:val="nil"/>
                  </w:tcBorders>
                  <w:shd w:val="clear" w:color="auto" w:fill="auto"/>
                  <w:vAlign w:val="center"/>
                </w:tcPr>
                <w:p w14:paraId="1AF8AF09">
                  <w:pPr>
                    <w:jc w:val="center"/>
                    <w:rPr>
                      <w:rFonts w:hint="default" w:ascii="Times New Roman" w:hAnsi="Times New Roman" w:eastAsia="宋体" w:cs="Times New Roman"/>
                      <w:i w:val="0"/>
                      <w:iCs w:val="0"/>
                      <w:color w:val="auto"/>
                      <w:sz w:val="21"/>
                      <w:szCs w:val="21"/>
                      <w:u w:val="none" w:color="auto"/>
                    </w:rPr>
                  </w:pPr>
                </w:p>
              </w:tc>
              <w:tc>
                <w:tcPr>
                  <w:tcW w:w="2606" w:type="pct"/>
                  <w:gridSpan w:val="3"/>
                  <w:tcBorders>
                    <w:tl2br w:val="nil"/>
                    <w:tr2bl w:val="nil"/>
                  </w:tcBorders>
                  <w:shd w:val="clear" w:color="auto" w:fill="auto"/>
                  <w:vAlign w:val="center"/>
                </w:tcPr>
                <w:p w14:paraId="2A615C5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氨氮</w:t>
                  </w:r>
                </w:p>
              </w:tc>
              <w:tc>
                <w:tcPr>
                  <w:tcW w:w="797" w:type="pct"/>
                  <w:tcBorders>
                    <w:tl2br w:val="nil"/>
                    <w:tr2bl w:val="nil"/>
                  </w:tcBorders>
                  <w:shd w:val="clear" w:color="auto" w:fill="auto"/>
                  <w:vAlign w:val="center"/>
                </w:tcPr>
                <w:p w14:paraId="44BFA2A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2"/>
                      <w:szCs w:val="22"/>
                      <w:u w:val="none" w:color="auto"/>
                      <w:lang w:val="en-US" w:eastAsia="zh-CN" w:bidi="ar"/>
                    </w:rPr>
                    <w:t>0.0393</w:t>
                  </w:r>
                </w:p>
              </w:tc>
            </w:tr>
            <w:tr w14:paraId="2B13242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0" w:hRule="atLeast"/>
              </w:trPr>
              <w:tc>
                <w:tcPr>
                  <w:tcW w:w="1595" w:type="pct"/>
                  <w:gridSpan w:val="2"/>
                  <w:vMerge w:val="continue"/>
                  <w:tcBorders>
                    <w:tl2br w:val="nil"/>
                    <w:tr2bl w:val="nil"/>
                  </w:tcBorders>
                  <w:shd w:val="clear" w:color="auto" w:fill="auto"/>
                  <w:vAlign w:val="center"/>
                </w:tcPr>
                <w:p w14:paraId="469C04C8">
                  <w:pPr>
                    <w:jc w:val="center"/>
                    <w:rPr>
                      <w:rFonts w:hint="default" w:ascii="Times New Roman" w:hAnsi="Times New Roman" w:eastAsia="宋体" w:cs="Times New Roman"/>
                      <w:i w:val="0"/>
                      <w:iCs w:val="0"/>
                      <w:color w:val="auto"/>
                      <w:sz w:val="21"/>
                      <w:szCs w:val="21"/>
                      <w:u w:val="none" w:color="auto"/>
                    </w:rPr>
                  </w:pPr>
                </w:p>
              </w:tc>
              <w:tc>
                <w:tcPr>
                  <w:tcW w:w="2606" w:type="pct"/>
                  <w:gridSpan w:val="3"/>
                  <w:tcBorders>
                    <w:tl2br w:val="nil"/>
                    <w:tr2bl w:val="nil"/>
                  </w:tcBorders>
                  <w:shd w:val="clear" w:color="auto" w:fill="auto"/>
                  <w:vAlign w:val="center"/>
                </w:tcPr>
                <w:p w14:paraId="6EF2D32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动植物油</w:t>
                  </w:r>
                </w:p>
              </w:tc>
              <w:tc>
                <w:tcPr>
                  <w:tcW w:w="797" w:type="pct"/>
                  <w:tcBorders>
                    <w:tl2br w:val="nil"/>
                    <w:tr2bl w:val="nil"/>
                  </w:tcBorders>
                  <w:shd w:val="clear" w:color="auto" w:fill="auto"/>
                  <w:vAlign w:val="center"/>
                </w:tcPr>
                <w:p w14:paraId="5616066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lang w:val="en-US"/>
                    </w:rPr>
                  </w:pPr>
                  <w:r>
                    <w:rPr>
                      <w:rFonts w:hint="default" w:ascii="Times New Roman" w:hAnsi="Times New Roman" w:eastAsia="宋体" w:cs="Times New Roman"/>
                      <w:i w:val="0"/>
                      <w:iCs w:val="0"/>
                      <w:color w:val="auto"/>
                      <w:kern w:val="0"/>
                      <w:sz w:val="22"/>
                      <w:szCs w:val="22"/>
                      <w:u w:val="none" w:color="auto"/>
                      <w:lang w:val="en-US" w:eastAsia="zh-CN" w:bidi="ar"/>
                    </w:rPr>
                    <w:t>0.0079</w:t>
                  </w:r>
                </w:p>
              </w:tc>
            </w:tr>
            <w:tr w14:paraId="688D6BA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70" w:hRule="atLeast"/>
              </w:trPr>
              <w:tc>
                <w:tcPr>
                  <w:tcW w:w="1595" w:type="pct"/>
                  <w:gridSpan w:val="2"/>
                  <w:vMerge w:val="continue"/>
                  <w:tcBorders>
                    <w:tl2br w:val="nil"/>
                    <w:tr2bl w:val="nil"/>
                  </w:tcBorders>
                  <w:shd w:val="clear" w:color="auto" w:fill="auto"/>
                  <w:vAlign w:val="center"/>
                </w:tcPr>
                <w:p w14:paraId="3C8E51C9">
                  <w:pPr>
                    <w:jc w:val="center"/>
                    <w:rPr>
                      <w:rFonts w:hint="default" w:ascii="Times New Roman" w:hAnsi="Times New Roman" w:eastAsia="宋体" w:cs="Times New Roman"/>
                      <w:i w:val="0"/>
                      <w:iCs w:val="0"/>
                      <w:color w:val="auto"/>
                      <w:sz w:val="21"/>
                      <w:szCs w:val="21"/>
                      <w:u w:val="none" w:color="auto"/>
                    </w:rPr>
                  </w:pPr>
                </w:p>
              </w:tc>
              <w:tc>
                <w:tcPr>
                  <w:tcW w:w="2606" w:type="pct"/>
                  <w:gridSpan w:val="3"/>
                  <w:tcBorders>
                    <w:tl2br w:val="nil"/>
                    <w:tr2bl w:val="nil"/>
                  </w:tcBorders>
                  <w:shd w:val="clear" w:color="auto" w:fill="auto"/>
                  <w:vAlign w:val="center"/>
                </w:tcPr>
                <w:p w14:paraId="4A7C931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石油类</w:t>
                  </w:r>
                </w:p>
              </w:tc>
              <w:tc>
                <w:tcPr>
                  <w:tcW w:w="797" w:type="pct"/>
                  <w:tcBorders>
                    <w:tl2br w:val="nil"/>
                    <w:tr2bl w:val="nil"/>
                  </w:tcBorders>
                  <w:shd w:val="clear" w:color="auto" w:fill="auto"/>
                  <w:vAlign w:val="center"/>
                </w:tcPr>
                <w:p w14:paraId="1BC81BE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color="auto"/>
                      <w:lang w:val="en-US"/>
                    </w:rPr>
                  </w:pPr>
                  <w:r>
                    <w:rPr>
                      <w:rFonts w:hint="default" w:ascii="Times New Roman" w:hAnsi="Times New Roman" w:eastAsia="宋体" w:cs="Times New Roman"/>
                      <w:i w:val="0"/>
                      <w:iCs w:val="0"/>
                      <w:color w:val="auto"/>
                      <w:kern w:val="0"/>
                      <w:sz w:val="22"/>
                      <w:szCs w:val="22"/>
                      <w:u w:val="none" w:color="auto"/>
                      <w:lang w:val="en-US" w:eastAsia="zh-CN" w:bidi="ar"/>
                    </w:rPr>
                    <w:t>0.0079</w:t>
                  </w:r>
                </w:p>
              </w:tc>
            </w:tr>
          </w:tbl>
          <w:p w14:paraId="0150563E">
            <w:pPr>
              <w:spacing w:line="360" w:lineRule="auto"/>
              <w:ind w:firstLine="482" w:firstLineChars="200"/>
              <w:rPr>
                <w:rFonts w:hint="default" w:ascii="Times New Roman" w:hAnsi="Times New Roman" w:eastAsia="宋体" w:cs="Times New Roman"/>
                <w:b/>
                <w:color w:val="auto"/>
                <w:sz w:val="24"/>
                <w:szCs w:val="24"/>
                <w:u w:val="none" w:color="auto"/>
              </w:rPr>
            </w:pPr>
            <w:r>
              <w:rPr>
                <w:rFonts w:hint="default" w:ascii="Times New Roman" w:hAnsi="Times New Roman" w:eastAsia="宋体" w:cs="Times New Roman"/>
                <w:b/>
                <w:color w:val="auto"/>
                <w:sz w:val="24"/>
                <w:szCs w:val="24"/>
                <w:u w:val="none" w:color="auto"/>
              </w:rPr>
              <w:t>3、废水处理的可行性分析</w:t>
            </w:r>
          </w:p>
          <w:p w14:paraId="0502D695">
            <w:pPr>
              <w:spacing w:line="360" w:lineRule="auto"/>
              <w:ind w:firstLine="482" w:firstLineChars="200"/>
              <w:rPr>
                <w:rFonts w:hint="default" w:ascii="Times New Roman" w:hAnsi="Times New Roman" w:eastAsia="宋体" w:cs="Times New Roman"/>
                <w:b/>
                <w:bCs/>
                <w:color w:val="auto"/>
                <w:sz w:val="24"/>
                <w:szCs w:val="24"/>
                <w:u w:val="none" w:color="auto"/>
              </w:rPr>
            </w:pPr>
            <w:r>
              <w:rPr>
                <w:rFonts w:hint="default" w:ascii="Times New Roman" w:hAnsi="Times New Roman" w:eastAsia="宋体" w:cs="Times New Roman"/>
                <w:b/>
                <w:bCs/>
                <w:color w:val="auto"/>
                <w:sz w:val="24"/>
                <w:szCs w:val="24"/>
                <w:u w:val="none" w:color="auto"/>
              </w:rPr>
              <w:t>（1）</w:t>
            </w:r>
            <w:r>
              <w:rPr>
                <w:rFonts w:hint="default" w:ascii="Times New Roman" w:hAnsi="Times New Roman" w:eastAsia="宋体" w:cs="Times New Roman"/>
                <w:b/>
                <w:bCs/>
                <w:color w:val="auto"/>
                <w:sz w:val="24"/>
                <w:szCs w:val="24"/>
                <w:u w:val="none" w:color="auto"/>
                <w:lang w:val="en-US" w:eastAsia="zh-CN"/>
              </w:rPr>
              <w:t>中创空天</w:t>
            </w:r>
            <w:r>
              <w:rPr>
                <w:rFonts w:hint="default" w:ascii="Times New Roman" w:hAnsi="Times New Roman" w:eastAsia="宋体" w:cs="Times New Roman"/>
                <w:b/>
                <w:bCs/>
                <w:color w:val="auto"/>
                <w:sz w:val="24"/>
                <w:szCs w:val="24"/>
                <w:u w:val="none" w:color="auto"/>
              </w:rPr>
              <w:t>厂区</w:t>
            </w:r>
          </w:p>
          <w:p w14:paraId="44EE1231">
            <w:pPr>
              <w:spacing w:line="360" w:lineRule="auto"/>
              <w:ind w:firstLine="480" w:firstLineChars="200"/>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项目生活污水采用化粪池（隔油池）收集进行预处理。隔油池的主要作用是除去食堂含油废水中的动植物油、化粪池是一种利用沉淀和厌氧发酵的原理，去除生活污水中悬浮性有机物的处理设施。</w:t>
            </w:r>
          </w:p>
          <w:p w14:paraId="7C080768">
            <w:pPr>
              <w:spacing w:line="360" w:lineRule="auto"/>
              <w:ind w:firstLine="480" w:firstLineChars="200"/>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根据工程分析可知，该部分废水经预处理后COD、BOD</w:t>
            </w:r>
            <w:r>
              <w:rPr>
                <w:rFonts w:hint="default" w:ascii="Times New Roman" w:hAnsi="Times New Roman" w:eastAsia="宋体" w:cs="Times New Roman"/>
                <w:color w:val="auto"/>
                <w:sz w:val="24"/>
                <w:szCs w:val="24"/>
                <w:u w:val="none" w:color="auto"/>
                <w:vertAlign w:val="subscript"/>
              </w:rPr>
              <w:t>5</w:t>
            </w:r>
            <w:r>
              <w:rPr>
                <w:rFonts w:hint="default" w:ascii="Times New Roman" w:hAnsi="Times New Roman" w:eastAsia="宋体" w:cs="Times New Roman"/>
                <w:color w:val="auto"/>
                <w:sz w:val="24"/>
                <w:szCs w:val="24"/>
                <w:u w:val="none" w:color="auto"/>
              </w:rPr>
              <w:t>、SS、NH</w:t>
            </w:r>
            <w:r>
              <w:rPr>
                <w:rFonts w:hint="default" w:ascii="Times New Roman" w:hAnsi="Times New Roman" w:eastAsia="宋体" w:cs="Times New Roman"/>
                <w:color w:val="auto"/>
                <w:sz w:val="24"/>
                <w:szCs w:val="24"/>
                <w:u w:val="none" w:color="auto"/>
                <w:vertAlign w:val="subscript"/>
              </w:rPr>
              <w:t>3</w:t>
            </w:r>
            <w:r>
              <w:rPr>
                <w:rFonts w:hint="default" w:ascii="Times New Roman" w:hAnsi="Times New Roman" w:eastAsia="宋体" w:cs="Times New Roman"/>
                <w:color w:val="auto"/>
                <w:sz w:val="24"/>
                <w:szCs w:val="24"/>
                <w:u w:val="none" w:color="auto"/>
              </w:rPr>
              <w:t>-N、动植物油等污染物浓度能够满足《污水综合排放标准》（GB8978-1996）中表4三级标准以及污水处理厂接管标准要求。</w:t>
            </w:r>
          </w:p>
          <w:p w14:paraId="7EA82D6F">
            <w:pPr>
              <w:spacing w:line="360" w:lineRule="auto"/>
              <w:ind w:firstLine="480" w:firstLineChars="200"/>
              <w:rPr>
                <w:rFonts w:hint="default" w:ascii="Times New Roman" w:hAnsi="Times New Roman" w:eastAsia="宋体" w:cs="Times New Roman"/>
                <w:bCs/>
                <w:color w:val="auto"/>
                <w:sz w:val="24"/>
                <w:highlight w:val="none"/>
                <w:u w:val="none" w:color="auto"/>
                <w:lang w:val="en-US" w:eastAsia="zh-CN"/>
              </w:rPr>
            </w:pPr>
            <w:r>
              <w:rPr>
                <w:rFonts w:hint="default" w:ascii="Times New Roman" w:hAnsi="Times New Roman" w:eastAsia="宋体" w:cs="Times New Roman"/>
                <w:color w:val="auto"/>
                <w:sz w:val="24"/>
                <w:szCs w:val="24"/>
                <w:u w:val="none" w:color="auto"/>
              </w:rPr>
              <w:t>根据建设单位提供的资料可知，</w:t>
            </w:r>
            <w:r>
              <w:rPr>
                <w:rFonts w:hint="default" w:ascii="Times New Roman" w:hAnsi="Times New Roman" w:eastAsia="宋体" w:cs="Times New Roman"/>
                <w:color w:val="auto"/>
                <w:sz w:val="24"/>
                <w:szCs w:val="24"/>
                <w:u w:val="none" w:color="auto"/>
                <w:lang w:val="en-US" w:eastAsia="zh-CN"/>
              </w:rPr>
              <w:t>项目间接循环</w:t>
            </w:r>
            <w:r>
              <w:rPr>
                <w:rFonts w:hint="default" w:ascii="Times New Roman" w:hAnsi="Times New Roman" w:eastAsia="宋体" w:cs="Times New Roman"/>
                <w:bCs/>
                <w:color w:val="auto"/>
                <w:sz w:val="24"/>
                <w:highlight w:val="none"/>
                <w:u w:val="none" w:color="auto"/>
                <w:lang w:val="en-US" w:eastAsia="zh-CN"/>
              </w:rPr>
              <w:t>间接冷却水不与生产材料及产品等进行直接接触，未添加冷却剂、杀菌剂等药剂，根据类似废水监测报告，主要污染物为悬浮物等，水质简单，可直接排入市政污水管网。</w:t>
            </w:r>
          </w:p>
          <w:p w14:paraId="2307CACD">
            <w:pPr>
              <w:spacing w:line="360" w:lineRule="auto"/>
              <w:ind w:firstLine="482" w:firstLineChars="200"/>
              <w:rPr>
                <w:rFonts w:hint="default" w:ascii="Times New Roman" w:hAnsi="Times New Roman" w:eastAsia="宋体" w:cs="Times New Roman"/>
                <w:b/>
                <w:bCs/>
                <w:color w:val="auto"/>
                <w:sz w:val="24"/>
                <w:szCs w:val="24"/>
                <w:u w:val="none" w:color="auto"/>
              </w:rPr>
            </w:pPr>
            <w:r>
              <w:rPr>
                <w:rFonts w:hint="default" w:ascii="Times New Roman" w:hAnsi="Times New Roman" w:eastAsia="宋体" w:cs="Times New Roman"/>
                <w:b/>
                <w:bCs/>
                <w:color w:val="auto"/>
                <w:sz w:val="24"/>
                <w:szCs w:val="24"/>
                <w:u w:val="none" w:color="auto"/>
              </w:rPr>
              <w:t>（2）临港高新产业园区</w:t>
            </w:r>
          </w:p>
          <w:p w14:paraId="7F1E13E2">
            <w:pPr>
              <w:spacing w:line="360" w:lineRule="auto"/>
              <w:ind w:firstLine="480" w:firstLineChars="200"/>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根据工程分析可知，</w:t>
            </w:r>
            <w:r>
              <w:rPr>
                <w:rFonts w:hint="default" w:ascii="Times New Roman" w:hAnsi="Times New Roman" w:eastAsia="宋体" w:cs="Times New Roman"/>
                <w:color w:val="auto"/>
                <w:sz w:val="24"/>
                <w:szCs w:val="24"/>
                <w:u w:val="none" w:color="auto"/>
                <w:lang w:val="en-US" w:eastAsia="zh-CN"/>
              </w:rPr>
              <w:t>建设单位在落实好本次评价提出的措施后，</w:t>
            </w:r>
            <w:r>
              <w:rPr>
                <w:rFonts w:hint="default" w:ascii="Times New Roman" w:hAnsi="Times New Roman" w:eastAsia="宋体" w:cs="Times New Roman"/>
                <w:color w:val="auto"/>
                <w:sz w:val="24"/>
                <w:szCs w:val="24"/>
                <w:u w:val="none" w:color="auto"/>
              </w:rPr>
              <w:t>本项目生产废水经预处理后COD、BOD</w:t>
            </w:r>
            <w:r>
              <w:rPr>
                <w:rFonts w:hint="default" w:ascii="Times New Roman" w:hAnsi="Times New Roman" w:eastAsia="宋体" w:cs="Times New Roman"/>
                <w:color w:val="auto"/>
                <w:sz w:val="24"/>
                <w:szCs w:val="24"/>
                <w:u w:val="none" w:color="auto"/>
                <w:vertAlign w:val="subscript"/>
              </w:rPr>
              <w:t>5</w:t>
            </w:r>
            <w:r>
              <w:rPr>
                <w:rFonts w:hint="default" w:ascii="Times New Roman" w:hAnsi="Times New Roman" w:eastAsia="宋体" w:cs="Times New Roman"/>
                <w:color w:val="auto"/>
                <w:sz w:val="24"/>
                <w:szCs w:val="24"/>
                <w:u w:val="none" w:color="auto"/>
              </w:rPr>
              <w:t>、SS、NH</w:t>
            </w:r>
            <w:r>
              <w:rPr>
                <w:rFonts w:hint="default" w:ascii="Times New Roman" w:hAnsi="Times New Roman" w:eastAsia="宋体" w:cs="Times New Roman"/>
                <w:color w:val="auto"/>
                <w:sz w:val="24"/>
                <w:szCs w:val="24"/>
                <w:u w:val="none" w:color="auto"/>
                <w:vertAlign w:val="subscript"/>
              </w:rPr>
              <w:t>3</w:t>
            </w:r>
            <w:r>
              <w:rPr>
                <w:rFonts w:hint="default" w:ascii="Times New Roman" w:hAnsi="Times New Roman" w:eastAsia="宋体" w:cs="Times New Roman"/>
                <w:color w:val="auto"/>
                <w:sz w:val="24"/>
                <w:szCs w:val="24"/>
                <w:u w:val="none" w:color="auto"/>
              </w:rPr>
              <w:t>-N、石油类等污染物均能够满足《污水综合排放标准》（GB8978-1996）中表4三级标准以及湖南城陵矶临港产业新区污水处理厂接管标准要求。</w:t>
            </w:r>
          </w:p>
          <w:p w14:paraId="225155B6">
            <w:pPr>
              <w:spacing w:line="360" w:lineRule="auto"/>
              <w:ind w:firstLine="480" w:firstLineChars="200"/>
              <w:rPr>
                <w:rFonts w:hint="default" w:ascii="Times New Roman" w:hAnsi="Times New Roman" w:eastAsia="宋体" w:cs="Times New Roman"/>
                <w:color w:val="auto"/>
                <w:sz w:val="24"/>
                <w:szCs w:val="24"/>
                <w:u w:val="none" w:color="auto"/>
                <w:lang w:val="en-US" w:eastAsia="zh-CN"/>
              </w:rPr>
            </w:pPr>
            <w:r>
              <w:rPr>
                <w:rFonts w:hint="default" w:ascii="Times New Roman" w:hAnsi="Times New Roman" w:eastAsia="宋体" w:cs="Times New Roman"/>
                <w:color w:val="auto"/>
                <w:sz w:val="24"/>
                <w:szCs w:val="24"/>
                <w:u w:val="none" w:color="auto"/>
              </w:rPr>
              <w:t>TW00</w:t>
            </w:r>
            <w:r>
              <w:rPr>
                <w:rFonts w:hint="default" w:ascii="Times New Roman" w:hAnsi="Times New Roman" w:eastAsia="宋体" w:cs="Times New Roman"/>
                <w:color w:val="auto"/>
                <w:sz w:val="24"/>
                <w:szCs w:val="24"/>
                <w:u w:val="none" w:color="auto"/>
                <w:lang w:val="en-US" w:eastAsia="zh-CN"/>
              </w:rPr>
              <w:t>4</w:t>
            </w:r>
            <w:r>
              <w:rPr>
                <w:rFonts w:hint="default" w:ascii="Times New Roman" w:hAnsi="Times New Roman" w:eastAsia="宋体" w:cs="Times New Roman"/>
                <w:color w:val="auto"/>
                <w:sz w:val="24"/>
                <w:szCs w:val="24"/>
                <w:u w:val="none" w:color="auto"/>
              </w:rPr>
              <w:t>废水处理站处理规模为</w:t>
            </w:r>
            <w:r>
              <w:rPr>
                <w:rFonts w:hint="default" w:ascii="Times New Roman" w:hAnsi="Times New Roman" w:eastAsia="宋体" w:cs="Times New Roman"/>
                <w:color w:val="auto"/>
                <w:sz w:val="24"/>
                <w:szCs w:val="24"/>
                <w:u w:val="none" w:color="auto"/>
                <w:lang w:val="en-US" w:eastAsia="zh-CN"/>
              </w:rPr>
              <w:t>12</w:t>
            </w:r>
            <w:r>
              <w:rPr>
                <w:rFonts w:hint="default" w:ascii="Times New Roman" w:hAnsi="Times New Roman" w:eastAsia="宋体" w:cs="Times New Roman"/>
                <w:color w:val="auto"/>
                <w:sz w:val="24"/>
                <w:szCs w:val="24"/>
                <w:u w:val="none" w:color="auto"/>
              </w:rPr>
              <w:t>m</w:t>
            </w:r>
            <w:r>
              <w:rPr>
                <w:rFonts w:hint="default" w:ascii="Times New Roman" w:hAnsi="Times New Roman" w:eastAsia="宋体" w:cs="Times New Roman"/>
                <w:color w:val="auto"/>
                <w:sz w:val="24"/>
                <w:szCs w:val="24"/>
                <w:u w:val="none" w:color="auto"/>
                <w:vertAlign w:val="superscript"/>
              </w:rPr>
              <w:t>3</w:t>
            </w:r>
            <w:r>
              <w:rPr>
                <w:rFonts w:hint="default" w:ascii="Times New Roman" w:hAnsi="Times New Roman" w:eastAsia="宋体" w:cs="Times New Roman"/>
                <w:color w:val="auto"/>
                <w:sz w:val="24"/>
                <w:szCs w:val="24"/>
                <w:u w:val="none" w:color="auto"/>
              </w:rPr>
              <w:t>/d，</w:t>
            </w:r>
            <w:r>
              <w:rPr>
                <w:rFonts w:hint="default" w:ascii="Times New Roman" w:hAnsi="Times New Roman" w:eastAsia="宋体" w:cs="Times New Roman"/>
                <w:color w:val="auto"/>
                <w:sz w:val="24"/>
                <w:szCs w:val="24"/>
                <w:u w:val="none" w:color="auto"/>
                <w:lang w:val="en-US" w:eastAsia="zh-CN"/>
              </w:rPr>
              <w:t>需处理废水量约为1898t/a</w:t>
            </w:r>
            <w:r>
              <w:rPr>
                <w:rFonts w:hint="default" w:ascii="Times New Roman" w:hAnsi="Times New Roman" w:eastAsia="宋体" w:cs="Times New Roman"/>
                <w:color w:val="auto"/>
                <w:sz w:val="24"/>
                <w:szCs w:val="24"/>
                <w:u w:val="none" w:color="auto"/>
              </w:rPr>
              <w:t>，</w:t>
            </w:r>
            <w:r>
              <w:rPr>
                <w:rFonts w:hint="default" w:ascii="Times New Roman" w:hAnsi="Times New Roman" w:eastAsia="宋体" w:cs="Times New Roman"/>
                <w:color w:val="auto"/>
                <w:sz w:val="24"/>
                <w:szCs w:val="24"/>
                <w:u w:val="none" w:color="auto"/>
                <w:lang w:val="en-US" w:eastAsia="zh-CN"/>
              </w:rPr>
              <w:t>同时处理浸渗工艺废水、高压清洗工艺废水时最大日排放量为10.667</w:t>
            </w:r>
            <w:r>
              <w:rPr>
                <w:rFonts w:hint="default" w:ascii="Times New Roman" w:hAnsi="Times New Roman" w:eastAsia="宋体" w:cs="Times New Roman"/>
                <w:color w:val="auto"/>
                <w:sz w:val="24"/>
                <w:szCs w:val="24"/>
                <w:u w:val="none" w:color="auto"/>
              </w:rPr>
              <w:t>m</w:t>
            </w:r>
            <w:r>
              <w:rPr>
                <w:rFonts w:hint="default" w:ascii="Times New Roman" w:hAnsi="Times New Roman" w:eastAsia="宋体" w:cs="Times New Roman"/>
                <w:color w:val="auto"/>
                <w:sz w:val="24"/>
                <w:szCs w:val="24"/>
                <w:u w:val="none" w:color="auto"/>
                <w:vertAlign w:val="superscript"/>
              </w:rPr>
              <w:t>3</w:t>
            </w:r>
            <w:r>
              <w:rPr>
                <w:rFonts w:hint="default" w:ascii="Times New Roman" w:hAnsi="Times New Roman" w:eastAsia="宋体" w:cs="Times New Roman"/>
                <w:color w:val="auto"/>
                <w:sz w:val="24"/>
                <w:szCs w:val="24"/>
                <w:u w:val="none" w:color="auto"/>
              </w:rPr>
              <w:t>/d</w:t>
            </w:r>
            <w:r>
              <w:rPr>
                <w:rFonts w:hint="default" w:ascii="Times New Roman" w:hAnsi="Times New Roman" w:eastAsia="宋体" w:cs="Times New Roman"/>
                <w:color w:val="auto"/>
                <w:sz w:val="24"/>
                <w:szCs w:val="24"/>
                <w:u w:val="none" w:color="auto"/>
                <w:lang w:val="en-US" w:eastAsia="zh-CN"/>
              </w:rPr>
              <w:t>，富余约11.1%的处理能力，</w:t>
            </w:r>
            <w:r>
              <w:rPr>
                <w:rFonts w:hint="default" w:ascii="Times New Roman" w:hAnsi="Times New Roman" w:eastAsia="宋体" w:cs="Times New Roman"/>
                <w:color w:val="auto"/>
                <w:sz w:val="24"/>
                <w:szCs w:val="24"/>
                <w:u w:val="none" w:color="auto"/>
              </w:rPr>
              <w:t>能够满足处理规模的需求。</w:t>
            </w:r>
            <w:r>
              <w:rPr>
                <w:rFonts w:hint="default" w:ascii="Times New Roman" w:hAnsi="Times New Roman" w:eastAsia="宋体" w:cs="Times New Roman"/>
                <w:color w:val="auto"/>
                <w:sz w:val="24"/>
                <w:szCs w:val="24"/>
                <w:u w:val="none" w:color="auto"/>
                <w:lang w:val="en-US" w:eastAsia="zh-CN"/>
              </w:rPr>
              <w:t>废水处理工艺流程具体如下：</w:t>
            </w:r>
          </w:p>
          <w:p w14:paraId="1FCE0840">
            <w:pPr>
              <w:pStyle w:val="86"/>
              <w:topLinePunct w:val="0"/>
              <w:bidi w:val="0"/>
              <w:adjustRightInd/>
              <w:snapToGrid/>
              <w:ind w:left="0" w:leftChars="0" w:firstLine="0" w:firstLineChars="0"/>
              <w:jc w:val="center"/>
              <w:rPr>
                <w:rFonts w:hint="default" w:ascii="Times New Roman" w:hAnsi="Times New Roman" w:eastAsia="宋体" w:cs="Times New Roman"/>
                <w:color w:val="auto"/>
                <w:szCs w:val="24"/>
                <w:highlight w:val="none"/>
                <w:u w:val="none" w:color="auto"/>
                <w:lang w:val="en-US" w:eastAsia="zh-CN"/>
              </w:rPr>
            </w:pPr>
            <w:r>
              <w:rPr>
                <w:rFonts w:hint="default" w:ascii="Times New Roman" w:hAnsi="Times New Roman" w:eastAsia="宋体" w:cs="Times New Roman"/>
                <w:color w:val="auto"/>
                <w:u w:val="none" w:color="auto"/>
              </w:rPr>
              <w:drawing>
                <wp:inline distT="0" distB="0" distL="114300" distR="114300">
                  <wp:extent cx="4562475" cy="5562600"/>
                  <wp:effectExtent l="0" t="0" r="9525" b="0"/>
                  <wp:docPr id="5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8"/>
                          <pic:cNvPicPr>
                            <a:picLocks noChangeAspect="1"/>
                          </pic:cNvPicPr>
                        </pic:nvPicPr>
                        <pic:blipFill>
                          <a:blip r:embed="rId41"/>
                          <a:stretch>
                            <a:fillRect/>
                          </a:stretch>
                        </pic:blipFill>
                        <pic:spPr>
                          <a:xfrm>
                            <a:off x="0" y="0"/>
                            <a:ext cx="4562475" cy="5562600"/>
                          </a:xfrm>
                          <a:prstGeom prst="rect">
                            <a:avLst/>
                          </a:prstGeom>
                          <a:noFill/>
                          <a:ln>
                            <a:noFill/>
                          </a:ln>
                        </pic:spPr>
                      </pic:pic>
                    </a:graphicData>
                  </a:graphic>
                </wp:inline>
              </w:drawing>
            </w:r>
          </w:p>
          <w:p w14:paraId="3753A295">
            <w:pPr>
              <w:jc w:val="center"/>
              <w:rPr>
                <w:rFonts w:hint="default" w:ascii="Times New Roman" w:hAnsi="Times New Roman" w:eastAsia="宋体" w:cs="Times New Roman"/>
                <w:b/>
                <w:color w:val="auto"/>
                <w:u w:val="none" w:color="auto"/>
                <w:lang w:val="en-US" w:eastAsia="zh-CN"/>
              </w:rPr>
            </w:pPr>
            <w:r>
              <w:rPr>
                <w:rFonts w:hint="default" w:ascii="Times New Roman" w:hAnsi="Times New Roman" w:eastAsia="宋体" w:cs="Times New Roman"/>
                <w:b/>
                <w:color w:val="auto"/>
                <w:u w:val="none" w:color="auto"/>
                <w:lang w:val="en-US" w:eastAsia="zh-CN"/>
              </w:rPr>
              <w:t>图4-2  TW004废水处理站工艺流程图</w:t>
            </w:r>
          </w:p>
          <w:p w14:paraId="5C5638DA">
            <w:pPr>
              <w:pStyle w:val="86"/>
              <w:topLinePunct w:val="0"/>
              <w:bidi w:val="0"/>
              <w:adjustRightInd/>
              <w:snapToGrid/>
              <w:ind w:firstLine="480"/>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（1）pH调节池</w:t>
            </w:r>
          </w:p>
          <w:p w14:paraId="60D57132">
            <w:pPr>
              <w:pStyle w:val="86"/>
              <w:topLinePunct w:val="0"/>
              <w:bidi w:val="0"/>
              <w:adjustRightInd/>
              <w:snapToGrid/>
              <w:ind w:firstLine="480"/>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核心作用是中和废水的酸碱度，通常由于浸渗废水成碱性，而铝离子生成氢氧化铝沉淀物需要弱碱性条件，可通过投加酸（如硫酸、盐酸），将废水pH值调整到后续处理单元所需的适宜范围。</w:t>
            </w:r>
          </w:p>
          <w:p w14:paraId="588F7A7F">
            <w:pPr>
              <w:pStyle w:val="86"/>
              <w:topLinePunct w:val="0"/>
              <w:bidi w:val="0"/>
              <w:adjustRightInd/>
              <w:snapToGrid/>
              <w:ind w:firstLine="480"/>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（2）</w:t>
            </w:r>
            <w:r>
              <w:rPr>
                <w:rFonts w:hint="default" w:ascii="Times New Roman" w:hAnsi="Times New Roman" w:eastAsia="宋体" w:cs="Times New Roman"/>
                <w:color w:val="auto"/>
                <w:sz w:val="24"/>
                <w:szCs w:val="24"/>
                <w:u w:val="none" w:color="auto"/>
                <w:lang w:val="en-US" w:eastAsia="zh-CN"/>
              </w:rPr>
              <w:t>混凝</w:t>
            </w:r>
            <w:r>
              <w:rPr>
                <w:rFonts w:hint="default" w:ascii="Times New Roman" w:hAnsi="Times New Roman" w:eastAsia="宋体" w:cs="Times New Roman"/>
                <w:color w:val="auto"/>
                <w:sz w:val="24"/>
                <w:szCs w:val="24"/>
                <w:u w:val="none" w:color="auto"/>
              </w:rPr>
              <w:t>气浮系统</w:t>
            </w:r>
          </w:p>
          <w:p w14:paraId="78414235">
            <w:pPr>
              <w:pStyle w:val="86"/>
              <w:topLinePunct w:val="0"/>
              <w:bidi w:val="0"/>
              <w:adjustRightInd/>
              <w:snapToGrid/>
              <w:ind w:firstLine="480"/>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气浮系统中沉淀铝离子和大部分 SS、油脂等污染物质，利用微气泡粘附废水中的乳化油、分散油、胶体物质和部分悬浮固体，形成密度小于水的“气泡-颗粒”复合体，使其上浮至水面形成浮渣，通过刮渣机去除。需要投加混凝剂（如PAC）和絮凝剂（如PAM</w:t>
            </w:r>
            <w:r>
              <w:rPr>
                <w:rFonts w:hint="default" w:ascii="Times New Roman" w:hAnsi="Times New Roman" w:eastAsia="宋体" w:cs="Times New Roman"/>
                <w:color w:val="auto"/>
                <w:sz w:val="24"/>
                <w:szCs w:val="24"/>
                <w:u w:val="none" w:color="auto"/>
                <w:lang w:val="en-US" w:eastAsia="zh-CN"/>
              </w:rPr>
              <w:t>/PAM</w:t>
            </w:r>
            <w:r>
              <w:rPr>
                <w:rFonts w:hint="default" w:ascii="Times New Roman" w:hAnsi="Times New Roman" w:eastAsia="宋体" w:cs="Times New Roman"/>
                <w:color w:val="auto"/>
                <w:sz w:val="24"/>
                <w:szCs w:val="24"/>
                <w:u w:val="none" w:color="auto"/>
              </w:rPr>
              <w:t>）来破乳和促进絮凝。</w:t>
            </w:r>
          </w:p>
          <w:p w14:paraId="30986BFA">
            <w:pPr>
              <w:pStyle w:val="86"/>
              <w:topLinePunct w:val="0"/>
              <w:bidi w:val="0"/>
              <w:adjustRightInd/>
              <w:snapToGrid/>
              <w:ind w:firstLine="480"/>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（3）水解酸化池</w:t>
            </w:r>
          </w:p>
          <w:p w14:paraId="24F75DFA">
            <w:pPr>
              <w:pStyle w:val="86"/>
              <w:topLinePunct w:val="0"/>
              <w:bidi w:val="0"/>
              <w:adjustRightInd/>
              <w:snapToGrid/>
              <w:ind w:firstLine="480"/>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显著提高废水的可生化性(B/C比)，将难降解物转化为易降解物，为后续好氧生物处理创造有利条件。</w:t>
            </w:r>
          </w:p>
          <w:p w14:paraId="66F32A60">
            <w:pPr>
              <w:pStyle w:val="86"/>
              <w:topLinePunct w:val="0"/>
              <w:bidi w:val="0"/>
              <w:adjustRightInd/>
              <w:snapToGrid/>
              <w:ind w:firstLine="480"/>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在无氧或缺氧条件下，利用兼性水解酸化菌将废水中的大分子、复杂、难生物降解的有机物（如碳水化合物、蛋白质、脂肪、某些表面活性剂）分解为小分子、溶解性、易生物降解的有机物（主要是挥发性脂肪酸 VFA - 乙酸、丙酸、丁酸等）。</w:t>
            </w:r>
          </w:p>
          <w:p w14:paraId="5A7246AF">
            <w:pPr>
              <w:pStyle w:val="86"/>
              <w:topLinePunct w:val="0"/>
              <w:bidi w:val="0"/>
              <w:adjustRightInd/>
              <w:snapToGrid/>
              <w:ind w:firstLine="480"/>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（4）生物接触氧化池</w:t>
            </w:r>
          </w:p>
          <w:p w14:paraId="1FD1B5BE">
            <w:pPr>
              <w:pStyle w:val="86"/>
              <w:topLinePunct w:val="0"/>
              <w:bidi w:val="0"/>
              <w:adjustRightInd/>
              <w:snapToGrid/>
              <w:ind w:firstLine="480"/>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一种高效的好氧生物处理工艺。池内填充比表面积大的填料（如组合填料、弹性填料），作为微生物（细菌、原生动物等）附着生长的载体。通过曝气系统（底部曝气器）提供氧气。微生物在填料表面形成生物膜，吸附并氧化分解废水中的溶解性有机物（BOD5/COD）。</w:t>
            </w:r>
          </w:p>
          <w:p w14:paraId="4C510650">
            <w:pPr>
              <w:pStyle w:val="86"/>
              <w:topLinePunct w:val="0"/>
              <w:bidi w:val="0"/>
              <w:adjustRightInd/>
              <w:snapToGrid/>
              <w:ind w:firstLine="480"/>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（5）二沉池</w:t>
            </w:r>
          </w:p>
          <w:p w14:paraId="5093CB78">
            <w:pPr>
              <w:pStyle w:val="86"/>
              <w:topLinePunct w:val="0"/>
              <w:bidi w:val="0"/>
              <w:adjustRightInd/>
              <w:snapToGrid/>
              <w:ind w:firstLine="480"/>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对生物接触氧化池出水进行固液分离。脱落的生物膜（老化污泥）和少量悬浮的活性污泥在重力作用下沉淀至池底，形成污泥被排出。分离出的污泥一部分回流至水解酸化池，大部分作为剩余污泥排出系统进行处理（如浓缩、脱水、处置）</w:t>
            </w:r>
          </w:p>
          <w:p w14:paraId="42A29A25">
            <w:pPr>
              <w:pStyle w:val="86"/>
              <w:topLinePunct w:val="0"/>
              <w:bidi w:val="0"/>
              <w:adjustRightInd/>
              <w:snapToGrid/>
              <w:ind w:firstLine="480"/>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（6）清水池</w:t>
            </w:r>
          </w:p>
          <w:p w14:paraId="30B06455">
            <w:pPr>
              <w:pStyle w:val="86"/>
              <w:topLinePunct w:val="0"/>
              <w:bidi w:val="0"/>
              <w:adjustRightInd/>
              <w:snapToGrid/>
              <w:ind w:firstLine="480"/>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沉淀池上清液进入清水池后排放至管网。</w:t>
            </w:r>
          </w:p>
          <w:p w14:paraId="32EBC62C">
            <w:pPr>
              <w:pStyle w:val="86"/>
              <w:topLinePunct w:val="0"/>
              <w:bidi w:val="0"/>
              <w:adjustRightInd/>
              <w:snapToGrid/>
              <w:ind w:firstLine="480"/>
              <w:rPr>
                <w:rFonts w:hint="default" w:ascii="Times New Roman" w:hAnsi="Times New Roman" w:eastAsia="宋体" w:cs="Times New Roman"/>
                <w:color w:val="auto"/>
                <w:sz w:val="24"/>
                <w:szCs w:val="24"/>
                <w:u w:val="none" w:color="auto"/>
                <w:lang w:val="en-US" w:eastAsia="zh-CN"/>
              </w:rPr>
            </w:pPr>
            <w:r>
              <w:rPr>
                <w:rFonts w:hint="default" w:ascii="Times New Roman" w:hAnsi="Times New Roman" w:eastAsia="宋体" w:cs="Times New Roman"/>
                <w:color w:val="auto"/>
                <w:sz w:val="24"/>
                <w:szCs w:val="24"/>
                <w:u w:val="none" w:color="auto"/>
                <w:lang w:val="en-US" w:eastAsia="zh-CN"/>
              </w:rPr>
              <w:t>根据上述工艺流程，并对照</w:t>
            </w:r>
            <w:r>
              <w:rPr>
                <w:rFonts w:hint="default" w:ascii="Times New Roman" w:hAnsi="Times New Roman" w:eastAsia="宋体" w:cs="Times New Roman"/>
                <w:color w:val="auto"/>
                <w:spacing w:val="0"/>
                <w:sz w:val="24"/>
                <w:highlight w:val="none"/>
                <w:u w:val="none" w:color="auto"/>
                <w:lang w:val="en-US" w:eastAsia="zh-CN"/>
              </w:rPr>
              <w:t>《排污许可证申请与核发技术规范  金属铸造工业》（HJ1115-2020）表A.2废水防治可行技术参考表可知，本项目采用的废水处理工艺符合提出的“一级处理（过滤、沉淀、气浮、其他）”、“二级处理（A/O、SBR、氧化沟、生物转盘、生物接触氧化、流化床、其他）”工艺，因此本项目废水处理工艺可行。</w:t>
            </w:r>
          </w:p>
          <w:p w14:paraId="768C182E">
            <w:pPr>
              <w:pStyle w:val="106"/>
              <w:ind w:firstLine="482"/>
              <w:rPr>
                <w:rFonts w:hint="default" w:ascii="Times New Roman" w:hAnsi="Times New Roman" w:eastAsia="宋体" w:cs="Times New Roman"/>
                <w:b/>
                <w:bCs w:val="0"/>
                <w:color w:val="auto"/>
                <w:sz w:val="24"/>
                <w:szCs w:val="24"/>
                <w:u w:val="none" w:color="auto"/>
              </w:rPr>
            </w:pPr>
            <w:r>
              <w:rPr>
                <w:rFonts w:hint="default" w:ascii="Times New Roman" w:hAnsi="Times New Roman" w:eastAsia="宋体" w:cs="Times New Roman"/>
                <w:b/>
                <w:color w:val="auto"/>
                <w:sz w:val="24"/>
                <w:szCs w:val="24"/>
                <w:u w:val="none" w:color="auto"/>
              </w:rPr>
              <w:t>4、废水</w:t>
            </w:r>
            <w:r>
              <w:rPr>
                <w:rFonts w:hint="default" w:ascii="Times New Roman" w:hAnsi="Times New Roman" w:eastAsia="宋体" w:cs="Times New Roman"/>
                <w:b/>
                <w:bCs w:val="0"/>
                <w:color w:val="auto"/>
                <w:sz w:val="24"/>
                <w:szCs w:val="24"/>
                <w:u w:val="none" w:color="auto"/>
              </w:rPr>
              <w:t>依托</w:t>
            </w:r>
            <w:r>
              <w:rPr>
                <w:rFonts w:hint="default" w:ascii="Times New Roman" w:hAnsi="Times New Roman" w:eastAsia="宋体" w:cs="Times New Roman"/>
                <w:b/>
                <w:bCs w:val="0"/>
                <w:color w:val="auto"/>
                <w:sz w:val="24"/>
                <w:szCs w:val="24"/>
                <w:u w:val="none" w:color="auto"/>
                <w:lang w:eastAsia="zh-CN"/>
              </w:rPr>
              <w:t>湖南城陵矶临港产业新区污水处理厂</w:t>
            </w:r>
            <w:r>
              <w:rPr>
                <w:rFonts w:hint="default" w:ascii="Times New Roman" w:hAnsi="Times New Roman" w:eastAsia="宋体" w:cs="Times New Roman"/>
                <w:b/>
                <w:bCs w:val="0"/>
                <w:color w:val="auto"/>
                <w:sz w:val="24"/>
                <w:szCs w:val="24"/>
                <w:u w:val="none" w:color="auto"/>
              </w:rPr>
              <w:t>处理的可行性分析</w:t>
            </w:r>
          </w:p>
          <w:p w14:paraId="0F3F503D">
            <w:pPr>
              <w:spacing w:line="360" w:lineRule="auto"/>
              <w:ind w:firstLine="480" w:firstLineChars="200"/>
              <w:rPr>
                <w:rFonts w:hint="default" w:ascii="Times New Roman" w:hAnsi="Times New Roman" w:eastAsia="宋体" w:cs="Times New Roman"/>
                <w:color w:val="auto"/>
                <w:sz w:val="24"/>
                <w:u w:val="none" w:color="auto"/>
              </w:rPr>
            </w:pPr>
            <w:r>
              <w:rPr>
                <w:rFonts w:hint="default" w:ascii="Times New Roman" w:hAnsi="Times New Roman" w:eastAsia="宋体" w:cs="Times New Roman"/>
                <w:color w:val="auto"/>
                <w:sz w:val="24"/>
                <w:u w:val="none" w:color="auto"/>
              </w:rPr>
              <w:t>城陵矶临港产业新区污水处理厂东邻沿江大道，西靠长江大堤，处于云港路与沿江路的交界处，目前处理能力为3万t/d，主要采用CASS工艺，出水水质执行《城镇污水处理厂污染物排放标准》（GB18918-2002）一级A标准，尾水经象骨港排入长江。</w:t>
            </w:r>
          </w:p>
          <w:p w14:paraId="0AF5DCC6">
            <w:pPr>
              <w:spacing w:line="360" w:lineRule="auto"/>
              <w:ind w:firstLine="482" w:firstLineChars="200"/>
              <w:rPr>
                <w:rFonts w:hint="default" w:ascii="Times New Roman" w:hAnsi="Times New Roman" w:eastAsia="宋体" w:cs="Times New Roman"/>
                <w:color w:val="auto"/>
                <w:sz w:val="24"/>
                <w:u w:val="none" w:color="auto"/>
              </w:rPr>
            </w:pPr>
            <w:r>
              <w:rPr>
                <w:rFonts w:hint="default" w:ascii="Times New Roman" w:hAnsi="Times New Roman" w:eastAsia="宋体" w:cs="Times New Roman"/>
                <w:b/>
                <w:bCs/>
                <w:color w:val="auto"/>
                <w:sz w:val="24"/>
                <w:szCs w:val="24"/>
                <w:u w:val="none" w:color="auto"/>
              </w:rPr>
              <w:t>进水水质要求：</w:t>
            </w:r>
            <w:r>
              <w:rPr>
                <w:rFonts w:hint="default" w:ascii="Times New Roman" w:hAnsi="Times New Roman" w:eastAsia="宋体" w:cs="Times New Roman"/>
                <w:color w:val="auto"/>
                <w:sz w:val="24"/>
                <w:u w:val="none" w:color="auto"/>
              </w:rPr>
              <w:t>根据本次工程分析可知，项目各类外排废水水质能满足湖南城陵矶临港产业新区污水处理厂的设计进水水质要求，无特殊及有毒有害的污染因子。</w:t>
            </w:r>
          </w:p>
          <w:p w14:paraId="15235CA4">
            <w:pPr>
              <w:spacing w:line="360" w:lineRule="auto"/>
              <w:ind w:firstLine="482" w:firstLineChars="200"/>
              <w:rPr>
                <w:rFonts w:hint="default" w:ascii="Times New Roman" w:hAnsi="Times New Roman" w:eastAsia="宋体" w:cs="Times New Roman"/>
                <w:color w:val="auto"/>
                <w:sz w:val="24"/>
                <w:u w:val="none" w:color="auto"/>
              </w:rPr>
            </w:pPr>
            <w:r>
              <w:rPr>
                <w:rFonts w:hint="default" w:ascii="Times New Roman" w:hAnsi="Times New Roman" w:eastAsia="宋体" w:cs="Times New Roman"/>
                <w:b/>
                <w:bCs/>
                <w:color w:val="auto"/>
                <w:sz w:val="24"/>
                <w:u w:val="none" w:color="auto"/>
              </w:rPr>
              <w:t>配套管网建设情况：</w:t>
            </w:r>
            <w:r>
              <w:rPr>
                <w:rFonts w:hint="default" w:ascii="Times New Roman" w:hAnsi="Times New Roman" w:eastAsia="宋体" w:cs="Times New Roman"/>
                <w:color w:val="auto"/>
                <w:sz w:val="24"/>
                <w:u w:val="none" w:color="auto"/>
              </w:rPr>
              <w:t>项目位于城陵矶临港产业新区，属于湖南城陵矶临港产业新区污水处理厂服务范围内，目前本项目通入该污水处理厂的污水管网已建成并投入运营，本项目废水可接入该污水处理厂。</w:t>
            </w:r>
          </w:p>
          <w:p w14:paraId="5343AEE8">
            <w:pPr>
              <w:spacing w:line="360" w:lineRule="auto"/>
              <w:ind w:firstLine="482" w:firstLineChars="200"/>
              <w:rPr>
                <w:rFonts w:hint="default" w:ascii="Times New Roman" w:hAnsi="Times New Roman" w:eastAsia="宋体" w:cs="Times New Roman"/>
                <w:color w:val="auto"/>
                <w:sz w:val="24"/>
                <w:u w:val="none" w:color="auto"/>
              </w:rPr>
            </w:pPr>
            <w:r>
              <w:rPr>
                <w:rFonts w:hint="default" w:ascii="Times New Roman" w:hAnsi="Times New Roman" w:eastAsia="宋体" w:cs="Times New Roman"/>
                <w:b/>
                <w:bCs/>
                <w:color w:val="auto"/>
                <w:sz w:val="24"/>
                <w:u w:val="none" w:color="auto"/>
              </w:rPr>
              <w:t>剩余处理能力：</w:t>
            </w:r>
            <w:r>
              <w:rPr>
                <w:rFonts w:hint="default" w:ascii="Times New Roman" w:hAnsi="Times New Roman" w:eastAsia="宋体" w:cs="Times New Roman"/>
                <w:color w:val="auto"/>
                <w:sz w:val="24"/>
                <w:u w:val="none" w:color="auto"/>
              </w:rPr>
              <w:t>根据湖南城陵矶临港产业新区污水处理厂调查显示，日均进水量约为2.3</w:t>
            </w:r>
            <w:r>
              <w:rPr>
                <w:rFonts w:hint="default" w:ascii="Times New Roman" w:hAnsi="Times New Roman" w:eastAsia="宋体" w:cs="Times New Roman"/>
                <w:color w:val="auto"/>
                <w:sz w:val="24"/>
                <w:u w:val="none" w:color="auto"/>
                <w:lang w:val="en-US" w:eastAsia="zh-CN"/>
              </w:rPr>
              <w:t>1</w:t>
            </w:r>
            <w:r>
              <w:rPr>
                <w:rFonts w:hint="default" w:ascii="Times New Roman" w:hAnsi="Times New Roman" w:eastAsia="宋体" w:cs="Times New Roman"/>
                <w:color w:val="auto"/>
                <w:sz w:val="24"/>
                <w:u w:val="none" w:color="auto"/>
              </w:rPr>
              <w:t>万t/d，剩余0.</w:t>
            </w:r>
            <w:r>
              <w:rPr>
                <w:rFonts w:hint="default" w:ascii="Times New Roman" w:hAnsi="Times New Roman" w:eastAsia="宋体" w:cs="Times New Roman"/>
                <w:color w:val="auto"/>
                <w:sz w:val="24"/>
                <w:u w:val="none" w:color="auto"/>
                <w:lang w:val="en-US" w:eastAsia="zh-CN"/>
              </w:rPr>
              <w:t>69</w:t>
            </w:r>
            <w:r>
              <w:rPr>
                <w:rFonts w:hint="default" w:ascii="Times New Roman" w:hAnsi="Times New Roman" w:eastAsia="宋体" w:cs="Times New Roman"/>
                <w:color w:val="auto"/>
                <w:sz w:val="24"/>
                <w:u w:val="none" w:color="auto"/>
              </w:rPr>
              <w:t>万t/d，本项目日均排放量较小，最大日排放量仅为</w:t>
            </w:r>
            <w:r>
              <w:rPr>
                <w:rFonts w:hint="default" w:ascii="Times New Roman" w:hAnsi="Times New Roman" w:eastAsia="宋体" w:cs="Times New Roman"/>
                <w:color w:val="auto"/>
                <w:sz w:val="24"/>
                <w:u w:val="none" w:color="auto"/>
                <w:lang w:val="en-US" w:eastAsia="zh-CN"/>
              </w:rPr>
              <w:t>10.667</w:t>
            </w:r>
            <w:r>
              <w:rPr>
                <w:rFonts w:hint="default" w:ascii="Times New Roman" w:hAnsi="Times New Roman" w:eastAsia="宋体" w:cs="Times New Roman"/>
                <w:color w:val="auto"/>
                <w:sz w:val="24"/>
                <w:u w:val="none" w:color="auto"/>
              </w:rPr>
              <w:t>t/d，占</w:t>
            </w:r>
            <w:r>
              <w:rPr>
                <w:rFonts w:hint="default" w:ascii="Times New Roman" w:hAnsi="Times New Roman" w:eastAsia="宋体" w:cs="Times New Roman"/>
                <w:color w:val="auto"/>
                <w:sz w:val="24"/>
                <w:u w:val="none" w:color="auto"/>
                <w:lang w:val="en-US" w:eastAsia="zh-CN"/>
              </w:rPr>
              <w:t>剩余处理能力</w:t>
            </w:r>
            <w:r>
              <w:rPr>
                <w:rFonts w:hint="default" w:ascii="Times New Roman" w:hAnsi="Times New Roman" w:eastAsia="宋体" w:cs="Times New Roman"/>
                <w:color w:val="auto"/>
                <w:sz w:val="24"/>
                <w:u w:val="none" w:color="auto"/>
              </w:rPr>
              <w:t>约为0.</w:t>
            </w:r>
            <w:r>
              <w:rPr>
                <w:rFonts w:hint="default" w:ascii="Times New Roman" w:hAnsi="Times New Roman" w:eastAsia="宋体" w:cs="Times New Roman"/>
                <w:color w:val="auto"/>
                <w:sz w:val="24"/>
                <w:u w:val="none" w:color="auto"/>
                <w:lang w:val="en-US" w:eastAsia="zh-CN"/>
              </w:rPr>
              <w:t>15</w:t>
            </w:r>
            <w:r>
              <w:rPr>
                <w:rFonts w:hint="default" w:ascii="Times New Roman" w:hAnsi="Times New Roman" w:eastAsia="宋体" w:cs="Times New Roman"/>
                <w:color w:val="auto"/>
                <w:sz w:val="24"/>
                <w:u w:val="none" w:color="auto"/>
              </w:rPr>
              <w:t>%，因此不会超过污水处理厂纳污能力。</w:t>
            </w:r>
          </w:p>
          <w:p w14:paraId="305C9C44">
            <w:pPr>
              <w:spacing w:line="360" w:lineRule="auto"/>
              <w:ind w:firstLine="482" w:firstLineChars="200"/>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b/>
                <w:bCs/>
                <w:color w:val="auto"/>
                <w:sz w:val="24"/>
                <w:szCs w:val="24"/>
                <w:u w:val="none" w:color="auto"/>
              </w:rPr>
              <w:t>污水处理厂运行情况：</w:t>
            </w:r>
            <w:r>
              <w:rPr>
                <w:rFonts w:hint="default" w:ascii="Times New Roman" w:hAnsi="Times New Roman" w:eastAsia="宋体" w:cs="Times New Roman"/>
                <w:color w:val="auto"/>
                <w:sz w:val="24"/>
                <w:szCs w:val="24"/>
                <w:u w:val="none" w:color="auto"/>
              </w:rPr>
              <w:t>根据调查，本项目所依托的</w:t>
            </w:r>
            <w:r>
              <w:rPr>
                <w:rFonts w:hint="default" w:ascii="Times New Roman" w:hAnsi="Times New Roman" w:eastAsia="宋体" w:cs="Times New Roman"/>
                <w:color w:val="auto"/>
                <w:sz w:val="24"/>
                <w:szCs w:val="24"/>
                <w:u w:val="none" w:color="auto"/>
                <w:lang w:eastAsia="zh-CN"/>
              </w:rPr>
              <w:t>湖南城陵矶临港产业新区污水处理厂</w:t>
            </w:r>
            <w:r>
              <w:rPr>
                <w:rFonts w:hint="default" w:ascii="Times New Roman" w:hAnsi="Times New Roman" w:eastAsia="宋体" w:cs="Times New Roman"/>
                <w:color w:val="auto"/>
                <w:sz w:val="24"/>
                <w:szCs w:val="24"/>
                <w:u w:val="none" w:color="auto"/>
              </w:rPr>
              <w:t>已完成验收，并能够稳定达标排放和运行。</w:t>
            </w:r>
          </w:p>
          <w:p w14:paraId="46223393">
            <w:pPr>
              <w:spacing w:line="360" w:lineRule="auto"/>
              <w:ind w:firstLine="480" w:firstLineChars="200"/>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u w:val="none" w:color="auto"/>
              </w:rPr>
              <w:t>通过以上分析可知，本项目废水依托湖南城陵矶临港产业新区污水处理厂处理是可行的。</w:t>
            </w:r>
          </w:p>
          <w:p w14:paraId="02E702D7">
            <w:pPr>
              <w:spacing w:line="360" w:lineRule="auto"/>
              <w:ind w:firstLine="482" w:firstLineChars="200"/>
              <w:rPr>
                <w:rFonts w:hint="default" w:ascii="Times New Roman" w:hAnsi="Times New Roman" w:eastAsia="宋体" w:cs="Times New Roman"/>
                <w:b/>
                <w:bCs/>
                <w:color w:val="auto"/>
                <w:sz w:val="24"/>
                <w:szCs w:val="24"/>
                <w:u w:val="none" w:color="auto"/>
              </w:rPr>
            </w:pPr>
            <w:r>
              <w:rPr>
                <w:rFonts w:hint="default" w:ascii="Times New Roman" w:hAnsi="Times New Roman" w:eastAsia="宋体" w:cs="Times New Roman"/>
                <w:b/>
                <w:bCs/>
                <w:color w:val="auto"/>
                <w:sz w:val="24"/>
                <w:szCs w:val="24"/>
                <w:u w:val="none" w:color="auto"/>
              </w:rPr>
              <w:t>5、监测管理要求及监测方案</w:t>
            </w:r>
          </w:p>
          <w:p w14:paraId="6172CA2A">
            <w:pPr>
              <w:adjustRightInd w:val="0"/>
              <w:snapToGrid w:val="0"/>
              <w:spacing w:line="360" w:lineRule="auto"/>
              <w:ind w:firstLine="480" w:firstLineChars="200"/>
              <w:rPr>
                <w:rFonts w:hint="default" w:ascii="Times New Roman" w:hAnsi="Times New Roman" w:eastAsia="宋体" w:cs="Times New Roman"/>
                <w:color w:val="auto"/>
                <w:spacing w:val="0"/>
                <w:kern w:val="0"/>
                <w:sz w:val="24"/>
                <w:highlight w:val="none"/>
                <w:u w:val="none" w:color="auto"/>
              </w:rPr>
            </w:pPr>
            <w:r>
              <w:rPr>
                <w:rFonts w:hint="default" w:ascii="Times New Roman" w:hAnsi="Times New Roman" w:eastAsia="宋体" w:cs="Times New Roman"/>
                <w:color w:val="auto"/>
                <w:spacing w:val="0"/>
                <w:kern w:val="0"/>
                <w:sz w:val="24"/>
                <w:highlight w:val="none"/>
                <w:u w:val="none" w:color="auto"/>
                <w:lang w:val="en-US" w:eastAsia="zh-CN"/>
              </w:rPr>
              <w:t>根据《排污单位自行监测技术指南  总则》（HJ819-2017）、《排污单位自行监测技术指南 金属铸造工业》(HJ 1251-2022)、</w:t>
            </w:r>
            <w:r>
              <w:rPr>
                <w:rFonts w:hint="default" w:ascii="Times New Roman" w:hAnsi="Times New Roman" w:eastAsia="宋体" w:cs="Times New Roman"/>
                <w:color w:val="auto"/>
                <w:spacing w:val="0"/>
                <w:sz w:val="24"/>
                <w:highlight w:val="none"/>
                <w:u w:val="none" w:color="auto"/>
                <w:lang w:val="en-US" w:eastAsia="zh-CN"/>
              </w:rPr>
              <w:t>《排污许可证申请与核发技术规范  工业炉窑》（HJ1121-2020）、和《排污许可证申请与核发技术规范  汽车制造业》（HJ 971-2018）</w:t>
            </w:r>
            <w:r>
              <w:rPr>
                <w:rFonts w:hint="default" w:ascii="Times New Roman" w:hAnsi="Times New Roman" w:eastAsia="宋体" w:cs="Times New Roman"/>
                <w:color w:val="auto"/>
                <w:spacing w:val="0"/>
                <w:kern w:val="0"/>
                <w:sz w:val="24"/>
                <w:highlight w:val="none"/>
                <w:u w:val="none" w:color="auto"/>
                <w:lang w:val="en-US" w:eastAsia="zh-CN"/>
              </w:rPr>
              <w:t>的</w:t>
            </w:r>
            <w:r>
              <w:rPr>
                <w:rFonts w:hint="default" w:ascii="Times New Roman" w:hAnsi="Times New Roman" w:eastAsia="宋体" w:cs="Times New Roman"/>
                <w:color w:val="auto"/>
                <w:spacing w:val="0"/>
                <w:kern w:val="0"/>
                <w:sz w:val="24"/>
                <w:highlight w:val="none"/>
                <w:u w:val="none" w:color="auto"/>
              </w:rPr>
              <w:t>相关要求</w:t>
            </w:r>
            <w:r>
              <w:rPr>
                <w:rFonts w:hint="default" w:ascii="Times New Roman" w:hAnsi="Times New Roman" w:eastAsia="宋体" w:cs="Times New Roman"/>
                <w:color w:val="auto"/>
                <w:spacing w:val="0"/>
                <w:kern w:val="0"/>
                <w:sz w:val="24"/>
                <w:highlight w:val="none"/>
                <w:u w:val="none" w:color="auto"/>
                <w:lang w:eastAsia="zh-CN"/>
              </w:rPr>
              <w:t>，</w:t>
            </w:r>
            <w:r>
              <w:rPr>
                <w:rFonts w:hint="default" w:ascii="Times New Roman" w:hAnsi="Times New Roman" w:eastAsia="宋体" w:cs="Times New Roman"/>
                <w:color w:val="auto"/>
                <w:spacing w:val="0"/>
                <w:kern w:val="0"/>
                <w:sz w:val="24"/>
                <w:highlight w:val="none"/>
                <w:u w:val="none" w:color="auto"/>
                <w:lang w:val="en-US" w:eastAsia="zh-CN"/>
              </w:rPr>
              <w:t>提出监测要求，</w:t>
            </w:r>
            <w:r>
              <w:rPr>
                <w:rFonts w:hint="default" w:ascii="Times New Roman" w:hAnsi="Times New Roman" w:eastAsia="宋体" w:cs="Times New Roman"/>
                <w:color w:val="auto"/>
                <w:spacing w:val="0"/>
                <w:kern w:val="0"/>
                <w:sz w:val="24"/>
                <w:highlight w:val="none"/>
                <w:u w:val="none" w:color="auto"/>
              </w:rPr>
              <w:t>详见</w:t>
            </w:r>
            <w:r>
              <w:rPr>
                <w:rFonts w:hint="default" w:ascii="Times New Roman" w:hAnsi="Times New Roman" w:eastAsia="宋体" w:cs="Times New Roman"/>
                <w:color w:val="auto"/>
                <w:spacing w:val="0"/>
                <w:kern w:val="0"/>
                <w:sz w:val="24"/>
                <w:highlight w:val="none"/>
                <w:u w:val="none" w:color="auto"/>
                <w:lang w:val="en-US" w:eastAsia="zh-CN"/>
              </w:rPr>
              <w:t>下表</w:t>
            </w:r>
            <w:r>
              <w:rPr>
                <w:rFonts w:hint="default" w:ascii="Times New Roman" w:hAnsi="Times New Roman" w:eastAsia="宋体" w:cs="Times New Roman"/>
                <w:color w:val="auto"/>
                <w:spacing w:val="0"/>
                <w:kern w:val="0"/>
                <w:sz w:val="24"/>
                <w:highlight w:val="none"/>
                <w:u w:val="none" w:color="auto"/>
              </w:rPr>
              <w:t>。</w:t>
            </w:r>
          </w:p>
          <w:p w14:paraId="37B731E3">
            <w:pPr>
              <w:jc w:val="center"/>
              <w:rPr>
                <w:rFonts w:hint="default" w:ascii="Times New Roman" w:hAnsi="Times New Roman" w:eastAsia="宋体" w:cs="Times New Roman"/>
                <w:b/>
                <w:bCs/>
                <w:color w:val="auto"/>
                <w:spacing w:val="0"/>
                <w:szCs w:val="21"/>
                <w:highlight w:val="none"/>
                <w:u w:val="none" w:color="auto"/>
              </w:rPr>
            </w:pPr>
            <w:r>
              <w:rPr>
                <w:rFonts w:hint="default" w:ascii="Times New Roman" w:hAnsi="Times New Roman" w:eastAsia="宋体" w:cs="Times New Roman"/>
                <w:b/>
                <w:bCs/>
                <w:color w:val="auto"/>
                <w:spacing w:val="0"/>
                <w:szCs w:val="21"/>
                <w:highlight w:val="none"/>
                <w:u w:val="none" w:color="auto"/>
              </w:rPr>
              <w:t>表4-</w:t>
            </w:r>
            <w:r>
              <w:rPr>
                <w:rFonts w:hint="default" w:ascii="Times New Roman" w:hAnsi="Times New Roman" w:eastAsia="宋体" w:cs="Times New Roman"/>
                <w:b/>
                <w:bCs/>
                <w:color w:val="auto"/>
                <w:spacing w:val="0"/>
                <w:szCs w:val="21"/>
                <w:highlight w:val="none"/>
                <w:u w:val="none" w:color="auto"/>
                <w:lang w:val="en-US" w:eastAsia="zh-CN"/>
              </w:rPr>
              <w:t>30</w:t>
            </w:r>
            <w:r>
              <w:rPr>
                <w:rFonts w:hint="default" w:ascii="Times New Roman" w:hAnsi="Times New Roman" w:eastAsia="宋体" w:cs="Times New Roman"/>
                <w:b/>
                <w:bCs/>
                <w:color w:val="auto"/>
                <w:spacing w:val="0"/>
                <w:szCs w:val="21"/>
                <w:highlight w:val="none"/>
                <w:u w:val="none" w:color="auto"/>
              </w:rPr>
              <w:t xml:space="preserve">  </w:t>
            </w:r>
            <w:r>
              <w:rPr>
                <w:rFonts w:hint="default" w:ascii="Times New Roman" w:hAnsi="Times New Roman" w:eastAsia="宋体" w:cs="Times New Roman"/>
                <w:b/>
                <w:bCs/>
                <w:color w:val="auto"/>
                <w:spacing w:val="0"/>
                <w:szCs w:val="21"/>
                <w:highlight w:val="none"/>
                <w:u w:val="none" w:color="auto"/>
                <w:lang w:val="en-US" w:eastAsia="zh-CN"/>
              </w:rPr>
              <w:t>废水</w:t>
            </w:r>
            <w:r>
              <w:rPr>
                <w:rFonts w:hint="default" w:ascii="Times New Roman" w:hAnsi="Times New Roman" w:eastAsia="宋体" w:cs="Times New Roman"/>
                <w:b/>
                <w:bCs/>
                <w:color w:val="auto"/>
                <w:spacing w:val="0"/>
                <w:szCs w:val="21"/>
                <w:highlight w:val="none"/>
                <w:u w:val="none" w:color="auto"/>
              </w:rPr>
              <w:t>监测计划</w:t>
            </w:r>
          </w:p>
          <w:tbl>
            <w:tblPr>
              <w:tblStyle w:val="32"/>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385"/>
              <w:gridCol w:w="1359"/>
              <w:gridCol w:w="2985"/>
              <w:gridCol w:w="1080"/>
              <w:gridCol w:w="1706"/>
            </w:tblGrid>
            <w:tr w14:paraId="0C3E8BD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813" w:type="pct"/>
                  <w:tcBorders>
                    <w:tl2br w:val="nil"/>
                    <w:tr2bl w:val="nil"/>
                  </w:tcBorders>
                  <w:vAlign w:val="center"/>
                </w:tcPr>
                <w:p w14:paraId="29A4DDEF">
                  <w:pPr>
                    <w:keepNext w:val="0"/>
                    <w:keepLines w:val="0"/>
                    <w:pageBreakBefore w:val="0"/>
                    <w:widowControl w:val="0"/>
                    <w:kinsoku w:val="0"/>
                    <w:wordWrap/>
                    <w:overflowPunct w:val="0"/>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auto"/>
                      <w:spacing w:val="0"/>
                      <w:kern w:val="0"/>
                      <w:sz w:val="21"/>
                      <w:szCs w:val="21"/>
                      <w:u w:val="none" w:color="auto"/>
                      <w:vertAlign w:val="baseline"/>
                      <w:lang w:val="en-US" w:eastAsia="zh-CN"/>
                    </w:rPr>
                  </w:pPr>
                  <w:r>
                    <w:rPr>
                      <w:rFonts w:hint="default" w:ascii="Times New Roman" w:hAnsi="Times New Roman" w:eastAsia="宋体" w:cs="Times New Roman"/>
                      <w:b/>
                      <w:color w:val="auto"/>
                      <w:sz w:val="21"/>
                      <w:szCs w:val="21"/>
                      <w:highlight w:val="none"/>
                      <w:u w:val="none" w:color="auto"/>
                    </w:rPr>
                    <w:t>排放口编号</w:t>
                  </w:r>
                </w:p>
              </w:tc>
              <w:tc>
                <w:tcPr>
                  <w:tcW w:w="798" w:type="pct"/>
                  <w:tcBorders>
                    <w:tl2br w:val="nil"/>
                    <w:tr2bl w:val="nil"/>
                  </w:tcBorders>
                  <w:vAlign w:val="center"/>
                </w:tcPr>
                <w:p w14:paraId="6CF63CF6">
                  <w:pPr>
                    <w:keepNext w:val="0"/>
                    <w:keepLines w:val="0"/>
                    <w:pageBreakBefore w:val="0"/>
                    <w:widowControl w:val="0"/>
                    <w:kinsoku w:val="0"/>
                    <w:wordWrap/>
                    <w:overflowPunct w:val="0"/>
                    <w:topLinePunct w:val="0"/>
                    <w:autoSpaceDE w:val="0"/>
                    <w:autoSpaceDN w:val="0"/>
                    <w:bidi w:val="0"/>
                    <w:adjustRightInd/>
                    <w:snapToGrid/>
                    <w:spacing w:line="240" w:lineRule="auto"/>
                    <w:jc w:val="center"/>
                    <w:textAlignment w:val="auto"/>
                    <w:rPr>
                      <w:rFonts w:hint="default" w:ascii="Times New Roman" w:hAnsi="Times New Roman" w:eastAsia="宋体" w:cs="Times New Roman"/>
                      <w:b/>
                      <w:color w:val="auto"/>
                      <w:sz w:val="21"/>
                      <w:szCs w:val="21"/>
                      <w:highlight w:val="none"/>
                      <w:u w:val="none" w:color="auto"/>
                      <w:lang w:val="en-US" w:eastAsia="zh-CN"/>
                    </w:rPr>
                  </w:pPr>
                  <w:r>
                    <w:rPr>
                      <w:rFonts w:hint="default" w:ascii="Times New Roman" w:hAnsi="Times New Roman" w:eastAsia="宋体" w:cs="Times New Roman"/>
                      <w:b/>
                      <w:color w:val="auto"/>
                      <w:sz w:val="21"/>
                      <w:szCs w:val="21"/>
                      <w:highlight w:val="none"/>
                      <w:u w:val="none" w:color="auto"/>
                      <w:lang w:val="en-US" w:eastAsia="zh-CN"/>
                    </w:rPr>
                    <w:t>所在厂区</w:t>
                  </w:r>
                </w:p>
              </w:tc>
              <w:tc>
                <w:tcPr>
                  <w:tcW w:w="1752" w:type="pct"/>
                  <w:tcBorders>
                    <w:tl2br w:val="nil"/>
                    <w:tr2bl w:val="nil"/>
                  </w:tcBorders>
                  <w:vAlign w:val="center"/>
                </w:tcPr>
                <w:p w14:paraId="39F7E681">
                  <w:pPr>
                    <w:keepNext w:val="0"/>
                    <w:keepLines w:val="0"/>
                    <w:pageBreakBefore w:val="0"/>
                    <w:widowControl w:val="0"/>
                    <w:kinsoku w:val="0"/>
                    <w:wordWrap/>
                    <w:overflowPunct w:val="0"/>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auto"/>
                      <w:spacing w:val="0"/>
                      <w:kern w:val="0"/>
                      <w:sz w:val="21"/>
                      <w:szCs w:val="21"/>
                      <w:u w:val="none" w:color="auto"/>
                      <w:vertAlign w:val="baseline"/>
                      <w:lang w:val="en-US" w:eastAsia="zh-CN"/>
                    </w:rPr>
                  </w:pPr>
                  <w:r>
                    <w:rPr>
                      <w:rFonts w:hint="default" w:ascii="Times New Roman" w:hAnsi="Times New Roman" w:eastAsia="宋体" w:cs="Times New Roman"/>
                      <w:b/>
                      <w:color w:val="auto"/>
                      <w:sz w:val="21"/>
                      <w:szCs w:val="21"/>
                      <w:highlight w:val="none"/>
                      <w:u w:val="none" w:color="auto"/>
                      <w:lang w:val="en-US" w:eastAsia="zh-CN"/>
                    </w:rPr>
                    <w:t>监测因子</w:t>
                  </w:r>
                </w:p>
              </w:tc>
              <w:tc>
                <w:tcPr>
                  <w:tcW w:w="634" w:type="pct"/>
                  <w:tcBorders>
                    <w:tl2br w:val="nil"/>
                    <w:tr2bl w:val="nil"/>
                  </w:tcBorders>
                  <w:vAlign w:val="center"/>
                </w:tcPr>
                <w:p w14:paraId="2994B7F5">
                  <w:pPr>
                    <w:keepNext w:val="0"/>
                    <w:keepLines w:val="0"/>
                    <w:pageBreakBefore w:val="0"/>
                    <w:widowControl w:val="0"/>
                    <w:wordWrap/>
                    <w:topLinePunct w:val="0"/>
                    <w:bidi w:val="0"/>
                    <w:adjustRightInd/>
                    <w:snapToGrid/>
                    <w:spacing w:line="240" w:lineRule="auto"/>
                    <w:jc w:val="center"/>
                    <w:textAlignment w:val="auto"/>
                    <w:rPr>
                      <w:rFonts w:hint="default" w:ascii="Times New Roman" w:hAnsi="Times New Roman" w:eastAsia="宋体" w:cs="Times New Roman"/>
                      <w:b/>
                      <w:bCs/>
                      <w:color w:val="auto"/>
                      <w:spacing w:val="0"/>
                      <w:kern w:val="0"/>
                      <w:sz w:val="21"/>
                      <w:szCs w:val="21"/>
                      <w:u w:val="none" w:color="auto"/>
                      <w:vertAlign w:val="baseline"/>
                      <w:lang w:val="en-US" w:eastAsia="zh-CN"/>
                    </w:rPr>
                  </w:pPr>
                  <w:r>
                    <w:rPr>
                      <w:rFonts w:hint="default" w:ascii="Times New Roman" w:hAnsi="Times New Roman" w:eastAsia="宋体" w:cs="Times New Roman"/>
                      <w:b/>
                      <w:bCs/>
                      <w:color w:val="auto"/>
                      <w:spacing w:val="0"/>
                      <w:kern w:val="0"/>
                      <w:sz w:val="21"/>
                      <w:szCs w:val="21"/>
                      <w:u w:val="none" w:color="auto"/>
                      <w:vertAlign w:val="baseline"/>
                      <w:lang w:val="en-US" w:eastAsia="zh-CN"/>
                    </w:rPr>
                    <w:t>监测频次</w:t>
                  </w:r>
                </w:p>
              </w:tc>
              <w:tc>
                <w:tcPr>
                  <w:tcW w:w="1001" w:type="pct"/>
                  <w:tcBorders>
                    <w:tl2br w:val="nil"/>
                    <w:tr2bl w:val="nil"/>
                  </w:tcBorders>
                  <w:vAlign w:val="center"/>
                </w:tcPr>
                <w:p w14:paraId="7A934C16">
                  <w:pPr>
                    <w:keepNext w:val="0"/>
                    <w:keepLines w:val="0"/>
                    <w:pageBreakBefore w:val="0"/>
                    <w:widowControl w:val="0"/>
                    <w:wordWrap/>
                    <w:topLinePunct w:val="0"/>
                    <w:bidi w:val="0"/>
                    <w:adjustRightInd/>
                    <w:snapToGrid/>
                    <w:spacing w:line="240" w:lineRule="auto"/>
                    <w:jc w:val="center"/>
                    <w:textAlignment w:val="auto"/>
                    <w:rPr>
                      <w:rFonts w:hint="default" w:ascii="Times New Roman" w:hAnsi="Times New Roman" w:eastAsia="宋体" w:cs="Times New Roman"/>
                      <w:b/>
                      <w:bCs/>
                      <w:color w:val="auto"/>
                      <w:spacing w:val="0"/>
                      <w:kern w:val="0"/>
                      <w:sz w:val="21"/>
                      <w:szCs w:val="21"/>
                      <w:u w:val="none" w:color="auto"/>
                      <w:vertAlign w:val="baseline"/>
                      <w:lang w:val="en-US" w:eastAsia="zh-CN"/>
                    </w:rPr>
                  </w:pPr>
                  <w:r>
                    <w:rPr>
                      <w:rFonts w:hint="default" w:ascii="Times New Roman" w:hAnsi="Times New Roman" w:eastAsia="宋体" w:cs="Times New Roman"/>
                      <w:b/>
                      <w:bCs/>
                      <w:color w:val="auto"/>
                      <w:spacing w:val="0"/>
                      <w:kern w:val="0"/>
                      <w:sz w:val="21"/>
                      <w:szCs w:val="21"/>
                      <w:u w:val="none" w:color="auto"/>
                      <w:vertAlign w:val="baseline"/>
                      <w:lang w:val="en-US" w:eastAsia="zh-CN"/>
                    </w:rPr>
                    <w:t>备注</w:t>
                  </w:r>
                </w:p>
              </w:tc>
            </w:tr>
            <w:tr w14:paraId="380B403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813" w:type="pct"/>
                  <w:vMerge w:val="restart"/>
                  <w:tcBorders>
                    <w:tl2br w:val="nil"/>
                    <w:tr2bl w:val="nil"/>
                  </w:tcBorders>
                  <w:vAlign w:val="center"/>
                </w:tcPr>
                <w:p w14:paraId="2C2BD77D">
                  <w:pPr>
                    <w:keepNext w:val="0"/>
                    <w:keepLines w:val="0"/>
                    <w:pageBreakBefore w:val="0"/>
                    <w:widowControl w:val="0"/>
                    <w:wordWrap/>
                    <w:topLinePunct w:val="0"/>
                    <w:bidi w:val="0"/>
                    <w:adjustRightInd/>
                    <w:snapToGrid/>
                    <w:spacing w:line="240" w:lineRule="auto"/>
                    <w:jc w:val="center"/>
                    <w:textAlignment w:val="auto"/>
                    <w:rPr>
                      <w:rFonts w:hint="default" w:ascii="Times New Roman" w:hAnsi="Times New Roman" w:eastAsia="宋体" w:cs="Times New Roman"/>
                      <w:color w:val="auto"/>
                      <w:spacing w:val="0"/>
                      <w:kern w:val="0"/>
                      <w:sz w:val="21"/>
                      <w:szCs w:val="21"/>
                      <w:u w:val="none" w:color="auto"/>
                      <w:vertAlign w:val="baseline"/>
                      <w:lang w:val="en-US" w:eastAsia="zh-CN"/>
                    </w:rPr>
                  </w:pPr>
                  <w:r>
                    <w:rPr>
                      <w:rFonts w:hint="default" w:ascii="Times New Roman" w:hAnsi="Times New Roman" w:eastAsia="宋体" w:cs="Times New Roman"/>
                      <w:color w:val="auto"/>
                      <w:spacing w:val="0"/>
                      <w:kern w:val="0"/>
                      <w:sz w:val="21"/>
                      <w:szCs w:val="21"/>
                      <w:u w:val="none" w:color="auto"/>
                      <w:vertAlign w:val="baseline"/>
                      <w:lang w:val="en-US" w:eastAsia="zh-CN"/>
                    </w:rPr>
                    <w:t>DW001</w:t>
                  </w:r>
                </w:p>
              </w:tc>
              <w:tc>
                <w:tcPr>
                  <w:tcW w:w="798" w:type="pct"/>
                  <w:vMerge w:val="restart"/>
                  <w:tcBorders>
                    <w:tl2br w:val="nil"/>
                    <w:tr2bl w:val="nil"/>
                  </w:tcBorders>
                  <w:vAlign w:val="center"/>
                </w:tcPr>
                <w:p w14:paraId="7E3BF11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kern w:val="0"/>
                      <w:sz w:val="21"/>
                      <w:szCs w:val="21"/>
                      <w:u w:val="none" w:color="auto"/>
                      <w:vertAlign w:val="baseline"/>
                      <w:lang w:val="en-US" w:eastAsia="zh-CN"/>
                    </w:rPr>
                  </w:pPr>
                  <w:r>
                    <w:rPr>
                      <w:rFonts w:hint="default" w:ascii="Times New Roman" w:hAnsi="Times New Roman" w:eastAsia="宋体" w:cs="Times New Roman"/>
                      <w:color w:val="auto"/>
                      <w:spacing w:val="0"/>
                      <w:kern w:val="0"/>
                      <w:sz w:val="21"/>
                      <w:szCs w:val="21"/>
                      <w:u w:val="none" w:color="auto"/>
                      <w:vertAlign w:val="baseline"/>
                      <w:lang w:val="en-US" w:eastAsia="zh-CN"/>
                    </w:rPr>
                    <w:t>中创空天厂区</w:t>
                  </w:r>
                </w:p>
              </w:tc>
              <w:tc>
                <w:tcPr>
                  <w:tcW w:w="1752" w:type="pct"/>
                  <w:tcBorders>
                    <w:tl2br w:val="nil"/>
                    <w:tr2bl w:val="nil"/>
                  </w:tcBorders>
                  <w:vAlign w:val="center"/>
                </w:tcPr>
                <w:p w14:paraId="0A99721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kern w:val="0"/>
                      <w:sz w:val="21"/>
                      <w:szCs w:val="21"/>
                      <w:u w:val="none" w:color="auto"/>
                      <w:vertAlign w:val="baseline"/>
                      <w:lang w:val="en-US" w:eastAsia="zh-CN"/>
                    </w:rPr>
                  </w:pPr>
                  <w:r>
                    <w:rPr>
                      <w:rFonts w:hint="default" w:ascii="Times New Roman" w:hAnsi="Times New Roman" w:eastAsia="宋体" w:cs="Times New Roman"/>
                      <w:color w:val="auto"/>
                      <w:spacing w:val="0"/>
                      <w:kern w:val="0"/>
                      <w:sz w:val="21"/>
                      <w:szCs w:val="21"/>
                      <w:u w:val="none" w:color="auto"/>
                      <w:vertAlign w:val="baseline"/>
                      <w:lang w:val="en-US" w:eastAsia="zh-CN"/>
                    </w:rPr>
                    <w:t>pH、COD、BOD</w:t>
                  </w:r>
                  <w:r>
                    <w:rPr>
                      <w:rFonts w:hint="default" w:ascii="Times New Roman" w:hAnsi="Times New Roman" w:eastAsia="宋体" w:cs="Times New Roman"/>
                      <w:color w:val="auto"/>
                      <w:spacing w:val="0"/>
                      <w:kern w:val="0"/>
                      <w:sz w:val="21"/>
                      <w:szCs w:val="21"/>
                      <w:u w:val="none" w:color="auto"/>
                      <w:vertAlign w:val="subscript"/>
                      <w:lang w:val="en-US" w:eastAsia="zh-CN"/>
                    </w:rPr>
                    <w:t>5</w:t>
                  </w:r>
                  <w:r>
                    <w:rPr>
                      <w:rFonts w:hint="default" w:ascii="Times New Roman" w:hAnsi="Times New Roman" w:eastAsia="宋体" w:cs="Times New Roman"/>
                      <w:color w:val="auto"/>
                      <w:spacing w:val="0"/>
                      <w:kern w:val="0"/>
                      <w:sz w:val="21"/>
                      <w:szCs w:val="21"/>
                      <w:u w:val="none" w:color="auto"/>
                      <w:vertAlign w:val="baseline"/>
                      <w:lang w:val="en-US" w:eastAsia="zh-CN"/>
                    </w:rPr>
                    <w:t>、SS、NH</w:t>
                  </w:r>
                  <w:r>
                    <w:rPr>
                      <w:rFonts w:hint="default" w:ascii="Times New Roman" w:hAnsi="Times New Roman" w:eastAsia="宋体" w:cs="Times New Roman"/>
                      <w:color w:val="auto"/>
                      <w:spacing w:val="0"/>
                      <w:kern w:val="0"/>
                      <w:sz w:val="21"/>
                      <w:szCs w:val="21"/>
                      <w:u w:val="none" w:color="auto"/>
                      <w:vertAlign w:val="subscript"/>
                      <w:lang w:val="en-US" w:eastAsia="zh-CN"/>
                    </w:rPr>
                    <w:t>3</w:t>
                  </w:r>
                  <w:r>
                    <w:rPr>
                      <w:rFonts w:hint="default" w:ascii="Times New Roman" w:hAnsi="Times New Roman" w:eastAsia="宋体" w:cs="Times New Roman"/>
                      <w:color w:val="auto"/>
                      <w:spacing w:val="0"/>
                      <w:kern w:val="0"/>
                      <w:sz w:val="21"/>
                      <w:szCs w:val="21"/>
                      <w:u w:val="none" w:color="auto"/>
                      <w:vertAlign w:val="baseline"/>
                      <w:lang w:val="en-US" w:eastAsia="zh-CN"/>
                    </w:rPr>
                    <w:t>-N、TN、TP、动植物油</w:t>
                  </w:r>
                </w:p>
              </w:tc>
              <w:tc>
                <w:tcPr>
                  <w:tcW w:w="634" w:type="pct"/>
                  <w:tcBorders>
                    <w:tl2br w:val="nil"/>
                    <w:tr2bl w:val="nil"/>
                  </w:tcBorders>
                  <w:vAlign w:val="center"/>
                </w:tcPr>
                <w:p w14:paraId="061B9A74">
                  <w:pPr>
                    <w:keepNext w:val="0"/>
                    <w:keepLines w:val="0"/>
                    <w:pageBreakBefore w:val="0"/>
                    <w:widowControl w:val="0"/>
                    <w:wordWrap/>
                    <w:topLinePunct w:val="0"/>
                    <w:bidi w:val="0"/>
                    <w:adjustRightInd/>
                    <w:snapToGrid/>
                    <w:spacing w:line="240" w:lineRule="auto"/>
                    <w:jc w:val="center"/>
                    <w:textAlignment w:val="auto"/>
                    <w:rPr>
                      <w:rFonts w:hint="default" w:ascii="Times New Roman" w:hAnsi="Times New Roman" w:eastAsia="宋体" w:cs="Times New Roman"/>
                      <w:color w:val="auto"/>
                      <w:spacing w:val="0"/>
                      <w:kern w:val="0"/>
                      <w:sz w:val="21"/>
                      <w:szCs w:val="21"/>
                      <w:u w:val="none" w:color="auto"/>
                      <w:vertAlign w:val="baseline"/>
                      <w:lang w:val="en-US" w:eastAsia="zh-CN"/>
                    </w:rPr>
                  </w:pPr>
                  <w:r>
                    <w:rPr>
                      <w:rFonts w:hint="default" w:ascii="Times New Roman" w:hAnsi="Times New Roman" w:eastAsia="宋体" w:cs="Times New Roman"/>
                      <w:color w:val="auto"/>
                      <w:spacing w:val="0"/>
                      <w:kern w:val="0"/>
                      <w:sz w:val="21"/>
                      <w:szCs w:val="21"/>
                      <w:u w:val="none" w:color="auto"/>
                      <w:vertAlign w:val="baseline"/>
                      <w:lang w:val="en-US" w:eastAsia="zh-CN"/>
                    </w:rPr>
                    <w:t>1次/半年</w:t>
                  </w:r>
                </w:p>
              </w:tc>
              <w:tc>
                <w:tcPr>
                  <w:tcW w:w="1001" w:type="pct"/>
                  <w:vMerge w:val="restart"/>
                  <w:tcBorders>
                    <w:tl2br w:val="nil"/>
                    <w:tr2bl w:val="nil"/>
                  </w:tcBorders>
                  <w:vAlign w:val="center"/>
                </w:tcPr>
                <w:p w14:paraId="334B3EFD">
                  <w:pPr>
                    <w:keepNext w:val="0"/>
                    <w:keepLines w:val="0"/>
                    <w:pageBreakBefore w:val="0"/>
                    <w:widowControl w:val="0"/>
                    <w:wordWrap/>
                    <w:topLinePunct w:val="0"/>
                    <w:bidi w:val="0"/>
                    <w:adjustRightInd/>
                    <w:snapToGrid/>
                    <w:spacing w:line="240" w:lineRule="auto"/>
                    <w:jc w:val="center"/>
                    <w:textAlignment w:val="auto"/>
                    <w:rPr>
                      <w:rFonts w:hint="default" w:ascii="Times New Roman" w:hAnsi="Times New Roman" w:eastAsia="宋体" w:cs="Times New Roman"/>
                      <w:color w:val="auto"/>
                      <w:spacing w:val="0"/>
                      <w:kern w:val="0"/>
                      <w:sz w:val="21"/>
                      <w:szCs w:val="21"/>
                      <w:u w:val="none" w:color="auto"/>
                      <w:vertAlign w:val="baseline"/>
                      <w:lang w:val="en-US" w:eastAsia="zh-CN"/>
                    </w:rPr>
                  </w:pPr>
                  <w:r>
                    <w:rPr>
                      <w:rFonts w:hint="default" w:ascii="Times New Roman" w:hAnsi="Times New Roman" w:eastAsia="宋体" w:cs="Times New Roman"/>
                      <w:color w:val="auto"/>
                      <w:spacing w:val="0"/>
                      <w:kern w:val="0"/>
                      <w:sz w:val="21"/>
                      <w:szCs w:val="21"/>
                      <w:u w:val="none" w:color="auto"/>
                      <w:vertAlign w:val="baseline"/>
                      <w:lang w:val="en-US" w:eastAsia="zh-CN"/>
                    </w:rPr>
                    <w:t>与现有工程监测计划从严要求</w:t>
                  </w:r>
                </w:p>
              </w:tc>
            </w:tr>
            <w:tr w14:paraId="6279A89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813" w:type="pct"/>
                  <w:vMerge w:val="continue"/>
                  <w:tcBorders>
                    <w:tl2br w:val="nil"/>
                    <w:tr2bl w:val="nil"/>
                  </w:tcBorders>
                  <w:vAlign w:val="center"/>
                </w:tcPr>
                <w:p w14:paraId="684C5DBC">
                  <w:pPr>
                    <w:keepNext w:val="0"/>
                    <w:keepLines w:val="0"/>
                    <w:pageBreakBefore w:val="0"/>
                    <w:widowControl w:val="0"/>
                    <w:wordWrap/>
                    <w:topLinePunct w:val="0"/>
                    <w:bidi w:val="0"/>
                    <w:adjustRightInd/>
                    <w:snapToGrid/>
                    <w:spacing w:line="240" w:lineRule="auto"/>
                    <w:jc w:val="center"/>
                    <w:textAlignment w:val="auto"/>
                    <w:rPr>
                      <w:rFonts w:hint="default" w:ascii="Times New Roman" w:hAnsi="Times New Roman" w:eastAsia="宋体" w:cs="Times New Roman"/>
                      <w:color w:val="auto"/>
                      <w:spacing w:val="0"/>
                      <w:kern w:val="0"/>
                      <w:sz w:val="21"/>
                      <w:szCs w:val="21"/>
                      <w:u w:val="none" w:color="auto"/>
                      <w:vertAlign w:val="baseline"/>
                      <w:lang w:val="en-US" w:eastAsia="zh-CN"/>
                    </w:rPr>
                  </w:pPr>
                </w:p>
              </w:tc>
              <w:tc>
                <w:tcPr>
                  <w:tcW w:w="798" w:type="pct"/>
                  <w:vMerge w:val="continue"/>
                  <w:tcBorders>
                    <w:tl2br w:val="nil"/>
                    <w:tr2bl w:val="nil"/>
                  </w:tcBorders>
                  <w:vAlign w:val="center"/>
                </w:tcPr>
                <w:p w14:paraId="664CCA1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kern w:val="0"/>
                      <w:sz w:val="21"/>
                      <w:szCs w:val="21"/>
                      <w:u w:val="none" w:color="auto"/>
                      <w:vertAlign w:val="baseline"/>
                      <w:lang w:val="en-US" w:eastAsia="zh-CN"/>
                    </w:rPr>
                  </w:pPr>
                </w:p>
              </w:tc>
              <w:tc>
                <w:tcPr>
                  <w:tcW w:w="1752" w:type="pct"/>
                  <w:tcBorders>
                    <w:tl2br w:val="nil"/>
                    <w:tr2bl w:val="nil"/>
                  </w:tcBorders>
                  <w:vAlign w:val="center"/>
                </w:tcPr>
                <w:p w14:paraId="22AADDC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kern w:val="0"/>
                      <w:sz w:val="21"/>
                      <w:szCs w:val="21"/>
                      <w:u w:val="none" w:color="auto"/>
                      <w:vertAlign w:val="baseline"/>
                      <w:lang w:val="en-US" w:eastAsia="zh-CN"/>
                    </w:rPr>
                  </w:pPr>
                  <w:r>
                    <w:rPr>
                      <w:rFonts w:hint="default" w:ascii="Times New Roman" w:hAnsi="Times New Roman" w:eastAsia="宋体" w:cs="Times New Roman"/>
                      <w:color w:val="auto"/>
                      <w:spacing w:val="0"/>
                      <w:kern w:val="0"/>
                      <w:sz w:val="21"/>
                      <w:szCs w:val="21"/>
                      <w:u w:val="none" w:color="auto"/>
                      <w:vertAlign w:val="baseline"/>
                      <w:lang w:val="en-US" w:eastAsia="zh-CN"/>
                    </w:rPr>
                    <w:t>石油类</w:t>
                  </w:r>
                </w:p>
              </w:tc>
              <w:tc>
                <w:tcPr>
                  <w:tcW w:w="634" w:type="pct"/>
                  <w:tcBorders>
                    <w:tl2br w:val="nil"/>
                    <w:tr2bl w:val="nil"/>
                  </w:tcBorders>
                  <w:vAlign w:val="center"/>
                </w:tcPr>
                <w:p w14:paraId="7BE47571">
                  <w:pPr>
                    <w:keepNext w:val="0"/>
                    <w:keepLines w:val="0"/>
                    <w:pageBreakBefore w:val="0"/>
                    <w:widowControl w:val="0"/>
                    <w:wordWrap/>
                    <w:topLinePunct w:val="0"/>
                    <w:bidi w:val="0"/>
                    <w:adjustRightInd/>
                    <w:snapToGrid/>
                    <w:spacing w:line="240" w:lineRule="auto"/>
                    <w:jc w:val="center"/>
                    <w:textAlignment w:val="auto"/>
                    <w:rPr>
                      <w:rFonts w:hint="default" w:ascii="Times New Roman" w:hAnsi="Times New Roman" w:eastAsia="宋体" w:cs="Times New Roman"/>
                      <w:color w:val="auto"/>
                      <w:spacing w:val="0"/>
                      <w:kern w:val="0"/>
                      <w:sz w:val="21"/>
                      <w:szCs w:val="21"/>
                      <w:u w:val="none" w:color="auto"/>
                      <w:vertAlign w:val="baseline"/>
                      <w:lang w:val="en-US" w:eastAsia="zh-CN"/>
                    </w:rPr>
                  </w:pPr>
                  <w:r>
                    <w:rPr>
                      <w:rFonts w:hint="default" w:ascii="Times New Roman" w:hAnsi="Times New Roman" w:eastAsia="宋体" w:cs="Times New Roman"/>
                      <w:color w:val="auto"/>
                      <w:spacing w:val="0"/>
                      <w:kern w:val="0"/>
                      <w:sz w:val="21"/>
                      <w:szCs w:val="21"/>
                      <w:u w:val="none" w:color="auto"/>
                      <w:vertAlign w:val="baseline"/>
                      <w:lang w:val="en-US" w:eastAsia="zh-CN"/>
                    </w:rPr>
                    <w:t>1次/年</w:t>
                  </w:r>
                </w:p>
              </w:tc>
              <w:tc>
                <w:tcPr>
                  <w:tcW w:w="1001" w:type="pct"/>
                  <w:vMerge w:val="continue"/>
                  <w:tcBorders>
                    <w:tl2br w:val="nil"/>
                    <w:tr2bl w:val="nil"/>
                  </w:tcBorders>
                  <w:vAlign w:val="center"/>
                </w:tcPr>
                <w:p w14:paraId="2072D66D">
                  <w:pPr>
                    <w:keepNext w:val="0"/>
                    <w:keepLines w:val="0"/>
                    <w:pageBreakBefore w:val="0"/>
                    <w:widowControl w:val="0"/>
                    <w:wordWrap/>
                    <w:topLinePunct w:val="0"/>
                    <w:bidi w:val="0"/>
                    <w:adjustRightInd/>
                    <w:snapToGrid/>
                    <w:spacing w:line="240" w:lineRule="auto"/>
                    <w:jc w:val="center"/>
                    <w:textAlignment w:val="auto"/>
                    <w:rPr>
                      <w:rFonts w:hint="default" w:ascii="Times New Roman" w:hAnsi="Times New Roman" w:eastAsia="宋体" w:cs="Times New Roman"/>
                      <w:color w:val="auto"/>
                      <w:spacing w:val="0"/>
                      <w:kern w:val="0"/>
                      <w:sz w:val="21"/>
                      <w:szCs w:val="21"/>
                      <w:u w:val="none" w:color="auto"/>
                      <w:vertAlign w:val="baseline"/>
                      <w:lang w:val="en-US" w:eastAsia="zh-CN"/>
                    </w:rPr>
                  </w:pPr>
                </w:p>
              </w:tc>
            </w:tr>
            <w:tr w14:paraId="407CB5F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813" w:type="pct"/>
                  <w:vMerge w:val="restart"/>
                  <w:tcBorders>
                    <w:tl2br w:val="nil"/>
                    <w:tr2bl w:val="nil"/>
                  </w:tcBorders>
                  <w:vAlign w:val="center"/>
                </w:tcPr>
                <w:p w14:paraId="1507E93E">
                  <w:pPr>
                    <w:keepNext w:val="0"/>
                    <w:keepLines w:val="0"/>
                    <w:pageBreakBefore w:val="0"/>
                    <w:widowControl w:val="0"/>
                    <w:wordWrap/>
                    <w:topLinePunct w:val="0"/>
                    <w:bidi w:val="0"/>
                    <w:adjustRightInd/>
                    <w:snapToGrid/>
                    <w:spacing w:line="240" w:lineRule="auto"/>
                    <w:jc w:val="center"/>
                    <w:textAlignment w:val="auto"/>
                    <w:rPr>
                      <w:rFonts w:hint="default" w:ascii="Times New Roman" w:hAnsi="Times New Roman" w:eastAsia="宋体" w:cs="Times New Roman"/>
                      <w:color w:val="auto"/>
                      <w:spacing w:val="0"/>
                      <w:kern w:val="0"/>
                      <w:sz w:val="21"/>
                      <w:szCs w:val="21"/>
                      <w:u w:val="none" w:color="auto"/>
                      <w:vertAlign w:val="baseline"/>
                      <w:lang w:val="en-US" w:eastAsia="zh-CN"/>
                    </w:rPr>
                  </w:pPr>
                  <w:r>
                    <w:rPr>
                      <w:rFonts w:hint="default" w:ascii="Times New Roman" w:hAnsi="Times New Roman" w:eastAsia="宋体" w:cs="Times New Roman"/>
                      <w:color w:val="auto"/>
                      <w:spacing w:val="0"/>
                      <w:kern w:val="0"/>
                      <w:sz w:val="21"/>
                      <w:szCs w:val="21"/>
                      <w:u w:val="none" w:color="auto"/>
                      <w:vertAlign w:val="baseline"/>
                      <w:lang w:val="en-US" w:eastAsia="zh-CN"/>
                    </w:rPr>
                    <w:t>DW002</w:t>
                  </w:r>
                </w:p>
              </w:tc>
              <w:tc>
                <w:tcPr>
                  <w:tcW w:w="798" w:type="pct"/>
                  <w:vMerge w:val="restart"/>
                  <w:tcBorders>
                    <w:tl2br w:val="nil"/>
                    <w:tr2bl w:val="nil"/>
                  </w:tcBorders>
                  <w:vAlign w:val="center"/>
                </w:tcPr>
                <w:p w14:paraId="4CFAB0EB">
                  <w:pPr>
                    <w:keepNext w:val="0"/>
                    <w:keepLines w:val="0"/>
                    <w:pageBreakBefore w:val="0"/>
                    <w:widowControl w:val="0"/>
                    <w:wordWrap/>
                    <w:topLinePunct w:val="0"/>
                    <w:bidi w:val="0"/>
                    <w:adjustRightInd/>
                    <w:snapToGrid/>
                    <w:spacing w:line="240" w:lineRule="auto"/>
                    <w:jc w:val="center"/>
                    <w:textAlignment w:val="auto"/>
                    <w:rPr>
                      <w:rFonts w:hint="default" w:ascii="Times New Roman" w:hAnsi="Times New Roman" w:eastAsia="宋体" w:cs="Times New Roman"/>
                      <w:color w:val="auto"/>
                      <w:spacing w:val="0"/>
                      <w:kern w:val="0"/>
                      <w:sz w:val="21"/>
                      <w:szCs w:val="21"/>
                      <w:u w:val="none" w:color="auto"/>
                      <w:vertAlign w:val="baseline"/>
                      <w:lang w:val="en-US" w:eastAsia="zh-CN"/>
                    </w:rPr>
                  </w:pPr>
                  <w:r>
                    <w:rPr>
                      <w:rFonts w:hint="default" w:ascii="Times New Roman" w:hAnsi="Times New Roman" w:eastAsia="宋体" w:cs="Times New Roman"/>
                      <w:color w:val="auto"/>
                      <w:spacing w:val="0"/>
                      <w:sz w:val="21"/>
                      <w:szCs w:val="21"/>
                      <w:u w:val="none" w:color="auto"/>
                      <w:lang w:val="en-US" w:eastAsia="zh-CN"/>
                    </w:rPr>
                    <w:t>临港高新产业园区</w:t>
                  </w:r>
                </w:p>
              </w:tc>
              <w:tc>
                <w:tcPr>
                  <w:tcW w:w="1752" w:type="pct"/>
                  <w:tcBorders>
                    <w:tl2br w:val="nil"/>
                    <w:tr2bl w:val="nil"/>
                  </w:tcBorders>
                  <w:vAlign w:val="center"/>
                </w:tcPr>
                <w:p w14:paraId="5C29DC60">
                  <w:pPr>
                    <w:keepNext w:val="0"/>
                    <w:keepLines w:val="0"/>
                    <w:pageBreakBefore w:val="0"/>
                    <w:widowControl w:val="0"/>
                    <w:wordWrap/>
                    <w:topLinePunct w:val="0"/>
                    <w:bidi w:val="0"/>
                    <w:adjustRightInd/>
                    <w:snapToGrid/>
                    <w:spacing w:line="240" w:lineRule="auto"/>
                    <w:jc w:val="center"/>
                    <w:textAlignment w:val="auto"/>
                    <w:rPr>
                      <w:rFonts w:hint="default" w:ascii="Times New Roman" w:hAnsi="Times New Roman" w:eastAsia="宋体" w:cs="Times New Roman"/>
                      <w:color w:val="auto"/>
                      <w:spacing w:val="0"/>
                      <w:kern w:val="0"/>
                      <w:sz w:val="21"/>
                      <w:szCs w:val="21"/>
                      <w:u w:val="none" w:color="auto"/>
                      <w:vertAlign w:val="baseline"/>
                      <w:lang w:val="en-US" w:eastAsia="zh-CN"/>
                    </w:rPr>
                  </w:pPr>
                  <w:r>
                    <w:rPr>
                      <w:rFonts w:hint="default" w:ascii="Times New Roman" w:hAnsi="Times New Roman" w:eastAsia="宋体" w:cs="Times New Roman"/>
                      <w:color w:val="auto"/>
                      <w:spacing w:val="0"/>
                      <w:kern w:val="0"/>
                      <w:sz w:val="21"/>
                      <w:szCs w:val="21"/>
                      <w:u w:val="none" w:color="auto"/>
                      <w:vertAlign w:val="baseline"/>
                      <w:lang w:val="en-US" w:eastAsia="zh-CN"/>
                    </w:rPr>
                    <w:t>流量、pH、COD、NH</w:t>
                  </w:r>
                  <w:r>
                    <w:rPr>
                      <w:rFonts w:hint="default" w:ascii="Times New Roman" w:hAnsi="Times New Roman" w:eastAsia="宋体" w:cs="Times New Roman"/>
                      <w:color w:val="auto"/>
                      <w:spacing w:val="0"/>
                      <w:kern w:val="0"/>
                      <w:sz w:val="21"/>
                      <w:szCs w:val="21"/>
                      <w:u w:val="none" w:color="auto"/>
                      <w:vertAlign w:val="subscript"/>
                      <w:lang w:val="en-US" w:eastAsia="zh-CN"/>
                    </w:rPr>
                    <w:t>3</w:t>
                  </w:r>
                  <w:r>
                    <w:rPr>
                      <w:rFonts w:hint="default" w:ascii="Times New Roman" w:hAnsi="Times New Roman" w:eastAsia="宋体" w:cs="Times New Roman"/>
                      <w:color w:val="auto"/>
                      <w:spacing w:val="0"/>
                      <w:kern w:val="0"/>
                      <w:sz w:val="21"/>
                      <w:szCs w:val="21"/>
                      <w:u w:val="none" w:color="auto"/>
                      <w:vertAlign w:val="baseline"/>
                      <w:lang w:val="en-US" w:eastAsia="zh-CN"/>
                    </w:rPr>
                    <w:t>-N</w:t>
                  </w:r>
                </w:p>
              </w:tc>
              <w:tc>
                <w:tcPr>
                  <w:tcW w:w="634" w:type="pct"/>
                  <w:tcBorders>
                    <w:tl2br w:val="nil"/>
                    <w:tr2bl w:val="nil"/>
                  </w:tcBorders>
                  <w:vAlign w:val="center"/>
                </w:tcPr>
                <w:p w14:paraId="73CBAD1B">
                  <w:pPr>
                    <w:keepNext w:val="0"/>
                    <w:keepLines w:val="0"/>
                    <w:pageBreakBefore w:val="0"/>
                    <w:widowControl w:val="0"/>
                    <w:wordWrap/>
                    <w:topLinePunct w:val="0"/>
                    <w:bidi w:val="0"/>
                    <w:adjustRightInd/>
                    <w:snapToGrid/>
                    <w:spacing w:line="240" w:lineRule="auto"/>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自动监测</w:t>
                  </w:r>
                </w:p>
              </w:tc>
              <w:tc>
                <w:tcPr>
                  <w:tcW w:w="1001" w:type="pct"/>
                  <w:tcBorders>
                    <w:tl2br w:val="nil"/>
                    <w:tr2bl w:val="nil"/>
                  </w:tcBorders>
                  <w:vAlign w:val="center"/>
                </w:tcPr>
                <w:p w14:paraId="12F5C85B">
                  <w:pPr>
                    <w:keepNext w:val="0"/>
                    <w:keepLines w:val="0"/>
                    <w:pageBreakBefore w:val="0"/>
                    <w:widowControl w:val="0"/>
                    <w:wordWrap/>
                    <w:topLinePunct w:val="0"/>
                    <w:bidi w:val="0"/>
                    <w:adjustRightInd/>
                    <w:snapToGrid/>
                    <w:spacing w:line="240" w:lineRule="auto"/>
                    <w:jc w:val="center"/>
                    <w:textAlignment w:val="auto"/>
                    <w:rPr>
                      <w:rFonts w:hint="default" w:ascii="Times New Roman" w:hAnsi="Times New Roman" w:eastAsia="宋体" w:cs="Times New Roman"/>
                      <w:color w:val="auto"/>
                      <w:spacing w:val="0"/>
                      <w:kern w:val="0"/>
                      <w:sz w:val="21"/>
                      <w:szCs w:val="21"/>
                      <w:u w:val="none" w:color="auto"/>
                      <w:vertAlign w:val="baseline"/>
                      <w:lang w:val="en-US" w:eastAsia="zh-CN"/>
                    </w:rPr>
                  </w:pPr>
                </w:p>
              </w:tc>
            </w:tr>
            <w:tr w14:paraId="21CC7AC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813" w:type="pct"/>
                  <w:vMerge w:val="continue"/>
                  <w:tcBorders>
                    <w:tl2br w:val="nil"/>
                    <w:tr2bl w:val="nil"/>
                  </w:tcBorders>
                  <w:vAlign w:val="center"/>
                </w:tcPr>
                <w:p w14:paraId="091738C3">
                  <w:pPr>
                    <w:keepNext w:val="0"/>
                    <w:keepLines w:val="0"/>
                    <w:pageBreakBefore w:val="0"/>
                    <w:widowControl w:val="0"/>
                    <w:wordWrap/>
                    <w:topLinePunct w:val="0"/>
                    <w:bidi w:val="0"/>
                    <w:adjustRightInd/>
                    <w:snapToGrid/>
                    <w:spacing w:line="240" w:lineRule="auto"/>
                    <w:jc w:val="center"/>
                    <w:textAlignment w:val="auto"/>
                    <w:rPr>
                      <w:rFonts w:hint="default" w:ascii="Times New Roman" w:hAnsi="Times New Roman" w:eastAsia="宋体" w:cs="Times New Roman"/>
                      <w:color w:val="auto"/>
                      <w:spacing w:val="0"/>
                      <w:kern w:val="0"/>
                      <w:sz w:val="21"/>
                      <w:szCs w:val="21"/>
                      <w:u w:val="none" w:color="auto"/>
                      <w:vertAlign w:val="baseline"/>
                      <w:lang w:val="en-US" w:eastAsia="zh-CN"/>
                    </w:rPr>
                  </w:pPr>
                </w:p>
              </w:tc>
              <w:tc>
                <w:tcPr>
                  <w:tcW w:w="798" w:type="pct"/>
                  <w:vMerge w:val="continue"/>
                  <w:tcBorders>
                    <w:tl2br w:val="nil"/>
                    <w:tr2bl w:val="nil"/>
                  </w:tcBorders>
                  <w:vAlign w:val="center"/>
                </w:tcPr>
                <w:p w14:paraId="4D54E421">
                  <w:pPr>
                    <w:keepNext w:val="0"/>
                    <w:keepLines w:val="0"/>
                    <w:pageBreakBefore w:val="0"/>
                    <w:widowControl w:val="0"/>
                    <w:wordWrap/>
                    <w:topLinePunct w:val="0"/>
                    <w:bidi w:val="0"/>
                    <w:adjustRightInd/>
                    <w:snapToGrid/>
                    <w:spacing w:line="240" w:lineRule="auto"/>
                    <w:jc w:val="center"/>
                    <w:textAlignment w:val="auto"/>
                    <w:rPr>
                      <w:rFonts w:hint="default" w:ascii="Times New Roman" w:hAnsi="Times New Roman" w:eastAsia="宋体" w:cs="Times New Roman"/>
                      <w:color w:val="auto"/>
                      <w:spacing w:val="0"/>
                      <w:kern w:val="0"/>
                      <w:sz w:val="21"/>
                      <w:szCs w:val="21"/>
                      <w:u w:val="none" w:color="auto"/>
                      <w:vertAlign w:val="baseline"/>
                      <w:lang w:val="en-US" w:eastAsia="zh-CN"/>
                    </w:rPr>
                  </w:pPr>
                </w:p>
              </w:tc>
              <w:tc>
                <w:tcPr>
                  <w:tcW w:w="1752" w:type="pct"/>
                  <w:tcBorders>
                    <w:tl2br w:val="nil"/>
                    <w:tr2bl w:val="nil"/>
                  </w:tcBorders>
                  <w:vAlign w:val="center"/>
                </w:tcPr>
                <w:p w14:paraId="5AD3ECF1">
                  <w:pPr>
                    <w:keepNext w:val="0"/>
                    <w:keepLines w:val="0"/>
                    <w:pageBreakBefore w:val="0"/>
                    <w:widowControl w:val="0"/>
                    <w:wordWrap/>
                    <w:topLinePunct w:val="0"/>
                    <w:bidi w:val="0"/>
                    <w:adjustRightInd/>
                    <w:snapToGrid/>
                    <w:spacing w:line="240" w:lineRule="auto"/>
                    <w:jc w:val="center"/>
                    <w:textAlignment w:val="auto"/>
                    <w:rPr>
                      <w:rFonts w:hint="default" w:ascii="Times New Roman" w:hAnsi="Times New Roman" w:eastAsia="宋体" w:cs="Times New Roman"/>
                      <w:color w:val="auto"/>
                      <w:spacing w:val="0"/>
                      <w:kern w:val="0"/>
                      <w:sz w:val="21"/>
                      <w:szCs w:val="21"/>
                      <w:u w:val="none" w:color="auto"/>
                      <w:vertAlign w:val="baseline"/>
                      <w:lang w:val="en-US" w:eastAsia="zh-CN"/>
                    </w:rPr>
                  </w:pPr>
                  <w:r>
                    <w:rPr>
                      <w:rFonts w:hint="default" w:ascii="Times New Roman" w:hAnsi="Times New Roman" w:eastAsia="宋体" w:cs="Times New Roman"/>
                      <w:color w:val="auto"/>
                      <w:spacing w:val="0"/>
                      <w:kern w:val="0"/>
                      <w:sz w:val="21"/>
                      <w:szCs w:val="21"/>
                      <w:u w:val="none" w:color="auto"/>
                      <w:vertAlign w:val="baseline"/>
                      <w:lang w:val="en-US" w:eastAsia="zh-CN"/>
                    </w:rPr>
                    <w:t>BOD</w:t>
                  </w:r>
                  <w:r>
                    <w:rPr>
                      <w:rFonts w:hint="default" w:ascii="Times New Roman" w:hAnsi="Times New Roman" w:eastAsia="宋体" w:cs="Times New Roman"/>
                      <w:color w:val="auto"/>
                      <w:spacing w:val="0"/>
                      <w:kern w:val="0"/>
                      <w:sz w:val="21"/>
                      <w:szCs w:val="21"/>
                      <w:u w:val="none" w:color="auto"/>
                      <w:vertAlign w:val="subscript"/>
                      <w:lang w:val="en-US" w:eastAsia="zh-CN"/>
                    </w:rPr>
                    <w:t>5</w:t>
                  </w:r>
                  <w:r>
                    <w:rPr>
                      <w:rFonts w:hint="default" w:ascii="Times New Roman" w:hAnsi="Times New Roman" w:eastAsia="宋体" w:cs="Times New Roman"/>
                      <w:color w:val="auto"/>
                      <w:spacing w:val="0"/>
                      <w:kern w:val="0"/>
                      <w:sz w:val="21"/>
                      <w:szCs w:val="21"/>
                      <w:u w:val="none" w:color="auto"/>
                      <w:vertAlign w:val="baseline"/>
                      <w:lang w:val="en-US" w:eastAsia="zh-CN"/>
                    </w:rPr>
                    <w:t>、SS、TN、TP、石油类、LAS</w:t>
                  </w:r>
                </w:p>
              </w:tc>
              <w:tc>
                <w:tcPr>
                  <w:tcW w:w="634" w:type="pct"/>
                  <w:tcBorders>
                    <w:tl2br w:val="nil"/>
                    <w:tr2bl w:val="nil"/>
                  </w:tcBorders>
                  <w:vAlign w:val="center"/>
                </w:tcPr>
                <w:p w14:paraId="522F0467">
                  <w:pPr>
                    <w:keepNext w:val="0"/>
                    <w:keepLines w:val="0"/>
                    <w:pageBreakBefore w:val="0"/>
                    <w:widowControl w:val="0"/>
                    <w:wordWrap/>
                    <w:topLinePunct w:val="0"/>
                    <w:bidi w:val="0"/>
                    <w:adjustRightInd/>
                    <w:snapToGrid/>
                    <w:spacing w:line="240" w:lineRule="auto"/>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1次/季度</w:t>
                  </w:r>
                </w:p>
              </w:tc>
              <w:tc>
                <w:tcPr>
                  <w:tcW w:w="1001" w:type="pct"/>
                  <w:tcBorders>
                    <w:tl2br w:val="nil"/>
                    <w:tr2bl w:val="nil"/>
                  </w:tcBorders>
                  <w:vAlign w:val="center"/>
                </w:tcPr>
                <w:p w14:paraId="2D5DCDBC">
                  <w:pPr>
                    <w:keepNext w:val="0"/>
                    <w:keepLines w:val="0"/>
                    <w:pageBreakBefore w:val="0"/>
                    <w:widowControl w:val="0"/>
                    <w:wordWrap/>
                    <w:topLinePunct w:val="0"/>
                    <w:bidi w:val="0"/>
                    <w:adjustRightInd/>
                    <w:snapToGrid/>
                    <w:spacing w:line="240" w:lineRule="auto"/>
                    <w:jc w:val="center"/>
                    <w:textAlignment w:val="auto"/>
                    <w:rPr>
                      <w:rFonts w:hint="default" w:ascii="Times New Roman" w:hAnsi="Times New Roman" w:eastAsia="宋体" w:cs="Times New Roman"/>
                      <w:color w:val="auto"/>
                      <w:spacing w:val="0"/>
                      <w:kern w:val="0"/>
                      <w:sz w:val="21"/>
                      <w:szCs w:val="21"/>
                      <w:u w:val="none" w:color="auto"/>
                      <w:vertAlign w:val="baseline"/>
                      <w:lang w:val="en-US" w:eastAsia="zh-CN"/>
                    </w:rPr>
                  </w:pPr>
                </w:p>
              </w:tc>
            </w:tr>
            <w:tr w14:paraId="4489F3C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813" w:type="pct"/>
                  <w:tcBorders>
                    <w:tl2br w:val="nil"/>
                    <w:tr2bl w:val="nil"/>
                  </w:tcBorders>
                  <w:vAlign w:val="center"/>
                </w:tcPr>
                <w:p w14:paraId="69C1A58E">
                  <w:pPr>
                    <w:keepNext w:val="0"/>
                    <w:keepLines w:val="0"/>
                    <w:pageBreakBefore w:val="0"/>
                    <w:widowControl w:val="0"/>
                    <w:wordWrap/>
                    <w:topLinePunct w:val="0"/>
                    <w:bidi w:val="0"/>
                    <w:adjustRightInd/>
                    <w:snapToGrid/>
                    <w:spacing w:line="240" w:lineRule="auto"/>
                    <w:jc w:val="center"/>
                    <w:textAlignment w:val="auto"/>
                    <w:rPr>
                      <w:rFonts w:hint="default" w:ascii="Times New Roman" w:hAnsi="Times New Roman" w:eastAsia="宋体" w:cs="Times New Roman"/>
                      <w:color w:val="auto"/>
                      <w:spacing w:val="0"/>
                      <w:kern w:val="0"/>
                      <w:sz w:val="21"/>
                      <w:szCs w:val="21"/>
                      <w:u w:val="none" w:color="auto"/>
                      <w:vertAlign w:val="baseline"/>
                      <w:lang w:val="en-US" w:eastAsia="zh-CN"/>
                    </w:rPr>
                  </w:pPr>
                  <w:r>
                    <w:rPr>
                      <w:rFonts w:hint="default" w:ascii="Times New Roman" w:hAnsi="Times New Roman" w:eastAsia="宋体" w:cs="Times New Roman"/>
                      <w:color w:val="auto"/>
                      <w:spacing w:val="0"/>
                      <w:kern w:val="0"/>
                      <w:sz w:val="21"/>
                      <w:szCs w:val="21"/>
                      <w:u w:val="none" w:color="auto"/>
                      <w:vertAlign w:val="baseline"/>
                      <w:lang w:val="en-US" w:eastAsia="zh-CN"/>
                    </w:rPr>
                    <w:t>DW003、DW004、DW005</w:t>
                  </w:r>
                </w:p>
              </w:tc>
              <w:tc>
                <w:tcPr>
                  <w:tcW w:w="798" w:type="pct"/>
                  <w:vMerge w:val="continue"/>
                  <w:tcBorders>
                    <w:tl2br w:val="nil"/>
                    <w:tr2bl w:val="nil"/>
                  </w:tcBorders>
                  <w:vAlign w:val="center"/>
                </w:tcPr>
                <w:p w14:paraId="20A4CE01">
                  <w:pPr>
                    <w:keepNext w:val="0"/>
                    <w:keepLines w:val="0"/>
                    <w:pageBreakBefore w:val="0"/>
                    <w:widowControl w:val="0"/>
                    <w:wordWrap/>
                    <w:topLinePunct w:val="0"/>
                    <w:bidi w:val="0"/>
                    <w:adjustRightInd/>
                    <w:snapToGrid/>
                    <w:spacing w:line="240" w:lineRule="auto"/>
                    <w:jc w:val="center"/>
                    <w:textAlignment w:val="auto"/>
                    <w:rPr>
                      <w:rFonts w:hint="default" w:ascii="Times New Roman" w:hAnsi="Times New Roman" w:eastAsia="宋体" w:cs="Times New Roman"/>
                      <w:color w:val="auto"/>
                      <w:spacing w:val="0"/>
                      <w:kern w:val="0"/>
                      <w:sz w:val="21"/>
                      <w:szCs w:val="21"/>
                      <w:u w:val="none" w:color="auto"/>
                      <w:vertAlign w:val="baseline"/>
                      <w:lang w:val="en-US" w:eastAsia="zh-CN"/>
                    </w:rPr>
                  </w:pPr>
                </w:p>
              </w:tc>
              <w:tc>
                <w:tcPr>
                  <w:tcW w:w="1752" w:type="pct"/>
                  <w:tcBorders>
                    <w:tl2br w:val="nil"/>
                    <w:tr2bl w:val="nil"/>
                  </w:tcBorders>
                  <w:vAlign w:val="center"/>
                </w:tcPr>
                <w:p w14:paraId="6658659D">
                  <w:pPr>
                    <w:keepNext w:val="0"/>
                    <w:keepLines w:val="0"/>
                    <w:pageBreakBefore w:val="0"/>
                    <w:widowControl w:val="0"/>
                    <w:wordWrap/>
                    <w:topLinePunct w:val="0"/>
                    <w:bidi w:val="0"/>
                    <w:adjustRightInd/>
                    <w:snapToGrid/>
                    <w:spacing w:line="240" w:lineRule="auto"/>
                    <w:jc w:val="center"/>
                    <w:textAlignment w:val="auto"/>
                    <w:rPr>
                      <w:rFonts w:hint="default" w:ascii="Times New Roman" w:hAnsi="Times New Roman" w:eastAsia="宋体" w:cs="Times New Roman"/>
                      <w:color w:val="auto"/>
                      <w:spacing w:val="0"/>
                      <w:kern w:val="0"/>
                      <w:sz w:val="21"/>
                      <w:szCs w:val="21"/>
                      <w:u w:val="none" w:color="auto"/>
                      <w:vertAlign w:val="baseline"/>
                      <w:lang w:val="en-US" w:eastAsia="zh-CN"/>
                    </w:rPr>
                  </w:pPr>
                  <w:r>
                    <w:rPr>
                      <w:rFonts w:hint="default" w:ascii="Times New Roman" w:hAnsi="Times New Roman" w:eastAsia="宋体" w:cs="Times New Roman"/>
                      <w:color w:val="auto"/>
                      <w:spacing w:val="0"/>
                      <w:kern w:val="0"/>
                      <w:sz w:val="21"/>
                      <w:szCs w:val="21"/>
                      <w:u w:val="none" w:color="auto"/>
                      <w:vertAlign w:val="baseline"/>
                      <w:lang w:val="en-US" w:eastAsia="zh-CN"/>
                    </w:rPr>
                    <w:t>pH、COD、BOD</w:t>
                  </w:r>
                  <w:r>
                    <w:rPr>
                      <w:rFonts w:hint="default" w:ascii="Times New Roman" w:hAnsi="Times New Roman" w:eastAsia="宋体" w:cs="Times New Roman"/>
                      <w:color w:val="auto"/>
                      <w:spacing w:val="0"/>
                      <w:kern w:val="0"/>
                      <w:sz w:val="21"/>
                      <w:szCs w:val="21"/>
                      <w:u w:val="none" w:color="auto"/>
                      <w:vertAlign w:val="subscript"/>
                      <w:lang w:val="en-US" w:eastAsia="zh-CN"/>
                    </w:rPr>
                    <w:t>5</w:t>
                  </w:r>
                  <w:r>
                    <w:rPr>
                      <w:rFonts w:hint="default" w:ascii="Times New Roman" w:hAnsi="Times New Roman" w:eastAsia="宋体" w:cs="Times New Roman"/>
                      <w:color w:val="auto"/>
                      <w:spacing w:val="0"/>
                      <w:kern w:val="0"/>
                      <w:sz w:val="21"/>
                      <w:szCs w:val="21"/>
                      <w:u w:val="none" w:color="auto"/>
                      <w:vertAlign w:val="baseline"/>
                      <w:lang w:val="en-US" w:eastAsia="zh-CN"/>
                    </w:rPr>
                    <w:t>、SS、NH</w:t>
                  </w:r>
                  <w:r>
                    <w:rPr>
                      <w:rFonts w:hint="default" w:ascii="Times New Roman" w:hAnsi="Times New Roman" w:eastAsia="宋体" w:cs="Times New Roman"/>
                      <w:color w:val="auto"/>
                      <w:spacing w:val="0"/>
                      <w:kern w:val="0"/>
                      <w:sz w:val="21"/>
                      <w:szCs w:val="21"/>
                      <w:u w:val="none" w:color="auto"/>
                      <w:vertAlign w:val="subscript"/>
                      <w:lang w:val="en-US" w:eastAsia="zh-CN"/>
                    </w:rPr>
                    <w:t>3</w:t>
                  </w:r>
                  <w:r>
                    <w:rPr>
                      <w:rFonts w:hint="default" w:ascii="Times New Roman" w:hAnsi="Times New Roman" w:eastAsia="宋体" w:cs="Times New Roman"/>
                      <w:color w:val="auto"/>
                      <w:spacing w:val="0"/>
                      <w:kern w:val="0"/>
                      <w:sz w:val="21"/>
                      <w:szCs w:val="21"/>
                      <w:u w:val="none" w:color="auto"/>
                      <w:vertAlign w:val="baseline"/>
                      <w:lang w:val="en-US" w:eastAsia="zh-CN"/>
                    </w:rPr>
                    <w:t>-N、TN、TP、动植物油</w:t>
                  </w:r>
                </w:p>
              </w:tc>
              <w:tc>
                <w:tcPr>
                  <w:tcW w:w="634" w:type="pct"/>
                  <w:tcBorders>
                    <w:tl2br w:val="nil"/>
                    <w:tr2bl w:val="nil"/>
                  </w:tcBorders>
                  <w:vAlign w:val="center"/>
                </w:tcPr>
                <w:p w14:paraId="2E0D6DB2">
                  <w:pPr>
                    <w:keepNext w:val="0"/>
                    <w:keepLines w:val="0"/>
                    <w:pageBreakBefore w:val="0"/>
                    <w:widowControl w:val="0"/>
                    <w:wordWrap/>
                    <w:topLinePunct w:val="0"/>
                    <w:bidi w:val="0"/>
                    <w:adjustRightInd/>
                    <w:snapToGrid/>
                    <w:spacing w:line="240" w:lineRule="auto"/>
                    <w:jc w:val="center"/>
                    <w:textAlignment w:val="auto"/>
                    <w:rPr>
                      <w:rFonts w:hint="default" w:ascii="Times New Roman" w:hAnsi="Times New Roman" w:eastAsia="宋体" w:cs="Times New Roman"/>
                      <w:color w:val="auto"/>
                      <w:spacing w:val="0"/>
                      <w:kern w:val="0"/>
                      <w:sz w:val="21"/>
                      <w:szCs w:val="21"/>
                      <w:u w:val="none" w:color="auto"/>
                      <w:vertAlign w:val="baseline"/>
                      <w:lang w:val="en-US" w:eastAsia="zh-CN"/>
                    </w:rPr>
                  </w:pPr>
                  <w:r>
                    <w:rPr>
                      <w:rFonts w:hint="default" w:ascii="Times New Roman" w:hAnsi="Times New Roman" w:eastAsia="宋体" w:cs="Times New Roman"/>
                      <w:color w:val="auto"/>
                      <w:spacing w:val="0"/>
                      <w:kern w:val="0"/>
                      <w:sz w:val="21"/>
                      <w:szCs w:val="21"/>
                      <w:u w:val="none" w:color="auto"/>
                      <w:vertAlign w:val="baseline"/>
                      <w:lang w:val="en-US" w:eastAsia="zh-CN"/>
                    </w:rPr>
                    <w:t>/</w:t>
                  </w:r>
                </w:p>
              </w:tc>
              <w:tc>
                <w:tcPr>
                  <w:tcW w:w="1001" w:type="pct"/>
                  <w:tcBorders>
                    <w:tl2br w:val="nil"/>
                    <w:tr2bl w:val="nil"/>
                  </w:tcBorders>
                  <w:vAlign w:val="center"/>
                </w:tcPr>
                <w:p w14:paraId="6073944B">
                  <w:pPr>
                    <w:keepNext w:val="0"/>
                    <w:keepLines w:val="0"/>
                    <w:pageBreakBefore w:val="0"/>
                    <w:widowControl w:val="0"/>
                    <w:wordWrap/>
                    <w:topLinePunct w:val="0"/>
                    <w:bidi w:val="0"/>
                    <w:adjustRightInd/>
                    <w:snapToGrid/>
                    <w:spacing w:line="240" w:lineRule="auto"/>
                    <w:jc w:val="center"/>
                    <w:textAlignment w:val="auto"/>
                    <w:rPr>
                      <w:rFonts w:hint="default" w:ascii="Times New Roman" w:hAnsi="Times New Roman" w:eastAsia="宋体" w:cs="Times New Roman"/>
                      <w:color w:val="auto"/>
                      <w:spacing w:val="0"/>
                      <w:kern w:val="0"/>
                      <w:sz w:val="21"/>
                      <w:szCs w:val="21"/>
                      <w:u w:val="none" w:color="auto"/>
                      <w:vertAlign w:val="baseline"/>
                      <w:lang w:val="en-US" w:eastAsia="zh-CN"/>
                    </w:rPr>
                  </w:pPr>
                  <w:r>
                    <w:rPr>
                      <w:rFonts w:hint="default" w:ascii="Times New Roman" w:hAnsi="Times New Roman" w:eastAsia="宋体" w:cs="Times New Roman"/>
                      <w:color w:val="auto"/>
                      <w:spacing w:val="0"/>
                      <w:kern w:val="0"/>
                      <w:sz w:val="21"/>
                      <w:szCs w:val="21"/>
                      <w:u w:val="none" w:color="auto"/>
                      <w:vertAlign w:val="baseline"/>
                      <w:lang w:val="en-US" w:eastAsia="zh-CN"/>
                    </w:rPr>
                    <w:t>根据</w:t>
                  </w:r>
                  <w:r>
                    <w:rPr>
                      <w:rFonts w:hint="default" w:ascii="Times New Roman" w:hAnsi="Times New Roman" w:eastAsia="宋体" w:cs="Times New Roman"/>
                      <w:color w:val="auto"/>
                      <w:spacing w:val="0"/>
                      <w:sz w:val="21"/>
                      <w:szCs w:val="21"/>
                      <w:highlight w:val="none"/>
                      <w:u w:val="none" w:color="auto"/>
                      <w:lang w:val="en-US" w:eastAsia="zh-CN"/>
                    </w:rPr>
                    <w:t>（HJ 971-2018）</w:t>
                  </w:r>
                  <w:r>
                    <w:rPr>
                      <w:rFonts w:hint="default" w:ascii="Times New Roman" w:hAnsi="Times New Roman" w:eastAsia="宋体" w:cs="Times New Roman"/>
                      <w:color w:val="auto"/>
                      <w:spacing w:val="0"/>
                      <w:kern w:val="0"/>
                      <w:sz w:val="21"/>
                      <w:szCs w:val="21"/>
                      <w:u w:val="none" w:color="auto"/>
                      <w:vertAlign w:val="baseline"/>
                      <w:lang w:val="en-US" w:eastAsia="zh-CN"/>
                    </w:rPr>
                    <w:t>规范，间接生活污水排放口无需开展监测</w:t>
                  </w:r>
                </w:p>
              </w:tc>
            </w:tr>
          </w:tbl>
          <w:p w14:paraId="43CA8C52">
            <w:pPr>
              <w:adjustRightInd w:val="0"/>
              <w:snapToGrid w:val="0"/>
              <w:spacing w:line="360" w:lineRule="auto"/>
              <w:ind w:firstLine="482" w:firstLineChars="200"/>
              <w:rPr>
                <w:rFonts w:hint="default" w:ascii="Times New Roman" w:hAnsi="Times New Roman" w:eastAsia="宋体" w:cs="Times New Roman"/>
                <w:b/>
                <w:color w:val="auto"/>
                <w:spacing w:val="0"/>
                <w:sz w:val="24"/>
                <w:u w:val="none" w:color="auto"/>
              </w:rPr>
            </w:pPr>
            <w:r>
              <w:rPr>
                <w:rFonts w:hint="default" w:ascii="Times New Roman" w:hAnsi="Times New Roman" w:eastAsia="宋体" w:cs="Times New Roman"/>
                <w:b/>
                <w:color w:val="auto"/>
                <w:spacing w:val="0"/>
                <w:sz w:val="24"/>
                <w:u w:val="none" w:color="auto"/>
              </w:rPr>
              <w:t>三、噪声</w:t>
            </w:r>
          </w:p>
          <w:p w14:paraId="7CBD02D5">
            <w:pPr>
              <w:adjustRightInd w:val="0"/>
              <w:snapToGrid w:val="0"/>
              <w:spacing w:line="360" w:lineRule="auto"/>
              <w:ind w:firstLine="482" w:firstLineChars="200"/>
              <w:rPr>
                <w:rFonts w:hint="default" w:ascii="Times New Roman" w:hAnsi="Times New Roman" w:eastAsia="宋体" w:cs="Times New Roman"/>
                <w:b/>
                <w:bCs/>
                <w:color w:val="auto"/>
                <w:spacing w:val="0"/>
                <w:kern w:val="0"/>
                <w:sz w:val="24"/>
                <w:u w:val="none" w:color="auto"/>
              </w:rPr>
            </w:pPr>
            <w:r>
              <w:rPr>
                <w:rFonts w:hint="default" w:ascii="Times New Roman" w:hAnsi="Times New Roman" w:eastAsia="宋体" w:cs="Times New Roman"/>
                <w:b/>
                <w:bCs/>
                <w:color w:val="auto"/>
                <w:spacing w:val="0"/>
                <w:kern w:val="0"/>
                <w:sz w:val="24"/>
                <w:u w:val="none" w:color="auto"/>
              </w:rPr>
              <w:t>1、源强分析</w:t>
            </w:r>
          </w:p>
          <w:p w14:paraId="19927525">
            <w:pPr>
              <w:adjustRightInd w:val="0"/>
              <w:snapToGrid w:val="0"/>
              <w:spacing w:line="360" w:lineRule="auto"/>
              <w:ind w:firstLine="480" w:firstLineChars="200"/>
              <w:rPr>
                <w:rFonts w:hint="default" w:ascii="Times New Roman" w:hAnsi="Times New Roman" w:eastAsia="宋体" w:cs="Times New Roman"/>
                <w:color w:val="auto"/>
                <w:spacing w:val="0"/>
                <w:kern w:val="0"/>
                <w:sz w:val="24"/>
                <w:u w:val="none" w:color="auto"/>
              </w:rPr>
            </w:pPr>
            <w:r>
              <w:rPr>
                <w:rFonts w:hint="default" w:ascii="Times New Roman" w:hAnsi="Times New Roman" w:eastAsia="宋体" w:cs="Times New Roman"/>
                <w:color w:val="auto"/>
                <w:spacing w:val="0"/>
                <w:kern w:val="0"/>
                <w:sz w:val="24"/>
                <w:u w:val="none" w:color="auto"/>
              </w:rPr>
              <w:t>项目主要噪声</w:t>
            </w:r>
            <w:r>
              <w:rPr>
                <w:rFonts w:hint="default" w:ascii="Times New Roman" w:hAnsi="Times New Roman" w:eastAsia="宋体" w:cs="Times New Roman"/>
                <w:color w:val="auto"/>
                <w:spacing w:val="0"/>
                <w:kern w:val="0"/>
                <w:sz w:val="24"/>
                <w:u w:val="none" w:color="auto"/>
                <w:lang w:val="en-US" w:eastAsia="zh-CN"/>
              </w:rPr>
              <w:t>设备</w:t>
            </w:r>
            <w:r>
              <w:rPr>
                <w:rFonts w:hint="default" w:ascii="Times New Roman" w:hAnsi="Times New Roman" w:eastAsia="宋体" w:cs="Times New Roman"/>
                <w:color w:val="auto"/>
                <w:spacing w:val="0"/>
                <w:kern w:val="0"/>
                <w:sz w:val="24"/>
                <w:u w:val="none" w:color="auto"/>
              </w:rPr>
              <w:t>具体如下。</w:t>
            </w:r>
          </w:p>
          <w:p w14:paraId="4ACE050B">
            <w:pPr>
              <w:pStyle w:val="75"/>
              <w:ind w:firstLine="0"/>
              <w:jc w:val="center"/>
              <w:rPr>
                <w:rFonts w:hint="default" w:ascii="Times New Roman" w:hAnsi="Times New Roman" w:eastAsia="宋体" w:cs="Times New Roman"/>
                <w:b/>
                <w:bCs/>
                <w:color w:val="auto"/>
                <w:spacing w:val="0"/>
                <w:szCs w:val="21"/>
                <w:u w:val="none" w:color="auto"/>
              </w:rPr>
            </w:pPr>
            <w:r>
              <w:rPr>
                <w:rFonts w:hint="default" w:ascii="Times New Roman" w:hAnsi="Times New Roman" w:eastAsia="宋体" w:cs="Times New Roman"/>
                <w:b/>
                <w:bCs/>
                <w:color w:val="auto"/>
                <w:spacing w:val="0"/>
                <w:szCs w:val="21"/>
                <w:u w:val="none" w:color="auto"/>
              </w:rPr>
              <w:t>表4-</w:t>
            </w:r>
            <w:r>
              <w:rPr>
                <w:rFonts w:hint="default" w:ascii="Times New Roman" w:hAnsi="Times New Roman" w:eastAsia="宋体" w:cs="Times New Roman"/>
                <w:b/>
                <w:bCs/>
                <w:color w:val="auto"/>
                <w:spacing w:val="0"/>
                <w:szCs w:val="21"/>
                <w:u w:val="none" w:color="auto"/>
                <w:lang w:val="en-US" w:eastAsia="zh-CN"/>
              </w:rPr>
              <w:t>31</w:t>
            </w:r>
            <w:r>
              <w:rPr>
                <w:rFonts w:hint="default" w:ascii="Times New Roman" w:hAnsi="Times New Roman" w:eastAsia="宋体" w:cs="Times New Roman"/>
                <w:b/>
                <w:bCs/>
                <w:color w:val="auto"/>
                <w:spacing w:val="0"/>
                <w:szCs w:val="21"/>
                <w:u w:val="none" w:color="auto"/>
              </w:rPr>
              <w:t xml:space="preserve"> 设备噪声源强一览表</w:t>
            </w:r>
          </w:p>
          <w:tbl>
            <w:tblPr>
              <w:tblStyle w:val="31"/>
              <w:tblW w:w="4996"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15" w:type="dxa"/>
                <w:left w:w="15" w:type="dxa"/>
                <w:bottom w:w="15" w:type="dxa"/>
                <w:right w:w="15" w:type="dxa"/>
              </w:tblCellMar>
            </w:tblPr>
            <w:tblGrid>
              <w:gridCol w:w="1299"/>
              <w:gridCol w:w="751"/>
              <w:gridCol w:w="848"/>
              <w:gridCol w:w="1201"/>
              <w:gridCol w:w="1662"/>
              <w:gridCol w:w="1577"/>
              <w:gridCol w:w="1170"/>
              <w:gridCol w:w="3"/>
            </w:tblGrid>
            <w:tr w14:paraId="652238D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gridAfter w:val="1"/>
                <w:wAfter w:w="3" w:type="pct"/>
                <w:trHeight w:val="23" w:hRule="atLeast"/>
              </w:trPr>
              <w:tc>
                <w:tcPr>
                  <w:tcW w:w="661" w:type="pct"/>
                  <w:tcBorders>
                    <w:tl2br w:val="nil"/>
                    <w:tr2bl w:val="nil"/>
                  </w:tcBorders>
                  <w:noWrap w:val="0"/>
                  <w:tcMar>
                    <w:top w:w="135" w:type="dxa"/>
                    <w:left w:w="270" w:type="dxa"/>
                    <w:bottom w:w="135" w:type="dxa"/>
                    <w:right w:w="270" w:type="dxa"/>
                  </w:tcMar>
                  <w:vAlign w:val="center"/>
                </w:tcPr>
                <w:p w14:paraId="15088884">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b/>
                      <w:bCs/>
                      <w:color w:val="auto"/>
                      <w:kern w:val="21"/>
                      <w:sz w:val="21"/>
                      <w:szCs w:val="21"/>
                      <w:u w:val="none" w:color="auto"/>
                    </w:rPr>
                  </w:pPr>
                  <w:r>
                    <w:rPr>
                      <w:rFonts w:hint="default" w:ascii="Times New Roman" w:hAnsi="Times New Roman" w:eastAsia="宋体" w:cs="Times New Roman"/>
                      <w:b/>
                      <w:bCs/>
                      <w:color w:val="auto"/>
                      <w:kern w:val="21"/>
                      <w:sz w:val="21"/>
                      <w:szCs w:val="21"/>
                      <w:u w:val="none" w:color="auto"/>
                      <w:lang w:val="en-US" w:eastAsia="zh-CN" w:bidi="ar"/>
                    </w:rPr>
                    <w:t>设备名称</w:t>
                  </w:r>
                </w:p>
              </w:tc>
              <w:tc>
                <w:tcPr>
                  <w:tcW w:w="398" w:type="pct"/>
                  <w:tcBorders>
                    <w:tl2br w:val="nil"/>
                    <w:tr2bl w:val="nil"/>
                  </w:tcBorders>
                  <w:noWrap w:val="0"/>
                  <w:tcMar>
                    <w:top w:w="135" w:type="dxa"/>
                    <w:left w:w="270" w:type="dxa"/>
                    <w:bottom w:w="135" w:type="dxa"/>
                    <w:right w:w="270" w:type="dxa"/>
                  </w:tcMar>
                  <w:vAlign w:val="center"/>
                </w:tcPr>
                <w:p w14:paraId="33D268AD">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b/>
                      <w:bCs/>
                      <w:color w:val="auto"/>
                      <w:kern w:val="21"/>
                      <w:sz w:val="21"/>
                      <w:szCs w:val="21"/>
                      <w:u w:val="none" w:color="auto"/>
                    </w:rPr>
                  </w:pPr>
                  <w:r>
                    <w:rPr>
                      <w:rFonts w:hint="default" w:ascii="Times New Roman" w:hAnsi="Times New Roman" w:eastAsia="宋体" w:cs="Times New Roman"/>
                      <w:b/>
                      <w:bCs/>
                      <w:color w:val="auto"/>
                      <w:kern w:val="21"/>
                      <w:sz w:val="21"/>
                      <w:szCs w:val="21"/>
                      <w:u w:val="none" w:color="auto"/>
                      <w:lang w:val="en-US" w:eastAsia="zh-CN" w:bidi="ar"/>
                    </w:rPr>
                    <w:t>单位</w:t>
                  </w:r>
                </w:p>
              </w:tc>
              <w:tc>
                <w:tcPr>
                  <w:tcW w:w="527" w:type="pct"/>
                  <w:tcBorders>
                    <w:tl2br w:val="nil"/>
                    <w:tr2bl w:val="nil"/>
                  </w:tcBorders>
                  <w:noWrap w:val="0"/>
                  <w:tcMar>
                    <w:top w:w="135" w:type="dxa"/>
                    <w:left w:w="270" w:type="dxa"/>
                    <w:bottom w:w="135" w:type="dxa"/>
                    <w:right w:w="270" w:type="dxa"/>
                  </w:tcMar>
                  <w:vAlign w:val="center"/>
                </w:tcPr>
                <w:p w14:paraId="2FC5B881">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b/>
                      <w:bCs/>
                      <w:color w:val="auto"/>
                      <w:kern w:val="21"/>
                      <w:sz w:val="21"/>
                      <w:szCs w:val="21"/>
                      <w:u w:val="none" w:color="auto"/>
                    </w:rPr>
                  </w:pPr>
                  <w:r>
                    <w:rPr>
                      <w:rFonts w:hint="default" w:ascii="Times New Roman" w:hAnsi="Times New Roman" w:eastAsia="宋体" w:cs="Times New Roman"/>
                      <w:b/>
                      <w:bCs/>
                      <w:color w:val="auto"/>
                      <w:kern w:val="21"/>
                      <w:sz w:val="21"/>
                      <w:szCs w:val="21"/>
                      <w:u w:val="none" w:color="auto"/>
                      <w:lang w:val="en-US" w:eastAsia="zh-CN" w:bidi="ar"/>
                    </w:rPr>
                    <w:t>数量</w:t>
                  </w:r>
                </w:p>
              </w:tc>
              <w:tc>
                <w:tcPr>
                  <w:tcW w:w="734" w:type="pct"/>
                  <w:tcBorders>
                    <w:tl2br w:val="nil"/>
                    <w:tr2bl w:val="nil"/>
                  </w:tcBorders>
                  <w:noWrap w:val="0"/>
                  <w:tcMar>
                    <w:top w:w="135" w:type="dxa"/>
                    <w:left w:w="270" w:type="dxa"/>
                    <w:bottom w:w="135" w:type="dxa"/>
                    <w:right w:w="270" w:type="dxa"/>
                  </w:tcMar>
                  <w:vAlign w:val="center"/>
                </w:tcPr>
                <w:p w14:paraId="0355E90E">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b/>
                      <w:bCs/>
                      <w:color w:val="auto"/>
                      <w:kern w:val="21"/>
                      <w:sz w:val="21"/>
                      <w:szCs w:val="21"/>
                      <w:u w:val="none" w:color="auto"/>
                    </w:rPr>
                  </w:pPr>
                  <w:r>
                    <w:rPr>
                      <w:rFonts w:hint="default" w:ascii="Times New Roman" w:hAnsi="Times New Roman" w:eastAsia="宋体" w:cs="Times New Roman"/>
                      <w:b/>
                      <w:bCs/>
                      <w:color w:val="auto"/>
                      <w:kern w:val="21"/>
                      <w:sz w:val="21"/>
                      <w:szCs w:val="21"/>
                      <w:u w:val="none" w:color="auto"/>
                      <w:lang w:val="en-US" w:eastAsia="zh-CN" w:bidi="ar"/>
                    </w:rPr>
                    <w:t>噪声源强dB(A)</w:t>
                  </w:r>
                </w:p>
              </w:tc>
              <w:tc>
                <w:tcPr>
                  <w:tcW w:w="1005" w:type="pct"/>
                  <w:tcBorders>
                    <w:tl2br w:val="nil"/>
                    <w:tr2bl w:val="nil"/>
                  </w:tcBorders>
                  <w:noWrap w:val="0"/>
                  <w:tcMar>
                    <w:top w:w="135" w:type="dxa"/>
                    <w:left w:w="270" w:type="dxa"/>
                    <w:bottom w:w="135" w:type="dxa"/>
                    <w:right w:w="270" w:type="dxa"/>
                  </w:tcMar>
                  <w:vAlign w:val="center"/>
                </w:tcPr>
                <w:p w14:paraId="23EB1292">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b/>
                      <w:bCs/>
                      <w:color w:val="auto"/>
                      <w:kern w:val="21"/>
                      <w:sz w:val="21"/>
                      <w:szCs w:val="21"/>
                      <w:u w:val="none" w:color="auto"/>
                    </w:rPr>
                  </w:pPr>
                  <w:r>
                    <w:rPr>
                      <w:rFonts w:hint="default" w:ascii="Times New Roman" w:hAnsi="Times New Roman" w:eastAsia="宋体" w:cs="Times New Roman"/>
                      <w:b/>
                      <w:bCs/>
                      <w:color w:val="auto"/>
                      <w:kern w:val="21"/>
                      <w:sz w:val="21"/>
                      <w:szCs w:val="21"/>
                      <w:u w:val="none" w:color="auto"/>
                      <w:lang w:val="en-US" w:eastAsia="zh-CN" w:bidi="ar"/>
                    </w:rPr>
                    <w:t>噪声特征描述</w:t>
                  </w:r>
                </w:p>
              </w:tc>
              <w:tc>
                <w:tcPr>
                  <w:tcW w:w="955" w:type="pct"/>
                  <w:tcBorders>
                    <w:tl2br w:val="nil"/>
                    <w:tr2bl w:val="nil"/>
                  </w:tcBorders>
                  <w:noWrap w:val="0"/>
                  <w:tcMar>
                    <w:top w:w="135" w:type="dxa"/>
                    <w:left w:w="270" w:type="dxa"/>
                    <w:bottom w:w="135" w:type="dxa"/>
                    <w:right w:w="270" w:type="dxa"/>
                  </w:tcMar>
                  <w:vAlign w:val="center"/>
                </w:tcPr>
                <w:p w14:paraId="3C04C6C5">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b/>
                      <w:bCs/>
                      <w:color w:val="auto"/>
                      <w:kern w:val="21"/>
                      <w:sz w:val="21"/>
                      <w:szCs w:val="21"/>
                      <w:u w:val="none" w:color="auto"/>
                      <w:lang w:val="en-US" w:eastAsia="zh-CN" w:bidi="ar"/>
                    </w:rPr>
                  </w:pPr>
                  <w:r>
                    <w:rPr>
                      <w:rFonts w:hint="default" w:ascii="Times New Roman" w:hAnsi="Times New Roman" w:eastAsia="宋体" w:cs="Times New Roman"/>
                      <w:b/>
                      <w:bCs/>
                      <w:color w:val="auto"/>
                      <w:kern w:val="21"/>
                      <w:sz w:val="21"/>
                      <w:szCs w:val="21"/>
                      <w:u w:val="none" w:color="auto"/>
                      <w:lang w:val="en-US" w:eastAsia="zh-CN" w:bidi="ar"/>
                    </w:rPr>
                    <w:t>降噪控制措施</w:t>
                  </w:r>
                </w:p>
              </w:tc>
              <w:tc>
                <w:tcPr>
                  <w:tcW w:w="713" w:type="pct"/>
                  <w:tcBorders>
                    <w:tl2br w:val="nil"/>
                    <w:tr2bl w:val="nil"/>
                  </w:tcBorders>
                  <w:noWrap w:val="0"/>
                  <w:tcMar>
                    <w:top w:w="135" w:type="dxa"/>
                    <w:left w:w="270" w:type="dxa"/>
                    <w:bottom w:w="135" w:type="dxa"/>
                    <w:right w:w="270" w:type="dxa"/>
                  </w:tcMar>
                  <w:vAlign w:val="center"/>
                </w:tcPr>
                <w:p w14:paraId="341AC23B">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b/>
                      <w:bCs/>
                      <w:color w:val="auto"/>
                      <w:kern w:val="21"/>
                      <w:sz w:val="21"/>
                      <w:szCs w:val="21"/>
                      <w:u w:val="none" w:color="auto"/>
                      <w:lang w:val="en-US" w:eastAsia="zh-CN" w:bidi="ar"/>
                    </w:rPr>
                  </w:pPr>
                  <w:r>
                    <w:rPr>
                      <w:rFonts w:hint="default" w:ascii="Times New Roman" w:hAnsi="Times New Roman" w:eastAsia="宋体" w:cs="Times New Roman"/>
                      <w:b/>
                      <w:bCs/>
                      <w:color w:val="auto"/>
                      <w:kern w:val="21"/>
                      <w:sz w:val="21"/>
                      <w:szCs w:val="21"/>
                      <w:u w:val="none" w:color="auto"/>
                      <w:lang w:val="en-US" w:eastAsia="zh-CN" w:bidi="ar"/>
                    </w:rPr>
                    <w:t>降噪效果dB(A)</w:t>
                  </w:r>
                </w:p>
              </w:tc>
            </w:tr>
            <w:tr w14:paraId="3F37284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gridAfter w:val="1"/>
                <w:wAfter w:w="3" w:type="pct"/>
                <w:trHeight w:val="23" w:hRule="atLeast"/>
              </w:trPr>
              <w:tc>
                <w:tcPr>
                  <w:tcW w:w="4996" w:type="pct"/>
                  <w:gridSpan w:val="7"/>
                  <w:tcBorders>
                    <w:tl2br w:val="nil"/>
                    <w:tr2bl w:val="nil"/>
                  </w:tcBorders>
                  <w:noWrap w:val="0"/>
                  <w:tcMar>
                    <w:top w:w="135" w:type="dxa"/>
                    <w:left w:w="270" w:type="dxa"/>
                    <w:bottom w:w="135" w:type="dxa"/>
                    <w:right w:w="270" w:type="dxa"/>
                  </w:tcMar>
                  <w:vAlign w:val="center"/>
                </w:tcPr>
                <w:p w14:paraId="1996D03E">
                  <w:pPr>
                    <w:pStyle w:val="5"/>
                    <w:keepNext w:val="0"/>
                    <w:keepLines w:val="0"/>
                    <w:pageBreakBefore w:val="0"/>
                    <w:widowControl/>
                    <w:suppressLineNumbers w:val="0"/>
                    <w:shd w:val="clear" w:color="auto" w:fill="FFFFFF"/>
                    <w:kinsoku/>
                    <w:wordWrap/>
                    <w:overflowPunct/>
                    <w:topLinePunct w:val="0"/>
                    <w:autoSpaceDE/>
                    <w:autoSpaceDN/>
                    <w:bidi w:val="0"/>
                    <w:adjustRightInd/>
                    <w:snapToGrid/>
                    <w:spacing w:before="0" w:beforeAutospacing="0" w:after="0" w:afterAutospacing="0" w:line="240" w:lineRule="auto"/>
                    <w:ind w:left="0" w:right="0" w:firstLine="0"/>
                    <w:jc w:val="center"/>
                    <w:textAlignment w:val="auto"/>
                    <w:rPr>
                      <w:rFonts w:hint="default" w:ascii="Times New Roman" w:hAnsi="Times New Roman" w:eastAsia="宋体" w:cs="Times New Roman"/>
                      <w:b/>
                      <w:bCs/>
                      <w:color w:val="auto"/>
                      <w:kern w:val="21"/>
                      <w:sz w:val="21"/>
                      <w:szCs w:val="21"/>
                      <w:u w:val="none" w:color="auto"/>
                      <w:lang w:val="en-US" w:eastAsia="zh-CN" w:bidi="ar"/>
                    </w:rPr>
                  </w:pPr>
                  <w:r>
                    <w:rPr>
                      <w:rFonts w:hint="default" w:ascii="Times New Roman" w:hAnsi="Times New Roman" w:eastAsia="宋体" w:cs="Times New Roman"/>
                      <w:color w:val="auto"/>
                      <w:kern w:val="21"/>
                      <w:sz w:val="21"/>
                      <w:szCs w:val="21"/>
                      <w:u w:val="none" w:color="auto"/>
                      <w:lang w:val="en-US" w:eastAsia="zh-CN"/>
                    </w:rPr>
                    <w:t>铝合金熔铸二厂</w:t>
                  </w:r>
                </w:p>
              </w:tc>
            </w:tr>
            <w:tr w14:paraId="645A7EA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gridAfter w:val="1"/>
                <w:wAfter w:w="3" w:type="pct"/>
                <w:trHeight w:val="23" w:hRule="atLeast"/>
              </w:trPr>
              <w:tc>
                <w:tcPr>
                  <w:tcW w:w="661" w:type="pct"/>
                  <w:tcBorders>
                    <w:tl2br w:val="nil"/>
                    <w:tr2bl w:val="nil"/>
                  </w:tcBorders>
                  <w:shd w:val="clear" w:color="auto" w:fill="FFFFFF"/>
                  <w:noWrap w:val="0"/>
                  <w:tcMar>
                    <w:top w:w="135" w:type="dxa"/>
                    <w:left w:w="270" w:type="dxa"/>
                    <w:bottom w:w="135" w:type="dxa"/>
                    <w:right w:w="270" w:type="dxa"/>
                  </w:tcMar>
                  <w:vAlign w:val="center"/>
                </w:tcPr>
                <w:p w14:paraId="16F594C7">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50t熔化炉</w:t>
                  </w:r>
                </w:p>
              </w:tc>
              <w:tc>
                <w:tcPr>
                  <w:tcW w:w="398" w:type="pct"/>
                  <w:tcBorders>
                    <w:tl2br w:val="nil"/>
                    <w:tr2bl w:val="nil"/>
                  </w:tcBorders>
                  <w:shd w:val="clear" w:color="auto" w:fill="FFFFFF"/>
                  <w:noWrap w:val="0"/>
                  <w:tcMar>
                    <w:top w:w="135" w:type="dxa"/>
                    <w:left w:w="270" w:type="dxa"/>
                    <w:bottom w:w="135" w:type="dxa"/>
                    <w:right w:w="270" w:type="dxa"/>
                  </w:tcMar>
                  <w:vAlign w:val="center"/>
                </w:tcPr>
                <w:p w14:paraId="2D559CCC">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台</w:t>
                  </w:r>
                </w:p>
              </w:tc>
              <w:tc>
                <w:tcPr>
                  <w:tcW w:w="527" w:type="pct"/>
                  <w:tcBorders>
                    <w:tl2br w:val="nil"/>
                    <w:tr2bl w:val="nil"/>
                  </w:tcBorders>
                  <w:shd w:val="clear" w:color="auto" w:fill="FFFFFF"/>
                  <w:noWrap w:val="0"/>
                  <w:tcMar>
                    <w:top w:w="135" w:type="dxa"/>
                    <w:left w:w="270" w:type="dxa"/>
                    <w:bottom w:w="135" w:type="dxa"/>
                    <w:right w:w="270" w:type="dxa"/>
                  </w:tcMar>
                  <w:vAlign w:val="center"/>
                </w:tcPr>
                <w:p w14:paraId="40DB9686">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1</w:t>
                  </w:r>
                </w:p>
              </w:tc>
              <w:tc>
                <w:tcPr>
                  <w:tcW w:w="734" w:type="pct"/>
                  <w:tcBorders>
                    <w:tl2br w:val="nil"/>
                    <w:tr2bl w:val="nil"/>
                  </w:tcBorders>
                  <w:shd w:val="clear" w:color="auto" w:fill="FFFFFF"/>
                  <w:noWrap w:val="0"/>
                  <w:tcMar>
                    <w:top w:w="135" w:type="dxa"/>
                    <w:left w:w="270" w:type="dxa"/>
                    <w:bottom w:w="135" w:type="dxa"/>
                    <w:right w:w="270" w:type="dxa"/>
                  </w:tcMar>
                  <w:vAlign w:val="center"/>
                </w:tcPr>
                <w:p w14:paraId="0C763FA3">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85-100</w:t>
                  </w:r>
                </w:p>
              </w:tc>
              <w:tc>
                <w:tcPr>
                  <w:tcW w:w="1005" w:type="pct"/>
                  <w:tcBorders>
                    <w:tl2br w:val="nil"/>
                    <w:tr2bl w:val="nil"/>
                  </w:tcBorders>
                  <w:shd w:val="clear" w:color="auto" w:fill="FFFFFF"/>
                  <w:noWrap w:val="0"/>
                  <w:tcMar>
                    <w:top w:w="135" w:type="dxa"/>
                    <w:left w:w="270" w:type="dxa"/>
                    <w:bottom w:w="135" w:type="dxa"/>
                    <w:right w:w="270" w:type="dxa"/>
                  </w:tcMar>
                  <w:vAlign w:val="center"/>
                </w:tcPr>
                <w:p w14:paraId="12D6D565">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燃烧噪声、金属熔融声（高温气流和振动）</w:t>
                  </w:r>
                </w:p>
              </w:tc>
              <w:tc>
                <w:tcPr>
                  <w:tcW w:w="955" w:type="pct"/>
                  <w:tcBorders>
                    <w:tl2br w:val="nil"/>
                    <w:tr2bl w:val="nil"/>
                  </w:tcBorders>
                  <w:shd w:val="clear" w:color="auto" w:fill="FFFFFF"/>
                  <w:noWrap w:val="0"/>
                  <w:tcMar>
                    <w:top w:w="135" w:type="dxa"/>
                    <w:left w:w="270" w:type="dxa"/>
                    <w:bottom w:w="135" w:type="dxa"/>
                    <w:right w:w="270" w:type="dxa"/>
                  </w:tcMar>
                  <w:vAlign w:val="center"/>
                </w:tcPr>
                <w:p w14:paraId="34D017B7">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i w:val="0"/>
                      <w:iCs w:val="0"/>
                      <w:caps w:val="0"/>
                      <w:color w:val="auto"/>
                      <w:spacing w:val="0"/>
                      <w:kern w:val="21"/>
                      <w:sz w:val="21"/>
                      <w:szCs w:val="21"/>
                      <w:u w:val="none" w:color="auto"/>
                      <w:lang w:val="en-US" w:eastAsia="zh-CN" w:bidi="ar-SA"/>
                    </w:rPr>
                  </w:pPr>
                  <w:r>
                    <w:rPr>
                      <w:rFonts w:hint="default" w:ascii="Times New Roman" w:hAnsi="Times New Roman" w:eastAsia="宋体" w:cs="Times New Roman"/>
                      <w:i w:val="0"/>
                      <w:iCs w:val="0"/>
                      <w:caps w:val="0"/>
                      <w:color w:val="auto"/>
                      <w:spacing w:val="0"/>
                      <w:kern w:val="21"/>
                      <w:sz w:val="21"/>
                      <w:szCs w:val="21"/>
                      <w:u w:val="none" w:color="auto"/>
                      <w:lang w:val="en-US" w:eastAsia="zh-CN" w:bidi="ar"/>
                    </w:rPr>
                    <w:t>燃烧器低噪改造；炉体复合隔声包覆</w:t>
                  </w:r>
                </w:p>
              </w:tc>
              <w:tc>
                <w:tcPr>
                  <w:tcW w:w="713" w:type="pct"/>
                  <w:tcBorders>
                    <w:tl2br w:val="nil"/>
                    <w:tr2bl w:val="nil"/>
                  </w:tcBorders>
                  <w:shd w:val="clear" w:color="auto" w:fill="FFFFFF"/>
                  <w:noWrap w:val="0"/>
                  <w:tcMar>
                    <w:top w:w="135" w:type="dxa"/>
                    <w:left w:w="270" w:type="dxa"/>
                    <w:bottom w:w="135" w:type="dxa"/>
                    <w:right w:w="270" w:type="dxa"/>
                  </w:tcMar>
                  <w:vAlign w:val="center"/>
                </w:tcPr>
                <w:p w14:paraId="4D597610">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i w:val="0"/>
                      <w:iCs w:val="0"/>
                      <w:caps w:val="0"/>
                      <w:color w:val="auto"/>
                      <w:spacing w:val="0"/>
                      <w:kern w:val="21"/>
                      <w:sz w:val="21"/>
                      <w:szCs w:val="21"/>
                      <w:u w:val="none" w:color="auto"/>
                      <w:lang w:val="en-US" w:eastAsia="zh-CN" w:bidi="ar"/>
                    </w:rPr>
                  </w:pPr>
                  <w:r>
                    <w:rPr>
                      <w:rFonts w:hint="default" w:ascii="Times New Roman" w:hAnsi="Times New Roman" w:eastAsia="宋体" w:cs="Times New Roman"/>
                      <w:i w:val="0"/>
                      <w:iCs w:val="0"/>
                      <w:caps w:val="0"/>
                      <w:color w:val="auto"/>
                      <w:spacing w:val="0"/>
                      <w:kern w:val="21"/>
                      <w:sz w:val="21"/>
                      <w:szCs w:val="21"/>
                      <w:u w:val="none" w:color="auto"/>
                      <w:lang w:val="en-US" w:eastAsia="zh-CN" w:bidi="ar"/>
                    </w:rPr>
                    <w:t>12-15</w:t>
                  </w:r>
                </w:p>
              </w:tc>
            </w:tr>
            <w:tr w14:paraId="4B5C427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gridAfter w:val="1"/>
                <w:wAfter w:w="3" w:type="pct"/>
                <w:trHeight w:val="23" w:hRule="atLeast"/>
              </w:trPr>
              <w:tc>
                <w:tcPr>
                  <w:tcW w:w="661" w:type="pct"/>
                  <w:tcBorders>
                    <w:tl2br w:val="nil"/>
                    <w:tr2bl w:val="nil"/>
                  </w:tcBorders>
                  <w:shd w:val="clear" w:color="auto" w:fill="FFFFFF"/>
                  <w:noWrap w:val="0"/>
                  <w:tcMar>
                    <w:top w:w="135" w:type="dxa"/>
                    <w:left w:w="270" w:type="dxa"/>
                    <w:bottom w:w="135" w:type="dxa"/>
                    <w:right w:w="270" w:type="dxa"/>
                  </w:tcMar>
                  <w:vAlign w:val="center"/>
                </w:tcPr>
                <w:p w14:paraId="6D5C2A74">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45t熔化炉</w:t>
                  </w:r>
                </w:p>
              </w:tc>
              <w:tc>
                <w:tcPr>
                  <w:tcW w:w="398" w:type="pct"/>
                  <w:tcBorders>
                    <w:tl2br w:val="nil"/>
                    <w:tr2bl w:val="nil"/>
                  </w:tcBorders>
                  <w:shd w:val="clear" w:color="auto" w:fill="FFFFFF"/>
                  <w:noWrap w:val="0"/>
                  <w:tcMar>
                    <w:top w:w="135" w:type="dxa"/>
                    <w:left w:w="270" w:type="dxa"/>
                    <w:bottom w:w="135" w:type="dxa"/>
                    <w:right w:w="270" w:type="dxa"/>
                  </w:tcMar>
                  <w:vAlign w:val="center"/>
                </w:tcPr>
                <w:p w14:paraId="5A577743">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台</w:t>
                  </w:r>
                </w:p>
              </w:tc>
              <w:tc>
                <w:tcPr>
                  <w:tcW w:w="527" w:type="pct"/>
                  <w:tcBorders>
                    <w:tl2br w:val="nil"/>
                    <w:tr2bl w:val="nil"/>
                  </w:tcBorders>
                  <w:shd w:val="clear" w:color="auto" w:fill="FFFFFF"/>
                  <w:noWrap w:val="0"/>
                  <w:tcMar>
                    <w:top w:w="135" w:type="dxa"/>
                    <w:left w:w="270" w:type="dxa"/>
                    <w:bottom w:w="135" w:type="dxa"/>
                    <w:right w:w="270" w:type="dxa"/>
                  </w:tcMar>
                  <w:vAlign w:val="center"/>
                </w:tcPr>
                <w:p w14:paraId="799C04C7">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1</w:t>
                  </w:r>
                </w:p>
              </w:tc>
              <w:tc>
                <w:tcPr>
                  <w:tcW w:w="734" w:type="pct"/>
                  <w:tcBorders>
                    <w:tl2br w:val="nil"/>
                    <w:tr2bl w:val="nil"/>
                  </w:tcBorders>
                  <w:shd w:val="clear" w:color="auto" w:fill="FFFFFF"/>
                  <w:noWrap w:val="0"/>
                  <w:tcMar>
                    <w:top w:w="135" w:type="dxa"/>
                    <w:left w:w="270" w:type="dxa"/>
                    <w:bottom w:w="135" w:type="dxa"/>
                    <w:right w:w="270" w:type="dxa"/>
                  </w:tcMar>
                  <w:vAlign w:val="center"/>
                </w:tcPr>
                <w:p w14:paraId="254F6CEE">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85-100</w:t>
                  </w:r>
                </w:p>
              </w:tc>
              <w:tc>
                <w:tcPr>
                  <w:tcW w:w="1005" w:type="pct"/>
                  <w:tcBorders>
                    <w:tl2br w:val="nil"/>
                    <w:tr2bl w:val="nil"/>
                  </w:tcBorders>
                  <w:shd w:val="clear" w:color="auto" w:fill="FFFFFF"/>
                  <w:noWrap w:val="0"/>
                  <w:tcMar>
                    <w:top w:w="135" w:type="dxa"/>
                    <w:left w:w="270" w:type="dxa"/>
                    <w:bottom w:w="135" w:type="dxa"/>
                    <w:right w:w="270" w:type="dxa"/>
                  </w:tcMar>
                  <w:vAlign w:val="center"/>
                </w:tcPr>
                <w:p w14:paraId="404F7764">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同上，容量略小但噪声水平相似</w:t>
                  </w:r>
                </w:p>
              </w:tc>
              <w:tc>
                <w:tcPr>
                  <w:tcW w:w="955" w:type="pct"/>
                  <w:tcBorders>
                    <w:tl2br w:val="nil"/>
                    <w:tr2bl w:val="nil"/>
                  </w:tcBorders>
                  <w:shd w:val="clear" w:color="auto" w:fill="FFFFFF"/>
                  <w:noWrap w:val="0"/>
                  <w:tcMar>
                    <w:top w:w="135" w:type="dxa"/>
                    <w:left w:w="270" w:type="dxa"/>
                    <w:bottom w:w="135" w:type="dxa"/>
                    <w:right w:w="270" w:type="dxa"/>
                  </w:tcMar>
                  <w:vAlign w:val="center"/>
                </w:tcPr>
                <w:p w14:paraId="1F3930A4">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i w:val="0"/>
                      <w:iCs w:val="0"/>
                      <w:caps w:val="0"/>
                      <w:color w:val="auto"/>
                      <w:spacing w:val="0"/>
                      <w:kern w:val="21"/>
                      <w:sz w:val="21"/>
                      <w:szCs w:val="21"/>
                      <w:u w:val="none" w:color="auto"/>
                      <w:lang w:val="en-US" w:eastAsia="zh-CN" w:bidi="ar-SA"/>
                    </w:rPr>
                  </w:pPr>
                  <w:r>
                    <w:rPr>
                      <w:rFonts w:hint="default" w:ascii="Times New Roman" w:hAnsi="Times New Roman" w:eastAsia="宋体" w:cs="Times New Roman"/>
                      <w:i w:val="0"/>
                      <w:iCs w:val="0"/>
                      <w:caps w:val="0"/>
                      <w:color w:val="auto"/>
                      <w:spacing w:val="0"/>
                      <w:kern w:val="21"/>
                      <w:sz w:val="21"/>
                      <w:szCs w:val="21"/>
                      <w:u w:val="none" w:color="auto"/>
                      <w:lang w:val="en-US" w:eastAsia="zh-CN" w:bidi="ar-SA"/>
                    </w:rPr>
                    <w:t>同上</w:t>
                  </w:r>
                </w:p>
              </w:tc>
              <w:tc>
                <w:tcPr>
                  <w:tcW w:w="713" w:type="pct"/>
                  <w:tcBorders>
                    <w:tl2br w:val="nil"/>
                    <w:tr2bl w:val="nil"/>
                  </w:tcBorders>
                  <w:shd w:val="clear" w:color="auto" w:fill="FFFFFF"/>
                  <w:noWrap w:val="0"/>
                  <w:tcMar>
                    <w:top w:w="135" w:type="dxa"/>
                    <w:left w:w="270" w:type="dxa"/>
                    <w:bottom w:w="135" w:type="dxa"/>
                    <w:right w:w="270" w:type="dxa"/>
                  </w:tcMar>
                  <w:vAlign w:val="center"/>
                </w:tcPr>
                <w:p w14:paraId="54D39888">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i w:val="0"/>
                      <w:iCs w:val="0"/>
                      <w:caps w:val="0"/>
                      <w:color w:val="auto"/>
                      <w:spacing w:val="0"/>
                      <w:kern w:val="21"/>
                      <w:sz w:val="21"/>
                      <w:szCs w:val="21"/>
                      <w:u w:val="none" w:color="auto"/>
                      <w:lang w:val="en-US" w:eastAsia="zh-CN" w:bidi="ar-SA"/>
                    </w:rPr>
                  </w:pPr>
                  <w:r>
                    <w:rPr>
                      <w:rFonts w:hint="default" w:ascii="Times New Roman" w:hAnsi="Times New Roman" w:eastAsia="宋体" w:cs="Times New Roman"/>
                      <w:i w:val="0"/>
                      <w:iCs w:val="0"/>
                      <w:caps w:val="0"/>
                      <w:color w:val="auto"/>
                      <w:spacing w:val="0"/>
                      <w:kern w:val="21"/>
                      <w:sz w:val="21"/>
                      <w:szCs w:val="21"/>
                      <w:u w:val="none" w:color="auto"/>
                      <w:lang w:val="en-US" w:eastAsia="zh-CN" w:bidi="ar"/>
                    </w:rPr>
                    <w:t>12-15</w:t>
                  </w:r>
                </w:p>
              </w:tc>
            </w:tr>
            <w:tr w14:paraId="3A95E3F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gridAfter w:val="1"/>
                <w:wAfter w:w="3" w:type="pct"/>
                <w:trHeight w:val="23" w:hRule="atLeast"/>
              </w:trPr>
              <w:tc>
                <w:tcPr>
                  <w:tcW w:w="661" w:type="pct"/>
                  <w:tcBorders>
                    <w:tl2br w:val="nil"/>
                    <w:tr2bl w:val="nil"/>
                  </w:tcBorders>
                  <w:shd w:val="clear" w:color="auto" w:fill="FFFFFF"/>
                  <w:noWrap w:val="0"/>
                  <w:tcMar>
                    <w:top w:w="135" w:type="dxa"/>
                    <w:left w:w="270" w:type="dxa"/>
                    <w:bottom w:w="135" w:type="dxa"/>
                    <w:right w:w="270" w:type="dxa"/>
                  </w:tcMar>
                  <w:vAlign w:val="center"/>
                </w:tcPr>
                <w:p w14:paraId="5751A7E1">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35t熔化炉</w:t>
                  </w:r>
                </w:p>
              </w:tc>
              <w:tc>
                <w:tcPr>
                  <w:tcW w:w="398" w:type="pct"/>
                  <w:tcBorders>
                    <w:tl2br w:val="nil"/>
                    <w:tr2bl w:val="nil"/>
                  </w:tcBorders>
                  <w:shd w:val="clear" w:color="auto" w:fill="FFFFFF"/>
                  <w:noWrap w:val="0"/>
                  <w:tcMar>
                    <w:top w:w="135" w:type="dxa"/>
                    <w:left w:w="270" w:type="dxa"/>
                    <w:bottom w:w="135" w:type="dxa"/>
                    <w:right w:w="270" w:type="dxa"/>
                  </w:tcMar>
                  <w:vAlign w:val="center"/>
                </w:tcPr>
                <w:p w14:paraId="26BC153E">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台</w:t>
                  </w:r>
                </w:p>
              </w:tc>
              <w:tc>
                <w:tcPr>
                  <w:tcW w:w="527" w:type="pct"/>
                  <w:tcBorders>
                    <w:tl2br w:val="nil"/>
                    <w:tr2bl w:val="nil"/>
                  </w:tcBorders>
                  <w:shd w:val="clear" w:color="auto" w:fill="FFFFFF"/>
                  <w:noWrap w:val="0"/>
                  <w:tcMar>
                    <w:top w:w="135" w:type="dxa"/>
                    <w:left w:w="270" w:type="dxa"/>
                    <w:bottom w:w="135" w:type="dxa"/>
                    <w:right w:w="270" w:type="dxa"/>
                  </w:tcMar>
                  <w:vAlign w:val="center"/>
                </w:tcPr>
                <w:p w14:paraId="4B42A089">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1</w:t>
                  </w:r>
                </w:p>
              </w:tc>
              <w:tc>
                <w:tcPr>
                  <w:tcW w:w="734" w:type="pct"/>
                  <w:tcBorders>
                    <w:tl2br w:val="nil"/>
                    <w:tr2bl w:val="nil"/>
                  </w:tcBorders>
                  <w:shd w:val="clear" w:color="auto" w:fill="FFFFFF"/>
                  <w:noWrap w:val="0"/>
                  <w:tcMar>
                    <w:top w:w="135" w:type="dxa"/>
                    <w:left w:w="270" w:type="dxa"/>
                    <w:bottom w:w="135" w:type="dxa"/>
                    <w:right w:w="270" w:type="dxa"/>
                  </w:tcMar>
                  <w:vAlign w:val="center"/>
                </w:tcPr>
                <w:p w14:paraId="586163DE">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85-100</w:t>
                  </w:r>
                </w:p>
              </w:tc>
              <w:tc>
                <w:tcPr>
                  <w:tcW w:w="1005" w:type="pct"/>
                  <w:tcBorders>
                    <w:tl2br w:val="nil"/>
                    <w:tr2bl w:val="nil"/>
                  </w:tcBorders>
                  <w:shd w:val="clear" w:color="auto" w:fill="FFFFFF"/>
                  <w:noWrap w:val="0"/>
                  <w:tcMar>
                    <w:top w:w="135" w:type="dxa"/>
                    <w:left w:w="270" w:type="dxa"/>
                    <w:bottom w:w="135" w:type="dxa"/>
                    <w:right w:w="270" w:type="dxa"/>
                  </w:tcMar>
                  <w:vAlign w:val="center"/>
                </w:tcPr>
                <w:p w14:paraId="19663FBA">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同上</w:t>
                  </w:r>
                </w:p>
              </w:tc>
              <w:tc>
                <w:tcPr>
                  <w:tcW w:w="955" w:type="pct"/>
                  <w:tcBorders>
                    <w:tl2br w:val="nil"/>
                    <w:tr2bl w:val="nil"/>
                  </w:tcBorders>
                  <w:shd w:val="clear" w:color="auto" w:fill="FFFFFF"/>
                  <w:noWrap w:val="0"/>
                  <w:tcMar>
                    <w:top w:w="135" w:type="dxa"/>
                    <w:left w:w="270" w:type="dxa"/>
                    <w:bottom w:w="135" w:type="dxa"/>
                    <w:right w:w="270" w:type="dxa"/>
                  </w:tcMar>
                  <w:vAlign w:val="center"/>
                </w:tcPr>
                <w:p w14:paraId="58D513CB">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i w:val="0"/>
                      <w:iCs w:val="0"/>
                      <w:caps w:val="0"/>
                      <w:color w:val="auto"/>
                      <w:spacing w:val="0"/>
                      <w:kern w:val="21"/>
                      <w:sz w:val="21"/>
                      <w:szCs w:val="21"/>
                      <w:u w:val="none" w:color="auto"/>
                      <w:lang w:val="en-US" w:eastAsia="zh-CN" w:bidi="ar-SA"/>
                    </w:rPr>
                  </w:pPr>
                  <w:r>
                    <w:rPr>
                      <w:rFonts w:hint="default" w:ascii="Times New Roman" w:hAnsi="Times New Roman" w:eastAsia="宋体" w:cs="Times New Roman"/>
                      <w:i w:val="0"/>
                      <w:iCs w:val="0"/>
                      <w:caps w:val="0"/>
                      <w:color w:val="auto"/>
                      <w:spacing w:val="0"/>
                      <w:kern w:val="21"/>
                      <w:sz w:val="21"/>
                      <w:szCs w:val="21"/>
                      <w:u w:val="none" w:color="auto"/>
                      <w:lang w:val="en-US" w:eastAsia="zh-CN" w:bidi="ar-SA"/>
                    </w:rPr>
                    <w:t>同上</w:t>
                  </w:r>
                </w:p>
              </w:tc>
              <w:tc>
                <w:tcPr>
                  <w:tcW w:w="713" w:type="pct"/>
                  <w:tcBorders>
                    <w:tl2br w:val="nil"/>
                    <w:tr2bl w:val="nil"/>
                  </w:tcBorders>
                  <w:shd w:val="clear" w:color="auto" w:fill="FFFFFF"/>
                  <w:noWrap w:val="0"/>
                  <w:tcMar>
                    <w:top w:w="135" w:type="dxa"/>
                    <w:left w:w="270" w:type="dxa"/>
                    <w:bottom w:w="135" w:type="dxa"/>
                    <w:right w:w="270" w:type="dxa"/>
                  </w:tcMar>
                  <w:vAlign w:val="center"/>
                </w:tcPr>
                <w:p w14:paraId="19EF9C05">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i w:val="0"/>
                      <w:iCs w:val="0"/>
                      <w:caps w:val="0"/>
                      <w:color w:val="auto"/>
                      <w:spacing w:val="0"/>
                      <w:kern w:val="21"/>
                      <w:sz w:val="21"/>
                      <w:szCs w:val="21"/>
                      <w:u w:val="none" w:color="auto"/>
                      <w:lang w:val="en-US" w:eastAsia="zh-CN" w:bidi="ar-SA"/>
                    </w:rPr>
                  </w:pPr>
                  <w:r>
                    <w:rPr>
                      <w:rFonts w:hint="default" w:ascii="Times New Roman" w:hAnsi="Times New Roman" w:eastAsia="宋体" w:cs="Times New Roman"/>
                      <w:i w:val="0"/>
                      <w:iCs w:val="0"/>
                      <w:caps w:val="0"/>
                      <w:color w:val="auto"/>
                      <w:spacing w:val="0"/>
                      <w:kern w:val="21"/>
                      <w:sz w:val="21"/>
                      <w:szCs w:val="21"/>
                      <w:u w:val="none" w:color="auto"/>
                      <w:lang w:val="en-US" w:eastAsia="zh-CN" w:bidi="ar"/>
                    </w:rPr>
                    <w:t>12-15</w:t>
                  </w:r>
                </w:p>
              </w:tc>
            </w:tr>
            <w:tr w14:paraId="5AE5E42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gridAfter w:val="1"/>
                <w:wAfter w:w="3" w:type="pct"/>
                <w:trHeight w:val="23" w:hRule="atLeast"/>
              </w:trPr>
              <w:tc>
                <w:tcPr>
                  <w:tcW w:w="661" w:type="pct"/>
                  <w:tcBorders>
                    <w:tl2br w:val="nil"/>
                    <w:tr2bl w:val="nil"/>
                  </w:tcBorders>
                  <w:shd w:val="clear" w:color="auto" w:fill="FFFFFF"/>
                  <w:noWrap w:val="0"/>
                  <w:tcMar>
                    <w:top w:w="135" w:type="dxa"/>
                    <w:left w:w="270" w:type="dxa"/>
                    <w:bottom w:w="135" w:type="dxa"/>
                    <w:right w:w="270" w:type="dxa"/>
                  </w:tcMar>
                  <w:vAlign w:val="center"/>
                </w:tcPr>
                <w:p w14:paraId="12A4834D">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35t保温炉</w:t>
                  </w:r>
                </w:p>
              </w:tc>
              <w:tc>
                <w:tcPr>
                  <w:tcW w:w="398" w:type="pct"/>
                  <w:tcBorders>
                    <w:tl2br w:val="nil"/>
                    <w:tr2bl w:val="nil"/>
                  </w:tcBorders>
                  <w:shd w:val="clear" w:color="auto" w:fill="FFFFFF"/>
                  <w:noWrap w:val="0"/>
                  <w:tcMar>
                    <w:top w:w="135" w:type="dxa"/>
                    <w:left w:w="270" w:type="dxa"/>
                    <w:bottom w:w="135" w:type="dxa"/>
                    <w:right w:w="270" w:type="dxa"/>
                  </w:tcMar>
                  <w:vAlign w:val="center"/>
                </w:tcPr>
                <w:p w14:paraId="086F37EE">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台</w:t>
                  </w:r>
                </w:p>
              </w:tc>
              <w:tc>
                <w:tcPr>
                  <w:tcW w:w="527" w:type="pct"/>
                  <w:tcBorders>
                    <w:tl2br w:val="nil"/>
                    <w:tr2bl w:val="nil"/>
                  </w:tcBorders>
                  <w:shd w:val="clear" w:color="auto" w:fill="FFFFFF"/>
                  <w:noWrap w:val="0"/>
                  <w:tcMar>
                    <w:top w:w="135" w:type="dxa"/>
                    <w:left w:w="270" w:type="dxa"/>
                    <w:bottom w:w="135" w:type="dxa"/>
                    <w:right w:w="270" w:type="dxa"/>
                  </w:tcMar>
                  <w:vAlign w:val="center"/>
                </w:tcPr>
                <w:p w14:paraId="6691047B">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1</w:t>
                  </w:r>
                </w:p>
              </w:tc>
              <w:tc>
                <w:tcPr>
                  <w:tcW w:w="734" w:type="pct"/>
                  <w:tcBorders>
                    <w:tl2br w:val="nil"/>
                    <w:tr2bl w:val="nil"/>
                  </w:tcBorders>
                  <w:shd w:val="clear" w:color="auto" w:fill="FFFFFF"/>
                  <w:noWrap w:val="0"/>
                  <w:tcMar>
                    <w:top w:w="135" w:type="dxa"/>
                    <w:left w:w="270" w:type="dxa"/>
                    <w:bottom w:w="135" w:type="dxa"/>
                    <w:right w:w="270" w:type="dxa"/>
                  </w:tcMar>
                  <w:vAlign w:val="center"/>
                </w:tcPr>
                <w:p w14:paraId="7021DD27">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80-95</w:t>
                  </w:r>
                </w:p>
              </w:tc>
              <w:tc>
                <w:tcPr>
                  <w:tcW w:w="1005" w:type="pct"/>
                  <w:tcBorders>
                    <w:tl2br w:val="nil"/>
                    <w:tr2bl w:val="nil"/>
                  </w:tcBorders>
                  <w:shd w:val="clear" w:color="auto" w:fill="FFFFFF"/>
                  <w:noWrap w:val="0"/>
                  <w:tcMar>
                    <w:top w:w="135" w:type="dxa"/>
                    <w:left w:w="270" w:type="dxa"/>
                    <w:bottom w:w="135" w:type="dxa"/>
                    <w:right w:w="270" w:type="dxa"/>
                  </w:tcMar>
                  <w:vAlign w:val="center"/>
                </w:tcPr>
                <w:p w14:paraId="2B07B6BD">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较低燃烧噪声，但保温过程有持续气流声</w:t>
                  </w:r>
                </w:p>
              </w:tc>
              <w:tc>
                <w:tcPr>
                  <w:tcW w:w="955" w:type="pct"/>
                  <w:tcBorders>
                    <w:tl2br w:val="nil"/>
                    <w:tr2bl w:val="nil"/>
                  </w:tcBorders>
                  <w:shd w:val="clear" w:color="auto" w:fill="FFFFFF"/>
                  <w:noWrap w:val="0"/>
                  <w:tcMar>
                    <w:top w:w="135" w:type="dxa"/>
                    <w:left w:w="270" w:type="dxa"/>
                    <w:bottom w:w="135" w:type="dxa"/>
                    <w:right w:w="270" w:type="dxa"/>
                  </w:tcMar>
                  <w:vAlign w:val="center"/>
                </w:tcPr>
                <w:p w14:paraId="52363D05">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ind w:leftChars="0"/>
                    <w:jc w:val="center"/>
                    <w:textAlignment w:val="auto"/>
                    <w:rPr>
                      <w:rFonts w:hint="default" w:ascii="Times New Roman" w:hAnsi="Times New Roman" w:eastAsia="宋体" w:cs="Times New Roman"/>
                      <w:i w:val="0"/>
                      <w:iCs w:val="0"/>
                      <w:caps w:val="0"/>
                      <w:color w:val="auto"/>
                      <w:spacing w:val="0"/>
                      <w:kern w:val="21"/>
                      <w:sz w:val="21"/>
                      <w:szCs w:val="21"/>
                      <w:u w:val="none" w:color="auto"/>
                      <w:lang w:val="en-US" w:eastAsia="zh-CN" w:bidi="ar-SA"/>
                    </w:rPr>
                  </w:pPr>
                  <w:r>
                    <w:rPr>
                      <w:rFonts w:hint="default" w:ascii="Times New Roman" w:hAnsi="Times New Roman" w:eastAsia="宋体" w:cs="Times New Roman"/>
                      <w:i w:val="0"/>
                      <w:iCs w:val="0"/>
                      <w:caps w:val="0"/>
                      <w:color w:val="auto"/>
                      <w:spacing w:val="0"/>
                      <w:kern w:val="21"/>
                      <w:sz w:val="21"/>
                      <w:szCs w:val="21"/>
                      <w:u w:val="none" w:color="auto"/>
                      <w:lang w:val="en-US" w:eastAsia="zh-CN" w:bidi="ar"/>
                    </w:rPr>
                    <w:t>烟道阻抗消声器；风机隔声罩</w:t>
                  </w:r>
                </w:p>
              </w:tc>
              <w:tc>
                <w:tcPr>
                  <w:tcW w:w="713" w:type="pct"/>
                  <w:tcBorders>
                    <w:tl2br w:val="nil"/>
                    <w:tr2bl w:val="nil"/>
                  </w:tcBorders>
                  <w:shd w:val="clear" w:color="auto" w:fill="FFFFFF"/>
                  <w:noWrap w:val="0"/>
                  <w:tcMar>
                    <w:top w:w="135" w:type="dxa"/>
                    <w:left w:w="270" w:type="dxa"/>
                    <w:bottom w:w="135" w:type="dxa"/>
                    <w:right w:w="270" w:type="dxa"/>
                  </w:tcMar>
                  <w:vAlign w:val="center"/>
                </w:tcPr>
                <w:p w14:paraId="5C510F2D">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ind w:leftChars="0"/>
                    <w:jc w:val="center"/>
                    <w:textAlignment w:val="auto"/>
                    <w:rPr>
                      <w:rFonts w:hint="default" w:ascii="Times New Roman" w:hAnsi="Times New Roman" w:eastAsia="宋体" w:cs="Times New Roman"/>
                      <w:i w:val="0"/>
                      <w:iCs w:val="0"/>
                      <w:caps w:val="0"/>
                      <w:color w:val="auto"/>
                      <w:spacing w:val="0"/>
                      <w:kern w:val="21"/>
                      <w:sz w:val="21"/>
                      <w:szCs w:val="21"/>
                      <w:u w:val="none" w:color="auto"/>
                      <w:lang w:val="en-US" w:eastAsia="zh-CN" w:bidi="ar"/>
                    </w:rPr>
                  </w:pPr>
                  <w:r>
                    <w:rPr>
                      <w:rFonts w:hint="default" w:ascii="Times New Roman" w:hAnsi="Times New Roman" w:eastAsia="宋体" w:cs="Times New Roman"/>
                      <w:i w:val="0"/>
                      <w:iCs w:val="0"/>
                      <w:caps w:val="0"/>
                      <w:color w:val="auto"/>
                      <w:spacing w:val="0"/>
                      <w:kern w:val="21"/>
                      <w:sz w:val="21"/>
                      <w:szCs w:val="21"/>
                      <w:u w:val="none" w:color="auto"/>
                      <w:lang w:val="en-US" w:eastAsia="zh-CN" w:bidi="ar"/>
                    </w:rPr>
                    <w:t>10-12</w:t>
                  </w:r>
                </w:p>
              </w:tc>
            </w:tr>
            <w:tr w14:paraId="3ECCD6E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gridAfter w:val="1"/>
                <w:wAfter w:w="3" w:type="pct"/>
                <w:trHeight w:val="23" w:hRule="atLeast"/>
              </w:trPr>
              <w:tc>
                <w:tcPr>
                  <w:tcW w:w="661" w:type="pct"/>
                  <w:tcBorders>
                    <w:tl2br w:val="nil"/>
                    <w:tr2bl w:val="nil"/>
                  </w:tcBorders>
                  <w:shd w:val="clear" w:color="auto" w:fill="FFFFFF"/>
                  <w:noWrap w:val="0"/>
                  <w:tcMar>
                    <w:top w:w="135" w:type="dxa"/>
                    <w:left w:w="270" w:type="dxa"/>
                    <w:bottom w:w="135" w:type="dxa"/>
                    <w:right w:w="270" w:type="dxa"/>
                  </w:tcMar>
                  <w:vAlign w:val="center"/>
                </w:tcPr>
                <w:p w14:paraId="595C94CF">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铝液提升泵</w:t>
                  </w:r>
                </w:p>
              </w:tc>
              <w:tc>
                <w:tcPr>
                  <w:tcW w:w="398" w:type="pct"/>
                  <w:tcBorders>
                    <w:tl2br w:val="nil"/>
                    <w:tr2bl w:val="nil"/>
                  </w:tcBorders>
                  <w:shd w:val="clear" w:color="auto" w:fill="FFFFFF"/>
                  <w:noWrap w:val="0"/>
                  <w:tcMar>
                    <w:top w:w="135" w:type="dxa"/>
                    <w:left w:w="270" w:type="dxa"/>
                    <w:bottom w:w="135" w:type="dxa"/>
                    <w:right w:w="270" w:type="dxa"/>
                  </w:tcMar>
                  <w:vAlign w:val="center"/>
                </w:tcPr>
                <w:p w14:paraId="2BA8E608">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套</w:t>
                  </w:r>
                </w:p>
              </w:tc>
              <w:tc>
                <w:tcPr>
                  <w:tcW w:w="527" w:type="pct"/>
                  <w:tcBorders>
                    <w:tl2br w:val="nil"/>
                    <w:tr2bl w:val="nil"/>
                  </w:tcBorders>
                  <w:shd w:val="clear" w:color="auto" w:fill="FFFFFF"/>
                  <w:noWrap w:val="0"/>
                  <w:tcMar>
                    <w:top w:w="135" w:type="dxa"/>
                    <w:left w:w="270" w:type="dxa"/>
                    <w:bottom w:w="135" w:type="dxa"/>
                    <w:right w:w="270" w:type="dxa"/>
                  </w:tcMar>
                  <w:vAlign w:val="center"/>
                </w:tcPr>
                <w:p w14:paraId="5D6A6BBD">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3</w:t>
                  </w:r>
                </w:p>
              </w:tc>
              <w:tc>
                <w:tcPr>
                  <w:tcW w:w="734" w:type="pct"/>
                  <w:tcBorders>
                    <w:tl2br w:val="nil"/>
                    <w:tr2bl w:val="nil"/>
                  </w:tcBorders>
                  <w:shd w:val="clear" w:color="auto" w:fill="FFFFFF"/>
                  <w:noWrap w:val="0"/>
                  <w:tcMar>
                    <w:top w:w="135" w:type="dxa"/>
                    <w:left w:w="270" w:type="dxa"/>
                    <w:bottom w:w="135" w:type="dxa"/>
                    <w:right w:w="270" w:type="dxa"/>
                  </w:tcMar>
                  <w:vAlign w:val="center"/>
                </w:tcPr>
                <w:p w14:paraId="64EA4867">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75-90</w:t>
                  </w:r>
                </w:p>
              </w:tc>
              <w:tc>
                <w:tcPr>
                  <w:tcW w:w="1005" w:type="pct"/>
                  <w:tcBorders>
                    <w:tl2br w:val="nil"/>
                    <w:tr2bl w:val="nil"/>
                  </w:tcBorders>
                  <w:shd w:val="clear" w:color="auto" w:fill="FFFFFF"/>
                  <w:noWrap w:val="0"/>
                  <w:tcMar>
                    <w:top w:w="135" w:type="dxa"/>
                    <w:left w:w="270" w:type="dxa"/>
                    <w:bottom w:w="135" w:type="dxa"/>
                    <w:right w:w="270" w:type="dxa"/>
                  </w:tcMar>
                  <w:vAlign w:val="center"/>
                </w:tcPr>
                <w:p w14:paraId="0CF9AF12">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泵电机运行噪声（功率较高导致中高强度）</w:t>
                  </w:r>
                </w:p>
              </w:tc>
              <w:tc>
                <w:tcPr>
                  <w:tcW w:w="955" w:type="pct"/>
                  <w:tcBorders>
                    <w:tl2br w:val="nil"/>
                    <w:tr2bl w:val="nil"/>
                  </w:tcBorders>
                  <w:shd w:val="clear" w:color="auto" w:fill="FFFFFF"/>
                  <w:noWrap w:val="0"/>
                  <w:tcMar>
                    <w:top w:w="135" w:type="dxa"/>
                    <w:left w:w="270" w:type="dxa"/>
                    <w:bottom w:w="135" w:type="dxa"/>
                    <w:right w:w="270" w:type="dxa"/>
                  </w:tcMar>
                  <w:vAlign w:val="center"/>
                </w:tcPr>
                <w:p w14:paraId="43EDF541">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i w:val="0"/>
                      <w:iCs w:val="0"/>
                      <w:caps w:val="0"/>
                      <w:color w:val="auto"/>
                      <w:spacing w:val="0"/>
                      <w:kern w:val="21"/>
                      <w:sz w:val="21"/>
                      <w:szCs w:val="21"/>
                      <w:u w:val="none" w:color="auto"/>
                      <w:lang w:val="en-US" w:eastAsia="zh-CN" w:bidi="ar-SA"/>
                    </w:rPr>
                  </w:pPr>
                  <w:r>
                    <w:rPr>
                      <w:rFonts w:hint="default" w:ascii="Times New Roman" w:hAnsi="Times New Roman" w:eastAsia="宋体" w:cs="Times New Roman"/>
                      <w:i w:val="0"/>
                      <w:iCs w:val="0"/>
                      <w:caps w:val="0"/>
                      <w:color w:val="auto"/>
                      <w:spacing w:val="0"/>
                      <w:kern w:val="21"/>
                      <w:sz w:val="21"/>
                      <w:szCs w:val="21"/>
                      <w:u w:val="none" w:color="auto"/>
                      <w:lang w:val="en-US" w:eastAsia="zh-CN" w:bidi="ar"/>
                    </w:rPr>
                    <w:t>变频调速控制；泵房吸声墙面</w:t>
                  </w:r>
                </w:p>
              </w:tc>
              <w:tc>
                <w:tcPr>
                  <w:tcW w:w="713" w:type="pct"/>
                  <w:tcBorders>
                    <w:tl2br w:val="nil"/>
                    <w:tr2bl w:val="nil"/>
                  </w:tcBorders>
                  <w:shd w:val="clear" w:color="auto" w:fill="FFFFFF"/>
                  <w:noWrap w:val="0"/>
                  <w:tcMar>
                    <w:top w:w="135" w:type="dxa"/>
                    <w:left w:w="270" w:type="dxa"/>
                    <w:bottom w:w="135" w:type="dxa"/>
                    <w:right w:w="270" w:type="dxa"/>
                  </w:tcMar>
                  <w:vAlign w:val="center"/>
                </w:tcPr>
                <w:p w14:paraId="7563965A">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i w:val="0"/>
                      <w:iCs w:val="0"/>
                      <w:caps w:val="0"/>
                      <w:color w:val="auto"/>
                      <w:spacing w:val="0"/>
                      <w:kern w:val="21"/>
                      <w:sz w:val="21"/>
                      <w:szCs w:val="21"/>
                      <w:u w:val="none" w:color="auto"/>
                      <w:lang w:val="en-US" w:eastAsia="zh-CN" w:bidi="ar"/>
                    </w:rPr>
                  </w:pPr>
                  <w:r>
                    <w:rPr>
                      <w:rFonts w:hint="default" w:ascii="Times New Roman" w:hAnsi="Times New Roman" w:eastAsia="宋体" w:cs="Times New Roman"/>
                      <w:i w:val="0"/>
                      <w:iCs w:val="0"/>
                      <w:caps w:val="0"/>
                      <w:color w:val="auto"/>
                      <w:spacing w:val="0"/>
                      <w:kern w:val="21"/>
                      <w:sz w:val="21"/>
                      <w:szCs w:val="21"/>
                      <w:u w:val="none" w:color="auto"/>
                      <w:lang w:val="en-US" w:eastAsia="zh-CN" w:bidi="ar"/>
                    </w:rPr>
                    <w:t>10-13</w:t>
                  </w:r>
                </w:p>
              </w:tc>
            </w:tr>
            <w:tr w14:paraId="70ECBF3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gridAfter w:val="1"/>
                <w:wAfter w:w="3" w:type="pct"/>
                <w:trHeight w:val="23" w:hRule="atLeast"/>
              </w:trPr>
              <w:tc>
                <w:tcPr>
                  <w:tcW w:w="661" w:type="pct"/>
                  <w:tcBorders>
                    <w:tl2br w:val="nil"/>
                    <w:tr2bl w:val="nil"/>
                  </w:tcBorders>
                  <w:shd w:val="clear" w:color="auto" w:fill="FFFFFF"/>
                  <w:noWrap w:val="0"/>
                  <w:tcMar>
                    <w:top w:w="135" w:type="dxa"/>
                    <w:left w:w="270" w:type="dxa"/>
                    <w:bottom w:w="135" w:type="dxa"/>
                    <w:right w:w="270" w:type="dxa"/>
                  </w:tcMar>
                  <w:vAlign w:val="center"/>
                </w:tcPr>
                <w:p w14:paraId="6E3C5450">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制氮机</w:t>
                  </w:r>
                </w:p>
              </w:tc>
              <w:tc>
                <w:tcPr>
                  <w:tcW w:w="398" w:type="pct"/>
                  <w:tcBorders>
                    <w:tl2br w:val="nil"/>
                    <w:tr2bl w:val="nil"/>
                  </w:tcBorders>
                  <w:shd w:val="clear" w:color="auto" w:fill="FFFFFF"/>
                  <w:noWrap w:val="0"/>
                  <w:tcMar>
                    <w:top w:w="135" w:type="dxa"/>
                    <w:left w:w="270" w:type="dxa"/>
                    <w:bottom w:w="135" w:type="dxa"/>
                    <w:right w:w="270" w:type="dxa"/>
                  </w:tcMar>
                  <w:vAlign w:val="center"/>
                </w:tcPr>
                <w:p w14:paraId="44E3F13E">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套</w:t>
                  </w:r>
                </w:p>
              </w:tc>
              <w:tc>
                <w:tcPr>
                  <w:tcW w:w="527" w:type="pct"/>
                  <w:tcBorders>
                    <w:tl2br w:val="nil"/>
                    <w:tr2bl w:val="nil"/>
                  </w:tcBorders>
                  <w:shd w:val="clear" w:color="auto" w:fill="FFFFFF"/>
                  <w:noWrap w:val="0"/>
                  <w:tcMar>
                    <w:top w:w="135" w:type="dxa"/>
                    <w:left w:w="270" w:type="dxa"/>
                    <w:bottom w:w="135" w:type="dxa"/>
                    <w:right w:w="270" w:type="dxa"/>
                  </w:tcMar>
                  <w:vAlign w:val="center"/>
                </w:tcPr>
                <w:p w14:paraId="477BFE80">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1</w:t>
                  </w:r>
                </w:p>
              </w:tc>
              <w:tc>
                <w:tcPr>
                  <w:tcW w:w="734" w:type="pct"/>
                  <w:tcBorders>
                    <w:tl2br w:val="nil"/>
                    <w:tr2bl w:val="nil"/>
                  </w:tcBorders>
                  <w:shd w:val="clear" w:color="auto" w:fill="FFFFFF"/>
                  <w:noWrap w:val="0"/>
                  <w:tcMar>
                    <w:top w:w="135" w:type="dxa"/>
                    <w:left w:w="270" w:type="dxa"/>
                    <w:bottom w:w="135" w:type="dxa"/>
                    <w:right w:w="270" w:type="dxa"/>
                  </w:tcMar>
                  <w:vAlign w:val="center"/>
                </w:tcPr>
                <w:p w14:paraId="7EAC8DAE">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70-85</w:t>
                  </w:r>
                </w:p>
              </w:tc>
              <w:tc>
                <w:tcPr>
                  <w:tcW w:w="1005" w:type="pct"/>
                  <w:tcBorders>
                    <w:tl2br w:val="nil"/>
                    <w:tr2bl w:val="nil"/>
                  </w:tcBorders>
                  <w:shd w:val="clear" w:color="auto" w:fill="FFFFFF"/>
                  <w:noWrap w:val="0"/>
                  <w:tcMar>
                    <w:top w:w="135" w:type="dxa"/>
                    <w:left w:w="270" w:type="dxa"/>
                    <w:bottom w:w="135" w:type="dxa"/>
                    <w:right w:w="270" w:type="dxa"/>
                  </w:tcMar>
                  <w:vAlign w:val="center"/>
                </w:tcPr>
                <w:p w14:paraId="37EC3E17">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空气压缩和冷却风扇噪声</w:t>
                  </w:r>
                </w:p>
              </w:tc>
              <w:tc>
                <w:tcPr>
                  <w:tcW w:w="955" w:type="pct"/>
                  <w:tcBorders>
                    <w:tl2br w:val="nil"/>
                    <w:tr2bl w:val="nil"/>
                  </w:tcBorders>
                  <w:shd w:val="clear" w:color="auto" w:fill="FFFFFF"/>
                  <w:noWrap w:val="0"/>
                  <w:tcMar>
                    <w:top w:w="135" w:type="dxa"/>
                    <w:left w:w="270" w:type="dxa"/>
                    <w:bottom w:w="135" w:type="dxa"/>
                    <w:right w:w="270" w:type="dxa"/>
                  </w:tcMar>
                  <w:vAlign w:val="center"/>
                </w:tcPr>
                <w:p w14:paraId="0B8FF679">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i w:val="0"/>
                      <w:iCs w:val="0"/>
                      <w:caps w:val="0"/>
                      <w:color w:val="auto"/>
                      <w:spacing w:val="0"/>
                      <w:kern w:val="21"/>
                      <w:sz w:val="21"/>
                      <w:szCs w:val="21"/>
                      <w:u w:val="none" w:color="auto"/>
                      <w:lang w:val="en-US" w:eastAsia="zh-CN" w:bidi="ar-SA"/>
                    </w:rPr>
                  </w:pPr>
                  <w:r>
                    <w:rPr>
                      <w:rFonts w:hint="default" w:ascii="Times New Roman" w:hAnsi="Times New Roman" w:eastAsia="宋体" w:cs="Times New Roman"/>
                      <w:i w:val="0"/>
                      <w:iCs w:val="0"/>
                      <w:caps w:val="0"/>
                      <w:color w:val="auto"/>
                      <w:spacing w:val="0"/>
                      <w:kern w:val="21"/>
                      <w:sz w:val="21"/>
                      <w:szCs w:val="21"/>
                      <w:u w:val="none" w:color="auto"/>
                      <w:lang w:val="en-US" w:eastAsia="zh-CN" w:bidi="ar"/>
                    </w:rPr>
                    <w:t>进气消声器；冷却风扇导流罩</w:t>
                  </w:r>
                </w:p>
              </w:tc>
              <w:tc>
                <w:tcPr>
                  <w:tcW w:w="713" w:type="pct"/>
                  <w:tcBorders>
                    <w:tl2br w:val="nil"/>
                    <w:tr2bl w:val="nil"/>
                  </w:tcBorders>
                  <w:shd w:val="clear" w:color="auto" w:fill="FFFFFF"/>
                  <w:noWrap w:val="0"/>
                  <w:tcMar>
                    <w:top w:w="135" w:type="dxa"/>
                    <w:left w:w="270" w:type="dxa"/>
                    <w:bottom w:w="135" w:type="dxa"/>
                    <w:right w:w="270" w:type="dxa"/>
                  </w:tcMar>
                  <w:vAlign w:val="center"/>
                </w:tcPr>
                <w:p w14:paraId="284D759E">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i w:val="0"/>
                      <w:iCs w:val="0"/>
                      <w:caps w:val="0"/>
                      <w:color w:val="auto"/>
                      <w:spacing w:val="0"/>
                      <w:kern w:val="21"/>
                      <w:sz w:val="21"/>
                      <w:szCs w:val="21"/>
                      <w:u w:val="none" w:color="auto"/>
                      <w:lang w:val="en-US" w:eastAsia="zh-CN" w:bidi="ar"/>
                    </w:rPr>
                  </w:pPr>
                  <w:r>
                    <w:rPr>
                      <w:rFonts w:hint="default" w:ascii="Times New Roman" w:hAnsi="Times New Roman" w:eastAsia="宋体" w:cs="Times New Roman"/>
                      <w:i w:val="0"/>
                      <w:iCs w:val="0"/>
                      <w:caps w:val="0"/>
                      <w:color w:val="auto"/>
                      <w:spacing w:val="0"/>
                      <w:kern w:val="21"/>
                      <w:sz w:val="21"/>
                      <w:szCs w:val="21"/>
                      <w:u w:val="none" w:color="auto"/>
                      <w:lang w:val="en-US" w:eastAsia="zh-CN" w:bidi="ar"/>
                    </w:rPr>
                    <w:t>8-10</w:t>
                  </w:r>
                </w:p>
              </w:tc>
            </w:tr>
            <w:tr w14:paraId="1408830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gridAfter w:val="1"/>
                <w:wAfter w:w="3" w:type="pct"/>
                <w:trHeight w:val="23" w:hRule="atLeast"/>
              </w:trPr>
              <w:tc>
                <w:tcPr>
                  <w:tcW w:w="661" w:type="pct"/>
                  <w:tcBorders>
                    <w:tl2br w:val="nil"/>
                    <w:tr2bl w:val="nil"/>
                  </w:tcBorders>
                  <w:shd w:val="clear" w:color="auto" w:fill="FFFFFF"/>
                  <w:noWrap w:val="0"/>
                  <w:tcMar>
                    <w:top w:w="135" w:type="dxa"/>
                    <w:left w:w="270" w:type="dxa"/>
                    <w:bottom w:w="135" w:type="dxa"/>
                    <w:right w:w="270" w:type="dxa"/>
                  </w:tcMar>
                  <w:vAlign w:val="center"/>
                </w:tcPr>
                <w:p w14:paraId="5E3D22D0">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铸锭机</w:t>
                  </w:r>
                </w:p>
              </w:tc>
              <w:tc>
                <w:tcPr>
                  <w:tcW w:w="398" w:type="pct"/>
                  <w:tcBorders>
                    <w:tl2br w:val="nil"/>
                    <w:tr2bl w:val="nil"/>
                  </w:tcBorders>
                  <w:shd w:val="clear" w:color="auto" w:fill="FFFFFF"/>
                  <w:noWrap w:val="0"/>
                  <w:tcMar>
                    <w:top w:w="135" w:type="dxa"/>
                    <w:left w:w="270" w:type="dxa"/>
                    <w:bottom w:w="135" w:type="dxa"/>
                    <w:right w:w="270" w:type="dxa"/>
                  </w:tcMar>
                  <w:vAlign w:val="center"/>
                </w:tcPr>
                <w:p w14:paraId="2EB95F77">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台</w:t>
                  </w:r>
                </w:p>
              </w:tc>
              <w:tc>
                <w:tcPr>
                  <w:tcW w:w="527" w:type="pct"/>
                  <w:tcBorders>
                    <w:tl2br w:val="nil"/>
                    <w:tr2bl w:val="nil"/>
                  </w:tcBorders>
                  <w:shd w:val="clear" w:color="auto" w:fill="FFFFFF"/>
                  <w:noWrap w:val="0"/>
                  <w:tcMar>
                    <w:top w:w="135" w:type="dxa"/>
                    <w:left w:w="270" w:type="dxa"/>
                    <w:bottom w:w="135" w:type="dxa"/>
                    <w:right w:w="270" w:type="dxa"/>
                  </w:tcMar>
                  <w:vAlign w:val="center"/>
                </w:tcPr>
                <w:p w14:paraId="5C20D7BB">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1</w:t>
                  </w:r>
                </w:p>
              </w:tc>
              <w:tc>
                <w:tcPr>
                  <w:tcW w:w="734" w:type="pct"/>
                  <w:tcBorders>
                    <w:tl2br w:val="nil"/>
                    <w:tr2bl w:val="nil"/>
                  </w:tcBorders>
                  <w:shd w:val="clear" w:color="auto" w:fill="FFFFFF"/>
                  <w:noWrap w:val="0"/>
                  <w:tcMar>
                    <w:top w:w="135" w:type="dxa"/>
                    <w:left w:w="270" w:type="dxa"/>
                    <w:bottom w:w="135" w:type="dxa"/>
                    <w:right w:w="270" w:type="dxa"/>
                  </w:tcMar>
                  <w:vAlign w:val="center"/>
                </w:tcPr>
                <w:p w14:paraId="6DB0EF41">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75-90</w:t>
                  </w:r>
                </w:p>
              </w:tc>
              <w:tc>
                <w:tcPr>
                  <w:tcW w:w="1005" w:type="pct"/>
                  <w:tcBorders>
                    <w:tl2br w:val="nil"/>
                    <w:tr2bl w:val="nil"/>
                  </w:tcBorders>
                  <w:shd w:val="clear" w:color="auto" w:fill="FFFFFF"/>
                  <w:noWrap w:val="0"/>
                  <w:tcMar>
                    <w:top w:w="135" w:type="dxa"/>
                    <w:left w:w="270" w:type="dxa"/>
                    <w:bottom w:w="135" w:type="dxa"/>
                    <w:right w:w="270" w:type="dxa"/>
                  </w:tcMar>
                  <w:vAlign w:val="center"/>
                </w:tcPr>
                <w:p w14:paraId="37C258BE">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金属浇铸和冷却的碰撞声</w:t>
                  </w:r>
                </w:p>
              </w:tc>
              <w:tc>
                <w:tcPr>
                  <w:tcW w:w="955" w:type="pct"/>
                  <w:tcBorders>
                    <w:tl2br w:val="nil"/>
                    <w:tr2bl w:val="nil"/>
                  </w:tcBorders>
                  <w:shd w:val="clear" w:color="auto" w:fill="FFFFFF"/>
                  <w:noWrap w:val="0"/>
                  <w:tcMar>
                    <w:top w:w="135" w:type="dxa"/>
                    <w:left w:w="270" w:type="dxa"/>
                    <w:bottom w:w="135" w:type="dxa"/>
                    <w:right w:w="270" w:type="dxa"/>
                  </w:tcMar>
                  <w:vAlign w:val="center"/>
                </w:tcPr>
                <w:p w14:paraId="25DC8A49">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i w:val="0"/>
                      <w:iCs w:val="0"/>
                      <w:caps w:val="0"/>
                      <w:color w:val="auto"/>
                      <w:spacing w:val="0"/>
                      <w:kern w:val="21"/>
                      <w:sz w:val="21"/>
                      <w:szCs w:val="21"/>
                      <w:u w:val="none" w:color="auto"/>
                      <w:lang w:val="en-US" w:eastAsia="zh-CN" w:bidi="ar-SA"/>
                    </w:rPr>
                  </w:pPr>
                  <w:r>
                    <w:rPr>
                      <w:rFonts w:hint="default" w:ascii="Times New Roman" w:hAnsi="Times New Roman" w:eastAsia="宋体" w:cs="Times New Roman"/>
                      <w:i w:val="0"/>
                      <w:iCs w:val="0"/>
                      <w:caps w:val="0"/>
                      <w:color w:val="auto"/>
                      <w:spacing w:val="0"/>
                      <w:kern w:val="21"/>
                      <w:sz w:val="21"/>
                      <w:szCs w:val="21"/>
                      <w:u w:val="none" w:color="auto"/>
                      <w:lang w:val="en-US" w:eastAsia="zh-CN" w:bidi="ar"/>
                    </w:rPr>
                    <w:t>浇铸区透明隔声罩；冷却水槽缓冲挡板</w:t>
                  </w:r>
                </w:p>
              </w:tc>
              <w:tc>
                <w:tcPr>
                  <w:tcW w:w="713" w:type="pct"/>
                  <w:tcBorders>
                    <w:tl2br w:val="nil"/>
                    <w:tr2bl w:val="nil"/>
                  </w:tcBorders>
                  <w:shd w:val="clear" w:color="auto" w:fill="FFFFFF"/>
                  <w:noWrap w:val="0"/>
                  <w:tcMar>
                    <w:top w:w="135" w:type="dxa"/>
                    <w:left w:w="270" w:type="dxa"/>
                    <w:bottom w:w="135" w:type="dxa"/>
                    <w:right w:w="270" w:type="dxa"/>
                  </w:tcMar>
                  <w:vAlign w:val="center"/>
                </w:tcPr>
                <w:p w14:paraId="30313179">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i w:val="0"/>
                      <w:iCs w:val="0"/>
                      <w:caps w:val="0"/>
                      <w:color w:val="auto"/>
                      <w:spacing w:val="0"/>
                      <w:kern w:val="21"/>
                      <w:sz w:val="21"/>
                      <w:szCs w:val="21"/>
                      <w:u w:val="none" w:color="auto"/>
                      <w:lang w:val="en-US" w:eastAsia="zh-CN" w:bidi="ar"/>
                    </w:rPr>
                  </w:pPr>
                  <w:r>
                    <w:rPr>
                      <w:rFonts w:hint="default" w:ascii="Times New Roman" w:hAnsi="Times New Roman" w:eastAsia="宋体" w:cs="Times New Roman"/>
                      <w:i w:val="0"/>
                      <w:iCs w:val="0"/>
                      <w:caps w:val="0"/>
                      <w:color w:val="auto"/>
                      <w:spacing w:val="0"/>
                      <w:kern w:val="21"/>
                      <w:sz w:val="21"/>
                      <w:szCs w:val="21"/>
                      <w:u w:val="none" w:color="auto"/>
                      <w:lang w:val="en-US" w:eastAsia="zh-CN" w:bidi="ar"/>
                    </w:rPr>
                    <w:t>10-14</w:t>
                  </w:r>
                </w:p>
              </w:tc>
            </w:tr>
            <w:tr w14:paraId="634683B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gridAfter w:val="1"/>
                <w:wAfter w:w="3" w:type="pct"/>
                <w:trHeight w:val="23" w:hRule="atLeast"/>
              </w:trPr>
              <w:tc>
                <w:tcPr>
                  <w:tcW w:w="661" w:type="pct"/>
                  <w:tcBorders>
                    <w:tl2br w:val="nil"/>
                    <w:tr2bl w:val="nil"/>
                  </w:tcBorders>
                  <w:shd w:val="clear" w:color="auto" w:fill="FFFFFF"/>
                  <w:noWrap w:val="0"/>
                  <w:tcMar>
                    <w:top w:w="135" w:type="dxa"/>
                    <w:left w:w="270" w:type="dxa"/>
                    <w:bottom w:w="135" w:type="dxa"/>
                    <w:right w:w="270" w:type="dxa"/>
                  </w:tcMar>
                  <w:vAlign w:val="center"/>
                </w:tcPr>
                <w:p w14:paraId="369EBF69">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立式搅拌机</w:t>
                  </w:r>
                </w:p>
              </w:tc>
              <w:tc>
                <w:tcPr>
                  <w:tcW w:w="398" w:type="pct"/>
                  <w:tcBorders>
                    <w:tl2br w:val="nil"/>
                    <w:tr2bl w:val="nil"/>
                  </w:tcBorders>
                  <w:shd w:val="clear" w:color="auto" w:fill="FFFFFF"/>
                  <w:noWrap w:val="0"/>
                  <w:tcMar>
                    <w:top w:w="135" w:type="dxa"/>
                    <w:left w:w="270" w:type="dxa"/>
                    <w:bottom w:w="135" w:type="dxa"/>
                    <w:right w:w="270" w:type="dxa"/>
                  </w:tcMar>
                  <w:vAlign w:val="center"/>
                </w:tcPr>
                <w:p w14:paraId="1E7DB6B7">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台</w:t>
                  </w:r>
                </w:p>
              </w:tc>
              <w:tc>
                <w:tcPr>
                  <w:tcW w:w="527" w:type="pct"/>
                  <w:tcBorders>
                    <w:tl2br w:val="nil"/>
                    <w:tr2bl w:val="nil"/>
                  </w:tcBorders>
                  <w:shd w:val="clear" w:color="auto" w:fill="FFFFFF"/>
                  <w:noWrap w:val="0"/>
                  <w:tcMar>
                    <w:top w:w="135" w:type="dxa"/>
                    <w:left w:w="270" w:type="dxa"/>
                    <w:bottom w:w="135" w:type="dxa"/>
                    <w:right w:w="270" w:type="dxa"/>
                  </w:tcMar>
                  <w:vAlign w:val="center"/>
                </w:tcPr>
                <w:p w14:paraId="068186E4">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3</w:t>
                  </w:r>
                </w:p>
              </w:tc>
              <w:tc>
                <w:tcPr>
                  <w:tcW w:w="734" w:type="pct"/>
                  <w:tcBorders>
                    <w:tl2br w:val="nil"/>
                    <w:tr2bl w:val="nil"/>
                  </w:tcBorders>
                  <w:shd w:val="clear" w:color="auto" w:fill="FFFFFF"/>
                  <w:noWrap w:val="0"/>
                  <w:tcMar>
                    <w:top w:w="135" w:type="dxa"/>
                    <w:left w:w="270" w:type="dxa"/>
                    <w:bottom w:w="135" w:type="dxa"/>
                    <w:right w:w="270" w:type="dxa"/>
                  </w:tcMar>
                  <w:vAlign w:val="center"/>
                </w:tcPr>
                <w:p w14:paraId="369D492D">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80-95</w:t>
                  </w:r>
                </w:p>
              </w:tc>
              <w:tc>
                <w:tcPr>
                  <w:tcW w:w="1005" w:type="pct"/>
                  <w:tcBorders>
                    <w:tl2br w:val="nil"/>
                    <w:tr2bl w:val="nil"/>
                  </w:tcBorders>
                  <w:shd w:val="clear" w:color="auto" w:fill="FFFFFF"/>
                  <w:noWrap w:val="0"/>
                  <w:tcMar>
                    <w:top w:w="135" w:type="dxa"/>
                    <w:left w:w="270" w:type="dxa"/>
                    <w:bottom w:w="135" w:type="dxa"/>
                    <w:right w:w="270" w:type="dxa"/>
                  </w:tcMar>
                  <w:vAlign w:val="center"/>
                </w:tcPr>
                <w:p w14:paraId="013B4863">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搅拌叶片与物料摩擦噪声（尺寸大导致较高）</w:t>
                  </w:r>
                </w:p>
              </w:tc>
              <w:tc>
                <w:tcPr>
                  <w:tcW w:w="955" w:type="pct"/>
                  <w:tcBorders>
                    <w:tl2br w:val="nil"/>
                    <w:tr2bl w:val="nil"/>
                  </w:tcBorders>
                  <w:shd w:val="clear" w:color="auto" w:fill="FFFFFF"/>
                  <w:noWrap w:val="0"/>
                  <w:tcMar>
                    <w:top w:w="135" w:type="dxa"/>
                    <w:left w:w="270" w:type="dxa"/>
                    <w:bottom w:w="135" w:type="dxa"/>
                    <w:right w:w="270" w:type="dxa"/>
                  </w:tcMar>
                  <w:vAlign w:val="center"/>
                </w:tcPr>
                <w:p w14:paraId="0EED51C7">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i w:val="0"/>
                      <w:iCs w:val="0"/>
                      <w:caps w:val="0"/>
                      <w:color w:val="auto"/>
                      <w:spacing w:val="0"/>
                      <w:kern w:val="21"/>
                      <w:sz w:val="21"/>
                      <w:szCs w:val="21"/>
                      <w:u w:val="none" w:color="auto"/>
                      <w:lang w:val="en-US" w:eastAsia="zh-CN" w:bidi="ar-SA"/>
                    </w:rPr>
                  </w:pPr>
                  <w:r>
                    <w:rPr>
                      <w:rFonts w:hint="default" w:ascii="Times New Roman" w:hAnsi="Times New Roman" w:eastAsia="宋体" w:cs="Times New Roman"/>
                      <w:i w:val="0"/>
                      <w:iCs w:val="0"/>
                      <w:caps w:val="0"/>
                      <w:color w:val="auto"/>
                      <w:spacing w:val="0"/>
                      <w:kern w:val="21"/>
                      <w:sz w:val="21"/>
                      <w:szCs w:val="21"/>
                      <w:u w:val="none" w:color="auto"/>
                      <w:lang w:val="en-US" w:eastAsia="zh-CN" w:bidi="ar"/>
                    </w:rPr>
                    <w:t>叶片阻尼涂层台；设备底座弹簧减振器</w:t>
                  </w:r>
                </w:p>
              </w:tc>
              <w:tc>
                <w:tcPr>
                  <w:tcW w:w="713" w:type="pct"/>
                  <w:tcBorders>
                    <w:tl2br w:val="nil"/>
                    <w:tr2bl w:val="nil"/>
                  </w:tcBorders>
                  <w:shd w:val="clear" w:color="auto" w:fill="FFFFFF"/>
                  <w:noWrap w:val="0"/>
                  <w:tcMar>
                    <w:top w:w="135" w:type="dxa"/>
                    <w:left w:w="270" w:type="dxa"/>
                    <w:bottom w:w="135" w:type="dxa"/>
                    <w:right w:w="270" w:type="dxa"/>
                  </w:tcMar>
                  <w:vAlign w:val="center"/>
                </w:tcPr>
                <w:p w14:paraId="6E7178AF">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i w:val="0"/>
                      <w:iCs w:val="0"/>
                      <w:caps w:val="0"/>
                      <w:color w:val="auto"/>
                      <w:spacing w:val="0"/>
                      <w:kern w:val="21"/>
                      <w:sz w:val="21"/>
                      <w:szCs w:val="21"/>
                      <w:u w:val="none" w:color="auto"/>
                      <w:lang w:val="en-US" w:eastAsia="zh-CN" w:bidi="ar"/>
                    </w:rPr>
                  </w:pPr>
                  <w:r>
                    <w:rPr>
                      <w:rFonts w:hint="default" w:ascii="Times New Roman" w:hAnsi="Times New Roman" w:eastAsia="宋体" w:cs="Times New Roman"/>
                      <w:i w:val="0"/>
                      <w:iCs w:val="0"/>
                      <w:caps w:val="0"/>
                      <w:color w:val="auto"/>
                      <w:spacing w:val="0"/>
                      <w:kern w:val="21"/>
                      <w:sz w:val="21"/>
                      <w:szCs w:val="21"/>
                      <w:u w:val="none" w:color="auto"/>
                      <w:lang w:val="en-US" w:eastAsia="zh-CN" w:bidi="ar"/>
                    </w:rPr>
                    <w:t>6-8</w:t>
                  </w:r>
                </w:p>
              </w:tc>
            </w:tr>
            <w:tr w14:paraId="24A2CFE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gridAfter w:val="1"/>
                <w:wAfter w:w="3" w:type="pct"/>
                <w:trHeight w:val="23" w:hRule="atLeast"/>
              </w:trPr>
              <w:tc>
                <w:tcPr>
                  <w:tcW w:w="661" w:type="pct"/>
                  <w:tcBorders>
                    <w:tl2br w:val="nil"/>
                    <w:tr2bl w:val="nil"/>
                  </w:tcBorders>
                  <w:shd w:val="clear" w:color="auto" w:fill="FFFFFF"/>
                  <w:noWrap w:val="0"/>
                  <w:tcMar>
                    <w:top w:w="135" w:type="dxa"/>
                    <w:left w:w="270" w:type="dxa"/>
                    <w:bottom w:w="135" w:type="dxa"/>
                    <w:right w:w="270" w:type="dxa"/>
                  </w:tcMar>
                  <w:vAlign w:val="center"/>
                </w:tcPr>
                <w:p w14:paraId="561B22CB">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冷灰桶</w:t>
                  </w:r>
                </w:p>
              </w:tc>
              <w:tc>
                <w:tcPr>
                  <w:tcW w:w="398" w:type="pct"/>
                  <w:tcBorders>
                    <w:tl2br w:val="nil"/>
                    <w:tr2bl w:val="nil"/>
                  </w:tcBorders>
                  <w:shd w:val="clear" w:color="auto" w:fill="FFFFFF"/>
                  <w:noWrap w:val="0"/>
                  <w:tcMar>
                    <w:top w:w="135" w:type="dxa"/>
                    <w:left w:w="270" w:type="dxa"/>
                    <w:bottom w:w="135" w:type="dxa"/>
                    <w:right w:w="270" w:type="dxa"/>
                  </w:tcMar>
                  <w:vAlign w:val="center"/>
                </w:tcPr>
                <w:p w14:paraId="0FF4CAC5">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台</w:t>
                  </w:r>
                </w:p>
              </w:tc>
              <w:tc>
                <w:tcPr>
                  <w:tcW w:w="527" w:type="pct"/>
                  <w:tcBorders>
                    <w:tl2br w:val="nil"/>
                    <w:tr2bl w:val="nil"/>
                  </w:tcBorders>
                  <w:shd w:val="clear" w:color="auto" w:fill="FFFFFF"/>
                  <w:noWrap w:val="0"/>
                  <w:tcMar>
                    <w:top w:w="135" w:type="dxa"/>
                    <w:left w:w="270" w:type="dxa"/>
                    <w:bottom w:w="135" w:type="dxa"/>
                    <w:right w:w="270" w:type="dxa"/>
                  </w:tcMar>
                  <w:vAlign w:val="center"/>
                </w:tcPr>
                <w:p w14:paraId="5D2ED73D">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2</w:t>
                  </w:r>
                </w:p>
              </w:tc>
              <w:tc>
                <w:tcPr>
                  <w:tcW w:w="734" w:type="pct"/>
                  <w:tcBorders>
                    <w:tl2br w:val="nil"/>
                    <w:tr2bl w:val="nil"/>
                  </w:tcBorders>
                  <w:shd w:val="clear" w:color="auto" w:fill="FFFFFF"/>
                  <w:noWrap w:val="0"/>
                  <w:tcMar>
                    <w:top w:w="135" w:type="dxa"/>
                    <w:left w:w="270" w:type="dxa"/>
                    <w:bottom w:w="135" w:type="dxa"/>
                    <w:right w:w="270" w:type="dxa"/>
                  </w:tcMar>
                  <w:vAlign w:val="center"/>
                </w:tcPr>
                <w:p w14:paraId="130583CF">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70-85</w:t>
                  </w:r>
                </w:p>
              </w:tc>
              <w:tc>
                <w:tcPr>
                  <w:tcW w:w="1005" w:type="pct"/>
                  <w:tcBorders>
                    <w:tl2br w:val="nil"/>
                    <w:tr2bl w:val="nil"/>
                  </w:tcBorders>
                  <w:shd w:val="clear" w:color="auto" w:fill="FFFFFF"/>
                  <w:noWrap w:val="0"/>
                  <w:tcMar>
                    <w:top w:w="135" w:type="dxa"/>
                    <w:left w:w="270" w:type="dxa"/>
                    <w:bottom w:w="135" w:type="dxa"/>
                    <w:right w:w="270" w:type="dxa"/>
                  </w:tcMar>
                  <w:vAlign w:val="center"/>
                </w:tcPr>
                <w:p w14:paraId="63DD05A3">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灰料运输中的滚动和气流噪声</w:t>
                  </w:r>
                </w:p>
              </w:tc>
              <w:tc>
                <w:tcPr>
                  <w:tcW w:w="955" w:type="pct"/>
                  <w:tcBorders>
                    <w:tl2br w:val="nil"/>
                    <w:tr2bl w:val="nil"/>
                  </w:tcBorders>
                  <w:shd w:val="clear" w:color="auto" w:fill="FFFFFF"/>
                  <w:noWrap w:val="0"/>
                  <w:tcMar>
                    <w:top w:w="135" w:type="dxa"/>
                    <w:left w:w="270" w:type="dxa"/>
                    <w:bottom w:w="135" w:type="dxa"/>
                    <w:right w:w="270" w:type="dxa"/>
                  </w:tcMar>
                  <w:vAlign w:val="center"/>
                </w:tcPr>
                <w:p w14:paraId="422ED675">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i w:val="0"/>
                      <w:iCs w:val="0"/>
                      <w:caps w:val="0"/>
                      <w:color w:val="auto"/>
                      <w:spacing w:val="0"/>
                      <w:kern w:val="21"/>
                      <w:sz w:val="21"/>
                      <w:szCs w:val="21"/>
                      <w:u w:val="none" w:color="auto"/>
                      <w:lang w:val="en-US" w:eastAsia="zh-CN" w:bidi="ar-SA"/>
                    </w:rPr>
                  </w:pPr>
                  <w:r>
                    <w:rPr>
                      <w:rFonts w:hint="default" w:ascii="Times New Roman" w:hAnsi="Times New Roman" w:eastAsia="宋体" w:cs="Times New Roman"/>
                      <w:i w:val="0"/>
                      <w:iCs w:val="0"/>
                      <w:caps w:val="0"/>
                      <w:color w:val="auto"/>
                      <w:spacing w:val="0"/>
                      <w:kern w:val="21"/>
                      <w:sz w:val="21"/>
                      <w:szCs w:val="21"/>
                      <w:u w:val="none" w:color="auto"/>
                      <w:lang w:val="en-US" w:eastAsia="zh-CN" w:bidi="ar"/>
                    </w:rPr>
                    <w:t>进出口软连接</w:t>
                  </w:r>
                </w:p>
              </w:tc>
              <w:tc>
                <w:tcPr>
                  <w:tcW w:w="713" w:type="pct"/>
                  <w:tcBorders>
                    <w:tl2br w:val="nil"/>
                    <w:tr2bl w:val="nil"/>
                  </w:tcBorders>
                  <w:shd w:val="clear" w:color="auto" w:fill="FFFFFF"/>
                  <w:noWrap w:val="0"/>
                  <w:tcMar>
                    <w:top w:w="135" w:type="dxa"/>
                    <w:left w:w="270" w:type="dxa"/>
                    <w:bottom w:w="135" w:type="dxa"/>
                    <w:right w:w="270" w:type="dxa"/>
                  </w:tcMar>
                  <w:vAlign w:val="center"/>
                </w:tcPr>
                <w:p w14:paraId="5EC78425">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i w:val="0"/>
                      <w:iCs w:val="0"/>
                      <w:caps w:val="0"/>
                      <w:color w:val="auto"/>
                      <w:spacing w:val="0"/>
                      <w:kern w:val="21"/>
                      <w:sz w:val="21"/>
                      <w:szCs w:val="21"/>
                      <w:u w:val="none" w:color="auto"/>
                      <w:lang w:val="en-US" w:eastAsia="zh-CN" w:bidi="ar"/>
                    </w:rPr>
                  </w:pPr>
                  <w:r>
                    <w:rPr>
                      <w:rFonts w:hint="default" w:ascii="Times New Roman" w:hAnsi="Times New Roman" w:eastAsia="宋体" w:cs="Times New Roman"/>
                      <w:i w:val="0"/>
                      <w:iCs w:val="0"/>
                      <w:caps w:val="0"/>
                      <w:color w:val="auto"/>
                      <w:spacing w:val="0"/>
                      <w:kern w:val="21"/>
                      <w:sz w:val="21"/>
                      <w:szCs w:val="21"/>
                      <w:u w:val="none" w:color="auto"/>
                      <w:lang w:val="en-US" w:eastAsia="zh-CN" w:bidi="ar"/>
                    </w:rPr>
                    <w:t>8-10</w:t>
                  </w:r>
                </w:p>
              </w:tc>
            </w:tr>
            <w:tr w14:paraId="0C70E78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gridAfter w:val="1"/>
                <w:wAfter w:w="3" w:type="pct"/>
                <w:trHeight w:val="23" w:hRule="atLeast"/>
              </w:trPr>
              <w:tc>
                <w:tcPr>
                  <w:tcW w:w="661" w:type="pct"/>
                  <w:tcBorders>
                    <w:tl2br w:val="nil"/>
                    <w:tr2bl w:val="nil"/>
                  </w:tcBorders>
                  <w:shd w:val="clear" w:color="auto" w:fill="FFFFFF"/>
                  <w:noWrap w:val="0"/>
                  <w:tcMar>
                    <w:top w:w="135" w:type="dxa"/>
                    <w:left w:w="270" w:type="dxa"/>
                    <w:bottom w:w="135" w:type="dxa"/>
                    <w:right w:w="270" w:type="dxa"/>
                  </w:tcMar>
                  <w:vAlign w:val="center"/>
                </w:tcPr>
                <w:p w14:paraId="79AECC72">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球磨机</w:t>
                  </w:r>
                </w:p>
              </w:tc>
              <w:tc>
                <w:tcPr>
                  <w:tcW w:w="398" w:type="pct"/>
                  <w:tcBorders>
                    <w:tl2br w:val="nil"/>
                    <w:tr2bl w:val="nil"/>
                  </w:tcBorders>
                  <w:shd w:val="clear" w:color="auto" w:fill="FFFFFF"/>
                  <w:noWrap w:val="0"/>
                  <w:tcMar>
                    <w:top w:w="135" w:type="dxa"/>
                    <w:left w:w="270" w:type="dxa"/>
                    <w:bottom w:w="135" w:type="dxa"/>
                    <w:right w:w="270" w:type="dxa"/>
                  </w:tcMar>
                  <w:vAlign w:val="center"/>
                </w:tcPr>
                <w:p w14:paraId="478689BF">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台</w:t>
                  </w:r>
                </w:p>
              </w:tc>
              <w:tc>
                <w:tcPr>
                  <w:tcW w:w="527" w:type="pct"/>
                  <w:tcBorders>
                    <w:tl2br w:val="nil"/>
                    <w:tr2bl w:val="nil"/>
                  </w:tcBorders>
                  <w:shd w:val="clear" w:color="auto" w:fill="FFFFFF"/>
                  <w:noWrap w:val="0"/>
                  <w:tcMar>
                    <w:top w:w="135" w:type="dxa"/>
                    <w:left w:w="270" w:type="dxa"/>
                    <w:bottom w:w="135" w:type="dxa"/>
                    <w:right w:w="270" w:type="dxa"/>
                  </w:tcMar>
                  <w:vAlign w:val="center"/>
                </w:tcPr>
                <w:p w14:paraId="52A445EC">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1</w:t>
                  </w:r>
                </w:p>
              </w:tc>
              <w:tc>
                <w:tcPr>
                  <w:tcW w:w="734" w:type="pct"/>
                  <w:tcBorders>
                    <w:tl2br w:val="nil"/>
                    <w:tr2bl w:val="nil"/>
                  </w:tcBorders>
                  <w:shd w:val="clear" w:color="auto" w:fill="FFFFFF"/>
                  <w:noWrap w:val="0"/>
                  <w:tcMar>
                    <w:top w:w="135" w:type="dxa"/>
                    <w:left w:w="270" w:type="dxa"/>
                    <w:bottom w:w="135" w:type="dxa"/>
                    <w:right w:w="270" w:type="dxa"/>
                  </w:tcMar>
                  <w:vAlign w:val="center"/>
                </w:tcPr>
                <w:p w14:paraId="304BE0CC">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90-105</w:t>
                  </w:r>
                </w:p>
              </w:tc>
              <w:tc>
                <w:tcPr>
                  <w:tcW w:w="1005" w:type="pct"/>
                  <w:tcBorders>
                    <w:tl2br w:val="nil"/>
                    <w:tr2bl w:val="nil"/>
                  </w:tcBorders>
                  <w:shd w:val="clear" w:color="auto" w:fill="FFFFFF"/>
                  <w:noWrap w:val="0"/>
                  <w:tcMar>
                    <w:top w:w="135" w:type="dxa"/>
                    <w:left w:w="270" w:type="dxa"/>
                    <w:bottom w:w="135" w:type="dxa"/>
                    <w:right w:w="270" w:type="dxa"/>
                  </w:tcMar>
                  <w:vAlign w:val="center"/>
                </w:tcPr>
                <w:p w14:paraId="2A7FA593">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高噪声源（磨球碰撞和旋转声）</w:t>
                  </w:r>
                </w:p>
              </w:tc>
              <w:tc>
                <w:tcPr>
                  <w:tcW w:w="955" w:type="pct"/>
                  <w:tcBorders>
                    <w:tl2br w:val="nil"/>
                    <w:tr2bl w:val="nil"/>
                  </w:tcBorders>
                  <w:shd w:val="clear" w:color="auto" w:fill="FFFFFF"/>
                  <w:noWrap w:val="0"/>
                  <w:tcMar>
                    <w:top w:w="135" w:type="dxa"/>
                    <w:left w:w="270" w:type="dxa"/>
                    <w:bottom w:w="135" w:type="dxa"/>
                    <w:right w:w="270" w:type="dxa"/>
                  </w:tcMar>
                  <w:vAlign w:val="center"/>
                </w:tcPr>
                <w:p w14:paraId="17104B34">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i w:val="0"/>
                      <w:iCs w:val="0"/>
                      <w:caps w:val="0"/>
                      <w:color w:val="auto"/>
                      <w:spacing w:val="0"/>
                      <w:kern w:val="21"/>
                      <w:sz w:val="21"/>
                      <w:szCs w:val="21"/>
                      <w:u w:val="none" w:color="auto"/>
                      <w:lang w:val="en-US" w:eastAsia="zh-CN" w:bidi="ar-SA"/>
                    </w:rPr>
                  </w:pPr>
                  <w:r>
                    <w:rPr>
                      <w:rFonts w:hint="default" w:ascii="Times New Roman" w:hAnsi="Times New Roman" w:eastAsia="宋体" w:cs="Times New Roman"/>
                      <w:i w:val="0"/>
                      <w:iCs w:val="0"/>
                      <w:caps w:val="0"/>
                      <w:color w:val="auto"/>
                      <w:spacing w:val="0"/>
                      <w:kern w:val="21"/>
                      <w:sz w:val="21"/>
                      <w:szCs w:val="21"/>
                      <w:u w:val="none" w:color="auto"/>
                      <w:lang w:val="en-US" w:eastAsia="zh-CN" w:bidi="ar"/>
                    </w:rPr>
                    <w:t>橡胶衬板替代；双层隔声罩</w:t>
                  </w:r>
                </w:p>
              </w:tc>
              <w:tc>
                <w:tcPr>
                  <w:tcW w:w="713" w:type="pct"/>
                  <w:tcBorders>
                    <w:tl2br w:val="nil"/>
                    <w:tr2bl w:val="nil"/>
                  </w:tcBorders>
                  <w:shd w:val="clear" w:color="auto" w:fill="FFFFFF"/>
                  <w:noWrap w:val="0"/>
                  <w:tcMar>
                    <w:top w:w="135" w:type="dxa"/>
                    <w:left w:w="270" w:type="dxa"/>
                    <w:bottom w:w="135" w:type="dxa"/>
                    <w:right w:w="270" w:type="dxa"/>
                  </w:tcMar>
                  <w:vAlign w:val="center"/>
                </w:tcPr>
                <w:p w14:paraId="2FE4BA0A">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i w:val="0"/>
                      <w:iCs w:val="0"/>
                      <w:caps w:val="0"/>
                      <w:color w:val="auto"/>
                      <w:spacing w:val="0"/>
                      <w:kern w:val="21"/>
                      <w:sz w:val="21"/>
                      <w:szCs w:val="21"/>
                      <w:u w:val="none" w:color="auto"/>
                      <w:lang w:val="en-US" w:eastAsia="zh-CN" w:bidi="ar"/>
                    </w:rPr>
                  </w:pPr>
                  <w:r>
                    <w:rPr>
                      <w:rFonts w:hint="default" w:ascii="Times New Roman" w:hAnsi="Times New Roman" w:eastAsia="宋体" w:cs="Times New Roman"/>
                      <w:i w:val="0"/>
                      <w:iCs w:val="0"/>
                      <w:caps w:val="0"/>
                      <w:color w:val="auto"/>
                      <w:spacing w:val="0"/>
                      <w:kern w:val="21"/>
                      <w:sz w:val="21"/>
                      <w:szCs w:val="21"/>
                      <w:u w:val="none" w:color="auto"/>
                      <w:lang w:val="en-US" w:eastAsia="zh-CN" w:bidi="ar"/>
                    </w:rPr>
                    <w:t>15-20</w:t>
                  </w:r>
                </w:p>
              </w:tc>
            </w:tr>
            <w:tr w14:paraId="5D29DA3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gridAfter w:val="1"/>
                <w:wAfter w:w="3" w:type="pct"/>
                <w:trHeight w:val="23" w:hRule="atLeast"/>
              </w:trPr>
              <w:tc>
                <w:tcPr>
                  <w:tcW w:w="661" w:type="pct"/>
                  <w:tcBorders>
                    <w:tl2br w:val="nil"/>
                    <w:tr2bl w:val="nil"/>
                  </w:tcBorders>
                  <w:shd w:val="clear" w:color="auto" w:fill="FFFFFF"/>
                  <w:noWrap w:val="0"/>
                  <w:tcMar>
                    <w:top w:w="135" w:type="dxa"/>
                    <w:left w:w="270" w:type="dxa"/>
                    <w:bottom w:w="135" w:type="dxa"/>
                    <w:right w:w="270" w:type="dxa"/>
                  </w:tcMar>
                  <w:vAlign w:val="center"/>
                </w:tcPr>
                <w:p w14:paraId="5F28A997">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筛分机</w:t>
                  </w:r>
                </w:p>
              </w:tc>
              <w:tc>
                <w:tcPr>
                  <w:tcW w:w="398" w:type="pct"/>
                  <w:tcBorders>
                    <w:tl2br w:val="nil"/>
                    <w:tr2bl w:val="nil"/>
                  </w:tcBorders>
                  <w:shd w:val="clear" w:color="auto" w:fill="FFFFFF"/>
                  <w:noWrap w:val="0"/>
                  <w:tcMar>
                    <w:top w:w="135" w:type="dxa"/>
                    <w:left w:w="270" w:type="dxa"/>
                    <w:bottom w:w="135" w:type="dxa"/>
                    <w:right w:w="270" w:type="dxa"/>
                  </w:tcMar>
                  <w:vAlign w:val="center"/>
                </w:tcPr>
                <w:p w14:paraId="25AE4CD0">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台</w:t>
                  </w:r>
                </w:p>
              </w:tc>
              <w:tc>
                <w:tcPr>
                  <w:tcW w:w="527" w:type="pct"/>
                  <w:tcBorders>
                    <w:tl2br w:val="nil"/>
                    <w:tr2bl w:val="nil"/>
                  </w:tcBorders>
                  <w:shd w:val="clear" w:color="auto" w:fill="FFFFFF"/>
                  <w:noWrap w:val="0"/>
                  <w:tcMar>
                    <w:top w:w="135" w:type="dxa"/>
                    <w:left w:w="270" w:type="dxa"/>
                    <w:bottom w:w="135" w:type="dxa"/>
                    <w:right w:w="270" w:type="dxa"/>
                  </w:tcMar>
                  <w:vAlign w:val="center"/>
                </w:tcPr>
                <w:p w14:paraId="70822C0C">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1</w:t>
                  </w:r>
                </w:p>
              </w:tc>
              <w:tc>
                <w:tcPr>
                  <w:tcW w:w="734" w:type="pct"/>
                  <w:tcBorders>
                    <w:tl2br w:val="nil"/>
                    <w:tr2bl w:val="nil"/>
                  </w:tcBorders>
                  <w:shd w:val="clear" w:color="auto" w:fill="FFFFFF"/>
                  <w:noWrap w:val="0"/>
                  <w:tcMar>
                    <w:top w:w="135" w:type="dxa"/>
                    <w:left w:w="270" w:type="dxa"/>
                    <w:bottom w:w="135" w:type="dxa"/>
                    <w:right w:w="270" w:type="dxa"/>
                  </w:tcMar>
                  <w:vAlign w:val="center"/>
                </w:tcPr>
                <w:p w14:paraId="53755987">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85-100</w:t>
                  </w:r>
                </w:p>
              </w:tc>
              <w:tc>
                <w:tcPr>
                  <w:tcW w:w="1005" w:type="pct"/>
                  <w:tcBorders>
                    <w:tl2br w:val="nil"/>
                    <w:tr2bl w:val="nil"/>
                  </w:tcBorders>
                  <w:shd w:val="clear" w:color="auto" w:fill="FFFFFF"/>
                  <w:noWrap w:val="0"/>
                  <w:tcMar>
                    <w:top w:w="135" w:type="dxa"/>
                    <w:left w:w="270" w:type="dxa"/>
                    <w:bottom w:w="135" w:type="dxa"/>
                    <w:right w:w="270" w:type="dxa"/>
                  </w:tcMar>
                  <w:vAlign w:val="center"/>
                </w:tcPr>
                <w:p w14:paraId="09642C90">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筛网振动和物料冲击噪声</w:t>
                  </w:r>
                </w:p>
              </w:tc>
              <w:tc>
                <w:tcPr>
                  <w:tcW w:w="955" w:type="pct"/>
                  <w:tcBorders>
                    <w:tl2br w:val="nil"/>
                    <w:tr2bl w:val="nil"/>
                  </w:tcBorders>
                  <w:shd w:val="clear" w:color="auto" w:fill="FFFFFF"/>
                  <w:noWrap w:val="0"/>
                  <w:tcMar>
                    <w:top w:w="135" w:type="dxa"/>
                    <w:left w:w="270" w:type="dxa"/>
                    <w:bottom w:w="135" w:type="dxa"/>
                    <w:right w:w="270" w:type="dxa"/>
                  </w:tcMar>
                  <w:vAlign w:val="center"/>
                </w:tcPr>
                <w:p w14:paraId="51F56F5E">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i w:val="0"/>
                      <w:iCs w:val="0"/>
                      <w:caps w:val="0"/>
                      <w:color w:val="auto"/>
                      <w:spacing w:val="0"/>
                      <w:kern w:val="21"/>
                      <w:sz w:val="21"/>
                      <w:szCs w:val="21"/>
                      <w:u w:val="none" w:color="auto"/>
                      <w:lang w:val="en-US" w:eastAsia="zh-CN" w:bidi="ar-SA"/>
                    </w:rPr>
                  </w:pPr>
                  <w:r>
                    <w:rPr>
                      <w:rFonts w:hint="default" w:ascii="Times New Roman" w:hAnsi="Times New Roman" w:eastAsia="宋体" w:cs="Times New Roman"/>
                      <w:i w:val="0"/>
                      <w:iCs w:val="0"/>
                      <w:caps w:val="0"/>
                      <w:color w:val="auto"/>
                      <w:spacing w:val="0"/>
                      <w:kern w:val="21"/>
                      <w:sz w:val="21"/>
                      <w:szCs w:val="21"/>
                      <w:u w:val="none" w:color="auto"/>
                      <w:lang w:val="en-US" w:eastAsia="zh-CN" w:bidi="ar"/>
                    </w:rPr>
                    <w:t>橡胶弹簧支撑；下料口软导槽</w:t>
                  </w:r>
                </w:p>
              </w:tc>
              <w:tc>
                <w:tcPr>
                  <w:tcW w:w="713" w:type="pct"/>
                  <w:tcBorders>
                    <w:tl2br w:val="nil"/>
                    <w:tr2bl w:val="nil"/>
                  </w:tcBorders>
                  <w:shd w:val="clear" w:color="auto" w:fill="FFFFFF"/>
                  <w:noWrap w:val="0"/>
                  <w:tcMar>
                    <w:top w:w="135" w:type="dxa"/>
                    <w:left w:w="270" w:type="dxa"/>
                    <w:bottom w:w="135" w:type="dxa"/>
                    <w:right w:w="270" w:type="dxa"/>
                  </w:tcMar>
                  <w:vAlign w:val="center"/>
                </w:tcPr>
                <w:p w14:paraId="2F5F7CC1">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i w:val="0"/>
                      <w:iCs w:val="0"/>
                      <w:caps w:val="0"/>
                      <w:color w:val="auto"/>
                      <w:spacing w:val="0"/>
                      <w:kern w:val="21"/>
                      <w:sz w:val="21"/>
                      <w:szCs w:val="21"/>
                      <w:u w:val="none" w:color="auto"/>
                      <w:lang w:val="en-US" w:eastAsia="zh-CN" w:bidi="ar"/>
                    </w:rPr>
                  </w:pPr>
                  <w:r>
                    <w:rPr>
                      <w:rFonts w:hint="default" w:ascii="Times New Roman" w:hAnsi="Times New Roman" w:eastAsia="宋体" w:cs="Times New Roman"/>
                      <w:i w:val="0"/>
                      <w:iCs w:val="0"/>
                      <w:caps w:val="0"/>
                      <w:color w:val="auto"/>
                      <w:spacing w:val="0"/>
                      <w:kern w:val="21"/>
                      <w:sz w:val="21"/>
                      <w:szCs w:val="21"/>
                      <w:u w:val="none" w:color="auto"/>
                      <w:lang w:val="en-US" w:eastAsia="zh-CN" w:bidi="ar"/>
                    </w:rPr>
                    <w:t>8-10</w:t>
                  </w:r>
                </w:p>
              </w:tc>
            </w:tr>
            <w:tr w14:paraId="4C75FC6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gridAfter w:val="1"/>
                <w:wAfter w:w="3" w:type="pct"/>
                <w:trHeight w:val="23" w:hRule="atLeast"/>
              </w:trPr>
              <w:tc>
                <w:tcPr>
                  <w:tcW w:w="661" w:type="pct"/>
                  <w:tcBorders>
                    <w:tl2br w:val="nil"/>
                    <w:tr2bl w:val="nil"/>
                  </w:tcBorders>
                  <w:shd w:val="clear" w:color="auto" w:fill="FFFFFF"/>
                  <w:noWrap w:val="0"/>
                  <w:tcMar>
                    <w:top w:w="135" w:type="dxa"/>
                    <w:left w:w="270" w:type="dxa"/>
                    <w:bottom w:w="135" w:type="dxa"/>
                    <w:right w:w="270" w:type="dxa"/>
                  </w:tcMar>
                  <w:vAlign w:val="center"/>
                </w:tcPr>
                <w:p w14:paraId="13A30BA5">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倾动坩埚炉</w:t>
                  </w:r>
                </w:p>
              </w:tc>
              <w:tc>
                <w:tcPr>
                  <w:tcW w:w="398" w:type="pct"/>
                  <w:tcBorders>
                    <w:tl2br w:val="nil"/>
                    <w:tr2bl w:val="nil"/>
                  </w:tcBorders>
                  <w:shd w:val="clear" w:color="auto" w:fill="FFFFFF"/>
                  <w:noWrap w:val="0"/>
                  <w:tcMar>
                    <w:top w:w="135" w:type="dxa"/>
                    <w:left w:w="270" w:type="dxa"/>
                    <w:bottom w:w="135" w:type="dxa"/>
                    <w:right w:w="270" w:type="dxa"/>
                  </w:tcMar>
                  <w:vAlign w:val="center"/>
                </w:tcPr>
                <w:p w14:paraId="0EE70AD8">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台</w:t>
                  </w:r>
                </w:p>
              </w:tc>
              <w:tc>
                <w:tcPr>
                  <w:tcW w:w="527" w:type="pct"/>
                  <w:tcBorders>
                    <w:tl2br w:val="nil"/>
                    <w:tr2bl w:val="nil"/>
                  </w:tcBorders>
                  <w:shd w:val="clear" w:color="auto" w:fill="FFFFFF"/>
                  <w:noWrap w:val="0"/>
                  <w:tcMar>
                    <w:top w:w="135" w:type="dxa"/>
                    <w:left w:w="270" w:type="dxa"/>
                    <w:bottom w:w="135" w:type="dxa"/>
                    <w:right w:w="270" w:type="dxa"/>
                  </w:tcMar>
                  <w:vAlign w:val="center"/>
                </w:tcPr>
                <w:p w14:paraId="14785939">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1</w:t>
                  </w:r>
                </w:p>
              </w:tc>
              <w:tc>
                <w:tcPr>
                  <w:tcW w:w="734" w:type="pct"/>
                  <w:tcBorders>
                    <w:tl2br w:val="nil"/>
                    <w:tr2bl w:val="nil"/>
                  </w:tcBorders>
                  <w:shd w:val="clear" w:color="auto" w:fill="FFFFFF"/>
                  <w:noWrap w:val="0"/>
                  <w:tcMar>
                    <w:top w:w="135" w:type="dxa"/>
                    <w:left w:w="270" w:type="dxa"/>
                    <w:bottom w:w="135" w:type="dxa"/>
                    <w:right w:w="270" w:type="dxa"/>
                  </w:tcMar>
                  <w:vAlign w:val="center"/>
                </w:tcPr>
                <w:p w14:paraId="69C338FF">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80-95</w:t>
                  </w:r>
                </w:p>
              </w:tc>
              <w:tc>
                <w:tcPr>
                  <w:tcW w:w="1005" w:type="pct"/>
                  <w:tcBorders>
                    <w:tl2br w:val="nil"/>
                    <w:tr2bl w:val="nil"/>
                  </w:tcBorders>
                  <w:shd w:val="clear" w:color="auto" w:fill="FFFFFF"/>
                  <w:noWrap w:val="0"/>
                  <w:tcMar>
                    <w:top w:w="135" w:type="dxa"/>
                    <w:left w:w="270" w:type="dxa"/>
                    <w:bottom w:w="135" w:type="dxa"/>
                    <w:right w:w="270" w:type="dxa"/>
                  </w:tcMar>
                  <w:vAlign w:val="center"/>
                </w:tcPr>
                <w:p w14:paraId="224E0DDA">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倾动机械和熔液流动噪声</w:t>
                  </w:r>
                </w:p>
              </w:tc>
              <w:tc>
                <w:tcPr>
                  <w:tcW w:w="955" w:type="pct"/>
                  <w:tcBorders>
                    <w:tl2br w:val="nil"/>
                    <w:tr2bl w:val="nil"/>
                  </w:tcBorders>
                  <w:shd w:val="clear" w:color="auto" w:fill="FFFFFF"/>
                  <w:noWrap w:val="0"/>
                  <w:tcMar>
                    <w:top w:w="135" w:type="dxa"/>
                    <w:left w:w="270" w:type="dxa"/>
                    <w:bottom w:w="135" w:type="dxa"/>
                    <w:right w:w="270" w:type="dxa"/>
                  </w:tcMar>
                  <w:vAlign w:val="center"/>
                </w:tcPr>
                <w:p w14:paraId="65B151A3">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i w:val="0"/>
                      <w:iCs w:val="0"/>
                      <w:caps w:val="0"/>
                      <w:color w:val="auto"/>
                      <w:spacing w:val="0"/>
                      <w:kern w:val="21"/>
                      <w:sz w:val="21"/>
                      <w:szCs w:val="21"/>
                      <w:u w:val="none" w:color="auto"/>
                      <w:lang w:val="en-US" w:eastAsia="zh-CN" w:bidi="ar-SA"/>
                    </w:rPr>
                  </w:pPr>
                  <w:r>
                    <w:rPr>
                      <w:rFonts w:hint="default" w:ascii="Times New Roman" w:hAnsi="Times New Roman" w:eastAsia="宋体" w:cs="Times New Roman"/>
                      <w:i w:val="0"/>
                      <w:iCs w:val="0"/>
                      <w:caps w:val="0"/>
                      <w:color w:val="auto"/>
                      <w:spacing w:val="0"/>
                      <w:kern w:val="21"/>
                      <w:sz w:val="21"/>
                      <w:szCs w:val="21"/>
                      <w:u w:val="none" w:color="auto"/>
                      <w:lang w:val="en-US" w:eastAsia="zh-CN" w:bidi="ar"/>
                    </w:rPr>
                    <w:t>液压系统降噪改造</w:t>
                  </w:r>
                </w:p>
              </w:tc>
              <w:tc>
                <w:tcPr>
                  <w:tcW w:w="713" w:type="pct"/>
                  <w:tcBorders>
                    <w:tl2br w:val="nil"/>
                    <w:tr2bl w:val="nil"/>
                  </w:tcBorders>
                  <w:shd w:val="clear" w:color="auto" w:fill="FFFFFF"/>
                  <w:noWrap w:val="0"/>
                  <w:tcMar>
                    <w:top w:w="135" w:type="dxa"/>
                    <w:left w:w="270" w:type="dxa"/>
                    <w:bottom w:w="135" w:type="dxa"/>
                    <w:right w:w="270" w:type="dxa"/>
                  </w:tcMar>
                  <w:vAlign w:val="center"/>
                </w:tcPr>
                <w:p w14:paraId="719F0539">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i w:val="0"/>
                      <w:iCs w:val="0"/>
                      <w:caps w:val="0"/>
                      <w:color w:val="auto"/>
                      <w:spacing w:val="0"/>
                      <w:kern w:val="21"/>
                      <w:sz w:val="21"/>
                      <w:szCs w:val="21"/>
                      <w:u w:val="none" w:color="auto"/>
                      <w:lang w:val="en-US" w:eastAsia="zh-CN" w:bidi="ar"/>
                    </w:rPr>
                  </w:pPr>
                  <w:r>
                    <w:rPr>
                      <w:rFonts w:hint="default" w:ascii="Times New Roman" w:hAnsi="Times New Roman" w:eastAsia="宋体" w:cs="Times New Roman"/>
                      <w:i w:val="0"/>
                      <w:iCs w:val="0"/>
                      <w:caps w:val="0"/>
                      <w:color w:val="auto"/>
                      <w:spacing w:val="0"/>
                      <w:kern w:val="21"/>
                      <w:sz w:val="21"/>
                      <w:szCs w:val="21"/>
                      <w:u w:val="none" w:color="auto"/>
                      <w:lang w:val="en-US" w:eastAsia="zh-CN" w:bidi="ar"/>
                    </w:rPr>
                    <w:t>8-10</w:t>
                  </w:r>
                </w:p>
              </w:tc>
            </w:tr>
            <w:tr w14:paraId="02C818A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gridAfter w:val="1"/>
                <w:wAfter w:w="3" w:type="pct"/>
                <w:trHeight w:val="23" w:hRule="atLeast"/>
              </w:trPr>
              <w:tc>
                <w:tcPr>
                  <w:tcW w:w="661" w:type="pct"/>
                  <w:tcBorders>
                    <w:tl2br w:val="nil"/>
                    <w:tr2bl w:val="nil"/>
                  </w:tcBorders>
                  <w:shd w:val="clear" w:color="auto" w:fill="FFFFFF"/>
                  <w:noWrap w:val="0"/>
                  <w:tcMar>
                    <w:top w:w="135" w:type="dxa"/>
                    <w:left w:w="270" w:type="dxa"/>
                    <w:bottom w:w="135" w:type="dxa"/>
                    <w:right w:w="270" w:type="dxa"/>
                  </w:tcMar>
                  <w:vAlign w:val="center"/>
                </w:tcPr>
                <w:p w14:paraId="4B40F94E">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烤包器</w:t>
                  </w:r>
                </w:p>
              </w:tc>
              <w:tc>
                <w:tcPr>
                  <w:tcW w:w="398" w:type="pct"/>
                  <w:tcBorders>
                    <w:tl2br w:val="nil"/>
                    <w:tr2bl w:val="nil"/>
                  </w:tcBorders>
                  <w:shd w:val="clear" w:color="auto" w:fill="FFFFFF"/>
                  <w:noWrap w:val="0"/>
                  <w:tcMar>
                    <w:top w:w="135" w:type="dxa"/>
                    <w:left w:w="270" w:type="dxa"/>
                    <w:bottom w:w="135" w:type="dxa"/>
                    <w:right w:w="270" w:type="dxa"/>
                  </w:tcMar>
                  <w:vAlign w:val="center"/>
                </w:tcPr>
                <w:p w14:paraId="5572F12E">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台</w:t>
                  </w:r>
                </w:p>
              </w:tc>
              <w:tc>
                <w:tcPr>
                  <w:tcW w:w="527" w:type="pct"/>
                  <w:tcBorders>
                    <w:tl2br w:val="nil"/>
                    <w:tr2bl w:val="nil"/>
                  </w:tcBorders>
                  <w:shd w:val="clear" w:color="auto" w:fill="FFFFFF"/>
                  <w:noWrap w:val="0"/>
                  <w:tcMar>
                    <w:top w:w="135" w:type="dxa"/>
                    <w:left w:w="270" w:type="dxa"/>
                    <w:bottom w:w="135" w:type="dxa"/>
                    <w:right w:w="270" w:type="dxa"/>
                  </w:tcMar>
                  <w:vAlign w:val="center"/>
                </w:tcPr>
                <w:p w14:paraId="286182E8">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3</w:t>
                  </w:r>
                </w:p>
              </w:tc>
              <w:tc>
                <w:tcPr>
                  <w:tcW w:w="734" w:type="pct"/>
                  <w:tcBorders>
                    <w:tl2br w:val="nil"/>
                    <w:tr2bl w:val="nil"/>
                  </w:tcBorders>
                  <w:shd w:val="clear" w:color="auto" w:fill="FFFFFF"/>
                  <w:noWrap w:val="0"/>
                  <w:tcMar>
                    <w:top w:w="135" w:type="dxa"/>
                    <w:left w:w="270" w:type="dxa"/>
                    <w:bottom w:w="135" w:type="dxa"/>
                    <w:right w:w="270" w:type="dxa"/>
                  </w:tcMar>
                  <w:vAlign w:val="center"/>
                </w:tcPr>
                <w:p w14:paraId="1D02BEA7">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75-90</w:t>
                  </w:r>
                </w:p>
              </w:tc>
              <w:tc>
                <w:tcPr>
                  <w:tcW w:w="1005" w:type="pct"/>
                  <w:tcBorders>
                    <w:tl2br w:val="nil"/>
                    <w:tr2bl w:val="nil"/>
                  </w:tcBorders>
                  <w:shd w:val="clear" w:color="auto" w:fill="FFFFFF"/>
                  <w:noWrap w:val="0"/>
                  <w:tcMar>
                    <w:top w:w="135" w:type="dxa"/>
                    <w:left w:w="270" w:type="dxa"/>
                    <w:bottom w:w="135" w:type="dxa"/>
                    <w:right w:w="270" w:type="dxa"/>
                  </w:tcMar>
                  <w:vAlign w:val="center"/>
                </w:tcPr>
                <w:p w14:paraId="575A95DC">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加热燃烧和金属处理声</w:t>
                  </w:r>
                </w:p>
              </w:tc>
              <w:tc>
                <w:tcPr>
                  <w:tcW w:w="955" w:type="pct"/>
                  <w:tcBorders>
                    <w:tl2br w:val="nil"/>
                    <w:tr2bl w:val="nil"/>
                  </w:tcBorders>
                  <w:shd w:val="clear" w:color="auto" w:fill="FFFFFF"/>
                  <w:noWrap w:val="0"/>
                  <w:tcMar>
                    <w:top w:w="135" w:type="dxa"/>
                    <w:left w:w="270" w:type="dxa"/>
                    <w:bottom w:w="135" w:type="dxa"/>
                    <w:right w:w="270" w:type="dxa"/>
                  </w:tcMar>
                  <w:vAlign w:val="center"/>
                </w:tcPr>
                <w:p w14:paraId="1887AB87">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i w:val="0"/>
                      <w:iCs w:val="0"/>
                      <w:caps w:val="0"/>
                      <w:color w:val="auto"/>
                      <w:spacing w:val="0"/>
                      <w:kern w:val="21"/>
                      <w:sz w:val="21"/>
                      <w:szCs w:val="21"/>
                      <w:u w:val="none" w:color="auto"/>
                      <w:lang w:val="en-US" w:eastAsia="zh-CN" w:bidi="ar-SA"/>
                    </w:rPr>
                  </w:pPr>
                  <w:r>
                    <w:rPr>
                      <w:rFonts w:hint="default" w:ascii="Times New Roman" w:hAnsi="Times New Roman" w:eastAsia="宋体" w:cs="Times New Roman"/>
                      <w:i w:val="0"/>
                      <w:iCs w:val="0"/>
                      <w:caps w:val="0"/>
                      <w:color w:val="auto"/>
                      <w:spacing w:val="0"/>
                      <w:kern w:val="21"/>
                      <w:sz w:val="21"/>
                      <w:szCs w:val="21"/>
                      <w:u w:val="none" w:color="auto"/>
                      <w:lang w:val="en-US" w:eastAsia="zh-CN" w:bidi="ar"/>
                    </w:rPr>
                    <w:t>轻质耐火隔声罩</w:t>
                  </w:r>
                </w:p>
              </w:tc>
              <w:tc>
                <w:tcPr>
                  <w:tcW w:w="713" w:type="pct"/>
                  <w:tcBorders>
                    <w:tl2br w:val="nil"/>
                    <w:tr2bl w:val="nil"/>
                  </w:tcBorders>
                  <w:shd w:val="clear" w:color="auto" w:fill="FFFFFF"/>
                  <w:noWrap w:val="0"/>
                  <w:tcMar>
                    <w:top w:w="135" w:type="dxa"/>
                    <w:left w:w="270" w:type="dxa"/>
                    <w:bottom w:w="135" w:type="dxa"/>
                    <w:right w:w="270" w:type="dxa"/>
                  </w:tcMar>
                  <w:vAlign w:val="center"/>
                </w:tcPr>
                <w:p w14:paraId="71DE563B">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i w:val="0"/>
                      <w:iCs w:val="0"/>
                      <w:caps w:val="0"/>
                      <w:color w:val="auto"/>
                      <w:spacing w:val="0"/>
                      <w:kern w:val="21"/>
                      <w:sz w:val="21"/>
                      <w:szCs w:val="21"/>
                      <w:u w:val="none" w:color="auto"/>
                      <w:lang w:val="en-US" w:eastAsia="zh-CN" w:bidi="ar"/>
                    </w:rPr>
                  </w:pPr>
                  <w:r>
                    <w:rPr>
                      <w:rFonts w:hint="default" w:ascii="Times New Roman" w:hAnsi="Times New Roman" w:eastAsia="宋体" w:cs="Times New Roman"/>
                      <w:i w:val="0"/>
                      <w:iCs w:val="0"/>
                      <w:caps w:val="0"/>
                      <w:color w:val="auto"/>
                      <w:spacing w:val="0"/>
                      <w:kern w:val="21"/>
                      <w:sz w:val="21"/>
                      <w:szCs w:val="21"/>
                      <w:u w:val="none" w:color="auto"/>
                      <w:lang w:val="en-US" w:eastAsia="zh-CN" w:bidi="ar"/>
                    </w:rPr>
                    <w:t>6-8</w:t>
                  </w:r>
                </w:p>
              </w:tc>
            </w:tr>
            <w:tr w14:paraId="45FE9C3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gridAfter w:val="1"/>
                <w:wAfter w:w="3" w:type="pct"/>
                <w:trHeight w:val="23" w:hRule="atLeast"/>
              </w:trPr>
              <w:tc>
                <w:tcPr>
                  <w:tcW w:w="661" w:type="pct"/>
                  <w:tcBorders>
                    <w:tl2br w:val="nil"/>
                    <w:tr2bl w:val="nil"/>
                  </w:tcBorders>
                  <w:shd w:val="clear" w:color="auto" w:fill="FFFFFF"/>
                  <w:noWrap w:val="0"/>
                  <w:tcMar>
                    <w:top w:w="135" w:type="dxa"/>
                    <w:left w:w="270" w:type="dxa"/>
                    <w:bottom w:w="135" w:type="dxa"/>
                    <w:right w:w="270" w:type="dxa"/>
                  </w:tcMar>
                  <w:vAlign w:val="center"/>
                </w:tcPr>
                <w:p w14:paraId="2744D66C">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除气机</w:t>
                  </w:r>
                </w:p>
              </w:tc>
              <w:tc>
                <w:tcPr>
                  <w:tcW w:w="398" w:type="pct"/>
                  <w:tcBorders>
                    <w:tl2br w:val="nil"/>
                    <w:tr2bl w:val="nil"/>
                  </w:tcBorders>
                  <w:shd w:val="clear" w:color="auto" w:fill="FFFFFF"/>
                  <w:noWrap w:val="0"/>
                  <w:tcMar>
                    <w:top w:w="135" w:type="dxa"/>
                    <w:left w:w="270" w:type="dxa"/>
                    <w:bottom w:w="135" w:type="dxa"/>
                    <w:right w:w="270" w:type="dxa"/>
                  </w:tcMar>
                  <w:vAlign w:val="center"/>
                </w:tcPr>
                <w:p w14:paraId="2D988DBE">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台</w:t>
                  </w:r>
                </w:p>
              </w:tc>
              <w:tc>
                <w:tcPr>
                  <w:tcW w:w="527" w:type="pct"/>
                  <w:tcBorders>
                    <w:tl2br w:val="nil"/>
                    <w:tr2bl w:val="nil"/>
                  </w:tcBorders>
                  <w:shd w:val="clear" w:color="auto" w:fill="FFFFFF"/>
                  <w:noWrap w:val="0"/>
                  <w:tcMar>
                    <w:top w:w="135" w:type="dxa"/>
                    <w:left w:w="270" w:type="dxa"/>
                    <w:bottom w:w="135" w:type="dxa"/>
                    <w:right w:w="270" w:type="dxa"/>
                  </w:tcMar>
                  <w:vAlign w:val="center"/>
                </w:tcPr>
                <w:p w14:paraId="6967FA5A">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4</w:t>
                  </w:r>
                </w:p>
              </w:tc>
              <w:tc>
                <w:tcPr>
                  <w:tcW w:w="734" w:type="pct"/>
                  <w:tcBorders>
                    <w:tl2br w:val="nil"/>
                    <w:tr2bl w:val="nil"/>
                  </w:tcBorders>
                  <w:shd w:val="clear" w:color="auto" w:fill="FFFFFF"/>
                  <w:noWrap w:val="0"/>
                  <w:tcMar>
                    <w:top w:w="135" w:type="dxa"/>
                    <w:left w:w="270" w:type="dxa"/>
                    <w:bottom w:w="135" w:type="dxa"/>
                    <w:right w:w="270" w:type="dxa"/>
                  </w:tcMar>
                  <w:vAlign w:val="center"/>
                </w:tcPr>
                <w:p w14:paraId="2919E4E3">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75-90</w:t>
                  </w:r>
                </w:p>
              </w:tc>
              <w:tc>
                <w:tcPr>
                  <w:tcW w:w="1005" w:type="pct"/>
                  <w:tcBorders>
                    <w:tl2br w:val="nil"/>
                    <w:tr2bl w:val="nil"/>
                  </w:tcBorders>
                  <w:shd w:val="clear" w:color="auto" w:fill="FFFFFF"/>
                  <w:noWrap w:val="0"/>
                  <w:tcMar>
                    <w:top w:w="135" w:type="dxa"/>
                    <w:left w:w="270" w:type="dxa"/>
                    <w:bottom w:w="135" w:type="dxa"/>
                    <w:right w:w="270" w:type="dxa"/>
                  </w:tcMar>
                  <w:vAlign w:val="center"/>
                </w:tcPr>
                <w:p w14:paraId="6DB2C859">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气体注入和气泡破裂声（推断为中等水平）</w:t>
                  </w:r>
                </w:p>
              </w:tc>
              <w:tc>
                <w:tcPr>
                  <w:tcW w:w="955" w:type="pct"/>
                  <w:tcBorders>
                    <w:tl2br w:val="nil"/>
                    <w:tr2bl w:val="nil"/>
                  </w:tcBorders>
                  <w:shd w:val="clear" w:color="auto" w:fill="FFFFFF"/>
                  <w:noWrap w:val="0"/>
                  <w:tcMar>
                    <w:top w:w="135" w:type="dxa"/>
                    <w:left w:w="270" w:type="dxa"/>
                    <w:bottom w:w="135" w:type="dxa"/>
                    <w:right w:w="270" w:type="dxa"/>
                  </w:tcMar>
                  <w:vAlign w:val="center"/>
                </w:tcPr>
                <w:p w14:paraId="6A5B759A">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i w:val="0"/>
                      <w:iCs w:val="0"/>
                      <w:caps w:val="0"/>
                      <w:color w:val="auto"/>
                      <w:spacing w:val="0"/>
                      <w:kern w:val="21"/>
                      <w:sz w:val="21"/>
                      <w:szCs w:val="21"/>
                      <w:u w:val="none" w:color="auto"/>
                      <w:lang w:val="en-US" w:eastAsia="zh-CN" w:bidi="ar-SA"/>
                    </w:rPr>
                  </w:pPr>
                  <w:r>
                    <w:rPr>
                      <w:rFonts w:hint="default" w:ascii="Times New Roman" w:hAnsi="Times New Roman" w:eastAsia="宋体" w:cs="Times New Roman"/>
                      <w:i w:val="0"/>
                      <w:iCs w:val="0"/>
                      <w:caps w:val="0"/>
                      <w:color w:val="auto"/>
                      <w:spacing w:val="0"/>
                      <w:kern w:val="21"/>
                      <w:sz w:val="21"/>
                      <w:szCs w:val="21"/>
                      <w:u w:val="none" w:color="auto"/>
                      <w:lang w:val="en-US" w:eastAsia="zh-CN" w:bidi="ar"/>
                    </w:rPr>
                    <w:t>气体注入消声器</w:t>
                  </w:r>
                </w:p>
              </w:tc>
              <w:tc>
                <w:tcPr>
                  <w:tcW w:w="713" w:type="pct"/>
                  <w:tcBorders>
                    <w:tl2br w:val="nil"/>
                    <w:tr2bl w:val="nil"/>
                  </w:tcBorders>
                  <w:shd w:val="clear" w:color="auto" w:fill="FFFFFF"/>
                  <w:noWrap w:val="0"/>
                  <w:tcMar>
                    <w:top w:w="135" w:type="dxa"/>
                    <w:left w:w="270" w:type="dxa"/>
                    <w:bottom w:w="135" w:type="dxa"/>
                    <w:right w:w="270" w:type="dxa"/>
                  </w:tcMar>
                  <w:vAlign w:val="center"/>
                </w:tcPr>
                <w:p w14:paraId="3CD07AA0">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i w:val="0"/>
                      <w:iCs w:val="0"/>
                      <w:caps w:val="0"/>
                      <w:color w:val="auto"/>
                      <w:spacing w:val="0"/>
                      <w:kern w:val="21"/>
                      <w:sz w:val="21"/>
                      <w:szCs w:val="21"/>
                      <w:u w:val="none" w:color="auto"/>
                      <w:lang w:val="en-US" w:eastAsia="zh-CN" w:bidi="ar"/>
                    </w:rPr>
                  </w:pPr>
                  <w:r>
                    <w:rPr>
                      <w:rFonts w:hint="default" w:ascii="Times New Roman" w:hAnsi="Times New Roman" w:eastAsia="宋体" w:cs="Times New Roman"/>
                      <w:i w:val="0"/>
                      <w:iCs w:val="0"/>
                      <w:caps w:val="0"/>
                      <w:color w:val="auto"/>
                      <w:spacing w:val="0"/>
                      <w:kern w:val="21"/>
                      <w:sz w:val="21"/>
                      <w:szCs w:val="21"/>
                      <w:u w:val="none" w:color="auto"/>
                      <w:lang w:val="en-US" w:eastAsia="zh-CN" w:bidi="ar"/>
                    </w:rPr>
                    <w:t>6-8</w:t>
                  </w:r>
                </w:p>
              </w:tc>
            </w:tr>
            <w:tr w14:paraId="502474A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gridAfter w:val="1"/>
                <w:wAfter w:w="3" w:type="pct"/>
                <w:trHeight w:val="23" w:hRule="atLeast"/>
              </w:trPr>
              <w:tc>
                <w:tcPr>
                  <w:tcW w:w="661" w:type="pct"/>
                  <w:tcBorders>
                    <w:tl2br w:val="nil"/>
                    <w:tr2bl w:val="nil"/>
                  </w:tcBorders>
                  <w:shd w:val="clear" w:color="auto" w:fill="FFFFFF"/>
                  <w:noWrap w:val="0"/>
                  <w:tcMar>
                    <w:top w:w="135" w:type="dxa"/>
                    <w:left w:w="270" w:type="dxa"/>
                    <w:bottom w:w="135" w:type="dxa"/>
                    <w:right w:w="270" w:type="dxa"/>
                  </w:tcMar>
                  <w:vAlign w:val="center"/>
                </w:tcPr>
                <w:p w14:paraId="30006608">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冷却水系统</w:t>
                  </w:r>
                </w:p>
              </w:tc>
              <w:tc>
                <w:tcPr>
                  <w:tcW w:w="398" w:type="pct"/>
                  <w:tcBorders>
                    <w:tl2br w:val="nil"/>
                    <w:tr2bl w:val="nil"/>
                  </w:tcBorders>
                  <w:shd w:val="clear" w:color="auto" w:fill="FFFFFF"/>
                  <w:noWrap w:val="0"/>
                  <w:tcMar>
                    <w:top w:w="135" w:type="dxa"/>
                    <w:left w:w="270" w:type="dxa"/>
                    <w:bottom w:w="135" w:type="dxa"/>
                    <w:right w:w="270" w:type="dxa"/>
                  </w:tcMar>
                  <w:vAlign w:val="center"/>
                </w:tcPr>
                <w:p w14:paraId="797A81C5">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套</w:t>
                  </w:r>
                </w:p>
              </w:tc>
              <w:tc>
                <w:tcPr>
                  <w:tcW w:w="527" w:type="pct"/>
                  <w:tcBorders>
                    <w:tl2br w:val="nil"/>
                    <w:tr2bl w:val="nil"/>
                  </w:tcBorders>
                  <w:shd w:val="clear" w:color="auto" w:fill="FFFFFF"/>
                  <w:noWrap w:val="0"/>
                  <w:tcMar>
                    <w:top w:w="135" w:type="dxa"/>
                    <w:left w:w="270" w:type="dxa"/>
                    <w:bottom w:w="135" w:type="dxa"/>
                    <w:right w:w="270" w:type="dxa"/>
                  </w:tcMar>
                  <w:vAlign w:val="center"/>
                </w:tcPr>
                <w:p w14:paraId="479FFF80">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1</w:t>
                  </w:r>
                </w:p>
              </w:tc>
              <w:tc>
                <w:tcPr>
                  <w:tcW w:w="734" w:type="pct"/>
                  <w:tcBorders>
                    <w:tl2br w:val="nil"/>
                    <w:tr2bl w:val="nil"/>
                  </w:tcBorders>
                  <w:shd w:val="clear" w:color="auto" w:fill="FFFFFF"/>
                  <w:noWrap w:val="0"/>
                  <w:tcMar>
                    <w:top w:w="135" w:type="dxa"/>
                    <w:left w:w="270" w:type="dxa"/>
                    <w:bottom w:w="135" w:type="dxa"/>
                    <w:right w:w="270" w:type="dxa"/>
                  </w:tcMar>
                  <w:vAlign w:val="center"/>
                </w:tcPr>
                <w:p w14:paraId="59610F22">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70-85</w:t>
                  </w:r>
                </w:p>
              </w:tc>
              <w:tc>
                <w:tcPr>
                  <w:tcW w:w="1005" w:type="pct"/>
                  <w:tcBorders>
                    <w:tl2br w:val="nil"/>
                    <w:tr2bl w:val="nil"/>
                  </w:tcBorders>
                  <w:shd w:val="clear" w:color="auto" w:fill="FFFFFF"/>
                  <w:noWrap w:val="0"/>
                  <w:tcMar>
                    <w:top w:w="135" w:type="dxa"/>
                    <w:left w:w="270" w:type="dxa"/>
                    <w:bottom w:w="135" w:type="dxa"/>
                    <w:right w:w="270" w:type="dxa"/>
                  </w:tcMar>
                  <w:vAlign w:val="center"/>
                </w:tcPr>
                <w:p w14:paraId="4BEC209F">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水泵和水流循环噪声</w:t>
                  </w:r>
                </w:p>
              </w:tc>
              <w:tc>
                <w:tcPr>
                  <w:tcW w:w="955" w:type="pct"/>
                  <w:tcBorders>
                    <w:tl2br w:val="nil"/>
                    <w:tr2bl w:val="nil"/>
                  </w:tcBorders>
                  <w:shd w:val="clear" w:color="auto" w:fill="FFFFFF"/>
                  <w:noWrap w:val="0"/>
                  <w:tcMar>
                    <w:top w:w="135" w:type="dxa"/>
                    <w:left w:w="270" w:type="dxa"/>
                    <w:bottom w:w="135" w:type="dxa"/>
                    <w:right w:w="270" w:type="dxa"/>
                  </w:tcMar>
                  <w:vAlign w:val="center"/>
                </w:tcPr>
                <w:p w14:paraId="02FF3AD3">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i w:val="0"/>
                      <w:iCs w:val="0"/>
                      <w:caps w:val="0"/>
                      <w:color w:val="auto"/>
                      <w:spacing w:val="0"/>
                      <w:kern w:val="21"/>
                      <w:sz w:val="21"/>
                      <w:szCs w:val="21"/>
                      <w:u w:val="none" w:color="auto"/>
                      <w:lang w:val="en-US" w:eastAsia="zh-CN" w:bidi="ar-SA"/>
                    </w:rPr>
                  </w:pPr>
                  <w:r>
                    <w:rPr>
                      <w:rFonts w:hint="default" w:ascii="Times New Roman" w:hAnsi="Times New Roman" w:eastAsia="宋体" w:cs="Times New Roman"/>
                      <w:i w:val="0"/>
                      <w:iCs w:val="0"/>
                      <w:caps w:val="0"/>
                      <w:color w:val="auto"/>
                      <w:spacing w:val="0"/>
                      <w:kern w:val="21"/>
                      <w:sz w:val="21"/>
                      <w:szCs w:val="21"/>
                      <w:u w:val="none" w:color="auto"/>
                      <w:lang w:val="en-US" w:eastAsia="zh-CN" w:bidi="ar"/>
                    </w:rPr>
                    <w:t>水泵隔声箱</w:t>
                  </w:r>
                </w:p>
              </w:tc>
              <w:tc>
                <w:tcPr>
                  <w:tcW w:w="713" w:type="pct"/>
                  <w:tcBorders>
                    <w:tl2br w:val="nil"/>
                    <w:tr2bl w:val="nil"/>
                  </w:tcBorders>
                  <w:shd w:val="clear" w:color="auto" w:fill="FFFFFF"/>
                  <w:noWrap w:val="0"/>
                  <w:tcMar>
                    <w:top w:w="135" w:type="dxa"/>
                    <w:left w:w="270" w:type="dxa"/>
                    <w:bottom w:w="135" w:type="dxa"/>
                    <w:right w:w="270" w:type="dxa"/>
                  </w:tcMar>
                  <w:vAlign w:val="center"/>
                </w:tcPr>
                <w:p w14:paraId="4ADC9246">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i w:val="0"/>
                      <w:iCs w:val="0"/>
                      <w:caps w:val="0"/>
                      <w:color w:val="auto"/>
                      <w:spacing w:val="0"/>
                      <w:kern w:val="21"/>
                      <w:sz w:val="21"/>
                      <w:szCs w:val="21"/>
                      <w:u w:val="none" w:color="auto"/>
                      <w:lang w:val="en-US" w:eastAsia="zh-CN" w:bidi="ar"/>
                    </w:rPr>
                  </w:pPr>
                  <w:r>
                    <w:rPr>
                      <w:rFonts w:hint="default" w:ascii="Times New Roman" w:hAnsi="Times New Roman" w:eastAsia="宋体" w:cs="Times New Roman"/>
                      <w:i w:val="0"/>
                      <w:iCs w:val="0"/>
                      <w:caps w:val="0"/>
                      <w:color w:val="auto"/>
                      <w:spacing w:val="0"/>
                      <w:kern w:val="21"/>
                      <w:sz w:val="21"/>
                      <w:szCs w:val="21"/>
                      <w:u w:val="none" w:color="auto"/>
                      <w:lang w:val="en-US" w:eastAsia="zh-CN" w:bidi="ar"/>
                    </w:rPr>
                    <w:t>8-10</w:t>
                  </w:r>
                </w:p>
              </w:tc>
            </w:tr>
            <w:tr w14:paraId="617F955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gridAfter w:val="1"/>
                <w:wAfter w:w="3" w:type="pct"/>
                <w:trHeight w:val="23" w:hRule="atLeast"/>
              </w:trPr>
              <w:tc>
                <w:tcPr>
                  <w:tcW w:w="661" w:type="pct"/>
                  <w:tcBorders>
                    <w:tl2br w:val="nil"/>
                    <w:tr2bl w:val="nil"/>
                  </w:tcBorders>
                  <w:shd w:val="clear" w:color="auto" w:fill="FFFFFF"/>
                  <w:noWrap w:val="0"/>
                  <w:tcMar>
                    <w:top w:w="135" w:type="dxa"/>
                    <w:left w:w="270" w:type="dxa"/>
                    <w:bottom w:w="135" w:type="dxa"/>
                    <w:right w:w="270" w:type="dxa"/>
                  </w:tcMar>
                  <w:vAlign w:val="center"/>
                </w:tcPr>
                <w:p w14:paraId="730C850B">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kern w:val="21"/>
                      <w:sz w:val="21"/>
                      <w:szCs w:val="21"/>
                      <w:u w:val="none" w:color="auto"/>
                      <w:lang w:val="en-US" w:eastAsia="zh-CN" w:bidi="ar-SA"/>
                    </w:rPr>
                  </w:pPr>
                  <w:r>
                    <w:rPr>
                      <w:rFonts w:hint="default" w:ascii="Times New Roman" w:hAnsi="Times New Roman" w:eastAsia="宋体" w:cs="Times New Roman"/>
                      <w:color w:val="auto"/>
                      <w:kern w:val="21"/>
                      <w:sz w:val="21"/>
                      <w:szCs w:val="21"/>
                      <w:u w:val="none" w:color="auto"/>
                      <w:lang w:val="en-US" w:eastAsia="zh-CN" w:bidi="ar"/>
                    </w:rPr>
                    <w:t>除尘净化系统</w:t>
                  </w:r>
                </w:p>
              </w:tc>
              <w:tc>
                <w:tcPr>
                  <w:tcW w:w="398" w:type="pct"/>
                  <w:tcBorders>
                    <w:tl2br w:val="nil"/>
                    <w:tr2bl w:val="nil"/>
                  </w:tcBorders>
                  <w:shd w:val="clear" w:color="auto" w:fill="FFFFFF"/>
                  <w:noWrap w:val="0"/>
                  <w:tcMar>
                    <w:top w:w="135" w:type="dxa"/>
                    <w:left w:w="270" w:type="dxa"/>
                    <w:bottom w:w="135" w:type="dxa"/>
                    <w:right w:w="270" w:type="dxa"/>
                  </w:tcMar>
                  <w:vAlign w:val="center"/>
                </w:tcPr>
                <w:p w14:paraId="2D6F1860">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kern w:val="21"/>
                      <w:sz w:val="21"/>
                      <w:szCs w:val="21"/>
                      <w:u w:val="none" w:color="auto"/>
                      <w:lang w:val="en-US" w:eastAsia="zh-CN" w:bidi="ar-SA"/>
                    </w:rPr>
                  </w:pPr>
                  <w:r>
                    <w:rPr>
                      <w:rFonts w:hint="default" w:ascii="Times New Roman" w:hAnsi="Times New Roman" w:eastAsia="宋体" w:cs="Times New Roman"/>
                      <w:color w:val="auto"/>
                      <w:kern w:val="21"/>
                      <w:sz w:val="21"/>
                      <w:szCs w:val="21"/>
                      <w:u w:val="none" w:color="auto"/>
                      <w:lang w:val="en-US" w:eastAsia="zh-CN" w:bidi="ar"/>
                    </w:rPr>
                    <w:t>台/套</w:t>
                  </w:r>
                </w:p>
              </w:tc>
              <w:tc>
                <w:tcPr>
                  <w:tcW w:w="527" w:type="pct"/>
                  <w:tcBorders>
                    <w:tl2br w:val="nil"/>
                    <w:tr2bl w:val="nil"/>
                  </w:tcBorders>
                  <w:shd w:val="clear" w:color="auto" w:fill="FFFFFF"/>
                  <w:noWrap w:val="0"/>
                  <w:tcMar>
                    <w:top w:w="135" w:type="dxa"/>
                    <w:left w:w="270" w:type="dxa"/>
                    <w:bottom w:w="135" w:type="dxa"/>
                    <w:right w:w="270" w:type="dxa"/>
                  </w:tcMar>
                  <w:vAlign w:val="center"/>
                </w:tcPr>
                <w:p w14:paraId="7106ADF1">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kern w:val="21"/>
                      <w:sz w:val="21"/>
                      <w:szCs w:val="21"/>
                      <w:u w:val="none" w:color="auto"/>
                      <w:lang w:val="en-US" w:eastAsia="zh-CN" w:bidi="ar-SA"/>
                    </w:rPr>
                  </w:pPr>
                  <w:r>
                    <w:rPr>
                      <w:rFonts w:hint="default" w:ascii="Times New Roman" w:hAnsi="Times New Roman" w:eastAsia="宋体" w:cs="Times New Roman"/>
                      <w:color w:val="auto"/>
                      <w:kern w:val="21"/>
                      <w:sz w:val="21"/>
                      <w:szCs w:val="21"/>
                      <w:u w:val="none" w:color="auto"/>
                      <w:lang w:val="en-US" w:eastAsia="zh-CN" w:bidi="ar"/>
                    </w:rPr>
                    <w:t>1</w:t>
                  </w:r>
                </w:p>
              </w:tc>
              <w:tc>
                <w:tcPr>
                  <w:tcW w:w="734" w:type="pct"/>
                  <w:tcBorders>
                    <w:tl2br w:val="nil"/>
                    <w:tr2bl w:val="nil"/>
                  </w:tcBorders>
                  <w:shd w:val="clear" w:color="auto" w:fill="FFFFFF"/>
                  <w:noWrap w:val="0"/>
                  <w:tcMar>
                    <w:top w:w="135" w:type="dxa"/>
                    <w:left w:w="270" w:type="dxa"/>
                    <w:bottom w:w="135" w:type="dxa"/>
                    <w:right w:w="270" w:type="dxa"/>
                  </w:tcMar>
                  <w:vAlign w:val="center"/>
                </w:tcPr>
                <w:p w14:paraId="03E8741B">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kern w:val="21"/>
                      <w:sz w:val="21"/>
                      <w:szCs w:val="21"/>
                      <w:u w:val="none" w:color="auto"/>
                      <w:lang w:val="en-US" w:eastAsia="zh-CN" w:bidi="ar-SA"/>
                    </w:rPr>
                  </w:pPr>
                  <w:r>
                    <w:rPr>
                      <w:rFonts w:hint="default" w:ascii="Times New Roman" w:hAnsi="Times New Roman" w:eastAsia="宋体" w:cs="Times New Roman"/>
                      <w:color w:val="auto"/>
                      <w:kern w:val="21"/>
                      <w:sz w:val="21"/>
                      <w:szCs w:val="21"/>
                      <w:u w:val="none" w:color="auto"/>
                      <w:lang w:val="en-US" w:eastAsia="zh-CN" w:bidi="ar"/>
                    </w:rPr>
                    <w:t>90-110</w:t>
                  </w:r>
                </w:p>
              </w:tc>
              <w:tc>
                <w:tcPr>
                  <w:tcW w:w="1005" w:type="pct"/>
                  <w:tcBorders>
                    <w:tl2br w:val="nil"/>
                    <w:tr2bl w:val="nil"/>
                  </w:tcBorders>
                  <w:shd w:val="clear" w:color="auto" w:fill="FFFFFF"/>
                  <w:noWrap w:val="0"/>
                  <w:tcMar>
                    <w:top w:w="135" w:type="dxa"/>
                    <w:left w:w="270" w:type="dxa"/>
                    <w:bottom w:w="135" w:type="dxa"/>
                    <w:right w:w="270" w:type="dxa"/>
                  </w:tcMar>
                  <w:vAlign w:val="center"/>
                </w:tcPr>
                <w:p w14:paraId="6C3BA479">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kern w:val="21"/>
                      <w:sz w:val="21"/>
                      <w:szCs w:val="21"/>
                      <w:u w:val="none" w:color="auto"/>
                      <w:lang w:val="en-US" w:eastAsia="zh-CN" w:bidi="ar-SA"/>
                    </w:rPr>
                  </w:pPr>
                  <w:r>
                    <w:rPr>
                      <w:rFonts w:hint="default" w:ascii="Times New Roman" w:hAnsi="Times New Roman" w:eastAsia="宋体" w:cs="Times New Roman"/>
                      <w:color w:val="auto"/>
                      <w:kern w:val="21"/>
                      <w:sz w:val="21"/>
                      <w:szCs w:val="21"/>
                      <w:u w:val="none" w:color="auto"/>
                      <w:lang w:val="en-US" w:eastAsia="zh-CN" w:bidi="ar"/>
                    </w:rPr>
                    <w:t>风扇和过滤噪声</w:t>
                  </w:r>
                </w:p>
              </w:tc>
              <w:tc>
                <w:tcPr>
                  <w:tcW w:w="955" w:type="pct"/>
                  <w:tcBorders>
                    <w:tl2br w:val="nil"/>
                    <w:tr2bl w:val="nil"/>
                  </w:tcBorders>
                  <w:shd w:val="clear" w:color="auto" w:fill="FFFFFF"/>
                  <w:noWrap w:val="0"/>
                  <w:tcMar>
                    <w:top w:w="135" w:type="dxa"/>
                    <w:left w:w="270" w:type="dxa"/>
                    <w:bottom w:w="135" w:type="dxa"/>
                    <w:right w:w="270" w:type="dxa"/>
                  </w:tcMar>
                  <w:vAlign w:val="center"/>
                </w:tcPr>
                <w:p w14:paraId="373EDA76">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kern w:val="21"/>
                      <w:sz w:val="21"/>
                      <w:szCs w:val="21"/>
                      <w:u w:val="none" w:color="auto"/>
                      <w:lang w:val="en-US" w:eastAsia="zh-CN" w:bidi="ar"/>
                    </w:rPr>
                  </w:pPr>
                  <w:r>
                    <w:rPr>
                      <w:rFonts w:hint="default" w:ascii="Times New Roman" w:hAnsi="Times New Roman" w:eastAsia="宋体" w:cs="Times New Roman"/>
                      <w:color w:val="auto"/>
                      <w:kern w:val="21"/>
                      <w:sz w:val="21"/>
                      <w:szCs w:val="21"/>
                      <w:u w:val="none" w:color="auto"/>
                      <w:lang w:val="en-US" w:eastAsia="zh-CN" w:bidi="ar"/>
                    </w:rPr>
                    <w:t>低噪声设备、风机隔声罩、基础减震、软管链接等</w:t>
                  </w:r>
                </w:p>
              </w:tc>
              <w:tc>
                <w:tcPr>
                  <w:tcW w:w="713" w:type="pct"/>
                  <w:tcBorders>
                    <w:tl2br w:val="nil"/>
                    <w:tr2bl w:val="nil"/>
                  </w:tcBorders>
                  <w:shd w:val="clear" w:color="auto" w:fill="FFFFFF"/>
                  <w:noWrap w:val="0"/>
                  <w:tcMar>
                    <w:top w:w="135" w:type="dxa"/>
                    <w:left w:w="270" w:type="dxa"/>
                    <w:bottom w:w="135" w:type="dxa"/>
                    <w:right w:w="270" w:type="dxa"/>
                  </w:tcMar>
                  <w:vAlign w:val="center"/>
                </w:tcPr>
                <w:p w14:paraId="5E999026">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kern w:val="21"/>
                      <w:sz w:val="21"/>
                      <w:szCs w:val="21"/>
                      <w:u w:val="none" w:color="auto"/>
                      <w:lang w:val="en-US" w:eastAsia="zh-CN" w:bidi="ar"/>
                    </w:rPr>
                  </w:pPr>
                  <w:r>
                    <w:rPr>
                      <w:rFonts w:hint="default" w:ascii="Times New Roman" w:hAnsi="Times New Roman" w:eastAsia="宋体" w:cs="Times New Roman"/>
                      <w:color w:val="auto"/>
                      <w:kern w:val="21"/>
                      <w:sz w:val="21"/>
                      <w:szCs w:val="21"/>
                      <w:u w:val="none" w:color="auto"/>
                      <w:lang w:val="en-US" w:eastAsia="zh-CN" w:bidi="ar"/>
                    </w:rPr>
                    <w:t>10-14</w:t>
                  </w:r>
                </w:p>
              </w:tc>
            </w:tr>
            <w:tr w14:paraId="16F0C30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gridAfter w:val="1"/>
                <w:wAfter w:w="3" w:type="pct"/>
                <w:trHeight w:val="23" w:hRule="atLeast"/>
              </w:trPr>
              <w:tc>
                <w:tcPr>
                  <w:tcW w:w="4996" w:type="pct"/>
                  <w:gridSpan w:val="7"/>
                  <w:tcBorders>
                    <w:tl2br w:val="nil"/>
                    <w:tr2bl w:val="nil"/>
                  </w:tcBorders>
                  <w:noWrap w:val="0"/>
                  <w:tcMar>
                    <w:top w:w="135" w:type="dxa"/>
                    <w:left w:w="270" w:type="dxa"/>
                    <w:bottom w:w="135" w:type="dxa"/>
                    <w:right w:w="270" w:type="dxa"/>
                  </w:tcMar>
                  <w:vAlign w:val="center"/>
                </w:tcPr>
                <w:p w14:paraId="5CB99D07">
                  <w:pPr>
                    <w:pStyle w:val="5"/>
                    <w:keepNext w:val="0"/>
                    <w:keepLines w:val="0"/>
                    <w:pageBreakBefore w:val="0"/>
                    <w:widowControl/>
                    <w:suppressLineNumbers w:val="0"/>
                    <w:shd w:val="clear" w:color="auto" w:fill="FFFFFF"/>
                    <w:kinsoku/>
                    <w:wordWrap/>
                    <w:overflowPunct/>
                    <w:topLinePunct w:val="0"/>
                    <w:autoSpaceDE/>
                    <w:autoSpaceDN/>
                    <w:bidi w:val="0"/>
                    <w:adjustRightInd/>
                    <w:snapToGrid/>
                    <w:spacing w:before="0" w:beforeAutospacing="0" w:after="0" w:afterAutospacing="0" w:line="240" w:lineRule="auto"/>
                    <w:ind w:left="0" w:right="0" w:firstLine="0"/>
                    <w:jc w:val="center"/>
                    <w:textAlignment w:val="auto"/>
                    <w:rPr>
                      <w:rFonts w:hint="default" w:ascii="Times New Roman" w:hAnsi="Times New Roman" w:eastAsia="宋体" w:cs="Times New Roman"/>
                      <w:b/>
                      <w:bCs/>
                      <w:color w:val="auto"/>
                      <w:kern w:val="21"/>
                      <w:sz w:val="21"/>
                      <w:szCs w:val="21"/>
                      <w:u w:val="none" w:color="auto"/>
                      <w:lang w:val="en-US" w:eastAsia="zh-CN" w:bidi="ar"/>
                    </w:rPr>
                  </w:pPr>
                  <w:r>
                    <w:rPr>
                      <w:rFonts w:hint="default" w:ascii="Times New Roman" w:hAnsi="Times New Roman" w:eastAsia="宋体" w:cs="Times New Roman"/>
                      <w:b/>
                      <w:bCs/>
                      <w:i w:val="0"/>
                      <w:iCs w:val="0"/>
                      <w:caps w:val="0"/>
                      <w:color w:val="auto"/>
                      <w:spacing w:val="0"/>
                      <w:kern w:val="21"/>
                      <w:sz w:val="21"/>
                      <w:szCs w:val="21"/>
                      <w:u w:val="none" w:color="auto"/>
                      <w:lang w:val="en-US" w:eastAsia="zh-CN"/>
                    </w:rPr>
                    <w:t>铝合金熔铸一厂</w:t>
                  </w:r>
                </w:p>
              </w:tc>
            </w:tr>
            <w:tr w14:paraId="6C2F844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gridAfter w:val="1"/>
                <w:wAfter w:w="3" w:type="pct"/>
                <w:trHeight w:val="23" w:hRule="atLeast"/>
              </w:trPr>
              <w:tc>
                <w:tcPr>
                  <w:tcW w:w="661" w:type="pct"/>
                  <w:tcBorders>
                    <w:tl2br w:val="nil"/>
                    <w:tr2bl w:val="nil"/>
                  </w:tcBorders>
                  <w:shd w:val="clear" w:color="auto" w:fill="FFFFFF"/>
                  <w:noWrap w:val="0"/>
                  <w:tcMar>
                    <w:top w:w="135" w:type="dxa"/>
                    <w:left w:w="270" w:type="dxa"/>
                    <w:bottom w:w="135" w:type="dxa"/>
                    <w:right w:w="270" w:type="dxa"/>
                  </w:tcMar>
                  <w:vAlign w:val="center"/>
                </w:tcPr>
                <w:p w14:paraId="68042357">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压铸岛—3500T</w:t>
                  </w:r>
                </w:p>
              </w:tc>
              <w:tc>
                <w:tcPr>
                  <w:tcW w:w="398" w:type="pct"/>
                  <w:tcBorders>
                    <w:tl2br w:val="nil"/>
                    <w:tr2bl w:val="nil"/>
                  </w:tcBorders>
                  <w:shd w:val="clear" w:color="auto" w:fill="FFFFFF"/>
                  <w:noWrap w:val="0"/>
                  <w:tcMar>
                    <w:top w:w="135" w:type="dxa"/>
                    <w:left w:w="270" w:type="dxa"/>
                    <w:bottom w:w="135" w:type="dxa"/>
                    <w:right w:w="270" w:type="dxa"/>
                  </w:tcMar>
                  <w:vAlign w:val="center"/>
                </w:tcPr>
                <w:p w14:paraId="00EE9A81">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套</w:t>
                  </w:r>
                </w:p>
              </w:tc>
              <w:tc>
                <w:tcPr>
                  <w:tcW w:w="527" w:type="pct"/>
                  <w:tcBorders>
                    <w:tl2br w:val="nil"/>
                    <w:tr2bl w:val="nil"/>
                  </w:tcBorders>
                  <w:shd w:val="clear" w:color="auto" w:fill="FFFFFF"/>
                  <w:noWrap w:val="0"/>
                  <w:tcMar>
                    <w:top w:w="135" w:type="dxa"/>
                    <w:left w:w="270" w:type="dxa"/>
                    <w:bottom w:w="135" w:type="dxa"/>
                    <w:right w:w="270" w:type="dxa"/>
                  </w:tcMar>
                  <w:vAlign w:val="center"/>
                </w:tcPr>
                <w:p w14:paraId="77986099">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2</w:t>
                  </w:r>
                </w:p>
              </w:tc>
              <w:tc>
                <w:tcPr>
                  <w:tcW w:w="734" w:type="pct"/>
                  <w:tcBorders>
                    <w:tl2br w:val="nil"/>
                    <w:tr2bl w:val="nil"/>
                  </w:tcBorders>
                  <w:shd w:val="clear" w:color="auto" w:fill="FFFFFF"/>
                  <w:noWrap w:val="0"/>
                  <w:tcMar>
                    <w:top w:w="135" w:type="dxa"/>
                    <w:left w:w="270" w:type="dxa"/>
                    <w:bottom w:w="135" w:type="dxa"/>
                    <w:right w:w="270" w:type="dxa"/>
                  </w:tcMar>
                  <w:vAlign w:val="center"/>
                </w:tcPr>
                <w:p w14:paraId="730673A7">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90-110</w:t>
                  </w:r>
                </w:p>
              </w:tc>
              <w:tc>
                <w:tcPr>
                  <w:tcW w:w="1005" w:type="pct"/>
                  <w:tcBorders>
                    <w:tl2br w:val="nil"/>
                    <w:tr2bl w:val="nil"/>
                  </w:tcBorders>
                  <w:shd w:val="clear" w:color="auto" w:fill="FFFFFF"/>
                  <w:noWrap w:val="0"/>
                  <w:tcMar>
                    <w:top w:w="135" w:type="dxa"/>
                    <w:left w:w="270" w:type="dxa"/>
                    <w:bottom w:w="135" w:type="dxa"/>
                    <w:right w:w="270" w:type="dxa"/>
                  </w:tcMar>
                  <w:vAlign w:val="center"/>
                </w:tcPr>
                <w:p w14:paraId="4CFEC6A3">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高压注射和合模冲击噪声（核心噪声源）</w:t>
                  </w:r>
                </w:p>
              </w:tc>
              <w:tc>
                <w:tcPr>
                  <w:tcW w:w="955" w:type="pct"/>
                  <w:tcBorders>
                    <w:tl2br w:val="nil"/>
                    <w:tr2bl w:val="nil"/>
                  </w:tcBorders>
                  <w:shd w:val="clear" w:color="auto" w:fill="FFFFFF"/>
                  <w:noWrap w:val="0"/>
                  <w:tcMar>
                    <w:top w:w="135" w:type="dxa"/>
                    <w:left w:w="270" w:type="dxa"/>
                    <w:bottom w:w="135" w:type="dxa"/>
                    <w:right w:w="270" w:type="dxa"/>
                  </w:tcMar>
                  <w:vAlign w:val="center"/>
                </w:tcPr>
                <w:p w14:paraId="33C6B687">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lang w:val="en-US" w:eastAsia="zh-CN" w:bidi="ar"/>
                    </w:rPr>
                  </w:pPr>
                  <w:r>
                    <w:rPr>
                      <w:rFonts w:hint="default" w:ascii="Times New Roman" w:hAnsi="Times New Roman" w:eastAsia="宋体" w:cs="Times New Roman"/>
                      <w:color w:val="auto"/>
                      <w:kern w:val="21"/>
                      <w:sz w:val="21"/>
                      <w:szCs w:val="21"/>
                      <w:u w:val="none" w:color="auto"/>
                      <w:lang w:val="en-US" w:eastAsia="zh-CN" w:bidi="ar"/>
                    </w:rPr>
                    <w:t>/（具体详见下列各组成）</w:t>
                  </w:r>
                </w:p>
              </w:tc>
              <w:tc>
                <w:tcPr>
                  <w:tcW w:w="713" w:type="pct"/>
                  <w:tcBorders>
                    <w:tl2br w:val="nil"/>
                    <w:tr2bl w:val="nil"/>
                  </w:tcBorders>
                  <w:shd w:val="clear" w:color="auto" w:fill="FFFFFF"/>
                  <w:noWrap w:val="0"/>
                  <w:tcMar>
                    <w:top w:w="135" w:type="dxa"/>
                    <w:left w:w="270" w:type="dxa"/>
                    <w:bottom w:w="135" w:type="dxa"/>
                    <w:right w:w="270" w:type="dxa"/>
                  </w:tcMar>
                  <w:vAlign w:val="center"/>
                </w:tcPr>
                <w:p w14:paraId="17AFB89A">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lang w:val="en-US" w:eastAsia="zh-CN" w:bidi="ar"/>
                    </w:rPr>
                  </w:pPr>
                  <w:r>
                    <w:rPr>
                      <w:rFonts w:hint="default" w:ascii="Times New Roman" w:hAnsi="Times New Roman" w:eastAsia="宋体" w:cs="Times New Roman"/>
                      <w:color w:val="auto"/>
                      <w:kern w:val="21"/>
                      <w:sz w:val="21"/>
                      <w:szCs w:val="21"/>
                      <w:u w:val="none" w:color="auto"/>
                      <w:lang w:val="en-US" w:eastAsia="zh-CN" w:bidi="ar"/>
                    </w:rPr>
                    <w:t>/</w:t>
                  </w:r>
                </w:p>
              </w:tc>
            </w:tr>
            <w:tr w14:paraId="2C9D06A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gridAfter w:val="1"/>
                <w:wAfter w:w="3" w:type="pct"/>
                <w:trHeight w:val="23" w:hRule="atLeast"/>
              </w:trPr>
              <w:tc>
                <w:tcPr>
                  <w:tcW w:w="661" w:type="pct"/>
                  <w:tcBorders>
                    <w:tl2br w:val="nil"/>
                    <w:tr2bl w:val="nil"/>
                  </w:tcBorders>
                  <w:shd w:val="clear" w:color="auto" w:fill="FFFFFF"/>
                  <w:noWrap w:val="0"/>
                  <w:tcMar>
                    <w:top w:w="135" w:type="dxa"/>
                    <w:left w:w="270" w:type="dxa"/>
                    <w:bottom w:w="135" w:type="dxa"/>
                    <w:right w:w="270" w:type="dxa"/>
                  </w:tcMar>
                  <w:vAlign w:val="center"/>
                </w:tcPr>
                <w:p w14:paraId="3D9D079D">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压铸机</w:t>
                  </w:r>
                </w:p>
              </w:tc>
              <w:tc>
                <w:tcPr>
                  <w:tcW w:w="398" w:type="pct"/>
                  <w:tcBorders>
                    <w:tl2br w:val="nil"/>
                    <w:tr2bl w:val="nil"/>
                  </w:tcBorders>
                  <w:shd w:val="clear" w:color="auto" w:fill="FFFFFF"/>
                  <w:noWrap w:val="0"/>
                  <w:tcMar>
                    <w:top w:w="135" w:type="dxa"/>
                    <w:left w:w="270" w:type="dxa"/>
                    <w:bottom w:w="135" w:type="dxa"/>
                    <w:right w:w="270" w:type="dxa"/>
                  </w:tcMar>
                  <w:vAlign w:val="center"/>
                </w:tcPr>
                <w:p w14:paraId="5A48DAE2">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台/套</w:t>
                  </w:r>
                </w:p>
              </w:tc>
              <w:tc>
                <w:tcPr>
                  <w:tcW w:w="527" w:type="pct"/>
                  <w:tcBorders>
                    <w:tl2br w:val="nil"/>
                    <w:tr2bl w:val="nil"/>
                  </w:tcBorders>
                  <w:shd w:val="clear" w:color="auto" w:fill="FFFFFF"/>
                  <w:noWrap w:val="0"/>
                  <w:tcMar>
                    <w:top w:w="135" w:type="dxa"/>
                    <w:left w:w="270" w:type="dxa"/>
                    <w:bottom w:w="135" w:type="dxa"/>
                    <w:right w:w="270" w:type="dxa"/>
                  </w:tcMar>
                  <w:vAlign w:val="center"/>
                </w:tcPr>
                <w:p w14:paraId="6DC01C9A">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1</w:t>
                  </w:r>
                </w:p>
              </w:tc>
              <w:tc>
                <w:tcPr>
                  <w:tcW w:w="734" w:type="pct"/>
                  <w:tcBorders>
                    <w:tl2br w:val="nil"/>
                    <w:tr2bl w:val="nil"/>
                  </w:tcBorders>
                  <w:shd w:val="clear" w:color="auto" w:fill="FFFFFF"/>
                  <w:noWrap w:val="0"/>
                  <w:tcMar>
                    <w:top w:w="135" w:type="dxa"/>
                    <w:left w:w="270" w:type="dxa"/>
                    <w:bottom w:w="135" w:type="dxa"/>
                    <w:right w:w="270" w:type="dxa"/>
                  </w:tcMar>
                  <w:vAlign w:val="center"/>
                </w:tcPr>
                <w:p w14:paraId="7261A224">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90-110</w:t>
                  </w:r>
                </w:p>
              </w:tc>
              <w:tc>
                <w:tcPr>
                  <w:tcW w:w="1005" w:type="pct"/>
                  <w:tcBorders>
                    <w:tl2br w:val="nil"/>
                    <w:tr2bl w:val="nil"/>
                  </w:tcBorders>
                  <w:shd w:val="clear" w:color="auto" w:fill="FFFFFF"/>
                  <w:noWrap w:val="0"/>
                  <w:tcMar>
                    <w:top w:w="135" w:type="dxa"/>
                    <w:left w:w="270" w:type="dxa"/>
                    <w:bottom w:w="135" w:type="dxa"/>
                    <w:right w:w="270" w:type="dxa"/>
                  </w:tcMar>
                  <w:vAlign w:val="center"/>
                </w:tcPr>
                <w:p w14:paraId="2FE5FF76">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同上，为主要噪声源</w:t>
                  </w:r>
                </w:p>
              </w:tc>
              <w:tc>
                <w:tcPr>
                  <w:tcW w:w="955" w:type="pct"/>
                  <w:tcBorders>
                    <w:tl2br w:val="nil"/>
                    <w:tr2bl w:val="nil"/>
                  </w:tcBorders>
                  <w:shd w:val="clear" w:color="auto" w:fill="FFFFFF"/>
                  <w:noWrap w:val="0"/>
                  <w:tcMar>
                    <w:top w:w="135" w:type="dxa"/>
                    <w:left w:w="270" w:type="dxa"/>
                    <w:bottom w:w="135" w:type="dxa"/>
                    <w:right w:w="270" w:type="dxa"/>
                  </w:tcMar>
                  <w:vAlign w:val="center"/>
                </w:tcPr>
                <w:p w14:paraId="14008604">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lang w:val="en-US" w:eastAsia="zh-CN" w:bidi="ar"/>
                    </w:rPr>
                  </w:pPr>
                  <w:r>
                    <w:rPr>
                      <w:rFonts w:hint="default" w:ascii="Times New Roman" w:hAnsi="Times New Roman" w:eastAsia="宋体" w:cs="Times New Roman"/>
                      <w:color w:val="auto"/>
                      <w:kern w:val="21"/>
                      <w:sz w:val="21"/>
                      <w:szCs w:val="21"/>
                      <w:u w:val="none" w:color="auto"/>
                      <w:lang w:val="en-US" w:eastAsia="zh-CN" w:bidi="ar"/>
                    </w:rPr>
                    <w:t>合模缓冲装置；液压站隔声房</w:t>
                  </w:r>
                </w:p>
              </w:tc>
              <w:tc>
                <w:tcPr>
                  <w:tcW w:w="713" w:type="pct"/>
                  <w:tcBorders>
                    <w:tl2br w:val="nil"/>
                    <w:tr2bl w:val="nil"/>
                  </w:tcBorders>
                  <w:shd w:val="clear" w:color="auto" w:fill="FFFFFF"/>
                  <w:noWrap w:val="0"/>
                  <w:tcMar>
                    <w:top w:w="135" w:type="dxa"/>
                    <w:left w:w="270" w:type="dxa"/>
                    <w:bottom w:w="135" w:type="dxa"/>
                    <w:right w:w="270" w:type="dxa"/>
                  </w:tcMar>
                  <w:vAlign w:val="center"/>
                </w:tcPr>
                <w:p w14:paraId="738BF9B0">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lang w:val="en-US" w:eastAsia="zh-CN" w:bidi="ar"/>
                    </w:rPr>
                  </w:pPr>
                  <w:r>
                    <w:rPr>
                      <w:rFonts w:hint="default" w:ascii="Times New Roman" w:hAnsi="Times New Roman" w:eastAsia="宋体" w:cs="Times New Roman"/>
                      <w:color w:val="auto"/>
                      <w:kern w:val="21"/>
                      <w:sz w:val="21"/>
                      <w:szCs w:val="21"/>
                      <w:u w:val="none" w:color="auto"/>
                      <w:lang w:val="en-US" w:eastAsia="zh-CN" w:bidi="ar"/>
                    </w:rPr>
                    <w:t>10-14</w:t>
                  </w:r>
                </w:p>
              </w:tc>
            </w:tr>
            <w:tr w14:paraId="61ED15F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23" w:hRule="atLeast"/>
              </w:trPr>
              <w:tc>
                <w:tcPr>
                  <w:tcW w:w="661" w:type="pct"/>
                  <w:tcBorders>
                    <w:tl2br w:val="nil"/>
                    <w:tr2bl w:val="nil"/>
                  </w:tcBorders>
                  <w:shd w:val="clear" w:color="auto" w:fill="FFFFFF"/>
                  <w:noWrap w:val="0"/>
                  <w:tcMar>
                    <w:top w:w="135" w:type="dxa"/>
                    <w:left w:w="270" w:type="dxa"/>
                    <w:bottom w:w="135" w:type="dxa"/>
                    <w:right w:w="270" w:type="dxa"/>
                  </w:tcMar>
                  <w:vAlign w:val="center"/>
                </w:tcPr>
                <w:p w14:paraId="29ED7787">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定量炉</w:t>
                  </w:r>
                </w:p>
              </w:tc>
              <w:tc>
                <w:tcPr>
                  <w:tcW w:w="398" w:type="pct"/>
                  <w:tcBorders>
                    <w:tl2br w:val="nil"/>
                    <w:tr2bl w:val="nil"/>
                  </w:tcBorders>
                  <w:shd w:val="clear" w:color="auto" w:fill="FFFFFF"/>
                  <w:noWrap w:val="0"/>
                  <w:tcMar>
                    <w:top w:w="135" w:type="dxa"/>
                    <w:left w:w="270" w:type="dxa"/>
                    <w:bottom w:w="135" w:type="dxa"/>
                    <w:right w:w="270" w:type="dxa"/>
                  </w:tcMar>
                  <w:vAlign w:val="center"/>
                </w:tcPr>
                <w:p w14:paraId="68642075">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台/套</w:t>
                  </w:r>
                </w:p>
              </w:tc>
              <w:tc>
                <w:tcPr>
                  <w:tcW w:w="527" w:type="pct"/>
                  <w:tcBorders>
                    <w:tl2br w:val="nil"/>
                    <w:tr2bl w:val="nil"/>
                  </w:tcBorders>
                  <w:shd w:val="clear" w:color="auto" w:fill="FFFFFF"/>
                  <w:noWrap w:val="0"/>
                  <w:tcMar>
                    <w:top w:w="135" w:type="dxa"/>
                    <w:left w:w="270" w:type="dxa"/>
                    <w:bottom w:w="135" w:type="dxa"/>
                    <w:right w:w="270" w:type="dxa"/>
                  </w:tcMar>
                  <w:vAlign w:val="center"/>
                </w:tcPr>
                <w:p w14:paraId="42450F92">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1</w:t>
                  </w:r>
                </w:p>
              </w:tc>
              <w:tc>
                <w:tcPr>
                  <w:tcW w:w="734" w:type="pct"/>
                  <w:tcBorders>
                    <w:tl2br w:val="nil"/>
                    <w:tr2bl w:val="nil"/>
                  </w:tcBorders>
                  <w:shd w:val="clear" w:color="auto" w:fill="FFFFFF"/>
                  <w:noWrap w:val="0"/>
                  <w:tcMar>
                    <w:top w:w="135" w:type="dxa"/>
                    <w:left w:w="270" w:type="dxa"/>
                    <w:bottom w:w="135" w:type="dxa"/>
                    <w:right w:w="270" w:type="dxa"/>
                  </w:tcMar>
                  <w:vAlign w:val="center"/>
                </w:tcPr>
                <w:p w14:paraId="1A4F10BF">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80-95</w:t>
                  </w:r>
                </w:p>
              </w:tc>
              <w:tc>
                <w:tcPr>
                  <w:tcW w:w="1005" w:type="pct"/>
                  <w:tcBorders>
                    <w:tl2br w:val="nil"/>
                    <w:tr2bl w:val="nil"/>
                  </w:tcBorders>
                  <w:shd w:val="clear" w:color="auto" w:fill="FFFFFF"/>
                  <w:noWrap w:val="0"/>
                  <w:tcMar>
                    <w:top w:w="135" w:type="dxa"/>
                    <w:left w:w="270" w:type="dxa"/>
                    <w:bottom w:w="135" w:type="dxa"/>
                    <w:right w:w="270" w:type="dxa"/>
                  </w:tcMar>
                  <w:vAlign w:val="center"/>
                </w:tcPr>
                <w:p w14:paraId="2E1E1AAC">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金属加热和输送声（类似熔化炉）</w:t>
                  </w:r>
                </w:p>
              </w:tc>
              <w:tc>
                <w:tcPr>
                  <w:tcW w:w="955" w:type="pct"/>
                  <w:tcBorders>
                    <w:tl2br w:val="nil"/>
                    <w:tr2bl w:val="nil"/>
                  </w:tcBorders>
                  <w:shd w:val="clear" w:color="auto" w:fill="FFFFFF"/>
                  <w:noWrap w:val="0"/>
                  <w:tcMar>
                    <w:top w:w="135" w:type="dxa"/>
                    <w:left w:w="270" w:type="dxa"/>
                    <w:bottom w:w="135" w:type="dxa"/>
                    <w:right w:w="270" w:type="dxa"/>
                  </w:tcMar>
                  <w:vAlign w:val="center"/>
                </w:tcPr>
                <w:p w14:paraId="0BC327CF">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lang w:val="en-US" w:eastAsia="zh-CN" w:bidi="ar"/>
                    </w:rPr>
                  </w:pPr>
                  <w:r>
                    <w:rPr>
                      <w:rFonts w:hint="default" w:ascii="Times New Roman" w:hAnsi="Times New Roman" w:eastAsia="宋体" w:cs="Times New Roman"/>
                      <w:i w:val="0"/>
                      <w:iCs w:val="0"/>
                      <w:caps w:val="0"/>
                      <w:color w:val="auto"/>
                      <w:spacing w:val="0"/>
                      <w:kern w:val="21"/>
                      <w:sz w:val="21"/>
                      <w:szCs w:val="21"/>
                      <w:u w:val="none" w:color="auto"/>
                      <w:shd w:val="clear" w:fill="FFFFFF"/>
                    </w:rPr>
                    <w:t>同熔化炉隔声包覆措施</w:t>
                  </w:r>
                </w:p>
              </w:tc>
              <w:tc>
                <w:tcPr>
                  <w:tcW w:w="716" w:type="pct"/>
                  <w:gridSpan w:val="2"/>
                  <w:tcBorders>
                    <w:tl2br w:val="nil"/>
                    <w:tr2bl w:val="nil"/>
                  </w:tcBorders>
                  <w:shd w:val="clear" w:color="auto" w:fill="FFFFFF"/>
                  <w:noWrap w:val="0"/>
                  <w:tcMar>
                    <w:top w:w="135" w:type="dxa"/>
                    <w:left w:w="270" w:type="dxa"/>
                    <w:bottom w:w="135" w:type="dxa"/>
                    <w:right w:w="270" w:type="dxa"/>
                  </w:tcMar>
                  <w:vAlign w:val="center"/>
                </w:tcPr>
                <w:p w14:paraId="6752DC25">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i w:val="0"/>
                      <w:iCs w:val="0"/>
                      <w:caps w:val="0"/>
                      <w:color w:val="auto"/>
                      <w:spacing w:val="0"/>
                      <w:kern w:val="21"/>
                      <w:sz w:val="21"/>
                      <w:szCs w:val="21"/>
                      <w:u w:val="none" w:color="auto"/>
                      <w:shd w:val="clear" w:fill="FFFFFF"/>
                      <w:lang w:val="en-US" w:eastAsia="zh-CN"/>
                    </w:rPr>
                  </w:pPr>
                  <w:r>
                    <w:rPr>
                      <w:rFonts w:hint="default" w:ascii="Times New Roman" w:hAnsi="Times New Roman" w:eastAsia="宋体" w:cs="Times New Roman"/>
                      <w:i w:val="0"/>
                      <w:iCs w:val="0"/>
                      <w:caps w:val="0"/>
                      <w:color w:val="auto"/>
                      <w:spacing w:val="0"/>
                      <w:kern w:val="21"/>
                      <w:sz w:val="21"/>
                      <w:szCs w:val="21"/>
                      <w:u w:val="none" w:color="auto"/>
                      <w:shd w:val="clear" w:fill="FFFFFF"/>
                      <w:lang w:val="en-US" w:eastAsia="zh-CN"/>
                    </w:rPr>
                    <w:t>8-12</w:t>
                  </w:r>
                </w:p>
              </w:tc>
            </w:tr>
            <w:tr w14:paraId="0CCCECE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23" w:hRule="atLeast"/>
              </w:trPr>
              <w:tc>
                <w:tcPr>
                  <w:tcW w:w="661" w:type="pct"/>
                  <w:tcBorders>
                    <w:tl2br w:val="nil"/>
                    <w:tr2bl w:val="nil"/>
                  </w:tcBorders>
                  <w:shd w:val="clear" w:color="auto" w:fill="FFFFFF"/>
                  <w:noWrap w:val="0"/>
                  <w:tcMar>
                    <w:top w:w="135" w:type="dxa"/>
                    <w:left w:w="270" w:type="dxa"/>
                    <w:bottom w:w="135" w:type="dxa"/>
                    <w:right w:w="270" w:type="dxa"/>
                  </w:tcMar>
                  <w:vAlign w:val="center"/>
                </w:tcPr>
                <w:p w14:paraId="19C718F6">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取件机器人</w:t>
                  </w:r>
                </w:p>
              </w:tc>
              <w:tc>
                <w:tcPr>
                  <w:tcW w:w="398" w:type="pct"/>
                  <w:tcBorders>
                    <w:tl2br w:val="nil"/>
                    <w:tr2bl w:val="nil"/>
                  </w:tcBorders>
                  <w:shd w:val="clear" w:color="auto" w:fill="FFFFFF"/>
                  <w:noWrap w:val="0"/>
                  <w:tcMar>
                    <w:top w:w="135" w:type="dxa"/>
                    <w:left w:w="270" w:type="dxa"/>
                    <w:bottom w:w="135" w:type="dxa"/>
                    <w:right w:w="270" w:type="dxa"/>
                  </w:tcMar>
                  <w:vAlign w:val="center"/>
                </w:tcPr>
                <w:p w14:paraId="2127A7A5">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台/套</w:t>
                  </w:r>
                </w:p>
              </w:tc>
              <w:tc>
                <w:tcPr>
                  <w:tcW w:w="527" w:type="pct"/>
                  <w:tcBorders>
                    <w:tl2br w:val="nil"/>
                    <w:tr2bl w:val="nil"/>
                  </w:tcBorders>
                  <w:shd w:val="clear" w:color="auto" w:fill="FFFFFF"/>
                  <w:noWrap w:val="0"/>
                  <w:tcMar>
                    <w:top w:w="135" w:type="dxa"/>
                    <w:left w:w="270" w:type="dxa"/>
                    <w:bottom w:w="135" w:type="dxa"/>
                    <w:right w:w="270" w:type="dxa"/>
                  </w:tcMar>
                  <w:vAlign w:val="center"/>
                </w:tcPr>
                <w:p w14:paraId="73D7AFA0">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1</w:t>
                  </w:r>
                </w:p>
              </w:tc>
              <w:tc>
                <w:tcPr>
                  <w:tcW w:w="734" w:type="pct"/>
                  <w:tcBorders>
                    <w:tl2br w:val="nil"/>
                    <w:tr2bl w:val="nil"/>
                  </w:tcBorders>
                  <w:shd w:val="clear" w:color="auto" w:fill="FFFFFF"/>
                  <w:noWrap w:val="0"/>
                  <w:tcMar>
                    <w:top w:w="135" w:type="dxa"/>
                    <w:left w:w="270" w:type="dxa"/>
                    <w:bottom w:w="135" w:type="dxa"/>
                    <w:right w:w="270" w:type="dxa"/>
                  </w:tcMar>
                  <w:vAlign w:val="center"/>
                </w:tcPr>
                <w:p w14:paraId="6F0D4414">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65-80</w:t>
                  </w:r>
                </w:p>
              </w:tc>
              <w:tc>
                <w:tcPr>
                  <w:tcW w:w="1005" w:type="pct"/>
                  <w:tcBorders>
                    <w:tl2br w:val="nil"/>
                    <w:tr2bl w:val="nil"/>
                  </w:tcBorders>
                  <w:shd w:val="clear" w:color="auto" w:fill="FFFFFF"/>
                  <w:noWrap w:val="0"/>
                  <w:tcMar>
                    <w:top w:w="135" w:type="dxa"/>
                    <w:left w:w="270" w:type="dxa"/>
                    <w:bottom w:w="135" w:type="dxa"/>
                    <w:right w:w="270" w:type="dxa"/>
                  </w:tcMar>
                  <w:vAlign w:val="center"/>
                </w:tcPr>
                <w:p w14:paraId="6A0B9886">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机械臂运动电机噪声（相对较低）</w:t>
                  </w:r>
                </w:p>
              </w:tc>
              <w:tc>
                <w:tcPr>
                  <w:tcW w:w="955" w:type="pct"/>
                  <w:tcBorders>
                    <w:tl2br w:val="nil"/>
                    <w:tr2bl w:val="nil"/>
                  </w:tcBorders>
                  <w:shd w:val="clear" w:color="auto" w:fill="FFFFFF"/>
                  <w:noWrap w:val="0"/>
                  <w:tcMar>
                    <w:top w:w="135" w:type="dxa"/>
                    <w:left w:w="270" w:type="dxa"/>
                    <w:bottom w:w="135" w:type="dxa"/>
                    <w:right w:w="270" w:type="dxa"/>
                  </w:tcMar>
                  <w:vAlign w:val="center"/>
                </w:tcPr>
                <w:p w14:paraId="3155AFC3">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lang w:val="en-US" w:eastAsia="zh-CN" w:bidi="ar"/>
                    </w:rPr>
                  </w:pPr>
                  <w:r>
                    <w:rPr>
                      <w:rFonts w:hint="default" w:ascii="Times New Roman" w:hAnsi="Times New Roman" w:eastAsia="宋体" w:cs="Times New Roman"/>
                      <w:color w:val="auto"/>
                      <w:kern w:val="21"/>
                      <w:sz w:val="21"/>
                      <w:szCs w:val="21"/>
                      <w:u w:val="none" w:color="auto"/>
                      <w:lang w:val="en-US" w:eastAsia="zh-CN" w:bidi="ar"/>
                    </w:rPr>
                    <w:t>低噪声设备、保持润滑</w:t>
                  </w:r>
                </w:p>
              </w:tc>
              <w:tc>
                <w:tcPr>
                  <w:tcW w:w="716" w:type="pct"/>
                  <w:gridSpan w:val="2"/>
                  <w:tcBorders>
                    <w:tl2br w:val="nil"/>
                    <w:tr2bl w:val="nil"/>
                  </w:tcBorders>
                  <w:shd w:val="clear" w:color="auto" w:fill="FFFFFF"/>
                  <w:noWrap w:val="0"/>
                  <w:tcMar>
                    <w:top w:w="135" w:type="dxa"/>
                    <w:left w:w="270" w:type="dxa"/>
                    <w:bottom w:w="135" w:type="dxa"/>
                    <w:right w:w="270" w:type="dxa"/>
                  </w:tcMar>
                  <w:vAlign w:val="center"/>
                </w:tcPr>
                <w:p w14:paraId="1AF3DBE8">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lang w:val="en-US" w:eastAsia="zh-CN" w:bidi="ar"/>
                    </w:rPr>
                  </w:pPr>
                  <w:r>
                    <w:rPr>
                      <w:rFonts w:hint="default" w:ascii="Times New Roman" w:hAnsi="Times New Roman" w:eastAsia="宋体" w:cs="Times New Roman"/>
                      <w:color w:val="auto"/>
                      <w:kern w:val="21"/>
                      <w:sz w:val="21"/>
                      <w:szCs w:val="21"/>
                      <w:u w:val="none" w:color="auto"/>
                      <w:lang w:val="en-US" w:eastAsia="zh-CN" w:bidi="ar"/>
                    </w:rPr>
                    <w:t>6-8</w:t>
                  </w:r>
                </w:p>
              </w:tc>
            </w:tr>
            <w:tr w14:paraId="7B2C78F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23" w:hRule="atLeast"/>
              </w:trPr>
              <w:tc>
                <w:tcPr>
                  <w:tcW w:w="661" w:type="pct"/>
                  <w:tcBorders>
                    <w:tl2br w:val="nil"/>
                    <w:tr2bl w:val="nil"/>
                  </w:tcBorders>
                  <w:shd w:val="clear" w:color="auto" w:fill="FFFFFF"/>
                  <w:noWrap w:val="0"/>
                  <w:tcMar>
                    <w:top w:w="135" w:type="dxa"/>
                    <w:left w:w="270" w:type="dxa"/>
                    <w:bottom w:w="135" w:type="dxa"/>
                    <w:right w:w="270" w:type="dxa"/>
                  </w:tcMar>
                  <w:vAlign w:val="center"/>
                </w:tcPr>
                <w:p w14:paraId="2E3555A3">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喷雾机器人</w:t>
                  </w:r>
                </w:p>
              </w:tc>
              <w:tc>
                <w:tcPr>
                  <w:tcW w:w="398" w:type="pct"/>
                  <w:tcBorders>
                    <w:tl2br w:val="nil"/>
                    <w:tr2bl w:val="nil"/>
                  </w:tcBorders>
                  <w:shd w:val="clear" w:color="auto" w:fill="FFFFFF"/>
                  <w:noWrap w:val="0"/>
                  <w:tcMar>
                    <w:top w:w="135" w:type="dxa"/>
                    <w:left w:w="270" w:type="dxa"/>
                    <w:bottom w:w="135" w:type="dxa"/>
                    <w:right w:w="270" w:type="dxa"/>
                  </w:tcMar>
                  <w:vAlign w:val="center"/>
                </w:tcPr>
                <w:p w14:paraId="5F13F46F">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台/套</w:t>
                  </w:r>
                </w:p>
              </w:tc>
              <w:tc>
                <w:tcPr>
                  <w:tcW w:w="527" w:type="pct"/>
                  <w:tcBorders>
                    <w:tl2br w:val="nil"/>
                    <w:tr2bl w:val="nil"/>
                  </w:tcBorders>
                  <w:shd w:val="clear" w:color="auto" w:fill="FFFFFF"/>
                  <w:noWrap w:val="0"/>
                  <w:tcMar>
                    <w:top w:w="135" w:type="dxa"/>
                    <w:left w:w="270" w:type="dxa"/>
                    <w:bottom w:w="135" w:type="dxa"/>
                    <w:right w:w="270" w:type="dxa"/>
                  </w:tcMar>
                  <w:vAlign w:val="center"/>
                </w:tcPr>
                <w:p w14:paraId="70F4A787">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1</w:t>
                  </w:r>
                </w:p>
              </w:tc>
              <w:tc>
                <w:tcPr>
                  <w:tcW w:w="734" w:type="pct"/>
                  <w:tcBorders>
                    <w:tl2br w:val="nil"/>
                    <w:tr2bl w:val="nil"/>
                  </w:tcBorders>
                  <w:shd w:val="clear" w:color="auto" w:fill="FFFFFF"/>
                  <w:noWrap w:val="0"/>
                  <w:tcMar>
                    <w:top w:w="135" w:type="dxa"/>
                    <w:left w:w="270" w:type="dxa"/>
                    <w:bottom w:w="135" w:type="dxa"/>
                    <w:right w:w="270" w:type="dxa"/>
                  </w:tcMar>
                  <w:vAlign w:val="center"/>
                </w:tcPr>
                <w:p w14:paraId="0FD3C8B2">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70-85</w:t>
                  </w:r>
                </w:p>
              </w:tc>
              <w:tc>
                <w:tcPr>
                  <w:tcW w:w="1005" w:type="pct"/>
                  <w:tcBorders>
                    <w:tl2br w:val="nil"/>
                    <w:tr2bl w:val="nil"/>
                  </w:tcBorders>
                  <w:shd w:val="clear" w:color="auto" w:fill="FFFFFF"/>
                  <w:noWrap w:val="0"/>
                  <w:tcMar>
                    <w:top w:w="135" w:type="dxa"/>
                    <w:left w:w="270" w:type="dxa"/>
                    <w:bottom w:w="135" w:type="dxa"/>
                    <w:right w:w="270" w:type="dxa"/>
                  </w:tcMar>
                  <w:vAlign w:val="center"/>
                </w:tcPr>
                <w:p w14:paraId="58597630">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喷嘴喷射和空气压缩噪声</w:t>
                  </w:r>
                </w:p>
              </w:tc>
              <w:tc>
                <w:tcPr>
                  <w:tcW w:w="955" w:type="pct"/>
                  <w:tcBorders>
                    <w:tl2br w:val="nil"/>
                    <w:tr2bl w:val="nil"/>
                  </w:tcBorders>
                  <w:shd w:val="clear" w:color="auto" w:fill="FFFFFF"/>
                  <w:noWrap w:val="0"/>
                  <w:tcMar>
                    <w:top w:w="135" w:type="dxa"/>
                    <w:left w:w="270" w:type="dxa"/>
                    <w:bottom w:w="135" w:type="dxa"/>
                    <w:right w:w="270" w:type="dxa"/>
                  </w:tcMar>
                  <w:vAlign w:val="center"/>
                </w:tcPr>
                <w:p w14:paraId="1BC6A36B">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lang w:val="en-US" w:eastAsia="zh-CN" w:bidi="ar"/>
                    </w:rPr>
                  </w:pPr>
                  <w:r>
                    <w:rPr>
                      <w:rFonts w:hint="default" w:ascii="Times New Roman" w:hAnsi="Times New Roman" w:eastAsia="宋体" w:cs="Times New Roman"/>
                      <w:i w:val="0"/>
                      <w:iCs w:val="0"/>
                      <w:caps w:val="0"/>
                      <w:color w:val="auto"/>
                      <w:spacing w:val="0"/>
                      <w:kern w:val="21"/>
                      <w:sz w:val="21"/>
                      <w:szCs w:val="21"/>
                      <w:u w:val="none" w:color="auto"/>
                      <w:shd w:val="clear" w:fill="FFFFFF"/>
                    </w:rPr>
                    <w:t>喷嘴消声器</w:t>
                  </w:r>
                  <w:r>
                    <w:rPr>
                      <w:rFonts w:hint="default" w:ascii="Times New Roman" w:hAnsi="Times New Roman" w:eastAsia="宋体" w:cs="Times New Roman"/>
                      <w:i w:val="0"/>
                      <w:iCs w:val="0"/>
                      <w:caps w:val="0"/>
                      <w:color w:val="auto"/>
                      <w:spacing w:val="0"/>
                      <w:kern w:val="21"/>
                      <w:sz w:val="21"/>
                      <w:szCs w:val="21"/>
                      <w:u w:val="none" w:color="auto"/>
                      <w:shd w:val="clear" w:fill="FFFFFF"/>
                      <w:lang w:eastAsia="zh-CN"/>
                    </w:rPr>
                    <w:t>；</w:t>
                  </w:r>
                  <w:r>
                    <w:rPr>
                      <w:rFonts w:hint="default" w:ascii="Times New Roman" w:hAnsi="Times New Roman" w:eastAsia="宋体" w:cs="Times New Roman"/>
                      <w:i w:val="0"/>
                      <w:iCs w:val="0"/>
                      <w:caps w:val="0"/>
                      <w:color w:val="auto"/>
                      <w:spacing w:val="0"/>
                      <w:kern w:val="21"/>
                      <w:sz w:val="21"/>
                      <w:szCs w:val="21"/>
                      <w:u w:val="none" w:color="auto"/>
                      <w:shd w:val="clear" w:fill="FFFFFF"/>
                    </w:rPr>
                    <w:t>供气管路包扎</w:t>
                  </w:r>
                </w:p>
              </w:tc>
              <w:tc>
                <w:tcPr>
                  <w:tcW w:w="716" w:type="pct"/>
                  <w:gridSpan w:val="2"/>
                  <w:tcBorders>
                    <w:tl2br w:val="nil"/>
                    <w:tr2bl w:val="nil"/>
                  </w:tcBorders>
                  <w:shd w:val="clear" w:color="auto" w:fill="FFFFFF"/>
                  <w:noWrap w:val="0"/>
                  <w:tcMar>
                    <w:top w:w="135" w:type="dxa"/>
                    <w:left w:w="270" w:type="dxa"/>
                    <w:bottom w:w="135" w:type="dxa"/>
                    <w:right w:w="270" w:type="dxa"/>
                  </w:tcMar>
                  <w:vAlign w:val="center"/>
                </w:tcPr>
                <w:p w14:paraId="6CE0671D">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i w:val="0"/>
                      <w:iCs w:val="0"/>
                      <w:caps w:val="0"/>
                      <w:color w:val="auto"/>
                      <w:spacing w:val="0"/>
                      <w:kern w:val="21"/>
                      <w:sz w:val="21"/>
                      <w:szCs w:val="21"/>
                      <w:u w:val="none" w:color="auto"/>
                      <w:shd w:val="clear" w:fill="FFFFFF"/>
                      <w:lang w:val="en-US" w:eastAsia="zh-CN"/>
                    </w:rPr>
                  </w:pPr>
                  <w:r>
                    <w:rPr>
                      <w:rFonts w:hint="default" w:ascii="Times New Roman" w:hAnsi="Times New Roman" w:eastAsia="宋体" w:cs="Times New Roman"/>
                      <w:i w:val="0"/>
                      <w:iCs w:val="0"/>
                      <w:caps w:val="0"/>
                      <w:color w:val="auto"/>
                      <w:spacing w:val="0"/>
                      <w:kern w:val="21"/>
                      <w:sz w:val="21"/>
                      <w:szCs w:val="21"/>
                      <w:u w:val="none" w:color="auto"/>
                      <w:shd w:val="clear" w:fill="FFFFFF"/>
                      <w:lang w:val="en-US" w:eastAsia="zh-CN"/>
                    </w:rPr>
                    <w:t>8-10</w:t>
                  </w:r>
                </w:p>
              </w:tc>
            </w:tr>
            <w:tr w14:paraId="52E6FAF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23" w:hRule="atLeast"/>
              </w:trPr>
              <w:tc>
                <w:tcPr>
                  <w:tcW w:w="661" w:type="pct"/>
                  <w:tcBorders>
                    <w:tl2br w:val="nil"/>
                    <w:tr2bl w:val="nil"/>
                  </w:tcBorders>
                  <w:shd w:val="clear" w:color="auto" w:fill="FFFFFF"/>
                  <w:noWrap w:val="0"/>
                  <w:tcMar>
                    <w:top w:w="135" w:type="dxa"/>
                    <w:left w:w="270" w:type="dxa"/>
                    <w:bottom w:w="135" w:type="dxa"/>
                    <w:right w:w="270" w:type="dxa"/>
                  </w:tcMar>
                  <w:vAlign w:val="center"/>
                </w:tcPr>
                <w:p w14:paraId="2066EA10">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脱模剂配比机</w:t>
                  </w:r>
                </w:p>
              </w:tc>
              <w:tc>
                <w:tcPr>
                  <w:tcW w:w="398" w:type="pct"/>
                  <w:tcBorders>
                    <w:tl2br w:val="nil"/>
                    <w:tr2bl w:val="nil"/>
                  </w:tcBorders>
                  <w:shd w:val="clear" w:color="auto" w:fill="FFFFFF"/>
                  <w:noWrap w:val="0"/>
                  <w:tcMar>
                    <w:top w:w="135" w:type="dxa"/>
                    <w:left w:w="270" w:type="dxa"/>
                    <w:bottom w:w="135" w:type="dxa"/>
                    <w:right w:w="270" w:type="dxa"/>
                  </w:tcMar>
                  <w:vAlign w:val="center"/>
                </w:tcPr>
                <w:p w14:paraId="2FC0AA28">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台/套</w:t>
                  </w:r>
                </w:p>
              </w:tc>
              <w:tc>
                <w:tcPr>
                  <w:tcW w:w="527" w:type="pct"/>
                  <w:tcBorders>
                    <w:tl2br w:val="nil"/>
                    <w:tr2bl w:val="nil"/>
                  </w:tcBorders>
                  <w:shd w:val="clear" w:color="auto" w:fill="FFFFFF"/>
                  <w:noWrap w:val="0"/>
                  <w:tcMar>
                    <w:top w:w="135" w:type="dxa"/>
                    <w:left w:w="270" w:type="dxa"/>
                    <w:bottom w:w="135" w:type="dxa"/>
                    <w:right w:w="270" w:type="dxa"/>
                  </w:tcMar>
                  <w:vAlign w:val="center"/>
                </w:tcPr>
                <w:p w14:paraId="4473CD09">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1</w:t>
                  </w:r>
                </w:p>
              </w:tc>
              <w:tc>
                <w:tcPr>
                  <w:tcW w:w="734" w:type="pct"/>
                  <w:tcBorders>
                    <w:tl2br w:val="nil"/>
                    <w:tr2bl w:val="nil"/>
                  </w:tcBorders>
                  <w:shd w:val="clear" w:color="auto" w:fill="FFFFFF"/>
                  <w:noWrap w:val="0"/>
                  <w:tcMar>
                    <w:top w:w="135" w:type="dxa"/>
                    <w:left w:w="270" w:type="dxa"/>
                    <w:bottom w:w="135" w:type="dxa"/>
                    <w:right w:w="270" w:type="dxa"/>
                  </w:tcMar>
                  <w:vAlign w:val="center"/>
                </w:tcPr>
                <w:p w14:paraId="42D0CDA6">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60-75</w:t>
                  </w:r>
                </w:p>
              </w:tc>
              <w:tc>
                <w:tcPr>
                  <w:tcW w:w="1005" w:type="pct"/>
                  <w:tcBorders>
                    <w:tl2br w:val="nil"/>
                    <w:tr2bl w:val="nil"/>
                  </w:tcBorders>
                  <w:shd w:val="clear" w:color="auto" w:fill="FFFFFF"/>
                  <w:noWrap w:val="0"/>
                  <w:tcMar>
                    <w:top w:w="135" w:type="dxa"/>
                    <w:left w:w="270" w:type="dxa"/>
                    <w:bottom w:w="135" w:type="dxa"/>
                    <w:right w:w="270" w:type="dxa"/>
                  </w:tcMar>
                  <w:vAlign w:val="center"/>
                </w:tcPr>
                <w:p w14:paraId="1FCC9660">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液体混合泵噪声（低强度）</w:t>
                  </w:r>
                </w:p>
              </w:tc>
              <w:tc>
                <w:tcPr>
                  <w:tcW w:w="955" w:type="pct"/>
                  <w:tcBorders>
                    <w:tl2br w:val="nil"/>
                    <w:tr2bl w:val="nil"/>
                  </w:tcBorders>
                  <w:shd w:val="clear" w:color="auto" w:fill="FFFFFF"/>
                  <w:noWrap w:val="0"/>
                  <w:tcMar>
                    <w:top w:w="135" w:type="dxa"/>
                    <w:left w:w="270" w:type="dxa"/>
                    <w:bottom w:w="135" w:type="dxa"/>
                    <w:right w:w="270" w:type="dxa"/>
                  </w:tcMar>
                  <w:vAlign w:val="center"/>
                </w:tcPr>
                <w:p w14:paraId="6E16E859">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lang w:val="en-US" w:eastAsia="zh-CN" w:bidi="ar"/>
                    </w:rPr>
                  </w:pPr>
                  <w:r>
                    <w:rPr>
                      <w:rFonts w:hint="default" w:ascii="Times New Roman" w:hAnsi="Times New Roman" w:eastAsia="宋体" w:cs="Times New Roman"/>
                      <w:color w:val="auto"/>
                      <w:kern w:val="21"/>
                      <w:sz w:val="21"/>
                      <w:szCs w:val="21"/>
                      <w:u w:val="none" w:color="auto"/>
                      <w:lang w:val="en-US" w:eastAsia="zh-CN" w:bidi="ar"/>
                    </w:rPr>
                    <w:t>低噪声设备</w:t>
                  </w:r>
                </w:p>
              </w:tc>
              <w:tc>
                <w:tcPr>
                  <w:tcW w:w="716" w:type="pct"/>
                  <w:gridSpan w:val="2"/>
                  <w:tcBorders>
                    <w:tl2br w:val="nil"/>
                    <w:tr2bl w:val="nil"/>
                  </w:tcBorders>
                  <w:shd w:val="clear" w:color="auto" w:fill="FFFFFF"/>
                  <w:noWrap w:val="0"/>
                  <w:tcMar>
                    <w:top w:w="135" w:type="dxa"/>
                    <w:left w:w="270" w:type="dxa"/>
                    <w:bottom w:w="135" w:type="dxa"/>
                    <w:right w:w="270" w:type="dxa"/>
                  </w:tcMar>
                  <w:vAlign w:val="center"/>
                </w:tcPr>
                <w:p w14:paraId="710D5EA5">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lang w:val="en-US" w:eastAsia="zh-CN" w:bidi="ar"/>
                    </w:rPr>
                  </w:pPr>
                  <w:r>
                    <w:rPr>
                      <w:rFonts w:hint="default" w:ascii="Times New Roman" w:hAnsi="Times New Roman" w:eastAsia="宋体" w:cs="Times New Roman"/>
                      <w:color w:val="auto"/>
                      <w:kern w:val="21"/>
                      <w:sz w:val="21"/>
                      <w:szCs w:val="21"/>
                      <w:u w:val="none" w:color="auto"/>
                      <w:lang w:val="en-US" w:eastAsia="zh-CN" w:bidi="ar"/>
                    </w:rPr>
                    <w:t>6-8</w:t>
                  </w:r>
                </w:p>
              </w:tc>
            </w:tr>
            <w:tr w14:paraId="301A444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23" w:hRule="atLeast"/>
              </w:trPr>
              <w:tc>
                <w:tcPr>
                  <w:tcW w:w="661" w:type="pct"/>
                  <w:tcBorders>
                    <w:tl2br w:val="nil"/>
                    <w:tr2bl w:val="nil"/>
                  </w:tcBorders>
                  <w:shd w:val="clear" w:color="auto" w:fill="FFFFFF"/>
                  <w:noWrap w:val="0"/>
                  <w:tcMar>
                    <w:top w:w="135" w:type="dxa"/>
                    <w:left w:w="270" w:type="dxa"/>
                    <w:bottom w:w="135" w:type="dxa"/>
                    <w:right w:w="270" w:type="dxa"/>
                  </w:tcMar>
                  <w:vAlign w:val="center"/>
                </w:tcPr>
                <w:p w14:paraId="620948DB">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激光打标机</w:t>
                  </w:r>
                </w:p>
              </w:tc>
              <w:tc>
                <w:tcPr>
                  <w:tcW w:w="398" w:type="pct"/>
                  <w:tcBorders>
                    <w:tl2br w:val="nil"/>
                    <w:tr2bl w:val="nil"/>
                  </w:tcBorders>
                  <w:shd w:val="clear" w:color="auto" w:fill="FFFFFF"/>
                  <w:noWrap w:val="0"/>
                  <w:tcMar>
                    <w:top w:w="135" w:type="dxa"/>
                    <w:left w:w="270" w:type="dxa"/>
                    <w:bottom w:w="135" w:type="dxa"/>
                    <w:right w:w="270" w:type="dxa"/>
                  </w:tcMar>
                  <w:vAlign w:val="center"/>
                </w:tcPr>
                <w:p w14:paraId="4B8C4E37">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台/套</w:t>
                  </w:r>
                </w:p>
              </w:tc>
              <w:tc>
                <w:tcPr>
                  <w:tcW w:w="527" w:type="pct"/>
                  <w:tcBorders>
                    <w:tl2br w:val="nil"/>
                    <w:tr2bl w:val="nil"/>
                  </w:tcBorders>
                  <w:shd w:val="clear" w:color="auto" w:fill="FFFFFF"/>
                  <w:noWrap w:val="0"/>
                  <w:tcMar>
                    <w:top w:w="135" w:type="dxa"/>
                    <w:left w:w="270" w:type="dxa"/>
                    <w:bottom w:w="135" w:type="dxa"/>
                    <w:right w:w="270" w:type="dxa"/>
                  </w:tcMar>
                  <w:vAlign w:val="center"/>
                </w:tcPr>
                <w:p w14:paraId="3697F06F">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1</w:t>
                  </w:r>
                </w:p>
              </w:tc>
              <w:tc>
                <w:tcPr>
                  <w:tcW w:w="734" w:type="pct"/>
                  <w:tcBorders>
                    <w:tl2br w:val="nil"/>
                    <w:tr2bl w:val="nil"/>
                  </w:tcBorders>
                  <w:shd w:val="clear" w:color="auto" w:fill="FFFFFF"/>
                  <w:noWrap w:val="0"/>
                  <w:tcMar>
                    <w:top w:w="135" w:type="dxa"/>
                    <w:left w:w="270" w:type="dxa"/>
                    <w:bottom w:w="135" w:type="dxa"/>
                    <w:right w:w="270" w:type="dxa"/>
                  </w:tcMar>
                  <w:vAlign w:val="center"/>
                </w:tcPr>
                <w:p w14:paraId="7ECE2EDF">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70-85</w:t>
                  </w:r>
                </w:p>
              </w:tc>
              <w:tc>
                <w:tcPr>
                  <w:tcW w:w="1005" w:type="pct"/>
                  <w:tcBorders>
                    <w:tl2br w:val="nil"/>
                    <w:tr2bl w:val="nil"/>
                  </w:tcBorders>
                  <w:shd w:val="clear" w:color="auto" w:fill="FFFFFF"/>
                  <w:noWrap w:val="0"/>
                  <w:tcMar>
                    <w:top w:w="135" w:type="dxa"/>
                    <w:left w:w="270" w:type="dxa"/>
                    <w:bottom w:w="135" w:type="dxa"/>
                    <w:right w:w="270" w:type="dxa"/>
                  </w:tcMar>
                  <w:vAlign w:val="center"/>
                </w:tcPr>
                <w:p w14:paraId="27B724F9">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激光脉冲和除尘风扇噪声</w:t>
                  </w:r>
                </w:p>
              </w:tc>
              <w:tc>
                <w:tcPr>
                  <w:tcW w:w="955" w:type="pct"/>
                  <w:tcBorders>
                    <w:tl2br w:val="nil"/>
                    <w:tr2bl w:val="nil"/>
                  </w:tcBorders>
                  <w:shd w:val="clear" w:color="auto" w:fill="FFFFFF"/>
                  <w:noWrap w:val="0"/>
                  <w:tcMar>
                    <w:top w:w="135" w:type="dxa"/>
                    <w:left w:w="270" w:type="dxa"/>
                    <w:bottom w:w="135" w:type="dxa"/>
                    <w:right w:w="270" w:type="dxa"/>
                  </w:tcMar>
                  <w:vAlign w:val="center"/>
                </w:tcPr>
                <w:p w14:paraId="24CB54F9">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lang w:val="en-US" w:eastAsia="zh-CN" w:bidi="ar"/>
                    </w:rPr>
                  </w:pPr>
                  <w:r>
                    <w:rPr>
                      <w:rFonts w:hint="default" w:ascii="Times New Roman" w:hAnsi="Times New Roman" w:eastAsia="宋体" w:cs="Times New Roman"/>
                      <w:color w:val="auto"/>
                      <w:kern w:val="21"/>
                      <w:sz w:val="21"/>
                      <w:szCs w:val="21"/>
                      <w:u w:val="none" w:color="auto"/>
                      <w:lang w:val="en-US" w:eastAsia="zh-CN" w:bidi="ar"/>
                    </w:rPr>
                    <w:t>低噪声设备</w:t>
                  </w:r>
                </w:p>
              </w:tc>
              <w:tc>
                <w:tcPr>
                  <w:tcW w:w="716" w:type="pct"/>
                  <w:gridSpan w:val="2"/>
                  <w:tcBorders>
                    <w:tl2br w:val="nil"/>
                    <w:tr2bl w:val="nil"/>
                  </w:tcBorders>
                  <w:shd w:val="clear" w:color="auto" w:fill="FFFFFF"/>
                  <w:noWrap w:val="0"/>
                  <w:tcMar>
                    <w:top w:w="135" w:type="dxa"/>
                    <w:left w:w="270" w:type="dxa"/>
                    <w:bottom w:w="135" w:type="dxa"/>
                    <w:right w:w="270" w:type="dxa"/>
                  </w:tcMar>
                  <w:vAlign w:val="center"/>
                </w:tcPr>
                <w:p w14:paraId="4A3F56BC">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lang w:val="en-US" w:eastAsia="zh-CN" w:bidi="ar"/>
                    </w:rPr>
                  </w:pPr>
                  <w:r>
                    <w:rPr>
                      <w:rFonts w:hint="default" w:ascii="Times New Roman" w:hAnsi="Times New Roman" w:eastAsia="宋体" w:cs="Times New Roman"/>
                      <w:color w:val="auto"/>
                      <w:kern w:val="21"/>
                      <w:sz w:val="21"/>
                      <w:szCs w:val="21"/>
                      <w:u w:val="none" w:color="auto"/>
                      <w:lang w:val="en-US" w:eastAsia="zh-CN" w:bidi="ar"/>
                    </w:rPr>
                    <w:t>6-8</w:t>
                  </w:r>
                </w:p>
              </w:tc>
            </w:tr>
            <w:tr w14:paraId="6BD808A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23" w:hRule="atLeast"/>
              </w:trPr>
              <w:tc>
                <w:tcPr>
                  <w:tcW w:w="661" w:type="pct"/>
                  <w:tcBorders>
                    <w:tl2br w:val="nil"/>
                    <w:tr2bl w:val="nil"/>
                  </w:tcBorders>
                  <w:shd w:val="clear" w:color="auto" w:fill="FFFFFF"/>
                  <w:noWrap w:val="0"/>
                  <w:tcMar>
                    <w:top w:w="135" w:type="dxa"/>
                    <w:left w:w="270" w:type="dxa"/>
                    <w:bottom w:w="135" w:type="dxa"/>
                    <w:right w:w="270" w:type="dxa"/>
                  </w:tcMar>
                  <w:vAlign w:val="center"/>
                </w:tcPr>
                <w:p w14:paraId="753F93DC">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碰渣包、去料柄装置</w:t>
                  </w:r>
                </w:p>
              </w:tc>
              <w:tc>
                <w:tcPr>
                  <w:tcW w:w="398" w:type="pct"/>
                  <w:tcBorders>
                    <w:tl2br w:val="nil"/>
                    <w:tr2bl w:val="nil"/>
                  </w:tcBorders>
                  <w:shd w:val="clear" w:color="auto" w:fill="FFFFFF"/>
                  <w:noWrap w:val="0"/>
                  <w:tcMar>
                    <w:top w:w="135" w:type="dxa"/>
                    <w:left w:w="270" w:type="dxa"/>
                    <w:bottom w:w="135" w:type="dxa"/>
                    <w:right w:w="270" w:type="dxa"/>
                  </w:tcMar>
                  <w:vAlign w:val="center"/>
                </w:tcPr>
                <w:p w14:paraId="49BD5015">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台/套</w:t>
                  </w:r>
                </w:p>
              </w:tc>
              <w:tc>
                <w:tcPr>
                  <w:tcW w:w="527" w:type="pct"/>
                  <w:tcBorders>
                    <w:tl2br w:val="nil"/>
                    <w:tr2bl w:val="nil"/>
                  </w:tcBorders>
                  <w:shd w:val="clear" w:color="auto" w:fill="FFFFFF"/>
                  <w:noWrap w:val="0"/>
                  <w:tcMar>
                    <w:top w:w="135" w:type="dxa"/>
                    <w:left w:w="270" w:type="dxa"/>
                    <w:bottom w:w="135" w:type="dxa"/>
                    <w:right w:w="270" w:type="dxa"/>
                  </w:tcMar>
                  <w:vAlign w:val="center"/>
                </w:tcPr>
                <w:p w14:paraId="5EACD10E">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1</w:t>
                  </w:r>
                </w:p>
              </w:tc>
              <w:tc>
                <w:tcPr>
                  <w:tcW w:w="734" w:type="pct"/>
                  <w:tcBorders>
                    <w:tl2br w:val="nil"/>
                    <w:tr2bl w:val="nil"/>
                  </w:tcBorders>
                  <w:shd w:val="clear" w:color="auto" w:fill="FFFFFF"/>
                  <w:noWrap w:val="0"/>
                  <w:tcMar>
                    <w:top w:w="135" w:type="dxa"/>
                    <w:left w:w="270" w:type="dxa"/>
                    <w:bottom w:w="135" w:type="dxa"/>
                    <w:right w:w="270" w:type="dxa"/>
                  </w:tcMar>
                  <w:vAlign w:val="center"/>
                </w:tcPr>
                <w:p w14:paraId="552912D5">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75-90</w:t>
                  </w:r>
                </w:p>
              </w:tc>
              <w:tc>
                <w:tcPr>
                  <w:tcW w:w="1005" w:type="pct"/>
                  <w:tcBorders>
                    <w:tl2br w:val="nil"/>
                    <w:tr2bl w:val="nil"/>
                  </w:tcBorders>
                  <w:shd w:val="clear" w:color="auto" w:fill="FFFFFF"/>
                  <w:noWrap w:val="0"/>
                  <w:tcMar>
                    <w:top w:w="135" w:type="dxa"/>
                    <w:left w:w="270" w:type="dxa"/>
                    <w:bottom w:w="135" w:type="dxa"/>
                    <w:right w:w="270" w:type="dxa"/>
                  </w:tcMar>
                  <w:vAlign w:val="center"/>
                </w:tcPr>
                <w:p w14:paraId="39E04679">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金属切割和碰撞声</w:t>
                  </w:r>
                </w:p>
              </w:tc>
              <w:tc>
                <w:tcPr>
                  <w:tcW w:w="955" w:type="pct"/>
                  <w:tcBorders>
                    <w:tl2br w:val="nil"/>
                    <w:tr2bl w:val="nil"/>
                  </w:tcBorders>
                  <w:shd w:val="clear" w:color="auto" w:fill="FFFFFF"/>
                  <w:noWrap w:val="0"/>
                  <w:tcMar>
                    <w:top w:w="135" w:type="dxa"/>
                    <w:left w:w="270" w:type="dxa"/>
                    <w:bottom w:w="135" w:type="dxa"/>
                    <w:right w:w="270" w:type="dxa"/>
                  </w:tcMar>
                  <w:vAlign w:val="center"/>
                </w:tcPr>
                <w:p w14:paraId="3A7DDC72">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lang w:val="en-US" w:eastAsia="zh-CN" w:bidi="ar"/>
                    </w:rPr>
                  </w:pPr>
                  <w:r>
                    <w:rPr>
                      <w:rFonts w:hint="default" w:ascii="Times New Roman" w:hAnsi="Times New Roman" w:eastAsia="宋体" w:cs="Times New Roman"/>
                      <w:color w:val="auto"/>
                      <w:kern w:val="21"/>
                      <w:sz w:val="21"/>
                      <w:szCs w:val="21"/>
                      <w:u w:val="none" w:color="auto"/>
                      <w:lang w:val="en-US" w:eastAsia="zh-CN" w:bidi="ar"/>
                    </w:rPr>
                    <w:t>合理作业</w:t>
                  </w:r>
                </w:p>
              </w:tc>
              <w:tc>
                <w:tcPr>
                  <w:tcW w:w="716" w:type="pct"/>
                  <w:gridSpan w:val="2"/>
                  <w:tcBorders>
                    <w:tl2br w:val="nil"/>
                    <w:tr2bl w:val="nil"/>
                  </w:tcBorders>
                  <w:shd w:val="clear" w:color="auto" w:fill="FFFFFF"/>
                  <w:noWrap w:val="0"/>
                  <w:tcMar>
                    <w:top w:w="135" w:type="dxa"/>
                    <w:left w:w="270" w:type="dxa"/>
                    <w:bottom w:w="135" w:type="dxa"/>
                    <w:right w:w="270" w:type="dxa"/>
                  </w:tcMar>
                  <w:vAlign w:val="center"/>
                </w:tcPr>
                <w:p w14:paraId="31732258">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lang w:val="en-US" w:eastAsia="zh-CN" w:bidi="ar"/>
                    </w:rPr>
                  </w:pPr>
                  <w:r>
                    <w:rPr>
                      <w:rFonts w:hint="default" w:ascii="Times New Roman" w:hAnsi="Times New Roman" w:eastAsia="宋体" w:cs="Times New Roman"/>
                      <w:color w:val="auto"/>
                      <w:kern w:val="21"/>
                      <w:sz w:val="21"/>
                      <w:szCs w:val="21"/>
                      <w:u w:val="none" w:color="auto"/>
                      <w:lang w:val="en-US" w:eastAsia="zh-CN" w:bidi="ar"/>
                    </w:rPr>
                    <w:t>6-8</w:t>
                  </w:r>
                </w:p>
              </w:tc>
            </w:tr>
            <w:tr w14:paraId="035251B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23" w:hRule="atLeast"/>
              </w:trPr>
              <w:tc>
                <w:tcPr>
                  <w:tcW w:w="661" w:type="pct"/>
                  <w:tcBorders>
                    <w:tl2br w:val="nil"/>
                    <w:tr2bl w:val="nil"/>
                  </w:tcBorders>
                  <w:shd w:val="clear" w:color="auto" w:fill="FFFFFF"/>
                  <w:noWrap w:val="0"/>
                  <w:tcMar>
                    <w:top w:w="135" w:type="dxa"/>
                    <w:left w:w="270" w:type="dxa"/>
                    <w:bottom w:w="135" w:type="dxa"/>
                    <w:right w:w="270" w:type="dxa"/>
                  </w:tcMar>
                  <w:vAlign w:val="center"/>
                </w:tcPr>
                <w:p w14:paraId="2734A6DF">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冷却水槽</w:t>
                  </w:r>
                </w:p>
              </w:tc>
              <w:tc>
                <w:tcPr>
                  <w:tcW w:w="398" w:type="pct"/>
                  <w:tcBorders>
                    <w:tl2br w:val="nil"/>
                    <w:tr2bl w:val="nil"/>
                  </w:tcBorders>
                  <w:shd w:val="clear" w:color="auto" w:fill="FFFFFF"/>
                  <w:noWrap w:val="0"/>
                  <w:tcMar>
                    <w:top w:w="135" w:type="dxa"/>
                    <w:left w:w="270" w:type="dxa"/>
                    <w:bottom w:w="135" w:type="dxa"/>
                    <w:right w:w="270" w:type="dxa"/>
                  </w:tcMar>
                  <w:vAlign w:val="center"/>
                </w:tcPr>
                <w:p w14:paraId="2D020801">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台/套</w:t>
                  </w:r>
                </w:p>
              </w:tc>
              <w:tc>
                <w:tcPr>
                  <w:tcW w:w="527" w:type="pct"/>
                  <w:tcBorders>
                    <w:tl2br w:val="nil"/>
                    <w:tr2bl w:val="nil"/>
                  </w:tcBorders>
                  <w:shd w:val="clear" w:color="auto" w:fill="FFFFFF"/>
                  <w:noWrap w:val="0"/>
                  <w:tcMar>
                    <w:top w:w="135" w:type="dxa"/>
                    <w:left w:w="270" w:type="dxa"/>
                    <w:bottom w:w="135" w:type="dxa"/>
                    <w:right w:w="270" w:type="dxa"/>
                  </w:tcMar>
                  <w:vAlign w:val="center"/>
                </w:tcPr>
                <w:p w14:paraId="1EA2194B">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1</w:t>
                  </w:r>
                </w:p>
              </w:tc>
              <w:tc>
                <w:tcPr>
                  <w:tcW w:w="734" w:type="pct"/>
                  <w:tcBorders>
                    <w:tl2br w:val="nil"/>
                    <w:tr2bl w:val="nil"/>
                  </w:tcBorders>
                  <w:shd w:val="clear" w:color="auto" w:fill="FFFFFF"/>
                  <w:noWrap w:val="0"/>
                  <w:tcMar>
                    <w:top w:w="135" w:type="dxa"/>
                    <w:left w:w="270" w:type="dxa"/>
                    <w:bottom w:w="135" w:type="dxa"/>
                    <w:right w:w="270" w:type="dxa"/>
                  </w:tcMar>
                  <w:vAlign w:val="center"/>
                </w:tcPr>
                <w:p w14:paraId="40C4972B">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70-85</w:t>
                  </w:r>
                </w:p>
              </w:tc>
              <w:tc>
                <w:tcPr>
                  <w:tcW w:w="1005" w:type="pct"/>
                  <w:tcBorders>
                    <w:tl2br w:val="nil"/>
                    <w:tr2bl w:val="nil"/>
                  </w:tcBorders>
                  <w:shd w:val="clear" w:color="auto" w:fill="FFFFFF"/>
                  <w:noWrap w:val="0"/>
                  <w:tcMar>
                    <w:top w:w="135" w:type="dxa"/>
                    <w:left w:w="270" w:type="dxa"/>
                    <w:bottom w:w="135" w:type="dxa"/>
                    <w:right w:w="270" w:type="dxa"/>
                  </w:tcMar>
                  <w:vAlign w:val="center"/>
                </w:tcPr>
                <w:p w14:paraId="52D34901">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水流和泵噪声</w:t>
                  </w:r>
                </w:p>
              </w:tc>
              <w:tc>
                <w:tcPr>
                  <w:tcW w:w="955" w:type="pct"/>
                  <w:tcBorders>
                    <w:tl2br w:val="nil"/>
                    <w:tr2bl w:val="nil"/>
                  </w:tcBorders>
                  <w:shd w:val="clear" w:color="auto" w:fill="FFFFFF"/>
                  <w:noWrap w:val="0"/>
                  <w:tcMar>
                    <w:top w:w="135" w:type="dxa"/>
                    <w:left w:w="270" w:type="dxa"/>
                    <w:bottom w:w="135" w:type="dxa"/>
                    <w:right w:w="270" w:type="dxa"/>
                  </w:tcMar>
                  <w:vAlign w:val="center"/>
                </w:tcPr>
                <w:p w14:paraId="69974C44">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lang w:val="en-US" w:eastAsia="zh-CN" w:bidi="ar"/>
                    </w:rPr>
                  </w:pPr>
                  <w:r>
                    <w:rPr>
                      <w:rFonts w:hint="default" w:ascii="Times New Roman" w:hAnsi="Times New Roman" w:eastAsia="宋体" w:cs="Times New Roman"/>
                      <w:color w:val="auto"/>
                      <w:kern w:val="21"/>
                      <w:sz w:val="21"/>
                      <w:szCs w:val="21"/>
                      <w:u w:val="none" w:color="auto"/>
                      <w:lang w:val="en-US" w:eastAsia="zh-CN" w:bidi="ar"/>
                    </w:rPr>
                    <w:t>低噪声设备、</w:t>
                  </w:r>
                  <w:r>
                    <w:rPr>
                      <w:rFonts w:hint="default" w:ascii="Times New Roman" w:hAnsi="Times New Roman" w:eastAsia="宋体" w:cs="Times New Roman"/>
                      <w:i w:val="0"/>
                      <w:iCs w:val="0"/>
                      <w:caps w:val="0"/>
                      <w:color w:val="auto"/>
                      <w:spacing w:val="0"/>
                      <w:kern w:val="21"/>
                      <w:sz w:val="21"/>
                      <w:szCs w:val="21"/>
                      <w:u w:val="none" w:color="auto"/>
                      <w:lang w:val="en-US" w:eastAsia="zh-CN" w:bidi="ar"/>
                    </w:rPr>
                    <w:t>水泵隔声箱</w:t>
                  </w:r>
                </w:p>
              </w:tc>
              <w:tc>
                <w:tcPr>
                  <w:tcW w:w="716" w:type="pct"/>
                  <w:gridSpan w:val="2"/>
                  <w:tcBorders>
                    <w:tl2br w:val="nil"/>
                    <w:tr2bl w:val="nil"/>
                  </w:tcBorders>
                  <w:shd w:val="clear" w:color="auto" w:fill="FFFFFF"/>
                  <w:noWrap w:val="0"/>
                  <w:tcMar>
                    <w:top w:w="135" w:type="dxa"/>
                    <w:left w:w="270" w:type="dxa"/>
                    <w:bottom w:w="135" w:type="dxa"/>
                    <w:right w:w="270" w:type="dxa"/>
                  </w:tcMar>
                  <w:vAlign w:val="center"/>
                </w:tcPr>
                <w:p w14:paraId="4A3C2A5C">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lang w:val="en-US" w:eastAsia="zh-CN" w:bidi="ar"/>
                    </w:rPr>
                  </w:pPr>
                  <w:r>
                    <w:rPr>
                      <w:rFonts w:hint="default" w:ascii="Times New Roman" w:hAnsi="Times New Roman" w:eastAsia="宋体" w:cs="Times New Roman"/>
                      <w:color w:val="auto"/>
                      <w:kern w:val="21"/>
                      <w:sz w:val="21"/>
                      <w:szCs w:val="21"/>
                      <w:u w:val="none" w:color="auto"/>
                      <w:lang w:val="en-US" w:eastAsia="zh-CN" w:bidi="ar"/>
                    </w:rPr>
                    <w:t>8-10</w:t>
                  </w:r>
                </w:p>
              </w:tc>
            </w:tr>
            <w:tr w14:paraId="0DE134D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23" w:hRule="atLeast"/>
              </w:trPr>
              <w:tc>
                <w:tcPr>
                  <w:tcW w:w="661" w:type="pct"/>
                  <w:tcBorders>
                    <w:tl2br w:val="nil"/>
                    <w:tr2bl w:val="nil"/>
                  </w:tcBorders>
                  <w:shd w:val="clear" w:color="auto" w:fill="FFFFFF"/>
                  <w:noWrap w:val="0"/>
                  <w:tcMar>
                    <w:top w:w="135" w:type="dxa"/>
                    <w:left w:w="270" w:type="dxa"/>
                    <w:bottom w:w="135" w:type="dxa"/>
                    <w:right w:w="270" w:type="dxa"/>
                  </w:tcMar>
                  <w:vAlign w:val="center"/>
                </w:tcPr>
                <w:p w14:paraId="50A149DE">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除尘净化系统</w:t>
                  </w:r>
                </w:p>
              </w:tc>
              <w:tc>
                <w:tcPr>
                  <w:tcW w:w="398" w:type="pct"/>
                  <w:tcBorders>
                    <w:tl2br w:val="nil"/>
                    <w:tr2bl w:val="nil"/>
                  </w:tcBorders>
                  <w:shd w:val="clear" w:color="auto" w:fill="FFFFFF"/>
                  <w:noWrap w:val="0"/>
                  <w:tcMar>
                    <w:top w:w="135" w:type="dxa"/>
                    <w:left w:w="270" w:type="dxa"/>
                    <w:bottom w:w="135" w:type="dxa"/>
                    <w:right w:w="270" w:type="dxa"/>
                  </w:tcMar>
                  <w:vAlign w:val="center"/>
                </w:tcPr>
                <w:p w14:paraId="608E0F8F">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台/套</w:t>
                  </w:r>
                </w:p>
              </w:tc>
              <w:tc>
                <w:tcPr>
                  <w:tcW w:w="527" w:type="pct"/>
                  <w:tcBorders>
                    <w:tl2br w:val="nil"/>
                    <w:tr2bl w:val="nil"/>
                  </w:tcBorders>
                  <w:shd w:val="clear" w:color="auto" w:fill="FFFFFF"/>
                  <w:noWrap w:val="0"/>
                  <w:tcMar>
                    <w:top w:w="135" w:type="dxa"/>
                    <w:left w:w="270" w:type="dxa"/>
                    <w:bottom w:w="135" w:type="dxa"/>
                    <w:right w:w="270" w:type="dxa"/>
                  </w:tcMar>
                  <w:vAlign w:val="center"/>
                </w:tcPr>
                <w:p w14:paraId="1CBAA93E">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1</w:t>
                  </w:r>
                </w:p>
              </w:tc>
              <w:tc>
                <w:tcPr>
                  <w:tcW w:w="734" w:type="pct"/>
                  <w:tcBorders>
                    <w:tl2br w:val="nil"/>
                    <w:tr2bl w:val="nil"/>
                  </w:tcBorders>
                  <w:shd w:val="clear" w:color="auto" w:fill="FFFFFF"/>
                  <w:noWrap w:val="0"/>
                  <w:tcMar>
                    <w:top w:w="135" w:type="dxa"/>
                    <w:left w:w="270" w:type="dxa"/>
                    <w:bottom w:w="135" w:type="dxa"/>
                    <w:right w:w="270" w:type="dxa"/>
                  </w:tcMar>
                  <w:vAlign w:val="center"/>
                </w:tcPr>
                <w:p w14:paraId="761D1446">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75-90</w:t>
                  </w:r>
                </w:p>
              </w:tc>
              <w:tc>
                <w:tcPr>
                  <w:tcW w:w="1005" w:type="pct"/>
                  <w:tcBorders>
                    <w:tl2br w:val="nil"/>
                    <w:tr2bl w:val="nil"/>
                  </w:tcBorders>
                  <w:shd w:val="clear" w:color="auto" w:fill="FFFFFF"/>
                  <w:noWrap w:val="0"/>
                  <w:tcMar>
                    <w:top w:w="135" w:type="dxa"/>
                    <w:left w:w="270" w:type="dxa"/>
                    <w:bottom w:w="135" w:type="dxa"/>
                    <w:right w:w="270" w:type="dxa"/>
                  </w:tcMar>
                  <w:vAlign w:val="center"/>
                </w:tcPr>
                <w:p w14:paraId="4BF05527">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风扇和过滤噪声</w:t>
                  </w:r>
                </w:p>
              </w:tc>
              <w:tc>
                <w:tcPr>
                  <w:tcW w:w="955" w:type="pct"/>
                  <w:tcBorders>
                    <w:tl2br w:val="nil"/>
                    <w:tr2bl w:val="nil"/>
                  </w:tcBorders>
                  <w:shd w:val="clear" w:color="auto" w:fill="FFFFFF"/>
                  <w:noWrap w:val="0"/>
                  <w:tcMar>
                    <w:top w:w="135" w:type="dxa"/>
                    <w:left w:w="270" w:type="dxa"/>
                    <w:bottom w:w="135" w:type="dxa"/>
                    <w:right w:w="270" w:type="dxa"/>
                  </w:tcMar>
                  <w:vAlign w:val="center"/>
                </w:tcPr>
                <w:p w14:paraId="3C906FEE">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lang w:val="en-US" w:eastAsia="zh-CN" w:bidi="ar"/>
                    </w:rPr>
                  </w:pPr>
                  <w:r>
                    <w:rPr>
                      <w:rFonts w:hint="default" w:ascii="Times New Roman" w:hAnsi="Times New Roman" w:eastAsia="宋体" w:cs="Times New Roman"/>
                      <w:color w:val="auto"/>
                      <w:kern w:val="21"/>
                      <w:sz w:val="21"/>
                      <w:szCs w:val="21"/>
                      <w:u w:val="none" w:color="auto"/>
                      <w:lang w:val="en-US" w:eastAsia="zh-CN" w:bidi="ar"/>
                    </w:rPr>
                    <w:t>低噪声设备、风机隔声罩</w:t>
                  </w:r>
                </w:p>
              </w:tc>
              <w:tc>
                <w:tcPr>
                  <w:tcW w:w="716" w:type="pct"/>
                  <w:gridSpan w:val="2"/>
                  <w:tcBorders>
                    <w:tl2br w:val="nil"/>
                    <w:tr2bl w:val="nil"/>
                  </w:tcBorders>
                  <w:shd w:val="clear" w:color="auto" w:fill="FFFFFF"/>
                  <w:noWrap w:val="0"/>
                  <w:tcMar>
                    <w:top w:w="135" w:type="dxa"/>
                    <w:left w:w="270" w:type="dxa"/>
                    <w:bottom w:w="135" w:type="dxa"/>
                    <w:right w:w="270" w:type="dxa"/>
                  </w:tcMar>
                  <w:vAlign w:val="center"/>
                </w:tcPr>
                <w:p w14:paraId="4D2D9182">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lang w:val="en-US" w:eastAsia="zh-CN" w:bidi="ar"/>
                    </w:rPr>
                  </w:pPr>
                  <w:r>
                    <w:rPr>
                      <w:rFonts w:hint="default" w:ascii="Times New Roman" w:hAnsi="Times New Roman" w:eastAsia="宋体" w:cs="Times New Roman"/>
                      <w:color w:val="auto"/>
                      <w:kern w:val="21"/>
                      <w:sz w:val="21"/>
                      <w:szCs w:val="21"/>
                      <w:u w:val="none" w:color="auto"/>
                      <w:lang w:val="en-US" w:eastAsia="zh-CN" w:bidi="ar"/>
                    </w:rPr>
                    <w:t>8-10</w:t>
                  </w:r>
                </w:p>
              </w:tc>
            </w:tr>
            <w:tr w14:paraId="38E7625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23" w:hRule="atLeast"/>
              </w:trPr>
              <w:tc>
                <w:tcPr>
                  <w:tcW w:w="661" w:type="pct"/>
                  <w:tcBorders>
                    <w:tl2br w:val="nil"/>
                    <w:tr2bl w:val="nil"/>
                  </w:tcBorders>
                  <w:shd w:val="clear" w:color="auto" w:fill="FFFFFF"/>
                  <w:noWrap w:val="0"/>
                  <w:tcMar>
                    <w:top w:w="135" w:type="dxa"/>
                    <w:left w:w="270" w:type="dxa"/>
                    <w:bottom w:w="135" w:type="dxa"/>
                    <w:right w:w="270" w:type="dxa"/>
                  </w:tcMar>
                  <w:vAlign w:val="center"/>
                </w:tcPr>
                <w:p w14:paraId="0039E5B8">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真空机</w:t>
                  </w:r>
                </w:p>
              </w:tc>
              <w:tc>
                <w:tcPr>
                  <w:tcW w:w="398" w:type="pct"/>
                  <w:tcBorders>
                    <w:tl2br w:val="nil"/>
                    <w:tr2bl w:val="nil"/>
                  </w:tcBorders>
                  <w:shd w:val="clear" w:color="auto" w:fill="FFFFFF"/>
                  <w:noWrap w:val="0"/>
                  <w:tcMar>
                    <w:top w:w="135" w:type="dxa"/>
                    <w:left w:w="270" w:type="dxa"/>
                    <w:bottom w:w="135" w:type="dxa"/>
                    <w:right w:w="270" w:type="dxa"/>
                  </w:tcMar>
                  <w:vAlign w:val="center"/>
                </w:tcPr>
                <w:p w14:paraId="72DB8CFC">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台/套</w:t>
                  </w:r>
                </w:p>
              </w:tc>
              <w:tc>
                <w:tcPr>
                  <w:tcW w:w="527" w:type="pct"/>
                  <w:tcBorders>
                    <w:tl2br w:val="nil"/>
                    <w:tr2bl w:val="nil"/>
                  </w:tcBorders>
                  <w:shd w:val="clear" w:color="auto" w:fill="FFFFFF"/>
                  <w:noWrap w:val="0"/>
                  <w:tcMar>
                    <w:top w:w="135" w:type="dxa"/>
                    <w:left w:w="270" w:type="dxa"/>
                    <w:bottom w:w="135" w:type="dxa"/>
                    <w:right w:w="270" w:type="dxa"/>
                  </w:tcMar>
                  <w:vAlign w:val="center"/>
                </w:tcPr>
                <w:p w14:paraId="506F74BA">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1</w:t>
                  </w:r>
                </w:p>
              </w:tc>
              <w:tc>
                <w:tcPr>
                  <w:tcW w:w="734" w:type="pct"/>
                  <w:tcBorders>
                    <w:tl2br w:val="nil"/>
                    <w:tr2bl w:val="nil"/>
                  </w:tcBorders>
                  <w:shd w:val="clear" w:color="auto" w:fill="FFFFFF"/>
                  <w:noWrap w:val="0"/>
                  <w:tcMar>
                    <w:top w:w="135" w:type="dxa"/>
                    <w:left w:w="270" w:type="dxa"/>
                    <w:bottom w:w="135" w:type="dxa"/>
                    <w:right w:w="270" w:type="dxa"/>
                  </w:tcMar>
                  <w:vAlign w:val="center"/>
                </w:tcPr>
                <w:p w14:paraId="5FCDB018">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70-85</w:t>
                  </w:r>
                </w:p>
              </w:tc>
              <w:tc>
                <w:tcPr>
                  <w:tcW w:w="1005" w:type="pct"/>
                  <w:tcBorders>
                    <w:tl2br w:val="nil"/>
                    <w:tr2bl w:val="nil"/>
                  </w:tcBorders>
                  <w:shd w:val="clear" w:color="auto" w:fill="FFFFFF"/>
                  <w:noWrap w:val="0"/>
                  <w:tcMar>
                    <w:top w:w="135" w:type="dxa"/>
                    <w:left w:w="270" w:type="dxa"/>
                    <w:bottom w:w="135" w:type="dxa"/>
                    <w:right w:w="270" w:type="dxa"/>
                  </w:tcMar>
                  <w:vAlign w:val="center"/>
                </w:tcPr>
                <w:p w14:paraId="05A1BE29">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真空泵运行噪声</w:t>
                  </w:r>
                </w:p>
              </w:tc>
              <w:tc>
                <w:tcPr>
                  <w:tcW w:w="955" w:type="pct"/>
                  <w:tcBorders>
                    <w:tl2br w:val="nil"/>
                    <w:tr2bl w:val="nil"/>
                  </w:tcBorders>
                  <w:shd w:val="clear" w:color="auto" w:fill="FFFFFF"/>
                  <w:noWrap w:val="0"/>
                  <w:tcMar>
                    <w:top w:w="135" w:type="dxa"/>
                    <w:left w:w="270" w:type="dxa"/>
                    <w:bottom w:w="135" w:type="dxa"/>
                    <w:right w:w="270" w:type="dxa"/>
                  </w:tcMar>
                  <w:vAlign w:val="center"/>
                </w:tcPr>
                <w:p w14:paraId="12A0C408">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lang w:val="en-US" w:eastAsia="zh-CN" w:bidi="ar"/>
                    </w:rPr>
                  </w:pPr>
                  <w:r>
                    <w:rPr>
                      <w:rFonts w:hint="default" w:ascii="Times New Roman" w:hAnsi="Times New Roman" w:eastAsia="宋体" w:cs="Times New Roman"/>
                      <w:color w:val="auto"/>
                      <w:kern w:val="21"/>
                      <w:sz w:val="21"/>
                      <w:szCs w:val="21"/>
                      <w:u w:val="none" w:color="auto"/>
                      <w:lang w:val="en-US" w:eastAsia="zh-CN" w:bidi="ar"/>
                    </w:rPr>
                    <w:t>低噪声设备、真空</w:t>
                  </w:r>
                  <w:r>
                    <w:rPr>
                      <w:rFonts w:hint="default" w:ascii="Times New Roman" w:hAnsi="Times New Roman" w:eastAsia="宋体" w:cs="Times New Roman"/>
                      <w:i w:val="0"/>
                      <w:iCs w:val="0"/>
                      <w:caps w:val="0"/>
                      <w:color w:val="auto"/>
                      <w:spacing w:val="0"/>
                      <w:kern w:val="21"/>
                      <w:sz w:val="21"/>
                      <w:szCs w:val="21"/>
                      <w:u w:val="none" w:color="auto"/>
                      <w:lang w:val="en-US" w:eastAsia="zh-CN" w:bidi="ar"/>
                    </w:rPr>
                    <w:t>泵隔声箱</w:t>
                  </w:r>
                </w:p>
              </w:tc>
              <w:tc>
                <w:tcPr>
                  <w:tcW w:w="716" w:type="pct"/>
                  <w:gridSpan w:val="2"/>
                  <w:tcBorders>
                    <w:tl2br w:val="nil"/>
                    <w:tr2bl w:val="nil"/>
                  </w:tcBorders>
                  <w:shd w:val="clear" w:color="auto" w:fill="FFFFFF"/>
                  <w:noWrap w:val="0"/>
                  <w:tcMar>
                    <w:top w:w="135" w:type="dxa"/>
                    <w:left w:w="270" w:type="dxa"/>
                    <w:bottom w:w="135" w:type="dxa"/>
                    <w:right w:w="270" w:type="dxa"/>
                  </w:tcMar>
                  <w:vAlign w:val="center"/>
                </w:tcPr>
                <w:p w14:paraId="31E22B94">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lang w:val="en-US" w:eastAsia="zh-CN" w:bidi="ar"/>
                    </w:rPr>
                  </w:pPr>
                  <w:r>
                    <w:rPr>
                      <w:rFonts w:hint="default" w:ascii="Times New Roman" w:hAnsi="Times New Roman" w:eastAsia="宋体" w:cs="Times New Roman"/>
                      <w:color w:val="auto"/>
                      <w:kern w:val="21"/>
                      <w:sz w:val="21"/>
                      <w:szCs w:val="21"/>
                      <w:u w:val="none" w:color="auto"/>
                      <w:lang w:val="en-US" w:eastAsia="zh-CN" w:bidi="ar"/>
                    </w:rPr>
                    <w:t>8-10</w:t>
                  </w:r>
                </w:p>
              </w:tc>
            </w:tr>
            <w:tr w14:paraId="6B19173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23" w:hRule="atLeast"/>
              </w:trPr>
              <w:tc>
                <w:tcPr>
                  <w:tcW w:w="661" w:type="pct"/>
                  <w:tcBorders>
                    <w:tl2br w:val="nil"/>
                    <w:tr2bl w:val="nil"/>
                  </w:tcBorders>
                  <w:shd w:val="clear" w:color="auto" w:fill="FFFFFF"/>
                  <w:noWrap w:val="0"/>
                  <w:tcMar>
                    <w:top w:w="135" w:type="dxa"/>
                    <w:left w:w="270" w:type="dxa"/>
                    <w:bottom w:w="135" w:type="dxa"/>
                    <w:right w:w="270" w:type="dxa"/>
                  </w:tcMar>
                  <w:vAlign w:val="center"/>
                </w:tcPr>
                <w:p w14:paraId="3DD36192">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模具冷却系统</w:t>
                  </w:r>
                </w:p>
              </w:tc>
              <w:tc>
                <w:tcPr>
                  <w:tcW w:w="398" w:type="pct"/>
                  <w:tcBorders>
                    <w:tl2br w:val="nil"/>
                    <w:tr2bl w:val="nil"/>
                  </w:tcBorders>
                  <w:shd w:val="clear" w:color="auto" w:fill="FFFFFF"/>
                  <w:noWrap w:val="0"/>
                  <w:tcMar>
                    <w:top w:w="135" w:type="dxa"/>
                    <w:left w:w="270" w:type="dxa"/>
                    <w:bottom w:w="135" w:type="dxa"/>
                    <w:right w:w="270" w:type="dxa"/>
                  </w:tcMar>
                  <w:vAlign w:val="center"/>
                </w:tcPr>
                <w:p w14:paraId="281085AE">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台/套</w:t>
                  </w:r>
                </w:p>
              </w:tc>
              <w:tc>
                <w:tcPr>
                  <w:tcW w:w="527" w:type="pct"/>
                  <w:tcBorders>
                    <w:tl2br w:val="nil"/>
                    <w:tr2bl w:val="nil"/>
                  </w:tcBorders>
                  <w:shd w:val="clear" w:color="auto" w:fill="FFFFFF"/>
                  <w:noWrap w:val="0"/>
                  <w:tcMar>
                    <w:top w:w="135" w:type="dxa"/>
                    <w:left w:w="270" w:type="dxa"/>
                    <w:bottom w:w="135" w:type="dxa"/>
                    <w:right w:w="270" w:type="dxa"/>
                  </w:tcMar>
                  <w:vAlign w:val="center"/>
                </w:tcPr>
                <w:p w14:paraId="5CDFD7B4">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1</w:t>
                  </w:r>
                </w:p>
              </w:tc>
              <w:tc>
                <w:tcPr>
                  <w:tcW w:w="734" w:type="pct"/>
                  <w:tcBorders>
                    <w:tl2br w:val="nil"/>
                    <w:tr2bl w:val="nil"/>
                  </w:tcBorders>
                  <w:shd w:val="clear" w:color="auto" w:fill="FFFFFF"/>
                  <w:noWrap w:val="0"/>
                  <w:tcMar>
                    <w:top w:w="135" w:type="dxa"/>
                    <w:left w:w="270" w:type="dxa"/>
                    <w:bottom w:w="135" w:type="dxa"/>
                    <w:right w:w="270" w:type="dxa"/>
                  </w:tcMar>
                  <w:vAlign w:val="center"/>
                </w:tcPr>
                <w:p w14:paraId="14ADF6CB">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70-85</w:t>
                  </w:r>
                </w:p>
              </w:tc>
              <w:tc>
                <w:tcPr>
                  <w:tcW w:w="1005" w:type="pct"/>
                  <w:tcBorders>
                    <w:tl2br w:val="nil"/>
                    <w:tr2bl w:val="nil"/>
                  </w:tcBorders>
                  <w:shd w:val="clear" w:color="auto" w:fill="FFFFFF"/>
                  <w:noWrap w:val="0"/>
                  <w:tcMar>
                    <w:top w:w="135" w:type="dxa"/>
                    <w:left w:w="270" w:type="dxa"/>
                    <w:bottom w:w="135" w:type="dxa"/>
                    <w:right w:w="270" w:type="dxa"/>
                  </w:tcMar>
                  <w:vAlign w:val="center"/>
                </w:tcPr>
                <w:p w14:paraId="57F98FAA">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水流和换热噪声</w:t>
                  </w:r>
                </w:p>
              </w:tc>
              <w:tc>
                <w:tcPr>
                  <w:tcW w:w="955" w:type="pct"/>
                  <w:tcBorders>
                    <w:tl2br w:val="nil"/>
                    <w:tr2bl w:val="nil"/>
                  </w:tcBorders>
                  <w:shd w:val="clear" w:color="auto" w:fill="FFFFFF"/>
                  <w:noWrap w:val="0"/>
                  <w:tcMar>
                    <w:top w:w="135" w:type="dxa"/>
                    <w:left w:w="270" w:type="dxa"/>
                    <w:bottom w:w="135" w:type="dxa"/>
                    <w:right w:w="270" w:type="dxa"/>
                  </w:tcMar>
                  <w:vAlign w:val="center"/>
                </w:tcPr>
                <w:p w14:paraId="77FC1375">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lang w:val="en-US" w:eastAsia="zh-CN" w:bidi="ar"/>
                    </w:rPr>
                  </w:pPr>
                  <w:r>
                    <w:rPr>
                      <w:rFonts w:hint="default" w:ascii="Times New Roman" w:hAnsi="Times New Roman" w:eastAsia="宋体" w:cs="Times New Roman"/>
                      <w:color w:val="auto"/>
                      <w:kern w:val="21"/>
                      <w:sz w:val="21"/>
                      <w:szCs w:val="21"/>
                      <w:u w:val="none" w:color="auto"/>
                      <w:lang w:val="en-US" w:eastAsia="zh-CN" w:bidi="ar"/>
                    </w:rPr>
                    <w:t>低噪声设备、</w:t>
                  </w:r>
                  <w:r>
                    <w:rPr>
                      <w:rFonts w:hint="default" w:ascii="Times New Roman" w:hAnsi="Times New Roman" w:eastAsia="宋体" w:cs="Times New Roman"/>
                      <w:i w:val="0"/>
                      <w:iCs w:val="0"/>
                      <w:caps w:val="0"/>
                      <w:color w:val="auto"/>
                      <w:spacing w:val="0"/>
                      <w:kern w:val="21"/>
                      <w:sz w:val="21"/>
                      <w:szCs w:val="21"/>
                      <w:u w:val="none" w:color="auto"/>
                      <w:lang w:val="en-US" w:eastAsia="zh-CN" w:bidi="ar"/>
                    </w:rPr>
                    <w:t>水泵隔声箱</w:t>
                  </w:r>
                </w:p>
              </w:tc>
              <w:tc>
                <w:tcPr>
                  <w:tcW w:w="716" w:type="pct"/>
                  <w:gridSpan w:val="2"/>
                  <w:tcBorders>
                    <w:tl2br w:val="nil"/>
                    <w:tr2bl w:val="nil"/>
                  </w:tcBorders>
                  <w:shd w:val="clear" w:color="auto" w:fill="FFFFFF"/>
                  <w:noWrap w:val="0"/>
                  <w:tcMar>
                    <w:top w:w="135" w:type="dxa"/>
                    <w:left w:w="270" w:type="dxa"/>
                    <w:bottom w:w="135" w:type="dxa"/>
                    <w:right w:w="270" w:type="dxa"/>
                  </w:tcMar>
                  <w:vAlign w:val="center"/>
                </w:tcPr>
                <w:p w14:paraId="3C0126FE">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lang w:val="en-US" w:eastAsia="zh-CN" w:bidi="ar"/>
                    </w:rPr>
                  </w:pPr>
                  <w:r>
                    <w:rPr>
                      <w:rFonts w:hint="default" w:ascii="Times New Roman" w:hAnsi="Times New Roman" w:eastAsia="宋体" w:cs="Times New Roman"/>
                      <w:color w:val="auto"/>
                      <w:kern w:val="21"/>
                      <w:sz w:val="21"/>
                      <w:szCs w:val="21"/>
                      <w:u w:val="none" w:color="auto"/>
                      <w:lang w:val="en-US" w:eastAsia="zh-CN" w:bidi="ar"/>
                    </w:rPr>
                    <w:t>8-10</w:t>
                  </w:r>
                </w:p>
              </w:tc>
            </w:tr>
            <w:tr w14:paraId="614C92D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23" w:hRule="atLeast"/>
              </w:trPr>
              <w:tc>
                <w:tcPr>
                  <w:tcW w:w="661" w:type="pct"/>
                  <w:tcBorders>
                    <w:tl2br w:val="nil"/>
                    <w:tr2bl w:val="nil"/>
                  </w:tcBorders>
                  <w:shd w:val="clear" w:color="auto" w:fill="FFFFFF"/>
                  <w:noWrap w:val="0"/>
                  <w:tcMar>
                    <w:top w:w="135" w:type="dxa"/>
                    <w:left w:w="270" w:type="dxa"/>
                    <w:bottom w:w="135" w:type="dxa"/>
                    <w:right w:w="270" w:type="dxa"/>
                  </w:tcMar>
                  <w:vAlign w:val="center"/>
                </w:tcPr>
                <w:p w14:paraId="021B678F">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冲头润滑颗粒机</w:t>
                  </w:r>
                </w:p>
              </w:tc>
              <w:tc>
                <w:tcPr>
                  <w:tcW w:w="398" w:type="pct"/>
                  <w:tcBorders>
                    <w:tl2br w:val="nil"/>
                    <w:tr2bl w:val="nil"/>
                  </w:tcBorders>
                  <w:shd w:val="clear" w:color="auto" w:fill="FFFFFF"/>
                  <w:noWrap w:val="0"/>
                  <w:tcMar>
                    <w:top w:w="135" w:type="dxa"/>
                    <w:left w:w="270" w:type="dxa"/>
                    <w:bottom w:w="135" w:type="dxa"/>
                    <w:right w:w="270" w:type="dxa"/>
                  </w:tcMar>
                  <w:vAlign w:val="center"/>
                </w:tcPr>
                <w:p w14:paraId="513F895C">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台/套</w:t>
                  </w:r>
                </w:p>
              </w:tc>
              <w:tc>
                <w:tcPr>
                  <w:tcW w:w="527" w:type="pct"/>
                  <w:tcBorders>
                    <w:tl2br w:val="nil"/>
                    <w:tr2bl w:val="nil"/>
                  </w:tcBorders>
                  <w:shd w:val="clear" w:color="auto" w:fill="FFFFFF"/>
                  <w:noWrap w:val="0"/>
                  <w:tcMar>
                    <w:top w:w="135" w:type="dxa"/>
                    <w:left w:w="270" w:type="dxa"/>
                    <w:bottom w:w="135" w:type="dxa"/>
                    <w:right w:w="270" w:type="dxa"/>
                  </w:tcMar>
                  <w:vAlign w:val="center"/>
                </w:tcPr>
                <w:p w14:paraId="2A11E042">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1</w:t>
                  </w:r>
                </w:p>
              </w:tc>
              <w:tc>
                <w:tcPr>
                  <w:tcW w:w="734" w:type="pct"/>
                  <w:tcBorders>
                    <w:tl2br w:val="nil"/>
                    <w:tr2bl w:val="nil"/>
                  </w:tcBorders>
                  <w:shd w:val="clear" w:color="auto" w:fill="FFFFFF"/>
                  <w:noWrap w:val="0"/>
                  <w:tcMar>
                    <w:top w:w="135" w:type="dxa"/>
                    <w:left w:w="270" w:type="dxa"/>
                    <w:bottom w:w="135" w:type="dxa"/>
                    <w:right w:w="270" w:type="dxa"/>
                  </w:tcMar>
                  <w:vAlign w:val="center"/>
                </w:tcPr>
                <w:p w14:paraId="53AF816F">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65-80</w:t>
                  </w:r>
                </w:p>
              </w:tc>
              <w:tc>
                <w:tcPr>
                  <w:tcW w:w="1005" w:type="pct"/>
                  <w:tcBorders>
                    <w:tl2br w:val="nil"/>
                    <w:tr2bl w:val="nil"/>
                  </w:tcBorders>
                  <w:shd w:val="clear" w:color="auto" w:fill="FFFFFF"/>
                  <w:noWrap w:val="0"/>
                  <w:tcMar>
                    <w:top w:w="135" w:type="dxa"/>
                    <w:left w:w="270" w:type="dxa"/>
                    <w:bottom w:w="135" w:type="dxa"/>
                    <w:right w:w="270" w:type="dxa"/>
                  </w:tcMar>
                  <w:vAlign w:val="center"/>
                </w:tcPr>
                <w:p w14:paraId="45411909">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颗粒喷射和电机噪声</w:t>
                  </w:r>
                </w:p>
              </w:tc>
              <w:tc>
                <w:tcPr>
                  <w:tcW w:w="955" w:type="pct"/>
                  <w:tcBorders>
                    <w:tl2br w:val="nil"/>
                    <w:tr2bl w:val="nil"/>
                  </w:tcBorders>
                  <w:shd w:val="clear" w:color="auto" w:fill="FFFFFF"/>
                  <w:noWrap w:val="0"/>
                  <w:tcMar>
                    <w:top w:w="135" w:type="dxa"/>
                    <w:left w:w="270" w:type="dxa"/>
                    <w:bottom w:w="135" w:type="dxa"/>
                    <w:right w:w="270" w:type="dxa"/>
                  </w:tcMar>
                  <w:vAlign w:val="center"/>
                </w:tcPr>
                <w:p w14:paraId="40265D98">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lang w:val="en-US" w:eastAsia="zh-CN" w:bidi="ar"/>
                    </w:rPr>
                  </w:pPr>
                  <w:r>
                    <w:rPr>
                      <w:rFonts w:hint="default" w:ascii="Times New Roman" w:hAnsi="Times New Roman" w:eastAsia="宋体" w:cs="Times New Roman"/>
                      <w:color w:val="auto"/>
                      <w:kern w:val="21"/>
                      <w:sz w:val="21"/>
                      <w:szCs w:val="21"/>
                      <w:u w:val="none" w:color="auto"/>
                      <w:lang w:val="en-US" w:eastAsia="zh-CN" w:bidi="ar"/>
                    </w:rPr>
                    <w:t>低噪声设备、设备箱体隔声</w:t>
                  </w:r>
                </w:p>
              </w:tc>
              <w:tc>
                <w:tcPr>
                  <w:tcW w:w="716" w:type="pct"/>
                  <w:gridSpan w:val="2"/>
                  <w:tcBorders>
                    <w:tl2br w:val="nil"/>
                    <w:tr2bl w:val="nil"/>
                  </w:tcBorders>
                  <w:shd w:val="clear" w:color="auto" w:fill="FFFFFF"/>
                  <w:noWrap w:val="0"/>
                  <w:tcMar>
                    <w:top w:w="135" w:type="dxa"/>
                    <w:left w:w="270" w:type="dxa"/>
                    <w:bottom w:w="135" w:type="dxa"/>
                    <w:right w:w="270" w:type="dxa"/>
                  </w:tcMar>
                  <w:vAlign w:val="center"/>
                </w:tcPr>
                <w:p w14:paraId="722EBBE2">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lang w:val="en-US" w:eastAsia="zh-CN" w:bidi="ar"/>
                    </w:rPr>
                  </w:pPr>
                  <w:r>
                    <w:rPr>
                      <w:rFonts w:hint="default" w:ascii="Times New Roman" w:hAnsi="Times New Roman" w:eastAsia="宋体" w:cs="Times New Roman"/>
                      <w:color w:val="auto"/>
                      <w:kern w:val="21"/>
                      <w:sz w:val="21"/>
                      <w:szCs w:val="21"/>
                      <w:u w:val="none" w:color="auto"/>
                      <w:lang w:val="en-US" w:eastAsia="zh-CN" w:bidi="ar"/>
                    </w:rPr>
                    <w:t>8-10</w:t>
                  </w:r>
                </w:p>
              </w:tc>
            </w:tr>
            <w:tr w14:paraId="27DC0BA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gridAfter w:val="1"/>
                <w:wAfter w:w="3" w:type="pct"/>
                <w:trHeight w:val="23" w:hRule="atLeast"/>
              </w:trPr>
              <w:tc>
                <w:tcPr>
                  <w:tcW w:w="4996" w:type="pct"/>
                  <w:gridSpan w:val="7"/>
                  <w:tcBorders>
                    <w:tl2br w:val="nil"/>
                    <w:tr2bl w:val="nil"/>
                  </w:tcBorders>
                  <w:noWrap w:val="0"/>
                  <w:tcMar>
                    <w:top w:w="135" w:type="dxa"/>
                    <w:left w:w="270" w:type="dxa"/>
                    <w:bottom w:w="135" w:type="dxa"/>
                    <w:right w:w="270" w:type="dxa"/>
                  </w:tcMar>
                  <w:vAlign w:val="center"/>
                </w:tcPr>
                <w:p w14:paraId="5C0BF9FA">
                  <w:pPr>
                    <w:pStyle w:val="5"/>
                    <w:keepNext w:val="0"/>
                    <w:keepLines w:val="0"/>
                    <w:pageBreakBefore w:val="0"/>
                    <w:widowControl/>
                    <w:suppressLineNumbers w:val="0"/>
                    <w:shd w:val="clear" w:color="auto" w:fill="FFFFFF"/>
                    <w:kinsoku/>
                    <w:wordWrap/>
                    <w:overflowPunct/>
                    <w:topLinePunct w:val="0"/>
                    <w:autoSpaceDE/>
                    <w:autoSpaceDN/>
                    <w:bidi w:val="0"/>
                    <w:adjustRightInd/>
                    <w:snapToGrid/>
                    <w:spacing w:before="0" w:beforeAutospacing="0" w:after="0" w:afterAutospacing="0" w:line="240" w:lineRule="auto"/>
                    <w:ind w:left="0" w:right="0" w:firstLine="0"/>
                    <w:jc w:val="center"/>
                    <w:textAlignment w:val="auto"/>
                    <w:rPr>
                      <w:rFonts w:hint="default" w:ascii="Times New Roman" w:hAnsi="Times New Roman" w:eastAsia="宋体" w:cs="Times New Roman"/>
                      <w:b/>
                      <w:bCs/>
                      <w:color w:val="auto"/>
                      <w:kern w:val="21"/>
                      <w:sz w:val="21"/>
                      <w:szCs w:val="21"/>
                      <w:u w:val="none" w:color="auto"/>
                      <w:lang w:val="en-US" w:eastAsia="zh-CN" w:bidi="ar"/>
                    </w:rPr>
                  </w:pPr>
                  <w:r>
                    <w:rPr>
                      <w:rFonts w:hint="default" w:ascii="Times New Roman" w:hAnsi="Times New Roman" w:eastAsia="宋体" w:cs="Times New Roman"/>
                      <w:b/>
                      <w:bCs/>
                      <w:i w:val="0"/>
                      <w:iCs w:val="0"/>
                      <w:snapToGrid w:val="0"/>
                      <w:color w:val="auto"/>
                      <w:kern w:val="21"/>
                      <w:sz w:val="21"/>
                      <w:szCs w:val="21"/>
                      <w:highlight w:val="none"/>
                      <w:u w:val="none" w:color="auto"/>
                      <w:lang w:val="en-US" w:eastAsia="zh-CN" w:bidi="ar"/>
                    </w:rPr>
                    <w:t>临港高新产业园区：</w:t>
                  </w:r>
                  <w:r>
                    <w:rPr>
                      <w:rFonts w:hint="default" w:ascii="Times New Roman" w:hAnsi="Times New Roman" w:eastAsia="宋体" w:cs="Times New Roman"/>
                      <w:b/>
                      <w:bCs/>
                      <w:i w:val="0"/>
                      <w:iCs w:val="0"/>
                      <w:caps w:val="0"/>
                      <w:color w:val="auto"/>
                      <w:spacing w:val="0"/>
                      <w:kern w:val="21"/>
                      <w:sz w:val="21"/>
                      <w:szCs w:val="21"/>
                      <w:u w:val="none" w:color="auto"/>
                      <w:lang w:val="en-US" w:eastAsia="zh-CN"/>
                    </w:rPr>
                    <w:t>15栋</w:t>
                  </w:r>
                </w:p>
              </w:tc>
            </w:tr>
            <w:tr w14:paraId="1F6714F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gridAfter w:val="1"/>
                <w:wAfter w:w="3" w:type="pct"/>
                <w:trHeight w:val="23" w:hRule="atLeast"/>
              </w:trPr>
              <w:tc>
                <w:tcPr>
                  <w:tcW w:w="661" w:type="pct"/>
                  <w:tcBorders>
                    <w:tl2br w:val="nil"/>
                    <w:tr2bl w:val="nil"/>
                  </w:tcBorders>
                  <w:shd w:val="clear" w:color="auto" w:fill="FFFFFF"/>
                  <w:noWrap w:val="0"/>
                  <w:tcMar>
                    <w:top w:w="135" w:type="dxa"/>
                    <w:left w:w="270" w:type="dxa"/>
                    <w:bottom w:w="135" w:type="dxa"/>
                    <w:right w:w="270" w:type="dxa"/>
                  </w:tcMar>
                  <w:vAlign w:val="center"/>
                </w:tcPr>
                <w:p w14:paraId="4E643F27">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激光打标机</w:t>
                  </w:r>
                </w:p>
              </w:tc>
              <w:tc>
                <w:tcPr>
                  <w:tcW w:w="398" w:type="pct"/>
                  <w:tcBorders>
                    <w:tl2br w:val="nil"/>
                    <w:tr2bl w:val="nil"/>
                  </w:tcBorders>
                  <w:shd w:val="clear" w:color="auto" w:fill="FFFFFF"/>
                  <w:noWrap w:val="0"/>
                  <w:tcMar>
                    <w:top w:w="135" w:type="dxa"/>
                    <w:left w:w="270" w:type="dxa"/>
                    <w:bottom w:w="135" w:type="dxa"/>
                    <w:right w:w="270" w:type="dxa"/>
                  </w:tcMar>
                  <w:vAlign w:val="center"/>
                </w:tcPr>
                <w:p w14:paraId="4EA31784">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both"/>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套</w:t>
                  </w:r>
                </w:p>
              </w:tc>
              <w:tc>
                <w:tcPr>
                  <w:tcW w:w="527" w:type="pct"/>
                  <w:tcBorders>
                    <w:tl2br w:val="nil"/>
                    <w:tr2bl w:val="nil"/>
                  </w:tcBorders>
                  <w:shd w:val="clear" w:color="auto" w:fill="FFFFFF"/>
                  <w:noWrap w:val="0"/>
                  <w:tcMar>
                    <w:top w:w="135" w:type="dxa"/>
                    <w:left w:w="270" w:type="dxa"/>
                    <w:bottom w:w="135" w:type="dxa"/>
                    <w:right w:w="270" w:type="dxa"/>
                  </w:tcMar>
                  <w:vAlign w:val="center"/>
                </w:tcPr>
                <w:p w14:paraId="3AE45C49">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4</w:t>
                  </w:r>
                </w:p>
              </w:tc>
              <w:tc>
                <w:tcPr>
                  <w:tcW w:w="734" w:type="pct"/>
                  <w:tcBorders>
                    <w:tl2br w:val="nil"/>
                    <w:tr2bl w:val="nil"/>
                  </w:tcBorders>
                  <w:shd w:val="clear" w:color="auto" w:fill="FFFFFF"/>
                  <w:noWrap w:val="0"/>
                  <w:tcMar>
                    <w:top w:w="135" w:type="dxa"/>
                    <w:left w:w="270" w:type="dxa"/>
                    <w:bottom w:w="135" w:type="dxa"/>
                    <w:right w:w="270" w:type="dxa"/>
                  </w:tcMar>
                  <w:vAlign w:val="center"/>
                </w:tcPr>
                <w:p w14:paraId="636F36EC">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70-85</w:t>
                  </w:r>
                </w:p>
              </w:tc>
              <w:tc>
                <w:tcPr>
                  <w:tcW w:w="1005" w:type="pct"/>
                  <w:tcBorders>
                    <w:tl2br w:val="nil"/>
                    <w:tr2bl w:val="nil"/>
                  </w:tcBorders>
                  <w:shd w:val="clear" w:color="auto" w:fill="FFFFFF"/>
                  <w:noWrap w:val="0"/>
                  <w:tcMar>
                    <w:top w:w="135" w:type="dxa"/>
                    <w:left w:w="270" w:type="dxa"/>
                    <w:bottom w:w="135" w:type="dxa"/>
                    <w:right w:w="270" w:type="dxa"/>
                  </w:tcMar>
                  <w:vAlign w:val="center"/>
                </w:tcPr>
                <w:p w14:paraId="69BB1C30">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激光脉冲和冷却风扇噪声</w:t>
                  </w:r>
                </w:p>
              </w:tc>
              <w:tc>
                <w:tcPr>
                  <w:tcW w:w="955" w:type="pct"/>
                  <w:tcBorders>
                    <w:tl2br w:val="nil"/>
                    <w:tr2bl w:val="nil"/>
                  </w:tcBorders>
                  <w:shd w:val="clear" w:color="auto" w:fill="FFFFFF"/>
                  <w:noWrap w:val="0"/>
                  <w:tcMar>
                    <w:top w:w="135" w:type="dxa"/>
                    <w:left w:w="270" w:type="dxa"/>
                    <w:bottom w:w="135" w:type="dxa"/>
                    <w:right w:w="270" w:type="dxa"/>
                  </w:tcMar>
                  <w:vAlign w:val="center"/>
                </w:tcPr>
                <w:p w14:paraId="7104FE80">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lang w:val="en-US" w:eastAsia="zh-CN" w:bidi="ar"/>
                    </w:rPr>
                  </w:pPr>
                  <w:r>
                    <w:rPr>
                      <w:rFonts w:hint="default" w:ascii="Times New Roman" w:hAnsi="Times New Roman" w:eastAsia="宋体" w:cs="Times New Roman"/>
                      <w:color w:val="auto"/>
                      <w:kern w:val="21"/>
                      <w:sz w:val="21"/>
                      <w:szCs w:val="21"/>
                      <w:u w:val="none" w:color="auto"/>
                      <w:lang w:val="en-US" w:eastAsia="zh-CN" w:bidi="ar"/>
                    </w:rPr>
                    <w:t>低噪声设备</w:t>
                  </w:r>
                </w:p>
              </w:tc>
              <w:tc>
                <w:tcPr>
                  <w:tcW w:w="713" w:type="pct"/>
                  <w:tcBorders>
                    <w:tl2br w:val="nil"/>
                    <w:tr2bl w:val="nil"/>
                  </w:tcBorders>
                  <w:shd w:val="clear" w:color="auto" w:fill="FFFFFF"/>
                  <w:noWrap w:val="0"/>
                  <w:tcMar>
                    <w:top w:w="135" w:type="dxa"/>
                    <w:left w:w="270" w:type="dxa"/>
                    <w:bottom w:w="135" w:type="dxa"/>
                    <w:right w:w="270" w:type="dxa"/>
                  </w:tcMar>
                  <w:vAlign w:val="center"/>
                </w:tcPr>
                <w:p w14:paraId="2A8BF8F5">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lang w:val="en-US" w:eastAsia="zh-CN" w:bidi="ar"/>
                    </w:rPr>
                  </w:pPr>
                  <w:r>
                    <w:rPr>
                      <w:rFonts w:hint="default" w:ascii="Times New Roman" w:hAnsi="Times New Roman" w:eastAsia="宋体" w:cs="Times New Roman"/>
                      <w:color w:val="auto"/>
                      <w:kern w:val="21"/>
                      <w:sz w:val="21"/>
                      <w:szCs w:val="21"/>
                      <w:u w:val="none" w:color="auto"/>
                      <w:lang w:val="en-US" w:eastAsia="zh-CN" w:bidi="ar"/>
                    </w:rPr>
                    <w:t>6-8</w:t>
                  </w:r>
                </w:p>
              </w:tc>
            </w:tr>
            <w:tr w14:paraId="514EA88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gridAfter w:val="1"/>
                <w:wAfter w:w="3" w:type="pct"/>
                <w:trHeight w:val="23" w:hRule="atLeast"/>
              </w:trPr>
              <w:tc>
                <w:tcPr>
                  <w:tcW w:w="661" w:type="pct"/>
                  <w:tcBorders>
                    <w:tl2br w:val="nil"/>
                    <w:tr2bl w:val="nil"/>
                  </w:tcBorders>
                  <w:shd w:val="clear" w:color="auto" w:fill="FFFFFF"/>
                  <w:noWrap w:val="0"/>
                  <w:tcMar>
                    <w:top w:w="135" w:type="dxa"/>
                    <w:left w:w="270" w:type="dxa"/>
                    <w:bottom w:w="135" w:type="dxa"/>
                    <w:right w:w="270" w:type="dxa"/>
                  </w:tcMar>
                  <w:vAlign w:val="center"/>
                </w:tcPr>
                <w:p w14:paraId="567906B5">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钻工中心</w:t>
                  </w:r>
                </w:p>
              </w:tc>
              <w:tc>
                <w:tcPr>
                  <w:tcW w:w="398" w:type="pct"/>
                  <w:tcBorders>
                    <w:tl2br w:val="nil"/>
                    <w:tr2bl w:val="nil"/>
                  </w:tcBorders>
                  <w:shd w:val="clear" w:color="auto" w:fill="FFFFFF"/>
                  <w:noWrap w:val="0"/>
                  <w:tcMar>
                    <w:top w:w="135" w:type="dxa"/>
                    <w:left w:w="270" w:type="dxa"/>
                    <w:bottom w:w="135" w:type="dxa"/>
                    <w:right w:w="270" w:type="dxa"/>
                  </w:tcMar>
                  <w:vAlign w:val="center"/>
                </w:tcPr>
                <w:p w14:paraId="008AA56D">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套</w:t>
                  </w:r>
                </w:p>
              </w:tc>
              <w:tc>
                <w:tcPr>
                  <w:tcW w:w="527" w:type="pct"/>
                  <w:tcBorders>
                    <w:tl2br w:val="nil"/>
                    <w:tr2bl w:val="nil"/>
                  </w:tcBorders>
                  <w:shd w:val="clear" w:color="auto" w:fill="FFFFFF"/>
                  <w:noWrap w:val="0"/>
                  <w:tcMar>
                    <w:top w:w="135" w:type="dxa"/>
                    <w:left w:w="270" w:type="dxa"/>
                    <w:bottom w:w="135" w:type="dxa"/>
                    <w:right w:w="270" w:type="dxa"/>
                  </w:tcMar>
                  <w:vAlign w:val="center"/>
                </w:tcPr>
                <w:p w14:paraId="090E356D">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24</w:t>
                  </w:r>
                </w:p>
              </w:tc>
              <w:tc>
                <w:tcPr>
                  <w:tcW w:w="734" w:type="pct"/>
                  <w:tcBorders>
                    <w:tl2br w:val="nil"/>
                    <w:tr2bl w:val="nil"/>
                  </w:tcBorders>
                  <w:shd w:val="clear" w:color="auto" w:fill="FFFFFF"/>
                  <w:noWrap w:val="0"/>
                  <w:tcMar>
                    <w:top w:w="135" w:type="dxa"/>
                    <w:left w:w="270" w:type="dxa"/>
                    <w:bottom w:w="135" w:type="dxa"/>
                    <w:right w:w="270" w:type="dxa"/>
                  </w:tcMar>
                  <w:vAlign w:val="center"/>
                </w:tcPr>
                <w:p w14:paraId="79C69BED">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80-95</w:t>
                  </w:r>
                </w:p>
              </w:tc>
              <w:tc>
                <w:tcPr>
                  <w:tcW w:w="1005" w:type="pct"/>
                  <w:tcBorders>
                    <w:tl2br w:val="nil"/>
                    <w:tr2bl w:val="nil"/>
                  </w:tcBorders>
                  <w:shd w:val="clear" w:color="auto" w:fill="FFFFFF"/>
                  <w:noWrap w:val="0"/>
                  <w:tcMar>
                    <w:top w:w="135" w:type="dxa"/>
                    <w:left w:w="270" w:type="dxa"/>
                    <w:bottom w:w="135" w:type="dxa"/>
                    <w:right w:w="270" w:type="dxa"/>
                  </w:tcMar>
                  <w:vAlign w:val="center"/>
                </w:tcPr>
                <w:p w14:paraId="64999C09">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钻孔切削和主轴旋转噪声（高强度）</w:t>
                  </w:r>
                </w:p>
              </w:tc>
              <w:tc>
                <w:tcPr>
                  <w:tcW w:w="955" w:type="pct"/>
                  <w:vMerge w:val="restart"/>
                  <w:tcBorders>
                    <w:tl2br w:val="nil"/>
                    <w:tr2bl w:val="nil"/>
                  </w:tcBorders>
                  <w:shd w:val="clear" w:color="auto" w:fill="FFFFFF"/>
                  <w:noWrap w:val="0"/>
                  <w:tcMar>
                    <w:top w:w="135" w:type="dxa"/>
                    <w:left w:w="270" w:type="dxa"/>
                    <w:bottom w:w="135" w:type="dxa"/>
                    <w:right w:w="270" w:type="dxa"/>
                  </w:tcMar>
                  <w:vAlign w:val="center"/>
                </w:tcPr>
                <w:p w14:paraId="1659B5F4">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lang w:val="en-US" w:eastAsia="zh-CN" w:bidi="ar"/>
                    </w:rPr>
                  </w:pPr>
                  <w:r>
                    <w:rPr>
                      <w:rFonts w:hint="default" w:ascii="Times New Roman" w:hAnsi="Times New Roman" w:eastAsia="宋体" w:cs="Times New Roman"/>
                      <w:i w:val="0"/>
                      <w:iCs w:val="0"/>
                      <w:caps w:val="0"/>
                      <w:color w:val="auto"/>
                      <w:spacing w:val="0"/>
                      <w:kern w:val="21"/>
                      <w:sz w:val="21"/>
                      <w:szCs w:val="21"/>
                      <w:u w:val="none" w:color="auto"/>
                      <w:shd w:val="clear" w:fill="FFFFFF"/>
                      <w:lang w:val="en-US" w:eastAsia="zh-CN"/>
                    </w:rPr>
                    <w:t>设备箱体隔声、低噪声设备</w:t>
                  </w:r>
                </w:p>
              </w:tc>
              <w:tc>
                <w:tcPr>
                  <w:tcW w:w="713" w:type="pct"/>
                  <w:tcBorders>
                    <w:tl2br w:val="nil"/>
                    <w:tr2bl w:val="nil"/>
                  </w:tcBorders>
                  <w:shd w:val="clear" w:color="auto" w:fill="FFFFFF"/>
                  <w:noWrap w:val="0"/>
                  <w:tcMar>
                    <w:top w:w="135" w:type="dxa"/>
                    <w:left w:w="270" w:type="dxa"/>
                    <w:bottom w:w="135" w:type="dxa"/>
                    <w:right w:w="270" w:type="dxa"/>
                  </w:tcMar>
                  <w:vAlign w:val="center"/>
                </w:tcPr>
                <w:p w14:paraId="0406E1C4">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i w:val="0"/>
                      <w:iCs w:val="0"/>
                      <w:caps w:val="0"/>
                      <w:color w:val="auto"/>
                      <w:spacing w:val="0"/>
                      <w:kern w:val="21"/>
                      <w:sz w:val="21"/>
                      <w:szCs w:val="21"/>
                      <w:u w:val="none" w:color="auto"/>
                      <w:shd w:val="clear" w:fill="FFFFFF"/>
                      <w:lang w:val="en-US" w:eastAsia="zh-CN"/>
                    </w:rPr>
                  </w:pPr>
                  <w:r>
                    <w:rPr>
                      <w:rFonts w:hint="default" w:ascii="Times New Roman" w:hAnsi="Times New Roman" w:eastAsia="宋体" w:cs="Times New Roman"/>
                      <w:i w:val="0"/>
                      <w:iCs w:val="0"/>
                      <w:caps w:val="0"/>
                      <w:color w:val="auto"/>
                      <w:spacing w:val="0"/>
                      <w:kern w:val="21"/>
                      <w:sz w:val="21"/>
                      <w:szCs w:val="21"/>
                      <w:u w:val="none" w:color="auto"/>
                      <w:shd w:val="clear" w:fill="FFFFFF"/>
                      <w:lang w:val="en-US" w:eastAsia="zh-CN"/>
                    </w:rPr>
                    <w:t>8-10</w:t>
                  </w:r>
                </w:p>
              </w:tc>
            </w:tr>
            <w:tr w14:paraId="1D8449A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gridAfter w:val="1"/>
                <w:wAfter w:w="3" w:type="pct"/>
                <w:trHeight w:val="23" w:hRule="atLeast"/>
              </w:trPr>
              <w:tc>
                <w:tcPr>
                  <w:tcW w:w="661" w:type="pct"/>
                  <w:tcBorders>
                    <w:tl2br w:val="nil"/>
                    <w:tr2bl w:val="nil"/>
                  </w:tcBorders>
                  <w:shd w:val="clear" w:color="auto" w:fill="FFFFFF"/>
                  <w:noWrap w:val="0"/>
                  <w:tcMar>
                    <w:top w:w="135" w:type="dxa"/>
                    <w:left w:w="270" w:type="dxa"/>
                    <w:bottom w:w="135" w:type="dxa"/>
                    <w:right w:w="270" w:type="dxa"/>
                  </w:tcMar>
                  <w:vAlign w:val="center"/>
                </w:tcPr>
                <w:p w14:paraId="1EDAAF7C">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立式数控车床</w:t>
                  </w:r>
                </w:p>
              </w:tc>
              <w:tc>
                <w:tcPr>
                  <w:tcW w:w="398" w:type="pct"/>
                  <w:tcBorders>
                    <w:tl2br w:val="nil"/>
                    <w:tr2bl w:val="nil"/>
                  </w:tcBorders>
                  <w:shd w:val="clear" w:color="auto" w:fill="FFFFFF"/>
                  <w:noWrap w:val="0"/>
                  <w:tcMar>
                    <w:top w:w="135" w:type="dxa"/>
                    <w:left w:w="270" w:type="dxa"/>
                    <w:bottom w:w="135" w:type="dxa"/>
                    <w:right w:w="270" w:type="dxa"/>
                  </w:tcMar>
                  <w:vAlign w:val="center"/>
                </w:tcPr>
                <w:p w14:paraId="368F0057">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套</w:t>
                  </w:r>
                </w:p>
              </w:tc>
              <w:tc>
                <w:tcPr>
                  <w:tcW w:w="527" w:type="pct"/>
                  <w:tcBorders>
                    <w:tl2br w:val="nil"/>
                    <w:tr2bl w:val="nil"/>
                  </w:tcBorders>
                  <w:shd w:val="clear" w:color="auto" w:fill="FFFFFF"/>
                  <w:noWrap w:val="0"/>
                  <w:tcMar>
                    <w:top w:w="135" w:type="dxa"/>
                    <w:left w:w="270" w:type="dxa"/>
                    <w:bottom w:w="135" w:type="dxa"/>
                    <w:right w:w="270" w:type="dxa"/>
                  </w:tcMar>
                  <w:vAlign w:val="center"/>
                </w:tcPr>
                <w:p w14:paraId="43573444">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9</w:t>
                  </w:r>
                </w:p>
              </w:tc>
              <w:tc>
                <w:tcPr>
                  <w:tcW w:w="734" w:type="pct"/>
                  <w:tcBorders>
                    <w:tl2br w:val="nil"/>
                    <w:tr2bl w:val="nil"/>
                  </w:tcBorders>
                  <w:shd w:val="clear" w:color="auto" w:fill="FFFFFF"/>
                  <w:noWrap w:val="0"/>
                  <w:tcMar>
                    <w:top w:w="135" w:type="dxa"/>
                    <w:left w:w="270" w:type="dxa"/>
                    <w:bottom w:w="135" w:type="dxa"/>
                    <w:right w:w="270" w:type="dxa"/>
                  </w:tcMar>
                  <w:vAlign w:val="center"/>
                </w:tcPr>
                <w:p w14:paraId="5C12397C">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75-90</w:t>
                  </w:r>
                </w:p>
              </w:tc>
              <w:tc>
                <w:tcPr>
                  <w:tcW w:w="1005" w:type="pct"/>
                  <w:tcBorders>
                    <w:tl2br w:val="nil"/>
                    <w:tr2bl w:val="nil"/>
                  </w:tcBorders>
                  <w:shd w:val="clear" w:color="auto" w:fill="FFFFFF"/>
                  <w:noWrap w:val="0"/>
                  <w:tcMar>
                    <w:top w:w="135" w:type="dxa"/>
                    <w:left w:w="270" w:type="dxa"/>
                    <w:bottom w:w="135" w:type="dxa"/>
                    <w:right w:w="270" w:type="dxa"/>
                  </w:tcMar>
                  <w:vAlign w:val="center"/>
                </w:tcPr>
                <w:p w14:paraId="2FF0302C">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车削金属的摩擦和冷却液噪声</w:t>
                  </w:r>
                </w:p>
              </w:tc>
              <w:tc>
                <w:tcPr>
                  <w:tcW w:w="955" w:type="pct"/>
                  <w:vMerge w:val="continue"/>
                  <w:tcBorders>
                    <w:tl2br w:val="nil"/>
                    <w:tr2bl w:val="nil"/>
                  </w:tcBorders>
                  <w:shd w:val="clear" w:color="auto" w:fill="FFFFFF"/>
                  <w:noWrap w:val="0"/>
                  <w:tcMar>
                    <w:top w:w="135" w:type="dxa"/>
                    <w:left w:w="270" w:type="dxa"/>
                    <w:bottom w:w="135" w:type="dxa"/>
                    <w:right w:w="270" w:type="dxa"/>
                  </w:tcMar>
                  <w:vAlign w:val="center"/>
                </w:tcPr>
                <w:p w14:paraId="1BA1E390">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lang w:val="en-US" w:eastAsia="zh-CN" w:bidi="ar"/>
                    </w:rPr>
                  </w:pPr>
                </w:p>
              </w:tc>
              <w:tc>
                <w:tcPr>
                  <w:tcW w:w="713" w:type="pct"/>
                  <w:tcBorders>
                    <w:tl2br w:val="nil"/>
                    <w:tr2bl w:val="nil"/>
                  </w:tcBorders>
                  <w:shd w:val="clear" w:color="auto" w:fill="FFFFFF"/>
                  <w:noWrap w:val="0"/>
                  <w:tcMar>
                    <w:top w:w="135" w:type="dxa"/>
                    <w:left w:w="270" w:type="dxa"/>
                    <w:bottom w:w="135" w:type="dxa"/>
                    <w:right w:w="270" w:type="dxa"/>
                  </w:tcMar>
                  <w:vAlign w:val="center"/>
                </w:tcPr>
                <w:p w14:paraId="6785FDC9">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lang w:val="en-US" w:eastAsia="zh-CN" w:bidi="ar"/>
                    </w:rPr>
                  </w:pPr>
                  <w:r>
                    <w:rPr>
                      <w:rFonts w:hint="default" w:ascii="Times New Roman" w:hAnsi="Times New Roman" w:eastAsia="宋体" w:cs="Times New Roman"/>
                      <w:i w:val="0"/>
                      <w:iCs w:val="0"/>
                      <w:caps w:val="0"/>
                      <w:color w:val="auto"/>
                      <w:spacing w:val="0"/>
                      <w:kern w:val="21"/>
                      <w:sz w:val="21"/>
                      <w:szCs w:val="21"/>
                      <w:u w:val="none" w:color="auto"/>
                      <w:shd w:val="clear" w:fill="FFFFFF"/>
                      <w:lang w:val="en-US" w:eastAsia="zh-CN"/>
                    </w:rPr>
                    <w:t>8-10</w:t>
                  </w:r>
                </w:p>
              </w:tc>
            </w:tr>
            <w:tr w14:paraId="1016D4D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gridAfter w:val="1"/>
                <w:wAfter w:w="3" w:type="pct"/>
                <w:trHeight w:val="23" w:hRule="atLeast"/>
              </w:trPr>
              <w:tc>
                <w:tcPr>
                  <w:tcW w:w="661" w:type="pct"/>
                  <w:tcBorders>
                    <w:tl2br w:val="nil"/>
                    <w:tr2bl w:val="nil"/>
                  </w:tcBorders>
                  <w:shd w:val="clear" w:color="auto" w:fill="FFFFFF"/>
                  <w:noWrap w:val="0"/>
                  <w:tcMar>
                    <w:top w:w="135" w:type="dxa"/>
                    <w:left w:w="270" w:type="dxa"/>
                    <w:bottom w:w="135" w:type="dxa"/>
                    <w:right w:w="270" w:type="dxa"/>
                  </w:tcMar>
                  <w:vAlign w:val="center"/>
                </w:tcPr>
                <w:p w14:paraId="4A91A665">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卧式数控车床</w:t>
                  </w:r>
                </w:p>
              </w:tc>
              <w:tc>
                <w:tcPr>
                  <w:tcW w:w="398" w:type="pct"/>
                  <w:tcBorders>
                    <w:tl2br w:val="nil"/>
                    <w:tr2bl w:val="nil"/>
                  </w:tcBorders>
                  <w:shd w:val="clear" w:color="auto" w:fill="FFFFFF"/>
                  <w:noWrap w:val="0"/>
                  <w:tcMar>
                    <w:top w:w="135" w:type="dxa"/>
                    <w:left w:w="270" w:type="dxa"/>
                    <w:bottom w:w="135" w:type="dxa"/>
                    <w:right w:w="270" w:type="dxa"/>
                  </w:tcMar>
                  <w:vAlign w:val="center"/>
                </w:tcPr>
                <w:p w14:paraId="42FA0D54">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套</w:t>
                  </w:r>
                </w:p>
              </w:tc>
              <w:tc>
                <w:tcPr>
                  <w:tcW w:w="527" w:type="pct"/>
                  <w:tcBorders>
                    <w:tl2br w:val="nil"/>
                    <w:tr2bl w:val="nil"/>
                  </w:tcBorders>
                  <w:shd w:val="clear" w:color="auto" w:fill="FFFFFF"/>
                  <w:noWrap w:val="0"/>
                  <w:tcMar>
                    <w:top w:w="135" w:type="dxa"/>
                    <w:left w:w="270" w:type="dxa"/>
                    <w:bottom w:w="135" w:type="dxa"/>
                    <w:right w:w="270" w:type="dxa"/>
                  </w:tcMar>
                  <w:vAlign w:val="center"/>
                </w:tcPr>
                <w:p w14:paraId="37BEBF73">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6</w:t>
                  </w:r>
                </w:p>
              </w:tc>
              <w:tc>
                <w:tcPr>
                  <w:tcW w:w="734" w:type="pct"/>
                  <w:tcBorders>
                    <w:tl2br w:val="nil"/>
                    <w:tr2bl w:val="nil"/>
                  </w:tcBorders>
                  <w:shd w:val="clear" w:color="auto" w:fill="FFFFFF"/>
                  <w:noWrap w:val="0"/>
                  <w:tcMar>
                    <w:top w:w="135" w:type="dxa"/>
                    <w:left w:w="270" w:type="dxa"/>
                    <w:bottom w:w="135" w:type="dxa"/>
                    <w:right w:w="270" w:type="dxa"/>
                  </w:tcMar>
                  <w:vAlign w:val="center"/>
                </w:tcPr>
                <w:p w14:paraId="781D79E2">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75-90</w:t>
                  </w:r>
                </w:p>
              </w:tc>
              <w:tc>
                <w:tcPr>
                  <w:tcW w:w="1005" w:type="pct"/>
                  <w:tcBorders>
                    <w:tl2br w:val="nil"/>
                    <w:tr2bl w:val="nil"/>
                  </w:tcBorders>
                  <w:shd w:val="clear" w:color="auto" w:fill="FFFFFF"/>
                  <w:noWrap w:val="0"/>
                  <w:tcMar>
                    <w:top w:w="135" w:type="dxa"/>
                    <w:left w:w="270" w:type="dxa"/>
                    <w:bottom w:w="135" w:type="dxa"/>
                    <w:right w:w="270" w:type="dxa"/>
                  </w:tcMar>
                  <w:vAlign w:val="center"/>
                </w:tcPr>
                <w:p w14:paraId="1FF79833">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同上，卧式设计噪声类似</w:t>
                  </w:r>
                </w:p>
              </w:tc>
              <w:tc>
                <w:tcPr>
                  <w:tcW w:w="955" w:type="pct"/>
                  <w:vMerge w:val="continue"/>
                  <w:tcBorders>
                    <w:tl2br w:val="nil"/>
                    <w:tr2bl w:val="nil"/>
                  </w:tcBorders>
                  <w:shd w:val="clear" w:color="auto" w:fill="FFFFFF"/>
                  <w:noWrap w:val="0"/>
                  <w:tcMar>
                    <w:top w:w="135" w:type="dxa"/>
                    <w:left w:w="270" w:type="dxa"/>
                    <w:bottom w:w="135" w:type="dxa"/>
                    <w:right w:w="270" w:type="dxa"/>
                  </w:tcMar>
                  <w:vAlign w:val="center"/>
                </w:tcPr>
                <w:p w14:paraId="533CA44C">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lang w:val="en-US" w:eastAsia="zh-CN" w:bidi="ar"/>
                    </w:rPr>
                  </w:pPr>
                </w:p>
              </w:tc>
              <w:tc>
                <w:tcPr>
                  <w:tcW w:w="713" w:type="pct"/>
                  <w:tcBorders>
                    <w:tl2br w:val="nil"/>
                    <w:tr2bl w:val="nil"/>
                  </w:tcBorders>
                  <w:shd w:val="clear" w:color="auto" w:fill="FFFFFF"/>
                  <w:noWrap w:val="0"/>
                  <w:tcMar>
                    <w:top w:w="135" w:type="dxa"/>
                    <w:left w:w="270" w:type="dxa"/>
                    <w:bottom w:w="135" w:type="dxa"/>
                    <w:right w:w="270" w:type="dxa"/>
                  </w:tcMar>
                  <w:vAlign w:val="center"/>
                </w:tcPr>
                <w:p w14:paraId="5775B682">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lang w:val="en-US" w:eastAsia="zh-CN" w:bidi="ar"/>
                    </w:rPr>
                  </w:pPr>
                  <w:r>
                    <w:rPr>
                      <w:rFonts w:hint="default" w:ascii="Times New Roman" w:hAnsi="Times New Roman" w:eastAsia="宋体" w:cs="Times New Roman"/>
                      <w:i w:val="0"/>
                      <w:iCs w:val="0"/>
                      <w:caps w:val="0"/>
                      <w:color w:val="auto"/>
                      <w:spacing w:val="0"/>
                      <w:kern w:val="21"/>
                      <w:sz w:val="21"/>
                      <w:szCs w:val="21"/>
                      <w:u w:val="none" w:color="auto"/>
                      <w:shd w:val="clear" w:fill="FFFFFF"/>
                      <w:lang w:val="en-US" w:eastAsia="zh-CN"/>
                    </w:rPr>
                    <w:t>8-10</w:t>
                  </w:r>
                </w:p>
              </w:tc>
            </w:tr>
            <w:tr w14:paraId="2C86C56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gridAfter w:val="1"/>
                <w:wAfter w:w="3" w:type="pct"/>
                <w:trHeight w:val="23" w:hRule="atLeast"/>
              </w:trPr>
              <w:tc>
                <w:tcPr>
                  <w:tcW w:w="661" w:type="pct"/>
                  <w:tcBorders>
                    <w:tl2br w:val="nil"/>
                    <w:tr2bl w:val="nil"/>
                  </w:tcBorders>
                  <w:shd w:val="clear" w:color="auto" w:fill="FFFFFF"/>
                  <w:noWrap w:val="0"/>
                  <w:tcMar>
                    <w:top w:w="135" w:type="dxa"/>
                    <w:left w:w="270" w:type="dxa"/>
                    <w:bottom w:w="135" w:type="dxa"/>
                    <w:right w:w="270" w:type="dxa"/>
                  </w:tcMar>
                  <w:vAlign w:val="center"/>
                </w:tcPr>
                <w:p w14:paraId="106C839F">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立式加工中心</w:t>
                  </w:r>
                </w:p>
              </w:tc>
              <w:tc>
                <w:tcPr>
                  <w:tcW w:w="398" w:type="pct"/>
                  <w:tcBorders>
                    <w:tl2br w:val="nil"/>
                    <w:tr2bl w:val="nil"/>
                  </w:tcBorders>
                  <w:shd w:val="clear" w:color="auto" w:fill="FFFFFF"/>
                  <w:noWrap w:val="0"/>
                  <w:tcMar>
                    <w:top w:w="135" w:type="dxa"/>
                    <w:left w:w="270" w:type="dxa"/>
                    <w:bottom w:w="135" w:type="dxa"/>
                    <w:right w:w="270" w:type="dxa"/>
                  </w:tcMar>
                  <w:vAlign w:val="center"/>
                </w:tcPr>
                <w:p w14:paraId="7B65507F">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套</w:t>
                  </w:r>
                </w:p>
              </w:tc>
              <w:tc>
                <w:tcPr>
                  <w:tcW w:w="527" w:type="pct"/>
                  <w:tcBorders>
                    <w:tl2br w:val="nil"/>
                    <w:tr2bl w:val="nil"/>
                  </w:tcBorders>
                  <w:shd w:val="clear" w:color="auto" w:fill="FFFFFF"/>
                  <w:noWrap w:val="0"/>
                  <w:tcMar>
                    <w:top w:w="135" w:type="dxa"/>
                    <w:left w:w="270" w:type="dxa"/>
                    <w:bottom w:w="135" w:type="dxa"/>
                    <w:right w:w="270" w:type="dxa"/>
                  </w:tcMar>
                  <w:vAlign w:val="center"/>
                </w:tcPr>
                <w:p w14:paraId="5BF0F388">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3</w:t>
                  </w:r>
                </w:p>
              </w:tc>
              <w:tc>
                <w:tcPr>
                  <w:tcW w:w="734" w:type="pct"/>
                  <w:tcBorders>
                    <w:tl2br w:val="nil"/>
                    <w:tr2bl w:val="nil"/>
                  </w:tcBorders>
                  <w:shd w:val="clear" w:color="auto" w:fill="FFFFFF"/>
                  <w:noWrap w:val="0"/>
                  <w:tcMar>
                    <w:top w:w="135" w:type="dxa"/>
                    <w:left w:w="270" w:type="dxa"/>
                    <w:bottom w:w="135" w:type="dxa"/>
                    <w:right w:w="270" w:type="dxa"/>
                  </w:tcMar>
                  <w:vAlign w:val="center"/>
                </w:tcPr>
                <w:p w14:paraId="7CA77BDE">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80-95</w:t>
                  </w:r>
                </w:p>
              </w:tc>
              <w:tc>
                <w:tcPr>
                  <w:tcW w:w="1005" w:type="pct"/>
                  <w:tcBorders>
                    <w:tl2br w:val="nil"/>
                    <w:tr2bl w:val="nil"/>
                  </w:tcBorders>
                  <w:shd w:val="clear" w:color="auto" w:fill="FFFFFF"/>
                  <w:noWrap w:val="0"/>
                  <w:tcMar>
                    <w:top w:w="135" w:type="dxa"/>
                    <w:left w:w="270" w:type="dxa"/>
                    <w:bottom w:w="135" w:type="dxa"/>
                    <w:right w:w="270" w:type="dxa"/>
                  </w:tcMar>
                  <w:vAlign w:val="center"/>
                </w:tcPr>
                <w:p w14:paraId="6D13F3DC">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多轴切削和工具更换噪声</w:t>
                  </w:r>
                </w:p>
              </w:tc>
              <w:tc>
                <w:tcPr>
                  <w:tcW w:w="955" w:type="pct"/>
                  <w:vMerge w:val="continue"/>
                  <w:tcBorders>
                    <w:tl2br w:val="nil"/>
                    <w:tr2bl w:val="nil"/>
                  </w:tcBorders>
                  <w:shd w:val="clear" w:color="auto" w:fill="FFFFFF"/>
                  <w:noWrap w:val="0"/>
                  <w:tcMar>
                    <w:top w:w="135" w:type="dxa"/>
                    <w:left w:w="270" w:type="dxa"/>
                    <w:bottom w:w="135" w:type="dxa"/>
                    <w:right w:w="270" w:type="dxa"/>
                  </w:tcMar>
                  <w:vAlign w:val="center"/>
                </w:tcPr>
                <w:p w14:paraId="4DE1E9DD">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lang w:val="en-US" w:eastAsia="zh-CN" w:bidi="ar"/>
                    </w:rPr>
                  </w:pPr>
                </w:p>
              </w:tc>
              <w:tc>
                <w:tcPr>
                  <w:tcW w:w="713" w:type="pct"/>
                  <w:tcBorders>
                    <w:tl2br w:val="nil"/>
                    <w:tr2bl w:val="nil"/>
                  </w:tcBorders>
                  <w:shd w:val="clear" w:color="auto" w:fill="FFFFFF"/>
                  <w:noWrap w:val="0"/>
                  <w:tcMar>
                    <w:top w:w="135" w:type="dxa"/>
                    <w:left w:w="270" w:type="dxa"/>
                    <w:bottom w:w="135" w:type="dxa"/>
                    <w:right w:w="270" w:type="dxa"/>
                  </w:tcMar>
                  <w:vAlign w:val="center"/>
                </w:tcPr>
                <w:p w14:paraId="30969D2A">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lang w:val="en-US" w:eastAsia="zh-CN" w:bidi="ar"/>
                    </w:rPr>
                  </w:pPr>
                  <w:r>
                    <w:rPr>
                      <w:rFonts w:hint="default" w:ascii="Times New Roman" w:hAnsi="Times New Roman" w:eastAsia="宋体" w:cs="Times New Roman"/>
                      <w:i w:val="0"/>
                      <w:iCs w:val="0"/>
                      <w:caps w:val="0"/>
                      <w:color w:val="auto"/>
                      <w:spacing w:val="0"/>
                      <w:kern w:val="21"/>
                      <w:sz w:val="21"/>
                      <w:szCs w:val="21"/>
                      <w:u w:val="none" w:color="auto"/>
                      <w:shd w:val="clear" w:fill="FFFFFF"/>
                      <w:lang w:val="en-US" w:eastAsia="zh-CN"/>
                    </w:rPr>
                    <w:t>8-10</w:t>
                  </w:r>
                </w:p>
              </w:tc>
            </w:tr>
            <w:tr w14:paraId="6C4FEE6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gridAfter w:val="1"/>
                <w:wAfter w:w="3" w:type="pct"/>
                <w:trHeight w:val="23" w:hRule="atLeast"/>
              </w:trPr>
              <w:tc>
                <w:tcPr>
                  <w:tcW w:w="661" w:type="pct"/>
                  <w:tcBorders>
                    <w:tl2br w:val="nil"/>
                    <w:tr2bl w:val="nil"/>
                  </w:tcBorders>
                  <w:shd w:val="clear" w:color="auto" w:fill="FFFFFF"/>
                  <w:noWrap w:val="0"/>
                  <w:tcMar>
                    <w:top w:w="135" w:type="dxa"/>
                    <w:left w:w="270" w:type="dxa"/>
                    <w:bottom w:w="135" w:type="dxa"/>
                    <w:right w:w="270" w:type="dxa"/>
                  </w:tcMar>
                  <w:vAlign w:val="center"/>
                </w:tcPr>
                <w:p w14:paraId="1A643426">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立式加工中心</w:t>
                  </w:r>
                </w:p>
              </w:tc>
              <w:tc>
                <w:tcPr>
                  <w:tcW w:w="398" w:type="pct"/>
                  <w:tcBorders>
                    <w:tl2br w:val="nil"/>
                    <w:tr2bl w:val="nil"/>
                  </w:tcBorders>
                  <w:shd w:val="clear" w:color="auto" w:fill="FFFFFF"/>
                  <w:noWrap w:val="0"/>
                  <w:tcMar>
                    <w:top w:w="135" w:type="dxa"/>
                    <w:left w:w="270" w:type="dxa"/>
                    <w:bottom w:w="135" w:type="dxa"/>
                    <w:right w:w="270" w:type="dxa"/>
                  </w:tcMar>
                  <w:vAlign w:val="center"/>
                </w:tcPr>
                <w:p w14:paraId="05837F92">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套</w:t>
                  </w:r>
                </w:p>
              </w:tc>
              <w:tc>
                <w:tcPr>
                  <w:tcW w:w="527" w:type="pct"/>
                  <w:tcBorders>
                    <w:tl2br w:val="nil"/>
                    <w:tr2bl w:val="nil"/>
                  </w:tcBorders>
                  <w:shd w:val="clear" w:color="auto" w:fill="FFFFFF"/>
                  <w:noWrap w:val="0"/>
                  <w:tcMar>
                    <w:top w:w="135" w:type="dxa"/>
                    <w:left w:w="270" w:type="dxa"/>
                    <w:bottom w:w="135" w:type="dxa"/>
                    <w:right w:w="270" w:type="dxa"/>
                  </w:tcMar>
                  <w:vAlign w:val="center"/>
                </w:tcPr>
                <w:p w14:paraId="51DB916E">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24</w:t>
                  </w:r>
                </w:p>
              </w:tc>
              <w:tc>
                <w:tcPr>
                  <w:tcW w:w="734" w:type="pct"/>
                  <w:tcBorders>
                    <w:tl2br w:val="nil"/>
                    <w:tr2bl w:val="nil"/>
                  </w:tcBorders>
                  <w:shd w:val="clear" w:color="auto" w:fill="FFFFFF"/>
                  <w:noWrap w:val="0"/>
                  <w:tcMar>
                    <w:top w:w="135" w:type="dxa"/>
                    <w:left w:w="270" w:type="dxa"/>
                    <w:bottom w:w="135" w:type="dxa"/>
                    <w:right w:w="270" w:type="dxa"/>
                  </w:tcMar>
                  <w:vAlign w:val="center"/>
                </w:tcPr>
                <w:p w14:paraId="52E5B620">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80-95</w:t>
                  </w:r>
                </w:p>
              </w:tc>
              <w:tc>
                <w:tcPr>
                  <w:tcW w:w="1005" w:type="pct"/>
                  <w:tcBorders>
                    <w:tl2br w:val="nil"/>
                    <w:tr2bl w:val="nil"/>
                  </w:tcBorders>
                  <w:shd w:val="clear" w:color="auto" w:fill="FFFFFF"/>
                  <w:noWrap w:val="0"/>
                  <w:tcMar>
                    <w:top w:w="135" w:type="dxa"/>
                    <w:left w:w="270" w:type="dxa"/>
                    <w:bottom w:w="135" w:type="dxa"/>
                    <w:right w:w="270" w:type="dxa"/>
                  </w:tcMar>
                  <w:vAlign w:val="center"/>
                </w:tcPr>
                <w:p w14:paraId="283FC442">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同上，数量多可能叠加噪声</w:t>
                  </w:r>
                </w:p>
              </w:tc>
              <w:tc>
                <w:tcPr>
                  <w:tcW w:w="955" w:type="pct"/>
                  <w:vMerge w:val="continue"/>
                  <w:tcBorders>
                    <w:tl2br w:val="nil"/>
                    <w:tr2bl w:val="nil"/>
                  </w:tcBorders>
                  <w:shd w:val="clear" w:color="auto" w:fill="FFFFFF"/>
                  <w:noWrap w:val="0"/>
                  <w:tcMar>
                    <w:top w:w="135" w:type="dxa"/>
                    <w:left w:w="270" w:type="dxa"/>
                    <w:bottom w:w="135" w:type="dxa"/>
                    <w:right w:w="270" w:type="dxa"/>
                  </w:tcMar>
                  <w:vAlign w:val="center"/>
                </w:tcPr>
                <w:p w14:paraId="35D7F92F">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lang w:val="en-US" w:eastAsia="zh-CN" w:bidi="ar"/>
                    </w:rPr>
                  </w:pPr>
                </w:p>
              </w:tc>
              <w:tc>
                <w:tcPr>
                  <w:tcW w:w="713" w:type="pct"/>
                  <w:tcBorders>
                    <w:tl2br w:val="nil"/>
                    <w:tr2bl w:val="nil"/>
                  </w:tcBorders>
                  <w:shd w:val="clear" w:color="auto" w:fill="FFFFFF"/>
                  <w:noWrap w:val="0"/>
                  <w:tcMar>
                    <w:top w:w="135" w:type="dxa"/>
                    <w:left w:w="270" w:type="dxa"/>
                    <w:bottom w:w="135" w:type="dxa"/>
                    <w:right w:w="270" w:type="dxa"/>
                  </w:tcMar>
                  <w:vAlign w:val="center"/>
                </w:tcPr>
                <w:p w14:paraId="28A9DFEF">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lang w:val="en-US" w:eastAsia="zh-CN" w:bidi="ar"/>
                    </w:rPr>
                  </w:pPr>
                  <w:r>
                    <w:rPr>
                      <w:rFonts w:hint="default" w:ascii="Times New Roman" w:hAnsi="Times New Roman" w:eastAsia="宋体" w:cs="Times New Roman"/>
                      <w:i w:val="0"/>
                      <w:iCs w:val="0"/>
                      <w:caps w:val="0"/>
                      <w:color w:val="auto"/>
                      <w:spacing w:val="0"/>
                      <w:kern w:val="21"/>
                      <w:sz w:val="21"/>
                      <w:szCs w:val="21"/>
                      <w:u w:val="none" w:color="auto"/>
                      <w:shd w:val="clear" w:fill="FFFFFF"/>
                      <w:lang w:val="en-US" w:eastAsia="zh-CN"/>
                    </w:rPr>
                    <w:t>8-10</w:t>
                  </w:r>
                </w:p>
              </w:tc>
            </w:tr>
            <w:tr w14:paraId="3F830E6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gridAfter w:val="1"/>
                <w:wAfter w:w="3" w:type="pct"/>
                <w:trHeight w:val="23" w:hRule="atLeast"/>
              </w:trPr>
              <w:tc>
                <w:tcPr>
                  <w:tcW w:w="661" w:type="pct"/>
                  <w:tcBorders>
                    <w:tl2br w:val="nil"/>
                    <w:tr2bl w:val="nil"/>
                  </w:tcBorders>
                  <w:shd w:val="clear" w:color="auto" w:fill="FFFFFF"/>
                  <w:noWrap w:val="0"/>
                  <w:tcMar>
                    <w:top w:w="135" w:type="dxa"/>
                    <w:left w:w="270" w:type="dxa"/>
                    <w:bottom w:w="135" w:type="dxa"/>
                    <w:right w:w="270" w:type="dxa"/>
                  </w:tcMar>
                  <w:vAlign w:val="center"/>
                </w:tcPr>
                <w:p w14:paraId="24B218A9">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立式加工中心</w:t>
                  </w:r>
                </w:p>
              </w:tc>
              <w:tc>
                <w:tcPr>
                  <w:tcW w:w="398" w:type="pct"/>
                  <w:tcBorders>
                    <w:tl2br w:val="nil"/>
                    <w:tr2bl w:val="nil"/>
                  </w:tcBorders>
                  <w:shd w:val="clear" w:color="auto" w:fill="FFFFFF"/>
                  <w:noWrap w:val="0"/>
                  <w:tcMar>
                    <w:top w:w="135" w:type="dxa"/>
                    <w:left w:w="270" w:type="dxa"/>
                    <w:bottom w:w="135" w:type="dxa"/>
                    <w:right w:w="270" w:type="dxa"/>
                  </w:tcMar>
                  <w:vAlign w:val="center"/>
                </w:tcPr>
                <w:p w14:paraId="2A3DB4C9">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套</w:t>
                  </w:r>
                </w:p>
              </w:tc>
              <w:tc>
                <w:tcPr>
                  <w:tcW w:w="527" w:type="pct"/>
                  <w:tcBorders>
                    <w:tl2br w:val="nil"/>
                    <w:tr2bl w:val="nil"/>
                  </w:tcBorders>
                  <w:shd w:val="clear" w:color="auto" w:fill="FFFFFF"/>
                  <w:noWrap w:val="0"/>
                  <w:tcMar>
                    <w:top w:w="135" w:type="dxa"/>
                    <w:left w:w="270" w:type="dxa"/>
                    <w:bottom w:w="135" w:type="dxa"/>
                    <w:right w:w="270" w:type="dxa"/>
                  </w:tcMar>
                  <w:vAlign w:val="center"/>
                </w:tcPr>
                <w:p w14:paraId="4CF93BFF">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2</w:t>
                  </w:r>
                </w:p>
              </w:tc>
              <w:tc>
                <w:tcPr>
                  <w:tcW w:w="734" w:type="pct"/>
                  <w:tcBorders>
                    <w:tl2br w:val="nil"/>
                    <w:tr2bl w:val="nil"/>
                  </w:tcBorders>
                  <w:shd w:val="clear" w:color="auto" w:fill="FFFFFF"/>
                  <w:noWrap w:val="0"/>
                  <w:tcMar>
                    <w:top w:w="135" w:type="dxa"/>
                    <w:left w:w="270" w:type="dxa"/>
                    <w:bottom w:w="135" w:type="dxa"/>
                    <w:right w:w="270" w:type="dxa"/>
                  </w:tcMar>
                  <w:vAlign w:val="center"/>
                </w:tcPr>
                <w:p w14:paraId="6C4554A3">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80-95</w:t>
                  </w:r>
                </w:p>
              </w:tc>
              <w:tc>
                <w:tcPr>
                  <w:tcW w:w="1005" w:type="pct"/>
                  <w:tcBorders>
                    <w:tl2br w:val="nil"/>
                    <w:tr2bl w:val="nil"/>
                  </w:tcBorders>
                  <w:shd w:val="clear" w:color="auto" w:fill="FFFFFF"/>
                  <w:noWrap w:val="0"/>
                  <w:tcMar>
                    <w:top w:w="135" w:type="dxa"/>
                    <w:left w:w="270" w:type="dxa"/>
                    <w:bottom w:w="135" w:type="dxa"/>
                    <w:right w:w="270" w:type="dxa"/>
                  </w:tcMar>
                  <w:vAlign w:val="center"/>
                </w:tcPr>
                <w:p w14:paraId="1BE4466A">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同上</w:t>
                  </w:r>
                </w:p>
              </w:tc>
              <w:tc>
                <w:tcPr>
                  <w:tcW w:w="955" w:type="pct"/>
                  <w:vMerge w:val="continue"/>
                  <w:tcBorders>
                    <w:tl2br w:val="nil"/>
                    <w:tr2bl w:val="nil"/>
                  </w:tcBorders>
                  <w:shd w:val="clear" w:color="auto" w:fill="FFFFFF"/>
                  <w:noWrap w:val="0"/>
                  <w:tcMar>
                    <w:top w:w="135" w:type="dxa"/>
                    <w:left w:w="270" w:type="dxa"/>
                    <w:bottom w:w="135" w:type="dxa"/>
                    <w:right w:w="270" w:type="dxa"/>
                  </w:tcMar>
                  <w:vAlign w:val="center"/>
                </w:tcPr>
                <w:p w14:paraId="4A5ED46C">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lang w:val="en-US" w:eastAsia="zh-CN" w:bidi="ar"/>
                    </w:rPr>
                  </w:pPr>
                </w:p>
              </w:tc>
              <w:tc>
                <w:tcPr>
                  <w:tcW w:w="713" w:type="pct"/>
                  <w:tcBorders>
                    <w:tl2br w:val="nil"/>
                    <w:tr2bl w:val="nil"/>
                  </w:tcBorders>
                  <w:shd w:val="clear" w:color="auto" w:fill="FFFFFF"/>
                  <w:noWrap w:val="0"/>
                  <w:tcMar>
                    <w:top w:w="135" w:type="dxa"/>
                    <w:left w:w="270" w:type="dxa"/>
                    <w:bottom w:w="135" w:type="dxa"/>
                    <w:right w:w="270" w:type="dxa"/>
                  </w:tcMar>
                  <w:vAlign w:val="center"/>
                </w:tcPr>
                <w:p w14:paraId="2A1CAB3D">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lang w:val="en-US" w:eastAsia="zh-CN" w:bidi="ar"/>
                    </w:rPr>
                  </w:pPr>
                  <w:r>
                    <w:rPr>
                      <w:rFonts w:hint="default" w:ascii="Times New Roman" w:hAnsi="Times New Roman" w:eastAsia="宋体" w:cs="Times New Roman"/>
                      <w:i w:val="0"/>
                      <w:iCs w:val="0"/>
                      <w:caps w:val="0"/>
                      <w:color w:val="auto"/>
                      <w:spacing w:val="0"/>
                      <w:kern w:val="21"/>
                      <w:sz w:val="21"/>
                      <w:szCs w:val="21"/>
                      <w:u w:val="none" w:color="auto"/>
                      <w:shd w:val="clear" w:fill="FFFFFF"/>
                      <w:lang w:val="en-US" w:eastAsia="zh-CN"/>
                    </w:rPr>
                    <w:t>8-10</w:t>
                  </w:r>
                </w:p>
              </w:tc>
            </w:tr>
            <w:tr w14:paraId="5034822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gridAfter w:val="1"/>
                <w:wAfter w:w="3" w:type="pct"/>
                <w:trHeight w:val="23" w:hRule="atLeast"/>
              </w:trPr>
              <w:tc>
                <w:tcPr>
                  <w:tcW w:w="661" w:type="pct"/>
                  <w:tcBorders>
                    <w:tl2br w:val="nil"/>
                    <w:tr2bl w:val="nil"/>
                  </w:tcBorders>
                  <w:shd w:val="clear" w:color="auto" w:fill="FFFFFF"/>
                  <w:noWrap w:val="0"/>
                  <w:tcMar>
                    <w:top w:w="135" w:type="dxa"/>
                    <w:left w:w="270" w:type="dxa"/>
                    <w:bottom w:w="135" w:type="dxa"/>
                    <w:right w:w="270" w:type="dxa"/>
                  </w:tcMar>
                  <w:vAlign w:val="center"/>
                </w:tcPr>
                <w:p w14:paraId="49D1DBF1">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水冷机</w:t>
                  </w:r>
                </w:p>
              </w:tc>
              <w:tc>
                <w:tcPr>
                  <w:tcW w:w="398" w:type="pct"/>
                  <w:tcBorders>
                    <w:tl2br w:val="nil"/>
                    <w:tr2bl w:val="nil"/>
                  </w:tcBorders>
                  <w:shd w:val="clear" w:color="auto" w:fill="FFFFFF"/>
                  <w:noWrap w:val="0"/>
                  <w:tcMar>
                    <w:top w:w="135" w:type="dxa"/>
                    <w:left w:w="270" w:type="dxa"/>
                    <w:bottom w:w="135" w:type="dxa"/>
                    <w:right w:w="270" w:type="dxa"/>
                  </w:tcMar>
                  <w:vAlign w:val="center"/>
                </w:tcPr>
                <w:p w14:paraId="22D1DAD5">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套</w:t>
                  </w:r>
                </w:p>
              </w:tc>
              <w:tc>
                <w:tcPr>
                  <w:tcW w:w="527" w:type="pct"/>
                  <w:tcBorders>
                    <w:tl2br w:val="nil"/>
                    <w:tr2bl w:val="nil"/>
                  </w:tcBorders>
                  <w:shd w:val="clear" w:color="auto" w:fill="FFFFFF"/>
                  <w:noWrap w:val="0"/>
                  <w:tcMar>
                    <w:top w:w="135" w:type="dxa"/>
                    <w:left w:w="270" w:type="dxa"/>
                    <w:bottom w:w="135" w:type="dxa"/>
                    <w:right w:w="270" w:type="dxa"/>
                  </w:tcMar>
                  <w:vAlign w:val="center"/>
                </w:tcPr>
                <w:p w14:paraId="7A60F088">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33</w:t>
                  </w:r>
                </w:p>
              </w:tc>
              <w:tc>
                <w:tcPr>
                  <w:tcW w:w="734" w:type="pct"/>
                  <w:tcBorders>
                    <w:tl2br w:val="nil"/>
                    <w:tr2bl w:val="nil"/>
                  </w:tcBorders>
                  <w:shd w:val="clear" w:color="auto" w:fill="FFFFFF"/>
                  <w:noWrap w:val="0"/>
                  <w:tcMar>
                    <w:top w:w="135" w:type="dxa"/>
                    <w:left w:w="270" w:type="dxa"/>
                    <w:bottom w:w="135" w:type="dxa"/>
                    <w:right w:w="270" w:type="dxa"/>
                  </w:tcMar>
                  <w:vAlign w:val="center"/>
                </w:tcPr>
                <w:p w14:paraId="5A851366">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70-85</w:t>
                  </w:r>
                </w:p>
              </w:tc>
              <w:tc>
                <w:tcPr>
                  <w:tcW w:w="1005" w:type="pct"/>
                  <w:tcBorders>
                    <w:tl2br w:val="nil"/>
                    <w:tr2bl w:val="nil"/>
                  </w:tcBorders>
                  <w:shd w:val="clear" w:color="auto" w:fill="FFFFFF"/>
                  <w:noWrap w:val="0"/>
                  <w:tcMar>
                    <w:top w:w="135" w:type="dxa"/>
                    <w:left w:w="270" w:type="dxa"/>
                    <w:bottom w:w="135" w:type="dxa"/>
                    <w:right w:w="270" w:type="dxa"/>
                  </w:tcMar>
                  <w:vAlign w:val="center"/>
                </w:tcPr>
                <w:p w14:paraId="4E0F1A82">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水泵和制冷压缩机噪声</w:t>
                  </w:r>
                </w:p>
              </w:tc>
              <w:tc>
                <w:tcPr>
                  <w:tcW w:w="955" w:type="pct"/>
                  <w:tcBorders>
                    <w:tl2br w:val="nil"/>
                    <w:tr2bl w:val="nil"/>
                  </w:tcBorders>
                  <w:shd w:val="clear" w:color="auto" w:fill="FFFFFF"/>
                  <w:noWrap w:val="0"/>
                  <w:tcMar>
                    <w:top w:w="135" w:type="dxa"/>
                    <w:left w:w="270" w:type="dxa"/>
                    <w:bottom w:w="135" w:type="dxa"/>
                    <w:right w:w="270" w:type="dxa"/>
                  </w:tcMar>
                  <w:vAlign w:val="center"/>
                </w:tcPr>
                <w:p w14:paraId="087C202E">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lang w:val="en-US" w:eastAsia="zh-CN" w:bidi="ar"/>
                    </w:rPr>
                  </w:pPr>
                  <w:r>
                    <w:rPr>
                      <w:rFonts w:hint="default" w:ascii="Times New Roman" w:hAnsi="Times New Roman" w:eastAsia="宋体" w:cs="Times New Roman"/>
                      <w:color w:val="auto"/>
                      <w:kern w:val="21"/>
                      <w:sz w:val="21"/>
                      <w:szCs w:val="21"/>
                      <w:u w:val="none" w:color="auto"/>
                      <w:lang w:val="en-US" w:eastAsia="zh-CN" w:bidi="ar"/>
                    </w:rPr>
                    <w:t>低噪声设备、</w:t>
                  </w:r>
                  <w:r>
                    <w:rPr>
                      <w:rFonts w:hint="default" w:ascii="Times New Roman" w:hAnsi="Times New Roman" w:eastAsia="宋体" w:cs="Times New Roman"/>
                      <w:i w:val="0"/>
                      <w:iCs w:val="0"/>
                      <w:caps w:val="0"/>
                      <w:color w:val="auto"/>
                      <w:spacing w:val="0"/>
                      <w:kern w:val="21"/>
                      <w:sz w:val="21"/>
                      <w:szCs w:val="21"/>
                      <w:u w:val="none" w:color="auto"/>
                      <w:lang w:val="en-US" w:eastAsia="zh-CN" w:bidi="ar"/>
                    </w:rPr>
                    <w:t>水泵隔声箱</w:t>
                  </w:r>
                </w:p>
              </w:tc>
              <w:tc>
                <w:tcPr>
                  <w:tcW w:w="713" w:type="pct"/>
                  <w:tcBorders>
                    <w:tl2br w:val="nil"/>
                    <w:tr2bl w:val="nil"/>
                  </w:tcBorders>
                  <w:shd w:val="clear" w:color="auto" w:fill="FFFFFF"/>
                  <w:noWrap w:val="0"/>
                  <w:tcMar>
                    <w:top w:w="135" w:type="dxa"/>
                    <w:left w:w="270" w:type="dxa"/>
                    <w:bottom w:w="135" w:type="dxa"/>
                    <w:right w:w="270" w:type="dxa"/>
                  </w:tcMar>
                  <w:vAlign w:val="center"/>
                </w:tcPr>
                <w:p w14:paraId="7FEE48F8">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lang w:val="en-US" w:eastAsia="zh-CN" w:bidi="ar"/>
                    </w:rPr>
                  </w:pPr>
                  <w:r>
                    <w:rPr>
                      <w:rFonts w:hint="default" w:ascii="Times New Roman" w:hAnsi="Times New Roman" w:eastAsia="宋体" w:cs="Times New Roman"/>
                      <w:i w:val="0"/>
                      <w:iCs w:val="0"/>
                      <w:caps w:val="0"/>
                      <w:color w:val="auto"/>
                      <w:spacing w:val="0"/>
                      <w:kern w:val="21"/>
                      <w:sz w:val="21"/>
                      <w:szCs w:val="21"/>
                      <w:u w:val="none" w:color="auto"/>
                      <w:shd w:val="clear" w:fill="FFFFFF"/>
                      <w:lang w:val="en-US" w:eastAsia="zh-CN"/>
                    </w:rPr>
                    <w:t>8-10</w:t>
                  </w:r>
                </w:p>
              </w:tc>
            </w:tr>
            <w:tr w14:paraId="40A6055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gridAfter w:val="1"/>
                <w:wAfter w:w="3" w:type="pct"/>
                <w:trHeight w:val="23" w:hRule="atLeast"/>
              </w:trPr>
              <w:tc>
                <w:tcPr>
                  <w:tcW w:w="661" w:type="pct"/>
                  <w:tcBorders>
                    <w:tl2br w:val="nil"/>
                    <w:tr2bl w:val="nil"/>
                  </w:tcBorders>
                  <w:shd w:val="clear" w:color="auto" w:fill="FFFFFF"/>
                  <w:noWrap w:val="0"/>
                  <w:tcMar>
                    <w:top w:w="135" w:type="dxa"/>
                    <w:left w:w="270" w:type="dxa"/>
                    <w:bottom w:w="135" w:type="dxa"/>
                    <w:right w:w="270" w:type="dxa"/>
                  </w:tcMar>
                  <w:vAlign w:val="center"/>
                </w:tcPr>
                <w:p w14:paraId="754BC68C">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搅拌摩擦焊</w:t>
                  </w:r>
                </w:p>
              </w:tc>
              <w:tc>
                <w:tcPr>
                  <w:tcW w:w="398" w:type="pct"/>
                  <w:tcBorders>
                    <w:tl2br w:val="nil"/>
                    <w:tr2bl w:val="nil"/>
                  </w:tcBorders>
                  <w:shd w:val="clear" w:color="auto" w:fill="FFFFFF"/>
                  <w:noWrap w:val="0"/>
                  <w:tcMar>
                    <w:top w:w="135" w:type="dxa"/>
                    <w:left w:w="270" w:type="dxa"/>
                    <w:bottom w:w="135" w:type="dxa"/>
                    <w:right w:w="270" w:type="dxa"/>
                  </w:tcMar>
                  <w:vAlign w:val="center"/>
                </w:tcPr>
                <w:p w14:paraId="758BACA0">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套</w:t>
                  </w:r>
                </w:p>
              </w:tc>
              <w:tc>
                <w:tcPr>
                  <w:tcW w:w="527" w:type="pct"/>
                  <w:tcBorders>
                    <w:tl2br w:val="nil"/>
                    <w:tr2bl w:val="nil"/>
                  </w:tcBorders>
                  <w:shd w:val="clear" w:color="auto" w:fill="FFFFFF"/>
                  <w:noWrap w:val="0"/>
                  <w:tcMar>
                    <w:top w:w="135" w:type="dxa"/>
                    <w:left w:w="270" w:type="dxa"/>
                    <w:bottom w:w="135" w:type="dxa"/>
                    <w:right w:w="270" w:type="dxa"/>
                  </w:tcMar>
                  <w:vAlign w:val="center"/>
                </w:tcPr>
                <w:p w14:paraId="1E7E5DE4">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6</w:t>
                  </w:r>
                </w:p>
              </w:tc>
              <w:tc>
                <w:tcPr>
                  <w:tcW w:w="734" w:type="pct"/>
                  <w:tcBorders>
                    <w:tl2br w:val="nil"/>
                    <w:tr2bl w:val="nil"/>
                  </w:tcBorders>
                  <w:shd w:val="clear" w:color="auto" w:fill="FFFFFF"/>
                  <w:noWrap w:val="0"/>
                  <w:tcMar>
                    <w:top w:w="135" w:type="dxa"/>
                    <w:left w:w="270" w:type="dxa"/>
                    <w:bottom w:w="135" w:type="dxa"/>
                    <w:right w:w="270" w:type="dxa"/>
                  </w:tcMar>
                  <w:vAlign w:val="center"/>
                </w:tcPr>
                <w:p w14:paraId="7A9EFE53">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85-100</w:t>
                  </w:r>
                </w:p>
              </w:tc>
              <w:tc>
                <w:tcPr>
                  <w:tcW w:w="1005" w:type="pct"/>
                  <w:tcBorders>
                    <w:tl2br w:val="nil"/>
                    <w:tr2bl w:val="nil"/>
                  </w:tcBorders>
                  <w:shd w:val="clear" w:color="auto" w:fill="FFFFFF"/>
                  <w:noWrap w:val="0"/>
                  <w:tcMar>
                    <w:top w:w="135" w:type="dxa"/>
                    <w:left w:w="270" w:type="dxa"/>
                    <w:bottom w:w="135" w:type="dxa"/>
                    <w:right w:w="270" w:type="dxa"/>
                  </w:tcMar>
                  <w:vAlign w:val="center"/>
                </w:tcPr>
                <w:p w14:paraId="3A250366">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高摩擦和振动噪声（焊接过程特有）</w:t>
                  </w:r>
                </w:p>
              </w:tc>
              <w:tc>
                <w:tcPr>
                  <w:tcW w:w="955" w:type="pct"/>
                  <w:tcBorders>
                    <w:tl2br w:val="nil"/>
                    <w:tr2bl w:val="nil"/>
                  </w:tcBorders>
                  <w:shd w:val="clear" w:color="auto" w:fill="FFFFFF"/>
                  <w:noWrap w:val="0"/>
                  <w:tcMar>
                    <w:top w:w="135" w:type="dxa"/>
                    <w:left w:w="270" w:type="dxa"/>
                    <w:bottom w:w="135" w:type="dxa"/>
                    <w:right w:w="270" w:type="dxa"/>
                  </w:tcMar>
                  <w:vAlign w:val="center"/>
                </w:tcPr>
                <w:p w14:paraId="45868AB6">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lang w:val="en-US" w:eastAsia="zh-CN" w:bidi="ar"/>
                    </w:rPr>
                  </w:pPr>
                  <w:r>
                    <w:rPr>
                      <w:rFonts w:hint="default" w:ascii="Times New Roman" w:hAnsi="Times New Roman" w:eastAsia="宋体" w:cs="Times New Roman"/>
                      <w:color w:val="auto"/>
                      <w:kern w:val="21"/>
                      <w:sz w:val="21"/>
                      <w:szCs w:val="21"/>
                      <w:u w:val="none" w:color="auto"/>
                      <w:lang w:val="en-US" w:eastAsia="zh-CN" w:bidi="ar"/>
                    </w:rPr>
                    <w:t>焊头吸声包覆、地基隔振沟</w:t>
                  </w:r>
                </w:p>
              </w:tc>
              <w:tc>
                <w:tcPr>
                  <w:tcW w:w="713" w:type="pct"/>
                  <w:tcBorders>
                    <w:tl2br w:val="nil"/>
                    <w:tr2bl w:val="nil"/>
                  </w:tcBorders>
                  <w:shd w:val="clear" w:color="auto" w:fill="FFFFFF"/>
                  <w:noWrap w:val="0"/>
                  <w:tcMar>
                    <w:top w:w="135" w:type="dxa"/>
                    <w:left w:w="270" w:type="dxa"/>
                    <w:bottom w:w="135" w:type="dxa"/>
                    <w:right w:w="270" w:type="dxa"/>
                  </w:tcMar>
                  <w:vAlign w:val="center"/>
                </w:tcPr>
                <w:p w14:paraId="2637D910">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lang w:val="en-US" w:eastAsia="zh-CN" w:bidi="ar"/>
                    </w:rPr>
                  </w:pPr>
                  <w:r>
                    <w:rPr>
                      <w:rFonts w:hint="default" w:ascii="Times New Roman" w:hAnsi="Times New Roman" w:eastAsia="宋体" w:cs="Times New Roman"/>
                      <w:color w:val="auto"/>
                      <w:kern w:val="21"/>
                      <w:sz w:val="21"/>
                      <w:szCs w:val="21"/>
                      <w:u w:val="none" w:color="auto"/>
                      <w:lang w:val="en-US" w:eastAsia="zh-CN" w:bidi="ar"/>
                    </w:rPr>
                    <w:t>10-12</w:t>
                  </w:r>
                </w:p>
              </w:tc>
            </w:tr>
            <w:tr w14:paraId="0DB3718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gridAfter w:val="1"/>
                <w:wAfter w:w="3" w:type="pct"/>
                <w:trHeight w:val="23" w:hRule="atLeast"/>
              </w:trPr>
              <w:tc>
                <w:tcPr>
                  <w:tcW w:w="661" w:type="pct"/>
                  <w:tcBorders>
                    <w:tl2br w:val="nil"/>
                    <w:tr2bl w:val="nil"/>
                  </w:tcBorders>
                  <w:shd w:val="clear" w:color="auto" w:fill="FFFFFF"/>
                  <w:noWrap w:val="0"/>
                  <w:tcMar>
                    <w:top w:w="135" w:type="dxa"/>
                    <w:left w:w="270" w:type="dxa"/>
                    <w:bottom w:w="135" w:type="dxa"/>
                    <w:right w:w="270" w:type="dxa"/>
                  </w:tcMar>
                  <w:vAlign w:val="center"/>
                </w:tcPr>
                <w:p w14:paraId="066249C3">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lang w:val="en-US" w:eastAsia="zh-CN" w:bidi="ar"/>
                    </w:rPr>
                  </w:pPr>
                  <w:r>
                    <w:rPr>
                      <w:rFonts w:hint="default" w:ascii="Times New Roman" w:hAnsi="Times New Roman" w:eastAsia="宋体" w:cs="Times New Roman"/>
                      <w:color w:val="auto"/>
                      <w:kern w:val="21"/>
                      <w:sz w:val="21"/>
                      <w:szCs w:val="21"/>
                      <w:u w:val="none" w:color="auto"/>
                      <w:lang w:val="en-US" w:eastAsia="zh-CN" w:bidi="ar"/>
                    </w:rPr>
                    <w:t>空压站泵机</w:t>
                  </w:r>
                </w:p>
              </w:tc>
              <w:tc>
                <w:tcPr>
                  <w:tcW w:w="398" w:type="pct"/>
                  <w:tcBorders>
                    <w:tl2br w:val="nil"/>
                    <w:tr2bl w:val="nil"/>
                  </w:tcBorders>
                  <w:shd w:val="clear" w:color="auto" w:fill="FFFFFF"/>
                  <w:noWrap w:val="0"/>
                  <w:tcMar>
                    <w:top w:w="135" w:type="dxa"/>
                    <w:left w:w="270" w:type="dxa"/>
                    <w:bottom w:w="135" w:type="dxa"/>
                    <w:right w:w="270" w:type="dxa"/>
                  </w:tcMar>
                  <w:vAlign w:val="center"/>
                </w:tcPr>
                <w:p w14:paraId="77571AA5">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lang w:val="en-US" w:eastAsia="zh-CN" w:bidi="ar"/>
                    </w:rPr>
                  </w:pPr>
                  <w:r>
                    <w:rPr>
                      <w:rFonts w:hint="default" w:ascii="Times New Roman" w:hAnsi="Times New Roman" w:eastAsia="宋体" w:cs="Times New Roman"/>
                      <w:color w:val="auto"/>
                      <w:kern w:val="21"/>
                      <w:sz w:val="21"/>
                      <w:szCs w:val="21"/>
                      <w:u w:val="none" w:color="auto"/>
                      <w:lang w:val="en-US" w:eastAsia="zh-CN" w:bidi="ar"/>
                    </w:rPr>
                    <w:t>套</w:t>
                  </w:r>
                </w:p>
              </w:tc>
              <w:tc>
                <w:tcPr>
                  <w:tcW w:w="527" w:type="pct"/>
                  <w:tcBorders>
                    <w:tl2br w:val="nil"/>
                    <w:tr2bl w:val="nil"/>
                  </w:tcBorders>
                  <w:shd w:val="clear" w:color="auto" w:fill="FFFFFF"/>
                  <w:noWrap w:val="0"/>
                  <w:tcMar>
                    <w:top w:w="135" w:type="dxa"/>
                    <w:left w:w="270" w:type="dxa"/>
                    <w:bottom w:w="135" w:type="dxa"/>
                    <w:right w:w="270" w:type="dxa"/>
                  </w:tcMar>
                  <w:vAlign w:val="center"/>
                </w:tcPr>
                <w:p w14:paraId="49F9A33D">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lang w:val="en-US" w:eastAsia="zh-CN" w:bidi="ar"/>
                    </w:rPr>
                  </w:pPr>
                  <w:r>
                    <w:rPr>
                      <w:rFonts w:hint="default" w:ascii="Times New Roman" w:hAnsi="Times New Roman" w:eastAsia="宋体" w:cs="Times New Roman"/>
                      <w:color w:val="auto"/>
                      <w:kern w:val="21"/>
                      <w:sz w:val="21"/>
                      <w:szCs w:val="21"/>
                      <w:u w:val="none" w:color="auto"/>
                      <w:lang w:val="en-US" w:eastAsia="zh-CN" w:bidi="ar"/>
                    </w:rPr>
                    <w:t>1</w:t>
                  </w:r>
                </w:p>
              </w:tc>
              <w:tc>
                <w:tcPr>
                  <w:tcW w:w="734" w:type="pct"/>
                  <w:tcBorders>
                    <w:tl2br w:val="nil"/>
                    <w:tr2bl w:val="nil"/>
                  </w:tcBorders>
                  <w:shd w:val="clear" w:color="auto" w:fill="FFFFFF"/>
                  <w:noWrap w:val="0"/>
                  <w:tcMar>
                    <w:top w:w="135" w:type="dxa"/>
                    <w:left w:w="270" w:type="dxa"/>
                    <w:bottom w:w="135" w:type="dxa"/>
                    <w:right w:w="270" w:type="dxa"/>
                  </w:tcMar>
                  <w:vAlign w:val="center"/>
                </w:tcPr>
                <w:p w14:paraId="50628963">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kern w:val="21"/>
                      <w:sz w:val="21"/>
                      <w:szCs w:val="21"/>
                      <w:u w:val="none" w:color="auto"/>
                      <w:lang w:val="en-US" w:eastAsia="zh-CN" w:bidi="ar-SA"/>
                    </w:rPr>
                  </w:pPr>
                  <w:r>
                    <w:rPr>
                      <w:rFonts w:hint="default" w:ascii="Times New Roman" w:hAnsi="Times New Roman" w:eastAsia="宋体" w:cs="Times New Roman"/>
                      <w:color w:val="auto"/>
                      <w:kern w:val="21"/>
                      <w:sz w:val="21"/>
                      <w:szCs w:val="21"/>
                      <w:u w:val="none" w:color="auto"/>
                      <w:lang w:val="en-US" w:eastAsia="zh-CN" w:bidi="ar"/>
                    </w:rPr>
                    <w:t>70-85</w:t>
                  </w:r>
                </w:p>
              </w:tc>
              <w:tc>
                <w:tcPr>
                  <w:tcW w:w="1005" w:type="pct"/>
                  <w:tcBorders>
                    <w:tl2br w:val="nil"/>
                    <w:tr2bl w:val="nil"/>
                  </w:tcBorders>
                  <w:shd w:val="clear" w:color="auto" w:fill="FFFFFF"/>
                  <w:noWrap w:val="0"/>
                  <w:tcMar>
                    <w:top w:w="135" w:type="dxa"/>
                    <w:left w:w="270" w:type="dxa"/>
                    <w:bottom w:w="135" w:type="dxa"/>
                    <w:right w:w="270" w:type="dxa"/>
                  </w:tcMar>
                  <w:vAlign w:val="center"/>
                </w:tcPr>
                <w:p w14:paraId="5C789A5D">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kern w:val="21"/>
                      <w:sz w:val="21"/>
                      <w:szCs w:val="21"/>
                      <w:u w:val="none" w:color="auto"/>
                      <w:lang w:val="en-US" w:eastAsia="zh-CN" w:bidi="ar-SA"/>
                    </w:rPr>
                  </w:pPr>
                  <w:r>
                    <w:rPr>
                      <w:rFonts w:hint="default" w:ascii="Times New Roman" w:hAnsi="Times New Roman" w:eastAsia="宋体" w:cs="Times New Roman"/>
                      <w:color w:val="auto"/>
                      <w:kern w:val="21"/>
                      <w:sz w:val="21"/>
                      <w:szCs w:val="21"/>
                      <w:u w:val="none" w:color="auto"/>
                      <w:lang w:val="en-US" w:eastAsia="zh-CN" w:bidi="ar"/>
                    </w:rPr>
                    <w:t>泵机、风机等噪声</w:t>
                  </w:r>
                </w:p>
              </w:tc>
              <w:tc>
                <w:tcPr>
                  <w:tcW w:w="955" w:type="pct"/>
                  <w:tcBorders>
                    <w:tl2br w:val="nil"/>
                    <w:tr2bl w:val="nil"/>
                  </w:tcBorders>
                  <w:shd w:val="clear" w:color="auto" w:fill="FFFFFF"/>
                  <w:noWrap w:val="0"/>
                  <w:tcMar>
                    <w:top w:w="135" w:type="dxa"/>
                    <w:left w:w="270" w:type="dxa"/>
                    <w:bottom w:w="135" w:type="dxa"/>
                    <w:right w:w="270" w:type="dxa"/>
                  </w:tcMar>
                  <w:vAlign w:val="center"/>
                </w:tcPr>
                <w:p w14:paraId="6511236B">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kern w:val="21"/>
                      <w:sz w:val="21"/>
                      <w:szCs w:val="21"/>
                      <w:u w:val="none" w:color="auto"/>
                      <w:lang w:val="en-US" w:eastAsia="zh-CN" w:bidi="ar"/>
                    </w:rPr>
                  </w:pPr>
                  <w:r>
                    <w:rPr>
                      <w:rFonts w:hint="default" w:ascii="Times New Roman" w:hAnsi="Times New Roman" w:eastAsia="宋体" w:cs="Times New Roman"/>
                      <w:color w:val="auto"/>
                      <w:kern w:val="21"/>
                      <w:sz w:val="21"/>
                      <w:szCs w:val="21"/>
                      <w:u w:val="none" w:color="auto"/>
                      <w:lang w:val="en-US" w:eastAsia="zh-CN" w:bidi="ar"/>
                    </w:rPr>
                    <w:t>低噪声设备、</w:t>
                  </w:r>
                  <w:r>
                    <w:rPr>
                      <w:rFonts w:hint="default" w:ascii="Times New Roman" w:hAnsi="Times New Roman" w:eastAsia="宋体" w:cs="Times New Roman"/>
                      <w:i w:val="0"/>
                      <w:iCs w:val="0"/>
                      <w:caps w:val="0"/>
                      <w:color w:val="auto"/>
                      <w:spacing w:val="0"/>
                      <w:kern w:val="21"/>
                      <w:sz w:val="21"/>
                      <w:szCs w:val="21"/>
                      <w:u w:val="none" w:color="auto"/>
                      <w:lang w:val="en-US" w:eastAsia="zh-CN" w:bidi="ar"/>
                    </w:rPr>
                    <w:t>泵机隔声箱</w:t>
                  </w:r>
                </w:p>
              </w:tc>
              <w:tc>
                <w:tcPr>
                  <w:tcW w:w="713" w:type="pct"/>
                  <w:tcBorders>
                    <w:tl2br w:val="nil"/>
                    <w:tr2bl w:val="nil"/>
                  </w:tcBorders>
                  <w:shd w:val="clear" w:color="auto" w:fill="FFFFFF"/>
                  <w:noWrap w:val="0"/>
                  <w:tcMar>
                    <w:top w:w="135" w:type="dxa"/>
                    <w:left w:w="270" w:type="dxa"/>
                    <w:bottom w:w="135" w:type="dxa"/>
                    <w:right w:w="270" w:type="dxa"/>
                  </w:tcMar>
                  <w:vAlign w:val="center"/>
                </w:tcPr>
                <w:p w14:paraId="7F241793">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kern w:val="21"/>
                      <w:sz w:val="21"/>
                      <w:szCs w:val="21"/>
                      <w:u w:val="none" w:color="auto"/>
                      <w:lang w:val="en-US" w:eastAsia="zh-CN" w:bidi="ar"/>
                    </w:rPr>
                  </w:pPr>
                  <w:r>
                    <w:rPr>
                      <w:rFonts w:hint="default" w:ascii="Times New Roman" w:hAnsi="Times New Roman" w:eastAsia="宋体" w:cs="Times New Roman"/>
                      <w:i w:val="0"/>
                      <w:iCs w:val="0"/>
                      <w:caps w:val="0"/>
                      <w:color w:val="auto"/>
                      <w:spacing w:val="0"/>
                      <w:kern w:val="21"/>
                      <w:sz w:val="21"/>
                      <w:szCs w:val="21"/>
                      <w:u w:val="none" w:color="auto"/>
                      <w:shd w:val="clear" w:fill="FFFFFF"/>
                      <w:lang w:val="en-US" w:eastAsia="zh-CN"/>
                    </w:rPr>
                    <w:t>8-10</w:t>
                  </w:r>
                </w:p>
              </w:tc>
            </w:tr>
            <w:tr w14:paraId="595F35D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gridAfter w:val="1"/>
                <w:wAfter w:w="3" w:type="pct"/>
                <w:trHeight w:val="23" w:hRule="atLeast"/>
              </w:trPr>
              <w:tc>
                <w:tcPr>
                  <w:tcW w:w="4996" w:type="pct"/>
                  <w:gridSpan w:val="7"/>
                  <w:tcBorders>
                    <w:tl2br w:val="nil"/>
                    <w:tr2bl w:val="nil"/>
                  </w:tcBorders>
                  <w:noWrap w:val="0"/>
                  <w:tcMar>
                    <w:top w:w="135" w:type="dxa"/>
                    <w:left w:w="270" w:type="dxa"/>
                    <w:bottom w:w="135" w:type="dxa"/>
                    <w:right w:w="270" w:type="dxa"/>
                  </w:tcMar>
                  <w:vAlign w:val="center"/>
                </w:tcPr>
                <w:p w14:paraId="5F646F7B">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auto"/>
                      <w:kern w:val="21"/>
                      <w:sz w:val="21"/>
                      <w:szCs w:val="21"/>
                      <w:u w:val="none" w:color="auto"/>
                      <w:lang w:val="en-US" w:eastAsia="zh-CN" w:bidi="ar"/>
                    </w:rPr>
                  </w:pPr>
                  <w:r>
                    <w:rPr>
                      <w:rFonts w:hint="default" w:ascii="Times New Roman" w:hAnsi="Times New Roman" w:eastAsia="宋体" w:cs="Times New Roman"/>
                      <w:b/>
                      <w:bCs/>
                      <w:i w:val="0"/>
                      <w:iCs w:val="0"/>
                      <w:snapToGrid w:val="0"/>
                      <w:color w:val="auto"/>
                      <w:kern w:val="21"/>
                      <w:sz w:val="21"/>
                      <w:szCs w:val="21"/>
                      <w:highlight w:val="none"/>
                      <w:u w:val="none" w:color="auto"/>
                      <w:lang w:val="en-US" w:eastAsia="zh-CN" w:bidi="ar"/>
                    </w:rPr>
                    <w:t>临港高新产业园区：21栋</w:t>
                  </w:r>
                </w:p>
              </w:tc>
            </w:tr>
            <w:tr w14:paraId="4F69215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gridAfter w:val="1"/>
                <w:wAfter w:w="3" w:type="pct"/>
                <w:trHeight w:val="23" w:hRule="atLeast"/>
              </w:trPr>
              <w:tc>
                <w:tcPr>
                  <w:tcW w:w="661" w:type="pct"/>
                  <w:tcBorders>
                    <w:tl2br w:val="nil"/>
                    <w:tr2bl w:val="nil"/>
                  </w:tcBorders>
                  <w:shd w:val="clear" w:color="auto" w:fill="FFFFFF"/>
                  <w:noWrap w:val="0"/>
                  <w:tcMar>
                    <w:top w:w="135" w:type="dxa"/>
                    <w:left w:w="270" w:type="dxa"/>
                    <w:bottom w:w="135" w:type="dxa"/>
                    <w:right w:w="270" w:type="dxa"/>
                  </w:tcMar>
                  <w:vAlign w:val="center"/>
                </w:tcPr>
                <w:p w14:paraId="73A484FF">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立式加工中心</w:t>
                  </w:r>
                </w:p>
              </w:tc>
              <w:tc>
                <w:tcPr>
                  <w:tcW w:w="398" w:type="pct"/>
                  <w:tcBorders>
                    <w:tl2br w:val="nil"/>
                    <w:tr2bl w:val="nil"/>
                  </w:tcBorders>
                  <w:shd w:val="clear" w:color="auto" w:fill="FFFFFF"/>
                  <w:noWrap w:val="0"/>
                  <w:tcMar>
                    <w:top w:w="135" w:type="dxa"/>
                    <w:left w:w="270" w:type="dxa"/>
                    <w:bottom w:w="135" w:type="dxa"/>
                    <w:right w:w="270" w:type="dxa"/>
                  </w:tcMar>
                  <w:vAlign w:val="center"/>
                </w:tcPr>
                <w:p w14:paraId="4872DFD7">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套</w:t>
                  </w:r>
                </w:p>
              </w:tc>
              <w:tc>
                <w:tcPr>
                  <w:tcW w:w="527" w:type="pct"/>
                  <w:tcBorders>
                    <w:tl2br w:val="nil"/>
                    <w:tr2bl w:val="nil"/>
                  </w:tcBorders>
                  <w:shd w:val="clear" w:color="auto" w:fill="FFFFFF"/>
                  <w:noWrap w:val="0"/>
                  <w:tcMar>
                    <w:top w:w="135" w:type="dxa"/>
                    <w:left w:w="270" w:type="dxa"/>
                    <w:bottom w:w="135" w:type="dxa"/>
                    <w:right w:w="270" w:type="dxa"/>
                  </w:tcMar>
                  <w:vAlign w:val="center"/>
                </w:tcPr>
                <w:p w14:paraId="546DA67D">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10</w:t>
                  </w:r>
                </w:p>
              </w:tc>
              <w:tc>
                <w:tcPr>
                  <w:tcW w:w="734" w:type="pct"/>
                  <w:tcBorders>
                    <w:tl2br w:val="nil"/>
                    <w:tr2bl w:val="nil"/>
                  </w:tcBorders>
                  <w:shd w:val="clear" w:color="auto" w:fill="FFFFFF"/>
                  <w:noWrap w:val="0"/>
                  <w:tcMar>
                    <w:top w:w="135" w:type="dxa"/>
                    <w:left w:w="270" w:type="dxa"/>
                    <w:bottom w:w="135" w:type="dxa"/>
                    <w:right w:w="270" w:type="dxa"/>
                  </w:tcMar>
                  <w:vAlign w:val="center"/>
                </w:tcPr>
                <w:p w14:paraId="2AE2FEFC">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80-95</w:t>
                  </w:r>
                </w:p>
              </w:tc>
              <w:tc>
                <w:tcPr>
                  <w:tcW w:w="1005" w:type="pct"/>
                  <w:tcBorders>
                    <w:tl2br w:val="nil"/>
                    <w:tr2bl w:val="nil"/>
                  </w:tcBorders>
                  <w:shd w:val="clear" w:color="auto" w:fill="FFFFFF"/>
                  <w:noWrap w:val="0"/>
                  <w:tcMar>
                    <w:top w:w="135" w:type="dxa"/>
                    <w:left w:w="270" w:type="dxa"/>
                    <w:bottom w:w="135" w:type="dxa"/>
                    <w:right w:w="270" w:type="dxa"/>
                  </w:tcMar>
                  <w:vAlign w:val="center"/>
                </w:tcPr>
                <w:p w14:paraId="5BA559C7">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切削和主轴噪声（类似15栋设备）</w:t>
                  </w:r>
                </w:p>
              </w:tc>
              <w:tc>
                <w:tcPr>
                  <w:tcW w:w="955" w:type="pct"/>
                  <w:vMerge w:val="restart"/>
                  <w:tcBorders>
                    <w:tl2br w:val="nil"/>
                    <w:tr2bl w:val="nil"/>
                  </w:tcBorders>
                  <w:shd w:val="clear" w:color="auto" w:fill="FFFFFF"/>
                  <w:noWrap w:val="0"/>
                  <w:tcMar>
                    <w:top w:w="135" w:type="dxa"/>
                    <w:left w:w="270" w:type="dxa"/>
                    <w:bottom w:w="135" w:type="dxa"/>
                    <w:right w:w="270" w:type="dxa"/>
                  </w:tcMar>
                  <w:vAlign w:val="center"/>
                </w:tcPr>
                <w:p w14:paraId="56FD2268">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kern w:val="21"/>
                      <w:sz w:val="21"/>
                      <w:szCs w:val="21"/>
                      <w:u w:val="none" w:color="auto"/>
                      <w:lang w:val="en-US" w:eastAsia="zh-CN" w:bidi="ar"/>
                    </w:rPr>
                  </w:pPr>
                  <w:r>
                    <w:rPr>
                      <w:rFonts w:hint="default" w:ascii="Times New Roman" w:hAnsi="Times New Roman" w:eastAsia="宋体" w:cs="Times New Roman"/>
                      <w:i w:val="0"/>
                      <w:iCs w:val="0"/>
                      <w:caps w:val="0"/>
                      <w:color w:val="auto"/>
                      <w:spacing w:val="0"/>
                      <w:kern w:val="21"/>
                      <w:sz w:val="21"/>
                      <w:szCs w:val="21"/>
                      <w:u w:val="none" w:color="auto"/>
                      <w:shd w:val="clear" w:fill="FFFFFF"/>
                      <w:lang w:val="en-US" w:eastAsia="zh-CN"/>
                    </w:rPr>
                    <w:t>设备箱体隔声、低噪声设备</w:t>
                  </w:r>
                </w:p>
              </w:tc>
              <w:tc>
                <w:tcPr>
                  <w:tcW w:w="713" w:type="pct"/>
                  <w:tcBorders>
                    <w:tl2br w:val="nil"/>
                    <w:tr2bl w:val="nil"/>
                  </w:tcBorders>
                  <w:shd w:val="clear" w:color="auto" w:fill="FFFFFF"/>
                  <w:noWrap w:val="0"/>
                  <w:tcMar>
                    <w:top w:w="135" w:type="dxa"/>
                    <w:left w:w="270" w:type="dxa"/>
                    <w:bottom w:w="135" w:type="dxa"/>
                    <w:right w:w="270" w:type="dxa"/>
                  </w:tcMar>
                  <w:vAlign w:val="center"/>
                </w:tcPr>
                <w:p w14:paraId="49A53023">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i w:val="0"/>
                      <w:iCs w:val="0"/>
                      <w:caps w:val="0"/>
                      <w:color w:val="auto"/>
                      <w:spacing w:val="0"/>
                      <w:kern w:val="21"/>
                      <w:sz w:val="21"/>
                      <w:szCs w:val="21"/>
                      <w:u w:val="none" w:color="auto"/>
                      <w:shd w:val="clear" w:fill="FFFFFF"/>
                      <w:lang w:val="en-US" w:eastAsia="zh-CN"/>
                    </w:rPr>
                  </w:pPr>
                  <w:r>
                    <w:rPr>
                      <w:rFonts w:hint="default" w:ascii="Times New Roman" w:hAnsi="Times New Roman" w:eastAsia="宋体" w:cs="Times New Roman"/>
                      <w:i w:val="0"/>
                      <w:iCs w:val="0"/>
                      <w:caps w:val="0"/>
                      <w:color w:val="auto"/>
                      <w:spacing w:val="0"/>
                      <w:kern w:val="21"/>
                      <w:sz w:val="21"/>
                      <w:szCs w:val="21"/>
                      <w:u w:val="none" w:color="auto"/>
                      <w:shd w:val="clear" w:fill="FFFFFF"/>
                      <w:lang w:val="en-US" w:eastAsia="zh-CN"/>
                    </w:rPr>
                    <w:t>8-10</w:t>
                  </w:r>
                </w:p>
              </w:tc>
            </w:tr>
            <w:tr w14:paraId="44E859F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gridAfter w:val="1"/>
                <w:wAfter w:w="3" w:type="pct"/>
                <w:trHeight w:val="23" w:hRule="atLeast"/>
              </w:trPr>
              <w:tc>
                <w:tcPr>
                  <w:tcW w:w="661" w:type="pct"/>
                  <w:tcBorders>
                    <w:tl2br w:val="nil"/>
                    <w:tr2bl w:val="nil"/>
                  </w:tcBorders>
                  <w:shd w:val="clear" w:color="auto" w:fill="FFFFFF"/>
                  <w:noWrap w:val="0"/>
                  <w:tcMar>
                    <w:top w:w="135" w:type="dxa"/>
                    <w:left w:w="270" w:type="dxa"/>
                    <w:bottom w:w="135" w:type="dxa"/>
                    <w:right w:w="270" w:type="dxa"/>
                  </w:tcMar>
                  <w:vAlign w:val="center"/>
                </w:tcPr>
                <w:p w14:paraId="3CA55119">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卧式加工中心</w:t>
                  </w:r>
                </w:p>
              </w:tc>
              <w:tc>
                <w:tcPr>
                  <w:tcW w:w="398" w:type="pct"/>
                  <w:tcBorders>
                    <w:tl2br w:val="nil"/>
                    <w:tr2bl w:val="nil"/>
                  </w:tcBorders>
                  <w:shd w:val="clear" w:color="auto" w:fill="FFFFFF"/>
                  <w:noWrap w:val="0"/>
                  <w:tcMar>
                    <w:top w:w="135" w:type="dxa"/>
                    <w:left w:w="270" w:type="dxa"/>
                    <w:bottom w:w="135" w:type="dxa"/>
                    <w:right w:w="270" w:type="dxa"/>
                  </w:tcMar>
                  <w:vAlign w:val="center"/>
                </w:tcPr>
                <w:p w14:paraId="24654245">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台</w:t>
                  </w:r>
                </w:p>
              </w:tc>
              <w:tc>
                <w:tcPr>
                  <w:tcW w:w="527" w:type="pct"/>
                  <w:tcBorders>
                    <w:tl2br w:val="nil"/>
                    <w:tr2bl w:val="nil"/>
                  </w:tcBorders>
                  <w:shd w:val="clear" w:color="auto" w:fill="FFFFFF"/>
                  <w:noWrap w:val="0"/>
                  <w:tcMar>
                    <w:top w:w="135" w:type="dxa"/>
                    <w:left w:w="270" w:type="dxa"/>
                    <w:bottom w:w="135" w:type="dxa"/>
                    <w:right w:w="270" w:type="dxa"/>
                  </w:tcMar>
                  <w:vAlign w:val="center"/>
                </w:tcPr>
                <w:p w14:paraId="00C612DE">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6</w:t>
                  </w:r>
                </w:p>
              </w:tc>
              <w:tc>
                <w:tcPr>
                  <w:tcW w:w="734" w:type="pct"/>
                  <w:tcBorders>
                    <w:tl2br w:val="nil"/>
                    <w:tr2bl w:val="nil"/>
                  </w:tcBorders>
                  <w:shd w:val="clear" w:color="auto" w:fill="FFFFFF"/>
                  <w:noWrap w:val="0"/>
                  <w:tcMar>
                    <w:top w:w="135" w:type="dxa"/>
                    <w:left w:w="270" w:type="dxa"/>
                    <w:bottom w:w="135" w:type="dxa"/>
                    <w:right w:w="270" w:type="dxa"/>
                  </w:tcMar>
                  <w:vAlign w:val="center"/>
                </w:tcPr>
                <w:p w14:paraId="1BFB1EBA">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75-90</w:t>
                  </w:r>
                </w:p>
              </w:tc>
              <w:tc>
                <w:tcPr>
                  <w:tcW w:w="1005" w:type="pct"/>
                  <w:tcBorders>
                    <w:tl2br w:val="nil"/>
                    <w:tr2bl w:val="nil"/>
                  </w:tcBorders>
                  <w:shd w:val="clear" w:color="auto" w:fill="FFFFFF"/>
                  <w:noWrap w:val="0"/>
                  <w:tcMar>
                    <w:top w:w="135" w:type="dxa"/>
                    <w:left w:w="270" w:type="dxa"/>
                    <w:bottom w:w="135" w:type="dxa"/>
                    <w:right w:w="270" w:type="dxa"/>
                  </w:tcMar>
                  <w:vAlign w:val="center"/>
                </w:tcPr>
                <w:p w14:paraId="30714964">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卧式设计噪声略低，但切削声主导</w:t>
                  </w:r>
                </w:p>
              </w:tc>
              <w:tc>
                <w:tcPr>
                  <w:tcW w:w="955" w:type="pct"/>
                  <w:vMerge w:val="continue"/>
                  <w:tcBorders>
                    <w:tl2br w:val="nil"/>
                    <w:tr2bl w:val="nil"/>
                  </w:tcBorders>
                  <w:shd w:val="clear" w:color="auto" w:fill="FFFFFF"/>
                  <w:noWrap w:val="0"/>
                  <w:tcMar>
                    <w:top w:w="135" w:type="dxa"/>
                    <w:left w:w="270" w:type="dxa"/>
                    <w:bottom w:w="135" w:type="dxa"/>
                    <w:right w:w="270" w:type="dxa"/>
                  </w:tcMar>
                  <w:vAlign w:val="center"/>
                </w:tcPr>
                <w:p w14:paraId="17FE269A">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lang w:val="en-US" w:eastAsia="zh-CN" w:bidi="ar"/>
                    </w:rPr>
                  </w:pPr>
                </w:p>
              </w:tc>
              <w:tc>
                <w:tcPr>
                  <w:tcW w:w="713" w:type="pct"/>
                  <w:tcBorders>
                    <w:tl2br w:val="nil"/>
                    <w:tr2bl w:val="nil"/>
                  </w:tcBorders>
                  <w:shd w:val="clear" w:color="auto" w:fill="FFFFFF"/>
                  <w:noWrap w:val="0"/>
                  <w:tcMar>
                    <w:top w:w="135" w:type="dxa"/>
                    <w:left w:w="270" w:type="dxa"/>
                    <w:bottom w:w="135" w:type="dxa"/>
                    <w:right w:w="270" w:type="dxa"/>
                  </w:tcMar>
                  <w:vAlign w:val="center"/>
                </w:tcPr>
                <w:p w14:paraId="44C9497F">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lang w:val="en-US" w:eastAsia="zh-CN" w:bidi="ar"/>
                    </w:rPr>
                  </w:pPr>
                  <w:r>
                    <w:rPr>
                      <w:rFonts w:hint="default" w:ascii="Times New Roman" w:hAnsi="Times New Roman" w:eastAsia="宋体" w:cs="Times New Roman"/>
                      <w:i w:val="0"/>
                      <w:iCs w:val="0"/>
                      <w:caps w:val="0"/>
                      <w:color w:val="auto"/>
                      <w:spacing w:val="0"/>
                      <w:kern w:val="21"/>
                      <w:sz w:val="21"/>
                      <w:szCs w:val="21"/>
                      <w:u w:val="none" w:color="auto"/>
                      <w:shd w:val="clear" w:fill="FFFFFF"/>
                      <w:lang w:val="en-US" w:eastAsia="zh-CN"/>
                    </w:rPr>
                    <w:t>8-10</w:t>
                  </w:r>
                </w:p>
              </w:tc>
            </w:tr>
            <w:tr w14:paraId="72A3857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gridAfter w:val="1"/>
                <w:wAfter w:w="3" w:type="pct"/>
                <w:trHeight w:val="23" w:hRule="atLeast"/>
              </w:trPr>
              <w:tc>
                <w:tcPr>
                  <w:tcW w:w="661" w:type="pct"/>
                  <w:tcBorders>
                    <w:tl2br w:val="nil"/>
                    <w:tr2bl w:val="nil"/>
                  </w:tcBorders>
                  <w:shd w:val="clear" w:color="auto" w:fill="FFFFFF"/>
                  <w:noWrap w:val="0"/>
                  <w:tcMar>
                    <w:top w:w="135" w:type="dxa"/>
                    <w:left w:w="270" w:type="dxa"/>
                    <w:bottom w:w="135" w:type="dxa"/>
                    <w:right w:w="270" w:type="dxa"/>
                  </w:tcMar>
                  <w:vAlign w:val="center"/>
                </w:tcPr>
                <w:p w14:paraId="2BC15898">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马扎克卧式加工中心</w:t>
                  </w:r>
                </w:p>
              </w:tc>
              <w:tc>
                <w:tcPr>
                  <w:tcW w:w="398" w:type="pct"/>
                  <w:tcBorders>
                    <w:tl2br w:val="nil"/>
                    <w:tr2bl w:val="nil"/>
                  </w:tcBorders>
                  <w:shd w:val="clear" w:color="auto" w:fill="FFFFFF"/>
                  <w:noWrap w:val="0"/>
                  <w:tcMar>
                    <w:top w:w="135" w:type="dxa"/>
                    <w:left w:w="270" w:type="dxa"/>
                    <w:bottom w:w="135" w:type="dxa"/>
                    <w:right w:w="270" w:type="dxa"/>
                  </w:tcMar>
                  <w:vAlign w:val="center"/>
                </w:tcPr>
                <w:p w14:paraId="2DAA3A85">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套</w:t>
                  </w:r>
                </w:p>
              </w:tc>
              <w:tc>
                <w:tcPr>
                  <w:tcW w:w="527" w:type="pct"/>
                  <w:tcBorders>
                    <w:tl2br w:val="nil"/>
                    <w:tr2bl w:val="nil"/>
                  </w:tcBorders>
                  <w:shd w:val="clear" w:color="auto" w:fill="FFFFFF"/>
                  <w:noWrap w:val="0"/>
                  <w:tcMar>
                    <w:top w:w="135" w:type="dxa"/>
                    <w:left w:w="270" w:type="dxa"/>
                    <w:bottom w:w="135" w:type="dxa"/>
                    <w:right w:w="270" w:type="dxa"/>
                  </w:tcMar>
                  <w:vAlign w:val="center"/>
                </w:tcPr>
                <w:p w14:paraId="4F4BA170">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4</w:t>
                  </w:r>
                </w:p>
              </w:tc>
              <w:tc>
                <w:tcPr>
                  <w:tcW w:w="734" w:type="pct"/>
                  <w:tcBorders>
                    <w:tl2br w:val="nil"/>
                    <w:tr2bl w:val="nil"/>
                  </w:tcBorders>
                  <w:shd w:val="clear" w:color="auto" w:fill="FFFFFF"/>
                  <w:noWrap w:val="0"/>
                  <w:tcMar>
                    <w:top w:w="135" w:type="dxa"/>
                    <w:left w:w="270" w:type="dxa"/>
                    <w:bottom w:w="135" w:type="dxa"/>
                    <w:right w:w="270" w:type="dxa"/>
                  </w:tcMar>
                  <w:vAlign w:val="center"/>
                </w:tcPr>
                <w:p w14:paraId="78D8173C">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75-90</w:t>
                  </w:r>
                </w:p>
              </w:tc>
              <w:tc>
                <w:tcPr>
                  <w:tcW w:w="1005" w:type="pct"/>
                  <w:tcBorders>
                    <w:tl2br w:val="nil"/>
                    <w:tr2bl w:val="nil"/>
                  </w:tcBorders>
                  <w:shd w:val="clear" w:color="auto" w:fill="FFFFFF"/>
                  <w:noWrap w:val="0"/>
                  <w:tcMar>
                    <w:top w:w="135" w:type="dxa"/>
                    <w:left w:w="270" w:type="dxa"/>
                    <w:bottom w:w="135" w:type="dxa"/>
                    <w:right w:w="270" w:type="dxa"/>
                  </w:tcMar>
                  <w:vAlign w:val="center"/>
                </w:tcPr>
                <w:p w14:paraId="62FE9D66">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同上，高端型号噪声类似</w:t>
                  </w:r>
                </w:p>
              </w:tc>
              <w:tc>
                <w:tcPr>
                  <w:tcW w:w="955" w:type="pct"/>
                  <w:vMerge w:val="continue"/>
                  <w:tcBorders>
                    <w:tl2br w:val="nil"/>
                    <w:tr2bl w:val="nil"/>
                  </w:tcBorders>
                  <w:shd w:val="clear" w:color="auto" w:fill="FFFFFF"/>
                  <w:noWrap w:val="0"/>
                  <w:tcMar>
                    <w:top w:w="135" w:type="dxa"/>
                    <w:left w:w="270" w:type="dxa"/>
                    <w:bottom w:w="135" w:type="dxa"/>
                    <w:right w:w="270" w:type="dxa"/>
                  </w:tcMar>
                  <w:vAlign w:val="center"/>
                </w:tcPr>
                <w:p w14:paraId="1DF3FC64">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lang w:val="en-US" w:eastAsia="zh-CN" w:bidi="ar"/>
                    </w:rPr>
                  </w:pPr>
                </w:p>
              </w:tc>
              <w:tc>
                <w:tcPr>
                  <w:tcW w:w="713" w:type="pct"/>
                  <w:tcBorders>
                    <w:tl2br w:val="nil"/>
                    <w:tr2bl w:val="nil"/>
                  </w:tcBorders>
                  <w:shd w:val="clear" w:color="auto" w:fill="FFFFFF"/>
                  <w:noWrap w:val="0"/>
                  <w:tcMar>
                    <w:top w:w="135" w:type="dxa"/>
                    <w:left w:w="270" w:type="dxa"/>
                    <w:bottom w:w="135" w:type="dxa"/>
                    <w:right w:w="270" w:type="dxa"/>
                  </w:tcMar>
                  <w:vAlign w:val="center"/>
                </w:tcPr>
                <w:p w14:paraId="352E1028">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lang w:val="en-US" w:eastAsia="zh-CN" w:bidi="ar"/>
                    </w:rPr>
                  </w:pPr>
                  <w:r>
                    <w:rPr>
                      <w:rFonts w:hint="default" w:ascii="Times New Roman" w:hAnsi="Times New Roman" w:eastAsia="宋体" w:cs="Times New Roman"/>
                      <w:i w:val="0"/>
                      <w:iCs w:val="0"/>
                      <w:caps w:val="0"/>
                      <w:color w:val="auto"/>
                      <w:spacing w:val="0"/>
                      <w:kern w:val="21"/>
                      <w:sz w:val="21"/>
                      <w:szCs w:val="21"/>
                      <w:u w:val="none" w:color="auto"/>
                      <w:shd w:val="clear" w:fill="FFFFFF"/>
                      <w:lang w:val="en-US" w:eastAsia="zh-CN"/>
                    </w:rPr>
                    <w:t>8-10</w:t>
                  </w:r>
                </w:p>
              </w:tc>
            </w:tr>
            <w:tr w14:paraId="4876FDD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gridAfter w:val="1"/>
                <w:wAfter w:w="3" w:type="pct"/>
                <w:trHeight w:val="23" w:hRule="atLeast"/>
              </w:trPr>
              <w:tc>
                <w:tcPr>
                  <w:tcW w:w="661" w:type="pct"/>
                  <w:tcBorders>
                    <w:tl2br w:val="nil"/>
                    <w:tr2bl w:val="nil"/>
                  </w:tcBorders>
                  <w:shd w:val="clear" w:color="auto" w:fill="FFFFFF"/>
                  <w:noWrap w:val="0"/>
                  <w:tcMar>
                    <w:top w:w="135" w:type="dxa"/>
                    <w:left w:w="270" w:type="dxa"/>
                    <w:bottom w:w="135" w:type="dxa"/>
                    <w:right w:w="270" w:type="dxa"/>
                  </w:tcMar>
                  <w:vAlign w:val="center"/>
                </w:tcPr>
                <w:p w14:paraId="449C127F">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恒温水槽</w:t>
                  </w:r>
                  <w:r>
                    <w:rPr>
                      <w:rFonts w:hint="default" w:ascii="Times New Roman" w:hAnsi="Times New Roman" w:eastAsia="宋体" w:cs="Times New Roman"/>
                      <w:color w:val="auto"/>
                      <w:kern w:val="21"/>
                      <w:sz w:val="21"/>
                      <w:szCs w:val="21"/>
                      <w:u w:val="none" w:color="auto"/>
                    </w:rPr>
                    <w:t>泵机</w:t>
                  </w:r>
                </w:p>
              </w:tc>
              <w:tc>
                <w:tcPr>
                  <w:tcW w:w="398" w:type="pct"/>
                  <w:tcBorders>
                    <w:tl2br w:val="nil"/>
                    <w:tr2bl w:val="nil"/>
                  </w:tcBorders>
                  <w:shd w:val="clear" w:color="auto" w:fill="FFFFFF"/>
                  <w:noWrap w:val="0"/>
                  <w:tcMar>
                    <w:top w:w="135" w:type="dxa"/>
                    <w:left w:w="270" w:type="dxa"/>
                    <w:bottom w:w="135" w:type="dxa"/>
                    <w:right w:w="270" w:type="dxa"/>
                  </w:tcMar>
                  <w:vAlign w:val="center"/>
                </w:tcPr>
                <w:p w14:paraId="0447D59B">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套</w:t>
                  </w:r>
                </w:p>
              </w:tc>
              <w:tc>
                <w:tcPr>
                  <w:tcW w:w="527" w:type="pct"/>
                  <w:tcBorders>
                    <w:tl2br w:val="nil"/>
                    <w:tr2bl w:val="nil"/>
                  </w:tcBorders>
                  <w:shd w:val="clear" w:color="auto" w:fill="FFFFFF"/>
                  <w:noWrap w:val="0"/>
                  <w:tcMar>
                    <w:top w:w="135" w:type="dxa"/>
                    <w:left w:w="270" w:type="dxa"/>
                    <w:bottom w:w="135" w:type="dxa"/>
                    <w:right w:w="270" w:type="dxa"/>
                  </w:tcMar>
                  <w:vAlign w:val="center"/>
                </w:tcPr>
                <w:p w14:paraId="6F59F706">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3</w:t>
                  </w:r>
                </w:p>
              </w:tc>
              <w:tc>
                <w:tcPr>
                  <w:tcW w:w="734" w:type="pct"/>
                  <w:tcBorders>
                    <w:tl2br w:val="nil"/>
                    <w:tr2bl w:val="nil"/>
                  </w:tcBorders>
                  <w:shd w:val="clear" w:color="auto" w:fill="FFFFFF"/>
                  <w:noWrap w:val="0"/>
                  <w:tcMar>
                    <w:top w:w="135" w:type="dxa"/>
                    <w:left w:w="270" w:type="dxa"/>
                    <w:bottom w:w="135" w:type="dxa"/>
                    <w:right w:w="270" w:type="dxa"/>
                  </w:tcMar>
                  <w:vAlign w:val="center"/>
                </w:tcPr>
                <w:p w14:paraId="121CC84F">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70-85</w:t>
                  </w:r>
                </w:p>
              </w:tc>
              <w:tc>
                <w:tcPr>
                  <w:tcW w:w="1005" w:type="pct"/>
                  <w:tcBorders>
                    <w:tl2br w:val="nil"/>
                    <w:tr2bl w:val="nil"/>
                  </w:tcBorders>
                  <w:shd w:val="clear" w:color="auto" w:fill="FFFFFF"/>
                  <w:noWrap w:val="0"/>
                  <w:tcMar>
                    <w:top w:w="135" w:type="dxa"/>
                    <w:left w:w="270" w:type="dxa"/>
                    <w:bottom w:w="135" w:type="dxa"/>
                    <w:right w:w="270" w:type="dxa"/>
                  </w:tcMar>
                  <w:vAlign w:val="center"/>
                </w:tcPr>
                <w:p w14:paraId="5343E162">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水泵和水循环噪声</w:t>
                  </w:r>
                </w:p>
              </w:tc>
              <w:tc>
                <w:tcPr>
                  <w:tcW w:w="955" w:type="pct"/>
                  <w:tcBorders>
                    <w:tl2br w:val="nil"/>
                    <w:tr2bl w:val="nil"/>
                  </w:tcBorders>
                  <w:shd w:val="clear" w:color="auto" w:fill="FFFFFF"/>
                  <w:noWrap w:val="0"/>
                  <w:tcMar>
                    <w:top w:w="135" w:type="dxa"/>
                    <w:left w:w="270" w:type="dxa"/>
                    <w:bottom w:w="135" w:type="dxa"/>
                    <w:right w:w="270" w:type="dxa"/>
                  </w:tcMar>
                  <w:vAlign w:val="center"/>
                </w:tcPr>
                <w:p w14:paraId="2E6BA726">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lang w:val="en-US" w:eastAsia="zh-CN" w:bidi="ar"/>
                    </w:rPr>
                  </w:pPr>
                  <w:r>
                    <w:rPr>
                      <w:rFonts w:hint="default" w:ascii="Times New Roman" w:hAnsi="Times New Roman" w:eastAsia="宋体" w:cs="Times New Roman"/>
                      <w:color w:val="auto"/>
                      <w:kern w:val="21"/>
                      <w:sz w:val="21"/>
                      <w:szCs w:val="21"/>
                      <w:u w:val="none" w:color="auto"/>
                      <w:lang w:val="en-US" w:eastAsia="zh-CN" w:bidi="ar"/>
                    </w:rPr>
                    <w:t>低噪声设备、</w:t>
                  </w:r>
                  <w:r>
                    <w:rPr>
                      <w:rFonts w:hint="default" w:ascii="Times New Roman" w:hAnsi="Times New Roman" w:eastAsia="宋体" w:cs="Times New Roman"/>
                      <w:i w:val="0"/>
                      <w:iCs w:val="0"/>
                      <w:caps w:val="0"/>
                      <w:color w:val="auto"/>
                      <w:spacing w:val="0"/>
                      <w:kern w:val="21"/>
                      <w:sz w:val="21"/>
                      <w:szCs w:val="21"/>
                      <w:u w:val="none" w:color="auto"/>
                      <w:lang w:val="en-US" w:eastAsia="zh-CN" w:bidi="ar"/>
                    </w:rPr>
                    <w:t>水泵隔声箱</w:t>
                  </w:r>
                </w:p>
              </w:tc>
              <w:tc>
                <w:tcPr>
                  <w:tcW w:w="713" w:type="pct"/>
                  <w:tcBorders>
                    <w:tl2br w:val="nil"/>
                    <w:tr2bl w:val="nil"/>
                  </w:tcBorders>
                  <w:shd w:val="clear" w:color="auto" w:fill="FFFFFF"/>
                  <w:noWrap w:val="0"/>
                  <w:tcMar>
                    <w:top w:w="135" w:type="dxa"/>
                    <w:left w:w="270" w:type="dxa"/>
                    <w:bottom w:w="135" w:type="dxa"/>
                    <w:right w:w="270" w:type="dxa"/>
                  </w:tcMar>
                  <w:vAlign w:val="center"/>
                </w:tcPr>
                <w:p w14:paraId="135FCC13">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lang w:val="en-US" w:eastAsia="zh-CN" w:bidi="ar"/>
                    </w:rPr>
                  </w:pPr>
                  <w:r>
                    <w:rPr>
                      <w:rFonts w:hint="default" w:ascii="Times New Roman" w:hAnsi="Times New Roman" w:eastAsia="宋体" w:cs="Times New Roman"/>
                      <w:i w:val="0"/>
                      <w:iCs w:val="0"/>
                      <w:caps w:val="0"/>
                      <w:color w:val="auto"/>
                      <w:spacing w:val="0"/>
                      <w:kern w:val="21"/>
                      <w:sz w:val="21"/>
                      <w:szCs w:val="21"/>
                      <w:u w:val="none" w:color="auto"/>
                      <w:shd w:val="clear" w:fill="FFFFFF"/>
                      <w:lang w:val="en-US" w:eastAsia="zh-CN"/>
                    </w:rPr>
                    <w:t>8-10</w:t>
                  </w:r>
                </w:p>
              </w:tc>
            </w:tr>
            <w:tr w14:paraId="11585C2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gridAfter w:val="1"/>
                <w:wAfter w:w="3" w:type="pct"/>
                <w:trHeight w:val="23" w:hRule="atLeast"/>
              </w:trPr>
              <w:tc>
                <w:tcPr>
                  <w:tcW w:w="661" w:type="pct"/>
                  <w:tcBorders>
                    <w:tl2br w:val="nil"/>
                    <w:tr2bl w:val="nil"/>
                  </w:tcBorders>
                  <w:shd w:val="clear" w:color="auto" w:fill="FFFFFF"/>
                  <w:noWrap w:val="0"/>
                  <w:tcMar>
                    <w:top w:w="135" w:type="dxa"/>
                    <w:left w:w="270" w:type="dxa"/>
                    <w:bottom w:w="135" w:type="dxa"/>
                    <w:right w:w="270" w:type="dxa"/>
                  </w:tcMar>
                  <w:vAlign w:val="center"/>
                </w:tcPr>
                <w:p w14:paraId="1F9B0A10">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智能机器人清洗系统</w:t>
                  </w:r>
                </w:p>
              </w:tc>
              <w:tc>
                <w:tcPr>
                  <w:tcW w:w="398" w:type="pct"/>
                  <w:tcBorders>
                    <w:tl2br w:val="nil"/>
                    <w:tr2bl w:val="nil"/>
                  </w:tcBorders>
                  <w:shd w:val="clear" w:color="auto" w:fill="FFFFFF"/>
                  <w:noWrap w:val="0"/>
                  <w:tcMar>
                    <w:top w:w="135" w:type="dxa"/>
                    <w:left w:w="270" w:type="dxa"/>
                    <w:bottom w:w="135" w:type="dxa"/>
                    <w:right w:w="270" w:type="dxa"/>
                  </w:tcMar>
                  <w:vAlign w:val="center"/>
                </w:tcPr>
                <w:p w14:paraId="08F0B82A">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套</w:t>
                  </w:r>
                </w:p>
              </w:tc>
              <w:tc>
                <w:tcPr>
                  <w:tcW w:w="527" w:type="pct"/>
                  <w:tcBorders>
                    <w:tl2br w:val="nil"/>
                    <w:tr2bl w:val="nil"/>
                  </w:tcBorders>
                  <w:shd w:val="clear" w:color="auto" w:fill="FFFFFF"/>
                  <w:noWrap w:val="0"/>
                  <w:tcMar>
                    <w:top w:w="135" w:type="dxa"/>
                    <w:left w:w="270" w:type="dxa"/>
                    <w:bottom w:w="135" w:type="dxa"/>
                    <w:right w:w="270" w:type="dxa"/>
                  </w:tcMar>
                  <w:vAlign w:val="center"/>
                </w:tcPr>
                <w:p w14:paraId="3EF76BE3">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2</w:t>
                  </w:r>
                </w:p>
              </w:tc>
              <w:tc>
                <w:tcPr>
                  <w:tcW w:w="734" w:type="pct"/>
                  <w:tcBorders>
                    <w:tl2br w:val="nil"/>
                    <w:tr2bl w:val="nil"/>
                  </w:tcBorders>
                  <w:shd w:val="clear" w:color="auto" w:fill="FFFFFF"/>
                  <w:noWrap w:val="0"/>
                  <w:tcMar>
                    <w:top w:w="135" w:type="dxa"/>
                    <w:left w:w="270" w:type="dxa"/>
                    <w:bottom w:w="135" w:type="dxa"/>
                    <w:right w:w="270" w:type="dxa"/>
                  </w:tcMar>
                  <w:vAlign w:val="center"/>
                </w:tcPr>
                <w:p w14:paraId="280399ED">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75-90</w:t>
                  </w:r>
                </w:p>
              </w:tc>
              <w:tc>
                <w:tcPr>
                  <w:tcW w:w="1005" w:type="pct"/>
                  <w:tcBorders>
                    <w:tl2br w:val="nil"/>
                    <w:tr2bl w:val="nil"/>
                  </w:tcBorders>
                  <w:shd w:val="clear" w:color="auto" w:fill="FFFFFF"/>
                  <w:noWrap w:val="0"/>
                  <w:tcMar>
                    <w:top w:w="135" w:type="dxa"/>
                    <w:left w:w="270" w:type="dxa"/>
                    <w:bottom w:w="135" w:type="dxa"/>
                    <w:right w:w="270" w:type="dxa"/>
                  </w:tcMar>
                  <w:vAlign w:val="center"/>
                </w:tcPr>
                <w:p w14:paraId="5FDBD3A4">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高压喷淋、过滤泵和机器人综合噪声</w:t>
                  </w:r>
                </w:p>
              </w:tc>
              <w:tc>
                <w:tcPr>
                  <w:tcW w:w="955" w:type="pct"/>
                  <w:tcBorders>
                    <w:tl2br w:val="nil"/>
                    <w:tr2bl w:val="nil"/>
                  </w:tcBorders>
                  <w:shd w:val="clear" w:color="auto" w:fill="FFFFFF"/>
                  <w:noWrap w:val="0"/>
                  <w:tcMar>
                    <w:top w:w="135" w:type="dxa"/>
                    <w:left w:w="270" w:type="dxa"/>
                    <w:bottom w:w="135" w:type="dxa"/>
                    <w:right w:w="270" w:type="dxa"/>
                  </w:tcMar>
                  <w:vAlign w:val="center"/>
                </w:tcPr>
                <w:p w14:paraId="5EAC224D">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lang w:val="en-US" w:eastAsia="zh-CN" w:bidi="ar"/>
                    </w:rPr>
                  </w:pPr>
                  <w:r>
                    <w:rPr>
                      <w:rFonts w:hint="default" w:ascii="Times New Roman" w:hAnsi="Times New Roman" w:eastAsia="宋体" w:cs="Times New Roman"/>
                      <w:color w:val="auto"/>
                      <w:kern w:val="21"/>
                      <w:sz w:val="21"/>
                      <w:szCs w:val="21"/>
                      <w:u w:val="none" w:color="auto"/>
                      <w:lang w:val="en-US" w:eastAsia="zh-CN" w:bidi="ar"/>
                    </w:rPr>
                    <w:t>低噪声设备、</w:t>
                  </w:r>
                  <w:r>
                    <w:rPr>
                      <w:rFonts w:hint="default" w:ascii="Times New Roman" w:hAnsi="Times New Roman" w:eastAsia="宋体" w:cs="Times New Roman"/>
                      <w:i w:val="0"/>
                      <w:iCs w:val="0"/>
                      <w:caps w:val="0"/>
                      <w:color w:val="auto"/>
                      <w:spacing w:val="0"/>
                      <w:kern w:val="21"/>
                      <w:sz w:val="21"/>
                      <w:szCs w:val="21"/>
                      <w:u w:val="none" w:color="auto"/>
                      <w:lang w:val="en-US" w:eastAsia="zh-CN" w:bidi="ar"/>
                    </w:rPr>
                    <w:t>水泵隔声箱</w:t>
                  </w:r>
                </w:p>
              </w:tc>
              <w:tc>
                <w:tcPr>
                  <w:tcW w:w="713" w:type="pct"/>
                  <w:tcBorders>
                    <w:tl2br w:val="nil"/>
                    <w:tr2bl w:val="nil"/>
                  </w:tcBorders>
                  <w:shd w:val="clear" w:color="auto" w:fill="FFFFFF"/>
                  <w:noWrap w:val="0"/>
                  <w:tcMar>
                    <w:top w:w="135" w:type="dxa"/>
                    <w:left w:w="270" w:type="dxa"/>
                    <w:bottom w:w="135" w:type="dxa"/>
                    <w:right w:w="270" w:type="dxa"/>
                  </w:tcMar>
                  <w:vAlign w:val="center"/>
                </w:tcPr>
                <w:p w14:paraId="61ED8CFA">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lang w:val="en-US" w:eastAsia="zh-CN" w:bidi="ar"/>
                    </w:rPr>
                  </w:pPr>
                  <w:r>
                    <w:rPr>
                      <w:rFonts w:hint="default" w:ascii="Times New Roman" w:hAnsi="Times New Roman" w:eastAsia="宋体" w:cs="Times New Roman"/>
                      <w:i w:val="0"/>
                      <w:iCs w:val="0"/>
                      <w:caps w:val="0"/>
                      <w:color w:val="auto"/>
                      <w:spacing w:val="0"/>
                      <w:kern w:val="21"/>
                      <w:sz w:val="21"/>
                      <w:szCs w:val="21"/>
                      <w:u w:val="none" w:color="auto"/>
                      <w:shd w:val="clear" w:fill="FFFFFF"/>
                      <w:lang w:val="en-US" w:eastAsia="zh-CN"/>
                    </w:rPr>
                    <w:t>8-10</w:t>
                  </w:r>
                </w:p>
              </w:tc>
            </w:tr>
            <w:tr w14:paraId="72408E7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gridAfter w:val="1"/>
                <w:wAfter w:w="3" w:type="pct"/>
                <w:trHeight w:val="23" w:hRule="atLeast"/>
              </w:trPr>
              <w:tc>
                <w:tcPr>
                  <w:tcW w:w="661" w:type="pct"/>
                  <w:tcBorders>
                    <w:tl2br w:val="nil"/>
                    <w:tr2bl w:val="nil"/>
                  </w:tcBorders>
                  <w:shd w:val="clear" w:color="auto" w:fill="FFFFFF"/>
                  <w:noWrap w:val="0"/>
                  <w:tcMar>
                    <w:top w:w="135" w:type="dxa"/>
                    <w:left w:w="270" w:type="dxa"/>
                    <w:bottom w:w="135" w:type="dxa"/>
                    <w:right w:w="270" w:type="dxa"/>
                  </w:tcMar>
                  <w:vAlign w:val="center"/>
                </w:tcPr>
                <w:p w14:paraId="17E6E8C9">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浸渗设备</w:t>
                  </w:r>
                  <w:r>
                    <w:rPr>
                      <w:rFonts w:hint="default" w:ascii="Times New Roman" w:hAnsi="Times New Roman" w:eastAsia="宋体" w:cs="Times New Roman"/>
                      <w:color w:val="auto"/>
                      <w:kern w:val="21"/>
                      <w:sz w:val="21"/>
                      <w:szCs w:val="21"/>
                      <w:u w:val="none" w:color="auto"/>
                    </w:rPr>
                    <w:t>泵机</w:t>
                  </w:r>
                </w:p>
              </w:tc>
              <w:tc>
                <w:tcPr>
                  <w:tcW w:w="398" w:type="pct"/>
                  <w:tcBorders>
                    <w:tl2br w:val="nil"/>
                    <w:tr2bl w:val="nil"/>
                  </w:tcBorders>
                  <w:shd w:val="clear" w:color="auto" w:fill="FFFFFF"/>
                  <w:noWrap w:val="0"/>
                  <w:tcMar>
                    <w:top w:w="135" w:type="dxa"/>
                    <w:left w:w="270" w:type="dxa"/>
                    <w:bottom w:w="135" w:type="dxa"/>
                    <w:right w:w="270" w:type="dxa"/>
                  </w:tcMar>
                  <w:vAlign w:val="center"/>
                </w:tcPr>
                <w:p w14:paraId="77D14348">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套</w:t>
                  </w:r>
                </w:p>
              </w:tc>
              <w:tc>
                <w:tcPr>
                  <w:tcW w:w="527" w:type="pct"/>
                  <w:tcBorders>
                    <w:tl2br w:val="nil"/>
                    <w:tr2bl w:val="nil"/>
                  </w:tcBorders>
                  <w:shd w:val="clear" w:color="auto" w:fill="FFFFFF"/>
                  <w:noWrap w:val="0"/>
                  <w:tcMar>
                    <w:top w:w="135" w:type="dxa"/>
                    <w:left w:w="270" w:type="dxa"/>
                    <w:bottom w:w="135" w:type="dxa"/>
                    <w:right w:w="270" w:type="dxa"/>
                  </w:tcMar>
                  <w:vAlign w:val="center"/>
                </w:tcPr>
                <w:p w14:paraId="58A739C1">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1</w:t>
                  </w:r>
                </w:p>
              </w:tc>
              <w:tc>
                <w:tcPr>
                  <w:tcW w:w="734" w:type="pct"/>
                  <w:tcBorders>
                    <w:tl2br w:val="nil"/>
                    <w:tr2bl w:val="nil"/>
                  </w:tcBorders>
                  <w:shd w:val="clear" w:color="auto" w:fill="FFFFFF"/>
                  <w:noWrap w:val="0"/>
                  <w:tcMar>
                    <w:top w:w="135" w:type="dxa"/>
                    <w:left w:w="270" w:type="dxa"/>
                    <w:bottom w:w="135" w:type="dxa"/>
                    <w:right w:w="270" w:type="dxa"/>
                  </w:tcMar>
                  <w:vAlign w:val="center"/>
                </w:tcPr>
                <w:p w14:paraId="2E59289A">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70-85</w:t>
                  </w:r>
                </w:p>
              </w:tc>
              <w:tc>
                <w:tcPr>
                  <w:tcW w:w="1005" w:type="pct"/>
                  <w:tcBorders>
                    <w:tl2br w:val="nil"/>
                    <w:tr2bl w:val="nil"/>
                  </w:tcBorders>
                  <w:shd w:val="clear" w:color="auto" w:fill="FFFFFF"/>
                  <w:noWrap w:val="0"/>
                  <w:tcMar>
                    <w:top w:w="135" w:type="dxa"/>
                    <w:left w:w="270" w:type="dxa"/>
                    <w:bottom w:w="135" w:type="dxa"/>
                    <w:right w:w="270" w:type="dxa"/>
                  </w:tcMar>
                  <w:vAlign w:val="center"/>
                </w:tcPr>
                <w:p w14:paraId="435ECD0D">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真空泵和液体循环噪声</w:t>
                  </w:r>
                </w:p>
              </w:tc>
              <w:tc>
                <w:tcPr>
                  <w:tcW w:w="955" w:type="pct"/>
                  <w:tcBorders>
                    <w:tl2br w:val="nil"/>
                    <w:tr2bl w:val="nil"/>
                  </w:tcBorders>
                  <w:shd w:val="clear" w:color="auto" w:fill="FFFFFF"/>
                  <w:noWrap w:val="0"/>
                  <w:tcMar>
                    <w:top w:w="135" w:type="dxa"/>
                    <w:left w:w="270" w:type="dxa"/>
                    <w:bottom w:w="135" w:type="dxa"/>
                    <w:right w:w="270" w:type="dxa"/>
                  </w:tcMar>
                  <w:vAlign w:val="center"/>
                </w:tcPr>
                <w:p w14:paraId="389135B8">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lang w:val="en-US" w:eastAsia="zh-CN" w:bidi="ar"/>
                    </w:rPr>
                  </w:pPr>
                  <w:r>
                    <w:rPr>
                      <w:rFonts w:hint="default" w:ascii="Times New Roman" w:hAnsi="Times New Roman" w:eastAsia="宋体" w:cs="Times New Roman"/>
                      <w:color w:val="auto"/>
                      <w:kern w:val="21"/>
                      <w:sz w:val="21"/>
                      <w:szCs w:val="21"/>
                      <w:u w:val="none" w:color="auto"/>
                      <w:lang w:val="en-US" w:eastAsia="zh-CN" w:bidi="ar"/>
                    </w:rPr>
                    <w:t>低噪声设备、各类</w:t>
                  </w:r>
                  <w:r>
                    <w:rPr>
                      <w:rFonts w:hint="default" w:ascii="Times New Roman" w:hAnsi="Times New Roman" w:eastAsia="宋体" w:cs="Times New Roman"/>
                      <w:i w:val="0"/>
                      <w:iCs w:val="0"/>
                      <w:caps w:val="0"/>
                      <w:color w:val="auto"/>
                      <w:spacing w:val="0"/>
                      <w:kern w:val="21"/>
                      <w:sz w:val="21"/>
                      <w:szCs w:val="21"/>
                      <w:u w:val="none" w:color="auto"/>
                      <w:lang w:val="en-US" w:eastAsia="zh-CN" w:bidi="ar"/>
                    </w:rPr>
                    <w:t>泵隔声箱</w:t>
                  </w:r>
                </w:p>
              </w:tc>
              <w:tc>
                <w:tcPr>
                  <w:tcW w:w="713" w:type="pct"/>
                  <w:tcBorders>
                    <w:tl2br w:val="nil"/>
                    <w:tr2bl w:val="nil"/>
                  </w:tcBorders>
                  <w:shd w:val="clear" w:color="auto" w:fill="FFFFFF"/>
                  <w:noWrap w:val="0"/>
                  <w:tcMar>
                    <w:top w:w="135" w:type="dxa"/>
                    <w:left w:w="270" w:type="dxa"/>
                    <w:bottom w:w="135" w:type="dxa"/>
                    <w:right w:w="270" w:type="dxa"/>
                  </w:tcMar>
                  <w:vAlign w:val="center"/>
                </w:tcPr>
                <w:p w14:paraId="40714261">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lang w:val="en-US" w:eastAsia="zh-CN" w:bidi="ar"/>
                    </w:rPr>
                  </w:pPr>
                  <w:r>
                    <w:rPr>
                      <w:rFonts w:hint="default" w:ascii="Times New Roman" w:hAnsi="Times New Roman" w:eastAsia="宋体" w:cs="Times New Roman"/>
                      <w:i w:val="0"/>
                      <w:iCs w:val="0"/>
                      <w:caps w:val="0"/>
                      <w:color w:val="auto"/>
                      <w:spacing w:val="0"/>
                      <w:kern w:val="21"/>
                      <w:sz w:val="21"/>
                      <w:szCs w:val="21"/>
                      <w:u w:val="none" w:color="auto"/>
                      <w:shd w:val="clear" w:fill="FFFFFF"/>
                      <w:lang w:val="en-US" w:eastAsia="zh-CN"/>
                    </w:rPr>
                    <w:t>8-10</w:t>
                  </w:r>
                </w:p>
              </w:tc>
            </w:tr>
            <w:tr w14:paraId="4342AE0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gridAfter w:val="1"/>
                <w:wAfter w:w="3" w:type="pct"/>
                <w:trHeight w:val="23" w:hRule="atLeast"/>
              </w:trPr>
              <w:tc>
                <w:tcPr>
                  <w:tcW w:w="661" w:type="pct"/>
                  <w:tcBorders>
                    <w:tl2br w:val="nil"/>
                    <w:tr2bl w:val="nil"/>
                  </w:tcBorders>
                  <w:shd w:val="clear" w:color="auto" w:fill="FFFFFF"/>
                  <w:noWrap w:val="0"/>
                  <w:tcMar>
                    <w:top w:w="135" w:type="dxa"/>
                    <w:left w:w="270" w:type="dxa"/>
                    <w:bottom w:w="135" w:type="dxa"/>
                    <w:right w:w="270" w:type="dxa"/>
                  </w:tcMar>
                  <w:vAlign w:val="center"/>
                </w:tcPr>
                <w:p w14:paraId="48EB6672">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kern w:val="21"/>
                      <w:sz w:val="21"/>
                      <w:szCs w:val="21"/>
                      <w:u w:val="none" w:color="auto"/>
                      <w:lang w:val="en-US" w:eastAsia="zh-CN" w:bidi="ar"/>
                    </w:rPr>
                  </w:pPr>
                  <w:r>
                    <w:rPr>
                      <w:rFonts w:hint="default" w:ascii="Times New Roman" w:hAnsi="Times New Roman" w:eastAsia="宋体" w:cs="Times New Roman"/>
                      <w:color w:val="auto"/>
                      <w:kern w:val="21"/>
                      <w:sz w:val="21"/>
                      <w:szCs w:val="21"/>
                      <w:u w:val="none" w:color="auto"/>
                      <w:lang w:val="en-US" w:eastAsia="zh-CN" w:bidi="ar"/>
                    </w:rPr>
                    <w:t>空压站泵机</w:t>
                  </w:r>
                </w:p>
              </w:tc>
              <w:tc>
                <w:tcPr>
                  <w:tcW w:w="398" w:type="pct"/>
                  <w:tcBorders>
                    <w:tl2br w:val="nil"/>
                    <w:tr2bl w:val="nil"/>
                  </w:tcBorders>
                  <w:shd w:val="clear" w:color="auto" w:fill="FFFFFF"/>
                  <w:noWrap w:val="0"/>
                  <w:tcMar>
                    <w:top w:w="135" w:type="dxa"/>
                    <w:left w:w="270" w:type="dxa"/>
                    <w:bottom w:w="135" w:type="dxa"/>
                    <w:right w:w="270" w:type="dxa"/>
                  </w:tcMar>
                  <w:vAlign w:val="center"/>
                </w:tcPr>
                <w:p w14:paraId="270BD2D5">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kern w:val="21"/>
                      <w:sz w:val="21"/>
                      <w:szCs w:val="21"/>
                      <w:u w:val="none" w:color="auto"/>
                      <w:lang w:val="en-US" w:eastAsia="zh-CN" w:bidi="ar"/>
                    </w:rPr>
                  </w:pPr>
                  <w:r>
                    <w:rPr>
                      <w:rFonts w:hint="default" w:ascii="Times New Roman" w:hAnsi="Times New Roman" w:eastAsia="宋体" w:cs="Times New Roman"/>
                      <w:color w:val="auto"/>
                      <w:kern w:val="21"/>
                      <w:sz w:val="21"/>
                      <w:szCs w:val="21"/>
                      <w:u w:val="none" w:color="auto"/>
                      <w:lang w:val="en-US" w:eastAsia="zh-CN" w:bidi="ar"/>
                    </w:rPr>
                    <w:t>套</w:t>
                  </w:r>
                </w:p>
              </w:tc>
              <w:tc>
                <w:tcPr>
                  <w:tcW w:w="527" w:type="pct"/>
                  <w:tcBorders>
                    <w:tl2br w:val="nil"/>
                    <w:tr2bl w:val="nil"/>
                  </w:tcBorders>
                  <w:shd w:val="clear" w:color="auto" w:fill="FFFFFF"/>
                  <w:noWrap w:val="0"/>
                  <w:tcMar>
                    <w:top w:w="135" w:type="dxa"/>
                    <w:left w:w="270" w:type="dxa"/>
                    <w:bottom w:w="135" w:type="dxa"/>
                    <w:right w:w="270" w:type="dxa"/>
                  </w:tcMar>
                  <w:vAlign w:val="center"/>
                </w:tcPr>
                <w:p w14:paraId="73CB691A">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kern w:val="21"/>
                      <w:sz w:val="21"/>
                      <w:szCs w:val="21"/>
                      <w:u w:val="none" w:color="auto"/>
                      <w:lang w:val="en-US" w:eastAsia="zh-CN" w:bidi="ar"/>
                    </w:rPr>
                  </w:pPr>
                  <w:r>
                    <w:rPr>
                      <w:rFonts w:hint="default" w:ascii="Times New Roman" w:hAnsi="Times New Roman" w:eastAsia="宋体" w:cs="Times New Roman"/>
                      <w:color w:val="auto"/>
                      <w:kern w:val="21"/>
                      <w:sz w:val="21"/>
                      <w:szCs w:val="21"/>
                      <w:u w:val="none" w:color="auto"/>
                      <w:lang w:val="en-US" w:eastAsia="zh-CN" w:bidi="ar"/>
                    </w:rPr>
                    <w:t>1</w:t>
                  </w:r>
                </w:p>
              </w:tc>
              <w:tc>
                <w:tcPr>
                  <w:tcW w:w="734" w:type="pct"/>
                  <w:tcBorders>
                    <w:tl2br w:val="nil"/>
                    <w:tr2bl w:val="nil"/>
                  </w:tcBorders>
                  <w:shd w:val="clear" w:color="auto" w:fill="FFFFFF"/>
                  <w:noWrap w:val="0"/>
                  <w:tcMar>
                    <w:top w:w="135" w:type="dxa"/>
                    <w:left w:w="270" w:type="dxa"/>
                    <w:bottom w:w="135" w:type="dxa"/>
                    <w:right w:w="270" w:type="dxa"/>
                  </w:tcMar>
                  <w:vAlign w:val="center"/>
                </w:tcPr>
                <w:p w14:paraId="0FCF5897">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kern w:val="21"/>
                      <w:sz w:val="21"/>
                      <w:szCs w:val="21"/>
                      <w:u w:val="none" w:color="auto"/>
                      <w:lang w:val="en-US" w:eastAsia="zh-CN" w:bidi="ar-SA"/>
                    </w:rPr>
                  </w:pPr>
                  <w:r>
                    <w:rPr>
                      <w:rFonts w:hint="default" w:ascii="Times New Roman" w:hAnsi="Times New Roman" w:eastAsia="宋体" w:cs="Times New Roman"/>
                      <w:color w:val="auto"/>
                      <w:kern w:val="21"/>
                      <w:sz w:val="21"/>
                      <w:szCs w:val="21"/>
                      <w:u w:val="none" w:color="auto"/>
                      <w:lang w:val="en-US" w:eastAsia="zh-CN" w:bidi="ar"/>
                    </w:rPr>
                    <w:t>70-85</w:t>
                  </w:r>
                </w:p>
              </w:tc>
              <w:tc>
                <w:tcPr>
                  <w:tcW w:w="1005" w:type="pct"/>
                  <w:tcBorders>
                    <w:tl2br w:val="nil"/>
                    <w:tr2bl w:val="nil"/>
                  </w:tcBorders>
                  <w:shd w:val="clear" w:color="auto" w:fill="FFFFFF"/>
                  <w:noWrap w:val="0"/>
                  <w:tcMar>
                    <w:top w:w="135" w:type="dxa"/>
                    <w:left w:w="270" w:type="dxa"/>
                    <w:bottom w:w="135" w:type="dxa"/>
                    <w:right w:w="270" w:type="dxa"/>
                  </w:tcMar>
                  <w:vAlign w:val="center"/>
                </w:tcPr>
                <w:p w14:paraId="08CDAE2E">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kern w:val="21"/>
                      <w:sz w:val="21"/>
                      <w:szCs w:val="21"/>
                      <w:u w:val="none" w:color="auto"/>
                      <w:lang w:val="en-US" w:eastAsia="zh-CN" w:bidi="ar-SA"/>
                    </w:rPr>
                  </w:pPr>
                  <w:r>
                    <w:rPr>
                      <w:rFonts w:hint="default" w:ascii="Times New Roman" w:hAnsi="Times New Roman" w:eastAsia="宋体" w:cs="Times New Roman"/>
                      <w:color w:val="auto"/>
                      <w:kern w:val="21"/>
                      <w:sz w:val="21"/>
                      <w:szCs w:val="21"/>
                      <w:u w:val="none" w:color="auto"/>
                      <w:lang w:val="en-US" w:eastAsia="zh-CN" w:bidi="ar"/>
                    </w:rPr>
                    <w:t>泵机、风机等噪声</w:t>
                  </w:r>
                </w:p>
              </w:tc>
              <w:tc>
                <w:tcPr>
                  <w:tcW w:w="955" w:type="pct"/>
                  <w:tcBorders>
                    <w:tl2br w:val="nil"/>
                    <w:tr2bl w:val="nil"/>
                  </w:tcBorders>
                  <w:shd w:val="clear" w:color="auto" w:fill="FFFFFF"/>
                  <w:noWrap w:val="0"/>
                  <w:tcMar>
                    <w:top w:w="135" w:type="dxa"/>
                    <w:left w:w="270" w:type="dxa"/>
                    <w:bottom w:w="135" w:type="dxa"/>
                    <w:right w:w="270" w:type="dxa"/>
                  </w:tcMar>
                  <w:vAlign w:val="center"/>
                </w:tcPr>
                <w:p w14:paraId="5B6554FD">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kern w:val="21"/>
                      <w:sz w:val="21"/>
                      <w:szCs w:val="21"/>
                      <w:u w:val="none" w:color="auto"/>
                      <w:lang w:val="en-US" w:eastAsia="zh-CN" w:bidi="ar"/>
                    </w:rPr>
                  </w:pPr>
                  <w:r>
                    <w:rPr>
                      <w:rFonts w:hint="default" w:ascii="Times New Roman" w:hAnsi="Times New Roman" w:eastAsia="宋体" w:cs="Times New Roman"/>
                      <w:color w:val="auto"/>
                      <w:kern w:val="21"/>
                      <w:sz w:val="21"/>
                      <w:szCs w:val="21"/>
                      <w:u w:val="none" w:color="auto"/>
                      <w:lang w:val="en-US" w:eastAsia="zh-CN" w:bidi="ar"/>
                    </w:rPr>
                    <w:t>低噪声设备、</w:t>
                  </w:r>
                  <w:r>
                    <w:rPr>
                      <w:rFonts w:hint="default" w:ascii="Times New Roman" w:hAnsi="Times New Roman" w:eastAsia="宋体" w:cs="Times New Roman"/>
                      <w:i w:val="0"/>
                      <w:iCs w:val="0"/>
                      <w:caps w:val="0"/>
                      <w:color w:val="auto"/>
                      <w:spacing w:val="0"/>
                      <w:kern w:val="21"/>
                      <w:sz w:val="21"/>
                      <w:szCs w:val="21"/>
                      <w:u w:val="none" w:color="auto"/>
                      <w:lang w:val="en-US" w:eastAsia="zh-CN" w:bidi="ar"/>
                    </w:rPr>
                    <w:t>泵机隔声箱</w:t>
                  </w:r>
                </w:p>
              </w:tc>
              <w:tc>
                <w:tcPr>
                  <w:tcW w:w="713" w:type="pct"/>
                  <w:tcBorders>
                    <w:tl2br w:val="nil"/>
                    <w:tr2bl w:val="nil"/>
                  </w:tcBorders>
                  <w:shd w:val="clear" w:color="auto" w:fill="FFFFFF"/>
                  <w:noWrap w:val="0"/>
                  <w:tcMar>
                    <w:top w:w="135" w:type="dxa"/>
                    <w:left w:w="270" w:type="dxa"/>
                    <w:bottom w:w="135" w:type="dxa"/>
                    <w:right w:w="270" w:type="dxa"/>
                  </w:tcMar>
                  <w:vAlign w:val="center"/>
                </w:tcPr>
                <w:p w14:paraId="002306D6">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kern w:val="21"/>
                      <w:sz w:val="21"/>
                      <w:szCs w:val="21"/>
                      <w:u w:val="none" w:color="auto"/>
                      <w:lang w:val="en-US" w:eastAsia="zh-CN" w:bidi="ar"/>
                    </w:rPr>
                  </w:pPr>
                  <w:r>
                    <w:rPr>
                      <w:rFonts w:hint="default" w:ascii="Times New Roman" w:hAnsi="Times New Roman" w:eastAsia="宋体" w:cs="Times New Roman"/>
                      <w:i w:val="0"/>
                      <w:iCs w:val="0"/>
                      <w:caps w:val="0"/>
                      <w:color w:val="auto"/>
                      <w:spacing w:val="0"/>
                      <w:kern w:val="21"/>
                      <w:sz w:val="21"/>
                      <w:szCs w:val="21"/>
                      <w:u w:val="none" w:color="auto"/>
                      <w:shd w:val="clear" w:fill="FFFFFF"/>
                      <w:lang w:val="en-US" w:eastAsia="zh-CN"/>
                    </w:rPr>
                    <w:t>8-10</w:t>
                  </w:r>
                </w:p>
              </w:tc>
            </w:tr>
            <w:tr w14:paraId="53C04CD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gridAfter w:val="1"/>
                <w:wAfter w:w="3" w:type="pct"/>
                <w:trHeight w:val="23" w:hRule="atLeast"/>
              </w:trPr>
              <w:tc>
                <w:tcPr>
                  <w:tcW w:w="4996" w:type="pct"/>
                  <w:gridSpan w:val="7"/>
                  <w:tcBorders>
                    <w:tl2br w:val="nil"/>
                    <w:tr2bl w:val="nil"/>
                  </w:tcBorders>
                  <w:noWrap w:val="0"/>
                  <w:tcMar>
                    <w:top w:w="135" w:type="dxa"/>
                    <w:left w:w="270" w:type="dxa"/>
                    <w:bottom w:w="135" w:type="dxa"/>
                    <w:right w:w="270" w:type="dxa"/>
                  </w:tcMar>
                  <w:vAlign w:val="center"/>
                </w:tcPr>
                <w:p w14:paraId="41AA0BBD">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b/>
                      <w:bCs/>
                      <w:color w:val="auto"/>
                      <w:kern w:val="21"/>
                      <w:sz w:val="21"/>
                      <w:szCs w:val="21"/>
                      <w:u w:val="none" w:color="auto"/>
                      <w:lang w:val="en-US" w:eastAsia="zh-CN" w:bidi="ar"/>
                    </w:rPr>
                  </w:pPr>
                  <w:r>
                    <w:rPr>
                      <w:rFonts w:hint="default" w:ascii="Times New Roman" w:hAnsi="Times New Roman" w:eastAsia="宋体" w:cs="Times New Roman"/>
                      <w:b/>
                      <w:bCs/>
                      <w:i w:val="0"/>
                      <w:iCs w:val="0"/>
                      <w:snapToGrid w:val="0"/>
                      <w:color w:val="auto"/>
                      <w:kern w:val="21"/>
                      <w:sz w:val="21"/>
                      <w:szCs w:val="21"/>
                      <w:highlight w:val="none"/>
                      <w:u w:val="none" w:color="auto"/>
                      <w:lang w:val="en-US" w:eastAsia="zh-CN" w:bidi="ar"/>
                    </w:rPr>
                    <w:t>临港高新产业园区：22栋</w:t>
                  </w:r>
                </w:p>
              </w:tc>
            </w:tr>
            <w:tr w14:paraId="10123BE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gridAfter w:val="1"/>
                <w:wAfter w:w="3" w:type="pct"/>
                <w:trHeight w:val="23" w:hRule="atLeast"/>
              </w:trPr>
              <w:tc>
                <w:tcPr>
                  <w:tcW w:w="661" w:type="pct"/>
                  <w:tcBorders>
                    <w:tl2br w:val="nil"/>
                    <w:tr2bl w:val="nil"/>
                  </w:tcBorders>
                  <w:shd w:val="clear" w:color="auto" w:fill="FFFFFF"/>
                  <w:noWrap w:val="0"/>
                  <w:tcMar>
                    <w:top w:w="135" w:type="dxa"/>
                    <w:left w:w="270" w:type="dxa"/>
                    <w:bottom w:w="135" w:type="dxa"/>
                    <w:right w:w="270" w:type="dxa"/>
                  </w:tcMar>
                  <w:vAlign w:val="center"/>
                </w:tcPr>
                <w:p w14:paraId="175C179F">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六轴去毛刺打磨机</w:t>
                  </w:r>
                </w:p>
              </w:tc>
              <w:tc>
                <w:tcPr>
                  <w:tcW w:w="398" w:type="pct"/>
                  <w:tcBorders>
                    <w:tl2br w:val="nil"/>
                    <w:tr2bl w:val="nil"/>
                  </w:tcBorders>
                  <w:shd w:val="clear" w:color="auto" w:fill="FFFFFF"/>
                  <w:noWrap w:val="0"/>
                  <w:tcMar>
                    <w:top w:w="135" w:type="dxa"/>
                    <w:left w:w="270" w:type="dxa"/>
                    <w:bottom w:w="135" w:type="dxa"/>
                    <w:right w:w="270" w:type="dxa"/>
                  </w:tcMar>
                  <w:vAlign w:val="center"/>
                </w:tcPr>
                <w:p w14:paraId="1F138EBE">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套</w:t>
                  </w:r>
                </w:p>
              </w:tc>
              <w:tc>
                <w:tcPr>
                  <w:tcW w:w="527" w:type="pct"/>
                  <w:tcBorders>
                    <w:tl2br w:val="nil"/>
                    <w:tr2bl w:val="nil"/>
                  </w:tcBorders>
                  <w:shd w:val="clear" w:color="auto" w:fill="FFFFFF"/>
                  <w:noWrap w:val="0"/>
                  <w:tcMar>
                    <w:top w:w="135" w:type="dxa"/>
                    <w:left w:w="270" w:type="dxa"/>
                    <w:bottom w:w="135" w:type="dxa"/>
                    <w:right w:w="270" w:type="dxa"/>
                  </w:tcMar>
                  <w:vAlign w:val="center"/>
                </w:tcPr>
                <w:p w14:paraId="6CDB20FE">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10</w:t>
                  </w:r>
                </w:p>
              </w:tc>
              <w:tc>
                <w:tcPr>
                  <w:tcW w:w="734" w:type="pct"/>
                  <w:tcBorders>
                    <w:tl2br w:val="nil"/>
                    <w:tr2bl w:val="nil"/>
                  </w:tcBorders>
                  <w:shd w:val="clear" w:color="auto" w:fill="FFFFFF"/>
                  <w:noWrap w:val="0"/>
                  <w:tcMar>
                    <w:top w:w="135" w:type="dxa"/>
                    <w:left w:w="270" w:type="dxa"/>
                    <w:bottom w:w="135" w:type="dxa"/>
                    <w:right w:w="270" w:type="dxa"/>
                  </w:tcMar>
                  <w:vAlign w:val="center"/>
                </w:tcPr>
                <w:p w14:paraId="6283E577">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85-100</w:t>
                  </w:r>
                </w:p>
              </w:tc>
              <w:tc>
                <w:tcPr>
                  <w:tcW w:w="1005" w:type="pct"/>
                  <w:tcBorders>
                    <w:tl2br w:val="nil"/>
                    <w:tr2bl w:val="nil"/>
                  </w:tcBorders>
                  <w:shd w:val="clear" w:color="auto" w:fill="FFFFFF"/>
                  <w:noWrap w:val="0"/>
                  <w:tcMar>
                    <w:top w:w="135" w:type="dxa"/>
                    <w:left w:w="270" w:type="dxa"/>
                    <w:bottom w:w="135" w:type="dxa"/>
                    <w:right w:w="270" w:type="dxa"/>
                  </w:tcMar>
                  <w:vAlign w:val="center"/>
                </w:tcPr>
                <w:p w14:paraId="4A18B55F">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打磨轮与工件摩擦噪声（高强度源），除尘器增加风扇噪声</w:t>
                  </w:r>
                </w:p>
              </w:tc>
              <w:tc>
                <w:tcPr>
                  <w:tcW w:w="955" w:type="pct"/>
                  <w:tcBorders>
                    <w:tl2br w:val="nil"/>
                    <w:tr2bl w:val="nil"/>
                  </w:tcBorders>
                  <w:shd w:val="clear" w:color="auto" w:fill="FFFFFF"/>
                  <w:noWrap w:val="0"/>
                  <w:tcMar>
                    <w:top w:w="135" w:type="dxa"/>
                    <w:left w:w="270" w:type="dxa"/>
                    <w:bottom w:w="135" w:type="dxa"/>
                    <w:right w:w="270" w:type="dxa"/>
                  </w:tcMar>
                  <w:vAlign w:val="center"/>
                </w:tcPr>
                <w:p w14:paraId="30B53E2A">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lang w:val="en-US" w:eastAsia="zh-CN" w:bidi="ar"/>
                    </w:rPr>
                  </w:pPr>
                  <w:r>
                    <w:rPr>
                      <w:rFonts w:hint="default" w:ascii="Times New Roman" w:hAnsi="Times New Roman" w:eastAsia="宋体" w:cs="Times New Roman"/>
                      <w:i w:val="0"/>
                      <w:iCs w:val="0"/>
                      <w:caps w:val="0"/>
                      <w:color w:val="auto"/>
                      <w:spacing w:val="0"/>
                      <w:kern w:val="21"/>
                      <w:sz w:val="21"/>
                      <w:szCs w:val="21"/>
                      <w:u w:val="none" w:color="auto"/>
                      <w:shd w:val="clear" w:fill="FFFFFF"/>
                      <w:lang w:val="en-US" w:eastAsia="zh-CN"/>
                    </w:rPr>
                    <w:t>设备箱体隔声、低噪声设备</w:t>
                  </w:r>
                </w:p>
              </w:tc>
              <w:tc>
                <w:tcPr>
                  <w:tcW w:w="713" w:type="pct"/>
                  <w:tcBorders>
                    <w:tl2br w:val="nil"/>
                    <w:tr2bl w:val="nil"/>
                  </w:tcBorders>
                  <w:shd w:val="clear" w:color="auto" w:fill="FFFFFF"/>
                  <w:noWrap w:val="0"/>
                  <w:tcMar>
                    <w:top w:w="135" w:type="dxa"/>
                    <w:left w:w="270" w:type="dxa"/>
                    <w:bottom w:w="135" w:type="dxa"/>
                    <w:right w:w="270" w:type="dxa"/>
                  </w:tcMar>
                  <w:vAlign w:val="center"/>
                </w:tcPr>
                <w:p w14:paraId="5D3FC3EA">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i w:val="0"/>
                      <w:iCs w:val="0"/>
                      <w:caps w:val="0"/>
                      <w:color w:val="auto"/>
                      <w:spacing w:val="0"/>
                      <w:kern w:val="21"/>
                      <w:sz w:val="21"/>
                      <w:szCs w:val="21"/>
                      <w:u w:val="none" w:color="auto"/>
                      <w:shd w:val="clear" w:fill="FFFFFF"/>
                      <w:lang w:val="en-US" w:eastAsia="zh-CN"/>
                    </w:rPr>
                  </w:pPr>
                  <w:r>
                    <w:rPr>
                      <w:rFonts w:hint="default" w:ascii="Times New Roman" w:hAnsi="Times New Roman" w:eastAsia="宋体" w:cs="Times New Roman"/>
                      <w:i w:val="0"/>
                      <w:iCs w:val="0"/>
                      <w:caps w:val="0"/>
                      <w:color w:val="auto"/>
                      <w:spacing w:val="0"/>
                      <w:kern w:val="21"/>
                      <w:sz w:val="21"/>
                      <w:szCs w:val="21"/>
                      <w:u w:val="none" w:color="auto"/>
                      <w:shd w:val="clear" w:fill="FFFFFF"/>
                      <w:lang w:val="en-US" w:eastAsia="zh-CN"/>
                    </w:rPr>
                    <w:t>8-10</w:t>
                  </w:r>
                </w:p>
              </w:tc>
            </w:tr>
            <w:tr w14:paraId="58F02E8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gridAfter w:val="1"/>
                <w:wAfter w:w="3" w:type="pct"/>
                <w:trHeight w:val="23" w:hRule="atLeast"/>
              </w:trPr>
              <w:tc>
                <w:tcPr>
                  <w:tcW w:w="661" w:type="pct"/>
                  <w:tcBorders>
                    <w:tl2br w:val="nil"/>
                    <w:tr2bl w:val="nil"/>
                  </w:tcBorders>
                  <w:shd w:val="clear" w:color="auto" w:fill="FFFFFF"/>
                  <w:noWrap w:val="0"/>
                  <w:tcMar>
                    <w:top w:w="135" w:type="dxa"/>
                    <w:left w:w="270" w:type="dxa"/>
                    <w:bottom w:w="135" w:type="dxa"/>
                    <w:right w:w="270" w:type="dxa"/>
                  </w:tcMar>
                  <w:vAlign w:val="center"/>
                </w:tcPr>
                <w:p w14:paraId="1AA63370">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激光打标机</w:t>
                  </w:r>
                </w:p>
              </w:tc>
              <w:tc>
                <w:tcPr>
                  <w:tcW w:w="398" w:type="pct"/>
                  <w:tcBorders>
                    <w:tl2br w:val="nil"/>
                    <w:tr2bl w:val="nil"/>
                  </w:tcBorders>
                  <w:shd w:val="clear" w:color="auto" w:fill="FFFFFF"/>
                  <w:noWrap w:val="0"/>
                  <w:tcMar>
                    <w:top w:w="135" w:type="dxa"/>
                    <w:left w:w="270" w:type="dxa"/>
                    <w:bottom w:w="135" w:type="dxa"/>
                    <w:right w:w="270" w:type="dxa"/>
                  </w:tcMar>
                  <w:vAlign w:val="center"/>
                </w:tcPr>
                <w:p w14:paraId="781A3CA6">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套</w:t>
                  </w:r>
                </w:p>
              </w:tc>
              <w:tc>
                <w:tcPr>
                  <w:tcW w:w="527" w:type="pct"/>
                  <w:tcBorders>
                    <w:tl2br w:val="nil"/>
                    <w:tr2bl w:val="nil"/>
                  </w:tcBorders>
                  <w:shd w:val="clear" w:color="auto" w:fill="FFFFFF"/>
                  <w:noWrap w:val="0"/>
                  <w:tcMar>
                    <w:top w:w="135" w:type="dxa"/>
                    <w:left w:w="270" w:type="dxa"/>
                    <w:bottom w:w="135" w:type="dxa"/>
                    <w:right w:w="270" w:type="dxa"/>
                  </w:tcMar>
                  <w:vAlign w:val="center"/>
                </w:tcPr>
                <w:p w14:paraId="69AFA55E">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3</w:t>
                  </w:r>
                </w:p>
              </w:tc>
              <w:tc>
                <w:tcPr>
                  <w:tcW w:w="734" w:type="pct"/>
                  <w:tcBorders>
                    <w:tl2br w:val="nil"/>
                    <w:tr2bl w:val="nil"/>
                  </w:tcBorders>
                  <w:shd w:val="clear" w:color="auto" w:fill="FFFFFF"/>
                  <w:noWrap w:val="0"/>
                  <w:tcMar>
                    <w:top w:w="135" w:type="dxa"/>
                    <w:left w:w="270" w:type="dxa"/>
                    <w:bottom w:w="135" w:type="dxa"/>
                    <w:right w:w="270" w:type="dxa"/>
                  </w:tcMar>
                  <w:vAlign w:val="center"/>
                </w:tcPr>
                <w:p w14:paraId="30EAE211">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70-85</w:t>
                  </w:r>
                </w:p>
              </w:tc>
              <w:tc>
                <w:tcPr>
                  <w:tcW w:w="1005" w:type="pct"/>
                  <w:tcBorders>
                    <w:tl2br w:val="nil"/>
                    <w:tr2bl w:val="nil"/>
                  </w:tcBorders>
                  <w:shd w:val="clear" w:color="auto" w:fill="FFFFFF"/>
                  <w:noWrap w:val="0"/>
                  <w:tcMar>
                    <w:top w:w="135" w:type="dxa"/>
                    <w:left w:w="270" w:type="dxa"/>
                    <w:bottom w:w="135" w:type="dxa"/>
                    <w:right w:w="270" w:type="dxa"/>
                  </w:tcMar>
                  <w:vAlign w:val="center"/>
                </w:tcPr>
                <w:p w14:paraId="304CDCC8">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激光脉冲和冷却噪声</w:t>
                  </w:r>
                </w:p>
              </w:tc>
              <w:tc>
                <w:tcPr>
                  <w:tcW w:w="955" w:type="pct"/>
                  <w:tcBorders>
                    <w:tl2br w:val="nil"/>
                    <w:tr2bl w:val="nil"/>
                  </w:tcBorders>
                  <w:shd w:val="clear" w:color="auto" w:fill="FFFFFF"/>
                  <w:noWrap w:val="0"/>
                  <w:tcMar>
                    <w:top w:w="135" w:type="dxa"/>
                    <w:left w:w="270" w:type="dxa"/>
                    <w:bottom w:w="135" w:type="dxa"/>
                    <w:right w:w="270" w:type="dxa"/>
                  </w:tcMar>
                  <w:vAlign w:val="center"/>
                </w:tcPr>
                <w:p w14:paraId="2636D998">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lang w:val="en-US" w:eastAsia="zh-CN" w:bidi="ar"/>
                    </w:rPr>
                  </w:pPr>
                  <w:r>
                    <w:rPr>
                      <w:rFonts w:hint="default" w:ascii="Times New Roman" w:hAnsi="Times New Roman" w:eastAsia="宋体" w:cs="Times New Roman"/>
                      <w:color w:val="auto"/>
                      <w:kern w:val="21"/>
                      <w:sz w:val="21"/>
                      <w:szCs w:val="21"/>
                      <w:u w:val="none" w:color="auto"/>
                      <w:lang w:val="en-US" w:eastAsia="zh-CN" w:bidi="ar"/>
                    </w:rPr>
                    <w:t>低噪声设备</w:t>
                  </w:r>
                </w:p>
              </w:tc>
              <w:tc>
                <w:tcPr>
                  <w:tcW w:w="713" w:type="pct"/>
                  <w:tcBorders>
                    <w:tl2br w:val="nil"/>
                    <w:tr2bl w:val="nil"/>
                  </w:tcBorders>
                  <w:shd w:val="clear" w:color="auto" w:fill="FFFFFF"/>
                  <w:noWrap w:val="0"/>
                  <w:tcMar>
                    <w:top w:w="135" w:type="dxa"/>
                    <w:left w:w="270" w:type="dxa"/>
                    <w:bottom w:w="135" w:type="dxa"/>
                    <w:right w:w="270" w:type="dxa"/>
                  </w:tcMar>
                  <w:vAlign w:val="center"/>
                </w:tcPr>
                <w:p w14:paraId="627905AD">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lang w:val="en-US" w:eastAsia="zh-CN" w:bidi="ar"/>
                    </w:rPr>
                  </w:pPr>
                  <w:r>
                    <w:rPr>
                      <w:rFonts w:hint="default" w:ascii="Times New Roman" w:hAnsi="Times New Roman" w:eastAsia="宋体" w:cs="Times New Roman"/>
                      <w:i w:val="0"/>
                      <w:iCs w:val="0"/>
                      <w:caps w:val="0"/>
                      <w:color w:val="auto"/>
                      <w:spacing w:val="0"/>
                      <w:kern w:val="21"/>
                      <w:sz w:val="21"/>
                      <w:szCs w:val="21"/>
                      <w:u w:val="none" w:color="auto"/>
                      <w:shd w:val="clear" w:fill="FFFFFF"/>
                      <w:lang w:val="en-US" w:eastAsia="zh-CN"/>
                    </w:rPr>
                    <w:t>8-10</w:t>
                  </w:r>
                </w:p>
              </w:tc>
            </w:tr>
            <w:tr w14:paraId="7DCE544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gridAfter w:val="1"/>
                <w:wAfter w:w="3" w:type="pct"/>
                <w:trHeight w:val="23" w:hRule="atLeast"/>
              </w:trPr>
              <w:tc>
                <w:tcPr>
                  <w:tcW w:w="661" w:type="pct"/>
                  <w:tcBorders>
                    <w:tl2br w:val="nil"/>
                    <w:tr2bl w:val="nil"/>
                  </w:tcBorders>
                  <w:shd w:val="clear" w:color="auto" w:fill="FFFFFF"/>
                  <w:noWrap w:val="0"/>
                  <w:tcMar>
                    <w:top w:w="135" w:type="dxa"/>
                    <w:left w:w="270" w:type="dxa"/>
                    <w:bottom w:w="135" w:type="dxa"/>
                    <w:right w:w="270" w:type="dxa"/>
                  </w:tcMar>
                  <w:vAlign w:val="center"/>
                </w:tcPr>
                <w:p w14:paraId="66FBFE28">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立式加工中心</w:t>
                  </w:r>
                </w:p>
              </w:tc>
              <w:tc>
                <w:tcPr>
                  <w:tcW w:w="398" w:type="pct"/>
                  <w:tcBorders>
                    <w:tl2br w:val="nil"/>
                    <w:tr2bl w:val="nil"/>
                  </w:tcBorders>
                  <w:shd w:val="clear" w:color="auto" w:fill="FFFFFF"/>
                  <w:noWrap w:val="0"/>
                  <w:tcMar>
                    <w:top w:w="135" w:type="dxa"/>
                    <w:left w:w="270" w:type="dxa"/>
                    <w:bottom w:w="135" w:type="dxa"/>
                    <w:right w:w="270" w:type="dxa"/>
                  </w:tcMar>
                  <w:vAlign w:val="center"/>
                </w:tcPr>
                <w:p w14:paraId="1076A5B0">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套</w:t>
                  </w:r>
                </w:p>
              </w:tc>
              <w:tc>
                <w:tcPr>
                  <w:tcW w:w="527" w:type="pct"/>
                  <w:tcBorders>
                    <w:tl2br w:val="nil"/>
                    <w:tr2bl w:val="nil"/>
                  </w:tcBorders>
                  <w:shd w:val="clear" w:color="auto" w:fill="FFFFFF"/>
                  <w:noWrap w:val="0"/>
                  <w:tcMar>
                    <w:top w:w="135" w:type="dxa"/>
                    <w:left w:w="270" w:type="dxa"/>
                    <w:bottom w:w="135" w:type="dxa"/>
                    <w:right w:w="270" w:type="dxa"/>
                  </w:tcMar>
                  <w:vAlign w:val="center"/>
                </w:tcPr>
                <w:p w14:paraId="5546BDB2">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10</w:t>
                  </w:r>
                </w:p>
              </w:tc>
              <w:tc>
                <w:tcPr>
                  <w:tcW w:w="734" w:type="pct"/>
                  <w:tcBorders>
                    <w:tl2br w:val="nil"/>
                    <w:tr2bl w:val="nil"/>
                  </w:tcBorders>
                  <w:shd w:val="clear" w:color="auto" w:fill="FFFFFF"/>
                  <w:noWrap w:val="0"/>
                  <w:tcMar>
                    <w:top w:w="135" w:type="dxa"/>
                    <w:left w:w="270" w:type="dxa"/>
                    <w:bottom w:w="135" w:type="dxa"/>
                    <w:right w:w="270" w:type="dxa"/>
                  </w:tcMar>
                  <w:vAlign w:val="center"/>
                </w:tcPr>
                <w:p w14:paraId="6153DF19">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80-95</w:t>
                  </w:r>
                </w:p>
              </w:tc>
              <w:tc>
                <w:tcPr>
                  <w:tcW w:w="1005" w:type="pct"/>
                  <w:tcBorders>
                    <w:tl2br w:val="nil"/>
                    <w:tr2bl w:val="nil"/>
                  </w:tcBorders>
                  <w:shd w:val="clear" w:color="auto" w:fill="FFFFFF"/>
                  <w:noWrap w:val="0"/>
                  <w:tcMar>
                    <w:top w:w="135" w:type="dxa"/>
                    <w:left w:w="270" w:type="dxa"/>
                    <w:bottom w:w="135" w:type="dxa"/>
                    <w:right w:w="270" w:type="dxa"/>
                  </w:tcMar>
                  <w:vAlign w:val="center"/>
                </w:tcPr>
                <w:p w14:paraId="2F63C42C">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切削噪声（类似其他加工中心）</w:t>
                  </w:r>
                </w:p>
              </w:tc>
              <w:tc>
                <w:tcPr>
                  <w:tcW w:w="955" w:type="pct"/>
                  <w:vMerge w:val="restart"/>
                  <w:tcBorders>
                    <w:tl2br w:val="nil"/>
                    <w:tr2bl w:val="nil"/>
                  </w:tcBorders>
                  <w:shd w:val="clear" w:color="auto" w:fill="FFFFFF"/>
                  <w:noWrap w:val="0"/>
                  <w:tcMar>
                    <w:top w:w="135" w:type="dxa"/>
                    <w:left w:w="270" w:type="dxa"/>
                    <w:bottom w:w="135" w:type="dxa"/>
                    <w:right w:w="270" w:type="dxa"/>
                  </w:tcMar>
                  <w:vAlign w:val="center"/>
                </w:tcPr>
                <w:p w14:paraId="5BAB4B88">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lang w:val="en-US" w:eastAsia="zh-CN" w:bidi="ar"/>
                    </w:rPr>
                  </w:pPr>
                  <w:r>
                    <w:rPr>
                      <w:rFonts w:hint="default" w:ascii="Times New Roman" w:hAnsi="Times New Roman" w:eastAsia="宋体" w:cs="Times New Roman"/>
                      <w:i w:val="0"/>
                      <w:iCs w:val="0"/>
                      <w:caps w:val="0"/>
                      <w:color w:val="auto"/>
                      <w:spacing w:val="0"/>
                      <w:kern w:val="21"/>
                      <w:sz w:val="21"/>
                      <w:szCs w:val="21"/>
                      <w:u w:val="none" w:color="auto"/>
                      <w:shd w:val="clear" w:fill="FFFFFF"/>
                      <w:lang w:val="en-US" w:eastAsia="zh-CN"/>
                    </w:rPr>
                    <w:t>设备箱体隔声、低噪声设备</w:t>
                  </w:r>
                </w:p>
              </w:tc>
              <w:tc>
                <w:tcPr>
                  <w:tcW w:w="713" w:type="pct"/>
                  <w:tcBorders>
                    <w:tl2br w:val="nil"/>
                    <w:tr2bl w:val="nil"/>
                  </w:tcBorders>
                  <w:shd w:val="clear" w:color="auto" w:fill="FFFFFF"/>
                  <w:noWrap w:val="0"/>
                  <w:tcMar>
                    <w:top w:w="135" w:type="dxa"/>
                    <w:left w:w="270" w:type="dxa"/>
                    <w:bottom w:w="135" w:type="dxa"/>
                    <w:right w:w="270" w:type="dxa"/>
                  </w:tcMar>
                  <w:vAlign w:val="center"/>
                </w:tcPr>
                <w:p w14:paraId="09A731EF">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i w:val="0"/>
                      <w:iCs w:val="0"/>
                      <w:caps w:val="0"/>
                      <w:color w:val="auto"/>
                      <w:spacing w:val="0"/>
                      <w:kern w:val="21"/>
                      <w:sz w:val="21"/>
                      <w:szCs w:val="21"/>
                      <w:u w:val="none" w:color="auto"/>
                      <w:shd w:val="clear" w:fill="FFFFFF"/>
                      <w:lang w:val="en-US" w:eastAsia="zh-CN"/>
                    </w:rPr>
                  </w:pPr>
                  <w:r>
                    <w:rPr>
                      <w:rFonts w:hint="default" w:ascii="Times New Roman" w:hAnsi="Times New Roman" w:eastAsia="宋体" w:cs="Times New Roman"/>
                      <w:i w:val="0"/>
                      <w:iCs w:val="0"/>
                      <w:caps w:val="0"/>
                      <w:color w:val="auto"/>
                      <w:spacing w:val="0"/>
                      <w:kern w:val="21"/>
                      <w:sz w:val="21"/>
                      <w:szCs w:val="21"/>
                      <w:u w:val="none" w:color="auto"/>
                      <w:shd w:val="clear" w:fill="FFFFFF"/>
                      <w:lang w:val="en-US" w:eastAsia="zh-CN"/>
                    </w:rPr>
                    <w:t>8-10</w:t>
                  </w:r>
                </w:p>
              </w:tc>
            </w:tr>
            <w:tr w14:paraId="17E88BE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gridAfter w:val="1"/>
                <w:wAfter w:w="3" w:type="pct"/>
                <w:trHeight w:val="23" w:hRule="atLeast"/>
              </w:trPr>
              <w:tc>
                <w:tcPr>
                  <w:tcW w:w="661" w:type="pct"/>
                  <w:tcBorders>
                    <w:tl2br w:val="nil"/>
                    <w:tr2bl w:val="nil"/>
                  </w:tcBorders>
                  <w:shd w:val="clear" w:color="auto" w:fill="FFFFFF"/>
                  <w:noWrap w:val="0"/>
                  <w:tcMar>
                    <w:top w:w="135" w:type="dxa"/>
                    <w:left w:w="270" w:type="dxa"/>
                    <w:bottom w:w="135" w:type="dxa"/>
                    <w:right w:w="270" w:type="dxa"/>
                  </w:tcMar>
                  <w:vAlign w:val="center"/>
                </w:tcPr>
                <w:p w14:paraId="0D2D5AB1">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立式加工中心（4轴）</w:t>
                  </w:r>
                </w:p>
              </w:tc>
              <w:tc>
                <w:tcPr>
                  <w:tcW w:w="398" w:type="pct"/>
                  <w:tcBorders>
                    <w:tl2br w:val="nil"/>
                    <w:tr2bl w:val="nil"/>
                  </w:tcBorders>
                  <w:shd w:val="clear" w:color="auto" w:fill="FFFFFF"/>
                  <w:noWrap w:val="0"/>
                  <w:tcMar>
                    <w:top w:w="135" w:type="dxa"/>
                    <w:left w:w="270" w:type="dxa"/>
                    <w:bottom w:w="135" w:type="dxa"/>
                    <w:right w:w="270" w:type="dxa"/>
                  </w:tcMar>
                  <w:vAlign w:val="center"/>
                </w:tcPr>
                <w:p w14:paraId="13BE219B">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套</w:t>
                  </w:r>
                </w:p>
              </w:tc>
              <w:tc>
                <w:tcPr>
                  <w:tcW w:w="527" w:type="pct"/>
                  <w:tcBorders>
                    <w:tl2br w:val="nil"/>
                    <w:tr2bl w:val="nil"/>
                  </w:tcBorders>
                  <w:shd w:val="clear" w:color="auto" w:fill="FFFFFF"/>
                  <w:noWrap w:val="0"/>
                  <w:tcMar>
                    <w:top w:w="135" w:type="dxa"/>
                    <w:left w:w="270" w:type="dxa"/>
                    <w:bottom w:w="135" w:type="dxa"/>
                    <w:right w:w="270" w:type="dxa"/>
                  </w:tcMar>
                  <w:vAlign w:val="center"/>
                </w:tcPr>
                <w:p w14:paraId="3E81471C">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20</w:t>
                  </w:r>
                </w:p>
              </w:tc>
              <w:tc>
                <w:tcPr>
                  <w:tcW w:w="734" w:type="pct"/>
                  <w:tcBorders>
                    <w:tl2br w:val="nil"/>
                    <w:tr2bl w:val="nil"/>
                  </w:tcBorders>
                  <w:shd w:val="clear" w:color="auto" w:fill="FFFFFF"/>
                  <w:noWrap w:val="0"/>
                  <w:tcMar>
                    <w:top w:w="135" w:type="dxa"/>
                    <w:left w:w="270" w:type="dxa"/>
                    <w:bottom w:w="135" w:type="dxa"/>
                    <w:right w:w="270" w:type="dxa"/>
                  </w:tcMar>
                  <w:vAlign w:val="center"/>
                </w:tcPr>
                <w:p w14:paraId="48A7992B">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80-95</w:t>
                  </w:r>
                </w:p>
              </w:tc>
              <w:tc>
                <w:tcPr>
                  <w:tcW w:w="1005" w:type="pct"/>
                  <w:tcBorders>
                    <w:tl2br w:val="nil"/>
                    <w:tr2bl w:val="nil"/>
                  </w:tcBorders>
                  <w:shd w:val="clear" w:color="auto" w:fill="FFFFFF"/>
                  <w:noWrap w:val="0"/>
                  <w:tcMar>
                    <w:top w:w="135" w:type="dxa"/>
                    <w:left w:w="270" w:type="dxa"/>
                    <w:bottom w:w="135" w:type="dxa"/>
                    <w:right w:w="270" w:type="dxa"/>
                  </w:tcMar>
                  <w:vAlign w:val="center"/>
                </w:tcPr>
                <w:p w14:paraId="3128F50E">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lang w:val="en-US" w:eastAsia="zh-CN" w:bidi="ar"/>
                    </w:rPr>
                    <w:t>同上，4轴设计可能略高</w:t>
                  </w:r>
                </w:p>
              </w:tc>
              <w:tc>
                <w:tcPr>
                  <w:tcW w:w="955" w:type="pct"/>
                  <w:vMerge w:val="continue"/>
                  <w:tcBorders>
                    <w:tl2br w:val="nil"/>
                    <w:tr2bl w:val="nil"/>
                  </w:tcBorders>
                  <w:shd w:val="clear" w:color="auto" w:fill="FFFFFF"/>
                  <w:noWrap w:val="0"/>
                  <w:tcMar>
                    <w:top w:w="135" w:type="dxa"/>
                    <w:left w:w="270" w:type="dxa"/>
                    <w:bottom w:w="135" w:type="dxa"/>
                    <w:right w:w="270" w:type="dxa"/>
                  </w:tcMar>
                  <w:vAlign w:val="center"/>
                </w:tcPr>
                <w:p w14:paraId="54B8B57E">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lang w:val="en-US" w:eastAsia="zh-CN" w:bidi="ar"/>
                    </w:rPr>
                  </w:pPr>
                </w:p>
              </w:tc>
              <w:tc>
                <w:tcPr>
                  <w:tcW w:w="713" w:type="pct"/>
                  <w:tcBorders>
                    <w:tl2br w:val="nil"/>
                    <w:tr2bl w:val="nil"/>
                  </w:tcBorders>
                  <w:shd w:val="clear" w:color="auto" w:fill="FFFFFF"/>
                  <w:noWrap w:val="0"/>
                  <w:tcMar>
                    <w:top w:w="135" w:type="dxa"/>
                    <w:left w:w="270" w:type="dxa"/>
                    <w:bottom w:w="135" w:type="dxa"/>
                    <w:right w:w="270" w:type="dxa"/>
                  </w:tcMar>
                  <w:vAlign w:val="center"/>
                </w:tcPr>
                <w:p w14:paraId="521F5250">
                  <w:pPr>
                    <w:keepNext w:val="0"/>
                    <w:keepLines w:val="0"/>
                    <w:pageBreakBefore w:val="0"/>
                    <w:widowControl/>
                    <w:suppressLineNumbers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kern w:val="21"/>
                      <w:sz w:val="21"/>
                      <w:szCs w:val="21"/>
                      <w:u w:val="none" w:color="auto"/>
                      <w:lang w:val="en-US" w:eastAsia="zh-CN" w:bidi="ar"/>
                    </w:rPr>
                  </w:pPr>
                  <w:r>
                    <w:rPr>
                      <w:rFonts w:hint="default" w:ascii="Times New Roman" w:hAnsi="Times New Roman" w:eastAsia="宋体" w:cs="Times New Roman"/>
                      <w:i w:val="0"/>
                      <w:iCs w:val="0"/>
                      <w:caps w:val="0"/>
                      <w:color w:val="auto"/>
                      <w:spacing w:val="0"/>
                      <w:kern w:val="21"/>
                      <w:sz w:val="21"/>
                      <w:szCs w:val="21"/>
                      <w:u w:val="none" w:color="auto"/>
                      <w:shd w:val="clear" w:fill="FFFFFF"/>
                      <w:lang w:val="en-US" w:eastAsia="zh-CN"/>
                    </w:rPr>
                    <w:t>8-10</w:t>
                  </w:r>
                </w:p>
              </w:tc>
            </w:tr>
            <w:tr w14:paraId="76E2669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gridAfter w:val="1"/>
                <w:wAfter w:w="3" w:type="pct"/>
                <w:trHeight w:val="23" w:hRule="atLeast"/>
              </w:trPr>
              <w:tc>
                <w:tcPr>
                  <w:tcW w:w="661" w:type="pct"/>
                  <w:tcBorders>
                    <w:tl2br w:val="nil"/>
                    <w:tr2bl w:val="nil"/>
                  </w:tcBorders>
                  <w:shd w:val="clear" w:color="auto" w:fill="FFFFFF"/>
                  <w:noWrap w:val="0"/>
                  <w:tcMar>
                    <w:top w:w="135" w:type="dxa"/>
                    <w:left w:w="270" w:type="dxa"/>
                    <w:bottom w:w="135" w:type="dxa"/>
                    <w:right w:w="270" w:type="dxa"/>
                  </w:tcMar>
                  <w:vAlign w:val="center"/>
                </w:tcPr>
                <w:p w14:paraId="300DD72C">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kern w:val="21"/>
                      <w:sz w:val="21"/>
                      <w:szCs w:val="21"/>
                      <w:u w:val="none" w:color="auto"/>
                      <w:lang w:val="en-US" w:eastAsia="zh-CN" w:bidi="ar"/>
                    </w:rPr>
                  </w:pPr>
                  <w:r>
                    <w:rPr>
                      <w:rFonts w:hint="default" w:ascii="Times New Roman" w:hAnsi="Times New Roman" w:eastAsia="宋体" w:cs="Times New Roman"/>
                      <w:color w:val="auto"/>
                      <w:kern w:val="21"/>
                      <w:sz w:val="21"/>
                      <w:szCs w:val="21"/>
                      <w:u w:val="none" w:color="auto"/>
                      <w:lang w:val="en-US" w:eastAsia="zh-CN" w:bidi="ar"/>
                    </w:rPr>
                    <w:t>空压站泵机</w:t>
                  </w:r>
                </w:p>
              </w:tc>
              <w:tc>
                <w:tcPr>
                  <w:tcW w:w="398" w:type="pct"/>
                  <w:tcBorders>
                    <w:tl2br w:val="nil"/>
                    <w:tr2bl w:val="nil"/>
                  </w:tcBorders>
                  <w:shd w:val="clear" w:color="auto" w:fill="FFFFFF"/>
                  <w:noWrap w:val="0"/>
                  <w:tcMar>
                    <w:top w:w="135" w:type="dxa"/>
                    <w:left w:w="270" w:type="dxa"/>
                    <w:bottom w:w="135" w:type="dxa"/>
                    <w:right w:w="270" w:type="dxa"/>
                  </w:tcMar>
                  <w:vAlign w:val="center"/>
                </w:tcPr>
                <w:p w14:paraId="0E0F20B0">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kern w:val="21"/>
                      <w:sz w:val="21"/>
                      <w:szCs w:val="21"/>
                      <w:u w:val="none" w:color="auto"/>
                      <w:lang w:val="en-US" w:eastAsia="zh-CN" w:bidi="ar"/>
                    </w:rPr>
                  </w:pPr>
                  <w:r>
                    <w:rPr>
                      <w:rFonts w:hint="default" w:ascii="Times New Roman" w:hAnsi="Times New Roman" w:eastAsia="宋体" w:cs="Times New Roman"/>
                      <w:color w:val="auto"/>
                      <w:kern w:val="21"/>
                      <w:sz w:val="21"/>
                      <w:szCs w:val="21"/>
                      <w:u w:val="none" w:color="auto"/>
                      <w:lang w:val="en-US" w:eastAsia="zh-CN" w:bidi="ar"/>
                    </w:rPr>
                    <w:t>套</w:t>
                  </w:r>
                </w:p>
              </w:tc>
              <w:tc>
                <w:tcPr>
                  <w:tcW w:w="527" w:type="pct"/>
                  <w:tcBorders>
                    <w:tl2br w:val="nil"/>
                    <w:tr2bl w:val="nil"/>
                  </w:tcBorders>
                  <w:shd w:val="clear" w:color="auto" w:fill="FFFFFF"/>
                  <w:noWrap w:val="0"/>
                  <w:tcMar>
                    <w:top w:w="135" w:type="dxa"/>
                    <w:left w:w="270" w:type="dxa"/>
                    <w:bottom w:w="135" w:type="dxa"/>
                    <w:right w:w="270" w:type="dxa"/>
                  </w:tcMar>
                  <w:vAlign w:val="center"/>
                </w:tcPr>
                <w:p w14:paraId="77235A4B">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kern w:val="21"/>
                      <w:sz w:val="21"/>
                      <w:szCs w:val="21"/>
                      <w:u w:val="none" w:color="auto"/>
                      <w:lang w:val="en-US" w:eastAsia="zh-CN" w:bidi="ar"/>
                    </w:rPr>
                  </w:pPr>
                  <w:r>
                    <w:rPr>
                      <w:rFonts w:hint="default" w:ascii="Times New Roman" w:hAnsi="Times New Roman" w:eastAsia="宋体" w:cs="Times New Roman"/>
                      <w:color w:val="auto"/>
                      <w:kern w:val="21"/>
                      <w:sz w:val="21"/>
                      <w:szCs w:val="21"/>
                      <w:u w:val="none" w:color="auto"/>
                      <w:lang w:val="en-US" w:eastAsia="zh-CN" w:bidi="ar"/>
                    </w:rPr>
                    <w:t>1</w:t>
                  </w:r>
                </w:p>
              </w:tc>
              <w:tc>
                <w:tcPr>
                  <w:tcW w:w="734" w:type="pct"/>
                  <w:tcBorders>
                    <w:tl2br w:val="nil"/>
                    <w:tr2bl w:val="nil"/>
                  </w:tcBorders>
                  <w:shd w:val="clear" w:color="auto" w:fill="FFFFFF"/>
                  <w:noWrap w:val="0"/>
                  <w:tcMar>
                    <w:top w:w="135" w:type="dxa"/>
                    <w:left w:w="270" w:type="dxa"/>
                    <w:bottom w:w="135" w:type="dxa"/>
                    <w:right w:w="270" w:type="dxa"/>
                  </w:tcMar>
                  <w:vAlign w:val="center"/>
                </w:tcPr>
                <w:p w14:paraId="2F50B8E9">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kern w:val="21"/>
                      <w:sz w:val="21"/>
                      <w:szCs w:val="21"/>
                      <w:u w:val="none" w:color="auto"/>
                      <w:lang w:val="en-US" w:eastAsia="zh-CN" w:bidi="ar-SA"/>
                    </w:rPr>
                  </w:pPr>
                  <w:r>
                    <w:rPr>
                      <w:rFonts w:hint="default" w:ascii="Times New Roman" w:hAnsi="Times New Roman" w:eastAsia="宋体" w:cs="Times New Roman"/>
                      <w:color w:val="auto"/>
                      <w:kern w:val="21"/>
                      <w:sz w:val="21"/>
                      <w:szCs w:val="21"/>
                      <w:u w:val="none" w:color="auto"/>
                      <w:lang w:val="en-US" w:eastAsia="zh-CN" w:bidi="ar"/>
                    </w:rPr>
                    <w:t>70-85</w:t>
                  </w:r>
                </w:p>
              </w:tc>
              <w:tc>
                <w:tcPr>
                  <w:tcW w:w="1005" w:type="pct"/>
                  <w:tcBorders>
                    <w:tl2br w:val="nil"/>
                    <w:tr2bl w:val="nil"/>
                  </w:tcBorders>
                  <w:shd w:val="clear" w:color="auto" w:fill="FFFFFF"/>
                  <w:noWrap w:val="0"/>
                  <w:tcMar>
                    <w:top w:w="135" w:type="dxa"/>
                    <w:left w:w="270" w:type="dxa"/>
                    <w:bottom w:w="135" w:type="dxa"/>
                    <w:right w:w="270" w:type="dxa"/>
                  </w:tcMar>
                  <w:vAlign w:val="center"/>
                </w:tcPr>
                <w:p w14:paraId="4FD26627">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kern w:val="21"/>
                      <w:sz w:val="21"/>
                      <w:szCs w:val="21"/>
                      <w:u w:val="none" w:color="auto"/>
                      <w:lang w:val="en-US" w:eastAsia="zh-CN" w:bidi="ar-SA"/>
                    </w:rPr>
                  </w:pPr>
                  <w:r>
                    <w:rPr>
                      <w:rFonts w:hint="default" w:ascii="Times New Roman" w:hAnsi="Times New Roman" w:eastAsia="宋体" w:cs="Times New Roman"/>
                      <w:color w:val="auto"/>
                      <w:kern w:val="21"/>
                      <w:sz w:val="21"/>
                      <w:szCs w:val="21"/>
                      <w:u w:val="none" w:color="auto"/>
                      <w:lang w:val="en-US" w:eastAsia="zh-CN" w:bidi="ar"/>
                    </w:rPr>
                    <w:t>泵机、风机等噪声</w:t>
                  </w:r>
                </w:p>
              </w:tc>
              <w:tc>
                <w:tcPr>
                  <w:tcW w:w="955" w:type="pct"/>
                  <w:tcBorders>
                    <w:tl2br w:val="nil"/>
                    <w:tr2bl w:val="nil"/>
                  </w:tcBorders>
                  <w:shd w:val="clear" w:color="auto" w:fill="FFFFFF"/>
                  <w:noWrap w:val="0"/>
                  <w:tcMar>
                    <w:top w:w="135" w:type="dxa"/>
                    <w:left w:w="270" w:type="dxa"/>
                    <w:bottom w:w="135" w:type="dxa"/>
                    <w:right w:w="270" w:type="dxa"/>
                  </w:tcMar>
                  <w:vAlign w:val="center"/>
                </w:tcPr>
                <w:p w14:paraId="6E9683E1">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kern w:val="21"/>
                      <w:sz w:val="21"/>
                      <w:szCs w:val="21"/>
                      <w:u w:val="none" w:color="auto"/>
                      <w:lang w:val="en-US" w:eastAsia="zh-CN" w:bidi="ar"/>
                    </w:rPr>
                  </w:pPr>
                  <w:r>
                    <w:rPr>
                      <w:rFonts w:hint="default" w:ascii="Times New Roman" w:hAnsi="Times New Roman" w:eastAsia="宋体" w:cs="Times New Roman"/>
                      <w:color w:val="auto"/>
                      <w:kern w:val="21"/>
                      <w:sz w:val="21"/>
                      <w:szCs w:val="21"/>
                      <w:u w:val="none" w:color="auto"/>
                      <w:lang w:val="en-US" w:eastAsia="zh-CN" w:bidi="ar"/>
                    </w:rPr>
                    <w:t>低噪声设备、</w:t>
                  </w:r>
                  <w:r>
                    <w:rPr>
                      <w:rFonts w:hint="default" w:ascii="Times New Roman" w:hAnsi="Times New Roman" w:eastAsia="宋体" w:cs="Times New Roman"/>
                      <w:i w:val="0"/>
                      <w:iCs w:val="0"/>
                      <w:caps w:val="0"/>
                      <w:color w:val="auto"/>
                      <w:spacing w:val="0"/>
                      <w:kern w:val="21"/>
                      <w:sz w:val="21"/>
                      <w:szCs w:val="21"/>
                      <w:u w:val="none" w:color="auto"/>
                      <w:lang w:val="en-US" w:eastAsia="zh-CN" w:bidi="ar"/>
                    </w:rPr>
                    <w:t>泵机隔声箱</w:t>
                  </w:r>
                </w:p>
              </w:tc>
              <w:tc>
                <w:tcPr>
                  <w:tcW w:w="713" w:type="pct"/>
                  <w:tcBorders>
                    <w:tl2br w:val="nil"/>
                    <w:tr2bl w:val="nil"/>
                  </w:tcBorders>
                  <w:shd w:val="clear" w:color="auto" w:fill="FFFFFF"/>
                  <w:noWrap w:val="0"/>
                  <w:tcMar>
                    <w:top w:w="135" w:type="dxa"/>
                    <w:left w:w="270" w:type="dxa"/>
                    <w:bottom w:w="135" w:type="dxa"/>
                    <w:right w:w="270" w:type="dxa"/>
                  </w:tcMar>
                  <w:vAlign w:val="center"/>
                </w:tcPr>
                <w:p w14:paraId="424A07AE">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kern w:val="21"/>
                      <w:sz w:val="21"/>
                      <w:szCs w:val="21"/>
                      <w:u w:val="none" w:color="auto"/>
                      <w:lang w:val="en-US" w:eastAsia="zh-CN" w:bidi="ar"/>
                    </w:rPr>
                  </w:pPr>
                  <w:r>
                    <w:rPr>
                      <w:rFonts w:hint="default" w:ascii="Times New Roman" w:hAnsi="Times New Roman" w:eastAsia="宋体" w:cs="Times New Roman"/>
                      <w:i w:val="0"/>
                      <w:iCs w:val="0"/>
                      <w:caps w:val="0"/>
                      <w:color w:val="auto"/>
                      <w:spacing w:val="0"/>
                      <w:kern w:val="21"/>
                      <w:sz w:val="21"/>
                      <w:szCs w:val="21"/>
                      <w:u w:val="none" w:color="auto"/>
                      <w:shd w:val="clear" w:fill="FFFFFF"/>
                      <w:lang w:val="en-US" w:eastAsia="zh-CN"/>
                    </w:rPr>
                    <w:t>8-10</w:t>
                  </w:r>
                </w:p>
              </w:tc>
            </w:tr>
          </w:tbl>
          <w:p w14:paraId="491B5035">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b/>
                <w:bCs/>
                <w:color w:val="auto"/>
                <w:spacing w:val="0"/>
                <w:kern w:val="0"/>
                <w:sz w:val="21"/>
                <w:szCs w:val="21"/>
                <w:u w:val="none" w:color="auto"/>
                <w:lang w:val="en-US" w:eastAsia="zh-CN"/>
              </w:rPr>
            </w:pPr>
            <w:r>
              <w:rPr>
                <w:rFonts w:hint="default" w:ascii="Times New Roman" w:hAnsi="Times New Roman" w:eastAsia="宋体" w:cs="Times New Roman"/>
                <w:b/>
                <w:bCs/>
                <w:color w:val="auto"/>
                <w:spacing w:val="0"/>
                <w:kern w:val="0"/>
                <w:sz w:val="21"/>
                <w:szCs w:val="21"/>
                <w:u w:val="none" w:color="auto"/>
                <w:lang w:val="en-US" w:eastAsia="zh-CN"/>
              </w:rPr>
              <w:t>注：设备源强、排放强度参考《噪声控制工程》（2003年7月第1版）</w:t>
            </w:r>
          </w:p>
          <w:p w14:paraId="3F758EF0">
            <w:pPr>
              <w:adjustRightInd w:val="0"/>
              <w:snapToGrid w:val="0"/>
              <w:spacing w:line="360" w:lineRule="auto"/>
              <w:ind w:firstLine="482" w:firstLineChars="200"/>
              <w:rPr>
                <w:rFonts w:hint="default" w:ascii="Times New Roman" w:hAnsi="Times New Roman" w:eastAsia="宋体" w:cs="Times New Roman"/>
                <w:b/>
                <w:bCs/>
                <w:color w:val="auto"/>
                <w:spacing w:val="0"/>
                <w:kern w:val="0"/>
                <w:sz w:val="24"/>
                <w:u w:val="none" w:color="auto"/>
              </w:rPr>
            </w:pPr>
            <w:r>
              <w:rPr>
                <w:rFonts w:hint="default" w:ascii="Times New Roman" w:hAnsi="Times New Roman" w:eastAsia="宋体" w:cs="Times New Roman"/>
                <w:b/>
                <w:bCs/>
                <w:color w:val="auto"/>
                <w:spacing w:val="0"/>
                <w:kern w:val="0"/>
                <w:sz w:val="24"/>
                <w:u w:val="none" w:color="auto"/>
              </w:rPr>
              <w:t>2、噪声预测模式</w:t>
            </w:r>
          </w:p>
          <w:p w14:paraId="783CCC05">
            <w:pPr>
              <w:pStyle w:val="101"/>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采用《环境影响评价技术导则声环境》(HJ2.4-2021)中的室内声源等效室外声源计算方法进行计算。</w:t>
            </w:r>
          </w:p>
          <w:p w14:paraId="45E5D562">
            <w:pPr>
              <w:pStyle w:val="101"/>
              <w:numPr>
                <w:ilvl w:val="0"/>
                <w:numId w:val="7"/>
              </w:numP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室内声源等效室外声源</w:t>
            </w:r>
          </w:p>
          <w:p w14:paraId="66E462B1">
            <w:pPr>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drawing>
                <wp:inline distT="0" distB="0" distL="0" distR="0">
                  <wp:extent cx="2557780" cy="1337945"/>
                  <wp:effectExtent l="0" t="0" r="13970" b="14605"/>
                  <wp:docPr id="2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3"/>
                          <pic:cNvPicPr>
                            <a:picLocks noChangeAspect="1" noChangeArrowheads="1"/>
                          </pic:cNvPicPr>
                        </pic:nvPicPr>
                        <pic:blipFill>
                          <a:blip r:embed="rId42" cstate="print"/>
                          <a:srcRect/>
                          <a:stretch>
                            <a:fillRect/>
                          </a:stretch>
                        </pic:blipFill>
                        <pic:spPr>
                          <a:xfrm>
                            <a:off x="0" y="0"/>
                            <a:ext cx="2558665" cy="1338446"/>
                          </a:xfrm>
                          <a:prstGeom prst="rect">
                            <a:avLst/>
                          </a:prstGeom>
                          <a:noFill/>
                          <a:ln w="9525">
                            <a:noFill/>
                            <a:miter lim="800000"/>
                            <a:headEnd/>
                            <a:tailEnd/>
                          </a:ln>
                        </pic:spPr>
                      </pic:pic>
                    </a:graphicData>
                  </a:graphic>
                </wp:inline>
              </w:drawing>
            </w:r>
          </w:p>
          <w:p w14:paraId="53840086">
            <w:pPr>
              <w:pStyle w:val="101"/>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①上图所示，首先计算出某个室内靠近围护结构处的倍频带声压级：</w:t>
            </w:r>
          </w:p>
          <w:p w14:paraId="5FAE5864">
            <w:pPr>
              <w:pStyle w:val="101"/>
              <w:ind w:firstLine="482"/>
              <w:jc w:val="center"/>
              <w:rPr>
                <w:rFonts w:hint="default" w:ascii="Times New Roman" w:hAnsi="Times New Roman" w:eastAsia="宋体" w:cs="Times New Roman"/>
                <w:b/>
                <w:color w:val="auto"/>
                <w:highlight w:val="none"/>
                <w:u w:val="none" w:color="auto"/>
              </w:rPr>
            </w:pPr>
            <w:r>
              <w:rPr>
                <w:rFonts w:hint="default" w:ascii="Times New Roman" w:hAnsi="Times New Roman" w:eastAsia="宋体" w:cs="Times New Roman"/>
                <w:b/>
                <w:color w:val="auto"/>
                <w:highlight w:val="none"/>
                <w:u w:val="none" w:color="auto"/>
              </w:rPr>
              <w:drawing>
                <wp:inline distT="0" distB="0" distL="0" distR="0">
                  <wp:extent cx="2480310" cy="592455"/>
                  <wp:effectExtent l="0" t="0" r="15240" b="17145"/>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noChangeArrowheads="1"/>
                          </pic:cNvPicPr>
                        </pic:nvPicPr>
                        <pic:blipFill>
                          <a:blip r:embed="rId43" cstate="print"/>
                          <a:srcRect/>
                          <a:stretch>
                            <a:fillRect/>
                          </a:stretch>
                        </pic:blipFill>
                        <pic:spPr>
                          <a:xfrm>
                            <a:off x="0" y="0"/>
                            <a:ext cx="2481385" cy="592878"/>
                          </a:xfrm>
                          <a:prstGeom prst="rect">
                            <a:avLst/>
                          </a:prstGeom>
                          <a:noFill/>
                          <a:ln w="9525">
                            <a:noFill/>
                            <a:miter lim="800000"/>
                            <a:headEnd/>
                            <a:tailEnd/>
                          </a:ln>
                        </pic:spPr>
                      </pic:pic>
                    </a:graphicData>
                  </a:graphic>
                </wp:inline>
              </w:drawing>
            </w:r>
            <w:r>
              <w:rPr>
                <w:rFonts w:hint="default" w:ascii="Times New Roman" w:hAnsi="Times New Roman" w:eastAsia="宋体" w:cs="Times New Roman"/>
                <w:bCs/>
                <w:color w:val="auto"/>
                <w:highlight w:val="none"/>
                <w:u w:val="none" w:color="auto"/>
              </w:rPr>
              <w:t>——公式（1）</w:t>
            </w:r>
          </w:p>
          <w:p w14:paraId="56F02B9E">
            <w:pPr>
              <w:pStyle w:val="101"/>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式中：</w:t>
            </w:r>
            <w:r>
              <w:rPr>
                <w:rFonts w:hint="default" w:ascii="Times New Roman" w:hAnsi="Times New Roman" w:eastAsia="宋体" w:cs="Times New Roman"/>
                <w:i/>
                <w:iCs/>
                <w:color w:val="auto"/>
                <w:highlight w:val="none"/>
                <w:u w:val="none" w:color="auto"/>
              </w:rPr>
              <w:t>L</w:t>
            </w:r>
            <w:r>
              <w:rPr>
                <w:rFonts w:hint="default" w:ascii="Times New Roman" w:hAnsi="Times New Roman" w:eastAsia="宋体" w:cs="Times New Roman"/>
                <w:i/>
                <w:iCs/>
                <w:color w:val="auto"/>
                <w:highlight w:val="none"/>
                <w:u w:val="none" w:color="auto"/>
                <w:vertAlign w:val="subscript"/>
              </w:rPr>
              <w:t>PI</w:t>
            </w:r>
            <w:r>
              <w:rPr>
                <w:rFonts w:hint="default" w:ascii="Times New Roman" w:hAnsi="Times New Roman" w:eastAsia="宋体" w:cs="Times New Roman"/>
                <w:color w:val="auto"/>
                <w:highlight w:val="none"/>
                <w:u w:val="none" w:color="auto"/>
              </w:rPr>
              <w:t>——为某个室内声源在靠近围护结构处产生的倍频带声压级，dB；</w:t>
            </w:r>
          </w:p>
          <w:p w14:paraId="1545FBA4">
            <w:pPr>
              <w:pStyle w:val="101"/>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i/>
                <w:iCs/>
                <w:color w:val="auto"/>
                <w:highlight w:val="none"/>
                <w:u w:val="none" w:color="auto"/>
              </w:rPr>
              <w:t>L</w:t>
            </w:r>
            <w:r>
              <w:rPr>
                <w:rFonts w:hint="default" w:ascii="Times New Roman" w:hAnsi="Times New Roman" w:eastAsia="宋体" w:cs="Times New Roman"/>
                <w:i/>
                <w:iCs/>
                <w:color w:val="auto"/>
                <w:highlight w:val="none"/>
                <w:u w:val="none" w:color="auto"/>
                <w:vertAlign w:val="subscript"/>
              </w:rPr>
              <w:t>w</w:t>
            </w:r>
            <w:r>
              <w:rPr>
                <w:rFonts w:hint="default" w:ascii="Times New Roman" w:hAnsi="Times New Roman" w:eastAsia="宋体" w:cs="Times New Roman"/>
                <w:color w:val="auto"/>
                <w:highlight w:val="none"/>
                <w:u w:val="none" w:color="auto"/>
              </w:rPr>
              <w:t>——为某个声源的倍频带声功率级，dB；</w:t>
            </w:r>
          </w:p>
          <w:p w14:paraId="00C16862">
            <w:pPr>
              <w:pStyle w:val="101"/>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i/>
                <w:color w:val="auto"/>
                <w:highlight w:val="none"/>
                <w:u w:val="none" w:color="auto"/>
              </w:rPr>
              <w:t>r</w:t>
            </w:r>
            <w:r>
              <w:rPr>
                <w:rFonts w:hint="default" w:ascii="Times New Roman" w:hAnsi="Times New Roman" w:eastAsia="宋体" w:cs="Times New Roman"/>
                <w:color w:val="auto"/>
                <w:highlight w:val="none"/>
                <w:u w:val="none" w:color="auto"/>
              </w:rPr>
              <w:t>——室内某个声源与靠近围护结构处的距离，m;</w:t>
            </w:r>
          </w:p>
          <w:p w14:paraId="6BAA2BC3">
            <w:pPr>
              <w:pStyle w:val="101"/>
              <w:rPr>
                <w:rFonts w:hint="default" w:ascii="Times New Roman" w:hAnsi="Times New Roman" w:eastAsia="宋体" w:cs="Times New Roman"/>
                <w:bCs/>
                <w:color w:val="auto"/>
                <w:highlight w:val="none"/>
                <w:u w:val="none" w:color="auto"/>
              </w:rPr>
            </w:pPr>
            <w:r>
              <w:rPr>
                <w:rFonts w:hint="default" w:ascii="Times New Roman" w:hAnsi="Times New Roman" w:eastAsia="宋体" w:cs="Times New Roman"/>
                <w:bCs/>
                <w:color w:val="auto"/>
                <w:highlight w:val="none"/>
                <w:u w:val="none" w:color="auto"/>
              </w:rPr>
              <w:t>R</w:t>
            </w:r>
            <w:r>
              <w:rPr>
                <w:rFonts w:hint="default" w:ascii="Times New Roman" w:hAnsi="Times New Roman" w:eastAsia="宋体" w:cs="Times New Roman"/>
                <w:bCs/>
                <w:color w:val="auto"/>
                <w:highlight w:val="none"/>
                <w:u w:val="none" w:color="auto"/>
              </w:rPr>
              <w:softHyphen/>
            </w:r>
            <w:r>
              <w:rPr>
                <w:rFonts w:hint="default" w:ascii="Times New Roman" w:hAnsi="Times New Roman" w:eastAsia="宋体" w:cs="Times New Roman"/>
                <w:bCs/>
                <w:color w:val="auto"/>
                <w:highlight w:val="none"/>
                <w:u w:val="none" w:color="auto"/>
              </w:rPr>
              <w:softHyphen/>
            </w:r>
            <w:r>
              <w:rPr>
                <w:rFonts w:hint="default" w:ascii="Times New Roman" w:hAnsi="Times New Roman" w:eastAsia="宋体" w:cs="Times New Roman"/>
                <w:bCs/>
                <w:color w:val="auto"/>
                <w:highlight w:val="none"/>
                <w:u w:val="none" w:color="auto"/>
              </w:rPr>
              <w:t>——房间常数，R=Sα/(1－α)，S为房间内表面面积，m</w:t>
            </w:r>
            <w:r>
              <w:rPr>
                <w:rFonts w:hint="default" w:ascii="Times New Roman" w:hAnsi="Times New Roman" w:eastAsia="宋体" w:cs="Times New Roman"/>
                <w:bCs/>
                <w:color w:val="auto"/>
                <w:highlight w:val="none"/>
                <w:u w:val="none" w:color="auto"/>
                <w:vertAlign w:val="superscript"/>
              </w:rPr>
              <w:t>2</w:t>
            </w:r>
            <w:r>
              <w:rPr>
                <w:rFonts w:hint="default" w:ascii="Times New Roman" w:hAnsi="Times New Roman" w:eastAsia="宋体" w:cs="Times New Roman"/>
                <w:bCs/>
                <w:color w:val="auto"/>
                <w:highlight w:val="none"/>
                <w:u w:val="none" w:color="auto"/>
              </w:rPr>
              <w:t>，α为平均吸声系数。</w:t>
            </w:r>
          </w:p>
          <w:p w14:paraId="17972537">
            <w:pPr>
              <w:pStyle w:val="101"/>
              <w:rPr>
                <w:rFonts w:hint="default" w:ascii="Times New Roman" w:hAnsi="Times New Roman" w:eastAsia="宋体" w:cs="Times New Roman"/>
                <w:bCs/>
                <w:color w:val="auto"/>
                <w:highlight w:val="none"/>
                <w:u w:val="none" w:color="auto"/>
              </w:rPr>
            </w:pPr>
            <w:r>
              <w:rPr>
                <w:rFonts w:hint="default" w:ascii="Times New Roman" w:hAnsi="Times New Roman" w:eastAsia="宋体" w:cs="Times New Roman"/>
                <w:bCs/>
                <w:i/>
                <w:color w:val="auto"/>
                <w:highlight w:val="none"/>
                <w:u w:val="none" w:color="auto"/>
              </w:rPr>
              <w:t>Q</w:t>
            </w:r>
            <w:r>
              <w:rPr>
                <w:rFonts w:hint="default" w:ascii="Times New Roman" w:hAnsi="Times New Roman" w:eastAsia="宋体" w:cs="Times New Roman"/>
                <w:bCs/>
                <w:color w:val="auto"/>
                <w:highlight w:val="none"/>
                <w:u w:val="none" w:color="auto"/>
              </w:rPr>
              <w:t>——方向因子，无量纲值。</w:t>
            </w:r>
          </w:p>
          <w:p w14:paraId="6B731DEE">
            <w:pPr>
              <w:pStyle w:val="101"/>
              <w:rPr>
                <w:rFonts w:hint="default" w:ascii="Times New Roman" w:hAnsi="Times New Roman" w:eastAsia="宋体" w:cs="Times New Roman"/>
                <w:bCs/>
                <w:color w:val="auto"/>
                <w:highlight w:val="none"/>
                <w:u w:val="none" w:color="auto"/>
              </w:rPr>
            </w:pPr>
            <w:r>
              <w:rPr>
                <w:rFonts w:hint="default" w:ascii="Times New Roman" w:hAnsi="Times New Roman" w:eastAsia="宋体" w:cs="Times New Roman"/>
                <w:bCs/>
                <w:color w:val="auto"/>
                <w:highlight w:val="none"/>
                <w:u w:val="none" w:color="auto"/>
              </w:rPr>
              <w:t>②计算出所有室内声源在靠近围护结构处产生的总倍频带声压级</w:t>
            </w:r>
          </w:p>
          <w:p w14:paraId="36526C46">
            <w:pPr>
              <w:pStyle w:val="101"/>
              <w:jc w:val="center"/>
              <w:rPr>
                <w:rFonts w:hint="default" w:ascii="Times New Roman" w:hAnsi="Times New Roman" w:eastAsia="宋体" w:cs="Times New Roman"/>
                <w:bCs/>
                <w:color w:val="auto"/>
                <w:highlight w:val="none"/>
                <w:u w:val="none" w:color="auto"/>
              </w:rPr>
            </w:pPr>
            <w:r>
              <w:rPr>
                <w:rFonts w:hint="default" w:ascii="Times New Roman" w:hAnsi="Times New Roman" w:eastAsia="宋体" w:cs="Times New Roman"/>
                <w:bCs/>
                <w:color w:val="auto"/>
                <w:highlight w:val="none"/>
                <w:u w:val="none" w:color="auto"/>
              </w:rPr>
              <w:drawing>
                <wp:inline distT="0" distB="0" distL="0" distR="0">
                  <wp:extent cx="1828800" cy="486410"/>
                  <wp:effectExtent l="0" t="0" r="0" b="889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1"/>
                          </pic:cNvPicPr>
                        </pic:nvPicPr>
                        <pic:blipFill>
                          <a:blip r:embed="rId44" cstate="print"/>
                          <a:stretch>
                            <a:fillRect/>
                          </a:stretch>
                        </pic:blipFill>
                        <pic:spPr>
                          <a:xfrm>
                            <a:off x="0" y="0"/>
                            <a:ext cx="1843547" cy="490371"/>
                          </a:xfrm>
                          <a:prstGeom prst="rect">
                            <a:avLst/>
                          </a:prstGeom>
                        </pic:spPr>
                      </pic:pic>
                    </a:graphicData>
                  </a:graphic>
                </wp:inline>
              </w:drawing>
            </w:r>
            <w:r>
              <w:rPr>
                <w:rFonts w:hint="default" w:ascii="Times New Roman" w:hAnsi="Times New Roman" w:eastAsia="宋体" w:cs="Times New Roman"/>
                <w:bCs/>
                <w:color w:val="auto"/>
                <w:highlight w:val="none"/>
                <w:u w:val="none" w:color="auto"/>
              </w:rPr>
              <w:t>——公式（2）</w:t>
            </w:r>
          </w:p>
          <w:p w14:paraId="2AC9DC91">
            <w:pPr>
              <w:pStyle w:val="101"/>
              <w:rPr>
                <w:rFonts w:hint="default" w:ascii="Times New Roman" w:hAnsi="Times New Roman" w:eastAsia="宋体" w:cs="Times New Roman"/>
                <w:bCs/>
                <w:color w:val="auto"/>
                <w:highlight w:val="none"/>
                <w:u w:val="none" w:color="auto"/>
              </w:rPr>
            </w:pPr>
            <w:r>
              <w:rPr>
                <w:rFonts w:hint="default" w:ascii="Times New Roman" w:hAnsi="Times New Roman" w:eastAsia="宋体" w:cs="Times New Roman"/>
                <w:bCs/>
                <w:color w:val="auto"/>
                <w:highlight w:val="none"/>
                <w:u w:val="none" w:color="auto"/>
              </w:rPr>
              <w:t>式中：</w:t>
            </w:r>
          </w:p>
          <w:p w14:paraId="1B80D875">
            <w:pPr>
              <w:pStyle w:val="101"/>
              <w:rPr>
                <w:rFonts w:hint="default" w:ascii="Times New Roman" w:hAnsi="Times New Roman" w:eastAsia="宋体" w:cs="Times New Roman"/>
                <w:bCs/>
                <w:color w:val="auto"/>
                <w:highlight w:val="none"/>
                <w:u w:val="none" w:color="auto"/>
              </w:rPr>
            </w:pPr>
            <w:r>
              <w:rPr>
                <w:rFonts w:hint="default" w:ascii="Times New Roman" w:hAnsi="Times New Roman" w:eastAsia="宋体" w:cs="Times New Roman"/>
                <w:bCs/>
                <w:i/>
                <w:iCs/>
                <w:color w:val="auto"/>
                <w:highlight w:val="none"/>
                <w:u w:val="none" w:color="auto"/>
              </w:rPr>
              <w:t>L</w:t>
            </w:r>
            <w:r>
              <w:rPr>
                <w:rFonts w:hint="default" w:ascii="Times New Roman" w:hAnsi="Times New Roman" w:eastAsia="宋体" w:cs="Times New Roman"/>
                <w:bCs/>
                <w:i/>
                <w:iCs/>
                <w:color w:val="auto"/>
                <w:highlight w:val="none"/>
                <w:u w:val="none" w:color="auto"/>
                <w:vertAlign w:val="subscript"/>
              </w:rPr>
              <w:t>p1i</w:t>
            </w:r>
            <w:r>
              <w:rPr>
                <w:rFonts w:hint="default" w:ascii="Times New Roman" w:hAnsi="Times New Roman" w:eastAsia="宋体" w:cs="Times New Roman"/>
                <w:bCs/>
                <w:color w:val="auto"/>
                <w:highlight w:val="none"/>
                <w:u w:val="none" w:color="auto"/>
              </w:rPr>
              <w:t>(T)—靠近围护结构处室内N个声源i倍频带的叠加声压级，dB；</w:t>
            </w:r>
          </w:p>
          <w:p w14:paraId="2F67FE0A">
            <w:pPr>
              <w:pStyle w:val="101"/>
              <w:rPr>
                <w:rFonts w:hint="default" w:ascii="Times New Roman" w:hAnsi="Times New Roman" w:eastAsia="宋体" w:cs="Times New Roman"/>
                <w:bCs/>
                <w:color w:val="auto"/>
                <w:highlight w:val="none"/>
                <w:u w:val="none" w:color="auto"/>
              </w:rPr>
            </w:pPr>
            <w:r>
              <w:rPr>
                <w:rFonts w:hint="default" w:ascii="Times New Roman" w:hAnsi="Times New Roman" w:eastAsia="宋体" w:cs="Times New Roman"/>
                <w:bCs/>
                <w:i/>
                <w:iCs/>
                <w:color w:val="auto"/>
                <w:highlight w:val="none"/>
                <w:u w:val="none" w:color="auto"/>
              </w:rPr>
              <w:t>L</w:t>
            </w:r>
            <w:r>
              <w:rPr>
                <w:rFonts w:hint="default" w:ascii="Times New Roman" w:hAnsi="Times New Roman" w:eastAsia="宋体" w:cs="Times New Roman"/>
                <w:bCs/>
                <w:i/>
                <w:iCs/>
                <w:color w:val="auto"/>
                <w:highlight w:val="none"/>
                <w:u w:val="none" w:color="auto"/>
                <w:vertAlign w:val="subscript"/>
              </w:rPr>
              <w:t>p1ij</w:t>
            </w:r>
            <w:r>
              <w:rPr>
                <w:rFonts w:hint="default" w:ascii="Times New Roman" w:hAnsi="Times New Roman" w:eastAsia="宋体" w:cs="Times New Roman"/>
                <w:bCs/>
                <w:color w:val="auto"/>
                <w:highlight w:val="none"/>
                <w:u w:val="none" w:color="auto"/>
              </w:rPr>
              <w:t>—室内j声源i倍频带的声压级，dB；</w:t>
            </w:r>
          </w:p>
          <w:p w14:paraId="39890363">
            <w:pPr>
              <w:pStyle w:val="101"/>
              <w:rPr>
                <w:rFonts w:hint="default" w:ascii="Times New Roman" w:hAnsi="Times New Roman" w:eastAsia="宋体" w:cs="Times New Roman"/>
                <w:bCs/>
                <w:color w:val="auto"/>
                <w:highlight w:val="none"/>
                <w:u w:val="none" w:color="auto"/>
              </w:rPr>
            </w:pPr>
            <w:r>
              <w:rPr>
                <w:rFonts w:hint="default" w:ascii="Times New Roman" w:hAnsi="Times New Roman" w:eastAsia="宋体" w:cs="Times New Roman"/>
                <w:bCs/>
                <w:i/>
                <w:iCs/>
                <w:color w:val="auto"/>
                <w:highlight w:val="none"/>
                <w:u w:val="none" w:color="auto"/>
              </w:rPr>
              <w:t>N</w:t>
            </w:r>
            <w:r>
              <w:rPr>
                <w:rFonts w:hint="default" w:ascii="Times New Roman" w:hAnsi="Times New Roman" w:eastAsia="宋体" w:cs="Times New Roman"/>
                <w:bCs/>
                <w:color w:val="auto"/>
                <w:highlight w:val="none"/>
                <w:u w:val="none" w:color="auto"/>
              </w:rPr>
              <w:t>—室内声源总数。</w:t>
            </w:r>
          </w:p>
          <w:p w14:paraId="6B01EDB1">
            <w:pPr>
              <w:pStyle w:val="101"/>
              <w:rPr>
                <w:rFonts w:hint="default" w:ascii="Times New Roman" w:hAnsi="Times New Roman" w:eastAsia="宋体" w:cs="Times New Roman"/>
                <w:bCs/>
                <w:color w:val="auto"/>
                <w:highlight w:val="none"/>
                <w:u w:val="none" w:color="auto"/>
              </w:rPr>
            </w:pPr>
            <w:r>
              <w:rPr>
                <w:rFonts w:hint="default" w:ascii="Times New Roman" w:hAnsi="Times New Roman" w:eastAsia="宋体" w:cs="Times New Roman"/>
                <w:bCs/>
                <w:color w:val="auto"/>
                <w:highlight w:val="none"/>
                <w:u w:val="none" w:color="auto"/>
              </w:rPr>
              <w:t>在室内近似为扩散声场时，按③中公式计算出靠近室外围护结构处的声压级。</w:t>
            </w:r>
          </w:p>
          <w:p w14:paraId="58BB5930">
            <w:pPr>
              <w:pStyle w:val="101"/>
              <w:rPr>
                <w:rFonts w:hint="default" w:ascii="Times New Roman" w:hAnsi="Times New Roman" w:eastAsia="宋体" w:cs="Times New Roman"/>
                <w:bCs/>
                <w:color w:val="auto"/>
                <w:highlight w:val="none"/>
                <w:u w:val="none" w:color="auto"/>
              </w:rPr>
            </w:pPr>
            <w:r>
              <w:rPr>
                <w:rFonts w:hint="default" w:ascii="Times New Roman" w:hAnsi="Times New Roman" w:eastAsia="宋体" w:cs="Times New Roman"/>
                <w:bCs/>
                <w:color w:val="auto"/>
                <w:highlight w:val="none"/>
                <w:u w:val="none" w:color="auto"/>
              </w:rPr>
              <w:t>③计算出室外靠近围护结构处的声压级</w:t>
            </w:r>
          </w:p>
          <w:p w14:paraId="7ABFF439">
            <w:pPr>
              <w:pStyle w:val="101"/>
              <w:jc w:val="center"/>
              <w:rPr>
                <w:rFonts w:hint="default" w:ascii="Times New Roman" w:hAnsi="Times New Roman" w:eastAsia="宋体" w:cs="Times New Roman"/>
                <w:bCs/>
                <w:color w:val="auto"/>
                <w:highlight w:val="none"/>
                <w:u w:val="none" w:color="auto"/>
              </w:rPr>
            </w:pPr>
            <w:r>
              <w:rPr>
                <w:rFonts w:hint="default" w:ascii="Times New Roman" w:hAnsi="Times New Roman" w:eastAsia="宋体" w:cs="Times New Roman"/>
                <w:bCs/>
                <w:color w:val="auto"/>
                <w:highlight w:val="none"/>
                <w:u w:val="none" w:color="auto"/>
              </w:rPr>
              <w:drawing>
                <wp:inline distT="0" distB="0" distL="0" distR="0">
                  <wp:extent cx="1638300" cy="206375"/>
                  <wp:effectExtent l="0" t="0" r="0" b="3175"/>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pic:cNvPicPr>
                        </pic:nvPicPr>
                        <pic:blipFill>
                          <a:blip r:embed="rId45" cstate="print"/>
                          <a:stretch>
                            <a:fillRect/>
                          </a:stretch>
                        </pic:blipFill>
                        <pic:spPr>
                          <a:xfrm>
                            <a:off x="0" y="0"/>
                            <a:ext cx="1647011" cy="207607"/>
                          </a:xfrm>
                          <a:prstGeom prst="rect">
                            <a:avLst/>
                          </a:prstGeom>
                        </pic:spPr>
                      </pic:pic>
                    </a:graphicData>
                  </a:graphic>
                </wp:inline>
              </w:drawing>
            </w:r>
            <w:r>
              <w:rPr>
                <w:rFonts w:hint="default" w:ascii="Times New Roman" w:hAnsi="Times New Roman" w:eastAsia="宋体" w:cs="Times New Roman"/>
                <w:bCs/>
                <w:color w:val="auto"/>
                <w:highlight w:val="none"/>
                <w:u w:val="none" w:color="auto"/>
              </w:rPr>
              <w:t>——公式（3）</w:t>
            </w:r>
          </w:p>
          <w:p w14:paraId="2A5F5746">
            <w:pPr>
              <w:pStyle w:val="101"/>
              <w:rPr>
                <w:rFonts w:hint="default" w:ascii="Times New Roman" w:hAnsi="Times New Roman" w:eastAsia="宋体" w:cs="Times New Roman"/>
                <w:bCs/>
                <w:color w:val="auto"/>
                <w:highlight w:val="none"/>
                <w:u w:val="none" w:color="auto"/>
              </w:rPr>
            </w:pPr>
            <w:r>
              <w:rPr>
                <w:rFonts w:hint="default" w:ascii="Times New Roman" w:hAnsi="Times New Roman" w:eastAsia="宋体" w:cs="Times New Roman"/>
                <w:bCs/>
                <w:color w:val="auto"/>
                <w:highlight w:val="none"/>
                <w:u w:val="none" w:color="auto"/>
              </w:rPr>
              <w:t>式中：</w:t>
            </w:r>
            <w:r>
              <w:rPr>
                <w:rFonts w:hint="default" w:ascii="Times New Roman" w:hAnsi="Times New Roman" w:eastAsia="宋体" w:cs="Times New Roman"/>
                <w:bCs/>
                <w:i/>
                <w:iCs/>
                <w:color w:val="auto"/>
                <w:highlight w:val="none"/>
                <w:u w:val="none" w:color="auto"/>
              </w:rPr>
              <w:t>L</w:t>
            </w:r>
            <w:r>
              <w:rPr>
                <w:rFonts w:hint="default" w:ascii="Times New Roman" w:hAnsi="Times New Roman" w:eastAsia="宋体" w:cs="Times New Roman"/>
                <w:bCs/>
                <w:i/>
                <w:iCs/>
                <w:color w:val="auto"/>
                <w:highlight w:val="none"/>
                <w:u w:val="none" w:color="auto"/>
                <w:vertAlign w:val="subscript"/>
              </w:rPr>
              <w:t>p2i</w:t>
            </w:r>
            <w:r>
              <w:rPr>
                <w:rFonts w:hint="default" w:ascii="Times New Roman" w:hAnsi="Times New Roman" w:eastAsia="宋体" w:cs="Times New Roman"/>
                <w:bCs/>
                <w:i/>
                <w:iCs/>
                <w:color w:val="auto"/>
                <w:highlight w:val="none"/>
                <w:u w:val="none" w:color="auto"/>
              </w:rPr>
              <w:t>(T)</w:t>
            </w:r>
            <w:r>
              <w:rPr>
                <w:rFonts w:hint="default" w:ascii="Times New Roman" w:hAnsi="Times New Roman" w:eastAsia="宋体" w:cs="Times New Roman"/>
                <w:bCs/>
                <w:color w:val="auto"/>
                <w:highlight w:val="none"/>
                <w:u w:val="none" w:color="auto"/>
              </w:rPr>
              <w:t>—靠近围护结构处室外N个声源i倍频带的叠加声压级，dB；</w:t>
            </w:r>
          </w:p>
          <w:p w14:paraId="5CEEB7BF">
            <w:pPr>
              <w:pStyle w:val="101"/>
              <w:rPr>
                <w:rFonts w:hint="default" w:ascii="Times New Roman" w:hAnsi="Times New Roman" w:eastAsia="宋体" w:cs="Times New Roman"/>
                <w:bCs/>
                <w:color w:val="auto"/>
                <w:highlight w:val="none"/>
                <w:u w:val="none" w:color="auto"/>
              </w:rPr>
            </w:pPr>
            <w:r>
              <w:rPr>
                <w:rFonts w:hint="default" w:ascii="Times New Roman" w:hAnsi="Times New Roman" w:eastAsia="宋体" w:cs="Times New Roman"/>
                <w:bCs/>
                <w:i/>
                <w:iCs/>
                <w:color w:val="auto"/>
                <w:highlight w:val="none"/>
                <w:u w:val="none" w:color="auto"/>
              </w:rPr>
              <w:t>T</w:t>
            </w:r>
            <w:r>
              <w:rPr>
                <w:rFonts w:hint="default" w:ascii="Times New Roman" w:hAnsi="Times New Roman" w:eastAsia="宋体" w:cs="Times New Roman"/>
                <w:bCs/>
                <w:i/>
                <w:iCs/>
                <w:color w:val="auto"/>
                <w:highlight w:val="none"/>
                <w:u w:val="none" w:color="auto"/>
                <w:vertAlign w:val="subscript"/>
              </w:rPr>
              <w:t>Li</w:t>
            </w:r>
            <w:r>
              <w:rPr>
                <w:rFonts w:hint="default" w:ascii="Times New Roman" w:hAnsi="Times New Roman" w:eastAsia="宋体" w:cs="Times New Roman"/>
                <w:bCs/>
                <w:color w:val="auto"/>
                <w:highlight w:val="none"/>
                <w:u w:val="none" w:color="auto"/>
              </w:rPr>
              <w:t>—围护结构i倍频带的隔声量，dB。</w:t>
            </w:r>
          </w:p>
          <w:p w14:paraId="66EECFE6">
            <w:pPr>
              <w:pStyle w:val="101"/>
              <w:rPr>
                <w:rFonts w:hint="default" w:ascii="Times New Roman" w:hAnsi="Times New Roman" w:eastAsia="宋体" w:cs="Times New Roman"/>
                <w:bCs/>
                <w:color w:val="auto"/>
                <w:highlight w:val="none"/>
                <w:u w:val="none" w:color="auto"/>
              </w:rPr>
            </w:pPr>
            <w:r>
              <w:rPr>
                <w:rFonts w:hint="default" w:ascii="Times New Roman" w:hAnsi="Times New Roman" w:eastAsia="宋体" w:cs="Times New Roman"/>
                <w:bCs/>
                <w:color w:val="auto"/>
                <w:highlight w:val="none"/>
                <w:u w:val="none" w:color="auto"/>
              </w:rPr>
              <w:t>然后按④中公式将室外声源的声压级和透过面积换算成等效的室外声源，计算出中心位置位于透声面积（S）处的等效声源的倍频带声功率级。</w:t>
            </w:r>
          </w:p>
          <w:p w14:paraId="64BFFD53">
            <w:pPr>
              <w:pStyle w:val="101"/>
              <w:rPr>
                <w:rFonts w:hint="default" w:ascii="Times New Roman" w:hAnsi="Times New Roman" w:eastAsia="宋体" w:cs="Times New Roman"/>
                <w:bCs/>
                <w:color w:val="auto"/>
                <w:highlight w:val="none"/>
                <w:u w:val="none" w:color="auto"/>
              </w:rPr>
            </w:pPr>
            <w:r>
              <w:rPr>
                <w:rFonts w:hint="default" w:ascii="Times New Roman" w:hAnsi="Times New Roman" w:eastAsia="宋体" w:cs="Times New Roman"/>
                <w:bCs/>
                <w:color w:val="auto"/>
                <w:highlight w:val="none"/>
                <w:u w:val="none" w:color="auto"/>
              </w:rPr>
              <w:t>④将室外声级Lp2(T)和透声面积换算成等效的室外声源，计算出等效声源第i个倍频带的声功率级</w:t>
            </w:r>
            <w:r>
              <w:rPr>
                <w:rFonts w:hint="default" w:ascii="Times New Roman" w:hAnsi="Times New Roman" w:eastAsia="宋体" w:cs="Times New Roman"/>
                <w:bCs/>
                <w:i/>
                <w:iCs/>
                <w:color w:val="auto"/>
                <w:highlight w:val="none"/>
                <w:u w:val="none" w:color="auto"/>
              </w:rPr>
              <w:t>L</w:t>
            </w:r>
            <w:r>
              <w:rPr>
                <w:rFonts w:hint="default" w:ascii="Times New Roman" w:hAnsi="Times New Roman" w:eastAsia="宋体" w:cs="Times New Roman"/>
                <w:bCs/>
                <w:i/>
                <w:iCs/>
                <w:color w:val="auto"/>
                <w:highlight w:val="none"/>
                <w:u w:val="none" w:color="auto"/>
                <w:vertAlign w:val="subscript"/>
              </w:rPr>
              <w:t>w</w:t>
            </w:r>
            <w:r>
              <w:rPr>
                <w:rFonts w:hint="default" w:ascii="Times New Roman" w:hAnsi="Times New Roman" w:eastAsia="宋体" w:cs="Times New Roman"/>
                <w:bCs/>
                <w:color w:val="auto"/>
                <w:highlight w:val="none"/>
                <w:u w:val="none" w:color="auto"/>
              </w:rPr>
              <w:t>。</w:t>
            </w:r>
          </w:p>
          <w:p w14:paraId="0400574C">
            <w:pPr>
              <w:pStyle w:val="101"/>
              <w:jc w:val="center"/>
              <w:rPr>
                <w:rFonts w:hint="default" w:ascii="Times New Roman" w:hAnsi="Times New Roman" w:eastAsia="宋体" w:cs="Times New Roman"/>
                <w:bCs/>
                <w:color w:val="auto"/>
                <w:highlight w:val="none"/>
                <w:u w:val="none" w:color="auto"/>
              </w:rPr>
            </w:pPr>
            <w:r>
              <w:rPr>
                <w:rFonts w:hint="default" w:ascii="Times New Roman" w:hAnsi="Times New Roman" w:eastAsia="宋体" w:cs="Times New Roman"/>
                <w:color w:val="auto"/>
                <w:highlight w:val="none"/>
                <w:u w:val="none" w:color="auto"/>
              </w:rPr>
              <w:drawing>
                <wp:inline distT="0" distB="0" distL="0" distR="0">
                  <wp:extent cx="1411605" cy="228600"/>
                  <wp:effectExtent l="0" t="0" r="17145" b="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pic:cNvPicPr>
                            <a:picLocks noChangeAspect="1"/>
                          </pic:cNvPicPr>
                        </pic:nvPicPr>
                        <pic:blipFill>
                          <a:blip r:embed="rId46" cstate="print"/>
                          <a:stretch>
                            <a:fillRect/>
                          </a:stretch>
                        </pic:blipFill>
                        <pic:spPr>
                          <a:xfrm>
                            <a:off x="0" y="0"/>
                            <a:ext cx="1414908" cy="229230"/>
                          </a:xfrm>
                          <a:prstGeom prst="rect">
                            <a:avLst/>
                          </a:prstGeom>
                        </pic:spPr>
                      </pic:pic>
                    </a:graphicData>
                  </a:graphic>
                </wp:inline>
              </w:drawing>
            </w:r>
            <w:r>
              <w:rPr>
                <w:rFonts w:hint="default" w:ascii="Times New Roman" w:hAnsi="Times New Roman" w:eastAsia="宋体" w:cs="Times New Roman"/>
                <w:bCs/>
                <w:color w:val="auto"/>
                <w:highlight w:val="none"/>
                <w:u w:val="none" w:color="auto"/>
              </w:rPr>
              <w:t>——公式（4）</w:t>
            </w:r>
          </w:p>
          <w:p w14:paraId="24B289FD">
            <w:pPr>
              <w:pStyle w:val="101"/>
              <w:rPr>
                <w:rFonts w:hint="default" w:ascii="Times New Roman" w:hAnsi="Times New Roman" w:eastAsia="宋体" w:cs="Times New Roman"/>
                <w:bCs/>
                <w:color w:val="auto"/>
                <w:highlight w:val="none"/>
                <w:u w:val="none" w:color="auto"/>
              </w:rPr>
            </w:pPr>
            <w:r>
              <w:rPr>
                <w:rFonts w:hint="default" w:ascii="Times New Roman" w:hAnsi="Times New Roman" w:eastAsia="宋体" w:cs="Times New Roman"/>
                <w:bCs/>
                <w:color w:val="auto"/>
                <w:highlight w:val="none"/>
                <w:u w:val="none" w:color="auto"/>
              </w:rPr>
              <w:t>式中：</w:t>
            </w:r>
            <w:r>
              <w:rPr>
                <w:rFonts w:hint="default" w:ascii="Times New Roman" w:hAnsi="Times New Roman" w:eastAsia="宋体" w:cs="Times New Roman"/>
                <w:bCs/>
                <w:i/>
                <w:color w:val="auto"/>
                <w:highlight w:val="none"/>
                <w:u w:val="none" w:color="auto"/>
              </w:rPr>
              <w:t>S</w:t>
            </w:r>
            <w:r>
              <w:rPr>
                <w:rFonts w:hint="default" w:ascii="Times New Roman" w:hAnsi="Times New Roman" w:eastAsia="宋体" w:cs="Times New Roman"/>
                <w:bCs/>
                <w:color w:val="auto"/>
                <w:highlight w:val="none"/>
                <w:u w:val="none" w:color="auto"/>
              </w:rPr>
              <w:t>—透声面积，m</w:t>
            </w:r>
            <w:r>
              <w:rPr>
                <w:rFonts w:hint="default" w:ascii="Times New Roman" w:hAnsi="Times New Roman" w:eastAsia="宋体" w:cs="Times New Roman"/>
                <w:bCs/>
                <w:color w:val="auto"/>
                <w:highlight w:val="none"/>
                <w:u w:val="none" w:color="auto"/>
                <w:vertAlign w:val="superscript"/>
              </w:rPr>
              <w:t>2</w:t>
            </w:r>
            <w:r>
              <w:rPr>
                <w:rFonts w:hint="default" w:ascii="Times New Roman" w:hAnsi="Times New Roman" w:eastAsia="宋体" w:cs="Times New Roman"/>
                <w:bCs/>
                <w:color w:val="auto"/>
                <w:highlight w:val="none"/>
                <w:u w:val="none" w:color="auto"/>
              </w:rPr>
              <w:t>。</w:t>
            </w:r>
          </w:p>
          <w:p w14:paraId="67B1859F">
            <w:pPr>
              <w:pStyle w:val="101"/>
              <w:rPr>
                <w:rFonts w:hint="default" w:ascii="Times New Roman" w:hAnsi="Times New Roman" w:eastAsia="宋体" w:cs="Times New Roman"/>
                <w:bCs/>
                <w:color w:val="auto"/>
                <w:highlight w:val="none"/>
                <w:u w:val="none" w:color="auto"/>
              </w:rPr>
            </w:pPr>
            <w:r>
              <w:rPr>
                <w:rFonts w:hint="default" w:ascii="Times New Roman" w:hAnsi="Times New Roman" w:eastAsia="宋体" w:cs="Times New Roman"/>
                <w:bCs/>
                <w:color w:val="auto"/>
                <w:highlight w:val="none"/>
                <w:u w:val="none" w:color="auto"/>
              </w:rPr>
              <w:t>⑤等效室外声源的位置为围护结构的位置，其倍频带声功率级为</w:t>
            </w:r>
            <w:r>
              <w:rPr>
                <w:rFonts w:hint="default" w:ascii="Times New Roman" w:hAnsi="Times New Roman" w:eastAsia="宋体" w:cs="Times New Roman"/>
                <w:bCs/>
                <w:i/>
                <w:iCs/>
                <w:color w:val="auto"/>
                <w:highlight w:val="none"/>
                <w:u w:val="none" w:color="auto"/>
              </w:rPr>
              <w:t>L</w:t>
            </w:r>
            <w:r>
              <w:rPr>
                <w:rFonts w:hint="default" w:ascii="Times New Roman" w:hAnsi="Times New Roman" w:eastAsia="宋体" w:cs="Times New Roman"/>
                <w:bCs/>
                <w:i/>
                <w:iCs/>
                <w:color w:val="auto"/>
                <w:highlight w:val="none"/>
                <w:u w:val="none" w:color="auto"/>
                <w:vertAlign w:val="subscript"/>
              </w:rPr>
              <w:t>w</w:t>
            </w:r>
            <w:r>
              <w:rPr>
                <w:rFonts w:hint="default" w:ascii="Times New Roman" w:hAnsi="Times New Roman" w:eastAsia="宋体" w:cs="Times New Roman"/>
                <w:bCs/>
                <w:color w:val="auto"/>
                <w:highlight w:val="none"/>
                <w:u w:val="none" w:color="auto"/>
              </w:rPr>
              <w:t>，由此按室外声源方法计算等效室外声源在预测点产生的声级。</w:t>
            </w:r>
          </w:p>
          <w:p w14:paraId="6A337E35">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color w:val="auto"/>
                <w:spacing w:val="0"/>
                <w:sz w:val="24"/>
                <w:szCs w:val="24"/>
                <w:u w:val="none" w:color="auto"/>
                <w:lang w:val="en-US" w:eastAsia="zh-CN"/>
              </w:rPr>
            </w:pPr>
            <w:r>
              <w:rPr>
                <w:rFonts w:hint="default" w:ascii="Times New Roman" w:hAnsi="Times New Roman" w:eastAsia="宋体" w:cs="Times New Roman"/>
                <w:b w:val="0"/>
                <w:bCs/>
                <w:color w:val="auto"/>
                <w:spacing w:val="0"/>
                <w:sz w:val="24"/>
                <w:szCs w:val="24"/>
                <w:u w:val="none" w:color="auto"/>
                <w:lang w:val="en-US" w:eastAsia="zh-CN"/>
              </w:rPr>
              <w:t>（2）对室外噪声源主要考虑噪声的几何发散衰减及环境因素衰减：</w:t>
            </w:r>
          </w:p>
          <w:p w14:paraId="2DBF52DB">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center"/>
              <w:textAlignment w:val="auto"/>
              <w:rPr>
                <w:rFonts w:hint="default" w:ascii="Times New Roman" w:hAnsi="Times New Roman" w:eastAsia="宋体" w:cs="Times New Roman"/>
                <w:b w:val="0"/>
                <w:bCs/>
                <w:color w:val="auto"/>
                <w:spacing w:val="0"/>
                <w:sz w:val="24"/>
                <w:szCs w:val="24"/>
                <w:u w:val="none" w:color="auto"/>
                <w:lang w:val="en-US" w:eastAsia="zh-CN"/>
              </w:rPr>
            </w:pPr>
            <w:r>
              <w:rPr>
                <w:rFonts w:hint="default" w:ascii="Times New Roman" w:hAnsi="Times New Roman" w:eastAsia="宋体" w:cs="Times New Roman"/>
                <w:b w:val="0"/>
                <w:bCs/>
                <w:color w:val="auto"/>
                <w:spacing w:val="0"/>
                <w:sz w:val="24"/>
                <w:szCs w:val="24"/>
                <w:u w:val="none" w:color="auto"/>
                <w:lang w:val="en-US" w:eastAsia="zh-CN"/>
              </w:rPr>
              <w:fldChar w:fldCharType="begin"/>
            </w:r>
            <w:r>
              <w:rPr>
                <w:rFonts w:hint="default" w:ascii="Times New Roman" w:hAnsi="Times New Roman" w:eastAsia="宋体" w:cs="Times New Roman"/>
                <w:b w:val="0"/>
                <w:bCs/>
                <w:color w:val="auto"/>
                <w:spacing w:val="0"/>
                <w:sz w:val="24"/>
                <w:szCs w:val="24"/>
                <w:u w:val="none" w:color="auto"/>
                <w:lang w:val="en-US" w:eastAsia="zh-CN"/>
              </w:rPr>
              <w:instrText xml:space="preserve">INCLUDEPICTURE "D:\\微信文件\\WeChat Files\\q736264786\\FileStorage\\File\\AppData\\Local\\Temp\\ksohtml\\wps902C.tmp.png" \* MERGEFORMAT </w:instrText>
            </w:r>
            <w:r>
              <w:rPr>
                <w:rFonts w:hint="default" w:ascii="Times New Roman" w:hAnsi="Times New Roman" w:eastAsia="宋体" w:cs="Times New Roman"/>
                <w:b w:val="0"/>
                <w:bCs/>
                <w:color w:val="auto"/>
                <w:spacing w:val="0"/>
                <w:sz w:val="24"/>
                <w:szCs w:val="24"/>
                <w:u w:val="none" w:color="auto"/>
                <w:lang w:val="en-US" w:eastAsia="zh-CN"/>
              </w:rPr>
              <w:fldChar w:fldCharType="separate"/>
            </w:r>
            <w:r>
              <w:rPr>
                <w:rFonts w:hint="default" w:ascii="Times New Roman" w:hAnsi="Times New Roman" w:eastAsia="宋体" w:cs="Times New Roman"/>
                <w:b w:val="0"/>
                <w:bCs/>
                <w:color w:val="auto"/>
                <w:spacing w:val="0"/>
                <w:sz w:val="24"/>
                <w:szCs w:val="24"/>
                <w:u w:val="none" w:color="auto"/>
                <w:lang w:val="en-US" w:eastAsia="zh-CN"/>
              </w:rPr>
              <w:drawing>
                <wp:inline distT="0" distB="0" distL="114300" distR="114300">
                  <wp:extent cx="1476375" cy="247650"/>
                  <wp:effectExtent l="0" t="0" r="9525" b="0"/>
                  <wp:docPr id="57" name="图片 2" descr="wps902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2" descr="wps902C"/>
                          <pic:cNvPicPr>
                            <a:picLocks noChangeAspect="1"/>
                          </pic:cNvPicPr>
                        </pic:nvPicPr>
                        <pic:blipFill>
                          <a:blip r:embed="rId47"/>
                          <a:stretch>
                            <a:fillRect/>
                          </a:stretch>
                        </pic:blipFill>
                        <pic:spPr>
                          <a:xfrm>
                            <a:off x="0" y="0"/>
                            <a:ext cx="1476375" cy="247650"/>
                          </a:xfrm>
                          <a:prstGeom prst="rect">
                            <a:avLst/>
                          </a:prstGeom>
                          <a:noFill/>
                          <a:ln>
                            <a:noFill/>
                          </a:ln>
                        </pic:spPr>
                      </pic:pic>
                    </a:graphicData>
                  </a:graphic>
                </wp:inline>
              </w:drawing>
            </w:r>
            <w:r>
              <w:rPr>
                <w:rFonts w:hint="default" w:ascii="Times New Roman" w:hAnsi="Times New Roman" w:eastAsia="宋体" w:cs="Times New Roman"/>
                <w:b w:val="0"/>
                <w:bCs/>
                <w:color w:val="auto"/>
                <w:spacing w:val="0"/>
                <w:sz w:val="24"/>
                <w:szCs w:val="24"/>
                <w:u w:val="none" w:color="auto"/>
                <w:lang w:val="en-US" w:eastAsia="zh-CN"/>
              </w:rPr>
              <w:fldChar w:fldCharType="end"/>
            </w:r>
          </w:p>
          <w:p w14:paraId="1D9152A1">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center"/>
              <w:textAlignment w:val="auto"/>
              <w:rPr>
                <w:rFonts w:hint="default" w:ascii="Times New Roman" w:hAnsi="Times New Roman" w:eastAsia="宋体" w:cs="Times New Roman"/>
                <w:b w:val="0"/>
                <w:bCs/>
                <w:color w:val="auto"/>
                <w:spacing w:val="0"/>
                <w:sz w:val="24"/>
                <w:szCs w:val="24"/>
                <w:u w:val="none" w:color="auto"/>
                <w:lang w:val="en-US" w:eastAsia="zh-CN"/>
              </w:rPr>
            </w:pPr>
            <w:r>
              <w:rPr>
                <w:rFonts w:hint="default" w:ascii="Times New Roman" w:hAnsi="Times New Roman" w:eastAsia="宋体" w:cs="Times New Roman"/>
                <w:b w:val="0"/>
                <w:bCs/>
                <w:color w:val="auto"/>
                <w:spacing w:val="0"/>
                <w:sz w:val="24"/>
                <w:szCs w:val="24"/>
                <w:u w:val="none" w:color="auto"/>
                <w:lang w:val="en-US" w:eastAsia="zh-CN"/>
              </w:rPr>
              <w:fldChar w:fldCharType="begin"/>
            </w:r>
            <w:r>
              <w:rPr>
                <w:rFonts w:hint="default" w:ascii="Times New Roman" w:hAnsi="Times New Roman" w:eastAsia="宋体" w:cs="Times New Roman"/>
                <w:b w:val="0"/>
                <w:bCs/>
                <w:color w:val="auto"/>
                <w:spacing w:val="0"/>
                <w:sz w:val="24"/>
                <w:szCs w:val="24"/>
                <w:u w:val="none" w:color="auto"/>
                <w:lang w:val="en-US" w:eastAsia="zh-CN"/>
              </w:rPr>
              <w:instrText xml:space="preserve">INCLUDEPICTURE "D:\\微信文件\\WeChat Files\\q736264786\\FileStorage\\File\\AppData\\Local\\Temp\\ksohtml\\wps902D.tmp.png" \* MERGEFORMAT </w:instrText>
            </w:r>
            <w:r>
              <w:rPr>
                <w:rFonts w:hint="default" w:ascii="Times New Roman" w:hAnsi="Times New Roman" w:eastAsia="宋体" w:cs="Times New Roman"/>
                <w:b w:val="0"/>
                <w:bCs/>
                <w:color w:val="auto"/>
                <w:spacing w:val="0"/>
                <w:sz w:val="24"/>
                <w:szCs w:val="24"/>
                <w:u w:val="none" w:color="auto"/>
                <w:lang w:val="en-US" w:eastAsia="zh-CN"/>
              </w:rPr>
              <w:fldChar w:fldCharType="separate"/>
            </w:r>
            <w:r>
              <w:rPr>
                <w:rFonts w:hint="default" w:ascii="Times New Roman" w:hAnsi="Times New Roman" w:eastAsia="宋体" w:cs="Times New Roman"/>
                <w:b w:val="0"/>
                <w:bCs/>
                <w:color w:val="auto"/>
                <w:spacing w:val="0"/>
                <w:sz w:val="24"/>
                <w:szCs w:val="24"/>
                <w:u w:val="none" w:color="auto"/>
                <w:lang w:val="en-US" w:eastAsia="zh-CN"/>
              </w:rPr>
              <w:drawing>
                <wp:inline distT="0" distB="0" distL="114300" distR="114300">
                  <wp:extent cx="838200" cy="238125"/>
                  <wp:effectExtent l="0" t="0" r="0" b="8255"/>
                  <wp:docPr id="58" name="图片 3" descr="wps902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3" descr="wps902D"/>
                          <pic:cNvPicPr>
                            <a:picLocks noChangeAspect="1"/>
                          </pic:cNvPicPr>
                        </pic:nvPicPr>
                        <pic:blipFill>
                          <a:blip r:embed="rId48"/>
                          <a:stretch>
                            <a:fillRect/>
                          </a:stretch>
                        </pic:blipFill>
                        <pic:spPr>
                          <a:xfrm>
                            <a:off x="0" y="0"/>
                            <a:ext cx="838200" cy="238125"/>
                          </a:xfrm>
                          <a:prstGeom prst="rect">
                            <a:avLst/>
                          </a:prstGeom>
                          <a:noFill/>
                          <a:ln>
                            <a:noFill/>
                          </a:ln>
                        </pic:spPr>
                      </pic:pic>
                    </a:graphicData>
                  </a:graphic>
                </wp:inline>
              </w:drawing>
            </w:r>
            <w:r>
              <w:rPr>
                <w:rFonts w:hint="default" w:ascii="Times New Roman" w:hAnsi="Times New Roman" w:eastAsia="宋体" w:cs="Times New Roman"/>
                <w:b w:val="0"/>
                <w:bCs/>
                <w:color w:val="auto"/>
                <w:spacing w:val="0"/>
                <w:sz w:val="24"/>
                <w:szCs w:val="24"/>
                <w:u w:val="none" w:color="auto"/>
                <w:lang w:val="en-US" w:eastAsia="zh-CN"/>
              </w:rPr>
              <w:fldChar w:fldCharType="end"/>
            </w:r>
          </w:p>
          <w:p w14:paraId="626C7FBB">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color w:val="auto"/>
                <w:spacing w:val="0"/>
                <w:sz w:val="24"/>
                <w:szCs w:val="24"/>
                <w:u w:val="none" w:color="auto"/>
                <w:lang w:val="en-US" w:eastAsia="zh-CN"/>
              </w:rPr>
            </w:pPr>
            <w:r>
              <w:rPr>
                <w:rFonts w:hint="default" w:ascii="Times New Roman" w:hAnsi="Times New Roman" w:eastAsia="宋体" w:cs="Times New Roman"/>
                <w:b w:val="0"/>
                <w:bCs/>
                <w:color w:val="auto"/>
                <w:spacing w:val="0"/>
                <w:sz w:val="24"/>
                <w:szCs w:val="24"/>
                <w:u w:val="none" w:color="auto"/>
                <w:lang w:val="en-US" w:eastAsia="zh-CN"/>
              </w:rPr>
              <w:t>式中：Lp—距离声源r米处的声压级；</w:t>
            </w:r>
          </w:p>
          <w:p w14:paraId="38118C2C">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color w:val="auto"/>
                <w:spacing w:val="0"/>
                <w:sz w:val="24"/>
                <w:szCs w:val="24"/>
                <w:u w:val="none" w:color="auto"/>
                <w:lang w:val="en-US" w:eastAsia="zh-CN"/>
              </w:rPr>
            </w:pPr>
            <w:r>
              <w:rPr>
                <w:rFonts w:hint="default" w:ascii="Times New Roman" w:hAnsi="Times New Roman" w:eastAsia="宋体" w:cs="Times New Roman"/>
                <w:b w:val="0"/>
                <w:bCs/>
                <w:color w:val="auto"/>
                <w:spacing w:val="0"/>
                <w:sz w:val="24"/>
                <w:szCs w:val="24"/>
                <w:u w:val="none" w:color="auto"/>
                <w:lang w:val="en-US" w:eastAsia="zh-CN"/>
              </w:rPr>
              <w:t>r — 预测点与声源的距离；</w:t>
            </w:r>
          </w:p>
          <w:p w14:paraId="153FD060">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color w:val="auto"/>
                <w:spacing w:val="0"/>
                <w:sz w:val="24"/>
                <w:szCs w:val="24"/>
                <w:u w:val="none" w:color="auto"/>
                <w:lang w:val="en-US" w:eastAsia="zh-CN"/>
              </w:rPr>
            </w:pPr>
            <w:r>
              <w:rPr>
                <w:rFonts w:hint="default" w:ascii="Times New Roman" w:hAnsi="Times New Roman" w:eastAsia="宋体" w:cs="Times New Roman"/>
                <w:b w:val="0"/>
                <w:bCs/>
                <w:color w:val="auto"/>
                <w:spacing w:val="0"/>
                <w:sz w:val="24"/>
                <w:szCs w:val="24"/>
                <w:u w:val="none" w:color="auto"/>
                <w:lang w:val="en-US" w:eastAsia="zh-CN"/>
              </w:rPr>
              <w:t>r0—距离声源r0米处的距离；</w:t>
            </w:r>
          </w:p>
          <w:p w14:paraId="775D5377">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color w:val="auto"/>
                <w:spacing w:val="0"/>
                <w:sz w:val="24"/>
                <w:szCs w:val="24"/>
                <w:u w:val="none" w:color="auto"/>
                <w:lang w:val="en-US" w:eastAsia="zh-CN"/>
              </w:rPr>
            </w:pPr>
            <w:r>
              <w:rPr>
                <w:rFonts w:hint="default" w:ascii="Times New Roman" w:hAnsi="Times New Roman" w:eastAsia="宋体" w:cs="Times New Roman"/>
                <w:b w:val="0"/>
                <w:bCs/>
                <w:color w:val="auto"/>
                <w:spacing w:val="0"/>
                <w:sz w:val="24"/>
                <w:szCs w:val="24"/>
                <w:u w:val="none" w:color="auto"/>
                <w:lang w:val="en-US" w:eastAsia="zh-CN"/>
              </w:rPr>
              <w:t>a—空气衰减系数；</w:t>
            </w:r>
          </w:p>
          <w:p w14:paraId="6F8A0FEB">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color w:val="auto"/>
                <w:spacing w:val="0"/>
                <w:sz w:val="24"/>
                <w:szCs w:val="24"/>
                <w:u w:val="none" w:color="auto"/>
                <w:lang w:val="en-US" w:eastAsia="zh-CN"/>
              </w:rPr>
            </w:pPr>
            <w:r>
              <w:rPr>
                <w:rFonts w:hint="default" w:ascii="Times New Roman" w:hAnsi="Times New Roman" w:eastAsia="宋体" w:cs="Times New Roman"/>
                <w:b w:val="0"/>
                <w:bCs/>
                <w:color w:val="auto"/>
                <w:spacing w:val="0"/>
                <w:sz w:val="24"/>
                <w:szCs w:val="24"/>
                <w:u w:val="none" w:color="auto"/>
                <w:lang w:val="en-US" w:eastAsia="zh-CN"/>
              </w:rPr>
              <w:t>△L—各种因素引起的衰减量（包括声屏障、空气吸收等）。</w:t>
            </w:r>
          </w:p>
          <w:p w14:paraId="5111E16E">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color w:val="auto"/>
                <w:spacing w:val="0"/>
                <w:sz w:val="24"/>
                <w:szCs w:val="24"/>
                <w:u w:val="none" w:color="auto"/>
                <w:lang w:val="en-US" w:eastAsia="zh-CN"/>
              </w:rPr>
            </w:pPr>
            <w:r>
              <w:rPr>
                <w:rFonts w:hint="default" w:ascii="Times New Roman" w:hAnsi="Times New Roman" w:eastAsia="宋体" w:cs="Times New Roman"/>
                <w:b w:val="0"/>
                <w:bCs/>
                <w:color w:val="auto"/>
                <w:spacing w:val="0"/>
                <w:sz w:val="24"/>
                <w:szCs w:val="24"/>
                <w:u w:val="none" w:color="auto"/>
                <w:lang w:val="en-US" w:eastAsia="zh-CN"/>
              </w:rPr>
              <w:t>B.对两个以上多个声源同时存在时，多点源叠加计算总源强，采用如下公式：</w:t>
            </w:r>
          </w:p>
          <w:p w14:paraId="3AF5CEAC">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center"/>
              <w:textAlignment w:val="auto"/>
              <w:rPr>
                <w:rFonts w:hint="default" w:ascii="Times New Roman" w:hAnsi="Times New Roman" w:eastAsia="宋体" w:cs="Times New Roman"/>
                <w:b w:val="0"/>
                <w:bCs/>
                <w:color w:val="auto"/>
                <w:spacing w:val="0"/>
                <w:sz w:val="24"/>
                <w:szCs w:val="24"/>
                <w:u w:val="none" w:color="auto"/>
                <w:lang w:val="en-US" w:eastAsia="zh-CN"/>
              </w:rPr>
            </w:pPr>
            <w:r>
              <w:rPr>
                <w:rFonts w:hint="default" w:ascii="Times New Roman" w:hAnsi="Times New Roman" w:eastAsia="宋体" w:cs="Times New Roman"/>
                <w:b w:val="0"/>
                <w:bCs/>
                <w:color w:val="auto"/>
                <w:spacing w:val="0"/>
                <w:sz w:val="24"/>
                <w:szCs w:val="24"/>
                <w:u w:val="none" w:color="auto"/>
                <w:lang w:val="en-US" w:eastAsia="zh-CN"/>
              </w:rPr>
              <w:fldChar w:fldCharType="begin"/>
            </w:r>
            <w:r>
              <w:rPr>
                <w:rFonts w:hint="default" w:ascii="Times New Roman" w:hAnsi="Times New Roman" w:eastAsia="宋体" w:cs="Times New Roman"/>
                <w:b w:val="0"/>
                <w:bCs/>
                <w:color w:val="auto"/>
                <w:spacing w:val="0"/>
                <w:sz w:val="24"/>
                <w:szCs w:val="24"/>
                <w:u w:val="none" w:color="auto"/>
                <w:lang w:val="en-US" w:eastAsia="zh-CN"/>
              </w:rPr>
              <w:instrText xml:space="preserve">INCLUDEPICTURE "D:\\微信文件\\WeChat Files\\q736264786\\FileStorage\\File\\AppData\\Local\\Temp\\ksohtml\\wps9030.tmp.png" \* MERGEFORMAT </w:instrText>
            </w:r>
            <w:r>
              <w:rPr>
                <w:rFonts w:hint="default" w:ascii="Times New Roman" w:hAnsi="Times New Roman" w:eastAsia="宋体" w:cs="Times New Roman"/>
                <w:b w:val="0"/>
                <w:bCs/>
                <w:color w:val="auto"/>
                <w:spacing w:val="0"/>
                <w:sz w:val="24"/>
                <w:szCs w:val="24"/>
                <w:u w:val="none" w:color="auto"/>
                <w:lang w:val="en-US" w:eastAsia="zh-CN"/>
              </w:rPr>
              <w:fldChar w:fldCharType="separate"/>
            </w:r>
            <w:r>
              <w:rPr>
                <w:rFonts w:hint="default" w:ascii="Times New Roman" w:hAnsi="Times New Roman" w:eastAsia="宋体" w:cs="Times New Roman"/>
                <w:b w:val="0"/>
                <w:bCs/>
                <w:color w:val="auto"/>
                <w:spacing w:val="0"/>
                <w:sz w:val="24"/>
                <w:szCs w:val="24"/>
                <w:u w:val="none" w:color="auto"/>
                <w:lang w:val="en-US" w:eastAsia="zh-CN"/>
              </w:rPr>
              <w:drawing>
                <wp:inline distT="0" distB="0" distL="114300" distR="114300">
                  <wp:extent cx="1247775" cy="257175"/>
                  <wp:effectExtent l="0" t="0" r="0" b="8890"/>
                  <wp:docPr id="59" name="图片 4" descr="wps9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4" descr="wps9030"/>
                          <pic:cNvPicPr>
                            <a:picLocks noChangeAspect="1"/>
                          </pic:cNvPicPr>
                        </pic:nvPicPr>
                        <pic:blipFill>
                          <a:blip r:embed="rId49"/>
                          <a:stretch>
                            <a:fillRect/>
                          </a:stretch>
                        </pic:blipFill>
                        <pic:spPr>
                          <a:xfrm>
                            <a:off x="0" y="0"/>
                            <a:ext cx="1247775" cy="257175"/>
                          </a:xfrm>
                          <a:prstGeom prst="rect">
                            <a:avLst/>
                          </a:prstGeom>
                          <a:noFill/>
                          <a:ln>
                            <a:noFill/>
                          </a:ln>
                        </pic:spPr>
                      </pic:pic>
                    </a:graphicData>
                  </a:graphic>
                </wp:inline>
              </w:drawing>
            </w:r>
            <w:r>
              <w:rPr>
                <w:rFonts w:hint="default" w:ascii="Times New Roman" w:hAnsi="Times New Roman" w:eastAsia="宋体" w:cs="Times New Roman"/>
                <w:b w:val="0"/>
                <w:bCs/>
                <w:color w:val="auto"/>
                <w:spacing w:val="0"/>
                <w:sz w:val="24"/>
                <w:szCs w:val="24"/>
                <w:u w:val="none" w:color="auto"/>
                <w:lang w:val="en-US" w:eastAsia="zh-CN"/>
              </w:rPr>
              <w:fldChar w:fldCharType="end"/>
            </w:r>
          </w:p>
          <w:p w14:paraId="4EA9500C">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color w:val="auto"/>
                <w:spacing w:val="0"/>
                <w:sz w:val="24"/>
                <w:szCs w:val="24"/>
                <w:u w:val="none" w:color="auto"/>
                <w:lang w:val="en-US" w:eastAsia="zh-CN"/>
              </w:rPr>
            </w:pPr>
            <w:r>
              <w:rPr>
                <w:rFonts w:hint="default" w:ascii="Times New Roman" w:hAnsi="Times New Roman" w:eastAsia="宋体" w:cs="Times New Roman"/>
                <w:b w:val="0"/>
                <w:bCs/>
                <w:color w:val="auto"/>
                <w:spacing w:val="0"/>
                <w:sz w:val="24"/>
                <w:szCs w:val="24"/>
                <w:u w:val="none" w:color="auto"/>
                <w:lang w:val="en-US" w:eastAsia="zh-CN"/>
              </w:rPr>
              <w:t>式中：Leq—预测点的总等效声级，dB（A）；</w:t>
            </w:r>
          </w:p>
          <w:p w14:paraId="7FDD05A5">
            <w:pPr>
              <w:pStyle w:val="101"/>
              <w:rPr>
                <w:rFonts w:hint="default" w:ascii="Times New Roman" w:hAnsi="Times New Roman" w:eastAsia="宋体" w:cs="Times New Roman"/>
                <w:bCs/>
                <w:color w:val="auto"/>
                <w:highlight w:val="none"/>
                <w:u w:val="none" w:color="auto"/>
              </w:rPr>
            </w:pPr>
            <w:r>
              <w:rPr>
                <w:rFonts w:hint="default" w:ascii="Times New Roman" w:hAnsi="Times New Roman" w:eastAsia="宋体" w:cs="Times New Roman"/>
                <w:b w:val="0"/>
                <w:bCs/>
                <w:color w:val="auto"/>
                <w:spacing w:val="0"/>
                <w:sz w:val="24"/>
                <w:szCs w:val="24"/>
                <w:u w:val="none" w:color="auto"/>
                <w:lang w:val="en-US" w:eastAsia="zh-CN"/>
              </w:rPr>
              <w:t>Li—第i个声源对预测点的声级影响，dB（A）；</w:t>
            </w:r>
          </w:p>
          <w:p w14:paraId="310367EE">
            <w:pPr>
              <w:pStyle w:val="101"/>
              <w:rPr>
                <w:rFonts w:hint="default" w:ascii="Times New Roman" w:hAnsi="Times New Roman" w:eastAsia="宋体" w:cs="Times New Roman"/>
                <w:bCs/>
                <w:color w:val="auto"/>
                <w:highlight w:val="none"/>
                <w:u w:val="none" w:color="auto"/>
              </w:rPr>
            </w:pPr>
            <w:r>
              <w:rPr>
                <w:rFonts w:hint="default" w:ascii="Times New Roman" w:hAnsi="Times New Roman" w:eastAsia="宋体" w:cs="Times New Roman"/>
                <w:bCs/>
                <w:color w:val="auto"/>
                <w:highlight w:val="none"/>
                <w:u w:val="none" w:color="auto"/>
              </w:rPr>
              <w:t>（</w:t>
            </w:r>
            <w:r>
              <w:rPr>
                <w:rFonts w:hint="default" w:ascii="Times New Roman" w:hAnsi="Times New Roman" w:eastAsia="宋体" w:cs="Times New Roman"/>
                <w:bCs/>
                <w:color w:val="auto"/>
                <w:highlight w:val="none"/>
                <w:u w:val="none" w:color="auto"/>
                <w:lang w:val="en-US" w:eastAsia="zh-CN"/>
              </w:rPr>
              <w:t>3</w:t>
            </w:r>
            <w:r>
              <w:rPr>
                <w:rFonts w:hint="default" w:ascii="Times New Roman" w:hAnsi="Times New Roman" w:eastAsia="宋体" w:cs="Times New Roman"/>
                <w:bCs/>
                <w:color w:val="auto"/>
                <w:highlight w:val="none"/>
                <w:u w:val="none" w:color="auto"/>
              </w:rPr>
              <w:t>）噪声叠加值计算</w:t>
            </w:r>
          </w:p>
          <w:p w14:paraId="222E3ACA">
            <w:pPr>
              <w:pStyle w:val="101"/>
              <w:jc w:val="center"/>
              <w:rPr>
                <w:rFonts w:hint="default" w:ascii="Times New Roman" w:hAnsi="Times New Roman" w:eastAsia="宋体" w:cs="Times New Roman"/>
                <w:bCs/>
                <w:color w:val="auto"/>
                <w:highlight w:val="none"/>
                <w:u w:val="none" w:color="auto"/>
              </w:rPr>
            </w:pPr>
            <w:r>
              <w:rPr>
                <w:rFonts w:hint="default" w:ascii="Times New Roman" w:hAnsi="Times New Roman" w:eastAsia="宋体" w:cs="Times New Roman"/>
                <w:bCs/>
                <w:color w:val="auto"/>
                <w:highlight w:val="none"/>
                <w:u w:val="none" w:color="auto"/>
              </w:rPr>
              <w:drawing>
                <wp:inline distT="0" distB="0" distL="0" distR="0">
                  <wp:extent cx="2033270" cy="292735"/>
                  <wp:effectExtent l="0" t="0" r="5080" b="12065"/>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pic:cNvPicPr>
                            <a:picLocks noChangeAspect="1"/>
                          </pic:cNvPicPr>
                        </pic:nvPicPr>
                        <pic:blipFill>
                          <a:blip r:embed="rId50" cstate="print"/>
                          <a:stretch>
                            <a:fillRect/>
                          </a:stretch>
                        </pic:blipFill>
                        <pic:spPr>
                          <a:xfrm>
                            <a:off x="0" y="0"/>
                            <a:ext cx="2053405" cy="295605"/>
                          </a:xfrm>
                          <a:prstGeom prst="rect">
                            <a:avLst/>
                          </a:prstGeom>
                        </pic:spPr>
                      </pic:pic>
                    </a:graphicData>
                  </a:graphic>
                </wp:inline>
              </w:drawing>
            </w:r>
            <w:r>
              <w:rPr>
                <w:rFonts w:hint="default" w:ascii="Times New Roman" w:hAnsi="Times New Roman" w:eastAsia="宋体" w:cs="Times New Roman"/>
                <w:bCs/>
                <w:color w:val="auto"/>
                <w:highlight w:val="none"/>
                <w:u w:val="none" w:color="auto"/>
              </w:rPr>
              <w:t>——公式（5）</w:t>
            </w:r>
          </w:p>
          <w:p w14:paraId="7DAACBB8">
            <w:pPr>
              <w:pStyle w:val="101"/>
              <w:rPr>
                <w:rFonts w:hint="default" w:ascii="Times New Roman" w:hAnsi="Times New Roman" w:eastAsia="宋体" w:cs="Times New Roman"/>
                <w:bCs/>
                <w:color w:val="auto"/>
                <w:highlight w:val="none"/>
                <w:u w:val="none" w:color="auto"/>
              </w:rPr>
            </w:pPr>
            <w:r>
              <w:rPr>
                <w:rFonts w:hint="default" w:ascii="Times New Roman" w:hAnsi="Times New Roman" w:eastAsia="宋体" w:cs="Times New Roman"/>
                <w:bCs/>
                <w:color w:val="auto"/>
                <w:highlight w:val="none"/>
                <w:u w:val="none" w:color="auto"/>
              </w:rPr>
              <w:t>式中：</w:t>
            </w:r>
          </w:p>
          <w:p w14:paraId="5EAB83AA">
            <w:pPr>
              <w:pStyle w:val="101"/>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i/>
                <w:iCs/>
                <w:color w:val="auto"/>
                <w:highlight w:val="none"/>
                <w:u w:val="none" w:color="auto"/>
              </w:rPr>
              <w:t>L</w:t>
            </w:r>
            <w:r>
              <w:rPr>
                <w:rFonts w:hint="default" w:ascii="Times New Roman" w:hAnsi="Times New Roman" w:eastAsia="宋体" w:cs="Times New Roman"/>
                <w:i/>
                <w:iCs/>
                <w:color w:val="auto"/>
                <w:highlight w:val="none"/>
                <w:u w:val="none" w:color="auto"/>
                <w:vertAlign w:val="subscript"/>
              </w:rPr>
              <w:t>eqg</w:t>
            </w:r>
            <w:r>
              <w:rPr>
                <w:rFonts w:hint="default" w:ascii="Times New Roman" w:hAnsi="Times New Roman" w:eastAsia="宋体" w:cs="Times New Roman"/>
                <w:color w:val="auto"/>
                <w:highlight w:val="none"/>
                <w:u w:val="none" w:color="auto"/>
              </w:rPr>
              <w:t>—建设项目声源在预测点的等效声级贡献值，dB（A）。</w:t>
            </w:r>
          </w:p>
          <w:p w14:paraId="19C58E0F">
            <w:pPr>
              <w:adjustRightInd w:val="0"/>
              <w:snapToGrid w:val="0"/>
              <w:spacing w:line="360" w:lineRule="auto"/>
              <w:ind w:firstLine="482" w:firstLineChars="200"/>
              <w:rPr>
                <w:rFonts w:hint="default" w:ascii="Times New Roman" w:hAnsi="Times New Roman" w:eastAsia="宋体" w:cs="Times New Roman"/>
                <w:b/>
                <w:bCs/>
                <w:color w:val="auto"/>
                <w:spacing w:val="0"/>
                <w:kern w:val="0"/>
                <w:sz w:val="24"/>
                <w:u w:val="none" w:color="auto"/>
                <w:lang w:val="en-US" w:eastAsia="zh-CN"/>
              </w:rPr>
            </w:pPr>
            <w:r>
              <w:rPr>
                <w:rFonts w:hint="default" w:ascii="Times New Roman" w:hAnsi="Times New Roman" w:eastAsia="宋体" w:cs="Times New Roman"/>
                <w:b/>
                <w:bCs/>
                <w:color w:val="auto"/>
                <w:spacing w:val="0"/>
                <w:kern w:val="0"/>
                <w:sz w:val="24"/>
                <w:u w:val="none" w:color="auto"/>
                <w:lang w:val="en-US" w:eastAsia="zh-CN"/>
              </w:rPr>
              <w:t>3、源强调查清单</w:t>
            </w:r>
          </w:p>
          <w:p w14:paraId="358B81A6">
            <w:pPr>
              <w:adjustRightInd w:val="0"/>
              <w:snapToGrid w:val="0"/>
              <w:spacing w:line="360" w:lineRule="auto"/>
              <w:ind w:firstLine="480" w:firstLineChars="200"/>
              <w:rPr>
                <w:rFonts w:hint="default" w:ascii="Times New Roman" w:hAnsi="Times New Roman" w:eastAsia="宋体" w:cs="Times New Roman"/>
                <w:color w:val="auto"/>
                <w:sz w:val="24"/>
                <w:szCs w:val="24"/>
                <w:highlight w:val="none"/>
                <w:u w:val="none" w:color="auto"/>
                <w:lang w:val="en-US" w:eastAsia="zh-CN"/>
              </w:rPr>
            </w:pPr>
            <w:r>
              <w:rPr>
                <w:rFonts w:hint="default" w:ascii="Times New Roman" w:hAnsi="Times New Roman" w:eastAsia="宋体" w:cs="Times New Roman"/>
                <w:color w:val="auto"/>
                <w:sz w:val="24"/>
                <w:szCs w:val="24"/>
                <w:highlight w:val="none"/>
                <w:u w:val="none" w:color="auto"/>
                <w:lang w:eastAsia="zh-CN"/>
              </w:rPr>
              <w:t>（</w:t>
            </w:r>
            <w:r>
              <w:rPr>
                <w:rFonts w:hint="default" w:ascii="Times New Roman" w:hAnsi="Times New Roman" w:eastAsia="宋体" w:cs="Times New Roman"/>
                <w:color w:val="auto"/>
                <w:sz w:val="24"/>
                <w:szCs w:val="24"/>
                <w:highlight w:val="none"/>
                <w:u w:val="none" w:color="auto"/>
                <w:lang w:val="en-US" w:eastAsia="zh-CN"/>
              </w:rPr>
              <w:t>1</w:t>
            </w:r>
            <w:r>
              <w:rPr>
                <w:rFonts w:hint="default" w:ascii="Times New Roman" w:hAnsi="Times New Roman" w:eastAsia="宋体" w:cs="Times New Roman"/>
                <w:color w:val="auto"/>
                <w:sz w:val="24"/>
                <w:szCs w:val="24"/>
                <w:highlight w:val="none"/>
                <w:u w:val="none" w:color="auto"/>
                <w:lang w:eastAsia="zh-CN"/>
              </w:rPr>
              <w:t>）</w:t>
            </w:r>
            <w:r>
              <w:rPr>
                <w:rFonts w:hint="default" w:ascii="Times New Roman" w:hAnsi="Times New Roman" w:eastAsia="宋体" w:cs="Times New Roman"/>
                <w:color w:val="auto"/>
                <w:sz w:val="24"/>
                <w:szCs w:val="24"/>
                <w:highlight w:val="none"/>
                <w:u w:val="none" w:color="auto"/>
                <w:lang w:val="en-US" w:eastAsia="zh-CN"/>
              </w:rPr>
              <w:t>中创空天厂区</w:t>
            </w:r>
          </w:p>
          <w:p w14:paraId="146FF9F1">
            <w:pPr>
              <w:adjustRightInd w:val="0"/>
              <w:snapToGrid w:val="0"/>
              <w:spacing w:line="360" w:lineRule="auto"/>
              <w:ind w:firstLine="480" w:firstLineChars="200"/>
              <w:rPr>
                <w:rFonts w:hint="default" w:ascii="Times New Roman" w:hAnsi="Times New Roman" w:eastAsia="宋体" w:cs="Times New Roman"/>
                <w:color w:val="auto"/>
                <w:sz w:val="24"/>
                <w:szCs w:val="24"/>
                <w:highlight w:val="none"/>
                <w:u w:val="none" w:color="auto"/>
                <w:lang w:eastAsia="zh-CN"/>
              </w:rPr>
            </w:pPr>
            <w:r>
              <w:rPr>
                <w:rFonts w:hint="default" w:ascii="Times New Roman" w:hAnsi="Times New Roman" w:eastAsia="宋体" w:cs="Times New Roman"/>
                <w:color w:val="auto"/>
                <w:sz w:val="24"/>
                <w:szCs w:val="24"/>
                <w:highlight w:val="none"/>
                <w:u w:val="none" w:color="auto"/>
                <w:lang w:eastAsia="zh-CN"/>
              </w:rPr>
              <w:t>项目产生噪声的等效噪声源源强调查清单见</w:t>
            </w:r>
            <w:r>
              <w:rPr>
                <w:rFonts w:hint="default" w:ascii="Times New Roman" w:hAnsi="Times New Roman" w:eastAsia="宋体" w:cs="Times New Roman"/>
                <w:color w:val="auto"/>
                <w:sz w:val="24"/>
                <w:szCs w:val="24"/>
                <w:highlight w:val="none"/>
                <w:u w:val="none" w:color="auto"/>
                <w:lang w:val="en-US" w:eastAsia="zh-CN"/>
              </w:rPr>
              <w:t>下表</w:t>
            </w:r>
            <w:r>
              <w:rPr>
                <w:rFonts w:hint="default" w:ascii="Times New Roman" w:hAnsi="Times New Roman" w:eastAsia="宋体" w:cs="Times New Roman"/>
                <w:color w:val="auto"/>
                <w:sz w:val="24"/>
                <w:szCs w:val="24"/>
                <w:highlight w:val="none"/>
                <w:u w:val="none" w:color="auto"/>
                <w:lang w:eastAsia="zh-CN"/>
              </w:rPr>
              <w:t>。</w:t>
            </w:r>
          </w:p>
          <w:p w14:paraId="5BB81951">
            <w:pPr>
              <w:jc w:val="center"/>
              <w:rPr>
                <w:rFonts w:hint="default" w:ascii="Times New Roman" w:hAnsi="Times New Roman" w:eastAsia="宋体" w:cs="Times New Roman"/>
                <w:b/>
                <w:bCs/>
                <w:color w:val="auto"/>
                <w:u w:val="none" w:color="auto"/>
                <w:lang w:eastAsia="zh-CN"/>
              </w:rPr>
            </w:pPr>
            <w:r>
              <w:rPr>
                <w:rFonts w:hint="default" w:ascii="Times New Roman" w:hAnsi="Times New Roman" w:eastAsia="宋体" w:cs="Times New Roman"/>
                <w:b/>
                <w:bCs/>
                <w:color w:val="auto"/>
                <w:u w:val="none" w:color="auto"/>
                <w:lang w:eastAsia="zh-CN"/>
              </w:rPr>
              <w:t>表</w:t>
            </w:r>
            <w:r>
              <w:rPr>
                <w:rFonts w:hint="default" w:ascii="Times New Roman" w:hAnsi="Times New Roman" w:eastAsia="宋体" w:cs="Times New Roman"/>
                <w:b/>
                <w:bCs/>
                <w:color w:val="auto"/>
                <w:u w:val="none" w:color="auto"/>
                <w:lang w:val="en-US" w:eastAsia="zh-CN"/>
              </w:rPr>
              <w:t xml:space="preserve">4-32  </w:t>
            </w:r>
            <w:r>
              <w:rPr>
                <w:rFonts w:hint="default" w:ascii="Times New Roman" w:hAnsi="Times New Roman" w:eastAsia="宋体" w:cs="Times New Roman"/>
                <w:b/>
                <w:bCs/>
                <w:color w:val="auto"/>
                <w:u w:val="none" w:color="auto"/>
                <w:lang w:eastAsia="zh-CN"/>
              </w:rPr>
              <w:t>工业企业噪声源强调查清单（室内声源）</w:t>
            </w:r>
          </w:p>
          <w:tbl>
            <w:tblPr>
              <w:tblStyle w:val="31"/>
              <w:tblW w:w="5000" w:type="pct"/>
              <w:tblInd w:w="-1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372"/>
              <w:gridCol w:w="372"/>
              <w:gridCol w:w="372"/>
              <w:gridCol w:w="372"/>
              <w:gridCol w:w="513"/>
              <w:gridCol w:w="372"/>
              <w:gridCol w:w="336"/>
              <w:gridCol w:w="415"/>
              <w:gridCol w:w="205"/>
              <w:gridCol w:w="279"/>
              <w:gridCol w:w="279"/>
              <w:gridCol w:w="357"/>
              <w:gridCol w:w="357"/>
              <w:gridCol w:w="281"/>
              <w:gridCol w:w="281"/>
              <w:gridCol w:w="281"/>
              <w:gridCol w:w="281"/>
              <w:gridCol w:w="372"/>
              <w:gridCol w:w="281"/>
              <w:gridCol w:w="281"/>
              <w:gridCol w:w="281"/>
              <w:gridCol w:w="281"/>
              <w:gridCol w:w="279"/>
              <w:gridCol w:w="279"/>
              <w:gridCol w:w="280"/>
              <w:gridCol w:w="280"/>
              <w:gridCol w:w="179"/>
            </w:tblGrid>
            <w:tr w14:paraId="1DD9071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10" w:type="pct"/>
                  <w:vMerge w:val="restart"/>
                  <w:tcBorders>
                    <w:tl2br w:val="nil"/>
                    <w:tr2bl w:val="nil"/>
                  </w:tcBorders>
                  <w:vAlign w:val="center"/>
                </w:tcPr>
                <w:p w14:paraId="32D17649">
                  <w:pPr>
                    <w:jc w:val="center"/>
                    <w:rPr>
                      <w:rFonts w:hint="default" w:ascii="Times New Roman" w:hAnsi="Times New Roman" w:eastAsia="宋体" w:cs="Times New Roman"/>
                      <w:color w:val="auto"/>
                      <w:sz w:val="21"/>
                      <w:szCs w:val="21"/>
                      <w:u w:val="none" w:color="auto"/>
                    </w:rPr>
                  </w:pPr>
                  <w:bookmarkStart w:id="92" w:name="PT_6"/>
                  <w:r>
                    <w:rPr>
                      <w:rFonts w:hint="default" w:ascii="Times New Roman" w:hAnsi="Times New Roman" w:eastAsia="宋体" w:cs="Times New Roman"/>
                      <w:b/>
                      <w:color w:val="auto"/>
                      <w:sz w:val="21"/>
                      <w:szCs w:val="21"/>
                      <w:u w:val="none" w:color="auto"/>
                    </w:rPr>
                    <w:t>序号</w:t>
                  </w:r>
                </w:p>
              </w:tc>
              <w:tc>
                <w:tcPr>
                  <w:tcW w:w="210" w:type="pct"/>
                  <w:vMerge w:val="restart"/>
                  <w:tcBorders>
                    <w:tl2br w:val="nil"/>
                    <w:tr2bl w:val="nil"/>
                  </w:tcBorders>
                  <w:vAlign w:val="center"/>
                </w:tcPr>
                <w:p w14:paraId="4CB2F806">
                  <w:pPr>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b/>
                      <w:color w:val="auto"/>
                      <w:sz w:val="21"/>
                      <w:szCs w:val="21"/>
                      <w:u w:val="none" w:color="auto"/>
                    </w:rPr>
                    <w:t>建筑物名称</w:t>
                  </w:r>
                </w:p>
              </w:tc>
              <w:tc>
                <w:tcPr>
                  <w:tcW w:w="210" w:type="pct"/>
                  <w:vMerge w:val="restart"/>
                  <w:tcBorders>
                    <w:tl2br w:val="nil"/>
                    <w:tr2bl w:val="nil"/>
                  </w:tcBorders>
                  <w:vAlign w:val="center"/>
                </w:tcPr>
                <w:p w14:paraId="4BEF9AA8">
                  <w:pPr>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b/>
                      <w:color w:val="auto"/>
                      <w:sz w:val="21"/>
                      <w:szCs w:val="21"/>
                      <w:u w:val="none" w:color="auto"/>
                    </w:rPr>
                    <w:t>声源名称</w:t>
                  </w:r>
                </w:p>
              </w:tc>
              <w:tc>
                <w:tcPr>
                  <w:tcW w:w="210" w:type="pct"/>
                  <w:vMerge w:val="restart"/>
                  <w:tcBorders>
                    <w:tl2br w:val="nil"/>
                    <w:tr2bl w:val="nil"/>
                  </w:tcBorders>
                  <w:vAlign w:val="center"/>
                </w:tcPr>
                <w:p w14:paraId="41407C03">
                  <w:pPr>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b/>
                      <w:color w:val="auto"/>
                      <w:sz w:val="21"/>
                      <w:szCs w:val="21"/>
                      <w:u w:val="none" w:color="auto"/>
                    </w:rPr>
                    <w:t>型号</w:t>
                  </w:r>
                </w:p>
              </w:tc>
              <w:tc>
                <w:tcPr>
                  <w:tcW w:w="281" w:type="pct"/>
                  <w:tcBorders>
                    <w:tl2br w:val="nil"/>
                    <w:tr2bl w:val="nil"/>
                  </w:tcBorders>
                  <w:vAlign w:val="center"/>
                </w:tcPr>
                <w:p w14:paraId="06BCDDCC">
                  <w:pPr>
                    <w:jc w:val="center"/>
                    <w:rPr>
                      <w:rFonts w:hint="default" w:ascii="Times New Roman" w:hAnsi="Times New Roman" w:eastAsia="宋体" w:cs="Times New Roman"/>
                      <w:color w:val="auto"/>
                      <w:sz w:val="21"/>
                      <w:szCs w:val="21"/>
                      <w:u w:val="none" w:color="auto"/>
                      <w:lang w:eastAsia="zh-CN"/>
                    </w:rPr>
                  </w:pPr>
                  <w:r>
                    <w:rPr>
                      <w:rFonts w:hint="default" w:ascii="Times New Roman" w:hAnsi="Times New Roman" w:eastAsia="宋体" w:cs="Times New Roman"/>
                      <w:b/>
                      <w:color w:val="auto"/>
                      <w:sz w:val="21"/>
                      <w:szCs w:val="21"/>
                      <w:u w:val="none" w:color="auto"/>
                      <w:lang w:eastAsia="zh-CN"/>
                    </w:rPr>
                    <w:t>声源源强</w:t>
                  </w:r>
                </w:p>
              </w:tc>
              <w:tc>
                <w:tcPr>
                  <w:tcW w:w="210" w:type="pct"/>
                  <w:vMerge w:val="restart"/>
                  <w:tcBorders>
                    <w:tl2br w:val="nil"/>
                    <w:tr2bl w:val="nil"/>
                  </w:tcBorders>
                  <w:vAlign w:val="center"/>
                </w:tcPr>
                <w:p w14:paraId="66A38B60">
                  <w:pPr>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b/>
                      <w:color w:val="auto"/>
                      <w:sz w:val="21"/>
                      <w:szCs w:val="21"/>
                      <w:u w:val="none" w:color="auto"/>
                    </w:rPr>
                    <w:t>声源控制措施</w:t>
                  </w:r>
                </w:p>
              </w:tc>
              <w:tc>
                <w:tcPr>
                  <w:tcW w:w="571" w:type="pct"/>
                  <w:gridSpan w:val="3"/>
                  <w:tcBorders>
                    <w:tl2br w:val="nil"/>
                    <w:tr2bl w:val="nil"/>
                  </w:tcBorders>
                  <w:vAlign w:val="center"/>
                </w:tcPr>
                <w:p w14:paraId="24BE070F">
                  <w:pPr>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b/>
                      <w:color w:val="auto"/>
                      <w:sz w:val="21"/>
                      <w:szCs w:val="21"/>
                      <w:u w:val="none" w:color="auto"/>
                    </w:rPr>
                    <w:t>空间相对位置/m</w:t>
                  </w:r>
                </w:p>
              </w:tc>
              <w:tc>
                <w:tcPr>
                  <w:tcW w:w="765" w:type="pct"/>
                  <w:gridSpan w:val="4"/>
                  <w:tcBorders>
                    <w:tl2br w:val="nil"/>
                    <w:tr2bl w:val="nil"/>
                  </w:tcBorders>
                  <w:vAlign w:val="center"/>
                </w:tcPr>
                <w:p w14:paraId="1DE0F6BD">
                  <w:pPr>
                    <w:jc w:val="center"/>
                    <w:rPr>
                      <w:rFonts w:hint="default" w:ascii="Times New Roman" w:hAnsi="Times New Roman" w:eastAsia="宋体" w:cs="Times New Roman"/>
                      <w:b/>
                      <w:color w:val="auto"/>
                      <w:sz w:val="21"/>
                      <w:szCs w:val="21"/>
                      <w:u w:val="none" w:color="auto"/>
                    </w:rPr>
                  </w:pPr>
                  <w:r>
                    <w:rPr>
                      <w:rFonts w:hint="default" w:ascii="Times New Roman" w:hAnsi="Times New Roman" w:eastAsia="宋体" w:cs="Times New Roman"/>
                      <w:b/>
                      <w:color w:val="auto"/>
                      <w:sz w:val="21"/>
                      <w:szCs w:val="21"/>
                      <w:u w:val="none" w:color="auto"/>
                    </w:rPr>
                    <w:t>距室内边界距离/m</w:t>
                  </w:r>
                </w:p>
              </w:tc>
              <w:tc>
                <w:tcPr>
                  <w:tcW w:w="676" w:type="pct"/>
                  <w:gridSpan w:val="4"/>
                  <w:tcBorders>
                    <w:tl2br w:val="nil"/>
                    <w:tr2bl w:val="nil"/>
                  </w:tcBorders>
                  <w:vAlign w:val="center"/>
                </w:tcPr>
                <w:p w14:paraId="485851C3">
                  <w:pPr>
                    <w:jc w:val="center"/>
                    <w:rPr>
                      <w:rFonts w:hint="default" w:ascii="Times New Roman" w:hAnsi="Times New Roman" w:eastAsia="宋体" w:cs="Times New Roman"/>
                      <w:b/>
                      <w:color w:val="auto"/>
                      <w:sz w:val="21"/>
                      <w:szCs w:val="21"/>
                      <w:u w:val="none" w:color="auto"/>
                    </w:rPr>
                  </w:pPr>
                  <w:r>
                    <w:rPr>
                      <w:rFonts w:hint="default" w:ascii="Times New Roman" w:hAnsi="Times New Roman" w:eastAsia="宋体" w:cs="Times New Roman"/>
                      <w:b/>
                      <w:color w:val="auto"/>
                      <w:sz w:val="21"/>
                      <w:szCs w:val="21"/>
                      <w:u w:val="none" w:color="auto"/>
                    </w:rPr>
                    <w:t>室内边界声级/dB(A)</w:t>
                  </w:r>
                </w:p>
              </w:tc>
              <w:tc>
                <w:tcPr>
                  <w:tcW w:w="210" w:type="pct"/>
                  <w:vMerge w:val="restart"/>
                  <w:tcBorders>
                    <w:tl2br w:val="nil"/>
                    <w:tr2bl w:val="nil"/>
                  </w:tcBorders>
                  <w:vAlign w:val="center"/>
                </w:tcPr>
                <w:p w14:paraId="68AF11F0">
                  <w:pPr>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b/>
                      <w:color w:val="auto"/>
                      <w:sz w:val="21"/>
                      <w:szCs w:val="21"/>
                      <w:u w:val="none" w:color="auto"/>
                    </w:rPr>
                    <w:t>运行时段</w:t>
                  </w:r>
                </w:p>
              </w:tc>
              <w:tc>
                <w:tcPr>
                  <w:tcW w:w="676" w:type="pct"/>
                  <w:gridSpan w:val="4"/>
                  <w:tcBorders>
                    <w:tl2br w:val="nil"/>
                    <w:tr2bl w:val="nil"/>
                  </w:tcBorders>
                  <w:vAlign w:val="center"/>
                </w:tcPr>
                <w:p w14:paraId="204770B4">
                  <w:pPr>
                    <w:jc w:val="center"/>
                    <w:rPr>
                      <w:rFonts w:hint="default" w:ascii="Times New Roman" w:hAnsi="Times New Roman" w:eastAsia="宋体" w:cs="Times New Roman"/>
                      <w:b/>
                      <w:color w:val="auto"/>
                      <w:sz w:val="21"/>
                      <w:szCs w:val="21"/>
                      <w:u w:val="none" w:color="auto"/>
                    </w:rPr>
                  </w:pPr>
                  <w:r>
                    <w:rPr>
                      <w:rFonts w:hint="default" w:ascii="Times New Roman" w:hAnsi="Times New Roman" w:eastAsia="宋体" w:cs="Times New Roman"/>
                      <w:b/>
                      <w:color w:val="auto"/>
                      <w:sz w:val="21"/>
                      <w:szCs w:val="21"/>
                      <w:u w:val="none" w:color="auto"/>
                    </w:rPr>
                    <w:t>建筑物插入损失 / dB(A)</w:t>
                  </w:r>
                  <w:bookmarkStart w:id="93" w:name="PT_10"/>
                  <w:bookmarkEnd w:id="93"/>
                </w:p>
              </w:tc>
              <w:tc>
                <w:tcPr>
                  <w:tcW w:w="766" w:type="pct"/>
                  <w:gridSpan w:val="5"/>
                  <w:tcBorders>
                    <w:tl2br w:val="nil"/>
                    <w:tr2bl w:val="nil"/>
                  </w:tcBorders>
                  <w:vAlign w:val="center"/>
                </w:tcPr>
                <w:p w14:paraId="4B2BFF4E">
                  <w:pPr>
                    <w:jc w:val="center"/>
                    <w:rPr>
                      <w:rFonts w:hint="default" w:ascii="Times New Roman" w:hAnsi="Times New Roman" w:eastAsia="宋体" w:cs="Times New Roman"/>
                      <w:b/>
                      <w:bCs w:val="0"/>
                      <w:color w:val="auto"/>
                      <w:sz w:val="21"/>
                      <w:szCs w:val="21"/>
                      <w:u w:val="none" w:color="auto"/>
                    </w:rPr>
                  </w:pPr>
                  <w:r>
                    <w:rPr>
                      <w:rFonts w:hint="default" w:ascii="Times New Roman" w:hAnsi="Times New Roman" w:eastAsia="宋体" w:cs="Times New Roman"/>
                      <w:b/>
                      <w:bCs w:val="0"/>
                      <w:color w:val="auto"/>
                      <w:sz w:val="21"/>
                      <w:szCs w:val="21"/>
                      <w:u w:val="none" w:color="auto"/>
                    </w:rPr>
                    <w:t>建筑物外噪声声压级/dB(A)</w:t>
                  </w:r>
                </w:p>
              </w:tc>
            </w:tr>
            <w:tr w14:paraId="4DF71A1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23" w:hRule="atLeast"/>
              </w:trPr>
              <w:tc>
                <w:tcPr>
                  <w:tcW w:w="210" w:type="pct"/>
                  <w:vMerge w:val="continue"/>
                  <w:tcBorders>
                    <w:tl2br w:val="nil"/>
                    <w:tr2bl w:val="nil"/>
                  </w:tcBorders>
                  <w:shd w:val="clear" w:color="auto" w:fill="FFFFFF"/>
                  <w:tcMar>
                    <w:top w:w="0" w:type="dxa"/>
                    <w:left w:w="0" w:type="dxa"/>
                    <w:bottom w:w="0" w:type="dxa"/>
                    <w:right w:w="0" w:type="dxa"/>
                  </w:tcMar>
                  <w:vAlign w:val="center"/>
                </w:tcPr>
                <w:p w14:paraId="7FC6FAC2">
                  <w:pPr>
                    <w:jc w:val="center"/>
                    <w:rPr>
                      <w:rFonts w:hint="default" w:ascii="Times New Roman" w:hAnsi="Times New Roman" w:eastAsia="宋体" w:cs="Times New Roman"/>
                      <w:color w:val="auto"/>
                      <w:sz w:val="21"/>
                      <w:szCs w:val="21"/>
                      <w:u w:val="none" w:color="auto"/>
                      <w:lang w:val="en-US" w:eastAsia="zh-CN"/>
                    </w:rPr>
                  </w:pPr>
                </w:p>
              </w:tc>
              <w:tc>
                <w:tcPr>
                  <w:tcW w:w="210" w:type="pct"/>
                  <w:vMerge w:val="continue"/>
                  <w:tcBorders>
                    <w:tl2br w:val="nil"/>
                    <w:tr2bl w:val="nil"/>
                  </w:tcBorders>
                  <w:shd w:val="clear" w:color="auto" w:fill="FFFFFF"/>
                  <w:tcMar>
                    <w:top w:w="0" w:type="dxa"/>
                    <w:left w:w="0" w:type="dxa"/>
                    <w:bottom w:w="0" w:type="dxa"/>
                    <w:right w:w="0" w:type="dxa"/>
                  </w:tcMar>
                  <w:vAlign w:val="center"/>
                </w:tcPr>
                <w:p w14:paraId="12556373">
                  <w:pPr>
                    <w:jc w:val="center"/>
                    <w:rPr>
                      <w:rFonts w:hint="default" w:ascii="Times New Roman" w:hAnsi="Times New Roman" w:eastAsia="宋体" w:cs="Times New Roman"/>
                      <w:color w:val="auto"/>
                      <w:sz w:val="21"/>
                      <w:szCs w:val="21"/>
                      <w:u w:val="none" w:color="auto"/>
                    </w:rPr>
                  </w:pPr>
                </w:p>
              </w:tc>
              <w:tc>
                <w:tcPr>
                  <w:tcW w:w="210" w:type="pct"/>
                  <w:vMerge w:val="continue"/>
                  <w:tcBorders>
                    <w:tl2br w:val="nil"/>
                    <w:tr2bl w:val="nil"/>
                  </w:tcBorders>
                  <w:shd w:val="clear" w:color="auto" w:fill="FFFFFF"/>
                  <w:tcMar>
                    <w:top w:w="0" w:type="dxa"/>
                    <w:left w:w="0" w:type="dxa"/>
                    <w:bottom w:w="0" w:type="dxa"/>
                    <w:right w:w="0" w:type="dxa"/>
                  </w:tcMar>
                  <w:vAlign w:val="center"/>
                </w:tcPr>
                <w:p w14:paraId="0BE7FB8E">
                  <w:pPr>
                    <w:jc w:val="center"/>
                    <w:rPr>
                      <w:rFonts w:hint="default" w:ascii="Times New Roman" w:hAnsi="Times New Roman" w:eastAsia="宋体" w:cs="Times New Roman"/>
                      <w:color w:val="auto"/>
                      <w:sz w:val="21"/>
                      <w:szCs w:val="21"/>
                      <w:u w:val="none" w:color="auto"/>
                    </w:rPr>
                  </w:pPr>
                </w:p>
              </w:tc>
              <w:tc>
                <w:tcPr>
                  <w:tcW w:w="210" w:type="pct"/>
                  <w:vMerge w:val="continue"/>
                  <w:tcBorders>
                    <w:tl2br w:val="nil"/>
                    <w:tr2bl w:val="nil"/>
                  </w:tcBorders>
                  <w:shd w:val="clear" w:color="auto" w:fill="FFFFFF"/>
                  <w:tcMar>
                    <w:top w:w="0" w:type="dxa"/>
                    <w:left w:w="0" w:type="dxa"/>
                    <w:bottom w:w="0" w:type="dxa"/>
                    <w:right w:w="0" w:type="dxa"/>
                  </w:tcMar>
                  <w:vAlign w:val="center"/>
                </w:tcPr>
                <w:p w14:paraId="1B3BB9C3">
                  <w:pPr>
                    <w:jc w:val="center"/>
                    <w:rPr>
                      <w:rFonts w:hint="default" w:ascii="Times New Roman" w:hAnsi="Times New Roman" w:eastAsia="宋体" w:cs="Times New Roman"/>
                      <w:color w:val="auto"/>
                      <w:sz w:val="21"/>
                      <w:szCs w:val="21"/>
                      <w:u w:val="none" w:color="auto"/>
                    </w:rPr>
                  </w:pPr>
                </w:p>
              </w:tc>
              <w:tc>
                <w:tcPr>
                  <w:tcW w:w="281" w:type="pct"/>
                  <w:tcBorders>
                    <w:tl2br w:val="nil"/>
                    <w:tr2bl w:val="nil"/>
                  </w:tcBorders>
                  <w:shd w:val="clear" w:color="auto" w:fill="FFFFFF"/>
                  <w:tcMar>
                    <w:top w:w="0" w:type="dxa"/>
                    <w:left w:w="0" w:type="dxa"/>
                    <w:bottom w:w="0" w:type="dxa"/>
                    <w:right w:w="0" w:type="dxa"/>
                  </w:tcMar>
                  <w:vAlign w:val="center"/>
                </w:tcPr>
                <w:p w14:paraId="43610BD5">
                  <w:pPr>
                    <w:jc w:val="center"/>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声功率级/dB(A)</w:t>
                  </w:r>
                </w:p>
              </w:tc>
              <w:tc>
                <w:tcPr>
                  <w:tcW w:w="210" w:type="pct"/>
                  <w:vMerge w:val="continue"/>
                  <w:tcBorders>
                    <w:tl2br w:val="nil"/>
                    <w:tr2bl w:val="nil"/>
                  </w:tcBorders>
                  <w:shd w:val="clear" w:color="auto" w:fill="FFFFFF"/>
                  <w:tcMar>
                    <w:top w:w="0" w:type="dxa"/>
                    <w:left w:w="0" w:type="dxa"/>
                    <w:bottom w:w="0" w:type="dxa"/>
                    <w:right w:w="0" w:type="dxa"/>
                  </w:tcMar>
                  <w:vAlign w:val="center"/>
                </w:tcPr>
                <w:p w14:paraId="61A0CF16">
                  <w:pPr>
                    <w:jc w:val="center"/>
                    <w:rPr>
                      <w:rFonts w:hint="default" w:ascii="Times New Roman" w:hAnsi="Times New Roman" w:eastAsia="宋体" w:cs="Times New Roman"/>
                      <w:color w:val="auto"/>
                      <w:sz w:val="21"/>
                      <w:szCs w:val="21"/>
                      <w:u w:val="none" w:color="auto"/>
                    </w:rPr>
                  </w:pPr>
                </w:p>
              </w:tc>
              <w:tc>
                <w:tcPr>
                  <w:tcW w:w="199" w:type="pct"/>
                  <w:tcBorders>
                    <w:tl2br w:val="nil"/>
                    <w:tr2bl w:val="nil"/>
                  </w:tcBorders>
                  <w:shd w:val="clear" w:color="auto" w:fill="FFFFFF"/>
                  <w:tcMar>
                    <w:top w:w="0" w:type="dxa"/>
                    <w:left w:w="0" w:type="dxa"/>
                    <w:bottom w:w="0" w:type="dxa"/>
                    <w:right w:w="0" w:type="dxa"/>
                  </w:tcMar>
                  <w:vAlign w:val="center"/>
                </w:tcPr>
                <w:p w14:paraId="40FB0B4D">
                  <w:pPr>
                    <w:jc w:val="center"/>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X</w:t>
                  </w:r>
                </w:p>
              </w:tc>
              <w:tc>
                <w:tcPr>
                  <w:tcW w:w="247" w:type="pct"/>
                  <w:tcBorders>
                    <w:tl2br w:val="nil"/>
                    <w:tr2bl w:val="nil"/>
                  </w:tcBorders>
                  <w:shd w:val="clear" w:color="auto" w:fill="FFFFFF"/>
                  <w:tcMar>
                    <w:top w:w="0" w:type="dxa"/>
                    <w:left w:w="0" w:type="dxa"/>
                    <w:bottom w:w="0" w:type="dxa"/>
                    <w:right w:w="0" w:type="dxa"/>
                  </w:tcMar>
                  <w:vAlign w:val="center"/>
                </w:tcPr>
                <w:p w14:paraId="7F364271">
                  <w:pPr>
                    <w:jc w:val="center"/>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Y</w:t>
                  </w:r>
                </w:p>
              </w:tc>
              <w:tc>
                <w:tcPr>
                  <w:tcW w:w="124" w:type="pct"/>
                  <w:tcBorders>
                    <w:tl2br w:val="nil"/>
                    <w:tr2bl w:val="nil"/>
                  </w:tcBorders>
                  <w:shd w:val="clear" w:color="auto" w:fill="FFFFFF"/>
                  <w:tcMar>
                    <w:top w:w="0" w:type="dxa"/>
                    <w:left w:w="0" w:type="dxa"/>
                    <w:bottom w:w="0" w:type="dxa"/>
                    <w:right w:w="0" w:type="dxa"/>
                  </w:tcMar>
                  <w:vAlign w:val="center"/>
                </w:tcPr>
                <w:p w14:paraId="1DD6E262">
                  <w:pPr>
                    <w:jc w:val="center"/>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Z</w:t>
                  </w:r>
                </w:p>
              </w:tc>
              <w:tc>
                <w:tcPr>
                  <w:tcW w:w="168" w:type="pct"/>
                  <w:tcBorders>
                    <w:tl2br w:val="nil"/>
                    <w:tr2bl w:val="nil"/>
                  </w:tcBorders>
                  <w:shd w:val="clear" w:color="auto" w:fill="FFFFFF"/>
                  <w:tcMar>
                    <w:top w:w="0" w:type="dxa"/>
                    <w:left w:w="0" w:type="dxa"/>
                    <w:bottom w:w="0" w:type="dxa"/>
                    <w:right w:w="0" w:type="dxa"/>
                  </w:tcMar>
                  <w:vAlign w:val="center"/>
                </w:tcPr>
                <w:p w14:paraId="13E3DA10">
                  <w:pPr>
                    <w:jc w:val="center"/>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lang w:val="en-US" w:eastAsia="zh-CN"/>
                    </w:rPr>
                    <w:t>东</w:t>
                  </w:r>
                </w:p>
              </w:tc>
              <w:tc>
                <w:tcPr>
                  <w:tcW w:w="168" w:type="pct"/>
                  <w:tcBorders>
                    <w:tl2br w:val="nil"/>
                    <w:tr2bl w:val="nil"/>
                  </w:tcBorders>
                  <w:shd w:val="clear" w:color="auto" w:fill="FFFFFF"/>
                  <w:tcMar>
                    <w:top w:w="0" w:type="dxa"/>
                    <w:left w:w="0" w:type="dxa"/>
                    <w:bottom w:w="0" w:type="dxa"/>
                    <w:right w:w="0" w:type="dxa"/>
                  </w:tcMar>
                  <w:vAlign w:val="center"/>
                </w:tcPr>
                <w:p w14:paraId="6E3AD855">
                  <w:pPr>
                    <w:jc w:val="center"/>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lang w:val="en-US" w:eastAsia="zh-CN"/>
                    </w:rPr>
                    <w:t>南</w:t>
                  </w:r>
                </w:p>
              </w:tc>
              <w:tc>
                <w:tcPr>
                  <w:tcW w:w="214" w:type="pct"/>
                  <w:tcBorders>
                    <w:tl2br w:val="nil"/>
                    <w:tr2bl w:val="nil"/>
                  </w:tcBorders>
                  <w:shd w:val="clear" w:color="auto" w:fill="FFFFFF"/>
                  <w:tcMar>
                    <w:top w:w="0" w:type="dxa"/>
                    <w:left w:w="0" w:type="dxa"/>
                    <w:bottom w:w="0" w:type="dxa"/>
                    <w:right w:w="0" w:type="dxa"/>
                  </w:tcMar>
                  <w:vAlign w:val="center"/>
                </w:tcPr>
                <w:p w14:paraId="52DAA225">
                  <w:pPr>
                    <w:jc w:val="center"/>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lang w:val="en-US" w:eastAsia="zh-CN"/>
                    </w:rPr>
                    <w:t>西</w:t>
                  </w:r>
                </w:p>
              </w:tc>
              <w:tc>
                <w:tcPr>
                  <w:tcW w:w="214" w:type="pct"/>
                  <w:tcBorders>
                    <w:tl2br w:val="nil"/>
                    <w:tr2bl w:val="nil"/>
                  </w:tcBorders>
                  <w:shd w:val="clear" w:color="auto" w:fill="FFFFFF"/>
                  <w:tcMar>
                    <w:top w:w="0" w:type="dxa"/>
                    <w:left w:w="0" w:type="dxa"/>
                    <w:bottom w:w="0" w:type="dxa"/>
                    <w:right w:w="0" w:type="dxa"/>
                  </w:tcMar>
                  <w:vAlign w:val="center"/>
                </w:tcPr>
                <w:p w14:paraId="2C6782E9">
                  <w:pPr>
                    <w:jc w:val="center"/>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lang w:val="en-US" w:eastAsia="zh-CN"/>
                    </w:rPr>
                    <w:t>北</w:t>
                  </w:r>
                </w:p>
              </w:tc>
              <w:tc>
                <w:tcPr>
                  <w:tcW w:w="169" w:type="pct"/>
                  <w:tcBorders>
                    <w:tl2br w:val="nil"/>
                    <w:tr2bl w:val="nil"/>
                  </w:tcBorders>
                  <w:shd w:val="clear" w:color="auto" w:fill="FFFFFF"/>
                  <w:tcMar>
                    <w:top w:w="0" w:type="dxa"/>
                    <w:left w:w="0" w:type="dxa"/>
                    <w:bottom w:w="0" w:type="dxa"/>
                    <w:right w:w="0" w:type="dxa"/>
                  </w:tcMar>
                  <w:vAlign w:val="center"/>
                </w:tcPr>
                <w:p w14:paraId="5989E3F9">
                  <w:pPr>
                    <w:jc w:val="center"/>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lang w:val="en-US" w:eastAsia="zh-CN"/>
                    </w:rPr>
                    <w:t>东</w:t>
                  </w:r>
                </w:p>
              </w:tc>
              <w:tc>
                <w:tcPr>
                  <w:tcW w:w="169" w:type="pct"/>
                  <w:tcBorders>
                    <w:tl2br w:val="nil"/>
                    <w:tr2bl w:val="nil"/>
                  </w:tcBorders>
                  <w:shd w:val="clear" w:color="auto" w:fill="FFFFFF"/>
                  <w:tcMar>
                    <w:top w:w="0" w:type="dxa"/>
                    <w:left w:w="0" w:type="dxa"/>
                    <w:bottom w:w="0" w:type="dxa"/>
                    <w:right w:w="0" w:type="dxa"/>
                  </w:tcMar>
                  <w:vAlign w:val="center"/>
                </w:tcPr>
                <w:p w14:paraId="6A1A2C7E">
                  <w:pPr>
                    <w:jc w:val="center"/>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lang w:val="en-US" w:eastAsia="zh-CN"/>
                    </w:rPr>
                    <w:t>南</w:t>
                  </w:r>
                </w:p>
              </w:tc>
              <w:tc>
                <w:tcPr>
                  <w:tcW w:w="169" w:type="pct"/>
                  <w:tcBorders>
                    <w:tl2br w:val="nil"/>
                    <w:tr2bl w:val="nil"/>
                  </w:tcBorders>
                  <w:shd w:val="clear" w:color="auto" w:fill="FFFFFF"/>
                  <w:tcMar>
                    <w:top w:w="0" w:type="dxa"/>
                    <w:left w:w="0" w:type="dxa"/>
                    <w:bottom w:w="0" w:type="dxa"/>
                    <w:right w:w="0" w:type="dxa"/>
                  </w:tcMar>
                  <w:vAlign w:val="center"/>
                </w:tcPr>
                <w:p w14:paraId="76053702">
                  <w:pPr>
                    <w:jc w:val="center"/>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lang w:val="en-US" w:eastAsia="zh-CN"/>
                    </w:rPr>
                    <w:t>西</w:t>
                  </w:r>
                </w:p>
              </w:tc>
              <w:tc>
                <w:tcPr>
                  <w:tcW w:w="169" w:type="pct"/>
                  <w:tcBorders>
                    <w:tl2br w:val="nil"/>
                    <w:tr2bl w:val="nil"/>
                  </w:tcBorders>
                  <w:shd w:val="clear" w:color="auto" w:fill="FFFFFF"/>
                  <w:tcMar>
                    <w:top w:w="0" w:type="dxa"/>
                    <w:left w:w="0" w:type="dxa"/>
                    <w:bottom w:w="0" w:type="dxa"/>
                    <w:right w:w="0" w:type="dxa"/>
                  </w:tcMar>
                  <w:vAlign w:val="center"/>
                </w:tcPr>
                <w:p w14:paraId="74B488DB">
                  <w:pPr>
                    <w:jc w:val="center"/>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lang w:val="en-US" w:eastAsia="zh-CN"/>
                    </w:rPr>
                    <w:t>北</w:t>
                  </w:r>
                </w:p>
              </w:tc>
              <w:tc>
                <w:tcPr>
                  <w:tcW w:w="210" w:type="pct"/>
                  <w:vMerge w:val="continue"/>
                  <w:tcBorders>
                    <w:tl2br w:val="nil"/>
                    <w:tr2bl w:val="nil"/>
                  </w:tcBorders>
                  <w:shd w:val="clear" w:color="auto" w:fill="FFFFFF"/>
                  <w:tcMar>
                    <w:top w:w="0" w:type="dxa"/>
                    <w:left w:w="0" w:type="dxa"/>
                    <w:bottom w:w="0" w:type="dxa"/>
                    <w:right w:w="0" w:type="dxa"/>
                  </w:tcMar>
                  <w:vAlign w:val="center"/>
                </w:tcPr>
                <w:p w14:paraId="79B1E505">
                  <w:pPr>
                    <w:jc w:val="center"/>
                    <w:rPr>
                      <w:rFonts w:hint="default" w:ascii="Times New Roman" w:hAnsi="Times New Roman" w:eastAsia="宋体" w:cs="Times New Roman"/>
                      <w:color w:val="auto"/>
                      <w:sz w:val="21"/>
                      <w:szCs w:val="21"/>
                      <w:u w:val="none" w:color="auto"/>
                    </w:rPr>
                  </w:pPr>
                </w:p>
              </w:tc>
              <w:tc>
                <w:tcPr>
                  <w:tcW w:w="169" w:type="pct"/>
                  <w:tcBorders>
                    <w:tl2br w:val="nil"/>
                    <w:tr2bl w:val="nil"/>
                  </w:tcBorders>
                  <w:shd w:val="clear" w:color="auto" w:fill="FFFFFF"/>
                  <w:tcMar>
                    <w:top w:w="0" w:type="dxa"/>
                    <w:left w:w="0" w:type="dxa"/>
                    <w:bottom w:w="0" w:type="dxa"/>
                    <w:right w:w="0" w:type="dxa"/>
                  </w:tcMar>
                  <w:vAlign w:val="center"/>
                </w:tcPr>
                <w:p w14:paraId="3DD02AB7">
                  <w:pPr>
                    <w:jc w:val="center"/>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lang w:val="en-US" w:eastAsia="zh-CN"/>
                    </w:rPr>
                    <w:t>东</w:t>
                  </w:r>
                </w:p>
              </w:tc>
              <w:tc>
                <w:tcPr>
                  <w:tcW w:w="169" w:type="pct"/>
                  <w:tcBorders>
                    <w:tl2br w:val="nil"/>
                    <w:tr2bl w:val="nil"/>
                  </w:tcBorders>
                  <w:shd w:val="clear" w:color="auto" w:fill="FFFFFF"/>
                  <w:tcMar>
                    <w:top w:w="0" w:type="dxa"/>
                    <w:left w:w="0" w:type="dxa"/>
                    <w:bottom w:w="0" w:type="dxa"/>
                    <w:right w:w="0" w:type="dxa"/>
                  </w:tcMar>
                  <w:vAlign w:val="center"/>
                </w:tcPr>
                <w:p w14:paraId="2E16CFCE">
                  <w:pPr>
                    <w:jc w:val="center"/>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lang w:val="en-US" w:eastAsia="zh-CN"/>
                    </w:rPr>
                    <w:t>南</w:t>
                  </w:r>
                </w:p>
              </w:tc>
              <w:tc>
                <w:tcPr>
                  <w:tcW w:w="169" w:type="pct"/>
                  <w:tcBorders>
                    <w:tl2br w:val="nil"/>
                    <w:tr2bl w:val="nil"/>
                  </w:tcBorders>
                  <w:shd w:val="clear" w:color="auto" w:fill="FFFFFF"/>
                  <w:tcMar>
                    <w:top w:w="0" w:type="dxa"/>
                    <w:left w:w="0" w:type="dxa"/>
                    <w:bottom w:w="0" w:type="dxa"/>
                    <w:right w:w="0" w:type="dxa"/>
                  </w:tcMar>
                  <w:vAlign w:val="center"/>
                </w:tcPr>
                <w:p w14:paraId="2164F4E3">
                  <w:pPr>
                    <w:jc w:val="center"/>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lang w:val="en-US" w:eastAsia="zh-CN"/>
                    </w:rPr>
                    <w:t>西</w:t>
                  </w:r>
                </w:p>
              </w:tc>
              <w:tc>
                <w:tcPr>
                  <w:tcW w:w="169" w:type="pct"/>
                  <w:tcBorders>
                    <w:tl2br w:val="nil"/>
                    <w:tr2bl w:val="nil"/>
                  </w:tcBorders>
                  <w:shd w:val="clear" w:color="auto" w:fill="FFFFFF"/>
                  <w:tcMar>
                    <w:top w:w="0" w:type="dxa"/>
                    <w:left w:w="0" w:type="dxa"/>
                    <w:bottom w:w="0" w:type="dxa"/>
                    <w:right w:w="0" w:type="dxa"/>
                  </w:tcMar>
                  <w:vAlign w:val="center"/>
                </w:tcPr>
                <w:p w14:paraId="74A43109">
                  <w:pPr>
                    <w:jc w:val="center"/>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lang w:val="en-US" w:eastAsia="zh-CN"/>
                    </w:rPr>
                    <w:t>北</w:t>
                  </w:r>
                </w:p>
              </w:tc>
              <w:tc>
                <w:tcPr>
                  <w:tcW w:w="168" w:type="pct"/>
                  <w:tcBorders>
                    <w:tl2br w:val="nil"/>
                    <w:tr2bl w:val="nil"/>
                  </w:tcBorders>
                  <w:shd w:val="clear" w:color="auto" w:fill="FFFFFF"/>
                  <w:tcMar>
                    <w:top w:w="0" w:type="dxa"/>
                    <w:left w:w="0" w:type="dxa"/>
                    <w:bottom w:w="0" w:type="dxa"/>
                    <w:right w:w="0" w:type="dxa"/>
                  </w:tcMar>
                  <w:vAlign w:val="center"/>
                </w:tcPr>
                <w:p w14:paraId="4B98DF66">
                  <w:pPr>
                    <w:jc w:val="center"/>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lang w:val="en-US" w:eastAsia="zh-CN"/>
                    </w:rPr>
                    <w:t>东</w:t>
                  </w:r>
                </w:p>
              </w:tc>
              <w:tc>
                <w:tcPr>
                  <w:tcW w:w="168" w:type="pct"/>
                  <w:tcBorders>
                    <w:tl2br w:val="nil"/>
                    <w:tr2bl w:val="nil"/>
                  </w:tcBorders>
                  <w:shd w:val="clear" w:color="auto" w:fill="FFFFFF"/>
                  <w:tcMar>
                    <w:top w:w="0" w:type="dxa"/>
                    <w:left w:w="0" w:type="dxa"/>
                    <w:bottom w:w="0" w:type="dxa"/>
                    <w:right w:w="0" w:type="dxa"/>
                  </w:tcMar>
                  <w:vAlign w:val="center"/>
                </w:tcPr>
                <w:p w14:paraId="2745FDBB">
                  <w:pPr>
                    <w:jc w:val="center"/>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lang w:val="en-US" w:eastAsia="zh-CN"/>
                    </w:rPr>
                    <w:t>南</w:t>
                  </w:r>
                </w:p>
              </w:tc>
              <w:tc>
                <w:tcPr>
                  <w:tcW w:w="168" w:type="pct"/>
                  <w:tcBorders>
                    <w:tl2br w:val="nil"/>
                    <w:tr2bl w:val="nil"/>
                  </w:tcBorders>
                  <w:shd w:val="clear" w:color="auto" w:fill="FFFFFF"/>
                  <w:tcMar>
                    <w:top w:w="0" w:type="dxa"/>
                    <w:left w:w="0" w:type="dxa"/>
                    <w:bottom w:w="0" w:type="dxa"/>
                    <w:right w:w="0" w:type="dxa"/>
                  </w:tcMar>
                  <w:vAlign w:val="center"/>
                </w:tcPr>
                <w:p w14:paraId="37E118A6">
                  <w:pPr>
                    <w:jc w:val="center"/>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lang w:val="en-US" w:eastAsia="zh-CN"/>
                    </w:rPr>
                    <w:t>西</w:t>
                  </w:r>
                </w:p>
              </w:tc>
              <w:tc>
                <w:tcPr>
                  <w:tcW w:w="168" w:type="pct"/>
                  <w:tcBorders>
                    <w:tl2br w:val="nil"/>
                    <w:tr2bl w:val="nil"/>
                  </w:tcBorders>
                  <w:shd w:val="clear" w:color="auto" w:fill="FFFFFF"/>
                  <w:tcMar>
                    <w:top w:w="0" w:type="dxa"/>
                    <w:left w:w="0" w:type="dxa"/>
                    <w:bottom w:w="0" w:type="dxa"/>
                    <w:right w:w="0" w:type="dxa"/>
                  </w:tcMar>
                  <w:vAlign w:val="center"/>
                </w:tcPr>
                <w:p w14:paraId="2F5DB75A">
                  <w:pPr>
                    <w:jc w:val="center"/>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lang w:val="en-US" w:eastAsia="zh-CN"/>
                    </w:rPr>
                    <w:t>北</w:t>
                  </w:r>
                </w:p>
              </w:tc>
              <w:tc>
                <w:tcPr>
                  <w:tcW w:w="93" w:type="pct"/>
                  <w:tcBorders>
                    <w:tl2br w:val="nil"/>
                    <w:tr2bl w:val="nil"/>
                  </w:tcBorders>
                  <w:shd w:val="clear" w:color="auto" w:fill="FFFFFF"/>
                  <w:tcMar>
                    <w:top w:w="0" w:type="dxa"/>
                    <w:left w:w="0" w:type="dxa"/>
                    <w:bottom w:w="0" w:type="dxa"/>
                    <w:right w:w="0" w:type="dxa"/>
                  </w:tcMar>
                  <w:vAlign w:val="center"/>
                </w:tcPr>
                <w:p w14:paraId="35B0C3AC">
                  <w:pPr>
                    <w:jc w:val="center"/>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建筑物外距离</w:t>
                  </w:r>
                </w:p>
              </w:tc>
            </w:tr>
            <w:tr w14:paraId="6A57F53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23" w:hRule="atLeast"/>
              </w:trPr>
              <w:tc>
                <w:tcPr>
                  <w:tcW w:w="210" w:type="pct"/>
                  <w:tcBorders>
                    <w:tl2br w:val="nil"/>
                    <w:tr2bl w:val="nil"/>
                  </w:tcBorders>
                  <w:shd w:val="clear" w:color="auto" w:fill="FFFFFF"/>
                  <w:tcMar>
                    <w:top w:w="0" w:type="dxa"/>
                    <w:left w:w="0" w:type="dxa"/>
                    <w:bottom w:w="0" w:type="dxa"/>
                    <w:right w:w="0" w:type="dxa"/>
                  </w:tcMar>
                  <w:vAlign w:val="center"/>
                </w:tcPr>
                <w:p w14:paraId="4233500A">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w:t>
                  </w:r>
                </w:p>
              </w:tc>
              <w:tc>
                <w:tcPr>
                  <w:tcW w:w="210" w:type="pct"/>
                  <w:tcBorders>
                    <w:tl2br w:val="nil"/>
                    <w:tr2bl w:val="nil"/>
                  </w:tcBorders>
                  <w:shd w:val="clear" w:color="auto" w:fill="FFFFFF"/>
                  <w:tcMar>
                    <w:top w:w="0" w:type="dxa"/>
                    <w:left w:w="0" w:type="dxa"/>
                    <w:bottom w:w="0" w:type="dxa"/>
                    <w:right w:w="0" w:type="dxa"/>
                  </w:tcMar>
                  <w:vAlign w:val="center"/>
                </w:tcPr>
                <w:p w14:paraId="20BE42EF">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中创空天厂区-铝合金熔铸二厂</w:t>
                  </w:r>
                </w:p>
              </w:tc>
              <w:tc>
                <w:tcPr>
                  <w:tcW w:w="210" w:type="pct"/>
                  <w:tcBorders>
                    <w:tl2br w:val="nil"/>
                    <w:tr2bl w:val="nil"/>
                  </w:tcBorders>
                  <w:shd w:val="clear" w:color="auto" w:fill="FFFFFF"/>
                  <w:tcMar>
                    <w:top w:w="0" w:type="dxa"/>
                    <w:left w:w="0" w:type="dxa"/>
                    <w:bottom w:w="0" w:type="dxa"/>
                    <w:right w:w="0" w:type="dxa"/>
                  </w:tcMar>
                  <w:vAlign w:val="center"/>
                </w:tcPr>
                <w:p w14:paraId="592605B9">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50t熔化炉</w:t>
                  </w:r>
                </w:p>
              </w:tc>
              <w:tc>
                <w:tcPr>
                  <w:tcW w:w="210" w:type="pct"/>
                  <w:vMerge w:val="restart"/>
                  <w:tcBorders>
                    <w:tl2br w:val="nil"/>
                    <w:tr2bl w:val="nil"/>
                  </w:tcBorders>
                  <w:shd w:val="clear" w:color="auto" w:fill="FFFFFF"/>
                  <w:tcMar>
                    <w:top w:w="0" w:type="dxa"/>
                    <w:left w:w="0" w:type="dxa"/>
                    <w:bottom w:w="0" w:type="dxa"/>
                    <w:right w:w="0" w:type="dxa"/>
                  </w:tcMar>
                  <w:vAlign w:val="center"/>
                </w:tcPr>
                <w:p w14:paraId="32B89C70">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val="en-US" w:eastAsia="zh-CN"/>
                    </w:rPr>
                    <w:t>详见本节上表相关内容</w:t>
                  </w:r>
                </w:p>
              </w:tc>
              <w:tc>
                <w:tcPr>
                  <w:tcW w:w="281" w:type="pct"/>
                  <w:tcBorders>
                    <w:tl2br w:val="nil"/>
                    <w:tr2bl w:val="nil"/>
                  </w:tcBorders>
                  <w:shd w:val="clear" w:color="auto" w:fill="FFFFFF"/>
                  <w:tcMar>
                    <w:top w:w="0" w:type="dxa"/>
                    <w:left w:w="0" w:type="dxa"/>
                    <w:bottom w:w="0" w:type="dxa"/>
                    <w:right w:w="0" w:type="dxa"/>
                  </w:tcMar>
                  <w:vAlign w:val="center"/>
                </w:tcPr>
                <w:p w14:paraId="77B6C964">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92.5</w:t>
                  </w:r>
                </w:p>
              </w:tc>
              <w:tc>
                <w:tcPr>
                  <w:tcW w:w="210" w:type="pct"/>
                  <w:tcBorders>
                    <w:tl2br w:val="nil"/>
                    <w:tr2bl w:val="nil"/>
                  </w:tcBorders>
                  <w:shd w:val="clear" w:color="auto" w:fill="FFFFFF"/>
                  <w:tcMar>
                    <w:top w:w="0" w:type="dxa"/>
                    <w:left w:w="0" w:type="dxa"/>
                    <w:bottom w:w="0" w:type="dxa"/>
                    <w:right w:w="0" w:type="dxa"/>
                  </w:tcMar>
                  <w:vAlign w:val="center"/>
                </w:tcPr>
                <w:p w14:paraId="322F82ED">
                  <w:pPr>
                    <w:jc w:val="center"/>
                    <w:rPr>
                      <w:rFonts w:hint="default" w:ascii="Times New Roman" w:hAnsi="Times New Roman" w:eastAsia="宋体" w:cs="Times New Roman"/>
                      <w:color w:val="auto"/>
                      <w:u w:val="none" w:color="auto"/>
                    </w:rPr>
                  </w:pPr>
                </w:p>
              </w:tc>
              <w:tc>
                <w:tcPr>
                  <w:tcW w:w="199" w:type="pct"/>
                  <w:tcBorders>
                    <w:tl2br w:val="nil"/>
                    <w:tr2bl w:val="nil"/>
                  </w:tcBorders>
                  <w:shd w:val="clear" w:color="auto" w:fill="FFFFFF"/>
                  <w:tcMar>
                    <w:top w:w="0" w:type="dxa"/>
                    <w:left w:w="0" w:type="dxa"/>
                    <w:bottom w:w="0" w:type="dxa"/>
                    <w:right w:w="0" w:type="dxa"/>
                  </w:tcMar>
                  <w:vAlign w:val="center"/>
                </w:tcPr>
                <w:p w14:paraId="67104A66">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-89.8</w:t>
                  </w:r>
                </w:p>
              </w:tc>
              <w:tc>
                <w:tcPr>
                  <w:tcW w:w="247" w:type="pct"/>
                  <w:tcBorders>
                    <w:tl2br w:val="nil"/>
                    <w:tr2bl w:val="nil"/>
                  </w:tcBorders>
                  <w:shd w:val="clear" w:color="auto" w:fill="FFFFFF"/>
                  <w:tcMar>
                    <w:top w:w="0" w:type="dxa"/>
                    <w:left w:w="0" w:type="dxa"/>
                    <w:bottom w:w="0" w:type="dxa"/>
                    <w:right w:w="0" w:type="dxa"/>
                  </w:tcMar>
                  <w:vAlign w:val="center"/>
                </w:tcPr>
                <w:p w14:paraId="6D09C033">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-177</w:t>
                  </w:r>
                </w:p>
              </w:tc>
              <w:tc>
                <w:tcPr>
                  <w:tcW w:w="124" w:type="pct"/>
                  <w:tcBorders>
                    <w:tl2br w:val="nil"/>
                    <w:tr2bl w:val="nil"/>
                  </w:tcBorders>
                  <w:shd w:val="clear" w:color="auto" w:fill="FFFFFF"/>
                  <w:tcMar>
                    <w:top w:w="0" w:type="dxa"/>
                    <w:left w:w="0" w:type="dxa"/>
                    <w:bottom w:w="0" w:type="dxa"/>
                    <w:right w:w="0" w:type="dxa"/>
                  </w:tcMar>
                  <w:vAlign w:val="center"/>
                </w:tcPr>
                <w:p w14:paraId="1191A163">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w:t>
                  </w:r>
                </w:p>
              </w:tc>
              <w:tc>
                <w:tcPr>
                  <w:tcW w:w="168" w:type="pct"/>
                  <w:tcBorders>
                    <w:tl2br w:val="nil"/>
                    <w:tr2bl w:val="nil"/>
                  </w:tcBorders>
                  <w:shd w:val="clear" w:color="auto" w:fill="FFFFFF"/>
                  <w:tcMar>
                    <w:top w:w="0" w:type="dxa"/>
                    <w:left w:w="0" w:type="dxa"/>
                    <w:bottom w:w="0" w:type="dxa"/>
                    <w:right w:w="0" w:type="dxa"/>
                  </w:tcMar>
                  <w:vAlign w:val="center"/>
                </w:tcPr>
                <w:p w14:paraId="2F04F48C">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42.4</w:t>
                  </w:r>
                </w:p>
              </w:tc>
              <w:tc>
                <w:tcPr>
                  <w:tcW w:w="168" w:type="pct"/>
                  <w:tcBorders>
                    <w:tl2br w:val="nil"/>
                    <w:tr2bl w:val="nil"/>
                  </w:tcBorders>
                  <w:shd w:val="clear" w:color="auto" w:fill="FFFFFF"/>
                  <w:tcMar>
                    <w:top w:w="0" w:type="dxa"/>
                    <w:left w:w="0" w:type="dxa"/>
                    <w:bottom w:w="0" w:type="dxa"/>
                    <w:right w:w="0" w:type="dxa"/>
                  </w:tcMar>
                  <w:vAlign w:val="center"/>
                </w:tcPr>
                <w:p w14:paraId="666DD5FC">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33.9</w:t>
                  </w:r>
                </w:p>
              </w:tc>
              <w:tc>
                <w:tcPr>
                  <w:tcW w:w="214" w:type="pct"/>
                  <w:tcBorders>
                    <w:tl2br w:val="nil"/>
                    <w:tr2bl w:val="nil"/>
                  </w:tcBorders>
                  <w:shd w:val="clear" w:color="auto" w:fill="FFFFFF"/>
                  <w:tcMar>
                    <w:top w:w="0" w:type="dxa"/>
                    <w:left w:w="0" w:type="dxa"/>
                    <w:bottom w:w="0" w:type="dxa"/>
                    <w:right w:w="0" w:type="dxa"/>
                  </w:tcMar>
                  <w:vAlign w:val="center"/>
                </w:tcPr>
                <w:p w14:paraId="3C6B3029">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103.4</w:t>
                  </w:r>
                </w:p>
              </w:tc>
              <w:tc>
                <w:tcPr>
                  <w:tcW w:w="214" w:type="pct"/>
                  <w:tcBorders>
                    <w:tl2br w:val="nil"/>
                    <w:tr2bl w:val="nil"/>
                  </w:tcBorders>
                  <w:shd w:val="clear" w:color="auto" w:fill="FFFFFF"/>
                  <w:tcMar>
                    <w:top w:w="0" w:type="dxa"/>
                    <w:left w:w="0" w:type="dxa"/>
                    <w:bottom w:w="0" w:type="dxa"/>
                    <w:right w:w="0" w:type="dxa"/>
                  </w:tcMar>
                  <w:vAlign w:val="center"/>
                </w:tcPr>
                <w:p w14:paraId="1B1C59C4">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28.4</w:t>
                  </w:r>
                </w:p>
              </w:tc>
              <w:tc>
                <w:tcPr>
                  <w:tcW w:w="169" w:type="pct"/>
                  <w:tcBorders>
                    <w:tl2br w:val="nil"/>
                    <w:tr2bl w:val="nil"/>
                  </w:tcBorders>
                  <w:shd w:val="clear" w:color="auto" w:fill="FFFFFF"/>
                  <w:tcMar>
                    <w:top w:w="0" w:type="dxa"/>
                    <w:left w:w="0" w:type="dxa"/>
                    <w:bottom w:w="0" w:type="dxa"/>
                    <w:right w:w="0" w:type="dxa"/>
                  </w:tcMar>
                  <w:vAlign w:val="center"/>
                </w:tcPr>
                <w:p w14:paraId="7683C0BF">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72.8</w:t>
                  </w:r>
                </w:p>
              </w:tc>
              <w:tc>
                <w:tcPr>
                  <w:tcW w:w="169" w:type="pct"/>
                  <w:tcBorders>
                    <w:tl2br w:val="nil"/>
                    <w:tr2bl w:val="nil"/>
                  </w:tcBorders>
                  <w:shd w:val="clear" w:color="auto" w:fill="FFFFFF"/>
                  <w:tcMar>
                    <w:top w:w="0" w:type="dxa"/>
                    <w:left w:w="0" w:type="dxa"/>
                    <w:bottom w:w="0" w:type="dxa"/>
                    <w:right w:w="0" w:type="dxa"/>
                  </w:tcMar>
                  <w:vAlign w:val="center"/>
                </w:tcPr>
                <w:p w14:paraId="4178E836">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72.8</w:t>
                  </w:r>
                </w:p>
              </w:tc>
              <w:tc>
                <w:tcPr>
                  <w:tcW w:w="169" w:type="pct"/>
                  <w:tcBorders>
                    <w:tl2br w:val="nil"/>
                    <w:tr2bl w:val="nil"/>
                  </w:tcBorders>
                  <w:shd w:val="clear" w:color="auto" w:fill="FFFFFF"/>
                  <w:tcMar>
                    <w:top w:w="0" w:type="dxa"/>
                    <w:left w:w="0" w:type="dxa"/>
                    <w:bottom w:w="0" w:type="dxa"/>
                    <w:right w:w="0" w:type="dxa"/>
                  </w:tcMar>
                  <w:vAlign w:val="center"/>
                </w:tcPr>
                <w:p w14:paraId="739BC634">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72.8</w:t>
                  </w:r>
                </w:p>
              </w:tc>
              <w:tc>
                <w:tcPr>
                  <w:tcW w:w="169" w:type="pct"/>
                  <w:tcBorders>
                    <w:tl2br w:val="nil"/>
                    <w:tr2bl w:val="nil"/>
                  </w:tcBorders>
                  <w:shd w:val="clear" w:color="auto" w:fill="FFFFFF"/>
                  <w:tcMar>
                    <w:top w:w="0" w:type="dxa"/>
                    <w:left w:w="0" w:type="dxa"/>
                    <w:bottom w:w="0" w:type="dxa"/>
                    <w:right w:w="0" w:type="dxa"/>
                  </w:tcMar>
                  <w:vAlign w:val="center"/>
                </w:tcPr>
                <w:p w14:paraId="0580D2DA">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72.9</w:t>
                  </w:r>
                </w:p>
              </w:tc>
              <w:tc>
                <w:tcPr>
                  <w:tcW w:w="210" w:type="pct"/>
                  <w:tcBorders>
                    <w:tl2br w:val="nil"/>
                    <w:tr2bl w:val="nil"/>
                  </w:tcBorders>
                  <w:shd w:val="clear" w:color="auto" w:fill="FFFFFF"/>
                  <w:tcMar>
                    <w:top w:w="0" w:type="dxa"/>
                    <w:left w:w="0" w:type="dxa"/>
                    <w:bottom w:w="0" w:type="dxa"/>
                    <w:right w:w="0" w:type="dxa"/>
                  </w:tcMar>
                  <w:vAlign w:val="center"/>
                </w:tcPr>
                <w:p w14:paraId="6D23E33F">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24</w:t>
                  </w:r>
                </w:p>
              </w:tc>
              <w:tc>
                <w:tcPr>
                  <w:tcW w:w="169" w:type="pct"/>
                  <w:tcBorders>
                    <w:tl2br w:val="nil"/>
                    <w:tr2bl w:val="nil"/>
                  </w:tcBorders>
                  <w:shd w:val="clear" w:color="auto" w:fill="FFFFFF"/>
                  <w:tcMar>
                    <w:top w:w="0" w:type="dxa"/>
                    <w:left w:w="0" w:type="dxa"/>
                    <w:bottom w:w="0" w:type="dxa"/>
                    <w:right w:w="0" w:type="dxa"/>
                  </w:tcMar>
                  <w:vAlign w:val="center"/>
                </w:tcPr>
                <w:p w14:paraId="038C40DE">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9" w:type="pct"/>
                  <w:tcBorders>
                    <w:tl2br w:val="nil"/>
                    <w:tr2bl w:val="nil"/>
                  </w:tcBorders>
                  <w:shd w:val="clear" w:color="auto" w:fill="FFFFFF"/>
                  <w:tcMar>
                    <w:top w:w="0" w:type="dxa"/>
                    <w:left w:w="0" w:type="dxa"/>
                    <w:bottom w:w="0" w:type="dxa"/>
                    <w:right w:w="0" w:type="dxa"/>
                  </w:tcMar>
                  <w:vAlign w:val="center"/>
                </w:tcPr>
                <w:p w14:paraId="50DEAC3A">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9" w:type="pct"/>
                  <w:tcBorders>
                    <w:tl2br w:val="nil"/>
                    <w:tr2bl w:val="nil"/>
                  </w:tcBorders>
                  <w:shd w:val="clear" w:color="auto" w:fill="FFFFFF"/>
                  <w:tcMar>
                    <w:top w:w="0" w:type="dxa"/>
                    <w:left w:w="0" w:type="dxa"/>
                    <w:bottom w:w="0" w:type="dxa"/>
                    <w:right w:w="0" w:type="dxa"/>
                  </w:tcMar>
                  <w:vAlign w:val="center"/>
                </w:tcPr>
                <w:p w14:paraId="0D5FEB20">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9" w:type="pct"/>
                  <w:tcBorders>
                    <w:tl2br w:val="nil"/>
                    <w:tr2bl w:val="nil"/>
                  </w:tcBorders>
                  <w:shd w:val="clear" w:color="auto" w:fill="FFFFFF"/>
                  <w:tcMar>
                    <w:top w:w="0" w:type="dxa"/>
                    <w:left w:w="0" w:type="dxa"/>
                    <w:bottom w:w="0" w:type="dxa"/>
                    <w:right w:w="0" w:type="dxa"/>
                  </w:tcMar>
                  <w:vAlign w:val="center"/>
                </w:tcPr>
                <w:p w14:paraId="3C672706">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8" w:type="pct"/>
                  <w:tcBorders>
                    <w:tl2br w:val="nil"/>
                    <w:tr2bl w:val="nil"/>
                  </w:tcBorders>
                  <w:shd w:val="clear" w:color="auto" w:fill="FFFFFF"/>
                  <w:tcMar>
                    <w:top w:w="0" w:type="dxa"/>
                    <w:left w:w="0" w:type="dxa"/>
                    <w:bottom w:w="0" w:type="dxa"/>
                    <w:right w:w="0" w:type="dxa"/>
                  </w:tcMar>
                  <w:vAlign w:val="center"/>
                </w:tcPr>
                <w:p w14:paraId="223FE3DA">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60.8</w:t>
                  </w:r>
                </w:p>
              </w:tc>
              <w:tc>
                <w:tcPr>
                  <w:tcW w:w="168" w:type="pct"/>
                  <w:tcBorders>
                    <w:tl2br w:val="nil"/>
                    <w:tr2bl w:val="nil"/>
                  </w:tcBorders>
                  <w:shd w:val="clear" w:color="auto" w:fill="FFFFFF"/>
                  <w:tcMar>
                    <w:top w:w="0" w:type="dxa"/>
                    <w:left w:w="0" w:type="dxa"/>
                    <w:bottom w:w="0" w:type="dxa"/>
                    <w:right w:w="0" w:type="dxa"/>
                  </w:tcMar>
                  <w:vAlign w:val="center"/>
                </w:tcPr>
                <w:p w14:paraId="6BF376A9">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60.8</w:t>
                  </w:r>
                </w:p>
              </w:tc>
              <w:tc>
                <w:tcPr>
                  <w:tcW w:w="168" w:type="pct"/>
                  <w:tcBorders>
                    <w:tl2br w:val="nil"/>
                    <w:tr2bl w:val="nil"/>
                  </w:tcBorders>
                  <w:shd w:val="clear" w:color="auto" w:fill="FFFFFF"/>
                  <w:tcMar>
                    <w:top w:w="0" w:type="dxa"/>
                    <w:left w:w="0" w:type="dxa"/>
                    <w:bottom w:w="0" w:type="dxa"/>
                    <w:right w:w="0" w:type="dxa"/>
                  </w:tcMar>
                  <w:vAlign w:val="center"/>
                </w:tcPr>
                <w:p w14:paraId="75CF993C">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60.8</w:t>
                  </w:r>
                </w:p>
              </w:tc>
              <w:tc>
                <w:tcPr>
                  <w:tcW w:w="168" w:type="pct"/>
                  <w:tcBorders>
                    <w:tl2br w:val="nil"/>
                    <w:tr2bl w:val="nil"/>
                  </w:tcBorders>
                  <w:shd w:val="clear" w:color="auto" w:fill="FFFFFF"/>
                  <w:tcMar>
                    <w:top w:w="0" w:type="dxa"/>
                    <w:left w:w="0" w:type="dxa"/>
                    <w:bottom w:w="0" w:type="dxa"/>
                    <w:right w:w="0" w:type="dxa"/>
                  </w:tcMar>
                  <w:vAlign w:val="center"/>
                </w:tcPr>
                <w:p w14:paraId="1333F771">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60.9</w:t>
                  </w:r>
                </w:p>
              </w:tc>
              <w:tc>
                <w:tcPr>
                  <w:tcW w:w="93" w:type="pct"/>
                  <w:tcBorders>
                    <w:tl2br w:val="nil"/>
                    <w:tr2bl w:val="nil"/>
                  </w:tcBorders>
                  <w:shd w:val="clear" w:color="auto" w:fill="FFFFFF"/>
                  <w:tcMar>
                    <w:top w:w="0" w:type="dxa"/>
                    <w:left w:w="0" w:type="dxa"/>
                    <w:bottom w:w="0" w:type="dxa"/>
                    <w:right w:w="0" w:type="dxa"/>
                  </w:tcMar>
                  <w:vAlign w:val="center"/>
                </w:tcPr>
                <w:p w14:paraId="3D1E9E7F">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w:t>
                  </w:r>
                </w:p>
              </w:tc>
            </w:tr>
            <w:tr w14:paraId="23380A1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23" w:hRule="atLeast"/>
              </w:trPr>
              <w:tc>
                <w:tcPr>
                  <w:tcW w:w="210" w:type="pct"/>
                  <w:tcBorders>
                    <w:tl2br w:val="nil"/>
                    <w:tr2bl w:val="nil"/>
                  </w:tcBorders>
                  <w:shd w:val="clear" w:color="auto" w:fill="FFFFFF"/>
                  <w:tcMar>
                    <w:top w:w="0" w:type="dxa"/>
                    <w:left w:w="0" w:type="dxa"/>
                    <w:bottom w:w="0" w:type="dxa"/>
                    <w:right w:w="0" w:type="dxa"/>
                  </w:tcMar>
                  <w:vAlign w:val="center"/>
                </w:tcPr>
                <w:p w14:paraId="0E68AFE9">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2</w:t>
                  </w:r>
                </w:p>
              </w:tc>
              <w:tc>
                <w:tcPr>
                  <w:tcW w:w="210" w:type="pct"/>
                  <w:tcBorders>
                    <w:tl2br w:val="nil"/>
                    <w:tr2bl w:val="nil"/>
                  </w:tcBorders>
                  <w:shd w:val="clear" w:color="auto" w:fill="FFFFFF"/>
                  <w:tcMar>
                    <w:top w:w="0" w:type="dxa"/>
                    <w:left w:w="0" w:type="dxa"/>
                    <w:bottom w:w="0" w:type="dxa"/>
                    <w:right w:w="0" w:type="dxa"/>
                  </w:tcMar>
                  <w:vAlign w:val="center"/>
                </w:tcPr>
                <w:p w14:paraId="1672C889">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中创空天厂区-铝合金熔铸二厂</w:t>
                  </w:r>
                </w:p>
              </w:tc>
              <w:tc>
                <w:tcPr>
                  <w:tcW w:w="210" w:type="pct"/>
                  <w:tcBorders>
                    <w:tl2br w:val="nil"/>
                    <w:tr2bl w:val="nil"/>
                  </w:tcBorders>
                  <w:shd w:val="clear" w:color="auto" w:fill="FFFFFF"/>
                  <w:tcMar>
                    <w:top w:w="0" w:type="dxa"/>
                    <w:left w:w="0" w:type="dxa"/>
                    <w:bottom w:w="0" w:type="dxa"/>
                    <w:right w:w="0" w:type="dxa"/>
                  </w:tcMar>
                  <w:vAlign w:val="center"/>
                </w:tcPr>
                <w:p w14:paraId="7540DCF9">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45t熔化炉</w:t>
                  </w:r>
                </w:p>
              </w:tc>
              <w:tc>
                <w:tcPr>
                  <w:tcW w:w="210" w:type="pct"/>
                  <w:vMerge w:val="continue"/>
                  <w:tcBorders>
                    <w:tl2br w:val="nil"/>
                    <w:tr2bl w:val="nil"/>
                  </w:tcBorders>
                  <w:shd w:val="clear" w:color="auto" w:fill="FFFFFF"/>
                  <w:tcMar>
                    <w:top w:w="0" w:type="dxa"/>
                    <w:left w:w="0" w:type="dxa"/>
                    <w:bottom w:w="0" w:type="dxa"/>
                    <w:right w:w="0" w:type="dxa"/>
                  </w:tcMar>
                  <w:vAlign w:val="center"/>
                </w:tcPr>
                <w:p w14:paraId="5386809E">
                  <w:pPr>
                    <w:jc w:val="center"/>
                    <w:rPr>
                      <w:rFonts w:hint="default" w:ascii="Times New Roman" w:hAnsi="Times New Roman" w:eastAsia="宋体" w:cs="Times New Roman"/>
                      <w:color w:val="auto"/>
                      <w:u w:val="none" w:color="auto"/>
                    </w:rPr>
                  </w:pPr>
                </w:p>
              </w:tc>
              <w:tc>
                <w:tcPr>
                  <w:tcW w:w="281" w:type="pct"/>
                  <w:tcBorders>
                    <w:tl2br w:val="nil"/>
                    <w:tr2bl w:val="nil"/>
                  </w:tcBorders>
                  <w:shd w:val="clear" w:color="auto" w:fill="FFFFFF"/>
                  <w:tcMar>
                    <w:top w:w="0" w:type="dxa"/>
                    <w:left w:w="0" w:type="dxa"/>
                    <w:bottom w:w="0" w:type="dxa"/>
                    <w:right w:w="0" w:type="dxa"/>
                  </w:tcMar>
                  <w:vAlign w:val="center"/>
                </w:tcPr>
                <w:p w14:paraId="3C8E8000">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92.5</w:t>
                  </w:r>
                </w:p>
              </w:tc>
              <w:tc>
                <w:tcPr>
                  <w:tcW w:w="210" w:type="pct"/>
                  <w:tcBorders>
                    <w:tl2br w:val="nil"/>
                    <w:tr2bl w:val="nil"/>
                  </w:tcBorders>
                  <w:shd w:val="clear" w:color="auto" w:fill="FFFFFF"/>
                  <w:tcMar>
                    <w:top w:w="0" w:type="dxa"/>
                    <w:left w:w="0" w:type="dxa"/>
                    <w:bottom w:w="0" w:type="dxa"/>
                    <w:right w:w="0" w:type="dxa"/>
                  </w:tcMar>
                  <w:vAlign w:val="center"/>
                </w:tcPr>
                <w:p w14:paraId="4AB2AFA9">
                  <w:pPr>
                    <w:jc w:val="center"/>
                    <w:rPr>
                      <w:rFonts w:hint="default" w:ascii="Times New Roman" w:hAnsi="Times New Roman" w:eastAsia="宋体" w:cs="Times New Roman"/>
                      <w:color w:val="auto"/>
                      <w:u w:val="none" w:color="auto"/>
                    </w:rPr>
                  </w:pPr>
                </w:p>
              </w:tc>
              <w:tc>
                <w:tcPr>
                  <w:tcW w:w="199" w:type="pct"/>
                  <w:tcBorders>
                    <w:tl2br w:val="nil"/>
                    <w:tr2bl w:val="nil"/>
                  </w:tcBorders>
                  <w:shd w:val="clear" w:color="auto" w:fill="FFFFFF"/>
                  <w:tcMar>
                    <w:top w:w="0" w:type="dxa"/>
                    <w:left w:w="0" w:type="dxa"/>
                    <w:bottom w:w="0" w:type="dxa"/>
                    <w:right w:w="0" w:type="dxa"/>
                  </w:tcMar>
                  <w:vAlign w:val="center"/>
                </w:tcPr>
                <w:p w14:paraId="0BEB0363">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-77.8</w:t>
                  </w:r>
                </w:p>
              </w:tc>
              <w:tc>
                <w:tcPr>
                  <w:tcW w:w="247" w:type="pct"/>
                  <w:tcBorders>
                    <w:tl2br w:val="nil"/>
                    <w:tr2bl w:val="nil"/>
                  </w:tcBorders>
                  <w:shd w:val="clear" w:color="auto" w:fill="FFFFFF"/>
                  <w:tcMar>
                    <w:top w:w="0" w:type="dxa"/>
                    <w:left w:w="0" w:type="dxa"/>
                    <w:bottom w:w="0" w:type="dxa"/>
                    <w:right w:w="0" w:type="dxa"/>
                  </w:tcMar>
                  <w:vAlign w:val="center"/>
                </w:tcPr>
                <w:p w14:paraId="4BB85E25">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-185.8</w:t>
                  </w:r>
                </w:p>
              </w:tc>
              <w:tc>
                <w:tcPr>
                  <w:tcW w:w="124" w:type="pct"/>
                  <w:tcBorders>
                    <w:tl2br w:val="nil"/>
                    <w:tr2bl w:val="nil"/>
                  </w:tcBorders>
                  <w:shd w:val="clear" w:color="auto" w:fill="FFFFFF"/>
                  <w:tcMar>
                    <w:top w:w="0" w:type="dxa"/>
                    <w:left w:w="0" w:type="dxa"/>
                    <w:bottom w:w="0" w:type="dxa"/>
                    <w:right w:w="0" w:type="dxa"/>
                  </w:tcMar>
                  <w:vAlign w:val="center"/>
                </w:tcPr>
                <w:p w14:paraId="57E8A66D">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w:t>
                  </w:r>
                </w:p>
              </w:tc>
              <w:tc>
                <w:tcPr>
                  <w:tcW w:w="168" w:type="pct"/>
                  <w:tcBorders>
                    <w:tl2br w:val="nil"/>
                    <w:tr2bl w:val="nil"/>
                  </w:tcBorders>
                  <w:shd w:val="clear" w:color="auto" w:fill="FFFFFF"/>
                  <w:tcMar>
                    <w:top w:w="0" w:type="dxa"/>
                    <w:left w:w="0" w:type="dxa"/>
                    <w:bottom w:w="0" w:type="dxa"/>
                    <w:right w:w="0" w:type="dxa"/>
                  </w:tcMar>
                  <w:vAlign w:val="center"/>
                </w:tcPr>
                <w:p w14:paraId="78E3C944">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27.5</w:t>
                  </w:r>
                </w:p>
              </w:tc>
              <w:tc>
                <w:tcPr>
                  <w:tcW w:w="168" w:type="pct"/>
                  <w:tcBorders>
                    <w:tl2br w:val="nil"/>
                    <w:tr2bl w:val="nil"/>
                  </w:tcBorders>
                  <w:shd w:val="clear" w:color="auto" w:fill="FFFFFF"/>
                  <w:tcMar>
                    <w:top w:w="0" w:type="dxa"/>
                    <w:left w:w="0" w:type="dxa"/>
                    <w:bottom w:w="0" w:type="dxa"/>
                    <w:right w:w="0" w:type="dxa"/>
                  </w:tcMar>
                  <w:vAlign w:val="center"/>
                </w:tcPr>
                <w:p w14:paraId="663FA117">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33.6</w:t>
                  </w:r>
                </w:p>
              </w:tc>
              <w:tc>
                <w:tcPr>
                  <w:tcW w:w="214" w:type="pct"/>
                  <w:tcBorders>
                    <w:tl2br w:val="nil"/>
                    <w:tr2bl w:val="nil"/>
                  </w:tcBorders>
                  <w:shd w:val="clear" w:color="auto" w:fill="FFFFFF"/>
                  <w:tcMar>
                    <w:top w:w="0" w:type="dxa"/>
                    <w:left w:w="0" w:type="dxa"/>
                    <w:bottom w:w="0" w:type="dxa"/>
                    <w:right w:w="0" w:type="dxa"/>
                  </w:tcMar>
                  <w:vAlign w:val="center"/>
                </w:tcPr>
                <w:p w14:paraId="676638AC">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118.3</w:t>
                  </w:r>
                </w:p>
              </w:tc>
              <w:tc>
                <w:tcPr>
                  <w:tcW w:w="214" w:type="pct"/>
                  <w:tcBorders>
                    <w:tl2br w:val="nil"/>
                    <w:tr2bl w:val="nil"/>
                  </w:tcBorders>
                  <w:shd w:val="clear" w:color="auto" w:fill="FFFFFF"/>
                  <w:tcMar>
                    <w:top w:w="0" w:type="dxa"/>
                    <w:left w:w="0" w:type="dxa"/>
                    <w:bottom w:w="0" w:type="dxa"/>
                    <w:right w:w="0" w:type="dxa"/>
                  </w:tcMar>
                  <w:vAlign w:val="center"/>
                </w:tcPr>
                <w:p w14:paraId="5E3B04F1">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28.7</w:t>
                  </w:r>
                </w:p>
              </w:tc>
              <w:tc>
                <w:tcPr>
                  <w:tcW w:w="169" w:type="pct"/>
                  <w:tcBorders>
                    <w:tl2br w:val="nil"/>
                    <w:tr2bl w:val="nil"/>
                  </w:tcBorders>
                  <w:shd w:val="clear" w:color="auto" w:fill="FFFFFF"/>
                  <w:tcMar>
                    <w:top w:w="0" w:type="dxa"/>
                    <w:left w:w="0" w:type="dxa"/>
                    <w:bottom w:w="0" w:type="dxa"/>
                    <w:right w:w="0" w:type="dxa"/>
                  </w:tcMar>
                  <w:vAlign w:val="center"/>
                </w:tcPr>
                <w:p w14:paraId="771F12A9">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72.9</w:t>
                  </w:r>
                </w:p>
              </w:tc>
              <w:tc>
                <w:tcPr>
                  <w:tcW w:w="169" w:type="pct"/>
                  <w:tcBorders>
                    <w:tl2br w:val="nil"/>
                    <w:tr2bl w:val="nil"/>
                  </w:tcBorders>
                  <w:shd w:val="clear" w:color="auto" w:fill="FFFFFF"/>
                  <w:tcMar>
                    <w:top w:w="0" w:type="dxa"/>
                    <w:left w:w="0" w:type="dxa"/>
                    <w:bottom w:w="0" w:type="dxa"/>
                    <w:right w:w="0" w:type="dxa"/>
                  </w:tcMar>
                  <w:vAlign w:val="center"/>
                </w:tcPr>
                <w:p w14:paraId="05A4B004">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72.8</w:t>
                  </w:r>
                </w:p>
              </w:tc>
              <w:tc>
                <w:tcPr>
                  <w:tcW w:w="169" w:type="pct"/>
                  <w:tcBorders>
                    <w:tl2br w:val="nil"/>
                    <w:tr2bl w:val="nil"/>
                  </w:tcBorders>
                  <w:shd w:val="clear" w:color="auto" w:fill="FFFFFF"/>
                  <w:tcMar>
                    <w:top w:w="0" w:type="dxa"/>
                    <w:left w:w="0" w:type="dxa"/>
                    <w:bottom w:w="0" w:type="dxa"/>
                    <w:right w:w="0" w:type="dxa"/>
                  </w:tcMar>
                  <w:vAlign w:val="center"/>
                </w:tcPr>
                <w:p w14:paraId="081D5E47">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72.8</w:t>
                  </w:r>
                </w:p>
              </w:tc>
              <w:tc>
                <w:tcPr>
                  <w:tcW w:w="169" w:type="pct"/>
                  <w:tcBorders>
                    <w:tl2br w:val="nil"/>
                    <w:tr2bl w:val="nil"/>
                  </w:tcBorders>
                  <w:shd w:val="clear" w:color="auto" w:fill="FFFFFF"/>
                  <w:tcMar>
                    <w:top w:w="0" w:type="dxa"/>
                    <w:left w:w="0" w:type="dxa"/>
                    <w:bottom w:w="0" w:type="dxa"/>
                    <w:right w:w="0" w:type="dxa"/>
                  </w:tcMar>
                  <w:vAlign w:val="center"/>
                </w:tcPr>
                <w:p w14:paraId="2F47B424">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72.9</w:t>
                  </w:r>
                </w:p>
              </w:tc>
              <w:tc>
                <w:tcPr>
                  <w:tcW w:w="210" w:type="pct"/>
                  <w:tcBorders>
                    <w:tl2br w:val="nil"/>
                    <w:tr2bl w:val="nil"/>
                  </w:tcBorders>
                  <w:shd w:val="clear" w:color="auto" w:fill="FFFFFF"/>
                  <w:tcMar>
                    <w:top w:w="0" w:type="dxa"/>
                    <w:left w:w="0" w:type="dxa"/>
                    <w:bottom w:w="0" w:type="dxa"/>
                    <w:right w:w="0" w:type="dxa"/>
                  </w:tcMar>
                  <w:vAlign w:val="center"/>
                </w:tcPr>
                <w:p w14:paraId="16FB4F3C">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24</w:t>
                  </w:r>
                </w:p>
              </w:tc>
              <w:tc>
                <w:tcPr>
                  <w:tcW w:w="169" w:type="pct"/>
                  <w:tcBorders>
                    <w:tl2br w:val="nil"/>
                    <w:tr2bl w:val="nil"/>
                  </w:tcBorders>
                  <w:shd w:val="clear" w:color="auto" w:fill="FFFFFF"/>
                  <w:tcMar>
                    <w:top w:w="0" w:type="dxa"/>
                    <w:left w:w="0" w:type="dxa"/>
                    <w:bottom w:w="0" w:type="dxa"/>
                    <w:right w:w="0" w:type="dxa"/>
                  </w:tcMar>
                  <w:vAlign w:val="center"/>
                </w:tcPr>
                <w:p w14:paraId="55BEDC68">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9" w:type="pct"/>
                  <w:tcBorders>
                    <w:tl2br w:val="nil"/>
                    <w:tr2bl w:val="nil"/>
                  </w:tcBorders>
                  <w:shd w:val="clear" w:color="auto" w:fill="FFFFFF"/>
                  <w:tcMar>
                    <w:top w:w="0" w:type="dxa"/>
                    <w:left w:w="0" w:type="dxa"/>
                    <w:bottom w:w="0" w:type="dxa"/>
                    <w:right w:w="0" w:type="dxa"/>
                  </w:tcMar>
                  <w:vAlign w:val="center"/>
                </w:tcPr>
                <w:p w14:paraId="18527200">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9" w:type="pct"/>
                  <w:tcBorders>
                    <w:tl2br w:val="nil"/>
                    <w:tr2bl w:val="nil"/>
                  </w:tcBorders>
                  <w:shd w:val="clear" w:color="auto" w:fill="FFFFFF"/>
                  <w:tcMar>
                    <w:top w:w="0" w:type="dxa"/>
                    <w:left w:w="0" w:type="dxa"/>
                    <w:bottom w:w="0" w:type="dxa"/>
                    <w:right w:w="0" w:type="dxa"/>
                  </w:tcMar>
                  <w:vAlign w:val="center"/>
                </w:tcPr>
                <w:p w14:paraId="1DD4ADCF">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9" w:type="pct"/>
                  <w:tcBorders>
                    <w:tl2br w:val="nil"/>
                    <w:tr2bl w:val="nil"/>
                  </w:tcBorders>
                  <w:shd w:val="clear" w:color="auto" w:fill="FFFFFF"/>
                  <w:tcMar>
                    <w:top w:w="0" w:type="dxa"/>
                    <w:left w:w="0" w:type="dxa"/>
                    <w:bottom w:w="0" w:type="dxa"/>
                    <w:right w:w="0" w:type="dxa"/>
                  </w:tcMar>
                  <w:vAlign w:val="center"/>
                </w:tcPr>
                <w:p w14:paraId="323B5EAA">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8" w:type="pct"/>
                  <w:tcBorders>
                    <w:tl2br w:val="nil"/>
                    <w:tr2bl w:val="nil"/>
                  </w:tcBorders>
                  <w:shd w:val="clear" w:color="auto" w:fill="FFFFFF"/>
                  <w:tcMar>
                    <w:top w:w="0" w:type="dxa"/>
                    <w:left w:w="0" w:type="dxa"/>
                    <w:bottom w:w="0" w:type="dxa"/>
                    <w:right w:w="0" w:type="dxa"/>
                  </w:tcMar>
                  <w:vAlign w:val="center"/>
                </w:tcPr>
                <w:p w14:paraId="05FA9224">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60.9</w:t>
                  </w:r>
                </w:p>
              </w:tc>
              <w:tc>
                <w:tcPr>
                  <w:tcW w:w="168" w:type="pct"/>
                  <w:tcBorders>
                    <w:tl2br w:val="nil"/>
                    <w:tr2bl w:val="nil"/>
                  </w:tcBorders>
                  <w:shd w:val="clear" w:color="auto" w:fill="FFFFFF"/>
                  <w:tcMar>
                    <w:top w:w="0" w:type="dxa"/>
                    <w:left w:w="0" w:type="dxa"/>
                    <w:bottom w:w="0" w:type="dxa"/>
                    <w:right w:w="0" w:type="dxa"/>
                  </w:tcMar>
                  <w:vAlign w:val="center"/>
                </w:tcPr>
                <w:p w14:paraId="1B63BC9B">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60.8</w:t>
                  </w:r>
                </w:p>
              </w:tc>
              <w:tc>
                <w:tcPr>
                  <w:tcW w:w="168" w:type="pct"/>
                  <w:tcBorders>
                    <w:tl2br w:val="nil"/>
                    <w:tr2bl w:val="nil"/>
                  </w:tcBorders>
                  <w:shd w:val="clear" w:color="auto" w:fill="FFFFFF"/>
                  <w:tcMar>
                    <w:top w:w="0" w:type="dxa"/>
                    <w:left w:w="0" w:type="dxa"/>
                    <w:bottom w:w="0" w:type="dxa"/>
                    <w:right w:w="0" w:type="dxa"/>
                  </w:tcMar>
                  <w:vAlign w:val="center"/>
                </w:tcPr>
                <w:p w14:paraId="602BE109">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60.8</w:t>
                  </w:r>
                </w:p>
              </w:tc>
              <w:tc>
                <w:tcPr>
                  <w:tcW w:w="168" w:type="pct"/>
                  <w:tcBorders>
                    <w:tl2br w:val="nil"/>
                    <w:tr2bl w:val="nil"/>
                  </w:tcBorders>
                  <w:shd w:val="clear" w:color="auto" w:fill="FFFFFF"/>
                  <w:tcMar>
                    <w:top w:w="0" w:type="dxa"/>
                    <w:left w:w="0" w:type="dxa"/>
                    <w:bottom w:w="0" w:type="dxa"/>
                    <w:right w:w="0" w:type="dxa"/>
                  </w:tcMar>
                  <w:vAlign w:val="center"/>
                </w:tcPr>
                <w:p w14:paraId="2D40AD46">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60.9</w:t>
                  </w:r>
                </w:p>
              </w:tc>
              <w:tc>
                <w:tcPr>
                  <w:tcW w:w="93" w:type="pct"/>
                  <w:tcBorders>
                    <w:tl2br w:val="nil"/>
                    <w:tr2bl w:val="nil"/>
                  </w:tcBorders>
                  <w:shd w:val="clear" w:color="auto" w:fill="FFFFFF"/>
                  <w:tcMar>
                    <w:top w:w="0" w:type="dxa"/>
                    <w:left w:w="0" w:type="dxa"/>
                    <w:bottom w:w="0" w:type="dxa"/>
                    <w:right w:w="0" w:type="dxa"/>
                  </w:tcMar>
                  <w:vAlign w:val="center"/>
                </w:tcPr>
                <w:p w14:paraId="41313414">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w:t>
                  </w:r>
                </w:p>
              </w:tc>
            </w:tr>
            <w:tr w14:paraId="0F21728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23" w:hRule="atLeast"/>
              </w:trPr>
              <w:tc>
                <w:tcPr>
                  <w:tcW w:w="210" w:type="pct"/>
                  <w:tcBorders>
                    <w:tl2br w:val="nil"/>
                    <w:tr2bl w:val="nil"/>
                  </w:tcBorders>
                  <w:shd w:val="clear" w:color="auto" w:fill="FFFFFF"/>
                  <w:tcMar>
                    <w:top w:w="0" w:type="dxa"/>
                    <w:left w:w="0" w:type="dxa"/>
                    <w:bottom w:w="0" w:type="dxa"/>
                    <w:right w:w="0" w:type="dxa"/>
                  </w:tcMar>
                  <w:vAlign w:val="center"/>
                </w:tcPr>
                <w:p w14:paraId="67233D33">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3</w:t>
                  </w:r>
                </w:p>
              </w:tc>
              <w:tc>
                <w:tcPr>
                  <w:tcW w:w="210" w:type="pct"/>
                  <w:tcBorders>
                    <w:tl2br w:val="nil"/>
                    <w:tr2bl w:val="nil"/>
                  </w:tcBorders>
                  <w:shd w:val="clear" w:color="auto" w:fill="FFFFFF"/>
                  <w:tcMar>
                    <w:top w:w="0" w:type="dxa"/>
                    <w:left w:w="0" w:type="dxa"/>
                    <w:bottom w:w="0" w:type="dxa"/>
                    <w:right w:w="0" w:type="dxa"/>
                  </w:tcMar>
                  <w:vAlign w:val="center"/>
                </w:tcPr>
                <w:p w14:paraId="33865D0C">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中创空天厂区-铝合金熔铸二厂</w:t>
                  </w:r>
                </w:p>
              </w:tc>
              <w:tc>
                <w:tcPr>
                  <w:tcW w:w="210" w:type="pct"/>
                  <w:tcBorders>
                    <w:tl2br w:val="nil"/>
                    <w:tr2bl w:val="nil"/>
                  </w:tcBorders>
                  <w:shd w:val="clear" w:color="auto" w:fill="FFFFFF"/>
                  <w:tcMar>
                    <w:top w:w="0" w:type="dxa"/>
                    <w:left w:w="0" w:type="dxa"/>
                    <w:bottom w:w="0" w:type="dxa"/>
                    <w:right w:w="0" w:type="dxa"/>
                  </w:tcMar>
                  <w:vAlign w:val="center"/>
                </w:tcPr>
                <w:p w14:paraId="3489353C">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35t熔化炉</w:t>
                  </w:r>
                </w:p>
              </w:tc>
              <w:tc>
                <w:tcPr>
                  <w:tcW w:w="210" w:type="pct"/>
                  <w:vMerge w:val="restart"/>
                  <w:tcBorders>
                    <w:tl2br w:val="nil"/>
                    <w:tr2bl w:val="nil"/>
                  </w:tcBorders>
                  <w:shd w:val="clear" w:color="auto" w:fill="FFFFFF"/>
                  <w:tcMar>
                    <w:top w:w="0" w:type="dxa"/>
                    <w:left w:w="0" w:type="dxa"/>
                    <w:bottom w:w="0" w:type="dxa"/>
                    <w:right w:w="0" w:type="dxa"/>
                  </w:tcMar>
                  <w:vAlign w:val="center"/>
                </w:tcPr>
                <w:p w14:paraId="06437A4A">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val="en-US" w:eastAsia="zh-CN"/>
                    </w:rPr>
                    <w:t>详见本节上表相关内容</w:t>
                  </w:r>
                </w:p>
              </w:tc>
              <w:tc>
                <w:tcPr>
                  <w:tcW w:w="281" w:type="pct"/>
                  <w:tcBorders>
                    <w:tl2br w:val="nil"/>
                    <w:tr2bl w:val="nil"/>
                  </w:tcBorders>
                  <w:shd w:val="clear" w:color="auto" w:fill="FFFFFF"/>
                  <w:tcMar>
                    <w:top w:w="0" w:type="dxa"/>
                    <w:left w:w="0" w:type="dxa"/>
                    <w:bottom w:w="0" w:type="dxa"/>
                    <w:right w:w="0" w:type="dxa"/>
                  </w:tcMar>
                  <w:vAlign w:val="center"/>
                </w:tcPr>
                <w:p w14:paraId="5621ABEE">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92.5</w:t>
                  </w:r>
                </w:p>
              </w:tc>
              <w:tc>
                <w:tcPr>
                  <w:tcW w:w="210" w:type="pct"/>
                  <w:tcBorders>
                    <w:tl2br w:val="nil"/>
                    <w:tr2bl w:val="nil"/>
                  </w:tcBorders>
                  <w:shd w:val="clear" w:color="auto" w:fill="FFFFFF"/>
                  <w:tcMar>
                    <w:top w:w="0" w:type="dxa"/>
                    <w:left w:w="0" w:type="dxa"/>
                    <w:bottom w:w="0" w:type="dxa"/>
                    <w:right w:w="0" w:type="dxa"/>
                  </w:tcMar>
                  <w:vAlign w:val="center"/>
                </w:tcPr>
                <w:p w14:paraId="73AD909B">
                  <w:pPr>
                    <w:jc w:val="center"/>
                    <w:rPr>
                      <w:rFonts w:hint="default" w:ascii="Times New Roman" w:hAnsi="Times New Roman" w:eastAsia="宋体" w:cs="Times New Roman"/>
                      <w:color w:val="auto"/>
                      <w:u w:val="none" w:color="auto"/>
                    </w:rPr>
                  </w:pPr>
                </w:p>
              </w:tc>
              <w:tc>
                <w:tcPr>
                  <w:tcW w:w="199" w:type="pct"/>
                  <w:tcBorders>
                    <w:tl2br w:val="nil"/>
                    <w:tr2bl w:val="nil"/>
                  </w:tcBorders>
                  <w:shd w:val="clear" w:color="auto" w:fill="FFFFFF"/>
                  <w:tcMar>
                    <w:top w:w="0" w:type="dxa"/>
                    <w:left w:w="0" w:type="dxa"/>
                    <w:bottom w:w="0" w:type="dxa"/>
                    <w:right w:w="0" w:type="dxa"/>
                  </w:tcMar>
                  <w:vAlign w:val="center"/>
                </w:tcPr>
                <w:p w14:paraId="1A4C11C5">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-84.9</w:t>
                  </w:r>
                </w:p>
              </w:tc>
              <w:tc>
                <w:tcPr>
                  <w:tcW w:w="247" w:type="pct"/>
                  <w:tcBorders>
                    <w:tl2br w:val="nil"/>
                    <w:tr2bl w:val="nil"/>
                  </w:tcBorders>
                  <w:shd w:val="clear" w:color="auto" w:fill="FFFFFF"/>
                  <w:tcMar>
                    <w:top w:w="0" w:type="dxa"/>
                    <w:left w:w="0" w:type="dxa"/>
                    <w:bottom w:w="0" w:type="dxa"/>
                    <w:right w:w="0" w:type="dxa"/>
                  </w:tcMar>
                  <w:vAlign w:val="center"/>
                </w:tcPr>
                <w:p w14:paraId="25ACE162">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-195.5</w:t>
                  </w:r>
                </w:p>
              </w:tc>
              <w:tc>
                <w:tcPr>
                  <w:tcW w:w="124" w:type="pct"/>
                  <w:tcBorders>
                    <w:tl2br w:val="nil"/>
                    <w:tr2bl w:val="nil"/>
                  </w:tcBorders>
                  <w:shd w:val="clear" w:color="auto" w:fill="FFFFFF"/>
                  <w:tcMar>
                    <w:top w:w="0" w:type="dxa"/>
                    <w:left w:w="0" w:type="dxa"/>
                    <w:bottom w:w="0" w:type="dxa"/>
                    <w:right w:w="0" w:type="dxa"/>
                  </w:tcMar>
                  <w:vAlign w:val="center"/>
                </w:tcPr>
                <w:p w14:paraId="3E84AB08">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w:t>
                  </w:r>
                </w:p>
              </w:tc>
              <w:tc>
                <w:tcPr>
                  <w:tcW w:w="168" w:type="pct"/>
                  <w:tcBorders>
                    <w:tl2br w:val="nil"/>
                    <w:tr2bl w:val="nil"/>
                  </w:tcBorders>
                  <w:shd w:val="clear" w:color="auto" w:fill="FFFFFF"/>
                  <w:tcMar>
                    <w:top w:w="0" w:type="dxa"/>
                    <w:left w:w="0" w:type="dxa"/>
                    <w:bottom w:w="0" w:type="dxa"/>
                    <w:right w:w="0" w:type="dxa"/>
                  </w:tcMar>
                  <w:vAlign w:val="center"/>
                </w:tcPr>
                <w:p w14:paraId="33E094F2">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27.5</w:t>
                  </w:r>
                </w:p>
              </w:tc>
              <w:tc>
                <w:tcPr>
                  <w:tcW w:w="168" w:type="pct"/>
                  <w:tcBorders>
                    <w:tl2br w:val="nil"/>
                    <w:tr2bl w:val="nil"/>
                  </w:tcBorders>
                  <w:shd w:val="clear" w:color="auto" w:fill="FFFFFF"/>
                  <w:tcMar>
                    <w:top w:w="0" w:type="dxa"/>
                    <w:left w:w="0" w:type="dxa"/>
                    <w:bottom w:w="0" w:type="dxa"/>
                    <w:right w:w="0" w:type="dxa"/>
                  </w:tcMar>
                  <w:vAlign w:val="center"/>
                </w:tcPr>
                <w:p w14:paraId="652E7092">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21.5</w:t>
                  </w:r>
                </w:p>
              </w:tc>
              <w:tc>
                <w:tcPr>
                  <w:tcW w:w="214" w:type="pct"/>
                  <w:tcBorders>
                    <w:tl2br w:val="nil"/>
                    <w:tr2bl w:val="nil"/>
                  </w:tcBorders>
                  <w:shd w:val="clear" w:color="auto" w:fill="FFFFFF"/>
                  <w:tcMar>
                    <w:top w:w="0" w:type="dxa"/>
                    <w:left w:w="0" w:type="dxa"/>
                    <w:bottom w:w="0" w:type="dxa"/>
                    <w:right w:w="0" w:type="dxa"/>
                  </w:tcMar>
                  <w:vAlign w:val="center"/>
                </w:tcPr>
                <w:p w14:paraId="47C302EF">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117.9</w:t>
                  </w:r>
                </w:p>
              </w:tc>
              <w:tc>
                <w:tcPr>
                  <w:tcW w:w="214" w:type="pct"/>
                  <w:tcBorders>
                    <w:tl2br w:val="nil"/>
                    <w:tr2bl w:val="nil"/>
                  </w:tcBorders>
                  <w:shd w:val="clear" w:color="auto" w:fill="FFFFFF"/>
                  <w:tcMar>
                    <w:top w:w="0" w:type="dxa"/>
                    <w:left w:w="0" w:type="dxa"/>
                    <w:bottom w:w="0" w:type="dxa"/>
                    <w:right w:w="0" w:type="dxa"/>
                  </w:tcMar>
                  <w:vAlign w:val="center"/>
                </w:tcPr>
                <w:p w14:paraId="7659BEF8">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40.8</w:t>
                  </w:r>
                </w:p>
              </w:tc>
              <w:tc>
                <w:tcPr>
                  <w:tcW w:w="169" w:type="pct"/>
                  <w:tcBorders>
                    <w:tl2br w:val="nil"/>
                    <w:tr2bl w:val="nil"/>
                  </w:tcBorders>
                  <w:shd w:val="clear" w:color="auto" w:fill="FFFFFF"/>
                  <w:tcMar>
                    <w:top w:w="0" w:type="dxa"/>
                    <w:left w:w="0" w:type="dxa"/>
                    <w:bottom w:w="0" w:type="dxa"/>
                    <w:right w:w="0" w:type="dxa"/>
                  </w:tcMar>
                  <w:vAlign w:val="center"/>
                </w:tcPr>
                <w:p w14:paraId="1FE3A5CE">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72.9</w:t>
                  </w:r>
                </w:p>
              </w:tc>
              <w:tc>
                <w:tcPr>
                  <w:tcW w:w="169" w:type="pct"/>
                  <w:tcBorders>
                    <w:tl2br w:val="nil"/>
                    <w:tr2bl w:val="nil"/>
                  </w:tcBorders>
                  <w:shd w:val="clear" w:color="auto" w:fill="FFFFFF"/>
                  <w:tcMar>
                    <w:top w:w="0" w:type="dxa"/>
                    <w:left w:w="0" w:type="dxa"/>
                    <w:bottom w:w="0" w:type="dxa"/>
                    <w:right w:w="0" w:type="dxa"/>
                  </w:tcMar>
                  <w:vAlign w:val="center"/>
                </w:tcPr>
                <w:p w14:paraId="7E16F1C2">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72.9</w:t>
                  </w:r>
                </w:p>
              </w:tc>
              <w:tc>
                <w:tcPr>
                  <w:tcW w:w="169" w:type="pct"/>
                  <w:tcBorders>
                    <w:tl2br w:val="nil"/>
                    <w:tr2bl w:val="nil"/>
                  </w:tcBorders>
                  <w:shd w:val="clear" w:color="auto" w:fill="FFFFFF"/>
                  <w:tcMar>
                    <w:top w:w="0" w:type="dxa"/>
                    <w:left w:w="0" w:type="dxa"/>
                    <w:bottom w:w="0" w:type="dxa"/>
                    <w:right w:w="0" w:type="dxa"/>
                  </w:tcMar>
                  <w:vAlign w:val="center"/>
                </w:tcPr>
                <w:p w14:paraId="11FB6B44">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72.8</w:t>
                  </w:r>
                </w:p>
              </w:tc>
              <w:tc>
                <w:tcPr>
                  <w:tcW w:w="169" w:type="pct"/>
                  <w:tcBorders>
                    <w:tl2br w:val="nil"/>
                    <w:tr2bl w:val="nil"/>
                  </w:tcBorders>
                  <w:shd w:val="clear" w:color="auto" w:fill="FFFFFF"/>
                  <w:tcMar>
                    <w:top w:w="0" w:type="dxa"/>
                    <w:left w:w="0" w:type="dxa"/>
                    <w:bottom w:w="0" w:type="dxa"/>
                    <w:right w:w="0" w:type="dxa"/>
                  </w:tcMar>
                  <w:vAlign w:val="center"/>
                </w:tcPr>
                <w:p w14:paraId="6ED5C2DE">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72.8</w:t>
                  </w:r>
                </w:p>
              </w:tc>
              <w:tc>
                <w:tcPr>
                  <w:tcW w:w="210" w:type="pct"/>
                  <w:tcBorders>
                    <w:tl2br w:val="nil"/>
                    <w:tr2bl w:val="nil"/>
                  </w:tcBorders>
                  <w:shd w:val="clear" w:color="auto" w:fill="FFFFFF"/>
                  <w:tcMar>
                    <w:top w:w="0" w:type="dxa"/>
                    <w:left w:w="0" w:type="dxa"/>
                    <w:bottom w:w="0" w:type="dxa"/>
                    <w:right w:w="0" w:type="dxa"/>
                  </w:tcMar>
                  <w:vAlign w:val="center"/>
                </w:tcPr>
                <w:p w14:paraId="76426427">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24</w:t>
                  </w:r>
                </w:p>
              </w:tc>
              <w:tc>
                <w:tcPr>
                  <w:tcW w:w="169" w:type="pct"/>
                  <w:tcBorders>
                    <w:tl2br w:val="nil"/>
                    <w:tr2bl w:val="nil"/>
                  </w:tcBorders>
                  <w:shd w:val="clear" w:color="auto" w:fill="FFFFFF"/>
                  <w:tcMar>
                    <w:top w:w="0" w:type="dxa"/>
                    <w:left w:w="0" w:type="dxa"/>
                    <w:bottom w:w="0" w:type="dxa"/>
                    <w:right w:w="0" w:type="dxa"/>
                  </w:tcMar>
                  <w:vAlign w:val="center"/>
                </w:tcPr>
                <w:p w14:paraId="05E3804C">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9" w:type="pct"/>
                  <w:tcBorders>
                    <w:tl2br w:val="nil"/>
                    <w:tr2bl w:val="nil"/>
                  </w:tcBorders>
                  <w:shd w:val="clear" w:color="auto" w:fill="FFFFFF"/>
                  <w:tcMar>
                    <w:top w:w="0" w:type="dxa"/>
                    <w:left w:w="0" w:type="dxa"/>
                    <w:bottom w:w="0" w:type="dxa"/>
                    <w:right w:w="0" w:type="dxa"/>
                  </w:tcMar>
                  <w:vAlign w:val="center"/>
                </w:tcPr>
                <w:p w14:paraId="4805CB87">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9" w:type="pct"/>
                  <w:tcBorders>
                    <w:tl2br w:val="nil"/>
                    <w:tr2bl w:val="nil"/>
                  </w:tcBorders>
                  <w:shd w:val="clear" w:color="auto" w:fill="FFFFFF"/>
                  <w:tcMar>
                    <w:top w:w="0" w:type="dxa"/>
                    <w:left w:w="0" w:type="dxa"/>
                    <w:bottom w:w="0" w:type="dxa"/>
                    <w:right w:w="0" w:type="dxa"/>
                  </w:tcMar>
                  <w:vAlign w:val="center"/>
                </w:tcPr>
                <w:p w14:paraId="0128CF10">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9" w:type="pct"/>
                  <w:tcBorders>
                    <w:tl2br w:val="nil"/>
                    <w:tr2bl w:val="nil"/>
                  </w:tcBorders>
                  <w:shd w:val="clear" w:color="auto" w:fill="FFFFFF"/>
                  <w:tcMar>
                    <w:top w:w="0" w:type="dxa"/>
                    <w:left w:w="0" w:type="dxa"/>
                    <w:bottom w:w="0" w:type="dxa"/>
                    <w:right w:w="0" w:type="dxa"/>
                  </w:tcMar>
                  <w:vAlign w:val="center"/>
                </w:tcPr>
                <w:p w14:paraId="326A419A">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8" w:type="pct"/>
                  <w:tcBorders>
                    <w:tl2br w:val="nil"/>
                    <w:tr2bl w:val="nil"/>
                  </w:tcBorders>
                  <w:shd w:val="clear" w:color="auto" w:fill="FFFFFF"/>
                  <w:tcMar>
                    <w:top w:w="0" w:type="dxa"/>
                    <w:left w:w="0" w:type="dxa"/>
                    <w:bottom w:w="0" w:type="dxa"/>
                    <w:right w:w="0" w:type="dxa"/>
                  </w:tcMar>
                  <w:vAlign w:val="center"/>
                </w:tcPr>
                <w:p w14:paraId="6B42415E">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60.9</w:t>
                  </w:r>
                </w:p>
              </w:tc>
              <w:tc>
                <w:tcPr>
                  <w:tcW w:w="168" w:type="pct"/>
                  <w:tcBorders>
                    <w:tl2br w:val="nil"/>
                    <w:tr2bl w:val="nil"/>
                  </w:tcBorders>
                  <w:shd w:val="clear" w:color="auto" w:fill="FFFFFF"/>
                  <w:tcMar>
                    <w:top w:w="0" w:type="dxa"/>
                    <w:left w:w="0" w:type="dxa"/>
                    <w:bottom w:w="0" w:type="dxa"/>
                    <w:right w:w="0" w:type="dxa"/>
                  </w:tcMar>
                  <w:vAlign w:val="center"/>
                </w:tcPr>
                <w:p w14:paraId="3E55B8FF">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60.9</w:t>
                  </w:r>
                </w:p>
              </w:tc>
              <w:tc>
                <w:tcPr>
                  <w:tcW w:w="168" w:type="pct"/>
                  <w:tcBorders>
                    <w:tl2br w:val="nil"/>
                    <w:tr2bl w:val="nil"/>
                  </w:tcBorders>
                  <w:shd w:val="clear" w:color="auto" w:fill="FFFFFF"/>
                  <w:tcMar>
                    <w:top w:w="0" w:type="dxa"/>
                    <w:left w:w="0" w:type="dxa"/>
                    <w:bottom w:w="0" w:type="dxa"/>
                    <w:right w:w="0" w:type="dxa"/>
                  </w:tcMar>
                  <w:vAlign w:val="center"/>
                </w:tcPr>
                <w:p w14:paraId="2C82D0B0">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60.8</w:t>
                  </w:r>
                </w:p>
              </w:tc>
              <w:tc>
                <w:tcPr>
                  <w:tcW w:w="168" w:type="pct"/>
                  <w:tcBorders>
                    <w:tl2br w:val="nil"/>
                    <w:tr2bl w:val="nil"/>
                  </w:tcBorders>
                  <w:shd w:val="clear" w:color="auto" w:fill="FFFFFF"/>
                  <w:tcMar>
                    <w:top w:w="0" w:type="dxa"/>
                    <w:left w:w="0" w:type="dxa"/>
                    <w:bottom w:w="0" w:type="dxa"/>
                    <w:right w:w="0" w:type="dxa"/>
                  </w:tcMar>
                  <w:vAlign w:val="center"/>
                </w:tcPr>
                <w:p w14:paraId="284D8C48">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60.8</w:t>
                  </w:r>
                </w:p>
              </w:tc>
              <w:tc>
                <w:tcPr>
                  <w:tcW w:w="93" w:type="pct"/>
                  <w:tcBorders>
                    <w:tl2br w:val="nil"/>
                    <w:tr2bl w:val="nil"/>
                  </w:tcBorders>
                  <w:shd w:val="clear" w:color="auto" w:fill="FFFFFF"/>
                  <w:tcMar>
                    <w:top w:w="0" w:type="dxa"/>
                    <w:left w:w="0" w:type="dxa"/>
                    <w:bottom w:w="0" w:type="dxa"/>
                    <w:right w:w="0" w:type="dxa"/>
                  </w:tcMar>
                  <w:vAlign w:val="center"/>
                </w:tcPr>
                <w:p w14:paraId="50B1D6D6">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w:t>
                  </w:r>
                </w:p>
              </w:tc>
            </w:tr>
            <w:tr w14:paraId="36157B7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23" w:hRule="atLeast"/>
              </w:trPr>
              <w:tc>
                <w:tcPr>
                  <w:tcW w:w="210" w:type="pct"/>
                  <w:tcBorders>
                    <w:tl2br w:val="nil"/>
                    <w:tr2bl w:val="nil"/>
                  </w:tcBorders>
                  <w:shd w:val="clear" w:color="auto" w:fill="FFFFFF"/>
                  <w:tcMar>
                    <w:top w:w="0" w:type="dxa"/>
                    <w:left w:w="0" w:type="dxa"/>
                    <w:bottom w:w="0" w:type="dxa"/>
                    <w:right w:w="0" w:type="dxa"/>
                  </w:tcMar>
                  <w:vAlign w:val="center"/>
                </w:tcPr>
                <w:p w14:paraId="001173BA">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4</w:t>
                  </w:r>
                </w:p>
              </w:tc>
              <w:tc>
                <w:tcPr>
                  <w:tcW w:w="210" w:type="pct"/>
                  <w:tcBorders>
                    <w:tl2br w:val="nil"/>
                    <w:tr2bl w:val="nil"/>
                  </w:tcBorders>
                  <w:shd w:val="clear" w:color="auto" w:fill="FFFFFF"/>
                  <w:tcMar>
                    <w:top w:w="0" w:type="dxa"/>
                    <w:left w:w="0" w:type="dxa"/>
                    <w:bottom w:w="0" w:type="dxa"/>
                    <w:right w:w="0" w:type="dxa"/>
                  </w:tcMar>
                  <w:vAlign w:val="center"/>
                </w:tcPr>
                <w:p w14:paraId="38DE6716">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中创空天厂区-铝合金熔铸二厂</w:t>
                  </w:r>
                </w:p>
              </w:tc>
              <w:tc>
                <w:tcPr>
                  <w:tcW w:w="210" w:type="pct"/>
                  <w:tcBorders>
                    <w:tl2br w:val="nil"/>
                    <w:tr2bl w:val="nil"/>
                  </w:tcBorders>
                  <w:shd w:val="clear" w:color="auto" w:fill="FFFFFF"/>
                  <w:tcMar>
                    <w:top w:w="0" w:type="dxa"/>
                    <w:left w:w="0" w:type="dxa"/>
                    <w:bottom w:w="0" w:type="dxa"/>
                    <w:right w:w="0" w:type="dxa"/>
                  </w:tcMar>
                  <w:vAlign w:val="center"/>
                </w:tcPr>
                <w:p w14:paraId="528A69DF">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35t保温炉</w:t>
                  </w:r>
                </w:p>
              </w:tc>
              <w:tc>
                <w:tcPr>
                  <w:tcW w:w="210" w:type="pct"/>
                  <w:vMerge w:val="continue"/>
                  <w:tcBorders>
                    <w:tl2br w:val="nil"/>
                    <w:tr2bl w:val="nil"/>
                  </w:tcBorders>
                  <w:shd w:val="clear" w:color="auto" w:fill="FFFFFF"/>
                  <w:tcMar>
                    <w:top w:w="0" w:type="dxa"/>
                    <w:left w:w="0" w:type="dxa"/>
                    <w:bottom w:w="0" w:type="dxa"/>
                    <w:right w:w="0" w:type="dxa"/>
                  </w:tcMar>
                  <w:vAlign w:val="center"/>
                </w:tcPr>
                <w:p w14:paraId="52D32FF5">
                  <w:pPr>
                    <w:jc w:val="center"/>
                    <w:rPr>
                      <w:rFonts w:hint="default" w:ascii="Times New Roman" w:hAnsi="Times New Roman" w:eastAsia="宋体" w:cs="Times New Roman"/>
                      <w:color w:val="auto"/>
                      <w:u w:val="none" w:color="auto"/>
                    </w:rPr>
                  </w:pPr>
                </w:p>
              </w:tc>
              <w:tc>
                <w:tcPr>
                  <w:tcW w:w="281" w:type="pct"/>
                  <w:tcBorders>
                    <w:tl2br w:val="nil"/>
                    <w:tr2bl w:val="nil"/>
                  </w:tcBorders>
                  <w:shd w:val="clear" w:color="auto" w:fill="FFFFFF"/>
                  <w:tcMar>
                    <w:top w:w="0" w:type="dxa"/>
                    <w:left w:w="0" w:type="dxa"/>
                    <w:bottom w:w="0" w:type="dxa"/>
                    <w:right w:w="0" w:type="dxa"/>
                  </w:tcMar>
                  <w:vAlign w:val="center"/>
                </w:tcPr>
                <w:p w14:paraId="38633808">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87.5</w:t>
                  </w:r>
                </w:p>
              </w:tc>
              <w:tc>
                <w:tcPr>
                  <w:tcW w:w="210" w:type="pct"/>
                  <w:tcBorders>
                    <w:tl2br w:val="nil"/>
                    <w:tr2bl w:val="nil"/>
                  </w:tcBorders>
                  <w:shd w:val="clear" w:color="auto" w:fill="FFFFFF"/>
                  <w:tcMar>
                    <w:top w:w="0" w:type="dxa"/>
                    <w:left w:w="0" w:type="dxa"/>
                    <w:bottom w:w="0" w:type="dxa"/>
                    <w:right w:w="0" w:type="dxa"/>
                  </w:tcMar>
                  <w:vAlign w:val="center"/>
                </w:tcPr>
                <w:p w14:paraId="3E27B55B">
                  <w:pPr>
                    <w:jc w:val="center"/>
                    <w:rPr>
                      <w:rFonts w:hint="default" w:ascii="Times New Roman" w:hAnsi="Times New Roman" w:eastAsia="宋体" w:cs="Times New Roman"/>
                      <w:color w:val="auto"/>
                      <w:u w:val="none" w:color="auto"/>
                    </w:rPr>
                  </w:pPr>
                </w:p>
              </w:tc>
              <w:tc>
                <w:tcPr>
                  <w:tcW w:w="199" w:type="pct"/>
                  <w:tcBorders>
                    <w:tl2br w:val="nil"/>
                    <w:tr2bl w:val="nil"/>
                  </w:tcBorders>
                  <w:shd w:val="clear" w:color="auto" w:fill="FFFFFF"/>
                  <w:tcMar>
                    <w:top w:w="0" w:type="dxa"/>
                    <w:left w:w="0" w:type="dxa"/>
                    <w:bottom w:w="0" w:type="dxa"/>
                    <w:right w:w="0" w:type="dxa"/>
                  </w:tcMar>
                  <w:vAlign w:val="center"/>
                </w:tcPr>
                <w:p w14:paraId="78F2E599">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-96</w:t>
                  </w:r>
                </w:p>
              </w:tc>
              <w:tc>
                <w:tcPr>
                  <w:tcW w:w="247" w:type="pct"/>
                  <w:tcBorders>
                    <w:tl2br w:val="nil"/>
                    <w:tr2bl w:val="nil"/>
                  </w:tcBorders>
                  <w:shd w:val="clear" w:color="auto" w:fill="FFFFFF"/>
                  <w:tcMar>
                    <w:top w:w="0" w:type="dxa"/>
                    <w:left w:w="0" w:type="dxa"/>
                    <w:bottom w:w="0" w:type="dxa"/>
                    <w:right w:w="0" w:type="dxa"/>
                  </w:tcMar>
                  <w:vAlign w:val="center"/>
                </w:tcPr>
                <w:p w14:paraId="4B2D1E09">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-188.7</w:t>
                  </w:r>
                </w:p>
              </w:tc>
              <w:tc>
                <w:tcPr>
                  <w:tcW w:w="124" w:type="pct"/>
                  <w:tcBorders>
                    <w:tl2br w:val="nil"/>
                    <w:tr2bl w:val="nil"/>
                  </w:tcBorders>
                  <w:shd w:val="clear" w:color="auto" w:fill="FFFFFF"/>
                  <w:tcMar>
                    <w:top w:w="0" w:type="dxa"/>
                    <w:left w:w="0" w:type="dxa"/>
                    <w:bottom w:w="0" w:type="dxa"/>
                    <w:right w:w="0" w:type="dxa"/>
                  </w:tcMar>
                  <w:vAlign w:val="center"/>
                </w:tcPr>
                <w:p w14:paraId="541472DA">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w:t>
                  </w:r>
                </w:p>
              </w:tc>
              <w:tc>
                <w:tcPr>
                  <w:tcW w:w="168" w:type="pct"/>
                  <w:tcBorders>
                    <w:tl2br w:val="nil"/>
                    <w:tr2bl w:val="nil"/>
                  </w:tcBorders>
                  <w:shd w:val="clear" w:color="auto" w:fill="FFFFFF"/>
                  <w:tcMar>
                    <w:top w:w="0" w:type="dxa"/>
                    <w:left w:w="0" w:type="dxa"/>
                    <w:bottom w:w="0" w:type="dxa"/>
                    <w:right w:w="0" w:type="dxa"/>
                  </w:tcMar>
                  <w:vAlign w:val="center"/>
                </w:tcPr>
                <w:p w14:paraId="6F0E4E82">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40.5</w:t>
                  </w:r>
                </w:p>
              </w:tc>
              <w:tc>
                <w:tcPr>
                  <w:tcW w:w="168" w:type="pct"/>
                  <w:tcBorders>
                    <w:tl2br w:val="nil"/>
                    <w:tr2bl w:val="nil"/>
                  </w:tcBorders>
                  <w:shd w:val="clear" w:color="auto" w:fill="FFFFFF"/>
                  <w:tcMar>
                    <w:top w:w="0" w:type="dxa"/>
                    <w:left w:w="0" w:type="dxa"/>
                    <w:bottom w:w="0" w:type="dxa"/>
                    <w:right w:w="0" w:type="dxa"/>
                  </w:tcMar>
                  <w:vAlign w:val="center"/>
                </w:tcPr>
                <w:p w14:paraId="65A0D9A6">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20.7</w:t>
                  </w:r>
                </w:p>
              </w:tc>
              <w:tc>
                <w:tcPr>
                  <w:tcW w:w="214" w:type="pct"/>
                  <w:tcBorders>
                    <w:tl2br w:val="nil"/>
                    <w:tr2bl w:val="nil"/>
                  </w:tcBorders>
                  <w:shd w:val="clear" w:color="auto" w:fill="FFFFFF"/>
                  <w:tcMar>
                    <w:top w:w="0" w:type="dxa"/>
                    <w:left w:w="0" w:type="dxa"/>
                    <w:bottom w:w="0" w:type="dxa"/>
                    <w:right w:w="0" w:type="dxa"/>
                  </w:tcMar>
                  <w:vAlign w:val="center"/>
                </w:tcPr>
                <w:p w14:paraId="004CC296">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104.9</w:t>
                  </w:r>
                </w:p>
              </w:tc>
              <w:tc>
                <w:tcPr>
                  <w:tcW w:w="214" w:type="pct"/>
                  <w:tcBorders>
                    <w:tl2br w:val="nil"/>
                    <w:tr2bl w:val="nil"/>
                  </w:tcBorders>
                  <w:shd w:val="clear" w:color="auto" w:fill="FFFFFF"/>
                  <w:tcMar>
                    <w:top w:w="0" w:type="dxa"/>
                    <w:left w:w="0" w:type="dxa"/>
                    <w:bottom w:w="0" w:type="dxa"/>
                    <w:right w:w="0" w:type="dxa"/>
                  </w:tcMar>
                  <w:vAlign w:val="center"/>
                </w:tcPr>
                <w:p w14:paraId="0C70D33F">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41.5</w:t>
                  </w:r>
                </w:p>
              </w:tc>
              <w:tc>
                <w:tcPr>
                  <w:tcW w:w="169" w:type="pct"/>
                  <w:tcBorders>
                    <w:tl2br w:val="nil"/>
                    <w:tr2bl w:val="nil"/>
                  </w:tcBorders>
                  <w:shd w:val="clear" w:color="auto" w:fill="FFFFFF"/>
                  <w:tcMar>
                    <w:top w:w="0" w:type="dxa"/>
                    <w:left w:w="0" w:type="dxa"/>
                    <w:bottom w:w="0" w:type="dxa"/>
                    <w:right w:w="0" w:type="dxa"/>
                  </w:tcMar>
                  <w:vAlign w:val="center"/>
                </w:tcPr>
                <w:p w14:paraId="4D6E1F01">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67.8</w:t>
                  </w:r>
                </w:p>
              </w:tc>
              <w:tc>
                <w:tcPr>
                  <w:tcW w:w="169" w:type="pct"/>
                  <w:tcBorders>
                    <w:tl2br w:val="nil"/>
                    <w:tr2bl w:val="nil"/>
                  </w:tcBorders>
                  <w:shd w:val="clear" w:color="auto" w:fill="FFFFFF"/>
                  <w:tcMar>
                    <w:top w:w="0" w:type="dxa"/>
                    <w:left w:w="0" w:type="dxa"/>
                    <w:bottom w:w="0" w:type="dxa"/>
                    <w:right w:w="0" w:type="dxa"/>
                  </w:tcMar>
                  <w:vAlign w:val="center"/>
                </w:tcPr>
                <w:p w14:paraId="5F485B9C">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67.9</w:t>
                  </w:r>
                </w:p>
              </w:tc>
              <w:tc>
                <w:tcPr>
                  <w:tcW w:w="169" w:type="pct"/>
                  <w:tcBorders>
                    <w:tl2br w:val="nil"/>
                    <w:tr2bl w:val="nil"/>
                  </w:tcBorders>
                  <w:shd w:val="clear" w:color="auto" w:fill="FFFFFF"/>
                  <w:tcMar>
                    <w:top w:w="0" w:type="dxa"/>
                    <w:left w:w="0" w:type="dxa"/>
                    <w:bottom w:w="0" w:type="dxa"/>
                    <w:right w:w="0" w:type="dxa"/>
                  </w:tcMar>
                  <w:vAlign w:val="center"/>
                </w:tcPr>
                <w:p w14:paraId="14CB213D">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67.8</w:t>
                  </w:r>
                </w:p>
              </w:tc>
              <w:tc>
                <w:tcPr>
                  <w:tcW w:w="169" w:type="pct"/>
                  <w:tcBorders>
                    <w:tl2br w:val="nil"/>
                    <w:tr2bl w:val="nil"/>
                  </w:tcBorders>
                  <w:shd w:val="clear" w:color="auto" w:fill="FFFFFF"/>
                  <w:tcMar>
                    <w:top w:w="0" w:type="dxa"/>
                    <w:left w:w="0" w:type="dxa"/>
                    <w:bottom w:w="0" w:type="dxa"/>
                    <w:right w:w="0" w:type="dxa"/>
                  </w:tcMar>
                  <w:vAlign w:val="center"/>
                </w:tcPr>
                <w:p w14:paraId="4856FC85">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67.8</w:t>
                  </w:r>
                </w:p>
              </w:tc>
              <w:tc>
                <w:tcPr>
                  <w:tcW w:w="210" w:type="pct"/>
                  <w:tcBorders>
                    <w:tl2br w:val="nil"/>
                    <w:tr2bl w:val="nil"/>
                  </w:tcBorders>
                  <w:shd w:val="clear" w:color="auto" w:fill="FFFFFF"/>
                  <w:tcMar>
                    <w:top w:w="0" w:type="dxa"/>
                    <w:left w:w="0" w:type="dxa"/>
                    <w:bottom w:w="0" w:type="dxa"/>
                    <w:right w:w="0" w:type="dxa"/>
                  </w:tcMar>
                  <w:vAlign w:val="center"/>
                </w:tcPr>
                <w:p w14:paraId="2275063B">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24</w:t>
                  </w:r>
                </w:p>
              </w:tc>
              <w:tc>
                <w:tcPr>
                  <w:tcW w:w="169" w:type="pct"/>
                  <w:tcBorders>
                    <w:tl2br w:val="nil"/>
                    <w:tr2bl w:val="nil"/>
                  </w:tcBorders>
                  <w:shd w:val="clear" w:color="auto" w:fill="FFFFFF"/>
                  <w:tcMar>
                    <w:top w:w="0" w:type="dxa"/>
                    <w:left w:w="0" w:type="dxa"/>
                    <w:bottom w:w="0" w:type="dxa"/>
                    <w:right w:w="0" w:type="dxa"/>
                  </w:tcMar>
                  <w:vAlign w:val="center"/>
                </w:tcPr>
                <w:p w14:paraId="77FEA561">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9" w:type="pct"/>
                  <w:tcBorders>
                    <w:tl2br w:val="nil"/>
                    <w:tr2bl w:val="nil"/>
                  </w:tcBorders>
                  <w:shd w:val="clear" w:color="auto" w:fill="FFFFFF"/>
                  <w:tcMar>
                    <w:top w:w="0" w:type="dxa"/>
                    <w:left w:w="0" w:type="dxa"/>
                    <w:bottom w:w="0" w:type="dxa"/>
                    <w:right w:w="0" w:type="dxa"/>
                  </w:tcMar>
                  <w:vAlign w:val="center"/>
                </w:tcPr>
                <w:p w14:paraId="2C01FCC5">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9" w:type="pct"/>
                  <w:tcBorders>
                    <w:tl2br w:val="nil"/>
                    <w:tr2bl w:val="nil"/>
                  </w:tcBorders>
                  <w:shd w:val="clear" w:color="auto" w:fill="FFFFFF"/>
                  <w:tcMar>
                    <w:top w:w="0" w:type="dxa"/>
                    <w:left w:w="0" w:type="dxa"/>
                    <w:bottom w:w="0" w:type="dxa"/>
                    <w:right w:w="0" w:type="dxa"/>
                  </w:tcMar>
                  <w:vAlign w:val="center"/>
                </w:tcPr>
                <w:p w14:paraId="5ED21ED6">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9" w:type="pct"/>
                  <w:tcBorders>
                    <w:tl2br w:val="nil"/>
                    <w:tr2bl w:val="nil"/>
                  </w:tcBorders>
                  <w:shd w:val="clear" w:color="auto" w:fill="FFFFFF"/>
                  <w:tcMar>
                    <w:top w:w="0" w:type="dxa"/>
                    <w:left w:w="0" w:type="dxa"/>
                    <w:bottom w:w="0" w:type="dxa"/>
                    <w:right w:w="0" w:type="dxa"/>
                  </w:tcMar>
                  <w:vAlign w:val="center"/>
                </w:tcPr>
                <w:p w14:paraId="5B0BA803">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8" w:type="pct"/>
                  <w:tcBorders>
                    <w:tl2br w:val="nil"/>
                    <w:tr2bl w:val="nil"/>
                  </w:tcBorders>
                  <w:shd w:val="clear" w:color="auto" w:fill="FFFFFF"/>
                  <w:tcMar>
                    <w:top w:w="0" w:type="dxa"/>
                    <w:left w:w="0" w:type="dxa"/>
                    <w:bottom w:w="0" w:type="dxa"/>
                    <w:right w:w="0" w:type="dxa"/>
                  </w:tcMar>
                  <w:vAlign w:val="center"/>
                </w:tcPr>
                <w:p w14:paraId="688320A1">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55.8</w:t>
                  </w:r>
                </w:p>
              </w:tc>
              <w:tc>
                <w:tcPr>
                  <w:tcW w:w="168" w:type="pct"/>
                  <w:tcBorders>
                    <w:tl2br w:val="nil"/>
                    <w:tr2bl w:val="nil"/>
                  </w:tcBorders>
                  <w:shd w:val="clear" w:color="auto" w:fill="FFFFFF"/>
                  <w:tcMar>
                    <w:top w:w="0" w:type="dxa"/>
                    <w:left w:w="0" w:type="dxa"/>
                    <w:bottom w:w="0" w:type="dxa"/>
                    <w:right w:w="0" w:type="dxa"/>
                  </w:tcMar>
                  <w:vAlign w:val="center"/>
                </w:tcPr>
                <w:p w14:paraId="43D97C04">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55.9</w:t>
                  </w:r>
                </w:p>
              </w:tc>
              <w:tc>
                <w:tcPr>
                  <w:tcW w:w="168" w:type="pct"/>
                  <w:tcBorders>
                    <w:tl2br w:val="nil"/>
                    <w:tr2bl w:val="nil"/>
                  </w:tcBorders>
                  <w:shd w:val="clear" w:color="auto" w:fill="FFFFFF"/>
                  <w:tcMar>
                    <w:top w:w="0" w:type="dxa"/>
                    <w:left w:w="0" w:type="dxa"/>
                    <w:bottom w:w="0" w:type="dxa"/>
                    <w:right w:w="0" w:type="dxa"/>
                  </w:tcMar>
                  <w:vAlign w:val="center"/>
                </w:tcPr>
                <w:p w14:paraId="113A2833">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55.8</w:t>
                  </w:r>
                </w:p>
              </w:tc>
              <w:tc>
                <w:tcPr>
                  <w:tcW w:w="168" w:type="pct"/>
                  <w:tcBorders>
                    <w:tl2br w:val="nil"/>
                    <w:tr2bl w:val="nil"/>
                  </w:tcBorders>
                  <w:shd w:val="clear" w:color="auto" w:fill="FFFFFF"/>
                  <w:tcMar>
                    <w:top w:w="0" w:type="dxa"/>
                    <w:left w:w="0" w:type="dxa"/>
                    <w:bottom w:w="0" w:type="dxa"/>
                    <w:right w:w="0" w:type="dxa"/>
                  </w:tcMar>
                  <w:vAlign w:val="center"/>
                </w:tcPr>
                <w:p w14:paraId="0C63C0A1">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55.8</w:t>
                  </w:r>
                </w:p>
              </w:tc>
              <w:tc>
                <w:tcPr>
                  <w:tcW w:w="93" w:type="pct"/>
                  <w:tcBorders>
                    <w:tl2br w:val="nil"/>
                    <w:tr2bl w:val="nil"/>
                  </w:tcBorders>
                  <w:shd w:val="clear" w:color="auto" w:fill="FFFFFF"/>
                  <w:tcMar>
                    <w:top w:w="0" w:type="dxa"/>
                    <w:left w:w="0" w:type="dxa"/>
                    <w:bottom w:w="0" w:type="dxa"/>
                    <w:right w:w="0" w:type="dxa"/>
                  </w:tcMar>
                  <w:vAlign w:val="center"/>
                </w:tcPr>
                <w:p w14:paraId="1E2592D6">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w:t>
                  </w:r>
                </w:p>
              </w:tc>
            </w:tr>
            <w:tr w14:paraId="79486BA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23" w:hRule="atLeast"/>
              </w:trPr>
              <w:tc>
                <w:tcPr>
                  <w:tcW w:w="210" w:type="pct"/>
                  <w:tcBorders>
                    <w:tl2br w:val="nil"/>
                    <w:tr2bl w:val="nil"/>
                  </w:tcBorders>
                  <w:shd w:val="clear" w:color="auto" w:fill="FFFFFF"/>
                  <w:tcMar>
                    <w:top w:w="0" w:type="dxa"/>
                    <w:left w:w="0" w:type="dxa"/>
                    <w:bottom w:w="0" w:type="dxa"/>
                    <w:right w:w="0" w:type="dxa"/>
                  </w:tcMar>
                  <w:vAlign w:val="center"/>
                </w:tcPr>
                <w:p w14:paraId="77D77337">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5</w:t>
                  </w:r>
                </w:p>
              </w:tc>
              <w:tc>
                <w:tcPr>
                  <w:tcW w:w="210" w:type="pct"/>
                  <w:tcBorders>
                    <w:tl2br w:val="nil"/>
                    <w:tr2bl w:val="nil"/>
                  </w:tcBorders>
                  <w:shd w:val="clear" w:color="auto" w:fill="FFFFFF"/>
                  <w:tcMar>
                    <w:top w:w="0" w:type="dxa"/>
                    <w:left w:w="0" w:type="dxa"/>
                    <w:bottom w:w="0" w:type="dxa"/>
                    <w:right w:w="0" w:type="dxa"/>
                  </w:tcMar>
                  <w:vAlign w:val="center"/>
                </w:tcPr>
                <w:p w14:paraId="70EB53A3">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中创空天厂区-铝合金熔铸二厂</w:t>
                  </w:r>
                </w:p>
              </w:tc>
              <w:tc>
                <w:tcPr>
                  <w:tcW w:w="210" w:type="pct"/>
                  <w:tcBorders>
                    <w:tl2br w:val="nil"/>
                    <w:tr2bl w:val="nil"/>
                  </w:tcBorders>
                  <w:shd w:val="clear" w:color="auto" w:fill="FFFFFF"/>
                  <w:tcMar>
                    <w:top w:w="0" w:type="dxa"/>
                    <w:left w:w="0" w:type="dxa"/>
                    <w:bottom w:w="0" w:type="dxa"/>
                    <w:right w:w="0" w:type="dxa"/>
                  </w:tcMar>
                  <w:vAlign w:val="center"/>
                </w:tcPr>
                <w:p w14:paraId="227E6024">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铝液提升泵组,3台（按点声源组预测）</w:t>
                  </w:r>
                </w:p>
              </w:tc>
              <w:tc>
                <w:tcPr>
                  <w:tcW w:w="210" w:type="pct"/>
                  <w:vMerge w:val="continue"/>
                  <w:tcBorders>
                    <w:tl2br w:val="nil"/>
                    <w:tr2bl w:val="nil"/>
                  </w:tcBorders>
                  <w:shd w:val="clear" w:color="auto" w:fill="FFFFFF"/>
                  <w:tcMar>
                    <w:top w:w="0" w:type="dxa"/>
                    <w:left w:w="0" w:type="dxa"/>
                    <w:bottom w:w="0" w:type="dxa"/>
                    <w:right w:w="0" w:type="dxa"/>
                  </w:tcMar>
                  <w:vAlign w:val="center"/>
                </w:tcPr>
                <w:p w14:paraId="4E495118">
                  <w:pPr>
                    <w:jc w:val="center"/>
                    <w:rPr>
                      <w:rFonts w:hint="default" w:ascii="Times New Roman" w:hAnsi="Times New Roman" w:eastAsia="宋体" w:cs="Times New Roman"/>
                      <w:color w:val="auto"/>
                      <w:u w:val="none" w:color="auto"/>
                    </w:rPr>
                  </w:pPr>
                </w:p>
              </w:tc>
              <w:tc>
                <w:tcPr>
                  <w:tcW w:w="281" w:type="pct"/>
                  <w:tcBorders>
                    <w:tl2br w:val="nil"/>
                    <w:tr2bl w:val="nil"/>
                  </w:tcBorders>
                  <w:shd w:val="clear" w:color="auto" w:fill="FFFFFF"/>
                  <w:tcMar>
                    <w:top w:w="0" w:type="dxa"/>
                    <w:left w:w="0" w:type="dxa"/>
                    <w:bottom w:w="0" w:type="dxa"/>
                    <w:right w:w="0" w:type="dxa"/>
                  </w:tcMar>
                  <w:vAlign w:val="center"/>
                </w:tcPr>
                <w:p w14:paraId="0969869A">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82.5（等效后：87.3)</w:t>
                  </w:r>
                </w:p>
              </w:tc>
              <w:tc>
                <w:tcPr>
                  <w:tcW w:w="210" w:type="pct"/>
                  <w:tcBorders>
                    <w:tl2br w:val="nil"/>
                    <w:tr2bl w:val="nil"/>
                  </w:tcBorders>
                  <w:shd w:val="clear" w:color="auto" w:fill="FFFFFF"/>
                  <w:tcMar>
                    <w:top w:w="0" w:type="dxa"/>
                    <w:left w:w="0" w:type="dxa"/>
                    <w:bottom w:w="0" w:type="dxa"/>
                    <w:right w:w="0" w:type="dxa"/>
                  </w:tcMar>
                  <w:vAlign w:val="center"/>
                </w:tcPr>
                <w:p w14:paraId="1E669108">
                  <w:pPr>
                    <w:jc w:val="center"/>
                    <w:rPr>
                      <w:rFonts w:hint="default" w:ascii="Times New Roman" w:hAnsi="Times New Roman" w:eastAsia="宋体" w:cs="Times New Roman"/>
                      <w:color w:val="auto"/>
                      <w:u w:val="none" w:color="auto"/>
                    </w:rPr>
                  </w:pPr>
                </w:p>
              </w:tc>
              <w:tc>
                <w:tcPr>
                  <w:tcW w:w="199" w:type="pct"/>
                  <w:tcBorders>
                    <w:tl2br w:val="nil"/>
                    <w:tr2bl w:val="nil"/>
                  </w:tcBorders>
                  <w:shd w:val="clear" w:color="auto" w:fill="FFFFFF"/>
                  <w:tcMar>
                    <w:top w:w="0" w:type="dxa"/>
                    <w:left w:w="0" w:type="dxa"/>
                    <w:bottom w:w="0" w:type="dxa"/>
                    <w:right w:w="0" w:type="dxa"/>
                  </w:tcMar>
                  <w:vAlign w:val="center"/>
                </w:tcPr>
                <w:p w14:paraId="0AE0CE9F">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-86.7</w:t>
                  </w:r>
                </w:p>
              </w:tc>
              <w:tc>
                <w:tcPr>
                  <w:tcW w:w="247" w:type="pct"/>
                  <w:tcBorders>
                    <w:tl2br w:val="nil"/>
                    <w:tr2bl w:val="nil"/>
                  </w:tcBorders>
                  <w:shd w:val="clear" w:color="auto" w:fill="FFFFFF"/>
                  <w:tcMar>
                    <w:top w:w="0" w:type="dxa"/>
                    <w:left w:w="0" w:type="dxa"/>
                    <w:bottom w:w="0" w:type="dxa"/>
                    <w:right w:w="0" w:type="dxa"/>
                  </w:tcMar>
                  <w:vAlign w:val="center"/>
                </w:tcPr>
                <w:p w14:paraId="6A97D84C">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-184.9</w:t>
                  </w:r>
                </w:p>
              </w:tc>
              <w:tc>
                <w:tcPr>
                  <w:tcW w:w="124" w:type="pct"/>
                  <w:tcBorders>
                    <w:tl2br w:val="nil"/>
                    <w:tr2bl w:val="nil"/>
                  </w:tcBorders>
                  <w:shd w:val="clear" w:color="auto" w:fill="FFFFFF"/>
                  <w:tcMar>
                    <w:top w:w="0" w:type="dxa"/>
                    <w:left w:w="0" w:type="dxa"/>
                    <w:bottom w:w="0" w:type="dxa"/>
                    <w:right w:w="0" w:type="dxa"/>
                  </w:tcMar>
                  <w:vAlign w:val="center"/>
                </w:tcPr>
                <w:p w14:paraId="1A2F6450">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w:t>
                  </w:r>
                </w:p>
              </w:tc>
              <w:tc>
                <w:tcPr>
                  <w:tcW w:w="168" w:type="pct"/>
                  <w:tcBorders>
                    <w:tl2br w:val="nil"/>
                    <w:tr2bl w:val="nil"/>
                  </w:tcBorders>
                  <w:shd w:val="clear" w:color="auto" w:fill="FFFFFF"/>
                  <w:tcMar>
                    <w:top w:w="0" w:type="dxa"/>
                    <w:left w:w="0" w:type="dxa"/>
                    <w:bottom w:w="0" w:type="dxa"/>
                    <w:right w:w="0" w:type="dxa"/>
                  </w:tcMar>
                  <w:vAlign w:val="center"/>
                </w:tcPr>
                <w:p w14:paraId="39F3F1D8">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35.2</w:t>
                  </w:r>
                </w:p>
              </w:tc>
              <w:tc>
                <w:tcPr>
                  <w:tcW w:w="168" w:type="pct"/>
                  <w:tcBorders>
                    <w:tl2br w:val="nil"/>
                    <w:tr2bl w:val="nil"/>
                  </w:tcBorders>
                  <w:shd w:val="clear" w:color="auto" w:fill="FFFFFF"/>
                  <w:tcMar>
                    <w:top w:w="0" w:type="dxa"/>
                    <w:left w:w="0" w:type="dxa"/>
                    <w:bottom w:w="0" w:type="dxa"/>
                    <w:right w:w="0" w:type="dxa"/>
                  </w:tcMar>
                  <w:vAlign w:val="center"/>
                </w:tcPr>
                <w:p w14:paraId="774075E2">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29.2</w:t>
                  </w:r>
                </w:p>
              </w:tc>
              <w:tc>
                <w:tcPr>
                  <w:tcW w:w="214" w:type="pct"/>
                  <w:tcBorders>
                    <w:tl2br w:val="nil"/>
                    <w:tr2bl w:val="nil"/>
                  </w:tcBorders>
                  <w:shd w:val="clear" w:color="auto" w:fill="FFFFFF"/>
                  <w:tcMar>
                    <w:top w:w="0" w:type="dxa"/>
                    <w:left w:w="0" w:type="dxa"/>
                    <w:bottom w:w="0" w:type="dxa"/>
                    <w:right w:w="0" w:type="dxa"/>
                  </w:tcMar>
                  <w:vAlign w:val="center"/>
                </w:tcPr>
                <w:p w14:paraId="12D88F20">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110.4</w:t>
                  </w:r>
                </w:p>
              </w:tc>
              <w:tc>
                <w:tcPr>
                  <w:tcW w:w="214" w:type="pct"/>
                  <w:tcBorders>
                    <w:tl2br w:val="nil"/>
                    <w:tr2bl w:val="nil"/>
                  </w:tcBorders>
                  <w:shd w:val="clear" w:color="auto" w:fill="FFFFFF"/>
                  <w:tcMar>
                    <w:top w:w="0" w:type="dxa"/>
                    <w:left w:w="0" w:type="dxa"/>
                    <w:bottom w:w="0" w:type="dxa"/>
                    <w:right w:w="0" w:type="dxa"/>
                  </w:tcMar>
                  <w:vAlign w:val="center"/>
                </w:tcPr>
                <w:p w14:paraId="4CF5DCC6">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33.1</w:t>
                  </w:r>
                </w:p>
              </w:tc>
              <w:tc>
                <w:tcPr>
                  <w:tcW w:w="169" w:type="pct"/>
                  <w:tcBorders>
                    <w:tl2br w:val="nil"/>
                    <w:tr2bl w:val="nil"/>
                  </w:tcBorders>
                  <w:shd w:val="clear" w:color="auto" w:fill="FFFFFF"/>
                  <w:tcMar>
                    <w:top w:w="0" w:type="dxa"/>
                    <w:left w:w="0" w:type="dxa"/>
                    <w:bottom w:w="0" w:type="dxa"/>
                    <w:right w:w="0" w:type="dxa"/>
                  </w:tcMar>
                  <w:vAlign w:val="center"/>
                </w:tcPr>
                <w:p w14:paraId="53F09AC7">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67.6</w:t>
                  </w:r>
                </w:p>
              </w:tc>
              <w:tc>
                <w:tcPr>
                  <w:tcW w:w="169" w:type="pct"/>
                  <w:tcBorders>
                    <w:tl2br w:val="nil"/>
                    <w:tr2bl w:val="nil"/>
                  </w:tcBorders>
                  <w:shd w:val="clear" w:color="auto" w:fill="FFFFFF"/>
                  <w:tcMar>
                    <w:top w:w="0" w:type="dxa"/>
                    <w:left w:w="0" w:type="dxa"/>
                    <w:bottom w:w="0" w:type="dxa"/>
                    <w:right w:w="0" w:type="dxa"/>
                  </w:tcMar>
                  <w:vAlign w:val="center"/>
                </w:tcPr>
                <w:p w14:paraId="242B5D05">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67.7</w:t>
                  </w:r>
                </w:p>
              </w:tc>
              <w:tc>
                <w:tcPr>
                  <w:tcW w:w="169" w:type="pct"/>
                  <w:tcBorders>
                    <w:tl2br w:val="nil"/>
                    <w:tr2bl w:val="nil"/>
                  </w:tcBorders>
                  <w:shd w:val="clear" w:color="auto" w:fill="FFFFFF"/>
                  <w:tcMar>
                    <w:top w:w="0" w:type="dxa"/>
                    <w:left w:w="0" w:type="dxa"/>
                    <w:bottom w:w="0" w:type="dxa"/>
                    <w:right w:w="0" w:type="dxa"/>
                  </w:tcMar>
                  <w:vAlign w:val="center"/>
                </w:tcPr>
                <w:p w14:paraId="376DD209">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67.6</w:t>
                  </w:r>
                </w:p>
              </w:tc>
              <w:tc>
                <w:tcPr>
                  <w:tcW w:w="169" w:type="pct"/>
                  <w:tcBorders>
                    <w:tl2br w:val="nil"/>
                    <w:tr2bl w:val="nil"/>
                  </w:tcBorders>
                  <w:shd w:val="clear" w:color="auto" w:fill="FFFFFF"/>
                  <w:tcMar>
                    <w:top w:w="0" w:type="dxa"/>
                    <w:left w:w="0" w:type="dxa"/>
                    <w:bottom w:w="0" w:type="dxa"/>
                    <w:right w:w="0" w:type="dxa"/>
                  </w:tcMar>
                  <w:vAlign w:val="center"/>
                </w:tcPr>
                <w:p w14:paraId="025F2A2A">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67.6</w:t>
                  </w:r>
                </w:p>
              </w:tc>
              <w:tc>
                <w:tcPr>
                  <w:tcW w:w="210" w:type="pct"/>
                  <w:tcBorders>
                    <w:tl2br w:val="nil"/>
                    <w:tr2bl w:val="nil"/>
                  </w:tcBorders>
                  <w:shd w:val="clear" w:color="auto" w:fill="FFFFFF"/>
                  <w:tcMar>
                    <w:top w:w="0" w:type="dxa"/>
                    <w:left w:w="0" w:type="dxa"/>
                    <w:bottom w:w="0" w:type="dxa"/>
                    <w:right w:w="0" w:type="dxa"/>
                  </w:tcMar>
                  <w:vAlign w:val="center"/>
                </w:tcPr>
                <w:p w14:paraId="1A5B8821">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24</w:t>
                  </w:r>
                </w:p>
              </w:tc>
              <w:tc>
                <w:tcPr>
                  <w:tcW w:w="169" w:type="pct"/>
                  <w:tcBorders>
                    <w:tl2br w:val="nil"/>
                    <w:tr2bl w:val="nil"/>
                  </w:tcBorders>
                  <w:shd w:val="clear" w:color="auto" w:fill="FFFFFF"/>
                  <w:tcMar>
                    <w:top w:w="0" w:type="dxa"/>
                    <w:left w:w="0" w:type="dxa"/>
                    <w:bottom w:w="0" w:type="dxa"/>
                    <w:right w:w="0" w:type="dxa"/>
                  </w:tcMar>
                  <w:vAlign w:val="center"/>
                </w:tcPr>
                <w:p w14:paraId="3468B395">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9" w:type="pct"/>
                  <w:tcBorders>
                    <w:tl2br w:val="nil"/>
                    <w:tr2bl w:val="nil"/>
                  </w:tcBorders>
                  <w:shd w:val="clear" w:color="auto" w:fill="FFFFFF"/>
                  <w:tcMar>
                    <w:top w:w="0" w:type="dxa"/>
                    <w:left w:w="0" w:type="dxa"/>
                    <w:bottom w:w="0" w:type="dxa"/>
                    <w:right w:w="0" w:type="dxa"/>
                  </w:tcMar>
                  <w:vAlign w:val="center"/>
                </w:tcPr>
                <w:p w14:paraId="36A73424">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9" w:type="pct"/>
                  <w:tcBorders>
                    <w:tl2br w:val="nil"/>
                    <w:tr2bl w:val="nil"/>
                  </w:tcBorders>
                  <w:shd w:val="clear" w:color="auto" w:fill="FFFFFF"/>
                  <w:tcMar>
                    <w:top w:w="0" w:type="dxa"/>
                    <w:left w:w="0" w:type="dxa"/>
                    <w:bottom w:w="0" w:type="dxa"/>
                    <w:right w:w="0" w:type="dxa"/>
                  </w:tcMar>
                  <w:vAlign w:val="center"/>
                </w:tcPr>
                <w:p w14:paraId="48194162">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9" w:type="pct"/>
                  <w:tcBorders>
                    <w:tl2br w:val="nil"/>
                    <w:tr2bl w:val="nil"/>
                  </w:tcBorders>
                  <w:shd w:val="clear" w:color="auto" w:fill="FFFFFF"/>
                  <w:tcMar>
                    <w:top w:w="0" w:type="dxa"/>
                    <w:left w:w="0" w:type="dxa"/>
                    <w:bottom w:w="0" w:type="dxa"/>
                    <w:right w:w="0" w:type="dxa"/>
                  </w:tcMar>
                  <w:vAlign w:val="center"/>
                </w:tcPr>
                <w:p w14:paraId="35B85614">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8" w:type="pct"/>
                  <w:tcBorders>
                    <w:tl2br w:val="nil"/>
                    <w:tr2bl w:val="nil"/>
                  </w:tcBorders>
                  <w:shd w:val="clear" w:color="auto" w:fill="FFFFFF"/>
                  <w:tcMar>
                    <w:top w:w="0" w:type="dxa"/>
                    <w:left w:w="0" w:type="dxa"/>
                    <w:bottom w:w="0" w:type="dxa"/>
                    <w:right w:w="0" w:type="dxa"/>
                  </w:tcMar>
                  <w:vAlign w:val="center"/>
                </w:tcPr>
                <w:p w14:paraId="7864036E">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55.6</w:t>
                  </w:r>
                </w:p>
              </w:tc>
              <w:tc>
                <w:tcPr>
                  <w:tcW w:w="168" w:type="pct"/>
                  <w:tcBorders>
                    <w:tl2br w:val="nil"/>
                    <w:tr2bl w:val="nil"/>
                  </w:tcBorders>
                  <w:shd w:val="clear" w:color="auto" w:fill="FFFFFF"/>
                  <w:tcMar>
                    <w:top w:w="0" w:type="dxa"/>
                    <w:left w:w="0" w:type="dxa"/>
                    <w:bottom w:w="0" w:type="dxa"/>
                    <w:right w:w="0" w:type="dxa"/>
                  </w:tcMar>
                  <w:vAlign w:val="center"/>
                </w:tcPr>
                <w:p w14:paraId="6FB93478">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55.7</w:t>
                  </w:r>
                </w:p>
              </w:tc>
              <w:tc>
                <w:tcPr>
                  <w:tcW w:w="168" w:type="pct"/>
                  <w:tcBorders>
                    <w:tl2br w:val="nil"/>
                    <w:tr2bl w:val="nil"/>
                  </w:tcBorders>
                  <w:shd w:val="clear" w:color="auto" w:fill="FFFFFF"/>
                  <w:tcMar>
                    <w:top w:w="0" w:type="dxa"/>
                    <w:left w:w="0" w:type="dxa"/>
                    <w:bottom w:w="0" w:type="dxa"/>
                    <w:right w:w="0" w:type="dxa"/>
                  </w:tcMar>
                  <w:vAlign w:val="center"/>
                </w:tcPr>
                <w:p w14:paraId="61D2629B">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55.6</w:t>
                  </w:r>
                </w:p>
              </w:tc>
              <w:tc>
                <w:tcPr>
                  <w:tcW w:w="168" w:type="pct"/>
                  <w:tcBorders>
                    <w:tl2br w:val="nil"/>
                    <w:tr2bl w:val="nil"/>
                  </w:tcBorders>
                  <w:shd w:val="clear" w:color="auto" w:fill="FFFFFF"/>
                  <w:tcMar>
                    <w:top w:w="0" w:type="dxa"/>
                    <w:left w:w="0" w:type="dxa"/>
                    <w:bottom w:w="0" w:type="dxa"/>
                    <w:right w:w="0" w:type="dxa"/>
                  </w:tcMar>
                  <w:vAlign w:val="center"/>
                </w:tcPr>
                <w:p w14:paraId="73364C65">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55.6</w:t>
                  </w:r>
                </w:p>
              </w:tc>
              <w:tc>
                <w:tcPr>
                  <w:tcW w:w="93" w:type="pct"/>
                  <w:tcBorders>
                    <w:tl2br w:val="nil"/>
                    <w:tr2bl w:val="nil"/>
                  </w:tcBorders>
                  <w:shd w:val="clear" w:color="auto" w:fill="FFFFFF"/>
                  <w:tcMar>
                    <w:top w:w="0" w:type="dxa"/>
                    <w:left w:w="0" w:type="dxa"/>
                    <w:bottom w:w="0" w:type="dxa"/>
                    <w:right w:w="0" w:type="dxa"/>
                  </w:tcMar>
                  <w:vAlign w:val="center"/>
                </w:tcPr>
                <w:p w14:paraId="2826BBF5">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w:t>
                  </w:r>
                </w:p>
              </w:tc>
            </w:tr>
            <w:tr w14:paraId="48016A2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23" w:hRule="atLeast"/>
              </w:trPr>
              <w:tc>
                <w:tcPr>
                  <w:tcW w:w="210" w:type="pct"/>
                  <w:tcBorders>
                    <w:tl2br w:val="nil"/>
                    <w:tr2bl w:val="nil"/>
                  </w:tcBorders>
                  <w:shd w:val="clear" w:color="auto" w:fill="FFFFFF"/>
                  <w:tcMar>
                    <w:top w:w="0" w:type="dxa"/>
                    <w:left w:w="0" w:type="dxa"/>
                    <w:bottom w:w="0" w:type="dxa"/>
                    <w:right w:w="0" w:type="dxa"/>
                  </w:tcMar>
                  <w:vAlign w:val="center"/>
                </w:tcPr>
                <w:p w14:paraId="70F2218E">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w:t>
                  </w:r>
                </w:p>
              </w:tc>
              <w:tc>
                <w:tcPr>
                  <w:tcW w:w="210" w:type="pct"/>
                  <w:tcBorders>
                    <w:tl2br w:val="nil"/>
                    <w:tr2bl w:val="nil"/>
                  </w:tcBorders>
                  <w:shd w:val="clear" w:color="auto" w:fill="FFFFFF"/>
                  <w:tcMar>
                    <w:top w:w="0" w:type="dxa"/>
                    <w:left w:w="0" w:type="dxa"/>
                    <w:bottom w:w="0" w:type="dxa"/>
                    <w:right w:w="0" w:type="dxa"/>
                  </w:tcMar>
                  <w:vAlign w:val="center"/>
                </w:tcPr>
                <w:p w14:paraId="1C3C51EB">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中创空天厂区-铝合金熔铸二厂</w:t>
                  </w:r>
                </w:p>
              </w:tc>
              <w:tc>
                <w:tcPr>
                  <w:tcW w:w="210" w:type="pct"/>
                  <w:tcBorders>
                    <w:tl2br w:val="nil"/>
                    <w:tr2bl w:val="nil"/>
                  </w:tcBorders>
                  <w:shd w:val="clear" w:color="auto" w:fill="FFFFFF"/>
                  <w:tcMar>
                    <w:top w:w="0" w:type="dxa"/>
                    <w:left w:w="0" w:type="dxa"/>
                    <w:bottom w:w="0" w:type="dxa"/>
                    <w:right w:w="0" w:type="dxa"/>
                  </w:tcMar>
                  <w:vAlign w:val="center"/>
                </w:tcPr>
                <w:p w14:paraId="5B085802">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铸锭机</w:t>
                  </w:r>
                </w:p>
              </w:tc>
              <w:tc>
                <w:tcPr>
                  <w:tcW w:w="210" w:type="pct"/>
                  <w:vMerge w:val="continue"/>
                  <w:tcBorders>
                    <w:tl2br w:val="nil"/>
                    <w:tr2bl w:val="nil"/>
                  </w:tcBorders>
                  <w:shd w:val="clear" w:color="auto" w:fill="FFFFFF"/>
                  <w:tcMar>
                    <w:top w:w="0" w:type="dxa"/>
                    <w:left w:w="0" w:type="dxa"/>
                    <w:bottom w:w="0" w:type="dxa"/>
                    <w:right w:w="0" w:type="dxa"/>
                  </w:tcMar>
                  <w:vAlign w:val="center"/>
                </w:tcPr>
                <w:p w14:paraId="1F551BED">
                  <w:pPr>
                    <w:jc w:val="center"/>
                    <w:rPr>
                      <w:rFonts w:hint="default" w:ascii="Times New Roman" w:hAnsi="Times New Roman" w:eastAsia="宋体" w:cs="Times New Roman"/>
                      <w:color w:val="auto"/>
                      <w:u w:val="none" w:color="auto"/>
                    </w:rPr>
                  </w:pPr>
                </w:p>
              </w:tc>
              <w:tc>
                <w:tcPr>
                  <w:tcW w:w="281" w:type="pct"/>
                  <w:tcBorders>
                    <w:tl2br w:val="nil"/>
                    <w:tr2bl w:val="nil"/>
                  </w:tcBorders>
                  <w:shd w:val="clear" w:color="auto" w:fill="FFFFFF"/>
                  <w:tcMar>
                    <w:top w:w="0" w:type="dxa"/>
                    <w:left w:w="0" w:type="dxa"/>
                    <w:bottom w:w="0" w:type="dxa"/>
                    <w:right w:w="0" w:type="dxa"/>
                  </w:tcMar>
                  <w:vAlign w:val="center"/>
                </w:tcPr>
                <w:p w14:paraId="700DDA14">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82.5</w:t>
                  </w:r>
                </w:p>
              </w:tc>
              <w:tc>
                <w:tcPr>
                  <w:tcW w:w="210" w:type="pct"/>
                  <w:tcBorders>
                    <w:tl2br w:val="nil"/>
                    <w:tr2bl w:val="nil"/>
                  </w:tcBorders>
                  <w:shd w:val="clear" w:color="auto" w:fill="FFFFFF"/>
                  <w:tcMar>
                    <w:top w:w="0" w:type="dxa"/>
                    <w:left w:w="0" w:type="dxa"/>
                    <w:bottom w:w="0" w:type="dxa"/>
                    <w:right w:w="0" w:type="dxa"/>
                  </w:tcMar>
                  <w:vAlign w:val="center"/>
                </w:tcPr>
                <w:p w14:paraId="31C978CE">
                  <w:pPr>
                    <w:jc w:val="center"/>
                    <w:rPr>
                      <w:rFonts w:hint="default" w:ascii="Times New Roman" w:hAnsi="Times New Roman" w:eastAsia="宋体" w:cs="Times New Roman"/>
                      <w:color w:val="auto"/>
                      <w:u w:val="none" w:color="auto"/>
                    </w:rPr>
                  </w:pPr>
                </w:p>
              </w:tc>
              <w:tc>
                <w:tcPr>
                  <w:tcW w:w="199" w:type="pct"/>
                  <w:tcBorders>
                    <w:tl2br w:val="nil"/>
                    <w:tr2bl w:val="nil"/>
                  </w:tcBorders>
                  <w:shd w:val="clear" w:color="auto" w:fill="FFFFFF"/>
                  <w:tcMar>
                    <w:top w:w="0" w:type="dxa"/>
                    <w:left w:w="0" w:type="dxa"/>
                    <w:bottom w:w="0" w:type="dxa"/>
                    <w:right w:w="0" w:type="dxa"/>
                  </w:tcMar>
                  <w:vAlign w:val="center"/>
                </w:tcPr>
                <w:p w14:paraId="3A0AEDA0">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-70.6</w:t>
                  </w:r>
                </w:p>
              </w:tc>
              <w:tc>
                <w:tcPr>
                  <w:tcW w:w="247" w:type="pct"/>
                  <w:tcBorders>
                    <w:tl2br w:val="nil"/>
                    <w:tr2bl w:val="nil"/>
                  </w:tcBorders>
                  <w:shd w:val="clear" w:color="auto" w:fill="FFFFFF"/>
                  <w:tcMar>
                    <w:top w:w="0" w:type="dxa"/>
                    <w:left w:w="0" w:type="dxa"/>
                    <w:bottom w:w="0" w:type="dxa"/>
                    <w:right w:w="0" w:type="dxa"/>
                  </w:tcMar>
                  <w:vAlign w:val="center"/>
                </w:tcPr>
                <w:p w14:paraId="2ACBB391">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-176.5</w:t>
                  </w:r>
                </w:p>
              </w:tc>
              <w:tc>
                <w:tcPr>
                  <w:tcW w:w="124" w:type="pct"/>
                  <w:tcBorders>
                    <w:tl2br w:val="nil"/>
                    <w:tr2bl w:val="nil"/>
                  </w:tcBorders>
                  <w:shd w:val="clear" w:color="auto" w:fill="FFFFFF"/>
                  <w:tcMar>
                    <w:top w:w="0" w:type="dxa"/>
                    <w:left w:w="0" w:type="dxa"/>
                    <w:bottom w:w="0" w:type="dxa"/>
                    <w:right w:w="0" w:type="dxa"/>
                  </w:tcMar>
                  <w:vAlign w:val="center"/>
                </w:tcPr>
                <w:p w14:paraId="54DA25B9">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w:t>
                  </w:r>
                </w:p>
              </w:tc>
              <w:tc>
                <w:tcPr>
                  <w:tcW w:w="168" w:type="pct"/>
                  <w:tcBorders>
                    <w:tl2br w:val="nil"/>
                    <w:tr2bl w:val="nil"/>
                  </w:tcBorders>
                  <w:shd w:val="clear" w:color="auto" w:fill="FFFFFF"/>
                  <w:tcMar>
                    <w:top w:w="0" w:type="dxa"/>
                    <w:left w:w="0" w:type="dxa"/>
                    <w:bottom w:w="0" w:type="dxa"/>
                    <w:right w:w="0" w:type="dxa"/>
                  </w:tcMar>
                  <w:vAlign w:val="center"/>
                </w:tcPr>
                <w:p w14:paraId="17455DD8">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27.2</w:t>
                  </w:r>
                </w:p>
              </w:tc>
              <w:tc>
                <w:tcPr>
                  <w:tcW w:w="168" w:type="pct"/>
                  <w:tcBorders>
                    <w:tl2br w:val="nil"/>
                    <w:tr2bl w:val="nil"/>
                  </w:tcBorders>
                  <w:shd w:val="clear" w:color="auto" w:fill="FFFFFF"/>
                  <w:tcMar>
                    <w:top w:w="0" w:type="dxa"/>
                    <w:left w:w="0" w:type="dxa"/>
                    <w:bottom w:w="0" w:type="dxa"/>
                    <w:right w:w="0" w:type="dxa"/>
                  </w:tcMar>
                  <w:vAlign w:val="center"/>
                </w:tcPr>
                <w:p w14:paraId="1255EB67">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45.3</w:t>
                  </w:r>
                </w:p>
              </w:tc>
              <w:tc>
                <w:tcPr>
                  <w:tcW w:w="214" w:type="pct"/>
                  <w:tcBorders>
                    <w:tl2br w:val="nil"/>
                    <w:tr2bl w:val="nil"/>
                  </w:tcBorders>
                  <w:shd w:val="clear" w:color="auto" w:fill="FFFFFF"/>
                  <w:tcMar>
                    <w:top w:w="0" w:type="dxa"/>
                    <w:left w:w="0" w:type="dxa"/>
                    <w:bottom w:w="0" w:type="dxa"/>
                    <w:right w:w="0" w:type="dxa"/>
                  </w:tcMar>
                  <w:vAlign w:val="center"/>
                </w:tcPr>
                <w:p w14:paraId="7D43398C">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119.0</w:t>
                  </w:r>
                </w:p>
              </w:tc>
              <w:tc>
                <w:tcPr>
                  <w:tcW w:w="214" w:type="pct"/>
                  <w:tcBorders>
                    <w:tl2br w:val="nil"/>
                    <w:tr2bl w:val="nil"/>
                  </w:tcBorders>
                  <w:shd w:val="clear" w:color="auto" w:fill="FFFFFF"/>
                  <w:tcMar>
                    <w:top w:w="0" w:type="dxa"/>
                    <w:left w:w="0" w:type="dxa"/>
                    <w:bottom w:w="0" w:type="dxa"/>
                    <w:right w:w="0" w:type="dxa"/>
                  </w:tcMar>
                  <w:vAlign w:val="center"/>
                </w:tcPr>
                <w:p w14:paraId="3DAEAE45">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17.0</w:t>
                  </w:r>
                </w:p>
              </w:tc>
              <w:tc>
                <w:tcPr>
                  <w:tcW w:w="169" w:type="pct"/>
                  <w:tcBorders>
                    <w:tl2br w:val="nil"/>
                    <w:tr2bl w:val="nil"/>
                  </w:tcBorders>
                  <w:shd w:val="clear" w:color="auto" w:fill="FFFFFF"/>
                  <w:tcMar>
                    <w:top w:w="0" w:type="dxa"/>
                    <w:left w:w="0" w:type="dxa"/>
                    <w:bottom w:w="0" w:type="dxa"/>
                    <w:right w:w="0" w:type="dxa"/>
                  </w:tcMar>
                  <w:vAlign w:val="center"/>
                </w:tcPr>
                <w:p w14:paraId="10B294E7">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62.9</w:t>
                  </w:r>
                </w:p>
              </w:tc>
              <w:tc>
                <w:tcPr>
                  <w:tcW w:w="169" w:type="pct"/>
                  <w:tcBorders>
                    <w:tl2br w:val="nil"/>
                    <w:tr2bl w:val="nil"/>
                  </w:tcBorders>
                  <w:shd w:val="clear" w:color="auto" w:fill="FFFFFF"/>
                  <w:tcMar>
                    <w:top w:w="0" w:type="dxa"/>
                    <w:left w:w="0" w:type="dxa"/>
                    <w:bottom w:w="0" w:type="dxa"/>
                    <w:right w:w="0" w:type="dxa"/>
                  </w:tcMar>
                  <w:vAlign w:val="center"/>
                </w:tcPr>
                <w:p w14:paraId="04B650F0">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62.8</w:t>
                  </w:r>
                </w:p>
              </w:tc>
              <w:tc>
                <w:tcPr>
                  <w:tcW w:w="169" w:type="pct"/>
                  <w:tcBorders>
                    <w:tl2br w:val="nil"/>
                    <w:tr2bl w:val="nil"/>
                  </w:tcBorders>
                  <w:shd w:val="clear" w:color="auto" w:fill="FFFFFF"/>
                  <w:tcMar>
                    <w:top w:w="0" w:type="dxa"/>
                    <w:left w:w="0" w:type="dxa"/>
                    <w:bottom w:w="0" w:type="dxa"/>
                    <w:right w:w="0" w:type="dxa"/>
                  </w:tcMar>
                  <w:vAlign w:val="center"/>
                </w:tcPr>
                <w:p w14:paraId="60607AE1">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62.8</w:t>
                  </w:r>
                </w:p>
              </w:tc>
              <w:tc>
                <w:tcPr>
                  <w:tcW w:w="169" w:type="pct"/>
                  <w:tcBorders>
                    <w:tl2br w:val="nil"/>
                    <w:tr2bl w:val="nil"/>
                  </w:tcBorders>
                  <w:shd w:val="clear" w:color="auto" w:fill="FFFFFF"/>
                  <w:tcMar>
                    <w:top w:w="0" w:type="dxa"/>
                    <w:left w:w="0" w:type="dxa"/>
                    <w:bottom w:w="0" w:type="dxa"/>
                    <w:right w:w="0" w:type="dxa"/>
                  </w:tcMar>
                  <w:vAlign w:val="center"/>
                </w:tcPr>
                <w:p w14:paraId="1B938E88">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62.9</w:t>
                  </w:r>
                </w:p>
              </w:tc>
              <w:tc>
                <w:tcPr>
                  <w:tcW w:w="210" w:type="pct"/>
                  <w:tcBorders>
                    <w:tl2br w:val="nil"/>
                    <w:tr2bl w:val="nil"/>
                  </w:tcBorders>
                  <w:shd w:val="clear" w:color="auto" w:fill="FFFFFF"/>
                  <w:tcMar>
                    <w:top w:w="0" w:type="dxa"/>
                    <w:left w:w="0" w:type="dxa"/>
                    <w:bottom w:w="0" w:type="dxa"/>
                    <w:right w:w="0" w:type="dxa"/>
                  </w:tcMar>
                  <w:vAlign w:val="center"/>
                </w:tcPr>
                <w:p w14:paraId="384C63A3">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24</w:t>
                  </w:r>
                </w:p>
              </w:tc>
              <w:tc>
                <w:tcPr>
                  <w:tcW w:w="169" w:type="pct"/>
                  <w:tcBorders>
                    <w:tl2br w:val="nil"/>
                    <w:tr2bl w:val="nil"/>
                  </w:tcBorders>
                  <w:shd w:val="clear" w:color="auto" w:fill="FFFFFF"/>
                  <w:tcMar>
                    <w:top w:w="0" w:type="dxa"/>
                    <w:left w:w="0" w:type="dxa"/>
                    <w:bottom w:w="0" w:type="dxa"/>
                    <w:right w:w="0" w:type="dxa"/>
                  </w:tcMar>
                  <w:vAlign w:val="center"/>
                </w:tcPr>
                <w:p w14:paraId="68BD425A">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9" w:type="pct"/>
                  <w:tcBorders>
                    <w:tl2br w:val="nil"/>
                    <w:tr2bl w:val="nil"/>
                  </w:tcBorders>
                  <w:shd w:val="clear" w:color="auto" w:fill="FFFFFF"/>
                  <w:tcMar>
                    <w:top w:w="0" w:type="dxa"/>
                    <w:left w:w="0" w:type="dxa"/>
                    <w:bottom w:w="0" w:type="dxa"/>
                    <w:right w:w="0" w:type="dxa"/>
                  </w:tcMar>
                  <w:vAlign w:val="center"/>
                </w:tcPr>
                <w:p w14:paraId="375D0531">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9" w:type="pct"/>
                  <w:tcBorders>
                    <w:tl2br w:val="nil"/>
                    <w:tr2bl w:val="nil"/>
                  </w:tcBorders>
                  <w:shd w:val="clear" w:color="auto" w:fill="FFFFFF"/>
                  <w:tcMar>
                    <w:top w:w="0" w:type="dxa"/>
                    <w:left w:w="0" w:type="dxa"/>
                    <w:bottom w:w="0" w:type="dxa"/>
                    <w:right w:w="0" w:type="dxa"/>
                  </w:tcMar>
                  <w:vAlign w:val="center"/>
                </w:tcPr>
                <w:p w14:paraId="6D715FAC">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9" w:type="pct"/>
                  <w:tcBorders>
                    <w:tl2br w:val="nil"/>
                    <w:tr2bl w:val="nil"/>
                  </w:tcBorders>
                  <w:shd w:val="clear" w:color="auto" w:fill="FFFFFF"/>
                  <w:tcMar>
                    <w:top w:w="0" w:type="dxa"/>
                    <w:left w:w="0" w:type="dxa"/>
                    <w:bottom w:w="0" w:type="dxa"/>
                    <w:right w:w="0" w:type="dxa"/>
                  </w:tcMar>
                  <w:vAlign w:val="center"/>
                </w:tcPr>
                <w:p w14:paraId="75166B19">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8" w:type="pct"/>
                  <w:tcBorders>
                    <w:tl2br w:val="nil"/>
                    <w:tr2bl w:val="nil"/>
                  </w:tcBorders>
                  <w:shd w:val="clear" w:color="auto" w:fill="FFFFFF"/>
                  <w:tcMar>
                    <w:top w:w="0" w:type="dxa"/>
                    <w:left w:w="0" w:type="dxa"/>
                    <w:bottom w:w="0" w:type="dxa"/>
                    <w:right w:w="0" w:type="dxa"/>
                  </w:tcMar>
                  <w:vAlign w:val="center"/>
                </w:tcPr>
                <w:p w14:paraId="6687B2E7">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50.9</w:t>
                  </w:r>
                </w:p>
              </w:tc>
              <w:tc>
                <w:tcPr>
                  <w:tcW w:w="168" w:type="pct"/>
                  <w:tcBorders>
                    <w:tl2br w:val="nil"/>
                    <w:tr2bl w:val="nil"/>
                  </w:tcBorders>
                  <w:shd w:val="clear" w:color="auto" w:fill="FFFFFF"/>
                  <w:tcMar>
                    <w:top w:w="0" w:type="dxa"/>
                    <w:left w:w="0" w:type="dxa"/>
                    <w:bottom w:w="0" w:type="dxa"/>
                    <w:right w:w="0" w:type="dxa"/>
                  </w:tcMar>
                  <w:vAlign w:val="center"/>
                </w:tcPr>
                <w:p w14:paraId="02C0A7B1">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50.8</w:t>
                  </w:r>
                </w:p>
              </w:tc>
              <w:tc>
                <w:tcPr>
                  <w:tcW w:w="168" w:type="pct"/>
                  <w:tcBorders>
                    <w:tl2br w:val="nil"/>
                    <w:tr2bl w:val="nil"/>
                  </w:tcBorders>
                  <w:shd w:val="clear" w:color="auto" w:fill="FFFFFF"/>
                  <w:tcMar>
                    <w:top w:w="0" w:type="dxa"/>
                    <w:left w:w="0" w:type="dxa"/>
                    <w:bottom w:w="0" w:type="dxa"/>
                    <w:right w:w="0" w:type="dxa"/>
                  </w:tcMar>
                  <w:vAlign w:val="center"/>
                </w:tcPr>
                <w:p w14:paraId="1D907D26">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50.8</w:t>
                  </w:r>
                </w:p>
              </w:tc>
              <w:tc>
                <w:tcPr>
                  <w:tcW w:w="168" w:type="pct"/>
                  <w:tcBorders>
                    <w:tl2br w:val="nil"/>
                    <w:tr2bl w:val="nil"/>
                  </w:tcBorders>
                  <w:shd w:val="clear" w:color="auto" w:fill="FFFFFF"/>
                  <w:tcMar>
                    <w:top w:w="0" w:type="dxa"/>
                    <w:left w:w="0" w:type="dxa"/>
                    <w:bottom w:w="0" w:type="dxa"/>
                    <w:right w:w="0" w:type="dxa"/>
                  </w:tcMar>
                  <w:vAlign w:val="center"/>
                </w:tcPr>
                <w:p w14:paraId="1FDE9709">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50.9</w:t>
                  </w:r>
                </w:p>
              </w:tc>
              <w:tc>
                <w:tcPr>
                  <w:tcW w:w="93" w:type="pct"/>
                  <w:tcBorders>
                    <w:tl2br w:val="nil"/>
                    <w:tr2bl w:val="nil"/>
                  </w:tcBorders>
                  <w:shd w:val="clear" w:color="auto" w:fill="FFFFFF"/>
                  <w:tcMar>
                    <w:top w:w="0" w:type="dxa"/>
                    <w:left w:w="0" w:type="dxa"/>
                    <w:bottom w:w="0" w:type="dxa"/>
                    <w:right w:w="0" w:type="dxa"/>
                  </w:tcMar>
                  <w:vAlign w:val="center"/>
                </w:tcPr>
                <w:p w14:paraId="0D3131B8">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w:t>
                  </w:r>
                </w:p>
              </w:tc>
            </w:tr>
            <w:tr w14:paraId="19E99DF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23" w:hRule="atLeast"/>
              </w:trPr>
              <w:tc>
                <w:tcPr>
                  <w:tcW w:w="210" w:type="pct"/>
                  <w:tcBorders>
                    <w:tl2br w:val="nil"/>
                    <w:tr2bl w:val="nil"/>
                  </w:tcBorders>
                  <w:shd w:val="clear" w:color="auto" w:fill="FFFFFF"/>
                  <w:tcMar>
                    <w:top w:w="0" w:type="dxa"/>
                    <w:left w:w="0" w:type="dxa"/>
                    <w:bottom w:w="0" w:type="dxa"/>
                    <w:right w:w="0" w:type="dxa"/>
                  </w:tcMar>
                  <w:vAlign w:val="center"/>
                </w:tcPr>
                <w:p w14:paraId="71E02446">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7</w:t>
                  </w:r>
                </w:p>
              </w:tc>
              <w:tc>
                <w:tcPr>
                  <w:tcW w:w="210" w:type="pct"/>
                  <w:tcBorders>
                    <w:tl2br w:val="nil"/>
                    <w:tr2bl w:val="nil"/>
                  </w:tcBorders>
                  <w:shd w:val="clear" w:color="auto" w:fill="FFFFFF"/>
                  <w:tcMar>
                    <w:top w:w="0" w:type="dxa"/>
                    <w:left w:w="0" w:type="dxa"/>
                    <w:bottom w:w="0" w:type="dxa"/>
                    <w:right w:w="0" w:type="dxa"/>
                  </w:tcMar>
                  <w:vAlign w:val="center"/>
                </w:tcPr>
                <w:p w14:paraId="38893883">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中创空天厂区-铝合金熔铸二厂</w:t>
                  </w:r>
                </w:p>
              </w:tc>
              <w:tc>
                <w:tcPr>
                  <w:tcW w:w="210" w:type="pct"/>
                  <w:tcBorders>
                    <w:tl2br w:val="nil"/>
                    <w:tr2bl w:val="nil"/>
                  </w:tcBorders>
                  <w:shd w:val="clear" w:color="auto" w:fill="FFFFFF"/>
                  <w:tcMar>
                    <w:top w:w="0" w:type="dxa"/>
                    <w:left w:w="0" w:type="dxa"/>
                    <w:bottom w:w="0" w:type="dxa"/>
                    <w:right w:w="0" w:type="dxa"/>
                  </w:tcMar>
                  <w:vAlign w:val="center"/>
                </w:tcPr>
                <w:p w14:paraId="6D6BE8EE">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立式搅拌机组,3台（按点声源组预测）</w:t>
                  </w:r>
                </w:p>
              </w:tc>
              <w:tc>
                <w:tcPr>
                  <w:tcW w:w="210" w:type="pct"/>
                  <w:vMerge w:val="restart"/>
                  <w:tcBorders>
                    <w:tl2br w:val="nil"/>
                    <w:tr2bl w:val="nil"/>
                  </w:tcBorders>
                  <w:shd w:val="clear" w:color="auto" w:fill="FFFFFF"/>
                  <w:tcMar>
                    <w:top w:w="0" w:type="dxa"/>
                    <w:left w:w="0" w:type="dxa"/>
                    <w:bottom w:w="0" w:type="dxa"/>
                    <w:right w:w="0" w:type="dxa"/>
                  </w:tcMar>
                  <w:vAlign w:val="center"/>
                </w:tcPr>
                <w:p w14:paraId="22834C12">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val="en-US" w:eastAsia="zh-CN"/>
                    </w:rPr>
                    <w:t>详见本节上表相关内容</w:t>
                  </w:r>
                </w:p>
              </w:tc>
              <w:tc>
                <w:tcPr>
                  <w:tcW w:w="281" w:type="pct"/>
                  <w:tcBorders>
                    <w:tl2br w:val="nil"/>
                    <w:tr2bl w:val="nil"/>
                  </w:tcBorders>
                  <w:shd w:val="clear" w:color="auto" w:fill="FFFFFF"/>
                  <w:tcMar>
                    <w:top w:w="0" w:type="dxa"/>
                    <w:left w:w="0" w:type="dxa"/>
                    <w:bottom w:w="0" w:type="dxa"/>
                    <w:right w:w="0" w:type="dxa"/>
                  </w:tcMar>
                  <w:vAlign w:val="center"/>
                </w:tcPr>
                <w:p w14:paraId="3B1F6246">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87.5（等效后：92.3)</w:t>
                  </w:r>
                </w:p>
              </w:tc>
              <w:tc>
                <w:tcPr>
                  <w:tcW w:w="210" w:type="pct"/>
                  <w:tcBorders>
                    <w:tl2br w:val="nil"/>
                    <w:tr2bl w:val="nil"/>
                  </w:tcBorders>
                  <w:shd w:val="clear" w:color="auto" w:fill="FFFFFF"/>
                  <w:tcMar>
                    <w:top w:w="0" w:type="dxa"/>
                    <w:left w:w="0" w:type="dxa"/>
                    <w:bottom w:w="0" w:type="dxa"/>
                    <w:right w:w="0" w:type="dxa"/>
                  </w:tcMar>
                  <w:vAlign w:val="center"/>
                </w:tcPr>
                <w:p w14:paraId="02BA7B7B">
                  <w:pPr>
                    <w:jc w:val="center"/>
                    <w:rPr>
                      <w:rFonts w:hint="default" w:ascii="Times New Roman" w:hAnsi="Times New Roman" w:eastAsia="宋体" w:cs="Times New Roman"/>
                      <w:color w:val="auto"/>
                      <w:u w:val="none" w:color="auto"/>
                    </w:rPr>
                  </w:pPr>
                </w:p>
              </w:tc>
              <w:tc>
                <w:tcPr>
                  <w:tcW w:w="199" w:type="pct"/>
                  <w:tcBorders>
                    <w:tl2br w:val="nil"/>
                    <w:tr2bl w:val="nil"/>
                  </w:tcBorders>
                  <w:shd w:val="clear" w:color="auto" w:fill="FFFFFF"/>
                  <w:tcMar>
                    <w:top w:w="0" w:type="dxa"/>
                    <w:left w:w="0" w:type="dxa"/>
                    <w:bottom w:w="0" w:type="dxa"/>
                    <w:right w:w="0" w:type="dxa"/>
                  </w:tcMar>
                  <w:vAlign w:val="center"/>
                </w:tcPr>
                <w:p w14:paraId="65F05A63">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-86.3</w:t>
                  </w:r>
                </w:p>
              </w:tc>
              <w:tc>
                <w:tcPr>
                  <w:tcW w:w="247" w:type="pct"/>
                  <w:tcBorders>
                    <w:tl2br w:val="nil"/>
                    <w:tr2bl w:val="nil"/>
                  </w:tcBorders>
                  <w:shd w:val="clear" w:color="auto" w:fill="FFFFFF"/>
                  <w:tcMar>
                    <w:top w:w="0" w:type="dxa"/>
                    <w:left w:w="0" w:type="dxa"/>
                    <w:bottom w:w="0" w:type="dxa"/>
                    <w:right w:w="0" w:type="dxa"/>
                  </w:tcMar>
                  <w:vAlign w:val="center"/>
                </w:tcPr>
                <w:p w14:paraId="0198D581">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-185.6</w:t>
                  </w:r>
                </w:p>
              </w:tc>
              <w:tc>
                <w:tcPr>
                  <w:tcW w:w="124" w:type="pct"/>
                  <w:tcBorders>
                    <w:tl2br w:val="nil"/>
                    <w:tr2bl w:val="nil"/>
                  </w:tcBorders>
                  <w:shd w:val="clear" w:color="auto" w:fill="FFFFFF"/>
                  <w:tcMar>
                    <w:top w:w="0" w:type="dxa"/>
                    <w:left w:w="0" w:type="dxa"/>
                    <w:bottom w:w="0" w:type="dxa"/>
                    <w:right w:w="0" w:type="dxa"/>
                  </w:tcMar>
                  <w:vAlign w:val="center"/>
                </w:tcPr>
                <w:p w14:paraId="475EE201">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w:t>
                  </w:r>
                </w:p>
              </w:tc>
              <w:tc>
                <w:tcPr>
                  <w:tcW w:w="168" w:type="pct"/>
                  <w:tcBorders>
                    <w:tl2br w:val="nil"/>
                    <w:tr2bl w:val="nil"/>
                  </w:tcBorders>
                  <w:shd w:val="clear" w:color="auto" w:fill="FFFFFF"/>
                  <w:tcMar>
                    <w:top w:w="0" w:type="dxa"/>
                    <w:left w:w="0" w:type="dxa"/>
                    <w:bottom w:w="0" w:type="dxa"/>
                    <w:right w:w="0" w:type="dxa"/>
                  </w:tcMar>
                  <w:vAlign w:val="center"/>
                </w:tcPr>
                <w:p w14:paraId="1579FCAB">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34.5</w:t>
                  </w:r>
                </w:p>
              </w:tc>
              <w:tc>
                <w:tcPr>
                  <w:tcW w:w="168" w:type="pct"/>
                  <w:tcBorders>
                    <w:tl2br w:val="nil"/>
                    <w:tr2bl w:val="nil"/>
                  </w:tcBorders>
                  <w:shd w:val="clear" w:color="auto" w:fill="FFFFFF"/>
                  <w:tcMar>
                    <w:top w:w="0" w:type="dxa"/>
                    <w:left w:w="0" w:type="dxa"/>
                    <w:bottom w:w="0" w:type="dxa"/>
                    <w:right w:w="0" w:type="dxa"/>
                  </w:tcMar>
                  <w:vAlign w:val="center"/>
                </w:tcPr>
                <w:p w14:paraId="675D53CB">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28.8</w:t>
                  </w:r>
                </w:p>
              </w:tc>
              <w:tc>
                <w:tcPr>
                  <w:tcW w:w="214" w:type="pct"/>
                  <w:tcBorders>
                    <w:tl2br w:val="nil"/>
                    <w:tr2bl w:val="nil"/>
                  </w:tcBorders>
                  <w:shd w:val="clear" w:color="auto" w:fill="FFFFFF"/>
                  <w:tcMar>
                    <w:top w:w="0" w:type="dxa"/>
                    <w:left w:w="0" w:type="dxa"/>
                    <w:bottom w:w="0" w:type="dxa"/>
                    <w:right w:w="0" w:type="dxa"/>
                  </w:tcMar>
                  <w:vAlign w:val="center"/>
                </w:tcPr>
                <w:p w14:paraId="3851DB60">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111.1</w:t>
                  </w:r>
                </w:p>
              </w:tc>
              <w:tc>
                <w:tcPr>
                  <w:tcW w:w="214" w:type="pct"/>
                  <w:tcBorders>
                    <w:tl2br w:val="nil"/>
                    <w:tr2bl w:val="nil"/>
                  </w:tcBorders>
                  <w:shd w:val="clear" w:color="auto" w:fill="FFFFFF"/>
                  <w:tcMar>
                    <w:top w:w="0" w:type="dxa"/>
                    <w:left w:w="0" w:type="dxa"/>
                    <w:bottom w:w="0" w:type="dxa"/>
                    <w:right w:w="0" w:type="dxa"/>
                  </w:tcMar>
                  <w:vAlign w:val="center"/>
                </w:tcPr>
                <w:p w14:paraId="1578DDCF">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33.4</w:t>
                  </w:r>
                </w:p>
              </w:tc>
              <w:tc>
                <w:tcPr>
                  <w:tcW w:w="169" w:type="pct"/>
                  <w:tcBorders>
                    <w:tl2br w:val="nil"/>
                    <w:tr2bl w:val="nil"/>
                  </w:tcBorders>
                  <w:shd w:val="clear" w:color="auto" w:fill="FFFFFF"/>
                  <w:tcMar>
                    <w:top w:w="0" w:type="dxa"/>
                    <w:left w:w="0" w:type="dxa"/>
                    <w:bottom w:w="0" w:type="dxa"/>
                    <w:right w:w="0" w:type="dxa"/>
                  </w:tcMar>
                  <w:vAlign w:val="center"/>
                </w:tcPr>
                <w:p w14:paraId="74D95E36">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72.6</w:t>
                  </w:r>
                </w:p>
              </w:tc>
              <w:tc>
                <w:tcPr>
                  <w:tcW w:w="169" w:type="pct"/>
                  <w:tcBorders>
                    <w:tl2br w:val="nil"/>
                    <w:tr2bl w:val="nil"/>
                  </w:tcBorders>
                  <w:shd w:val="clear" w:color="auto" w:fill="FFFFFF"/>
                  <w:tcMar>
                    <w:top w:w="0" w:type="dxa"/>
                    <w:left w:w="0" w:type="dxa"/>
                    <w:bottom w:w="0" w:type="dxa"/>
                    <w:right w:w="0" w:type="dxa"/>
                  </w:tcMar>
                  <w:vAlign w:val="center"/>
                </w:tcPr>
                <w:p w14:paraId="3835BEA9">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72.7</w:t>
                  </w:r>
                </w:p>
              </w:tc>
              <w:tc>
                <w:tcPr>
                  <w:tcW w:w="169" w:type="pct"/>
                  <w:tcBorders>
                    <w:tl2br w:val="nil"/>
                    <w:tr2bl w:val="nil"/>
                  </w:tcBorders>
                  <w:shd w:val="clear" w:color="auto" w:fill="FFFFFF"/>
                  <w:tcMar>
                    <w:top w:w="0" w:type="dxa"/>
                    <w:left w:w="0" w:type="dxa"/>
                    <w:bottom w:w="0" w:type="dxa"/>
                    <w:right w:w="0" w:type="dxa"/>
                  </w:tcMar>
                  <w:vAlign w:val="center"/>
                </w:tcPr>
                <w:p w14:paraId="02E5F5F8">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72.6</w:t>
                  </w:r>
                </w:p>
              </w:tc>
              <w:tc>
                <w:tcPr>
                  <w:tcW w:w="169" w:type="pct"/>
                  <w:tcBorders>
                    <w:tl2br w:val="nil"/>
                    <w:tr2bl w:val="nil"/>
                  </w:tcBorders>
                  <w:shd w:val="clear" w:color="auto" w:fill="FFFFFF"/>
                  <w:tcMar>
                    <w:top w:w="0" w:type="dxa"/>
                    <w:left w:w="0" w:type="dxa"/>
                    <w:bottom w:w="0" w:type="dxa"/>
                    <w:right w:w="0" w:type="dxa"/>
                  </w:tcMar>
                  <w:vAlign w:val="center"/>
                </w:tcPr>
                <w:p w14:paraId="3C3556F4">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72.6</w:t>
                  </w:r>
                </w:p>
              </w:tc>
              <w:tc>
                <w:tcPr>
                  <w:tcW w:w="210" w:type="pct"/>
                  <w:tcBorders>
                    <w:tl2br w:val="nil"/>
                    <w:tr2bl w:val="nil"/>
                  </w:tcBorders>
                  <w:shd w:val="clear" w:color="auto" w:fill="FFFFFF"/>
                  <w:tcMar>
                    <w:top w:w="0" w:type="dxa"/>
                    <w:left w:w="0" w:type="dxa"/>
                    <w:bottom w:w="0" w:type="dxa"/>
                    <w:right w:w="0" w:type="dxa"/>
                  </w:tcMar>
                  <w:vAlign w:val="center"/>
                </w:tcPr>
                <w:p w14:paraId="58FEA9CA">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24</w:t>
                  </w:r>
                </w:p>
              </w:tc>
              <w:tc>
                <w:tcPr>
                  <w:tcW w:w="169" w:type="pct"/>
                  <w:tcBorders>
                    <w:tl2br w:val="nil"/>
                    <w:tr2bl w:val="nil"/>
                  </w:tcBorders>
                  <w:shd w:val="clear" w:color="auto" w:fill="FFFFFF"/>
                  <w:tcMar>
                    <w:top w:w="0" w:type="dxa"/>
                    <w:left w:w="0" w:type="dxa"/>
                    <w:bottom w:w="0" w:type="dxa"/>
                    <w:right w:w="0" w:type="dxa"/>
                  </w:tcMar>
                  <w:vAlign w:val="center"/>
                </w:tcPr>
                <w:p w14:paraId="11E12F9E">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9" w:type="pct"/>
                  <w:tcBorders>
                    <w:tl2br w:val="nil"/>
                    <w:tr2bl w:val="nil"/>
                  </w:tcBorders>
                  <w:shd w:val="clear" w:color="auto" w:fill="FFFFFF"/>
                  <w:tcMar>
                    <w:top w:w="0" w:type="dxa"/>
                    <w:left w:w="0" w:type="dxa"/>
                    <w:bottom w:w="0" w:type="dxa"/>
                    <w:right w:w="0" w:type="dxa"/>
                  </w:tcMar>
                  <w:vAlign w:val="center"/>
                </w:tcPr>
                <w:p w14:paraId="4AC97016">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9" w:type="pct"/>
                  <w:tcBorders>
                    <w:tl2br w:val="nil"/>
                    <w:tr2bl w:val="nil"/>
                  </w:tcBorders>
                  <w:shd w:val="clear" w:color="auto" w:fill="FFFFFF"/>
                  <w:tcMar>
                    <w:top w:w="0" w:type="dxa"/>
                    <w:left w:w="0" w:type="dxa"/>
                    <w:bottom w:w="0" w:type="dxa"/>
                    <w:right w:w="0" w:type="dxa"/>
                  </w:tcMar>
                  <w:vAlign w:val="center"/>
                </w:tcPr>
                <w:p w14:paraId="2EB194A7">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9" w:type="pct"/>
                  <w:tcBorders>
                    <w:tl2br w:val="nil"/>
                    <w:tr2bl w:val="nil"/>
                  </w:tcBorders>
                  <w:shd w:val="clear" w:color="auto" w:fill="FFFFFF"/>
                  <w:tcMar>
                    <w:top w:w="0" w:type="dxa"/>
                    <w:left w:w="0" w:type="dxa"/>
                    <w:bottom w:w="0" w:type="dxa"/>
                    <w:right w:w="0" w:type="dxa"/>
                  </w:tcMar>
                  <w:vAlign w:val="center"/>
                </w:tcPr>
                <w:p w14:paraId="65F3EDCE">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8" w:type="pct"/>
                  <w:tcBorders>
                    <w:tl2br w:val="nil"/>
                    <w:tr2bl w:val="nil"/>
                  </w:tcBorders>
                  <w:shd w:val="clear" w:color="auto" w:fill="FFFFFF"/>
                  <w:tcMar>
                    <w:top w:w="0" w:type="dxa"/>
                    <w:left w:w="0" w:type="dxa"/>
                    <w:bottom w:w="0" w:type="dxa"/>
                    <w:right w:w="0" w:type="dxa"/>
                  </w:tcMar>
                  <w:vAlign w:val="center"/>
                </w:tcPr>
                <w:p w14:paraId="420C4622">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60.6</w:t>
                  </w:r>
                </w:p>
              </w:tc>
              <w:tc>
                <w:tcPr>
                  <w:tcW w:w="168" w:type="pct"/>
                  <w:tcBorders>
                    <w:tl2br w:val="nil"/>
                    <w:tr2bl w:val="nil"/>
                  </w:tcBorders>
                  <w:shd w:val="clear" w:color="auto" w:fill="FFFFFF"/>
                  <w:tcMar>
                    <w:top w:w="0" w:type="dxa"/>
                    <w:left w:w="0" w:type="dxa"/>
                    <w:bottom w:w="0" w:type="dxa"/>
                    <w:right w:w="0" w:type="dxa"/>
                  </w:tcMar>
                  <w:vAlign w:val="center"/>
                </w:tcPr>
                <w:p w14:paraId="5416EA8F">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60.7</w:t>
                  </w:r>
                </w:p>
              </w:tc>
              <w:tc>
                <w:tcPr>
                  <w:tcW w:w="168" w:type="pct"/>
                  <w:tcBorders>
                    <w:tl2br w:val="nil"/>
                    <w:tr2bl w:val="nil"/>
                  </w:tcBorders>
                  <w:shd w:val="clear" w:color="auto" w:fill="FFFFFF"/>
                  <w:tcMar>
                    <w:top w:w="0" w:type="dxa"/>
                    <w:left w:w="0" w:type="dxa"/>
                    <w:bottom w:w="0" w:type="dxa"/>
                    <w:right w:w="0" w:type="dxa"/>
                  </w:tcMar>
                  <w:vAlign w:val="center"/>
                </w:tcPr>
                <w:p w14:paraId="372A7617">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60.6</w:t>
                  </w:r>
                </w:p>
              </w:tc>
              <w:tc>
                <w:tcPr>
                  <w:tcW w:w="168" w:type="pct"/>
                  <w:tcBorders>
                    <w:tl2br w:val="nil"/>
                    <w:tr2bl w:val="nil"/>
                  </w:tcBorders>
                  <w:shd w:val="clear" w:color="auto" w:fill="FFFFFF"/>
                  <w:tcMar>
                    <w:top w:w="0" w:type="dxa"/>
                    <w:left w:w="0" w:type="dxa"/>
                    <w:bottom w:w="0" w:type="dxa"/>
                    <w:right w:w="0" w:type="dxa"/>
                  </w:tcMar>
                  <w:vAlign w:val="center"/>
                </w:tcPr>
                <w:p w14:paraId="1BABEAB9">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60.6</w:t>
                  </w:r>
                </w:p>
              </w:tc>
              <w:tc>
                <w:tcPr>
                  <w:tcW w:w="93" w:type="pct"/>
                  <w:tcBorders>
                    <w:tl2br w:val="nil"/>
                    <w:tr2bl w:val="nil"/>
                  </w:tcBorders>
                  <w:shd w:val="clear" w:color="auto" w:fill="FFFFFF"/>
                  <w:tcMar>
                    <w:top w:w="0" w:type="dxa"/>
                    <w:left w:w="0" w:type="dxa"/>
                    <w:bottom w:w="0" w:type="dxa"/>
                    <w:right w:w="0" w:type="dxa"/>
                  </w:tcMar>
                  <w:vAlign w:val="center"/>
                </w:tcPr>
                <w:p w14:paraId="32F49C43">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w:t>
                  </w:r>
                </w:p>
              </w:tc>
            </w:tr>
            <w:tr w14:paraId="2736C6D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23" w:hRule="atLeast"/>
              </w:trPr>
              <w:tc>
                <w:tcPr>
                  <w:tcW w:w="210" w:type="pct"/>
                  <w:tcBorders>
                    <w:tl2br w:val="nil"/>
                    <w:tr2bl w:val="nil"/>
                  </w:tcBorders>
                  <w:shd w:val="clear" w:color="auto" w:fill="FFFFFF"/>
                  <w:tcMar>
                    <w:top w:w="0" w:type="dxa"/>
                    <w:left w:w="0" w:type="dxa"/>
                    <w:bottom w:w="0" w:type="dxa"/>
                    <w:right w:w="0" w:type="dxa"/>
                  </w:tcMar>
                  <w:vAlign w:val="center"/>
                </w:tcPr>
                <w:p w14:paraId="5E42D665">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8</w:t>
                  </w:r>
                </w:p>
              </w:tc>
              <w:tc>
                <w:tcPr>
                  <w:tcW w:w="210" w:type="pct"/>
                  <w:tcBorders>
                    <w:tl2br w:val="nil"/>
                    <w:tr2bl w:val="nil"/>
                  </w:tcBorders>
                  <w:shd w:val="clear" w:color="auto" w:fill="FFFFFF"/>
                  <w:tcMar>
                    <w:top w:w="0" w:type="dxa"/>
                    <w:left w:w="0" w:type="dxa"/>
                    <w:bottom w:w="0" w:type="dxa"/>
                    <w:right w:w="0" w:type="dxa"/>
                  </w:tcMar>
                  <w:vAlign w:val="center"/>
                </w:tcPr>
                <w:p w14:paraId="4DE7ECBF">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中创空天厂区-铝合金熔铸二厂</w:t>
                  </w:r>
                </w:p>
              </w:tc>
              <w:tc>
                <w:tcPr>
                  <w:tcW w:w="210" w:type="pct"/>
                  <w:tcBorders>
                    <w:tl2br w:val="nil"/>
                    <w:tr2bl w:val="nil"/>
                  </w:tcBorders>
                  <w:shd w:val="clear" w:color="auto" w:fill="FFFFFF"/>
                  <w:tcMar>
                    <w:top w:w="0" w:type="dxa"/>
                    <w:left w:w="0" w:type="dxa"/>
                    <w:bottom w:w="0" w:type="dxa"/>
                    <w:right w:w="0" w:type="dxa"/>
                  </w:tcMar>
                  <w:vAlign w:val="center"/>
                </w:tcPr>
                <w:p w14:paraId="5DB8FBCC">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冷灰桶组,2台（按点声源组预测）</w:t>
                  </w:r>
                </w:p>
              </w:tc>
              <w:tc>
                <w:tcPr>
                  <w:tcW w:w="210" w:type="pct"/>
                  <w:vMerge w:val="continue"/>
                  <w:tcBorders>
                    <w:tl2br w:val="nil"/>
                    <w:tr2bl w:val="nil"/>
                  </w:tcBorders>
                  <w:shd w:val="clear" w:color="auto" w:fill="FFFFFF"/>
                  <w:tcMar>
                    <w:top w:w="0" w:type="dxa"/>
                    <w:left w:w="0" w:type="dxa"/>
                    <w:bottom w:w="0" w:type="dxa"/>
                    <w:right w:w="0" w:type="dxa"/>
                  </w:tcMar>
                  <w:vAlign w:val="center"/>
                </w:tcPr>
                <w:p w14:paraId="303F3A62">
                  <w:pPr>
                    <w:jc w:val="center"/>
                    <w:rPr>
                      <w:rFonts w:hint="default" w:ascii="Times New Roman" w:hAnsi="Times New Roman" w:eastAsia="宋体" w:cs="Times New Roman"/>
                      <w:color w:val="auto"/>
                      <w:u w:val="none" w:color="auto"/>
                    </w:rPr>
                  </w:pPr>
                </w:p>
              </w:tc>
              <w:tc>
                <w:tcPr>
                  <w:tcW w:w="281" w:type="pct"/>
                  <w:tcBorders>
                    <w:tl2br w:val="nil"/>
                    <w:tr2bl w:val="nil"/>
                  </w:tcBorders>
                  <w:shd w:val="clear" w:color="auto" w:fill="FFFFFF"/>
                  <w:tcMar>
                    <w:top w:w="0" w:type="dxa"/>
                    <w:left w:w="0" w:type="dxa"/>
                    <w:bottom w:w="0" w:type="dxa"/>
                    <w:right w:w="0" w:type="dxa"/>
                  </w:tcMar>
                  <w:vAlign w:val="center"/>
                </w:tcPr>
                <w:p w14:paraId="55B60314">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77.5（等效后：80.5)</w:t>
                  </w:r>
                </w:p>
              </w:tc>
              <w:tc>
                <w:tcPr>
                  <w:tcW w:w="210" w:type="pct"/>
                  <w:tcBorders>
                    <w:tl2br w:val="nil"/>
                    <w:tr2bl w:val="nil"/>
                  </w:tcBorders>
                  <w:shd w:val="clear" w:color="auto" w:fill="FFFFFF"/>
                  <w:tcMar>
                    <w:top w:w="0" w:type="dxa"/>
                    <w:left w:w="0" w:type="dxa"/>
                    <w:bottom w:w="0" w:type="dxa"/>
                    <w:right w:w="0" w:type="dxa"/>
                  </w:tcMar>
                  <w:vAlign w:val="center"/>
                </w:tcPr>
                <w:p w14:paraId="4C49BF3D">
                  <w:pPr>
                    <w:jc w:val="center"/>
                    <w:rPr>
                      <w:rFonts w:hint="default" w:ascii="Times New Roman" w:hAnsi="Times New Roman" w:eastAsia="宋体" w:cs="Times New Roman"/>
                      <w:color w:val="auto"/>
                      <w:u w:val="none" w:color="auto"/>
                    </w:rPr>
                  </w:pPr>
                </w:p>
              </w:tc>
              <w:tc>
                <w:tcPr>
                  <w:tcW w:w="199" w:type="pct"/>
                  <w:tcBorders>
                    <w:tl2br w:val="nil"/>
                    <w:tr2bl w:val="nil"/>
                  </w:tcBorders>
                  <w:shd w:val="clear" w:color="auto" w:fill="FFFFFF"/>
                  <w:tcMar>
                    <w:top w:w="0" w:type="dxa"/>
                    <w:left w:w="0" w:type="dxa"/>
                    <w:bottom w:w="0" w:type="dxa"/>
                    <w:right w:w="0" w:type="dxa"/>
                  </w:tcMar>
                  <w:vAlign w:val="center"/>
                </w:tcPr>
                <w:p w14:paraId="477315CD">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-82.7</w:t>
                  </w:r>
                </w:p>
              </w:tc>
              <w:tc>
                <w:tcPr>
                  <w:tcW w:w="247" w:type="pct"/>
                  <w:tcBorders>
                    <w:tl2br w:val="nil"/>
                    <w:tr2bl w:val="nil"/>
                  </w:tcBorders>
                  <w:shd w:val="clear" w:color="auto" w:fill="FFFFFF"/>
                  <w:tcMar>
                    <w:top w:w="0" w:type="dxa"/>
                    <w:left w:w="0" w:type="dxa"/>
                    <w:bottom w:w="0" w:type="dxa"/>
                    <w:right w:w="0" w:type="dxa"/>
                  </w:tcMar>
                  <w:vAlign w:val="center"/>
                </w:tcPr>
                <w:p w14:paraId="070D1753">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-169.5</w:t>
                  </w:r>
                </w:p>
              </w:tc>
              <w:tc>
                <w:tcPr>
                  <w:tcW w:w="124" w:type="pct"/>
                  <w:tcBorders>
                    <w:tl2br w:val="nil"/>
                    <w:tr2bl w:val="nil"/>
                  </w:tcBorders>
                  <w:shd w:val="clear" w:color="auto" w:fill="FFFFFF"/>
                  <w:tcMar>
                    <w:top w:w="0" w:type="dxa"/>
                    <w:left w:w="0" w:type="dxa"/>
                    <w:bottom w:w="0" w:type="dxa"/>
                    <w:right w:w="0" w:type="dxa"/>
                  </w:tcMar>
                  <w:vAlign w:val="center"/>
                </w:tcPr>
                <w:p w14:paraId="5B17A3BD">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w:t>
                  </w:r>
                </w:p>
              </w:tc>
              <w:tc>
                <w:tcPr>
                  <w:tcW w:w="168" w:type="pct"/>
                  <w:tcBorders>
                    <w:tl2br w:val="nil"/>
                    <w:tr2bl w:val="nil"/>
                  </w:tcBorders>
                  <w:shd w:val="clear" w:color="auto" w:fill="FFFFFF"/>
                  <w:tcMar>
                    <w:top w:w="0" w:type="dxa"/>
                    <w:left w:w="0" w:type="dxa"/>
                    <w:bottom w:w="0" w:type="dxa"/>
                    <w:right w:w="0" w:type="dxa"/>
                  </w:tcMar>
                  <w:vAlign w:val="center"/>
                </w:tcPr>
                <w:p w14:paraId="60126D1B">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41.1</w:t>
                  </w:r>
                </w:p>
              </w:tc>
              <w:tc>
                <w:tcPr>
                  <w:tcW w:w="168" w:type="pct"/>
                  <w:tcBorders>
                    <w:tl2br w:val="nil"/>
                    <w:tr2bl w:val="nil"/>
                  </w:tcBorders>
                  <w:shd w:val="clear" w:color="auto" w:fill="FFFFFF"/>
                  <w:tcMar>
                    <w:top w:w="0" w:type="dxa"/>
                    <w:left w:w="0" w:type="dxa"/>
                    <w:bottom w:w="0" w:type="dxa"/>
                    <w:right w:w="0" w:type="dxa"/>
                  </w:tcMar>
                  <w:vAlign w:val="center"/>
                </w:tcPr>
                <w:p w14:paraId="644306E1">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44.1</w:t>
                  </w:r>
                </w:p>
              </w:tc>
              <w:tc>
                <w:tcPr>
                  <w:tcW w:w="214" w:type="pct"/>
                  <w:tcBorders>
                    <w:tl2br w:val="nil"/>
                    <w:tr2bl w:val="nil"/>
                  </w:tcBorders>
                  <w:shd w:val="clear" w:color="auto" w:fill="FFFFFF"/>
                  <w:tcMar>
                    <w:top w:w="0" w:type="dxa"/>
                    <w:left w:w="0" w:type="dxa"/>
                    <w:bottom w:w="0" w:type="dxa"/>
                    <w:right w:w="0" w:type="dxa"/>
                  </w:tcMar>
                  <w:vAlign w:val="center"/>
                </w:tcPr>
                <w:p w14:paraId="3C11CD43">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105.0</w:t>
                  </w:r>
                </w:p>
              </w:tc>
              <w:tc>
                <w:tcPr>
                  <w:tcW w:w="214" w:type="pct"/>
                  <w:tcBorders>
                    <w:tl2br w:val="nil"/>
                    <w:tr2bl w:val="nil"/>
                  </w:tcBorders>
                  <w:shd w:val="clear" w:color="auto" w:fill="FFFFFF"/>
                  <w:tcMar>
                    <w:top w:w="0" w:type="dxa"/>
                    <w:left w:w="0" w:type="dxa"/>
                    <w:bottom w:w="0" w:type="dxa"/>
                    <w:right w:w="0" w:type="dxa"/>
                  </w:tcMar>
                  <w:vAlign w:val="center"/>
                </w:tcPr>
                <w:p w14:paraId="6FD0FD46">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18.1</w:t>
                  </w:r>
                </w:p>
              </w:tc>
              <w:tc>
                <w:tcPr>
                  <w:tcW w:w="169" w:type="pct"/>
                  <w:tcBorders>
                    <w:tl2br w:val="nil"/>
                    <w:tr2bl w:val="nil"/>
                  </w:tcBorders>
                  <w:shd w:val="clear" w:color="auto" w:fill="FFFFFF"/>
                  <w:tcMar>
                    <w:top w:w="0" w:type="dxa"/>
                    <w:left w:w="0" w:type="dxa"/>
                    <w:bottom w:w="0" w:type="dxa"/>
                    <w:right w:w="0" w:type="dxa"/>
                  </w:tcMar>
                  <w:vAlign w:val="center"/>
                </w:tcPr>
                <w:p w14:paraId="3B07B18B">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60.8</w:t>
                  </w:r>
                </w:p>
              </w:tc>
              <w:tc>
                <w:tcPr>
                  <w:tcW w:w="169" w:type="pct"/>
                  <w:tcBorders>
                    <w:tl2br w:val="nil"/>
                    <w:tr2bl w:val="nil"/>
                  </w:tcBorders>
                  <w:shd w:val="clear" w:color="auto" w:fill="FFFFFF"/>
                  <w:tcMar>
                    <w:top w:w="0" w:type="dxa"/>
                    <w:left w:w="0" w:type="dxa"/>
                    <w:bottom w:w="0" w:type="dxa"/>
                    <w:right w:w="0" w:type="dxa"/>
                  </w:tcMar>
                  <w:vAlign w:val="center"/>
                </w:tcPr>
                <w:p w14:paraId="6FA699A2">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60.8</w:t>
                  </w:r>
                </w:p>
              </w:tc>
              <w:tc>
                <w:tcPr>
                  <w:tcW w:w="169" w:type="pct"/>
                  <w:tcBorders>
                    <w:tl2br w:val="nil"/>
                    <w:tr2bl w:val="nil"/>
                  </w:tcBorders>
                  <w:shd w:val="clear" w:color="auto" w:fill="FFFFFF"/>
                  <w:tcMar>
                    <w:top w:w="0" w:type="dxa"/>
                    <w:left w:w="0" w:type="dxa"/>
                    <w:bottom w:w="0" w:type="dxa"/>
                    <w:right w:w="0" w:type="dxa"/>
                  </w:tcMar>
                  <w:vAlign w:val="center"/>
                </w:tcPr>
                <w:p w14:paraId="36CF4CED">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60.8</w:t>
                  </w:r>
                </w:p>
              </w:tc>
              <w:tc>
                <w:tcPr>
                  <w:tcW w:w="169" w:type="pct"/>
                  <w:tcBorders>
                    <w:tl2br w:val="nil"/>
                    <w:tr2bl w:val="nil"/>
                  </w:tcBorders>
                  <w:shd w:val="clear" w:color="auto" w:fill="FFFFFF"/>
                  <w:tcMar>
                    <w:top w:w="0" w:type="dxa"/>
                    <w:left w:w="0" w:type="dxa"/>
                    <w:bottom w:w="0" w:type="dxa"/>
                    <w:right w:w="0" w:type="dxa"/>
                  </w:tcMar>
                  <w:vAlign w:val="center"/>
                </w:tcPr>
                <w:p w14:paraId="711D81AB">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60.9</w:t>
                  </w:r>
                </w:p>
              </w:tc>
              <w:tc>
                <w:tcPr>
                  <w:tcW w:w="210" w:type="pct"/>
                  <w:tcBorders>
                    <w:tl2br w:val="nil"/>
                    <w:tr2bl w:val="nil"/>
                  </w:tcBorders>
                  <w:shd w:val="clear" w:color="auto" w:fill="FFFFFF"/>
                  <w:tcMar>
                    <w:top w:w="0" w:type="dxa"/>
                    <w:left w:w="0" w:type="dxa"/>
                    <w:bottom w:w="0" w:type="dxa"/>
                    <w:right w:w="0" w:type="dxa"/>
                  </w:tcMar>
                  <w:vAlign w:val="center"/>
                </w:tcPr>
                <w:p w14:paraId="68E652E5">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24</w:t>
                  </w:r>
                </w:p>
              </w:tc>
              <w:tc>
                <w:tcPr>
                  <w:tcW w:w="169" w:type="pct"/>
                  <w:tcBorders>
                    <w:tl2br w:val="nil"/>
                    <w:tr2bl w:val="nil"/>
                  </w:tcBorders>
                  <w:shd w:val="clear" w:color="auto" w:fill="FFFFFF"/>
                  <w:tcMar>
                    <w:top w:w="0" w:type="dxa"/>
                    <w:left w:w="0" w:type="dxa"/>
                    <w:bottom w:w="0" w:type="dxa"/>
                    <w:right w:w="0" w:type="dxa"/>
                  </w:tcMar>
                  <w:vAlign w:val="center"/>
                </w:tcPr>
                <w:p w14:paraId="2E75C288">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9" w:type="pct"/>
                  <w:tcBorders>
                    <w:tl2br w:val="nil"/>
                    <w:tr2bl w:val="nil"/>
                  </w:tcBorders>
                  <w:shd w:val="clear" w:color="auto" w:fill="FFFFFF"/>
                  <w:tcMar>
                    <w:top w:w="0" w:type="dxa"/>
                    <w:left w:w="0" w:type="dxa"/>
                    <w:bottom w:w="0" w:type="dxa"/>
                    <w:right w:w="0" w:type="dxa"/>
                  </w:tcMar>
                  <w:vAlign w:val="center"/>
                </w:tcPr>
                <w:p w14:paraId="165AFA10">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9" w:type="pct"/>
                  <w:tcBorders>
                    <w:tl2br w:val="nil"/>
                    <w:tr2bl w:val="nil"/>
                  </w:tcBorders>
                  <w:shd w:val="clear" w:color="auto" w:fill="FFFFFF"/>
                  <w:tcMar>
                    <w:top w:w="0" w:type="dxa"/>
                    <w:left w:w="0" w:type="dxa"/>
                    <w:bottom w:w="0" w:type="dxa"/>
                    <w:right w:w="0" w:type="dxa"/>
                  </w:tcMar>
                  <w:vAlign w:val="center"/>
                </w:tcPr>
                <w:p w14:paraId="63D87F9A">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9" w:type="pct"/>
                  <w:tcBorders>
                    <w:tl2br w:val="nil"/>
                    <w:tr2bl w:val="nil"/>
                  </w:tcBorders>
                  <w:shd w:val="clear" w:color="auto" w:fill="FFFFFF"/>
                  <w:tcMar>
                    <w:top w:w="0" w:type="dxa"/>
                    <w:left w:w="0" w:type="dxa"/>
                    <w:bottom w:w="0" w:type="dxa"/>
                    <w:right w:w="0" w:type="dxa"/>
                  </w:tcMar>
                  <w:vAlign w:val="center"/>
                </w:tcPr>
                <w:p w14:paraId="3185362C">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8" w:type="pct"/>
                  <w:tcBorders>
                    <w:tl2br w:val="nil"/>
                    <w:tr2bl w:val="nil"/>
                  </w:tcBorders>
                  <w:shd w:val="clear" w:color="auto" w:fill="FFFFFF"/>
                  <w:tcMar>
                    <w:top w:w="0" w:type="dxa"/>
                    <w:left w:w="0" w:type="dxa"/>
                    <w:bottom w:w="0" w:type="dxa"/>
                    <w:right w:w="0" w:type="dxa"/>
                  </w:tcMar>
                  <w:vAlign w:val="center"/>
                </w:tcPr>
                <w:p w14:paraId="69762588">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48.8</w:t>
                  </w:r>
                </w:p>
              </w:tc>
              <w:tc>
                <w:tcPr>
                  <w:tcW w:w="168" w:type="pct"/>
                  <w:tcBorders>
                    <w:tl2br w:val="nil"/>
                    <w:tr2bl w:val="nil"/>
                  </w:tcBorders>
                  <w:shd w:val="clear" w:color="auto" w:fill="FFFFFF"/>
                  <w:tcMar>
                    <w:top w:w="0" w:type="dxa"/>
                    <w:left w:w="0" w:type="dxa"/>
                    <w:bottom w:w="0" w:type="dxa"/>
                    <w:right w:w="0" w:type="dxa"/>
                  </w:tcMar>
                  <w:vAlign w:val="center"/>
                </w:tcPr>
                <w:p w14:paraId="1F65FD1C">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48.8</w:t>
                  </w:r>
                </w:p>
              </w:tc>
              <w:tc>
                <w:tcPr>
                  <w:tcW w:w="168" w:type="pct"/>
                  <w:tcBorders>
                    <w:tl2br w:val="nil"/>
                    <w:tr2bl w:val="nil"/>
                  </w:tcBorders>
                  <w:shd w:val="clear" w:color="auto" w:fill="FFFFFF"/>
                  <w:tcMar>
                    <w:top w:w="0" w:type="dxa"/>
                    <w:left w:w="0" w:type="dxa"/>
                    <w:bottom w:w="0" w:type="dxa"/>
                    <w:right w:w="0" w:type="dxa"/>
                  </w:tcMar>
                  <w:vAlign w:val="center"/>
                </w:tcPr>
                <w:p w14:paraId="1C7A68F3">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48.8</w:t>
                  </w:r>
                </w:p>
              </w:tc>
              <w:tc>
                <w:tcPr>
                  <w:tcW w:w="168" w:type="pct"/>
                  <w:tcBorders>
                    <w:tl2br w:val="nil"/>
                    <w:tr2bl w:val="nil"/>
                  </w:tcBorders>
                  <w:shd w:val="clear" w:color="auto" w:fill="FFFFFF"/>
                  <w:tcMar>
                    <w:top w:w="0" w:type="dxa"/>
                    <w:left w:w="0" w:type="dxa"/>
                    <w:bottom w:w="0" w:type="dxa"/>
                    <w:right w:w="0" w:type="dxa"/>
                  </w:tcMar>
                  <w:vAlign w:val="center"/>
                </w:tcPr>
                <w:p w14:paraId="2D7DCB18">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48.9</w:t>
                  </w:r>
                </w:p>
              </w:tc>
              <w:tc>
                <w:tcPr>
                  <w:tcW w:w="93" w:type="pct"/>
                  <w:tcBorders>
                    <w:tl2br w:val="nil"/>
                    <w:tr2bl w:val="nil"/>
                  </w:tcBorders>
                  <w:shd w:val="clear" w:color="auto" w:fill="FFFFFF"/>
                  <w:tcMar>
                    <w:top w:w="0" w:type="dxa"/>
                    <w:left w:w="0" w:type="dxa"/>
                    <w:bottom w:w="0" w:type="dxa"/>
                    <w:right w:w="0" w:type="dxa"/>
                  </w:tcMar>
                  <w:vAlign w:val="center"/>
                </w:tcPr>
                <w:p w14:paraId="6A98F2C8">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w:t>
                  </w:r>
                </w:p>
              </w:tc>
            </w:tr>
            <w:tr w14:paraId="7E69A8D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23" w:hRule="atLeast"/>
              </w:trPr>
              <w:tc>
                <w:tcPr>
                  <w:tcW w:w="210" w:type="pct"/>
                  <w:tcBorders>
                    <w:tl2br w:val="nil"/>
                    <w:tr2bl w:val="nil"/>
                  </w:tcBorders>
                  <w:shd w:val="clear" w:color="auto" w:fill="FFFFFF"/>
                  <w:tcMar>
                    <w:top w:w="0" w:type="dxa"/>
                    <w:left w:w="0" w:type="dxa"/>
                    <w:bottom w:w="0" w:type="dxa"/>
                    <w:right w:w="0" w:type="dxa"/>
                  </w:tcMar>
                  <w:vAlign w:val="center"/>
                </w:tcPr>
                <w:p w14:paraId="367FCDBB">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9</w:t>
                  </w:r>
                </w:p>
              </w:tc>
              <w:tc>
                <w:tcPr>
                  <w:tcW w:w="210" w:type="pct"/>
                  <w:tcBorders>
                    <w:tl2br w:val="nil"/>
                    <w:tr2bl w:val="nil"/>
                  </w:tcBorders>
                  <w:shd w:val="clear" w:color="auto" w:fill="FFFFFF"/>
                  <w:tcMar>
                    <w:top w:w="0" w:type="dxa"/>
                    <w:left w:w="0" w:type="dxa"/>
                    <w:bottom w:w="0" w:type="dxa"/>
                    <w:right w:w="0" w:type="dxa"/>
                  </w:tcMar>
                  <w:vAlign w:val="center"/>
                </w:tcPr>
                <w:p w14:paraId="3DE8CD9C">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中创空天厂区-铝合金熔铸二厂</w:t>
                  </w:r>
                </w:p>
              </w:tc>
              <w:tc>
                <w:tcPr>
                  <w:tcW w:w="210" w:type="pct"/>
                  <w:tcBorders>
                    <w:tl2br w:val="nil"/>
                    <w:tr2bl w:val="nil"/>
                  </w:tcBorders>
                  <w:shd w:val="clear" w:color="auto" w:fill="FFFFFF"/>
                  <w:tcMar>
                    <w:top w:w="0" w:type="dxa"/>
                    <w:left w:w="0" w:type="dxa"/>
                    <w:bottom w:w="0" w:type="dxa"/>
                    <w:right w:w="0" w:type="dxa"/>
                  </w:tcMar>
                  <w:vAlign w:val="center"/>
                </w:tcPr>
                <w:p w14:paraId="2218BD55">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球磨机</w:t>
                  </w:r>
                </w:p>
              </w:tc>
              <w:tc>
                <w:tcPr>
                  <w:tcW w:w="210" w:type="pct"/>
                  <w:vMerge w:val="continue"/>
                  <w:tcBorders>
                    <w:tl2br w:val="nil"/>
                    <w:tr2bl w:val="nil"/>
                  </w:tcBorders>
                  <w:shd w:val="clear" w:color="auto" w:fill="FFFFFF"/>
                  <w:tcMar>
                    <w:top w:w="0" w:type="dxa"/>
                    <w:left w:w="0" w:type="dxa"/>
                    <w:bottom w:w="0" w:type="dxa"/>
                    <w:right w:w="0" w:type="dxa"/>
                  </w:tcMar>
                  <w:vAlign w:val="center"/>
                </w:tcPr>
                <w:p w14:paraId="1A4C0C5E">
                  <w:pPr>
                    <w:jc w:val="center"/>
                    <w:rPr>
                      <w:rFonts w:hint="default" w:ascii="Times New Roman" w:hAnsi="Times New Roman" w:eastAsia="宋体" w:cs="Times New Roman"/>
                      <w:color w:val="auto"/>
                      <w:u w:val="none" w:color="auto"/>
                    </w:rPr>
                  </w:pPr>
                </w:p>
              </w:tc>
              <w:tc>
                <w:tcPr>
                  <w:tcW w:w="281" w:type="pct"/>
                  <w:tcBorders>
                    <w:tl2br w:val="nil"/>
                    <w:tr2bl w:val="nil"/>
                  </w:tcBorders>
                  <w:shd w:val="clear" w:color="auto" w:fill="FFFFFF"/>
                  <w:tcMar>
                    <w:top w:w="0" w:type="dxa"/>
                    <w:left w:w="0" w:type="dxa"/>
                    <w:bottom w:w="0" w:type="dxa"/>
                    <w:right w:w="0" w:type="dxa"/>
                  </w:tcMar>
                  <w:vAlign w:val="center"/>
                </w:tcPr>
                <w:p w14:paraId="5D00813D">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97.5</w:t>
                  </w:r>
                </w:p>
              </w:tc>
              <w:tc>
                <w:tcPr>
                  <w:tcW w:w="210" w:type="pct"/>
                  <w:tcBorders>
                    <w:tl2br w:val="nil"/>
                    <w:tr2bl w:val="nil"/>
                  </w:tcBorders>
                  <w:shd w:val="clear" w:color="auto" w:fill="FFFFFF"/>
                  <w:tcMar>
                    <w:top w:w="0" w:type="dxa"/>
                    <w:left w:w="0" w:type="dxa"/>
                    <w:bottom w:w="0" w:type="dxa"/>
                    <w:right w:w="0" w:type="dxa"/>
                  </w:tcMar>
                  <w:vAlign w:val="center"/>
                </w:tcPr>
                <w:p w14:paraId="1D08C36A">
                  <w:pPr>
                    <w:jc w:val="center"/>
                    <w:rPr>
                      <w:rFonts w:hint="default" w:ascii="Times New Roman" w:hAnsi="Times New Roman" w:eastAsia="宋体" w:cs="Times New Roman"/>
                      <w:color w:val="auto"/>
                      <w:u w:val="none" w:color="auto"/>
                    </w:rPr>
                  </w:pPr>
                </w:p>
              </w:tc>
              <w:tc>
                <w:tcPr>
                  <w:tcW w:w="199" w:type="pct"/>
                  <w:tcBorders>
                    <w:tl2br w:val="nil"/>
                    <w:tr2bl w:val="nil"/>
                  </w:tcBorders>
                  <w:shd w:val="clear" w:color="auto" w:fill="FFFFFF"/>
                  <w:tcMar>
                    <w:top w:w="0" w:type="dxa"/>
                    <w:left w:w="0" w:type="dxa"/>
                    <w:bottom w:w="0" w:type="dxa"/>
                    <w:right w:w="0" w:type="dxa"/>
                  </w:tcMar>
                  <w:vAlign w:val="center"/>
                </w:tcPr>
                <w:p w14:paraId="2A7B3CB7">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-83.6</w:t>
                  </w:r>
                </w:p>
              </w:tc>
              <w:tc>
                <w:tcPr>
                  <w:tcW w:w="247" w:type="pct"/>
                  <w:tcBorders>
                    <w:tl2br w:val="nil"/>
                    <w:tr2bl w:val="nil"/>
                  </w:tcBorders>
                  <w:shd w:val="clear" w:color="auto" w:fill="FFFFFF"/>
                  <w:tcMar>
                    <w:top w:w="0" w:type="dxa"/>
                    <w:left w:w="0" w:type="dxa"/>
                    <w:bottom w:w="0" w:type="dxa"/>
                    <w:right w:w="0" w:type="dxa"/>
                  </w:tcMar>
                  <w:vAlign w:val="center"/>
                </w:tcPr>
                <w:p w14:paraId="7E6F2FDD">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-165.3</w:t>
                  </w:r>
                </w:p>
              </w:tc>
              <w:tc>
                <w:tcPr>
                  <w:tcW w:w="124" w:type="pct"/>
                  <w:tcBorders>
                    <w:tl2br w:val="nil"/>
                    <w:tr2bl w:val="nil"/>
                  </w:tcBorders>
                  <w:shd w:val="clear" w:color="auto" w:fill="FFFFFF"/>
                  <w:tcMar>
                    <w:top w:w="0" w:type="dxa"/>
                    <w:left w:w="0" w:type="dxa"/>
                    <w:bottom w:w="0" w:type="dxa"/>
                    <w:right w:w="0" w:type="dxa"/>
                  </w:tcMar>
                  <w:vAlign w:val="center"/>
                </w:tcPr>
                <w:p w14:paraId="507B54C2">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w:t>
                  </w:r>
                </w:p>
              </w:tc>
              <w:tc>
                <w:tcPr>
                  <w:tcW w:w="168" w:type="pct"/>
                  <w:tcBorders>
                    <w:tl2br w:val="nil"/>
                    <w:tr2bl w:val="nil"/>
                  </w:tcBorders>
                  <w:shd w:val="clear" w:color="auto" w:fill="FFFFFF"/>
                  <w:tcMar>
                    <w:top w:w="0" w:type="dxa"/>
                    <w:left w:w="0" w:type="dxa"/>
                    <w:bottom w:w="0" w:type="dxa"/>
                    <w:right w:w="0" w:type="dxa"/>
                  </w:tcMar>
                  <w:vAlign w:val="center"/>
                </w:tcPr>
                <w:p w14:paraId="566B9FE2">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44.3</w:t>
                  </w:r>
                </w:p>
              </w:tc>
              <w:tc>
                <w:tcPr>
                  <w:tcW w:w="168" w:type="pct"/>
                  <w:tcBorders>
                    <w:tl2br w:val="nil"/>
                    <w:tr2bl w:val="nil"/>
                  </w:tcBorders>
                  <w:shd w:val="clear" w:color="auto" w:fill="FFFFFF"/>
                  <w:tcMar>
                    <w:top w:w="0" w:type="dxa"/>
                    <w:left w:w="0" w:type="dxa"/>
                    <w:bottom w:w="0" w:type="dxa"/>
                    <w:right w:w="0" w:type="dxa"/>
                  </w:tcMar>
                  <w:vAlign w:val="center"/>
                </w:tcPr>
                <w:p w14:paraId="67E73C44">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47.0</w:t>
                  </w:r>
                </w:p>
              </w:tc>
              <w:tc>
                <w:tcPr>
                  <w:tcW w:w="214" w:type="pct"/>
                  <w:tcBorders>
                    <w:tl2br w:val="nil"/>
                    <w:tr2bl w:val="nil"/>
                  </w:tcBorders>
                  <w:shd w:val="clear" w:color="auto" w:fill="FFFFFF"/>
                  <w:tcMar>
                    <w:top w:w="0" w:type="dxa"/>
                    <w:left w:w="0" w:type="dxa"/>
                    <w:bottom w:w="0" w:type="dxa"/>
                    <w:right w:w="0" w:type="dxa"/>
                  </w:tcMar>
                  <w:vAlign w:val="center"/>
                </w:tcPr>
                <w:p w14:paraId="10A812EF">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101.9</w:t>
                  </w:r>
                </w:p>
              </w:tc>
              <w:tc>
                <w:tcPr>
                  <w:tcW w:w="214" w:type="pct"/>
                  <w:tcBorders>
                    <w:tl2br w:val="nil"/>
                    <w:tr2bl w:val="nil"/>
                  </w:tcBorders>
                  <w:shd w:val="clear" w:color="auto" w:fill="FFFFFF"/>
                  <w:tcMar>
                    <w:top w:w="0" w:type="dxa"/>
                    <w:left w:w="0" w:type="dxa"/>
                    <w:bottom w:w="0" w:type="dxa"/>
                    <w:right w:w="0" w:type="dxa"/>
                  </w:tcMar>
                  <w:vAlign w:val="center"/>
                </w:tcPr>
                <w:p w14:paraId="106ADE73">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15.2</w:t>
                  </w:r>
                </w:p>
              </w:tc>
              <w:tc>
                <w:tcPr>
                  <w:tcW w:w="169" w:type="pct"/>
                  <w:tcBorders>
                    <w:tl2br w:val="nil"/>
                    <w:tr2bl w:val="nil"/>
                  </w:tcBorders>
                  <w:shd w:val="clear" w:color="auto" w:fill="FFFFFF"/>
                  <w:tcMar>
                    <w:top w:w="0" w:type="dxa"/>
                    <w:left w:w="0" w:type="dxa"/>
                    <w:bottom w:w="0" w:type="dxa"/>
                    <w:right w:w="0" w:type="dxa"/>
                  </w:tcMar>
                  <w:vAlign w:val="center"/>
                </w:tcPr>
                <w:p w14:paraId="1E5D1FCD">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77.8</w:t>
                  </w:r>
                </w:p>
              </w:tc>
              <w:tc>
                <w:tcPr>
                  <w:tcW w:w="169" w:type="pct"/>
                  <w:tcBorders>
                    <w:tl2br w:val="nil"/>
                    <w:tr2bl w:val="nil"/>
                  </w:tcBorders>
                  <w:shd w:val="clear" w:color="auto" w:fill="FFFFFF"/>
                  <w:tcMar>
                    <w:top w:w="0" w:type="dxa"/>
                    <w:left w:w="0" w:type="dxa"/>
                    <w:bottom w:w="0" w:type="dxa"/>
                    <w:right w:w="0" w:type="dxa"/>
                  </w:tcMar>
                  <w:vAlign w:val="center"/>
                </w:tcPr>
                <w:p w14:paraId="606012D9">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77.8</w:t>
                  </w:r>
                </w:p>
              </w:tc>
              <w:tc>
                <w:tcPr>
                  <w:tcW w:w="169" w:type="pct"/>
                  <w:tcBorders>
                    <w:tl2br w:val="nil"/>
                    <w:tr2bl w:val="nil"/>
                  </w:tcBorders>
                  <w:shd w:val="clear" w:color="auto" w:fill="FFFFFF"/>
                  <w:tcMar>
                    <w:top w:w="0" w:type="dxa"/>
                    <w:left w:w="0" w:type="dxa"/>
                    <w:bottom w:w="0" w:type="dxa"/>
                    <w:right w:w="0" w:type="dxa"/>
                  </w:tcMar>
                  <w:vAlign w:val="center"/>
                </w:tcPr>
                <w:p w14:paraId="6C965CA7">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77.8</w:t>
                  </w:r>
                </w:p>
              </w:tc>
              <w:tc>
                <w:tcPr>
                  <w:tcW w:w="169" w:type="pct"/>
                  <w:tcBorders>
                    <w:tl2br w:val="nil"/>
                    <w:tr2bl w:val="nil"/>
                  </w:tcBorders>
                  <w:shd w:val="clear" w:color="auto" w:fill="FFFFFF"/>
                  <w:tcMar>
                    <w:top w:w="0" w:type="dxa"/>
                    <w:left w:w="0" w:type="dxa"/>
                    <w:bottom w:w="0" w:type="dxa"/>
                    <w:right w:w="0" w:type="dxa"/>
                  </w:tcMar>
                  <w:vAlign w:val="center"/>
                </w:tcPr>
                <w:p w14:paraId="38650747">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78.0</w:t>
                  </w:r>
                </w:p>
              </w:tc>
              <w:tc>
                <w:tcPr>
                  <w:tcW w:w="210" w:type="pct"/>
                  <w:tcBorders>
                    <w:tl2br w:val="nil"/>
                    <w:tr2bl w:val="nil"/>
                  </w:tcBorders>
                  <w:shd w:val="clear" w:color="auto" w:fill="FFFFFF"/>
                  <w:tcMar>
                    <w:top w:w="0" w:type="dxa"/>
                    <w:left w:w="0" w:type="dxa"/>
                    <w:bottom w:w="0" w:type="dxa"/>
                    <w:right w:w="0" w:type="dxa"/>
                  </w:tcMar>
                  <w:vAlign w:val="center"/>
                </w:tcPr>
                <w:p w14:paraId="4A319BF2">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24</w:t>
                  </w:r>
                </w:p>
              </w:tc>
              <w:tc>
                <w:tcPr>
                  <w:tcW w:w="169" w:type="pct"/>
                  <w:tcBorders>
                    <w:tl2br w:val="nil"/>
                    <w:tr2bl w:val="nil"/>
                  </w:tcBorders>
                  <w:shd w:val="clear" w:color="auto" w:fill="FFFFFF"/>
                  <w:tcMar>
                    <w:top w:w="0" w:type="dxa"/>
                    <w:left w:w="0" w:type="dxa"/>
                    <w:bottom w:w="0" w:type="dxa"/>
                    <w:right w:w="0" w:type="dxa"/>
                  </w:tcMar>
                  <w:vAlign w:val="center"/>
                </w:tcPr>
                <w:p w14:paraId="651F0717">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9" w:type="pct"/>
                  <w:tcBorders>
                    <w:tl2br w:val="nil"/>
                    <w:tr2bl w:val="nil"/>
                  </w:tcBorders>
                  <w:shd w:val="clear" w:color="auto" w:fill="FFFFFF"/>
                  <w:tcMar>
                    <w:top w:w="0" w:type="dxa"/>
                    <w:left w:w="0" w:type="dxa"/>
                    <w:bottom w:w="0" w:type="dxa"/>
                    <w:right w:w="0" w:type="dxa"/>
                  </w:tcMar>
                  <w:vAlign w:val="center"/>
                </w:tcPr>
                <w:p w14:paraId="04EA5F8B">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9" w:type="pct"/>
                  <w:tcBorders>
                    <w:tl2br w:val="nil"/>
                    <w:tr2bl w:val="nil"/>
                  </w:tcBorders>
                  <w:shd w:val="clear" w:color="auto" w:fill="FFFFFF"/>
                  <w:tcMar>
                    <w:top w:w="0" w:type="dxa"/>
                    <w:left w:w="0" w:type="dxa"/>
                    <w:bottom w:w="0" w:type="dxa"/>
                    <w:right w:w="0" w:type="dxa"/>
                  </w:tcMar>
                  <w:vAlign w:val="center"/>
                </w:tcPr>
                <w:p w14:paraId="62D4411B">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9" w:type="pct"/>
                  <w:tcBorders>
                    <w:tl2br w:val="nil"/>
                    <w:tr2bl w:val="nil"/>
                  </w:tcBorders>
                  <w:shd w:val="clear" w:color="auto" w:fill="FFFFFF"/>
                  <w:tcMar>
                    <w:top w:w="0" w:type="dxa"/>
                    <w:left w:w="0" w:type="dxa"/>
                    <w:bottom w:w="0" w:type="dxa"/>
                    <w:right w:w="0" w:type="dxa"/>
                  </w:tcMar>
                  <w:vAlign w:val="center"/>
                </w:tcPr>
                <w:p w14:paraId="1037CB39">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8" w:type="pct"/>
                  <w:tcBorders>
                    <w:tl2br w:val="nil"/>
                    <w:tr2bl w:val="nil"/>
                  </w:tcBorders>
                  <w:shd w:val="clear" w:color="auto" w:fill="FFFFFF"/>
                  <w:tcMar>
                    <w:top w:w="0" w:type="dxa"/>
                    <w:left w:w="0" w:type="dxa"/>
                    <w:bottom w:w="0" w:type="dxa"/>
                    <w:right w:w="0" w:type="dxa"/>
                  </w:tcMar>
                  <w:vAlign w:val="center"/>
                </w:tcPr>
                <w:p w14:paraId="6CD80F86">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65.8</w:t>
                  </w:r>
                </w:p>
              </w:tc>
              <w:tc>
                <w:tcPr>
                  <w:tcW w:w="168" w:type="pct"/>
                  <w:tcBorders>
                    <w:tl2br w:val="nil"/>
                    <w:tr2bl w:val="nil"/>
                  </w:tcBorders>
                  <w:shd w:val="clear" w:color="auto" w:fill="FFFFFF"/>
                  <w:tcMar>
                    <w:top w:w="0" w:type="dxa"/>
                    <w:left w:w="0" w:type="dxa"/>
                    <w:bottom w:w="0" w:type="dxa"/>
                    <w:right w:w="0" w:type="dxa"/>
                  </w:tcMar>
                  <w:vAlign w:val="center"/>
                </w:tcPr>
                <w:p w14:paraId="774D7F3A">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65.8</w:t>
                  </w:r>
                </w:p>
              </w:tc>
              <w:tc>
                <w:tcPr>
                  <w:tcW w:w="168" w:type="pct"/>
                  <w:tcBorders>
                    <w:tl2br w:val="nil"/>
                    <w:tr2bl w:val="nil"/>
                  </w:tcBorders>
                  <w:shd w:val="clear" w:color="auto" w:fill="FFFFFF"/>
                  <w:tcMar>
                    <w:top w:w="0" w:type="dxa"/>
                    <w:left w:w="0" w:type="dxa"/>
                    <w:bottom w:w="0" w:type="dxa"/>
                    <w:right w:w="0" w:type="dxa"/>
                  </w:tcMar>
                  <w:vAlign w:val="center"/>
                </w:tcPr>
                <w:p w14:paraId="67CEE614">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65.8</w:t>
                  </w:r>
                </w:p>
              </w:tc>
              <w:tc>
                <w:tcPr>
                  <w:tcW w:w="168" w:type="pct"/>
                  <w:tcBorders>
                    <w:tl2br w:val="nil"/>
                    <w:tr2bl w:val="nil"/>
                  </w:tcBorders>
                  <w:shd w:val="clear" w:color="auto" w:fill="FFFFFF"/>
                  <w:tcMar>
                    <w:top w:w="0" w:type="dxa"/>
                    <w:left w:w="0" w:type="dxa"/>
                    <w:bottom w:w="0" w:type="dxa"/>
                    <w:right w:w="0" w:type="dxa"/>
                  </w:tcMar>
                  <w:vAlign w:val="center"/>
                </w:tcPr>
                <w:p w14:paraId="628AA144">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66.0</w:t>
                  </w:r>
                </w:p>
              </w:tc>
              <w:tc>
                <w:tcPr>
                  <w:tcW w:w="93" w:type="pct"/>
                  <w:tcBorders>
                    <w:tl2br w:val="nil"/>
                    <w:tr2bl w:val="nil"/>
                  </w:tcBorders>
                  <w:shd w:val="clear" w:color="auto" w:fill="FFFFFF"/>
                  <w:tcMar>
                    <w:top w:w="0" w:type="dxa"/>
                    <w:left w:w="0" w:type="dxa"/>
                    <w:bottom w:w="0" w:type="dxa"/>
                    <w:right w:w="0" w:type="dxa"/>
                  </w:tcMar>
                  <w:vAlign w:val="center"/>
                </w:tcPr>
                <w:p w14:paraId="630F71CE">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w:t>
                  </w:r>
                </w:p>
              </w:tc>
            </w:tr>
            <w:tr w14:paraId="7FE9292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23" w:hRule="atLeast"/>
              </w:trPr>
              <w:tc>
                <w:tcPr>
                  <w:tcW w:w="210" w:type="pct"/>
                  <w:tcBorders>
                    <w:tl2br w:val="nil"/>
                    <w:tr2bl w:val="nil"/>
                  </w:tcBorders>
                  <w:shd w:val="clear" w:color="auto" w:fill="FFFFFF"/>
                  <w:tcMar>
                    <w:top w:w="0" w:type="dxa"/>
                    <w:left w:w="0" w:type="dxa"/>
                    <w:bottom w:w="0" w:type="dxa"/>
                    <w:right w:w="0" w:type="dxa"/>
                  </w:tcMar>
                  <w:vAlign w:val="center"/>
                </w:tcPr>
                <w:p w14:paraId="0BEF4924">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10</w:t>
                  </w:r>
                </w:p>
              </w:tc>
              <w:tc>
                <w:tcPr>
                  <w:tcW w:w="210" w:type="pct"/>
                  <w:tcBorders>
                    <w:tl2br w:val="nil"/>
                    <w:tr2bl w:val="nil"/>
                  </w:tcBorders>
                  <w:shd w:val="clear" w:color="auto" w:fill="FFFFFF"/>
                  <w:tcMar>
                    <w:top w:w="0" w:type="dxa"/>
                    <w:left w:w="0" w:type="dxa"/>
                    <w:bottom w:w="0" w:type="dxa"/>
                    <w:right w:w="0" w:type="dxa"/>
                  </w:tcMar>
                  <w:vAlign w:val="center"/>
                </w:tcPr>
                <w:p w14:paraId="4AAC3B29">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中创空天厂区-铝合金熔铸二厂</w:t>
                  </w:r>
                </w:p>
              </w:tc>
              <w:tc>
                <w:tcPr>
                  <w:tcW w:w="210" w:type="pct"/>
                  <w:tcBorders>
                    <w:tl2br w:val="nil"/>
                    <w:tr2bl w:val="nil"/>
                  </w:tcBorders>
                  <w:shd w:val="clear" w:color="auto" w:fill="FFFFFF"/>
                  <w:tcMar>
                    <w:top w:w="0" w:type="dxa"/>
                    <w:left w:w="0" w:type="dxa"/>
                    <w:bottom w:w="0" w:type="dxa"/>
                    <w:right w:w="0" w:type="dxa"/>
                  </w:tcMar>
                  <w:vAlign w:val="center"/>
                </w:tcPr>
                <w:p w14:paraId="45738A69">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筛分机</w:t>
                  </w:r>
                </w:p>
              </w:tc>
              <w:tc>
                <w:tcPr>
                  <w:tcW w:w="210" w:type="pct"/>
                  <w:tcBorders>
                    <w:tl2br w:val="nil"/>
                    <w:tr2bl w:val="nil"/>
                  </w:tcBorders>
                  <w:shd w:val="clear" w:color="auto" w:fill="FFFFFF"/>
                  <w:tcMar>
                    <w:top w:w="0" w:type="dxa"/>
                    <w:left w:w="0" w:type="dxa"/>
                    <w:bottom w:w="0" w:type="dxa"/>
                    <w:right w:w="0" w:type="dxa"/>
                  </w:tcMar>
                  <w:vAlign w:val="center"/>
                </w:tcPr>
                <w:p w14:paraId="39847A98">
                  <w:pPr>
                    <w:jc w:val="center"/>
                    <w:rPr>
                      <w:rFonts w:hint="default" w:ascii="Times New Roman" w:hAnsi="Times New Roman" w:eastAsia="宋体" w:cs="Times New Roman"/>
                      <w:color w:val="auto"/>
                      <w:u w:val="none" w:color="auto"/>
                    </w:rPr>
                  </w:pPr>
                </w:p>
              </w:tc>
              <w:tc>
                <w:tcPr>
                  <w:tcW w:w="281" w:type="pct"/>
                  <w:tcBorders>
                    <w:tl2br w:val="nil"/>
                    <w:tr2bl w:val="nil"/>
                  </w:tcBorders>
                  <w:shd w:val="clear" w:color="auto" w:fill="FFFFFF"/>
                  <w:tcMar>
                    <w:top w:w="0" w:type="dxa"/>
                    <w:left w:w="0" w:type="dxa"/>
                    <w:bottom w:w="0" w:type="dxa"/>
                    <w:right w:w="0" w:type="dxa"/>
                  </w:tcMar>
                  <w:vAlign w:val="center"/>
                </w:tcPr>
                <w:p w14:paraId="5B506A3F">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92.5</w:t>
                  </w:r>
                </w:p>
              </w:tc>
              <w:tc>
                <w:tcPr>
                  <w:tcW w:w="210" w:type="pct"/>
                  <w:tcBorders>
                    <w:tl2br w:val="nil"/>
                    <w:tr2bl w:val="nil"/>
                  </w:tcBorders>
                  <w:shd w:val="clear" w:color="auto" w:fill="FFFFFF"/>
                  <w:tcMar>
                    <w:top w:w="0" w:type="dxa"/>
                    <w:left w:w="0" w:type="dxa"/>
                    <w:bottom w:w="0" w:type="dxa"/>
                    <w:right w:w="0" w:type="dxa"/>
                  </w:tcMar>
                  <w:vAlign w:val="center"/>
                </w:tcPr>
                <w:p w14:paraId="2877A838">
                  <w:pPr>
                    <w:jc w:val="center"/>
                    <w:rPr>
                      <w:rFonts w:hint="default" w:ascii="Times New Roman" w:hAnsi="Times New Roman" w:eastAsia="宋体" w:cs="Times New Roman"/>
                      <w:color w:val="auto"/>
                      <w:u w:val="none" w:color="auto"/>
                    </w:rPr>
                  </w:pPr>
                </w:p>
              </w:tc>
              <w:tc>
                <w:tcPr>
                  <w:tcW w:w="199" w:type="pct"/>
                  <w:tcBorders>
                    <w:tl2br w:val="nil"/>
                    <w:tr2bl w:val="nil"/>
                  </w:tcBorders>
                  <w:shd w:val="clear" w:color="auto" w:fill="FFFFFF"/>
                  <w:tcMar>
                    <w:top w:w="0" w:type="dxa"/>
                    <w:left w:w="0" w:type="dxa"/>
                    <w:bottom w:w="0" w:type="dxa"/>
                    <w:right w:w="0" w:type="dxa"/>
                  </w:tcMar>
                  <w:vAlign w:val="center"/>
                </w:tcPr>
                <w:p w14:paraId="151B957F">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-90.6</w:t>
                  </w:r>
                </w:p>
              </w:tc>
              <w:tc>
                <w:tcPr>
                  <w:tcW w:w="247" w:type="pct"/>
                  <w:tcBorders>
                    <w:tl2br w:val="nil"/>
                    <w:tr2bl w:val="nil"/>
                  </w:tcBorders>
                  <w:shd w:val="clear" w:color="auto" w:fill="FFFFFF"/>
                  <w:tcMar>
                    <w:top w:w="0" w:type="dxa"/>
                    <w:left w:w="0" w:type="dxa"/>
                    <w:bottom w:w="0" w:type="dxa"/>
                    <w:right w:w="0" w:type="dxa"/>
                  </w:tcMar>
                  <w:vAlign w:val="center"/>
                </w:tcPr>
                <w:p w14:paraId="1C69FBAF">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-160.9</w:t>
                  </w:r>
                </w:p>
              </w:tc>
              <w:tc>
                <w:tcPr>
                  <w:tcW w:w="124" w:type="pct"/>
                  <w:tcBorders>
                    <w:tl2br w:val="nil"/>
                    <w:tr2bl w:val="nil"/>
                  </w:tcBorders>
                  <w:shd w:val="clear" w:color="auto" w:fill="FFFFFF"/>
                  <w:tcMar>
                    <w:top w:w="0" w:type="dxa"/>
                    <w:left w:w="0" w:type="dxa"/>
                    <w:bottom w:w="0" w:type="dxa"/>
                    <w:right w:w="0" w:type="dxa"/>
                  </w:tcMar>
                  <w:vAlign w:val="center"/>
                </w:tcPr>
                <w:p w14:paraId="442924C8">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w:t>
                  </w:r>
                </w:p>
              </w:tc>
              <w:tc>
                <w:tcPr>
                  <w:tcW w:w="168" w:type="pct"/>
                  <w:tcBorders>
                    <w:tl2br w:val="nil"/>
                    <w:tr2bl w:val="nil"/>
                  </w:tcBorders>
                  <w:shd w:val="clear" w:color="auto" w:fill="FFFFFF"/>
                  <w:tcMar>
                    <w:top w:w="0" w:type="dxa"/>
                    <w:left w:w="0" w:type="dxa"/>
                    <w:bottom w:w="0" w:type="dxa"/>
                    <w:right w:w="0" w:type="dxa"/>
                  </w:tcMar>
                  <w:vAlign w:val="center"/>
                </w:tcPr>
                <w:p w14:paraId="22753971">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52.5</w:t>
                  </w:r>
                </w:p>
              </w:tc>
              <w:tc>
                <w:tcPr>
                  <w:tcW w:w="168" w:type="pct"/>
                  <w:tcBorders>
                    <w:tl2br w:val="nil"/>
                    <w:tr2bl w:val="nil"/>
                  </w:tcBorders>
                  <w:shd w:val="clear" w:color="auto" w:fill="FFFFFF"/>
                  <w:tcMar>
                    <w:top w:w="0" w:type="dxa"/>
                    <w:left w:w="0" w:type="dxa"/>
                    <w:bottom w:w="0" w:type="dxa"/>
                    <w:right w:w="0" w:type="dxa"/>
                  </w:tcMar>
                  <w:vAlign w:val="center"/>
                </w:tcPr>
                <w:p w14:paraId="53B2D424">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46.6</w:t>
                  </w:r>
                </w:p>
              </w:tc>
              <w:tc>
                <w:tcPr>
                  <w:tcW w:w="214" w:type="pct"/>
                  <w:tcBorders>
                    <w:tl2br w:val="nil"/>
                    <w:tr2bl w:val="nil"/>
                  </w:tcBorders>
                  <w:shd w:val="clear" w:color="auto" w:fill="FFFFFF"/>
                  <w:tcMar>
                    <w:top w:w="0" w:type="dxa"/>
                    <w:left w:w="0" w:type="dxa"/>
                    <w:bottom w:w="0" w:type="dxa"/>
                    <w:right w:w="0" w:type="dxa"/>
                  </w:tcMar>
                  <w:vAlign w:val="center"/>
                </w:tcPr>
                <w:p w14:paraId="328BC19D">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93.7</w:t>
                  </w:r>
                </w:p>
              </w:tc>
              <w:tc>
                <w:tcPr>
                  <w:tcW w:w="214" w:type="pct"/>
                  <w:tcBorders>
                    <w:tl2br w:val="nil"/>
                    <w:tr2bl w:val="nil"/>
                  </w:tcBorders>
                  <w:shd w:val="clear" w:color="auto" w:fill="FFFFFF"/>
                  <w:tcMar>
                    <w:top w:w="0" w:type="dxa"/>
                    <w:left w:w="0" w:type="dxa"/>
                    <w:bottom w:w="0" w:type="dxa"/>
                    <w:right w:w="0" w:type="dxa"/>
                  </w:tcMar>
                  <w:vAlign w:val="center"/>
                </w:tcPr>
                <w:p w14:paraId="378343BF">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15.6</w:t>
                  </w:r>
                </w:p>
              </w:tc>
              <w:tc>
                <w:tcPr>
                  <w:tcW w:w="169" w:type="pct"/>
                  <w:tcBorders>
                    <w:tl2br w:val="nil"/>
                    <w:tr2bl w:val="nil"/>
                  </w:tcBorders>
                  <w:shd w:val="clear" w:color="auto" w:fill="FFFFFF"/>
                  <w:tcMar>
                    <w:top w:w="0" w:type="dxa"/>
                    <w:left w:w="0" w:type="dxa"/>
                    <w:bottom w:w="0" w:type="dxa"/>
                    <w:right w:w="0" w:type="dxa"/>
                  </w:tcMar>
                  <w:vAlign w:val="center"/>
                </w:tcPr>
                <w:p w14:paraId="7602F04B">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72.8</w:t>
                  </w:r>
                </w:p>
              </w:tc>
              <w:tc>
                <w:tcPr>
                  <w:tcW w:w="169" w:type="pct"/>
                  <w:tcBorders>
                    <w:tl2br w:val="nil"/>
                    <w:tr2bl w:val="nil"/>
                  </w:tcBorders>
                  <w:shd w:val="clear" w:color="auto" w:fill="FFFFFF"/>
                  <w:tcMar>
                    <w:top w:w="0" w:type="dxa"/>
                    <w:left w:w="0" w:type="dxa"/>
                    <w:bottom w:w="0" w:type="dxa"/>
                    <w:right w:w="0" w:type="dxa"/>
                  </w:tcMar>
                  <w:vAlign w:val="center"/>
                </w:tcPr>
                <w:p w14:paraId="799F4807">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72.8</w:t>
                  </w:r>
                </w:p>
              </w:tc>
              <w:tc>
                <w:tcPr>
                  <w:tcW w:w="169" w:type="pct"/>
                  <w:tcBorders>
                    <w:tl2br w:val="nil"/>
                    <w:tr2bl w:val="nil"/>
                  </w:tcBorders>
                  <w:shd w:val="clear" w:color="auto" w:fill="FFFFFF"/>
                  <w:tcMar>
                    <w:top w:w="0" w:type="dxa"/>
                    <w:left w:w="0" w:type="dxa"/>
                    <w:bottom w:w="0" w:type="dxa"/>
                    <w:right w:w="0" w:type="dxa"/>
                  </w:tcMar>
                  <w:vAlign w:val="center"/>
                </w:tcPr>
                <w:p w14:paraId="4AAB89A0">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72.8</w:t>
                  </w:r>
                </w:p>
              </w:tc>
              <w:tc>
                <w:tcPr>
                  <w:tcW w:w="169" w:type="pct"/>
                  <w:tcBorders>
                    <w:tl2br w:val="nil"/>
                    <w:tr2bl w:val="nil"/>
                  </w:tcBorders>
                  <w:shd w:val="clear" w:color="auto" w:fill="FFFFFF"/>
                  <w:tcMar>
                    <w:top w:w="0" w:type="dxa"/>
                    <w:left w:w="0" w:type="dxa"/>
                    <w:bottom w:w="0" w:type="dxa"/>
                    <w:right w:w="0" w:type="dxa"/>
                  </w:tcMar>
                  <w:vAlign w:val="center"/>
                </w:tcPr>
                <w:p w14:paraId="2D377529">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73.0</w:t>
                  </w:r>
                </w:p>
              </w:tc>
              <w:tc>
                <w:tcPr>
                  <w:tcW w:w="210" w:type="pct"/>
                  <w:tcBorders>
                    <w:tl2br w:val="nil"/>
                    <w:tr2bl w:val="nil"/>
                  </w:tcBorders>
                  <w:shd w:val="clear" w:color="auto" w:fill="FFFFFF"/>
                  <w:tcMar>
                    <w:top w:w="0" w:type="dxa"/>
                    <w:left w:w="0" w:type="dxa"/>
                    <w:bottom w:w="0" w:type="dxa"/>
                    <w:right w:w="0" w:type="dxa"/>
                  </w:tcMar>
                  <w:vAlign w:val="center"/>
                </w:tcPr>
                <w:p w14:paraId="594E9AEA">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24</w:t>
                  </w:r>
                </w:p>
              </w:tc>
              <w:tc>
                <w:tcPr>
                  <w:tcW w:w="169" w:type="pct"/>
                  <w:tcBorders>
                    <w:tl2br w:val="nil"/>
                    <w:tr2bl w:val="nil"/>
                  </w:tcBorders>
                  <w:shd w:val="clear" w:color="auto" w:fill="FFFFFF"/>
                  <w:tcMar>
                    <w:top w:w="0" w:type="dxa"/>
                    <w:left w:w="0" w:type="dxa"/>
                    <w:bottom w:w="0" w:type="dxa"/>
                    <w:right w:w="0" w:type="dxa"/>
                  </w:tcMar>
                  <w:vAlign w:val="center"/>
                </w:tcPr>
                <w:p w14:paraId="29174006">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9" w:type="pct"/>
                  <w:tcBorders>
                    <w:tl2br w:val="nil"/>
                    <w:tr2bl w:val="nil"/>
                  </w:tcBorders>
                  <w:shd w:val="clear" w:color="auto" w:fill="FFFFFF"/>
                  <w:tcMar>
                    <w:top w:w="0" w:type="dxa"/>
                    <w:left w:w="0" w:type="dxa"/>
                    <w:bottom w:w="0" w:type="dxa"/>
                    <w:right w:w="0" w:type="dxa"/>
                  </w:tcMar>
                  <w:vAlign w:val="center"/>
                </w:tcPr>
                <w:p w14:paraId="440D40B0">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9" w:type="pct"/>
                  <w:tcBorders>
                    <w:tl2br w:val="nil"/>
                    <w:tr2bl w:val="nil"/>
                  </w:tcBorders>
                  <w:shd w:val="clear" w:color="auto" w:fill="FFFFFF"/>
                  <w:tcMar>
                    <w:top w:w="0" w:type="dxa"/>
                    <w:left w:w="0" w:type="dxa"/>
                    <w:bottom w:w="0" w:type="dxa"/>
                    <w:right w:w="0" w:type="dxa"/>
                  </w:tcMar>
                  <w:vAlign w:val="center"/>
                </w:tcPr>
                <w:p w14:paraId="1C9A707F">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9" w:type="pct"/>
                  <w:tcBorders>
                    <w:tl2br w:val="nil"/>
                    <w:tr2bl w:val="nil"/>
                  </w:tcBorders>
                  <w:shd w:val="clear" w:color="auto" w:fill="FFFFFF"/>
                  <w:tcMar>
                    <w:top w:w="0" w:type="dxa"/>
                    <w:left w:w="0" w:type="dxa"/>
                    <w:bottom w:w="0" w:type="dxa"/>
                    <w:right w:w="0" w:type="dxa"/>
                  </w:tcMar>
                  <w:vAlign w:val="center"/>
                </w:tcPr>
                <w:p w14:paraId="32037BA1">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8" w:type="pct"/>
                  <w:tcBorders>
                    <w:tl2br w:val="nil"/>
                    <w:tr2bl w:val="nil"/>
                  </w:tcBorders>
                  <w:shd w:val="clear" w:color="auto" w:fill="FFFFFF"/>
                  <w:tcMar>
                    <w:top w:w="0" w:type="dxa"/>
                    <w:left w:w="0" w:type="dxa"/>
                    <w:bottom w:w="0" w:type="dxa"/>
                    <w:right w:w="0" w:type="dxa"/>
                  </w:tcMar>
                  <w:vAlign w:val="center"/>
                </w:tcPr>
                <w:p w14:paraId="0388A5F0">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60.8</w:t>
                  </w:r>
                </w:p>
              </w:tc>
              <w:tc>
                <w:tcPr>
                  <w:tcW w:w="168" w:type="pct"/>
                  <w:tcBorders>
                    <w:tl2br w:val="nil"/>
                    <w:tr2bl w:val="nil"/>
                  </w:tcBorders>
                  <w:shd w:val="clear" w:color="auto" w:fill="FFFFFF"/>
                  <w:tcMar>
                    <w:top w:w="0" w:type="dxa"/>
                    <w:left w:w="0" w:type="dxa"/>
                    <w:bottom w:w="0" w:type="dxa"/>
                    <w:right w:w="0" w:type="dxa"/>
                  </w:tcMar>
                  <w:vAlign w:val="center"/>
                </w:tcPr>
                <w:p w14:paraId="45FEC028">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60.8</w:t>
                  </w:r>
                </w:p>
              </w:tc>
              <w:tc>
                <w:tcPr>
                  <w:tcW w:w="168" w:type="pct"/>
                  <w:tcBorders>
                    <w:tl2br w:val="nil"/>
                    <w:tr2bl w:val="nil"/>
                  </w:tcBorders>
                  <w:shd w:val="clear" w:color="auto" w:fill="FFFFFF"/>
                  <w:tcMar>
                    <w:top w:w="0" w:type="dxa"/>
                    <w:left w:w="0" w:type="dxa"/>
                    <w:bottom w:w="0" w:type="dxa"/>
                    <w:right w:w="0" w:type="dxa"/>
                  </w:tcMar>
                  <w:vAlign w:val="center"/>
                </w:tcPr>
                <w:p w14:paraId="32B41D4B">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60.8</w:t>
                  </w:r>
                </w:p>
              </w:tc>
              <w:tc>
                <w:tcPr>
                  <w:tcW w:w="168" w:type="pct"/>
                  <w:tcBorders>
                    <w:tl2br w:val="nil"/>
                    <w:tr2bl w:val="nil"/>
                  </w:tcBorders>
                  <w:shd w:val="clear" w:color="auto" w:fill="FFFFFF"/>
                  <w:tcMar>
                    <w:top w:w="0" w:type="dxa"/>
                    <w:left w:w="0" w:type="dxa"/>
                    <w:bottom w:w="0" w:type="dxa"/>
                    <w:right w:w="0" w:type="dxa"/>
                  </w:tcMar>
                  <w:vAlign w:val="center"/>
                </w:tcPr>
                <w:p w14:paraId="2A356FA9">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61.0</w:t>
                  </w:r>
                </w:p>
              </w:tc>
              <w:tc>
                <w:tcPr>
                  <w:tcW w:w="93" w:type="pct"/>
                  <w:tcBorders>
                    <w:tl2br w:val="nil"/>
                    <w:tr2bl w:val="nil"/>
                  </w:tcBorders>
                  <w:shd w:val="clear" w:color="auto" w:fill="FFFFFF"/>
                  <w:tcMar>
                    <w:top w:w="0" w:type="dxa"/>
                    <w:left w:w="0" w:type="dxa"/>
                    <w:bottom w:w="0" w:type="dxa"/>
                    <w:right w:w="0" w:type="dxa"/>
                  </w:tcMar>
                  <w:vAlign w:val="center"/>
                </w:tcPr>
                <w:p w14:paraId="0B1B6644">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w:t>
                  </w:r>
                </w:p>
              </w:tc>
            </w:tr>
            <w:tr w14:paraId="7754B5A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23" w:hRule="atLeast"/>
              </w:trPr>
              <w:tc>
                <w:tcPr>
                  <w:tcW w:w="210" w:type="pct"/>
                  <w:tcBorders>
                    <w:tl2br w:val="nil"/>
                    <w:tr2bl w:val="nil"/>
                  </w:tcBorders>
                  <w:shd w:val="clear" w:color="auto" w:fill="FFFFFF"/>
                  <w:tcMar>
                    <w:top w:w="0" w:type="dxa"/>
                    <w:left w:w="0" w:type="dxa"/>
                    <w:bottom w:w="0" w:type="dxa"/>
                    <w:right w:w="0" w:type="dxa"/>
                  </w:tcMar>
                  <w:vAlign w:val="center"/>
                </w:tcPr>
                <w:p w14:paraId="3ABB979A">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11</w:t>
                  </w:r>
                </w:p>
              </w:tc>
              <w:tc>
                <w:tcPr>
                  <w:tcW w:w="210" w:type="pct"/>
                  <w:tcBorders>
                    <w:tl2br w:val="nil"/>
                    <w:tr2bl w:val="nil"/>
                  </w:tcBorders>
                  <w:shd w:val="clear" w:color="auto" w:fill="FFFFFF"/>
                  <w:tcMar>
                    <w:top w:w="0" w:type="dxa"/>
                    <w:left w:w="0" w:type="dxa"/>
                    <w:bottom w:w="0" w:type="dxa"/>
                    <w:right w:w="0" w:type="dxa"/>
                  </w:tcMar>
                  <w:vAlign w:val="center"/>
                </w:tcPr>
                <w:p w14:paraId="2CB25F3E">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中创空天厂区-铝合金熔铸二厂</w:t>
                  </w:r>
                </w:p>
              </w:tc>
              <w:tc>
                <w:tcPr>
                  <w:tcW w:w="210" w:type="pct"/>
                  <w:tcBorders>
                    <w:tl2br w:val="nil"/>
                    <w:tr2bl w:val="nil"/>
                  </w:tcBorders>
                  <w:shd w:val="clear" w:color="auto" w:fill="FFFFFF"/>
                  <w:tcMar>
                    <w:top w:w="0" w:type="dxa"/>
                    <w:left w:w="0" w:type="dxa"/>
                    <w:bottom w:w="0" w:type="dxa"/>
                    <w:right w:w="0" w:type="dxa"/>
                  </w:tcMar>
                  <w:vAlign w:val="center"/>
                </w:tcPr>
                <w:p w14:paraId="1A756587">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倾动坩埚炉</w:t>
                  </w:r>
                </w:p>
              </w:tc>
              <w:tc>
                <w:tcPr>
                  <w:tcW w:w="210" w:type="pct"/>
                  <w:vMerge w:val="restart"/>
                  <w:tcBorders>
                    <w:tl2br w:val="nil"/>
                    <w:tr2bl w:val="nil"/>
                  </w:tcBorders>
                  <w:shd w:val="clear" w:color="auto" w:fill="FFFFFF"/>
                  <w:tcMar>
                    <w:top w:w="0" w:type="dxa"/>
                    <w:left w:w="0" w:type="dxa"/>
                    <w:bottom w:w="0" w:type="dxa"/>
                    <w:right w:w="0" w:type="dxa"/>
                  </w:tcMar>
                  <w:vAlign w:val="center"/>
                </w:tcPr>
                <w:p w14:paraId="6AAB40CD">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val="en-US" w:eastAsia="zh-CN"/>
                    </w:rPr>
                    <w:t>详见本节上表相关内容</w:t>
                  </w:r>
                </w:p>
              </w:tc>
              <w:tc>
                <w:tcPr>
                  <w:tcW w:w="281" w:type="pct"/>
                  <w:tcBorders>
                    <w:tl2br w:val="nil"/>
                    <w:tr2bl w:val="nil"/>
                  </w:tcBorders>
                  <w:shd w:val="clear" w:color="auto" w:fill="FFFFFF"/>
                  <w:tcMar>
                    <w:top w:w="0" w:type="dxa"/>
                    <w:left w:w="0" w:type="dxa"/>
                    <w:bottom w:w="0" w:type="dxa"/>
                    <w:right w:w="0" w:type="dxa"/>
                  </w:tcMar>
                  <w:vAlign w:val="center"/>
                </w:tcPr>
                <w:p w14:paraId="71ACD2A0">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87.5</w:t>
                  </w:r>
                </w:p>
              </w:tc>
              <w:tc>
                <w:tcPr>
                  <w:tcW w:w="210" w:type="pct"/>
                  <w:tcBorders>
                    <w:tl2br w:val="nil"/>
                    <w:tr2bl w:val="nil"/>
                  </w:tcBorders>
                  <w:shd w:val="clear" w:color="auto" w:fill="FFFFFF"/>
                  <w:tcMar>
                    <w:top w:w="0" w:type="dxa"/>
                    <w:left w:w="0" w:type="dxa"/>
                    <w:bottom w:w="0" w:type="dxa"/>
                    <w:right w:w="0" w:type="dxa"/>
                  </w:tcMar>
                  <w:vAlign w:val="center"/>
                </w:tcPr>
                <w:p w14:paraId="0937AC30">
                  <w:pPr>
                    <w:jc w:val="center"/>
                    <w:rPr>
                      <w:rFonts w:hint="default" w:ascii="Times New Roman" w:hAnsi="Times New Roman" w:eastAsia="宋体" w:cs="Times New Roman"/>
                      <w:color w:val="auto"/>
                      <w:u w:val="none" w:color="auto"/>
                    </w:rPr>
                  </w:pPr>
                </w:p>
              </w:tc>
              <w:tc>
                <w:tcPr>
                  <w:tcW w:w="199" w:type="pct"/>
                  <w:tcBorders>
                    <w:tl2br w:val="nil"/>
                    <w:tr2bl w:val="nil"/>
                  </w:tcBorders>
                  <w:shd w:val="clear" w:color="auto" w:fill="FFFFFF"/>
                  <w:tcMar>
                    <w:top w:w="0" w:type="dxa"/>
                    <w:left w:w="0" w:type="dxa"/>
                    <w:bottom w:w="0" w:type="dxa"/>
                    <w:right w:w="0" w:type="dxa"/>
                  </w:tcMar>
                  <w:vAlign w:val="center"/>
                </w:tcPr>
                <w:p w14:paraId="746CCD80">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-97.3</w:t>
                  </w:r>
                </w:p>
              </w:tc>
              <w:tc>
                <w:tcPr>
                  <w:tcW w:w="247" w:type="pct"/>
                  <w:tcBorders>
                    <w:tl2br w:val="nil"/>
                    <w:tr2bl w:val="nil"/>
                  </w:tcBorders>
                  <w:shd w:val="clear" w:color="auto" w:fill="FFFFFF"/>
                  <w:tcMar>
                    <w:top w:w="0" w:type="dxa"/>
                    <w:left w:w="0" w:type="dxa"/>
                    <w:bottom w:w="0" w:type="dxa"/>
                    <w:right w:w="0" w:type="dxa"/>
                  </w:tcMar>
                  <w:vAlign w:val="center"/>
                </w:tcPr>
                <w:p w14:paraId="3A3F627D">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-168.2</w:t>
                  </w:r>
                </w:p>
              </w:tc>
              <w:tc>
                <w:tcPr>
                  <w:tcW w:w="124" w:type="pct"/>
                  <w:tcBorders>
                    <w:tl2br w:val="nil"/>
                    <w:tr2bl w:val="nil"/>
                  </w:tcBorders>
                  <w:shd w:val="clear" w:color="auto" w:fill="FFFFFF"/>
                  <w:tcMar>
                    <w:top w:w="0" w:type="dxa"/>
                    <w:left w:w="0" w:type="dxa"/>
                    <w:bottom w:w="0" w:type="dxa"/>
                    <w:right w:w="0" w:type="dxa"/>
                  </w:tcMar>
                  <w:vAlign w:val="center"/>
                </w:tcPr>
                <w:p w14:paraId="7B5A7C77">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w:t>
                  </w:r>
                </w:p>
              </w:tc>
              <w:tc>
                <w:tcPr>
                  <w:tcW w:w="168" w:type="pct"/>
                  <w:tcBorders>
                    <w:tl2br w:val="nil"/>
                    <w:tr2bl w:val="nil"/>
                  </w:tcBorders>
                  <w:shd w:val="clear" w:color="auto" w:fill="FFFFFF"/>
                  <w:tcMar>
                    <w:top w:w="0" w:type="dxa"/>
                    <w:left w:w="0" w:type="dxa"/>
                    <w:bottom w:w="0" w:type="dxa"/>
                    <w:right w:w="0" w:type="dxa"/>
                  </w:tcMar>
                  <w:vAlign w:val="center"/>
                </w:tcPr>
                <w:p w14:paraId="0D77F85C">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53.6</w:t>
                  </w:r>
                </w:p>
              </w:tc>
              <w:tc>
                <w:tcPr>
                  <w:tcW w:w="168" w:type="pct"/>
                  <w:tcBorders>
                    <w:tl2br w:val="nil"/>
                    <w:tr2bl w:val="nil"/>
                  </w:tcBorders>
                  <w:shd w:val="clear" w:color="auto" w:fill="FFFFFF"/>
                  <w:tcMar>
                    <w:top w:w="0" w:type="dxa"/>
                    <w:left w:w="0" w:type="dxa"/>
                    <w:bottom w:w="0" w:type="dxa"/>
                    <w:right w:w="0" w:type="dxa"/>
                  </w:tcMar>
                  <w:vAlign w:val="center"/>
                </w:tcPr>
                <w:p w14:paraId="528551D7">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36.8</w:t>
                  </w:r>
                </w:p>
              </w:tc>
              <w:tc>
                <w:tcPr>
                  <w:tcW w:w="214" w:type="pct"/>
                  <w:tcBorders>
                    <w:tl2br w:val="nil"/>
                    <w:tr2bl w:val="nil"/>
                  </w:tcBorders>
                  <w:shd w:val="clear" w:color="auto" w:fill="FFFFFF"/>
                  <w:tcMar>
                    <w:top w:w="0" w:type="dxa"/>
                    <w:left w:w="0" w:type="dxa"/>
                    <w:bottom w:w="0" w:type="dxa"/>
                    <w:right w:w="0" w:type="dxa"/>
                  </w:tcMar>
                  <w:vAlign w:val="center"/>
                </w:tcPr>
                <w:p w14:paraId="0E24215B">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92.2</w:t>
                  </w:r>
                </w:p>
              </w:tc>
              <w:tc>
                <w:tcPr>
                  <w:tcW w:w="214" w:type="pct"/>
                  <w:tcBorders>
                    <w:tl2br w:val="nil"/>
                    <w:tr2bl w:val="nil"/>
                  </w:tcBorders>
                  <w:shd w:val="clear" w:color="auto" w:fill="FFFFFF"/>
                  <w:tcMar>
                    <w:top w:w="0" w:type="dxa"/>
                    <w:left w:w="0" w:type="dxa"/>
                    <w:bottom w:w="0" w:type="dxa"/>
                    <w:right w:w="0" w:type="dxa"/>
                  </w:tcMar>
                  <w:vAlign w:val="center"/>
                </w:tcPr>
                <w:p w14:paraId="0B3DFEB5">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25.4</w:t>
                  </w:r>
                </w:p>
              </w:tc>
              <w:tc>
                <w:tcPr>
                  <w:tcW w:w="169" w:type="pct"/>
                  <w:tcBorders>
                    <w:tl2br w:val="nil"/>
                    <w:tr2bl w:val="nil"/>
                  </w:tcBorders>
                  <w:shd w:val="clear" w:color="auto" w:fill="FFFFFF"/>
                  <w:tcMar>
                    <w:top w:w="0" w:type="dxa"/>
                    <w:left w:w="0" w:type="dxa"/>
                    <w:bottom w:w="0" w:type="dxa"/>
                    <w:right w:w="0" w:type="dxa"/>
                  </w:tcMar>
                  <w:vAlign w:val="center"/>
                </w:tcPr>
                <w:p w14:paraId="5EB8C79E">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67.8</w:t>
                  </w:r>
                </w:p>
              </w:tc>
              <w:tc>
                <w:tcPr>
                  <w:tcW w:w="169" w:type="pct"/>
                  <w:tcBorders>
                    <w:tl2br w:val="nil"/>
                    <w:tr2bl w:val="nil"/>
                  </w:tcBorders>
                  <w:shd w:val="clear" w:color="auto" w:fill="FFFFFF"/>
                  <w:tcMar>
                    <w:top w:w="0" w:type="dxa"/>
                    <w:left w:w="0" w:type="dxa"/>
                    <w:bottom w:w="0" w:type="dxa"/>
                    <w:right w:w="0" w:type="dxa"/>
                  </w:tcMar>
                  <w:vAlign w:val="center"/>
                </w:tcPr>
                <w:p w14:paraId="3D59C57F">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67.8</w:t>
                  </w:r>
                </w:p>
              </w:tc>
              <w:tc>
                <w:tcPr>
                  <w:tcW w:w="169" w:type="pct"/>
                  <w:tcBorders>
                    <w:tl2br w:val="nil"/>
                    <w:tr2bl w:val="nil"/>
                  </w:tcBorders>
                  <w:shd w:val="clear" w:color="auto" w:fill="FFFFFF"/>
                  <w:tcMar>
                    <w:top w:w="0" w:type="dxa"/>
                    <w:left w:w="0" w:type="dxa"/>
                    <w:bottom w:w="0" w:type="dxa"/>
                    <w:right w:w="0" w:type="dxa"/>
                  </w:tcMar>
                  <w:vAlign w:val="center"/>
                </w:tcPr>
                <w:p w14:paraId="23D37244">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67.8</w:t>
                  </w:r>
                </w:p>
              </w:tc>
              <w:tc>
                <w:tcPr>
                  <w:tcW w:w="169" w:type="pct"/>
                  <w:tcBorders>
                    <w:tl2br w:val="nil"/>
                    <w:tr2bl w:val="nil"/>
                  </w:tcBorders>
                  <w:shd w:val="clear" w:color="auto" w:fill="FFFFFF"/>
                  <w:tcMar>
                    <w:top w:w="0" w:type="dxa"/>
                    <w:left w:w="0" w:type="dxa"/>
                    <w:bottom w:w="0" w:type="dxa"/>
                    <w:right w:w="0" w:type="dxa"/>
                  </w:tcMar>
                  <w:vAlign w:val="center"/>
                </w:tcPr>
                <w:p w14:paraId="3F87A23D">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67.9</w:t>
                  </w:r>
                </w:p>
              </w:tc>
              <w:tc>
                <w:tcPr>
                  <w:tcW w:w="210" w:type="pct"/>
                  <w:tcBorders>
                    <w:tl2br w:val="nil"/>
                    <w:tr2bl w:val="nil"/>
                  </w:tcBorders>
                  <w:shd w:val="clear" w:color="auto" w:fill="FFFFFF"/>
                  <w:tcMar>
                    <w:top w:w="0" w:type="dxa"/>
                    <w:left w:w="0" w:type="dxa"/>
                    <w:bottom w:w="0" w:type="dxa"/>
                    <w:right w:w="0" w:type="dxa"/>
                  </w:tcMar>
                  <w:vAlign w:val="center"/>
                </w:tcPr>
                <w:p w14:paraId="4F44081E">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24</w:t>
                  </w:r>
                </w:p>
              </w:tc>
              <w:tc>
                <w:tcPr>
                  <w:tcW w:w="169" w:type="pct"/>
                  <w:tcBorders>
                    <w:tl2br w:val="nil"/>
                    <w:tr2bl w:val="nil"/>
                  </w:tcBorders>
                  <w:shd w:val="clear" w:color="auto" w:fill="FFFFFF"/>
                  <w:tcMar>
                    <w:top w:w="0" w:type="dxa"/>
                    <w:left w:w="0" w:type="dxa"/>
                    <w:bottom w:w="0" w:type="dxa"/>
                    <w:right w:w="0" w:type="dxa"/>
                  </w:tcMar>
                  <w:vAlign w:val="center"/>
                </w:tcPr>
                <w:p w14:paraId="15F016B8">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9" w:type="pct"/>
                  <w:tcBorders>
                    <w:tl2br w:val="nil"/>
                    <w:tr2bl w:val="nil"/>
                  </w:tcBorders>
                  <w:shd w:val="clear" w:color="auto" w:fill="FFFFFF"/>
                  <w:tcMar>
                    <w:top w:w="0" w:type="dxa"/>
                    <w:left w:w="0" w:type="dxa"/>
                    <w:bottom w:w="0" w:type="dxa"/>
                    <w:right w:w="0" w:type="dxa"/>
                  </w:tcMar>
                  <w:vAlign w:val="center"/>
                </w:tcPr>
                <w:p w14:paraId="15DA5C94">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9" w:type="pct"/>
                  <w:tcBorders>
                    <w:tl2br w:val="nil"/>
                    <w:tr2bl w:val="nil"/>
                  </w:tcBorders>
                  <w:shd w:val="clear" w:color="auto" w:fill="FFFFFF"/>
                  <w:tcMar>
                    <w:top w:w="0" w:type="dxa"/>
                    <w:left w:w="0" w:type="dxa"/>
                    <w:bottom w:w="0" w:type="dxa"/>
                    <w:right w:w="0" w:type="dxa"/>
                  </w:tcMar>
                  <w:vAlign w:val="center"/>
                </w:tcPr>
                <w:p w14:paraId="558FAC8D">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9" w:type="pct"/>
                  <w:tcBorders>
                    <w:tl2br w:val="nil"/>
                    <w:tr2bl w:val="nil"/>
                  </w:tcBorders>
                  <w:shd w:val="clear" w:color="auto" w:fill="FFFFFF"/>
                  <w:tcMar>
                    <w:top w:w="0" w:type="dxa"/>
                    <w:left w:w="0" w:type="dxa"/>
                    <w:bottom w:w="0" w:type="dxa"/>
                    <w:right w:w="0" w:type="dxa"/>
                  </w:tcMar>
                  <w:vAlign w:val="center"/>
                </w:tcPr>
                <w:p w14:paraId="6969D587">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8" w:type="pct"/>
                  <w:tcBorders>
                    <w:tl2br w:val="nil"/>
                    <w:tr2bl w:val="nil"/>
                  </w:tcBorders>
                  <w:shd w:val="clear" w:color="auto" w:fill="FFFFFF"/>
                  <w:tcMar>
                    <w:top w:w="0" w:type="dxa"/>
                    <w:left w:w="0" w:type="dxa"/>
                    <w:bottom w:w="0" w:type="dxa"/>
                    <w:right w:w="0" w:type="dxa"/>
                  </w:tcMar>
                  <w:vAlign w:val="center"/>
                </w:tcPr>
                <w:p w14:paraId="7AE65EAF">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55.8</w:t>
                  </w:r>
                </w:p>
              </w:tc>
              <w:tc>
                <w:tcPr>
                  <w:tcW w:w="168" w:type="pct"/>
                  <w:tcBorders>
                    <w:tl2br w:val="nil"/>
                    <w:tr2bl w:val="nil"/>
                  </w:tcBorders>
                  <w:shd w:val="clear" w:color="auto" w:fill="FFFFFF"/>
                  <w:tcMar>
                    <w:top w:w="0" w:type="dxa"/>
                    <w:left w:w="0" w:type="dxa"/>
                    <w:bottom w:w="0" w:type="dxa"/>
                    <w:right w:w="0" w:type="dxa"/>
                  </w:tcMar>
                  <w:vAlign w:val="center"/>
                </w:tcPr>
                <w:p w14:paraId="6340E37D">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55.8</w:t>
                  </w:r>
                </w:p>
              </w:tc>
              <w:tc>
                <w:tcPr>
                  <w:tcW w:w="168" w:type="pct"/>
                  <w:tcBorders>
                    <w:tl2br w:val="nil"/>
                    <w:tr2bl w:val="nil"/>
                  </w:tcBorders>
                  <w:shd w:val="clear" w:color="auto" w:fill="FFFFFF"/>
                  <w:tcMar>
                    <w:top w:w="0" w:type="dxa"/>
                    <w:left w:w="0" w:type="dxa"/>
                    <w:bottom w:w="0" w:type="dxa"/>
                    <w:right w:w="0" w:type="dxa"/>
                  </w:tcMar>
                  <w:vAlign w:val="center"/>
                </w:tcPr>
                <w:p w14:paraId="30425A5D">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55.8</w:t>
                  </w:r>
                </w:p>
              </w:tc>
              <w:tc>
                <w:tcPr>
                  <w:tcW w:w="168" w:type="pct"/>
                  <w:tcBorders>
                    <w:tl2br w:val="nil"/>
                    <w:tr2bl w:val="nil"/>
                  </w:tcBorders>
                  <w:shd w:val="clear" w:color="auto" w:fill="FFFFFF"/>
                  <w:tcMar>
                    <w:top w:w="0" w:type="dxa"/>
                    <w:left w:w="0" w:type="dxa"/>
                    <w:bottom w:w="0" w:type="dxa"/>
                    <w:right w:w="0" w:type="dxa"/>
                  </w:tcMar>
                  <w:vAlign w:val="center"/>
                </w:tcPr>
                <w:p w14:paraId="0797A08B">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55.9</w:t>
                  </w:r>
                </w:p>
              </w:tc>
              <w:tc>
                <w:tcPr>
                  <w:tcW w:w="93" w:type="pct"/>
                  <w:tcBorders>
                    <w:tl2br w:val="nil"/>
                    <w:tr2bl w:val="nil"/>
                  </w:tcBorders>
                  <w:shd w:val="clear" w:color="auto" w:fill="FFFFFF"/>
                  <w:tcMar>
                    <w:top w:w="0" w:type="dxa"/>
                    <w:left w:w="0" w:type="dxa"/>
                    <w:bottom w:w="0" w:type="dxa"/>
                    <w:right w:w="0" w:type="dxa"/>
                  </w:tcMar>
                  <w:vAlign w:val="center"/>
                </w:tcPr>
                <w:p w14:paraId="5619B4C8">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w:t>
                  </w:r>
                </w:p>
              </w:tc>
            </w:tr>
            <w:tr w14:paraId="72162DB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23" w:hRule="atLeast"/>
              </w:trPr>
              <w:tc>
                <w:tcPr>
                  <w:tcW w:w="210" w:type="pct"/>
                  <w:tcBorders>
                    <w:tl2br w:val="nil"/>
                    <w:tr2bl w:val="nil"/>
                  </w:tcBorders>
                  <w:shd w:val="clear" w:color="auto" w:fill="FFFFFF"/>
                  <w:tcMar>
                    <w:top w:w="0" w:type="dxa"/>
                    <w:left w:w="0" w:type="dxa"/>
                    <w:bottom w:w="0" w:type="dxa"/>
                    <w:right w:w="0" w:type="dxa"/>
                  </w:tcMar>
                  <w:vAlign w:val="center"/>
                </w:tcPr>
                <w:p w14:paraId="239834C3">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w:t>
                  </w:r>
                </w:p>
              </w:tc>
              <w:tc>
                <w:tcPr>
                  <w:tcW w:w="210" w:type="pct"/>
                  <w:tcBorders>
                    <w:tl2br w:val="nil"/>
                    <w:tr2bl w:val="nil"/>
                  </w:tcBorders>
                  <w:shd w:val="clear" w:color="auto" w:fill="FFFFFF"/>
                  <w:tcMar>
                    <w:top w:w="0" w:type="dxa"/>
                    <w:left w:w="0" w:type="dxa"/>
                    <w:bottom w:w="0" w:type="dxa"/>
                    <w:right w:w="0" w:type="dxa"/>
                  </w:tcMar>
                  <w:vAlign w:val="center"/>
                </w:tcPr>
                <w:p w14:paraId="2E2CF377">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中创空天厂区-铝合金熔铸二厂</w:t>
                  </w:r>
                </w:p>
              </w:tc>
              <w:tc>
                <w:tcPr>
                  <w:tcW w:w="210" w:type="pct"/>
                  <w:tcBorders>
                    <w:tl2br w:val="nil"/>
                    <w:tr2bl w:val="nil"/>
                  </w:tcBorders>
                  <w:shd w:val="clear" w:color="auto" w:fill="FFFFFF"/>
                  <w:tcMar>
                    <w:top w:w="0" w:type="dxa"/>
                    <w:left w:w="0" w:type="dxa"/>
                    <w:bottom w:w="0" w:type="dxa"/>
                    <w:right w:w="0" w:type="dxa"/>
                  </w:tcMar>
                  <w:vAlign w:val="center"/>
                </w:tcPr>
                <w:p w14:paraId="35480AD0">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烤包器组,3台（按点声源组预测）</w:t>
                  </w:r>
                </w:p>
              </w:tc>
              <w:tc>
                <w:tcPr>
                  <w:tcW w:w="210" w:type="pct"/>
                  <w:vMerge w:val="continue"/>
                  <w:tcBorders>
                    <w:tl2br w:val="nil"/>
                    <w:tr2bl w:val="nil"/>
                  </w:tcBorders>
                  <w:shd w:val="clear" w:color="auto" w:fill="FFFFFF"/>
                  <w:tcMar>
                    <w:top w:w="0" w:type="dxa"/>
                    <w:left w:w="0" w:type="dxa"/>
                    <w:bottom w:w="0" w:type="dxa"/>
                    <w:right w:w="0" w:type="dxa"/>
                  </w:tcMar>
                  <w:vAlign w:val="center"/>
                </w:tcPr>
                <w:p w14:paraId="22CBAAD2">
                  <w:pPr>
                    <w:jc w:val="center"/>
                    <w:rPr>
                      <w:rFonts w:hint="default" w:ascii="Times New Roman" w:hAnsi="Times New Roman" w:eastAsia="宋体" w:cs="Times New Roman"/>
                      <w:color w:val="auto"/>
                      <w:u w:val="none" w:color="auto"/>
                    </w:rPr>
                  </w:pPr>
                </w:p>
              </w:tc>
              <w:tc>
                <w:tcPr>
                  <w:tcW w:w="281" w:type="pct"/>
                  <w:tcBorders>
                    <w:tl2br w:val="nil"/>
                    <w:tr2bl w:val="nil"/>
                  </w:tcBorders>
                  <w:shd w:val="clear" w:color="auto" w:fill="FFFFFF"/>
                  <w:tcMar>
                    <w:top w:w="0" w:type="dxa"/>
                    <w:left w:w="0" w:type="dxa"/>
                    <w:bottom w:w="0" w:type="dxa"/>
                    <w:right w:w="0" w:type="dxa"/>
                  </w:tcMar>
                  <w:vAlign w:val="center"/>
                </w:tcPr>
                <w:p w14:paraId="2AFE4CDC">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82.5（等效后：87.3)</w:t>
                  </w:r>
                </w:p>
              </w:tc>
              <w:tc>
                <w:tcPr>
                  <w:tcW w:w="210" w:type="pct"/>
                  <w:tcBorders>
                    <w:tl2br w:val="nil"/>
                    <w:tr2bl w:val="nil"/>
                  </w:tcBorders>
                  <w:shd w:val="clear" w:color="auto" w:fill="FFFFFF"/>
                  <w:tcMar>
                    <w:top w:w="0" w:type="dxa"/>
                    <w:left w:w="0" w:type="dxa"/>
                    <w:bottom w:w="0" w:type="dxa"/>
                    <w:right w:w="0" w:type="dxa"/>
                  </w:tcMar>
                  <w:vAlign w:val="center"/>
                </w:tcPr>
                <w:p w14:paraId="118A241E">
                  <w:pPr>
                    <w:jc w:val="center"/>
                    <w:rPr>
                      <w:rFonts w:hint="default" w:ascii="Times New Roman" w:hAnsi="Times New Roman" w:eastAsia="宋体" w:cs="Times New Roman"/>
                      <w:color w:val="auto"/>
                      <w:u w:val="none" w:color="auto"/>
                    </w:rPr>
                  </w:pPr>
                </w:p>
              </w:tc>
              <w:tc>
                <w:tcPr>
                  <w:tcW w:w="199" w:type="pct"/>
                  <w:tcBorders>
                    <w:tl2br w:val="nil"/>
                    <w:tr2bl w:val="nil"/>
                  </w:tcBorders>
                  <w:shd w:val="clear" w:color="auto" w:fill="FFFFFF"/>
                  <w:tcMar>
                    <w:top w:w="0" w:type="dxa"/>
                    <w:left w:w="0" w:type="dxa"/>
                    <w:bottom w:w="0" w:type="dxa"/>
                    <w:right w:w="0" w:type="dxa"/>
                  </w:tcMar>
                  <w:vAlign w:val="center"/>
                </w:tcPr>
                <w:p w14:paraId="59B0B269">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-72.1</w:t>
                  </w:r>
                </w:p>
              </w:tc>
              <w:tc>
                <w:tcPr>
                  <w:tcW w:w="247" w:type="pct"/>
                  <w:tcBorders>
                    <w:tl2br w:val="nil"/>
                    <w:tr2bl w:val="nil"/>
                  </w:tcBorders>
                  <w:shd w:val="clear" w:color="auto" w:fill="FFFFFF"/>
                  <w:tcMar>
                    <w:top w:w="0" w:type="dxa"/>
                    <w:left w:w="0" w:type="dxa"/>
                    <w:bottom w:w="0" w:type="dxa"/>
                    <w:right w:w="0" w:type="dxa"/>
                  </w:tcMar>
                  <w:vAlign w:val="center"/>
                </w:tcPr>
                <w:p w14:paraId="51A81595">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-164.7</w:t>
                  </w:r>
                </w:p>
              </w:tc>
              <w:tc>
                <w:tcPr>
                  <w:tcW w:w="124" w:type="pct"/>
                  <w:tcBorders>
                    <w:tl2br w:val="nil"/>
                    <w:tr2bl w:val="nil"/>
                  </w:tcBorders>
                  <w:shd w:val="clear" w:color="auto" w:fill="FFFFFF"/>
                  <w:tcMar>
                    <w:top w:w="0" w:type="dxa"/>
                    <w:left w:w="0" w:type="dxa"/>
                    <w:bottom w:w="0" w:type="dxa"/>
                    <w:right w:w="0" w:type="dxa"/>
                  </w:tcMar>
                  <w:vAlign w:val="center"/>
                </w:tcPr>
                <w:p w14:paraId="3E56A4B8">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w:t>
                  </w:r>
                </w:p>
              </w:tc>
              <w:tc>
                <w:tcPr>
                  <w:tcW w:w="168" w:type="pct"/>
                  <w:tcBorders>
                    <w:tl2br w:val="nil"/>
                    <w:tr2bl w:val="nil"/>
                  </w:tcBorders>
                  <w:shd w:val="clear" w:color="auto" w:fill="FFFFFF"/>
                  <w:tcMar>
                    <w:top w:w="0" w:type="dxa"/>
                    <w:left w:w="0" w:type="dxa"/>
                    <w:bottom w:w="0" w:type="dxa"/>
                    <w:right w:w="0" w:type="dxa"/>
                  </w:tcMar>
                  <w:vAlign w:val="center"/>
                </w:tcPr>
                <w:p w14:paraId="202C9AD0">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35.4</w:t>
                  </w:r>
                </w:p>
              </w:tc>
              <w:tc>
                <w:tcPr>
                  <w:tcW w:w="168" w:type="pct"/>
                  <w:tcBorders>
                    <w:tl2br w:val="nil"/>
                    <w:tr2bl w:val="nil"/>
                  </w:tcBorders>
                  <w:shd w:val="clear" w:color="auto" w:fill="FFFFFF"/>
                  <w:tcMar>
                    <w:top w:w="0" w:type="dxa"/>
                    <w:left w:w="0" w:type="dxa"/>
                    <w:bottom w:w="0" w:type="dxa"/>
                    <w:right w:w="0" w:type="dxa"/>
                  </w:tcMar>
                  <w:vAlign w:val="center"/>
                </w:tcPr>
                <w:p w14:paraId="78511ED6">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54.1</w:t>
                  </w:r>
                </w:p>
              </w:tc>
              <w:tc>
                <w:tcPr>
                  <w:tcW w:w="214" w:type="pct"/>
                  <w:tcBorders>
                    <w:tl2br w:val="nil"/>
                    <w:tr2bl w:val="nil"/>
                  </w:tcBorders>
                  <w:shd w:val="clear" w:color="auto" w:fill="FFFFFF"/>
                  <w:tcMar>
                    <w:top w:w="0" w:type="dxa"/>
                    <w:left w:w="0" w:type="dxa"/>
                    <w:bottom w:w="0" w:type="dxa"/>
                    <w:right w:w="0" w:type="dxa"/>
                  </w:tcMar>
                  <w:vAlign w:val="center"/>
                </w:tcPr>
                <w:p w14:paraId="3C4880CE">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111.1</w:t>
                  </w:r>
                </w:p>
              </w:tc>
              <w:tc>
                <w:tcPr>
                  <w:tcW w:w="214" w:type="pct"/>
                  <w:tcBorders>
                    <w:tl2br w:val="nil"/>
                    <w:tr2bl w:val="nil"/>
                  </w:tcBorders>
                  <w:shd w:val="clear" w:color="auto" w:fill="FFFFFF"/>
                  <w:tcMar>
                    <w:top w:w="0" w:type="dxa"/>
                    <w:left w:w="0" w:type="dxa"/>
                    <w:bottom w:w="0" w:type="dxa"/>
                    <w:right w:w="0" w:type="dxa"/>
                  </w:tcMar>
                  <w:vAlign w:val="center"/>
                </w:tcPr>
                <w:p w14:paraId="43144B78">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8.2</w:t>
                  </w:r>
                </w:p>
              </w:tc>
              <w:tc>
                <w:tcPr>
                  <w:tcW w:w="169" w:type="pct"/>
                  <w:tcBorders>
                    <w:tl2br w:val="nil"/>
                    <w:tr2bl w:val="nil"/>
                  </w:tcBorders>
                  <w:shd w:val="clear" w:color="auto" w:fill="FFFFFF"/>
                  <w:tcMar>
                    <w:top w:w="0" w:type="dxa"/>
                    <w:left w:w="0" w:type="dxa"/>
                    <w:bottom w:w="0" w:type="dxa"/>
                    <w:right w:w="0" w:type="dxa"/>
                  </w:tcMar>
                  <w:vAlign w:val="center"/>
                </w:tcPr>
                <w:p w14:paraId="56007C32">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67.6</w:t>
                  </w:r>
                </w:p>
              </w:tc>
              <w:tc>
                <w:tcPr>
                  <w:tcW w:w="169" w:type="pct"/>
                  <w:tcBorders>
                    <w:tl2br w:val="nil"/>
                    <w:tr2bl w:val="nil"/>
                  </w:tcBorders>
                  <w:shd w:val="clear" w:color="auto" w:fill="FFFFFF"/>
                  <w:tcMar>
                    <w:top w:w="0" w:type="dxa"/>
                    <w:left w:w="0" w:type="dxa"/>
                    <w:bottom w:w="0" w:type="dxa"/>
                    <w:right w:w="0" w:type="dxa"/>
                  </w:tcMar>
                  <w:vAlign w:val="center"/>
                </w:tcPr>
                <w:p w14:paraId="5179D1FB">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67.6</w:t>
                  </w:r>
                </w:p>
              </w:tc>
              <w:tc>
                <w:tcPr>
                  <w:tcW w:w="169" w:type="pct"/>
                  <w:tcBorders>
                    <w:tl2br w:val="nil"/>
                    <w:tr2bl w:val="nil"/>
                  </w:tcBorders>
                  <w:shd w:val="clear" w:color="auto" w:fill="FFFFFF"/>
                  <w:tcMar>
                    <w:top w:w="0" w:type="dxa"/>
                    <w:left w:w="0" w:type="dxa"/>
                    <w:bottom w:w="0" w:type="dxa"/>
                    <w:right w:w="0" w:type="dxa"/>
                  </w:tcMar>
                  <w:vAlign w:val="center"/>
                </w:tcPr>
                <w:p w14:paraId="02E393A2">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67.6</w:t>
                  </w:r>
                </w:p>
              </w:tc>
              <w:tc>
                <w:tcPr>
                  <w:tcW w:w="169" w:type="pct"/>
                  <w:tcBorders>
                    <w:tl2br w:val="nil"/>
                    <w:tr2bl w:val="nil"/>
                  </w:tcBorders>
                  <w:shd w:val="clear" w:color="auto" w:fill="FFFFFF"/>
                  <w:tcMar>
                    <w:top w:w="0" w:type="dxa"/>
                    <w:left w:w="0" w:type="dxa"/>
                    <w:bottom w:w="0" w:type="dxa"/>
                    <w:right w:w="0" w:type="dxa"/>
                  </w:tcMar>
                  <w:vAlign w:val="center"/>
                </w:tcPr>
                <w:p w14:paraId="138870D5">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68.1</w:t>
                  </w:r>
                </w:p>
              </w:tc>
              <w:tc>
                <w:tcPr>
                  <w:tcW w:w="210" w:type="pct"/>
                  <w:tcBorders>
                    <w:tl2br w:val="nil"/>
                    <w:tr2bl w:val="nil"/>
                  </w:tcBorders>
                  <w:shd w:val="clear" w:color="auto" w:fill="FFFFFF"/>
                  <w:tcMar>
                    <w:top w:w="0" w:type="dxa"/>
                    <w:left w:w="0" w:type="dxa"/>
                    <w:bottom w:w="0" w:type="dxa"/>
                    <w:right w:w="0" w:type="dxa"/>
                  </w:tcMar>
                  <w:vAlign w:val="center"/>
                </w:tcPr>
                <w:p w14:paraId="3737C94C">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24</w:t>
                  </w:r>
                </w:p>
              </w:tc>
              <w:tc>
                <w:tcPr>
                  <w:tcW w:w="169" w:type="pct"/>
                  <w:tcBorders>
                    <w:tl2br w:val="nil"/>
                    <w:tr2bl w:val="nil"/>
                  </w:tcBorders>
                  <w:shd w:val="clear" w:color="auto" w:fill="FFFFFF"/>
                  <w:tcMar>
                    <w:top w:w="0" w:type="dxa"/>
                    <w:left w:w="0" w:type="dxa"/>
                    <w:bottom w:w="0" w:type="dxa"/>
                    <w:right w:w="0" w:type="dxa"/>
                  </w:tcMar>
                  <w:vAlign w:val="center"/>
                </w:tcPr>
                <w:p w14:paraId="3AB0746D">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9" w:type="pct"/>
                  <w:tcBorders>
                    <w:tl2br w:val="nil"/>
                    <w:tr2bl w:val="nil"/>
                  </w:tcBorders>
                  <w:shd w:val="clear" w:color="auto" w:fill="FFFFFF"/>
                  <w:tcMar>
                    <w:top w:w="0" w:type="dxa"/>
                    <w:left w:w="0" w:type="dxa"/>
                    <w:bottom w:w="0" w:type="dxa"/>
                    <w:right w:w="0" w:type="dxa"/>
                  </w:tcMar>
                  <w:vAlign w:val="center"/>
                </w:tcPr>
                <w:p w14:paraId="176093D8">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9" w:type="pct"/>
                  <w:tcBorders>
                    <w:tl2br w:val="nil"/>
                    <w:tr2bl w:val="nil"/>
                  </w:tcBorders>
                  <w:shd w:val="clear" w:color="auto" w:fill="FFFFFF"/>
                  <w:tcMar>
                    <w:top w:w="0" w:type="dxa"/>
                    <w:left w:w="0" w:type="dxa"/>
                    <w:bottom w:w="0" w:type="dxa"/>
                    <w:right w:w="0" w:type="dxa"/>
                  </w:tcMar>
                  <w:vAlign w:val="center"/>
                </w:tcPr>
                <w:p w14:paraId="1873A101">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9" w:type="pct"/>
                  <w:tcBorders>
                    <w:tl2br w:val="nil"/>
                    <w:tr2bl w:val="nil"/>
                  </w:tcBorders>
                  <w:shd w:val="clear" w:color="auto" w:fill="FFFFFF"/>
                  <w:tcMar>
                    <w:top w:w="0" w:type="dxa"/>
                    <w:left w:w="0" w:type="dxa"/>
                    <w:bottom w:w="0" w:type="dxa"/>
                    <w:right w:w="0" w:type="dxa"/>
                  </w:tcMar>
                  <w:vAlign w:val="center"/>
                </w:tcPr>
                <w:p w14:paraId="2E54165C">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8" w:type="pct"/>
                  <w:tcBorders>
                    <w:tl2br w:val="nil"/>
                    <w:tr2bl w:val="nil"/>
                  </w:tcBorders>
                  <w:shd w:val="clear" w:color="auto" w:fill="FFFFFF"/>
                  <w:tcMar>
                    <w:top w:w="0" w:type="dxa"/>
                    <w:left w:w="0" w:type="dxa"/>
                    <w:bottom w:w="0" w:type="dxa"/>
                    <w:right w:w="0" w:type="dxa"/>
                  </w:tcMar>
                  <w:vAlign w:val="center"/>
                </w:tcPr>
                <w:p w14:paraId="5AA9D079">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55.6</w:t>
                  </w:r>
                </w:p>
              </w:tc>
              <w:tc>
                <w:tcPr>
                  <w:tcW w:w="168" w:type="pct"/>
                  <w:tcBorders>
                    <w:tl2br w:val="nil"/>
                    <w:tr2bl w:val="nil"/>
                  </w:tcBorders>
                  <w:shd w:val="clear" w:color="auto" w:fill="FFFFFF"/>
                  <w:tcMar>
                    <w:top w:w="0" w:type="dxa"/>
                    <w:left w:w="0" w:type="dxa"/>
                    <w:bottom w:w="0" w:type="dxa"/>
                    <w:right w:w="0" w:type="dxa"/>
                  </w:tcMar>
                  <w:vAlign w:val="center"/>
                </w:tcPr>
                <w:p w14:paraId="63192A24">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55.6</w:t>
                  </w:r>
                </w:p>
              </w:tc>
              <w:tc>
                <w:tcPr>
                  <w:tcW w:w="168" w:type="pct"/>
                  <w:tcBorders>
                    <w:tl2br w:val="nil"/>
                    <w:tr2bl w:val="nil"/>
                  </w:tcBorders>
                  <w:shd w:val="clear" w:color="auto" w:fill="FFFFFF"/>
                  <w:tcMar>
                    <w:top w:w="0" w:type="dxa"/>
                    <w:left w:w="0" w:type="dxa"/>
                    <w:bottom w:w="0" w:type="dxa"/>
                    <w:right w:w="0" w:type="dxa"/>
                  </w:tcMar>
                  <w:vAlign w:val="center"/>
                </w:tcPr>
                <w:p w14:paraId="5349EC41">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55.6</w:t>
                  </w:r>
                </w:p>
              </w:tc>
              <w:tc>
                <w:tcPr>
                  <w:tcW w:w="168" w:type="pct"/>
                  <w:tcBorders>
                    <w:tl2br w:val="nil"/>
                    <w:tr2bl w:val="nil"/>
                  </w:tcBorders>
                  <w:shd w:val="clear" w:color="auto" w:fill="FFFFFF"/>
                  <w:tcMar>
                    <w:top w:w="0" w:type="dxa"/>
                    <w:left w:w="0" w:type="dxa"/>
                    <w:bottom w:w="0" w:type="dxa"/>
                    <w:right w:w="0" w:type="dxa"/>
                  </w:tcMar>
                  <w:vAlign w:val="center"/>
                </w:tcPr>
                <w:p w14:paraId="11DB07F6">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56.1</w:t>
                  </w:r>
                </w:p>
              </w:tc>
              <w:tc>
                <w:tcPr>
                  <w:tcW w:w="93" w:type="pct"/>
                  <w:tcBorders>
                    <w:tl2br w:val="nil"/>
                    <w:tr2bl w:val="nil"/>
                  </w:tcBorders>
                  <w:shd w:val="clear" w:color="auto" w:fill="FFFFFF"/>
                  <w:tcMar>
                    <w:top w:w="0" w:type="dxa"/>
                    <w:left w:w="0" w:type="dxa"/>
                    <w:bottom w:w="0" w:type="dxa"/>
                    <w:right w:w="0" w:type="dxa"/>
                  </w:tcMar>
                  <w:vAlign w:val="center"/>
                </w:tcPr>
                <w:p w14:paraId="1E4DB38E">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w:t>
                  </w:r>
                </w:p>
              </w:tc>
            </w:tr>
            <w:tr w14:paraId="41920FE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23" w:hRule="atLeast"/>
              </w:trPr>
              <w:tc>
                <w:tcPr>
                  <w:tcW w:w="210" w:type="pct"/>
                  <w:tcBorders>
                    <w:tl2br w:val="nil"/>
                    <w:tr2bl w:val="nil"/>
                  </w:tcBorders>
                  <w:shd w:val="clear" w:color="auto" w:fill="FFFFFF"/>
                  <w:tcMar>
                    <w:top w:w="0" w:type="dxa"/>
                    <w:left w:w="0" w:type="dxa"/>
                    <w:bottom w:w="0" w:type="dxa"/>
                    <w:right w:w="0" w:type="dxa"/>
                  </w:tcMar>
                  <w:vAlign w:val="center"/>
                </w:tcPr>
                <w:p w14:paraId="67E9300E">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13</w:t>
                  </w:r>
                </w:p>
              </w:tc>
              <w:tc>
                <w:tcPr>
                  <w:tcW w:w="210" w:type="pct"/>
                  <w:tcBorders>
                    <w:tl2br w:val="nil"/>
                    <w:tr2bl w:val="nil"/>
                  </w:tcBorders>
                  <w:shd w:val="clear" w:color="auto" w:fill="FFFFFF"/>
                  <w:tcMar>
                    <w:top w:w="0" w:type="dxa"/>
                    <w:left w:w="0" w:type="dxa"/>
                    <w:bottom w:w="0" w:type="dxa"/>
                    <w:right w:w="0" w:type="dxa"/>
                  </w:tcMar>
                  <w:vAlign w:val="center"/>
                </w:tcPr>
                <w:p w14:paraId="1D0BFB3A">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中创空天厂区-铝合金熔铸二厂</w:t>
                  </w:r>
                </w:p>
              </w:tc>
              <w:tc>
                <w:tcPr>
                  <w:tcW w:w="210" w:type="pct"/>
                  <w:tcBorders>
                    <w:tl2br w:val="nil"/>
                    <w:tr2bl w:val="nil"/>
                  </w:tcBorders>
                  <w:shd w:val="clear" w:color="auto" w:fill="FFFFFF"/>
                  <w:tcMar>
                    <w:top w:w="0" w:type="dxa"/>
                    <w:left w:w="0" w:type="dxa"/>
                    <w:bottom w:w="0" w:type="dxa"/>
                    <w:right w:w="0" w:type="dxa"/>
                  </w:tcMar>
                  <w:vAlign w:val="center"/>
                </w:tcPr>
                <w:p w14:paraId="2CC16C00">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除气机组,4台（按点声源组预测）</w:t>
                  </w:r>
                </w:p>
              </w:tc>
              <w:tc>
                <w:tcPr>
                  <w:tcW w:w="210" w:type="pct"/>
                  <w:vMerge w:val="continue"/>
                  <w:tcBorders>
                    <w:tl2br w:val="nil"/>
                    <w:tr2bl w:val="nil"/>
                  </w:tcBorders>
                  <w:shd w:val="clear" w:color="auto" w:fill="FFFFFF"/>
                  <w:tcMar>
                    <w:top w:w="0" w:type="dxa"/>
                    <w:left w:w="0" w:type="dxa"/>
                    <w:bottom w:w="0" w:type="dxa"/>
                    <w:right w:w="0" w:type="dxa"/>
                  </w:tcMar>
                  <w:vAlign w:val="center"/>
                </w:tcPr>
                <w:p w14:paraId="3ECCBD45">
                  <w:pPr>
                    <w:jc w:val="center"/>
                    <w:rPr>
                      <w:rFonts w:hint="default" w:ascii="Times New Roman" w:hAnsi="Times New Roman" w:eastAsia="宋体" w:cs="Times New Roman"/>
                      <w:color w:val="auto"/>
                      <w:u w:val="none" w:color="auto"/>
                    </w:rPr>
                  </w:pPr>
                </w:p>
              </w:tc>
              <w:tc>
                <w:tcPr>
                  <w:tcW w:w="281" w:type="pct"/>
                  <w:tcBorders>
                    <w:tl2br w:val="nil"/>
                    <w:tr2bl w:val="nil"/>
                  </w:tcBorders>
                  <w:shd w:val="clear" w:color="auto" w:fill="FFFFFF"/>
                  <w:tcMar>
                    <w:top w:w="0" w:type="dxa"/>
                    <w:left w:w="0" w:type="dxa"/>
                    <w:bottom w:w="0" w:type="dxa"/>
                    <w:right w:w="0" w:type="dxa"/>
                  </w:tcMar>
                  <w:vAlign w:val="center"/>
                </w:tcPr>
                <w:p w14:paraId="07922A55">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82.5（等效后：88.5)</w:t>
                  </w:r>
                </w:p>
              </w:tc>
              <w:tc>
                <w:tcPr>
                  <w:tcW w:w="210" w:type="pct"/>
                  <w:tcBorders>
                    <w:tl2br w:val="nil"/>
                    <w:tr2bl w:val="nil"/>
                  </w:tcBorders>
                  <w:shd w:val="clear" w:color="auto" w:fill="FFFFFF"/>
                  <w:tcMar>
                    <w:top w:w="0" w:type="dxa"/>
                    <w:left w:w="0" w:type="dxa"/>
                    <w:bottom w:w="0" w:type="dxa"/>
                    <w:right w:w="0" w:type="dxa"/>
                  </w:tcMar>
                  <w:vAlign w:val="center"/>
                </w:tcPr>
                <w:p w14:paraId="20AE884E">
                  <w:pPr>
                    <w:jc w:val="center"/>
                    <w:rPr>
                      <w:rFonts w:hint="default" w:ascii="Times New Roman" w:hAnsi="Times New Roman" w:eastAsia="宋体" w:cs="Times New Roman"/>
                      <w:color w:val="auto"/>
                      <w:u w:val="none" w:color="auto"/>
                    </w:rPr>
                  </w:pPr>
                </w:p>
              </w:tc>
              <w:tc>
                <w:tcPr>
                  <w:tcW w:w="199" w:type="pct"/>
                  <w:tcBorders>
                    <w:tl2br w:val="nil"/>
                    <w:tr2bl w:val="nil"/>
                  </w:tcBorders>
                  <w:shd w:val="clear" w:color="auto" w:fill="FFFFFF"/>
                  <w:tcMar>
                    <w:top w:w="0" w:type="dxa"/>
                    <w:left w:w="0" w:type="dxa"/>
                    <w:bottom w:w="0" w:type="dxa"/>
                    <w:right w:w="0" w:type="dxa"/>
                  </w:tcMar>
                  <w:vAlign w:val="center"/>
                </w:tcPr>
                <w:p w14:paraId="582CBB35">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-86.6</w:t>
                  </w:r>
                </w:p>
              </w:tc>
              <w:tc>
                <w:tcPr>
                  <w:tcW w:w="247" w:type="pct"/>
                  <w:tcBorders>
                    <w:tl2br w:val="nil"/>
                    <w:tr2bl w:val="nil"/>
                  </w:tcBorders>
                  <w:shd w:val="clear" w:color="auto" w:fill="FFFFFF"/>
                  <w:tcMar>
                    <w:top w:w="0" w:type="dxa"/>
                    <w:left w:w="0" w:type="dxa"/>
                    <w:bottom w:w="0" w:type="dxa"/>
                    <w:right w:w="0" w:type="dxa"/>
                  </w:tcMar>
                  <w:vAlign w:val="center"/>
                </w:tcPr>
                <w:p w14:paraId="32953761">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-185.6</w:t>
                  </w:r>
                </w:p>
              </w:tc>
              <w:tc>
                <w:tcPr>
                  <w:tcW w:w="124" w:type="pct"/>
                  <w:tcBorders>
                    <w:tl2br w:val="nil"/>
                    <w:tr2bl w:val="nil"/>
                  </w:tcBorders>
                  <w:shd w:val="clear" w:color="auto" w:fill="FFFFFF"/>
                  <w:tcMar>
                    <w:top w:w="0" w:type="dxa"/>
                    <w:left w:w="0" w:type="dxa"/>
                    <w:bottom w:w="0" w:type="dxa"/>
                    <w:right w:w="0" w:type="dxa"/>
                  </w:tcMar>
                  <w:vAlign w:val="center"/>
                </w:tcPr>
                <w:p w14:paraId="17649BE6">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w:t>
                  </w:r>
                </w:p>
              </w:tc>
              <w:tc>
                <w:tcPr>
                  <w:tcW w:w="168" w:type="pct"/>
                  <w:tcBorders>
                    <w:tl2br w:val="nil"/>
                    <w:tr2bl w:val="nil"/>
                  </w:tcBorders>
                  <w:shd w:val="clear" w:color="auto" w:fill="FFFFFF"/>
                  <w:tcMar>
                    <w:top w:w="0" w:type="dxa"/>
                    <w:left w:w="0" w:type="dxa"/>
                    <w:bottom w:w="0" w:type="dxa"/>
                    <w:right w:w="0" w:type="dxa"/>
                  </w:tcMar>
                  <w:vAlign w:val="center"/>
                </w:tcPr>
                <w:p w14:paraId="2CF75737">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34.7</w:t>
                  </w:r>
                </w:p>
              </w:tc>
              <w:tc>
                <w:tcPr>
                  <w:tcW w:w="168" w:type="pct"/>
                  <w:tcBorders>
                    <w:tl2br w:val="nil"/>
                    <w:tr2bl w:val="nil"/>
                  </w:tcBorders>
                  <w:shd w:val="clear" w:color="auto" w:fill="FFFFFF"/>
                  <w:tcMar>
                    <w:top w:w="0" w:type="dxa"/>
                    <w:left w:w="0" w:type="dxa"/>
                    <w:bottom w:w="0" w:type="dxa"/>
                    <w:right w:w="0" w:type="dxa"/>
                  </w:tcMar>
                  <w:vAlign w:val="center"/>
                </w:tcPr>
                <w:p w14:paraId="4A517306">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28.7</w:t>
                  </w:r>
                </w:p>
              </w:tc>
              <w:tc>
                <w:tcPr>
                  <w:tcW w:w="214" w:type="pct"/>
                  <w:tcBorders>
                    <w:tl2br w:val="nil"/>
                    <w:tr2bl w:val="nil"/>
                  </w:tcBorders>
                  <w:shd w:val="clear" w:color="auto" w:fill="FFFFFF"/>
                  <w:tcMar>
                    <w:top w:w="0" w:type="dxa"/>
                    <w:left w:w="0" w:type="dxa"/>
                    <w:bottom w:w="0" w:type="dxa"/>
                    <w:right w:w="0" w:type="dxa"/>
                  </w:tcMar>
                  <w:vAlign w:val="center"/>
                </w:tcPr>
                <w:p w14:paraId="71318D00">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110.9</w:t>
                  </w:r>
                </w:p>
              </w:tc>
              <w:tc>
                <w:tcPr>
                  <w:tcW w:w="214" w:type="pct"/>
                  <w:tcBorders>
                    <w:tl2br w:val="nil"/>
                    <w:tr2bl w:val="nil"/>
                  </w:tcBorders>
                  <w:shd w:val="clear" w:color="auto" w:fill="FFFFFF"/>
                  <w:tcMar>
                    <w:top w:w="0" w:type="dxa"/>
                    <w:left w:w="0" w:type="dxa"/>
                    <w:bottom w:w="0" w:type="dxa"/>
                    <w:right w:w="0" w:type="dxa"/>
                  </w:tcMar>
                  <w:vAlign w:val="center"/>
                </w:tcPr>
                <w:p w14:paraId="21206404">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33.6</w:t>
                  </w:r>
                </w:p>
              </w:tc>
              <w:tc>
                <w:tcPr>
                  <w:tcW w:w="169" w:type="pct"/>
                  <w:tcBorders>
                    <w:tl2br w:val="nil"/>
                    <w:tr2bl w:val="nil"/>
                  </w:tcBorders>
                  <w:shd w:val="clear" w:color="auto" w:fill="FFFFFF"/>
                  <w:tcMar>
                    <w:top w:w="0" w:type="dxa"/>
                    <w:left w:w="0" w:type="dxa"/>
                    <w:bottom w:w="0" w:type="dxa"/>
                    <w:right w:w="0" w:type="dxa"/>
                  </w:tcMar>
                  <w:vAlign w:val="center"/>
                </w:tcPr>
                <w:p w14:paraId="6C07D94C">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68.8</w:t>
                  </w:r>
                </w:p>
              </w:tc>
              <w:tc>
                <w:tcPr>
                  <w:tcW w:w="169" w:type="pct"/>
                  <w:tcBorders>
                    <w:tl2br w:val="nil"/>
                    <w:tr2bl w:val="nil"/>
                  </w:tcBorders>
                  <w:shd w:val="clear" w:color="auto" w:fill="FFFFFF"/>
                  <w:tcMar>
                    <w:top w:w="0" w:type="dxa"/>
                    <w:left w:w="0" w:type="dxa"/>
                    <w:bottom w:w="0" w:type="dxa"/>
                    <w:right w:w="0" w:type="dxa"/>
                  </w:tcMar>
                  <w:vAlign w:val="center"/>
                </w:tcPr>
                <w:p w14:paraId="6481B3D6">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68.9</w:t>
                  </w:r>
                </w:p>
              </w:tc>
              <w:tc>
                <w:tcPr>
                  <w:tcW w:w="169" w:type="pct"/>
                  <w:tcBorders>
                    <w:tl2br w:val="nil"/>
                    <w:tr2bl w:val="nil"/>
                  </w:tcBorders>
                  <w:shd w:val="clear" w:color="auto" w:fill="FFFFFF"/>
                  <w:tcMar>
                    <w:top w:w="0" w:type="dxa"/>
                    <w:left w:w="0" w:type="dxa"/>
                    <w:bottom w:w="0" w:type="dxa"/>
                    <w:right w:w="0" w:type="dxa"/>
                  </w:tcMar>
                  <w:vAlign w:val="center"/>
                </w:tcPr>
                <w:p w14:paraId="2BBA0E15">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68.8</w:t>
                  </w:r>
                </w:p>
              </w:tc>
              <w:tc>
                <w:tcPr>
                  <w:tcW w:w="169" w:type="pct"/>
                  <w:tcBorders>
                    <w:tl2br w:val="nil"/>
                    <w:tr2bl w:val="nil"/>
                  </w:tcBorders>
                  <w:shd w:val="clear" w:color="auto" w:fill="FFFFFF"/>
                  <w:tcMar>
                    <w:top w:w="0" w:type="dxa"/>
                    <w:left w:w="0" w:type="dxa"/>
                    <w:bottom w:w="0" w:type="dxa"/>
                    <w:right w:w="0" w:type="dxa"/>
                  </w:tcMar>
                  <w:vAlign w:val="center"/>
                </w:tcPr>
                <w:p w14:paraId="272C27B1">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68.8</w:t>
                  </w:r>
                </w:p>
              </w:tc>
              <w:tc>
                <w:tcPr>
                  <w:tcW w:w="210" w:type="pct"/>
                  <w:tcBorders>
                    <w:tl2br w:val="nil"/>
                    <w:tr2bl w:val="nil"/>
                  </w:tcBorders>
                  <w:shd w:val="clear" w:color="auto" w:fill="FFFFFF"/>
                  <w:tcMar>
                    <w:top w:w="0" w:type="dxa"/>
                    <w:left w:w="0" w:type="dxa"/>
                    <w:bottom w:w="0" w:type="dxa"/>
                    <w:right w:w="0" w:type="dxa"/>
                  </w:tcMar>
                  <w:vAlign w:val="center"/>
                </w:tcPr>
                <w:p w14:paraId="2E3209B2">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24</w:t>
                  </w:r>
                </w:p>
              </w:tc>
              <w:tc>
                <w:tcPr>
                  <w:tcW w:w="169" w:type="pct"/>
                  <w:tcBorders>
                    <w:tl2br w:val="nil"/>
                    <w:tr2bl w:val="nil"/>
                  </w:tcBorders>
                  <w:shd w:val="clear" w:color="auto" w:fill="FFFFFF"/>
                  <w:tcMar>
                    <w:top w:w="0" w:type="dxa"/>
                    <w:left w:w="0" w:type="dxa"/>
                    <w:bottom w:w="0" w:type="dxa"/>
                    <w:right w:w="0" w:type="dxa"/>
                  </w:tcMar>
                  <w:vAlign w:val="center"/>
                </w:tcPr>
                <w:p w14:paraId="6ED0ED38">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9" w:type="pct"/>
                  <w:tcBorders>
                    <w:tl2br w:val="nil"/>
                    <w:tr2bl w:val="nil"/>
                  </w:tcBorders>
                  <w:shd w:val="clear" w:color="auto" w:fill="FFFFFF"/>
                  <w:tcMar>
                    <w:top w:w="0" w:type="dxa"/>
                    <w:left w:w="0" w:type="dxa"/>
                    <w:bottom w:w="0" w:type="dxa"/>
                    <w:right w:w="0" w:type="dxa"/>
                  </w:tcMar>
                  <w:vAlign w:val="center"/>
                </w:tcPr>
                <w:p w14:paraId="16BE5AE7">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9" w:type="pct"/>
                  <w:tcBorders>
                    <w:tl2br w:val="nil"/>
                    <w:tr2bl w:val="nil"/>
                  </w:tcBorders>
                  <w:shd w:val="clear" w:color="auto" w:fill="FFFFFF"/>
                  <w:tcMar>
                    <w:top w:w="0" w:type="dxa"/>
                    <w:left w:w="0" w:type="dxa"/>
                    <w:bottom w:w="0" w:type="dxa"/>
                    <w:right w:w="0" w:type="dxa"/>
                  </w:tcMar>
                  <w:vAlign w:val="center"/>
                </w:tcPr>
                <w:p w14:paraId="79042AAA">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9" w:type="pct"/>
                  <w:tcBorders>
                    <w:tl2br w:val="nil"/>
                    <w:tr2bl w:val="nil"/>
                  </w:tcBorders>
                  <w:shd w:val="clear" w:color="auto" w:fill="FFFFFF"/>
                  <w:tcMar>
                    <w:top w:w="0" w:type="dxa"/>
                    <w:left w:w="0" w:type="dxa"/>
                    <w:bottom w:w="0" w:type="dxa"/>
                    <w:right w:w="0" w:type="dxa"/>
                  </w:tcMar>
                  <w:vAlign w:val="center"/>
                </w:tcPr>
                <w:p w14:paraId="366912D1">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8" w:type="pct"/>
                  <w:tcBorders>
                    <w:tl2br w:val="nil"/>
                    <w:tr2bl w:val="nil"/>
                  </w:tcBorders>
                  <w:shd w:val="clear" w:color="auto" w:fill="FFFFFF"/>
                  <w:tcMar>
                    <w:top w:w="0" w:type="dxa"/>
                    <w:left w:w="0" w:type="dxa"/>
                    <w:bottom w:w="0" w:type="dxa"/>
                    <w:right w:w="0" w:type="dxa"/>
                  </w:tcMar>
                  <w:vAlign w:val="center"/>
                </w:tcPr>
                <w:p w14:paraId="014EE5B9">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56.8</w:t>
                  </w:r>
                </w:p>
              </w:tc>
              <w:tc>
                <w:tcPr>
                  <w:tcW w:w="168" w:type="pct"/>
                  <w:tcBorders>
                    <w:tl2br w:val="nil"/>
                    <w:tr2bl w:val="nil"/>
                  </w:tcBorders>
                  <w:shd w:val="clear" w:color="auto" w:fill="FFFFFF"/>
                  <w:tcMar>
                    <w:top w:w="0" w:type="dxa"/>
                    <w:left w:w="0" w:type="dxa"/>
                    <w:bottom w:w="0" w:type="dxa"/>
                    <w:right w:w="0" w:type="dxa"/>
                  </w:tcMar>
                  <w:vAlign w:val="center"/>
                </w:tcPr>
                <w:p w14:paraId="1E87A7B6">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56.9</w:t>
                  </w:r>
                </w:p>
              </w:tc>
              <w:tc>
                <w:tcPr>
                  <w:tcW w:w="168" w:type="pct"/>
                  <w:tcBorders>
                    <w:tl2br w:val="nil"/>
                    <w:tr2bl w:val="nil"/>
                  </w:tcBorders>
                  <w:shd w:val="clear" w:color="auto" w:fill="FFFFFF"/>
                  <w:tcMar>
                    <w:top w:w="0" w:type="dxa"/>
                    <w:left w:w="0" w:type="dxa"/>
                    <w:bottom w:w="0" w:type="dxa"/>
                    <w:right w:w="0" w:type="dxa"/>
                  </w:tcMar>
                  <w:vAlign w:val="center"/>
                </w:tcPr>
                <w:p w14:paraId="0025AF19">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56.8</w:t>
                  </w:r>
                </w:p>
              </w:tc>
              <w:tc>
                <w:tcPr>
                  <w:tcW w:w="168" w:type="pct"/>
                  <w:tcBorders>
                    <w:tl2br w:val="nil"/>
                    <w:tr2bl w:val="nil"/>
                  </w:tcBorders>
                  <w:shd w:val="clear" w:color="auto" w:fill="FFFFFF"/>
                  <w:tcMar>
                    <w:top w:w="0" w:type="dxa"/>
                    <w:left w:w="0" w:type="dxa"/>
                    <w:bottom w:w="0" w:type="dxa"/>
                    <w:right w:w="0" w:type="dxa"/>
                  </w:tcMar>
                  <w:vAlign w:val="center"/>
                </w:tcPr>
                <w:p w14:paraId="51273E9E">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56.8</w:t>
                  </w:r>
                </w:p>
              </w:tc>
              <w:tc>
                <w:tcPr>
                  <w:tcW w:w="93" w:type="pct"/>
                  <w:tcBorders>
                    <w:tl2br w:val="nil"/>
                    <w:tr2bl w:val="nil"/>
                  </w:tcBorders>
                  <w:shd w:val="clear" w:color="auto" w:fill="FFFFFF"/>
                  <w:tcMar>
                    <w:top w:w="0" w:type="dxa"/>
                    <w:left w:w="0" w:type="dxa"/>
                    <w:bottom w:w="0" w:type="dxa"/>
                    <w:right w:w="0" w:type="dxa"/>
                  </w:tcMar>
                  <w:vAlign w:val="center"/>
                </w:tcPr>
                <w:p w14:paraId="12404430">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w:t>
                  </w:r>
                </w:p>
              </w:tc>
            </w:tr>
            <w:tr w14:paraId="5BA2AF8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23" w:hRule="atLeast"/>
              </w:trPr>
              <w:tc>
                <w:tcPr>
                  <w:tcW w:w="210" w:type="pct"/>
                  <w:tcBorders>
                    <w:tl2br w:val="nil"/>
                    <w:tr2bl w:val="nil"/>
                  </w:tcBorders>
                  <w:shd w:val="clear" w:color="auto" w:fill="FFFFFF"/>
                  <w:tcMar>
                    <w:top w:w="0" w:type="dxa"/>
                    <w:left w:w="0" w:type="dxa"/>
                    <w:bottom w:w="0" w:type="dxa"/>
                    <w:right w:w="0" w:type="dxa"/>
                  </w:tcMar>
                  <w:vAlign w:val="center"/>
                </w:tcPr>
                <w:p w14:paraId="3C5C4FFE">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14</w:t>
                  </w:r>
                </w:p>
              </w:tc>
              <w:tc>
                <w:tcPr>
                  <w:tcW w:w="210" w:type="pct"/>
                  <w:tcBorders>
                    <w:tl2br w:val="nil"/>
                    <w:tr2bl w:val="nil"/>
                  </w:tcBorders>
                  <w:shd w:val="clear" w:color="auto" w:fill="FFFFFF"/>
                  <w:tcMar>
                    <w:top w:w="0" w:type="dxa"/>
                    <w:left w:w="0" w:type="dxa"/>
                    <w:bottom w:w="0" w:type="dxa"/>
                    <w:right w:w="0" w:type="dxa"/>
                  </w:tcMar>
                  <w:vAlign w:val="center"/>
                </w:tcPr>
                <w:p w14:paraId="0DD39049">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中创空天厂区-铝合金熔铸一厂</w:t>
                  </w:r>
                </w:p>
              </w:tc>
              <w:tc>
                <w:tcPr>
                  <w:tcW w:w="210" w:type="pct"/>
                  <w:tcBorders>
                    <w:tl2br w:val="nil"/>
                    <w:tr2bl w:val="nil"/>
                  </w:tcBorders>
                  <w:shd w:val="clear" w:color="auto" w:fill="FFFFFF"/>
                  <w:tcMar>
                    <w:top w:w="0" w:type="dxa"/>
                    <w:left w:w="0" w:type="dxa"/>
                    <w:bottom w:w="0" w:type="dxa"/>
                    <w:right w:w="0" w:type="dxa"/>
                  </w:tcMar>
                  <w:vAlign w:val="center"/>
                </w:tcPr>
                <w:p w14:paraId="2A4A6D1C">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压铸机</w:t>
                  </w:r>
                </w:p>
              </w:tc>
              <w:tc>
                <w:tcPr>
                  <w:tcW w:w="210" w:type="pct"/>
                  <w:vMerge w:val="restart"/>
                  <w:tcBorders>
                    <w:tl2br w:val="nil"/>
                    <w:tr2bl w:val="nil"/>
                  </w:tcBorders>
                  <w:shd w:val="clear" w:color="auto" w:fill="FFFFFF"/>
                  <w:tcMar>
                    <w:top w:w="0" w:type="dxa"/>
                    <w:left w:w="0" w:type="dxa"/>
                    <w:bottom w:w="0" w:type="dxa"/>
                    <w:right w:w="0" w:type="dxa"/>
                  </w:tcMar>
                  <w:vAlign w:val="center"/>
                </w:tcPr>
                <w:p w14:paraId="7A5B30E6">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val="en-US" w:eastAsia="zh-CN"/>
                    </w:rPr>
                    <w:t>详见本节上表相关内容</w:t>
                  </w:r>
                </w:p>
              </w:tc>
              <w:tc>
                <w:tcPr>
                  <w:tcW w:w="281" w:type="pct"/>
                  <w:tcBorders>
                    <w:tl2br w:val="nil"/>
                    <w:tr2bl w:val="nil"/>
                  </w:tcBorders>
                  <w:shd w:val="clear" w:color="auto" w:fill="FFFFFF"/>
                  <w:tcMar>
                    <w:top w:w="0" w:type="dxa"/>
                    <w:left w:w="0" w:type="dxa"/>
                    <w:bottom w:w="0" w:type="dxa"/>
                    <w:right w:w="0" w:type="dxa"/>
                  </w:tcMar>
                  <w:vAlign w:val="center"/>
                </w:tcPr>
                <w:p w14:paraId="23A74850">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100</w:t>
                  </w:r>
                </w:p>
              </w:tc>
              <w:tc>
                <w:tcPr>
                  <w:tcW w:w="210" w:type="pct"/>
                  <w:tcBorders>
                    <w:tl2br w:val="nil"/>
                    <w:tr2bl w:val="nil"/>
                  </w:tcBorders>
                  <w:shd w:val="clear" w:color="auto" w:fill="FFFFFF"/>
                  <w:tcMar>
                    <w:top w:w="0" w:type="dxa"/>
                    <w:left w:w="0" w:type="dxa"/>
                    <w:bottom w:w="0" w:type="dxa"/>
                    <w:right w:w="0" w:type="dxa"/>
                  </w:tcMar>
                  <w:vAlign w:val="center"/>
                </w:tcPr>
                <w:p w14:paraId="03877A35">
                  <w:pPr>
                    <w:jc w:val="center"/>
                    <w:rPr>
                      <w:rFonts w:hint="default" w:ascii="Times New Roman" w:hAnsi="Times New Roman" w:eastAsia="宋体" w:cs="Times New Roman"/>
                      <w:color w:val="auto"/>
                      <w:u w:val="none" w:color="auto"/>
                    </w:rPr>
                  </w:pPr>
                </w:p>
              </w:tc>
              <w:tc>
                <w:tcPr>
                  <w:tcW w:w="199" w:type="pct"/>
                  <w:tcBorders>
                    <w:tl2br w:val="nil"/>
                    <w:tr2bl w:val="nil"/>
                  </w:tcBorders>
                  <w:shd w:val="clear" w:color="auto" w:fill="FFFFFF"/>
                  <w:tcMar>
                    <w:top w:w="0" w:type="dxa"/>
                    <w:left w:w="0" w:type="dxa"/>
                    <w:bottom w:w="0" w:type="dxa"/>
                    <w:right w:w="0" w:type="dxa"/>
                  </w:tcMar>
                  <w:vAlign w:val="center"/>
                </w:tcPr>
                <w:p w14:paraId="4B3DA5FE">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-45.1</w:t>
                  </w:r>
                </w:p>
              </w:tc>
              <w:tc>
                <w:tcPr>
                  <w:tcW w:w="247" w:type="pct"/>
                  <w:tcBorders>
                    <w:tl2br w:val="nil"/>
                    <w:tr2bl w:val="nil"/>
                  </w:tcBorders>
                  <w:shd w:val="clear" w:color="auto" w:fill="FFFFFF"/>
                  <w:tcMar>
                    <w:top w:w="0" w:type="dxa"/>
                    <w:left w:w="0" w:type="dxa"/>
                    <w:bottom w:w="0" w:type="dxa"/>
                    <w:right w:w="0" w:type="dxa"/>
                  </w:tcMar>
                  <w:vAlign w:val="center"/>
                </w:tcPr>
                <w:p w14:paraId="0270C79A">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-118</w:t>
                  </w:r>
                </w:p>
              </w:tc>
              <w:tc>
                <w:tcPr>
                  <w:tcW w:w="124" w:type="pct"/>
                  <w:tcBorders>
                    <w:tl2br w:val="nil"/>
                    <w:tr2bl w:val="nil"/>
                  </w:tcBorders>
                  <w:shd w:val="clear" w:color="auto" w:fill="FFFFFF"/>
                  <w:tcMar>
                    <w:top w:w="0" w:type="dxa"/>
                    <w:left w:w="0" w:type="dxa"/>
                    <w:bottom w:w="0" w:type="dxa"/>
                    <w:right w:w="0" w:type="dxa"/>
                  </w:tcMar>
                  <w:vAlign w:val="center"/>
                </w:tcPr>
                <w:p w14:paraId="4FCB2695">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w:t>
                  </w:r>
                </w:p>
              </w:tc>
              <w:tc>
                <w:tcPr>
                  <w:tcW w:w="168" w:type="pct"/>
                  <w:tcBorders>
                    <w:tl2br w:val="nil"/>
                    <w:tr2bl w:val="nil"/>
                  </w:tcBorders>
                  <w:shd w:val="clear" w:color="auto" w:fill="FFFFFF"/>
                  <w:tcMar>
                    <w:top w:w="0" w:type="dxa"/>
                    <w:left w:w="0" w:type="dxa"/>
                    <w:bottom w:w="0" w:type="dxa"/>
                    <w:right w:w="0" w:type="dxa"/>
                  </w:tcMar>
                  <w:vAlign w:val="center"/>
                </w:tcPr>
                <w:p w14:paraId="3AA3971C">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24.3</w:t>
                  </w:r>
                </w:p>
              </w:tc>
              <w:tc>
                <w:tcPr>
                  <w:tcW w:w="168" w:type="pct"/>
                  <w:tcBorders>
                    <w:tl2br w:val="nil"/>
                    <w:tr2bl w:val="nil"/>
                  </w:tcBorders>
                  <w:shd w:val="clear" w:color="auto" w:fill="FFFFFF"/>
                  <w:tcMar>
                    <w:top w:w="0" w:type="dxa"/>
                    <w:left w:w="0" w:type="dxa"/>
                    <w:bottom w:w="0" w:type="dxa"/>
                    <w:right w:w="0" w:type="dxa"/>
                  </w:tcMar>
                  <w:vAlign w:val="center"/>
                </w:tcPr>
                <w:p w14:paraId="18F955F7">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19.6</w:t>
                  </w:r>
                </w:p>
              </w:tc>
              <w:tc>
                <w:tcPr>
                  <w:tcW w:w="214" w:type="pct"/>
                  <w:tcBorders>
                    <w:tl2br w:val="nil"/>
                    <w:tr2bl w:val="nil"/>
                  </w:tcBorders>
                  <w:shd w:val="clear" w:color="auto" w:fill="FFFFFF"/>
                  <w:tcMar>
                    <w:top w:w="0" w:type="dxa"/>
                    <w:left w:w="0" w:type="dxa"/>
                    <w:bottom w:w="0" w:type="dxa"/>
                    <w:right w:w="0" w:type="dxa"/>
                  </w:tcMar>
                  <w:vAlign w:val="center"/>
                </w:tcPr>
                <w:p w14:paraId="651158A8">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100.8</w:t>
                  </w:r>
                </w:p>
              </w:tc>
              <w:tc>
                <w:tcPr>
                  <w:tcW w:w="214" w:type="pct"/>
                  <w:tcBorders>
                    <w:tl2br w:val="nil"/>
                    <w:tr2bl w:val="nil"/>
                  </w:tcBorders>
                  <w:shd w:val="clear" w:color="auto" w:fill="FFFFFF"/>
                  <w:tcMar>
                    <w:top w:w="0" w:type="dxa"/>
                    <w:left w:w="0" w:type="dxa"/>
                    <w:bottom w:w="0" w:type="dxa"/>
                    <w:right w:w="0" w:type="dxa"/>
                  </w:tcMar>
                  <w:vAlign w:val="center"/>
                </w:tcPr>
                <w:p w14:paraId="633D96BB">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117.7</w:t>
                  </w:r>
                </w:p>
              </w:tc>
              <w:tc>
                <w:tcPr>
                  <w:tcW w:w="169" w:type="pct"/>
                  <w:tcBorders>
                    <w:tl2br w:val="nil"/>
                    <w:tr2bl w:val="nil"/>
                  </w:tcBorders>
                  <w:shd w:val="clear" w:color="auto" w:fill="FFFFFF"/>
                  <w:tcMar>
                    <w:top w:w="0" w:type="dxa"/>
                    <w:left w:w="0" w:type="dxa"/>
                    <w:bottom w:w="0" w:type="dxa"/>
                    <w:right w:w="0" w:type="dxa"/>
                  </w:tcMar>
                  <w:vAlign w:val="center"/>
                </w:tcPr>
                <w:p w14:paraId="2489142B">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79.4</w:t>
                  </w:r>
                </w:p>
              </w:tc>
              <w:tc>
                <w:tcPr>
                  <w:tcW w:w="169" w:type="pct"/>
                  <w:tcBorders>
                    <w:tl2br w:val="nil"/>
                    <w:tr2bl w:val="nil"/>
                  </w:tcBorders>
                  <w:shd w:val="clear" w:color="auto" w:fill="FFFFFF"/>
                  <w:tcMar>
                    <w:top w:w="0" w:type="dxa"/>
                    <w:left w:w="0" w:type="dxa"/>
                    <w:bottom w:w="0" w:type="dxa"/>
                    <w:right w:w="0" w:type="dxa"/>
                  </w:tcMar>
                  <w:vAlign w:val="center"/>
                </w:tcPr>
                <w:p w14:paraId="15876768">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79.4</w:t>
                  </w:r>
                </w:p>
              </w:tc>
              <w:tc>
                <w:tcPr>
                  <w:tcW w:w="169" w:type="pct"/>
                  <w:tcBorders>
                    <w:tl2br w:val="nil"/>
                    <w:tr2bl w:val="nil"/>
                  </w:tcBorders>
                  <w:shd w:val="clear" w:color="auto" w:fill="FFFFFF"/>
                  <w:tcMar>
                    <w:top w:w="0" w:type="dxa"/>
                    <w:left w:w="0" w:type="dxa"/>
                    <w:bottom w:w="0" w:type="dxa"/>
                    <w:right w:w="0" w:type="dxa"/>
                  </w:tcMar>
                  <w:vAlign w:val="center"/>
                </w:tcPr>
                <w:p w14:paraId="37027A47">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79.3</w:t>
                  </w:r>
                </w:p>
              </w:tc>
              <w:tc>
                <w:tcPr>
                  <w:tcW w:w="169" w:type="pct"/>
                  <w:tcBorders>
                    <w:tl2br w:val="nil"/>
                    <w:tr2bl w:val="nil"/>
                  </w:tcBorders>
                  <w:shd w:val="clear" w:color="auto" w:fill="FFFFFF"/>
                  <w:tcMar>
                    <w:top w:w="0" w:type="dxa"/>
                    <w:left w:w="0" w:type="dxa"/>
                    <w:bottom w:w="0" w:type="dxa"/>
                    <w:right w:w="0" w:type="dxa"/>
                  </w:tcMar>
                  <w:vAlign w:val="center"/>
                </w:tcPr>
                <w:p w14:paraId="5CDA6929">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79.3</w:t>
                  </w:r>
                </w:p>
              </w:tc>
              <w:tc>
                <w:tcPr>
                  <w:tcW w:w="210" w:type="pct"/>
                  <w:tcBorders>
                    <w:tl2br w:val="nil"/>
                    <w:tr2bl w:val="nil"/>
                  </w:tcBorders>
                  <w:shd w:val="clear" w:color="auto" w:fill="FFFFFF"/>
                  <w:tcMar>
                    <w:top w:w="0" w:type="dxa"/>
                    <w:left w:w="0" w:type="dxa"/>
                    <w:bottom w:w="0" w:type="dxa"/>
                    <w:right w:w="0" w:type="dxa"/>
                  </w:tcMar>
                  <w:vAlign w:val="center"/>
                </w:tcPr>
                <w:p w14:paraId="60176F84">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24</w:t>
                  </w:r>
                </w:p>
              </w:tc>
              <w:tc>
                <w:tcPr>
                  <w:tcW w:w="169" w:type="pct"/>
                  <w:tcBorders>
                    <w:tl2br w:val="nil"/>
                    <w:tr2bl w:val="nil"/>
                  </w:tcBorders>
                  <w:shd w:val="clear" w:color="auto" w:fill="FFFFFF"/>
                  <w:tcMar>
                    <w:top w:w="0" w:type="dxa"/>
                    <w:left w:w="0" w:type="dxa"/>
                    <w:bottom w:w="0" w:type="dxa"/>
                    <w:right w:w="0" w:type="dxa"/>
                  </w:tcMar>
                  <w:vAlign w:val="center"/>
                </w:tcPr>
                <w:p w14:paraId="0AF1750D">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9" w:type="pct"/>
                  <w:tcBorders>
                    <w:tl2br w:val="nil"/>
                    <w:tr2bl w:val="nil"/>
                  </w:tcBorders>
                  <w:shd w:val="clear" w:color="auto" w:fill="FFFFFF"/>
                  <w:tcMar>
                    <w:top w:w="0" w:type="dxa"/>
                    <w:left w:w="0" w:type="dxa"/>
                    <w:bottom w:w="0" w:type="dxa"/>
                    <w:right w:w="0" w:type="dxa"/>
                  </w:tcMar>
                  <w:vAlign w:val="center"/>
                </w:tcPr>
                <w:p w14:paraId="20A87508">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9" w:type="pct"/>
                  <w:tcBorders>
                    <w:tl2br w:val="nil"/>
                    <w:tr2bl w:val="nil"/>
                  </w:tcBorders>
                  <w:shd w:val="clear" w:color="auto" w:fill="FFFFFF"/>
                  <w:tcMar>
                    <w:top w:w="0" w:type="dxa"/>
                    <w:left w:w="0" w:type="dxa"/>
                    <w:bottom w:w="0" w:type="dxa"/>
                    <w:right w:w="0" w:type="dxa"/>
                  </w:tcMar>
                  <w:vAlign w:val="center"/>
                </w:tcPr>
                <w:p w14:paraId="17BA79E4">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9" w:type="pct"/>
                  <w:tcBorders>
                    <w:tl2br w:val="nil"/>
                    <w:tr2bl w:val="nil"/>
                  </w:tcBorders>
                  <w:shd w:val="clear" w:color="auto" w:fill="FFFFFF"/>
                  <w:tcMar>
                    <w:top w:w="0" w:type="dxa"/>
                    <w:left w:w="0" w:type="dxa"/>
                    <w:bottom w:w="0" w:type="dxa"/>
                    <w:right w:w="0" w:type="dxa"/>
                  </w:tcMar>
                  <w:vAlign w:val="center"/>
                </w:tcPr>
                <w:p w14:paraId="1745B42A">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8" w:type="pct"/>
                  <w:tcBorders>
                    <w:tl2br w:val="nil"/>
                    <w:tr2bl w:val="nil"/>
                  </w:tcBorders>
                  <w:shd w:val="clear" w:color="auto" w:fill="FFFFFF"/>
                  <w:tcMar>
                    <w:top w:w="0" w:type="dxa"/>
                    <w:left w:w="0" w:type="dxa"/>
                    <w:bottom w:w="0" w:type="dxa"/>
                    <w:right w:w="0" w:type="dxa"/>
                  </w:tcMar>
                  <w:vAlign w:val="center"/>
                </w:tcPr>
                <w:p w14:paraId="15FE4992">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67.4</w:t>
                  </w:r>
                </w:p>
              </w:tc>
              <w:tc>
                <w:tcPr>
                  <w:tcW w:w="168" w:type="pct"/>
                  <w:tcBorders>
                    <w:tl2br w:val="nil"/>
                    <w:tr2bl w:val="nil"/>
                  </w:tcBorders>
                  <w:shd w:val="clear" w:color="auto" w:fill="FFFFFF"/>
                  <w:tcMar>
                    <w:top w:w="0" w:type="dxa"/>
                    <w:left w:w="0" w:type="dxa"/>
                    <w:bottom w:w="0" w:type="dxa"/>
                    <w:right w:w="0" w:type="dxa"/>
                  </w:tcMar>
                  <w:vAlign w:val="center"/>
                </w:tcPr>
                <w:p w14:paraId="7A9D61DB">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67.4</w:t>
                  </w:r>
                </w:p>
              </w:tc>
              <w:tc>
                <w:tcPr>
                  <w:tcW w:w="168" w:type="pct"/>
                  <w:tcBorders>
                    <w:tl2br w:val="nil"/>
                    <w:tr2bl w:val="nil"/>
                  </w:tcBorders>
                  <w:shd w:val="clear" w:color="auto" w:fill="FFFFFF"/>
                  <w:tcMar>
                    <w:top w:w="0" w:type="dxa"/>
                    <w:left w:w="0" w:type="dxa"/>
                    <w:bottom w:w="0" w:type="dxa"/>
                    <w:right w:w="0" w:type="dxa"/>
                  </w:tcMar>
                  <w:vAlign w:val="center"/>
                </w:tcPr>
                <w:p w14:paraId="7601A965">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67.3</w:t>
                  </w:r>
                </w:p>
              </w:tc>
              <w:tc>
                <w:tcPr>
                  <w:tcW w:w="168" w:type="pct"/>
                  <w:tcBorders>
                    <w:tl2br w:val="nil"/>
                    <w:tr2bl w:val="nil"/>
                  </w:tcBorders>
                  <w:shd w:val="clear" w:color="auto" w:fill="FFFFFF"/>
                  <w:tcMar>
                    <w:top w:w="0" w:type="dxa"/>
                    <w:left w:w="0" w:type="dxa"/>
                    <w:bottom w:w="0" w:type="dxa"/>
                    <w:right w:w="0" w:type="dxa"/>
                  </w:tcMar>
                  <w:vAlign w:val="center"/>
                </w:tcPr>
                <w:p w14:paraId="6030E3FB">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67.3</w:t>
                  </w:r>
                </w:p>
              </w:tc>
              <w:tc>
                <w:tcPr>
                  <w:tcW w:w="93" w:type="pct"/>
                  <w:tcBorders>
                    <w:tl2br w:val="nil"/>
                    <w:tr2bl w:val="nil"/>
                  </w:tcBorders>
                  <w:shd w:val="clear" w:color="auto" w:fill="FFFFFF"/>
                  <w:tcMar>
                    <w:top w:w="0" w:type="dxa"/>
                    <w:left w:w="0" w:type="dxa"/>
                    <w:bottom w:w="0" w:type="dxa"/>
                    <w:right w:w="0" w:type="dxa"/>
                  </w:tcMar>
                  <w:vAlign w:val="center"/>
                </w:tcPr>
                <w:p w14:paraId="4B479CC1">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w:t>
                  </w:r>
                </w:p>
              </w:tc>
            </w:tr>
            <w:tr w14:paraId="3178F2D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23" w:hRule="atLeast"/>
              </w:trPr>
              <w:tc>
                <w:tcPr>
                  <w:tcW w:w="210" w:type="pct"/>
                  <w:tcBorders>
                    <w:tl2br w:val="nil"/>
                    <w:tr2bl w:val="nil"/>
                  </w:tcBorders>
                  <w:shd w:val="clear" w:color="auto" w:fill="FFFFFF"/>
                  <w:tcMar>
                    <w:top w:w="0" w:type="dxa"/>
                    <w:left w:w="0" w:type="dxa"/>
                    <w:bottom w:w="0" w:type="dxa"/>
                    <w:right w:w="0" w:type="dxa"/>
                  </w:tcMar>
                  <w:vAlign w:val="center"/>
                </w:tcPr>
                <w:p w14:paraId="58B24309">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15</w:t>
                  </w:r>
                </w:p>
              </w:tc>
              <w:tc>
                <w:tcPr>
                  <w:tcW w:w="210" w:type="pct"/>
                  <w:tcBorders>
                    <w:tl2br w:val="nil"/>
                    <w:tr2bl w:val="nil"/>
                  </w:tcBorders>
                  <w:shd w:val="clear" w:color="auto" w:fill="FFFFFF"/>
                  <w:tcMar>
                    <w:top w:w="0" w:type="dxa"/>
                    <w:left w:w="0" w:type="dxa"/>
                    <w:bottom w:w="0" w:type="dxa"/>
                    <w:right w:w="0" w:type="dxa"/>
                  </w:tcMar>
                  <w:vAlign w:val="center"/>
                </w:tcPr>
                <w:p w14:paraId="3E6EB713">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中创空天厂区-铝合金熔铸一厂</w:t>
                  </w:r>
                </w:p>
              </w:tc>
              <w:tc>
                <w:tcPr>
                  <w:tcW w:w="210" w:type="pct"/>
                  <w:tcBorders>
                    <w:tl2br w:val="nil"/>
                    <w:tr2bl w:val="nil"/>
                  </w:tcBorders>
                  <w:shd w:val="clear" w:color="auto" w:fill="FFFFFF"/>
                  <w:tcMar>
                    <w:top w:w="0" w:type="dxa"/>
                    <w:left w:w="0" w:type="dxa"/>
                    <w:bottom w:w="0" w:type="dxa"/>
                    <w:right w:w="0" w:type="dxa"/>
                  </w:tcMar>
                  <w:vAlign w:val="center"/>
                </w:tcPr>
                <w:p w14:paraId="61E67444">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压铸机</w:t>
                  </w:r>
                </w:p>
              </w:tc>
              <w:tc>
                <w:tcPr>
                  <w:tcW w:w="210" w:type="pct"/>
                  <w:vMerge w:val="continue"/>
                  <w:tcBorders>
                    <w:tl2br w:val="nil"/>
                    <w:tr2bl w:val="nil"/>
                  </w:tcBorders>
                  <w:shd w:val="clear" w:color="auto" w:fill="FFFFFF"/>
                  <w:tcMar>
                    <w:top w:w="0" w:type="dxa"/>
                    <w:left w:w="0" w:type="dxa"/>
                    <w:bottom w:w="0" w:type="dxa"/>
                    <w:right w:w="0" w:type="dxa"/>
                  </w:tcMar>
                  <w:vAlign w:val="center"/>
                </w:tcPr>
                <w:p w14:paraId="4416A8E3">
                  <w:pPr>
                    <w:jc w:val="center"/>
                    <w:rPr>
                      <w:rFonts w:hint="default" w:ascii="Times New Roman" w:hAnsi="Times New Roman" w:eastAsia="宋体" w:cs="Times New Roman"/>
                      <w:color w:val="auto"/>
                      <w:u w:val="none" w:color="auto"/>
                    </w:rPr>
                  </w:pPr>
                </w:p>
              </w:tc>
              <w:tc>
                <w:tcPr>
                  <w:tcW w:w="281" w:type="pct"/>
                  <w:tcBorders>
                    <w:tl2br w:val="nil"/>
                    <w:tr2bl w:val="nil"/>
                  </w:tcBorders>
                  <w:shd w:val="clear" w:color="auto" w:fill="FFFFFF"/>
                  <w:tcMar>
                    <w:top w:w="0" w:type="dxa"/>
                    <w:left w:w="0" w:type="dxa"/>
                    <w:bottom w:w="0" w:type="dxa"/>
                    <w:right w:w="0" w:type="dxa"/>
                  </w:tcMar>
                  <w:vAlign w:val="center"/>
                </w:tcPr>
                <w:p w14:paraId="048EA4A5">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100</w:t>
                  </w:r>
                </w:p>
              </w:tc>
              <w:tc>
                <w:tcPr>
                  <w:tcW w:w="210" w:type="pct"/>
                  <w:tcBorders>
                    <w:tl2br w:val="nil"/>
                    <w:tr2bl w:val="nil"/>
                  </w:tcBorders>
                  <w:shd w:val="clear" w:color="auto" w:fill="FFFFFF"/>
                  <w:tcMar>
                    <w:top w:w="0" w:type="dxa"/>
                    <w:left w:w="0" w:type="dxa"/>
                    <w:bottom w:w="0" w:type="dxa"/>
                    <w:right w:w="0" w:type="dxa"/>
                  </w:tcMar>
                  <w:vAlign w:val="center"/>
                </w:tcPr>
                <w:p w14:paraId="790A69C3">
                  <w:pPr>
                    <w:jc w:val="center"/>
                    <w:rPr>
                      <w:rFonts w:hint="default" w:ascii="Times New Roman" w:hAnsi="Times New Roman" w:eastAsia="宋体" w:cs="Times New Roman"/>
                      <w:color w:val="auto"/>
                      <w:u w:val="none" w:color="auto"/>
                    </w:rPr>
                  </w:pPr>
                </w:p>
              </w:tc>
              <w:tc>
                <w:tcPr>
                  <w:tcW w:w="199" w:type="pct"/>
                  <w:tcBorders>
                    <w:tl2br w:val="nil"/>
                    <w:tr2bl w:val="nil"/>
                  </w:tcBorders>
                  <w:shd w:val="clear" w:color="auto" w:fill="FFFFFF"/>
                  <w:tcMar>
                    <w:top w:w="0" w:type="dxa"/>
                    <w:left w:w="0" w:type="dxa"/>
                    <w:bottom w:w="0" w:type="dxa"/>
                    <w:right w:w="0" w:type="dxa"/>
                  </w:tcMar>
                  <w:vAlign w:val="center"/>
                </w:tcPr>
                <w:p w14:paraId="30A2B822">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-52.9</w:t>
                  </w:r>
                </w:p>
              </w:tc>
              <w:tc>
                <w:tcPr>
                  <w:tcW w:w="247" w:type="pct"/>
                  <w:tcBorders>
                    <w:tl2br w:val="nil"/>
                    <w:tr2bl w:val="nil"/>
                  </w:tcBorders>
                  <w:shd w:val="clear" w:color="auto" w:fill="FFFFFF"/>
                  <w:tcMar>
                    <w:top w:w="0" w:type="dxa"/>
                    <w:left w:w="0" w:type="dxa"/>
                    <w:bottom w:w="0" w:type="dxa"/>
                    <w:right w:w="0" w:type="dxa"/>
                  </w:tcMar>
                  <w:vAlign w:val="center"/>
                </w:tcPr>
                <w:p w14:paraId="270E06A7">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-113.8</w:t>
                  </w:r>
                </w:p>
              </w:tc>
              <w:tc>
                <w:tcPr>
                  <w:tcW w:w="124" w:type="pct"/>
                  <w:tcBorders>
                    <w:tl2br w:val="nil"/>
                    <w:tr2bl w:val="nil"/>
                  </w:tcBorders>
                  <w:shd w:val="clear" w:color="auto" w:fill="FFFFFF"/>
                  <w:tcMar>
                    <w:top w:w="0" w:type="dxa"/>
                    <w:left w:w="0" w:type="dxa"/>
                    <w:bottom w:w="0" w:type="dxa"/>
                    <w:right w:w="0" w:type="dxa"/>
                  </w:tcMar>
                  <w:vAlign w:val="center"/>
                </w:tcPr>
                <w:p w14:paraId="30D6B0A8">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w:t>
                  </w:r>
                </w:p>
              </w:tc>
              <w:tc>
                <w:tcPr>
                  <w:tcW w:w="168" w:type="pct"/>
                  <w:tcBorders>
                    <w:tl2br w:val="nil"/>
                    <w:tr2bl w:val="nil"/>
                  </w:tcBorders>
                  <w:shd w:val="clear" w:color="auto" w:fill="FFFFFF"/>
                  <w:tcMar>
                    <w:top w:w="0" w:type="dxa"/>
                    <w:left w:w="0" w:type="dxa"/>
                    <w:bottom w:w="0" w:type="dxa"/>
                    <w:right w:w="0" w:type="dxa"/>
                  </w:tcMar>
                  <w:vAlign w:val="center"/>
                </w:tcPr>
                <w:p w14:paraId="0567D8C1">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33.1</w:t>
                  </w:r>
                </w:p>
              </w:tc>
              <w:tc>
                <w:tcPr>
                  <w:tcW w:w="168" w:type="pct"/>
                  <w:tcBorders>
                    <w:tl2br w:val="nil"/>
                    <w:tr2bl w:val="nil"/>
                  </w:tcBorders>
                  <w:shd w:val="clear" w:color="auto" w:fill="FFFFFF"/>
                  <w:tcMar>
                    <w:top w:w="0" w:type="dxa"/>
                    <w:left w:w="0" w:type="dxa"/>
                    <w:bottom w:w="0" w:type="dxa"/>
                    <w:right w:w="0" w:type="dxa"/>
                  </w:tcMar>
                  <w:vAlign w:val="center"/>
                </w:tcPr>
                <w:p w14:paraId="4873ECA4">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18.7</w:t>
                  </w:r>
                </w:p>
              </w:tc>
              <w:tc>
                <w:tcPr>
                  <w:tcW w:w="214" w:type="pct"/>
                  <w:tcBorders>
                    <w:tl2br w:val="nil"/>
                    <w:tr2bl w:val="nil"/>
                  </w:tcBorders>
                  <w:shd w:val="clear" w:color="auto" w:fill="FFFFFF"/>
                  <w:tcMar>
                    <w:top w:w="0" w:type="dxa"/>
                    <w:left w:w="0" w:type="dxa"/>
                    <w:bottom w:w="0" w:type="dxa"/>
                    <w:right w:w="0" w:type="dxa"/>
                  </w:tcMar>
                  <w:vAlign w:val="center"/>
                </w:tcPr>
                <w:p w14:paraId="7CF6573E">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92.0</w:t>
                  </w:r>
                </w:p>
              </w:tc>
              <w:tc>
                <w:tcPr>
                  <w:tcW w:w="214" w:type="pct"/>
                  <w:tcBorders>
                    <w:tl2br w:val="nil"/>
                    <w:tr2bl w:val="nil"/>
                  </w:tcBorders>
                  <w:shd w:val="clear" w:color="auto" w:fill="FFFFFF"/>
                  <w:tcMar>
                    <w:top w:w="0" w:type="dxa"/>
                    <w:left w:w="0" w:type="dxa"/>
                    <w:bottom w:w="0" w:type="dxa"/>
                    <w:right w:w="0" w:type="dxa"/>
                  </w:tcMar>
                  <w:vAlign w:val="center"/>
                </w:tcPr>
                <w:p w14:paraId="1F7ACFAF">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118.7</w:t>
                  </w:r>
                </w:p>
              </w:tc>
              <w:tc>
                <w:tcPr>
                  <w:tcW w:w="169" w:type="pct"/>
                  <w:tcBorders>
                    <w:tl2br w:val="nil"/>
                    <w:tr2bl w:val="nil"/>
                  </w:tcBorders>
                  <w:shd w:val="clear" w:color="auto" w:fill="FFFFFF"/>
                  <w:tcMar>
                    <w:top w:w="0" w:type="dxa"/>
                    <w:left w:w="0" w:type="dxa"/>
                    <w:bottom w:w="0" w:type="dxa"/>
                    <w:right w:w="0" w:type="dxa"/>
                  </w:tcMar>
                  <w:vAlign w:val="center"/>
                </w:tcPr>
                <w:p w14:paraId="5FBACCF6">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79.4</w:t>
                  </w:r>
                </w:p>
              </w:tc>
              <w:tc>
                <w:tcPr>
                  <w:tcW w:w="169" w:type="pct"/>
                  <w:tcBorders>
                    <w:tl2br w:val="nil"/>
                    <w:tr2bl w:val="nil"/>
                  </w:tcBorders>
                  <w:shd w:val="clear" w:color="auto" w:fill="FFFFFF"/>
                  <w:tcMar>
                    <w:top w:w="0" w:type="dxa"/>
                    <w:left w:w="0" w:type="dxa"/>
                    <w:bottom w:w="0" w:type="dxa"/>
                    <w:right w:w="0" w:type="dxa"/>
                  </w:tcMar>
                  <w:vAlign w:val="center"/>
                </w:tcPr>
                <w:p w14:paraId="015CE288">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79.4</w:t>
                  </w:r>
                </w:p>
              </w:tc>
              <w:tc>
                <w:tcPr>
                  <w:tcW w:w="169" w:type="pct"/>
                  <w:tcBorders>
                    <w:tl2br w:val="nil"/>
                    <w:tr2bl w:val="nil"/>
                  </w:tcBorders>
                  <w:shd w:val="clear" w:color="auto" w:fill="FFFFFF"/>
                  <w:tcMar>
                    <w:top w:w="0" w:type="dxa"/>
                    <w:left w:w="0" w:type="dxa"/>
                    <w:bottom w:w="0" w:type="dxa"/>
                    <w:right w:w="0" w:type="dxa"/>
                  </w:tcMar>
                  <w:vAlign w:val="center"/>
                </w:tcPr>
                <w:p w14:paraId="6D4B2CDD">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79.3</w:t>
                  </w:r>
                </w:p>
              </w:tc>
              <w:tc>
                <w:tcPr>
                  <w:tcW w:w="169" w:type="pct"/>
                  <w:tcBorders>
                    <w:tl2br w:val="nil"/>
                    <w:tr2bl w:val="nil"/>
                  </w:tcBorders>
                  <w:shd w:val="clear" w:color="auto" w:fill="FFFFFF"/>
                  <w:tcMar>
                    <w:top w:w="0" w:type="dxa"/>
                    <w:left w:w="0" w:type="dxa"/>
                    <w:bottom w:w="0" w:type="dxa"/>
                    <w:right w:w="0" w:type="dxa"/>
                  </w:tcMar>
                  <w:vAlign w:val="center"/>
                </w:tcPr>
                <w:p w14:paraId="29B70012">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79.3</w:t>
                  </w:r>
                </w:p>
              </w:tc>
              <w:tc>
                <w:tcPr>
                  <w:tcW w:w="210" w:type="pct"/>
                  <w:tcBorders>
                    <w:tl2br w:val="nil"/>
                    <w:tr2bl w:val="nil"/>
                  </w:tcBorders>
                  <w:shd w:val="clear" w:color="auto" w:fill="FFFFFF"/>
                  <w:tcMar>
                    <w:top w:w="0" w:type="dxa"/>
                    <w:left w:w="0" w:type="dxa"/>
                    <w:bottom w:w="0" w:type="dxa"/>
                    <w:right w:w="0" w:type="dxa"/>
                  </w:tcMar>
                  <w:vAlign w:val="center"/>
                </w:tcPr>
                <w:p w14:paraId="459C672C">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24</w:t>
                  </w:r>
                </w:p>
              </w:tc>
              <w:tc>
                <w:tcPr>
                  <w:tcW w:w="169" w:type="pct"/>
                  <w:tcBorders>
                    <w:tl2br w:val="nil"/>
                    <w:tr2bl w:val="nil"/>
                  </w:tcBorders>
                  <w:shd w:val="clear" w:color="auto" w:fill="FFFFFF"/>
                  <w:tcMar>
                    <w:top w:w="0" w:type="dxa"/>
                    <w:left w:w="0" w:type="dxa"/>
                    <w:bottom w:w="0" w:type="dxa"/>
                    <w:right w:w="0" w:type="dxa"/>
                  </w:tcMar>
                  <w:vAlign w:val="center"/>
                </w:tcPr>
                <w:p w14:paraId="37DF629D">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9" w:type="pct"/>
                  <w:tcBorders>
                    <w:tl2br w:val="nil"/>
                    <w:tr2bl w:val="nil"/>
                  </w:tcBorders>
                  <w:shd w:val="clear" w:color="auto" w:fill="FFFFFF"/>
                  <w:tcMar>
                    <w:top w:w="0" w:type="dxa"/>
                    <w:left w:w="0" w:type="dxa"/>
                    <w:bottom w:w="0" w:type="dxa"/>
                    <w:right w:w="0" w:type="dxa"/>
                  </w:tcMar>
                  <w:vAlign w:val="center"/>
                </w:tcPr>
                <w:p w14:paraId="5C5DEF8E">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9" w:type="pct"/>
                  <w:tcBorders>
                    <w:tl2br w:val="nil"/>
                    <w:tr2bl w:val="nil"/>
                  </w:tcBorders>
                  <w:shd w:val="clear" w:color="auto" w:fill="FFFFFF"/>
                  <w:tcMar>
                    <w:top w:w="0" w:type="dxa"/>
                    <w:left w:w="0" w:type="dxa"/>
                    <w:bottom w:w="0" w:type="dxa"/>
                    <w:right w:w="0" w:type="dxa"/>
                  </w:tcMar>
                  <w:vAlign w:val="center"/>
                </w:tcPr>
                <w:p w14:paraId="27BADC94">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9" w:type="pct"/>
                  <w:tcBorders>
                    <w:tl2br w:val="nil"/>
                    <w:tr2bl w:val="nil"/>
                  </w:tcBorders>
                  <w:shd w:val="clear" w:color="auto" w:fill="FFFFFF"/>
                  <w:tcMar>
                    <w:top w:w="0" w:type="dxa"/>
                    <w:left w:w="0" w:type="dxa"/>
                    <w:bottom w:w="0" w:type="dxa"/>
                    <w:right w:w="0" w:type="dxa"/>
                  </w:tcMar>
                  <w:vAlign w:val="center"/>
                </w:tcPr>
                <w:p w14:paraId="5E211247">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8" w:type="pct"/>
                  <w:tcBorders>
                    <w:tl2br w:val="nil"/>
                    <w:tr2bl w:val="nil"/>
                  </w:tcBorders>
                  <w:shd w:val="clear" w:color="auto" w:fill="FFFFFF"/>
                  <w:tcMar>
                    <w:top w:w="0" w:type="dxa"/>
                    <w:left w:w="0" w:type="dxa"/>
                    <w:bottom w:w="0" w:type="dxa"/>
                    <w:right w:w="0" w:type="dxa"/>
                  </w:tcMar>
                  <w:vAlign w:val="center"/>
                </w:tcPr>
                <w:p w14:paraId="1976C8AA">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67.4</w:t>
                  </w:r>
                </w:p>
              </w:tc>
              <w:tc>
                <w:tcPr>
                  <w:tcW w:w="168" w:type="pct"/>
                  <w:tcBorders>
                    <w:tl2br w:val="nil"/>
                    <w:tr2bl w:val="nil"/>
                  </w:tcBorders>
                  <w:shd w:val="clear" w:color="auto" w:fill="FFFFFF"/>
                  <w:tcMar>
                    <w:top w:w="0" w:type="dxa"/>
                    <w:left w:w="0" w:type="dxa"/>
                    <w:bottom w:w="0" w:type="dxa"/>
                    <w:right w:w="0" w:type="dxa"/>
                  </w:tcMar>
                  <w:vAlign w:val="center"/>
                </w:tcPr>
                <w:p w14:paraId="1A42BD94">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67.4</w:t>
                  </w:r>
                </w:p>
              </w:tc>
              <w:tc>
                <w:tcPr>
                  <w:tcW w:w="168" w:type="pct"/>
                  <w:tcBorders>
                    <w:tl2br w:val="nil"/>
                    <w:tr2bl w:val="nil"/>
                  </w:tcBorders>
                  <w:shd w:val="clear" w:color="auto" w:fill="FFFFFF"/>
                  <w:tcMar>
                    <w:top w:w="0" w:type="dxa"/>
                    <w:left w:w="0" w:type="dxa"/>
                    <w:bottom w:w="0" w:type="dxa"/>
                    <w:right w:w="0" w:type="dxa"/>
                  </w:tcMar>
                  <w:vAlign w:val="center"/>
                </w:tcPr>
                <w:p w14:paraId="227C7784">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67.3</w:t>
                  </w:r>
                </w:p>
              </w:tc>
              <w:tc>
                <w:tcPr>
                  <w:tcW w:w="168" w:type="pct"/>
                  <w:tcBorders>
                    <w:tl2br w:val="nil"/>
                    <w:tr2bl w:val="nil"/>
                  </w:tcBorders>
                  <w:shd w:val="clear" w:color="auto" w:fill="FFFFFF"/>
                  <w:tcMar>
                    <w:top w:w="0" w:type="dxa"/>
                    <w:left w:w="0" w:type="dxa"/>
                    <w:bottom w:w="0" w:type="dxa"/>
                    <w:right w:w="0" w:type="dxa"/>
                  </w:tcMar>
                  <w:vAlign w:val="center"/>
                </w:tcPr>
                <w:p w14:paraId="4583FAEB">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67.3</w:t>
                  </w:r>
                </w:p>
              </w:tc>
              <w:tc>
                <w:tcPr>
                  <w:tcW w:w="93" w:type="pct"/>
                  <w:tcBorders>
                    <w:tl2br w:val="nil"/>
                    <w:tr2bl w:val="nil"/>
                  </w:tcBorders>
                  <w:shd w:val="clear" w:color="auto" w:fill="FFFFFF"/>
                  <w:tcMar>
                    <w:top w:w="0" w:type="dxa"/>
                    <w:left w:w="0" w:type="dxa"/>
                    <w:bottom w:w="0" w:type="dxa"/>
                    <w:right w:w="0" w:type="dxa"/>
                  </w:tcMar>
                  <w:vAlign w:val="center"/>
                </w:tcPr>
                <w:p w14:paraId="11A71B40">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w:t>
                  </w:r>
                </w:p>
              </w:tc>
            </w:tr>
            <w:tr w14:paraId="3D6631F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23" w:hRule="atLeast"/>
              </w:trPr>
              <w:tc>
                <w:tcPr>
                  <w:tcW w:w="210" w:type="pct"/>
                  <w:tcBorders>
                    <w:tl2br w:val="nil"/>
                    <w:tr2bl w:val="nil"/>
                  </w:tcBorders>
                  <w:shd w:val="clear" w:color="auto" w:fill="FFFFFF"/>
                  <w:tcMar>
                    <w:top w:w="0" w:type="dxa"/>
                    <w:left w:w="0" w:type="dxa"/>
                    <w:bottom w:w="0" w:type="dxa"/>
                    <w:right w:w="0" w:type="dxa"/>
                  </w:tcMar>
                  <w:vAlign w:val="center"/>
                </w:tcPr>
                <w:p w14:paraId="21AAC8E8">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16</w:t>
                  </w:r>
                </w:p>
              </w:tc>
              <w:tc>
                <w:tcPr>
                  <w:tcW w:w="210" w:type="pct"/>
                  <w:tcBorders>
                    <w:tl2br w:val="nil"/>
                    <w:tr2bl w:val="nil"/>
                  </w:tcBorders>
                  <w:shd w:val="clear" w:color="auto" w:fill="FFFFFF"/>
                  <w:tcMar>
                    <w:top w:w="0" w:type="dxa"/>
                    <w:left w:w="0" w:type="dxa"/>
                    <w:bottom w:w="0" w:type="dxa"/>
                    <w:right w:w="0" w:type="dxa"/>
                  </w:tcMar>
                  <w:vAlign w:val="center"/>
                </w:tcPr>
                <w:p w14:paraId="6273373A">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中创空天厂区-铝合金熔铸一厂</w:t>
                  </w:r>
                </w:p>
              </w:tc>
              <w:tc>
                <w:tcPr>
                  <w:tcW w:w="210" w:type="pct"/>
                  <w:tcBorders>
                    <w:tl2br w:val="nil"/>
                    <w:tr2bl w:val="nil"/>
                  </w:tcBorders>
                  <w:shd w:val="clear" w:color="auto" w:fill="FFFFFF"/>
                  <w:tcMar>
                    <w:top w:w="0" w:type="dxa"/>
                    <w:left w:w="0" w:type="dxa"/>
                    <w:bottom w:w="0" w:type="dxa"/>
                    <w:right w:w="0" w:type="dxa"/>
                  </w:tcMar>
                  <w:vAlign w:val="center"/>
                </w:tcPr>
                <w:p w14:paraId="616B91DB">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定量炉</w:t>
                  </w:r>
                </w:p>
              </w:tc>
              <w:tc>
                <w:tcPr>
                  <w:tcW w:w="210" w:type="pct"/>
                  <w:vMerge w:val="continue"/>
                  <w:tcBorders>
                    <w:tl2br w:val="nil"/>
                    <w:tr2bl w:val="nil"/>
                  </w:tcBorders>
                  <w:shd w:val="clear" w:color="auto" w:fill="FFFFFF"/>
                  <w:tcMar>
                    <w:top w:w="0" w:type="dxa"/>
                    <w:left w:w="0" w:type="dxa"/>
                    <w:bottom w:w="0" w:type="dxa"/>
                    <w:right w:w="0" w:type="dxa"/>
                  </w:tcMar>
                  <w:vAlign w:val="center"/>
                </w:tcPr>
                <w:p w14:paraId="2742F8F0">
                  <w:pPr>
                    <w:jc w:val="center"/>
                    <w:rPr>
                      <w:rFonts w:hint="default" w:ascii="Times New Roman" w:hAnsi="Times New Roman" w:eastAsia="宋体" w:cs="Times New Roman"/>
                      <w:color w:val="auto"/>
                      <w:u w:val="none" w:color="auto"/>
                    </w:rPr>
                  </w:pPr>
                </w:p>
              </w:tc>
              <w:tc>
                <w:tcPr>
                  <w:tcW w:w="281" w:type="pct"/>
                  <w:tcBorders>
                    <w:tl2br w:val="nil"/>
                    <w:tr2bl w:val="nil"/>
                  </w:tcBorders>
                  <w:shd w:val="clear" w:color="auto" w:fill="FFFFFF"/>
                  <w:tcMar>
                    <w:top w:w="0" w:type="dxa"/>
                    <w:left w:w="0" w:type="dxa"/>
                    <w:bottom w:w="0" w:type="dxa"/>
                    <w:right w:w="0" w:type="dxa"/>
                  </w:tcMar>
                  <w:vAlign w:val="center"/>
                </w:tcPr>
                <w:p w14:paraId="4B58BB26">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87.5</w:t>
                  </w:r>
                </w:p>
              </w:tc>
              <w:tc>
                <w:tcPr>
                  <w:tcW w:w="210" w:type="pct"/>
                  <w:tcBorders>
                    <w:tl2br w:val="nil"/>
                    <w:tr2bl w:val="nil"/>
                  </w:tcBorders>
                  <w:shd w:val="clear" w:color="auto" w:fill="FFFFFF"/>
                  <w:tcMar>
                    <w:top w:w="0" w:type="dxa"/>
                    <w:left w:w="0" w:type="dxa"/>
                    <w:bottom w:w="0" w:type="dxa"/>
                    <w:right w:w="0" w:type="dxa"/>
                  </w:tcMar>
                  <w:vAlign w:val="center"/>
                </w:tcPr>
                <w:p w14:paraId="7029C123">
                  <w:pPr>
                    <w:jc w:val="center"/>
                    <w:rPr>
                      <w:rFonts w:hint="default" w:ascii="Times New Roman" w:hAnsi="Times New Roman" w:eastAsia="宋体" w:cs="Times New Roman"/>
                      <w:color w:val="auto"/>
                      <w:u w:val="none" w:color="auto"/>
                    </w:rPr>
                  </w:pPr>
                </w:p>
              </w:tc>
              <w:tc>
                <w:tcPr>
                  <w:tcW w:w="199" w:type="pct"/>
                  <w:tcBorders>
                    <w:tl2br w:val="nil"/>
                    <w:tr2bl w:val="nil"/>
                  </w:tcBorders>
                  <w:shd w:val="clear" w:color="auto" w:fill="FFFFFF"/>
                  <w:tcMar>
                    <w:top w:w="0" w:type="dxa"/>
                    <w:left w:w="0" w:type="dxa"/>
                    <w:bottom w:w="0" w:type="dxa"/>
                    <w:right w:w="0" w:type="dxa"/>
                  </w:tcMar>
                  <w:vAlign w:val="center"/>
                </w:tcPr>
                <w:p w14:paraId="1FD0BA34">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-41.2</w:t>
                  </w:r>
                </w:p>
              </w:tc>
              <w:tc>
                <w:tcPr>
                  <w:tcW w:w="247" w:type="pct"/>
                  <w:tcBorders>
                    <w:tl2br w:val="nil"/>
                    <w:tr2bl w:val="nil"/>
                  </w:tcBorders>
                  <w:shd w:val="clear" w:color="auto" w:fill="FFFFFF"/>
                  <w:tcMar>
                    <w:top w:w="0" w:type="dxa"/>
                    <w:left w:w="0" w:type="dxa"/>
                    <w:bottom w:w="0" w:type="dxa"/>
                    <w:right w:w="0" w:type="dxa"/>
                  </w:tcMar>
                  <w:vAlign w:val="center"/>
                </w:tcPr>
                <w:p w14:paraId="703F08E6">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-112.8</w:t>
                  </w:r>
                </w:p>
              </w:tc>
              <w:tc>
                <w:tcPr>
                  <w:tcW w:w="124" w:type="pct"/>
                  <w:tcBorders>
                    <w:tl2br w:val="nil"/>
                    <w:tr2bl w:val="nil"/>
                  </w:tcBorders>
                  <w:shd w:val="clear" w:color="auto" w:fill="FFFFFF"/>
                  <w:tcMar>
                    <w:top w:w="0" w:type="dxa"/>
                    <w:left w:w="0" w:type="dxa"/>
                    <w:bottom w:w="0" w:type="dxa"/>
                    <w:right w:w="0" w:type="dxa"/>
                  </w:tcMar>
                  <w:vAlign w:val="center"/>
                </w:tcPr>
                <w:p w14:paraId="6F447AE0">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w:t>
                  </w:r>
                </w:p>
              </w:tc>
              <w:tc>
                <w:tcPr>
                  <w:tcW w:w="168" w:type="pct"/>
                  <w:tcBorders>
                    <w:tl2br w:val="nil"/>
                    <w:tr2bl w:val="nil"/>
                  </w:tcBorders>
                  <w:shd w:val="clear" w:color="auto" w:fill="FFFFFF"/>
                  <w:tcMar>
                    <w:top w:w="0" w:type="dxa"/>
                    <w:left w:w="0" w:type="dxa"/>
                    <w:bottom w:w="0" w:type="dxa"/>
                    <w:right w:w="0" w:type="dxa"/>
                  </w:tcMar>
                  <w:vAlign w:val="center"/>
                </w:tcPr>
                <w:p w14:paraId="4EA16765">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24.0</w:t>
                  </w:r>
                </w:p>
              </w:tc>
              <w:tc>
                <w:tcPr>
                  <w:tcW w:w="168" w:type="pct"/>
                  <w:tcBorders>
                    <w:tl2br w:val="nil"/>
                    <w:tr2bl w:val="nil"/>
                  </w:tcBorders>
                  <w:shd w:val="clear" w:color="auto" w:fill="FFFFFF"/>
                  <w:tcMar>
                    <w:top w:w="0" w:type="dxa"/>
                    <w:left w:w="0" w:type="dxa"/>
                    <w:bottom w:w="0" w:type="dxa"/>
                    <w:right w:w="0" w:type="dxa"/>
                  </w:tcMar>
                  <w:vAlign w:val="center"/>
                </w:tcPr>
                <w:p w14:paraId="349E90A7">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26.1</w:t>
                  </w:r>
                </w:p>
              </w:tc>
              <w:tc>
                <w:tcPr>
                  <w:tcW w:w="214" w:type="pct"/>
                  <w:tcBorders>
                    <w:tl2br w:val="nil"/>
                    <w:tr2bl w:val="nil"/>
                  </w:tcBorders>
                  <w:shd w:val="clear" w:color="auto" w:fill="FFFFFF"/>
                  <w:tcMar>
                    <w:top w:w="0" w:type="dxa"/>
                    <w:left w:w="0" w:type="dxa"/>
                    <w:bottom w:w="0" w:type="dxa"/>
                    <w:right w:w="0" w:type="dxa"/>
                  </w:tcMar>
                  <w:vAlign w:val="center"/>
                </w:tcPr>
                <w:p w14:paraId="68FF05D4">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101.0</w:t>
                  </w:r>
                </w:p>
              </w:tc>
              <w:tc>
                <w:tcPr>
                  <w:tcW w:w="214" w:type="pct"/>
                  <w:tcBorders>
                    <w:tl2br w:val="nil"/>
                    <w:tr2bl w:val="nil"/>
                  </w:tcBorders>
                  <w:shd w:val="clear" w:color="auto" w:fill="FFFFFF"/>
                  <w:tcMar>
                    <w:top w:w="0" w:type="dxa"/>
                    <w:left w:w="0" w:type="dxa"/>
                    <w:bottom w:w="0" w:type="dxa"/>
                    <w:right w:w="0" w:type="dxa"/>
                  </w:tcMar>
                  <w:vAlign w:val="center"/>
                </w:tcPr>
                <w:p w14:paraId="1812F1C6">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111.2</w:t>
                  </w:r>
                </w:p>
              </w:tc>
              <w:tc>
                <w:tcPr>
                  <w:tcW w:w="169" w:type="pct"/>
                  <w:tcBorders>
                    <w:tl2br w:val="nil"/>
                    <w:tr2bl w:val="nil"/>
                  </w:tcBorders>
                  <w:shd w:val="clear" w:color="auto" w:fill="FFFFFF"/>
                  <w:tcMar>
                    <w:top w:w="0" w:type="dxa"/>
                    <w:left w:w="0" w:type="dxa"/>
                    <w:bottom w:w="0" w:type="dxa"/>
                    <w:right w:w="0" w:type="dxa"/>
                  </w:tcMar>
                  <w:vAlign w:val="center"/>
                </w:tcPr>
                <w:p w14:paraId="3F48A4CD">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66.9</w:t>
                  </w:r>
                </w:p>
              </w:tc>
              <w:tc>
                <w:tcPr>
                  <w:tcW w:w="169" w:type="pct"/>
                  <w:tcBorders>
                    <w:tl2br w:val="nil"/>
                    <w:tr2bl w:val="nil"/>
                  </w:tcBorders>
                  <w:shd w:val="clear" w:color="auto" w:fill="FFFFFF"/>
                  <w:tcMar>
                    <w:top w:w="0" w:type="dxa"/>
                    <w:left w:w="0" w:type="dxa"/>
                    <w:bottom w:w="0" w:type="dxa"/>
                    <w:right w:w="0" w:type="dxa"/>
                  </w:tcMar>
                  <w:vAlign w:val="center"/>
                </w:tcPr>
                <w:p w14:paraId="1EB20778">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66.9</w:t>
                  </w:r>
                </w:p>
              </w:tc>
              <w:tc>
                <w:tcPr>
                  <w:tcW w:w="169" w:type="pct"/>
                  <w:tcBorders>
                    <w:tl2br w:val="nil"/>
                    <w:tr2bl w:val="nil"/>
                  </w:tcBorders>
                  <w:shd w:val="clear" w:color="auto" w:fill="FFFFFF"/>
                  <w:tcMar>
                    <w:top w:w="0" w:type="dxa"/>
                    <w:left w:w="0" w:type="dxa"/>
                    <w:bottom w:w="0" w:type="dxa"/>
                    <w:right w:w="0" w:type="dxa"/>
                  </w:tcMar>
                  <w:vAlign w:val="center"/>
                </w:tcPr>
                <w:p w14:paraId="787E5048">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66.8</w:t>
                  </w:r>
                </w:p>
              </w:tc>
              <w:tc>
                <w:tcPr>
                  <w:tcW w:w="169" w:type="pct"/>
                  <w:tcBorders>
                    <w:tl2br w:val="nil"/>
                    <w:tr2bl w:val="nil"/>
                  </w:tcBorders>
                  <w:shd w:val="clear" w:color="auto" w:fill="FFFFFF"/>
                  <w:tcMar>
                    <w:top w:w="0" w:type="dxa"/>
                    <w:left w:w="0" w:type="dxa"/>
                    <w:bottom w:w="0" w:type="dxa"/>
                    <w:right w:w="0" w:type="dxa"/>
                  </w:tcMar>
                  <w:vAlign w:val="center"/>
                </w:tcPr>
                <w:p w14:paraId="167F97F2">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66.8</w:t>
                  </w:r>
                </w:p>
              </w:tc>
              <w:tc>
                <w:tcPr>
                  <w:tcW w:w="210" w:type="pct"/>
                  <w:tcBorders>
                    <w:tl2br w:val="nil"/>
                    <w:tr2bl w:val="nil"/>
                  </w:tcBorders>
                  <w:shd w:val="clear" w:color="auto" w:fill="FFFFFF"/>
                  <w:tcMar>
                    <w:top w:w="0" w:type="dxa"/>
                    <w:left w:w="0" w:type="dxa"/>
                    <w:bottom w:w="0" w:type="dxa"/>
                    <w:right w:w="0" w:type="dxa"/>
                  </w:tcMar>
                  <w:vAlign w:val="center"/>
                </w:tcPr>
                <w:p w14:paraId="738EF4BD">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24</w:t>
                  </w:r>
                </w:p>
              </w:tc>
              <w:tc>
                <w:tcPr>
                  <w:tcW w:w="169" w:type="pct"/>
                  <w:tcBorders>
                    <w:tl2br w:val="nil"/>
                    <w:tr2bl w:val="nil"/>
                  </w:tcBorders>
                  <w:shd w:val="clear" w:color="auto" w:fill="FFFFFF"/>
                  <w:tcMar>
                    <w:top w:w="0" w:type="dxa"/>
                    <w:left w:w="0" w:type="dxa"/>
                    <w:bottom w:w="0" w:type="dxa"/>
                    <w:right w:w="0" w:type="dxa"/>
                  </w:tcMar>
                  <w:vAlign w:val="center"/>
                </w:tcPr>
                <w:p w14:paraId="77D58163">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9" w:type="pct"/>
                  <w:tcBorders>
                    <w:tl2br w:val="nil"/>
                    <w:tr2bl w:val="nil"/>
                  </w:tcBorders>
                  <w:shd w:val="clear" w:color="auto" w:fill="FFFFFF"/>
                  <w:tcMar>
                    <w:top w:w="0" w:type="dxa"/>
                    <w:left w:w="0" w:type="dxa"/>
                    <w:bottom w:w="0" w:type="dxa"/>
                    <w:right w:w="0" w:type="dxa"/>
                  </w:tcMar>
                  <w:vAlign w:val="center"/>
                </w:tcPr>
                <w:p w14:paraId="7A4A92B1">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9" w:type="pct"/>
                  <w:tcBorders>
                    <w:tl2br w:val="nil"/>
                    <w:tr2bl w:val="nil"/>
                  </w:tcBorders>
                  <w:shd w:val="clear" w:color="auto" w:fill="FFFFFF"/>
                  <w:tcMar>
                    <w:top w:w="0" w:type="dxa"/>
                    <w:left w:w="0" w:type="dxa"/>
                    <w:bottom w:w="0" w:type="dxa"/>
                    <w:right w:w="0" w:type="dxa"/>
                  </w:tcMar>
                  <w:vAlign w:val="center"/>
                </w:tcPr>
                <w:p w14:paraId="641F93AE">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9" w:type="pct"/>
                  <w:tcBorders>
                    <w:tl2br w:val="nil"/>
                    <w:tr2bl w:val="nil"/>
                  </w:tcBorders>
                  <w:shd w:val="clear" w:color="auto" w:fill="FFFFFF"/>
                  <w:tcMar>
                    <w:top w:w="0" w:type="dxa"/>
                    <w:left w:w="0" w:type="dxa"/>
                    <w:bottom w:w="0" w:type="dxa"/>
                    <w:right w:w="0" w:type="dxa"/>
                  </w:tcMar>
                  <w:vAlign w:val="center"/>
                </w:tcPr>
                <w:p w14:paraId="5CF06D5C">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8" w:type="pct"/>
                  <w:tcBorders>
                    <w:tl2br w:val="nil"/>
                    <w:tr2bl w:val="nil"/>
                  </w:tcBorders>
                  <w:shd w:val="clear" w:color="auto" w:fill="FFFFFF"/>
                  <w:tcMar>
                    <w:top w:w="0" w:type="dxa"/>
                    <w:left w:w="0" w:type="dxa"/>
                    <w:bottom w:w="0" w:type="dxa"/>
                    <w:right w:w="0" w:type="dxa"/>
                  </w:tcMar>
                  <w:vAlign w:val="center"/>
                </w:tcPr>
                <w:p w14:paraId="19DB7CF1">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54.9</w:t>
                  </w:r>
                </w:p>
              </w:tc>
              <w:tc>
                <w:tcPr>
                  <w:tcW w:w="168" w:type="pct"/>
                  <w:tcBorders>
                    <w:tl2br w:val="nil"/>
                    <w:tr2bl w:val="nil"/>
                  </w:tcBorders>
                  <w:shd w:val="clear" w:color="auto" w:fill="FFFFFF"/>
                  <w:tcMar>
                    <w:top w:w="0" w:type="dxa"/>
                    <w:left w:w="0" w:type="dxa"/>
                    <w:bottom w:w="0" w:type="dxa"/>
                    <w:right w:w="0" w:type="dxa"/>
                  </w:tcMar>
                  <w:vAlign w:val="center"/>
                </w:tcPr>
                <w:p w14:paraId="24607CF7">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54.9</w:t>
                  </w:r>
                </w:p>
              </w:tc>
              <w:tc>
                <w:tcPr>
                  <w:tcW w:w="168" w:type="pct"/>
                  <w:tcBorders>
                    <w:tl2br w:val="nil"/>
                    <w:tr2bl w:val="nil"/>
                  </w:tcBorders>
                  <w:shd w:val="clear" w:color="auto" w:fill="FFFFFF"/>
                  <w:tcMar>
                    <w:top w:w="0" w:type="dxa"/>
                    <w:left w:w="0" w:type="dxa"/>
                    <w:bottom w:w="0" w:type="dxa"/>
                    <w:right w:w="0" w:type="dxa"/>
                  </w:tcMar>
                  <w:vAlign w:val="center"/>
                </w:tcPr>
                <w:p w14:paraId="64E07A24">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54.8</w:t>
                  </w:r>
                </w:p>
              </w:tc>
              <w:tc>
                <w:tcPr>
                  <w:tcW w:w="168" w:type="pct"/>
                  <w:tcBorders>
                    <w:tl2br w:val="nil"/>
                    <w:tr2bl w:val="nil"/>
                  </w:tcBorders>
                  <w:shd w:val="clear" w:color="auto" w:fill="FFFFFF"/>
                  <w:tcMar>
                    <w:top w:w="0" w:type="dxa"/>
                    <w:left w:w="0" w:type="dxa"/>
                    <w:bottom w:w="0" w:type="dxa"/>
                    <w:right w:w="0" w:type="dxa"/>
                  </w:tcMar>
                  <w:vAlign w:val="center"/>
                </w:tcPr>
                <w:p w14:paraId="39669C9B">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54.8</w:t>
                  </w:r>
                </w:p>
              </w:tc>
              <w:tc>
                <w:tcPr>
                  <w:tcW w:w="93" w:type="pct"/>
                  <w:tcBorders>
                    <w:tl2br w:val="nil"/>
                    <w:tr2bl w:val="nil"/>
                  </w:tcBorders>
                  <w:shd w:val="clear" w:color="auto" w:fill="FFFFFF"/>
                  <w:tcMar>
                    <w:top w:w="0" w:type="dxa"/>
                    <w:left w:w="0" w:type="dxa"/>
                    <w:bottom w:w="0" w:type="dxa"/>
                    <w:right w:w="0" w:type="dxa"/>
                  </w:tcMar>
                  <w:vAlign w:val="center"/>
                </w:tcPr>
                <w:p w14:paraId="7F4F65B2">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w:t>
                  </w:r>
                </w:p>
              </w:tc>
            </w:tr>
            <w:tr w14:paraId="40A9357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23" w:hRule="atLeast"/>
              </w:trPr>
              <w:tc>
                <w:tcPr>
                  <w:tcW w:w="210" w:type="pct"/>
                  <w:tcBorders>
                    <w:tl2br w:val="nil"/>
                    <w:tr2bl w:val="nil"/>
                  </w:tcBorders>
                  <w:shd w:val="clear" w:color="auto" w:fill="FFFFFF"/>
                  <w:tcMar>
                    <w:top w:w="0" w:type="dxa"/>
                    <w:left w:w="0" w:type="dxa"/>
                    <w:bottom w:w="0" w:type="dxa"/>
                    <w:right w:w="0" w:type="dxa"/>
                  </w:tcMar>
                  <w:vAlign w:val="center"/>
                </w:tcPr>
                <w:p w14:paraId="0663DAC8">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17</w:t>
                  </w:r>
                </w:p>
              </w:tc>
              <w:tc>
                <w:tcPr>
                  <w:tcW w:w="210" w:type="pct"/>
                  <w:tcBorders>
                    <w:tl2br w:val="nil"/>
                    <w:tr2bl w:val="nil"/>
                  </w:tcBorders>
                  <w:shd w:val="clear" w:color="auto" w:fill="FFFFFF"/>
                  <w:tcMar>
                    <w:top w:w="0" w:type="dxa"/>
                    <w:left w:w="0" w:type="dxa"/>
                    <w:bottom w:w="0" w:type="dxa"/>
                    <w:right w:w="0" w:type="dxa"/>
                  </w:tcMar>
                  <w:vAlign w:val="center"/>
                </w:tcPr>
                <w:p w14:paraId="530A2597">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中创空天厂区-铝合金熔铸一厂</w:t>
                  </w:r>
                </w:p>
              </w:tc>
              <w:tc>
                <w:tcPr>
                  <w:tcW w:w="210" w:type="pct"/>
                  <w:tcBorders>
                    <w:tl2br w:val="nil"/>
                    <w:tr2bl w:val="nil"/>
                  </w:tcBorders>
                  <w:shd w:val="clear" w:color="auto" w:fill="FFFFFF"/>
                  <w:tcMar>
                    <w:top w:w="0" w:type="dxa"/>
                    <w:left w:w="0" w:type="dxa"/>
                    <w:bottom w:w="0" w:type="dxa"/>
                    <w:right w:w="0" w:type="dxa"/>
                  </w:tcMar>
                  <w:vAlign w:val="center"/>
                </w:tcPr>
                <w:p w14:paraId="2259AC21">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定量炉</w:t>
                  </w:r>
                </w:p>
              </w:tc>
              <w:tc>
                <w:tcPr>
                  <w:tcW w:w="210" w:type="pct"/>
                  <w:vMerge w:val="continue"/>
                  <w:tcBorders>
                    <w:tl2br w:val="nil"/>
                    <w:tr2bl w:val="nil"/>
                  </w:tcBorders>
                  <w:shd w:val="clear" w:color="auto" w:fill="FFFFFF"/>
                  <w:tcMar>
                    <w:top w:w="0" w:type="dxa"/>
                    <w:left w:w="0" w:type="dxa"/>
                    <w:bottom w:w="0" w:type="dxa"/>
                    <w:right w:w="0" w:type="dxa"/>
                  </w:tcMar>
                  <w:vAlign w:val="center"/>
                </w:tcPr>
                <w:p w14:paraId="2AEFE5B6">
                  <w:pPr>
                    <w:jc w:val="center"/>
                    <w:rPr>
                      <w:rFonts w:hint="default" w:ascii="Times New Roman" w:hAnsi="Times New Roman" w:eastAsia="宋体" w:cs="Times New Roman"/>
                      <w:color w:val="auto"/>
                      <w:u w:val="none" w:color="auto"/>
                    </w:rPr>
                  </w:pPr>
                </w:p>
              </w:tc>
              <w:tc>
                <w:tcPr>
                  <w:tcW w:w="281" w:type="pct"/>
                  <w:tcBorders>
                    <w:tl2br w:val="nil"/>
                    <w:tr2bl w:val="nil"/>
                  </w:tcBorders>
                  <w:shd w:val="clear" w:color="auto" w:fill="FFFFFF"/>
                  <w:tcMar>
                    <w:top w:w="0" w:type="dxa"/>
                    <w:left w:w="0" w:type="dxa"/>
                    <w:bottom w:w="0" w:type="dxa"/>
                    <w:right w:w="0" w:type="dxa"/>
                  </w:tcMar>
                  <w:vAlign w:val="center"/>
                </w:tcPr>
                <w:p w14:paraId="732A2585">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87.5</w:t>
                  </w:r>
                </w:p>
              </w:tc>
              <w:tc>
                <w:tcPr>
                  <w:tcW w:w="210" w:type="pct"/>
                  <w:tcBorders>
                    <w:tl2br w:val="nil"/>
                    <w:tr2bl w:val="nil"/>
                  </w:tcBorders>
                  <w:shd w:val="clear" w:color="auto" w:fill="FFFFFF"/>
                  <w:tcMar>
                    <w:top w:w="0" w:type="dxa"/>
                    <w:left w:w="0" w:type="dxa"/>
                    <w:bottom w:w="0" w:type="dxa"/>
                    <w:right w:w="0" w:type="dxa"/>
                  </w:tcMar>
                  <w:vAlign w:val="center"/>
                </w:tcPr>
                <w:p w14:paraId="38990157">
                  <w:pPr>
                    <w:jc w:val="center"/>
                    <w:rPr>
                      <w:rFonts w:hint="default" w:ascii="Times New Roman" w:hAnsi="Times New Roman" w:eastAsia="宋体" w:cs="Times New Roman"/>
                      <w:color w:val="auto"/>
                      <w:u w:val="none" w:color="auto"/>
                    </w:rPr>
                  </w:pPr>
                </w:p>
              </w:tc>
              <w:tc>
                <w:tcPr>
                  <w:tcW w:w="199" w:type="pct"/>
                  <w:tcBorders>
                    <w:tl2br w:val="nil"/>
                    <w:tr2bl w:val="nil"/>
                  </w:tcBorders>
                  <w:shd w:val="clear" w:color="auto" w:fill="FFFFFF"/>
                  <w:tcMar>
                    <w:top w:w="0" w:type="dxa"/>
                    <w:left w:w="0" w:type="dxa"/>
                    <w:bottom w:w="0" w:type="dxa"/>
                    <w:right w:w="0" w:type="dxa"/>
                  </w:tcMar>
                  <w:vAlign w:val="center"/>
                </w:tcPr>
                <w:p w14:paraId="68CB306B">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-48.5</w:t>
                  </w:r>
                </w:p>
              </w:tc>
              <w:tc>
                <w:tcPr>
                  <w:tcW w:w="247" w:type="pct"/>
                  <w:tcBorders>
                    <w:tl2br w:val="nil"/>
                    <w:tr2bl w:val="nil"/>
                  </w:tcBorders>
                  <w:shd w:val="clear" w:color="auto" w:fill="FFFFFF"/>
                  <w:tcMar>
                    <w:top w:w="0" w:type="dxa"/>
                    <w:left w:w="0" w:type="dxa"/>
                    <w:bottom w:w="0" w:type="dxa"/>
                    <w:right w:w="0" w:type="dxa"/>
                  </w:tcMar>
                  <w:vAlign w:val="center"/>
                </w:tcPr>
                <w:p w14:paraId="286A7FD5">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-107.9</w:t>
                  </w:r>
                </w:p>
              </w:tc>
              <w:tc>
                <w:tcPr>
                  <w:tcW w:w="124" w:type="pct"/>
                  <w:tcBorders>
                    <w:tl2br w:val="nil"/>
                    <w:tr2bl w:val="nil"/>
                  </w:tcBorders>
                  <w:shd w:val="clear" w:color="auto" w:fill="FFFFFF"/>
                  <w:tcMar>
                    <w:top w:w="0" w:type="dxa"/>
                    <w:left w:w="0" w:type="dxa"/>
                    <w:bottom w:w="0" w:type="dxa"/>
                    <w:right w:w="0" w:type="dxa"/>
                  </w:tcMar>
                  <w:vAlign w:val="center"/>
                </w:tcPr>
                <w:p w14:paraId="73872F0B">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w:t>
                  </w:r>
                </w:p>
              </w:tc>
              <w:tc>
                <w:tcPr>
                  <w:tcW w:w="168" w:type="pct"/>
                  <w:tcBorders>
                    <w:tl2br w:val="nil"/>
                    <w:tr2bl w:val="nil"/>
                  </w:tcBorders>
                  <w:shd w:val="clear" w:color="auto" w:fill="FFFFFF"/>
                  <w:tcMar>
                    <w:top w:w="0" w:type="dxa"/>
                    <w:left w:w="0" w:type="dxa"/>
                    <w:bottom w:w="0" w:type="dxa"/>
                    <w:right w:w="0" w:type="dxa"/>
                  </w:tcMar>
                  <w:vAlign w:val="center"/>
                </w:tcPr>
                <w:p w14:paraId="13C5F50F">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32.8</w:t>
                  </w:r>
                </w:p>
              </w:tc>
              <w:tc>
                <w:tcPr>
                  <w:tcW w:w="168" w:type="pct"/>
                  <w:tcBorders>
                    <w:tl2br w:val="nil"/>
                    <w:tr2bl w:val="nil"/>
                  </w:tcBorders>
                  <w:shd w:val="clear" w:color="auto" w:fill="FFFFFF"/>
                  <w:tcMar>
                    <w:top w:w="0" w:type="dxa"/>
                    <w:left w:w="0" w:type="dxa"/>
                    <w:bottom w:w="0" w:type="dxa"/>
                    <w:right w:w="0" w:type="dxa"/>
                  </w:tcMar>
                  <w:vAlign w:val="center"/>
                </w:tcPr>
                <w:p w14:paraId="5E8DF5CA">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26.0</w:t>
                  </w:r>
                </w:p>
              </w:tc>
              <w:tc>
                <w:tcPr>
                  <w:tcW w:w="214" w:type="pct"/>
                  <w:tcBorders>
                    <w:tl2br w:val="nil"/>
                    <w:tr2bl w:val="nil"/>
                  </w:tcBorders>
                  <w:shd w:val="clear" w:color="auto" w:fill="FFFFFF"/>
                  <w:tcMar>
                    <w:top w:w="0" w:type="dxa"/>
                    <w:left w:w="0" w:type="dxa"/>
                    <w:bottom w:w="0" w:type="dxa"/>
                    <w:right w:w="0" w:type="dxa"/>
                  </w:tcMar>
                  <w:vAlign w:val="center"/>
                </w:tcPr>
                <w:p w14:paraId="11F4ED68">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92.2</w:t>
                  </w:r>
                </w:p>
              </w:tc>
              <w:tc>
                <w:tcPr>
                  <w:tcW w:w="214" w:type="pct"/>
                  <w:tcBorders>
                    <w:tl2br w:val="nil"/>
                    <w:tr2bl w:val="nil"/>
                  </w:tcBorders>
                  <w:shd w:val="clear" w:color="auto" w:fill="FFFFFF"/>
                  <w:tcMar>
                    <w:top w:w="0" w:type="dxa"/>
                    <w:left w:w="0" w:type="dxa"/>
                    <w:bottom w:w="0" w:type="dxa"/>
                    <w:right w:w="0" w:type="dxa"/>
                  </w:tcMar>
                  <w:vAlign w:val="center"/>
                </w:tcPr>
                <w:p w14:paraId="154BFC5D">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111.3</w:t>
                  </w:r>
                </w:p>
              </w:tc>
              <w:tc>
                <w:tcPr>
                  <w:tcW w:w="169" w:type="pct"/>
                  <w:tcBorders>
                    <w:tl2br w:val="nil"/>
                    <w:tr2bl w:val="nil"/>
                  </w:tcBorders>
                  <w:shd w:val="clear" w:color="auto" w:fill="FFFFFF"/>
                  <w:tcMar>
                    <w:top w:w="0" w:type="dxa"/>
                    <w:left w:w="0" w:type="dxa"/>
                    <w:bottom w:w="0" w:type="dxa"/>
                    <w:right w:w="0" w:type="dxa"/>
                  </w:tcMar>
                  <w:vAlign w:val="center"/>
                </w:tcPr>
                <w:p w14:paraId="6FEAFA7A">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66.9</w:t>
                  </w:r>
                </w:p>
              </w:tc>
              <w:tc>
                <w:tcPr>
                  <w:tcW w:w="169" w:type="pct"/>
                  <w:tcBorders>
                    <w:tl2br w:val="nil"/>
                    <w:tr2bl w:val="nil"/>
                  </w:tcBorders>
                  <w:shd w:val="clear" w:color="auto" w:fill="FFFFFF"/>
                  <w:tcMar>
                    <w:top w:w="0" w:type="dxa"/>
                    <w:left w:w="0" w:type="dxa"/>
                    <w:bottom w:w="0" w:type="dxa"/>
                    <w:right w:w="0" w:type="dxa"/>
                  </w:tcMar>
                  <w:vAlign w:val="center"/>
                </w:tcPr>
                <w:p w14:paraId="1E79E82F">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66.9</w:t>
                  </w:r>
                </w:p>
              </w:tc>
              <w:tc>
                <w:tcPr>
                  <w:tcW w:w="169" w:type="pct"/>
                  <w:tcBorders>
                    <w:tl2br w:val="nil"/>
                    <w:tr2bl w:val="nil"/>
                  </w:tcBorders>
                  <w:shd w:val="clear" w:color="auto" w:fill="FFFFFF"/>
                  <w:tcMar>
                    <w:top w:w="0" w:type="dxa"/>
                    <w:left w:w="0" w:type="dxa"/>
                    <w:bottom w:w="0" w:type="dxa"/>
                    <w:right w:w="0" w:type="dxa"/>
                  </w:tcMar>
                  <w:vAlign w:val="center"/>
                </w:tcPr>
                <w:p w14:paraId="6E3C02BB">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66.8</w:t>
                  </w:r>
                </w:p>
              </w:tc>
              <w:tc>
                <w:tcPr>
                  <w:tcW w:w="169" w:type="pct"/>
                  <w:tcBorders>
                    <w:tl2br w:val="nil"/>
                    <w:tr2bl w:val="nil"/>
                  </w:tcBorders>
                  <w:shd w:val="clear" w:color="auto" w:fill="FFFFFF"/>
                  <w:tcMar>
                    <w:top w:w="0" w:type="dxa"/>
                    <w:left w:w="0" w:type="dxa"/>
                    <w:bottom w:w="0" w:type="dxa"/>
                    <w:right w:w="0" w:type="dxa"/>
                  </w:tcMar>
                  <w:vAlign w:val="center"/>
                </w:tcPr>
                <w:p w14:paraId="6E5C81FD">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66.8</w:t>
                  </w:r>
                </w:p>
              </w:tc>
              <w:tc>
                <w:tcPr>
                  <w:tcW w:w="210" w:type="pct"/>
                  <w:tcBorders>
                    <w:tl2br w:val="nil"/>
                    <w:tr2bl w:val="nil"/>
                  </w:tcBorders>
                  <w:shd w:val="clear" w:color="auto" w:fill="FFFFFF"/>
                  <w:tcMar>
                    <w:top w:w="0" w:type="dxa"/>
                    <w:left w:w="0" w:type="dxa"/>
                    <w:bottom w:w="0" w:type="dxa"/>
                    <w:right w:w="0" w:type="dxa"/>
                  </w:tcMar>
                  <w:vAlign w:val="center"/>
                </w:tcPr>
                <w:p w14:paraId="2C61EE45">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24</w:t>
                  </w:r>
                </w:p>
              </w:tc>
              <w:tc>
                <w:tcPr>
                  <w:tcW w:w="169" w:type="pct"/>
                  <w:tcBorders>
                    <w:tl2br w:val="nil"/>
                    <w:tr2bl w:val="nil"/>
                  </w:tcBorders>
                  <w:shd w:val="clear" w:color="auto" w:fill="FFFFFF"/>
                  <w:tcMar>
                    <w:top w:w="0" w:type="dxa"/>
                    <w:left w:w="0" w:type="dxa"/>
                    <w:bottom w:w="0" w:type="dxa"/>
                    <w:right w:w="0" w:type="dxa"/>
                  </w:tcMar>
                  <w:vAlign w:val="center"/>
                </w:tcPr>
                <w:p w14:paraId="1907A476">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9" w:type="pct"/>
                  <w:tcBorders>
                    <w:tl2br w:val="nil"/>
                    <w:tr2bl w:val="nil"/>
                  </w:tcBorders>
                  <w:shd w:val="clear" w:color="auto" w:fill="FFFFFF"/>
                  <w:tcMar>
                    <w:top w:w="0" w:type="dxa"/>
                    <w:left w:w="0" w:type="dxa"/>
                    <w:bottom w:w="0" w:type="dxa"/>
                    <w:right w:w="0" w:type="dxa"/>
                  </w:tcMar>
                  <w:vAlign w:val="center"/>
                </w:tcPr>
                <w:p w14:paraId="29C40867">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9" w:type="pct"/>
                  <w:tcBorders>
                    <w:tl2br w:val="nil"/>
                    <w:tr2bl w:val="nil"/>
                  </w:tcBorders>
                  <w:shd w:val="clear" w:color="auto" w:fill="FFFFFF"/>
                  <w:tcMar>
                    <w:top w:w="0" w:type="dxa"/>
                    <w:left w:w="0" w:type="dxa"/>
                    <w:bottom w:w="0" w:type="dxa"/>
                    <w:right w:w="0" w:type="dxa"/>
                  </w:tcMar>
                  <w:vAlign w:val="center"/>
                </w:tcPr>
                <w:p w14:paraId="7CB4BECD">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9" w:type="pct"/>
                  <w:tcBorders>
                    <w:tl2br w:val="nil"/>
                    <w:tr2bl w:val="nil"/>
                  </w:tcBorders>
                  <w:shd w:val="clear" w:color="auto" w:fill="FFFFFF"/>
                  <w:tcMar>
                    <w:top w:w="0" w:type="dxa"/>
                    <w:left w:w="0" w:type="dxa"/>
                    <w:bottom w:w="0" w:type="dxa"/>
                    <w:right w:w="0" w:type="dxa"/>
                  </w:tcMar>
                  <w:vAlign w:val="center"/>
                </w:tcPr>
                <w:p w14:paraId="2621F7C4">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8" w:type="pct"/>
                  <w:tcBorders>
                    <w:tl2br w:val="nil"/>
                    <w:tr2bl w:val="nil"/>
                  </w:tcBorders>
                  <w:shd w:val="clear" w:color="auto" w:fill="FFFFFF"/>
                  <w:tcMar>
                    <w:top w:w="0" w:type="dxa"/>
                    <w:left w:w="0" w:type="dxa"/>
                    <w:bottom w:w="0" w:type="dxa"/>
                    <w:right w:w="0" w:type="dxa"/>
                  </w:tcMar>
                  <w:vAlign w:val="center"/>
                </w:tcPr>
                <w:p w14:paraId="70C83B7C">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54.9</w:t>
                  </w:r>
                </w:p>
              </w:tc>
              <w:tc>
                <w:tcPr>
                  <w:tcW w:w="168" w:type="pct"/>
                  <w:tcBorders>
                    <w:tl2br w:val="nil"/>
                    <w:tr2bl w:val="nil"/>
                  </w:tcBorders>
                  <w:shd w:val="clear" w:color="auto" w:fill="FFFFFF"/>
                  <w:tcMar>
                    <w:top w:w="0" w:type="dxa"/>
                    <w:left w:w="0" w:type="dxa"/>
                    <w:bottom w:w="0" w:type="dxa"/>
                    <w:right w:w="0" w:type="dxa"/>
                  </w:tcMar>
                  <w:vAlign w:val="center"/>
                </w:tcPr>
                <w:p w14:paraId="5D1F532F">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54.9</w:t>
                  </w:r>
                </w:p>
              </w:tc>
              <w:tc>
                <w:tcPr>
                  <w:tcW w:w="168" w:type="pct"/>
                  <w:tcBorders>
                    <w:tl2br w:val="nil"/>
                    <w:tr2bl w:val="nil"/>
                  </w:tcBorders>
                  <w:shd w:val="clear" w:color="auto" w:fill="FFFFFF"/>
                  <w:tcMar>
                    <w:top w:w="0" w:type="dxa"/>
                    <w:left w:w="0" w:type="dxa"/>
                    <w:bottom w:w="0" w:type="dxa"/>
                    <w:right w:w="0" w:type="dxa"/>
                  </w:tcMar>
                  <w:vAlign w:val="center"/>
                </w:tcPr>
                <w:p w14:paraId="7E640D74">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54.8</w:t>
                  </w:r>
                </w:p>
              </w:tc>
              <w:tc>
                <w:tcPr>
                  <w:tcW w:w="168" w:type="pct"/>
                  <w:tcBorders>
                    <w:tl2br w:val="nil"/>
                    <w:tr2bl w:val="nil"/>
                  </w:tcBorders>
                  <w:shd w:val="clear" w:color="auto" w:fill="FFFFFF"/>
                  <w:tcMar>
                    <w:top w:w="0" w:type="dxa"/>
                    <w:left w:w="0" w:type="dxa"/>
                    <w:bottom w:w="0" w:type="dxa"/>
                    <w:right w:w="0" w:type="dxa"/>
                  </w:tcMar>
                  <w:vAlign w:val="center"/>
                </w:tcPr>
                <w:p w14:paraId="048C45E3">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54.8</w:t>
                  </w:r>
                </w:p>
              </w:tc>
              <w:tc>
                <w:tcPr>
                  <w:tcW w:w="93" w:type="pct"/>
                  <w:tcBorders>
                    <w:tl2br w:val="nil"/>
                    <w:tr2bl w:val="nil"/>
                  </w:tcBorders>
                  <w:shd w:val="clear" w:color="auto" w:fill="FFFFFF"/>
                  <w:tcMar>
                    <w:top w:w="0" w:type="dxa"/>
                    <w:left w:w="0" w:type="dxa"/>
                    <w:bottom w:w="0" w:type="dxa"/>
                    <w:right w:w="0" w:type="dxa"/>
                  </w:tcMar>
                  <w:vAlign w:val="center"/>
                </w:tcPr>
                <w:p w14:paraId="05D98F84">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w:t>
                  </w:r>
                </w:p>
              </w:tc>
            </w:tr>
            <w:tr w14:paraId="30D31F4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23" w:hRule="atLeast"/>
              </w:trPr>
              <w:tc>
                <w:tcPr>
                  <w:tcW w:w="210" w:type="pct"/>
                  <w:tcBorders>
                    <w:tl2br w:val="nil"/>
                    <w:tr2bl w:val="nil"/>
                  </w:tcBorders>
                  <w:shd w:val="clear" w:color="auto" w:fill="FFFFFF"/>
                  <w:tcMar>
                    <w:top w:w="0" w:type="dxa"/>
                    <w:left w:w="0" w:type="dxa"/>
                    <w:bottom w:w="0" w:type="dxa"/>
                    <w:right w:w="0" w:type="dxa"/>
                  </w:tcMar>
                  <w:vAlign w:val="center"/>
                </w:tcPr>
                <w:p w14:paraId="50476D79">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18</w:t>
                  </w:r>
                </w:p>
              </w:tc>
              <w:tc>
                <w:tcPr>
                  <w:tcW w:w="210" w:type="pct"/>
                  <w:tcBorders>
                    <w:tl2br w:val="nil"/>
                    <w:tr2bl w:val="nil"/>
                  </w:tcBorders>
                  <w:shd w:val="clear" w:color="auto" w:fill="FFFFFF"/>
                  <w:tcMar>
                    <w:top w:w="0" w:type="dxa"/>
                    <w:left w:w="0" w:type="dxa"/>
                    <w:bottom w:w="0" w:type="dxa"/>
                    <w:right w:w="0" w:type="dxa"/>
                  </w:tcMar>
                  <w:vAlign w:val="center"/>
                </w:tcPr>
                <w:p w14:paraId="2964309D">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中创空天厂区-铝合金熔铸一厂</w:t>
                  </w:r>
                </w:p>
              </w:tc>
              <w:tc>
                <w:tcPr>
                  <w:tcW w:w="210" w:type="pct"/>
                  <w:tcBorders>
                    <w:tl2br w:val="nil"/>
                    <w:tr2bl w:val="nil"/>
                  </w:tcBorders>
                  <w:shd w:val="clear" w:color="auto" w:fill="FFFFFF"/>
                  <w:tcMar>
                    <w:top w:w="0" w:type="dxa"/>
                    <w:left w:w="0" w:type="dxa"/>
                    <w:bottom w:w="0" w:type="dxa"/>
                    <w:right w:w="0" w:type="dxa"/>
                  </w:tcMar>
                  <w:vAlign w:val="center"/>
                </w:tcPr>
                <w:p w14:paraId="59B4C6DE">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取件机器人</w:t>
                  </w:r>
                </w:p>
              </w:tc>
              <w:tc>
                <w:tcPr>
                  <w:tcW w:w="210" w:type="pct"/>
                  <w:vMerge w:val="restart"/>
                  <w:tcBorders>
                    <w:tl2br w:val="nil"/>
                    <w:tr2bl w:val="nil"/>
                  </w:tcBorders>
                  <w:shd w:val="clear" w:color="auto" w:fill="FFFFFF"/>
                  <w:tcMar>
                    <w:top w:w="0" w:type="dxa"/>
                    <w:left w:w="0" w:type="dxa"/>
                    <w:bottom w:w="0" w:type="dxa"/>
                    <w:right w:w="0" w:type="dxa"/>
                  </w:tcMar>
                  <w:vAlign w:val="center"/>
                </w:tcPr>
                <w:p w14:paraId="31CF1B90">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val="en-US" w:eastAsia="zh-CN"/>
                    </w:rPr>
                    <w:t>详见本节上表相关内容</w:t>
                  </w:r>
                </w:p>
              </w:tc>
              <w:tc>
                <w:tcPr>
                  <w:tcW w:w="281" w:type="pct"/>
                  <w:tcBorders>
                    <w:tl2br w:val="nil"/>
                    <w:tr2bl w:val="nil"/>
                  </w:tcBorders>
                  <w:shd w:val="clear" w:color="auto" w:fill="FFFFFF"/>
                  <w:tcMar>
                    <w:top w:w="0" w:type="dxa"/>
                    <w:left w:w="0" w:type="dxa"/>
                    <w:bottom w:w="0" w:type="dxa"/>
                    <w:right w:w="0" w:type="dxa"/>
                  </w:tcMar>
                  <w:vAlign w:val="center"/>
                </w:tcPr>
                <w:p w14:paraId="57D4DBAF">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72.5</w:t>
                  </w:r>
                </w:p>
              </w:tc>
              <w:tc>
                <w:tcPr>
                  <w:tcW w:w="210" w:type="pct"/>
                  <w:tcBorders>
                    <w:tl2br w:val="nil"/>
                    <w:tr2bl w:val="nil"/>
                  </w:tcBorders>
                  <w:shd w:val="clear" w:color="auto" w:fill="FFFFFF"/>
                  <w:tcMar>
                    <w:top w:w="0" w:type="dxa"/>
                    <w:left w:w="0" w:type="dxa"/>
                    <w:bottom w:w="0" w:type="dxa"/>
                    <w:right w:w="0" w:type="dxa"/>
                  </w:tcMar>
                  <w:vAlign w:val="center"/>
                </w:tcPr>
                <w:p w14:paraId="0370EA00">
                  <w:pPr>
                    <w:jc w:val="center"/>
                    <w:rPr>
                      <w:rFonts w:hint="default" w:ascii="Times New Roman" w:hAnsi="Times New Roman" w:eastAsia="宋体" w:cs="Times New Roman"/>
                      <w:color w:val="auto"/>
                      <w:u w:val="none" w:color="auto"/>
                    </w:rPr>
                  </w:pPr>
                </w:p>
              </w:tc>
              <w:tc>
                <w:tcPr>
                  <w:tcW w:w="199" w:type="pct"/>
                  <w:tcBorders>
                    <w:tl2br w:val="nil"/>
                    <w:tr2bl w:val="nil"/>
                  </w:tcBorders>
                  <w:shd w:val="clear" w:color="auto" w:fill="FFFFFF"/>
                  <w:tcMar>
                    <w:top w:w="0" w:type="dxa"/>
                    <w:left w:w="0" w:type="dxa"/>
                    <w:bottom w:w="0" w:type="dxa"/>
                    <w:right w:w="0" w:type="dxa"/>
                  </w:tcMar>
                  <w:vAlign w:val="center"/>
                </w:tcPr>
                <w:p w14:paraId="6FF9D705">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-56</w:t>
                  </w:r>
                </w:p>
              </w:tc>
              <w:tc>
                <w:tcPr>
                  <w:tcW w:w="247" w:type="pct"/>
                  <w:tcBorders>
                    <w:tl2br w:val="nil"/>
                    <w:tr2bl w:val="nil"/>
                  </w:tcBorders>
                  <w:shd w:val="clear" w:color="auto" w:fill="FFFFFF"/>
                  <w:tcMar>
                    <w:top w:w="0" w:type="dxa"/>
                    <w:left w:w="0" w:type="dxa"/>
                    <w:bottom w:w="0" w:type="dxa"/>
                    <w:right w:w="0" w:type="dxa"/>
                  </w:tcMar>
                  <w:vAlign w:val="center"/>
                </w:tcPr>
                <w:p w14:paraId="0DBFE7F9">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-116.7</w:t>
                  </w:r>
                </w:p>
              </w:tc>
              <w:tc>
                <w:tcPr>
                  <w:tcW w:w="124" w:type="pct"/>
                  <w:tcBorders>
                    <w:tl2br w:val="nil"/>
                    <w:tr2bl w:val="nil"/>
                  </w:tcBorders>
                  <w:shd w:val="clear" w:color="auto" w:fill="FFFFFF"/>
                  <w:tcMar>
                    <w:top w:w="0" w:type="dxa"/>
                    <w:left w:w="0" w:type="dxa"/>
                    <w:bottom w:w="0" w:type="dxa"/>
                    <w:right w:w="0" w:type="dxa"/>
                  </w:tcMar>
                  <w:vAlign w:val="center"/>
                </w:tcPr>
                <w:p w14:paraId="3FCA20BB">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w:t>
                  </w:r>
                </w:p>
              </w:tc>
              <w:tc>
                <w:tcPr>
                  <w:tcW w:w="168" w:type="pct"/>
                  <w:tcBorders>
                    <w:tl2br w:val="nil"/>
                    <w:tr2bl w:val="nil"/>
                  </w:tcBorders>
                  <w:shd w:val="clear" w:color="auto" w:fill="FFFFFF"/>
                  <w:tcMar>
                    <w:top w:w="0" w:type="dxa"/>
                    <w:left w:w="0" w:type="dxa"/>
                    <w:bottom w:w="0" w:type="dxa"/>
                    <w:right w:w="0" w:type="dxa"/>
                  </w:tcMar>
                  <w:vAlign w:val="center"/>
                </w:tcPr>
                <w:p w14:paraId="7B03CF2D">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34.0</w:t>
                  </w:r>
                </w:p>
              </w:tc>
              <w:tc>
                <w:tcPr>
                  <w:tcW w:w="168" w:type="pct"/>
                  <w:tcBorders>
                    <w:tl2br w:val="nil"/>
                    <w:tr2bl w:val="nil"/>
                  </w:tcBorders>
                  <w:shd w:val="clear" w:color="auto" w:fill="FFFFFF"/>
                  <w:tcMar>
                    <w:top w:w="0" w:type="dxa"/>
                    <w:left w:w="0" w:type="dxa"/>
                    <w:bottom w:w="0" w:type="dxa"/>
                    <w:right w:w="0" w:type="dxa"/>
                  </w:tcMar>
                  <w:vAlign w:val="center"/>
                </w:tcPr>
                <w:p w14:paraId="29630C29">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14.5</w:t>
                  </w:r>
                </w:p>
              </w:tc>
              <w:tc>
                <w:tcPr>
                  <w:tcW w:w="214" w:type="pct"/>
                  <w:tcBorders>
                    <w:tl2br w:val="nil"/>
                    <w:tr2bl w:val="nil"/>
                  </w:tcBorders>
                  <w:shd w:val="clear" w:color="auto" w:fill="FFFFFF"/>
                  <w:tcMar>
                    <w:top w:w="0" w:type="dxa"/>
                    <w:left w:w="0" w:type="dxa"/>
                    <w:bottom w:w="0" w:type="dxa"/>
                    <w:right w:w="0" w:type="dxa"/>
                  </w:tcMar>
                  <w:vAlign w:val="center"/>
                </w:tcPr>
                <w:p w14:paraId="69DCBB09">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91.1</w:t>
                  </w:r>
                </w:p>
              </w:tc>
              <w:tc>
                <w:tcPr>
                  <w:tcW w:w="214" w:type="pct"/>
                  <w:tcBorders>
                    <w:tl2br w:val="nil"/>
                    <w:tr2bl w:val="nil"/>
                  </w:tcBorders>
                  <w:shd w:val="clear" w:color="auto" w:fill="FFFFFF"/>
                  <w:tcMar>
                    <w:top w:w="0" w:type="dxa"/>
                    <w:left w:w="0" w:type="dxa"/>
                    <w:bottom w:w="0" w:type="dxa"/>
                    <w:right w:w="0" w:type="dxa"/>
                  </w:tcMar>
                  <w:vAlign w:val="center"/>
                </w:tcPr>
                <w:p w14:paraId="3045DF0B">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122.8</w:t>
                  </w:r>
                </w:p>
              </w:tc>
              <w:tc>
                <w:tcPr>
                  <w:tcW w:w="169" w:type="pct"/>
                  <w:tcBorders>
                    <w:tl2br w:val="nil"/>
                    <w:tr2bl w:val="nil"/>
                  </w:tcBorders>
                  <w:shd w:val="clear" w:color="auto" w:fill="FFFFFF"/>
                  <w:tcMar>
                    <w:top w:w="0" w:type="dxa"/>
                    <w:left w:w="0" w:type="dxa"/>
                    <w:bottom w:w="0" w:type="dxa"/>
                    <w:right w:w="0" w:type="dxa"/>
                  </w:tcMar>
                  <w:vAlign w:val="center"/>
                </w:tcPr>
                <w:p w14:paraId="628487A1">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51.9</w:t>
                  </w:r>
                </w:p>
              </w:tc>
              <w:tc>
                <w:tcPr>
                  <w:tcW w:w="169" w:type="pct"/>
                  <w:tcBorders>
                    <w:tl2br w:val="nil"/>
                    <w:tr2bl w:val="nil"/>
                  </w:tcBorders>
                  <w:shd w:val="clear" w:color="auto" w:fill="FFFFFF"/>
                  <w:tcMar>
                    <w:top w:w="0" w:type="dxa"/>
                    <w:left w:w="0" w:type="dxa"/>
                    <w:bottom w:w="0" w:type="dxa"/>
                    <w:right w:w="0" w:type="dxa"/>
                  </w:tcMar>
                  <w:vAlign w:val="center"/>
                </w:tcPr>
                <w:p w14:paraId="71960523">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52.0</w:t>
                  </w:r>
                </w:p>
              </w:tc>
              <w:tc>
                <w:tcPr>
                  <w:tcW w:w="169" w:type="pct"/>
                  <w:tcBorders>
                    <w:tl2br w:val="nil"/>
                    <w:tr2bl w:val="nil"/>
                  </w:tcBorders>
                  <w:shd w:val="clear" w:color="auto" w:fill="FFFFFF"/>
                  <w:tcMar>
                    <w:top w:w="0" w:type="dxa"/>
                    <w:left w:w="0" w:type="dxa"/>
                    <w:bottom w:w="0" w:type="dxa"/>
                    <w:right w:w="0" w:type="dxa"/>
                  </w:tcMar>
                  <w:vAlign w:val="center"/>
                </w:tcPr>
                <w:p w14:paraId="473742A5">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51.8</w:t>
                  </w:r>
                </w:p>
              </w:tc>
              <w:tc>
                <w:tcPr>
                  <w:tcW w:w="169" w:type="pct"/>
                  <w:tcBorders>
                    <w:tl2br w:val="nil"/>
                    <w:tr2bl w:val="nil"/>
                  </w:tcBorders>
                  <w:shd w:val="clear" w:color="auto" w:fill="FFFFFF"/>
                  <w:tcMar>
                    <w:top w:w="0" w:type="dxa"/>
                    <w:left w:w="0" w:type="dxa"/>
                    <w:bottom w:w="0" w:type="dxa"/>
                    <w:right w:w="0" w:type="dxa"/>
                  </w:tcMar>
                  <w:vAlign w:val="center"/>
                </w:tcPr>
                <w:p w14:paraId="5160F3A8">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51.8</w:t>
                  </w:r>
                </w:p>
              </w:tc>
              <w:tc>
                <w:tcPr>
                  <w:tcW w:w="210" w:type="pct"/>
                  <w:tcBorders>
                    <w:tl2br w:val="nil"/>
                    <w:tr2bl w:val="nil"/>
                  </w:tcBorders>
                  <w:shd w:val="clear" w:color="auto" w:fill="FFFFFF"/>
                  <w:tcMar>
                    <w:top w:w="0" w:type="dxa"/>
                    <w:left w:w="0" w:type="dxa"/>
                    <w:bottom w:w="0" w:type="dxa"/>
                    <w:right w:w="0" w:type="dxa"/>
                  </w:tcMar>
                  <w:vAlign w:val="center"/>
                </w:tcPr>
                <w:p w14:paraId="768F2284">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24</w:t>
                  </w:r>
                </w:p>
              </w:tc>
              <w:tc>
                <w:tcPr>
                  <w:tcW w:w="169" w:type="pct"/>
                  <w:tcBorders>
                    <w:tl2br w:val="nil"/>
                    <w:tr2bl w:val="nil"/>
                  </w:tcBorders>
                  <w:shd w:val="clear" w:color="auto" w:fill="FFFFFF"/>
                  <w:tcMar>
                    <w:top w:w="0" w:type="dxa"/>
                    <w:left w:w="0" w:type="dxa"/>
                    <w:bottom w:w="0" w:type="dxa"/>
                    <w:right w:w="0" w:type="dxa"/>
                  </w:tcMar>
                  <w:vAlign w:val="center"/>
                </w:tcPr>
                <w:p w14:paraId="4712EF9F">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9" w:type="pct"/>
                  <w:tcBorders>
                    <w:tl2br w:val="nil"/>
                    <w:tr2bl w:val="nil"/>
                  </w:tcBorders>
                  <w:shd w:val="clear" w:color="auto" w:fill="FFFFFF"/>
                  <w:tcMar>
                    <w:top w:w="0" w:type="dxa"/>
                    <w:left w:w="0" w:type="dxa"/>
                    <w:bottom w:w="0" w:type="dxa"/>
                    <w:right w:w="0" w:type="dxa"/>
                  </w:tcMar>
                  <w:vAlign w:val="center"/>
                </w:tcPr>
                <w:p w14:paraId="5F9429F9">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9" w:type="pct"/>
                  <w:tcBorders>
                    <w:tl2br w:val="nil"/>
                    <w:tr2bl w:val="nil"/>
                  </w:tcBorders>
                  <w:shd w:val="clear" w:color="auto" w:fill="FFFFFF"/>
                  <w:tcMar>
                    <w:top w:w="0" w:type="dxa"/>
                    <w:left w:w="0" w:type="dxa"/>
                    <w:bottom w:w="0" w:type="dxa"/>
                    <w:right w:w="0" w:type="dxa"/>
                  </w:tcMar>
                  <w:vAlign w:val="center"/>
                </w:tcPr>
                <w:p w14:paraId="49529D9C">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9" w:type="pct"/>
                  <w:tcBorders>
                    <w:tl2br w:val="nil"/>
                    <w:tr2bl w:val="nil"/>
                  </w:tcBorders>
                  <w:shd w:val="clear" w:color="auto" w:fill="FFFFFF"/>
                  <w:tcMar>
                    <w:top w:w="0" w:type="dxa"/>
                    <w:left w:w="0" w:type="dxa"/>
                    <w:bottom w:w="0" w:type="dxa"/>
                    <w:right w:w="0" w:type="dxa"/>
                  </w:tcMar>
                  <w:vAlign w:val="center"/>
                </w:tcPr>
                <w:p w14:paraId="0D0CEFDC">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8" w:type="pct"/>
                  <w:tcBorders>
                    <w:tl2br w:val="nil"/>
                    <w:tr2bl w:val="nil"/>
                  </w:tcBorders>
                  <w:shd w:val="clear" w:color="auto" w:fill="FFFFFF"/>
                  <w:tcMar>
                    <w:top w:w="0" w:type="dxa"/>
                    <w:left w:w="0" w:type="dxa"/>
                    <w:bottom w:w="0" w:type="dxa"/>
                    <w:right w:w="0" w:type="dxa"/>
                  </w:tcMar>
                  <w:vAlign w:val="center"/>
                </w:tcPr>
                <w:p w14:paraId="59CFA3C8">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39.9</w:t>
                  </w:r>
                </w:p>
              </w:tc>
              <w:tc>
                <w:tcPr>
                  <w:tcW w:w="168" w:type="pct"/>
                  <w:tcBorders>
                    <w:tl2br w:val="nil"/>
                    <w:tr2bl w:val="nil"/>
                  </w:tcBorders>
                  <w:shd w:val="clear" w:color="auto" w:fill="FFFFFF"/>
                  <w:tcMar>
                    <w:top w:w="0" w:type="dxa"/>
                    <w:left w:w="0" w:type="dxa"/>
                    <w:bottom w:w="0" w:type="dxa"/>
                    <w:right w:w="0" w:type="dxa"/>
                  </w:tcMar>
                  <w:vAlign w:val="center"/>
                </w:tcPr>
                <w:p w14:paraId="14263F64">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40.0</w:t>
                  </w:r>
                </w:p>
              </w:tc>
              <w:tc>
                <w:tcPr>
                  <w:tcW w:w="168" w:type="pct"/>
                  <w:tcBorders>
                    <w:tl2br w:val="nil"/>
                    <w:tr2bl w:val="nil"/>
                  </w:tcBorders>
                  <w:shd w:val="clear" w:color="auto" w:fill="FFFFFF"/>
                  <w:tcMar>
                    <w:top w:w="0" w:type="dxa"/>
                    <w:left w:w="0" w:type="dxa"/>
                    <w:bottom w:w="0" w:type="dxa"/>
                    <w:right w:w="0" w:type="dxa"/>
                  </w:tcMar>
                  <w:vAlign w:val="center"/>
                </w:tcPr>
                <w:p w14:paraId="09F11615">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39.8</w:t>
                  </w:r>
                </w:p>
              </w:tc>
              <w:tc>
                <w:tcPr>
                  <w:tcW w:w="168" w:type="pct"/>
                  <w:tcBorders>
                    <w:tl2br w:val="nil"/>
                    <w:tr2bl w:val="nil"/>
                  </w:tcBorders>
                  <w:shd w:val="clear" w:color="auto" w:fill="FFFFFF"/>
                  <w:tcMar>
                    <w:top w:w="0" w:type="dxa"/>
                    <w:left w:w="0" w:type="dxa"/>
                    <w:bottom w:w="0" w:type="dxa"/>
                    <w:right w:w="0" w:type="dxa"/>
                  </w:tcMar>
                  <w:vAlign w:val="center"/>
                </w:tcPr>
                <w:p w14:paraId="3751A0BD">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39.8</w:t>
                  </w:r>
                </w:p>
              </w:tc>
              <w:tc>
                <w:tcPr>
                  <w:tcW w:w="93" w:type="pct"/>
                  <w:tcBorders>
                    <w:tl2br w:val="nil"/>
                    <w:tr2bl w:val="nil"/>
                  </w:tcBorders>
                  <w:shd w:val="clear" w:color="auto" w:fill="FFFFFF"/>
                  <w:tcMar>
                    <w:top w:w="0" w:type="dxa"/>
                    <w:left w:w="0" w:type="dxa"/>
                    <w:bottom w:w="0" w:type="dxa"/>
                    <w:right w:w="0" w:type="dxa"/>
                  </w:tcMar>
                  <w:vAlign w:val="center"/>
                </w:tcPr>
                <w:p w14:paraId="6438698F">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w:t>
                  </w:r>
                </w:p>
              </w:tc>
            </w:tr>
            <w:tr w14:paraId="1E300E9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23" w:hRule="atLeast"/>
              </w:trPr>
              <w:tc>
                <w:tcPr>
                  <w:tcW w:w="210" w:type="pct"/>
                  <w:tcBorders>
                    <w:tl2br w:val="nil"/>
                    <w:tr2bl w:val="nil"/>
                  </w:tcBorders>
                  <w:shd w:val="clear" w:color="auto" w:fill="FFFFFF"/>
                  <w:tcMar>
                    <w:top w:w="0" w:type="dxa"/>
                    <w:left w:w="0" w:type="dxa"/>
                    <w:bottom w:w="0" w:type="dxa"/>
                    <w:right w:w="0" w:type="dxa"/>
                  </w:tcMar>
                  <w:vAlign w:val="center"/>
                </w:tcPr>
                <w:p w14:paraId="5266AF04">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19</w:t>
                  </w:r>
                </w:p>
              </w:tc>
              <w:tc>
                <w:tcPr>
                  <w:tcW w:w="210" w:type="pct"/>
                  <w:tcBorders>
                    <w:tl2br w:val="nil"/>
                    <w:tr2bl w:val="nil"/>
                  </w:tcBorders>
                  <w:shd w:val="clear" w:color="auto" w:fill="FFFFFF"/>
                  <w:tcMar>
                    <w:top w:w="0" w:type="dxa"/>
                    <w:left w:w="0" w:type="dxa"/>
                    <w:bottom w:w="0" w:type="dxa"/>
                    <w:right w:w="0" w:type="dxa"/>
                  </w:tcMar>
                  <w:vAlign w:val="center"/>
                </w:tcPr>
                <w:p w14:paraId="08EB8C4C">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中创空天厂区-铝合金熔铸一厂</w:t>
                  </w:r>
                </w:p>
              </w:tc>
              <w:tc>
                <w:tcPr>
                  <w:tcW w:w="210" w:type="pct"/>
                  <w:tcBorders>
                    <w:tl2br w:val="nil"/>
                    <w:tr2bl w:val="nil"/>
                  </w:tcBorders>
                  <w:shd w:val="clear" w:color="auto" w:fill="FFFFFF"/>
                  <w:tcMar>
                    <w:top w:w="0" w:type="dxa"/>
                    <w:left w:w="0" w:type="dxa"/>
                    <w:bottom w:w="0" w:type="dxa"/>
                    <w:right w:w="0" w:type="dxa"/>
                  </w:tcMar>
                  <w:vAlign w:val="center"/>
                </w:tcPr>
                <w:p w14:paraId="3F76E3AC">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取件机器人</w:t>
                  </w:r>
                </w:p>
              </w:tc>
              <w:tc>
                <w:tcPr>
                  <w:tcW w:w="210" w:type="pct"/>
                  <w:vMerge w:val="continue"/>
                  <w:tcBorders>
                    <w:tl2br w:val="nil"/>
                    <w:tr2bl w:val="nil"/>
                  </w:tcBorders>
                  <w:shd w:val="clear" w:color="auto" w:fill="FFFFFF"/>
                  <w:tcMar>
                    <w:top w:w="0" w:type="dxa"/>
                    <w:left w:w="0" w:type="dxa"/>
                    <w:bottom w:w="0" w:type="dxa"/>
                    <w:right w:w="0" w:type="dxa"/>
                  </w:tcMar>
                  <w:vAlign w:val="center"/>
                </w:tcPr>
                <w:p w14:paraId="3A9F77BF">
                  <w:pPr>
                    <w:jc w:val="center"/>
                    <w:rPr>
                      <w:rFonts w:hint="default" w:ascii="Times New Roman" w:hAnsi="Times New Roman" w:eastAsia="宋体" w:cs="Times New Roman"/>
                      <w:color w:val="auto"/>
                      <w:u w:val="none" w:color="auto"/>
                    </w:rPr>
                  </w:pPr>
                </w:p>
              </w:tc>
              <w:tc>
                <w:tcPr>
                  <w:tcW w:w="281" w:type="pct"/>
                  <w:tcBorders>
                    <w:tl2br w:val="nil"/>
                    <w:tr2bl w:val="nil"/>
                  </w:tcBorders>
                  <w:shd w:val="clear" w:color="auto" w:fill="FFFFFF"/>
                  <w:tcMar>
                    <w:top w:w="0" w:type="dxa"/>
                    <w:left w:w="0" w:type="dxa"/>
                    <w:bottom w:w="0" w:type="dxa"/>
                    <w:right w:w="0" w:type="dxa"/>
                  </w:tcMar>
                  <w:vAlign w:val="center"/>
                </w:tcPr>
                <w:p w14:paraId="1FF9C704">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72.5</w:t>
                  </w:r>
                </w:p>
              </w:tc>
              <w:tc>
                <w:tcPr>
                  <w:tcW w:w="210" w:type="pct"/>
                  <w:tcBorders>
                    <w:tl2br w:val="nil"/>
                    <w:tr2bl w:val="nil"/>
                  </w:tcBorders>
                  <w:shd w:val="clear" w:color="auto" w:fill="FFFFFF"/>
                  <w:tcMar>
                    <w:top w:w="0" w:type="dxa"/>
                    <w:left w:w="0" w:type="dxa"/>
                    <w:bottom w:w="0" w:type="dxa"/>
                    <w:right w:w="0" w:type="dxa"/>
                  </w:tcMar>
                  <w:vAlign w:val="center"/>
                </w:tcPr>
                <w:p w14:paraId="2EF766AB">
                  <w:pPr>
                    <w:jc w:val="center"/>
                    <w:rPr>
                      <w:rFonts w:hint="default" w:ascii="Times New Roman" w:hAnsi="Times New Roman" w:eastAsia="宋体" w:cs="Times New Roman"/>
                      <w:color w:val="auto"/>
                      <w:u w:val="none" w:color="auto"/>
                    </w:rPr>
                  </w:pPr>
                </w:p>
              </w:tc>
              <w:tc>
                <w:tcPr>
                  <w:tcW w:w="199" w:type="pct"/>
                  <w:tcBorders>
                    <w:tl2br w:val="nil"/>
                    <w:tr2bl w:val="nil"/>
                  </w:tcBorders>
                  <w:shd w:val="clear" w:color="auto" w:fill="FFFFFF"/>
                  <w:tcMar>
                    <w:top w:w="0" w:type="dxa"/>
                    <w:left w:w="0" w:type="dxa"/>
                    <w:bottom w:w="0" w:type="dxa"/>
                    <w:right w:w="0" w:type="dxa"/>
                  </w:tcMar>
                  <w:vAlign w:val="center"/>
                </w:tcPr>
                <w:p w14:paraId="53E34938">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-49.5</w:t>
                  </w:r>
                </w:p>
              </w:tc>
              <w:tc>
                <w:tcPr>
                  <w:tcW w:w="247" w:type="pct"/>
                  <w:tcBorders>
                    <w:tl2br w:val="nil"/>
                    <w:tr2bl w:val="nil"/>
                  </w:tcBorders>
                  <w:shd w:val="clear" w:color="auto" w:fill="FFFFFF"/>
                  <w:tcMar>
                    <w:top w:w="0" w:type="dxa"/>
                    <w:left w:w="0" w:type="dxa"/>
                    <w:bottom w:w="0" w:type="dxa"/>
                    <w:right w:w="0" w:type="dxa"/>
                  </w:tcMar>
                  <w:vAlign w:val="center"/>
                </w:tcPr>
                <w:p w14:paraId="1D8ABE5C">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-123.7</w:t>
                  </w:r>
                </w:p>
              </w:tc>
              <w:tc>
                <w:tcPr>
                  <w:tcW w:w="124" w:type="pct"/>
                  <w:tcBorders>
                    <w:tl2br w:val="nil"/>
                    <w:tr2bl w:val="nil"/>
                  </w:tcBorders>
                  <w:shd w:val="clear" w:color="auto" w:fill="FFFFFF"/>
                  <w:tcMar>
                    <w:top w:w="0" w:type="dxa"/>
                    <w:left w:w="0" w:type="dxa"/>
                    <w:bottom w:w="0" w:type="dxa"/>
                    <w:right w:w="0" w:type="dxa"/>
                  </w:tcMar>
                  <w:vAlign w:val="center"/>
                </w:tcPr>
                <w:p w14:paraId="1DAFE7C7">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w:t>
                  </w:r>
                </w:p>
              </w:tc>
              <w:tc>
                <w:tcPr>
                  <w:tcW w:w="168" w:type="pct"/>
                  <w:tcBorders>
                    <w:tl2br w:val="nil"/>
                    <w:tr2bl w:val="nil"/>
                  </w:tcBorders>
                  <w:shd w:val="clear" w:color="auto" w:fill="FFFFFF"/>
                  <w:tcMar>
                    <w:top w:w="0" w:type="dxa"/>
                    <w:left w:w="0" w:type="dxa"/>
                    <w:bottom w:w="0" w:type="dxa"/>
                    <w:right w:w="0" w:type="dxa"/>
                  </w:tcMar>
                  <w:vAlign w:val="center"/>
                </w:tcPr>
                <w:p w14:paraId="40E1F474">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24.7</w:t>
                  </w:r>
                </w:p>
              </w:tc>
              <w:tc>
                <w:tcPr>
                  <w:tcW w:w="168" w:type="pct"/>
                  <w:tcBorders>
                    <w:tl2br w:val="nil"/>
                    <w:tr2bl w:val="nil"/>
                  </w:tcBorders>
                  <w:shd w:val="clear" w:color="auto" w:fill="FFFFFF"/>
                  <w:tcMar>
                    <w:top w:w="0" w:type="dxa"/>
                    <w:left w:w="0" w:type="dxa"/>
                    <w:bottom w:w="0" w:type="dxa"/>
                    <w:right w:w="0" w:type="dxa"/>
                  </w:tcMar>
                  <w:vAlign w:val="center"/>
                </w:tcPr>
                <w:p w14:paraId="4C3EFB3A">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12.4</w:t>
                  </w:r>
                </w:p>
              </w:tc>
              <w:tc>
                <w:tcPr>
                  <w:tcW w:w="214" w:type="pct"/>
                  <w:tcBorders>
                    <w:tl2br w:val="nil"/>
                    <w:tr2bl w:val="nil"/>
                  </w:tcBorders>
                  <w:shd w:val="clear" w:color="auto" w:fill="FFFFFF"/>
                  <w:tcMar>
                    <w:top w:w="0" w:type="dxa"/>
                    <w:left w:w="0" w:type="dxa"/>
                    <w:bottom w:w="0" w:type="dxa"/>
                    <w:right w:w="0" w:type="dxa"/>
                  </w:tcMar>
                  <w:vAlign w:val="center"/>
                </w:tcPr>
                <w:p w14:paraId="73813E90">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100.5</w:t>
                  </w:r>
                </w:p>
              </w:tc>
              <w:tc>
                <w:tcPr>
                  <w:tcW w:w="214" w:type="pct"/>
                  <w:tcBorders>
                    <w:tl2br w:val="nil"/>
                    <w:tr2bl w:val="nil"/>
                  </w:tcBorders>
                  <w:shd w:val="clear" w:color="auto" w:fill="FFFFFF"/>
                  <w:tcMar>
                    <w:top w:w="0" w:type="dxa"/>
                    <w:left w:w="0" w:type="dxa"/>
                    <w:bottom w:w="0" w:type="dxa"/>
                    <w:right w:w="0" w:type="dxa"/>
                  </w:tcMar>
                  <w:vAlign w:val="center"/>
                </w:tcPr>
                <w:p w14:paraId="4D7F8095">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124.9</w:t>
                  </w:r>
                </w:p>
              </w:tc>
              <w:tc>
                <w:tcPr>
                  <w:tcW w:w="169" w:type="pct"/>
                  <w:tcBorders>
                    <w:tl2br w:val="nil"/>
                    <w:tr2bl w:val="nil"/>
                  </w:tcBorders>
                  <w:shd w:val="clear" w:color="auto" w:fill="FFFFFF"/>
                  <w:tcMar>
                    <w:top w:w="0" w:type="dxa"/>
                    <w:left w:w="0" w:type="dxa"/>
                    <w:bottom w:w="0" w:type="dxa"/>
                    <w:right w:w="0" w:type="dxa"/>
                  </w:tcMar>
                  <w:vAlign w:val="center"/>
                </w:tcPr>
                <w:p w14:paraId="43F9A170">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51.9</w:t>
                  </w:r>
                </w:p>
              </w:tc>
              <w:tc>
                <w:tcPr>
                  <w:tcW w:w="169" w:type="pct"/>
                  <w:tcBorders>
                    <w:tl2br w:val="nil"/>
                    <w:tr2bl w:val="nil"/>
                  </w:tcBorders>
                  <w:shd w:val="clear" w:color="auto" w:fill="FFFFFF"/>
                  <w:tcMar>
                    <w:top w:w="0" w:type="dxa"/>
                    <w:left w:w="0" w:type="dxa"/>
                    <w:bottom w:w="0" w:type="dxa"/>
                    <w:right w:w="0" w:type="dxa"/>
                  </w:tcMar>
                  <w:vAlign w:val="center"/>
                </w:tcPr>
                <w:p w14:paraId="5235361F">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52.1</w:t>
                  </w:r>
                </w:p>
              </w:tc>
              <w:tc>
                <w:tcPr>
                  <w:tcW w:w="169" w:type="pct"/>
                  <w:tcBorders>
                    <w:tl2br w:val="nil"/>
                    <w:tr2bl w:val="nil"/>
                  </w:tcBorders>
                  <w:shd w:val="clear" w:color="auto" w:fill="FFFFFF"/>
                  <w:tcMar>
                    <w:top w:w="0" w:type="dxa"/>
                    <w:left w:w="0" w:type="dxa"/>
                    <w:bottom w:w="0" w:type="dxa"/>
                    <w:right w:w="0" w:type="dxa"/>
                  </w:tcMar>
                  <w:vAlign w:val="center"/>
                </w:tcPr>
                <w:p w14:paraId="0920F460">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51.8</w:t>
                  </w:r>
                </w:p>
              </w:tc>
              <w:tc>
                <w:tcPr>
                  <w:tcW w:w="169" w:type="pct"/>
                  <w:tcBorders>
                    <w:tl2br w:val="nil"/>
                    <w:tr2bl w:val="nil"/>
                  </w:tcBorders>
                  <w:shd w:val="clear" w:color="auto" w:fill="FFFFFF"/>
                  <w:tcMar>
                    <w:top w:w="0" w:type="dxa"/>
                    <w:left w:w="0" w:type="dxa"/>
                    <w:bottom w:w="0" w:type="dxa"/>
                    <w:right w:w="0" w:type="dxa"/>
                  </w:tcMar>
                  <w:vAlign w:val="center"/>
                </w:tcPr>
                <w:p w14:paraId="596E8C01">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51.8</w:t>
                  </w:r>
                </w:p>
              </w:tc>
              <w:tc>
                <w:tcPr>
                  <w:tcW w:w="210" w:type="pct"/>
                  <w:tcBorders>
                    <w:tl2br w:val="nil"/>
                    <w:tr2bl w:val="nil"/>
                  </w:tcBorders>
                  <w:shd w:val="clear" w:color="auto" w:fill="FFFFFF"/>
                  <w:tcMar>
                    <w:top w:w="0" w:type="dxa"/>
                    <w:left w:w="0" w:type="dxa"/>
                    <w:bottom w:w="0" w:type="dxa"/>
                    <w:right w:w="0" w:type="dxa"/>
                  </w:tcMar>
                  <w:vAlign w:val="center"/>
                </w:tcPr>
                <w:p w14:paraId="66AE0154">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24</w:t>
                  </w:r>
                </w:p>
              </w:tc>
              <w:tc>
                <w:tcPr>
                  <w:tcW w:w="169" w:type="pct"/>
                  <w:tcBorders>
                    <w:tl2br w:val="nil"/>
                    <w:tr2bl w:val="nil"/>
                  </w:tcBorders>
                  <w:shd w:val="clear" w:color="auto" w:fill="FFFFFF"/>
                  <w:tcMar>
                    <w:top w:w="0" w:type="dxa"/>
                    <w:left w:w="0" w:type="dxa"/>
                    <w:bottom w:w="0" w:type="dxa"/>
                    <w:right w:w="0" w:type="dxa"/>
                  </w:tcMar>
                  <w:vAlign w:val="center"/>
                </w:tcPr>
                <w:p w14:paraId="3E6CD19E">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9" w:type="pct"/>
                  <w:tcBorders>
                    <w:tl2br w:val="nil"/>
                    <w:tr2bl w:val="nil"/>
                  </w:tcBorders>
                  <w:shd w:val="clear" w:color="auto" w:fill="FFFFFF"/>
                  <w:tcMar>
                    <w:top w:w="0" w:type="dxa"/>
                    <w:left w:w="0" w:type="dxa"/>
                    <w:bottom w:w="0" w:type="dxa"/>
                    <w:right w:w="0" w:type="dxa"/>
                  </w:tcMar>
                  <w:vAlign w:val="center"/>
                </w:tcPr>
                <w:p w14:paraId="628DAF7D">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9" w:type="pct"/>
                  <w:tcBorders>
                    <w:tl2br w:val="nil"/>
                    <w:tr2bl w:val="nil"/>
                  </w:tcBorders>
                  <w:shd w:val="clear" w:color="auto" w:fill="FFFFFF"/>
                  <w:tcMar>
                    <w:top w:w="0" w:type="dxa"/>
                    <w:left w:w="0" w:type="dxa"/>
                    <w:bottom w:w="0" w:type="dxa"/>
                    <w:right w:w="0" w:type="dxa"/>
                  </w:tcMar>
                  <w:vAlign w:val="center"/>
                </w:tcPr>
                <w:p w14:paraId="5CDDB39C">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9" w:type="pct"/>
                  <w:tcBorders>
                    <w:tl2br w:val="nil"/>
                    <w:tr2bl w:val="nil"/>
                  </w:tcBorders>
                  <w:shd w:val="clear" w:color="auto" w:fill="FFFFFF"/>
                  <w:tcMar>
                    <w:top w:w="0" w:type="dxa"/>
                    <w:left w:w="0" w:type="dxa"/>
                    <w:bottom w:w="0" w:type="dxa"/>
                    <w:right w:w="0" w:type="dxa"/>
                  </w:tcMar>
                  <w:vAlign w:val="center"/>
                </w:tcPr>
                <w:p w14:paraId="4263FC25">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8" w:type="pct"/>
                  <w:tcBorders>
                    <w:tl2br w:val="nil"/>
                    <w:tr2bl w:val="nil"/>
                  </w:tcBorders>
                  <w:shd w:val="clear" w:color="auto" w:fill="FFFFFF"/>
                  <w:tcMar>
                    <w:top w:w="0" w:type="dxa"/>
                    <w:left w:w="0" w:type="dxa"/>
                    <w:bottom w:w="0" w:type="dxa"/>
                    <w:right w:w="0" w:type="dxa"/>
                  </w:tcMar>
                  <w:vAlign w:val="center"/>
                </w:tcPr>
                <w:p w14:paraId="2AEDEC1A">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39.9</w:t>
                  </w:r>
                </w:p>
              </w:tc>
              <w:tc>
                <w:tcPr>
                  <w:tcW w:w="168" w:type="pct"/>
                  <w:tcBorders>
                    <w:tl2br w:val="nil"/>
                    <w:tr2bl w:val="nil"/>
                  </w:tcBorders>
                  <w:shd w:val="clear" w:color="auto" w:fill="FFFFFF"/>
                  <w:tcMar>
                    <w:top w:w="0" w:type="dxa"/>
                    <w:left w:w="0" w:type="dxa"/>
                    <w:bottom w:w="0" w:type="dxa"/>
                    <w:right w:w="0" w:type="dxa"/>
                  </w:tcMar>
                  <w:vAlign w:val="center"/>
                </w:tcPr>
                <w:p w14:paraId="0946EE4C">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40.1</w:t>
                  </w:r>
                </w:p>
              </w:tc>
              <w:tc>
                <w:tcPr>
                  <w:tcW w:w="168" w:type="pct"/>
                  <w:tcBorders>
                    <w:tl2br w:val="nil"/>
                    <w:tr2bl w:val="nil"/>
                  </w:tcBorders>
                  <w:shd w:val="clear" w:color="auto" w:fill="FFFFFF"/>
                  <w:tcMar>
                    <w:top w:w="0" w:type="dxa"/>
                    <w:left w:w="0" w:type="dxa"/>
                    <w:bottom w:w="0" w:type="dxa"/>
                    <w:right w:w="0" w:type="dxa"/>
                  </w:tcMar>
                  <w:vAlign w:val="center"/>
                </w:tcPr>
                <w:p w14:paraId="2DB0D088">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39.8</w:t>
                  </w:r>
                </w:p>
              </w:tc>
              <w:tc>
                <w:tcPr>
                  <w:tcW w:w="168" w:type="pct"/>
                  <w:tcBorders>
                    <w:tl2br w:val="nil"/>
                    <w:tr2bl w:val="nil"/>
                  </w:tcBorders>
                  <w:shd w:val="clear" w:color="auto" w:fill="FFFFFF"/>
                  <w:tcMar>
                    <w:top w:w="0" w:type="dxa"/>
                    <w:left w:w="0" w:type="dxa"/>
                    <w:bottom w:w="0" w:type="dxa"/>
                    <w:right w:w="0" w:type="dxa"/>
                  </w:tcMar>
                  <w:vAlign w:val="center"/>
                </w:tcPr>
                <w:p w14:paraId="684C5EAC">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39.8</w:t>
                  </w:r>
                </w:p>
              </w:tc>
              <w:tc>
                <w:tcPr>
                  <w:tcW w:w="93" w:type="pct"/>
                  <w:tcBorders>
                    <w:tl2br w:val="nil"/>
                    <w:tr2bl w:val="nil"/>
                  </w:tcBorders>
                  <w:shd w:val="clear" w:color="auto" w:fill="FFFFFF"/>
                  <w:tcMar>
                    <w:top w:w="0" w:type="dxa"/>
                    <w:left w:w="0" w:type="dxa"/>
                    <w:bottom w:w="0" w:type="dxa"/>
                    <w:right w:w="0" w:type="dxa"/>
                  </w:tcMar>
                  <w:vAlign w:val="center"/>
                </w:tcPr>
                <w:p w14:paraId="021839BF">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w:t>
                  </w:r>
                </w:p>
              </w:tc>
            </w:tr>
            <w:tr w14:paraId="2696FDD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23" w:hRule="atLeast"/>
              </w:trPr>
              <w:tc>
                <w:tcPr>
                  <w:tcW w:w="210" w:type="pct"/>
                  <w:tcBorders>
                    <w:tl2br w:val="nil"/>
                    <w:tr2bl w:val="nil"/>
                  </w:tcBorders>
                  <w:shd w:val="clear" w:color="auto" w:fill="FFFFFF"/>
                  <w:tcMar>
                    <w:top w:w="0" w:type="dxa"/>
                    <w:left w:w="0" w:type="dxa"/>
                    <w:bottom w:w="0" w:type="dxa"/>
                    <w:right w:w="0" w:type="dxa"/>
                  </w:tcMar>
                  <w:vAlign w:val="center"/>
                </w:tcPr>
                <w:p w14:paraId="5032EA7F">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20</w:t>
                  </w:r>
                </w:p>
              </w:tc>
              <w:tc>
                <w:tcPr>
                  <w:tcW w:w="210" w:type="pct"/>
                  <w:tcBorders>
                    <w:tl2br w:val="nil"/>
                    <w:tr2bl w:val="nil"/>
                  </w:tcBorders>
                  <w:shd w:val="clear" w:color="auto" w:fill="FFFFFF"/>
                  <w:tcMar>
                    <w:top w:w="0" w:type="dxa"/>
                    <w:left w:w="0" w:type="dxa"/>
                    <w:bottom w:w="0" w:type="dxa"/>
                    <w:right w:w="0" w:type="dxa"/>
                  </w:tcMar>
                  <w:vAlign w:val="center"/>
                </w:tcPr>
                <w:p w14:paraId="6EBB33A1">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中创空天厂区-铝合金熔铸一厂</w:t>
                  </w:r>
                </w:p>
              </w:tc>
              <w:tc>
                <w:tcPr>
                  <w:tcW w:w="210" w:type="pct"/>
                  <w:tcBorders>
                    <w:tl2br w:val="nil"/>
                    <w:tr2bl w:val="nil"/>
                  </w:tcBorders>
                  <w:shd w:val="clear" w:color="auto" w:fill="FFFFFF"/>
                  <w:tcMar>
                    <w:top w:w="0" w:type="dxa"/>
                    <w:left w:w="0" w:type="dxa"/>
                    <w:bottom w:w="0" w:type="dxa"/>
                    <w:right w:w="0" w:type="dxa"/>
                  </w:tcMar>
                  <w:vAlign w:val="center"/>
                </w:tcPr>
                <w:p w14:paraId="350E5817">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脱模剂配比机</w:t>
                  </w:r>
                </w:p>
              </w:tc>
              <w:tc>
                <w:tcPr>
                  <w:tcW w:w="210" w:type="pct"/>
                  <w:vMerge w:val="continue"/>
                  <w:tcBorders>
                    <w:tl2br w:val="nil"/>
                    <w:tr2bl w:val="nil"/>
                  </w:tcBorders>
                  <w:shd w:val="clear" w:color="auto" w:fill="FFFFFF"/>
                  <w:tcMar>
                    <w:top w:w="0" w:type="dxa"/>
                    <w:left w:w="0" w:type="dxa"/>
                    <w:bottom w:w="0" w:type="dxa"/>
                    <w:right w:w="0" w:type="dxa"/>
                  </w:tcMar>
                  <w:vAlign w:val="center"/>
                </w:tcPr>
                <w:p w14:paraId="4D9ED350">
                  <w:pPr>
                    <w:jc w:val="center"/>
                    <w:rPr>
                      <w:rFonts w:hint="default" w:ascii="Times New Roman" w:hAnsi="Times New Roman" w:eastAsia="宋体" w:cs="Times New Roman"/>
                      <w:color w:val="auto"/>
                      <w:u w:val="none" w:color="auto"/>
                    </w:rPr>
                  </w:pPr>
                </w:p>
              </w:tc>
              <w:tc>
                <w:tcPr>
                  <w:tcW w:w="281" w:type="pct"/>
                  <w:tcBorders>
                    <w:tl2br w:val="nil"/>
                    <w:tr2bl w:val="nil"/>
                  </w:tcBorders>
                  <w:shd w:val="clear" w:color="auto" w:fill="FFFFFF"/>
                  <w:tcMar>
                    <w:top w:w="0" w:type="dxa"/>
                    <w:left w:w="0" w:type="dxa"/>
                    <w:bottom w:w="0" w:type="dxa"/>
                    <w:right w:w="0" w:type="dxa"/>
                  </w:tcMar>
                  <w:vAlign w:val="center"/>
                </w:tcPr>
                <w:p w14:paraId="77CB9E35">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67.5</w:t>
                  </w:r>
                </w:p>
              </w:tc>
              <w:tc>
                <w:tcPr>
                  <w:tcW w:w="210" w:type="pct"/>
                  <w:tcBorders>
                    <w:tl2br w:val="nil"/>
                    <w:tr2bl w:val="nil"/>
                  </w:tcBorders>
                  <w:shd w:val="clear" w:color="auto" w:fill="FFFFFF"/>
                  <w:tcMar>
                    <w:top w:w="0" w:type="dxa"/>
                    <w:left w:w="0" w:type="dxa"/>
                    <w:bottom w:w="0" w:type="dxa"/>
                    <w:right w:w="0" w:type="dxa"/>
                  </w:tcMar>
                  <w:vAlign w:val="center"/>
                </w:tcPr>
                <w:p w14:paraId="3DDA7435">
                  <w:pPr>
                    <w:jc w:val="center"/>
                    <w:rPr>
                      <w:rFonts w:hint="default" w:ascii="Times New Roman" w:hAnsi="Times New Roman" w:eastAsia="宋体" w:cs="Times New Roman"/>
                      <w:color w:val="auto"/>
                      <w:u w:val="none" w:color="auto"/>
                    </w:rPr>
                  </w:pPr>
                </w:p>
              </w:tc>
              <w:tc>
                <w:tcPr>
                  <w:tcW w:w="199" w:type="pct"/>
                  <w:tcBorders>
                    <w:tl2br w:val="nil"/>
                    <w:tr2bl w:val="nil"/>
                  </w:tcBorders>
                  <w:shd w:val="clear" w:color="auto" w:fill="FFFFFF"/>
                  <w:tcMar>
                    <w:top w:w="0" w:type="dxa"/>
                    <w:left w:w="0" w:type="dxa"/>
                    <w:bottom w:w="0" w:type="dxa"/>
                    <w:right w:w="0" w:type="dxa"/>
                  </w:tcMar>
                  <w:vAlign w:val="center"/>
                </w:tcPr>
                <w:p w14:paraId="57D9A32E">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-40.4</w:t>
                  </w:r>
                </w:p>
              </w:tc>
              <w:tc>
                <w:tcPr>
                  <w:tcW w:w="247" w:type="pct"/>
                  <w:tcBorders>
                    <w:tl2br w:val="nil"/>
                    <w:tr2bl w:val="nil"/>
                  </w:tcBorders>
                  <w:shd w:val="clear" w:color="auto" w:fill="FFFFFF"/>
                  <w:tcMar>
                    <w:top w:w="0" w:type="dxa"/>
                    <w:left w:w="0" w:type="dxa"/>
                    <w:bottom w:w="0" w:type="dxa"/>
                    <w:right w:w="0" w:type="dxa"/>
                  </w:tcMar>
                  <w:vAlign w:val="center"/>
                </w:tcPr>
                <w:p w14:paraId="091B48F7">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-120.9</w:t>
                  </w:r>
                </w:p>
              </w:tc>
              <w:tc>
                <w:tcPr>
                  <w:tcW w:w="124" w:type="pct"/>
                  <w:tcBorders>
                    <w:tl2br w:val="nil"/>
                    <w:tr2bl w:val="nil"/>
                  </w:tcBorders>
                  <w:shd w:val="clear" w:color="auto" w:fill="FFFFFF"/>
                  <w:tcMar>
                    <w:top w:w="0" w:type="dxa"/>
                    <w:left w:w="0" w:type="dxa"/>
                    <w:bottom w:w="0" w:type="dxa"/>
                    <w:right w:w="0" w:type="dxa"/>
                  </w:tcMar>
                  <w:vAlign w:val="center"/>
                </w:tcPr>
                <w:p w14:paraId="36F86953">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w:t>
                  </w:r>
                </w:p>
              </w:tc>
              <w:tc>
                <w:tcPr>
                  <w:tcW w:w="168" w:type="pct"/>
                  <w:tcBorders>
                    <w:tl2br w:val="nil"/>
                    <w:tr2bl w:val="nil"/>
                  </w:tcBorders>
                  <w:shd w:val="clear" w:color="auto" w:fill="FFFFFF"/>
                  <w:tcMar>
                    <w:top w:w="0" w:type="dxa"/>
                    <w:left w:w="0" w:type="dxa"/>
                    <w:bottom w:w="0" w:type="dxa"/>
                    <w:right w:w="0" w:type="dxa"/>
                  </w:tcMar>
                  <w:vAlign w:val="center"/>
                </w:tcPr>
                <w:p w14:paraId="4BF12B7F">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18.8</w:t>
                  </w:r>
                </w:p>
              </w:tc>
              <w:tc>
                <w:tcPr>
                  <w:tcW w:w="168" w:type="pct"/>
                  <w:tcBorders>
                    <w:tl2br w:val="nil"/>
                    <w:tr2bl w:val="nil"/>
                  </w:tcBorders>
                  <w:shd w:val="clear" w:color="auto" w:fill="FFFFFF"/>
                  <w:tcMar>
                    <w:top w:w="0" w:type="dxa"/>
                    <w:left w:w="0" w:type="dxa"/>
                    <w:bottom w:w="0" w:type="dxa"/>
                    <w:right w:w="0" w:type="dxa"/>
                  </w:tcMar>
                  <w:vAlign w:val="center"/>
                </w:tcPr>
                <w:p w14:paraId="04EEF6A6">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19.9</w:t>
                  </w:r>
                </w:p>
              </w:tc>
              <w:tc>
                <w:tcPr>
                  <w:tcW w:w="214" w:type="pct"/>
                  <w:tcBorders>
                    <w:tl2br w:val="nil"/>
                    <w:tr2bl w:val="nil"/>
                  </w:tcBorders>
                  <w:shd w:val="clear" w:color="auto" w:fill="FFFFFF"/>
                  <w:tcMar>
                    <w:top w:w="0" w:type="dxa"/>
                    <w:left w:w="0" w:type="dxa"/>
                    <w:bottom w:w="0" w:type="dxa"/>
                    <w:right w:w="0" w:type="dxa"/>
                  </w:tcMar>
                  <w:vAlign w:val="center"/>
                </w:tcPr>
                <w:p w14:paraId="3550AFCC">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106.3</w:t>
                  </w:r>
                </w:p>
              </w:tc>
              <w:tc>
                <w:tcPr>
                  <w:tcW w:w="214" w:type="pct"/>
                  <w:tcBorders>
                    <w:tl2br w:val="nil"/>
                    <w:tr2bl w:val="nil"/>
                  </w:tcBorders>
                  <w:shd w:val="clear" w:color="auto" w:fill="FFFFFF"/>
                  <w:tcMar>
                    <w:top w:w="0" w:type="dxa"/>
                    <w:left w:w="0" w:type="dxa"/>
                    <w:bottom w:w="0" w:type="dxa"/>
                    <w:right w:w="0" w:type="dxa"/>
                  </w:tcMar>
                  <w:vAlign w:val="center"/>
                </w:tcPr>
                <w:p w14:paraId="510EB54B">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117.5</w:t>
                  </w:r>
                </w:p>
              </w:tc>
              <w:tc>
                <w:tcPr>
                  <w:tcW w:w="169" w:type="pct"/>
                  <w:tcBorders>
                    <w:tl2br w:val="nil"/>
                    <w:tr2bl w:val="nil"/>
                  </w:tcBorders>
                  <w:shd w:val="clear" w:color="auto" w:fill="FFFFFF"/>
                  <w:tcMar>
                    <w:top w:w="0" w:type="dxa"/>
                    <w:left w:w="0" w:type="dxa"/>
                    <w:bottom w:w="0" w:type="dxa"/>
                    <w:right w:w="0" w:type="dxa"/>
                  </w:tcMar>
                  <w:vAlign w:val="center"/>
                </w:tcPr>
                <w:p w14:paraId="14131B4F">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46.9</w:t>
                  </w:r>
                </w:p>
              </w:tc>
              <w:tc>
                <w:tcPr>
                  <w:tcW w:w="169" w:type="pct"/>
                  <w:tcBorders>
                    <w:tl2br w:val="nil"/>
                    <w:tr2bl w:val="nil"/>
                  </w:tcBorders>
                  <w:shd w:val="clear" w:color="auto" w:fill="FFFFFF"/>
                  <w:tcMar>
                    <w:top w:w="0" w:type="dxa"/>
                    <w:left w:w="0" w:type="dxa"/>
                    <w:bottom w:w="0" w:type="dxa"/>
                    <w:right w:w="0" w:type="dxa"/>
                  </w:tcMar>
                  <w:vAlign w:val="center"/>
                </w:tcPr>
                <w:p w14:paraId="4CA35FAC">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46.9</w:t>
                  </w:r>
                </w:p>
              </w:tc>
              <w:tc>
                <w:tcPr>
                  <w:tcW w:w="169" w:type="pct"/>
                  <w:tcBorders>
                    <w:tl2br w:val="nil"/>
                    <w:tr2bl w:val="nil"/>
                  </w:tcBorders>
                  <w:shd w:val="clear" w:color="auto" w:fill="FFFFFF"/>
                  <w:tcMar>
                    <w:top w:w="0" w:type="dxa"/>
                    <w:left w:w="0" w:type="dxa"/>
                    <w:bottom w:w="0" w:type="dxa"/>
                    <w:right w:w="0" w:type="dxa"/>
                  </w:tcMar>
                  <w:vAlign w:val="center"/>
                </w:tcPr>
                <w:p w14:paraId="4E4932E9">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46.8</w:t>
                  </w:r>
                </w:p>
              </w:tc>
              <w:tc>
                <w:tcPr>
                  <w:tcW w:w="169" w:type="pct"/>
                  <w:tcBorders>
                    <w:tl2br w:val="nil"/>
                    <w:tr2bl w:val="nil"/>
                  </w:tcBorders>
                  <w:shd w:val="clear" w:color="auto" w:fill="FFFFFF"/>
                  <w:tcMar>
                    <w:top w:w="0" w:type="dxa"/>
                    <w:left w:w="0" w:type="dxa"/>
                    <w:bottom w:w="0" w:type="dxa"/>
                    <w:right w:w="0" w:type="dxa"/>
                  </w:tcMar>
                  <w:vAlign w:val="center"/>
                </w:tcPr>
                <w:p w14:paraId="6B9109DF">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46.8</w:t>
                  </w:r>
                </w:p>
              </w:tc>
              <w:tc>
                <w:tcPr>
                  <w:tcW w:w="210" w:type="pct"/>
                  <w:tcBorders>
                    <w:tl2br w:val="nil"/>
                    <w:tr2bl w:val="nil"/>
                  </w:tcBorders>
                  <w:shd w:val="clear" w:color="auto" w:fill="FFFFFF"/>
                  <w:tcMar>
                    <w:top w:w="0" w:type="dxa"/>
                    <w:left w:w="0" w:type="dxa"/>
                    <w:bottom w:w="0" w:type="dxa"/>
                    <w:right w:w="0" w:type="dxa"/>
                  </w:tcMar>
                  <w:vAlign w:val="center"/>
                </w:tcPr>
                <w:p w14:paraId="636AF6D2">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24</w:t>
                  </w:r>
                </w:p>
              </w:tc>
              <w:tc>
                <w:tcPr>
                  <w:tcW w:w="169" w:type="pct"/>
                  <w:tcBorders>
                    <w:tl2br w:val="nil"/>
                    <w:tr2bl w:val="nil"/>
                  </w:tcBorders>
                  <w:shd w:val="clear" w:color="auto" w:fill="FFFFFF"/>
                  <w:tcMar>
                    <w:top w:w="0" w:type="dxa"/>
                    <w:left w:w="0" w:type="dxa"/>
                    <w:bottom w:w="0" w:type="dxa"/>
                    <w:right w:w="0" w:type="dxa"/>
                  </w:tcMar>
                  <w:vAlign w:val="center"/>
                </w:tcPr>
                <w:p w14:paraId="6A733691">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9" w:type="pct"/>
                  <w:tcBorders>
                    <w:tl2br w:val="nil"/>
                    <w:tr2bl w:val="nil"/>
                  </w:tcBorders>
                  <w:shd w:val="clear" w:color="auto" w:fill="FFFFFF"/>
                  <w:tcMar>
                    <w:top w:w="0" w:type="dxa"/>
                    <w:left w:w="0" w:type="dxa"/>
                    <w:bottom w:w="0" w:type="dxa"/>
                    <w:right w:w="0" w:type="dxa"/>
                  </w:tcMar>
                  <w:vAlign w:val="center"/>
                </w:tcPr>
                <w:p w14:paraId="240BB8E5">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9" w:type="pct"/>
                  <w:tcBorders>
                    <w:tl2br w:val="nil"/>
                    <w:tr2bl w:val="nil"/>
                  </w:tcBorders>
                  <w:shd w:val="clear" w:color="auto" w:fill="FFFFFF"/>
                  <w:tcMar>
                    <w:top w:w="0" w:type="dxa"/>
                    <w:left w:w="0" w:type="dxa"/>
                    <w:bottom w:w="0" w:type="dxa"/>
                    <w:right w:w="0" w:type="dxa"/>
                  </w:tcMar>
                  <w:vAlign w:val="center"/>
                </w:tcPr>
                <w:p w14:paraId="4A5853DE">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9" w:type="pct"/>
                  <w:tcBorders>
                    <w:tl2br w:val="nil"/>
                    <w:tr2bl w:val="nil"/>
                  </w:tcBorders>
                  <w:shd w:val="clear" w:color="auto" w:fill="FFFFFF"/>
                  <w:tcMar>
                    <w:top w:w="0" w:type="dxa"/>
                    <w:left w:w="0" w:type="dxa"/>
                    <w:bottom w:w="0" w:type="dxa"/>
                    <w:right w:w="0" w:type="dxa"/>
                  </w:tcMar>
                  <w:vAlign w:val="center"/>
                </w:tcPr>
                <w:p w14:paraId="55D631AE">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8" w:type="pct"/>
                  <w:tcBorders>
                    <w:tl2br w:val="nil"/>
                    <w:tr2bl w:val="nil"/>
                  </w:tcBorders>
                  <w:shd w:val="clear" w:color="auto" w:fill="FFFFFF"/>
                  <w:tcMar>
                    <w:top w:w="0" w:type="dxa"/>
                    <w:left w:w="0" w:type="dxa"/>
                    <w:bottom w:w="0" w:type="dxa"/>
                    <w:right w:w="0" w:type="dxa"/>
                  </w:tcMar>
                  <w:vAlign w:val="center"/>
                </w:tcPr>
                <w:p w14:paraId="53235FDE">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34.9</w:t>
                  </w:r>
                </w:p>
              </w:tc>
              <w:tc>
                <w:tcPr>
                  <w:tcW w:w="168" w:type="pct"/>
                  <w:tcBorders>
                    <w:tl2br w:val="nil"/>
                    <w:tr2bl w:val="nil"/>
                  </w:tcBorders>
                  <w:shd w:val="clear" w:color="auto" w:fill="FFFFFF"/>
                  <w:tcMar>
                    <w:top w:w="0" w:type="dxa"/>
                    <w:left w:w="0" w:type="dxa"/>
                    <w:bottom w:w="0" w:type="dxa"/>
                    <w:right w:w="0" w:type="dxa"/>
                  </w:tcMar>
                  <w:vAlign w:val="center"/>
                </w:tcPr>
                <w:p w14:paraId="1B0814B0">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34.9</w:t>
                  </w:r>
                </w:p>
              </w:tc>
              <w:tc>
                <w:tcPr>
                  <w:tcW w:w="168" w:type="pct"/>
                  <w:tcBorders>
                    <w:tl2br w:val="nil"/>
                    <w:tr2bl w:val="nil"/>
                  </w:tcBorders>
                  <w:shd w:val="clear" w:color="auto" w:fill="FFFFFF"/>
                  <w:tcMar>
                    <w:top w:w="0" w:type="dxa"/>
                    <w:left w:w="0" w:type="dxa"/>
                    <w:bottom w:w="0" w:type="dxa"/>
                    <w:right w:w="0" w:type="dxa"/>
                  </w:tcMar>
                  <w:vAlign w:val="center"/>
                </w:tcPr>
                <w:p w14:paraId="4B229709">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34.8</w:t>
                  </w:r>
                </w:p>
              </w:tc>
              <w:tc>
                <w:tcPr>
                  <w:tcW w:w="168" w:type="pct"/>
                  <w:tcBorders>
                    <w:tl2br w:val="nil"/>
                    <w:tr2bl w:val="nil"/>
                  </w:tcBorders>
                  <w:shd w:val="clear" w:color="auto" w:fill="FFFFFF"/>
                  <w:tcMar>
                    <w:top w:w="0" w:type="dxa"/>
                    <w:left w:w="0" w:type="dxa"/>
                    <w:bottom w:w="0" w:type="dxa"/>
                    <w:right w:w="0" w:type="dxa"/>
                  </w:tcMar>
                  <w:vAlign w:val="center"/>
                </w:tcPr>
                <w:p w14:paraId="3EEC6867">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34.8</w:t>
                  </w:r>
                </w:p>
              </w:tc>
              <w:tc>
                <w:tcPr>
                  <w:tcW w:w="93" w:type="pct"/>
                  <w:tcBorders>
                    <w:tl2br w:val="nil"/>
                    <w:tr2bl w:val="nil"/>
                  </w:tcBorders>
                  <w:shd w:val="clear" w:color="auto" w:fill="FFFFFF"/>
                  <w:tcMar>
                    <w:top w:w="0" w:type="dxa"/>
                    <w:left w:w="0" w:type="dxa"/>
                    <w:bottom w:w="0" w:type="dxa"/>
                    <w:right w:w="0" w:type="dxa"/>
                  </w:tcMar>
                  <w:vAlign w:val="center"/>
                </w:tcPr>
                <w:p w14:paraId="555EF5A1">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w:t>
                  </w:r>
                </w:p>
              </w:tc>
            </w:tr>
            <w:tr w14:paraId="7BB7172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23" w:hRule="atLeast"/>
              </w:trPr>
              <w:tc>
                <w:tcPr>
                  <w:tcW w:w="210" w:type="pct"/>
                  <w:tcBorders>
                    <w:tl2br w:val="nil"/>
                    <w:tr2bl w:val="nil"/>
                  </w:tcBorders>
                  <w:shd w:val="clear" w:color="auto" w:fill="FFFFFF"/>
                  <w:tcMar>
                    <w:top w:w="0" w:type="dxa"/>
                    <w:left w:w="0" w:type="dxa"/>
                    <w:bottom w:w="0" w:type="dxa"/>
                    <w:right w:w="0" w:type="dxa"/>
                  </w:tcMar>
                  <w:vAlign w:val="center"/>
                </w:tcPr>
                <w:p w14:paraId="09799DEF">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21</w:t>
                  </w:r>
                </w:p>
              </w:tc>
              <w:tc>
                <w:tcPr>
                  <w:tcW w:w="210" w:type="pct"/>
                  <w:tcBorders>
                    <w:tl2br w:val="nil"/>
                    <w:tr2bl w:val="nil"/>
                  </w:tcBorders>
                  <w:shd w:val="clear" w:color="auto" w:fill="FFFFFF"/>
                  <w:tcMar>
                    <w:top w:w="0" w:type="dxa"/>
                    <w:left w:w="0" w:type="dxa"/>
                    <w:bottom w:w="0" w:type="dxa"/>
                    <w:right w:w="0" w:type="dxa"/>
                  </w:tcMar>
                  <w:vAlign w:val="center"/>
                </w:tcPr>
                <w:p w14:paraId="693B9AB8">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中创空天厂区-铝合金熔铸一厂</w:t>
                  </w:r>
                </w:p>
              </w:tc>
              <w:tc>
                <w:tcPr>
                  <w:tcW w:w="210" w:type="pct"/>
                  <w:tcBorders>
                    <w:tl2br w:val="nil"/>
                    <w:tr2bl w:val="nil"/>
                  </w:tcBorders>
                  <w:shd w:val="clear" w:color="auto" w:fill="FFFFFF"/>
                  <w:tcMar>
                    <w:top w:w="0" w:type="dxa"/>
                    <w:left w:w="0" w:type="dxa"/>
                    <w:bottom w:w="0" w:type="dxa"/>
                    <w:right w:w="0" w:type="dxa"/>
                  </w:tcMar>
                  <w:vAlign w:val="center"/>
                </w:tcPr>
                <w:p w14:paraId="02C4BC53">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脱模剂配比机</w:t>
                  </w:r>
                </w:p>
              </w:tc>
              <w:tc>
                <w:tcPr>
                  <w:tcW w:w="210" w:type="pct"/>
                  <w:vMerge w:val="continue"/>
                  <w:tcBorders>
                    <w:tl2br w:val="nil"/>
                    <w:tr2bl w:val="nil"/>
                  </w:tcBorders>
                  <w:shd w:val="clear" w:color="auto" w:fill="FFFFFF"/>
                  <w:tcMar>
                    <w:top w:w="0" w:type="dxa"/>
                    <w:left w:w="0" w:type="dxa"/>
                    <w:bottom w:w="0" w:type="dxa"/>
                    <w:right w:w="0" w:type="dxa"/>
                  </w:tcMar>
                  <w:vAlign w:val="center"/>
                </w:tcPr>
                <w:p w14:paraId="766BC2F6">
                  <w:pPr>
                    <w:jc w:val="center"/>
                    <w:rPr>
                      <w:rFonts w:hint="default" w:ascii="Times New Roman" w:hAnsi="Times New Roman" w:eastAsia="宋体" w:cs="Times New Roman"/>
                      <w:color w:val="auto"/>
                      <w:u w:val="none" w:color="auto"/>
                    </w:rPr>
                  </w:pPr>
                </w:p>
              </w:tc>
              <w:tc>
                <w:tcPr>
                  <w:tcW w:w="281" w:type="pct"/>
                  <w:tcBorders>
                    <w:tl2br w:val="nil"/>
                    <w:tr2bl w:val="nil"/>
                  </w:tcBorders>
                  <w:shd w:val="clear" w:color="auto" w:fill="FFFFFF"/>
                  <w:tcMar>
                    <w:top w:w="0" w:type="dxa"/>
                    <w:left w:w="0" w:type="dxa"/>
                    <w:bottom w:w="0" w:type="dxa"/>
                    <w:right w:w="0" w:type="dxa"/>
                  </w:tcMar>
                  <w:vAlign w:val="center"/>
                </w:tcPr>
                <w:p w14:paraId="03E9B68E">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67.5</w:t>
                  </w:r>
                </w:p>
              </w:tc>
              <w:tc>
                <w:tcPr>
                  <w:tcW w:w="210" w:type="pct"/>
                  <w:tcBorders>
                    <w:tl2br w:val="nil"/>
                    <w:tr2bl w:val="nil"/>
                  </w:tcBorders>
                  <w:shd w:val="clear" w:color="auto" w:fill="FFFFFF"/>
                  <w:tcMar>
                    <w:top w:w="0" w:type="dxa"/>
                    <w:left w:w="0" w:type="dxa"/>
                    <w:bottom w:w="0" w:type="dxa"/>
                    <w:right w:w="0" w:type="dxa"/>
                  </w:tcMar>
                  <w:vAlign w:val="center"/>
                </w:tcPr>
                <w:p w14:paraId="777B1045">
                  <w:pPr>
                    <w:jc w:val="center"/>
                    <w:rPr>
                      <w:rFonts w:hint="default" w:ascii="Times New Roman" w:hAnsi="Times New Roman" w:eastAsia="宋体" w:cs="Times New Roman"/>
                      <w:color w:val="auto"/>
                      <w:u w:val="none" w:color="auto"/>
                    </w:rPr>
                  </w:pPr>
                </w:p>
              </w:tc>
              <w:tc>
                <w:tcPr>
                  <w:tcW w:w="199" w:type="pct"/>
                  <w:tcBorders>
                    <w:tl2br w:val="nil"/>
                    <w:tr2bl w:val="nil"/>
                  </w:tcBorders>
                  <w:shd w:val="clear" w:color="auto" w:fill="FFFFFF"/>
                  <w:tcMar>
                    <w:top w:w="0" w:type="dxa"/>
                    <w:left w:w="0" w:type="dxa"/>
                    <w:bottom w:w="0" w:type="dxa"/>
                    <w:right w:w="0" w:type="dxa"/>
                  </w:tcMar>
                  <w:vAlign w:val="center"/>
                </w:tcPr>
                <w:p w14:paraId="6829167A">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-56.5</w:t>
                  </w:r>
                </w:p>
              </w:tc>
              <w:tc>
                <w:tcPr>
                  <w:tcW w:w="247" w:type="pct"/>
                  <w:tcBorders>
                    <w:tl2br w:val="nil"/>
                    <w:tr2bl w:val="nil"/>
                  </w:tcBorders>
                  <w:shd w:val="clear" w:color="auto" w:fill="FFFFFF"/>
                  <w:tcMar>
                    <w:top w:w="0" w:type="dxa"/>
                    <w:left w:w="0" w:type="dxa"/>
                    <w:bottom w:w="0" w:type="dxa"/>
                    <w:right w:w="0" w:type="dxa"/>
                  </w:tcMar>
                  <w:vAlign w:val="center"/>
                </w:tcPr>
                <w:p w14:paraId="6B044448">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-111.2</w:t>
                  </w:r>
                </w:p>
              </w:tc>
              <w:tc>
                <w:tcPr>
                  <w:tcW w:w="124" w:type="pct"/>
                  <w:tcBorders>
                    <w:tl2br w:val="nil"/>
                    <w:tr2bl w:val="nil"/>
                  </w:tcBorders>
                  <w:shd w:val="clear" w:color="auto" w:fill="FFFFFF"/>
                  <w:tcMar>
                    <w:top w:w="0" w:type="dxa"/>
                    <w:left w:w="0" w:type="dxa"/>
                    <w:bottom w:w="0" w:type="dxa"/>
                    <w:right w:w="0" w:type="dxa"/>
                  </w:tcMar>
                  <w:vAlign w:val="center"/>
                </w:tcPr>
                <w:p w14:paraId="5A0AC86C">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w:t>
                  </w:r>
                </w:p>
              </w:tc>
              <w:tc>
                <w:tcPr>
                  <w:tcW w:w="168" w:type="pct"/>
                  <w:tcBorders>
                    <w:tl2br w:val="nil"/>
                    <w:tr2bl w:val="nil"/>
                  </w:tcBorders>
                  <w:shd w:val="clear" w:color="auto" w:fill="FFFFFF"/>
                  <w:tcMar>
                    <w:top w:w="0" w:type="dxa"/>
                    <w:left w:w="0" w:type="dxa"/>
                    <w:bottom w:w="0" w:type="dxa"/>
                    <w:right w:w="0" w:type="dxa"/>
                  </w:tcMar>
                  <w:vAlign w:val="center"/>
                </w:tcPr>
                <w:p w14:paraId="33D6FB9F">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37.6</w:t>
                  </w:r>
                </w:p>
              </w:tc>
              <w:tc>
                <w:tcPr>
                  <w:tcW w:w="168" w:type="pct"/>
                  <w:tcBorders>
                    <w:tl2br w:val="nil"/>
                    <w:tr2bl w:val="nil"/>
                  </w:tcBorders>
                  <w:shd w:val="clear" w:color="auto" w:fill="FFFFFF"/>
                  <w:tcMar>
                    <w:top w:w="0" w:type="dxa"/>
                    <w:left w:w="0" w:type="dxa"/>
                    <w:bottom w:w="0" w:type="dxa"/>
                    <w:right w:w="0" w:type="dxa"/>
                  </w:tcMar>
                  <w:vAlign w:val="center"/>
                </w:tcPr>
                <w:p w14:paraId="5D4BD52E">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18.8</w:t>
                  </w:r>
                </w:p>
              </w:tc>
              <w:tc>
                <w:tcPr>
                  <w:tcW w:w="214" w:type="pct"/>
                  <w:tcBorders>
                    <w:tl2br w:val="nil"/>
                    <w:tr2bl w:val="nil"/>
                  </w:tcBorders>
                  <w:shd w:val="clear" w:color="auto" w:fill="FFFFFF"/>
                  <w:tcMar>
                    <w:top w:w="0" w:type="dxa"/>
                    <w:left w:w="0" w:type="dxa"/>
                    <w:bottom w:w="0" w:type="dxa"/>
                    <w:right w:w="0" w:type="dxa"/>
                  </w:tcMar>
                  <w:vAlign w:val="center"/>
                </w:tcPr>
                <w:p w14:paraId="0A1EB664">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87.6</w:t>
                  </w:r>
                </w:p>
              </w:tc>
              <w:tc>
                <w:tcPr>
                  <w:tcW w:w="214" w:type="pct"/>
                  <w:tcBorders>
                    <w:tl2br w:val="nil"/>
                    <w:tr2bl w:val="nil"/>
                  </w:tcBorders>
                  <w:shd w:val="clear" w:color="auto" w:fill="FFFFFF"/>
                  <w:tcMar>
                    <w:top w:w="0" w:type="dxa"/>
                    <w:left w:w="0" w:type="dxa"/>
                    <w:bottom w:w="0" w:type="dxa"/>
                    <w:right w:w="0" w:type="dxa"/>
                  </w:tcMar>
                  <w:vAlign w:val="center"/>
                </w:tcPr>
                <w:p w14:paraId="44DA460A">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118.6</w:t>
                  </w:r>
                </w:p>
              </w:tc>
              <w:tc>
                <w:tcPr>
                  <w:tcW w:w="169" w:type="pct"/>
                  <w:tcBorders>
                    <w:tl2br w:val="nil"/>
                    <w:tr2bl w:val="nil"/>
                  </w:tcBorders>
                  <w:shd w:val="clear" w:color="auto" w:fill="FFFFFF"/>
                  <w:tcMar>
                    <w:top w:w="0" w:type="dxa"/>
                    <w:left w:w="0" w:type="dxa"/>
                    <w:bottom w:w="0" w:type="dxa"/>
                    <w:right w:w="0" w:type="dxa"/>
                  </w:tcMar>
                  <w:vAlign w:val="center"/>
                </w:tcPr>
                <w:p w14:paraId="3630AB6E">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46.8</w:t>
                  </w:r>
                </w:p>
              </w:tc>
              <w:tc>
                <w:tcPr>
                  <w:tcW w:w="169" w:type="pct"/>
                  <w:tcBorders>
                    <w:tl2br w:val="nil"/>
                    <w:tr2bl w:val="nil"/>
                  </w:tcBorders>
                  <w:shd w:val="clear" w:color="auto" w:fill="FFFFFF"/>
                  <w:tcMar>
                    <w:top w:w="0" w:type="dxa"/>
                    <w:left w:w="0" w:type="dxa"/>
                    <w:bottom w:w="0" w:type="dxa"/>
                    <w:right w:w="0" w:type="dxa"/>
                  </w:tcMar>
                  <w:vAlign w:val="center"/>
                </w:tcPr>
                <w:p w14:paraId="38D03940">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46.9</w:t>
                  </w:r>
                </w:p>
              </w:tc>
              <w:tc>
                <w:tcPr>
                  <w:tcW w:w="169" w:type="pct"/>
                  <w:tcBorders>
                    <w:tl2br w:val="nil"/>
                    <w:tr2bl w:val="nil"/>
                  </w:tcBorders>
                  <w:shd w:val="clear" w:color="auto" w:fill="FFFFFF"/>
                  <w:tcMar>
                    <w:top w:w="0" w:type="dxa"/>
                    <w:left w:w="0" w:type="dxa"/>
                    <w:bottom w:w="0" w:type="dxa"/>
                    <w:right w:w="0" w:type="dxa"/>
                  </w:tcMar>
                  <w:vAlign w:val="center"/>
                </w:tcPr>
                <w:p w14:paraId="7351CF5C">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46.8</w:t>
                  </w:r>
                </w:p>
              </w:tc>
              <w:tc>
                <w:tcPr>
                  <w:tcW w:w="169" w:type="pct"/>
                  <w:tcBorders>
                    <w:tl2br w:val="nil"/>
                    <w:tr2bl w:val="nil"/>
                  </w:tcBorders>
                  <w:shd w:val="clear" w:color="auto" w:fill="FFFFFF"/>
                  <w:tcMar>
                    <w:top w:w="0" w:type="dxa"/>
                    <w:left w:w="0" w:type="dxa"/>
                    <w:bottom w:w="0" w:type="dxa"/>
                    <w:right w:w="0" w:type="dxa"/>
                  </w:tcMar>
                  <w:vAlign w:val="center"/>
                </w:tcPr>
                <w:p w14:paraId="6E111BAB">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46.8</w:t>
                  </w:r>
                </w:p>
              </w:tc>
              <w:tc>
                <w:tcPr>
                  <w:tcW w:w="210" w:type="pct"/>
                  <w:tcBorders>
                    <w:tl2br w:val="nil"/>
                    <w:tr2bl w:val="nil"/>
                  </w:tcBorders>
                  <w:shd w:val="clear" w:color="auto" w:fill="FFFFFF"/>
                  <w:tcMar>
                    <w:top w:w="0" w:type="dxa"/>
                    <w:left w:w="0" w:type="dxa"/>
                    <w:bottom w:w="0" w:type="dxa"/>
                    <w:right w:w="0" w:type="dxa"/>
                  </w:tcMar>
                  <w:vAlign w:val="center"/>
                </w:tcPr>
                <w:p w14:paraId="1233AFF8">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24</w:t>
                  </w:r>
                </w:p>
              </w:tc>
              <w:tc>
                <w:tcPr>
                  <w:tcW w:w="169" w:type="pct"/>
                  <w:tcBorders>
                    <w:tl2br w:val="nil"/>
                    <w:tr2bl w:val="nil"/>
                  </w:tcBorders>
                  <w:shd w:val="clear" w:color="auto" w:fill="FFFFFF"/>
                  <w:tcMar>
                    <w:top w:w="0" w:type="dxa"/>
                    <w:left w:w="0" w:type="dxa"/>
                    <w:bottom w:w="0" w:type="dxa"/>
                    <w:right w:w="0" w:type="dxa"/>
                  </w:tcMar>
                  <w:vAlign w:val="center"/>
                </w:tcPr>
                <w:p w14:paraId="7D250553">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9" w:type="pct"/>
                  <w:tcBorders>
                    <w:tl2br w:val="nil"/>
                    <w:tr2bl w:val="nil"/>
                  </w:tcBorders>
                  <w:shd w:val="clear" w:color="auto" w:fill="FFFFFF"/>
                  <w:tcMar>
                    <w:top w:w="0" w:type="dxa"/>
                    <w:left w:w="0" w:type="dxa"/>
                    <w:bottom w:w="0" w:type="dxa"/>
                    <w:right w:w="0" w:type="dxa"/>
                  </w:tcMar>
                  <w:vAlign w:val="center"/>
                </w:tcPr>
                <w:p w14:paraId="48F93971">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9" w:type="pct"/>
                  <w:tcBorders>
                    <w:tl2br w:val="nil"/>
                    <w:tr2bl w:val="nil"/>
                  </w:tcBorders>
                  <w:shd w:val="clear" w:color="auto" w:fill="FFFFFF"/>
                  <w:tcMar>
                    <w:top w:w="0" w:type="dxa"/>
                    <w:left w:w="0" w:type="dxa"/>
                    <w:bottom w:w="0" w:type="dxa"/>
                    <w:right w:w="0" w:type="dxa"/>
                  </w:tcMar>
                  <w:vAlign w:val="center"/>
                </w:tcPr>
                <w:p w14:paraId="4E240CDD">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9" w:type="pct"/>
                  <w:tcBorders>
                    <w:tl2br w:val="nil"/>
                    <w:tr2bl w:val="nil"/>
                  </w:tcBorders>
                  <w:shd w:val="clear" w:color="auto" w:fill="FFFFFF"/>
                  <w:tcMar>
                    <w:top w:w="0" w:type="dxa"/>
                    <w:left w:w="0" w:type="dxa"/>
                    <w:bottom w:w="0" w:type="dxa"/>
                    <w:right w:w="0" w:type="dxa"/>
                  </w:tcMar>
                  <w:vAlign w:val="center"/>
                </w:tcPr>
                <w:p w14:paraId="27D8710F">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8" w:type="pct"/>
                  <w:tcBorders>
                    <w:tl2br w:val="nil"/>
                    <w:tr2bl w:val="nil"/>
                  </w:tcBorders>
                  <w:shd w:val="clear" w:color="auto" w:fill="FFFFFF"/>
                  <w:tcMar>
                    <w:top w:w="0" w:type="dxa"/>
                    <w:left w:w="0" w:type="dxa"/>
                    <w:bottom w:w="0" w:type="dxa"/>
                    <w:right w:w="0" w:type="dxa"/>
                  </w:tcMar>
                  <w:vAlign w:val="center"/>
                </w:tcPr>
                <w:p w14:paraId="2E458A7D">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34.8</w:t>
                  </w:r>
                </w:p>
              </w:tc>
              <w:tc>
                <w:tcPr>
                  <w:tcW w:w="168" w:type="pct"/>
                  <w:tcBorders>
                    <w:tl2br w:val="nil"/>
                    <w:tr2bl w:val="nil"/>
                  </w:tcBorders>
                  <w:shd w:val="clear" w:color="auto" w:fill="FFFFFF"/>
                  <w:tcMar>
                    <w:top w:w="0" w:type="dxa"/>
                    <w:left w:w="0" w:type="dxa"/>
                    <w:bottom w:w="0" w:type="dxa"/>
                    <w:right w:w="0" w:type="dxa"/>
                  </w:tcMar>
                  <w:vAlign w:val="center"/>
                </w:tcPr>
                <w:p w14:paraId="190B207D">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34.9</w:t>
                  </w:r>
                </w:p>
              </w:tc>
              <w:tc>
                <w:tcPr>
                  <w:tcW w:w="168" w:type="pct"/>
                  <w:tcBorders>
                    <w:tl2br w:val="nil"/>
                    <w:tr2bl w:val="nil"/>
                  </w:tcBorders>
                  <w:shd w:val="clear" w:color="auto" w:fill="FFFFFF"/>
                  <w:tcMar>
                    <w:top w:w="0" w:type="dxa"/>
                    <w:left w:w="0" w:type="dxa"/>
                    <w:bottom w:w="0" w:type="dxa"/>
                    <w:right w:w="0" w:type="dxa"/>
                  </w:tcMar>
                  <w:vAlign w:val="center"/>
                </w:tcPr>
                <w:p w14:paraId="561B6491">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34.8</w:t>
                  </w:r>
                </w:p>
              </w:tc>
              <w:tc>
                <w:tcPr>
                  <w:tcW w:w="168" w:type="pct"/>
                  <w:tcBorders>
                    <w:tl2br w:val="nil"/>
                    <w:tr2bl w:val="nil"/>
                  </w:tcBorders>
                  <w:shd w:val="clear" w:color="auto" w:fill="FFFFFF"/>
                  <w:tcMar>
                    <w:top w:w="0" w:type="dxa"/>
                    <w:left w:w="0" w:type="dxa"/>
                    <w:bottom w:w="0" w:type="dxa"/>
                    <w:right w:w="0" w:type="dxa"/>
                  </w:tcMar>
                  <w:vAlign w:val="center"/>
                </w:tcPr>
                <w:p w14:paraId="14B0D719">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34.8</w:t>
                  </w:r>
                </w:p>
              </w:tc>
              <w:tc>
                <w:tcPr>
                  <w:tcW w:w="93" w:type="pct"/>
                  <w:tcBorders>
                    <w:tl2br w:val="nil"/>
                    <w:tr2bl w:val="nil"/>
                  </w:tcBorders>
                  <w:shd w:val="clear" w:color="auto" w:fill="FFFFFF"/>
                  <w:tcMar>
                    <w:top w:w="0" w:type="dxa"/>
                    <w:left w:w="0" w:type="dxa"/>
                    <w:bottom w:w="0" w:type="dxa"/>
                    <w:right w:w="0" w:type="dxa"/>
                  </w:tcMar>
                  <w:vAlign w:val="center"/>
                </w:tcPr>
                <w:p w14:paraId="70F5772D">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w:t>
                  </w:r>
                </w:p>
              </w:tc>
            </w:tr>
            <w:tr w14:paraId="279F13C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23" w:hRule="atLeast"/>
              </w:trPr>
              <w:tc>
                <w:tcPr>
                  <w:tcW w:w="210" w:type="pct"/>
                  <w:tcBorders>
                    <w:tl2br w:val="nil"/>
                    <w:tr2bl w:val="nil"/>
                  </w:tcBorders>
                  <w:shd w:val="clear" w:color="auto" w:fill="FFFFFF"/>
                  <w:tcMar>
                    <w:top w:w="0" w:type="dxa"/>
                    <w:left w:w="0" w:type="dxa"/>
                    <w:bottom w:w="0" w:type="dxa"/>
                    <w:right w:w="0" w:type="dxa"/>
                  </w:tcMar>
                  <w:vAlign w:val="center"/>
                </w:tcPr>
                <w:p w14:paraId="1CC8F0CF">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22</w:t>
                  </w:r>
                </w:p>
              </w:tc>
              <w:tc>
                <w:tcPr>
                  <w:tcW w:w="210" w:type="pct"/>
                  <w:tcBorders>
                    <w:tl2br w:val="nil"/>
                    <w:tr2bl w:val="nil"/>
                  </w:tcBorders>
                  <w:shd w:val="clear" w:color="auto" w:fill="FFFFFF"/>
                  <w:tcMar>
                    <w:top w:w="0" w:type="dxa"/>
                    <w:left w:w="0" w:type="dxa"/>
                    <w:bottom w:w="0" w:type="dxa"/>
                    <w:right w:w="0" w:type="dxa"/>
                  </w:tcMar>
                  <w:vAlign w:val="center"/>
                </w:tcPr>
                <w:p w14:paraId="0B9C0A35">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中创空天厂区-铝合金熔铸一厂</w:t>
                  </w:r>
                </w:p>
              </w:tc>
              <w:tc>
                <w:tcPr>
                  <w:tcW w:w="210" w:type="pct"/>
                  <w:tcBorders>
                    <w:tl2br w:val="nil"/>
                    <w:tr2bl w:val="nil"/>
                  </w:tcBorders>
                  <w:shd w:val="clear" w:color="auto" w:fill="FFFFFF"/>
                  <w:tcMar>
                    <w:top w:w="0" w:type="dxa"/>
                    <w:left w:w="0" w:type="dxa"/>
                    <w:bottom w:w="0" w:type="dxa"/>
                    <w:right w:w="0" w:type="dxa"/>
                  </w:tcMar>
                  <w:vAlign w:val="center"/>
                </w:tcPr>
                <w:p w14:paraId="37872C7B">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激光打标机</w:t>
                  </w:r>
                </w:p>
              </w:tc>
              <w:tc>
                <w:tcPr>
                  <w:tcW w:w="210" w:type="pct"/>
                  <w:vMerge w:val="restart"/>
                  <w:tcBorders>
                    <w:tl2br w:val="nil"/>
                    <w:tr2bl w:val="nil"/>
                  </w:tcBorders>
                  <w:shd w:val="clear" w:color="auto" w:fill="FFFFFF"/>
                  <w:tcMar>
                    <w:top w:w="0" w:type="dxa"/>
                    <w:left w:w="0" w:type="dxa"/>
                    <w:bottom w:w="0" w:type="dxa"/>
                    <w:right w:w="0" w:type="dxa"/>
                  </w:tcMar>
                  <w:vAlign w:val="center"/>
                </w:tcPr>
                <w:p w14:paraId="0310B694">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val="en-US" w:eastAsia="zh-CN"/>
                    </w:rPr>
                    <w:t>详见本节上表相关内容</w:t>
                  </w:r>
                </w:p>
              </w:tc>
              <w:tc>
                <w:tcPr>
                  <w:tcW w:w="281" w:type="pct"/>
                  <w:tcBorders>
                    <w:tl2br w:val="nil"/>
                    <w:tr2bl w:val="nil"/>
                  </w:tcBorders>
                  <w:shd w:val="clear" w:color="auto" w:fill="FFFFFF"/>
                  <w:tcMar>
                    <w:top w:w="0" w:type="dxa"/>
                    <w:left w:w="0" w:type="dxa"/>
                    <w:bottom w:w="0" w:type="dxa"/>
                    <w:right w:w="0" w:type="dxa"/>
                  </w:tcMar>
                  <w:vAlign w:val="center"/>
                </w:tcPr>
                <w:p w14:paraId="15CD688F">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77.5</w:t>
                  </w:r>
                </w:p>
              </w:tc>
              <w:tc>
                <w:tcPr>
                  <w:tcW w:w="210" w:type="pct"/>
                  <w:tcBorders>
                    <w:tl2br w:val="nil"/>
                    <w:tr2bl w:val="nil"/>
                  </w:tcBorders>
                  <w:shd w:val="clear" w:color="auto" w:fill="FFFFFF"/>
                  <w:tcMar>
                    <w:top w:w="0" w:type="dxa"/>
                    <w:left w:w="0" w:type="dxa"/>
                    <w:bottom w:w="0" w:type="dxa"/>
                    <w:right w:w="0" w:type="dxa"/>
                  </w:tcMar>
                  <w:vAlign w:val="center"/>
                </w:tcPr>
                <w:p w14:paraId="0BBBDC3F">
                  <w:pPr>
                    <w:jc w:val="center"/>
                    <w:rPr>
                      <w:rFonts w:hint="default" w:ascii="Times New Roman" w:hAnsi="Times New Roman" w:eastAsia="宋体" w:cs="Times New Roman"/>
                      <w:color w:val="auto"/>
                      <w:u w:val="none" w:color="auto"/>
                    </w:rPr>
                  </w:pPr>
                </w:p>
              </w:tc>
              <w:tc>
                <w:tcPr>
                  <w:tcW w:w="199" w:type="pct"/>
                  <w:tcBorders>
                    <w:tl2br w:val="nil"/>
                    <w:tr2bl w:val="nil"/>
                  </w:tcBorders>
                  <w:shd w:val="clear" w:color="auto" w:fill="FFFFFF"/>
                  <w:tcMar>
                    <w:top w:w="0" w:type="dxa"/>
                    <w:left w:w="0" w:type="dxa"/>
                    <w:bottom w:w="0" w:type="dxa"/>
                    <w:right w:w="0" w:type="dxa"/>
                  </w:tcMar>
                  <w:vAlign w:val="center"/>
                </w:tcPr>
                <w:p w14:paraId="2325A7AE">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-27.9</w:t>
                  </w:r>
                </w:p>
              </w:tc>
              <w:tc>
                <w:tcPr>
                  <w:tcW w:w="247" w:type="pct"/>
                  <w:tcBorders>
                    <w:tl2br w:val="nil"/>
                    <w:tr2bl w:val="nil"/>
                  </w:tcBorders>
                  <w:shd w:val="clear" w:color="auto" w:fill="FFFFFF"/>
                  <w:tcMar>
                    <w:top w:w="0" w:type="dxa"/>
                    <w:left w:w="0" w:type="dxa"/>
                    <w:bottom w:w="0" w:type="dxa"/>
                    <w:right w:w="0" w:type="dxa"/>
                  </w:tcMar>
                  <w:vAlign w:val="center"/>
                </w:tcPr>
                <w:p w14:paraId="097CDE27">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-120.1</w:t>
                  </w:r>
                </w:p>
              </w:tc>
              <w:tc>
                <w:tcPr>
                  <w:tcW w:w="124" w:type="pct"/>
                  <w:tcBorders>
                    <w:tl2br w:val="nil"/>
                    <w:tr2bl w:val="nil"/>
                  </w:tcBorders>
                  <w:shd w:val="clear" w:color="auto" w:fill="FFFFFF"/>
                  <w:tcMar>
                    <w:top w:w="0" w:type="dxa"/>
                    <w:left w:w="0" w:type="dxa"/>
                    <w:bottom w:w="0" w:type="dxa"/>
                    <w:right w:w="0" w:type="dxa"/>
                  </w:tcMar>
                  <w:vAlign w:val="center"/>
                </w:tcPr>
                <w:p w14:paraId="46680C5B">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w:t>
                  </w:r>
                </w:p>
              </w:tc>
              <w:tc>
                <w:tcPr>
                  <w:tcW w:w="168" w:type="pct"/>
                  <w:tcBorders>
                    <w:tl2br w:val="nil"/>
                    <w:tr2bl w:val="nil"/>
                  </w:tcBorders>
                  <w:shd w:val="clear" w:color="auto" w:fill="FFFFFF"/>
                  <w:tcMar>
                    <w:top w:w="0" w:type="dxa"/>
                    <w:left w:w="0" w:type="dxa"/>
                    <w:bottom w:w="0" w:type="dxa"/>
                    <w:right w:w="0" w:type="dxa"/>
                  </w:tcMar>
                  <w:vAlign w:val="center"/>
                </w:tcPr>
                <w:p w14:paraId="2FF95C66">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8.9</w:t>
                  </w:r>
                </w:p>
              </w:tc>
              <w:tc>
                <w:tcPr>
                  <w:tcW w:w="168" w:type="pct"/>
                  <w:tcBorders>
                    <w:tl2br w:val="nil"/>
                    <w:tr2bl w:val="nil"/>
                  </w:tcBorders>
                  <w:shd w:val="clear" w:color="auto" w:fill="FFFFFF"/>
                  <w:tcMar>
                    <w:top w:w="0" w:type="dxa"/>
                    <w:left w:w="0" w:type="dxa"/>
                    <w:bottom w:w="0" w:type="dxa"/>
                    <w:right w:w="0" w:type="dxa"/>
                  </w:tcMar>
                  <w:vAlign w:val="center"/>
                </w:tcPr>
                <w:p w14:paraId="2EDC6CD7">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27.6</w:t>
                  </w:r>
                </w:p>
              </w:tc>
              <w:tc>
                <w:tcPr>
                  <w:tcW w:w="214" w:type="pct"/>
                  <w:tcBorders>
                    <w:tl2br w:val="nil"/>
                    <w:tr2bl w:val="nil"/>
                  </w:tcBorders>
                  <w:shd w:val="clear" w:color="auto" w:fill="FFFFFF"/>
                  <w:tcMar>
                    <w:top w:w="0" w:type="dxa"/>
                    <w:left w:w="0" w:type="dxa"/>
                    <w:bottom w:w="0" w:type="dxa"/>
                    <w:right w:w="0" w:type="dxa"/>
                  </w:tcMar>
                  <w:vAlign w:val="center"/>
                </w:tcPr>
                <w:p w14:paraId="7099005D">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116.1</w:t>
                  </w:r>
                </w:p>
              </w:tc>
              <w:tc>
                <w:tcPr>
                  <w:tcW w:w="214" w:type="pct"/>
                  <w:tcBorders>
                    <w:tl2br w:val="nil"/>
                    <w:tr2bl w:val="nil"/>
                  </w:tcBorders>
                  <w:shd w:val="clear" w:color="auto" w:fill="FFFFFF"/>
                  <w:tcMar>
                    <w:top w:w="0" w:type="dxa"/>
                    <w:left w:w="0" w:type="dxa"/>
                    <w:bottom w:w="0" w:type="dxa"/>
                    <w:right w:w="0" w:type="dxa"/>
                  </w:tcMar>
                  <w:vAlign w:val="center"/>
                </w:tcPr>
                <w:p w14:paraId="6CCEBA3D">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109.7</w:t>
                  </w:r>
                </w:p>
              </w:tc>
              <w:tc>
                <w:tcPr>
                  <w:tcW w:w="169" w:type="pct"/>
                  <w:tcBorders>
                    <w:tl2br w:val="nil"/>
                    <w:tr2bl w:val="nil"/>
                  </w:tcBorders>
                  <w:shd w:val="clear" w:color="auto" w:fill="FFFFFF"/>
                  <w:tcMar>
                    <w:top w:w="0" w:type="dxa"/>
                    <w:left w:w="0" w:type="dxa"/>
                    <w:bottom w:w="0" w:type="dxa"/>
                    <w:right w:w="0" w:type="dxa"/>
                  </w:tcMar>
                  <w:vAlign w:val="center"/>
                </w:tcPr>
                <w:p w14:paraId="708E6505">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57.3</w:t>
                  </w:r>
                </w:p>
              </w:tc>
              <w:tc>
                <w:tcPr>
                  <w:tcW w:w="169" w:type="pct"/>
                  <w:tcBorders>
                    <w:tl2br w:val="nil"/>
                    <w:tr2bl w:val="nil"/>
                  </w:tcBorders>
                  <w:shd w:val="clear" w:color="auto" w:fill="FFFFFF"/>
                  <w:tcMar>
                    <w:top w:w="0" w:type="dxa"/>
                    <w:left w:w="0" w:type="dxa"/>
                    <w:bottom w:w="0" w:type="dxa"/>
                    <w:right w:w="0" w:type="dxa"/>
                  </w:tcMar>
                  <w:vAlign w:val="center"/>
                </w:tcPr>
                <w:p w14:paraId="43397FE1">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56.9</w:t>
                  </w:r>
                </w:p>
              </w:tc>
              <w:tc>
                <w:tcPr>
                  <w:tcW w:w="169" w:type="pct"/>
                  <w:tcBorders>
                    <w:tl2br w:val="nil"/>
                    <w:tr2bl w:val="nil"/>
                  </w:tcBorders>
                  <w:shd w:val="clear" w:color="auto" w:fill="FFFFFF"/>
                  <w:tcMar>
                    <w:top w:w="0" w:type="dxa"/>
                    <w:left w:w="0" w:type="dxa"/>
                    <w:bottom w:w="0" w:type="dxa"/>
                    <w:right w:w="0" w:type="dxa"/>
                  </w:tcMar>
                  <w:vAlign w:val="center"/>
                </w:tcPr>
                <w:p w14:paraId="036956B1">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56.8</w:t>
                  </w:r>
                </w:p>
              </w:tc>
              <w:tc>
                <w:tcPr>
                  <w:tcW w:w="169" w:type="pct"/>
                  <w:tcBorders>
                    <w:tl2br w:val="nil"/>
                    <w:tr2bl w:val="nil"/>
                  </w:tcBorders>
                  <w:shd w:val="clear" w:color="auto" w:fill="FFFFFF"/>
                  <w:tcMar>
                    <w:top w:w="0" w:type="dxa"/>
                    <w:left w:w="0" w:type="dxa"/>
                    <w:bottom w:w="0" w:type="dxa"/>
                    <w:right w:w="0" w:type="dxa"/>
                  </w:tcMar>
                  <w:vAlign w:val="center"/>
                </w:tcPr>
                <w:p w14:paraId="60E1AC24">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56.8</w:t>
                  </w:r>
                </w:p>
              </w:tc>
              <w:tc>
                <w:tcPr>
                  <w:tcW w:w="210" w:type="pct"/>
                  <w:tcBorders>
                    <w:tl2br w:val="nil"/>
                    <w:tr2bl w:val="nil"/>
                  </w:tcBorders>
                  <w:shd w:val="clear" w:color="auto" w:fill="FFFFFF"/>
                  <w:tcMar>
                    <w:top w:w="0" w:type="dxa"/>
                    <w:left w:w="0" w:type="dxa"/>
                    <w:bottom w:w="0" w:type="dxa"/>
                    <w:right w:w="0" w:type="dxa"/>
                  </w:tcMar>
                  <w:vAlign w:val="center"/>
                </w:tcPr>
                <w:p w14:paraId="6D596AC1">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24</w:t>
                  </w:r>
                </w:p>
              </w:tc>
              <w:tc>
                <w:tcPr>
                  <w:tcW w:w="169" w:type="pct"/>
                  <w:tcBorders>
                    <w:tl2br w:val="nil"/>
                    <w:tr2bl w:val="nil"/>
                  </w:tcBorders>
                  <w:shd w:val="clear" w:color="auto" w:fill="FFFFFF"/>
                  <w:tcMar>
                    <w:top w:w="0" w:type="dxa"/>
                    <w:left w:w="0" w:type="dxa"/>
                    <w:bottom w:w="0" w:type="dxa"/>
                    <w:right w:w="0" w:type="dxa"/>
                  </w:tcMar>
                  <w:vAlign w:val="center"/>
                </w:tcPr>
                <w:p w14:paraId="7BB4D870">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9" w:type="pct"/>
                  <w:tcBorders>
                    <w:tl2br w:val="nil"/>
                    <w:tr2bl w:val="nil"/>
                  </w:tcBorders>
                  <w:shd w:val="clear" w:color="auto" w:fill="FFFFFF"/>
                  <w:tcMar>
                    <w:top w:w="0" w:type="dxa"/>
                    <w:left w:w="0" w:type="dxa"/>
                    <w:bottom w:w="0" w:type="dxa"/>
                    <w:right w:w="0" w:type="dxa"/>
                  </w:tcMar>
                  <w:vAlign w:val="center"/>
                </w:tcPr>
                <w:p w14:paraId="11015625">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9" w:type="pct"/>
                  <w:tcBorders>
                    <w:tl2br w:val="nil"/>
                    <w:tr2bl w:val="nil"/>
                  </w:tcBorders>
                  <w:shd w:val="clear" w:color="auto" w:fill="FFFFFF"/>
                  <w:tcMar>
                    <w:top w:w="0" w:type="dxa"/>
                    <w:left w:w="0" w:type="dxa"/>
                    <w:bottom w:w="0" w:type="dxa"/>
                    <w:right w:w="0" w:type="dxa"/>
                  </w:tcMar>
                  <w:vAlign w:val="center"/>
                </w:tcPr>
                <w:p w14:paraId="2DE5C249">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9" w:type="pct"/>
                  <w:tcBorders>
                    <w:tl2br w:val="nil"/>
                    <w:tr2bl w:val="nil"/>
                  </w:tcBorders>
                  <w:shd w:val="clear" w:color="auto" w:fill="FFFFFF"/>
                  <w:tcMar>
                    <w:top w:w="0" w:type="dxa"/>
                    <w:left w:w="0" w:type="dxa"/>
                    <w:bottom w:w="0" w:type="dxa"/>
                    <w:right w:w="0" w:type="dxa"/>
                  </w:tcMar>
                  <w:vAlign w:val="center"/>
                </w:tcPr>
                <w:p w14:paraId="56027C0D">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8" w:type="pct"/>
                  <w:tcBorders>
                    <w:tl2br w:val="nil"/>
                    <w:tr2bl w:val="nil"/>
                  </w:tcBorders>
                  <w:shd w:val="clear" w:color="auto" w:fill="FFFFFF"/>
                  <w:tcMar>
                    <w:top w:w="0" w:type="dxa"/>
                    <w:left w:w="0" w:type="dxa"/>
                    <w:bottom w:w="0" w:type="dxa"/>
                    <w:right w:w="0" w:type="dxa"/>
                  </w:tcMar>
                  <w:vAlign w:val="center"/>
                </w:tcPr>
                <w:p w14:paraId="6336F2A2">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45.3</w:t>
                  </w:r>
                </w:p>
              </w:tc>
              <w:tc>
                <w:tcPr>
                  <w:tcW w:w="168" w:type="pct"/>
                  <w:tcBorders>
                    <w:tl2br w:val="nil"/>
                    <w:tr2bl w:val="nil"/>
                  </w:tcBorders>
                  <w:shd w:val="clear" w:color="auto" w:fill="FFFFFF"/>
                  <w:tcMar>
                    <w:top w:w="0" w:type="dxa"/>
                    <w:left w:w="0" w:type="dxa"/>
                    <w:bottom w:w="0" w:type="dxa"/>
                    <w:right w:w="0" w:type="dxa"/>
                  </w:tcMar>
                  <w:vAlign w:val="center"/>
                </w:tcPr>
                <w:p w14:paraId="0CE2F42E">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44.9</w:t>
                  </w:r>
                </w:p>
              </w:tc>
              <w:tc>
                <w:tcPr>
                  <w:tcW w:w="168" w:type="pct"/>
                  <w:tcBorders>
                    <w:tl2br w:val="nil"/>
                    <w:tr2bl w:val="nil"/>
                  </w:tcBorders>
                  <w:shd w:val="clear" w:color="auto" w:fill="FFFFFF"/>
                  <w:tcMar>
                    <w:top w:w="0" w:type="dxa"/>
                    <w:left w:w="0" w:type="dxa"/>
                    <w:bottom w:w="0" w:type="dxa"/>
                    <w:right w:w="0" w:type="dxa"/>
                  </w:tcMar>
                  <w:vAlign w:val="center"/>
                </w:tcPr>
                <w:p w14:paraId="204106E3">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44.8</w:t>
                  </w:r>
                </w:p>
              </w:tc>
              <w:tc>
                <w:tcPr>
                  <w:tcW w:w="168" w:type="pct"/>
                  <w:tcBorders>
                    <w:tl2br w:val="nil"/>
                    <w:tr2bl w:val="nil"/>
                  </w:tcBorders>
                  <w:shd w:val="clear" w:color="auto" w:fill="FFFFFF"/>
                  <w:tcMar>
                    <w:top w:w="0" w:type="dxa"/>
                    <w:left w:w="0" w:type="dxa"/>
                    <w:bottom w:w="0" w:type="dxa"/>
                    <w:right w:w="0" w:type="dxa"/>
                  </w:tcMar>
                  <w:vAlign w:val="center"/>
                </w:tcPr>
                <w:p w14:paraId="30C38CD4">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44.8</w:t>
                  </w:r>
                </w:p>
              </w:tc>
              <w:tc>
                <w:tcPr>
                  <w:tcW w:w="93" w:type="pct"/>
                  <w:tcBorders>
                    <w:tl2br w:val="nil"/>
                    <w:tr2bl w:val="nil"/>
                  </w:tcBorders>
                  <w:shd w:val="clear" w:color="auto" w:fill="FFFFFF"/>
                  <w:tcMar>
                    <w:top w:w="0" w:type="dxa"/>
                    <w:left w:w="0" w:type="dxa"/>
                    <w:bottom w:w="0" w:type="dxa"/>
                    <w:right w:w="0" w:type="dxa"/>
                  </w:tcMar>
                  <w:vAlign w:val="center"/>
                </w:tcPr>
                <w:p w14:paraId="69165111">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w:t>
                  </w:r>
                </w:p>
              </w:tc>
            </w:tr>
            <w:tr w14:paraId="17A0FD7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23" w:hRule="atLeast"/>
              </w:trPr>
              <w:tc>
                <w:tcPr>
                  <w:tcW w:w="210" w:type="pct"/>
                  <w:tcBorders>
                    <w:tl2br w:val="nil"/>
                    <w:tr2bl w:val="nil"/>
                  </w:tcBorders>
                  <w:shd w:val="clear" w:color="auto" w:fill="FFFFFF"/>
                  <w:tcMar>
                    <w:top w:w="0" w:type="dxa"/>
                    <w:left w:w="0" w:type="dxa"/>
                    <w:bottom w:w="0" w:type="dxa"/>
                    <w:right w:w="0" w:type="dxa"/>
                  </w:tcMar>
                  <w:vAlign w:val="center"/>
                </w:tcPr>
                <w:p w14:paraId="089A5216">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23</w:t>
                  </w:r>
                </w:p>
              </w:tc>
              <w:tc>
                <w:tcPr>
                  <w:tcW w:w="210" w:type="pct"/>
                  <w:tcBorders>
                    <w:tl2br w:val="nil"/>
                    <w:tr2bl w:val="nil"/>
                  </w:tcBorders>
                  <w:shd w:val="clear" w:color="auto" w:fill="FFFFFF"/>
                  <w:tcMar>
                    <w:top w:w="0" w:type="dxa"/>
                    <w:left w:w="0" w:type="dxa"/>
                    <w:bottom w:w="0" w:type="dxa"/>
                    <w:right w:w="0" w:type="dxa"/>
                  </w:tcMar>
                  <w:vAlign w:val="center"/>
                </w:tcPr>
                <w:p w14:paraId="64E85D77">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中创空天厂区-铝合金熔铸一厂</w:t>
                  </w:r>
                </w:p>
              </w:tc>
              <w:tc>
                <w:tcPr>
                  <w:tcW w:w="210" w:type="pct"/>
                  <w:tcBorders>
                    <w:tl2br w:val="nil"/>
                    <w:tr2bl w:val="nil"/>
                  </w:tcBorders>
                  <w:shd w:val="clear" w:color="auto" w:fill="FFFFFF"/>
                  <w:tcMar>
                    <w:top w:w="0" w:type="dxa"/>
                    <w:left w:w="0" w:type="dxa"/>
                    <w:bottom w:w="0" w:type="dxa"/>
                    <w:right w:w="0" w:type="dxa"/>
                  </w:tcMar>
                  <w:vAlign w:val="center"/>
                </w:tcPr>
                <w:p w14:paraId="2D911234">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激光打标机</w:t>
                  </w:r>
                </w:p>
              </w:tc>
              <w:tc>
                <w:tcPr>
                  <w:tcW w:w="210" w:type="pct"/>
                  <w:vMerge w:val="continue"/>
                  <w:tcBorders>
                    <w:tl2br w:val="nil"/>
                    <w:tr2bl w:val="nil"/>
                  </w:tcBorders>
                  <w:shd w:val="clear" w:color="auto" w:fill="FFFFFF"/>
                  <w:tcMar>
                    <w:top w:w="0" w:type="dxa"/>
                    <w:left w:w="0" w:type="dxa"/>
                    <w:bottom w:w="0" w:type="dxa"/>
                    <w:right w:w="0" w:type="dxa"/>
                  </w:tcMar>
                  <w:vAlign w:val="center"/>
                </w:tcPr>
                <w:p w14:paraId="3596DFE5">
                  <w:pPr>
                    <w:jc w:val="center"/>
                    <w:rPr>
                      <w:rFonts w:hint="default" w:ascii="Times New Roman" w:hAnsi="Times New Roman" w:eastAsia="宋体" w:cs="Times New Roman"/>
                      <w:color w:val="auto"/>
                      <w:u w:val="none" w:color="auto"/>
                    </w:rPr>
                  </w:pPr>
                </w:p>
              </w:tc>
              <w:tc>
                <w:tcPr>
                  <w:tcW w:w="281" w:type="pct"/>
                  <w:tcBorders>
                    <w:tl2br w:val="nil"/>
                    <w:tr2bl w:val="nil"/>
                  </w:tcBorders>
                  <w:shd w:val="clear" w:color="auto" w:fill="FFFFFF"/>
                  <w:tcMar>
                    <w:top w:w="0" w:type="dxa"/>
                    <w:left w:w="0" w:type="dxa"/>
                    <w:bottom w:w="0" w:type="dxa"/>
                    <w:right w:w="0" w:type="dxa"/>
                  </w:tcMar>
                  <w:vAlign w:val="center"/>
                </w:tcPr>
                <w:p w14:paraId="1BCA5D92">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77.5</w:t>
                  </w:r>
                </w:p>
              </w:tc>
              <w:tc>
                <w:tcPr>
                  <w:tcW w:w="210" w:type="pct"/>
                  <w:tcBorders>
                    <w:tl2br w:val="nil"/>
                    <w:tr2bl w:val="nil"/>
                  </w:tcBorders>
                  <w:shd w:val="clear" w:color="auto" w:fill="FFFFFF"/>
                  <w:tcMar>
                    <w:top w:w="0" w:type="dxa"/>
                    <w:left w:w="0" w:type="dxa"/>
                    <w:bottom w:w="0" w:type="dxa"/>
                    <w:right w:w="0" w:type="dxa"/>
                  </w:tcMar>
                  <w:vAlign w:val="center"/>
                </w:tcPr>
                <w:p w14:paraId="6CC1F183">
                  <w:pPr>
                    <w:jc w:val="center"/>
                    <w:rPr>
                      <w:rFonts w:hint="default" w:ascii="Times New Roman" w:hAnsi="Times New Roman" w:eastAsia="宋体" w:cs="Times New Roman"/>
                      <w:color w:val="auto"/>
                      <w:u w:val="none" w:color="auto"/>
                    </w:rPr>
                  </w:pPr>
                </w:p>
              </w:tc>
              <w:tc>
                <w:tcPr>
                  <w:tcW w:w="199" w:type="pct"/>
                  <w:tcBorders>
                    <w:tl2br w:val="nil"/>
                    <w:tr2bl w:val="nil"/>
                  </w:tcBorders>
                  <w:shd w:val="clear" w:color="auto" w:fill="FFFFFF"/>
                  <w:tcMar>
                    <w:top w:w="0" w:type="dxa"/>
                    <w:left w:w="0" w:type="dxa"/>
                    <w:bottom w:w="0" w:type="dxa"/>
                    <w:right w:w="0" w:type="dxa"/>
                  </w:tcMar>
                  <w:vAlign w:val="center"/>
                </w:tcPr>
                <w:p w14:paraId="330931BD">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-23.8</w:t>
                  </w:r>
                </w:p>
              </w:tc>
              <w:tc>
                <w:tcPr>
                  <w:tcW w:w="247" w:type="pct"/>
                  <w:tcBorders>
                    <w:tl2br w:val="nil"/>
                    <w:tr2bl w:val="nil"/>
                  </w:tcBorders>
                  <w:shd w:val="clear" w:color="auto" w:fill="FFFFFF"/>
                  <w:tcMar>
                    <w:top w:w="0" w:type="dxa"/>
                    <w:left w:w="0" w:type="dxa"/>
                    <w:bottom w:w="0" w:type="dxa"/>
                    <w:right w:w="0" w:type="dxa"/>
                  </w:tcMar>
                  <w:vAlign w:val="center"/>
                </w:tcPr>
                <w:p w14:paraId="5F8F56D2">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-113.8</w:t>
                  </w:r>
                </w:p>
              </w:tc>
              <w:tc>
                <w:tcPr>
                  <w:tcW w:w="124" w:type="pct"/>
                  <w:tcBorders>
                    <w:tl2br w:val="nil"/>
                    <w:tr2bl w:val="nil"/>
                  </w:tcBorders>
                  <w:shd w:val="clear" w:color="auto" w:fill="FFFFFF"/>
                  <w:tcMar>
                    <w:top w:w="0" w:type="dxa"/>
                    <w:left w:w="0" w:type="dxa"/>
                    <w:bottom w:w="0" w:type="dxa"/>
                    <w:right w:w="0" w:type="dxa"/>
                  </w:tcMar>
                  <w:vAlign w:val="center"/>
                </w:tcPr>
                <w:p w14:paraId="5CCC1D08">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w:t>
                  </w:r>
                </w:p>
              </w:tc>
              <w:tc>
                <w:tcPr>
                  <w:tcW w:w="168" w:type="pct"/>
                  <w:tcBorders>
                    <w:tl2br w:val="nil"/>
                    <w:tr2bl w:val="nil"/>
                  </w:tcBorders>
                  <w:shd w:val="clear" w:color="auto" w:fill="FFFFFF"/>
                  <w:tcMar>
                    <w:top w:w="0" w:type="dxa"/>
                    <w:left w:w="0" w:type="dxa"/>
                    <w:bottom w:w="0" w:type="dxa"/>
                    <w:right w:w="0" w:type="dxa"/>
                  </w:tcMar>
                  <w:vAlign w:val="center"/>
                </w:tcPr>
                <w:p w14:paraId="2AE4A0E5">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9.1</w:t>
                  </w:r>
                </w:p>
              </w:tc>
              <w:tc>
                <w:tcPr>
                  <w:tcW w:w="168" w:type="pct"/>
                  <w:tcBorders>
                    <w:tl2br w:val="nil"/>
                    <w:tr2bl w:val="nil"/>
                  </w:tcBorders>
                  <w:shd w:val="clear" w:color="auto" w:fill="FFFFFF"/>
                  <w:tcMar>
                    <w:top w:w="0" w:type="dxa"/>
                    <w:left w:w="0" w:type="dxa"/>
                    <w:bottom w:w="0" w:type="dxa"/>
                    <w:right w:w="0" w:type="dxa"/>
                  </w:tcMar>
                  <w:vAlign w:val="center"/>
                </w:tcPr>
                <w:p w14:paraId="79BB523D">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35.1</w:t>
                  </w:r>
                </w:p>
              </w:tc>
              <w:tc>
                <w:tcPr>
                  <w:tcW w:w="214" w:type="pct"/>
                  <w:tcBorders>
                    <w:tl2br w:val="nil"/>
                    <w:tr2bl w:val="nil"/>
                  </w:tcBorders>
                  <w:shd w:val="clear" w:color="auto" w:fill="FFFFFF"/>
                  <w:tcMar>
                    <w:top w:w="0" w:type="dxa"/>
                    <w:left w:w="0" w:type="dxa"/>
                    <w:bottom w:w="0" w:type="dxa"/>
                    <w:right w:w="0" w:type="dxa"/>
                  </w:tcMar>
                  <w:vAlign w:val="center"/>
                </w:tcPr>
                <w:p w14:paraId="2F7AB7C6">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115.9</w:t>
                  </w:r>
                </w:p>
              </w:tc>
              <w:tc>
                <w:tcPr>
                  <w:tcW w:w="214" w:type="pct"/>
                  <w:tcBorders>
                    <w:tl2br w:val="nil"/>
                    <w:tr2bl w:val="nil"/>
                  </w:tcBorders>
                  <w:shd w:val="clear" w:color="auto" w:fill="FFFFFF"/>
                  <w:tcMar>
                    <w:top w:w="0" w:type="dxa"/>
                    <w:left w:w="0" w:type="dxa"/>
                    <w:bottom w:w="0" w:type="dxa"/>
                    <w:right w:w="0" w:type="dxa"/>
                  </w:tcMar>
                  <w:vAlign w:val="center"/>
                </w:tcPr>
                <w:p w14:paraId="08C9646D">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102.2</w:t>
                  </w:r>
                </w:p>
              </w:tc>
              <w:tc>
                <w:tcPr>
                  <w:tcW w:w="169" w:type="pct"/>
                  <w:tcBorders>
                    <w:tl2br w:val="nil"/>
                    <w:tr2bl w:val="nil"/>
                  </w:tcBorders>
                  <w:shd w:val="clear" w:color="auto" w:fill="FFFFFF"/>
                  <w:tcMar>
                    <w:top w:w="0" w:type="dxa"/>
                    <w:left w:w="0" w:type="dxa"/>
                    <w:bottom w:w="0" w:type="dxa"/>
                    <w:right w:w="0" w:type="dxa"/>
                  </w:tcMar>
                  <w:vAlign w:val="center"/>
                </w:tcPr>
                <w:p w14:paraId="5C2497B3">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57.3</w:t>
                  </w:r>
                </w:p>
              </w:tc>
              <w:tc>
                <w:tcPr>
                  <w:tcW w:w="169" w:type="pct"/>
                  <w:tcBorders>
                    <w:tl2br w:val="nil"/>
                    <w:tr2bl w:val="nil"/>
                  </w:tcBorders>
                  <w:shd w:val="clear" w:color="auto" w:fill="FFFFFF"/>
                  <w:tcMar>
                    <w:top w:w="0" w:type="dxa"/>
                    <w:left w:w="0" w:type="dxa"/>
                    <w:bottom w:w="0" w:type="dxa"/>
                    <w:right w:w="0" w:type="dxa"/>
                  </w:tcMar>
                  <w:vAlign w:val="center"/>
                </w:tcPr>
                <w:p w14:paraId="28E83E89">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56.8</w:t>
                  </w:r>
                </w:p>
              </w:tc>
              <w:tc>
                <w:tcPr>
                  <w:tcW w:w="169" w:type="pct"/>
                  <w:tcBorders>
                    <w:tl2br w:val="nil"/>
                    <w:tr2bl w:val="nil"/>
                  </w:tcBorders>
                  <w:shd w:val="clear" w:color="auto" w:fill="FFFFFF"/>
                  <w:tcMar>
                    <w:top w:w="0" w:type="dxa"/>
                    <w:left w:w="0" w:type="dxa"/>
                    <w:bottom w:w="0" w:type="dxa"/>
                    <w:right w:w="0" w:type="dxa"/>
                  </w:tcMar>
                  <w:vAlign w:val="center"/>
                </w:tcPr>
                <w:p w14:paraId="20E938B9">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56.8</w:t>
                  </w:r>
                </w:p>
              </w:tc>
              <w:tc>
                <w:tcPr>
                  <w:tcW w:w="169" w:type="pct"/>
                  <w:tcBorders>
                    <w:tl2br w:val="nil"/>
                    <w:tr2bl w:val="nil"/>
                  </w:tcBorders>
                  <w:shd w:val="clear" w:color="auto" w:fill="FFFFFF"/>
                  <w:tcMar>
                    <w:top w:w="0" w:type="dxa"/>
                    <w:left w:w="0" w:type="dxa"/>
                    <w:bottom w:w="0" w:type="dxa"/>
                    <w:right w:w="0" w:type="dxa"/>
                  </w:tcMar>
                  <w:vAlign w:val="center"/>
                </w:tcPr>
                <w:p w14:paraId="412AEF9F">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56.8</w:t>
                  </w:r>
                </w:p>
              </w:tc>
              <w:tc>
                <w:tcPr>
                  <w:tcW w:w="210" w:type="pct"/>
                  <w:tcBorders>
                    <w:tl2br w:val="nil"/>
                    <w:tr2bl w:val="nil"/>
                  </w:tcBorders>
                  <w:shd w:val="clear" w:color="auto" w:fill="FFFFFF"/>
                  <w:tcMar>
                    <w:top w:w="0" w:type="dxa"/>
                    <w:left w:w="0" w:type="dxa"/>
                    <w:bottom w:w="0" w:type="dxa"/>
                    <w:right w:w="0" w:type="dxa"/>
                  </w:tcMar>
                  <w:vAlign w:val="center"/>
                </w:tcPr>
                <w:p w14:paraId="4B9E4CF0">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24</w:t>
                  </w:r>
                </w:p>
              </w:tc>
              <w:tc>
                <w:tcPr>
                  <w:tcW w:w="169" w:type="pct"/>
                  <w:tcBorders>
                    <w:tl2br w:val="nil"/>
                    <w:tr2bl w:val="nil"/>
                  </w:tcBorders>
                  <w:shd w:val="clear" w:color="auto" w:fill="FFFFFF"/>
                  <w:tcMar>
                    <w:top w:w="0" w:type="dxa"/>
                    <w:left w:w="0" w:type="dxa"/>
                    <w:bottom w:w="0" w:type="dxa"/>
                    <w:right w:w="0" w:type="dxa"/>
                  </w:tcMar>
                  <w:vAlign w:val="center"/>
                </w:tcPr>
                <w:p w14:paraId="786DAEFF">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9" w:type="pct"/>
                  <w:tcBorders>
                    <w:tl2br w:val="nil"/>
                    <w:tr2bl w:val="nil"/>
                  </w:tcBorders>
                  <w:shd w:val="clear" w:color="auto" w:fill="FFFFFF"/>
                  <w:tcMar>
                    <w:top w:w="0" w:type="dxa"/>
                    <w:left w:w="0" w:type="dxa"/>
                    <w:bottom w:w="0" w:type="dxa"/>
                    <w:right w:w="0" w:type="dxa"/>
                  </w:tcMar>
                  <w:vAlign w:val="center"/>
                </w:tcPr>
                <w:p w14:paraId="5B1417E3">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9" w:type="pct"/>
                  <w:tcBorders>
                    <w:tl2br w:val="nil"/>
                    <w:tr2bl w:val="nil"/>
                  </w:tcBorders>
                  <w:shd w:val="clear" w:color="auto" w:fill="FFFFFF"/>
                  <w:tcMar>
                    <w:top w:w="0" w:type="dxa"/>
                    <w:left w:w="0" w:type="dxa"/>
                    <w:bottom w:w="0" w:type="dxa"/>
                    <w:right w:w="0" w:type="dxa"/>
                  </w:tcMar>
                  <w:vAlign w:val="center"/>
                </w:tcPr>
                <w:p w14:paraId="6E919861">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9" w:type="pct"/>
                  <w:tcBorders>
                    <w:tl2br w:val="nil"/>
                    <w:tr2bl w:val="nil"/>
                  </w:tcBorders>
                  <w:shd w:val="clear" w:color="auto" w:fill="FFFFFF"/>
                  <w:tcMar>
                    <w:top w:w="0" w:type="dxa"/>
                    <w:left w:w="0" w:type="dxa"/>
                    <w:bottom w:w="0" w:type="dxa"/>
                    <w:right w:w="0" w:type="dxa"/>
                  </w:tcMar>
                  <w:vAlign w:val="center"/>
                </w:tcPr>
                <w:p w14:paraId="6752CED1">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8" w:type="pct"/>
                  <w:tcBorders>
                    <w:tl2br w:val="nil"/>
                    <w:tr2bl w:val="nil"/>
                  </w:tcBorders>
                  <w:shd w:val="clear" w:color="auto" w:fill="FFFFFF"/>
                  <w:tcMar>
                    <w:top w:w="0" w:type="dxa"/>
                    <w:left w:w="0" w:type="dxa"/>
                    <w:bottom w:w="0" w:type="dxa"/>
                    <w:right w:w="0" w:type="dxa"/>
                  </w:tcMar>
                  <w:vAlign w:val="center"/>
                </w:tcPr>
                <w:p w14:paraId="350EEFB8">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45.3</w:t>
                  </w:r>
                </w:p>
              </w:tc>
              <w:tc>
                <w:tcPr>
                  <w:tcW w:w="168" w:type="pct"/>
                  <w:tcBorders>
                    <w:tl2br w:val="nil"/>
                    <w:tr2bl w:val="nil"/>
                  </w:tcBorders>
                  <w:shd w:val="clear" w:color="auto" w:fill="FFFFFF"/>
                  <w:tcMar>
                    <w:top w:w="0" w:type="dxa"/>
                    <w:left w:w="0" w:type="dxa"/>
                    <w:bottom w:w="0" w:type="dxa"/>
                    <w:right w:w="0" w:type="dxa"/>
                  </w:tcMar>
                  <w:vAlign w:val="center"/>
                </w:tcPr>
                <w:p w14:paraId="093B7A0E">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44.8</w:t>
                  </w:r>
                </w:p>
              </w:tc>
              <w:tc>
                <w:tcPr>
                  <w:tcW w:w="168" w:type="pct"/>
                  <w:tcBorders>
                    <w:tl2br w:val="nil"/>
                    <w:tr2bl w:val="nil"/>
                  </w:tcBorders>
                  <w:shd w:val="clear" w:color="auto" w:fill="FFFFFF"/>
                  <w:tcMar>
                    <w:top w:w="0" w:type="dxa"/>
                    <w:left w:w="0" w:type="dxa"/>
                    <w:bottom w:w="0" w:type="dxa"/>
                    <w:right w:w="0" w:type="dxa"/>
                  </w:tcMar>
                  <w:vAlign w:val="center"/>
                </w:tcPr>
                <w:p w14:paraId="0F1734B3">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44.8</w:t>
                  </w:r>
                </w:p>
              </w:tc>
              <w:tc>
                <w:tcPr>
                  <w:tcW w:w="168" w:type="pct"/>
                  <w:tcBorders>
                    <w:tl2br w:val="nil"/>
                    <w:tr2bl w:val="nil"/>
                  </w:tcBorders>
                  <w:shd w:val="clear" w:color="auto" w:fill="FFFFFF"/>
                  <w:tcMar>
                    <w:top w:w="0" w:type="dxa"/>
                    <w:left w:w="0" w:type="dxa"/>
                    <w:bottom w:w="0" w:type="dxa"/>
                    <w:right w:w="0" w:type="dxa"/>
                  </w:tcMar>
                  <w:vAlign w:val="center"/>
                </w:tcPr>
                <w:p w14:paraId="071A7578">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44.8</w:t>
                  </w:r>
                </w:p>
              </w:tc>
              <w:tc>
                <w:tcPr>
                  <w:tcW w:w="93" w:type="pct"/>
                  <w:tcBorders>
                    <w:tl2br w:val="nil"/>
                    <w:tr2bl w:val="nil"/>
                  </w:tcBorders>
                  <w:shd w:val="clear" w:color="auto" w:fill="FFFFFF"/>
                  <w:tcMar>
                    <w:top w:w="0" w:type="dxa"/>
                    <w:left w:w="0" w:type="dxa"/>
                    <w:bottom w:w="0" w:type="dxa"/>
                    <w:right w:w="0" w:type="dxa"/>
                  </w:tcMar>
                  <w:vAlign w:val="center"/>
                </w:tcPr>
                <w:p w14:paraId="494A4FED">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w:t>
                  </w:r>
                </w:p>
              </w:tc>
            </w:tr>
            <w:tr w14:paraId="5A74823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23" w:hRule="atLeast"/>
              </w:trPr>
              <w:tc>
                <w:tcPr>
                  <w:tcW w:w="210" w:type="pct"/>
                  <w:tcBorders>
                    <w:tl2br w:val="nil"/>
                    <w:tr2bl w:val="nil"/>
                  </w:tcBorders>
                  <w:shd w:val="clear" w:color="auto" w:fill="FFFFFF"/>
                  <w:tcMar>
                    <w:top w:w="0" w:type="dxa"/>
                    <w:left w:w="0" w:type="dxa"/>
                    <w:bottom w:w="0" w:type="dxa"/>
                    <w:right w:w="0" w:type="dxa"/>
                  </w:tcMar>
                  <w:vAlign w:val="center"/>
                </w:tcPr>
                <w:p w14:paraId="24445392">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24</w:t>
                  </w:r>
                </w:p>
              </w:tc>
              <w:tc>
                <w:tcPr>
                  <w:tcW w:w="210" w:type="pct"/>
                  <w:tcBorders>
                    <w:tl2br w:val="nil"/>
                    <w:tr2bl w:val="nil"/>
                  </w:tcBorders>
                  <w:shd w:val="clear" w:color="auto" w:fill="FFFFFF"/>
                  <w:tcMar>
                    <w:top w:w="0" w:type="dxa"/>
                    <w:left w:w="0" w:type="dxa"/>
                    <w:bottom w:w="0" w:type="dxa"/>
                    <w:right w:w="0" w:type="dxa"/>
                  </w:tcMar>
                  <w:vAlign w:val="center"/>
                </w:tcPr>
                <w:p w14:paraId="1AFCEC95">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中创空天厂区-铝合金熔铸一厂</w:t>
                  </w:r>
                </w:p>
              </w:tc>
              <w:tc>
                <w:tcPr>
                  <w:tcW w:w="210" w:type="pct"/>
                  <w:tcBorders>
                    <w:tl2br w:val="nil"/>
                    <w:tr2bl w:val="nil"/>
                  </w:tcBorders>
                  <w:shd w:val="clear" w:color="auto" w:fill="FFFFFF"/>
                  <w:tcMar>
                    <w:top w:w="0" w:type="dxa"/>
                    <w:left w:w="0" w:type="dxa"/>
                    <w:bottom w:w="0" w:type="dxa"/>
                    <w:right w:w="0" w:type="dxa"/>
                  </w:tcMar>
                  <w:vAlign w:val="center"/>
                </w:tcPr>
                <w:p w14:paraId="39D5D721">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碰渣包、去料柄装置</w:t>
                  </w:r>
                </w:p>
              </w:tc>
              <w:tc>
                <w:tcPr>
                  <w:tcW w:w="210" w:type="pct"/>
                  <w:vMerge w:val="continue"/>
                  <w:tcBorders>
                    <w:tl2br w:val="nil"/>
                    <w:tr2bl w:val="nil"/>
                  </w:tcBorders>
                  <w:shd w:val="clear" w:color="auto" w:fill="FFFFFF"/>
                  <w:tcMar>
                    <w:top w:w="0" w:type="dxa"/>
                    <w:left w:w="0" w:type="dxa"/>
                    <w:bottom w:w="0" w:type="dxa"/>
                    <w:right w:w="0" w:type="dxa"/>
                  </w:tcMar>
                  <w:vAlign w:val="center"/>
                </w:tcPr>
                <w:p w14:paraId="68735218">
                  <w:pPr>
                    <w:jc w:val="center"/>
                    <w:rPr>
                      <w:rFonts w:hint="default" w:ascii="Times New Roman" w:hAnsi="Times New Roman" w:eastAsia="宋体" w:cs="Times New Roman"/>
                      <w:color w:val="auto"/>
                      <w:u w:val="none" w:color="auto"/>
                    </w:rPr>
                  </w:pPr>
                </w:p>
              </w:tc>
              <w:tc>
                <w:tcPr>
                  <w:tcW w:w="281" w:type="pct"/>
                  <w:tcBorders>
                    <w:tl2br w:val="nil"/>
                    <w:tr2bl w:val="nil"/>
                  </w:tcBorders>
                  <w:shd w:val="clear" w:color="auto" w:fill="FFFFFF"/>
                  <w:tcMar>
                    <w:top w:w="0" w:type="dxa"/>
                    <w:left w:w="0" w:type="dxa"/>
                    <w:bottom w:w="0" w:type="dxa"/>
                    <w:right w:w="0" w:type="dxa"/>
                  </w:tcMar>
                  <w:vAlign w:val="center"/>
                </w:tcPr>
                <w:p w14:paraId="706FC28F">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82.5</w:t>
                  </w:r>
                </w:p>
              </w:tc>
              <w:tc>
                <w:tcPr>
                  <w:tcW w:w="210" w:type="pct"/>
                  <w:tcBorders>
                    <w:tl2br w:val="nil"/>
                    <w:tr2bl w:val="nil"/>
                  </w:tcBorders>
                  <w:shd w:val="clear" w:color="auto" w:fill="FFFFFF"/>
                  <w:tcMar>
                    <w:top w:w="0" w:type="dxa"/>
                    <w:left w:w="0" w:type="dxa"/>
                    <w:bottom w:w="0" w:type="dxa"/>
                    <w:right w:w="0" w:type="dxa"/>
                  </w:tcMar>
                  <w:vAlign w:val="center"/>
                </w:tcPr>
                <w:p w14:paraId="2E3102E1">
                  <w:pPr>
                    <w:jc w:val="center"/>
                    <w:rPr>
                      <w:rFonts w:hint="default" w:ascii="Times New Roman" w:hAnsi="Times New Roman" w:eastAsia="宋体" w:cs="Times New Roman"/>
                      <w:color w:val="auto"/>
                      <w:u w:val="none" w:color="auto"/>
                    </w:rPr>
                  </w:pPr>
                </w:p>
              </w:tc>
              <w:tc>
                <w:tcPr>
                  <w:tcW w:w="199" w:type="pct"/>
                  <w:tcBorders>
                    <w:tl2br w:val="nil"/>
                    <w:tr2bl w:val="nil"/>
                  </w:tcBorders>
                  <w:shd w:val="clear" w:color="auto" w:fill="FFFFFF"/>
                  <w:tcMar>
                    <w:top w:w="0" w:type="dxa"/>
                    <w:left w:w="0" w:type="dxa"/>
                    <w:bottom w:w="0" w:type="dxa"/>
                    <w:right w:w="0" w:type="dxa"/>
                  </w:tcMar>
                  <w:vAlign w:val="center"/>
                </w:tcPr>
                <w:p w14:paraId="44FBF7B1">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-50.8</w:t>
                  </w:r>
                </w:p>
              </w:tc>
              <w:tc>
                <w:tcPr>
                  <w:tcW w:w="247" w:type="pct"/>
                  <w:tcBorders>
                    <w:tl2br w:val="nil"/>
                    <w:tr2bl w:val="nil"/>
                  </w:tcBorders>
                  <w:shd w:val="clear" w:color="auto" w:fill="FFFFFF"/>
                  <w:tcMar>
                    <w:top w:w="0" w:type="dxa"/>
                    <w:left w:w="0" w:type="dxa"/>
                    <w:bottom w:w="0" w:type="dxa"/>
                    <w:right w:w="0" w:type="dxa"/>
                  </w:tcMar>
                  <w:vAlign w:val="center"/>
                </w:tcPr>
                <w:p w14:paraId="3F20565A">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-115.1</w:t>
                  </w:r>
                </w:p>
              </w:tc>
              <w:tc>
                <w:tcPr>
                  <w:tcW w:w="124" w:type="pct"/>
                  <w:tcBorders>
                    <w:tl2br w:val="nil"/>
                    <w:tr2bl w:val="nil"/>
                  </w:tcBorders>
                  <w:shd w:val="clear" w:color="auto" w:fill="FFFFFF"/>
                  <w:tcMar>
                    <w:top w:w="0" w:type="dxa"/>
                    <w:left w:w="0" w:type="dxa"/>
                    <w:bottom w:w="0" w:type="dxa"/>
                    <w:right w:w="0" w:type="dxa"/>
                  </w:tcMar>
                  <w:vAlign w:val="center"/>
                </w:tcPr>
                <w:p w14:paraId="5ED42B03">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w:t>
                  </w:r>
                </w:p>
              </w:tc>
              <w:tc>
                <w:tcPr>
                  <w:tcW w:w="168" w:type="pct"/>
                  <w:tcBorders>
                    <w:tl2br w:val="nil"/>
                    <w:tr2bl w:val="nil"/>
                  </w:tcBorders>
                  <w:shd w:val="clear" w:color="auto" w:fill="FFFFFF"/>
                  <w:tcMar>
                    <w:top w:w="0" w:type="dxa"/>
                    <w:left w:w="0" w:type="dxa"/>
                    <w:bottom w:w="0" w:type="dxa"/>
                    <w:right w:w="0" w:type="dxa"/>
                  </w:tcMar>
                  <w:vAlign w:val="center"/>
                </w:tcPr>
                <w:p w14:paraId="4C001089">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30.6</w:t>
                  </w:r>
                </w:p>
              </w:tc>
              <w:tc>
                <w:tcPr>
                  <w:tcW w:w="168" w:type="pct"/>
                  <w:tcBorders>
                    <w:tl2br w:val="nil"/>
                    <w:tr2bl w:val="nil"/>
                  </w:tcBorders>
                  <w:shd w:val="clear" w:color="auto" w:fill="FFFFFF"/>
                  <w:tcMar>
                    <w:top w:w="0" w:type="dxa"/>
                    <w:left w:w="0" w:type="dxa"/>
                    <w:bottom w:w="0" w:type="dxa"/>
                    <w:right w:w="0" w:type="dxa"/>
                  </w:tcMar>
                  <w:vAlign w:val="center"/>
                </w:tcPr>
                <w:p w14:paraId="20BF48F9">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18.8</w:t>
                  </w:r>
                </w:p>
              </w:tc>
              <w:tc>
                <w:tcPr>
                  <w:tcW w:w="214" w:type="pct"/>
                  <w:tcBorders>
                    <w:tl2br w:val="nil"/>
                    <w:tr2bl w:val="nil"/>
                  </w:tcBorders>
                  <w:shd w:val="clear" w:color="auto" w:fill="FFFFFF"/>
                  <w:tcMar>
                    <w:top w:w="0" w:type="dxa"/>
                    <w:left w:w="0" w:type="dxa"/>
                    <w:bottom w:w="0" w:type="dxa"/>
                    <w:right w:w="0" w:type="dxa"/>
                  </w:tcMar>
                  <w:vAlign w:val="center"/>
                </w:tcPr>
                <w:p w14:paraId="6C349071">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94.5</w:t>
                  </w:r>
                </w:p>
              </w:tc>
              <w:tc>
                <w:tcPr>
                  <w:tcW w:w="214" w:type="pct"/>
                  <w:tcBorders>
                    <w:tl2br w:val="nil"/>
                    <w:tr2bl w:val="nil"/>
                  </w:tcBorders>
                  <w:shd w:val="clear" w:color="auto" w:fill="FFFFFF"/>
                  <w:tcMar>
                    <w:top w:w="0" w:type="dxa"/>
                    <w:left w:w="0" w:type="dxa"/>
                    <w:bottom w:w="0" w:type="dxa"/>
                    <w:right w:w="0" w:type="dxa"/>
                  </w:tcMar>
                  <w:vAlign w:val="center"/>
                </w:tcPr>
                <w:p w14:paraId="14D59FDE">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118.6</w:t>
                  </w:r>
                </w:p>
              </w:tc>
              <w:tc>
                <w:tcPr>
                  <w:tcW w:w="169" w:type="pct"/>
                  <w:tcBorders>
                    <w:tl2br w:val="nil"/>
                    <w:tr2bl w:val="nil"/>
                  </w:tcBorders>
                  <w:shd w:val="clear" w:color="auto" w:fill="FFFFFF"/>
                  <w:tcMar>
                    <w:top w:w="0" w:type="dxa"/>
                    <w:left w:w="0" w:type="dxa"/>
                    <w:bottom w:w="0" w:type="dxa"/>
                    <w:right w:w="0" w:type="dxa"/>
                  </w:tcMar>
                  <w:vAlign w:val="center"/>
                </w:tcPr>
                <w:p w14:paraId="1140F543">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61.9</w:t>
                  </w:r>
                </w:p>
              </w:tc>
              <w:tc>
                <w:tcPr>
                  <w:tcW w:w="169" w:type="pct"/>
                  <w:tcBorders>
                    <w:tl2br w:val="nil"/>
                    <w:tr2bl w:val="nil"/>
                  </w:tcBorders>
                  <w:shd w:val="clear" w:color="auto" w:fill="FFFFFF"/>
                  <w:tcMar>
                    <w:top w:w="0" w:type="dxa"/>
                    <w:left w:w="0" w:type="dxa"/>
                    <w:bottom w:w="0" w:type="dxa"/>
                    <w:right w:w="0" w:type="dxa"/>
                  </w:tcMar>
                  <w:vAlign w:val="center"/>
                </w:tcPr>
                <w:p w14:paraId="33832074">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61.9</w:t>
                  </w:r>
                </w:p>
              </w:tc>
              <w:tc>
                <w:tcPr>
                  <w:tcW w:w="169" w:type="pct"/>
                  <w:tcBorders>
                    <w:tl2br w:val="nil"/>
                    <w:tr2bl w:val="nil"/>
                  </w:tcBorders>
                  <w:shd w:val="clear" w:color="auto" w:fill="FFFFFF"/>
                  <w:tcMar>
                    <w:top w:w="0" w:type="dxa"/>
                    <w:left w:w="0" w:type="dxa"/>
                    <w:bottom w:w="0" w:type="dxa"/>
                    <w:right w:w="0" w:type="dxa"/>
                  </w:tcMar>
                  <w:vAlign w:val="center"/>
                </w:tcPr>
                <w:p w14:paraId="380E9944">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61.8</w:t>
                  </w:r>
                </w:p>
              </w:tc>
              <w:tc>
                <w:tcPr>
                  <w:tcW w:w="169" w:type="pct"/>
                  <w:tcBorders>
                    <w:tl2br w:val="nil"/>
                    <w:tr2bl w:val="nil"/>
                  </w:tcBorders>
                  <w:shd w:val="clear" w:color="auto" w:fill="FFFFFF"/>
                  <w:tcMar>
                    <w:top w:w="0" w:type="dxa"/>
                    <w:left w:w="0" w:type="dxa"/>
                    <w:bottom w:w="0" w:type="dxa"/>
                    <w:right w:w="0" w:type="dxa"/>
                  </w:tcMar>
                  <w:vAlign w:val="center"/>
                </w:tcPr>
                <w:p w14:paraId="22D93B2F">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61.8</w:t>
                  </w:r>
                </w:p>
              </w:tc>
              <w:tc>
                <w:tcPr>
                  <w:tcW w:w="210" w:type="pct"/>
                  <w:tcBorders>
                    <w:tl2br w:val="nil"/>
                    <w:tr2bl w:val="nil"/>
                  </w:tcBorders>
                  <w:shd w:val="clear" w:color="auto" w:fill="FFFFFF"/>
                  <w:tcMar>
                    <w:top w:w="0" w:type="dxa"/>
                    <w:left w:w="0" w:type="dxa"/>
                    <w:bottom w:w="0" w:type="dxa"/>
                    <w:right w:w="0" w:type="dxa"/>
                  </w:tcMar>
                  <w:vAlign w:val="center"/>
                </w:tcPr>
                <w:p w14:paraId="052D6C8D">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24</w:t>
                  </w:r>
                </w:p>
              </w:tc>
              <w:tc>
                <w:tcPr>
                  <w:tcW w:w="169" w:type="pct"/>
                  <w:tcBorders>
                    <w:tl2br w:val="nil"/>
                    <w:tr2bl w:val="nil"/>
                  </w:tcBorders>
                  <w:shd w:val="clear" w:color="auto" w:fill="FFFFFF"/>
                  <w:tcMar>
                    <w:top w:w="0" w:type="dxa"/>
                    <w:left w:w="0" w:type="dxa"/>
                    <w:bottom w:w="0" w:type="dxa"/>
                    <w:right w:w="0" w:type="dxa"/>
                  </w:tcMar>
                  <w:vAlign w:val="center"/>
                </w:tcPr>
                <w:p w14:paraId="2DC3EDB7">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9" w:type="pct"/>
                  <w:tcBorders>
                    <w:tl2br w:val="nil"/>
                    <w:tr2bl w:val="nil"/>
                  </w:tcBorders>
                  <w:shd w:val="clear" w:color="auto" w:fill="FFFFFF"/>
                  <w:tcMar>
                    <w:top w:w="0" w:type="dxa"/>
                    <w:left w:w="0" w:type="dxa"/>
                    <w:bottom w:w="0" w:type="dxa"/>
                    <w:right w:w="0" w:type="dxa"/>
                  </w:tcMar>
                  <w:vAlign w:val="center"/>
                </w:tcPr>
                <w:p w14:paraId="58466084">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9" w:type="pct"/>
                  <w:tcBorders>
                    <w:tl2br w:val="nil"/>
                    <w:tr2bl w:val="nil"/>
                  </w:tcBorders>
                  <w:shd w:val="clear" w:color="auto" w:fill="FFFFFF"/>
                  <w:tcMar>
                    <w:top w:w="0" w:type="dxa"/>
                    <w:left w:w="0" w:type="dxa"/>
                    <w:bottom w:w="0" w:type="dxa"/>
                    <w:right w:w="0" w:type="dxa"/>
                  </w:tcMar>
                  <w:vAlign w:val="center"/>
                </w:tcPr>
                <w:p w14:paraId="53ED9676">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9" w:type="pct"/>
                  <w:tcBorders>
                    <w:tl2br w:val="nil"/>
                    <w:tr2bl w:val="nil"/>
                  </w:tcBorders>
                  <w:shd w:val="clear" w:color="auto" w:fill="FFFFFF"/>
                  <w:tcMar>
                    <w:top w:w="0" w:type="dxa"/>
                    <w:left w:w="0" w:type="dxa"/>
                    <w:bottom w:w="0" w:type="dxa"/>
                    <w:right w:w="0" w:type="dxa"/>
                  </w:tcMar>
                  <w:vAlign w:val="center"/>
                </w:tcPr>
                <w:p w14:paraId="73B2CEC6">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8" w:type="pct"/>
                  <w:tcBorders>
                    <w:tl2br w:val="nil"/>
                    <w:tr2bl w:val="nil"/>
                  </w:tcBorders>
                  <w:shd w:val="clear" w:color="auto" w:fill="FFFFFF"/>
                  <w:tcMar>
                    <w:top w:w="0" w:type="dxa"/>
                    <w:left w:w="0" w:type="dxa"/>
                    <w:bottom w:w="0" w:type="dxa"/>
                    <w:right w:w="0" w:type="dxa"/>
                  </w:tcMar>
                  <w:vAlign w:val="center"/>
                </w:tcPr>
                <w:p w14:paraId="127398F7">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49.9</w:t>
                  </w:r>
                </w:p>
              </w:tc>
              <w:tc>
                <w:tcPr>
                  <w:tcW w:w="168" w:type="pct"/>
                  <w:tcBorders>
                    <w:tl2br w:val="nil"/>
                    <w:tr2bl w:val="nil"/>
                  </w:tcBorders>
                  <w:shd w:val="clear" w:color="auto" w:fill="FFFFFF"/>
                  <w:tcMar>
                    <w:top w:w="0" w:type="dxa"/>
                    <w:left w:w="0" w:type="dxa"/>
                    <w:bottom w:w="0" w:type="dxa"/>
                    <w:right w:w="0" w:type="dxa"/>
                  </w:tcMar>
                  <w:vAlign w:val="center"/>
                </w:tcPr>
                <w:p w14:paraId="6412ABB2">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49.9</w:t>
                  </w:r>
                </w:p>
              </w:tc>
              <w:tc>
                <w:tcPr>
                  <w:tcW w:w="168" w:type="pct"/>
                  <w:tcBorders>
                    <w:tl2br w:val="nil"/>
                    <w:tr2bl w:val="nil"/>
                  </w:tcBorders>
                  <w:shd w:val="clear" w:color="auto" w:fill="FFFFFF"/>
                  <w:tcMar>
                    <w:top w:w="0" w:type="dxa"/>
                    <w:left w:w="0" w:type="dxa"/>
                    <w:bottom w:w="0" w:type="dxa"/>
                    <w:right w:w="0" w:type="dxa"/>
                  </w:tcMar>
                  <w:vAlign w:val="center"/>
                </w:tcPr>
                <w:p w14:paraId="40620AD7">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49.8</w:t>
                  </w:r>
                </w:p>
              </w:tc>
              <w:tc>
                <w:tcPr>
                  <w:tcW w:w="168" w:type="pct"/>
                  <w:tcBorders>
                    <w:tl2br w:val="nil"/>
                    <w:tr2bl w:val="nil"/>
                  </w:tcBorders>
                  <w:shd w:val="clear" w:color="auto" w:fill="FFFFFF"/>
                  <w:tcMar>
                    <w:top w:w="0" w:type="dxa"/>
                    <w:left w:w="0" w:type="dxa"/>
                    <w:bottom w:w="0" w:type="dxa"/>
                    <w:right w:w="0" w:type="dxa"/>
                  </w:tcMar>
                  <w:vAlign w:val="center"/>
                </w:tcPr>
                <w:p w14:paraId="3ECD5A4C">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49.8</w:t>
                  </w:r>
                </w:p>
              </w:tc>
              <w:tc>
                <w:tcPr>
                  <w:tcW w:w="93" w:type="pct"/>
                  <w:tcBorders>
                    <w:tl2br w:val="nil"/>
                    <w:tr2bl w:val="nil"/>
                  </w:tcBorders>
                  <w:shd w:val="clear" w:color="auto" w:fill="FFFFFF"/>
                  <w:tcMar>
                    <w:top w:w="0" w:type="dxa"/>
                    <w:left w:w="0" w:type="dxa"/>
                    <w:bottom w:w="0" w:type="dxa"/>
                    <w:right w:w="0" w:type="dxa"/>
                  </w:tcMar>
                  <w:vAlign w:val="center"/>
                </w:tcPr>
                <w:p w14:paraId="59A49FE9">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w:t>
                  </w:r>
                </w:p>
              </w:tc>
            </w:tr>
            <w:tr w14:paraId="0DA71E4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23" w:hRule="atLeast"/>
              </w:trPr>
              <w:tc>
                <w:tcPr>
                  <w:tcW w:w="210" w:type="pct"/>
                  <w:tcBorders>
                    <w:tl2br w:val="nil"/>
                    <w:tr2bl w:val="nil"/>
                  </w:tcBorders>
                  <w:shd w:val="clear" w:color="auto" w:fill="FFFFFF"/>
                  <w:tcMar>
                    <w:top w:w="0" w:type="dxa"/>
                    <w:left w:w="0" w:type="dxa"/>
                    <w:bottom w:w="0" w:type="dxa"/>
                    <w:right w:w="0" w:type="dxa"/>
                  </w:tcMar>
                  <w:vAlign w:val="center"/>
                </w:tcPr>
                <w:p w14:paraId="003D0ADC">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25</w:t>
                  </w:r>
                </w:p>
              </w:tc>
              <w:tc>
                <w:tcPr>
                  <w:tcW w:w="210" w:type="pct"/>
                  <w:tcBorders>
                    <w:tl2br w:val="nil"/>
                    <w:tr2bl w:val="nil"/>
                  </w:tcBorders>
                  <w:shd w:val="clear" w:color="auto" w:fill="FFFFFF"/>
                  <w:tcMar>
                    <w:top w:w="0" w:type="dxa"/>
                    <w:left w:w="0" w:type="dxa"/>
                    <w:bottom w:w="0" w:type="dxa"/>
                    <w:right w:w="0" w:type="dxa"/>
                  </w:tcMar>
                  <w:vAlign w:val="center"/>
                </w:tcPr>
                <w:p w14:paraId="409B521C">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中创空天厂区-铝合金熔铸一厂</w:t>
                  </w:r>
                </w:p>
              </w:tc>
              <w:tc>
                <w:tcPr>
                  <w:tcW w:w="210" w:type="pct"/>
                  <w:tcBorders>
                    <w:tl2br w:val="nil"/>
                    <w:tr2bl w:val="nil"/>
                  </w:tcBorders>
                  <w:shd w:val="clear" w:color="auto" w:fill="FFFFFF"/>
                  <w:tcMar>
                    <w:top w:w="0" w:type="dxa"/>
                    <w:left w:w="0" w:type="dxa"/>
                    <w:bottom w:w="0" w:type="dxa"/>
                    <w:right w:w="0" w:type="dxa"/>
                  </w:tcMar>
                  <w:vAlign w:val="center"/>
                </w:tcPr>
                <w:p w14:paraId="502FB1EE">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碰渣包、去料柄装置</w:t>
                  </w:r>
                </w:p>
              </w:tc>
              <w:tc>
                <w:tcPr>
                  <w:tcW w:w="210" w:type="pct"/>
                  <w:vMerge w:val="continue"/>
                  <w:tcBorders>
                    <w:tl2br w:val="nil"/>
                    <w:tr2bl w:val="nil"/>
                  </w:tcBorders>
                  <w:shd w:val="clear" w:color="auto" w:fill="FFFFFF"/>
                  <w:tcMar>
                    <w:top w:w="0" w:type="dxa"/>
                    <w:left w:w="0" w:type="dxa"/>
                    <w:bottom w:w="0" w:type="dxa"/>
                    <w:right w:w="0" w:type="dxa"/>
                  </w:tcMar>
                  <w:vAlign w:val="center"/>
                </w:tcPr>
                <w:p w14:paraId="0858B49F">
                  <w:pPr>
                    <w:jc w:val="center"/>
                    <w:rPr>
                      <w:rFonts w:hint="default" w:ascii="Times New Roman" w:hAnsi="Times New Roman" w:eastAsia="宋体" w:cs="Times New Roman"/>
                      <w:color w:val="auto"/>
                      <w:u w:val="none" w:color="auto"/>
                    </w:rPr>
                  </w:pPr>
                </w:p>
              </w:tc>
              <w:tc>
                <w:tcPr>
                  <w:tcW w:w="281" w:type="pct"/>
                  <w:tcBorders>
                    <w:tl2br w:val="nil"/>
                    <w:tr2bl w:val="nil"/>
                  </w:tcBorders>
                  <w:shd w:val="clear" w:color="auto" w:fill="FFFFFF"/>
                  <w:tcMar>
                    <w:top w:w="0" w:type="dxa"/>
                    <w:left w:w="0" w:type="dxa"/>
                    <w:bottom w:w="0" w:type="dxa"/>
                    <w:right w:w="0" w:type="dxa"/>
                  </w:tcMar>
                  <w:vAlign w:val="center"/>
                </w:tcPr>
                <w:p w14:paraId="7DE68523">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82.5</w:t>
                  </w:r>
                </w:p>
              </w:tc>
              <w:tc>
                <w:tcPr>
                  <w:tcW w:w="210" w:type="pct"/>
                  <w:tcBorders>
                    <w:tl2br w:val="nil"/>
                    <w:tr2bl w:val="nil"/>
                  </w:tcBorders>
                  <w:shd w:val="clear" w:color="auto" w:fill="FFFFFF"/>
                  <w:tcMar>
                    <w:top w:w="0" w:type="dxa"/>
                    <w:left w:w="0" w:type="dxa"/>
                    <w:bottom w:w="0" w:type="dxa"/>
                    <w:right w:w="0" w:type="dxa"/>
                  </w:tcMar>
                  <w:vAlign w:val="center"/>
                </w:tcPr>
                <w:p w14:paraId="33993516">
                  <w:pPr>
                    <w:jc w:val="center"/>
                    <w:rPr>
                      <w:rFonts w:hint="default" w:ascii="Times New Roman" w:hAnsi="Times New Roman" w:eastAsia="宋体" w:cs="Times New Roman"/>
                      <w:color w:val="auto"/>
                      <w:u w:val="none" w:color="auto"/>
                    </w:rPr>
                  </w:pPr>
                </w:p>
              </w:tc>
              <w:tc>
                <w:tcPr>
                  <w:tcW w:w="199" w:type="pct"/>
                  <w:tcBorders>
                    <w:tl2br w:val="nil"/>
                    <w:tr2bl w:val="nil"/>
                  </w:tcBorders>
                  <w:shd w:val="clear" w:color="auto" w:fill="FFFFFF"/>
                  <w:tcMar>
                    <w:top w:w="0" w:type="dxa"/>
                    <w:left w:w="0" w:type="dxa"/>
                    <w:bottom w:w="0" w:type="dxa"/>
                    <w:right w:w="0" w:type="dxa"/>
                  </w:tcMar>
                  <w:vAlign w:val="center"/>
                </w:tcPr>
                <w:p w14:paraId="46366DC4">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-48</w:t>
                  </w:r>
                </w:p>
              </w:tc>
              <w:tc>
                <w:tcPr>
                  <w:tcW w:w="247" w:type="pct"/>
                  <w:tcBorders>
                    <w:tl2br w:val="nil"/>
                    <w:tr2bl w:val="nil"/>
                  </w:tcBorders>
                  <w:shd w:val="clear" w:color="auto" w:fill="FFFFFF"/>
                  <w:tcMar>
                    <w:top w:w="0" w:type="dxa"/>
                    <w:left w:w="0" w:type="dxa"/>
                    <w:bottom w:w="0" w:type="dxa"/>
                    <w:right w:w="0" w:type="dxa"/>
                  </w:tcMar>
                  <w:vAlign w:val="center"/>
                </w:tcPr>
                <w:p w14:paraId="01A95E7B">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-117.2</w:t>
                  </w:r>
                </w:p>
              </w:tc>
              <w:tc>
                <w:tcPr>
                  <w:tcW w:w="124" w:type="pct"/>
                  <w:tcBorders>
                    <w:tl2br w:val="nil"/>
                    <w:tr2bl w:val="nil"/>
                  </w:tcBorders>
                  <w:shd w:val="clear" w:color="auto" w:fill="FFFFFF"/>
                  <w:tcMar>
                    <w:top w:w="0" w:type="dxa"/>
                    <w:left w:w="0" w:type="dxa"/>
                    <w:bottom w:w="0" w:type="dxa"/>
                    <w:right w:w="0" w:type="dxa"/>
                  </w:tcMar>
                  <w:vAlign w:val="center"/>
                </w:tcPr>
                <w:p w14:paraId="016B0113">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w:t>
                  </w:r>
                </w:p>
              </w:tc>
              <w:tc>
                <w:tcPr>
                  <w:tcW w:w="168" w:type="pct"/>
                  <w:tcBorders>
                    <w:tl2br w:val="nil"/>
                    <w:tr2bl w:val="nil"/>
                  </w:tcBorders>
                  <w:shd w:val="clear" w:color="auto" w:fill="FFFFFF"/>
                  <w:tcMar>
                    <w:top w:w="0" w:type="dxa"/>
                    <w:left w:w="0" w:type="dxa"/>
                    <w:bottom w:w="0" w:type="dxa"/>
                    <w:right w:w="0" w:type="dxa"/>
                  </w:tcMar>
                  <w:vAlign w:val="center"/>
                </w:tcPr>
                <w:p w14:paraId="00BC153D">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27.1</w:t>
                  </w:r>
                </w:p>
              </w:tc>
              <w:tc>
                <w:tcPr>
                  <w:tcW w:w="168" w:type="pct"/>
                  <w:tcBorders>
                    <w:tl2br w:val="nil"/>
                    <w:tr2bl w:val="nil"/>
                  </w:tcBorders>
                  <w:shd w:val="clear" w:color="auto" w:fill="FFFFFF"/>
                  <w:tcMar>
                    <w:top w:w="0" w:type="dxa"/>
                    <w:left w:w="0" w:type="dxa"/>
                    <w:bottom w:w="0" w:type="dxa"/>
                    <w:right w:w="0" w:type="dxa"/>
                  </w:tcMar>
                  <w:vAlign w:val="center"/>
                </w:tcPr>
                <w:p w14:paraId="30D65E30">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18.6</w:t>
                  </w:r>
                </w:p>
              </w:tc>
              <w:tc>
                <w:tcPr>
                  <w:tcW w:w="214" w:type="pct"/>
                  <w:tcBorders>
                    <w:tl2br w:val="nil"/>
                    <w:tr2bl w:val="nil"/>
                  </w:tcBorders>
                  <w:shd w:val="clear" w:color="auto" w:fill="FFFFFF"/>
                  <w:tcMar>
                    <w:top w:w="0" w:type="dxa"/>
                    <w:left w:w="0" w:type="dxa"/>
                    <w:bottom w:w="0" w:type="dxa"/>
                    <w:right w:w="0" w:type="dxa"/>
                  </w:tcMar>
                  <w:vAlign w:val="center"/>
                </w:tcPr>
                <w:p w14:paraId="554917FF">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98.0</w:t>
                  </w:r>
                </w:p>
              </w:tc>
              <w:tc>
                <w:tcPr>
                  <w:tcW w:w="214" w:type="pct"/>
                  <w:tcBorders>
                    <w:tl2br w:val="nil"/>
                    <w:tr2bl w:val="nil"/>
                  </w:tcBorders>
                  <w:shd w:val="clear" w:color="auto" w:fill="FFFFFF"/>
                  <w:tcMar>
                    <w:top w:w="0" w:type="dxa"/>
                    <w:left w:w="0" w:type="dxa"/>
                    <w:bottom w:w="0" w:type="dxa"/>
                    <w:right w:w="0" w:type="dxa"/>
                  </w:tcMar>
                  <w:vAlign w:val="center"/>
                </w:tcPr>
                <w:p w14:paraId="509C047A">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118.7</w:t>
                  </w:r>
                </w:p>
              </w:tc>
              <w:tc>
                <w:tcPr>
                  <w:tcW w:w="169" w:type="pct"/>
                  <w:tcBorders>
                    <w:tl2br w:val="nil"/>
                    <w:tr2bl w:val="nil"/>
                  </w:tcBorders>
                  <w:shd w:val="clear" w:color="auto" w:fill="FFFFFF"/>
                  <w:tcMar>
                    <w:top w:w="0" w:type="dxa"/>
                    <w:left w:w="0" w:type="dxa"/>
                    <w:bottom w:w="0" w:type="dxa"/>
                    <w:right w:w="0" w:type="dxa"/>
                  </w:tcMar>
                  <w:vAlign w:val="center"/>
                </w:tcPr>
                <w:p w14:paraId="1BE6451A">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61.9</w:t>
                  </w:r>
                </w:p>
              </w:tc>
              <w:tc>
                <w:tcPr>
                  <w:tcW w:w="169" w:type="pct"/>
                  <w:tcBorders>
                    <w:tl2br w:val="nil"/>
                    <w:tr2bl w:val="nil"/>
                  </w:tcBorders>
                  <w:shd w:val="clear" w:color="auto" w:fill="FFFFFF"/>
                  <w:tcMar>
                    <w:top w:w="0" w:type="dxa"/>
                    <w:left w:w="0" w:type="dxa"/>
                    <w:bottom w:w="0" w:type="dxa"/>
                    <w:right w:w="0" w:type="dxa"/>
                  </w:tcMar>
                  <w:vAlign w:val="center"/>
                </w:tcPr>
                <w:p w14:paraId="0A14DD57">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61.9</w:t>
                  </w:r>
                </w:p>
              </w:tc>
              <w:tc>
                <w:tcPr>
                  <w:tcW w:w="169" w:type="pct"/>
                  <w:tcBorders>
                    <w:tl2br w:val="nil"/>
                    <w:tr2bl w:val="nil"/>
                  </w:tcBorders>
                  <w:shd w:val="clear" w:color="auto" w:fill="FFFFFF"/>
                  <w:tcMar>
                    <w:top w:w="0" w:type="dxa"/>
                    <w:left w:w="0" w:type="dxa"/>
                    <w:bottom w:w="0" w:type="dxa"/>
                    <w:right w:w="0" w:type="dxa"/>
                  </w:tcMar>
                  <w:vAlign w:val="center"/>
                </w:tcPr>
                <w:p w14:paraId="507BA90B">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61.8</w:t>
                  </w:r>
                </w:p>
              </w:tc>
              <w:tc>
                <w:tcPr>
                  <w:tcW w:w="169" w:type="pct"/>
                  <w:tcBorders>
                    <w:tl2br w:val="nil"/>
                    <w:tr2bl w:val="nil"/>
                  </w:tcBorders>
                  <w:shd w:val="clear" w:color="auto" w:fill="FFFFFF"/>
                  <w:tcMar>
                    <w:top w:w="0" w:type="dxa"/>
                    <w:left w:w="0" w:type="dxa"/>
                    <w:bottom w:w="0" w:type="dxa"/>
                    <w:right w:w="0" w:type="dxa"/>
                  </w:tcMar>
                  <w:vAlign w:val="center"/>
                </w:tcPr>
                <w:p w14:paraId="6BDB1B4E">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61.8</w:t>
                  </w:r>
                </w:p>
              </w:tc>
              <w:tc>
                <w:tcPr>
                  <w:tcW w:w="210" w:type="pct"/>
                  <w:tcBorders>
                    <w:tl2br w:val="nil"/>
                    <w:tr2bl w:val="nil"/>
                  </w:tcBorders>
                  <w:shd w:val="clear" w:color="auto" w:fill="FFFFFF"/>
                  <w:tcMar>
                    <w:top w:w="0" w:type="dxa"/>
                    <w:left w:w="0" w:type="dxa"/>
                    <w:bottom w:w="0" w:type="dxa"/>
                    <w:right w:w="0" w:type="dxa"/>
                  </w:tcMar>
                  <w:vAlign w:val="center"/>
                </w:tcPr>
                <w:p w14:paraId="6AA819AB">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24</w:t>
                  </w:r>
                </w:p>
              </w:tc>
              <w:tc>
                <w:tcPr>
                  <w:tcW w:w="169" w:type="pct"/>
                  <w:tcBorders>
                    <w:tl2br w:val="nil"/>
                    <w:tr2bl w:val="nil"/>
                  </w:tcBorders>
                  <w:shd w:val="clear" w:color="auto" w:fill="FFFFFF"/>
                  <w:tcMar>
                    <w:top w:w="0" w:type="dxa"/>
                    <w:left w:w="0" w:type="dxa"/>
                    <w:bottom w:w="0" w:type="dxa"/>
                    <w:right w:w="0" w:type="dxa"/>
                  </w:tcMar>
                  <w:vAlign w:val="center"/>
                </w:tcPr>
                <w:p w14:paraId="591BF38B">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9" w:type="pct"/>
                  <w:tcBorders>
                    <w:tl2br w:val="nil"/>
                    <w:tr2bl w:val="nil"/>
                  </w:tcBorders>
                  <w:shd w:val="clear" w:color="auto" w:fill="FFFFFF"/>
                  <w:tcMar>
                    <w:top w:w="0" w:type="dxa"/>
                    <w:left w:w="0" w:type="dxa"/>
                    <w:bottom w:w="0" w:type="dxa"/>
                    <w:right w:w="0" w:type="dxa"/>
                  </w:tcMar>
                  <w:vAlign w:val="center"/>
                </w:tcPr>
                <w:p w14:paraId="5657D043">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9" w:type="pct"/>
                  <w:tcBorders>
                    <w:tl2br w:val="nil"/>
                    <w:tr2bl w:val="nil"/>
                  </w:tcBorders>
                  <w:shd w:val="clear" w:color="auto" w:fill="FFFFFF"/>
                  <w:tcMar>
                    <w:top w:w="0" w:type="dxa"/>
                    <w:left w:w="0" w:type="dxa"/>
                    <w:bottom w:w="0" w:type="dxa"/>
                    <w:right w:w="0" w:type="dxa"/>
                  </w:tcMar>
                  <w:vAlign w:val="center"/>
                </w:tcPr>
                <w:p w14:paraId="788E387F">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9" w:type="pct"/>
                  <w:tcBorders>
                    <w:tl2br w:val="nil"/>
                    <w:tr2bl w:val="nil"/>
                  </w:tcBorders>
                  <w:shd w:val="clear" w:color="auto" w:fill="FFFFFF"/>
                  <w:tcMar>
                    <w:top w:w="0" w:type="dxa"/>
                    <w:left w:w="0" w:type="dxa"/>
                    <w:bottom w:w="0" w:type="dxa"/>
                    <w:right w:w="0" w:type="dxa"/>
                  </w:tcMar>
                  <w:vAlign w:val="center"/>
                </w:tcPr>
                <w:p w14:paraId="42206290">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8" w:type="pct"/>
                  <w:tcBorders>
                    <w:tl2br w:val="nil"/>
                    <w:tr2bl w:val="nil"/>
                  </w:tcBorders>
                  <w:shd w:val="clear" w:color="auto" w:fill="FFFFFF"/>
                  <w:tcMar>
                    <w:top w:w="0" w:type="dxa"/>
                    <w:left w:w="0" w:type="dxa"/>
                    <w:bottom w:w="0" w:type="dxa"/>
                    <w:right w:w="0" w:type="dxa"/>
                  </w:tcMar>
                  <w:vAlign w:val="center"/>
                </w:tcPr>
                <w:p w14:paraId="3CD73A5A">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49.9</w:t>
                  </w:r>
                </w:p>
              </w:tc>
              <w:tc>
                <w:tcPr>
                  <w:tcW w:w="168" w:type="pct"/>
                  <w:tcBorders>
                    <w:tl2br w:val="nil"/>
                    <w:tr2bl w:val="nil"/>
                  </w:tcBorders>
                  <w:shd w:val="clear" w:color="auto" w:fill="FFFFFF"/>
                  <w:tcMar>
                    <w:top w:w="0" w:type="dxa"/>
                    <w:left w:w="0" w:type="dxa"/>
                    <w:bottom w:w="0" w:type="dxa"/>
                    <w:right w:w="0" w:type="dxa"/>
                  </w:tcMar>
                  <w:vAlign w:val="center"/>
                </w:tcPr>
                <w:p w14:paraId="2E2CFDD1">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49.9</w:t>
                  </w:r>
                </w:p>
              </w:tc>
              <w:tc>
                <w:tcPr>
                  <w:tcW w:w="168" w:type="pct"/>
                  <w:tcBorders>
                    <w:tl2br w:val="nil"/>
                    <w:tr2bl w:val="nil"/>
                  </w:tcBorders>
                  <w:shd w:val="clear" w:color="auto" w:fill="FFFFFF"/>
                  <w:tcMar>
                    <w:top w:w="0" w:type="dxa"/>
                    <w:left w:w="0" w:type="dxa"/>
                    <w:bottom w:w="0" w:type="dxa"/>
                    <w:right w:w="0" w:type="dxa"/>
                  </w:tcMar>
                  <w:vAlign w:val="center"/>
                </w:tcPr>
                <w:p w14:paraId="75A35A83">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49.8</w:t>
                  </w:r>
                </w:p>
              </w:tc>
              <w:tc>
                <w:tcPr>
                  <w:tcW w:w="168" w:type="pct"/>
                  <w:tcBorders>
                    <w:tl2br w:val="nil"/>
                    <w:tr2bl w:val="nil"/>
                  </w:tcBorders>
                  <w:shd w:val="clear" w:color="auto" w:fill="FFFFFF"/>
                  <w:tcMar>
                    <w:top w:w="0" w:type="dxa"/>
                    <w:left w:w="0" w:type="dxa"/>
                    <w:bottom w:w="0" w:type="dxa"/>
                    <w:right w:w="0" w:type="dxa"/>
                  </w:tcMar>
                  <w:vAlign w:val="center"/>
                </w:tcPr>
                <w:p w14:paraId="4780B882">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49.8</w:t>
                  </w:r>
                </w:p>
              </w:tc>
              <w:tc>
                <w:tcPr>
                  <w:tcW w:w="93" w:type="pct"/>
                  <w:tcBorders>
                    <w:tl2br w:val="nil"/>
                    <w:tr2bl w:val="nil"/>
                  </w:tcBorders>
                  <w:shd w:val="clear" w:color="auto" w:fill="FFFFFF"/>
                  <w:tcMar>
                    <w:top w:w="0" w:type="dxa"/>
                    <w:left w:w="0" w:type="dxa"/>
                    <w:bottom w:w="0" w:type="dxa"/>
                    <w:right w:w="0" w:type="dxa"/>
                  </w:tcMar>
                  <w:vAlign w:val="center"/>
                </w:tcPr>
                <w:p w14:paraId="0BA68BCD">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w:t>
                  </w:r>
                </w:p>
              </w:tc>
            </w:tr>
            <w:tr w14:paraId="5949B98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23" w:hRule="atLeast"/>
              </w:trPr>
              <w:tc>
                <w:tcPr>
                  <w:tcW w:w="210" w:type="pct"/>
                  <w:tcBorders>
                    <w:tl2br w:val="nil"/>
                    <w:tr2bl w:val="nil"/>
                  </w:tcBorders>
                  <w:shd w:val="clear" w:color="auto" w:fill="FFFFFF"/>
                  <w:tcMar>
                    <w:top w:w="0" w:type="dxa"/>
                    <w:left w:w="0" w:type="dxa"/>
                    <w:bottom w:w="0" w:type="dxa"/>
                    <w:right w:w="0" w:type="dxa"/>
                  </w:tcMar>
                  <w:vAlign w:val="center"/>
                </w:tcPr>
                <w:p w14:paraId="705DC6BC">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26</w:t>
                  </w:r>
                </w:p>
              </w:tc>
              <w:tc>
                <w:tcPr>
                  <w:tcW w:w="210" w:type="pct"/>
                  <w:tcBorders>
                    <w:tl2br w:val="nil"/>
                    <w:tr2bl w:val="nil"/>
                  </w:tcBorders>
                  <w:shd w:val="clear" w:color="auto" w:fill="FFFFFF"/>
                  <w:tcMar>
                    <w:top w:w="0" w:type="dxa"/>
                    <w:left w:w="0" w:type="dxa"/>
                    <w:bottom w:w="0" w:type="dxa"/>
                    <w:right w:w="0" w:type="dxa"/>
                  </w:tcMar>
                  <w:vAlign w:val="center"/>
                </w:tcPr>
                <w:p w14:paraId="5D26645F">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中创空天厂区-铝合金熔铸一厂</w:t>
                  </w:r>
                </w:p>
              </w:tc>
              <w:tc>
                <w:tcPr>
                  <w:tcW w:w="210" w:type="pct"/>
                  <w:tcBorders>
                    <w:tl2br w:val="nil"/>
                    <w:tr2bl w:val="nil"/>
                  </w:tcBorders>
                  <w:shd w:val="clear" w:color="auto" w:fill="FFFFFF"/>
                  <w:tcMar>
                    <w:top w:w="0" w:type="dxa"/>
                    <w:left w:w="0" w:type="dxa"/>
                    <w:bottom w:w="0" w:type="dxa"/>
                    <w:right w:w="0" w:type="dxa"/>
                  </w:tcMar>
                  <w:vAlign w:val="center"/>
                </w:tcPr>
                <w:p w14:paraId="31CBE217">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冷却水槽</w:t>
                  </w:r>
                </w:p>
              </w:tc>
              <w:tc>
                <w:tcPr>
                  <w:tcW w:w="210" w:type="pct"/>
                  <w:vMerge w:val="restart"/>
                  <w:tcBorders>
                    <w:tl2br w:val="nil"/>
                    <w:tr2bl w:val="nil"/>
                  </w:tcBorders>
                  <w:shd w:val="clear" w:color="auto" w:fill="FFFFFF"/>
                  <w:tcMar>
                    <w:top w:w="0" w:type="dxa"/>
                    <w:left w:w="0" w:type="dxa"/>
                    <w:bottom w:w="0" w:type="dxa"/>
                    <w:right w:w="0" w:type="dxa"/>
                  </w:tcMar>
                  <w:vAlign w:val="center"/>
                </w:tcPr>
                <w:p w14:paraId="7B875EFA">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val="en-US" w:eastAsia="zh-CN"/>
                    </w:rPr>
                    <w:t>详见本节上表相关内容</w:t>
                  </w:r>
                </w:p>
              </w:tc>
              <w:tc>
                <w:tcPr>
                  <w:tcW w:w="281" w:type="pct"/>
                  <w:tcBorders>
                    <w:tl2br w:val="nil"/>
                    <w:tr2bl w:val="nil"/>
                  </w:tcBorders>
                  <w:shd w:val="clear" w:color="auto" w:fill="FFFFFF"/>
                  <w:tcMar>
                    <w:top w:w="0" w:type="dxa"/>
                    <w:left w:w="0" w:type="dxa"/>
                    <w:bottom w:w="0" w:type="dxa"/>
                    <w:right w:w="0" w:type="dxa"/>
                  </w:tcMar>
                  <w:vAlign w:val="center"/>
                </w:tcPr>
                <w:p w14:paraId="5A029975">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77.5</w:t>
                  </w:r>
                </w:p>
              </w:tc>
              <w:tc>
                <w:tcPr>
                  <w:tcW w:w="210" w:type="pct"/>
                  <w:tcBorders>
                    <w:tl2br w:val="nil"/>
                    <w:tr2bl w:val="nil"/>
                  </w:tcBorders>
                  <w:shd w:val="clear" w:color="auto" w:fill="FFFFFF"/>
                  <w:tcMar>
                    <w:top w:w="0" w:type="dxa"/>
                    <w:left w:w="0" w:type="dxa"/>
                    <w:bottom w:w="0" w:type="dxa"/>
                    <w:right w:w="0" w:type="dxa"/>
                  </w:tcMar>
                  <w:vAlign w:val="center"/>
                </w:tcPr>
                <w:p w14:paraId="3FD25374">
                  <w:pPr>
                    <w:jc w:val="center"/>
                    <w:rPr>
                      <w:rFonts w:hint="default" w:ascii="Times New Roman" w:hAnsi="Times New Roman" w:eastAsia="宋体" w:cs="Times New Roman"/>
                      <w:color w:val="auto"/>
                      <w:u w:val="none" w:color="auto"/>
                    </w:rPr>
                  </w:pPr>
                </w:p>
              </w:tc>
              <w:tc>
                <w:tcPr>
                  <w:tcW w:w="199" w:type="pct"/>
                  <w:tcBorders>
                    <w:tl2br w:val="nil"/>
                    <w:tr2bl w:val="nil"/>
                  </w:tcBorders>
                  <w:shd w:val="clear" w:color="auto" w:fill="FFFFFF"/>
                  <w:tcMar>
                    <w:top w:w="0" w:type="dxa"/>
                    <w:left w:w="0" w:type="dxa"/>
                    <w:bottom w:w="0" w:type="dxa"/>
                    <w:right w:w="0" w:type="dxa"/>
                  </w:tcMar>
                  <w:vAlign w:val="center"/>
                </w:tcPr>
                <w:p w14:paraId="5D29CD2B">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-36</w:t>
                  </w:r>
                </w:p>
              </w:tc>
              <w:tc>
                <w:tcPr>
                  <w:tcW w:w="247" w:type="pct"/>
                  <w:tcBorders>
                    <w:tl2br w:val="nil"/>
                    <w:tr2bl w:val="nil"/>
                  </w:tcBorders>
                  <w:shd w:val="clear" w:color="auto" w:fill="FFFFFF"/>
                  <w:tcMar>
                    <w:top w:w="0" w:type="dxa"/>
                    <w:left w:w="0" w:type="dxa"/>
                    <w:bottom w:w="0" w:type="dxa"/>
                    <w:right w:w="0" w:type="dxa"/>
                  </w:tcMar>
                  <w:vAlign w:val="center"/>
                </w:tcPr>
                <w:p w14:paraId="13AC2521">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-124.8</w:t>
                  </w:r>
                </w:p>
              </w:tc>
              <w:tc>
                <w:tcPr>
                  <w:tcW w:w="124" w:type="pct"/>
                  <w:tcBorders>
                    <w:tl2br w:val="nil"/>
                    <w:tr2bl w:val="nil"/>
                  </w:tcBorders>
                  <w:shd w:val="clear" w:color="auto" w:fill="FFFFFF"/>
                  <w:tcMar>
                    <w:top w:w="0" w:type="dxa"/>
                    <w:left w:w="0" w:type="dxa"/>
                    <w:bottom w:w="0" w:type="dxa"/>
                    <w:right w:w="0" w:type="dxa"/>
                  </w:tcMar>
                  <w:vAlign w:val="center"/>
                </w:tcPr>
                <w:p w14:paraId="53F18521">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w:t>
                  </w:r>
                </w:p>
              </w:tc>
              <w:tc>
                <w:tcPr>
                  <w:tcW w:w="168" w:type="pct"/>
                  <w:tcBorders>
                    <w:tl2br w:val="nil"/>
                    <w:tr2bl w:val="nil"/>
                  </w:tcBorders>
                  <w:shd w:val="clear" w:color="auto" w:fill="FFFFFF"/>
                  <w:tcMar>
                    <w:top w:w="0" w:type="dxa"/>
                    <w:left w:w="0" w:type="dxa"/>
                    <w:bottom w:w="0" w:type="dxa"/>
                    <w:right w:w="0" w:type="dxa"/>
                  </w:tcMar>
                  <w:vAlign w:val="center"/>
                </w:tcPr>
                <w:p w14:paraId="7F0ACA66">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12.9</w:t>
                  </w:r>
                </w:p>
              </w:tc>
              <w:tc>
                <w:tcPr>
                  <w:tcW w:w="168" w:type="pct"/>
                  <w:tcBorders>
                    <w:tl2br w:val="nil"/>
                    <w:tr2bl w:val="nil"/>
                  </w:tcBorders>
                  <w:shd w:val="clear" w:color="auto" w:fill="FFFFFF"/>
                  <w:tcMar>
                    <w:top w:w="0" w:type="dxa"/>
                    <w:left w:w="0" w:type="dxa"/>
                    <w:bottom w:w="0" w:type="dxa"/>
                    <w:right w:w="0" w:type="dxa"/>
                  </w:tcMar>
                  <w:vAlign w:val="center"/>
                </w:tcPr>
                <w:p w14:paraId="5D99037D">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19.1</w:t>
                  </w:r>
                </w:p>
              </w:tc>
              <w:tc>
                <w:tcPr>
                  <w:tcW w:w="214" w:type="pct"/>
                  <w:tcBorders>
                    <w:tl2br w:val="nil"/>
                    <w:tr2bl w:val="nil"/>
                  </w:tcBorders>
                  <w:shd w:val="clear" w:color="auto" w:fill="FFFFFF"/>
                  <w:tcMar>
                    <w:top w:w="0" w:type="dxa"/>
                    <w:left w:w="0" w:type="dxa"/>
                    <w:bottom w:w="0" w:type="dxa"/>
                    <w:right w:w="0" w:type="dxa"/>
                  </w:tcMar>
                  <w:vAlign w:val="center"/>
                </w:tcPr>
                <w:p w14:paraId="7A2FAD22">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112.2</w:t>
                  </w:r>
                </w:p>
              </w:tc>
              <w:tc>
                <w:tcPr>
                  <w:tcW w:w="214" w:type="pct"/>
                  <w:tcBorders>
                    <w:tl2br w:val="nil"/>
                    <w:tr2bl w:val="nil"/>
                  </w:tcBorders>
                  <w:shd w:val="clear" w:color="auto" w:fill="FFFFFF"/>
                  <w:tcMar>
                    <w:top w:w="0" w:type="dxa"/>
                    <w:left w:w="0" w:type="dxa"/>
                    <w:bottom w:w="0" w:type="dxa"/>
                    <w:right w:w="0" w:type="dxa"/>
                  </w:tcMar>
                  <w:vAlign w:val="center"/>
                </w:tcPr>
                <w:p w14:paraId="49102146">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118.2</w:t>
                  </w:r>
                </w:p>
              </w:tc>
              <w:tc>
                <w:tcPr>
                  <w:tcW w:w="169" w:type="pct"/>
                  <w:tcBorders>
                    <w:tl2br w:val="nil"/>
                    <w:tr2bl w:val="nil"/>
                  </w:tcBorders>
                  <w:shd w:val="clear" w:color="auto" w:fill="FFFFFF"/>
                  <w:tcMar>
                    <w:top w:w="0" w:type="dxa"/>
                    <w:left w:w="0" w:type="dxa"/>
                    <w:bottom w:w="0" w:type="dxa"/>
                    <w:right w:w="0" w:type="dxa"/>
                  </w:tcMar>
                  <w:vAlign w:val="center"/>
                </w:tcPr>
                <w:p w14:paraId="09037869">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57.1</w:t>
                  </w:r>
                </w:p>
              </w:tc>
              <w:tc>
                <w:tcPr>
                  <w:tcW w:w="169" w:type="pct"/>
                  <w:tcBorders>
                    <w:tl2br w:val="nil"/>
                    <w:tr2bl w:val="nil"/>
                  </w:tcBorders>
                  <w:shd w:val="clear" w:color="auto" w:fill="FFFFFF"/>
                  <w:tcMar>
                    <w:top w:w="0" w:type="dxa"/>
                    <w:left w:w="0" w:type="dxa"/>
                    <w:bottom w:w="0" w:type="dxa"/>
                    <w:right w:w="0" w:type="dxa"/>
                  </w:tcMar>
                  <w:vAlign w:val="center"/>
                </w:tcPr>
                <w:p w14:paraId="40919D27">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56.9</w:t>
                  </w:r>
                </w:p>
              </w:tc>
              <w:tc>
                <w:tcPr>
                  <w:tcW w:w="169" w:type="pct"/>
                  <w:tcBorders>
                    <w:tl2br w:val="nil"/>
                    <w:tr2bl w:val="nil"/>
                  </w:tcBorders>
                  <w:shd w:val="clear" w:color="auto" w:fill="FFFFFF"/>
                  <w:tcMar>
                    <w:top w:w="0" w:type="dxa"/>
                    <w:left w:w="0" w:type="dxa"/>
                    <w:bottom w:w="0" w:type="dxa"/>
                    <w:right w:w="0" w:type="dxa"/>
                  </w:tcMar>
                  <w:vAlign w:val="center"/>
                </w:tcPr>
                <w:p w14:paraId="07320C2C">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56.8</w:t>
                  </w:r>
                </w:p>
              </w:tc>
              <w:tc>
                <w:tcPr>
                  <w:tcW w:w="169" w:type="pct"/>
                  <w:tcBorders>
                    <w:tl2br w:val="nil"/>
                    <w:tr2bl w:val="nil"/>
                  </w:tcBorders>
                  <w:shd w:val="clear" w:color="auto" w:fill="FFFFFF"/>
                  <w:tcMar>
                    <w:top w:w="0" w:type="dxa"/>
                    <w:left w:w="0" w:type="dxa"/>
                    <w:bottom w:w="0" w:type="dxa"/>
                    <w:right w:w="0" w:type="dxa"/>
                  </w:tcMar>
                  <w:vAlign w:val="center"/>
                </w:tcPr>
                <w:p w14:paraId="15E408BD">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56.8</w:t>
                  </w:r>
                </w:p>
              </w:tc>
              <w:tc>
                <w:tcPr>
                  <w:tcW w:w="210" w:type="pct"/>
                  <w:tcBorders>
                    <w:tl2br w:val="nil"/>
                    <w:tr2bl w:val="nil"/>
                  </w:tcBorders>
                  <w:shd w:val="clear" w:color="auto" w:fill="FFFFFF"/>
                  <w:tcMar>
                    <w:top w:w="0" w:type="dxa"/>
                    <w:left w:w="0" w:type="dxa"/>
                    <w:bottom w:w="0" w:type="dxa"/>
                    <w:right w:w="0" w:type="dxa"/>
                  </w:tcMar>
                  <w:vAlign w:val="center"/>
                </w:tcPr>
                <w:p w14:paraId="1155B5FF">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24</w:t>
                  </w:r>
                </w:p>
              </w:tc>
              <w:tc>
                <w:tcPr>
                  <w:tcW w:w="169" w:type="pct"/>
                  <w:tcBorders>
                    <w:tl2br w:val="nil"/>
                    <w:tr2bl w:val="nil"/>
                  </w:tcBorders>
                  <w:shd w:val="clear" w:color="auto" w:fill="FFFFFF"/>
                  <w:tcMar>
                    <w:top w:w="0" w:type="dxa"/>
                    <w:left w:w="0" w:type="dxa"/>
                    <w:bottom w:w="0" w:type="dxa"/>
                    <w:right w:w="0" w:type="dxa"/>
                  </w:tcMar>
                  <w:vAlign w:val="center"/>
                </w:tcPr>
                <w:p w14:paraId="4B6094AD">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9" w:type="pct"/>
                  <w:tcBorders>
                    <w:tl2br w:val="nil"/>
                    <w:tr2bl w:val="nil"/>
                  </w:tcBorders>
                  <w:shd w:val="clear" w:color="auto" w:fill="FFFFFF"/>
                  <w:tcMar>
                    <w:top w:w="0" w:type="dxa"/>
                    <w:left w:w="0" w:type="dxa"/>
                    <w:bottom w:w="0" w:type="dxa"/>
                    <w:right w:w="0" w:type="dxa"/>
                  </w:tcMar>
                  <w:vAlign w:val="center"/>
                </w:tcPr>
                <w:p w14:paraId="4738E030">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9" w:type="pct"/>
                  <w:tcBorders>
                    <w:tl2br w:val="nil"/>
                    <w:tr2bl w:val="nil"/>
                  </w:tcBorders>
                  <w:shd w:val="clear" w:color="auto" w:fill="FFFFFF"/>
                  <w:tcMar>
                    <w:top w:w="0" w:type="dxa"/>
                    <w:left w:w="0" w:type="dxa"/>
                    <w:bottom w:w="0" w:type="dxa"/>
                    <w:right w:w="0" w:type="dxa"/>
                  </w:tcMar>
                  <w:vAlign w:val="center"/>
                </w:tcPr>
                <w:p w14:paraId="38A380C3">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9" w:type="pct"/>
                  <w:tcBorders>
                    <w:tl2br w:val="nil"/>
                    <w:tr2bl w:val="nil"/>
                  </w:tcBorders>
                  <w:shd w:val="clear" w:color="auto" w:fill="FFFFFF"/>
                  <w:tcMar>
                    <w:top w:w="0" w:type="dxa"/>
                    <w:left w:w="0" w:type="dxa"/>
                    <w:bottom w:w="0" w:type="dxa"/>
                    <w:right w:w="0" w:type="dxa"/>
                  </w:tcMar>
                  <w:vAlign w:val="center"/>
                </w:tcPr>
                <w:p w14:paraId="551FC3DC">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8" w:type="pct"/>
                  <w:tcBorders>
                    <w:tl2br w:val="nil"/>
                    <w:tr2bl w:val="nil"/>
                  </w:tcBorders>
                  <w:shd w:val="clear" w:color="auto" w:fill="FFFFFF"/>
                  <w:tcMar>
                    <w:top w:w="0" w:type="dxa"/>
                    <w:left w:w="0" w:type="dxa"/>
                    <w:bottom w:w="0" w:type="dxa"/>
                    <w:right w:w="0" w:type="dxa"/>
                  </w:tcMar>
                  <w:vAlign w:val="center"/>
                </w:tcPr>
                <w:p w14:paraId="33BEAE28">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45.1</w:t>
                  </w:r>
                </w:p>
              </w:tc>
              <w:tc>
                <w:tcPr>
                  <w:tcW w:w="168" w:type="pct"/>
                  <w:tcBorders>
                    <w:tl2br w:val="nil"/>
                    <w:tr2bl w:val="nil"/>
                  </w:tcBorders>
                  <w:shd w:val="clear" w:color="auto" w:fill="FFFFFF"/>
                  <w:tcMar>
                    <w:top w:w="0" w:type="dxa"/>
                    <w:left w:w="0" w:type="dxa"/>
                    <w:bottom w:w="0" w:type="dxa"/>
                    <w:right w:w="0" w:type="dxa"/>
                  </w:tcMar>
                  <w:vAlign w:val="center"/>
                </w:tcPr>
                <w:p w14:paraId="3E82F109">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44.9</w:t>
                  </w:r>
                </w:p>
              </w:tc>
              <w:tc>
                <w:tcPr>
                  <w:tcW w:w="168" w:type="pct"/>
                  <w:tcBorders>
                    <w:tl2br w:val="nil"/>
                    <w:tr2bl w:val="nil"/>
                  </w:tcBorders>
                  <w:shd w:val="clear" w:color="auto" w:fill="FFFFFF"/>
                  <w:tcMar>
                    <w:top w:w="0" w:type="dxa"/>
                    <w:left w:w="0" w:type="dxa"/>
                    <w:bottom w:w="0" w:type="dxa"/>
                    <w:right w:w="0" w:type="dxa"/>
                  </w:tcMar>
                  <w:vAlign w:val="center"/>
                </w:tcPr>
                <w:p w14:paraId="25F9EE9E">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44.8</w:t>
                  </w:r>
                </w:p>
              </w:tc>
              <w:tc>
                <w:tcPr>
                  <w:tcW w:w="168" w:type="pct"/>
                  <w:tcBorders>
                    <w:tl2br w:val="nil"/>
                    <w:tr2bl w:val="nil"/>
                  </w:tcBorders>
                  <w:shd w:val="clear" w:color="auto" w:fill="FFFFFF"/>
                  <w:tcMar>
                    <w:top w:w="0" w:type="dxa"/>
                    <w:left w:w="0" w:type="dxa"/>
                    <w:bottom w:w="0" w:type="dxa"/>
                    <w:right w:w="0" w:type="dxa"/>
                  </w:tcMar>
                  <w:vAlign w:val="center"/>
                </w:tcPr>
                <w:p w14:paraId="500FE70F">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44.8</w:t>
                  </w:r>
                </w:p>
              </w:tc>
              <w:tc>
                <w:tcPr>
                  <w:tcW w:w="93" w:type="pct"/>
                  <w:tcBorders>
                    <w:tl2br w:val="nil"/>
                    <w:tr2bl w:val="nil"/>
                  </w:tcBorders>
                  <w:shd w:val="clear" w:color="auto" w:fill="FFFFFF"/>
                  <w:tcMar>
                    <w:top w:w="0" w:type="dxa"/>
                    <w:left w:w="0" w:type="dxa"/>
                    <w:bottom w:w="0" w:type="dxa"/>
                    <w:right w:w="0" w:type="dxa"/>
                  </w:tcMar>
                  <w:vAlign w:val="center"/>
                </w:tcPr>
                <w:p w14:paraId="2F93E26F">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w:t>
                  </w:r>
                </w:p>
              </w:tc>
            </w:tr>
            <w:tr w14:paraId="06BE24B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23" w:hRule="atLeast"/>
              </w:trPr>
              <w:tc>
                <w:tcPr>
                  <w:tcW w:w="210" w:type="pct"/>
                  <w:tcBorders>
                    <w:tl2br w:val="nil"/>
                    <w:tr2bl w:val="nil"/>
                  </w:tcBorders>
                  <w:shd w:val="clear" w:color="auto" w:fill="FFFFFF"/>
                  <w:tcMar>
                    <w:top w:w="0" w:type="dxa"/>
                    <w:left w:w="0" w:type="dxa"/>
                    <w:bottom w:w="0" w:type="dxa"/>
                    <w:right w:w="0" w:type="dxa"/>
                  </w:tcMar>
                  <w:vAlign w:val="center"/>
                </w:tcPr>
                <w:p w14:paraId="141A1641">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27</w:t>
                  </w:r>
                </w:p>
              </w:tc>
              <w:tc>
                <w:tcPr>
                  <w:tcW w:w="210" w:type="pct"/>
                  <w:tcBorders>
                    <w:tl2br w:val="nil"/>
                    <w:tr2bl w:val="nil"/>
                  </w:tcBorders>
                  <w:shd w:val="clear" w:color="auto" w:fill="FFFFFF"/>
                  <w:tcMar>
                    <w:top w:w="0" w:type="dxa"/>
                    <w:left w:w="0" w:type="dxa"/>
                    <w:bottom w:w="0" w:type="dxa"/>
                    <w:right w:w="0" w:type="dxa"/>
                  </w:tcMar>
                  <w:vAlign w:val="center"/>
                </w:tcPr>
                <w:p w14:paraId="1F1FDC27">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中创空天厂区-铝合金熔铸一厂</w:t>
                  </w:r>
                </w:p>
              </w:tc>
              <w:tc>
                <w:tcPr>
                  <w:tcW w:w="210" w:type="pct"/>
                  <w:tcBorders>
                    <w:tl2br w:val="nil"/>
                    <w:tr2bl w:val="nil"/>
                  </w:tcBorders>
                  <w:shd w:val="clear" w:color="auto" w:fill="FFFFFF"/>
                  <w:tcMar>
                    <w:top w:w="0" w:type="dxa"/>
                    <w:left w:w="0" w:type="dxa"/>
                    <w:bottom w:w="0" w:type="dxa"/>
                    <w:right w:w="0" w:type="dxa"/>
                  </w:tcMar>
                  <w:vAlign w:val="center"/>
                </w:tcPr>
                <w:p w14:paraId="31B63FB0">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冷却水槽泵机</w:t>
                  </w:r>
                </w:p>
              </w:tc>
              <w:tc>
                <w:tcPr>
                  <w:tcW w:w="210" w:type="pct"/>
                  <w:vMerge w:val="continue"/>
                  <w:tcBorders>
                    <w:tl2br w:val="nil"/>
                    <w:tr2bl w:val="nil"/>
                  </w:tcBorders>
                  <w:shd w:val="clear" w:color="auto" w:fill="FFFFFF"/>
                  <w:tcMar>
                    <w:top w:w="0" w:type="dxa"/>
                    <w:left w:w="0" w:type="dxa"/>
                    <w:bottom w:w="0" w:type="dxa"/>
                    <w:right w:w="0" w:type="dxa"/>
                  </w:tcMar>
                  <w:vAlign w:val="center"/>
                </w:tcPr>
                <w:p w14:paraId="16ECEDAE">
                  <w:pPr>
                    <w:jc w:val="center"/>
                    <w:rPr>
                      <w:rFonts w:hint="default" w:ascii="Times New Roman" w:hAnsi="Times New Roman" w:eastAsia="宋体" w:cs="Times New Roman"/>
                      <w:color w:val="auto"/>
                      <w:u w:val="none" w:color="auto"/>
                    </w:rPr>
                  </w:pPr>
                </w:p>
              </w:tc>
              <w:tc>
                <w:tcPr>
                  <w:tcW w:w="281" w:type="pct"/>
                  <w:tcBorders>
                    <w:tl2br w:val="nil"/>
                    <w:tr2bl w:val="nil"/>
                  </w:tcBorders>
                  <w:shd w:val="clear" w:color="auto" w:fill="FFFFFF"/>
                  <w:tcMar>
                    <w:top w:w="0" w:type="dxa"/>
                    <w:left w:w="0" w:type="dxa"/>
                    <w:bottom w:w="0" w:type="dxa"/>
                    <w:right w:w="0" w:type="dxa"/>
                  </w:tcMar>
                  <w:vAlign w:val="center"/>
                </w:tcPr>
                <w:p w14:paraId="0986D3B8">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77.5</w:t>
                  </w:r>
                </w:p>
              </w:tc>
              <w:tc>
                <w:tcPr>
                  <w:tcW w:w="210" w:type="pct"/>
                  <w:tcBorders>
                    <w:tl2br w:val="nil"/>
                    <w:tr2bl w:val="nil"/>
                  </w:tcBorders>
                  <w:shd w:val="clear" w:color="auto" w:fill="FFFFFF"/>
                  <w:tcMar>
                    <w:top w:w="0" w:type="dxa"/>
                    <w:left w:w="0" w:type="dxa"/>
                    <w:bottom w:w="0" w:type="dxa"/>
                    <w:right w:w="0" w:type="dxa"/>
                  </w:tcMar>
                  <w:vAlign w:val="center"/>
                </w:tcPr>
                <w:p w14:paraId="0440E05C">
                  <w:pPr>
                    <w:jc w:val="center"/>
                    <w:rPr>
                      <w:rFonts w:hint="default" w:ascii="Times New Roman" w:hAnsi="Times New Roman" w:eastAsia="宋体" w:cs="Times New Roman"/>
                      <w:color w:val="auto"/>
                      <w:u w:val="none" w:color="auto"/>
                    </w:rPr>
                  </w:pPr>
                </w:p>
              </w:tc>
              <w:tc>
                <w:tcPr>
                  <w:tcW w:w="199" w:type="pct"/>
                  <w:tcBorders>
                    <w:tl2br w:val="nil"/>
                    <w:tr2bl w:val="nil"/>
                  </w:tcBorders>
                  <w:shd w:val="clear" w:color="auto" w:fill="FFFFFF"/>
                  <w:tcMar>
                    <w:top w:w="0" w:type="dxa"/>
                    <w:left w:w="0" w:type="dxa"/>
                    <w:bottom w:w="0" w:type="dxa"/>
                    <w:right w:w="0" w:type="dxa"/>
                  </w:tcMar>
                  <w:vAlign w:val="center"/>
                </w:tcPr>
                <w:p w14:paraId="2D49DC4A">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-32.4</w:t>
                  </w:r>
                </w:p>
              </w:tc>
              <w:tc>
                <w:tcPr>
                  <w:tcW w:w="247" w:type="pct"/>
                  <w:tcBorders>
                    <w:tl2br w:val="nil"/>
                    <w:tr2bl w:val="nil"/>
                  </w:tcBorders>
                  <w:shd w:val="clear" w:color="auto" w:fill="FFFFFF"/>
                  <w:tcMar>
                    <w:top w:w="0" w:type="dxa"/>
                    <w:left w:w="0" w:type="dxa"/>
                    <w:bottom w:w="0" w:type="dxa"/>
                    <w:right w:w="0" w:type="dxa"/>
                  </w:tcMar>
                  <w:vAlign w:val="center"/>
                </w:tcPr>
                <w:p w14:paraId="7B230C8B">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-126.8</w:t>
                  </w:r>
                </w:p>
              </w:tc>
              <w:tc>
                <w:tcPr>
                  <w:tcW w:w="124" w:type="pct"/>
                  <w:tcBorders>
                    <w:tl2br w:val="nil"/>
                    <w:tr2bl w:val="nil"/>
                  </w:tcBorders>
                  <w:shd w:val="clear" w:color="auto" w:fill="FFFFFF"/>
                  <w:tcMar>
                    <w:top w:w="0" w:type="dxa"/>
                    <w:left w:w="0" w:type="dxa"/>
                    <w:bottom w:w="0" w:type="dxa"/>
                    <w:right w:w="0" w:type="dxa"/>
                  </w:tcMar>
                  <w:vAlign w:val="center"/>
                </w:tcPr>
                <w:p w14:paraId="6354431A">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w:t>
                  </w:r>
                </w:p>
              </w:tc>
              <w:tc>
                <w:tcPr>
                  <w:tcW w:w="168" w:type="pct"/>
                  <w:tcBorders>
                    <w:tl2br w:val="nil"/>
                    <w:tr2bl w:val="nil"/>
                  </w:tcBorders>
                  <w:shd w:val="clear" w:color="auto" w:fill="FFFFFF"/>
                  <w:tcMar>
                    <w:top w:w="0" w:type="dxa"/>
                    <w:left w:w="0" w:type="dxa"/>
                    <w:bottom w:w="0" w:type="dxa"/>
                    <w:right w:w="0" w:type="dxa"/>
                  </w:tcMar>
                  <w:vAlign w:val="center"/>
                </w:tcPr>
                <w:p w14:paraId="49C8CD6C">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8.8</w:t>
                  </w:r>
                </w:p>
              </w:tc>
              <w:tc>
                <w:tcPr>
                  <w:tcW w:w="168" w:type="pct"/>
                  <w:tcBorders>
                    <w:tl2br w:val="nil"/>
                    <w:tr2bl w:val="nil"/>
                  </w:tcBorders>
                  <w:shd w:val="clear" w:color="auto" w:fill="FFFFFF"/>
                  <w:tcMar>
                    <w:top w:w="0" w:type="dxa"/>
                    <w:left w:w="0" w:type="dxa"/>
                    <w:bottom w:w="0" w:type="dxa"/>
                    <w:right w:w="0" w:type="dxa"/>
                  </w:tcMar>
                  <w:vAlign w:val="center"/>
                </w:tcPr>
                <w:p w14:paraId="7CEB9023">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19.5</w:t>
                  </w:r>
                </w:p>
              </w:tc>
              <w:tc>
                <w:tcPr>
                  <w:tcW w:w="214" w:type="pct"/>
                  <w:tcBorders>
                    <w:tl2br w:val="nil"/>
                    <w:tr2bl w:val="nil"/>
                  </w:tcBorders>
                  <w:shd w:val="clear" w:color="auto" w:fill="FFFFFF"/>
                  <w:tcMar>
                    <w:top w:w="0" w:type="dxa"/>
                    <w:left w:w="0" w:type="dxa"/>
                    <w:bottom w:w="0" w:type="dxa"/>
                    <w:right w:w="0" w:type="dxa"/>
                  </w:tcMar>
                  <w:vAlign w:val="center"/>
                </w:tcPr>
                <w:p w14:paraId="79226966">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116.3</w:t>
                  </w:r>
                </w:p>
              </w:tc>
              <w:tc>
                <w:tcPr>
                  <w:tcW w:w="214" w:type="pct"/>
                  <w:tcBorders>
                    <w:tl2br w:val="nil"/>
                    <w:tr2bl w:val="nil"/>
                  </w:tcBorders>
                  <w:shd w:val="clear" w:color="auto" w:fill="FFFFFF"/>
                  <w:tcMar>
                    <w:top w:w="0" w:type="dxa"/>
                    <w:left w:w="0" w:type="dxa"/>
                    <w:bottom w:w="0" w:type="dxa"/>
                    <w:right w:w="0" w:type="dxa"/>
                  </w:tcMar>
                  <w:vAlign w:val="center"/>
                </w:tcPr>
                <w:p w14:paraId="2525C80B">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117.8</w:t>
                  </w:r>
                </w:p>
              </w:tc>
              <w:tc>
                <w:tcPr>
                  <w:tcW w:w="169" w:type="pct"/>
                  <w:tcBorders>
                    <w:tl2br w:val="nil"/>
                    <w:tr2bl w:val="nil"/>
                  </w:tcBorders>
                  <w:shd w:val="clear" w:color="auto" w:fill="FFFFFF"/>
                  <w:tcMar>
                    <w:top w:w="0" w:type="dxa"/>
                    <w:left w:w="0" w:type="dxa"/>
                    <w:bottom w:w="0" w:type="dxa"/>
                    <w:right w:w="0" w:type="dxa"/>
                  </w:tcMar>
                  <w:vAlign w:val="center"/>
                </w:tcPr>
                <w:p w14:paraId="1A138D05">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57.3</w:t>
                  </w:r>
                </w:p>
              </w:tc>
              <w:tc>
                <w:tcPr>
                  <w:tcW w:w="169" w:type="pct"/>
                  <w:tcBorders>
                    <w:tl2br w:val="nil"/>
                    <w:tr2bl w:val="nil"/>
                  </w:tcBorders>
                  <w:shd w:val="clear" w:color="auto" w:fill="FFFFFF"/>
                  <w:tcMar>
                    <w:top w:w="0" w:type="dxa"/>
                    <w:left w:w="0" w:type="dxa"/>
                    <w:bottom w:w="0" w:type="dxa"/>
                    <w:right w:w="0" w:type="dxa"/>
                  </w:tcMar>
                  <w:vAlign w:val="center"/>
                </w:tcPr>
                <w:p w14:paraId="6B16A39A">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56.9</w:t>
                  </w:r>
                </w:p>
              </w:tc>
              <w:tc>
                <w:tcPr>
                  <w:tcW w:w="169" w:type="pct"/>
                  <w:tcBorders>
                    <w:tl2br w:val="nil"/>
                    <w:tr2bl w:val="nil"/>
                  </w:tcBorders>
                  <w:shd w:val="clear" w:color="auto" w:fill="FFFFFF"/>
                  <w:tcMar>
                    <w:top w:w="0" w:type="dxa"/>
                    <w:left w:w="0" w:type="dxa"/>
                    <w:bottom w:w="0" w:type="dxa"/>
                    <w:right w:w="0" w:type="dxa"/>
                  </w:tcMar>
                  <w:vAlign w:val="center"/>
                </w:tcPr>
                <w:p w14:paraId="435E668C">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56.8</w:t>
                  </w:r>
                </w:p>
              </w:tc>
              <w:tc>
                <w:tcPr>
                  <w:tcW w:w="169" w:type="pct"/>
                  <w:tcBorders>
                    <w:tl2br w:val="nil"/>
                    <w:tr2bl w:val="nil"/>
                  </w:tcBorders>
                  <w:shd w:val="clear" w:color="auto" w:fill="FFFFFF"/>
                  <w:tcMar>
                    <w:top w:w="0" w:type="dxa"/>
                    <w:left w:w="0" w:type="dxa"/>
                    <w:bottom w:w="0" w:type="dxa"/>
                    <w:right w:w="0" w:type="dxa"/>
                  </w:tcMar>
                  <w:vAlign w:val="center"/>
                </w:tcPr>
                <w:p w14:paraId="300B4B6F">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56.8</w:t>
                  </w:r>
                </w:p>
              </w:tc>
              <w:tc>
                <w:tcPr>
                  <w:tcW w:w="210" w:type="pct"/>
                  <w:tcBorders>
                    <w:tl2br w:val="nil"/>
                    <w:tr2bl w:val="nil"/>
                  </w:tcBorders>
                  <w:shd w:val="clear" w:color="auto" w:fill="FFFFFF"/>
                  <w:tcMar>
                    <w:top w:w="0" w:type="dxa"/>
                    <w:left w:w="0" w:type="dxa"/>
                    <w:bottom w:w="0" w:type="dxa"/>
                    <w:right w:w="0" w:type="dxa"/>
                  </w:tcMar>
                  <w:vAlign w:val="center"/>
                </w:tcPr>
                <w:p w14:paraId="2981B7A2">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24</w:t>
                  </w:r>
                </w:p>
              </w:tc>
              <w:tc>
                <w:tcPr>
                  <w:tcW w:w="169" w:type="pct"/>
                  <w:tcBorders>
                    <w:tl2br w:val="nil"/>
                    <w:tr2bl w:val="nil"/>
                  </w:tcBorders>
                  <w:shd w:val="clear" w:color="auto" w:fill="FFFFFF"/>
                  <w:tcMar>
                    <w:top w:w="0" w:type="dxa"/>
                    <w:left w:w="0" w:type="dxa"/>
                    <w:bottom w:w="0" w:type="dxa"/>
                    <w:right w:w="0" w:type="dxa"/>
                  </w:tcMar>
                  <w:vAlign w:val="center"/>
                </w:tcPr>
                <w:p w14:paraId="03340FD3">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9" w:type="pct"/>
                  <w:tcBorders>
                    <w:tl2br w:val="nil"/>
                    <w:tr2bl w:val="nil"/>
                  </w:tcBorders>
                  <w:shd w:val="clear" w:color="auto" w:fill="FFFFFF"/>
                  <w:tcMar>
                    <w:top w:w="0" w:type="dxa"/>
                    <w:left w:w="0" w:type="dxa"/>
                    <w:bottom w:w="0" w:type="dxa"/>
                    <w:right w:w="0" w:type="dxa"/>
                  </w:tcMar>
                  <w:vAlign w:val="center"/>
                </w:tcPr>
                <w:p w14:paraId="034A1D46">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9" w:type="pct"/>
                  <w:tcBorders>
                    <w:tl2br w:val="nil"/>
                    <w:tr2bl w:val="nil"/>
                  </w:tcBorders>
                  <w:shd w:val="clear" w:color="auto" w:fill="FFFFFF"/>
                  <w:tcMar>
                    <w:top w:w="0" w:type="dxa"/>
                    <w:left w:w="0" w:type="dxa"/>
                    <w:bottom w:w="0" w:type="dxa"/>
                    <w:right w:w="0" w:type="dxa"/>
                  </w:tcMar>
                  <w:vAlign w:val="center"/>
                </w:tcPr>
                <w:p w14:paraId="29790824">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9" w:type="pct"/>
                  <w:tcBorders>
                    <w:tl2br w:val="nil"/>
                    <w:tr2bl w:val="nil"/>
                  </w:tcBorders>
                  <w:shd w:val="clear" w:color="auto" w:fill="FFFFFF"/>
                  <w:tcMar>
                    <w:top w:w="0" w:type="dxa"/>
                    <w:left w:w="0" w:type="dxa"/>
                    <w:bottom w:w="0" w:type="dxa"/>
                    <w:right w:w="0" w:type="dxa"/>
                  </w:tcMar>
                  <w:vAlign w:val="center"/>
                </w:tcPr>
                <w:p w14:paraId="072C5AE8">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8" w:type="pct"/>
                  <w:tcBorders>
                    <w:tl2br w:val="nil"/>
                    <w:tr2bl w:val="nil"/>
                  </w:tcBorders>
                  <w:shd w:val="clear" w:color="auto" w:fill="FFFFFF"/>
                  <w:tcMar>
                    <w:top w:w="0" w:type="dxa"/>
                    <w:left w:w="0" w:type="dxa"/>
                    <w:bottom w:w="0" w:type="dxa"/>
                    <w:right w:w="0" w:type="dxa"/>
                  </w:tcMar>
                  <w:vAlign w:val="center"/>
                </w:tcPr>
                <w:p w14:paraId="3CD11BE7">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45.3</w:t>
                  </w:r>
                </w:p>
              </w:tc>
              <w:tc>
                <w:tcPr>
                  <w:tcW w:w="168" w:type="pct"/>
                  <w:tcBorders>
                    <w:tl2br w:val="nil"/>
                    <w:tr2bl w:val="nil"/>
                  </w:tcBorders>
                  <w:shd w:val="clear" w:color="auto" w:fill="FFFFFF"/>
                  <w:tcMar>
                    <w:top w:w="0" w:type="dxa"/>
                    <w:left w:w="0" w:type="dxa"/>
                    <w:bottom w:w="0" w:type="dxa"/>
                    <w:right w:w="0" w:type="dxa"/>
                  </w:tcMar>
                  <w:vAlign w:val="center"/>
                </w:tcPr>
                <w:p w14:paraId="31FCA6BE">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44.9</w:t>
                  </w:r>
                </w:p>
              </w:tc>
              <w:tc>
                <w:tcPr>
                  <w:tcW w:w="168" w:type="pct"/>
                  <w:tcBorders>
                    <w:tl2br w:val="nil"/>
                    <w:tr2bl w:val="nil"/>
                  </w:tcBorders>
                  <w:shd w:val="clear" w:color="auto" w:fill="FFFFFF"/>
                  <w:tcMar>
                    <w:top w:w="0" w:type="dxa"/>
                    <w:left w:w="0" w:type="dxa"/>
                    <w:bottom w:w="0" w:type="dxa"/>
                    <w:right w:w="0" w:type="dxa"/>
                  </w:tcMar>
                  <w:vAlign w:val="center"/>
                </w:tcPr>
                <w:p w14:paraId="1275DC7A">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44.8</w:t>
                  </w:r>
                </w:p>
              </w:tc>
              <w:tc>
                <w:tcPr>
                  <w:tcW w:w="168" w:type="pct"/>
                  <w:tcBorders>
                    <w:tl2br w:val="nil"/>
                    <w:tr2bl w:val="nil"/>
                  </w:tcBorders>
                  <w:shd w:val="clear" w:color="auto" w:fill="FFFFFF"/>
                  <w:tcMar>
                    <w:top w:w="0" w:type="dxa"/>
                    <w:left w:w="0" w:type="dxa"/>
                    <w:bottom w:w="0" w:type="dxa"/>
                    <w:right w:w="0" w:type="dxa"/>
                  </w:tcMar>
                  <w:vAlign w:val="center"/>
                </w:tcPr>
                <w:p w14:paraId="38F27102">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44.8</w:t>
                  </w:r>
                </w:p>
              </w:tc>
              <w:tc>
                <w:tcPr>
                  <w:tcW w:w="93" w:type="pct"/>
                  <w:tcBorders>
                    <w:tl2br w:val="nil"/>
                    <w:tr2bl w:val="nil"/>
                  </w:tcBorders>
                  <w:shd w:val="clear" w:color="auto" w:fill="FFFFFF"/>
                  <w:tcMar>
                    <w:top w:w="0" w:type="dxa"/>
                    <w:left w:w="0" w:type="dxa"/>
                    <w:bottom w:w="0" w:type="dxa"/>
                    <w:right w:w="0" w:type="dxa"/>
                  </w:tcMar>
                  <w:vAlign w:val="center"/>
                </w:tcPr>
                <w:p w14:paraId="3D9F9BF9">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w:t>
                  </w:r>
                </w:p>
              </w:tc>
            </w:tr>
            <w:tr w14:paraId="57C162E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23" w:hRule="atLeast"/>
              </w:trPr>
              <w:tc>
                <w:tcPr>
                  <w:tcW w:w="210" w:type="pct"/>
                  <w:tcBorders>
                    <w:tl2br w:val="nil"/>
                    <w:tr2bl w:val="nil"/>
                  </w:tcBorders>
                  <w:shd w:val="clear" w:color="auto" w:fill="FFFFFF"/>
                  <w:tcMar>
                    <w:top w:w="0" w:type="dxa"/>
                    <w:left w:w="0" w:type="dxa"/>
                    <w:bottom w:w="0" w:type="dxa"/>
                    <w:right w:w="0" w:type="dxa"/>
                  </w:tcMar>
                  <w:vAlign w:val="center"/>
                </w:tcPr>
                <w:p w14:paraId="51A22B24">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28</w:t>
                  </w:r>
                </w:p>
              </w:tc>
              <w:tc>
                <w:tcPr>
                  <w:tcW w:w="210" w:type="pct"/>
                  <w:tcBorders>
                    <w:tl2br w:val="nil"/>
                    <w:tr2bl w:val="nil"/>
                  </w:tcBorders>
                  <w:shd w:val="clear" w:color="auto" w:fill="FFFFFF"/>
                  <w:tcMar>
                    <w:top w:w="0" w:type="dxa"/>
                    <w:left w:w="0" w:type="dxa"/>
                    <w:bottom w:w="0" w:type="dxa"/>
                    <w:right w:w="0" w:type="dxa"/>
                  </w:tcMar>
                  <w:vAlign w:val="center"/>
                </w:tcPr>
                <w:p w14:paraId="6E4D3B87">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中创空天厂区-铝合金熔铸一厂</w:t>
                  </w:r>
                </w:p>
              </w:tc>
              <w:tc>
                <w:tcPr>
                  <w:tcW w:w="210" w:type="pct"/>
                  <w:tcBorders>
                    <w:tl2br w:val="nil"/>
                    <w:tr2bl w:val="nil"/>
                  </w:tcBorders>
                  <w:shd w:val="clear" w:color="auto" w:fill="FFFFFF"/>
                  <w:tcMar>
                    <w:top w:w="0" w:type="dxa"/>
                    <w:left w:w="0" w:type="dxa"/>
                    <w:bottom w:w="0" w:type="dxa"/>
                    <w:right w:w="0" w:type="dxa"/>
                  </w:tcMar>
                  <w:vAlign w:val="center"/>
                </w:tcPr>
                <w:p w14:paraId="4BEE0C89">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模具冷却系统泵机</w:t>
                  </w:r>
                </w:p>
              </w:tc>
              <w:tc>
                <w:tcPr>
                  <w:tcW w:w="210" w:type="pct"/>
                  <w:vMerge w:val="continue"/>
                  <w:tcBorders>
                    <w:tl2br w:val="nil"/>
                    <w:tr2bl w:val="nil"/>
                  </w:tcBorders>
                  <w:shd w:val="clear" w:color="auto" w:fill="FFFFFF"/>
                  <w:tcMar>
                    <w:top w:w="0" w:type="dxa"/>
                    <w:left w:w="0" w:type="dxa"/>
                    <w:bottom w:w="0" w:type="dxa"/>
                    <w:right w:w="0" w:type="dxa"/>
                  </w:tcMar>
                  <w:vAlign w:val="center"/>
                </w:tcPr>
                <w:p w14:paraId="17FF40AB">
                  <w:pPr>
                    <w:jc w:val="center"/>
                    <w:rPr>
                      <w:rFonts w:hint="default" w:ascii="Times New Roman" w:hAnsi="Times New Roman" w:eastAsia="宋体" w:cs="Times New Roman"/>
                      <w:color w:val="auto"/>
                      <w:u w:val="none" w:color="auto"/>
                    </w:rPr>
                  </w:pPr>
                </w:p>
              </w:tc>
              <w:tc>
                <w:tcPr>
                  <w:tcW w:w="281" w:type="pct"/>
                  <w:tcBorders>
                    <w:tl2br w:val="nil"/>
                    <w:tr2bl w:val="nil"/>
                  </w:tcBorders>
                  <w:shd w:val="clear" w:color="auto" w:fill="FFFFFF"/>
                  <w:tcMar>
                    <w:top w:w="0" w:type="dxa"/>
                    <w:left w:w="0" w:type="dxa"/>
                    <w:bottom w:w="0" w:type="dxa"/>
                    <w:right w:w="0" w:type="dxa"/>
                  </w:tcMar>
                  <w:vAlign w:val="center"/>
                </w:tcPr>
                <w:p w14:paraId="2CDB1693">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77.5</w:t>
                  </w:r>
                </w:p>
              </w:tc>
              <w:tc>
                <w:tcPr>
                  <w:tcW w:w="210" w:type="pct"/>
                  <w:tcBorders>
                    <w:tl2br w:val="nil"/>
                    <w:tr2bl w:val="nil"/>
                  </w:tcBorders>
                  <w:shd w:val="clear" w:color="auto" w:fill="FFFFFF"/>
                  <w:tcMar>
                    <w:top w:w="0" w:type="dxa"/>
                    <w:left w:w="0" w:type="dxa"/>
                    <w:bottom w:w="0" w:type="dxa"/>
                    <w:right w:w="0" w:type="dxa"/>
                  </w:tcMar>
                  <w:vAlign w:val="center"/>
                </w:tcPr>
                <w:p w14:paraId="6A45BB79">
                  <w:pPr>
                    <w:jc w:val="center"/>
                    <w:rPr>
                      <w:rFonts w:hint="default" w:ascii="Times New Roman" w:hAnsi="Times New Roman" w:eastAsia="宋体" w:cs="Times New Roman"/>
                      <w:color w:val="auto"/>
                      <w:u w:val="none" w:color="auto"/>
                    </w:rPr>
                  </w:pPr>
                </w:p>
              </w:tc>
              <w:tc>
                <w:tcPr>
                  <w:tcW w:w="199" w:type="pct"/>
                  <w:tcBorders>
                    <w:tl2br w:val="nil"/>
                    <w:tr2bl w:val="nil"/>
                  </w:tcBorders>
                  <w:shd w:val="clear" w:color="auto" w:fill="FFFFFF"/>
                  <w:tcMar>
                    <w:top w:w="0" w:type="dxa"/>
                    <w:left w:w="0" w:type="dxa"/>
                    <w:bottom w:w="0" w:type="dxa"/>
                    <w:right w:w="0" w:type="dxa"/>
                  </w:tcMar>
                  <w:vAlign w:val="center"/>
                </w:tcPr>
                <w:p w14:paraId="202ADF06">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-45.4</w:t>
                  </w:r>
                </w:p>
              </w:tc>
              <w:tc>
                <w:tcPr>
                  <w:tcW w:w="247" w:type="pct"/>
                  <w:tcBorders>
                    <w:tl2br w:val="nil"/>
                    <w:tr2bl w:val="nil"/>
                  </w:tcBorders>
                  <w:shd w:val="clear" w:color="auto" w:fill="FFFFFF"/>
                  <w:tcMar>
                    <w:top w:w="0" w:type="dxa"/>
                    <w:left w:w="0" w:type="dxa"/>
                    <w:bottom w:w="0" w:type="dxa"/>
                    <w:right w:w="0" w:type="dxa"/>
                  </w:tcMar>
                  <w:vAlign w:val="center"/>
                </w:tcPr>
                <w:p w14:paraId="65776867">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-114.4</w:t>
                  </w:r>
                </w:p>
              </w:tc>
              <w:tc>
                <w:tcPr>
                  <w:tcW w:w="124" w:type="pct"/>
                  <w:tcBorders>
                    <w:tl2br w:val="nil"/>
                    <w:tr2bl w:val="nil"/>
                  </w:tcBorders>
                  <w:shd w:val="clear" w:color="auto" w:fill="FFFFFF"/>
                  <w:tcMar>
                    <w:top w:w="0" w:type="dxa"/>
                    <w:left w:w="0" w:type="dxa"/>
                    <w:bottom w:w="0" w:type="dxa"/>
                    <w:right w:w="0" w:type="dxa"/>
                  </w:tcMar>
                  <w:vAlign w:val="center"/>
                </w:tcPr>
                <w:p w14:paraId="306D9049">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w:t>
                  </w:r>
                </w:p>
              </w:tc>
              <w:tc>
                <w:tcPr>
                  <w:tcW w:w="168" w:type="pct"/>
                  <w:tcBorders>
                    <w:tl2br w:val="nil"/>
                    <w:tr2bl w:val="nil"/>
                  </w:tcBorders>
                  <w:shd w:val="clear" w:color="auto" w:fill="FFFFFF"/>
                  <w:tcMar>
                    <w:top w:w="0" w:type="dxa"/>
                    <w:left w:w="0" w:type="dxa"/>
                    <w:bottom w:w="0" w:type="dxa"/>
                    <w:right w:w="0" w:type="dxa"/>
                  </w:tcMar>
                  <w:vAlign w:val="center"/>
                </w:tcPr>
                <w:p w14:paraId="06745B5F">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26.6</w:t>
                  </w:r>
                </w:p>
              </w:tc>
              <w:tc>
                <w:tcPr>
                  <w:tcW w:w="168" w:type="pct"/>
                  <w:tcBorders>
                    <w:tl2br w:val="nil"/>
                    <w:tr2bl w:val="nil"/>
                  </w:tcBorders>
                  <w:shd w:val="clear" w:color="auto" w:fill="FFFFFF"/>
                  <w:tcMar>
                    <w:top w:w="0" w:type="dxa"/>
                    <w:left w:w="0" w:type="dxa"/>
                    <w:bottom w:w="0" w:type="dxa"/>
                    <w:right w:w="0" w:type="dxa"/>
                  </w:tcMar>
                  <w:vAlign w:val="center"/>
                </w:tcPr>
                <w:p w14:paraId="734874F5">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22.4</w:t>
                  </w:r>
                </w:p>
              </w:tc>
              <w:tc>
                <w:tcPr>
                  <w:tcW w:w="214" w:type="pct"/>
                  <w:tcBorders>
                    <w:tl2br w:val="nil"/>
                    <w:tr2bl w:val="nil"/>
                  </w:tcBorders>
                  <w:shd w:val="clear" w:color="auto" w:fill="FFFFFF"/>
                  <w:tcMar>
                    <w:top w:w="0" w:type="dxa"/>
                    <w:left w:w="0" w:type="dxa"/>
                    <w:bottom w:w="0" w:type="dxa"/>
                    <w:right w:w="0" w:type="dxa"/>
                  </w:tcMar>
                  <w:vAlign w:val="center"/>
                </w:tcPr>
                <w:p w14:paraId="1641DA06">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98.5</w:t>
                  </w:r>
                </w:p>
              </w:tc>
              <w:tc>
                <w:tcPr>
                  <w:tcW w:w="214" w:type="pct"/>
                  <w:tcBorders>
                    <w:tl2br w:val="nil"/>
                    <w:tr2bl w:val="nil"/>
                  </w:tcBorders>
                  <w:shd w:val="clear" w:color="auto" w:fill="FFFFFF"/>
                  <w:tcMar>
                    <w:top w:w="0" w:type="dxa"/>
                    <w:left w:w="0" w:type="dxa"/>
                    <w:bottom w:w="0" w:type="dxa"/>
                    <w:right w:w="0" w:type="dxa"/>
                  </w:tcMar>
                  <w:vAlign w:val="center"/>
                </w:tcPr>
                <w:p w14:paraId="7ADA46AF">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114.9</w:t>
                  </w:r>
                </w:p>
              </w:tc>
              <w:tc>
                <w:tcPr>
                  <w:tcW w:w="169" w:type="pct"/>
                  <w:tcBorders>
                    <w:tl2br w:val="nil"/>
                    <w:tr2bl w:val="nil"/>
                  </w:tcBorders>
                  <w:shd w:val="clear" w:color="auto" w:fill="FFFFFF"/>
                  <w:tcMar>
                    <w:top w:w="0" w:type="dxa"/>
                    <w:left w:w="0" w:type="dxa"/>
                    <w:bottom w:w="0" w:type="dxa"/>
                    <w:right w:w="0" w:type="dxa"/>
                  </w:tcMar>
                  <w:vAlign w:val="center"/>
                </w:tcPr>
                <w:p w14:paraId="1DC58DA7">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56.9</w:t>
                  </w:r>
                </w:p>
              </w:tc>
              <w:tc>
                <w:tcPr>
                  <w:tcW w:w="169" w:type="pct"/>
                  <w:tcBorders>
                    <w:tl2br w:val="nil"/>
                    <w:tr2bl w:val="nil"/>
                  </w:tcBorders>
                  <w:shd w:val="clear" w:color="auto" w:fill="FFFFFF"/>
                  <w:tcMar>
                    <w:top w:w="0" w:type="dxa"/>
                    <w:left w:w="0" w:type="dxa"/>
                    <w:bottom w:w="0" w:type="dxa"/>
                    <w:right w:w="0" w:type="dxa"/>
                  </w:tcMar>
                  <w:vAlign w:val="center"/>
                </w:tcPr>
                <w:p w14:paraId="0CACB99E">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56.9</w:t>
                  </w:r>
                </w:p>
              </w:tc>
              <w:tc>
                <w:tcPr>
                  <w:tcW w:w="169" w:type="pct"/>
                  <w:tcBorders>
                    <w:tl2br w:val="nil"/>
                    <w:tr2bl w:val="nil"/>
                  </w:tcBorders>
                  <w:shd w:val="clear" w:color="auto" w:fill="FFFFFF"/>
                  <w:tcMar>
                    <w:top w:w="0" w:type="dxa"/>
                    <w:left w:w="0" w:type="dxa"/>
                    <w:bottom w:w="0" w:type="dxa"/>
                    <w:right w:w="0" w:type="dxa"/>
                  </w:tcMar>
                  <w:vAlign w:val="center"/>
                </w:tcPr>
                <w:p w14:paraId="047C84C1">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56.8</w:t>
                  </w:r>
                </w:p>
              </w:tc>
              <w:tc>
                <w:tcPr>
                  <w:tcW w:w="169" w:type="pct"/>
                  <w:tcBorders>
                    <w:tl2br w:val="nil"/>
                    <w:tr2bl w:val="nil"/>
                  </w:tcBorders>
                  <w:shd w:val="clear" w:color="auto" w:fill="FFFFFF"/>
                  <w:tcMar>
                    <w:top w:w="0" w:type="dxa"/>
                    <w:left w:w="0" w:type="dxa"/>
                    <w:bottom w:w="0" w:type="dxa"/>
                    <w:right w:w="0" w:type="dxa"/>
                  </w:tcMar>
                  <w:vAlign w:val="center"/>
                </w:tcPr>
                <w:p w14:paraId="3F93B0A5">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56.8</w:t>
                  </w:r>
                </w:p>
              </w:tc>
              <w:tc>
                <w:tcPr>
                  <w:tcW w:w="210" w:type="pct"/>
                  <w:tcBorders>
                    <w:tl2br w:val="nil"/>
                    <w:tr2bl w:val="nil"/>
                  </w:tcBorders>
                  <w:shd w:val="clear" w:color="auto" w:fill="FFFFFF"/>
                  <w:tcMar>
                    <w:top w:w="0" w:type="dxa"/>
                    <w:left w:w="0" w:type="dxa"/>
                    <w:bottom w:w="0" w:type="dxa"/>
                    <w:right w:w="0" w:type="dxa"/>
                  </w:tcMar>
                  <w:vAlign w:val="center"/>
                </w:tcPr>
                <w:p w14:paraId="4B2FE088">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24</w:t>
                  </w:r>
                </w:p>
              </w:tc>
              <w:tc>
                <w:tcPr>
                  <w:tcW w:w="169" w:type="pct"/>
                  <w:tcBorders>
                    <w:tl2br w:val="nil"/>
                    <w:tr2bl w:val="nil"/>
                  </w:tcBorders>
                  <w:shd w:val="clear" w:color="auto" w:fill="FFFFFF"/>
                  <w:tcMar>
                    <w:top w:w="0" w:type="dxa"/>
                    <w:left w:w="0" w:type="dxa"/>
                    <w:bottom w:w="0" w:type="dxa"/>
                    <w:right w:w="0" w:type="dxa"/>
                  </w:tcMar>
                  <w:vAlign w:val="center"/>
                </w:tcPr>
                <w:p w14:paraId="67A97A22">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9" w:type="pct"/>
                  <w:tcBorders>
                    <w:tl2br w:val="nil"/>
                    <w:tr2bl w:val="nil"/>
                  </w:tcBorders>
                  <w:shd w:val="clear" w:color="auto" w:fill="FFFFFF"/>
                  <w:tcMar>
                    <w:top w:w="0" w:type="dxa"/>
                    <w:left w:w="0" w:type="dxa"/>
                    <w:bottom w:w="0" w:type="dxa"/>
                    <w:right w:w="0" w:type="dxa"/>
                  </w:tcMar>
                  <w:vAlign w:val="center"/>
                </w:tcPr>
                <w:p w14:paraId="56E20781">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9" w:type="pct"/>
                  <w:tcBorders>
                    <w:tl2br w:val="nil"/>
                    <w:tr2bl w:val="nil"/>
                  </w:tcBorders>
                  <w:shd w:val="clear" w:color="auto" w:fill="FFFFFF"/>
                  <w:tcMar>
                    <w:top w:w="0" w:type="dxa"/>
                    <w:left w:w="0" w:type="dxa"/>
                    <w:bottom w:w="0" w:type="dxa"/>
                    <w:right w:w="0" w:type="dxa"/>
                  </w:tcMar>
                  <w:vAlign w:val="center"/>
                </w:tcPr>
                <w:p w14:paraId="5FAAD825">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9" w:type="pct"/>
                  <w:tcBorders>
                    <w:tl2br w:val="nil"/>
                    <w:tr2bl w:val="nil"/>
                  </w:tcBorders>
                  <w:shd w:val="clear" w:color="auto" w:fill="FFFFFF"/>
                  <w:tcMar>
                    <w:top w:w="0" w:type="dxa"/>
                    <w:left w:w="0" w:type="dxa"/>
                    <w:bottom w:w="0" w:type="dxa"/>
                    <w:right w:w="0" w:type="dxa"/>
                  </w:tcMar>
                  <w:vAlign w:val="center"/>
                </w:tcPr>
                <w:p w14:paraId="0FF963C6">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8" w:type="pct"/>
                  <w:tcBorders>
                    <w:tl2br w:val="nil"/>
                    <w:tr2bl w:val="nil"/>
                  </w:tcBorders>
                  <w:shd w:val="clear" w:color="auto" w:fill="FFFFFF"/>
                  <w:tcMar>
                    <w:top w:w="0" w:type="dxa"/>
                    <w:left w:w="0" w:type="dxa"/>
                    <w:bottom w:w="0" w:type="dxa"/>
                    <w:right w:w="0" w:type="dxa"/>
                  </w:tcMar>
                  <w:vAlign w:val="center"/>
                </w:tcPr>
                <w:p w14:paraId="72CD642E">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44.9</w:t>
                  </w:r>
                </w:p>
              </w:tc>
              <w:tc>
                <w:tcPr>
                  <w:tcW w:w="168" w:type="pct"/>
                  <w:tcBorders>
                    <w:tl2br w:val="nil"/>
                    <w:tr2bl w:val="nil"/>
                  </w:tcBorders>
                  <w:shd w:val="clear" w:color="auto" w:fill="FFFFFF"/>
                  <w:tcMar>
                    <w:top w:w="0" w:type="dxa"/>
                    <w:left w:w="0" w:type="dxa"/>
                    <w:bottom w:w="0" w:type="dxa"/>
                    <w:right w:w="0" w:type="dxa"/>
                  </w:tcMar>
                  <w:vAlign w:val="center"/>
                </w:tcPr>
                <w:p w14:paraId="78D48AE3">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44.9</w:t>
                  </w:r>
                </w:p>
              </w:tc>
              <w:tc>
                <w:tcPr>
                  <w:tcW w:w="168" w:type="pct"/>
                  <w:tcBorders>
                    <w:tl2br w:val="nil"/>
                    <w:tr2bl w:val="nil"/>
                  </w:tcBorders>
                  <w:shd w:val="clear" w:color="auto" w:fill="FFFFFF"/>
                  <w:tcMar>
                    <w:top w:w="0" w:type="dxa"/>
                    <w:left w:w="0" w:type="dxa"/>
                    <w:bottom w:w="0" w:type="dxa"/>
                    <w:right w:w="0" w:type="dxa"/>
                  </w:tcMar>
                  <w:vAlign w:val="center"/>
                </w:tcPr>
                <w:p w14:paraId="2D52DD8F">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44.8</w:t>
                  </w:r>
                </w:p>
              </w:tc>
              <w:tc>
                <w:tcPr>
                  <w:tcW w:w="168" w:type="pct"/>
                  <w:tcBorders>
                    <w:tl2br w:val="nil"/>
                    <w:tr2bl w:val="nil"/>
                  </w:tcBorders>
                  <w:shd w:val="clear" w:color="auto" w:fill="FFFFFF"/>
                  <w:tcMar>
                    <w:top w:w="0" w:type="dxa"/>
                    <w:left w:w="0" w:type="dxa"/>
                    <w:bottom w:w="0" w:type="dxa"/>
                    <w:right w:w="0" w:type="dxa"/>
                  </w:tcMar>
                  <w:vAlign w:val="center"/>
                </w:tcPr>
                <w:p w14:paraId="355477E7">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44.8</w:t>
                  </w:r>
                </w:p>
              </w:tc>
              <w:tc>
                <w:tcPr>
                  <w:tcW w:w="93" w:type="pct"/>
                  <w:tcBorders>
                    <w:tl2br w:val="nil"/>
                    <w:tr2bl w:val="nil"/>
                  </w:tcBorders>
                  <w:shd w:val="clear" w:color="auto" w:fill="FFFFFF"/>
                  <w:tcMar>
                    <w:top w:w="0" w:type="dxa"/>
                    <w:left w:w="0" w:type="dxa"/>
                    <w:bottom w:w="0" w:type="dxa"/>
                    <w:right w:w="0" w:type="dxa"/>
                  </w:tcMar>
                  <w:vAlign w:val="center"/>
                </w:tcPr>
                <w:p w14:paraId="13D57ED6">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w:t>
                  </w:r>
                </w:p>
              </w:tc>
            </w:tr>
            <w:tr w14:paraId="5578CD6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23" w:hRule="atLeast"/>
              </w:trPr>
              <w:tc>
                <w:tcPr>
                  <w:tcW w:w="210" w:type="pct"/>
                  <w:tcBorders>
                    <w:tl2br w:val="nil"/>
                    <w:tr2bl w:val="nil"/>
                  </w:tcBorders>
                  <w:shd w:val="clear" w:color="auto" w:fill="FFFFFF"/>
                  <w:tcMar>
                    <w:top w:w="0" w:type="dxa"/>
                    <w:left w:w="0" w:type="dxa"/>
                    <w:bottom w:w="0" w:type="dxa"/>
                    <w:right w:w="0" w:type="dxa"/>
                  </w:tcMar>
                  <w:vAlign w:val="center"/>
                </w:tcPr>
                <w:p w14:paraId="6BEE4357">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29</w:t>
                  </w:r>
                </w:p>
              </w:tc>
              <w:tc>
                <w:tcPr>
                  <w:tcW w:w="210" w:type="pct"/>
                  <w:tcBorders>
                    <w:tl2br w:val="nil"/>
                    <w:tr2bl w:val="nil"/>
                  </w:tcBorders>
                  <w:shd w:val="clear" w:color="auto" w:fill="FFFFFF"/>
                  <w:tcMar>
                    <w:top w:w="0" w:type="dxa"/>
                    <w:left w:w="0" w:type="dxa"/>
                    <w:bottom w:w="0" w:type="dxa"/>
                    <w:right w:w="0" w:type="dxa"/>
                  </w:tcMar>
                  <w:vAlign w:val="center"/>
                </w:tcPr>
                <w:p w14:paraId="2ED3F0C1">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中创空天厂区-铝合金熔铸一厂</w:t>
                  </w:r>
                </w:p>
              </w:tc>
              <w:tc>
                <w:tcPr>
                  <w:tcW w:w="210" w:type="pct"/>
                  <w:tcBorders>
                    <w:tl2br w:val="nil"/>
                    <w:tr2bl w:val="nil"/>
                  </w:tcBorders>
                  <w:shd w:val="clear" w:color="auto" w:fill="FFFFFF"/>
                  <w:tcMar>
                    <w:top w:w="0" w:type="dxa"/>
                    <w:left w:w="0" w:type="dxa"/>
                    <w:bottom w:w="0" w:type="dxa"/>
                    <w:right w:w="0" w:type="dxa"/>
                  </w:tcMar>
                  <w:vAlign w:val="center"/>
                </w:tcPr>
                <w:p w14:paraId="75982CA0">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模具冷却系统泵机</w:t>
                  </w:r>
                </w:p>
              </w:tc>
              <w:tc>
                <w:tcPr>
                  <w:tcW w:w="210" w:type="pct"/>
                  <w:vMerge w:val="restart"/>
                  <w:tcBorders>
                    <w:tl2br w:val="nil"/>
                    <w:tr2bl w:val="nil"/>
                  </w:tcBorders>
                  <w:shd w:val="clear" w:color="auto" w:fill="FFFFFF"/>
                  <w:tcMar>
                    <w:top w:w="0" w:type="dxa"/>
                    <w:left w:w="0" w:type="dxa"/>
                    <w:bottom w:w="0" w:type="dxa"/>
                    <w:right w:w="0" w:type="dxa"/>
                  </w:tcMar>
                  <w:vAlign w:val="center"/>
                </w:tcPr>
                <w:p w14:paraId="04508928">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val="en-US" w:eastAsia="zh-CN"/>
                    </w:rPr>
                    <w:t>详见本节上表相关内容</w:t>
                  </w:r>
                </w:p>
              </w:tc>
              <w:tc>
                <w:tcPr>
                  <w:tcW w:w="281" w:type="pct"/>
                  <w:tcBorders>
                    <w:tl2br w:val="nil"/>
                    <w:tr2bl w:val="nil"/>
                  </w:tcBorders>
                  <w:shd w:val="clear" w:color="auto" w:fill="FFFFFF"/>
                  <w:tcMar>
                    <w:top w:w="0" w:type="dxa"/>
                    <w:left w:w="0" w:type="dxa"/>
                    <w:bottom w:w="0" w:type="dxa"/>
                    <w:right w:w="0" w:type="dxa"/>
                  </w:tcMar>
                  <w:vAlign w:val="center"/>
                </w:tcPr>
                <w:p w14:paraId="01A502EE">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77.5</w:t>
                  </w:r>
                </w:p>
              </w:tc>
              <w:tc>
                <w:tcPr>
                  <w:tcW w:w="210" w:type="pct"/>
                  <w:tcBorders>
                    <w:tl2br w:val="nil"/>
                    <w:tr2bl w:val="nil"/>
                  </w:tcBorders>
                  <w:shd w:val="clear" w:color="auto" w:fill="FFFFFF"/>
                  <w:tcMar>
                    <w:top w:w="0" w:type="dxa"/>
                    <w:left w:w="0" w:type="dxa"/>
                    <w:bottom w:w="0" w:type="dxa"/>
                    <w:right w:w="0" w:type="dxa"/>
                  </w:tcMar>
                  <w:vAlign w:val="center"/>
                </w:tcPr>
                <w:p w14:paraId="03E5CD6C">
                  <w:pPr>
                    <w:jc w:val="center"/>
                    <w:rPr>
                      <w:rFonts w:hint="default" w:ascii="Times New Roman" w:hAnsi="Times New Roman" w:eastAsia="宋体" w:cs="Times New Roman"/>
                      <w:color w:val="auto"/>
                      <w:u w:val="none" w:color="auto"/>
                    </w:rPr>
                  </w:pPr>
                </w:p>
              </w:tc>
              <w:tc>
                <w:tcPr>
                  <w:tcW w:w="199" w:type="pct"/>
                  <w:tcBorders>
                    <w:tl2br w:val="nil"/>
                    <w:tr2bl w:val="nil"/>
                  </w:tcBorders>
                  <w:shd w:val="clear" w:color="auto" w:fill="FFFFFF"/>
                  <w:tcMar>
                    <w:top w:w="0" w:type="dxa"/>
                    <w:left w:w="0" w:type="dxa"/>
                    <w:bottom w:w="0" w:type="dxa"/>
                    <w:right w:w="0" w:type="dxa"/>
                  </w:tcMar>
                  <w:vAlign w:val="center"/>
                </w:tcPr>
                <w:p w14:paraId="74186281">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-49</w:t>
                  </w:r>
                </w:p>
              </w:tc>
              <w:tc>
                <w:tcPr>
                  <w:tcW w:w="247" w:type="pct"/>
                  <w:tcBorders>
                    <w:tl2br w:val="nil"/>
                    <w:tr2bl w:val="nil"/>
                  </w:tcBorders>
                  <w:shd w:val="clear" w:color="auto" w:fill="FFFFFF"/>
                  <w:tcMar>
                    <w:top w:w="0" w:type="dxa"/>
                    <w:left w:w="0" w:type="dxa"/>
                    <w:bottom w:w="0" w:type="dxa"/>
                    <w:right w:w="0" w:type="dxa"/>
                  </w:tcMar>
                  <w:vAlign w:val="center"/>
                </w:tcPr>
                <w:p w14:paraId="02490CA5">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-112.3</w:t>
                  </w:r>
                </w:p>
              </w:tc>
              <w:tc>
                <w:tcPr>
                  <w:tcW w:w="124" w:type="pct"/>
                  <w:tcBorders>
                    <w:tl2br w:val="nil"/>
                    <w:tr2bl w:val="nil"/>
                  </w:tcBorders>
                  <w:shd w:val="clear" w:color="auto" w:fill="FFFFFF"/>
                  <w:tcMar>
                    <w:top w:w="0" w:type="dxa"/>
                    <w:left w:w="0" w:type="dxa"/>
                    <w:bottom w:w="0" w:type="dxa"/>
                    <w:right w:w="0" w:type="dxa"/>
                  </w:tcMar>
                  <w:vAlign w:val="center"/>
                </w:tcPr>
                <w:p w14:paraId="67ECA230">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w:t>
                  </w:r>
                </w:p>
              </w:tc>
              <w:tc>
                <w:tcPr>
                  <w:tcW w:w="168" w:type="pct"/>
                  <w:tcBorders>
                    <w:tl2br w:val="nil"/>
                    <w:tr2bl w:val="nil"/>
                  </w:tcBorders>
                  <w:shd w:val="clear" w:color="auto" w:fill="FFFFFF"/>
                  <w:tcMar>
                    <w:top w:w="0" w:type="dxa"/>
                    <w:left w:w="0" w:type="dxa"/>
                    <w:bottom w:w="0" w:type="dxa"/>
                    <w:right w:w="0" w:type="dxa"/>
                  </w:tcMar>
                  <w:vAlign w:val="center"/>
                </w:tcPr>
                <w:p w14:paraId="27753676">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30.7</w:t>
                  </w:r>
                </w:p>
              </w:tc>
              <w:tc>
                <w:tcPr>
                  <w:tcW w:w="168" w:type="pct"/>
                  <w:tcBorders>
                    <w:tl2br w:val="nil"/>
                    <w:tr2bl w:val="nil"/>
                  </w:tcBorders>
                  <w:shd w:val="clear" w:color="auto" w:fill="FFFFFF"/>
                  <w:tcMar>
                    <w:top w:w="0" w:type="dxa"/>
                    <w:left w:w="0" w:type="dxa"/>
                    <w:bottom w:w="0" w:type="dxa"/>
                    <w:right w:w="0" w:type="dxa"/>
                  </w:tcMar>
                  <w:vAlign w:val="center"/>
                </w:tcPr>
                <w:p w14:paraId="6B439AAD">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22.1</w:t>
                  </w:r>
                </w:p>
              </w:tc>
              <w:tc>
                <w:tcPr>
                  <w:tcW w:w="214" w:type="pct"/>
                  <w:tcBorders>
                    <w:tl2br w:val="nil"/>
                    <w:tr2bl w:val="nil"/>
                  </w:tcBorders>
                  <w:shd w:val="clear" w:color="auto" w:fill="FFFFFF"/>
                  <w:tcMar>
                    <w:top w:w="0" w:type="dxa"/>
                    <w:left w:w="0" w:type="dxa"/>
                    <w:bottom w:w="0" w:type="dxa"/>
                    <w:right w:w="0" w:type="dxa"/>
                  </w:tcMar>
                  <w:vAlign w:val="center"/>
                </w:tcPr>
                <w:p w14:paraId="0C92B837">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94.4</w:t>
                  </w:r>
                </w:p>
              </w:tc>
              <w:tc>
                <w:tcPr>
                  <w:tcW w:w="214" w:type="pct"/>
                  <w:tcBorders>
                    <w:tl2br w:val="nil"/>
                    <w:tr2bl w:val="nil"/>
                  </w:tcBorders>
                  <w:shd w:val="clear" w:color="auto" w:fill="FFFFFF"/>
                  <w:tcMar>
                    <w:top w:w="0" w:type="dxa"/>
                    <w:left w:w="0" w:type="dxa"/>
                    <w:bottom w:w="0" w:type="dxa"/>
                    <w:right w:w="0" w:type="dxa"/>
                  </w:tcMar>
                  <w:vAlign w:val="center"/>
                </w:tcPr>
                <w:p w14:paraId="3AF347BE">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115.3</w:t>
                  </w:r>
                </w:p>
              </w:tc>
              <w:tc>
                <w:tcPr>
                  <w:tcW w:w="169" w:type="pct"/>
                  <w:tcBorders>
                    <w:tl2br w:val="nil"/>
                    <w:tr2bl w:val="nil"/>
                  </w:tcBorders>
                  <w:shd w:val="clear" w:color="auto" w:fill="FFFFFF"/>
                  <w:tcMar>
                    <w:top w:w="0" w:type="dxa"/>
                    <w:left w:w="0" w:type="dxa"/>
                    <w:bottom w:w="0" w:type="dxa"/>
                    <w:right w:w="0" w:type="dxa"/>
                  </w:tcMar>
                  <w:vAlign w:val="center"/>
                </w:tcPr>
                <w:p w14:paraId="20F1F530">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56.9</w:t>
                  </w:r>
                </w:p>
              </w:tc>
              <w:tc>
                <w:tcPr>
                  <w:tcW w:w="169" w:type="pct"/>
                  <w:tcBorders>
                    <w:tl2br w:val="nil"/>
                    <w:tr2bl w:val="nil"/>
                  </w:tcBorders>
                  <w:shd w:val="clear" w:color="auto" w:fill="FFFFFF"/>
                  <w:tcMar>
                    <w:top w:w="0" w:type="dxa"/>
                    <w:left w:w="0" w:type="dxa"/>
                    <w:bottom w:w="0" w:type="dxa"/>
                    <w:right w:w="0" w:type="dxa"/>
                  </w:tcMar>
                  <w:vAlign w:val="center"/>
                </w:tcPr>
                <w:p w14:paraId="0544D275">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56.9</w:t>
                  </w:r>
                </w:p>
              </w:tc>
              <w:tc>
                <w:tcPr>
                  <w:tcW w:w="169" w:type="pct"/>
                  <w:tcBorders>
                    <w:tl2br w:val="nil"/>
                    <w:tr2bl w:val="nil"/>
                  </w:tcBorders>
                  <w:shd w:val="clear" w:color="auto" w:fill="FFFFFF"/>
                  <w:tcMar>
                    <w:top w:w="0" w:type="dxa"/>
                    <w:left w:w="0" w:type="dxa"/>
                    <w:bottom w:w="0" w:type="dxa"/>
                    <w:right w:w="0" w:type="dxa"/>
                  </w:tcMar>
                  <w:vAlign w:val="center"/>
                </w:tcPr>
                <w:p w14:paraId="45AF4D3F">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56.8</w:t>
                  </w:r>
                </w:p>
              </w:tc>
              <w:tc>
                <w:tcPr>
                  <w:tcW w:w="169" w:type="pct"/>
                  <w:tcBorders>
                    <w:tl2br w:val="nil"/>
                    <w:tr2bl w:val="nil"/>
                  </w:tcBorders>
                  <w:shd w:val="clear" w:color="auto" w:fill="FFFFFF"/>
                  <w:tcMar>
                    <w:top w:w="0" w:type="dxa"/>
                    <w:left w:w="0" w:type="dxa"/>
                    <w:bottom w:w="0" w:type="dxa"/>
                    <w:right w:w="0" w:type="dxa"/>
                  </w:tcMar>
                  <w:vAlign w:val="center"/>
                </w:tcPr>
                <w:p w14:paraId="1B016AF9">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56.8</w:t>
                  </w:r>
                </w:p>
              </w:tc>
              <w:tc>
                <w:tcPr>
                  <w:tcW w:w="210" w:type="pct"/>
                  <w:tcBorders>
                    <w:tl2br w:val="nil"/>
                    <w:tr2bl w:val="nil"/>
                  </w:tcBorders>
                  <w:shd w:val="clear" w:color="auto" w:fill="FFFFFF"/>
                  <w:tcMar>
                    <w:top w:w="0" w:type="dxa"/>
                    <w:left w:w="0" w:type="dxa"/>
                    <w:bottom w:w="0" w:type="dxa"/>
                    <w:right w:w="0" w:type="dxa"/>
                  </w:tcMar>
                  <w:vAlign w:val="center"/>
                </w:tcPr>
                <w:p w14:paraId="21AE0103">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24</w:t>
                  </w:r>
                </w:p>
              </w:tc>
              <w:tc>
                <w:tcPr>
                  <w:tcW w:w="169" w:type="pct"/>
                  <w:tcBorders>
                    <w:tl2br w:val="nil"/>
                    <w:tr2bl w:val="nil"/>
                  </w:tcBorders>
                  <w:shd w:val="clear" w:color="auto" w:fill="FFFFFF"/>
                  <w:tcMar>
                    <w:top w:w="0" w:type="dxa"/>
                    <w:left w:w="0" w:type="dxa"/>
                    <w:bottom w:w="0" w:type="dxa"/>
                    <w:right w:w="0" w:type="dxa"/>
                  </w:tcMar>
                  <w:vAlign w:val="center"/>
                </w:tcPr>
                <w:p w14:paraId="3AB9DAF2">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9" w:type="pct"/>
                  <w:tcBorders>
                    <w:tl2br w:val="nil"/>
                    <w:tr2bl w:val="nil"/>
                  </w:tcBorders>
                  <w:shd w:val="clear" w:color="auto" w:fill="FFFFFF"/>
                  <w:tcMar>
                    <w:top w:w="0" w:type="dxa"/>
                    <w:left w:w="0" w:type="dxa"/>
                    <w:bottom w:w="0" w:type="dxa"/>
                    <w:right w:w="0" w:type="dxa"/>
                  </w:tcMar>
                  <w:vAlign w:val="center"/>
                </w:tcPr>
                <w:p w14:paraId="211197DD">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9" w:type="pct"/>
                  <w:tcBorders>
                    <w:tl2br w:val="nil"/>
                    <w:tr2bl w:val="nil"/>
                  </w:tcBorders>
                  <w:shd w:val="clear" w:color="auto" w:fill="FFFFFF"/>
                  <w:tcMar>
                    <w:top w:w="0" w:type="dxa"/>
                    <w:left w:w="0" w:type="dxa"/>
                    <w:bottom w:w="0" w:type="dxa"/>
                    <w:right w:w="0" w:type="dxa"/>
                  </w:tcMar>
                  <w:vAlign w:val="center"/>
                </w:tcPr>
                <w:p w14:paraId="15372418">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9" w:type="pct"/>
                  <w:tcBorders>
                    <w:tl2br w:val="nil"/>
                    <w:tr2bl w:val="nil"/>
                  </w:tcBorders>
                  <w:shd w:val="clear" w:color="auto" w:fill="FFFFFF"/>
                  <w:tcMar>
                    <w:top w:w="0" w:type="dxa"/>
                    <w:left w:w="0" w:type="dxa"/>
                    <w:bottom w:w="0" w:type="dxa"/>
                    <w:right w:w="0" w:type="dxa"/>
                  </w:tcMar>
                  <w:vAlign w:val="center"/>
                </w:tcPr>
                <w:p w14:paraId="659E094A">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8" w:type="pct"/>
                  <w:tcBorders>
                    <w:tl2br w:val="nil"/>
                    <w:tr2bl w:val="nil"/>
                  </w:tcBorders>
                  <w:shd w:val="clear" w:color="auto" w:fill="FFFFFF"/>
                  <w:tcMar>
                    <w:top w:w="0" w:type="dxa"/>
                    <w:left w:w="0" w:type="dxa"/>
                    <w:bottom w:w="0" w:type="dxa"/>
                    <w:right w:w="0" w:type="dxa"/>
                  </w:tcMar>
                  <w:vAlign w:val="center"/>
                </w:tcPr>
                <w:p w14:paraId="1DE532DE">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44.9</w:t>
                  </w:r>
                </w:p>
              </w:tc>
              <w:tc>
                <w:tcPr>
                  <w:tcW w:w="168" w:type="pct"/>
                  <w:tcBorders>
                    <w:tl2br w:val="nil"/>
                    <w:tr2bl w:val="nil"/>
                  </w:tcBorders>
                  <w:shd w:val="clear" w:color="auto" w:fill="FFFFFF"/>
                  <w:tcMar>
                    <w:top w:w="0" w:type="dxa"/>
                    <w:left w:w="0" w:type="dxa"/>
                    <w:bottom w:w="0" w:type="dxa"/>
                    <w:right w:w="0" w:type="dxa"/>
                  </w:tcMar>
                  <w:vAlign w:val="center"/>
                </w:tcPr>
                <w:p w14:paraId="66E0E046">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44.9</w:t>
                  </w:r>
                </w:p>
              </w:tc>
              <w:tc>
                <w:tcPr>
                  <w:tcW w:w="168" w:type="pct"/>
                  <w:tcBorders>
                    <w:tl2br w:val="nil"/>
                    <w:tr2bl w:val="nil"/>
                  </w:tcBorders>
                  <w:shd w:val="clear" w:color="auto" w:fill="FFFFFF"/>
                  <w:tcMar>
                    <w:top w:w="0" w:type="dxa"/>
                    <w:left w:w="0" w:type="dxa"/>
                    <w:bottom w:w="0" w:type="dxa"/>
                    <w:right w:w="0" w:type="dxa"/>
                  </w:tcMar>
                  <w:vAlign w:val="center"/>
                </w:tcPr>
                <w:p w14:paraId="69165513">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44.8</w:t>
                  </w:r>
                </w:p>
              </w:tc>
              <w:tc>
                <w:tcPr>
                  <w:tcW w:w="168" w:type="pct"/>
                  <w:tcBorders>
                    <w:tl2br w:val="nil"/>
                    <w:tr2bl w:val="nil"/>
                  </w:tcBorders>
                  <w:shd w:val="clear" w:color="auto" w:fill="FFFFFF"/>
                  <w:tcMar>
                    <w:top w:w="0" w:type="dxa"/>
                    <w:left w:w="0" w:type="dxa"/>
                    <w:bottom w:w="0" w:type="dxa"/>
                    <w:right w:w="0" w:type="dxa"/>
                  </w:tcMar>
                  <w:vAlign w:val="center"/>
                </w:tcPr>
                <w:p w14:paraId="637CAE87">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44.8</w:t>
                  </w:r>
                </w:p>
              </w:tc>
              <w:tc>
                <w:tcPr>
                  <w:tcW w:w="93" w:type="pct"/>
                  <w:tcBorders>
                    <w:tl2br w:val="nil"/>
                    <w:tr2bl w:val="nil"/>
                  </w:tcBorders>
                  <w:shd w:val="clear" w:color="auto" w:fill="FFFFFF"/>
                  <w:tcMar>
                    <w:top w:w="0" w:type="dxa"/>
                    <w:left w:w="0" w:type="dxa"/>
                    <w:bottom w:w="0" w:type="dxa"/>
                    <w:right w:w="0" w:type="dxa"/>
                  </w:tcMar>
                  <w:vAlign w:val="center"/>
                </w:tcPr>
                <w:p w14:paraId="6201B40E">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w:t>
                  </w:r>
                </w:p>
              </w:tc>
            </w:tr>
            <w:tr w14:paraId="2D31116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23" w:hRule="atLeast"/>
              </w:trPr>
              <w:tc>
                <w:tcPr>
                  <w:tcW w:w="210" w:type="pct"/>
                  <w:tcBorders>
                    <w:tl2br w:val="nil"/>
                    <w:tr2bl w:val="nil"/>
                  </w:tcBorders>
                  <w:shd w:val="clear" w:color="auto" w:fill="FFFFFF"/>
                  <w:tcMar>
                    <w:top w:w="0" w:type="dxa"/>
                    <w:left w:w="0" w:type="dxa"/>
                    <w:bottom w:w="0" w:type="dxa"/>
                    <w:right w:w="0" w:type="dxa"/>
                  </w:tcMar>
                  <w:vAlign w:val="center"/>
                </w:tcPr>
                <w:p w14:paraId="0A7D9F23">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30</w:t>
                  </w:r>
                </w:p>
              </w:tc>
              <w:tc>
                <w:tcPr>
                  <w:tcW w:w="210" w:type="pct"/>
                  <w:tcBorders>
                    <w:tl2br w:val="nil"/>
                    <w:tr2bl w:val="nil"/>
                  </w:tcBorders>
                  <w:shd w:val="clear" w:color="auto" w:fill="FFFFFF"/>
                  <w:tcMar>
                    <w:top w:w="0" w:type="dxa"/>
                    <w:left w:w="0" w:type="dxa"/>
                    <w:bottom w:w="0" w:type="dxa"/>
                    <w:right w:w="0" w:type="dxa"/>
                  </w:tcMar>
                  <w:vAlign w:val="center"/>
                </w:tcPr>
                <w:p w14:paraId="08A67975">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中创空天厂区-铝合金熔铸一厂</w:t>
                  </w:r>
                </w:p>
              </w:tc>
              <w:tc>
                <w:tcPr>
                  <w:tcW w:w="210" w:type="pct"/>
                  <w:tcBorders>
                    <w:tl2br w:val="nil"/>
                    <w:tr2bl w:val="nil"/>
                  </w:tcBorders>
                  <w:shd w:val="clear" w:color="auto" w:fill="FFFFFF"/>
                  <w:tcMar>
                    <w:top w:w="0" w:type="dxa"/>
                    <w:left w:w="0" w:type="dxa"/>
                    <w:bottom w:w="0" w:type="dxa"/>
                    <w:right w:w="0" w:type="dxa"/>
                  </w:tcMar>
                  <w:vAlign w:val="center"/>
                </w:tcPr>
                <w:p w14:paraId="55625A74">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冲头润滑颗粒机</w:t>
                  </w:r>
                </w:p>
              </w:tc>
              <w:tc>
                <w:tcPr>
                  <w:tcW w:w="210" w:type="pct"/>
                  <w:vMerge w:val="continue"/>
                  <w:tcBorders>
                    <w:tl2br w:val="nil"/>
                    <w:tr2bl w:val="nil"/>
                  </w:tcBorders>
                  <w:shd w:val="clear" w:color="auto" w:fill="FFFFFF"/>
                  <w:tcMar>
                    <w:top w:w="0" w:type="dxa"/>
                    <w:left w:w="0" w:type="dxa"/>
                    <w:bottom w:w="0" w:type="dxa"/>
                    <w:right w:w="0" w:type="dxa"/>
                  </w:tcMar>
                  <w:vAlign w:val="center"/>
                </w:tcPr>
                <w:p w14:paraId="5935DD67">
                  <w:pPr>
                    <w:jc w:val="center"/>
                    <w:rPr>
                      <w:rFonts w:hint="default" w:ascii="Times New Roman" w:hAnsi="Times New Roman" w:eastAsia="宋体" w:cs="Times New Roman"/>
                      <w:color w:val="auto"/>
                      <w:u w:val="none" w:color="auto"/>
                    </w:rPr>
                  </w:pPr>
                </w:p>
              </w:tc>
              <w:tc>
                <w:tcPr>
                  <w:tcW w:w="281" w:type="pct"/>
                  <w:tcBorders>
                    <w:tl2br w:val="nil"/>
                    <w:tr2bl w:val="nil"/>
                  </w:tcBorders>
                  <w:shd w:val="clear" w:color="auto" w:fill="FFFFFF"/>
                  <w:tcMar>
                    <w:top w:w="0" w:type="dxa"/>
                    <w:left w:w="0" w:type="dxa"/>
                    <w:bottom w:w="0" w:type="dxa"/>
                    <w:right w:w="0" w:type="dxa"/>
                  </w:tcMar>
                  <w:vAlign w:val="center"/>
                </w:tcPr>
                <w:p w14:paraId="62A12783">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72.5</w:t>
                  </w:r>
                </w:p>
              </w:tc>
              <w:tc>
                <w:tcPr>
                  <w:tcW w:w="210" w:type="pct"/>
                  <w:tcBorders>
                    <w:tl2br w:val="nil"/>
                    <w:tr2bl w:val="nil"/>
                  </w:tcBorders>
                  <w:shd w:val="clear" w:color="auto" w:fill="FFFFFF"/>
                  <w:tcMar>
                    <w:top w:w="0" w:type="dxa"/>
                    <w:left w:w="0" w:type="dxa"/>
                    <w:bottom w:w="0" w:type="dxa"/>
                    <w:right w:w="0" w:type="dxa"/>
                  </w:tcMar>
                  <w:vAlign w:val="center"/>
                </w:tcPr>
                <w:p w14:paraId="079670A9">
                  <w:pPr>
                    <w:jc w:val="center"/>
                    <w:rPr>
                      <w:rFonts w:hint="default" w:ascii="Times New Roman" w:hAnsi="Times New Roman" w:eastAsia="宋体" w:cs="Times New Roman"/>
                      <w:color w:val="auto"/>
                      <w:u w:val="none" w:color="auto"/>
                    </w:rPr>
                  </w:pPr>
                </w:p>
              </w:tc>
              <w:tc>
                <w:tcPr>
                  <w:tcW w:w="199" w:type="pct"/>
                  <w:tcBorders>
                    <w:tl2br w:val="nil"/>
                    <w:tr2bl w:val="nil"/>
                  </w:tcBorders>
                  <w:shd w:val="clear" w:color="auto" w:fill="FFFFFF"/>
                  <w:tcMar>
                    <w:top w:w="0" w:type="dxa"/>
                    <w:left w:w="0" w:type="dxa"/>
                    <w:bottom w:w="0" w:type="dxa"/>
                    <w:right w:w="0" w:type="dxa"/>
                  </w:tcMar>
                  <w:vAlign w:val="center"/>
                </w:tcPr>
                <w:p w14:paraId="4CD04621">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-53.4</w:t>
                  </w:r>
                </w:p>
              </w:tc>
              <w:tc>
                <w:tcPr>
                  <w:tcW w:w="247" w:type="pct"/>
                  <w:tcBorders>
                    <w:tl2br w:val="nil"/>
                    <w:tr2bl w:val="nil"/>
                  </w:tcBorders>
                  <w:shd w:val="clear" w:color="auto" w:fill="FFFFFF"/>
                  <w:tcMar>
                    <w:top w:w="0" w:type="dxa"/>
                    <w:left w:w="0" w:type="dxa"/>
                    <w:bottom w:w="0" w:type="dxa"/>
                    <w:right w:w="0" w:type="dxa"/>
                  </w:tcMar>
                  <w:vAlign w:val="center"/>
                </w:tcPr>
                <w:p w14:paraId="60B2B323">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-117.2</w:t>
                  </w:r>
                </w:p>
              </w:tc>
              <w:tc>
                <w:tcPr>
                  <w:tcW w:w="124" w:type="pct"/>
                  <w:tcBorders>
                    <w:tl2br w:val="nil"/>
                    <w:tr2bl w:val="nil"/>
                  </w:tcBorders>
                  <w:shd w:val="clear" w:color="auto" w:fill="FFFFFF"/>
                  <w:tcMar>
                    <w:top w:w="0" w:type="dxa"/>
                    <w:left w:w="0" w:type="dxa"/>
                    <w:bottom w:w="0" w:type="dxa"/>
                    <w:right w:w="0" w:type="dxa"/>
                  </w:tcMar>
                  <w:vAlign w:val="center"/>
                </w:tcPr>
                <w:p w14:paraId="2E64B6D6">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w:t>
                  </w:r>
                </w:p>
              </w:tc>
              <w:tc>
                <w:tcPr>
                  <w:tcW w:w="168" w:type="pct"/>
                  <w:tcBorders>
                    <w:tl2br w:val="nil"/>
                    <w:tr2bl w:val="nil"/>
                  </w:tcBorders>
                  <w:shd w:val="clear" w:color="auto" w:fill="FFFFFF"/>
                  <w:tcMar>
                    <w:top w:w="0" w:type="dxa"/>
                    <w:left w:w="0" w:type="dxa"/>
                    <w:bottom w:w="0" w:type="dxa"/>
                    <w:right w:w="0" w:type="dxa"/>
                  </w:tcMar>
                  <w:vAlign w:val="center"/>
                </w:tcPr>
                <w:p w14:paraId="5AF061CD">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31.6</w:t>
                  </w:r>
                </w:p>
              </w:tc>
              <w:tc>
                <w:tcPr>
                  <w:tcW w:w="168" w:type="pct"/>
                  <w:tcBorders>
                    <w:tl2br w:val="nil"/>
                    <w:tr2bl w:val="nil"/>
                  </w:tcBorders>
                  <w:shd w:val="clear" w:color="auto" w:fill="FFFFFF"/>
                  <w:tcMar>
                    <w:top w:w="0" w:type="dxa"/>
                    <w:left w:w="0" w:type="dxa"/>
                    <w:bottom w:w="0" w:type="dxa"/>
                    <w:right w:w="0" w:type="dxa"/>
                  </w:tcMar>
                  <w:vAlign w:val="center"/>
                </w:tcPr>
                <w:p w14:paraId="6D06114D">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15.6</w:t>
                  </w:r>
                </w:p>
              </w:tc>
              <w:tc>
                <w:tcPr>
                  <w:tcW w:w="214" w:type="pct"/>
                  <w:tcBorders>
                    <w:tl2br w:val="nil"/>
                    <w:tr2bl w:val="nil"/>
                  </w:tcBorders>
                  <w:shd w:val="clear" w:color="auto" w:fill="FFFFFF"/>
                  <w:tcMar>
                    <w:top w:w="0" w:type="dxa"/>
                    <w:left w:w="0" w:type="dxa"/>
                    <w:bottom w:w="0" w:type="dxa"/>
                    <w:right w:w="0" w:type="dxa"/>
                  </w:tcMar>
                  <w:vAlign w:val="center"/>
                </w:tcPr>
                <w:p w14:paraId="5C0F10C8">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93.6</w:t>
                  </w:r>
                </w:p>
              </w:tc>
              <w:tc>
                <w:tcPr>
                  <w:tcW w:w="214" w:type="pct"/>
                  <w:tcBorders>
                    <w:tl2br w:val="nil"/>
                    <w:tr2bl w:val="nil"/>
                  </w:tcBorders>
                  <w:shd w:val="clear" w:color="auto" w:fill="FFFFFF"/>
                  <w:tcMar>
                    <w:top w:w="0" w:type="dxa"/>
                    <w:left w:w="0" w:type="dxa"/>
                    <w:bottom w:w="0" w:type="dxa"/>
                    <w:right w:w="0" w:type="dxa"/>
                  </w:tcMar>
                  <w:vAlign w:val="center"/>
                </w:tcPr>
                <w:p w14:paraId="7E4DFFDF">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121.8</w:t>
                  </w:r>
                </w:p>
              </w:tc>
              <w:tc>
                <w:tcPr>
                  <w:tcW w:w="169" w:type="pct"/>
                  <w:tcBorders>
                    <w:tl2br w:val="nil"/>
                    <w:tr2bl w:val="nil"/>
                  </w:tcBorders>
                  <w:shd w:val="clear" w:color="auto" w:fill="FFFFFF"/>
                  <w:tcMar>
                    <w:top w:w="0" w:type="dxa"/>
                    <w:left w:w="0" w:type="dxa"/>
                    <w:bottom w:w="0" w:type="dxa"/>
                    <w:right w:w="0" w:type="dxa"/>
                  </w:tcMar>
                  <w:vAlign w:val="center"/>
                </w:tcPr>
                <w:p w14:paraId="64F3E69A">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51.9</w:t>
                  </w:r>
                </w:p>
              </w:tc>
              <w:tc>
                <w:tcPr>
                  <w:tcW w:w="169" w:type="pct"/>
                  <w:tcBorders>
                    <w:tl2br w:val="nil"/>
                    <w:tr2bl w:val="nil"/>
                  </w:tcBorders>
                  <w:shd w:val="clear" w:color="auto" w:fill="FFFFFF"/>
                  <w:tcMar>
                    <w:top w:w="0" w:type="dxa"/>
                    <w:left w:w="0" w:type="dxa"/>
                    <w:bottom w:w="0" w:type="dxa"/>
                    <w:right w:w="0" w:type="dxa"/>
                  </w:tcMar>
                  <w:vAlign w:val="center"/>
                </w:tcPr>
                <w:p w14:paraId="3AAAAA3A">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52.0</w:t>
                  </w:r>
                </w:p>
              </w:tc>
              <w:tc>
                <w:tcPr>
                  <w:tcW w:w="169" w:type="pct"/>
                  <w:tcBorders>
                    <w:tl2br w:val="nil"/>
                    <w:tr2bl w:val="nil"/>
                  </w:tcBorders>
                  <w:shd w:val="clear" w:color="auto" w:fill="FFFFFF"/>
                  <w:tcMar>
                    <w:top w:w="0" w:type="dxa"/>
                    <w:left w:w="0" w:type="dxa"/>
                    <w:bottom w:w="0" w:type="dxa"/>
                    <w:right w:w="0" w:type="dxa"/>
                  </w:tcMar>
                  <w:vAlign w:val="center"/>
                </w:tcPr>
                <w:p w14:paraId="63A5D151">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51.8</w:t>
                  </w:r>
                </w:p>
              </w:tc>
              <w:tc>
                <w:tcPr>
                  <w:tcW w:w="169" w:type="pct"/>
                  <w:tcBorders>
                    <w:tl2br w:val="nil"/>
                    <w:tr2bl w:val="nil"/>
                  </w:tcBorders>
                  <w:shd w:val="clear" w:color="auto" w:fill="FFFFFF"/>
                  <w:tcMar>
                    <w:top w:w="0" w:type="dxa"/>
                    <w:left w:w="0" w:type="dxa"/>
                    <w:bottom w:w="0" w:type="dxa"/>
                    <w:right w:w="0" w:type="dxa"/>
                  </w:tcMar>
                  <w:vAlign w:val="center"/>
                </w:tcPr>
                <w:p w14:paraId="0EB3C217">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51.8</w:t>
                  </w:r>
                </w:p>
              </w:tc>
              <w:tc>
                <w:tcPr>
                  <w:tcW w:w="210" w:type="pct"/>
                  <w:tcBorders>
                    <w:tl2br w:val="nil"/>
                    <w:tr2bl w:val="nil"/>
                  </w:tcBorders>
                  <w:shd w:val="clear" w:color="auto" w:fill="FFFFFF"/>
                  <w:tcMar>
                    <w:top w:w="0" w:type="dxa"/>
                    <w:left w:w="0" w:type="dxa"/>
                    <w:bottom w:w="0" w:type="dxa"/>
                    <w:right w:w="0" w:type="dxa"/>
                  </w:tcMar>
                  <w:vAlign w:val="center"/>
                </w:tcPr>
                <w:p w14:paraId="79282D68">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24</w:t>
                  </w:r>
                </w:p>
              </w:tc>
              <w:tc>
                <w:tcPr>
                  <w:tcW w:w="169" w:type="pct"/>
                  <w:tcBorders>
                    <w:tl2br w:val="nil"/>
                    <w:tr2bl w:val="nil"/>
                  </w:tcBorders>
                  <w:shd w:val="clear" w:color="auto" w:fill="FFFFFF"/>
                  <w:tcMar>
                    <w:top w:w="0" w:type="dxa"/>
                    <w:left w:w="0" w:type="dxa"/>
                    <w:bottom w:w="0" w:type="dxa"/>
                    <w:right w:w="0" w:type="dxa"/>
                  </w:tcMar>
                  <w:vAlign w:val="center"/>
                </w:tcPr>
                <w:p w14:paraId="1CDB61A6">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9" w:type="pct"/>
                  <w:tcBorders>
                    <w:tl2br w:val="nil"/>
                    <w:tr2bl w:val="nil"/>
                  </w:tcBorders>
                  <w:shd w:val="clear" w:color="auto" w:fill="FFFFFF"/>
                  <w:tcMar>
                    <w:top w:w="0" w:type="dxa"/>
                    <w:left w:w="0" w:type="dxa"/>
                    <w:bottom w:w="0" w:type="dxa"/>
                    <w:right w:w="0" w:type="dxa"/>
                  </w:tcMar>
                  <w:vAlign w:val="center"/>
                </w:tcPr>
                <w:p w14:paraId="011FCF3C">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9" w:type="pct"/>
                  <w:tcBorders>
                    <w:tl2br w:val="nil"/>
                    <w:tr2bl w:val="nil"/>
                  </w:tcBorders>
                  <w:shd w:val="clear" w:color="auto" w:fill="FFFFFF"/>
                  <w:tcMar>
                    <w:top w:w="0" w:type="dxa"/>
                    <w:left w:w="0" w:type="dxa"/>
                    <w:bottom w:w="0" w:type="dxa"/>
                    <w:right w:w="0" w:type="dxa"/>
                  </w:tcMar>
                  <w:vAlign w:val="center"/>
                </w:tcPr>
                <w:p w14:paraId="5576CDB9">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9" w:type="pct"/>
                  <w:tcBorders>
                    <w:tl2br w:val="nil"/>
                    <w:tr2bl w:val="nil"/>
                  </w:tcBorders>
                  <w:shd w:val="clear" w:color="auto" w:fill="FFFFFF"/>
                  <w:tcMar>
                    <w:top w:w="0" w:type="dxa"/>
                    <w:left w:w="0" w:type="dxa"/>
                    <w:bottom w:w="0" w:type="dxa"/>
                    <w:right w:w="0" w:type="dxa"/>
                  </w:tcMar>
                  <w:vAlign w:val="center"/>
                </w:tcPr>
                <w:p w14:paraId="66E2114D">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8" w:type="pct"/>
                  <w:tcBorders>
                    <w:tl2br w:val="nil"/>
                    <w:tr2bl w:val="nil"/>
                  </w:tcBorders>
                  <w:shd w:val="clear" w:color="auto" w:fill="FFFFFF"/>
                  <w:tcMar>
                    <w:top w:w="0" w:type="dxa"/>
                    <w:left w:w="0" w:type="dxa"/>
                    <w:bottom w:w="0" w:type="dxa"/>
                    <w:right w:w="0" w:type="dxa"/>
                  </w:tcMar>
                  <w:vAlign w:val="center"/>
                </w:tcPr>
                <w:p w14:paraId="3366D8B3">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39.9</w:t>
                  </w:r>
                </w:p>
              </w:tc>
              <w:tc>
                <w:tcPr>
                  <w:tcW w:w="168" w:type="pct"/>
                  <w:tcBorders>
                    <w:tl2br w:val="nil"/>
                    <w:tr2bl w:val="nil"/>
                  </w:tcBorders>
                  <w:shd w:val="clear" w:color="auto" w:fill="FFFFFF"/>
                  <w:tcMar>
                    <w:top w:w="0" w:type="dxa"/>
                    <w:left w:w="0" w:type="dxa"/>
                    <w:bottom w:w="0" w:type="dxa"/>
                    <w:right w:w="0" w:type="dxa"/>
                  </w:tcMar>
                  <w:vAlign w:val="center"/>
                </w:tcPr>
                <w:p w14:paraId="1DFD05D6">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40.0</w:t>
                  </w:r>
                </w:p>
              </w:tc>
              <w:tc>
                <w:tcPr>
                  <w:tcW w:w="168" w:type="pct"/>
                  <w:tcBorders>
                    <w:tl2br w:val="nil"/>
                    <w:tr2bl w:val="nil"/>
                  </w:tcBorders>
                  <w:shd w:val="clear" w:color="auto" w:fill="FFFFFF"/>
                  <w:tcMar>
                    <w:top w:w="0" w:type="dxa"/>
                    <w:left w:w="0" w:type="dxa"/>
                    <w:bottom w:w="0" w:type="dxa"/>
                    <w:right w:w="0" w:type="dxa"/>
                  </w:tcMar>
                  <w:vAlign w:val="center"/>
                </w:tcPr>
                <w:p w14:paraId="0F0862F3">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39.8</w:t>
                  </w:r>
                </w:p>
              </w:tc>
              <w:tc>
                <w:tcPr>
                  <w:tcW w:w="168" w:type="pct"/>
                  <w:tcBorders>
                    <w:tl2br w:val="nil"/>
                    <w:tr2bl w:val="nil"/>
                  </w:tcBorders>
                  <w:shd w:val="clear" w:color="auto" w:fill="FFFFFF"/>
                  <w:tcMar>
                    <w:top w:w="0" w:type="dxa"/>
                    <w:left w:w="0" w:type="dxa"/>
                    <w:bottom w:w="0" w:type="dxa"/>
                    <w:right w:w="0" w:type="dxa"/>
                  </w:tcMar>
                  <w:vAlign w:val="center"/>
                </w:tcPr>
                <w:p w14:paraId="59ACA016">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39.8</w:t>
                  </w:r>
                </w:p>
              </w:tc>
              <w:tc>
                <w:tcPr>
                  <w:tcW w:w="93" w:type="pct"/>
                  <w:tcBorders>
                    <w:tl2br w:val="nil"/>
                    <w:tr2bl w:val="nil"/>
                  </w:tcBorders>
                  <w:shd w:val="clear" w:color="auto" w:fill="FFFFFF"/>
                  <w:tcMar>
                    <w:top w:w="0" w:type="dxa"/>
                    <w:left w:w="0" w:type="dxa"/>
                    <w:bottom w:w="0" w:type="dxa"/>
                    <w:right w:w="0" w:type="dxa"/>
                  </w:tcMar>
                  <w:vAlign w:val="center"/>
                </w:tcPr>
                <w:p w14:paraId="4D955AD2">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w:t>
                  </w:r>
                </w:p>
              </w:tc>
            </w:tr>
            <w:tr w14:paraId="1649435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23" w:hRule="atLeast"/>
              </w:trPr>
              <w:tc>
                <w:tcPr>
                  <w:tcW w:w="210" w:type="pct"/>
                  <w:tcBorders>
                    <w:tl2br w:val="nil"/>
                    <w:tr2bl w:val="nil"/>
                  </w:tcBorders>
                  <w:shd w:val="clear" w:color="auto" w:fill="FFFFFF"/>
                  <w:tcMar>
                    <w:top w:w="0" w:type="dxa"/>
                    <w:left w:w="0" w:type="dxa"/>
                    <w:bottom w:w="0" w:type="dxa"/>
                    <w:right w:w="0" w:type="dxa"/>
                  </w:tcMar>
                  <w:vAlign w:val="center"/>
                </w:tcPr>
                <w:p w14:paraId="5440D06B">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31</w:t>
                  </w:r>
                </w:p>
              </w:tc>
              <w:tc>
                <w:tcPr>
                  <w:tcW w:w="210" w:type="pct"/>
                  <w:tcBorders>
                    <w:tl2br w:val="nil"/>
                    <w:tr2bl w:val="nil"/>
                  </w:tcBorders>
                  <w:shd w:val="clear" w:color="auto" w:fill="FFFFFF"/>
                  <w:tcMar>
                    <w:top w:w="0" w:type="dxa"/>
                    <w:left w:w="0" w:type="dxa"/>
                    <w:bottom w:w="0" w:type="dxa"/>
                    <w:right w:w="0" w:type="dxa"/>
                  </w:tcMar>
                  <w:vAlign w:val="center"/>
                </w:tcPr>
                <w:p w14:paraId="1FF4D81F">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中创空天厂区-铝合金熔铸一厂</w:t>
                  </w:r>
                </w:p>
              </w:tc>
              <w:tc>
                <w:tcPr>
                  <w:tcW w:w="210" w:type="pct"/>
                  <w:tcBorders>
                    <w:tl2br w:val="nil"/>
                    <w:tr2bl w:val="nil"/>
                  </w:tcBorders>
                  <w:shd w:val="clear" w:color="auto" w:fill="FFFFFF"/>
                  <w:tcMar>
                    <w:top w:w="0" w:type="dxa"/>
                    <w:left w:w="0" w:type="dxa"/>
                    <w:bottom w:w="0" w:type="dxa"/>
                    <w:right w:w="0" w:type="dxa"/>
                  </w:tcMar>
                  <w:vAlign w:val="center"/>
                </w:tcPr>
                <w:p w14:paraId="76A33E33">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冲头润滑颗粒机</w:t>
                  </w:r>
                </w:p>
              </w:tc>
              <w:tc>
                <w:tcPr>
                  <w:tcW w:w="210" w:type="pct"/>
                  <w:vMerge w:val="continue"/>
                  <w:tcBorders>
                    <w:tl2br w:val="nil"/>
                    <w:tr2bl w:val="nil"/>
                  </w:tcBorders>
                  <w:shd w:val="clear" w:color="auto" w:fill="FFFFFF"/>
                  <w:tcMar>
                    <w:top w:w="0" w:type="dxa"/>
                    <w:left w:w="0" w:type="dxa"/>
                    <w:bottom w:w="0" w:type="dxa"/>
                    <w:right w:w="0" w:type="dxa"/>
                  </w:tcMar>
                  <w:vAlign w:val="center"/>
                </w:tcPr>
                <w:p w14:paraId="62D279FB">
                  <w:pPr>
                    <w:jc w:val="center"/>
                    <w:rPr>
                      <w:rFonts w:hint="default" w:ascii="Times New Roman" w:hAnsi="Times New Roman" w:eastAsia="宋体" w:cs="Times New Roman"/>
                      <w:color w:val="auto"/>
                      <w:u w:val="none" w:color="auto"/>
                    </w:rPr>
                  </w:pPr>
                </w:p>
              </w:tc>
              <w:tc>
                <w:tcPr>
                  <w:tcW w:w="281" w:type="pct"/>
                  <w:tcBorders>
                    <w:tl2br w:val="nil"/>
                    <w:tr2bl w:val="nil"/>
                  </w:tcBorders>
                  <w:shd w:val="clear" w:color="auto" w:fill="FFFFFF"/>
                  <w:tcMar>
                    <w:top w:w="0" w:type="dxa"/>
                    <w:left w:w="0" w:type="dxa"/>
                    <w:bottom w:w="0" w:type="dxa"/>
                    <w:right w:w="0" w:type="dxa"/>
                  </w:tcMar>
                  <w:vAlign w:val="center"/>
                </w:tcPr>
                <w:p w14:paraId="7BAD2358">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72.5</w:t>
                  </w:r>
                </w:p>
              </w:tc>
              <w:tc>
                <w:tcPr>
                  <w:tcW w:w="210" w:type="pct"/>
                  <w:tcBorders>
                    <w:tl2br w:val="nil"/>
                    <w:tr2bl w:val="nil"/>
                  </w:tcBorders>
                  <w:shd w:val="clear" w:color="auto" w:fill="FFFFFF"/>
                  <w:tcMar>
                    <w:top w:w="0" w:type="dxa"/>
                    <w:left w:w="0" w:type="dxa"/>
                    <w:bottom w:w="0" w:type="dxa"/>
                    <w:right w:w="0" w:type="dxa"/>
                  </w:tcMar>
                  <w:vAlign w:val="center"/>
                </w:tcPr>
                <w:p w14:paraId="70C3569A">
                  <w:pPr>
                    <w:jc w:val="center"/>
                    <w:rPr>
                      <w:rFonts w:hint="default" w:ascii="Times New Roman" w:hAnsi="Times New Roman" w:eastAsia="宋体" w:cs="Times New Roman"/>
                      <w:color w:val="auto"/>
                      <w:u w:val="none" w:color="auto"/>
                    </w:rPr>
                  </w:pPr>
                </w:p>
              </w:tc>
              <w:tc>
                <w:tcPr>
                  <w:tcW w:w="199" w:type="pct"/>
                  <w:tcBorders>
                    <w:tl2br w:val="nil"/>
                    <w:tr2bl w:val="nil"/>
                  </w:tcBorders>
                  <w:shd w:val="clear" w:color="auto" w:fill="FFFFFF"/>
                  <w:tcMar>
                    <w:top w:w="0" w:type="dxa"/>
                    <w:left w:w="0" w:type="dxa"/>
                    <w:bottom w:w="0" w:type="dxa"/>
                    <w:right w:w="0" w:type="dxa"/>
                  </w:tcMar>
                  <w:vAlign w:val="center"/>
                </w:tcPr>
                <w:p w14:paraId="769AE8CA">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-48.2</w:t>
                  </w:r>
                </w:p>
              </w:tc>
              <w:tc>
                <w:tcPr>
                  <w:tcW w:w="247" w:type="pct"/>
                  <w:tcBorders>
                    <w:tl2br w:val="nil"/>
                    <w:tr2bl w:val="nil"/>
                  </w:tcBorders>
                  <w:shd w:val="clear" w:color="auto" w:fill="FFFFFF"/>
                  <w:tcMar>
                    <w:top w:w="0" w:type="dxa"/>
                    <w:left w:w="0" w:type="dxa"/>
                    <w:bottom w:w="0" w:type="dxa"/>
                    <w:right w:w="0" w:type="dxa"/>
                  </w:tcMar>
                  <w:vAlign w:val="center"/>
                </w:tcPr>
                <w:p w14:paraId="549933F5">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-120.1</w:t>
                  </w:r>
                </w:p>
              </w:tc>
              <w:tc>
                <w:tcPr>
                  <w:tcW w:w="124" w:type="pct"/>
                  <w:tcBorders>
                    <w:tl2br w:val="nil"/>
                    <w:tr2bl w:val="nil"/>
                  </w:tcBorders>
                  <w:shd w:val="clear" w:color="auto" w:fill="FFFFFF"/>
                  <w:tcMar>
                    <w:top w:w="0" w:type="dxa"/>
                    <w:left w:w="0" w:type="dxa"/>
                    <w:bottom w:w="0" w:type="dxa"/>
                    <w:right w:w="0" w:type="dxa"/>
                  </w:tcMar>
                  <w:vAlign w:val="center"/>
                </w:tcPr>
                <w:p w14:paraId="333C8952">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w:t>
                  </w:r>
                </w:p>
              </w:tc>
              <w:tc>
                <w:tcPr>
                  <w:tcW w:w="168" w:type="pct"/>
                  <w:tcBorders>
                    <w:tl2br w:val="nil"/>
                    <w:tr2bl w:val="nil"/>
                  </w:tcBorders>
                  <w:shd w:val="clear" w:color="auto" w:fill="FFFFFF"/>
                  <w:tcMar>
                    <w:top w:w="0" w:type="dxa"/>
                    <w:left w:w="0" w:type="dxa"/>
                    <w:bottom w:w="0" w:type="dxa"/>
                    <w:right w:w="0" w:type="dxa"/>
                  </w:tcMar>
                  <w:vAlign w:val="center"/>
                </w:tcPr>
                <w:p w14:paraId="55D0879A">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25.7</w:t>
                  </w:r>
                </w:p>
              </w:tc>
              <w:tc>
                <w:tcPr>
                  <w:tcW w:w="168" w:type="pct"/>
                  <w:tcBorders>
                    <w:tl2br w:val="nil"/>
                    <w:tr2bl w:val="nil"/>
                  </w:tcBorders>
                  <w:shd w:val="clear" w:color="auto" w:fill="FFFFFF"/>
                  <w:tcMar>
                    <w:top w:w="0" w:type="dxa"/>
                    <w:left w:w="0" w:type="dxa"/>
                    <w:bottom w:w="0" w:type="dxa"/>
                    <w:right w:w="0" w:type="dxa"/>
                  </w:tcMar>
                  <w:vAlign w:val="center"/>
                </w:tcPr>
                <w:p w14:paraId="61890D68">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16.1</w:t>
                  </w:r>
                </w:p>
              </w:tc>
              <w:tc>
                <w:tcPr>
                  <w:tcW w:w="214" w:type="pct"/>
                  <w:tcBorders>
                    <w:tl2br w:val="nil"/>
                    <w:tr2bl w:val="nil"/>
                  </w:tcBorders>
                  <w:shd w:val="clear" w:color="auto" w:fill="FFFFFF"/>
                  <w:tcMar>
                    <w:top w:w="0" w:type="dxa"/>
                    <w:left w:w="0" w:type="dxa"/>
                    <w:bottom w:w="0" w:type="dxa"/>
                    <w:right w:w="0" w:type="dxa"/>
                  </w:tcMar>
                  <w:vAlign w:val="center"/>
                </w:tcPr>
                <w:p w14:paraId="7B0B1C76">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99.5</w:t>
                  </w:r>
                </w:p>
              </w:tc>
              <w:tc>
                <w:tcPr>
                  <w:tcW w:w="214" w:type="pct"/>
                  <w:tcBorders>
                    <w:tl2br w:val="nil"/>
                    <w:tr2bl w:val="nil"/>
                  </w:tcBorders>
                  <w:shd w:val="clear" w:color="auto" w:fill="FFFFFF"/>
                  <w:tcMar>
                    <w:top w:w="0" w:type="dxa"/>
                    <w:left w:w="0" w:type="dxa"/>
                    <w:bottom w:w="0" w:type="dxa"/>
                    <w:right w:w="0" w:type="dxa"/>
                  </w:tcMar>
                  <w:vAlign w:val="center"/>
                </w:tcPr>
                <w:p w14:paraId="75B2B7D7">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121.2</w:t>
                  </w:r>
                </w:p>
              </w:tc>
              <w:tc>
                <w:tcPr>
                  <w:tcW w:w="169" w:type="pct"/>
                  <w:tcBorders>
                    <w:tl2br w:val="nil"/>
                    <w:tr2bl w:val="nil"/>
                  </w:tcBorders>
                  <w:shd w:val="clear" w:color="auto" w:fill="FFFFFF"/>
                  <w:tcMar>
                    <w:top w:w="0" w:type="dxa"/>
                    <w:left w:w="0" w:type="dxa"/>
                    <w:bottom w:w="0" w:type="dxa"/>
                    <w:right w:w="0" w:type="dxa"/>
                  </w:tcMar>
                  <w:vAlign w:val="center"/>
                </w:tcPr>
                <w:p w14:paraId="63A4903D">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51.9</w:t>
                  </w:r>
                </w:p>
              </w:tc>
              <w:tc>
                <w:tcPr>
                  <w:tcW w:w="169" w:type="pct"/>
                  <w:tcBorders>
                    <w:tl2br w:val="nil"/>
                    <w:tr2bl w:val="nil"/>
                  </w:tcBorders>
                  <w:shd w:val="clear" w:color="auto" w:fill="FFFFFF"/>
                  <w:tcMar>
                    <w:top w:w="0" w:type="dxa"/>
                    <w:left w:w="0" w:type="dxa"/>
                    <w:bottom w:w="0" w:type="dxa"/>
                    <w:right w:w="0" w:type="dxa"/>
                  </w:tcMar>
                  <w:vAlign w:val="center"/>
                </w:tcPr>
                <w:p w14:paraId="55572520">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52.0</w:t>
                  </w:r>
                </w:p>
              </w:tc>
              <w:tc>
                <w:tcPr>
                  <w:tcW w:w="169" w:type="pct"/>
                  <w:tcBorders>
                    <w:tl2br w:val="nil"/>
                    <w:tr2bl w:val="nil"/>
                  </w:tcBorders>
                  <w:shd w:val="clear" w:color="auto" w:fill="FFFFFF"/>
                  <w:tcMar>
                    <w:top w:w="0" w:type="dxa"/>
                    <w:left w:w="0" w:type="dxa"/>
                    <w:bottom w:w="0" w:type="dxa"/>
                    <w:right w:w="0" w:type="dxa"/>
                  </w:tcMar>
                  <w:vAlign w:val="center"/>
                </w:tcPr>
                <w:p w14:paraId="66C6586E">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51.8</w:t>
                  </w:r>
                </w:p>
              </w:tc>
              <w:tc>
                <w:tcPr>
                  <w:tcW w:w="169" w:type="pct"/>
                  <w:tcBorders>
                    <w:tl2br w:val="nil"/>
                    <w:tr2bl w:val="nil"/>
                  </w:tcBorders>
                  <w:shd w:val="clear" w:color="auto" w:fill="FFFFFF"/>
                  <w:tcMar>
                    <w:top w:w="0" w:type="dxa"/>
                    <w:left w:w="0" w:type="dxa"/>
                    <w:bottom w:w="0" w:type="dxa"/>
                    <w:right w:w="0" w:type="dxa"/>
                  </w:tcMar>
                  <w:vAlign w:val="center"/>
                </w:tcPr>
                <w:p w14:paraId="3717D590">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51.8</w:t>
                  </w:r>
                </w:p>
              </w:tc>
              <w:tc>
                <w:tcPr>
                  <w:tcW w:w="210" w:type="pct"/>
                  <w:tcBorders>
                    <w:tl2br w:val="nil"/>
                    <w:tr2bl w:val="nil"/>
                  </w:tcBorders>
                  <w:shd w:val="clear" w:color="auto" w:fill="FFFFFF"/>
                  <w:tcMar>
                    <w:top w:w="0" w:type="dxa"/>
                    <w:left w:w="0" w:type="dxa"/>
                    <w:bottom w:w="0" w:type="dxa"/>
                    <w:right w:w="0" w:type="dxa"/>
                  </w:tcMar>
                  <w:vAlign w:val="center"/>
                </w:tcPr>
                <w:p w14:paraId="2B66F2CA">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24</w:t>
                  </w:r>
                </w:p>
              </w:tc>
              <w:tc>
                <w:tcPr>
                  <w:tcW w:w="169" w:type="pct"/>
                  <w:tcBorders>
                    <w:tl2br w:val="nil"/>
                    <w:tr2bl w:val="nil"/>
                  </w:tcBorders>
                  <w:shd w:val="clear" w:color="auto" w:fill="FFFFFF"/>
                  <w:tcMar>
                    <w:top w:w="0" w:type="dxa"/>
                    <w:left w:w="0" w:type="dxa"/>
                    <w:bottom w:w="0" w:type="dxa"/>
                    <w:right w:w="0" w:type="dxa"/>
                  </w:tcMar>
                  <w:vAlign w:val="center"/>
                </w:tcPr>
                <w:p w14:paraId="7E303A23">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9" w:type="pct"/>
                  <w:tcBorders>
                    <w:tl2br w:val="nil"/>
                    <w:tr2bl w:val="nil"/>
                  </w:tcBorders>
                  <w:shd w:val="clear" w:color="auto" w:fill="FFFFFF"/>
                  <w:tcMar>
                    <w:top w:w="0" w:type="dxa"/>
                    <w:left w:w="0" w:type="dxa"/>
                    <w:bottom w:w="0" w:type="dxa"/>
                    <w:right w:w="0" w:type="dxa"/>
                  </w:tcMar>
                  <w:vAlign w:val="center"/>
                </w:tcPr>
                <w:p w14:paraId="77A57C22">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9" w:type="pct"/>
                  <w:tcBorders>
                    <w:tl2br w:val="nil"/>
                    <w:tr2bl w:val="nil"/>
                  </w:tcBorders>
                  <w:shd w:val="clear" w:color="auto" w:fill="FFFFFF"/>
                  <w:tcMar>
                    <w:top w:w="0" w:type="dxa"/>
                    <w:left w:w="0" w:type="dxa"/>
                    <w:bottom w:w="0" w:type="dxa"/>
                    <w:right w:w="0" w:type="dxa"/>
                  </w:tcMar>
                  <w:vAlign w:val="center"/>
                </w:tcPr>
                <w:p w14:paraId="4D490F52">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9" w:type="pct"/>
                  <w:tcBorders>
                    <w:tl2br w:val="nil"/>
                    <w:tr2bl w:val="nil"/>
                  </w:tcBorders>
                  <w:shd w:val="clear" w:color="auto" w:fill="FFFFFF"/>
                  <w:tcMar>
                    <w:top w:w="0" w:type="dxa"/>
                    <w:left w:w="0" w:type="dxa"/>
                    <w:bottom w:w="0" w:type="dxa"/>
                    <w:right w:w="0" w:type="dxa"/>
                  </w:tcMar>
                  <w:vAlign w:val="center"/>
                </w:tcPr>
                <w:p w14:paraId="523EDA00">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8" w:type="pct"/>
                  <w:tcBorders>
                    <w:tl2br w:val="nil"/>
                    <w:tr2bl w:val="nil"/>
                  </w:tcBorders>
                  <w:shd w:val="clear" w:color="auto" w:fill="FFFFFF"/>
                  <w:tcMar>
                    <w:top w:w="0" w:type="dxa"/>
                    <w:left w:w="0" w:type="dxa"/>
                    <w:bottom w:w="0" w:type="dxa"/>
                    <w:right w:w="0" w:type="dxa"/>
                  </w:tcMar>
                  <w:vAlign w:val="center"/>
                </w:tcPr>
                <w:p w14:paraId="34D2AF1F">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39.9</w:t>
                  </w:r>
                </w:p>
              </w:tc>
              <w:tc>
                <w:tcPr>
                  <w:tcW w:w="168" w:type="pct"/>
                  <w:tcBorders>
                    <w:tl2br w:val="nil"/>
                    <w:tr2bl w:val="nil"/>
                  </w:tcBorders>
                  <w:shd w:val="clear" w:color="auto" w:fill="FFFFFF"/>
                  <w:tcMar>
                    <w:top w:w="0" w:type="dxa"/>
                    <w:left w:w="0" w:type="dxa"/>
                    <w:bottom w:w="0" w:type="dxa"/>
                    <w:right w:w="0" w:type="dxa"/>
                  </w:tcMar>
                  <w:vAlign w:val="center"/>
                </w:tcPr>
                <w:p w14:paraId="12D94020">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40.0</w:t>
                  </w:r>
                </w:p>
              </w:tc>
              <w:tc>
                <w:tcPr>
                  <w:tcW w:w="168" w:type="pct"/>
                  <w:tcBorders>
                    <w:tl2br w:val="nil"/>
                    <w:tr2bl w:val="nil"/>
                  </w:tcBorders>
                  <w:shd w:val="clear" w:color="auto" w:fill="FFFFFF"/>
                  <w:tcMar>
                    <w:top w:w="0" w:type="dxa"/>
                    <w:left w:w="0" w:type="dxa"/>
                    <w:bottom w:w="0" w:type="dxa"/>
                    <w:right w:w="0" w:type="dxa"/>
                  </w:tcMar>
                  <w:vAlign w:val="center"/>
                </w:tcPr>
                <w:p w14:paraId="56496D4A">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39.8</w:t>
                  </w:r>
                </w:p>
              </w:tc>
              <w:tc>
                <w:tcPr>
                  <w:tcW w:w="168" w:type="pct"/>
                  <w:tcBorders>
                    <w:tl2br w:val="nil"/>
                    <w:tr2bl w:val="nil"/>
                  </w:tcBorders>
                  <w:shd w:val="clear" w:color="auto" w:fill="FFFFFF"/>
                  <w:tcMar>
                    <w:top w:w="0" w:type="dxa"/>
                    <w:left w:w="0" w:type="dxa"/>
                    <w:bottom w:w="0" w:type="dxa"/>
                    <w:right w:w="0" w:type="dxa"/>
                  </w:tcMar>
                  <w:vAlign w:val="center"/>
                </w:tcPr>
                <w:p w14:paraId="668DCE7F">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39.8</w:t>
                  </w:r>
                </w:p>
              </w:tc>
              <w:tc>
                <w:tcPr>
                  <w:tcW w:w="93" w:type="pct"/>
                  <w:tcBorders>
                    <w:tl2br w:val="nil"/>
                    <w:tr2bl w:val="nil"/>
                  </w:tcBorders>
                  <w:shd w:val="clear" w:color="auto" w:fill="FFFFFF"/>
                  <w:tcMar>
                    <w:top w:w="0" w:type="dxa"/>
                    <w:left w:w="0" w:type="dxa"/>
                    <w:bottom w:w="0" w:type="dxa"/>
                    <w:right w:w="0" w:type="dxa"/>
                  </w:tcMar>
                  <w:vAlign w:val="center"/>
                </w:tcPr>
                <w:p w14:paraId="1190FDBA">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w:t>
                  </w:r>
                </w:p>
              </w:tc>
            </w:tr>
            <w:bookmarkEnd w:id="92"/>
          </w:tbl>
          <w:p w14:paraId="01E222E4">
            <w:pPr>
              <w:jc w:val="center"/>
              <w:rPr>
                <w:rFonts w:hint="default" w:ascii="Times New Roman" w:hAnsi="Times New Roman" w:eastAsia="宋体" w:cs="Times New Roman"/>
                <w:b/>
                <w:bCs/>
                <w:color w:val="auto"/>
                <w:u w:val="none" w:color="auto"/>
                <w:lang w:eastAsia="zh-CN"/>
              </w:rPr>
            </w:pPr>
            <w:r>
              <w:rPr>
                <w:rFonts w:hint="default" w:ascii="Times New Roman" w:hAnsi="Times New Roman" w:eastAsia="宋体" w:cs="Times New Roman"/>
                <w:b/>
                <w:bCs/>
                <w:color w:val="auto"/>
                <w:u w:val="none" w:color="auto"/>
                <w:lang w:eastAsia="zh-CN"/>
              </w:rPr>
              <w:t>表</w:t>
            </w:r>
            <w:r>
              <w:rPr>
                <w:rFonts w:hint="default" w:ascii="Times New Roman" w:hAnsi="Times New Roman" w:eastAsia="宋体" w:cs="Times New Roman"/>
                <w:b/>
                <w:bCs/>
                <w:color w:val="auto"/>
                <w:u w:val="none" w:color="auto"/>
                <w:lang w:val="en-US" w:eastAsia="zh-CN"/>
              </w:rPr>
              <w:t xml:space="preserve">4-33  </w:t>
            </w:r>
            <w:r>
              <w:rPr>
                <w:rFonts w:hint="default" w:ascii="Times New Roman" w:hAnsi="Times New Roman" w:eastAsia="宋体" w:cs="Times New Roman"/>
                <w:b/>
                <w:bCs/>
                <w:color w:val="auto"/>
                <w:u w:val="none" w:color="auto"/>
                <w:lang w:eastAsia="zh-CN"/>
              </w:rPr>
              <w:t>工业企业噪声源强调查清单（室外声源）</w:t>
            </w:r>
          </w:p>
          <w:tbl>
            <w:tblPr>
              <w:tblStyle w:val="31"/>
              <w:tblW w:w="4997" w:type="pct"/>
              <w:tblInd w:w="-1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493"/>
              <w:gridCol w:w="716"/>
              <w:gridCol w:w="493"/>
              <w:gridCol w:w="895"/>
              <w:gridCol w:w="914"/>
              <w:gridCol w:w="795"/>
              <w:gridCol w:w="1420"/>
              <w:gridCol w:w="952"/>
              <w:gridCol w:w="1017"/>
              <w:gridCol w:w="818"/>
            </w:tblGrid>
            <w:tr w14:paraId="49F4309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23" w:hRule="atLeast"/>
              </w:trPr>
              <w:tc>
                <w:tcPr>
                  <w:tcW w:w="290" w:type="pct"/>
                  <w:vMerge w:val="restart"/>
                  <w:tcBorders>
                    <w:tl2br w:val="nil"/>
                    <w:tr2bl w:val="nil"/>
                  </w:tcBorders>
                  <w:vAlign w:val="center"/>
                </w:tcPr>
                <w:p w14:paraId="13E1809D">
                  <w:pPr>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b/>
                      <w:color w:val="auto"/>
                      <w:sz w:val="21"/>
                      <w:szCs w:val="21"/>
                      <w:u w:val="none" w:color="auto"/>
                    </w:rPr>
                    <w:t>序号</w:t>
                  </w:r>
                </w:p>
              </w:tc>
              <w:tc>
                <w:tcPr>
                  <w:tcW w:w="421" w:type="pct"/>
                  <w:vMerge w:val="restart"/>
                  <w:tcBorders>
                    <w:tl2br w:val="nil"/>
                    <w:tr2bl w:val="nil"/>
                  </w:tcBorders>
                  <w:vAlign w:val="center"/>
                </w:tcPr>
                <w:p w14:paraId="3EAB9C8D">
                  <w:pPr>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b/>
                      <w:color w:val="auto"/>
                      <w:sz w:val="21"/>
                      <w:szCs w:val="21"/>
                      <w:u w:val="none" w:color="auto"/>
                    </w:rPr>
                    <w:t>声源名称</w:t>
                  </w:r>
                </w:p>
              </w:tc>
              <w:tc>
                <w:tcPr>
                  <w:tcW w:w="290" w:type="pct"/>
                  <w:vMerge w:val="restart"/>
                  <w:tcBorders>
                    <w:tl2br w:val="nil"/>
                    <w:tr2bl w:val="nil"/>
                  </w:tcBorders>
                  <w:vAlign w:val="center"/>
                </w:tcPr>
                <w:p w14:paraId="14114170">
                  <w:pPr>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b/>
                      <w:color w:val="auto"/>
                      <w:sz w:val="21"/>
                      <w:szCs w:val="21"/>
                      <w:u w:val="none" w:color="auto"/>
                    </w:rPr>
                    <w:t>型号</w:t>
                  </w:r>
                </w:p>
              </w:tc>
              <w:tc>
                <w:tcPr>
                  <w:tcW w:w="1530" w:type="pct"/>
                  <w:gridSpan w:val="3"/>
                  <w:tcBorders>
                    <w:tl2br w:val="nil"/>
                    <w:tr2bl w:val="nil"/>
                  </w:tcBorders>
                  <w:vAlign w:val="center"/>
                </w:tcPr>
                <w:p w14:paraId="6EB20D4A">
                  <w:pPr>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b/>
                      <w:color w:val="auto"/>
                      <w:sz w:val="21"/>
                      <w:szCs w:val="21"/>
                      <w:u w:val="none" w:color="auto"/>
                    </w:rPr>
                    <w:t>空间相对位置/m</w:t>
                  </w:r>
                </w:p>
              </w:tc>
              <w:tc>
                <w:tcPr>
                  <w:tcW w:w="1389" w:type="pct"/>
                  <w:gridSpan w:val="2"/>
                  <w:tcBorders>
                    <w:tl2br w:val="nil"/>
                    <w:tr2bl w:val="nil"/>
                  </w:tcBorders>
                  <w:vAlign w:val="center"/>
                </w:tcPr>
                <w:p w14:paraId="61EDFA9E">
                  <w:pPr>
                    <w:jc w:val="center"/>
                    <w:rPr>
                      <w:rFonts w:hint="default" w:ascii="Times New Roman" w:hAnsi="Times New Roman" w:eastAsia="宋体" w:cs="Times New Roman"/>
                      <w:color w:val="auto"/>
                      <w:sz w:val="21"/>
                      <w:szCs w:val="21"/>
                      <w:u w:val="none" w:color="auto"/>
                      <w:lang w:eastAsia="zh-CN"/>
                    </w:rPr>
                  </w:pPr>
                  <w:r>
                    <w:rPr>
                      <w:rFonts w:hint="default" w:ascii="Times New Roman" w:hAnsi="Times New Roman" w:eastAsia="宋体" w:cs="Times New Roman"/>
                      <w:b/>
                      <w:color w:val="auto"/>
                      <w:sz w:val="21"/>
                      <w:szCs w:val="21"/>
                      <w:u w:val="none" w:color="auto"/>
                      <w:lang w:eastAsia="zh-CN"/>
                    </w:rPr>
                    <w:t>声源源强（任选一种）</w:t>
                  </w:r>
                </w:p>
              </w:tc>
              <w:tc>
                <w:tcPr>
                  <w:tcW w:w="597" w:type="pct"/>
                  <w:vMerge w:val="restart"/>
                  <w:tcBorders>
                    <w:tl2br w:val="nil"/>
                    <w:tr2bl w:val="nil"/>
                  </w:tcBorders>
                  <w:vAlign w:val="center"/>
                </w:tcPr>
                <w:p w14:paraId="3EEF589B">
                  <w:pPr>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b/>
                      <w:color w:val="auto"/>
                      <w:sz w:val="21"/>
                      <w:szCs w:val="21"/>
                      <w:u w:val="none" w:color="auto"/>
                    </w:rPr>
                    <w:t>声源控制措施</w:t>
                  </w:r>
                </w:p>
              </w:tc>
              <w:tc>
                <w:tcPr>
                  <w:tcW w:w="480" w:type="pct"/>
                  <w:vMerge w:val="restart"/>
                  <w:tcBorders>
                    <w:tl2br w:val="nil"/>
                    <w:tr2bl w:val="nil"/>
                  </w:tcBorders>
                  <w:vAlign w:val="center"/>
                </w:tcPr>
                <w:p w14:paraId="33732088">
                  <w:pPr>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b/>
                      <w:color w:val="auto"/>
                      <w:sz w:val="21"/>
                      <w:szCs w:val="21"/>
                      <w:u w:val="none" w:color="auto"/>
                    </w:rPr>
                    <w:t>运行时段</w:t>
                  </w:r>
                </w:p>
              </w:tc>
            </w:tr>
            <w:tr w14:paraId="717BC21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90" w:type="pct"/>
                  <w:vMerge w:val="continue"/>
                  <w:tcBorders>
                    <w:tl2br w:val="nil"/>
                    <w:tr2bl w:val="nil"/>
                  </w:tcBorders>
                  <w:shd w:val="clear" w:color="auto" w:fill="FFFFFF"/>
                  <w:vAlign w:val="center"/>
                </w:tcPr>
                <w:p w14:paraId="727E3EEE">
                  <w:pPr>
                    <w:jc w:val="center"/>
                    <w:rPr>
                      <w:rFonts w:hint="default" w:ascii="Times New Roman" w:hAnsi="Times New Roman" w:eastAsia="宋体" w:cs="Times New Roman"/>
                      <w:color w:val="auto"/>
                      <w:sz w:val="21"/>
                      <w:szCs w:val="21"/>
                      <w:u w:val="none" w:color="auto"/>
                    </w:rPr>
                  </w:pPr>
                </w:p>
              </w:tc>
              <w:tc>
                <w:tcPr>
                  <w:tcW w:w="421" w:type="pct"/>
                  <w:vMerge w:val="continue"/>
                  <w:tcBorders>
                    <w:tl2br w:val="nil"/>
                    <w:tr2bl w:val="nil"/>
                  </w:tcBorders>
                  <w:shd w:val="clear" w:color="auto" w:fill="FFFFFF"/>
                  <w:vAlign w:val="center"/>
                </w:tcPr>
                <w:p w14:paraId="3709C1D6">
                  <w:pPr>
                    <w:jc w:val="center"/>
                    <w:rPr>
                      <w:rFonts w:hint="default" w:ascii="Times New Roman" w:hAnsi="Times New Roman" w:eastAsia="宋体" w:cs="Times New Roman"/>
                      <w:color w:val="auto"/>
                      <w:sz w:val="21"/>
                      <w:szCs w:val="21"/>
                      <w:u w:val="none" w:color="auto"/>
                    </w:rPr>
                  </w:pPr>
                </w:p>
              </w:tc>
              <w:tc>
                <w:tcPr>
                  <w:tcW w:w="290" w:type="pct"/>
                  <w:vMerge w:val="continue"/>
                  <w:tcBorders>
                    <w:tl2br w:val="nil"/>
                    <w:tr2bl w:val="nil"/>
                  </w:tcBorders>
                  <w:shd w:val="clear" w:color="auto" w:fill="FFFFFF"/>
                  <w:vAlign w:val="center"/>
                </w:tcPr>
                <w:p w14:paraId="25FAC3ED">
                  <w:pPr>
                    <w:jc w:val="center"/>
                    <w:rPr>
                      <w:rFonts w:hint="default" w:ascii="Times New Roman" w:hAnsi="Times New Roman" w:eastAsia="宋体" w:cs="Times New Roman"/>
                      <w:color w:val="auto"/>
                      <w:sz w:val="21"/>
                      <w:szCs w:val="21"/>
                      <w:u w:val="none" w:color="auto"/>
                    </w:rPr>
                  </w:pPr>
                </w:p>
              </w:tc>
              <w:tc>
                <w:tcPr>
                  <w:tcW w:w="526" w:type="pct"/>
                  <w:tcBorders>
                    <w:tl2br w:val="nil"/>
                    <w:tr2bl w:val="nil"/>
                  </w:tcBorders>
                  <w:shd w:val="clear" w:color="auto" w:fill="FFFFFF"/>
                  <w:vAlign w:val="center"/>
                </w:tcPr>
                <w:p w14:paraId="14656C2A">
                  <w:pPr>
                    <w:jc w:val="center"/>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X</w:t>
                  </w:r>
                </w:p>
              </w:tc>
              <w:tc>
                <w:tcPr>
                  <w:tcW w:w="537" w:type="pct"/>
                  <w:tcBorders>
                    <w:tl2br w:val="nil"/>
                    <w:tr2bl w:val="nil"/>
                  </w:tcBorders>
                  <w:shd w:val="clear" w:color="auto" w:fill="FFFFFF"/>
                  <w:vAlign w:val="center"/>
                </w:tcPr>
                <w:p w14:paraId="7792A551">
                  <w:pPr>
                    <w:jc w:val="center"/>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Y</w:t>
                  </w:r>
                </w:p>
              </w:tc>
              <w:tc>
                <w:tcPr>
                  <w:tcW w:w="467" w:type="pct"/>
                  <w:tcBorders>
                    <w:tl2br w:val="nil"/>
                    <w:tr2bl w:val="nil"/>
                  </w:tcBorders>
                  <w:shd w:val="clear" w:color="auto" w:fill="FFFFFF"/>
                  <w:vAlign w:val="center"/>
                </w:tcPr>
                <w:p w14:paraId="7F007130">
                  <w:pPr>
                    <w:jc w:val="center"/>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Z</w:t>
                  </w:r>
                </w:p>
              </w:tc>
              <w:tc>
                <w:tcPr>
                  <w:tcW w:w="830" w:type="pct"/>
                  <w:tcBorders>
                    <w:tl2br w:val="nil"/>
                    <w:tr2bl w:val="nil"/>
                  </w:tcBorders>
                  <w:shd w:val="clear" w:color="auto" w:fill="FFFFFF"/>
                  <w:vAlign w:val="center"/>
                </w:tcPr>
                <w:p w14:paraId="2595AAAF">
                  <w:pPr>
                    <w:jc w:val="center"/>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（声压级/距声源距离）/（dB(A)/m）</w:t>
                  </w:r>
                </w:p>
              </w:tc>
              <w:tc>
                <w:tcPr>
                  <w:tcW w:w="558" w:type="pct"/>
                  <w:tcBorders>
                    <w:tl2br w:val="nil"/>
                    <w:tr2bl w:val="nil"/>
                  </w:tcBorders>
                  <w:shd w:val="clear" w:color="auto" w:fill="FFFFFF"/>
                  <w:vAlign w:val="center"/>
                </w:tcPr>
                <w:p w14:paraId="68AF145E">
                  <w:pPr>
                    <w:jc w:val="center"/>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声功率级/dB(A)</w:t>
                  </w:r>
                </w:p>
              </w:tc>
              <w:tc>
                <w:tcPr>
                  <w:tcW w:w="597" w:type="pct"/>
                  <w:vMerge w:val="continue"/>
                  <w:tcBorders>
                    <w:tl2br w:val="nil"/>
                    <w:tr2bl w:val="nil"/>
                  </w:tcBorders>
                  <w:shd w:val="clear" w:color="auto" w:fill="FFFFFF"/>
                  <w:vAlign w:val="center"/>
                </w:tcPr>
                <w:p w14:paraId="5E926762">
                  <w:pPr>
                    <w:jc w:val="center"/>
                    <w:rPr>
                      <w:rFonts w:hint="default" w:ascii="Times New Roman" w:hAnsi="Times New Roman" w:eastAsia="宋体" w:cs="Times New Roman"/>
                      <w:color w:val="auto"/>
                      <w:sz w:val="21"/>
                      <w:szCs w:val="21"/>
                      <w:u w:val="none" w:color="auto"/>
                    </w:rPr>
                  </w:pPr>
                </w:p>
              </w:tc>
              <w:tc>
                <w:tcPr>
                  <w:tcW w:w="480" w:type="pct"/>
                  <w:vMerge w:val="continue"/>
                  <w:tcBorders>
                    <w:tl2br w:val="nil"/>
                    <w:tr2bl w:val="nil"/>
                  </w:tcBorders>
                  <w:shd w:val="clear" w:color="auto" w:fill="FFFFFF"/>
                  <w:vAlign w:val="center"/>
                </w:tcPr>
                <w:p w14:paraId="170572AD">
                  <w:pPr>
                    <w:jc w:val="center"/>
                    <w:rPr>
                      <w:rFonts w:hint="default" w:ascii="Times New Roman" w:hAnsi="Times New Roman" w:eastAsia="宋体" w:cs="Times New Roman"/>
                      <w:color w:val="auto"/>
                      <w:sz w:val="21"/>
                      <w:szCs w:val="21"/>
                      <w:u w:val="none" w:color="auto"/>
                    </w:rPr>
                  </w:pPr>
                </w:p>
              </w:tc>
            </w:tr>
            <w:tr w14:paraId="768D2E6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23" w:hRule="atLeast"/>
              </w:trPr>
              <w:tc>
                <w:tcPr>
                  <w:tcW w:w="290" w:type="pct"/>
                  <w:tcBorders>
                    <w:tl2br w:val="nil"/>
                    <w:tr2bl w:val="nil"/>
                  </w:tcBorders>
                  <w:shd w:val="clear" w:color="auto" w:fill="FFFFFF"/>
                  <w:vAlign w:val="center"/>
                </w:tcPr>
                <w:p w14:paraId="35E3CD4C">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w:t>
                  </w:r>
                </w:p>
              </w:tc>
              <w:tc>
                <w:tcPr>
                  <w:tcW w:w="421" w:type="pct"/>
                  <w:tcBorders>
                    <w:tl2br w:val="nil"/>
                    <w:tr2bl w:val="nil"/>
                  </w:tcBorders>
                  <w:shd w:val="clear" w:color="auto" w:fill="FFFFFF"/>
                  <w:vAlign w:val="center"/>
                </w:tcPr>
                <w:p w14:paraId="7638498E">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制氮机</w:t>
                  </w:r>
                </w:p>
              </w:tc>
              <w:tc>
                <w:tcPr>
                  <w:tcW w:w="290" w:type="pct"/>
                  <w:tcBorders>
                    <w:tl2br w:val="nil"/>
                    <w:tr2bl w:val="nil"/>
                  </w:tcBorders>
                  <w:shd w:val="clear" w:color="auto" w:fill="FFFFFF"/>
                  <w:vAlign w:val="center"/>
                </w:tcPr>
                <w:p w14:paraId="1AE2BE1E">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b/>
                      <w:bCs/>
                      <w:color w:val="auto"/>
                      <w:sz w:val="21"/>
                      <w:szCs w:val="21"/>
                      <w:u w:val="none" w:color="auto"/>
                    </w:rPr>
                    <w:t>/</w:t>
                  </w:r>
                </w:p>
              </w:tc>
              <w:tc>
                <w:tcPr>
                  <w:tcW w:w="526" w:type="pct"/>
                  <w:tcBorders>
                    <w:tl2br w:val="nil"/>
                    <w:tr2bl w:val="nil"/>
                  </w:tcBorders>
                  <w:shd w:val="clear" w:color="auto" w:fill="FFFFFF"/>
                  <w:vAlign w:val="center"/>
                </w:tcPr>
                <w:p w14:paraId="157870F4">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-86.9</w:t>
                  </w:r>
                </w:p>
              </w:tc>
              <w:tc>
                <w:tcPr>
                  <w:tcW w:w="537" w:type="pct"/>
                  <w:tcBorders>
                    <w:tl2br w:val="nil"/>
                    <w:tr2bl w:val="nil"/>
                  </w:tcBorders>
                  <w:shd w:val="clear" w:color="auto" w:fill="FFFFFF"/>
                  <w:vAlign w:val="center"/>
                </w:tcPr>
                <w:p w14:paraId="17514D76">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-224.6</w:t>
                  </w:r>
                </w:p>
              </w:tc>
              <w:tc>
                <w:tcPr>
                  <w:tcW w:w="467" w:type="pct"/>
                  <w:tcBorders>
                    <w:tl2br w:val="nil"/>
                    <w:tr2bl w:val="nil"/>
                  </w:tcBorders>
                  <w:shd w:val="clear" w:color="auto" w:fill="FFFFFF"/>
                  <w:vAlign w:val="center"/>
                </w:tcPr>
                <w:p w14:paraId="224E72CB">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w:t>
                  </w:r>
                </w:p>
              </w:tc>
              <w:tc>
                <w:tcPr>
                  <w:tcW w:w="830" w:type="pct"/>
                  <w:tcBorders>
                    <w:tl2br w:val="nil"/>
                    <w:tr2bl w:val="nil"/>
                  </w:tcBorders>
                  <w:shd w:val="clear" w:color="auto" w:fill="FFFFFF"/>
                  <w:vAlign w:val="center"/>
                </w:tcPr>
                <w:p w14:paraId="7DA6B589">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b/>
                      <w:bCs/>
                      <w:color w:val="auto"/>
                      <w:sz w:val="21"/>
                      <w:szCs w:val="21"/>
                      <w:u w:val="none" w:color="auto"/>
                    </w:rPr>
                    <w:t>/</w:t>
                  </w:r>
                </w:p>
              </w:tc>
              <w:tc>
                <w:tcPr>
                  <w:tcW w:w="558" w:type="pct"/>
                  <w:tcBorders>
                    <w:tl2br w:val="nil"/>
                    <w:tr2bl w:val="nil"/>
                  </w:tcBorders>
                  <w:shd w:val="clear" w:color="auto" w:fill="FFFFFF"/>
                  <w:vAlign w:val="center"/>
                </w:tcPr>
                <w:p w14:paraId="21B22AE4">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77.5</w:t>
                  </w:r>
                </w:p>
              </w:tc>
              <w:tc>
                <w:tcPr>
                  <w:tcW w:w="597" w:type="pct"/>
                  <w:vMerge w:val="restart"/>
                  <w:tcBorders>
                    <w:tl2br w:val="nil"/>
                    <w:tr2bl w:val="nil"/>
                  </w:tcBorders>
                  <w:shd w:val="clear" w:color="auto" w:fill="FFFFFF"/>
                  <w:vAlign w:val="center"/>
                </w:tcPr>
                <w:p w14:paraId="0460C45E">
                  <w:pPr>
                    <w:jc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详见本节上表相关内容</w:t>
                  </w:r>
                </w:p>
              </w:tc>
              <w:tc>
                <w:tcPr>
                  <w:tcW w:w="480" w:type="pct"/>
                  <w:tcBorders>
                    <w:tl2br w:val="nil"/>
                    <w:tr2bl w:val="nil"/>
                  </w:tcBorders>
                  <w:shd w:val="clear" w:color="auto" w:fill="FFFFFF"/>
                  <w:vAlign w:val="center"/>
                </w:tcPr>
                <w:p w14:paraId="3AE89846">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24</w:t>
                  </w:r>
                </w:p>
              </w:tc>
            </w:tr>
            <w:tr w14:paraId="44ACDC8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23" w:hRule="atLeast"/>
              </w:trPr>
              <w:tc>
                <w:tcPr>
                  <w:tcW w:w="290" w:type="pct"/>
                  <w:tcBorders>
                    <w:tl2br w:val="nil"/>
                    <w:tr2bl w:val="nil"/>
                  </w:tcBorders>
                  <w:shd w:val="clear" w:color="auto" w:fill="FFFFFF"/>
                  <w:vAlign w:val="center"/>
                </w:tcPr>
                <w:p w14:paraId="38711582">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2</w:t>
                  </w:r>
                </w:p>
              </w:tc>
              <w:tc>
                <w:tcPr>
                  <w:tcW w:w="421" w:type="pct"/>
                  <w:tcBorders>
                    <w:tl2br w:val="nil"/>
                    <w:tr2bl w:val="nil"/>
                  </w:tcBorders>
                  <w:shd w:val="clear" w:color="auto" w:fill="FFFFFF"/>
                  <w:vAlign w:val="center"/>
                </w:tcPr>
                <w:p w14:paraId="1228098F">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冷却水系统泵机</w:t>
                  </w:r>
                </w:p>
              </w:tc>
              <w:tc>
                <w:tcPr>
                  <w:tcW w:w="290" w:type="pct"/>
                  <w:tcBorders>
                    <w:tl2br w:val="nil"/>
                    <w:tr2bl w:val="nil"/>
                  </w:tcBorders>
                  <w:shd w:val="clear" w:color="auto" w:fill="FFFFFF"/>
                  <w:vAlign w:val="center"/>
                </w:tcPr>
                <w:p w14:paraId="34719FBF">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b/>
                      <w:bCs/>
                      <w:color w:val="auto"/>
                      <w:sz w:val="21"/>
                      <w:szCs w:val="21"/>
                      <w:u w:val="none" w:color="auto"/>
                    </w:rPr>
                    <w:t>/</w:t>
                  </w:r>
                </w:p>
              </w:tc>
              <w:tc>
                <w:tcPr>
                  <w:tcW w:w="526" w:type="pct"/>
                  <w:tcBorders>
                    <w:tl2br w:val="nil"/>
                    <w:tr2bl w:val="nil"/>
                  </w:tcBorders>
                  <w:shd w:val="clear" w:color="auto" w:fill="FFFFFF"/>
                  <w:vAlign w:val="center"/>
                </w:tcPr>
                <w:p w14:paraId="6DF57465">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-96.8</w:t>
                  </w:r>
                </w:p>
              </w:tc>
              <w:tc>
                <w:tcPr>
                  <w:tcW w:w="537" w:type="pct"/>
                  <w:tcBorders>
                    <w:tl2br w:val="nil"/>
                    <w:tr2bl w:val="nil"/>
                  </w:tcBorders>
                  <w:shd w:val="clear" w:color="auto" w:fill="FFFFFF"/>
                  <w:vAlign w:val="center"/>
                </w:tcPr>
                <w:p w14:paraId="023822AF">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-220.7</w:t>
                  </w:r>
                </w:p>
              </w:tc>
              <w:tc>
                <w:tcPr>
                  <w:tcW w:w="467" w:type="pct"/>
                  <w:tcBorders>
                    <w:tl2br w:val="nil"/>
                    <w:tr2bl w:val="nil"/>
                  </w:tcBorders>
                  <w:shd w:val="clear" w:color="auto" w:fill="FFFFFF"/>
                  <w:vAlign w:val="center"/>
                </w:tcPr>
                <w:p w14:paraId="66C771EA">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w:t>
                  </w:r>
                </w:p>
              </w:tc>
              <w:tc>
                <w:tcPr>
                  <w:tcW w:w="830" w:type="pct"/>
                  <w:tcBorders>
                    <w:tl2br w:val="nil"/>
                    <w:tr2bl w:val="nil"/>
                  </w:tcBorders>
                  <w:shd w:val="clear" w:color="auto" w:fill="FFFFFF"/>
                  <w:vAlign w:val="center"/>
                </w:tcPr>
                <w:p w14:paraId="5E411544">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b/>
                      <w:bCs/>
                      <w:color w:val="auto"/>
                      <w:sz w:val="21"/>
                      <w:szCs w:val="21"/>
                      <w:u w:val="none" w:color="auto"/>
                    </w:rPr>
                    <w:t>/</w:t>
                  </w:r>
                </w:p>
              </w:tc>
              <w:tc>
                <w:tcPr>
                  <w:tcW w:w="558" w:type="pct"/>
                  <w:tcBorders>
                    <w:tl2br w:val="nil"/>
                    <w:tr2bl w:val="nil"/>
                  </w:tcBorders>
                  <w:shd w:val="clear" w:color="auto" w:fill="FFFFFF"/>
                  <w:vAlign w:val="center"/>
                </w:tcPr>
                <w:p w14:paraId="4F5E715C">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77.5</w:t>
                  </w:r>
                </w:p>
              </w:tc>
              <w:tc>
                <w:tcPr>
                  <w:tcW w:w="597" w:type="pct"/>
                  <w:vMerge w:val="continue"/>
                  <w:tcBorders>
                    <w:tl2br w:val="nil"/>
                    <w:tr2bl w:val="nil"/>
                  </w:tcBorders>
                  <w:shd w:val="clear" w:color="auto" w:fill="FFFFFF"/>
                  <w:vAlign w:val="center"/>
                </w:tcPr>
                <w:p w14:paraId="17D599F1">
                  <w:pPr>
                    <w:jc w:val="center"/>
                    <w:rPr>
                      <w:rFonts w:hint="default" w:ascii="Times New Roman" w:hAnsi="Times New Roman" w:eastAsia="宋体" w:cs="Times New Roman"/>
                      <w:color w:val="auto"/>
                      <w:u w:val="none" w:color="auto"/>
                    </w:rPr>
                  </w:pPr>
                </w:p>
              </w:tc>
              <w:tc>
                <w:tcPr>
                  <w:tcW w:w="480" w:type="pct"/>
                  <w:tcBorders>
                    <w:tl2br w:val="nil"/>
                    <w:tr2bl w:val="nil"/>
                  </w:tcBorders>
                  <w:shd w:val="clear" w:color="auto" w:fill="FFFFFF"/>
                  <w:vAlign w:val="center"/>
                </w:tcPr>
                <w:p w14:paraId="6FFEFC9C">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24</w:t>
                  </w:r>
                </w:p>
              </w:tc>
            </w:tr>
            <w:tr w14:paraId="70FC280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23" w:hRule="atLeast"/>
              </w:trPr>
              <w:tc>
                <w:tcPr>
                  <w:tcW w:w="290" w:type="pct"/>
                  <w:tcBorders>
                    <w:tl2br w:val="nil"/>
                    <w:tr2bl w:val="nil"/>
                  </w:tcBorders>
                  <w:shd w:val="clear" w:color="auto" w:fill="FFFFFF"/>
                  <w:vAlign w:val="center"/>
                </w:tcPr>
                <w:p w14:paraId="103233D8">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3</w:t>
                  </w:r>
                </w:p>
              </w:tc>
              <w:tc>
                <w:tcPr>
                  <w:tcW w:w="421" w:type="pct"/>
                  <w:tcBorders>
                    <w:tl2br w:val="nil"/>
                    <w:tr2bl w:val="nil"/>
                  </w:tcBorders>
                  <w:shd w:val="clear" w:color="auto" w:fill="FFFFFF"/>
                  <w:vAlign w:val="center"/>
                </w:tcPr>
                <w:p w14:paraId="5BA5AB67">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除尘净化系统（一厂）</w:t>
                  </w:r>
                </w:p>
              </w:tc>
              <w:tc>
                <w:tcPr>
                  <w:tcW w:w="290" w:type="pct"/>
                  <w:tcBorders>
                    <w:tl2br w:val="nil"/>
                    <w:tr2bl w:val="nil"/>
                  </w:tcBorders>
                  <w:shd w:val="clear" w:color="auto" w:fill="FFFFFF"/>
                  <w:vAlign w:val="center"/>
                </w:tcPr>
                <w:p w14:paraId="3D6C2B6B">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b/>
                      <w:bCs/>
                      <w:color w:val="auto"/>
                      <w:sz w:val="21"/>
                      <w:szCs w:val="21"/>
                      <w:u w:val="none" w:color="auto"/>
                    </w:rPr>
                    <w:t>/</w:t>
                  </w:r>
                </w:p>
              </w:tc>
              <w:tc>
                <w:tcPr>
                  <w:tcW w:w="526" w:type="pct"/>
                  <w:tcBorders>
                    <w:tl2br w:val="nil"/>
                    <w:tr2bl w:val="nil"/>
                  </w:tcBorders>
                  <w:shd w:val="clear" w:color="auto" w:fill="FFFFFF"/>
                  <w:vAlign w:val="center"/>
                </w:tcPr>
                <w:p w14:paraId="41B1E711">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-65.4</w:t>
                  </w:r>
                </w:p>
              </w:tc>
              <w:tc>
                <w:tcPr>
                  <w:tcW w:w="537" w:type="pct"/>
                  <w:tcBorders>
                    <w:tl2br w:val="nil"/>
                    <w:tr2bl w:val="nil"/>
                  </w:tcBorders>
                  <w:shd w:val="clear" w:color="auto" w:fill="FFFFFF"/>
                  <w:vAlign w:val="center"/>
                </w:tcPr>
                <w:p w14:paraId="217CC229">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-131.3</w:t>
                  </w:r>
                </w:p>
              </w:tc>
              <w:tc>
                <w:tcPr>
                  <w:tcW w:w="467" w:type="pct"/>
                  <w:tcBorders>
                    <w:tl2br w:val="nil"/>
                    <w:tr2bl w:val="nil"/>
                  </w:tcBorders>
                  <w:shd w:val="clear" w:color="auto" w:fill="FFFFFF"/>
                  <w:vAlign w:val="center"/>
                </w:tcPr>
                <w:p w14:paraId="68B9F937">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w:t>
                  </w:r>
                </w:p>
              </w:tc>
              <w:tc>
                <w:tcPr>
                  <w:tcW w:w="830" w:type="pct"/>
                  <w:tcBorders>
                    <w:tl2br w:val="nil"/>
                    <w:tr2bl w:val="nil"/>
                  </w:tcBorders>
                  <w:shd w:val="clear" w:color="auto" w:fill="FFFFFF"/>
                  <w:vAlign w:val="center"/>
                </w:tcPr>
                <w:p w14:paraId="18F83F9D">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b/>
                      <w:bCs/>
                      <w:color w:val="auto"/>
                      <w:sz w:val="21"/>
                      <w:szCs w:val="21"/>
                      <w:u w:val="none" w:color="auto"/>
                    </w:rPr>
                    <w:t>/</w:t>
                  </w:r>
                </w:p>
              </w:tc>
              <w:tc>
                <w:tcPr>
                  <w:tcW w:w="558" w:type="pct"/>
                  <w:tcBorders>
                    <w:tl2br w:val="nil"/>
                    <w:tr2bl w:val="nil"/>
                  </w:tcBorders>
                  <w:shd w:val="clear" w:color="auto" w:fill="FFFFFF"/>
                  <w:vAlign w:val="center"/>
                </w:tcPr>
                <w:p w14:paraId="523752D7">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82.5</w:t>
                  </w:r>
                </w:p>
              </w:tc>
              <w:tc>
                <w:tcPr>
                  <w:tcW w:w="597" w:type="pct"/>
                  <w:vMerge w:val="restart"/>
                  <w:tcBorders>
                    <w:tl2br w:val="nil"/>
                    <w:tr2bl w:val="nil"/>
                  </w:tcBorders>
                  <w:shd w:val="clear" w:color="auto" w:fill="FFFFFF"/>
                  <w:vAlign w:val="center"/>
                </w:tcPr>
                <w:p w14:paraId="4CAE316E">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val="en-US" w:eastAsia="zh-CN"/>
                    </w:rPr>
                    <w:t>详见本节上表相关内容</w:t>
                  </w:r>
                </w:p>
              </w:tc>
              <w:tc>
                <w:tcPr>
                  <w:tcW w:w="480" w:type="pct"/>
                  <w:tcBorders>
                    <w:tl2br w:val="nil"/>
                    <w:tr2bl w:val="nil"/>
                  </w:tcBorders>
                  <w:shd w:val="clear" w:color="auto" w:fill="FFFFFF"/>
                  <w:vAlign w:val="center"/>
                </w:tcPr>
                <w:p w14:paraId="761B45D0">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24</w:t>
                  </w:r>
                </w:p>
              </w:tc>
            </w:tr>
            <w:tr w14:paraId="574325B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23" w:hRule="atLeast"/>
              </w:trPr>
              <w:tc>
                <w:tcPr>
                  <w:tcW w:w="290" w:type="pct"/>
                  <w:tcBorders>
                    <w:tl2br w:val="nil"/>
                    <w:tr2bl w:val="nil"/>
                  </w:tcBorders>
                  <w:shd w:val="clear" w:color="auto" w:fill="FFFFFF"/>
                  <w:vAlign w:val="center"/>
                </w:tcPr>
                <w:p w14:paraId="6A53A42D">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4</w:t>
                  </w:r>
                </w:p>
              </w:tc>
              <w:tc>
                <w:tcPr>
                  <w:tcW w:w="421" w:type="pct"/>
                  <w:tcBorders>
                    <w:tl2br w:val="nil"/>
                    <w:tr2bl w:val="nil"/>
                  </w:tcBorders>
                  <w:shd w:val="clear" w:color="auto" w:fill="FFFFFF"/>
                  <w:vAlign w:val="center"/>
                </w:tcPr>
                <w:p w14:paraId="48700710">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除尘净化系统（二厂）</w:t>
                  </w:r>
                </w:p>
              </w:tc>
              <w:tc>
                <w:tcPr>
                  <w:tcW w:w="290" w:type="pct"/>
                  <w:tcBorders>
                    <w:tl2br w:val="nil"/>
                    <w:tr2bl w:val="nil"/>
                  </w:tcBorders>
                  <w:shd w:val="clear" w:color="auto" w:fill="FFFFFF"/>
                  <w:vAlign w:val="center"/>
                </w:tcPr>
                <w:p w14:paraId="0C0B39BE">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b/>
                      <w:bCs/>
                      <w:color w:val="auto"/>
                      <w:sz w:val="21"/>
                      <w:szCs w:val="21"/>
                      <w:u w:val="none" w:color="auto"/>
                    </w:rPr>
                    <w:t>/</w:t>
                  </w:r>
                </w:p>
              </w:tc>
              <w:tc>
                <w:tcPr>
                  <w:tcW w:w="526" w:type="pct"/>
                  <w:tcBorders>
                    <w:tl2br w:val="nil"/>
                    <w:tr2bl w:val="nil"/>
                  </w:tcBorders>
                  <w:shd w:val="clear" w:color="auto" w:fill="FFFFFF"/>
                  <w:vAlign w:val="center"/>
                </w:tcPr>
                <w:p w14:paraId="400F6260">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-110.9</w:t>
                  </w:r>
                </w:p>
              </w:tc>
              <w:tc>
                <w:tcPr>
                  <w:tcW w:w="537" w:type="pct"/>
                  <w:tcBorders>
                    <w:tl2br w:val="nil"/>
                    <w:tr2bl w:val="nil"/>
                  </w:tcBorders>
                  <w:shd w:val="clear" w:color="auto" w:fill="FFFFFF"/>
                  <w:vAlign w:val="center"/>
                </w:tcPr>
                <w:p w14:paraId="457C11CA">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-209.2</w:t>
                  </w:r>
                </w:p>
              </w:tc>
              <w:tc>
                <w:tcPr>
                  <w:tcW w:w="467" w:type="pct"/>
                  <w:tcBorders>
                    <w:tl2br w:val="nil"/>
                    <w:tr2bl w:val="nil"/>
                  </w:tcBorders>
                  <w:shd w:val="clear" w:color="auto" w:fill="FFFFFF"/>
                  <w:vAlign w:val="center"/>
                </w:tcPr>
                <w:p w14:paraId="2F392A7F">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w:t>
                  </w:r>
                </w:p>
              </w:tc>
              <w:tc>
                <w:tcPr>
                  <w:tcW w:w="830" w:type="pct"/>
                  <w:tcBorders>
                    <w:tl2br w:val="nil"/>
                    <w:tr2bl w:val="nil"/>
                  </w:tcBorders>
                  <w:shd w:val="clear" w:color="auto" w:fill="FFFFFF"/>
                  <w:vAlign w:val="center"/>
                </w:tcPr>
                <w:p w14:paraId="1066D791">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b/>
                      <w:bCs/>
                      <w:color w:val="auto"/>
                      <w:sz w:val="21"/>
                      <w:szCs w:val="21"/>
                      <w:u w:val="none" w:color="auto"/>
                    </w:rPr>
                    <w:t>/</w:t>
                  </w:r>
                </w:p>
              </w:tc>
              <w:tc>
                <w:tcPr>
                  <w:tcW w:w="558" w:type="pct"/>
                  <w:tcBorders>
                    <w:tl2br w:val="nil"/>
                    <w:tr2bl w:val="nil"/>
                  </w:tcBorders>
                  <w:shd w:val="clear" w:color="auto" w:fill="FFFFFF"/>
                  <w:vAlign w:val="center"/>
                </w:tcPr>
                <w:p w14:paraId="213AB28A">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100</w:t>
                  </w:r>
                </w:p>
              </w:tc>
              <w:tc>
                <w:tcPr>
                  <w:tcW w:w="597" w:type="pct"/>
                  <w:vMerge w:val="continue"/>
                  <w:tcBorders>
                    <w:tl2br w:val="nil"/>
                    <w:tr2bl w:val="nil"/>
                  </w:tcBorders>
                  <w:shd w:val="clear" w:color="auto" w:fill="FFFFFF"/>
                  <w:vAlign w:val="center"/>
                </w:tcPr>
                <w:p w14:paraId="19BB85B2">
                  <w:pPr>
                    <w:jc w:val="center"/>
                    <w:rPr>
                      <w:rFonts w:hint="default" w:ascii="Times New Roman" w:hAnsi="Times New Roman" w:eastAsia="宋体" w:cs="Times New Roman"/>
                      <w:color w:val="auto"/>
                      <w:u w:val="none" w:color="auto"/>
                    </w:rPr>
                  </w:pPr>
                </w:p>
              </w:tc>
              <w:tc>
                <w:tcPr>
                  <w:tcW w:w="480" w:type="pct"/>
                  <w:tcBorders>
                    <w:tl2br w:val="nil"/>
                    <w:tr2bl w:val="nil"/>
                  </w:tcBorders>
                  <w:shd w:val="clear" w:color="auto" w:fill="FFFFFF"/>
                  <w:vAlign w:val="center"/>
                </w:tcPr>
                <w:p w14:paraId="6DAE0F40">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24</w:t>
                  </w:r>
                </w:p>
              </w:tc>
            </w:tr>
            <w:tr w14:paraId="60F04C5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23" w:hRule="atLeast"/>
              </w:trPr>
              <w:tc>
                <w:tcPr>
                  <w:tcW w:w="290" w:type="pct"/>
                  <w:tcBorders>
                    <w:tl2br w:val="nil"/>
                    <w:tr2bl w:val="nil"/>
                  </w:tcBorders>
                  <w:shd w:val="clear" w:color="auto" w:fill="FFFFFF"/>
                  <w:vAlign w:val="center"/>
                </w:tcPr>
                <w:p w14:paraId="0721A031">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5</w:t>
                  </w:r>
                </w:p>
              </w:tc>
              <w:tc>
                <w:tcPr>
                  <w:tcW w:w="421" w:type="pct"/>
                  <w:tcBorders>
                    <w:tl2br w:val="nil"/>
                    <w:tr2bl w:val="nil"/>
                  </w:tcBorders>
                  <w:shd w:val="clear" w:color="auto" w:fill="FFFFFF"/>
                  <w:vAlign w:val="center"/>
                </w:tcPr>
                <w:p w14:paraId="4B76270E">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真空机</w:t>
                  </w:r>
                </w:p>
              </w:tc>
              <w:tc>
                <w:tcPr>
                  <w:tcW w:w="290" w:type="pct"/>
                  <w:tcBorders>
                    <w:tl2br w:val="nil"/>
                    <w:tr2bl w:val="nil"/>
                  </w:tcBorders>
                  <w:shd w:val="clear" w:color="auto" w:fill="FFFFFF"/>
                  <w:vAlign w:val="center"/>
                </w:tcPr>
                <w:p w14:paraId="527C94C1">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b/>
                      <w:bCs/>
                      <w:color w:val="auto"/>
                      <w:sz w:val="21"/>
                      <w:szCs w:val="21"/>
                      <w:u w:val="none" w:color="auto"/>
                    </w:rPr>
                    <w:t>/</w:t>
                  </w:r>
                </w:p>
              </w:tc>
              <w:tc>
                <w:tcPr>
                  <w:tcW w:w="526" w:type="pct"/>
                  <w:tcBorders>
                    <w:tl2br w:val="nil"/>
                    <w:tr2bl w:val="nil"/>
                  </w:tcBorders>
                  <w:shd w:val="clear" w:color="auto" w:fill="FFFFFF"/>
                  <w:vAlign w:val="center"/>
                </w:tcPr>
                <w:p w14:paraId="3CDBB1EC">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-41.5</w:t>
                  </w:r>
                </w:p>
              </w:tc>
              <w:tc>
                <w:tcPr>
                  <w:tcW w:w="537" w:type="pct"/>
                  <w:tcBorders>
                    <w:tl2br w:val="nil"/>
                    <w:tr2bl w:val="nil"/>
                  </w:tcBorders>
                  <w:shd w:val="clear" w:color="auto" w:fill="FFFFFF"/>
                  <w:vAlign w:val="center"/>
                </w:tcPr>
                <w:p w14:paraId="6DF77D75">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-148.1</w:t>
                  </w:r>
                </w:p>
              </w:tc>
              <w:tc>
                <w:tcPr>
                  <w:tcW w:w="467" w:type="pct"/>
                  <w:tcBorders>
                    <w:tl2br w:val="nil"/>
                    <w:tr2bl w:val="nil"/>
                  </w:tcBorders>
                  <w:shd w:val="clear" w:color="auto" w:fill="FFFFFF"/>
                  <w:vAlign w:val="center"/>
                </w:tcPr>
                <w:p w14:paraId="6A968829">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w:t>
                  </w:r>
                </w:p>
              </w:tc>
              <w:tc>
                <w:tcPr>
                  <w:tcW w:w="830" w:type="pct"/>
                  <w:tcBorders>
                    <w:tl2br w:val="nil"/>
                    <w:tr2bl w:val="nil"/>
                  </w:tcBorders>
                  <w:shd w:val="clear" w:color="auto" w:fill="FFFFFF"/>
                  <w:vAlign w:val="center"/>
                </w:tcPr>
                <w:p w14:paraId="17C8F19C">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b/>
                      <w:bCs/>
                      <w:color w:val="auto"/>
                      <w:sz w:val="21"/>
                      <w:szCs w:val="21"/>
                      <w:u w:val="none" w:color="auto"/>
                    </w:rPr>
                    <w:t>/</w:t>
                  </w:r>
                </w:p>
              </w:tc>
              <w:tc>
                <w:tcPr>
                  <w:tcW w:w="558" w:type="pct"/>
                  <w:tcBorders>
                    <w:tl2br w:val="nil"/>
                    <w:tr2bl w:val="nil"/>
                  </w:tcBorders>
                  <w:shd w:val="clear" w:color="auto" w:fill="FFFFFF"/>
                  <w:vAlign w:val="center"/>
                </w:tcPr>
                <w:p w14:paraId="6C723E82">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77.5</w:t>
                  </w:r>
                </w:p>
              </w:tc>
              <w:tc>
                <w:tcPr>
                  <w:tcW w:w="597" w:type="pct"/>
                  <w:vMerge w:val="continue"/>
                  <w:tcBorders>
                    <w:tl2br w:val="nil"/>
                    <w:tr2bl w:val="nil"/>
                  </w:tcBorders>
                  <w:shd w:val="clear" w:color="auto" w:fill="FFFFFF"/>
                  <w:vAlign w:val="center"/>
                </w:tcPr>
                <w:p w14:paraId="6AF322CA">
                  <w:pPr>
                    <w:jc w:val="center"/>
                    <w:rPr>
                      <w:rFonts w:hint="default" w:ascii="Times New Roman" w:hAnsi="Times New Roman" w:eastAsia="宋体" w:cs="Times New Roman"/>
                      <w:color w:val="auto"/>
                      <w:u w:val="none" w:color="auto"/>
                    </w:rPr>
                  </w:pPr>
                </w:p>
              </w:tc>
              <w:tc>
                <w:tcPr>
                  <w:tcW w:w="480" w:type="pct"/>
                  <w:tcBorders>
                    <w:tl2br w:val="nil"/>
                    <w:tr2bl w:val="nil"/>
                  </w:tcBorders>
                  <w:shd w:val="clear" w:color="auto" w:fill="FFFFFF"/>
                  <w:vAlign w:val="center"/>
                </w:tcPr>
                <w:p w14:paraId="6466A03F">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24</w:t>
                  </w:r>
                </w:p>
              </w:tc>
            </w:tr>
            <w:tr w14:paraId="578EFA4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23" w:hRule="atLeast"/>
              </w:trPr>
              <w:tc>
                <w:tcPr>
                  <w:tcW w:w="290" w:type="pct"/>
                  <w:tcBorders>
                    <w:tl2br w:val="nil"/>
                    <w:tr2bl w:val="nil"/>
                  </w:tcBorders>
                  <w:shd w:val="clear" w:color="auto" w:fill="FFFFFF"/>
                  <w:vAlign w:val="center"/>
                </w:tcPr>
                <w:p w14:paraId="3BAEBD25">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w:t>
                  </w:r>
                </w:p>
              </w:tc>
              <w:tc>
                <w:tcPr>
                  <w:tcW w:w="421" w:type="pct"/>
                  <w:tcBorders>
                    <w:tl2br w:val="nil"/>
                    <w:tr2bl w:val="nil"/>
                  </w:tcBorders>
                  <w:shd w:val="clear" w:color="auto" w:fill="FFFFFF"/>
                  <w:vAlign w:val="center"/>
                </w:tcPr>
                <w:p w14:paraId="299A0C48">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真空机</w:t>
                  </w:r>
                </w:p>
              </w:tc>
              <w:tc>
                <w:tcPr>
                  <w:tcW w:w="290" w:type="pct"/>
                  <w:tcBorders>
                    <w:tl2br w:val="nil"/>
                    <w:tr2bl w:val="nil"/>
                  </w:tcBorders>
                  <w:shd w:val="clear" w:color="auto" w:fill="FFFFFF"/>
                  <w:vAlign w:val="center"/>
                </w:tcPr>
                <w:p w14:paraId="6DE6B731">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b/>
                      <w:bCs/>
                      <w:color w:val="auto"/>
                      <w:sz w:val="21"/>
                      <w:szCs w:val="21"/>
                      <w:u w:val="none" w:color="auto"/>
                    </w:rPr>
                    <w:t>/</w:t>
                  </w:r>
                </w:p>
              </w:tc>
              <w:tc>
                <w:tcPr>
                  <w:tcW w:w="526" w:type="pct"/>
                  <w:tcBorders>
                    <w:tl2br w:val="nil"/>
                    <w:tr2bl w:val="nil"/>
                  </w:tcBorders>
                  <w:shd w:val="clear" w:color="auto" w:fill="FFFFFF"/>
                  <w:vAlign w:val="center"/>
                </w:tcPr>
                <w:p w14:paraId="6286E620">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-39.6</w:t>
                  </w:r>
                </w:p>
              </w:tc>
              <w:tc>
                <w:tcPr>
                  <w:tcW w:w="537" w:type="pct"/>
                  <w:tcBorders>
                    <w:tl2br w:val="nil"/>
                    <w:tr2bl w:val="nil"/>
                  </w:tcBorders>
                  <w:shd w:val="clear" w:color="auto" w:fill="FFFFFF"/>
                  <w:vAlign w:val="center"/>
                </w:tcPr>
                <w:p w14:paraId="2D147B50">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-149.7</w:t>
                  </w:r>
                </w:p>
              </w:tc>
              <w:tc>
                <w:tcPr>
                  <w:tcW w:w="467" w:type="pct"/>
                  <w:tcBorders>
                    <w:tl2br w:val="nil"/>
                    <w:tr2bl w:val="nil"/>
                  </w:tcBorders>
                  <w:shd w:val="clear" w:color="auto" w:fill="FFFFFF"/>
                  <w:vAlign w:val="center"/>
                </w:tcPr>
                <w:p w14:paraId="360A4A2F">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w:t>
                  </w:r>
                </w:p>
              </w:tc>
              <w:tc>
                <w:tcPr>
                  <w:tcW w:w="830" w:type="pct"/>
                  <w:tcBorders>
                    <w:tl2br w:val="nil"/>
                    <w:tr2bl w:val="nil"/>
                  </w:tcBorders>
                  <w:shd w:val="clear" w:color="auto" w:fill="FFFFFF"/>
                  <w:vAlign w:val="center"/>
                </w:tcPr>
                <w:p w14:paraId="01016019">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b/>
                      <w:bCs/>
                      <w:color w:val="auto"/>
                      <w:sz w:val="21"/>
                      <w:szCs w:val="21"/>
                      <w:u w:val="none" w:color="auto"/>
                    </w:rPr>
                    <w:t>/</w:t>
                  </w:r>
                </w:p>
              </w:tc>
              <w:tc>
                <w:tcPr>
                  <w:tcW w:w="558" w:type="pct"/>
                  <w:tcBorders>
                    <w:tl2br w:val="nil"/>
                    <w:tr2bl w:val="nil"/>
                  </w:tcBorders>
                  <w:shd w:val="clear" w:color="auto" w:fill="FFFFFF"/>
                  <w:vAlign w:val="center"/>
                </w:tcPr>
                <w:p w14:paraId="2BC2CEB8">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77.5</w:t>
                  </w:r>
                </w:p>
              </w:tc>
              <w:tc>
                <w:tcPr>
                  <w:tcW w:w="597" w:type="pct"/>
                  <w:vMerge w:val="continue"/>
                  <w:tcBorders>
                    <w:tl2br w:val="nil"/>
                    <w:tr2bl w:val="nil"/>
                  </w:tcBorders>
                  <w:shd w:val="clear" w:color="auto" w:fill="FFFFFF"/>
                  <w:vAlign w:val="center"/>
                </w:tcPr>
                <w:p w14:paraId="6182C010">
                  <w:pPr>
                    <w:jc w:val="center"/>
                    <w:rPr>
                      <w:rFonts w:hint="default" w:ascii="Times New Roman" w:hAnsi="Times New Roman" w:eastAsia="宋体" w:cs="Times New Roman"/>
                      <w:color w:val="auto"/>
                      <w:u w:val="none" w:color="auto"/>
                    </w:rPr>
                  </w:pPr>
                </w:p>
              </w:tc>
              <w:tc>
                <w:tcPr>
                  <w:tcW w:w="480" w:type="pct"/>
                  <w:tcBorders>
                    <w:tl2br w:val="nil"/>
                    <w:tr2bl w:val="nil"/>
                  </w:tcBorders>
                  <w:shd w:val="clear" w:color="auto" w:fill="FFFFFF"/>
                  <w:vAlign w:val="center"/>
                </w:tcPr>
                <w:p w14:paraId="47E18415">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24</w:t>
                  </w:r>
                </w:p>
              </w:tc>
            </w:tr>
          </w:tbl>
          <w:p w14:paraId="02890C17">
            <w:pPr>
              <w:adjustRightInd w:val="0"/>
              <w:snapToGrid w:val="0"/>
              <w:spacing w:line="360" w:lineRule="auto"/>
              <w:ind w:firstLine="480" w:firstLineChars="200"/>
              <w:rPr>
                <w:rFonts w:hint="default" w:ascii="Times New Roman" w:hAnsi="Times New Roman" w:eastAsia="宋体" w:cs="Times New Roman"/>
                <w:color w:val="auto"/>
                <w:sz w:val="24"/>
                <w:szCs w:val="24"/>
                <w:highlight w:val="none"/>
                <w:u w:val="none" w:color="auto"/>
                <w:lang w:val="en-US" w:eastAsia="zh-CN"/>
              </w:rPr>
            </w:pPr>
            <w:r>
              <w:rPr>
                <w:rFonts w:hint="default" w:ascii="Times New Roman" w:hAnsi="Times New Roman" w:eastAsia="宋体" w:cs="Times New Roman"/>
                <w:color w:val="auto"/>
                <w:sz w:val="24"/>
                <w:szCs w:val="24"/>
                <w:highlight w:val="none"/>
                <w:u w:val="none" w:color="auto"/>
                <w:lang w:eastAsia="zh-CN"/>
              </w:rPr>
              <w:t>（</w:t>
            </w:r>
            <w:r>
              <w:rPr>
                <w:rFonts w:hint="default" w:ascii="Times New Roman" w:hAnsi="Times New Roman" w:eastAsia="宋体" w:cs="Times New Roman"/>
                <w:color w:val="auto"/>
                <w:sz w:val="24"/>
                <w:szCs w:val="24"/>
                <w:highlight w:val="none"/>
                <w:u w:val="none" w:color="auto"/>
                <w:lang w:val="en-US" w:eastAsia="zh-CN"/>
              </w:rPr>
              <w:t>2</w:t>
            </w:r>
            <w:r>
              <w:rPr>
                <w:rFonts w:hint="default" w:ascii="Times New Roman" w:hAnsi="Times New Roman" w:eastAsia="宋体" w:cs="Times New Roman"/>
                <w:color w:val="auto"/>
                <w:sz w:val="24"/>
                <w:szCs w:val="24"/>
                <w:highlight w:val="none"/>
                <w:u w:val="none" w:color="auto"/>
                <w:lang w:eastAsia="zh-CN"/>
              </w:rPr>
              <w:t>）</w:t>
            </w:r>
            <w:r>
              <w:rPr>
                <w:rFonts w:hint="default" w:ascii="Times New Roman" w:hAnsi="Times New Roman" w:eastAsia="宋体" w:cs="Times New Roman"/>
                <w:color w:val="auto"/>
                <w:sz w:val="24"/>
                <w:szCs w:val="24"/>
                <w:highlight w:val="none"/>
                <w:u w:val="none" w:color="auto"/>
                <w:lang w:val="en-US" w:eastAsia="zh-CN"/>
              </w:rPr>
              <w:t>临港高新产业园区</w:t>
            </w:r>
          </w:p>
          <w:p w14:paraId="156E5B1E">
            <w:pPr>
              <w:adjustRightInd w:val="0"/>
              <w:snapToGrid w:val="0"/>
              <w:spacing w:line="360" w:lineRule="auto"/>
              <w:ind w:firstLine="480" w:firstLineChars="200"/>
              <w:rPr>
                <w:rFonts w:hint="default" w:ascii="Times New Roman" w:hAnsi="Times New Roman" w:eastAsia="宋体" w:cs="Times New Roman"/>
                <w:color w:val="auto"/>
                <w:spacing w:val="0"/>
                <w:kern w:val="0"/>
                <w:sz w:val="24"/>
                <w:u w:val="none" w:color="auto"/>
                <w:lang w:val="en-US"/>
              </w:rPr>
            </w:pPr>
            <w:r>
              <w:rPr>
                <w:rFonts w:hint="default" w:ascii="Times New Roman" w:hAnsi="Times New Roman" w:eastAsia="宋体" w:cs="Times New Roman"/>
                <w:color w:val="auto"/>
                <w:sz w:val="24"/>
                <w:szCs w:val="24"/>
                <w:highlight w:val="none"/>
                <w:u w:val="none" w:color="auto"/>
                <w:lang w:eastAsia="zh-CN"/>
              </w:rPr>
              <w:t>项目产生噪声的等效噪声源源强调查清单见表</w:t>
            </w:r>
            <w:r>
              <w:rPr>
                <w:rFonts w:hint="default" w:ascii="Times New Roman" w:hAnsi="Times New Roman" w:eastAsia="宋体" w:cs="Times New Roman"/>
                <w:color w:val="auto"/>
                <w:sz w:val="24"/>
                <w:szCs w:val="24"/>
                <w:highlight w:val="none"/>
                <w:u w:val="none" w:color="auto"/>
                <w:lang w:val="en-US" w:eastAsia="zh-CN"/>
              </w:rPr>
              <w:t>4-13，其中建筑物插入损失按未设置隔声、吸声措施的墙体计（平均隔声损失6dB、平均吸声系数0.06计）。</w:t>
            </w:r>
          </w:p>
          <w:p w14:paraId="41CE54D2">
            <w:pPr>
              <w:jc w:val="center"/>
              <w:rPr>
                <w:rFonts w:hint="default" w:ascii="Times New Roman" w:hAnsi="Times New Roman" w:eastAsia="宋体" w:cs="Times New Roman"/>
                <w:b/>
                <w:bCs/>
                <w:color w:val="auto"/>
                <w:u w:val="none" w:color="auto"/>
                <w:lang w:val="en-US" w:eastAsia="zh-CN"/>
              </w:rPr>
            </w:pPr>
            <w:r>
              <w:rPr>
                <w:rFonts w:hint="default" w:ascii="Times New Roman" w:hAnsi="Times New Roman" w:eastAsia="宋体" w:cs="Times New Roman"/>
                <w:b/>
                <w:bCs/>
                <w:color w:val="auto"/>
                <w:u w:val="none" w:color="auto"/>
                <w:lang w:val="en-US" w:eastAsia="zh-CN"/>
              </w:rPr>
              <w:t>表4-34  工业企业噪声源强调查清单（室内声源）</w:t>
            </w:r>
          </w:p>
          <w:tbl>
            <w:tblPr>
              <w:tblStyle w:val="31"/>
              <w:tblW w:w="5000" w:type="pct"/>
              <w:tblInd w:w="-1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361"/>
              <w:gridCol w:w="361"/>
              <w:gridCol w:w="901"/>
              <w:gridCol w:w="362"/>
              <w:gridCol w:w="485"/>
              <w:gridCol w:w="362"/>
              <w:gridCol w:w="394"/>
              <w:gridCol w:w="319"/>
              <w:gridCol w:w="195"/>
              <w:gridCol w:w="266"/>
              <w:gridCol w:w="266"/>
              <w:gridCol w:w="266"/>
              <w:gridCol w:w="266"/>
              <w:gridCol w:w="266"/>
              <w:gridCol w:w="266"/>
              <w:gridCol w:w="266"/>
              <w:gridCol w:w="266"/>
              <w:gridCol w:w="362"/>
              <w:gridCol w:w="266"/>
              <w:gridCol w:w="266"/>
              <w:gridCol w:w="266"/>
              <w:gridCol w:w="266"/>
              <w:gridCol w:w="264"/>
              <w:gridCol w:w="264"/>
              <w:gridCol w:w="264"/>
              <w:gridCol w:w="264"/>
              <w:gridCol w:w="168"/>
            </w:tblGrid>
            <w:tr w14:paraId="39C66F1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92" w:hRule="exact"/>
              </w:trPr>
              <w:tc>
                <w:tcPr>
                  <w:tcW w:w="204" w:type="pct"/>
                  <w:vMerge w:val="restart"/>
                  <w:tcBorders>
                    <w:tl2br w:val="nil"/>
                    <w:tr2bl w:val="nil"/>
                  </w:tcBorders>
                  <w:vAlign w:val="center"/>
                </w:tcPr>
                <w:p w14:paraId="7A6DFEF9">
                  <w:pPr>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b/>
                      <w:color w:val="auto"/>
                      <w:sz w:val="21"/>
                      <w:szCs w:val="21"/>
                      <w:u w:val="none" w:color="auto"/>
                    </w:rPr>
                    <w:t>序号</w:t>
                  </w:r>
                </w:p>
              </w:tc>
              <w:tc>
                <w:tcPr>
                  <w:tcW w:w="204" w:type="pct"/>
                  <w:vMerge w:val="restart"/>
                  <w:tcBorders>
                    <w:tl2br w:val="nil"/>
                    <w:tr2bl w:val="nil"/>
                  </w:tcBorders>
                  <w:vAlign w:val="center"/>
                </w:tcPr>
                <w:p w14:paraId="0D06838B">
                  <w:pPr>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b/>
                      <w:color w:val="auto"/>
                      <w:sz w:val="21"/>
                      <w:szCs w:val="21"/>
                      <w:u w:val="none" w:color="auto"/>
                    </w:rPr>
                    <w:t>建筑物名称</w:t>
                  </w:r>
                </w:p>
              </w:tc>
              <w:tc>
                <w:tcPr>
                  <w:tcW w:w="517" w:type="pct"/>
                  <w:vMerge w:val="restart"/>
                  <w:tcBorders>
                    <w:tl2br w:val="nil"/>
                    <w:tr2bl w:val="nil"/>
                  </w:tcBorders>
                  <w:vAlign w:val="center"/>
                </w:tcPr>
                <w:p w14:paraId="37154CF0">
                  <w:pPr>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b/>
                      <w:color w:val="auto"/>
                      <w:sz w:val="21"/>
                      <w:szCs w:val="21"/>
                      <w:u w:val="none" w:color="auto"/>
                    </w:rPr>
                    <w:t>声源名称</w:t>
                  </w:r>
                </w:p>
              </w:tc>
              <w:tc>
                <w:tcPr>
                  <w:tcW w:w="204" w:type="pct"/>
                  <w:vMerge w:val="restart"/>
                  <w:tcBorders>
                    <w:tl2br w:val="nil"/>
                    <w:tr2bl w:val="nil"/>
                  </w:tcBorders>
                  <w:vAlign w:val="center"/>
                </w:tcPr>
                <w:p w14:paraId="036783AE">
                  <w:pPr>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b/>
                      <w:color w:val="auto"/>
                      <w:sz w:val="21"/>
                      <w:szCs w:val="21"/>
                      <w:u w:val="none" w:color="auto"/>
                    </w:rPr>
                    <w:t>型号</w:t>
                  </w:r>
                </w:p>
              </w:tc>
              <w:tc>
                <w:tcPr>
                  <w:tcW w:w="270" w:type="pct"/>
                  <w:tcBorders>
                    <w:tl2br w:val="nil"/>
                    <w:tr2bl w:val="nil"/>
                  </w:tcBorders>
                  <w:vAlign w:val="center"/>
                </w:tcPr>
                <w:p w14:paraId="5741352A">
                  <w:pPr>
                    <w:jc w:val="center"/>
                    <w:rPr>
                      <w:rFonts w:hint="default" w:ascii="Times New Roman" w:hAnsi="Times New Roman" w:eastAsia="宋体" w:cs="Times New Roman"/>
                      <w:color w:val="auto"/>
                      <w:sz w:val="21"/>
                      <w:szCs w:val="21"/>
                      <w:u w:val="none" w:color="auto"/>
                      <w:lang w:eastAsia="zh-CN"/>
                    </w:rPr>
                  </w:pPr>
                  <w:r>
                    <w:rPr>
                      <w:rFonts w:hint="default" w:ascii="Times New Roman" w:hAnsi="Times New Roman" w:eastAsia="宋体" w:cs="Times New Roman"/>
                      <w:b/>
                      <w:color w:val="auto"/>
                      <w:sz w:val="21"/>
                      <w:szCs w:val="21"/>
                      <w:u w:val="none" w:color="auto"/>
                      <w:lang w:eastAsia="zh-CN"/>
                    </w:rPr>
                    <w:t>声源源强</w:t>
                  </w:r>
                </w:p>
              </w:tc>
              <w:tc>
                <w:tcPr>
                  <w:tcW w:w="204" w:type="pct"/>
                  <w:vMerge w:val="restart"/>
                  <w:tcBorders>
                    <w:tl2br w:val="nil"/>
                    <w:tr2bl w:val="nil"/>
                  </w:tcBorders>
                  <w:vAlign w:val="center"/>
                </w:tcPr>
                <w:p w14:paraId="7F89A20C">
                  <w:pPr>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b/>
                      <w:color w:val="auto"/>
                      <w:sz w:val="21"/>
                      <w:szCs w:val="21"/>
                      <w:u w:val="none" w:color="auto"/>
                    </w:rPr>
                    <w:t>声源控制措施</w:t>
                  </w:r>
                </w:p>
              </w:tc>
              <w:tc>
                <w:tcPr>
                  <w:tcW w:w="541" w:type="pct"/>
                  <w:gridSpan w:val="3"/>
                  <w:tcBorders>
                    <w:tl2br w:val="nil"/>
                    <w:tr2bl w:val="nil"/>
                  </w:tcBorders>
                  <w:vAlign w:val="center"/>
                </w:tcPr>
                <w:p w14:paraId="1D5A71EA">
                  <w:pPr>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b/>
                      <w:color w:val="auto"/>
                      <w:sz w:val="21"/>
                      <w:szCs w:val="21"/>
                      <w:u w:val="none" w:color="auto"/>
                    </w:rPr>
                    <w:t>空间相对位置/m</w:t>
                  </w:r>
                </w:p>
              </w:tc>
              <w:tc>
                <w:tcPr>
                  <w:tcW w:w="641" w:type="pct"/>
                  <w:gridSpan w:val="4"/>
                  <w:tcBorders>
                    <w:tl2br w:val="nil"/>
                    <w:tr2bl w:val="nil"/>
                  </w:tcBorders>
                  <w:vAlign w:val="center"/>
                </w:tcPr>
                <w:p w14:paraId="69F2395B">
                  <w:pPr>
                    <w:jc w:val="center"/>
                    <w:rPr>
                      <w:rFonts w:hint="default" w:ascii="Times New Roman" w:hAnsi="Times New Roman" w:eastAsia="宋体" w:cs="Times New Roman"/>
                      <w:b/>
                      <w:color w:val="auto"/>
                      <w:sz w:val="21"/>
                      <w:szCs w:val="21"/>
                      <w:u w:val="none" w:color="auto"/>
                    </w:rPr>
                  </w:pPr>
                  <w:r>
                    <w:rPr>
                      <w:rFonts w:hint="default" w:ascii="Times New Roman" w:hAnsi="Times New Roman" w:eastAsia="宋体" w:cs="Times New Roman"/>
                      <w:b/>
                      <w:color w:val="auto"/>
                      <w:sz w:val="21"/>
                      <w:szCs w:val="21"/>
                      <w:u w:val="none" w:color="auto"/>
                    </w:rPr>
                    <w:t>距室内边界距离/m</w:t>
                  </w:r>
                </w:p>
              </w:tc>
              <w:tc>
                <w:tcPr>
                  <w:tcW w:w="641" w:type="pct"/>
                  <w:gridSpan w:val="4"/>
                  <w:tcBorders>
                    <w:tl2br w:val="nil"/>
                    <w:tr2bl w:val="nil"/>
                  </w:tcBorders>
                  <w:vAlign w:val="center"/>
                </w:tcPr>
                <w:p w14:paraId="1F2D7679">
                  <w:pPr>
                    <w:jc w:val="center"/>
                    <w:rPr>
                      <w:rFonts w:hint="default" w:ascii="Times New Roman" w:hAnsi="Times New Roman" w:eastAsia="宋体" w:cs="Times New Roman"/>
                      <w:b/>
                      <w:color w:val="auto"/>
                      <w:sz w:val="21"/>
                      <w:szCs w:val="21"/>
                      <w:u w:val="none" w:color="auto"/>
                    </w:rPr>
                  </w:pPr>
                  <w:r>
                    <w:rPr>
                      <w:rFonts w:hint="default" w:ascii="Times New Roman" w:hAnsi="Times New Roman" w:eastAsia="宋体" w:cs="Times New Roman"/>
                      <w:b/>
                      <w:color w:val="auto"/>
                      <w:sz w:val="21"/>
                      <w:szCs w:val="21"/>
                      <w:u w:val="none" w:color="auto"/>
                    </w:rPr>
                    <w:t>室内边界声级/dB(A)</w:t>
                  </w:r>
                </w:p>
              </w:tc>
              <w:tc>
                <w:tcPr>
                  <w:tcW w:w="204" w:type="pct"/>
                  <w:vMerge w:val="restart"/>
                  <w:tcBorders>
                    <w:tl2br w:val="nil"/>
                    <w:tr2bl w:val="nil"/>
                  </w:tcBorders>
                  <w:vAlign w:val="center"/>
                </w:tcPr>
                <w:p w14:paraId="1D729CB2">
                  <w:pPr>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b/>
                      <w:color w:val="auto"/>
                      <w:sz w:val="21"/>
                      <w:szCs w:val="21"/>
                      <w:u w:val="none" w:color="auto"/>
                    </w:rPr>
                    <w:t>运行时段</w:t>
                  </w:r>
                </w:p>
              </w:tc>
              <w:tc>
                <w:tcPr>
                  <w:tcW w:w="641" w:type="pct"/>
                  <w:gridSpan w:val="4"/>
                  <w:tcBorders>
                    <w:tl2br w:val="nil"/>
                    <w:tr2bl w:val="nil"/>
                  </w:tcBorders>
                  <w:vAlign w:val="center"/>
                </w:tcPr>
                <w:p w14:paraId="12870585">
                  <w:pPr>
                    <w:jc w:val="center"/>
                    <w:rPr>
                      <w:rFonts w:hint="default" w:ascii="Times New Roman" w:hAnsi="Times New Roman" w:eastAsia="宋体" w:cs="Times New Roman"/>
                      <w:b/>
                      <w:color w:val="auto"/>
                      <w:sz w:val="21"/>
                      <w:szCs w:val="21"/>
                      <w:u w:val="none" w:color="auto"/>
                    </w:rPr>
                  </w:pPr>
                  <w:r>
                    <w:rPr>
                      <w:rFonts w:hint="default" w:ascii="Times New Roman" w:hAnsi="Times New Roman" w:eastAsia="宋体" w:cs="Times New Roman"/>
                      <w:b/>
                      <w:color w:val="auto"/>
                      <w:sz w:val="21"/>
                      <w:szCs w:val="21"/>
                      <w:u w:val="none" w:color="auto"/>
                    </w:rPr>
                    <w:t>建筑物插入损失 / dB(A)</w:t>
                  </w:r>
                </w:p>
              </w:tc>
              <w:tc>
                <w:tcPr>
                  <w:tcW w:w="724" w:type="pct"/>
                  <w:gridSpan w:val="5"/>
                  <w:tcBorders>
                    <w:tl2br w:val="nil"/>
                    <w:tr2bl w:val="nil"/>
                  </w:tcBorders>
                  <w:vAlign w:val="center"/>
                </w:tcPr>
                <w:p w14:paraId="39B25E68">
                  <w:pPr>
                    <w:jc w:val="center"/>
                    <w:rPr>
                      <w:rFonts w:hint="default" w:ascii="Times New Roman" w:hAnsi="Times New Roman" w:eastAsia="宋体" w:cs="Times New Roman"/>
                      <w:b/>
                      <w:bCs w:val="0"/>
                      <w:color w:val="auto"/>
                      <w:sz w:val="21"/>
                      <w:szCs w:val="21"/>
                      <w:u w:val="none" w:color="auto"/>
                    </w:rPr>
                  </w:pPr>
                  <w:r>
                    <w:rPr>
                      <w:rFonts w:hint="default" w:ascii="Times New Roman" w:hAnsi="Times New Roman" w:eastAsia="宋体" w:cs="Times New Roman"/>
                      <w:b/>
                      <w:bCs w:val="0"/>
                      <w:color w:val="auto"/>
                      <w:sz w:val="21"/>
                      <w:szCs w:val="21"/>
                      <w:u w:val="none" w:color="auto"/>
                    </w:rPr>
                    <w:t>建筑物外噪声声压级/dB(A)</w:t>
                  </w:r>
                </w:p>
              </w:tc>
            </w:tr>
            <w:tr w14:paraId="2961840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0" w:hRule="atLeast"/>
              </w:trPr>
              <w:tc>
                <w:tcPr>
                  <w:tcW w:w="204" w:type="pct"/>
                  <w:vMerge w:val="continue"/>
                  <w:tcBorders>
                    <w:tl2br w:val="nil"/>
                    <w:tr2bl w:val="nil"/>
                  </w:tcBorders>
                  <w:shd w:val="clear" w:color="auto" w:fill="FFFFFF"/>
                  <w:tcMar>
                    <w:top w:w="0" w:type="dxa"/>
                    <w:left w:w="0" w:type="dxa"/>
                    <w:bottom w:w="0" w:type="dxa"/>
                    <w:right w:w="0" w:type="dxa"/>
                  </w:tcMar>
                  <w:vAlign w:val="center"/>
                </w:tcPr>
                <w:p w14:paraId="7E6E658E">
                  <w:pPr>
                    <w:jc w:val="center"/>
                    <w:rPr>
                      <w:rFonts w:hint="default" w:ascii="Times New Roman" w:hAnsi="Times New Roman" w:eastAsia="宋体" w:cs="Times New Roman"/>
                      <w:color w:val="auto"/>
                      <w:sz w:val="21"/>
                      <w:szCs w:val="21"/>
                      <w:u w:val="none" w:color="auto"/>
                      <w:lang w:val="en-US" w:eastAsia="zh-CN"/>
                    </w:rPr>
                  </w:pPr>
                </w:p>
              </w:tc>
              <w:tc>
                <w:tcPr>
                  <w:tcW w:w="204" w:type="pct"/>
                  <w:vMerge w:val="continue"/>
                  <w:tcBorders>
                    <w:tl2br w:val="nil"/>
                    <w:tr2bl w:val="nil"/>
                  </w:tcBorders>
                  <w:shd w:val="clear" w:color="auto" w:fill="FFFFFF"/>
                  <w:tcMar>
                    <w:top w:w="0" w:type="dxa"/>
                    <w:left w:w="0" w:type="dxa"/>
                    <w:bottom w:w="0" w:type="dxa"/>
                    <w:right w:w="0" w:type="dxa"/>
                  </w:tcMar>
                  <w:vAlign w:val="center"/>
                </w:tcPr>
                <w:p w14:paraId="7199E1C2">
                  <w:pPr>
                    <w:jc w:val="center"/>
                    <w:rPr>
                      <w:rFonts w:hint="default" w:ascii="Times New Roman" w:hAnsi="Times New Roman" w:eastAsia="宋体" w:cs="Times New Roman"/>
                      <w:color w:val="auto"/>
                      <w:sz w:val="21"/>
                      <w:szCs w:val="21"/>
                      <w:u w:val="none" w:color="auto"/>
                    </w:rPr>
                  </w:pPr>
                </w:p>
              </w:tc>
              <w:tc>
                <w:tcPr>
                  <w:tcW w:w="517" w:type="pct"/>
                  <w:vMerge w:val="continue"/>
                  <w:tcBorders>
                    <w:tl2br w:val="nil"/>
                    <w:tr2bl w:val="nil"/>
                  </w:tcBorders>
                  <w:shd w:val="clear" w:color="auto" w:fill="FFFFFF"/>
                  <w:tcMar>
                    <w:top w:w="0" w:type="dxa"/>
                    <w:left w:w="0" w:type="dxa"/>
                    <w:bottom w:w="0" w:type="dxa"/>
                    <w:right w:w="0" w:type="dxa"/>
                  </w:tcMar>
                  <w:vAlign w:val="center"/>
                </w:tcPr>
                <w:p w14:paraId="21387B66">
                  <w:pPr>
                    <w:jc w:val="center"/>
                    <w:rPr>
                      <w:rFonts w:hint="default" w:ascii="Times New Roman" w:hAnsi="Times New Roman" w:eastAsia="宋体" w:cs="Times New Roman"/>
                      <w:color w:val="auto"/>
                      <w:sz w:val="21"/>
                      <w:szCs w:val="21"/>
                      <w:u w:val="none" w:color="auto"/>
                    </w:rPr>
                  </w:pPr>
                </w:p>
              </w:tc>
              <w:tc>
                <w:tcPr>
                  <w:tcW w:w="204" w:type="pct"/>
                  <w:vMerge w:val="continue"/>
                  <w:tcBorders>
                    <w:tl2br w:val="nil"/>
                    <w:tr2bl w:val="nil"/>
                  </w:tcBorders>
                  <w:shd w:val="clear" w:color="auto" w:fill="FFFFFF"/>
                  <w:tcMar>
                    <w:top w:w="0" w:type="dxa"/>
                    <w:left w:w="0" w:type="dxa"/>
                    <w:bottom w:w="0" w:type="dxa"/>
                    <w:right w:w="0" w:type="dxa"/>
                  </w:tcMar>
                  <w:vAlign w:val="center"/>
                </w:tcPr>
                <w:p w14:paraId="24916164">
                  <w:pPr>
                    <w:jc w:val="center"/>
                    <w:rPr>
                      <w:rFonts w:hint="default" w:ascii="Times New Roman" w:hAnsi="Times New Roman" w:eastAsia="宋体" w:cs="Times New Roman"/>
                      <w:color w:val="auto"/>
                      <w:sz w:val="21"/>
                      <w:szCs w:val="21"/>
                      <w:u w:val="none" w:color="auto"/>
                    </w:rPr>
                  </w:pPr>
                </w:p>
              </w:tc>
              <w:tc>
                <w:tcPr>
                  <w:tcW w:w="270" w:type="pct"/>
                  <w:tcBorders>
                    <w:tl2br w:val="nil"/>
                    <w:tr2bl w:val="nil"/>
                  </w:tcBorders>
                  <w:shd w:val="clear" w:color="auto" w:fill="FFFFFF"/>
                  <w:tcMar>
                    <w:top w:w="0" w:type="dxa"/>
                    <w:left w:w="0" w:type="dxa"/>
                    <w:bottom w:w="0" w:type="dxa"/>
                    <w:right w:w="0" w:type="dxa"/>
                  </w:tcMar>
                  <w:vAlign w:val="center"/>
                </w:tcPr>
                <w:p w14:paraId="1528FD00">
                  <w:pPr>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声功率级/dB(A)</w:t>
                  </w:r>
                </w:p>
              </w:tc>
              <w:tc>
                <w:tcPr>
                  <w:tcW w:w="204" w:type="pct"/>
                  <w:vMerge w:val="continue"/>
                  <w:tcBorders>
                    <w:tl2br w:val="nil"/>
                    <w:tr2bl w:val="nil"/>
                  </w:tcBorders>
                  <w:shd w:val="clear" w:color="auto" w:fill="FFFFFF"/>
                  <w:tcMar>
                    <w:top w:w="0" w:type="dxa"/>
                    <w:left w:w="0" w:type="dxa"/>
                    <w:bottom w:w="0" w:type="dxa"/>
                    <w:right w:w="0" w:type="dxa"/>
                  </w:tcMar>
                  <w:vAlign w:val="center"/>
                </w:tcPr>
                <w:p w14:paraId="44C4F0E5">
                  <w:pPr>
                    <w:jc w:val="center"/>
                    <w:rPr>
                      <w:rFonts w:hint="default" w:ascii="Times New Roman" w:hAnsi="Times New Roman" w:eastAsia="宋体" w:cs="Times New Roman"/>
                      <w:color w:val="auto"/>
                      <w:sz w:val="21"/>
                      <w:szCs w:val="21"/>
                      <w:u w:val="none" w:color="auto"/>
                    </w:rPr>
                  </w:pPr>
                </w:p>
              </w:tc>
              <w:tc>
                <w:tcPr>
                  <w:tcW w:w="234" w:type="pct"/>
                  <w:tcBorders>
                    <w:tl2br w:val="nil"/>
                    <w:tr2bl w:val="nil"/>
                  </w:tcBorders>
                  <w:shd w:val="clear" w:color="auto" w:fill="FFFFFF"/>
                  <w:tcMar>
                    <w:top w:w="0" w:type="dxa"/>
                    <w:left w:w="0" w:type="dxa"/>
                    <w:bottom w:w="0" w:type="dxa"/>
                    <w:right w:w="0" w:type="dxa"/>
                  </w:tcMar>
                  <w:vAlign w:val="center"/>
                </w:tcPr>
                <w:p w14:paraId="1AD7711F">
                  <w:pPr>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X</w:t>
                  </w:r>
                </w:p>
              </w:tc>
              <w:tc>
                <w:tcPr>
                  <w:tcW w:w="189" w:type="pct"/>
                  <w:tcBorders>
                    <w:tl2br w:val="nil"/>
                    <w:tr2bl w:val="nil"/>
                  </w:tcBorders>
                  <w:shd w:val="clear" w:color="auto" w:fill="FFFFFF"/>
                  <w:tcMar>
                    <w:top w:w="0" w:type="dxa"/>
                    <w:left w:w="0" w:type="dxa"/>
                    <w:bottom w:w="0" w:type="dxa"/>
                    <w:right w:w="0" w:type="dxa"/>
                  </w:tcMar>
                  <w:vAlign w:val="center"/>
                </w:tcPr>
                <w:p w14:paraId="10C7CDFE">
                  <w:pPr>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Y</w:t>
                  </w:r>
                </w:p>
              </w:tc>
              <w:tc>
                <w:tcPr>
                  <w:tcW w:w="117" w:type="pct"/>
                  <w:tcBorders>
                    <w:tl2br w:val="nil"/>
                    <w:tr2bl w:val="nil"/>
                  </w:tcBorders>
                  <w:shd w:val="clear" w:color="auto" w:fill="FFFFFF"/>
                  <w:tcMar>
                    <w:top w:w="0" w:type="dxa"/>
                    <w:left w:w="0" w:type="dxa"/>
                    <w:bottom w:w="0" w:type="dxa"/>
                    <w:right w:w="0" w:type="dxa"/>
                  </w:tcMar>
                  <w:vAlign w:val="center"/>
                </w:tcPr>
                <w:p w14:paraId="026E9120">
                  <w:pPr>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Z</w:t>
                  </w:r>
                </w:p>
              </w:tc>
              <w:tc>
                <w:tcPr>
                  <w:tcW w:w="160" w:type="pct"/>
                  <w:tcBorders>
                    <w:tl2br w:val="nil"/>
                    <w:tr2bl w:val="nil"/>
                  </w:tcBorders>
                  <w:shd w:val="clear" w:color="auto" w:fill="FFFFFF"/>
                  <w:tcMar>
                    <w:top w:w="0" w:type="dxa"/>
                    <w:left w:w="0" w:type="dxa"/>
                    <w:bottom w:w="0" w:type="dxa"/>
                    <w:right w:w="0" w:type="dxa"/>
                  </w:tcMar>
                  <w:vAlign w:val="center"/>
                </w:tcPr>
                <w:p w14:paraId="12131311">
                  <w:pPr>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东</w:t>
                  </w:r>
                </w:p>
              </w:tc>
              <w:tc>
                <w:tcPr>
                  <w:tcW w:w="160" w:type="pct"/>
                  <w:tcBorders>
                    <w:tl2br w:val="nil"/>
                    <w:tr2bl w:val="nil"/>
                  </w:tcBorders>
                  <w:shd w:val="clear" w:color="auto" w:fill="FFFFFF"/>
                  <w:tcMar>
                    <w:top w:w="0" w:type="dxa"/>
                    <w:left w:w="0" w:type="dxa"/>
                    <w:bottom w:w="0" w:type="dxa"/>
                    <w:right w:w="0" w:type="dxa"/>
                  </w:tcMar>
                  <w:vAlign w:val="center"/>
                </w:tcPr>
                <w:p w14:paraId="7BCC1071">
                  <w:pPr>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南</w:t>
                  </w:r>
                </w:p>
              </w:tc>
              <w:tc>
                <w:tcPr>
                  <w:tcW w:w="160" w:type="pct"/>
                  <w:tcBorders>
                    <w:tl2br w:val="nil"/>
                    <w:tr2bl w:val="nil"/>
                  </w:tcBorders>
                  <w:shd w:val="clear" w:color="auto" w:fill="FFFFFF"/>
                  <w:tcMar>
                    <w:top w:w="0" w:type="dxa"/>
                    <w:left w:w="0" w:type="dxa"/>
                    <w:bottom w:w="0" w:type="dxa"/>
                    <w:right w:w="0" w:type="dxa"/>
                  </w:tcMar>
                  <w:vAlign w:val="center"/>
                </w:tcPr>
                <w:p w14:paraId="4A9773DC">
                  <w:pPr>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西</w:t>
                  </w:r>
                </w:p>
              </w:tc>
              <w:tc>
                <w:tcPr>
                  <w:tcW w:w="160" w:type="pct"/>
                  <w:tcBorders>
                    <w:tl2br w:val="nil"/>
                    <w:tr2bl w:val="nil"/>
                  </w:tcBorders>
                  <w:shd w:val="clear" w:color="auto" w:fill="FFFFFF"/>
                  <w:tcMar>
                    <w:top w:w="0" w:type="dxa"/>
                    <w:left w:w="0" w:type="dxa"/>
                    <w:bottom w:w="0" w:type="dxa"/>
                    <w:right w:w="0" w:type="dxa"/>
                  </w:tcMar>
                  <w:vAlign w:val="center"/>
                </w:tcPr>
                <w:p w14:paraId="16F7CA0E">
                  <w:pPr>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北</w:t>
                  </w:r>
                </w:p>
              </w:tc>
              <w:tc>
                <w:tcPr>
                  <w:tcW w:w="160" w:type="pct"/>
                  <w:tcBorders>
                    <w:tl2br w:val="nil"/>
                    <w:tr2bl w:val="nil"/>
                  </w:tcBorders>
                  <w:shd w:val="clear" w:color="auto" w:fill="FFFFFF"/>
                  <w:tcMar>
                    <w:top w:w="0" w:type="dxa"/>
                    <w:left w:w="0" w:type="dxa"/>
                    <w:bottom w:w="0" w:type="dxa"/>
                    <w:right w:w="0" w:type="dxa"/>
                  </w:tcMar>
                  <w:vAlign w:val="center"/>
                </w:tcPr>
                <w:p w14:paraId="57D50D75">
                  <w:pPr>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东</w:t>
                  </w:r>
                </w:p>
              </w:tc>
              <w:tc>
                <w:tcPr>
                  <w:tcW w:w="160" w:type="pct"/>
                  <w:tcBorders>
                    <w:tl2br w:val="nil"/>
                    <w:tr2bl w:val="nil"/>
                  </w:tcBorders>
                  <w:shd w:val="clear" w:color="auto" w:fill="FFFFFF"/>
                  <w:tcMar>
                    <w:top w:w="0" w:type="dxa"/>
                    <w:left w:w="0" w:type="dxa"/>
                    <w:bottom w:w="0" w:type="dxa"/>
                    <w:right w:w="0" w:type="dxa"/>
                  </w:tcMar>
                  <w:vAlign w:val="center"/>
                </w:tcPr>
                <w:p w14:paraId="5450A2D3">
                  <w:pPr>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南</w:t>
                  </w:r>
                </w:p>
              </w:tc>
              <w:tc>
                <w:tcPr>
                  <w:tcW w:w="160" w:type="pct"/>
                  <w:tcBorders>
                    <w:tl2br w:val="nil"/>
                    <w:tr2bl w:val="nil"/>
                  </w:tcBorders>
                  <w:shd w:val="clear" w:color="auto" w:fill="FFFFFF"/>
                  <w:tcMar>
                    <w:top w:w="0" w:type="dxa"/>
                    <w:left w:w="0" w:type="dxa"/>
                    <w:bottom w:w="0" w:type="dxa"/>
                    <w:right w:w="0" w:type="dxa"/>
                  </w:tcMar>
                  <w:vAlign w:val="center"/>
                </w:tcPr>
                <w:p w14:paraId="787D9D75">
                  <w:pPr>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西</w:t>
                  </w:r>
                </w:p>
              </w:tc>
              <w:tc>
                <w:tcPr>
                  <w:tcW w:w="160" w:type="pct"/>
                  <w:tcBorders>
                    <w:tl2br w:val="nil"/>
                    <w:tr2bl w:val="nil"/>
                  </w:tcBorders>
                  <w:shd w:val="clear" w:color="auto" w:fill="FFFFFF"/>
                  <w:tcMar>
                    <w:top w:w="0" w:type="dxa"/>
                    <w:left w:w="0" w:type="dxa"/>
                    <w:bottom w:w="0" w:type="dxa"/>
                    <w:right w:w="0" w:type="dxa"/>
                  </w:tcMar>
                  <w:vAlign w:val="center"/>
                </w:tcPr>
                <w:p w14:paraId="61447B88">
                  <w:pPr>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北</w:t>
                  </w:r>
                </w:p>
              </w:tc>
              <w:tc>
                <w:tcPr>
                  <w:tcW w:w="204" w:type="pct"/>
                  <w:vMerge w:val="continue"/>
                  <w:tcBorders>
                    <w:tl2br w:val="nil"/>
                    <w:tr2bl w:val="nil"/>
                  </w:tcBorders>
                  <w:shd w:val="clear" w:color="auto" w:fill="FFFFFF"/>
                  <w:tcMar>
                    <w:top w:w="0" w:type="dxa"/>
                    <w:left w:w="0" w:type="dxa"/>
                    <w:bottom w:w="0" w:type="dxa"/>
                    <w:right w:w="0" w:type="dxa"/>
                  </w:tcMar>
                  <w:vAlign w:val="center"/>
                </w:tcPr>
                <w:p w14:paraId="1E3E27CE">
                  <w:pPr>
                    <w:jc w:val="center"/>
                    <w:rPr>
                      <w:rFonts w:hint="default" w:ascii="Times New Roman" w:hAnsi="Times New Roman" w:eastAsia="宋体" w:cs="Times New Roman"/>
                      <w:color w:val="auto"/>
                      <w:sz w:val="21"/>
                      <w:szCs w:val="21"/>
                      <w:u w:val="none" w:color="auto"/>
                    </w:rPr>
                  </w:pPr>
                </w:p>
              </w:tc>
              <w:tc>
                <w:tcPr>
                  <w:tcW w:w="160" w:type="pct"/>
                  <w:tcBorders>
                    <w:tl2br w:val="nil"/>
                    <w:tr2bl w:val="nil"/>
                  </w:tcBorders>
                  <w:shd w:val="clear" w:color="auto" w:fill="FFFFFF"/>
                  <w:tcMar>
                    <w:top w:w="0" w:type="dxa"/>
                    <w:left w:w="0" w:type="dxa"/>
                    <w:bottom w:w="0" w:type="dxa"/>
                    <w:right w:w="0" w:type="dxa"/>
                  </w:tcMar>
                  <w:vAlign w:val="center"/>
                </w:tcPr>
                <w:p w14:paraId="563C0449">
                  <w:pPr>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东</w:t>
                  </w:r>
                </w:p>
              </w:tc>
              <w:tc>
                <w:tcPr>
                  <w:tcW w:w="160" w:type="pct"/>
                  <w:tcBorders>
                    <w:tl2br w:val="nil"/>
                    <w:tr2bl w:val="nil"/>
                  </w:tcBorders>
                  <w:shd w:val="clear" w:color="auto" w:fill="FFFFFF"/>
                  <w:tcMar>
                    <w:top w:w="0" w:type="dxa"/>
                    <w:left w:w="0" w:type="dxa"/>
                    <w:bottom w:w="0" w:type="dxa"/>
                    <w:right w:w="0" w:type="dxa"/>
                  </w:tcMar>
                  <w:vAlign w:val="center"/>
                </w:tcPr>
                <w:p w14:paraId="3D9E957D">
                  <w:pPr>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南</w:t>
                  </w:r>
                </w:p>
              </w:tc>
              <w:tc>
                <w:tcPr>
                  <w:tcW w:w="160" w:type="pct"/>
                  <w:tcBorders>
                    <w:tl2br w:val="nil"/>
                    <w:tr2bl w:val="nil"/>
                  </w:tcBorders>
                  <w:shd w:val="clear" w:color="auto" w:fill="FFFFFF"/>
                  <w:tcMar>
                    <w:top w:w="0" w:type="dxa"/>
                    <w:left w:w="0" w:type="dxa"/>
                    <w:bottom w:w="0" w:type="dxa"/>
                    <w:right w:w="0" w:type="dxa"/>
                  </w:tcMar>
                  <w:vAlign w:val="center"/>
                </w:tcPr>
                <w:p w14:paraId="6288A2CB">
                  <w:pPr>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西</w:t>
                  </w:r>
                </w:p>
              </w:tc>
              <w:tc>
                <w:tcPr>
                  <w:tcW w:w="160" w:type="pct"/>
                  <w:tcBorders>
                    <w:tl2br w:val="nil"/>
                    <w:tr2bl w:val="nil"/>
                  </w:tcBorders>
                  <w:shd w:val="clear" w:color="auto" w:fill="FFFFFF"/>
                  <w:tcMar>
                    <w:top w:w="0" w:type="dxa"/>
                    <w:left w:w="0" w:type="dxa"/>
                    <w:bottom w:w="0" w:type="dxa"/>
                    <w:right w:w="0" w:type="dxa"/>
                  </w:tcMar>
                  <w:vAlign w:val="center"/>
                </w:tcPr>
                <w:p w14:paraId="2E744836">
                  <w:pPr>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北</w:t>
                  </w:r>
                </w:p>
              </w:tc>
              <w:tc>
                <w:tcPr>
                  <w:tcW w:w="158" w:type="pct"/>
                  <w:tcBorders>
                    <w:tl2br w:val="nil"/>
                    <w:tr2bl w:val="nil"/>
                  </w:tcBorders>
                  <w:shd w:val="clear" w:color="auto" w:fill="FFFFFF"/>
                  <w:tcMar>
                    <w:top w:w="0" w:type="dxa"/>
                    <w:left w:w="0" w:type="dxa"/>
                    <w:bottom w:w="0" w:type="dxa"/>
                    <w:right w:w="0" w:type="dxa"/>
                  </w:tcMar>
                  <w:vAlign w:val="center"/>
                </w:tcPr>
                <w:p w14:paraId="508104CC">
                  <w:pPr>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东</w:t>
                  </w:r>
                </w:p>
              </w:tc>
              <w:tc>
                <w:tcPr>
                  <w:tcW w:w="159" w:type="pct"/>
                  <w:tcBorders>
                    <w:tl2br w:val="nil"/>
                    <w:tr2bl w:val="nil"/>
                  </w:tcBorders>
                  <w:shd w:val="clear" w:color="auto" w:fill="FFFFFF"/>
                  <w:tcMar>
                    <w:top w:w="0" w:type="dxa"/>
                    <w:left w:w="0" w:type="dxa"/>
                    <w:bottom w:w="0" w:type="dxa"/>
                    <w:right w:w="0" w:type="dxa"/>
                  </w:tcMar>
                  <w:vAlign w:val="center"/>
                </w:tcPr>
                <w:p w14:paraId="6A8733D7">
                  <w:pPr>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南</w:t>
                  </w:r>
                </w:p>
              </w:tc>
              <w:tc>
                <w:tcPr>
                  <w:tcW w:w="159" w:type="pct"/>
                  <w:tcBorders>
                    <w:tl2br w:val="nil"/>
                    <w:tr2bl w:val="nil"/>
                  </w:tcBorders>
                  <w:shd w:val="clear" w:color="auto" w:fill="FFFFFF"/>
                  <w:tcMar>
                    <w:top w:w="0" w:type="dxa"/>
                    <w:left w:w="0" w:type="dxa"/>
                    <w:bottom w:w="0" w:type="dxa"/>
                    <w:right w:w="0" w:type="dxa"/>
                  </w:tcMar>
                  <w:vAlign w:val="center"/>
                </w:tcPr>
                <w:p w14:paraId="76FB9D24">
                  <w:pPr>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西</w:t>
                  </w:r>
                </w:p>
              </w:tc>
              <w:tc>
                <w:tcPr>
                  <w:tcW w:w="159" w:type="pct"/>
                  <w:tcBorders>
                    <w:tl2br w:val="nil"/>
                    <w:tr2bl w:val="nil"/>
                  </w:tcBorders>
                  <w:shd w:val="clear" w:color="auto" w:fill="FFFFFF"/>
                  <w:tcMar>
                    <w:top w:w="0" w:type="dxa"/>
                    <w:left w:w="0" w:type="dxa"/>
                    <w:bottom w:w="0" w:type="dxa"/>
                    <w:right w:w="0" w:type="dxa"/>
                  </w:tcMar>
                  <w:vAlign w:val="center"/>
                </w:tcPr>
                <w:p w14:paraId="35489FEB">
                  <w:pPr>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北</w:t>
                  </w:r>
                </w:p>
              </w:tc>
              <w:tc>
                <w:tcPr>
                  <w:tcW w:w="88" w:type="pct"/>
                  <w:tcBorders>
                    <w:tl2br w:val="nil"/>
                    <w:tr2bl w:val="nil"/>
                  </w:tcBorders>
                  <w:shd w:val="clear" w:color="auto" w:fill="FFFFFF"/>
                  <w:tcMar>
                    <w:top w:w="0" w:type="dxa"/>
                    <w:left w:w="0" w:type="dxa"/>
                    <w:bottom w:w="0" w:type="dxa"/>
                    <w:right w:w="0" w:type="dxa"/>
                  </w:tcMar>
                  <w:vAlign w:val="center"/>
                </w:tcPr>
                <w:p w14:paraId="7863E1D4">
                  <w:pPr>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建筑物外距离</w:t>
                  </w:r>
                </w:p>
              </w:tc>
            </w:tr>
            <w:tr w14:paraId="4CF3F13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0" w:hRule="atLeast"/>
              </w:trPr>
              <w:tc>
                <w:tcPr>
                  <w:tcW w:w="204" w:type="pct"/>
                  <w:tcBorders>
                    <w:tl2br w:val="nil"/>
                    <w:tr2bl w:val="nil"/>
                  </w:tcBorders>
                  <w:shd w:val="clear" w:color="auto" w:fill="FFFFFF"/>
                  <w:tcMar>
                    <w:top w:w="0" w:type="dxa"/>
                    <w:left w:w="0" w:type="dxa"/>
                    <w:bottom w:w="0" w:type="dxa"/>
                    <w:right w:w="0" w:type="dxa"/>
                  </w:tcMar>
                  <w:vAlign w:val="center"/>
                </w:tcPr>
                <w:p w14:paraId="21D8E49E">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w:t>
                  </w:r>
                </w:p>
              </w:tc>
              <w:tc>
                <w:tcPr>
                  <w:tcW w:w="204" w:type="pct"/>
                  <w:tcBorders>
                    <w:tl2br w:val="nil"/>
                    <w:tr2bl w:val="nil"/>
                  </w:tcBorders>
                  <w:shd w:val="clear" w:color="auto" w:fill="FFFFFF"/>
                  <w:tcMar>
                    <w:top w:w="0" w:type="dxa"/>
                    <w:left w:w="0" w:type="dxa"/>
                    <w:bottom w:w="0" w:type="dxa"/>
                    <w:right w:w="0" w:type="dxa"/>
                  </w:tcMar>
                  <w:vAlign w:val="center"/>
                </w:tcPr>
                <w:p w14:paraId="0ADB8B59">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临港高新产业园区-15#厂房</w:t>
                  </w:r>
                </w:p>
              </w:tc>
              <w:tc>
                <w:tcPr>
                  <w:tcW w:w="517" w:type="pct"/>
                  <w:tcBorders>
                    <w:tl2br w:val="nil"/>
                    <w:tr2bl w:val="nil"/>
                  </w:tcBorders>
                  <w:shd w:val="clear" w:color="auto" w:fill="FFFFFF"/>
                  <w:tcMar>
                    <w:top w:w="0" w:type="dxa"/>
                    <w:left w:w="0" w:type="dxa"/>
                    <w:bottom w:w="0" w:type="dxa"/>
                    <w:right w:w="0" w:type="dxa"/>
                  </w:tcMar>
                  <w:vAlign w:val="center"/>
                </w:tcPr>
                <w:p w14:paraId="13148F30">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激光打标机组,4台（按点声源组预测）</w:t>
                  </w:r>
                </w:p>
              </w:tc>
              <w:tc>
                <w:tcPr>
                  <w:tcW w:w="204" w:type="pct"/>
                  <w:tcBorders>
                    <w:tl2br w:val="nil"/>
                    <w:tr2bl w:val="nil"/>
                  </w:tcBorders>
                  <w:shd w:val="clear" w:color="auto" w:fill="FFFFFF"/>
                  <w:tcMar>
                    <w:top w:w="0" w:type="dxa"/>
                    <w:left w:w="0" w:type="dxa"/>
                    <w:bottom w:w="0" w:type="dxa"/>
                    <w:right w:w="0" w:type="dxa"/>
                  </w:tcMar>
                  <w:vAlign w:val="center"/>
                </w:tcPr>
                <w:p w14:paraId="7D698F77">
                  <w:pPr>
                    <w:rPr>
                      <w:rFonts w:hint="default" w:ascii="Times New Roman" w:hAnsi="Times New Roman" w:eastAsia="宋体" w:cs="Times New Roman"/>
                      <w:color w:val="auto"/>
                      <w:u w:val="none" w:color="auto"/>
                    </w:rPr>
                  </w:pPr>
                </w:p>
              </w:tc>
              <w:tc>
                <w:tcPr>
                  <w:tcW w:w="270" w:type="pct"/>
                  <w:tcBorders>
                    <w:tl2br w:val="nil"/>
                    <w:tr2bl w:val="nil"/>
                  </w:tcBorders>
                  <w:shd w:val="clear" w:color="auto" w:fill="FFFFFF"/>
                  <w:tcMar>
                    <w:top w:w="0" w:type="dxa"/>
                    <w:left w:w="0" w:type="dxa"/>
                    <w:bottom w:w="0" w:type="dxa"/>
                    <w:right w:w="0" w:type="dxa"/>
                  </w:tcMar>
                  <w:vAlign w:val="center"/>
                </w:tcPr>
                <w:p w14:paraId="75AAC07B">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77.5（等效后：83.5)</w:t>
                  </w:r>
                </w:p>
              </w:tc>
              <w:tc>
                <w:tcPr>
                  <w:tcW w:w="204" w:type="pct"/>
                  <w:vMerge w:val="restart"/>
                  <w:tcBorders>
                    <w:tl2br w:val="nil"/>
                    <w:tr2bl w:val="nil"/>
                  </w:tcBorders>
                  <w:shd w:val="clear" w:color="auto" w:fill="FFFFFF"/>
                  <w:tcMar>
                    <w:top w:w="0" w:type="dxa"/>
                    <w:left w:w="0" w:type="dxa"/>
                    <w:bottom w:w="0" w:type="dxa"/>
                    <w:right w:w="0" w:type="dxa"/>
                  </w:tcMar>
                  <w:vAlign w:val="center"/>
                </w:tcPr>
                <w:p w14:paraId="55CCEF64">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val="en-US" w:eastAsia="zh-CN"/>
                    </w:rPr>
                    <w:t>详见本节上表相关内容</w:t>
                  </w:r>
                </w:p>
              </w:tc>
              <w:tc>
                <w:tcPr>
                  <w:tcW w:w="234" w:type="pct"/>
                  <w:tcBorders>
                    <w:tl2br w:val="nil"/>
                    <w:tr2bl w:val="nil"/>
                  </w:tcBorders>
                  <w:shd w:val="clear" w:color="auto" w:fill="FFFFFF"/>
                  <w:tcMar>
                    <w:top w:w="0" w:type="dxa"/>
                    <w:left w:w="0" w:type="dxa"/>
                    <w:bottom w:w="0" w:type="dxa"/>
                    <w:right w:w="0" w:type="dxa"/>
                  </w:tcMar>
                  <w:vAlign w:val="center"/>
                </w:tcPr>
                <w:p w14:paraId="4C687296">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96.4</w:t>
                  </w:r>
                </w:p>
              </w:tc>
              <w:tc>
                <w:tcPr>
                  <w:tcW w:w="189" w:type="pct"/>
                  <w:tcBorders>
                    <w:tl2br w:val="nil"/>
                    <w:tr2bl w:val="nil"/>
                  </w:tcBorders>
                  <w:shd w:val="clear" w:color="auto" w:fill="FFFFFF"/>
                  <w:tcMar>
                    <w:top w:w="0" w:type="dxa"/>
                    <w:left w:w="0" w:type="dxa"/>
                    <w:bottom w:w="0" w:type="dxa"/>
                    <w:right w:w="0" w:type="dxa"/>
                  </w:tcMar>
                  <w:vAlign w:val="center"/>
                </w:tcPr>
                <w:p w14:paraId="1D400DA6">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-31.2</w:t>
                  </w:r>
                </w:p>
              </w:tc>
              <w:tc>
                <w:tcPr>
                  <w:tcW w:w="117" w:type="pct"/>
                  <w:tcBorders>
                    <w:tl2br w:val="nil"/>
                    <w:tr2bl w:val="nil"/>
                  </w:tcBorders>
                  <w:shd w:val="clear" w:color="auto" w:fill="FFFFFF"/>
                  <w:tcMar>
                    <w:top w:w="0" w:type="dxa"/>
                    <w:left w:w="0" w:type="dxa"/>
                    <w:bottom w:w="0" w:type="dxa"/>
                    <w:right w:w="0" w:type="dxa"/>
                  </w:tcMar>
                  <w:vAlign w:val="center"/>
                </w:tcPr>
                <w:p w14:paraId="105AAAC8">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w:t>
                  </w:r>
                </w:p>
              </w:tc>
              <w:tc>
                <w:tcPr>
                  <w:tcW w:w="160" w:type="pct"/>
                  <w:tcBorders>
                    <w:tl2br w:val="nil"/>
                    <w:tr2bl w:val="nil"/>
                  </w:tcBorders>
                  <w:shd w:val="clear" w:color="auto" w:fill="FFFFFF"/>
                  <w:tcMar>
                    <w:top w:w="0" w:type="dxa"/>
                    <w:left w:w="0" w:type="dxa"/>
                    <w:bottom w:w="0" w:type="dxa"/>
                    <w:right w:w="0" w:type="dxa"/>
                  </w:tcMar>
                  <w:vAlign w:val="center"/>
                </w:tcPr>
                <w:p w14:paraId="77B84C56">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10.6</w:t>
                  </w:r>
                </w:p>
              </w:tc>
              <w:tc>
                <w:tcPr>
                  <w:tcW w:w="160" w:type="pct"/>
                  <w:tcBorders>
                    <w:tl2br w:val="nil"/>
                    <w:tr2bl w:val="nil"/>
                  </w:tcBorders>
                  <w:shd w:val="clear" w:color="auto" w:fill="FFFFFF"/>
                  <w:tcMar>
                    <w:top w:w="0" w:type="dxa"/>
                    <w:left w:w="0" w:type="dxa"/>
                    <w:bottom w:w="0" w:type="dxa"/>
                    <w:right w:w="0" w:type="dxa"/>
                  </w:tcMar>
                  <w:vAlign w:val="center"/>
                </w:tcPr>
                <w:p w14:paraId="3DE34F3C">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15.0</w:t>
                  </w:r>
                </w:p>
              </w:tc>
              <w:tc>
                <w:tcPr>
                  <w:tcW w:w="160" w:type="pct"/>
                  <w:tcBorders>
                    <w:tl2br w:val="nil"/>
                    <w:tr2bl w:val="nil"/>
                  </w:tcBorders>
                  <w:shd w:val="clear" w:color="auto" w:fill="FFFFFF"/>
                  <w:tcMar>
                    <w:top w:w="0" w:type="dxa"/>
                    <w:left w:w="0" w:type="dxa"/>
                    <w:bottom w:w="0" w:type="dxa"/>
                    <w:right w:w="0" w:type="dxa"/>
                  </w:tcMar>
                  <w:vAlign w:val="center"/>
                </w:tcPr>
                <w:p w14:paraId="066C9101">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86.2</w:t>
                  </w:r>
                </w:p>
              </w:tc>
              <w:tc>
                <w:tcPr>
                  <w:tcW w:w="160" w:type="pct"/>
                  <w:tcBorders>
                    <w:tl2br w:val="nil"/>
                    <w:tr2bl w:val="nil"/>
                  </w:tcBorders>
                  <w:shd w:val="clear" w:color="auto" w:fill="FFFFFF"/>
                  <w:tcMar>
                    <w:top w:w="0" w:type="dxa"/>
                    <w:left w:w="0" w:type="dxa"/>
                    <w:bottom w:w="0" w:type="dxa"/>
                    <w:right w:w="0" w:type="dxa"/>
                  </w:tcMar>
                  <w:vAlign w:val="center"/>
                </w:tcPr>
                <w:p w14:paraId="03ACB06F">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0" w:type="pct"/>
                  <w:tcBorders>
                    <w:tl2br w:val="nil"/>
                    <w:tr2bl w:val="nil"/>
                  </w:tcBorders>
                  <w:shd w:val="clear" w:color="auto" w:fill="FFFFFF"/>
                  <w:tcMar>
                    <w:top w:w="0" w:type="dxa"/>
                    <w:left w:w="0" w:type="dxa"/>
                    <w:bottom w:w="0" w:type="dxa"/>
                    <w:right w:w="0" w:type="dxa"/>
                  </w:tcMar>
                  <w:vAlign w:val="center"/>
                </w:tcPr>
                <w:p w14:paraId="04604CAE">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66.9</w:t>
                  </w:r>
                </w:p>
              </w:tc>
              <w:tc>
                <w:tcPr>
                  <w:tcW w:w="160" w:type="pct"/>
                  <w:tcBorders>
                    <w:tl2br w:val="nil"/>
                    <w:tr2bl w:val="nil"/>
                  </w:tcBorders>
                  <w:shd w:val="clear" w:color="auto" w:fill="FFFFFF"/>
                  <w:tcMar>
                    <w:top w:w="0" w:type="dxa"/>
                    <w:left w:w="0" w:type="dxa"/>
                    <w:bottom w:w="0" w:type="dxa"/>
                    <w:right w:w="0" w:type="dxa"/>
                  </w:tcMar>
                  <w:vAlign w:val="center"/>
                </w:tcPr>
                <w:p w14:paraId="22ED2D58">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66.8</w:t>
                  </w:r>
                </w:p>
              </w:tc>
              <w:tc>
                <w:tcPr>
                  <w:tcW w:w="160" w:type="pct"/>
                  <w:tcBorders>
                    <w:tl2br w:val="nil"/>
                    <w:tr2bl w:val="nil"/>
                  </w:tcBorders>
                  <w:shd w:val="clear" w:color="auto" w:fill="FFFFFF"/>
                  <w:tcMar>
                    <w:top w:w="0" w:type="dxa"/>
                    <w:left w:w="0" w:type="dxa"/>
                    <w:bottom w:w="0" w:type="dxa"/>
                    <w:right w:w="0" w:type="dxa"/>
                  </w:tcMar>
                  <w:vAlign w:val="center"/>
                </w:tcPr>
                <w:p w14:paraId="39C3FD19">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66.7</w:t>
                  </w:r>
                </w:p>
              </w:tc>
              <w:tc>
                <w:tcPr>
                  <w:tcW w:w="160" w:type="pct"/>
                  <w:tcBorders>
                    <w:tl2br w:val="nil"/>
                    <w:tr2bl w:val="nil"/>
                  </w:tcBorders>
                  <w:shd w:val="clear" w:color="auto" w:fill="FFFFFF"/>
                  <w:tcMar>
                    <w:top w:w="0" w:type="dxa"/>
                    <w:left w:w="0" w:type="dxa"/>
                    <w:bottom w:w="0" w:type="dxa"/>
                    <w:right w:w="0" w:type="dxa"/>
                  </w:tcMar>
                  <w:vAlign w:val="center"/>
                </w:tcPr>
                <w:p w14:paraId="3C7F94BF">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66.8</w:t>
                  </w:r>
                </w:p>
              </w:tc>
              <w:tc>
                <w:tcPr>
                  <w:tcW w:w="204" w:type="pct"/>
                  <w:tcBorders>
                    <w:tl2br w:val="nil"/>
                    <w:tr2bl w:val="nil"/>
                  </w:tcBorders>
                  <w:shd w:val="clear" w:color="auto" w:fill="FFFFFF"/>
                  <w:tcMar>
                    <w:top w:w="0" w:type="dxa"/>
                    <w:left w:w="0" w:type="dxa"/>
                    <w:bottom w:w="0" w:type="dxa"/>
                    <w:right w:w="0" w:type="dxa"/>
                  </w:tcMar>
                  <w:vAlign w:val="center"/>
                </w:tcPr>
                <w:p w14:paraId="69082B0F">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8</w:t>
                  </w:r>
                </w:p>
              </w:tc>
              <w:tc>
                <w:tcPr>
                  <w:tcW w:w="160" w:type="pct"/>
                  <w:tcBorders>
                    <w:tl2br w:val="nil"/>
                    <w:tr2bl w:val="nil"/>
                  </w:tcBorders>
                  <w:shd w:val="clear" w:color="auto" w:fill="FFFFFF"/>
                  <w:tcMar>
                    <w:top w:w="0" w:type="dxa"/>
                    <w:left w:w="0" w:type="dxa"/>
                    <w:bottom w:w="0" w:type="dxa"/>
                    <w:right w:w="0" w:type="dxa"/>
                  </w:tcMar>
                  <w:vAlign w:val="center"/>
                </w:tcPr>
                <w:p w14:paraId="088A132B">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0" w:type="pct"/>
                  <w:tcBorders>
                    <w:tl2br w:val="nil"/>
                    <w:tr2bl w:val="nil"/>
                  </w:tcBorders>
                  <w:shd w:val="clear" w:color="auto" w:fill="FFFFFF"/>
                  <w:tcMar>
                    <w:top w:w="0" w:type="dxa"/>
                    <w:left w:w="0" w:type="dxa"/>
                    <w:bottom w:w="0" w:type="dxa"/>
                    <w:right w:w="0" w:type="dxa"/>
                  </w:tcMar>
                  <w:vAlign w:val="center"/>
                </w:tcPr>
                <w:p w14:paraId="6762C097">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0" w:type="pct"/>
                  <w:tcBorders>
                    <w:tl2br w:val="nil"/>
                    <w:tr2bl w:val="nil"/>
                  </w:tcBorders>
                  <w:shd w:val="clear" w:color="auto" w:fill="FFFFFF"/>
                  <w:tcMar>
                    <w:top w:w="0" w:type="dxa"/>
                    <w:left w:w="0" w:type="dxa"/>
                    <w:bottom w:w="0" w:type="dxa"/>
                    <w:right w:w="0" w:type="dxa"/>
                  </w:tcMar>
                  <w:vAlign w:val="center"/>
                </w:tcPr>
                <w:p w14:paraId="3CD6458D">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0" w:type="pct"/>
                  <w:tcBorders>
                    <w:tl2br w:val="nil"/>
                    <w:tr2bl w:val="nil"/>
                  </w:tcBorders>
                  <w:shd w:val="clear" w:color="auto" w:fill="FFFFFF"/>
                  <w:tcMar>
                    <w:top w:w="0" w:type="dxa"/>
                    <w:left w:w="0" w:type="dxa"/>
                    <w:bottom w:w="0" w:type="dxa"/>
                    <w:right w:w="0" w:type="dxa"/>
                  </w:tcMar>
                  <w:vAlign w:val="center"/>
                </w:tcPr>
                <w:p w14:paraId="36D822AB">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58" w:type="pct"/>
                  <w:tcBorders>
                    <w:tl2br w:val="nil"/>
                    <w:tr2bl w:val="nil"/>
                  </w:tcBorders>
                  <w:shd w:val="clear" w:color="auto" w:fill="FFFFFF"/>
                  <w:tcMar>
                    <w:top w:w="0" w:type="dxa"/>
                    <w:left w:w="0" w:type="dxa"/>
                    <w:bottom w:w="0" w:type="dxa"/>
                    <w:right w:w="0" w:type="dxa"/>
                  </w:tcMar>
                  <w:vAlign w:val="center"/>
                </w:tcPr>
                <w:p w14:paraId="7A5A9D39">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54.9</w:t>
                  </w:r>
                </w:p>
              </w:tc>
              <w:tc>
                <w:tcPr>
                  <w:tcW w:w="159" w:type="pct"/>
                  <w:tcBorders>
                    <w:tl2br w:val="nil"/>
                    <w:tr2bl w:val="nil"/>
                  </w:tcBorders>
                  <w:shd w:val="clear" w:color="auto" w:fill="FFFFFF"/>
                  <w:tcMar>
                    <w:top w:w="0" w:type="dxa"/>
                    <w:left w:w="0" w:type="dxa"/>
                    <w:bottom w:w="0" w:type="dxa"/>
                    <w:right w:w="0" w:type="dxa"/>
                  </w:tcMar>
                  <w:vAlign w:val="center"/>
                </w:tcPr>
                <w:p w14:paraId="2C2D5C01">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54.8</w:t>
                  </w:r>
                </w:p>
              </w:tc>
              <w:tc>
                <w:tcPr>
                  <w:tcW w:w="159" w:type="pct"/>
                  <w:tcBorders>
                    <w:tl2br w:val="nil"/>
                    <w:tr2bl w:val="nil"/>
                  </w:tcBorders>
                  <w:shd w:val="clear" w:color="auto" w:fill="FFFFFF"/>
                  <w:tcMar>
                    <w:top w:w="0" w:type="dxa"/>
                    <w:left w:w="0" w:type="dxa"/>
                    <w:bottom w:w="0" w:type="dxa"/>
                    <w:right w:w="0" w:type="dxa"/>
                  </w:tcMar>
                  <w:vAlign w:val="center"/>
                </w:tcPr>
                <w:p w14:paraId="669CB4C7">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54.7</w:t>
                  </w:r>
                </w:p>
              </w:tc>
              <w:tc>
                <w:tcPr>
                  <w:tcW w:w="159" w:type="pct"/>
                  <w:tcBorders>
                    <w:tl2br w:val="nil"/>
                    <w:tr2bl w:val="nil"/>
                  </w:tcBorders>
                  <w:shd w:val="clear" w:color="auto" w:fill="FFFFFF"/>
                  <w:tcMar>
                    <w:top w:w="0" w:type="dxa"/>
                    <w:left w:w="0" w:type="dxa"/>
                    <w:bottom w:w="0" w:type="dxa"/>
                    <w:right w:w="0" w:type="dxa"/>
                  </w:tcMar>
                  <w:vAlign w:val="center"/>
                </w:tcPr>
                <w:p w14:paraId="6523F391">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54.8</w:t>
                  </w:r>
                </w:p>
              </w:tc>
              <w:tc>
                <w:tcPr>
                  <w:tcW w:w="88" w:type="pct"/>
                  <w:tcBorders>
                    <w:tl2br w:val="nil"/>
                    <w:tr2bl w:val="nil"/>
                  </w:tcBorders>
                  <w:shd w:val="clear" w:color="auto" w:fill="FFFFFF"/>
                  <w:tcMar>
                    <w:top w:w="0" w:type="dxa"/>
                    <w:left w:w="0" w:type="dxa"/>
                    <w:bottom w:w="0" w:type="dxa"/>
                    <w:right w:w="0" w:type="dxa"/>
                  </w:tcMar>
                  <w:vAlign w:val="center"/>
                </w:tcPr>
                <w:p w14:paraId="75BBE2DF">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w:t>
                  </w:r>
                </w:p>
              </w:tc>
            </w:tr>
            <w:tr w14:paraId="5B8C1AB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0" w:hRule="atLeast"/>
              </w:trPr>
              <w:tc>
                <w:tcPr>
                  <w:tcW w:w="204" w:type="pct"/>
                  <w:tcBorders>
                    <w:tl2br w:val="nil"/>
                    <w:tr2bl w:val="nil"/>
                  </w:tcBorders>
                  <w:shd w:val="clear" w:color="auto" w:fill="FFFFFF"/>
                  <w:tcMar>
                    <w:top w:w="0" w:type="dxa"/>
                    <w:left w:w="0" w:type="dxa"/>
                    <w:bottom w:w="0" w:type="dxa"/>
                    <w:right w:w="0" w:type="dxa"/>
                  </w:tcMar>
                  <w:vAlign w:val="center"/>
                </w:tcPr>
                <w:p w14:paraId="3E65D194">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2</w:t>
                  </w:r>
                </w:p>
              </w:tc>
              <w:tc>
                <w:tcPr>
                  <w:tcW w:w="204" w:type="pct"/>
                  <w:tcBorders>
                    <w:tl2br w:val="nil"/>
                    <w:tr2bl w:val="nil"/>
                  </w:tcBorders>
                  <w:shd w:val="clear" w:color="auto" w:fill="FFFFFF"/>
                  <w:tcMar>
                    <w:top w:w="0" w:type="dxa"/>
                    <w:left w:w="0" w:type="dxa"/>
                    <w:bottom w:w="0" w:type="dxa"/>
                    <w:right w:w="0" w:type="dxa"/>
                  </w:tcMar>
                  <w:vAlign w:val="center"/>
                </w:tcPr>
                <w:p w14:paraId="76C5A64B">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临港高新产业园区-15#厂房</w:t>
                  </w:r>
                </w:p>
              </w:tc>
              <w:tc>
                <w:tcPr>
                  <w:tcW w:w="517" w:type="pct"/>
                  <w:tcBorders>
                    <w:tl2br w:val="nil"/>
                    <w:tr2bl w:val="nil"/>
                  </w:tcBorders>
                  <w:shd w:val="clear" w:color="auto" w:fill="FFFFFF"/>
                  <w:tcMar>
                    <w:top w:w="0" w:type="dxa"/>
                    <w:left w:w="0" w:type="dxa"/>
                    <w:bottom w:w="0" w:type="dxa"/>
                    <w:right w:w="0" w:type="dxa"/>
                  </w:tcMar>
                  <w:vAlign w:val="center"/>
                </w:tcPr>
                <w:p w14:paraId="4C5F9198">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钻工中心组,24台（按点声源组预测）</w:t>
                  </w:r>
                </w:p>
              </w:tc>
              <w:tc>
                <w:tcPr>
                  <w:tcW w:w="204" w:type="pct"/>
                  <w:tcBorders>
                    <w:tl2br w:val="nil"/>
                    <w:tr2bl w:val="nil"/>
                  </w:tcBorders>
                  <w:shd w:val="clear" w:color="auto" w:fill="FFFFFF"/>
                  <w:tcMar>
                    <w:top w:w="0" w:type="dxa"/>
                    <w:left w:w="0" w:type="dxa"/>
                    <w:bottom w:w="0" w:type="dxa"/>
                    <w:right w:w="0" w:type="dxa"/>
                  </w:tcMar>
                  <w:vAlign w:val="center"/>
                </w:tcPr>
                <w:p w14:paraId="0990F8B7">
                  <w:pPr>
                    <w:rPr>
                      <w:rFonts w:hint="default" w:ascii="Times New Roman" w:hAnsi="Times New Roman" w:eastAsia="宋体" w:cs="Times New Roman"/>
                      <w:color w:val="auto"/>
                      <w:u w:val="none" w:color="auto"/>
                    </w:rPr>
                  </w:pPr>
                </w:p>
              </w:tc>
              <w:tc>
                <w:tcPr>
                  <w:tcW w:w="270" w:type="pct"/>
                  <w:tcBorders>
                    <w:tl2br w:val="nil"/>
                    <w:tr2bl w:val="nil"/>
                  </w:tcBorders>
                  <w:shd w:val="clear" w:color="auto" w:fill="FFFFFF"/>
                  <w:tcMar>
                    <w:top w:w="0" w:type="dxa"/>
                    <w:left w:w="0" w:type="dxa"/>
                    <w:bottom w:w="0" w:type="dxa"/>
                    <w:right w:w="0" w:type="dxa"/>
                  </w:tcMar>
                  <w:vAlign w:val="center"/>
                </w:tcPr>
                <w:p w14:paraId="22A7BDB2">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87.5（等效后：101.3)</w:t>
                  </w:r>
                </w:p>
              </w:tc>
              <w:tc>
                <w:tcPr>
                  <w:tcW w:w="204" w:type="pct"/>
                  <w:vMerge w:val="continue"/>
                  <w:tcBorders>
                    <w:tl2br w:val="nil"/>
                    <w:tr2bl w:val="nil"/>
                  </w:tcBorders>
                  <w:shd w:val="clear" w:color="auto" w:fill="FFFFFF"/>
                  <w:tcMar>
                    <w:top w:w="0" w:type="dxa"/>
                    <w:left w:w="0" w:type="dxa"/>
                    <w:bottom w:w="0" w:type="dxa"/>
                    <w:right w:w="0" w:type="dxa"/>
                  </w:tcMar>
                  <w:vAlign w:val="center"/>
                </w:tcPr>
                <w:p w14:paraId="0192E988">
                  <w:pPr>
                    <w:rPr>
                      <w:rFonts w:hint="default" w:ascii="Times New Roman" w:hAnsi="Times New Roman" w:eastAsia="宋体" w:cs="Times New Roman"/>
                      <w:color w:val="auto"/>
                      <w:u w:val="none" w:color="auto"/>
                    </w:rPr>
                  </w:pPr>
                </w:p>
              </w:tc>
              <w:tc>
                <w:tcPr>
                  <w:tcW w:w="234" w:type="pct"/>
                  <w:tcBorders>
                    <w:tl2br w:val="nil"/>
                    <w:tr2bl w:val="nil"/>
                  </w:tcBorders>
                  <w:shd w:val="clear" w:color="auto" w:fill="FFFFFF"/>
                  <w:tcMar>
                    <w:top w:w="0" w:type="dxa"/>
                    <w:left w:w="0" w:type="dxa"/>
                    <w:bottom w:w="0" w:type="dxa"/>
                    <w:right w:w="0" w:type="dxa"/>
                  </w:tcMar>
                  <w:vAlign w:val="center"/>
                </w:tcPr>
                <w:p w14:paraId="7C48317C">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73.2</w:t>
                  </w:r>
                </w:p>
              </w:tc>
              <w:tc>
                <w:tcPr>
                  <w:tcW w:w="189" w:type="pct"/>
                  <w:tcBorders>
                    <w:tl2br w:val="nil"/>
                    <w:tr2bl w:val="nil"/>
                  </w:tcBorders>
                  <w:shd w:val="clear" w:color="auto" w:fill="FFFFFF"/>
                  <w:tcMar>
                    <w:top w:w="0" w:type="dxa"/>
                    <w:left w:w="0" w:type="dxa"/>
                    <w:bottom w:w="0" w:type="dxa"/>
                    <w:right w:w="0" w:type="dxa"/>
                  </w:tcMar>
                  <w:vAlign w:val="center"/>
                </w:tcPr>
                <w:p w14:paraId="1D4EFB17">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-31.3</w:t>
                  </w:r>
                </w:p>
              </w:tc>
              <w:tc>
                <w:tcPr>
                  <w:tcW w:w="117" w:type="pct"/>
                  <w:tcBorders>
                    <w:tl2br w:val="nil"/>
                    <w:tr2bl w:val="nil"/>
                  </w:tcBorders>
                  <w:shd w:val="clear" w:color="auto" w:fill="FFFFFF"/>
                  <w:tcMar>
                    <w:top w:w="0" w:type="dxa"/>
                    <w:left w:w="0" w:type="dxa"/>
                    <w:bottom w:w="0" w:type="dxa"/>
                    <w:right w:w="0" w:type="dxa"/>
                  </w:tcMar>
                  <w:vAlign w:val="center"/>
                </w:tcPr>
                <w:p w14:paraId="2AA23B30">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w:t>
                  </w:r>
                </w:p>
              </w:tc>
              <w:tc>
                <w:tcPr>
                  <w:tcW w:w="160" w:type="pct"/>
                  <w:tcBorders>
                    <w:tl2br w:val="nil"/>
                    <w:tr2bl w:val="nil"/>
                  </w:tcBorders>
                  <w:shd w:val="clear" w:color="auto" w:fill="FFFFFF"/>
                  <w:tcMar>
                    <w:top w:w="0" w:type="dxa"/>
                    <w:left w:w="0" w:type="dxa"/>
                    <w:bottom w:w="0" w:type="dxa"/>
                    <w:right w:w="0" w:type="dxa"/>
                  </w:tcMar>
                  <w:vAlign w:val="center"/>
                </w:tcPr>
                <w:p w14:paraId="28321885">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33.8</w:t>
                  </w:r>
                </w:p>
              </w:tc>
              <w:tc>
                <w:tcPr>
                  <w:tcW w:w="160" w:type="pct"/>
                  <w:tcBorders>
                    <w:tl2br w:val="nil"/>
                    <w:tr2bl w:val="nil"/>
                  </w:tcBorders>
                  <w:shd w:val="clear" w:color="auto" w:fill="FFFFFF"/>
                  <w:tcMar>
                    <w:top w:w="0" w:type="dxa"/>
                    <w:left w:w="0" w:type="dxa"/>
                    <w:bottom w:w="0" w:type="dxa"/>
                    <w:right w:w="0" w:type="dxa"/>
                  </w:tcMar>
                  <w:vAlign w:val="center"/>
                </w:tcPr>
                <w:p w14:paraId="1A3089B1">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12.8</w:t>
                  </w:r>
                </w:p>
              </w:tc>
              <w:tc>
                <w:tcPr>
                  <w:tcW w:w="160" w:type="pct"/>
                  <w:tcBorders>
                    <w:tl2br w:val="nil"/>
                    <w:tr2bl w:val="nil"/>
                  </w:tcBorders>
                  <w:shd w:val="clear" w:color="auto" w:fill="FFFFFF"/>
                  <w:tcMar>
                    <w:top w:w="0" w:type="dxa"/>
                    <w:left w:w="0" w:type="dxa"/>
                    <w:bottom w:w="0" w:type="dxa"/>
                    <w:right w:w="0" w:type="dxa"/>
                  </w:tcMar>
                  <w:vAlign w:val="center"/>
                </w:tcPr>
                <w:p w14:paraId="111D468D">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63.1</w:t>
                  </w:r>
                </w:p>
              </w:tc>
              <w:tc>
                <w:tcPr>
                  <w:tcW w:w="160" w:type="pct"/>
                  <w:tcBorders>
                    <w:tl2br w:val="nil"/>
                    <w:tr2bl w:val="nil"/>
                  </w:tcBorders>
                  <w:shd w:val="clear" w:color="auto" w:fill="FFFFFF"/>
                  <w:tcMar>
                    <w:top w:w="0" w:type="dxa"/>
                    <w:left w:w="0" w:type="dxa"/>
                    <w:bottom w:w="0" w:type="dxa"/>
                    <w:right w:w="0" w:type="dxa"/>
                  </w:tcMar>
                  <w:vAlign w:val="center"/>
                </w:tcPr>
                <w:p w14:paraId="023804DF">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14.3</w:t>
                  </w:r>
                </w:p>
              </w:tc>
              <w:tc>
                <w:tcPr>
                  <w:tcW w:w="160" w:type="pct"/>
                  <w:tcBorders>
                    <w:tl2br w:val="nil"/>
                    <w:tr2bl w:val="nil"/>
                  </w:tcBorders>
                  <w:shd w:val="clear" w:color="auto" w:fill="FFFFFF"/>
                  <w:tcMar>
                    <w:top w:w="0" w:type="dxa"/>
                    <w:left w:w="0" w:type="dxa"/>
                    <w:bottom w:w="0" w:type="dxa"/>
                    <w:right w:w="0" w:type="dxa"/>
                  </w:tcMar>
                  <w:vAlign w:val="center"/>
                </w:tcPr>
                <w:p w14:paraId="686E4F7C">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84.5</w:t>
                  </w:r>
                </w:p>
              </w:tc>
              <w:tc>
                <w:tcPr>
                  <w:tcW w:w="160" w:type="pct"/>
                  <w:tcBorders>
                    <w:tl2br w:val="nil"/>
                    <w:tr2bl w:val="nil"/>
                  </w:tcBorders>
                  <w:shd w:val="clear" w:color="auto" w:fill="FFFFFF"/>
                  <w:tcMar>
                    <w:top w:w="0" w:type="dxa"/>
                    <w:left w:w="0" w:type="dxa"/>
                    <w:bottom w:w="0" w:type="dxa"/>
                    <w:right w:w="0" w:type="dxa"/>
                  </w:tcMar>
                  <w:vAlign w:val="center"/>
                </w:tcPr>
                <w:p w14:paraId="28D1671C">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84.6</w:t>
                  </w:r>
                </w:p>
              </w:tc>
              <w:tc>
                <w:tcPr>
                  <w:tcW w:w="160" w:type="pct"/>
                  <w:tcBorders>
                    <w:tl2br w:val="nil"/>
                    <w:tr2bl w:val="nil"/>
                  </w:tcBorders>
                  <w:shd w:val="clear" w:color="auto" w:fill="FFFFFF"/>
                  <w:tcMar>
                    <w:top w:w="0" w:type="dxa"/>
                    <w:left w:w="0" w:type="dxa"/>
                    <w:bottom w:w="0" w:type="dxa"/>
                    <w:right w:w="0" w:type="dxa"/>
                  </w:tcMar>
                  <w:vAlign w:val="center"/>
                </w:tcPr>
                <w:p w14:paraId="2093C077">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84.5</w:t>
                  </w:r>
                </w:p>
              </w:tc>
              <w:tc>
                <w:tcPr>
                  <w:tcW w:w="160" w:type="pct"/>
                  <w:tcBorders>
                    <w:tl2br w:val="nil"/>
                    <w:tr2bl w:val="nil"/>
                  </w:tcBorders>
                  <w:shd w:val="clear" w:color="auto" w:fill="FFFFFF"/>
                  <w:tcMar>
                    <w:top w:w="0" w:type="dxa"/>
                    <w:left w:w="0" w:type="dxa"/>
                    <w:bottom w:w="0" w:type="dxa"/>
                    <w:right w:w="0" w:type="dxa"/>
                  </w:tcMar>
                  <w:vAlign w:val="center"/>
                </w:tcPr>
                <w:p w14:paraId="1FD9D390">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84.6</w:t>
                  </w:r>
                </w:p>
              </w:tc>
              <w:tc>
                <w:tcPr>
                  <w:tcW w:w="204" w:type="pct"/>
                  <w:tcBorders>
                    <w:tl2br w:val="nil"/>
                    <w:tr2bl w:val="nil"/>
                  </w:tcBorders>
                  <w:shd w:val="clear" w:color="auto" w:fill="FFFFFF"/>
                  <w:tcMar>
                    <w:top w:w="0" w:type="dxa"/>
                    <w:left w:w="0" w:type="dxa"/>
                    <w:bottom w:w="0" w:type="dxa"/>
                    <w:right w:w="0" w:type="dxa"/>
                  </w:tcMar>
                  <w:vAlign w:val="center"/>
                </w:tcPr>
                <w:p w14:paraId="4FA83584">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8</w:t>
                  </w:r>
                </w:p>
              </w:tc>
              <w:tc>
                <w:tcPr>
                  <w:tcW w:w="160" w:type="pct"/>
                  <w:tcBorders>
                    <w:tl2br w:val="nil"/>
                    <w:tr2bl w:val="nil"/>
                  </w:tcBorders>
                  <w:shd w:val="clear" w:color="auto" w:fill="FFFFFF"/>
                  <w:tcMar>
                    <w:top w:w="0" w:type="dxa"/>
                    <w:left w:w="0" w:type="dxa"/>
                    <w:bottom w:w="0" w:type="dxa"/>
                    <w:right w:w="0" w:type="dxa"/>
                  </w:tcMar>
                  <w:vAlign w:val="center"/>
                </w:tcPr>
                <w:p w14:paraId="2033B78E">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0" w:type="pct"/>
                  <w:tcBorders>
                    <w:tl2br w:val="nil"/>
                    <w:tr2bl w:val="nil"/>
                  </w:tcBorders>
                  <w:shd w:val="clear" w:color="auto" w:fill="FFFFFF"/>
                  <w:tcMar>
                    <w:top w:w="0" w:type="dxa"/>
                    <w:left w:w="0" w:type="dxa"/>
                    <w:bottom w:w="0" w:type="dxa"/>
                    <w:right w:w="0" w:type="dxa"/>
                  </w:tcMar>
                  <w:vAlign w:val="center"/>
                </w:tcPr>
                <w:p w14:paraId="509D1190">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0" w:type="pct"/>
                  <w:tcBorders>
                    <w:tl2br w:val="nil"/>
                    <w:tr2bl w:val="nil"/>
                  </w:tcBorders>
                  <w:shd w:val="clear" w:color="auto" w:fill="FFFFFF"/>
                  <w:tcMar>
                    <w:top w:w="0" w:type="dxa"/>
                    <w:left w:w="0" w:type="dxa"/>
                    <w:bottom w:w="0" w:type="dxa"/>
                    <w:right w:w="0" w:type="dxa"/>
                  </w:tcMar>
                  <w:vAlign w:val="center"/>
                </w:tcPr>
                <w:p w14:paraId="7DEFE74E">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0" w:type="pct"/>
                  <w:tcBorders>
                    <w:tl2br w:val="nil"/>
                    <w:tr2bl w:val="nil"/>
                  </w:tcBorders>
                  <w:shd w:val="clear" w:color="auto" w:fill="FFFFFF"/>
                  <w:tcMar>
                    <w:top w:w="0" w:type="dxa"/>
                    <w:left w:w="0" w:type="dxa"/>
                    <w:bottom w:w="0" w:type="dxa"/>
                    <w:right w:w="0" w:type="dxa"/>
                  </w:tcMar>
                  <w:vAlign w:val="center"/>
                </w:tcPr>
                <w:p w14:paraId="09F11B7E">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58" w:type="pct"/>
                  <w:tcBorders>
                    <w:tl2br w:val="nil"/>
                    <w:tr2bl w:val="nil"/>
                  </w:tcBorders>
                  <w:shd w:val="clear" w:color="auto" w:fill="FFFFFF"/>
                  <w:tcMar>
                    <w:top w:w="0" w:type="dxa"/>
                    <w:left w:w="0" w:type="dxa"/>
                    <w:bottom w:w="0" w:type="dxa"/>
                    <w:right w:w="0" w:type="dxa"/>
                  </w:tcMar>
                  <w:vAlign w:val="center"/>
                </w:tcPr>
                <w:p w14:paraId="19F27EBA">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72.5</w:t>
                  </w:r>
                </w:p>
              </w:tc>
              <w:tc>
                <w:tcPr>
                  <w:tcW w:w="159" w:type="pct"/>
                  <w:tcBorders>
                    <w:tl2br w:val="nil"/>
                    <w:tr2bl w:val="nil"/>
                  </w:tcBorders>
                  <w:shd w:val="clear" w:color="auto" w:fill="FFFFFF"/>
                  <w:tcMar>
                    <w:top w:w="0" w:type="dxa"/>
                    <w:left w:w="0" w:type="dxa"/>
                    <w:bottom w:w="0" w:type="dxa"/>
                    <w:right w:w="0" w:type="dxa"/>
                  </w:tcMar>
                  <w:vAlign w:val="center"/>
                </w:tcPr>
                <w:p w14:paraId="6B8D212F">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72.6</w:t>
                  </w:r>
                </w:p>
              </w:tc>
              <w:tc>
                <w:tcPr>
                  <w:tcW w:w="159" w:type="pct"/>
                  <w:tcBorders>
                    <w:tl2br w:val="nil"/>
                    <w:tr2bl w:val="nil"/>
                  </w:tcBorders>
                  <w:shd w:val="clear" w:color="auto" w:fill="FFFFFF"/>
                  <w:tcMar>
                    <w:top w:w="0" w:type="dxa"/>
                    <w:left w:w="0" w:type="dxa"/>
                    <w:bottom w:w="0" w:type="dxa"/>
                    <w:right w:w="0" w:type="dxa"/>
                  </w:tcMar>
                  <w:vAlign w:val="center"/>
                </w:tcPr>
                <w:p w14:paraId="2A4EA961">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72.5</w:t>
                  </w:r>
                </w:p>
              </w:tc>
              <w:tc>
                <w:tcPr>
                  <w:tcW w:w="159" w:type="pct"/>
                  <w:tcBorders>
                    <w:tl2br w:val="nil"/>
                    <w:tr2bl w:val="nil"/>
                  </w:tcBorders>
                  <w:shd w:val="clear" w:color="auto" w:fill="FFFFFF"/>
                  <w:tcMar>
                    <w:top w:w="0" w:type="dxa"/>
                    <w:left w:w="0" w:type="dxa"/>
                    <w:bottom w:w="0" w:type="dxa"/>
                    <w:right w:w="0" w:type="dxa"/>
                  </w:tcMar>
                  <w:vAlign w:val="center"/>
                </w:tcPr>
                <w:p w14:paraId="13679917">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72.6</w:t>
                  </w:r>
                </w:p>
              </w:tc>
              <w:tc>
                <w:tcPr>
                  <w:tcW w:w="88" w:type="pct"/>
                  <w:tcBorders>
                    <w:tl2br w:val="nil"/>
                    <w:tr2bl w:val="nil"/>
                  </w:tcBorders>
                  <w:shd w:val="clear" w:color="auto" w:fill="FFFFFF"/>
                  <w:tcMar>
                    <w:top w:w="0" w:type="dxa"/>
                    <w:left w:w="0" w:type="dxa"/>
                    <w:bottom w:w="0" w:type="dxa"/>
                    <w:right w:w="0" w:type="dxa"/>
                  </w:tcMar>
                  <w:vAlign w:val="center"/>
                </w:tcPr>
                <w:p w14:paraId="790657A8">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w:t>
                  </w:r>
                </w:p>
              </w:tc>
            </w:tr>
            <w:tr w14:paraId="1C13AF2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0" w:hRule="atLeast"/>
              </w:trPr>
              <w:tc>
                <w:tcPr>
                  <w:tcW w:w="204" w:type="pct"/>
                  <w:tcBorders>
                    <w:tl2br w:val="nil"/>
                    <w:tr2bl w:val="nil"/>
                  </w:tcBorders>
                  <w:shd w:val="clear" w:color="auto" w:fill="FFFFFF"/>
                  <w:tcMar>
                    <w:top w:w="0" w:type="dxa"/>
                    <w:left w:w="0" w:type="dxa"/>
                    <w:bottom w:w="0" w:type="dxa"/>
                    <w:right w:w="0" w:type="dxa"/>
                  </w:tcMar>
                  <w:vAlign w:val="center"/>
                </w:tcPr>
                <w:p w14:paraId="7A65197C">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3</w:t>
                  </w:r>
                </w:p>
              </w:tc>
              <w:tc>
                <w:tcPr>
                  <w:tcW w:w="204" w:type="pct"/>
                  <w:tcBorders>
                    <w:tl2br w:val="nil"/>
                    <w:tr2bl w:val="nil"/>
                  </w:tcBorders>
                  <w:shd w:val="clear" w:color="auto" w:fill="FFFFFF"/>
                  <w:tcMar>
                    <w:top w:w="0" w:type="dxa"/>
                    <w:left w:w="0" w:type="dxa"/>
                    <w:bottom w:w="0" w:type="dxa"/>
                    <w:right w:w="0" w:type="dxa"/>
                  </w:tcMar>
                  <w:vAlign w:val="center"/>
                </w:tcPr>
                <w:p w14:paraId="3C0B81FE">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临港高新产业园区-15#厂房</w:t>
                  </w:r>
                </w:p>
              </w:tc>
              <w:tc>
                <w:tcPr>
                  <w:tcW w:w="517" w:type="pct"/>
                  <w:tcBorders>
                    <w:tl2br w:val="nil"/>
                    <w:tr2bl w:val="nil"/>
                  </w:tcBorders>
                  <w:shd w:val="clear" w:color="auto" w:fill="FFFFFF"/>
                  <w:tcMar>
                    <w:top w:w="0" w:type="dxa"/>
                    <w:left w:w="0" w:type="dxa"/>
                    <w:bottom w:w="0" w:type="dxa"/>
                    <w:right w:w="0" w:type="dxa"/>
                  </w:tcMar>
                  <w:vAlign w:val="center"/>
                </w:tcPr>
                <w:p w14:paraId="732153F3">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立式数控车床组,9台（按点声源组预测）</w:t>
                  </w:r>
                </w:p>
              </w:tc>
              <w:tc>
                <w:tcPr>
                  <w:tcW w:w="204" w:type="pct"/>
                  <w:tcBorders>
                    <w:tl2br w:val="nil"/>
                    <w:tr2bl w:val="nil"/>
                  </w:tcBorders>
                  <w:shd w:val="clear" w:color="auto" w:fill="FFFFFF"/>
                  <w:tcMar>
                    <w:top w:w="0" w:type="dxa"/>
                    <w:left w:w="0" w:type="dxa"/>
                    <w:bottom w:w="0" w:type="dxa"/>
                    <w:right w:w="0" w:type="dxa"/>
                  </w:tcMar>
                  <w:vAlign w:val="center"/>
                </w:tcPr>
                <w:p w14:paraId="1FA8D577">
                  <w:pPr>
                    <w:rPr>
                      <w:rFonts w:hint="default" w:ascii="Times New Roman" w:hAnsi="Times New Roman" w:eastAsia="宋体" w:cs="Times New Roman"/>
                      <w:color w:val="auto"/>
                      <w:u w:val="none" w:color="auto"/>
                    </w:rPr>
                  </w:pPr>
                </w:p>
              </w:tc>
              <w:tc>
                <w:tcPr>
                  <w:tcW w:w="270" w:type="pct"/>
                  <w:tcBorders>
                    <w:tl2br w:val="nil"/>
                    <w:tr2bl w:val="nil"/>
                  </w:tcBorders>
                  <w:shd w:val="clear" w:color="auto" w:fill="FFFFFF"/>
                  <w:tcMar>
                    <w:top w:w="0" w:type="dxa"/>
                    <w:left w:w="0" w:type="dxa"/>
                    <w:bottom w:w="0" w:type="dxa"/>
                    <w:right w:w="0" w:type="dxa"/>
                  </w:tcMar>
                  <w:vAlign w:val="center"/>
                </w:tcPr>
                <w:p w14:paraId="55837233">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82.5（等效后：92.0)</w:t>
                  </w:r>
                </w:p>
              </w:tc>
              <w:tc>
                <w:tcPr>
                  <w:tcW w:w="204" w:type="pct"/>
                  <w:vMerge w:val="restart"/>
                  <w:tcBorders>
                    <w:tl2br w:val="nil"/>
                    <w:tr2bl w:val="nil"/>
                  </w:tcBorders>
                  <w:shd w:val="clear" w:color="auto" w:fill="FFFFFF"/>
                  <w:tcMar>
                    <w:top w:w="0" w:type="dxa"/>
                    <w:left w:w="0" w:type="dxa"/>
                    <w:bottom w:w="0" w:type="dxa"/>
                    <w:right w:w="0" w:type="dxa"/>
                  </w:tcMar>
                  <w:vAlign w:val="center"/>
                </w:tcPr>
                <w:p w14:paraId="024AC4C3">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val="en-US" w:eastAsia="zh-CN"/>
                    </w:rPr>
                    <w:t>详见本节上表相关内容</w:t>
                  </w:r>
                </w:p>
              </w:tc>
              <w:tc>
                <w:tcPr>
                  <w:tcW w:w="234" w:type="pct"/>
                  <w:tcBorders>
                    <w:tl2br w:val="nil"/>
                    <w:tr2bl w:val="nil"/>
                  </w:tcBorders>
                  <w:shd w:val="clear" w:color="auto" w:fill="FFFFFF"/>
                  <w:tcMar>
                    <w:top w:w="0" w:type="dxa"/>
                    <w:left w:w="0" w:type="dxa"/>
                    <w:bottom w:w="0" w:type="dxa"/>
                    <w:right w:w="0" w:type="dxa"/>
                  </w:tcMar>
                  <w:vAlign w:val="center"/>
                </w:tcPr>
                <w:p w14:paraId="291F6152">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51.9</w:t>
                  </w:r>
                </w:p>
              </w:tc>
              <w:tc>
                <w:tcPr>
                  <w:tcW w:w="189" w:type="pct"/>
                  <w:tcBorders>
                    <w:tl2br w:val="nil"/>
                    <w:tr2bl w:val="nil"/>
                  </w:tcBorders>
                  <w:shd w:val="clear" w:color="auto" w:fill="FFFFFF"/>
                  <w:tcMar>
                    <w:top w:w="0" w:type="dxa"/>
                    <w:left w:w="0" w:type="dxa"/>
                    <w:bottom w:w="0" w:type="dxa"/>
                    <w:right w:w="0" w:type="dxa"/>
                  </w:tcMar>
                  <w:vAlign w:val="center"/>
                </w:tcPr>
                <w:p w14:paraId="78FA17D6">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-30.9</w:t>
                  </w:r>
                </w:p>
              </w:tc>
              <w:tc>
                <w:tcPr>
                  <w:tcW w:w="117" w:type="pct"/>
                  <w:tcBorders>
                    <w:tl2br w:val="nil"/>
                    <w:tr2bl w:val="nil"/>
                  </w:tcBorders>
                  <w:shd w:val="clear" w:color="auto" w:fill="FFFFFF"/>
                  <w:tcMar>
                    <w:top w:w="0" w:type="dxa"/>
                    <w:left w:w="0" w:type="dxa"/>
                    <w:bottom w:w="0" w:type="dxa"/>
                    <w:right w:w="0" w:type="dxa"/>
                  </w:tcMar>
                  <w:vAlign w:val="center"/>
                </w:tcPr>
                <w:p w14:paraId="0813F5C8">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w:t>
                  </w:r>
                </w:p>
              </w:tc>
              <w:tc>
                <w:tcPr>
                  <w:tcW w:w="160" w:type="pct"/>
                  <w:tcBorders>
                    <w:tl2br w:val="nil"/>
                    <w:tr2bl w:val="nil"/>
                  </w:tcBorders>
                  <w:shd w:val="clear" w:color="auto" w:fill="FFFFFF"/>
                  <w:tcMar>
                    <w:top w:w="0" w:type="dxa"/>
                    <w:left w:w="0" w:type="dxa"/>
                    <w:bottom w:w="0" w:type="dxa"/>
                    <w:right w:w="0" w:type="dxa"/>
                  </w:tcMar>
                  <w:vAlign w:val="center"/>
                </w:tcPr>
                <w:p w14:paraId="5116B308">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55.2</w:t>
                  </w:r>
                </w:p>
              </w:tc>
              <w:tc>
                <w:tcPr>
                  <w:tcW w:w="160" w:type="pct"/>
                  <w:tcBorders>
                    <w:tl2br w:val="nil"/>
                    <w:tr2bl w:val="nil"/>
                  </w:tcBorders>
                  <w:shd w:val="clear" w:color="auto" w:fill="FFFFFF"/>
                  <w:tcMar>
                    <w:top w:w="0" w:type="dxa"/>
                    <w:left w:w="0" w:type="dxa"/>
                    <w:bottom w:w="0" w:type="dxa"/>
                    <w:right w:w="0" w:type="dxa"/>
                  </w:tcMar>
                  <w:vAlign w:val="center"/>
                </w:tcPr>
                <w:p w14:paraId="2280CE6A">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11.2</w:t>
                  </w:r>
                </w:p>
              </w:tc>
              <w:tc>
                <w:tcPr>
                  <w:tcW w:w="160" w:type="pct"/>
                  <w:tcBorders>
                    <w:tl2br w:val="nil"/>
                    <w:tr2bl w:val="nil"/>
                  </w:tcBorders>
                  <w:shd w:val="clear" w:color="auto" w:fill="FFFFFF"/>
                  <w:tcMar>
                    <w:top w:w="0" w:type="dxa"/>
                    <w:left w:w="0" w:type="dxa"/>
                    <w:bottom w:w="0" w:type="dxa"/>
                    <w:right w:w="0" w:type="dxa"/>
                  </w:tcMar>
                  <w:vAlign w:val="center"/>
                </w:tcPr>
                <w:p w14:paraId="6963020F">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41.8</w:t>
                  </w:r>
                </w:p>
              </w:tc>
              <w:tc>
                <w:tcPr>
                  <w:tcW w:w="160" w:type="pct"/>
                  <w:tcBorders>
                    <w:tl2br w:val="nil"/>
                    <w:tr2bl w:val="nil"/>
                  </w:tcBorders>
                  <w:shd w:val="clear" w:color="auto" w:fill="FFFFFF"/>
                  <w:tcMar>
                    <w:top w:w="0" w:type="dxa"/>
                    <w:left w:w="0" w:type="dxa"/>
                    <w:bottom w:w="0" w:type="dxa"/>
                    <w:right w:w="0" w:type="dxa"/>
                  </w:tcMar>
                  <w:vAlign w:val="center"/>
                </w:tcPr>
                <w:p w14:paraId="58C7FEC8">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16.0</w:t>
                  </w:r>
                </w:p>
              </w:tc>
              <w:tc>
                <w:tcPr>
                  <w:tcW w:w="160" w:type="pct"/>
                  <w:tcBorders>
                    <w:tl2br w:val="nil"/>
                    <w:tr2bl w:val="nil"/>
                  </w:tcBorders>
                  <w:shd w:val="clear" w:color="auto" w:fill="FFFFFF"/>
                  <w:tcMar>
                    <w:top w:w="0" w:type="dxa"/>
                    <w:left w:w="0" w:type="dxa"/>
                    <w:bottom w:w="0" w:type="dxa"/>
                    <w:right w:w="0" w:type="dxa"/>
                  </w:tcMar>
                  <w:vAlign w:val="center"/>
                </w:tcPr>
                <w:p w14:paraId="4050404E">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75.2</w:t>
                  </w:r>
                </w:p>
              </w:tc>
              <w:tc>
                <w:tcPr>
                  <w:tcW w:w="160" w:type="pct"/>
                  <w:tcBorders>
                    <w:tl2br w:val="nil"/>
                    <w:tr2bl w:val="nil"/>
                  </w:tcBorders>
                  <w:shd w:val="clear" w:color="auto" w:fill="FFFFFF"/>
                  <w:tcMar>
                    <w:top w:w="0" w:type="dxa"/>
                    <w:left w:w="0" w:type="dxa"/>
                    <w:bottom w:w="0" w:type="dxa"/>
                    <w:right w:w="0" w:type="dxa"/>
                  </w:tcMar>
                  <w:vAlign w:val="center"/>
                </w:tcPr>
                <w:p w14:paraId="7124D1B6">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75.4</w:t>
                  </w:r>
                </w:p>
              </w:tc>
              <w:tc>
                <w:tcPr>
                  <w:tcW w:w="160" w:type="pct"/>
                  <w:tcBorders>
                    <w:tl2br w:val="nil"/>
                    <w:tr2bl w:val="nil"/>
                  </w:tcBorders>
                  <w:shd w:val="clear" w:color="auto" w:fill="FFFFFF"/>
                  <w:tcMar>
                    <w:top w:w="0" w:type="dxa"/>
                    <w:left w:w="0" w:type="dxa"/>
                    <w:bottom w:w="0" w:type="dxa"/>
                    <w:right w:w="0" w:type="dxa"/>
                  </w:tcMar>
                  <w:vAlign w:val="center"/>
                </w:tcPr>
                <w:p w14:paraId="6C4B705D">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75.2</w:t>
                  </w:r>
                </w:p>
              </w:tc>
              <w:tc>
                <w:tcPr>
                  <w:tcW w:w="160" w:type="pct"/>
                  <w:tcBorders>
                    <w:tl2br w:val="nil"/>
                    <w:tr2bl w:val="nil"/>
                  </w:tcBorders>
                  <w:shd w:val="clear" w:color="auto" w:fill="FFFFFF"/>
                  <w:tcMar>
                    <w:top w:w="0" w:type="dxa"/>
                    <w:left w:w="0" w:type="dxa"/>
                    <w:bottom w:w="0" w:type="dxa"/>
                    <w:right w:w="0" w:type="dxa"/>
                  </w:tcMar>
                  <w:vAlign w:val="center"/>
                </w:tcPr>
                <w:p w14:paraId="2909F9B1">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75.3</w:t>
                  </w:r>
                </w:p>
              </w:tc>
              <w:tc>
                <w:tcPr>
                  <w:tcW w:w="204" w:type="pct"/>
                  <w:tcBorders>
                    <w:tl2br w:val="nil"/>
                    <w:tr2bl w:val="nil"/>
                  </w:tcBorders>
                  <w:shd w:val="clear" w:color="auto" w:fill="FFFFFF"/>
                  <w:tcMar>
                    <w:top w:w="0" w:type="dxa"/>
                    <w:left w:w="0" w:type="dxa"/>
                    <w:bottom w:w="0" w:type="dxa"/>
                    <w:right w:w="0" w:type="dxa"/>
                  </w:tcMar>
                  <w:vAlign w:val="center"/>
                </w:tcPr>
                <w:p w14:paraId="3B947BA0">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8</w:t>
                  </w:r>
                </w:p>
              </w:tc>
              <w:tc>
                <w:tcPr>
                  <w:tcW w:w="160" w:type="pct"/>
                  <w:tcBorders>
                    <w:tl2br w:val="nil"/>
                    <w:tr2bl w:val="nil"/>
                  </w:tcBorders>
                  <w:shd w:val="clear" w:color="auto" w:fill="FFFFFF"/>
                  <w:tcMar>
                    <w:top w:w="0" w:type="dxa"/>
                    <w:left w:w="0" w:type="dxa"/>
                    <w:bottom w:w="0" w:type="dxa"/>
                    <w:right w:w="0" w:type="dxa"/>
                  </w:tcMar>
                  <w:vAlign w:val="center"/>
                </w:tcPr>
                <w:p w14:paraId="29E63AE4">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0" w:type="pct"/>
                  <w:tcBorders>
                    <w:tl2br w:val="nil"/>
                    <w:tr2bl w:val="nil"/>
                  </w:tcBorders>
                  <w:shd w:val="clear" w:color="auto" w:fill="FFFFFF"/>
                  <w:tcMar>
                    <w:top w:w="0" w:type="dxa"/>
                    <w:left w:w="0" w:type="dxa"/>
                    <w:bottom w:w="0" w:type="dxa"/>
                    <w:right w:w="0" w:type="dxa"/>
                  </w:tcMar>
                  <w:vAlign w:val="center"/>
                </w:tcPr>
                <w:p w14:paraId="7D0CB506">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0" w:type="pct"/>
                  <w:tcBorders>
                    <w:tl2br w:val="nil"/>
                    <w:tr2bl w:val="nil"/>
                  </w:tcBorders>
                  <w:shd w:val="clear" w:color="auto" w:fill="FFFFFF"/>
                  <w:tcMar>
                    <w:top w:w="0" w:type="dxa"/>
                    <w:left w:w="0" w:type="dxa"/>
                    <w:bottom w:w="0" w:type="dxa"/>
                    <w:right w:w="0" w:type="dxa"/>
                  </w:tcMar>
                  <w:vAlign w:val="center"/>
                </w:tcPr>
                <w:p w14:paraId="5B054CF9">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0" w:type="pct"/>
                  <w:tcBorders>
                    <w:tl2br w:val="nil"/>
                    <w:tr2bl w:val="nil"/>
                  </w:tcBorders>
                  <w:shd w:val="clear" w:color="auto" w:fill="FFFFFF"/>
                  <w:tcMar>
                    <w:top w:w="0" w:type="dxa"/>
                    <w:left w:w="0" w:type="dxa"/>
                    <w:bottom w:w="0" w:type="dxa"/>
                    <w:right w:w="0" w:type="dxa"/>
                  </w:tcMar>
                  <w:vAlign w:val="center"/>
                </w:tcPr>
                <w:p w14:paraId="426A62EB">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58" w:type="pct"/>
                  <w:tcBorders>
                    <w:tl2br w:val="nil"/>
                    <w:tr2bl w:val="nil"/>
                  </w:tcBorders>
                  <w:shd w:val="clear" w:color="auto" w:fill="FFFFFF"/>
                  <w:tcMar>
                    <w:top w:w="0" w:type="dxa"/>
                    <w:left w:w="0" w:type="dxa"/>
                    <w:bottom w:w="0" w:type="dxa"/>
                    <w:right w:w="0" w:type="dxa"/>
                  </w:tcMar>
                  <w:vAlign w:val="center"/>
                </w:tcPr>
                <w:p w14:paraId="26947E97">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63.2</w:t>
                  </w:r>
                </w:p>
              </w:tc>
              <w:tc>
                <w:tcPr>
                  <w:tcW w:w="159" w:type="pct"/>
                  <w:tcBorders>
                    <w:tl2br w:val="nil"/>
                    <w:tr2bl w:val="nil"/>
                  </w:tcBorders>
                  <w:shd w:val="clear" w:color="auto" w:fill="FFFFFF"/>
                  <w:tcMar>
                    <w:top w:w="0" w:type="dxa"/>
                    <w:left w:w="0" w:type="dxa"/>
                    <w:bottom w:w="0" w:type="dxa"/>
                    <w:right w:w="0" w:type="dxa"/>
                  </w:tcMar>
                  <w:vAlign w:val="center"/>
                </w:tcPr>
                <w:p w14:paraId="05D5952A">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63.4</w:t>
                  </w:r>
                </w:p>
              </w:tc>
              <w:tc>
                <w:tcPr>
                  <w:tcW w:w="159" w:type="pct"/>
                  <w:tcBorders>
                    <w:tl2br w:val="nil"/>
                    <w:tr2bl w:val="nil"/>
                  </w:tcBorders>
                  <w:shd w:val="clear" w:color="auto" w:fill="FFFFFF"/>
                  <w:tcMar>
                    <w:top w:w="0" w:type="dxa"/>
                    <w:left w:w="0" w:type="dxa"/>
                    <w:bottom w:w="0" w:type="dxa"/>
                    <w:right w:w="0" w:type="dxa"/>
                  </w:tcMar>
                  <w:vAlign w:val="center"/>
                </w:tcPr>
                <w:p w14:paraId="0CE3DC65">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63.2</w:t>
                  </w:r>
                </w:p>
              </w:tc>
              <w:tc>
                <w:tcPr>
                  <w:tcW w:w="159" w:type="pct"/>
                  <w:tcBorders>
                    <w:tl2br w:val="nil"/>
                    <w:tr2bl w:val="nil"/>
                  </w:tcBorders>
                  <w:shd w:val="clear" w:color="auto" w:fill="FFFFFF"/>
                  <w:tcMar>
                    <w:top w:w="0" w:type="dxa"/>
                    <w:left w:w="0" w:type="dxa"/>
                    <w:bottom w:w="0" w:type="dxa"/>
                    <w:right w:w="0" w:type="dxa"/>
                  </w:tcMar>
                  <w:vAlign w:val="center"/>
                </w:tcPr>
                <w:p w14:paraId="1DF178A6">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63.3</w:t>
                  </w:r>
                </w:p>
              </w:tc>
              <w:tc>
                <w:tcPr>
                  <w:tcW w:w="88" w:type="pct"/>
                  <w:tcBorders>
                    <w:tl2br w:val="nil"/>
                    <w:tr2bl w:val="nil"/>
                  </w:tcBorders>
                  <w:shd w:val="clear" w:color="auto" w:fill="FFFFFF"/>
                  <w:tcMar>
                    <w:top w:w="0" w:type="dxa"/>
                    <w:left w:w="0" w:type="dxa"/>
                    <w:bottom w:w="0" w:type="dxa"/>
                    <w:right w:w="0" w:type="dxa"/>
                  </w:tcMar>
                  <w:vAlign w:val="center"/>
                </w:tcPr>
                <w:p w14:paraId="61870DF1">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w:t>
                  </w:r>
                </w:p>
              </w:tc>
            </w:tr>
            <w:tr w14:paraId="53F288B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0" w:hRule="atLeast"/>
              </w:trPr>
              <w:tc>
                <w:tcPr>
                  <w:tcW w:w="204" w:type="pct"/>
                  <w:tcBorders>
                    <w:tl2br w:val="nil"/>
                    <w:tr2bl w:val="nil"/>
                  </w:tcBorders>
                  <w:shd w:val="clear" w:color="auto" w:fill="FFFFFF"/>
                  <w:tcMar>
                    <w:top w:w="0" w:type="dxa"/>
                    <w:left w:w="0" w:type="dxa"/>
                    <w:bottom w:w="0" w:type="dxa"/>
                    <w:right w:w="0" w:type="dxa"/>
                  </w:tcMar>
                  <w:vAlign w:val="center"/>
                </w:tcPr>
                <w:p w14:paraId="0C03555F">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4</w:t>
                  </w:r>
                </w:p>
              </w:tc>
              <w:tc>
                <w:tcPr>
                  <w:tcW w:w="204" w:type="pct"/>
                  <w:tcBorders>
                    <w:tl2br w:val="nil"/>
                    <w:tr2bl w:val="nil"/>
                  </w:tcBorders>
                  <w:shd w:val="clear" w:color="auto" w:fill="FFFFFF"/>
                  <w:tcMar>
                    <w:top w:w="0" w:type="dxa"/>
                    <w:left w:w="0" w:type="dxa"/>
                    <w:bottom w:w="0" w:type="dxa"/>
                    <w:right w:w="0" w:type="dxa"/>
                  </w:tcMar>
                  <w:vAlign w:val="center"/>
                </w:tcPr>
                <w:p w14:paraId="6729E5D5">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临港高新产业园区-15#厂房</w:t>
                  </w:r>
                </w:p>
              </w:tc>
              <w:tc>
                <w:tcPr>
                  <w:tcW w:w="517" w:type="pct"/>
                  <w:tcBorders>
                    <w:tl2br w:val="nil"/>
                    <w:tr2bl w:val="nil"/>
                  </w:tcBorders>
                  <w:shd w:val="clear" w:color="auto" w:fill="FFFFFF"/>
                  <w:tcMar>
                    <w:top w:w="0" w:type="dxa"/>
                    <w:left w:w="0" w:type="dxa"/>
                    <w:bottom w:w="0" w:type="dxa"/>
                    <w:right w:w="0" w:type="dxa"/>
                  </w:tcMar>
                  <w:vAlign w:val="center"/>
                </w:tcPr>
                <w:p w14:paraId="18B8D21C">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卧式数控车床组,6台（按点声源组预测）</w:t>
                  </w:r>
                </w:p>
              </w:tc>
              <w:tc>
                <w:tcPr>
                  <w:tcW w:w="204" w:type="pct"/>
                  <w:tcBorders>
                    <w:tl2br w:val="nil"/>
                    <w:tr2bl w:val="nil"/>
                  </w:tcBorders>
                  <w:shd w:val="clear" w:color="auto" w:fill="FFFFFF"/>
                  <w:tcMar>
                    <w:top w:w="0" w:type="dxa"/>
                    <w:left w:w="0" w:type="dxa"/>
                    <w:bottom w:w="0" w:type="dxa"/>
                    <w:right w:w="0" w:type="dxa"/>
                  </w:tcMar>
                  <w:vAlign w:val="center"/>
                </w:tcPr>
                <w:p w14:paraId="09D897E8">
                  <w:pPr>
                    <w:rPr>
                      <w:rFonts w:hint="default" w:ascii="Times New Roman" w:hAnsi="Times New Roman" w:eastAsia="宋体" w:cs="Times New Roman"/>
                      <w:color w:val="auto"/>
                      <w:u w:val="none" w:color="auto"/>
                    </w:rPr>
                  </w:pPr>
                </w:p>
              </w:tc>
              <w:tc>
                <w:tcPr>
                  <w:tcW w:w="270" w:type="pct"/>
                  <w:tcBorders>
                    <w:tl2br w:val="nil"/>
                    <w:tr2bl w:val="nil"/>
                  </w:tcBorders>
                  <w:shd w:val="clear" w:color="auto" w:fill="FFFFFF"/>
                  <w:tcMar>
                    <w:top w:w="0" w:type="dxa"/>
                    <w:left w:w="0" w:type="dxa"/>
                    <w:bottom w:w="0" w:type="dxa"/>
                    <w:right w:w="0" w:type="dxa"/>
                  </w:tcMar>
                  <w:vAlign w:val="center"/>
                </w:tcPr>
                <w:p w14:paraId="0658CE33">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82.5（等效后：90.3)</w:t>
                  </w:r>
                </w:p>
              </w:tc>
              <w:tc>
                <w:tcPr>
                  <w:tcW w:w="204" w:type="pct"/>
                  <w:vMerge w:val="continue"/>
                  <w:tcBorders>
                    <w:tl2br w:val="nil"/>
                    <w:tr2bl w:val="nil"/>
                  </w:tcBorders>
                  <w:shd w:val="clear" w:color="auto" w:fill="FFFFFF"/>
                  <w:tcMar>
                    <w:top w:w="0" w:type="dxa"/>
                    <w:left w:w="0" w:type="dxa"/>
                    <w:bottom w:w="0" w:type="dxa"/>
                    <w:right w:w="0" w:type="dxa"/>
                  </w:tcMar>
                  <w:vAlign w:val="center"/>
                </w:tcPr>
                <w:p w14:paraId="5A4074B8">
                  <w:pPr>
                    <w:rPr>
                      <w:rFonts w:hint="default" w:ascii="Times New Roman" w:hAnsi="Times New Roman" w:eastAsia="宋体" w:cs="Times New Roman"/>
                      <w:color w:val="auto"/>
                      <w:u w:val="none" w:color="auto"/>
                    </w:rPr>
                  </w:pPr>
                </w:p>
              </w:tc>
              <w:tc>
                <w:tcPr>
                  <w:tcW w:w="234" w:type="pct"/>
                  <w:tcBorders>
                    <w:tl2br w:val="nil"/>
                    <w:tr2bl w:val="nil"/>
                  </w:tcBorders>
                  <w:shd w:val="clear" w:color="auto" w:fill="FFFFFF"/>
                  <w:tcMar>
                    <w:top w:w="0" w:type="dxa"/>
                    <w:left w:w="0" w:type="dxa"/>
                    <w:bottom w:w="0" w:type="dxa"/>
                    <w:right w:w="0" w:type="dxa"/>
                  </w:tcMar>
                  <w:vAlign w:val="center"/>
                </w:tcPr>
                <w:p w14:paraId="2CBAD567">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52.3</w:t>
                  </w:r>
                </w:p>
              </w:tc>
              <w:tc>
                <w:tcPr>
                  <w:tcW w:w="189" w:type="pct"/>
                  <w:tcBorders>
                    <w:tl2br w:val="nil"/>
                    <w:tr2bl w:val="nil"/>
                  </w:tcBorders>
                  <w:shd w:val="clear" w:color="auto" w:fill="FFFFFF"/>
                  <w:tcMar>
                    <w:top w:w="0" w:type="dxa"/>
                    <w:left w:w="0" w:type="dxa"/>
                    <w:bottom w:w="0" w:type="dxa"/>
                    <w:right w:w="0" w:type="dxa"/>
                  </w:tcMar>
                  <w:vAlign w:val="center"/>
                </w:tcPr>
                <w:p w14:paraId="680D9448">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-21.8</w:t>
                  </w:r>
                </w:p>
              </w:tc>
              <w:tc>
                <w:tcPr>
                  <w:tcW w:w="117" w:type="pct"/>
                  <w:tcBorders>
                    <w:tl2br w:val="nil"/>
                    <w:tr2bl w:val="nil"/>
                  </w:tcBorders>
                  <w:shd w:val="clear" w:color="auto" w:fill="FFFFFF"/>
                  <w:tcMar>
                    <w:top w:w="0" w:type="dxa"/>
                    <w:left w:w="0" w:type="dxa"/>
                    <w:bottom w:w="0" w:type="dxa"/>
                    <w:right w:w="0" w:type="dxa"/>
                  </w:tcMar>
                  <w:vAlign w:val="center"/>
                </w:tcPr>
                <w:p w14:paraId="5E368D9D">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w:t>
                  </w:r>
                </w:p>
              </w:tc>
              <w:tc>
                <w:tcPr>
                  <w:tcW w:w="160" w:type="pct"/>
                  <w:tcBorders>
                    <w:tl2br w:val="nil"/>
                    <w:tr2bl w:val="nil"/>
                  </w:tcBorders>
                  <w:shd w:val="clear" w:color="auto" w:fill="FFFFFF"/>
                  <w:tcMar>
                    <w:top w:w="0" w:type="dxa"/>
                    <w:left w:w="0" w:type="dxa"/>
                    <w:bottom w:w="0" w:type="dxa"/>
                    <w:right w:w="0" w:type="dxa"/>
                  </w:tcMar>
                  <w:vAlign w:val="center"/>
                </w:tcPr>
                <w:p w14:paraId="6C8DD659">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55.3</w:t>
                  </w:r>
                </w:p>
              </w:tc>
              <w:tc>
                <w:tcPr>
                  <w:tcW w:w="160" w:type="pct"/>
                  <w:tcBorders>
                    <w:tl2br w:val="nil"/>
                    <w:tr2bl w:val="nil"/>
                  </w:tcBorders>
                  <w:shd w:val="clear" w:color="auto" w:fill="FFFFFF"/>
                  <w:tcMar>
                    <w:top w:w="0" w:type="dxa"/>
                    <w:left w:w="0" w:type="dxa"/>
                    <w:bottom w:w="0" w:type="dxa"/>
                    <w:right w:w="0" w:type="dxa"/>
                  </w:tcMar>
                  <w:vAlign w:val="center"/>
                </w:tcPr>
                <w:p w14:paraId="49046139">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20.3</w:t>
                  </w:r>
                </w:p>
              </w:tc>
              <w:tc>
                <w:tcPr>
                  <w:tcW w:w="160" w:type="pct"/>
                  <w:tcBorders>
                    <w:tl2br w:val="nil"/>
                    <w:tr2bl w:val="nil"/>
                  </w:tcBorders>
                  <w:shd w:val="clear" w:color="auto" w:fill="FFFFFF"/>
                  <w:tcMar>
                    <w:top w:w="0" w:type="dxa"/>
                    <w:left w:w="0" w:type="dxa"/>
                    <w:bottom w:w="0" w:type="dxa"/>
                    <w:right w:w="0" w:type="dxa"/>
                  </w:tcMar>
                  <w:vAlign w:val="center"/>
                </w:tcPr>
                <w:p w14:paraId="3CC6998F">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41.6</w:t>
                  </w:r>
                </w:p>
              </w:tc>
              <w:tc>
                <w:tcPr>
                  <w:tcW w:w="160" w:type="pct"/>
                  <w:tcBorders>
                    <w:tl2br w:val="nil"/>
                    <w:tr2bl w:val="nil"/>
                  </w:tcBorders>
                  <w:shd w:val="clear" w:color="auto" w:fill="FFFFFF"/>
                  <w:tcMar>
                    <w:top w:w="0" w:type="dxa"/>
                    <w:left w:w="0" w:type="dxa"/>
                    <w:bottom w:w="0" w:type="dxa"/>
                    <w:right w:w="0" w:type="dxa"/>
                  </w:tcMar>
                  <w:vAlign w:val="center"/>
                </w:tcPr>
                <w:p w14:paraId="1C6ECBF6">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6.9</w:t>
                  </w:r>
                </w:p>
              </w:tc>
              <w:tc>
                <w:tcPr>
                  <w:tcW w:w="160" w:type="pct"/>
                  <w:tcBorders>
                    <w:tl2br w:val="nil"/>
                    <w:tr2bl w:val="nil"/>
                  </w:tcBorders>
                  <w:shd w:val="clear" w:color="auto" w:fill="FFFFFF"/>
                  <w:tcMar>
                    <w:top w:w="0" w:type="dxa"/>
                    <w:left w:w="0" w:type="dxa"/>
                    <w:bottom w:w="0" w:type="dxa"/>
                    <w:right w:w="0" w:type="dxa"/>
                  </w:tcMar>
                  <w:vAlign w:val="center"/>
                </w:tcPr>
                <w:p w14:paraId="51890F3C">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73.5</w:t>
                  </w:r>
                </w:p>
              </w:tc>
              <w:tc>
                <w:tcPr>
                  <w:tcW w:w="160" w:type="pct"/>
                  <w:tcBorders>
                    <w:tl2br w:val="nil"/>
                    <w:tr2bl w:val="nil"/>
                  </w:tcBorders>
                  <w:shd w:val="clear" w:color="auto" w:fill="FFFFFF"/>
                  <w:tcMar>
                    <w:top w:w="0" w:type="dxa"/>
                    <w:left w:w="0" w:type="dxa"/>
                    <w:bottom w:w="0" w:type="dxa"/>
                    <w:right w:w="0" w:type="dxa"/>
                  </w:tcMar>
                  <w:vAlign w:val="center"/>
                </w:tcPr>
                <w:p w14:paraId="2D653ACC">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73.6</w:t>
                  </w:r>
                </w:p>
              </w:tc>
              <w:tc>
                <w:tcPr>
                  <w:tcW w:w="160" w:type="pct"/>
                  <w:tcBorders>
                    <w:tl2br w:val="nil"/>
                    <w:tr2bl w:val="nil"/>
                  </w:tcBorders>
                  <w:shd w:val="clear" w:color="auto" w:fill="FFFFFF"/>
                  <w:tcMar>
                    <w:top w:w="0" w:type="dxa"/>
                    <w:left w:w="0" w:type="dxa"/>
                    <w:bottom w:w="0" w:type="dxa"/>
                    <w:right w:w="0" w:type="dxa"/>
                  </w:tcMar>
                  <w:vAlign w:val="center"/>
                </w:tcPr>
                <w:p w14:paraId="19C8D6FF">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73.5</w:t>
                  </w:r>
                </w:p>
              </w:tc>
              <w:tc>
                <w:tcPr>
                  <w:tcW w:w="160" w:type="pct"/>
                  <w:tcBorders>
                    <w:tl2br w:val="nil"/>
                    <w:tr2bl w:val="nil"/>
                  </w:tcBorders>
                  <w:shd w:val="clear" w:color="auto" w:fill="FFFFFF"/>
                  <w:tcMar>
                    <w:top w:w="0" w:type="dxa"/>
                    <w:left w:w="0" w:type="dxa"/>
                    <w:bottom w:w="0" w:type="dxa"/>
                    <w:right w:w="0" w:type="dxa"/>
                  </w:tcMar>
                  <w:vAlign w:val="center"/>
                </w:tcPr>
                <w:p w14:paraId="32F55F92">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73.9</w:t>
                  </w:r>
                </w:p>
              </w:tc>
              <w:tc>
                <w:tcPr>
                  <w:tcW w:w="204" w:type="pct"/>
                  <w:tcBorders>
                    <w:tl2br w:val="nil"/>
                    <w:tr2bl w:val="nil"/>
                  </w:tcBorders>
                  <w:shd w:val="clear" w:color="auto" w:fill="FFFFFF"/>
                  <w:tcMar>
                    <w:top w:w="0" w:type="dxa"/>
                    <w:left w:w="0" w:type="dxa"/>
                    <w:bottom w:w="0" w:type="dxa"/>
                    <w:right w:w="0" w:type="dxa"/>
                  </w:tcMar>
                  <w:vAlign w:val="center"/>
                </w:tcPr>
                <w:p w14:paraId="1779F4BE">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8</w:t>
                  </w:r>
                </w:p>
              </w:tc>
              <w:tc>
                <w:tcPr>
                  <w:tcW w:w="160" w:type="pct"/>
                  <w:tcBorders>
                    <w:tl2br w:val="nil"/>
                    <w:tr2bl w:val="nil"/>
                  </w:tcBorders>
                  <w:shd w:val="clear" w:color="auto" w:fill="FFFFFF"/>
                  <w:tcMar>
                    <w:top w:w="0" w:type="dxa"/>
                    <w:left w:w="0" w:type="dxa"/>
                    <w:bottom w:w="0" w:type="dxa"/>
                    <w:right w:w="0" w:type="dxa"/>
                  </w:tcMar>
                  <w:vAlign w:val="center"/>
                </w:tcPr>
                <w:p w14:paraId="2F1BECFE">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0" w:type="pct"/>
                  <w:tcBorders>
                    <w:tl2br w:val="nil"/>
                    <w:tr2bl w:val="nil"/>
                  </w:tcBorders>
                  <w:shd w:val="clear" w:color="auto" w:fill="FFFFFF"/>
                  <w:tcMar>
                    <w:top w:w="0" w:type="dxa"/>
                    <w:left w:w="0" w:type="dxa"/>
                    <w:bottom w:w="0" w:type="dxa"/>
                    <w:right w:w="0" w:type="dxa"/>
                  </w:tcMar>
                  <w:vAlign w:val="center"/>
                </w:tcPr>
                <w:p w14:paraId="25CF8791">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0" w:type="pct"/>
                  <w:tcBorders>
                    <w:tl2br w:val="nil"/>
                    <w:tr2bl w:val="nil"/>
                  </w:tcBorders>
                  <w:shd w:val="clear" w:color="auto" w:fill="FFFFFF"/>
                  <w:tcMar>
                    <w:top w:w="0" w:type="dxa"/>
                    <w:left w:w="0" w:type="dxa"/>
                    <w:bottom w:w="0" w:type="dxa"/>
                    <w:right w:w="0" w:type="dxa"/>
                  </w:tcMar>
                  <w:vAlign w:val="center"/>
                </w:tcPr>
                <w:p w14:paraId="74CB9A1A">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0" w:type="pct"/>
                  <w:tcBorders>
                    <w:tl2br w:val="nil"/>
                    <w:tr2bl w:val="nil"/>
                  </w:tcBorders>
                  <w:shd w:val="clear" w:color="auto" w:fill="FFFFFF"/>
                  <w:tcMar>
                    <w:top w:w="0" w:type="dxa"/>
                    <w:left w:w="0" w:type="dxa"/>
                    <w:bottom w:w="0" w:type="dxa"/>
                    <w:right w:w="0" w:type="dxa"/>
                  </w:tcMar>
                  <w:vAlign w:val="center"/>
                </w:tcPr>
                <w:p w14:paraId="4F7B4796">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58" w:type="pct"/>
                  <w:tcBorders>
                    <w:tl2br w:val="nil"/>
                    <w:tr2bl w:val="nil"/>
                  </w:tcBorders>
                  <w:shd w:val="clear" w:color="auto" w:fill="FFFFFF"/>
                  <w:tcMar>
                    <w:top w:w="0" w:type="dxa"/>
                    <w:left w:w="0" w:type="dxa"/>
                    <w:bottom w:w="0" w:type="dxa"/>
                    <w:right w:w="0" w:type="dxa"/>
                  </w:tcMar>
                  <w:vAlign w:val="center"/>
                </w:tcPr>
                <w:p w14:paraId="4519A0B8">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61.5</w:t>
                  </w:r>
                </w:p>
              </w:tc>
              <w:tc>
                <w:tcPr>
                  <w:tcW w:w="159" w:type="pct"/>
                  <w:tcBorders>
                    <w:tl2br w:val="nil"/>
                    <w:tr2bl w:val="nil"/>
                  </w:tcBorders>
                  <w:shd w:val="clear" w:color="auto" w:fill="FFFFFF"/>
                  <w:tcMar>
                    <w:top w:w="0" w:type="dxa"/>
                    <w:left w:w="0" w:type="dxa"/>
                    <w:bottom w:w="0" w:type="dxa"/>
                    <w:right w:w="0" w:type="dxa"/>
                  </w:tcMar>
                  <w:vAlign w:val="center"/>
                </w:tcPr>
                <w:p w14:paraId="4CD36E1B">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61.6</w:t>
                  </w:r>
                </w:p>
              </w:tc>
              <w:tc>
                <w:tcPr>
                  <w:tcW w:w="159" w:type="pct"/>
                  <w:tcBorders>
                    <w:tl2br w:val="nil"/>
                    <w:tr2bl w:val="nil"/>
                  </w:tcBorders>
                  <w:shd w:val="clear" w:color="auto" w:fill="FFFFFF"/>
                  <w:tcMar>
                    <w:top w:w="0" w:type="dxa"/>
                    <w:left w:w="0" w:type="dxa"/>
                    <w:bottom w:w="0" w:type="dxa"/>
                    <w:right w:w="0" w:type="dxa"/>
                  </w:tcMar>
                  <w:vAlign w:val="center"/>
                </w:tcPr>
                <w:p w14:paraId="5661A850">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61.5</w:t>
                  </w:r>
                </w:p>
              </w:tc>
              <w:tc>
                <w:tcPr>
                  <w:tcW w:w="159" w:type="pct"/>
                  <w:tcBorders>
                    <w:tl2br w:val="nil"/>
                    <w:tr2bl w:val="nil"/>
                  </w:tcBorders>
                  <w:shd w:val="clear" w:color="auto" w:fill="FFFFFF"/>
                  <w:tcMar>
                    <w:top w:w="0" w:type="dxa"/>
                    <w:left w:w="0" w:type="dxa"/>
                    <w:bottom w:w="0" w:type="dxa"/>
                    <w:right w:w="0" w:type="dxa"/>
                  </w:tcMar>
                  <w:vAlign w:val="center"/>
                </w:tcPr>
                <w:p w14:paraId="3DD703E4">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61.9</w:t>
                  </w:r>
                </w:p>
              </w:tc>
              <w:tc>
                <w:tcPr>
                  <w:tcW w:w="88" w:type="pct"/>
                  <w:tcBorders>
                    <w:tl2br w:val="nil"/>
                    <w:tr2bl w:val="nil"/>
                  </w:tcBorders>
                  <w:shd w:val="clear" w:color="auto" w:fill="FFFFFF"/>
                  <w:tcMar>
                    <w:top w:w="0" w:type="dxa"/>
                    <w:left w:w="0" w:type="dxa"/>
                    <w:bottom w:w="0" w:type="dxa"/>
                    <w:right w:w="0" w:type="dxa"/>
                  </w:tcMar>
                  <w:vAlign w:val="center"/>
                </w:tcPr>
                <w:p w14:paraId="668DE4AE">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w:t>
                  </w:r>
                </w:p>
              </w:tc>
            </w:tr>
            <w:tr w14:paraId="55ED054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0" w:hRule="atLeast"/>
              </w:trPr>
              <w:tc>
                <w:tcPr>
                  <w:tcW w:w="204" w:type="pct"/>
                  <w:tcBorders>
                    <w:tl2br w:val="nil"/>
                    <w:tr2bl w:val="nil"/>
                  </w:tcBorders>
                  <w:shd w:val="clear" w:color="auto" w:fill="FFFFFF"/>
                  <w:tcMar>
                    <w:top w:w="0" w:type="dxa"/>
                    <w:left w:w="0" w:type="dxa"/>
                    <w:bottom w:w="0" w:type="dxa"/>
                    <w:right w:w="0" w:type="dxa"/>
                  </w:tcMar>
                  <w:vAlign w:val="center"/>
                </w:tcPr>
                <w:p w14:paraId="63560D11">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5</w:t>
                  </w:r>
                </w:p>
              </w:tc>
              <w:tc>
                <w:tcPr>
                  <w:tcW w:w="204" w:type="pct"/>
                  <w:tcBorders>
                    <w:tl2br w:val="nil"/>
                    <w:tr2bl w:val="nil"/>
                  </w:tcBorders>
                  <w:shd w:val="clear" w:color="auto" w:fill="FFFFFF"/>
                  <w:tcMar>
                    <w:top w:w="0" w:type="dxa"/>
                    <w:left w:w="0" w:type="dxa"/>
                    <w:bottom w:w="0" w:type="dxa"/>
                    <w:right w:w="0" w:type="dxa"/>
                  </w:tcMar>
                  <w:vAlign w:val="center"/>
                </w:tcPr>
                <w:p w14:paraId="223BE263">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临港高新产业园区-15#厂房</w:t>
                  </w:r>
                </w:p>
              </w:tc>
              <w:tc>
                <w:tcPr>
                  <w:tcW w:w="517" w:type="pct"/>
                  <w:tcBorders>
                    <w:tl2br w:val="nil"/>
                    <w:tr2bl w:val="nil"/>
                  </w:tcBorders>
                  <w:shd w:val="clear" w:color="auto" w:fill="FFFFFF"/>
                  <w:tcMar>
                    <w:top w:w="0" w:type="dxa"/>
                    <w:left w:w="0" w:type="dxa"/>
                    <w:bottom w:w="0" w:type="dxa"/>
                    <w:right w:w="0" w:type="dxa"/>
                  </w:tcMar>
                  <w:vAlign w:val="center"/>
                </w:tcPr>
                <w:p w14:paraId="766BCF71">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立式加工中心组（45kw）,3台（按点声源组预测）</w:t>
                  </w:r>
                </w:p>
              </w:tc>
              <w:tc>
                <w:tcPr>
                  <w:tcW w:w="204" w:type="pct"/>
                  <w:tcBorders>
                    <w:tl2br w:val="nil"/>
                    <w:tr2bl w:val="nil"/>
                  </w:tcBorders>
                  <w:shd w:val="clear" w:color="auto" w:fill="FFFFFF"/>
                  <w:tcMar>
                    <w:top w:w="0" w:type="dxa"/>
                    <w:left w:w="0" w:type="dxa"/>
                    <w:bottom w:w="0" w:type="dxa"/>
                    <w:right w:w="0" w:type="dxa"/>
                  </w:tcMar>
                  <w:vAlign w:val="center"/>
                </w:tcPr>
                <w:p w14:paraId="3C362171">
                  <w:pPr>
                    <w:rPr>
                      <w:rFonts w:hint="default" w:ascii="Times New Roman" w:hAnsi="Times New Roman" w:eastAsia="宋体" w:cs="Times New Roman"/>
                      <w:color w:val="auto"/>
                      <w:u w:val="none" w:color="auto"/>
                    </w:rPr>
                  </w:pPr>
                </w:p>
              </w:tc>
              <w:tc>
                <w:tcPr>
                  <w:tcW w:w="270" w:type="pct"/>
                  <w:tcBorders>
                    <w:tl2br w:val="nil"/>
                    <w:tr2bl w:val="nil"/>
                  </w:tcBorders>
                  <w:shd w:val="clear" w:color="auto" w:fill="FFFFFF"/>
                  <w:tcMar>
                    <w:top w:w="0" w:type="dxa"/>
                    <w:left w:w="0" w:type="dxa"/>
                    <w:bottom w:w="0" w:type="dxa"/>
                    <w:right w:w="0" w:type="dxa"/>
                  </w:tcMar>
                  <w:vAlign w:val="center"/>
                </w:tcPr>
                <w:p w14:paraId="59FD70A0">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87.5（等效后：92.3)</w:t>
                  </w:r>
                </w:p>
              </w:tc>
              <w:tc>
                <w:tcPr>
                  <w:tcW w:w="204" w:type="pct"/>
                  <w:vMerge w:val="continue"/>
                  <w:tcBorders>
                    <w:tl2br w:val="nil"/>
                    <w:tr2bl w:val="nil"/>
                  </w:tcBorders>
                  <w:shd w:val="clear" w:color="auto" w:fill="FFFFFF"/>
                  <w:tcMar>
                    <w:top w:w="0" w:type="dxa"/>
                    <w:left w:w="0" w:type="dxa"/>
                    <w:bottom w:w="0" w:type="dxa"/>
                    <w:right w:w="0" w:type="dxa"/>
                  </w:tcMar>
                  <w:vAlign w:val="center"/>
                </w:tcPr>
                <w:p w14:paraId="739009BA">
                  <w:pPr>
                    <w:rPr>
                      <w:rFonts w:hint="default" w:ascii="Times New Roman" w:hAnsi="Times New Roman" w:eastAsia="宋体" w:cs="Times New Roman"/>
                      <w:color w:val="auto"/>
                      <w:u w:val="none" w:color="auto"/>
                    </w:rPr>
                  </w:pPr>
                </w:p>
              </w:tc>
              <w:tc>
                <w:tcPr>
                  <w:tcW w:w="234" w:type="pct"/>
                  <w:tcBorders>
                    <w:tl2br w:val="nil"/>
                    <w:tr2bl w:val="nil"/>
                  </w:tcBorders>
                  <w:shd w:val="clear" w:color="auto" w:fill="FFFFFF"/>
                  <w:tcMar>
                    <w:top w:w="0" w:type="dxa"/>
                    <w:left w:w="0" w:type="dxa"/>
                    <w:bottom w:w="0" w:type="dxa"/>
                    <w:right w:w="0" w:type="dxa"/>
                  </w:tcMar>
                  <w:vAlign w:val="center"/>
                </w:tcPr>
                <w:p w14:paraId="25B257C1">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38.2</w:t>
                  </w:r>
                </w:p>
              </w:tc>
              <w:tc>
                <w:tcPr>
                  <w:tcW w:w="189" w:type="pct"/>
                  <w:tcBorders>
                    <w:tl2br w:val="nil"/>
                    <w:tr2bl w:val="nil"/>
                  </w:tcBorders>
                  <w:shd w:val="clear" w:color="auto" w:fill="FFFFFF"/>
                  <w:tcMar>
                    <w:top w:w="0" w:type="dxa"/>
                    <w:left w:w="0" w:type="dxa"/>
                    <w:bottom w:w="0" w:type="dxa"/>
                    <w:right w:w="0" w:type="dxa"/>
                  </w:tcMar>
                  <w:vAlign w:val="center"/>
                </w:tcPr>
                <w:p w14:paraId="06C7F9B7">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-33.7</w:t>
                  </w:r>
                </w:p>
              </w:tc>
              <w:tc>
                <w:tcPr>
                  <w:tcW w:w="117" w:type="pct"/>
                  <w:tcBorders>
                    <w:tl2br w:val="nil"/>
                    <w:tr2bl w:val="nil"/>
                  </w:tcBorders>
                  <w:shd w:val="clear" w:color="auto" w:fill="FFFFFF"/>
                  <w:tcMar>
                    <w:top w:w="0" w:type="dxa"/>
                    <w:left w:w="0" w:type="dxa"/>
                    <w:bottom w:w="0" w:type="dxa"/>
                    <w:right w:w="0" w:type="dxa"/>
                  </w:tcMar>
                  <w:vAlign w:val="center"/>
                </w:tcPr>
                <w:p w14:paraId="435CA5DD">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w:t>
                  </w:r>
                </w:p>
              </w:tc>
              <w:tc>
                <w:tcPr>
                  <w:tcW w:w="160" w:type="pct"/>
                  <w:tcBorders>
                    <w:tl2br w:val="nil"/>
                    <w:tr2bl w:val="nil"/>
                  </w:tcBorders>
                  <w:shd w:val="clear" w:color="auto" w:fill="FFFFFF"/>
                  <w:tcMar>
                    <w:top w:w="0" w:type="dxa"/>
                    <w:left w:w="0" w:type="dxa"/>
                    <w:bottom w:w="0" w:type="dxa"/>
                    <w:right w:w="0" w:type="dxa"/>
                  </w:tcMar>
                  <w:vAlign w:val="center"/>
                </w:tcPr>
                <w:p w14:paraId="3B42EAC4">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68.7</w:t>
                  </w:r>
                </w:p>
              </w:tc>
              <w:tc>
                <w:tcPr>
                  <w:tcW w:w="160" w:type="pct"/>
                  <w:tcBorders>
                    <w:tl2br w:val="nil"/>
                    <w:tr2bl w:val="nil"/>
                  </w:tcBorders>
                  <w:shd w:val="clear" w:color="auto" w:fill="FFFFFF"/>
                  <w:tcMar>
                    <w:top w:w="0" w:type="dxa"/>
                    <w:left w:w="0" w:type="dxa"/>
                    <w:bottom w:w="0" w:type="dxa"/>
                    <w:right w:w="0" w:type="dxa"/>
                  </w:tcMar>
                  <w:vAlign w:val="center"/>
                </w:tcPr>
                <w:p w14:paraId="7875851D">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7.2</w:t>
                  </w:r>
                </w:p>
              </w:tc>
              <w:tc>
                <w:tcPr>
                  <w:tcW w:w="160" w:type="pct"/>
                  <w:tcBorders>
                    <w:tl2br w:val="nil"/>
                    <w:tr2bl w:val="nil"/>
                  </w:tcBorders>
                  <w:shd w:val="clear" w:color="auto" w:fill="FFFFFF"/>
                  <w:tcMar>
                    <w:top w:w="0" w:type="dxa"/>
                    <w:left w:w="0" w:type="dxa"/>
                    <w:bottom w:w="0" w:type="dxa"/>
                    <w:right w:w="0" w:type="dxa"/>
                  </w:tcMar>
                  <w:vAlign w:val="center"/>
                </w:tcPr>
                <w:p w14:paraId="708733C5">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28.4</w:t>
                  </w:r>
                </w:p>
              </w:tc>
              <w:tc>
                <w:tcPr>
                  <w:tcW w:w="160" w:type="pct"/>
                  <w:tcBorders>
                    <w:tl2br w:val="nil"/>
                    <w:tr2bl w:val="nil"/>
                  </w:tcBorders>
                  <w:shd w:val="clear" w:color="auto" w:fill="FFFFFF"/>
                  <w:tcMar>
                    <w:top w:w="0" w:type="dxa"/>
                    <w:left w:w="0" w:type="dxa"/>
                    <w:bottom w:w="0" w:type="dxa"/>
                    <w:right w:w="0" w:type="dxa"/>
                  </w:tcMar>
                  <w:vAlign w:val="center"/>
                </w:tcPr>
                <w:p w14:paraId="19BE8022">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20.0</w:t>
                  </w:r>
                </w:p>
              </w:tc>
              <w:tc>
                <w:tcPr>
                  <w:tcW w:w="160" w:type="pct"/>
                  <w:tcBorders>
                    <w:tl2br w:val="nil"/>
                    <w:tr2bl w:val="nil"/>
                  </w:tcBorders>
                  <w:shd w:val="clear" w:color="auto" w:fill="FFFFFF"/>
                  <w:tcMar>
                    <w:top w:w="0" w:type="dxa"/>
                    <w:left w:w="0" w:type="dxa"/>
                    <w:bottom w:w="0" w:type="dxa"/>
                    <w:right w:w="0" w:type="dxa"/>
                  </w:tcMar>
                  <w:vAlign w:val="center"/>
                </w:tcPr>
                <w:p w14:paraId="26A98E8A">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75.5</w:t>
                  </w:r>
                </w:p>
              </w:tc>
              <w:tc>
                <w:tcPr>
                  <w:tcW w:w="160" w:type="pct"/>
                  <w:tcBorders>
                    <w:tl2br w:val="nil"/>
                    <w:tr2bl w:val="nil"/>
                  </w:tcBorders>
                  <w:shd w:val="clear" w:color="auto" w:fill="FFFFFF"/>
                  <w:tcMar>
                    <w:top w:w="0" w:type="dxa"/>
                    <w:left w:w="0" w:type="dxa"/>
                    <w:bottom w:w="0" w:type="dxa"/>
                    <w:right w:w="0" w:type="dxa"/>
                  </w:tcMar>
                  <w:vAlign w:val="center"/>
                </w:tcPr>
                <w:p w14:paraId="19E13D80">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75.8</w:t>
                  </w:r>
                </w:p>
              </w:tc>
              <w:tc>
                <w:tcPr>
                  <w:tcW w:w="160" w:type="pct"/>
                  <w:tcBorders>
                    <w:tl2br w:val="nil"/>
                    <w:tr2bl w:val="nil"/>
                  </w:tcBorders>
                  <w:shd w:val="clear" w:color="auto" w:fill="FFFFFF"/>
                  <w:tcMar>
                    <w:top w:w="0" w:type="dxa"/>
                    <w:left w:w="0" w:type="dxa"/>
                    <w:bottom w:w="0" w:type="dxa"/>
                    <w:right w:w="0" w:type="dxa"/>
                  </w:tcMar>
                  <w:vAlign w:val="center"/>
                </w:tcPr>
                <w:p w14:paraId="5C74C0C4">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75.6</w:t>
                  </w:r>
                </w:p>
              </w:tc>
              <w:tc>
                <w:tcPr>
                  <w:tcW w:w="160" w:type="pct"/>
                  <w:tcBorders>
                    <w:tl2br w:val="nil"/>
                    <w:tr2bl w:val="nil"/>
                  </w:tcBorders>
                  <w:shd w:val="clear" w:color="auto" w:fill="FFFFFF"/>
                  <w:tcMar>
                    <w:top w:w="0" w:type="dxa"/>
                    <w:left w:w="0" w:type="dxa"/>
                    <w:bottom w:w="0" w:type="dxa"/>
                    <w:right w:w="0" w:type="dxa"/>
                  </w:tcMar>
                  <w:vAlign w:val="center"/>
                </w:tcPr>
                <w:p w14:paraId="2CC43581">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75.6</w:t>
                  </w:r>
                </w:p>
              </w:tc>
              <w:tc>
                <w:tcPr>
                  <w:tcW w:w="204" w:type="pct"/>
                  <w:tcBorders>
                    <w:tl2br w:val="nil"/>
                    <w:tr2bl w:val="nil"/>
                  </w:tcBorders>
                  <w:shd w:val="clear" w:color="auto" w:fill="FFFFFF"/>
                  <w:tcMar>
                    <w:top w:w="0" w:type="dxa"/>
                    <w:left w:w="0" w:type="dxa"/>
                    <w:bottom w:w="0" w:type="dxa"/>
                    <w:right w:w="0" w:type="dxa"/>
                  </w:tcMar>
                  <w:vAlign w:val="center"/>
                </w:tcPr>
                <w:p w14:paraId="3701A886">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8</w:t>
                  </w:r>
                </w:p>
              </w:tc>
              <w:tc>
                <w:tcPr>
                  <w:tcW w:w="160" w:type="pct"/>
                  <w:tcBorders>
                    <w:tl2br w:val="nil"/>
                    <w:tr2bl w:val="nil"/>
                  </w:tcBorders>
                  <w:shd w:val="clear" w:color="auto" w:fill="FFFFFF"/>
                  <w:tcMar>
                    <w:top w:w="0" w:type="dxa"/>
                    <w:left w:w="0" w:type="dxa"/>
                    <w:bottom w:w="0" w:type="dxa"/>
                    <w:right w:w="0" w:type="dxa"/>
                  </w:tcMar>
                  <w:vAlign w:val="center"/>
                </w:tcPr>
                <w:p w14:paraId="1CE035D6">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0" w:type="pct"/>
                  <w:tcBorders>
                    <w:tl2br w:val="nil"/>
                    <w:tr2bl w:val="nil"/>
                  </w:tcBorders>
                  <w:shd w:val="clear" w:color="auto" w:fill="FFFFFF"/>
                  <w:tcMar>
                    <w:top w:w="0" w:type="dxa"/>
                    <w:left w:w="0" w:type="dxa"/>
                    <w:bottom w:w="0" w:type="dxa"/>
                    <w:right w:w="0" w:type="dxa"/>
                  </w:tcMar>
                  <w:vAlign w:val="center"/>
                </w:tcPr>
                <w:p w14:paraId="648953F8">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0" w:type="pct"/>
                  <w:tcBorders>
                    <w:tl2br w:val="nil"/>
                    <w:tr2bl w:val="nil"/>
                  </w:tcBorders>
                  <w:shd w:val="clear" w:color="auto" w:fill="FFFFFF"/>
                  <w:tcMar>
                    <w:top w:w="0" w:type="dxa"/>
                    <w:left w:w="0" w:type="dxa"/>
                    <w:bottom w:w="0" w:type="dxa"/>
                    <w:right w:w="0" w:type="dxa"/>
                  </w:tcMar>
                  <w:vAlign w:val="center"/>
                </w:tcPr>
                <w:p w14:paraId="6127579B">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0" w:type="pct"/>
                  <w:tcBorders>
                    <w:tl2br w:val="nil"/>
                    <w:tr2bl w:val="nil"/>
                  </w:tcBorders>
                  <w:shd w:val="clear" w:color="auto" w:fill="FFFFFF"/>
                  <w:tcMar>
                    <w:top w:w="0" w:type="dxa"/>
                    <w:left w:w="0" w:type="dxa"/>
                    <w:bottom w:w="0" w:type="dxa"/>
                    <w:right w:w="0" w:type="dxa"/>
                  </w:tcMar>
                  <w:vAlign w:val="center"/>
                </w:tcPr>
                <w:p w14:paraId="324EAB38">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58" w:type="pct"/>
                  <w:tcBorders>
                    <w:tl2br w:val="nil"/>
                    <w:tr2bl w:val="nil"/>
                  </w:tcBorders>
                  <w:shd w:val="clear" w:color="auto" w:fill="FFFFFF"/>
                  <w:tcMar>
                    <w:top w:w="0" w:type="dxa"/>
                    <w:left w:w="0" w:type="dxa"/>
                    <w:bottom w:w="0" w:type="dxa"/>
                    <w:right w:w="0" w:type="dxa"/>
                  </w:tcMar>
                  <w:vAlign w:val="center"/>
                </w:tcPr>
                <w:p w14:paraId="123C35A6">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63.5</w:t>
                  </w:r>
                </w:p>
              </w:tc>
              <w:tc>
                <w:tcPr>
                  <w:tcW w:w="159" w:type="pct"/>
                  <w:tcBorders>
                    <w:tl2br w:val="nil"/>
                    <w:tr2bl w:val="nil"/>
                  </w:tcBorders>
                  <w:shd w:val="clear" w:color="auto" w:fill="FFFFFF"/>
                  <w:tcMar>
                    <w:top w:w="0" w:type="dxa"/>
                    <w:left w:w="0" w:type="dxa"/>
                    <w:bottom w:w="0" w:type="dxa"/>
                    <w:right w:w="0" w:type="dxa"/>
                  </w:tcMar>
                  <w:vAlign w:val="center"/>
                </w:tcPr>
                <w:p w14:paraId="28EA9A85">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63.8</w:t>
                  </w:r>
                </w:p>
              </w:tc>
              <w:tc>
                <w:tcPr>
                  <w:tcW w:w="159" w:type="pct"/>
                  <w:tcBorders>
                    <w:tl2br w:val="nil"/>
                    <w:tr2bl w:val="nil"/>
                  </w:tcBorders>
                  <w:shd w:val="clear" w:color="auto" w:fill="FFFFFF"/>
                  <w:tcMar>
                    <w:top w:w="0" w:type="dxa"/>
                    <w:left w:w="0" w:type="dxa"/>
                    <w:bottom w:w="0" w:type="dxa"/>
                    <w:right w:w="0" w:type="dxa"/>
                  </w:tcMar>
                  <w:vAlign w:val="center"/>
                </w:tcPr>
                <w:p w14:paraId="68BC11CE">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63.6</w:t>
                  </w:r>
                </w:p>
              </w:tc>
              <w:tc>
                <w:tcPr>
                  <w:tcW w:w="159" w:type="pct"/>
                  <w:tcBorders>
                    <w:tl2br w:val="nil"/>
                    <w:tr2bl w:val="nil"/>
                  </w:tcBorders>
                  <w:shd w:val="clear" w:color="auto" w:fill="FFFFFF"/>
                  <w:tcMar>
                    <w:top w:w="0" w:type="dxa"/>
                    <w:left w:w="0" w:type="dxa"/>
                    <w:bottom w:w="0" w:type="dxa"/>
                    <w:right w:w="0" w:type="dxa"/>
                  </w:tcMar>
                  <w:vAlign w:val="center"/>
                </w:tcPr>
                <w:p w14:paraId="1D1A42CA">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63.6</w:t>
                  </w:r>
                </w:p>
              </w:tc>
              <w:tc>
                <w:tcPr>
                  <w:tcW w:w="88" w:type="pct"/>
                  <w:tcBorders>
                    <w:tl2br w:val="nil"/>
                    <w:tr2bl w:val="nil"/>
                  </w:tcBorders>
                  <w:shd w:val="clear" w:color="auto" w:fill="FFFFFF"/>
                  <w:tcMar>
                    <w:top w:w="0" w:type="dxa"/>
                    <w:left w:w="0" w:type="dxa"/>
                    <w:bottom w:w="0" w:type="dxa"/>
                    <w:right w:w="0" w:type="dxa"/>
                  </w:tcMar>
                  <w:vAlign w:val="center"/>
                </w:tcPr>
                <w:p w14:paraId="3414B851">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w:t>
                  </w:r>
                </w:p>
              </w:tc>
            </w:tr>
            <w:tr w14:paraId="4EC3B09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0" w:hRule="atLeast"/>
              </w:trPr>
              <w:tc>
                <w:tcPr>
                  <w:tcW w:w="204" w:type="pct"/>
                  <w:tcBorders>
                    <w:tl2br w:val="nil"/>
                    <w:tr2bl w:val="nil"/>
                  </w:tcBorders>
                  <w:shd w:val="clear" w:color="auto" w:fill="FFFFFF"/>
                  <w:tcMar>
                    <w:top w:w="0" w:type="dxa"/>
                    <w:left w:w="0" w:type="dxa"/>
                    <w:bottom w:w="0" w:type="dxa"/>
                    <w:right w:w="0" w:type="dxa"/>
                  </w:tcMar>
                  <w:vAlign w:val="center"/>
                </w:tcPr>
                <w:p w14:paraId="3AF43A1E">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w:t>
                  </w:r>
                </w:p>
              </w:tc>
              <w:tc>
                <w:tcPr>
                  <w:tcW w:w="204" w:type="pct"/>
                  <w:tcBorders>
                    <w:tl2br w:val="nil"/>
                    <w:tr2bl w:val="nil"/>
                  </w:tcBorders>
                  <w:shd w:val="clear" w:color="auto" w:fill="FFFFFF"/>
                  <w:tcMar>
                    <w:top w:w="0" w:type="dxa"/>
                    <w:left w:w="0" w:type="dxa"/>
                    <w:bottom w:w="0" w:type="dxa"/>
                    <w:right w:w="0" w:type="dxa"/>
                  </w:tcMar>
                  <w:vAlign w:val="center"/>
                </w:tcPr>
                <w:p w14:paraId="78006302">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临港高新产业园区-15#厂房</w:t>
                  </w:r>
                </w:p>
              </w:tc>
              <w:tc>
                <w:tcPr>
                  <w:tcW w:w="517" w:type="pct"/>
                  <w:tcBorders>
                    <w:tl2br w:val="nil"/>
                    <w:tr2bl w:val="nil"/>
                  </w:tcBorders>
                  <w:shd w:val="clear" w:color="auto" w:fill="FFFFFF"/>
                  <w:tcMar>
                    <w:top w:w="0" w:type="dxa"/>
                    <w:left w:w="0" w:type="dxa"/>
                    <w:bottom w:w="0" w:type="dxa"/>
                    <w:right w:w="0" w:type="dxa"/>
                  </w:tcMar>
                  <w:vAlign w:val="center"/>
                </w:tcPr>
                <w:p w14:paraId="1EB9AC22">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立式加工中心（408kw）,24台（按点声源组预测）</w:t>
                  </w:r>
                </w:p>
              </w:tc>
              <w:tc>
                <w:tcPr>
                  <w:tcW w:w="204" w:type="pct"/>
                  <w:tcBorders>
                    <w:tl2br w:val="nil"/>
                    <w:tr2bl w:val="nil"/>
                  </w:tcBorders>
                  <w:shd w:val="clear" w:color="auto" w:fill="FFFFFF"/>
                  <w:tcMar>
                    <w:top w:w="0" w:type="dxa"/>
                    <w:left w:w="0" w:type="dxa"/>
                    <w:bottom w:w="0" w:type="dxa"/>
                    <w:right w:w="0" w:type="dxa"/>
                  </w:tcMar>
                  <w:vAlign w:val="center"/>
                </w:tcPr>
                <w:p w14:paraId="39B39B5B">
                  <w:pPr>
                    <w:rPr>
                      <w:rFonts w:hint="default" w:ascii="Times New Roman" w:hAnsi="Times New Roman" w:eastAsia="宋体" w:cs="Times New Roman"/>
                      <w:color w:val="auto"/>
                      <w:u w:val="none" w:color="auto"/>
                    </w:rPr>
                  </w:pPr>
                </w:p>
              </w:tc>
              <w:tc>
                <w:tcPr>
                  <w:tcW w:w="270" w:type="pct"/>
                  <w:tcBorders>
                    <w:tl2br w:val="nil"/>
                    <w:tr2bl w:val="nil"/>
                  </w:tcBorders>
                  <w:shd w:val="clear" w:color="auto" w:fill="FFFFFF"/>
                  <w:tcMar>
                    <w:top w:w="0" w:type="dxa"/>
                    <w:left w:w="0" w:type="dxa"/>
                    <w:bottom w:w="0" w:type="dxa"/>
                    <w:right w:w="0" w:type="dxa"/>
                  </w:tcMar>
                  <w:vAlign w:val="center"/>
                </w:tcPr>
                <w:p w14:paraId="3DF0B28F">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87.5（等效后：101.3)</w:t>
                  </w:r>
                </w:p>
              </w:tc>
              <w:tc>
                <w:tcPr>
                  <w:tcW w:w="204" w:type="pct"/>
                  <w:vMerge w:val="continue"/>
                  <w:tcBorders>
                    <w:tl2br w:val="nil"/>
                    <w:tr2bl w:val="nil"/>
                  </w:tcBorders>
                  <w:shd w:val="clear" w:color="auto" w:fill="FFFFFF"/>
                  <w:tcMar>
                    <w:top w:w="0" w:type="dxa"/>
                    <w:left w:w="0" w:type="dxa"/>
                    <w:bottom w:w="0" w:type="dxa"/>
                    <w:right w:w="0" w:type="dxa"/>
                  </w:tcMar>
                  <w:vAlign w:val="center"/>
                </w:tcPr>
                <w:p w14:paraId="2080361C">
                  <w:pPr>
                    <w:rPr>
                      <w:rFonts w:hint="default" w:ascii="Times New Roman" w:hAnsi="Times New Roman" w:eastAsia="宋体" w:cs="Times New Roman"/>
                      <w:color w:val="auto"/>
                      <w:u w:val="none" w:color="auto"/>
                    </w:rPr>
                  </w:pPr>
                </w:p>
              </w:tc>
              <w:tc>
                <w:tcPr>
                  <w:tcW w:w="234" w:type="pct"/>
                  <w:tcBorders>
                    <w:tl2br w:val="nil"/>
                    <w:tr2bl w:val="nil"/>
                  </w:tcBorders>
                  <w:shd w:val="clear" w:color="auto" w:fill="FFFFFF"/>
                  <w:tcMar>
                    <w:top w:w="0" w:type="dxa"/>
                    <w:left w:w="0" w:type="dxa"/>
                    <w:bottom w:w="0" w:type="dxa"/>
                    <w:right w:w="0" w:type="dxa"/>
                  </w:tcMar>
                  <w:vAlign w:val="center"/>
                </w:tcPr>
                <w:p w14:paraId="4BBF1DE4">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37</w:t>
                  </w:r>
                </w:p>
              </w:tc>
              <w:tc>
                <w:tcPr>
                  <w:tcW w:w="189" w:type="pct"/>
                  <w:tcBorders>
                    <w:tl2br w:val="nil"/>
                    <w:tr2bl w:val="nil"/>
                  </w:tcBorders>
                  <w:shd w:val="clear" w:color="auto" w:fill="FFFFFF"/>
                  <w:tcMar>
                    <w:top w:w="0" w:type="dxa"/>
                    <w:left w:w="0" w:type="dxa"/>
                    <w:bottom w:w="0" w:type="dxa"/>
                    <w:right w:w="0" w:type="dxa"/>
                  </w:tcMar>
                  <w:vAlign w:val="center"/>
                </w:tcPr>
                <w:p w14:paraId="0832C521">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-27</w:t>
                  </w:r>
                </w:p>
              </w:tc>
              <w:tc>
                <w:tcPr>
                  <w:tcW w:w="117" w:type="pct"/>
                  <w:tcBorders>
                    <w:tl2br w:val="nil"/>
                    <w:tr2bl w:val="nil"/>
                  </w:tcBorders>
                  <w:shd w:val="clear" w:color="auto" w:fill="FFFFFF"/>
                  <w:tcMar>
                    <w:top w:w="0" w:type="dxa"/>
                    <w:left w:w="0" w:type="dxa"/>
                    <w:bottom w:w="0" w:type="dxa"/>
                    <w:right w:w="0" w:type="dxa"/>
                  </w:tcMar>
                  <w:vAlign w:val="center"/>
                </w:tcPr>
                <w:p w14:paraId="2D2DD133">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w:t>
                  </w:r>
                </w:p>
              </w:tc>
              <w:tc>
                <w:tcPr>
                  <w:tcW w:w="160" w:type="pct"/>
                  <w:tcBorders>
                    <w:tl2br w:val="nil"/>
                    <w:tr2bl w:val="nil"/>
                  </w:tcBorders>
                  <w:shd w:val="clear" w:color="auto" w:fill="FFFFFF"/>
                  <w:tcMar>
                    <w:top w:w="0" w:type="dxa"/>
                    <w:left w:w="0" w:type="dxa"/>
                    <w:bottom w:w="0" w:type="dxa"/>
                    <w:right w:w="0" w:type="dxa"/>
                  </w:tcMar>
                  <w:vAlign w:val="center"/>
                </w:tcPr>
                <w:p w14:paraId="5675A293">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70.3</w:t>
                  </w:r>
                </w:p>
              </w:tc>
              <w:tc>
                <w:tcPr>
                  <w:tcW w:w="160" w:type="pct"/>
                  <w:tcBorders>
                    <w:tl2br w:val="nil"/>
                    <w:tr2bl w:val="nil"/>
                  </w:tcBorders>
                  <w:shd w:val="clear" w:color="auto" w:fill="FFFFFF"/>
                  <w:tcMar>
                    <w:top w:w="0" w:type="dxa"/>
                    <w:left w:w="0" w:type="dxa"/>
                    <w:bottom w:w="0" w:type="dxa"/>
                    <w:right w:w="0" w:type="dxa"/>
                  </w:tcMar>
                  <w:vAlign w:val="center"/>
                </w:tcPr>
                <w:p w14:paraId="3E78D8C0">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13.8</w:t>
                  </w:r>
                </w:p>
              </w:tc>
              <w:tc>
                <w:tcPr>
                  <w:tcW w:w="160" w:type="pct"/>
                  <w:tcBorders>
                    <w:tl2br w:val="nil"/>
                    <w:tr2bl w:val="nil"/>
                  </w:tcBorders>
                  <w:shd w:val="clear" w:color="auto" w:fill="FFFFFF"/>
                  <w:tcMar>
                    <w:top w:w="0" w:type="dxa"/>
                    <w:left w:w="0" w:type="dxa"/>
                    <w:bottom w:w="0" w:type="dxa"/>
                    <w:right w:w="0" w:type="dxa"/>
                  </w:tcMar>
                  <w:vAlign w:val="center"/>
                </w:tcPr>
                <w:p w14:paraId="36C04F0C">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26.7</w:t>
                  </w:r>
                </w:p>
              </w:tc>
              <w:tc>
                <w:tcPr>
                  <w:tcW w:w="160" w:type="pct"/>
                  <w:tcBorders>
                    <w:tl2br w:val="nil"/>
                    <w:tr2bl w:val="nil"/>
                  </w:tcBorders>
                  <w:shd w:val="clear" w:color="auto" w:fill="FFFFFF"/>
                  <w:tcMar>
                    <w:top w:w="0" w:type="dxa"/>
                    <w:left w:w="0" w:type="dxa"/>
                    <w:bottom w:w="0" w:type="dxa"/>
                    <w:right w:w="0" w:type="dxa"/>
                  </w:tcMar>
                  <w:vAlign w:val="center"/>
                </w:tcPr>
                <w:p w14:paraId="6DDB7BC8">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13.5</w:t>
                  </w:r>
                </w:p>
              </w:tc>
              <w:tc>
                <w:tcPr>
                  <w:tcW w:w="160" w:type="pct"/>
                  <w:tcBorders>
                    <w:tl2br w:val="nil"/>
                    <w:tr2bl w:val="nil"/>
                  </w:tcBorders>
                  <w:shd w:val="clear" w:color="auto" w:fill="FFFFFF"/>
                  <w:tcMar>
                    <w:top w:w="0" w:type="dxa"/>
                    <w:left w:w="0" w:type="dxa"/>
                    <w:bottom w:w="0" w:type="dxa"/>
                    <w:right w:w="0" w:type="dxa"/>
                  </w:tcMar>
                  <w:vAlign w:val="center"/>
                </w:tcPr>
                <w:p w14:paraId="3CE44CD0">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84.5</w:t>
                  </w:r>
                </w:p>
              </w:tc>
              <w:tc>
                <w:tcPr>
                  <w:tcW w:w="160" w:type="pct"/>
                  <w:tcBorders>
                    <w:tl2br w:val="nil"/>
                    <w:tr2bl w:val="nil"/>
                  </w:tcBorders>
                  <w:shd w:val="clear" w:color="auto" w:fill="FFFFFF"/>
                  <w:tcMar>
                    <w:top w:w="0" w:type="dxa"/>
                    <w:left w:w="0" w:type="dxa"/>
                    <w:bottom w:w="0" w:type="dxa"/>
                    <w:right w:w="0" w:type="dxa"/>
                  </w:tcMar>
                  <w:vAlign w:val="center"/>
                </w:tcPr>
                <w:p w14:paraId="4EA9AF25">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84.6</w:t>
                  </w:r>
                </w:p>
              </w:tc>
              <w:tc>
                <w:tcPr>
                  <w:tcW w:w="160" w:type="pct"/>
                  <w:tcBorders>
                    <w:tl2br w:val="nil"/>
                    <w:tr2bl w:val="nil"/>
                  </w:tcBorders>
                  <w:shd w:val="clear" w:color="auto" w:fill="FFFFFF"/>
                  <w:tcMar>
                    <w:top w:w="0" w:type="dxa"/>
                    <w:left w:w="0" w:type="dxa"/>
                    <w:bottom w:w="0" w:type="dxa"/>
                    <w:right w:w="0" w:type="dxa"/>
                  </w:tcMar>
                  <w:vAlign w:val="center"/>
                </w:tcPr>
                <w:p w14:paraId="50811EE8">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84.6</w:t>
                  </w:r>
                </w:p>
              </w:tc>
              <w:tc>
                <w:tcPr>
                  <w:tcW w:w="160" w:type="pct"/>
                  <w:tcBorders>
                    <w:tl2br w:val="nil"/>
                    <w:tr2bl w:val="nil"/>
                  </w:tcBorders>
                  <w:shd w:val="clear" w:color="auto" w:fill="FFFFFF"/>
                  <w:tcMar>
                    <w:top w:w="0" w:type="dxa"/>
                    <w:left w:w="0" w:type="dxa"/>
                    <w:bottom w:w="0" w:type="dxa"/>
                    <w:right w:w="0" w:type="dxa"/>
                  </w:tcMar>
                  <w:vAlign w:val="center"/>
                </w:tcPr>
                <w:p w14:paraId="1CEC68A5">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84.6</w:t>
                  </w:r>
                </w:p>
              </w:tc>
              <w:tc>
                <w:tcPr>
                  <w:tcW w:w="204" w:type="pct"/>
                  <w:tcBorders>
                    <w:tl2br w:val="nil"/>
                    <w:tr2bl w:val="nil"/>
                  </w:tcBorders>
                  <w:shd w:val="clear" w:color="auto" w:fill="FFFFFF"/>
                  <w:tcMar>
                    <w:top w:w="0" w:type="dxa"/>
                    <w:left w:w="0" w:type="dxa"/>
                    <w:bottom w:w="0" w:type="dxa"/>
                    <w:right w:w="0" w:type="dxa"/>
                  </w:tcMar>
                  <w:vAlign w:val="center"/>
                </w:tcPr>
                <w:p w14:paraId="5A2E7CD1">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8</w:t>
                  </w:r>
                </w:p>
              </w:tc>
              <w:tc>
                <w:tcPr>
                  <w:tcW w:w="160" w:type="pct"/>
                  <w:tcBorders>
                    <w:tl2br w:val="nil"/>
                    <w:tr2bl w:val="nil"/>
                  </w:tcBorders>
                  <w:shd w:val="clear" w:color="auto" w:fill="FFFFFF"/>
                  <w:tcMar>
                    <w:top w:w="0" w:type="dxa"/>
                    <w:left w:w="0" w:type="dxa"/>
                    <w:bottom w:w="0" w:type="dxa"/>
                    <w:right w:w="0" w:type="dxa"/>
                  </w:tcMar>
                  <w:vAlign w:val="center"/>
                </w:tcPr>
                <w:p w14:paraId="5EF34833">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0" w:type="pct"/>
                  <w:tcBorders>
                    <w:tl2br w:val="nil"/>
                    <w:tr2bl w:val="nil"/>
                  </w:tcBorders>
                  <w:shd w:val="clear" w:color="auto" w:fill="FFFFFF"/>
                  <w:tcMar>
                    <w:top w:w="0" w:type="dxa"/>
                    <w:left w:w="0" w:type="dxa"/>
                    <w:bottom w:w="0" w:type="dxa"/>
                    <w:right w:w="0" w:type="dxa"/>
                  </w:tcMar>
                  <w:vAlign w:val="center"/>
                </w:tcPr>
                <w:p w14:paraId="1DA681C2">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0" w:type="pct"/>
                  <w:tcBorders>
                    <w:tl2br w:val="nil"/>
                    <w:tr2bl w:val="nil"/>
                  </w:tcBorders>
                  <w:shd w:val="clear" w:color="auto" w:fill="FFFFFF"/>
                  <w:tcMar>
                    <w:top w:w="0" w:type="dxa"/>
                    <w:left w:w="0" w:type="dxa"/>
                    <w:bottom w:w="0" w:type="dxa"/>
                    <w:right w:w="0" w:type="dxa"/>
                  </w:tcMar>
                  <w:vAlign w:val="center"/>
                </w:tcPr>
                <w:p w14:paraId="075D5553">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0" w:type="pct"/>
                  <w:tcBorders>
                    <w:tl2br w:val="nil"/>
                    <w:tr2bl w:val="nil"/>
                  </w:tcBorders>
                  <w:shd w:val="clear" w:color="auto" w:fill="FFFFFF"/>
                  <w:tcMar>
                    <w:top w:w="0" w:type="dxa"/>
                    <w:left w:w="0" w:type="dxa"/>
                    <w:bottom w:w="0" w:type="dxa"/>
                    <w:right w:w="0" w:type="dxa"/>
                  </w:tcMar>
                  <w:vAlign w:val="center"/>
                </w:tcPr>
                <w:p w14:paraId="18FFAD7C">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58" w:type="pct"/>
                  <w:tcBorders>
                    <w:tl2br w:val="nil"/>
                    <w:tr2bl w:val="nil"/>
                  </w:tcBorders>
                  <w:shd w:val="clear" w:color="auto" w:fill="FFFFFF"/>
                  <w:tcMar>
                    <w:top w:w="0" w:type="dxa"/>
                    <w:left w:w="0" w:type="dxa"/>
                    <w:bottom w:w="0" w:type="dxa"/>
                    <w:right w:w="0" w:type="dxa"/>
                  </w:tcMar>
                  <w:vAlign w:val="center"/>
                </w:tcPr>
                <w:p w14:paraId="5F8817A2">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72.5</w:t>
                  </w:r>
                </w:p>
              </w:tc>
              <w:tc>
                <w:tcPr>
                  <w:tcW w:w="159" w:type="pct"/>
                  <w:tcBorders>
                    <w:tl2br w:val="nil"/>
                    <w:tr2bl w:val="nil"/>
                  </w:tcBorders>
                  <w:shd w:val="clear" w:color="auto" w:fill="FFFFFF"/>
                  <w:tcMar>
                    <w:top w:w="0" w:type="dxa"/>
                    <w:left w:w="0" w:type="dxa"/>
                    <w:bottom w:w="0" w:type="dxa"/>
                    <w:right w:w="0" w:type="dxa"/>
                  </w:tcMar>
                  <w:vAlign w:val="center"/>
                </w:tcPr>
                <w:p w14:paraId="228CA413">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72.6</w:t>
                  </w:r>
                </w:p>
              </w:tc>
              <w:tc>
                <w:tcPr>
                  <w:tcW w:w="159" w:type="pct"/>
                  <w:tcBorders>
                    <w:tl2br w:val="nil"/>
                    <w:tr2bl w:val="nil"/>
                  </w:tcBorders>
                  <w:shd w:val="clear" w:color="auto" w:fill="FFFFFF"/>
                  <w:tcMar>
                    <w:top w:w="0" w:type="dxa"/>
                    <w:left w:w="0" w:type="dxa"/>
                    <w:bottom w:w="0" w:type="dxa"/>
                    <w:right w:w="0" w:type="dxa"/>
                  </w:tcMar>
                  <w:vAlign w:val="center"/>
                </w:tcPr>
                <w:p w14:paraId="263981FF">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72.6</w:t>
                  </w:r>
                </w:p>
              </w:tc>
              <w:tc>
                <w:tcPr>
                  <w:tcW w:w="159" w:type="pct"/>
                  <w:tcBorders>
                    <w:tl2br w:val="nil"/>
                    <w:tr2bl w:val="nil"/>
                  </w:tcBorders>
                  <w:shd w:val="clear" w:color="auto" w:fill="FFFFFF"/>
                  <w:tcMar>
                    <w:top w:w="0" w:type="dxa"/>
                    <w:left w:w="0" w:type="dxa"/>
                    <w:bottom w:w="0" w:type="dxa"/>
                    <w:right w:w="0" w:type="dxa"/>
                  </w:tcMar>
                  <w:vAlign w:val="center"/>
                </w:tcPr>
                <w:p w14:paraId="7F1B5A55">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72.6</w:t>
                  </w:r>
                </w:p>
              </w:tc>
              <w:tc>
                <w:tcPr>
                  <w:tcW w:w="88" w:type="pct"/>
                  <w:tcBorders>
                    <w:tl2br w:val="nil"/>
                    <w:tr2bl w:val="nil"/>
                  </w:tcBorders>
                  <w:shd w:val="clear" w:color="auto" w:fill="FFFFFF"/>
                  <w:tcMar>
                    <w:top w:w="0" w:type="dxa"/>
                    <w:left w:w="0" w:type="dxa"/>
                    <w:bottom w:w="0" w:type="dxa"/>
                    <w:right w:w="0" w:type="dxa"/>
                  </w:tcMar>
                  <w:vAlign w:val="center"/>
                </w:tcPr>
                <w:p w14:paraId="6ABD97A2">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w:t>
                  </w:r>
                </w:p>
              </w:tc>
            </w:tr>
            <w:tr w14:paraId="112B838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0" w:hRule="atLeast"/>
              </w:trPr>
              <w:tc>
                <w:tcPr>
                  <w:tcW w:w="204" w:type="pct"/>
                  <w:tcBorders>
                    <w:tl2br w:val="nil"/>
                    <w:tr2bl w:val="nil"/>
                  </w:tcBorders>
                  <w:shd w:val="clear" w:color="auto" w:fill="FFFFFF"/>
                  <w:tcMar>
                    <w:top w:w="0" w:type="dxa"/>
                    <w:left w:w="0" w:type="dxa"/>
                    <w:bottom w:w="0" w:type="dxa"/>
                    <w:right w:w="0" w:type="dxa"/>
                  </w:tcMar>
                  <w:vAlign w:val="center"/>
                </w:tcPr>
                <w:p w14:paraId="53E40F2F">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7</w:t>
                  </w:r>
                </w:p>
              </w:tc>
              <w:tc>
                <w:tcPr>
                  <w:tcW w:w="204" w:type="pct"/>
                  <w:tcBorders>
                    <w:tl2br w:val="nil"/>
                    <w:tr2bl w:val="nil"/>
                  </w:tcBorders>
                  <w:shd w:val="clear" w:color="auto" w:fill="FFFFFF"/>
                  <w:tcMar>
                    <w:top w:w="0" w:type="dxa"/>
                    <w:left w:w="0" w:type="dxa"/>
                    <w:bottom w:w="0" w:type="dxa"/>
                    <w:right w:w="0" w:type="dxa"/>
                  </w:tcMar>
                  <w:vAlign w:val="center"/>
                </w:tcPr>
                <w:p w14:paraId="567A8323">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临港高新产业园区-15#厂房</w:t>
                  </w:r>
                </w:p>
              </w:tc>
              <w:tc>
                <w:tcPr>
                  <w:tcW w:w="517" w:type="pct"/>
                  <w:tcBorders>
                    <w:tl2br w:val="nil"/>
                    <w:tr2bl w:val="nil"/>
                  </w:tcBorders>
                  <w:shd w:val="clear" w:color="auto" w:fill="FFFFFF"/>
                  <w:tcMar>
                    <w:top w:w="0" w:type="dxa"/>
                    <w:left w:w="0" w:type="dxa"/>
                    <w:bottom w:w="0" w:type="dxa"/>
                    <w:right w:w="0" w:type="dxa"/>
                  </w:tcMar>
                  <w:vAlign w:val="center"/>
                </w:tcPr>
                <w:p w14:paraId="1A95E33F">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立式加工中心（38kw）,2台（按点声源组预测）</w:t>
                  </w:r>
                </w:p>
              </w:tc>
              <w:tc>
                <w:tcPr>
                  <w:tcW w:w="204" w:type="pct"/>
                  <w:tcBorders>
                    <w:tl2br w:val="nil"/>
                    <w:tr2bl w:val="nil"/>
                  </w:tcBorders>
                  <w:shd w:val="clear" w:color="auto" w:fill="FFFFFF"/>
                  <w:tcMar>
                    <w:top w:w="0" w:type="dxa"/>
                    <w:left w:w="0" w:type="dxa"/>
                    <w:bottom w:w="0" w:type="dxa"/>
                    <w:right w:w="0" w:type="dxa"/>
                  </w:tcMar>
                  <w:vAlign w:val="center"/>
                </w:tcPr>
                <w:p w14:paraId="0A0ADDCE">
                  <w:pPr>
                    <w:rPr>
                      <w:rFonts w:hint="default" w:ascii="Times New Roman" w:hAnsi="Times New Roman" w:eastAsia="宋体" w:cs="Times New Roman"/>
                      <w:color w:val="auto"/>
                      <w:u w:val="none" w:color="auto"/>
                    </w:rPr>
                  </w:pPr>
                </w:p>
              </w:tc>
              <w:tc>
                <w:tcPr>
                  <w:tcW w:w="270" w:type="pct"/>
                  <w:tcBorders>
                    <w:tl2br w:val="nil"/>
                    <w:tr2bl w:val="nil"/>
                  </w:tcBorders>
                  <w:shd w:val="clear" w:color="auto" w:fill="FFFFFF"/>
                  <w:tcMar>
                    <w:top w:w="0" w:type="dxa"/>
                    <w:left w:w="0" w:type="dxa"/>
                    <w:bottom w:w="0" w:type="dxa"/>
                    <w:right w:w="0" w:type="dxa"/>
                  </w:tcMar>
                  <w:vAlign w:val="center"/>
                </w:tcPr>
                <w:p w14:paraId="70973328">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87.5（等效后：90.5)</w:t>
                  </w:r>
                </w:p>
              </w:tc>
              <w:tc>
                <w:tcPr>
                  <w:tcW w:w="204" w:type="pct"/>
                  <w:vMerge w:val="restart"/>
                  <w:tcBorders>
                    <w:tl2br w:val="nil"/>
                    <w:tr2bl w:val="nil"/>
                  </w:tcBorders>
                  <w:shd w:val="clear" w:color="auto" w:fill="FFFFFF"/>
                  <w:tcMar>
                    <w:top w:w="0" w:type="dxa"/>
                    <w:left w:w="0" w:type="dxa"/>
                    <w:bottom w:w="0" w:type="dxa"/>
                    <w:right w:w="0" w:type="dxa"/>
                  </w:tcMar>
                  <w:vAlign w:val="center"/>
                </w:tcPr>
                <w:p w14:paraId="3E9822C7">
                  <w:pPr>
                    <w:rPr>
                      <w:rFonts w:hint="default" w:ascii="Times New Roman" w:hAnsi="Times New Roman" w:eastAsia="宋体" w:cs="Times New Roman"/>
                      <w:color w:val="auto"/>
                      <w:u w:val="none" w:color="auto"/>
                    </w:rPr>
                  </w:pPr>
                </w:p>
              </w:tc>
              <w:tc>
                <w:tcPr>
                  <w:tcW w:w="234" w:type="pct"/>
                  <w:tcBorders>
                    <w:tl2br w:val="nil"/>
                    <w:tr2bl w:val="nil"/>
                  </w:tcBorders>
                  <w:shd w:val="clear" w:color="auto" w:fill="FFFFFF"/>
                  <w:tcMar>
                    <w:top w:w="0" w:type="dxa"/>
                    <w:left w:w="0" w:type="dxa"/>
                    <w:bottom w:w="0" w:type="dxa"/>
                    <w:right w:w="0" w:type="dxa"/>
                  </w:tcMar>
                  <w:vAlign w:val="center"/>
                </w:tcPr>
                <w:p w14:paraId="303EC4EA">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37</w:t>
                  </w:r>
                </w:p>
              </w:tc>
              <w:tc>
                <w:tcPr>
                  <w:tcW w:w="189" w:type="pct"/>
                  <w:tcBorders>
                    <w:tl2br w:val="nil"/>
                    <w:tr2bl w:val="nil"/>
                  </w:tcBorders>
                  <w:shd w:val="clear" w:color="auto" w:fill="FFFFFF"/>
                  <w:tcMar>
                    <w:top w:w="0" w:type="dxa"/>
                    <w:left w:w="0" w:type="dxa"/>
                    <w:bottom w:w="0" w:type="dxa"/>
                    <w:right w:w="0" w:type="dxa"/>
                  </w:tcMar>
                  <w:vAlign w:val="center"/>
                </w:tcPr>
                <w:p w14:paraId="12F99AB2">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-19.9</w:t>
                  </w:r>
                </w:p>
              </w:tc>
              <w:tc>
                <w:tcPr>
                  <w:tcW w:w="117" w:type="pct"/>
                  <w:tcBorders>
                    <w:tl2br w:val="nil"/>
                    <w:tr2bl w:val="nil"/>
                  </w:tcBorders>
                  <w:shd w:val="clear" w:color="auto" w:fill="FFFFFF"/>
                  <w:tcMar>
                    <w:top w:w="0" w:type="dxa"/>
                    <w:left w:w="0" w:type="dxa"/>
                    <w:bottom w:w="0" w:type="dxa"/>
                    <w:right w:w="0" w:type="dxa"/>
                  </w:tcMar>
                  <w:vAlign w:val="center"/>
                </w:tcPr>
                <w:p w14:paraId="6166AD2B">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w:t>
                  </w:r>
                </w:p>
              </w:tc>
              <w:tc>
                <w:tcPr>
                  <w:tcW w:w="160" w:type="pct"/>
                  <w:tcBorders>
                    <w:tl2br w:val="nil"/>
                    <w:tr2bl w:val="nil"/>
                  </w:tcBorders>
                  <w:shd w:val="clear" w:color="auto" w:fill="FFFFFF"/>
                  <w:tcMar>
                    <w:top w:w="0" w:type="dxa"/>
                    <w:left w:w="0" w:type="dxa"/>
                    <w:bottom w:w="0" w:type="dxa"/>
                    <w:right w:w="0" w:type="dxa"/>
                  </w:tcMar>
                  <w:vAlign w:val="center"/>
                </w:tcPr>
                <w:p w14:paraId="4EDA11B3">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70.7</w:t>
                  </w:r>
                </w:p>
              </w:tc>
              <w:tc>
                <w:tcPr>
                  <w:tcW w:w="160" w:type="pct"/>
                  <w:tcBorders>
                    <w:tl2br w:val="nil"/>
                    <w:tr2bl w:val="nil"/>
                  </w:tcBorders>
                  <w:shd w:val="clear" w:color="auto" w:fill="FFFFFF"/>
                  <w:tcMar>
                    <w:top w:w="0" w:type="dxa"/>
                    <w:left w:w="0" w:type="dxa"/>
                    <w:bottom w:w="0" w:type="dxa"/>
                    <w:right w:w="0" w:type="dxa"/>
                  </w:tcMar>
                  <w:vAlign w:val="center"/>
                </w:tcPr>
                <w:p w14:paraId="3FD4389D">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20.8</w:t>
                  </w:r>
                </w:p>
              </w:tc>
              <w:tc>
                <w:tcPr>
                  <w:tcW w:w="160" w:type="pct"/>
                  <w:tcBorders>
                    <w:tl2br w:val="nil"/>
                    <w:tr2bl w:val="nil"/>
                  </w:tcBorders>
                  <w:shd w:val="clear" w:color="auto" w:fill="FFFFFF"/>
                  <w:tcMar>
                    <w:top w:w="0" w:type="dxa"/>
                    <w:left w:w="0" w:type="dxa"/>
                    <w:bottom w:w="0" w:type="dxa"/>
                    <w:right w:w="0" w:type="dxa"/>
                  </w:tcMar>
                  <w:vAlign w:val="center"/>
                </w:tcPr>
                <w:p w14:paraId="7058AD1B">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26.2</w:t>
                  </w:r>
                </w:p>
              </w:tc>
              <w:tc>
                <w:tcPr>
                  <w:tcW w:w="160" w:type="pct"/>
                  <w:tcBorders>
                    <w:tl2br w:val="nil"/>
                    <w:tr2bl w:val="nil"/>
                  </w:tcBorders>
                  <w:shd w:val="clear" w:color="auto" w:fill="FFFFFF"/>
                  <w:tcMar>
                    <w:top w:w="0" w:type="dxa"/>
                    <w:left w:w="0" w:type="dxa"/>
                    <w:bottom w:w="0" w:type="dxa"/>
                    <w:right w:w="0" w:type="dxa"/>
                  </w:tcMar>
                  <w:vAlign w:val="center"/>
                </w:tcPr>
                <w:p w14:paraId="3FF71773">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6.4</w:t>
                  </w:r>
                </w:p>
              </w:tc>
              <w:tc>
                <w:tcPr>
                  <w:tcW w:w="160" w:type="pct"/>
                  <w:tcBorders>
                    <w:tl2br w:val="nil"/>
                    <w:tr2bl w:val="nil"/>
                  </w:tcBorders>
                  <w:shd w:val="clear" w:color="auto" w:fill="FFFFFF"/>
                  <w:tcMar>
                    <w:top w:w="0" w:type="dxa"/>
                    <w:left w:w="0" w:type="dxa"/>
                    <w:bottom w:w="0" w:type="dxa"/>
                    <w:right w:w="0" w:type="dxa"/>
                  </w:tcMar>
                  <w:vAlign w:val="center"/>
                </w:tcPr>
                <w:p w14:paraId="0F1DD844">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73.7</w:t>
                  </w:r>
                </w:p>
              </w:tc>
              <w:tc>
                <w:tcPr>
                  <w:tcW w:w="160" w:type="pct"/>
                  <w:tcBorders>
                    <w:tl2br w:val="nil"/>
                    <w:tr2bl w:val="nil"/>
                  </w:tcBorders>
                  <w:shd w:val="clear" w:color="auto" w:fill="FFFFFF"/>
                  <w:tcMar>
                    <w:top w:w="0" w:type="dxa"/>
                    <w:left w:w="0" w:type="dxa"/>
                    <w:bottom w:w="0" w:type="dxa"/>
                    <w:right w:w="0" w:type="dxa"/>
                  </w:tcMar>
                  <w:vAlign w:val="center"/>
                </w:tcPr>
                <w:p w14:paraId="6F98FB96">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73.8</w:t>
                  </w:r>
                </w:p>
              </w:tc>
              <w:tc>
                <w:tcPr>
                  <w:tcW w:w="160" w:type="pct"/>
                  <w:tcBorders>
                    <w:tl2br w:val="nil"/>
                    <w:tr2bl w:val="nil"/>
                  </w:tcBorders>
                  <w:shd w:val="clear" w:color="auto" w:fill="FFFFFF"/>
                  <w:tcMar>
                    <w:top w:w="0" w:type="dxa"/>
                    <w:left w:w="0" w:type="dxa"/>
                    <w:bottom w:w="0" w:type="dxa"/>
                    <w:right w:w="0" w:type="dxa"/>
                  </w:tcMar>
                  <w:vAlign w:val="center"/>
                </w:tcPr>
                <w:p w14:paraId="59E6D4DC">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73.8</w:t>
                  </w:r>
                </w:p>
              </w:tc>
              <w:tc>
                <w:tcPr>
                  <w:tcW w:w="160" w:type="pct"/>
                  <w:tcBorders>
                    <w:tl2br w:val="nil"/>
                    <w:tr2bl w:val="nil"/>
                  </w:tcBorders>
                  <w:shd w:val="clear" w:color="auto" w:fill="FFFFFF"/>
                  <w:tcMar>
                    <w:top w:w="0" w:type="dxa"/>
                    <w:left w:w="0" w:type="dxa"/>
                    <w:bottom w:w="0" w:type="dxa"/>
                    <w:right w:w="0" w:type="dxa"/>
                  </w:tcMar>
                  <w:vAlign w:val="center"/>
                </w:tcPr>
                <w:p w14:paraId="21352F13">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74.1</w:t>
                  </w:r>
                </w:p>
              </w:tc>
              <w:tc>
                <w:tcPr>
                  <w:tcW w:w="204" w:type="pct"/>
                  <w:tcBorders>
                    <w:tl2br w:val="nil"/>
                    <w:tr2bl w:val="nil"/>
                  </w:tcBorders>
                  <w:shd w:val="clear" w:color="auto" w:fill="FFFFFF"/>
                  <w:tcMar>
                    <w:top w:w="0" w:type="dxa"/>
                    <w:left w:w="0" w:type="dxa"/>
                    <w:bottom w:w="0" w:type="dxa"/>
                    <w:right w:w="0" w:type="dxa"/>
                  </w:tcMar>
                  <w:vAlign w:val="center"/>
                </w:tcPr>
                <w:p w14:paraId="40D8BFA5">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8</w:t>
                  </w:r>
                </w:p>
              </w:tc>
              <w:tc>
                <w:tcPr>
                  <w:tcW w:w="160" w:type="pct"/>
                  <w:tcBorders>
                    <w:tl2br w:val="nil"/>
                    <w:tr2bl w:val="nil"/>
                  </w:tcBorders>
                  <w:shd w:val="clear" w:color="auto" w:fill="FFFFFF"/>
                  <w:tcMar>
                    <w:top w:w="0" w:type="dxa"/>
                    <w:left w:w="0" w:type="dxa"/>
                    <w:bottom w:w="0" w:type="dxa"/>
                    <w:right w:w="0" w:type="dxa"/>
                  </w:tcMar>
                  <w:vAlign w:val="center"/>
                </w:tcPr>
                <w:p w14:paraId="4CC1F4DD">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0" w:type="pct"/>
                  <w:tcBorders>
                    <w:tl2br w:val="nil"/>
                    <w:tr2bl w:val="nil"/>
                  </w:tcBorders>
                  <w:shd w:val="clear" w:color="auto" w:fill="FFFFFF"/>
                  <w:tcMar>
                    <w:top w:w="0" w:type="dxa"/>
                    <w:left w:w="0" w:type="dxa"/>
                    <w:bottom w:w="0" w:type="dxa"/>
                    <w:right w:w="0" w:type="dxa"/>
                  </w:tcMar>
                  <w:vAlign w:val="center"/>
                </w:tcPr>
                <w:p w14:paraId="038DDAD4">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0" w:type="pct"/>
                  <w:tcBorders>
                    <w:tl2br w:val="nil"/>
                    <w:tr2bl w:val="nil"/>
                  </w:tcBorders>
                  <w:shd w:val="clear" w:color="auto" w:fill="FFFFFF"/>
                  <w:tcMar>
                    <w:top w:w="0" w:type="dxa"/>
                    <w:left w:w="0" w:type="dxa"/>
                    <w:bottom w:w="0" w:type="dxa"/>
                    <w:right w:w="0" w:type="dxa"/>
                  </w:tcMar>
                  <w:vAlign w:val="center"/>
                </w:tcPr>
                <w:p w14:paraId="55C9DB91">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0" w:type="pct"/>
                  <w:tcBorders>
                    <w:tl2br w:val="nil"/>
                    <w:tr2bl w:val="nil"/>
                  </w:tcBorders>
                  <w:shd w:val="clear" w:color="auto" w:fill="FFFFFF"/>
                  <w:tcMar>
                    <w:top w:w="0" w:type="dxa"/>
                    <w:left w:w="0" w:type="dxa"/>
                    <w:bottom w:w="0" w:type="dxa"/>
                    <w:right w:w="0" w:type="dxa"/>
                  </w:tcMar>
                  <w:vAlign w:val="center"/>
                </w:tcPr>
                <w:p w14:paraId="2A7A65D6">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58" w:type="pct"/>
                  <w:tcBorders>
                    <w:tl2br w:val="nil"/>
                    <w:tr2bl w:val="nil"/>
                  </w:tcBorders>
                  <w:shd w:val="clear" w:color="auto" w:fill="FFFFFF"/>
                  <w:tcMar>
                    <w:top w:w="0" w:type="dxa"/>
                    <w:left w:w="0" w:type="dxa"/>
                    <w:bottom w:w="0" w:type="dxa"/>
                    <w:right w:w="0" w:type="dxa"/>
                  </w:tcMar>
                  <w:vAlign w:val="center"/>
                </w:tcPr>
                <w:p w14:paraId="236D1DE9">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61.7</w:t>
                  </w:r>
                </w:p>
              </w:tc>
              <w:tc>
                <w:tcPr>
                  <w:tcW w:w="159" w:type="pct"/>
                  <w:tcBorders>
                    <w:tl2br w:val="nil"/>
                    <w:tr2bl w:val="nil"/>
                  </w:tcBorders>
                  <w:shd w:val="clear" w:color="auto" w:fill="FFFFFF"/>
                  <w:tcMar>
                    <w:top w:w="0" w:type="dxa"/>
                    <w:left w:w="0" w:type="dxa"/>
                    <w:bottom w:w="0" w:type="dxa"/>
                    <w:right w:w="0" w:type="dxa"/>
                  </w:tcMar>
                  <w:vAlign w:val="center"/>
                </w:tcPr>
                <w:p w14:paraId="3EE4AFE8">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61.8</w:t>
                  </w:r>
                </w:p>
              </w:tc>
              <w:tc>
                <w:tcPr>
                  <w:tcW w:w="159" w:type="pct"/>
                  <w:tcBorders>
                    <w:tl2br w:val="nil"/>
                    <w:tr2bl w:val="nil"/>
                  </w:tcBorders>
                  <w:shd w:val="clear" w:color="auto" w:fill="FFFFFF"/>
                  <w:tcMar>
                    <w:top w:w="0" w:type="dxa"/>
                    <w:left w:w="0" w:type="dxa"/>
                    <w:bottom w:w="0" w:type="dxa"/>
                    <w:right w:w="0" w:type="dxa"/>
                  </w:tcMar>
                  <w:vAlign w:val="center"/>
                </w:tcPr>
                <w:p w14:paraId="5665DA29">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61.8</w:t>
                  </w:r>
                </w:p>
              </w:tc>
              <w:tc>
                <w:tcPr>
                  <w:tcW w:w="159" w:type="pct"/>
                  <w:tcBorders>
                    <w:tl2br w:val="nil"/>
                    <w:tr2bl w:val="nil"/>
                  </w:tcBorders>
                  <w:shd w:val="clear" w:color="auto" w:fill="FFFFFF"/>
                  <w:tcMar>
                    <w:top w:w="0" w:type="dxa"/>
                    <w:left w:w="0" w:type="dxa"/>
                    <w:bottom w:w="0" w:type="dxa"/>
                    <w:right w:w="0" w:type="dxa"/>
                  </w:tcMar>
                  <w:vAlign w:val="center"/>
                </w:tcPr>
                <w:p w14:paraId="3172674C">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62.1</w:t>
                  </w:r>
                </w:p>
              </w:tc>
              <w:tc>
                <w:tcPr>
                  <w:tcW w:w="88" w:type="pct"/>
                  <w:tcBorders>
                    <w:tl2br w:val="nil"/>
                    <w:tr2bl w:val="nil"/>
                  </w:tcBorders>
                  <w:shd w:val="clear" w:color="auto" w:fill="FFFFFF"/>
                  <w:tcMar>
                    <w:top w:w="0" w:type="dxa"/>
                    <w:left w:w="0" w:type="dxa"/>
                    <w:bottom w:w="0" w:type="dxa"/>
                    <w:right w:w="0" w:type="dxa"/>
                  </w:tcMar>
                  <w:vAlign w:val="center"/>
                </w:tcPr>
                <w:p w14:paraId="152EACA0">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w:t>
                  </w:r>
                </w:p>
              </w:tc>
            </w:tr>
            <w:tr w14:paraId="002D05C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0" w:hRule="atLeast"/>
              </w:trPr>
              <w:tc>
                <w:tcPr>
                  <w:tcW w:w="204" w:type="pct"/>
                  <w:tcBorders>
                    <w:tl2br w:val="nil"/>
                    <w:tr2bl w:val="nil"/>
                  </w:tcBorders>
                  <w:shd w:val="clear" w:color="auto" w:fill="FFFFFF"/>
                  <w:tcMar>
                    <w:top w:w="0" w:type="dxa"/>
                    <w:left w:w="0" w:type="dxa"/>
                    <w:bottom w:w="0" w:type="dxa"/>
                    <w:right w:w="0" w:type="dxa"/>
                  </w:tcMar>
                  <w:vAlign w:val="center"/>
                </w:tcPr>
                <w:p w14:paraId="65A8AEFF">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8</w:t>
                  </w:r>
                </w:p>
              </w:tc>
              <w:tc>
                <w:tcPr>
                  <w:tcW w:w="204" w:type="pct"/>
                  <w:tcBorders>
                    <w:tl2br w:val="nil"/>
                    <w:tr2bl w:val="nil"/>
                  </w:tcBorders>
                  <w:shd w:val="clear" w:color="auto" w:fill="FFFFFF"/>
                  <w:tcMar>
                    <w:top w:w="0" w:type="dxa"/>
                    <w:left w:w="0" w:type="dxa"/>
                    <w:bottom w:w="0" w:type="dxa"/>
                    <w:right w:w="0" w:type="dxa"/>
                  </w:tcMar>
                  <w:vAlign w:val="center"/>
                </w:tcPr>
                <w:p w14:paraId="1A0CFB47">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临港高新产业园区-15#厂房</w:t>
                  </w:r>
                </w:p>
              </w:tc>
              <w:tc>
                <w:tcPr>
                  <w:tcW w:w="517" w:type="pct"/>
                  <w:tcBorders>
                    <w:tl2br w:val="nil"/>
                    <w:tr2bl w:val="nil"/>
                  </w:tcBorders>
                  <w:shd w:val="clear" w:color="auto" w:fill="FFFFFF"/>
                  <w:tcMar>
                    <w:top w:w="0" w:type="dxa"/>
                    <w:left w:w="0" w:type="dxa"/>
                    <w:bottom w:w="0" w:type="dxa"/>
                    <w:right w:w="0" w:type="dxa"/>
                  </w:tcMar>
                  <w:vAlign w:val="center"/>
                </w:tcPr>
                <w:p w14:paraId="565F9D31">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搅拌摩擦焊组,6台（按点声源组预测）</w:t>
                  </w:r>
                </w:p>
              </w:tc>
              <w:tc>
                <w:tcPr>
                  <w:tcW w:w="204" w:type="pct"/>
                  <w:tcBorders>
                    <w:tl2br w:val="nil"/>
                    <w:tr2bl w:val="nil"/>
                  </w:tcBorders>
                  <w:shd w:val="clear" w:color="auto" w:fill="FFFFFF"/>
                  <w:tcMar>
                    <w:top w:w="0" w:type="dxa"/>
                    <w:left w:w="0" w:type="dxa"/>
                    <w:bottom w:w="0" w:type="dxa"/>
                    <w:right w:w="0" w:type="dxa"/>
                  </w:tcMar>
                  <w:vAlign w:val="center"/>
                </w:tcPr>
                <w:p w14:paraId="77C5EBB0">
                  <w:pPr>
                    <w:rPr>
                      <w:rFonts w:hint="default" w:ascii="Times New Roman" w:hAnsi="Times New Roman" w:eastAsia="宋体" w:cs="Times New Roman"/>
                      <w:color w:val="auto"/>
                      <w:u w:val="none" w:color="auto"/>
                    </w:rPr>
                  </w:pPr>
                </w:p>
              </w:tc>
              <w:tc>
                <w:tcPr>
                  <w:tcW w:w="270" w:type="pct"/>
                  <w:tcBorders>
                    <w:tl2br w:val="nil"/>
                    <w:tr2bl w:val="nil"/>
                  </w:tcBorders>
                  <w:shd w:val="clear" w:color="auto" w:fill="FFFFFF"/>
                  <w:tcMar>
                    <w:top w:w="0" w:type="dxa"/>
                    <w:left w:w="0" w:type="dxa"/>
                    <w:bottom w:w="0" w:type="dxa"/>
                    <w:right w:w="0" w:type="dxa"/>
                  </w:tcMar>
                  <w:vAlign w:val="center"/>
                </w:tcPr>
                <w:p w14:paraId="2ECE9C21">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92.5（等效后：100.3)</w:t>
                  </w:r>
                </w:p>
              </w:tc>
              <w:tc>
                <w:tcPr>
                  <w:tcW w:w="204" w:type="pct"/>
                  <w:vMerge w:val="continue"/>
                  <w:tcBorders>
                    <w:tl2br w:val="nil"/>
                    <w:tr2bl w:val="nil"/>
                  </w:tcBorders>
                  <w:shd w:val="clear" w:color="auto" w:fill="FFFFFF"/>
                  <w:tcMar>
                    <w:top w:w="0" w:type="dxa"/>
                    <w:left w:w="0" w:type="dxa"/>
                    <w:bottom w:w="0" w:type="dxa"/>
                    <w:right w:w="0" w:type="dxa"/>
                  </w:tcMar>
                  <w:vAlign w:val="center"/>
                </w:tcPr>
                <w:p w14:paraId="57FC3404">
                  <w:pPr>
                    <w:rPr>
                      <w:rFonts w:hint="default" w:ascii="Times New Roman" w:hAnsi="Times New Roman" w:eastAsia="宋体" w:cs="Times New Roman"/>
                      <w:color w:val="auto"/>
                      <w:u w:val="none" w:color="auto"/>
                    </w:rPr>
                  </w:pPr>
                </w:p>
              </w:tc>
              <w:tc>
                <w:tcPr>
                  <w:tcW w:w="234" w:type="pct"/>
                  <w:tcBorders>
                    <w:tl2br w:val="nil"/>
                    <w:tr2bl w:val="nil"/>
                  </w:tcBorders>
                  <w:shd w:val="clear" w:color="auto" w:fill="FFFFFF"/>
                  <w:tcMar>
                    <w:top w:w="0" w:type="dxa"/>
                    <w:left w:w="0" w:type="dxa"/>
                    <w:bottom w:w="0" w:type="dxa"/>
                    <w:right w:w="0" w:type="dxa"/>
                  </w:tcMar>
                  <w:vAlign w:val="center"/>
                </w:tcPr>
                <w:p w14:paraId="19258B26">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24.3</w:t>
                  </w:r>
                </w:p>
              </w:tc>
              <w:tc>
                <w:tcPr>
                  <w:tcW w:w="189" w:type="pct"/>
                  <w:tcBorders>
                    <w:tl2br w:val="nil"/>
                    <w:tr2bl w:val="nil"/>
                  </w:tcBorders>
                  <w:shd w:val="clear" w:color="auto" w:fill="FFFFFF"/>
                  <w:tcMar>
                    <w:top w:w="0" w:type="dxa"/>
                    <w:left w:w="0" w:type="dxa"/>
                    <w:bottom w:w="0" w:type="dxa"/>
                    <w:right w:w="0" w:type="dxa"/>
                  </w:tcMar>
                  <w:vAlign w:val="center"/>
                </w:tcPr>
                <w:p w14:paraId="1FA9D0EC">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-27.8</w:t>
                  </w:r>
                </w:p>
              </w:tc>
              <w:tc>
                <w:tcPr>
                  <w:tcW w:w="117" w:type="pct"/>
                  <w:tcBorders>
                    <w:tl2br w:val="nil"/>
                    <w:tr2bl w:val="nil"/>
                  </w:tcBorders>
                  <w:shd w:val="clear" w:color="auto" w:fill="FFFFFF"/>
                  <w:tcMar>
                    <w:top w:w="0" w:type="dxa"/>
                    <w:left w:w="0" w:type="dxa"/>
                    <w:bottom w:w="0" w:type="dxa"/>
                    <w:right w:w="0" w:type="dxa"/>
                  </w:tcMar>
                  <w:vAlign w:val="center"/>
                </w:tcPr>
                <w:p w14:paraId="08AD10D9">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w:t>
                  </w:r>
                </w:p>
              </w:tc>
              <w:tc>
                <w:tcPr>
                  <w:tcW w:w="160" w:type="pct"/>
                  <w:tcBorders>
                    <w:tl2br w:val="nil"/>
                    <w:tr2bl w:val="nil"/>
                  </w:tcBorders>
                  <w:shd w:val="clear" w:color="auto" w:fill="FFFFFF"/>
                  <w:tcMar>
                    <w:top w:w="0" w:type="dxa"/>
                    <w:left w:w="0" w:type="dxa"/>
                    <w:bottom w:w="0" w:type="dxa"/>
                    <w:right w:w="0" w:type="dxa"/>
                  </w:tcMar>
                  <w:vAlign w:val="center"/>
                </w:tcPr>
                <w:p w14:paraId="396F8318">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82.9</w:t>
                  </w:r>
                </w:p>
              </w:tc>
              <w:tc>
                <w:tcPr>
                  <w:tcW w:w="160" w:type="pct"/>
                  <w:tcBorders>
                    <w:tl2br w:val="nil"/>
                    <w:tr2bl w:val="nil"/>
                  </w:tcBorders>
                  <w:shd w:val="clear" w:color="auto" w:fill="FFFFFF"/>
                  <w:tcMar>
                    <w:top w:w="0" w:type="dxa"/>
                    <w:left w:w="0" w:type="dxa"/>
                    <w:bottom w:w="0" w:type="dxa"/>
                    <w:right w:w="0" w:type="dxa"/>
                  </w:tcMar>
                  <w:vAlign w:val="center"/>
                </w:tcPr>
                <w:p w14:paraId="3B0BDEA0">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11.8</w:t>
                  </w:r>
                </w:p>
              </w:tc>
              <w:tc>
                <w:tcPr>
                  <w:tcW w:w="160" w:type="pct"/>
                  <w:tcBorders>
                    <w:tl2br w:val="nil"/>
                    <w:tr2bl w:val="nil"/>
                  </w:tcBorders>
                  <w:shd w:val="clear" w:color="auto" w:fill="FFFFFF"/>
                  <w:tcMar>
                    <w:top w:w="0" w:type="dxa"/>
                    <w:left w:w="0" w:type="dxa"/>
                    <w:bottom w:w="0" w:type="dxa"/>
                    <w:right w:w="0" w:type="dxa"/>
                  </w:tcMar>
                  <w:vAlign w:val="center"/>
                </w:tcPr>
                <w:p w14:paraId="25D887B9">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14.1</w:t>
                  </w:r>
                </w:p>
              </w:tc>
              <w:tc>
                <w:tcPr>
                  <w:tcW w:w="160" w:type="pct"/>
                  <w:tcBorders>
                    <w:tl2br w:val="nil"/>
                    <w:tr2bl w:val="nil"/>
                  </w:tcBorders>
                  <w:shd w:val="clear" w:color="auto" w:fill="FFFFFF"/>
                  <w:tcMar>
                    <w:top w:w="0" w:type="dxa"/>
                    <w:left w:w="0" w:type="dxa"/>
                    <w:bottom w:w="0" w:type="dxa"/>
                    <w:right w:w="0" w:type="dxa"/>
                  </w:tcMar>
                  <w:vAlign w:val="center"/>
                </w:tcPr>
                <w:p w14:paraId="65CBFD12">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15.5</w:t>
                  </w:r>
                </w:p>
              </w:tc>
              <w:tc>
                <w:tcPr>
                  <w:tcW w:w="160" w:type="pct"/>
                  <w:tcBorders>
                    <w:tl2br w:val="nil"/>
                    <w:tr2bl w:val="nil"/>
                  </w:tcBorders>
                  <w:shd w:val="clear" w:color="auto" w:fill="FFFFFF"/>
                  <w:tcMar>
                    <w:top w:w="0" w:type="dxa"/>
                    <w:left w:w="0" w:type="dxa"/>
                    <w:bottom w:w="0" w:type="dxa"/>
                    <w:right w:w="0" w:type="dxa"/>
                  </w:tcMar>
                  <w:vAlign w:val="center"/>
                </w:tcPr>
                <w:p w14:paraId="5D55F53D">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83.5</w:t>
                  </w:r>
                </w:p>
              </w:tc>
              <w:tc>
                <w:tcPr>
                  <w:tcW w:w="160" w:type="pct"/>
                  <w:tcBorders>
                    <w:tl2br w:val="nil"/>
                    <w:tr2bl w:val="nil"/>
                  </w:tcBorders>
                  <w:shd w:val="clear" w:color="auto" w:fill="FFFFFF"/>
                  <w:tcMar>
                    <w:top w:w="0" w:type="dxa"/>
                    <w:left w:w="0" w:type="dxa"/>
                    <w:bottom w:w="0" w:type="dxa"/>
                    <w:right w:w="0" w:type="dxa"/>
                  </w:tcMar>
                  <w:vAlign w:val="center"/>
                </w:tcPr>
                <w:p w14:paraId="475696C1">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83.6</w:t>
                  </w:r>
                </w:p>
              </w:tc>
              <w:tc>
                <w:tcPr>
                  <w:tcW w:w="160" w:type="pct"/>
                  <w:tcBorders>
                    <w:tl2br w:val="nil"/>
                    <w:tr2bl w:val="nil"/>
                  </w:tcBorders>
                  <w:shd w:val="clear" w:color="auto" w:fill="FFFFFF"/>
                  <w:tcMar>
                    <w:top w:w="0" w:type="dxa"/>
                    <w:left w:w="0" w:type="dxa"/>
                    <w:bottom w:w="0" w:type="dxa"/>
                    <w:right w:w="0" w:type="dxa"/>
                  </w:tcMar>
                  <w:vAlign w:val="center"/>
                </w:tcPr>
                <w:p w14:paraId="681A1A72">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83.6</w:t>
                  </w:r>
                </w:p>
              </w:tc>
              <w:tc>
                <w:tcPr>
                  <w:tcW w:w="160" w:type="pct"/>
                  <w:tcBorders>
                    <w:tl2br w:val="nil"/>
                    <w:tr2bl w:val="nil"/>
                  </w:tcBorders>
                  <w:shd w:val="clear" w:color="auto" w:fill="FFFFFF"/>
                  <w:tcMar>
                    <w:top w:w="0" w:type="dxa"/>
                    <w:left w:w="0" w:type="dxa"/>
                    <w:bottom w:w="0" w:type="dxa"/>
                    <w:right w:w="0" w:type="dxa"/>
                  </w:tcMar>
                  <w:vAlign w:val="center"/>
                </w:tcPr>
                <w:p w14:paraId="5EFC776D">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83.6</w:t>
                  </w:r>
                </w:p>
              </w:tc>
              <w:tc>
                <w:tcPr>
                  <w:tcW w:w="204" w:type="pct"/>
                  <w:tcBorders>
                    <w:tl2br w:val="nil"/>
                    <w:tr2bl w:val="nil"/>
                  </w:tcBorders>
                  <w:shd w:val="clear" w:color="auto" w:fill="FFFFFF"/>
                  <w:tcMar>
                    <w:top w:w="0" w:type="dxa"/>
                    <w:left w:w="0" w:type="dxa"/>
                    <w:bottom w:w="0" w:type="dxa"/>
                    <w:right w:w="0" w:type="dxa"/>
                  </w:tcMar>
                  <w:vAlign w:val="center"/>
                </w:tcPr>
                <w:p w14:paraId="50DD4C51">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8</w:t>
                  </w:r>
                </w:p>
              </w:tc>
              <w:tc>
                <w:tcPr>
                  <w:tcW w:w="160" w:type="pct"/>
                  <w:tcBorders>
                    <w:tl2br w:val="nil"/>
                    <w:tr2bl w:val="nil"/>
                  </w:tcBorders>
                  <w:shd w:val="clear" w:color="auto" w:fill="FFFFFF"/>
                  <w:tcMar>
                    <w:top w:w="0" w:type="dxa"/>
                    <w:left w:w="0" w:type="dxa"/>
                    <w:bottom w:w="0" w:type="dxa"/>
                    <w:right w:w="0" w:type="dxa"/>
                  </w:tcMar>
                  <w:vAlign w:val="center"/>
                </w:tcPr>
                <w:p w14:paraId="4572CA4D">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0" w:type="pct"/>
                  <w:tcBorders>
                    <w:tl2br w:val="nil"/>
                    <w:tr2bl w:val="nil"/>
                  </w:tcBorders>
                  <w:shd w:val="clear" w:color="auto" w:fill="FFFFFF"/>
                  <w:tcMar>
                    <w:top w:w="0" w:type="dxa"/>
                    <w:left w:w="0" w:type="dxa"/>
                    <w:bottom w:w="0" w:type="dxa"/>
                    <w:right w:w="0" w:type="dxa"/>
                  </w:tcMar>
                  <w:vAlign w:val="center"/>
                </w:tcPr>
                <w:p w14:paraId="5A7E3CE0">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0" w:type="pct"/>
                  <w:tcBorders>
                    <w:tl2br w:val="nil"/>
                    <w:tr2bl w:val="nil"/>
                  </w:tcBorders>
                  <w:shd w:val="clear" w:color="auto" w:fill="FFFFFF"/>
                  <w:tcMar>
                    <w:top w:w="0" w:type="dxa"/>
                    <w:left w:w="0" w:type="dxa"/>
                    <w:bottom w:w="0" w:type="dxa"/>
                    <w:right w:w="0" w:type="dxa"/>
                  </w:tcMar>
                  <w:vAlign w:val="center"/>
                </w:tcPr>
                <w:p w14:paraId="28608D15">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0" w:type="pct"/>
                  <w:tcBorders>
                    <w:tl2br w:val="nil"/>
                    <w:tr2bl w:val="nil"/>
                  </w:tcBorders>
                  <w:shd w:val="clear" w:color="auto" w:fill="FFFFFF"/>
                  <w:tcMar>
                    <w:top w:w="0" w:type="dxa"/>
                    <w:left w:w="0" w:type="dxa"/>
                    <w:bottom w:w="0" w:type="dxa"/>
                    <w:right w:w="0" w:type="dxa"/>
                  </w:tcMar>
                  <w:vAlign w:val="center"/>
                </w:tcPr>
                <w:p w14:paraId="4570A2E2">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58" w:type="pct"/>
                  <w:tcBorders>
                    <w:tl2br w:val="nil"/>
                    <w:tr2bl w:val="nil"/>
                  </w:tcBorders>
                  <w:shd w:val="clear" w:color="auto" w:fill="FFFFFF"/>
                  <w:tcMar>
                    <w:top w:w="0" w:type="dxa"/>
                    <w:left w:w="0" w:type="dxa"/>
                    <w:bottom w:w="0" w:type="dxa"/>
                    <w:right w:w="0" w:type="dxa"/>
                  </w:tcMar>
                  <w:vAlign w:val="center"/>
                </w:tcPr>
                <w:p w14:paraId="06E8D221">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71.5</w:t>
                  </w:r>
                </w:p>
              </w:tc>
              <w:tc>
                <w:tcPr>
                  <w:tcW w:w="159" w:type="pct"/>
                  <w:tcBorders>
                    <w:tl2br w:val="nil"/>
                    <w:tr2bl w:val="nil"/>
                  </w:tcBorders>
                  <w:shd w:val="clear" w:color="auto" w:fill="FFFFFF"/>
                  <w:tcMar>
                    <w:top w:w="0" w:type="dxa"/>
                    <w:left w:w="0" w:type="dxa"/>
                    <w:bottom w:w="0" w:type="dxa"/>
                    <w:right w:w="0" w:type="dxa"/>
                  </w:tcMar>
                  <w:vAlign w:val="center"/>
                </w:tcPr>
                <w:p w14:paraId="2456170D">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71.6</w:t>
                  </w:r>
                </w:p>
              </w:tc>
              <w:tc>
                <w:tcPr>
                  <w:tcW w:w="159" w:type="pct"/>
                  <w:tcBorders>
                    <w:tl2br w:val="nil"/>
                    <w:tr2bl w:val="nil"/>
                  </w:tcBorders>
                  <w:shd w:val="clear" w:color="auto" w:fill="FFFFFF"/>
                  <w:tcMar>
                    <w:top w:w="0" w:type="dxa"/>
                    <w:left w:w="0" w:type="dxa"/>
                    <w:bottom w:w="0" w:type="dxa"/>
                    <w:right w:w="0" w:type="dxa"/>
                  </w:tcMar>
                  <w:vAlign w:val="center"/>
                </w:tcPr>
                <w:p w14:paraId="1C2D4E15">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71.6</w:t>
                  </w:r>
                </w:p>
              </w:tc>
              <w:tc>
                <w:tcPr>
                  <w:tcW w:w="159" w:type="pct"/>
                  <w:tcBorders>
                    <w:tl2br w:val="nil"/>
                    <w:tr2bl w:val="nil"/>
                  </w:tcBorders>
                  <w:shd w:val="clear" w:color="auto" w:fill="FFFFFF"/>
                  <w:tcMar>
                    <w:top w:w="0" w:type="dxa"/>
                    <w:left w:w="0" w:type="dxa"/>
                    <w:bottom w:w="0" w:type="dxa"/>
                    <w:right w:w="0" w:type="dxa"/>
                  </w:tcMar>
                  <w:vAlign w:val="center"/>
                </w:tcPr>
                <w:p w14:paraId="38FDD9A9">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71.6</w:t>
                  </w:r>
                </w:p>
              </w:tc>
              <w:tc>
                <w:tcPr>
                  <w:tcW w:w="88" w:type="pct"/>
                  <w:tcBorders>
                    <w:tl2br w:val="nil"/>
                    <w:tr2bl w:val="nil"/>
                  </w:tcBorders>
                  <w:shd w:val="clear" w:color="auto" w:fill="FFFFFF"/>
                  <w:tcMar>
                    <w:top w:w="0" w:type="dxa"/>
                    <w:left w:w="0" w:type="dxa"/>
                    <w:bottom w:w="0" w:type="dxa"/>
                    <w:right w:w="0" w:type="dxa"/>
                  </w:tcMar>
                  <w:vAlign w:val="center"/>
                </w:tcPr>
                <w:p w14:paraId="69EFEB26">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w:t>
                  </w:r>
                </w:p>
              </w:tc>
            </w:tr>
            <w:tr w14:paraId="0B5763B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0" w:hRule="atLeast"/>
              </w:trPr>
              <w:tc>
                <w:tcPr>
                  <w:tcW w:w="204" w:type="pct"/>
                  <w:tcBorders>
                    <w:tl2br w:val="nil"/>
                    <w:tr2bl w:val="nil"/>
                  </w:tcBorders>
                  <w:shd w:val="clear" w:color="auto" w:fill="FFFFFF"/>
                  <w:tcMar>
                    <w:top w:w="0" w:type="dxa"/>
                    <w:left w:w="0" w:type="dxa"/>
                    <w:bottom w:w="0" w:type="dxa"/>
                    <w:right w:w="0" w:type="dxa"/>
                  </w:tcMar>
                  <w:vAlign w:val="center"/>
                </w:tcPr>
                <w:p w14:paraId="4BC3B031">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9</w:t>
                  </w:r>
                </w:p>
              </w:tc>
              <w:tc>
                <w:tcPr>
                  <w:tcW w:w="204" w:type="pct"/>
                  <w:tcBorders>
                    <w:tl2br w:val="nil"/>
                    <w:tr2bl w:val="nil"/>
                  </w:tcBorders>
                  <w:shd w:val="clear" w:color="auto" w:fill="FFFFFF"/>
                  <w:tcMar>
                    <w:top w:w="0" w:type="dxa"/>
                    <w:left w:w="0" w:type="dxa"/>
                    <w:bottom w:w="0" w:type="dxa"/>
                    <w:right w:w="0" w:type="dxa"/>
                  </w:tcMar>
                  <w:vAlign w:val="center"/>
                </w:tcPr>
                <w:p w14:paraId="28DC9186">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临港高新产业园区-15#厂房</w:t>
                  </w:r>
                </w:p>
              </w:tc>
              <w:tc>
                <w:tcPr>
                  <w:tcW w:w="517" w:type="pct"/>
                  <w:tcBorders>
                    <w:tl2br w:val="nil"/>
                    <w:tr2bl w:val="nil"/>
                  </w:tcBorders>
                  <w:shd w:val="clear" w:color="auto" w:fill="FFFFFF"/>
                  <w:tcMar>
                    <w:top w:w="0" w:type="dxa"/>
                    <w:left w:w="0" w:type="dxa"/>
                    <w:bottom w:w="0" w:type="dxa"/>
                    <w:right w:w="0" w:type="dxa"/>
                  </w:tcMar>
                  <w:vAlign w:val="center"/>
                </w:tcPr>
                <w:p w14:paraId="71866EF1">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水冷机,33台（按点声源组预测）</w:t>
                  </w:r>
                </w:p>
              </w:tc>
              <w:tc>
                <w:tcPr>
                  <w:tcW w:w="204" w:type="pct"/>
                  <w:tcBorders>
                    <w:tl2br w:val="nil"/>
                    <w:tr2bl w:val="nil"/>
                  </w:tcBorders>
                  <w:shd w:val="clear" w:color="auto" w:fill="FFFFFF"/>
                  <w:tcMar>
                    <w:top w:w="0" w:type="dxa"/>
                    <w:left w:w="0" w:type="dxa"/>
                    <w:bottom w:w="0" w:type="dxa"/>
                    <w:right w:w="0" w:type="dxa"/>
                  </w:tcMar>
                  <w:vAlign w:val="center"/>
                </w:tcPr>
                <w:p w14:paraId="4AEF4A72">
                  <w:pPr>
                    <w:rPr>
                      <w:rFonts w:hint="default" w:ascii="Times New Roman" w:hAnsi="Times New Roman" w:eastAsia="宋体" w:cs="Times New Roman"/>
                      <w:color w:val="auto"/>
                      <w:u w:val="none" w:color="auto"/>
                    </w:rPr>
                  </w:pPr>
                </w:p>
              </w:tc>
              <w:tc>
                <w:tcPr>
                  <w:tcW w:w="270" w:type="pct"/>
                  <w:tcBorders>
                    <w:tl2br w:val="nil"/>
                    <w:tr2bl w:val="nil"/>
                  </w:tcBorders>
                  <w:shd w:val="clear" w:color="auto" w:fill="FFFFFF"/>
                  <w:tcMar>
                    <w:top w:w="0" w:type="dxa"/>
                    <w:left w:w="0" w:type="dxa"/>
                    <w:bottom w:w="0" w:type="dxa"/>
                    <w:right w:w="0" w:type="dxa"/>
                  </w:tcMar>
                  <w:vAlign w:val="center"/>
                </w:tcPr>
                <w:p w14:paraId="25405DA3">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77.5（等效后：92.7)</w:t>
                  </w:r>
                </w:p>
              </w:tc>
              <w:tc>
                <w:tcPr>
                  <w:tcW w:w="204" w:type="pct"/>
                  <w:vMerge w:val="continue"/>
                  <w:tcBorders>
                    <w:tl2br w:val="nil"/>
                    <w:tr2bl w:val="nil"/>
                  </w:tcBorders>
                  <w:shd w:val="clear" w:color="auto" w:fill="FFFFFF"/>
                  <w:tcMar>
                    <w:top w:w="0" w:type="dxa"/>
                    <w:left w:w="0" w:type="dxa"/>
                    <w:bottom w:w="0" w:type="dxa"/>
                    <w:right w:w="0" w:type="dxa"/>
                  </w:tcMar>
                  <w:vAlign w:val="center"/>
                </w:tcPr>
                <w:p w14:paraId="5A930E05">
                  <w:pPr>
                    <w:rPr>
                      <w:rFonts w:hint="default" w:ascii="Times New Roman" w:hAnsi="Times New Roman" w:eastAsia="宋体" w:cs="Times New Roman"/>
                      <w:color w:val="auto"/>
                      <w:u w:val="none" w:color="auto"/>
                    </w:rPr>
                  </w:pPr>
                </w:p>
              </w:tc>
              <w:tc>
                <w:tcPr>
                  <w:tcW w:w="234" w:type="pct"/>
                  <w:tcBorders>
                    <w:tl2br w:val="nil"/>
                    <w:tr2bl w:val="nil"/>
                  </w:tcBorders>
                  <w:shd w:val="clear" w:color="auto" w:fill="FFFFFF"/>
                  <w:tcMar>
                    <w:top w:w="0" w:type="dxa"/>
                    <w:left w:w="0" w:type="dxa"/>
                    <w:bottom w:w="0" w:type="dxa"/>
                    <w:right w:w="0" w:type="dxa"/>
                  </w:tcMar>
                  <w:vAlign w:val="center"/>
                </w:tcPr>
                <w:p w14:paraId="5E9B4BA4">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54.1</w:t>
                  </w:r>
                </w:p>
              </w:tc>
              <w:tc>
                <w:tcPr>
                  <w:tcW w:w="189" w:type="pct"/>
                  <w:tcBorders>
                    <w:tl2br w:val="nil"/>
                    <w:tr2bl w:val="nil"/>
                  </w:tcBorders>
                  <w:shd w:val="clear" w:color="auto" w:fill="FFFFFF"/>
                  <w:tcMar>
                    <w:top w:w="0" w:type="dxa"/>
                    <w:left w:w="0" w:type="dxa"/>
                    <w:bottom w:w="0" w:type="dxa"/>
                    <w:right w:w="0" w:type="dxa"/>
                  </w:tcMar>
                  <w:vAlign w:val="center"/>
                </w:tcPr>
                <w:p w14:paraId="238C41ED">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-27.3</w:t>
                  </w:r>
                </w:p>
              </w:tc>
              <w:tc>
                <w:tcPr>
                  <w:tcW w:w="117" w:type="pct"/>
                  <w:tcBorders>
                    <w:tl2br w:val="nil"/>
                    <w:tr2bl w:val="nil"/>
                  </w:tcBorders>
                  <w:shd w:val="clear" w:color="auto" w:fill="FFFFFF"/>
                  <w:tcMar>
                    <w:top w:w="0" w:type="dxa"/>
                    <w:left w:w="0" w:type="dxa"/>
                    <w:bottom w:w="0" w:type="dxa"/>
                    <w:right w:w="0" w:type="dxa"/>
                  </w:tcMar>
                  <w:vAlign w:val="center"/>
                </w:tcPr>
                <w:p w14:paraId="2937779F">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w:t>
                  </w:r>
                </w:p>
              </w:tc>
              <w:tc>
                <w:tcPr>
                  <w:tcW w:w="160" w:type="pct"/>
                  <w:tcBorders>
                    <w:tl2br w:val="nil"/>
                    <w:tr2bl w:val="nil"/>
                  </w:tcBorders>
                  <w:shd w:val="clear" w:color="auto" w:fill="FFFFFF"/>
                  <w:tcMar>
                    <w:top w:w="0" w:type="dxa"/>
                    <w:left w:w="0" w:type="dxa"/>
                    <w:bottom w:w="0" w:type="dxa"/>
                    <w:right w:w="0" w:type="dxa"/>
                  </w:tcMar>
                  <w:vAlign w:val="center"/>
                </w:tcPr>
                <w:p w14:paraId="22F15913">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53.2</w:t>
                  </w:r>
                </w:p>
              </w:tc>
              <w:tc>
                <w:tcPr>
                  <w:tcW w:w="160" w:type="pct"/>
                  <w:tcBorders>
                    <w:tl2br w:val="nil"/>
                    <w:tr2bl w:val="nil"/>
                  </w:tcBorders>
                  <w:shd w:val="clear" w:color="auto" w:fill="FFFFFF"/>
                  <w:tcMar>
                    <w:top w:w="0" w:type="dxa"/>
                    <w:left w:w="0" w:type="dxa"/>
                    <w:bottom w:w="0" w:type="dxa"/>
                    <w:right w:w="0" w:type="dxa"/>
                  </w:tcMar>
                  <w:vAlign w:val="center"/>
                </w:tcPr>
                <w:p w14:paraId="7E0C57E5">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15.0</w:t>
                  </w:r>
                </w:p>
              </w:tc>
              <w:tc>
                <w:tcPr>
                  <w:tcW w:w="160" w:type="pct"/>
                  <w:tcBorders>
                    <w:tl2br w:val="nil"/>
                    <w:tr2bl w:val="nil"/>
                  </w:tcBorders>
                  <w:shd w:val="clear" w:color="auto" w:fill="FFFFFF"/>
                  <w:tcMar>
                    <w:top w:w="0" w:type="dxa"/>
                    <w:left w:w="0" w:type="dxa"/>
                    <w:bottom w:w="0" w:type="dxa"/>
                    <w:right w:w="0" w:type="dxa"/>
                  </w:tcMar>
                  <w:vAlign w:val="center"/>
                </w:tcPr>
                <w:p w14:paraId="6E3BC242">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43.8</w:t>
                  </w:r>
                </w:p>
              </w:tc>
              <w:tc>
                <w:tcPr>
                  <w:tcW w:w="160" w:type="pct"/>
                  <w:tcBorders>
                    <w:tl2br w:val="nil"/>
                    <w:tr2bl w:val="nil"/>
                  </w:tcBorders>
                  <w:shd w:val="clear" w:color="auto" w:fill="FFFFFF"/>
                  <w:tcMar>
                    <w:top w:w="0" w:type="dxa"/>
                    <w:left w:w="0" w:type="dxa"/>
                    <w:bottom w:w="0" w:type="dxa"/>
                    <w:right w:w="0" w:type="dxa"/>
                  </w:tcMar>
                  <w:vAlign w:val="center"/>
                </w:tcPr>
                <w:p w14:paraId="123C4DA3">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12.2</w:t>
                  </w:r>
                </w:p>
              </w:tc>
              <w:tc>
                <w:tcPr>
                  <w:tcW w:w="160" w:type="pct"/>
                  <w:tcBorders>
                    <w:tl2br w:val="nil"/>
                    <w:tr2bl w:val="nil"/>
                  </w:tcBorders>
                  <w:shd w:val="clear" w:color="auto" w:fill="FFFFFF"/>
                  <w:tcMar>
                    <w:top w:w="0" w:type="dxa"/>
                    <w:left w:w="0" w:type="dxa"/>
                    <w:bottom w:w="0" w:type="dxa"/>
                    <w:right w:w="0" w:type="dxa"/>
                  </w:tcMar>
                  <w:vAlign w:val="center"/>
                </w:tcPr>
                <w:p w14:paraId="39D4886A">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75.9</w:t>
                  </w:r>
                </w:p>
              </w:tc>
              <w:tc>
                <w:tcPr>
                  <w:tcW w:w="160" w:type="pct"/>
                  <w:tcBorders>
                    <w:tl2br w:val="nil"/>
                    <w:tr2bl w:val="nil"/>
                  </w:tcBorders>
                  <w:shd w:val="clear" w:color="auto" w:fill="FFFFFF"/>
                  <w:tcMar>
                    <w:top w:w="0" w:type="dxa"/>
                    <w:left w:w="0" w:type="dxa"/>
                    <w:bottom w:w="0" w:type="dxa"/>
                    <w:right w:w="0" w:type="dxa"/>
                  </w:tcMar>
                  <w:vAlign w:val="center"/>
                </w:tcPr>
                <w:p w14:paraId="4746239C">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76.0</w:t>
                  </w:r>
                </w:p>
              </w:tc>
              <w:tc>
                <w:tcPr>
                  <w:tcW w:w="160" w:type="pct"/>
                  <w:tcBorders>
                    <w:tl2br w:val="nil"/>
                    <w:tr2bl w:val="nil"/>
                  </w:tcBorders>
                  <w:shd w:val="clear" w:color="auto" w:fill="FFFFFF"/>
                  <w:tcMar>
                    <w:top w:w="0" w:type="dxa"/>
                    <w:left w:w="0" w:type="dxa"/>
                    <w:bottom w:w="0" w:type="dxa"/>
                    <w:right w:w="0" w:type="dxa"/>
                  </w:tcMar>
                  <w:vAlign w:val="center"/>
                </w:tcPr>
                <w:p w14:paraId="7E5FBB8F">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75.9</w:t>
                  </w:r>
                </w:p>
              </w:tc>
              <w:tc>
                <w:tcPr>
                  <w:tcW w:w="160" w:type="pct"/>
                  <w:tcBorders>
                    <w:tl2br w:val="nil"/>
                    <w:tr2bl w:val="nil"/>
                  </w:tcBorders>
                  <w:shd w:val="clear" w:color="auto" w:fill="FFFFFF"/>
                  <w:tcMar>
                    <w:top w:w="0" w:type="dxa"/>
                    <w:left w:w="0" w:type="dxa"/>
                    <w:bottom w:w="0" w:type="dxa"/>
                    <w:right w:w="0" w:type="dxa"/>
                  </w:tcMar>
                  <w:vAlign w:val="center"/>
                </w:tcPr>
                <w:p w14:paraId="2E1D2870">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76.0</w:t>
                  </w:r>
                </w:p>
              </w:tc>
              <w:tc>
                <w:tcPr>
                  <w:tcW w:w="204" w:type="pct"/>
                  <w:tcBorders>
                    <w:tl2br w:val="nil"/>
                    <w:tr2bl w:val="nil"/>
                  </w:tcBorders>
                  <w:shd w:val="clear" w:color="auto" w:fill="FFFFFF"/>
                  <w:tcMar>
                    <w:top w:w="0" w:type="dxa"/>
                    <w:left w:w="0" w:type="dxa"/>
                    <w:bottom w:w="0" w:type="dxa"/>
                    <w:right w:w="0" w:type="dxa"/>
                  </w:tcMar>
                  <w:vAlign w:val="center"/>
                </w:tcPr>
                <w:p w14:paraId="02CFD015">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8</w:t>
                  </w:r>
                </w:p>
              </w:tc>
              <w:tc>
                <w:tcPr>
                  <w:tcW w:w="160" w:type="pct"/>
                  <w:tcBorders>
                    <w:tl2br w:val="nil"/>
                    <w:tr2bl w:val="nil"/>
                  </w:tcBorders>
                  <w:shd w:val="clear" w:color="auto" w:fill="FFFFFF"/>
                  <w:tcMar>
                    <w:top w:w="0" w:type="dxa"/>
                    <w:left w:w="0" w:type="dxa"/>
                    <w:bottom w:w="0" w:type="dxa"/>
                    <w:right w:w="0" w:type="dxa"/>
                  </w:tcMar>
                  <w:vAlign w:val="center"/>
                </w:tcPr>
                <w:p w14:paraId="33B8FAFB">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0" w:type="pct"/>
                  <w:tcBorders>
                    <w:tl2br w:val="nil"/>
                    <w:tr2bl w:val="nil"/>
                  </w:tcBorders>
                  <w:shd w:val="clear" w:color="auto" w:fill="FFFFFF"/>
                  <w:tcMar>
                    <w:top w:w="0" w:type="dxa"/>
                    <w:left w:w="0" w:type="dxa"/>
                    <w:bottom w:w="0" w:type="dxa"/>
                    <w:right w:w="0" w:type="dxa"/>
                  </w:tcMar>
                  <w:vAlign w:val="center"/>
                </w:tcPr>
                <w:p w14:paraId="34EE3906">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0" w:type="pct"/>
                  <w:tcBorders>
                    <w:tl2br w:val="nil"/>
                    <w:tr2bl w:val="nil"/>
                  </w:tcBorders>
                  <w:shd w:val="clear" w:color="auto" w:fill="FFFFFF"/>
                  <w:tcMar>
                    <w:top w:w="0" w:type="dxa"/>
                    <w:left w:w="0" w:type="dxa"/>
                    <w:bottom w:w="0" w:type="dxa"/>
                    <w:right w:w="0" w:type="dxa"/>
                  </w:tcMar>
                  <w:vAlign w:val="center"/>
                </w:tcPr>
                <w:p w14:paraId="731B8296">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0" w:type="pct"/>
                  <w:tcBorders>
                    <w:tl2br w:val="nil"/>
                    <w:tr2bl w:val="nil"/>
                  </w:tcBorders>
                  <w:shd w:val="clear" w:color="auto" w:fill="FFFFFF"/>
                  <w:tcMar>
                    <w:top w:w="0" w:type="dxa"/>
                    <w:left w:w="0" w:type="dxa"/>
                    <w:bottom w:w="0" w:type="dxa"/>
                    <w:right w:w="0" w:type="dxa"/>
                  </w:tcMar>
                  <w:vAlign w:val="center"/>
                </w:tcPr>
                <w:p w14:paraId="6B986E93">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58" w:type="pct"/>
                  <w:tcBorders>
                    <w:tl2br w:val="nil"/>
                    <w:tr2bl w:val="nil"/>
                  </w:tcBorders>
                  <w:shd w:val="clear" w:color="auto" w:fill="FFFFFF"/>
                  <w:tcMar>
                    <w:top w:w="0" w:type="dxa"/>
                    <w:left w:w="0" w:type="dxa"/>
                    <w:bottom w:w="0" w:type="dxa"/>
                    <w:right w:w="0" w:type="dxa"/>
                  </w:tcMar>
                  <w:vAlign w:val="center"/>
                </w:tcPr>
                <w:p w14:paraId="1F5739FA">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63.9</w:t>
                  </w:r>
                </w:p>
              </w:tc>
              <w:tc>
                <w:tcPr>
                  <w:tcW w:w="159" w:type="pct"/>
                  <w:tcBorders>
                    <w:tl2br w:val="nil"/>
                    <w:tr2bl w:val="nil"/>
                  </w:tcBorders>
                  <w:shd w:val="clear" w:color="auto" w:fill="FFFFFF"/>
                  <w:tcMar>
                    <w:top w:w="0" w:type="dxa"/>
                    <w:left w:w="0" w:type="dxa"/>
                    <w:bottom w:w="0" w:type="dxa"/>
                    <w:right w:w="0" w:type="dxa"/>
                  </w:tcMar>
                  <w:vAlign w:val="center"/>
                </w:tcPr>
                <w:p w14:paraId="2400B0F9">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64.0</w:t>
                  </w:r>
                </w:p>
              </w:tc>
              <w:tc>
                <w:tcPr>
                  <w:tcW w:w="159" w:type="pct"/>
                  <w:tcBorders>
                    <w:tl2br w:val="nil"/>
                    <w:tr2bl w:val="nil"/>
                  </w:tcBorders>
                  <w:shd w:val="clear" w:color="auto" w:fill="FFFFFF"/>
                  <w:tcMar>
                    <w:top w:w="0" w:type="dxa"/>
                    <w:left w:w="0" w:type="dxa"/>
                    <w:bottom w:w="0" w:type="dxa"/>
                    <w:right w:w="0" w:type="dxa"/>
                  </w:tcMar>
                  <w:vAlign w:val="center"/>
                </w:tcPr>
                <w:p w14:paraId="563EF18D">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63.9</w:t>
                  </w:r>
                </w:p>
              </w:tc>
              <w:tc>
                <w:tcPr>
                  <w:tcW w:w="159" w:type="pct"/>
                  <w:tcBorders>
                    <w:tl2br w:val="nil"/>
                    <w:tr2bl w:val="nil"/>
                  </w:tcBorders>
                  <w:shd w:val="clear" w:color="auto" w:fill="FFFFFF"/>
                  <w:tcMar>
                    <w:top w:w="0" w:type="dxa"/>
                    <w:left w:w="0" w:type="dxa"/>
                    <w:bottom w:w="0" w:type="dxa"/>
                    <w:right w:w="0" w:type="dxa"/>
                  </w:tcMar>
                  <w:vAlign w:val="center"/>
                </w:tcPr>
                <w:p w14:paraId="76EDCCA9">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64.0</w:t>
                  </w:r>
                </w:p>
              </w:tc>
              <w:tc>
                <w:tcPr>
                  <w:tcW w:w="88" w:type="pct"/>
                  <w:tcBorders>
                    <w:tl2br w:val="nil"/>
                    <w:tr2bl w:val="nil"/>
                  </w:tcBorders>
                  <w:shd w:val="clear" w:color="auto" w:fill="FFFFFF"/>
                  <w:tcMar>
                    <w:top w:w="0" w:type="dxa"/>
                    <w:left w:w="0" w:type="dxa"/>
                    <w:bottom w:w="0" w:type="dxa"/>
                    <w:right w:w="0" w:type="dxa"/>
                  </w:tcMar>
                  <w:vAlign w:val="center"/>
                </w:tcPr>
                <w:p w14:paraId="588E5D39">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w:t>
                  </w:r>
                </w:p>
              </w:tc>
            </w:tr>
            <w:tr w14:paraId="7D01EFD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0" w:hRule="atLeast"/>
              </w:trPr>
              <w:tc>
                <w:tcPr>
                  <w:tcW w:w="204" w:type="pct"/>
                  <w:tcBorders>
                    <w:tl2br w:val="nil"/>
                    <w:tr2bl w:val="nil"/>
                  </w:tcBorders>
                  <w:shd w:val="clear" w:color="auto" w:fill="FFFFFF"/>
                  <w:tcMar>
                    <w:top w:w="0" w:type="dxa"/>
                    <w:left w:w="0" w:type="dxa"/>
                    <w:bottom w:w="0" w:type="dxa"/>
                    <w:right w:w="0" w:type="dxa"/>
                  </w:tcMar>
                  <w:vAlign w:val="center"/>
                </w:tcPr>
                <w:p w14:paraId="3A6E1CFD">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10</w:t>
                  </w:r>
                </w:p>
              </w:tc>
              <w:tc>
                <w:tcPr>
                  <w:tcW w:w="204" w:type="pct"/>
                  <w:tcBorders>
                    <w:tl2br w:val="nil"/>
                    <w:tr2bl w:val="nil"/>
                  </w:tcBorders>
                  <w:shd w:val="clear" w:color="auto" w:fill="FFFFFF"/>
                  <w:tcMar>
                    <w:top w:w="0" w:type="dxa"/>
                    <w:left w:w="0" w:type="dxa"/>
                    <w:bottom w:w="0" w:type="dxa"/>
                    <w:right w:w="0" w:type="dxa"/>
                  </w:tcMar>
                  <w:vAlign w:val="center"/>
                </w:tcPr>
                <w:p w14:paraId="69C12602">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临港高新产业园区-15#厂房</w:t>
                  </w:r>
                </w:p>
              </w:tc>
              <w:tc>
                <w:tcPr>
                  <w:tcW w:w="517" w:type="pct"/>
                  <w:tcBorders>
                    <w:tl2br w:val="nil"/>
                    <w:tr2bl w:val="nil"/>
                  </w:tcBorders>
                  <w:shd w:val="clear" w:color="auto" w:fill="FFFFFF"/>
                  <w:tcMar>
                    <w:top w:w="0" w:type="dxa"/>
                    <w:left w:w="0" w:type="dxa"/>
                    <w:bottom w:w="0" w:type="dxa"/>
                    <w:right w:w="0" w:type="dxa"/>
                  </w:tcMar>
                  <w:vAlign w:val="center"/>
                </w:tcPr>
                <w:p w14:paraId="4DF55E39">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15#空压站泵机</w:t>
                  </w:r>
                </w:p>
              </w:tc>
              <w:tc>
                <w:tcPr>
                  <w:tcW w:w="204" w:type="pct"/>
                  <w:tcBorders>
                    <w:tl2br w:val="nil"/>
                    <w:tr2bl w:val="nil"/>
                  </w:tcBorders>
                  <w:shd w:val="clear" w:color="auto" w:fill="FFFFFF"/>
                  <w:tcMar>
                    <w:top w:w="0" w:type="dxa"/>
                    <w:left w:w="0" w:type="dxa"/>
                    <w:bottom w:w="0" w:type="dxa"/>
                    <w:right w:w="0" w:type="dxa"/>
                  </w:tcMar>
                  <w:vAlign w:val="center"/>
                </w:tcPr>
                <w:p w14:paraId="50C4C854">
                  <w:pPr>
                    <w:rPr>
                      <w:rFonts w:hint="default" w:ascii="Times New Roman" w:hAnsi="Times New Roman" w:eastAsia="宋体" w:cs="Times New Roman"/>
                      <w:color w:val="auto"/>
                      <w:u w:val="none" w:color="auto"/>
                    </w:rPr>
                  </w:pPr>
                </w:p>
              </w:tc>
              <w:tc>
                <w:tcPr>
                  <w:tcW w:w="270" w:type="pct"/>
                  <w:tcBorders>
                    <w:tl2br w:val="nil"/>
                    <w:tr2bl w:val="nil"/>
                  </w:tcBorders>
                  <w:shd w:val="clear" w:color="auto" w:fill="FFFFFF"/>
                  <w:tcMar>
                    <w:top w:w="0" w:type="dxa"/>
                    <w:left w:w="0" w:type="dxa"/>
                    <w:bottom w:w="0" w:type="dxa"/>
                    <w:right w:w="0" w:type="dxa"/>
                  </w:tcMar>
                  <w:vAlign w:val="center"/>
                </w:tcPr>
                <w:p w14:paraId="6B25E66A">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77.5</w:t>
                  </w:r>
                </w:p>
              </w:tc>
              <w:tc>
                <w:tcPr>
                  <w:tcW w:w="204" w:type="pct"/>
                  <w:vMerge w:val="continue"/>
                  <w:tcBorders>
                    <w:tl2br w:val="nil"/>
                    <w:tr2bl w:val="nil"/>
                  </w:tcBorders>
                  <w:shd w:val="clear" w:color="auto" w:fill="FFFFFF"/>
                  <w:tcMar>
                    <w:top w:w="0" w:type="dxa"/>
                    <w:left w:w="0" w:type="dxa"/>
                    <w:bottom w:w="0" w:type="dxa"/>
                    <w:right w:w="0" w:type="dxa"/>
                  </w:tcMar>
                  <w:vAlign w:val="center"/>
                </w:tcPr>
                <w:p w14:paraId="331BB300">
                  <w:pPr>
                    <w:rPr>
                      <w:rFonts w:hint="default" w:ascii="Times New Roman" w:hAnsi="Times New Roman" w:eastAsia="宋体" w:cs="Times New Roman"/>
                      <w:color w:val="auto"/>
                      <w:u w:val="none" w:color="auto"/>
                    </w:rPr>
                  </w:pPr>
                </w:p>
              </w:tc>
              <w:tc>
                <w:tcPr>
                  <w:tcW w:w="234" w:type="pct"/>
                  <w:tcBorders>
                    <w:tl2br w:val="nil"/>
                    <w:tr2bl w:val="nil"/>
                  </w:tcBorders>
                  <w:shd w:val="clear" w:color="auto" w:fill="FFFFFF"/>
                  <w:tcMar>
                    <w:top w:w="0" w:type="dxa"/>
                    <w:left w:w="0" w:type="dxa"/>
                    <w:bottom w:w="0" w:type="dxa"/>
                    <w:right w:w="0" w:type="dxa"/>
                  </w:tcMar>
                  <w:vAlign w:val="center"/>
                </w:tcPr>
                <w:p w14:paraId="2AB0472F">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99.8</w:t>
                  </w:r>
                </w:p>
              </w:tc>
              <w:tc>
                <w:tcPr>
                  <w:tcW w:w="189" w:type="pct"/>
                  <w:tcBorders>
                    <w:tl2br w:val="nil"/>
                    <w:tr2bl w:val="nil"/>
                  </w:tcBorders>
                  <w:shd w:val="clear" w:color="auto" w:fill="FFFFFF"/>
                  <w:tcMar>
                    <w:top w:w="0" w:type="dxa"/>
                    <w:left w:w="0" w:type="dxa"/>
                    <w:bottom w:w="0" w:type="dxa"/>
                    <w:right w:w="0" w:type="dxa"/>
                  </w:tcMar>
                  <w:vAlign w:val="center"/>
                </w:tcPr>
                <w:p w14:paraId="694F6ADA">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-40</w:t>
                  </w:r>
                </w:p>
              </w:tc>
              <w:tc>
                <w:tcPr>
                  <w:tcW w:w="117" w:type="pct"/>
                  <w:tcBorders>
                    <w:tl2br w:val="nil"/>
                    <w:tr2bl w:val="nil"/>
                  </w:tcBorders>
                  <w:shd w:val="clear" w:color="auto" w:fill="FFFFFF"/>
                  <w:tcMar>
                    <w:top w:w="0" w:type="dxa"/>
                    <w:left w:w="0" w:type="dxa"/>
                    <w:bottom w:w="0" w:type="dxa"/>
                    <w:right w:w="0" w:type="dxa"/>
                  </w:tcMar>
                  <w:vAlign w:val="center"/>
                </w:tcPr>
                <w:p w14:paraId="6B2E2F19">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w:t>
                  </w:r>
                </w:p>
              </w:tc>
              <w:tc>
                <w:tcPr>
                  <w:tcW w:w="160" w:type="pct"/>
                  <w:tcBorders>
                    <w:tl2br w:val="nil"/>
                    <w:tr2bl w:val="nil"/>
                  </w:tcBorders>
                  <w:shd w:val="clear" w:color="auto" w:fill="FFFFFF"/>
                  <w:tcMar>
                    <w:top w:w="0" w:type="dxa"/>
                    <w:left w:w="0" w:type="dxa"/>
                    <w:bottom w:w="0" w:type="dxa"/>
                    <w:right w:w="0" w:type="dxa"/>
                  </w:tcMar>
                  <w:vAlign w:val="center"/>
                </w:tcPr>
                <w:p w14:paraId="4C6888ED">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6.7</w:t>
                  </w:r>
                </w:p>
              </w:tc>
              <w:tc>
                <w:tcPr>
                  <w:tcW w:w="160" w:type="pct"/>
                  <w:tcBorders>
                    <w:tl2br w:val="nil"/>
                    <w:tr2bl w:val="nil"/>
                  </w:tcBorders>
                  <w:shd w:val="clear" w:color="auto" w:fill="FFFFFF"/>
                  <w:tcMar>
                    <w:top w:w="0" w:type="dxa"/>
                    <w:left w:w="0" w:type="dxa"/>
                    <w:bottom w:w="0" w:type="dxa"/>
                    <w:right w:w="0" w:type="dxa"/>
                  </w:tcMar>
                  <w:vAlign w:val="center"/>
                </w:tcPr>
                <w:p w14:paraId="359AF3C8">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6.5</w:t>
                  </w:r>
                </w:p>
              </w:tc>
              <w:tc>
                <w:tcPr>
                  <w:tcW w:w="160" w:type="pct"/>
                  <w:tcBorders>
                    <w:tl2br w:val="nil"/>
                    <w:tr2bl w:val="nil"/>
                  </w:tcBorders>
                  <w:shd w:val="clear" w:color="auto" w:fill="FFFFFF"/>
                  <w:tcMar>
                    <w:top w:w="0" w:type="dxa"/>
                    <w:left w:w="0" w:type="dxa"/>
                    <w:bottom w:w="0" w:type="dxa"/>
                    <w:right w:w="0" w:type="dxa"/>
                  </w:tcMar>
                  <w:vAlign w:val="center"/>
                </w:tcPr>
                <w:p w14:paraId="4C9C36E3">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90.2</w:t>
                  </w:r>
                </w:p>
              </w:tc>
              <w:tc>
                <w:tcPr>
                  <w:tcW w:w="160" w:type="pct"/>
                  <w:tcBorders>
                    <w:tl2br w:val="nil"/>
                    <w:tr2bl w:val="nil"/>
                  </w:tcBorders>
                  <w:shd w:val="clear" w:color="auto" w:fill="FFFFFF"/>
                  <w:tcMar>
                    <w:top w:w="0" w:type="dxa"/>
                    <w:left w:w="0" w:type="dxa"/>
                    <w:bottom w:w="0" w:type="dxa"/>
                    <w:right w:w="0" w:type="dxa"/>
                  </w:tcMar>
                  <w:vAlign w:val="center"/>
                </w:tcPr>
                <w:p w14:paraId="42160001">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20.5</w:t>
                  </w:r>
                </w:p>
              </w:tc>
              <w:tc>
                <w:tcPr>
                  <w:tcW w:w="160" w:type="pct"/>
                  <w:tcBorders>
                    <w:tl2br w:val="nil"/>
                    <w:tr2bl w:val="nil"/>
                  </w:tcBorders>
                  <w:shd w:val="clear" w:color="auto" w:fill="FFFFFF"/>
                  <w:tcMar>
                    <w:top w:w="0" w:type="dxa"/>
                    <w:left w:w="0" w:type="dxa"/>
                    <w:bottom w:w="0" w:type="dxa"/>
                    <w:right w:w="0" w:type="dxa"/>
                  </w:tcMar>
                  <w:vAlign w:val="center"/>
                </w:tcPr>
                <w:p w14:paraId="45A273A0">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61.1</w:t>
                  </w:r>
                </w:p>
              </w:tc>
              <w:tc>
                <w:tcPr>
                  <w:tcW w:w="160" w:type="pct"/>
                  <w:tcBorders>
                    <w:tl2br w:val="nil"/>
                    <w:tr2bl w:val="nil"/>
                  </w:tcBorders>
                  <w:shd w:val="clear" w:color="auto" w:fill="FFFFFF"/>
                  <w:tcMar>
                    <w:top w:w="0" w:type="dxa"/>
                    <w:left w:w="0" w:type="dxa"/>
                    <w:bottom w:w="0" w:type="dxa"/>
                    <w:right w:w="0" w:type="dxa"/>
                  </w:tcMar>
                  <w:vAlign w:val="center"/>
                </w:tcPr>
                <w:p w14:paraId="638FA987">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61.1</w:t>
                  </w:r>
                </w:p>
              </w:tc>
              <w:tc>
                <w:tcPr>
                  <w:tcW w:w="160" w:type="pct"/>
                  <w:tcBorders>
                    <w:tl2br w:val="nil"/>
                    <w:tr2bl w:val="nil"/>
                  </w:tcBorders>
                  <w:shd w:val="clear" w:color="auto" w:fill="FFFFFF"/>
                  <w:tcMar>
                    <w:top w:w="0" w:type="dxa"/>
                    <w:left w:w="0" w:type="dxa"/>
                    <w:bottom w:w="0" w:type="dxa"/>
                    <w:right w:w="0" w:type="dxa"/>
                  </w:tcMar>
                  <w:vAlign w:val="center"/>
                </w:tcPr>
                <w:p w14:paraId="3A99BCDB">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60.7</w:t>
                  </w:r>
                </w:p>
              </w:tc>
              <w:tc>
                <w:tcPr>
                  <w:tcW w:w="160" w:type="pct"/>
                  <w:tcBorders>
                    <w:tl2br w:val="nil"/>
                    <w:tr2bl w:val="nil"/>
                  </w:tcBorders>
                  <w:shd w:val="clear" w:color="auto" w:fill="FFFFFF"/>
                  <w:tcMar>
                    <w:top w:w="0" w:type="dxa"/>
                    <w:left w:w="0" w:type="dxa"/>
                    <w:bottom w:w="0" w:type="dxa"/>
                    <w:right w:w="0" w:type="dxa"/>
                  </w:tcMar>
                  <w:vAlign w:val="center"/>
                </w:tcPr>
                <w:p w14:paraId="67FDC968">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60.8</w:t>
                  </w:r>
                </w:p>
              </w:tc>
              <w:tc>
                <w:tcPr>
                  <w:tcW w:w="204" w:type="pct"/>
                  <w:tcBorders>
                    <w:tl2br w:val="nil"/>
                    <w:tr2bl w:val="nil"/>
                  </w:tcBorders>
                  <w:shd w:val="clear" w:color="auto" w:fill="FFFFFF"/>
                  <w:tcMar>
                    <w:top w:w="0" w:type="dxa"/>
                    <w:left w:w="0" w:type="dxa"/>
                    <w:bottom w:w="0" w:type="dxa"/>
                    <w:right w:w="0" w:type="dxa"/>
                  </w:tcMar>
                  <w:vAlign w:val="center"/>
                </w:tcPr>
                <w:p w14:paraId="1BED4E69">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8</w:t>
                  </w:r>
                </w:p>
              </w:tc>
              <w:tc>
                <w:tcPr>
                  <w:tcW w:w="160" w:type="pct"/>
                  <w:tcBorders>
                    <w:tl2br w:val="nil"/>
                    <w:tr2bl w:val="nil"/>
                  </w:tcBorders>
                  <w:shd w:val="clear" w:color="auto" w:fill="FFFFFF"/>
                  <w:tcMar>
                    <w:top w:w="0" w:type="dxa"/>
                    <w:left w:w="0" w:type="dxa"/>
                    <w:bottom w:w="0" w:type="dxa"/>
                    <w:right w:w="0" w:type="dxa"/>
                  </w:tcMar>
                  <w:vAlign w:val="center"/>
                </w:tcPr>
                <w:p w14:paraId="5B9891FA">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0" w:type="pct"/>
                  <w:tcBorders>
                    <w:tl2br w:val="nil"/>
                    <w:tr2bl w:val="nil"/>
                  </w:tcBorders>
                  <w:shd w:val="clear" w:color="auto" w:fill="FFFFFF"/>
                  <w:tcMar>
                    <w:top w:w="0" w:type="dxa"/>
                    <w:left w:w="0" w:type="dxa"/>
                    <w:bottom w:w="0" w:type="dxa"/>
                    <w:right w:w="0" w:type="dxa"/>
                  </w:tcMar>
                  <w:vAlign w:val="center"/>
                </w:tcPr>
                <w:p w14:paraId="51382A59">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0" w:type="pct"/>
                  <w:tcBorders>
                    <w:tl2br w:val="nil"/>
                    <w:tr2bl w:val="nil"/>
                  </w:tcBorders>
                  <w:shd w:val="clear" w:color="auto" w:fill="FFFFFF"/>
                  <w:tcMar>
                    <w:top w:w="0" w:type="dxa"/>
                    <w:left w:w="0" w:type="dxa"/>
                    <w:bottom w:w="0" w:type="dxa"/>
                    <w:right w:w="0" w:type="dxa"/>
                  </w:tcMar>
                  <w:vAlign w:val="center"/>
                </w:tcPr>
                <w:p w14:paraId="18C22968">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0" w:type="pct"/>
                  <w:tcBorders>
                    <w:tl2br w:val="nil"/>
                    <w:tr2bl w:val="nil"/>
                  </w:tcBorders>
                  <w:shd w:val="clear" w:color="auto" w:fill="FFFFFF"/>
                  <w:tcMar>
                    <w:top w:w="0" w:type="dxa"/>
                    <w:left w:w="0" w:type="dxa"/>
                    <w:bottom w:w="0" w:type="dxa"/>
                    <w:right w:w="0" w:type="dxa"/>
                  </w:tcMar>
                  <w:vAlign w:val="center"/>
                </w:tcPr>
                <w:p w14:paraId="7554A9EC">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58" w:type="pct"/>
                  <w:tcBorders>
                    <w:tl2br w:val="nil"/>
                    <w:tr2bl w:val="nil"/>
                  </w:tcBorders>
                  <w:shd w:val="clear" w:color="auto" w:fill="FFFFFF"/>
                  <w:tcMar>
                    <w:top w:w="0" w:type="dxa"/>
                    <w:left w:w="0" w:type="dxa"/>
                    <w:bottom w:w="0" w:type="dxa"/>
                    <w:right w:w="0" w:type="dxa"/>
                  </w:tcMar>
                  <w:vAlign w:val="center"/>
                </w:tcPr>
                <w:p w14:paraId="4288AD5B">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49.1</w:t>
                  </w:r>
                </w:p>
              </w:tc>
              <w:tc>
                <w:tcPr>
                  <w:tcW w:w="159" w:type="pct"/>
                  <w:tcBorders>
                    <w:tl2br w:val="nil"/>
                    <w:tr2bl w:val="nil"/>
                  </w:tcBorders>
                  <w:shd w:val="clear" w:color="auto" w:fill="FFFFFF"/>
                  <w:tcMar>
                    <w:top w:w="0" w:type="dxa"/>
                    <w:left w:w="0" w:type="dxa"/>
                    <w:bottom w:w="0" w:type="dxa"/>
                    <w:right w:w="0" w:type="dxa"/>
                  </w:tcMar>
                  <w:vAlign w:val="center"/>
                </w:tcPr>
                <w:p w14:paraId="5C9045C2">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49.1</w:t>
                  </w:r>
                </w:p>
              </w:tc>
              <w:tc>
                <w:tcPr>
                  <w:tcW w:w="159" w:type="pct"/>
                  <w:tcBorders>
                    <w:tl2br w:val="nil"/>
                    <w:tr2bl w:val="nil"/>
                  </w:tcBorders>
                  <w:shd w:val="clear" w:color="auto" w:fill="FFFFFF"/>
                  <w:tcMar>
                    <w:top w:w="0" w:type="dxa"/>
                    <w:left w:w="0" w:type="dxa"/>
                    <w:bottom w:w="0" w:type="dxa"/>
                    <w:right w:w="0" w:type="dxa"/>
                  </w:tcMar>
                  <w:vAlign w:val="center"/>
                </w:tcPr>
                <w:p w14:paraId="7923315F">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48.7</w:t>
                  </w:r>
                </w:p>
              </w:tc>
              <w:tc>
                <w:tcPr>
                  <w:tcW w:w="159" w:type="pct"/>
                  <w:tcBorders>
                    <w:tl2br w:val="nil"/>
                    <w:tr2bl w:val="nil"/>
                  </w:tcBorders>
                  <w:shd w:val="clear" w:color="auto" w:fill="FFFFFF"/>
                  <w:tcMar>
                    <w:top w:w="0" w:type="dxa"/>
                    <w:left w:w="0" w:type="dxa"/>
                    <w:bottom w:w="0" w:type="dxa"/>
                    <w:right w:w="0" w:type="dxa"/>
                  </w:tcMar>
                  <w:vAlign w:val="center"/>
                </w:tcPr>
                <w:p w14:paraId="6F9F6729">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48.8</w:t>
                  </w:r>
                </w:p>
              </w:tc>
              <w:tc>
                <w:tcPr>
                  <w:tcW w:w="88" w:type="pct"/>
                  <w:tcBorders>
                    <w:tl2br w:val="nil"/>
                    <w:tr2bl w:val="nil"/>
                  </w:tcBorders>
                  <w:shd w:val="clear" w:color="auto" w:fill="FFFFFF"/>
                  <w:tcMar>
                    <w:top w:w="0" w:type="dxa"/>
                    <w:left w:w="0" w:type="dxa"/>
                    <w:bottom w:w="0" w:type="dxa"/>
                    <w:right w:w="0" w:type="dxa"/>
                  </w:tcMar>
                  <w:vAlign w:val="center"/>
                </w:tcPr>
                <w:p w14:paraId="14B0D817">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w:t>
                  </w:r>
                </w:p>
              </w:tc>
            </w:tr>
            <w:tr w14:paraId="4727E1B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0" w:hRule="atLeast"/>
              </w:trPr>
              <w:tc>
                <w:tcPr>
                  <w:tcW w:w="204" w:type="pct"/>
                  <w:tcBorders>
                    <w:tl2br w:val="nil"/>
                    <w:tr2bl w:val="nil"/>
                  </w:tcBorders>
                  <w:shd w:val="clear" w:color="auto" w:fill="FFFFFF"/>
                  <w:tcMar>
                    <w:top w:w="0" w:type="dxa"/>
                    <w:left w:w="0" w:type="dxa"/>
                    <w:bottom w:w="0" w:type="dxa"/>
                    <w:right w:w="0" w:type="dxa"/>
                  </w:tcMar>
                  <w:vAlign w:val="center"/>
                </w:tcPr>
                <w:p w14:paraId="3625C7B7">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11</w:t>
                  </w:r>
                </w:p>
              </w:tc>
              <w:tc>
                <w:tcPr>
                  <w:tcW w:w="204" w:type="pct"/>
                  <w:tcBorders>
                    <w:tl2br w:val="nil"/>
                    <w:tr2bl w:val="nil"/>
                  </w:tcBorders>
                  <w:shd w:val="clear" w:color="auto" w:fill="FFFFFF"/>
                  <w:tcMar>
                    <w:top w:w="0" w:type="dxa"/>
                    <w:left w:w="0" w:type="dxa"/>
                    <w:bottom w:w="0" w:type="dxa"/>
                    <w:right w:w="0" w:type="dxa"/>
                  </w:tcMar>
                  <w:vAlign w:val="center"/>
                </w:tcPr>
                <w:p w14:paraId="3F43D741">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临港高新产业园区-21#厂房</w:t>
                  </w:r>
                </w:p>
              </w:tc>
              <w:tc>
                <w:tcPr>
                  <w:tcW w:w="517" w:type="pct"/>
                  <w:tcBorders>
                    <w:tl2br w:val="nil"/>
                    <w:tr2bl w:val="nil"/>
                  </w:tcBorders>
                  <w:shd w:val="clear" w:color="auto" w:fill="FFFFFF"/>
                  <w:tcMar>
                    <w:top w:w="0" w:type="dxa"/>
                    <w:left w:w="0" w:type="dxa"/>
                    <w:bottom w:w="0" w:type="dxa"/>
                    <w:right w:w="0" w:type="dxa"/>
                  </w:tcMar>
                  <w:vAlign w:val="center"/>
                </w:tcPr>
                <w:p w14:paraId="47C1DA36">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立式加工中心组,10台（按点声源组预测）</w:t>
                  </w:r>
                </w:p>
              </w:tc>
              <w:tc>
                <w:tcPr>
                  <w:tcW w:w="204" w:type="pct"/>
                  <w:tcBorders>
                    <w:tl2br w:val="nil"/>
                    <w:tr2bl w:val="nil"/>
                  </w:tcBorders>
                  <w:shd w:val="clear" w:color="auto" w:fill="FFFFFF"/>
                  <w:tcMar>
                    <w:top w:w="0" w:type="dxa"/>
                    <w:left w:w="0" w:type="dxa"/>
                    <w:bottom w:w="0" w:type="dxa"/>
                    <w:right w:w="0" w:type="dxa"/>
                  </w:tcMar>
                  <w:vAlign w:val="center"/>
                </w:tcPr>
                <w:p w14:paraId="332E7C65">
                  <w:pPr>
                    <w:rPr>
                      <w:rFonts w:hint="default" w:ascii="Times New Roman" w:hAnsi="Times New Roman" w:eastAsia="宋体" w:cs="Times New Roman"/>
                      <w:color w:val="auto"/>
                      <w:u w:val="none" w:color="auto"/>
                    </w:rPr>
                  </w:pPr>
                </w:p>
              </w:tc>
              <w:tc>
                <w:tcPr>
                  <w:tcW w:w="270" w:type="pct"/>
                  <w:tcBorders>
                    <w:tl2br w:val="nil"/>
                    <w:tr2bl w:val="nil"/>
                  </w:tcBorders>
                  <w:shd w:val="clear" w:color="auto" w:fill="FFFFFF"/>
                  <w:tcMar>
                    <w:top w:w="0" w:type="dxa"/>
                    <w:left w:w="0" w:type="dxa"/>
                    <w:bottom w:w="0" w:type="dxa"/>
                    <w:right w:w="0" w:type="dxa"/>
                  </w:tcMar>
                  <w:vAlign w:val="center"/>
                </w:tcPr>
                <w:p w14:paraId="29D97A4A">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87.5（等效后：</w:t>
                  </w:r>
                  <w:r>
                    <w:rPr>
                      <w:rFonts w:hint="default" w:ascii="Times New Roman" w:hAnsi="Times New Roman" w:eastAsia="宋体" w:cs="Times New Roman"/>
                      <w:color w:val="auto"/>
                      <w:u w:val="none" w:color="auto"/>
                      <w:lang w:val="en-US" w:eastAsia="zh-CN"/>
                    </w:rPr>
                    <w:t>详见本节上表相关内容</w:t>
                  </w:r>
                  <w:r>
                    <w:rPr>
                      <w:rFonts w:hint="default" w:ascii="Times New Roman" w:hAnsi="Times New Roman" w:eastAsia="宋体" w:cs="Times New Roman"/>
                      <w:color w:val="auto"/>
                      <w:sz w:val="20"/>
                      <w:u w:val="none" w:color="auto"/>
                    </w:rPr>
                    <w:t>97.5)</w:t>
                  </w:r>
                </w:p>
              </w:tc>
              <w:tc>
                <w:tcPr>
                  <w:tcW w:w="204" w:type="pct"/>
                  <w:vMerge w:val="continue"/>
                  <w:tcBorders>
                    <w:tl2br w:val="nil"/>
                    <w:tr2bl w:val="nil"/>
                  </w:tcBorders>
                  <w:shd w:val="clear" w:color="auto" w:fill="FFFFFF"/>
                  <w:tcMar>
                    <w:top w:w="0" w:type="dxa"/>
                    <w:left w:w="0" w:type="dxa"/>
                    <w:bottom w:w="0" w:type="dxa"/>
                    <w:right w:w="0" w:type="dxa"/>
                  </w:tcMar>
                  <w:vAlign w:val="center"/>
                </w:tcPr>
                <w:p w14:paraId="2EE7FBA7">
                  <w:pPr>
                    <w:rPr>
                      <w:rFonts w:hint="default" w:ascii="Times New Roman" w:hAnsi="Times New Roman" w:eastAsia="宋体" w:cs="Times New Roman"/>
                      <w:color w:val="auto"/>
                      <w:u w:val="none" w:color="auto"/>
                    </w:rPr>
                  </w:pPr>
                </w:p>
              </w:tc>
              <w:tc>
                <w:tcPr>
                  <w:tcW w:w="234" w:type="pct"/>
                  <w:tcBorders>
                    <w:tl2br w:val="nil"/>
                    <w:tr2bl w:val="nil"/>
                  </w:tcBorders>
                  <w:shd w:val="clear" w:color="auto" w:fill="FFFFFF"/>
                  <w:tcMar>
                    <w:top w:w="0" w:type="dxa"/>
                    <w:left w:w="0" w:type="dxa"/>
                    <w:bottom w:w="0" w:type="dxa"/>
                    <w:right w:w="0" w:type="dxa"/>
                  </w:tcMar>
                  <w:vAlign w:val="center"/>
                </w:tcPr>
                <w:p w14:paraId="28210DAF">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-85.3</w:t>
                  </w:r>
                </w:p>
              </w:tc>
              <w:tc>
                <w:tcPr>
                  <w:tcW w:w="189" w:type="pct"/>
                  <w:tcBorders>
                    <w:tl2br w:val="nil"/>
                    <w:tr2bl w:val="nil"/>
                  </w:tcBorders>
                  <w:shd w:val="clear" w:color="auto" w:fill="FFFFFF"/>
                  <w:tcMar>
                    <w:top w:w="0" w:type="dxa"/>
                    <w:left w:w="0" w:type="dxa"/>
                    <w:bottom w:w="0" w:type="dxa"/>
                    <w:right w:w="0" w:type="dxa"/>
                  </w:tcMar>
                  <w:vAlign w:val="center"/>
                </w:tcPr>
                <w:p w14:paraId="7C06DA29">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30.3</w:t>
                  </w:r>
                </w:p>
              </w:tc>
              <w:tc>
                <w:tcPr>
                  <w:tcW w:w="117" w:type="pct"/>
                  <w:tcBorders>
                    <w:tl2br w:val="nil"/>
                    <w:tr2bl w:val="nil"/>
                  </w:tcBorders>
                  <w:shd w:val="clear" w:color="auto" w:fill="FFFFFF"/>
                  <w:tcMar>
                    <w:top w:w="0" w:type="dxa"/>
                    <w:left w:w="0" w:type="dxa"/>
                    <w:bottom w:w="0" w:type="dxa"/>
                    <w:right w:w="0" w:type="dxa"/>
                  </w:tcMar>
                  <w:vAlign w:val="center"/>
                </w:tcPr>
                <w:p w14:paraId="2825A558">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w:t>
                  </w:r>
                </w:p>
              </w:tc>
              <w:tc>
                <w:tcPr>
                  <w:tcW w:w="160" w:type="pct"/>
                  <w:tcBorders>
                    <w:tl2br w:val="nil"/>
                    <w:tr2bl w:val="nil"/>
                  </w:tcBorders>
                  <w:shd w:val="clear" w:color="auto" w:fill="FFFFFF"/>
                  <w:tcMar>
                    <w:top w:w="0" w:type="dxa"/>
                    <w:left w:w="0" w:type="dxa"/>
                    <w:bottom w:w="0" w:type="dxa"/>
                    <w:right w:w="0" w:type="dxa"/>
                  </w:tcMar>
                  <w:vAlign w:val="center"/>
                </w:tcPr>
                <w:p w14:paraId="1E4C3D37">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75.8</w:t>
                  </w:r>
                </w:p>
              </w:tc>
              <w:tc>
                <w:tcPr>
                  <w:tcW w:w="160" w:type="pct"/>
                  <w:tcBorders>
                    <w:tl2br w:val="nil"/>
                    <w:tr2bl w:val="nil"/>
                  </w:tcBorders>
                  <w:shd w:val="clear" w:color="auto" w:fill="FFFFFF"/>
                  <w:tcMar>
                    <w:top w:w="0" w:type="dxa"/>
                    <w:left w:w="0" w:type="dxa"/>
                    <w:bottom w:w="0" w:type="dxa"/>
                    <w:right w:w="0" w:type="dxa"/>
                  </w:tcMar>
                  <w:vAlign w:val="center"/>
                </w:tcPr>
                <w:p w14:paraId="675D1C87">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14.9</w:t>
                  </w:r>
                </w:p>
              </w:tc>
              <w:tc>
                <w:tcPr>
                  <w:tcW w:w="160" w:type="pct"/>
                  <w:tcBorders>
                    <w:tl2br w:val="nil"/>
                    <w:tr2bl w:val="nil"/>
                  </w:tcBorders>
                  <w:shd w:val="clear" w:color="auto" w:fill="FFFFFF"/>
                  <w:tcMar>
                    <w:top w:w="0" w:type="dxa"/>
                    <w:left w:w="0" w:type="dxa"/>
                    <w:bottom w:w="0" w:type="dxa"/>
                    <w:right w:w="0" w:type="dxa"/>
                  </w:tcMar>
                  <w:vAlign w:val="center"/>
                </w:tcPr>
                <w:p w14:paraId="55F2822E">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20.8</w:t>
                  </w:r>
                </w:p>
              </w:tc>
              <w:tc>
                <w:tcPr>
                  <w:tcW w:w="160" w:type="pct"/>
                  <w:tcBorders>
                    <w:tl2br w:val="nil"/>
                    <w:tr2bl w:val="nil"/>
                  </w:tcBorders>
                  <w:shd w:val="clear" w:color="auto" w:fill="FFFFFF"/>
                  <w:tcMar>
                    <w:top w:w="0" w:type="dxa"/>
                    <w:left w:w="0" w:type="dxa"/>
                    <w:bottom w:w="0" w:type="dxa"/>
                    <w:right w:w="0" w:type="dxa"/>
                  </w:tcMar>
                  <w:vAlign w:val="center"/>
                </w:tcPr>
                <w:p w14:paraId="79A51441">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15.6</w:t>
                  </w:r>
                </w:p>
              </w:tc>
              <w:tc>
                <w:tcPr>
                  <w:tcW w:w="160" w:type="pct"/>
                  <w:tcBorders>
                    <w:tl2br w:val="nil"/>
                    <w:tr2bl w:val="nil"/>
                  </w:tcBorders>
                  <w:shd w:val="clear" w:color="auto" w:fill="FFFFFF"/>
                  <w:tcMar>
                    <w:top w:w="0" w:type="dxa"/>
                    <w:left w:w="0" w:type="dxa"/>
                    <w:bottom w:w="0" w:type="dxa"/>
                    <w:right w:w="0" w:type="dxa"/>
                  </w:tcMar>
                  <w:vAlign w:val="center"/>
                </w:tcPr>
                <w:p w14:paraId="63527B69">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80.6</w:t>
                  </w:r>
                </w:p>
              </w:tc>
              <w:tc>
                <w:tcPr>
                  <w:tcW w:w="160" w:type="pct"/>
                  <w:tcBorders>
                    <w:tl2br w:val="nil"/>
                    <w:tr2bl w:val="nil"/>
                  </w:tcBorders>
                  <w:shd w:val="clear" w:color="auto" w:fill="FFFFFF"/>
                  <w:tcMar>
                    <w:top w:w="0" w:type="dxa"/>
                    <w:left w:w="0" w:type="dxa"/>
                    <w:bottom w:w="0" w:type="dxa"/>
                    <w:right w:w="0" w:type="dxa"/>
                  </w:tcMar>
                  <w:vAlign w:val="center"/>
                </w:tcPr>
                <w:p w14:paraId="23EDFF19">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80.7</w:t>
                  </w:r>
                </w:p>
              </w:tc>
              <w:tc>
                <w:tcPr>
                  <w:tcW w:w="160" w:type="pct"/>
                  <w:tcBorders>
                    <w:tl2br w:val="nil"/>
                    <w:tr2bl w:val="nil"/>
                  </w:tcBorders>
                  <w:shd w:val="clear" w:color="auto" w:fill="FFFFFF"/>
                  <w:tcMar>
                    <w:top w:w="0" w:type="dxa"/>
                    <w:left w:w="0" w:type="dxa"/>
                    <w:bottom w:w="0" w:type="dxa"/>
                    <w:right w:w="0" w:type="dxa"/>
                  </w:tcMar>
                  <w:vAlign w:val="center"/>
                </w:tcPr>
                <w:p w14:paraId="00C9108F">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80.7</w:t>
                  </w:r>
                </w:p>
              </w:tc>
              <w:tc>
                <w:tcPr>
                  <w:tcW w:w="160" w:type="pct"/>
                  <w:tcBorders>
                    <w:tl2br w:val="nil"/>
                    <w:tr2bl w:val="nil"/>
                  </w:tcBorders>
                  <w:shd w:val="clear" w:color="auto" w:fill="FFFFFF"/>
                  <w:tcMar>
                    <w:top w:w="0" w:type="dxa"/>
                    <w:left w:w="0" w:type="dxa"/>
                    <w:bottom w:w="0" w:type="dxa"/>
                    <w:right w:w="0" w:type="dxa"/>
                  </w:tcMar>
                  <w:vAlign w:val="center"/>
                </w:tcPr>
                <w:p w14:paraId="4B00BDC7">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80.7</w:t>
                  </w:r>
                </w:p>
              </w:tc>
              <w:tc>
                <w:tcPr>
                  <w:tcW w:w="204" w:type="pct"/>
                  <w:tcBorders>
                    <w:tl2br w:val="nil"/>
                    <w:tr2bl w:val="nil"/>
                  </w:tcBorders>
                  <w:shd w:val="clear" w:color="auto" w:fill="FFFFFF"/>
                  <w:tcMar>
                    <w:top w:w="0" w:type="dxa"/>
                    <w:left w:w="0" w:type="dxa"/>
                    <w:bottom w:w="0" w:type="dxa"/>
                    <w:right w:w="0" w:type="dxa"/>
                  </w:tcMar>
                  <w:vAlign w:val="center"/>
                </w:tcPr>
                <w:p w14:paraId="058DD3FB">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8</w:t>
                  </w:r>
                </w:p>
              </w:tc>
              <w:tc>
                <w:tcPr>
                  <w:tcW w:w="160" w:type="pct"/>
                  <w:tcBorders>
                    <w:tl2br w:val="nil"/>
                    <w:tr2bl w:val="nil"/>
                  </w:tcBorders>
                  <w:shd w:val="clear" w:color="auto" w:fill="FFFFFF"/>
                  <w:tcMar>
                    <w:top w:w="0" w:type="dxa"/>
                    <w:left w:w="0" w:type="dxa"/>
                    <w:bottom w:w="0" w:type="dxa"/>
                    <w:right w:w="0" w:type="dxa"/>
                  </w:tcMar>
                  <w:vAlign w:val="center"/>
                </w:tcPr>
                <w:p w14:paraId="59968E99">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0" w:type="pct"/>
                  <w:tcBorders>
                    <w:tl2br w:val="nil"/>
                    <w:tr2bl w:val="nil"/>
                  </w:tcBorders>
                  <w:shd w:val="clear" w:color="auto" w:fill="FFFFFF"/>
                  <w:tcMar>
                    <w:top w:w="0" w:type="dxa"/>
                    <w:left w:w="0" w:type="dxa"/>
                    <w:bottom w:w="0" w:type="dxa"/>
                    <w:right w:w="0" w:type="dxa"/>
                  </w:tcMar>
                  <w:vAlign w:val="center"/>
                </w:tcPr>
                <w:p w14:paraId="1F9C233D">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0" w:type="pct"/>
                  <w:tcBorders>
                    <w:tl2br w:val="nil"/>
                    <w:tr2bl w:val="nil"/>
                  </w:tcBorders>
                  <w:shd w:val="clear" w:color="auto" w:fill="FFFFFF"/>
                  <w:tcMar>
                    <w:top w:w="0" w:type="dxa"/>
                    <w:left w:w="0" w:type="dxa"/>
                    <w:bottom w:w="0" w:type="dxa"/>
                    <w:right w:w="0" w:type="dxa"/>
                  </w:tcMar>
                  <w:vAlign w:val="center"/>
                </w:tcPr>
                <w:p w14:paraId="750AB9A6">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0" w:type="pct"/>
                  <w:tcBorders>
                    <w:tl2br w:val="nil"/>
                    <w:tr2bl w:val="nil"/>
                  </w:tcBorders>
                  <w:shd w:val="clear" w:color="auto" w:fill="FFFFFF"/>
                  <w:tcMar>
                    <w:top w:w="0" w:type="dxa"/>
                    <w:left w:w="0" w:type="dxa"/>
                    <w:bottom w:w="0" w:type="dxa"/>
                    <w:right w:w="0" w:type="dxa"/>
                  </w:tcMar>
                  <w:vAlign w:val="center"/>
                </w:tcPr>
                <w:p w14:paraId="681BF45E">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58" w:type="pct"/>
                  <w:tcBorders>
                    <w:tl2br w:val="nil"/>
                    <w:tr2bl w:val="nil"/>
                  </w:tcBorders>
                  <w:shd w:val="clear" w:color="auto" w:fill="FFFFFF"/>
                  <w:tcMar>
                    <w:top w:w="0" w:type="dxa"/>
                    <w:left w:w="0" w:type="dxa"/>
                    <w:bottom w:w="0" w:type="dxa"/>
                    <w:right w:w="0" w:type="dxa"/>
                  </w:tcMar>
                  <w:vAlign w:val="center"/>
                </w:tcPr>
                <w:p w14:paraId="0F0DA302">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68.6</w:t>
                  </w:r>
                </w:p>
              </w:tc>
              <w:tc>
                <w:tcPr>
                  <w:tcW w:w="159" w:type="pct"/>
                  <w:tcBorders>
                    <w:tl2br w:val="nil"/>
                    <w:tr2bl w:val="nil"/>
                  </w:tcBorders>
                  <w:shd w:val="clear" w:color="auto" w:fill="FFFFFF"/>
                  <w:tcMar>
                    <w:top w:w="0" w:type="dxa"/>
                    <w:left w:w="0" w:type="dxa"/>
                    <w:bottom w:w="0" w:type="dxa"/>
                    <w:right w:w="0" w:type="dxa"/>
                  </w:tcMar>
                  <w:vAlign w:val="center"/>
                </w:tcPr>
                <w:p w14:paraId="66E308FB">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68.7</w:t>
                  </w:r>
                </w:p>
              </w:tc>
              <w:tc>
                <w:tcPr>
                  <w:tcW w:w="159" w:type="pct"/>
                  <w:tcBorders>
                    <w:tl2br w:val="nil"/>
                    <w:tr2bl w:val="nil"/>
                  </w:tcBorders>
                  <w:shd w:val="clear" w:color="auto" w:fill="FFFFFF"/>
                  <w:tcMar>
                    <w:top w:w="0" w:type="dxa"/>
                    <w:left w:w="0" w:type="dxa"/>
                    <w:bottom w:w="0" w:type="dxa"/>
                    <w:right w:w="0" w:type="dxa"/>
                  </w:tcMar>
                  <w:vAlign w:val="center"/>
                </w:tcPr>
                <w:p w14:paraId="742CAEE8">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68.7</w:t>
                  </w:r>
                </w:p>
              </w:tc>
              <w:tc>
                <w:tcPr>
                  <w:tcW w:w="159" w:type="pct"/>
                  <w:tcBorders>
                    <w:tl2br w:val="nil"/>
                    <w:tr2bl w:val="nil"/>
                  </w:tcBorders>
                  <w:shd w:val="clear" w:color="auto" w:fill="FFFFFF"/>
                  <w:tcMar>
                    <w:top w:w="0" w:type="dxa"/>
                    <w:left w:w="0" w:type="dxa"/>
                    <w:bottom w:w="0" w:type="dxa"/>
                    <w:right w:w="0" w:type="dxa"/>
                  </w:tcMar>
                  <w:vAlign w:val="center"/>
                </w:tcPr>
                <w:p w14:paraId="05EEB0E4">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68.7</w:t>
                  </w:r>
                </w:p>
              </w:tc>
              <w:tc>
                <w:tcPr>
                  <w:tcW w:w="88" w:type="pct"/>
                  <w:tcBorders>
                    <w:tl2br w:val="nil"/>
                    <w:tr2bl w:val="nil"/>
                  </w:tcBorders>
                  <w:shd w:val="clear" w:color="auto" w:fill="FFFFFF"/>
                  <w:tcMar>
                    <w:top w:w="0" w:type="dxa"/>
                    <w:left w:w="0" w:type="dxa"/>
                    <w:bottom w:w="0" w:type="dxa"/>
                    <w:right w:w="0" w:type="dxa"/>
                  </w:tcMar>
                  <w:vAlign w:val="center"/>
                </w:tcPr>
                <w:p w14:paraId="1B12668E">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w:t>
                  </w:r>
                </w:p>
              </w:tc>
            </w:tr>
            <w:tr w14:paraId="6B7F4D2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0" w:hRule="atLeast"/>
              </w:trPr>
              <w:tc>
                <w:tcPr>
                  <w:tcW w:w="204" w:type="pct"/>
                  <w:tcBorders>
                    <w:tl2br w:val="nil"/>
                    <w:tr2bl w:val="nil"/>
                  </w:tcBorders>
                  <w:shd w:val="clear" w:color="auto" w:fill="FFFFFF"/>
                  <w:tcMar>
                    <w:top w:w="0" w:type="dxa"/>
                    <w:left w:w="0" w:type="dxa"/>
                    <w:bottom w:w="0" w:type="dxa"/>
                    <w:right w:w="0" w:type="dxa"/>
                  </w:tcMar>
                  <w:vAlign w:val="center"/>
                </w:tcPr>
                <w:p w14:paraId="1D52D511">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w:t>
                  </w:r>
                </w:p>
              </w:tc>
              <w:tc>
                <w:tcPr>
                  <w:tcW w:w="204" w:type="pct"/>
                  <w:tcBorders>
                    <w:tl2br w:val="nil"/>
                    <w:tr2bl w:val="nil"/>
                  </w:tcBorders>
                  <w:shd w:val="clear" w:color="auto" w:fill="FFFFFF"/>
                  <w:tcMar>
                    <w:top w:w="0" w:type="dxa"/>
                    <w:left w:w="0" w:type="dxa"/>
                    <w:bottom w:w="0" w:type="dxa"/>
                    <w:right w:w="0" w:type="dxa"/>
                  </w:tcMar>
                  <w:vAlign w:val="center"/>
                </w:tcPr>
                <w:p w14:paraId="51F42954">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临港高新产业园区-21#厂房</w:t>
                  </w:r>
                </w:p>
              </w:tc>
              <w:tc>
                <w:tcPr>
                  <w:tcW w:w="517" w:type="pct"/>
                  <w:tcBorders>
                    <w:tl2br w:val="nil"/>
                    <w:tr2bl w:val="nil"/>
                  </w:tcBorders>
                  <w:shd w:val="clear" w:color="auto" w:fill="FFFFFF"/>
                  <w:tcMar>
                    <w:top w:w="0" w:type="dxa"/>
                    <w:left w:w="0" w:type="dxa"/>
                    <w:bottom w:w="0" w:type="dxa"/>
                    <w:right w:w="0" w:type="dxa"/>
                  </w:tcMar>
                  <w:vAlign w:val="center"/>
                </w:tcPr>
                <w:p w14:paraId="384F050F">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卧式加工中心组,6台（按点声源组预测）</w:t>
                  </w:r>
                </w:p>
              </w:tc>
              <w:tc>
                <w:tcPr>
                  <w:tcW w:w="204" w:type="pct"/>
                  <w:tcBorders>
                    <w:tl2br w:val="nil"/>
                    <w:tr2bl w:val="nil"/>
                  </w:tcBorders>
                  <w:shd w:val="clear" w:color="auto" w:fill="FFFFFF"/>
                  <w:tcMar>
                    <w:top w:w="0" w:type="dxa"/>
                    <w:left w:w="0" w:type="dxa"/>
                    <w:bottom w:w="0" w:type="dxa"/>
                    <w:right w:w="0" w:type="dxa"/>
                  </w:tcMar>
                  <w:vAlign w:val="center"/>
                </w:tcPr>
                <w:p w14:paraId="05506BEC">
                  <w:pPr>
                    <w:rPr>
                      <w:rFonts w:hint="default" w:ascii="Times New Roman" w:hAnsi="Times New Roman" w:eastAsia="宋体" w:cs="Times New Roman"/>
                      <w:color w:val="auto"/>
                      <w:u w:val="none" w:color="auto"/>
                    </w:rPr>
                  </w:pPr>
                </w:p>
              </w:tc>
              <w:tc>
                <w:tcPr>
                  <w:tcW w:w="270" w:type="pct"/>
                  <w:tcBorders>
                    <w:tl2br w:val="nil"/>
                    <w:tr2bl w:val="nil"/>
                  </w:tcBorders>
                  <w:shd w:val="clear" w:color="auto" w:fill="FFFFFF"/>
                  <w:tcMar>
                    <w:top w:w="0" w:type="dxa"/>
                    <w:left w:w="0" w:type="dxa"/>
                    <w:bottom w:w="0" w:type="dxa"/>
                    <w:right w:w="0" w:type="dxa"/>
                  </w:tcMar>
                  <w:vAlign w:val="center"/>
                </w:tcPr>
                <w:p w14:paraId="64A755D7">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82.5（等效后：90.3)</w:t>
                  </w:r>
                </w:p>
              </w:tc>
              <w:tc>
                <w:tcPr>
                  <w:tcW w:w="204" w:type="pct"/>
                  <w:vMerge w:val="restart"/>
                  <w:tcBorders>
                    <w:tl2br w:val="nil"/>
                    <w:tr2bl w:val="nil"/>
                  </w:tcBorders>
                  <w:shd w:val="clear" w:color="auto" w:fill="FFFFFF"/>
                  <w:tcMar>
                    <w:top w:w="0" w:type="dxa"/>
                    <w:left w:w="0" w:type="dxa"/>
                    <w:bottom w:w="0" w:type="dxa"/>
                    <w:right w:w="0" w:type="dxa"/>
                  </w:tcMar>
                  <w:vAlign w:val="center"/>
                </w:tcPr>
                <w:p w14:paraId="1EBD78D6">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val="en-US" w:eastAsia="zh-CN"/>
                    </w:rPr>
                    <w:t>详见本节上表相关内容</w:t>
                  </w:r>
                </w:p>
              </w:tc>
              <w:tc>
                <w:tcPr>
                  <w:tcW w:w="234" w:type="pct"/>
                  <w:tcBorders>
                    <w:tl2br w:val="nil"/>
                    <w:tr2bl w:val="nil"/>
                  </w:tcBorders>
                  <w:shd w:val="clear" w:color="auto" w:fill="FFFFFF"/>
                  <w:tcMar>
                    <w:top w:w="0" w:type="dxa"/>
                    <w:left w:w="0" w:type="dxa"/>
                    <w:bottom w:w="0" w:type="dxa"/>
                    <w:right w:w="0" w:type="dxa"/>
                  </w:tcMar>
                  <w:vAlign w:val="center"/>
                </w:tcPr>
                <w:p w14:paraId="08B76566">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-74.1</w:t>
                  </w:r>
                </w:p>
              </w:tc>
              <w:tc>
                <w:tcPr>
                  <w:tcW w:w="189" w:type="pct"/>
                  <w:tcBorders>
                    <w:tl2br w:val="nil"/>
                    <w:tr2bl w:val="nil"/>
                  </w:tcBorders>
                  <w:shd w:val="clear" w:color="auto" w:fill="FFFFFF"/>
                  <w:tcMar>
                    <w:top w:w="0" w:type="dxa"/>
                    <w:left w:w="0" w:type="dxa"/>
                    <w:bottom w:w="0" w:type="dxa"/>
                    <w:right w:w="0" w:type="dxa"/>
                  </w:tcMar>
                  <w:vAlign w:val="center"/>
                </w:tcPr>
                <w:p w14:paraId="0D2E47B4">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30.9</w:t>
                  </w:r>
                </w:p>
              </w:tc>
              <w:tc>
                <w:tcPr>
                  <w:tcW w:w="117" w:type="pct"/>
                  <w:tcBorders>
                    <w:tl2br w:val="nil"/>
                    <w:tr2bl w:val="nil"/>
                  </w:tcBorders>
                  <w:shd w:val="clear" w:color="auto" w:fill="FFFFFF"/>
                  <w:tcMar>
                    <w:top w:w="0" w:type="dxa"/>
                    <w:left w:w="0" w:type="dxa"/>
                    <w:bottom w:w="0" w:type="dxa"/>
                    <w:right w:w="0" w:type="dxa"/>
                  </w:tcMar>
                  <w:vAlign w:val="center"/>
                </w:tcPr>
                <w:p w14:paraId="75838187">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w:t>
                  </w:r>
                </w:p>
              </w:tc>
              <w:tc>
                <w:tcPr>
                  <w:tcW w:w="160" w:type="pct"/>
                  <w:tcBorders>
                    <w:tl2br w:val="nil"/>
                    <w:tr2bl w:val="nil"/>
                  </w:tcBorders>
                  <w:shd w:val="clear" w:color="auto" w:fill="FFFFFF"/>
                  <w:tcMar>
                    <w:top w:w="0" w:type="dxa"/>
                    <w:left w:w="0" w:type="dxa"/>
                    <w:bottom w:w="0" w:type="dxa"/>
                    <w:right w:w="0" w:type="dxa"/>
                  </w:tcMar>
                  <w:vAlign w:val="center"/>
                </w:tcPr>
                <w:p w14:paraId="34D73BE8">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64.9</w:t>
                  </w:r>
                </w:p>
              </w:tc>
              <w:tc>
                <w:tcPr>
                  <w:tcW w:w="160" w:type="pct"/>
                  <w:tcBorders>
                    <w:tl2br w:val="nil"/>
                    <w:tr2bl w:val="nil"/>
                  </w:tcBorders>
                  <w:shd w:val="clear" w:color="auto" w:fill="FFFFFF"/>
                  <w:tcMar>
                    <w:top w:w="0" w:type="dxa"/>
                    <w:left w:w="0" w:type="dxa"/>
                    <w:bottom w:w="0" w:type="dxa"/>
                    <w:right w:w="0" w:type="dxa"/>
                  </w:tcMar>
                  <w:vAlign w:val="center"/>
                </w:tcPr>
                <w:p w14:paraId="64D672D3">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16.5</w:t>
                  </w:r>
                </w:p>
              </w:tc>
              <w:tc>
                <w:tcPr>
                  <w:tcW w:w="160" w:type="pct"/>
                  <w:tcBorders>
                    <w:tl2br w:val="nil"/>
                    <w:tr2bl w:val="nil"/>
                  </w:tcBorders>
                  <w:shd w:val="clear" w:color="auto" w:fill="FFFFFF"/>
                  <w:tcMar>
                    <w:top w:w="0" w:type="dxa"/>
                    <w:left w:w="0" w:type="dxa"/>
                    <w:bottom w:w="0" w:type="dxa"/>
                    <w:right w:w="0" w:type="dxa"/>
                  </w:tcMar>
                  <w:vAlign w:val="center"/>
                </w:tcPr>
                <w:p w14:paraId="521E16BC">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31.9</w:t>
                  </w:r>
                </w:p>
              </w:tc>
              <w:tc>
                <w:tcPr>
                  <w:tcW w:w="160" w:type="pct"/>
                  <w:tcBorders>
                    <w:tl2br w:val="nil"/>
                    <w:tr2bl w:val="nil"/>
                  </w:tcBorders>
                  <w:shd w:val="clear" w:color="auto" w:fill="FFFFFF"/>
                  <w:tcMar>
                    <w:top w:w="0" w:type="dxa"/>
                    <w:left w:w="0" w:type="dxa"/>
                    <w:bottom w:w="0" w:type="dxa"/>
                    <w:right w:w="0" w:type="dxa"/>
                  </w:tcMar>
                  <w:vAlign w:val="center"/>
                </w:tcPr>
                <w:p w14:paraId="428CE2DC">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13.8</w:t>
                  </w:r>
                </w:p>
              </w:tc>
              <w:tc>
                <w:tcPr>
                  <w:tcW w:w="160" w:type="pct"/>
                  <w:tcBorders>
                    <w:tl2br w:val="nil"/>
                    <w:tr2bl w:val="nil"/>
                  </w:tcBorders>
                  <w:shd w:val="clear" w:color="auto" w:fill="FFFFFF"/>
                  <w:tcMar>
                    <w:top w:w="0" w:type="dxa"/>
                    <w:left w:w="0" w:type="dxa"/>
                    <w:bottom w:w="0" w:type="dxa"/>
                    <w:right w:w="0" w:type="dxa"/>
                  </w:tcMar>
                  <w:vAlign w:val="center"/>
                </w:tcPr>
                <w:p w14:paraId="23E51DC3">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73.4</w:t>
                  </w:r>
                </w:p>
              </w:tc>
              <w:tc>
                <w:tcPr>
                  <w:tcW w:w="160" w:type="pct"/>
                  <w:tcBorders>
                    <w:tl2br w:val="nil"/>
                    <w:tr2bl w:val="nil"/>
                  </w:tcBorders>
                  <w:shd w:val="clear" w:color="auto" w:fill="FFFFFF"/>
                  <w:tcMar>
                    <w:top w:w="0" w:type="dxa"/>
                    <w:left w:w="0" w:type="dxa"/>
                    <w:bottom w:w="0" w:type="dxa"/>
                    <w:right w:w="0" w:type="dxa"/>
                  </w:tcMar>
                  <w:vAlign w:val="center"/>
                </w:tcPr>
                <w:p w14:paraId="1CD844EA">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73.5</w:t>
                  </w:r>
                </w:p>
              </w:tc>
              <w:tc>
                <w:tcPr>
                  <w:tcW w:w="160" w:type="pct"/>
                  <w:tcBorders>
                    <w:tl2br w:val="nil"/>
                    <w:tr2bl w:val="nil"/>
                  </w:tcBorders>
                  <w:shd w:val="clear" w:color="auto" w:fill="FFFFFF"/>
                  <w:tcMar>
                    <w:top w:w="0" w:type="dxa"/>
                    <w:left w:w="0" w:type="dxa"/>
                    <w:bottom w:w="0" w:type="dxa"/>
                    <w:right w:w="0" w:type="dxa"/>
                  </w:tcMar>
                  <w:vAlign w:val="center"/>
                </w:tcPr>
                <w:p w14:paraId="0CE82168">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73.5</w:t>
                  </w:r>
                </w:p>
              </w:tc>
              <w:tc>
                <w:tcPr>
                  <w:tcW w:w="160" w:type="pct"/>
                  <w:tcBorders>
                    <w:tl2br w:val="nil"/>
                    <w:tr2bl w:val="nil"/>
                  </w:tcBorders>
                  <w:shd w:val="clear" w:color="auto" w:fill="FFFFFF"/>
                  <w:tcMar>
                    <w:top w:w="0" w:type="dxa"/>
                    <w:left w:w="0" w:type="dxa"/>
                    <w:bottom w:w="0" w:type="dxa"/>
                    <w:right w:w="0" w:type="dxa"/>
                  </w:tcMar>
                  <w:vAlign w:val="center"/>
                </w:tcPr>
                <w:p w14:paraId="711E3F27">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73.5</w:t>
                  </w:r>
                </w:p>
              </w:tc>
              <w:tc>
                <w:tcPr>
                  <w:tcW w:w="204" w:type="pct"/>
                  <w:tcBorders>
                    <w:tl2br w:val="nil"/>
                    <w:tr2bl w:val="nil"/>
                  </w:tcBorders>
                  <w:shd w:val="clear" w:color="auto" w:fill="FFFFFF"/>
                  <w:tcMar>
                    <w:top w:w="0" w:type="dxa"/>
                    <w:left w:w="0" w:type="dxa"/>
                    <w:bottom w:w="0" w:type="dxa"/>
                    <w:right w:w="0" w:type="dxa"/>
                  </w:tcMar>
                  <w:vAlign w:val="center"/>
                </w:tcPr>
                <w:p w14:paraId="38D262C5">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8</w:t>
                  </w:r>
                </w:p>
              </w:tc>
              <w:tc>
                <w:tcPr>
                  <w:tcW w:w="160" w:type="pct"/>
                  <w:tcBorders>
                    <w:tl2br w:val="nil"/>
                    <w:tr2bl w:val="nil"/>
                  </w:tcBorders>
                  <w:shd w:val="clear" w:color="auto" w:fill="FFFFFF"/>
                  <w:tcMar>
                    <w:top w:w="0" w:type="dxa"/>
                    <w:left w:w="0" w:type="dxa"/>
                    <w:bottom w:w="0" w:type="dxa"/>
                    <w:right w:w="0" w:type="dxa"/>
                  </w:tcMar>
                  <w:vAlign w:val="center"/>
                </w:tcPr>
                <w:p w14:paraId="154447EE">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0" w:type="pct"/>
                  <w:tcBorders>
                    <w:tl2br w:val="nil"/>
                    <w:tr2bl w:val="nil"/>
                  </w:tcBorders>
                  <w:shd w:val="clear" w:color="auto" w:fill="FFFFFF"/>
                  <w:tcMar>
                    <w:top w:w="0" w:type="dxa"/>
                    <w:left w:w="0" w:type="dxa"/>
                    <w:bottom w:w="0" w:type="dxa"/>
                    <w:right w:w="0" w:type="dxa"/>
                  </w:tcMar>
                  <w:vAlign w:val="center"/>
                </w:tcPr>
                <w:p w14:paraId="0F5D5A9D">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0" w:type="pct"/>
                  <w:tcBorders>
                    <w:tl2br w:val="nil"/>
                    <w:tr2bl w:val="nil"/>
                  </w:tcBorders>
                  <w:shd w:val="clear" w:color="auto" w:fill="FFFFFF"/>
                  <w:tcMar>
                    <w:top w:w="0" w:type="dxa"/>
                    <w:left w:w="0" w:type="dxa"/>
                    <w:bottom w:w="0" w:type="dxa"/>
                    <w:right w:w="0" w:type="dxa"/>
                  </w:tcMar>
                  <w:vAlign w:val="center"/>
                </w:tcPr>
                <w:p w14:paraId="0269ADB8">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0" w:type="pct"/>
                  <w:tcBorders>
                    <w:tl2br w:val="nil"/>
                    <w:tr2bl w:val="nil"/>
                  </w:tcBorders>
                  <w:shd w:val="clear" w:color="auto" w:fill="FFFFFF"/>
                  <w:tcMar>
                    <w:top w:w="0" w:type="dxa"/>
                    <w:left w:w="0" w:type="dxa"/>
                    <w:bottom w:w="0" w:type="dxa"/>
                    <w:right w:w="0" w:type="dxa"/>
                  </w:tcMar>
                  <w:vAlign w:val="center"/>
                </w:tcPr>
                <w:p w14:paraId="58BA67F7">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58" w:type="pct"/>
                  <w:tcBorders>
                    <w:tl2br w:val="nil"/>
                    <w:tr2bl w:val="nil"/>
                  </w:tcBorders>
                  <w:shd w:val="clear" w:color="auto" w:fill="FFFFFF"/>
                  <w:tcMar>
                    <w:top w:w="0" w:type="dxa"/>
                    <w:left w:w="0" w:type="dxa"/>
                    <w:bottom w:w="0" w:type="dxa"/>
                    <w:right w:w="0" w:type="dxa"/>
                  </w:tcMar>
                  <w:vAlign w:val="center"/>
                </w:tcPr>
                <w:p w14:paraId="2EB5DC0E">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61.4</w:t>
                  </w:r>
                </w:p>
              </w:tc>
              <w:tc>
                <w:tcPr>
                  <w:tcW w:w="159" w:type="pct"/>
                  <w:tcBorders>
                    <w:tl2br w:val="nil"/>
                    <w:tr2bl w:val="nil"/>
                  </w:tcBorders>
                  <w:shd w:val="clear" w:color="auto" w:fill="FFFFFF"/>
                  <w:tcMar>
                    <w:top w:w="0" w:type="dxa"/>
                    <w:left w:w="0" w:type="dxa"/>
                    <w:bottom w:w="0" w:type="dxa"/>
                    <w:right w:w="0" w:type="dxa"/>
                  </w:tcMar>
                  <w:vAlign w:val="center"/>
                </w:tcPr>
                <w:p w14:paraId="2D80B53D">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61.5</w:t>
                  </w:r>
                </w:p>
              </w:tc>
              <w:tc>
                <w:tcPr>
                  <w:tcW w:w="159" w:type="pct"/>
                  <w:tcBorders>
                    <w:tl2br w:val="nil"/>
                    <w:tr2bl w:val="nil"/>
                  </w:tcBorders>
                  <w:shd w:val="clear" w:color="auto" w:fill="FFFFFF"/>
                  <w:tcMar>
                    <w:top w:w="0" w:type="dxa"/>
                    <w:left w:w="0" w:type="dxa"/>
                    <w:bottom w:w="0" w:type="dxa"/>
                    <w:right w:w="0" w:type="dxa"/>
                  </w:tcMar>
                  <w:vAlign w:val="center"/>
                </w:tcPr>
                <w:p w14:paraId="16317AC7">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61.5</w:t>
                  </w:r>
                </w:p>
              </w:tc>
              <w:tc>
                <w:tcPr>
                  <w:tcW w:w="159" w:type="pct"/>
                  <w:tcBorders>
                    <w:tl2br w:val="nil"/>
                    <w:tr2bl w:val="nil"/>
                  </w:tcBorders>
                  <w:shd w:val="clear" w:color="auto" w:fill="FFFFFF"/>
                  <w:tcMar>
                    <w:top w:w="0" w:type="dxa"/>
                    <w:left w:w="0" w:type="dxa"/>
                    <w:bottom w:w="0" w:type="dxa"/>
                    <w:right w:w="0" w:type="dxa"/>
                  </w:tcMar>
                  <w:vAlign w:val="center"/>
                </w:tcPr>
                <w:p w14:paraId="08AB9604">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61.5</w:t>
                  </w:r>
                </w:p>
              </w:tc>
              <w:tc>
                <w:tcPr>
                  <w:tcW w:w="88" w:type="pct"/>
                  <w:tcBorders>
                    <w:tl2br w:val="nil"/>
                    <w:tr2bl w:val="nil"/>
                  </w:tcBorders>
                  <w:shd w:val="clear" w:color="auto" w:fill="FFFFFF"/>
                  <w:tcMar>
                    <w:top w:w="0" w:type="dxa"/>
                    <w:left w:w="0" w:type="dxa"/>
                    <w:bottom w:w="0" w:type="dxa"/>
                    <w:right w:w="0" w:type="dxa"/>
                  </w:tcMar>
                  <w:vAlign w:val="center"/>
                </w:tcPr>
                <w:p w14:paraId="084F8EF0">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w:t>
                  </w:r>
                </w:p>
              </w:tc>
            </w:tr>
            <w:tr w14:paraId="1736D3A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0" w:hRule="atLeast"/>
              </w:trPr>
              <w:tc>
                <w:tcPr>
                  <w:tcW w:w="204" w:type="pct"/>
                  <w:tcBorders>
                    <w:tl2br w:val="nil"/>
                    <w:tr2bl w:val="nil"/>
                  </w:tcBorders>
                  <w:shd w:val="clear" w:color="auto" w:fill="FFFFFF"/>
                  <w:tcMar>
                    <w:top w:w="0" w:type="dxa"/>
                    <w:left w:w="0" w:type="dxa"/>
                    <w:bottom w:w="0" w:type="dxa"/>
                    <w:right w:w="0" w:type="dxa"/>
                  </w:tcMar>
                  <w:vAlign w:val="center"/>
                </w:tcPr>
                <w:p w14:paraId="2B733663">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13</w:t>
                  </w:r>
                </w:p>
              </w:tc>
              <w:tc>
                <w:tcPr>
                  <w:tcW w:w="204" w:type="pct"/>
                  <w:tcBorders>
                    <w:tl2br w:val="nil"/>
                    <w:tr2bl w:val="nil"/>
                  </w:tcBorders>
                  <w:shd w:val="clear" w:color="auto" w:fill="FFFFFF"/>
                  <w:tcMar>
                    <w:top w:w="0" w:type="dxa"/>
                    <w:left w:w="0" w:type="dxa"/>
                    <w:bottom w:w="0" w:type="dxa"/>
                    <w:right w:w="0" w:type="dxa"/>
                  </w:tcMar>
                  <w:vAlign w:val="center"/>
                </w:tcPr>
                <w:p w14:paraId="3888DA2D">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临港高新产业园区-21#厂房</w:t>
                  </w:r>
                </w:p>
              </w:tc>
              <w:tc>
                <w:tcPr>
                  <w:tcW w:w="517" w:type="pct"/>
                  <w:tcBorders>
                    <w:tl2br w:val="nil"/>
                    <w:tr2bl w:val="nil"/>
                  </w:tcBorders>
                  <w:shd w:val="clear" w:color="auto" w:fill="FFFFFF"/>
                  <w:tcMar>
                    <w:top w:w="0" w:type="dxa"/>
                    <w:left w:w="0" w:type="dxa"/>
                    <w:bottom w:w="0" w:type="dxa"/>
                    <w:right w:w="0" w:type="dxa"/>
                  </w:tcMar>
                  <w:vAlign w:val="center"/>
                </w:tcPr>
                <w:p w14:paraId="46096A59">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马扎克卧式加工中心组,4台（按点声源组预测）</w:t>
                  </w:r>
                </w:p>
              </w:tc>
              <w:tc>
                <w:tcPr>
                  <w:tcW w:w="204" w:type="pct"/>
                  <w:tcBorders>
                    <w:tl2br w:val="nil"/>
                    <w:tr2bl w:val="nil"/>
                  </w:tcBorders>
                  <w:shd w:val="clear" w:color="auto" w:fill="FFFFFF"/>
                  <w:tcMar>
                    <w:top w:w="0" w:type="dxa"/>
                    <w:left w:w="0" w:type="dxa"/>
                    <w:bottom w:w="0" w:type="dxa"/>
                    <w:right w:w="0" w:type="dxa"/>
                  </w:tcMar>
                  <w:vAlign w:val="center"/>
                </w:tcPr>
                <w:p w14:paraId="50D7725D">
                  <w:pPr>
                    <w:rPr>
                      <w:rFonts w:hint="default" w:ascii="Times New Roman" w:hAnsi="Times New Roman" w:eastAsia="宋体" w:cs="Times New Roman"/>
                      <w:color w:val="auto"/>
                      <w:u w:val="none" w:color="auto"/>
                    </w:rPr>
                  </w:pPr>
                </w:p>
              </w:tc>
              <w:tc>
                <w:tcPr>
                  <w:tcW w:w="270" w:type="pct"/>
                  <w:tcBorders>
                    <w:tl2br w:val="nil"/>
                    <w:tr2bl w:val="nil"/>
                  </w:tcBorders>
                  <w:shd w:val="clear" w:color="auto" w:fill="FFFFFF"/>
                  <w:tcMar>
                    <w:top w:w="0" w:type="dxa"/>
                    <w:left w:w="0" w:type="dxa"/>
                    <w:bottom w:w="0" w:type="dxa"/>
                    <w:right w:w="0" w:type="dxa"/>
                  </w:tcMar>
                  <w:vAlign w:val="center"/>
                </w:tcPr>
                <w:p w14:paraId="290666DA">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82.5（等效后：88.5)</w:t>
                  </w:r>
                </w:p>
              </w:tc>
              <w:tc>
                <w:tcPr>
                  <w:tcW w:w="204" w:type="pct"/>
                  <w:vMerge w:val="continue"/>
                  <w:tcBorders>
                    <w:tl2br w:val="nil"/>
                    <w:tr2bl w:val="nil"/>
                  </w:tcBorders>
                  <w:shd w:val="clear" w:color="auto" w:fill="FFFFFF"/>
                  <w:tcMar>
                    <w:top w:w="0" w:type="dxa"/>
                    <w:left w:w="0" w:type="dxa"/>
                    <w:bottom w:w="0" w:type="dxa"/>
                    <w:right w:w="0" w:type="dxa"/>
                  </w:tcMar>
                  <w:vAlign w:val="center"/>
                </w:tcPr>
                <w:p w14:paraId="305EF046">
                  <w:pPr>
                    <w:rPr>
                      <w:rFonts w:hint="default" w:ascii="Times New Roman" w:hAnsi="Times New Roman" w:eastAsia="宋体" w:cs="Times New Roman"/>
                      <w:color w:val="auto"/>
                      <w:u w:val="none" w:color="auto"/>
                    </w:rPr>
                  </w:pPr>
                </w:p>
              </w:tc>
              <w:tc>
                <w:tcPr>
                  <w:tcW w:w="234" w:type="pct"/>
                  <w:tcBorders>
                    <w:tl2br w:val="nil"/>
                    <w:tr2bl w:val="nil"/>
                  </w:tcBorders>
                  <w:shd w:val="clear" w:color="auto" w:fill="FFFFFF"/>
                  <w:tcMar>
                    <w:top w:w="0" w:type="dxa"/>
                    <w:left w:w="0" w:type="dxa"/>
                    <w:bottom w:w="0" w:type="dxa"/>
                    <w:right w:w="0" w:type="dxa"/>
                  </w:tcMar>
                  <w:vAlign w:val="center"/>
                </w:tcPr>
                <w:p w14:paraId="29F41FBC">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-65.2</w:t>
                  </w:r>
                </w:p>
              </w:tc>
              <w:tc>
                <w:tcPr>
                  <w:tcW w:w="189" w:type="pct"/>
                  <w:tcBorders>
                    <w:tl2br w:val="nil"/>
                    <w:tr2bl w:val="nil"/>
                  </w:tcBorders>
                  <w:shd w:val="clear" w:color="auto" w:fill="FFFFFF"/>
                  <w:tcMar>
                    <w:top w:w="0" w:type="dxa"/>
                    <w:left w:w="0" w:type="dxa"/>
                    <w:bottom w:w="0" w:type="dxa"/>
                    <w:right w:w="0" w:type="dxa"/>
                  </w:tcMar>
                  <w:vAlign w:val="center"/>
                </w:tcPr>
                <w:p w14:paraId="5C4DF12C">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28.9</w:t>
                  </w:r>
                </w:p>
              </w:tc>
              <w:tc>
                <w:tcPr>
                  <w:tcW w:w="117" w:type="pct"/>
                  <w:tcBorders>
                    <w:tl2br w:val="nil"/>
                    <w:tr2bl w:val="nil"/>
                  </w:tcBorders>
                  <w:shd w:val="clear" w:color="auto" w:fill="FFFFFF"/>
                  <w:tcMar>
                    <w:top w:w="0" w:type="dxa"/>
                    <w:left w:w="0" w:type="dxa"/>
                    <w:bottom w:w="0" w:type="dxa"/>
                    <w:right w:w="0" w:type="dxa"/>
                  </w:tcMar>
                  <w:vAlign w:val="center"/>
                </w:tcPr>
                <w:p w14:paraId="6A0CA02D">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w:t>
                  </w:r>
                </w:p>
              </w:tc>
              <w:tc>
                <w:tcPr>
                  <w:tcW w:w="160" w:type="pct"/>
                  <w:tcBorders>
                    <w:tl2br w:val="nil"/>
                    <w:tr2bl w:val="nil"/>
                  </w:tcBorders>
                  <w:shd w:val="clear" w:color="auto" w:fill="FFFFFF"/>
                  <w:tcMar>
                    <w:top w:w="0" w:type="dxa"/>
                    <w:left w:w="0" w:type="dxa"/>
                    <w:bottom w:w="0" w:type="dxa"/>
                    <w:right w:w="0" w:type="dxa"/>
                  </w:tcMar>
                  <w:vAlign w:val="center"/>
                </w:tcPr>
                <w:p w14:paraId="2E02E069">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55.8</w:t>
                  </w:r>
                </w:p>
              </w:tc>
              <w:tc>
                <w:tcPr>
                  <w:tcW w:w="160" w:type="pct"/>
                  <w:tcBorders>
                    <w:tl2br w:val="nil"/>
                    <w:tr2bl w:val="nil"/>
                  </w:tcBorders>
                  <w:shd w:val="clear" w:color="auto" w:fill="FFFFFF"/>
                  <w:tcMar>
                    <w:top w:w="0" w:type="dxa"/>
                    <w:left w:w="0" w:type="dxa"/>
                    <w:bottom w:w="0" w:type="dxa"/>
                    <w:right w:w="0" w:type="dxa"/>
                  </w:tcMar>
                  <w:vAlign w:val="center"/>
                </w:tcPr>
                <w:p w14:paraId="5F690905">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15.2</w:t>
                  </w:r>
                </w:p>
              </w:tc>
              <w:tc>
                <w:tcPr>
                  <w:tcW w:w="160" w:type="pct"/>
                  <w:tcBorders>
                    <w:tl2br w:val="nil"/>
                    <w:tr2bl w:val="nil"/>
                  </w:tcBorders>
                  <w:shd w:val="clear" w:color="auto" w:fill="FFFFFF"/>
                  <w:tcMar>
                    <w:top w:w="0" w:type="dxa"/>
                    <w:left w:w="0" w:type="dxa"/>
                    <w:bottom w:w="0" w:type="dxa"/>
                    <w:right w:w="0" w:type="dxa"/>
                  </w:tcMar>
                  <w:vAlign w:val="center"/>
                </w:tcPr>
                <w:p w14:paraId="08C576BB">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41.0</w:t>
                  </w:r>
                </w:p>
              </w:tc>
              <w:tc>
                <w:tcPr>
                  <w:tcW w:w="160" w:type="pct"/>
                  <w:tcBorders>
                    <w:tl2br w:val="nil"/>
                    <w:tr2bl w:val="nil"/>
                  </w:tcBorders>
                  <w:shd w:val="clear" w:color="auto" w:fill="FFFFFF"/>
                  <w:tcMar>
                    <w:top w:w="0" w:type="dxa"/>
                    <w:left w:w="0" w:type="dxa"/>
                    <w:bottom w:w="0" w:type="dxa"/>
                    <w:right w:w="0" w:type="dxa"/>
                  </w:tcMar>
                  <w:vAlign w:val="center"/>
                </w:tcPr>
                <w:p w14:paraId="72FDEB83">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14.9</w:t>
                  </w:r>
                </w:p>
              </w:tc>
              <w:tc>
                <w:tcPr>
                  <w:tcW w:w="160" w:type="pct"/>
                  <w:tcBorders>
                    <w:tl2br w:val="nil"/>
                    <w:tr2bl w:val="nil"/>
                  </w:tcBorders>
                  <w:shd w:val="clear" w:color="auto" w:fill="FFFFFF"/>
                  <w:tcMar>
                    <w:top w:w="0" w:type="dxa"/>
                    <w:left w:w="0" w:type="dxa"/>
                    <w:bottom w:w="0" w:type="dxa"/>
                    <w:right w:w="0" w:type="dxa"/>
                  </w:tcMar>
                  <w:vAlign w:val="center"/>
                </w:tcPr>
                <w:p w14:paraId="1C331189">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71.6</w:t>
                  </w:r>
                </w:p>
              </w:tc>
              <w:tc>
                <w:tcPr>
                  <w:tcW w:w="160" w:type="pct"/>
                  <w:tcBorders>
                    <w:tl2br w:val="nil"/>
                    <w:tr2bl w:val="nil"/>
                  </w:tcBorders>
                  <w:shd w:val="clear" w:color="auto" w:fill="FFFFFF"/>
                  <w:tcMar>
                    <w:top w:w="0" w:type="dxa"/>
                    <w:left w:w="0" w:type="dxa"/>
                    <w:bottom w:w="0" w:type="dxa"/>
                    <w:right w:w="0" w:type="dxa"/>
                  </w:tcMar>
                  <w:vAlign w:val="center"/>
                </w:tcPr>
                <w:p w14:paraId="30638AA0">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71.7</w:t>
                  </w:r>
                </w:p>
              </w:tc>
              <w:tc>
                <w:tcPr>
                  <w:tcW w:w="160" w:type="pct"/>
                  <w:tcBorders>
                    <w:tl2br w:val="nil"/>
                    <w:tr2bl w:val="nil"/>
                  </w:tcBorders>
                  <w:shd w:val="clear" w:color="auto" w:fill="FFFFFF"/>
                  <w:tcMar>
                    <w:top w:w="0" w:type="dxa"/>
                    <w:left w:w="0" w:type="dxa"/>
                    <w:bottom w:w="0" w:type="dxa"/>
                    <w:right w:w="0" w:type="dxa"/>
                  </w:tcMar>
                  <w:vAlign w:val="center"/>
                </w:tcPr>
                <w:p w14:paraId="4C649CF5">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71.6</w:t>
                  </w:r>
                </w:p>
              </w:tc>
              <w:tc>
                <w:tcPr>
                  <w:tcW w:w="160" w:type="pct"/>
                  <w:tcBorders>
                    <w:tl2br w:val="nil"/>
                    <w:tr2bl w:val="nil"/>
                  </w:tcBorders>
                  <w:shd w:val="clear" w:color="auto" w:fill="FFFFFF"/>
                  <w:tcMar>
                    <w:top w:w="0" w:type="dxa"/>
                    <w:left w:w="0" w:type="dxa"/>
                    <w:bottom w:w="0" w:type="dxa"/>
                    <w:right w:w="0" w:type="dxa"/>
                  </w:tcMar>
                  <w:vAlign w:val="center"/>
                </w:tcPr>
                <w:p w14:paraId="39337D33">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71.7</w:t>
                  </w:r>
                </w:p>
              </w:tc>
              <w:tc>
                <w:tcPr>
                  <w:tcW w:w="204" w:type="pct"/>
                  <w:tcBorders>
                    <w:tl2br w:val="nil"/>
                    <w:tr2bl w:val="nil"/>
                  </w:tcBorders>
                  <w:shd w:val="clear" w:color="auto" w:fill="FFFFFF"/>
                  <w:tcMar>
                    <w:top w:w="0" w:type="dxa"/>
                    <w:left w:w="0" w:type="dxa"/>
                    <w:bottom w:w="0" w:type="dxa"/>
                    <w:right w:w="0" w:type="dxa"/>
                  </w:tcMar>
                  <w:vAlign w:val="center"/>
                </w:tcPr>
                <w:p w14:paraId="5177802F">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8</w:t>
                  </w:r>
                </w:p>
              </w:tc>
              <w:tc>
                <w:tcPr>
                  <w:tcW w:w="160" w:type="pct"/>
                  <w:tcBorders>
                    <w:tl2br w:val="nil"/>
                    <w:tr2bl w:val="nil"/>
                  </w:tcBorders>
                  <w:shd w:val="clear" w:color="auto" w:fill="FFFFFF"/>
                  <w:tcMar>
                    <w:top w:w="0" w:type="dxa"/>
                    <w:left w:w="0" w:type="dxa"/>
                    <w:bottom w:w="0" w:type="dxa"/>
                    <w:right w:w="0" w:type="dxa"/>
                  </w:tcMar>
                  <w:vAlign w:val="center"/>
                </w:tcPr>
                <w:p w14:paraId="7AFBB188">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0" w:type="pct"/>
                  <w:tcBorders>
                    <w:tl2br w:val="nil"/>
                    <w:tr2bl w:val="nil"/>
                  </w:tcBorders>
                  <w:shd w:val="clear" w:color="auto" w:fill="FFFFFF"/>
                  <w:tcMar>
                    <w:top w:w="0" w:type="dxa"/>
                    <w:left w:w="0" w:type="dxa"/>
                    <w:bottom w:w="0" w:type="dxa"/>
                    <w:right w:w="0" w:type="dxa"/>
                  </w:tcMar>
                  <w:vAlign w:val="center"/>
                </w:tcPr>
                <w:p w14:paraId="39DF094D">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0" w:type="pct"/>
                  <w:tcBorders>
                    <w:tl2br w:val="nil"/>
                    <w:tr2bl w:val="nil"/>
                  </w:tcBorders>
                  <w:shd w:val="clear" w:color="auto" w:fill="FFFFFF"/>
                  <w:tcMar>
                    <w:top w:w="0" w:type="dxa"/>
                    <w:left w:w="0" w:type="dxa"/>
                    <w:bottom w:w="0" w:type="dxa"/>
                    <w:right w:w="0" w:type="dxa"/>
                  </w:tcMar>
                  <w:vAlign w:val="center"/>
                </w:tcPr>
                <w:p w14:paraId="07834610">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0" w:type="pct"/>
                  <w:tcBorders>
                    <w:tl2br w:val="nil"/>
                    <w:tr2bl w:val="nil"/>
                  </w:tcBorders>
                  <w:shd w:val="clear" w:color="auto" w:fill="FFFFFF"/>
                  <w:tcMar>
                    <w:top w:w="0" w:type="dxa"/>
                    <w:left w:w="0" w:type="dxa"/>
                    <w:bottom w:w="0" w:type="dxa"/>
                    <w:right w:w="0" w:type="dxa"/>
                  </w:tcMar>
                  <w:vAlign w:val="center"/>
                </w:tcPr>
                <w:p w14:paraId="620A19DC">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58" w:type="pct"/>
                  <w:tcBorders>
                    <w:tl2br w:val="nil"/>
                    <w:tr2bl w:val="nil"/>
                  </w:tcBorders>
                  <w:shd w:val="clear" w:color="auto" w:fill="FFFFFF"/>
                  <w:tcMar>
                    <w:top w:w="0" w:type="dxa"/>
                    <w:left w:w="0" w:type="dxa"/>
                    <w:bottom w:w="0" w:type="dxa"/>
                    <w:right w:w="0" w:type="dxa"/>
                  </w:tcMar>
                  <w:vAlign w:val="center"/>
                </w:tcPr>
                <w:p w14:paraId="34206106">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59.6</w:t>
                  </w:r>
                </w:p>
              </w:tc>
              <w:tc>
                <w:tcPr>
                  <w:tcW w:w="159" w:type="pct"/>
                  <w:tcBorders>
                    <w:tl2br w:val="nil"/>
                    <w:tr2bl w:val="nil"/>
                  </w:tcBorders>
                  <w:shd w:val="clear" w:color="auto" w:fill="FFFFFF"/>
                  <w:tcMar>
                    <w:top w:w="0" w:type="dxa"/>
                    <w:left w:w="0" w:type="dxa"/>
                    <w:bottom w:w="0" w:type="dxa"/>
                    <w:right w:w="0" w:type="dxa"/>
                  </w:tcMar>
                  <w:vAlign w:val="center"/>
                </w:tcPr>
                <w:p w14:paraId="529C41D6">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59.7</w:t>
                  </w:r>
                </w:p>
              </w:tc>
              <w:tc>
                <w:tcPr>
                  <w:tcW w:w="159" w:type="pct"/>
                  <w:tcBorders>
                    <w:tl2br w:val="nil"/>
                    <w:tr2bl w:val="nil"/>
                  </w:tcBorders>
                  <w:shd w:val="clear" w:color="auto" w:fill="FFFFFF"/>
                  <w:tcMar>
                    <w:top w:w="0" w:type="dxa"/>
                    <w:left w:w="0" w:type="dxa"/>
                    <w:bottom w:w="0" w:type="dxa"/>
                    <w:right w:w="0" w:type="dxa"/>
                  </w:tcMar>
                  <w:vAlign w:val="center"/>
                </w:tcPr>
                <w:p w14:paraId="16995039">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59.6</w:t>
                  </w:r>
                </w:p>
              </w:tc>
              <w:tc>
                <w:tcPr>
                  <w:tcW w:w="159" w:type="pct"/>
                  <w:tcBorders>
                    <w:tl2br w:val="nil"/>
                    <w:tr2bl w:val="nil"/>
                  </w:tcBorders>
                  <w:shd w:val="clear" w:color="auto" w:fill="FFFFFF"/>
                  <w:tcMar>
                    <w:top w:w="0" w:type="dxa"/>
                    <w:left w:w="0" w:type="dxa"/>
                    <w:bottom w:w="0" w:type="dxa"/>
                    <w:right w:w="0" w:type="dxa"/>
                  </w:tcMar>
                  <w:vAlign w:val="center"/>
                </w:tcPr>
                <w:p w14:paraId="0C02B20B">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59.7</w:t>
                  </w:r>
                </w:p>
              </w:tc>
              <w:tc>
                <w:tcPr>
                  <w:tcW w:w="88" w:type="pct"/>
                  <w:tcBorders>
                    <w:tl2br w:val="nil"/>
                    <w:tr2bl w:val="nil"/>
                  </w:tcBorders>
                  <w:shd w:val="clear" w:color="auto" w:fill="FFFFFF"/>
                  <w:tcMar>
                    <w:top w:w="0" w:type="dxa"/>
                    <w:left w:w="0" w:type="dxa"/>
                    <w:bottom w:w="0" w:type="dxa"/>
                    <w:right w:w="0" w:type="dxa"/>
                  </w:tcMar>
                  <w:vAlign w:val="center"/>
                </w:tcPr>
                <w:p w14:paraId="437B6FA0">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w:t>
                  </w:r>
                </w:p>
              </w:tc>
            </w:tr>
            <w:tr w14:paraId="42E5FCF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0" w:hRule="atLeast"/>
              </w:trPr>
              <w:tc>
                <w:tcPr>
                  <w:tcW w:w="204" w:type="pct"/>
                  <w:tcBorders>
                    <w:tl2br w:val="nil"/>
                    <w:tr2bl w:val="nil"/>
                  </w:tcBorders>
                  <w:shd w:val="clear" w:color="auto" w:fill="FFFFFF"/>
                  <w:tcMar>
                    <w:top w:w="0" w:type="dxa"/>
                    <w:left w:w="0" w:type="dxa"/>
                    <w:bottom w:w="0" w:type="dxa"/>
                    <w:right w:w="0" w:type="dxa"/>
                  </w:tcMar>
                  <w:vAlign w:val="center"/>
                </w:tcPr>
                <w:p w14:paraId="4C3A596E">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14</w:t>
                  </w:r>
                </w:p>
              </w:tc>
              <w:tc>
                <w:tcPr>
                  <w:tcW w:w="204" w:type="pct"/>
                  <w:tcBorders>
                    <w:tl2br w:val="nil"/>
                    <w:tr2bl w:val="nil"/>
                  </w:tcBorders>
                  <w:shd w:val="clear" w:color="auto" w:fill="FFFFFF"/>
                  <w:tcMar>
                    <w:top w:w="0" w:type="dxa"/>
                    <w:left w:w="0" w:type="dxa"/>
                    <w:bottom w:w="0" w:type="dxa"/>
                    <w:right w:w="0" w:type="dxa"/>
                  </w:tcMar>
                  <w:vAlign w:val="center"/>
                </w:tcPr>
                <w:p w14:paraId="258C1F00">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临港高新产业园区-21#厂房</w:t>
                  </w:r>
                </w:p>
              </w:tc>
              <w:tc>
                <w:tcPr>
                  <w:tcW w:w="517" w:type="pct"/>
                  <w:tcBorders>
                    <w:tl2br w:val="nil"/>
                    <w:tr2bl w:val="nil"/>
                  </w:tcBorders>
                  <w:shd w:val="clear" w:color="auto" w:fill="FFFFFF"/>
                  <w:tcMar>
                    <w:top w:w="0" w:type="dxa"/>
                    <w:left w:w="0" w:type="dxa"/>
                    <w:bottom w:w="0" w:type="dxa"/>
                    <w:right w:w="0" w:type="dxa"/>
                  </w:tcMar>
                  <w:vAlign w:val="center"/>
                </w:tcPr>
                <w:p w14:paraId="180BCA3A">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恒温水槽泵机组,3台（按点声源组预测）</w:t>
                  </w:r>
                </w:p>
              </w:tc>
              <w:tc>
                <w:tcPr>
                  <w:tcW w:w="204" w:type="pct"/>
                  <w:tcBorders>
                    <w:tl2br w:val="nil"/>
                    <w:tr2bl w:val="nil"/>
                  </w:tcBorders>
                  <w:shd w:val="clear" w:color="auto" w:fill="FFFFFF"/>
                  <w:tcMar>
                    <w:top w:w="0" w:type="dxa"/>
                    <w:left w:w="0" w:type="dxa"/>
                    <w:bottom w:w="0" w:type="dxa"/>
                    <w:right w:w="0" w:type="dxa"/>
                  </w:tcMar>
                  <w:vAlign w:val="center"/>
                </w:tcPr>
                <w:p w14:paraId="37B810AC">
                  <w:pPr>
                    <w:rPr>
                      <w:rFonts w:hint="default" w:ascii="Times New Roman" w:hAnsi="Times New Roman" w:eastAsia="宋体" w:cs="Times New Roman"/>
                      <w:color w:val="auto"/>
                      <w:u w:val="none" w:color="auto"/>
                    </w:rPr>
                  </w:pPr>
                </w:p>
              </w:tc>
              <w:tc>
                <w:tcPr>
                  <w:tcW w:w="270" w:type="pct"/>
                  <w:tcBorders>
                    <w:tl2br w:val="nil"/>
                    <w:tr2bl w:val="nil"/>
                  </w:tcBorders>
                  <w:shd w:val="clear" w:color="auto" w:fill="FFFFFF"/>
                  <w:tcMar>
                    <w:top w:w="0" w:type="dxa"/>
                    <w:left w:w="0" w:type="dxa"/>
                    <w:bottom w:w="0" w:type="dxa"/>
                    <w:right w:w="0" w:type="dxa"/>
                  </w:tcMar>
                  <w:vAlign w:val="center"/>
                </w:tcPr>
                <w:p w14:paraId="14B9F1AE">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77.5（等效后：82.3)</w:t>
                  </w:r>
                </w:p>
              </w:tc>
              <w:tc>
                <w:tcPr>
                  <w:tcW w:w="204" w:type="pct"/>
                  <w:vMerge w:val="continue"/>
                  <w:tcBorders>
                    <w:tl2br w:val="nil"/>
                    <w:tr2bl w:val="nil"/>
                  </w:tcBorders>
                  <w:shd w:val="clear" w:color="auto" w:fill="FFFFFF"/>
                  <w:tcMar>
                    <w:top w:w="0" w:type="dxa"/>
                    <w:left w:w="0" w:type="dxa"/>
                    <w:bottom w:w="0" w:type="dxa"/>
                    <w:right w:w="0" w:type="dxa"/>
                  </w:tcMar>
                  <w:vAlign w:val="center"/>
                </w:tcPr>
                <w:p w14:paraId="07FD0713">
                  <w:pPr>
                    <w:rPr>
                      <w:rFonts w:hint="default" w:ascii="Times New Roman" w:hAnsi="Times New Roman" w:eastAsia="宋体" w:cs="Times New Roman"/>
                      <w:color w:val="auto"/>
                      <w:u w:val="none" w:color="auto"/>
                    </w:rPr>
                  </w:pPr>
                </w:p>
              </w:tc>
              <w:tc>
                <w:tcPr>
                  <w:tcW w:w="234" w:type="pct"/>
                  <w:tcBorders>
                    <w:tl2br w:val="nil"/>
                    <w:tr2bl w:val="nil"/>
                  </w:tcBorders>
                  <w:shd w:val="clear" w:color="auto" w:fill="FFFFFF"/>
                  <w:tcMar>
                    <w:top w:w="0" w:type="dxa"/>
                    <w:left w:w="0" w:type="dxa"/>
                    <w:bottom w:w="0" w:type="dxa"/>
                    <w:right w:w="0" w:type="dxa"/>
                  </w:tcMar>
                  <w:vAlign w:val="center"/>
                </w:tcPr>
                <w:p w14:paraId="6CAE2ECD">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-30.7</w:t>
                  </w:r>
                </w:p>
              </w:tc>
              <w:tc>
                <w:tcPr>
                  <w:tcW w:w="189" w:type="pct"/>
                  <w:tcBorders>
                    <w:tl2br w:val="nil"/>
                    <w:tr2bl w:val="nil"/>
                  </w:tcBorders>
                  <w:shd w:val="clear" w:color="auto" w:fill="FFFFFF"/>
                  <w:tcMar>
                    <w:top w:w="0" w:type="dxa"/>
                    <w:left w:w="0" w:type="dxa"/>
                    <w:bottom w:w="0" w:type="dxa"/>
                    <w:right w:w="0" w:type="dxa"/>
                  </w:tcMar>
                  <w:vAlign w:val="center"/>
                </w:tcPr>
                <w:p w14:paraId="408AE895">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19.8</w:t>
                  </w:r>
                </w:p>
              </w:tc>
              <w:tc>
                <w:tcPr>
                  <w:tcW w:w="117" w:type="pct"/>
                  <w:tcBorders>
                    <w:tl2br w:val="nil"/>
                    <w:tr2bl w:val="nil"/>
                  </w:tcBorders>
                  <w:shd w:val="clear" w:color="auto" w:fill="FFFFFF"/>
                  <w:tcMar>
                    <w:top w:w="0" w:type="dxa"/>
                    <w:left w:w="0" w:type="dxa"/>
                    <w:bottom w:w="0" w:type="dxa"/>
                    <w:right w:w="0" w:type="dxa"/>
                  </w:tcMar>
                  <w:vAlign w:val="center"/>
                </w:tcPr>
                <w:p w14:paraId="65A55BA8">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w:t>
                  </w:r>
                </w:p>
              </w:tc>
              <w:tc>
                <w:tcPr>
                  <w:tcW w:w="160" w:type="pct"/>
                  <w:tcBorders>
                    <w:tl2br w:val="nil"/>
                    <w:tr2bl w:val="nil"/>
                  </w:tcBorders>
                  <w:shd w:val="clear" w:color="auto" w:fill="FFFFFF"/>
                  <w:tcMar>
                    <w:top w:w="0" w:type="dxa"/>
                    <w:left w:w="0" w:type="dxa"/>
                    <w:bottom w:w="0" w:type="dxa"/>
                    <w:right w:w="0" w:type="dxa"/>
                  </w:tcMar>
                  <w:vAlign w:val="center"/>
                </w:tcPr>
                <w:p w14:paraId="0733E0BF">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20.3</w:t>
                  </w:r>
                </w:p>
              </w:tc>
              <w:tc>
                <w:tcPr>
                  <w:tcW w:w="160" w:type="pct"/>
                  <w:tcBorders>
                    <w:tl2br w:val="nil"/>
                    <w:tr2bl w:val="nil"/>
                  </w:tcBorders>
                  <w:shd w:val="clear" w:color="auto" w:fill="FFFFFF"/>
                  <w:tcMar>
                    <w:top w:w="0" w:type="dxa"/>
                    <w:left w:w="0" w:type="dxa"/>
                    <w:bottom w:w="0" w:type="dxa"/>
                    <w:right w:w="0" w:type="dxa"/>
                  </w:tcMar>
                  <w:vAlign w:val="center"/>
                </w:tcPr>
                <w:p w14:paraId="6815B591">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9.1</w:t>
                  </w:r>
                </w:p>
              </w:tc>
              <w:tc>
                <w:tcPr>
                  <w:tcW w:w="160" w:type="pct"/>
                  <w:tcBorders>
                    <w:tl2br w:val="nil"/>
                    <w:tr2bl w:val="nil"/>
                  </w:tcBorders>
                  <w:shd w:val="clear" w:color="auto" w:fill="FFFFFF"/>
                  <w:tcMar>
                    <w:top w:w="0" w:type="dxa"/>
                    <w:left w:w="0" w:type="dxa"/>
                    <w:bottom w:w="0" w:type="dxa"/>
                    <w:right w:w="0" w:type="dxa"/>
                  </w:tcMar>
                  <w:vAlign w:val="center"/>
                </w:tcPr>
                <w:p w14:paraId="6CA4934E">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76.2</w:t>
                  </w:r>
                </w:p>
              </w:tc>
              <w:tc>
                <w:tcPr>
                  <w:tcW w:w="160" w:type="pct"/>
                  <w:tcBorders>
                    <w:tl2br w:val="nil"/>
                    <w:tr2bl w:val="nil"/>
                  </w:tcBorders>
                  <w:shd w:val="clear" w:color="auto" w:fill="FFFFFF"/>
                  <w:tcMar>
                    <w:top w:w="0" w:type="dxa"/>
                    <w:left w:w="0" w:type="dxa"/>
                    <w:bottom w:w="0" w:type="dxa"/>
                    <w:right w:w="0" w:type="dxa"/>
                  </w:tcMar>
                  <w:vAlign w:val="center"/>
                </w:tcPr>
                <w:p w14:paraId="5BEEA975">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20.3</w:t>
                  </w:r>
                </w:p>
              </w:tc>
              <w:tc>
                <w:tcPr>
                  <w:tcW w:w="160" w:type="pct"/>
                  <w:tcBorders>
                    <w:tl2br w:val="nil"/>
                    <w:tr2bl w:val="nil"/>
                  </w:tcBorders>
                  <w:shd w:val="clear" w:color="auto" w:fill="FFFFFF"/>
                  <w:tcMar>
                    <w:top w:w="0" w:type="dxa"/>
                    <w:left w:w="0" w:type="dxa"/>
                    <w:bottom w:w="0" w:type="dxa"/>
                    <w:right w:w="0" w:type="dxa"/>
                  </w:tcMar>
                  <w:vAlign w:val="center"/>
                </w:tcPr>
                <w:p w14:paraId="2E27AF54">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65.5</w:t>
                  </w:r>
                </w:p>
              </w:tc>
              <w:tc>
                <w:tcPr>
                  <w:tcW w:w="160" w:type="pct"/>
                  <w:tcBorders>
                    <w:tl2br w:val="nil"/>
                    <w:tr2bl w:val="nil"/>
                  </w:tcBorders>
                  <w:shd w:val="clear" w:color="auto" w:fill="FFFFFF"/>
                  <w:tcMar>
                    <w:top w:w="0" w:type="dxa"/>
                    <w:left w:w="0" w:type="dxa"/>
                    <w:bottom w:w="0" w:type="dxa"/>
                    <w:right w:w="0" w:type="dxa"/>
                  </w:tcMar>
                  <w:vAlign w:val="center"/>
                </w:tcPr>
                <w:p w14:paraId="55AB81BB">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65.6</w:t>
                  </w:r>
                </w:p>
              </w:tc>
              <w:tc>
                <w:tcPr>
                  <w:tcW w:w="160" w:type="pct"/>
                  <w:tcBorders>
                    <w:tl2br w:val="nil"/>
                    <w:tr2bl w:val="nil"/>
                  </w:tcBorders>
                  <w:shd w:val="clear" w:color="auto" w:fill="FFFFFF"/>
                  <w:tcMar>
                    <w:top w:w="0" w:type="dxa"/>
                    <w:left w:w="0" w:type="dxa"/>
                    <w:bottom w:w="0" w:type="dxa"/>
                    <w:right w:w="0" w:type="dxa"/>
                  </w:tcMar>
                  <w:vAlign w:val="center"/>
                </w:tcPr>
                <w:p w14:paraId="4A7D0DBF">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65.4</w:t>
                  </w:r>
                </w:p>
              </w:tc>
              <w:tc>
                <w:tcPr>
                  <w:tcW w:w="160" w:type="pct"/>
                  <w:tcBorders>
                    <w:tl2br w:val="nil"/>
                    <w:tr2bl w:val="nil"/>
                  </w:tcBorders>
                  <w:shd w:val="clear" w:color="auto" w:fill="FFFFFF"/>
                  <w:tcMar>
                    <w:top w:w="0" w:type="dxa"/>
                    <w:left w:w="0" w:type="dxa"/>
                    <w:bottom w:w="0" w:type="dxa"/>
                    <w:right w:w="0" w:type="dxa"/>
                  </w:tcMar>
                  <w:vAlign w:val="center"/>
                </w:tcPr>
                <w:p w14:paraId="00A021FB">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65.5</w:t>
                  </w:r>
                </w:p>
              </w:tc>
              <w:tc>
                <w:tcPr>
                  <w:tcW w:w="204" w:type="pct"/>
                  <w:tcBorders>
                    <w:tl2br w:val="nil"/>
                    <w:tr2bl w:val="nil"/>
                  </w:tcBorders>
                  <w:shd w:val="clear" w:color="auto" w:fill="FFFFFF"/>
                  <w:tcMar>
                    <w:top w:w="0" w:type="dxa"/>
                    <w:left w:w="0" w:type="dxa"/>
                    <w:bottom w:w="0" w:type="dxa"/>
                    <w:right w:w="0" w:type="dxa"/>
                  </w:tcMar>
                  <w:vAlign w:val="center"/>
                </w:tcPr>
                <w:p w14:paraId="6BF67F52">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8</w:t>
                  </w:r>
                </w:p>
              </w:tc>
              <w:tc>
                <w:tcPr>
                  <w:tcW w:w="160" w:type="pct"/>
                  <w:tcBorders>
                    <w:tl2br w:val="nil"/>
                    <w:tr2bl w:val="nil"/>
                  </w:tcBorders>
                  <w:shd w:val="clear" w:color="auto" w:fill="FFFFFF"/>
                  <w:tcMar>
                    <w:top w:w="0" w:type="dxa"/>
                    <w:left w:w="0" w:type="dxa"/>
                    <w:bottom w:w="0" w:type="dxa"/>
                    <w:right w:w="0" w:type="dxa"/>
                  </w:tcMar>
                  <w:vAlign w:val="center"/>
                </w:tcPr>
                <w:p w14:paraId="67672E19">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0" w:type="pct"/>
                  <w:tcBorders>
                    <w:tl2br w:val="nil"/>
                    <w:tr2bl w:val="nil"/>
                  </w:tcBorders>
                  <w:shd w:val="clear" w:color="auto" w:fill="FFFFFF"/>
                  <w:tcMar>
                    <w:top w:w="0" w:type="dxa"/>
                    <w:left w:w="0" w:type="dxa"/>
                    <w:bottom w:w="0" w:type="dxa"/>
                    <w:right w:w="0" w:type="dxa"/>
                  </w:tcMar>
                  <w:vAlign w:val="center"/>
                </w:tcPr>
                <w:p w14:paraId="4C179F99">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0" w:type="pct"/>
                  <w:tcBorders>
                    <w:tl2br w:val="nil"/>
                    <w:tr2bl w:val="nil"/>
                  </w:tcBorders>
                  <w:shd w:val="clear" w:color="auto" w:fill="FFFFFF"/>
                  <w:tcMar>
                    <w:top w:w="0" w:type="dxa"/>
                    <w:left w:w="0" w:type="dxa"/>
                    <w:bottom w:w="0" w:type="dxa"/>
                    <w:right w:w="0" w:type="dxa"/>
                  </w:tcMar>
                  <w:vAlign w:val="center"/>
                </w:tcPr>
                <w:p w14:paraId="0ED01CF7">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0" w:type="pct"/>
                  <w:tcBorders>
                    <w:tl2br w:val="nil"/>
                    <w:tr2bl w:val="nil"/>
                  </w:tcBorders>
                  <w:shd w:val="clear" w:color="auto" w:fill="FFFFFF"/>
                  <w:tcMar>
                    <w:top w:w="0" w:type="dxa"/>
                    <w:left w:w="0" w:type="dxa"/>
                    <w:bottom w:w="0" w:type="dxa"/>
                    <w:right w:w="0" w:type="dxa"/>
                  </w:tcMar>
                  <w:vAlign w:val="center"/>
                </w:tcPr>
                <w:p w14:paraId="56FBFC7D">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58" w:type="pct"/>
                  <w:tcBorders>
                    <w:tl2br w:val="nil"/>
                    <w:tr2bl w:val="nil"/>
                  </w:tcBorders>
                  <w:shd w:val="clear" w:color="auto" w:fill="FFFFFF"/>
                  <w:tcMar>
                    <w:top w:w="0" w:type="dxa"/>
                    <w:left w:w="0" w:type="dxa"/>
                    <w:bottom w:w="0" w:type="dxa"/>
                    <w:right w:w="0" w:type="dxa"/>
                  </w:tcMar>
                  <w:vAlign w:val="center"/>
                </w:tcPr>
                <w:p w14:paraId="5AA3D52E">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53.5</w:t>
                  </w:r>
                </w:p>
              </w:tc>
              <w:tc>
                <w:tcPr>
                  <w:tcW w:w="159" w:type="pct"/>
                  <w:tcBorders>
                    <w:tl2br w:val="nil"/>
                    <w:tr2bl w:val="nil"/>
                  </w:tcBorders>
                  <w:shd w:val="clear" w:color="auto" w:fill="FFFFFF"/>
                  <w:tcMar>
                    <w:top w:w="0" w:type="dxa"/>
                    <w:left w:w="0" w:type="dxa"/>
                    <w:bottom w:w="0" w:type="dxa"/>
                    <w:right w:w="0" w:type="dxa"/>
                  </w:tcMar>
                  <w:vAlign w:val="center"/>
                </w:tcPr>
                <w:p w14:paraId="51F3493E">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53.6</w:t>
                  </w:r>
                </w:p>
              </w:tc>
              <w:tc>
                <w:tcPr>
                  <w:tcW w:w="159" w:type="pct"/>
                  <w:tcBorders>
                    <w:tl2br w:val="nil"/>
                    <w:tr2bl w:val="nil"/>
                  </w:tcBorders>
                  <w:shd w:val="clear" w:color="auto" w:fill="FFFFFF"/>
                  <w:tcMar>
                    <w:top w:w="0" w:type="dxa"/>
                    <w:left w:w="0" w:type="dxa"/>
                    <w:bottom w:w="0" w:type="dxa"/>
                    <w:right w:w="0" w:type="dxa"/>
                  </w:tcMar>
                  <w:vAlign w:val="center"/>
                </w:tcPr>
                <w:p w14:paraId="51B896C2">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53.4</w:t>
                  </w:r>
                </w:p>
              </w:tc>
              <w:tc>
                <w:tcPr>
                  <w:tcW w:w="159" w:type="pct"/>
                  <w:tcBorders>
                    <w:tl2br w:val="nil"/>
                    <w:tr2bl w:val="nil"/>
                  </w:tcBorders>
                  <w:shd w:val="clear" w:color="auto" w:fill="FFFFFF"/>
                  <w:tcMar>
                    <w:top w:w="0" w:type="dxa"/>
                    <w:left w:w="0" w:type="dxa"/>
                    <w:bottom w:w="0" w:type="dxa"/>
                    <w:right w:w="0" w:type="dxa"/>
                  </w:tcMar>
                  <w:vAlign w:val="center"/>
                </w:tcPr>
                <w:p w14:paraId="00C7A8C9">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53.5</w:t>
                  </w:r>
                </w:p>
              </w:tc>
              <w:tc>
                <w:tcPr>
                  <w:tcW w:w="88" w:type="pct"/>
                  <w:tcBorders>
                    <w:tl2br w:val="nil"/>
                    <w:tr2bl w:val="nil"/>
                  </w:tcBorders>
                  <w:shd w:val="clear" w:color="auto" w:fill="FFFFFF"/>
                  <w:tcMar>
                    <w:top w:w="0" w:type="dxa"/>
                    <w:left w:w="0" w:type="dxa"/>
                    <w:bottom w:w="0" w:type="dxa"/>
                    <w:right w:w="0" w:type="dxa"/>
                  </w:tcMar>
                  <w:vAlign w:val="center"/>
                </w:tcPr>
                <w:p w14:paraId="7128BAEB">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w:t>
                  </w:r>
                </w:p>
              </w:tc>
            </w:tr>
            <w:tr w14:paraId="0B20B69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0" w:hRule="atLeast"/>
              </w:trPr>
              <w:tc>
                <w:tcPr>
                  <w:tcW w:w="204" w:type="pct"/>
                  <w:tcBorders>
                    <w:tl2br w:val="nil"/>
                    <w:tr2bl w:val="nil"/>
                  </w:tcBorders>
                  <w:shd w:val="clear" w:color="auto" w:fill="FFFFFF"/>
                  <w:tcMar>
                    <w:top w:w="0" w:type="dxa"/>
                    <w:left w:w="0" w:type="dxa"/>
                    <w:bottom w:w="0" w:type="dxa"/>
                    <w:right w:w="0" w:type="dxa"/>
                  </w:tcMar>
                  <w:vAlign w:val="center"/>
                </w:tcPr>
                <w:p w14:paraId="51D246F4">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15</w:t>
                  </w:r>
                </w:p>
              </w:tc>
              <w:tc>
                <w:tcPr>
                  <w:tcW w:w="204" w:type="pct"/>
                  <w:tcBorders>
                    <w:tl2br w:val="nil"/>
                    <w:tr2bl w:val="nil"/>
                  </w:tcBorders>
                  <w:shd w:val="clear" w:color="auto" w:fill="FFFFFF"/>
                  <w:tcMar>
                    <w:top w:w="0" w:type="dxa"/>
                    <w:left w:w="0" w:type="dxa"/>
                    <w:bottom w:w="0" w:type="dxa"/>
                    <w:right w:w="0" w:type="dxa"/>
                  </w:tcMar>
                  <w:vAlign w:val="center"/>
                </w:tcPr>
                <w:p w14:paraId="245C8DA5">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临港高新产业园区-21#厂房</w:t>
                  </w:r>
                </w:p>
              </w:tc>
              <w:tc>
                <w:tcPr>
                  <w:tcW w:w="517" w:type="pct"/>
                  <w:tcBorders>
                    <w:tl2br w:val="nil"/>
                    <w:tr2bl w:val="nil"/>
                  </w:tcBorders>
                  <w:shd w:val="clear" w:color="auto" w:fill="FFFFFF"/>
                  <w:tcMar>
                    <w:top w:w="0" w:type="dxa"/>
                    <w:left w:w="0" w:type="dxa"/>
                    <w:bottom w:w="0" w:type="dxa"/>
                    <w:right w:w="0" w:type="dxa"/>
                  </w:tcMar>
                  <w:vAlign w:val="center"/>
                </w:tcPr>
                <w:p w14:paraId="18C3CA97">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智能机器人清洗系统组,2台（按点声源组预测）</w:t>
                  </w:r>
                </w:p>
              </w:tc>
              <w:tc>
                <w:tcPr>
                  <w:tcW w:w="204" w:type="pct"/>
                  <w:tcBorders>
                    <w:tl2br w:val="nil"/>
                    <w:tr2bl w:val="nil"/>
                  </w:tcBorders>
                  <w:shd w:val="clear" w:color="auto" w:fill="FFFFFF"/>
                  <w:tcMar>
                    <w:top w:w="0" w:type="dxa"/>
                    <w:left w:w="0" w:type="dxa"/>
                    <w:bottom w:w="0" w:type="dxa"/>
                    <w:right w:w="0" w:type="dxa"/>
                  </w:tcMar>
                  <w:vAlign w:val="center"/>
                </w:tcPr>
                <w:p w14:paraId="68EBA6A3">
                  <w:pPr>
                    <w:rPr>
                      <w:rFonts w:hint="default" w:ascii="Times New Roman" w:hAnsi="Times New Roman" w:eastAsia="宋体" w:cs="Times New Roman"/>
                      <w:color w:val="auto"/>
                      <w:u w:val="none" w:color="auto"/>
                    </w:rPr>
                  </w:pPr>
                </w:p>
              </w:tc>
              <w:tc>
                <w:tcPr>
                  <w:tcW w:w="270" w:type="pct"/>
                  <w:tcBorders>
                    <w:tl2br w:val="nil"/>
                    <w:tr2bl w:val="nil"/>
                  </w:tcBorders>
                  <w:shd w:val="clear" w:color="auto" w:fill="FFFFFF"/>
                  <w:tcMar>
                    <w:top w:w="0" w:type="dxa"/>
                    <w:left w:w="0" w:type="dxa"/>
                    <w:bottom w:w="0" w:type="dxa"/>
                    <w:right w:w="0" w:type="dxa"/>
                  </w:tcMar>
                  <w:vAlign w:val="center"/>
                </w:tcPr>
                <w:p w14:paraId="30C8223D">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82.5（等效后：85.5)</w:t>
                  </w:r>
                </w:p>
              </w:tc>
              <w:tc>
                <w:tcPr>
                  <w:tcW w:w="204" w:type="pct"/>
                  <w:vMerge w:val="continue"/>
                  <w:tcBorders>
                    <w:tl2br w:val="nil"/>
                    <w:tr2bl w:val="nil"/>
                  </w:tcBorders>
                  <w:shd w:val="clear" w:color="auto" w:fill="FFFFFF"/>
                  <w:tcMar>
                    <w:top w:w="0" w:type="dxa"/>
                    <w:left w:w="0" w:type="dxa"/>
                    <w:bottom w:w="0" w:type="dxa"/>
                    <w:right w:w="0" w:type="dxa"/>
                  </w:tcMar>
                  <w:vAlign w:val="center"/>
                </w:tcPr>
                <w:p w14:paraId="7A143D91">
                  <w:pPr>
                    <w:rPr>
                      <w:rFonts w:hint="default" w:ascii="Times New Roman" w:hAnsi="Times New Roman" w:eastAsia="宋体" w:cs="Times New Roman"/>
                      <w:color w:val="auto"/>
                      <w:u w:val="none" w:color="auto"/>
                    </w:rPr>
                  </w:pPr>
                </w:p>
              </w:tc>
              <w:tc>
                <w:tcPr>
                  <w:tcW w:w="234" w:type="pct"/>
                  <w:tcBorders>
                    <w:tl2br w:val="nil"/>
                    <w:tr2bl w:val="nil"/>
                  </w:tcBorders>
                  <w:shd w:val="clear" w:color="auto" w:fill="FFFFFF"/>
                  <w:tcMar>
                    <w:top w:w="0" w:type="dxa"/>
                    <w:left w:w="0" w:type="dxa"/>
                    <w:bottom w:w="0" w:type="dxa"/>
                    <w:right w:w="0" w:type="dxa"/>
                  </w:tcMar>
                  <w:vAlign w:val="center"/>
                </w:tcPr>
                <w:p w14:paraId="5FDA586C">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-49.3</w:t>
                  </w:r>
                </w:p>
              </w:tc>
              <w:tc>
                <w:tcPr>
                  <w:tcW w:w="189" w:type="pct"/>
                  <w:tcBorders>
                    <w:tl2br w:val="nil"/>
                    <w:tr2bl w:val="nil"/>
                  </w:tcBorders>
                  <w:shd w:val="clear" w:color="auto" w:fill="FFFFFF"/>
                  <w:tcMar>
                    <w:top w:w="0" w:type="dxa"/>
                    <w:left w:w="0" w:type="dxa"/>
                    <w:bottom w:w="0" w:type="dxa"/>
                    <w:right w:w="0" w:type="dxa"/>
                  </w:tcMar>
                  <w:vAlign w:val="center"/>
                </w:tcPr>
                <w:p w14:paraId="23824E85">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19.4</w:t>
                  </w:r>
                </w:p>
              </w:tc>
              <w:tc>
                <w:tcPr>
                  <w:tcW w:w="117" w:type="pct"/>
                  <w:tcBorders>
                    <w:tl2br w:val="nil"/>
                    <w:tr2bl w:val="nil"/>
                  </w:tcBorders>
                  <w:shd w:val="clear" w:color="auto" w:fill="FFFFFF"/>
                  <w:tcMar>
                    <w:top w:w="0" w:type="dxa"/>
                    <w:left w:w="0" w:type="dxa"/>
                    <w:bottom w:w="0" w:type="dxa"/>
                    <w:right w:w="0" w:type="dxa"/>
                  </w:tcMar>
                  <w:vAlign w:val="center"/>
                </w:tcPr>
                <w:p w14:paraId="4622C3DC">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w:t>
                  </w:r>
                </w:p>
              </w:tc>
              <w:tc>
                <w:tcPr>
                  <w:tcW w:w="160" w:type="pct"/>
                  <w:tcBorders>
                    <w:tl2br w:val="nil"/>
                    <w:tr2bl w:val="nil"/>
                  </w:tcBorders>
                  <w:shd w:val="clear" w:color="auto" w:fill="FFFFFF"/>
                  <w:tcMar>
                    <w:top w:w="0" w:type="dxa"/>
                    <w:left w:w="0" w:type="dxa"/>
                    <w:bottom w:w="0" w:type="dxa"/>
                    <w:right w:w="0" w:type="dxa"/>
                  </w:tcMar>
                  <w:vAlign w:val="center"/>
                </w:tcPr>
                <w:p w14:paraId="564184F8">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38.6</w:t>
                  </w:r>
                </w:p>
              </w:tc>
              <w:tc>
                <w:tcPr>
                  <w:tcW w:w="160" w:type="pct"/>
                  <w:tcBorders>
                    <w:tl2br w:val="nil"/>
                    <w:tr2bl w:val="nil"/>
                  </w:tcBorders>
                  <w:shd w:val="clear" w:color="auto" w:fill="FFFFFF"/>
                  <w:tcMar>
                    <w:top w:w="0" w:type="dxa"/>
                    <w:left w:w="0" w:type="dxa"/>
                    <w:bottom w:w="0" w:type="dxa"/>
                    <w:right w:w="0" w:type="dxa"/>
                  </w:tcMar>
                  <w:vAlign w:val="center"/>
                </w:tcPr>
                <w:p w14:paraId="1BE15FBF">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7.1</w:t>
                  </w:r>
                </w:p>
              </w:tc>
              <w:tc>
                <w:tcPr>
                  <w:tcW w:w="160" w:type="pct"/>
                  <w:tcBorders>
                    <w:tl2br w:val="nil"/>
                    <w:tr2bl w:val="nil"/>
                  </w:tcBorders>
                  <w:shd w:val="clear" w:color="auto" w:fill="FFFFFF"/>
                  <w:tcMar>
                    <w:top w:w="0" w:type="dxa"/>
                    <w:left w:w="0" w:type="dxa"/>
                    <w:bottom w:w="0" w:type="dxa"/>
                    <w:right w:w="0" w:type="dxa"/>
                  </w:tcMar>
                  <w:vAlign w:val="center"/>
                </w:tcPr>
                <w:p w14:paraId="19C3D43F">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57.7</w:t>
                  </w:r>
                </w:p>
              </w:tc>
              <w:tc>
                <w:tcPr>
                  <w:tcW w:w="160" w:type="pct"/>
                  <w:tcBorders>
                    <w:tl2br w:val="nil"/>
                    <w:tr2bl w:val="nil"/>
                  </w:tcBorders>
                  <w:shd w:val="clear" w:color="auto" w:fill="FFFFFF"/>
                  <w:tcMar>
                    <w:top w:w="0" w:type="dxa"/>
                    <w:left w:w="0" w:type="dxa"/>
                    <w:bottom w:w="0" w:type="dxa"/>
                    <w:right w:w="0" w:type="dxa"/>
                  </w:tcMar>
                  <w:vAlign w:val="center"/>
                </w:tcPr>
                <w:p w14:paraId="31434FBA">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22.6</w:t>
                  </w:r>
                </w:p>
              </w:tc>
              <w:tc>
                <w:tcPr>
                  <w:tcW w:w="160" w:type="pct"/>
                  <w:tcBorders>
                    <w:tl2br w:val="nil"/>
                    <w:tr2bl w:val="nil"/>
                  </w:tcBorders>
                  <w:shd w:val="clear" w:color="auto" w:fill="FFFFFF"/>
                  <w:tcMar>
                    <w:top w:w="0" w:type="dxa"/>
                    <w:left w:w="0" w:type="dxa"/>
                    <w:bottom w:w="0" w:type="dxa"/>
                    <w:right w:w="0" w:type="dxa"/>
                  </w:tcMar>
                  <w:vAlign w:val="center"/>
                </w:tcPr>
                <w:p w14:paraId="5519461F">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68.7</w:t>
                  </w:r>
                </w:p>
              </w:tc>
              <w:tc>
                <w:tcPr>
                  <w:tcW w:w="160" w:type="pct"/>
                  <w:tcBorders>
                    <w:tl2br w:val="nil"/>
                    <w:tr2bl w:val="nil"/>
                  </w:tcBorders>
                  <w:shd w:val="clear" w:color="auto" w:fill="FFFFFF"/>
                  <w:tcMar>
                    <w:top w:w="0" w:type="dxa"/>
                    <w:left w:w="0" w:type="dxa"/>
                    <w:bottom w:w="0" w:type="dxa"/>
                    <w:right w:w="0" w:type="dxa"/>
                  </w:tcMar>
                  <w:vAlign w:val="center"/>
                </w:tcPr>
                <w:p w14:paraId="25B99548">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69.0</w:t>
                  </w:r>
                </w:p>
              </w:tc>
              <w:tc>
                <w:tcPr>
                  <w:tcW w:w="160" w:type="pct"/>
                  <w:tcBorders>
                    <w:tl2br w:val="nil"/>
                    <w:tr2bl w:val="nil"/>
                  </w:tcBorders>
                  <w:shd w:val="clear" w:color="auto" w:fill="FFFFFF"/>
                  <w:tcMar>
                    <w:top w:w="0" w:type="dxa"/>
                    <w:left w:w="0" w:type="dxa"/>
                    <w:bottom w:w="0" w:type="dxa"/>
                    <w:right w:w="0" w:type="dxa"/>
                  </w:tcMar>
                  <w:vAlign w:val="center"/>
                </w:tcPr>
                <w:p w14:paraId="27C2E18F">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68.6</w:t>
                  </w:r>
                </w:p>
              </w:tc>
              <w:tc>
                <w:tcPr>
                  <w:tcW w:w="160" w:type="pct"/>
                  <w:tcBorders>
                    <w:tl2br w:val="nil"/>
                    <w:tr2bl w:val="nil"/>
                  </w:tcBorders>
                  <w:shd w:val="clear" w:color="auto" w:fill="FFFFFF"/>
                  <w:tcMar>
                    <w:top w:w="0" w:type="dxa"/>
                    <w:left w:w="0" w:type="dxa"/>
                    <w:bottom w:w="0" w:type="dxa"/>
                    <w:right w:w="0" w:type="dxa"/>
                  </w:tcMar>
                  <w:vAlign w:val="center"/>
                </w:tcPr>
                <w:p w14:paraId="62097F1E">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68.7</w:t>
                  </w:r>
                </w:p>
              </w:tc>
              <w:tc>
                <w:tcPr>
                  <w:tcW w:w="204" w:type="pct"/>
                  <w:tcBorders>
                    <w:tl2br w:val="nil"/>
                    <w:tr2bl w:val="nil"/>
                  </w:tcBorders>
                  <w:shd w:val="clear" w:color="auto" w:fill="FFFFFF"/>
                  <w:tcMar>
                    <w:top w:w="0" w:type="dxa"/>
                    <w:left w:w="0" w:type="dxa"/>
                    <w:bottom w:w="0" w:type="dxa"/>
                    <w:right w:w="0" w:type="dxa"/>
                  </w:tcMar>
                  <w:vAlign w:val="center"/>
                </w:tcPr>
                <w:p w14:paraId="22BBBCAC">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8</w:t>
                  </w:r>
                </w:p>
              </w:tc>
              <w:tc>
                <w:tcPr>
                  <w:tcW w:w="160" w:type="pct"/>
                  <w:tcBorders>
                    <w:tl2br w:val="nil"/>
                    <w:tr2bl w:val="nil"/>
                  </w:tcBorders>
                  <w:shd w:val="clear" w:color="auto" w:fill="FFFFFF"/>
                  <w:tcMar>
                    <w:top w:w="0" w:type="dxa"/>
                    <w:left w:w="0" w:type="dxa"/>
                    <w:bottom w:w="0" w:type="dxa"/>
                    <w:right w:w="0" w:type="dxa"/>
                  </w:tcMar>
                  <w:vAlign w:val="center"/>
                </w:tcPr>
                <w:p w14:paraId="211813B5">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0" w:type="pct"/>
                  <w:tcBorders>
                    <w:tl2br w:val="nil"/>
                    <w:tr2bl w:val="nil"/>
                  </w:tcBorders>
                  <w:shd w:val="clear" w:color="auto" w:fill="FFFFFF"/>
                  <w:tcMar>
                    <w:top w:w="0" w:type="dxa"/>
                    <w:left w:w="0" w:type="dxa"/>
                    <w:bottom w:w="0" w:type="dxa"/>
                    <w:right w:w="0" w:type="dxa"/>
                  </w:tcMar>
                  <w:vAlign w:val="center"/>
                </w:tcPr>
                <w:p w14:paraId="36CD84D4">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0" w:type="pct"/>
                  <w:tcBorders>
                    <w:tl2br w:val="nil"/>
                    <w:tr2bl w:val="nil"/>
                  </w:tcBorders>
                  <w:shd w:val="clear" w:color="auto" w:fill="FFFFFF"/>
                  <w:tcMar>
                    <w:top w:w="0" w:type="dxa"/>
                    <w:left w:w="0" w:type="dxa"/>
                    <w:bottom w:w="0" w:type="dxa"/>
                    <w:right w:w="0" w:type="dxa"/>
                  </w:tcMar>
                  <w:vAlign w:val="center"/>
                </w:tcPr>
                <w:p w14:paraId="56F1668C">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0" w:type="pct"/>
                  <w:tcBorders>
                    <w:tl2br w:val="nil"/>
                    <w:tr2bl w:val="nil"/>
                  </w:tcBorders>
                  <w:shd w:val="clear" w:color="auto" w:fill="FFFFFF"/>
                  <w:tcMar>
                    <w:top w:w="0" w:type="dxa"/>
                    <w:left w:w="0" w:type="dxa"/>
                    <w:bottom w:w="0" w:type="dxa"/>
                    <w:right w:w="0" w:type="dxa"/>
                  </w:tcMar>
                  <w:vAlign w:val="center"/>
                </w:tcPr>
                <w:p w14:paraId="1E36EFC0">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58" w:type="pct"/>
                  <w:tcBorders>
                    <w:tl2br w:val="nil"/>
                    <w:tr2bl w:val="nil"/>
                  </w:tcBorders>
                  <w:shd w:val="clear" w:color="auto" w:fill="FFFFFF"/>
                  <w:tcMar>
                    <w:top w:w="0" w:type="dxa"/>
                    <w:left w:w="0" w:type="dxa"/>
                    <w:bottom w:w="0" w:type="dxa"/>
                    <w:right w:w="0" w:type="dxa"/>
                  </w:tcMar>
                  <w:vAlign w:val="center"/>
                </w:tcPr>
                <w:p w14:paraId="759F5F3F">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56.7</w:t>
                  </w:r>
                </w:p>
              </w:tc>
              <w:tc>
                <w:tcPr>
                  <w:tcW w:w="159" w:type="pct"/>
                  <w:tcBorders>
                    <w:tl2br w:val="nil"/>
                    <w:tr2bl w:val="nil"/>
                  </w:tcBorders>
                  <w:shd w:val="clear" w:color="auto" w:fill="FFFFFF"/>
                  <w:tcMar>
                    <w:top w:w="0" w:type="dxa"/>
                    <w:left w:w="0" w:type="dxa"/>
                    <w:bottom w:w="0" w:type="dxa"/>
                    <w:right w:w="0" w:type="dxa"/>
                  </w:tcMar>
                  <w:vAlign w:val="center"/>
                </w:tcPr>
                <w:p w14:paraId="36A9A7BD">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57.0</w:t>
                  </w:r>
                </w:p>
              </w:tc>
              <w:tc>
                <w:tcPr>
                  <w:tcW w:w="159" w:type="pct"/>
                  <w:tcBorders>
                    <w:tl2br w:val="nil"/>
                    <w:tr2bl w:val="nil"/>
                  </w:tcBorders>
                  <w:shd w:val="clear" w:color="auto" w:fill="FFFFFF"/>
                  <w:tcMar>
                    <w:top w:w="0" w:type="dxa"/>
                    <w:left w:w="0" w:type="dxa"/>
                    <w:bottom w:w="0" w:type="dxa"/>
                    <w:right w:w="0" w:type="dxa"/>
                  </w:tcMar>
                  <w:vAlign w:val="center"/>
                </w:tcPr>
                <w:p w14:paraId="532B11A3">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56.6</w:t>
                  </w:r>
                </w:p>
              </w:tc>
              <w:tc>
                <w:tcPr>
                  <w:tcW w:w="159" w:type="pct"/>
                  <w:tcBorders>
                    <w:tl2br w:val="nil"/>
                    <w:tr2bl w:val="nil"/>
                  </w:tcBorders>
                  <w:shd w:val="clear" w:color="auto" w:fill="FFFFFF"/>
                  <w:tcMar>
                    <w:top w:w="0" w:type="dxa"/>
                    <w:left w:w="0" w:type="dxa"/>
                    <w:bottom w:w="0" w:type="dxa"/>
                    <w:right w:w="0" w:type="dxa"/>
                  </w:tcMar>
                  <w:vAlign w:val="center"/>
                </w:tcPr>
                <w:p w14:paraId="2B948DEB">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56.7</w:t>
                  </w:r>
                </w:p>
              </w:tc>
              <w:tc>
                <w:tcPr>
                  <w:tcW w:w="88" w:type="pct"/>
                  <w:tcBorders>
                    <w:tl2br w:val="nil"/>
                    <w:tr2bl w:val="nil"/>
                  </w:tcBorders>
                  <w:shd w:val="clear" w:color="auto" w:fill="FFFFFF"/>
                  <w:tcMar>
                    <w:top w:w="0" w:type="dxa"/>
                    <w:left w:w="0" w:type="dxa"/>
                    <w:bottom w:w="0" w:type="dxa"/>
                    <w:right w:w="0" w:type="dxa"/>
                  </w:tcMar>
                  <w:vAlign w:val="center"/>
                </w:tcPr>
                <w:p w14:paraId="3391F958">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w:t>
                  </w:r>
                </w:p>
              </w:tc>
            </w:tr>
            <w:tr w14:paraId="5CC6EC1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0" w:hRule="atLeast"/>
              </w:trPr>
              <w:tc>
                <w:tcPr>
                  <w:tcW w:w="204" w:type="pct"/>
                  <w:tcBorders>
                    <w:tl2br w:val="nil"/>
                    <w:tr2bl w:val="nil"/>
                  </w:tcBorders>
                  <w:shd w:val="clear" w:color="auto" w:fill="FFFFFF"/>
                  <w:tcMar>
                    <w:top w:w="0" w:type="dxa"/>
                    <w:left w:w="0" w:type="dxa"/>
                    <w:bottom w:w="0" w:type="dxa"/>
                    <w:right w:w="0" w:type="dxa"/>
                  </w:tcMar>
                  <w:vAlign w:val="center"/>
                </w:tcPr>
                <w:p w14:paraId="3022C41B">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16</w:t>
                  </w:r>
                </w:p>
              </w:tc>
              <w:tc>
                <w:tcPr>
                  <w:tcW w:w="204" w:type="pct"/>
                  <w:tcBorders>
                    <w:tl2br w:val="nil"/>
                    <w:tr2bl w:val="nil"/>
                  </w:tcBorders>
                  <w:shd w:val="clear" w:color="auto" w:fill="FFFFFF"/>
                  <w:tcMar>
                    <w:top w:w="0" w:type="dxa"/>
                    <w:left w:w="0" w:type="dxa"/>
                    <w:bottom w:w="0" w:type="dxa"/>
                    <w:right w:w="0" w:type="dxa"/>
                  </w:tcMar>
                  <w:vAlign w:val="center"/>
                </w:tcPr>
                <w:p w14:paraId="1273A9AE">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临港高新产业园区-21#厂房</w:t>
                  </w:r>
                </w:p>
              </w:tc>
              <w:tc>
                <w:tcPr>
                  <w:tcW w:w="517" w:type="pct"/>
                  <w:tcBorders>
                    <w:tl2br w:val="nil"/>
                    <w:tr2bl w:val="nil"/>
                  </w:tcBorders>
                  <w:shd w:val="clear" w:color="auto" w:fill="FFFFFF"/>
                  <w:tcMar>
                    <w:top w:w="0" w:type="dxa"/>
                    <w:left w:w="0" w:type="dxa"/>
                    <w:bottom w:w="0" w:type="dxa"/>
                    <w:right w:w="0" w:type="dxa"/>
                  </w:tcMar>
                  <w:vAlign w:val="center"/>
                </w:tcPr>
                <w:p w14:paraId="706DAE86">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浸渗设备泵机组,6台（按点声源组预测）</w:t>
                  </w:r>
                </w:p>
              </w:tc>
              <w:tc>
                <w:tcPr>
                  <w:tcW w:w="204" w:type="pct"/>
                  <w:tcBorders>
                    <w:tl2br w:val="nil"/>
                    <w:tr2bl w:val="nil"/>
                  </w:tcBorders>
                  <w:shd w:val="clear" w:color="auto" w:fill="FFFFFF"/>
                  <w:tcMar>
                    <w:top w:w="0" w:type="dxa"/>
                    <w:left w:w="0" w:type="dxa"/>
                    <w:bottom w:w="0" w:type="dxa"/>
                    <w:right w:w="0" w:type="dxa"/>
                  </w:tcMar>
                  <w:vAlign w:val="center"/>
                </w:tcPr>
                <w:p w14:paraId="47118445">
                  <w:pPr>
                    <w:rPr>
                      <w:rFonts w:hint="default" w:ascii="Times New Roman" w:hAnsi="Times New Roman" w:eastAsia="宋体" w:cs="Times New Roman"/>
                      <w:color w:val="auto"/>
                      <w:u w:val="none" w:color="auto"/>
                    </w:rPr>
                  </w:pPr>
                </w:p>
              </w:tc>
              <w:tc>
                <w:tcPr>
                  <w:tcW w:w="270" w:type="pct"/>
                  <w:tcBorders>
                    <w:tl2br w:val="nil"/>
                    <w:tr2bl w:val="nil"/>
                  </w:tcBorders>
                  <w:shd w:val="clear" w:color="auto" w:fill="FFFFFF"/>
                  <w:tcMar>
                    <w:top w:w="0" w:type="dxa"/>
                    <w:left w:w="0" w:type="dxa"/>
                    <w:bottom w:w="0" w:type="dxa"/>
                    <w:right w:w="0" w:type="dxa"/>
                  </w:tcMar>
                  <w:vAlign w:val="center"/>
                </w:tcPr>
                <w:p w14:paraId="1A4D962A">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77.5（等效后：85.3)</w:t>
                  </w:r>
                </w:p>
              </w:tc>
              <w:tc>
                <w:tcPr>
                  <w:tcW w:w="204" w:type="pct"/>
                  <w:tcBorders>
                    <w:tl2br w:val="nil"/>
                    <w:tr2bl w:val="nil"/>
                  </w:tcBorders>
                  <w:shd w:val="clear" w:color="auto" w:fill="FFFFFF"/>
                  <w:tcMar>
                    <w:top w:w="0" w:type="dxa"/>
                    <w:left w:w="0" w:type="dxa"/>
                    <w:bottom w:w="0" w:type="dxa"/>
                    <w:right w:w="0" w:type="dxa"/>
                  </w:tcMar>
                  <w:vAlign w:val="center"/>
                </w:tcPr>
                <w:p w14:paraId="31747C9F">
                  <w:pPr>
                    <w:rPr>
                      <w:rFonts w:hint="default" w:ascii="Times New Roman" w:hAnsi="Times New Roman" w:eastAsia="宋体" w:cs="Times New Roman"/>
                      <w:color w:val="auto"/>
                      <w:u w:val="none" w:color="auto"/>
                    </w:rPr>
                  </w:pPr>
                </w:p>
              </w:tc>
              <w:tc>
                <w:tcPr>
                  <w:tcW w:w="234" w:type="pct"/>
                  <w:tcBorders>
                    <w:tl2br w:val="nil"/>
                    <w:tr2bl w:val="nil"/>
                  </w:tcBorders>
                  <w:shd w:val="clear" w:color="auto" w:fill="FFFFFF"/>
                  <w:tcMar>
                    <w:top w:w="0" w:type="dxa"/>
                    <w:left w:w="0" w:type="dxa"/>
                    <w:bottom w:w="0" w:type="dxa"/>
                    <w:right w:w="0" w:type="dxa"/>
                  </w:tcMar>
                  <w:vAlign w:val="center"/>
                </w:tcPr>
                <w:p w14:paraId="565B7958">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-43.8</w:t>
                  </w:r>
                </w:p>
              </w:tc>
              <w:tc>
                <w:tcPr>
                  <w:tcW w:w="189" w:type="pct"/>
                  <w:tcBorders>
                    <w:tl2br w:val="nil"/>
                    <w:tr2bl w:val="nil"/>
                  </w:tcBorders>
                  <w:shd w:val="clear" w:color="auto" w:fill="FFFFFF"/>
                  <w:tcMar>
                    <w:top w:w="0" w:type="dxa"/>
                    <w:left w:w="0" w:type="dxa"/>
                    <w:bottom w:w="0" w:type="dxa"/>
                    <w:right w:w="0" w:type="dxa"/>
                  </w:tcMar>
                  <w:vAlign w:val="center"/>
                </w:tcPr>
                <w:p w14:paraId="15240DEB">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30.7</w:t>
                  </w:r>
                </w:p>
              </w:tc>
              <w:tc>
                <w:tcPr>
                  <w:tcW w:w="117" w:type="pct"/>
                  <w:tcBorders>
                    <w:tl2br w:val="nil"/>
                    <w:tr2bl w:val="nil"/>
                  </w:tcBorders>
                  <w:shd w:val="clear" w:color="auto" w:fill="FFFFFF"/>
                  <w:tcMar>
                    <w:top w:w="0" w:type="dxa"/>
                    <w:left w:w="0" w:type="dxa"/>
                    <w:bottom w:w="0" w:type="dxa"/>
                    <w:right w:w="0" w:type="dxa"/>
                  </w:tcMar>
                  <w:vAlign w:val="center"/>
                </w:tcPr>
                <w:p w14:paraId="66ABB91D">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w:t>
                  </w:r>
                </w:p>
              </w:tc>
              <w:tc>
                <w:tcPr>
                  <w:tcW w:w="160" w:type="pct"/>
                  <w:tcBorders>
                    <w:tl2br w:val="nil"/>
                    <w:tr2bl w:val="nil"/>
                  </w:tcBorders>
                  <w:shd w:val="clear" w:color="auto" w:fill="FFFFFF"/>
                  <w:tcMar>
                    <w:top w:w="0" w:type="dxa"/>
                    <w:left w:w="0" w:type="dxa"/>
                    <w:bottom w:w="0" w:type="dxa"/>
                    <w:right w:w="0" w:type="dxa"/>
                  </w:tcMar>
                  <w:vAlign w:val="center"/>
                </w:tcPr>
                <w:p w14:paraId="6640C267">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35.0</w:t>
                  </w:r>
                </w:p>
              </w:tc>
              <w:tc>
                <w:tcPr>
                  <w:tcW w:w="160" w:type="pct"/>
                  <w:tcBorders>
                    <w:tl2br w:val="nil"/>
                    <w:tr2bl w:val="nil"/>
                  </w:tcBorders>
                  <w:shd w:val="clear" w:color="auto" w:fill="FFFFFF"/>
                  <w:tcMar>
                    <w:top w:w="0" w:type="dxa"/>
                    <w:left w:w="0" w:type="dxa"/>
                    <w:bottom w:w="0" w:type="dxa"/>
                    <w:right w:w="0" w:type="dxa"/>
                  </w:tcMar>
                  <w:vAlign w:val="center"/>
                </w:tcPr>
                <w:p w14:paraId="51B3175D">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18.8</w:t>
                  </w:r>
                </w:p>
              </w:tc>
              <w:tc>
                <w:tcPr>
                  <w:tcW w:w="160" w:type="pct"/>
                  <w:tcBorders>
                    <w:tl2br w:val="nil"/>
                    <w:tr2bl w:val="nil"/>
                  </w:tcBorders>
                  <w:shd w:val="clear" w:color="auto" w:fill="FFFFFF"/>
                  <w:tcMar>
                    <w:top w:w="0" w:type="dxa"/>
                    <w:left w:w="0" w:type="dxa"/>
                    <w:bottom w:w="0" w:type="dxa"/>
                    <w:right w:w="0" w:type="dxa"/>
                  </w:tcMar>
                  <w:vAlign w:val="center"/>
                </w:tcPr>
                <w:p w14:paraId="09D0C88A">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62.1</w:t>
                  </w:r>
                </w:p>
              </w:tc>
              <w:tc>
                <w:tcPr>
                  <w:tcW w:w="160" w:type="pct"/>
                  <w:tcBorders>
                    <w:tl2br w:val="nil"/>
                    <w:tr2bl w:val="nil"/>
                  </w:tcBorders>
                  <w:shd w:val="clear" w:color="auto" w:fill="FFFFFF"/>
                  <w:tcMar>
                    <w:top w:w="0" w:type="dxa"/>
                    <w:left w:w="0" w:type="dxa"/>
                    <w:bottom w:w="0" w:type="dxa"/>
                    <w:right w:w="0" w:type="dxa"/>
                  </w:tcMar>
                  <w:vAlign w:val="center"/>
                </w:tcPr>
                <w:p w14:paraId="69F5BD79">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10.8</w:t>
                  </w:r>
                </w:p>
              </w:tc>
              <w:tc>
                <w:tcPr>
                  <w:tcW w:w="160" w:type="pct"/>
                  <w:tcBorders>
                    <w:tl2br w:val="nil"/>
                    <w:tr2bl w:val="nil"/>
                  </w:tcBorders>
                  <w:shd w:val="clear" w:color="auto" w:fill="FFFFFF"/>
                  <w:tcMar>
                    <w:top w:w="0" w:type="dxa"/>
                    <w:left w:w="0" w:type="dxa"/>
                    <w:bottom w:w="0" w:type="dxa"/>
                    <w:right w:w="0" w:type="dxa"/>
                  </w:tcMar>
                  <w:vAlign w:val="center"/>
                </w:tcPr>
                <w:p w14:paraId="0FB5DF81">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68.5</w:t>
                  </w:r>
                </w:p>
              </w:tc>
              <w:tc>
                <w:tcPr>
                  <w:tcW w:w="160" w:type="pct"/>
                  <w:tcBorders>
                    <w:tl2br w:val="nil"/>
                    <w:tr2bl w:val="nil"/>
                  </w:tcBorders>
                  <w:shd w:val="clear" w:color="auto" w:fill="FFFFFF"/>
                  <w:tcMar>
                    <w:top w:w="0" w:type="dxa"/>
                    <w:left w:w="0" w:type="dxa"/>
                    <w:bottom w:w="0" w:type="dxa"/>
                    <w:right w:w="0" w:type="dxa"/>
                  </w:tcMar>
                  <w:vAlign w:val="center"/>
                </w:tcPr>
                <w:p w14:paraId="71F09CAC">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68.5</w:t>
                  </w:r>
                </w:p>
              </w:tc>
              <w:tc>
                <w:tcPr>
                  <w:tcW w:w="160" w:type="pct"/>
                  <w:tcBorders>
                    <w:tl2br w:val="nil"/>
                    <w:tr2bl w:val="nil"/>
                  </w:tcBorders>
                  <w:shd w:val="clear" w:color="auto" w:fill="FFFFFF"/>
                  <w:tcMar>
                    <w:top w:w="0" w:type="dxa"/>
                    <w:left w:w="0" w:type="dxa"/>
                    <w:bottom w:w="0" w:type="dxa"/>
                    <w:right w:w="0" w:type="dxa"/>
                  </w:tcMar>
                  <w:vAlign w:val="center"/>
                </w:tcPr>
                <w:p w14:paraId="7EE87293">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68.4</w:t>
                  </w:r>
                </w:p>
              </w:tc>
              <w:tc>
                <w:tcPr>
                  <w:tcW w:w="160" w:type="pct"/>
                  <w:tcBorders>
                    <w:tl2br w:val="nil"/>
                    <w:tr2bl w:val="nil"/>
                  </w:tcBorders>
                  <w:shd w:val="clear" w:color="auto" w:fill="FFFFFF"/>
                  <w:tcMar>
                    <w:top w:w="0" w:type="dxa"/>
                    <w:left w:w="0" w:type="dxa"/>
                    <w:bottom w:w="0" w:type="dxa"/>
                    <w:right w:w="0" w:type="dxa"/>
                  </w:tcMar>
                  <w:vAlign w:val="center"/>
                </w:tcPr>
                <w:p w14:paraId="0021587A">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68.6</w:t>
                  </w:r>
                </w:p>
              </w:tc>
              <w:tc>
                <w:tcPr>
                  <w:tcW w:w="204" w:type="pct"/>
                  <w:tcBorders>
                    <w:tl2br w:val="nil"/>
                    <w:tr2bl w:val="nil"/>
                  </w:tcBorders>
                  <w:shd w:val="clear" w:color="auto" w:fill="FFFFFF"/>
                  <w:tcMar>
                    <w:top w:w="0" w:type="dxa"/>
                    <w:left w:w="0" w:type="dxa"/>
                    <w:bottom w:w="0" w:type="dxa"/>
                    <w:right w:w="0" w:type="dxa"/>
                  </w:tcMar>
                  <w:vAlign w:val="center"/>
                </w:tcPr>
                <w:p w14:paraId="621F65F7">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8</w:t>
                  </w:r>
                </w:p>
              </w:tc>
              <w:tc>
                <w:tcPr>
                  <w:tcW w:w="160" w:type="pct"/>
                  <w:tcBorders>
                    <w:tl2br w:val="nil"/>
                    <w:tr2bl w:val="nil"/>
                  </w:tcBorders>
                  <w:shd w:val="clear" w:color="auto" w:fill="FFFFFF"/>
                  <w:tcMar>
                    <w:top w:w="0" w:type="dxa"/>
                    <w:left w:w="0" w:type="dxa"/>
                    <w:bottom w:w="0" w:type="dxa"/>
                    <w:right w:w="0" w:type="dxa"/>
                  </w:tcMar>
                  <w:vAlign w:val="center"/>
                </w:tcPr>
                <w:p w14:paraId="73DC6AA7">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0" w:type="pct"/>
                  <w:tcBorders>
                    <w:tl2br w:val="nil"/>
                    <w:tr2bl w:val="nil"/>
                  </w:tcBorders>
                  <w:shd w:val="clear" w:color="auto" w:fill="FFFFFF"/>
                  <w:tcMar>
                    <w:top w:w="0" w:type="dxa"/>
                    <w:left w:w="0" w:type="dxa"/>
                    <w:bottom w:w="0" w:type="dxa"/>
                    <w:right w:w="0" w:type="dxa"/>
                  </w:tcMar>
                  <w:vAlign w:val="center"/>
                </w:tcPr>
                <w:p w14:paraId="481E3D34">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0" w:type="pct"/>
                  <w:tcBorders>
                    <w:tl2br w:val="nil"/>
                    <w:tr2bl w:val="nil"/>
                  </w:tcBorders>
                  <w:shd w:val="clear" w:color="auto" w:fill="FFFFFF"/>
                  <w:tcMar>
                    <w:top w:w="0" w:type="dxa"/>
                    <w:left w:w="0" w:type="dxa"/>
                    <w:bottom w:w="0" w:type="dxa"/>
                    <w:right w:w="0" w:type="dxa"/>
                  </w:tcMar>
                  <w:vAlign w:val="center"/>
                </w:tcPr>
                <w:p w14:paraId="2AF50978">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0" w:type="pct"/>
                  <w:tcBorders>
                    <w:tl2br w:val="nil"/>
                    <w:tr2bl w:val="nil"/>
                  </w:tcBorders>
                  <w:shd w:val="clear" w:color="auto" w:fill="FFFFFF"/>
                  <w:tcMar>
                    <w:top w:w="0" w:type="dxa"/>
                    <w:left w:w="0" w:type="dxa"/>
                    <w:bottom w:w="0" w:type="dxa"/>
                    <w:right w:w="0" w:type="dxa"/>
                  </w:tcMar>
                  <w:vAlign w:val="center"/>
                </w:tcPr>
                <w:p w14:paraId="4493D19F">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58" w:type="pct"/>
                  <w:tcBorders>
                    <w:tl2br w:val="nil"/>
                    <w:tr2bl w:val="nil"/>
                  </w:tcBorders>
                  <w:shd w:val="clear" w:color="auto" w:fill="FFFFFF"/>
                  <w:tcMar>
                    <w:top w:w="0" w:type="dxa"/>
                    <w:left w:w="0" w:type="dxa"/>
                    <w:bottom w:w="0" w:type="dxa"/>
                    <w:right w:w="0" w:type="dxa"/>
                  </w:tcMar>
                  <w:vAlign w:val="center"/>
                </w:tcPr>
                <w:p w14:paraId="04EE0ECE">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56.5</w:t>
                  </w:r>
                </w:p>
              </w:tc>
              <w:tc>
                <w:tcPr>
                  <w:tcW w:w="159" w:type="pct"/>
                  <w:tcBorders>
                    <w:tl2br w:val="nil"/>
                    <w:tr2bl w:val="nil"/>
                  </w:tcBorders>
                  <w:shd w:val="clear" w:color="auto" w:fill="FFFFFF"/>
                  <w:tcMar>
                    <w:top w:w="0" w:type="dxa"/>
                    <w:left w:w="0" w:type="dxa"/>
                    <w:bottom w:w="0" w:type="dxa"/>
                    <w:right w:w="0" w:type="dxa"/>
                  </w:tcMar>
                  <w:vAlign w:val="center"/>
                </w:tcPr>
                <w:p w14:paraId="128894E0">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56.5</w:t>
                  </w:r>
                </w:p>
              </w:tc>
              <w:tc>
                <w:tcPr>
                  <w:tcW w:w="159" w:type="pct"/>
                  <w:tcBorders>
                    <w:tl2br w:val="nil"/>
                    <w:tr2bl w:val="nil"/>
                  </w:tcBorders>
                  <w:shd w:val="clear" w:color="auto" w:fill="FFFFFF"/>
                  <w:tcMar>
                    <w:top w:w="0" w:type="dxa"/>
                    <w:left w:w="0" w:type="dxa"/>
                    <w:bottom w:w="0" w:type="dxa"/>
                    <w:right w:w="0" w:type="dxa"/>
                  </w:tcMar>
                  <w:vAlign w:val="center"/>
                </w:tcPr>
                <w:p w14:paraId="17AD3324">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56.4</w:t>
                  </w:r>
                </w:p>
              </w:tc>
              <w:tc>
                <w:tcPr>
                  <w:tcW w:w="159" w:type="pct"/>
                  <w:tcBorders>
                    <w:tl2br w:val="nil"/>
                    <w:tr2bl w:val="nil"/>
                  </w:tcBorders>
                  <w:shd w:val="clear" w:color="auto" w:fill="FFFFFF"/>
                  <w:tcMar>
                    <w:top w:w="0" w:type="dxa"/>
                    <w:left w:w="0" w:type="dxa"/>
                    <w:bottom w:w="0" w:type="dxa"/>
                    <w:right w:w="0" w:type="dxa"/>
                  </w:tcMar>
                  <w:vAlign w:val="center"/>
                </w:tcPr>
                <w:p w14:paraId="2B91F7CE">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56.6</w:t>
                  </w:r>
                </w:p>
              </w:tc>
              <w:tc>
                <w:tcPr>
                  <w:tcW w:w="88" w:type="pct"/>
                  <w:tcBorders>
                    <w:tl2br w:val="nil"/>
                    <w:tr2bl w:val="nil"/>
                  </w:tcBorders>
                  <w:shd w:val="clear" w:color="auto" w:fill="FFFFFF"/>
                  <w:tcMar>
                    <w:top w:w="0" w:type="dxa"/>
                    <w:left w:w="0" w:type="dxa"/>
                    <w:bottom w:w="0" w:type="dxa"/>
                    <w:right w:w="0" w:type="dxa"/>
                  </w:tcMar>
                  <w:vAlign w:val="center"/>
                </w:tcPr>
                <w:p w14:paraId="671331CD">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w:t>
                  </w:r>
                </w:p>
              </w:tc>
            </w:tr>
            <w:tr w14:paraId="233B07C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0" w:hRule="atLeast"/>
              </w:trPr>
              <w:tc>
                <w:tcPr>
                  <w:tcW w:w="204" w:type="pct"/>
                  <w:tcBorders>
                    <w:tl2br w:val="nil"/>
                    <w:tr2bl w:val="nil"/>
                  </w:tcBorders>
                  <w:shd w:val="clear" w:color="auto" w:fill="FFFFFF"/>
                  <w:tcMar>
                    <w:top w:w="0" w:type="dxa"/>
                    <w:left w:w="0" w:type="dxa"/>
                    <w:bottom w:w="0" w:type="dxa"/>
                    <w:right w:w="0" w:type="dxa"/>
                  </w:tcMar>
                  <w:vAlign w:val="center"/>
                </w:tcPr>
                <w:p w14:paraId="5D345644">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17</w:t>
                  </w:r>
                </w:p>
              </w:tc>
              <w:tc>
                <w:tcPr>
                  <w:tcW w:w="204" w:type="pct"/>
                  <w:tcBorders>
                    <w:tl2br w:val="nil"/>
                    <w:tr2bl w:val="nil"/>
                  </w:tcBorders>
                  <w:shd w:val="clear" w:color="auto" w:fill="FFFFFF"/>
                  <w:tcMar>
                    <w:top w:w="0" w:type="dxa"/>
                    <w:left w:w="0" w:type="dxa"/>
                    <w:bottom w:w="0" w:type="dxa"/>
                    <w:right w:w="0" w:type="dxa"/>
                  </w:tcMar>
                  <w:vAlign w:val="center"/>
                </w:tcPr>
                <w:p w14:paraId="6909E067">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临港高新产业园区-21#厂房</w:t>
                  </w:r>
                </w:p>
              </w:tc>
              <w:tc>
                <w:tcPr>
                  <w:tcW w:w="517" w:type="pct"/>
                  <w:tcBorders>
                    <w:tl2br w:val="nil"/>
                    <w:tr2bl w:val="nil"/>
                  </w:tcBorders>
                  <w:shd w:val="clear" w:color="auto" w:fill="FFFFFF"/>
                  <w:tcMar>
                    <w:top w:w="0" w:type="dxa"/>
                    <w:left w:w="0" w:type="dxa"/>
                    <w:bottom w:w="0" w:type="dxa"/>
                    <w:right w:w="0" w:type="dxa"/>
                  </w:tcMar>
                  <w:vAlign w:val="center"/>
                </w:tcPr>
                <w:p w14:paraId="58A64924">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21#空压站泵机</w:t>
                  </w:r>
                </w:p>
              </w:tc>
              <w:tc>
                <w:tcPr>
                  <w:tcW w:w="204" w:type="pct"/>
                  <w:tcBorders>
                    <w:tl2br w:val="nil"/>
                    <w:tr2bl w:val="nil"/>
                  </w:tcBorders>
                  <w:shd w:val="clear" w:color="auto" w:fill="FFFFFF"/>
                  <w:tcMar>
                    <w:top w:w="0" w:type="dxa"/>
                    <w:left w:w="0" w:type="dxa"/>
                    <w:bottom w:w="0" w:type="dxa"/>
                    <w:right w:w="0" w:type="dxa"/>
                  </w:tcMar>
                  <w:vAlign w:val="center"/>
                </w:tcPr>
                <w:p w14:paraId="2788E65B">
                  <w:pPr>
                    <w:rPr>
                      <w:rFonts w:hint="default" w:ascii="Times New Roman" w:hAnsi="Times New Roman" w:eastAsia="宋体" w:cs="Times New Roman"/>
                      <w:color w:val="auto"/>
                      <w:u w:val="none" w:color="auto"/>
                    </w:rPr>
                  </w:pPr>
                </w:p>
              </w:tc>
              <w:tc>
                <w:tcPr>
                  <w:tcW w:w="270" w:type="pct"/>
                  <w:tcBorders>
                    <w:tl2br w:val="nil"/>
                    <w:tr2bl w:val="nil"/>
                  </w:tcBorders>
                  <w:shd w:val="clear" w:color="auto" w:fill="FFFFFF"/>
                  <w:tcMar>
                    <w:top w:w="0" w:type="dxa"/>
                    <w:left w:w="0" w:type="dxa"/>
                    <w:bottom w:w="0" w:type="dxa"/>
                    <w:right w:w="0" w:type="dxa"/>
                  </w:tcMar>
                  <w:vAlign w:val="center"/>
                </w:tcPr>
                <w:p w14:paraId="101EEE39">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77.5</w:t>
                  </w:r>
                </w:p>
              </w:tc>
              <w:tc>
                <w:tcPr>
                  <w:tcW w:w="204" w:type="pct"/>
                  <w:vMerge w:val="restart"/>
                  <w:tcBorders>
                    <w:tl2br w:val="nil"/>
                    <w:tr2bl w:val="nil"/>
                  </w:tcBorders>
                  <w:shd w:val="clear" w:color="auto" w:fill="FFFFFF"/>
                  <w:tcMar>
                    <w:top w:w="0" w:type="dxa"/>
                    <w:left w:w="0" w:type="dxa"/>
                    <w:bottom w:w="0" w:type="dxa"/>
                    <w:right w:w="0" w:type="dxa"/>
                  </w:tcMar>
                  <w:vAlign w:val="center"/>
                </w:tcPr>
                <w:p w14:paraId="25A61C43">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val="en-US" w:eastAsia="zh-CN"/>
                    </w:rPr>
                    <w:t>详见本节上表相关内容</w:t>
                  </w:r>
                </w:p>
              </w:tc>
              <w:tc>
                <w:tcPr>
                  <w:tcW w:w="234" w:type="pct"/>
                  <w:tcBorders>
                    <w:tl2br w:val="nil"/>
                    <w:tr2bl w:val="nil"/>
                  </w:tcBorders>
                  <w:shd w:val="clear" w:color="auto" w:fill="FFFFFF"/>
                  <w:tcMar>
                    <w:top w:w="0" w:type="dxa"/>
                    <w:left w:w="0" w:type="dxa"/>
                    <w:bottom w:w="0" w:type="dxa"/>
                    <w:right w:w="0" w:type="dxa"/>
                  </w:tcMar>
                  <w:vAlign w:val="center"/>
                </w:tcPr>
                <w:p w14:paraId="514DAFC8">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-98.3</w:t>
                  </w:r>
                </w:p>
              </w:tc>
              <w:tc>
                <w:tcPr>
                  <w:tcW w:w="189" w:type="pct"/>
                  <w:tcBorders>
                    <w:tl2br w:val="nil"/>
                    <w:tr2bl w:val="nil"/>
                  </w:tcBorders>
                  <w:shd w:val="clear" w:color="auto" w:fill="FFFFFF"/>
                  <w:tcMar>
                    <w:top w:w="0" w:type="dxa"/>
                    <w:left w:w="0" w:type="dxa"/>
                    <w:bottom w:w="0" w:type="dxa"/>
                    <w:right w:w="0" w:type="dxa"/>
                  </w:tcMar>
                  <w:vAlign w:val="center"/>
                </w:tcPr>
                <w:p w14:paraId="1FFAABA6">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25</w:t>
                  </w:r>
                </w:p>
              </w:tc>
              <w:tc>
                <w:tcPr>
                  <w:tcW w:w="117" w:type="pct"/>
                  <w:tcBorders>
                    <w:tl2br w:val="nil"/>
                    <w:tr2bl w:val="nil"/>
                  </w:tcBorders>
                  <w:shd w:val="clear" w:color="auto" w:fill="FFFFFF"/>
                  <w:tcMar>
                    <w:top w:w="0" w:type="dxa"/>
                    <w:left w:w="0" w:type="dxa"/>
                    <w:bottom w:w="0" w:type="dxa"/>
                    <w:right w:w="0" w:type="dxa"/>
                  </w:tcMar>
                  <w:vAlign w:val="center"/>
                </w:tcPr>
                <w:p w14:paraId="48477ECF">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w:t>
                  </w:r>
                </w:p>
              </w:tc>
              <w:tc>
                <w:tcPr>
                  <w:tcW w:w="160" w:type="pct"/>
                  <w:tcBorders>
                    <w:tl2br w:val="nil"/>
                    <w:tr2bl w:val="nil"/>
                  </w:tcBorders>
                  <w:shd w:val="clear" w:color="auto" w:fill="FFFFFF"/>
                  <w:tcMar>
                    <w:top w:w="0" w:type="dxa"/>
                    <w:left w:w="0" w:type="dxa"/>
                    <w:bottom w:w="0" w:type="dxa"/>
                    <w:right w:w="0" w:type="dxa"/>
                  </w:tcMar>
                  <w:vAlign w:val="center"/>
                </w:tcPr>
                <w:p w14:paraId="06F5C950">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87.8</w:t>
                  </w:r>
                </w:p>
              </w:tc>
              <w:tc>
                <w:tcPr>
                  <w:tcW w:w="160" w:type="pct"/>
                  <w:tcBorders>
                    <w:tl2br w:val="nil"/>
                    <w:tr2bl w:val="nil"/>
                  </w:tcBorders>
                  <w:shd w:val="clear" w:color="auto" w:fill="FFFFFF"/>
                  <w:tcMar>
                    <w:top w:w="0" w:type="dxa"/>
                    <w:left w:w="0" w:type="dxa"/>
                    <w:bottom w:w="0" w:type="dxa"/>
                    <w:right w:w="0" w:type="dxa"/>
                  </w:tcMar>
                  <w:vAlign w:val="center"/>
                </w:tcPr>
                <w:p w14:paraId="0017CA9E">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8.5</w:t>
                  </w:r>
                </w:p>
              </w:tc>
              <w:tc>
                <w:tcPr>
                  <w:tcW w:w="160" w:type="pct"/>
                  <w:tcBorders>
                    <w:tl2br w:val="nil"/>
                    <w:tr2bl w:val="nil"/>
                  </w:tcBorders>
                  <w:shd w:val="clear" w:color="auto" w:fill="FFFFFF"/>
                  <w:tcMar>
                    <w:top w:w="0" w:type="dxa"/>
                    <w:left w:w="0" w:type="dxa"/>
                    <w:bottom w:w="0" w:type="dxa"/>
                    <w:right w:w="0" w:type="dxa"/>
                  </w:tcMar>
                  <w:vAlign w:val="center"/>
                </w:tcPr>
                <w:p w14:paraId="104EA0D6">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8.3</w:t>
                  </w:r>
                </w:p>
              </w:tc>
              <w:tc>
                <w:tcPr>
                  <w:tcW w:w="160" w:type="pct"/>
                  <w:tcBorders>
                    <w:tl2br w:val="nil"/>
                    <w:tr2bl w:val="nil"/>
                  </w:tcBorders>
                  <w:shd w:val="clear" w:color="auto" w:fill="FFFFFF"/>
                  <w:tcMar>
                    <w:top w:w="0" w:type="dxa"/>
                    <w:left w:w="0" w:type="dxa"/>
                    <w:bottom w:w="0" w:type="dxa"/>
                    <w:right w:w="0" w:type="dxa"/>
                  </w:tcMar>
                  <w:vAlign w:val="center"/>
                </w:tcPr>
                <w:p w14:paraId="278038DC">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22.2</w:t>
                  </w:r>
                </w:p>
              </w:tc>
              <w:tc>
                <w:tcPr>
                  <w:tcW w:w="160" w:type="pct"/>
                  <w:tcBorders>
                    <w:tl2br w:val="nil"/>
                    <w:tr2bl w:val="nil"/>
                  </w:tcBorders>
                  <w:shd w:val="clear" w:color="auto" w:fill="FFFFFF"/>
                  <w:tcMar>
                    <w:top w:w="0" w:type="dxa"/>
                    <w:left w:w="0" w:type="dxa"/>
                    <w:bottom w:w="0" w:type="dxa"/>
                    <w:right w:w="0" w:type="dxa"/>
                  </w:tcMar>
                  <w:vAlign w:val="center"/>
                </w:tcPr>
                <w:p w14:paraId="5DD2D5F9">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60.6</w:t>
                  </w:r>
                </w:p>
              </w:tc>
              <w:tc>
                <w:tcPr>
                  <w:tcW w:w="160" w:type="pct"/>
                  <w:tcBorders>
                    <w:tl2br w:val="nil"/>
                    <w:tr2bl w:val="nil"/>
                  </w:tcBorders>
                  <w:shd w:val="clear" w:color="auto" w:fill="FFFFFF"/>
                  <w:tcMar>
                    <w:top w:w="0" w:type="dxa"/>
                    <w:left w:w="0" w:type="dxa"/>
                    <w:bottom w:w="0" w:type="dxa"/>
                    <w:right w:w="0" w:type="dxa"/>
                  </w:tcMar>
                  <w:vAlign w:val="center"/>
                </w:tcPr>
                <w:p w14:paraId="3B37A4F8">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60.9</w:t>
                  </w:r>
                </w:p>
              </w:tc>
              <w:tc>
                <w:tcPr>
                  <w:tcW w:w="160" w:type="pct"/>
                  <w:tcBorders>
                    <w:tl2br w:val="nil"/>
                    <w:tr2bl w:val="nil"/>
                  </w:tcBorders>
                  <w:shd w:val="clear" w:color="auto" w:fill="FFFFFF"/>
                  <w:tcMar>
                    <w:top w:w="0" w:type="dxa"/>
                    <w:left w:w="0" w:type="dxa"/>
                    <w:bottom w:w="0" w:type="dxa"/>
                    <w:right w:w="0" w:type="dxa"/>
                  </w:tcMar>
                  <w:vAlign w:val="center"/>
                </w:tcPr>
                <w:p w14:paraId="17FE270F">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60.9</w:t>
                  </w:r>
                </w:p>
              </w:tc>
              <w:tc>
                <w:tcPr>
                  <w:tcW w:w="160" w:type="pct"/>
                  <w:tcBorders>
                    <w:tl2br w:val="nil"/>
                    <w:tr2bl w:val="nil"/>
                  </w:tcBorders>
                  <w:shd w:val="clear" w:color="auto" w:fill="FFFFFF"/>
                  <w:tcMar>
                    <w:top w:w="0" w:type="dxa"/>
                    <w:left w:w="0" w:type="dxa"/>
                    <w:bottom w:w="0" w:type="dxa"/>
                    <w:right w:w="0" w:type="dxa"/>
                  </w:tcMar>
                  <w:vAlign w:val="center"/>
                </w:tcPr>
                <w:p w14:paraId="0CD7A911">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60.7</w:t>
                  </w:r>
                </w:p>
              </w:tc>
              <w:tc>
                <w:tcPr>
                  <w:tcW w:w="204" w:type="pct"/>
                  <w:tcBorders>
                    <w:tl2br w:val="nil"/>
                    <w:tr2bl w:val="nil"/>
                  </w:tcBorders>
                  <w:shd w:val="clear" w:color="auto" w:fill="FFFFFF"/>
                  <w:tcMar>
                    <w:top w:w="0" w:type="dxa"/>
                    <w:left w:w="0" w:type="dxa"/>
                    <w:bottom w:w="0" w:type="dxa"/>
                    <w:right w:w="0" w:type="dxa"/>
                  </w:tcMar>
                  <w:vAlign w:val="center"/>
                </w:tcPr>
                <w:p w14:paraId="6239E92E">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8</w:t>
                  </w:r>
                </w:p>
              </w:tc>
              <w:tc>
                <w:tcPr>
                  <w:tcW w:w="160" w:type="pct"/>
                  <w:tcBorders>
                    <w:tl2br w:val="nil"/>
                    <w:tr2bl w:val="nil"/>
                  </w:tcBorders>
                  <w:shd w:val="clear" w:color="auto" w:fill="FFFFFF"/>
                  <w:tcMar>
                    <w:top w:w="0" w:type="dxa"/>
                    <w:left w:w="0" w:type="dxa"/>
                    <w:bottom w:w="0" w:type="dxa"/>
                    <w:right w:w="0" w:type="dxa"/>
                  </w:tcMar>
                  <w:vAlign w:val="center"/>
                </w:tcPr>
                <w:p w14:paraId="7EAA8162">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0" w:type="pct"/>
                  <w:tcBorders>
                    <w:tl2br w:val="nil"/>
                    <w:tr2bl w:val="nil"/>
                  </w:tcBorders>
                  <w:shd w:val="clear" w:color="auto" w:fill="FFFFFF"/>
                  <w:tcMar>
                    <w:top w:w="0" w:type="dxa"/>
                    <w:left w:w="0" w:type="dxa"/>
                    <w:bottom w:w="0" w:type="dxa"/>
                    <w:right w:w="0" w:type="dxa"/>
                  </w:tcMar>
                  <w:vAlign w:val="center"/>
                </w:tcPr>
                <w:p w14:paraId="3F473390">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0" w:type="pct"/>
                  <w:tcBorders>
                    <w:tl2br w:val="nil"/>
                    <w:tr2bl w:val="nil"/>
                  </w:tcBorders>
                  <w:shd w:val="clear" w:color="auto" w:fill="FFFFFF"/>
                  <w:tcMar>
                    <w:top w:w="0" w:type="dxa"/>
                    <w:left w:w="0" w:type="dxa"/>
                    <w:bottom w:w="0" w:type="dxa"/>
                    <w:right w:w="0" w:type="dxa"/>
                  </w:tcMar>
                  <w:vAlign w:val="center"/>
                </w:tcPr>
                <w:p w14:paraId="590B2690">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0" w:type="pct"/>
                  <w:tcBorders>
                    <w:tl2br w:val="nil"/>
                    <w:tr2bl w:val="nil"/>
                  </w:tcBorders>
                  <w:shd w:val="clear" w:color="auto" w:fill="FFFFFF"/>
                  <w:tcMar>
                    <w:top w:w="0" w:type="dxa"/>
                    <w:left w:w="0" w:type="dxa"/>
                    <w:bottom w:w="0" w:type="dxa"/>
                    <w:right w:w="0" w:type="dxa"/>
                  </w:tcMar>
                  <w:vAlign w:val="center"/>
                </w:tcPr>
                <w:p w14:paraId="27E88346">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58" w:type="pct"/>
                  <w:tcBorders>
                    <w:tl2br w:val="nil"/>
                    <w:tr2bl w:val="nil"/>
                  </w:tcBorders>
                  <w:shd w:val="clear" w:color="auto" w:fill="FFFFFF"/>
                  <w:tcMar>
                    <w:top w:w="0" w:type="dxa"/>
                    <w:left w:w="0" w:type="dxa"/>
                    <w:bottom w:w="0" w:type="dxa"/>
                    <w:right w:w="0" w:type="dxa"/>
                  </w:tcMar>
                  <w:vAlign w:val="center"/>
                </w:tcPr>
                <w:p w14:paraId="7FBDB060">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48.6</w:t>
                  </w:r>
                </w:p>
              </w:tc>
              <w:tc>
                <w:tcPr>
                  <w:tcW w:w="159" w:type="pct"/>
                  <w:tcBorders>
                    <w:tl2br w:val="nil"/>
                    <w:tr2bl w:val="nil"/>
                  </w:tcBorders>
                  <w:shd w:val="clear" w:color="auto" w:fill="FFFFFF"/>
                  <w:tcMar>
                    <w:top w:w="0" w:type="dxa"/>
                    <w:left w:w="0" w:type="dxa"/>
                    <w:bottom w:w="0" w:type="dxa"/>
                    <w:right w:w="0" w:type="dxa"/>
                  </w:tcMar>
                  <w:vAlign w:val="center"/>
                </w:tcPr>
                <w:p w14:paraId="6F18F4C3">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48.9</w:t>
                  </w:r>
                </w:p>
              </w:tc>
              <w:tc>
                <w:tcPr>
                  <w:tcW w:w="159" w:type="pct"/>
                  <w:tcBorders>
                    <w:tl2br w:val="nil"/>
                    <w:tr2bl w:val="nil"/>
                  </w:tcBorders>
                  <w:shd w:val="clear" w:color="auto" w:fill="FFFFFF"/>
                  <w:tcMar>
                    <w:top w:w="0" w:type="dxa"/>
                    <w:left w:w="0" w:type="dxa"/>
                    <w:bottom w:w="0" w:type="dxa"/>
                    <w:right w:w="0" w:type="dxa"/>
                  </w:tcMar>
                  <w:vAlign w:val="center"/>
                </w:tcPr>
                <w:p w14:paraId="0ADF02F0">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48.9</w:t>
                  </w:r>
                </w:p>
              </w:tc>
              <w:tc>
                <w:tcPr>
                  <w:tcW w:w="159" w:type="pct"/>
                  <w:tcBorders>
                    <w:tl2br w:val="nil"/>
                    <w:tr2bl w:val="nil"/>
                  </w:tcBorders>
                  <w:shd w:val="clear" w:color="auto" w:fill="FFFFFF"/>
                  <w:tcMar>
                    <w:top w:w="0" w:type="dxa"/>
                    <w:left w:w="0" w:type="dxa"/>
                    <w:bottom w:w="0" w:type="dxa"/>
                    <w:right w:w="0" w:type="dxa"/>
                  </w:tcMar>
                  <w:vAlign w:val="center"/>
                </w:tcPr>
                <w:p w14:paraId="428CAEE3">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48.7</w:t>
                  </w:r>
                </w:p>
              </w:tc>
              <w:tc>
                <w:tcPr>
                  <w:tcW w:w="88" w:type="pct"/>
                  <w:tcBorders>
                    <w:tl2br w:val="nil"/>
                    <w:tr2bl w:val="nil"/>
                  </w:tcBorders>
                  <w:shd w:val="clear" w:color="auto" w:fill="FFFFFF"/>
                  <w:tcMar>
                    <w:top w:w="0" w:type="dxa"/>
                    <w:left w:w="0" w:type="dxa"/>
                    <w:bottom w:w="0" w:type="dxa"/>
                    <w:right w:w="0" w:type="dxa"/>
                  </w:tcMar>
                  <w:vAlign w:val="center"/>
                </w:tcPr>
                <w:p w14:paraId="74635068">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w:t>
                  </w:r>
                </w:p>
              </w:tc>
            </w:tr>
            <w:tr w14:paraId="594E20F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0" w:hRule="atLeast"/>
              </w:trPr>
              <w:tc>
                <w:tcPr>
                  <w:tcW w:w="204" w:type="pct"/>
                  <w:tcBorders>
                    <w:tl2br w:val="nil"/>
                    <w:tr2bl w:val="nil"/>
                  </w:tcBorders>
                  <w:shd w:val="clear" w:color="auto" w:fill="FFFFFF"/>
                  <w:tcMar>
                    <w:top w:w="0" w:type="dxa"/>
                    <w:left w:w="0" w:type="dxa"/>
                    <w:bottom w:w="0" w:type="dxa"/>
                    <w:right w:w="0" w:type="dxa"/>
                  </w:tcMar>
                  <w:vAlign w:val="center"/>
                </w:tcPr>
                <w:p w14:paraId="60F4ABEA">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18</w:t>
                  </w:r>
                </w:p>
              </w:tc>
              <w:tc>
                <w:tcPr>
                  <w:tcW w:w="204" w:type="pct"/>
                  <w:tcBorders>
                    <w:tl2br w:val="nil"/>
                    <w:tr2bl w:val="nil"/>
                  </w:tcBorders>
                  <w:shd w:val="clear" w:color="auto" w:fill="FFFFFF"/>
                  <w:tcMar>
                    <w:top w:w="0" w:type="dxa"/>
                    <w:left w:w="0" w:type="dxa"/>
                    <w:bottom w:w="0" w:type="dxa"/>
                    <w:right w:w="0" w:type="dxa"/>
                  </w:tcMar>
                  <w:vAlign w:val="center"/>
                </w:tcPr>
                <w:p w14:paraId="029110CE">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临港高新产业园区-22#厂房</w:t>
                  </w:r>
                </w:p>
              </w:tc>
              <w:tc>
                <w:tcPr>
                  <w:tcW w:w="517" w:type="pct"/>
                  <w:tcBorders>
                    <w:tl2br w:val="nil"/>
                    <w:tr2bl w:val="nil"/>
                  </w:tcBorders>
                  <w:shd w:val="clear" w:color="auto" w:fill="FFFFFF"/>
                  <w:tcMar>
                    <w:top w:w="0" w:type="dxa"/>
                    <w:left w:w="0" w:type="dxa"/>
                    <w:bottom w:w="0" w:type="dxa"/>
                    <w:right w:w="0" w:type="dxa"/>
                  </w:tcMar>
                  <w:vAlign w:val="center"/>
                </w:tcPr>
                <w:p w14:paraId="7E545349">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六轴去毛刺打磨机组,10台（按点声源组预测）</w:t>
                  </w:r>
                </w:p>
              </w:tc>
              <w:tc>
                <w:tcPr>
                  <w:tcW w:w="204" w:type="pct"/>
                  <w:tcBorders>
                    <w:tl2br w:val="nil"/>
                    <w:tr2bl w:val="nil"/>
                  </w:tcBorders>
                  <w:shd w:val="clear" w:color="auto" w:fill="FFFFFF"/>
                  <w:tcMar>
                    <w:top w:w="0" w:type="dxa"/>
                    <w:left w:w="0" w:type="dxa"/>
                    <w:bottom w:w="0" w:type="dxa"/>
                    <w:right w:w="0" w:type="dxa"/>
                  </w:tcMar>
                  <w:vAlign w:val="center"/>
                </w:tcPr>
                <w:p w14:paraId="0519C8F5">
                  <w:pPr>
                    <w:rPr>
                      <w:rFonts w:hint="default" w:ascii="Times New Roman" w:hAnsi="Times New Roman" w:eastAsia="宋体" w:cs="Times New Roman"/>
                      <w:color w:val="auto"/>
                      <w:u w:val="none" w:color="auto"/>
                    </w:rPr>
                  </w:pPr>
                </w:p>
              </w:tc>
              <w:tc>
                <w:tcPr>
                  <w:tcW w:w="270" w:type="pct"/>
                  <w:tcBorders>
                    <w:tl2br w:val="nil"/>
                    <w:tr2bl w:val="nil"/>
                  </w:tcBorders>
                  <w:shd w:val="clear" w:color="auto" w:fill="FFFFFF"/>
                  <w:tcMar>
                    <w:top w:w="0" w:type="dxa"/>
                    <w:left w:w="0" w:type="dxa"/>
                    <w:bottom w:w="0" w:type="dxa"/>
                    <w:right w:w="0" w:type="dxa"/>
                  </w:tcMar>
                  <w:vAlign w:val="center"/>
                </w:tcPr>
                <w:p w14:paraId="1C5B189C">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92.5（等效后：102.5)</w:t>
                  </w:r>
                </w:p>
              </w:tc>
              <w:tc>
                <w:tcPr>
                  <w:tcW w:w="204" w:type="pct"/>
                  <w:vMerge w:val="continue"/>
                  <w:tcBorders>
                    <w:tl2br w:val="nil"/>
                    <w:tr2bl w:val="nil"/>
                  </w:tcBorders>
                  <w:shd w:val="clear" w:color="auto" w:fill="FFFFFF"/>
                  <w:tcMar>
                    <w:top w:w="0" w:type="dxa"/>
                    <w:left w:w="0" w:type="dxa"/>
                    <w:bottom w:w="0" w:type="dxa"/>
                    <w:right w:w="0" w:type="dxa"/>
                  </w:tcMar>
                  <w:vAlign w:val="center"/>
                </w:tcPr>
                <w:p w14:paraId="46A6F342">
                  <w:pPr>
                    <w:rPr>
                      <w:rFonts w:hint="default" w:ascii="Times New Roman" w:hAnsi="Times New Roman" w:eastAsia="宋体" w:cs="Times New Roman"/>
                      <w:color w:val="auto"/>
                      <w:u w:val="none" w:color="auto"/>
                    </w:rPr>
                  </w:pPr>
                </w:p>
              </w:tc>
              <w:tc>
                <w:tcPr>
                  <w:tcW w:w="234" w:type="pct"/>
                  <w:tcBorders>
                    <w:tl2br w:val="nil"/>
                    <w:tr2bl w:val="nil"/>
                  </w:tcBorders>
                  <w:shd w:val="clear" w:color="auto" w:fill="FFFFFF"/>
                  <w:tcMar>
                    <w:top w:w="0" w:type="dxa"/>
                    <w:left w:w="0" w:type="dxa"/>
                    <w:bottom w:w="0" w:type="dxa"/>
                    <w:right w:w="0" w:type="dxa"/>
                  </w:tcMar>
                  <w:vAlign w:val="center"/>
                </w:tcPr>
                <w:p w14:paraId="17029AD8">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-49.5</w:t>
                  </w:r>
                </w:p>
              </w:tc>
              <w:tc>
                <w:tcPr>
                  <w:tcW w:w="189" w:type="pct"/>
                  <w:tcBorders>
                    <w:tl2br w:val="nil"/>
                    <w:tr2bl w:val="nil"/>
                  </w:tcBorders>
                  <w:shd w:val="clear" w:color="auto" w:fill="FFFFFF"/>
                  <w:tcMar>
                    <w:top w:w="0" w:type="dxa"/>
                    <w:left w:w="0" w:type="dxa"/>
                    <w:bottom w:w="0" w:type="dxa"/>
                    <w:right w:w="0" w:type="dxa"/>
                  </w:tcMar>
                  <w:vAlign w:val="center"/>
                </w:tcPr>
                <w:p w14:paraId="296C5FAD">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-19.1</w:t>
                  </w:r>
                </w:p>
              </w:tc>
              <w:tc>
                <w:tcPr>
                  <w:tcW w:w="117" w:type="pct"/>
                  <w:tcBorders>
                    <w:tl2br w:val="nil"/>
                    <w:tr2bl w:val="nil"/>
                  </w:tcBorders>
                  <w:shd w:val="clear" w:color="auto" w:fill="FFFFFF"/>
                  <w:tcMar>
                    <w:top w:w="0" w:type="dxa"/>
                    <w:left w:w="0" w:type="dxa"/>
                    <w:bottom w:w="0" w:type="dxa"/>
                    <w:right w:w="0" w:type="dxa"/>
                  </w:tcMar>
                  <w:vAlign w:val="center"/>
                </w:tcPr>
                <w:p w14:paraId="369F1DA9">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w:t>
                  </w:r>
                </w:p>
              </w:tc>
              <w:tc>
                <w:tcPr>
                  <w:tcW w:w="160" w:type="pct"/>
                  <w:tcBorders>
                    <w:tl2br w:val="nil"/>
                    <w:tr2bl w:val="nil"/>
                  </w:tcBorders>
                  <w:shd w:val="clear" w:color="auto" w:fill="FFFFFF"/>
                  <w:tcMar>
                    <w:top w:w="0" w:type="dxa"/>
                    <w:left w:w="0" w:type="dxa"/>
                    <w:bottom w:w="0" w:type="dxa"/>
                    <w:right w:w="0" w:type="dxa"/>
                  </w:tcMar>
                  <w:vAlign w:val="center"/>
                </w:tcPr>
                <w:p w14:paraId="04ACB48F">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36.2</w:t>
                  </w:r>
                </w:p>
              </w:tc>
              <w:tc>
                <w:tcPr>
                  <w:tcW w:w="160" w:type="pct"/>
                  <w:tcBorders>
                    <w:tl2br w:val="nil"/>
                    <w:tr2bl w:val="nil"/>
                  </w:tcBorders>
                  <w:shd w:val="clear" w:color="auto" w:fill="FFFFFF"/>
                  <w:tcMar>
                    <w:top w:w="0" w:type="dxa"/>
                    <w:left w:w="0" w:type="dxa"/>
                    <w:bottom w:w="0" w:type="dxa"/>
                    <w:right w:w="0" w:type="dxa"/>
                  </w:tcMar>
                  <w:vAlign w:val="center"/>
                </w:tcPr>
                <w:p w14:paraId="4AB05CBC">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13.7</w:t>
                  </w:r>
                </w:p>
              </w:tc>
              <w:tc>
                <w:tcPr>
                  <w:tcW w:w="160" w:type="pct"/>
                  <w:tcBorders>
                    <w:tl2br w:val="nil"/>
                    <w:tr2bl w:val="nil"/>
                  </w:tcBorders>
                  <w:shd w:val="clear" w:color="auto" w:fill="FFFFFF"/>
                  <w:tcMar>
                    <w:top w:w="0" w:type="dxa"/>
                    <w:left w:w="0" w:type="dxa"/>
                    <w:bottom w:w="0" w:type="dxa"/>
                    <w:right w:w="0" w:type="dxa"/>
                  </w:tcMar>
                  <w:vAlign w:val="center"/>
                </w:tcPr>
                <w:p w14:paraId="577D95B7">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61.2</w:t>
                  </w:r>
                </w:p>
              </w:tc>
              <w:tc>
                <w:tcPr>
                  <w:tcW w:w="160" w:type="pct"/>
                  <w:tcBorders>
                    <w:tl2br w:val="nil"/>
                    <w:tr2bl w:val="nil"/>
                  </w:tcBorders>
                  <w:shd w:val="clear" w:color="auto" w:fill="FFFFFF"/>
                  <w:tcMar>
                    <w:top w:w="0" w:type="dxa"/>
                    <w:left w:w="0" w:type="dxa"/>
                    <w:bottom w:w="0" w:type="dxa"/>
                    <w:right w:w="0" w:type="dxa"/>
                  </w:tcMar>
                  <w:vAlign w:val="center"/>
                </w:tcPr>
                <w:p w14:paraId="42AF4A36">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14.8</w:t>
                  </w:r>
                </w:p>
              </w:tc>
              <w:tc>
                <w:tcPr>
                  <w:tcW w:w="160" w:type="pct"/>
                  <w:tcBorders>
                    <w:tl2br w:val="nil"/>
                    <w:tr2bl w:val="nil"/>
                  </w:tcBorders>
                  <w:shd w:val="clear" w:color="auto" w:fill="FFFFFF"/>
                  <w:tcMar>
                    <w:top w:w="0" w:type="dxa"/>
                    <w:left w:w="0" w:type="dxa"/>
                    <w:bottom w:w="0" w:type="dxa"/>
                    <w:right w:w="0" w:type="dxa"/>
                  </w:tcMar>
                  <w:vAlign w:val="center"/>
                </w:tcPr>
                <w:p w14:paraId="71EA7808">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85.7</w:t>
                  </w:r>
                </w:p>
              </w:tc>
              <w:tc>
                <w:tcPr>
                  <w:tcW w:w="160" w:type="pct"/>
                  <w:tcBorders>
                    <w:tl2br w:val="nil"/>
                    <w:tr2bl w:val="nil"/>
                  </w:tcBorders>
                  <w:shd w:val="clear" w:color="auto" w:fill="FFFFFF"/>
                  <w:tcMar>
                    <w:top w:w="0" w:type="dxa"/>
                    <w:left w:w="0" w:type="dxa"/>
                    <w:bottom w:w="0" w:type="dxa"/>
                    <w:right w:w="0" w:type="dxa"/>
                  </w:tcMar>
                  <w:vAlign w:val="center"/>
                </w:tcPr>
                <w:p w14:paraId="12F4A1D6">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85.8</w:t>
                  </w:r>
                </w:p>
              </w:tc>
              <w:tc>
                <w:tcPr>
                  <w:tcW w:w="160" w:type="pct"/>
                  <w:tcBorders>
                    <w:tl2br w:val="nil"/>
                    <w:tr2bl w:val="nil"/>
                  </w:tcBorders>
                  <w:shd w:val="clear" w:color="auto" w:fill="FFFFFF"/>
                  <w:tcMar>
                    <w:top w:w="0" w:type="dxa"/>
                    <w:left w:w="0" w:type="dxa"/>
                    <w:bottom w:w="0" w:type="dxa"/>
                    <w:right w:w="0" w:type="dxa"/>
                  </w:tcMar>
                  <w:vAlign w:val="center"/>
                </w:tcPr>
                <w:p w14:paraId="5CC646CF">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85.7</w:t>
                  </w:r>
                </w:p>
              </w:tc>
              <w:tc>
                <w:tcPr>
                  <w:tcW w:w="160" w:type="pct"/>
                  <w:tcBorders>
                    <w:tl2br w:val="nil"/>
                    <w:tr2bl w:val="nil"/>
                  </w:tcBorders>
                  <w:shd w:val="clear" w:color="auto" w:fill="FFFFFF"/>
                  <w:tcMar>
                    <w:top w:w="0" w:type="dxa"/>
                    <w:left w:w="0" w:type="dxa"/>
                    <w:bottom w:w="0" w:type="dxa"/>
                    <w:right w:w="0" w:type="dxa"/>
                  </w:tcMar>
                  <w:vAlign w:val="center"/>
                </w:tcPr>
                <w:p w14:paraId="5A5742A2">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85.7</w:t>
                  </w:r>
                </w:p>
              </w:tc>
              <w:tc>
                <w:tcPr>
                  <w:tcW w:w="204" w:type="pct"/>
                  <w:tcBorders>
                    <w:tl2br w:val="nil"/>
                    <w:tr2bl w:val="nil"/>
                  </w:tcBorders>
                  <w:shd w:val="clear" w:color="auto" w:fill="FFFFFF"/>
                  <w:tcMar>
                    <w:top w:w="0" w:type="dxa"/>
                    <w:left w:w="0" w:type="dxa"/>
                    <w:bottom w:w="0" w:type="dxa"/>
                    <w:right w:w="0" w:type="dxa"/>
                  </w:tcMar>
                  <w:vAlign w:val="center"/>
                </w:tcPr>
                <w:p w14:paraId="53175ECB">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8</w:t>
                  </w:r>
                </w:p>
              </w:tc>
              <w:tc>
                <w:tcPr>
                  <w:tcW w:w="160" w:type="pct"/>
                  <w:tcBorders>
                    <w:tl2br w:val="nil"/>
                    <w:tr2bl w:val="nil"/>
                  </w:tcBorders>
                  <w:shd w:val="clear" w:color="auto" w:fill="FFFFFF"/>
                  <w:tcMar>
                    <w:top w:w="0" w:type="dxa"/>
                    <w:left w:w="0" w:type="dxa"/>
                    <w:bottom w:w="0" w:type="dxa"/>
                    <w:right w:w="0" w:type="dxa"/>
                  </w:tcMar>
                  <w:vAlign w:val="center"/>
                </w:tcPr>
                <w:p w14:paraId="55F77C4D">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0" w:type="pct"/>
                  <w:tcBorders>
                    <w:tl2br w:val="nil"/>
                    <w:tr2bl w:val="nil"/>
                  </w:tcBorders>
                  <w:shd w:val="clear" w:color="auto" w:fill="FFFFFF"/>
                  <w:tcMar>
                    <w:top w:w="0" w:type="dxa"/>
                    <w:left w:w="0" w:type="dxa"/>
                    <w:bottom w:w="0" w:type="dxa"/>
                    <w:right w:w="0" w:type="dxa"/>
                  </w:tcMar>
                  <w:vAlign w:val="center"/>
                </w:tcPr>
                <w:p w14:paraId="72CA021E">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0" w:type="pct"/>
                  <w:tcBorders>
                    <w:tl2br w:val="nil"/>
                    <w:tr2bl w:val="nil"/>
                  </w:tcBorders>
                  <w:shd w:val="clear" w:color="auto" w:fill="FFFFFF"/>
                  <w:tcMar>
                    <w:top w:w="0" w:type="dxa"/>
                    <w:left w:w="0" w:type="dxa"/>
                    <w:bottom w:w="0" w:type="dxa"/>
                    <w:right w:w="0" w:type="dxa"/>
                  </w:tcMar>
                  <w:vAlign w:val="center"/>
                </w:tcPr>
                <w:p w14:paraId="02386C77">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0" w:type="pct"/>
                  <w:tcBorders>
                    <w:tl2br w:val="nil"/>
                    <w:tr2bl w:val="nil"/>
                  </w:tcBorders>
                  <w:shd w:val="clear" w:color="auto" w:fill="FFFFFF"/>
                  <w:tcMar>
                    <w:top w:w="0" w:type="dxa"/>
                    <w:left w:w="0" w:type="dxa"/>
                    <w:bottom w:w="0" w:type="dxa"/>
                    <w:right w:w="0" w:type="dxa"/>
                  </w:tcMar>
                  <w:vAlign w:val="center"/>
                </w:tcPr>
                <w:p w14:paraId="1B6282C5">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58" w:type="pct"/>
                  <w:tcBorders>
                    <w:tl2br w:val="nil"/>
                    <w:tr2bl w:val="nil"/>
                  </w:tcBorders>
                  <w:shd w:val="clear" w:color="auto" w:fill="FFFFFF"/>
                  <w:tcMar>
                    <w:top w:w="0" w:type="dxa"/>
                    <w:left w:w="0" w:type="dxa"/>
                    <w:bottom w:w="0" w:type="dxa"/>
                    <w:right w:w="0" w:type="dxa"/>
                  </w:tcMar>
                  <w:vAlign w:val="center"/>
                </w:tcPr>
                <w:p w14:paraId="38D65691">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73.7</w:t>
                  </w:r>
                </w:p>
              </w:tc>
              <w:tc>
                <w:tcPr>
                  <w:tcW w:w="159" w:type="pct"/>
                  <w:tcBorders>
                    <w:tl2br w:val="nil"/>
                    <w:tr2bl w:val="nil"/>
                  </w:tcBorders>
                  <w:shd w:val="clear" w:color="auto" w:fill="FFFFFF"/>
                  <w:tcMar>
                    <w:top w:w="0" w:type="dxa"/>
                    <w:left w:w="0" w:type="dxa"/>
                    <w:bottom w:w="0" w:type="dxa"/>
                    <w:right w:w="0" w:type="dxa"/>
                  </w:tcMar>
                  <w:vAlign w:val="center"/>
                </w:tcPr>
                <w:p w14:paraId="36B9132D">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73.8</w:t>
                  </w:r>
                </w:p>
              </w:tc>
              <w:tc>
                <w:tcPr>
                  <w:tcW w:w="159" w:type="pct"/>
                  <w:tcBorders>
                    <w:tl2br w:val="nil"/>
                    <w:tr2bl w:val="nil"/>
                  </w:tcBorders>
                  <w:shd w:val="clear" w:color="auto" w:fill="FFFFFF"/>
                  <w:tcMar>
                    <w:top w:w="0" w:type="dxa"/>
                    <w:left w:w="0" w:type="dxa"/>
                    <w:bottom w:w="0" w:type="dxa"/>
                    <w:right w:w="0" w:type="dxa"/>
                  </w:tcMar>
                  <w:vAlign w:val="center"/>
                </w:tcPr>
                <w:p w14:paraId="56035AE7">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73.7</w:t>
                  </w:r>
                </w:p>
              </w:tc>
              <w:tc>
                <w:tcPr>
                  <w:tcW w:w="159" w:type="pct"/>
                  <w:tcBorders>
                    <w:tl2br w:val="nil"/>
                    <w:tr2bl w:val="nil"/>
                  </w:tcBorders>
                  <w:shd w:val="clear" w:color="auto" w:fill="FFFFFF"/>
                  <w:tcMar>
                    <w:top w:w="0" w:type="dxa"/>
                    <w:left w:w="0" w:type="dxa"/>
                    <w:bottom w:w="0" w:type="dxa"/>
                    <w:right w:w="0" w:type="dxa"/>
                  </w:tcMar>
                  <w:vAlign w:val="center"/>
                </w:tcPr>
                <w:p w14:paraId="08A0E201">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73.7</w:t>
                  </w:r>
                </w:p>
              </w:tc>
              <w:tc>
                <w:tcPr>
                  <w:tcW w:w="88" w:type="pct"/>
                  <w:tcBorders>
                    <w:tl2br w:val="nil"/>
                    <w:tr2bl w:val="nil"/>
                  </w:tcBorders>
                  <w:shd w:val="clear" w:color="auto" w:fill="FFFFFF"/>
                  <w:tcMar>
                    <w:top w:w="0" w:type="dxa"/>
                    <w:left w:w="0" w:type="dxa"/>
                    <w:bottom w:w="0" w:type="dxa"/>
                    <w:right w:w="0" w:type="dxa"/>
                  </w:tcMar>
                  <w:vAlign w:val="center"/>
                </w:tcPr>
                <w:p w14:paraId="6EF8DD6B">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w:t>
                  </w:r>
                </w:p>
              </w:tc>
            </w:tr>
            <w:tr w14:paraId="7600283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0" w:hRule="atLeast"/>
              </w:trPr>
              <w:tc>
                <w:tcPr>
                  <w:tcW w:w="204" w:type="pct"/>
                  <w:tcBorders>
                    <w:tl2br w:val="nil"/>
                    <w:tr2bl w:val="nil"/>
                  </w:tcBorders>
                  <w:shd w:val="clear" w:color="auto" w:fill="FFFFFF"/>
                  <w:tcMar>
                    <w:top w:w="0" w:type="dxa"/>
                    <w:left w:w="0" w:type="dxa"/>
                    <w:bottom w:w="0" w:type="dxa"/>
                    <w:right w:w="0" w:type="dxa"/>
                  </w:tcMar>
                  <w:vAlign w:val="center"/>
                </w:tcPr>
                <w:p w14:paraId="7F85154B">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19</w:t>
                  </w:r>
                </w:p>
              </w:tc>
              <w:tc>
                <w:tcPr>
                  <w:tcW w:w="204" w:type="pct"/>
                  <w:tcBorders>
                    <w:tl2br w:val="nil"/>
                    <w:tr2bl w:val="nil"/>
                  </w:tcBorders>
                  <w:shd w:val="clear" w:color="auto" w:fill="FFFFFF"/>
                  <w:tcMar>
                    <w:top w:w="0" w:type="dxa"/>
                    <w:left w:w="0" w:type="dxa"/>
                    <w:bottom w:w="0" w:type="dxa"/>
                    <w:right w:w="0" w:type="dxa"/>
                  </w:tcMar>
                  <w:vAlign w:val="center"/>
                </w:tcPr>
                <w:p w14:paraId="0B7CB5B4">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临港高新产业园区-22#厂房</w:t>
                  </w:r>
                </w:p>
              </w:tc>
              <w:tc>
                <w:tcPr>
                  <w:tcW w:w="517" w:type="pct"/>
                  <w:tcBorders>
                    <w:tl2br w:val="nil"/>
                    <w:tr2bl w:val="nil"/>
                  </w:tcBorders>
                  <w:shd w:val="clear" w:color="auto" w:fill="FFFFFF"/>
                  <w:tcMar>
                    <w:top w:w="0" w:type="dxa"/>
                    <w:left w:w="0" w:type="dxa"/>
                    <w:bottom w:w="0" w:type="dxa"/>
                    <w:right w:w="0" w:type="dxa"/>
                  </w:tcMar>
                  <w:vAlign w:val="center"/>
                </w:tcPr>
                <w:p w14:paraId="75A9EF92">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激光打标机,3台（按点声源组预测）</w:t>
                  </w:r>
                </w:p>
              </w:tc>
              <w:tc>
                <w:tcPr>
                  <w:tcW w:w="204" w:type="pct"/>
                  <w:tcBorders>
                    <w:tl2br w:val="nil"/>
                    <w:tr2bl w:val="nil"/>
                  </w:tcBorders>
                  <w:shd w:val="clear" w:color="auto" w:fill="FFFFFF"/>
                  <w:tcMar>
                    <w:top w:w="0" w:type="dxa"/>
                    <w:left w:w="0" w:type="dxa"/>
                    <w:bottom w:w="0" w:type="dxa"/>
                    <w:right w:w="0" w:type="dxa"/>
                  </w:tcMar>
                  <w:vAlign w:val="center"/>
                </w:tcPr>
                <w:p w14:paraId="1FEE9169">
                  <w:pPr>
                    <w:rPr>
                      <w:rFonts w:hint="default" w:ascii="Times New Roman" w:hAnsi="Times New Roman" w:eastAsia="宋体" w:cs="Times New Roman"/>
                      <w:color w:val="auto"/>
                      <w:u w:val="none" w:color="auto"/>
                    </w:rPr>
                  </w:pPr>
                </w:p>
              </w:tc>
              <w:tc>
                <w:tcPr>
                  <w:tcW w:w="270" w:type="pct"/>
                  <w:tcBorders>
                    <w:tl2br w:val="nil"/>
                    <w:tr2bl w:val="nil"/>
                  </w:tcBorders>
                  <w:shd w:val="clear" w:color="auto" w:fill="FFFFFF"/>
                  <w:tcMar>
                    <w:top w:w="0" w:type="dxa"/>
                    <w:left w:w="0" w:type="dxa"/>
                    <w:bottom w:w="0" w:type="dxa"/>
                    <w:right w:w="0" w:type="dxa"/>
                  </w:tcMar>
                  <w:vAlign w:val="center"/>
                </w:tcPr>
                <w:p w14:paraId="138E00AE">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77.5（等效后：82.3)</w:t>
                  </w:r>
                </w:p>
              </w:tc>
              <w:tc>
                <w:tcPr>
                  <w:tcW w:w="204" w:type="pct"/>
                  <w:vMerge w:val="continue"/>
                  <w:tcBorders>
                    <w:tl2br w:val="nil"/>
                    <w:tr2bl w:val="nil"/>
                  </w:tcBorders>
                  <w:shd w:val="clear" w:color="auto" w:fill="FFFFFF"/>
                  <w:tcMar>
                    <w:top w:w="0" w:type="dxa"/>
                    <w:left w:w="0" w:type="dxa"/>
                    <w:bottom w:w="0" w:type="dxa"/>
                    <w:right w:w="0" w:type="dxa"/>
                  </w:tcMar>
                  <w:vAlign w:val="center"/>
                </w:tcPr>
                <w:p w14:paraId="669D1B0D">
                  <w:pPr>
                    <w:rPr>
                      <w:rFonts w:hint="default" w:ascii="Times New Roman" w:hAnsi="Times New Roman" w:eastAsia="宋体" w:cs="Times New Roman"/>
                      <w:color w:val="auto"/>
                      <w:u w:val="none" w:color="auto"/>
                    </w:rPr>
                  </w:pPr>
                </w:p>
              </w:tc>
              <w:tc>
                <w:tcPr>
                  <w:tcW w:w="234" w:type="pct"/>
                  <w:tcBorders>
                    <w:tl2br w:val="nil"/>
                    <w:tr2bl w:val="nil"/>
                  </w:tcBorders>
                  <w:shd w:val="clear" w:color="auto" w:fill="FFFFFF"/>
                  <w:tcMar>
                    <w:top w:w="0" w:type="dxa"/>
                    <w:left w:w="0" w:type="dxa"/>
                    <w:bottom w:w="0" w:type="dxa"/>
                    <w:right w:w="0" w:type="dxa"/>
                  </w:tcMar>
                  <w:vAlign w:val="center"/>
                </w:tcPr>
                <w:p w14:paraId="5310CC34">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-27.8</w:t>
                  </w:r>
                </w:p>
              </w:tc>
              <w:tc>
                <w:tcPr>
                  <w:tcW w:w="189" w:type="pct"/>
                  <w:tcBorders>
                    <w:tl2br w:val="nil"/>
                    <w:tr2bl w:val="nil"/>
                  </w:tcBorders>
                  <w:shd w:val="clear" w:color="auto" w:fill="FFFFFF"/>
                  <w:tcMar>
                    <w:top w:w="0" w:type="dxa"/>
                    <w:left w:w="0" w:type="dxa"/>
                    <w:bottom w:w="0" w:type="dxa"/>
                    <w:right w:w="0" w:type="dxa"/>
                  </w:tcMar>
                  <w:vAlign w:val="center"/>
                </w:tcPr>
                <w:p w14:paraId="58A4258A">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-21.4</w:t>
                  </w:r>
                </w:p>
              </w:tc>
              <w:tc>
                <w:tcPr>
                  <w:tcW w:w="117" w:type="pct"/>
                  <w:tcBorders>
                    <w:tl2br w:val="nil"/>
                    <w:tr2bl w:val="nil"/>
                  </w:tcBorders>
                  <w:shd w:val="clear" w:color="auto" w:fill="FFFFFF"/>
                  <w:tcMar>
                    <w:top w:w="0" w:type="dxa"/>
                    <w:left w:w="0" w:type="dxa"/>
                    <w:bottom w:w="0" w:type="dxa"/>
                    <w:right w:w="0" w:type="dxa"/>
                  </w:tcMar>
                  <w:vAlign w:val="center"/>
                </w:tcPr>
                <w:p w14:paraId="71310894">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w:t>
                  </w:r>
                </w:p>
              </w:tc>
              <w:tc>
                <w:tcPr>
                  <w:tcW w:w="160" w:type="pct"/>
                  <w:tcBorders>
                    <w:tl2br w:val="nil"/>
                    <w:tr2bl w:val="nil"/>
                  </w:tcBorders>
                  <w:shd w:val="clear" w:color="auto" w:fill="FFFFFF"/>
                  <w:tcMar>
                    <w:top w:w="0" w:type="dxa"/>
                    <w:left w:w="0" w:type="dxa"/>
                    <w:bottom w:w="0" w:type="dxa"/>
                    <w:right w:w="0" w:type="dxa"/>
                  </w:tcMar>
                  <w:vAlign w:val="center"/>
                </w:tcPr>
                <w:p w14:paraId="590671FD">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14.4</w:t>
                  </w:r>
                </w:p>
              </w:tc>
              <w:tc>
                <w:tcPr>
                  <w:tcW w:w="160" w:type="pct"/>
                  <w:tcBorders>
                    <w:tl2br w:val="nil"/>
                    <w:tr2bl w:val="nil"/>
                  </w:tcBorders>
                  <w:shd w:val="clear" w:color="auto" w:fill="FFFFFF"/>
                  <w:tcMar>
                    <w:top w:w="0" w:type="dxa"/>
                    <w:left w:w="0" w:type="dxa"/>
                    <w:bottom w:w="0" w:type="dxa"/>
                    <w:right w:w="0" w:type="dxa"/>
                  </w:tcMar>
                  <w:vAlign w:val="center"/>
                </w:tcPr>
                <w:p w14:paraId="55010D26">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13.6</w:t>
                  </w:r>
                </w:p>
              </w:tc>
              <w:tc>
                <w:tcPr>
                  <w:tcW w:w="160" w:type="pct"/>
                  <w:tcBorders>
                    <w:tl2br w:val="nil"/>
                    <w:tr2bl w:val="nil"/>
                  </w:tcBorders>
                  <w:shd w:val="clear" w:color="auto" w:fill="FFFFFF"/>
                  <w:tcMar>
                    <w:top w:w="0" w:type="dxa"/>
                    <w:left w:w="0" w:type="dxa"/>
                    <w:bottom w:w="0" w:type="dxa"/>
                    <w:right w:w="0" w:type="dxa"/>
                  </w:tcMar>
                  <w:vAlign w:val="center"/>
                </w:tcPr>
                <w:p w14:paraId="0A9724A2">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83.0</w:t>
                  </w:r>
                </w:p>
              </w:tc>
              <w:tc>
                <w:tcPr>
                  <w:tcW w:w="160" w:type="pct"/>
                  <w:tcBorders>
                    <w:tl2br w:val="nil"/>
                    <w:tr2bl w:val="nil"/>
                  </w:tcBorders>
                  <w:shd w:val="clear" w:color="auto" w:fill="FFFFFF"/>
                  <w:tcMar>
                    <w:top w:w="0" w:type="dxa"/>
                    <w:left w:w="0" w:type="dxa"/>
                    <w:bottom w:w="0" w:type="dxa"/>
                    <w:right w:w="0" w:type="dxa"/>
                  </w:tcMar>
                  <w:vAlign w:val="center"/>
                </w:tcPr>
                <w:p w14:paraId="4C0DBD44">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15.0</w:t>
                  </w:r>
                </w:p>
              </w:tc>
              <w:tc>
                <w:tcPr>
                  <w:tcW w:w="160" w:type="pct"/>
                  <w:tcBorders>
                    <w:tl2br w:val="nil"/>
                    <w:tr2bl w:val="nil"/>
                  </w:tcBorders>
                  <w:shd w:val="clear" w:color="auto" w:fill="FFFFFF"/>
                  <w:tcMar>
                    <w:top w:w="0" w:type="dxa"/>
                    <w:left w:w="0" w:type="dxa"/>
                    <w:bottom w:w="0" w:type="dxa"/>
                    <w:right w:w="0" w:type="dxa"/>
                  </w:tcMar>
                  <w:vAlign w:val="center"/>
                </w:tcPr>
                <w:p w14:paraId="16395F4A">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65.6</w:t>
                  </w:r>
                </w:p>
              </w:tc>
              <w:tc>
                <w:tcPr>
                  <w:tcW w:w="160" w:type="pct"/>
                  <w:tcBorders>
                    <w:tl2br w:val="nil"/>
                    <w:tr2bl w:val="nil"/>
                  </w:tcBorders>
                  <w:shd w:val="clear" w:color="auto" w:fill="FFFFFF"/>
                  <w:tcMar>
                    <w:top w:w="0" w:type="dxa"/>
                    <w:left w:w="0" w:type="dxa"/>
                    <w:bottom w:w="0" w:type="dxa"/>
                    <w:right w:w="0" w:type="dxa"/>
                  </w:tcMar>
                  <w:vAlign w:val="center"/>
                </w:tcPr>
                <w:p w14:paraId="2C6C0857">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65.6</w:t>
                  </w:r>
                </w:p>
              </w:tc>
              <w:tc>
                <w:tcPr>
                  <w:tcW w:w="160" w:type="pct"/>
                  <w:tcBorders>
                    <w:tl2br w:val="nil"/>
                    <w:tr2bl w:val="nil"/>
                  </w:tcBorders>
                  <w:shd w:val="clear" w:color="auto" w:fill="FFFFFF"/>
                  <w:tcMar>
                    <w:top w:w="0" w:type="dxa"/>
                    <w:left w:w="0" w:type="dxa"/>
                    <w:bottom w:w="0" w:type="dxa"/>
                    <w:right w:w="0" w:type="dxa"/>
                  </w:tcMar>
                  <w:vAlign w:val="center"/>
                </w:tcPr>
                <w:p w14:paraId="22F5A052">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65.5</w:t>
                  </w:r>
                </w:p>
              </w:tc>
              <w:tc>
                <w:tcPr>
                  <w:tcW w:w="160" w:type="pct"/>
                  <w:tcBorders>
                    <w:tl2br w:val="nil"/>
                    <w:tr2bl w:val="nil"/>
                  </w:tcBorders>
                  <w:shd w:val="clear" w:color="auto" w:fill="FFFFFF"/>
                  <w:tcMar>
                    <w:top w:w="0" w:type="dxa"/>
                    <w:left w:w="0" w:type="dxa"/>
                    <w:bottom w:w="0" w:type="dxa"/>
                    <w:right w:w="0" w:type="dxa"/>
                  </w:tcMar>
                  <w:vAlign w:val="center"/>
                </w:tcPr>
                <w:p w14:paraId="4200A546">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65.5</w:t>
                  </w:r>
                </w:p>
              </w:tc>
              <w:tc>
                <w:tcPr>
                  <w:tcW w:w="204" w:type="pct"/>
                  <w:tcBorders>
                    <w:tl2br w:val="nil"/>
                    <w:tr2bl w:val="nil"/>
                  </w:tcBorders>
                  <w:shd w:val="clear" w:color="auto" w:fill="FFFFFF"/>
                  <w:tcMar>
                    <w:top w:w="0" w:type="dxa"/>
                    <w:left w:w="0" w:type="dxa"/>
                    <w:bottom w:w="0" w:type="dxa"/>
                    <w:right w:w="0" w:type="dxa"/>
                  </w:tcMar>
                  <w:vAlign w:val="center"/>
                </w:tcPr>
                <w:p w14:paraId="425FA5D2">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8</w:t>
                  </w:r>
                </w:p>
              </w:tc>
              <w:tc>
                <w:tcPr>
                  <w:tcW w:w="160" w:type="pct"/>
                  <w:tcBorders>
                    <w:tl2br w:val="nil"/>
                    <w:tr2bl w:val="nil"/>
                  </w:tcBorders>
                  <w:shd w:val="clear" w:color="auto" w:fill="FFFFFF"/>
                  <w:tcMar>
                    <w:top w:w="0" w:type="dxa"/>
                    <w:left w:w="0" w:type="dxa"/>
                    <w:bottom w:w="0" w:type="dxa"/>
                    <w:right w:w="0" w:type="dxa"/>
                  </w:tcMar>
                  <w:vAlign w:val="center"/>
                </w:tcPr>
                <w:p w14:paraId="21D4B7C6">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0" w:type="pct"/>
                  <w:tcBorders>
                    <w:tl2br w:val="nil"/>
                    <w:tr2bl w:val="nil"/>
                  </w:tcBorders>
                  <w:shd w:val="clear" w:color="auto" w:fill="FFFFFF"/>
                  <w:tcMar>
                    <w:top w:w="0" w:type="dxa"/>
                    <w:left w:w="0" w:type="dxa"/>
                    <w:bottom w:w="0" w:type="dxa"/>
                    <w:right w:w="0" w:type="dxa"/>
                  </w:tcMar>
                  <w:vAlign w:val="center"/>
                </w:tcPr>
                <w:p w14:paraId="15ED6013">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0" w:type="pct"/>
                  <w:tcBorders>
                    <w:tl2br w:val="nil"/>
                    <w:tr2bl w:val="nil"/>
                  </w:tcBorders>
                  <w:shd w:val="clear" w:color="auto" w:fill="FFFFFF"/>
                  <w:tcMar>
                    <w:top w:w="0" w:type="dxa"/>
                    <w:left w:w="0" w:type="dxa"/>
                    <w:bottom w:w="0" w:type="dxa"/>
                    <w:right w:w="0" w:type="dxa"/>
                  </w:tcMar>
                  <w:vAlign w:val="center"/>
                </w:tcPr>
                <w:p w14:paraId="274371E5">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0" w:type="pct"/>
                  <w:tcBorders>
                    <w:tl2br w:val="nil"/>
                    <w:tr2bl w:val="nil"/>
                  </w:tcBorders>
                  <w:shd w:val="clear" w:color="auto" w:fill="FFFFFF"/>
                  <w:tcMar>
                    <w:top w:w="0" w:type="dxa"/>
                    <w:left w:w="0" w:type="dxa"/>
                    <w:bottom w:w="0" w:type="dxa"/>
                    <w:right w:w="0" w:type="dxa"/>
                  </w:tcMar>
                  <w:vAlign w:val="center"/>
                </w:tcPr>
                <w:p w14:paraId="0F335338">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58" w:type="pct"/>
                  <w:tcBorders>
                    <w:tl2br w:val="nil"/>
                    <w:tr2bl w:val="nil"/>
                  </w:tcBorders>
                  <w:shd w:val="clear" w:color="auto" w:fill="FFFFFF"/>
                  <w:tcMar>
                    <w:top w:w="0" w:type="dxa"/>
                    <w:left w:w="0" w:type="dxa"/>
                    <w:bottom w:w="0" w:type="dxa"/>
                    <w:right w:w="0" w:type="dxa"/>
                  </w:tcMar>
                  <w:vAlign w:val="center"/>
                </w:tcPr>
                <w:p w14:paraId="44E3FC87">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53.6</w:t>
                  </w:r>
                </w:p>
              </w:tc>
              <w:tc>
                <w:tcPr>
                  <w:tcW w:w="159" w:type="pct"/>
                  <w:tcBorders>
                    <w:tl2br w:val="nil"/>
                    <w:tr2bl w:val="nil"/>
                  </w:tcBorders>
                  <w:shd w:val="clear" w:color="auto" w:fill="FFFFFF"/>
                  <w:tcMar>
                    <w:top w:w="0" w:type="dxa"/>
                    <w:left w:w="0" w:type="dxa"/>
                    <w:bottom w:w="0" w:type="dxa"/>
                    <w:right w:w="0" w:type="dxa"/>
                  </w:tcMar>
                  <w:vAlign w:val="center"/>
                </w:tcPr>
                <w:p w14:paraId="39754DEF">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53.6</w:t>
                  </w:r>
                </w:p>
              </w:tc>
              <w:tc>
                <w:tcPr>
                  <w:tcW w:w="159" w:type="pct"/>
                  <w:tcBorders>
                    <w:tl2br w:val="nil"/>
                    <w:tr2bl w:val="nil"/>
                  </w:tcBorders>
                  <w:shd w:val="clear" w:color="auto" w:fill="FFFFFF"/>
                  <w:tcMar>
                    <w:top w:w="0" w:type="dxa"/>
                    <w:left w:w="0" w:type="dxa"/>
                    <w:bottom w:w="0" w:type="dxa"/>
                    <w:right w:w="0" w:type="dxa"/>
                  </w:tcMar>
                  <w:vAlign w:val="center"/>
                </w:tcPr>
                <w:p w14:paraId="55B5954A">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53.5</w:t>
                  </w:r>
                </w:p>
              </w:tc>
              <w:tc>
                <w:tcPr>
                  <w:tcW w:w="159" w:type="pct"/>
                  <w:tcBorders>
                    <w:tl2br w:val="nil"/>
                    <w:tr2bl w:val="nil"/>
                  </w:tcBorders>
                  <w:shd w:val="clear" w:color="auto" w:fill="FFFFFF"/>
                  <w:tcMar>
                    <w:top w:w="0" w:type="dxa"/>
                    <w:left w:w="0" w:type="dxa"/>
                    <w:bottom w:w="0" w:type="dxa"/>
                    <w:right w:w="0" w:type="dxa"/>
                  </w:tcMar>
                  <w:vAlign w:val="center"/>
                </w:tcPr>
                <w:p w14:paraId="1C724D59">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53.5</w:t>
                  </w:r>
                </w:p>
              </w:tc>
              <w:tc>
                <w:tcPr>
                  <w:tcW w:w="88" w:type="pct"/>
                  <w:tcBorders>
                    <w:tl2br w:val="nil"/>
                    <w:tr2bl w:val="nil"/>
                  </w:tcBorders>
                  <w:shd w:val="clear" w:color="auto" w:fill="FFFFFF"/>
                  <w:tcMar>
                    <w:top w:w="0" w:type="dxa"/>
                    <w:left w:w="0" w:type="dxa"/>
                    <w:bottom w:w="0" w:type="dxa"/>
                    <w:right w:w="0" w:type="dxa"/>
                  </w:tcMar>
                  <w:vAlign w:val="center"/>
                </w:tcPr>
                <w:p w14:paraId="55C901FC">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w:t>
                  </w:r>
                </w:p>
              </w:tc>
            </w:tr>
            <w:tr w14:paraId="09D533A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0" w:hRule="atLeast"/>
              </w:trPr>
              <w:tc>
                <w:tcPr>
                  <w:tcW w:w="204" w:type="pct"/>
                  <w:tcBorders>
                    <w:tl2br w:val="nil"/>
                    <w:tr2bl w:val="nil"/>
                  </w:tcBorders>
                  <w:shd w:val="clear" w:color="auto" w:fill="FFFFFF"/>
                  <w:tcMar>
                    <w:top w:w="0" w:type="dxa"/>
                    <w:left w:w="0" w:type="dxa"/>
                    <w:bottom w:w="0" w:type="dxa"/>
                    <w:right w:w="0" w:type="dxa"/>
                  </w:tcMar>
                  <w:vAlign w:val="center"/>
                </w:tcPr>
                <w:p w14:paraId="75837A16">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20</w:t>
                  </w:r>
                </w:p>
              </w:tc>
              <w:tc>
                <w:tcPr>
                  <w:tcW w:w="204" w:type="pct"/>
                  <w:tcBorders>
                    <w:tl2br w:val="nil"/>
                    <w:tr2bl w:val="nil"/>
                  </w:tcBorders>
                  <w:shd w:val="clear" w:color="auto" w:fill="FFFFFF"/>
                  <w:tcMar>
                    <w:top w:w="0" w:type="dxa"/>
                    <w:left w:w="0" w:type="dxa"/>
                    <w:bottom w:w="0" w:type="dxa"/>
                    <w:right w:w="0" w:type="dxa"/>
                  </w:tcMar>
                  <w:vAlign w:val="center"/>
                </w:tcPr>
                <w:p w14:paraId="2D2C935E">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临港高新产业园区-22#厂房</w:t>
                  </w:r>
                </w:p>
              </w:tc>
              <w:tc>
                <w:tcPr>
                  <w:tcW w:w="517" w:type="pct"/>
                  <w:tcBorders>
                    <w:tl2br w:val="nil"/>
                    <w:tr2bl w:val="nil"/>
                  </w:tcBorders>
                  <w:shd w:val="clear" w:color="auto" w:fill="FFFFFF"/>
                  <w:tcMar>
                    <w:top w:w="0" w:type="dxa"/>
                    <w:left w:w="0" w:type="dxa"/>
                    <w:bottom w:w="0" w:type="dxa"/>
                    <w:right w:w="0" w:type="dxa"/>
                  </w:tcMar>
                  <w:vAlign w:val="center"/>
                </w:tcPr>
                <w:p w14:paraId="0755D68E">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立式加工中心组,10台（按点声源组预测）</w:t>
                  </w:r>
                </w:p>
              </w:tc>
              <w:tc>
                <w:tcPr>
                  <w:tcW w:w="204" w:type="pct"/>
                  <w:tcBorders>
                    <w:tl2br w:val="nil"/>
                    <w:tr2bl w:val="nil"/>
                  </w:tcBorders>
                  <w:shd w:val="clear" w:color="auto" w:fill="FFFFFF"/>
                  <w:tcMar>
                    <w:top w:w="0" w:type="dxa"/>
                    <w:left w:w="0" w:type="dxa"/>
                    <w:bottom w:w="0" w:type="dxa"/>
                    <w:right w:w="0" w:type="dxa"/>
                  </w:tcMar>
                  <w:vAlign w:val="center"/>
                </w:tcPr>
                <w:p w14:paraId="4DA42C38">
                  <w:pPr>
                    <w:rPr>
                      <w:rFonts w:hint="default" w:ascii="Times New Roman" w:hAnsi="Times New Roman" w:eastAsia="宋体" w:cs="Times New Roman"/>
                      <w:color w:val="auto"/>
                      <w:u w:val="none" w:color="auto"/>
                    </w:rPr>
                  </w:pPr>
                </w:p>
              </w:tc>
              <w:tc>
                <w:tcPr>
                  <w:tcW w:w="270" w:type="pct"/>
                  <w:tcBorders>
                    <w:tl2br w:val="nil"/>
                    <w:tr2bl w:val="nil"/>
                  </w:tcBorders>
                  <w:shd w:val="clear" w:color="auto" w:fill="FFFFFF"/>
                  <w:tcMar>
                    <w:top w:w="0" w:type="dxa"/>
                    <w:left w:w="0" w:type="dxa"/>
                    <w:bottom w:w="0" w:type="dxa"/>
                    <w:right w:w="0" w:type="dxa"/>
                  </w:tcMar>
                  <w:vAlign w:val="center"/>
                </w:tcPr>
                <w:p w14:paraId="68E6B199">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87.5（等效后：97.5)</w:t>
                  </w:r>
                </w:p>
              </w:tc>
              <w:tc>
                <w:tcPr>
                  <w:tcW w:w="204" w:type="pct"/>
                  <w:vMerge w:val="continue"/>
                  <w:tcBorders>
                    <w:tl2br w:val="nil"/>
                    <w:tr2bl w:val="nil"/>
                  </w:tcBorders>
                  <w:shd w:val="clear" w:color="auto" w:fill="FFFFFF"/>
                  <w:tcMar>
                    <w:top w:w="0" w:type="dxa"/>
                    <w:left w:w="0" w:type="dxa"/>
                    <w:bottom w:w="0" w:type="dxa"/>
                    <w:right w:w="0" w:type="dxa"/>
                  </w:tcMar>
                  <w:vAlign w:val="center"/>
                </w:tcPr>
                <w:p w14:paraId="4C580EC2">
                  <w:pPr>
                    <w:rPr>
                      <w:rFonts w:hint="default" w:ascii="Times New Roman" w:hAnsi="Times New Roman" w:eastAsia="宋体" w:cs="Times New Roman"/>
                      <w:color w:val="auto"/>
                      <w:u w:val="none" w:color="auto"/>
                    </w:rPr>
                  </w:pPr>
                </w:p>
              </w:tc>
              <w:tc>
                <w:tcPr>
                  <w:tcW w:w="234" w:type="pct"/>
                  <w:tcBorders>
                    <w:tl2br w:val="nil"/>
                    <w:tr2bl w:val="nil"/>
                  </w:tcBorders>
                  <w:shd w:val="clear" w:color="auto" w:fill="FFFFFF"/>
                  <w:tcMar>
                    <w:top w:w="0" w:type="dxa"/>
                    <w:left w:w="0" w:type="dxa"/>
                    <w:bottom w:w="0" w:type="dxa"/>
                    <w:right w:w="0" w:type="dxa"/>
                  </w:tcMar>
                  <w:vAlign w:val="center"/>
                </w:tcPr>
                <w:p w14:paraId="6844F9D3">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-94.4</w:t>
                  </w:r>
                </w:p>
              </w:tc>
              <w:tc>
                <w:tcPr>
                  <w:tcW w:w="189" w:type="pct"/>
                  <w:tcBorders>
                    <w:tl2br w:val="nil"/>
                    <w:tr2bl w:val="nil"/>
                  </w:tcBorders>
                  <w:shd w:val="clear" w:color="auto" w:fill="FFFFFF"/>
                  <w:tcMar>
                    <w:top w:w="0" w:type="dxa"/>
                    <w:left w:w="0" w:type="dxa"/>
                    <w:bottom w:w="0" w:type="dxa"/>
                    <w:right w:w="0" w:type="dxa"/>
                  </w:tcMar>
                  <w:vAlign w:val="center"/>
                </w:tcPr>
                <w:p w14:paraId="5AEEBCB7">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-15.9</w:t>
                  </w:r>
                </w:p>
              </w:tc>
              <w:tc>
                <w:tcPr>
                  <w:tcW w:w="117" w:type="pct"/>
                  <w:tcBorders>
                    <w:tl2br w:val="nil"/>
                    <w:tr2bl w:val="nil"/>
                  </w:tcBorders>
                  <w:shd w:val="clear" w:color="auto" w:fill="FFFFFF"/>
                  <w:tcMar>
                    <w:top w:w="0" w:type="dxa"/>
                    <w:left w:w="0" w:type="dxa"/>
                    <w:bottom w:w="0" w:type="dxa"/>
                    <w:right w:w="0" w:type="dxa"/>
                  </w:tcMar>
                  <w:vAlign w:val="center"/>
                </w:tcPr>
                <w:p w14:paraId="39F759E0">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w:t>
                  </w:r>
                </w:p>
              </w:tc>
              <w:tc>
                <w:tcPr>
                  <w:tcW w:w="160" w:type="pct"/>
                  <w:tcBorders>
                    <w:tl2br w:val="nil"/>
                    <w:tr2bl w:val="nil"/>
                  </w:tcBorders>
                  <w:shd w:val="clear" w:color="auto" w:fill="FFFFFF"/>
                  <w:tcMar>
                    <w:top w:w="0" w:type="dxa"/>
                    <w:left w:w="0" w:type="dxa"/>
                    <w:bottom w:w="0" w:type="dxa"/>
                    <w:right w:w="0" w:type="dxa"/>
                  </w:tcMar>
                  <w:vAlign w:val="center"/>
                </w:tcPr>
                <w:p w14:paraId="01A38F5A">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81.2</w:t>
                  </w:r>
                </w:p>
              </w:tc>
              <w:tc>
                <w:tcPr>
                  <w:tcW w:w="160" w:type="pct"/>
                  <w:tcBorders>
                    <w:tl2br w:val="nil"/>
                    <w:tr2bl w:val="nil"/>
                  </w:tcBorders>
                  <w:shd w:val="clear" w:color="auto" w:fill="FFFFFF"/>
                  <w:tcMar>
                    <w:top w:w="0" w:type="dxa"/>
                    <w:left w:w="0" w:type="dxa"/>
                    <w:bottom w:w="0" w:type="dxa"/>
                    <w:right w:w="0" w:type="dxa"/>
                  </w:tcMar>
                  <w:vAlign w:val="center"/>
                </w:tcPr>
                <w:p w14:paraId="5BCE3D0F">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12.2</w:t>
                  </w:r>
                </w:p>
              </w:tc>
              <w:tc>
                <w:tcPr>
                  <w:tcW w:w="160" w:type="pct"/>
                  <w:tcBorders>
                    <w:tl2br w:val="nil"/>
                    <w:tr2bl w:val="nil"/>
                  </w:tcBorders>
                  <w:shd w:val="clear" w:color="auto" w:fill="FFFFFF"/>
                  <w:tcMar>
                    <w:top w:w="0" w:type="dxa"/>
                    <w:left w:w="0" w:type="dxa"/>
                    <w:bottom w:w="0" w:type="dxa"/>
                    <w:right w:w="0" w:type="dxa"/>
                  </w:tcMar>
                  <w:vAlign w:val="center"/>
                </w:tcPr>
                <w:p w14:paraId="63778832">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16.2</w:t>
                  </w:r>
                </w:p>
              </w:tc>
              <w:tc>
                <w:tcPr>
                  <w:tcW w:w="160" w:type="pct"/>
                  <w:tcBorders>
                    <w:tl2br w:val="nil"/>
                    <w:tr2bl w:val="nil"/>
                  </w:tcBorders>
                  <w:shd w:val="clear" w:color="auto" w:fill="FFFFFF"/>
                  <w:tcMar>
                    <w:top w:w="0" w:type="dxa"/>
                    <w:left w:w="0" w:type="dxa"/>
                    <w:bottom w:w="0" w:type="dxa"/>
                    <w:right w:w="0" w:type="dxa"/>
                  </w:tcMar>
                  <w:vAlign w:val="center"/>
                </w:tcPr>
                <w:p w14:paraId="0D54BC2E">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15.9</w:t>
                  </w:r>
                </w:p>
              </w:tc>
              <w:tc>
                <w:tcPr>
                  <w:tcW w:w="160" w:type="pct"/>
                  <w:tcBorders>
                    <w:tl2br w:val="nil"/>
                    <w:tr2bl w:val="nil"/>
                  </w:tcBorders>
                  <w:shd w:val="clear" w:color="auto" w:fill="FFFFFF"/>
                  <w:tcMar>
                    <w:top w:w="0" w:type="dxa"/>
                    <w:left w:w="0" w:type="dxa"/>
                    <w:bottom w:w="0" w:type="dxa"/>
                    <w:right w:w="0" w:type="dxa"/>
                  </w:tcMar>
                  <w:vAlign w:val="center"/>
                </w:tcPr>
                <w:p w14:paraId="3D87B61B">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80.7</w:t>
                  </w:r>
                </w:p>
              </w:tc>
              <w:tc>
                <w:tcPr>
                  <w:tcW w:w="160" w:type="pct"/>
                  <w:tcBorders>
                    <w:tl2br w:val="nil"/>
                    <w:tr2bl w:val="nil"/>
                  </w:tcBorders>
                  <w:shd w:val="clear" w:color="auto" w:fill="FFFFFF"/>
                  <w:tcMar>
                    <w:top w:w="0" w:type="dxa"/>
                    <w:left w:w="0" w:type="dxa"/>
                    <w:bottom w:w="0" w:type="dxa"/>
                    <w:right w:w="0" w:type="dxa"/>
                  </w:tcMar>
                  <w:vAlign w:val="center"/>
                </w:tcPr>
                <w:p w14:paraId="41031D56">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80.8</w:t>
                  </w:r>
                </w:p>
              </w:tc>
              <w:tc>
                <w:tcPr>
                  <w:tcW w:w="160" w:type="pct"/>
                  <w:tcBorders>
                    <w:tl2br w:val="nil"/>
                    <w:tr2bl w:val="nil"/>
                  </w:tcBorders>
                  <w:shd w:val="clear" w:color="auto" w:fill="FFFFFF"/>
                  <w:tcMar>
                    <w:top w:w="0" w:type="dxa"/>
                    <w:left w:w="0" w:type="dxa"/>
                    <w:bottom w:w="0" w:type="dxa"/>
                    <w:right w:w="0" w:type="dxa"/>
                  </w:tcMar>
                  <w:vAlign w:val="center"/>
                </w:tcPr>
                <w:p w14:paraId="2F95FF83">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80.7</w:t>
                  </w:r>
                </w:p>
              </w:tc>
              <w:tc>
                <w:tcPr>
                  <w:tcW w:w="160" w:type="pct"/>
                  <w:tcBorders>
                    <w:tl2br w:val="nil"/>
                    <w:tr2bl w:val="nil"/>
                  </w:tcBorders>
                  <w:shd w:val="clear" w:color="auto" w:fill="FFFFFF"/>
                  <w:tcMar>
                    <w:top w:w="0" w:type="dxa"/>
                    <w:left w:w="0" w:type="dxa"/>
                    <w:bottom w:w="0" w:type="dxa"/>
                    <w:right w:w="0" w:type="dxa"/>
                  </w:tcMar>
                  <w:vAlign w:val="center"/>
                </w:tcPr>
                <w:p w14:paraId="22E3D154">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80.7</w:t>
                  </w:r>
                </w:p>
              </w:tc>
              <w:tc>
                <w:tcPr>
                  <w:tcW w:w="204" w:type="pct"/>
                  <w:tcBorders>
                    <w:tl2br w:val="nil"/>
                    <w:tr2bl w:val="nil"/>
                  </w:tcBorders>
                  <w:shd w:val="clear" w:color="auto" w:fill="FFFFFF"/>
                  <w:tcMar>
                    <w:top w:w="0" w:type="dxa"/>
                    <w:left w:w="0" w:type="dxa"/>
                    <w:bottom w:w="0" w:type="dxa"/>
                    <w:right w:w="0" w:type="dxa"/>
                  </w:tcMar>
                  <w:vAlign w:val="center"/>
                </w:tcPr>
                <w:p w14:paraId="73932118">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8</w:t>
                  </w:r>
                </w:p>
              </w:tc>
              <w:tc>
                <w:tcPr>
                  <w:tcW w:w="160" w:type="pct"/>
                  <w:tcBorders>
                    <w:tl2br w:val="nil"/>
                    <w:tr2bl w:val="nil"/>
                  </w:tcBorders>
                  <w:shd w:val="clear" w:color="auto" w:fill="FFFFFF"/>
                  <w:tcMar>
                    <w:top w:w="0" w:type="dxa"/>
                    <w:left w:w="0" w:type="dxa"/>
                    <w:bottom w:w="0" w:type="dxa"/>
                    <w:right w:w="0" w:type="dxa"/>
                  </w:tcMar>
                  <w:vAlign w:val="center"/>
                </w:tcPr>
                <w:p w14:paraId="3A2F2468">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0" w:type="pct"/>
                  <w:tcBorders>
                    <w:tl2br w:val="nil"/>
                    <w:tr2bl w:val="nil"/>
                  </w:tcBorders>
                  <w:shd w:val="clear" w:color="auto" w:fill="FFFFFF"/>
                  <w:tcMar>
                    <w:top w:w="0" w:type="dxa"/>
                    <w:left w:w="0" w:type="dxa"/>
                    <w:bottom w:w="0" w:type="dxa"/>
                    <w:right w:w="0" w:type="dxa"/>
                  </w:tcMar>
                  <w:vAlign w:val="center"/>
                </w:tcPr>
                <w:p w14:paraId="72FFDC64">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0" w:type="pct"/>
                  <w:tcBorders>
                    <w:tl2br w:val="nil"/>
                    <w:tr2bl w:val="nil"/>
                  </w:tcBorders>
                  <w:shd w:val="clear" w:color="auto" w:fill="FFFFFF"/>
                  <w:tcMar>
                    <w:top w:w="0" w:type="dxa"/>
                    <w:left w:w="0" w:type="dxa"/>
                    <w:bottom w:w="0" w:type="dxa"/>
                    <w:right w:w="0" w:type="dxa"/>
                  </w:tcMar>
                  <w:vAlign w:val="center"/>
                </w:tcPr>
                <w:p w14:paraId="12DFF78E">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0" w:type="pct"/>
                  <w:tcBorders>
                    <w:tl2br w:val="nil"/>
                    <w:tr2bl w:val="nil"/>
                  </w:tcBorders>
                  <w:shd w:val="clear" w:color="auto" w:fill="FFFFFF"/>
                  <w:tcMar>
                    <w:top w:w="0" w:type="dxa"/>
                    <w:left w:w="0" w:type="dxa"/>
                    <w:bottom w:w="0" w:type="dxa"/>
                    <w:right w:w="0" w:type="dxa"/>
                  </w:tcMar>
                  <w:vAlign w:val="center"/>
                </w:tcPr>
                <w:p w14:paraId="0F53D19F">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58" w:type="pct"/>
                  <w:tcBorders>
                    <w:tl2br w:val="nil"/>
                    <w:tr2bl w:val="nil"/>
                  </w:tcBorders>
                  <w:shd w:val="clear" w:color="auto" w:fill="FFFFFF"/>
                  <w:tcMar>
                    <w:top w:w="0" w:type="dxa"/>
                    <w:left w:w="0" w:type="dxa"/>
                    <w:bottom w:w="0" w:type="dxa"/>
                    <w:right w:w="0" w:type="dxa"/>
                  </w:tcMar>
                  <w:vAlign w:val="center"/>
                </w:tcPr>
                <w:p w14:paraId="52F25CBB">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68.7</w:t>
                  </w:r>
                </w:p>
              </w:tc>
              <w:tc>
                <w:tcPr>
                  <w:tcW w:w="159" w:type="pct"/>
                  <w:tcBorders>
                    <w:tl2br w:val="nil"/>
                    <w:tr2bl w:val="nil"/>
                  </w:tcBorders>
                  <w:shd w:val="clear" w:color="auto" w:fill="FFFFFF"/>
                  <w:tcMar>
                    <w:top w:w="0" w:type="dxa"/>
                    <w:left w:w="0" w:type="dxa"/>
                    <w:bottom w:w="0" w:type="dxa"/>
                    <w:right w:w="0" w:type="dxa"/>
                  </w:tcMar>
                  <w:vAlign w:val="center"/>
                </w:tcPr>
                <w:p w14:paraId="5AE1F046">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68.8</w:t>
                  </w:r>
                </w:p>
              </w:tc>
              <w:tc>
                <w:tcPr>
                  <w:tcW w:w="159" w:type="pct"/>
                  <w:tcBorders>
                    <w:tl2br w:val="nil"/>
                    <w:tr2bl w:val="nil"/>
                  </w:tcBorders>
                  <w:shd w:val="clear" w:color="auto" w:fill="FFFFFF"/>
                  <w:tcMar>
                    <w:top w:w="0" w:type="dxa"/>
                    <w:left w:w="0" w:type="dxa"/>
                    <w:bottom w:w="0" w:type="dxa"/>
                    <w:right w:w="0" w:type="dxa"/>
                  </w:tcMar>
                  <w:vAlign w:val="center"/>
                </w:tcPr>
                <w:p w14:paraId="564EC32A">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68.7</w:t>
                  </w:r>
                </w:p>
              </w:tc>
              <w:tc>
                <w:tcPr>
                  <w:tcW w:w="159" w:type="pct"/>
                  <w:tcBorders>
                    <w:tl2br w:val="nil"/>
                    <w:tr2bl w:val="nil"/>
                  </w:tcBorders>
                  <w:shd w:val="clear" w:color="auto" w:fill="FFFFFF"/>
                  <w:tcMar>
                    <w:top w:w="0" w:type="dxa"/>
                    <w:left w:w="0" w:type="dxa"/>
                    <w:bottom w:w="0" w:type="dxa"/>
                    <w:right w:w="0" w:type="dxa"/>
                  </w:tcMar>
                  <w:vAlign w:val="center"/>
                </w:tcPr>
                <w:p w14:paraId="1C863BB4">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68.7</w:t>
                  </w:r>
                </w:p>
              </w:tc>
              <w:tc>
                <w:tcPr>
                  <w:tcW w:w="88" w:type="pct"/>
                  <w:tcBorders>
                    <w:tl2br w:val="nil"/>
                    <w:tr2bl w:val="nil"/>
                  </w:tcBorders>
                  <w:shd w:val="clear" w:color="auto" w:fill="FFFFFF"/>
                  <w:tcMar>
                    <w:top w:w="0" w:type="dxa"/>
                    <w:left w:w="0" w:type="dxa"/>
                    <w:bottom w:w="0" w:type="dxa"/>
                    <w:right w:w="0" w:type="dxa"/>
                  </w:tcMar>
                  <w:vAlign w:val="center"/>
                </w:tcPr>
                <w:p w14:paraId="1E5DDBC9">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w:t>
                  </w:r>
                </w:p>
              </w:tc>
            </w:tr>
            <w:tr w14:paraId="0B11F1B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0" w:hRule="atLeast"/>
              </w:trPr>
              <w:tc>
                <w:tcPr>
                  <w:tcW w:w="204" w:type="pct"/>
                  <w:tcBorders>
                    <w:tl2br w:val="nil"/>
                    <w:tr2bl w:val="nil"/>
                  </w:tcBorders>
                  <w:shd w:val="clear" w:color="auto" w:fill="FFFFFF"/>
                  <w:tcMar>
                    <w:top w:w="0" w:type="dxa"/>
                    <w:left w:w="0" w:type="dxa"/>
                    <w:bottom w:w="0" w:type="dxa"/>
                    <w:right w:w="0" w:type="dxa"/>
                  </w:tcMar>
                  <w:vAlign w:val="center"/>
                </w:tcPr>
                <w:p w14:paraId="6E0AC813">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21</w:t>
                  </w:r>
                </w:p>
              </w:tc>
              <w:tc>
                <w:tcPr>
                  <w:tcW w:w="204" w:type="pct"/>
                  <w:tcBorders>
                    <w:tl2br w:val="nil"/>
                    <w:tr2bl w:val="nil"/>
                  </w:tcBorders>
                  <w:shd w:val="clear" w:color="auto" w:fill="FFFFFF"/>
                  <w:tcMar>
                    <w:top w:w="0" w:type="dxa"/>
                    <w:left w:w="0" w:type="dxa"/>
                    <w:bottom w:w="0" w:type="dxa"/>
                    <w:right w:w="0" w:type="dxa"/>
                  </w:tcMar>
                  <w:vAlign w:val="center"/>
                </w:tcPr>
                <w:p w14:paraId="45FEEE7A">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临港高新产业园区-22#厂房</w:t>
                  </w:r>
                </w:p>
              </w:tc>
              <w:tc>
                <w:tcPr>
                  <w:tcW w:w="517" w:type="pct"/>
                  <w:tcBorders>
                    <w:tl2br w:val="nil"/>
                    <w:tr2bl w:val="nil"/>
                  </w:tcBorders>
                  <w:shd w:val="clear" w:color="auto" w:fill="FFFFFF"/>
                  <w:tcMar>
                    <w:top w:w="0" w:type="dxa"/>
                    <w:left w:w="0" w:type="dxa"/>
                    <w:bottom w:w="0" w:type="dxa"/>
                    <w:right w:w="0" w:type="dxa"/>
                  </w:tcMar>
                  <w:vAlign w:val="center"/>
                </w:tcPr>
                <w:p w14:paraId="3F879B84">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立式加工中心（4轴）组,20台（按点声源组预测）</w:t>
                  </w:r>
                </w:p>
              </w:tc>
              <w:tc>
                <w:tcPr>
                  <w:tcW w:w="204" w:type="pct"/>
                  <w:tcBorders>
                    <w:tl2br w:val="nil"/>
                    <w:tr2bl w:val="nil"/>
                  </w:tcBorders>
                  <w:shd w:val="clear" w:color="auto" w:fill="FFFFFF"/>
                  <w:tcMar>
                    <w:top w:w="0" w:type="dxa"/>
                    <w:left w:w="0" w:type="dxa"/>
                    <w:bottom w:w="0" w:type="dxa"/>
                    <w:right w:w="0" w:type="dxa"/>
                  </w:tcMar>
                  <w:vAlign w:val="center"/>
                </w:tcPr>
                <w:p w14:paraId="6A5ABFCD">
                  <w:pPr>
                    <w:rPr>
                      <w:rFonts w:hint="default" w:ascii="Times New Roman" w:hAnsi="Times New Roman" w:eastAsia="宋体" w:cs="Times New Roman"/>
                      <w:color w:val="auto"/>
                      <w:u w:val="none" w:color="auto"/>
                    </w:rPr>
                  </w:pPr>
                </w:p>
              </w:tc>
              <w:tc>
                <w:tcPr>
                  <w:tcW w:w="270" w:type="pct"/>
                  <w:tcBorders>
                    <w:tl2br w:val="nil"/>
                    <w:tr2bl w:val="nil"/>
                  </w:tcBorders>
                  <w:shd w:val="clear" w:color="auto" w:fill="FFFFFF"/>
                  <w:tcMar>
                    <w:top w:w="0" w:type="dxa"/>
                    <w:left w:w="0" w:type="dxa"/>
                    <w:bottom w:w="0" w:type="dxa"/>
                    <w:right w:w="0" w:type="dxa"/>
                  </w:tcMar>
                  <w:vAlign w:val="center"/>
                </w:tcPr>
                <w:p w14:paraId="26E5883D">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87.5（等效后：100.5)</w:t>
                  </w:r>
                </w:p>
              </w:tc>
              <w:tc>
                <w:tcPr>
                  <w:tcW w:w="204" w:type="pct"/>
                  <w:vMerge w:val="restart"/>
                  <w:tcBorders>
                    <w:tl2br w:val="nil"/>
                    <w:tr2bl w:val="nil"/>
                  </w:tcBorders>
                  <w:shd w:val="clear" w:color="auto" w:fill="FFFFFF"/>
                  <w:tcMar>
                    <w:top w:w="0" w:type="dxa"/>
                    <w:left w:w="0" w:type="dxa"/>
                    <w:bottom w:w="0" w:type="dxa"/>
                    <w:right w:w="0" w:type="dxa"/>
                  </w:tcMar>
                  <w:vAlign w:val="center"/>
                </w:tcPr>
                <w:p w14:paraId="3E7F58F3">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val="en-US" w:eastAsia="zh-CN"/>
                    </w:rPr>
                    <w:t>详见本节上表相关内容</w:t>
                  </w:r>
                </w:p>
              </w:tc>
              <w:tc>
                <w:tcPr>
                  <w:tcW w:w="234" w:type="pct"/>
                  <w:tcBorders>
                    <w:tl2br w:val="nil"/>
                    <w:tr2bl w:val="nil"/>
                  </w:tcBorders>
                  <w:shd w:val="clear" w:color="auto" w:fill="FFFFFF"/>
                  <w:tcMar>
                    <w:top w:w="0" w:type="dxa"/>
                    <w:left w:w="0" w:type="dxa"/>
                    <w:bottom w:w="0" w:type="dxa"/>
                    <w:right w:w="0" w:type="dxa"/>
                  </w:tcMar>
                  <w:vAlign w:val="center"/>
                </w:tcPr>
                <w:p w14:paraId="32E351E5">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-73.6</w:t>
                  </w:r>
                </w:p>
              </w:tc>
              <w:tc>
                <w:tcPr>
                  <w:tcW w:w="189" w:type="pct"/>
                  <w:tcBorders>
                    <w:tl2br w:val="nil"/>
                    <w:tr2bl w:val="nil"/>
                  </w:tcBorders>
                  <w:shd w:val="clear" w:color="auto" w:fill="FFFFFF"/>
                  <w:tcMar>
                    <w:top w:w="0" w:type="dxa"/>
                    <w:left w:w="0" w:type="dxa"/>
                    <w:bottom w:w="0" w:type="dxa"/>
                    <w:right w:w="0" w:type="dxa"/>
                  </w:tcMar>
                  <w:vAlign w:val="center"/>
                </w:tcPr>
                <w:p w14:paraId="4DFBFD8B">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-17.9</w:t>
                  </w:r>
                </w:p>
              </w:tc>
              <w:tc>
                <w:tcPr>
                  <w:tcW w:w="117" w:type="pct"/>
                  <w:tcBorders>
                    <w:tl2br w:val="nil"/>
                    <w:tr2bl w:val="nil"/>
                  </w:tcBorders>
                  <w:shd w:val="clear" w:color="auto" w:fill="FFFFFF"/>
                  <w:tcMar>
                    <w:top w:w="0" w:type="dxa"/>
                    <w:left w:w="0" w:type="dxa"/>
                    <w:bottom w:w="0" w:type="dxa"/>
                    <w:right w:w="0" w:type="dxa"/>
                  </w:tcMar>
                  <w:vAlign w:val="center"/>
                </w:tcPr>
                <w:p w14:paraId="5D91AFEC">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w:t>
                  </w:r>
                </w:p>
              </w:tc>
              <w:tc>
                <w:tcPr>
                  <w:tcW w:w="160" w:type="pct"/>
                  <w:tcBorders>
                    <w:tl2br w:val="nil"/>
                    <w:tr2bl w:val="nil"/>
                  </w:tcBorders>
                  <w:shd w:val="clear" w:color="auto" w:fill="FFFFFF"/>
                  <w:tcMar>
                    <w:top w:w="0" w:type="dxa"/>
                    <w:left w:w="0" w:type="dxa"/>
                    <w:bottom w:w="0" w:type="dxa"/>
                    <w:right w:w="0" w:type="dxa"/>
                  </w:tcMar>
                  <w:vAlign w:val="center"/>
                </w:tcPr>
                <w:p w14:paraId="1D843597">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60.3</w:t>
                  </w:r>
                </w:p>
              </w:tc>
              <w:tc>
                <w:tcPr>
                  <w:tcW w:w="160" w:type="pct"/>
                  <w:tcBorders>
                    <w:tl2br w:val="nil"/>
                    <w:tr2bl w:val="nil"/>
                  </w:tcBorders>
                  <w:shd w:val="clear" w:color="auto" w:fill="FFFFFF"/>
                  <w:tcMar>
                    <w:top w:w="0" w:type="dxa"/>
                    <w:left w:w="0" w:type="dxa"/>
                    <w:bottom w:w="0" w:type="dxa"/>
                    <w:right w:w="0" w:type="dxa"/>
                  </w:tcMar>
                  <w:vAlign w:val="center"/>
                </w:tcPr>
                <w:p w14:paraId="7FF48090">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12.3</w:t>
                  </w:r>
                </w:p>
              </w:tc>
              <w:tc>
                <w:tcPr>
                  <w:tcW w:w="160" w:type="pct"/>
                  <w:tcBorders>
                    <w:tl2br w:val="nil"/>
                    <w:tr2bl w:val="nil"/>
                  </w:tcBorders>
                  <w:shd w:val="clear" w:color="auto" w:fill="FFFFFF"/>
                  <w:tcMar>
                    <w:top w:w="0" w:type="dxa"/>
                    <w:left w:w="0" w:type="dxa"/>
                    <w:bottom w:w="0" w:type="dxa"/>
                    <w:right w:w="0" w:type="dxa"/>
                  </w:tcMar>
                  <w:vAlign w:val="center"/>
                </w:tcPr>
                <w:p w14:paraId="407062EC">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37.1</w:t>
                  </w:r>
                </w:p>
              </w:tc>
              <w:tc>
                <w:tcPr>
                  <w:tcW w:w="160" w:type="pct"/>
                  <w:tcBorders>
                    <w:tl2br w:val="nil"/>
                    <w:tr2bl w:val="nil"/>
                  </w:tcBorders>
                  <w:shd w:val="clear" w:color="auto" w:fill="FFFFFF"/>
                  <w:tcMar>
                    <w:top w:w="0" w:type="dxa"/>
                    <w:left w:w="0" w:type="dxa"/>
                    <w:bottom w:w="0" w:type="dxa"/>
                    <w:right w:w="0" w:type="dxa"/>
                  </w:tcMar>
                  <w:vAlign w:val="center"/>
                </w:tcPr>
                <w:p w14:paraId="49366EC5">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15.9</w:t>
                  </w:r>
                </w:p>
              </w:tc>
              <w:tc>
                <w:tcPr>
                  <w:tcW w:w="160" w:type="pct"/>
                  <w:tcBorders>
                    <w:tl2br w:val="nil"/>
                    <w:tr2bl w:val="nil"/>
                  </w:tcBorders>
                  <w:shd w:val="clear" w:color="auto" w:fill="FFFFFF"/>
                  <w:tcMar>
                    <w:top w:w="0" w:type="dxa"/>
                    <w:left w:w="0" w:type="dxa"/>
                    <w:bottom w:w="0" w:type="dxa"/>
                    <w:right w:w="0" w:type="dxa"/>
                  </w:tcMar>
                  <w:vAlign w:val="center"/>
                </w:tcPr>
                <w:p w14:paraId="71CB0242">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83.7</w:t>
                  </w:r>
                </w:p>
              </w:tc>
              <w:tc>
                <w:tcPr>
                  <w:tcW w:w="160" w:type="pct"/>
                  <w:tcBorders>
                    <w:tl2br w:val="nil"/>
                    <w:tr2bl w:val="nil"/>
                  </w:tcBorders>
                  <w:shd w:val="clear" w:color="auto" w:fill="FFFFFF"/>
                  <w:tcMar>
                    <w:top w:w="0" w:type="dxa"/>
                    <w:left w:w="0" w:type="dxa"/>
                    <w:bottom w:w="0" w:type="dxa"/>
                    <w:right w:w="0" w:type="dxa"/>
                  </w:tcMar>
                  <w:vAlign w:val="center"/>
                </w:tcPr>
                <w:p w14:paraId="4814E0CC">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83.8</w:t>
                  </w:r>
                </w:p>
              </w:tc>
              <w:tc>
                <w:tcPr>
                  <w:tcW w:w="160" w:type="pct"/>
                  <w:tcBorders>
                    <w:tl2br w:val="nil"/>
                    <w:tr2bl w:val="nil"/>
                  </w:tcBorders>
                  <w:shd w:val="clear" w:color="auto" w:fill="FFFFFF"/>
                  <w:tcMar>
                    <w:top w:w="0" w:type="dxa"/>
                    <w:left w:w="0" w:type="dxa"/>
                    <w:bottom w:w="0" w:type="dxa"/>
                    <w:right w:w="0" w:type="dxa"/>
                  </w:tcMar>
                  <w:vAlign w:val="center"/>
                </w:tcPr>
                <w:p w14:paraId="3A2938AD">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83.7</w:t>
                  </w:r>
                </w:p>
              </w:tc>
              <w:tc>
                <w:tcPr>
                  <w:tcW w:w="160" w:type="pct"/>
                  <w:tcBorders>
                    <w:tl2br w:val="nil"/>
                    <w:tr2bl w:val="nil"/>
                  </w:tcBorders>
                  <w:shd w:val="clear" w:color="auto" w:fill="FFFFFF"/>
                  <w:tcMar>
                    <w:top w:w="0" w:type="dxa"/>
                    <w:left w:w="0" w:type="dxa"/>
                    <w:bottom w:w="0" w:type="dxa"/>
                    <w:right w:w="0" w:type="dxa"/>
                  </w:tcMar>
                  <w:vAlign w:val="center"/>
                </w:tcPr>
                <w:p w14:paraId="426081E8">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83.7</w:t>
                  </w:r>
                </w:p>
              </w:tc>
              <w:tc>
                <w:tcPr>
                  <w:tcW w:w="204" w:type="pct"/>
                  <w:tcBorders>
                    <w:tl2br w:val="nil"/>
                    <w:tr2bl w:val="nil"/>
                  </w:tcBorders>
                  <w:shd w:val="clear" w:color="auto" w:fill="FFFFFF"/>
                  <w:tcMar>
                    <w:top w:w="0" w:type="dxa"/>
                    <w:left w:w="0" w:type="dxa"/>
                    <w:bottom w:w="0" w:type="dxa"/>
                    <w:right w:w="0" w:type="dxa"/>
                  </w:tcMar>
                  <w:vAlign w:val="center"/>
                </w:tcPr>
                <w:p w14:paraId="703B8669">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8</w:t>
                  </w:r>
                </w:p>
              </w:tc>
              <w:tc>
                <w:tcPr>
                  <w:tcW w:w="160" w:type="pct"/>
                  <w:tcBorders>
                    <w:tl2br w:val="nil"/>
                    <w:tr2bl w:val="nil"/>
                  </w:tcBorders>
                  <w:shd w:val="clear" w:color="auto" w:fill="FFFFFF"/>
                  <w:tcMar>
                    <w:top w:w="0" w:type="dxa"/>
                    <w:left w:w="0" w:type="dxa"/>
                    <w:bottom w:w="0" w:type="dxa"/>
                    <w:right w:w="0" w:type="dxa"/>
                  </w:tcMar>
                  <w:vAlign w:val="center"/>
                </w:tcPr>
                <w:p w14:paraId="6A98BA13">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0" w:type="pct"/>
                  <w:tcBorders>
                    <w:tl2br w:val="nil"/>
                    <w:tr2bl w:val="nil"/>
                  </w:tcBorders>
                  <w:shd w:val="clear" w:color="auto" w:fill="FFFFFF"/>
                  <w:tcMar>
                    <w:top w:w="0" w:type="dxa"/>
                    <w:left w:w="0" w:type="dxa"/>
                    <w:bottom w:w="0" w:type="dxa"/>
                    <w:right w:w="0" w:type="dxa"/>
                  </w:tcMar>
                  <w:vAlign w:val="center"/>
                </w:tcPr>
                <w:p w14:paraId="4E2166FE">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0" w:type="pct"/>
                  <w:tcBorders>
                    <w:tl2br w:val="nil"/>
                    <w:tr2bl w:val="nil"/>
                  </w:tcBorders>
                  <w:shd w:val="clear" w:color="auto" w:fill="FFFFFF"/>
                  <w:tcMar>
                    <w:top w:w="0" w:type="dxa"/>
                    <w:left w:w="0" w:type="dxa"/>
                    <w:bottom w:w="0" w:type="dxa"/>
                    <w:right w:w="0" w:type="dxa"/>
                  </w:tcMar>
                  <w:vAlign w:val="center"/>
                </w:tcPr>
                <w:p w14:paraId="24EE47FC">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0" w:type="pct"/>
                  <w:tcBorders>
                    <w:tl2br w:val="nil"/>
                    <w:tr2bl w:val="nil"/>
                  </w:tcBorders>
                  <w:shd w:val="clear" w:color="auto" w:fill="FFFFFF"/>
                  <w:tcMar>
                    <w:top w:w="0" w:type="dxa"/>
                    <w:left w:w="0" w:type="dxa"/>
                    <w:bottom w:w="0" w:type="dxa"/>
                    <w:right w:w="0" w:type="dxa"/>
                  </w:tcMar>
                  <w:vAlign w:val="center"/>
                </w:tcPr>
                <w:p w14:paraId="767673B5">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58" w:type="pct"/>
                  <w:tcBorders>
                    <w:tl2br w:val="nil"/>
                    <w:tr2bl w:val="nil"/>
                  </w:tcBorders>
                  <w:shd w:val="clear" w:color="auto" w:fill="FFFFFF"/>
                  <w:tcMar>
                    <w:top w:w="0" w:type="dxa"/>
                    <w:left w:w="0" w:type="dxa"/>
                    <w:bottom w:w="0" w:type="dxa"/>
                    <w:right w:w="0" w:type="dxa"/>
                  </w:tcMar>
                  <w:vAlign w:val="center"/>
                </w:tcPr>
                <w:p w14:paraId="600A24DA">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71.7</w:t>
                  </w:r>
                </w:p>
              </w:tc>
              <w:tc>
                <w:tcPr>
                  <w:tcW w:w="159" w:type="pct"/>
                  <w:tcBorders>
                    <w:tl2br w:val="nil"/>
                    <w:tr2bl w:val="nil"/>
                  </w:tcBorders>
                  <w:shd w:val="clear" w:color="auto" w:fill="FFFFFF"/>
                  <w:tcMar>
                    <w:top w:w="0" w:type="dxa"/>
                    <w:left w:w="0" w:type="dxa"/>
                    <w:bottom w:w="0" w:type="dxa"/>
                    <w:right w:w="0" w:type="dxa"/>
                  </w:tcMar>
                  <w:vAlign w:val="center"/>
                </w:tcPr>
                <w:p w14:paraId="588A0333">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71.8</w:t>
                  </w:r>
                </w:p>
              </w:tc>
              <w:tc>
                <w:tcPr>
                  <w:tcW w:w="159" w:type="pct"/>
                  <w:tcBorders>
                    <w:tl2br w:val="nil"/>
                    <w:tr2bl w:val="nil"/>
                  </w:tcBorders>
                  <w:shd w:val="clear" w:color="auto" w:fill="FFFFFF"/>
                  <w:tcMar>
                    <w:top w:w="0" w:type="dxa"/>
                    <w:left w:w="0" w:type="dxa"/>
                    <w:bottom w:w="0" w:type="dxa"/>
                    <w:right w:w="0" w:type="dxa"/>
                  </w:tcMar>
                  <w:vAlign w:val="center"/>
                </w:tcPr>
                <w:p w14:paraId="143EB566">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71.7</w:t>
                  </w:r>
                </w:p>
              </w:tc>
              <w:tc>
                <w:tcPr>
                  <w:tcW w:w="159" w:type="pct"/>
                  <w:tcBorders>
                    <w:tl2br w:val="nil"/>
                    <w:tr2bl w:val="nil"/>
                  </w:tcBorders>
                  <w:shd w:val="clear" w:color="auto" w:fill="FFFFFF"/>
                  <w:tcMar>
                    <w:top w:w="0" w:type="dxa"/>
                    <w:left w:w="0" w:type="dxa"/>
                    <w:bottom w:w="0" w:type="dxa"/>
                    <w:right w:w="0" w:type="dxa"/>
                  </w:tcMar>
                  <w:vAlign w:val="center"/>
                </w:tcPr>
                <w:p w14:paraId="16804768">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71.7</w:t>
                  </w:r>
                </w:p>
              </w:tc>
              <w:tc>
                <w:tcPr>
                  <w:tcW w:w="88" w:type="pct"/>
                  <w:tcBorders>
                    <w:tl2br w:val="nil"/>
                    <w:tr2bl w:val="nil"/>
                  </w:tcBorders>
                  <w:shd w:val="clear" w:color="auto" w:fill="FFFFFF"/>
                  <w:tcMar>
                    <w:top w:w="0" w:type="dxa"/>
                    <w:left w:w="0" w:type="dxa"/>
                    <w:bottom w:w="0" w:type="dxa"/>
                    <w:right w:w="0" w:type="dxa"/>
                  </w:tcMar>
                  <w:vAlign w:val="center"/>
                </w:tcPr>
                <w:p w14:paraId="6766F6D3">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w:t>
                  </w:r>
                </w:p>
              </w:tc>
            </w:tr>
            <w:tr w14:paraId="4E29159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0" w:hRule="atLeast"/>
              </w:trPr>
              <w:tc>
                <w:tcPr>
                  <w:tcW w:w="204" w:type="pct"/>
                  <w:tcBorders>
                    <w:tl2br w:val="nil"/>
                    <w:tr2bl w:val="nil"/>
                  </w:tcBorders>
                  <w:shd w:val="clear" w:color="auto" w:fill="FFFFFF"/>
                  <w:tcMar>
                    <w:top w:w="0" w:type="dxa"/>
                    <w:left w:w="0" w:type="dxa"/>
                    <w:bottom w:w="0" w:type="dxa"/>
                    <w:right w:w="0" w:type="dxa"/>
                  </w:tcMar>
                  <w:vAlign w:val="center"/>
                </w:tcPr>
                <w:p w14:paraId="1B2E2891">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22</w:t>
                  </w:r>
                </w:p>
              </w:tc>
              <w:tc>
                <w:tcPr>
                  <w:tcW w:w="204" w:type="pct"/>
                  <w:tcBorders>
                    <w:tl2br w:val="nil"/>
                    <w:tr2bl w:val="nil"/>
                  </w:tcBorders>
                  <w:shd w:val="clear" w:color="auto" w:fill="FFFFFF"/>
                  <w:tcMar>
                    <w:top w:w="0" w:type="dxa"/>
                    <w:left w:w="0" w:type="dxa"/>
                    <w:bottom w:w="0" w:type="dxa"/>
                    <w:right w:w="0" w:type="dxa"/>
                  </w:tcMar>
                  <w:vAlign w:val="center"/>
                </w:tcPr>
                <w:p w14:paraId="1CBBA8C7">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临港高新产业园区-22#厂房</w:t>
                  </w:r>
                </w:p>
              </w:tc>
              <w:tc>
                <w:tcPr>
                  <w:tcW w:w="517" w:type="pct"/>
                  <w:tcBorders>
                    <w:tl2br w:val="nil"/>
                    <w:tr2bl w:val="nil"/>
                  </w:tcBorders>
                  <w:shd w:val="clear" w:color="auto" w:fill="FFFFFF"/>
                  <w:tcMar>
                    <w:top w:w="0" w:type="dxa"/>
                    <w:left w:w="0" w:type="dxa"/>
                    <w:bottom w:w="0" w:type="dxa"/>
                    <w:right w:w="0" w:type="dxa"/>
                  </w:tcMar>
                  <w:vAlign w:val="center"/>
                </w:tcPr>
                <w:p w14:paraId="454CEA0B">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22#空压站泵机</w:t>
                  </w:r>
                </w:p>
              </w:tc>
              <w:tc>
                <w:tcPr>
                  <w:tcW w:w="204" w:type="pct"/>
                  <w:tcBorders>
                    <w:tl2br w:val="nil"/>
                    <w:tr2bl w:val="nil"/>
                  </w:tcBorders>
                  <w:shd w:val="clear" w:color="auto" w:fill="FFFFFF"/>
                  <w:tcMar>
                    <w:top w:w="0" w:type="dxa"/>
                    <w:left w:w="0" w:type="dxa"/>
                    <w:bottom w:w="0" w:type="dxa"/>
                    <w:right w:w="0" w:type="dxa"/>
                  </w:tcMar>
                  <w:vAlign w:val="center"/>
                </w:tcPr>
                <w:p w14:paraId="2804AF0D">
                  <w:pPr>
                    <w:rPr>
                      <w:rFonts w:hint="default" w:ascii="Times New Roman" w:hAnsi="Times New Roman" w:eastAsia="宋体" w:cs="Times New Roman"/>
                      <w:color w:val="auto"/>
                      <w:u w:val="none" w:color="auto"/>
                    </w:rPr>
                  </w:pPr>
                </w:p>
              </w:tc>
              <w:tc>
                <w:tcPr>
                  <w:tcW w:w="270" w:type="pct"/>
                  <w:tcBorders>
                    <w:tl2br w:val="nil"/>
                    <w:tr2bl w:val="nil"/>
                  </w:tcBorders>
                  <w:shd w:val="clear" w:color="auto" w:fill="FFFFFF"/>
                  <w:tcMar>
                    <w:top w:w="0" w:type="dxa"/>
                    <w:left w:w="0" w:type="dxa"/>
                    <w:bottom w:w="0" w:type="dxa"/>
                    <w:right w:w="0" w:type="dxa"/>
                  </w:tcMar>
                  <w:vAlign w:val="center"/>
                </w:tcPr>
                <w:p w14:paraId="5867EE1F">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77.5</w:t>
                  </w:r>
                </w:p>
              </w:tc>
              <w:tc>
                <w:tcPr>
                  <w:tcW w:w="204" w:type="pct"/>
                  <w:vMerge w:val="continue"/>
                  <w:tcBorders>
                    <w:tl2br w:val="nil"/>
                    <w:tr2bl w:val="nil"/>
                  </w:tcBorders>
                  <w:shd w:val="clear" w:color="auto" w:fill="FFFFFF"/>
                  <w:tcMar>
                    <w:top w:w="0" w:type="dxa"/>
                    <w:left w:w="0" w:type="dxa"/>
                    <w:bottom w:w="0" w:type="dxa"/>
                    <w:right w:w="0" w:type="dxa"/>
                  </w:tcMar>
                  <w:vAlign w:val="center"/>
                </w:tcPr>
                <w:p w14:paraId="0DE1ABEF">
                  <w:pPr>
                    <w:rPr>
                      <w:rFonts w:hint="default" w:ascii="Times New Roman" w:hAnsi="Times New Roman" w:eastAsia="宋体" w:cs="Times New Roman"/>
                      <w:color w:val="auto"/>
                      <w:u w:val="none" w:color="auto"/>
                    </w:rPr>
                  </w:pPr>
                </w:p>
              </w:tc>
              <w:tc>
                <w:tcPr>
                  <w:tcW w:w="234" w:type="pct"/>
                  <w:tcBorders>
                    <w:tl2br w:val="nil"/>
                    <w:tr2bl w:val="nil"/>
                  </w:tcBorders>
                  <w:shd w:val="clear" w:color="auto" w:fill="FFFFFF"/>
                  <w:tcMar>
                    <w:top w:w="0" w:type="dxa"/>
                    <w:left w:w="0" w:type="dxa"/>
                    <w:bottom w:w="0" w:type="dxa"/>
                    <w:right w:w="0" w:type="dxa"/>
                  </w:tcMar>
                  <w:vAlign w:val="center"/>
                </w:tcPr>
                <w:p w14:paraId="39EF1AB1">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-105.5</w:t>
                  </w:r>
                </w:p>
              </w:tc>
              <w:tc>
                <w:tcPr>
                  <w:tcW w:w="189" w:type="pct"/>
                  <w:tcBorders>
                    <w:tl2br w:val="nil"/>
                    <w:tr2bl w:val="nil"/>
                  </w:tcBorders>
                  <w:shd w:val="clear" w:color="auto" w:fill="FFFFFF"/>
                  <w:tcMar>
                    <w:top w:w="0" w:type="dxa"/>
                    <w:left w:w="0" w:type="dxa"/>
                    <w:bottom w:w="0" w:type="dxa"/>
                    <w:right w:w="0" w:type="dxa"/>
                  </w:tcMar>
                  <w:vAlign w:val="center"/>
                </w:tcPr>
                <w:p w14:paraId="0052ED26">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-13.8</w:t>
                  </w:r>
                </w:p>
              </w:tc>
              <w:tc>
                <w:tcPr>
                  <w:tcW w:w="117" w:type="pct"/>
                  <w:tcBorders>
                    <w:tl2br w:val="nil"/>
                    <w:tr2bl w:val="nil"/>
                  </w:tcBorders>
                  <w:shd w:val="clear" w:color="auto" w:fill="FFFFFF"/>
                  <w:tcMar>
                    <w:top w:w="0" w:type="dxa"/>
                    <w:left w:w="0" w:type="dxa"/>
                    <w:bottom w:w="0" w:type="dxa"/>
                    <w:right w:w="0" w:type="dxa"/>
                  </w:tcMar>
                  <w:vAlign w:val="center"/>
                </w:tcPr>
                <w:p w14:paraId="43869F35">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w:t>
                  </w:r>
                </w:p>
              </w:tc>
              <w:tc>
                <w:tcPr>
                  <w:tcW w:w="160" w:type="pct"/>
                  <w:tcBorders>
                    <w:tl2br w:val="nil"/>
                    <w:tr2bl w:val="nil"/>
                  </w:tcBorders>
                  <w:shd w:val="clear" w:color="auto" w:fill="FFFFFF"/>
                  <w:tcMar>
                    <w:top w:w="0" w:type="dxa"/>
                    <w:left w:w="0" w:type="dxa"/>
                    <w:bottom w:w="0" w:type="dxa"/>
                    <w:right w:w="0" w:type="dxa"/>
                  </w:tcMar>
                  <w:vAlign w:val="center"/>
                </w:tcPr>
                <w:p w14:paraId="689CFB8A">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92.4</w:t>
                  </w:r>
                </w:p>
              </w:tc>
              <w:tc>
                <w:tcPr>
                  <w:tcW w:w="160" w:type="pct"/>
                  <w:tcBorders>
                    <w:tl2br w:val="nil"/>
                    <w:tr2bl w:val="nil"/>
                  </w:tcBorders>
                  <w:shd w:val="clear" w:color="auto" w:fill="FFFFFF"/>
                  <w:tcMar>
                    <w:top w:w="0" w:type="dxa"/>
                    <w:left w:w="0" w:type="dxa"/>
                    <w:bottom w:w="0" w:type="dxa"/>
                    <w:right w:w="0" w:type="dxa"/>
                  </w:tcMar>
                  <w:vAlign w:val="center"/>
                </w:tcPr>
                <w:p w14:paraId="09CBE040">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13.1</w:t>
                  </w:r>
                </w:p>
              </w:tc>
              <w:tc>
                <w:tcPr>
                  <w:tcW w:w="160" w:type="pct"/>
                  <w:tcBorders>
                    <w:tl2br w:val="nil"/>
                    <w:tr2bl w:val="nil"/>
                  </w:tcBorders>
                  <w:shd w:val="clear" w:color="auto" w:fill="FFFFFF"/>
                  <w:tcMar>
                    <w:top w:w="0" w:type="dxa"/>
                    <w:left w:w="0" w:type="dxa"/>
                    <w:bottom w:w="0" w:type="dxa"/>
                    <w:right w:w="0" w:type="dxa"/>
                  </w:tcMar>
                  <w:vAlign w:val="center"/>
                </w:tcPr>
                <w:p w14:paraId="7E8BA0AA">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5.0</w:t>
                  </w:r>
                </w:p>
              </w:tc>
              <w:tc>
                <w:tcPr>
                  <w:tcW w:w="160" w:type="pct"/>
                  <w:tcBorders>
                    <w:tl2br w:val="nil"/>
                    <w:tr2bl w:val="nil"/>
                  </w:tcBorders>
                  <w:shd w:val="clear" w:color="auto" w:fill="FFFFFF"/>
                  <w:tcMar>
                    <w:top w:w="0" w:type="dxa"/>
                    <w:left w:w="0" w:type="dxa"/>
                    <w:bottom w:w="0" w:type="dxa"/>
                    <w:right w:w="0" w:type="dxa"/>
                  </w:tcMar>
                  <w:vAlign w:val="center"/>
                </w:tcPr>
                <w:p w14:paraId="58D9F086">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14.8</w:t>
                  </w:r>
                </w:p>
              </w:tc>
              <w:tc>
                <w:tcPr>
                  <w:tcW w:w="160" w:type="pct"/>
                  <w:tcBorders>
                    <w:tl2br w:val="nil"/>
                    <w:tr2bl w:val="nil"/>
                  </w:tcBorders>
                  <w:shd w:val="clear" w:color="auto" w:fill="FFFFFF"/>
                  <w:tcMar>
                    <w:top w:w="0" w:type="dxa"/>
                    <w:left w:w="0" w:type="dxa"/>
                    <w:bottom w:w="0" w:type="dxa"/>
                    <w:right w:w="0" w:type="dxa"/>
                  </w:tcMar>
                  <w:vAlign w:val="center"/>
                </w:tcPr>
                <w:p w14:paraId="594C598B">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60.7</w:t>
                  </w:r>
                </w:p>
              </w:tc>
              <w:tc>
                <w:tcPr>
                  <w:tcW w:w="160" w:type="pct"/>
                  <w:tcBorders>
                    <w:tl2br w:val="nil"/>
                    <w:tr2bl w:val="nil"/>
                  </w:tcBorders>
                  <w:shd w:val="clear" w:color="auto" w:fill="FFFFFF"/>
                  <w:tcMar>
                    <w:top w:w="0" w:type="dxa"/>
                    <w:left w:w="0" w:type="dxa"/>
                    <w:bottom w:w="0" w:type="dxa"/>
                    <w:right w:w="0" w:type="dxa"/>
                  </w:tcMar>
                  <w:vAlign w:val="center"/>
                </w:tcPr>
                <w:p w14:paraId="6B4C7CDB">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60.8</w:t>
                  </w:r>
                </w:p>
              </w:tc>
              <w:tc>
                <w:tcPr>
                  <w:tcW w:w="160" w:type="pct"/>
                  <w:tcBorders>
                    <w:tl2br w:val="nil"/>
                    <w:tr2bl w:val="nil"/>
                  </w:tcBorders>
                  <w:shd w:val="clear" w:color="auto" w:fill="FFFFFF"/>
                  <w:tcMar>
                    <w:top w:w="0" w:type="dxa"/>
                    <w:left w:w="0" w:type="dxa"/>
                    <w:bottom w:w="0" w:type="dxa"/>
                    <w:right w:w="0" w:type="dxa"/>
                  </w:tcMar>
                  <w:vAlign w:val="center"/>
                </w:tcPr>
                <w:p w14:paraId="61D61D66">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61.3</w:t>
                  </w:r>
                </w:p>
              </w:tc>
              <w:tc>
                <w:tcPr>
                  <w:tcW w:w="160" w:type="pct"/>
                  <w:tcBorders>
                    <w:tl2br w:val="nil"/>
                    <w:tr2bl w:val="nil"/>
                  </w:tcBorders>
                  <w:shd w:val="clear" w:color="auto" w:fill="FFFFFF"/>
                  <w:tcMar>
                    <w:top w:w="0" w:type="dxa"/>
                    <w:left w:w="0" w:type="dxa"/>
                    <w:bottom w:w="0" w:type="dxa"/>
                    <w:right w:w="0" w:type="dxa"/>
                  </w:tcMar>
                  <w:vAlign w:val="center"/>
                </w:tcPr>
                <w:p w14:paraId="3A250F33">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60.7</w:t>
                  </w:r>
                </w:p>
              </w:tc>
              <w:tc>
                <w:tcPr>
                  <w:tcW w:w="204" w:type="pct"/>
                  <w:tcBorders>
                    <w:tl2br w:val="nil"/>
                    <w:tr2bl w:val="nil"/>
                  </w:tcBorders>
                  <w:shd w:val="clear" w:color="auto" w:fill="FFFFFF"/>
                  <w:tcMar>
                    <w:top w:w="0" w:type="dxa"/>
                    <w:left w:w="0" w:type="dxa"/>
                    <w:bottom w:w="0" w:type="dxa"/>
                    <w:right w:w="0" w:type="dxa"/>
                  </w:tcMar>
                  <w:vAlign w:val="center"/>
                </w:tcPr>
                <w:p w14:paraId="3440D7F3">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8</w:t>
                  </w:r>
                </w:p>
              </w:tc>
              <w:tc>
                <w:tcPr>
                  <w:tcW w:w="160" w:type="pct"/>
                  <w:tcBorders>
                    <w:tl2br w:val="nil"/>
                    <w:tr2bl w:val="nil"/>
                  </w:tcBorders>
                  <w:shd w:val="clear" w:color="auto" w:fill="FFFFFF"/>
                  <w:tcMar>
                    <w:top w:w="0" w:type="dxa"/>
                    <w:left w:w="0" w:type="dxa"/>
                    <w:bottom w:w="0" w:type="dxa"/>
                    <w:right w:w="0" w:type="dxa"/>
                  </w:tcMar>
                  <w:vAlign w:val="center"/>
                </w:tcPr>
                <w:p w14:paraId="49B0C2F5">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0" w:type="pct"/>
                  <w:tcBorders>
                    <w:tl2br w:val="nil"/>
                    <w:tr2bl w:val="nil"/>
                  </w:tcBorders>
                  <w:shd w:val="clear" w:color="auto" w:fill="FFFFFF"/>
                  <w:tcMar>
                    <w:top w:w="0" w:type="dxa"/>
                    <w:left w:w="0" w:type="dxa"/>
                    <w:bottom w:w="0" w:type="dxa"/>
                    <w:right w:w="0" w:type="dxa"/>
                  </w:tcMar>
                  <w:vAlign w:val="center"/>
                </w:tcPr>
                <w:p w14:paraId="05E92C20">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0" w:type="pct"/>
                  <w:tcBorders>
                    <w:tl2br w:val="nil"/>
                    <w:tr2bl w:val="nil"/>
                  </w:tcBorders>
                  <w:shd w:val="clear" w:color="auto" w:fill="FFFFFF"/>
                  <w:tcMar>
                    <w:top w:w="0" w:type="dxa"/>
                    <w:left w:w="0" w:type="dxa"/>
                    <w:bottom w:w="0" w:type="dxa"/>
                    <w:right w:w="0" w:type="dxa"/>
                  </w:tcMar>
                  <w:vAlign w:val="center"/>
                </w:tcPr>
                <w:p w14:paraId="286E28AF">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60" w:type="pct"/>
                  <w:tcBorders>
                    <w:tl2br w:val="nil"/>
                    <w:tr2bl w:val="nil"/>
                  </w:tcBorders>
                  <w:shd w:val="clear" w:color="auto" w:fill="FFFFFF"/>
                  <w:tcMar>
                    <w:top w:w="0" w:type="dxa"/>
                    <w:left w:w="0" w:type="dxa"/>
                    <w:bottom w:w="0" w:type="dxa"/>
                    <w:right w:w="0" w:type="dxa"/>
                  </w:tcMar>
                  <w:vAlign w:val="center"/>
                </w:tcPr>
                <w:p w14:paraId="4FF31DA9">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12.0</w:t>
                  </w:r>
                </w:p>
              </w:tc>
              <w:tc>
                <w:tcPr>
                  <w:tcW w:w="158" w:type="pct"/>
                  <w:tcBorders>
                    <w:tl2br w:val="nil"/>
                    <w:tr2bl w:val="nil"/>
                  </w:tcBorders>
                  <w:shd w:val="clear" w:color="auto" w:fill="FFFFFF"/>
                  <w:tcMar>
                    <w:top w:w="0" w:type="dxa"/>
                    <w:left w:w="0" w:type="dxa"/>
                    <w:bottom w:w="0" w:type="dxa"/>
                    <w:right w:w="0" w:type="dxa"/>
                  </w:tcMar>
                  <w:vAlign w:val="center"/>
                </w:tcPr>
                <w:p w14:paraId="51C8B6EB">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48.7</w:t>
                  </w:r>
                </w:p>
              </w:tc>
              <w:tc>
                <w:tcPr>
                  <w:tcW w:w="159" w:type="pct"/>
                  <w:tcBorders>
                    <w:tl2br w:val="nil"/>
                    <w:tr2bl w:val="nil"/>
                  </w:tcBorders>
                  <w:shd w:val="clear" w:color="auto" w:fill="FFFFFF"/>
                  <w:tcMar>
                    <w:top w:w="0" w:type="dxa"/>
                    <w:left w:w="0" w:type="dxa"/>
                    <w:bottom w:w="0" w:type="dxa"/>
                    <w:right w:w="0" w:type="dxa"/>
                  </w:tcMar>
                  <w:vAlign w:val="center"/>
                </w:tcPr>
                <w:p w14:paraId="7C10540A">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48.8</w:t>
                  </w:r>
                </w:p>
              </w:tc>
              <w:tc>
                <w:tcPr>
                  <w:tcW w:w="159" w:type="pct"/>
                  <w:tcBorders>
                    <w:tl2br w:val="nil"/>
                    <w:tr2bl w:val="nil"/>
                  </w:tcBorders>
                  <w:shd w:val="clear" w:color="auto" w:fill="FFFFFF"/>
                  <w:tcMar>
                    <w:top w:w="0" w:type="dxa"/>
                    <w:left w:w="0" w:type="dxa"/>
                    <w:bottom w:w="0" w:type="dxa"/>
                    <w:right w:w="0" w:type="dxa"/>
                  </w:tcMar>
                  <w:vAlign w:val="center"/>
                </w:tcPr>
                <w:p w14:paraId="11DE6833">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49.3</w:t>
                  </w:r>
                </w:p>
              </w:tc>
              <w:tc>
                <w:tcPr>
                  <w:tcW w:w="159" w:type="pct"/>
                  <w:tcBorders>
                    <w:tl2br w:val="nil"/>
                    <w:tr2bl w:val="nil"/>
                  </w:tcBorders>
                  <w:shd w:val="clear" w:color="auto" w:fill="FFFFFF"/>
                  <w:tcMar>
                    <w:top w:w="0" w:type="dxa"/>
                    <w:left w:w="0" w:type="dxa"/>
                    <w:bottom w:w="0" w:type="dxa"/>
                    <w:right w:w="0" w:type="dxa"/>
                  </w:tcMar>
                  <w:vAlign w:val="center"/>
                </w:tcPr>
                <w:p w14:paraId="1E15A4A9">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48.7</w:t>
                  </w:r>
                </w:p>
              </w:tc>
              <w:tc>
                <w:tcPr>
                  <w:tcW w:w="88" w:type="pct"/>
                  <w:tcBorders>
                    <w:tl2br w:val="nil"/>
                    <w:tr2bl w:val="nil"/>
                  </w:tcBorders>
                  <w:shd w:val="clear" w:color="auto" w:fill="FFFFFF"/>
                  <w:tcMar>
                    <w:top w:w="0" w:type="dxa"/>
                    <w:left w:w="0" w:type="dxa"/>
                    <w:bottom w:w="0" w:type="dxa"/>
                    <w:right w:w="0" w:type="dxa"/>
                  </w:tcMar>
                  <w:vAlign w:val="center"/>
                </w:tcPr>
                <w:p w14:paraId="5E3463F5">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w:t>
                  </w:r>
                </w:p>
              </w:tc>
            </w:tr>
          </w:tbl>
          <w:p w14:paraId="7EFDA578">
            <w:pPr>
              <w:adjustRightInd w:val="0"/>
              <w:snapToGrid w:val="0"/>
              <w:spacing w:line="360" w:lineRule="auto"/>
              <w:ind w:firstLine="482" w:firstLineChars="200"/>
              <w:rPr>
                <w:rFonts w:hint="default" w:ascii="Times New Roman" w:hAnsi="Times New Roman" w:eastAsia="宋体" w:cs="Times New Roman"/>
                <w:b/>
                <w:bCs/>
                <w:color w:val="auto"/>
                <w:spacing w:val="0"/>
                <w:kern w:val="0"/>
                <w:sz w:val="24"/>
                <w:u w:val="none" w:color="auto"/>
                <w:lang w:val="en-US" w:eastAsia="zh-CN"/>
              </w:rPr>
            </w:pPr>
            <w:r>
              <w:rPr>
                <w:rFonts w:hint="default" w:ascii="Times New Roman" w:hAnsi="Times New Roman" w:eastAsia="宋体" w:cs="Times New Roman"/>
                <w:b/>
                <w:bCs/>
                <w:color w:val="auto"/>
                <w:spacing w:val="0"/>
                <w:kern w:val="0"/>
                <w:sz w:val="24"/>
                <w:u w:val="none" w:color="auto"/>
                <w:lang w:val="en-US" w:eastAsia="zh-CN"/>
              </w:rPr>
              <w:t>4、噪声预测结果</w:t>
            </w:r>
          </w:p>
          <w:p w14:paraId="2FC58297">
            <w:pPr>
              <w:adjustRightInd w:val="0"/>
              <w:snapToGrid w:val="0"/>
              <w:spacing w:line="360" w:lineRule="auto"/>
              <w:ind w:firstLine="480" w:firstLineChars="200"/>
              <w:rPr>
                <w:rFonts w:hint="default" w:ascii="Times New Roman" w:hAnsi="Times New Roman" w:eastAsia="宋体" w:cs="Times New Roman"/>
                <w:color w:val="auto"/>
                <w:sz w:val="24"/>
                <w:szCs w:val="24"/>
                <w:highlight w:val="none"/>
                <w:u w:val="none" w:color="auto"/>
                <w:lang w:val="en-US" w:eastAsia="zh-CN"/>
              </w:rPr>
            </w:pPr>
            <w:r>
              <w:rPr>
                <w:rFonts w:hint="default" w:ascii="Times New Roman" w:hAnsi="Times New Roman" w:eastAsia="宋体" w:cs="Times New Roman"/>
                <w:color w:val="auto"/>
                <w:sz w:val="24"/>
                <w:szCs w:val="24"/>
                <w:highlight w:val="none"/>
                <w:u w:val="none" w:color="auto"/>
                <w:lang w:eastAsia="zh-CN"/>
              </w:rPr>
              <w:t>（</w:t>
            </w:r>
            <w:r>
              <w:rPr>
                <w:rFonts w:hint="default" w:ascii="Times New Roman" w:hAnsi="Times New Roman" w:eastAsia="宋体" w:cs="Times New Roman"/>
                <w:color w:val="auto"/>
                <w:sz w:val="24"/>
                <w:szCs w:val="24"/>
                <w:highlight w:val="none"/>
                <w:u w:val="none" w:color="auto"/>
                <w:lang w:val="en-US" w:eastAsia="zh-CN"/>
              </w:rPr>
              <w:t>1</w:t>
            </w:r>
            <w:r>
              <w:rPr>
                <w:rFonts w:hint="default" w:ascii="Times New Roman" w:hAnsi="Times New Roman" w:eastAsia="宋体" w:cs="Times New Roman"/>
                <w:color w:val="auto"/>
                <w:sz w:val="24"/>
                <w:szCs w:val="24"/>
                <w:highlight w:val="none"/>
                <w:u w:val="none" w:color="auto"/>
                <w:lang w:eastAsia="zh-CN"/>
              </w:rPr>
              <w:t>）</w:t>
            </w:r>
            <w:r>
              <w:rPr>
                <w:rFonts w:hint="default" w:ascii="Times New Roman" w:hAnsi="Times New Roman" w:eastAsia="宋体" w:cs="Times New Roman"/>
                <w:color w:val="auto"/>
                <w:sz w:val="24"/>
                <w:szCs w:val="24"/>
                <w:highlight w:val="none"/>
                <w:u w:val="none" w:color="auto"/>
                <w:lang w:val="en-US" w:eastAsia="zh-CN"/>
              </w:rPr>
              <w:t>中创空天厂区</w:t>
            </w:r>
          </w:p>
          <w:p w14:paraId="3CCF5228">
            <w:pPr>
              <w:adjustRightInd w:val="0"/>
              <w:snapToGrid w:val="0"/>
              <w:spacing w:line="360" w:lineRule="auto"/>
              <w:ind w:firstLine="480" w:firstLineChars="200"/>
              <w:rPr>
                <w:rFonts w:hint="default" w:ascii="Times New Roman" w:hAnsi="Times New Roman" w:eastAsia="宋体" w:cs="Times New Roman"/>
                <w:b/>
                <w:bCs/>
                <w:color w:val="auto"/>
                <w:spacing w:val="0"/>
                <w:kern w:val="0"/>
                <w:sz w:val="24"/>
                <w:u w:val="none" w:color="auto"/>
              </w:rPr>
            </w:pPr>
            <w:r>
              <w:rPr>
                <w:rFonts w:hint="default" w:ascii="Times New Roman" w:hAnsi="Times New Roman" w:eastAsia="宋体" w:cs="Times New Roman"/>
                <w:b w:val="0"/>
                <w:bCs/>
                <w:color w:val="auto"/>
                <w:spacing w:val="0"/>
                <w:sz w:val="24"/>
                <w:szCs w:val="24"/>
                <w:highlight w:val="none"/>
                <w:u w:val="none" w:color="auto"/>
                <w:lang w:val="en-US" w:eastAsia="zh-CN"/>
              </w:rPr>
              <w:t>通过预测模型计算，项目厂界噪声预测结果与达标性分析如下：</w:t>
            </w:r>
          </w:p>
          <w:p w14:paraId="5F2C39D2">
            <w:pPr>
              <w:jc w:val="center"/>
              <w:rPr>
                <w:rFonts w:hint="default" w:ascii="Times New Roman" w:hAnsi="Times New Roman" w:eastAsia="宋体" w:cs="Times New Roman"/>
                <w:b/>
                <w:color w:val="auto"/>
                <w:u w:val="none" w:color="auto"/>
                <w:lang w:eastAsia="zh-CN"/>
              </w:rPr>
            </w:pPr>
            <w:r>
              <w:rPr>
                <w:rFonts w:hint="default" w:ascii="Times New Roman" w:hAnsi="Times New Roman" w:eastAsia="宋体" w:cs="Times New Roman"/>
                <w:b/>
                <w:bCs/>
                <w:color w:val="auto"/>
                <w:u w:val="none" w:color="auto"/>
                <w:lang w:val="en-US" w:eastAsia="zh-CN"/>
              </w:rPr>
              <w:t>表4-35  厂界噪声预测结果与达标分析表</w:t>
            </w:r>
            <w:bookmarkStart w:id="94" w:name="PT_7"/>
          </w:p>
          <w:tbl>
            <w:tblPr>
              <w:tblStyle w:val="31"/>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467"/>
              <w:gridCol w:w="736"/>
              <w:gridCol w:w="736"/>
              <w:gridCol w:w="610"/>
              <w:gridCol w:w="590"/>
              <w:gridCol w:w="1187"/>
              <w:gridCol w:w="1187"/>
              <w:gridCol w:w="1187"/>
              <w:gridCol w:w="1188"/>
              <w:gridCol w:w="627"/>
            </w:tblGrid>
            <w:tr w14:paraId="089AA7B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90" w:hRule="exact"/>
                <w:jc w:val="center"/>
              </w:trPr>
              <w:tc>
                <w:tcPr>
                  <w:tcW w:w="300" w:type="pct"/>
                  <w:vMerge w:val="restart"/>
                  <w:tcBorders>
                    <w:tl2br w:val="nil"/>
                    <w:tr2bl w:val="nil"/>
                  </w:tcBorders>
                  <w:vAlign w:val="center"/>
                </w:tcPr>
                <w:p w14:paraId="425508E4">
                  <w:pPr>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b/>
                      <w:color w:val="auto"/>
                      <w:sz w:val="21"/>
                      <w:szCs w:val="21"/>
                      <w:u w:val="none" w:color="auto"/>
                    </w:rPr>
                    <w:t>预测方位</w:t>
                  </w:r>
                </w:p>
              </w:tc>
              <w:tc>
                <w:tcPr>
                  <w:tcW w:w="1300" w:type="pct"/>
                  <w:gridSpan w:val="3"/>
                  <w:tcBorders>
                    <w:tl2br w:val="nil"/>
                    <w:tr2bl w:val="nil"/>
                  </w:tcBorders>
                  <w:vAlign w:val="center"/>
                </w:tcPr>
                <w:p w14:paraId="6CB99A64">
                  <w:pPr>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b/>
                      <w:color w:val="auto"/>
                      <w:sz w:val="21"/>
                      <w:szCs w:val="21"/>
                      <w:u w:val="none" w:color="auto"/>
                      <w:lang w:val="en-US" w:eastAsia="zh-CN"/>
                    </w:rPr>
                    <w:t>最大值点</w:t>
                  </w:r>
                  <w:r>
                    <w:rPr>
                      <w:rFonts w:hint="default" w:ascii="Times New Roman" w:hAnsi="Times New Roman" w:eastAsia="宋体" w:cs="Times New Roman"/>
                      <w:b/>
                      <w:color w:val="auto"/>
                      <w:sz w:val="21"/>
                      <w:szCs w:val="21"/>
                      <w:u w:val="none" w:color="auto"/>
                    </w:rPr>
                    <w:t>空间相对位置/m</w:t>
                  </w:r>
                </w:p>
              </w:tc>
              <w:tc>
                <w:tcPr>
                  <w:tcW w:w="372" w:type="pct"/>
                  <w:vMerge w:val="restart"/>
                  <w:tcBorders>
                    <w:tl2br w:val="nil"/>
                    <w:tr2bl w:val="nil"/>
                  </w:tcBorders>
                  <w:vAlign w:val="center"/>
                </w:tcPr>
                <w:p w14:paraId="6CB59DEC">
                  <w:pPr>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b/>
                      <w:color w:val="auto"/>
                      <w:sz w:val="21"/>
                      <w:szCs w:val="21"/>
                      <w:u w:val="none" w:color="auto"/>
                    </w:rPr>
                    <w:t>时段</w:t>
                  </w:r>
                </w:p>
              </w:tc>
              <w:tc>
                <w:tcPr>
                  <w:tcW w:w="694" w:type="pct"/>
                  <w:vMerge w:val="restart"/>
                  <w:tcBorders>
                    <w:tl2br w:val="nil"/>
                    <w:tr2bl w:val="nil"/>
                  </w:tcBorders>
                  <w:vAlign w:val="center"/>
                </w:tcPr>
                <w:p w14:paraId="24A73413">
                  <w:pPr>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b/>
                      <w:color w:val="auto"/>
                      <w:sz w:val="21"/>
                      <w:szCs w:val="21"/>
                      <w:u w:val="none" w:color="auto"/>
                    </w:rPr>
                    <w:t>贡献值（dB(A)）</w:t>
                  </w:r>
                </w:p>
              </w:tc>
              <w:tc>
                <w:tcPr>
                  <w:tcW w:w="694" w:type="pct"/>
                  <w:vMerge w:val="restart"/>
                  <w:tcBorders>
                    <w:tl2br w:val="nil"/>
                    <w:tr2bl w:val="nil"/>
                  </w:tcBorders>
                  <w:vAlign w:val="center"/>
                </w:tcPr>
                <w:p w14:paraId="0206673A">
                  <w:pPr>
                    <w:jc w:val="center"/>
                    <w:rPr>
                      <w:rFonts w:hint="default" w:ascii="Times New Roman" w:hAnsi="Times New Roman" w:eastAsia="宋体" w:cs="Times New Roman"/>
                      <w:b/>
                      <w:color w:val="auto"/>
                      <w:sz w:val="21"/>
                      <w:szCs w:val="21"/>
                      <w:u w:val="none" w:color="auto"/>
                      <w:lang w:val="en-US" w:eastAsia="zh-CN"/>
                    </w:rPr>
                  </w:pPr>
                  <w:r>
                    <w:rPr>
                      <w:rFonts w:hint="default" w:ascii="Times New Roman" w:hAnsi="Times New Roman" w:eastAsia="宋体" w:cs="Times New Roman"/>
                      <w:b/>
                      <w:color w:val="auto"/>
                      <w:sz w:val="21"/>
                      <w:szCs w:val="21"/>
                      <w:u w:val="none" w:color="auto"/>
                      <w:lang w:val="en-US" w:eastAsia="zh-CN"/>
                    </w:rPr>
                    <w:t>现状值</w:t>
                  </w:r>
                </w:p>
                <w:p w14:paraId="01763C9B">
                  <w:pPr>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b/>
                      <w:color w:val="auto"/>
                      <w:sz w:val="21"/>
                      <w:szCs w:val="21"/>
                      <w:u w:val="none" w:color="auto"/>
                    </w:rPr>
                    <w:t>（dB(A)）</w:t>
                  </w:r>
                </w:p>
              </w:tc>
              <w:tc>
                <w:tcPr>
                  <w:tcW w:w="694" w:type="pct"/>
                  <w:vMerge w:val="restart"/>
                  <w:tcBorders>
                    <w:tl2br w:val="nil"/>
                    <w:tr2bl w:val="nil"/>
                  </w:tcBorders>
                  <w:vAlign w:val="center"/>
                </w:tcPr>
                <w:p w14:paraId="7C56C52F">
                  <w:pPr>
                    <w:jc w:val="center"/>
                    <w:rPr>
                      <w:rFonts w:hint="default" w:ascii="Times New Roman" w:hAnsi="Times New Roman" w:eastAsia="宋体" w:cs="Times New Roman"/>
                      <w:b/>
                      <w:color w:val="auto"/>
                      <w:sz w:val="21"/>
                      <w:szCs w:val="21"/>
                      <w:u w:val="none" w:color="auto"/>
                      <w:lang w:val="en-US" w:eastAsia="zh-CN"/>
                    </w:rPr>
                  </w:pPr>
                  <w:r>
                    <w:rPr>
                      <w:rFonts w:hint="default" w:ascii="Times New Roman" w:hAnsi="Times New Roman" w:eastAsia="宋体" w:cs="Times New Roman"/>
                      <w:b/>
                      <w:color w:val="auto"/>
                      <w:sz w:val="21"/>
                      <w:szCs w:val="21"/>
                      <w:u w:val="none" w:color="auto"/>
                      <w:lang w:val="en-US" w:eastAsia="zh-CN"/>
                    </w:rPr>
                    <w:t>预测值</w:t>
                  </w:r>
                </w:p>
                <w:p w14:paraId="0F5A5235">
                  <w:pPr>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b/>
                      <w:color w:val="auto"/>
                      <w:sz w:val="21"/>
                      <w:szCs w:val="21"/>
                      <w:u w:val="none" w:color="auto"/>
                    </w:rPr>
                    <w:t>（dB(A)）</w:t>
                  </w:r>
                </w:p>
              </w:tc>
              <w:tc>
                <w:tcPr>
                  <w:tcW w:w="551" w:type="pct"/>
                  <w:vMerge w:val="restart"/>
                  <w:tcBorders>
                    <w:tl2br w:val="nil"/>
                    <w:tr2bl w:val="nil"/>
                  </w:tcBorders>
                  <w:vAlign w:val="center"/>
                </w:tcPr>
                <w:p w14:paraId="1719C72A">
                  <w:pPr>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b/>
                      <w:color w:val="auto"/>
                      <w:sz w:val="21"/>
                      <w:szCs w:val="21"/>
                      <w:u w:val="none" w:color="auto"/>
                    </w:rPr>
                    <w:t>标准限值（dB(A)）</w:t>
                  </w:r>
                </w:p>
              </w:tc>
              <w:tc>
                <w:tcPr>
                  <w:tcW w:w="393" w:type="pct"/>
                  <w:vMerge w:val="restart"/>
                  <w:tcBorders>
                    <w:tl2br w:val="nil"/>
                    <w:tr2bl w:val="nil"/>
                  </w:tcBorders>
                  <w:vAlign w:val="center"/>
                </w:tcPr>
                <w:p w14:paraId="652374F8">
                  <w:pPr>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b/>
                      <w:color w:val="auto"/>
                      <w:sz w:val="21"/>
                      <w:szCs w:val="21"/>
                      <w:u w:val="none" w:color="auto"/>
                    </w:rPr>
                    <w:t>达标情况</w:t>
                  </w:r>
                </w:p>
              </w:tc>
            </w:tr>
            <w:tr w14:paraId="399AE2B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300" w:type="pct"/>
                  <w:vMerge w:val="continue"/>
                  <w:tcBorders>
                    <w:tl2br w:val="nil"/>
                    <w:tr2bl w:val="nil"/>
                  </w:tcBorders>
                  <w:shd w:val="clear" w:color="auto" w:fill="FFFFFF"/>
                  <w:vAlign w:val="center"/>
                </w:tcPr>
                <w:p w14:paraId="320D0F74">
                  <w:pPr>
                    <w:jc w:val="center"/>
                    <w:rPr>
                      <w:rFonts w:hint="default" w:ascii="Times New Roman" w:hAnsi="Times New Roman" w:eastAsia="宋体" w:cs="Times New Roman"/>
                      <w:color w:val="auto"/>
                      <w:sz w:val="21"/>
                      <w:szCs w:val="21"/>
                      <w:u w:val="none" w:color="auto"/>
                    </w:rPr>
                  </w:pPr>
                </w:p>
              </w:tc>
              <w:tc>
                <w:tcPr>
                  <w:tcW w:w="458" w:type="pct"/>
                  <w:tcBorders>
                    <w:tl2br w:val="nil"/>
                    <w:tr2bl w:val="nil"/>
                  </w:tcBorders>
                  <w:shd w:val="clear" w:color="auto" w:fill="FFFFFF"/>
                  <w:vAlign w:val="center"/>
                </w:tcPr>
                <w:p w14:paraId="46935E0D">
                  <w:pPr>
                    <w:jc w:val="center"/>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X</w:t>
                  </w:r>
                </w:p>
              </w:tc>
              <w:tc>
                <w:tcPr>
                  <w:tcW w:w="458" w:type="pct"/>
                  <w:tcBorders>
                    <w:tl2br w:val="nil"/>
                    <w:tr2bl w:val="nil"/>
                  </w:tcBorders>
                  <w:shd w:val="clear" w:color="auto" w:fill="FFFFFF"/>
                  <w:vAlign w:val="center"/>
                </w:tcPr>
                <w:p w14:paraId="58FE1477">
                  <w:pPr>
                    <w:jc w:val="center"/>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Y</w:t>
                  </w:r>
                </w:p>
              </w:tc>
              <w:tc>
                <w:tcPr>
                  <w:tcW w:w="382" w:type="pct"/>
                  <w:tcBorders>
                    <w:tl2br w:val="nil"/>
                    <w:tr2bl w:val="nil"/>
                  </w:tcBorders>
                  <w:shd w:val="clear" w:color="auto" w:fill="FFFFFF"/>
                  <w:vAlign w:val="center"/>
                </w:tcPr>
                <w:p w14:paraId="39A1689D">
                  <w:pPr>
                    <w:jc w:val="center"/>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Z</w:t>
                  </w:r>
                </w:p>
              </w:tc>
              <w:tc>
                <w:tcPr>
                  <w:tcW w:w="372" w:type="pct"/>
                  <w:vMerge w:val="continue"/>
                  <w:tcBorders>
                    <w:tl2br w:val="nil"/>
                    <w:tr2bl w:val="nil"/>
                  </w:tcBorders>
                  <w:shd w:val="clear" w:color="auto" w:fill="FFFFFF"/>
                  <w:vAlign w:val="center"/>
                </w:tcPr>
                <w:p w14:paraId="17ED8991">
                  <w:pPr>
                    <w:jc w:val="center"/>
                    <w:rPr>
                      <w:rFonts w:hint="default" w:ascii="Times New Roman" w:hAnsi="Times New Roman" w:eastAsia="宋体" w:cs="Times New Roman"/>
                      <w:color w:val="auto"/>
                      <w:sz w:val="21"/>
                      <w:szCs w:val="21"/>
                      <w:u w:val="none" w:color="auto"/>
                    </w:rPr>
                  </w:pPr>
                </w:p>
              </w:tc>
              <w:tc>
                <w:tcPr>
                  <w:tcW w:w="694" w:type="pct"/>
                  <w:vMerge w:val="continue"/>
                  <w:tcBorders>
                    <w:tl2br w:val="nil"/>
                    <w:tr2bl w:val="nil"/>
                  </w:tcBorders>
                  <w:shd w:val="clear" w:color="auto" w:fill="FFFFFF"/>
                  <w:vAlign w:val="center"/>
                </w:tcPr>
                <w:p w14:paraId="2CA1D6F8">
                  <w:pPr>
                    <w:jc w:val="center"/>
                    <w:rPr>
                      <w:rFonts w:hint="default" w:ascii="Times New Roman" w:hAnsi="Times New Roman" w:eastAsia="宋体" w:cs="Times New Roman"/>
                      <w:color w:val="auto"/>
                      <w:sz w:val="21"/>
                      <w:szCs w:val="21"/>
                      <w:u w:val="none" w:color="auto"/>
                    </w:rPr>
                  </w:pPr>
                </w:p>
              </w:tc>
              <w:tc>
                <w:tcPr>
                  <w:tcW w:w="694" w:type="pct"/>
                  <w:vMerge w:val="continue"/>
                  <w:tcBorders>
                    <w:tl2br w:val="nil"/>
                    <w:tr2bl w:val="nil"/>
                  </w:tcBorders>
                  <w:shd w:val="clear" w:color="auto" w:fill="FFFFFF"/>
                  <w:vAlign w:val="center"/>
                </w:tcPr>
                <w:p w14:paraId="168A6F06">
                  <w:pPr>
                    <w:jc w:val="center"/>
                    <w:rPr>
                      <w:rFonts w:hint="default" w:ascii="Times New Roman" w:hAnsi="Times New Roman" w:eastAsia="宋体" w:cs="Times New Roman"/>
                      <w:color w:val="auto"/>
                      <w:sz w:val="21"/>
                      <w:szCs w:val="21"/>
                      <w:u w:val="none" w:color="auto"/>
                    </w:rPr>
                  </w:pPr>
                </w:p>
              </w:tc>
              <w:tc>
                <w:tcPr>
                  <w:tcW w:w="694" w:type="pct"/>
                  <w:vMerge w:val="continue"/>
                  <w:tcBorders>
                    <w:tl2br w:val="nil"/>
                    <w:tr2bl w:val="nil"/>
                  </w:tcBorders>
                  <w:shd w:val="clear" w:color="auto" w:fill="FFFFFF"/>
                  <w:vAlign w:val="center"/>
                </w:tcPr>
                <w:p w14:paraId="13E36BC2">
                  <w:pPr>
                    <w:jc w:val="center"/>
                    <w:rPr>
                      <w:rFonts w:hint="default" w:ascii="Times New Roman" w:hAnsi="Times New Roman" w:eastAsia="宋体" w:cs="Times New Roman"/>
                      <w:color w:val="auto"/>
                      <w:sz w:val="21"/>
                      <w:szCs w:val="21"/>
                      <w:u w:val="none" w:color="auto"/>
                    </w:rPr>
                  </w:pPr>
                </w:p>
              </w:tc>
              <w:tc>
                <w:tcPr>
                  <w:tcW w:w="551" w:type="pct"/>
                  <w:vMerge w:val="continue"/>
                  <w:tcBorders>
                    <w:tl2br w:val="nil"/>
                    <w:tr2bl w:val="nil"/>
                  </w:tcBorders>
                  <w:shd w:val="clear" w:color="auto" w:fill="FFFFFF"/>
                  <w:vAlign w:val="center"/>
                </w:tcPr>
                <w:p w14:paraId="17A17131">
                  <w:pPr>
                    <w:jc w:val="center"/>
                    <w:rPr>
                      <w:rFonts w:hint="default" w:ascii="Times New Roman" w:hAnsi="Times New Roman" w:eastAsia="宋体" w:cs="Times New Roman"/>
                      <w:color w:val="auto"/>
                      <w:sz w:val="21"/>
                      <w:szCs w:val="21"/>
                      <w:u w:val="none" w:color="auto"/>
                    </w:rPr>
                  </w:pPr>
                </w:p>
                <w:bookmarkEnd w:id="94"/>
              </w:tc>
              <w:tc>
                <w:tcPr>
                  <w:tcW w:w="393" w:type="pct"/>
                  <w:vMerge w:val="continue"/>
                  <w:tcBorders>
                    <w:tl2br w:val="nil"/>
                    <w:tr2bl w:val="nil"/>
                  </w:tcBorders>
                  <w:shd w:val="clear" w:color="auto" w:fill="FFFFFF"/>
                  <w:vAlign w:val="center"/>
                </w:tcPr>
                <w:p w14:paraId="291AB691">
                  <w:pPr>
                    <w:jc w:val="center"/>
                    <w:rPr>
                      <w:rFonts w:hint="default" w:ascii="Times New Roman" w:hAnsi="Times New Roman" w:eastAsia="宋体" w:cs="Times New Roman"/>
                      <w:color w:val="auto"/>
                      <w:sz w:val="21"/>
                      <w:szCs w:val="21"/>
                      <w:u w:val="none" w:color="auto"/>
                    </w:rPr>
                  </w:pPr>
                </w:p>
              </w:tc>
            </w:tr>
            <w:tr w14:paraId="05CC449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408" w:hRule="exact"/>
                <w:jc w:val="center"/>
              </w:trPr>
              <w:tc>
                <w:tcPr>
                  <w:tcW w:w="300" w:type="pct"/>
                  <w:vMerge w:val="restart"/>
                  <w:tcBorders>
                    <w:tl2br w:val="nil"/>
                    <w:tr2bl w:val="nil"/>
                  </w:tcBorders>
                  <w:shd w:val="clear" w:color="auto" w:fill="FFFFFF"/>
                  <w:vAlign w:val="center"/>
                </w:tcPr>
                <w:p w14:paraId="576E9504">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东侧</w:t>
                  </w:r>
                </w:p>
              </w:tc>
              <w:tc>
                <w:tcPr>
                  <w:tcW w:w="458" w:type="pct"/>
                  <w:tcBorders>
                    <w:tl2br w:val="nil"/>
                    <w:tr2bl w:val="nil"/>
                  </w:tcBorders>
                  <w:shd w:val="clear" w:color="auto" w:fill="FFFFFF"/>
                  <w:vAlign w:val="center"/>
                </w:tcPr>
                <w:p w14:paraId="671C1725">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92.7</w:t>
                  </w:r>
                </w:p>
              </w:tc>
              <w:tc>
                <w:tcPr>
                  <w:tcW w:w="458" w:type="pct"/>
                  <w:tcBorders>
                    <w:tl2br w:val="nil"/>
                    <w:tr2bl w:val="nil"/>
                  </w:tcBorders>
                  <w:shd w:val="clear" w:color="auto" w:fill="FFFFFF"/>
                  <w:vAlign w:val="center"/>
                </w:tcPr>
                <w:p w14:paraId="45E58D61">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-161.6</w:t>
                  </w:r>
                </w:p>
              </w:tc>
              <w:tc>
                <w:tcPr>
                  <w:tcW w:w="382" w:type="pct"/>
                  <w:tcBorders>
                    <w:tl2br w:val="nil"/>
                    <w:tr2bl w:val="nil"/>
                  </w:tcBorders>
                  <w:shd w:val="clear" w:color="auto" w:fill="FFFFFF"/>
                  <w:vAlign w:val="center"/>
                </w:tcPr>
                <w:p w14:paraId="53C68F00">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w:t>
                  </w:r>
                </w:p>
              </w:tc>
              <w:tc>
                <w:tcPr>
                  <w:tcW w:w="372" w:type="pct"/>
                  <w:tcBorders>
                    <w:tl2br w:val="nil"/>
                    <w:tr2bl w:val="nil"/>
                  </w:tcBorders>
                  <w:shd w:val="clear" w:color="auto" w:fill="FFFFFF"/>
                  <w:vAlign w:val="center"/>
                </w:tcPr>
                <w:p w14:paraId="7B3F99CA">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昼间</w:t>
                  </w:r>
                </w:p>
              </w:tc>
              <w:tc>
                <w:tcPr>
                  <w:tcW w:w="694" w:type="pct"/>
                  <w:tcBorders>
                    <w:tl2br w:val="nil"/>
                    <w:tr2bl w:val="nil"/>
                  </w:tcBorders>
                  <w:shd w:val="clear" w:color="auto" w:fill="FFFFFF"/>
                  <w:vAlign w:val="center"/>
                </w:tcPr>
                <w:p w14:paraId="6EE67421">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29.2</w:t>
                  </w:r>
                </w:p>
              </w:tc>
              <w:tc>
                <w:tcPr>
                  <w:tcW w:w="694" w:type="pct"/>
                  <w:tcBorders>
                    <w:tl2br w:val="nil"/>
                    <w:tr2bl w:val="nil"/>
                  </w:tcBorders>
                  <w:shd w:val="clear" w:color="auto" w:fill="FFFFFF"/>
                  <w:vAlign w:val="center"/>
                </w:tcPr>
                <w:p w14:paraId="0476A700">
                  <w:pPr>
                    <w:jc w:val="center"/>
                    <w:rPr>
                      <w:rFonts w:hint="default" w:ascii="Times New Roman" w:hAnsi="Times New Roman" w:eastAsia="宋体" w:cs="Times New Roman"/>
                      <w:color w:val="auto"/>
                      <w:sz w:val="20"/>
                      <w:u w:val="none" w:color="auto"/>
                      <w:lang w:val="en-US" w:eastAsia="zh-CN"/>
                    </w:rPr>
                  </w:pPr>
                  <w:r>
                    <w:rPr>
                      <w:rFonts w:hint="default" w:ascii="Times New Roman" w:hAnsi="Times New Roman" w:eastAsia="宋体" w:cs="Times New Roman"/>
                      <w:color w:val="auto"/>
                      <w:sz w:val="20"/>
                      <w:u w:val="none" w:color="auto"/>
                      <w:lang w:val="en-US" w:eastAsia="zh-CN"/>
                    </w:rPr>
                    <w:t>51</w:t>
                  </w:r>
                </w:p>
              </w:tc>
              <w:tc>
                <w:tcPr>
                  <w:tcW w:w="694" w:type="pct"/>
                  <w:tcBorders>
                    <w:tl2br w:val="nil"/>
                    <w:tr2bl w:val="nil"/>
                  </w:tcBorders>
                  <w:shd w:val="clear" w:color="auto" w:fill="FFFFFF"/>
                  <w:vAlign w:val="center"/>
                </w:tcPr>
                <w:p w14:paraId="35B8BB70">
                  <w:pPr>
                    <w:jc w:val="center"/>
                    <w:rPr>
                      <w:rFonts w:hint="default" w:ascii="Times New Roman" w:hAnsi="Times New Roman" w:eastAsia="宋体" w:cs="Times New Roman"/>
                      <w:color w:val="auto"/>
                      <w:sz w:val="20"/>
                      <w:u w:val="none" w:color="auto"/>
                    </w:rPr>
                  </w:pPr>
                  <w:r>
                    <w:rPr>
                      <w:rFonts w:hint="default" w:ascii="Times New Roman" w:hAnsi="Times New Roman" w:eastAsia="宋体" w:cs="Times New Roman"/>
                      <w:color w:val="auto"/>
                      <w:sz w:val="20"/>
                      <w:u w:val="none" w:color="auto"/>
                    </w:rPr>
                    <w:t>51.03</w:t>
                  </w:r>
                </w:p>
              </w:tc>
              <w:tc>
                <w:tcPr>
                  <w:tcW w:w="551" w:type="pct"/>
                  <w:tcBorders>
                    <w:tl2br w:val="nil"/>
                    <w:tr2bl w:val="nil"/>
                  </w:tcBorders>
                  <w:shd w:val="clear" w:color="auto" w:fill="FFFFFF"/>
                  <w:vAlign w:val="center"/>
                </w:tcPr>
                <w:p w14:paraId="32B8FACE">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65</w:t>
                  </w:r>
                </w:p>
              </w:tc>
              <w:tc>
                <w:tcPr>
                  <w:tcW w:w="393" w:type="pct"/>
                  <w:tcBorders>
                    <w:tl2br w:val="nil"/>
                    <w:tr2bl w:val="nil"/>
                  </w:tcBorders>
                  <w:shd w:val="clear" w:color="auto" w:fill="FFFFFF"/>
                  <w:vAlign w:val="center"/>
                </w:tcPr>
                <w:p w14:paraId="5C86E102">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达标</w:t>
                  </w:r>
                </w:p>
              </w:tc>
            </w:tr>
            <w:tr w14:paraId="46B753F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408" w:hRule="exact"/>
                <w:jc w:val="center"/>
              </w:trPr>
              <w:tc>
                <w:tcPr>
                  <w:tcW w:w="300" w:type="pct"/>
                  <w:vMerge w:val="continue"/>
                  <w:tcBorders>
                    <w:tl2br w:val="nil"/>
                    <w:tr2bl w:val="nil"/>
                  </w:tcBorders>
                  <w:shd w:val="clear" w:color="auto" w:fill="FFFFFF"/>
                  <w:vAlign w:val="center"/>
                </w:tcPr>
                <w:p w14:paraId="5FBABFA1">
                  <w:pPr>
                    <w:jc w:val="center"/>
                    <w:rPr>
                      <w:rFonts w:hint="default" w:ascii="Times New Roman" w:hAnsi="Times New Roman" w:eastAsia="宋体" w:cs="Times New Roman"/>
                      <w:color w:val="auto"/>
                      <w:u w:val="none" w:color="auto"/>
                    </w:rPr>
                  </w:pPr>
                </w:p>
              </w:tc>
              <w:tc>
                <w:tcPr>
                  <w:tcW w:w="458" w:type="pct"/>
                  <w:tcBorders>
                    <w:tl2br w:val="nil"/>
                    <w:tr2bl w:val="nil"/>
                  </w:tcBorders>
                  <w:shd w:val="clear" w:color="auto" w:fill="FFFFFF"/>
                  <w:vAlign w:val="center"/>
                </w:tcPr>
                <w:p w14:paraId="3874ADBB">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92.7</w:t>
                  </w:r>
                </w:p>
              </w:tc>
              <w:tc>
                <w:tcPr>
                  <w:tcW w:w="458" w:type="pct"/>
                  <w:tcBorders>
                    <w:tl2br w:val="nil"/>
                    <w:tr2bl w:val="nil"/>
                  </w:tcBorders>
                  <w:shd w:val="clear" w:color="auto" w:fill="FFFFFF"/>
                  <w:vAlign w:val="center"/>
                </w:tcPr>
                <w:p w14:paraId="6BA72B26">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-161.6</w:t>
                  </w:r>
                </w:p>
              </w:tc>
              <w:tc>
                <w:tcPr>
                  <w:tcW w:w="382" w:type="pct"/>
                  <w:tcBorders>
                    <w:tl2br w:val="nil"/>
                    <w:tr2bl w:val="nil"/>
                  </w:tcBorders>
                  <w:shd w:val="clear" w:color="auto" w:fill="FFFFFF"/>
                  <w:vAlign w:val="center"/>
                </w:tcPr>
                <w:p w14:paraId="0F6B8036">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w:t>
                  </w:r>
                </w:p>
              </w:tc>
              <w:tc>
                <w:tcPr>
                  <w:tcW w:w="372" w:type="pct"/>
                  <w:tcBorders>
                    <w:tl2br w:val="nil"/>
                    <w:tr2bl w:val="nil"/>
                  </w:tcBorders>
                  <w:shd w:val="clear" w:color="auto" w:fill="FFFFFF"/>
                  <w:vAlign w:val="center"/>
                </w:tcPr>
                <w:p w14:paraId="070ACA18">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夜间</w:t>
                  </w:r>
                </w:p>
              </w:tc>
              <w:tc>
                <w:tcPr>
                  <w:tcW w:w="694" w:type="pct"/>
                  <w:tcBorders>
                    <w:tl2br w:val="nil"/>
                    <w:tr2bl w:val="nil"/>
                  </w:tcBorders>
                  <w:shd w:val="clear" w:color="auto" w:fill="FFFFFF"/>
                  <w:vAlign w:val="center"/>
                </w:tcPr>
                <w:p w14:paraId="6820BE6C">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29.2</w:t>
                  </w:r>
                </w:p>
              </w:tc>
              <w:tc>
                <w:tcPr>
                  <w:tcW w:w="694" w:type="pct"/>
                  <w:tcBorders>
                    <w:tl2br w:val="nil"/>
                    <w:tr2bl w:val="nil"/>
                  </w:tcBorders>
                  <w:shd w:val="clear" w:color="auto" w:fill="FFFFFF"/>
                  <w:vAlign w:val="center"/>
                </w:tcPr>
                <w:p w14:paraId="66FF3FBA">
                  <w:pPr>
                    <w:jc w:val="center"/>
                    <w:rPr>
                      <w:rFonts w:hint="default" w:ascii="Times New Roman" w:hAnsi="Times New Roman" w:eastAsia="宋体" w:cs="Times New Roman"/>
                      <w:color w:val="auto"/>
                      <w:sz w:val="20"/>
                      <w:u w:val="none" w:color="auto"/>
                      <w:lang w:val="en-US" w:eastAsia="zh-CN"/>
                    </w:rPr>
                  </w:pPr>
                  <w:r>
                    <w:rPr>
                      <w:rFonts w:hint="default" w:ascii="Times New Roman" w:hAnsi="Times New Roman" w:eastAsia="宋体" w:cs="Times New Roman"/>
                      <w:color w:val="auto"/>
                      <w:sz w:val="20"/>
                      <w:u w:val="none" w:color="auto"/>
                      <w:lang w:val="en-US" w:eastAsia="zh-CN"/>
                    </w:rPr>
                    <w:t>43</w:t>
                  </w:r>
                </w:p>
              </w:tc>
              <w:tc>
                <w:tcPr>
                  <w:tcW w:w="694" w:type="pct"/>
                  <w:tcBorders>
                    <w:tl2br w:val="nil"/>
                    <w:tr2bl w:val="nil"/>
                  </w:tcBorders>
                  <w:shd w:val="clear" w:color="auto" w:fill="FFFFFF"/>
                  <w:vAlign w:val="center"/>
                </w:tcPr>
                <w:p w14:paraId="47579EB1">
                  <w:pPr>
                    <w:jc w:val="center"/>
                    <w:rPr>
                      <w:rFonts w:hint="default" w:ascii="Times New Roman" w:hAnsi="Times New Roman" w:eastAsia="宋体" w:cs="Times New Roman"/>
                      <w:color w:val="auto"/>
                      <w:sz w:val="20"/>
                      <w:u w:val="none" w:color="auto"/>
                    </w:rPr>
                  </w:pPr>
                  <w:r>
                    <w:rPr>
                      <w:rFonts w:hint="default" w:ascii="Times New Roman" w:hAnsi="Times New Roman" w:eastAsia="宋体" w:cs="Times New Roman"/>
                      <w:color w:val="auto"/>
                      <w:sz w:val="20"/>
                      <w:u w:val="none" w:color="auto"/>
                    </w:rPr>
                    <w:t>43.18</w:t>
                  </w:r>
                </w:p>
              </w:tc>
              <w:tc>
                <w:tcPr>
                  <w:tcW w:w="551" w:type="pct"/>
                  <w:tcBorders>
                    <w:tl2br w:val="nil"/>
                    <w:tr2bl w:val="nil"/>
                  </w:tcBorders>
                  <w:shd w:val="clear" w:color="auto" w:fill="FFFFFF"/>
                  <w:vAlign w:val="center"/>
                </w:tcPr>
                <w:p w14:paraId="0C70C809">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55</w:t>
                  </w:r>
                </w:p>
              </w:tc>
              <w:tc>
                <w:tcPr>
                  <w:tcW w:w="393" w:type="pct"/>
                  <w:tcBorders>
                    <w:tl2br w:val="nil"/>
                    <w:tr2bl w:val="nil"/>
                  </w:tcBorders>
                  <w:shd w:val="clear" w:color="auto" w:fill="FFFFFF"/>
                  <w:vAlign w:val="center"/>
                </w:tcPr>
                <w:p w14:paraId="7EC7E390">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达标</w:t>
                  </w:r>
                </w:p>
              </w:tc>
            </w:tr>
            <w:tr w14:paraId="5CEFB58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PrEx>
              <w:trPr>
                <w:trHeight w:val="408" w:hRule="exact"/>
                <w:jc w:val="center"/>
              </w:trPr>
              <w:tc>
                <w:tcPr>
                  <w:tcW w:w="300" w:type="pct"/>
                  <w:vMerge w:val="restart"/>
                  <w:tcBorders>
                    <w:tl2br w:val="nil"/>
                    <w:tr2bl w:val="nil"/>
                  </w:tcBorders>
                  <w:shd w:val="clear" w:color="auto" w:fill="FFFFFF"/>
                  <w:vAlign w:val="center"/>
                </w:tcPr>
                <w:p w14:paraId="658B8ADD">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南侧</w:t>
                  </w:r>
                </w:p>
              </w:tc>
              <w:tc>
                <w:tcPr>
                  <w:tcW w:w="458" w:type="pct"/>
                  <w:tcBorders>
                    <w:tl2br w:val="nil"/>
                    <w:tr2bl w:val="nil"/>
                  </w:tcBorders>
                  <w:shd w:val="clear" w:color="auto" w:fill="FFFFFF"/>
                  <w:vAlign w:val="center"/>
                </w:tcPr>
                <w:p w14:paraId="5FBEFFF6">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90.8</w:t>
                  </w:r>
                </w:p>
              </w:tc>
              <w:tc>
                <w:tcPr>
                  <w:tcW w:w="458" w:type="pct"/>
                  <w:tcBorders>
                    <w:tl2br w:val="nil"/>
                    <w:tr2bl w:val="nil"/>
                  </w:tcBorders>
                  <w:shd w:val="clear" w:color="auto" w:fill="FFFFFF"/>
                  <w:vAlign w:val="center"/>
                </w:tcPr>
                <w:p w14:paraId="4CB233E1">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-167.8</w:t>
                  </w:r>
                </w:p>
              </w:tc>
              <w:tc>
                <w:tcPr>
                  <w:tcW w:w="382" w:type="pct"/>
                  <w:tcBorders>
                    <w:tl2br w:val="nil"/>
                    <w:tr2bl w:val="nil"/>
                  </w:tcBorders>
                  <w:shd w:val="clear" w:color="auto" w:fill="FFFFFF"/>
                  <w:vAlign w:val="center"/>
                </w:tcPr>
                <w:p w14:paraId="133D5B0E">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w:t>
                  </w:r>
                </w:p>
              </w:tc>
              <w:tc>
                <w:tcPr>
                  <w:tcW w:w="372" w:type="pct"/>
                  <w:tcBorders>
                    <w:tl2br w:val="nil"/>
                    <w:tr2bl w:val="nil"/>
                  </w:tcBorders>
                  <w:shd w:val="clear" w:color="auto" w:fill="FFFFFF"/>
                  <w:vAlign w:val="center"/>
                </w:tcPr>
                <w:p w14:paraId="3B5BB186">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昼间</w:t>
                  </w:r>
                </w:p>
              </w:tc>
              <w:tc>
                <w:tcPr>
                  <w:tcW w:w="694" w:type="pct"/>
                  <w:tcBorders>
                    <w:tl2br w:val="nil"/>
                    <w:tr2bl w:val="nil"/>
                  </w:tcBorders>
                  <w:shd w:val="clear" w:color="auto" w:fill="FFFFFF"/>
                  <w:vAlign w:val="center"/>
                </w:tcPr>
                <w:p w14:paraId="4E213743">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29.3</w:t>
                  </w:r>
                </w:p>
              </w:tc>
              <w:tc>
                <w:tcPr>
                  <w:tcW w:w="694" w:type="pct"/>
                  <w:tcBorders>
                    <w:tl2br w:val="nil"/>
                    <w:tr2bl w:val="nil"/>
                  </w:tcBorders>
                  <w:shd w:val="clear" w:color="auto" w:fill="FFFFFF"/>
                  <w:vAlign w:val="center"/>
                </w:tcPr>
                <w:p w14:paraId="2AA106BF">
                  <w:pPr>
                    <w:jc w:val="center"/>
                    <w:rPr>
                      <w:rFonts w:hint="default" w:ascii="Times New Roman" w:hAnsi="Times New Roman" w:eastAsia="宋体" w:cs="Times New Roman"/>
                      <w:color w:val="auto"/>
                      <w:sz w:val="20"/>
                      <w:u w:val="none" w:color="auto"/>
                      <w:lang w:val="en-US" w:eastAsia="zh-CN"/>
                    </w:rPr>
                  </w:pPr>
                  <w:r>
                    <w:rPr>
                      <w:rFonts w:hint="default" w:ascii="Times New Roman" w:hAnsi="Times New Roman" w:eastAsia="宋体" w:cs="Times New Roman"/>
                      <w:color w:val="auto"/>
                      <w:sz w:val="20"/>
                      <w:u w:val="none" w:color="auto"/>
                      <w:lang w:val="en-US" w:eastAsia="zh-CN"/>
                    </w:rPr>
                    <w:t>51</w:t>
                  </w:r>
                </w:p>
              </w:tc>
              <w:tc>
                <w:tcPr>
                  <w:tcW w:w="694" w:type="pct"/>
                  <w:tcBorders>
                    <w:tl2br w:val="nil"/>
                    <w:tr2bl w:val="nil"/>
                  </w:tcBorders>
                  <w:shd w:val="clear" w:color="auto" w:fill="FFFFFF"/>
                  <w:vAlign w:val="center"/>
                </w:tcPr>
                <w:p w14:paraId="7BC70497">
                  <w:pPr>
                    <w:jc w:val="center"/>
                    <w:rPr>
                      <w:rFonts w:hint="default" w:ascii="Times New Roman" w:hAnsi="Times New Roman" w:eastAsia="宋体" w:cs="Times New Roman"/>
                      <w:color w:val="auto"/>
                      <w:sz w:val="20"/>
                      <w:u w:val="none" w:color="auto"/>
                    </w:rPr>
                  </w:pPr>
                  <w:r>
                    <w:rPr>
                      <w:rFonts w:hint="default" w:ascii="Times New Roman" w:hAnsi="Times New Roman" w:eastAsia="宋体" w:cs="Times New Roman"/>
                      <w:color w:val="auto"/>
                      <w:sz w:val="20"/>
                      <w:u w:val="none" w:color="auto"/>
                    </w:rPr>
                    <w:t>51.03</w:t>
                  </w:r>
                </w:p>
              </w:tc>
              <w:tc>
                <w:tcPr>
                  <w:tcW w:w="551" w:type="pct"/>
                  <w:tcBorders>
                    <w:tl2br w:val="nil"/>
                    <w:tr2bl w:val="nil"/>
                  </w:tcBorders>
                  <w:shd w:val="clear" w:color="auto" w:fill="FFFFFF"/>
                  <w:vAlign w:val="center"/>
                </w:tcPr>
                <w:p w14:paraId="53F32FAB">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65</w:t>
                  </w:r>
                </w:p>
              </w:tc>
              <w:tc>
                <w:tcPr>
                  <w:tcW w:w="393" w:type="pct"/>
                  <w:tcBorders>
                    <w:tl2br w:val="nil"/>
                    <w:tr2bl w:val="nil"/>
                  </w:tcBorders>
                  <w:shd w:val="clear" w:color="auto" w:fill="FFFFFF"/>
                  <w:vAlign w:val="center"/>
                </w:tcPr>
                <w:p w14:paraId="7E640FA9">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达标</w:t>
                  </w:r>
                </w:p>
              </w:tc>
            </w:tr>
            <w:tr w14:paraId="1F9B1B4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PrEx>
              <w:trPr>
                <w:trHeight w:val="408" w:hRule="exact"/>
                <w:jc w:val="center"/>
              </w:trPr>
              <w:tc>
                <w:tcPr>
                  <w:tcW w:w="300" w:type="pct"/>
                  <w:vMerge w:val="continue"/>
                  <w:tcBorders>
                    <w:tl2br w:val="nil"/>
                    <w:tr2bl w:val="nil"/>
                  </w:tcBorders>
                  <w:shd w:val="clear" w:color="auto" w:fill="FFFFFF"/>
                  <w:vAlign w:val="center"/>
                </w:tcPr>
                <w:p w14:paraId="0988F254">
                  <w:pPr>
                    <w:jc w:val="center"/>
                    <w:rPr>
                      <w:rFonts w:hint="default" w:ascii="Times New Roman" w:hAnsi="Times New Roman" w:eastAsia="宋体" w:cs="Times New Roman"/>
                      <w:color w:val="auto"/>
                      <w:u w:val="none" w:color="auto"/>
                    </w:rPr>
                  </w:pPr>
                </w:p>
              </w:tc>
              <w:tc>
                <w:tcPr>
                  <w:tcW w:w="458" w:type="pct"/>
                  <w:tcBorders>
                    <w:tl2br w:val="nil"/>
                    <w:tr2bl w:val="nil"/>
                  </w:tcBorders>
                  <w:shd w:val="clear" w:color="auto" w:fill="FFFFFF"/>
                  <w:vAlign w:val="center"/>
                </w:tcPr>
                <w:p w14:paraId="5C2C018D">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90.8</w:t>
                  </w:r>
                </w:p>
              </w:tc>
              <w:tc>
                <w:tcPr>
                  <w:tcW w:w="458" w:type="pct"/>
                  <w:tcBorders>
                    <w:tl2br w:val="nil"/>
                    <w:tr2bl w:val="nil"/>
                  </w:tcBorders>
                  <w:shd w:val="clear" w:color="auto" w:fill="FFFFFF"/>
                  <w:vAlign w:val="center"/>
                </w:tcPr>
                <w:p w14:paraId="6970F1DC">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-167.8</w:t>
                  </w:r>
                </w:p>
              </w:tc>
              <w:tc>
                <w:tcPr>
                  <w:tcW w:w="382" w:type="pct"/>
                  <w:tcBorders>
                    <w:tl2br w:val="nil"/>
                    <w:tr2bl w:val="nil"/>
                  </w:tcBorders>
                  <w:shd w:val="clear" w:color="auto" w:fill="FFFFFF"/>
                  <w:vAlign w:val="center"/>
                </w:tcPr>
                <w:p w14:paraId="061DDA01">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w:t>
                  </w:r>
                </w:p>
              </w:tc>
              <w:tc>
                <w:tcPr>
                  <w:tcW w:w="372" w:type="pct"/>
                  <w:tcBorders>
                    <w:tl2br w:val="nil"/>
                    <w:tr2bl w:val="nil"/>
                  </w:tcBorders>
                  <w:shd w:val="clear" w:color="auto" w:fill="FFFFFF"/>
                  <w:vAlign w:val="center"/>
                </w:tcPr>
                <w:p w14:paraId="311BDFBB">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夜间</w:t>
                  </w:r>
                </w:p>
              </w:tc>
              <w:tc>
                <w:tcPr>
                  <w:tcW w:w="694" w:type="pct"/>
                  <w:tcBorders>
                    <w:tl2br w:val="nil"/>
                    <w:tr2bl w:val="nil"/>
                  </w:tcBorders>
                  <w:shd w:val="clear" w:color="auto" w:fill="FFFFFF"/>
                  <w:vAlign w:val="center"/>
                </w:tcPr>
                <w:p w14:paraId="0563C40B">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29.4</w:t>
                  </w:r>
                </w:p>
              </w:tc>
              <w:tc>
                <w:tcPr>
                  <w:tcW w:w="694" w:type="pct"/>
                  <w:tcBorders>
                    <w:tl2br w:val="nil"/>
                    <w:tr2bl w:val="nil"/>
                  </w:tcBorders>
                  <w:shd w:val="clear" w:color="auto" w:fill="FFFFFF"/>
                  <w:vAlign w:val="center"/>
                </w:tcPr>
                <w:p w14:paraId="05428CE5">
                  <w:pPr>
                    <w:jc w:val="center"/>
                    <w:rPr>
                      <w:rFonts w:hint="default" w:ascii="Times New Roman" w:hAnsi="Times New Roman" w:eastAsia="宋体" w:cs="Times New Roman"/>
                      <w:color w:val="auto"/>
                      <w:sz w:val="20"/>
                      <w:u w:val="none" w:color="auto"/>
                      <w:lang w:val="en-US" w:eastAsia="zh-CN"/>
                    </w:rPr>
                  </w:pPr>
                  <w:r>
                    <w:rPr>
                      <w:rFonts w:hint="default" w:ascii="Times New Roman" w:hAnsi="Times New Roman" w:eastAsia="宋体" w:cs="Times New Roman"/>
                      <w:color w:val="auto"/>
                      <w:sz w:val="20"/>
                      <w:u w:val="none" w:color="auto"/>
                      <w:lang w:val="en-US" w:eastAsia="zh-CN"/>
                    </w:rPr>
                    <w:t>41</w:t>
                  </w:r>
                </w:p>
              </w:tc>
              <w:tc>
                <w:tcPr>
                  <w:tcW w:w="694" w:type="pct"/>
                  <w:tcBorders>
                    <w:tl2br w:val="nil"/>
                    <w:tr2bl w:val="nil"/>
                  </w:tcBorders>
                  <w:shd w:val="clear" w:color="auto" w:fill="FFFFFF"/>
                  <w:vAlign w:val="center"/>
                </w:tcPr>
                <w:p w14:paraId="13D1ED7F">
                  <w:pPr>
                    <w:jc w:val="center"/>
                    <w:rPr>
                      <w:rFonts w:hint="default" w:ascii="Times New Roman" w:hAnsi="Times New Roman" w:eastAsia="宋体" w:cs="Times New Roman"/>
                      <w:color w:val="auto"/>
                      <w:sz w:val="20"/>
                      <w:u w:val="none" w:color="auto"/>
                    </w:rPr>
                  </w:pPr>
                  <w:r>
                    <w:rPr>
                      <w:rFonts w:hint="default" w:ascii="Times New Roman" w:hAnsi="Times New Roman" w:eastAsia="宋体" w:cs="Times New Roman"/>
                      <w:color w:val="auto"/>
                      <w:sz w:val="20"/>
                      <w:u w:val="none" w:color="auto"/>
                    </w:rPr>
                    <w:t>41.29</w:t>
                  </w:r>
                </w:p>
              </w:tc>
              <w:tc>
                <w:tcPr>
                  <w:tcW w:w="551" w:type="pct"/>
                  <w:tcBorders>
                    <w:tl2br w:val="nil"/>
                    <w:tr2bl w:val="nil"/>
                  </w:tcBorders>
                  <w:shd w:val="clear" w:color="auto" w:fill="FFFFFF"/>
                  <w:vAlign w:val="center"/>
                </w:tcPr>
                <w:p w14:paraId="70D59144">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55</w:t>
                  </w:r>
                </w:p>
              </w:tc>
              <w:tc>
                <w:tcPr>
                  <w:tcW w:w="393" w:type="pct"/>
                  <w:tcBorders>
                    <w:tl2br w:val="nil"/>
                    <w:tr2bl w:val="nil"/>
                  </w:tcBorders>
                  <w:shd w:val="clear" w:color="auto" w:fill="FFFFFF"/>
                  <w:vAlign w:val="center"/>
                </w:tcPr>
                <w:p w14:paraId="1528AA92">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达标</w:t>
                  </w:r>
                </w:p>
              </w:tc>
            </w:tr>
            <w:tr w14:paraId="76A8637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408" w:hRule="exact"/>
                <w:jc w:val="center"/>
              </w:trPr>
              <w:tc>
                <w:tcPr>
                  <w:tcW w:w="300" w:type="pct"/>
                  <w:vMerge w:val="restart"/>
                  <w:tcBorders>
                    <w:tl2br w:val="nil"/>
                    <w:tr2bl w:val="nil"/>
                  </w:tcBorders>
                  <w:shd w:val="clear" w:color="auto" w:fill="FFFFFF"/>
                  <w:vAlign w:val="center"/>
                </w:tcPr>
                <w:p w14:paraId="470E48DC">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西侧</w:t>
                  </w:r>
                </w:p>
              </w:tc>
              <w:tc>
                <w:tcPr>
                  <w:tcW w:w="458" w:type="pct"/>
                  <w:tcBorders>
                    <w:tl2br w:val="nil"/>
                    <w:tr2bl w:val="nil"/>
                  </w:tcBorders>
                  <w:shd w:val="clear" w:color="auto" w:fill="FFFFFF"/>
                  <w:vAlign w:val="center"/>
                </w:tcPr>
                <w:p w14:paraId="152F16FF">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-274.1</w:t>
                  </w:r>
                </w:p>
              </w:tc>
              <w:tc>
                <w:tcPr>
                  <w:tcW w:w="458" w:type="pct"/>
                  <w:tcBorders>
                    <w:tl2br w:val="nil"/>
                    <w:tr2bl w:val="nil"/>
                  </w:tcBorders>
                  <w:shd w:val="clear" w:color="auto" w:fill="FFFFFF"/>
                  <w:vAlign w:val="center"/>
                </w:tcPr>
                <w:p w14:paraId="54542AE2">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-51.1</w:t>
                  </w:r>
                </w:p>
              </w:tc>
              <w:tc>
                <w:tcPr>
                  <w:tcW w:w="382" w:type="pct"/>
                  <w:tcBorders>
                    <w:tl2br w:val="nil"/>
                    <w:tr2bl w:val="nil"/>
                  </w:tcBorders>
                  <w:shd w:val="clear" w:color="auto" w:fill="FFFFFF"/>
                  <w:vAlign w:val="center"/>
                </w:tcPr>
                <w:p w14:paraId="36B8BD23">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w:t>
                  </w:r>
                </w:p>
              </w:tc>
              <w:tc>
                <w:tcPr>
                  <w:tcW w:w="372" w:type="pct"/>
                  <w:tcBorders>
                    <w:tl2br w:val="nil"/>
                    <w:tr2bl w:val="nil"/>
                  </w:tcBorders>
                  <w:shd w:val="clear" w:color="auto" w:fill="FFFFFF"/>
                  <w:vAlign w:val="center"/>
                </w:tcPr>
                <w:p w14:paraId="48EF8F4A">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昼间</w:t>
                  </w:r>
                </w:p>
              </w:tc>
              <w:tc>
                <w:tcPr>
                  <w:tcW w:w="694" w:type="pct"/>
                  <w:tcBorders>
                    <w:tl2br w:val="nil"/>
                    <w:tr2bl w:val="nil"/>
                  </w:tcBorders>
                  <w:shd w:val="clear" w:color="auto" w:fill="FFFFFF"/>
                  <w:vAlign w:val="center"/>
                </w:tcPr>
                <w:p w14:paraId="2A262421">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18.7</w:t>
                  </w:r>
                </w:p>
              </w:tc>
              <w:tc>
                <w:tcPr>
                  <w:tcW w:w="694" w:type="pct"/>
                  <w:tcBorders>
                    <w:tl2br w:val="nil"/>
                    <w:tr2bl w:val="nil"/>
                  </w:tcBorders>
                  <w:shd w:val="clear" w:color="auto" w:fill="FFFFFF"/>
                  <w:vAlign w:val="center"/>
                </w:tcPr>
                <w:p w14:paraId="09290205">
                  <w:pPr>
                    <w:jc w:val="center"/>
                    <w:rPr>
                      <w:rFonts w:hint="default" w:ascii="Times New Roman" w:hAnsi="Times New Roman" w:eastAsia="宋体" w:cs="Times New Roman"/>
                      <w:color w:val="auto"/>
                      <w:sz w:val="20"/>
                      <w:u w:val="none" w:color="auto"/>
                      <w:lang w:val="en-US" w:eastAsia="zh-CN"/>
                    </w:rPr>
                  </w:pPr>
                  <w:r>
                    <w:rPr>
                      <w:rFonts w:hint="default" w:ascii="Times New Roman" w:hAnsi="Times New Roman" w:eastAsia="宋体" w:cs="Times New Roman"/>
                      <w:color w:val="auto"/>
                      <w:sz w:val="20"/>
                      <w:u w:val="none" w:color="auto"/>
                      <w:lang w:val="en-US" w:eastAsia="zh-CN"/>
                    </w:rPr>
                    <w:t>55</w:t>
                  </w:r>
                </w:p>
              </w:tc>
              <w:tc>
                <w:tcPr>
                  <w:tcW w:w="694" w:type="pct"/>
                  <w:tcBorders>
                    <w:tl2br w:val="nil"/>
                    <w:tr2bl w:val="nil"/>
                  </w:tcBorders>
                  <w:shd w:val="clear" w:color="auto" w:fill="FFFFFF"/>
                  <w:vAlign w:val="center"/>
                </w:tcPr>
                <w:p w14:paraId="179B89F6">
                  <w:pPr>
                    <w:jc w:val="center"/>
                    <w:rPr>
                      <w:rFonts w:hint="default" w:ascii="Times New Roman" w:hAnsi="Times New Roman" w:eastAsia="宋体" w:cs="Times New Roman"/>
                      <w:color w:val="auto"/>
                      <w:sz w:val="20"/>
                      <w:u w:val="none" w:color="auto"/>
                    </w:rPr>
                  </w:pPr>
                  <w:r>
                    <w:rPr>
                      <w:rFonts w:hint="default" w:ascii="Times New Roman" w:hAnsi="Times New Roman" w:eastAsia="宋体" w:cs="Times New Roman"/>
                      <w:color w:val="auto"/>
                      <w:sz w:val="20"/>
                      <w:u w:val="none" w:color="auto"/>
                    </w:rPr>
                    <w:t>55</w:t>
                  </w:r>
                </w:p>
              </w:tc>
              <w:tc>
                <w:tcPr>
                  <w:tcW w:w="551" w:type="pct"/>
                  <w:tcBorders>
                    <w:tl2br w:val="nil"/>
                    <w:tr2bl w:val="nil"/>
                  </w:tcBorders>
                  <w:shd w:val="clear" w:color="auto" w:fill="FFFFFF"/>
                  <w:vAlign w:val="center"/>
                </w:tcPr>
                <w:p w14:paraId="2999990A">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65</w:t>
                  </w:r>
                </w:p>
              </w:tc>
              <w:tc>
                <w:tcPr>
                  <w:tcW w:w="393" w:type="pct"/>
                  <w:tcBorders>
                    <w:tl2br w:val="nil"/>
                    <w:tr2bl w:val="nil"/>
                  </w:tcBorders>
                  <w:shd w:val="clear" w:color="auto" w:fill="FFFFFF"/>
                  <w:vAlign w:val="center"/>
                </w:tcPr>
                <w:p w14:paraId="2D92BCC5">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达标</w:t>
                  </w:r>
                </w:p>
              </w:tc>
            </w:tr>
            <w:tr w14:paraId="529F9F9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408" w:hRule="exact"/>
                <w:jc w:val="center"/>
              </w:trPr>
              <w:tc>
                <w:tcPr>
                  <w:tcW w:w="300" w:type="pct"/>
                  <w:vMerge w:val="continue"/>
                  <w:tcBorders>
                    <w:tl2br w:val="nil"/>
                    <w:tr2bl w:val="nil"/>
                  </w:tcBorders>
                  <w:shd w:val="clear" w:color="auto" w:fill="FFFFFF"/>
                  <w:vAlign w:val="center"/>
                </w:tcPr>
                <w:p w14:paraId="6DC84C7B">
                  <w:pPr>
                    <w:jc w:val="center"/>
                    <w:rPr>
                      <w:rFonts w:hint="default" w:ascii="Times New Roman" w:hAnsi="Times New Roman" w:eastAsia="宋体" w:cs="Times New Roman"/>
                      <w:color w:val="auto"/>
                      <w:u w:val="none" w:color="auto"/>
                    </w:rPr>
                  </w:pPr>
                </w:p>
              </w:tc>
              <w:tc>
                <w:tcPr>
                  <w:tcW w:w="458" w:type="pct"/>
                  <w:tcBorders>
                    <w:tl2br w:val="nil"/>
                    <w:tr2bl w:val="nil"/>
                  </w:tcBorders>
                  <w:shd w:val="clear" w:color="auto" w:fill="FFFFFF"/>
                  <w:vAlign w:val="center"/>
                </w:tcPr>
                <w:p w14:paraId="3EF33C92">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-274.1</w:t>
                  </w:r>
                </w:p>
              </w:tc>
              <w:tc>
                <w:tcPr>
                  <w:tcW w:w="458" w:type="pct"/>
                  <w:tcBorders>
                    <w:tl2br w:val="nil"/>
                    <w:tr2bl w:val="nil"/>
                  </w:tcBorders>
                  <w:shd w:val="clear" w:color="auto" w:fill="FFFFFF"/>
                  <w:vAlign w:val="center"/>
                </w:tcPr>
                <w:p w14:paraId="6760C302">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-51.1</w:t>
                  </w:r>
                </w:p>
              </w:tc>
              <w:tc>
                <w:tcPr>
                  <w:tcW w:w="382" w:type="pct"/>
                  <w:tcBorders>
                    <w:tl2br w:val="nil"/>
                    <w:tr2bl w:val="nil"/>
                  </w:tcBorders>
                  <w:shd w:val="clear" w:color="auto" w:fill="FFFFFF"/>
                  <w:vAlign w:val="center"/>
                </w:tcPr>
                <w:p w14:paraId="196880DF">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w:t>
                  </w:r>
                </w:p>
              </w:tc>
              <w:tc>
                <w:tcPr>
                  <w:tcW w:w="372" w:type="pct"/>
                  <w:tcBorders>
                    <w:tl2br w:val="nil"/>
                    <w:tr2bl w:val="nil"/>
                  </w:tcBorders>
                  <w:shd w:val="clear" w:color="auto" w:fill="FFFFFF"/>
                  <w:vAlign w:val="center"/>
                </w:tcPr>
                <w:p w14:paraId="72C2B267">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夜间</w:t>
                  </w:r>
                </w:p>
              </w:tc>
              <w:tc>
                <w:tcPr>
                  <w:tcW w:w="694" w:type="pct"/>
                  <w:tcBorders>
                    <w:tl2br w:val="nil"/>
                    <w:tr2bl w:val="nil"/>
                  </w:tcBorders>
                  <w:shd w:val="clear" w:color="auto" w:fill="FFFFFF"/>
                  <w:vAlign w:val="center"/>
                </w:tcPr>
                <w:p w14:paraId="6A630573">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21.8</w:t>
                  </w:r>
                </w:p>
              </w:tc>
              <w:tc>
                <w:tcPr>
                  <w:tcW w:w="694" w:type="pct"/>
                  <w:tcBorders>
                    <w:tl2br w:val="nil"/>
                    <w:tr2bl w:val="nil"/>
                  </w:tcBorders>
                  <w:shd w:val="clear" w:color="auto" w:fill="FFFFFF"/>
                  <w:vAlign w:val="center"/>
                </w:tcPr>
                <w:p w14:paraId="0114E244">
                  <w:pPr>
                    <w:jc w:val="center"/>
                    <w:rPr>
                      <w:rFonts w:hint="default" w:ascii="Times New Roman" w:hAnsi="Times New Roman" w:eastAsia="宋体" w:cs="Times New Roman"/>
                      <w:color w:val="auto"/>
                      <w:sz w:val="20"/>
                      <w:u w:val="none" w:color="auto"/>
                      <w:lang w:val="en-US" w:eastAsia="zh-CN"/>
                    </w:rPr>
                  </w:pPr>
                  <w:r>
                    <w:rPr>
                      <w:rFonts w:hint="default" w:ascii="Times New Roman" w:hAnsi="Times New Roman" w:eastAsia="宋体" w:cs="Times New Roman"/>
                      <w:color w:val="auto"/>
                      <w:sz w:val="20"/>
                      <w:u w:val="none" w:color="auto"/>
                      <w:lang w:val="en-US" w:eastAsia="zh-CN"/>
                    </w:rPr>
                    <w:t>43</w:t>
                  </w:r>
                </w:p>
              </w:tc>
              <w:tc>
                <w:tcPr>
                  <w:tcW w:w="694" w:type="pct"/>
                  <w:tcBorders>
                    <w:tl2br w:val="nil"/>
                    <w:tr2bl w:val="nil"/>
                  </w:tcBorders>
                  <w:shd w:val="clear" w:color="auto" w:fill="FFFFFF"/>
                  <w:vAlign w:val="center"/>
                </w:tcPr>
                <w:p w14:paraId="6B455E69">
                  <w:pPr>
                    <w:jc w:val="center"/>
                    <w:rPr>
                      <w:rFonts w:hint="default" w:ascii="Times New Roman" w:hAnsi="Times New Roman" w:eastAsia="宋体" w:cs="Times New Roman"/>
                      <w:color w:val="auto"/>
                      <w:sz w:val="20"/>
                      <w:u w:val="none" w:color="auto"/>
                    </w:rPr>
                  </w:pPr>
                  <w:r>
                    <w:rPr>
                      <w:rFonts w:hint="default" w:ascii="Times New Roman" w:hAnsi="Times New Roman" w:eastAsia="宋体" w:cs="Times New Roman"/>
                      <w:color w:val="auto"/>
                      <w:sz w:val="20"/>
                      <w:u w:val="none" w:color="auto"/>
                    </w:rPr>
                    <w:t>43.03</w:t>
                  </w:r>
                </w:p>
              </w:tc>
              <w:tc>
                <w:tcPr>
                  <w:tcW w:w="551" w:type="pct"/>
                  <w:tcBorders>
                    <w:tl2br w:val="nil"/>
                    <w:tr2bl w:val="nil"/>
                  </w:tcBorders>
                  <w:shd w:val="clear" w:color="auto" w:fill="FFFFFF"/>
                  <w:vAlign w:val="center"/>
                </w:tcPr>
                <w:p w14:paraId="06B890CA">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55</w:t>
                  </w:r>
                </w:p>
              </w:tc>
              <w:tc>
                <w:tcPr>
                  <w:tcW w:w="393" w:type="pct"/>
                  <w:tcBorders>
                    <w:tl2br w:val="nil"/>
                    <w:tr2bl w:val="nil"/>
                  </w:tcBorders>
                  <w:shd w:val="clear" w:color="auto" w:fill="FFFFFF"/>
                  <w:vAlign w:val="center"/>
                </w:tcPr>
                <w:p w14:paraId="62BE82E9">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达标</w:t>
                  </w:r>
                </w:p>
              </w:tc>
            </w:tr>
            <w:tr w14:paraId="29F7725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408" w:hRule="exact"/>
                <w:jc w:val="center"/>
              </w:trPr>
              <w:tc>
                <w:tcPr>
                  <w:tcW w:w="300" w:type="pct"/>
                  <w:vMerge w:val="restart"/>
                  <w:tcBorders>
                    <w:tl2br w:val="nil"/>
                    <w:tr2bl w:val="nil"/>
                  </w:tcBorders>
                  <w:shd w:val="clear" w:color="auto" w:fill="FFFFFF"/>
                  <w:vAlign w:val="center"/>
                </w:tcPr>
                <w:p w14:paraId="236BD799">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北侧</w:t>
                  </w:r>
                </w:p>
              </w:tc>
              <w:tc>
                <w:tcPr>
                  <w:tcW w:w="458" w:type="pct"/>
                  <w:tcBorders>
                    <w:tl2br w:val="nil"/>
                    <w:tr2bl w:val="nil"/>
                  </w:tcBorders>
                  <w:shd w:val="clear" w:color="auto" w:fill="FFFFFF"/>
                  <w:vAlign w:val="center"/>
                </w:tcPr>
                <w:p w14:paraId="77282578">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-251.7</w:t>
                  </w:r>
                </w:p>
              </w:tc>
              <w:tc>
                <w:tcPr>
                  <w:tcW w:w="458" w:type="pct"/>
                  <w:tcBorders>
                    <w:tl2br w:val="nil"/>
                    <w:tr2bl w:val="nil"/>
                  </w:tcBorders>
                  <w:shd w:val="clear" w:color="auto" w:fill="FFFFFF"/>
                  <w:vAlign w:val="center"/>
                </w:tcPr>
                <w:p w14:paraId="5C017683">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-18.2</w:t>
                  </w:r>
                </w:p>
              </w:tc>
              <w:tc>
                <w:tcPr>
                  <w:tcW w:w="382" w:type="pct"/>
                  <w:tcBorders>
                    <w:tl2br w:val="nil"/>
                    <w:tr2bl w:val="nil"/>
                  </w:tcBorders>
                  <w:shd w:val="clear" w:color="auto" w:fill="FFFFFF"/>
                  <w:vAlign w:val="center"/>
                </w:tcPr>
                <w:p w14:paraId="11BBC713">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w:t>
                  </w:r>
                </w:p>
              </w:tc>
              <w:tc>
                <w:tcPr>
                  <w:tcW w:w="372" w:type="pct"/>
                  <w:tcBorders>
                    <w:tl2br w:val="nil"/>
                    <w:tr2bl w:val="nil"/>
                  </w:tcBorders>
                  <w:shd w:val="clear" w:color="auto" w:fill="FFFFFF"/>
                  <w:vAlign w:val="center"/>
                </w:tcPr>
                <w:p w14:paraId="27E9F3DE">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昼间</w:t>
                  </w:r>
                </w:p>
              </w:tc>
              <w:tc>
                <w:tcPr>
                  <w:tcW w:w="694" w:type="pct"/>
                  <w:tcBorders>
                    <w:tl2br w:val="nil"/>
                    <w:tr2bl w:val="nil"/>
                  </w:tcBorders>
                  <w:shd w:val="clear" w:color="auto" w:fill="FFFFFF"/>
                  <w:vAlign w:val="center"/>
                </w:tcPr>
                <w:p w14:paraId="74D6BCE1">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17.3</w:t>
                  </w:r>
                </w:p>
              </w:tc>
              <w:tc>
                <w:tcPr>
                  <w:tcW w:w="694" w:type="pct"/>
                  <w:tcBorders>
                    <w:tl2br w:val="nil"/>
                    <w:tr2bl w:val="nil"/>
                  </w:tcBorders>
                  <w:shd w:val="clear" w:color="auto" w:fill="FFFFFF"/>
                  <w:vAlign w:val="center"/>
                </w:tcPr>
                <w:p w14:paraId="7440DEA2">
                  <w:pPr>
                    <w:jc w:val="center"/>
                    <w:rPr>
                      <w:rFonts w:hint="default" w:ascii="Times New Roman" w:hAnsi="Times New Roman" w:eastAsia="宋体" w:cs="Times New Roman"/>
                      <w:color w:val="auto"/>
                      <w:sz w:val="20"/>
                      <w:u w:val="none" w:color="auto"/>
                      <w:lang w:val="en-US" w:eastAsia="zh-CN"/>
                    </w:rPr>
                  </w:pPr>
                  <w:r>
                    <w:rPr>
                      <w:rFonts w:hint="default" w:ascii="Times New Roman" w:hAnsi="Times New Roman" w:eastAsia="宋体" w:cs="Times New Roman"/>
                      <w:color w:val="auto"/>
                      <w:sz w:val="20"/>
                      <w:u w:val="none" w:color="auto"/>
                      <w:lang w:val="en-US" w:eastAsia="zh-CN"/>
                    </w:rPr>
                    <w:t>53</w:t>
                  </w:r>
                </w:p>
              </w:tc>
              <w:tc>
                <w:tcPr>
                  <w:tcW w:w="694" w:type="pct"/>
                  <w:tcBorders>
                    <w:tl2br w:val="nil"/>
                    <w:tr2bl w:val="nil"/>
                  </w:tcBorders>
                  <w:shd w:val="clear" w:color="auto" w:fill="FFFFFF"/>
                  <w:vAlign w:val="center"/>
                </w:tcPr>
                <w:p w14:paraId="3CB2F742">
                  <w:pPr>
                    <w:jc w:val="center"/>
                    <w:rPr>
                      <w:rFonts w:hint="default" w:ascii="Times New Roman" w:hAnsi="Times New Roman" w:eastAsia="宋体" w:cs="Times New Roman"/>
                      <w:color w:val="auto"/>
                      <w:sz w:val="20"/>
                      <w:u w:val="none" w:color="auto"/>
                    </w:rPr>
                  </w:pPr>
                  <w:r>
                    <w:rPr>
                      <w:rFonts w:hint="default" w:ascii="Times New Roman" w:hAnsi="Times New Roman" w:eastAsia="宋体" w:cs="Times New Roman"/>
                      <w:color w:val="auto"/>
                      <w:sz w:val="20"/>
                      <w:u w:val="none" w:color="auto"/>
                    </w:rPr>
                    <w:t>53</w:t>
                  </w:r>
                </w:p>
              </w:tc>
              <w:tc>
                <w:tcPr>
                  <w:tcW w:w="551" w:type="pct"/>
                  <w:tcBorders>
                    <w:tl2br w:val="nil"/>
                    <w:tr2bl w:val="nil"/>
                  </w:tcBorders>
                  <w:shd w:val="clear" w:color="auto" w:fill="FFFFFF"/>
                  <w:vAlign w:val="center"/>
                </w:tcPr>
                <w:p w14:paraId="09E694E1">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65</w:t>
                  </w:r>
                </w:p>
              </w:tc>
              <w:tc>
                <w:tcPr>
                  <w:tcW w:w="393" w:type="pct"/>
                  <w:tcBorders>
                    <w:tl2br w:val="nil"/>
                    <w:tr2bl w:val="nil"/>
                  </w:tcBorders>
                  <w:shd w:val="clear" w:color="auto" w:fill="FFFFFF"/>
                  <w:vAlign w:val="center"/>
                </w:tcPr>
                <w:p w14:paraId="7A7E7B1D">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达标</w:t>
                  </w:r>
                </w:p>
              </w:tc>
            </w:tr>
            <w:tr w14:paraId="6B3E637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408" w:hRule="exact"/>
                <w:jc w:val="center"/>
              </w:trPr>
              <w:tc>
                <w:tcPr>
                  <w:tcW w:w="300" w:type="pct"/>
                  <w:vMerge w:val="continue"/>
                  <w:tcBorders>
                    <w:tl2br w:val="nil"/>
                    <w:tr2bl w:val="nil"/>
                  </w:tcBorders>
                  <w:shd w:val="clear" w:color="auto" w:fill="FFFFFF"/>
                  <w:vAlign w:val="center"/>
                </w:tcPr>
                <w:p w14:paraId="02772F43">
                  <w:pPr>
                    <w:jc w:val="center"/>
                    <w:rPr>
                      <w:rFonts w:hint="default" w:ascii="Times New Roman" w:hAnsi="Times New Roman" w:eastAsia="宋体" w:cs="Times New Roman"/>
                      <w:color w:val="auto"/>
                      <w:u w:val="none" w:color="auto"/>
                    </w:rPr>
                  </w:pPr>
                </w:p>
              </w:tc>
              <w:tc>
                <w:tcPr>
                  <w:tcW w:w="458" w:type="pct"/>
                  <w:tcBorders>
                    <w:tl2br w:val="nil"/>
                    <w:tr2bl w:val="nil"/>
                  </w:tcBorders>
                  <w:shd w:val="clear" w:color="auto" w:fill="FFFFFF"/>
                  <w:vAlign w:val="center"/>
                </w:tcPr>
                <w:p w14:paraId="429D10E8">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-251.7</w:t>
                  </w:r>
                </w:p>
              </w:tc>
              <w:tc>
                <w:tcPr>
                  <w:tcW w:w="458" w:type="pct"/>
                  <w:tcBorders>
                    <w:tl2br w:val="nil"/>
                    <w:tr2bl w:val="nil"/>
                  </w:tcBorders>
                  <w:shd w:val="clear" w:color="auto" w:fill="FFFFFF"/>
                  <w:vAlign w:val="center"/>
                </w:tcPr>
                <w:p w14:paraId="760F21F5">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-18.2</w:t>
                  </w:r>
                </w:p>
              </w:tc>
              <w:tc>
                <w:tcPr>
                  <w:tcW w:w="382" w:type="pct"/>
                  <w:tcBorders>
                    <w:tl2br w:val="nil"/>
                    <w:tr2bl w:val="nil"/>
                  </w:tcBorders>
                  <w:shd w:val="clear" w:color="auto" w:fill="FFFFFF"/>
                  <w:vAlign w:val="center"/>
                </w:tcPr>
                <w:p w14:paraId="6F4FA518">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w:t>
                  </w:r>
                </w:p>
              </w:tc>
              <w:tc>
                <w:tcPr>
                  <w:tcW w:w="372" w:type="pct"/>
                  <w:tcBorders>
                    <w:tl2br w:val="nil"/>
                    <w:tr2bl w:val="nil"/>
                  </w:tcBorders>
                  <w:shd w:val="clear" w:color="auto" w:fill="FFFFFF"/>
                  <w:vAlign w:val="center"/>
                </w:tcPr>
                <w:p w14:paraId="58F17E48">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夜间</w:t>
                  </w:r>
                </w:p>
              </w:tc>
              <w:tc>
                <w:tcPr>
                  <w:tcW w:w="694" w:type="pct"/>
                  <w:tcBorders>
                    <w:tl2br w:val="nil"/>
                    <w:tr2bl w:val="nil"/>
                  </w:tcBorders>
                  <w:shd w:val="clear" w:color="auto" w:fill="FFFFFF"/>
                  <w:vAlign w:val="center"/>
                </w:tcPr>
                <w:p w14:paraId="6BA40DF9">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20.2</w:t>
                  </w:r>
                </w:p>
              </w:tc>
              <w:tc>
                <w:tcPr>
                  <w:tcW w:w="694" w:type="pct"/>
                  <w:tcBorders>
                    <w:tl2br w:val="nil"/>
                    <w:tr2bl w:val="nil"/>
                  </w:tcBorders>
                  <w:shd w:val="clear" w:color="auto" w:fill="FFFFFF"/>
                  <w:vAlign w:val="center"/>
                </w:tcPr>
                <w:p w14:paraId="5AB7962C">
                  <w:pPr>
                    <w:jc w:val="center"/>
                    <w:rPr>
                      <w:rFonts w:hint="default" w:ascii="Times New Roman" w:hAnsi="Times New Roman" w:eastAsia="宋体" w:cs="Times New Roman"/>
                      <w:color w:val="auto"/>
                      <w:sz w:val="20"/>
                      <w:u w:val="none" w:color="auto"/>
                      <w:lang w:val="en-US" w:eastAsia="zh-CN"/>
                    </w:rPr>
                  </w:pPr>
                  <w:r>
                    <w:rPr>
                      <w:rFonts w:hint="default" w:ascii="Times New Roman" w:hAnsi="Times New Roman" w:eastAsia="宋体" w:cs="Times New Roman"/>
                      <w:color w:val="auto"/>
                      <w:sz w:val="20"/>
                      <w:u w:val="none" w:color="auto"/>
                      <w:lang w:val="en-US" w:eastAsia="zh-CN"/>
                    </w:rPr>
                    <w:t>41</w:t>
                  </w:r>
                </w:p>
              </w:tc>
              <w:tc>
                <w:tcPr>
                  <w:tcW w:w="694" w:type="pct"/>
                  <w:tcBorders>
                    <w:tl2br w:val="nil"/>
                    <w:tr2bl w:val="nil"/>
                  </w:tcBorders>
                  <w:shd w:val="clear" w:color="auto" w:fill="FFFFFF"/>
                  <w:vAlign w:val="center"/>
                </w:tcPr>
                <w:p w14:paraId="22CDBCF7">
                  <w:pPr>
                    <w:jc w:val="center"/>
                    <w:rPr>
                      <w:rFonts w:hint="default" w:ascii="Times New Roman" w:hAnsi="Times New Roman" w:eastAsia="宋体" w:cs="Times New Roman"/>
                      <w:color w:val="auto"/>
                      <w:sz w:val="20"/>
                      <w:u w:val="none" w:color="auto"/>
                    </w:rPr>
                  </w:pPr>
                  <w:r>
                    <w:rPr>
                      <w:rFonts w:hint="default" w:ascii="Times New Roman" w:hAnsi="Times New Roman" w:eastAsia="宋体" w:cs="Times New Roman"/>
                      <w:color w:val="auto"/>
                      <w:sz w:val="20"/>
                      <w:u w:val="none" w:color="auto"/>
                    </w:rPr>
                    <w:t>41.04</w:t>
                  </w:r>
                </w:p>
              </w:tc>
              <w:tc>
                <w:tcPr>
                  <w:tcW w:w="551" w:type="pct"/>
                  <w:tcBorders>
                    <w:tl2br w:val="nil"/>
                    <w:tr2bl w:val="nil"/>
                  </w:tcBorders>
                  <w:shd w:val="clear" w:color="auto" w:fill="FFFFFF"/>
                  <w:vAlign w:val="center"/>
                </w:tcPr>
                <w:p w14:paraId="51508905">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55</w:t>
                  </w:r>
                </w:p>
              </w:tc>
              <w:tc>
                <w:tcPr>
                  <w:tcW w:w="393" w:type="pct"/>
                  <w:tcBorders>
                    <w:tl2br w:val="nil"/>
                    <w:tr2bl w:val="nil"/>
                  </w:tcBorders>
                  <w:shd w:val="clear" w:color="auto" w:fill="FFFFFF"/>
                  <w:vAlign w:val="center"/>
                </w:tcPr>
                <w:p w14:paraId="1DCF3A17">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达标</w:t>
                  </w:r>
                </w:p>
              </w:tc>
            </w:tr>
          </w:tbl>
          <w:p w14:paraId="5438B6D2">
            <w:pPr>
              <w:rPr>
                <w:rFonts w:hint="default" w:ascii="Times New Roman" w:hAnsi="Times New Roman" w:eastAsia="宋体" w:cs="Times New Roman"/>
                <w:b/>
                <w:bCs/>
                <w:color w:val="auto"/>
                <w:u w:val="none" w:color="auto"/>
                <w:lang w:val="en-US" w:eastAsia="zh-CN"/>
              </w:rPr>
            </w:pPr>
            <w:r>
              <w:rPr>
                <w:rFonts w:hint="default" w:ascii="Times New Roman" w:hAnsi="Times New Roman" w:eastAsia="宋体" w:cs="Times New Roman"/>
                <w:b/>
                <w:bCs/>
                <w:color w:val="auto"/>
                <w:u w:val="none" w:color="auto"/>
                <w:lang w:val="en-US" w:eastAsia="zh-CN"/>
              </w:rPr>
              <w:t>注：本次引用2024年11月18日企业厂界例行监测数据，具体详见附件5-2。</w:t>
            </w:r>
          </w:p>
          <w:p w14:paraId="548F6B0C">
            <w:pPr>
              <w:adjustRightInd w:val="0"/>
              <w:snapToGrid w:val="0"/>
              <w:spacing w:line="360" w:lineRule="auto"/>
              <w:rPr>
                <w:rFonts w:hint="default" w:ascii="Times New Roman" w:hAnsi="Times New Roman" w:eastAsia="宋体" w:cs="Times New Roman"/>
                <w:color w:val="auto"/>
                <w:spacing w:val="0"/>
                <w:kern w:val="0"/>
                <w:sz w:val="24"/>
                <w:highlight w:val="none"/>
                <w:u w:val="none" w:color="auto"/>
                <w:lang w:val="en-US" w:eastAsia="zh-CN"/>
              </w:rPr>
            </w:pPr>
            <w:r>
              <w:rPr>
                <w:rFonts w:hint="default" w:ascii="Times New Roman" w:hAnsi="Times New Roman" w:eastAsia="宋体" w:cs="Times New Roman"/>
                <w:color w:val="auto"/>
                <w:spacing w:val="0"/>
                <w:kern w:val="0"/>
                <w:sz w:val="24"/>
                <w:highlight w:val="none"/>
                <w:u w:val="none" w:color="auto"/>
                <w:lang w:val="en-US" w:eastAsia="zh-CN"/>
              </w:rPr>
              <w:drawing>
                <wp:inline distT="0" distB="0" distL="114300" distR="114300">
                  <wp:extent cx="5034915" cy="4489450"/>
                  <wp:effectExtent l="0" t="0" r="13335" b="6350"/>
                  <wp:docPr id="26" name="图片 26" descr="中创空天厂区-夜间等声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中创空天厂区-夜间等声线"/>
                          <pic:cNvPicPr>
                            <a:picLocks noChangeAspect="1"/>
                          </pic:cNvPicPr>
                        </pic:nvPicPr>
                        <pic:blipFill>
                          <a:blip r:embed="rId51"/>
                          <a:stretch>
                            <a:fillRect/>
                          </a:stretch>
                        </pic:blipFill>
                        <pic:spPr>
                          <a:xfrm>
                            <a:off x="0" y="0"/>
                            <a:ext cx="5034915" cy="4489450"/>
                          </a:xfrm>
                          <a:prstGeom prst="rect">
                            <a:avLst/>
                          </a:prstGeom>
                        </pic:spPr>
                      </pic:pic>
                    </a:graphicData>
                  </a:graphic>
                </wp:inline>
              </w:drawing>
            </w:r>
          </w:p>
          <w:p w14:paraId="02F01C58">
            <w:pPr>
              <w:jc w:val="center"/>
              <w:rPr>
                <w:rFonts w:hint="default" w:ascii="Times New Roman" w:hAnsi="Times New Roman" w:eastAsia="宋体" w:cs="Times New Roman"/>
                <w:b/>
                <w:bCs/>
                <w:color w:val="auto"/>
                <w:u w:val="none" w:color="auto"/>
                <w:lang w:val="en-US" w:eastAsia="zh-CN"/>
              </w:rPr>
            </w:pPr>
            <w:r>
              <w:rPr>
                <w:rFonts w:hint="default" w:ascii="Times New Roman" w:hAnsi="Times New Roman" w:eastAsia="宋体" w:cs="Times New Roman"/>
                <w:b/>
                <w:bCs/>
                <w:color w:val="auto"/>
                <w:u w:val="none" w:color="auto"/>
                <w:lang w:val="en-US" w:eastAsia="zh-CN"/>
              </w:rPr>
              <w:t>图4-3  中创空天厂区昼间、夜间预测等声线图</w:t>
            </w:r>
          </w:p>
          <w:p w14:paraId="6A153462">
            <w:pPr>
              <w:adjustRightInd w:val="0"/>
              <w:snapToGrid w:val="0"/>
              <w:spacing w:line="360" w:lineRule="auto"/>
              <w:ind w:firstLine="480" w:firstLineChars="200"/>
              <w:rPr>
                <w:rFonts w:hint="default" w:ascii="Times New Roman" w:hAnsi="Times New Roman" w:eastAsia="宋体" w:cs="Times New Roman"/>
                <w:color w:val="auto"/>
                <w:sz w:val="24"/>
                <w:szCs w:val="24"/>
                <w:highlight w:val="none"/>
                <w:u w:val="none" w:color="auto"/>
                <w:lang w:val="en-US" w:eastAsia="zh-CN"/>
              </w:rPr>
            </w:pPr>
            <w:r>
              <w:rPr>
                <w:rFonts w:hint="default" w:ascii="Times New Roman" w:hAnsi="Times New Roman" w:eastAsia="宋体" w:cs="Times New Roman"/>
                <w:color w:val="auto"/>
                <w:sz w:val="24"/>
                <w:szCs w:val="24"/>
                <w:highlight w:val="none"/>
                <w:u w:val="none" w:color="auto"/>
                <w:lang w:eastAsia="zh-CN"/>
              </w:rPr>
              <w:t>（</w:t>
            </w:r>
            <w:r>
              <w:rPr>
                <w:rFonts w:hint="default" w:ascii="Times New Roman" w:hAnsi="Times New Roman" w:eastAsia="宋体" w:cs="Times New Roman"/>
                <w:color w:val="auto"/>
                <w:sz w:val="24"/>
                <w:szCs w:val="24"/>
                <w:highlight w:val="none"/>
                <w:u w:val="none" w:color="auto"/>
                <w:lang w:val="en-US" w:eastAsia="zh-CN"/>
              </w:rPr>
              <w:t>2</w:t>
            </w:r>
            <w:r>
              <w:rPr>
                <w:rFonts w:hint="default" w:ascii="Times New Roman" w:hAnsi="Times New Roman" w:eastAsia="宋体" w:cs="Times New Roman"/>
                <w:color w:val="auto"/>
                <w:sz w:val="24"/>
                <w:szCs w:val="24"/>
                <w:highlight w:val="none"/>
                <w:u w:val="none" w:color="auto"/>
                <w:lang w:eastAsia="zh-CN"/>
              </w:rPr>
              <w:t>）</w:t>
            </w:r>
            <w:r>
              <w:rPr>
                <w:rFonts w:hint="default" w:ascii="Times New Roman" w:hAnsi="Times New Roman" w:eastAsia="宋体" w:cs="Times New Roman"/>
                <w:color w:val="auto"/>
                <w:sz w:val="24"/>
                <w:szCs w:val="24"/>
                <w:highlight w:val="none"/>
                <w:u w:val="none" w:color="auto"/>
                <w:lang w:val="en-US" w:eastAsia="zh-CN"/>
              </w:rPr>
              <w:t>临港高新产业园区</w:t>
            </w:r>
          </w:p>
          <w:p w14:paraId="7B6D377A">
            <w:pPr>
              <w:adjustRightInd w:val="0"/>
              <w:snapToGrid w:val="0"/>
              <w:spacing w:line="360" w:lineRule="auto"/>
              <w:ind w:firstLine="480" w:firstLineChars="200"/>
              <w:rPr>
                <w:rFonts w:hint="default" w:ascii="Times New Roman" w:hAnsi="Times New Roman" w:eastAsia="宋体" w:cs="Times New Roman"/>
                <w:b/>
                <w:bCs/>
                <w:color w:val="auto"/>
                <w:spacing w:val="0"/>
                <w:kern w:val="0"/>
                <w:sz w:val="24"/>
                <w:u w:val="none" w:color="auto"/>
              </w:rPr>
            </w:pPr>
            <w:r>
              <w:rPr>
                <w:rFonts w:hint="default" w:ascii="Times New Roman" w:hAnsi="Times New Roman" w:eastAsia="宋体" w:cs="Times New Roman"/>
                <w:b w:val="0"/>
                <w:bCs/>
                <w:color w:val="auto"/>
                <w:spacing w:val="0"/>
                <w:sz w:val="24"/>
                <w:szCs w:val="24"/>
                <w:highlight w:val="none"/>
                <w:u w:val="none" w:color="auto"/>
                <w:lang w:val="en-US" w:eastAsia="zh-CN"/>
              </w:rPr>
              <w:t>本次临港高新产业园区厂区属于新建厂区，且4栋厂房彼此相邻，因此厂界概化为4栋厂房外边界作为厂界，故本次评价按贡献值进行预测分析，夜间不生产，仅对昼间开展预测。通过预测模型计算，项目厂界噪声预测结果与达标性分析如下：</w:t>
            </w:r>
          </w:p>
          <w:p w14:paraId="44ADFA92">
            <w:pPr>
              <w:jc w:val="center"/>
              <w:rPr>
                <w:rFonts w:hint="default" w:ascii="Times New Roman" w:hAnsi="Times New Roman" w:eastAsia="宋体" w:cs="Times New Roman"/>
                <w:b/>
                <w:bCs/>
                <w:color w:val="auto"/>
                <w:u w:val="none" w:color="auto"/>
                <w:lang w:val="en-US" w:eastAsia="zh-CN"/>
              </w:rPr>
            </w:pPr>
            <w:r>
              <w:rPr>
                <w:rFonts w:hint="default" w:ascii="Times New Roman" w:hAnsi="Times New Roman" w:eastAsia="宋体" w:cs="Times New Roman"/>
                <w:b/>
                <w:bCs/>
                <w:color w:val="auto"/>
                <w:u w:val="none" w:color="auto"/>
                <w:lang w:val="en-US" w:eastAsia="zh-CN"/>
              </w:rPr>
              <w:t>表4-36  厂界噪声预测结果与达标分析表</w:t>
            </w:r>
          </w:p>
          <w:tbl>
            <w:tblPr>
              <w:tblStyle w:val="31"/>
              <w:tblW w:w="0" w:type="auto"/>
              <w:tblInd w:w="-1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099"/>
              <w:gridCol w:w="803"/>
              <w:gridCol w:w="803"/>
              <w:gridCol w:w="802"/>
              <w:gridCol w:w="992"/>
              <w:gridCol w:w="1416"/>
              <w:gridCol w:w="1417"/>
              <w:gridCol w:w="1186"/>
            </w:tblGrid>
            <w:tr w14:paraId="4F09C26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90" w:hRule="exact"/>
              </w:trPr>
              <w:tc>
                <w:tcPr>
                  <w:tcW w:w="1101" w:type="dxa"/>
                  <w:vMerge w:val="restart"/>
                  <w:tcBorders>
                    <w:tl2br w:val="nil"/>
                    <w:tr2bl w:val="nil"/>
                  </w:tcBorders>
                  <w:vAlign w:val="center"/>
                </w:tcPr>
                <w:p w14:paraId="64B3CAFE">
                  <w:pPr>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b/>
                      <w:color w:val="auto"/>
                      <w:sz w:val="21"/>
                      <w:szCs w:val="21"/>
                      <w:u w:val="none" w:color="auto"/>
                    </w:rPr>
                    <w:t>预测方位</w:t>
                  </w:r>
                </w:p>
              </w:tc>
              <w:tc>
                <w:tcPr>
                  <w:tcW w:w="2409" w:type="dxa"/>
                  <w:gridSpan w:val="3"/>
                  <w:tcBorders>
                    <w:tl2br w:val="nil"/>
                    <w:tr2bl w:val="nil"/>
                  </w:tcBorders>
                  <w:vAlign w:val="center"/>
                </w:tcPr>
                <w:p w14:paraId="340687E6">
                  <w:pPr>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b/>
                      <w:color w:val="auto"/>
                      <w:sz w:val="21"/>
                      <w:szCs w:val="21"/>
                      <w:u w:val="none" w:color="auto"/>
                      <w:lang w:val="en-US" w:eastAsia="zh-CN"/>
                    </w:rPr>
                    <w:t>最大值点</w:t>
                  </w:r>
                  <w:r>
                    <w:rPr>
                      <w:rFonts w:hint="default" w:ascii="Times New Roman" w:hAnsi="Times New Roman" w:eastAsia="宋体" w:cs="Times New Roman"/>
                      <w:b/>
                      <w:color w:val="auto"/>
                      <w:sz w:val="21"/>
                      <w:szCs w:val="21"/>
                      <w:u w:val="none" w:color="auto"/>
                    </w:rPr>
                    <w:t>空间相对位置/m</w:t>
                  </w:r>
                </w:p>
              </w:tc>
              <w:tc>
                <w:tcPr>
                  <w:tcW w:w="993" w:type="dxa"/>
                  <w:vMerge w:val="restart"/>
                  <w:tcBorders>
                    <w:tl2br w:val="nil"/>
                    <w:tr2bl w:val="nil"/>
                  </w:tcBorders>
                  <w:vAlign w:val="center"/>
                </w:tcPr>
                <w:p w14:paraId="3BB99CE9">
                  <w:pPr>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b/>
                      <w:color w:val="auto"/>
                      <w:sz w:val="21"/>
                      <w:szCs w:val="21"/>
                      <w:u w:val="none" w:color="auto"/>
                    </w:rPr>
                    <w:t>时段</w:t>
                  </w:r>
                </w:p>
              </w:tc>
              <w:tc>
                <w:tcPr>
                  <w:tcW w:w="1417" w:type="dxa"/>
                  <w:vMerge w:val="restart"/>
                  <w:tcBorders>
                    <w:tl2br w:val="nil"/>
                    <w:tr2bl w:val="nil"/>
                  </w:tcBorders>
                  <w:vAlign w:val="center"/>
                </w:tcPr>
                <w:p w14:paraId="419F655B">
                  <w:pPr>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b/>
                      <w:color w:val="auto"/>
                      <w:sz w:val="21"/>
                      <w:szCs w:val="21"/>
                      <w:u w:val="none" w:color="auto"/>
                    </w:rPr>
                    <w:t>贡献值（dB(A)）</w:t>
                  </w:r>
                </w:p>
              </w:tc>
              <w:tc>
                <w:tcPr>
                  <w:tcW w:w="1418" w:type="dxa"/>
                  <w:vMerge w:val="restart"/>
                  <w:tcBorders>
                    <w:tl2br w:val="nil"/>
                    <w:tr2bl w:val="nil"/>
                  </w:tcBorders>
                  <w:vAlign w:val="center"/>
                </w:tcPr>
                <w:p w14:paraId="7B5D65C4">
                  <w:pPr>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b/>
                      <w:color w:val="auto"/>
                      <w:sz w:val="21"/>
                      <w:szCs w:val="21"/>
                      <w:u w:val="none" w:color="auto"/>
                    </w:rPr>
                    <w:t>标准限值（dB(A)）</w:t>
                  </w:r>
                </w:p>
              </w:tc>
              <w:tc>
                <w:tcPr>
                  <w:tcW w:w="1188" w:type="dxa"/>
                  <w:vMerge w:val="restart"/>
                  <w:tcBorders>
                    <w:tl2br w:val="nil"/>
                    <w:tr2bl w:val="nil"/>
                  </w:tcBorders>
                  <w:vAlign w:val="center"/>
                </w:tcPr>
                <w:p w14:paraId="2C1C7843">
                  <w:pPr>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b/>
                      <w:color w:val="auto"/>
                      <w:sz w:val="21"/>
                      <w:szCs w:val="21"/>
                      <w:u w:val="none" w:color="auto"/>
                    </w:rPr>
                    <w:t>达标情况</w:t>
                  </w:r>
                </w:p>
              </w:tc>
            </w:tr>
            <w:tr w14:paraId="198D026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1101" w:type="dxa"/>
                  <w:vMerge w:val="continue"/>
                  <w:tcBorders>
                    <w:tl2br w:val="nil"/>
                    <w:tr2bl w:val="nil"/>
                  </w:tcBorders>
                  <w:shd w:val="clear" w:color="auto" w:fill="FFFFFF"/>
                  <w:vAlign w:val="center"/>
                </w:tcPr>
                <w:p w14:paraId="357A8065">
                  <w:pPr>
                    <w:jc w:val="center"/>
                    <w:rPr>
                      <w:rFonts w:hint="default" w:ascii="Times New Roman" w:hAnsi="Times New Roman" w:eastAsia="宋体" w:cs="Times New Roman"/>
                      <w:color w:val="auto"/>
                      <w:sz w:val="21"/>
                      <w:szCs w:val="21"/>
                      <w:u w:val="none" w:color="auto"/>
                    </w:rPr>
                  </w:pPr>
                </w:p>
              </w:tc>
              <w:tc>
                <w:tcPr>
                  <w:tcW w:w="803" w:type="dxa"/>
                  <w:tcBorders>
                    <w:tl2br w:val="nil"/>
                    <w:tr2bl w:val="nil"/>
                  </w:tcBorders>
                  <w:shd w:val="clear" w:color="auto" w:fill="FFFFFF"/>
                  <w:vAlign w:val="center"/>
                </w:tcPr>
                <w:p w14:paraId="49E848F3">
                  <w:pPr>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X</w:t>
                  </w:r>
                </w:p>
              </w:tc>
              <w:tc>
                <w:tcPr>
                  <w:tcW w:w="803" w:type="dxa"/>
                  <w:tcBorders>
                    <w:tl2br w:val="nil"/>
                    <w:tr2bl w:val="nil"/>
                  </w:tcBorders>
                  <w:shd w:val="clear" w:color="auto" w:fill="FFFFFF"/>
                  <w:vAlign w:val="center"/>
                </w:tcPr>
                <w:p w14:paraId="7138972B">
                  <w:pPr>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Y</w:t>
                  </w:r>
                </w:p>
              </w:tc>
              <w:tc>
                <w:tcPr>
                  <w:tcW w:w="803" w:type="dxa"/>
                  <w:tcBorders>
                    <w:tl2br w:val="nil"/>
                    <w:tr2bl w:val="nil"/>
                  </w:tcBorders>
                  <w:shd w:val="clear" w:color="auto" w:fill="FFFFFF"/>
                  <w:vAlign w:val="center"/>
                </w:tcPr>
                <w:p w14:paraId="20795827">
                  <w:pPr>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Z</w:t>
                  </w:r>
                </w:p>
              </w:tc>
              <w:tc>
                <w:tcPr>
                  <w:tcW w:w="993" w:type="dxa"/>
                  <w:vMerge w:val="continue"/>
                  <w:tcBorders>
                    <w:tl2br w:val="nil"/>
                    <w:tr2bl w:val="nil"/>
                  </w:tcBorders>
                  <w:shd w:val="clear" w:color="auto" w:fill="FFFFFF"/>
                  <w:vAlign w:val="center"/>
                </w:tcPr>
                <w:p w14:paraId="7A64F48F">
                  <w:pPr>
                    <w:jc w:val="center"/>
                    <w:rPr>
                      <w:rFonts w:hint="default" w:ascii="Times New Roman" w:hAnsi="Times New Roman" w:eastAsia="宋体" w:cs="Times New Roman"/>
                      <w:color w:val="auto"/>
                      <w:sz w:val="21"/>
                      <w:szCs w:val="21"/>
                      <w:u w:val="none" w:color="auto"/>
                    </w:rPr>
                  </w:pPr>
                </w:p>
              </w:tc>
              <w:tc>
                <w:tcPr>
                  <w:tcW w:w="1417" w:type="dxa"/>
                  <w:vMerge w:val="continue"/>
                  <w:tcBorders>
                    <w:tl2br w:val="nil"/>
                    <w:tr2bl w:val="nil"/>
                  </w:tcBorders>
                  <w:shd w:val="clear" w:color="auto" w:fill="FFFFFF"/>
                  <w:vAlign w:val="center"/>
                </w:tcPr>
                <w:p w14:paraId="6C0A14A0">
                  <w:pPr>
                    <w:jc w:val="center"/>
                    <w:rPr>
                      <w:rFonts w:hint="default" w:ascii="Times New Roman" w:hAnsi="Times New Roman" w:eastAsia="宋体" w:cs="Times New Roman"/>
                      <w:color w:val="auto"/>
                      <w:sz w:val="21"/>
                      <w:szCs w:val="21"/>
                      <w:u w:val="none" w:color="auto"/>
                    </w:rPr>
                  </w:pPr>
                </w:p>
              </w:tc>
              <w:tc>
                <w:tcPr>
                  <w:tcW w:w="1418" w:type="dxa"/>
                  <w:vMerge w:val="continue"/>
                  <w:tcBorders>
                    <w:tl2br w:val="nil"/>
                    <w:tr2bl w:val="nil"/>
                  </w:tcBorders>
                  <w:shd w:val="clear" w:color="auto" w:fill="FFFFFF"/>
                  <w:vAlign w:val="center"/>
                </w:tcPr>
                <w:p w14:paraId="3A967990">
                  <w:pPr>
                    <w:jc w:val="center"/>
                    <w:rPr>
                      <w:rFonts w:hint="default" w:ascii="Times New Roman" w:hAnsi="Times New Roman" w:eastAsia="宋体" w:cs="Times New Roman"/>
                      <w:color w:val="auto"/>
                      <w:sz w:val="21"/>
                      <w:szCs w:val="21"/>
                      <w:u w:val="none" w:color="auto"/>
                    </w:rPr>
                  </w:pPr>
                </w:p>
              </w:tc>
              <w:tc>
                <w:tcPr>
                  <w:tcW w:w="1188" w:type="dxa"/>
                  <w:vMerge w:val="continue"/>
                  <w:tcBorders>
                    <w:tl2br w:val="nil"/>
                    <w:tr2bl w:val="nil"/>
                  </w:tcBorders>
                  <w:shd w:val="clear" w:color="auto" w:fill="FFFFFF"/>
                  <w:vAlign w:val="center"/>
                </w:tcPr>
                <w:p w14:paraId="5DFD7C36">
                  <w:pPr>
                    <w:jc w:val="center"/>
                    <w:rPr>
                      <w:rFonts w:hint="default" w:ascii="Times New Roman" w:hAnsi="Times New Roman" w:eastAsia="宋体" w:cs="Times New Roman"/>
                      <w:color w:val="auto"/>
                      <w:sz w:val="21"/>
                      <w:szCs w:val="21"/>
                      <w:u w:val="none" w:color="auto"/>
                    </w:rPr>
                  </w:pPr>
                </w:p>
              </w:tc>
            </w:tr>
            <w:tr w14:paraId="159BC0B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408" w:hRule="exact"/>
              </w:trPr>
              <w:tc>
                <w:tcPr>
                  <w:tcW w:w="1101" w:type="dxa"/>
                  <w:tcBorders>
                    <w:tl2br w:val="nil"/>
                    <w:tr2bl w:val="nil"/>
                  </w:tcBorders>
                  <w:shd w:val="clear" w:color="auto" w:fill="FFFFFF"/>
                  <w:vAlign w:val="center"/>
                </w:tcPr>
                <w:p w14:paraId="4975ABC1">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东侧</w:t>
                  </w:r>
                </w:p>
              </w:tc>
              <w:tc>
                <w:tcPr>
                  <w:tcW w:w="803" w:type="dxa"/>
                  <w:tcBorders>
                    <w:tl2br w:val="nil"/>
                    <w:tr2bl w:val="nil"/>
                  </w:tcBorders>
                  <w:shd w:val="clear" w:color="auto" w:fill="FFFFFF"/>
                  <w:vAlign w:val="center"/>
                </w:tcPr>
                <w:p w14:paraId="4AC63F1F">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108.1</w:t>
                  </w:r>
                </w:p>
              </w:tc>
              <w:tc>
                <w:tcPr>
                  <w:tcW w:w="803" w:type="dxa"/>
                  <w:tcBorders>
                    <w:tl2br w:val="nil"/>
                    <w:tr2bl w:val="nil"/>
                  </w:tcBorders>
                  <w:shd w:val="clear" w:color="auto" w:fill="FFFFFF"/>
                  <w:vAlign w:val="center"/>
                </w:tcPr>
                <w:p w14:paraId="57F05078">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-35.9</w:t>
                  </w:r>
                </w:p>
              </w:tc>
              <w:tc>
                <w:tcPr>
                  <w:tcW w:w="803" w:type="dxa"/>
                  <w:tcBorders>
                    <w:tl2br w:val="nil"/>
                    <w:tr2bl w:val="nil"/>
                  </w:tcBorders>
                  <w:shd w:val="clear" w:color="auto" w:fill="FFFFFF"/>
                  <w:vAlign w:val="center"/>
                </w:tcPr>
                <w:p w14:paraId="4857F2EA">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w:t>
                  </w:r>
                </w:p>
              </w:tc>
              <w:tc>
                <w:tcPr>
                  <w:tcW w:w="993" w:type="dxa"/>
                  <w:tcBorders>
                    <w:tl2br w:val="nil"/>
                    <w:tr2bl w:val="nil"/>
                  </w:tcBorders>
                  <w:shd w:val="clear" w:color="auto" w:fill="FFFFFF"/>
                  <w:vAlign w:val="center"/>
                </w:tcPr>
                <w:p w14:paraId="7FEAF37F">
                  <w:pPr>
                    <w:jc w:val="center"/>
                    <w:rPr>
                      <w:rFonts w:hint="default" w:ascii="Times New Roman" w:hAnsi="Times New Roman" w:eastAsia="宋体" w:cs="Times New Roman"/>
                      <w:b/>
                      <w:bCs/>
                      <w:color w:val="auto"/>
                      <w:u w:val="none" w:color="auto"/>
                    </w:rPr>
                  </w:pPr>
                  <w:r>
                    <w:rPr>
                      <w:rFonts w:hint="default" w:ascii="Times New Roman" w:hAnsi="Times New Roman" w:eastAsia="宋体" w:cs="Times New Roman"/>
                      <w:b/>
                      <w:bCs/>
                      <w:color w:val="auto"/>
                      <w:sz w:val="20"/>
                      <w:u w:val="none" w:color="auto"/>
                    </w:rPr>
                    <w:t>昼间</w:t>
                  </w:r>
                </w:p>
              </w:tc>
              <w:tc>
                <w:tcPr>
                  <w:tcW w:w="1417" w:type="dxa"/>
                  <w:tcBorders>
                    <w:tl2br w:val="nil"/>
                    <w:tr2bl w:val="nil"/>
                  </w:tcBorders>
                  <w:shd w:val="clear" w:color="auto" w:fill="FFFFFF"/>
                  <w:vAlign w:val="center"/>
                </w:tcPr>
                <w:p w14:paraId="1EF54EA8">
                  <w:pPr>
                    <w:jc w:val="center"/>
                    <w:rPr>
                      <w:rFonts w:hint="default" w:ascii="Times New Roman" w:hAnsi="Times New Roman" w:eastAsia="宋体" w:cs="Times New Roman"/>
                      <w:b/>
                      <w:bCs/>
                      <w:color w:val="auto"/>
                      <w:u w:val="none" w:color="auto"/>
                    </w:rPr>
                  </w:pPr>
                  <w:r>
                    <w:rPr>
                      <w:rFonts w:hint="default" w:ascii="Times New Roman" w:hAnsi="Times New Roman" w:eastAsia="宋体" w:cs="Times New Roman"/>
                      <w:b/>
                      <w:bCs/>
                      <w:color w:val="auto"/>
                      <w:sz w:val="20"/>
                      <w:u w:val="none" w:color="auto"/>
                    </w:rPr>
                    <w:t>65.8</w:t>
                  </w:r>
                </w:p>
              </w:tc>
              <w:tc>
                <w:tcPr>
                  <w:tcW w:w="1418" w:type="dxa"/>
                  <w:tcBorders>
                    <w:tl2br w:val="nil"/>
                    <w:tr2bl w:val="nil"/>
                  </w:tcBorders>
                  <w:shd w:val="clear" w:color="auto" w:fill="FFFFFF"/>
                  <w:vAlign w:val="center"/>
                </w:tcPr>
                <w:p w14:paraId="25802F21">
                  <w:pPr>
                    <w:jc w:val="center"/>
                    <w:rPr>
                      <w:rFonts w:hint="default" w:ascii="Times New Roman" w:hAnsi="Times New Roman" w:eastAsia="宋体" w:cs="Times New Roman"/>
                      <w:b/>
                      <w:bCs/>
                      <w:color w:val="auto"/>
                      <w:u w:val="none" w:color="auto"/>
                    </w:rPr>
                  </w:pPr>
                  <w:r>
                    <w:rPr>
                      <w:rFonts w:hint="default" w:ascii="Times New Roman" w:hAnsi="Times New Roman" w:eastAsia="宋体" w:cs="Times New Roman"/>
                      <w:b/>
                      <w:bCs/>
                      <w:color w:val="auto"/>
                      <w:sz w:val="20"/>
                      <w:u w:val="none" w:color="auto"/>
                    </w:rPr>
                    <w:t>65</w:t>
                  </w:r>
                </w:p>
              </w:tc>
              <w:tc>
                <w:tcPr>
                  <w:tcW w:w="1188" w:type="dxa"/>
                  <w:tcBorders>
                    <w:tl2br w:val="nil"/>
                    <w:tr2bl w:val="nil"/>
                  </w:tcBorders>
                  <w:shd w:val="clear" w:color="auto" w:fill="FFFFFF"/>
                  <w:vAlign w:val="center"/>
                </w:tcPr>
                <w:p w14:paraId="16101603">
                  <w:pPr>
                    <w:jc w:val="center"/>
                    <w:rPr>
                      <w:rFonts w:hint="default" w:ascii="Times New Roman" w:hAnsi="Times New Roman" w:eastAsia="宋体" w:cs="Times New Roman"/>
                      <w:b/>
                      <w:bCs/>
                      <w:color w:val="auto"/>
                      <w:u w:val="none" w:color="auto"/>
                    </w:rPr>
                  </w:pPr>
                  <w:r>
                    <w:rPr>
                      <w:rFonts w:hint="default" w:ascii="Times New Roman" w:hAnsi="Times New Roman" w:eastAsia="宋体" w:cs="Times New Roman"/>
                      <w:b/>
                      <w:bCs/>
                      <w:color w:val="auto"/>
                      <w:sz w:val="20"/>
                      <w:u w:val="none" w:color="auto"/>
                    </w:rPr>
                    <w:t>不达标</w:t>
                  </w:r>
                </w:p>
              </w:tc>
            </w:tr>
            <w:tr w14:paraId="1260011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408" w:hRule="exact"/>
              </w:trPr>
              <w:tc>
                <w:tcPr>
                  <w:tcW w:w="1101" w:type="dxa"/>
                  <w:tcBorders>
                    <w:tl2br w:val="nil"/>
                    <w:tr2bl w:val="nil"/>
                  </w:tcBorders>
                  <w:shd w:val="clear" w:color="auto" w:fill="FFFFFF"/>
                  <w:vAlign w:val="center"/>
                </w:tcPr>
                <w:p w14:paraId="33C498A7">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南侧</w:t>
                  </w:r>
                </w:p>
              </w:tc>
              <w:tc>
                <w:tcPr>
                  <w:tcW w:w="803" w:type="dxa"/>
                  <w:tcBorders>
                    <w:tl2br w:val="nil"/>
                    <w:tr2bl w:val="nil"/>
                  </w:tcBorders>
                  <w:shd w:val="clear" w:color="auto" w:fill="FFFFFF"/>
                  <w:vAlign w:val="center"/>
                </w:tcPr>
                <w:p w14:paraId="4081ACCC">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32.7</w:t>
                  </w:r>
                </w:p>
              </w:tc>
              <w:tc>
                <w:tcPr>
                  <w:tcW w:w="803" w:type="dxa"/>
                  <w:tcBorders>
                    <w:tl2br w:val="nil"/>
                    <w:tr2bl w:val="nil"/>
                  </w:tcBorders>
                  <w:shd w:val="clear" w:color="auto" w:fill="FFFFFF"/>
                  <w:vAlign w:val="center"/>
                </w:tcPr>
                <w:p w14:paraId="3072D114">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-41.8</w:t>
                  </w:r>
                </w:p>
              </w:tc>
              <w:tc>
                <w:tcPr>
                  <w:tcW w:w="803" w:type="dxa"/>
                  <w:tcBorders>
                    <w:tl2br w:val="nil"/>
                    <w:tr2bl w:val="nil"/>
                  </w:tcBorders>
                  <w:shd w:val="clear" w:color="auto" w:fill="FFFFFF"/>
                  <w:vAlign w:val="center"/>
                </w:tcPr>
                <w:p w14:paraId="1817EC6E">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w:t>
                  </w:r>
                </w:p>
              </w:tc>
              <w:tc>
                <w:tcPr>
                  <w:tcW w:w="993" w:type="dxa"/>
                  <w:tcBorders>
                    <w:tl2br w:val="nil"/>
                    <w:tr2bl w:val="nil"/>
                  </w:tcBorders>
                  <w:shd w:val="clear" w:color="auto" w:fill="FFFFFF"/>
                  <w:vAlign w:val="center"/>
                </w:tcPr>
                <w:p w14:paraId="342B4489">
                  <w:pPr>
                    <w:jc w:val="center"/>
                    <w:rPr>
                      <w:rFonts w:hint="default" w:ascii="Times New Roman" w:hAnsi="Times New Roman" w:eastAsia="宋体" w:cs="Times New Roman"/>
                      <w:b/>
                      <w:bCs/>
                      <w:color w:val="auto"/>
                      <w:u w:val="none" w:color="auto"/>
                    </w:rPr>
                  </w:pPr>
                  <w:r>
                    <w:rPr>
                      <w:rFonts w:hint="default" w:ascii="Times New Roman" w:hAnsi="Times New Roman" w:eastAsia="宋体" w:cs="Times New Roman"/>
                      <w:b/>
                      <w:bCs/>
                      <w:color w:val="auto"/>
                      <w:sz w:val="20"/>
                      <w:u w:val="none" w:color="auto"/>
                    </w:rPr>
                    <w:t>昼间</w:t>
                  </w:r>
                </w:p>
              </w:tc>
              <w:tc>
                <w:tcPr>
                  <w:tcW w:w="1417" w:type="dxa"/>
                  <w:tcBorders>
                    <w:tl2br w:val="nil"/>
                    <w:tr2bl w:val="nil"/>
                  </w:tcBorders>
                  <w:shd w:val="clear" w:color="auto" w:fill="FFFFFF"/>
                  <w:vAlign w:val="center"/>
                </w:tcPr>
                <w:p w14:paraId="38A922DE">
                  <w:pPr>
                    <w:jc w:val="center"/>
                    <w:rPr>
                      <w:rFonts w:hint="default" w:ascii="Times New Roman" w:hAnsi="Times New Roman" w:eastAsia="宋体" w:cs="Times New Roman"/>
                      <w:b/>
                      <w:bCs/>
                      <w:color w:val="auto"/>
                      <w:u w:val="none" w:color="auto"/>
                    </w:rPr>
                  </w:pPr>
                  <w:r>
                    <w:rPr>
                      <w:rFonts w:hint="default" w:ascii="Times New Roman" w:hAnsi="Times New Roman" w:eastAsia="宋体" w:cs="Times New Roman"/>
                      <w:b/>
                      <w:bCs/>
                      <w:color w:val="auto"/>
                      <w:sz w:val="20"/>
                      <w:u w:val="none" w:color="auto"/>
                    </w:rPr>
                    <w:t>79.5</w:t>
                  </w:r>
                </w:p>
              </w:tc>
              <w:tc>
                <w:tcPr>
                  <w:tcW w:w="1418" w:type="dxa"/>
                  <w:tcBorders>
                    <w:tl2br w:val="nil"/>
                    <w:tr2bl w:val="nil"/>
                  </w:tcBorders>
                  <w:shd w:val="clear" w:color="auto" w:fill="FFFFFF"/>
                  <w:vAlign w:val="center"/>
                </w:tcPr>
                <w:p w14:paraId="39483C79">
                  <w:pPr>
                    <w:jc w:val="center"/>
                    <w:rPr>
                      <w:rFonts w:hint="default" w:ascii="Times New Roman" w:hAnsi="Times New Roman" w:eastAsia="宋体" w:cs="Times New Roman"/>
                      <w:b/>
                      <w:bCs/>
                      <w:color w:val="auto"/>
                      <w:u w:val="none" w:color="auto"/>
                    </w:rPr>
                  </w:pPr>
                  <w:r>
                    <w:rPr>
                      <w:rFonts w:hint="default" w:ascii="Times New Roman" w:hAnsi="Times New Roman" w:eastAsia="宋体" w:cs="Times New Roman"/>
                      <w:b/>
                      <w:bCs/>
                      <w:color w:val="auto"/>
                      <w:sz w:val="20"/>
                      <w:u w:val="none" w:color="auto"/>
                    </w:rPr>
                    <w:t>65</w:t>
                  </w:r>
                </w:p>
              </w:tc>
              <w:tc>
                <w:tcPr>
                  <w:tcW w:w="1188" w:type="dxa"/>
                  <w:tcBorders>
                    <w:tl2br w:val="nil"/>
                    <w:tr2bl w:val="nil"/>
                  </w:tcBorders>
                  <w:shd w:val="clear" w:color="auto" w:fill="FFFFFF"/>
                  <w:vAlign w:val="center"/>
                </w:tcPr>
                <w:p w14:paraId="66F7CFDA">
                  <w:pPr>
                    <w:jc w:val="center"/>
                    <w:rPr>
                      <w:rFonts w:hint="default" w:ascii="Times New Roman" w:hAnsi="Times New Roman" w:eastAsia="宋体" w:cs="Times New Roman"/>
                      <w:b/>
                      <w:bCs/>
                      <w:color w:val="auto"/>
                      <w:u w:val="none" w:color="auto"/>
                    </w:rPr>
                  </w:pPr>
                  <w:r>
                    <w:rPr>
                      <w:rFonts w:hint="default" w:ascii="Times New Roman" w:hAnsi="Times New Roman" w:eastAsia="宋体" w:cs="Times New Roman"/>
                      <w:b/>
                      <w:bCs/>
                      <w:color w:val="auto"/>
                      <w:sz w:val="20"/>
                      <w:u w:val="none" w:color="auto"/>
                    </w:rPr>
                    <w:t>不达标</w:t>
                  </w:r>
                </w:p>
              </w:tc>
            </w:tr>
            <w:tr w14:paraId="0DB3018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408" w:hRule="exact"/>
              </w:trPr>
              <w:tc>
                <w:tcPr>
                  <w:tcW w:w="1101" w:type="dxa"/>
                  <w:tcBorders>
                    <w:tl2br w:val="nil"/>
                    <w:tr2bl w:val="nil"/>
                  </w:tcBorders>
                  <w:shd w:val="clear" w:color="auto" w:fill="FFFFFF"/>
                  <w:vAlign w:val="center"/>
                </w:tcPr>
                <w:p w14:paraId="05661030">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西侧</w:t>
                  </w:r>
                </w:p>
              </w:tc>
              <w:tc>
                <w:tcPr>
                  <w:tcW w:w="803" w:type="dxa"/>
                  <w:tcBorders>
                    <w:tl2br w:val="nil"/>
                    <w:tr2bl w:val="nil"/>
                  </w:tcBorders>
                  <w:shd w:val="clear" w:color="auto" w:fill="FFFFFF"/>
                  <w:vAlign w:val="center"/>
                </w:tcPr>
                <w:p w14:paraId="1536CF38">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-107</w:t>
                  </w:r>
                </w:p>
              </w:tc>
              <w:tc>
                <w:tcPr>
                  <w:tcW w:w="803" w:type="dxa"/>
                  <w:tcBorders>
                    <w:tl2br w:val="nil"/>
                    <w:tr2bl w:val="nil"/>
                  </w:tcBorders>
                  <w:shd w:val="clear" w:color="auto" w:fill="FFFFFF"/>
                  <w:vAlign w:val="center"/>
                </w:tcPr>
                <w:p w14:paraId="3502FD07">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32.5</w:t>
                  </w:r>
                </w:p>
              </w:tc>
              <w:tc>
                <w:tcPr>
                  <w:tcW w:w="803" w:type="dxa"/>
                  <w:tcBorders>
                    <w:tl2br w:val="nil"/>
                    <w:tr2bl w:val="nil"/>
                  </w:tcBorders>
                  <w:shd w:val="clear" w:color="auto" w:fill="FFFFFF"/>
                  <w:vAlign w:val="center"/>
                </w:tcPr>
                <w:p w14:paraId="68D0E32D">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w:t>
                  </w:r>
                </w:p>
              </w:tc>
              <w:tc>
                <w:tcPr>
                  <w:tcW w:w="993" w:type="dxa"/>
                  <w:tcBorders>
                    <w:tl2br w:val="nil"/>
                    <w:tr2bl w:val="nil"/>
                  </w:tcBorders>
                  <w:shd w:val="clear" w:color="auto" w:fill="FFFFFF"/>
                  <w:vAlign w:val="center"/>
                </w:tcPr>
                <w:p w14:paraId="78C54711">
                  <w:pPr>
                    <w:jc w:val="center"/>
                    <w:rPr>
                      <w:rFonts w:hint="default" w:ascii="Times New Roman" w:hAnsi="Times New Roman" w:eastAsia="宋体" w:cs="Times New Roman"/>
                      <w:b/>
                      <w:bCs/>
                      <w:color w:val="auto"/>
                      <w:u w:val="none" w:color="auto"/>
                    </w:rPr>
                  </w:pPr>
                  <w:r>
                    <w:rPr>
                      <w:rFonts w:hint="default" w:ascii="Times New Roman" w:hAnsi="Times New Roman" w:eastAsia="宋体" w:cs="Times New Roman"/>
                      <w:b/>
                      <w:bCs/>
                      <w:color w:val="auto"/>
                      <w:sz w:val="20"/>
                      <w:u w:val="none" w:color="auto"/>
                    </w:rPr>
                    <w:t>昼间</w:t>
                  </w:r>
                </w:p>
              </w:tc>
              <w:tc>
                <w:tcPr>
                  <w:tcW w:w="1417" w:type="dxa"/>
                  <w:tcBorders>
                    <w:tl2br w:val="nil"/>
                    <w:tr2bl w:val="nil"/>
                  </w:tcBorders>
                  <w:shd w:val="clear" w:color="auto" w:fill="FFFFFF"/>
                  <w:vAlign w:val="center"/>
                </w:tcPr>
                <w:p w14:paraId="7DC0979A">
                  <w:pPr>
                    <w:jc w:val="center"/>
                    <w:rPr>
                      <w:rFonts w:hint="default" w:ascii="Times New Roman" w:hAnsi="Times New Roman" w:eastAsia="宋体" w:cs="Times New Roman"/>
                      <w:b/>
                      <w:bCs/>
                      <w:color w:val="auto"/>
                      <w:u w:val="none" w:color="auto"/>
                    </w:rPr>
                  </w:pPr>
                  <w:r>
                    <w:rPr>
                      <w:rFonts w:hint="default" w:ascii="Times New Roman" w:hAnsi="Times New Roman" w:eastAsia="宋体" w:cs="Times New Roman"/>
                      <w:b/>
                      <w:bCs/>
                      <w:color w:val="auto"/>
                      <w:sz w:val="20"/>
                      <w:u w:val="none" w:color="auto"/>
                    </w:rPr>
                    <w:t>67.5</w:t>
                  </w:r>
                </w:p>
              </w:tc>
              <w:tc>
                <w:tcPr>
                  <w:tcW w:w="1418" w:type="dxa"/>
                  <w:tcBorders>
                    <w:tl2br w:val="nil"/>
                    <w:tr2bl w:val="nil"/>
                  </w:tcBorders>
                  <w:shd w:val="clear" w:color="auto" w:fill="FFFFFF"/>
                  <w:vAlign w:val="center"/>
                </w:tcPr>
                <w:p w14:paraId="02BC2C5D">
                  <w:pPr>
                    <w:jc w:val="center"/>
                    <w:rPr>
                      <w:rFonts w:hint="default" w:ascii="Times New Roman" w:hAnsi="Times New Roman" w:eastAsia="宋体" w:cs="Times New Roman"/>
                      <w:b/>
                      <w:bCs/>
                      <w:color w:val="auto"/>
                      <w:u w:val="none" w:color="auto"/>
                    </w:rPr>
                  </w:pPr>
                  <w:r>
                    <w:rPr>
                      <w:rFonts w:hint="default" w:ascii="Times New Roman" w:hAnsi="Times New Roman" w:eastAsia="宋体" w:cs="Times New Roman"/>
                      <w:b/>
                      <w:bCs/>
                      <w:color w:val="auto"/>
                      <w:sz w:val="20"/>
                      <w:u w:val="none" w:color="auto"/>
                    </w:rPr>
                    <w:t>65</w:t>
                  </w:r>
                </w:p>
              </w:tc>
              <w:tc>
                <w:tcPr>
                  <w:tcW w:w="1188" w:type="dxa"/>
                  <w:tcBorders>
                    <w:tl2br w:val="nil"/>
                    <w:tr2bl w:val="nil"/>
                  </w:tcBorders>
                  <w:shd w:val="clear" w:color="auto" w:fill="FFFFFF"/>
                  <w:vAlign w:val="center"/>
                </w:tcPr>
                <w:p w14:paraId="3E601A8E">
                  <w:pPr>
                    <w:jc w:val="center"/>
                    <w:rPr>
                      <w:rFonts w:hint="default" w:ascii="Times New Roman" w:hAnsi="Times New Roman" w:eastAsia="宋体" w:cs="Times New Roman"/>
                      <w:b/>
                      <w:bCs/>
                      <w:color w:val="auto"/>
                      <w:u w:val="none" w:color="auto"/>
                    </w:rPr>
                  </w:pPr>
                  <w:r>
                    <w:rPr>
                      <w:rFonts w:hint="default" w:ascii="Times New Roman" w:hAnsi="Times New Roman" w:eastAsia="宋体" w:cs="Times New Roman"/>
                      <w:b/>
                      <w:bCs/>
                      <w:color w:val="auto"/>
                      <w:sz w:val="20"/>
                      <w:u w:val="none" w:color="auto"/>
                    </w:rPr>
                    <w:t>不达标</w:t>
                  </w:r>
                </w:p>
              </w:tc>
            </w:tr>
            <w:tr w14:paraId="0FD82FF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408" w:hRule="exact"/>
              </w:trPr>
              <w:tc>
                <w:tcPr>
                  <w:tcW w:w="1101" w:type="dxa"/>
                  <w:tcBorders>
                    <w:tl2br w:val="nil"/>
                    <w:tr2bl w:val="nil"/>
                  </w:tcBorders>
                  <w:shd w:val="clear" w:color="auto" w:fill="FFFFFF"/>
                  <w:vAlign w:val="center"/>
                </w:tcPr>
                <w:p w14:paraId="4EAE6DB6">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北侧</w:t>
                  </w:r>
                </w:p>
              </w:tc>
              <w:tc>
                <w:tcPr>
                  <w:tcW w:w="803" w:type="dxa"/>
                  <w:tcBorders>
                    <w:tl2br w:val="nil"/>
                    <w:tr2bl w:val="nil"/>
                  </w:tcBorders>
                  <w:shd w:val="clear" w:color="auto" w:fill="FFFFFF"/>
                  <w:vAlign w:val="center"/>
                </w:tcPr>
                <w:p w14:paraId="64E7B83A">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-81.3</w:t>
                  </w:r>
                </w:p>
              </w:tc>
              <w:tc>
                <w:tcPr>
                  <w:tcW w:w="803" w:type="dxa"/>
                  <w:tcBorders>
                    <w:tl2br w:val="nil"/>
                    <w:tr2bl w:val="nil"/>
                  </w:tcBorders>
                  <w:shd w:val="clear" w:color="auto" w:fill="FFFFFF"/>
                  <w:vAlign w:val="center"/>
                </w:tcPr>
                <w:p w14:paraId="7B30C73D">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47.2</w:t>
                  </w:r>
                </w:p>
              </w:tc>
              <w:tc>
                <w:tcPr>
                  <w:tcW w:w="803" w:type="dxa"/>
                  <w:tcBorders>
                    <w:tl2br w:val="nil"/>
                    <w:tr2bl w:val="nil"/>
                  </w:tcBorders>
                  <w:shd w:val="clear" w:color="auto" w:fill="FFFFFF"/>
                  <w:vAlign w:val="center"/>
                </w:tcPr>
                <w:p w14:paraId="6283F27D">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w:t>
                  </w:r>
                </w:p>
              </w:tc>
              <w:tc>
                <w:tcPr>
                  <w:tcW w:w="993" w:type="dxa"/>
                  <w:tcBorders>
                    <w:tl2br w:val="nil"/>
                    <w:tr2bl w:val="nil"/>
                  </w:tcBorders>
                  <w:shd w:val="clear" w:color="auto" w:fill="FFFFFF"/>
                  <w:vAlign w:val="center"/>
                </w:tcPr>
                <w:p w14:paraId="3EF6D826">
                  <w:pPr>
                    <w:jc w:val="center"/>
                    <w:rPr>
                      <w:rFonts w:hint="default" w:ascii="Times New Roman" w:hAnsi="Times New Roman" w:eastAsia="宋体" w:cs="Times New Roman"/>
                      <w:b/>
                      <w:bCs/>
                      <w:color w:val="auto"/>
                      <w:u w:val="none" w:color="auto"/>
                    </w:rPr>
                  </w:pPr>
                  <w:r>
                    <w:rPr>
                      <w:rFonts w:hint="default" w:ascii="Times New Roman" w:hAnsi="Times New Roman" w:eastAsia="宋体" w:cs="Times New Roman"/>
                      <w:b/>
                      <w:bCs/>
                      <w:color w:val="auto"/>
                      <w:sz w:val="20"/>
                      <w:u w:val="none" w:color="auto"/>
                    </w:rPr>
                    <w:t>昼间</w:t>
                  </w:r>
                </w:p>
              </w:tc>
              <w:tc>
                <w:tcPr>
                  <w:tcW w:w="1417" w:type="dxa"/>
                  <w:tcBorders>
                    <w:tl2br w:val="nil"/>
                    <w:tr2bl w:val="nil"/>
                  </w:tcBorders>
                  <w:shd w:val="clear" w:color="auto" w:fill="FFFFFF"/>
                  <w:vAlign w:val="center"/>
                </w:tcPr>
                <w:p w14:paraId="2773EA88">
                  <w:pPr>
                    <w:jc w:val="center"/>
                    <w:rPr>
                      <w:rFonts w:hint="default" w:ascii="Times New Roman" w:hAnsi="Times New Roman" w:eastAsia="宋体" w:cs="Times New Roman"/>
                      <w:b/>
                      <w:bCs/>
                      <w:color w:val="auto"/>
                      <w:u w:val="none" w:color="auto"/>
                    </w:rPr>
                  </w:pPr>
                  <w:r>
                    <w:rPr>
                      <w:rFonts w:hint="default" w:ascii="Times New Roman" w:hAnsi="Times New Roman" w:eastAsia="宋体" w:cs="Times New Roman"/>
                      <w:b/>
                      <w:bCs/>
                      <w:color w:val="auto"/>
                      <w:sz w:val="20"/>
                      <w:u w:val="none" w:color="auto"/>
                    </w:rPr>
                    <w:t>71.8</w:t>
                  </w:r>
                </w:p>
              </w:tc>
              <w:tc>
                <w:tcPr>
                  <w:tcW w:w="1418" w:type="dxa"/>
                  <w:tcBorders>
                    <w:tl2br w:val="nil"/>
                    <w:tr2bl w:val="nil"/>
                  </w:tcBorders>
                  <w:shd w:val="clear" w:color="auto" w:fill="FFFFFF"/>
                  <w:vAlign w:val="center"/>
                </w:tcPr>
                <w:p w14:paraId="1BDD7266">
                  <w:pPr>
                    <w:jc w:val="center"/>
                    <w:rPr>
                      <w:rFonts w:hint="default" w:ascii="Times New Roman" w:hAnsi="Times New Roman" w:eastAsia="宋体" w:cs="Times New Roman"/>
                      <w:b/>
                      <w:bCs/>
                      <w:color w:val="auto"/>
                      <w:u w:val="none" w:color="auto"/>
                    </w:rPr>
                  </w:pPr>
                  <w:r>
                    <w:rPr>
                      <w:rFonts w:hint="default" w:ascii="Times New Roman" w:hAnsi="Times New Roman" w:eastAsia="宋体" w:cs="Times New Roman"/>
                      <w:b/>
                      <w:bCs/>
                      <w:color w:val="auto"/>
                      <w:sz w:val="20"/>
                      <w:u w:val="none" w:color="auto"/>
                    </w:rPr>
                    <w:t>65</w:t>
                  </w:r>
                </w:p>
              </w:tc>
              <w:tc>
                <w:tcPr>
                  <w:tcW w:w="1188" w:type="dxa"/>
                  <w:tcBorders>
                    <w:tl2br w:val="nil"/>
                    <w:tr2bl w:val="nil"/>
                  </w:tcBorders>
                  <w:shd w:val="clear" w:color="auto" w:fill="FFFFFF"/>
                  <w:vAlign w:val="center"/>
                </w:tcPr>
                <w:p w14:paraId="632B1849">
                  <w:pPr>
                    <w:jc w:val="center"/>
                    <w:rPr>
                      <w:rFonts w:hint="default" w:ascii="Times New Roman" w:hAnsi="Times New Roman" w:eastAsia="宋体" w:cs="Times New Roman"/>
                      <w:b/>
                      <w:bCs/>
                      <w:color w:val="auto"/>
                      <w:u w:val="none" w:color="auto"/>
                    </w:rPr>
                  </w:pPr>
                  <w:r>
                    <w:rPr>
                      <w:rFonts w:hint="default" w:ascii="Times New Roman" w:hAnsi="Times New Roman" w:eastAsia="宋体" w:cs="Times New Roman"/>
                      <w:b/>
                      <w:bCs/>
                      <w:color w:val="auto"/>
                      <w:sz w:val="20"/>
                      <w:u w:val="none" w:color="auto"/>
                    </w:rPr>
                    <w:t>不达标</w:t>
                  </w:r>
                </w:p>
              </w:tc>
            </w:tr>
          </w:tbl>
          <w:p w14:paraId="20CAB4A2">
            <w:pPr>
              <w:adjustRightInd w:val="0"/>
              <w:snapToGrid w:val="0"/>
              <w:spacing w:line="360" w:lineRule="auto"/>
              <w:jc w:val="center"/>
              <w:rPr>
                <w:rFonts w:hint="default" w:ascii="Times New Roman" w:hAnsi="Times New Roman" w:eastAsia="宋体" w:cs="Times New Roman"/>
                <w:color w:val="auto"/>
                <w:spacing w:val="0"/>
                <w:kern w:val="0"/>
                <w:sz w:val="24"/>
                <w:highlight w:val="none"/>
                <w:u w:val="none" w:color="auto"/>
                <w:lang w:val="en-US" w:eastAsia="zh-CN"/>
              </w:rPr>
            </w:pPr>
            <w:r>
              <w:rPr>
                <w:rFonts w:hint="default" w:ascii="Times New Roman" w:hAnsi="Times New Roman" w:eastAsia="宋体" w:cs="Times New Roman"/>
                <w:color w:val="auto"/>
                <w:spacing w:val="0"/>
                <w:kern w:val="0"/>
                <w:sz w:val="24"/>
                <w:highlight w:val="none"/>
                <w:u w:val="none" w:color="auto"/>
                <w:lang w:val="en-US" w:eastAsia="zh-CN"/>
              </w:rPr>
              <w:drawing>
                <wp:inline distT="0" distB="0" distL="114300" distR="114300">
                  <wp:extent cx="4665345" cy="3105150"/>
                  <wp:effectExtent l="0" t="0" r="1905" b="0"/>
                  <wp:docPr id="27" name="图片 27" descr="昼间超标等声线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昼间超标等声线图"/>
                          <pic:cNvPicPr>
                            <a:picLocks noChangeAspect="1"/>
                          </pic:cNvPicPr>
                        </pic:nvPicPr>
                        <pic:blipFill>
                          <a:blip r:embed="rId52"/>
                          <a:stretch>
                            <a:fillRect/>
                          </a:stretch>
                        </pic:blipFill>
                        <pic:spPr>
                          <a:xfrm>
                            <a:off x="0" y="0"/>
                            <a:ext cx="4665345" cy="3105150"/>
                          </a:xfrm>
                          <a:prstGeom prst="rect">
                            <a:avLst/>
                          </a:prstGeom>
                        </pic:spPr>
                      </pic:pic>
                    </a:graphicData>
                  </a:graphic>
                </wp:inline>
              </w:drawing>
            </w:r>
          </w:p>
          <w:p w14:paraId="6424578C">
            <w:pPr>
              <w:jc w:val="center"/>
              <w:rPr>
                <w:rFonts w:hint="default" w:ascii="Times New Roman" w:hAnsi="Times New Roman" w:eastAsia="宋体" w:cs="Times New Roman"/>
                <w:b/>
                <w:bCs/>
                <w:color w:val="auto"/>
                <w:u w:val="none" w:color="auto"/>
                <w:lang w:val="en-US" w:eastAsia="zh-CN"/>
              </w:rPr>
            </w:pPr>
            <w:r>
              <w:rPr>
                <w:rFonts w:hint="default" w:ascii="Times New Roman" w:hAnsi="Times New Roman" w:eastAsia="宋体" w:cs="Times New Roman"/>
                <w:b/>
                <w:bCs/>
                <w:color w:val="auto"/>
                <w:u w:val="none" w:color="auto"/>
                <w:lang w:val="en-US" w:eastAsia="zh-CN"/>
              </w:rPr>
              <w:t>图4-4  昼间预测等声线图</w:t>
            </w:r>
          </w:p>
          <w:p w14:paraId="4F9B5A2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pacing w:val="0"/>
                <w:kern w:val="0"/>
                <w:sz w:val="24"/>
                <w:highlight w:val="none"/>
                <w:u w:val="none" w:color="auto"/>
                <w:lang w:val="en-US" w:eastAsia="zh-CN"/>
              </w:rPr>
            </w:pPr>
            <w:r>
              <w:rPr>
                <w:rFonts w:hint="default" w:ascii="Times New Roman" w:hAnsi="Times New Roman" w:eastAsia="宋体" w:cs="Times New Roman"/>
                <w:color w:val="auto"/>
                <w:spacing w:val="0"/>
                <w:kern w:val="0"/>
                <w:sz w:val="24"/>
                <w:highlight w:val="none"/>
                <w:u w:val="none" w:color="auto"/>
                <w:lang w:val="en-US" w:eastAsia="zh-CN"/>
              </w:rPr>
              <w:t>根据上述分析可知，若建设单位仅采用低噪声设备、基础减震和依靠现有墙体、门窗进行隔声降噪，则厂界四周昼间噪声贡献值在运营期会出现超标现象，因此本次评价要求建设单位对墙体、门窗采取如下措施：</w:t>
            </w:r>
          </w:p>
          <w:p w14:paraId="3976E30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pacing w:val="0"/>
                <w:kern w:val="0"/>
                <w:sz w:val="24"/>
                <w:highlight w:val="none"/>
                <w:u w:val="none" w:color="auto"/>
                <w:lang w:val="en-US" w:eastAsia="zh-CN"/>
              </w:rPr>
            </w:pPr>
            <w:r>
              <w:rPr>
                <w:rFonts w:hint="default" w:ascii="Times New Roman" w:hAnsi="Times New Roman" w:eastAsia="宋体" w:cs="Times New Roman"/>
                <w:color w:val="auto"/>
                <w:spacing w:val="0"/>
                <w:kern w:val="0"/>
                <w:sz w:val="24"/>
                <w:highlight w:val="none"/>
                <w:u w:val="none" w:color="auto"/>
                <w:lang w:val="en-US" w:eastAsia="zh-CN"/>
              </w:rPr>
              <w:t>①墙体采用传统复合结构（如岩棉+双层石膏板），构造采用“75系列轻钢龙骨+空腔75mm填充岩棉（密度80kg/m³）+双面双层12mm石膏板”；</w:t>
            </w:r>
          </w:p>
          <w:p w14:paraId="2FA7264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pacing w:val="0"/>
                <w:kern w:val="0"/>
                <w:sz w:val="24"/>
                <w:highlight w:val="none"/>
                <w:u w:val="none" w:color="auto"/>
                <w:lang w:val="en-US" w:eastAsia="zh-CN"/>
              </w:rPr>
            </w:pPr>
            <w:r>
              <w:rPr>
                <w:rFonts w:hint="default" w:ascii="Times New Roman" w:hAnsi="Times New Roman" w:eastAsia="宋体" w:cs="Times New Roman"/>
                <w:color w:val="auto"/>
                <w:spacing w:val="0"/>
                <w:kern w:val="0"/>
                <w:sz w:val="24"/>
                <w:highlight w:val="none"/>
                <w:u w:val="none" w:color="auto"/>
                <w:lang w:val="en-US" w:eastAsia="zh-CN"/>
              </w:rPr>
              <w:t>②门采用T型门（带底部密封条）+内部填充岩棉；或设置声闸（双道门+吸声内壁）；窗：断桥铝框+三层夹胶中空玻璃（12mm空气层），框缝用膨胀密封胶填充，五金锁具联动压紧装置。</w:t>
            </w:r>
          </w:p>
          <w:p w14:paraId="253496B9">
            <w:pPr>
              <w:adjustRightInd w:val="0"/>
              <w:snapToGrid w:val="0"/>
              <w:spacing w:line="360" w:lineRule="auto"/>
              <w:ind w:firstLine="480" w:firstLineChars="200"/>
              <w:rPr>
                <w:rFonts w:hint="default" w:ascii="Times New Roman" w:hAnsi="Times New Roman" w:eastAsia="宋体" w:cs="Times New Roman"/>
                <w:color w:val="auto"/>
                <w:spacing w:val="0"/>
                <w:kern w:val="0"/>
                <w:sz w:val="24"/>
                <w:highlight w:val="none"/>
                <w:u w:val="none" w:color="auto"/>
                <w:lang w:val="en-US" w:eastAsia="zh-CN"/>
              </w:rPr>
            </w:pPr>
            <w:r>
              <w:rPr>
                <w:rFonts w:hint="default" w:ascii="Times New Roman" w:hAnsi="Times New Roman" w:eastAsia="宋体" w:cs="Times New Roman"/>
                <w:color w:val="auto"/>
                <w:spacing w:val="0"/>
                <w:kern w:val="0"/>
                <w:sz w:val="24"/>
                <w:highlight w:val="none"/>
                <w:u w:val="none" w:color="auto"/>
                <w:lang w:val="en-US" w:eastAsia="zh-CN"/>
              </w:rPr>
              <w:t>在采取上述措施后，墙体采用传统复合结构（如岩棉+双层石膏板）后，根据建设单位现有厂房（挤压车间）采取的隔声措施效果（与本次评价提出的措施一致），平均隔声45~56dB，本次评价按45dB计，吸声系数按0.55计，则经预测计算后建筑物插入损失为51dB(A)，建设单位在落实好上述措施或其他等效措施后，</w:t>
            </w:r>
            <w:r>
              <w:rPr>
                <w:rFonts w:hint="default" w:ascii="Times New Roman" w:hAnsi="Times New Roman" w:eastAsia="宋体" w:cs="Times New Roman"/>
                <w:b w:val="0"/>
                <w:bCs/>
                <w:color w:val="auto"/>
                <w:spacing w:val="0"/>
                <w:sz w:val="24"/>
                <w:szCs w:val="24"/>
                <w:highlight w:val="none"/>
                <w:u w:val="none" w:color="auto"/>
                <w:lang w:val="en-US" w:eastAsia="zh-CN"/>
              </w:rPr>
              <w:t>项目厂界噪声预测结果与达标性分析如下：</w:t>
            </w:r>
          </w:p>
          <w:p w14:paraId="25B75C50">
            <w:pPr>
              <w:jc w:val="center"/>
              <w:rPr>
                <w:rFonts w:hint="default" w:ascii="Times New Roman" w:hAnsi="Times New Roman" w:eastAsia="宋体" w:cs="Times New Roman"/>
                <w:b/>
                <w:bCs/>
                <w:color w:val="auto"/>
                <w:u w:val="none" w:color="auto"/>
                <w:lang w:val="en-US" w:eastAsia="zh-CN"/>
              </w:rPr>
            </w:pPr>
            <w:r>
              <w:rPr>
                <w:rFonts w:hint="default" w:ascii="Times New Roman" w:hAnsi="Times New Roman" w:eastAsia="宋体" w:cs="Times New Roman"/>
                <w:b/>
                <w:bCs/>
                <w:color w:val="auto"/>
                <w:u w:val="none" w:color="auto"/>
                <w:lang w:val="en-US" w:eastAsia="zh-CN"/>
              </w:rPr>
              <w:t>表4-37  优化后的厂界噪声预测结果与达标分析表</w:t>
            </w:r>
          </w:p>
          <w:tbl>
            <w:tblPr>
              <w:tblStyle w:val="31"/>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099"/>
              <w:gridCol w:w="803"/>
              <w:gridCol w:w="803"/>
              <w:gridCol w:w="802"/>
              <w:gridCol w:w="992"/>
              <w:gridCol w:w="1416"/>
              <w:gridCol w:w="1417"/>
              <w:gridCol w:w="1186"/>
            </w:tblGrid>
            <w:tr w14:paraId="18C2734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90" w:hRule="exact"/>
                <w:jc w:val="center"/>
              </w:trPr>
              <w:tc>
                <w:tcPr>
                  <w:tcW w:w="1101" w:type="dxa"/>
                  <w:vMerge w:val="restart"/>
                  <w:tcBorders>
                    <w:tl2br w:val="nil"/>
                    <w:tr2bl w:val="nil"/>
                  </w:tcBorders>
                  <w:vAlign w:val="center"/>
                </w:tcPr>
                <w:p w14:paraId="507F62AE">
                  <w:pPr>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b/>
                      <w:color w:val="auto"/>
                      <w:sz w:val="21"/>
                      <w:szCs w:val="21"/>
                      <w:u w:val="none" w:color="auto"/>
                    </w:rPr>
                    <w:t>预测方位</w:t>
                  </w:r>
                </w:p>
              </w:tc>
              <w:tc>
                <w:tcPr>
                  <w:tcW w:w="2409" w:type="dxa"/>
                  <w:gridSpan w:val="3"/>
                  <w:tcBorders>
                    <w:tl2br w:val="nil"/>
                    <w:tr2bl w:val="nil"/>
                  </w:tcBorders>
                  <w:vAlign w:val="center"/>
                </w:tcPr>
                <w:p w14:paraId="512B5FDC">
                  <w:pPr>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b/>
                      <w:color w:val="auto"/>
                      <w:sz w:val="21"/>
                      <w:szCs w:val="21"/>
                      <w:u w:val="none" w:color="auto"/>
                      <w:lang w:val="en-US" w:eastAsia="zh-CN"/>
                    </w:rPr>
                    <w:t>最大值点</w:t>
                  </w:r>
                  <w:r>
                    <w:rPr>
                      <w:rFonts w:hint="default" w:ascii="Times New Roman" w:hAnsi="Times New Roman" w:eastAsia="宋体" w:cs="Times New Roman"/>
                      <w:b/>
                      <w:color w:val="auto"/>
                      <w:sz w:val="21"/>
                      <w:szCs w:val="21"/>
                      <w:u w:val="none" w:color="auto"/>
                    </w:rPr>
                    <w:t>空间相对位置/m</w:t>
                  </w:r>
                </w:p>
              </w:tc>
              <w:tc>
                <w:tcPr>
                  <w:tcW w:w="993" w:type="dxa"/>
                  <w:vMerge w:val="restart"/>
                  <w:tcBorders>
                    <w:tl2br w:val="nil"/>
                    <w:tr2bl w:val="nil"/>
                  </w:tcBorders>
                  <w:vAlign w:val="center"/>
                </w:tcPr>
                <w:p w14:paraId="731CE537">
                  <w:pPr>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b/>
                      <w:color w:val="auto"/>
                      <w:sz w:val="21"/>
                      <w:szCs w:val="21"/>
                      <w:u w:val="none" w:color="auto"/>
                    </w:rPr>
                    <w:t>时段</w:t>
                  </w:r>
                </w:p>
              </w:tc>
              <w:tc>
                <w:tcPr>
                  <w:tcW w:w="1417" w:type="dxa"/>
                  <w:vMerge w:val="restart"/>
                  <w:tcBorders>
                    <w:tl2br w:val="nil"/>
                    <w:tr2bl w:val="nil"/>
                  </w:tcBorders>
                  <w:vAlign w:val="center"/>
                </w:tcPr>
                <w:p w14:paraId="7DA61553">
                  <w:pPr>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b/>
                      <w:color w:val="auto"/>
                      <w:sz w:val="21"/>
                      <w:szCs w:val="21"/>
                      <w:u w:val="none" w:color="auto"/>
                    </w:rPr>
                    <w:t>贡献值（dB(A)）</w:t>
                  </w:r>
                </w:p>
              </w:tc>
              <w:tc>
                <w:tcPr>
                  <w:tcW w:w="1418" w:type="dxa"/>
                  <w:vMerge w:val="restart"/>
                  <w:tcBorders>
                    <w:tl2br w:val="nil"/>
                    <w:tr2bl w:val="nil"/>
                  </w:tcBorders>
                  <w:vAlign w:val="center"/>
                </w:tcPr>
                <w:p w14:paraId="03F08A9D">
                  <w:pPr>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b/>
                      <w:color w:val="auto"/>
                      <w:sz w:val="21"/>
                      <w:szCs w:val="21"/>
                      <w:u w:val="none" w:color="auto"/>
                    </w:rPr>
                    <w:t>标准限值（dB(A)）</w:t>
                  </w:r>
                </w:p>
              </w:tc>
              <w:tc>
                <w:tcPr>
                  <w:tcW w:w="1188" w:type="dxa"/>
                  <w:vMerge w:val="restart"/>
                  <w:tcBorders>
                    <w:tl2br w:val="nil"/>
                    <w:tr2bl w:val="nil"/>
                  </w:tcBorders>
                  <w:vAlign w:val="center"/>
                </w:tcPr>
                <w:p w14:paraId="0EEDCA1D">
                  <w:pPr>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b/>
                      <w:color w:val="auto"/>
                      <w:sz w:val="21"/>
                      <w:szCs w:val="21"/>
                      <w:u w:val="none" w:color="auto"/>
                    </w:rPr>
                    <w:t>达标情况</w:t>
                  </w:r>
                </w:p>
              </w:tc>
            </w:tr>
            <w:tr w14:paraId="1213FB0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1101" w:type="dxa"/>
                  <w:vMerge w:val="continue"/>
                  <w:tcBorders>
                    <w:tl2br w:val="nil"/>
                    <w:tr2bl w:val="nil"/>
                  </w:tcBorders>
                  <w:shd w:val="clear" w:color="auto" w:fill="FFFFFF"/>
                  <w:vAlign w:val="center"/>
                </w:tcPr>
                <w:p w14:paraId="5E9FD2B2">
                  <w:pPr>
                    <w:jc w:val="center"/>
                    <w:rPr>
                      <w:rFonts w:hint="default" w:ascii="Times New Roman" w:hAnsi="Times New Roman" w:eastAsia="宋体" w:cs="Times New Roman"/>
                      <w:color w:val="auto"/>
                      <w:sz w:val="21"/>
                      <w:szCs w:val="21"/>
                      <w:u w:val="none" w:color="auto"/>
                    </w:rPr>
                  </w:pPr>
                </w:p>
              </w:tc>
              <w:tc>
                <w:tcPr>
                  <w:tcW w:w="803" w:type="dxa"/>
                  <w:tcBorders>
                    <w:tl2br w:val="nil"/>
                    <w:tr2bl w:val="nil"/>
                  </w:tcBorders>
                  <w:shd w:val="clear" w:color="auto" w:fill="FFFFFF"/>
                  <w:vAlign w:val="center"/>
                </w:tcPr>
                <w:p w14:paraId="24D9709B">
                  <w:pPr>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X</w:t>
                  </w:r>
                </w:p>
              </w:tc>
              <w:tc>
                <w:tcPr>
                  <w:tcW w:w="803" w:type="dxa"/>
                  <w:tcBorders>
                    <w:tl2br w:val="nil"/>
                    <w:tr2bl w:val="nil"/>
                  </w:tcBorders>
                  <w:shd w:val="clear" w:color="auto" w:fill="FFFFFF"/>
                  <w:vAlign w:val="center"/>
                </w:tcPr>
                <w:p w14:paraId="40453D5F">
                  <w:pPr>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Y</w:t>
                  </w:r>
                </w:p>
              </w:tc>
              <w:tc>
                <w:tcPr>
                  <w:tcW w:w="803" w:type="dxa"/>
                  <w:tcBorders>
                    <w:tl2br w:val="nil"/>
                    <w:tr2bl w:val="nil"/>
                  </w:tcBorders>
                  <w:shd w:val="clear" w:color="auto" w:fill="FFFFFF"/>
                  <w:vAlign w:val="center"/>
                </w:tcPr>
                <w:p w14:paraId="1C791933">
                  <w:pPr>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Z</w:t>
                  </w:r>
                </w:p>
              </w:tc>
              <w:tc>
                <w:tcPr>
                  <w:tcW w:w="993" w:type="dxa"/>
                  <w:vMerge w:val="continue"/>
                  <w:tcBorders>
                    <w:tl2br w:val="nil"/>
                    <w:tr2bl w:val="nil"/>
                  </w:tcBorders>
                  <w:shd w:val="clear" w:color="auto" w:fill="FFFFFF"/>
                  <w:vAlign w:val="center"/>
                </w:tcPr>
                <w:p w14:paraId="56BB34CD">
                  <w:pPr>
                    <w:jc w:val="center"/>
                    <w:rPr>
                      <w:rFonts w:hint="default" w:ascii="Times New Roman" w:hAnsi="Times New Roman" w:eastAsia="宋体" w:cs="Times New Roman"/>
                      <w:color w:val="auto"/>
                      <w:sz w:val="21"/>
                      <w:szCs w:val="21"/>
                      <w:u w:val="none" w:color="auto"/>
                    </w:rPr>
                  </w:pPr>
                </w:p>
              </w:tc>
              <w:tc>
                <w:tcPr>
                  <w:tcW w:w="1417" w:type="dxa"/>
                  <w:vMerge w:val="continue"/>
                  <w:tcBorders>
                    <w:tl2br w:val="nil"/>
                    <w:tr2bl w:val="nil"/>
                  </w:tcBorders>
                  <w:shd w:val="clear" w:color="auto" w:fill="FFFFFF"/>
                  <w:vAlign w:val="center"/>
                </w:tcPr>
                <w:p w14:paraId="46B3FF1F">
                  <w:pPr>
                    <w:jc w:val="center"/>
                    <w:rPr>
                      <w:rFonts w:hint="default" w:ascii="Times New Roman" w:hAnsi="Times New Roman" w:eastAsia="宋体" w:cs="Times New Roman"/>
                      <w:color w:val="auto"/>
                      <w:sz w:val="21"/>
                      <w:szCs w:val="21"/>
                      <w:u w:val="none" w:color="auto"/>
                    </w:rPr>
                  </w:pPr>
                </w:p>
              </w:tc>
              <w:tc>
                <w:tcPr>
                  <w:tcW w:w="1418" w:type="dxa"/>
                  <w:vMerge w:val="continue"/>
                  <w:tcBorders>
                    <w:tl2br w:val="nil"/>
                    <w:tr2bl w:val="nil"/>
                  </w:tcBorders>
                  <w:shd w:val="clear" w:color="auto" w:fill="FFFFFF"/>
                  <w:vAlign w:val="center"/>
                </w:tcPr>
                <w:p w14:paraId="2A0C3201">
                  <w:pPr>
                    <w:jc w:val="center"/>
                    <w:rPr>
                      <w:rFonts w:hint="default" w:ascii="Times New Roman" w:hAnsi="Times New Roman" w:eastAsia="宋体" w:cs="Times New Roman"/>
                      <w:color w:val="auto"/>
                      <w:sz w:val="21"/>
                      <w:szCs w:val="21"/>
                      <w:u w:val="none" w:color="auto"/>
                    </w:rPr>
                  </w:pPr>
                </w:p>
              </w:tc>
              <w:tc>
                <w:tcPr>
                  <w:tcW w:w="1188" w:type="dxa"/>
                  <w:vMerge w:val="continue"/>
                  <w:tcBorders>
                    <w:tl2br w:val="nil"/>
                    <w:tr2bl w:val="nil"/>
                  </w:tcBorders>
                  <w:shd w:val="clear" w:color="auto" w:fill="FFFFFF"/>
                  <w:vAlign w:val="center"/>
                </w:tcPr>
                <w:p w14:paraId="2D4EF7EE">
                  <w:pPr>
                    <w:jc w:val="center"/>
                    <w:rPr>
                      <w:rFonts w:hint="default" w:ascii="Times New Roman" w:hAnsi="Times New Roman" w:eastAsia="宋体" w:cs="Times New Roman"/>
                      <w:color w:val="auto"/>
                      <w:sz w:val="21"/>
                      <w:szCs w:val="21"/>
                      <w:u w:val="none" w:color="auto"/>
                    </w:rPr>
                  </w:pPr>
                </w:p>
              </w:tc>
            </w:tr>
            <w:tr w14:paraId="2202459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408" w:hRule="exact"/>
                <w:jc w:val="center"/>
              </w:trPr>
              <w:tc>
                <w:tcPr>
                  <w:tcW w:w="1101" w:type="dxa"/>
                  <w:tcBorders>
                    <w:tl2br w:val="nil"/>
                    <w:tr2bl w:val="nil"/>
                  </w:tcBorders>
                  <w:shd w:val="clear" w:color="auto" w:fill="FFFFFF"/>
                  <w:vAlign w:val="center"/>
                </w:tcPr>
                <w:p w14:paraId="2A1FCB88">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东侧</w:t>
                  </w:r>
                </w:p>
              </w:tc>
              <w:tc>
                <w:tcPr>
                  <w:tcW w:w="803" w:type="dxa"/>
                  <w:tcBorders>
                    <w:tl2br w:val="nil"/>
                    <w:tr2bl w:val="nil"/>
                  </w:tcBorders>
                  <w:shd w:val="clear" w:color="auto" w:fill="FFFFFF"/>
                  <w:vAlign w:val="center"/>
                </w:tcPr>
                <w:p w14:paraId="48B16FA0">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109.6</w:t>
                  </w:r>
                </w:p>
              </w:tc>
              <w:tc>
                <w:tcPr>
                  <w:tcW w:w="803" w:type="dxa"/>
                  <w:tcBorders>
                    <w:tl2br w:val="nil"/>
                    <w:tr2bl w:val="nil"/>
                  </w:tcBorders>
                  <w:shd w:val="clear" w:color="auto" w:fill="FFFFFF"/>
                  <w:vAlign w:val="center"/>
                </w:tcPr>
                <w:p w14:paraId="2C9508F2">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-11.9</w:t>
                  </w:r>
                </w:p>
              </w:tc>
              <w:tc>
                <w:tcPr>
                  <w:tcW w:w="803" w:type="dxa"/>
                  <w:tcBorders>
                    <w:tl2br w:val="nil"/>
                    <w:tr2bl w:val="nil"/>
                  </w:tcBorders>
                  <w:shd w:val="clear" w:color="auto" w:fill="FFFFFF"/>
                  <w:vAlign w:val="center"/>
                </w:tcPr>
                <w:p w14:paraId="7E207AFD">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w:t>
                  </w:r>
                </w:p>
              </w:tc>
              <w:tc>
                <w:tcPr>
                  <w:tcW w:w="993" w:type="dxa"/>
                  <w:tcBorders>
                    <w:tl2br w:val="nil"/>
                    <w:tr2bl w:val="nil"/>
                  </w:tcBorders>
                  <w:shd w:val="clear" w:color="auto" w:fill="FFFFFF"/>
                  <w:vAlign w:val="center"/>
                </w:tcPr>
                <w:p w14:paraId="4DEF70C2">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昼间</w:t>
                  </w:r>
                </w:p>
              </w:tc>
              <w:tc>
                <w:tcPr>
                  <w:tcW w:w="1417" w:type="dxa"/>
                  <w:tcBorders>
                    <w:tl2br w:val="nil"/>
                    <w:tr2bl w:val="nil"/>
                  </w:tcBorders>
                  <w:shd w:val="clear" w:color="auto" w:fill="FFFFFF"/>
                  <w:vAlign w:val="center"/>
                </w:tcPr>
                <w:p w14:paraId="74AC3676">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35.1</w:t>
                  </w:r>
                </w:p>
              </w:tc>
              <w:tc>
                <w:tcPr>
                  <w:tcW w:w="1418" w:type="dxa"/>
                  <w:tcBorders>
                    <w:tl2br w:val="nil"/>
                    <w:tr2bl w:val="nil"/>
                  </w:tcBorders>
                  <w:shd w:val="clear" w:color="auto" w:fill="FFFFFF"/>
                  <w:vAlign w:val="center"/>
                </w:tcPr>
                <w:p w14:paraId="7D523958">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65</w:t>
                  </w:r>
                </w:p>
              </w:tc>
              <w:tc>
                <w:tcPr>
                  <w:tcW w:w="1188" w:type="dxa"/>
                  <w:tcBorders>
                    <w:tl2br w:val="nil"/>
                    <w:tr2bl w:val="nil"/>
                  </w:tcBorders>
                  <w:shd w:val="clear" w:color="auto" w:fill="FFFFFF"/>
                  <w:vAlign w:val="center"/>
                </w:tcPr>
                <w:p w14:paraId="31086B51">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达标</w:t>
                  </w:r>
                </w:p>
              </w:tc>
            </w:tr>
            <w:tr w14:paraId="2152B9F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408" w:hRule="exact"/>
                <w:jc w:val="center"/>
              </w:trPr>
              <w:tc>
                <w:tcPr>
                  <w:tcW w:w="1101" w:type="dxa"/>
                  <w:tcBorders>
                    <w:tl2br w:val="nil"/>
                    <w:tr2bl w:val="nil"/>
                  </w:tcBorders>
                  <w:shd w:val="clear" w:color="auto" w:fill="FFFFFF"/>
                  <w:vAlign w:val="center"/>
                </w:tcPr>
                <w:p w14:paraId="48ABDF23">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南侧</w:t>
                  </w:r>
                </w:p>
              </w:tc>
              <w:tc>
                <w:tcPr>
                  <w:tcW w:w="803" w:type="dxa"/>
                  <w:tcBorders>
                    <w:tl2br w:val="nil"/>
                    <w:tr2bl w:val="nil"/>
                  </w:tcBorders>
                  <w:shd w:val="clear" w:color="auto" w:fill="FFFFFF"/>
                  <w:vAlign w:val="center"/>
                </w:tcPr>
                <w:p w14:paraId="1DAAB4BA">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38.6</w:t>
                  </w:r>
                </w:p>
              </w:tc>
              <w:tc>
                <w:tcPr>
                  <w:tcW w:w="803" w:type="dxa"/>
                  <w:tcBorders>
                    <w:tl2br w:val="nil"/>
                    <w:tr2bl w:val="nil"/>
                  </w:tcBorders>
                  <w:shd w:val="clear" w:color="auto" w:fill="FFFFFF"/>
                  <w:vAlign w:val="center"/>
                </w:tcPr>
                <w:p w14:paraId="23B2AF90">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-42.3</w:t>
                  </w:r>
                </w:p>
              </w:tc>
              <w:tc>
                <w:tcPr>
                  <w:tcW w:w="803" w:type="dxa"/>
                  <w:tcBorders>
                    <w:tl2br w:val="nil"/>
                    <w:tr2bl w:val="nil"/>
                  </w:tcBorders>
                  <w:shd w:val="clear" w:color="auto" w:fill="FFFFFF"/>
                  <w:vAlign w:val="center"/>
                </w:tcPr>
                <w:p w14:paraId="7B1A6057">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w:t>
                  </w:r>
                </w:p>
              </w:tc>
              <w:tc>
                <w:tcPr>
                  <w:tcW w:w="993" w:type="dxa"/>
                  <w:tcBorders>
                    <w:tl2br w:val="nil"/>
                    <w:tr2bl w:val="nil"/>
                  </w:tcBorders>
                  <w:shd w:val="clear" w:color="auto" w:fill="FFFFFF"/>
                  <w:vAlign w:val="center"/>
                </w:tcPr>
                <w:p w14:paraId="09B33008">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昼间</w:t>
                  </w:r>
                </w:p>
              </w:tc>
              <w:tc>
                <w:tcPr>
                  <w:tcW w:w="1417" w:type="dxa"/>
                  <w:tcBorders>
                    <w:tl2br w:val="nil"/>
                    <w:tr2bl w:val="nil"/>
                  </w:tcBorders>
                  <w:shd w:val="clear" w:color="auto" w:fill="FFFFFF"/>
                  <w:vAlign w:val="center"/>
                </w:tcPr>
                <w:p w14:paraId="5636B42B">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43.3</w:t>
                  </w:r>
                </w:p>
              </w:tc>
              <w:tc>
                <w:tcPr>
                  <w:tcW w:w="1418" w:type="dxa"/>
                  <w:tcBorders>
                    <w:tl2br w:val="nil"/>
                    <w:tr2bl w:val="nil"/>
                  </w:tcBorders>
                  <w:shd w:val="clear" w:color="auto" w:fill="FFFFFF"/>
                  <w:vAlign w:val="center"/>
                </w:tcPr>
                <w:p w14:paraId="554EE769">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65</w:t>
                  </w:r>
                </w:p>
              </w:tc>
              <w:tc>
                <w:tcPr>
                  <w:tcW w:w="1188" w:type="dxa"/>
                  <w:tcBorders>
                    <w:tl2br w:val="nil"/>
                    <w:tr2bl w:val="nil"/>
                  </w:tcBorders>
                  <w:shd w:val="clear" w:color="auto" w:fill="FFFFFF"/>
                  <w:vAlign w:val="center"/>
                </w:tcPr>
                <w:p w14:paraId="0802ACD3">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达标</w:t>
                  </w:r>
                </w:p>
              </w:tc>
            </w:tr>
            <w:tr w14:paraId="7206DE1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408" w:hRule="exact"/>
                <w:jc w:val="center"/>
              </w:trPr>
              <w:tc>
                <w:tcPr>
                  <w:tcW w:w="1101" w:type="dxa"/>
                  <w:tcBorders>
                    <w:tl2br w:val="nil"/>
                    <w:tr2bl w:val="nil"/>
                  </w:tcBorders>
                  <w:shd w:val="clear" w:color="auto" w:fill="FFFFFF"/>
                  <w:vAlign w:val="center"/>
                </w:tcPr>
                <w:p w14:paraId="6B076E36">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西侧</w:t>
                  </w:r>
                </w:p>
              </w:tc>
              <w:tc>
                <w:tcPr>
                  <w:tcW w:w="803" w:type="dxa"/>
                  <w:tcBorders>
                    <w:tl2br w:val="nil"/>
                    <w:tr2bl w:val="nil"/>
                  </w:tcBorders>
                  <w:shd w:val="clear" w:color="auto" w:fill="FFFFFF"/>
                  <w:vAlign w:val="center"/>
                </w:tcPr>
                <w:p w14:paraId="3A36BA63">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-107.6</w:t>
                  </w:r>
                </w:p>
              </w:tc>
              <w:tc>
                <w:tcPr>
                  <w:tcW w:w="803" w:type="dxa"/>
                  <w:tcBorders>
                    <w:tl2br w:val="nil"/>
                    <w:tr2bl w:val="nil"/>
                  </w:tcBorders>
                  <w:shd w:val="clear" w:color="auto" w:fill="FFFFFF"/>
                  <w:vAlign w:val="center"/>
                </w:tcPr>
                <w:p w14:paraId="4C4AB871">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26.5</w:t>
                  </w:r>
                </w:p>
              </w:tc>
              <w:tc>
                <w:tcPr>
                  <w:tcW w:w="803" w:type="dxa"/>
                  <w:tcBorders>
                    <w:tl2br w:val="nil"/>
                    <w:tr2bl w:val="nil"/>
                  </w:tcBorders>
                  <w:shd w:val="clear" w:color="auto" w:fill="FFFFFF"/>
                  <w:vAlign w:val="center"/>
                </w:tcPr>
                <w:p w14:paraId="07E0FC97">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w:t>
                  </w:r>
                </w:p>
              </w:tc>
              <w:tc>
                <w:tcPr>
                  <w:tcW w:w="993" w:type="dxa"/>
                  <w:tcBorders>
                    <w:tl2br w:val="nil"/>
                    <w:tr2bl w:val="nil"/>
                  </w:tcBorders>
                  <w:shd w:val="clear" w:color="auto" w:fill="FFFFFF"/>
                  <w:vAlign w:val="center"/>
                </w:tcPr>
                <w:p w14:paraId="0D6C7C85">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昼间</w:t>
                  </w:r>
                </w:p>
              </w:tc>
              <w:tc>
                <w:tcPr>
                  <w:tcW w:w="1417" w:type="dxa"/>
                  <w:tcBorders>
                    <w:tl2br w:val="nil"/>
                    <w:tr2bl w:val="nil"/>
                  </w:tcBorders>
                  <w:shd w:val="clear" w:color="auto" w:fill="FFFFFF"/>
                  <w:vAlign w:val="center"/>
                </w:tcPr>
                <w:p w14:paraId="0ADC67D3">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35.1</w:t>
                  </w:r>
                </w:p>
              </w:tc>
              <w:tc>
                <w:tcPr>
                  <w:tcW w:w="1418" w:type="dxa"/>
                  <w:tcBorders>
                    <w:tl2br w:val="nil"/>
                    <w:tr2bl w:val="nil"/>
                  </w:tcBorders>
                  <w:shd w:val="clear" w:color="auto" w:fill="FFFFFF"/>
                  <w:vAlign w:val="center"/>
                </w:tcPr>
                <w:p w14:paraId="12A1FF39">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65</w:t>
                  </w:r>
                </w:p>
              </w:tc>
              <w:tc>
                <w:tcPr>
                  <w:tcW w:w="1188" w:type="dxa"/>
                  <w:tcBorders>
                    <w:tl2br w:val="nil"/>
                    <w:tr2bl w:val="nil"/>
                  </w:tcBorders>
                  <w:shd w:val="clear" w:color="auto" w:fill="FFFFFF"/>
                  <w:vAlign w:val="center"/>
                </w:tcPr>
                <w:p w14:paraId="0E8136F2">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达标</w:t>
                  </w:r>
                </w:p>
              </w:tc>
            </w:tr>
            <w:tr w14:paraId="66432A4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408" w:hRule="exact"/>
                <w:jc w:val="center"/>
              </w:trPr>
              <w:tc>
                <w:tcPr>
                  <w:tcW w:w="1101" w:type="dxa"/>
                  <w:tcBorders>
                    <w:tl2br w:val="nil"/>
                    <w:tr2bl w:val="nil"/>
                  </w:tcBorders>
                  <w:shd w:val="clear" w:color="auto" w:fill="FFFFFF"/>
                  <w:vAlign w:val="center"/>
                </w:tcPr>
                <w:p w14:paraId="04745F75">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北侧</w:t>
                  </w:r>
                </w:p>
              </w:tc>
              <w:tc>
                <w:tcPr>
                  <w:tcW w:w="803" w:type="dxa"/>
                  <w:tcBorders>
                    <w:tl2br w:val="nil"/>
                    <w:tr2bl w:val="nil"/>
                  </w:tcBorders>
                  <w:shd w:val="clear" w:color="auto" w:fill="FFFFFF"/>
                  <w:vAlign w:val="center"/>
                </w:tcPr>
                <w:p w14:paraId="6BDE2F50">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-66.4</w:t>
                  </w:r>
                </w:p>
              </w:tc>
              <w:tc>
                <w:tcPr>
                  <w:tcW w:w="803" w:type="dxa"/>
                  <w:tcBorders>
                    <w:tl2br w:val="nil"/>
                    <w:tr2bl w:val="nil"/>
                  </w:tcBorders>
                  <w:shd w:val="clear" w:color="auto" w:fill="FFFFFF"/>
                  <w:vAlign w:val="center"/>
                </w:tcPr>
                <w:p w14:paraId="45DE60F1">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45.6</w:t>
                  </w:r>
                </w:p>
              </w:tc>
              <w:tc>
                <w:tcPr>
                  <w:tcW w:w="803" w:type="dxa"/>
                  <w:tcBorders>
                    <w:tl2br w:val="nil"/>
                    <w:tr2bl w:val="nil"/>
                  </w:tcBorders>
                  <w:shd w:val="clear" w:color="auto" w:fill="FFFFFF"/>
                  <w:vAlign w:val="center"/>
                </w:tcPr>
                <w:p w14:paraId="394DEB19">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1.2</w:t>
                  </w:r>
                </w:p>
              </w:tc>
              <w:tc>
                <w:tcPr>
                  <w:tcW w:w="993" w:type="dxa"/>
                  <w:tcBorders>
                    <w:tl2br w:val="nil"/>
                    <w:tr2bl w:val="nil"/>
                  </w:tcBorders>
                  <w:shd w:val="clear" w:color="auto" w:fill="FFFFFF"/>
                  <w:vAlign w:val="center"/>
                </w:tcPr>
                <w:p w14:paraId="526AF80C">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昼间</w:t>
                  </w:r>
                </w:p>
              </w:tc>
              <w:tc>
                <w:tcPr>
                  <w:tcW w:w="1417" w:type="dxa"/>
                  <w:tcBorders>
                    <w:tl2br w:val="nil"/>
                    <w:tr2bl w:val="nil"/>
                  </w:tcBorders>
                  <w:shd w:val="clear" w:color="auto" w:fill="FFFFFF"/>
                  <w:vAlign w:val="center"/>
                </w:tcPr>
                <w:p w14:paraId="525C150D">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37.5</w:t>
                  </w:r>
                </w:p>
              </w:tc>
              <w:tc>
                <w:tcPr>
                  <w:tcW w:w="1418" w:type="dxa"/>
                  <w:tcBorders>
                    <w:tl2br w:val="nil"/>
                    <w:tr2bl w:val="nil"/>
                  </w:tcBorders>
                  <w:shd w:val="clear" w:color="auto" w:fill="FFFFFF"/>
                  <w:vAlign w:val="center"/>
                </w:tcPr>
                <w:p w14:paraId="627AE1EA">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65</w:t>
                  </w:r>
                </w:p>
              </w:tc>
              <w:tc>
                <w:tcPr>
                  <w:tcW w:w="1188" w:type="dxa"/>
                  <w:tcBorders>
                    <w:tl2br w:val="nil"/>
                    <w:tr2bl w:val="nil"/>
                  </w:tcBorders>
                  <w:shd w:val="clear" w:color="auto" w:fill="FFFFFF"/>
                  <w:vAlign w:val="center"/>
                </w:tcPr>
                <w:p w14:paraId="6CAB2099">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0"/>
                      <w:u w:val="none" w:color="auto"/>
                    </w:rPr>
                    <w:t>达标</w:t>
                  </w:r>
                </w:p>
              </w:tc>
            </w:tr>
          </w:tbl>
          <w:p w14:paraId="12294E51">
            <w:pPr>
              <w:adjustRightInd w:val="0"/>
              <w:snapToGrid w:val="0"/>
              <w:spacing w:line="360" w:lineRule="auto"/>
              <w:rPr>
                <w:rFonts w:hint="default" w:ascii="Times New Roman" w:hAnsi="Times New Roman" w:eastAsia="宋体" w:cs="Times New Roman"/>
                <w:color w:val="auto"/>
                <w:u w:val="none" w:color="auto"/>
              </w:rPr>
            </w:pPr>
          </w:p>
          <w:p w14:paraId="67CA84BC">
            <w:pPr>
              <w:adjustRightInd w:val="0"/>
              <w:snapToGrid w:val="0"/>
              <w:spacing w:line="360" w:lineRule="auto"/>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drawing>
                <wp:inline distT="0" distB="0" distL="114300" distR="114300">
                  <wp:extent cx="5461635" cy="4168775"/>
                  <wp:effectExtent l="0" t="0" r="5715" b="3175"/>
                  <wp:docPr id="6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9"/>
                          <pic:cNvPicPr>
                            <a:picLocks noChangeAspect="1"/>
                          </pic:cNvPicPr>
                        </pic:nvPicPr>
                        <pic:blipFill>
                          <a:blip r:embed="rId53"/>
                          <a:stretch>
                            <a:fillRect/>
                          </a:stretch>
                        </pic:blipFill>
                        <pic:spPr>
                          <a:xfrm>
                            <a:off x="0" y="0"/>
                            <a:ext cx="5461635" cy="4168775"/>
                          </a:xfrm>
                          <a:prstGeom prst="rect">
                            <a:avLst/>
                          </a:prstGeom>
                          <a:noFill/>
                          <a:ln>
                            <a:noFill/>
                          </a:ln>
                        </pic:spPr>
                      </pic:pic>
                    </a:graphicData>
                  </a:graphic>
                </wp:inline>
              </w:drawing>
            </w:r>
          </w:p>
          <w:p w14:paraId="42BC647D">
            <w:pPr>
              <w:jc w:val="center"/>
              <w:rPr>
                <w:rFonts w:hint="default" w:ascii="Times New Roman" w:hAnsi="Times New Roman" w:eastAsia="宋体" w:cs="Times New Roman"/>
                <w:b/>
                <w:bCs/>
                <w:color w:val="auto"/>
                <w:u w:val="none" w:color="auto"/>
                <w:lang w:val="en-US" w:eastAsia="zh-CN"/>
              </w:rPr>
            </w:pPr>
            <w:r>
              <w:rPr>
                <w:rFonts w:hint="default" w:ascii="Times New Roman" w:hAnsi="Times New Roman" w:eastAsia="宋体" w:cs="Times New Roman"/>
                <w:b/>
                <w:bCs/>
                <w:color w:val="auto"/>
                <w:u w:val="none" w:color="auto"/>
                <w:lang w:val="en-US" w:eastAsia="zh-CN"/>
              </w:rPr>
              <w:t>图4-5  昼间等声线预测图</w:t>
            </w:r>
          </w:p>
          <w:p w14:paraId="71703124">
            <w:pPr>
              <w:adjustRightInd w:val="0"/>
              <w:snapToGrid w:val="0"/>
              <w:spacing w:line="360" w:lineRule="auto"/>
              <w:ind w:firstLine="480" w:firstLineChars="200"/>
              <w:rPr>
                <w:rFonts w:hint="default" w:ascii="Times New Roman" w:hAnsi="Times New Roman" w:eastAsia="宋体" w:cs="Times New Roman"/>
                <w:color w:val="auto"/>
                <w:spacing w:val="0"/>
                <w:kern w:val="0"/>
                <w:sz w:val="24"/>
                <w:highlight w:val="none"/>
                <w:u w:val="none" w:color="auto"/>
                <w:lang w:val="en-US" w:eastAsia="zh-CN"/>
              </w:rPr>
            </w:pPr>
            <w:r>
              <w:rPr>
                <w:rFonts w:hint="default" w:ascii="Times New Roman" w:hAnsi="Times New Roman" w:eastAsia="宋体" w:cs="Times New Roman"/>
                <w:color w:val="auto"/>
                <w:spacing w:val="0"/>
                <w:kern w:val="0"/>
                <w:sz w:val="24"/>
                <w:highlight w:val="none"/>
                <w:u w:val="none" w:color="auto"/>
                <w:lang w:val="en-US" w:eastAsia="zh-CN"/>
              </w:rPr>
              <w:t>综上所述，建设单位在落实好本次评价提出的措施后，本项目中创空天厂区、临港高新产业园区厂区的厂界四周噪声预测值可以满足《工业企业厂界环境噪声排放标准》（GB12348-2008）</w:t>
            </w:r>
            <w:r>
              <w:rPr>
                <w:rFonts w:hint="eastAsia" w:cs="Times New Roman"/>
                <w:color w:val="auto"/>
                <w:spacing w:val="0"/>
                <w:kern w:val="0"/>
                <w:sz w:val="24"/>
                <w:highlight w:val="none"/>
                <w:u w:val="none" w:color="auto"/>
                <w:lang w:val="en-US" w:eastAsia="zh-CN"/>
              </w:rPr>
              <w:t>3</w:t>
            </w:r>
            <w:r>
              <w:rPr>
                <w:rFonts w:hint="default" w:ascii="Times New Roman" w:hAnsi="Times New Roman" w:eastAsia="宋体" w:cs="Times New Roman"/>
                <w:color w:val="auto"/>
                <w:spacing w:val="0"/>
                <w:kern w:val="0"/>
                <w:sz w:val="24"/>
                <w:highlight w:val="none"/>
                <w:u w:val="none" w:color="auto"/>
                <w:lang w:val="en-US" w:eastAsia="zh-CN"/>
              </w:rPr>
              <w:t>类标准限值，项目营运期噪声对区域声环境影响较小。</w:t>
            </w:r>
          </w:p>
          <w:p w14:paraId="2AE91623">
            <w:pPr>
              <w:adjustRightInd w:val="0"/>
              <w:snapToGrid w:val="0"/>
              <w:spacing w:line="360" w:lineRule="auto"/>
              <w:ind w:firstLine="482" w:firstLineChars="200"/>
              <w:rPr>
                <w:rFonts w:hint="default" w:ascii="Times New Roman" w:hAnsi="Times New Roman" w:eastAsia="宋体" w:cs="Times New Roman"/>
                <w:b/>
                <w:bCs/>
                <w:color w:val="auto"/>
                <w:spacing w:val="0"/>
                <w:kern w:val="0"/>
                <w:sz w:val="24"/>
                <w:u w:val="none" w:color="auto"/>
              </w:rPr>
            </w:pPr>
            <w:r>
              <w:rPr>
                <w:rFonts w:hint="default" w:ascii="Times New Roman" w:hAnsi="Times New Roman" w:eastAsia="宋体" w:cs="Times New Roman"/>
                <w:b/>
                <w:bCs/>
                <w:color w:val="auto"/>
                <w:spacing w:val="0"/>
                <w:kern w:val="0"/>
                <w:sz w:val="24"/>
                <w:u w:val="none" w:color="auto"/>
                <w:lang w:val="en-US" w:eastAsia="zh-CN"/>
              </w:rPr>
              <w:t>5</w:t>
            </w:r>
            <w:r>
              <w:rPr>
                <w:rFonts w:hint="default" w:ascii="Times New Roman" w:hAnsi="Times New Roman" w:eastAsia="宋体" w:cs="Times New Roman"/>
                <w:b/>
                <w:bCs/>
                <w:color w:val="auto"/>
                <w:spacing w:val="0"/>
                <w:kern w:val="0"/>
                <w:sz w:val="24"/>
                <w:u w:val="none" w:color="auto"/>
              </w:rPr>
              <w:t>、监测要求</w:t>
            </w:r>
          </w:p>
          <w:p w14:paraId="0B672BF9">
            <w:pPr>
              <w:adjustRightInd w:val="0"/>
              <w:snapToGrid w:val="0"/>
              <w:spacing w:line="360" w:lineRule="auto"/>
              <w:ind w:firstLine="480" w:firstLineChars="200"/>
              <w:rPr>
                <w:rFonts w:hint="default" w:ascii="Times New Roman" w:hAnsi="Times New Roman" w:eastAsia="宋体" w:cs="Times New Roman"/>
                <w:color w:val="auto"/>
                <w:spacing w:val="0"/>
                <w:kern w:val="0"/>
                <w:sz w:val="24"/>
                <w:u w:val="none" w:color="auto"/>
              </w:rPr>
            </w:pPr>
            <w:r>
              <w:rPr>
                <w:rFonts w:hint="default" w:ascii="Times New Roman" w:hAnsi="Times New Roman" w:eastAsia="宋体" w:cs="Times New Roman"/>
                <w:color w:val="auto"/>
                <w:spacing w:val="0"/>
                <w:kern w:val="0"/>
                <w:sz w:val="24"/>
                <w:highlight w:val="none"/>
                <w:u w:val="none" w:color="auto"/>
                <w:lang w:val="en-US" w:eastAsia="zh-CN"/>
              </w:rPr>
              <w:t>根据《排污单位自行监测技术指南  总则》（HJ819-2017）、《排污单位自行监测技术指南 金属铸造工业》(HJ 1251-2022)、</w:t>
            </w:r>
            <w:r>
              <w:rPr>
                <w:rFonts w:hint="default" w:ascii="Times New Roman" w:hAnsi="Times New Roman" w:eastAsia="宋体" w:cs="Times New Roman"/>
                <w:color w:val="auto"/>
                <w:spacing w:val="0"/>
                <w:sz w:val="24"/>
                <w:highlight w:val="none"/>
                <w:u w:val="none" w:color="auto"/>
                <w:lang w:val="en-US" w:eastAsia="zh-CN"/>
              </w:rPr>
              <w:t>《排污许可证申请与核发技术规范  工业炉窑》（HJ1121-2020）、和《排污许可证申请与核发技术规范  汽车制造业》（HJ 971-2018）</w:t>
            </w:r>
            <w:r>
              <w:rPr>
                <w:rFonts w:hint="default" w:ascii="Times New Roman" w:hAnsi="Times New Roman" w:eastAsia="宋体" w:cs="Times New Roman"/>
                <w:color w:val="auto"/>
                <w:spacing w:val="0"/>
                <w:kern w:val="0"/>
                <w:sz w:val="24"/>
                <w:highlight w:val="none"/>
                <w:u w:val="none" w:color="auto"/>
                <w:lang w:val="en-US" w:eastAsia="zh-CN"/>
              </w:rPr>
              <w:t>的</w:t>
            </w:r>
            <w:r>
              <w:rPr>
                <w:rFonts w:hint="default" w:ascii="Times New Roman" w:hAnsi="Times New Roman" w:eastAsia="宋体" w:cs="Times New Roman"/>
                <w:color w:val="auto"/>
                <w:spacing w:val="0"/>
                <w:kern w:val="0"/>
                <w:sz w:val="24"/>
                <w:highlight w:val="none"/>
                <w:u w:val="none" w:color="auto"/>
              </w:rPr>
              <w:t>相关要求</w:t>
            </w:r>
            <w:r>
              <w:rPr>
                <w:rFonts w:hint="default" w:ascii="Times New Roman" w:hAnsi="Times New Roman" w:eastAsia="宋体" w:cs="Times New Roman"/>
                <w:color w:val="auto"/>
                <w:spacing w:val="0"/>
                <w:kern w:val="0"/>
                <w:sz w:val="24"/>
                <w:highlight w:val="none"/>
                <w:u w:val="none" w:color="auto"/>
                <w:lang w:eastAsia="zh-CN"/>
              </w:rPr>
              <w:t>，</w:t>
            </w:r>
            <w:r>
              <w:rPr>
                <w:rFonts w:hint="default" w:ascii="Times New Roman" w:hAnsi="Times New Roman" w:eastAsia="宋体" w:cs="Times New Roman"/>
                <w:color w:val="auto"/>
                <w:spacing w:val="0"/>
                <w:kern w:val="0"/>
                <w:sz w:val="24"/>
                <w:highlight w:val="none"/>
                <w:u w:val="none" w:color="auto"/>
                <w:lang w:val="en-US" w:eastAsia="zh-CN"/>
              </w:rPr>
              <w:t>提出监测要求，</w:t>
            </w:r>
            <w:r>
              <w:rPr>
                <w:rFonts w:hint="default" w:ascii="Times New Roman" w:hAnsi="Times New Roman" w:eastAsia="宋体" w:cs="Times New Roman"/>
                <w:color w:val="auto"/>
                <w:spacing w:val="0"/>
                <w:kern w:val="0"/>
                <w:sz w:val="24"/>
                <w:highlight w:val="none"/>
                <w:u w:val="none" w:color="auto"/>
              </w:rPr>
              <w:t>详见</w:t>
            </w:r>
            <w:r>
              <w:rPr>
                <w:rFonts w:hint="default" w:ascii="Times New Roman" w:hAnsi="Times New Roman" w:eastAsia="宋体" w:cs="Times New Roman"/>
                <w:color w:val="auto"/>
                <w:spacing w:val="0"/>
                <w:kern w:val="0"/>
                <w:sz w:val="24"/>
                <w:highlight w:val="none"/>
                <w:u w:val="none" w:color="auto"/>
                <w:lang w:val="en-US" w:eastAsia="zh-CN"/>
              </w:rPr>
              <w:t>下表</w:t>
            </w:r>
            <w:r>
              <w:rPr>
                <w:rFonts w:hint="default" w:ascii="Times New Roman" w:hAnsi="Times New Roman" w:eastAsia="宋体" w:cs="Times New Roman"/>
                <w:color w:val="auto"/>
                <w:spacing w:val="0"/>
                <w:kern w:val="0"/>
                <w:sz w:val="24"/>
                <w:highlight w:val="none"/>
                <w:u w:val="none" w:color="auto"/>
              </w:rPr>
              <w:t>。</w:t>
            </w:r>
          </w:p>
          <w:p w14:paraId="72803E6D">
            <w:pPr>
              <w:jc w:val="center"/>
              <w:rPr>
                <w:rFonts w:hint="default" w:ascii="Times New Roman" w:hAnsi="Times New Roman" w:eastAsia="宋体" w:cs="Times New Roman"/>
                <w:b/>
                <w:bCs/>
                <w:color w:val="auto"/>
                <w:spacing w:val="0"/>
                <w:kern w:val="0"/>
                <w:sz w:val="24"/>
                <w:u w:val="none" w:color="auto"/>
              </w:rPr>
            </w:pPr>
            <w:r>
              <w:rPr>
                <w:rFonts w:hint="default" w:ascii="Times New Roman" w:hAnsi="Times New Roman" w:eastAsia="宋体" w:cs="Times New Roman"/>
                <w:b/>
                <w:bCs/>
                <w:color w:val="auto"/>
                <w:spacing w:val="0"/>
                <w:u w:val="none" w:color="auto"/>
              </w:rPr>
              <w:t>表4-</w:t>
            </w:r>
            <w:r>
              <w:rPr>
                <w:rFonts w:hint="default" w:ascii="Times New Roman" w:hAnsi="Times New Roman" w:eastAsia="宋体" w:cs="Times New Roman"/>
                <w:b/>
                <w:bCs/>
                <w:color w:val="auto"/>
                <w:spacing w:val="0"/>
                <w:u w:val="none" w:color="auto"/>
                <w:lang w:val="en-US" w:eastAsia="zh-CN"/>
              </w:rPr>
              <w:t>38</w:t>
            </w:r>
            <w:r>
              <w:rPr>
                <w:rFonts w:hint="default" w:ascii="Times New Roman" w:hAnsi="Times New Roman" w:eastAsia="宋体" w:cs="Times New Roman"/>
                <w:b/>
                <w:bCs/>
                <w:color w:val="auto"/>
                <w:spacing w:val="0"/>
                <w:u w:val="none" w:color="auto"/>
              </w:rPr>
              <w:t xml:space="preserve">  声环境监测计划一览表</w:t>
            </w:r>
          </w:p>
          <w:tbl>
            <w:tblPr>
              <w:tblStyle w:val="31"/>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129"/>
              <w:gridCol w:w="2129"/>
              <w:gridCol w:w="2130"/>
              <w:gridCol w:w="2130"/>
            </w:tblGrid>
            <w:tr w14:paraId="7DC0B00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50" w:type="pct"/>
                  <w:noWrap w:val="0"/>
                  <w:vAlign w:val="center"/>
                </w:tcPr>
                <w:p w14:paraId="10204FCF">
                  <w:pPr>
                    <w:jc w:val="center"/>
                    <w:rPr>
                      <w:rFonts w:hint="default" w:ascii="Times New Roman" w:hAnsi="Times New Roman" w:eastAsia="宋体" w:cs="Times New Roman"/>
                      <w:b/>
                      <w:bCs/>
                      <w:color w:val="auto"/>
                      <w:spacing w:val="0"/>
                      <w:u w:val="none" w:color="auto"/>
                    </w:rPr>
                  </w:pPr>
                  <w:r>
                    <w:rPr>
                      <w:rFonts w:hint="default" w:ascii="Times New Roman" w:hAnsi="Times New Roman" w:eastAsia="宋体" w:cs="Times New Roman"/>
                      <w:b/>
                      <w:bCs/>
                      <w:color w:val="auto"/>
                      <w:spacing w:val="0"/>
                      <w:u w:val="none" w:color="auto"/>
                    </w:rPr>
                    <w:t>监测内容</w:t>
                  </w:r>
                </w:p>
              </w:tc>
              <w:tc>
                <w:tcPr>
                  <w:tcW w:w="1250" w:type="pct"/>
                  <w:noWrap w:val="0"/>
                  <w:vAlign w:val="center"/>
                </w:tcPr>
                <w:p w14:paraId="45C65062">
                  <w:pPr>
                    <w:jc w:val="center"/>
                    <w:rPr>
                      <w:rFonts w:hint="default" w:ascii="Times New Roman" w:hAnsi="Times New Roman" w:eastAsia="宋体" w:cs="Times New Roman"/>
                      <w:b/>
                      <w:bCs/>
                      <w:color w:val="auto"/>
                      <w:spacing w:val="0"/>
                      <w:u w:val="none" w:color="auto"/>
                    </w:rPr>
                  </w:pPr>
                  <w:r>
                    <w:rPr>
                      <w:rFonts w:hint="default" w:ascii="Times New Roman" w:hAnsi="Times New Roman" w:eastAsia="宋体" w:cs="Times New Roman"/>
                      <w:b/>
                      <w:bCs/>
                      <w:color w:val="auto"/>
                      <w:spacing w:val="0"/>
                      <w:u w:val="none" w:color="auto"/>
                    </w:rPr>
                    <w:t>监测项目</w:t>
                  </w:r>
                </w:p>
              </w:tc>
              <w:tc>
                <w:tcPr>
                  <w:tcW w:w="1250" w:type="pct"/>
                  <w:noWrap w:val="0"/>
                  <w:vAlign w:val="center"/>
                </w:tcPr>
                <w:p w14:paraId="07BD5768">
                  <w:pPr>
                    <w:jc w:val="center"/>
                    <w:rPr>
                      <w:rFonts w:hint="default" w:ascii="Times New Roman" w:hAnsi="Times New Roman" w:eastAsia="宋体" w:cs="Times New Roman"/>
                      <w:b/>
                      <w:bCs/>
                      <w:color w:val="auto"/>
                      <w:spacing w:val="0"/>
                      <w:u w:val="none" w:color="auto"/>
                    </w:rPr>
                  </w:pPr>
                  <w:r>
                    <w:rPr>
                      <w:rFonts w:hint="default" w:ascii="Times New Roman" w:hAnsi="Times New Roman" w:eastAsia="宋体" w:cs="Times New Roman"/>
                      <w:b/>
                      <w:bCs/>
                      <w:color w:val="auto"/>
                      <w:spacing w:val="0"/>
                      <w:u w:val="none" w:color="auto"/>
                    </w:rPr>
                    <w:t>监测点位</w:t>
                  </w:r>
                </w:p>
              </w:tc>
              <w:tc>
                <w:tcPr>
                  <w:tcW w:w="1250" w:type="pct"/>
                  <w:noWrap w:val="0"/>
                  <w:vAlign w:val="center"/>
                </w:tcPr>
                <w:p w14:paraId="538BD562">
                  <w:pPr>
                    <w:jc w:val="center"/>
                    <w:rPr>
                      <w:rFonts w:hint="default" w:ascii="Times New Roman" w:hAnsi="Times New Roman" w:eastAsia="宋体" w:cs="Times New Roman"/>
                      <w:b/>
                      <w:bCs/>
                      <w:color w:val="auto"/>
                      <w:spacing w:val="0"/>
                      <w:u w:val="none" w:color="auto"/>
                    </w:rPr>
                  </w:pPr>
                  <w:r>
                    <w:rPr>
                      <w:rFonts w:hint="default" w:ascii="Times New Roman" w:hAnsi="Times New Roman" w:eastAsia="宋体" w:cs="Times New Roman"/>
                      <w:b/>
                      <w:bCs/>
                      <w:color w:val="auto"/>
                      <w:spacing w:val="0"/>
                      <w:u w:val="none" w:color="auto"/>
                    </w:rPr>
                    <w:t>监测频次</w:t>
                  </w:r>
                </w:p>
              </w:tc>
            </w:tr>
            <w:tr w14:paraId="2EB22A0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50" w:type="pct"/>
                  <w:noWrap w:val="0"/>
                  <w:vAlign w:val="center"/>
                </w:tcPr>
                <w:p w14:paraId="6ECC5263">
                  <w:pPr>
                    <w:jc w:val="center"/>
                    <w:rPr>
                      <w:rFonts w:hint="default" w:ascii="Times New Roman" w:hAnsi="Times New Roman" w:eastAsia="宋体" w:cs="Times New Roman"/>
                      <w:color w:val="auto"/>
                      <w:spacing w:val="0"/>
                      <w:u w:val="none" w:color="auto"/>
                    </w:rPr>
                  </w:pPr>
                  <w:r>
                    <w:rPr>
                      <w:rFonts w:hint="default" w:ascii="Times New Roman" w:hAnsi="Times New Roman" w:eastAsia="宋体" w:cs="Times New Roman"/>
                      <w:color w:val="auto"/>
                      <w:spacing w:val="0"/>
                      <w:u w:val="none" w:color="auto"/>
                      <w:lang w:val="en-US" w:eastAsia="zh-CN"/>
                    </w:rPr>
                    <w:t>中创空天厂区、临港高新产业园区</w:t>
                  </w:r>
                  <w:r>
                    <w:rPr>
                      <w:rFonts w:hint="default" w:ascii="Times New Roman" w:hAnsi="Times New Roman" w:eastAsia="宋体" w:cs="Times New Roman"/>
                      <w:color w:val="auto"/>
                      <w:spacing w:val="0"/>
                      <w:u w:val="none" w:color="auto"/>
                    </w:rPr>
                    <w:t>厂界噪声（昼、夜）</w:t>
                  </w:r>
                </w:p>
              </w:tc>
              <w:tc>
                <w:tcPr>
                  <w:tcW w:w="1250" w:type="pct"/>
                  <w:noWrap w:val="0"/>
                  <w:vAlign w:val="center"/>
                </w:tcPr>
                <w:p w14:paraId="1A6171EF">
                  <w:pPr>
                    <w:jc w:val="center"/>
                    <w:rPr>
                      <w:rFonts w:hint="default" w:ascii="Times New Roman" w:hAnsi="Times New Roman" w:eastAsia="宋体" w:cs="Times New Roman"/>
                      <w:color w:val="auto"/>
                      <w:spacing w:val="0"/>
                      <w:u w:val="none" w:color="auto"/>
                    </w:rPr>
                  </w:pPr>
                  <w:r>
                    <w:rPr>
                      <w:rFonts w:hint="default" w:ascii="Times New Roman" w:hAnsi="Times New Roman" w:eastAsia="宋体" w:cs="Times New Roman"/>
                      <w:color w:val="auto"/>
                      <w:spacing w:val="0"/>
                      <w:u w:val="none" w:color="auto"/>
                      <w:lang w:val="en-US" w:eastAsia="zh-CN"/>
                    </w:rPr>
                    <w:t>昼间、夜间</w:t>
                  </w:r>
                  <w:r>
                    <w:rPr>
                      <w:rFonts w:hint="default" w:ascii="Times New Roman" w:hAnsi="Times New Roman" w:eastAsia="宋体" w:cs="Times New Roman"/>
                      <w:color w:val="auto"/>
                      <w:spacing w:val="0"/>
                      <w:u w:val="none" w:color="auto"/>
                    </w:rPr>
                    <w:t>等效A声级</w:t>
                  </w:r>
                </w:p>
              </w:tc>
              <w:tc>
                <w:tcPr>
                  <w:tcW w:w="1250" w:type="pct"/>
                  <w:noWrap w:val="0"/>
                  <w:vAlign w:val="center"/>
                </w:tcPr>
                <w:p w14:paraId="003A10C2">
                  <w:pPr>
                    <w:jc w:val="center"/>
                    <w:rPr>
                      <w:rFonts w:hint="default" w:ascii="Times New Roman" w:hAnsi="Times New Roman" w:eastAsia="宋体" w:cs="Times New Roman"/>
                      <w:color w:val="auto"/>
                      <w:spacing w:val="0"/>
                      <w:u w:val="none" w:color="auto"/>
                    </w:rPr>
                  </w:pPr>
                  <w:r>
                    <w:rPr>
                      <w:rFonts w:hint="default" w:ascii="Times New Roman" w:hAnsi="Times New Roman" w:eastAsia="宋体" w:cs="Times New Roman"/>
                      <w:color w:val="auto"/>
                      <w:spacing w:val="0"/>
                      <w:u w:val="none" w:color="auto"/>
                    </w:rPr>
                    <w:t>厂界</w:t>
                  </w:r>
                </w:p>
              </w:tc>
              <w:tc>
                <w:tcPr>
                  <w:tcW w:w="1250" w:type="pct"/>
                  <w:noWrap w:val="0"/>
                  <w:vAlign w:val="center"/>
                </w:tcPr>
                <w:p w14:paraId="6B45D7CF">
                  <w:pPr>
                    <w:jc w:val="center"/>
                    <w:rPr>
                      <w:rFonts w:hint="default" w:ascii="Times New Roman" w:hAnsi="Times New Roman" w:eastAsia="宋体" w:cs="Times New Roman"/>
                      <w:color w:val="auto"/>
                      <w:spacing w:val="0"/>
                      <w:u w:val="none" w:color="auto"/>
                    </w:rPr>
                  </w:pPr>
                  <w:r>
                    <w:rPr>
                      <w:rFonts w:hint="default" w:ascii="Times New Roman" w:hAnsi="Times New Roman" w:eastAsia="宋体" w:cs="Times New Roman"/>
                      <w:color w:val="auto"/>
                      <w:spacing w:val="0"/>
                      <w:u w:val="none" w:color="auto"/>
                    </w:rPr>
                    <w:t>1次/季</w:t>
                  </w:r>
                </w:p>
              </w:tc>
            </w:tr>
          </w:tbl>
          <w:p w14:paraId="6DFF7D6C">
            <w:pPr>
              <w:adjustRightInd w:val="0"/>
              <w:snapToGrid w:val="0"/>
              <w:spacing w:line="360" w:lineRule="auto"/>
              <w:ind w:firstLine="482" w:firstLineChars="200"/>
              <w:rPr>
                <w:rFonts w:hint="default" w:ascii="Times New Roman" w:hAnsi="Times New Roman" w:eastAsia="宋体" w:cs="Times New Roman"/>
                <w:b/>
                <w:color w:val="auto"/>
                <w:spacing w:val="0"/>
                <w:sz w:val="24"/>
                <w:u w:val="none" w:color="auto"/>
              </w:rPr>
            </w:pPr>
            <w:r>
              <w:rPr>
                <w:rFonts w:hint="default" w:ascii="Times New Roman" w:hAnsi="Times New Roman" w:eastAsia="宋体" w:cs="Times New Roman"/>
                <w:b/>
                <w:color w:val="auto"/>
                <w:spacing w:val="0"/>
                <w:sz w:val="24"/>
                <w:u w:val="none" w:color="auto"/>
              </w:rPr>
              <w:t>四、固废</w:t>
            </w:r>
          </w:p>
          <w:p w14:paraId="5A8E19CB">
            <w:pPr>
              <w:adjustRightInd w:val="0"/>
              <w:snapToGrid w:val="0"/>
              <w:spacing w:line="360" w:lineRule="auto"/>
              <w:ind w:firstLine="480" w:firstLineChars="200"/>
              <w:rPr>
                <w:rFonts w:hint="default" w:ascii="Times New Roman" w:hAnsi="Times New Roman" w:eastAsia="宋体" w:cs="Times New Roman"/>
                <w:color w:val="auto"/>
                <w:spacing w:val="0"/>
                <w:sz w:val="24"/>
                <w:u w:val="none" w:color="auto"/>
              </w:rPr>
            </w:pPr>
            <w:r>
              <w:rPr>
                <w:rFonts w:hint="default" w:ascii="Times New Roman" w:hAnsi="Times New Roman" w:eastAsia="宋体" w:cs="Times New Roman"/>
                <w:color w:val="auto"/>
                <w:spacing w:val="0"/>
                <w:sz w:val="24"/>
                <w:u w:val="none" w:color="auto"/>
                <w:lang w:val="en-US" w:eastAsia="zh-CN"/>
              </w:rPr>
              <w:t>本项目</w:t>
            </w:r>
            <w:r>
              <w:rPr>
                <w:rFonts w:hint="default" w:ascii="Times New Roman" w:hAnsi="Times New Roman" w:eastAsia="宋体" w:cs="Times New Roman"/>
                <w:color w:val="auto"/>
                <w:spacing w:val="0"/>
                <w:sz w:val="24"/>
                <w:u w:val="none" w:color="auto"/>
              </w:rPr>
              <w:t>运营期</w:t>
            </w:r>
            <w:r>
              <w:rPr>
                <w:rFonts w:hint="default" w:ascii="Times New Roman" w:hAnsi="Times New Roman" w:eastAsia="宋体" w:cs="Times New Roman"/>
                <w:color w:val="auto"/>
                <w:spacing w:val="0"/>
                <w:sz w:val="24"/>
                <w:u w:val="none" w:color="auto"/>
                <w:lang w:val="en-US" w:eastAsia="zh-CN"/>
              </w:rPr>
              <w:t>产生的</w:t>
            </w:r>
            <w:r>
              <w:rPr>
                <w:rFonts w:hint="default" w:ascii="Times New Roman" w:hAnsi="Times New Roman" w:eastAsia="宋体" w:cs="Times New Roman"/>
                <w:color w:val="auto"/>
                <w:spacing w:val="0"/>
                <w:sz w:val="24"/>
                <w:u w:val="none" w:color="auto"/>
              </w:rPr>
              <w:t>固废根据其性质可分为一般固废、危险废物、生活垃圾。</w:t>
            </w:r>
          </w:p>
          <w:p w14:paraId="7679BEE7">
            <w:pPr>
              <w:adjustRightInd w:val="0"/>
              <w:snapToGrid w:val="0"/>
              <w:spacing w:line="360" w:lineRule="auto"/>
              <w:rPr>
                <w:rFonts w:hint="default" w:ascii="Times New Roman" w:hAnsi="Times New Roman" w:eastAsia="宋体" w:cs="Times New Roman"/>
                <w:b/>
                <w:bCs/>
                <w:color w:val="auto"/>
                <w:spacing w:val="0"/>
                <w:sz w:val="24"/>
                <w:u w:val="none" w:color="auto"/>
                <w:lang w:val="en-US" w:eastAsia="zh-CN"/>
              </w:rPr>
            </w:pPr>
            <w:r>
              <w:rPr>
                <w:rFonts w:hint="default" w:ascii="Times New Roman" w:hAnsi="Times New Roman" w:eastAsia="宋体" w:cs="Times New Roman"/>
                <w:b/>
                <w:bCs/>
                <w:color w:val="auto"/>
                <w:spacing w:val="0"/>
                <w:sz w:val="24"/>
                <w:u w:val="none" w:color="auto"/>
                <w:lang w:eastAsia="zh-CN"/>
              </w:rPr>
              <w:t>（</w:t>
            </w:r>
            <w:r>
              <w:rPr>
                <w:rFonts w:hint="default" w:ascii="Times New Roman" w:hAnsi="Times New Roman" w:eastAsia="宋体" w:cs="Times New Roman"/>
                <w:b/>
                <w:bCs/>
                <w:color w:val="auto"/>
                <w:spacing w:val="0"/>
                <w:sz w:val="24"/>
                <w:u w:val="none" w:color="auto"/>
                <w:lang w:val="en-US" w:eastAsia="zh-CN"/>
              </w:rPr>
              <w:t>一</w:t>
            </w:r>
            <w:r>
              <w:rPr>
                <w:rFonts w:hint="default" w:ascii="Times New Roman" w:hAnsi="Times New Roman" w:eastAsia="宋体" w:cs="Times New Roman"/>
                <w:b/>
                <w:bCs/>
                <w:color w:val="auto"/>
                <w:spacing w:val="0"/>
                <w:sz w:val="24"/>
                <w:u w:val="none" w:color="auto"/>
                <w:lang w:eastAsia="zh-CN"/>
              </w:rPr>
              <w:t>）</w:t>
            </w:r>
            <w:r>
              <w:rPr>
                <w:rFonts w:hint="default" w:ascii="Times New Roman" w:hAnsi="Times New Roman" w:eastAsia="宋体" w:cs="Times New Roman"/>
                <w:b/>
                <w:bCs/>
                <w:color w:val="auto"/>
                <w:spacing w:val="0"/>
                <w:sz w:val="24"/>
                <w:u w:val="none" w:color="auto"/>
                <w:lang w:val="en-US" w:eastAsia="zh-CN"/>
              </w:rPr>
              <w:t>中创空天厂区</w:t>
            </w:r>
          </w:p>
          <w:p w14:paraId="0788C8F8">
            <w:pPr>
              <w:adjustRightInd w:val="0"/>
              <w:snapToGrid w:val="0"/>
              <w:spacing w:line="360" w:lineRule="auto"/>
              <w:ind w:firstLine="482" w:firstLineChars="200"/>
              <w:rPr>
                <w:rFonts w:hint="default" w:ascii="Times New Roman" w:hAnsi="Times New Roman" w:eastAsia="宋体" w:cs="Times New Roman"/>
                <w:b/>
                <w:bCs/>
                <w:color w:val="auto"/>
                <w:spacing w:val="0"/>
                <w:sz w:val="24"/>
                <w:u w:val="none" w:color="auto"/>
              </w:rPr>
            </w:pPr>
            <w:r>
              <w:rPr>
                <w:rFonts w:hint="default" w:ascii="Times New Roman" w:hAnsi="Times New Roman" w:eastAsia="宋体" w:cs="Times New Roman"/>
                <w:b/>
                <w:bCs/>
                <w:color w:val="auto"/>
                <w:spacing w:val="0"/>
                <w:sz w:val="24"/>
                <w:u w:val="none" w:color="auto"/>
              </w:rPr>
              <w:t>1、一般固体废物</w:t>
            </w:r>
          </w:p>
          <w:p w14:paraId="13B27303">
            <w:pPr>
              <w:spacing w:line="360" w:lineRule="auto"/>
              <w:ind w:firstLine="482" w:firstLineChars="200"/>
              <w:rPr>
                <w:rFonts w:hint="default" w:ascii="Times New Roman" w:hAnsi="Times New Roman" w:eastAsia="宋体" w:cs="Times New Roman"/>
                <w:b/>
                <w:bCs/>
                <w:color w:val="auto"/>
                <w:spacing w:val="0"/>
                <w:sz w:val="24"/>
                <w:highlight w:val="none"/>
                <w:u w:val="none" w:color="auto"/>
                <w:lang w:val="en-US" w:eastAsia="zh-CN"/>
              </w:rPr>
            </w:pPr>
            <w:r>
              <w:rPr>
                <w:rFonts w:hint="default" w:ascii="Times New Roman" w:hAnsi="Times New Roman" w:eastAsia="宋体" w:cs="Times New Roman"/>
                <w:b/>
                <w:bCs/>
                <w:color w:val="auto"/>
                <w:spacing w:val="0"/>
                <w:sz w:val="24"/>
                <w:highlight w:val="none"/>
                <w:u w:val="none" w:color="auto"/>
                <w:lang w:val="en-US" w:eastAsia="zh-CN"/>
              </w:rPr>
              <w:t>（1）生物质灰渣（S3）</w:t>
            </w:r>
          </w:p>
          <w:p w14:paraId="40611681">
            <w:pPr>
              <w:pStyle w:val="101"/>
              <w:rPr>
                <w:rFonts w:hint="default" w:ascii="Times New Roman" w:hAnsi="Times New Roman" w:eastAsia="宋体" w:cs="Times New Roman"/>
                <w:b/>
                <w:bCs w:val="0"/>
                <w:color w:val="auto"/>
                <w:spacing w:val="0"/>
                <w:sz w:val="24"/>
                <w:highlight w:val="none"/>
                <w:u w:val="none" w:color="auto"/>
                <w:lang w:val="en-US" w:eastAsia="zh-CN"/>
              </w:rPr>
            </w:pPr>
            <w:r>
              <w:rPr>
                <w:rFonts w:hint="default" w:ascii="Times New Roman" w:hAnsi="Times New Roman" w:eastAsia="宋体" w:cs="Times New Roman"/>
                <w:color w:val="auto"/>
                <w:highlight w:val="none"/>
                <w:u w:val="none" w:color="auto"/>
              </w:rPr>
              <w:t>生物质颗粒燃烧后产生</w:t>
            </w:r>
            <w:r>
              <w:rPr>
                <w:rFonts w:hint="default" w:ascii="Times New Roman" w:hAnsi="Times New Roman" w:eastAsia="宋体" w:cs="Times New Roman"/>
                <w:color w:val="auto"/>
                <w:highlight w:val="none"/>
                <w:u w:val="none" w:color="auto"/>
                <w:lang w:eastAsia="zh-CN"/>
              </w:rPr>
              <w:t>生物质灰渣</w:t>
            </w:r>
            <w:r>
              <w:rPr>
                <w:rFonts w:hint="default" w:ascii="Times New Roman" w:hAnsi="Times New Roman" w:eastAsia="宋体" w:cs="Times New Roman"/>
                <w:color w:val="auto"/>
                <w:highlight w:val="none"/>
                <w:u w:val="none" w:color="auto"/>
              </w:rPr>
              <w:t>，按原料灰分估算</w:t>
            </w:r>
            <w:r>
              <w:rPr>
                <w:rFonts w:hint="default" w:ascii="Times New Roman" w:hAnsi="Times New Roman" w:eastAsia="宋体" w:cs="Times New Roman"/>
                <w:color w:val="auto"/>
                <w:highlight w:val="none"/>
                <w:u w:val="none" w:color="auto"/>
                <w:lang w:eastAsia="zh-CN"/>
              </w:rPr>
              <w:t>（</w:t>
            </w:r>
            <w:r>
              <w:rPr>
                <w:rFonts w:hint="default" w:ascii="Times New Roman" w:hAnsi="Times New Roman" w:eastAsia="宋体" w:cs="Times New Roman"/>
                <w:color w:val="auto"/>
                <w:highlight w:val="none"/>
                <w:u w:val="none" w:color="auto"/>
                <w:lang w:val="en-US" w:eastAsia="zh-CN"/>
              </w:rPr>
              <w:t>收到基灰分为1.77%</w:t>
            </w:r>
            <w:r>
              <w:rPr>
                <w:rFonts w:hint="default" w:ascii="Times New Roman" w:hAnsi="Times New Roman" w:eastAsia="宋体" w:cs="Times New Roman"/>
                <w:color w:val="auto"/>
                <w:highlight w:val="none"/>
                <w:u w:val="none" w:color="auto"/>
                <w:lang w:eastAsia="zh-CN"/>
              </w:rPr>
              <w:t>）</w:t>
            </w:r>
            <w:r>
              <w:rPr>
                <w:rFonts w:hint="default" w:ascii="Times New Roman" w:hAnsi="Times New Roman" w:eastAsia="宋体" w:cs="Times New Roman"/>
                <w:color w:val="auto"/>
                <w:highlight w:val="none"/>
                <w:u w:val="none" w:color="auto"/>
              </w:rPr>
              <w:t>，产生量约为</w:t>
            </w:r>
            <w:r>
              <w:rPr>
                <w:rFonts w:hint="default" w:ascii="Times New Roman" w:hAnsi="Times New Roman" w:eastAsia="宋体" w:cs="Times New Roman"/>
                <w:color w:val="auto"/>
                <w:highlight w:val="none"/>
                <w:u w:val="none" w:color="auto"/>
                <w:lang w:val="en-US" w:eastAsia="zh-CN"/>
              </w:rPr>
              <w:t>283.2</w:t>
            </w:r>
            <w:r>
              <w:rPr>
                <w:rFonts w:hint="default" w:ascii="Times New Roman" w:hAnsi="Times New Roman" w:eastAsia="宋体" w:cs="Times New Roman"/>
                <w:color w:val="auto"/>
                <w:highlight w:val="none"/>
                <w:u w:val="none" w:color="auto"/>
                <w:lang w:eastAsia="zh-CN"/>
              </w:rPr>
              <w:t>‬</w:t>
            </w:r>
            <w:r>
              <w:rPr>
                <w:rFonts w:hint="default" w:ascii="Times New Roman" w:hAnsi="Times New Roman" w:eastAsia="宋体" w:cs="Times New Roman"/>
                <w:color w:val="auto"/>
                <w:highlight w:val="none"/>
                <w:u w:val="none" w:color="auto"/>
              </w:rPr>
              <w:t>t/a，经袋装收集，</w:t>
            </w:r>
            <w:r>
              <w:rPr>
                <w:rFonts w:hint="default" w:ascii="Times New Roman" w:hAnsi="Times New Roman" w:eastAsia="宋体" w:cs="Times New Roman"/>
                <w:color w:val="auto"/>
                <w:highlight w:val="none"/>
                <w:u w:val="none" w:color="auto"/>
                <w:lang w:val="en-US" w:eastAsia="zh-CN"/>
              </w:rPr>
              <w:t>外售</w:t>
            </w:r>
            <w:r>
              <w:rPr>
                <w:rFonts w:hint="default" w:ascii="Times New Roman" w:hAnsi="Times New Roman" w:eastAsia="宋体" w:cs="Times New Roman"/>
                <w:color w:val="auto"/>
                <w:highlight w:val="none"/>
                <w:u w:val="none" w:color="auto"/>
              </w:rPr>
              <w:t>综合利用。</w:t>
            </w:r>
          </w:p>
          <w:p w14:paraId="3548042E">
            <w:pPr>
              <w:spacing w:line="360" w:lineRule="auto"/>
              <w:ind w:firstLine="482" w:firstLineChars="200"/>
              <w:rPr>
                <w:rFonts w:hint="default" w:ascii="Times New Roman" w:hAnsi="Times New Roman" w:eastAsia="宋体" w:cs="Times New Roman"/>
                <w:b/>
                <w:bCs w:val="0"/>
                <w:color w:val="auto"/>
                <w:spacing w:val="0"/>
                <w:sz w:val="24"/>
                <w:highlight w:val="none"/>
                <w:u w:val="none" w:color="auto"/>
                <w:lang w:val="en-US" w:eastAsia="zh-CN"/>
              </w:rPr>
            </w:pPr>
            <w:r>
              <w:rPr>
                <w:rFonts w:hint="default" w:ascii="Times New Roman" w:hAnsi="Times New Roman" w:eastAsia="宋体" w:cs="Times New Roman"/>
                <w:b/>
                <w:bCs w:val="0"/>
                <w:color w:val="auto"/>
                <w:spacing w:val="0"/>
                <w:sz w:val="24"/>
                <w:highlight w:val="none"/>
                <w:u w:val="none" w:color="auto"/>
                <w:lang w:val="en-US" w:eastAsia="zh-CN"/>
              </w:rPr>
              <w:t>（2）报废品（S4-2）、废边角料（S4-1）</w:t>
            </w:r>
          </w:p>
          <w:p w14:paraId="3059FA86">
            <w:pPr>
              <w:spacing w:line="360" w:lineRule="auto"/>
              <w:ind w:firstLine="480" w:firstLineChars="200"/>
              <w:rPr>
                <w:rFonts w:hint="default" w:ascii="Times New Roman" w:hAnsi="Times New Roman" w:eastAsia="宋体" w:cs="Times New Roman"/>
                <w:b w:val="0"/>
                <w:bCs/>
                <w:color w:val="auto"/>
                <w:spacing w:val="0"/>
                <w:sz w:val="24"/>
                <w:highlight w:val="none"/>
                <w:u w:val="none" w:color="auto"/>
                <w:lang w:val="en-US" w:eastAsia="zh-CN"/>
              </w:rPr>
            </w:pPr>
            <w:r>
              <w:rPr>
                <w:rFonts w:hint="default" w:ascii="Times New Roman" w:hAnsi="Times New Roman" w:eastAsia="宋体" w:cs="Times New Roman"/>
                <w:b w:val="0"/>
                <w:bCs/>
                <w:color w:val="auto"/>
                <w:spacing w:val="0"/>
                <w:sz w:val="24"/>
                <w:highlight w:val="none"/>
                <w:u w:val="none" w:color="auto"/>
                <w:lang w:val="en-US" w:eastAsia="zh-CN"/>
              </w:rPr>
              <w:t>根据建设单位提供的报废品率需控制在投料量的2%以内</w:t>
            </w:r>
            <w:r>
              <w:rPr>
                <w:rFonts w:hint="default" w:ascii="Times New Roman" w:hAnsi="Times New Roman" w:eastAsia="宋体" w:cs="Times New Roman"/>
                <w:color w:val="auto"/>
                <w:kern w:val="0"/>
                <w:sz w:val="24"/>
                <w:u w:val="none" w:color="auto"/>
                <w:lang w:val="en-US" w:eastAsia="zh-CN"/>
              </w:rPr>
              <w:t>，</w:t>
            </w:r>
            <w:r>
              <w:rPr>
                <w:rFonts w:hint="default" w:ascii="Times New Roman" w:hAnsi="Times New Roman" w:eastAsia="宋体" w:cs="Times New Roman"/>
                <w:b w:val="0"/>
                <w:bCs/>
                <w:color w:val="auto"/>
                <w:spacing w:val="0"/>
                <w:sz w:val="24"/>
                <w:highlight w:val="none"/>
                <w:u w:val="none" w:color="auto"/>
                <w:lang w:val="en-US" w:eastAsia="zh-CN"/>
              </w:rPr>
              <w:t>本次评价按最大值2%计，则预计报废品约为720.3t/a；压铸工序废边角料需控制在投料量的0.5%以内，则废边角料为180.075t/a，合计产生量约为900.375t/a。该部分废料拟在厂区内暂存后返回到35t熔化炉里熔化铸锭外售。</w:t>
            </w:r>
          </w:p>
          <w:p w14:paraId="6F7693D1">
            <w:pPr>
              <w:spacing w:line="360" w:lineRule="auto"/>
              <w:ind w:firstLine="482" w:firstLineChars="200"/>
              <w:rPr>
                <w:rFonts w:hint="default" w:ascii="Times New Roman" w:hAnsi="Times New Roman" w:eastAsia="宋体" w:cs="Times New Roman"/>
                <w:b/>
                <w:bCs w:val="0"/>
                <w:color w:val="auto"/>
                <w:spacing w:val="0"/>
                <w:sz w:val="24"/>
                <w:highlight w:val="none"/>
                <w:u w:val="none" w:color="auto"/>
                <w:lang w:val="en-US" w:eastAsia="zh-CN"/>
              </w:rPr>
            </w:pPr>
            <w:r>
              <w:rPr>
                <w:rFonts w:hint="default" w:ascii="Times New Roman" w:hAnsi="Times New Roman" w:eastAsia="宋体" w:cs="Times New Roman"/>
                <w:b/>
                <w:bCs w:val="0"/>
                <w:color w:val="auto"/>
                <w:spacing w:val="0"/>
                <w:sz w:val="24"/>
                <w:highlight w:val="none"/>
                <w:u w:val="none" w:color="auto"/>
                <w:lang w:val="en-US" w:eastAsia="zh-CN"/>
              </w:rPr>
              <w:t>（3）收集到的金属粉尘（S5-1）</w:t>
            </w:r>
          </w:p>
          <w:p w14:paraId="1D416106">
            <w:pPr>
              <w:spacing w:line="360" w:lineRule="auto"/>
              <w:ind w:firstLine="480" w:firstLineChars="200"/>
              <w:rPr>
                <w:rFonts w:hint="default" w:ascii="Times New Roman" w:hAnsi="Times New Roman" w:eastAsia="宋体" w:cs="Times New Roman"/>
                <w:b w:val="0"/>
                <w:bCs/>
                <w:color w:val="auto"/>
                <w:spacing w:val="0"/>
                <w:sz w:val="24"/>
                <w:highlight w:val="none"/>
                <w:u w:val="none" w:color="auto"/>
                <w:lang w:val="en-US" w:eastAsia="zh-CN"/>
              </w:rPr>
            </w:pPr>
            <w:r>
              <w:rPr>
                <w:rFonts w:hint="default" w:ascii="Times New Roman" w:hAnsi="Times New Roman" w:eastAsia="宋体" w:cs="Times New Roman"/>
                <w:b w:val="0"/>
                <w:bCs/>
                <w:color w:val="auto"/>
                <w:spacing w:val="0"/>
                <w:sz w:val="24"/>
                <w:highlight w:val="none"/>
                <w:u w:val="none" w:color="auto"/>
                <w:lang w:val="en-US" w:eastAsia="zh-CN"/>
              </w:rPr>
              <w:t>本次评价要求建设单位配套1台移动式布袋除尘器对激光粉尘进行吸尘处理，根据大气污染源强工程分析，预计收集0.0364t/a金属粉尘。该粉尘主要为小粒径的金属氧化物（氧化铝），经收集暂存后外售综合利用。</w:t>
            </w:r>
          </w:p>
          <w:p w14:paraId="1C0B6CED">
            <w:pPr>
              <w:spacing w:line="360" w:lineRule="auto"/>
              <w:ind w:firstLine="482" w:firstLineChars="200"/>
              <w:rPr>
                <w:rFonts w:hint="default" w:ascii="Times New Roman" w:hAnsi="Times New Roman" w:eastAsia="宋体" w:cs="Times New Roman"/>
                <w:b/>
                <w:bCs w:val="0"/>
                <w:color w:val="auto"/>
                <w:spacing w:val="0"/>
                <w:sz w:val="24"/>
                <w:highlight w:val="none"/>
                <w:u w:val="none" w:color="auto"/>
                <w:lang w:val="en-US" w:eastAsia="zh-CN"/>
              </w:rPr>
            </w:pPr>
            <w:r>
              <w:rPr>
                <w:rFonts w:hint="default" w:ascii="Times New Roman" w:hAnsi="Times New Roman" w:eastAsia="宋体" w:cs="Times New Roman"/>
                <w:b/>
                <w:bCs w:val="0"/>
                <w:color w:val="auto"/>
                <w:spacing w:val="0"/>
                <w:sz w:val="24"/>
                <w:highlight w:val="none"/>
                <w:u w:val="none" w:color="auto"/>
                <w:lang w:val="en-US" w:eastAsia="zh-CN"/>
              </w:rPr>
              <w:t>（4）TA011废气处理收集粉尘（S2-2）</w:t>
            </w:r>
          </w:p>
          <w:p w14:paraId="5D8C1CF5">
            <w:pPr>
              <w:pStyle w:val="101"/>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4"/>
                <w:u w:val="none" w:color="auto"/>
              </w:rPr>
              <w:t>铝合金熔铸一厂</w:t>
            </w:r>
            <w:r>
              <w:rPr>
                <w:rFonts w:hint="default" w:ascii="Times New Roman" w:hAnsi="Times New Roman" w:eastAsia="宋体" w:cs="Times New Roman"/>
                <w:color w:val="auto"/>
                <w:sz w:val="24"/>
                <w:u w:val="none" w:color="auto"/>
                <w:lang w:val="en-US" w:eastAsia="zh-CN"/>
              </w:rPr>
              <w:t>压铸工艺废气采用水喷淋布袋除尘+活性炭吸附系统处理，其中布袋除尘对颗粒物处理效率约为95%，</w:t>
            </w:r>
            <w:r>
              <w:rPr>
                <w:rFonts w:hint="default" w:ascii="Times New Roman" w:hAnsi="Times New Roman" w:eastAsia="宋体" w:cs="Times New Roman"/>
                <w:color w:val="auto"/>
                <w:kern w:val="0"/>
                <w:sz w:val="24"/>
                <w:u w:val="none" w:color="auto"/>
                <w:lang w:val="en-US" w:eastAsia="zh-CN"/>
              </w:rPr>
              <w:t>则预计收集约3.8852t/a的颗粒物，该部分颗粒物经</w:t>
            </w:r>
            <w:r>
              <w:rPr>
                <w:rFonts w:hint="default" w:ascii="Times New Roman" w:hAnsi="Times New Roman" w:eastAsia="宋体" w:cs="Times New Roman"/>
                <w:b w:val="0"/>
                <w:bCs/>
                <w:color w:val="auto"/>
                <w:spacing w:val="0"/>
                <w:sz w:val="24"/>
                <w:highlight w:val="none"/>
                <w:u w:val="none" w:color="auto"/>
                <w:lang w:val="en-US" w:eastAsia="zh-CN"/>
              </w:rPr>
              <w:t>，</w:t>
            </w:r>
            <w:r>
              <w:rPr>
                <w:rFonts w:hint="default" w:ascii="Times New Roman" w:hAnsi="Times New Roman" w:eastAsia="宋体" w:cs="Times New Roman"/>
                <w:color w:val="auto"/>
                <w:sz w:val="24"/>
                <w:u w:val="none" w:color="auto"/>
                <w:lang w:val="en-US" w:eastAsia="zh-CN"/>
              </w:rPr>
              <w:t>该类沉渣主要由碳化物（如炭黑颗粒）组成，属于一般固废，收集后定期外售</w:t>
            </w:r>
            <w:r>
              <w:rPr>
                <w:rFonts w:hint="default" w:ascii="Times New Roman" w:hAnsi="Times New Roman" w:eastAsia="宋体" w:cs="Times New Roman"/>
                <w:b w:val="0"/>
                <w:bCs/>
                <w:color w:val="auto"/>
                <w:spacing w:val="0"/>
                <w:sz w:val="24"/>
                <w:highlight w:val="none"/>
                <w:u w:val="none" w:color="auto"/>
                <w:lang w:val="en-US" w:eastAsia="zh-CN"/>
              </w:rPr>
              <w:t>。</w:t>
            </w:r>
          </w:p>
          <w:p w14:paraId="03F391BB">
            <w:pPr>
              <w:spacing w:line="360" w:lineRule="auto"/>
              <w:ind w:firstLine="482" w:firstLineChars="200"/>
              <w:rPr>
                <w:rFonts w:hint="default" w:ascii="Times New Roman" w:hAnsi="Times New Roman" w:eastAsia="宋体" w:cs="Times New Roman"/>
                <w:b/>
                <w:bCs w:val="0"/>
                <w:color w:val="auto"/>
                <w:spacing w:val="0"/>
                <w:sz w:val="24"/>
                <w:highlight w:val="none"/>
                <w:u w:val="none" w:color="auto"/>
                <w:lang w:val="en-US" w:eastAsia="zh-CN"/>
              </w:rPr>
            </w:pPr>
            <w:r>
              <w:rPr>
                <w:rFonts w:hint="default" w:ascii="Times New Roman" w:hAnsi="Times New Roman" w:eastAsia="宋体" w:cs="Times New Roman"/>
                <w:b/>
                <w:bCs w:val="0"/>
                <w:color w:val="auto"/>
                <w:spacing w:val="0"/>
                <w:sz w:val="24"/>
                <w:highlight w:val="none"/>
                <w:u w:val="none" w:color="auto"/>
                <w:lang w:val="en-US" w:eastAsia="zh-CN"/>
              </w:rPr>
              <w:t>（5）生物质颗粒空吨袋</w:t>
            </w:r>
          </w:p>
          <w:p w14:paraId="37DD0D0D">
            <w:pPr>
              <w:pStyle w:val="101"/>
              <w:rPr>
                <w:rFonts w:hint="default" w:ascii="Times New Roman" w:hAnsi="Times New Roman" w:eastAsia="宋体" w:cs="Times New Roman"/>
                <w:color w:val="auto"/>
                <w:highlight w:val="none"/>
                <w:u w:val="none" w:color="auto"/>
                <w:lang w:val="en-US" w:eastAsia="zh-CN"/>
              </w:rPr>
            </w:pPr>
            <w:r>
              <w:rPr>
                <w:rFonts w:hint="default" w:ascii="Times New Roman" w:hAnsi="Times New Roman" w:eastAsia="宋体" w:cs="Times New Roman"/>
                <w:color w:val="auto"/>
                <w:highlight w:val="none"/>
                <w:u w:val="none" w:color="auto"/>
                <w:lang w:val="en-US" w:eastAsia="zh-CN"/>
              </w:rPr>
              <w:t>本项目直接购买袋装商品生物质颗粒，生物质颗粒卸料通过吨袋包装拉链进行装斗，不会对生物质颗粒包装袋造成破损，卸料完成后的生物质颗粒包装袋暂存放于生物质颗粒存放区，再交由供应商进行回收利用。本项目生物质颗粒规格为1t/袋，空袋重量约为1.8kg/袋，则预计产生16000个空袋，则重量约为28.8t/a的生物质颗粒吨袋。</w:t>
            </w:r>
          </w:p>
          <w:p w14:paraId="59420155">
            <w:pPr>
              <w:pStyle w:val="101"/>
              <w:rPr>
                <w:rFonts w:hint="default" w:ascii="Times New Roman" w:hAnsi="Times New Roman" w:eastAsia="宋体" w:cs="Times New Roman"/>
                <w:color w:val="auto"/>
                <w:highlight w:val="none"/>
                <w:u w:val="none" w:color="auto"/>
                <w:lang w:val="en-US" w:eastAsia="zh-CN"/>
              </w:rPr>
            </w:pPr>
            <w:r>
              <w:rPr>
                <w:rFonts w:hint="default" w:ascii="Times New Roman" w:hAnsi="Times New Roman" w:eastAsia="宋体" w:cs="Times New Roman"/>
                <w:color w:val="auto"/>
                <w:highlight w:val="none"/>
                <w:u w:val="none" w:color="auto"/>
                <w:lang w:val="en-US" w:eastAsia="zh-CN"/>
              </w:rPr>
              <w:t>根据《固体废物鉴别标准 通则》（GB34330—2017）中的6.1第一条：“任何不需要修复和加工即可用于其原始用途的物质，或者在产生点经过修复和加工后满足国家、地方制定或行业通行的产品质量标准并且用于其原始用途的物质，可不作为固体废物管理”。</w:t>
            </w:r>
          </w:p>
          <w:p w14:paraId="31639E71">
            <w:pPr>
              <w:pStyle w:val="101"/>
              <w:rPr>
                <w:rFonts w:hint="default" w:ascii="Times New Roman" w:hAnsi="Times New Roman" w:eastAsia="宋体" w:cs="Times New Roman"/>
                <w:color w:val="auto"/>
                <w:highlight w:val="none"/>
                <w:u w:val="none" w:color="auto"/>
                <w:lang w:val="en-US" w:eastAsia="zh-CN"/>
              </w:rPr>
            </w:pPr>
            <w:r>
              <w:rPr>
                <w:rFonts w:hint="default" w:ascii="Times New Roman" w:hAnsi="Times New Roman" w:eastAsia="宋体" w:cs="Times New Roman"/>
                <w:color w:val="auto"/>
                <w:highlight w:val="none"/>
                <w:u w:val="none" w:color="auto"/>
                <w:lang w:val="en-US" w:eastAsia="zh-CN"/>
              </w:rPr>
              <w:t>因此，本项目产生的生物质颗粒包装袋满足该条款，可不作为固体废物管理。若出现破损或无法回用时，需将其作为一般固废处理处置，不得随意丢弃或混入生活垃圾。</w:t>
            </w:r>
          </w:p>
          <w:p w14:paraId="56DC9F6B">
            <w:pPr>
              <w:adjustRightInd w:val="0"/>
              <w:snapToGrid w:val="0"/>
              <w:spacing w:line="360" w:lineRule="auto"/>
              <w:ind w:firstLine="482" w:firstLineChars="200"/>
              <w:rPr>
                <w:rFonts w:hint="default" w:ascii="Times New Roman" w:hAnsi="Times New Roman" w:eastAsia="宋体" w:cs="Times New Roman"/>
                <w:b/>
                <w:bCs/>
                <w:color w:val="auto"/>
                <w:spacing w:val="0"/>
                <w:sz w:val="24"/>
                <w:u w:val="none" w:color="auto"/>
              </w:rPr>
            </w:pPr>
            <w:r>
              <w:rPr>
                <w:rFonts w:hint="default" w:ascii="Times New Roman" w:hAnsi="Times New Roman" w:eastAsia="宋体" w:cs="Times New Roman"/>
                <w:b/>
                <w:bCs/>
                <w:color w:val="auto"/>
                <w:spacing w:val="0"/>
                <w:sz w:val="24"/>
                <w:u w:val="none" w:color="auto"/>
              </w:rPr>
              <w:t>2、危险废物</w:t>
            </w:r>
          </w:p>
          <w:p w14:paraId="5F14E441">
            <w:pPr>
              <w:spacing w:line="360" w:lineRule="auto"/>
              <w:ind w:firstLine="482" w:firstLineChars="200"/>
              <w:rPr>
                <w:rFonts w:hint="default" w:ascii="Times New Roman" w:hAnsi="Times New Roman" w:eastAsia="宋体" w:cs="Times New Roman"/>
                <w:b/>
                <w:bCs w:val="0"/>
                <w:color w:val="auto"/>
                <w:spacing w:val="0"/>
                <w:sz w:val="24"/>
                <w:u w:val="none" w:color="auto"/>
                <w:lang w:eastAsia="zh-CN"/>
              </w:rPr>
            </w:pPr>
            <w:r>
              <w:rPr>
                <w:rFonts w:hint="default" w:ascii="Times New Roman" w:hAnsi="Times New Roman" w:eastAsia="宋体" w:cs="Times New Roman"/>
                <w:b/>
                <w:bCs/>
                <w:color w:val="auto"/>
                <w:spacing w:val="0"/>
                <w:sz w:val="24"/>
                <w:highlight w:val="none"/>
                <w:u w:val="none" w:color="auto"/>
                <w:lang w:val="en-US" w:eastAsia="zh-CN"/>
              </w:rPr>
              <w:t>（1）</w:t>
            </w:r>
            <w:r>
              <w:rPr>
                <w:rFonts w:hint="default" w:ascii="Times New Roman" w:hAnsi="Times New Roman" w:eastAsia="宋体" w:cs="Times New Roman"/>
                <w:b/>
                <w:bCs w:val="0"/>
                <w:color w:val="auto"/>
                <w:spacing w:val="0"/>
                <w:sz w:val="24"/>
                <w:u w:val="none" w:color="auto"/>
              </w:rPr>
              <w:t>二次铝灰渣</w:t>
            </w:r>
            <w:r>
              <w:rPr>
                <w:rFonts w:hint="default" w:ascii="Times New Roman" w:hAnsi="Times New Roman" w:eastAsia="宋体" w:cs="Times New Roman"/>
                <w:b/>
                <w:bCs w:val="0"/>
                <w:color w:val="auto"/>
                <w:spacing w:val="0"/>
                <w:sz w:val="24"/>
                <w:u w:val="none" w:color="auto"/>
                <w:lang w:eastAsia="zh-CN"/>
              </w:rPr>
              <w:t>（</w:t>
            </w:r>
            <w:r>
              <w:rPr>
                <w:rFonts w:hint="default" w:ascii="Times New Roman" w:hAnsi="Times New Roman" w:eastAsia="宋体" w:cs="Times New Roman"/>
                <w:b/>
                <w:bCs w:val="0"/>
                <w:color w:val="auto"/>
                <w:spacing w:val="0"/>
                <w:sz w:val="24"/>
                <w:u w:val="none" w:color="auto"/>
                <w:lang w:val="en-US" w:eastAsia="zh-CN"/>
              </w:rPr>
              <w:t>S1</w:t>
            </w:r>
            <w:r>
              <w:rPr>
                <w:rFonts w:hint="default" w:ascii="Times New Roman" w:hAnsi="Times New Roman" w:eastAsia="宋体" w:cs="Times New Roman"/>
                <w:b/>
                <w:bCs w:val="0"/>
                <w:color w:val="auto"/>
                <w:spacing w:val="0"/>
                <w:sz w:val="24"/>
                <w:u w:val="none" w:color="auto"/>
                <w:lang w:eastAsia="zh-CN"/>
              </w:rPr>
              <w:t>）</w:t>
            </w:r>
          </w:p>
          <w:p w14:paraId="75E41BFF">
            <w:pPr>
              <w:spacing w:line="360" w:lineRule="auto"/>
              <w:ind w:firstLine="480" w:firstLineChars="200"/>
              <w:rPr>
                <w:rFonts w:hint="default" w:ascii="Times New Roman" w:hAnsi="Times New Roman" w:eastAsia="宋体" w:cs="Times New Roman"/>
                <w:b w:val="0"/>
                <w:bCs/>
                <w:color w:val="auto"/>
                <w:spacing w:val="0"/>
                <w:sz w:val="24"/>
                <w:highlight w:val="none"/>
                <w:u w:val="none" w:color="auto"/>
                <w:lang w:val="en-US" w:eastAsia="zh-CN"/>
              </w:rPr>
            </w:pPr>
            <w:r>
              <w:rPr>
                <w:rFonts w:hint="default" w:ascii="Times New Roman" w:hAnsi="Times New Roman" w:eastAsia="宋体" w:cs="Times New Roman"/>
                <w:color w:val="auto"/>
                <w:sz w:val="24"/>
                <w:highlight w:val="none"/>
                <w:u w:val="none" w:color="auto"/>
                <w:lang w:val="en-US" w:eastAsia="zh-CN"/>
              </w:rPr>
              <w:t>本项目拟使用单质金属进行合金制造，不使用回收铝、废料等，</w:t>
            </w:r>
            <w:r>
              <w:rPr>
                <w:rFonts w:hint="default" w:ascii="Times New Roman" w:hAnsi="Times New Roman" w:eastAsia="宋体" w:cs="Times New Roman"/>
                <w:color w:val="auto"/>
                <w:sz w:val="24"/>
                <w:highlight w:val="none"/>
                <w:u w:val="none" w:color="auto"/>
              </w:rPr>
              <w:t>根据建设单位提供的</w:t>
            </w:r>
            <w:r>
              <w:rPr>
                <w:rFonts w:hint="default" w:ascii="Times New Roman" w:hAnsi="Times New Roman" w:eastAsia="宋体" w:cs="Times New Roman"/>
                <w:color w:val="auto"/>
                <w:sz w:val="24"/>
                <w:highlight w:val="none"/>
                <w:u w:val="none" w:color="auto"/>
                <w:lang w:eastAsia="zh-CN"/>
              </w:rPr>
              <w:t>资料</w:t>
            </w:r>
            <w:r>
              <w:rPr>
                <w:rFonts w:hint="default" w:ascii="Times New Roman" w:hAnsi="Times New Roman" w:eastAsia="宋体" w:cs="Times New Roman"/>
                <w:color w:val="auto"/>
                <w:sz w:val="24"/>
                <w:highlight w:val="none"/>
                <w:u w:val="none" w:color="auto"/>
              </w:rPr>
              <w:t>可知</w:t>
            </w:r>
            <w:r>
              <w:rPr>
                <w:rFonts w:hint="default" w:ascii="Times New Roman" w:hAnsi="Times New Roman" w:eastAsia="宋体" w:cs="Times New Roman"/>
                <w:color w:val="auto"/>
                <w:sz w:val="24"/>
                <w:highlight w:val="none"/>
                <w:u w:val="none" w:color="auto"/>
                <w:lang w:eastAsia="zh-CN"/>
              </w:rPr>
              <w:t>，</w:t>
            </w:r>
            <w:r>
              <w:rPr>
                <w:rFonts w:hint="default" w:ascii="Times New Roman" w:hAnsi="Times New Roman" w:eastAsia="宋体" w:cs="Times New Roman"/>
                <w:color w:val="auto"/>
                <w:sz w:val="24"/>
                <w:highlight w:val="none"/>
                <w:u w:val="none" w:color="auto"/>
                <w:lang w:val="en-US" w:eastAsia="zh-CN"/>
              </w:rPr>
              <w:t>扒渣产生的灰渣主要源于金属溶液表面氧化后产生的灰渣（主要为氧化铝），</w:t>
            </w:r>
            <w:r>
              <w:rPr>
                <w:rFonts w:hint="default" w:ascii="Times New Roman" w:hAnsi="Times New Roman" w:eastAsia="宋体" w:cs="Times New Roman"/>
                <w:color w:val="auto"/>
                <w:sz w:val="24"/>
                <w:highlight w:val="none"/>
                <w:u w:val="none" w:color="auto"/>
              </w:rPr>
              <w:t>约投料量的</w:t>
            </w:r>
            <w:r>
              <w:rPr>
                <w:rFonts w:hint="default" w:ascii="Times New Roman" w:hAnsi="Times New Roman" w:eastAsia="宋体" w:cs="Times New Roman"/>
                <w:color w:val="auto"/>
                <w:sz w:val="24"/>
                <w:highlight w:val="none"/>
                <w:u w:val="none" w:color="auto"/>
                <w:lang w:val="en-US" w:eastAsia="zh-CN"/>
              </w:rPr>
              <w:t>1~5</w:t>
            </w:r>
            <w:r>
              <w:rPr>
                <w:rFonts w:hint="default" w:ascii="Times New Roman" w:hAnsi="Times New Roman" w:eastAsia="宋体" w:cs="Times New Roman"/>
                <w:color w:val="auto"/>
                <w:sz w:val="24"/>
                <w:highlight w:val="none"/>
                <w:u w:val="none" w:color="auto"/>
              </w:rPr>
              <w:t>%</w:t>
            </w:r>
            <w:r>
              <w:rPr>
                <w:rFonts w:hint="default" w:ascii="Times New Roman" w:hAnsi="Times New Roman" w:eastAsia="宋体" w:cs="Times New Roman"/>
                <w:color w:val="auto"/>
                <w:sz w:val="24"/>
                <w:highlight w:val="none"/>
                <w:u w:val="none" w:color="auto"/>
                <w:lang w:eastAsia="zh-CN"/>
              </w:rPr>
              <w:t>（</w:t>
            </w:r>
            <w:r>
              <w:rPr>
                <w:rFonts w:hint="default" w:ascii="Times New Roman" w:hAnsi="Times New Roman" w:eastAsia="宋体" w:cs="Times New Roman"/>
                <w:color w:val="auto"/>
                <w:sz w:val="24"/>
                <w:highlight w:val="none"/>
                <w:u w:val="none" w:color="auto"/>
                <w:lang w:val="en-US" w:eastAsia="zh-CN"/>
              </w:rPr>
              <w:t>按3%计</w:t>
            </w:r>
            <w:r>
              <w:rPr>
                <w:rFonts w:hint="default" w:ascii="Times New Roman" w:hAnsi="Times New Roman" w:eastAsia="宋体" w:cs="Times New Roman"/>
                <w:color w:val="auto"/>
                <w:sz w:val="24"/>
                <w:highlight w:val="none"/>
                <w:u w:val="none" w:color="auto"/>
              </w:rPr>
              <w:t>）</w:t>
            </w:r>
            <w:r>
              <w:rPr>
                <w:rFonts w:hint="default" w:ascii="Times New Roman" w:hAnsi="Times New Roman" w:eastAsia="宋体" w:cs="Times New Roman"/>
                <w:color w:val="auto"/>
                <w:sz w:val="24"/>
                <w:highlight w:val="none"/>
                <w:u w:val="none" w:color="auto"/>
                <w:lang w:eastAsia="zh-CN"/>
              </w:rPr>
              <w:t>，</w:t>
            </w:r>
            <w:r>
              <w:rPr>
                <w:rFonts w:hint="default" w:ascii="Times New Roman" w:hAnsi="Times New Roman" w:eastAsia="宋体" w:cs="Times New Roman"/>
                <w:color w:val="auto"/>
                <w:sz w:val="24"/>
                <w:highlight w:val="none"/>
                <w:u w:val="none" w:color="auto"/>
              </w:rPr>
              <w:t>经计算预计产生</w:t>
            </w:r>
            <w:r>
              <w:rPr>
                <w:rFonts w:hint="default" w:ascii="Times New Roman" w:hAnsi="Times New Roman" w:eastAsia="宋体" w:cs="Times New Roman"/>
                <w:color w:val="auto"/>
                <w:sz w:val="24"/>
                <w:highlight w:val="none"/>
                <w:u w:val="none" w:color="auto"/>
                <w:lang w:val="en-US" w:eastAsia="zh-CN"/>
              </w:rPr>
              <w:t>1080.45</w:t>
            </w:r>
            <w:r>
              <w:rPr>
                <w:rFonts w:hint="default" w:ascii="Times New Roman" w:hAnsi="Times New Roman" w:eastAsia="宋体" w:cs="Times New Roman"/>
                <w:color w:val="auto"/>
                <w:sz w:val="24"/>
                <w:highlight w:val="none"/>
                <w:u w:val="none" w:color="auto"/>
              </w:rPr>
              <w:t>t/a的扒渣废料</w:t>
            </w:r>
            <w:r>
              <w:rPr>
                <w:rFonts w:hint="default" w:ascii="Times New Roman" w:hAnsi="Times New Roman" w:eastAsia="宋体" w:cs="Times New Roman"/>
                <w:color w:val="auto"/>
                <w:sz w:val="24"/>
                <w:highlight w:val="none"/>
                <w:u w:val="none" w:color="auto"/>
                <w:lang w:eastAsia="zh-CN"/>
              </w:rPr>
              <w:t>，</w:t>
            </w:r>
            <w:r>
              <w:rPr>
                <w:rFonts w:hint="default" w:ascii="Times New Roman" w:hAnsi="Times New Roman" w:eastAsia="宋体" w:cs="Times New Roman"/>
                <w:color w:val="auto"/>
                <w:sz w:val="24"/>
                <w:highlight w:val="none"/>
                <w:u w:val="none" w:color="auto"/>
                <w:lang w:val="en-US" w:eastAsia="zh-CN"/>
              </w:rPr>
              <w:t>产生灰渣</w:t>
            </w:r>
            <w:r>
              <w:rPr>
                <w:rFonts w:hint="default" w:ascii="Times New Roman" w:hAnsi="Times New Roman" w:eastAsia="宋体" w:cs="Times New Roman"/>
                <w:color w:val="auto"/>
                <w:sz w:val="24"/>
                <w:highlight w:val="none"/>
                <w:u w:val="none" w:color="auto"/>
              </w:rPr>
              <w:t>通过</w:t>
            </w:r>
            <w:r>
              <w:rPr>
                <w:rFonts w:hint="default" w:ascii="Times New Roman" w:hAnsi="Times New Roman" w:eastAsia="宋体" w:cs="Times New Roman"/>
                <w:color w:val="auto"/>
                <w:sz w:val="24"/>
                <w:highlight w:val="none"/>
                <w:u w:val="none" w:color="auto"/>
                <w:lang w:val="en-US" w:eastAsia="zh-CN"/>
              </w:rPr>
              <w:t>立式搅拌机、冷灰桶等工序</w:t>
            </w:r>
            <w:r>
              <w:rPr>
                <w:rFonts w:hint="default" w:ascii="Times New Roman" w:hAnsi="Times New Roman" w:eastAsia="宋体" w:cs="Times New Roman"/>
                <w:color w:val="auto"/>
                <w:sz w:val="24"/>
                <w:highlight w:val="none"/>
                <w:u w:val="none" w:color="auto"/>
              </w:rPr>
              <w:t>回收处理</w:t>
            </w:r>
            <w:r>
              <w:rPr>
                <w:rFonts w:hint="default" w:ascii="Times New Roman" w:hAnsi="Times New Roman" w:eastAsia="宋体" w:cs="Times New Roman"/>
                <w:color w:val="auto"/>
                <w:sz w:val="24"/>
                <w:highlight w:val="none"/>
                <w:u w:val="none" w:color="auto"/>
                <w:lang w:eastAsia="zh-CN"/>
              </w:rPr>
              <w:t>，</w:t>
            </w:r>
            <w:r>
              <w:rPr>
                <w:rFonts w:hint="default" w:ascii="Times New Roman" w:hAnsi="Times New Roman" w:eastAsia="宋体" w:cs="Times New Roman"/>
                <w:color w:val="auto"/>
                <w:sz w:val="24"/>
                <w:highlight w:val="none"/>
                <w:u w:val="none" w:color="auto"/>
              </w:rPr>
              <w:t>提高原材料利用效率</w:t>
            </w:r>
            <w:r>
              <w:rPr>
                <w:rFonts w:hint="default" w:ascii="Times New Roman" w:hAnsi="Times New Roman" w:eastAsia="宋体" w:cs="Times New Roman"/>
                <w:color w:val="auto"/>
                <w:sz w:val="24"/>
                <w:highlight w:val="none"/>
                <w:u w:val="none" w:color="auto"/>
                <w:lang w:eastAsia="zh-CN"/>
              </w:rPr>
              <w:t>，</w:t>
            </w:r>
            <w:r>
              <w:rPr>
                <w:rFonts w:hint="default" w:ascii="Times New Roman" w:hAnsi="Times New Roman" w:eastAsia="宋体" w:cs="Times New Roman"/>
                <w:b w:val="0"/>
                <w:bCs/>
                <w:color w:val="auto"/>
                <w:spacing w:val="0"/>
                <w:sz w:val="24"/>
                <w:highlight w:val="none"/>
                <w:u w:val="none" w:color="auto"/>
                <w:lang w:val="en-US" w:eastAsia="zh-CN"/>
              </w:rPr>
              <w:t>铝渣设计回收率按85%计（设计值为80±10%），预计回收铝918.3825t/a，另产生15.7746t/a的粉尘，则预计产生二次铝灰渣146.2929‬t/a。</w:t>
            </w:r>
          </w:p>
          <w:p w14:paraId="6383EF4D">
            <w:pPr>
              <w:spacing w:line="360" w:lineRule="auto"/>
              <w:ind w:firstLine="480" w:firstLineChars="200"/>
              <w:rPr>
                <w:rFonts w:hint="default" w:ascii="Times New Roman" w:hAnsi="Times New Roman" w:eastAsia="宋体" w:cs="Times New Roman"/>
                <w:b w:val="0"/>
                <w:bCs/>
                <w:color w:val="auto"/>
                <w:sz w:val="24"/>
                <w:highlight w:val="none"/>
                <w:u w:val="none" w:color="auto"/>
                <w:lang w:val="en-US" w:eastAsia="zh-CN"/>
              </w:rPr>
            </w:pPr>
            <w:r>
              <w:rPr>
                <w:rFonts w:hint="default" w:ascii="Times New Roman" w:hAnsi="Times New Roman" w:eastAsia="宋体" w:cs="Times New Roman"/>
                <w:b w:val="0"/>
                <w:bCs/>
                <w:color w:val="auto"/>
                <w:spacing w:val="0"/>
                <w:sz w:val="24"/>
                <w:highlight w:val="none"/>
                <w:u w:val="none" w:color="auto"/>
                <w:lang w:val="en-US" w:eastAsia="zh-CN"/>
              </w:rPr>
              <w:t>根据《国家危险废物名录》（2025年版）可知，项目铝灰渣属于回收铝过程产生二次铝灰，属于危险废物类别HW48、代码：321-026-48。</w:t>
            </w:r>
          </w:p>
          <w:p w14:paraId="21F709FF">
            <w:pPr>
              <w:spacing w:line="360" w:lineRule="auto"/>
              <w:ind w:firstLine="482" w:firstLineChars="200"/>
              <w:rPr>
                <w:rFonts w:hint="default" w:ascii="Times New Roman" w:hAnsi="Times New Roman" w:eastAsia="宋体" w:cs="Times New Roman"/>
                <w:b/>
                <w:bCs w:val="0"/>
                <w:color w:val="auto"/>
                <w:spacing w:val="0"/>
                <w:sz w:val="24"/>
                <w:highlight w:val="none"/>
                <w:u w:val="none" w:color="auto"/>
                <w:lang w:val="en-US" w:eastAsia="zh-CN"/>
              </w:rPr>
            </w:pPr>
            <w:r>
              <w:rPr>
                <w:rFonts w:hint="default" w:ascii="Times New Roman" w:hAnsi="Times New Roman" w:eastAsia="宋体" w:cs="Times New Roman"/>
                <w:b/>
                <w:bCs w:val="0"/>
                <w:color w:val="auto"/>
                <w:spacing w:val="0"/>
                <w:sz w:val="24"/>
                <w:highlight w:val="none"/>
                <w:u w:val="none" w:color="auto"/>
                <w:lang w:val="en-US" w:eastAsia="zh-CN"/>
              </w:rPr>
              <w:t>（2）除尘灰渣（S2-1）</w:t>
            </w:r>
          </w:p>
          <w:p w14:paraId="621CD2EC">
            <w:pPr>
              <w:spacing w:line="360" w:lineRule="auto"/>
              <w:ind w:firstLine="480" w:firstLineChars="200"/>
              <w:rPr>
                <w:rFonts w:hint="default" w:ascii="Times New Roman" w:hAnsi="Times New Roman" w:eastAsia="宋体" w:cs="Times New Roman"/>
                <w:b/>
                <w:bCs w:val="0"/>
                <w:color w:val="auto"/>
                <w:spacing w:val="0"/>
                <w:sz w:val="24"/>
                <w:highlight w:val="none"/>
                <w:u w:val="none" w:color="auto"/>
                <w:lang w:val="en-US" w:eastAsia="zh-CN"/>
              </w:rPr>
            </w:pPr>
            <w:r>
              <w:rPr>
                <w:rFonts w:hint="default" w:ascii="Times New Roman" w:hAnsi="Times New Roman" w:eastAsia="宋体" w:cs="Times New Roman"/>
                <w:b w:val="0"/>
                <w:bCs/>
                <w:color w:val="auto"/>
                <w:spacing w:val="0"/>
                <w:sz w:val="24"/>
                <w:highlight w:val="none"/>
                <w:u w:val="none" w:color="auto"/>
                <w:lang w:val="en-US" w:eastAsia="zh-CN"/>
              </w:rPr>
              <w:t>本项目TA010废气处理系统收集处理铝合金熔铸二厂各类工序废气，经计算预计收集各类除尘灰渣约282.5423t/a（其中收集熔化烟尘261.1075t/a、铝灰渣处理粉尘14.1843t/a、生物质和天然气燃烧颗粒物7.2505t/a）。该类灰渣由熔化烟尘、生物质颗粒燃烧废气、天然气燃烧废气、铝灰渣处理粉尘等组成，其中熔化烟尘、铝灰渣处理粉尘属于《国家危险废物名录（2025年版）》中HW48（代码：321-034-48）中铝液合金化、铝渣回收熔炼收集到的粉尘。因此该类除尘灰渣需经危废暂存间暂存收集后交由相关资质单位无害化处理。</w:t>
            </w:r>
          </w:p>
          <w:p w14:paraId="79A1C27C">
            <w:pPr>
              <w:spacing w:line="360" w:lineRule="auto"/>
              <w:ind w:firstLine="482" w:firstLineChars="200"/>
              <w:rPr>
                <w:rFonts w:hint="default" w:ascii="Times New Roman" w:hAnsi="Times New Roman" w:eastAsia="宋体" w:cs="Times New Roman"/>
                <w:b/>
                <w:bCs w:val="0"/>
                <w:color w:val="auto"/>
                <w:spacing w:val="0"/>
                <w:sz w:val="24"/>
                <w:highlight w:val="none"/>
                <w:u w:val="none" w:color="auto"/>
                <w:lang w:val="en-US" w:eastAsia="zh-CN"/>
              </w:rPr>
            </w:pPr>
            <w:r>
              <w:rPr>
                <w:rFonts w:hint="default" w:ascii="Times New Roman" w:hAnsi="Times New Roman" w:eastAsia="宋体" w:cs="Times New Roman"/>
                <w:b/>
                <w:bCs w:val="0"/>
                <w:color w:val="auto"/>
                <w:spacing w:val="0"/>
                <w:sz w:val="24"/>
                <w:highlight w:val="none"/>
                <w:u w:val="none" w:color="auto"/>
                <w:lang w:val="en-US" w:eastAsia="zh-CN"/>
              </w:rPr>
              <w:t>（3）脱模剂空桶</w:t>
            </w:r>
          </w:p>
          <w:p w14:paraId="4D5AB513">
            <w:pPr>
              <w:spacing w:line="360" w:lineRule="auto"/>
              <w:ind w:firstLine="480" w:firstLineChars="200"/>
              <w:rPr>
                <w:rFonts w:hint="default" w:ascii="Times New Roman" w:hAnsi="Times New Roman" w:eastAsia="宋体" w:cs="Times New Roman"/>
                <w:color w:val="auto"/>
                <w:sz w:val="24"/>
                <w:u w:val="none" w:color="auto"/>
                <w:lang w:val="en-US" w:eastAsia="zh-CN"/>
              </w:rPr>
            </w:pPr>
            <w:r>
              <w:rPr>
                <w:rFonts w:hint="default" w:ascii="Times New Roman" w:hAnsi="Times New Roman" w:eastAsia="宋体" w:cs="Times New Roman"/>
                <w:color w:val="auto"/>
                <w:sz w:val="24"/>
                <w:u w:val="none" w:color="auto"/>
                <w:lang w:val="en-US" w:eastAsia="zh-CN"/>
              </w:rPr>
              <w:t>本项目</w:t>
            </w:r>
            <w:r>
              <w:rPr>
                <w:rFonts w:hint="default" w:ascii="Times New Roman" w:hAnsi="Times New Roman" w:eastAsia="宋体" w:cs="Times New Roman"/>
                <w:color w:val="auto"/>
                <w:sz w:val="24"/>
                <w:u w:val="none" w:color="auto"/>
              </w:rPr>
              <w:t>液压油桶装</w:t>
            </w:r>
            <w:r>
              <w:rPr>
                <w:rFonts w:hint="default" w:ascii="Times New Roman" w:hAnsi="Times New Roman" w:eastAsia="宋体" w:cs="Times New Roman"/>
                <w:color w:val="auto"/>
                <w:sz w:val="24"/>
                <w:u w:val="none" w:color="auto"/>
                <w:lang w:val="en-US" w:eastAsia="zh-CN"/>
              </w:rPr>
              <w:t>规格为1t/桶，预计产生165</w:t>
            </w:r>
            <w:r>
              <w:rPr>
                <w:rFonts w:hint="default" w:ascii="Times New Roman" w:hAnsi="Times New Roman" w:eastAsia="宋体" w:cs="Times New Roman"/>
                <w:color w:val="auto"/>
                <w:sz w:val="24"/>
                <w:u w:val="none" w:color="auto"/>
              </w:rPr>
              <w:t>个</w:t>
            </w:r>
            <w:r>
              <w:rPr>
                <w:rFonts w:hint="default" w:ascii="Times New Roman" w:hAnsi="Times New Roman" w:eastAsia="宋体" w:cs="Times New Roman"/>
                <w:color w:val="auto"/>
                <w:sz w:val="24"/>
                <w:u w:val="none" w:color="auto"/>
                <w:lang w:val="en-US" w:eastAsia="zh-CN"/>
              </w:rPr>
              <w:t>空</w:t>
            </w:r>
            <w:r>
              <w:rPr>
                <w:rFonts w:hint="default" w:ascii="Times New Roman" w:hAnsi="Times New Roman" w:eastAsia="宋体" w:cs="Times New Roman"/>
                <w:color w:val="auto"/>
                <w:sz w:val="24"/>
                <w:u w:val="none" w:color="auto"/>
              </w:rPr>
              <w:t>桶，按每个</w:t>
            </w:r>
            <w:r>
              <w:rPr>
                <w:rFonts w:hint="default" w:ascii="Times New Roman" w:hAnsi="Times New Roman" w:eastAsia="宋体" w:cs="Times New Roman"/>
                <w:color w:val="auto"/>
                <w:sz w:val="24"/>
                <w:u w:val="none" w:color="auto"/>
                <w:lang w:val="en-US" w:eastAsia="zh-CN"/>
              </w:rPr>
              <w:t>约65</w:t>
            </w:r>
            <w:r>
              <w:rPr>
                <w:rFonts w:hint="default" w:ascii="Times New Roman" w:hAnsi="Times New Roman" w:eastAsia="宋体" w:cs="Times New Roman"/>
                <w:color w:val="auto"/>
                <w:sz w:val="24"/>
                <w:u w:val="none" w:color="auto"/>
              </w:rPr>
              <w:t>kg计，则预计本项目废原料桶产生量为</w:t>
            </w:r>
            <w:r>
              <w:rPr>
                <w:rFonts w:hint="default" w:ascii="Times New Roman" w:hAnsi="Times New Roman" w:eastAsia="宋体" w:cs="Times New Roman"/>
                <w:color w:val="auto"/>
                <w:sz w:val="24"/>
                <w:u w:val="none" w:color="auto"/>
                <w:lang w:val="en-US" w:eastAsia="zh-CN"/>
              </w:rPr>
              <w:t>10.725</w:t>
            </w:r>
            <w:r>
              <w:rPr>
                <w:rFonts w:hint="default" w:ascii="Times New Roman" w:hAnsi="Times New Roman" w:eastAsia="宋体" w:cs="Times New Roman"/>
                <w:color w:val="auto"/>
                <w:sz w:val="24"/>
                <w:u w:val="none" w:color="auto"/>
              </w:rPr>
              <w:t>t/a</w:t>
            </w:r>
            <w:r>
              <w:rPr>
                <w:rFonts w:hint="default" w:ascii="Times New Roman" w:hAnsi="Times New Roman" w:eastAsia="宋体" w:cs="Times New Roman"/>
                <w:color w:val="auto"/>
                <w:sz w:val="24"/>
                <w:u w:val="none" w:color="auto"/>
                <w:lang w:eastAsia="zh-CN"/>
              </w:rPr>
              <w:t>。</w:t>
            </w:r>
            <w:r>
              <w:rPr>
                <w:rFonts w:hint="default" w:ascii="Times New Roman" w:hAnsi="Times New Roman" w:eastAsia="宋体" w:cs="Times New Roman"/>
                <w:color w:val="auto"/>
                <w:sz w:val="24"/>
                <w:u w:val="none" w:color="auto"/>
                <w:lang w:val="en-US" w:eastAsia="zh-CN"/>
              </w:rPr>
              <w:t>旋开脱模剂桶料口后，使用泵料将脱模剂抽至脱模剂配比机进行自动配比，因此不会造成脱模剂桶破坏。</w:t>
            </w:r>
          </w:p>
          <w:p w14:paraId="5D7A7F42">
            <w:pPr>
              <w:pStyle w:val="101"/>
              <w:rPr>
                <w:rFonts w:hint="default" w:ascii="Times New Roman" w:hAnsi="Times New Roman" w:eastAsia="宋体" w:cs="Times New Roman"/>
                <w:color w:val="auto"/>
                <w:highlight w:val="none"/>
                <w:u w:val="none" w:color="auto"/>
                <w:lang w:val="en-US" w:eastAsia="zh-CN"/>
              </w:rPr>
            </w:pPr>
            <w:r>
              <w:rPr>
                <w:rFonts w:hint="default" w:ascii="Times New Roman" w:hAnsi="Times New Roman" w:eastAsia="宋体" w:cs="Times New Roman"/>
                <w:color w:val="auto"/>
                <w:highlight w:val="none"/>
                <w:u w:val="none" w:color="auto"/>
                <w:lang w:val="en-US" w:eastAsia="zh-CN"/>
              </w:rPr>
              <w:t>根据《固体废物鉴别标准 通则》（GB34330—2017）中的6.1第一条：“任何不需要修复和加工即可用于其原始用途的物质，或者在产生点经过修复和加工后满足国家、地方制定或行业通行的产品质量标准并且用于其原始用途的物质，可不作为固体废物管理”。</w:t>
            </w:r>
          </w:p>
          <w:p w14:paraId="7B079AAC">
            <w:pPr>
              <w:pStyle w:val="101"/>
              <w:rPr>
                <w:rFonts w:hint="default" w:ascii="Times New Roman" w:hAnsi="Times New Roman" w:eastAsia="宋体" w:cs="Times New Roman"/>
                <w:b/>
                <w:bCs w:val="0"/>
                <w:color w:val="auto"/>
                <w:spacing w:val="0"/>
                <w:sz w:val="24"/>
                <w:highlight w:val="none"/>
                <w:u w:val="none" w:color="auto"/>
                <w:lang w:val="en-US" w:eastAsia="zh-CN"/>
              </w:rPr>
            </w:pPr>
            <w:r>
              <w:rPr>
                <w:rFonts w:hint="default" w:ascii="Times New Roman" w:hAnsi="Times New Roman" w:eastAsia="宋体" w:cs="Times New Roman"/>
                <w:color w:val="auto"/>
                <w:highlight w:val="none"/>
                <w:u w:val="none" w:color="auto"/>
                <w:lang w:val="en-US" w:eastAsia="zh-CN"/>
              </w:rPr>
              <w:t>因此，本项目产生的脱模剂空桶满足该条款，可不作为固体废物管理，但若出现破损或无法满足上述要求时，需</w:t>
            </w:r>
            <w:r>
              <w:rPr>
                <w:rFonts w:hint="default" w:ascii="Times New Roman" w:hAnsi="Times New Roman" w:eastAsia="宋体" w:cs="Times New Roman"/>
                <w:color w:val="auto"/>
                <w:sz w:val="24"/>
                <w:u w:val="none" w:color="auto"/>
              </w:rPr>
              <w:t>根据《国家危险废物名录（2025版）》</w:t>
            </w:r>
            <w:r>
              <w:rPr>
                <w:rFonts w:hint="default" w:ascii="Times New Roman" w:hAnsi="Times New Roman" w:eastAsia="宋体" w:cs="Times New Roman"/>
                <w:color w:val="auto"/>
                <w:sz w:val="24"/>
                <w:u w:val="none" w:color="auto"/>
                <w:lang w:val="en-US" w:eastAsia="zh-CN"/>
              </w:rPr>
              <w:t>将其界定为</w:t>
            </w:r>
            <w:r>
              <w:rPr>
                <w:rFonts w:hint="default" w:ascii="Times New Roman" w:hAnsi="Times New Roman" w:eastAsia="宋体" w:cs="Times New Roman"/>
                <w:color w:val="auto"/>
                <w:sz w:val="24"/>
                <w:u w:val="none" w:color="auto"/>
              </w:rPr>
              <w:t>危险固废，废物类别为HW49，废物代码</w:t>
            </w:r>
            <w:r>
              <w:rPr>
                <w:rFonts w:hint="default" w:ascii="Times New Roman" w:hAnsi="Times New Roman" w:eastAsia="宋体" w:cs="Times New Roman"/>
                <w:color w:val="auto"/>
                <w:sz w:val="24"/>
                <w:highlight w:val="none"/>
                <w:u w:val="none" w:color="auto"/>
              </w:rPr>
              <w:t>为“900-041-49”</w:t>
            </w:r>
            <w:r>
              <w:rPr>
                <w:rFonts w:hint="default" w:ascii="Times New Roman" w:hAnsi="Times New Roman" w:eastAsia="宋体" w:cs="Times New Roman"/>
                <w:color w:val="auto"/>
                <w:sz w:val="24"/>
                <w:u w:val="none" w:color="auto"/>
              </w:rPr>
              <w:t>，收集后委托有资质单位进行安全处置。</w:t>
            </w:r>
          </w:p>
          <w:p w14:paraId="0347FB24">
            <w:pPr>
              <w:spacing w:line="360" w:lineRule="auto"/>
              <w:ind w:firstLine="482" w:firstLineChars="200"/>
              <w:rPr>
                <w:rFonts w:hint="default" w:ascii="Times New Roman" w:hAnsi="Times New Roman" w:eastAsia="宋体" w:cs="Times New Roman"/>
                <w:b/>
                <w:bCs w:val="0"/>
                <w:color w:val="auto"/>
                <w:spacing w:val="0"/>
                <w:sz w:val="24"/>
                <w:highlight w:val="none"/>
                <w:u w:val="none" w:color="auto"/>
                <w:lang w:val="en-US" w:eastAsia="zh-CN"/>
              </w:rPr>
            </w:pPr>
            <w:r>
              <w:rPr>
                <w:rFonts w:hint="default" w:ascii="Times New Roman" w:hAnsi="Times New Roman" w:eastAsia="宋体" w:cs="Times New Roman"/>
                <w:b/>
                <w:bCs w:val="0"/>
                <w:color w:val="auto"/>
                <w:spacing w:val="0"/>
                <w:sz w:val="24"/>
                <w:highlight w:val="none"/>
                <w:u w:val="none" w:color="auto"/>
                <w:lang w:val="en-US" w:eastAsia="zh-CN"/>
              </w:rPr>
              <w:t>（4）废导热油</w:t>
            </w:r>
          </w:p>
          <w:p w14:paraId="6D18A004">
            <w:pPr>
              <w:spacing w:line="360" w:lineRule="auto"/>
              <w:ind w:firstLine="480" w:firstLineChars="200"/>
              <w:rPr>
                <w:rFonts w:hint="default" w:ascii="Times New Roman" w:hAnsi="Times New Roman" w:eastAsia="宋体" w:cs="Times New Roman"/>
                <w:b/>
                <w:bCs w:val="0"/>
                <w:color w:val="auto"/>
                <w:spacing w:val="0"/>
                <w:sz w:val="24"/>
                <w:highlight w:val="none"/>
                <w:u w:val="none" w:color="auto"/>
                <w:lang w:val="en-US" w:eastAsia="zh-CN"/>
              </w:rPr>
            </w:pPr>
            <w:r>
              <w:rPr>
                <w:rFonts w:hint="default" w:ascii="Times New Roman" w:hAnsi="Times New Roman" w:eastAsia="宋体" w:cs="Times New Roman"/>
                <w:b w:val="0"/>
                <w:bCs/>
                <w:color w:val="auto"/>
                <w:spacing w:val="0"/>
                <w:sz w:val="24"/>
                <w:highlight w:val="none"/>
                <w:u w:val="none" w:color="auto"/>
                <w:lang w:val="en-US" w:eastAsia="zh-CN"/>
              </w:rPr>
              <w:t>本项目采用电能加热模温机内的导热油，进而加热模具，根据设备资料，设备内导热油量约4t，使用寿命约为2a。达到更换周期时，由设备供应商直接在现场对导热油进行替换，产生的废导热油由设备供应商回收再生处理。该导热油属于危险废物（HW08废矿物油与含矿物油废物  900-249-08），因此本次评价要求建设单位在选择供应商时需具备相关收集处理资质。</w:t>
            </w:r>
          </w:p>
          <w:p w14:paraId="5B94E560">
            <w:pPr>
              <w:spacing w:line="360" w:lineRule="auto"/>
              <w:ind w:firstLine="482" w:firstLineChars="200"/>
              <w:rPr>
                <w:rFonts w:hint="default" w:ascii="Times New Roman" w:hAnsi="Times New Roman" w:eastAsia="宋体" w:cs="Times New Roman"/>
                <w:b/>
                <w:bCs w:val="0"/>
                <w:color w:val="auto"/>
                <w:spacing w:val="0"/>
                <w:sz w:val="24"/>
                <w:highlight w:val="none"/>
                <w:u w:val="none" w:color="auto"/>
                <w:lang w:val="en-US" w:eastAsia="zh-CN"/>
              </w:rPr>
            </w:pPr>
            <w:r>
              <w:rPr>
                <w:rFonts w:hint="default" w:ascii="Times New Roman" w:hAnsi="Times New Roman" w:eastAsia="宋体" w:cs="Times New Roman"/>
                <w:b/>
                <w:bCs w:val="0"/>
                <w:color w:val="auto"/>
                <w:spacing w:val="0"/>
                <w:sz w:val="24"/>
                <w:highlight w:val="none"/>
                <w:u w:val="none" w:color="auto"/>
                <w:lang w:val="en-US" w:eastAsia="zh-CN"/>
              </w:rPr>
              <w:t>（5）废活性炭（S2-2）</w:t>
            </w:r>
          </w:p>
          <w:p w14:paraId="27249835">
            <w:pPr>
              <w:pStyle w:val="2"/>
              <w:snapToGrid/>
              <w:spacing w:before="0" w:after="0" w:line="360" w:lineRule="auto"/>
              <w:ind w:right="0" w:firstLine="480" w:firstLineChars="200"/>
              <w:contextualSpacing/>
              <w:rPr>
                <w:rFonts w:hint="default" w:ascii="Times New Roman" w:hAnsi="Times New Roman" w:eastAsia="宋体" w:cs="Times New Roman"/>
                <w:color w:val="auto"/>
                <w:sz w:val="24"/>
                <w:u w:val="none" w:color="auto"/>
                <w:lang w:val="en-US" w:eastAsia="zh-CN"/>
              </w:rPr>
            </w:pPr>
            <w:r>
              <w:rPr>
                <w:rFonts w:hint="default" w:ascii="Times New Roman" w:hAnsi="Times New Roman" w:eastAsia="宋体" w:cs="Times New Roman"/>
                <w:color w:val="auto"/>
                <w:sz w:val="24"/>
                <w:u w:val="none" w:color="auto"/>
              </w:rPr>
              <w:t>铝合金熔铸一厂</w:t>
            </w:r>
            <w:r>
              <w:rPr>
                <w:rFonts w:hint="default" w:ascii="Times New Roman" w:hAnsi="Times New Roman" w:eastAsia="宋体" w:cs="Times New Roman"/>
                <w:color w:val="auto"/>
                <w:sz w:val="24"/>
                <w:u w:val="none" w:color="auto"/>
                <w:lang w:val="en-US" w:eastAsia="zh-CN"/>
              </w:rPr>
              <w:t>压铸工艺废气采用布袋除尘+活性炭吸附系统处理，活性炭非甲烷总烃吸附效率按15%计，则预计吸附量为0.298t/a；另进入活性炭的颗粒物量约为0.2045t/a，吸附效率按15%计，则预计吸附量为0.0307t/a，合计吸附量为0.3287t/a。</w:t>
            </w:r>
          </w:p>
          <w:p w14:paraId="5F738DA3">
            <w:pPr>
              <w:pStyle w:val="2"/>
              <w:snapToGrid/>
              <w:spacing w:before="0" w:after="0" w:line="360" w:lineRule="auto"/>
              <w:ind w:right="0" w:firstLine="480" w:firstLineChars="200"/>
              <w:contextualSpacing/>
              <w:rPr>
                <w:rFonts w:hint="default" w:ascii="Times New Roman" w:hAnsi="Times New Roman" w:eastAsia="宋体" w:cs="Times New Roman"/>
                <w:color w:val="auto"/>
                <w:sz w:val="24"/>
                <w:u w:val="none" w:color="auto"/>
              </w:rPr>
            </w:pPr>
            <w:r>
              <w:rPr>
                <w:rFonts w:hint="default" w:ascii="Times New Roman" w:hAnsi="Times New Roman" w:eastAsia="宋体" w:cs="Times New Roman"/>
                <w:color w:val="auto"/>
                <w:sz w:val="24"/>
                <w:u w:val="none" w:color="auto"/>
              </w:rPr>
              <w:t>废气处理装置中活性炭吸附设施需定期更换活性炭，按1kg活性炭吸附0.3kg挥发性有机废气计，</w:t>
            </w:r>
            <w:r>
              <w:rPr>
                <w:rFonts w:hint="default" w:ascii="Times New Roman" w:hAnsi="Times New Roman" w:eastAsia="宋体" w:cs="Times New Roman"/>
                <w:color w:val="auto"/>
                <w:sz w:val="24"/>
                <w:u w:val="none" w:color="auto"/>
                <w:lang w:val="en-US" w:eastAsia="zh-CN"/>
              </w:rPr>
              <w:t>至少需配套0.9933t/a的活性炭，吸附后</w:t>
            </w:r>
            <w:r>
              <w:rPr>
                <w:rFonts w:hint="default" w:ascii="Times New Roman" w:hAnsi="Times New Roman" w:eastAsia="宋体" w:cs="Times New Roman"/>
                <w:color w:val="auto"/>
                <w:sz w:val="24"/>
                <w:u w:val="none" w:color="auto"/>
              </w:rPr>
              <w:t>产生</w:t>
            </w:r>
            <w:r>
              <w:rPr>
                <w:rFonts w:hint="default" w:ascii="Times New Roman" w:hAnsi="Times New Roman" w:eastAsia="宋体" w:cs="Times New Roman"/>
                <w:color w:val="auto"/>
                <w:sz w:val="24"/>
                <w:u w:val="none" w:color="auto"/>
                <w:lang w:val="en-US" w:eastAsia="zh-CN"/>
              </w:rPr>
              <w:t>1.322</w:t>
            </w:r>
            <w:r>
              <w:rPr>
                <w:rFonts w:hint="default" w:ascii="Times New Roman" w:hAnsi="Times New Roman" w:eastAsia="宋体" w:cs="Times New Roman"/>
                <w:color w:val="auto"/>
                <w:sz w:val="24"/>
                <w:u w:val="none" w:color="auto"/>
              </w:rPr>
              <w:t>t</w:t>
            </w:r>
            <w:r>
              <w:rPr>
                <w:rFonts w:hint="default" w:ascii="Times New Roman" w:hAnsi="Times New Roman" w:eastAsia="宋体" w:cs="Times New Roman"/>
                <w:color w:val="auto"/>
                <w:sz w:val="24"/>
                <w:u w:val="none" w:color="auto"/>
                <w:lang w:val="en-US" w:eastAsia="zh-CN"/>
              </w:rPr>
              <w:t>/a</w:t>
            </w:r>
            <w:r>
              <w:rPr>
                <w:rFonts w:hint="default" w:ascii="Times New Roman" w:hAnsi="Times New Roman" w:eastAsia="宋体" w:cs="Times New Roman"/>
                <w:color w:val="auto"/>
                <w:sz w:val="24"/>
                <w:u w:val="none" w:color="auto"/>
              </w:rPr>
              <w:t>废活性炭。根据《国家危险废物名录》（202</w:t>
            </w:r>
            <w:r>
              <w:rPr>
                <w:rFonts w:hint="default" w:ascii="Times New Roman" w:hAnsi="Times New Roman" w:eastAsia="宋体" w:cs="Times New Roman"/>
                <w:color w:val="auto"/>
                <w:sz w:val="24"/>
                <w:u w:val="none" w:color="auto"/>
                <w:lang w:val="en-US" w:eastAsia="zh-CN"/>
              </w:rPr>
              <w:t>5</w:t>
            </w:r>
            <w:r>
              <w:rPr>
                <w:rFonts w:hint="default" w:ascii="Times New Roman" w:hAnsi="Times New Roman" w:eastAsia="宋体" w:cs="Times New Roman"/>
                <w:color w:val="auto"/>
                <w:sz w:val="24"/>
                <w:u w:val="none" w:color="auto"/>
              </w:rPr>
              <w:t>版），该类固废的废物类别为HW49其他废物，废物代码为“900-039-49”，收集后在厂区危险废物暂存间暂存，定期委托有资质单位进行安全处置。</w:t>
            </w:r>
          </w:p>
          <w:p w14:paraId="5779F905">
            <w:pPr>
              <w:spacing w:line="360" w:lineRule="auto"/>
              <w:ind w:firstLine="482" w:firstLineChars="200"/>
              <w:rPr>
                <w:rFonts w:hint="default" w:ascii="Times New Roman" w:hAnsi="Times New Roman" w:eastAsia="宋体" w:cs="Times New Roman"/>
                <w:b/>
                <w:bCs w:val="0"/>
                <w:color w:val="auto"/>
                <w:spacing w:val="0"/>
                <w:sz w:val="24"/>
                <w:highlight w:val="none"/>
                <w:u w:val="none" w:color="auto"/>
                <w:lang w:val="en-US" w:eastAsia="zh-CN"/>
              </w:rPr>
            </w:pPr>
            <w:r>
              <w:rPr>
                <w:rFonts w:hint="default" w:ascii="Times New Roman" w:hAnsi="Times New Roman" w:eastAsia="宋体" w:cs="Times New Roman"/>
                <w:b/>
                <w:bCs w:val="0"/>
                <w:color w:val="auto"/>
                <w:spacing w:val="0"/>
                <w:sz w:val="24"/>
                <w:highlight w:val="none"/>
                <w:u w:val="none" w:color="auto"/>
                <w:lang w:val="en-US" w:eastAsia="zh-CN"/>
              </w:rPr>
              <w:t>（6）废润滑油、废液压油等废矿物油</w:t>
            </w:r>
          </w:p>
          <w:p w14:paraId="3F1EA106">
            <w:pPr>
              <w:spacing w:line="360" w:lineRule="auto"/>
              <w:ind w:firstLine="480" w:firstLineChars="200"/>
              <w:rPr>
                <w:rFonts w:hint="default" w:ascii="Times New Roman" w:hAnsi="Times New Roman" w:eastAsia="宋体" w:cs="Times New Roman"/>
                <w:b w:val="0"/>
                <w:bCs/>
                <w:color w:val="auto"/>
                <w:spacing w:val="0"/>
                <w:sz w:val="24"/>
                <w:u w:val="none" w:color="auto"/>
                <w:lang w:val="en-US" w:eastAsia="zh-CN"/>
              </w:rPr>
            </w:pPr>
            <w:r>
              <w:rPr>
                <w:rFonts w:hint="default" w:ascii="Times New Roman" w:hAnsi="Times New Roman" w:eastAsia="宋体" w:cs="Times New Roman"/>
                <w:b w:val="0"/>
                <w:bCs/>
                <w:color w:val="auto"/>
                <w:spacing w:val="0"/>
                <w:sz w:val="24"/>
                <w:u w:val="none" w:color="auto"/>
                <w:lang w:val="en-US" w:eastAsia="zh-CN"/>
              </w:rPr>
              <w:t>机械加工设备使用一段时间后需更换液压油、</w:t>
            </w:r>
            <w:r>
              <w:rPr>
                <w:rFonts w:hint="default" w:ascii="Times New Roman" w:hAnsi="Times New Roman" w:eastAsia="宋体" w:cs="Times New Roman"/>
                <w:b w:val="0"/>
                <w:bCs/>
                <w:color w:val="auto"/>
                <w:spacing w:val="0"/>
                <w:sz w:val="24"/>
                <w:highlight w:val="none"/>
                <w:u w:val="none" w:color="auto"/>
                <w:lang w:val="en-US" w:eastAsia="zh-CN"/>
              </w:rPr>
              <w:t>润滑油</w:t>
            </w:r>
            <w:r>
              <w:rPr>
                <w:rFonts w:hint="default" w:ascii="Times New Roman" w:hAnsi="Times New Roman" w:eastAsia="宋体" w:cs="Times New Roman"/>
                <w:b w:val="0"/>
                <w:bCs/>
                <w:color w:val="auto"/>
                <w:spacing w:val="0"/>
                <w:sz w:val="24"/>
                <w:u w:val="none" w:color="auto"/>
                <w:lang w:val="en-US" w:eastAsia="zh-CN"/>
              </w:rPr>
              <w:t>，届时会产生一定量的废液压油、废</w:t>
            </w:r>
            <w:r>
              <w:rPr>
                <w:rFonts w:hint="default" w:ascii="Times New Roman" w:hAnsi="Times New Roman" w:eastAsia="宋体" w:cs="Times New Roman"/>
                <w:b w:val="0"/>
                <w:bCs/>
                <w:color w:val="auto"/>
                <w:spacing w:val="0"/>
                <w:sz w:val="24"/>
                <w:highlight w:val="none"/>
                <w:u w:val="none" w:color="auto"/>
                <w:lang w:val="en-US" w:eastAsia="zh-CN"/>
              </w:rPr>
              <w:t>润滑油</w:t>
            </w:r>
            <w:r>
              <w:rPr>
                <w:rFonts w:hint="default" w:ascii="Times New Roman" w:hAnsi="Times New Roman" w:eastAsia="宋体" w:cs="Times New Roman"/>
                <w:b w:val="0"/>
                <w:bCs/>
                <w:color w:val="auto"/>
                <w:spacing w:val="0"/>
                <w:sz w:val="24"/>
                <w:u w:val="none" w:color="auto"/>
                <w:lang w:val="en-US" w:eastAsia="zh-CN"/>
              </w:rPr>
              <w:t>，根据建设单位提供的经验系数，按使用量的10%计，预计产生废液压油、废</w:t>
            </w:r>
            <w:r>
              <w:rPr>
                <w:rFonts w:hint="default" w:ascii="Times New Roman" w:hAnsi="Times New Roman" w:eastAsia="宋体" w:cs="Times New Roman"/>
                <w:b w:val="0"/>
                <w:bCs/>
                <w:color w:val="auto"/>
                <w:spacing w:val="0"/>
                <w:sz w:val="24"/>
                <w:highlight w:val="none"/>
                <w:u w:val="none" w:color="auto"/>
                <w:lang w:val="en-US" w:eastAsia="zh-CN"/>
              </w:rPr>
              <w:t>润滑油分别</w:t>
            </w:r>
            <w:r>
              <w:rPr>
                <w:rFonts w:hint="default" w:ascii="Times New Roman" w:hAnsi="Times New Roman" w:eastAsia="宋体" w:cs="Times New Roman"/>
                <w:b w:val="0"/>
                <w:bCs/>
                <w:color w:val="auto"/>
                <w:spacing w:val="0"/>
                <w:sz w:val="24"/>
                <w:u w:val="none" w:color="auto"/>
                <w:lang w:val="en-US" w:eastAsia="zh-CN"/>
              </w:rPr>
              <w:t>约为1.5t/a、0.8t/a。根据《国家危险废物名录（2025版）》其属于危险固废，废液压油类别为HW08，废物代码为“900-218-08”；废润滑油类别为HW08，废物代码为“900-217-08”，收集暂存后委托有资质单位进行安全处置。</w:t>
            </w:r>
          </w:p>
          <w:p w14:paraId="21473BEC">
            <w:pPr>
              <w:spacing w:line="360" w:lineRule="auto"/>
              <w:ind w:firstLine="482" w:firstLineChars="200"/>
              <w:rPr>
                <w:rFonts w:hint="default" w:ascii="Times New Roman" w:hAnsi="Times New Roman" w:eastAsia="宋体" w:cs="Times New Roman"/>
                <w:b/>
                <w:bCs w:val="0"/>
                <w:color w:val="auto"/>
                <w:spacing w:val="0"/>
                <w:sz w:val="24"/>
                <w:highlight w:val="none"/>
                <w:u w:val="none" w:color="auto"/>
                <w:lang w:val="en-US" w:eastAsia="zh-CN"/>
              </w:rPr>
            </w:pPr>
            <w:r>
              <w:rPr>
                <w:rFonts w:hint="default" w:ascii="Times New Roman" w:hAnsi="Times New Roman" w:eastAsia="宋体" w:cs="Times New Roman"/>
                <w:b/>
                <w:bCs w:val="0"/>
                <w:color w:val="auto"/>
                <w:spacing w:val="0"/>
                <w:sz w:val="24"/>
                <w:highlight w:val="none"/>
                <w:u w:val="none" w:color="auto"/>
                <w:lang w:val="en-US" w:eastAsia="zh-CN"/>
              </w:rPr>
              <w:t>（7）废液压油桶、废润滑油桶</w:t>
            </w:r>
          </w:p>
          <w:p w14:paraId="55B15E59">
            <w:pPr>
              <w:spacing w:line="360" w:lineRule="auto"/>
              <w:ind w:firstLine="480" w:firstLineChars="200"/>
              <w:rPr>
                <w:rFonts w:hint="default" w:ascii="Times New Roman" w:hAnsi="Times New Roman" w:eastAsia="宋体" w:cs="Times New Roman"/>
                <w:color w:val="auto"/>
                <w:sz w:val="24"/>
                <w:u w:val="none" w:color="auto"/>
                <w:lang w:val="en-US" w:eastAsia="zh-CN"/>
              </w:rPr>
            </w:pPr>
            <w:r>
              <w:rPr>
                <w:rFonts w:hint="default" w:ascii="Times New Roman" w:hAnsi="Times New Roman" w:eastAsia="宋体" w:cs="Times New Roman"/>
                <w:color w:val="auto"/>
                <w:sz w:val="24"/>
                <w:u w:val="none" w:color="auto"/>
              </w:rPr>
              <w:t>机械加工设备使用一段时间后需补充液压油</w:t>
            </w:r>
            <w:r>
              <w:rPr>
                <w:rFonts w:hint="default" w:ascii="Times New Roman" w:hAnsi="Times New Roman" w:eastAsia="宋体" w:cs="Times New Roman"/>
                <w:color w:val="auto"/>
                <w:sz w:val="24"/>
                <w:u w:val="none" w:color="auto"/>
                <w:lang w:eastAsia="zh-CN"/>
              </w:rPr>
              <w:t>，</w:t>
            </w:r>
            <w:r>
              <w:rPr>
                <w:rFonts w:hint="default" w:ascii="Times New Roman" w:hAnsi="Times New Roman" w:eastAsia="宋体" w:cs="Times New Roman"/>
                <w:color w:val="auto"/>
                <w:sz w:val="24"/>
                <w:u w:val="none" w:color="auto"/>
              </w:rPr>
              <w:t>液压油使用桶装，</w:t>
            </w:r>
            <w:r>
              <w:rPr>
                <w:rFonts w:hint="default" w:ascii="Times New Roman" w:hAnsi="Times New Roman" w:eastAsia="宋体" w:cs="Times New Roman"/>
                <w:color w:val="auto"/>
                <w:sz w:val="24"/>
                <w:u w:val="none" w:color="auto"/>
                <w:lang w:val="en-US" w:eastAsia="zh-CN"/>
              </w:rPr>
              <w:t>本项目</w:t>
            </w:r>
            <w:r>
              <w:rPr>
                <w:rFonts w:hint="default" w:ascii="Times New Roman" w:hAnsi="Times New Roman" w:eastAsia="宋体" w:cs="Times New Roman"/>
                <w:color w:val="auto"/>
                <w:sz w:val="24"/>
                <w:u w:val="none" w:color="auto"/>
              </w:rPr>
              <w:t>液压油桶装</w:t>
            </w:r>
            <w:r>
              <w:rPr>
                <w:rFonts w:hint="default" w:ascii="Times New Roman" w:hAnsi="Times New Roman" w:eastAsia="宋体" w:cs="Times New Roman"/>
                <w:color w:val="auto"/>
                <w:sz w:val="24"/>
                <w:u w:val="none" w:color="auto"/>
                <w:lang w:val="en-US" w:eastAsia="zh-CN"/>
              </w:rPr>
              <w:t>规格为200kg/桶，预计产生75</w:t>
            </w:r>
            <w:r>
              <w:rPr>
                <w:rFonts w:hint="default" w:ascii="Times New Roman" w:hAnsi="Times New Roman" w:eastAsia="宋体" w:cs="Times New Roman"/>
                <w:color w:val="auto"/>
                <w:sz w:val="24"/>
                <w:u w:val="none" w:color="auto"/>
              </w:rPr>
              <w:t>个废桶，按每个</w:t>
            </w:r>
            <w:r>
              <w:rPr>
                <w:rFonts w:hint="default" w:ascii="Times New Roman" w:hAnsi="Times New Roman" w:eastAsia="宋体" w:cs="Times New Roman"/>
                <w:color w:val="auto"/>
                <w:sz w:val="24"/>
                <w:u w:val="none" w:color="auto"/>
                <w:lang w:val="en-US" w:eastAsia="zh-CN"/>
              </w:rPr>
              <w:t>约</w:t>
            </w:r>
            <w:r>
              <w:rPr>
                <w:rFonts w:hint="default" w:ascii="Times New Roman" w:hAnsi="Times New Roman" w:eastAsia="宋体" w:cs="Times New Roman"/>
                <w:color w:val="auto"/>
                <w:sz w:val="24"/>
                <w:u w:val="none" w:color="auto"/>
              </w:rPr>
              <w:t>25kg计，则预计本项目废</w:t>
            </w:r>
            <w:r>
              <w:rPr>
                <w:rFonts w:hint="default" w:ascii="Times New Roman" w:hAnsi="Times New Roman" w:eastAsia="宋体" w:cs="Times New Roman"/>
                <w:color w:val="auto"/>
                <w:sz w:val="24"/>
                <w:u w:val="none" w:color="auto"/>
                <w:lang w:val="en-US" w:eastAsia="zh-CN"/>
              </w:rPr>
              <w:t>液压油</w:t>
            </w:r>
            <w:r>
              <w:rPr>
                <w:rFonts w:hint="default" w:ascii="Times New Roman" w:hAnsi="Times New Roman" w:eastAsia="宋体" w:cs="Times New Roman"/>
                <w:color w:val="auto"/>
                <w:sz w:val="24"/>
                <w:u w:val="none" w:color="auto"/>
              </w:rPr>
              <w:t>桶产生量为</w:t>
            </w:r>
            <w:r>
              <w:rPr>
                <w:rFonts w:hint="default" w:ascii="Times New Roman" w:hAnsi="Times New Roman" w:eastAsia="宋体" w:cs="Times New Roman"/>
                <w:color w:val="auto"/>
                <w:sz w:val="24"/>
                <w:u w:val="none" w:color="auto"/>
                <w:lang w:val="en-US" w:eastAsia="zh-CN"/>
              </w:rPr>
              <w:t>1.875</w:t>
            </w:r>
            <w:r>
              <w:rPr>
                <w:rFonts w:hint="default" w:ascii="Times New Roman" w:hAnsi="Times New Roman" w:eastAsia="宋体" w:cs="Times New Roman"/>
                <w:color w:val="auto"/>
                <w:sz w:val="24"/>
                <w:u w:val="none" w:color="auto"/>
              </w:rPr>
              <w:t>t/a</w:t>
            </w:r>
            <w:r>
              <w:rPr>
                <w:rFonts w:hint="default" w:ascii="Times New Roman" w:hAnsi="Times New Roman" w:eastAsia="宋体" w:cs="Times New Roman"/>
                <w:color w:val="auto"/>
                <w:sz w:val="24"/>
                <w:u w:val="none" w:color="auto"/>
                <w:lang w:eastAsia="zh-CN"/>
              </w:rPr>
              <w:t>；</w:t>
            </w:r>
            <w:r>
              <w:rPr>
                <w:rFonts w:hint="default" w:ascii="Times New Roman" w:hAnsi="Times New Roman" w:eastAsia="宋体" w:cs="Times New Roman"/>
                <w:color w:val="auto"/>
                <w:sz w:val="24"/>
                <w:u w:val="none" w:color="auto"/>
                <w:lang w:val="en-US" w:eastAsia="zh-CN"/>
              </w:rPr>
              <w:t>润滑油桶规格为200kg/桶，预计产生40</w:t>
            </w:r>
            <w:r>
              <w:rPr>
                <w:rFonts w:hint="default" w:ascii="Times New Roman" w:hAnsi="Times New Roman" w:eastAsia="宋体" w:cs="Times New Roman"/>
                <w:color w:val="auto"/>
                <w:sz w:val="24"/>
                <w:u w:val="none" w:color="auto"/>
              </w:rPr>
              <w:t>个废桶，按每个</w:t>
            </w:r>
            <w:r>
              <w:rPr>
                <w:rFonts w:hint="default" w:ascii="Times New Roman" w:hAnsi="Times New Roman" w:eastAsia="宋体" w:cs="Times New Roman"/>
                <w:color w:val="auto"/>
                <w:sz w:val="24"/>
                <w:u w:val="none" w:color="auto"/>
                <w:lang w:val="en-US" w:eastAsia="zh-CN"/>
              </w:rPr>
              <w:t>约</w:t>
            </w:r>
            <w:r>
              <w:rPr>
                <w:rFonts w:hint="default" w:ascii="Times New Roman" w:hAnsi="Times New Roman" w:eastAsia="宋体" w:cs="Times New Roman"/>
                <w:color w:val="auto"/>
                <w:sz w:val="24"/>
                <w:u w:val="none" w:color="auto"/>
              </w:rPr>
              <w:t>25kg计，则预计本项目废</w:t>
            </w:r>
            <w:r>
              <w:rPr>
                <w:rFonts w:hint="default" w:ascii="Times New Roman" w:hAnsi="Times New Roman" w:eastAsia="宋体" w:cs="Times New Roman"/>
                <w:color w:val="auto"/>
                <w:sz w:val="24"/>
                <w:u w:val="none" w:color="auto"/>
                <w:lang w:val="en-US" w:eastAsia="zh-CN"/>
              </w:rPr>
              <w:t>润滑油</w:t>
            </w:r>
            <w:r>
              <w:rPr>
                <w:rFonts w:hint="default" w:ascii="Times New Roman" w:hAnsi="Times New Roman" w:eastAsia="宋体" w:cs="Times New Roman"/>
                <w:color w:val="auto"/>
                <w:sz w:val="24"/>
                <w:u w:val="none" w:color="auto"/>
              </w:rPr>
              <w:t>桶产生量为</w:t>
            </w:r>
            <w:r>
              <w:rPr>
                <w:rFonts w:hint="default" w:ascii="Times New Roman" w:hAnsi="Times New Roman" w:eastAsia="宋体" w:cs="Times New Roman"/>
                <w:color w:val="auto"/>
                <w:sz w:val="24"/>
                <w:u w:val="none" w:color="auto"/>
                <w:lang w:val="en-US" w:eastAsia="zh-CN"/>
              </w:rPr>
              <w:t>1</w:t>
            </w:r>
            <w:r>
              <w:rPr>
                <w:rFonts w:hint="default" w:ascii="Times New Roman" w:hAnsi="Times New Roman" w:eastAsia="宋体" w:cs="Times New Roman"/>
                <w:color w:val="auto"/>
                <w:sz w:val="24"/>
                <w:u w:val="none" w:color="auto"/>
              </w:rPr>
              <w:t>t/a</w:t>
            </w:r>
            <w:r>
              <w:rPr>
                <w:rFonts w:hint="default" w:ascii="Times New Roman" w:hAnsi="Times New Roman" w:eastAsia="宋体" w:cs="Times New Roman"/>
                <w:color w:val="auto"/>
                <w:sz w:val="24"/>
                <w:u w:val="none" w:color="auto"/>
                <w:lang w:eastAsia="zh-CN"/>
              </w:rPr>
              <w:t>，</w:t>
            </w:r>
            <w:r>
              <w:rPr>
                <w:rFonts w:hint="default" w:ascii="Times New Roman" w:hAnsi="Times New Roman" w:eastAsia="宋体" w:cs="Times New Roman"/>
                <w:color w:val="auto"/>
                <w:sz w:val="24"/>
                <w:u w:val="none" w:color="auto"/>
                <w:lang w:val="en-US" w:eastAsia="zh-CN"/>
              </w:rPr>
              <w:t>合计产生废液压油桶、废润滑油桶2.875t/a。</w:t>
            </w:r>
          </w:p>
          <w:p w14:paraId="362D69FA">
            <w:pPr>
              <w:spacing w:line="360" w:lineRule="auto"/>
              <w:ind w:firstLine="480" w:firstLineChars="200"/>
              <w:rPr>
                <w:rFonts w:hint="default" w:ascii="Times New Roman" w:hAnsi="Times New Roman" w:eastAsia="宋体" w:cs="Times New Roman"/>
                <w:b/>
                <w:bCs w:val="0"/>
                <w:color w:val="auto"/>
                <w:spacing w:val="0"/>
                <w:sz w:val="24"/>
                <w:highlight w:val="none"/>
                <w:u w:val="none" w:color="auto"/>
                <w:lang w:val="en-US" w:eastAsia="zh-CN"/>
              </w:rPr>
            </w:pPr>
            <w:r>
              <w:rPr>
                <w:rFonts w:hint="default" w:ascii="Times New Roman" w:hAnsi="Times New Roman" w:eastAsia="宋体" w:cs="Times New Roman"/>
                <w:color w:val="auto"/>
                <w:sz w:val="24"/>
                <w:u w:val="none" w:color="auto"/>
              </w:rPr>
              <w:t>根据《国家危险废物名录（2025版）》其属于危险固废，废物类别为HW</w:t>
            </w:r>
            <w:r>
              <w:rPr>
                <w:rFonts w:hint="default" w:ascii="Times New Roman" w:hAnsi="Times New Roman" w:eastAsia="宋体" w:cs="Times New Roman"/>
                <w:color w:val="auto"/>
                <w:sz w:val="24"/>
                <w:u w:val="none" w:color="auto"/>
                <w:lang w:val="en-US" w:eastAsia="zh-CN"/>
              </w:rPr>
              <w:t>08</w:t>
            </w:r>
            <w:r>
              <w:rPr>
                <w:rFonts w:hint="default" w:ascii="Times New Roman" w:hAnsi="Times New Roman" w:eastAsia="宋体" w:cs="Times New Roman"/>
                <w:color w:val="auto"/>
                <w:sz w:val="24"/>
                <w:u w:val="none" w:color="auto"/>
              </w:rPr>
              <w:t>，废物代</w:t>
            </w:r>
            <w:r>
              <w:rPr>
                <w:rFonts w:hint="default" w:ascii="Times New Roman" w:hAnsi="Times New Roman" w:eastAsia="宋体" w:cs="Times New Roman"/>
                <w:color w:val="auto"/>
                <w:sz w:val="24"/>
                <w:highlight w:val="none"/>
                <w:u w:val="none" w:color="auto"/>
              </w:rPr>
              <w:t>码为“900-</w:t>
            </w:r>
            <w:r>
              <w:rPr>
                <w:rFonts w:hint="default" w:ascii="Times New Roman" w:hAnsi="Times New Roman" w:eastAsia="宋体" w:cs="Times New Roman"/>
                <w:color w:val="auto"/>
                <w:sz w:val="24"/>
                <w:highlight w:val="none"/>
                <w:u w:val="none" w:color="auto"/>
                <w:lang w:val="en-US" w:eastAsia="zh-CN"/>
              </w:rPr>
              <w:t>249</w:t>
            </w:r>
            <w:r>
              <w:rPr>
                <w:rFonts w:hint="default" w:ascii="Times New Roman" w:hAnsi="Times New Roman" w:eastAsia="宋体" w:cs="Times New Roman"/>
                <w:color w:val="auto"/>
                <w:sz w:val="24"/>
                <w:highlight w:val="none"/>
                <w:u w:val="none" w:color="auto"/>
              </w:rPr>
              <w:t>-</w:t>
            </w:r>
            <w:r>
              <w:rPr>
                <w:rFonts w:hint="default" w:ascii="Times New Roman" w:hAnsi="Times New Roman" w:eastAsia="宋体" w:cs="Times New Roman"/>
                <w:color w:val="auto"/>
                <w:sz w:val="24"/>
                <w:highlight w:val="none"/>
                <w:u w:val="none" w:color="auto"/>
                <w:lang w:val="en-US" w:eastAsia="zh-CN"/>
              </w:rPr>
              <w:t>08</w:t>
            </w:r>
            <w:r>
              <w:rPr>
                <w:rFonts w:hint="default" w:ascii="Times New Roman" w:hAnsi="Times New Roman" w:eastAsia="宋体" w:cs="Times New Roman"/>
                <w:color w:val="auto"/>
                <w:sz w:val="24"/>
                <w:highlight w:val="none"/>
                <w:u w:val="none" w:color="auto"/>
              </w:rPr>
              <w:t>”</w:t>
            </w:r>
            <w:r>
              <w:rPr>
                <w:rFonts w:hint="default" w:ascii="Times New Roman" w:hAnsi="Times New Roman" w:eastAsia="宋体" w:cs="Times New Roman"/>
                <w:color w:val="auto"/>
                <w:sz w:val="24"/>
                <w:u w:val="none" w:color="auto"/>
              </w:rPr>
              <w:t>，收集后委托有资质单位进行安全处置。</w:t>
            </w:r>
          </w:p>
          <w:p w14:paraId="37DF0DEA">
            <w:pPr>
              <w:spacing w:line="360" w:lineRule="auto"/>
              <w:ind w:firstLine="482" w:firstLineChars="200"/>
              <w:rPr>
                <w:rFonts w:hint="default" w:ascii="Times New Roman" w:hAnsi="Times New Roman" w:eastAsia="宋体" w:cs="Times New Roman"/>
                <w:b/>
                <w:bCs w:val="0"/>
                <w:color w:val="auto"/>
                <w:spacing w:val="0"/>
                <w:sz w:val="24"/>
                <w:u w:val="none" w:color="auto"/>
                <w:lang w:val="en-US" w:eastAsia="zh-CN"/>
              </w:rPr>
            </w:pPr>
            <w:r>
              <w:rPr>
                <w:rFonts w:hint="default" w:ascii="Times New Roman" w:hAnsi="Times New Roman" w:eastAsia="宋体" w:cs="Times New Roman"/>
                <w:b/>
                <w:bCs w:val="0"/>
                <w:color w:val="auto"/>
                <w:spacing w:val="0"/>
                <w:sz w:val="24"/>
                <w:u w:val="none" w:color="auto"/>
                <w:lang w:val="en-US" w:eastAsia="zh-CN"/>
              </w:rPr>
              <w:t>（8）含油抹布、手套等</w:t>
            </w:r>
          </w:p>
          <w:p w14:paraId="04AACA42">
            <w:pPr>
              <w:spacing w:line="360" w:lineRule="auto"/>
              <w:ind w:firstLine="480" w:firstLineChars="200"/>
              <w:rPr>
                <w:rFonts w:hint="default" w:ascii="Times New Roman" w:hAnsi="Times New Roman" w:eastAsia="宋体" w:cs="Times New Roman"/>
                <w:b/>
                <w:bCs/>
                <w:color w:val="auto"/>
                <w:spacing w:val="0"/>
                <w:sz w:val="24"/>
                <w:u w:val="none" w:color="auto"/>
              </w:rPr>
            </w:pPr>
            <w:r>
              <w:rPr>
                <w:rFonts w:hint="default" w:ascii="Times New Roman" w:hAnsi="Times New Roman" w:eastAsia="宋体" w:cs="Times New Roman"/>
                <w:color w:val="auto"/>
                <w:sz w:val="24"/>
                <w:u w:val="none" w:color="auto"/>
              </w:rPr>
              <w:t>机械加工设备使用一段时间后需维护，对于设备上多余的</w:t>
            </w:r>
            <w:r>
              <w:rPr>
                <w:rFonts w:hint="default" w:ascii="Times New Roman" w:hAnsi="Times New Roman" w:eastAsia="宋体" w:cs="Times New Roman"/>
                <w:color w:val="auto"/>
                <w:sz w:val="24"/>
                <w:u w:val="none" w:color="auto"/>
                <w:lang w:val="en-US" w:eastAsia="zh-CN"/>
              </w:rPr>
              <w:t>润滑油、机油灯</w:t>
            </w:r>
            <w:r>
              <w:rPr>
                <w:rFonts w:hint="default" w:ascii="Times New Roman" w:hAnsi="Times New Roman" w:eastAsia="宋体" w:cs="Times New Roman"/>
                <w:color w:val="auto"/>
                <w:sz w:val="24"/>
                <w:u w:val="none" w:color="auto"/>
              </w:rPr>
              <w:t>用抹布擦拭掉，此过程产生含油废抹布，预计本项目含油废抹布产生量为0.</w:t>
            </w:r>
            <w:r>
              <w:rPr>
                <w:rFonts w:hint="default" w:ascii="Times New Roman" w:hAnsi="Times New Roman" w:eastAsia="宋体" w:cs="Times New Roman"/>
                <w:color w:val="auto"/>
                <w:sz w:val="24"/>
                <w:u w:val="none" w:color="auto"/>
                <w:lang w:val="en-US" w:eastAsia="zh-CN"/>
              </w:rPr>
              <w:t>1</w:t>
            </w:r>
            <w:r>
              <w:rPr>
                <w:rFonts w:hint="default" w:ascii="Times New Roman" w:hAnsi="Times New Roman" w:eastAsia="宋体" w:cs="Times New Roman"/>
                <w:color w:val="auto"/>
                <w:sz w:val="24"/>
                <w:u w:val="none" w:color="auto"/>
              </w:rPr>
              <w:t>t/a。根据《国家危险废物名录（2025版）》其属于危险固废，该类废物类别为HW49，废物代码为“900-041-49”。</w:t>
            </w:r>
          </w:p>
          <w:p w14:paraId="4C41477F">
            <w:pPr>
              <w:spacing w:line="360" w:lineRule="auto"/>
              <w:ind w:firstLine="482" w:firstLineChars="200"/>
              <w:rPr>
                <w:rFonts w:hint="default" w:ascii="Times New Roman" w:hAnsi="Times New Roman" w:eastAsia="宋体" w:cs="Times New Roman"/>
                <w:b/>
                <w:bCs/>
                <w:color w:val="auto"/>
                <w:spacing w:val="0"/>
                <w:sz w:val="24"/>
                <w:u w:val="none" w:color="auto"/>
              </w:rPr>
            </w:pPr>
            <w:r>
              <w:rPr>
                <w:rFonts w:hint="default" w:ascii="Times New Roman" w:hAnsi="Times New Roman" w:eastAsia="宋体" w:cs="Times New Roman"/>
                <w:b/>
                <w:bCs/>
                <w:color w:val="auto"/>
                <w:spacing w:val="0"/>
                <w:sz w:val="24"/>
                <w:u w:val="none" w:color="auto"/>
              </w:rPr>
              <w:t>3、生活垃圾</w:t>
            </w:r>
          </w:p>
          <w:p w14:paraId="209DC710">
            <w:pPr>
              <w:adjustRightInd w:val="0"/>
              <w:snapToGrid w:val="0"/>
              <w:spacing w:line="360" w:lineRule="auto"/>
              <w:ind w:firstLine="480" w:firstLineChars="200"/>
              <w:rPr>
                <w:rFonts w:hint="default" w:ascii="Times New Roman" w:hAnsi="Times New Roman" w:eastAsia="宋体" w:cs="Times New Roman"/>
                <w:color w:val="auto"/>
                <w:spacing w:val="0"/>
                <w:kern w:val="0"/>
                <w:sz w:val="24"/>
                <w:u w:val="none" w:color="auto"/>
              </w:rPr>
            </w:pPr>
            <w:r>
              <w:rPr>
                <w:rFonts w:hint="default" w:ascii="Times New Roman" w:hAnsi="Times New Roman" w:eastAsia="宋体" w:cs="Times New Roman"/>
                <w:color w:val="auto"/>
                <w:spacing w:val="0"/>
                <w:kern w:val="0"/>
                <w:sz w:val="24"/>
                <w:u w:val="none" w:color="auto"/>
              </w:rPr>
              <w:t>主要为员工工作产生的生活垃圾，其主要成分是废纸、布类、瓜果皮核、塑料等。</w:t>
            </w:r>
            <w:r>
              <w:rPr>
                <w:rFonts w:hint="default" w:ascii="Times New Roman" w:hAnsi="Times New Roman" w:eastAsia="宋体" w:cs="Times New Roman"/>
                <w:color w:val="auto"/>
                <w:spacing w:val="0"/>
                <w:kern w:val="0"/>
                <w:sz w:val="24"/>
                <w:u w:val="none" w:color="auto"/>
                <w:lang w:val="en-US" w:eastAsia="zh-CN"/>
              </w:rPr>
              <w:t>中创空天厂区</w:t>
            </w:r>
            <w:r>
              <w:rPr>
                <w:rFonts w:hint="default" w:ascii="Times New Roman" w:hAnsi="Times New Roman" w:eastAsia="宋体" w:cs="Times New Roman"/>
                <w:color w:val="auto"/>
                <w:spacing w:val="0"/>
                <w:kern w:val="0"/>
                <w:sz w:val="24"/>
                <w:u w:val="none" w:color="auto"/>
              </w:rPr>
              <w:t>新增劳动定员</w:t>
            </w:r>
            <w:r>
              <w:rPr>
                <w:rFonts w:hint="default" w:ascii="Times New Roman" w:hAnsi="Times New Roman" w:eastAsia="宋体" w:cs="Times New Roman"/>
                <w:color w:val="auto"/>
                <w:spacing w:val="0"/>
                <w:kern w:val="0"/>
                <w:sz w:val="24"/>
                <w:u w:val="none" w:color="auto"/>
                <w:lang w:val="en-US" w:eastAsia="zh-CN"/>
              </w:rPr>
              <w:t>66</w:t>
            </w:r>
            <w:r>
              <w:rPr>
                <w:rFonts w:hint="default" w:ascii="Times New Roman" w:hAnsi="Times New Roman" w:eastAsia="宋体" w:cs="Times New Roman"/>
                <w:color w:val="auto"/>
                <w:spacing w:val="0"/>
                <w:kern w:val="0"/>
                <w:sz w:val="24"/>
                <w:u w:val="none" w:color="auto"/>
              </w:rPr>
              <w:t>人，厂区内办公生活按0.5kg/d·人计，则预计产生</w:t>
            </w:r>
            <w:r>
              <w:rPr>
                <w:rFonts w:hint="default" w:ascii="Times New Roman" w:hAnsi="Times New Roman" w:eastAsia="宋体" w:cs="Times New Roman"/>
                <w:color w:val="auto"/>
                <w:spacing w:val="0"/>
                <w:kern w:val="0"/>
                <w:sz w:val="24"/>
                <w:u w:val="none" w:color="auto"/>
                <w:lang w:val="en-US" w:eastAsia="zh-CN"/>
              </w:rPr>
              <w:t>10.89</w:t>
            </w:r>
            <w:r>
              <w:rPr>
                <w:rFonts w:hint="default" w:ascii="Times New Roman" w:hAnsi="Times New Roman" w:eastAsia="宋体" w:cs="Times New Roman"/>
                <w:color w:val="auto"/>
                <w:spacing w:val="0"/>
                <w:kern w:val="0"/>
                <w:sz w:val="24"/>
                <w:u w:val="none" w:color="auto"/>
              </w:rPr>
              <w:t>t/a，经分类收集统一存放到生活垃圾箱，由当地环卫部门统一清运。</w:t>
            </w:r>
          </w:p>
          <w:p w14:paraId="3DF3D4C3">
            <w:pPr>
              <w:adjustRightInd w:val="0"/>
              <w:snapToGrid w:val="0"/>
              <w:spacing w:line="360" w:lineRule="auto"/>
              <w:ind w:firstLine="482" w:firstLineChars="200"/>
              <w:rPr>
                <w:rFonts w:hint="default" w:ascii="Times New Roman" w:hAnsi="Times New Roman" w:eastAsia="宋体" w:cs="Times New Roman"/>
                <w:b/>
                <w:bCs/>
                <w:color w:val="auto"/>
                <w:spacing w:val="0"/>
                <w:kern w:val="0"/>
                <w:sz w:val="24"/>
                <w:u w:val="none" w:color="auto"/>
                <w:lang w:val="en-US" w:eastAsia="zh-CN"/>
              </w:rPr>
            </w:pPr>
            <w:r>
              <w:rPr>
                <w:rFonts w:hint="default" w:ascii="Times New Roman" w:hAnsi="Times New Roman" w:eastAsia="宋体" w:cs="Times New Roman"/>
                <w:b/>
                <w:bCs/>
                <w:color w:val="auto"/>
                <w:spacing w:val="0"/>
                <w:kern w:val="0"/>
                <w:sz w:val="24"/>
                <w:u w:val="none" w:color="auto"/>
                <w:lang w:val="en-US" w:eastAsia="zh-CN"/>
              </w:rPr>
              <w:t>4、餐厨垃圾</w:t>
            </w:r>
          </w:p>
          <w:p w14:paraId="25101B8F">
            <w:pPr>
              <w:adjustRightInd w:val="0"/>
              <w:snapToGrid w:val="0"/>
              <w:spacing w:line="360" w:lineRule="auto"/>
              <w:ind w:firstLine="480" w:firstLineChars="200"/>
              <w:rPr>
                <w:rFonts w:hint="default" w:ascii="Times New Roman" w:hAnsi="Times New Roman" w:eastAsia="宋体" w:cs="Times New Roman"/>
                <w:bCs/>
                <w:color w:val="auto"/>
                <w:spacing w:val="0"/>
                <w:sz w:val="24"/>
                <w:u w:val="none" w:color="auto"/>
                <w:lang w:val="en-US" w:eastAsia="zh-CN"/>
              </w:rPr>
            </w:pPr>
            <w:r>
              <w:rPr>
                <w:rFonts w:hint="default" w:ascii="Times New Roman" w:hAnsi="Times New Roman" w:eastAsia="宋体" w:cs="Times New Roman"/>
                <w:color w:val="auto"/>
                <w:spacing w:val="0"/>
                <w:kern w:val="0"/>
                <w:sz w:val="24"/>
                <w:u w:val="none" w:color="auto"/>
              </w:rPr>
              <w:t>根据《餐厨垃圾处理技术规范》人均垃圾日产生量为0.1kg/人·次，本项目</w:t>
            </w:r>
            <w:r>
              <w:rPr>
                <w:rFonts w:hint="default" w:ascii="Times New Roman" w:hAnsi="Times New Roman" w:eastAsia="宋体" w:cs="Times New Roman"/>
                <w:color w:val="auto"/>
                <w:spacing w:val="0"/>
                <w:kern w:val="0"/>
                <w:sz w:val="24"/>
                <w:u w:val="none" w:color="auto"/>
                <w:lang w:val="en-US" w:eastAsia="zh-CN"/>
              </w:rPr>
              <w:t>新增</w:t>
            </w:r>
            <w:r>
              <w:rPr>
                <w:rFonts w:hint="default" w:ascii="Times New Roman" w:hAnsi="Times New Roman" w:eastAsia="宋体" w:cs="Times New Roman"/>
                <w:color w:val="auto"/>
                <w:spacing w:val="0"/>
                <w:kern w:val="0"/>
                <w:sz w:val="24"/>
                <w:u w:val="none" w:color="auto"/>
              </w:rPr>
              <w:t>最大就餐人数为</w:t>
            </w:r>
            <w:r>
              <w:rPr>
                <w:rFonts w:hint="default" w:ascii="Times New Roman" w:hAnsi="Times New Roman" w:eastAsia="宋体" w:cs="Times New Roman"/>
                <w:color w:val="auto"/>
                <w:spacing w:val="0"/>
                <w:kern w:val="0"/>
                <w:sz w:val="24"/>
                <w:u w:val="none" w:color="auto"/>
                <w:lang w:val="en-US" w:eastAsia="zh-CN"/>
              </w:rPr>
              <w:t>66</w:t>
            </w:r>
            <w:r>
              <w:rPr>
                <w:rFonts w:hint="default" w:ascii="Times New Roman" w:hAnsi="Times New Roman" w:eastAsia="宋体" w:cs="Times New Roman"/>
                <w:color w:val="auto"/>
                <w:spacing w:val="0"/>
                <w:kern w:val="0"/>
                <w:sz w:val="24"/>
                <w:u w:val="none" w:color="auto"/>
              </w:rPr>
              <w:t>人</w:t>
            </w:r>
            <w:r>
              <w:rPr>
                <w:rFonts w:hint="default" w:ascii="Times New Roman" w:hAnsi="Times New Roman" w:eastAsia="宋体" w:cs="Times New Roman"/>
                <w:color w:val="auto"/>
                <w:spacing w:val="0"/>
                <w:kern w:val="0"/>
                <w:sz w:val="24"/>
                <w:u w:val="none" w:color="auto"/>
                <w:lang w:eastAsia="zh-CN"/>
              </w:rPr>
              <w:t>，</w:t>
            </w:r>
            <w:r>
              <w:rPr>
                <w:rFonts w:hint="default" w:ascii="Times New Roman" w:hAnsi="Times New Roman" w:eastAsia="宋体" w:cs="Times New Roman"/>
                <w:color w:val="auto"/>
                <w:spacing w:val="0"/>
                <w:kern w:val="0"/>
                <w:sz w:val="24"/>
                <w:u w:val="none" w:color="auto"/>
                <w:lang w:val="en-US" w:eastAsia="zh-CN"/>
              </w:rPr>
              <w:t>按日均就餐两次/d</w:t>
            </w:r>
            <w:r>
              <w:rPr>
                <w:rFonts w:hint="default" w:ascii="Times New Roman" w:hAnsi="Times New Roman" w:eastAsia="宋体" w:cs="Times New Roman"/>
                <w:color w:val="auto"/>
                <w:spacing w:val="0"/>
                <w:kern w:val="0"/>
                <w:sz w:val="24"/>
                <w:u w:val="none" w:color="auto"/>
              </w:rPr>
              <w:t>，产生的食物残渣约</w:t>
            </w:r>
            <w:r>
              <w:rPr>
                <w:rFonts w:hint="default" w:ascii="Times New Roman" w:hAnsi="Times New Roman" w:eastAsia="宋体" w:cs="Times New Roman"/>
                <w:color w:val="auto"/>
                <w:spacing w:val="0"/>
                <w:kern w:val="0"/>
                <w:sz w:val="24"/>
                <w:u w:val="none" w:color="auto"/>
                <w:lang w:val="en-US" w:eastAsia="zh-CN"/>
              </w:rPr>
              <w:t>4.356</w:t>
            </w:r>
            <w:r>
              <w:rPr>
                <w:rFonts w:hint="default" w:ascii="Times New Roman" w:hAnsi="Times New Roman" w:eastAsia="宋体" w:cs="Times New Roman"/>
                <w:color w:val="auto"/>
                <w:spacing w:val="0"/>
                <w:kern w:val="0"/>
                <w:sz w:val="24"/>
                <w:u w:val="none" w:color="auto"/>
              </w:rPr>
              <w:t>t/a，交由专门的单位（个人）集中清运、处理，需符合《饮食业环境保护技术规范》（HJ544-2010）的相关规定。</w:t>
            </w:r>
          </w:p>
          <w:p w14:paraId="182B2B71">
            <w:pPr>
              <w:pStyle w:val="2"/>
              <w:rPr>
                <w:rFonts w:hint="default" w:ascii="Times New Roman" w:hAnsi="Times New Roman" w:eastAsia="宋体" w:cs="Times New Roman"/>
                <w:b/>
                <w:bCs w:val="0"/>
                <w:color w:val="auto"/>
                <w:spacing w:val="0"/>
                <w:sz w:val="24"/>
                <w:u w:val="none" w:color="auto"/>
                <w:lang w:eastAsia="zh-CN"/>
              </w:rPr>
            </w:pPr>
            <w:r>
              <w:rPr>
                <w:rFonts w:hint="default" w:ascii="Times New Roman" w:hAnsi="Times New Roman" w:eastAsia="宋体" w:cs="Times New Roman"/>
                <w:b/>
                <w:bCs w:val="0"/>
                <w:color w:val="auto"/>
                <w:spacing w:val="0"/>
                <w:sz w:val="24"/>
                <w:u w:val="none" w:color="auto"/>
                <w:lang w:eastAsia="zh-CN"/>
              </w:rPr>
              <w:t>（</w:t>
            </w:r>
            <w:r>
              <w:rPr>
                <w:rFonts w:hint="default" w:ascii="Times New Roman" w:hAnsi="Times New Roman" w:eastAsia="宋体" w:cs="Times New Roman"/>
                <w:b/>
                <w:bCs w:val="0"/>
                <w:color w:val="auto"/>
                <w:spacing w:val="0"/>
                <w:sz w:val="24"/>
                <w:u w:val="none" w:color="auto"/>
                <w:lang w:val="en-US" w:eastAsia="zh-CN"/>
              </w:rPr>
              <w:t>二</w:t>
            </w:r>
            <w:r>
              <w:rPr>
                <w:rFonts w:hint="default" w:ascii="Times New Roman" w:hAnsi="Times New Roman" w:eastAsia="宋体" w:cs="Times New Roman"/>
                <w:b/>
                <w:bCs w:val="0"/>
                <w:color w:val="auto"/>
                <w:spacing w:val="0"/>
                <w:sz w:val="24"/>
                <w:u w:val="none" w:color="auto"/>
                <w:lang w:eastAsia="zh-CN"/>
              </w:rPr>
              <w:t>）临港高新产业园区</w:t>
            </w:r>
          </w:p>
          <w:p w14:paraId="22FE0A79">
            <w:pPr>
              <w:adjustRightInd w:val="0"/>
              <w:snapToGrid w:val="0"/>
              <w:spacing w:line="360" w:lineRule="auto"/>
              <w:ind w:firstLine="482" w:firstLineChars="200"/>
              <w:rPr>
                <w:rFonts w:hint="default" w:ascii="Times New Roman" w:hAnsi="Times New Roman" w:eastAsia="宋体" w:cs="Times New Roman"/>
                <w:b/>
                <w:bCs/>
                <w:color w:val="auto"/>
                <w:spacing w:val="0"/>
                <w:sz w:val="24"/>
                <w:u w:val="none" w:color="auto"/>
              </w:rPr>
            </w:pPr>
            <w:r>
              <w:rPr>
                <w:rFonts w:hint="default" w:ascii="Times New Roman" w:hAnsi="Times New Roman" w:eastAsia="宋体" w:cs="Times New Roman"/>
                <w:b/>
                <w:bCs/>
                <w:color w:val="auto"/>
                <w:spacing w:val="0"/>
                <w:sz w:val="24"/>
                <w:u w:val="none" w:color="auto"/>
              </w:rPr>
              <w:t>1、一般固体废物</w:t>
            </w:r>
          </w:p>
          <w:p w14:paraId="72831795">
            <w:pPr>
              <w:spacing w:line="360" w:lineRule="auto"/>
              <w:ind w:firstLine="482" w:firstLineChars="200"/>
              <w:rPr>
                <w:rFonts w:hint="default" w:ascii="Times New Roman" w:hAnsi="Times New Roman" w:eastAsia="宋体" w:cs="Times New Roman"/>
                <w:b/>
                <w:bCs/>
                <w:color w:val="auto"/>
                <w:spacing w:val="0"/>
                <w:sz w:val="24"/>
                <w:highlight w:val="none"/>
                <w:u w:val="none" w:color="auto"/>
                <w:lang w:val="en-US" w:eastAsia="zh-CN"/>
              </w:rPr>
            </w:pPr>
            <w:r>
              <w:rPr>
                <w:rFonts w:hint="default" w:ascii="Times New Roman" w:hAnsi="Times New Roman" w:eastAsia="宋体" w:cs="Times New Roman"/>
                <w:b/>
                <w:bCs/>
                <w:color w:val="auto"/>
                <w:spacing w:val="0"/>
                <w:sz w:val="24"/>
                <w:highlight w:val="none"/>
                <w:u w:val="none" w:color="auto"/>
                <w:lang w:val="en-US" w:eastAsia="zh-CN"/>
              </w:rPr>
              <w:t>（1）</w:t>
            </w:r>
            <w:r>
              <w:rPr>
                <w:rFonts w:hint="default" w:ascii="Times New Roman" w:hAnsi="Times New Roman" w:eastAsia="宋体" w:cs="Times New Roman"/>
                <w:b/>
                <w:bCs w:val="0"/>
                <w:color w:val="auto"/>
                <w:spacing w:val="0"/>
                <w:sz w:val="24"/>
                <w:highlight w:val="none"/>
                <w:u w:val="none" w:color="auto"/>
                <w:lang w:val="en-US" w:eastAsia="zh-CN"/>
              </w:rPr>
              <w:t>收集到的金属粉尘（S5-2）</w:t>
            </w:r>
          </w:p>
          <w:p w14:paraId="3521459C">
            <w:pPr>
              <w:spacing w:line="360" w:lineRule="auto"/>
              <w:ind w:firstLine="480" w:firstLineChars="200"/>
              <w:rPr>
                <w:rFonts w:hint="default" w:ascii="Times New Roman" w:hAnsi="Times New Roman" w:eastAsia="宋体" w:cs="Times New Roman"/>
                <w:b/>
                <w:bCs w:val="0"/>
                <w:color w:val="auto"/>
                <w:spacing w:val="0"/>
                <w:sz w:val="24"/>
                <w:highlight w:val="none"/>
                <w:u w:val="none" w:color="auto"/>
                <w:lang w:val="en-US" w:eastAsia="zh-CN"/>
              </w:rPr>
            </w:pPr>
            <w:r>
              <w:rPr>
                <w:rFonts w:hint="default" w:ascii="Times New Roman" w:hAnsi="Times New Roman" w:eastAsia="宋体" w:cs="Times New Roman"/>
                <w:b w:val="0"/>
                <w:bCs/>
                <w:color w:val="auto"/>
                <w:spacing w:val="0"/>
                <w:sz w:val="24"/>
                <w:highlight w:val="none"/>
                <w:u w:val="none" w:color="auto"/>
                <w:lang w:val="en-US" w:eastAsia="zh-CN"/>
              </w:rPr>
              <w:t>本次评价要求建设单位配套1台移动式布袋除尘器对激光粉尘进行吸尘处理，根据大气污染源强工程分析，预计收集0.0364t/a金属粉尘。该粉尘主要为小粒径的金属氧化物，经收集暂存后外售综合利用。</w:t>
            </w:r>
          </w:p>
          <w:p w14:paraId="0FA06423">
            <w:pPr>
              <w:spacing w:line="360" w:lineRule="auto"/>
              <w:ind w:firstLine="482" w:firstLineChars="200"/>
              <w:rPr>
                <w:rFonts w:hint="default" w:ascii="Times New Roman" w:hAnsi="Times New Roman" w:eastAsia="宋体" w:cs="Times New Roman"/>
                <w:b/>
                <w:bCs w:val="0"/>
                <w:color w:val="auto"/>
                <w:spacing w:val="0"/>
                <w:sz w:val="24"/>
                <w:highlight w:val="none"/>
                <w:u w:val="none" w:color="auto"/>
                <w:lang w:val="en-US" w:eastAsia="zh-CN"/>
              </w:rPr>
            </w:pPr>
            <w:r>
              <w:rPr>
                <w:rFonts w:hint="default" w:ascii="Times New Roman" w:hAnsi="Times New Roman" w:eastAsia="宋体" w:cs="Times New Roman"/>
                <w:b/>
                <w:bCs w:val="0"/>
                <w:color w:val="auto"/>
                <w:spacing w:val="0"/>
                <w:sz w:val="24"/>
                <w:highlight w:val="none"/>
                <w:u w:val="none" w:color="auto"/>
                <w:lang w:val="en-US" w:eastAsia="zh-CN"/>
              </w:rPr>
              <w:t>（2）去毛刺（人工补充打磨）收集到的粉尘（S6）</w:t>
            </w:r>
          </w:p>
          <w:p w14:paraId="16BE4B96">
            <w:pPr>
              <w:spacing w:line="360" w:lineRule="auto"/>
              <w:ind w:firstLine="480" w:firstLineChars="200"/>
              <w:rPr>
                <w:rFonts w:hint="default" w:ascii="Times New Roman" w:hAnsi="Times New Roman" w:eastAsia="宋体" w:cs="Times New Roman"/>
                <w:b w:val="0"/>
                <w:bCs/>
                <w:color w:val="auto"/>
                <w:spacing w:val="0"/>
                <w:sz w:val="24"/>
                <w:highlight w:val="none"/>
                <w:u w:val="none" w:color="auto"/>
                <w:lang w:val="en-US" w:eastAsia="zh-CN"/>
              </w:rPr>
            </w:pPr>
            <w:r>
              <w:rPr>
                <w:rFonts w:hint="default" w:ascii="Times New Roman" w:hAnsi="Times New Roman" w:eastAsia="宋体" w:cs="Times New Roman"/>
                <w:b w:val="0"/>
                <w:bCs/>
                <w:color w:val="auto"/>
                <w:spacing w:val="0"/>
                <w:sz w:val="24"/>
                <w:highlight w:val="none"/>
                <w:u w:val="none" w:color="auto"/>
                <w:lang w:val="en-US" w:eastAsia="zh-CN"/>
              </w:rPr>
              <w:t>去毛刺收集到的粉尘量约为49.4164t/a、人工补充打磨收集的粉尘量约为1.6472t/a，合计收集量约为51.0636‬t/a，收集后暂存固废间，定期外售处理。</w:t>
            </w:r>
          </w:p>
          <w:p w14:paraId="44878291">
            <w:pPr>
              <w:spacing w:line="360" w:lineRule="auto"/>
              <w:ind w:firstLine="482" w:firstLineChars="200"/>
              <w:rPr>
                <w:rFonts w:hint="default" w:ascii="Times New Roman" w:hAnsi="Times New Roman" w:eastAsia="宋体" w:cs="Times New Roman"/>
                <w:b/>
                <w:bCs w:val="0"/>
                <w:color w:val="auto"/>
                <w:spacing w:val="0"/>
                <w:sz w:val="24"/>
                <w:u w:val="none" w:color="auto"/>
                <w:lang w:eastAsia="zh-CN"/>
              </w:rPr>
            </w:pPr>
            <w:r>
              <w:rPr>
                <w:rFonts w:hint="default" w:ascii="Times New Roman" w:hAnsi="Times New Roman" w:eastAsia="宋体" w:cs="Times New Roman"/>
                <w:b/>
                <w:bCs w:val="0"/>
                <w:color w:val="auto"/>
                <w:spacing w:val="0"/>
                <w:sz w:val="24"/>
                <w:highlight w:val="none"/>
                <w:u w:val="none" w:color="auto"/>
                <w:lang w:val="en-US" w:eastAsia="zh-CN"/>
              </w:rPr>
              <w:t>（3）</w:t>
            </w:r>
            <w:r>
              <w:rPr>
                <w:rFonts w:hint="default" w:ascii="Times New Roman" w:hAnsi="Times New Roman" w:eastAsia="宋体" w:cs="Times New Roman"/>
                <w:b/>
                <w:bCs w:val="0"/>
                <w:color w:val="auto"/>
                <w:spacing w:val="0"/>
                <w:sz w:val="24"/>
                <w:u w:val="none" w:color="auto"/>
                <w:lang w:eastAsia="zh-CN"/>
              </w:rPr>
              <w:t>报废产品（</w:t>
            </w:r>
            <w:r>
              <w:rPr>
                <w:rFonts w:hint="default" w:ascii="Times New Roman" w:hAnsi="Times New Roman" w:eastAsia="宋体" w:cs="Times New Roman"/>
                <w:b/>
                <w:bCs w:val="0"/>
                <w:color w:val="auto"/>
                <w:spacing w:val="0"/>
                <w:sz w:val="24"/>
                <w:u w:val="none" w:color="auto"/>
                <w:lang w:val="en-US" w:eastAsia="zh-CN"/>
              </w:rPr>
              <w:t>S10</w:t>
            </w:r>
            <w:r>
              <w:rPr>
                <w:rFonts w:hint="default" w:ascii="Times New Roman" w:hAnsi="Times New Roman" w:eastAsia="宋体" w:cs="Times New Roman"/>
                <w:b/>
                <w:bCs w:val="0"/>
                <w:color w:val="auto"/>
                <w:spacing w:val="0"/>
                <w:sz w:val="24"/>
                <w:u w:val="none" w:color="auto"/>
                <w:lang w:eastAsia="zh-CN"/>
              </w:rPr>
              <w:t>）</w:t>
            </w:r>
          </w:p>
          <w:p w14:paraId="478959A3">
            <w:pPr>
              <w:pStyle w:val="2"/>
              <w:keepNext w:val="0"/>
              <w:keepLines w:val="0"/>
              <w:pageBreakBefore w:val="0"/>
              <w:widowControl/>
              <w:kinsoku/>
              <w:wordWrap/>
              <w:overflowPunct/>
              <w:topLinePunct w:val="0"/>
              <w:autoSpaceDE/>
              <w:autoSpaceDN/>
              <w:bidi w:val="0"/>
              <w:adjustRightInd/>
              <w:snapToGrid/>
              <w:spacing w:before="0" w:after="0" w:line="360" w:lineRule="auto"/>
              <w:ind w:right="0" w:firstLine="480" w:firstLineChars="200"/>
              <w:textAlignment w:val="auto"/>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b w:val="0"/>
                <w:bCs/>
                <w:color w:val="auto"/>
                <w:spacing w:val="0"/>
                <w:sz w:val="24"/>
                <w:highlight w:val="none"/>
                <w:u w:val="none" w:color="auto"/>
                <w:lang w:val="en-US" w:eastAsia="zh-CN"/>
              </w:rPr>
              <w:t>根据建设单位提供的报废品率控制参数（≤4%），本次评价按最大值4%计，抵达该工序时产能量约为26051.2502‬‬t/a</w:t>
            </w:r>
            <w:r>
              <w:rPr>
                <w:rFonts w:hint="default" w:ascii="Times New Roman" w:hAnsi="Times New Roman" w:eastAsia="宋体" w:cs="Times New Roman"/>
                <w:color w:val="auto"/>
                <w:kern w:val="0"/>
                <w:sz w:val="24"/>
                <w:u w:val="none" w:color="auto"/>
                <w:lang w:val="en-US" w:eastAsia="zh-CN"/>
              </w:rPr>
              <w:t>（具体详见物料平衡图），</w:t>
            </w:r>
            <w:r>
              <w:rPr>
                <w:rFonts w:hint="default" w:ascii="Times New Roman" w:hAnsi="Times New Roman" w:eastAsia="宋体" w:cs="Times New Roman"/>
                <w:b w:val="0"/>
                <w:bCs/>
                <w:color w:val="auto"/>
                <w:spacing w:val="0"/>
                <w:sz w:val="24"/>
                <w:highlight w:val="none"/>
                <w:u w:val="none" w:color="auto"/>
                <w:lang w:val="en-US" w:eastAsia="zh-CN"/>
              </w:rPr>
              <w:t>则预计报废品约为1042.0500t/a；该部分废品经收集暂存后外售综合利用。</w:t>
            </w:r>
          </w:p>
          <w:p w14:paraId="3ACDC6DF">
            <w:pPr>
              <w:spacing w:line="360" w:lineRule="auto"/>
              <w:ind w:firstLine="482" w:firstLineChars="200"/>
              <w:rPr>
                <w:rFonts w:hint="default" w:ascii="Times New Roman" w:hAnsi="Times New Roman" w:eastAsia="宋体" w:cs="Times New Roman"/>
                <w:b/>
                <w:bCs w:val="0"/>
                <w:color w:val="auto"/>
                <w:spacing w:val="0"/>
                <w:sz w:val="24"/>
                <w:highlight w:val="none"/>
                <w:u w:val="none" w:color="auto"/>
                <w:lang w:val="en-US" w:eastAsia="zh-CN"/>
              </w:rPr>
            </w:pPr>
            <w:r>
              <w:rPr>
                <w:rFonts w:hint="default" w:ascii="Times New Roman" w:hAnsi="Times New Roman" w:eastAsia="宋体" w:cs="Times New Roman"/>
                <w:b/>
                <w:bCs w:val="0"/>
                <w:color w:val="auto"/>
                <w:spacing w:val="0"/>
                <w:sz w:val="24"/>
                <w:highlight w:val="none"/>
                <w:u w:val="none" w:color="auto"/>
                <w:lang w:val="en-US" w:eastAsia="zh-CN"/>
              </w:rPr>
              <w:t>（4）废缓蚀剂桶</w:t>
            </w:r>
          </w:p>
          <w:p w14:paraId="465FCAB8">
            <w:pPr>
              <w:spacing w:line="360" w:lineRule="auto"/>
              <w:ind w:firstLine="480" w:firstLineChars="200"/>
              <w:rPr>
                <w:rFonts w:hint="default" w:ascii="Times New Roman" w:hAnsi="Times New Roman" w:eastAsia="宋体" w:cs="Times New Roman"/>
                <w:color w:val="auto"/>
                <w:sz w:val="24"/>
                <w:u w:val="none" w:color="auto"/>
                <w:lang w:val="en-US" w:eastAsia="zh-CN"/>
              </w:rPr>
            </w:pPr>
            <w:r>
              <w:rPr>
                <w:rFonts w:hint="default" w:ascii="Times New Roman" w:hAnsi="Times New Roman" w:eastAsia="宋体" w:cs="Times New Roman"/>
                <w:color w:val="auto"/>
                <w:sz w:val="24"/>
                <w:u w:val="none" w:color="auto"/>
                <w:lang w:val="en-US" w:eastAsia="zh-CN"/>
              </w:rPr>
              <w:t>本项目采用水性环保型</w:t>
            </w:r>
            <w:r>
              <w:rPr>
                <w:rFonts w:hint="default" w:ascii="Times New Roman" w:hAnsi="Times New Roman" w:eastAsia="宋体" w:cs="Times New Roman"/>
                <w:color w:val="auto"/>
                <w:sz w:val="24"/>
                <w:u w:val="none" w:color="auto"/>
              </w:rPr>
              <w:t>缓蚀剂</w:t>
            </w:r>
            <w:r>
              <w:rPr>
                <w:rFonts w:hint="default" w:ascii="Times New Roman" w:hAnsi="Times New Roman" w:eastAsia="宋体" w:cs="Times New Roman"/>
                <w:color w:val="auto"/>
                <w:sz w:val="24"/>
                <w:u w:val="none" w:color="auto"/>
                <w:lang w:eastAsia="zh-CN"/>
              </w:rPr>
              <w:t>，</w:t>
            </w:r>
            <w:r>
              <w:rPr>
                <w:rFonts w:hint="default" w:ascii="Times New Roman" w:hAnsi="Times New Roman" w:eastAsia="宋体" w:cs="Times New Roman"/>
                <w:color w:val="auto"/>
                <w:sz w:val="24"/>
                <w:u w:val="none" w:color="auto"/>
              </w:rPr>
              <w:t>桶装</w:t>
            </w:r>
            <w:r>
              <w:rPr>
                <w:rFonts w:hint="default" w:ascii="Times New Roman" w:hAnsi="Times New Roman" w:eastAsia="宋体" w:cs="Times New Roman"/>
                <w:color w:val="auto"/>
                <w:sz w:val="24"/>
                <w:u w:val="none" w:color="auto"/>
                <w:lang w:val="en-US" w:eastAsia="zh-CN"/>
              </w:rPr>
              <w:t>规格为25kg/桶（塑料），预计产生200</w:t>
            </w:r>
            <w:r>
              <w:rPr>
                <w:rFonts w:hint="default" w:ascii="Times New Roman" w:hAnsi="Times New Roman" w:eastAsia="宋体" w:cs="Times New Roman"/>
                <w:color w:val="auto"/>
                <w:sz w:val="24"/>
                <w:u w:val="none" w:color="auto"/>
              </w:rPr>
              <w:t>个</w:t>
            </w:r>
            <w:r>
              <w:rPr>
                <w:rFonts w:hint="default" w:ascii="Times New Roman" w:hAnsi="Times New Roman" w:eastAsia="宋体" w:cs="Times New Roman"/>
                <w:color w:val="auto"/>
                <w:sz w:val="24"/>
                <w:u w:val="none" w:color="auto"/>
                <w:lang w:val="en-US" w:eastAsia="zh-CN"/>
              </w:rPr>
              <w:t>空</w:t>
            </w:r>
            <w:r>
              <w:rPr>
                <w:rFonts w:hint="default" w:ascii="Times New Roman" w:hAnsi="Times New Roman" w:eastAsia="宋体" w:cs="Times New Roman"/>
                <w:color w:val="auto"/>
                <w:sz w:val="24"/>
                <w:u w:val="none" w:color="auto"/>
              </w:rPr>
              <w:t>桶，按每个</w:t>
            </w:r>
            <w:r>
              <w:rPr>
                <w:rFonts w:hint="default" w:ascii="Times New Roman" w:hAnsi="Times New Roman" w:eastAsia="宋体" w:cs="Times New Roman"/>
                <w:color w:val="auto"/>
                <w:sz w:val="24"/>
                <w:u w:val="none" w:color="auto"/>
                <w:lang w:val="en-US" w:eastAsia="zh-CN"/>
              </w:rPr>
              <w:t>约1.5</w:t>
            </w:r>
            <w:r>
              <w:rPr>
                <w:rFonts w:hint="default" w:ascii="Times New Roman" w:hAnsi="Times New Roman" w:eastAsia="宋体" w:cs="Times New Roman"/>
                <w:color w:val="auto"/>
                <w:sz w:val="24"/>
                <w:u w:val="none" w:color="auto"/>
              </w:rPr>
              <w:t>kg计，则预计本项目废缓蚀剂桶产生量为</w:t>
            </w:r>
            <w:r>
              <w:rPr>
                <w:rFonts w:hint="default" w:ascii="Times New Roman" w:hAnsi="Times New Roman" w:eastAsia="宋体" w:cs="Times New Roman"/>
                <w:color w:val="auto"/>
                <w:sz w:val="24"/>
                <w:u w:val="none" w:color="auto"/>
                <w:lang w:val="en-US" w:eastAsia="zh-CN"/>
              </w:rPr>
              <w:t>0.3</w:t>
            </w:r>
            <w:r>
              <w:rPr>
                <w:rFonts w:hint="default" w:ascii="Times New Roman" w:hAnsi="Times New Roman" w:eastAsia="宋体" w:cs="Times New Roman"/>
                <w:color w:val="auto"/>
                <w:sz w:val="24"/>
                <w:u w:val="none" w:color="auto"/>
              </w:rPr>
              <w:t>t/a</w:t>
            </w:r>
            <w:r>
              <w:rPr>
                <w:rFonts w:hint="default" w:ascii="Times New Roman" w:hAnsi="Times New Roman" w:eastAsia="宋体" w:cs="Times New Roman"/>
                <w:color w:val="auto"/>
                <w:sz w:val="24"/>
                <w:u w:val="none" w:color="auto"/>
                <w:lang w:eastAsia="zh-CN"/>
              </w:rPr>
              <w:t>。</w:t>
            </w:r>
            <w:r>
              <w:rPr>
                <w:rFonts w:hint="default" w:ascii="Times New Roman" w:hAnsi="Times New Roman" w:eastAsia="宋体" w:cs="Times New Roman"/>
                <w:color w:val="auto"/>
                <w:sz w:val="24"/>
                <w:u w:val="none" w:color="auto"/>
                <w:lang w:val="en-US" w:eastAsia="zh-CN"/>
              </w:rPr>
              <w:t>经暂存后交由具备处理资质的单位进行综合利用。</w:t>
            </w:r>
          </w:p>
          <w:p w14:paraId="06EE0D85">
            <w:pPr>
              <w:spacing w:line="360" w:lineRule="auto"/>
              <w:ind w:firstLine="482" w:firstLineChars="200"/>
              <w:rPr>
                <w:rFonts w:hint="default" w:ascii="Times New Roman" w:hAnsi="Times New Roman" w:eastAsia="宋体" w:cs="Times New Roman"/>
                <w:b/>
                <w:bCs w:val="0"/>
                <w:color w:val="auto"/>
                <w:spacing w:val="0"/>
                <w:sz w:val="24"/>
                <w:highlight w:val="none"/>
                <w:u w:val="none" w:color="auto"/>
                <w:lang w:val="en-US" w:eastAsia="zh-CN"/>
              </w:rPr>
            </w:pPr>
            <w:r>
              <w:rPr>
                <w:rFonts w:hint="default" w:ascii="Times New Roman" w:hAnsi="Times New Roman" w:eastAsia="宋体" w:cs="Times New Roman"/>
                <w:b/>
                <w:bCs w:val="0"/>
                <w:color w:val="auto"/>
                <w:spacing w:val="0"/>
                <w:sz w:val="24"/>
                <w:highlight w:val="none"/>
                <w:u w:val="none" w:color="auto"/>
                <w:lang w:val="en-US" w:eastAsia="zh-CN"/>
              </w:rPr>
              <w:t>（5）废刀具、废砂带</w:t>
            </w:r>
          </w:p>
          <w:p w14:paraId="112AF7EC">
            <w:pPr>
              <w:spacing w:line="360" w:lineRule="auto"/>
              <w:ind w:firstLine="480" w:firstLineChars="200"/>
              <w:rPr>
                <w:rFonts w:hint="default" w:ascii="Times New Roman" w:hAnsi="Times New Roman" w:eastAsia="宋体" w:cs="Times New Roman"/>
                <w:b w:val="0"/>
                <w:bCs/>
                <w:color w:val="auto"/>
                <w:spacing w:val="0"/>
                <w:sz w:val="24"/>
                <w:highlight w:val="none"/>
                <w:u w:val="none" w:color="auto"/>
                <w:lang w:val="en-US" w:eastAsia="zh-CN"/>
              </w:rPr>
            </w:pPr>
            <w:r>
              <w:rPr>
                <w:rFonts w:hint="default" w:ascii="Times New Roman" w:hAnsi="Times New Roman" w:eastAsia="宋体" w:cs="Times New Roman"/>
                <w:b w:val="0"/>
                <w:bCs/>
                <w:color w:val="auto"/>
                <w:spacing w:val="0"/>
                <w:sz w:val="24"/>
                <w:highlight w:val="none"/>
                <w:u w:val="none" w:color="auto"/>
                <w:lang w:val="en-US" w:eastAsia="zh-CN"/>
              </w:rPr>
              <w:t>根据建设单位提供的资料，预计年替换废刀具约5000把/a、年消耗砂带1.2万m/a。其中刀具主要因切口破损导致报废，废刀具产生量按年使用量计；消耗的砂带主要因砂带表面砂粒磨损而无法起到打磨的作用，砂带磨损后无法再生，必须整体更换，因此废砂带产生量按年使用量计。</w:t>
            </w:r>
          </w:p>
          <w:p w14:paraId="40CE8E5E">
            <w:pPr>
              <w:spacing w:line="360" w:lineRule="auto"/>
              <w:ind w:firstLine="480" w:firstLineChars="200"/>
              <w:rPr>
                <w:rFonts w:hint="default" w:ascii="Times New Roman" w:hAnsi="Times New Roman" w:eastAsia="宋体" w:cs="Times New Roman"/>
                <w:b/>
                <w:bCs w:val="0"/>
                <w:color w:val="auto"/>
                <w:spacing w:val="0"/>
                <w:sz w:val="24"/>
                <w:highlight w:val="none"/>
                <w:u w:val="none" w:color="auto"/>
                <w:lang w:val="en-US" w:eastAsia="zh-CN"/>
              </w:rPr>
            </w:pPr>
            <w:r>
              <w:rPr>
                <w:rFonts w:hint="default" w:ascii="Times New Roman" w:hAnsi="Times New Roman" w:eastAsia="宋体" w:cs="Times New Roman"/>
                <w:b w:val="0"/>
                <w:bCs/>
                <w:color w:val="auto"/>
                <w:spacing w:val="0"/>
                <w:sz w:val="24"/>
                <w:highlight w:val="none"/>
                <w:u w:val="none" w:color="auto"/>
                <w:lang w:val="en-US" w:eastAsia="zh-CN"/>
              </w:rPr>
              <w:t>根据上述分析，废刀具、废砂带产生量分别约为5000把/a、1.2万m/a，经收集暂存后交由综合回收利用单位进行处理。</w:t>
            </w:r>
          </w:p>
          <w:p w14:paraId="0C55D0C1">
            <w:pPr>
              <w:adjustRightInd w:val="0"/>
              <w:snapToGrid w:val="0"/>
              <w:spacing w:line="360" w:lineRule="auto"/>
              <w:ind w:firstLine="482" w:firstLineChars="200"/>
              <w:rPr>
                <w:rFonts w:hint="default" w:ascii="Times New Roman" w:hAnsi="Times New Roman" w:eastAsia="宋体" w:cs="Times New Roman"/>
                <w:b/>
                <w:bCs/>
                <w:color w:val="auto"/>
                <w:spacing w:val="0"/>
                <w:sz w:val="24"/>
                <w:u w:val="none" w:color="auto"/>
              </w:rPr>
            </w:pPr>
            <w:r>
              <w:rPr>
                <w:rFonts w:hint="default" w:ascii="Times New Roman" w:hAnsi="Times New Roman" w:eastAsia="宋体" w:cs="Times New Roman"/>
                <w:b/>
                <w:bCs/>
                <w:color w:val="auto"/>
                <w:spacing w:val="0"/>
                <w:sz w:val="24"/>
                <w:u w:val="none" w:color="auto"/>
              </w:rPr>
              <w:t>2、危险废物</w:t>
            </w:r>
          </w:p>
          <w:p w14:paraId="3BE783D8">
            <w:pPr>
              <w:spacing w:line="360" w:lineRule="auto"/>
              <w:ind w:firstLine="482" w:firstLineChars="200"/>
              <w:rPr>
                <w:rFonts w:hint="default" w:ascii="Times New Roman" w:hAnsi="Times New Roman" w:eastAsia="宋体" w:cs="Times New Roman"/>
                <w:b/>
                <w:bCs w:val="0"/>
                <w:color w:val="auto"/>
                <w:spacing w:val="0"/>
                <w:sz w:val="24"/>
                <w:u w:val="none" w:color="auto"/>
                <w:lang w:eastAsia="zh-CN"/>
              </w:rPr>
            </w:pPr>
            <w:r>
              <w:rPr>
                <w:rFonts w:hint="default" w:ascii="Times New Roman" w:hAnsi="Times New Roman" w:eastAsia="宋体" w:cs="Times New Roman"/>
                <w:b/>
                <w:bCs/>
                <w:color w:val="auto"/>
                <w:spacing w:val="0"/>
                <w:sz w:val="24"/>
                <w:highlight w:val="none"/>
                <w:u w:val="none" w:color="auto"/>
                <w:lang w:val="en-US" w:eastAsia="zh-CN"/>
              </w:rPr>
              <w:t>（1）带切削液金属碎屑</w:t>
            </w:r>
            <w:r>
              <w:rPr>
                <w:rFonts w:hint="default" w:ascii="Times New Roman" w:hAnsi="Times New Roman" w:eastAsia="宋体" w:cs="Times New Roman"/>
                <w:b/>
                <w:bCs w:val="0"/>
                <w:color w:val="auto"/>
                <w:spacing w:val="0"/>
                <w:sz w:val="24"/>
                <w:u w:val="none" w:color="auto"/>
                <w:lang w:eastAsia="zh-CN"/>
              </w:rPr>
              <w:t>（</w:t>
            </w:r>
            <w:r>
              <w:rPr>
                <w:rFonts w:hint="default" w:ascii="Times New Roman" w:hAnsi="Times New Roman" w:eastAsia="宋体" w:cs="Times New Roman"/>
                <w:b/>
                <w:bCs w:val="0"/>
                <w:color w:val="auto"/>
                <w:spacing w:val="0"/>
                <w:sz w:val="24"/>
                <w:u w:val="none" w:color="auto"/>
                <w:lang w:val="en-US" w:eastAsia="zh-CN"/>
              </w:rPr>
              <w:t>S7</w:t>
            </w:r>
            <w:r>
              <w:rPr>
                <w:rFonts w:hint="default" w:ascii="Times New Roman" w:hAnsi="Times New Roman" w:eastAsia="宋体" w:cs="Times New Roman"/>
                <w:b/>
                <w:bCs w:val="0"/>
                <w:color w:val="auto"/>
                <w:spacing w:val="0"/>
                <w:sz w:val="24"/>
                <w:u w:val="none" w:color="auto"/>
                <w:lang w:eastAsia="zh-CN"/>
              </w:rPr>
              <w:t>）</w:t>
            </w:r>
          </w:p>
          <w:p w14:paraId="510B9593">
            <w:pPr>
              <w:spacing w:line="360" w:lineRule="auto"/>
              <w:ind w:firstLine="480" w:firstLineChars="200"/>
              <w:rPr>
                <w:rFonts w:hint="default" w:ascii="Times New Roman" w:hAnsi="Times New Roman" w:eastAsia="宋体" w:cs="Times New Roman"/>
                <w:b w:val="0"/>
                <w:bCs/>
                <w:color w:val="auto"/>
                <w:spacing w:val="0"/>
                <w:sz w:val="24"/>
                <w:highlight w:val="none"/>
                <w:u w:val="none" w:color="auto"/>
                <w:lang w:val="en-US" w:eastAsia="zh-CN"/>
              </w:rPr>
            </w:pPr>
            <w:r>
              <w:rPr>
                <w:rFonts w:hint="default" w:ascii="Times New Roman" w:hAnsi="Times New Roman" w:eastAsia="宋体" w:cs="Times New Roman"/>
                <w:b w:val="0"/>
                <w:bCs/>
                <w:color w:val="auto"/>
                <w:spacing w:val="0"/>
                <w:sz w:val="24"/>
                <w:highlight w:val="none"/>
                <w:u w:val="none" w:color="auto"/>
                <w:lang w:val="en-US" w:eastAsia="zh-CN"/>
              </w:rPr>
              <w:t>①CNC粗加工</w:t>
            </w:r>
          </w:p>
          <w:p w14:paraId="64599C86">
            <w:pPr>
              <w:spacing w:line="360" w:lineRule="auto"/>
              <w:ind w:firstLine="480" w:firstLineChars="200"/>
              <w:rPr>
                <w:rFonts w:hint="default" w:ascii="Times New Roman" w:hAnsi="Times New Roman" w:eastAsia="宋体" w:cs="Times New Roman"/>
                <w:b w:val="0"/>
                <w:bCs/>
                <w:color w:val="auto"/>
                <w:spacing w:val="0"/>
                <w:sz w:val="24"/>
                <w:highlight w:val="none"/>
                <w:u w:val="none" w:color="auto"/>
                <w:lang w:val="en-US" w:eastAsia="zh-CN"/>
              </w:rPr>
            </w:pPr>
            <w:r>
              <w:rPr>
                <w:rFonts w:hint="default" w:ascii="Times New Roman" w:hAnsi="Times New Roman" w:eastAsia="宋体" w:cs="Times New Roman"/>
                <w:b w:val="0"/>
                <w:bCs/>
                <w:color w:val="auto"/>
                <w:spacing w:val="0"/>
                <w:sz w:val="24"/>
                <w:highlight w:val="none"/>
                <w:u w:val="none" w:color="auto"/>
                <w:lang w:val="en-US" w:eastAsia="zh-CN"/>
              </w:rPr>
              <w:t>在CNC粗加工过程中使用切削液，会产生一定量的带切削液金属碎屑，产生的金属碎屑预先经机械过滤装置进行清理，过滤装置每3天清理一次，目前尚无相关产污系数，本次评价参考建设单位提供的经验参数，产生的金属碎屑量约为加工量的0.5%，经核算加工量约为26327.7577‬‬t/a，则产生的金属碎屑为131.6388t/a，该部分金属碎屑含有一定量的切削液，在清理时</w:t>
            </w:r>
            <w:r>
              <w:rPr>
                <w:rFonts w:hint="eastAsia" w:cs="Times New Roman"/>
                <w:b w:val="0"/>
                <w:bCs/>
                <w:color w:val="auto"/>
                <w:spacing w:val="0"/>
                <w:sz w:val="24"/>
                <w:highlight w:val="none"/>
                <w:u w:val="none" w:color="auto"/>
                <w:lang w:val="en-US" w:eastAsia="zh-CN"/>
              </w:rPr>
              <w:t>经过</w:t>
            </w:r>
            <w:r>
              <w:rPr>
                <w:rFonts w:hint="default" w:ascii="Times New Roman" w:hAnsi="Times New Roman" w:eastAsia="宋体" w:cs="Times New Roman"/>
                <w:b w:val="0"/>
                <w:bCs/>
                <w:color w:val="auto"/>
                <w:spacing w:val="0"/>
                <w:sz w:val="24"/>
                <w:highlight w:val="none"/>
                <w:u w:val="none" w:color="auto"/>
                <w:lang w:val="en-US" w:eastAsia="zh-CN"/>
              </w:rPr>
              <w:t>经经压榨、压滤、过滤或者离心等除油达到静置无滴漏后暂存，该状态含油量较低（按3%计），则预计产生量约为135.7101t/a。</w:t>
            </w:r>
          </w:p>
          <w:p w14:paraId="6B1DA6C5">
            <w:pPr>
              <w:spacing w:line="360" w:lineRule="auto"/>
              <w:ind w:firstLine="480" w:firstLineChars="200"/>
              <w:rPr>
                <w:rFonts w:hint="default" w:ascii="Times New Roman" w:hAnsi="Times New Roman" w:eastAsia="宋体" w:cs="Times New Roman"/>
                <w:b w:val="0"/>
                <w:bCs/>
                <w:color w:val="auto"/>
                <w:spacing w:val="0"/>
                <w:sz w:val="24"/>
                <w:highlight w:val="none"/>
                <w:u w:val="none" w:color="auto"/>
                <w:lang w:val="en-US" w:eastAsia="zh-CN"/>
              </w:rPr>
            </w:pPr>
            <w:r>
              <w:rPr>
                <w:rFonts w:hint="default" w:ascii="Times New Roman" w:hAnsi="Times New Roman" w:eastAsia="宋体" w:cs="Times New Roman"/>
                <w:b w:val="0"/>
                <w:bCs/>
                <w:color w:val="auto"/>
                <w:spacing w:val="0"/>
                <w:sz w:val="24"/>
                <w:highlight w:val="none"/>
                <w:u w:val="none" w:color="auto"/>
                <w:lang w:val="en-US" w:eastAsia="zh-CN"/>
              </w:rPr>
              <w:t>②CNC精加工</w:t>
            </w:r>
          </w:p>
          <w:p w14:paraId="26CEEE6D">
            <w:pPr>
              <w:spacing w:line="360" w:lineRule="auto"/>
              <w:ind w:firstLine="480" w:firstLineChars="200"/>
              <w:rPr>
                <w:rFonts w:hint="default" w:ascii="Times New Roman" w:hAnsi="Times New Roman" w:eastAsia="宋体" w:cs="Times New Roman"/>
                <w:b w:val="0"/>
                <w:bCs/>
                <w:color w:val="auto"/>
                <w:spacing w:val="0"/>
                <w:sz w:val="24"/>
                <w:highlight w:val="none"/>
                <w:u w:val="none" w:color="auto"/>
                <w:lang w:val="en-US" w:eastAsia="zh-CN"/>
              </w:rPr>
            </w:pPr>
            <w:r>
              <w:rPr>
                <w:rFonts w:hint="default" w:ascii="Times New Roman" w:hAnsi="Times New Roman" w:eastAsia="宋体" w:cs="Times New Roman"/>
                <w:b w:val="0"/>
                <w:bCs/>
                <w:color w:val="auto"/>
                <w:spacing w:val="0"/>
                <w:sz w:val="24"/>
                <w:highlight w:val="none"/>
                <w:u w:val="none" w:color="auto"/>
                <w:lang w:val="en-US" w:eastAsia="zh-CN"/>
              </w:rPr>
              <w:t>在CNC精加工过程中使用切削液，会产生一定量的带切削液金属碎屑，产生的金属碎屑预先经机械过滤装置进行清理，过滤装置每3天清理一次，目前尚无相关产污系数，本次评价参考建设单位提供的经验参数，产生的金属碎屑量约为加工量的0.5%，经核算加工量约为26189.361‬‬t/a，则产生的金属碎屑为130.9468t/a，该部分金属碎屑含有一定量的切削液，在清理时</w:t>
            </w:r>
            <w:r>
              <w:rPr>
                <w:rFonts w:hint="eastAsia" w:cs="Times New Roman"/>
                <w:b w:val="0"/>
                <w:bCs/>
                <w:color w:val="auto"/>
                <w:spacing w:val="0"/>
                <w:sz w:val="24"/>
                <w:highlight w:val="none"/>
                <w:u w:val="none" w:color="auto"/>
                <w:lang w:val="en-US" w:eastAsia="zh-CN"/>
              </w:rPr>
              <w:t>经过</w:t>
            </w:r>
            <w:r>
              <w:rPr>
                <w:rFonts w:hint="default" w:ascii="Times New Roman" w:hAnsi="Times New Roman" w:eastAsia="宋体" w:cs="Times New Roman"/>
                <w:b w:val="0"/>
                <w:bCs/>
                <w:color w:val="auto"/>
                <w:spacing w:val="0"/>
                <w:sz w:val="24"/>
                <w:highlight w:val="none"/>
                <w:u w:val="none" w:color="auto"/>
                <w:lang w:val="en-US" w:eastAsia="zh-CN"/>
              </w:rPr>
              <w:t>经经压榨、压滤、过滤或者离心等除油达到静置无滴漏后暂存，该状态含油量较低（按3%计），则预计产生量约为134.9967t/a。</w:t>
            </w:r>
          </w:p>
          <w:p w14:paraId="1336FC82">
            <w:pPr>
              <w:spacing w:line="360" w:lineRule="auto"/>
              <w:ind w:firstLine="480" w:firstLineChars="200"/>
              <w:rPr>
                <w:rFonts w:hint="default" w:ascii="Times New Roman" w:hAnsi="Times New Roman" w:eastAsia="宋体" w:cs="Times New Roman"/>
                <w:b/>
                <w:bCs w:val="0"/>
                <w:color w:val="auto"/>
                <w:spacing w:val="0"/>
                <w:sz w:val="24"/>
                <w:highlight w:val="none"/>
                <w:u w:val="none" w:color="auto"/>
                <w:lang w:val="en-US" w:eastAsia="zh-CN"/>
              </w:rPr>
            </w:pPr>
            <w:r>
              <w:rPr>
                <w:rFonts w:hint="default" w:ascii="Times New Roman" w:hAnsi="Times New Roman" w:eastAsia="宋体" w:cs="Times New Roman"/>
                <w:b w:val="0"/>
                <w:bCs/>
                <w:color w:val="auto"/>
                <w:spacing w:val="0"/>
                <w:sz w:val="24"/>
                <w:highlight w:val="none"/>
                <w:u w:val="none" w:color="auto"/>
                <w:lang w:val="en-US" w:eastAsia="zh-CN"/>
              </w:rPr>
              <w:t>上述金属碎屑残留有切削液（合计量约为270.7068t/a），根据</w:t>
            </w:r>
            <w:r>
              <w:rPr>
                <w:rFonts w:hint="default" w:ascii="Times New Roman" w:hAnsi="Times New Roman" w:eastAsia="宋体" w:cs="Times New Roman"/>
                <w:b w:val="0"/>
                <w:bCs/>
                <w:color w:val="auto"/>
                <w:spacing w:val="0"/>
                <w:sz w:val="24"/>
                <w:u w:val="none" w:color="auto"/>
                <w:lang w:val="en-US" w:eastAsia="zh-CN"/>
              </w:rPr>
              <w:t>《国家危险废物名录（2025版）》其属于危险固废，类别为</w:t>
            </w:r>
            <w:r>
              <w:rPr>
                <w:rFonts w:hint="default" w:ascii="Times New Roman" w:hAnsi="Times New Roman" w:eastAsia="宋体" w:cs="Times New Roman"/>
                <w:color w:val="auto"/>
                <w:sz w:val="24"/>
                <w:u w:val="none" w:color="auto"/>
              </w:rPr>
              <w:t>HW</w:t>
            </w:r>
            <w:r>
              <w:rPr>
                <w:rFonts w:hint="default" w:ascii="Times New Roman" w:hAnsi="Times New Roman" w:eastAsia="宋体" w:cs="Times New Roman"/>
                <w:color w:val="auto"/>
                <w:sz w:val="24"/>
                <w:u w:val="none" w:color="auto"/>
                <w:lang w:val="en-US" w:eastAsia="zh-CN"/>
              </w:rPr>
              <w:t>09</w:t>
            </w:r>
            <w:r>
              <w:rPr>
                <w:rFonts w:hint="default" w:ascii="Times New Roman" w:hAnsi="Times New Roman" w:eastAsia="宋体" w:cs="Times New Roman"/>
                <w:color w:val="auto"/>
                <w:sz w:val="24"/>
                <w:u w:val="none" w:color="auto"/>
              </w:rPr>
              <w:t>，废物代码为“900-006-09”</w:t>
            </w:r>
            <w:r>
              <w:rPr>
                <w:rFonts w:hint="default" w:ascii="Times New Roman" w:hAnsi="Times New Roman" w:eastAsia="宋体" w:cs="Times New Roman"/>
                <w:b w:val="0"/>
                <w:bCs/>
                <w:color w:val="auto"/>
                <w:spacing w:val="0"/>
                <w:sz w:val="24"/>
                <w:u w:val="none" w:color="auto"/>
                <w:lang w:val="en-US" w:eastAsia="zh-CN"/>
              </w:rPr>
              <w:t>收集暂存后委托有资质单位进行安全处置。另根据“附录 危险废物豁免管理清单”中序号9描述，该类金属碎屑经压榨、压滤、过滤或者离心等除油达到静置无滴漏后打包或者压块，符合生态环境相关标准要求，作为生产原料用于金属冶炼，其利用过程可豁免（暂存、运输仍需依据危废管理），因此金属碎屑</w:t>
            </w:r>
            <w:r>
              <w:rPr>
                <w:rFonts w:hint="eastAsia" w:cs="Times New Roman"/>
                <w:b w:val="0"/>
                <w:bCs/>
                <w:color w:val="auto"/>
                <w:spacing w:val="0"/>
                <w:sz w:val="24"/>
                <w:u w:val="none" w:color="auto"/>
                <w:lang w:val="en-US" w:eastAsia="zh-CN"/>
              </w:rPr>
              <w:t>经过</w:t>
            </w:r>
            <w:r>
              <w:rPr>
                <w:rFonts w:hint="default" w:ascii="Times New Roman" w:hAnsi="Times New Roman" w:eastAsia="宋体" w:cs="Times New Roman"/>
                <w:b w:val="0"/>
                <w:bCs/>
                <w:color w:val="auto"/>
                <w:spacing w:val="0"/>
                <w:sz w:val="24"/>
                <w:u w:val="none" w:color="auto"/>
                <w:lang w:val="en-US" w:eastAsia="zh-CN"/>
              </w:rPr>
              <w:t>压榨、压滤、过滤或者离心等除油达到静置无滴漏后打包或者压块，符合生态环境相关标准要求后，外售相关综合利用单位。</w:t>
            </w:r>
          </w:p>
          <w:p w14:paraId="138ABDCA">
            <w:pPr>
              <w:spacing w:line="360" w:lineRule="auto"/>
              <w:ind w:firstLine="482" w:firstLineChars="200"/>
              <w:rPr>
                <w:rFonts w:hint="default" w:ascii="Times New Roman" w:hAnsi="Times New Roman" w:eastAsia="宋体" w:cs="Times New Roman"/>
                <w:b/>
                <w:bCs w:val="0"/>
                <w:color w:val="auto"/>
                <w:spacing w:val="0"/>
                <w:sz w:val="24"/>
                <w:u w:val="none" w:color="auto"/>
                <w:lang w:eastAsia="zh-CN"/>
              </w:rPr>
            </w:pPr>
            <w:r>
              <w:rPr>
                <w:rFonts w:hint="default" w:ascii="Times New Roman" w:hAnsi="Times New Roman" w:eastAsia="宋体" w:cs="Times New Roman"/>
                <w:b/>
                <w:bCs w:val="0"/>
                <w:color w:val="auto"/>
                <w:spacing w:val="0"/>
                <w:sz w:val="24"/>
                <w:highlight w:val="none"/>
                <w:u w:val="none" w:color="auto"/>
                <w:lang w:val="en-US" w:eastAsia="zh-CN"/>
              </w:rPr>
              <w:t>（2）废切削液过滤棉</w:t>
            </w:r>
            <w:r>
              <w:rPr>
                <w:rFonts w:hint="default" w:ascii="Times New Roman" w:hAnsi="Times New Roman" w:eastAsia="宋体" w:cs="Times New Roman"/>
                <w:b/>
                <w:bCs w:val="0"/>
                <w:color w:val="auto"/>
                <w:spacing w:val="0"/>
                <w:sz w:val="24"/>
                <w:u w:val="none" w:color="auto"/>
                <w:lang w:eastAsia="zh-CN"/>
              </w:rPr>
              <w:t>（</w:t>
            </w:r>
            <w:r>
              <w:rPr>
                <w:rFonts w:hint="default" w:ascii="Times New Roman" w:hAnsi="Times New Roman" w:eastAsia="宋体" w:cs="Times New Roman"/>
                <w:b/>
                <w:bCs w:val="0"/>
                <w:color w:val="auto"/>
                <w:spacing w:val="0"/>
                <w:sz w:val="24"/>
                <w:u w:val="none" w:color="auto"/>
                <w:lang w:val="en-US" w:eastAsia="zh-CN"/>
              </w:rPr>
              <w:t>S8</w:t>
            </w:r>
            <w:r>
              <w:rPr>
                <w:rFonts w:hint="default" w:ascii="Times New Roman" w:hAnsi="Times New Roman" w:eastAsia="宋体" w:cs="Times New Roman"/>
                <w:b/>
                <w:bCs w:val="0"/>
                <w:color w:val="auto"/>
                <w:spacing w:val="0"/>
                <w:sz w:val="24"/>
                <w:u w:val="none" w:color="auto"/>
                <w:lang w:eastAsia="zh-CN"/>
              </w:rPr>
              <w:t>）</w:t>
            </w:r>
          </w:p>
          <w:p w14:paraId="2BE2D7B7">
            <w:pPr>
              <w:spacing w:line="360" w:lineRule="auto"/>
              <w:ind w:firstLine="480" w:firstLineChars="200"/>
              <w:rPr>
                <w:rFonts w:hint="default" w:ascii="Times New Roman" w:hAnsi="Times New Roman" w:eastAsia="宋体" w:cs="Times New Roman"/>
                <w:b w:val="0"/>
                <w:bCs/>
                <w:color w:val="auto"/>
                <w:spacing w:val="0"/>
                <w:sz w:val="24"/>
                <w:highlight w:val="none"/>
                <w:u w:val="none" w:color="auto"/>
                <w:lang w:val="en-US" w:eastAsia="zh-CN"/>
              </w:rPr>
            </w:pPr>
            <w:r>
              <w:rPr>
                <w:rFonts w:hint="default" w:ascii="Times New Roman" w:hAnsi="Times New Roman" w:eastAsia="宋体" w:cs="Times New Roman"/>
                <w:b w:val="0"/>
                <w:bCs/>
                <w:color w:val="auto"/>
                <w:spacing w:val="0"/>
                <w:sz w:val="24"/>
                <w:highlight w:val="none"/>
                <w:u w:val="none" w:color="auto"/>
                <w:lang w:val="en-US" w:eastAsia="zh-CN"/>
              </w:rPr>
              <w:t>①CNC粗加工</w:t>
            </w:r>
          </w:p>
          <w:p w14:paraId="37893F20">
            <w:pPr>
              <w:spacing w:line="360" w:lineRule="auto"/>
              <w:ind w:firstLine="480" w:firstLineChars="200"/>
              <w:rPr>
                <w:rFonts w:hint="default" w:ascii="Times New Roman" w:hAnsi="Times New Roman" w:eastAsia="宋体" w:cs="Times New Roman"/>
                <w:b w:val="0"/>
                <w:bCs/>
                <w:color w:val="auto"/>
                <w:spacing w:val="0"/>
                <w:sz w:val="24"/>
                <w:highlight w:val="none"/>
                <w:u w:val="none" w:color="auto"/>
                <w:lang w:val="en-US" w:eastAsia="zh-CN"/>
              </w:rPr>
            </w:pPr>
            <w:r>
              <w:rPr>
                <w:rFonts w:hint="default" w:ascii="Times New Roman" w:hAnsi="Times New Roman" w:eastAsia="宋体" w:cs="Times New Roman"/>
                <w:b w:val="0"/>
                <w:bCs w:val="0"/>
                <w:color w:val="auto"/>
                <w:sz w:val="24"/>
                <w:szCs w:val="24"/>
                <w:u w:val="none" w:color="auto"/>
                <w:lang w:val="en-US" w:eastAsia="zh-CN"/>
              </w:rPr>
              <w:t>机加过程中产生的切削液预先经机械过滤后，再经</w:t>
            </w:r>
            <w:r>
              <w:rPr>
                <w:rFonts w:hint="default" w:ascii="Times New Roman" w:hAnsi="Times New Roman" w:eastAsia="宋体" w:cs="Times New Roman"/>
                <w:b w:val="0"/>
                <w:bCs w:val="0"/>
                <w:color w:val="auto"/>
                <w:spacing w:val="0"/>
                <w:sz w:val="24"/>
                <w:szCs w:val="24"/>
                <w:highlight w:val="none"/>
                <w:u w:val="none" w:color="auto"/>
                <w:lang w:val="en-US" w:eastAsia="zh-CN"/>
              </w:rPr>
              <w:t>过滤棉过滤后回用，年使用量8t/a，预计每4周更换一次，全年更换22次（向上取整）。根据设置参数，过滤棉残留的废切削液和金属碎屑吸附量约为50-150kg/次（本次评价按均值100kg/次），其中根据建设提供的经验系数金属碎屑吸附量约为8%，吸附的金属量约为0.176t/a，其余均为切削液。经计算，废切削液过滤棉预计产生量10.2t/a。</w:t>
            </w:r>
            <w:r>
              <w:rPr>
                <w:rFonts w:hint="default" w:ascii="Times New Roman" w:hAnsi="Times New Roman" w:eastAsia="宋体" w:cs="Times New Roman"/>
                <w:b w:val="0"/>
                <w:bCs/>
                <w:color w:val="auto"/>
                <w:spacing w:val="0"/>
                <w:sz w:val="24"/>
                <w:highlight w:val="none"/>
                <w:u w:val="none" w:color="auto"/>
                <w:lang w:val="en-US" w:eastAsia="zh-CN"/>
              </w:rPr>
              <w:t>根据</w:t>
            </w:r>
            <w:r>
              <w:rPr>
                <w:rFonts w:hint="default" w:ascii="Times New Roman" w:hAnsi="Times New Roman" w:eastAsia="宋体" w:cs="Times New Roman"/>
                <w:b w:val="0"/>
                <w:bCs/>
                <w:color w:val="auto"/>
                <w:spacing w:val="0"/>
                <w:sz w:val="24"/>
                <w:u w:val="none" w:color="auto"/>
                <w:lang w:val="en-US" w:eastAsia="zh-CN"/>
              </w:rPr>
              <w:t>《国家危险废物名录（2025版）》其属于危险固废，类别为</w:t>
            </w:r>
            <w:r>
              <w:rPr>
                <w:rFonts w:hint="default" w:ascii="Times New Roman" w:hAnsi="Times New Roman" w:eastAsia="宋体" w:cs="Times New Roman"/>
                <w:color w:val="auto"/>
                <w:sz w:val="24"/>
                <w:u w:val="none" w:color="auto"/>
              </w:rPr>
              <w:t>HW</w:t>
            </w:r>
            <w:r>
              <w:rPr>
                <w:rFonts w:hint="default" w:ascii="Times New Roman" w:hAnsi="Times New Roman" w:eastAsia="宋体" w:cs="Times New Roman"/>
                <w:color w:val="auto"/>
                <w:sz w:val="24"/>
                <w:u w:val="none" w:color="auto"/>
                <w:lang w:val="en-US" w:eastAsia="zh-CN"/>
              </w:rPr>
              <w:t>06</w:t>
            </w:r>
            <w:r>
              <w:rPr>
                <w:rFonts w:hint="default" w:ascii="Times New Roman" w:hAnsi="Times New Roman" w:eastAsia="宋体" w:cs="Times New Roman"/>
                <w:color w:val="auto"/>
                <w:sz w:val="24"/>
                <w:u w:val="none" w:color="auto"/>
              </w:rPr>
              <w:t>，废物代码为“900-</w:t>
            </w:r>
            <w:r>
              <w:rPr>
                <w:rFonts w:hint="default" w:ascii="Times New Roman" w:hAnsi="Times New Roman" w:eastAsia="宋体" w:cs="Times New Roman"/>
                <w:color w:val="auto"/>
                <w:sz w:val="24"/>
                <w:u w:val="none" w:color="auto"/>
                <w:lang w:val="en-US" w:eastAsia="zh-CN"/>
              </w:rPr>
              <w:t>405-06</w:t>
            </w:r>
            <w:r>
              <w:rPr>
                <w:rFonts w:hint="default" w:ascii="Times New Roman" w:hAnsi="Times New Roman" w:eastAsia="宋体" w:cs="Times New Roman"/>
                <w:color w:val="auto"/>
                <w:sz w:val="24"/>
                <w:u w:val="none" w:color="auto"/>
              </w:rPr>
              <w:t>”</w:t>
            </w:r>
            <w:r>
              <w:rPr>
                <w:rFonts w:hint="default" w:ascii="Times New Roman" w:hAnsi="Times New Roman" w:eastAsia="宋体" w:cs="Times New Roman"/>
                <w:b w:val="0"/>
                <w:bCs/>
                <w:color w:val="auto"/>
                <w:spacing w:val="0"/>
                <w:sz w:val="24"/>
                <w:u w:val="none" w:color="auto"/>
                <w:lang w:val="en-US" w:eastAsia="zh-CN"/>
              </w:rPr>
              <w:t>收集暂存后委托有资质单位进行安全处置。</w:t>
            </w:r>
          </w:p>
          <w:p w14:paraId="1E6B2673">
            <w:pPr>
              <w:spacing w:line="360" w:lineRule="auto"/>
              <w:ind w:firstLine="480" w:firstLineChars="200"/>
              <w:rPr>
                <w:rFonts w:hint="default" w:ascii="Times New Roman" w:hAnsi="Times New Roman" w:eastAsia="宋体" w:cs="Times New Roman"/>
                <w:b w:val="0"/>
                <w:bCs/>
                <w:color w:val="auto"/>
                <w:spacing w:val="0"/>
                <w:sz w:val="24"/>
                <w:highlight w:val="none"/>
                <w:u w:val="none" w:color="auto"/>
                <w:lang w:val="en-US" w:eastAsia="zh-CN"/>
              </w:rPr>
            </w:pPr>
            <w:r>
              <w:rPr>
                <w:rFonts w:hint="default" w:ascii="Times New Roman" w:hAnsi="Times New Roman" w:eastAsia="宋体" w:cs="Times New Roman"/>
                <w:b w:val="0"/>
                <w:bCs/>
                <w:color w:val="auto"/>
                <w:spacing w:val="0"/>
                <w:sz w:val="24"/>
                <w:highlight w:val="none"/>
                <w:u w:val="none" w:color="auto"/>
                <w:lang w:val="en-US" w:eastAsia="zh-CN"/>
              </w:rPr>
              <w:t>②CNC精加工</w:t>
            </w:r>
          </w:p>
          <w:p w14:paraId="14DB69E7">
            <w:pPr>
              <w:spacing w:line="360" w:lineRule="auto"/>
              <w:ind w:firstLine="480" w:firstLineChars="200"/>
              <w:rPr>
                <w:rFonts w:hint="default" w:ascii="Times New Roman" w:hAnsi="Times New Roman" w:eastAsia="宋体" w:cs="Times New Roman"/>
                <w:b w:val="0"/>
                <w:bCs/>
                <w:color w:val="auto"/>
                <w:spacing w:val="0"/>
                <w:sz w:val="24"/>
                <w:u w:val="none" w:color="auto"/>
                <w:lang w:val="en-US" w:eastAsia="zh-CN"/>
              </w:rPr>
            </w:pPr>
            <w:r>
              <w:rPr>
                <w:rFonts w:hint="default" w:ascii="Times New Roman" w:hAnsi="Times New Roman" w:eastAsia="宋体" w:cs="Times New Roman"/>
                <w:b w:val="0"/>
                <w:bCs w:val="0"/>
                <w:color w:val="auto"/>
                <w:sz w:val="24"/>
                <w:szCs w:val="24"/>
                <w:u w:val="none" w:color="auto"/>
                <w:lang w:val="en-US" w:eastAsia="zh-CN"/>
              </w:rPr>
              <w:t>机加过程中产生的切削液预先经机械过滤后，再经</w:t>
            </w:r>
            <w:r>
              <w:rPr>
                <w:rFonts w:hint="default" w:ascii="Times New Roman" w:hAnsi="Times New Roman" w:eastAsia="宋体" w:cs="Times New Roman"/>
                <w:b w:val="0"/>
                <w:bCs w:val="0"/>
                <w:color w:val="auto"/>
                <w:spacing w:val="0"/>
                <w:sz w:val="24"/>
                <w:szCs w:val="24"/>
                <w:highlight w:val="none"/>
                <w:u w:val="none" w:color="auto"/>
                <w:lang w:val="en-US" w:eastAsia="zh-CN"/>
              </w:rPr>
              <w:t>过滤棉过滤后回用，年使用量8t/a，预计每4周更换一次，全年更换22次（向上取整）。根据设置参数，过滤棉残留的废切削液和金属碎屑吸附量约为50-150kg/次（本次评价按均值100kg/次），其中根据建设提供的经验系数金属碎屑吸附量约为8%，吸附的金属量约为0.176t/a，其余均为切削液。经计算，废切削液过滤棉预计产生量10.2t/a。</w:t>
            </w:r>
            <w:r>
              <w:rPr>
                <w:rFonts w:hint="default" w:ascii="Times New Roman" w:hAnsi="Times New Roman" w:eastAsia="宋体" w:cs="Times New Roman"/>
                <w:b w:val="0"/>
                <w:bCs/>
                <w:color w:val="auto"/>
                <w:spacing w:val="0"/>
                <w:sz w:val="24"/>
                <w:highlight w:val="none"/>
                <w:u w:val="none" w:color="auto"/>
                <w:lang w:val="en-US" w:eastAsia="zh-CN"/>
              </w:rPr>
              <w:t>根据</w:t>
            </w:r>
            <w:r>
              <w:rPr>
                <w:rFonts w:hint="default" w:ascii="Times New Roman" w:hAnsi="Times New Roman" w:eastAsia="宋体" w:cs="Times New Roman"/>
                <w:b w:val="0"/>
                <w:bCs/>
                <w:color w:val="auto"/>
                <w:spacing w:val="0"/>
                <w:sz w:val="24"/>
                <w:u w:val="none" w:color="auto"/>
                <w:lang w:val="en-US" w:eastAsia="zh-CN"/>
              </w:rPr>
              <w:t>《国家危险废物名录（2025版）》其属于危险固废，类别为</w:t>
            </w:r>
            <w:r>
              <w:rPr>
                <w:rFonts w:hint="default" w:ascii="Times New Roman" w:hAnsi="Times New Roman" w:eastAsia="宋体" w:cs="Times New Roman"/>
                <w:color w:val="auto"/>
                <w:sz w:val="24"/>
                <w:u w:val="none" w:color="auto"/>
              </w:rPr>
              <w:t>HW</w:t>
            </w:r>
            <w:r>
              <w:rPr>
                <w:rFonts w:hint="default" w:ascii="Times New Roman" w:hAnsi="Times New Roman" w:eastAsia="宋体" w:cs="Times New Roman"/>
                <w:color w:val="auto"/>
                <w:sz w:val="24"/>
                <w:u w:val="none" w:color="auto"/>
                <w:lang w:val="en-US" w:eastAsia="zh-CN"/>
              </w:rPr>
              <w:t>06</w:t>
            </w:r>
            <w:r>
              <w:rPr>
                <w:rFonts w:hint="default" w:ascii="Times New Roman" w:hAnsi="Times New Roman" w:eastAsia="宋体" w:cs="Times New Roman"/>
                <w:color w:val="auto"/>
                <w:sz w:val="24"/>
                <w:u w:val="none" w:color="auto"/>
              </w:rPr>
              <w:t>，废物代码为“900-</w:t>
            </w:r>
            <w:r>
              <w:rPr>
                <w:rFonts w:hint="default" w:ascii="Times New Roman" w:hAnsi="Times New Roman" w:eastAsia="宋体" w:cs="Times New Roman"/>
                <w:color w:val="auto"/>
                <w:sz w:val="24"/>
                <w:u w:val="none" w:color="auto"/>
                <w:lang w:val="en-US" w:eastAsia="zh-CN"/>
              </w:rPr>
              <w:t>405-06</w:t>
            </w:r>
            <w:r>
              <w:rPr>
                <w:rFonts w:hint="default" w:ascii="Times New Roman" w:hAnsi="Times New Roman" w:eastAsia="宋体" w:cs="Times New Roman"/>
                <w:color w:val="auto"/>
                <w:sz w:val="24"/>
                <w:u w:val="none" w:color="auto"/>
              </w:rPr>
              <w:t>”</w:t>
            </w:r>
            <w:r>
              <w:rPr>
                <w:rFonts w:hint="default" w:ascii="Times New Roman" w:hAnsi="Times New Roman" w:eastAsia="宋体" w:cs="Times New Roman"/>
                <w:b w:val="0"/>
                <w:bCs/>
                <w:color w:val="auto"/>
                <w:spacing w:val="0"/>
                <w:sz w:val="24"/>
                <w:u w:val="none" w:color="auto"/>
                <w:lang w:val="en-US" w:eastAsia="zh-CN"/>
              </w:rPr>
              <w:t>收集暂存后委托有资质单位进行安全处置。</w:t>
            </w:r>
          </w:p>
          <w:p w14:paraId="63777D01">
            <w:pPr>
              <w:spacing w:line="360" w:lineRule="auto"/>
              <w:ind w:firstLine="480" w:firstLineChars="200"/>
              <w:rPr>
                <w:rFonts w:hint="default" w:ascii="Times New Roman" w:hAnsi="Times New Roman" w:eastAsia="宋体" w:cs="Times New Roman"/>
                <w:b w:val="0"/>
                <w:bCs w:val="0"/>
                <w:color w:val="auto"/>
                <w:sz w:val="24"/>
                <w:szCs w:val="24"/>
                <w:u w:val="none" w:color="auto"/>
                <w:lang w:val="en-US" w:eastAsia="zh-CN"/>
              </w:rPr>
            </w:pPr>
            <w:r>
              <w:rPr>
                <w:rFonts w:hint="default" w:ascii="Times New Roman" w:hAnsi="Times New Roman" w:eastAsia="宋体" w:cs="Times New Roman"/>
                <w:b w:val="0"/>
                <w:bCs w:val="0"/>
                <w:color w:val="auto"/>
                <w:sz w:val="24"/>
                <w:szCs w:val="24"/>
                <w:u w:val="none" w:color="auto"/>
                <w:lang w:val="en-US" w:eastAsia="zh-CN"/>
              </w:rPr>
              <w:t>根据上述分析，合计约为20.4t/a。</w:t>
            </w:r>
          </w:p>
          <w:p w14:paraId="535DEBD3">
            <w:pPr>
              <w:spacing w:line="360" w:lineRule="auto"/>
              <w:ind w:firstLine="482" w:firstLineChars="200"/>
              <w:rPr>
                <w:rFonts w:hint="default" w:ascii="Times New Roman" w:hAnsi="Times New Roman" w:eastAsia="宋体" w:cs="Times New Roman"/>
                <w:b/>
                <w:bCs w:val="0"/>
                <w:color w:val="auto"/>
                <w:spacing w:val="0"/>
                <w:sz w:val="24"/>
                <w:highlight w:val="none"/>
                <w:u w:val="none" w:color="auto"/>
                <w:lang w:val="en-US" w:eastAsia="zh-CN"/>
              </w:rPr>
            </w:pPr>
            <w:r>
              <w:rPr>
                <w:rFonts w:hint="default" w:ascii="Times New Roman" w:hAnsi="Times New Roman" w:eastAsia="宋体" w:cs="Times New Roman"/>
                <w:b/>
                <w:bCs w:val="0"/>
                <w:color w:val="auto"/>
                <w:spacing w:val="0"/>
                <w:sz w:val="24"/>
                <w:highlight w:val="none"/>
                <w:u w:val="none" w:color="auto"/>
                <w:lang w:val="en-US" w:eastAsia="zh-CN"/>
              </w:rPr>
              <w:t>（3）高压清洗过滤金属碎屑（S9）</w:t>
            </w:r>
          </w:p>
          <w:p w14:paraId="08B89783">
            <w:pPr>
              <w:spacing w:line="360" w:lineRule="auto"/>
              <w:ind w:firstLine="480" w:firstLineChars="200"/>
              <w:rPr>
                <w:rFonts w:hint="default" w:ascii="Times New Roman" w:hAnsi="Times New Roman" w:eastAsia="宋体" w:cs="Times New Roman"/>
                <w:b w:val="0"/>
                <w:bCs/>
                <w:color w:val="auto"/>
                <w:spacing w:val="0"/>
                <w:sz w:val="24"/>
                <w:highlight w:val="none"/>
                <w:u w:val="none" w:color="auto"/>
                <w:lang w:val="en-US" w:eastAsia="zh-CN"/>
              </w:rPr>
            </w:pPr>
            <w:r>
              <w:rPr>
                <w:rFonts w:hint="default" w:ascii="Times New Roman" w:hAnsi="Times New Roman" w:eastAsia="宋体" w:cs="Times New Roman"/>
                <w:b w:val="0"/>
                <w:bCs/>
                <w:color w:val="auto"/>
                <w:spacing w:val="0"/>
                <w:sz w:val="24"/>
                <w:highlight w:val="none"/>
                <w:u w:val="none" w:color="auto"/>
                <w:lang w:val="en-US" w:eastAsia="zh-CN"/>
              </w:rPr>
              <w:t>①CNC粗加工</w:t>
            </w:r>
          </w:p>
          <w:p w14:paraId="331C23F9">
            <w:pPr>
              <w:spacing w:line="360" w:lineRule="auto"/>
              <w:ind w:firstLine="480" w:firstLineChars="200"/>
              <w:rPr>
                <w:rFonts w:hint="default" w:ascii="Times New Roman" w:hAnsi="Times New Roman" w:eastAsia="宋体" w:cs="Times New Roman"/>
                <w:b w:val="0"/>
                <w:bCs/>
                <w:color w:val="auto"/>
                <w:spacing w:val="0"/>
                <w:sz w:val="24"/>
                <w:highlight w:val="none"/>
                <w:u w:val="none" w:color="auto"/>
                <w:lang w:val="en-US" w:eastAsia="zh-CN"/>
              </w:rPr>
            </w:pPr>
            <w:r>
              <w:rPr>
                <w:rFonts w:hint="default" w:ascii="Times New Roman" w:hAnsi="Times New Roman" w:eastAsia="宋体" w:cs="Times New Roman"/>
                <w:b w:val="0"/>
                <w:bCs/>
                <w:color w:val="auto"/>
                <w:spacing w:val="0"/>
                <w:sz w:val="24"/>
                <w:highlight w:val="none"/>
                <w:u w:val="none" w:color="auto"/>
                <w:lang w:val="en-US" w:eastAsia="zh-CN"/>
              </w:rPr>
              <w:t>本项目经机加工后会有部分进水碎屑附着在金属材料表面，经过高压清洗后脱离，根据建设单位提供的从业经验系数，其产生量约为CNC粗加工产生的金属碎屑量的5%，预计产生6.5819t/a的过滤金属碎屑</w:t>
            </w:r>
            <w:r>
              <w:rPr>
                <w:rFonts w:hint="default" w:ascii="Times New Roman" w:hAnsi="Times New Roman" w:eastAsia="宋体" w:cs="Times New Roman"/>
                <w:b/>
                <w:bCs w:val="0"/>
                <w:color w:val="auto"/>
                <w:spacing w:val="0"/>
                <w:sz w:val="24"/>
                <w:highlight w:val="none"/>
                <w:u w:val="none" w:color="auto"/>
                <w:lang w:val="en-US" w:eastAsia="zh-CN"/>
              </w:rPr>
              <w:t>。</w:t>
            </w:r>
            <w:r>
              <w:rPr>
                <w:rFonts w:hint="default" w:ascii="Times New Roman" w:hAnsi="Times New Roman" w:eastAsia="宋体" w:cs="Times New Roman"/>
                <w:b w:val="0"/>
                <w:bCs/>
                <w:color w:val="auto"/>
                <w:spacing w:val="0"/>
                <w:sz w:val="24"/>
                <w:highlight w:val="none"/>
                <w:u w:val="none" w:color="auto"/>
                <w:lang w:val="en-US" w:eastAsia="zh-CN"/>
              </w:rPr>
              <w:t>在清理时预先</w:t>
            </w:r>
            <w:r>
              <w:rPr>
                <w:rFonts w:hint="eastAsia" w:cs="Times New Roman"/>
                <w:b w:val="0"/>
                <w:bCs/>
                <w:color w:val="auto"/>
                <w:spacing w:val="0"/>
                <w:sz w:val="24"/>
                <w:highlight w:val="none"/>
                <w:u w:val="none" w:color="auto"/>
                <w:lang w:val="en-US" w:eastAsia="zh-CN"/>
              </w:rPr>
              <w:t>经过</w:t>
            </w:r>
            <w:r>
              <w:rPr>
                <w:rFonts w:hint="default" w:ascii="Times New Roman" w:hAnsi="Times New Roman" w:eastAsia="宋体" w:cs="Times New Roman"/>
                <w:b w:val="0"/>
                <w:bCs/>
                <w:color w:val="auto"/>
                <w:spacing w:val="0"/>
                <w:sz w:val="24"/>
                <w:highlight w:val="none"/>
                <w:u w:val="none" w:color="auto"/>
                <w:lang w:val="en-US" w:eastAsia="zh-CN"/>
              </w:rPr>
              <w:t>压榨、压滤、过滤或者离心等除油达到静置无滴漏后暂存，该状态含油水量较低（按3%计），则预计产生量约为6.7855t/a。</w:t>
            </w:r>
          </w:p>
          <w:p w14:paraId="2EF90A5B">
            <w:pPr>
              <w:spacing w:line="360" w:lineRule="auto"/>
              <w:ind w:firstLine="480" w:firstLineChars="200"/>
              <w:rPr>
                <w:rFonts w:hint="default" w:ascii="Times New Roman" w:hAnsi="Times New Roman" w:eastAsia="宋体" w:cs="Times New Roman"/>
                <w:b w:val="0"/>
                <w:bCs/>
                <w:color w:val="auto"/>
                <w:spacing w:val="0"/>
                <w:sz w:val="24"/>
                <w:highlight w:val="none"/>
                <w:u w:val="none" w:color="auto"/>
                <w:lang w:val="en-US" w:eastAsia="zh-CN"/>
              </w:rPr>
            </w:pPr>
            <w:r>
              <w:rPr>
                <w:rFonts w:hint="default" w:ascii="Times New Roman" w:hAnsi="Times New Roman" w:eastAsia="宋体" w:cs="Times New Roman"/>
                <w:b w:val="0"/>
                <w:bCs/>
                <w:color w:val="auto"/>
                <w:spacing w:val="0"/>
                <w:sz w:val="24"/>
                <w:highlight w:val="none"/>
                <w:u w:val="none" w:color="auto"/>
                <w:lang w:val="en-US" w:eastAsia="zh-CN"/>
              </w:rPr>
              <w:t>②CNC精加工</w:t>
            </w:r>
          </w:p>
          <w:p w14:paraId="1AAF8059">
            <w:pPr>
              <w:spacing w:line="360" w:lineRule="auto"/>
              <w:ind w:firstLine="480" w:firstLineChars="200"/>
              <w:rPr>
                <w:rFonts w:hint="default" w:ascii="Times New Roman" w:hAnsi="Times New Roman" w:eastAsia="宋体" w:cs="Times New Roman"/>
                <w:b/>
                <w:bCs w:val="0"/>
                <w:color w:val="auto"/>
                <w:spacing w:val="0"/>
                <w:sz w:val="24"/>
                <w:highlight w:val="none"/>
                <w:u w:val="none" w:color="auto"/>
                <w:lang w:val="en-US" w:eastAsia="zh-CN"/>
              </w:rPr>
            </w:pPr>
            <w:r>
              <w:rPr>
                <w:rFonts w:hint="default" w:ascii="Times New Roman" w:hAnsi="Times New Roman" w:eastAsia="宋体" w:cs="Times New Roman"/>
                <w:b w:val="0"/>
                <w:bCs/>
                <w:color w:val="auto"/>
                <w:spacing w:val="0"/>
                <w:sz w:val="24"/>
                <w:highlight w:val="none"/>
                <w:u w:val="none" w:color="auto"/>
                <w:lang w:val="en-US" w:eastAsia="zh-CN"/>
              </w:rPr>
              <w:t>本项目经机加工后会有部分进水碎屑附着在金属材料表面，经过高压清洗后脱离，根据建设单位提供的从业经验系数，其产生量约为CNC精加工产生的金属碎屑量的5%，预计产生6.5473t/a的过滤金属碎屑</w:t>
            </w:r>
            <w:r>
              <w:rPr>
                <w:rFonts w:hint="default" w:ascii="Times New Roman" w:hAnsi="Times New Roman" w:eastAsia="宋体" w:cs="Times New Roman"/>
                <w:b/>
                <w:bCs w:val="0"/>
                <w:color w:val="auto"/>
                <w:spacing w:val="0"/>
                <w:sz w:val="24"/>
                <w:highlight w:val="none"/>
                <w:u w:val="none" w:color="auto"/>
                <w:lang w:val="en-US" w:eastAsia="zh-CN"/>
              </w:rPr>
              <w:t>。</w:t>
            </w:r>
            <w:r>
              <w:rPr>
                <w:rFonts w:hint="default" w:ascii="Times New Roman" w:hAnsi="Times New Roman" w:eastAsia="宋体" w:cs="Times New Roman"/>
                <w:b w:val="0"/>
                <w:bCs/>
                <w:color w:val="auto"/>
                <w:spacing w:val="0"/>
                <w:sz w:val="24"/>
                <w:highlight w:val="none"/>
                <w:u w:val="none" w:color="auto"/>
                <w:lang w:val="en-US" w:eastAsia="zh-CN"/>
              </w:rPr>
              <w:t>在清理时预先</w:t>
            </w:r>
            <w:r>
              <w:rPr>
                <w:rFonts w:hint="eastAsia" w:cs="Times New Roman"/>
                <w:b w:val="0"/>
                <w:bCs/>
                <w:color w:val="auto"/>
                <w:spacing w:val="0"/>
                <w:sz w:val="24"/>
                <w:highlight w:val="none"/>
                <w:u w:val="none" w:color="auto"/>
                <w:lang w:val="en-US" w:eastAsia="zh-CN"/>
              </w:rPr>
              <w:t>经过</w:t>
            </w:r>
            <w:r>
              <w:rPr>
                <w:rFonts w:hint="default" w:ascii="Times New Roman" w:hAnsi="Times New Roman" w:eastAsia="宋体" w:cs="Times New Roman"/>
                <w:b w:val="0"/>
                <w:bCs/>
                <w:color w:val="auto"/>
                <w:spacing w:val="0"/>
                <w:sz w:val="24"/>
                <w:highlight w:val="none"/>
                <w:u w:val="none" w:color="auto"/>
                <w:lang w:val="en-US" w:eastAsia="zh-CN"/>
              </w:rPr>
              <w:t>压榨、压滤、过滤或者离心等除油达到静置无滴漏后暂存，该状态含油水量较低（按3%计），则预计产生量约为6.7498t/a。</w:t>
            </w:r>
          </w:p>
          <w:p w14:paraId="3A82C0B4">
            <w:pPr>
              <w:spacing w:line="360" w:lineRule="auto"/>
              <w:ind w:firstLine="480" w:firstLineChars="200"/>
              <w:rPr>
                <w:rFonts w:hint="default" w:ascii="Times New Roman" w:hAnsi="Times New Roman" w:eastAsia="宋体" w:cs="Times New Roman"/>
                <w:b w:val="0"/>
                <w:bCs/>
                <w:color w:val="auto"/>
                <w:spacing w:val="0"/>
                <w:sz w:val="24"/>
                <w:highlight w:val="none"/>
                <w:u w:val="none" w:color="auto"/>
                <w:lang w:val="en-US" w:eastAsia="zh-CN"/>
              </w:rPr>
            </w:pPr>
            <w:r>
              <w:rPr>
                <w:rFonts w:hint="default" w:ascii="Times New Roman" w:hAnsi="Times New Roman" w:eastAsia="宋体" w:cs="Times New Roman"/>
                <w:b w:val="0"/>
                <w:bCs/>
                <w:color w:val="auto"/>
                <w:spacing w:val="0"/>
                <w:sz w:val="24"/>
                <w:highlight w:val="none"/>
                <w:u w:val="none" w:color="auto"/>
                <w:lang w:val="en-US" w:eastAsia="zh-CN"/>
              </w:rPr>
              <w:t>根据上述分析，预计清洗过滤金属碎屑合计约为13.5353t/a。</w:t>
            </w:r>
          </w:p>
          <w:p w14:paraId="319FDBCB">
            <w:pPr>
              <w:spacing w:line="360" w:lineRule="auto"/>
              <w:ind w:firstLine="480" w:firstLineChars="200"/>
              <w:rPr>
                <w:rFonts w:hint="default" w:ascii="Times New Roman" w:hAnsi="Times New Roman" w:eastAsia="宋体" w:cs="Times New Roman"/>
                <w:b/>
                <w:bCs w:val="0"/>
                <w:color w:val="auto"/>
                <w:spacing w:val="0"/>
                <w:sz w:val="24"/>
                <w:highlight w:val="none"/>
                <w:u w:val="none" w:color="auto"/>
                <w:lang w:val="en-US" w:eastAsia="zh-CN"/>
              </w:rPr>
            </w:pPr>
            <w:r>
              <w:rPr>
                <w:rFonts w:hint="default" w:ascii="Times New Roman" w:hAnsi="Times New Roman" w:eastAsia="宋体" w:cs="Times New Roman"/>
                <w:b w:val="0"/>
                <w:bCs/>
                <w:color w:val="auto"/>
                <w:spacing w:val="0"/>
                <w:sz w:val="24"/>
                <w:highlight w:val="none"/>
                <w:u w:val="none" w:color="auto"/>
                <w:lang w:val="en-US" w:eastAsia="zh-CN"/>
              </w:rPr>
              <w:t>在高压清洗过程中会将机加工产生的金属碎屑清洗出，经过滤装置过滤后产生过滤金属碎屑，同时清洗过程中会将金属制品表面残留的切削液一并清洗，因此该类金属碎屑含有切削液，根据</w:t>
            </w:r>
            <w:r>
              <w:rPr>
                <w:rFonts w:hint="default" w:ascii="Times New Roman" w:hAnsi="Times New Roman" w:eastAsia="宋体" w:cs="Times New Roman"/>
                <w:b w:val="0"/>
                <w:bCs/>
                <w:color w:val="auto"/>
                <w:spacing w:val="0"/>
                <w:sz w:val="24"/>
                <w:u w:val="none" w:color="auto"/>
                <w:lang w:val="en-US" w:eastAsia="zh-CN"/>
              </w:rPr>
              <w:t>《国家危险废物名录（2025版）》其属于危险固废，类别为</w:t>
            </w:r>
            <w:r>
              <w:rPr>
                <w:rFonts w:hint="default" w:ascii="Times New Roman" w:hAnsi="Times New Roman" w:eastAsia="宋体" w:cs="Times New Roman"/>
                <w:color w:val="auto"/>
                <w:sz w:val="24"/>
                <w:u w:val="none" w:color="auto"/>
              </w:rPr>
              <w:t>HW</w:t>
            </w:r>
            <w:r>
              <w:rPr>
                <w:rFonts w:hint="default" w:ascii="Times New Roman" w:hAnsi="Times New Roman" w:eastAsia="宋体" w:cs="Times New Roman"/>
                <w:color w:val="auto"/>
                <w:sz w:val="24"/>
                <w:u w:val="none" w:color="auto"/>
                <w:lang w:val="en-US" w:eastAsia="zh-CN"/>
              </w:rPr>
              <w:t>09</w:t>
            </w:r>
            <w:r>
              <w:rPr>
                <w:rFonts w:hint="default" w:ascii="Times New Roman" w:hAnsi="Times New Roman" w:eastAsia="宋体" w:cs="Times New Roman"/>
                <w:color w:val="auto"/>
                <w:sz w:val="24"/>
                <w:u w:val="none" w:color="auto"/>
              </w:rPr>
              <w:t>，废物代码为“900-006-09”</w:t>
            </w:r>
            <w:r>
              <w:rPr>
                <w:rFonts w:hint="default" w:ascii="Times New Roman" w:hAnsi="Times New Roman" w:eastAsia="宋体" w:cs="Times New Roman"/>
                <w:b w:val="0"/>
                <w:bCs/>
                <w:color w:val="auto"/>
                <w:spacing w:val="0"/>
                <w:sz w:val="24"/>
                <w:u w:val="none" w:color="auto"/>
                <w:lang w:val="en-US" w:eastAsia="zh-CN"/>
              </w:rPr>
              <w:t>收集暂存后委托有资质单位进行安全处置。另根据“附录 危险废物豁免管理清单”中序号9描述，该类金属碎屑经压榨、压滤、过滤或者离心等除油达到静置无滴漏后打包或者压块，符合生态环境相关标准要求，作为生产原料用于金属冶炼，其利用过程可豁免（暂存、运输仍需依据危废管理），因此金属碎屑</w:t>
            </w:r>
            <w:r>
              <w:rPr>
                <w:rFonts w:hint="eastAsia" w:cs="Times New Roman"/>
                <w:b w:val="0"/>
                <w:bCs/>
                <w:color w:val="auto"/>
                <w:spacing w:val="0"/>
                <w:sz w:val="24"/>
                <w:u w:val="none" w:color="auto"/>
                <w:lang w:val="en-US" w:eastAsia="zh-CN"/>
              </w:rPr>
              <w:t>经过</w:t>
            </w:r>
            <w:r>
              <w:rPr>
                <w:rFonts w:hint="default" w:ascii="Times New Roman" w:hAnsi="Times New Roman" w:eastAsia="宋体" w:cs="Times New Roman"/>
                <w:b w:val="0"/>
                <w:bCs/>
                <w:color w:val="auto"/>
                <w:spacing w:val="0"/>
                <w:sz w:val="24"/>
                <w:u w:val="none" w:color="auto"/>
                <w:lang w:val="en-US" w:eastAsia="zh-CN"/>
              </w:rPr>
              <w:t>压榨、压滤、过滤或者离心等除油达到静置无滴漏后打包或者压块，符合生态环境相关标准要求后，外售相关综合利用单位。</w:t>
            </w:r>
          </w:p>
          <w:p w14:paraId="012B5EBE">
            <w:pPr>
              <w:spacing w:line="360" w:lineRule="auto"/>
              <w:ind w:firstLine="482" w:firstLineChars="200"/>
              <w:rPr>
                <w:rFonts w:hint="default" w:ascii="Times New Roman" w:hAnsi="Times New Roman" w:eastAsia="宋体" w:cs="Times New Roman"/>
                <w:b/>
                <w:bCs w:val="0"/>
                <w:color w:val="auto"/>
                <w:spacing w:val="0"/>
                <w:sz w:val="24"/>
                <w:highlight w:val="none"/>
                <w:u w:val="none" w:color="auto"/>
                <w:lang w:val="en-US" w:eastAsia="zh-CN"/>
              </w:rPr>
            </w:pPr>
            <w:r>
              <w:rPr>
                <w:rFonts w:hint="default" w:ascii="Times New Roman" w:hAnsi="Times New Roman" w:eastAsia="宋体" w:cs="Times New Roman"/>
                <w:b/>
                <w:bCs w:val="0"/>
                <w:color w:val="auto"/>
                <w:spacing w:val="0"/>
                <w:sz w:val="24"/>
                <w:highlight w:val="none"/>
                <w:u w:val="none" w:color="auto"/>
                <w:lang w:val="en-US" w:eastAsia="zh-CN"/>
              </w:rPr>
              <w:t>（4）废浸渗液桶</w:t>
            </w:r>
          </w:p>
          <w:p w14:paraId="4A0C56D3">
            <w:pPr>
              <w:spacing w:line="360" w:lineRule="auto"/>
              <w:ind w:firstLine="480" w:firstLineChars="200"/>
              <w:rPr>
                <w:rFonts w:hint="default" w:ascii="Times New Roman" w:hAnsi="Times New Roman" w:eastAsia="宋体" w:cs="Times New Roman"/>
                <w:b/>
                <w:bCs w:val="0"/>
                <w:color w:val="auto"/>
                <w:spacing w:val="0"/>
                <w:sz w:val="24"/>
                <w:highlight w:val="none"/>
                <w:u w:val="none" w:color="auto"/>
                <w:lang w:val="en-US" w:eastAsia="zh-CN"/>
              </w:rPr>
            </w:pPr>
            <w:r>
              <w:rPr>
                <w:rFonts w:hint="default" w:ascii="Times New Roman" w:hAnsi="Times New Roman" w:eastAsia="宋体" w:cs="Times New Roman"/>
                <w:color w:val="auto"/>
                <w:sz w:val="24"/>
                <w:u w:val="none" w:color="auto"/>
                <w:lang w:val="en-US" w:eastAsia="zh-CN"/>
              </w:rPr>
              <w:t>本项目</w:t>
            </w:r>
            <w:r>
              <w:rPr>
                <w:rFonts w:hint="default" w:ascii="Times New Roman" w:hAnsi="Times New Roman" w:eastAsia="宋体" w:cs="Times New Roman"/>
                <w:color w:val="auto"/>
                <w:sz w:val="24"/>
                <w:u w:val="none" w:color="auto"/>
              </w:rPr>
              <w:t>浸渗液桶装</w:t>
            </w:r>
            <w:r>
              <w:rPr>
                <w:rFonts w:hint="default" w:ascii="Times New Roman" w:hAnsi="Times New Roman" w:eastAsia="宋体" w:cs="Times New Roman"/>
                <w:color w:val="auto"/>
                <w:sz w:val="24"/>
                <w:u w:val="none" w:color="auto"/>
                <w:lang w:val="en-US" w:eastAsia="zh-CN"/>
              </w:rPr>
              <w:t>规格为25kg/桶，预计产生18</w:t>
            </w:r>
            <w:r>
              <w:rPr>
                <w:rFonts w:hint="default" w:ascii="Times New Roman" w:hAnsi="Times New Roman" w:eastAsia="宋体" w:cs="Times New Roman"/>
                <w:color w:val="auto"/>
                <w:sz w:val="24"/>
                <w:u w:val="none" w:color="auto"/>
              </w:rPr>
              <w:t>个</w:t>
            </w:r>
            <w:r>
              <w:rPr>
                <w:rFonts w:hint="default" w:ascii="Times New Roman" w:hAnsi="Times New Roman" w:eastAsia="宋体" w:cs="Times New Roman"/>
                <w:color w:val="auto"/>
                <w:sz w:val="24"/>
                <w:u w:val="none" w:color="auto"/>
                <w:lang w:val="en-US" w:eastAsia="zh-CN"/>
              </w:rPr>
              <w:t>空</w:t>
            </w:r>
            <w:r>
              <w:rPr>
                <w:rFonts w:hint="default" w:ascii="Times New Roman" w:hAnsi="Times New Roman" w:eastAsia="宋体" w:cs="Times New Roman"/>
                <w:color w:val="auto"/>
                <w:sz w:val="24"/>
                <w:u w:val="none" w:color="auto"/>
              </w:rPr>
              <w:t>桶</w:t>
            </w:r>
            <w:r>
              <w:rPr>
                <w:rFonts w:hint="default" w:ascii="Times New Roman" w:hAnsi="Times New Roman" w:eastAsia="宋体" w:cs="Times New Roman"/>
                <w:color w:val="auto"/>
                <w:sz w:val="24"/>
                <w:u w:val="none" w:color="auto"/>
                <w:lang w:eastAsia="zh-CN"/>
              </w:rPr>
              <w:t>（</w:t>
            </w:r>
            <w:r>
              <w:rPr>
                <w:rFonts w:hint="default" w:ascii="Times New Roman" w:hAnsi="Times New Roman" w:eastAsia="宋体" w:cs="Times New Roman"/>
                <w:color w:val="auto"/>
                <w:sz w:val="24"/>
                <w:u w:val="none" w:color="auto"/>
                <w:lang w:val="en-US" w:eastAsia="zh-CN"/>
              </w:rPr>
              <w:t>向上取整</w:t>
            </w:r>
            <w:r>
              <w:rPr>
                <w:rFonts w:hint="default" w:ascii="Times New Roman" w:hAnsi="Times New Roman" w:eastAsia="宋体" w:cs="Times New Roman"/>
                <w:color w:val="auto"/>
                <w:sz w:val="24"/>
                <w:u w:val="none" w:color="auto"/>
                <w:lang w:eastAsia="zh-CN"/>
              </w:rPr>
              <w:t>）</w:t>
            </w:r>
            <w:r>
              <w:rPr>
                <w:rFonts w:hint="default" w:ascii="Times New Roman" w:hAnsi="Times New Roman" w:eastAsia="宋体" w:cs="Times New Roman"/>
                <w:color w:val="auto"/>
                <w:sz w:val="24"/>
                <w:u w:val="none" w:color="auto"/>
              </w:rPr>
              <w:t>，按每个</w:t>
            </w:r>
            <w:r>
              <w:rPr>
                <w:rFonts w:hint="default" w:ascii="Times New Roman" w:hAnsi="Times New Roman" w:eastAsia="宋体" w:cs="Times New Roman"/>
                <w:color w:val="auto"/>
                <w:sz w:val="24"/>
                <w:u w:val="none" w:color="auto"/>
                <w:lang w:val="en-US" w:eastAsia="zh-CN"/>
              </w:rPr>
              <w:t>约1.5</w:t>
            </w:r>
            <w:r>
              <w:rPr>
                <w:rFonts w:hint="default" w:ascii="Times New Roman" w:hAnsi="Times New Roman" w:eastAsia="宋体" w:cs="Times New Roman"/>
                <w:color w:val="auto"/>
                <w:sz w:val="24"/>
                <w:u w:val="none" w:color="auto"/>
              </w:rPr>
              <w:t>kg计，则预计本项目废</w:t>
            </w:r>
            <w:r>
              <w:rPr>
                <w:rFonts w:hint="default" w:ascii="Times New Roman" w:hAnsi="Times New Roman" w:eastAsia="宋体" w:cs="Times New Roman"/>
                <w:color w:val="auto"/>
                <w:sz w:val="24"/>
                <w:u w:val="none" w:color="auto"/>
                <w:lang w:eastAsia="zh-CN"/>
              </w:rPr>
              <w:t>浸渗液</w:t>
            </w:r>
            <w:r>
              <w:rPr>
                <w:rFonts w:hint="default" w:ascii="Times New Roman" w:hAnsi="Times New Roman" w:eastAsia="宋体" w:cs="Times New Roman"/>
                <w:color w:val="auto"/>
                <w:sz w:val="24"/>
                <w:u w:val="none" w:color="auto"/>
              </w:rPr>
              <w:t>桶产生量为</w:t>
            </w:r>
            <w:r>
              <w:rPr>
                <w:rFonts w:hint="default" w:ascii="Times New Roman" w:hAnsi="Times New Roman" w:eastAsia="宋体" w:cs="Times New Roman"/>
                <w:color w:val="auto"/>
                <w:sz w:val="24"/>
                <w:u w:val="none" w:color="auto"/>
                <w:lang w:val="en-US" w:eastAsia="zh-CN"/>
              </w:rPr>
              <w:t>0.027</w:t>
            </w:r>
            <w:r>
              <w:rPr>
                <w:rFonts w:hint="default" w:ascii="Times New Roman" w:hAnsi="Times New Roman" w:eastAsia="宋体" w:cs="Times New Roman"/>
                <w:color w:val="auto"/>
                <w:sz w:val="24"/>
                <w:u w:val="none" w:color="auto"/>
              </w:rPr>
              <w:t>t/a</w:t>
            </w:r>
            <w:r>
              <w:rPr>
                <w:rFonts w:hint="default" w:ascii="Times New Roman" w:hAnsi="Times New Roman" w:eastAsia="宋体" w:cs="Times New Roman"/>
                <w:color w:val="auto"/>
                <w:sz w:val="24"/>
                <w:u w:val="none" w:color="auto"/>
                <w:lang w:eastAsia="zh-CN"/>
              </w:rPr>
              <w:t>。废浸渗液桶</w:t>
            </w:r>
            <w:r>
              <w:rPr>
                <w:rFonts w:hint="default" w:ascii="Times New Roman" w:hAnsi="Times New Roman" w:eastAsia="宋体" w:cs="Times New Roman"/>
                <w:color w:val="auto"/>
                <w:sz w:val="24"/>
                <w:u w:val="none" w:color="auto"/>
                <w:lang w:val="en-US" w:eastAsia="zh-CN"/>
              </w:rPr>
              <w:t>内残留有废浸渗液（残留液体具有毒性），</w:t>
            </w:r>
            <w:r>
              <w:rPr>
                <w:rFonts w:hint="default" w:ascii="Times New Roman" w:hAnsi="Times New Roman" w:eastAsia="宋体" w:cs="Times New Roman"/>
                <w:b w:val="0"/>
                <w:bCs/>
                <w:color w:val="auto"/>
                <w:spacing w:val="0"/>
                <w:sz w:val="24"/>
                <w:u w:val="none" w:color="auto"/>
                <w:lang w:val="en-US" w:eastAsia="zh-CN"/>
              </w:rPr>
              <w:t>根据《国家危险废物名录（2025版）》其属于危险固废，</w:t>
            </w:r>
            <w:r>
              <w:rPr>
                <w:rFonts w:hint="default" w:ascii="Times New Roman" w:hAnsi="Times New Roman" w:eastAsia="宋体" w:cs="Times New Roman"/>
                <w:color w:val="auto"/>
                <w:sz w:val="24"/>
                <w:u w:val="none" w:color="auto"/>
              </w:rPr>
              <w:t>废</w:t>
            </w:r>
            <w:r>
              <w:rPr>
                <w:rFonts w:hint="default" w:ascii="Times New Roman" w:hAnsi="Times New Roman" w:eastAsia="宋体" w:cs="Times New Roman"/>
                <w:color w:val="auto"/>
                <w:sz w:val="24"/>
                <w:u w:val="none" w:color="auto"/>
                <w:lang w:eastAsia="zh-CN"/>
              </w:rPr>
              <w:t>浸渗液</w:t>
            </w:r>
            <w:r>
              <w:rPr>
                <w:rFonts w:hint="default" w:ascii="Times New Roman" w:hAnsi="Times New Roman" w:eastAsia="宋体" w:cs="Times New Roman"/>
                <w:color w:val="auto"/>
                <w:sz w:val="24"/>
                <w:u w:val="none" w:color="auto"/>
              </w:rPr>
              <w:t>桶</w:t>
            </w:r>
            <w:r>
              <w:rPr>
                <w:rFonts w:hint="default" w:ascii="Times New Roman" w:hAnsi="Times New Roman" w:eastAsia="宋体" w:cs="Times New Roman"/>
                <w:b w:val="0"/>
                <w:bCs/>
                <w:color w:val="auto"/>
                <w:spacing w:val="0"/>
                <w:sz w:val="24"/>
                <w:u w:val="none" w:color="auto"/>
                <w:lang w:val="en-US" w:eastAsia="zh-CN"/>
              </w:rPr>
              <w:t>类别为</w:t>
            </w:r>
            <w:r>
              <w:rPr>
                <w:rFonts w:hint="default" w:ascii="Times New Roman" w:hAnsi="Times New Roman" w:eastAsia="宋体" w:cs="Times New Roman"/>
                <w:color w:val="auto"/>
                <w:sz w:val="24"/>
                <w:u w:val="none" w:color="auto"/>
              </w:rPr>
              <w:t>HW49，废物代码为“900-041-49”</w:t>
            </w:r>
            <w:r>
              <w:rPr>
                <w:rFonts w:hint="default" w:ascii="Times New Roman" w:hAnsi="Times New Roman" w:eastAsia="宋体" w:cs="Times New Roman"/>
                <w:b w:val="0"/>
                <w:bCs/>
                <w:color w:val="auto"/>
                <w:spacing w:val="0"/>
                <w:sz w:val="24"/>
                <w:u w:val="none" w:color="auto"/>
                <w:lang w:val="en-US" w:eastAsia="zh-CN"/>
              </w:rPr>
              <w:t>收集暂存后委托有资质单位进行安全处置。</w:t>
            </w:r>
          </w:p>
          <w:p w14:paraId="7AF49087">
            <w:pPr>
              <w:spacing w:line="360" w:lineRule="auto"/>
              <w:ind w:firstLine="482" w:firstLineChars="200"/>
              <w:rPr>
                <w:rFonts w:hint="default" w:ascii="Times New Roman" w:hAnsi="Times New Roman" w:eastAsia="宋体" w:cs="Times New Roman"/>
                <w:b/>
                <w:bCs w:val="0"/>
                <w:color w:val="auto"/>
                <w:spacing w:val="0"/>
                <w:sz w:val="24"/>
                <w:highlight w:val="none"/>
                <w:u w:val="none" w:color="auto"/>
                <w:lang w:val="en-US" w:eastAsia="zh-CN"/>
              </w:rPr>
            </w:pPr>
            <w:r>
              <w:rPr>
                <w:rFonts w:hint="default" w:ascii="Times New Roman" w:hAnsi="Times New Roman" w:eastAsia="宋体" w:cs="Times New Roman"/>
                <w:b/>
                <w:bCs w:val="0"/>
                <w:color w:val="auto"/>
                <w:spacing w:val="0"/>
                <w:sz w:val="24"/>
                <w:highlight w:val="none"/>
                <w:u w:val="none" w:color="auto"/>
                <w:lang w:val="en-US" w:eastAsia="zh-CN"/>
              </w:rPr>
              <w:t>（5）废清洗剂桶</w:t>
            </w:r>
          </w:p>
          <w:p w14:paraId="154A54D9">
            <w:pPr>
              <w:spacing w:line="360" w:lineRule="auto"/>
              <w:ind w:firstLine="480" w:firstLineChars="200"/>
              <w:rPr>
                <w:rFonts w:hint="default" w:ascii="Times New Roman" w:hAnsi="Times New Roman" w:eastAsia="宋体" w:cs="Times New Roman"/>
                <w:color w:val="auto"/>
                <w:sz w:val="24"/>
                <w:u w:val="none" w:color="auto"/>
                <w:lang w:val="en-US" w:eastAsia="zh-CN"/>
              </w:rPr>
            </w:pPr>
            <w:r>
              <w:rPr>
                <w:rFonts w:hint="default" w:ascii="Times New Roman" w:hAnsi="Times New Roman" w:eastAsia="宋体" w:cs="Times New Roman"/>
                <w:color w:val="auto"/>
                <w:sz w:val="24"/>
                <w:u w:val="none" w:color="auto"/>
                <w:lang w:val="en-US" w:eastAsia="zh-CN"/>
              </w:rPr>
              <w:t>本项目</w:t>
            </w:r>
            <w:r>
              <w:rPr>
                <w:rFonts w:hint="default" w:ascii="Times New Roman" w:hAnsi="Times New Roman" w:eastAsia="宋体" w:cs="Times New Roman"/>
                <w:color w:val="auto"/>
                <w:sz w:val="24"/>
                <w:u w:val="none" w:color="auto"/>
                <w:lang w:eastAsia="zh-CN"/>
              </w:rPr>
              <w:t>清洗剂</w:t>
            </w:r>
            <w:r>
              <w:rPr>
                <w:rFonts w:hint="default" w:ascii="Times New Roman" w:hAnsi="Times New Roman" w:eastAsia="宋体" w:cs="Times New Roman"/>
                <w:color w:val="auto"/>
                <w:sz w:val="24"/>
                <w:u w:val="none" w:color="auto"/>
              </w:rPr>
              <w:t>桶装</w:t>
            </w:r>
            <w:r>
              <w:rPr>
                <w:rFonts w:hint="default" w:ascii="Times New Roman" w:hAnsi="Times New Roman" w:eastAsia="宋体" w:cs="Times New Roman"/>
                <w:color w:val="auto"/>
                <w:sz w:val="24"/>
                <w:u w:val="none" w:color="auto"/>
                <w:lang w:val="en-US" w:eastAsia="zh-CN"/>
              </w:rPr>
              <w:t>规格为25kg/桶，预计产生1000</w:t>
            </w:r>
            <w:r>
              <w:rPr>
                <w:rFonts w:hint="default" w:ascii="Times New Roman" w:hAnsi="Times New Roman" w:eastAsia="宋体" w:cs="Times New Roman"/>
                <w:color w:val="auto"/>
                <w:sz w:val="24"/>
                <w:u w:val="none" w:color="auto"/>
              </w:rPr>
              <w:t>个</w:t>
            </w:r>
            <w:r>
              <w:rPr>
                <w:rFonts w:hint="default" w:ascii="Times New Roman" w:hAnsi="Times New Roman" w:eastAsia="宋体" w:cs="Times New Roman"/>
                <w:color w:val="auto"/>
                <w:sz w:val="24"/>
                <w:u w:val="none" w:color="auto"/>
                <w:lang w:val="en-US" w:eastAsia="zh-CN"/>
              </w:rPr>
              <w:t>空</w:t>
            </w:r>
            <w:r>
              <w:rPr>
                <w:rFonts w:hint="default" w:ascii="Times New Roman" w:hAnsi="Times New Roman" w:eastAsia="宋体" w:cs="Times New Roman"/>
                <w:color w:val="auto"/>
                <w:sz w:val="24"/>
                <w:u w:val="none" w:color="auto"/>
              </w:rPr>
              <w:t>桶，按每个</w:t>
            </w:r>
            <w:r>
              <w:rPr>
                <w:rFonts w:hint="default" w:ascii="Times New Roman" w:hAnsi="Times New Roman" w:eastAsia="宋体" w:cs="Times New Roman"/>
                <w:color w:val="auto"/>
                <w:sz w:val="24"/>
                <w:u w:val="none" w:color="auto"/>
                <w:lang w:val="en-US" w:eastAsia="zh-CN"/>
              </w:rPr>
              <w:t>约1.5</w:t>
            </w:r>
            <w:r>
              <w:rPr>
                <w:rFonts w:hint="default" w:ascii="Times New Roman" w:hAnsi="Times New Roman" w:eastAsia="宋体" w:cs="Times New Roman"/>
                <w:color w:val="auto"/>
                <w:sz w:val="24"/>
                <w:u w:val="none" w:color="auto"/>
              </w:rPr>
              <w:t>kg计，则预计本项目废</w:t>
            </w:r>
            <w:r>
              <w:rPr>
                <w:rFonts w:hint="default" w:ascii="Times New Roman" w:hAnsi="Times New Roman" w:eastAsia="宋体" w:cs="Times New Roman"/>
                <w:color w:val="auto"/>
                <w:sz w:val="24"/>
                <w:u w:val="none" w:color="auto"/>
                <w:lang w:eastAsia="zh-CN"/>
              </w:rPr>
              <w:t>清洗剂</w:t>
            </w:r>
            <w:r>
              <w:rPr>
                <w:rFonts w:hint="default" w:ascii="Times New Roman" w:hAnsi="Times New Roman" w:eastAsia="宋体" w:cs="Times New Roman"/>
                <w:color w:val="auto"/>
                <w:sz w:val="24"/>
                <w:u w:val="none" w:color="auto"/>
              </w:rPr>
              <w:t>桶产生量为</w:t>
            </w:r>
            <w:r>
              <w:rPr>
                <w:rFonts w:hint="default" w:ascii="Times New Roman" w:hAnsi="Times New Roman" w:eastAsia="宋体" w:cs="Times New Roman"/>
                <w:color w:val="auto"/>
                <w:sz w:val="24"/>
                <w:u w:val="none" w:color="auto"/>
                <w:lang w:val="en-US" w:eastAsia="zh-CN"/>
              </w:rPr>
              <w:t>1.5</w:t>
            </w:r>
            <w:r>
              <w:rPr>
                <w:rFonts w:hint="default" w:ascii="Times New Roman" w:hAnsi="Times New Roman" w:eastAsia="宋体" w:cs="Times New Roman"/>
                <w:color w:val="auto"/>
                <w:sz w:val="24"/>
                <w:u w:val="none" w:color="auto"/>
              </w:rPr>
              <w:t>t/a</w:t>
            </w:r>
            <w:r>
              <w:rPr>
                <w:rFonts w:hint="default" w:ascii="Times New Roman" w:hAnsi="Times New Roman" w:eastAsia="宋体" w:cs="Times New Roman"/>
                <w:color w:val="auto"/>
                <w:sz w:val="24"/>
                <w:u w:val="none" w:color="auto"/>
                <w:lang w:eastAsia="zh-CN"/>
              </w:rPr>
              <w:t>。废清洗剂桶</w:t>
            </w:r>
            <w:r>
              <w:rPr>
                <w:rFonts w:hint="default" w:ascii="Times New Roman" w:hAnsi="Times New Roman" w:eastAsia="宋体" w:cs="Times New Roman"/>
                <w:color w:val="auto"/>
                <w:sz w:val="24"/>
                <w:u w:val="none" w:color="auto"/>
                <w:lang w:val="en-US" w:eastAsia="zh-CN"/>
              </w:rPr>
              <w:t>内残留有</w:t>
            </w:r>
            <w:r>
              <w:rPr>
                <w:rFonts w:hint="default" w:ascii="Times New Roman" w:hAnsi="Times New Roman" w:eastAsia="宋体" w:cs="Times New Roman"/>
                <w:color w:val="auto"/>
                <w:sz w:val="24"/>
                <w:u w:val="none" w:color="auto"/>
                <w:lang w:eastAsia="zh-CN"/>
              </w:rPr>
              <w:t>废清洗剂（废清洗剂</w:t>
            </w:r>
            <w:r>
              <w:rPr>
                <w:rFonts w:hint="default" w:ascii="Times New Roman" w:hAnsi="Times New Roman" w:eastAsia="宋体" w:cs="Times New Roman"/>
                <w:color w:val="auto"/>
                <w:sz w:val="24"/>
                <w:u w:val="none" w:color="auto"/>
                <w:lang w:val="en-US" w:eastAsia="zh-CN"/>
              </w:rPr>
              <w:t>属于工业生产中作为清洗剂的废弃溶剂</w:t>
            </w:r>
            <w:r>
              <w:rPr>
                <w:rFonts w:hint="default" w:ascii="Times New Roman" w:hAnsi="Times New Roman" w:eastAsia="宋体" w:cs="Times New Roman"/>
                <w:color w:val="auto"/>
                <w:sz w:val="24"/>
                <w:u w:val="none" w:color="auto"/>
                <w:lang w:eastAsia="zh-CN"/>
              </w:rPr>
              <w:t>）。</w:t>
            </w:r>
            <w:r>
              <w:rPr>
                <w:rFonts w:hint="default" w:ascii="Times New Roman" w:hAnsi="Times New Roman" w:eastAsia="宋体" w:cs="Times New Roman"/>
                <w:b w:val="0"/>
                <w:bCs/>
                <w:color w:val="auto"/>
                <w:spacing w:val="0"/>
                <w:sz w:val="24"/>
                <w:u w:val="none" w:color="auto"/>
                <w:lang w:val="en-US" w:eastAsia="zh-CN"/>
              </w:rPr>
              <w:t>根据《国家危险废物名录（2025版）》其属于危险固废，</w:t>
            </w:r>
            <w:r>
              <w:rPr>
                <w:rFonts w:hint="default" w:ascii="Times New Roman" w:hAnsi="Times New Roman" w:eastAsia="宋体" w:cs="Times New Roman"/>
                <w:color w:val="auto"/>
                <w:sz w:val="24"/>
                <w:u w:val="none" w:color="auto"/>
                <w:lang w:eastAsia="zh-CN"/>
              </w:rPr>
              <w:t>废清洗剂桶</w:t>
            </w:r>
            <w:r>
              <w:rPr>
                <w:rFonts w:hint="default" w:ascii="Times New Roman" w:hAnsi="Times New Roman" w:eastAsia="宋体" w:cs="Times New Roman"/>
                <w:b w:val="0"/>
                <w:bCs/>
                <w:color w:val="auto"/>
                <w:spacing w:val="0"/>
                <w:sz w:val="24"/>
                <w:u w:val="none" w:color="auto"/>
                <w:lang w:val="en-US" w:eastAsia="zh-CN"/>
              </w:rPr>
              <w:t>类别为</w:t>
            </w:r>
            <w:r>
              <w:rPr>
                <w:rFonts w:hint="default" w:ascii="Times New Roman" w:hAnsi="Times New Roman" w:eastAsia="宋体" w:cs="Times New Roman"/>
                <w:color w:val="auto"/>
                <w:sz w:val="24"/>
                <w:u w:val="none" w:color="auto"/>
              </w:rPr>
              <w:t>HW49，废物代码为“900-041-49”</w:t>
            </w:r>
            <w:r>
              <w:rPr>
                <w:rFonts w:hint="default" w:ascii="Times New Roman" w:hAnsi="Times New Roman" w:eastAsia="宋体" w:cs="Times New Roman"/>
                <w:b w:val="0"/>
                <w:bCs/>
                <w:color w:val="auto"/>
                <w:spacing w:val="0"/>
                <w:sz w:val="24"/>
                <w:u w:val="none" w:color="auto"/>
                <w:lang w:val="en-US" w:eastAsia="zh-CN"/>
              </w:rPr>
              <w:t>，收集暂存后委托有资质单位进行安全处置。</w:t>
            </w:r>
          </w:p>
          <w:p w14:paraId="4D90EF23">
            <w:pPr>
              <w:spacing w:line="360" w:lineRule="auto"/>
              <w:ind w:firstLine="482" w:firstLineChars="200"/>
              <w:rPr>
                <w:rFonts w:hint="default" w:ascii="Times New Roman" w:hAnsi="Times New Roman" w:eastAsia="宋体" w:cs="Times New Roman"/>
                <w:b/>
                <w:bCs w:val="0"/>
                <w:color w:val="auto"/>
                <w:spacing w:val="0"/>
                <w:sz w:val="24"/>
                <w:highlight w:val="none"/>
                <w:u w:val="none" w:color="auto"/>
                <w:lang w:val="en-US" w:eastAsia="zh-CN"/>
              </w:rPr>
            </w:pPr>
            <w:r>
              <w:rPr>
                <w:rFonts w:hint="default" w:ascii="Times New Roman" w:hAnsi="Times New Roman" w:eastAsia="宋体" w:cs="Times New Roman"/>
                <w:b/>
                <w:bCs w:val="0"/>
                <w:color w:val="auto"/>
                <w:spacing w:val="0"/>
                <w:sz w:val="24"/>
                <w:highlight w:val="none"/>
                <w:u w:val="none" w:color="auto"/>
                <w:lang w:val="en-US" w:eastAsia="zh-CN"/>
              </w:rPr>
              <w:t>（6）废润滑油</w:t>
            </w:r>
          </w:p>
          <w:p w14:paraId="51B63910">
            <w:pPr>
              <w:spacing w:line="360" w:lineRule="auto"/>
              <w:ind w:firstLine="480" w:firstLineChars="200"/>
              <w:rPr>
                <w:rFonts w:hint="default" w:ascii="Times New Roman" w:hAnsi="Times New Roman" w:eastAsia="宋体" w:cs="Times New Roman"/>
                <w:b w:val="0"/>
                <w:bCs/>
                <w:color w:val="auto"/>
                <w:spacing w:val="0"/>
                <w:sz w:val="24"/>
                <w:u w:val="none" w:color="auto"/>
                <w:lang w:val="en-US" w:eastAsia="zh-CN"/>
              </w:rPr>
            </w:pPr>
            <w:r>
              <w:rPr>
                <w:rFonts w:hint="default" w:ascii="Times New Roman" w:hAnsi="Times New Roman" w:eastAsia="宋体" w:cs="Times New Roman"/>
                <w:b w:val="0"/>
                <w:bCs/>
                <w:color w:val="auto"/>
                <w:spacing w:val="0"/>
                <w:sz w:val="24"/>
                <w:u w:val="none" w:color="auto"/>
                <w:lang w:val="en-US" w:eastAsia="zh-CN"/>
              </w:rPr>
              <w:t>机械加工设备使用一段时间后需更换</w:t>
            </w:r>
            <w:r>
              <w:rPr>
                <w:rFonts w:hint="default" w:ascii="Times New Roman" w:hAnsi="Times New Roman" w:eastAsia="宋体" w:cs="Times New Roman"/>
                <w:b w:val="0"/>
                <w:bCs/>
                <w:color w:val="auto"/>
                <w:spacing w:val="0"/>
                <w:sz w:val="24"/>
                <w:highlight w:val="none"/>
                <w:u w:val="none" w:color="auto"/>
                <w:lang w:val="en-US" w:eastAsia="zh-CN"/>
              </w:rPr>
              <w:t>润滑油</w:t>
            </w:r>
            <w:r>
              <w:rPr>
                <w:rFonts w:hint="default" w:ascii="Times New Roman" w:hAnsi="Times New Roman" w:eastAsia="宋体" w:cs="Times New Roman"/>
                <w:b w:val="0"/>
                <w:bCs/>
                <w:color w:val="auto"/>
                <w:spacing w:val="0"/>
                <w:sz w:val="24"/>
                <w:u w:val="none" w:color="auto"/>
                <w:lang w:val="en-US" w:eastAsia="zh-CN"/>
              </w:rPr>
              <w:t>，届时会产生一定量的废</w:t>
            </w:r>
            <w:r>
              <w:rPr>
                <w:rFonts w:hint="default" w:ascii="Times New Roman" w:hAnsi="Times New Roman" w:eastAsia="宋体" w:cs="Times New Roman"/>
                <w:b w:val="0"/>
                <w:bCs/>
                <w:color w:val="auto"/>
                <w:spacing w:val="0"/>
                <w:sz w:val="24"/>
                <w:highlight w:val="none"/>
                <w:u w:val="none" w:color="auto"/>
                <w:lang w:val="en-US" w:eastAsia="zh-CN"/>
              </w:rPr>
              <w:t>润滑油</w:t>
            </w:r>
            <w:r>
              <w:rPr>
                <w:rFonts w:hint="default" w:ascii="Times New Roman" w:hAnsi="Times New Roman" w:eastAsia="宋体" w:cs="Times New Roman"/>
                <w:b w:val="0"/>
                <w:bCs/>
                <w:color w:val="auto"/>
                <w:spacing w:val="0"/>
                <w:sz w:val="24"/>
                <w:u w:val="none" w:color="auto"/>
                <w:lang w:val="en-US" w:eastAsia="zh-CN"/>
              </w:rPr>
              <w:t>，根据建设单位提供的经验系数，按使用量的10%计，预计产生废</w:t>
            </w:r>
            <w:r>
              <w:rPr>
                <w:rFonts w:hint="default" w:ascii="Times New Roman" w:hAnsi="Times New Roman" w:eastAsia="宋体" w:cs="Times New Roman"/>
                <w:b w:val="0"/>
                <w:bCs/>
                <w:color w:val="auto"/>
                <w:spacing w:val="0"/>
                <w:sz w:val="24"/>
                <w:highlight w:val="none"/>
                <w:u w:val="none" w:color="auto"/>
                <w:lang w:val="en-US" w:eastAsia="zh-CN"/>
              </w:rPr>
              <w:t>润滑油分别</w:t>
            </w:r>
            <w:r>
              <w:rPr>
                <w:rFonts w:hint="default" w:ascii="Times New Roman" w:hAnsi="Times New Roman" w:eastAsia="宋体" w:cs="Times New Roman"/>
                <w:b w:val="0"/>
                <w:bCs/>
                <w:color w:val="auto"/>
                <w:spacing w:val="0"/>
                <w:sz w:val="24"/>
                <w:u w:val="none" w:color="auto"/>
                <w:lang w:val="en-US" w:eastAsia="zh-CN"/>
              </w:rPr>
              <w:t>约为0.25t/a。根据《国家危险废物名录（2025版）》其属于危险固废，废润滑油类别为HW08，废物代码为“900-217-08”，收集暂存后委托有资质单位进行安全处置。</w:t>
            </w:r>
          </w:p>
          <w:p w14:paraId="11E45E7C">
            <w:pPr>
              <w:spacing w:line="360" w:lineRule="auto"/>
              <w:ind w:firstLine="482" w:firstLineChars="200"/>
              <w:rPr>
                <w:rFonts w:hint="default" w:ascii="Times New Roman" w:hAnsi="Times New Roman" w:eastAsia="宋体" w:cs="Times New Roman"/>
                <w:b/>
                <w:bCs w:val="0"/>
                <w:color w:val="auto"/>
                <w:spacing w:val="0"/>
                <w:sz w:val="24"/>
                <w:highlight w:val="none"/>
                <w:u w:val="none" w:color="auto"/>
                <w:lang w:val="en-US" w:eastAsia="zh-CN"/>
              </w:rPr>
            </w:pPr>
            <w:r>
              <w:rPr>
                <w:rFonts w:hint="default" w:ascii="Times New Roman" w:hAnsi="Times New Roman" w:eastAsia="宋体" w:cs="Times New Roman"/>
                <w:b/>
                <w:bCs w:val="0"/>
                <w:color w:val="auto"/>
                <w:spacing w:val="0"/>
                <w:sz w:val="24"/>
                <w:highlight w:val="none"/>
                <w:u w:val="none" w:color="auto"/>
                <w:lang w:val="en-US" w:eastAsia="zh-CN"/>
              </w:rPr>
              <w:t>（7）废润滑油桶</w:t>
            </w:r>
          </w:p>
          <w:p w14:paraId="62D0971F">
            <w:pPr>
              <w:spacing w:line="360" w:lineRule="auto"/>
              <w:ind w:firstLine="480" w:firstLineChars="200"/>
              <w:rPr>
                <w:rFonts w:hint="default" w:ascii="Times New Roman" w:hAnsi="Times New Roman" w:eastAsia="宋体" w:cs="Times New Roman"/>
                <w:b/>
                <w:bCs w:val="0"/>
                <w:color w:val="auto"/>
                <w:spacing w:val="0"/>
                <w:sz w:val="24"/>
                <w:u w:val="none" w:color="auto"/>
                <w:lang w:val="en-US" w:eastAsia="zh-CN"/>
              </w:rPr>
            </w:pPr>
            <w:r>
              <w:rPr>
                <w:rFonts w:hint="default" w:ascii="Times New Roman" w:hAnsi="Times New Roman" w:eastAsia="宋体" w:cs="Times New Roman"/>
                <w:color w:val="auto"/>
                <w:sz w:val="24"/>
                <w:u w:val="none" w:color="auto"/>
              </w:rPr>
              <w:t>机械加工设备使用一段时间后需补充</w:t>
            </w:r>
            <w:r>
              <w:rPr>
                <w:rFonts w:hint="default" w:ascii="Times New Roman" w:hAnsi="Times New Roman" w:eastAsia="宋体" w:cs="Times New Roman"/>
                <w:color w:val="auto"/>
                <w:sz w:val="24"/>
                <w:u w:val="none" w:color="auto"/>
                <w:lang w:val="en-US" w:eastAsia="zh-CN"/>
              </w:rPr>
              <w:t>润滑油</w:t>
            </w:r>
            <w:r>
              <w:rPr>
                <w:rFonts w:hint="default" w:ascii="Times New Roman" w:hAnsi="Times New Roman" w:eastAsia="宋体" w:cs="Times New Roman"/>
                <w:color w:val="auto"/>
                <w:sz w:val="24"/>
                <w:u w:val="none" w:color="auto"/>
                <w:lang w:eastAsia="zh-CN"/>
              </w:rPr>
              <w:t>，</w:t>
            </w:r>
            <w:r>
              <w:rPr>
                <w:rFonts w:hint="default" w:ascii="Times New Roman" w:hAnsi="Times New Roman" w:eastAsia="宋体" w:cs="Times New Roman"/>
                <w:color w:val="auto"/>
                <w:sz w:val="24"/>
                <w:u w:val="none" w:color="auto"/>
                <w:lang w:val="en-US" w:eastAsia="zh-CN"/>
              </w:rPr>
              <w:t>润滑油</w:t>
            </w:r>
            <w:r>
              <w:rPr>
                <w:rFonts w:hint="default" w:ascii="Times New Roman" w:hAnsi="Times New Roman" w:eastAsia="宋体" w:cs="Times New Roman"/>
                <w:color w:val="auto"/>
                <w:sz w:val="24"/>
                <w:u w:val="none" w:color="auto"/>
              </w:rPr>
              <w:t>使用桶装，</w:t>
            </w:r>
            <w:r>
              <w:rPr>
                <w:rFonts w:hint="default" w:ascii="Times New Roman" w:hAnsi="Times New Roman" w:eastAsia="宋体" w:cs="Times New Roman"/>
                <w:color w:val="auto"/>
                <w:sz w:val="24"/>
                <w:u w:val="none" w:color="auto"/>
                <w:lang w:val="en-US" w:eastAsia="zh-CN"/>
              </w:rPr>
              <w:t>润滑油桶规格为200kg/桶，预计产生13</w:t>
            </w:r>
            <w:r>
              <w:rPr>
                <w:rFonts w:hint="default" w:ascii="Times New Roman" w:hAnsi="Times New Roman" w:eastAsia="宋体" w:cs="Times New Roman"/>
                <w:color w:val="auto"/>
                <w:sz w:val="24"/>
                <w:u w:val="none" w:color="auto"/>
              </w:rPr>
              <w:t>个废桶，按每个</w:t>
            </w:r>
            <w:r>
              <w:rPr>
                <w:rFonts w:hint="default" w:ascii="Times New Roman" w:hAnsi="Times New Roman" w:eastAsia="宋体" w:cs="Times New Roman"/>
                <w:color w:val="auto"/>
                <w:sz w:val="24"/>
                <w:u w:val="none" w:color="auto"/>
                <w:lang w:val="en-US" w:eastAsia="zh-CN"/>
              </w:rPr>
              <w:t>约</w:t>
            </w:r>
            <w:r>
              <w:rPr>
                <w:rFonts w:hint="default" w:ascii="Times New Roman" w:hAnsi="Times New Roman" w:eastAsia="宋体" w:cs="Times New Roman"/>
                <w:color w:val="auto"/>
                <w:sz w:val="24"/>
                <w:u w:val="none" w:color="auto"/>
              </w:rPr>
              <w:t>25kg计，则预计本项目废润滑油桶产生量为</w:t>
            </w:r>
            <w:r>
              <w:rPr>
                <w:rFonts w:hint="default" w:ascii="Times New Roman" w:hAnsi="Times New Roman" w:eastAsia="宋体" w:cs="Times New Roman"/>
                <w:color w:val="auto"/>
                <w:sz w:val="24"/>
                <w:u w:val="none" w:color="auto"/>
                <w:lang w:val="en-US" w:eastAsia="zh-CN"/>
              </w:rPr>
              <w:t>0.325</w:t>
            </w:r>
            <w:r>
              <w:rPr>
                <w:rFonts w:hint="default" w:ascii="Times New Roman" w:hAnsi="Times New Roman" w:eastAsia="宋体" w:cs="Times New Roman"/>
                <w:color w:val="auto"/>
                <w:sz w:val="24"/>
                <w:u w:val="none" w:color="auto"/>
              </w:rPr>
              <w:t>t/a</w:t>
            </w:r>
            <w:r>
              <w:rPr>
                <w:rFonts w:hint="default" w:ascii="Times New Roman" w:hAnsi="Times New Roman" w:eastAsia="宋体" w:cs="Times New Roman"/>
                <w:color w:val="auto"/>
                <w:sz w:val="24"/>
                <w:u w:val="none" w:color="auto"/>
                <w:lang w:val="en-US" w:eastAsia="zh-CN"/>
              </w:rPr>
              <w:t>。</w:t>
            </w:r>
            <w:r>
              <w:rPr>
                <w:rFonts w:hint="default" w:ascii="Times New Roman" w:hAnsi="Times New Roman" w:eastAsia="宋体" w:cs="Times New Roman"/>
                <w:color w:val="auto"/>
                <w:sz w:val="24"/>
                <w:u w:val="none" w:color="auto"/>
              </w:rPr>
              <w:t>根据《国家危险废物名录（2025版）》其属于危险固废，废物类别为HW49，废物代</w:t>
            </w:r>
            <w:r>
              <w:rPr>
                <w:rFonts w:hint="default" w:ascii="Times New Roman" w:hAnsi="Times New Roman" w:eastAsia="宋体" w:cs="Times New Roman"/>
                <w:color w:val="auto"/>
                <w:sz w:val="24"/>
                <w:highlight w:val="none"/>
                <w:u w:val="none" w:color="auto"/>
              </w:rPr>
              <w:t>码为“900-041-49”</w:t>
            </w:r>
            <w:r>
              <w:rPr>
                <w:rFonts w:hint="default" w:ascii="Times New Roman" w:hAnsi="Times New Roman" w:eastAsia="宋体" w:cs="Times New Roman"/>
                <w:color w:val="auto"/>
                <w:sz w:val="24"/>
                <w:u w:val="none" w:color="auto"/>
              </w:rPr>
              <w:t>，收集后委托有资质单位进行安全处置。</w:t>
            </w:r>
          </w:p>
          <w:p w14:paraId="1D7E42E0">
            <w:pPr>
              <w:spacing w:line="360" w:lineRule="auto"/>
              <w:ind w:firstLine="482" w:firstLineChars="200"/>
              <w:rPr>
                <w:rFonts w:hint="default" w:ascii="Times New Roman" w:hAnsi="Times New Roman" w:eastAsia="宋体" w:cs="Times New Roman"/>
                <w:b/>
                <w:bCs w:val="0"/>
                <w:color w:val="auto"/>
                <w:spacing w:val="0"/>
                <w:sz w:val="24"/>
                <w:u w:val="none" w:color="auto"/>
                <w:lang w:val="en-US" w:eastAsia="zh-CN"/>
              </w:rPr>
            </w:pPr>
            <w:r>
              <w:rPr>
                <w:rFonts w:hint="default" w:ascii="Times New Roman" w:hAnsi="Times New Roman" w:eastAsia="宋体" w:cs="Times New Roman"/>
                <w:b/>
                <w:bCs w:val="0"/>
                <w:color w:val="auto"/>
                <w:spacing w:val="0"/>
                <w:sz w:val="24"/>
                <w:u w:val="none" w:color="auto"/>
                <w:lang w:val="en-US" w:eastAsia="zh-CN"/>
              </w:rPr>
              <w:t>（8）含油抹布、手套等</w:t>
            </w:r>
          </w:p>
          <w:p w14:paraId="1DFB1BC9">
            <w:pPr>
              <w:spacing w:line="360" w:lineRule="auto"/>
              <w:ind w:firstLine="480" w:firstLineChars="200"/>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sz w:val="24"/>
                <w:u w:val="none" w:color="auto"/>
              </w:rPr>
              <w:t>机械加工设备使用一段时间后需维护，对于设备上多余的</w:t>
            </w:r>
            <w:r>
              <w:rPr>
                <w:rFonts w:hint="default" w:ascii="Times New Roman" w:hAnsi="Times New Roman" w:eastAsia="宋体" w:cs="Times New Roman"/>
                <w:color w:val="auto"/>
                <w:sz w:val="24"/>
                <w:u w:val="none" w:color="auto"/>
                <w:lang w:val="en-US" w:eastAsia="zh-CN"/>
              </w:rPr>
              <w:t>润滑油、机油</w:t>
            </w:r>
            <w:r>
              <w:rPr>
                <w:rFonts w:hint="eastAsia" w:cs="Times New Roman"/>
                <w:color w:val="auto"/>
                <w:sz w:val="24"/>
                <w:u w:val="none" w:color="auto"/>
                <w:lang w:val="en-US" w:eastAsia="zh-CN"/>
              </w:rPr>
              <w:t>等</w:t>
            </w:r>
            <w:r>
              <w:rPr>
                <w:rFonts w:hint="default" w:ascii="Times New Roman" w:hAnsi="Times New Roman" w:eastAsia="宋体" w:cs="Times New Roman"/>
                <w:color w:val="auto"/>
                <w:sz w:val="24"/>
                <w:u w:val="none" w:color="auto"/>
              </w:rPr>
              <w:t>用抹布擦拭掉，此过程产生含油废抹布，预计本项目含油废抹布产生量为0.</w:t>
            </w:r>
            <w:r>
              <w:rPr>
                <w:rFonts w:hint="default" w:ascii="Times New Roman" w:hAnsi="Times New Roman" w:eastAsia="宋体" w:cs="Times New Roman"/>
                <w:color w:val="auto"/>
                <w:sz w:val="24"/>
                <w:u w:val="none" w:color="auto"/>
                <w:lang w:val="en-US" w:eastAsia="zh-CN"/>
              </w:rPr>
              <w:t>15</w:t>
            </w:r>
            <w:r>
              <w:rPr>
                <w:rFonts w:hint="default" w:ascii="Times New Roman" w:hAnsi="Times New Roman" w:eastAsia="宋体" w:cs="Times New Roman"/>
                <w:color w:val="auto"/>
                <w:sz w:val="24"/>
                <w:u w:val="none" w:color="auto"/>
              </w:rPr>
              <w:t>t/a。根据《国家危险废物名录（2025版）》其属于危险固废，该类废物类别为HW49，废物代码为“900-041-49”。</w:t>
            </w:r>
          </w:p>
          <w:p w14:paraId="07220A7B">
            <w:pPr>
              <w:spacing w:line="360" w:lineRule="auto"/>
              <w:ind w:firstLine="482" w:firstLineChars="200"/>
              <w:rPr>
                <w:rFonts w:hint="default" w:ascii="Times New Roman" w:hAnsi="Times New Roman" w:eastAsia="宋体" w:cs="Times New Roman"/>
                <w:b/>
                <w:bCs/>
                <w:color w:val="auto"/>
                <w:spacing w:val="0"/>
                <w:sz w:val="24"/>
                <w:u w:val="none" w:color="auto"/>
              </w:rPr>
            </w:pPr>
            <w:r>
              <w:rPr>
                <w:rFonts w:hint="default" w:ascii="Times New Roman" w:hAnsi="Times New Roman" w:eastAsia="宋体" w:cs="Times New Roman"/>
                <w:b/>
                <w:bCs/>
                <w:color w:val="auto"/>
                <w:spacing w:val="0"/>
                <w:sz w:val="24"/>
                <w:u w:val="none" w:color="auto"/>
              </w:rPr>
              <w:t>3、生活垃圾</w:t>
            </w:r>
          </w:p>
          <w:p w14:paraId="321E7890">
            <w:pPr>
              <w:adjustRightInd w:val="0"/>
              <w:snapToGrid w:val="0"/>
              <w:spacing w:line="360" w:lineRule="auto"/>
              <w:ind w:firstLine="480" w:firstLineChars="200"/>
              <w:rPr>
                <w:rFonts w:hint="default" w:ascii="Times New Roman" w:hAnsi="Times New Roman" w:eastAsia="宋体" w:cs="Times New Roman"/>
                <w:color w:val="auto"/>
                <w:spacing w:val="0"/>
                <w:kern w:val="0"/>
                <w:sz w:val="24"/>
                <w:u w:val="none" w:color="auto"/>
              </w:rPr>
            </w:pPr>
            <w:r>
              <w:rPr>
                <w:rFonts w:hint="default" w:ascii="Times New Roman" w:hAnsi="Times New Roman" w:eastAsia="宋体" w:cs="Times New Roman"/>
                <w:color w:val="auto"/>
                <w:spacing w:val="0"/>
                <w:kern w:val="0"/>
                <w:sz w:val="24"/>
                <w:u w:val="none" w:color="auto"/>
              </w:rPr>
              <w:t>主要为员工工作产生的生活垃圾，其主要成分是废纸、布类、瓜果皮核、塑料等。临港高新产业园区劳动定员111人，厂区内办公生活按0.5kg/d·人计，则预计产生</w:t>
            </w:r>
            <w:r>
              <w:rPr>
                <w:rFonts w:hint="default" w:ascii="Times New Roman" w:hAnsi="Times New Roman" w:eastAsia="宋体" w:cs="Times New Roman"/>
                <w:color w:val="auto"/>
                <w:spacing w:val="0"/>
                <w:kern w:val="0"/>
                <w:sz w:val="24"/>
                <w:u w:val="none" w:color="auto"/>
                <w:lang w:val="en-US" w:eastAsia="zh-CN"/>
              </w:rPr>
              <w:t>16.65</w:t>
            </w:r>
            <w:r>
              <w:rPr>
                <w:rFonts w:hint="default" w:ascii="Times New Roman" w:hAnsi="Times New Roman" w:eastAsia="宋体" w:cs="Times New Roman"/>
                <w:color w:val="auto"/>
                <w:spacing w:val="0"/>
                <w:kern w:val="0"/>
                <w:sz w:val="24"/>
                <w:u w:val="none" w:color="auto"/>
              </w:rPr>
              <w:t>t/a，经分类收集统一存放到生活垃圾箱，由当地环卫部门统一清运。</w:t>
            </w:r>
          </w:p>
          <w:p w14:paraId="3A069FAE">
            <w:pPr>
              <w:adjustRightInd w:val="0"/>
              <w:snapToGrid w:val="0"/>
              <w:spacing w:line="360" w:lineRule="auto"/>
              <w:rPr>
                <w:rFonts w:hint="default" w:ascii="Times New Roman" w:hAnsi="Times New Roman" w:eastAsia="宋体" w:cs="Times New Roman"/>
                <w:b/>
                <w:bCs/>
                <w:color w:val="auto"/>
                <w:spacing w:val="0"/>
                <w:kern w:val="0"/>
                <w:sz w:val="24"/>
                <w:u w:val="none" w:color="auto"/>
                <w:lang w:val="en-US" w:eastAsia="zh-CN"/>
              </w:rPr>
            </w:pPr>
            <w:r>
              <w:rPr>
                <w:rFonts w:hint="default" w:ascii="Times New Roman" w:hAnsi="Times New Roman" w:eastAsia="宋体" w:cs="Times New Roman"/>
                <w:b/>
                <w:bCs/>
                <w:color w:val="auto"/>
                <w:spacing w:val="0"/>
                <w:kern w:val="0"/>
                <w:sz w:val="24"/>
                <w:u w:val="none" w:color="auto"/>
                <w:lang w:val="en-US" w:eastAsia="zh-CN"/>
              </w:rPr>
              <w:t>（三）固废分析汇总</w:t>
            </w:r>
          </w:p>
          <w:p w14:paraId="31AC4207">
            <w:pPr>
              <w:adjustRightInd w:val="0"/>
              <w:snapToGrid w:val="0"/>
              <w:spacing w:line="360" w:lineRule="auto"/>
              <w:ind w:firstLine="480" w:firstLineChars="200"/>
              <w:rPr>
                <w:rFonts w:hint="default" w:ascii="Times New Roman" w:hAnsi="Times New Roman" w:eastAsia="宋体" w:cs="Times New Roman"/>
                <w:color w:val="auto"/>
                <w:spacing w:val="0"/>
                <w:kern w:val="0"/>
                <w:sz w:val="24"/>
                <w:u w:val="none" w:color="auto"/>
                <w:lang w:val="en-US" w:eastAsia="zh-CN"/>
              </w:rPr>
            </w:pPr>
            <w:r>
              <w:rPr>
                <w:rFonts w:hint="default" w:ascii="Times New Roman" w:hAnsi="Times New Roman" w:eastAsia="宋体" w:cs="Times New Roman"/>
                <w:color w:val="auto"/>
                <w:spacing w:val="0"/>
                <w:kern w:val="0"/>
                <w:sz w:val="24"/>
                <w:u w:val="none" w:color="auto"/>
                <w:lang w:val="en-US" w:eastAsia="zh-CN"/>
              </w:rPr>
              <w:t>根据上述分析后，项目固废情况如下表所示：</w:t>
            </w:r>
          </w:p>
          <w:p w14:paraId="4ECDBC13">
            <w:pPr>
              <w:jc w:val="center"/>
              <w:rPr>
                <w:rFonts w:hint="default" w:ascii="Times New Roman" w:hAnsi="Times New Roman" w:eastAsia="宋体" w:cs="Times New Roman"/>
                <w:b/>
                <w:bCs/>
                <w:color w:val="auto"/>
                <w:u w:val="none" w:color="auto"/>
              </w:rPr>
            </w:pPr>
            <w:r>
              <w:rPr>
                <w:rFonts w:hint="default" w:ascii="Times New Roman" w:hAnsi="Times New Roman" w:eastAsia="宋体" w:cs="Times New Roman"/>
                <w:b/>
                <w:bCs/>
                <w:color w:val="auto"/>
                <w:u w:val="none" w:color="auto"/>
              </w:rPr>
              <w:t>表</w:t>
            </w:r>
            <w:r>
              <w:rPr>
                <w:rFonts w:hint="default" w:ascii="Times New Roman" w:hAnsi="Times New Roman" w:eastAsia="宋体" w:cs="Times New Roman"/>
                <w:b/>
                <w:bCs/>
                <w:color w:val="auto"/>
                <w:u w:val="none" w:color="auto"/>
                <w:lang w:val="en-US" w:eastAsia="zh-CN"/>
              </w:rPr>
              <w:t xml:space="preserve">4-1  </w:t>
            </w:r>
            <w:r>
              <w:rPr>
                <w:rFonts w:hint="default" w:ascii="Times New Roman" w:hAnsi="Times New Roman" w:eastAsia="宋体" w:cs="Times New Roman"/>
                <w:b/>
                <w:bCs/>
                <w:color w:val="auto"/>
                <w:u w:val="none" w:color="auto"/>
              </w:rPr>
              <w:t>固体废物分析结果汇总表</w:t>
            </w:r>
          </w:p>
          <w:tbl>
            <w:tblPr>
              <w:tblStyle w:val="31"/>
              <w:tblW w:w="4998" w:type="pct"/>
              <w:tblInd w:w="0"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autofit"/>
              <w:tblCellMar>
                <w:top w:w="0" w:type="dxa"/>
                <w:left w:w="0" w:type="dxa"/>
                <w:bottom w:w="0" w:type="dxa"/>
                <w:right w:w="0" w:type="dxa"/>
              </w:tblCellMar>
            </w:tblPr>
            <w:tblGrid>
              <w:gridCol w:w="674"/>
              <w:gridCol w:w="1179"/>
              <w:gridCol w:w="1292"/>
              <w:gridCol w:w="1844"/>
              <w:gridCol w:w="1106"/>
              <w:gridCol w:w="2420"/>
            </w:tblGrid>
            <w:tr w14:paraId="53A9D2DB">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23" w:hRule="atLeast"/>
                <w:tblHeader/>
              </w:trPr>
              <w:tc>
                <w:tcPr>
                  <w:tcW w:w="396" w:type="pct"/>
                  <w:noWrap w:val="0"/>
                  <w:vAlign w:val="center"/>
                </w:tcPr>
                <w:p w14:paraId="26BAA6CB">
                  <w:pPr>
                    <w:jc w:val="center"/>
                    <w:rPr>
                      <w:rFonts w:hint="default" w:ascii="Times New Roman" w:hAnsi="Times New Roman" w:eastAsia="宋体" w:cs="Times New Roman"/>
                      <w:strike w:val="0"/>
                      <w:dstrike w:val="0"/>
                      <w:color w:val="auto"/>
                      <w:sz w:val="21"/>
                      <w:szCs w:val="21"/>
                      <w:u w:val="none" w:color="auto"/>
                    </w:rPr>
                  </w:pPr>
                  <w:r>
                    <w:rPr>
                      <w:rFonts w:hint="default" w:ascii="Times New Roman" w:hAnsi="Times New Roman" w:eastAsia="宋体" w:cs="Times New Roman"/>
                      <w:strike w:val="0"/>
                      <w:dstrike w:val="0"/>
                      <w:color w:val="auto"/>
                      <w:sz w:val="21"/>
                      <w:szCs w:val="21"/>
                      <w:u w:val="none" w:color="auto"/>
                    </w:rPr>
                    <w:t>序号</w:t>
                  </w:r>
                </w:p>
              </w:tc>
              <w:tc>
                <w:tcPr>
                  <w:tcW w:w="692" w:type="pct"/>
                  <w:noWrap w:val="0"/>
                  <w:vAlign w:val="center"/>
                </w:tcPr>
                <w:p w14:paraId="70D35836">
                  <w:pPr>
                    <w:jc w:val="center"/>
                    <w:rPr>
                      <w:rFonts w:hint="default" w:ascii="Times New Roman" w:hAnsi="Times New Roman" w:eastAsia="宋体" w:cs="Times New Roman"/>
                      <w:strike w:val="0"/>
                      <w:dstrike w:val="0"/>
                      <w:color w:val="auto"/>
                      <w:sz w:val="21"/>
                      <w:szCs w:val="21"/>
                      <w:u w:val="none" w:color="auto"/>
                    </w:rPr>
                  </w:pPr>
                  <w:r>
                    <w:rPr>
                      <w:rFonts w:hint="default" w:ascii="Times New Roman" w:hAnsi="Times New Roman" w:eastAsia="宋体" w:cs="Times New Roman"/>
                      <w:strike w:val="0"/>
                      <w:dstrike w:val="0"/>
                      <w:color w:val="auto"/>
                      <w:sz w:val="21"/>
                      <w:szCs w:val="21"/>
                      <w:u w:val="none" w:color="auto"/>
                    </w:rPr>
                    <w:t>固废名称</w:t>
                  </w:r>
                </w:p>
              </w:tc>
              <w:tc>
                <w:tcPr>
                  <w:tcW w:w="758" w:type="pct"/>
                  <w:noWrap w:val="0"/>
                  <w:vAlign w:val="center"/>
                </w:tcPr>
                <w:p w14:paraId="137F327D">
                  <w:pPr>
                    <w:jc w:val="center"/>
                    <w:rPr>
                      <w:rFonts w:hint="default" w:ascii="Times New Roman" w:hAnsi="Times New Roman" w:eastAsia="宋体" w:cs="Times New Roman"/>
                      <w:strike w:val="0"/>
                      <w:dstrike w:val="0"/>
                      <w:color w:val="auto"/>
                      <w:sz w:val="21"/>
                      <w:szCs w:val="21"/>
                      <w:u w:val="none" w:color="auto"/>
                    </w:rPr>
                  </w:pPr>
                  <w:r>
                    <w:rPr>
                      <w:rFonts w:hint="default" w:ascii="Times New Roman" w:hAnsi="Times New Roman" w:eastAsia="宋体" w:cs="Times New Roman"/>
                      <w:strike w:val="0"/>
                      <w:dstrike w:val="0"/>
                      <w:color w:val="auto"/>
                      <w:sz w:val="21"/>
                      <w:szCs w:val="21"/>
                      <w:u w:val="none" w:color="auto"/>
                    </w:rPr>
                    <w:t>产生工序</w:t>
                  </w:r>
                </w:p>
              </w:tc>
              <w:tc>
                <w:tcPr>
                  <w:tcW w:w="1082" w:type="pct"/>
                  <w:noWrap w:val="0"/>
                  <w:vAlign w:val="center"/>
                </w:tcPr>
                <w:p w14:paraId="2836765E">
                  <w:pPr>
                    <w:jc w:val="center"/>
                    <w:rPr>
                      <w:rFonts w:hint="default" w:ascii="Times New Roman" w:hAnsi="Times New Roman" w:eastAsia="宋体" w:cs="Times New Roman"/>
                      <w:strike w:val="0"/>
                      <w:dstrike w:val="0"/>
                      <w:color w:val="auto"/>
                      <w:sz w:val="21"/>
                      <w:szCs w:val="21"/>
                      <w:u w:val="none" w:color="auto"/>
                    </w:rPr>
                  </w:pPr>
                  <w:r>
                    <w:rPr>
                      <w:rFonts w:hint="default" w:ascii="Times New Roman" w:hAnsi="Times New Roman" w:eastAsia="宋体" w:cs="Times New Roman"/>
                      <w:strike w:val="0"/>
                      <w:dstrike w:val="0"/>
                      <w:color w:val="auto"/>
                      <w:sz w:val="21"/>
                      <w:szCs w:val="21"/>
                      <w:u w:val="none" w:color="auto"/>
                    </w:rPr>
                    <w:t>固废属性</w:t>
                  </w:r>
                </w:p>
              </w:tc>
              <w:tc>
                <w:tcPr>
                  <w:tcW w:w="649" w:type="pct"/>
                  <w:noWrap w:val="0"/>
                  <w:vAlign w:val="center"/>
                </w:tcPr>
                <w:p w14:paraId="3A61CDEE">
                  <w:pPr>
                    <w:jc w:val="center"/>
                    <w:rPr>
                      <w:rFonts w:hint="default" w:ascii="Times New Roman" w:hAnsi="Times New Roman" w:eastAsia="宋体" w:cs="Times New Roman"/>
                      <w:strike w:val="0"/>
                      <w:dstrike w:val="0"/>
                      <w:color w:val="auto"/>
                      <w:sz w:val="21"/>
                      <w:szCs w:val="21"/>
                      <w:u w:val="none" w:color="auto"/>
                    </w:rPr>
                  </w:pPr>
                  <w:r>
                    <w:rPr>
                      <w:rFonts w:hint="default" w:ascii="Times New Roman" w:hAnsi="Times New Roman" w:eastAsia="宋体" w:cs="Times New Roman"/>
                      <w:strike w:val="0"/>
                      <w:dstrike w:val="0"/>
                      <w:color w:val="auto"/>
                      <w:sz w:val="21"/>
                      <w:szCs w:val="21"/>
                      <w:u w:val="none" w:color="auto"/>
                    </w:rPr>
                    <w:t>产生量（t/a）</w:t>
                  </w:r>
                </w:p>
              </w:tc>
              <w:tc>
                <w:tcPr>
                  <w:tcW w:w="1420" w:type="pct"/>
                  <w:noWrap w:val="0"/>
                  <w:vAlign w:val="center"/>
                </w:tcPr>
                <w:p w14:paraId="3D365EA1">
                  <w:pPr>
                    <w:jc w:val="center"/>
                    <w:rPr>
                      <w:rFonts w:hint="default" w:ascii="Times New Roman" w:hAnsi="Times New Roman" w:eastAsia="宋体" w:cs="Times New Roman"/>
                      <w:strike w:val="0"/>
                      <w:dstrike w:val="0"/>
                      <w:color w:val="auto"/>
                      <w:sz w:val="21"/>
                      <w:szCs w:val="21"/>
                      <w:u w:val="none" w:color="auto"/>
                    </w:rPr>
                  </w:pPr>
                  <w:r>
                    <w:rPr>
                      <w:rFonts w:hint="default" w:ascii="Times New Roman" w:hAnsi="Times New Roman" w:eastAsia="宋体" w:cs="Times New Roman"/>
                      <w:strike w:val="0"/>
                      <w:dstrike w:val="0"/>
                      <w:color w:val="auto"/>
                      <w:sz w:val="21"/>
                      <w:szCs w:val="21"/>
                      <w:u w:val="none" w:color="auto"/>
                    </w:rPr>
                    <w:t>去向</w:t>
                  </w:r>
                </w:p>
              </w:tc>
            </w:tr>
            <w:tr w14:paraId="7F5A763C">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23" w:hRule="atLeast"/>
              </w:trPr>
              <w:tc>
                <w:tcPr>
                  <w:tcW w:w="396" w:type="pct"/>
                  <w:noWrap w:val="0"/>
                  <w:vAlign w:val="center"/>
                </w:tcPr>
                <w:p w14:paraId="7A70A51E">
                  <w:pPr>
                    <w:jc w:val="center"/>
                    <w:rPr>
                      <w:rFonts w:hint="default" w:ascii="Times New Roman" w:hAnsi="Times New Roman" w:eastAsia="宋体" w:cs="Times New Roman"/>
                      <w:strike w:val="0"/>
                      <w:dstrike w:val="0"/>
                      <w:color w:val="auto"/>
                      <w:sz w:val="21"/>
                      <w:szCs w:val="21"/>
                      <w:u w:val="none" w:color="auto"/>
                    </w:rPr>
                  </w:pPr>
                  <w:r>
                    <w:rPr>
                      <w:rFonts w:hint="default" w:ascii="Times New Roman" w:hAnsi="Times New Roman" w:eastAsia="宋体" w:cs="Times New Roman"/>
                      <w:strike w:val="0"/>
                      <w:dstrike w:val="0"/>
                      <w:color w:val="auto"/>
                      <w:sz w:val="21"/>
                      <w:szCs w:val="21"/>
                      <w:u w:val="none" w:color="auto"/>
                    </w:rPr>
                    <w:t>1</w:t>
                  </w:r>
                </w:p>
              </w:tc>
              <w:tc>
                <w:tcPr>
                  <w:tcW w:w="692" w:type="pct"/>
                  <w:noWrap w:val="0"/>
                  <w:vAlign w:val="center"/>
                </w:tcPr>
                <w:p w14:paraId="3EDE42C5">
                  <w:pPr>
                    <w:jc w:val="center"/>
                    <w:rPr>
                      <w:rFonts w:hint="default" w:ascii="Times New Roman" w:hAnsi="Times New Roman" w:eastAsia="宋体" w:cs="Times New Roman"/>
                      <w:strike w:val="0"/>
                      <w:dstrike w:val="0"/>
                      <w:color w:val="auto"/>
                      <w:sz w:val="21"/>
                      <w:szCs w:val="21"/>
                      <w:u w:val="none" w:color="auto"/>
                    </w:rPr>
                  </w:pPr>
                  <w:r>
                    <w:rPr>
                      <w:rFonts w:hint="default" w:ascii="Times New Roman" w:hAnsi="Times New Roman" w:eastAsia="宋体" w:cs="Times New Roman"/>
                      <w:strike w:val="0"/>
                      <w:dstrike w:val="0"/>
                      <w:color w:val="auto"/>
                      <w:sz w:val="21"/>
                      <w:szCs w:val="21"/>
                      <w:u w:val="none" w:color="auto"/>
                    </w:rPr>
                    <w:t>生活垃圾</w:t>
                  </w:r>
                </w:p>
              </w:tc>
              <w:tc>
                <w:tcPr>
                  <w:tcW w:w="758" w:type="pct"/>
                  <w:vMerge w:val="restart"/>
                  <w:noWrap w:val="0"/>
                  <w:vAlign w:val="center"/>
                </w:tcPr>
                <w:p w14:paraId="6A714951">
                  <w:pPr>
                    <w:jc w:val="center"/>
                    <w:rPr>
                      <w:rFonts w:hint="default" w:ascii="Times New Roman" w:hAnsi="Times New Roman" w:eastAsia="宋体" w:cs="Times New Roman"/>
                      <w:strike w:val="0"/>
                      <w:dstrike w:val="0"/>
                      <w:color w:val="auto"/>
                      <w:sz w:val="21"/>
                      <w:szCs w:val="21"/>
                      <w:u w:val="none" w:color="auto"/>
                    </w:rPr>
                  </w:pPr>
                  <w:r>
                    <w:rPr>
                      <w:rFonts w:hint="default" w:ascii="Times New Roman" w:hAnsi="Times New Roman" w:eastAsia="宋体" w:cs="Times New Roman"/>
                      <w:strike w:val="0"/>
                      <w:dstrike w:val="0"/>
                      <w:color w:val="auto"/>
                      <w:sz w:val="21"/>
                      <w:szCs w:val="21"/>
                      <w:u w:val="none" w:color="auto"/>
                    </w:rPr>
                    <w:t>职工办公、生活</w:t>
                  </w:r>
                </w:p>
              </w:tc>
              <w:tc>
                <w:tcPr>
                  <w:tcW w:w="1082" w:type="pct"/>
                  <w:vMerge w:val="restart"/>
                  <w:noWrap w:val="0"/>
                  <w:vAlign w:val="center"/>
                </w:tcPr>
                <w:p w14:paraId="2479E12C">
                  <w:pPr>
                    <w:jc w:val="center"/>
                    <w:rPr>
                      <w:rFonts w:hint="default" w:ascii="Times New Roman" w:hAnsi="Times New Roman" w:eastAsia="宋体" w:cs="Times New Roman"/>
                      <w:strike w:val="0"/>
                      <w:dstrike w:val="0"/>
                      <w:color w:val="auto"/>
                      <w:sz w:val="21"/>
                      <w:szCs w:val="21"/>
                      <w:u w:val="none" w:color="auto"/>
                      <w:lang w:val="en-US" w:eastAsia="zh-CN"/>
                    </w:rPr>
                  </w:pPr>
                  <w:r>
                    <w:rPr>
                      <w:rFonts w:hint="default" w:ascii="Times New Roman" w:hAnsi="Times New Roman" w:eastAsia="宋体" w:cs="Times New Roman"/>
                      <w:strike w:val="0"/>
                      <w:dstrike w:val="0"/>
                      <w:color w:val="auto"/>
                      <w:sz w:val="21"/>
                      <w:szCs w:val="21"/>
                      <w:u w:val="none" w:color="auto"/>
                      <w:lang w:val="en-US" w:eastAsia="zh-CN"/>
                    </w:rPr>
                    <w:t>城市垃圾</w:t>
                  </w:r>
                </w:p>
              </w:tc>
              <w:tc>
                <w:tcPr>
                  <w:tcW w:w="649" w:type="pct"/>
                  <w:noWrap w:val="0"/>
                  <w:vAlign w:val="center"/>
                </w:tcPr>
                <w:p w14:paraId="6F27452F">
                  <w:pPr>
                    <w:jc w:val="center"/>
                    <w:rPr>
                      <w:rFonts w:hint="default" w:ascii="Times New Roman" w:hAnsi="Times New Roman" w:eastAsia="宋体" w:cs="Times New Roman"/>
                      <w:strike w:val="0"/>
                      <w:dstrike w:val="0"/>
                      <w:color w:val="auto"/>
                      <w:sz w:val="21"/>
                      <w:szCs w:val="21"/>
                      <w:u w:val="none" w:color="auto"/>
                    </w:rPr>
                  </w:pPr>
                  <w:r>
                    <w:rPr>
                      <w:rFonts w:hint="default" w:ascii="Times New Roman" w:hAnsi="Times New Roman" w:eastAsia="宋体" w:cs="Times New Roman"/>
                      <w:strike w:val="0"/>
                      <w:dstrike w:val="0"/>
                      <w:color w:val="auto"/>
                      <w:sz w:val="21"/>
                      <w:szCs w:val="21"/>
                      <w:u w:val="none" w:color="auto"/>
                      <w:lang w:val="en-US" w:eastAsia="zh-CN"/>
                    </w:rPr>
                    <w:t>27.54</w:t>
                  </w:r>
                </w:p>
              </w:tc>
              <w:tc>
                <w:tcPr>
                  <w:tcW w:w="1420" w:type="pct"/>
                  <w:noWrap w:val="0"/>
                  <w:vAlign w:val="center"/>
                </w:tcPr>
                <w:p w14:paraId="18C724BF">
                  <w:pPr>
                    <w:jc w:val="center"/>
                    <w:rPr>
                      <w:rFonts w:hint="default" w:ascii="Times New Roman" w:hAnsi="Times New Roman" w:eastAsia="宋体" w:cs="Times New Roman"/>
                      <w:strike w:val="0"/>
                      <w:dstrike w:val="0"/>
                      <w:color w:val="auto"/>
                      <w:sz w:val="21"/>
                      <w:szCs w:val="21"/>
                      <w:u w:val="none" w:color="auto"/>
                    </w:rPr>
                  </w:pPr>
                  <w:r>
                    <w:rPr>
                      <w:rFonts w:hint="default" w:ascii="Times New Roman" w:hAnsi="Times New Roman" w:eastAsia="宋体" w:cs="Times New Roman"/>
                      <w:strike w:val="0"/>
                      <w:dstrike w:val="0"/>
                      <w:color w:val="auto"/>
                      <w:sz w:val="21"/>
                      <w:szCs w:val="21"/>
                      <w:u w:val="none" w:color="auto"/>
                    </w:rPr>
                    <w:t>集中后交由环卫部门处置</w:t>
                  </w:r>
                </w:p>
              </w:tc>
            </w:tr>
            <w:tr w14:paraId="285E0AD7">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23" w:hRule="atLeast"/>
              </w:trPr>
              <w:tc>
                <w:tcPr>
                  <w:tcW w:w="396" w:type="pct"/>
                  <w:noWrap w:val="0"/>
                  <w:vAlign w:val="center"/>
                </w:tcPr>
                <w:p w14:paraId="2B24AFE5">
                  <w:pPr>
                    <w:jc w:val="center"/>
                    <w:rPr>
                      <w:rFonts w:hint="default" w:ascii="Times New Roman" w:hAnsi="Times New Roman" w:eastAsia="宋体" w:cs="Times New Roman"/>
                      <w:strike w:val="0"/>
                      <w:dstrike w:val="0"/>
                      <w:color w:val="auto"/>
                      <w:sz w:val="21"/>
                      <w:szCs w:val="21"/>
                      <w:u w:val="none" w:color="auto"/>
                      <w:lang w:val="en-US" w:eastAsia="zh-CN"/>
                    </w:rPr>
                  </w:pPr>
                  <w:r>
                    <w:rPr>
                      <w:rFonts w:hint="default" w:ascii="Times New Roman" w:hAnsi="Times New Roman" w:eastAsia="宋体" w:cs="Times New Roman"/>
                      <w:strike w:val="0"/>
                      <w:dstrike w:val="0"/>
                      <w:color w:val="auto"/>
                      <w:sz w:val="21"/>
                      <w:szCs w:val="21"/>
                      <w:u w:val="none" w:color="auto"/>
                      <w:lang w:val="en-US" w:eastAsia="zh-CN"/>
                    </w:rPr>
                    <w:t>2</w:t>
                  </w:r>
                </w:p>
              </w:tc>
              <w:tc>
                <w:tcPr>
                  <w:tcW w:w="692" w:type="pct"/>
                  <w:noWrap w:val="0"/>
                  <w:vAlign w:val="center"/>
                </w:tcPr>
                <w:p w14:paraId="7F0A009A">
                  <w:pPr>
                    <w:jc w:val="center"/>
                    <w:rPr>
                      <w:rFonts w:hint="default" w:ascii="Times New Roman" w:hAnsi="Times New Roman" w:eastAsia="宋体" w:cs="Times New Roman"/>
                      <w:strike w:val="0"/>
                      <w:dstrike w:val="0"/>
                      <w:color w:val="auto"/>
                      <w:sz w:val="21"/>
                      <w:szCs w:val="21"/>
                      <w:u w:val="none" w:color="auto"/>
                    </w:rPr>
                  </w:pPr>
                  <w:r>
                    <w:rPr>
                      <w:rFonts w:hint="default" w:ascii="Times New Roman" w:hAnsi="Times New Roman" w:eastAsia="宋体" w:cs="Times New Roman"/>
                      <w:strike w:val="0"/>
                      <w:dstrike w:val="0"/>
                      <w:color w:val="auto"/>
                      <w:sz w:val="21"/>
                      <w:szCs w:val="21"/>
                      <w:u w:val="none" w:color="auto"/>
                      <w:lang w:val="en-US" w:eastAsia="zh-CN"/>
                    </w:rPr>
                    <w:t>餐厨垃圾</w:t>
                  </w:r>
                </w:p>
              </w:tc>
              <w:tc>
                <w:tcPr>
                  <w:tcW w:w="758" w:type="pct"/>
                  <w:vMerge w:val="continue"/>
                  <w:noWrap w:val="0"/>
                  <w:vAlign w:val="center"/>
                </w:tcPr>
                <w:p w14:paraId="3735A4B2">
                  <w:pPr>
                    <w:jc w:val="center"/>
                    <w:rPr>
                      <w:rFonts w:hint="default" w:ascii="Times New Roman" w:hAnsi="Times New Roman" w:eastAsia="宋体" w:cs="Times New Roman"/>
                      <w:strike w:val="0"/>
                      <w:dstrike w:val="0"/>
                      <w:color w:val="auto"/>
                      <w:sz w:val="21"/>
                      <w:szCs w:val="21"/>
                      <w:u w:val="none" w:color="auto"/>
                    </w:rPr>
                  </w:pPr>
                </w:p>
              </w:tc>
              <w:tc>
                <w:tcPr>
                  <w:tcW w:w="1082" w:type="pct"/>
                  <w:vMerge w:val="continue"/>
                  <w:noWrap w:val="0"/>
                  <w:vAlign w:val="center"/>
                </w:tcPr>
                <w:p w14:paraId="0C6315EB">
                  <w:pPr>
                    <w:jc w:val="center"/>
                    <w:rPr>
                      <w:rFonts w:hint="default" w:ascii="Times New Roman" w:hAnsi="Times New Roman" w:eastAsia="宋体" w:cs="Times New Roman"/>
                      <w:strike w:val="0"/>
                      <w:dstrike w:val="0"/>
                      <w:color w:val="auto"/>
                      <w:sz w:val="21"/>
                      <w:szCs w:val="21"/>
                      <w:u w:val="none" w:color="auto"/>
                    </w:rPr>
                  </w:pPr>
                </w:p>
              </w:tc>
              <w:tc>
                <w:tcPr>
                  <w:tcW w:w="649" w:type="pct"/>
                  <w:noWrap w:val="0"/>
                  <w:vAlign w:val="center"/>
                </w:tcPr>
                <w:p w14:paraId="7AD1C9B5">
                  <w:pPr>
                    <w:jc w:val="center"/>
                    <w:rPr>
                      <w:rFonts w:hint="default" w:ascii="Times New Roman" w:hAnsi="Times New Roman" w:eastAsia="宋体" w:cs="Times New Roman"/>
                      <w:strike w:val="0"/>
                      <w:dstrike w:val="0"/>
                      <w:color w:val="auto"/>
                      <w:sz w:val="21"/>
                      <w:szCs w:val="21"/>
                      <w:u w:val="none" w:color="auto"/>
                      <w:lang w:val="en-US" w:eastAsia="zh-CN"/>
                    </w:rPr>
                  </w:pPr>
                  <w:r>
                    <w:rPr>
                      <w:rFonts w:hint="default" w:ascii="Times New Roman" w:hAnsi="Times New Roman" w:eastAsia="宋体" w:cs="Times New Roman"/>
                      <w:strike w:val="0"/>
                      <w:dstrike w:val="0"/>
                      <w:color w:val="auto"/>
                      <w:sz w:val="21"/>
                      <w:szCs w:val="21"/>
                      <w:u w:val="none" w:color="auto"/>
                      <w:lang w:val="en-US" w:eastAsia="zh-CN"/>
                    </w:rPr>
                    <w:t>4.356</w:t>
                  </w:r>
                </w:p>
              </w:tc>
              <w:tc>
                <w:tcPr>
                  <w:tcW w:w="1420" w:type="pct"/>
                  <w:noWrap w:val="0"/>
                  <w:vAlign w:val="center"/>
                </w:tcPr>
                <w:p w14:paraId="281B57AF">
                  <w:pPr>
                    <w:jc w:val="center"/>
                    <w:rPr>
                      <w:rFonts w:hint="default" w:ascii="Times New Roman" w:hAnsi="Times New Roman" w:eastAsia="宋体" w:cs="Times New Roman"/>
                      <w:strike w:val="0"/>
                      <w:dstrike w:val="0"/>
                      <w:color w:val="auto"/>
                      <w:sz w:val="21"/>
                      <w:szCs w:val="21"/>
                      <w:u w:val="none" w:color="auto"/>
                      <w:lang w:val="en-US" w:eastAsia="zh-CN"/>
                    </w:rPr>
                  </w:pPr>
                  <w:r>
                    <w:rPr>
                      <w:rFonts w:hint="default" w:ascii="Times New Roman" w:hAnsi="Times New Roman" w:eastAsia="宋体" w:cs="Times New Roman"/>
                      <w:strike w:val="0"/>
                      <w:dstrike w:val="0"/>
                      <w:color w:val="auto"/>
                      <w:sz w:val="21"/>
                      <w:szCs w:val="21"/>
                      <w:u w:val="none" w:color="auto"/>
                      <w:lang w:val="en-US" w:eastAsia="zh-CN"/>
                    </w:rPr>
                    <w:t>交由专业资质单位无害化处理</w:t>
                  </w:r>
                </w:p>
              </w:tc>
            </w:tr>
            <w:tr w14:paraId="597CAA6C">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23" w:hRule="atLeast"/>
              </w:trPr>
              <w:tc>
                <w:tcPr>
                  <w:tcW w:w="396" w:type="pct"/>
                  <w:noWrap w:val="0"/>
                  <w:vAlign w:val="center"/>
                </w:tcPr>
                <w:p w14:paraId="37F95344">
                  <w:pPr>
                    <w:jc w:val="center"/>
                    <w:rPr>
                      <w:rFonts w:hint="default" w:ascii="Times New Roman" w:hAnsi="Times New Roman" w:eastAsia="宋体" w:cs="Times New Roman"/>
                      <w:strike w:val="0"/>
                      <w:dstrike w:val="0"/>
                      <w:color w:val="auto"/>
                      <w:sz w:val="21"/>
                      <w:szCs w:val="21"/>
                      <w:u w:val="none" w:color="auto"/>
                      <w:lang w:val="en-US" w:eastAsia="zh-CN"/>
                    </w:rPr>
                  </w:pPr>
                  <w:r>
                    <w:rPr>
                      <w:rFonts w:hint="default" w:ascii="Times New Roman" w:hAnsi="Times New Roman" w:eastAsia="宋体" w:cs="Times New Roman"/>
                      <w:strike w:val="0"/>
                      <w:dstrike w:val="0"/>
                      <w:color w:val="auto"/>
                      <w:sz w:val="21"/>
                      <w:szCs w:val="21"/>
                      <w:u w:val="none" w:color="auto"/>
                      <w:lang w:val="en-US" w:eastAsia="zh-CN"/>
                    </w:rPr>
                    <w:t>3</w:t>
                  </w:r>
                </w:p>
              </w:tc>
              <w:tc>
                <w:tcPr>
                  <w:tcW w:w="692" w:type="pct"/>
                  <w:shd w:val="clear" w:color="auto" w:fill="auto"/>
                  <w:noWrap w:val="0"/>
                  <w:vAlign w:val="center"/>
                </w:tcPr>
                <w:p w14:paraId="11BC20E4">
                  <w:pPr>
                    <w:jc w:val="center"/>
                    <w:rPr>
                      <w:rFonts w:hint="default" w:ascii="Times New Roman" w:hAnsi="Times New Roman" w:eastAsia="宋体" w:cs="Times New Roman"/>
                      <w:strike w:val="0"/>
                      <w:dstrike w:val="0"/>
                      <w:color w:val="auto"/>
                      <w:sz w:val="21"/>
                      <w:szCs w:val="21"/>
                      <w:u w:val="none" w:color="auto"/>
                      <w:lang w:val="en-US" w:eastAsia="zh-CN"/>
                    </w:rPr>
                  </w:pPr>
                  <w:r>
                    <w:rPr>
                      <w:rFonts w:hint="default" w:ascii="Times New Roman" w:hAnsi="Times New Roman" w:eastAsia="宋体" w:cs="Times New Roman"/>
                      <w:strike w:val="0"/>
                      <w:dstrike w:val="0"/>
                      <w:color w:val="auto"/>
                      <w:sz w:val="21"/>
                      <w:szCs w:val="21"/>
                      <w:u w:val="none" w:color="auto"/>
                      <w:lang w:val="en-US" w:eastAsia="zh-CN"/>
                    </w:rPr>
                    <w:t>生物质灰渣（S3）</w:t>
                  </w:r>
                </w:p>
              </w:tc>
              <w:tc>
                <w:tcPr>
                  <w:tcW w:w="758" w:type="pct"/>
                  <w:noWrap w:val="0"/>
                  <w:vAlign w:val="center"/>
                </w:tcPr>
                <w:p w14:paraId="480B6444">
                  <w:pPr>
                    <w:jc w:val="center"/>
                    <w:rPr>
                      <w:rFonts w:hint="default" w:ascii="Times New Roman" w:hAnsi="Times New Roman" w:eastAsia="宋体" w:cs="Times New Roman"/>
                      <w:strike w:val="0"/>
                      <w:dstrike w:val="0"/>
                      <w:color w:val="auto"/>
                      <w:sz w:val="21"/>
                      <w:szCs w:val="21"/>
                      <w:u w:val="none" w:color="auto"/>
                      <w:lang w:val="en-US" w:eastAsia="zh-CN"/>
                    </w:rPr>
                  </w:pPr>
                  <w:r>
                    <w:rPr>
                      <w:rFonts w:hint="default" w:ascii="Times New Roman" w:hAnsi="Times New Roman" w:eastAsia="宋体" w:cs="Times New Roman"/>
                      <w:strike w:val="0"/>
                      <w:dstrike w:val="0"/>
                      <w:color w:val="auto"/>
                      <w:sz w:val="21"/>
                      <w:szCs w:val="21"/>
                      <w:u w:val="none" w:color="auto"/>
                      <w:lang w:val="en-US" w:eastAsia="zh-CN"/>
                    </w:rPr>
                    <w:t>生物质燃烧</w:t>
                  </w:r>
                </w:p>
              </w:tc>
              <w:tc>
                <w:tcPr>
                  <w:tcW w:w="1082" w:type="pct"/>
                  <w:shd w:val="clear" w:color="auto" w:fill="auto"/>
                  <w:noWrap w:val="0"/>
                  <w:vAlign w:val="center"/>
                </w:tcPr>
                <w:p w14:paraId="5C198449">
                  <w:pPr>
                    <w:jc w:val="center"/>
                    <w:rPr>
                      <w:rFonts w:hint="default" w:ascii="Times New Roman" w:hAnsi="Times New Roman" w:eastAsia="宋体" w:cs="Times New Roman"/>
                      <w:strike w:val="0"/>
                      <w:dstrike w:val="0"/>
                      <w:color w:val="auto"/>
                      <w:sz w:val="21"/>
                      <w:szCs w:val="21"/>
                      <w:u w:val="none" w:color="auto"/>
                      <w:lang w:val="en-US" w:eastAsia="zh-CN"/>
                    </w:rPr>
                  </w:pPr>
                  <w:r>
                    <w:rPr>
                      <w:rFonts w:hint="default" w:ascii="Times New Roman" w:hAnsi="Times New Roman" w:eastAsia="宋体" w:cs="Times New Roman"/>
                      <w:strike w:val="0"/>
                      <w:dstrike w:val="0"/>
                      <w:color w:val="auto"/>
                      <w:sz w:val="21"/>
                      <w:szCs w:val="21"/>
                      <w:u w:val="none" w:color="auto"/>
                      <w:lang w:val="en-US" w:eastAsia="zh-CN"/>
                    </w:rPr>
                    <w:t>一般固废</w:t>
                  </w:r>
                </w:p>
              </w:tc>
              <w:tc>
                <w:tcPr>
                  <w:tcW w:w="649" w:type="pct"/>
                  <w:shd w:val="clear" w:color="auto" w:fill="auto"/>
                  <w:noWrap w:val="0"/>
                  <w:vAlign w:val="center"/>
                </w:tcPr>
                <w:p w14:paraId="61CBA857">
                  <w:pPr>
                    <w:jc w:val="center"/>
                    <w:rPr>
                      <w:rFonts w:hint="default" w:ascii="Times New Roman" w:hAnsi="Times New Roman" w:eastAsia="宋体" w:cs="Times New Roman"/>
                      <w:strike w:val="0"/>
                      <w:dstrike w:val="0"/>
                      <w:color w:val="auto"/>
                      <w:sz w:val="21"/>
                      <w:szCs w:val="21"/>
                      <w:u w:val="none" w:color="auto"/>
                      <w:lang w:val="en-US" w:eastAsia="zh-CN"/>
                    </w:rPr>
                  </w:pPr>
                  <w:r>
                    <w:rPr>
                      <w:rFonts w:hint="default" w:ascii="Times New Roman" w:hAnsi="Times New Roman" w:eastAsia="宋体" w:cs="Times New Roman"/>
                      <w:strike w:val="0"/>
                      <w:dstrike w:val="0"/>
                      <w:color w:val="auto"/>
                      <w:sz w:val="21"/>
                      <w:szCs w:val="21"/>
                      <w:u w:val="none" w:color="auto"/>
                      <w:lang w:val="en-US" w:eastAsia="zh-CN"/>
                    </w:rPr>
                    <w:t>283.2</w:t>
                  </w:r>
                  <w:r>
                    <w:rPr>
                      <w:rFonts w:hint="default" w:ascii="Times New Roman" w:hAnsi="Times New Roman" w:eastAsia="宋体" w:cs="Times New Roman"/>
                      <w:strike w:val="0"/>
                      <w:dstrike w:val="0"/>
                      <w:color w:val="auto"/>
                      <w:sz w:val="21"/>
                      <w:szCs w:val="21"/>
                      <w:u w:val="none" w:color="auto"/>
                      <w:lang w:eastAsia="zh-CN"/>
                    </w:rPr>
                    <w:t>‬</w:t>
                  </w:r>
                </w:p>
              </w:tc>
              <w:tc>
                <w:tcPr>
                  <w:tcW w:w="1420" w:type="pct"/>
                  <w:vMerge w:val="restart"/>
                  <w:noWrap w:val="0"/>
                  <w:vAlign w:val="center"/>
                </w:tcPr>
                <w:p w14:paraId="40079490">
                  <w:pPr>
                    <w:jc w:val="center"/>
                    <w:rPr>
                      <w:rFonts w:hint="default" w:ascii="Times New Roman" w:hAnsi="Times New Roman" w:eastAsia="宋体" w:cs="Times New Roman"/>
                      <w:strike w:val="0"/>
                      <w:dstrike w:val="0"/>
                      <w:color w:val="auto"/>
                      <w:sz w:val="21"/>
                      <w:szCs w:val="21"/>
                      <w:u w:val="none" w:color="auto"/>
                      <w:lang w:val="en-US" w:eastAsia="zh-CN"/>
                    </w:rPr>
                  </w:pPr>
                  <w:r>
                    <w:rPr>
                      <w:rFonts w:hint="default" w:ascii="Times New Roman" w:hAnsi="Times New Roman" w:eastAsia="宋体" w:cs="Times New Roman"/>
                      <w:strike w:val="0"/>
                      <w:dstrike w:val="0"/>
                      <w:color w:val="auto"/>
                      <w:sz w:val="21"/>
                      <w:szCs w:val="21"/>
                      <w:u w:val="none" w:color="auto"/>
                      <w:lang w:val="en-US" w:eastAsia="zh-CN"/>
                    </w:rPr>
                    <w:t>外售综合利用</w:t>
                  </w:r>
                </w:p>
              </w:tc>
            </w:tr>
            <w:tr w14:paraId="6E1BFEAB">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23" w:hRule="atLeast"/>
              </w:trPr>
              <w:tc>
                <w:tcPr>
                  <w:tcW w:w="396" w:type="pct"/>
                  <w:noWrap w:val="0"/>
                  <w:vAlign w:val="center"/>
                </w:tcPr>
                <w:p w14:paraId="6F5E0DB2">
                  <w:pPr>
                    <w:jc w:val="center"/>
                    <w:rPr>
                      <w:rFonts w:hint="default" w:ascii="Times New Roman" w:hAnsi="Times New Roman" w:eastAsia="宋体" w:cs="Times New Roman"/>
                      <w:strike w:val="0"/>
                      <w:dstrike w:val="0"/>
                      <w:color w:val="auto"/>
                      <w:sz w:val="21"/>
                      <w:szCs w:val="21"/>
                      <w:u w:val="none" w:color="auto"/>
                      <w:lang w:val="en-US" w:eastAsia="zh-CN"/>
                    </w:rPr>
                  </w:pPr>
                  <w:r>
                    <w:rPr>
                      <w:rFonts w:hint="default" w:ascii="Times New Roman" w:hAnsi="Times New Roman" w:eastAsia="宋体" w:cs="Times New Roman"/>
                      <w:strike w:val="0"/>
                      <w:dstrike w:val="0"/>
                      <w:color w:val="auto"/>
                      <w:sz w:val="21"/>
                      <w:szCs w:val="21"/>
                      <w:u w:val="none" w:color="auto"/>
                      <w:lang w:val="en-US" w:eastAsia="zh-CN"/>
                    </w:rPr>
                    <w:t>4</w:t>
                  </w:r>
                </w:p>
              </w:tc>
              <w:tc>
                <w:tcPr>
                  <w:tcW w:w="692" w:type="pct"/>
                  <w:shd w:val="clear" w:color="auto" w:fill="auto"/>
                  <w:noWrap w:val="0"/>
                  <w:vAlign w:val="center"/>
                </w:tcPr>
                <w:p w14:paraId="68E2D020">
                  <w:pPr>
                    <w:jc w:val="center"/>
                    <w:rPr>
                      <w:rFonts w:hint="default" w:ascii="Times New Roman" w:hAnsi="Times New Roman" w:eastAsia="宋体" w:cs="Times New Roman"/>
                      <w:strike w:val="0"/>
                      <w:dstrike w:val="0"/>
                      <w:color w:val="auto"/>
                      <w:sz w:val="21"/>
                      <w:szCs w:val="21"/>
                      <w:u w:val="none" w:color="auto"/>
                      <w:lang w:val="en-US" w:eastAsia="zh-CN"/>
                    </w:rPr>
                  </w:pPr>
                  <w:r>
                    <w:rPr>
                      <w:rFonts w:hint="default" w:ascii="Times New Roman" w:hAnsi="Times New Roman" w:eastAsia="宋体" w:cs="Times New Roman"/>
                      <w:strike w:val="0"/>
                      <w:dstrike w:val="0"/>
                      <w:color w:val="auto"/>
                      <w:sz w:val="21"/>
                      <w:szCs w:val="21"/>
                      <w:u w:val="none" w:color="auto"/>
                      <w:lang w:val="en-US" w:eastAsia="zh-CN"/>
                    </w:rPr>
                    <w:t>报废品（S4-2）、废边角料（S4-1）</w:t>
                  </w:r>
                </w:p>
              </w:tc>
              <w:tc>
                <w:tcPr>
                  <w:tcW w:w="758" w:type="pct"/>
                  <w:noWrap w:val="0"/>
                  <w:vAlign w:val="center"/>
                </w:tcPr>
                <w:p w14:paraId="2F3A69C5">
                  <w:pPr>
                    <w:jc w:val="center"/>
                    <w:rPr>
                      <w:rFonts w:hint="default" w:ascii="Times New Roman" w:hAnsi="Times New Roman" w:eastAsia="宋体" w:cs="Times New Roman"/>
                      <w:strike w:val="0"/>
                      <w:dstrike w:val="0"/>
                      <w:color w:val="auto"/>
                      <w:sz w:val="21"/>
                      <w:szCs w:val="21"/>
                      <w:u w:val="none" w:color="auto"/>
                      <w:lang w:val="en-US" w:eastAsia="zh-CN"/>
                    </w:rPr>
                  </w:pPr>
                  <w:r>
                    <w:rPr>
                      <w:rFonts w:hint="default" w:ascii="Times New Roman" w:hAnsi="Times New Roman" w:eastAsia="宋体" w:cs="Times New Roman"/>
                      <w:strike w:val="0"/>
                      <w:dstrike w:val="0"/>
                      <w:color w:val="auto"/>
                      <w:sz w:val="21"/>
                      <w:szCs w:val="21"/>
                      <w:u w:val="none" w:color="auto"/>
                      <w:lang w:val="en-US" w:eastAsia="zh-CN"/>
                    </w:rPr>
                    <w:t>铝合金熔铸一厂压铸</w:t>
                  </w:r>
                </w:p>
              </w:tc>
              <w:tc>
                <w:tcPr>
                  <w:tcW w:w="1082" w:type="pct"/>
                  <w:shd w:val="clear" w:color="auto" w:fill="auto"/>
                  <w:noWrap w:val="0"/>
                  <w:vAlign w:val="center"/>
                </w:tcPr>
                <w:p w14:paraId="427E6D82">
                  <w:pPr>
                    <w:jc w:val="center"/>
                    <w:rPr>
                      <w:rFonts w:hint="default" w:ascii="Times New Roman" w:hAnsi="Times New Roman" w:eastAsia="宋体" w:cs="Times New Roman"/>
                      <w:strike w:val="0"/>
                      <w:dstrike w:val="0"/>
                      <w:color w:val="auto"/>
                      <w:sz w:val="21"/>
                      <w:szCs w:val="21"/>
                      <w:u w:val="none" w:color="auto"/>
                      <w:lang w:val="en-US" w:eastAsia="zh-CN"/>
                    </w:rPr>
                  </w:pPr>
                  <w:r>
                    <w:rPr>
                      <w:rFonts w:hint="default" w:ascii="Times New Roman" w:hAnsi="Times New Roman" w:eastAsia="宋体" w:cs="Times New Roman"/>
                      <w:strike w:val="0"/>
                      <w:dstrike w:val="0"/>
                      <w:color w:val="auto"/>
                      <w:sz w:val="21"/>
                      <w:szCs w:val="21"/>
                      <w:u w:val="none" w:color="auto"/>
                      <w:lang w:val="en-US" w:eastAsia="zh-CN"/>
                    </w:rPr>
                    <w:t>一般固废</w:t>
                  </w:r>
                </w:p>
              </w:tc>
              <w:tc>
                <w:tcPr>
                  <w:tcW w:w="649" w:type="pct"/>
                  <w:shd w:val="clear" w:color="auto" w:fill="auto"/>
                  <w:noWrap w:val="0"/>
                  <w:vAlign w:val="center"/>
                </w:tcPr>
                <w:p w14:paraId="7E7F12C0">
                  <w:pPr>
                    <w:jc w:val="center"/>
                    <w:rPr>
                      <w:rFonts w:hint="default" w:ascii="Times New Roman" w:hAnsi="Times New Roman" w:eastAsia="宋体" w:cs="Times New Roman"/>
                      <w:strike w:val="0"/>
                      <w:dstrike w:val="0"/>
                      <w:color w:val="auto"/>
                      <w:sz w:val="21"/>
                      <w:szCs w:val="21"/>
                      <w:u w:val="none" w:color="auto"/>
                      <w:lang w:val="en-US" w:eastAsia="zh-CN"/>
                    </w:rPr>
                  </w:pPr>
                  <w:r>
                    <w:rPr>
                      <w:rFonts w:hint="default" w:ascii="Times New Roman" w:hAnsi="Times New Roman" w:eastAsia="宋体" w:cs="Times New Roman"/>
                      <w:strike w:val="0"/>
                      <w:dstrike w:val="0"/>
                      <w:color w:val="auto"/>
                      <w:sz w:val="21"/>
                      <w:szCs w:val="21"/>
                      <w:u w:val="none" w:color="auto"/>
                      <w:lang w:val="en-US" w:eastAsia="zh-CN"/>
                    </w:rPr>
                    <w:t>900.375</w:t>
                  </w:r>
                </w:p>
              </w:tc>
              <w:tc>
                <w:tcPr>
                  <w:tcW w:w="1420" w:type="pct"/>
                  <w:vMerge w:val="continue"/>
                  <w:noWrap w:val="0"/>
                  <w:vAlign w:val="center"/>
                </w:tcPr>
                <w:p w14:paraId="1D83918C">
                  <w:pPr>
                    <w:jc w:val="center"/>
                    <w:rPr>
                      <w:rFonts w:hint="default" w:ascii="Times New Roman" w:hAnsi="Times New Roman" w:eastAsia="宋体" w:cs="Times New Roman"/>
                      <w:strike w:val="0"/>
                      <w:dstrike w:val="0"/>
                      <w:color w:val="auto"/>
                      <w:sz w:val="21"/>
                      <w:szCs w:val="21"/>
                      <w:u w:val="none" w:color="auto"/>
                    </w:rPr>
                  </w:pPr>
                </w:p>
              </w:tc>
            </w:tr>
            <w:tr w14:paraId="0138326E">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23" w:hRule="atLeast"/>
              </w:trPr>
              <w:tc>
                <w:tcPr>
                  <w:tcW w:w="396" w:type="pct"/>
                  <w:noWrap w:val="0"/>
                  <w:vAlign w:val="center"/>
                </w:tcPr>
                <w:p w14:paraId="6BA92576">
                  <w:pPr>
                    <w:jc w:val="center"/>
                    <w:rPr>
                      <w:rFonts w:hint="default" w:ascii="Times New Roman" w:hAnsi="Times New Roman" w:eastAsia="宋体" w:cs="Times New Roman"/>
                      <w:strike w:val="0"/>
                      <w:dstrike w:val="0"/>
                      <w:color w:val="auto"/>
                      <w:sz w:val="21"/>
                      <w:szCs w:val="21"/>
                      <w:u w:val="none" w:color="auto"/>
                      <w:lang w:val="en-US" w:eastAsia="zh-CN"/>
                    </w:rPr>
                  </w:pPr>
                  <w:r>
                    <w:rPr>
                      <w:rFonts w:hint="default" w:ascii="Times New Roman" w:hAnsi="Times New Roman" w:eastAsia="宋体" w:cs="Times New Roman"/>
                      <w:strike w:val="0"/>
                      <w:dstrike w:val="0"/>
                      <w:color w:val="auto"/>
                      <w:sz w:val="21"/>
                      <w:szCs w:val="21"/>
                      <w:u w:val="none" w:color="auto"/>
                      <w:lang w:val="en-US" w:eastAsia="zh-CN"/>
                    </w:rPr>
                    <w:t>5</w:t>
                  </w:r>
                </w:p>
              </w:tc>
              <w:tc>
                <w:tcPr>
                  <w:tcW w:w="692" w:type="pct"/>
                  <w:shd w:val="clear" w:color="auto" w:fill="auto"/>
                  <w:noWrap w:val="0"/>
                  <w:vAlign w:val="center"/>
                </w:tcPr>
                <w:p w14:paraId="40148C23">
                  <w:pPr>
                    <w:jc w:val="center"/>
                    <w:rPr>
                      <w:rFonts w:hint="default" w:ascii="Times New Roman" w:hAnsi="Times New Roman" w:eastAsia="宋体" w:cs="Times New Roman"/>
                      <w:strike w:val="0"/>
                      <w:dstrike w:val="0"/>
                      <w:color w:val="auto"/>
                      <w:sz w:val="21"/>
                      <w:szCs w:val="21"/>
                      <w:u w:val="none" w:color="auto"/>
                      <w:lang w:val="en-US" w:eastAsia="zh-CN"/>
                    </w:rPr>
                  </w:pPr>
                  <w:r>
                    <w:rPr>
                      <w:rFonts w:hint="default" w:ascii="Times New Roman" w:hAnsi="Times New Roman" w:eastAsia="宋体" w:cs="Times New Roman"/>
                      <w:strike w:val="0"/>
                      <w:dstrike w:val="0"/>
                      <w:color w:val="auto"/>
                      <w:sz w:val="21"/>
                      <w:szCs w:val="21"/>
                      <w:u w:val="none" w:color="auto"/>
                      <w:lang w:val="en-US" w:eastAsia="zh-CN"/>
                    </w:rPr>
                    <w:t>收集到的金属粉尘（S5-1）、收集到的金属粉尘（S5-2）、TA011废气处理收集粉尘（S2-2）、去毛刺（人工补充打磨）收集到的粉尘（S6）</w:t>
                  </w:r>
                </w:p>
              </w:tc>
              <w:tc>
                <w:tcPr>
                  <w:tcW w:w="758" w:type="pct"/>
                  <w:noWrap w:val="0"/>
                  <w:vAlign w:val="center"/>
                </w:tcPr>
                <w:p w14:paraId="6B96BF96">
                  <w:pPr>
                    <w:jc w:val="center"/>
                    <w:rPr>
                      <w:rFonts w:hint="default" w:ascii="Times New Roman" w:hAnsi="Times New Roman" w:eastAsia="宋体" w:cs="Times New Roman"/>
                      <w:strike w:val="0"/>
                      <w:dstrike w:val="0"/>
                      <w:color w:val="auto"/>
                      <w:sz w:val="21"/>
                      <w:szCs w:val="21"/>
                      <w:u w:val="none" w:color="auto"/>
                      <w:lang w:val="en-US" w:eastAsia="zh-CN"/>
                    </w:rPr>
                  </w:pPr>
                  <w:r>
                    <w:rPr>
                      <w:rFonts w:hint="default" w:ascii="Times New Roman" w:hAnsi="Times New Roman" w:eastAsia="宋体" w:cs="Times New Roman"/>
                      <w:strike w:val="0"/>
                      <w:dstrike w:val="0"/>
                      <w:color w:val="auto"/>
                      <w:sz w:val="21"/>
                      <w:szCs w:val="21"/>
                      <w:u w:val="none" w:color="auto"/>
                      <w:lang w:val="en-US" w:eastAsia="zh-CN"/>
                    </w:rPr>
                    <w:t>激光打标除尘、</w:t>
                  </w:r>
                  <w:r>
                    <w:rPr>
                      <w:rFonts w:hint="default" w:ascii="Times New Roman" w:hAnsi="Times New Roman" w:eastAsia="宋体" w:cs="Times New Roman"/>
                      <w:strike w:val="0"/>
                      <w:dstrike w:val="0"/>
                      <w:color w:val="auto"/>
                      <w:sz w:val="21"/>
                      <w:szCs w:val="21"/>
                      <w:u w:val="none" w:color="auto"/>
                    </w:rPr>
                    <w:t>中创空天厂区铝合金熔铸二厂</w:t>
                  </w:r>
                  <w:r>
                    <w:rPr>
                      <w:rFonts w:hint="default" w:ascii="Times New Roman" w:hAnsi="Times New Roman" w:eastAsia="宋体" w:cs="Times New Roman"/>
                      <w:strike w:val="0"/>
                      <w:dstrike w:val="0"/>
                      <w:color w:val="auto"/>
                      <w:sz w:val="21"/>
                      <w:szCs w:val="21"/>
                      <w:u w:val="none" w:color="auto"/>
                      <w:lang w:val="en-US" w:eastAsia="zh-CN"/>
                    </w:rPr>
                    <w:t>生产工序、机加工工序</w:t>
                  </w:r>
                </w:p>
              </w:tc>
              <w:tc>
                <w:tcPr>
                  <w:tcW w:w="1082" w:type="pct"/>
                  <w:shd w:val="clear" w:color="auto" w:fill="auto"/>
                  <w:noWrap w:val="0"/>
                  <w:vAlign w:val="center"/>
                </w:tcPr>
                <w:p w14:paraId="3EA339AF">
                  <w:pPr>
                    <w:jc w:val="center"/>
                    <w:rPr>
                      <w:rFonts w:hint="default" w:ascii="Times New Roman" w:hAnsi="Times New Roman" w:eastAsia="宋体" w:cs="Times New Roman"/>
                      <w:strike w:val="0"/>
                      <w:dstrike w:val="0"/>
                      <w:color w:val="auto"/>
                      <w:sz w:val="21"/>
                      <w:szCs w:val="21"/>
                      <w:u w:val="none" w:color="auto"/>
                      <w:lang w:val="en-US" w:eastAsia="zh-CN"/>
                    </w:rPr>
                  </w:pPr>
                  <w:r>
                    <w:rPr>
                      <w:rFonts w:hint="default" w:ascii="Times New Roman" w:hAnsi="Times New Roman" w:eastAsia="宋体" w:cs="Times New Roman"/>
                      <w:strike w:val="0"/>
                      <w:dstrike w:val="0"/>
                      <w:color w:val="auto"/>
                      <w:sz w:val="21"/>
                      <w:szCs w:val="21"/>
                      <w:u w:val="none" w:color="auto"/>
                      <w:lang w:val="en-US" w:eastAsia="zh-CN"/>
                    </w:rPr>
                    <w:t>一般固废</w:t>
                  </w:r>
                </w:p>
              </w:tc>
              <w:tc>
                <w:tcPr>
                  <w:tcW w:w="649" w:type="pct"/>
                  <w:shd w:val="clear" w:color="auto" w:fill="auto"/>
                  <w:noWrap w:val="0"/>
                  <w:vAlign w:val="center"/>
                </w:tcPr>
                <w:p w14:paraId="2E8E54F7">
                  <w:pPr>
                    <w:jc w:val="center"/>
                    <w:rPr>
                      <w:rFonts w:hint="default" w:ascii="Times New Roman" w:hAnsi="Times New Roman" w:eastAsia="宋体" w:cs="Times New Roman"/>
                      <w:strike w:val="0"/>
                      <w:dstrike w:val="0"/>
                      <w:color w:val="auto"/>
                      <w:sz w:val="21"/>
                      <w:szCs w:val="21"/>
                      <w:u w:val="none" w:color="auto"/>
                      <w:lang w:val="en-US" w:eastAsia="zh-CN"/>
                    </w:rPr>
                  </w:pPr>
                  <w:r>
                    <w:rPr>
                      <w:rFonts w:hint="default" w:ascii="Times New Roman" w:hAnsi="Times New Roman" w:eastAsia="宋体" w:cs="Times New Roman"/>
                      <w:strike w:val="0"/>
                      <w:dstrike w:val="0"/>
                      <w:color w:val="auto"/>
                      <w:sz w:val="21"/>
                      <w:szCs w:val="21"/>
                      <w:u w:val="none" w:color="auto"/>
                      <w:lang w:val="en-US" w:eastAsia="zh-CN"/>
                    </w:rPr>
                    <w:t>51.4651‬</w:t>
                  </w:r>
                </w:p>
              </w:tc>
              <w:tc>
                <w:tcPr>
                  <w:tcW w:w="1420" w:type="pct"/>
                  <w:vMerge w:val="continue"/>
                  <w:noWrap w:val="0"/>
                  <w:vAlign w:val="center"/>
                </w:tcPr>
                <w:p w14:paraId="18A3D703">
                  <w:pPr>
                    <w:jc w:val="center"/>
                    <w:rPr>
                      <w:rFonts w:hint="default" w:ascii="Times New Roman" w:hAnsi="Times New Roman" w:eastAsia="宋体" w:cs="Times New Roman"/>
                      <w:strike w:val="0"/>
                      <w:dstrike w:val="0"/>
                      <w:color w:val="auto"/>
                      <w:sz w:val="21"/>
                      <w:szCs w:val="21"/>
                      <w:u w:val="none" w:color="auto"/>
                    </w:rPr>
                  </w:pPr>
                </w:p>
              </w:tc>
            </w:tr>
            <w:tr w14:paraId="15AF4C0E">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23" w:hRule="atLeast"/>
              </w:trPr>
              <w:tc>
                <w:tcPr>
                  <w:tcW w:w="0" w:type="auto"/>
                  <w:vAlign w:val="center"/>
                </w:tcPr>
                <w:p w14:paraId="17941DA3">
                  <w:pPr>
                    <w:jc w:val="center"/>
                    <w:rPr>
                      <w:rFonts w:hint="default" w:ascii="Times New Roman" w:hAnsi="Times New Roman" w:eastAsia="宋体" w:cs="Times New Roman"/>
                      <w:strike w:val="0"/>
                      <w:dstrike w:val="0"/>
                      <w:color w:val="auto"/>
                      <w:sz w:val="21"/>
                      <w:szCs w:val="21"/>
                      <w:u w:val="none" w:color="auto"/>
                      <w:lang w:val="en-US" w:eastAsia="zh-CN"/>
                    </w:rPr>
                  </w:pPr>
                  <w:r>
                    <w:rPr>
                      <w:rFonts w:hint="default" w:ascii="Times New Roman" w:hAnsi="Times New Roman" w:eastAsia="宋体" w:cs="Times New Roman"/>
                      <w:strike w:val="0"/>
                      <w:dstrike w:val="0"/>
                      <w:color w:val="auto"/>
                      <w:sz w:val="21"/>
                      <w:szCs w:val="21"/>
                      <w:u w:val="none" w:color="auto"/>
                      <w:lang w:val="en-US" w:eastAsia="zh-CN"/>
                    </w:rPr>
                    <w:t>6</w:t>
                  </w:r>
                </w:p>
              </w:tc>
              <w:tc>
                <w:tcPr>
                  <w:tcW w:w="0" w:type="auto"/>
                  <w:shd w:val="clear" w:color="auto" w:fill="auto"/>
                  <w:vAlign w:val="center"/>
                </w:tcPr>
                <w:p w14:paraId="27CFAD10">
                  <w:pPr>
                    <w:jc w:val="center"/>
                    <w:rPr>
                      <w:rFonts w:hint="default" w:ascii="Times New Roman" w:hAnsi="Times New Roman" w:eastAsia="宋体" w:cs="Times New Roman"/>
                      <w:strike w:val="0"/>
                      <w:dstrike w:val="0"/>
                      <w:color w:val="auto"/>
                      <w:sz w:val="21"/>
                      <w:szCs w:val="21"/>
                      <w:u w:val="none" w:color="auto"/>
                      <w:lang w:val="en-US" w:eastAsia="zh-CN"/>
                    </w:rPr>
                  </w:pPr>
                  <w:r>
                    <w:rPr>
                      <w:rFonts w:hint="default" w:ascii="Times New Roman" w:hAnsi="Times New Roman" w:eastAsia="宋体" w:cs="Times New Roman"/>
                      <w:strike w:val="0"/>
                      <w:dstrike w:val="0"/>
                      <w:color w:val="auto"/>
                      <w:sz w:val="21"/>
                      <w:szCs w:val="21"/>
                      <w:u w:val="none" w:color="auto"/>
                      <w:lang w:val="en-US" w:eastAsia="zh-CN"/>
                    </w:rPr>
                    <w:t>生物质颗粒空吨袋</w:t>
                  </w:r>
                </w:p>
              </w:tc>
              <w:tc>
                <w:tcPr>
                  <w:tcW w:w="758" w:type="pct"/>
                  <w:vAlign w:val="center"/>
                </w:tcPr>
                <w:p w14:paraId="598842B8">
                  <w:pPr>
                    <w:jc w:val="center"/>
                    <w:rPr>
                      <w:rFonts w:hint="default" w:ascii="Times New Roman" w:hAnsi="Times New Roman" w:eastAsia="宋体" w:cs="Times New Roman"/>
                      <w:strike w:val="0"/>
                      <w:dstrike w:val="0"/>
                      <w:color w:val="auto"/>
                      <w:sz w:val="21"/>
                      <w:szCs w:val="21"/>
                      <w:u w:val="none" w:color="auto"/>
                      <w:lang w:val="en-US" w:eastAsia="zh-CN"/>
                    </w:rPr>
                  </w:pPr>
                  <w:r>
                    <w:rPr>
                      <w:rFonts w:hint="default" w:ascii="Times New Roman" w:hAnsi="Times New Roman" w:eastAsia="宋体" w:cs="Times New Roman"/>
                      <w:strike w:val="0"/>
                      <w:dstrike w:val="0"/>
                      <w:color w:val="auto"/>
                      <w:sz w:val="21"/>
                      <w:szCs w:val="21"/>
                      <w:u w:val="none" w:color="auto"/>
                      <w:lang w:val="en-US" w:eastAsia="zh-CN"/>
                    </w:rPr>
                    <w:t>使用生物质</w:t>
                  </w:r>
                </w:p>
              </w:tc>
              <w:tc>
                <w:tcPr>
                  <w:tcW w:w="1082" w:type="pct"/>
                  <w:shd w:val="clear" w:color="auto" w:fill="auto"/>
                  <w:vAlign w:val="center"/>
                </w:tcPr>
                <w:p w14:paraId="7937DEC5">
                  <w:pPr>
                    <w:jc w:val="center"/>
                    <w:rPr>
                      <w:rFonts w:hint="default" w:ascii="Times New Roman" w:hAnsi="Times New Roman" w:eastAsia="宋体" w:cs="Times New Roman"/>
                      <w:strike w:val="0"/>
                      <w:dstrike w:val="0"/>
                      <w:color w:val="auto"/>
                      <w:sz w:val="21"/>
                      <w:szCs w:val="21"/>
                      <w:u w:val="none" w:color="auto"/>
                      <w:lang w:val="en-US" w:eastAsia="zh-CN"/>
                    </w:rPr>
                  </w:pPr>
                  <w:r>
                    <w:rPr>
                      <w:rFonts w:hint="default" w:ascii="Times New Roman" w:hAnsi="Times New Roman" w:eastAsia="宋体" w:cs="Times New Roman"/>
                      <w:strike w:val="0"/>
                      <w:dstrike w:val="0"/>
                      <w:color w:val="auto"/>
                      <w:sz w:val="21"/>
                      <w:szCs w:val="21"/>
                      <w:u w:val="none" w:color="auto"/>
                      <w:lang w:val="en-US" w:eastAsia="zh-CN"/>
                    </w:rPr>
                    <w:t>/</w:t>
                  </w:r>
                </w:p>
              </w:tc>
              <w:tc>
                <w:tcPr>
                  <w:tcW w:w="0" w:type="auto"/>
                  <w:shd w:val="clear" w:color="auto" w:fill="auto"/>
                  <w:vAlign w:val="center"/>
                </w:tcPr>
                <w:p w14:paraId="24CBC5E4">
                  <w:pPr>
                    <w:jc w:val="center"/>
                    <w:rPr>
                      <w:rFonts w:hint="default" w:ascii="Times New Roman" w:hAnsi="Times New Roman" w:eastAsia="宋体" w:cs="Times New Roman"/>
                      <w:strike w:val="0"/>
                      <w:dstrike w:val="0"/>
                      <w:color w:val="auto"/>
                      <w:sz w:val="21"/>
                      <w:szCs w:val="21"/>
                      <w:u w:val="none" w:color="auto"/>
                      <w:lang w:val="en-US" w:eastAsia="zh-CN"/>
                    </w:rPr>
                  </w:pPr>
                  <w:r>
                    <w:rPr>
                      <w:rFonts w:hint="default" w:ascii="Times New Roman" w:hAnsi="Times New Roman" w:eastAsia="宋体" w:cs="Times New Roman"/>
                      <w:strike w:val="0"/>
                      <w:dstrike w:val="0"/>
                      <w:color w:val="auto"/>
                      <w:sz w:val="21"/>
                      <w:szCs w:val="21"/>
                      <w:u w:val="none" w:color="auto"/>
                      <w:lang w:val="en-US" w:eastAsia="zh-CN"/>
                    </w:rPr>
                    <w:t>28.8</w:t>
                  </w:r>
                </w:p>
              </w:tc>
              <w:tc>
                <w:tcPr>
                  <w:tcW w:w="0" w:type="auto"/>
                  <w:vAlign w:val="center"/>
                </w:tcPr>
                <w:p w14:paraId="4B9C39B8">
                  <w:pPr>
                    <w:jc w:val="center"/>
                    <w:rPr>
                      <w:rFonts w:hint="default" w:ascii="Times New Roman" w:hAnsi="Times New Roman" w:eastAsia="宋体" w:cs="Times New Roman"/>
                      <w:strike w:val="0"/>
                      <w:dstrike w:val="0"/>
                      <w:color w:val="auto"/>
                      <w:sz w:val="21"/>
                      <w:szCs w:val="21"/>
                      <w:u w:val="none" w:color="auto"/>
                      <w:lang w:val="en-US" w:eastAsia="zh-CN"/>
                    </w:rPr>
                  </w:pPr>
                  <w:r>
                    <w:rPr>
                      <w:rFonts w:hint="default" w:ascii="Times New Roman" w:hAnsi="Times New Roman" w:eastAsia="宋体" w:cs="Times New Roman"/>
                      <w:strike w:val="0"/>
                      <w:dstrike w:val="0"/>
                      <w:color w:val="auto"/>
                      <w:sz w:val="21"/>
                      <w:szCs w:val="21"/>
                      <w:u w:val="none" w:color="auto"/>
                      <w:lang w:val="en-US" w:eastAsia="zh-CN"/>
                    </w:rPr>
                    <w:t>供应商回收再利用</w:t>
                  </w:r>
                </w:p>
              </w:tc>
            </w:tr>
            <w:tr w14:paraId="1DC430B3">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23" w:hRule="atLeast"/>
              </w:trPr>
              <w:tc>
                <w:tcPr>
                  <w:tcW w:w="0" w:type="auto"/>
                  <w:shd w:val="clear" w:color="auto" w:fill="auto"/>
                  <w:vAlign w:val="center"/>
                </w:tcPr>
                <w:p w14:paraId="5751991D">
                  <w:pPr>
                    <w:jc w:val="center"/>
                    <w:rPr>
                      <w:rFonts w:hint="default" w:ascii="Times New Roman" w:hAnsi="Times New Roman" w:eastAsia="宋体" w:cs="Times New Roman"/>
                      <w:strike w:val="0"/>
                      <w:dstrike w:val="0"/>
                      <w:color w:val="auto"/>
                      <w:kern w:val="2"/>
                      <w:sz w:val="21"/>
                      <w:szCs w:val="21"/>
                      <w:u w:val="none" w:color="auto"/>
                      <w:lang w:val="en-US" w:eastAsia="zh-CN" w:bidi="ar-SA"/>
                    </w:rPr>
                  </w:pPr>
                  <w:r>
                    <w:rPr>
                      <w:rFonts w:hint="default" w:ascii="Times New Roman" w:hAnsi="Times New Roman" w:eastAsia="宋体" w:cs="Times New Roman"/>
                      <w:strike w:val="0"/>
                      <w:dstrike w:val="0"/>
                      <w:color w:val="auto"/>
                      <w:sz w:val="21"/>
                      <w:szCs w:val="21"/>
                      <w:u w:val="none" w:color="auto"/>
                      <w:lang w:val="en-US" w:eastAsia="zh-CN"/>
                    </w:rPr>
                    <w:t>7</w:t>
                  </w:r>
                </w:p>
              </w:tc>
              <w:tc>
                <w:tcPr>
                  <w:tcW w:w="0" w:type="auto"/>
                  <w:shd w:val="clear" w:color="auto" w:fill="auto"/>
                  <w:vAlign w:val="center"/>
                </w:tcPr>
                <w:p w14:paraId="0C1C1700">
                  <w:pPr>
                    <w:jc w:val="center"/>
                    <w:rPr>
                      <w:rFonts w:hint="default" w:ascii="Times New Roman" w:hAnsi="Times New Roman" w:eastAsia="宋体" w:cs="Times New Roman"/>
                      <w:strike w:val="0"/>
                      <w:dstrike w:val="0"/>
                      <w:color w:val="auto"/>
                      <w:sz w:val="21"/>
                      <w:szCs w:val="21"/>
                      <w:u w:val="none" w:color="auto"/>
                      <w:lang w:val="en-US" w:eastAsia="zh-CN"/>
                    </w:rPr>
                  </w:pPr>
                  <w:r>
                    <w:rPr>
                      <w:rFonts w:hint="default" w:ascii="Times New Roman" w:hAnsi="Times New Roman" w:eastAsia="宋体" w:cs="Times New Roman"/>
                      <w:strike w:val="0"/>
                      <w:dstrike w:val="0"/>
                      <w:color w:val="auto"/>
                      <w:sz w:val="21"/>
                      <w:szCs w:val="21"/>
                      <w:u w:val="none" w:color="auto"/>
                    </w:rPr>
                    <w:t>二次铝灰渣</w:t>
                  </w:r>
                  <w:r>
                    <w:rPr>
                      <w:rFonts w:hint="default" w:ascii="Times New Roman" w:hAnsi="Times New Roman" w:eastAsia="宋体" w:cs="Times New Roman"/>
                      <w:strike w:val="0"/>
                      <w:dstrike w:val="0"/>
                      <w:color w:val="auto"/>
                      <w:sz w:val="21"/>
                      <w:szCs w:val="21"/>
                      <w:u w:val="none" w:color="auto"/>
                      <w:lang w:eastAsia="zh-CN"/>
                    </w:rPr>
                    <w:t>（</w:t>
                  </w:r>
                  <w:r>
                    <w:rPr>
                      <w:rFonts w:hint="default" w:ascii="Times New Roman" w:hAnsi="Times New Roman" w:eastAsia="宋体" w:cs="Times New Roman"/>
                      <w:strike w:val="0"/>
                      <w:dstrike w:val="0"/>
                      <w:color w:val="auto"/>
                      <w:sz w:val="21"/>
                      <w:szCs w:val="21"/>
                      <w:u w:val="none" w:color="auto"/>
                      <w:lang w:val="en-US" w:eastAsia="zh-CN"/>
                    </w:rPr>
                    <w:t>S1</w:t>
                  </w:r>
                  <w:r>
                    <w:rPr>
                      <w:rFonts w:hint="default" w:ascii="Times New Roman" w:hAnsi="Times New Roman" w:eastAsia="宋体" w:cs="Times New Roman"/>
                      <w:strike w:val="0"/>
                      <w:dstrike w:val="0"/>
                      <w:color w:val="auto"/>
                      <w:sz w:val="21"/>
                      <w:szCs w:val="21"/>
                      <w:u w:val="none" w:color="auto"/>
                      <w:lang w:eastAsia="zh-CN"/>
                    </w:rPr>
                    <w:t>）</w:t>
                  </w:r>
                </w:p>
              </w:tc>
              <w:tc>
                <w:tcPr>
                  <w:tcW w:w="758" w:type="pct"/>
                  <w:vAlign w:val="center"/>
                </w:tcPr>
                <w:p w14:paraId="3F8C6DF7">
                  <w:pPr>
                    <w:jc w:val="center"/>
                    <w:rPr>
                      <w:rFonts w:hint="default" w:ascii="Times New Roman" w:hAnsi="Times New Roman" w:eastAsia="宋体" w:cs="Times New Roman"/>
                      <w:strike w:val="0"/>
                      <w:dstrike w:val="0"/>
                      <w:color w:val="auto"/>
                      <w:sz w:val="21"/>
                      <w:szCs w:val="21"/>
                      <w:u w:val="none" w:color="auto"/>
                      <w:lang w:val="en-US" w:eastAsia="zh-CN"/>
                    </w:rPr>
                  </w:pPr>
                  <w:r>
                    <w:rPr>
                      <w:rFonts w:hint="default" w:ascii="Times New Roman" w:hAnsi="Times New Roman" w:eastAsia="宋体" w:cs="Times New Roman"/>
                      <w:strike w:val="0"/>
                      <w:dstrike w:val="0"/>
                      <w:color w:val="auto"/>
                      <w:sz w:val="21"/>
                      <w:szCs w:val="21"/>
                      <w:u w:val="none" w:color="auto"/>
                      <w:lang w:val="en-US" w:eastAsia="zh-CN"/>
                    </w:rPr>
                    <w:t>铝灰渣处理工序</w:t>
                  </w:r>
                </w:p>
              </w:tc>
              <w:tc>
                <w:tcPr>
                  <w:tcW w:w="1082" w:type="pct"/>
                  <w:shd w:val="clear" w:color="auto" w:fill="auto"/>
                  <w:vAlign w:val="center"/>
                </w:tcPr>
                <w:p w14:paraId="07EB0558">
                  <w:pPr>
                    <w:jc w:val="center"/>
                    <w:rPr>
                      <w:rFonts w:hint="default" w:ascii="Times New Roman" w:hAnsi="Times New Roman" w:eastAsia="宋体" w:cs="Times New Roman"/>
                      <w:strike w:val="0"/>
                      <w:dstrike w:val="0"/>
                      <w:color w:val="auto"/>
                      <w:sz w:val="21"/>
                      <w:szCs w:val="21"/>
                      <w:u w:val="none" w:color="auto"/>
                      <w:lang w:val="en-US" w:eastAsia="zh-CN"/>
                    </w:rPr>
                  </w:pPr>
                  <w:r>
                    <w:rPr>
                      <w:rFonts w:hint="default" w:ascii="Times New Roman" w:hAnsi="Times New Roman" w:eastAsia="宋体" w:cs="Times New Roman"/>
                      <w:strike w:val="0"/>
                      <w:dstrike w:val="0"/>
                      <w:color w:val="auto"/>
                      <w:sz w:val="21"/>
                      <w:szCs w:val="21"/>
                      <w:u w:val="none" w:color="auto"/>
                      <w:lang w:val="en-US" w:eastAsia="zh-CN"/>
                    </w:rPr>
                    <w:t>HW48，代码321-026-48</w:t>
                  </w:r>
                </w:p>
              </w:tc>
              <w:tc>
                <w:tcPr>
                  <w:tcW w:w="0" w:type="auto"/>
                  <w:shd w:val="clear" w:color="auto" w:fill="auto"/>
                  <w:vAlign w:val="center"/>
                </w:tcPr>
                <w:p w14:paraId="2A4AF316">
                  <w:pPr>
                    <w:jc w:val="center"/>
                    <w:rPr>
                      <w:rFonts w:hint="default" w:ascii="Times New Roman" w:hAnsi="Times New Roman" w:eastAsia="宋体" w:cs="Times New Roman"/>
                      <w:strike w:val="0"/>
                      <w:dstrike w:val="0"/>
                      <w:color w:val="auto"/>
                      <w:sz w:val="21"/>
                      <w:szCs w:val="21"/>
                      <w:u w:val="none" w:color="auto"/>
                      <w:lang w:val="en-US" w:eastAsia="zh-CN"/>
                    </w:rPr>
                  </w:pPr>
                  <w:r>
                    <w:rPr>
                      <w:rFonts w:hint="default" w:ascii="Times New Roman" w:hAnsi="Times New Roman" w:eastAsia="宋体" w:cs="Times New Roman"/>
                      <w:strike w:val="0"/>
                      <w:dstrike w:val="0"/>
                      <w:color w:val="auto"/>
                      <w:sz w:val="21"/>
                      <w:szCs w:val="21"/>
                      <w:u w:val="none" w:color="auto"/>
                      <w:lang w:val="en-US" w:eastAsia="zh-CN"/>
                    </w:rPr>
                    <w:t>146.2929‬</w:t>
                  </w:r>
                </w:p>
              </w:tc>
              <w:tc>
                <w:tcPr>
                  <w:tcW w:w="1420" w:type="pct"/>
                  <w:vMerge w:val="restart"/>
                  <w:vAlign w:val="center"/>
                </w:tcPr>
                <w:p w14:paraId="7CE95FE7">
                  <w:pPr>
                    <w:jc w:val="center"/>
                    <w:rPr>
                      <w:rFonts w:hint="default" w:ascii="Times New Roman" w:hAnsi="Times New Roman" w:eastAsia="宋体" w:cs="Times New Roman"/>
                      <w:strike w:val="0"/>
                      <w:dstrike w:val="0"/>
                      <w:color w:val="auto"/>
                      <w:sz w:val="21"/>
                      <w:szCs w:val="21"/>
                      <w:u w:val="none" w:color="auto"/>
                    </w:rPr>
                  </w:pPr>
                  <w:r>
                    <w:rPr>
                      <w:rFonts w:hint="default" w:ascii="Times New Roman" w:hAnsi="Times New Roman" w:eastAsia="宋体" w:cs="Times New Roman"/>
                      <w:strike w:val="0"/>
                      <w:dstrike w:val="0"/>
                      <w:color w:val="auto"/>
                      <w:sz w:val="21"/>
                      <w:szCs w:val="21"/>
                      <w:u w:val="none" w:color="auto"/>
                      <w:lang w:val="en-US" w:eastAsia="zh-CN"/>
                    </w:rPr>
                    <w:t>经暂存后交由资质单位无害化处置</w:t>
                  </w:r>
                </w:p>
              </w:tc>
            </w:tr>
            <w:tr w14:paraId="35F47CF4">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23" w:hRule="atLeast"/>
              </w:trPr>
              <w:tc>
                <w:tcPr>
                  <w:tcW w:w="0" w:type="auto"/>
                  <w:shd w:val="clear" w:color="auto" w:fill="auto"/>
                  <w:vAlign w:val="center"/>
                </w:tcPr>
                <w:p w14:paraId="431EA9C6">
                  <w:pPr>
                    <w:jc w:val="center"/>
                    <w:rPr>
                      <w:rFonts w:hint="default" w:ascii="Times New Roman" w:hAnsi="Times New Roman" w:eastAsia="宋体" w:cs="Times New Roman"/>
                      <w:strike w:val="0"/>
                      <w:dstrike w:val="0"/>
                      <w:color w:val="auto"/>
                      <w:kern w:val="2"/>
                      <w:sz w:val="21"/>
                      <w:szCs w:val="21"/>
                      <w:u w:val="none" w:color="auto"/>
                      <w:lang w:val="en-US" w:eastAsia="zh-CN" w:bidi="ar-SA"/>
                    </w:rPr>
                  </w:pPr>
                  <w:r>
                    <w:rPr>
                      <w:rFonts w:hint="default" w:ascii="Times New Roman" w:hAnsi="Times New Roman" w:eastAsia="宋体" w:cs="Times New Roman"/>
                      <w:strike w:val="0"/>
                      <w:dstrike w:val="0"/>
                      <w:color w:val="auto"/>
                      <w:sz w:val="21"/>
                      <w:szCs w:val="21"/>
                      <w:u w:val="none" w:color="auto"/>
                      <w:lang w:val="en-US" w:eastAsia="zh-CN"/>
                    </w:rPr>
                    <w:t>8</w:t>
                  </w:r>
                </w:p>
              </w:tc>
              <w:tc>
                <w:tcPr>
                  <w:tcW w:w="0" w:type="auto"/>
                  <w:shd w:val="clear" w:color="auto" w:fill="auto"/>
                  <w:vAlign w:val="center"/>
                </w:tcPr>
                <w:p w14:paraId="2778B577">
                  <w:pPr>
                    <w:jc w:val="center"/>
                    <w:rPr>
                      <w:rFonts w:hint="default" w:ascii="Times New Roman" w:hAnsi="Times New Roman" w:eastAsia="宋体" w:cs="Times New Roman"/>
                      <w:strike w:val="0"/>
                      <w:dstrike w:val="0"/>
                      <w:color w:val="auto"/>
                      <w:sz w:val="21"/>
                      <w:szCs w:val="21"/>
                      <w:u w:val="none" w:color="auto"/>
                      <w:lang w:val="en-US" w:eastAsia="zh-CN"/>
                    </w:rPr>
                  </w:pPr>
                  <w:r>
                    <w:rPr>
                      <w:rFonts w:hint="default" w:ascii="Times New Roman" w:hAnsi="Times New Roman" w:eastAsia="宋体" w:cs="Times New Roman"/>
                      <w:strike w:val="0"/>
                      <w:dstrike w:val="0"/>
                      <w:color w:val="auto"/>
                      <w:sz w:val="21"/>
                      <w:szCs w:val="21"/>
                      <w:u w:val="none" w:color="auto"/>
                      <w:lang w:val="en-US" w:eastAsia="zh-CN"/>
                    </w:rPr>
                    <w:t>除尘灰渣（S2-1）</w:t>
                  </w:r>
                </w:p>
              </w:tc>
              <w:tc>
                <w:tcPr>
                  <w:tcW w:w="758" w:type="pct"/>
                  <w:vAlign w:val="center"/>
                </w:tcPr>
                <w:p w14:paraId="7AA4DE75">
                  <w:pPr>
                    <w:jc w:val="center"/>
                    <w:rPr>
                      <w:rFonts w:hint="default" w:ascii="Times New Roman" w:hAnsi="Times New Roman" w:eastAsia="宋体" w:cs="Times New Roman"/>
                      <w:strike w:val="0"/>
                      <w:dstrike w:val="0"/>
                      <w:color w:val="auto"/>
                      <w:sz w:val="21"/>
                      <w:szCs w:val="21"/>
                      <w:u w:val="none" w:color="auto"/>
                    </w:rPr>
                  </w:pPr>
                  <w:r>
                    <w:rPr>
                      <w:rFonts w:hint="default" w:ascii="Times New Roman" w:hAnsi="Times New Roman" w:eastAsia="宋体" w:cs="Times New Roman"/>
                      <w:strike w:val="0"/>
                      <w:dstrike w:val="0"/>
                      <w:color w:val="auto"/>
                      <w:sz w:val="21"/>
                      <w:szCs w:val="21"/>
                      <w:u w:val="none" w:color="auto"/>
                    </w:rPr>
                    <w:t>TA010废气处理系统</w:t>
                  </w:r>
                </w:p>
              </w:tc>
              <w:tc>
                <w:tcPr>
                  <w:tcW w:w="1082" w:type="pct"/>
                  <w:shd w:val="clear" w:color="auto" w:fill="auto"/>
                  <w:vAlign w:val="center"/>
                </w:tcPr>
                <w:p w14:paraId="45D368A6">
                  <w:pPr>
                    <w:jc w:val="center"/>
                    <w:rPr>
                      <w:rFonts w:hint="default" w:ascii="Times New Roman" w:hAnsi="Times New Roman" w:eastAsia="宋体" w:cs="Times New Roman"/>
                      <w:strike w:val="0"/>
                      <w:dstrike w:val="0"/>
                      <w:color w:val="auto"/>
                      <w:sz w:val="21"/>
                      <w:szCs w:val="21"/>
                      <w:u w:val="none" w:color="auto"/>
                      <w:lang w:val="en-US" w:eastAsia="zh-CN"/>
                    </w:rPr>
                  </w:pPr>
                  <w:r>
                    <w:rPr>
                      <w:rFonts w:hint="default" w:ascii="Times New Roman" w:hAnsi="Times New Roman" w:eastAsia="宋体" w:cs="Times New Roman"/>
                      <w:strike w:val="0"/>
                      <w:dstrike w:val="0"/>
                      <w:color w:val="auto"/>
                      <w:sz w:val="21"/>
                      <w:szCs w:val="21"/>
                      <w:u w:val="none" w:color="auto"/>
                      <w:lang w:val="en-US" w:eastAsia="zh-CN"/>
                    </w:rPr>
                    <w:t>HW48，代码321-034-48</w:t>
                  </w:r>
                </w:p>
              </w:tc>
              <w:tc>
                <w:tcPr>
                  <w:tcW w:w="0" w:type="auto"/>
                  <w:shd w:val="clear" w:color="auto" w:fill="auto"/>
                  <w:vAlign w:val="center"/>
                </w:tcPr>
                <w:p w14:paraId="71A1F972">
                  <w:pPr>
                    <w:jc w:val="center"/>
                    <w:rPr>
                      <w:rFonts w:hint="default" w:ascii="Times New Roman" w:hAnsi="Times New Roman" w:eastAsia="宋体" w:cs="Times New Roman"/>
                      <w:strike w:val="0"/>
                      <w:dstrike w:val="0"/>
                      <w:color w:val="auto"/>
                      <w:sz w:val="21"/>
                      <w:szCs w:val="21"/>
                      <w:u w:val="none" w:color="auto"/>
                      <w:lang w:val="en-US" w:eastAsia="zh-CN"/>
                    </w:rPr>
                  </w:pPr>
                  <w:r>
                    <w:rPr>
                      <w:rFonts w:hint="default" w:ascii="Times New Roman" w:hAnsi="Times New Roman" w:eastAsia="宋体" w:cs="Times New Roman"/>
                      <w:strike w:val="0"/>
                      <w:dstrike w:val="0"/>
                      <w:color w:val="auto"/>
                      <w:sz w:val="21"/>
                      <w:szCs w:val="21"/>
                      <w:u w:val="none" w:color="auto"/>
                      <w:lang w:val="en-US" w:eastAsia="zh-CN"/>
                    </w:rPr>
                    <w:t>282.5423</w:t>
                  </w:r>
                </w:p>
              </w:tc>
              <w:tc>
                <w:tcPr>
                  <w:tcW w:w="1420" w:type="pct"/>
                  <w:vMerge w:val="continue"/>
                  <w:vAlign w:val="center"/>
                </w:tcPr>
                <w:p w14:paraId="40BE0850">
                  <w:pPr>
                    <w:jc w:val="center"/>
                    <w:rPr>
                      <w:rFonts w:hint="default" w:ascii="Times New Roman" w:hAnsi="Times New Roman" w:eastAsia="宋体" w:cs="Times New Roman"/>
                      <w:strike w:val="0"/>
                      <w:dstrike w:val="0"/>
                      <w:color w:val="auto"/>
                      <w:sz w:val="21"/>
                      <w:szCs w:val="21"/>
                      <w:u w:val="none" w:color="auto"/>
                    </w:rPr>
                  </w:pPr>
                </w:p>
              </w:tc>
            </w:tr>
            <w:tr w14:paraId="65A60ED1">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23" w:hRule="atLeast"/>
              </w:trPr>
              <w:tc>
                <w:tcPr>
                  <w:tcW w:w="0" w:type="auto"/>
                  <w:shd w:val="clear" w:color="auto" w:fill="auto"/>
                  <w:vAlign w:val="center"/>
                </w:tcPr>
                <w:p w14:paraId="144BBDE4">
                  <w:pPr>
                    <w:jc w:val="center"/>
                    <w:rPr>
                      <w:rFonts w:hint="default" w:ascii="Times New Roman" w:hAnsi="Times New Roman" w:eastAsia="宋体" w:cs="Times New Roman"/>
                      <w:strike w:val="0"/>
                      <w:dstrike w:val="0"/>
                      <w:color w:val="auto"/>
                      <w:kern w:val="2"/>
                      <w:sz w:val="21"/>
                      <w:szCs w:val="21"/>
                      <w:u w:val="none" w:color="auto"/>
                      <w:lang w:val="en-US" w:eastAsia="zh-CN" w:bidi="ar-SA"/>
                    </w:rPr>
                  </w:pPr>
                  <w:r>
                    <w:rPr>
                      <w:rFonts w:hint="default" w:ascii="Times New Roman" w:hAnsi="Times New Roman" w:eastAsia="宋体" w:cs="Times New Roman"/>
                      <w:strike w:val="0"/>
                      <w:dstrike w:val="0"/>
                      <w:color w:val="auto"/>
                      <w:sz w:val="21"/>
                      <w:szCs w:val="21"/>
                      <w:u w:val="none" w:color="auto"/>
                      <w:lang w:val="en-US" w:eastAsia="zh-CN"/>
                    </w:rPr>
                    <w:t>9</w:t>
                  </w:r>
                </w:p>
              </w:tc>
              <w:tc>
                <w:tcPr>
                  <w:tcW w:w="0" w:type="auto"/>
                  <w:shd w:val="clear" w:color="auto" w:fill="auto"/>
                  <w:vAlign w:val="center"/>
                </w:tcPr>
                <w:p w14:paraId="72DFB142">
                  <w:pPr>
                    <w:jc w:val="center"/>
                    <w:rPr>
                      <w:rFonts w:hint="default" w:ascii="Times New Roman" w:hAnsi="Times New Roman" w:eastAsia="宋体" w:cs="Times New Roman"/>
                      <w:strike w:val="0"/>
                      <w:dstrike w:val="0"/>
                      <w:color w:val="auto"/>
                      <w:sz w:val="21"/>
                      <w:szCs w:val="21"/>
                      <w:u w:val="none" w:color="auto"/>
                      <w:lang w:val="en-US" w:eastAsia="zh-CN"/>
                    </w:rPr>
                  </w:pPr>
                  <w:r>
                    <w:rPr>
                      <w:rFonts w:hint="default" w:ascii="Times New Roman" w:hAnsi="Times New Roman" w:eastAsia="宋体" w:cs="Times New Roman"/>
                      <w:strike w:val="0"/>
                      <w:dstrike w:val="0"/>
                      <w:color w:val="auto"/>
                      <w:sz w:val="21"/>
                      <w:szCs w:val="21"/>
                      <w:u w:val="none" w:color="auto"/>
                      <w:lang w:val="en-US" w:eastAsia="zh-CN"/>
                    </w:rPr>
                    <w:t>脱模剂空桶</w:t>
                  </w:r>
                </w:p>
              </w:tc>
              <w:tc>
                <w:tcPr>
                  <w:tcW w:w="758" w:type="pct"/>
                  <w:vAlign w:val="center"/>
                </w:tcPr>
                <w:p w14:paraId="034F5A01">
                  <w:pPr>
                    <w:jc w:val="center"/>
                    <w:rPr>
                      <w:rFonts w:hint="default" w:ascii="Times New Roman" w:hAnsi="Times New Roman" w:eastAsia="宋体" w:cs="Times New Roman"/>
                      <w:strike w:val="0"/>
                      <w:dstrike w:val="0"/>
                      <w:color w:val="auto"/>
                      <w:sz w:val="21"/>
                      <w:szCs w:val="21"/>
                      <w:u w:val="none" w:color="auto"/>
                      <w:lang w:val="en-US" w:eastAsia="zh-CN"/>
                    </w:rPr>
                  </w:pPr>
                  <w:r>
                    <w:rPr>
                      <w:rFonts w:hint="default" w:ascii="Times New Roman" w:hAnsi="Times New Roman" w:eastAsia="宋体" w:cs="Times New Roman"/>
                      <w:strike w:val="0"/>
                      <w:dstrike w:val="0"/>
                      <w:color w:val="auto"/>
                      <w:sz w:val="21"/>
                      <w:szCs w:val="21"/>
                      <w:u w:val="none" w:color="auto"/>
                      <w:lang w:val="en-US" w:eastAsia="zh-CN"/>
                    </w:rPr>
                    <w:t>压铸工序</w:t>
                  </w:r>
                </w:p>
              </w:tc>
              <w:tc>
                <w:tcPr>
                  <w:tcW w:w="1082" w:type="pct"/>
                  <w:shd w:val="clear" w:color="auto" w:fill="auto"/>
                  <w:vAlign w:val="center"/>
                </w:tcPr>
                <w:p w14:paraId="4F962A9D">
                  <w:pPr>
                    <w:jc w:val="center"/>
                    <w:rPr>
                      <w:rFonts w:hint="default" w:ascii="Times New Roman" w:hAnsi="Times New Roman" w:eastAsia="宋体" w:cs="Times New Roman"/>
                      <w:strike w:val="0"/>
                      <w:dstrike w:val="0"/>
                      <w:color w:val="auto"/>
                      <w:sz w:val="21"/>
                      <w:szCs w:val="21"/>
                      <w:u w:val="none" w:color="auto"/>
                      <w:lang w:val="en-US" w:eastAsia="zh-CN"/>
                    </w:rPr>
                  </w:pPr>
                  <w:r>
                    <w:rPr>
                      <w:rFonts w:hint="default" w:ascii="Times New Roman" w:hAnsi="Times New Roman" w:eastAsia="宋体" w:cs="Times New Roman"/>
                      <w:strike w:val="0"/>
                      <w:dstrike w:val="0"/>
                      <w:color w:val="auto"/>
                      <w:sz w:val="21"/>
                      <w:szCs w:val="21"/>
                      <w:u w:val="none" w:color="auto"/>
                      <w:lang w:val="en-US" w:eastAsia="zh-CN"/>
                    </w:rPr>
                    <w:t>/</w:t>
                  </w:r>
                </w:p>
              </w:tc>
              <w:tc>
                <w:tcPr>
                  <w:tcW w:w="0" w:type="auto"/>
                  <w:shd w:val="clear" w:color="auto" w:fill="auto"/>
                  <w:vAlign w:val="center"/>
                </w:tcPr>
                <w:p w14:paraId="3D5409E3">
                  <w:pPr>
                    <w:jc w:val="center"/>
                    <w:rPr>
                      <w:rFonts w:hint="default" w:ascii="Times New Roman" w:hAnsi="Times New Roman" w:eastAsia="宋体" w:cs="Times New Roman"/>
                      <w:strike w:val="0"/>
                      <w:dstrike w:val="0"/>
                      <w:color w:val="auto"/>
                      <w:sz w:val="21"/>
                      <w:szCs w:val="21"/>
                      <w:u w:val="none" w:color="auto"/>
                      <w:lang w:val="en-US" w:eastAsia="zh-CN"/>
                    </w:rPr>
                  </w:pPr>
                  <w:r>
                    <w:rPr>
                      <w:rFonts w:hint="default" w:ascii="Times New Roman" w:hAnsi="Times New Roman" w:eastAsia="宋体" w:cs="Times New Roman"/>
                      <w:strike w:val="0"/>
                      <w:dstrike w:val="0"/>
                      <w:color w:val="auto"/>
                      <w:sz w:val="21"/>
                      <w:szCs w:val="21"/>
                      <w:u w:val="none" w:color="auto"/>
                      <w:lang w:val="en-US" w:eastAsia="zh-CN"/>
                    </w:rPr>
                    <w:t>10.725</w:t>
                  </w:r>
                </w:p>
              </w:tc>
              <w:tc>
                <w:tcPr>
                  <w:tcW w:w="0" w:type="auto"/>
                  <w:vAlign w:val="center"/>
                </w:tcPr>
                <w:p w14:paraId="3740DEE7">
                  <w:pPr>
                    <w:jc w:val="center"/>
                    <w:rPr>
                      <w:rFonts w:hint="default" w:ascii="Times New Roman" w:hAnsi="Times New Roman" w:eastAsia="宋体" w:cs="Times New Roman"/>
                      <w:strike w:val="0"/>
                      <w:dstrike w:val="0"/>
                      <w:color w:val="auto"/>
                      <w:sz w:val="21"/>
                      <w:szCs w:val="21"/>
                      <w:u w:val="none" w:color="auto"/>
                    </w:rPr>
                  </w:pPr>
                  <w:r>
                    <w:rPr>
                      <w:rFonts w:hint="default" w:ascii="Times New Roman" w:hAnsi="Times New Roman" w:eastAsia="宋体" w:cs="Times New Roman"/>
                      <w:strike w:val="0"/>
                      <w:dstrike w:val="0"/>
                      <w:color w:val="auto"/>
                      <w:sz w:val="21"/>
                      <w:szCs w:val="21"/>
                      <w:u w:val="none" w:color="auto"/>
                      <w:lang w:val="en-US" w:eastAsia="zh-CN"/>
                    </w:rPr>
                    <w:t>供应商回收再利用</w:t>
                  </w:r>
                </w:p>
              </w:tc>
            </w:tr>
            <w:tr w14:paraId="62D6F063">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23" w:hRule="atLeast"/>
              </w:trPr>
              <w:tc>
                <w:tcPr>
                  <w:tcW w:w="0" w:type="auto"/>
                  <w:vAlign w:val="center"/>
                </w:tcPr>
                <w:p w14:paraId="11FAD545">
                  <w:pPr>
                    <w:jc w:val="center"/>
                    <w:rPr>
                      <w:rFonts w:hint="default" w:ascii="Times New Roman" w:hAnsi="Times New Roman" w:eastAsia="宋体" w:cs="Times New Roman"/>
                      <w:strike w:val="0"/>
                      <w:dstrike w:val="0"/>
                      <w:color w:val="auto"/>
                      <w:sz w:val="21"/>
                      <w:szCs w:val="21"/>
                      <w:u w:val="none" w:color="auto"/>
                      <w:lang w:val="en-US" w:eastAsia="zh-CN"/>
                    </w:rPr>
                  </w:pPr>
                  <w:r>
                    <w:rPr>
                      <w:rFonts w:hint="default" w:ascii="Times New Roman" w:hAnsi="Times New Roman" w:eastAsia="宋体" w:cs="Times New Roman"/>
                      <w:strike w:val="0"/>
                      <w:dstrike w:val="0"/>
                      <w:color w:val="auto"/>
                      <w:sz w:val="21"/>
                      <w:szCs w:val="21"/>
                      <w:u w:val="none" w:color="auto"/>
                      <w:lang w:val="en-US" w:eastAsia="zh-CN"/>
                    </w:rPr>
                    <w:t>10</w:t>
                  </w:r>
                </w:p>
              </w:tc>
              <w:tc>
                <w:tcPr>
                  <w:tcW w:w="0" w:type="auto"/>
                  <w:shd w:val="clear" w:color="auto" w:fill="auto"/>
                  <w:vAlign w:val="center"/>
                </w:tcPr>
                <w:p w14:paraId="185C1DCD">
                  <w:pPr>
                    <w:jc w:val="center"/>
                    <w:rPr>
                      <w:rFonts w:hint="default" w:ascii="Times New Roman" w:hAnsi="Times New Roman" w:eastAsia="宋体" w:cs="Times New Roman"/>
                      <w:strike w:val="0"/>
                      <w:dstrike w:val="0"/>
                      <w:color w:val="auto"/>
                      <w:sz w:val="21"/>
                      <w:szCs w:val="21"/>
                      <w:u w:val="none" w:color="auto"/>
                      <w:lang w:val="en-US" w:eastAsia="zh-CN"/>
                    </w:rPr>
                  </w:pPr>
                  <w:r>
                    <w:rPr>
                      <w:rFonts w:hint="default" w:ascii="Times New Roman" w:hAnsi="Times New Roman" w:eastAsia="宋体" w:cs="Times New Roman"/>
                      <w:strike w:val="0"/>
                      <w:dstrike w:val="0"/>
                      <w:color w:val="auto"/>
                      <w:sz w:val="21"/>
                      <w:szCs w:val="21"/>
                      <w:u w:val="none" w:color="auto"/>
                      <w:lang w:val="en-US" w:eastAsia="zh-CN"/>
                    </w:rPr>
                    <w:t>废导热油</w:t>
                  </w:r>
                </w:p>
              </w:tc>
              <w:tc>
                <w:tcPr>
                  <w:tcW w:w="758" w:type="pct"/>
                  <w:shd w:val="clear" w:color="auto" w:fill="auto"/>
                  <w:vAlign w:val="center"/>
                </w:tcPr>
                <w:p w14:paraId="71A049AF">
                  <w:pPr>
                    <w:jc w:val="center"/>
                    <w:rPr>
                      <w:rFonts w:hint="default" w:ascii="Times New Roman" w:hAnsi="Times New Roman" w:eastAsia="宋体" w:cs="Times New Roman"/>
                      <w:strike w:val="0"/>
                      <w:dstrike w:val="0"/>
                      <w:color w:val="auto"/>
                      <w:kern w:val="2"/>
                      <w:sz w:val="21"/>
                      <w:szCs w:val="21"/>
                      <w:u w:val="none" w:color="auto"/>
                      <w:lang w:val="en-US" w:eastAsia="zh-CN" w:bidi="ar-SA"/>
                    </w:rPr>
                  </w:pPr>
                  <w:r>
                    <w:rPr>
                      <w:rFonts w:hint="default" w:ascii="Times New Roman" w:hAnsi="Times New Roman" w:eastAsia="宋体" w:cs="Times New Roman"/>
                      <w:strike w:val="0"/>
                      <w:dstrike w:val="0"/>
                      <w:color w:val="auto"/>
                      <w:sz w:val="21"/>
                      <w:szCs w:val="21"/>
                      <w:u w:val="none" w:color="auto"/>
                      <w:lang w:val="en-US" w:eastAsia="zh-CN"/>
                    </w:rPr>
                    <w:t>压铸工序</w:t>
                  </w:r>
                </w:p>
              </w:tc>
              <w:tc>
                <w:tcPr>
                  <w:tcW w:w="1082" w:type="pct"/>
                  <w:shd w:val="clear" w:color="auto" w:fill="auto"/>
                  <w:vAlign w:val="center"/>
                </w:tcPr>
                <w:p w14:paraId="77CF188A">
                  <w:pPr>
                    <w:jc w:val="center"/>
                    <w:rPr>
                      <w:rFonts w:hint="default" w:ascii="Times New Roman" w:hAnsi="Times New Roman" w:eastAsia="宋体" w:cs="Times New Roman"/>
                      <w:strike w:val="0"/>
                      <w:dstrike w:val="0"/>
                      <w:color w:val="auto"/>
                      <w:sz w:val="21"/>
                      <w:szCs w:val="21"/>
                      <w:u w:val="none" w:color="auto"/>
                      <w:lang w:val="en-US" w:eastAsia="zh-CN"/>
                    </w:rPr>
                  </w:pPr>
                  <w:r>
                    <w:rPr>
                      <w:rFonts w:hint="default" w:ascii="Times New Roman" w:hAnsi="Times New Roman" w:eastAsia="宋体" w:cs="Times New Roman"/>
                      <w:strike w:val="0"/>
                      <w:dstrike w:val="0"/>
                      <w:color w:val="auto"/>
                      <w:sz w:val="21"/>
                      <w:szCs w:val="21"/>
                      <w:u w:val="none" w:color="auto"/>
                      <w:lang w:val="en-US" w:eastAsia="zh-CN"/>
                    </w:rPr>
                    <w:t>HW08，代码900-249-08</w:t>
                  </w:r>
                </w:p>
              </w:tc>
              <w:tc>
                <w:tcPr>
                  <w:tcW w:w="0" w:type="auto"/>
                  <w:shd w:val="clear" w:color="auto" w:fill="auto"/>
                  <w:vAlign w:val="center"/>
                </w:tcPr>
                <w:p w14:paraId="0169E188">
                  <w:pPr>
                    <w:jc w:val="center"/>
                    <w:rPr>
                      <w:rFonts w:hint="default" w:ascii="Times New Roman" w:hAnsi="Times New Roman" w:eastAsia="宋体" w:cs="Times New Roman"/>
                      <w:strike w:val="0"/>
                      <w:dstrike w:val="0"/>
                      <w:color w:val="auto"/>
                      <w:sz w:val="21"/>
                      <w:szCs w:val="21"/>
                      <w:u w:val="none" w:color="auto"/>
                      <w:lang w:val="en-US" w:eastAsia="zh-CN"/>
                    </w:rPr>
                  </w:pPr>
                  <w:r>
                    <w:rPr>
                      <w:rFonts w:hint="default" w:ascii="Times New Roman" w:hAnsi="Times New Roman" w:eastAsia="宋体" w:cs="Times New Roman"/>
                      <w:strike w:val="0"/>
                      <w:dstrike w:val="0"/>
                      <w:color w:val="auto"/>
                      <w:sz w:val="21"/>
                      <w:szCs w:val="21"/>
                      <w:u w:val="none" w:color="auto"/>
                      <w:lang w:val="en-US" w:eastAsia="zh-CN"/>
                    </w:rPr>
                    <w:t>4</w:t>
                  </w:r>
                </w:p>
              </w:tc>
              <w:tc>
                <w:tcPr>
                  <w:tcW w:w="1420" w:type="pct"/>
                  <w:vMerge w:val="restart"/>
                  <w:vAlign w:val="center"/>
                </w:tcPr>
                <w:p w14:paraId="7D3B3E62">
                  <w:pPr>
                    <w:jc w:val="center"/>
                    <w:rPr>
                      <w:rFonts w:hint="default" w:ascii="Times New Roman" w:hAnsi="Times New Roman" w:eastAsia="宋体" w:cs="Times New Roman"/>
                      <w:strike w:val="0"/>
                      <w:dstrike w:val="0"/>
                      <w:color w:val="auto"/>
                      <w:sz w:val="21"/>
                      <w:szCs w:val="21"/>
                      <w:u w:val="none" w:color="auto"/>
                    </w:rPr>
                  </w:pPr>
                  <w:r>
                    <w:rPr>
                      <w:rFonts w:hint="default" w:ascii="Times New Roman" w:hAnsi="Times New Roman" w:eastAsia="宋体" w:cs="Times New Roman"/>
                      <w:strike w:val="0"/>
                      <w:dstrike w:val="0"/>
                      <w:color w:val="auto"/>
                      <w:sz w:val="21"/>
                      <w:szCs w:val="21"/>
                      <w:u w:val="none" w:color="auto"/>
                      <w:lang w:val="en-US" w:eastAsia="zh-CN"/>
                    </w:rPr>
                    <w:t>经暂存后交由资质单位无害化处置</w:t>
                  </w:r>
                </w:p>
              </w:tc>
            </w:tr>
            <w:tr w14:paraId="19DCB13D">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23" w:hRule="atLeast"/>
              </w:trPr>
              <w:tc>
                <w:tcPr>
                  <w:tcW w:w="0" w:type="auto"/>
                  <w:vAlign w:val="center"/>
                </w:tcPr>
                <w:p w14:paraId="2B4B0154">
                  <w:pPr>
                    <w:jc w:val="center"/>
                    <w:rPr>
                      <w:rFonts w:hint="default" w:ascii="Times New Roman" w:hAnsi="Times New Roman" w:eastAsia="宋体" w:cs="Times New Roman"/>
                      <w:strike w:val="0"/>
                      <w:dstrike w:val="0"/>
                      <w:color w:val="auto"/>
                      <w:sz w:val="21"/>
                      <w:szCs w:val="21"/>
                      <w:u w:val="none" w:color="auto"/>
                      <w:lang w:val="en-US" w:eastAsia="zh-CN"/>
                    </w:rPr>
                  </w:pPr>
                  <w:r>
                    <w:rPr>
                      <w:rFonts w:hint="default" w:ascii="Times New Roman" w:hAnsi="Times New Roman" w:eastAsia="宋体" w:cs="Times New Roman"/>
                      <w:strike w:val="0"/>
                      <w:dstrike w:val="0"/>
                      <w:color w:val="auto"/>
                      <w:sz w:val="21"/>
                      <w:szCs w:val="21"/>
                      <w:u w:val="none" w:color="auto"/>
                      <w:lang w:val="en-US" w:eastAsia="zh-CN"/>
                    </w:rPr>
                    <w:t>11</w:t>
                  </w:r>
                </w:p>
              </w:tc>
              <w:tc>
                <w:tcPr>
                  <w:tcW w:w="0" w:type="auto"/>
                  <w:shd w:val="clear" w:color="auto" w:fill="auto"/>
                  <w:vAlign w:val="center"/>
                </w:tcPr>
                <w:p w14:paraId="6604A406">
                  <w:pPr>
                    <w:jc w:val="center"/>
                    <w:rPr>
                      <w:rFonts w:hint="default" w:ascii="Times New Roman" w:hAnsi="Times New Roman" w:eastAsia="宋体" w:cs="Times New Roman"/>
                      <w:strike w:val="0"/>
                      <w:dstrike w:val="0"/>
                      <w:color w:val="auto"/>
                      <w:sz w:val="21"/>
                      <w:szCs w:val="21"/>
                      <w:u w:val="none" w:color="auto"/>
                      <w:lang w:val="en-US" w:eastAsia="zh-CN"/>
                    </w:rPr>
                  </w:pPr>
                  <w:r>
                    <w:rPr>
                      <w:rFonts w:hint="default" w:ascii="Times New Roman" w:hAnsi="Times New Roman" w:eastAsia="宋体" w:cs="Times New Roman"/>
                      <w:strike w:val="0"/>
                      <w:dstrike w:val="0"/>
                      <w:color w:val="auto"/>
                      <w:sz w:val="21"/>
                      <w:szCs w:val="21"/>
                      <w:u w:val="none" w:color="auto"/>
                      <w:lang w:val="en-US" w:eastAsia="zh-CN"/>
                    </w:rPr>
                    <w:t>废活性炭（S2-2）</w:t>
                  </w:r>
                </w:p>
              </w:tc>
              <w:tc>
                <w:tcPr>
                  <w:tcW w:w="758" w:type="pct"/>
                  <w:vAlign w:val="center"/>
                </w:tcPr>
                <w:p w14:paraId="657C1687">
                  <w:pPr>
                    <w:jc w:val="center"/>
                    <w:rPr>
                      <w:rFonts w:hint="default" w:ascii="Times New Roman" w:hAnsi="Times New Roman" w:eastAsia="宋体" w:cs="Times New Roman"/>
                      <w:strike w:val="0"/>
                      <w:dstrike w:val="0"/>
                      <w:color w:val="auto"/>
                      <w:sz w:val="21"/>
                      <w:szCs w:val="21"/>
                      <w:u w:val="none" w:color="auto"/>
                    </w:rPr>
                  </w:pPr>
                  <w:r>
                    <w:rPr>
                      <w:rFonts w:hint="default" w:ascii="Times New Roman" w:hAnsi="Times New Roman" w:eastAsia="宋体" w:cs="Times New Roman"/>
                      <w:strike w:val="0"/>
                      <w:dstrike w:val="0"/>
                      <w:color w:val="auto"/>
                      <w:sz w:val="21"/>
                      <w:szCs w:val="21"/>
                      <w:u w:val="none" w:color="auto"/>
                    </w:rPr>
                    <w:t>TA011废气</w:t>
                  </w:r>
                  <w:r>
                    <w:rPr>
                      <w:rFonts w:hint="eastAsia" w:cs="Times New Roman"/>
                      <w:strike w:val="0"/>
                      <w:dstrike w:val="0"/>
                      <w:color w:val="auto"/>
                      <w:sz w:val="21"/>
                      <w:szCs w:val="21"/>
                      <w:u w:val="none" w:color="auto"/>
                      <w:lang w:eastAsia="zh-CN"/>
                    </w:rPr>
                    <w:t>处理</w:t>
                  </w:r>
                  <w:r>
                    <w:rPr>
                      <w:rFonts w:hint="default" w:ascii="Times New Roman" w:hAnsi="Times New Roman" w:eastAsia="宋体" w:cs="Times New Roman"/>
                      <w:strike w:val="0"/>
                      <w:dstrike w:val="0"/>
                      <w:color w:val="auto"/>
                      <w:sz w:val="21"/>
                      <w:szCs w:val="21"/>
                      <w:u w:val="none" w:color="auto"/>
                    </w:rPr>
                    <w:t>系统</w:t>
                  </w:r>
                </w:p>
              </w:tc>
              <w:tc>
                <w:tcPr>
                  <w:tcW w:w="1082" w:type="pct"/>
                  <w:shd w:val="clear" w:color="auto" w:fill="auto"/>
                  <w:vAlign w:val="center"/>
                </w:tcPr>
                <w:p w14:paraId="4D890490">
                  <w:pPr>
                    <w:jc w:val="center"/>
                    <w:rPr>
                      <w:rFonts w:hint="default" w:ascii="Times New Roman" w:hAnsi="Times New Roman" w:eastAsia="宋体" w:cs="Times New Roman"/>
                      <w:strike w:val="0"/>
                      <w:dstrike w:val="0"/>
                      <w:color w:val="auto"/>
                      <w:sz w:val="21"/>
                      <w:szCs w:val="21"/>
                      <w:u w:val="none" w:color="auto"/>
                      <w:lang w:val="en-US" w:eastAsia="zh-CN"/>
                    </w:rPr>
                  </w:pPr>
                  <w:r>
                    <w:rPr>
                      <w:rFonts w:hint="default" w:ascii="Times New Roman" w:hAnsi="Times New Roman" w:eastAsia="宋体" w:cs="Times New Roman"/>
                      <w:strike w:val="0"/>
                      <w:dstrike w:val="0"/>
                      <w:color w:val="auto"/>
                      <w:sz w:val="21"/>
                      <w:szCs w:val="21"/>
                      <w:u w:val="none" w:color="auto"/>
                    </w:rPr>
                    <w:t>HW49，代码900-039-49</w:t>
                  </w:r>
                </w:p>
              </w:tc>
              <w:tc>
                <w:tcPr>
                  <w:tcW w:w="0" w:type="auto"/>
                  <w:shd w:val="clear" w:color="auto" w:fill="auto"/>
                  <w:vAlign w:val="center"/>
                </w:tcPr>
                <w:p w14:paraId="6BC99AB3">
                  <w:pPr>
                    <w:jc w:val="center"/>
                    <w:rPr>
                      <w:rFonts w:hint="default" w:ascii="Times New Roman" w:hAnsi="Times New Roman" w:eastAsia="宋体" w:cs="Times New Roman"/>
                      <w:strike w:val="0"/>
                      <w:dstrike w:val="0"/>
                      <w:color w:val="auto"/>
                      <w:sz w:val="21"/>
                      <w:szCs w:val="21"/>
                      <w:u w:val="none" w:color="auto"/>
                      <w:lang w:val="en-US" w:eastAsia="zh-CN"/>
                    </w:rPr>
                  </w:pPr>
                  <w:r>
                    <w:rPr>
                      <w:rFonts w:hint="default" w:ascii="Times New Roman" w:hAnsi="Times New Roman" w:eastAsia="宋体" w:cs="Times New Roman"/>
                      <w:strike w:val="0"/>
                      <w:dstrike w:val="0"/>
                      <w:color w:val="auto"/>
                      <w:sz w:val="21"/>
                      <w:szCs w:val="21"/>
                      <w:u w:val="none" w:color="auto"/>
                      <w:lang w:val="en-US" w:eastAsia="zh-CN"/>
                    </w:rPr>
                    <w:t>1.322</w:t>
                  </w:r>
                </w:p>
              </w:tc>
              <w:tc>
                <w:tcPr>
                  <w:tcW w:w="1420" w:type="pct"/>
                  <w:vMerge w:val="continue"/>
                  <w:vAlign w:val="center"/>
                </w:tcPr>
                <w:p w14:paraId="346A3D40">
                  <w:pPr>
                    <w:jc w:val="center"/>
                    <w:rPr>
                      <w:rFonts w:hint="default" w:ascii="Times New Roman" w:hAnsi="Times New Roman" w:eastAsia="宋体" w:cs="Times New Roman"/>
                      <w:strike w:val="0"/>
                      <w:dstrike w:val="0"/>
                      <w:color w:val="auto"/>
                      <w:sz w:val="21"/>
                      <w:szCs w:val="21"/>
                      <w:u w:val="none" w:color="auto"/>
                    </w:rPr>
                  </w:pPr>
                </w:p>
              </w:tc>
            </w:tr>
            <w:tr w14:paraId="7DD50A3A">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23" w:hRule="atLeast"/>
              </w:trPr>
              <w:tc>
                <w:tcPr>
                  <w:tcW w:w="0" w:type="auto"/>
                  <w:vAlign w:val="center"/>
                </w:tcPr>
                <w:p w14:paraId="711D2C1E">
                  <w:pPr>
                    <w:jc w:val="center"/>
                    <w:rPr>
                      <w:rFonts w:hint="default" w:ascii="Times New Roman" w:hAnsi="Times New Roman" w:eastAsia="宋体" w:cs="Times New Roman"/>
                      <w:strike w:val="0"/>
                      <w:dstrike w:val="0"/>
                      <w:color w:val="auto"/>
                      <w:sz w:val="21"/>
                      <w:szCs w:val="21"/>
                      <w:u w:val="none" w:color="auto"/>
                      <w:lang w:val="en-US" w:eastAsia="zh-CN"/>
                    </w:rPr>
                  </w:pPr>
                  <w:r>
                    <w:rPr>
                      <w:rFonts w:hint="default" w:ascii="Times New Roman" w:hAnsi="Times New Roman" w:eastAsia="宋体" w:cs="Times New Roman"/>
                      <w:strike w:val="0"/>
                      <w:dstrike w:val="0"/>
                      <w:color w:val="auto"/>
                      <w:sz w:val="21"/>
                      <w:szCs w:val="21"/>
                      <w:u w:val="none" w:color="auto"/>
                      <w:lang w:val="en-US" w:eastAsia="zh-CN"/>
                    </w:rPr>
                    <w:t>12</w:t>
                  </w:r>
                </w:p>
              </w:tc>
              <w:tc>
                <w:tcPr>
                  <w:tcW w:w="0" w:type="auto"/>
                  <w:shd w:val="clear" w:color="auto" w:fill="auto"/>
                  <w:vAlign w:val="center"/>
                </w:tcPr>
                <w:p w14:paraId="13ADE568">
                  <w:pPr>
                    <w:jc w:val="center"/>
                    <w:rPr>
                      <w:rFonts w:hint="default" w:ascii="Times New Roman" w:hAnsi="Times New Roman" w:eastAsia="宋体" w:cs="Times New Roman"/>
                      <w:strike w:val="0"/>
                      <w:dstrike w:val="0"/>
                      <w:color w:val="auto"/>
                      <w:sz w:val="21"/>
                      <w:szCs w:val="21"/>
                      <w:u w:val="none" w:color="auto"/>
                      <w:lang w:val="en-US" w:eastAsia="zh-CN"/>
                    </w:rPr>
                  </w:pPr>
                  <w:r>
                    <w:rPr>
                      <w:rFonts w:hint="default" w:ascii="Times New Roman" w:hAnsi="Times New Roman" w:eastAsia="宋体" w:cs="Times New Roman"/>
                      <w:strike w:val="0"/>
                      <w:dstrike w:val="0"/>
                      <w:color w:val="auto"/>
                      <w:sz w:val="21"/>
                      <w:szCs w:val="21"/>
                      <w:u w:val="none" w:color="auto"/>
                      <w:lang w:val="en-US" w:eastAsia="zh-CN"/>
                    </w:rPr>
                    <w:t>废润滑油</w:t>
                  </w:r>
                </w:p>
              </w:tc>
              <w:tc>
                <w:tcPr>
                  <w:tcW w:w="758" w:type="pct"/>
                  <w:vMerge w:val="restart"/>
                  <w:vAlign w:val="center"/>
                </w:tcPr>
                <w:p w14:paraId="4514E866">
                  <w:pPr>
                    <w:jc w:val="center"/>
                    <w:rPr>
                      <w:rFonts w:hint="default" w:ascii="Times New Roman" w:hAnsi="Times New Roman" w:eastAsia="宋体" w:cs="Times New Roman"/>
                      <w:strike w:val="0"/>
                      <w:dstrike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设备维修维护</w:t>
                  </w:r>
                </w:p>
              </w:tc>
              <w:tc>
                <w:tcPr>
                  <w:tcW w:w="1082" w:type="pct"/>
                  <w:shd w:val="clear" w:color="auto" w:fill="auto"/>
                  <w:vAlign w:val="center"/>
                </w:tcPr>
                <w:p w14:paraId="7DEA729B">
                  <w:pPr>
                    <w:jc w:val="center"/>
                    <w:rPr>
                      <w:rFonts w:hint="default" w:ascii="Times New Roman" w:hAnsi="Times New Roman" w:eastAsia="宋体" w:cs="Times New Roman"/>
                      <w:strike w:val="0"/>
                      <w:dstrike w:val="0"/>
                      <w:color w:val="auto"/>
                      <w:sz w:val="21"/>
                      <w:szCs w:val="21"/>
                      <w:u w:val="none" w:color="auto"/>
                      <w:lang w:val="en-US" w:eastAsia="zh-CN"/>
                    </w:rPr>
                  </w:pPr>
                  <w:r>
                    <w:rPr>
                      <w:rFonts w:hint="default" w:ascii="Times New Roman" w:hAnsi="Times New Roman" w:eastAsia="宋体" w:cs="Times New Roman"/>
                      <w:strike w:val="0"/>
                      <w:dstrike w:val="0"/>
                      <w:color w:val="auto"/>
                      <w:sz w:val="21"/>
                      <w:szCs w:val="21"/>
                      <w:u w:val="none" w:color="auto"/>
                      <w:lang w:val="en-US" w:eastAsia="zh-CN"/>
                    </w:rPr>
                    <w:t>HW08，代码900-217-08</w:t>
                  </w:r>
                </w:p>
              </w:tc>
              <w:tc>
                <w:tcPr>
                  <w:tcW w:w="0" w:type="auto"/>
                  <w:shd w:val="clear" w:color="auto" w:fill="auto"/>
                  <w:vAlign w:val="center"/>
                </w:tcPr>
                <w:p w14:paraId="225193E9">
                  <w:pPr>
                    <w:jc w:val="center"/>
                    <w:rPr>
                      <w:rFonts w:hint="default" w:ascii="Times New Roman" w:hAnsi="Times New Roman" w:eastAsia="宋体" w:cs="Times New Roman"/>
                      <w:strike w:val="0"/>
                      <w:dstrike w:val="0"/>
                      <w:color w:val="auto"/>
                      <w:sz w:val="21"/>
                      <w:szCs w:val="21"/>
                      <w:u w:val="none" w:color="auto"/>
                      <w:lang w:val="en-US" w:eastAsia="zh-CN"/>
                    </w:rPr>
                  </w:pPr>
                  <w:r>
                    <w:rPr>
                      <w:rFonts w:hint="default" w:ascii="Times New Roman" w:hAnsi="Times New Roman" w:eastAsia="宋体" w:cs="Times New Roman"/>
                      <w:strike w:val="0"/>
                      <w:dstrike w:val="0"/>
                      <w:color w:val="auto"/>
                      <w:sz w:val="21"/>
                      <w:szCs w:val="21"/>
                      <w:u w:val="none" w:color="auto"/>
                      <w:lang w:val="en-US" w:eastAsia="zh-CN"/>
                    </w:rPr>
                    <w:t>1.05</w:t>
                  </w:r>
                </w:p>
              </w:tc>
              <w:tc>
                <w:tcPr>
                  <w:tcW w:w="1420" w:type="pct"/>
                  <w:vMerge w:val="continue"/>
                  <w:vAlign w:val="center"/>
                </w:tcPr>
                <w:p w14:paraId="6B0379F7">
                  <w:pPr>
                    <w:jc w:val="center"/>
                    <w:rPr>
                      <w:rFonts w:hint="default" w:ascii="Times New Roman" w:hAnsi="Times New Roman" w:eastAsia="宋体" w:cs="Times New Roman"/>
                      <w:strike w:val="0"/>
                      <w:dstrike w:val="0"/>
                      <w:color w:val="auto"/>
                      <w:sz w:val="21"/>
                      <w:szCs w:val="21"/>
                      <w:u w:val="none" w:color="auto"/>
                    </w:rPr>
                  </w:pPr>
                </w:p>
              </w:tc>
            </w:tr>
            <w:tr w14:paraId="5DDB0AE9">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23" w:hRule="atLeast"/>
              </w:trPr>
              <w:tc>
                <w:tcPr>
                  <w:tcW w:w="0" w:type="auto"/>
                  <w:vAlign w:val="center"/>
                </w:tcPr>
                <w:p w14:paraId="6C984DB4">
                  <w:pPr>
                    <w:jc w:val="center"/>
                    <w:rPr>
                      <w:rFonts w:hint="default" w:ascii="Times New Roman" w:hAnsi="Times New Roman" w:eastAsia="宋体" w:cs="Times New Roman"/>
                      <w:strike w:val="0"/>
                      <w:dstrike w:val="0"/>
                      <w:color w:val="auto"/>
                      <w:sz w:val="21"/>
                      <w:szCs w:val="21"/>
                      <w:u w:val="none" w:color="auto"/>
                      <w:lang w:val="en-US" w:eastAsia="zh-CN"/>
                    </w:rPr>
                  </w:pPr>
                  <w:r>
                    <w:rPr>
                      <w:rFonts w:hint="default" w:ascii="Times New Roman" w:hAnsi="Times New Roman" w:eastAsia="宋体" w:cs="Times New Roman"/>
                      <w:strike w:val="0"/>
                      <w:dstrike w:val="0"/>
                      <w:color w:val="auto"/>
                      <w:sz w:val="21"/>
                      <w:szCs w:val="21"/>
                      <w:u w:val="none" w:color="auto"/>
                      <w:lang w:val="en-US" w:eastAsia="zh-CN"/>
                    </w:rPr>
                    <w:t>13</w:t>
                  </w:r>
                </w:p>
              </w:tc>
              <w:tc>
                <w:tcPr>
                  <w:tcW w:w="0" w:type="auto"/>
                  <w:shd w:val="clear" w:color="auto" w:fill="auto"/>
                  <w:vAlign w:val="center"/>
                </w:tcPr>
                <w:p w14:paraId="0B167B13">
                  <w:pPr>
                    <w:jc w:val="center"/>
                    <w:rPr>
                      <w:rFonts w:hint="default" w:ascii="Times New Roman" w:hAnsi="Times New Roman" w:eastAsia="宋体" w:cs="Times New Roman"/>
                      <w:strike w:val="0"/>
                      <w:dstrike w:val="0"/>
                      <w:color w:val="auto"/>
                      <w:sz w:val="21"/>
                      <w:szCs w:val="21"/>
                      <w:u w:val="none" w:color="auto"/>
                      <w:lang w:val="en-US" w:eastAsia="zh-CN"/>
                    </w:rPr>
                  </w:pPr>
                  <w:r>
                    <w:rPr>
                      <w:rFonts w:hint="default" w:ascii="Times New Roman" w:hAnsi="Times New Roman" w:eastAsia="宋体" w:cs="Times New Roman"/>
                      <w:strike w:val="0"/>
                      <w:dstrike w:val="0"/>
                      <w:color w:val="auto"/>
                      <w:sz w:val="21"/>
                      <w:szCs w:val="21"/>
                      <w:u w:val="none" w:color="auto"/>
                      <w:lang w:val="en-US" w:eastAsia="zh-CN"/>
                    </w:rPr>
                    <w:t>废液压油</w:t>
                  </w:r>
                </w:p>
              </w:tc>
              <w:tc>
                <w:tcPr>
                  <w:tcW w:w="758" w:type="pct"/>
                  <w:vMerge w:val="continue"/>
                  <w:vAlign w:val="center"/>
                </w:tcPr>
                <w:p w14:paraId="3160F40D">
                  <w:pPr>
                    <w:jc w:val="center"/>
                    <w:rPr>
                      <w:rFonts w:hint="default" w:ascii="Times New Roman" w:hAnsi="Times New Roman" w:eastAsia="宋体" w:cs="Times New Roman"/>
                      <w:strike w:val="0"/>
                      <w:dstrike w:val="0"/>
                      <w:color w:val="auto"/>
                      <w:sz w:val="21"/>
                      <w:szCs w:val="21"/>
                      <w:u w:val="none" w:color="auto"/>
                    </w:rPr>
                  </w:pPr>
                </w:p>
              </w:tc>
              <w:tc>
                <w:tcPr>
                  <w:tcW w:w="1082" w:type="pct"/>
                  <w:shd w:val="clear" w:color="auto" w:fill="auto"/>
                  <w:vAlign w:val="center"/>
                </w:tcPr>
                <w:p w14:paraId="30F045AF">
                  <w:pPr>
                    <w:jc w:val="center"/>
                    <w:rPr>
                      <w:rFonts w:hint="default" w:ascii="Times New Roman" w:hAnsi="Times New Roman" w:eastAsia="宋体" w:cs="Times New Roman"/>
                      <w:strike w:val="0"/>
                      <w:dstrike w:val="0"/>
                      <w:color w:val="auto"/>
                      <w:sz w:val="21"/>
                      <w:szCs w:val="21"/>
                      <w:u w:val="none" w:color="auto"/>
                      <w:lang w:val="en-US" w:eastAsia="zh-CN"/>
                    </w:rPr>
                  </w:pPr>
                  <w:r>
                    <w:rPr>
                      <w:rFonts w:hint="default" w:ascii="Times New Roman" w:hAnsi="Times New Roman" w:eastAsia="宋体" w:cs="Times New Roman"/>
                      <w:strike w:val="0"/>
                      <w:dstrike w:val="0"/>
                      <w:color w:val="auto"/>
                      <w:sz w:val="21"/>
                      <w:szCs w:val="21"/>
                      <w:u w:val="none" w:color="auto"/>
                      <w:lang w:val="en-US" w:eastAsia="zh-CN"/>
                    </w:rPr>
                    <w:t>HW08，代码900-218-08</w:t>
                  </w:r>
                </w:p>
              </w:tc>
              <w:tc>
                <w:tcPr>
                  <w:tcW w:w="0" w:type="auto"/>
                  <w:shd w:val="clear" w:color="auto" w:fill="auto"/>
                  <w:vAlign w:val="center"/>
                </w:tcPr>
                <w:p w14:paraId="7AE0BEBD">
                  <w:pPr>
                    <w:jc w:val="center"/>
                    <w:rPr>
                      <w:rFonts w:hint="default" w:ascii="Times New Roman" w:hAnsi="Times New Roman" w:eastAsia="宋体" w:cs="Times New Roman"/>
                      <w:strike w:val="0"/>
                      <w:dstrike w:val="0"/>
                      <w:color w:val="auto"/>
                      <w:sz w:val="21"/>
                      <w:szCs w:val="21"/>
                      <w:u w:val="none" w:color="auto"/>
                      <w:lang w:val="en-US" w:eastAsia="zh-CN"/>
                    </w:rPr>
                  </w:pPr>
                  <w:r>
                    <w:rPr>
                      <w:rFonts w:hint="default" w:ascii="Times New Roman" w:hAnsi="Times New Roman" w:eastAsia="宋体" w:cs="Times New Roman"/>
                      <w:strike w:val="0"/>
                      <w:dstrike w:val="0"/>
                      <w:color w:val="auto"/>
                      <w:sz w:val="21"/>
                      <w:szCs w:val="21"/>
                      <w:u w:val="none" w:color="auto"/>
                      <w:lang w:val="en-US" w:eastAsia="zh-CN"/>
                    </w:rPr>
                    <w:t>1.5</w:t>
                  </w:r>
                </w:p>
              </w:tc>
              <w:tc>
                <w:tcPr>
                  <w:tcW w:w="1420" w:type="pct"/>
                  <w:vMerge w:val="continue"/>
                  <w:vAlign w:val="center"/>
                </w:tcPr>
                <w:p w14:paraId="6015A558">
                  <w:pPr>
                    <w:jc w:val="center"/>
                    <w:rPr>
                      <w:rFonts w:hint="default" w:ascii="Times New Roman" w:hAnsi="Times New Roman" w:eastAsia="宋体" w:cs="Times New Roman"/>
                      <w:strike w:val="0"/>
                      <w:dstrike w:val="0"/>
                      <w:color w:val="auto"/>
                      <w:sz w:val="21"/>
                      <w:szCs w:val="21"/>
                      <w:u w:val="none" w:color="auto"/>
                    </w:rPr>
                  </w:pPr>
                </w:p>
              </w:tc>
            </w:tr>
            <w:tr w14:paraId="216C3DFD">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23" w:hRule="atLeast"/>
              </w:trPr>
              <w:tc>
                <w:tcPr>
                  <w:tcW w:w="0" w:type="auto"/>
                  <w:vAlign w:val="center"/>
                </w:tcPr>
                <w:p w14:paraId="3DD33D51">
                  <w:pPr>
                    <w:jc w:val="center"/>
                    <w:rPr>
                      <w:rFonts w:hint="default" w:ascii="Times New Roman" w:hAnsi="Times New Roman" w:eastAsia="宋体" w:cs="Times New Roman"/>
                      <w:strike w:val="0"/>
                      <w:dstrike w:val="0"/>
                      <w:color w:val="auto"/>
                      <w:sz w:val="21"/>
                      <w:szCs w:val="21"/>
                      <w:u w:val="none" w:color="auto"/>
                      <w:lang w:val="en-US" w:eastAsia="zh-CN"/>
                    </w:rPr>
                  </w:pPr>
                  <w:r>
                    <w:rPr>
                      <w:rFonts w:hint="default" w:ascii="Times New Roman" w:hAnsi="Times New Roman" w:eastAsia="宋体" w:cs="Times New Roman"/>
                      <w:strike w:val="0"/>
                      <w:dstrike w:val="0"/>
                      <w:color w:val="auto"/>
                      <w:sz w:val="21"/>
                      <w:szCs w:val="21"/>
                      <w:u w:val="none" w:color="auto"/>
                      <w:lang w:val="en-US" w:eastAsia="zh-CN"/>
                    </w:rPr>
                    <w:t>14</w:t>
                  </w:r>
                </w:p>
              </w:tc>
              <w:tc>
                <w:tcPr>
                  <w:tcW w:w="0" w:type="auto"/>
                  <w:shd w:val="clear" w:color="auto" w:fill="auto"/>
                  <w:vAlign w:val="center"/>
                </w:tcPr>
                <w:p w14:paraId="243424D6">
                  <w:pPr>
                    <w:jc w:val="both"/>
                    <w:rPr>
                      <w:rFonts w:hint="default" w:ascii="Times New Roman" w:hAnsi="Times New Roman" w:eastAsia="宋体" w:cs="Times New Roman"/>
                      <w:strike w:val="0"/>
                      <w:dstrike w:val="0"/>
                      <w:color w:val="auto"/>
                      <w:sz w:val="21"/>
                      <w:szCs w:val="21"/>
                      <w:u w:val="none" w:color="auto"/>
                      <w:lang w:val="en-US" w:eastAsia="zh-CN"/>
                    </w:rPr>
                  </w:pPr>
                  <w:r>
                    <w:rPr>
                      <w:rFonts w:hint="default" w:ascii="Times New Roman" w:hAnsi="Times New Roman" w:eastAsia="宋体" w:cs="Times New Roman"/>
                      <w:strike w:val="0"/>
                      <w:dstrike w:val="0"/>
                      <w:color w:val="auto"/>
                      <w:sz w:val="21"/>
                      <w:szCs w:val="21"/>
                      <w:u w:val="none" w:color="auto"/>
                      <w:lang w:val="en-US" w:eastAsia="zh-CN"/>
                    </w:rPr>
                    <w:t>废液压油桶、废润滑油桶</w:t>
                  </w:r>
                </w:p>
              </w:tc>
              <w:tc>
                <w:tcPr>
                  <w:tcW w:w="758" w:type="pct"/>
                  <w:vMerge w:val="continue"/>
                  <w:vAlign w:val="center"/>
                </w:tcPr>
                <w:p w14:paraId="47AAFED8">
                  <w:pPr>
                    <w:jc w:val="center"/>
                    <w:rPr>
                      <w:rFonts w:hint="default" w:ascii="Times New Roman" w:hAnsi="Times New Roman" w:eastAsia="宋体" w:cs="Times New Roman"/>
                      <w:strike w:val="0"/>
                      <w:dstrike w:val="0"/>
                      <w:color w:val="auto"/>
                      <w:sz w:val="21"/>
                      <w:szCs w:val="21"/>
                      <w:u w:val="none" w:color="auto"/>
                    </w:rPr>
                  </w:pPr>
                </w:p>
              </w:tc>
              <w:tc>
                <w:tcPr>
                  <w:tcW w:w="1082" w:type="pct"/>
                  <w:shd w:val="clear" w:color="auto" w:fill="auto"/>
                  <w:vAlign w:val="center"/>
                </w:tcPr>
                <w:p w14:paraId="2999481F">
                  <w:pPr>
                    <w:jc w:val="center"/>
                    <w:rPr>
                      <w:rFonts w:hint="default" w:ascii="Times New Roman" w:hAnsi="Times New Roman" w:eastAsia="宋体" w:cs="Times New Roman"/>
                      <w:strike w:val="0"/>
                      <w:dstrike w:val="0"/>
                      <w:color w:val="auto"/>
                      <w:sz w:val="21"/>
                      <w:szCs w:val="21"/>
                      <w:u w:val="none" w:color="auto"/>
                      <w:lang w:val="en-US" w:eastAsia="zh-CN"/>
                    </w:rPr>
                  </w:pPr>
                  <w:r>
                    <w:rPr>
                      <w:rFonts w:hint="default" w:ascii="Times New Roman" w:hAnsi="Times New Roman" w:eastAsia="宋体" w:cs="Times New Roman"/>
                      <w:strike w:val="0"/>
                      <w:dstrike w:val="0"/>
                      <w:color w:val="auto"/>
                      <w:sz w:val="21"/>
                      <w:szCs w:val="21"/>
                      <w:u w:val="none" w:color="auto"/>
                    </w:rPr>
                    <w:t>HW</w:t>
                  </w:r>
                  <w:r>
                    <w:rPr>
                      <w:rFonts w:hint="default" w:ascii="Times New Roman" w:hAnsi="Times New Roman" w:eastAsia="宋体" w:cs="Times New Roman"/>
                      <w:strike w:val="0"/>
                      <w:dstrike w:val="0"/>
                      <w:color w:val="auto"/>
                      <w:sz w:val="21"/>
                      <w:szCs w:val="21"/>
                      <w:u w:val="none" w:color="auto"/>
                      <w:lang w:val="en-US" w:eastAsia="zh-CN"/>
                    </w:rPr>
                    <w:t>08</w:t>
                  </w:r>
                  <w:r>
                    <w:rPr>
                      <w:rFonts w:hint="default" w:ascii="Times New Roman" w:hAnsi="Times New Roman" w:eastAsia="宋体" w:cs="Times New Roman"/>
                      <w:strike w:val="0"/>
                      <w:dstrike w:val="0"/>
                      <w:color w:val="auto"/>
                      <w:sz w:val="21"/>
                      <w:szCs w:val="21"/>
                      <w:u w:val="none" w:color="auto"/>
                    </w:rPr>
                    <w:t>，代码900-</w:t>
                  </w:r>
                  <w:r>
                    <w:rPr>
                      <w:rFonts w:hint="default" w:ascii="Times New Roman" w:hAnsi="Times New Roman" w:eastAsia="宋体" w:cs="Times New Roman"/>
                      <w:strike w:val="0"/>
                      <w:dstrike w:val="0"/>
                      <w:color w:val="auto"/>
                      <w:sz w:val="21"/>
                      <w:szCs w:val="21"/>
                      <w:u w:val="none" w:color="auto"/>
                      <w:lang w:val="en-US" w:eastAsia="zh-CN"/>
                    </w:rPr>
                    <w:t>249</w:t>
                  </w:r>
                  <w:r>
                    <w:rPr>
                      <w:rFonts w:hint="default" w:ascii="Times New Roman" w:hAnsi="Times New Roman" w:eastAsia="宋体" w:cs="Times New Roman"/>
                      <w:strike w:val="0"/>
                      <w:dstrike w:val="0"/>
                      <w:color w:val="auto"/>
                      <w:sz w:val="21"/>
                      <w:szCs w:val="21"/>
                      <w:u w:val="none" w:color="auto"/>
                    </w:rPr>
                    <w:t>-</w:t>
                  </w:r>
                  <w:r>
                    <w:rPr>
                      <w:rFonts w:hint="default" w:ascii="Times New Roman" w:hAnsi="Times New Roman" w:eastAsia="宋体" w:cs="Times New Roman"/>
                      <w:strike w:val="0"/>
                      <w:dstrike w:val="0"/>
                      <w:color w:val="auto"/>
                      <w:sz w:val="21"/>
                      <w:szCs w:val="21"/>
                      <w:u w:val="none" w:color="auto"/>
                      <w:lang w:val="en-US" w:eastAsia="zh-CN"/>
                    </w:rPr>
                    <w:t>08</w:t>
                  </w:r>
                </w:p>
              </w:tc>
              <w:tc>
                <w:tcPr>
                  <w:tcW w:w="0" w:type="auto"/>
                  <w:shd w:val="clear" w:color="auto" w:fill="auto"/>
                  <w:vAlign w:val="center"/>
                </w:tcPr>
                <w:p w14:paraId="3829F5A0">
                  <w:pPr>
                    <w:jc w:val="center"/>
                    <w:rPr>
                      <w:rFonts w:hint="default" w:ascii="Times New Roman" w:hAnsi="Times New Roman" w:eastAsia="宋体" w:cs="Times New Roman"/>
                      <w:strike w:val="0"/>
                      <w:dstrike w:val="0"/>
                      <w:color w:val="auto"/>
                      <w:sz w:val="21"/>
                      <w:szCs w:val="21"/>
                      <w:u w:val="none" w:color="auto"/>
                      <w:lang w:val="en-US" w:eastAsia="zh-CN"/>
                    </w:rPr>
                  </w:pPr>
                  <w:r>
                    <w:rPr>
                      <w:rFonts w:hint="default" w:ascii="Times New Roman" w:hAnsi="Times New Roman" w:eastAsia="宋体" w:cs="Times New Roman"/>
                      <w:strike w:val="0"/>
                      <w:dstrike w:val="0"/>
                      <w:color w:val="auto"/>
                      <w:sz w:val="21"/>
                      <w:szCs w:val="21"/>
                      <w:u w:val="none" w:color="auto"/>
                      <w:lang w:val="en-US" w:eastAsia="zh-CN"/>
                    </w:rPr>
                    <w:t>3.2</w:t>
                  </w:r>
                </w:p>
              </w:tc>
              <w:tc>
                <w:tcPr>
                  <w:tcW w:w="1420" w:type="pct"/>
                  <w:vMerge w:val="continue"/>
                  <w:vAlign w:val="center"/>
                </w:tcPr>
                <w:p w14:paraId="2DA4A3A9">
                  <w:pPr>
                    <w:jc w:val="center"/>
                    <w:rPr>
                      <w:rFonts w:hint="default" w:ascii="Times New Roman" w:hAnsi="Times New Roman" w:eastAsia="宋体" w:cs="Times New Roman"/>
                      <w:strike w:val="0"/>
                      <w:dstrike w:val="0"/>
                      <w:color w:val="auto"/>
                      <w:sz w:val="21"/>
                      <w:szCs w:val="21"/>
                      <w:u w:val="none" w:color="auto"/>
                    </w:rPr>
                  </w:pPr>
                </w:p>
              </w:tc>
            </w:tr>
            <w:tr w14:paraId="555162DF">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23" w:hRule="atLeast"/>
              </w:trPr>
              <w:tc>
                <w:tcPr>
                  <w:tcW w:w="0" w:type="auto"/>
                  <w:vAlign w:val="center"/>
                </w:tcPr>
                <w:p w14:paraId="66C3D798">
                  <w:pPr>
                    <w:jc w:val="center"/>
                    <w:rPr>
                      <w:rFonts w:hint="default" w:ascii="Times New Roman" w:hAnsi="Times New Roman" w:eastAsia="宋体" w:cs="Times New Roman"/>
                      <w:strike w:val="0"/>
                      <w:dstrike w:val="0"/>
                      <w:color w:val="auto"/>
                      <w:sz w:val="21"/>
                      <w:szCs w:val="21"/>
                      <w:u w:val="none" w:color="auto"/>
                      <w:lang w:val="en-US" w:eastAsia="zh-CN"/>
                    </w:rPr>
                  </w:pPr>
                  <w:r>
                    <w:rPr>
                      <w:rFonts w:hint="default" w:ascii="Times New Roman" w:hAnsi="Times New Roman" w:eastAsia="宋体" w:cs="Times New Roman"/>
                      <w:strike w:val="0"/>
                      <w:dstrike w:val="0"/>
                      <w:color w:val="auto"/>
                      <w:sz w:val="21"/>
                      <w:szCs w:val="21"/>
                      <w:u w:val="none" w:color="auto"/>
                      <w:lang w:val="en-US" w:eastAsia="zh-CN"/>
                    </w:rPr>
                    <w:t>15</w:t>
                  </w:r>
                </w:p>
              </w:tc>
              <w:tc>
                <w:tcPr>
                  <w:tcW w:w="0" w:type="auto"/>
                  <w:shd w:val="clear" w:color="auto" w:fill="auto"/>
                  <w:vAlign w:val="center"/>
                </w:tcPr>
                <w:p w14:paraId="78474162">
                  <w:pPr>
                    <w:jc w:val="center"/>
                    <w:rPr>
                      <w:rFonts w:hint="default" w:ascii="Times New Roman" w:hAnsi="Times New Roman" w:eastAsia="宋体" w:cs="Times New Roman"/>
                      <w:strike w:val="0"/>
                      <w:dstrike w:val="0"/>
                      <w:color w:val="auto"/>
                      <w:sz w:val="21"/>
                      <w:szCs w:val="21"/>
                      <w:u w:val="none" w:color="auto"/>
                      <w:lang w:val="en-US" w:eastAsia="zh-CN"/>
                    </w:rPr>
                  </w:pPr>
                  <w:r>
                    <w:rPr>
                      <w:rFonts w:hint="default" w:ascii="Times New Roman" w:hAnsi="Times New Roman" w:eastAsia="宋体" w:cs="Times New Roman"/>
                      <w:strike w:val="0"/>
                      <w:dstrike w:val="0"/>
                      <w:color w:val="auto"/>
                      <w:sz w:val="21"/>
                      <w:szCs w:val="21"/>
                      <w:u w:val="none" w:color="auto"/>
                      <w:lang w:val="en-US" w:eastAsia="zh-CN"/>
                    </w:rPr>
                    <w:t>含油抹布、手套等</w:t>
                  </w:r>
                </w:p>
              </w:tc>
              <w:tc>
                <w:tcPr>
                  <w:tcW w:w="758" w:type="pct"/>
                  <w:vMerge w:val="continue"/>
                  <w:vAlign w:val="center"/>
                </w:tcPr>
                <w:p w14:paraId="16C8493C">
                  <w:pPr>
                    <w:jc w:val="center"/>
                    <w:rPr>
                      <w:rFonts w:hint="default" w:ascii="Times New Roman" w:hAnsi="Times New Roman" w:eastAsia="宋体" w:cs="Times New Roman"/>
                      <w:strike w:val="0"/>
                      <w:dstrike w:val="0"/>
                      <w:color w:val="auto"/>
                      <w:sz w:val="21"/>
                      <w:szCs w:val="21"/>
                      <w:u w:val="none" w:color="auto"/>
                    </w:rPr>
                  </w:pPr>
                </w:p>
              </w:tc>
              <w:tc>
                <w:tcPr>
                  <w:tcW w:w="1082" w:type="pct"/>
                  <w:shd w:val="clear" w:color="auto" w:fill="auto"/>
                  <w:vAlign w:val="center"/>
                </w:tcPr>
                <w:p w14:paraId="54B18D13">
                  <w:pPr>
                    <w:jc w:val="center"/>
                    <w:rPr>
                      <w:rFonts w:hint="default" w:ascii="Times New Roman" w:hAnsi="Times New Roman" w:eastAsia="宋体" w:cs="Times New Roman"/>
                      <w:strike w:val="0"/>
                      <w:dstrike w:val="0"/>
                      <w:color w:val="auto"/>
                      <w:sz w:val="21"/>
                      <w:szCs w:val="21"/>
                      <w:u w:val="none" w:color="auto"/>
                      <w:lang w:val="en-US" w:eastAsia="zh-CN"/>
                    </w:rPr>
                  </w:pPr>
                  <w:r>
                    <w:rPr>
                      <w:rFonts w:hint="default" w:ascii="Times New Roman" w:hAnsi="Times New Roman" w:eastAsia="宋体" w:cs="Times New Roman"/>
                      <w:strike w:val="0"/>
                      <w:dstrike w:val="0"/>
                      <w:color w:val="auto"/>
                      <w:sz w:val="21"/>
                      <w:szCs w:val="21"/>
                      <w:u w:val="none" w:color="auto"/>
                    </w:rPr>
                    <w:t>HW49，代码900-041-49</w:t>
                  </w:r>
                </w:p>
              </w:tc>
              <w:tc>
                <w:tcPr>
                  <w:tcW w:w="0" w:type="auto"/>
                  <w:shd w:val="clear" w:color="auto" w:fill="auto"/>
                  <w:vAlign w:val="center"/>
                </w:tcPr>
                <w:p w14:paraId="5BD380C3">
                  <w:pPr>
                    <w:jc w:val="center"/>
                    <w:rPr>
                      <w:rFonts w:hint="default" w:ascii="Times New Roman" w:hAnsi="Times New Roman" w:eastAsia="宋体" w:cs="Times New Roman"/>
                      <w:strike w:val="0"/>
                      <w:dstrike w:val="0"/>
                      <w:color w:val="auto"/>
                      <w:sz w:val="21"/>
                      <w:szCs w:val="21"/>
                      <w:u w:val="none" w:color="auto"/>
                      <w:lang w:val="en-US" w:eastAsia="zh-CN"/>
                    </w:rPr>
                  </w:pPr>
                  <w:r>
                    <w:rPr>
                      <w:rFonts w:hint="default" w:ascii="Times New Roman" w:hAnsi="Times New Roman" w:eastAsia="宋体" w:cs="Times New Roman"/>
                      <w:strike w:val="0"/>
                      <w:dstrike w:val="0"/>
                      <w:color w:val="auto"/>
                      <w:sz w:val="21"/>
                      <w:szCs w:val="21"/>
                      <w:u w:val="none" w:color="auto"/>
                    </w:rPr>
                    <w:t>0.</w:t>
                  </w:r>
                  <w:r>
                    <w:rPr>
                      <w:rFonts w:hint="default" w:ascii="Times New Roman" w:hAnsi="Times New Roman" w:eastAsia="宋体" w:cs="Times New Roman"/>
                      <w:strike w:val="0"/>
                      <w:dstrike w:val="0"/>
                      <w:color w:val="auto"/>
                      <w:sz w:val="21"/>
                      <w:szCs w:val="21"/>
                      <w:u w:val="none" w:color="auto"/>
                      <w:lang w:val="en-US" w:eastAsia="zh-CN"/>
                    </w:rPr>
                    <w:t>25</w:t>
                  </w:r>
                </w:p>
              </w:tc>
              <w:tc>
                <w:tcPr>
                  <w:tcW w:w="1420" w:type="pct"/>
                  <w:vMerge w:val="continue"/>
                  <w:vAlign w:val="center"/>
                </w:tcPr>
                <w:p w14:paraId="1DDA6FBC">
                  <w:pPr>
                    <w:jc w:val="center"/>
                    <w:rPr>
                      <w:rFonts w:hint="default" w:ascii="Times New Roman" w:hAnsi="Times New Roman" w:eastAsia="宋体" w:cs="Times New Roman"/>
                      <w:strike w:val="0"/>
                      <w:dstrike w:val="0"/>
                      <w:color w:val="auto"/>
                      <w:sz w:val="21"/>
                      <w:szCs w:val="21"/>
                      <w:u w:val="none" w:color="auto"/>
                    </w:rPr>
                  </w:pPr>
                </w:p>
              </w:tc>
            </w:tr>
            <w:tr w14:paraId="3A6FB445">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23" w:hRule="atLeast"/>
              </w:trPr>
              <w:tc>
                <w:tcPr>
                  <w:tcW w:w="0" w:type="auto"/>
                  <w:shd w:val="clear" w:color="auto" w:fill="auto"/>
                  <w:vAlign w:val="center"/>
                </w:tcPr>
                <w:p w14:paraId="74987834">
                  <w:pPr>
                    <w:jc w:val="center"/>
                    <w:rPr>
                      <w:rFonts w:hint="default" w:ascii="Times New Roman" w:hAnsi="Times New Roman" w:eastAsia="宋体" w:cs="Times New Roman"/>
                      <w:strike w:val="0"/>
                      <w:dstrike w:val="0"/>
                      <w:color w:val="auto"/>
                      <w:kern w:val="2"/>
                      <w:sz w:val="21"/>
                      <w:szCs w:val="21"/>
                      <w:u w:val="none" w:color="auto"/>
                      <w:lang w:val="en-US" w:eastAsia="zh-CN" w:bidi="ar-SA"/>
                    </w:rPr>
                  </w:pPr>
                  <w:r>
                    <w:rPr>
                      <w:rFonts w:hint="default" w:ascii="Times New Roman" w:hAnsi="Times New Roman" w:eastAsia="宋体" w:cs="Times New Roman"/>
                      <w:strike w:val="0"/>
                      <w:dstrike w:val="0"/>
                      <w:color w:val="auto"/>
                      <w:kern w:val="2"/>
                      <w:sz w:val="21"/>
                      <w:szCs w:val="21"/>
                      <w:u w:val="none" w:color="auto"/>
                      <w:lang w:val="en-US" w:eastAsia="zh-CN" w:bidi="ar-SA"/>
                    </w:rPr>
                    <w:t>16</w:t>
                  </w:r>
                </w:p>
              </w:tc>
              <w:tc>
                <w:tcPr>
                  <w:tcW w:w="0" w:type="auto"/>
                  <w:shd w:val="clear" w:color="auto" w:fill="auto"/>
                  <w:vAlign w:val="center"/>
                </w:tcPr>
                <w:p w14:paraId="6A377C8F">
                  <w:pPr>
                    <w:jc w:val="both"/>
                    <w:rPr>
                      <w:rFonts w:hint="default" w:ascii="Times New Roman" w:hAnsi="Times New Roman" w:eastAsia="宋体" w:cs="Times New Roman"/>
                      <w:strike w:val="0"/>
                      <w:dstrike w:val="0"/>
                      <w:color w:val="auto"/>
                      <w:sz w:val="21"/>
                      <w:szCs w:val="21"/>
                      <w:u w:val="none" w:color="auto"/>
                      <w:lang w:val="en-US" w:eastAsia="zh-CN"/>
                    </w:rPr>
                  </w:pPr>
                  <w:r>
                    <w:rPr>
                      <w:rFonts w:hint="default" w:ascii="Times New Roman" w:hAnsi="Times New Roman" w:eastAsia="宋体" w:cs="Times New Roman"/>
                      <w:strike w:val="0"/>
                      <w:dstrike w:val="0"/>
                      <w:color w:val="auto"/>
                      <w:sz w:val="21"/>
                      <w:szCs w:val="21"/>
                      <w:u w:val="none" w:color="auto"/>
                      <w:lang w:eastAsia="zh-CN"/>
                    </w:rPr>
                    <w:t>报废产品（</w:t>
                  </w:r>
                  <w:r>
                    <w:rPr>
                      <w:rFonts w:hint="default" w:ascii="Times New Roman" w:hAnsi="Times New Roman" w:eastAsia="宋体" w:cs="Times New Roman"/>
                      <w:strike w:val="0"/>
                      <w:dstrike w:val="0"/>
                      <w:color w:val="auto"/>
                      <w:sz w:val="21"/>
                      <w:szCs w:val="21"/>
                      <w:u w:val="none" w:color="auto"/>
                      <w:lang w:val="en-US" w:eastAsia="zh-CN"/>
                    </w:rPr>
                    <w:t>S10</w:t>
                  </w:r>
                  <w:r>
                    <w:rPr>
                      <w:rFonts w:hint="default" w:ascii="Times New Roman" w:hAnsi="Times New Roman" w:eastAsia="宋体" w:cs="Times New Roman"/>
                      <w:strike w:val="0"/>
                      <w:dstrike w:val="0"/>
                      <w:color w:val="auto"/>
                      <w:sz w:val="21"/>
                      <w:szCs w:val="21"/>
                      <w:u w:val="none" w:color="auto"/>
                      <w:lang w:eastAsia="zh-CN"/>
                    </w:rPr>
                    <w:t>）</w:t>
                  </w:r>
                </w:p>
              </w:tc>
              <w:tc>
                <w:tcPr>
                  <w:tcW w:w="758" w:type="pct"/>
                  <w:vAlign w:val="center"/>
                </w:tcPr>
                <w:p w14:paraId="2AC25D0A">
                  <w:pPr>
                    <w:jc w:val="center"/>
                    <w:rPr>
                      <w:rFonts w:hint="default" w:ascii="Times New Roman" w:hAnsi="Times New Roman" w:eastAsia="宋体" w:cs="Times New Roman"/>
                      <w:strike w:val="0"/>
                      <w:dstrike w:val="0"/>
                      <w:color w:val="auto"/>
                      <w:sz w:val="21"/>
                      <w:szCs w:val="21"/>
                      <w:u w:val="none" w:color="auto"/>
                      <w:lang w:val="en-US" w:eastAsia="zh-CN"/>
                    </w:rPr>
                  </w:pPr>
                  <w:r>
                    <w:rPr>
                      <w:rFonts w:hint="default" w:ascii="Times New Roman" w:hAnsi="Times New Roman" w:eastAsia="宋体" w:cs="Times New Roman"/>
                      <w:strike w:val="0"/>
                      <w:dstrike w:val="0"/>
                      <w:color w:val="auto"/>
                      <w:sz w:val="21"/>
                      <w:szCs w:val="21"/>
                      <w:u w:val="none" w:color="auto"/>
                      <w:lang w:val="en-US" w:eastAsia="zh-CN"/>
                    </w:rPr>
                    <w:t>产品检测</w:t>
                  </w:r>
                </w:p>
              </w:tc>
              <w:tc>
                <w:tcPr>
                  <w:tcW w:w="1082" w:type="pct"/>
                  <w:shd w:val="clear" w:color="auto" w:fill="auto"/>
                  <w:vAlign w:val="center"/>
                </w:tcPr>
                <w:p w14:paraId="69972D12">
                  <w:pPr>
                    <w:jc w:val="center"/>
                    <w:rPr>
                      <w:rFonts w:hint="default" w:ascii="Times New Roman" w:hAnsi="Times New Roman" w:eastAsia="宋体" w:cs="Times New Roman"/>
                      <w:strike w:val="0"/>
                      <w:dstrike w:val="0"/>
                      <w:color w:val="auto"/>
                      <w:sz w:val="21"/>
                      <w:szCs w:val="21"/>
                      <w:u w:val="none" w:color="auto"/>
                      <w:lang w:val="en-US" w:eastAsia="zh-CN"/>
                    </w:rPr>
                  </w:pPr>
                  <w:r>
                    <w:rPr>
                      <w:rFonts w:hint="default" w:ascii="Times New Roman" w:hAnsi="Times New Roman" w:eastAsia="宋体" w:cs="Times New Roman"/>
                      <w:strike w:val="0"/>
                      <w:dstrike w:val="0"/>
                      <w:color w:val="auto"/>
                      <w:sz w:val="21"/>
                      <w:szCs w:val="21"/>
                      <w:u w:val="none" w:color="auto"/>
                      <w:lang w:val="en-US" w:eastAsia="zh-CN"/>
                    </w:rPr>
                    <w:t>一般固废</w:t>
                  </w:r>
                </w:p>
              </w:tc>
              <w:tc>
                <w:tcPr>
                  <w:tcW w:w="0" w:type="auto"/>
                  <w:shd w:val="clear" w:color="auto" w:fill="auto"/>
                  <w:vAlign w:val="center"/>
                </w:tcPr>
                <w:p w14:paraId="285716A7">
                  <w:pPr>
                    <w:jc w:val="center"/>
                    <w:rPr>
                      <w:rFonts w:hint="default" w:ascii="Times New Roman" w:hAnsi="Times New Roman" w:eastAsia="宋体" w:cs="Times New Roman"/>
                      <w:strike w:val="0"/>
                      <w:dstrike w:val="0"/>
                      <w:color w:val="auto"/>
                      <w:sz w:val="21"/>
                      <w:szCs w:val="21"/>
                      <w:u w:val="none" w:color="auto"/>
                      <w:lang w:val="en-US" w:eastAsia="zh-CN"/>
                    </w:rPr>
                  </w:pPr>
                  <w:r>
                    <w:rPr>
                      <w:rFonts w:hint="default" w:ascii="Times New Roman" w:hAnsi="Times New Roman" w:eastAsia="宋体" w:cs="Times New Roman"/>
                      <w:strike w:val="0"/>
                      <w:dstrike w:val="0"/>
                      <w:color w:val="auto"/>
                      <w:sz w:val="21"/>
                      <w:szCs w:val="21"/>
                      <w:u w:val="none" w:color="auto"/>
                      <w:lang w:val="en-US" w:eastAsia="zh-CN"/>
                    </w:rPr>
                    <w:t>1042.5655</w:t>
                  </w:r>
                </w:p>
              </w:tc>
              <w:tc>
                <w:tcPr>
                  <w:tcW w:w="1420" w:type="pct"/>
                  <w:vMerge w:val="continue"/>
                  <w:vAlign w:val="center"/>
                </w:tcPr>
                <w:p w14:paraId="1788A62C">
                  <w:pPr>
                    <w:jc w:val="center"/>
                    <w:rPr>
                      <w:rFonts w:hint="default" w:ascii="Times New Roman" w:hAnsi="Times New Roman" w:eastAsia="宋体" w:cs="Times New Roman"/>
                      <w:strike w:val="0"/>
                      <w:dstrike w:val="0"/>
                      <w:color w:val="auto"/>
                      <w:sz w:val="21"/>
                      <w:szCs w:val="21"/>
                      <w:u w:val="none" w:color="auto"/>
                    </w:rPr>
                  </w:pPr>
                </w:p>
              </w:tc>
            </w:tr>
            <w:tr w14:paraId="21ED7629">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23" w:hRule="atLeast"/>
              </w:trPr>
              <w:tc>
                <w:tcPr>
                  <w:tcW w:w="0" w:type="auto"/>
                  <w:shd w:val="clear" w:color="auto" w:fill="auto"/>
                  <w:vAlign w:val="center"/>
                </w:tcPr>
                <w:p w14:paraId="76665E5F">
                  <w:pPr>
                    <w:jc w:val="center"/>
                    <w:rPr>
                      <w:rFonts w:hint="default" w:ascii="Times New Roman" w:hAnsi="Times New Roman" w:eastAsia="宋体" w:cs="Times New Roman"/>
                      <w:strike w:val="0"/>
                      <w:dstrike w:val="0"/>
                      <w:color w:val="auto"/>
                      <w:kern w:val="2"/>
                      <w:sz w:val="21"/>
                      <w:szCs w:val="21"/>
                      <w:u w:val="none" w:color="auto"/>
                      <w:lang w:val="en-US" w:eastAsia="zh-CN" w:bidi="ar-SA"/>
                    </w:rPr>
                  </w:pPr>
                  <w:r>
                    <w:rPr>
                      <w:rFonts w:hint="default" w:ascii="Times New Roman" w:hAnsi="Times New Roman" w:eastAsia="宋体" w:cs="Times New Roman"/>
                      <w:strike w:val="0"/>
                      <w:dstrike w:val="0"/>
                      <w:color w:val="auto"/>
                      <w:kern w:val="2"/>
                      <w:sz w:val="21"/>
                      <w:szCs w:val="21"/>
                      <w:u w:val="none" w:color="auto"/>
                      <w:lang w:val="en-US" w:eastAsia="zh-CN" w:bidi="ar-SA"/>
                    </w:rPr>
                    <w:t>17</w:t>
                  </w:r>
                </w:p>
              </w:tc>
              <w:tc>
                <w:tcPr>
                  <w:tcW w:w="0" w:type="auto"/>
                  <w:shd w:val="clear" w:color="auto" w:fill="auto"/>
                  <w:vAlign w:val="center"/>
                </w:tcPr>
                <w:p w14:paraId="178FD82A">
                  <w:pPr>
                    <w:jc w:val="center"/>
                    <w:rPr>
                      <w:rFonts w:hint="default" w:ascii="Times New Roman" w:hAnsi="Times New Roman" w:eastAsia="宋体" w:cs="Times New Roman"/>
                      <w:strike w:val="0"/>
                      <w:dstrike w:val="0"/>
                      <w:color w:val="auto"/>
                      <w:sz w:val="21"/>
                      <w:szCs w:val="21"/>
                      <w:u w:val="none" w:color="auto"/>
                      <w:lang w:val="en-US" w:eastAsia="zh-CN"/>
                    </w:rPr>
                  </w:pPr>
                  <w:r>
                    <w:rPr>
                      <w:rFonts w:hint="default" w:ascii="Times New Roman" w:hAnsi="Times New Roman" w:eastAsia="宋体" w:cs="Times New Roman"/>
                      <w:strike w:val="0"/>
                      <w:dstrike w:val="0"/>
                      <w:color w:val="auto"/>
                      <w:sz w:val="21"/>
                      <w:szCs w:val="21"/>
                      <w:u w:val="none" w:color="auto"/>
                      <w:lang w:val="en-US" w:eastAsia="zh-CN"/>
                    </w:rPr>
                    <w:t>废缓蚀剂桶</w:t>
                  </w:r>
                </w:p>
              </w:tc>
              <w:tc>
                <w:tcPr>
                  <w:tcW w:w="758" w:type="pct"/>
                  <w:vMerge w:val="restart"/>
                  <w:vAlign w:val="center"/>
                </w:tcPr>
                <w:p w14:paraId="63877569">
                  <w:pPr>
                    <w:jc w:val="center"/>
                    <w:rPr>
                      <w:rFonts w:hint="default" w:ascii="Times New Roman" w:hAnsi="Times New Roman" w:eastAsia="宋体" w:cs="Times New Roman"/>
                      <w:strike w:val="0"/>
                      <w:dstrike w:val="0"/>
                      <w:color w:val="auto"/>
                      <w:sz w:val="21"/>
                      <w:szCs w:val="21"/>
                      <w:u w:val="none" w:color="auto"/>
                      <w:lang w:val="en-US" w:eastAsia="zh-CN"/>
                    </w:rPr>
                  </w:pPr>
                  <w:r>
                    <w:rPr>
                      <w:rFonts w:hint="default" w:ascii="Times New Roman" w:hAnsi="Times New Roman" w:eastAsia="宋体" w:cs="Times New Roman"/>
                      <w:strike w:val="0"/>
                      <w:dstrike w:val="0"/>
                      <w:color w:val="auto"/>
                      <w:sz w:val="21"/>
                      <w:szCs w:val="21"/>
                      <w:u w:val="none" w:color="auto"/>
                      <w:lang w:val="en-US" w:eastAsia="zh-CN"/>
                    </w:rPr>
                    <w:t>机加工工序</w:t>
                  </w:r>
                </w:p>
              </w:tc>
              <w:tc>
                <w:tcPr>
                  <w:tcW w:w="1082" w:type="pct"/>
                  <w:shd w:val="clear" w:color="auto" w:fill="auto"/>
                  <w:vAlign w:val="center"/>
                </w:tcPr>
                <w:p w14:paraId="52C0659D">
                  <w:pPr>
                    <w:jc w:val="center"/>
                    <w:rPr>
                      <w:rFonts w:hint="default" w:ascii="Times New Roman" w:hAnsi="Times New Roman" w:eastAsia="宋体" w:cs="Times New Roman"/>
                      <w:strike w:val="0"/>
                      <w:dstrike w:val="0"/>
                      <w:color w:val="auto"/>
                      <w:sz w:val="21"/>
                      <w:szCs w:val="21"/>
                      <w:u w:val="none" w:color="auto"/>
                      <w:lang w:val="en-US" w:eastAsia="zh-CN"/>
                    </w:rPr>
                  </w:pPr>
                  <w:r>
                    <w:rPr>
                      <w:rFonts w:hint="default" w:ascii="Times New Roman" w:hAnsi="Times New Roman" w:eastAsia="宋体" w:cs="Times New Roman"/>
                      <w:strike w:val="0"/>
                      <w:dstrike w:val="0"/>
                      <w:color w:val="auto"/>
                      <w:sz w:val="21"/>
                      <w:szCs w:val="21"/>
                      <w:u w:val="none" w:color="auto"/>
                      <w:lang w:val="en-US" w:eastAsia="zh-CN"/>
                    </w:rPr>
                    <w:t>一般固废</w:t>
                  </w:r>
                </w:p>
              </w:tc>
              <w:tc>
                <w:tcPr>
                  <w:tcW w:w="0" w:type="auto"/>
                  <w:shd w:val="clear" w:color="auto" w:fill="auto"/>
                  <w:vAlign w:val="center"/>
                </w:tcPr>
                <w:p w14:paraId="4702D788">
                  <w:pPr>
                    <w:jc w:val="center"/>
                    <w:rPr>
                      <w:rFonts w:hint="default" w:ascii="Times New Roman" w:hAnsi="Times New Roman" w:eastAsia="宋体" w:cs="Times New Roman"/>
                      <w:strike w:val="0"/>
                      <w:dstrike w:val="0"/>
                      <w:color w:val="auto"/>
                      <w:sz w:val="21"/>
                      <w:szCs w:val="21"/>
                      <w:u w:val="none" w:color="auto"/>
                      <w:lang w:val="en-US" w:eastAsia="zh-CN"/>
                    </w:rPr>
                  </w:pPr>
                  <w:r>
                    <w:rPr>
                      <w:rFonts w:hint="default" w:ascii="Times New Roman" w:hAnsi="Times New Roman" w:eastAsia="宋体" w:cs="Times New Roman"/>
                      <w:strike w:val="0"/>
                      <w:dstrike w:val="0"/>
                      <w:color w:val="auto"/>
                      <w:sz w:val="21"/>
                      <w:szCs w:val="21"/>
                      <w:u w:val="none" w:color="auto"/>
                      <w:lang w:val="en-US" w:eastAsia="zh-CN"/>
                    </w:rPr>
                    <w:t>0.3</w:t>
                  </w:r>
                </w:p>
              </w:tc>
              <w:tc>
                <w:tcPr>
                  <w:tcW w:w="1420" w:type="pct"/>
                  <w:vMerge w:val="continue"/>
                  <w:vAlign w:val="center"/>
                </w:tcPr>
                <w:p w14:paraId="7E6A1CBC">
                  <w:pPr>
                    <w:jc w:val="center"/>
                    <w:rPr>
                      <w:rFonts w:hint="default" w:ascii="Times New Roman" w:hAnsi="Times New Roman" w:eastAsia="宋体" w:cs="Times New Roman"/>
                      <w:strike w:val="0"/>
                      <w:dstrike w:val="0"/>
                      <w:color w:val="auto"/>
                      <w:sz w:val="21"/>
                      <w:szCs w:val="21"/>
                      <w:u w:val="none" w:color="auto"/>
                    </w:rPr>
                  </w:pPr>
                </w:p>
              </w:tc>
            </w:tr>
            <w:tr w14:paraId="2B824553">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23" w:hRule="atLeast"/>
              </w:trPr>
              <w:tc>
                <w:tcPr>
                  <w:tcW w:w="0" w:type="auto"/>
                  <w:shd w:val="clear" w:color="auto" w:fill="auto"/>
                  <w:vAlign w:val="center"/>
                </w:tcPr>
                <w:p w14:paraId="36854C98">
                  <w:pPr>
                    <w:jc w:val="center"/>
                    <w:rPr>
                      <w:rFonts w:hint="default" w:ascii="Times New Roman" w:hAnsi="Times New Roman" w:eastAsia="宋体" w:cs="Times New Roman"/>
                      <w:strike w:val="0"/>
                      <w:dstrike w:val="0"/>
                      <w:color w:val="auto"/>
                      <w:kern w:val="2"/>
                      <w:sz w:val="21"/>
                      <w:szCs w:val="21"/>
                      <w:u w:val="none" w:color="auto"/>
                      <w:lang w:val="en-US" w:eastAsia="zh-CN" w:bidi="ar-SA"/>
                    </w:rPr>
                  </w:pPr>
                  <w:r>
                    <w:rPr>
                      <w:rFonts w:hint="default" w:ascii="Times New Roman" w:hAnsi="Times New Roman" w:eastAsia="宋体" w:cs="Times New Roman"/>
                      <w:strike w:val="0"/>
                      <w:dstrike w:val="0"/>
                      <w:color w:val="auto"/>
                      <w:kern w:val="2"/>
                      <w:sz w:val="21"/>
                      <w:szCs w:val="21"/>
                      <w:u w:val="none" w:color="auto"/>
                      <w:lang w:val="en-US" w:eastAsia="zh-CN" w:bidi="ar-SA"/>
                    </w:rPr>
                    <w:t>18</w:t>
                  </w:r>
                </w:p>
              </w:tc>
              <w:tc>
                <w:tcPr>
                  <w:tcW w:w="0" w:type="auto"/>
                  <w:shd w:val="clear" w:color="auto" w:fill="auto"/>
                  <w:vAlign w:val="center"/>
                </w:tcPr>
                <w:p w14:paraId="7FEEFA78">
                  <w:pPr>
                    <w:jc w:val="both"/>
                    <w:rPr>
                      <w:rFonts w:hint="default" w:ascii="Times New Roman" w:hAnsi="Times New Roman" w:eastAsia="宋体" w:cs="Times New Roman"/>
                      <w:strike w:val="0"/>
                      <w:dstrike w:val="0"/>
                      <w:color w:val="auto"/>
                      <w:sz w:val="21"/>
                      <w:szCs w:val="21"/>
                      <w:u w:val="none" w:color="auto"/>
                      <w:lang w:val="en-US" w:eastAsia="zh-CN"/>
                    </w:rPr>
                  </w:pPr>
                  <w:r>
                    <w:rPr>
                      <w:rFonts w:hint="default" w:ascii="Times New Roman" w:hAnsi="Times New Roman" w:eastAsia="宋体" w:cs="Times New Roman"/>
                      <w:strike w:val="0"/>
                      <w:dstrike w:val="0"/>
                      <w:color w:val="auto"/>
                      <w:sz w:val="21"/>
                      <w:szCs w:val="21"/>
                      <w:u w:val="none" w:color="auto"/>
                      <w:lang w:val="en-US" w:eastAsia="zh-CN"/>
                    </w:rPr>
                    <w:t>废刀具、废砂带</w:t>
                  </w:r>
                </w:p>
              </w:tc>
              <w:tc>
                <w:tcPr>
                  <w:tcW w:w="758" w:type="pct"/>
                  <w:vMerge w:val="continue"/>
                  <w:vAlign w:val="center"/>
                </w:tcPr>
                <w:p w14:paraId="65D88D8B">
                  <w:pPr>
                    <w:jc w:val="center"/>
                    <w:rPr>
                      <w:rFonts w:hint="default" w:ascii="Times New Roman" w:hAnsi="Times New Roman" w:eastAsia="宋体" w:cs="Times New Roman"/>
                      <w:strike w:val="0"/>
                      <w:dstrike w:val="0"/>
                      <w:color w:val="auto"/>
                      <w:sz w:val="21"/>
                      <w:szCs w:val="21"/>
                      <w:u w:val="none" w:color="auto"/>
                    </w:rPr>
                  </w:pPr>
                </w:p>
              </w:tc>
              <w:tc>
                <w:tcPr>
                  <w:tcW w:w="1082" w:type="pct"/>
                  <w:shd w:val="clear" w:color="auto" w:fill="auto"/>
                  <w:vAlign w:val="center"/>
                </w:tcPr>
                <w:p w14:paraId="194FC58F">
                  <w:pPr>
                    <w:jc w:val="center"/>
                    <w:rPr>
                      <w:rFonts w:hint="default" w:ascii="Times New Roman" w:hAnsi="Times New Roman" w:eastAsia="宋体" w:cs="Times New Roman"/>
                      <w:strike w:val="0"/>
                      <w:dstrike w:val="0"/>
                      <w:color w:val="auto"/>
                      <w:sz w:val="21"/>
                      <w:szCs w:val="21"/>
                      <w:u w:val="none" w:color="auto"/>
                      <w:lang w:val="en-US" w:eastAsia="zh-CN"/>
                    </w:rPr>
                  </w:pPr>
                  <w:r>
                    <w:rPr>
                      <w:rFonts w:hint="default" w:ascii="Times New Roman" w:hAnsi="Times New Roman" w:eastAsia="宋体" w:cs="Times New Roman"/>
                      <w:strike w:val="0"/>
                      <w:dstrike w:val="0"/>
                      <w:color w:val="auto"/>
                      <w:sz w:val="21"/>
                      <w:szCs w:val="21"/>
                      <w:u w:val="none" w:color="auto"/>
                      <w:lang w:val="en-US" w:eastAsia="zh-CN"/>
                    </w:rPr>
                    <w:t>一般固废</w:t>
                  </w:r>
                </w:p>
              </w:tc>
              <w:tc>
                <w:tcPr>
                  <w:tcW w:w="0" w:type="auto"/>
                  <w:shd w:val="clear" w:color="auto" w:fill="auto"/>
                  <w:vAlign w:val="center"/>
                </w:tcPr>
                <w:p w14:paraId="4FE725D5">
                  <w:pPr>
                    <w:jc w:val="center"/>
                    <w:rPr>
                      <w:rFonts w:hint="default" w:ascii="Times New Roman" w:hAnsi="Times New Roman" w:eastAsia="宋体" w:cs="Times New Roman"/>
                      <w:strike w:val="0"/>
                      <w:dstrike w:val="0"/>
                      <w:color w:val="auto"/>
                      <w:sz w:val="21"/>
                      <w:szCs w:val="21"/>
                      <w:u w:val="none" w:color="auto"/>
                      <w:lang w:val="en-US" w:eastAsia="zh-CN"/>
                    </w:rPr>
                  </w:pPr>
                  <w:r>
                    <w:rPr>
                      <w:rFonts w:hint="default" w:ascii="Times New Roman" w:hAnsi="Times New Roman" w:eastAsia="宋体" w:cs="Times New Roman"/>
                      <w:strike w:val="0"/>
                      <w:dstrike w:val="0"/>
                      <w:color w:val="auto"/>
                      <w:sz w:val="21"/>
                      <w:szCs w:val="21"/>
                      <w:u w:val="none" w:color="auto"/>
                      <w:lang w:val="en-US" w:eastAsia="zh-CN"/>
                    </w:rPr>
                    <w:t>5000把/a、1.2万m/a</w:t>
                  </w:r>
                </w:p>
              </w:tc>
              <w:tc>
                <w:tcPr>
                  <w:tcW w:w="1420" w:type="pct"/>
                  <w:vMerge w:val="continue"/>
                  <w:vAlign w:val="center"/>
                </w:tcPr>
                <w:p w14:paraId="49A3BF9D">
                  <w:pPr>
                    <w:jc w:val="center"/>
                    <w:rPr>
                      <w:rFonts w:hint="default" w:ascii="Times New Roman" w:hAnsi="Times New Roman" w:eastAsia="宋体" w:cs="Times New Roman"/>
                      <w:strike w:val="0"/>
                      <w:dstrike w:val="0"/>
                      <w:color w:val="auto"/>
                      <w:sz w:val="21"/>
                      <w:szCs w:val="21"/>
                      <w:u w:val="none" w:color="auto"/>
                    </w:rPr>
                  </w:pPr>
                </w:p>
              </w:tc>
            </w:tr>
            <w:tr w14:paraId="6768D7D6">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23" w:hRule="atLeast"/>
              </w:trPr>
              <w:tc>
                <w:tcPr>
                  <w:tcW w:w="0" w:type="auto"/>
                  <w:shd w:val="clear" w:color="auto" w:fill="auto"/>
                  <w:vAlign w:val="center"/>
                </w:tcPr>
                <w:p w14:paraId="4AEFE9A2">
                  <w:pPr>
                    <w:jc w:val="center"/>
                    <w:rPr>
                      <w:rFonts w:hint="default" w:ascii="Times New Roman" w:hAnsi="Times New Roman" w:eastAsia="宋体" w:cs="Times New Roman"/>
                      <w:strike w:val="0"/>
                      <w:dstrike w:val="0"/>
                      <w:color w:val="auto"/>
                      <w:kern w:val="2"/>
                      <w:sz w:val="21"/>
                      <w:szCs w:val="21"/>
                      <w:u w:val="none" w:color="auto"/>
                      <w:lang w:val="en-US" w:eastAsia="zh-CN" w:bidi="ar-SA"/>
                    </w:rPr>
                  </w:pPr>
                  <w:r>
                    <w:rPr>
                      <w:rFonts w:hint="default" w:ascii="Times New Roman" w:hAnsi="Times New Roman" w:eastAsia="宋体" w:cs="Times New Roman"/>
                      <w:strike w:val="0"/>
                      <w:dstrike w:val="0"/>
                      <w:color w:val="auto"/>
                      <w:kern w:val="2"/>
                      <w:sz w:val="21"/>
                      <w:szCs w:val="21"/>
                      <w:u w:val="none" w:color="auto"/>
                      <w:lang w:val="en-US" w:eastAsia="zh-CN" w:bidi="ar-SA"/>
                    </w:rPr>
                    <w:t>19</w:t>
                  </w:r>
                </w:p>
              </w:tc>
              <w:tc>
                <w:tcPr>
                  <w:tcW w:w="0" w:type="auto"/>
                  <w:shd w:val="clear" w:color="auto" w:fill="auto"/>
                  <w:vAlign w:val="center"/>
                </w:tcPr>
                <w:p w14:paraId="1B111D1E">
                  <w:pPr>
                    <w:jc w:val="center"/>
                    <w:rPr>
                      <w:rFonts w:hint="default" w:ascii="Times New Roman" w:hAnsi="Times New Roman" w:eastAsia="宋体" w:cs="Times New Roman"/>
                      <w:strike w:val="0"/>
                      <w:dstrike w:val="0"/>
                      <w:color w:val="auto"/>
                      <w:sz w:val="21"/>
                      <w:szCs w:val="21"/>
                      <w:u w:val="none" w:color="auto"/>
                      <w:lang w:val="en-US" w:eastAsia="zh-CN"/>
                    </w:rPr>
                  </w:pPr>
                  <w:r>
                    <w:rPr>
                      <w:rFonts w:hint="default" w:ascii="Times New Roman" w:hAnsi="Times New Roman" w:eastAsia="宋体" w:cs="Times New Roman"/>
                      <w:strike w:val="0"/>
                      <w:dstrike w:val="0"/>
                      <w:color w:val="auto"/>
                      <w:sz w:val="21"/>
                      <w:szCs w:val="21"/>
                      <w:u w:val="none" w:color="auto"/>
                      <w:lang w:val="en-US" w:eastAsia="zh-CN"/>
                    </w:rPr>
                    <w:t>带切削液金属碎屑</w:t>
                  </w:r>
                  <w:r>
                    <w:rPr>
                      <w:rFonts w:hint="default" w:ascii="Times New Roman" w:hAnsi="Times New Roman" w:eastAsia="宋体" w:cs="Times New Roman"/>
                      <w:strike w:val="0"/>
                      <w:dstrike w:val="0"/>
                      <w:color w:val="auto"/>
                      <w:sz w:val="21"/>
                      <w:szCs w:val="21"/>
                      <w:u w:val="none" w:color="auto"/>
                      <w:lang w:eastAsia="zh-CN"/>
                    </w:rPr>
                    <w:t>（</w:t>
                  </w:r>
                  <w:r>
                    <w:rPr>
                      <w:rFonts w:hint="default" w:ascii="Times New Roman" w:hAnsi="Times New Roman" w:eastAsia="宋体" w:cs="Times New Roman"/>
                      <w:strike w:val="0"/>
                      <w:dstrike w:val="0"/>
                      <w:color w:val="auto"/>
                      <w:sz w:val="21"/>
                      <w:szCs w:val="21"/>
                      <w:u w:val="none" w:color="auto"/>
                      <w:lang w:val="en-US" w:eastAsia="zh-CN"/>
                    </w:rPr>
                    <w:t>S7</w:t>
                  </w:r>
                  <w:r>
                    <w:rPr>
                      <w:rFonts w:hint="default" w:ascii="Times New Roman" w:hAnsi="Times New Roman" w:eastAsia="宋体" w:cs="Times New Roman"/>
                      <w:strike w:val="0"/>
                      <w:dstrike w:val="0"/>
                      <w:color w:val="auto"/>
                      <w:sz w:val="21"/>
                      <w:szCs w:val="21"/>
                      <w:u w:val="none" w:color="auto"/>
                      <w:lang w:eastAsia="zh-CN"/>
                    </w:rPr>
                    <w:t>）</w:t>
                  </w:r>
                </w:p>
              </w:tc>
              <w:tc>
                <w:tcPr>
                  <w:tcW w:w="758" w:type="pct"/>
                  <w:vMerge w:val="restart"/>
                  <w:vAlign w:val="center"/>
                </w:tcPr>
                <w:p w14:paraId="18CA198F">
                  <w:pPr>
                    <w:jc w:val="center"/>
                    <w:rPr>
                      <w:rFonts w:hint="default" w:ascii="Times New Roman" w:hAnsi="Times New Roman" w:eastAsia="宋体" w:cs="Times New Roman"/>
                      <w:strike w:val="0"/>
                      <w:dstrike w:val="0"/>
                      <w:color w:val="auto"/>
                      <w:sz w:val="21"/>
                      <w:szCs w:val="21"/>
                      <w:u w:val="none" w:color="auto"/>
                      <w:lang w:val="en-US" w:eastAsia="zh-CN"/>
                    </w:rPr>
                  </w:pPr>
                  <w:r>
                    <w:rPr>
                      <w:rFonts w:hint="default" w:ascii="Times New Roman" w:hAnsi="Times New Roman" w:eastAsia="宋体" w:cs="Times New Roman"/>
                      <w:strike w:val="0"/>
                      <w:dstrike w:val="0"/>
                      <w:color w:val="auto"/>
                      <w:sz w:val="21"/>
                      <w:szCs w:val="21"/>
                      <w:u w:val="none" w:color="auto"/>
                      <w:lang w:val="en-US" w:eastAsia="zh-CN"/>
                    </w:rPr>
                    <w:t>切削液循环</w:t>
                  </w:r>
                </w:p>
              </w:tc>
              <w:tc>
                <w:tcPr>
                  <w:tcW w:w="1082" w:type="pct"/>
                  <w:shd w:val="clear" w:color="auto" w:fill="auto"/>
                  <w:vAlign w:val="center"/>
                </w:tcPr>
                <w:p w14:paraId="1F5A8C7C">
                  <w:pPr>
                    <w:jc w:val="center"/>
                    <w:rPr>
                      <w:rFonts w:hint="default" w:ascii="Times New Roman" w:hAnsi="Times New Roman" w:eastAsia="宋体" w:cs="Times New Roman"/>
                      <w:strike w:val="0"/>
                      <w:dstrike w:val="0"/>
                      <w:color w:val="auto"/>
                      <w:sz w:val="21"/>
                      <w:szCs w:val="21"/>
                      <w:u w:val="none" w:color="auto"/>
                      <w:lang w:val="en-US" w:eastAsia="zh-CN"/>
                    </w:rPr>
                  </w:pPr>
                  <w:r>
                    <w:rPr>
                      <w:rFonts w:hint="default" w:ascii="Times New Roman" w:hAnsi="Times New Roman" w:eastAsia="宋体" w:cs="Times New Roman"/>
                      <w:strike w:val="0"/>
                      <w:dstrike w:val="0"/>
                      <w:color w:val="auto"/>
                      <w:sz w:val="21"/>
                      <w:szCs w:val="21"/>
                      <w:u w:val="none" w:color="auto"/>
                    </w:rPr>
                    <w:t>HW</w:t>
                  </w:r>
                  <w:r>
                    <w:rPr>
                      <w:rFonts w:hint="default" w:ascii="Times New Roman" w:hAnsi="Times New Roman" w:eastAsia="宋体" w:cs="Times New Roman"/>
                      <w:strike w:val="0"/>
                      <w:dstrike w:val="0"/>
                      <w:color w:val="auto"/>
                      <w:sz w:val="21"/>
                      <w:szCs w:val="21"/>
                      <w:u w:val="none" w:color="auto"/>
                      <w:lang w:val="en-US" w:eastAsia="zh-CN"/>
                    </w:rPr>
                    <w:t>09</w:t>
                  </w:r>
                  <w:r>
                    <w:rPr>
                      <w:rFonts w:hint="default" w:ascii="Times New Roman" w:hAnsi="Times New Roman" w:eastAsia="宋体" w:cs="Times New Roman"/>
                      <w:strike w:val="0"/>
                      <w:dstrike w:val="0"/>
                      <w:color w:val="auto"/>
                      <w:sz w:val="21"/>
                      <w:szCs w:val="21"/>
                      <w:u w:val="none" w:color="auto"/>
                    </w:rPr>
                    <w:t>，代码900-006-09</w:t>
                  </w:r>
                </w:p>
              </w:tc>
              <w:tc>
                <w:tcPr>
                  <w:tcW w:w="0" w:type="auto"/>
                  <w:shd w:val="clear" w:color="auto" w:fill="auto"/>
                  <w:vAlign w:val="center"/>
                </w:tcPr>
                <w:p w14:paraId="1DB5BFC3">
                  <w:pPr>
                    <w:jc w:val="center"/>
                    <w:rPr>
                      <w:rFonts w:hint="default" w:ascii="Times New Roman" w:hAnsi="Times New Roman" w:eastAsia="宋体" w:cs="Times New Roman"/>
                      <w:strike w:val="0"/>
                      <w:dstrike w:val="0"/>
                      <w:color w:val="auto"/>
                      <w:sz w:val="21"/>
                      <w:szCs w:val="21"/>
                      <w:u w:val="none" w:color="auto"/>
                      <w:lang w:val="en-US" w:eastAsia="zh-CN"/>
                    </w:rPr>
                  </w:pPr>
                  <w:r>
                    <w:rPr>
                      <w:rFonts w:hint="default" w:ascii="Times New Roman" w:hAnsi="Times New Roman" w:eastAsia="宋体" w:cs="Times New Roman"/>
                      <w:strike w:val="0"/>
                      <w:dstrike w:val="0"/>
                      <w:color w:val="auto"/>
                      <w:sz w:val="21"/>
                      <w:szCs w:val="21"/>
                      <w:u w:val="none" w:color="auto"/>
                      <w:lang w:val="en-US" w:eastAsia="zh-CN"/>
                    </w:rPr>
                    <w:t>270.7068</w:t>
                  </w:r>
                </w:p>
              </w:tc>
              <w:tc>
                <w:tcPr>
                  <w:tcW w:w="1420" w:type="pct"/>
                  <w:vMerge w:val="restart"/>
                  <w:vAlign w:val="center"/>
                </w:tcPr>
                <w:p w14:paraId="1C73C8FF">
                  <w:pPr>
                    <w:jc w:val="center"/>
                    <w:rPr>
                      <w:rFonts w:hint="default" w:ascii="Times New Roman" w:hAnsi="Times New Roman" w:eastAsia="宋体" w:cs="Times New Roman"/>
                      <w:strike w:val="0"/>
                      <w:dstrike w:val="0"/>
                      <w:color w:val="auto"/>
                      <w:sz w:val="21"/>
                      <w:szCs w:val="21"/>
                      <w:u w:val="none" w:color="auto"/>
                      <w:lang w:val="en-US" w:eastAsia="zh-CN"/>
                    </w:rPr>
                  </w:pPr>
                  <w:r>
                    <w:rPr>
                      <w:rFonts w:hint="default" w:ascii="Times New Roman" w:hAnsi="Times New Roman" w:eastAsia="宋体" w:cs="Times New Roman"/>
                      <w:strike w:val="0"/>
                      <w:dstrike w:val="0"/>
                      <w:color w:val="auto"/>
                      <w:sz w:val="21"/>
                      <w:szCs w:val="21"/>
                      <w:u w:val="none" w:color="auto"/>
                      <w:lang w:val="en-US" w:eastAsia="zh-CN"/>
                    </w:rPr>
                    <w:t>静置无滴漏后暂存外售综合利用</w:t>
                  </w:r>
                </w:p>
              </w:tc>
            </w:tr>
            <w:tr w14:paraId="55B80ECF">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23" w:hRule="atLeast"/>
              </w:trPr>
              <w:tc>
                <w:tcPr>
                  <w:tcW w:w="396" w:type="pct"/>
                  <w:shd w:val="clear" w:color="auto" w:fill="auto"/>
                  <w:vAlign w:val="center"/>
                </w:tcPr>
                <w:p w14:paraId="1C394808">
                  <w:pPr>
                    <w:jc w:val="center"/>
                    <w:rPr>
                      <w:rFonts w:hint="default" w:ascii="Times New Roman" w:hAnsi="Times New Roman" w:eastAsia="宋体" w:cs="Times New Roman"/>
                      <w:strike w:val="0"/>
                      <w:dstrike w:val="0"/>
                      <w:color w:val="auto"/>
                      <w:sz w:val="21"/>
                      <w:szCs w:val="21"/>
                      <w:u w:val="none" w:color="auto"/>
                      <w:lang w:val="en-US" w:eastAsia="zh-CN"/>
                    </w:rPr>
                  </w:pPr>
                  <w:r>
                    <w:rPr>
                      <w:rFonts w:hint="default" w:ascii="Times New Roman" w:hAnsi="Times New Roman" w:eastAsia="宋体" w:cs="Times New Roman"/>
                      <w:strike w:val="0"/>
                      <w:dstrike w:val="0"/>
                      <w:color w:val="auto"/>
                      <w:sz w:val="21"/>
                      <w:szCs w:val="21"/>
                      <w:u w:val="none" w:color="auto"/>
                      <w:lang w:val="en-US" w:eastAsia="zh-CN"/>
                    </w:rPr>
                    <w:t>20</w:t>
                  </w:r>
                </w:p>
              </w:tc>
              <w:tc>
                <w:tcPr>
                  <w:tcW w:w="0" w:type="auto"/>
                  <w:shd w:val="clear" w:color="auto" w:fill="auto"/>
                  <w:vAlign w:val="center"/>
                </w:tcPr>
                <w:p w14:paraId="51ECD85A">
                  <w:pPr>
                    <w:jc w:val="center"/>
                    <w:rPr>
                      <w:rFonts w:hint="default" w:ascii="Times New Roman" w:hAnsi="Times New Roman" w:eastAsia="宋体" w:cs="Times New Roman"/>
                      <w:strike w:val="0"/>
                      <w:dstrike w:val="0"/>
                      <w:color w:val="auto"/>
                      <w:kern w:val="2"/>
                      <w:sz w:val="21"/>
                      <w:szCs w:val="21"/>
                      <w:u w:val="none" w:color="auto"/>
                      <w:lang w:val="en-US" w:eastAsia="zh-CN" w:bidi="ar-SA"/>
                    </w:rPr>
                  </w:pPr>
                  <w:r>
                    <w:rPr>
                      <w:rFonts w:hint="default" w:ascii="Times New Roman" w:hAnsi="Times New Roman" w:eastAsia="宋体" w:cs="Times New Roman"/>
                      <w:strike w:val="0"/>
                      <w:dstrike w:val="0"/>
                      <w:color w:val="auto"/>
                      <w:sz w:val="21"/>
                      <w:szCs w:val="21"/>
                      <w:u w:val="none" w:color="auto"/>
                      <w:lang w:val="en-US" w:eastAsia="zh-CN"/>
                    </w:rPr>
                    <w:t>过滤金属碎屑（S9）</w:t>
                  </w:r>
                </w:p>
              </w:tc>
              <w:tc>
                <w:tcPr>
                  <w:tcW w:w="758" w:type="pct"/>
                  <w:vMerge w:val="continue"/>
                  <w:shd w:val="clear" w:color="auto" w:fill="auto"/>
                  <w:vAlign w:val="center"/>
                </w:tcPr>
                <w:p w14:paraId="64B64319">
                  <w:pPr>
                    <w:jc w:val="center"/>
                    <w:rPr>
                      <w:rFonts w:hint="default" w:ascii="Times New Roman" w:hAnsi="Times New Roman" w:eastAsia="宋体" w:cs="Times New Roman"/>
                      <w:strike w:val="0"/>
                      <w:dstrike w:val="0"/>
                      <w:color w:val="auto"/>
                      <w:kern w:val="2"/>
                      <w:sz w:val="21"/>
                      <w:szCs w:val="21"/>
                      <w:u w:val="none" w:color="auto"/>
                      <w:lang w:val="en-US" w:eastAsia="zh-CN" w:bidi="ar-SA"/>
                    </w:rPr>
                  </w:pPr>
                </w:p>
              </w:tc>
              <w:tc>
                <w:tcPr>
                  <w:tcW w:w="1082" w:type="pct"/>
                  <w:shd w:val="clear" w:color="auto" w:fill="auto"/>
                  <w:vAlign w:val="center"/>
                </w:tcPr>
                <w:p w14:paraId="3E1544E8">
                  <w:pPr>
                    <w:jc w:val="center"/>
                    <w:rPr>
                      <w:rFonts w:hint="default" w:ascii="Times New Roman" w:hAnsi="Times New Roman" w:eastAsia="宋体" w:cs="Times New Roman"/>
                      <w:strike w:val="0"/>
                      <w:dstrike w:val="0"/>
                      <w:color w:val="auto"/>
                      <w:kern w:val="2"/>
                      <w:sz w:val="21"/>
                      <w:szCs w:val="21"/>
                      <w:u w:val="none" w:color="auto"/>
                      <w:lang w:val="en-US" w:eastAsia="zh-CN" w:bidi="ar-SA"/>
                    </w:rPr>
                  </w:pPr>
                  <w:r>
                    <w:rPr>
                      <w:rFonts w:hint="default" w:ascii="Times New Roman" w:hAnsi="Times New Roman" w:eastAsia="宋体" w:cs="Times New Roman"/>
                      <w:strike w:val="0"/>
                      <w:dstrike w:val="0"/>
                      <w:color w:val="auto"/>
                      <w:sz w:val="21"/>
                      <w:szCs w:val="21"/>
                      <w:u w:val="none" w:color="auto"/>
                    </w:rPr>
                    <w:t>HW</w:t>
                  </w:r>
                  <w:r>
                    <w:rPr>
                      <w:rFonts w:hint="default" w:ascii="Times New Roman" w:hAnsi="Times New Roman" w:eastAsia="宋体" w:cs="Times New Roman"/>
                      <w:strike w:val="0"/>
                      <w:dstrike w:val="0"/>
                      <w:color w:val="auto"/>
                      <w:sz w:val="21"/>
                      <w:szCs w:val="21"/>
                      <w:u w:val="none" w:color="auto"/>
                      <w:lang w:val="en-US" w:eastAsia="zh-CN"/>
                    </w:rPr>
                    <w:t>09</w:t>
                  </w:r>
                  <w:r>
                    <w:rPr>
                      <w:rFonts w:hint="default" w:ascii="Times New Roman" w:hAnsi="Times New Roman" w:eastAsia="宋体" w:cs="Times New Roman"/>
                      <w:strike w:val="0"/>
                      <w:dstrike w:val="0"/>
                      <w:color w:val="auto"/>
                      <w:sz w:val="21"/>
                      <w:szCs w:val="21"/>
                      <w:u w:val="none" w:color="auto"/>
                    </w:rPr>
                    <w:t>，代码900-006-09</w:t>
                  </w:r>
                </w:p>
              </w:tc>
              <w:tc>
                <w:tcPr>
                  <w:tcW w:w="0" w:type="auto"/>
                  <w:shd w:val="clear" w:color="auto" w:fill="auto"/>
                  <w:vAlign w:val="center"/>
                </w:tcPr>
                <w:p w14:paraId="5A2A2BD9">
                  <w:pPr>
                    <w:jc w:val="center"/>
                    <w:rPr>
                      <w:rFonts w:hint="default" w:ascii="Times New Roman" w:hAnsi="Times New Roman" w:eastAsia="宋体" w:cs="Times New Roman"/>
                      <w:strike w:val="0"/>
                      <w:dstrike w:val="0"/>
                      <w:color w:val="auto"/>
                      <w:kern w:val="2"/>
                      <w:sz w:val="21"/>
                      <w:szCs w:val="21"/>
                      <w:u w:val="none" w:color="auto"/>
                      <w:lang w:val="en-US" w:eastAsia="zh-CN" w:bidi="ar-SA"/>
                    </w:rPr>
                  </w:pPr>
                  <w:r>
                    <w:rPr>
                      <w:rFonts w:hint="default" w:ascii="Times New Roman" w:hAnsi="Times New Roman" w:eastAsia="宋体" w:cs="Times New Roman"/>
                      <w:strike w:val="0"/>
                      <w:dstrike w:val="0"/>
                      <w:color w:val="auto"/>
                      <w:sz w:val="21"/>
                      <w:szCs w:val="21"/>
                      <w:u w:val="none" w:color="auto"/>
                      <w:lang w:val="en-US" w:eastAsia="zh-CN"/>
                    </w:rPr>
                    <w:t>13.5353</w:t>
                  </w:r>
                </w:p>
              </w:tc>
              <w:tc>
                <w:tcPr>
                  <w:tcW w:w="1420" w:type="pct"/>
                  <w:vMerge w:val="continue"/>
                  <w:vAlign w:val="center"/>
                </w:tcPr>
                <w:p w14:paraId="150AAC8A">
                  <w:pPr>
                    <w:jc w:val="center"/>
                    <w:rPr>
                      <w:rFonts w:hint="default" w:ascii="Times New Roman" w:hAnsi="Times New Roman" w:eastAsia="宋体" w:cs="Times New Roman"/>
                      <w:strike w:val="0"/>
                      <w:dstrike w:val="0"/>
                      <w:color w:val="auto"/>
                      <w:sz w:val="21"/>
                      <w:szCs w:val="21"/>
                      <w:u w:val="none" w:color="auto"/>
                      <w:lang w:val="en-US" w:eastAsia="zh-CN"/>
                    </w:rPr>
                  </w:pPr>
                </w:p>
              </w:tc>
            </w:tr>
            <w:tr w14:paraId="400CF1C8">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23" w:hRule="atLeast"/>
              </w:trPr>
              <w:tc>
                <w:tcPr>
                  <w:tcW w:w="396" w:type="pct"/>
                  <w:shd w:val="clear" w:color="auto" w:fill="auto"/>
                  <w:vAlign w:val="center"/>
                </w:tcPr>
                <w:p w14:paraId="47A6E241">
                  <w:pPr>
                    <w:jc w:val="center"/>
                    <w:rPr>
                      <w:rFonts w:hint="default" w:ascii="Times New Roman" w:hAnsi="Times New Roman" w:eastAsia="宋体" w:cs="Times New Roman"/>
                      <w:strike w:val="0"/>
                      <w:dstrike w:val="0"/>
                      <w:color w:val="auto"/>
                      <w:kern w:val="2"/>
                      <w:sz w:val="21"/>
                      <w:szCs w:val="21"/>
                      <w:u w:val="none" w:color="auto"/>
                      <w:lang w:val="en-US" w:eastAsia="zh-CN" w:bidi="ar-SA"/>
                    </w:rPr>
                  </w:pPr>
                  <w:r>
                    <w:rPr>
                      <w:rFonts w:hint="default" w:ascii="Times New Roman" w:hAnsi="Times New Roman" w:eastAsia="宋体" w:cs="Times New Roman"/>
                      <w:strike w:val="0"/>
                      <w:dstrike w:val="0"/>
                      <w:color w:val="auto"/>
                      <w:kern w:val="2"/>
                      <w:sz w:val="21"/>
                      <w:szCs w:val="21"/>
                      <w:u w:val="none" w:color="auto"/>
                      <w:lang w:val="en-US" w:eastAsia="zh-CN" w:bidi="ar-SA"/>
                    </w:rPr>
                    <w:t>21</w:t>
                  </w:r>
                </w:p>
              </w:tc>
              <w:tc>
                <w:tcPr>
                  <w:tcW w:w="0" w:type="auto"/>
                  <w:shd w:val="clear" w:color="auto" w:fill="auto"/>
                  <w:vAlign w:val="center"/>
                </w:tcPr>
                <w:p w14:paraId="09F11B1C">
                  <w:pPr>
                    <w:jc w:val="center"/>
                    <w:rPr>
                      <w:rFonts w:hint="default" w:ascii="Times New Roman" w:hAnsi="Times New Roman" w:eastAsia="宋体" w:cs="Times New Roman"/>
                      <w:strike w:val="0"/>
                      <w:dstrike w:val="0"/>
                      <w:color w:val="auto"/>
                      <w:sz w:val="21"/>
                      <w:szCs w:val="21"/>
                      <w:u w:val="none" w:color="auto"/>
                      <w:lang w:val="en-US" w:eastAsia="zh-CN"/>
                    </w:rPr>
                  </w:pPr>
                  <w:r>
                    <w:rPr>
                      <w:rFonts w:hint="default" w:ascii="Times New Roman" w:hAnsi="Times New Roman" w:eastAsia="宋体" w:cs="Times New Roman"/>
                      <w:strike w:val="0"/>
                      <w:dstrike w:val="0"/>
                      <w:color w:val="auto"/>
                      <w:sz w:val="21"/>
                      <w:szCs w:val="21"/>
                      <w:u w:val="none" w:color="auto"/>
                      <w:lang w:val="en-US" w:eastAsia="zh-CN"/>
                    </w:rPr>
                    <w:t>废切削液过滤棉</w:t>
                  </w:r>
                  <w:r>
                    <w:rPr>
                      <w:rFonts w:hint="default" w:ascii="Times New Roman" w:hAnsi="Times New Roman" w:eastAsia="宋体" w:cs="Times New Roman"/>
                      <w:strike w:val="0"/>
                      <w:dstrike w:val="0"/>
                      <w:color w:val="auto"/>
                      <w:sz w:val="21"/>
                      <w:szCs w:val="21"/>
                      <w:u w:val="none" w:color="auto"/>
                      <w:lang w:eastAsia="zh-CN"/>
                    </w:rPr>
                    <w:t>（</w:t>
                  </w:r>
                  <w:r>
                    <w:rPr>
                      <w:rFonts w:hint="default" w:ascii="Times New Roman" w:hAnsi="Times New Roman" w:eastAsia="宋体" w:cs="Times New Roman"/>
                      <w:strike w:val="0"/>
                      <w:dstrike w:val="0"/>
                      <w:color w:val="auto"/>
                      <w:sz w:val="21"/>
                      <w:szCs w:val="21"/>
                      <w:u w:val="none" w:color="auto"/>
                      <w:lang w:val="en-US" w:eastAsia="zh-CN"/>
                    </w:rPr>
                    <w:t>S8</w:t>
                  </w:r>
                  <w:r>
                    <w:rPr>
                      <w:rFonts w:hint="default" w:ascii="Times New Roman" w:hAnsi="Times New Roman" w:eastAsia="宋体" w:cs="Times New Roman"/>
                      <w:strike w:val="0"/>
                      <w:dstrike w:val="0"/>
                      <w:color w:val="auto"/>
                      <w:sz w:val="21"/>
                      <w:szCs w:val="21"/>
                      <w:u w:val="none" w:color="auto"/>
                      <w:lang w:eastAsia="zh-CN"/>
                    </w:rPr>
                    <w:t>）</w:t>
                  </w:r>
                </w:p>
              </w:tc>
              <w:tc>
                <w:tcPr>
                  <w:tcW w:w="758" w:type="pct"/>
                  <w:vMerge w:val="continue"/>
                  <w:vAlign w:val="center"/>
                </w:tcPr>
                <w:p w14:paraId="3EA0DD5D">
                  <w:pPr>
                    <w:jc w:val="center"/>
                    <w:rPr>
                      <w:rFonts w:hint="default" w:ascii="Times New Roman" w:hAnsi="Times New Roman" w:eastAsia="宋体" w:cs="Times New Roman"/>
                      <w:strike w:val="0"/>
                      <w:dstrike w:val="0"/>
                      <w:color w:val="auto"/>
                      <w:sz w:val="21"/>
                      <w:szCs w:val="21"/>
                      <w:u w:val="none" w:color="auto"/>
                    </w:rPr>
                  </w:pPr>
                </w:p>
              </w:tc>
              <w:tc>
                <w:tcPr>
                  <w:tcW w:w="1082" w:type="pct"/>
                  <w:shd w:val="clear" w:color="auto" w:fill="auto"/>
                  <w:vAlign w:val="center"/>
                </w:tcPr>
                <w:p w14:paraId="08AB576C">
                  <w:pPr>
                    <w:jc w:val="center"/>
                    <w:rPr>
                      <w:rFonts w:hint="default" w:ascii="Times New Roman" w:hAnsi="Times New Roman" w:eastAsia="宋体" w:cs="Times New Roman"/>
                      <w:strike w:val="0"/>
                      <w:dstrike w:val="0"/>
                      <w:color w:val="auto"/>
                      <w:sz w:val="21"/>
                      <w:szCs w:val="21"/>
                      <w:u w:val="none" w:color="auto"/>
                      <w:lang w:val="en-US" w:eastAsia="zh-CN"/>
                    </w:rPr>
                  </w:pPr>
                  <w:r>
                    <w:rPr>
                      <w:rFonts w:hint="default" w:ascii="Times New Roman" w:hAnsi="Times New Roman" w:eastAsia="宋体" w:cs="Times New Roman"/>
                      <w:strike w:val="0"/>
                      <w:dstrike w:val="0"/>
                      <w:color w:val="auto"/>
                      <w:sz w:val="21"/>
                      <w:szCs w:val="21"/>
                      <w:u w:val="none" w:color="auto"/>
                    </w:rPr>
                    <w:t>HW</w:t>
                  </w:r>
                  <w:r>
                    <w:rPr>
                      <w:rFonts w:hint="default" w:ascii="Times New Roman" w:hAnsi="Times New Roman" w:eastAsia="宋体" w:cs="Times New Roman"/>
                      <w:strike w:val="0"/>
                      <w:dstrike w:val="0"/>
                      <w:color w:val="auto"/>
                      <w:sz w:val="21"/>
                      <w:szCs w:val="21"/>
                      <w:u w:val="none" w:color="auto"/>
                      <w:lang w:val="en-US" w:eastAsia="zh-CN"/>
                    </w:rPr>
                    <w:t>06</w:t>
                  </w:r>
                  <w:r>
                    <w:rPr>
                      <w:rFonts w:hint="default" w:ascii="Times New Roman" w:hAnsi="Times New Roman" w:eastAsia="宋体" w:cs="Times New Roman"/>
                      <w:strike w:val="0"/>
                      <w:dstrike w:val="0"/>
                      <w:color w:val="auto"/>
                      <w:sz w:val="21"/>
                      <w:szCs w:val="21"/>
                      <w:u w:val="none" w:color="auto"/>
                    </w:rPr>
                    <w:t>，代码900-</w:t>
                  </w:r>
                  <w:r>
                    <w:rPr>
                      <w:rFonts w:hint="default" w:ascii="Times New Roman" w:hAnsi="Times New Roman" w:eastAsia="宋体" w:cs="Times New Roman"/>
                      <w:strike w:val="0"/>
                      <w:dstrike w:val="0"/>
                      <w:color w:val="auto"/>
                      <w:sz w:val="21"/>
                      <w:szCs w:val="21"/>
                      <w:u w:val="none" w:color="auto"/>
                      <w:lang w:val="en-US" w:eastAsia="zh-CN"/>
                    </w:rPr>
                    <w:t>405-06</w:t>
                  </w:r>
                </w:p>
              </w:tc>
              <w:tc>
                <w:tcPr>
                  <w:tcW w:w="0" w:type="auto"/>
                  <w:shd w:val="clear" w:color="auto" w:fill="auto"/>
                  <w:vAlign w:val="center"/>
                </w:tcPr>
                <w:p w14:paraId="3BB296DE">
                  <w:pPr>
                    <w:jc w:val="center"/>
                    <w:rPr>
                      <w:rFonts w:hint="default" w:ascii="Times New Roman" w:hAnsi="Times New Roman" w:eastAsia="宋体" w:cs="Times New Roman"/>
                      <w:strike w:val="0"/>
                      <w:dstrike w:val="0"/>
                      <w:color w:val="auto"/>
                      <w:sz w:val="21"/>
                      <w:szCs w:val="21"/>
                      <w:u w:val="none" w:color="auto"/>
                      <w:lang w:val="en-US" w:eastAsia="zh-CN"/>
                    </w:rPr>
                  </w:pPr>
                  <w:r>
                    <w:rPr>
                      <w:rFonts w:hint="default" w:ascii="Times New Roman" w:hAnsi="Times New Roman" w:eastAsia="宋体" w:cs="Times New Roman"/>
                      <w:strike w:val="0"/>
                      <w:dstrike w:val="0"/>
                      <w:color w:val="auto"/>
                      <w:sz w:val="21"/>
                      <w:szCs w:val="21"/>
                      <w:u w:val="none" w:color="auto"/>
                      <w:lang w:val="en-US" w:eastAsia="zh-CN"/>
                    </w:rPr>
                    <w:t>20.4</w:t>
                  </w:r>
                </w:p>
              </w:tc>
              <w:tc>
                <w:tcPr>
                  <w:tcW w:w="1420" w:type="pct"/>
                  <w:vMerge w:val="restart"/>
                  <w:vAlign w:val="center"/>
                </w:tcPr>
                <w:p w14:paraId="14EA096C">
                  <w:pPr>
                    <w:jc w:val="center"/>
                    <w:rPr>
                      <w:rFonts w:hint="default" w:ascii="Times New Roman" w:hAnsi="Times New Roman" w:eastAsia="宋体" w:cs="Times New Roman"/>
                      <w:strike w:val="0"/>
                      <w:dstrike w:val="0"/>
                      <w:color w:val="auto"/>
                      <w:sz w:val="21"/>
                      <w:szCs w:val="21"/>
                      <w:u w:val="none" w:color="auto"/>
                    </w:rPr>
                  </w:pPr>
                  <w:r>
                    <w:rPr>
                      <w:rFonts w:hint="default" w:ascii="Times New Roman" w:hAnsi="Times New Roman" w:eastAsia="宋体" w:cs="Times New Roman"/>
                      <w:strike w:val="0"/>
                      <w:dstrike w:val="0"/>
                      <w:color w:val="auto"/>
                      <w:sz w:val="21"/>
                      <w:szCs w:val="21"/>
                      <w:u w:val="none" w:color="auto"/>
                      <w:lang w:val="en-US" w:eastAsia="zh-CN"/>
                    </w:rPr>
                    <w:t>经暂存后交由资质单位无害化处置</w:t>
                  </w:r>
                </w:p>
              </w:tc>
            </w:tr>
            <w:tr w14:paraId="578A83E7">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23" w:hRule="atLeast"/>
              </w:trPr>
              <w:tc>
                <w:tcPr>
                  <w:tcW w:w="0" w:type="auto"/>
                  <w:shd w:val="clear" w:color="auto" w:fill="auto"/>
                  <w:vAlign w:val="center"/>
                </w:tcPr>
                <w:p w14:paraId="188294D7">
                  <w:pPr>
                    <w:jc w:val="center"/>
                    <w:rPr>
                      <w:rFonts w:hint="default" w:ascii="Times New Roman" w:hAnsi="Times New Roman" w:eastAsia="宋体" w:cs="Times New Roman"/>
                      <w:strike w:val="0"/>
                      <w:dstrike w:val="0"/>
                      <w:color w:val="auto"/>
                      <w:kern w:val="2"/>
                      <w:sz w:val="21"/>
                      <w:szCs w:val="21"/>
                      <w:u w:val="none" w:color="auto"/>
                      <w:lang w:val="en-US" w:eastAsia="zh-CN" w:bidi="ar-SA"/>
                    </w:rPr>
                  </w:pPr>
                  <w:r>
                    <w:rPr>
                      <w:rFonts w:hint="default" w:ascii="Times New Roman" w:hAnsi="Times New Roman" w:eastAsia="宋体" w:cs="Times New Roman"/>
                      <w:strike w:val="0"/>
                      <w:dstrike w:val="0"/>
                      <w:color w:val="auto"/>
                      <w:kern w:val="2"/>
                      <w:sz w:val="21"/>
                      <w:szCs w:val="21"/>
                      <w:u w:val="none" w:color="auto"/>
                      <w:lang w:val="en-US" w:eastAsia="zh-CN" w:bidi="ar-SA"/>
                    </w:rPr>
                    <w:t>22</w:t>
                  </w:r>
                </w:p>
              </w:tc>
              <w:tc>
                <w:tcPr>
                  <w:tcW w:w="0" w:type="auto"/>
                  <w:shd w:val="clear" w:color="auto" w:fill="auto"/>
                  <w:vAlign w:val="center"/>
                </w:tcPr>
                <w:p w14:paraId="2044F1C5">
                  <w:pPr>
                    <w:jc w:val="center"/>
                    <w:rPr>
                      <w:rFonts w:hint="default" w:ascii="Times New Roman" w:hAnsi="Times New Roman" w:eastAsia="宋体" w:cs="Times New Roman"/>
                      <w:strike w:val="0"/>
                      <w:dstrike w:val="0"/>
                      <w:color w:val="auto"/>
                      <w:sz w:val="21"/>
                      <w:szCs w:val="21"/>
                      <w:u w:val="none" w:color="auto"/>
                      <w:lang w:val="en-US" w:eastAsia="zh-CN"/>
                    </w:rPr>
                  </w:pPr>
                  <w:r>
                    <w:rPr>
                      <w:rFonts w:hint="default" w:ascii="Times New Roman" w:hAnsi="Times New Roman" w:eastAsia="宋体" w:cs="Times New Roman"/>
                      <w:strike w:val="0"/>
                      <w:dstrike w:val="0"/>
                      <w:color w:val="auto"/>
                      <w:sz w:val="21"/>
                      <w:szCs w:val="21"/>
                      <w:u w:val="none" w:color="auto"/>
                      <w:lang w:val="en-US" w:eastAsia="zh-CN"/>
                    </w:rPr>
                    <w:t>废浸渗液桶</w:t>
                  </w:r>
                </w:p>
              </w:tc>
              <w:tc>
                <w:tcPr>
                  <w:tcW w:w="758" w:type="pct"/>
                  <w:vAlign w:val="center"/>
                </w:tcPr>
                <w:p w14:paraId="4FAFD5B1">
                  <w:pPr>
                    <w:jc w:val="center"/>
                    <w:rPr>
                      <w:rFonts w:hint="default" w:ascii="Times New Roman" w:hAnsi="Times New Roman" w:eastAsia="宋体" w:cs="Times New Roman"/>
                      <w:strike w:val="0"/>
                      <w:dstrike w:val="0"/>
                      <w:color w:val="auto"/>
                      <w:sz w:val="21"/>
                      <w:szCs w:val="21"/>
                      <w:u w:val="none" w:color="auto"/>
                      <w:lang w:val="en-US" w:eastAsia="zh-CN"/>
                    </w:rPr>
                  </w:pPr>
                  <w:r>
                    <w:rPr>
                      <w:rFonts w:hint="default" w:ascii="Times New Roman" w:hAnsi="Times New Roman" w:eastAsia="宋体" w:cs="Times New Roman"/>
                      <w:strike w:val="0"/>
                      <w:dstrike w:val="0"/>
                      <w:color w:val="auto"/>
                      <w:sz w:val="21"/>
                      <w:szCs w:val="21"/>
                      <w:u w:val="none" w:color="auto"/>
                      <w:lang w:val="en-US" w:eastAsia="zh-CN"/>
                    </w:rPr>
                    <w:t>浸渗工艺</w:t>
                  </w:r>
                </w:p>
              </w:tc>
              <w:tc>
                <w:tcPr>
                  <w:tcW w:w="1082" w:type="pct"/>
                  <w:shd w:val="clear" w:color="auto" w:fill="auto"/>
                  <w:vAlign w:val="center"/>
                </w:tcPr>
                <w:p w14:paraId="7693ACE4">
                  <w:pPr>
                    <w:jc w:val="center"/>
                    <w:rPr>
                      <w:rFonts w:hint="default" w:ascii="Times New Roman" w:hAnsi="Times New Roman" w:eastAsia="宋体" w:cs="Times New Roman"/>
                      <w:strike w:val="0"/>
                      <w:dstrike w:val="0"/>
                      <w:color w:val="auto"/>
                      <w:sz w:val="21"/>
                      <w:szCs w:val="21"/>
                      <w:u w:val="none" w:color="auto"/>
                      <w:lang w:val="en-US" w:eastAsia="zh-CN"/>
                    </w:rPr>
                  </w:pPr>
                  <w:r>
                    <w:rPr>
                      <w:rFonts w:hint="default" w:ascii="Times New Roman" w:hAnsi="Times New Roman" w:eastAsia="宋体" w:cs="Times New Roman"/>
                      <w:strike w:val="0"/>
                      <w:dstrike w:val="0"/>
                      <w:color w:val="auto"/>
                      <w:sz w:val="21"/>
                      <w:szCs w:val="21"/>
                      <w:u w:val="none" w:color="auto"/>
                    </w:rPr>
                    <w:t>HW49，代码900-041-49</w:t>
                  </w:r>
                </w:p>
              </w:tc>
              <w:tc>
                <w:tcPr>
                  <w:tcW w:w="0" w:type="auto"/>
                  <w:shd w:val="clear" w:color="auto" w:fill="auto"/>
                  <w:vAlign w:val="center"/>
                </w:tcPr>
                <w:p w14:paraId="18D7C2FB">
                  <w:pPr>
                    <w:jc w:val="center"/>
                    <w:rPr>
                      <w:rFonts w:hint="default" w:ascii="Times New Roman" w:hAnsi="Times New Roman" w:eastAsia="宋体" w:cs="Times New Roman"/>
                      <w:strike w:val="0"/>
                      <w:dstrike w:val="0"/>
                      <w:color w:val="auto"/>
                      <w:sz w:val="21"/>
                      <w:szCs w:val="21"/>
                      <w:u w:val="none" w:color="auto"/>
                      <w:lang w:val="en-US" w:eastAsia="zh-CN"/>
                    </w:rPr>
                  </w:pPr>
                  <w:r>
                    <w:rPr>
                      <w:rFonts w:hint="default" w:ascii="Times New Roman" w:hAnsi="Times New Roman" w:eastAsia="宋体" w:cs="Times New Roman"/>
                      <w:strike w:val="0"/>
                      <w:dstrike w:val="0"/>
                      <w:color w:val="auto"/>
                      <w:sz w:val="21"/>
                      <w:szCs w:val="21"/>
                      <w:u w:val="none" w:color="auto"/>
                      <w:lang w:val="en-US" w:eastAsia="zh-CN"/>
                    </w:rPr>
                    <w:t>0.027</w:t>
                  </w:r>
                </w:p>
              </w:tc>
              <w:tc>
                <w:tcPr>
                  <w:tcW w:w="1420" w:type="pct"/>
                  <w:vMerge w:val="continue"/>
                  <w:vAlign w:val="center"/>
                </w:tcPr>
                <w:p w14:paraId="6F71BD7A">
                  <w:pPr>
                    <w:jc w:val="center"/>
                    <w:rPr>
                      <w:rFonts w:hint="default" w:ascii="Times New Roman" w:hAnsi="Times New Roman" w:eastAsia="宋体" w:cs="Times New Roman"/>
                      <w:strike w:val="0"/>
                      <w:dstrike w:val="0"/>
                      <w:color w:val="auto"/>
                      <w:sz w:val="21"/>
                      <w:szCs w:val="21"/>
                      <w:u w:val="none" w:color="auto"/>
                    </w:rPr>
                  </w:pPr>
                </w:p>
              </w:tc>
            </w:tr>
            <w:tr w14:paraId="3B3D0506">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23" w:hRule="atLeast"/>
              </w:trPr>
              <w:tc>
                <w:tcPr>
                  <w:tcW w:w="0" w:type="auto"/>
                  <w:shd w:val="clear" w:color="auto" w:fill="auto"/>
                  <w:vAlign w:val="center"/>
                </w:tcPr>
                <w:p w14:paraId="5D322CCD">
                  <w:pPr>
                    <w:jc w:val="center"/>
                    <w:rPr>
                      <w:rFonts w:hint="default" w:ascii="Times New Roman" w:hAnsi="Times New Roman" w:eastAsia="宋体" w:cs="Times New Roman"/>
                      <w:strike w:val="0"/>
                      <w:dstrike w:val="0"/>
                      <w:color w:val="auto"/>
                      <w:kern w:val="2"/>
                      <w:sz w:val="21"/>
                      <w:szCs w:val="21"/>
                      <w:u w:val="none" w:color="auto"/>
                      <w:lang w:val="en-US" w:eastAsia="zh-CN" w:bidi="ar-SA"/>
                    </w:rPr>
                  </w:pPr>
                  <w:r>
                    <w:rPr>
                      <w:rFonts w:hint="default" w:ascii="Times New Roman" w:hAnsi="Times New Roman" w:eastAsia="宋体" w:cs="Times New Roman"/>
                      <w:strike w:val="0"/>
                      <w:dstrike w:val="0"/>
                      <w:color w:val="auto"/>
                      <w:kern w:val="2"/>
                      <w:sz w:val="21"/>
                      <w:szCs w:val="21"/>
                      <w:u w:val="none" w:color="auto"/>
                      <w:lang w:val="en-US" w:eastAsia="zh-CN" w:bidi="ar-SA"/>
                    </w:rPr>
                    <w:t>23</w:t>
                  </w:r>
                </w:p>
              </w:tc>
              <w:tc>
                <w:tcPr>
                  <w:tcW w:w="0" w:type="auto"/>
                  <w:shd w:val="clear" w:color="auto" w:fill="auto"/>
                  <w:vAlign w:val="center"/>
                </w:tcPr>
                <w:p w14:paraId="6D347AA3">
                  <w:pPr>
                    <w:jc w:val="center"/>
                    <w:rPr>
                      <w:rFonts w:hint="default" w:ascii="Times New Roman" w:hAnsi="Times New Roman" w:eastAsia="宋体" w:cs="Times New Roman"/>
                      <w:strike w:val="0"/>
                      <w:dstrike w:val="0"/>
                      <w:color w:val="auto"/>
                      <w:sz w:val="21"/>
                      <w:szCs w:val="21"/>
                      <w:u w:val="none" w:color="auto"/>
                      <w:lang w:val="en-US" w:eastAsia="zh-CN"/>
                    </w:rPr>
                  </w:pPr>
                  <w:r>
                    <w:rPr>
                      <w:rFonts w:hint="default" w:ascii="Times New Roman" w:hAnsi="Times New Roman" w:eastAsia="宋体" w:cs="Times New Roman"/>
                      <w:strike w:val="0"/>
                      <w:dstrike w:val="0"/>
                      <w:color w:val="auto"/>
                      <w:sz w:val="21"/>
                      <w:szCs w:val="21"/>
                      <w:u w:val="none" w:color="auto"/>
                      <w:lang w:val="en-US" w:eastAsia="zh-CN"/>
                    </w:rPr>
                    <w:t>废清洗剂桶</w:t>
                  </w:r>
                </w:p>
              </w:tc>
              <w:tc>
                <w:tcPr>
                  <w:tcW w:w="758" w:type="pct"/>
                  <w:vAlign w:val="center"/>
                </w:tcPr>
                <w:p w14:paraId="5269D599">
                  <w:pPr>
                    <w:jc w:val="center"/>
                    <w:rPr>
                      <w:rFonts w:hint="default" w:ascii="Times New Roman" w:hAnsi="Times New Roman" w:eastAsia="宋体" w:cs="Times New Roman"/>
                      <w:strike w:val="0"/>
                      <w:dstrike w:val="0"/>
                      <w:color w:val="auto"/>
                      <w:sz w:val="21"/>
                      <w:szCs w:val="21"/>
                      <w:u w:val="none" w:color="auto"/>
                      <w:lang w:val="en-US" w:eastAsia="zh-CN"/>
                    </w:rPr>
                  </w:pPr>
                  <w:r>
                    <w:rPr>
                      <w:rFonts w:hint="default" w:ascii="Times New Roman" w:hAnsi="Times New Roman" w:eastAsia="宋体" w:cs="Times New Roman"/>
                      <w:strike w:val="0"/>
                      <w:dstrike w:val="0"/>
                      <w:color w:val="auto"/>
                      <w:sz w:val="21"/>
                      <w:szCs w:val="21"/>
                      <w:u w:val="none" w:color="auto"/>
                      <w:lang w:val="en-US" w:eastAsia="zh-CN"/>
                    </w:rPr>
                    <w:t>高压清洗</w:t>
                  </w:r>
                </w:p>
              </w:tc>
              <w:tc>
                <w:tcPr>
                  <w:tcW w:w="1082" w:type="pct"/>
                  <w:shd w:val="clear" w:color="auto" w:fill="auto"/>
                  <w:vAlign w:val="center"/>
                </w:tcPr>
                <w:p w14:paraId="12B19C0B">
                  <w:pPr>
                    <w:jc w:val="center"/>
                    <w:rPr>
                      <w:rFonts w:hint="default" w:ascii="Times New Roman" w:hAnsi="Times New Roman" w:eastAsia="宋体" w:cs="Times New Roman"/>
                      <w:strike w:val="0"/>
                      <w:dstrike w:val="0"/>
                      <w:color w:val="auto"/>
                      <w:sz w:val="21"/>
                      <w:szCs w:val="21"/>
                      <w:u w:val="none" w:color="auto"/>
                      <w:lang w:val="en-US" w:eastAsia="zh-CN"/>
                    </w:rPr>
                  </w:pPr>
                  <w:r>
                    <w:rPr>
                      <w:rFonts w:hint="default" w:ascii="Times New Roman" w:hAnsi="Times New Roman" w:eastAsia="宋体" w:cs="Times New Roman"/>
                      <w:strike w:val="0"/>
                      <w:dstrike w:val="0"/>
                      <w:color w:val="auto"/>
                      <w:sz w:val="21"/>
                      <w:szCs w:val="21"/>
                      <w:u w:val="none" w:color="auto"/>
                    </w:rPr>
                    <w:t>HW49，代码900-041-49</w:t>
                  </w:r>
                </w:p>
              </w:tc>
              <w:tc>
                <w:tcPr>
                  <w:tcW w:w="0" w:type="auto"/>
                  <w:shd w:val="clear" w:color="auto" w:fill="auto"/>
                  <w:vAlign w:val="center"/>
                </w:tcPr>
                <w:p w14:paraId="5D67D778">
                  <w:pPr>
                    <w:jc w:val="center"/>
                    <w:rPr>
                      <w:rFonts w:hint="default" w:ascii="Times New Roman" w:hAnsi="Times New Roman" w:eastAsia="宋体" w:cs="Times New Roman"/>
                      <w:strike w:val="0"/>
                      <w:dstrike w:val="0"/>
                      <w:color w:val="auto"/>
                      <w:sz w:val="21"/>
                      <w:szCs w:val="21"/>
                      <w:u w:val="none" w:color="auto"/>
                      <w:lang w:val="en-US" w:eastAsia="zh-CN"/>
                    </w:rPr>
                  </w:pPr>
                  <w:r>
                    <w:rPr>
                      <w:rFonts w:hint="default" w:ascii="Times New Roman" w:hAnsi="Times New Roman" w:eastAsia="宋体" w:cs="Times New Roman"/>
                      <w:strike w:val="0"/>
                      <w:dstrike w:val="0"/>
                      <w:color w:val="auto"/>
                      <w:sz w:val="21"/>
                      <w:szCs w:val="21"/>
                      <w:u w:val="none" w:color="auto"/>
                      <w:lang w:val="en-US" w:eastAsia="zh-CN"/>
                    </w:rPr>
                    <w:t>1.5</w:t>
                  </w:r>
                </w:p>
              </w:tc>
              <w:tc>
                <w:tcPr>
                  <w:tcW w:w="1420" w:type="pct"/>
                  <w:vMerge w:val="continue"/>
                  <w:vAlign w:val="center"/>
                </w:tcPr>
                <w:p w14:paraId="2A561C4E">
                  <w:pPr>
                    <w:jc w:val="center"/>
                    <w:rPr>
                      <w:rFonts w:hint="default" w:ascii="Times New Roman" w:hAnsi="Times New Roman" w:eastAsia="宋体" w:cs="Times New Roman"/>
                      <w:strike w:val="0"/>
                      <w:dstrike w:val="0"/>
                      <w:color w:val="auto"/>
                      <w:sz w:val="21"/>
                      <w:szCs w:val="21"/>
                      <w:u w:val="none" w:color="auto"/>
                    </w:rPr>
                  </w:pPr>
                </w:p>
              </w:tc>
            </w:tr>
          </w:tbl>
          <w:p w14:paraId="12E0E329">
            <w:pPr>
              <w:adjustRightInd w:val="0"/>
              <w:snapToGrid w:val="0"/>
              <w:spacing w:line="360" w:lineRule="auto"/>
              <w:rPr>
                <w:rFonts w:hint="default" w:ascii="Times New Roman" w:hAnsi="Times New Roman" w:eastAsia="宋体" w:cs="Times New Roman"/>
                <w:b/>
                <w:bCs/>
                <w:color w:val="auto"/>
                <w:spacing w:val="0"/>
                <w:kern w:val="0"/>
                <w:sz w:val="24"/>
                <w:u w:val="none" w:color="auto"/>
              </w:rPr>
            </w:pPr>
            <w:r>
              <w:rPr>
                <w:rFonts w:hint="default" w:ascii="Times New Roman" w:hAnsi="Times New Roman" w:eastAsia="宋体" w:cs="Times New Roman"/>
                <w:b/>
                <w:bCs/>
                <w:color w:val="auto"/>
                <w:spacing w:val="0"/>
                <w:kern w:val="0"/>
                <w:sz w:val="24"/>
                <w:u w:val="none" w:color="auto"/>
                <w:lang w:eastAsia="zh-CN"/>
              </w:rPr>
              <w:t>（</w:t>
            </w:r>
            <w:r>
              <w:rPr>
                <w:rFonts w:hint="default" w:ascii="Times New Roman" w:hAnsi="Times New Roman" w:eastAsia="宋体" w:cs="Times New Roman"/>
                <w:b/>
                <w:bCs/>
                <w:color w:val="auto"/>
                <w:spacing w:val="0"/>
                <w:kern w:val="0"/>
                <w:sz w:val="24"/>
                <w:u w:val="none" w:color="auto"/>
                <w:lang w:val="en-US" w:eastAsia="zh-CN"/>
              </w:rPr>
              <w:t>四</w:t>
            </w:r>
            <w:r>
              <w:rPr>
                <w:rFonts w:hint="default" w:ascii="Times New Roman" w:hAnsi="Times New Roman" w:eastAsia="宋体" w:cs="Times New Roman"/>
                <w:b/>
                <w:bCs/>
                <w:color w:val="auto"/>
                <w:spacing w:val="0"/>
                <w:kern w:val="0"/>
                <w:sz w:val="24"/>
                <w:u w:val="none" w:color="auto"/>
                <w:lang w:eastAsia="zh-CN"/>
              </w:rPr>
              <w:t>）</w:t>
            </w:r>
            <w:r>
              <w:rPr>
                <w:rFonts w:hint="default" w:ascii="Times New Roman" w:hAnsi="Times New Roman" w:eastAsia="宋体" w:cs="Times New Roman"/>
                <w:b/>
                <w:bCs/>
                <w:color w:val="auto"/>
                <w:spacing w:val="0"/>
                <w:kern w:val="0"/>
                <w:sz w:val="24"/>
                <w:u w:val="none" w:color="auto"/>
              </w:rPr>
              <w:t>一般工业固废处置措施</w:t>
            </w:r>
          </w:p>
          <w:p w14:paraId="1ED29DFE">
            <w:pPr>
              <w:adjustRightInd w:val="0"/>
              <w:snapToGrid w:val="0"/>
              <w:spacing w:line="360" w:lineRule="auto"/>
              <w:ind w:firstLine="480" w:firstLineChars="200"/>
              <w:rPr>
                <w:rFonts w:hint="default" w:ascii="Times New Roman" w:hAnsi="Times New Roman" w:eastAsia="宋体" w:cs="Times New Roman"/>
                <w:color w:val="auto"/>
                <w:spacing w:val="0"/>
                <w:kern w:val="0"/>
                <w:sz w:val="24"/>
                <w:u w:val="none" w:color="auto"/>
              </w:rPr>
            </w:pPr>
            <w:r>
              <w:rPr>
                <w:rFonts w:hint="default" w:ascii="Times New Roman" w:hAnsi="Times New Roman" w:eastAsia="宋体" w:cs="Times New Roman"/>
                <w:color w:val="auto"/>
                <w:spacing w:val="0"/>
                <w:kern w:val="0"/>
                <w:sz w:val="24"/>
                <w:u w:val="none" w:color="auto"/>
              </w:rPr>
              <w:t>建设单位需按照《一般工业固体废物贮存</w:t>
            </w:r>
            <w:r>
              <w:rPr>
                <w:rFonts w:hint="default" w:ascii="Times New Roman" w:hAnsi="Times New Roman" w:eastAsia="宋体" w:cs="Times New Roman"/>
                <w:color w:val="auto"/>
                <w:spacing w:val="0"/>
                <w:kern w:val="0"/>
                <w:sz w:val="24"/>
                <w:u w:val="none" w:color="auto"/>
                <w:lang w:val="en-US" w:eastAsia="zh-CN"/>
              </w:rPr>
              <w:t>和</w:t>
            </w:r>
            <w:r>
              <w:rPr>
                <w:rFonts w:hint="default" w:ascii="Times New Roman" w:hAnsi="Times New Roman" w:eastAsia="宋体" w:cs="Times New Roman"/>
                <w:color w:val="auto"/>
                <w:spacing w:val="0"/>
                <w:kern w:val="0"/>
                <w:sz w:val="24"/>
                <w:u w:val="none" w:color="auto"/>
              </w:rPr>
              <w:t>填埋污染控制标准》（GB18599-2020）的相关要求建立一般固体废物暂存区，不得随处堆放，禁止危险废物及生活垃圾混入，固废临时贮存场满足如下要求：</w:t>
            </w:r>
          </w:p>
          <w:p w14:paraId="096090B2">
            <w:pPr>
              <w:adjustRightInd w:val="0"/>
              <w:snapToGrid w:val="0"/>
              <w:spacing w:line="360" w:lineRule="auto"/>
              <w:ind w:firstLine="480" w:firstLineChars="200"/>
              <w:rPr>
                <w:rFonts w:hint="default" w:ascii="Times New Roman" w:hAnsi="Times New Roman" w:eastAsia="宋体" w:cs="Times New Roman"/>
                <w:color w:val="auto"/>
                <w:spacing w:val="0"/>
                <w:kern w:val="0"/>
                <w:sz w:val="24"/>
                <w:u w:val="none" w:color="auto"/>
              </w:rPr>
            </w:pPr>
            <w:r>
              <w:rPr>
                <w:rFonts w:hint="default" w:ascii="Times New Roman" w:hAnsi="Times New Roman" w:eastAsia="宋体" w:cs="Times New Roman"/>
                <w:color w:val="auto"/>
                <w:spacing w:val="0"/>
                <w:kern w:val="0"/>
                <w:sz w:val="24"/>
                <w:u w:val="none" w:color="auto"/>
              </w:rPr>
              <w:t>①地面应采取硬化措施并满足承载力要求。</w:t>
            </w:r>
          </w:p>
          <w:p w14:paraId="126B0668">
            <w:pPr>
              <w:adjustRightInd w:val="0"/>
              <w:snapToGrid w:val="0"/>
              <w:spacing w:line="360" w:lineRule="auto"/>
              <w:ind w:firstLine="480" w:firstLineChars="200"/>
              <w:rPr>
                <w:rFonts w:hint="default" w:ascii="Times New Roman" w:hAnsi="Times New Roman" w:eastAsia="宋体" w:cs="Times New Roman"/>
                <w:color w:val="auto"/>
                <w:spacing w:val="0"/>
                <w:kern w:val="0"/>
                <w:sz w:val="24"/>
                <w:u w:val="none" w:color="auto"/>
              </w:rPr>
            </w:pPr>
            <w:r>
              <w:rPr>
                <w:rFonts w:hint="default" w:ascii="Times New Roman" w:hAnsi="Times New Roman" w:eastAsia="宋体" w:cs="Times New Roman"/>
                <w:color w:val="auto"/>
                <w:spacing w:val="0"/>
                <w:kern w:val="0"/>
                <w:sz w:val="24"/>
                <w:u w:val="none" w:color="auto"/>
              </w:rPr>
              <w:t>②要求设置必要的防风、防雨、防晒措施。</w:t>
            </w:r>
          </w:p>
          <w:p w14:paraId="57AF1365">
            <w:pPr>
              <w:adjustRightInd w:val="0"/>
              <w:snapToGrid w:val="0"/>
              <w:spacing w:line="360" w:lineRule="auto"/>
              <w:ind w:firstLine="480" w:firstLineChars="200"/>
              <w:rPr>
                <w:rFonts w:hint="default" w:ascii="Times New Roman" w:hAnsi="Times New Roman" w:eastAsia="宋体" w:cs="Times New Roman"/>
                <w:color w:val="auto"/>
                <w:spacing w:val="0"/>
                <w:kern w:val="0"/>
                <w:sz w:val="24"/>
                <w:u w:val="none" w:color="auto"/>
              </w:rPr>
            </w:pPr>
            <w:r>
              <w:rPr>
                <w:rFonts w:hint="default" w:ascii="Times New Roman" w:hAnsi="Times New Roman" w:eastAsia="宋体" w:cs="Times New Roman"/>
                <w:color w:val="auto"/>
                <w:spacing w:val="0"/>
                <w:kern w:val="0"/>
                <w:sz w:val="24"/>
                <w:u w:val="none" w:color="auto"/>
              </w:rPr>
              <w:t>③按《环境保护图形标识—固体废物贮存（处置）场》（GB15562.2）要求设置环境保护图形标志。</w:t>
            </w:r>
          </w:p>
          <w:p w14:paraId="0C756A06">
            <w:pPr>
              <w:adjustRightInd w:val="0"/>
              <w:snapToGrid w:val="0"/>
              <w:spacing w:line="360" w:lineRule="auto"/>
              <w:rPr>
                <w:rFonts w:hint="default" w:ascii="Times New Roman" w:hAnsi="Times New Roman" w:eastAsia="宋体" w:cs="Times New Roman"/>
                <w:b/>
                <w:bCs/>
                <w:color w:val="auto"/>
                <w:spacing w:val="0"/>
                <w:kern w:val="0"/>
                <w:sz w:val="24"/>
                <w:u w:val="none" w:color="auto"/>
              </w:rPr>
            </w:pPr>
            <w:r>
              <w:rPr>
                <w:rFonts w:hint="default" w:ascii="Times New Roman" w:hAnsi="Times New Roman" w:eastAsia="宋体" w:cs="Times New Roman"/>
                <w:b/>
                <w:bCs/>
                <w:color w:val="auto"/>
                <w:spacing w:val="0"/>
                <w:kern w:val="0"/>
                <w:sz w:val="24"/>
                <w:u w:val="none" w:color="auto"/>
                <w:lang w:eastAsia="zh-CN"/>
              </w:rPr>
              <w:t>（</w:t>
            </w:r>
            <w:r>
              <w:rPr>
                <w:rFonts w:hint="default" w:ascii="Times New Roman" w:hAnsi="Times New Roman" w:eastAsia="宋体" w:cs="Times New Roman"/>
                <w:b/>
                <w:bCs/>
                <w:color w:val="auto"/>
                <w:spacing w:val="0"/>
                <w:kern w:val="0"/>
                <w:sz w:val="24"/>
                <w:u w:val="none" w:color="auto"/>
                <w:lang w:val="en-US" w:eastAsia="zh-CN"/>
              </w:rPr>
              <w:t>五</w:t>
            </w:r>
            <w:r>
              <w:rPr>
                <w:rFonts w:hint="default" w:ascii="Times New Roman" w:hAnsi="Times New Roman" w:eastAsia="宋体" w:cs="Times New Roman"/>
                <w:b/>
                <w:bCs/>
                <w:color w:val="auto"/>
                <w:spacing w:val="0"/>
                <w:kern w:val="0"/>
                <w:sz w:val="24"/>
                <w:u w:val="none" w:color="auto"/>
                <w:lang w:eastAsia="zh-CN"/>
              </w:rPr>
              <w:t>）</w:t>
            </w:r>
            <w:r>
              <w:rPr>
                <w:rFonts w:hint="default" w:ascii="Times New Roman" w:hAnsi="Times New Roman" w:eastAsia="宋体" w:cs="Times New Roman"/>
                <w:b/>
                <w:bCs/>
                <w:color w:val="auto"/>
                <w:spacing w:val="0"/>
                <w:kern w:val="0"/>
                <w:sz w:val="24"/>
                <w:u w:val="none" w:color="auto"/>
              </w:rPr>
              <w:t>危险废物处置措施</w:t>
            </w:r>
          </w:p>
          <w:p w14:paraId="35E0F59D">
            <w:pPr>
              <w:adjustRightInd w:val="0"/>
              <w:snapToGrid w:val="0"/>
              <w:spacing w:line="360" w:lineRule="auto"/>
              <w:ind w:firstLine="480" w:firstLineChars="200"/>
              <w:rPr>
                <w:rFonts w:hint="default" w:ascii="Times New Roman" w:hAnsi="Times New Roman" w:eastAsia="宋体" w:cs="Times New Roman"/>
                <w:color w:val="auto"/>
                <w:spacing w:val="0"/>
                <w:kern w:val="0"/>
                <w:sz w:val="24"/>
                <w:u w:val="none" w:color="auto"/>
              </w:rPr>
            </w:pPr>
            <w:r>
              <w:rPr>
                <w:rFonts w:hint="default" w:ascii="Times New Roman" w:hAnsi="Times New Roman" w:eastAsia="宋体" w:cs="Times New Roman"/>
                <w:color w:val="auto"/>
                <w:spacing w:val="0"/>
                <w:kern w:val="0"/>
                <w:sz w:val="24"/>
                <w:u w:val="none" w:color="auto"/>
              </w:rPr>
              <w:t>（1）危险废物存储要求</w:t>
            </w:r>
          </w:p>
          <w:p w14:paraId="41D2EE6E">
            <w:pPr>
              <w:adjustRightInd w:val="0"/>
              <w:snapToGrid w:val="0"/>
              <w:spacing w:line="360" w:lineRule="auto"/>
              <w:ind w:firstLine="480" w:firstLineChars="200"/>
              <w:rPr>
                <w:rFonts w:hint="default" w:ascii="Times New Roman" w:hAnsi="Times New Roman" w:eastAsia="宋体" w:cs="Times New Roman"/>
                <w:color w:val="auto"/>
                <w:spacing w:val="0"/>
                <w:kern w:val="0"/>
                <w:sz w:val="24"/>
                <w:u w:val="none" w:color="auto"/>
              </w:rPr>
            </w:pPr>
            <w:r>
              <w:rPr>
                <w:rFonts w:hint="default" w:ascii="Times New Roman" w:hAnsi="Times New Roman" w:eastAsia="宋体" w:cs="Times New Roman"/>
                <w:color w:val="auto"/>
                <w:spacing w:val="0"/>
                <w:kern w:val="0"/>
                <w:sz w:val="24"/>
                <w:u w:val="none" w:color="auto"/>
              </w:rPr>
              <w:t>①危废暂存间应贴有危废标志，按《危险废物贮存污染控制标准》要求，用以存放装载固体危险废物容器的地方，必须有耐腐蚀的硬化地面，做好防腐防渗防漏处置。危险废物要用不易破损、变形、老化、能有效地防止渗透、扩散的容器贮存，装有危险废物的容器必须贴有标签，在标签上详细标明危险废物的名称、重量、成分、特性及发生泄漏的处理方法等。</w:t>
            </w:r>
          </w:p>
          <w:p w14:paraId="6131EB9A">
            <w:pPr>
              <w:adjustRightInd w:val="0"/>
              <w:snapToGrid w:val="0"/>
              <w:spacing w:line="360" w:lineRule="auto"/>
              <w:ind w:firstLine="480" w:firstLineChars="200"/>
              <w:rPr>
                <w:rFonts w:hint="default" w:ascii="Times New Roman" w:hAnsi="Times New Roman" w:eastAsia="宋体" w:cs="Times New Roman"/>
                <w:color w:val="auto"/>
                <w:spacing w:val="0"/>
                <w:kern w:val="0"/>
                <w:sz w:val="24"/>
                <w:u w:val="none" w:color="auto"/>
              </w:rPr>
            </w:pPr>
            <w:r>
              <w:rPr>
                <w:rFonts w:hint="default" w:ascii="Times New Roman" w:hAnsi="Times New Roman" w:eastAsia="宋体" w:cs="Times New Roman"/>
                <w:color w:val="auto"/>
                <w:spacing w:val="0"/>
                <w:kern w:val="0"/>
                <w:sz w:val="24"/>
                <w:u w:val="none" w:color="auto"/>
              </w:rPr>
              <w:t>②危险固废储存于阴凉、通风、隔离的库房。库房温度不超过35℃，相对湿度不超过85%，保持储存容器密封。应与禁配物分开存放，切忌混储。库房备有泄漏应急处理设备和合适的收容材料。起运时包装要完整，装载应稳妥。</w:t>
            </w:r>
          </w:p>
          <w:p w14:paraId="49EAEEA1">
            <w:pPr>
              <w:adjustRightInd w:val="0"/>
              <w:snapToGrid w:val="0"/>
              <w:spacing w:line="360" w:lineRule="auto"/>
              <w:ind w:firstLine="480" w:firstLineChars="200"/>
              <w:rPr>
                <w:rFonts w:hint="default" w:ascii="Times New Roman" w:hAnsi="Times New Roman" w:eastAsia="宋体" w:cs="Times New Roman"/>
                <w:color w:val="auto"/>
                <w:spacing w:val="0"/>
                <w:kern w:val="0"/>
                <w:sz w:val="24"/>
                <w:u w:val="none" w:color="auto"/>
              </w:rPr>
            </w:pPr>
            <w:r>
              <w:rPr>
                <w:rFonts w:hint="default" w:ascii="Times New Roman" w:hAnsi="Times New Roman" w:eastAsia="宋体" w:cs="Times New Roman"/>
                <w:color w:val="auto"/>
                <w:spacing w:val="0"/>
                <w:kern w:val="0"/>
                <w:sz w:val="24"/>
                <w:u w:val="none" w:color="auto"/>
              </w:rPr>
              <w:t>（2）危废暂存间的</w:t>
            </w:r>
            <w:r>
              <w:rPr>
                <w:rFonts w:hint="default" w:ascii="Times New Roman" w:hAnsi="Times New Roman" w:eastAsia="宋体" w:cs="Times New Roman"/>
                <w:color w:val="auto"/>
                <w:spacing w:val="0"/>
                <w:kern w:val="0"/>
                <w:sz w:val="24"/>
                <w:u w:val="none" w:color="auto"/>
                <w:lang w:val="en-US" w:eastAsia="zh-CN"/>
              </w:rPr>
              <w:t>建设</w:t>
            </w:r>
            <w:r>
              <w:rPr>
                <w:rFonts w:hint="default" w:ascii="Times New Roman" w:hAnsi="Times New Roman" w:eastAsia="宋体" w:cs="Times New Roman"/>
                <w:color w:val="auto"/>
                <w:spacing w:val="0"/>
                <w:kern w:val="0"/>
                <w:sz w:val="24"/>
                <w:u w:val="none" w:color="auto"/>
              </w:rPr>
              <w:t>要求</w:t>
            </w:r>
          </w:p>
          <w:p w14:paraId="7C2F3330">
            <w:pPr>
              <w:adjustRightInd w:val="0"/>
              <w:snapToGrid w:val="0"/>
              <w:spacing w:line="360" w:lineRule="auto"/>
              <w:ind w:firstLine="480" w:firstLineChars="200"/>
              <w:rPr>
                <w:rFonts w:hint="default" w:ascii="Times New Roman" w:hAnsi="Times New Roman" w:eastAsia="宋体" w:cs="Times New Roman"/>
                <w:color w:val="auto"/>
                <w:spacing w:val="0"/>
                <w:kern w:val="0"/>
                <w:sz w:val="24"/>
                <w:u w:val="none" w:color="auto"/>
              </w:rPr>
            </w:pPr>
            <w:r>
              <w:rPr>
                <w:rFonts w:hint="default" w:ascii="Times New Roman" w:hAnsi="Times New Roman" w:eastAsia="宋体" w:cs="Times New Roman"/>
                <w:color w:val="auto"/>
                <w:spacing w:val="0"/>
                <w:kern w:val="0"/>
                <w:sz w:val="24"/>
                <w:u w:val="none" w:color="auto"/>
              </w:rPr>
              <w:t>项目危险废物暂存间应妥善分类用指定容器收集，区分存放，同时贴上专用标识：标志标识、防渗、污水和废气导排、包装容器等情况。同时，根据</w:t>
            </w:r>
            <w:r>
              <w:rPr>
                <w:rFonts w:hint="default" w:ascii="Times New Roman" w:hAnsi="Times New Roman" w:eastAsia="宋体" w:cs="Times New Roman"/>
                <w:color w:val="auto"/>
                <w:spacing w:val="0"/>
                <w:kern w:val="0"/>
                <w:sz w:val="24"/>
                <w:u w:val="none" w:color="auto"/>
                <w:lang w:eastAsia="zh-CN"/>
              </w:rPr>
              <w:t>《危险废物贮存污染控制标准》（GB18597-2023）</w:t>
            </w:r>
            <w:r>
              <w:rPr>
                <w:rFonts w:hint="default" w:ascii="Times New Roman" w:hAnsi="Times New Roman" w:eastAsia="宋体" w:cs="Times New Roman"/>
                <w:color w:val="auto"/>
                <w:spacing w:val="0"/>
                <w:kern w:val="0"/>
                <w:sz w:val="24"/>
                <w:u w:val="none" w:color="auto"/>
              </w:rPr>
              <w:t>要求，危险废物暂存场地相关要求如下：</w:t>
            </w:r>
          </w:p>
          <w:p w14:paraId="5BDB4BF8">
            <w:pPr>
              <w:adjustRightInd w:val="0"/>
              <w:snapToGrid w:val="0"/>
              <w:spacing w:line="360" w:lineRule="auto"/>
              <w:ind w:firstLine="480" w:firstLineChars="200"/>
              <w:rPr>
                <w:rFonts w:hint="default" w:ascii="Times New Roman" w:hAnsi="Times New Roman" w:eastAsia="宋体" w:cs="Times New Roman"/>
                <w:color w:val="auto"/>
                <w:spacing w:val="0"/>
                <w:kern w:val="0"/>
                <w:sz w:val="24"/>
                <w:u w:val="none" w:color="auto"/>
              </w:rPr>
            </w:pPr>
            <w:r>
              <w:rPr>
                <w:rFonts w:hint="default" w:ascii="Times New Roman" w:hAnsi="Times New Roman" w:eastAsia="宋体" w:cs="Times New Roman"/>
                <w:color w:val="auto"/>
                <w:spacing w:val="0"/>
                <w:kern w:val="0"/>
                <w:sz w:val="24"/>
                <w:u w:val="none" w:color="auto"/>
              </w:rPr>
              <w:t>①基础必须防渗，防渗层为至少1米厚粘土层（渗透系数≤10</w:t>
            </w:r>
            <w:r>
              <w:rPr>
                <w:rFonts w:hint="default" w:ascii="Times New Roman" w:hAnsi="Times New Roman" w:eastAsia="宋体" w:cs="Times New Roman"/>
                <w:color w:val="auto"/>
                <w:spacing w:val="0"/>
                <w:kern w:val="0"/>
                <w:sz w:val="24"/>
                <w:u w:val="none" w:color="auto"/>
                <w:vertAlign w:val="superscript"/>
              </w:rPr>
              <w:t>-7</w:t>
            </w:r>
            <w:r>
              <w:rPr>
                <w:rFonts w:hint="default" w:ascii="Times New Roman" w:hAnsi="Times New Roman" w:eastAsia="宋体" w:cs="Times New Roman"/>
                <w:color w:val="auto"/>
                <w:spacing w:val="0"/>
                <w:kern w:val="0"/>
                <w:sz w:val="24"/>
                <w:u w:val="none" w:color="auto"/>
              </w:rPr>
              <w:t>厘米/秒），或2毫米厚高密度聚乙烯，或至少2毫米厚的其它人工材料，渗透系数≤10</w:t>
            </w:r>
            <w:r>
              <w:rPr>
                <w:rFonts w:hint="default" w:ascii="Times New Roman" w:hAnsi="Times New Roman" w:eastAsia="宋体" w:cs="Times New Roman"/>
                <w:color w:val="auto"/>
                <w:spacing w:val="0"/>
                <w:kern w:val="0"/>
                <w:sz w:val="24"/>
                <w:u w:val="none" w:color="auto"/>
                <w:vertAlign w:val="superscript"/>
              </w:rPr>
              <w:t>-10</w:t>
            </w:r>
            <w:r>
              <w:rPr>
                <w:rFonts w:hint="default" w:ascii="Times New Roman" w:hAnsi="Times New Roman" w:eastAsia="宋体" w:cs="Times New Roman"/>
                <w:color w:val="auto"/>
                <w:spacing w:val="0"/>
                <w:kern w:val="0"/>
                <w:sz w:val="24"/>
                <w:u w:val="none" w:color="auto"/>
              </w:rPr>
              <w:t>厘米/秒。</w:t>
            </w:r>
          </w:p>
          <w:p w14:paraId="37067A8D">
            <w:pPr>
              <w:adjustRightInd w:val="0"/>
              <w:snapToGrid w:val="0"/>
              <w:spacing w:line="360" w:lineRule="auto"/>
              <w:ind w:firstLine="480" w:firstLineChars="200"/>
              <w:rPr>
                <w:rFonts w:hint="default" w:ascii="Times New Roman" w:hAnsi="Times New Roman" w:eastAsia="宋体" w:cs="Times New Roman"/>
                <w:color w:val="auto"/>
                <w:spacing w:val="0"/>
                <w:kern w:val="0"/>
                <w:sz w:val="24"/>
                <w:u w:val="none" w:color="auto"/>
              </w:rPr>
            </w:pPr>
            <w:r>
              <w:rPr>
                <w:rFonts w:hint="default" w:ascii="Times New Roman" w:hAnsi="Times New Roman" w:eastAsia="宋体" w:cs="Times New Roman"/>
                <w:color w:val="auto"/>
                <w:spacing w:val="0"/>
                <w:kern w:val="0"/>
                <w:sz w:val="24"/>
                <w:u w:val="none" w:color="auto"/>
              </w:rPr>
              <w:t>②堆放危险废物的高度应根据地面承载能力确定。</w:t>
            </w:r>
          </w:p>
          <w:p w14:paraId="2D623C5D">
            <w:pPr>
              <w:adjustRightInd w:val="0"/>
              <w:snapToGrid w:val="0"/>
              <w:spacing w:line="360" w:lineRule="auto"/>
              <w:ind w:firstLine="480" w:firstLineChars="200"/>
              <w:rPr>
                <w:rFonts w:hint="default" w:ascii="Times New Roman" w:hAnsi="Times New Roman" w:eastAsia="宋体" w:cs="Times New Roman"/>
                <w:color w:val="auto"/>
                <w:spacing w:val="0"/>
                <w:kern w:val="0"/>
                <w:sz w:val="24"/>
                <w:u w:val="none" w:color="auto"/>
              </w:rPr>
            </w:pPr>
            <w:r>
              <w:rPr>
                <w:rFonts w:hint="default" w:ascii="Times New Roman" w:hAnsi="Times New Roman" w:eastAsia="宋体" w:cs="Times New Roman"/>
                <w:color w:val="auto"/>
                <w:spacing w:val="0"/>
                <w:kern w:val="0"/>
                <w:sz w:val="24"/>
                <w:u w:val="none" w:color="auto"/>
              </w:rPr>
              <w:t>③衬里放在一个基础或底座上。</w:t>
            </w:r>
          </w:p>
          <w:p w14:paraId="56849CD0">
            <w:pPr>
              <w:adjustRightInd w:val="0"/>
              <w:snapToGrid w:val="0"/>
              <w:spacing w:line="360" w:lineRule="auto"/>
              <w:ind w:firstLine="480" w:firstLineChars="200"/>
              <w:rPr>
                <w:rFonts w:hint="default" w:ascii="Times New Roman" w:hAnsi="Times New Roman" w:eastAsia="宋体" w:cs="Times New Roman"/>
                <w:color w:val="auto"/>
                <w:spacing w:val="0"/>
                <w:kern w:val="0"/>
                <w:sz w:val="24"/>
                <w:u w:val="none" w:color="auto"/>
              </w:rPr>
            </w:pPr>
            <w:r>
              <w:rPr>
                <w:rFonts w:hint="default" w:ascii="Times New Roman" w:hAnsi="Times New Roman" w:eastAsia="宋体" w:cs="Times New Roman"/>
                <w:color w:val="auto"/>
                <w:spacing w:val="0"/>
                <w:kern w:val="0"/>
                <w:sz w:val="24"/>
                <w:u w:val="none" w:color="auto"/>
              </w:rPr>
              <w:t>④衬里要能够覆盖危险废物或其溶出物可能涉及到的范围。</w:t>
            </w:r>
          </w:p>
          <w:p w14:paraId="6B9D60A8">
            <w:pPr>
              <w:adjustRightInd w:val="0"/>
              <w:snapToGrid w:val="0"/>
              <w:spacing w:line="360" w:lineRule="auto"/>
              <w:ind w:firstLine="480" w:firstLineChars="200"/>
              <w:rPr>
                <w:rFonts w:hint="default" w:ascii="Times New Roman" w:hAnsi="Times New Roman" w:eastAsia="宋体" w:cs="Times New Roman"/>
                <w:color w:val="auto"/>
                <w:spacing w:val="0"/>
                <w:kern w:val="0"/>
                <w:sz w:val="24"/>
                <w:u w:val="none" w:color="auto"/>
              </w:rPr>
            </w:pPr>
            <w:r>
              <w:rPr>
                <w:rFonts w:hint="default" w:ascii="Times New Roman" w:hAnsi="Times New Roman" w:eastAsia="宋体" w:cs="Times New Roman"/>
                <w:color w:val="auto"/>
                <w:spacing w:val="0"/>
                <w:kern w:val="0"/>
                <w:sz w:val="24"/>
                <w:u w:val="none" w:color="auto"/>
              </w:rPr>
              <w:t>⑤衬里材料与堆放危险废物相容。</w:t>
            </w:r>
          </w:p>
          <w:p w14:paraId="1739698A">
            <w:pPr>
              <w:adjustRightInd w:val="0"/>
              <w:snapToGrid w:val="0"/>
              <w:spacing w:line="360" w:lineRule="auto"/>
              <w:ind w:firstLine="480" w:firstLineChars="200"/>
              <w:rPr>
                <w:rFonts w:hint="default" w:ascii="Times New Roman" w:hAnsi="Times New Roman" w:eastAsia="宋体" w:cs="Times New Roman"/>
                <w:color w:val="auto"/>
                <w:spacing w:val="0"/>
                <w:kern w:val="0"/>
                <w:sz w:val="24"/>
                <w:u w:val="none" w:color="auto"/>
              </w:rPr>
            </w:pPr>
            <w:r>
              <w:rPr>
                <w:rFonts w:hint="default" w:ascii="Times New Roman" w:hAnsi="Times New Roman" w:eastAsia="宋体" w:cs="Times New Roman"/>
                <w:color w:val="auto"/>
                <w:spacing w:val="0"/>
                <w:kern w:val="0"/>
                <w:sz w:val="24"/>
                <w:u w:val="none" w:color="auto"/>
              </w:rPr>
              <w:t>⑥不相容的危险废物不能堆放在一起。</w:t>
            </w:r>
          </w:p>
          <w:p w14:paraId="16D07F69">
            <w:pPr>
              <w:adjustRightInd w:val="0"/>
              <w:snapToGrid w:val="0"/>
              <w:spacing w:line="360" w:lineRule="auto"/>
              <w:ind w:firstLine="480" w:firstLineChars="200"/>
              <w:rPr>
                <w:rFonts w:hint="default" w:ascii="Times New Roman" w:hAnsi="Times New Roman" w:eastAsia="宋体" w:cs="Times New Roman"/>
                <w:color w:val="auto"/>
                <w:spacing w:val="0"/>
                <w:kern w:val="0"/>
                <w:sz w:val="24"/>
                <w:u w:val="none" w:color="auto"/>
              </w:rPr>
            </w:pPr>
            <w:r>
              <w:rPr>
                <w:rFonts w:hint="default" w:ascii="Times New Roman" w:hAnsi="Times New Roman" w:eastAsia="宋体" w:cs="Times New Roman"/>
                <w:color w:val="auto"/>
                <w:spacing w:val="0"/>
                <w:kern w:val="0"/>
                <w:sz w:val="24"/>
                <w:u w:val="none" w:color="auto"/>
                <w:lang w:val="en-US" w:eastAsia="zh-CN"/>
              </w:rPr>
              <w:t>⑦</w:t>
            </w:r>
            <w:r>
              <w:rPr>
                <w:rFonts w:hint="default" w:ascii="Times New Roman" w:hAnsi="Times New Roman" w:eastAsia="宋体" w:cs="Times New Roman"/>
                <w:color w:val="auto"/>
                <w:spacing w:val="0"/>
                <w:kern w:val="0"/>
                <w:sz w:val="24"/>
                <w:u w:val="none" w:color="auto"/>
              </w:rPr>
              <w:t>标识和记录：危废暂存间应设置明显的标识牌，标明暂存间的名称、编号、负责人等信息，以便管理和监督。危废暂存间应建立完整的台账记录，包括危险废物的来源、种类、性质、数量、处理方式等信息，以备查验和管理。危废暂存间应设置相应的环保宣传栏，及时发布环保信息，</w:t>
            </w:r>
            <w:r>
              <w:rPr>
                <w:rFonts w:hint="default" w:ascii="Times New Roman" w:hAnsi="Times New Roman" w:eastAsia="宋体" w:cs="Times New Roman"/>
                <w:color w:val="auto"/>
                <w:spacing w:val="0"/>
                <w:kern w:val="0"/>
                <w:sz w:val="24"/>
                <w:u w:val="none" w:color="auto"/>
                <w:lang w:eastAsia="zh-CN"/>
              </w:rPr>
              <w:t>增强</w:t>
            </w:r>
            <w:r>
              <w:rPr>
                <w:rFonts w:hint="default" w:ascii="Times New Roman" w:hAnsi="Times New Roman" w:eastAsia="宋体" w:cs="Times New Roman"/>
                <w:color w:val="auto"/>
                <w:spacing w:val="0"/>
                <w:kern w:val="0"/>
                <w:sz w:val="24"/>
                <w:u w:val="none" w:color="auto"/>
              </w:rPr>
              <w:t>公众的环保意识和参与度。</w:t>
            </w:r>
          </w:p>
          <w:p w14:paraId="359EC02E">
            <w:pPr>
              <w:adjustRightInd w:val="0"/>
              <w:snapToGrid w:val="0"/>
              <w:spacing w:line="360" w:lineRule="auto"/>
              <w:ind w:firstLine="480" w:firstLineChars="200"/>
              <w:rPr>
                <w:rFonts w:hint="default" w:ascii="Times New Roman" w:hAnsi="Times New Roman" w:eastAsia="宋体" w:cs="Times New Roman"/>
                <w:color w:val="auto"/>
                <w:spacing w:val="0"/>
                <w:kern w:val="0"/>
                <w:sz w:val="24"/>
                <w:u w:val="none" w:color="auto"/>
                <w:lang w:val="en-US" w:eastAsia="zh-CN"/>
              </w:rPr>
            </w:pPr>
            <w:r>
              <w:rPr>
                <w:rFonts w:hint="default" w:ascii="Times New Roman" w:hAnsi="Times New Roman" w:eastAsia="宋体" w:cs="Times New Roman"/>
                <w:color w:val="auto"/>
                <w:spacing w:val="0"/>
                <w:kern w:val="0"/>
                <w:sz w:val="24"/>
                <w:u w:val="none" w:color="auto"/>
                <w:lang w:val="en-US" w:eastAsia="zh-CN"/>
              </w:rPr>
              <w:t>⑧危废暂存间应按照危险废物种类、性质、形态等进行合理布局。不同种类的危险废物应分别存放于不同的暂存间内，并做好标识和分类管理。</w:t>
            </w:r>
          </w:p>
          <w:p w14:paraId="523D0627">
            <w:pPr>
              <w:spacing w:line="360" w:lineRule="auto"/>
              <w:ind w:firstLine="480" w:firstLineChars="200"/>
              <w:rPr>
                <w:rFonts w:hint="default" w:ascii="Times New Roman" w:hAnsi="Times New Roman" w:eastAsia="宋体" w:cs="Times New Roman"/>
                <w:color w:val="auto"/>
                <w:spacing w:val="0"/>
                <w:kern w:val="0"/>
                <w:sz w:val="24"/>
                <w:u w:val="none" w:color="auto"/>
              </w:rPr>
            </w:pPr>
            <w:r>
              <w:rPr>
                <w:rFonts w:hint="default" w:ascii="Times New Roman" w:hAnsi="Times New Roman" w:eastAsia="宋体" w:cs="Times New Roman"/>
                <w:color w:val="auto"/>
                <w:spacing w:val="0"/>
                <w:kern w:val="0"/>
                <w:sz w:val="24"/>
                <w:u w:val="none" w:color="auto"/>
              </w:rPr>
              <w:t>本工程固体废物可得到妥善地处理，不会对外环境产生二次污染，对区域环境影响较小。</w:t>
            </w:r>
          </w:p>
          <w:p w14:paraId="259463B2">
            <w:pPr>
              <w:spacing w:line="360" w:lineRule="auto"/>
              <w:contextualSpacing/>
              <w:rPr>
                <w:rFonts w:hint="default" w:ascii="Times New Roman" w:hAnsi="Times New Roman" w:eastAsia="宋体" w:cs="Times New Roman"/>
                <w:color w:val="auto"/>
                <w:spacing w:val="0"/>
                <w:kern w:val="0"/>
                <w:sz w:val="24"/>
                <w:u w:val="none" w:color="auto"/>
              </w:rPr>
            </w:pPr>
            <w:r>
              <w:rPr>
                <w:rFonts w:hint="default" w:ascii="Times New Roman" w:hAnsi="Times New Roman" w:eastAsia="宋体" w:cs="Times New Roman"/>
                <w:b/>
                <w:bCs/>
                <w:color w:val="auto"/>
                <w:spacing w:val="0"/>
                <w:sz w:val="24"/>
                <w:u w:val="none" w:color="auto"/>
              </w:rPr>
              <w:t>五、土壤和地下水环境</w:t>
            </w:r>
          </w:p>
          <w:p w14:paraId="5A7123EC">
            <w:pPr>
              <w:snapToGrid w:val="0"/>
              <w:spacing w:line="360" w:lineRule="auto"/>
              <w:ind w:firstLine="480" w:firstLineChars="200"/>
              <w:rPr>
                <w:rFonts w:hint="default" w:ascii="Times New Roman" w:hAnsi="Times New Roman" w:eastAsia="宋体" w:cs="Times New Roman"/>
                <w:bCs/>
                <w:color w:val="auto"/>
                <w:spacing w:val="0"/>
                <w:sz w:val="24"/>
                <w:u w:val="none" w:color="auto"/>
              </w:rPr>
            </w:pPr>
            <w:r>
              <w:rPr>
                <w:rFonts w:hint="default" w:ascii="Times New Roman" w:hAnsi="Times New Roman" w:eastAsia="宋体" w:cs="Times New Roman"/>
                <w:bCs/>
                <w:color w:val="auto"/>
                <w:spacing w:val="0"/>
                <w:sz w:val="24"/>
                <w:u w:val="none" w:color="auto"/>
              </w:rPr>
              <w:t>结合现场及工艺分析调查，本项目</w:t>
            </w:r>
            <w:r>
              <w:rPr>
                <w:rFonts w:hint="default" w:ascii="Times New Roman" w:hAnsi="Times New Roman" w:eastAsia="宋体" w:cs="Times New Roman"/>
                <w:bCs/>
                <w:color w:val="auto"/>
                <w:spacing w:val="0"/>
                <w:sz w:val="24"/>
                <w:u w:val="none" w:color="auto"/>
                <w:lang w:val="en-US" w:eastAsia="zh-CN"/>
              </w:rPr>
              <w:t>生产区域场地</w:t>
            </w:r>
            <w:r>
              <w:rPr>
                <w:rFonts w:hint="default" w:ascii="Times New Roman" w:hAnsi="Times New Roman" w:eastAsia="宋体" w:cs="Times New Roman"/>
                <w:bCs/>
                <w:color w:val="auto"/>
                <w:spacing w:val="0"/>
                <w:sz w:val="24"/>
                <w:u w:val="none" w:color="auto"/>
              </w:rPr>
              <w:t>均已硬化，不存在地下水、土壤环境污染途径</w:t>
            </w:r>
            <w:r>
              <w:rPr>
                <w:rFonts w:hint="default" w:ascii="Times New Roman" w:hAnsi="Times New Roman" w:eastAsia="宋体" w:cs="Times New Roman"/>
                <w:color w:val="auto"/>
                <w:spacing w:val="0"/>
                <w:kern w:val="0"/>
                <w:sz w:val="24"/>
                <w:u w:val="none" w:color="auto"/>
              </w:rPr>
              <w:t>，</w:t>
            </w:r>
            <w:r>
              <w:rPr>
                <w:rFonts w:hint="default" w:ascii="Times New Roman" w:hAnsi="Times New Roman" w:eastAsia="宋体" w:cs="Times New Roman"/>
                <w:color w:val="auto"/>
                <w:spacing w:val="0"/>
                <w:kern w:val="0"/>
                <w:sz w:val="24"/>
                <w:u w:val="none" w:color="auto"/>
                <w:lang w:val="en-US" w:eastAsia="zh-CN"/>
              </w:rPr>
              <w:t>依据指南要求可</w:t>
            </w:r>
            <w:r>
              <w:rPr>
                <w:rFonts w:hint="default" w:ascii="Times New Roman" w:hAnsi="Times New Roman" w:eastAsia="宋体" w:cs="Times New Roman"/>
                <w:color w:val="auto"/>
                <w:spacing w:val="0"/>
                <w:kern w:val="0"/>
                <w:sz w:val="24"/>
                <w:u w:val="none" w:color="auto"/>
              </w:rPr>
              <w:t>不开展</w:t>
            </w:r>
            <w:r>
              <w:rPr>
                <w:rFonts w:hint="default" w:ascii="Times New Roman" w:hAnsi="Times New Roman" w:eastAsia="宋体" w:cs="Times New Roman"/>
                <w:color w:val="auto"/>
                <w:spacing w:val="0"/>
                <w:kern w:val="0"/>
                <w:sz w:val="24"/>
                <w:u w:val="none" w:color="auto"/>
                <w:lang w:val="en-US" w:eastAsia="zh-CN"/>
              </w:rPr>
              <w:t>土壤、地下水</w:t>
            </w:r>
            <w:r>
              <w:rPr>
                <w:rFonts w:hint="default" w:ascii="Times New Roman" w:hAnsi="Times New Roman" w:eastAsia="宋体" w:cs="Times New Roman"/>
                <w:color w:val="auto"/>
                <w:spacing w:val="0"/>
                <w:kern w:val="0"/>
                <w:sz w:val="24"/>
                <w:u w:val="none" w:color="auto"/>
              </w:rPr>
              <w:t>环境影响分析</w:t>
            </w:r>
            <w:r>
              <w:rPr>
                <w:rFonts w:hint="default" w:ascii="Times New Roman" w:hAnsi="Times New Roman" w:eastAsia="宋体" w:cs="Times New Roman"/>
                <w:bCs/>
                <w:color w:val="auto"/>
                <w:spacing w:val="0"/>
                <w:sz w:val="24"/>
                <w:u w:val="none" w:color="auto"/>
              </w:rPr>
              <w:t>。</w:t>
            </w:r>
          </w:p>
          <w:p w14:paraId="76B4E9C1">
            <w:pPr>
              <w:spacing w:line="360" w:lineRule="auto"/>
              <w:contextualSpacing/>
              <w:rPr>
                <w:rFonts w:hint="default" w:ascii="Times New Roman" w:hAnsi="Times New Roman" w:eastAsia="宋体" w:cs="Times New Roman"/>
                <w:b/>
                <w:bCs/>
                <w:color w:val="auto"/>
                <w:spacing w:val="0"/>
                <w:sz w:val="24"/>
                <w:u w:val="none" w:color="auto"/>
              </w:rPr>
            </w:pPr>
            <w:r>
              <w:rPr>
                <w:rFonts w:hint="default" w:ascii="Times New Roman" w:hAnsi="Times New Roman" w:eastAsia="宋体" w:cs="Times New Roman"/>
                <w:b/>
                <w:bCs/>
                <w:color w:val="auto"/>
                <w:spacing w:val="0"/>
                <w:sz w:val="24"/>
                <w:u w:val="none" w:color="auto"/>
              </w:rPr>
              <w:t>六、生态的环境影响及保护措施</w:t>
            </w:r>
          </w:p>
          <w:p w14:paraId="78764A07">
            <w:pPr>
              <w:spacing w:line="360" w:lineRule="auto"/>
              <w:ind w:firstLine="480" w:firstLineChars="200"/>
              <w:contextualSpacing/>
              <w:rPr>
                <w:rFonts w:hint="default" w:ascii="Times New Roman" w:hAnsi="Times New Roman" w:eastAsia="宋体" w:cs="Times New Roman"/>
                <w:color w:val="auto"/>
                <w:spacing w:val="0"/>
                <w:kern w:val="0"/>
                <w:sz w:val="24"/>
                <w:u w:val="none" w:color="auto"/>
              </w:rPr>
            </w:pPr>
            <w:r>
              <w:rPr>
                <w:rFonts w:hint="default" w:ascii="Times New Roman" w:hAnsi="Times New Roman" w:eastAsia="宋体" w:cs="Times New Roman"/>
                <w:color w:val="auto"/>
                <w:spacing w:val="0"/>
                <w:kern w:val="0"/>
                <w:sz w:val="24"/>
                <w:u w:val="none" w:color="auto"/>
              </w:rPr>
              <w:t>本项目位于</w:t>
            </w:r>
            <w:r>
              <w:rPr>
                <w:rFonts w:hint="default" w:ascii="Times New Roman" w:hAnsi="Times New Roman" w:eastAsia="宋体" w:cs="Times New Roman"/>
                <w:color w:val="auto"/>
                <w:spacing w:val="0"/>
                <w:kern w:val="0"/>
                <w:sz w:val="24"/>
                <w:u w:val="none" w:color="auto"/>
                <w:lang w:val="en-US" w:eastAsia="zh-CN"/>
              </w:rPr>
              <w:t>已取得规划及其环评批复的</w:t>
            </w:r>
            <w:r>
              <w:rPr>
                <w:rFonts w:hint="default" w:ascii="Times New Roman" w:hAnsi="Times New Roman" w:eastAsia="宋体" w:cs="Times New Roman"/>
                <w:color w:val="auto"/>
                <w:spacing w:val="0"/>
                <w:kern w:val="0"/>
                <w:sz w:val="24"/>
                <w:u w:val="none" w:color="auto"/>
              </w:rPr>
              <w:t>产业园区内，</w:t>
            </w:r>
            <w:r>
              <w:rPr>
                <w:rFonts w:hint="default" w:ascii="Times New Roman" w:hAnsi="Times New Roman" w:eastAsia="宋体" w:cs="Times New Roman"/>
                <w:color w:val="auto"/>
                <w:spacing w:val="0"/>
                <w:kern w:val="0"/>
                <w:sz w:val="24"/>
                <w:u w:val="none" w:color="auto"/>
                <w:lang w:val="en-US" w:eastAsia="zh-CN"/>
              </w:rPr>
              <w:t>该产业园</w:t>
            </w:r>
            <w:r>
              <w:rPr>
                <w:rFonts w:hint="default" w:ascii="Times New Roman" w:hAnsi="Times New Roman" w:eastAsia="宋体" w:cs="Times New Roman"/>
                <w:color w:val="auto"/>
                <w:spacing w:val="0"/>
                <w:kern w:val="0"/>
                <w:sz w:val="24"/>
                <w:u w:val="none" w:color="auto"/>
              </w:rPr>
              <w:t>区</w:t>
            </w:r>
            <w:r>
              <w:rPr>
                <w:rFonts w:hint="default" w:ascii="Times New Roman" w:hAnsi="Times New Roman" w:eastAsia="宋体" w:cs="Times New Roman"/>
                <w:color w:val="auto"/>
                <w:spacing w:val="0"/>
                <w:kern w:val="0"/>
                <w:sz w:val="24"/>
                <w:u w:val="none" w:color="auto"/>
                <w:lang w:val="en-US" w:eastAsia="zh-CN"/>
              </w:rPr>
              <w:t>不涉及生态敏感区，建设单位</w:t>
            </w:r>
            <w:r>
              <w:rPr>
                <w:rFonts w:hint="default" w:ascii="Times New Roman" w:hAnsi="Times New Roman" w:eastAsia="宋体" w:cs="Times New Roman"/>
                <w:color w:val="auto"/>
                <w:spacing w:val="0"/>
                <w:kern w:val="0"/>
                <w:sz w:val="24"/>
                <w:u w:val="none" w:color="auto"/>
              </w:rPr>
              <w:t>使用已建厂房，无新增园区外用地，根据初步调查结果，项目</w:t>
            </w:r>
            <w:r>
              <w:rPr>
                <w:rFonts w:hint="default" w:ascii="Times New Roman" w:hAnsi="Times New Roman" w:eastAsia="宋体" w:cs="Times New Roman"/>
                <w:color w:val="auto"/>
                <w:spacing w:val="0"/>
                <w:kern w:val="0"/>
                <w:sz w:val="24"/>
                <w:u w:val="none" w:color="auto"/>
                <w:lang w:val="en-US" w:eastAsia="zh-CN"/>
              </w:rPr>
              <w:t>范围内</w:t>
            </w:r>
            <w:r>
              <w:rPr>
                <w:rFonts w:hint="default" w:ascii="Times New Roman" w:hAnsi="Times New Roman" w:eastAsia="宋体" w:cs="Times New Roman"/>
                <w:color w:val="auto"/>
                <w:spacing w:val="0"/>
                <w:kern w:val="0"/>
                <w:sz w:val="24"/>
                <w:u w:val="none" w:color="auto"/>
              </w:rPr>
              <w:t>无生态敏感目标，故不开展生态环境影响分析。</w:t>
            </w:r>
          </w:p>
          <w:p w14:paraId="60A23AA5">
            <w:pPr>
              <w:spacing w:line="360" w:lineRule="auto"/>
              <w:rPr>
                <w:rFonts w:hint="default" w:ascii="Times New Roman" w:hAnsi="Times New Roman" w:eastAsia="宋体" w:cs="Times New Roman"/>
                <w:b/>
                <w:bCs/>
                <w:color w:val="auto"/>
                <w:spacing w:val="0"/>
                <w:sz w:val="24"/>
                <w:u w:val="none" w:color="auto"/>
              </w:rPr>
            </w:pPr>
            <w:r>
              <w:rPr>
                <w:rFonts w:hint="default" w:ascii="Times New Roman" w:hAnsi="Times New Roman" w:eastAsia="宋体" w:cs="Times New Roman"/>
                <w:b/>
                <w:bCs/>
                <w:color w:val="auto"/>
                <w:spacing w:val="0"/>
                <w:sz w:val="24"/>
                <w:u w:val="none" w:color="auto"/>
              </w:rPr>
              <w:t>七、环境风险</w:t>
            </w:r>
          </w:p>
          <w:p w14:paraId="3EF99FCB">
            <w:pPr>
              <w:spacing w:line="360" w:lineRule="auto"/>
              <w:ind w:firstLine="482" w:firstLineChars="200"/>
              <w:contextualSpacing/>
              <w:rPr>
                <w:rFonts w:hint="default" w:ascii="Times New Roman" w:hAnsi="Times New Roman" w:eastAsia="宋体" w:cs="Times New Roman"/>
                <w:b/>
                <w:bCs/>
                <w:color w:val="auto"/>
                <w:spacing w:val="0"/>
                <w:kern w:val="0"/>
                <w:sz w:val="24"/>
                <w:u w:val="none" w:color="auto"/>
                <w:lang w:val="en-US" w:eastAsia="zh-CN"/>
              </w:rPr>
            </w:pPr>
            <w:r>
              <w:rPr>
                <w:rFonts w:hint="default" w:ascii="Times New Roman" w:hAnsi="Times New Roman" w:eastAsia="宋体" w:cs="Times New Roman"/>
                <w:b/>
                <w:bCs/>
                <w:color w:val="auto"/>
                <w:spacing w:val="0"/>
                <w:kern w:val="0"/>
                <w:sz w:val="24"/>
                <w:u w:val="none" w:color="auto"/>
                <w:lang w:val="en-US" w:eastAsia="zh-CN"/>
              </w:rPr>
              <w:t>（一）中创空天厂区</w:t>
            </w:r>
          </w:p>
          <w:p w14:paraId="1E497232">
            <w:pPr>
              <w:spacing w:line="360" w:lineRule="auto"/>
              <w:ind w:firstLine="480" w:firstLineChars="200"/>
              <w:contextualSpacing/>
              <w:rPr>
                <w:rFonts w:hint="default" w:ascii="Times New Roman" w:hAnsi="Times New Roman" w:eastAsia="宋体" w:cs="Times New Roman"/>
                <w:color w:val="auto"/>
                <w:spacing w:val="0"/>
                <w:kern w:val="0"/>
                <w:sz w:val="24"/>
                <w:u w:val="none" w:color="auto"/>
              </w:rPr>
            </w:pPr>
            <w:r>
              <w:rPr>
                <w:rFonts w:hint="default" w:ascii="Times New Roman" w:hAnsi="Times New Roman" w:eastAsia="宋体" w:cs="Times New Roman"/>
                <w:color w:val="auto"/>
                <w:spacing w:val="0"/>
                <w:kern w:val="0"/>
                <w:sz w:val="24"/>
                <w:u w:val="none" w:color="auto"/>
                <w:lang w:val="en-US" w:eastAsia="zh-CN"/>
              </w:rPr>
              <w:t>本次评价中创空天厂区已设置风险专项，本章节仅说明风险专项评价结论，其余具体内容详见“附录  风险专项”</w:t>
            </w:r>
            <w:r>
              <w:rPr>
                <w:rFonts w:hint="default" w:ascii="Times New Roman" w:hAnsi="Times New Roman" w:eastAsia="宋体" w:cs="Times New Roman"/>
                <w:color w:val="auto"/>
                <w:spacing w:val="0"/>
                <w:kern w:val="0"/>
                <w:sz w:val="24"/>
                <w:u w:val="none" w:color="auto"/>
              </w:rPr>
              <w:t>。</w:t>
            </w:r>
          </w:p>
          <w:p w14:paraId="344BB57B">
            <w:pPr>
              <w:spacing w:line="360" w:lineRule="auto"/>
              <w:ind w:firstLine="480" w:firstLineChars="200"/>
              <w:contextualSpacing/>
              <w:rPr>
                <w:rFonts w:hint="default" w:ascii="Times New Roman" w:hAnsi="Times New Roman" w:eastAsia="宋体" w:cs="Times New Roman"/>
                <w:color w:val="auto"/>
                <w:spacing w:val="0"/>
                <w:kern w:val="0"/>
                <w:sz w:val="24"/>
                <w:u w:val="none" w:color="auto"/>
                <w:lang w:val="en-US" w:eastAsia="zh-CN"/>
              </w:rPr>
            </w:pPr>
            <w:r>
              <w:rPr>
                <w:rFonts w:hint="default" w:ascii="Times New Roman" w:hAnsi="Times New Roman" w:eastAsia="宋体" w:cs="Times New Roman"/>
                <w:color w:val="auto"/>
                <w:spacing w:val="0"/>
                <w:kern w:val="0"/>
                <w:sz w:val="24"/>
                <w:u w:val="none" w:color="auto"/>
                <w:lang w:val="en-US" w:eastAsia="zh-CN"/>
              </w:rPr>
              <w:t>中创空天厂区</w:t>
            </w:r>
            <w:r>
              <w:rPr>
                <w:rFonts w:hint="default" w:ascii="Times New Roman" w:hAnsi="Times New Roman" w:eastAsia="宋体" w:cs="Times New Roman"/>
                <w:color w:val="auto"/>
                <w:spacing w:val="0"/>
                <w:kern w:val="0"/>
                <w:sz w:val="24"/>
                <w:u w:val="none" w:color="auto"/>
              </w:rPr>
              <w:t>在采取严格安全防范措施、落实相关风险防范措施后，其风险水平总体上是可以接受的。项目在各环境风险防范措施落实到位的情况下，相应风险防范措施具有有效性，将可大大降低项目的环境风险，最大程度减少对环境可能造成的危害。</w:t>
            </w:r>
          </w:p>
          <w:p w14:paraId="5568D21D">
            <w:pPr>
              <w:spacing w:line="360" w:lineRule="auto"/>
              <w:ind w:firstLine="482" w:firstLineChars="200"/>
              <w:rPr>
                <w:rFonts w:hint="default" w:ascii="Times New Roman" w:hAnsi="Times New Roman" w:eastAsia="宋体" w:cs="Times New Roman"/>
                <w:b/>
                <w:color w:val="auto"/>
                <w:sz w:val="24"/>
                <w:u w:val="none" w:color="auto"/>
                <w:lang w:eastAsia="zh-CN"/>
              </w:rPr>
            </w:pPr>
            <w:r>
              <w:rPr>
                <w:rFonts w:hint="default" w:ascii="Times New Roman" w:hAnsi="Times New Roman" w:eastAsia="宋体" w:cs="Times New Roman"/>
                <w:b/>
                <w:color w:val="auto"/>
                <w:sz w:val="24"/>
                <w:u w:val="none" w:color="auto"/>
                <w:lang w:eastAsia="zh-CN"/>
              </w:rPr>
              <w:t>（</w:t>
            </w:r>
            <w:r>
              <w:rPr>
                <w:rFonts w:hint="default" w:ascii="Times New Roman" w:hAnsi="Times New Roman" w:eastAsia="宋体" w:cs="Times New Roman"/>
                <w:b/>
                <w:color w:val="auto"/>
                <w:sz w:val="24"/>
                <w:u w:val="none" w:color="auto"/>
                <w:lang w:val="en-US" w:eastAsia="zh-CN"/>
              </w:rPr>
              <w:t>二</w:t>
            </w:r>
            <w:r>
              <w:rPr>
                <w:rFonts w:hint="default" w:ascii="Times New Roman" w:hAnsi="Times New Roman" w:eastAsia="宋体" w:cs="Times New Roman"/>
                <w:b/>
                <w:color w:val="auto"/>
                <w:sz w:val="24"/>
                <w:u w:val="none" w:color="auto"/>
                <w:lang w:eastAsia="zh-CN"/>
              </w:rPr>
              <w:t>）</w:t>
            </w:r>
            <w:r>
              <w:rPr>
                <w:rFonts w:hint="default" w:ascii="Times New Roman" w:hAnsi="Times New Roman" w:eastAsia="宋体" w:cs="Times New Roman"/>
                <w:b/>
                <w:bCs w:val="0"/>
                <w:color w:val="auto"/>
                <w:spacing w:val="0"/>
                <w:sz w:val="24"/>
                <w:u w:val="none" w:color="auto"/>
                <w:lang w:eastAsia="zh-CN"/>
              </w:rPr>
              <w:t>临港高新产业园区</w:t>
            </w:r>
          </w:p>
          <w:p w14:paraId="64632556">
            <w:pPr>
              <w:spacing w:line="360" w:lineRule="auto"/>
              <w:ind w:firstLine="482" w:firstLineChars="200"/>
              <w:rPr>
                <w:rFonts w:hint="default" w:ascii="Times New Roman" w:hAnsi="Times New Roman" w:eastAsia="宋体" w:cs="Times New Roman"/>
                <w:b/>
                <w:color w:val="auto"/>
                <w:sz w:val="24"/>
                <w:highlight w:val="none"/>
                <w:u w:val="none" w:color="auto"/>
              </w:rPr>
            </w:pPr>
            <w:r>
              <w:rPr>
                <w:rFonts w:hint="default" w:ascii="Times New Roman" w:hAnsi="Times New Roman" w:eastAsia="宋体" w:cs="Times New Roman"/>
                <w:b/>
                <w:color w:val="auto"/>
                <w:sz w:val="24"/>
                <w:highlight w:val="none"/>
                <w:u w:val="none" w:color="auto"/>
              </w:rPr>
              <w:t>（1）风险潜势判断</w:t>
            </w:r>
          </w:p>
          <w:p w14:paraId="2CC2230B">
            <w:pPr>
              <w:pStyle w:val="55"/>
              <w:ind w:firstLine="480"/>
              <w:rPr>
                <w:rFonts w:hint="default" w:ascii="Times New Roman" w:hAnsi="Times New Roman" w:eastAsia="宋体" w:cs="Times New Roman"/>
                <w:color w:val="auto"/>
                <w:szCs w:val="24"/>
                <w:highlight w:val="yellow"/>
                <w:u w:val="none" w:color="auto"/>
              </w:rPr>
            </w:pPr>
            <w:r>
              <w:rPr>
                <w:rFonts w:hint="default" w:ascii="Times New Roman" w:hAnsi="Times New Roman" w:eastAsia="宋体" w:cs="Times New Roman"/>
                <w:color w:val="auto"/>
                <w:szCs w:val="24"/>
                <w:highlight w:val="none"/>
                <w:u w:val="none" w:color="auto"/>
              </w:rPr>
              <w:t>生产过程中使用的化学品原料主要为浸渗剂</w:t>
            </w:r>
            <w:r>
              <w:rPr>
                <w:rFonts w:hint="default" w:ascii="Times New Roman" w:hAnsi="Times New Roman" w:eastAsia="宋体" w:cs="Times New Roman"/>
                <w:color w:val="auto"/>
                <w:szCs w:val="24"/>
                <w:highlight w:val="none"/>
                <w:u w:val="none" w:color="auto"/>
                <w:lang w:eastAsia="zh-CN"/>
              </w:rPr>
              <w:t>、</w:t>
            </w:r>
            <w:r>
              <w:rPr>
                <w:rFonts w:hint="default" w:ascii="Times New Roman" w:hAnsi="Times New Roman" w:eastAsia="宋体" w:cs="Times New Roman"/>
                <w:color w:val="auto"/>
                <w:szCs w:val="24"/>
                <w:highlight w:val="none"/>
                <w:u w:val="none" w:color="auto"/>
              </w:rPr>
              <w:t>缓蚀剂</w:t>
            </w:r>
            <w:r>
              <w:rPr>
                <w:rFonts w:hint="default" w:ascii="Times New Roman" w:hAnsi="Times New Roman" w:eastAsia="宋体" w:cs="Times New Roman"/>
                <w:color w:val="auto"/>
                <w:szCs w:val="24"/>
                <w:highlight w:val="none"/>
                <w:u w:val="none" w:color="auto"/>
                <w:lang w:eastAsia="zh-CN"/>
              </w:rPr>
              <w:t>、</w:t>
            </w:r>
            <w:r>
              <w:rPr>
                <w:rFonts w:hint="default" w:ascii="Times New Roman" w:hAnsi="Times New Roman" w:eastAsia="宋体" w:cs="Times New Roman"/>
                <w:color w:val="auto"/>
                <w:szCs w:val="24"/>
                <w:highlight w:val="none"/>
                <w:u w:val="none" w:color="auto"/>
              </w:rPr>
              <w:t>清洗剂</w:t>
            </w:r>
            <w:r>
              <w:rPr>
                <w:rFonts w:hint="default" w:ascii="Times New Roman" w:hAnsi="Times New Roman" w:eastAsia="宋体" w:cs="Times New Roman"/>
                <w:color w:val="auto"/>
                <w:szCs w:val="24"/>
                <w:highlight w:val="none"/>
                <w:u w:val="none" w:color="auto"/>
                <w:lang w:eastAsia="zh-CN"/>
              </w:rPr>
              <w:t>、</w:t>
            </w:r>
            <w:r>
              <w:rPr>
                <w:rFonts w:hint="default" w:ascii="Times New Roman" w:hAnsi="Times New Roman" w:eastAsia="宋体" w:cs="Times New Roman"/>
                <w:color w:val="auto"/>
                <w:szCs w:val="24"/>
                <w:highlight w:val="none"/>
                <w:u w:val="none" w:color="auto"/>
              </w:rPr>
              <w:t>切削液</w:t>
            </w:r>
            <w:r>
              <w:rPr>
                <w:rFonts w:hint="default" w:ascii="Times New Roman" w:hAnsi="Times New Roman" w:eastAsia="宋体" w:cs="Times New Roman"/>
                <w:color w:val="auto"/>
                <w:szCs w:val="24"/>
                <w:highlight w:val="none"/>
                <w:u w:val="none" w:color="auto"/>
                <w:lang w:val="en-US" w:eastAsia="zh-CN"/>
              </w:rPr>
              <w:t>及危险废物</w:t>
            </w:r>
            <w:r>
              <w:rPr>
                <w:rFonts w:hint="default" w:ascii="Times New Roman" w:hAnsi="Times New Roman" w:eastAsia="宋体" w:cs="Times New Roman"/>
                <w:color w:val="auto"/>
                <w:szCs w:val="24"/>
                <w:highlight w:val="none"/>
                <w:u w:val="none" w:color="auto"/>
              </w:rPr>
              <w:t>等，以上原辅材料在《建设项目环境风险评价技术导则》（HJ169-2018）附录B中涉及到的突发环境事件风险物质主要有浸渗剂</w:t>
            </w:r>
            <w:r>
              <w:rPr>
                <w:rFonts w:hint="default" w:ascii="Times New Roman" w:hAnsi="Times New Roman" w:eastAsia="宋体" w:cs="Times New Roman"/>
                <w:color w:val="auto"/>
                <w:szCs w:val="24"/>
                <w:highlight w:val="none"/>
                <w:u w:val="none" w:color="auto"/>
                <w:lang w:eastAsia="zh-CN"/>
              </w:rPr>
              <w:t>、</w:t>
            </w:r>
            <w:r>
              <w:rPr>
                <w:rFonts w:hint="default" w:ascii="Times New Roman" w:hAnsi="Times New Roman" w:eastAsia="宋体" w:cs="Times New Roman"/>
                <w:color w:val="auto"/>
                <w:szCs w:val="24"/>
                <w:highlight w:val="none"/>
                <w:u w:val="none" w:color="auto"/>
              </w:rPr>
              <w:t>缓蚀剂</w:t>
            </w:r>
            <w:r>
              <w:rPr>
                <w:rFonts w:hint="default" w:ascii="Times New Roman" w:hAnsi="Times New Roman" w:eastAsia="宋体" w:cs="Times New Roman"/>
                <w:color w:val="auto"/>
                <w:szCs w:val="24"/>
                <w:highlight w:val="none"/>
                <w:u w:val="none" w:color="auto"/>
                <w:lang w:eastAsia="zh-CN"/>
              </w:rPr>
              <w:t>、</w:t>
            </w:r>
            <w:r>
              <w:rPr>
                <w:rFonts w:hint="default" w:ascii="Times New Roman" w:hAnsi="Times New Roman" w:eastAsia="宋体" w:cs="Times New Roman"/>
                <w:color w:val="auto"/>
                <w:szCs w:val="24"/>
                <w:highlight w:val="none"/>
                <w:u w:val="none" w:color="auto"/>
              </w:rPr>
              <w:t>清洗剂</w:t>
            </w:r>
            <w:r>
              <w:rPr>
                <w:rFonts w:hint="default" w:ascii="Times New Roman" w:hAnsi="Times New Roman" w:eastAsia="宋体" w:cs="Times New Roman"/>
                <w:color w:val="auto"/>
                <w:szCs w:val="24"/>
                <w:highlight w:val="none"/>
                <w:u w:val="none" w:color="auto"/>
                <w:lang w:eastAsia="zh-CN"/>
              </w:rPr>
              <w:t>、</w:t>
            </w:r>
            <w:r>
              <w:rPr>
                <w:rFonts w:hint="default" w:ascii="Times New Roman" w:hAnsi="Times New Roman" w:eastAsia="宋体" w:cs="Times New Roman"/>
                <w:color w:val="auto"/>
                <w:szCs w:val="24"/>
                <w:highlight w:val="none"/>
                <w:u w:val="none" w:color="auto"/>
              </w:rPr>
              <w:t>切削液</w:t>
            </w:r>
            <w:r>
              <w:rPr>
                <w:rFonts w:hint="default" w:ascii="Times New Roman" w:hAnsi="Times New Roman" w:eastAsia="宋体" w:cs="Times New Roman"/>
                <w:color w:val="auto"/>
                <w:szCs w:val="24"/>
                <w:highlight w:val="none"/>
                <w:u w:val="none" w:color="auto"/>
                <w:lang w:val="en-US" w:eastAsia="zh-CN"/>
              </w:rPr>
              <w:t>及危险废物</w:t>
            </w:r>
            <w:r>
              <w:rPr>
                <w:rFonts w:hint="default" w:ascii="Times New Roman" w:hAnsi="Times New Roman" w:eastAsia="宋体" w:cs="Times New Roman"/>
                <w:color w:val="auto"/>
                <w:szCs w:val="24"/>
                <w:highlight w:val="none"/>
                <w:u w:val="none" w:color="auto"/>
              </w:rPr>
              <w:t>等。</w:t>
            </w:r>
          </w:p>
          <w:p w14:paraId="5291FDBC">
            <w:pPr>
              <w:pStyle w:val="55"/>
              <w:ind w:firstLine="480"/>
              <w:rPr>
                <w:rFonts w:hint="default" w:ascii="Times New Roman" w:hAnsi="Times New Roman" w:eastAsia="宋体" w:cs="Times New Roman"/>
                <w:color w:val="auto"/>
                <w:szCs w:val="24"/>
                <w:highlight w:val="none"/>
                <w:u w:val="none" w:color="auto"/>
              </w:rPr>
            </w:pPr>
            <w:r>
              <w:rPr>
                <w:rFonts w:hint="default" w:ascii="Times New Roman" w:hAnsi="Times New Roman" w:eastAsia="宋体" w:cs="Times New Roman"/>
                <w:color w:val="auto"/>
                <w:szCs w:val="24"/>
                <w:highlight w:val="none"/>
                <w:u w:val="none" w:color="auto"/>
              </w:rPr>
              <w:t>对照《建设项目环境风险评价技术导则》（HJ169-2018）附录B，计算所涉及的每种危险物质在厂界内的最大存在总量与其在附录B中对应临界量的比值Q。</w:t>
            </w:r>
          </w:p>
          <w:p w14:paraId="7D0FA6DF">
            <w:pPr>
              <w:pStyle w:val="55"/>
              <w:ind w:firstLine="480"/>
              <w:rPr>
                <w:rFonts w:hint="default" w:ascii="Times New Roman" w:hAnsi="Times New Roman" w:eastAsia="宋体" w:cs="Times New Roman"/>
                <w:color w:val="auto"/>
                <w:szCs w:val="24"/>
                <w:highlight w:val="none"/>
                <w:u w:val="none" w:color="auto"/>
              </w:rPr>
            </w:pPr>
            <w:r>
              <w:rPr>
                <w:rFonts w:hint="default" w:ascii="Times New Roman" w:hAnsi="Times New Roman" w:eastAsia="宋体" w:cs="Times New Roman"/>
                <w:color w:val="auto"/>
                <w:szCs w:val="24"/>
                <w:highlight w:val="none"/>
                <w:u w:val="none" w:color="auto"/>
              </w:rPr>
              <w:t>危险物质数量与临界量比值（Q）为每种危险物质在厂界内的最大存在总量与其在《建设项目环境风险评价技术导则》（HJ169-2018）附录B中对应临界量的比值Q，当只涉及一种危险物质时，计算该物质的总量与其临界量比值，即为Q；当存在多种危险物质时，则按照下式计算物质总量与其临界量比值（Q）：</w:t>
            </w:r>
          </w:p>
          <w:p w14:paraId="358F0479">
            <w:pPr>
              <w:spacing w:line="360" w:lineRule="auto"/>
              <w:ind w:firstLine="480" w:firstLineChars="200"/>
              <w:jc w:val="center"/>
              <w:rPr>
                <w:rFonts w:hint="default" w:ascii="Times New Roman" w:hAnsi="Times New Roman" w:eastAsia="宋体" w:cs="Times New Roman"/>
                <w:color w:val="auto"/>
                <w:sz w:val="24"/>
                <w:highlight w:val="none"/>
                <w:u w:val="none" w:color="auto"/>
              </w:rPr>
            </w:pPr>
            <m:oMathPara>
              <m:oMath>
                <m:r>
                  <m:rPr>
                    <m:nor/>
                    <m:sty m:val="p"/>
                  </m:rPr>
                  <w:rPr>
                    <w:rFonts w:hint="default" w:ascii="Times New Roman" w:hAnsi="Times New Roman" w:eastAsia="宋体" w:cs="Times New Roman"/>
                    <w:b w:val="0"/>
                    <w:i w:val="0"/>
                    <w:color w:val="auto"/>
                    <w:kern w:val="0"/>
                    <w:sz w:val="24"/>
                    <w:highlight w:val="none"/>
                    <w:u w:val="none" w:color="auto"/>
                  </w:rPr>
                  <m:t>Q=</m:t>
                </m:r>
                <m:f>
                  <m:fPr>
                    <m:ctrlPr>
                      <w:rPr>
                        <w:rFonts w:hint="default" w:ascii="Cambria Math" w:hAnsi="Cambria Math" w:eastAsia="宋体" w:cs="Times New Roman"/>
                        <w:color w:val="auto"/>
                        <w:sz w:val="24"/>
                        <w:highlight w:val="none"/>
                        <w:u w:val="none" w:color="auto"/>
                      </w:rPr>
                    </m:ctrlPr>
                  </m:fPr>
                  <m:num>
                    <m:sSub>
                      <m:sSubPr>
                        <m:ctrlPr>
                          <w:rPr>
                            <w:rFonts w:hint="default" w:ascii="Cambria Math" w:hAnsi="Cambria Math" w:eastAsia="宋体" w:cs="Times New Roman"/>
                            <w:i/>
                            <w:color w:val="auto"/>
                            <w:sz w:val="24"/>
                            <w:highlight w:val="none"/>
                            <w:u w:val="none" w:color="auto"/>
                          </w:rPr>
                        </m:ctrlPr>
                      </m:sSubPr>
                      <m:e>
                        <m:r>
                          <m:rPr>
                            <m:nor/>
                          </m:rPr>
                          <w:rPr>
                            <w:rFonts w:hint="default" w:ascii="Times New Roman" w:hAnsi="Times New Roman" w:eastAsia="宋体" w:cs="Times New Roman"/>
                            <w:i/>
                            <w:color w:val="auto"/>
                            <w:kern w:val="0"/>
                            <w:sz w:val="24"/>
                            <w:highlight w:val="none"/>
                            <w:u w:val="none" w:color="auto"/>
                          </w:rPr>
                          <m:t>q</m:t>
                        </m:r>
                        <m:ctrlPr>
                          <w:rPr>
                            <w:rFonts w:hint="default" w:ascii="Cambria Math" w:hAnsi="Cambria Math" w:eastAsia="宋体" w:cs="Times New Roman"/>
                            <w:i/>
                            <w:color w:val="auto"/>
                            <w:sz w:val="24"/>
                            <w:highlight w:val="none"/>
                            <w:u w:val="none" w:color="auto"/>
                          </w:rPr>
                        </m:ctrlPr>
                      </m:e>
                      <m:sub>
                        <m:r>
                          <m:rPr>
                            <m:nor/>
                            <m:sty m:val="p"/>
                          </m:rPr>
                          <w:rPr>
                            <w:rFonts w:hint="default" w:ascii="Times New Roman" w:hAnsi="Times New Roman" w:eastAsia="宋体" w:cs="Times New Roman"/>
                            <w:b w:val="0"/>
                            <w:i w:val="0"/>
                            <w:color w:val="auto"/>
                            <w:kern w:val="0"/>
                            <w:sz w:val="24"/>
                            <w:highlight w:val="none"/>
                            <w:u w:val="none" w:color="auto"/>
                          </w:rPr>
                          <m:t>1</m:t>
                        </m:r>
                        <m:ctrlPr>
                          <w:rPr>
                            <w:rFonts w:hint="default" w:ascii="Cambria Math" w:hAnsi="Cambria Math" w:eastAsia="宋体" w:cs="Times New Roman"/>
                            <w:i/>
                            <w:color w:val="auto"/>
                            <w:sz w:val="24"/>
                            <w:highlight w:val="none"/>
                            <w:u w:val="none" w:color="auto"/>
                          </w:rPr>
                        </m:ctrlPr>
                      </m:sub>
                    </m:sSub>
                    <m:ctrlPr>
                      <w:rPr>
                        <w:rFonts w:hint="default" w:ascii="Cambria Math" w:hAnsi="Cambria Math" w:eastAsia="宋体" w:cs="Times New Roman"/>
                        <w:color w:val="auto"/>
                        <w:sz w:val="24"/>
                        <w:highlight w:val="none"/>
                        <w:u w:val="none" w:color="auto"/>
                      </w:rPr>
                    </m:ctrlPr>
                  </m:num>
                  <m:den>
                    <m:sSub>
                      <m:sSubPr>
                        <m:ctrlPr>
                          <w:rPr>
                            <w:rFonts w:hint="default" w:ascii="Cambria Math" w:hAnsi="Cambria Math" w:eastAsia="宋体" w:cs="Times New Roman"/>
                            <w:i/>
                            <w:color w:val="auto"/>
                            <w:sz w:val="24"/>
                            <w:highlight w:val="none"/>
                            <w:u w:val="none" w:color="auto"/>
                          </w:rPr>
                        </m:ctrlPr>
                      </m:sSubPr>
                      <m:e>
                        <m:r>
                          <m:rPr>
                            <m:nor/>
                          </m:rPr>
                          <w:rPr>
                            <w:rFonts w:hint="default" w:ascii="Times New Roman" w:hAnsi="Times New Roman" w:eastAsia="宋体" w:cs="Times New Roman"/>
                            <w:i/>
                            <w:color w:val="auto"/>
                            <w:kern w:val="0"/>
                            <w:sz w:val="24"/>
                            <w:highlight w:val="none"/>
                            <w:u w:val="none" w:color="auto"/>
                          </w:rPr>
                          <m:t>Q</m:t>
                        </m:r>
                        <m:ctrlPr>
                          <w:rPr>
                            <w:rFonts w:hint="default" w:ascii="Cambria Math" w:hAnsi="Cambria Math" w:eastAsia="宋体" w:cs="Times New Roman"/>
                            <w:i/>
                            <w:color w:val="auto"/>
                            <w:sz w:val="24"/>
                            <w:highlight w:val="none"/>
                            <w:u w:val="none" w:color="auto"/>
                          </w:rPr>
                        </m:ctrlPr>
                      </m:e>
                      <m:sub>
                        <m:r>
                          <m:rPr>
                            <m:nor/>
                            <m:sty m:val="p"/>
                          </m:rPr>
                          <w:rPr>
                            <w:rFonts w:hint="default" w:ascii="Times New Roman" w:hAnsi="Times New Roman" w:eastAsia="宋体" w:cs="Times New Roman"/>
                            <w:b w:val="0"/>
                            <w:i w:val="0"/>
                            <w:color w:val="auto"/>
                            <w:kern w:val="0"/>
                            <w:sz w:val="24"/>
                            <w:highlight w:val="none"/>
                            <w:u w:val="none" w:color="auto"/>
                          </w:rPr>
                          <m:t>1</m:t>
                        </m:r>
                        <m:ctrlPr>
                          <w:rPr>
                            <w:rFonts w:hint="default" w:ascii="Cambria Math" w:hAnsi="Cambria Math" w:eastAsia="宋体" w:cs="Times New Roman"/>
                            <w:i/>
                            <w:color w:val="auto"/>
                            <w:sz w:val="24"/>
                            <w:highlight w:val="none"/>
                            <w:u w:val="none" w:color="auto"/>
                          </w:rPr>
                        </m:ctrlPr>
                      </m:sub>
                    </m:sSub>
                    <m:ctrlPr>
                      <w:rPr>
                        <w:rFonts w:hint="default" w:ascii="Cambria Math" w:hAnsi="Cambria Math" w:eastAsia="宋体" w:cs="Times New Roman"/>
                        <w:color w:val="auto"/>
                        <w:sz w:val="24"/>
                        <w:highlight w:val="none"/>
                        <w:u w:val="none" w:color="auto"/>
                      </w:rPr>
                    </m:ctrlPr>
                  </m:den>
                </m:f>
                <m:r>
                  <m:rPr>
                    <m:nor/>
                    <m:sty m:val="p"/>
                  </m:rPr>
                  <w:rPr>
                    <w:rFonts w:hint="default" w:ascii="Times New Roman" w:hAnsi="Times New Roman" w:eastAsia="宋体" w:cs="Times New Roman"/>
                    <w:b w:val="0"/>
                    <w:i w:val="0"/>
                    <w:color w:val="auto"/>
                    <w:kern w:val="0"/>
                    <w:sz w:val="24"/>
                    <w:highlight w:val="none"/>
                    <w:u w:val="none" w:color="auto"/>
                  </w:rPr>
                  <m:t>+</m:t>
                </m:r>
                <m:f>
                  <m:fPr>
                    <m:ctrlPr>
                      <w:rPr>
                        <w:rFonts w:hint="default" w:ascii="Cambria Math" w:hAnsi="Cambria Math" w:eastAsia="宋体" w:cs="Times New Roman"/>
                        <w:color w:val="auto"/>
                        <w:sz w:val="24"/>
                        <w:highlight w:val="none"/>
                        <w:u w:val="none" w:color="auto"/>
                      </w:rPr>
                    </m:ctrlPr>
                  </m:fPr>
                  <m:num>
                    <m:sSub>
                      <m:sSubPr>
                        <m:ctrlPr>
                          <w:rPr>
                            <w:rFonts w:hint="default" w:ascii="Cambria Math" w:hAnsi="Cambria Math" w:eastAsia="宋体" w:cs="Times New Roman"/>
                            <w:i/>
                            <w:color w:val="auto"/>
                            <w:sz w:val="24"/>
                            <w:highlight w:val="none"/>
                            <w:u w:val="none" w:color="auto"/>
                          </w:rPr>
                        </m:ctrlPr>
                      </m:sSubPr>
                      <m:e>
                        <m:r>
                          <m:rPr>
                            <m:nor/>
                          </m:rPr>
                          <w:rPr>
                            <w:rFonts w:hint="default" w:ascii="Times New Roman" w:hAnsi="Times New Roman" w:eastAsia="宋体" w:cs="Times New Roman"/>
                            <w:i/>
                            <w:color w:val="auto"/>
                            <w:kern w:val="0"/>
                            <w:sz w:val="24"/>
                            <w:highlight w:val="none"/>
                            <w:u w:val="none" w:color="auto"/>
                          </w:rPr>
                          <m:t>q</m:t>
                        </m:r>
                        <m:ctrlPr>
                          <w:rPr>
                            <w:rFonts w:hint="default" w:ascii="Cambria Math" w:hAnsi="Cambria Math" w:eastAsia="宋体" w:cs="Times New Roman"/>
                            <w:i/>
                            <w:color w:val="auto"/>
                            <w:sz w:val="24"/>
                            <w:highlight w:val="none"/>
                            <w:u w:val="none" w:color="auto"/>
                          </w:rPr>
                        </m:ctrlPr>
                      </m:e>
                      <m:sub>
                        <m:r>
                          <m:rPr>
                            <m:nor/>
                            <m:sty m:val="p"/>
                          </m:rPr>
                          <w:rPr>
                            <w:rFonts w:hint="default" w:ascii="Times New Roman" w:hAnsi="Times New Roman" w:eastAsia="宋体" w:cs="Times New Roman"/>
                            <w:b w:val="0"/>
                            <w:i w:val="0"/>
                            <w:color w:val="auto"/>
                            <w:kern w:val="0"/>
                            <w:sz w:val="24"/>
                            <w:highlight w:val="none"/>
                            <w:u w:val="none" w:color="auto"/>
                          </w:rPr>
                          <m:t>2</m:t>
                        </m:r>
                        <m:ctrlPr>
                          <w:rPr>
                            <w:rFonts w:hint="default" w:ascii="Cambria Math" w:hAnsi="Cambria Math" w:eastAsia="宋体" w:cs="Times New Roman"/>
                            <w:i/>
                            <w:color w:val="auto"/>
                            <w:sz w:val="24"/>
                            <w:highlight w:val="none"/>
                            <w:u w:val="none" w:color="auto"/>
                          </w:rPr>
                        </m:ctrlPr>
                      </m:sub>
                    </m:sSub>
                    <m:ctrlPr>
                      <w:rPr>
                        <w:rFonts w:hint="default" w:ascii="Cambria Math" w:hAnsi="Cambria Math" w:eastAsia="宋体" w:cs="Times New Roman"/>
                        <w:color w:val="auto"/>
                        <w:sz w:val="24"/>
                        <w:highlight w:val="none"/>
                        <w:u w:val="none" w:color="auto"/>
                      </w:rPr>
                    </m:ctrlPr>
                  </m:num>
                  <m:den>
                    <m:sSub>
                      <m:sSubPr>
                        <m:ctrlPr>
                          <w:rPr>
                            <w:rFonts w:hint="default" w:ascii="Cambria Math" w:hAnsi="Cambria Math" w:eastAsia="宋体" w:cs="Times New Roman"/>
                            <w:i/>
                            <w:color w:val="auto"/>
                            <w:sz w:val="24"/>
                            <w:highlight w:val="none"/>
                            <w:u w:val="none" w:color="auto"/>
                          </w:rPr>
                        </m:ctrlPr>
                      </m:sSubPr>
                      <m:e>
                        <m:r>
                          <m:rPr>
                            <m:nor/>
                          </m:rPr>
                          <w:rPr>
                            <w:rFonts w:hint="default" w:ascii="Times New Roman" w:hAnsi="Times New Roman" w:eastAsia="宋体" w:cs="Times New Roman"/>
                            <w:i/>
                            <w:color w:val="auto"/>
                            <w:kern w:val="0"/>
                            <w:sz w:val="24"/>
                            <w:highlight w:val="none"/>
                            <w:u w:val="none" w:color="auto"/>
                          </w:rPr>
                          <m:t>Q</m:t>
                        </m:r>
                        <m:ctrlPr>
                          <w:rPr>
                            <w:rFonts w:hint="default" w:ascii="Cambria Math" w:hAnsi="Cambria Math" w:eastAsia="宋体" w:cs="Times New Roman"/>
                            <w:i/>
                            <w:color w:val="auto"/>
                            <w:sz w:val="24"/>
                            <w:highlight w:val="none"/>
                            <w:u w:val="none" w:color="auto"/>
                          </w:rPr>
                        </m:ctrlPr>
                      </m:e>
                      <m:sub>
                        <m:r>
                          <m:rPr>
                            <m:nor/>
                            <m:sty m:val="p"/>
                          </m:rPr>
                          <w:rPr>
                            <w:rFonts w:hint="default" w:ascii="Times New Roman" w:hAnsi="Times New Roman" w:eastAsia="宋体" w:cs="Times New Roman"/>
                            <w:b w:val="0"/>
                            <w:i w:val="0"/>
                            <w:color w:val="auto"/>
                            <w:kern w:val="0"/>
                            <w:sz w:val="24"/>
                            <w:highlight w:val="none"/>
                            <w:u w:val="none" w:color="auto"/>
                          </w:rPr>
                          <m:t>2</m:t>
                        </m:r>
                        <m:ctrlPr>
                          <w:rPr>
                            <w:rFonts w:hint="default" w:ascii="Cambria Math" w:hAnsi="Cambria Math" w:eastAsia="宋体" w:cs="Times New Roman"/>
                            <w:i/>
                            <w:color w:val="auto"/>
                            <w:sz w:val="24"/>
                            <w:highlight w:val="none"/>
                            <w:u w:val="none" w:color="auto"/>
                          </w:rPr>
                        </m:ctrlPr>
                      </m:sub>
                    </m:sSub>
                    <m:ctrlPr>
                      <w:rPr>
                        <w:rFonts w:hint="default" w:ascii="Cambria Math" w:hAnsi="Cambria Math" w:eastAsia="宋体" w:cs="Times New Roman"/>
                        <w:color w:val="auto"/>
                        <w:sz w:val="24"/>
                        <w:highlight w:val="none"/>
                        <w:u w:val="none" w:color="auto"/>
                      </w:rPr>
                    </m:ctrlPr>
                  </m:den>
                </m:f>
                <m:r>
                  <m:rPr>
                    <m:nor/>
                    <m:sty m:val="p"/>
                  </m:rPr>
                  <w:rPr>
                    <w:rFonts w:hint="default" w:ascii="Times New Roman" w:hAnsi="Times New Roman" w:eastAsia="宋体" w:cs="Times New Roman"/>
                    <w:b w:val="0"/>
                    <w:i w:val="0"/>
                    <w:color w:val="auto"/>
                    <w:kern w:val="0"/>
                    <w:sz w:val="24"/>
                    <w:highlight w:val="none"/>
                    <w:u w:val="none" w:color="auto"/>
                  </w:rPr>
                  <m:t>+⋯</m:t>
                </m:r>
                <m:f>
                  <m:fPr>
                    <m:ctrlPr>
                      <w:rPr>
                        <w:rFonts w:hint="default" w:ascii="Cambria Math" w:hAnsi="Cambria Math" w:eastAsia="宋体" w:cs="Times New Roman"/>
                        <w:color w:val="auto"/>
                        <w:sz w:val="24"/>
                        <w:highlight w:val="none"/>
                        <w:u w:val="none" w:color="auto"/>
                      </w:rPr>
                    </m:ctrlPr>
                  </m:fPr>
                  <m:num>
                    <m:sSub>
                      <m:sSubPr>
                        <m:ctrlPr>
                          <w:rPr>
                            <w:rFonts w:hint="default" w:ascii="Cambria Math" w:hAnsi="Cambria Math" w:eastAsia="宋体" w:cs="Times New Roman"/>
                            <w:i/>
                            <w:color w:val="auto"/>
                            <w:sz w:val="24"/>
                            <w:highlight w:val="none"/>
                            <w:u w:val="none" w:color="auto"/>
                          </w:rPr>
                        </m:ctrlPr>
                      </m:sSubPr>
                      <m:e>
                        <m:r>
                          <m:rPr>
                            <m:nor/>
                          </m:rPr>
                          <w:rPr>
                            <w:rFonts w:hint="default" w:ascii="Times New Roman" w:hAnsi="Times New Roman" w:eastAsia="宋体" w:cs="Times New Roman"/>
                            <w:i/>
                            <w:color w:val="auto"/>
                            <w:kern w:val="0"/>
                            <w:sz w:val="24"/>
                            <w:highlight w:val="none"/>
                            <w:u w:val="none" w:color="auto"/>
                          </w:rPr>
                          <m:t>q</m:t>
                        </m:r>
                        <m:ctrlPr>
                          <w:rPr>
                            <w:rFonts w:hint="default" w:ascii="Cambria Math" w:hAnsi="Cambria Math" w:eastAsia="宋体" w:cs="Times New Roman"/>
                            <w:i/>
                            <w:color w:val="auto"/>
                            <w:sz w:val="24"/>
                            <w:highlight w:val="none"/>
                            <w:u w:val="none" w:color="auto"/>
                          </w:rPr>
                        </m:ctrlPr>
                      </m:e>
                      <m:sub>
                        <m:r>
                          <m:rPr>
                            <m:nor/>
                          </m:rPr>
                          <w:rPr>
                            <w:rFonts w:hint="default" w:ascii="Times New Roman" w:hAnsi="Times New Roman" w:eastAsia="宋体" w:cs="Times New Roman"/>
                            <w:i/>
                            <w:color w:val="auto"/>
                            <w:kern w:val="0"/>
                            <w:sz w:val="24"/>
                            <w:highlight w:val="none"/>
                            <w:u w:val="none" w:color="auto"/>
                          </w:rPr>
                          <m:t>n</m:t>
                        </m:r>
                        <m:ctrlPr>
                          <w:rPr>
                            <w:rFonts w:hint="default" w:ascii="Cambria Math" w:hAnsi="Cambria Math" w:eastAsia="宋体" w:cs="Times New Roman"/>
                            <w:i/>
                            <w:color w:val="auto"/>
                            <w:sz w:val="24"/>
                            <w:highlight w:val="none"/>
                            <w:u w:val="none" w:color="auto"/>
                          </w:rPr>
                        </m:ctrlPr>
                      </m:sub>
                    </m:sSub>
                    <m:ctrlPr>
                      <w:rPr>
                        <w:rFonts w:hint="default" w:ascii="Cambria Math" w:hAnsi="Cambria Math" w:eastAsia="宋体" w:cs="Times New Roman"/>
                        <w:color w:val="auto"/>
                        <w:sz w:val="24"/>
                        <w:highlight w:val="none"/>
                        <w:u w:val="none" w:color="auto"/>
                      </w:rPr>
                    </m:ctrlPr>
                  </m:num>
                  <m:den>
                    <m:sSub>
                      <m:sSubPr>
                        <m:ctrlPr>
                          <w:rPr>
                            <w:rFonts w:hint="default" w:ascii="Cambria Math" w:hAnsi="Cambria Math" w:eastAsia="宋体" w:cs="Times New Roman"/>
                            <w:i/>
                            <w:color w:val="auto"/>
                            <w:sz w:val="24"/>
                            <w:highlight w:val="none"/>
                            <w:u w:val="none" w:color="auto"/>
                          </w:rPr>
                        </m:ctrlPr>
                      </m:sSubPr>
                      <m:e>
                        <m:r>
                          <m:rPr>
                            <m:nor/>
                          </m:rPr>
                          <w:rPr>
                            <w:rFonts w:hint="default" w:ascii="Times New Roman" w:hAnsi="Times New Roman" w:eastAsia="宋体" w:cs="Times New Roman"/>
                            <w:i/>
                            <w:color w:val="auto"/>
                            <w:kern w:val="0"/>
                            <w:sz w:val="24"/>
                            <w:highlight w:val="none"/>
                            <w:u w:val="none" w:color="auto"/>
                          </w:rPr>
                          <m:t>Q</m:t>
                        </m:r>
                        <m:ctrlPr>
                          <w:rPr>
                            <w:rFonts w:hint="default" w:ascii="Cambria Math" w:hAnsi="Cambria Math" w:eastAsia="宋体" w:cs="Times New Roman"/>
                            <w:i/>
                            <w:color w:val="auto"/>
                            <w:sz w:val="24"/>
                            <w:highlight w:val="none"/>
                            <w:u w:val="none" w:color="auto"/>
                          </w:rPr>
                        </m:ctrlPr>
                      </m:e>
                      <m:sub>
                        <m:r>
                          <m:rPr>
                            <m:nor/>
                          </m:rPr>
                          <w:rPr>
                            <w:rFonts w:hint="default" w:ascii="Times New Roman" w:hAnsi="Times New Roman" w:eastAsia="宋体" w:cs="Times New Roman"/>
                            <w:i/>
                            <w:color w:val="auto"/>
                            <w:kern w:val="0"/>
                            <w:sz w:val="24"/>
                            <w:highlight w:val="none"/>
                            <w:u w:val="none" w:color="auto"/>
                          </w:rPr>
                          <m:t>n</m:t>
                        </m:r>
                        <m:ctrlPr>
                          <w:rPr>
                            <w:rFonts w:hint="default" w:ascii="Cambria Math" w:hAnsi="Cambria Math" w:eastAsia="宋体" w:cs="Times New Roman"/>
                            <w:i/>
                            <w:color w:val="auto"/>
                            <w:sz w:val="24"/>
                            <w:highlight w:val="none"/>
                            <w:u w:val="none" w:color="auto"/>
                          </w:rPr>
                        </m:ctrlPr>
                      </m:sub>
                    </m:sSub>
                    <m:ctrlPr>
                      <w:rPr>
                        <w:rFonts w:hint="default" w:ascii="Cambria Math" w:hAnsi="Cambria Math" w:eastAsia="宋体" w:cs="Times New Roman"/>
                        <w:color w:val="auto"/>
                        <w:sz w:val="24"/>
                        <w:highlight w:val="none"/>
                        <w:u w:val="none" w:color="auto"/>
                      </w:rPr>
                    </m:ctrlPr>
                  </m:den>
                </m:f>
              </m:oMath>
            </m:oMathPara>
          </w:p>
          <w:p w14:paraId="58F2A1F5">
            <w:pPr>
              <w:pStyle w:val="55"/>
              <w:ind w:firstLine="480"/>
              <w:rPr>
                <w:rFonts w:hint="default" w:ascii="Times New Roman" w:hAnsi="Times New Roman" w:eastAsia="宋体" w:cs="Times New Roman"/>
                <w:color w:val="auto"/>
                <w:szCs w:val="24"/>
                <w:highlight w:val="none"/>
                <w:u w:val="none" w:color="auto"/>
              </w:rPr>
            </w:pPr>
            <w:r>
              <w:rPr>
                <w:rFonts w:hint="default" w:ascii="Times New Roman" w:hAnsi="Times New Roman" w:eastAsia="宋体" w:cs="Times New Roman"/>
                <w:color w:val="auto"/>
                <w:szCs w:val="24"/>
                <w:highlight w:val="none"/>
                <w:u w:val="none" w:color="auto"/>
              </w:rPr>
              <w:t>式中：q1，q2，…，qn——每种危险物质的最大存在量，t；</w:t>
            </w:r>
          </w:p>
          <w:p w14:paraId="24AC92F5">
            <w:pPr>
              <w:pStyle w:val="55"/>
              <w:ind w:firstLine="480"/>
              <w:rPr>
                <w:rFonts w:hint="default" w:ascii="Times New Roman" w:hAnsi="Times New Roman" w:eastAsia="宋体" w:cs="Times New Roman"/>
                <w:color w:val="auto"/>
                <w:szCs w:val="24"/>
                <w:highlight w:val="none"/>
                <w:u w:val="none" w:color="auto"/>
              </w:rPr>
            </w:pPr>
            <w:r>
              <w:rPr>
                <w:rFonts w:hint="default" w:ascii="Times New Roman" w:hAnsi="Times New Roman" w:eastAsia="宋体" w:cs="Times New Roman"/>
                <w:color w:val="auto"/>
                <w:szCs w:val="24"/>
                <w:highlight w:val="none"/>
                <w:u w:val="none" w:color="auto"/>
              </w:rPr>
              <w:t>Q1，Q2，…，Qn——每种危险物质的临界量，t。</w:t>
            </w:r>
          </w:p>
          <w:p w14:paraId="18109205">
            <w:pPr>
              <w:pStyle w:val="55"/>
              <w:ind w:firstLine="480"/>
              <w:rPr>
                <w:rFonts w:hint="default" w:ascii="Times New Roman" w:hAnsi="Times New Roman" w:eastAsia="宋体" w:cs="Times New Roman"/>
                <w:color w:val="auto"/>
                <w:szCs w:val="24"/>
                <w:highlight w:val="none"/>
                <w:u w:val="none" w:color="auto"/>
              </w:rPr>
            </w:pPr>
            <w:r>
              <w:rPr>
                <w:rFonts w:hint="default" w:ascii="Times New Roman" w:hAnsi="Times New Roman" w:eastAsia="宋体" w:cs="Times New Roman"/>
                <w:color w:val="auto"/>
                <w:szCs w:val="24"/>
                <w:highlight w:val="none"/>
                <w:u w:val="none" w:color="auto"/>
              </w:rPr>
              <w:t>当Q＜1时，该项目风险潜势为</w:t>
            </w:r>
            <w:r>
              <w:rPr>
                <w:rFonts w:hint="default" w:ascii="Times New Roman" w:hAnsi="Times New Roman" w:eastAsia="宋体" w:cs="Times New Roman"/>
                <w:color w:val="auto"/>
                <w:szCs w:val="24"/>
                <w:highlight w:val="none"/>
                <w:u w:val="none" w:color="auto"/>
              </w:rPr>
              <w:fldChar w:fldCharType="begin"/>
            </w:r>
            <w:r>
              <w:rPr>
                <w:rFonts w:hint="default" w:ascii="Times New Roman" w:hAnsi="Times New Roman" w:eastAsia="宋体" w:cs="Times New Roman"/>
                <w:color w:val="auto"/>
                <w:szCs w:val="24"/>
                <w:highlight w:val="none"/>
                <w:u w:val="none" w:color="auto"/>
              </w:rPr>
              <w:instrText xml:space="preserve"> = 1 \* ROMAN </w:instrText>
            </w:r>
            <w:r>
              <w:rPr>
                <w:rFonts w:hint="default" w:ascii="Times New Roman" w:hAnsi="Times New Roman" w:eastAsia="宋体" w:cs="Times New Roman"/>
                <w:color w:val="auto"/>
                <w:szCs w:val="24"/>
                <w:highlight w:val="none"/>
                <w:u w:val="none" w:color="auto"/>
              </w:rPr>
              <w:fldChar w:fldCharType="separate"/>
            </w:r>
            <w:r>
              <w:rPr>
                <w:rFonts w:hint="default" w:ascii="Times New Roman" w:hAnsi="Times New Roman" w:eastAsia="宋体" w:cs="Times New Roman"/>
                <w:color w:val="auto"/>
                <w:szCs w:val="24"/>
                <w:highlight w:val="none"/>
                <w:u w:val="none" w:color="auto"/>
              </w:rPr>
              <w:t>I</w:t>
            </w:r>
            <w:r>
              <w:rPr>
                <w:rFonts w:hint="default" w:ascii="Times New Roman" w:hAnsi="Times New Roman" w:eastAsia="宋体" w:cs="Times New Roman"/>
                <w:color w:val="auto"/>
                <w:szCs w:val="24"/>
                <w:highlight w:val="none"/>
                <w:u w:val="none" w:color="auto"/>
              </w:rPr>
              <w:fldChar w:fldCharType="end"/>
            </w:r>
            <w:r>
              <w:rPr>
                <w:rFonts w:hint="default" w:ascii="Times New Roman" w:hAnsi="Times New Roman" w:eastAsia="宋体" w:cs="Times New Roman"/>
                <w:color w:val="auto"/>
                <w:szCs w:val="24"/>
                <w:highlight w:val="none"/>
                <w:u w:val="none" w:color="auto"/>
              </w:rPr>
              <w:t>；</w:t>
            </w:r>
          </w:p>
          <w:p w14:paraId="738568B5">
            <w:pPr>
              <w:pStyle w:val="55"/>
              <w:ind w:firstLine="480"/>
              <w:rPr>
                <w:rFonts w:hint="default" w:ascii="Times New Roman" w:hAnsi="Times New Roman" w:eastAsia="宋体" w:cs="Times New Roman"/>
                <w:color w:val="auto"/>
                <w:szCs w:val="24"/>
                <w:highlight w:val="none"/>
                <w:u w:val="none" w:color="auto"/>
              </w:rPr>
            </w:pPr>
            <w:r>
              <w:rPr>
                <w:rFonts w:hint="default" w:ascii="Times New Roman" w:hAnsi="Times New Roman" w:eastAsia="宋体" w:cs="Times New Roman"/>
                <w:color w:val="auto"/>
                <w:szCs w:val="24"/>
                <w:highlight w:val="none"/>
                <w:u w:val="none" w:color="auto"/>
              </w:rPr>
              <w:t>当Q≥1时，将Q值划分为：（1）1≤Q＜10；（2）10≤Q＜100；（3）Q≥100。</w:t>
            </w:r>
          </w:p>
          <w:p w14:paraId="3E592302">
            <w:pPr>
              <w:pStyle w:val="55"/>
              <w:spacing w:line="240" w:lineRule="auto"/>
              <w:ind w:firstLine="0" w:firstLineChars="0"/>
              <w:jc w:val="center"/>
              <w:rPr>
                <w:rFonts w:hint="default" w:ascii="Times New Roman" w:hAnsi="Times New Roman" w:eastAsia="宋体" w:cs="Times New Roman"/>
                <w:b/>
                <w:color w:val="auto"/>
                <w:kern w:val="0"/>
                <w:sz w:val="21"/>
                <w:szCs w:val="20"/>
                <w:highlight w:val="none"/>
                <w:u w:val="none" w:color="auto"/>
              </w:rPr>
            </w:pPr>
            <w:r>
              <w:rPr>
                <w:rFonts w:hint="default" w:ascii="Times New Roman" w:hAnsi="Times New Roman" w:eastAsia="宋体" w:cs="Times New Roman"/>
                <w:b/>
                <w:color w:val="auto"/>
                <w:kern w:val="0"/>
                <w:sz w:val="21"/>
                <w:szCs w:val="20"/>
                <w:highlight w:val="none"/>
                <w:u w:val="none" w:color="auto"/>
              </w:rPr>
              <w:t>表4</w:t>
            </w:r>
            <w:r>
              <w:rPr>
                <w:rFonts w:hint="default" w:ascii="Times New Roman" w:hAnsi="Times New Roman" w:eastAsia="宋体" w:cs="Times New Roman"/>
                <w:b/>
                <w:color w:val="auto"/>
                <w:kern w:val="0"/>
                <w:sz w:val="21"/>
                <w:szCs w:val="20"/>
                <w:highlight w:val="none"/>
                <w:u w:val="none" w:color="auto"/>
                <w:lang w:val="en-US" w:eastAsia="zh-CN"/>
              </w:rPr>
              <w:t>-39</w:t>
            </w:r>
            <w:r>
              <w:rPr>
                <w:rFonts w:hint="default" w:ascii="Times New Roman" w:hAnsi="Times New Roman" w:eastAsia="宋体" w:cs="Times New Roman"/>
                <w:b/>
                <w:color w:val="auto"/>
                <w:kern w:val="0"/>
                <w:sz w:val="21"/>
                <w:szCs w:val="20"/>
                <w:highlight w:val="none"/>
                <w:u w:val="none" w:color="auto"/>
              </w:rPr>
              <w:t xml:space="preserve"> 涉及的风险物质及Q值计算一览表</w:t>
            </w:r>
          </w:p>
          <w:tbl>
            <w:tblPr>
              <w:tblStyle w:val="31"/>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30" w:type="dxa"/>
                <w:bottom w:w="0" w:type="dxa"/>
                <w:right w:w="30" w:type="dxa"/>
              </w:tblCellMar>
            </w:tblPr>
            <w:tblGrid>
              <w:gridCol w:w="575"/>
              <w:gridCol w:w="1802"/>
              <w:gridCol w:w="1327"/>
              <w:gridCol w:w="1574"/>
              <w:gridCol w:w="1633"/>
              <w:gridCol w:w="1604"/>
            </w:tblGrid>
            <w:tr w14:paraId="0361A51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30" w:type="dxa"/>
                  <w:bottom w:w="0" w:type="dxa"/>
                  <w:right w:w="30" w:type="dxa"/>
                </w:tblCellMar>
              </w:tblPrEx>
              <w:trPr>
                <w:trHeight w:val="23" w:hRule="atLeast"/>
                <w:jc w:val="center"/>
              </w:trPr>
              <w:tc>
                <w:tcPr>
                  <w:tcW w:w="338" w:type="pct"/>
                  <w:tcBorders>
                    <w:tl2br w:val="nil"/>
                    <w:tr2bl w:val="nil"/>
                  </w:tcBorders>
                  <w:noWrap w:val="0"/>
                  <w:vAlign w:val="center"/>
                </w:tcPr>
                <w:p w14:paraId="69A8D9C4">
                  <w:pPr>
                    <w:jc w:val="center"/>
                    <w:rPr>
                      <w:rFonts w:hint="default" w:ascii="Times New Roman" w:hAnsi="Times New Roman" w:eastAsia="宋体" w:cs="Times New Roman"/>
                      <w:b/>
                      <w:bCs/>
                      <w:color w:val="auto"/>
                      <w:highlight w:val="none"/>
                      <w:u w:val="none" w:color="auto"/>
                    </w:rPr>
                  </w:pPr>
                  <w:r>
                    <w:rPr>
                      <w:rFonts w:hint="default" w:ascii="Times New Roman" w:hAnsi="Times New Roman" w:eastAsia="宋体" w:cs="Times New Roman"/>
                      <w:b/>
                      <w:bCs/>
                      <w:color w:val="auto"/>
                      <w:highlight w:val="none"/>
                      <w:u w:val="none" w:color="auto"/>
                    </w:rPr>
                    <w:t>序号</w:t>
                  </w:r>
                </w:p>
              </w:tc>
              <w:tc>
                <w:tcPr>
                  <w:tcW w:w="1058" w:type="pct"/>
                  <w:tcBorders>
                    <w:tl2br w:val="nil"/>
                    <w:tr2bl w:val="nil"/>
                  </w:tcBorders>
                  <w:noWrap w:val="0"/>
                  <w:vAlign w:val="center"/>
                </w:tcPr>
                <w:p w14:paraId="4156B89A">
                  <w:pPr>
                    <w:jc w:val="center"/>
                    <w:rPr>
                      <w:rFonts w:hint="default" w:ascii="Times New Roman" w:hAnsi="Times New Roman" w:eastAsia="宋体" w:cs="Times New Roman"/>
                      <w:b/>
                      <w:bCs/>
                      <w:color w:val="auto"/>
                      <w:highlight w:val="none"/>
                      <w:u w:val="none" w:color="auto"/>
                    </w:rPr>
                  </w:pPr>
                  <w:r>
                    <w:rPr>
                      <w:rFonts w:hint="default" w:ascii="Times New Roman" w:hAnsi="Times New Roman" w:eastAsia="宋体" w:cs="Times New Roman"/>
                      <w:b/>
                      <w:bCs/>
                      <w:color w:val="auto"/>
                      <w:highlight w:val="none"/>
                      <w:u w:val="none" w:color="auto"/>
                    </w:rPr>
                    <w:t>名称</w:t>
                  </w:r>
                </w:p>
              </w:tc>
              <w:tc>
                <w:tcPr>
                  <w:tcW w:w="779" w:type="pct"/>
                  <w:tcBorders>
                    <w:tl2br w:val="nil"/>
                    <w:tr2bl w:val="nil"/>
                  </w:tcBorders>
                  <w:noWrap w:val="0"/>
                  <w:vAlign w:val="center"/>
                </w:tcPr>
                <w:p w14:paraId="61B8F571">
                  <w:pPr>
                    <w:jc w:val="center"/>
                    <w:rPr>
                      <w:rFonts w:hint="default" w:ascii="Times New Roman" w:hAnsi="Times New Roman" w:eastAsia="宋体" w:cs="Times New Roman"/>
                      <w:b/>
                      <w:bCs/>
                      <w:color w:val="auto"/>
                      <w:highlight w:val="none"/>
                      <w:u w:val="none" w:color="auto"/>
                    </w:rPr>
                  </w:pPr>
                  <w:r>
                    <w:rPr>
                      <w:rFonts w:hint="default" w:ascii="Times New Roman" w:hAnsi="Times New Roman" w:eastAsia="宋体" w:cs="Times New Roman"/>
                      <w:b/>
                      <w:bCs/>
                      <w:color w:val="auto"/>
                      <w:highlight w:val="none"/>
                      <w:u w:val="none" w:color="auto"/>
                    </w:rPr>
                    <w:t>贮存位置</w:t>
                  </w:r>
                </w:p>
              </w:tc>
              <w:tc>
                <w:tcPr>
                  <w:tcW w:w="924" w:type="pct"/>
                  <w:tcBorders>
                    <w:tl2br w:val="nil"/>
                    <w:tr2bl w:val="nil"/>
                  </w:tcBorders>
                  <w:noWrap w:val="0"/>
                  <w:vAlign w:val="center"/>
                </w:tcPr>
                <w:p w14:paraId="3E1054F3">
                  <w:pPr>
                    <w:jc w:val="center"/>
                    <w:rPr>
                      <w:rFonts w:hint="default" w:ascii="Times New Roman" w:hAnsi="Times New Roman" w:eastAsia="宋体" w:cs="Times New Roman"/>
                      <w:b/>
                      <w:bCs/>
                      <w:color w:val="auto"/>
                      <w:highlight w:val="none"/>
                      <w:u w:val="none" w:color="auto"/>
                    </w:rPr>
                  </w:pPr>
                  <w:r>
                    <w:rPr>
                      <w:rFonts w:hint="default" w:ascii="Times New Roman" w:hAnsi="Times New Roman" w:eastAsia="宋体" w:cs="Times New Roman"/>
                      <w:b/>
                      <w:bCs/>
                      <w:color w:val="auto"/>
                      <w:highlight w:val="none"/>
                      <w:u w:val="none" w:color="auto"/>
                    </w:rPr>
                    <w:t>最大贮存量qi</w:t>
                  </w:r>
                </w:p>
              </w:tc>
              <w:tc>
                <w:tcPr>
                  <w:tcW w:w="957" w:type="pct"/>
                  <w:tcBorders>
                    <w:tl2br w:val="nil"/>
                    <w:tr2bl w:val="nil"/>
                  </w:tcBorders>
                  <w:noWrap w:val="0"/>
                  <w:vAlign w:val="center"/>
                </w:tcPr>
                <w:p w14:paraId="7E379B5F">
                  <w:pPr>
                    <w:jc w:val="center"/>
                    <w:rPr>
                      <w:rFonts w:hint="default" w:ascii="Times New Roman" w:hAnsi="Times New Roman" w:eastAsia="宋体" w:cs="Times New Roman"/>
                      <w:b/>
                      <w:bCs/>
                      <w:color w:val="auto"/>
                      <w:highlight w:val="none"/>
                      <w:u w:val="none" w:color="auto"/>
                    </w:rPr>
                  </w:pPr>
                  <w:r>
                    <w:rPr>
                      <w:rFonts w:hint="default" w:ascii="Times New Roman" w:hAnsi="Times New Roman" w:eastAsia="宋体" w:cs="Times New Roman"/>
                      <w:b/>
                      <w:bCs/>
                      <w:color w:val="auto"/>
                      <w:highlight w:val="none"/>
                      <w:u w:val="none" w:color="auto"/>
                    </w:rPr>
                    <w:t>临界量Qi</w:t>
                  </w:r>
                  <w:r>
                    <w:rPr>
                      <w:rFonts w:hint="default" w:ascii="Times New Roman" w:hAnsi="Times New Roman" w:eastAsia="宋体" w:cs="Times New Roman"/>
                      <w:color w:val="auto"/>
                      <w:highlight w:val="none"/>
                      <w:u w:val="none" w:color="auto"/>
                      <w:vertAlign w:val="superscript"/>
                    </w:rPr>
                    <w:t>[1]</w:t>
                  </w:r>
                </w:p>
              </w:tc>
              <w:tc>
                <w:tcPr>
                  <w:tcW w:w="941" w:type="pct"/>
                  <w:tcBorders>
                    <w:tl2br w:val="nil"/>
                    <w:tr2bl w:val="nil"/>
                  </w:tcBorders>
                  <w:noWrap w:val="0"/>
                  <w:vAlign w:val="center"/>
                </w:tcPr>
                <w:p w14:paraId="6E30663E">
                  <w:pPr>
                    <w:jc w:val="center"/>
                    <w:rPr>
                      <w:rFonts w:hint="default" w:ascii="Times New Roman" w:hAnsi="Times New Roman" w:eastAsia="宋体" w:cs="Times New Roman"/>
                      <w:b/>
                      <w:bCs/>
                      <w:color w:val="auto"/>
                      <w:highlight w:val="none"/>
                      <w:u w:val="none" w:color="auto"/>
                    </w:rPr>
                  </w:pPr>
                  <w:r>
                    <w:rPr>
                      <w:rFonts w:hint="default" w:ascii="Times New Roman" w:hAnsi="Times New Roman" w:eastAsia="宋体" w:cs="Times New Roman"/>
                      <w:b/>
                      <w:bCs/>
                      <w:color w:val="auto"/>
                      <w:highlight w:val="none"/>
                      <w:u w:val="none" w:color="auto"/>
                    </w:rPr>
                    <w:t>qi/Qi</w:t>
                  </w:r>
                </w:p>
              </w:tc>
            </w:tr>
            <w:tr w14:paraId="1E349F8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30" w:type="dxa"/>
                  <w:bottom w:w="0" w:type="dxa"/>
                  <w:right w:w="30" w:type="dxa"/>
                </w:tblCellMar>
              </w:tblPrEx>
              <w:trPr>
                <w:trHeight w:val="23" w:hRule="atLeast"/>
                <w:jc w:val="center"/>
              </w:trPr>
              <w:tc>
                <w:tcPr>
                  <w:tcW w:w="338" w:type="pct"/>
                  <w:tcBorders>
                    <w:tl2br w:val="nil"/>
                    <w:tr2bl w:val="nil"/>
                  </w:tcBorders>
                  <w:noWrap w:val="0"/>
                  <w:vAlign w:val="center"/>
                </w:tcPr>
                <w:p w14:paraId="2A6F4C4A">
                  <w:pPr>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1</w:t>
                  </w:r>
                </w:p>
              </w:tc>
              <w:tc>
                <w:tcPr>
                  <w:tcW w:w="1058" w:type="pct"/>
                  <w:tcBorders>
                    <w:tl2br w:val="nil"/>
                    <w:tr2bl w:val="nil"/>
                  </w:tcBorders>
                  <w:noWrap w:val="0"/>
                  <w:vAlign w:val="center"/>
                </w:tcPr>
                <w:p w14:paraId="3E061F0C">
                  <w:pPr>
                    <w:snapToGrid w:val="0"/>
                    <w:spacing w:line="340" w:lineRule="exact"/>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sz w:val="21"/>
                      <w:szCs w:val="21"/>
                      <w:highlight w:val="none"/>
                      <w:u w:val="none" w:color="auto"/>
                    </w:rPr>
                    <w:t>浸渗</w:t>
                  </w:r>
                  <w:r>
                    <w:rPr>
                      <w:rFonts w:hint="default" w:ascii="Times New Roman" w:hAnsi="Times New Roman" w:eastAsia="宋体" w:cs="Times New Roman"/>
                      <w:color w:val="auto"/>
                      <w:sz w:val="21"/>
                      <w:szCs w:val="21"/>
                      <w:highlight w:val="none"/>
                      <w:u w:val="none" w:color="auto"/>
                      <w:lang w:val="en-US" w:eastAsia="zh-CN"/>
                    </w:rPr>
                    <w:t>剂</w:t>
                  </w:r>
                </w:p>
              </w:tc>
              <w:tc>
                <w:tcPr>
                  <w:tcW w:w="779" w:type="pct"/>
                  <w:vMerge w:val="restart"/>
                  <w:tcBorders>
                    <w:tl2br w:val="nil"/>
                    <w:tr2bl w:val="nil"/>
                  </w:tcBorders>
                  <w:noWrap w:val="0"/>
                  <w:vAlign w:val="center"/>
                </w:tcPr>
                <w:p w14:paraId="299D1188">
                  <w:pPr>
                    <w:jc w:val="center"/>
                    <w:rPr>
                      <w:rFonts w:hint="default" w:ascii="Times New Roman" w:hAnsi="Times New Roman" w:eastAsia="宋体" w:cs="Times New Roman"/>
                      <w:color w:val="auto"/>
                      <w:highlight w:val="none"/>
                      <w:u w:val="none" w:color="auto"/>
                      <w:lang w:val="en-US" w:eastAsia="zh-CN"/>
                    </w:rPr>
                  </w:pPr>
                  <w:r>
                    <w:rPr>
                      <w:rFonts w:hint="default" w:ascii="Times New Roman" w:hAnsi="Times New Roman" w:eastAsia="宋体" w:cs="Times New Roman"/>
                      <w:color w:val="auto"/>
                      <w:highlight w:val="none"/>
                      <w:u w:val="none" w:color="auto"/>
                      <w:lang w:val="en-US" w:eastAsia="zh-CN"/>
                    </w:rPr>
                    <w:t>14#厂房原料库区</w:t>
                  </w:r>
                </w:p>
              </w:tc>
              <w:tc>
                <w:tcPr>
                  <w:tcW w:w="924" w:type="pct"/>
                  <w:tcBorders>
                    <w:tl2br w:val="nil"/>
                    <w:tr2bl w:val="nil"/>
                  </w:tcBorders>
                  <w:shd w:val="clear" w:color="auto" w:fill="auto"/>
                  <w:noWrap w:val="0"/>
                  <w:vAlign w:val="center"/>
                </w:tcPr>
                <w:p w14:paraId="2705F3A9">
                  <w:pPr>
                    <w:widowControl/>
                    <w:jc w:val="center"/>
                    <w:textAlignment w:val="center"/>
                    <w:rPr>
                      <w:rFonts w:hint="default" w:ascii="Times New Roman" w:hAnsi="Times New Roman" w:eastAsia="宋体" w:cs="Times New Roman"/>
                      <w:color w:val="auto"/>
                      <w:kern w:val="2"/>
                      <w:sz w:val="21"/>
                      <w:szCs w:val="21"/>
                      <w:highlight w:val="none"/>
                      <w:u w:val="none" w:color="auto"/>
                      <w:lang w:val="en-US" w:eastAsia="zh-CN" w:bidi="ar-SA"/>
                    </w:rPr>
                  </w:pPr>
                  <w:r>
                    <w:rPr>
                      <w:rStyle w:val="48"/>
                      <w:rFonts w:hint="default" w:ascii="Times New Roman" w:hAnsi="Times New Roman" w:eastAsia="宋体" w:cs="Times New Roman"/>
                      <w:b w:val="0"/>
                      <w:bCs w:val="0"/>
                      <w:color w:val="auto"/>
                      <w:sz w:val="21"/>
                      <w:szCs w:val="21"/>
                      <w:highlight w:val="none"/>
                      <w:u w:val="none" w:color="auto"/>
                      <w:lang w:bidi="ar"/>
                    </w:rPr>
                    <w:t>0.1</w:t>
                  </w:r>
                </w:p>
              </w:tc>
              <w:tc>
                <w:tcPr>
                  <w:tcW w:w="957" w:type="pct"/>
                  <w:tcBorders>
                    <w:tl2br w:val="nil"/>
                    <w:tr2bl w:val="nil"/>
                  </w:tcBorders>
                  <w:noWrap w:val="0"/>
                  <w:vAlign w:val="center"/>
                </w:tcPr>
                <w:p w14:paraId="5F92BD92">
                  <w:pPr>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100</w:t>
                  </w:r>
                </w:p>
              </w:tc>
              <w:tc>
                <w:tcPr>
                  <w:tcW w:w="1604" w:type="dxa"/>
                  <w:tcBorders>
                    <w:tl2br w:val="nil"/>
                    <w:tr2bl w:val="nil"/>
                  </w:tcBorders>
                  <w:noWrap w:val="0"/>
                  <w:vAlign w:val="center"/>
                </w:tcPr>
                <w:p w14:paraId="3B76338B">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0.001</w:t>
                  </w:r>
                </w:p>
              </w:tc>
            </w:tr>
            <w:tr w14:paraId="377918E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30" w:type="dxa"/>
                  <w:bottom w:w="0" w:type="dxa"/>
                  <w:right w:w="30" w:type="dxa"/>
                </w:tblCellMar>
              </w:tblPrEx>
              <w:trPr>
                <w:trHeight w:val="23" w:hRule="atLeast"/>
                <w:jc w:val="center"/>
              </w:trPr>
              <w:tc>
                <w:tcPr>
                  <w:tcW w:w="338" w:type="pct"/>
                  <w:tcBorders>
                    <w:tl2br w:val="nil"/>
                    <w:tr2bl w:val="nil"/>
                  </w:tcBorders>
                  <w:noWrap w:val="0"/>
                  <w:vAlign w:val="center"/>
                </w:tcPr>
                <w:p w14:paraId="65CF6833">
                  <w:pPr>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2</w:t>
                  </w:r>
                </w:p>
              </w:tc>
              <w:tc>
                <w:tcPr>
                  <w:tcW w:w="1058" w:type="pct"/>
                  <w:tcBorders>
                    <w:tl2br w:val="nil"/>
                    <w:tr2bl w:val="nil"/>
                  </w:tcBorders>
                  <w:noWrap w:val="0"/>
                  <w:vAlign w:val="center"/>
                </w:tcPr>
                <w:p w14:paraId="6B80F4F0">
                  <w:pPr>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sz w:val="21"/>
                      <w:szCs w:val="21"/>
                      <w:highlight w:val="none"/>
                      <w:u w:val="none" w:color="auto"/>
                    </w:rPr>
                    <w:t>缓蚀剂</w:t>
                  </w:r>
                </w:p>
              </w:tc>
              <w:tc>
                <w:tcPr>
                  <w:tcW w:w="779" w:type="pct"/>
                  <w:vMerge w:val="continue"/>
                  <w:tcBorders>
                    <w:tl2br w:val="nil"/>
                    <w:tr2bl w:val="nil"/>
                  </w:tcBorders>
                  <w:noWrap w:val="0"/>
                  <w:vAlign w:val="center"/>
                </w:tcPr>
                <w:p w14:paraId="5DA06913">
                  <w:pPr>
                    <w:jc w:val="center"/>
                    <w:rPr>
                      <w:rFonts w:hint="default" w:ascii="Times New Roman" w:hAnsi="Times New Roman" w:eastAsia="宋体" w:cs="Times New Roman"/>
                      <w:color w:val="auto"/>
                      <w:highlight w:val="none"/>
                      <w:u w:val="none" w:color="auto"/>
                    </w:rPr>
                  </w:pPr>
                </w:p>
              </w:tc>
              <w:tc>
                <w:tcPr>
                  <w:tcW w:w="924" w:type="pct"/>
                  <w:tcBorders>
                    <w:tl2br w:val="nil"/>
                    <w:tr2bl w:val="nil"/>
                  </w:tcBorders>
                  <w:shd w:val="clear" w:color="auto" w:fill="auto"/>
                  <w:noWrap w:val="0"/>
                  <w:vAlign w:val="center"/>
                </w:tcPr>
                <w:p w14:paraId="4EF23F5D">
                  <w:pPr>
                    <w:widowControl/>
                    <w:jc w:val="center"/>
                    <w:textAlignment w:val="center"/>
                    <w:rPr>
                      <w:rFonts w:hint="default" w:ascii="Times New Roman" w:hAnsi="Times New Roman" w:eastAsia="宋体" w:cs="Times New Roman"/>
                      <w:color w:val="auto"/>
                      <w:kern w:val="2"/>
                      <w:sz w:val="21"/>
                      <w:szCs w:val="21"/>
                      <w:highlight w:val="none"/>
                      <w:u w:val="none" w:color="auto"/>
                      <w:lang w:val="en-US" w:eastAsia="zh-CN" w:bidi="ar-SA"/>
                    </w:rPr>
                  </w:pPr>
                  <w:r>
                    <w:rPr>
                      <w:rStyle w:val="48"/>
                      <w:rFonts w:hint="default" w:ascii="Times New Roman" w:hAnsi="Times New Roman" w:eastAsia="宋体" w:cs="Times New Roman"/>
                      <w:b w:val="0"/>
                      <w:bCs w:val="0"/>
                      <w:color w:val="auto"/>
                      <w:sz w:val="21"/>
                      <w:szCs w:val="21"/>
                      <w:highlight w:val="none"/>
                      <w:u w:val="none" w:color="auto"/>
                      <w:lang w:bidi="ar"/>
                    </w:rPr>
                    <w:t>1</w:t>
                  </w:r>
                </w:p>
              </w:tc>
              <w:tc>
                <w:tcPr>
                  <w:tcW w:w="957" w:type="pct"/>
                  <w:tcBorders>
                    <w:tl2br w:val="nil"/>
                    <w:tr2bl w:val="nil"/>
                  </w:tcBorders>
                  <w:noWrap w:val="0"/>
                  <w:vAlign w:val="center"/>
                </w:tcPr>
                <w:p w14:paraId="0A7950E6">
                  <w:pPr>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100</w:t>
                  </w:r>
                </w:p>
              </w:tc>
              <w:tc>
                <w:tcPr>
                  <w:tcW w:w="1604" w:type="dxa"/>
                  <w:tcBorders>
                    <w:tl2br w:val="nil"/>
                    <w:tr2bl w:val="nil"/>
                  </w:tcBorders>
                  <w:noWrap w:val="0"/>
                  <w:vAlign w:val="center"/>
                </w:tcPr>
                <w:p w14:paraId="58DF588C">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0.01</w:t>
                  </w:r>
                </w:p>
              </w:tc>
            </w:tr>
            <w:tr w14:paraId="1CD33A2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30" w:type="dxa"/>
                  <w:bottom w:w="0" w:type="dxa"/>
                  <w:right w:w="30" w:type="dxa"/>
                </w:tblCellMar>
              </w:tblPrEx>
              <w:trPr>
                <w:trHeight w:val="243" w:hRule="atLeast"/>
                <w:jc w:val="center"/>
              </w:trPr>
              <w:tc>
                <w:tcPr>
                  <w:tcW w:w="338" w:type="pct"/>
                  <w:tcBorders>
                    <w:tl2br w:val="nil"/>
                    <w:tr2bl w:val="nil"/>
                  </w:tcBorders>
                  <w:noWrap w:val="0"/>
                  <w:vAlign w:val="center"/>
                </w:tcPr>
                <w:p w14:paraId="17EC2F6A">
                  <w:pPr>
                    <w:jc w:val="center"/>
                    <w:rPr>
                      <w:rFonts w:hint="default" w:ascii="Times New Roman" w:hAnsi="Times New Roman" w:eastAsia="宋体" w:cs="Times New Roman"/>
                      <w:color w:val="auto"/>
                      <w:highlight w:val="none"/>
                      <w:u w:val="none" w:color="auto"/>
                      <w:lang w:val="en-US" w:eastAsia="zh-CN"/>
                    </w:rPr>
                  </w:pPr>
                  <w:r>
                    <w:rPr>
                      <w:rFonts w:hint="default" w:ascii="Times New Roman" w:hAnsi="Times New Roman" w:eastAsia="宋体" w:cs="Times New Roman"/>
                      <w:color w:val="auto"/>
                      <w:highlight w:val="none"/>
                      <w:u w:val="none" w:color="auto"/>
                      <w:lang w:val="en-US" w:eastAsia="zh-CN"/>
                    </w:rPr>
                    <w:t>3</w:t>
                  </w:r>
                </w:p>
              </w:tc>
              <w:tc>
                <w:tcPr>
                  <w:tcW w:w="1058" w:type="pct"/>
                  <w:tcBorders>
                    <w:tl2br w:val="nil"/>
                    <w:tr2bl w:val="nil"/>
                  </w:tcBorders>
                  <w:noWrap w:val="0"/>
                  <w:vAlign w:val="center"/>
                </w:tcPr>
                <w:p w14:paraId="110A59D4">
                  <w:pPr>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sz w:val="21"/>
                      <w:szCs w:val="21"/>
                      <w:highlight w:val="none"/>
                      <w:u w:val="none" w:color="auto"/>
                    </w:rPr>
                    <w:t>清洗剂</w:t>
                  </w:r>
                </w:p>
              </w:tc>
              <w:tc>
                <w:tcPr>
                  <w:tcW w:w="779" w:type="pct"/>
                  <w:vMerge w:val="continue"/>
                  <w:tcBorders>
                    <w:tl2br w:val="nil"/>
                    <w:tr2bl w:val="nil"/>
                  </w:tcBorders>
                  <w:noWrap w:val="0"/>
                  <w:vAlign w:val="center"/>
                </w:tcPr>
                <w:p w14:paraId="6D7063FF">
                  <w:pPr>
                    <w:jc w:val="center"/>
                    <w:rPr>
                      <w:rFonts w:hint="default" w:ascii="Times New Roman" w:hAnsi="Times New Roman" w:eastAsia="宋体" w:cs="Times New Roman"/>
                      <w:color w:val="auto"/>
                      <w:highlight w:val="none"/>
                      <w:u w:val="none" w:color="auto"/>
                    </w:rPr>
                  </w:pPr>
                </w:p>
              </w:tc>
              <w:tc>
                <w:tcPr>
                  <w:tcW w:w="924" w:type="pct"/>
                  <w:tcBorders>
                    <w:tl2br w:val="nil"/>
                    <w:tr2bl w:val="nil"/>
                  </w:tcBorders>
                  <w:shd w:val="clear" w:color="auto" w:fill="auto"/>
                  <w:noWrap w:val="0"/>
                  <w:vAlign w:val="center"/>
                </w:tcPr>
                <w:p w14:paraId="6CF69DA6">
                  <w:pPr>
                    <w:widowControl/>
                    <w:jc w:val="center"/>
                    <w:textAlignment w:val="center"/>
                    <w:rPr>
                      <w:rFonts w:hint="default" w:ascii="Times New Roman" w:hAnsi="Times New Roman" w:eastAsia="宋体" w:cs="Times New Roman"/>
                      <w:color w:val="auto"/>
                      <w:kern w:val="2"/>
                      <w:sz w:val="21"/>
                      <w:szCs w:val="21"/>
                      <w:highlight w:val="none"/>
                      <w:u w:val="none" w:color="auto"/>
                      <w:lang w:val="en-US" w:eastAsia="zh-CN" w:bidi="ar-SA"/>
                    </w:rPr>
                  </w:pPr>
                  <w:r>
                    <w:rPr>
                      <w:rStyle w:val="48"/>
                      <w:rFonts w:hint="default" w:ascii="Times New Roman" w:hAnsi="Times New Roman" w:eastAsia="宋体" w:cs="Times New Roman"/>
                      <w:b w:val="0"/>
                      <w:bCs w:val="0"/>
                      <w:color w:val="auto"/>
                      <w:sz w:val="21"/>
                      <w:szCs w:val="21"/>
                      <w:highlight w:val="none"/>
                      <w:u w:val="none" w:color="auto"/>
                      <w:lang w:bidi="ar"/>
                    </w:rPr>
                    <w:t>6</w:t>
                  </w:r>
                </w:p>
              </w:tc>
              <w:tc>
                <w:tcPr>
                  <w:tcW w:w="957" w:type="pct"/>
                  <w:tcBorders>
                    <w:tl2br w:val="nil"/>
                    <w:tr2bl w:val="nil"/>
                  </w:tcBorders>
                  <w:noWrap w:val="0"/>
                  <w:vAlign w:val="center"/>
                </w:tcPr>
                <w:p w14:paraId="3401047B">
                  <w:pPr>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100</w:t>
                  </w:r>
                </w:p>
              </w:tc>
              <w:tc>
                <w:tcPr>
                  <w:tcW w:w="1604" w:type="dxa"/>
                  <w:tcBorders>
                    <w:tl2br w:val="nil"/>
                    <w:tr2bl w:val="nil"/>
                  </w:tcBorders>
                  <w:noWrap w:val="0"/>
                  <w:vAlign w:val="center"/>
                </w:tcPr>
                <w:p w14:paraId="779D0BF8">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0.06</w:t>
                  </w:r>
                </w:p>
              </w:tc>
            </w:tr>
            <w:tr w14:paraId="0D79D51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30" w:type="dxa"/>
                  <w:bottom w:w="0" w:type="dxa"/>
                  <w:right w:w="30" w:type="dxa"/>
                </w:tblCellMar>
              </w:tblPrEx>
              <w:trPr>
                <w:trHeight w:val="23" w:hRule="atLeast"/>
                <w:jc w:val="center"/>
              </w:trPr>
              <w:tc>
                <w:tcPr>
                  <w:tcW w:w="338" w:type="pct"/>
                  <w:tcBorders>
                    <w:tl2br w:val="nil"/>
                    <w:tr2bl w:val="nil"/>
                  </w:tcBorders>
                  <w:noWrap w:val="0"/>
                  <w:vAlign w:val="center"/>
                </w:tcPr>
                <w:p w14:paraId="1F0DCA04">
                  <w:pPr>
                    <w:jc w:val="center"/>
                    <w:rPr>
                      <w:rFonts w:hint="default" w:ascii="Times New Roman" w:hAnsi="Times New Roman" w:eastAsia="宋体" w:cs="Times New Roman"/>
                      <w:color w:val="auto"/>
                      <w:highlight w:val="none"/>
                      <w:u w:val="none" w:color="auto"/>
                      <w:lang w:val="en-US" w:eastAsia="zh-CN"/>
                    </w:rPr>
                  </w:pPr>
                  <w:r>
                    <w:rPr>
                      <w:rFonts w:hint="default" w:ascii="Times New Roman" w:hAnsi="Times New Roman" w:eastAsia="宋体" w:cs="Times New Roman"/>
                      <w:color w:val="auto"/>
                      <w:highlight w:val="none"/>
                      <w:u w:val="none" w:color="auto"/>
                      <w:lang w:val="en-US" w:eastAsia="zh-CN"/>
                    </w:rPr>
                    <w:t>4</w:t>
                  </w:r>
                </w:p>
              </w:tc>
              <w:tc>
                <w:tcPr>
                  <w:tcW w:w="1058" w:type="pct"/>
                  <w:tcBorders>
                    <w:tl2br w:val="nil"/>
                    <w:tr2bl w:val="nil"/>
                  </w:tcBorders>
                  <w:noWrap w:val="0"/>
                  <w:vAlign w:val="center"/>
                </w:tcPr>
                <w:p w14:paraId="53DDB4EB">
                  <w:pPr>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sz w:val="21"/>
                      <w:szCs w:val="21"/>
                      <w:highlight w:val="none"/>
                      <w:u w:val="none" w:color="auto"/>
                    </w:rPr>
                    <w:t>切削液</w:t>
                  </w:r>
                </w:p>
              </w:tc>
              <w:tc>
                <w:tcPr>
                  <w:tcW w:w="779" w:type="pct"/>
                  <w:vMerge w:val="continue"/>
                  <w:tcBorders>
                    <w:tl2br w:val="nil"/>
                    <w:tr2bl w:val="nil"/>
                  </w:tcBorders>
                  <w:noWrap w:val="0"/>
                  <w:vAlign w:val="center"/>
                </w:tcPr>
                <w:p w14:paraId="4CC9EE89">
                  <w:pPr>
                    <w:jc w:val="center"/>
                    <w:rPr>
                      <w:rFonts w:hint="default" w:ascii="Times New Roman" w:hAnsi="Times New Roman" w:eastAsia="宋体" w:cs="Times New Roman"/>
                      <w:color w:val="auto"/>
                      <w:highlight w:val="none"/>
                      <w:u w:val="none" w:color="auto"/>
                    </w:rPr>
                  </w:pPr>
                </w:p>
              </w:tc>
              <w:tc>
                <w:tcPr>
                  <w:tcW w:w="924" w:type="pct"/>
                  <w:tcBorders>
                    <w:tl2br w:val="nil"/>
                    <w:tr2bl w:val="nil"/>
                  </w:tcBorders>
                  <w:shd w:val="clear" w:color="auto" w:fill="auto"/>
                  <w:noWrap w:val="0"/>
                  <w:vAlign w:val="center"/>
                </w:tcPr>
                <w:p w14:paraId="57E46B06">
                  <w:pPr>
                    <w:widowControl/>
                    <w:jc w:val="center"/>
                    <w:textAlignment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rPr>
                    <w:t>5</w:t>
                  </w:r>
                </w:p>
              </w:tc>
              <w:tc>
                <w:tcPr>
                  <w:tcW w:w="957" w:type="pct"/>
                  <w:tcBorders>
                    <w:tl2br w:val="nil"/>
                    <w:tr2bl w:val="nil"/>
                  </w:tcBorders>
                  <w:noWrap w:val="0"/>
                  <w:vAlign w:val="center"/>
                </w:tcPr>
                <w:p w14:paraId="68E74D49">
                  <w:pPr>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100</w:t>
                  </w:r>
                </w:p>
              </w:tc>
              <w:tc>
                <w:tcPr>
                  <w:tcW w:w="1604" w:type="dxa"/>
                  <w:tcBorders>
                    <w:tl2br w:val="nil"/>
                    <w:tr2bl w:val="nil"/>
                  </w:tcBorders>
                  <w:noWrap w:val="0"/>
                  <w:vAlign w:val="center"/>
                </w:tcPr>
                <w:p w14:paraId="40363B6A">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0.05</w:t>
                  </w:r>
                </w:p>
              </w:tc>
            </w:tr>
            <w:tr w14:paraId="1CFA1F1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30" w:type="dxa"/>
                  <w:bottom w:w="0" w:type="dxa"/>
                  <w:right w:w="30" w:type="dxa"/>
                </w:tblCellMar>
              </w:tblPrEx>
              <w:trPr>
                <w:trHeight w:val="23" w:hRule="atLeast"/>
                <w:jc w:val="center"/>
              </w:trPr>
              <w:tc>
                <w:tcPr>
                  <w:tcW w:w="338" w:type="pct"/>
                  <w:tcBorders>
                    <w:tl2br w:val="nil"/>
                    <w:tr2bl w:val="nil"/>
                  </w:tcBorders>
                  <w:noWrap w:val="0"/>
                  <w:vAlign w:val="center"/>
                </w:tcPr>
                <w:p w14:paraId="3FEDC520">
                  <w:pPr>
                    <w:jc w:val="center"/>
                    <w:rPr>
                      <w:rFonts w:hint="default" w:ascii="Times New Roman" w:hAnsi="Times New Roman" w:eastAsia="宋体" w:cs="Times New Roman"/>
                      <w:color w:val="auto"/>
                      <w:highlight w:val="none"/>
                      <w:u w:val="none" w:color="auto"/>
                      <w:lang w:val="en-US" w:eastAsia="zh-CN"/>
                    </w:rPr>
                  </w:pPr>
                  <w:r>
                    <w:rPr>
                      <w:rFonts w:hint="default" w:ascii="Times New Roman" w:hAnsi="Times New Roman" w:eastAsia="宋体" w:cs="Times New Roman"/>
                      <w:color w:val="auto"/>
                      <w:highlight w:val="none"/>
                      <w:u w:val="none" w:color="auto"/>
                      <w:lang w:val="en-US" w:eastAsia="zh-CN"/>
                    </w:rPr>
                    <w:t>5</w:t>
                  </w:r>
                </w:p>
              </w:tc>
              <w:tc>
                <w:tcPr>
                  <w:tcW w:w="1058" w:type="pct"/>
                  <w:tcBorders>
                    <w:tl2br w:val="nil"/>
                    <w:tr2bl w:val="nil"/>
                  </w:tcBorders>
                  <w:noWrap w:val="0"/>
                  <w:vAlign w:val="center"/>
                </w:tcPr>
                <w:p w14:paraId="0EA9E80C">
                  <w:pPr>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危险废物（废润滑油等）</w:t>
                  </w:r>
                </w:p>
              </w:tc>
              <w:tc>
                <w:tcPr>
                  <w:tcW w:w="779" w:type="pct"/>
                  <w:tcBorders>
                    <w:tl2br w:val="nil"/>
                    <w:tr2bl w:val="nil"/>
                  </w:tcBorders>
                  <w:noWrap w:val="0"/>
                  <w:vAlign w:val="center"/>
                </w:tcPr>
                <w:p w14:paraId="0BB2A538">
                  <w:pPr>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lang w:val="en-US" w:eastAsia="zh-CN"/>
                    </w:rPr>
                    <w:t>14#厂房</w:t>
                  </w:r>
                  <w:r>
                    <w:rPr>
                      <w:rFonts w:hint="default" w:ascii="Times New Roman" w:hAnsi="Times New Roman" w:eastAsia="宋体" w:cs="Times New Roman"/>
                      <w:color w:val="auto"/>
                      <w:highlight w:val="none"/>
                      <w:u w:val="none" w:color="auto"/>
                    </w:rPr>
                    <w:t>危废暂存间</w:t>
                  </w:r>
                </w:p>
              </w:tc>
              <w:tc>
                <w:tcPr>
                  <w:tcW w:w="924" w:type="pct"/>
                  <w:tcBorders>
                    <w:tl2br w:val="nil"/>
                    <w:tr2bl w:val="nil"/>
                  </w:tcBorders>
                  <w:noWrap w:val="0"/>
                  <w:vAlign w:val="center"/>
                </w:tcPr>
                <w:p w14:paraId="4A8B0071">
                  <w:pPr>
                    <w:jc w:val="center"/>
                    <w:rPr>
                      <w:rFonts w:hint="default" w:ascii="Times New Roman" w:hAnsi="Times New Roman" w:eastAsia="宋体" w:cs="Times New Roman"/>
                      <w:color w:val="auto"/>
                      <w:highlight w:val="none"/>
                      <w:u w:val="none" w:color="auto"/>
                      <w:lang w:val="en-US" w:eastAsia="zh-CN"/>
                    </w:rPr>
                  </w:pPr>
                  <w:r>
                    <w:rPr>
                      <w:rFonts w:hint="default" w:ascii="Times New Roman" w:hAnsi="Times New Roman" w:eastAsia="宋体" w:cs="Times New Roman"/>
                      <w:color w:val="auto"/>
                      <w:highlight w:val="none"/>
                      <w:u w:val="none" w:color="auto"/>
                      <w:lang w:val="en-US" w:eastAsia="zh-CN"/>
                    </w:rPr>
                    <w:t>10（按最大贮存量计）</w:t>
                  </w:r>
                </w:p>
              </w:tc>
              <w:tc>
                <w:tcPr>
                  <w:tcW w:w="957" w:type="pct"/>
                  <w:tcBorders>
                    <w:tl2br w:val="nil"/>
                    <w:tr2bl w:val="nil"/>
                  </w:tcBorders>
                  <w:noWrap w:val="0"/>
                  <w:vAlign w:val="center"/>
                </w:tcPr>
                <w:p w14:paraId="1CEA7891">
                  <w:pPr>
                    <w:jc w:val="center"/>
                    <w:rPr>
                      <w:rFonts w:hint="default" w:ascii="Times New Roman" w:hAnsi="Times New Roman" w:eastAsia="宋体" w:cs="Times New Roman"/>
                      <w:color w:val="auto"/>
                      <w:highlight w:val="none"/>
                      <w:u w:val="none" w:color="auto"/>
                      <w:lang w:val="en-US" w:eastAsia="zh-CN"/>
                    </w:rPr>
                  </w:pPr>
                  <w:r>
                    <w:rPr>
                      <w:rFonts w:hint="default" w:ascii="Times New Roman" w:hAnsi="Times New Roman" w:eastAsia="宋体" w:cs="Times New Roman"/>
                      <w:color w:val="auto"/>
                      <w:highlight w:val="none"/>
                      <w:u w:val="none" w:color="auto"/>
                      <w:lang w:val="en-US" w:eastAsia="zh-CN"/>
                    </w:rPr>
                    <w:t>100</w:t>
                  </w:r>
                </w:p>
              </w:tc>
              <w:tc>
                <w:tcPr>
                  <w:tcW w:w="1604" w:type="dxa"/>
                  <w:tcBorders>
                    <w:tl2br w:val="nil"/>
                    <w:tr2bl w:val="nil"/>
                  </w:tcBorders>
                  <w:noWrap w:val="0"/>
                  <w:vAlign w:val="center"/>
                </w:tcPr>
                <w:p w14:paraId="7C8F1944">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0.1</w:t>
                  </w:r>
                </w:p>
              </w:tc>
            </w:tr>
            <w:tr w14:paraId="652A4D9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30" w:type="dxa"/>
                  <w:bottom w:w="0" w:type="dxa"/>
                  <w:right w:w="30" w:type="dxa"/>
                </w:tblCellMar>
              </w:tblPrEx>
              <w:trPr>
                <w:trHeight w:val="23" w:hRule="atLeast"/>
                <w:jc w:val="center"/>
              </w:trPr>
              <w:tc>
                <w:tcPr>
                  <w:tcW w:w="338" w:type="pct"/>
                  <w:tcBorders>
                    <w:tl2br w:val="nil"/>
                    <w:tr2bl w:val="nil"/>
                  </w:tcBorders>
                  <w:noWrap w:val="0"/>
                  <w:vAlign w:val="center"/>
                </w:tcPr>
                <w:p w14:paraId="5687C38F">
                  <w:pPr>
                    <w:jc w:val="center"/>
                    <w:rPr>
                      <w:rFonts w:hint="default" w:ascii="Times New Roman" w:hAnsi="Times New Roman" w:eastAsia="宋体" w:cs="Times New Roman"/>
                      <w:color w:val="auto"/>
                      <w:highlight w:val="none"/>
                      <w:u w:val="none" w:color="auto"/>
                      <w:lang w:val="en-US" w:eastAsia="zh-CN"/>
                    </w:rPr>
                  </w:pPr>
                  <w:r>
                    <w:rPr>
                      <w:rFonts w:hint="default" w:ascii="Times New Roman" w:hAnsi="Times New Roman" w:eastAsia="宋体" w:cs="Times New Roman"/>
                      <w:color w:val="auto"/>
                      <w:highlight w:val="none"/>
                      <w:u w:val="none" w:color="auto"/>
                      <w:lang w:val="en-US" w:eastAsia="zh-CN"/>
                    </w:rPr>
                    <w:t>6</w:t>
                  </w:r>
                </w:p>
              </w:tc>
              <w:tc>
                <w:tcPr>
                  <w:tcW w:w="1058" w:type="pct"/>
                  <w:tcBorders>
                    <w:tl2br w:val="nil"/>
                    <w:tr2bl w:val="nil"/>
                  </w:tcBorders>
                  <w:shd w:val="clear" w:color="auto" w:fill="auto"/>
                  <w:noWrap w:val="0"/>
                  <w:vAlign w:val="center"/>
                </w:tcPr>
                <w:p w14:paraId="1E704E39">
                  <w:pPr>
                    <w:snapToGrid w:val="0"/>
                    <w:spacing w:line="340" w:lineRule="exact"/>
                    <w:jc w:val="center"/>
                    <w:rPr>
                      <w:rFonts w:hint="default" w:ascii="Times New Roman" w:hAnsi="Times New Roman" w:eastAsia="宋体" w:cs="Times New Roman"/>
                      <w:color w:val="auto"/>
                      <w:kern w:val="2"/>
                      <w:sz w:val="21"/>
                      <w:szCs w:val="24"/>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rPr>
                    <w:t>浸渗</w:t>
                  </w:r>
                  <w:r>
                    <w:rPr>
                      <w:rFonts w:hint="default" w:ascii="Times New Roman" w:hAnsi="Times New Roman" w:eastAsia="宋体" w:cs="Times New Roman"/>
                      <w:color w:val="auto"/>
                      <w:sz w:val="21"/>
                      <w:szCs w:val="21"/>
                      <w:highlight w:val="none"/>
                      <w:u w:val="none" w:color="auto"/>
                      <w:lang w:val="en-US" w:eastAsia="zh-CN"/>
                    </w:rPr>
                    <w:t>剂</w:t>
                  </w:r>
                </w:p>
              </w:tc>
              <w:tc>
                <w:tcPr>
                  <w:tcW w:w="779" w:type="pct"/>
                  <w:vMerge w:val="restart"/>
                  <w:tcBorders>
                    <w:tl2br w:val="nil"/>
                    <w:tr2bl w:val="nil"/>
                  </w:tcBorders>
                  <w:noWrap w:val="0"/>
                  <w:vAlign w:val="center"/>
                </w:tcPr>
                <w:p w14:paraId="3080C255">
                  <w:pPr>
                    <w:jc w:val="center"/>
                    <w:rPr>
                      <w:rFonts w:hint="default" w:ascii="Times New Roman" w:hAnsi="Times New Roman" w:eastAsia="宋体" w:cs="Times New Roman"/>
                      <w:color w:val="auto"/>
                      <w:highlight w:val="none"/>
                      <w:u w:val="none" w:color="auto"/>
                      <w:lang w:val="en-US" w:eastAsia="zh-CN"/>
                    </w:rPr>
                  </w:pPr>
                  <w:r>
                    <w:rPr>
                      <w:rFonts w:hint="default" w:ascii="Times New Roman" w:hAnsi="Times New Roman" w:eastAsia="宋体" w:cs="Times New Roman"/>
                      <w:color w:val="auto"/>
                      <w:highlight w:val="none"/>
                      <w:u w:val="none" w:color="auto"/>
                      <w:lang w:val="en-US" w:eastAsia="zh-CN"/>
                    </w:rPr>
                    <w:t>各生产车间在线量</w:t>
                  </w:r>
                </w:p>
              </w:tc>
              <w:tc>
                <w:tcPr>
                  <w:tcW w:w="924" w:type="pct"/>
                  <w:tcBorders>
                    <w:tl2br w:val="nil"/>
                    <w:tr2bl w:val="nil"/>
                  </w:tcBorders>
                  <w:noWrap w:val="0"/>
                  <w:vAlign w:val="center"/>
                </w:tcPr>
                <w:p w14:paraId="5AE2FBAA">
                  <w:pPr>
                    <w:jc w:val="center"/>
                    <w:rPr>
                      <w:rFonts w:hint="default" w:ascii="Times New Roman" w:hAnsi="Times New Roman" w:eastAsia="宋体" w:cs="Times New Roman"/>
                      <w:color w:val="auto"/>
                      <w:highlight w:val="none"/>
                      <w:u w:val="none" w:color="auto"/>
                      <w:lang w:val="en-US" w:eastAsia="zh-CN"/>
                    </w:rPr>
                  </w:pPr>
                  <w:r>
                    <w:rPr>
                      <w:rFonts w:hint="default" w:ascii="Times New Roman" w:hAnsi="Times New Roman" w:eastAsia="宋体" w:cs="Times New Roman"/>
                      <w:color w:val="auto"/>
                      <w:highlight w:val="none"/>
                      <w:u w:val="none" w:color="auto"/>
                      <w:lang w:val="en-US" w:eastAsia="zh-CN"/>
                    </w:rPr>
                    <w:t>0.0044</w:t>
                  </w:r>
                </w:p>
              </w:tc>
              <w:tc>
                <w:tcPr>
                  <w:tcW w:w="1633" w:type="dxa"/>
                  <w:tcBorders>
                    <w:tl2br w:val="nil"/>
                    <w:tr2bl w:val="nil"/>
                  </w:tcBorders>
                  <w:noWrap w:val="0"/>
                  <w:vAlign w:val="center"/>
                </w:tcPr>
                <w:p w14:paraId="73AE9E03">
                  <w:pPr>
                    <w:jc w:val="center"/>
                    <w:rPr>
                      <w:rFonts w:hint="default" w:ascii="Times New Roman" w:hAnsi="Times New Roman" w:eastAsia="宋体" w:cs="Times New Roman"/>
                      <w:color w:val="auto"/>
                      <w:highlight w:val="none"/>
                      <w:u w:val="none" w:color="auto"/>
                      <w:lang w:val="en-US" w:eastAsia="zh-CN"/>
                    </w:rPr>
                  </w:pPr>
                  <w:r>
                    <w:rPr>
                      <w:rFonts w:hint="default" w:ascii="Times New Roman" w:hAnsi="Times New Roman" w:eastAsia="宋体" w:cs="Times New Roman"/>
                      <w:color w:val="auto"/>
                      <w:highlight w:val="none"/>
                      <w:u w:val="none" w:color="auto"/>
                    </w:rPr>
                    <w:t>100</w:t>
                  </w:r>
                </w:p>
              </w:tc>
              <w:tc>
                <w:tcPr>
                  <w:tcW w:w="1604" w:type="dxa"/>
                  <w:tcBorders>
                    <w:tl2br w:val="nil"/>
                    <w:tr2bl w:val="nil"/>
                  </w:tcBorders>
                  <w:noWrap w:val="0"/>
                  <w:vAlign w:val="center"/>
                </w:tcPr>
                <w:p w14:paraId="05F2F9F9">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0.000044</w:t>
                  </w:r>
                </w:p>
              </w:tc>
            </w:tr>
            <w:tr w14:paraId="3241163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30" w:type="dxa"/>
                  <w:bottom w:w="0" w:type="dxa"/>
                  <w:right w:w="30" w:type="dxa"/>
                </w:tblCellMar>
              </w:tblPrEx>
              <w:trPr>
                <w:trHeight w:val="23" w:hRule="atLeast"/>
                <w:jc w:val="center"/>
              </w:trPr>
              <w:tc>
                <w:tcPr>
                  <w:tcW w:w="338" w:type="pct"/>
                  <w:tcBorders>
                    <w:tl2br w:val="nil"/>
                    <w:tr2bl w:val="nil"/>
                  </w:tcBorders>
                  <w:noWrap w:val="0"/>
                  <w:vAlign w:val="center"/>
                </w:tcPr>
                <w:p w14:paraId="5F7A59A1">
                  <w:pPr>
                    <w:jc w:val="center"/>
                    <w:rPr>
                      <w:rFonts w:hint="default" w:ascii="Times New Roman" w:hAnsi="Times New Roman" w:eastAsia="宋体" w:cs="Times New Roman"/>
                      <w:color w:val="auto"/>
                      <w:highlight w:val="none"/>
                      <w:u w:val="none" w:color="auto"/>
                      <w:lang w:val="en-US" w:eastAsia="zh-CN"/>
                    </w:rPr>
                  </w:pPr>
                  <w:r>
                    <w:rPr>
                      <w:rFonts w:hint="default" w:ascii="Times New Roman" w:hAnsi="Times New Roman" w:eastAsia="宋体" w:cs="Times New Roman"/>
                      <w:color w:val="auto"/>
                      <w:highlight w:val="none"/>
                      <w:u w:val="none" w:color="auto"/>
                      <w:lang w:val="en-US" w:eastAsia="zh-CN"/>
                    </w:rPr>
                    <w:t>7</w:t>
                  </w:r>
                </w:p>
              </w:tc>
              <w:tc>
                <w:tcPr>
                  <w:tcW w:w="1058" w:type="pct"/>
                  <w:tcBorders>
                    <w:tl2br w:val="nil"/>
                    <w:tr2bl w:val="nil"/>
                  </w:tcBorders>
                  <w:shd w:val="clear" w:color="auto" w:fill="auto"/>
                  <w:noWrap w:val="0"/>
                  <w:vAlign w:val="center"/>
                </w:tcPr>
                <w:p w14:paraId="5A7D0E6F">
                  <w:pPr>
                    <w:jc w:val="center"/>
                    <w:rPr>
                      <w:rFonts w:hint="default" w:ascii="Times New Roman" w:hAnsi="Times New Roman" w:eastAsia="宋体" w:cs="Times New Roman"/>
                      <w:color w:val="auto"/>
                      <w:kern w:val="2"/>
                      <w:sz w:val="21"/>
                      <w:szCs w:val="24"/>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rPr>
                    <w:t>缓蚀剂</w:t>
                  </w:r>
                </w:p>
              </w:tc>
              <w:tc>
                <w:tcPr>
                  <w:tcW w:w="779" w:type="pct"/>
                  <w:vMerge w:val="continue"/>
                  <w:tcBorders>
                    <w:tl2br w:val="nil"/>
                    <w:tr2bl w:val="nil"/>
                  </w:tcBorders>
                  <w:noWrap w:val="0"/>
                  <w:vAlign w:val="center"/>
                </w:tcPr>
                <w:p w14:paraId="4F1A0F14">
                  <w:pPr>
                    <w:jc w:val="center"/>
                    <w:rPr>
                      <w:rFonts w:hint="default" w:ascii="Times New Roman" w:hAnsi="Times New Roman" w:eastAsia="宋体" w:cs="Times New Roman"/>
                      <w:color w:val="auto"/>
                      <w:highlight w:val="none"/>
                      <w:u w:val="none" w:color="auto"/>
                      <w:lang w:val="en-US" w:eastAsia="zh-CN"/>
                    </w:rPr>
                  </w:pPr>
                </w:p>
              </w:tc>
              <w:tc>
                <w:tcPr>
                  <w:tcW w:w="924" w:type="pct"/>
                  <w:tcBorders>
                    <w:tl2br w:val="nil"/>
                    <w:tr2bl w:val="nil"/>
                  </w:tcBorders>
                  <w:noWrap w:val="0"/>
                  <w:vAlign w:val="center"/>
                </w:tcPr>
                <w:p w14:paraId="045564D6">
                  <w:pPr>
                    <w:jc w:val="center"/>
                    <w:rPr>
                      <w:rFonts w:hint="default" w:ascii="Times New Roman" w:hAnsi="Times New Roman" w:eastAsia="宋体" w:cs="Times New Roman"/>
                      <w:color w:val="auto"/>
                      <w:highlight w:val="none"/>
                      <w:u w:val="none" w:color="auto"/>
                      <w:lang w:val="en-US" w:eastAsia="zh-CN"/>
                    </w:rPr>
                  </w:pPr>
                  <w:r>
                    <w:rPr>
                      <w:rFonts w:hint="default" w:ascii="Times New Roman" w:hAnsi="Times New Roman" w:eastAsia="宋体" w:cs="Times New Roman"/>
                      <w:color w:val="auto"/>
                      <w:highlight w:val="none"/>
                      <w:u w:val="none" w:color="auto"/>
                      <w:lang w:val="en-US" w:eastAsia="zh-CN"/>
                    </w:rPr>
                    <w:t>1</w:t>
                  </w:r>
                </w:p>
              </w:tc>
              <w:tc>
                <w:tcPr>
                  <w:tcW w:w="1633" w:type="dxa"/>
                  <w:tcBorders>
                    <w:tl2br w:val="nil"/>
                    <w:tr2bl w:val="nil"/>
                  </w:tcBorders>
                  <w:noWrap w:val="0"/>
                  <w:vAlign w:val="center"/>
                </w:tcPr>
                <w:p w14:paraId="6C34F904">
                  <w:pPr>
                    <w:jc w:val="center"/>
                    <w:rPr>
                      <w:rFonts w:hint="default" w:ascii="Times New Roman" w:hAnsi="Times New Roman" w:eastAsia="宋体" w:cs="Times New Roman"/>
                      <w:color w:val="auto"/>
                      <w:highlight w:val="none"/>
                      <w:u w:val="none" w:color="auto"/>
                      <w:lang w:val="en-US" w:eastAsia="zh-CN"/>
                    </w:rPr>
                  </w:pPr>
                  <w:r>
                    <w:rPr>
                      <w:rFonts w:hint="default" w:ascii="Times New Roman" w:hAnsi="Times New Roman" w:eastAsia="宋体" w:cs="Times New Roman"/>
                      <w:color w:val="auto"/>
                      <w:highlight w:val="none"/>
                      <w:u w:val="none" w:color="auto"/>
                    </w:rPr>
                    <w:t>100</w:t>
                  </w:r>
                </w:p>
              </w:tc>
              <w:tc>
                <w:tcPr>
                  <w:tcW w:w="1604" w:type="dxa"/>
                  <w:tcBorders>
                    <w:tl2br w:val="nil"/>
                    <w:tr2bl w:val="nil"/>
                  </w:tcBorders>
                  <w:noWrap w:val="0"/>
                  <w:vAlign w:val="center"/>
                </w:tcPr>
                <w:p w14:paraId="721BA9E9">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0.01</w:t>
                  </w:r>
                </w:p>
              </w:tc>
            </w:tr>
            <w:tr w14:paraId="041FBCD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30" w:type="dxa"/>
                  <w:bottom w:w="0" w:type="dxa"/>
                  <w:right w:w="30" w:type="dxa"/>
                </w:tblCellMar>
              </w:tblPrEx>
              <w:trPr>
                <w:trHeight w:val="23" w:hRule="atLeast"/>
                <w:jc w:val="center"/>
              </w:trPr>
              <w:tc>
                <w:tcPr>
                  <w:tcW w:w="338" w:type="pct"/>
                  <w:tcBorders>
                    <w:tl2br w:val="nil"/>
                    <w:tr2bl w:val="nil"/>
                  </w:tcBorders>
                  <w:noWrap w:val="0"/>
                  <w:vAlign w:val="center"/>
                </w:tcPr>
                <w:p w14:paraId="1DAC4F9F">
                  <w:pPr>
                    <w:jc w:val="center"/>
                    <w:rPr>
                      <w:rFonts w:hint="default" w:ascii="Times New Roman" w:hAnsi="Times New Roman" w:eastAsia="宋体" w:cs="Times New Roman"/>
                      <w:color w:val="auto"/>
                      <w:highlight w:val="none"/>
                      <w:u w:val="none" w:color="auto"/>
                      <w:lang w:val="en-US" w:eastAsia="zh-CN"/>
                    </w:rPr>
                  </w:pPr>
                  <w:r>
                    <w:rPr>
                      <w:rFonts w:hint="default" w:ascii="Times New Roman" w:hAnsi="Times New Roman" w:eastAsia="宋体" w:cs="Times New Roman"/>
                      <w:color w:val="auto"/>
                      <w:highlight w:val="none"/>
                      <w:u w:val="none" w:color="auto"/>
                      <w:lang w:val="en-US" w:eastAsia="zh-CN"/>
                    </w:rPr>
                    <w:t>8</w:t>
                  </w:r>
                </w:p>
              </w:tc>
              <w:tc>
                <w:tcPr>
                  <w:tcW w:w="1058" w:type="pct"/>
                  <w:tcBorders>
                    <w:tl2br w:val="nil"/>
                    <w:tr2bl w:val="nil"/>
                  </w:tcBorders>
                  <w:shd w:val="clear" w:color="auto" w:fill="auto"/>
                  <w:noWrap w:val="0"/>
                  <w:vAlign w:val="center"/>
                </w:tcPr>
                <w:p w14:paraId="59ABD2CF">
                  <w:pPr>
                    <w:jc w:val="center"/>
                    <w:rPr>
                      <w:rFonts w:hint="default" w:ascii="Times New Roman" w:hAnsi="Times New Roman" w:eastAsia="宋体" w:cs="Times New Roman"/>
                      <w:color w:val="auto"/>
                      <w:kern w:val="2"/>
                      <w:sz w:val="21"/>
                      <w:szCs w:val="24"/>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rPr>
                    <w:t>清洗剂</w:t>
                  </w:r>
                </w:p>
              </w:tc>
              <w:tc>
                <w:tcPr>
                  <w:tcW w:w="779" w:type="pct"/>
                  <w:vMerge w:val="continue"/>
                  <w:tcBorders>
                    <w:tl2br w:val="nil"/>
                    <w:tr2bl w:val="nil"/>
                  </w:tcBorders>
                  <w:noWrap w:val="0"/>
                  <w:vAlign w:val="center"/>
                </w:tcPr>
                <w:p w14:paraId="533C9FA3">
                  <w:pPr>
                    <w:jc w:val="center"/>
                    <w:rPr>
                      <w:rFonts w:hint="default" w:ascii="Times New Roman" w:hAnsi="Times New Roman" w:eastAsia="宋体" w:cs="Times New Roman"/>
                      <w:color w:val="auto"/>
                      <w:highlight w:val="none"/>
                      <w:u w:val="none" w:color="auto"/>
                      <w:lang w:val="en-US" w:eastAsia="zh-CN"/>
                    </w:rPr>
                  </w:pPr>
                </w:p>
              </w:tc>
              <w:tc>
                <w:tcPr>
                  <w:tcW w:w="924" w:type="pct"/>
                  <w:tcBorders>
                    <w:tl2br w:val="nil"/>
                    <w:tr2bl w:val="nil"/>
                  </w:tcBorders>
                  <w:noWrap w:val="0"/>
                  <w:vAlign w:val="center"/>
                </w:tcPr>
                <w:p w14:paraId="38264627">
                  <w:pPr>
                    <w:jc w:val="center"/>
                    <w:rPr>
                      <w:rFonts w:hint="default" w:ascii="Times New Roman" w:hAnsi="Times New Roman" w:eastAsia="宋体" w:cs="Times New Roman"/>
                      <w:color w:val="auto"/>
                      <w:highlight w:val="none"/>
                      <w:u w:val="none" w:color="auto"/>
                      <w:lang w:val="en-US" w:eastAsia="zh-CN"/>
                    </w:rPr>
                  </w:pPr>
                  <w:r>
                    <w:rPr>
                      <w:rFonts w:hint="default" w:ascii="Times New Roman" w:hAnsi="Times New Roman" w:eastAsia="宋体" w:cs="Times New Roman"/>
                      <w:color w:val="auto"/>
                      <w:highlight w:val="none"/>
                      <w:u w:val="none" w:color="auto"/>
                      <w:lang w:val="en-US" w:eastAsia="zh-CN"/>
                    </w:rPr>
                    <w:t>1</w:t>
                  </w:r>
                </w:p>
              </w:tc>
              <w:tc>
                <w:tcPr>
                  <w:tcW w:w="1633" w:type="dxa"/>
                  <w:tcBorders>
                    <w:tl2br w:val="nil"/>
                    <w:tr2bl w:val="nil"/>
                  </w:tcBorders>
                  <w:noWrap w:val="0"/>
                  <w:vAlign w:val="center"/>
                </w:tcPr>
                <w:p w14:paraId="574EE44E">
                  <w:pPr>
                    <w:jc w:val="center"/>
                    <w:rPr>
                      <w:rFonts w:hint="default" w:ascii="Times New Roman" w:hAnsi="Times New Roman" w:eastAsia="宋体" w:cs="Times New Roman"/>
                      <w:color w:val="auto"/>
                      <w:highlight w:val="none"/>
                      <w:u w:val="none" w:color="auto"/>
                      <w:lang w:val="en-US" w:eastAsia="zh-CN"/>
                    </w:rPr>
                  </w:pPr>
                  <w:r>
                    <w:rPr>
                      <w:rFonts w:hint="default" w:ascii="Times New Roman" w:hAnsi="Times New Roman" w:eastAsia="宋体" w:cs="Times New Roman"/>
                      <w:color w:val="auto"/>
                      <w:highlight w:val="none"/>
                      <w:u w:val="none" w:color="auto"/>
                    </w:rPr>
                    <w:t>100</w:t>
                  </w:r>
                </w:p>
              </w:tc>
              <w:tc>
                <w:tcPr>
                  <w:tcW w:w="1604" w:type="dxa"/>
                  <w:tcBorders>
                    <w:tl2br w:val="nil"/>
                    <w:tr2bl w:val="nil"/>
                  </w:tcBorders>
                  <w:noWrap w:val="0"/>
                  <w:vAlign w:val="center"/>
                </w:tcPr>
                <w:p w14:paraId="3D0C6A35">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0.01</w:t>
                  </w:r>
                </w:p>
              </w:tc>
            </w:tr>
            <w:tr w14:paraId="49A2D38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30" w:type="dxa"/>
                  <w:bottom w:w="0" w:type="dxa"/>
                  <w:right w:w="30" w:type="dxa"/>
                </w:tblCellMar>
              </w:tblPrEx>
              <w:trPr>
                <w:trHeight w:val="23" w:hRule="atLeast"/>
                <w:jc w:val="center"/>
              </w:trPr>
              <w:tc>
                <w:tcPr>
                  <w:tcW w:w="338" w:type="pct"/>
                  <w:tcBorders>
                    <w:tl2br w:val="nil"/>
                    <w:tr2bl w:val="nil"/>
                  </w:tcBorders>
                  <w:noWrap w:val="0"/>
                  <w:vAlign w:val="center"/>
                </w:tcPr>
                <w:p w14:paraId="3313F0E5">
                  <w:pPr>
                    <w:jc w:val="center"/>
                    <w:rPr>
                      <w:rFonts w:hint="default" w:ascii="Times New Roman" w:hAnsi="Times New Roman" w:eastAsia="宋体" w:cs="Times New Roman"/>
                      <w:color w:val="auto"/>
                      <w:highlight w:val="none"/>
                      <w:u w:val="none" w:color="auto"/>
                      <w:lang w:val="en-US" w:eastAsia="zh-CN"/>
                    </w:rPr>
                  </w:pPr>
                  <w:r>
                    <w:rPr>
                      <w:rFonts w:hint="default" w:ascii="Times New Roman" w:hAnsi="Times New Roman" w:eastAsia="宋体" w:cs="Times New Roman"/>
                      <w:color w:val="auto"/>
                      <w:highlight w:val="none"/>
                      <w:u w:val="none" w:color="auto"/>
                      <w:lang w:val="en-US" w:eastAsia="zh-CN"/>
                    </w:rPr>
                    <w:t>9</w:t>
                  </w:r>
                </w:p>
              </w:tc>
              <w:tc>
                <w:tcPr>
                  <w:tcW w:w="1058" w:type="pct"/>
                  <w:tcBorders>
                    <w:tl2br w:val="nil"/>
                    <w:tr2bl w:val="nil"/>
                  </w:tcBorders>
                  <w:shd w:val="clear" w:color="auto" w:fill="auto"/>
                  <w:noWrap w:val="0"/>
                  <w:vAlign w:val="center"/>
                </w:tcPr>
                <w:p w14:paraId="5C5AD847">
                  <w:pPr>
                    <w:jc w:val="center"/>
                    <w:rPr>
                      <w:rFonts w:hint="default" w:ascii="Times New Roman" w:hAnsi="Times New Roman" w:eastAsia="宋体" w:cs="Times New Roman"/>
                      <w:color w:val="auto"/>
                      <w:kern w:val="2"/>
                      <w:sz w:val="21"/>
                      <w:szCs w:val="24"/>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rPr>
                    <w:t>切削液</w:t>
                  </w:r>
                </w:p>
              </w:tc>
              <w:tc>
                <w:tcPr>
                  <w:tcW w:w="779" w:type="pct"/>
                  <w:vMerge w:val="continue"/>
                  <w:tcBorders>
                    <w:tl2br w:val="nil"/>
                    <w:tr2bl w:val="nil"/>
                  </w:tcBorders>
                  <w:noWrap w:val="0"/>
                  <w:vAlign w:val="center"/>
                </w:tcPr>
                <w:p w14:paraId="13E7F490">
                  <w:pPr>
                    <w:jc w:val="center"/>
                    <w:rPr>
                      <w:rFonts w:hint="default" w:ascii="Times New Roman" w:hAnsi="Times New Roman" w:eastAsia="宋体" w:cs="Times New Roman"/>
                      <w:color w:val="auto"/>
                      <w:highlight w:val="none"/>
                      <w:u w:val="none" w:color="auto"/>
                      <w:lang w:val="en-US" w:eastAsia="zh-CN"/>
                    </w:rPr>
                  </w:pPr>
                </w:p>
              </w:tc>
              <w:tc>
                <w:tcPr>
                  <w:tcW w:w="924" w:type="pct"/>
                  <w:tcBorders>
                    <w:tl2br w:val="nil"/>
                    <w:tr2bl w:val="nil"/>
                  </w:tcBorders>
                  <w:noWrap w:val="0"/>
                  <w:vAlign w:val="center"/>
                </w:tcPr>
                <w:p w14:paraId="5175515B">
                  <w:pPr>
                    <w:jc w:val="center"/>
                    <w:rPr>
                      <w:rFonts w:hint="default" w:ascii="Times New Roman" w:hAnsi="Times New Roman" w:eastAsia="宋体" w:cs="Times New Roman"/>
                      <w:color w:val="auto"/>
                      <w:highlight w:val="none"/>
                      <w:u w:val="none" w:color="auto"/>
                      <w:lang w:val="en-US" w:eastAsia="zh-CN"/>
                    </w:rPr>
                  </w:pPr>
                  <w:r>
                    <w:rPr>
                      <w:rFonts w:hint="default" w:ascii="Times New Roman" w:hAnsi="Times New Roman" w:eastAsia="宋体" w:cs="Times New Roman"/>
                      <w:color w:val="auto"/>
                      <w:highlight w:val="none"/>
                      <w:u w:val="none" w:color="auto"/>
                      <w:lang w:val="en-US" w:eastAsia="zh-CN"/>
                    </w:rPr>
                    <w:t>25</w:t>
                  </w:r>
                </w:p>
              </w:tc>
              <w:tc>
                <w:tcPr>
                  <w:tcW w:w="1633" w:type="dxa"/>
                  <w:tcBorders>
                    <w:tl2br w:val="nil"/>
                    <w:tr2bl w:val="nil"/>
                  </w:tcBorders>
                  <w:noWrap w:val="0"/>
                  <w:vAlign w:val="center"/>
                </w:tcPr>
                <w:p w14:paraId="2AA8DFBF">
                  <w:pPr>
                    <w:jc w:val="center"/>
                    <w:rPr>
                      <w:rFonts w:hint="default" w:ascii="Times New Roman" w:hAnsi="Times New Roman" w:eastAsia="宋体" w:cs="Times New Roman"/>
                      <w:color w:val="auto"/>
                      <w:highlight w:val="none"/>
                      <w:u w:val="none" w:color="auto"/>
                      <w:lang w:val="en-US" w:eastAsia="zh-CN"/>
                    </w:rPr>
                  </w:pPr>
                  <w:r>
                    <w:rPr>
                      <w:rFonts w:hint="default" w:ascii="Times New Roman" w:hAnsi="Times New Roman" w:eastAsia="宋体" w:cs="Times New Roman"/>
                      <w:color w:val="auto"/>
                      <w:highlight w:val="none"/>
                      <w:u w:val="none" w:color="auto"/>
                    </w:rPr>
                    <w:t>100</w:t>
                  </w:r>
                </w:p>
              </w:tc>
              <w:tc>
                <w:tcPr>
                  <w:tcW w:w="1604" w:type="dxa"/>
                  <w:tcBorders>
                    <w:tl2br w:val="nil"/>
                    <w:tr2bl w:val="nil"/>
                  </w:tcBorders>
                  <w:noWrap w:val="0"/>
                  <w:vAlign w:val="center"/>
                </w:tcPr>
                <w:p w14:paraId="7EBA7BBD">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0.25</w:t>
                  </w:r>
                </w:p>
              </w:tc>
            </w:tr>
            <w:tr w14:paraId="5050132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30" w:type="dxa"/>
                  <w:bottom w:w="0" w:type="dxa"/>
                  <w:right w:w="30" w:type="dxa"/>
                </w:tblCellMar>
              </w:tblPrEx>
              <w:trPr>
                <w:trHeight w:val="23" w:hRule="atLeast"/>
                <w:jc w:val="center"/>
              </w:trPr>
              <w:tc>
                <w:tcPr>
                  <w:tcW w:w="4058" w:type="pct"/>
                  <w:gridSpan w:val="5"/>
                  <w:tcBorders>
                    <w:tl2br w:val="nil"/>
                    <w:tr2bl w:val="nil"/>
                  </w:tcBorders>
                  <w:noWrap w:val="0"/>
                  <w:vAlign w:val="center"/>
                </w:tcPr>
                <w:p w14:paraId="7A822822">
                  <w:pPr>
                    <w:jc w:val="center"/>
                    <w:rPr>
                      <w:rFonts w:hint="default" w:ascii="Times New Roman" w:hAnsi="Times New Roman" w:eastAsia="宋体" w:cs="Times New Roman"/>
                      <w:b/>
                      <w:bCs/>
                      <w:color w:val="auto"/>
                      <w:highlight w:val="none"/>
                      <w:u w:val="none" w:color="auto"/>
                    </w:rPr>
                  </w:pPr>
                  <w:r>
                    <w:rPr>
                      <w:rFonts w:hint="default" w:ascii="Times New Roman" w:hAnsi="Times New Roman" w:eastAsia="宋体" w:cs="Times New Roman"/>
                      <w:b/>
                      <w:bCs/>
                      <w:color w:val="auto"/>
                      <w:highlight w:val="none"/>
                      <w:u w:val="none" w:color="auto"/>
                    </w:rPr>
                    <w:t>合计</w:t>
                  </w:r>
                </w:p>
              </w:tc>
              <w:tc>
                <w:tcPr>
                  <w:tcW w:w="1604" w:type="dxa"/>
                  <w:tcBorders>
                    <w:tl2br w:val="nil"/>
                    <w:tr2bl w:val="nil"/>
                  </w:tcBorders>
                  <w:noWrap w:val="0"/>
                  <w:vAlign w:val="center"/>
                </w:tcPr>
                <w:p w14:paraId="6074E939">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0.491044</w:t>
                  </w:r>
                </w:p>
              </w:tc>
            </w:tr>
            <w:tr w14:paraId="0D91AD9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30" w:type="dxa"/>
                  <w:bottom w:w="0" w:type="dxa"/>
                  <w:right w:w="30" w:type="dxa"/>
                </w:tblCellMar>
              </w:tblPrEx>
              <w:trPr>
                <w:trHeight w:val="23" w:hRule="atLeast"/>
                <w:jc w:val="center"/>
              </w:trPr>
              <w:tc>
                <w:tcPr>
                  <w:tcW w:w="5000" w:type="pct"/>
                  <w:gridSpan w:val="6"/>
                  <w:tcBorders>
                    <w:tl2br w:val="nil"/>
                    <w:tr2bl w:val="nil"/>
                  </w:tcBorders>
                  <w:noWrap w:val="0"/>
                  <w:vAlign w:val="center"/>
                </w:tcPr>
                <w:p w14:paraId="4C74D051">
                  <w:pP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注[1]：临界量Qi参照《建设项目环境风险评价技术导则》（HJ169-2018）表B.2危害水环境物质计；</w:t>
                  </w:r>
                </w:p>
              </w:tc>
            </w:tr>
          </w:tbl>
          <w:p w14:paraId="627BE8E7">
            <w:pPr>
              <w:pStyle w:val="67"/>
              <w:spacing w:line="360" w:lineRule="auto"/>
              <w:ind w:firstLine="480" w:firstLineChars="200"/>
              <w:jc w:val="left"/>
              <w:rPr>
                <w:rFonts w:hint="default" w:ascii="Times New Roman" w:hAnsi="Times New Roman" w:eastAsia="宋体" w:cs="Times New Roman"/>
                <w:color w:val="auto"/>
                <w:kern w:val="2"/>
                <w:sz w:val="24"/>
                <w:szCs w:val="24"/>
                <w:highlight w:val="none"/>
                <w:u w:val="none" w:color="auto"/>
              </w:rPr>
            </w:pPr>
            <w:r>
              <w:rPr>
                <w:rFonts w:hint="default" w:ascii="Times New Roman" w:hAnsi="Times New Roman" w:eastAsia="宋体" w:cs="Times New Roman"/>
                <w:color w:val="auto"/>
                <w:kern w:val="2"/>
                <w:sz w:val="24"/>
                <w:szCs w:val="24"/>
                <w:highlight w:val="none"/>
                <w:u w:val="none" w:color="auto"/>
              </w:rPr>
              <w:t>本项目</w:t>
            </w:r>
            <w:r>
              <w:rPr>
                <w:rFonts w:hint="default" w:ascii="Times New Roman" w:hAnsi="Times New Roman" w:eastAsia="宋体" w:cs="Times New Roman"/>
                <w:color w:val="auto"/>
                <w:kern w:val="2"/>
                <w:sz w:val="24"/>
                <w:szCs w:val="24"/>
                <w:highlight w:val="none"/>
                <w:u w:val="none" w:color="auto"/>
                <w:lang w:eastAsia="zh-CN"/>
              </w:rPr>
              <w:t>临港高新产业园区</w:t>
            </w:r>
            <w:r>
              <w:rPr>
                <w:rFonts w:hint="default" w:ascii="Times New Roman" w:hAnsi="Times New Roman" w:eastAsia="宋体" w:cs="Times New Roman"/>
                <w:color w:val="auto"/>
                <w:kern w:val="2"/>
                <w:sz w:val="24"/>
                <w:szCs w:val="24"/>
                <w:highlight w:val="none"/>
                <w:u w:val="none" w:color="auto"/>
              </w:rPr>
              <w:t>危险物质的数量与临界量比值Q=</w:t>
            </w:r>
            <w:r>
              <w:rPr>
                <w:rFonts w:hint="default" w:ascii="Times New Roman" w:hAnsi="Times New Roman" w:eastAsia="宋体" w:cs="Times New Roman"/>
                <w:color w:val="auto"/>
                <w:kern w:val="2"/>
                <w:sz w:val="24"/>
                <w:szCs w:val="24"/>
                <w:highlight w:val="none"/>
                <w:u w:val="none" w:color="auto"/>
                <w:lang w:eastAsia="zh-CN"/>
              </w:rPr>
              <w:t>0.</w:t>
            </w:r>
            <w:r>
              <w:rPr>
                <w:rFonts w:hint="default" w:ascii="Times New Roman" w:hAnsi="Times New Roman" w:eastAsia="宋体" w:cs="Times New Roman"/>
                <w:color w:val="auto"/>
                <w:kern w:val="2"/>
                <w:sz w:val="24"/>
                <w:szCs w:val="24"/>
                <w:highlight w:val="none"/>
                <w:u w:val="none" w:color="auto"/>
                <w:lang w:val="en-US" w:eastAsia="zh-CN"/>
              </w:rPr>
              <w:t>491044</w:t>
            </w:r>
            <w:r>
              <w:rPr>
                <w:rFonts w:hint="default" w:ascii="Times New Roman" w:hAnsi="Times New Roman" w:eastAsia="宋体" w:cs="Times New Roman"/>
                <w:color w:val="auto"/>
                <w:kern w:val="2"/>
                <w:sz w:val="24"/>
                <w:szCs w:val="24"/>
                <w:highlight w:val="none"/>
                <w:u w:val="none" w:color="auto"/>
              </w:rPr>
              <w:t>＜1，风险潜势为I。</w:t>
            </w:r>
          </w:p>
          <w:p w14:paraId="4865D017">
            <w:pPr>
              <w:tabs>
                <w:tab w:val="center" w:pos="4006"/>
              </w:tabs>
              <w:snapToGrid w:val="0"/>
              <w:spacing w:line="360" w:lineRule="auto"/>
              <w:ind w:firstLine="482" w:firstLineChars="200"/>
              <w:rPr>
                <w:rFonts w:hint="default" w:ascii="Times New Roman" w:hAnsi="Times New Roman" w:eastAsia="宋体" w:cs="Times New Roman"/>
                <w:b/>
                <w:bCs/>
                <w:color w:val="auto"/>
                <w:sz w:val="24"/>
                <w:highlight w:val="none"/>
                <w:u w:val="none" w:color="auto"/>
              </w:rPr>
            </w:pPr>
            <w:r>
              <w:rPr>
                <w:rFonts w:hint="default" w:ascii="Times New Roman" w:hAnsi="Times New Roman" w:eastAsia="宋体" w:cs="Times New Roman"/>
                <w:b/>
                <w:bCs/>
                <w:color w:val="auto"/>
                <w:sz w:val="24"/>
                <w:highlight w:val="none"/>
                <w:u w:val="none" w:color="auto"/>
              </w:rPr>
              <w:t>2、环境风险识别</w:t>
            </w:r>
          </w:p>
          <w:p w14:paraId="6F7DD52B">
            <w:pPr>
              <w:pStyle w:val="58"/>
              <w:ind w:firstLine="480"/>
              <w:rPr>
                <w:rFonts w:hint="default" w:ascii="Times New Roman" w:hAnsi="Times New Roman" w:eastAsia="宋体" w:cs="Times New Roman"/>
                <w:color w:val="auto"/>
                <w:szCs w:val="24"/>
                <w:highlight w:val="none"/>
                <w:u w:val="none" w:color="auto"/>
              </w:rPr>
            </w:pPr>
            <w:r>
              <w:rPr>
                <w:rFonts w:hint="default" w:ascii="Times New Roman" w:hAnsi="Times New Roman" w:eastAsia="宋体" w:cs="Times New Roman"/>
                <w:color w:val="auto"/>
                <w:szCs w:val="24"/>
                <w:highlight w:val="none"/>
                <w:u w:val="none" w:color="auto"/>
              </w:rPr>
              <w:t>本项目</w:t>
            </w:r>
            <w:r>
              <w:rPr>
                <w:rFonts w:hint="default" w:ascii="Times New Roman" w:hAnsi="Times New Roman" w:eastAsia="宋体" w:cs="Times New Roman"/>
                <w:color w:val="auto"/>
                <w:szCs w:val="24"/>
                <w:highlight w:val="none"/>
                <w:u w:val="none" w:color="auto"/>
                <w:lang w:eastAsia="zh-CN"/>
              </w:rPr>
              <w:t>临港高新产业园区</w:t>
            </w:r>
            <w:r>
              <w:rPr>
                <w:rFonts w:hint="default" w:ascii="Times New Roman" w:hAnsi="Times New Roman" w:eastAsia="宋体" w:cs="Times New Roman"/>
                <w:color w:val="auto"/>
                <w:szCs w:val="24"/>
                <w:highlight w:val="none"/>
                <w:u w:val="none" w:color="auto"/>
              </w:rPr>
              <w:t>发生事故风险的过程包括生产使用过程，生产过程中建议实行安全检查制度，对各类安全设施，消防器材进行各种日常的、定期的、专业的防火安全检查，并将发现的问题定人、限期落实整改。</w:t>
            </w:r>
          </w:p>
          <w:p w14:paraId="60F95750">
            <w:pPr>
              <w:widowControl/>
              <w:spacing w:line="360" w:lineRule="auto"/>
              <w:ind w:firstLine="480" w:firstLineChars="200"/>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本项目</w:t>
            </w:r>
            <w:r>
              <w:rPr>
                <w:rFonts w:hint="default" w:ascii="Times New Roman" w:hAnsi="Times New Roman" w:eastAsia="宋体" w:cs="Times New Roman"/>
                <w:color w:val="auto"/>
                <w:sz w:val="24"/>
                <w:szCs w:val="24"/>
                <w:highlight w:val="none"/>
                <w:u w:val="none" w:color="auto"/>
                <w:lang w:eastAsia="zh-CN"/>
              </w:rPr>
              <w:t>临港高新产业园区</w:t>
            </w:r>
            <w:r>
              <w:rPr>
                <w:rFonts w:hint="default" w:ascii="Times New Roman" w:hAnsi="Times New Roman" w:eastAsia="宋体" w:cs="Times New Roman"/>
                <w:color w:val="auto"/>
                <w:sz w:val="24"/>
                <w:szCs w:val="24"/>
                <w:highlight w:val="none"/>
                <w:u w:val="none" w:color="auto"/>
              </w:rPr>
              <w:t>的环境风险有：①项目营运期</w:t>
            </w:r>
            <w:r>
              <w:rPr>
                <w:rFonts w:hint="default" w:ascii="Times New Roman" w:hAnsi="Times New Roman" w:eastAsia="宋体" w:cs="Times New Roman"/>
                <w:color w:val="auto"/>
                <w:sz w:val="24"/>
                <w:szCs w:val="24"/>
                <w:highlight w:val="none"/>
                <w:u w:val="none" w:color="auto"/>
                <w:lang w:eastAsia="zh-CN"/>
              </w:rPr>
              <w:t>浸渗剂、缓蚀剂、清洗剂、切削液</w:t>
            </w:r>
            <w:r>
              <w:rPr>
                <w:rFonts w:hint="default" w:ascii="Times New Roman" w:hAnsi="Times New Roman" w:eastAsia="宋体" w:cs="Times New Roman"/>
                <w:color w:val="auto"/>
                <w:sz w:val="24"/>
                <w:szCs w:val="24"/>
                <w:highlight w:val="none"/>
                <w:u w:val="none" w:color="auto"/>
              </w:rPr>
              <w:t>、危险废物等发生事故泄漏到环境中，如随雨水管网泄漏至外环境，可能会污染地表水环境、土壤环境；②意外导致物料引发火灾事故。</w:t>
            </w:r>
          </w:p>
          <w:p w14:paraId="3A5B7C5F">
            <w:pPr>
              <w:pStyle w:val="58"/>
              <w:ind w:firstLine="482"/>
              <w:rPr>
                <w:rFonts w:hint="default" w:ascii="Times New Roman" w:hAnsi="Times New Roman" w:eastAsia="宋体" w:cs="Times New Roman"/>
                <w:b/>
                <w:bCs/>
                <w:color w:val="auto"/>
                <w:szCs w:val="24"/>
                <w:highlight w:val="none"/>
                <w:u w:val="none" w:color="auto"/>
              </w:rPr>
            </w:pPr>
            <w:r>
              <w:rPr>
                <w:rFonts w:hint="default" w:ascii="Times New Roman" w:hAnsi="Times New Roman" w:eastAsia="宋体" w:cs="Times New Roman"/>
                <w:b/>
                <w:bCs/>
                <w:color w:val="auto"/>
                <w:szCs w:val="24"/>
                <w:highlight w:val="none"/>
                <w:u w:val="none" w:color="auto"/>
              </w:rPr>
              <w:t>3、环境风险分析</w:t>
            </w:r>
          </w:p>
          <w:p w14:paraId="732DE72D">
            <w:pPr>
              <w:widowControl/>
              <w:spacing w:line="360" w:lineRule="auto"/>
              <w:ind w:firstLine="480" w:firstLineChars="200"/>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①</w:t>
            </w:r>
            <w:r>
              <w:rPr>
                <w:rFonts w:hint="default" w:ascii="Times New Roman" w:hAnsi="Times New Roman" w:eastAsia="宋体" w:cs="Times New Roman"/>
                <w:color w:val="auto"/>
                <w:sz w:val="24"/>
                <w:szCs w:val="24"/>
                <w:highlight w:val="none"/>
                <w:u w:val="none" w:color="auto"/>
                <w:lang w:eastAsia="zh-CN"/>
              </w:rPr>
              <w:t>浸渗剂、缓蚀剂、清洗剂、切削液</w:t>
            </w:r>
            <w:r>
              <w:rPr>
                <w:rFonts w:hint="default" w:ascii="Times New Roman" w:hAnsi="Times New Roman" w:eastAsia="宋体" w:cs="Times New Roman"/>
                <w:color w:val="auto"/>
                <w:sz w:val="24"/>
                <w:szCs w:val="24"/>
                <w:highlight w:val="none"/>
                <w:u w:val="none" w:color="auto"/>
              </w:rPr>
              <w:t>、危险废物泄漏</w:t>
            </w:r>
          </w:p>
          <w:p w14:paraId="600F46BA">
            <w:pPr>
              <w:widowControl/>
              <w:spacing w:line="360" w:lineRule="auto"/>
              <w:ind w:firstLine="480" w:firstLineChars="200"/>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lang w:eastAsia="zh-CN"/>
              </w:rPr>
              <w:t>浸渗剂、缓蚀剂、清洗剂、切削液</w:t>
            </w:r>
            <w:r>
              <w:rPr>
                <w:rFonts w:hint="default" w:ascii="Times New Roman" w:hAnsi="Times New Roman" w:eastAsia="宋体" w:cs="Times New Roman"/>
                <w:color w:val="auto"/>
                <w:sz w:val="24"/>
                <w:szCs w:val="24"/>
                <w:highlight w:val="none"/>
                <w:u w:val="none" w:color="auto"/>
              </w:rPr>
              <w:t>等物料、危险废物暂存间发生渗漏，随意堆放、盛装容器破裂或人为操作失误导致装卸或储存过程发生泄漏。</w:t>
            </w:r>
          </w:p>
          <w:p w14:paraId="3C500CC0">
            <w:pPr>
              <w:widowControl/>
              <w:spacing w:line="360" w:lineRule="auto"/>
              <w:ind w:firstLine="480" w:firstLineChars="200"/>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企业</w:t>
            </w:r>
            <w:r>
              <w:rPr>
                <w:rFonts w:hint="default" w:ascii="Times New Roman" w:hAnsi="Times New Roman" w:eastAsia="宋体" w:cs="Times New Roman"/>
                <w:color w:val="auto"/>
                <w:sz w:val="24"/>
                <w:szCs w:val="24"/>
                <w:highlight w:val="none"/>
                <w:u w:val="none" w:color="auto"/>
                <w:lang w:eastAsia="zh-CN"/>
              </w:rPr>
              <w:t>临港高新产业园区</w:t>
            </w:r>
            <w:r>
              <w:rPr>
                <w:rFonts w:hint="default" w:ascii="Times New Roman" w:hAnsi="Times New Roman" w:eastAsia="宋体" w:cs="Times New Roman"/>
                <w:color w:val="auto"/>
                <w:sz w:val="24"/>
                <w:szCs w:val="24"/>
                <w:highlight w:val="none"/>
                <w:u w:val="none" w:color="auto"/>
              </w:rPr>
              <w:t>产生的危险废物量不大、物料最大暂存量不构成重大风险源，但本次要求企业按相关规定设置专门的危险废物暂存场所，依据相关标准要求进行建设，收集的危险废物必须委托有资质单位专门收运和处置。原料储存场所必须采取硬底化处理以及防风、防雨、防晒及防渗漏措施。因此发生泄漏对环境产生污染的可能性不大。</w:t>
            </w:r>
          </w:p>
          <w:p w14:paraId="54F78EE9">
            <w:pPr>
              <w:widowControl/>
              <w:spacing w:line="360" w:lineRule="auto"/>
              <w:ind w:firstLine="480" w:firstLineChars="200"/>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②火灾爆炸次生污染</w:t>
            </w:r>
          </w:p>
          <w:p w14:paraId="221CAE68">
            <w:pPr>
              <w:widowControl/>
              <w:spacing w:line="360" w:lineRule="auto"/>
              <w:ind w:firstLine="480" w:firstLineChars="200"/>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火灾爆炸还可能引燃周围的各种材料，如原材料、产品、沙发、纸张等。一旦发生火灾事故，有毒有害气体可通过热辐射、烟雾及冲击波等形式扩散至空气中，泄漏液体渗透到土壤中，会造成财产损失和人员伤亡，以及水环境、土壤环境的污染。</w:t>
            </w:r>
          </w:p>
          <w:p w14:paraId="024EF96A">
            <w:pPr>
              <w:widowControl/>
              <w:spacing w:line="360" w:lineRule="auto"/>
              <w:ind w:firstLine="482" w:firstLineChars="200"/>
              <w:rPr>
                <w:rFonts w:hint="default" w:ascii="Times New Roman" w:hAnsi="Times New Roman" w:eastAsia="宋体" w:cs="Times New Roman"/>
                <w:b/>
                <w:bCs/>
                <w:color w:val="auto"/>
                <w:sz w:val="24"/>
                <w:highlight w:val="none"/>
                <w:u w:val="none" w:color="auto"/>
              </w:rPr>
            </w:pPr>
            <w:r>
              <w:rPr>
                <w:rFonts w:hint="default" w:ascii="Times New Roman" w:hAnsi="Times New Roman" w:eastAsia="宋体" w:cs="Times New Roman"/>
                <w:b/>
                <w:bCs/>
                <w:color w:val="auto"/>
                <w:sz w:val="24"/>
                <w:highlight w:val="none"/>
                <w:u w:val="none" w:color="auto"/>
              </w:rPr>
              <w:t>4、环境风险防范措施</w:t>
            </w:r>
          </w:p>
          <w:p w14:paraId="260B5BF6">
            <w:pPr>
              <w:widowControl/>
              <w:spacing w:line="360" w:lineRule="auto"/>
              <w:ind w:firstLine="480" w:firstLineChars="200"/>
              <w:rPr>
                <w:rFonts w:hint="default" w:ascii="Times New Roman" w:hAnsi="Times New Roman" w:eastAsia="宋体" w:cs="Times New Roman"/>
                <w:color w:val="auto"/>
                <w:sz w:val="24"/>
                <w:highlight w:val="none"/>
                <w:u w:val="none" w:color="auto"/>
              </w:rPr>
            </w:pPr>
            <w:r>
              <w:rPr>
                <w:rFonts w:hint="default" w:ascii="Times New Roman" w:hAnsi="Times New Roman" w:eastAsia="宋体" w:cs="Times New Roman"/>
                <w:color w:val="auto"/>
                <w:sz w:val="24"/>
                <w:highlight w:val="none"/>
                <w:u w:val="none" w:color="auto"/>
              </w:rPr>
              <w:t>①火灾防范措施</w:t>
            </w:r>
          </w:p>
          <w:p w14:paraId="60F1A35D">
            <w:pPr>
              <w:widowControl/>
              <w:spacing w:line="360" w:lineRule="auto"/>
              <w:ind w:firstLine="480" w:firstLineChars="200"/>
              <w:rPr>
                <w:rFonts w:hint="default" w:ascii="Times New Roman" w:hAnsi="Times New Roman" w:eastAsia="宋体" w:cs="Times New Roman"/>
                <w:color w:val="auto"/>
                <w:sz w:val="24"/>
                <w:highlight w:val="none"/>
                <w:u w:val="none" w:color="auto"/>
              </w:rPr>
            </w:pPr>
            <w:r>
              <w:rPr>
                <w:rFonts w:hint="default" w:ascii="Times New Roman" w:hAnsi="Times New Roman" w:eastAsia="宋体" w:cs="Times New Roman"/>
                <w:color w:val="auto"/>
                <w:sz w:val="24"/>
                <w:highlight w:val="none"/>
                <w:u w:val="none" w:color="auto"/>
              </w:rPr>
              <w:t>在危险废物、</w:t>
            </w:r>
            <w:r>
              <w:rPr>
                <w:rFonts w:hint="default" w:ascii="Times New Roman" w:hAnsi="Times New Roman" w:eastAsia="宋体" w:cs="Times New Roman"/>
                <w:color w:val="auto"/>
                <w:kern w:val="0"/>
                <w:sz w:val="24"/>
                <w:highlight w:val="none"/>
                <w:u w:val="none" w:color="auto"/>
              </w:rPr>
              <w:t>生产车间</w:t>
            </w:r>
            <w:r>
              <w:rPr>
                <w:rFonts w:hint="default" w:ascii="Times New Roman" w:hAnsi="Times New Roman" w:eastAsia="宋体" w:cs="Times New Roman"/>
                <w:color w:val="auto"/>
                <w:sz w:val="24"/>
                <w:highlight w:val="none"/>
                <w:u w:val="none" w:color="auto"/>
              </w:rPr>
              <w:t>、办公室等均应设置消防设施，并指定专人负责，厂房内布置应严格执行国家有关防火防爆等规范，并按要求设置消防通道。厂区内严禁吸烟，生产区内禁止出现明火，增强安全意识，制定各项环保安全制度。制定完善的安全、防火制度，严格落实各项防火和用电安全措施，并加强职工的安全生产教育，定期向职工传授消防灭火知识。</w:t>
            </w:r>
          </w:p>
          <w:p w14:paraId="1221DE59">
            <w:pPr>
              <w:spacing w:line="360" w:lineRule="auto"/>
              <w:ind w:firstLine="480" w:firstLineChars="200"/>
              <w:rPr>
                <w:rFonts w:hint="default" w:ascii="Times New Roman" w:hAnsi="Times New Roman" w:eastAsia="宋体" w:cs="Times New Roman"/>
                <w:color w:val="auto"/>
                <w:sz w:val="24"/>
                <w:highlight w:val="none"/>
                <w:u w:val="none" w:color="auto"/>
              </w:rPr>
            </w:pPr>
            <w:r>
              <w:rPr>
                <w:rFonts w:hint="default" w:ascii="Times New Roman" w:hAnsi="Times New Roman" w:eastAsia="宋体" w:cs="Times New Roman"/>
                <w:color w:val="auto"/>
                <w:sz w:val="24"/>
                <w:highlight w:val="none"/>
                <w:u w:val="none" w:color="auto"/>
              </w:rPr>
              <w:t>②</w:t>
            </w:r>
            <w:r>
              <w:rPr>
                <w:rFonts w:hint="default" w:ascii="Times New Roman" w:hAnsi="Times New Roman" w:eastAsia="宋体" w:cs="Times New Roman"/>
                <w:color w:val="auto"/>
                <w:sz w:val="24"/>
                <w:highlight w:val="none"/>
                <w:u w:val="none" w:color="auto"/>
                <w:lang w:eastAsia="zh-CN"/>
              </w:rPr>
              <w:t>浸渗剂、缓蚀剂、清洗剂、切削液</w:t>
            </w:r>
            <w:r>
              <w:rPr>
                <w:rFonts w:hint="default" w:ascii="Times New Roman" w:hAnsi="Times New Roman" w:eastAsia="宋体" w:cs="Times New Roman"/>
                <w:color w:val="auto"/>
                <w:sz w:val="24"/>
                <w:highlight w:val="none"/>
                <w:u w:val="none" w:color="auto"/>
              </w:rPr>
              <w:t>、危险废物等泄漏防范措施</w:t>
            </w:r>
          </w:p>
          <w:p w14:paraId="1F8CB05C">
            <w:pPr>
              <w:widowControl/>
              <w:spacing w:line="360" w:lineRule="auto"/>
              <w:ind w:firstLine="480" w:firstLineChars="200"/>
              <w:rPr>
                <w:rFonts w:hint="default" w:ascii="Times New Roman" w:hAnsi="Times New Roman" w:eastAsia="宋体" w:cs="Times New Roman"/>
                <w:color w:val="auto"/>
                <w:sz w:val="24"/>
                <w:highlight w:val="none"/>
                <w:u w:val="none" w:color="auto"/>
              </w:rPr>
            </w:pPr>
            <w:r>
              <w:rPr>
                <w:rFonts w:hint="default" w:ascii="Times New Roman" w:hAnsi="Times New Roman" w:eastAsia="宋体" w:cs="Times New Roman"/>
                <w:color w:val="auto"/>
                <w:sz w:val="24"/>
                <w:highlight w:val="none"/>
                <w:u w:val="none" w:color="auto"/>
              </w:rPr>
              <w:t>本项目</w:t>
            </w:r>
            <w:r>
              <w:rPr>
                <w:rFonts w:hint="default" w:ascii="Times New Roman" w:hAnsi="Times New Roman" w:eastAsia="宋体" w:cs="Times New Roman"/>
                <w:color w:val="auto"/>
                <w:sz w:val="24"/>
                <w:szCs w:val="24"/>
                <w:highlight w:val="none"/>
                <w:u w:val="none" w:color="auto"/>
                <w:lang w:eastAsia="zh-CN"/>
              </w:rPr>
              <w:t>临港高新产业园区</w:t>
            </w:r>
            <w:r>
              <w:rPr>
                <w:rFonts w:hint="default" w:ascii="Times New Roman" w:hAnsi="Times New Roman" w:eastAsia="宋体" w:cs="Times New Roman"/>
                <w:color w:val="auto"/>
                <w:sz w:val="24"/>
                <w:highlight w:val="none"/>
                <w:u w:val="none" w:color="auto"/>
              </w:rPr>
              <w:t>所涉及的</w:t>
            </w:r>
            <w:r>
              <w:rPr>
                <w:rFonts w:hint="default" w:ascii="Times New Roman" w:hAnsi="Times New Roman" w:eastAsia="宋体" w:cs="Times New Roman"/>
                <w:color w:val="auto"/>
                <w:sz w:val="24"/>
                <w:highlight w:val="none"/>
                <w:u w:val="none" w:color="auto"/>
                <w:lang w:eastAsia="zh-CN"/>
              </w:rPr>
              <w:t>浸渗剂、缓蚀剂、清洗剂、切削液</w:t>
            </w:r>
            <w:r>
              <w:rPr>
                <w:rFonts w:hint="default" w:ascii="Times New Roman" w:hAnsi="Times New Roman" w:eastAsia="宋体" w:cs="Times New Roman"/>
                <w:color w:val="auto"/>
                <w:sz w:val="24"/>
                <w:highlight w:val="none"/>
                <w:u w:val="none" w:color="auto"/>
              </w:rPr>
              <w:t>、危险废物等风险物质均应密封储存于密闭容器中。</w:t>
            </w:r>
            <w:r>
              <w:rPr>
                <w:rFonts w:hint="default" w:ascii="Times New Roman" w:hAnsi="Times New Roman" w:eastAsia="宋体" w:cs="Times New Roman"/>
                <w:color w:val="auto"/>
                <w:sz w:val="24"/>
                <w:szCs w:val="24"/>
                <w:highlight w:val="none"/>
                <w:u w:val="none" w:color="auto"/>
                <w:lang w:eastAsia="zh-CN"/>
              </w:rPr>
              <w:t>临港高新产业园区</w:t>
            </w:r>
            <w:r>
              <w:rPr>
                <w:rFonts w:hint="default" w:ascii="Times New Roman" w:hAnsi="Times New Roman" w:eastAsia="宋体" w:cs="Times New Roman"/>
                <w:color w:val="auto"/>
                <w:sz w:val="24"/>
                <w:highlight w:val="none"/>
                <w:u w:val="none" w:color="auto"/>
              </w:rPr>
              <w:t>生产厂房中涉及使用</w:t>
            </w:r>
            <w:r>
              <w:rPr>
                <w:rFonts w:hint="default" w:ascii="Times New Roman" w:hAnsi="Times New Roman" w:eastAsia="宋体" w:cs="Times New Roman"/>
                <w:color w:val="auto"/>
                <w:sz w:val="24"/>
                <w:highlight w:val="none"/>
                <w:u w:val="none" w:color="auto"/>
                <w:lang w:eastAsia="zh-CN"/>
              </w:rPr>
              <w:t>浸渗剂、缓蚀剂、清洗剂、切削液</w:t>
            </w:r>
            <w:r>
              <w:rPr>
                <w:rFonts w:hint="default" w:ascii="Times New Roman" w:hAnsi="Times New Roman" w:eastAsia="宋体" w:cs="Times New Roman"/>
                <w:color w:val="auto"/>
                <w:sz w:val="24"/>
                <w:highlight w:val="none"/>
                <w:u w:val="none" w:color="auto"/>
              </w:rPr>
              <w:t>等的点位地面进行防渗处理或采用托盘收集，裙脚与地面之间须无缝处理，以确保减轻地下水及土壤的影响。项目</w:t>
            </w:r>
            <w:r>
              <w:rPr>
                <w:rFonts w:hint="default" w:ascii="Times New Roman" w:hAnsi="Times New Roman" w:eastAsia="宋体" w:cs="Times New Roman"/>
                <w:color w:val="auto"/>
                <w:sz w:val="24"/>
                <w:szCs w:val="24"/>
                <w:highlight w:val="none"/>
                <w:u w:val="none" w:color="auto"/>
                <w:lang w:eastAsia="zh-CN"/>
              </w:rPr>
              <w:t>临港高新产业园区</w:t>
            </w:r>
            <w:r>
              <w:rPr>
                <w:rFonts w:hint="default" w:ascii="Times New Roman" w:hAnsi="Times New Roman" w:eastAsia="宋体" w:cs="Times New Roman"/>
                <w:color w:val="auto"/>
                <w:sz w:val="24"/>
                <w:highlight w:val="none"/>
                <w:u w:val="none" w:color="auto"/>
              </w:rPr>
              <w:t>使用</w:t>
            </w:r>
            <w:r>
              <w:rPr>
                <w:rFonts w:hint="default" w:ascii="Times New Roman" w:hAnsi="Times New Roman" w:eastAsia="宋体" w:cs="Times New Roman"/>
                <w:color w:val="auto"/>
                <w:sz w:val="24"/>
                <w:highlight w:val="none"/>
                <w:u w:val="none" w:color="auto"/>
                <w:lang w:eastAsia="zh-CN"/>
              </w:rPr>
              <w:t>浸渗剂、缓蚀剂、清洗剂、切削液</w:t>
            </w:r>
            <w:r>
              <w:rPr>
                <w:rFonts w:hint="default" w:ascii="Times New Roman" w:hAnsi="Times New Roman" w:eastAsia="宋体" w:cs="Times New Roman"/>
                <w:color w:val="auto"/>
                <w:sz w:val="24"/>
                <w:highlight w:val="none"/>
                <w:u w:val="none" w:color="auto"/>
              </w:rPr>
              <w:t>等物料时应按需进行购买和使用，使用完成后产生的危废立即转移至危废暂存间，不得在项目生产厂房内贮存，避免导致泄漏事故的发生。</w:t>
            </w:r>
          </w:p>
          <w:p w14:paraId="695C7357">
            <w:pPr>
              <w:widowControl/>
              <w:spacing w:line="360" w:lineRule="auto"/>
              <w:ind w:firstLine="480" w:firstLineChars="200"/>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sz w:val="24"/>
                <w:highlight w:val="none"/>
                <w:u w:val="none" w:color="auto"/>
              </w:rPr>
              <w:t>③</w:t>
            </w:r>
            <w:r>
              <w:rPr>
                <w:rFonts w:hint="default" w:ascii="Times New Roman" w:hAnsi="Times New Roman" w:eastAsia="宋体" w:cs="Times New Roman"/>
                <w:color w:val="auto"/>
                <w:sz w:val="24"/>
                <w:szCs w:val="32"/>
                <w:highlight w:val="none"/>
                <w:u w:val="none" w:color="auto"/>
              </w:rPr>
              <w:t>应急措施</w:t>
            </w:r>
          </w:p>
          <w:p w14:paraId="34958F5B">
            <w:pPr>
              <w:spacing w:line="360" w:lineRule="auto"/>
              <w:ind w:firstLine="480" w:firstLineChars="200"/>
              <w:rPr>
                <w:rFonts w:hint="default" w:ascii="Times New Roman" w:hAnsi="Times New Roman" w:eastAsia="宋体" w:cs="Times New Roman"/>
                <w:bCs/>
                <w:color w:val="auto"/>
                <w:sz w:val="24"/>
                <w:highlight w:val="none"/>
                <w:u w:val="none" w:color="auto"/>
                <w:lang w:eastAsia="zh-TW"/>
              </w:rPr>
            </w:pPr>
            <w:r>
              <w:rPr>
                <w:rFonts w:hint="default" w:ascii="Times New Roman" w:hAnsi="Times New Roman" w:eastAsia="宋体" w:cs="Times New Roman"/>
                <w:bCs/>
                <w:color w:val="auto"/>
                <w:sz w:val="24"/>
                <w:highlight w:val="none"/>
                <w:u w:val="none" w:color="auto"/>
              </w:rPr>
              <w:t>开展应急预案编制，依据本项目</w:t>
            </w:r>
            <w:r>
              <w:rPr>
                <w:rFonts w:hint="default" w:ascii="Times New Roman" w:hAnsi="Times New Roman" w:eastAsia="宋体" w:cs="Times New Roman"/>
                <w:color w:val="auto"/>
                <w:sz w:val="24"/>
                <w:szCs w:val="24"/>
                <w:highlight w:val="none"/>
                <w:u w:val="none" w:color="auto"/>
                <w:lang w:eastAsia="zh-CN"/>
              </w:rPr>
              <w:t>临港高新产业园区</w:t>
            </w:r>
            <w:r>
              <w:rPr>
                <w:rFonts w:hint="default" w:ascii="Times New Roman" w:hAnsi="Times New Roman" w:eastAsia="宋体" w:cs="Times New Roman"/>
                <w:bCs/>
                <w:color w:val="auto"/>
                <w:sz w:val="24"/>
                <w:highlight w:val="none"/>
                <w:u w:val="none" w:color="auto"/>
              </w:rPr>
              <w:t>实施情况制定完善的应急体系，其中</w:t>
            </w:r>
            <w:r>
              <w:rPr>
                <w:rFonts w:hint="default" w:ascii="Times New Roman" w:hAnsi="Times New Roman" w:eastAsia="宋体" w:cs="Times New Roman"/>
                <w:bCs/>
                <w:color w:val="auto"/>
                <w:sz w:val="24"/>
                <w:highlight w:val="none"/>
                <w:u w:val="none" w:color="auto"/>
                <w:lang w:eastAsia="zh-TW"/>
              </w:rPr>
              <w:t>突发环境事件应急预案至少应包括预案适用范围、环境事件分类与分级、组织机构与职责、监控和预警、应急响应、应急保障、善后处置、预案管理与演练等内容。企业突发环境事件应急预案应体现分级响应、区域联动的原则，与地方政府突发环境事件应急预案相衔接，明确分级响应程序。</w:t>
            </w:r>
          </w:p>
          <w:p w14:paraId="6D74F87C">
            <w:pPr>
              <w:spacing w:line="360" w:lineRule="auto"/>
              <w:ind w:firstLine="480" w:firstLineChars="200"/>
              <w:rPr>
                <w:rFonts w:hint="default" w:ascii="Times New Roman" w:hAnsi="Times New Roman" w:eastAsia="宋体" w:cs="Times New Roman"/>
                <w:b/>
                <w:bCs/>
                <w:color w:val="auto"/>
                <w:highlight w:val="none"/>
                <w:u w:val="none" w:color="auto"/>
              </w:rPr>
            </w:pPr>
            <w:r>
              <w:rPr>
                <w:rFonts w:hint="default" w:ascii="Times New Roman" w:hAnsi="Times New Roman" w:eastAsia="宋体" w:cs="Times New Roman"/>
                <w:bCs/>
                <w:color w:val="auto"/>
                <w:sz w:val="24"/>
                <w:highlight w:val="none"/>
                <w:u w:val="none" w:color="auto"/>
                <w:lang w:eastAsia="zh-TW"/>
              </w:rPr>
              <w:t>在项目建成后，企业应根据厂区内实际情况，及时</w:t>
            </w:r>
            <w:r>
              <w:rPr>
                <w:rFonts w:hint="default" w:ascii="Times New Roman" w:hAnsi="Times New Roman" w:eastAsia="宋体" w:cs="Times New Roman"/>
                <w:bCs/>
                <w:color w:val="auto"/>
                <w:sz w:val="24"/>
                <w:highlight w:val="none"/>
                <w:u w:val="none" w:color="auto"/>
              </w:rPr>
              <w:t>编制</w:t>
            </w:r>
            <w:r>
              <w:rPr>
                <w:rFonts w:hint="default" w:ascii="Times New Roman" w:hAnsi="Times New Roman" w:eastAsia="宋体" w:cs="Times New Roman"/>
                <w:bCs/>
                <w:color w:val="auto"/>
                <w:sz w:val="24"/>
                <w:highlight w:val="none"/>
                <w:u w:val="none" w:color="auto"/>
                <w:lang w:eastAsia="zh-TW"/>
              </w:rPr>
              <w:t>公司突发事件环境应急预案，并报环保部门备案，定期按照预案要求组织演练。</w:t>
            </w:r>
          </w:p>
          <w:p w14:paraId="22C21F30">
            <w:pPr>
              <w:pStyle w:val="58"/>
              <w:ind w:firstLine="482"/>
              <w:rPr>
                <w:rFonts w:hint="default" w:ascii="Times New Roman" w:hAnsi="Times New Roman" w:eastAsia="宋体" w:cs="Times New Roman"/>
                <w:b/>
                <w:bCs/>
                <w:color w:val="auto"/>
                <w:highlight w:val="none"/>
                <w:u w:val="none" w:color="auto"/>
              </w:rPr>
            </w:pPr>
            <w:r>
              <w:rPr>
                <w:rFonts w:hint="default" w:ascii="Times New Roman" w:hAnsi="Times New Roman" w:eastAsia="宋体" w:cs="Times New Roman"/>
                <w:b/>
                <w:bCs/>
                <w:color w:val="auto"/>
                <w:highlight w:val="none"/>
                <w:u w:val="none" w:color="auto"/>
              </w:rPr>
              <w:t>5、分析结论</w:t>
            </w:r>
          </w:p>
          <w:p w14:paraId="2F3400C8">
            <w:pPr>
              <w:pStyle w:val="58"/>
              <w:ind w:firstLine="480"/>
              <w:rPr>
                <w:rFonts w:hint="default" w:ascii="Times New Roman" w:hAnsi="Times New Roman" w:eastAsia="宋体" w:cs="Times New Roman"/>
                <w:b/>
                <w:color w:val="auto"/>
                <w:highlight w:val="none"/>
                <w:u w:val="none" w:color="auto"/>
              </w:rPr>
            </w:pPr>
            <w:r>
              <w:rPr>
                <w:rFonts w:hint="default" w:ascii="Times New Roman" w:hAnsi="Times New Roman" w:eastAsia="宋体" w:cs="Times New Roman"/>
                <w:color w:val="auto"/>
                <w:highlight w:val="none"/>
                <w:u w:val="none" w:color="auto"/>
              </w:rPr>
              <w:t>本项目</w:t>
            </w:r>
            <w:r>
              <w:rPr>
                <w:rFonts w:hint="default" w:ascii="Times New Roman" w:hAnsi="Times New Roman" w:eastAsia="宋体" w:cs="Times New Roman"/>
                <w:color w:val="auto"/>
                <w:highlight w:val="none"/>
                <w:u w:val="none" w:color="auto"/>
                <w:lang w:eastAsia="zh-CN"/>
              </w:rPr>
              <w:t>临港高新产业园区</w:t>
            </w:r>
            <w:r>
              <w:rPr>
                <w:rFonts w:hint="default" w:ascii="Times New Roman" w:hAnsi="Times New Roman" w:eastAsia="宋体" w:cs="Times New Roman"/>
                <w:color w:val="auto"/>
                <w:highlight w:val="none"/>
                <w:u w:val="none" w:color="auto"/>
              </w:rPr>
              <w:t>环境风险潜势为</w:t>
            </w:r>
            <w:r>
              <w:rPr>
                <w:rFonts w:hint="default" w:ascii="Times New Roman" w:hAnsi="Times New Roman" w:eastAsia="宋体" w:cs="Times New Roman"/>
                <w:color w:val="auto"/>
                <w:highlight w:val="none"/>
                <w:u w:val="none" w:color="auto"/>
              </w:rPr>
              <w:fldChar w:fldCharType="begin"/>
            </w:r>
            <w:r>
              <w:rPr>
                <w:rFonts w:hint="default" w:ascii="Times New Roman" w:hAnsi="Times New Roman" w:eastAsia="宋体" w:cs="Times New Roman"/>
                <w:color w:val="auto"/>
                <w:highlight w:val="none"/>
                <w:u w:val="none" w:color="auto"/>
              </w:rPr>
              <w:instrText xml:space="preserve"> = 1 \* ROMAN </w:instrText>
            </w:r>
            <w:r>
              <w:rPr>
                <w:rFonts w:hint="default" w:ascii="Times New Roman" w:hAnsi="Times New Roman" w:eastAsia="宋体" w:cs="Times New Roman"/>
                <w:color w:val="auto"/>
                <w:highlight w:val="none"/>
                <w:u w:val="none" w:color="auto"/>
              </w:rPr>
              <w:fldChar w:fldCharType="separate"/>
            </w:r>
            <w:r>
              <w:rPr>
                <w:rFonts w:hint="default" w:ascii="Times New Roman" w:hAnsi="Times New Roman" w:eastAsia="宋体" w:cs="Times New Roman"/>
                <w:color w:val="auto"/>
                <w:highlight w:val="none"/>
                <w:u w:val="none" w:color="auto"/>
              </w:rPr>
              <w:t>I</w:t>
            </w:r>
            <w:r>
              <w:rPr>
                <w:rFonts w:hint="default" w:ascii="Times New Roman" w:hAnsi="Times New Roman" w:eastAsia="宋体" w:cs="Times New Roman"/>
                <w:color w:val="auto"/>
                <w:highlight w:val="none"/>
                <w:u w:val="none" w:color="auto"/>
              </w:rPr>
              <w:fldChar w:fldCharType="end"/>
            </w:r>
            <w:r>
              <w:rPr>
                <w:rFonts w:hint="default" w:ascii="Times New Roman" w:hAnsi="Times New Roman" w:eastAsia="宋体" w:cs="Times New Roman"/>
                <w:color w:val="auto"/>
                <w:highlight w:val="none"/>
                <w:u w:val="none" w:color="auto"/>
              </w:rPr>
              <w:t>，环境风险等级低于三级，在做好上述各项防范措施后，项目生产过程的环境风险是可控的。</w:t>
            </w:r>
          </w:p>
          <w:p w14:paraId="50C25BCC">
            <w:pPr>
              <w:jc w:val="center"/>
              <w:rPr>
                <w:rFonts w:hint="default" w:ascii="Times New Roman" w:hAnsi="Times New Roman" w:eastAsia="宋体" w:cs="Times New Roman"/>
                <w:b/>
                <w:bCs/>
                <w:color w:val="auto"/>
                <w:kern w:val="0"/>
                <w:highlight w:val="none"/>
                <w:u w:val="none" w:color="auto"/>
              </w:rPr>
            </w:pPr>
            <w:r>
              <w:rPr>
                <w:rFonts w:hint="default" w:ascii="Times New Roman" w:hAnsi="Times New Roman" w:eastAsia="宋体" w:cs="Times New Roman"/>
                <w:b/>
                <w:bCs/>
                <w:color w:val="auto"/>
                <w:kern w:val="0"/>
                <w:highlight w:val="none"/>
                <w:u w:val="none" w:color="auto"/>
              </w:rPr>
              <w:t>表4-</w:t>
            </w:r>
            <w:r>
              <w:rPr>
                <w:rFonts w:hint="default" w:ascii="Times New Roman" w:hAnsi="Times New Roman" w:eastAsia="宋体" w:cs="Times New Roman"/>
                <w:b/>
                <w:bCs/>
                <w:color w:val="auto"/>
                <w:kern w:val="0"/>
                <w:highlight w:val="none"/>
                <w:u w:val="none" w:color="auto"/>
                <w:lang w:val="en-US" w:eastAsia="zh-CN"/>
              </w:rPr>
              <w:t>40</w:t>
            </w:r>
            <w:r>
              <w:rPr>
                <w:rFonts w:hint="default" w:ascii="Times New Roman" w:hAnsi="Times New Roman" w:eastAsia="宋体" w:cs="Times New Roman"/>
                <w:b/>
                <w:bCs/>
                <w:color w:val="auto"/>
                <w:kern w:val="0"/>
                <w:highlight w:val="none"/>
                <w:u w:val="none" w:color="auto"/>
              </w:rPr>
              <w:t xml:space="preserve"> 项目环境风险简单分析内容表</w:t>
            </w:r>
          </w:p>
          <w:tbl>
            <w:tblPr>
              <w:tblStyle w:val="31"/>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575"/>
              <w:gridCol w:w="1127"/>
              <w:gridCol w:w="2259"/>
              <w:gridCol w:w="1169"/>
              <w:gridCol w:w="2385"/>
            </w:tblGrid>
            <w:tr w14:paraId="5FC5A9B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7" w:hRule="atLeast"/>
                <w:jc w:val="center"/>
              </w:trPr>
              <w:tc>
                <w:tcPr>
                  <w:tcW w:w="925" w:type="pct"/>
                  <w:tcBorders>
                    <w:tl2br w:val="nil"/>
                    <w:tr2bl w:val="nil"/>
                  </w:tcBorders>
                  <w:noWrap w:val="0"/>
                  <w:vAlign w:val="center"/>
                </w:tcPr>
                <w:p w14:paraId="7DECC298">
                  <w:pPr>
                    <w:pStyle w:val="56"/>
                    <w:spacing w:line="240" w:lineRule="auto"/>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建设项目名称</w:t>
                  </w:r>
                </w:p>
              </w:tc>
              <w:tc>
                <w:tcPr>
                  <w:tcW w:w="4074" w:type="pct"/>
                  <w:gridSpan w:val="4"/>
                  <w:tcBorders>
                    <w:tl2br w:val="nil"/>
                    <w:tr2bl w:val="nil"/>
                  </w:tcBorders>
                  <w:noWrap w:val="0"/>
                  <w:vAlign w:val="center"/>
                </w:tcPr>
                <w:p w14:paraId="46281C1B">
                  <w:pPr>
                    <w:pStyle w:val="56"/>
                    <w:spacing w:line="240" w:lineRule="auto"/>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中创新能源汽车用压铸动力外壳项目</w:t>
                  </w:r>
                </w:p>
              </w:tc>
            </w:tr>
            <w:tr w14:paraId="50F2612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5" w:type="pct"/>
                  <w:tcBorders>
                    <w:tl2br w:val="nil"/>
                    <w:tr2bl w:val="nil"/>
                  </w:tcBorders>
                  <w:noWrap w:val="0"/>
                  <w:vAlign w:val="center"/>
                </w:tcPr>
                <w:p w14:paraId="1EF81358">
                  <w:pPr>
                    <w:pStyle w:val="56"/>
                    <w:spacing w:line="240" w:lineRule="auto"/>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建设地点</w:t>
                  </w:r>
                </w:p>
              </w:tc>
              <w:tc>
                <w:tcPr>
                  <w:tcW w:w="6449" w:type="dxa"/>
                  <w:gridSpan w:val="4"/>
                  <w:tcBorders>
                    <w:tl2br w:val="nil"/>
                    <w:tr2bl w:val="nil"/>
                  </w:tcBorders>
                  <w:noWrap w:val="0"/>
                  <w:vAlign w:val="center"/>
                </w:tcPr>
                <w:p w14:paraId="559ABA08">
                  <w:pPr>
                    <w:adjustRightInd w:val="0"/>
                    <w:snapToGrid w:val="0"/>
                    <w:jc w:val="center"/>
                    <w:rPr>
                      <w:rFonts w:hint="default" w:ascii="Times New Roman" w:hAnsi="Times New Roman" w:eastAsia="宋体" w:cs="Times New Roman"/>
                      <w:color w:val="auto"/>
                      <w:highlight w:val="none"/>
                      <w:u w:val="none" w:color="auto"/>
                      <w:lang w:val="en-US" w:eastAsia="zh-CN"/>
                    </w:rPr>
                  </w:pPr>
                  <w:r>
                    <w:rPr>
                      <w:rFonts w:hint="default" w:ascii="Times New Roman" w:hAnsi="Times New Roman" w:eastAsia="宋体" w:cs="Times New Roman"/>
                      <w:color w:val="auto"/>
                      <w:highlight w:val="none"/>
                      <w:u w:val="none" w:color="auto"/>
                    </w:rPr>
                    <w:t>湖南省岳阳市</w:t>
                  </w:r>
                  <w:r>
                    <w:rPr>
                      <w:rFonts w:hint="default" w:ascii="Times New Roman" w:hAnsi="Times New Roman" w:eastAsia="宋体" w:cs="Times New Roman"/>
                      <w:color w:val="auto"/>
                      <w:highlight w:val="none"/>
                      <w:u w:val="none" w:color="auto"/>
                      <w:lang w:val="en-US" w:eastAsia="zh-CN"/>
                    </w:rPr>
                    <w:t>城陵矶新港区临港高新产业园区</w:t>
                  </w:r>
                </w:p>
              </w:tc>
            </w:tr>
            <w:tr w14:paraId="6EB572F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5" w:type="pct"/>
                  <w:tcBorders>
                    <w:tl2br w:val="nil"/>
                    <w:tr2bl w:val="nil"/>
                  </w:tcBorders>
                  <w:noWrap w:val="0"/>
                  <w:vAlign w:val="center"/>
                </w:tcPr>
                <w:p w14:paraId="48226A98">
                  <w:pPr>
                    <w:pStyle w:val="56"/>
                    <w:spacing w:line="240" w:lineRule="auto"/>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地理坐标</w:t>
                  </w:r>
                </w:p>
              </w:tc>
              <w:tc>
                <w:tcPr>
                  <w:tcW w:w="662" w:type="pct"/>
                  <w:tcBorders>
                    <w:tl2br w:val="nil"/>
                    <w:tr2bl w:val="nil"/>
                  </w:tcBorders>
                  <w:noWrap w:val="0"/>
                  <w:vAlign w:val="center"/>
                </w:tcPr>
                <w:p w14:paraId="2D67A142">
                  <w:pPr>
                    <w:pStyle w:val="56"/>
                    <w:spacing w:line="240" w:lineRule="auto"/>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经度</w:t>
                  </w:r>
                </w:p>
              </w:tc>
              <w:tc>
                <w:tcPr>
                  <w:tcW w:w="1326" w:type="pct"/>
                  <w:tcBorders>
                    <w:tl2br w:val="nil"/>
                    <w:tr2bl w:val="nil"/>
                  </w:tcBorders>
                  <w:noWrap w:val="0"/>
                  <w:vAlign w:val="center"/>
                </w:tcPr>
                <w:p w14:paraId="1ECF91D0">
                  <w:pPr>
                    <w:pStyle w:val="56"/>
                    <w:spacing w:line="240" w:lineRule="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lang w:eastAsia="zh-CN"/>
                    </w:rPr>
                    <w:t>113.200529</w:t>
                  </w:r>
                </w:p>
              </w:tc>
              <w:tc>
                <w:tcPr>
                  <w:tcW w:w="686" w:type="pct"/>
                  <w:tcBorders>
                    <w:tl2br w:val="nil"/>
                    <w:tr2bl w:val="nil"/>
                  </w:tcBorders>
                  <w:noWrap w:val="0"/>
                  <w:vAlign w:val="center"/>
                </w:tcPr>
                <w:p w14:paraId="17A69D43">
                  <w:pPr>
                    <w:pStyle w:val="56"/>
                    <w:spacing w:line="240" w:lineRule="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纬度</w:t>
                  </w:r>
                </w:p>
              </w:tc>
              <w:tc>
                <w:tcPr>
                  <w:tcW w:w="1398" w:type="pct"/>
                  <w:tcBorders>
                    <w:tl2br w:val="nil"/>
                    <w:tr2bl w:val="nil"/>
                  </w:tcBorders>
                  <w:noWrap w:val="0"/>
                  <w:vAlign w:val="center"/>
                </w:tcPr>
                <w:p w14:paraId="57D845D6">
                  <w:pPr>
                    <w:pStyle w:val="56"/>
                    <w:spacing w:line="240" w:lineRule="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lang w:eastAsia="zh-CN"/>
                    </w:rPr>
                    <w:t>29.46665</w:t>
                  </w:r>
                  <w:r>
                    <w:rPr>
                      <w:rFonts w:hint="default" w:ascii="Times New Roman" w:hAnsi="Times New Roman" w:eastAsia="宋体" w:cs="Times New Roman"/>
                      <w:color w:val="auto"/>
                      <w:sz w:val="21"/>
                      <w:szCs w:val="21"/>
                      <w:highlight w:val="none"/>
                      <w:u w:val="none" w:color="auto"/>
                      <w:lang w:val="en-US" w:eastAsia="zh-CN"/>
                    </w:rPr>
                    <w:t>1</w:t>
                  </w:r>
                </w:p>
              </w:tc>
            </w:tr>
            <w:tr w14:paraId="4F468CC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5" w:type="pct"/>
                  <w:tcBorders>
                    <w:tl2br w:val="nil"/>
                    <w:tr2bl w:val="nil"/>
                  </w:tcBorders>
                  <w:noWrap w:val="0"/>
                  <w:vAlign w:val="center"/>
                </w:tcPr>
                <w:p w14:paraId="34598A01">
                  <w:pPr>
                    <w:pStyle w:val="56"/>
                    <w:spacing w:line="240" w:lineRule="auto"/>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主要危险物质分布</w:t>
                  </w:r>
                </w:p>
              </w:tc>
              <w:tc>
                <w:tcPr>
                  <w:tcW w:w="4074" w:type="pct"/>
                  <w:gridSpan w:val="4"/>
                  <w:tcBorders>
                    <w:tl2br w:val="nil"/>
                    <w:tr2bl w:val="nil"/>
                  </w:tcBorders>
                  <w:noWrap w:val="0"/>
                  <w:vAlign w:val="center"/>
                </w:tcPr>
                <w:p w14:paraId="1F78DC4A">
                  <w:pPr>
                    <w:pStyle w:val="56"/>
                    <w:spacing w:line="240" w:lineRule="auto"/>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lang w:eastAsia="zh-CN"/>
                    </w:rPr>
                    <w:t>浸渗剂、缓蚀剂、清洗剂、切削液</w:t>
                  </w:r>
                  <w:r>
                    <w:rPr>
                      <w:rFonts w:hint="default" w:ascii="Times New Roman" w:hAnsi="Times New Roman" w:eastAsia="宋体" w:cs="Times New Roman"/>
                      <w:color w:val="auto"/>
                      <w:highlight w:val="none"/>
                      <w:u w:val="none" w:color="auto"/>
                    </w:rPr>
                    <w:t>、危险废物等主要分布于</w:t>
                  </w:r>
                  <w:r>
                    <w:rPr>
                      <w:rFonts w:hint="default" w:ascii="Times New Roman" w:hAnsi="Times New Roman" w:eastAsia="宋体" w:cs="Times New Roman"/>
                      <w:color w:val="auto"/>
                      <w:highlight w:val="none"/>
                      <w:u w:val="none" w:color="auto"/>
                      <w:lang w:val="en-US" w:eastAsia="zh-CN"/>
                    </w:rPr>
                    <w:t>14#厂房内各分区</w:t>
                  </w:r>
                </w:p>
              </w:tc>
            </w:tr>
            <w:tr w14:paraId="32BB31A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5" w:type="pct"/>
                  <w:tcBorders>
                    <w:tl2br w:val="nil"/>
                    <w:tr2bl w:val="nil"/>
                  </w:tcBorders>
                  <w:noWrap w:val="0"/>
                  <w:vAlign w:val="center"/>
                </w:tcPr>
                <w:p w14:paraId="2EA23AF6">
                  <w:pPr>
                    <w:pStyle w:val="56"/>
                    <w:spacing w:line="240" w:lineRule="auto"/>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环境影响途径及危害后果（大气、地表水、地下水等）</w:t>
                  </w:r>
                </w:p>
              </w:tc>
              <w:tc>
                <w:tcPr>
                  <w:tcW w:w="4074" w:type="pct"/>
                  <w:gridSpan w:val="4"/>
                  <w:tcBorders>
                    <w:tl2br w:val="nil"/>
                    <w:tr2bl w:val="nil"/>
                  </w:tcBorders>
                  <w:noWrap w:val="0"/>
                  <w:vAlign w:val="center"/>
                </w:tcPr>
                <w:p w14:paraId="61B4150A">
                  <w:pPr>
                    <w:jc w:val="left"/>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①</w:t>
                  </w:r>
                  <w:r>
                    <w:rPr>
                      <w:rFonts w:hint="default" w:ascii="Times New Roman" w:hAnsi="Times New Roman" w:eastAsia="宋体" w:cs="Times New Roman"/>
                      <w:color w:val="auto"/>
                      <w:highlight w:val="none"/>
                      <w:u w:val="none" w:color="auto"/>
                      <w:lang w:eastAsia="zh-CN"/>
                    </w:rPr>
                    <w:t>浸渗剂、缓蚀剂、清洗剂、切削液</w:t>
                  </w:r>
                  <w:r>
                    <w:rPr>
                      <w:rFonts w:hint="default" w:ascii="Times New Roman" w:hAnsi="Times New Roman" w:eastAsia="宋体" w:cs="Times New Roman"/>
                      <w:color w:val="auto"/>
                      <w:highlight w:val="none"/>
                      <w:u w:val="none" w:color="auto"/>
                    </w:rPr>
                    <w:t>、危险废物等泄漏对地表水、土壤、地下水的环境影响。</w:t>
                  </w:r>
                </w:p>
                <w:p w14:paraId="2BA6130E">
                  <w:pPr>
                    <w:jc w:val="left"/>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②火灾爆炸次生污染导致对周边环境空气造成影响，消防产生的消防废水若无法及时有效的收集，则会对地表水、土壤和地下水造成一定影响</w:t>
                  </w:r>
                </w:p>
              </w:tc>
            </w:tr>
            <w:tr w14:paraId="26AD4C3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25" w:type="pct"/>
                  <w:tcBorders>
                    <w:tl2br w:val="nil"/>
                    <w:tr2bl w:val="nil"/>
                  </w:tcBorders>
                  <w:noWrap w:val="0"/>
                  <w:vAlign w:val="center"/>
                </w:tcPr>
                <w:p w14:paraId="5FDF95CB">
                  <w:pPr>
                    <w:pStyle w:val="56"/>
                    <w:spacing w:line="240" w:lineRule="auto"/>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风险防范措施要求</w:t>
                  </w:r>
                </w:p>
              </w:tc>
              <w:tc>
                <w:tcPr>
                  <w:tcW w:w="4074" w:type="pct"/>
                  <w:gridSpan w:val="4"/>
                  <w:tcBorders>
                    <w:tl2br w:val="nil"/>
                    <w:tr2bl w:val="nil"/>
                  </w:tcBorders>
                  <w:noWrap w:val="0"/>
                  <w:vAlign w:val="center"/>
                </w:tcPr>
                <w:p w14:paraId="5A6B5D68">
                  <w:pPr>
                    <w:jc w:val="left"/>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①危废暂存间应按规范设置，防止泄漏的危废污染地表水体。同时，应强化对危废管理，并及时交有资质的单位处置。</w:t>
                  </w:r>
                </w:p>
                <w:p w14:paraId="3AF41E26">
                  <w:pPr>
                    <w:jc w:val="left"/>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②加强职工的环保教育，增强安全防范风险的意识，加强对</w:t>
                  </w:r>
                  <w:r>
                    <w:rPr>
                      <w:rFonts w:hint="default" w:ascii="Times New Roman" w:hAnsi="Times New Roman" w:eastAsia="宋体" w:cs="Times New Roman"/>
                      <w:color w:val="auto"/>
                      <w:highlight w:val="none"/>
                      <w:u w:val="none" w:color="auto"/>
                      <w:lang w:eastAsia="zh-CN"/>
                    </w:rPr>
                    <w:t>浸渗剂、缓蚀剂、清洗剂、切削液</w:t>
                  </w:r>
                  <w:r>
                    <w:rPr>
                      <w:rFonts w:hint="default" w:ascii="Times New Roman" w:hAnsi="Times New Roman" w:eastAsia="宋体" w:cs="Times New Roman"/>
                      <w:color w:val="auto"/>
                      <w:highlight w:val="none"/>
                      <w:u w:val="none" w:color="auto"/>
                    </w:rPr>
                    <w:t>、危险废物等物质的管理，设立台账。</w:t>
                  </w:r>
                </w:p>
                <w:p w14:paraId="65693683">
                  <w:pPr>
                    <w:jc w:val="left"/>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③厂区内应按规范配置灭火器材、消防装备等应急物资</w:t>
                  </w:r>
                </w:p>
                <w:p w14:paraId="5E532651">
                  <w:pPr>
                    <w:jc w:val="left"/>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④对其使用矿物油类设施设备所在地面做好相应的防渗处理。</w:t>
                  </w:r>
                </w:p>
                <w:p w14:paraId="14E30CC6">
                  <w:pPr>
                    <w:jc w:val="left"/>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fldChar w:fldCharType="begin"/>
                  </w:r>
                  <w:r>
                    <w:rPr>
                      <w:rFonts w:hint="default" w:ascii="Times New Roman" w:hAnsi="Times New Roman" w:eastAsia="宋体" w:cs="Times New Roman"/>
                      <w:color w:val="auto"/>
                      <w:highlight w:val="none"/>
                      <w:u w:val="none" w:color="auto"/>
                    </w:rPr>
                    <w:instrText xml:space="preserve"> = 5 \* GB3 \* MERGEFORMAT </w:instrText>
                  </w:r>
                  <w:r>
                    <w:rPr>
                      <w:rFonts w:hint="default" w:ascii="Times New Roman" w:hAnsi="Times New Roman" w:eastAsia="宋体" w:cs="Times New Roman"/>
                      <w:color w:val="auto"/>
                      <w:highlight w:val="none"/>
                      <w:u w:val="none" w:color="auto"/>
                    </w:rPr>
                    <w:fldChar w:fldCharType="separate"/>
                  </w:r>
                  <w:r>
                    <w:rPr>
                      <w:rFonts w:hint="default" w:ascii="Times New Roman" w:hAnsi="Times New Roman" w:eastAsia="宋体" w:cs="Times New Roman"/>
                      <w:color w:val="auto"/>
                      <w:highlight w:val="none"/>
                      <w:u w:val="none" w:color="auto"/>
                    </w:rPr>
                    <w:t>⑤</w:t>
                  </w:r>
                  <w:r>
                    <w:rPr>
                      <w:rFonts w:hint="default" w:ascii="Times New Roman" w:hAnsi="Times New Roman" w:eastAsia="宋体" w:cs="Times New Roman"/>
                      <w:color w:val="auto"/>
                      <w:highlight w:val="none"/>
                      <w:u w:val="none" w:color="auto"/>
                    </w:rPr>
                    <w:fldChar w:fldCharType="end"/>
                  </w:r>
                  <w:r>
                    <w:rPr>
                      <w:rFonts w:hint="default" w:ascii="Times New Roman" w:hAnsi="Times New Roman" w:eastAsia="宋体" w:cs="Times New Roman"/>
                      <w:color w:val="auto"/>
                      <w:highlight w:val="none"/>
                      <w:u w:val="none" w:color="auto"/>
                    </w:rPr>
                    <w:t>编制应急预案。</w:t>
                  </w:r>
                </w:p>
              </w:tc>
            </w:tr>
            <w:tr w14:paraId="1C58C2D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5" w:type="pct"/>
                  <w:tcBorders>
                    <w:tl2br w:val="nil"/>
                    <w:tr2bl w:val="nil"/>
                  </w:tcBorders>
                  <w:noWrap w:val="0"/>
                  <w:vAlign w:val="center"/>
                </w:tcPr>
                <w:p w14:paraId="18C7C755">
                  <w:pPr>
                    <w:pStyle w:val="56"/>
                    <w:spacing w:line="240" w:lineRule="auto"/>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填表说明（列出项目相关信息及评价说明）</w:t>
                  </w:r>
                </w:p>
              </w:tc>
              <w:tc>
                <w:tcPr>
                  <w:tcW w:w="4074" w:type="pct"/>
                  <w:gridSpan w:val="4"/>
                  <w:tcBorders>
                    <w:tl2br w:val="nil"/>
                    <w:tr2bl w:val="nil"/>
                  </w:tcBorders>
                  <w:noWrap w:val="0"/>
                  <w:vAlign w:val="center"/>
                </w:tcPr>
                <w:p w14:paraId="6A5668C2">
                  <w:pPr>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根据《建设项目环境风险评价技术导则》（HJ169-2018），项目</w:t>
                  </w:r>
                  <w:r>
                    <w:rPr>
                      <w:rFonts w:hint="default" w:ascii="Times New Roman" w:hAnsi="Times New Roman" w:eastAsia="宋体" w:cs="Times New Roman"/>
                      <w:color w:val="auto"/>
                      <w:highlight w:val="none"/>
                      <w:u w:val="none" w:color="auto"/>
                      <w:lang w:eastAsia="zh-CN"/>
                    </w:rPr>
                    <w:t>临港高新产业园区</w:t>
                  </w:r>
                  <w:r>
                    <w:rPr>
                      <w:rFonts w:hint="default" w:ascii="Times New Roman" w:hAnsi="Times New Roman" w:eastAsia="宋体" w:cs="Times New Roman"/>
                      <w:color w:val="auto"/>
                      <w:highlight w:val="none"/>
                      <w:u w:val="none" w:color="auto"/>
                    </w:rPr>
                    <w:t>涉及的风险物质种类少，环境风险潜势Ⅰ，评价工作等级为简单分析。企业</w:t>
                  </w:r>
                  <w:r>
                    <w:rPr>
                      <w:rFonts w:hint="default" w:ascii="Times New Roman" w:hAnsi="Times New Roman" w:eastAsia="宋体" w:cs="Times New Roman"/>
                      <w:color w:val="auto"/>
                      <w:highlight w:val="none"/>
                      <w:u w:val="none" w:color="auto"/>
                      <w:lang w:eastAsia="zh-CN"/>
                    </w:rPr>
                    <w:t>临港高新产业园区</w:t>
                  </w:r>
                  <w:r>
                    <w:rPr>
                      <w:rFonts w:hint="default" w:ascii="Times New Roman" w:hAnsi="Times New Roman" w:eastAsia="宋体" w:cs="Times New Roman"/>
                      <w:color w:val="auto"/>
                      <w:highlight w:val="none"/>
                      <w:u w:val="none" w:color="auto"/>
                    </w:rPr>
                    <w:t>应该认真做好各项风险防范措施，完善管理制度，杜绝风险事故。严格履行风险应急预案，一旦发生突发事故，企业除了根据内部制定和履行最快最有效的应急预案外，应立即报当地环保部门。在上级环保部门到达之后，企业应服从并配合地方环保部门的指挥和</w:t>
                  </w:r>
                  <w:r>
                    <w:rPr>
                      <w:rFonts w:hint="default" w:ascii="Times New Roman" w:hAnsi="Times New Roman" w:eastAsia="宋体" w:cs="Times New Roman"/>
                      <w:color w:val="auto"/>
                      <w:highlight w:val="none"/>
                      <w:u w:val="none" w:color="auto"/>
                      <w:lang w:val="en-US" w:eastAsia="zh-CN"/>
                    </w:rPr>
                    <w:t>部署</w:t>
                  </w:r>
                  <w:r>
                    <w:rPr>
                      <w:rFonts w:hint="default" w:ascii="Times New Roman" w:hAnsi="Times New Roman" w:eastAsia="宋体" w:cs="Times New Roman"/>
                      <w:color w:val="auto"/>
                      <w:highlight w:val="none"/>
                      <w:u w:val="none" w:color="auto"/>
                    </w:rPr>
                    <w:t>，将环境风险事故降低到最低。</w:t>
                  </w:r>
                </w:p>
              </w:tc>
            </w:tr>
          </w:tbl>
          <w:p w14:paraId="71EE65D7">
            <w:pPr>
              <w:spacing w:line="360" w:lineRule="auto"/>
              <w:contextualSpacing/>
              <w:rPr>
                <w:rFonts w:hint="default" w:ascii="Times New Roman" w:hAnsi="Times New Roman" w:eastAsia="宋体" w:cs="Times New Roman"/>
                <w:color w:val="auto"/>
                <w:spacing w:val="0"/>
                <w:kern w:val="0"/>
                <w:sz w:val="24"/>
                <w:u w:val="none" w:color="auto"/>
              </w:rPr>
            </w:pPr>
            <w:r>
              <w:rPr>
                <w:rFonts w:hint="default" w:ascii="Times New Roman" w:hAnsi="Times New Roman" w:eastAsia="宋体" w:cs="Times New Roman"/>
                <w:b/>
                <w:bCs/>
                <w:color w:val="auto"/>
                <w:spacing w:val="0"/>
                <w:sz w:val="24"/>
                <w:u w:val="none" w:color="auto"/>
              </w:rPr>
              <w:t>八、环保投资及竣工环境保护验收</w:t>
            </w:r>
          </w:p>
          <w:p w14:paraId="7ACC3A03">
            <w:pPr>
              <w:spacing w:line="360" w:lineRule="auto"/>
              <w:ind w:firstLine="480" w:firstLineChars="200"/>
              <w:rPr>
                <w:rFonts w:hint="default" w:ascii="Times New Roman" w:hAnsi="Times New Roman" w:eastAsia="宋体" w:cs="Times New Roman"/>
                <w:color w:val="auto"/>
                <w:spacing w:val="0"/>
                <w:sz w:val="24"/>
                <w:u w:val="none" w:color="auto"/>
              </w:rPr>
            </w:pPr>
            <w:r>
              <w:rPr>
                <w:rFonts w:hint="default" w:ascii="Times New Roman" w:hAnsi="Times New Roman" w:eastAsia="宋体" w:cs="Times New Roman"/>
                <w:color w:val="auto"/>
                <w:spacing w:val="0"/>
                <w:sz w:val="24"/>
                <w:u w:val="none" w:color="auto"/>
              </w:rPr>
              <w:t>建设单位应确保环保设施建成并有效治理运营期产生的各项污染源，满足现行环保管理要求。同时项目</w:t>
            </w:r>
            <w:r>
              <w:rPr>
                <w:rFonts w:hint="default" w:ascii="Times New Roman" w:hAnsi="Times New Roman" w:eastAsia="宋体" w:cs="Times New Roman"/>
                <w:color w:val="auto"/>
                <w:spacing w:val="0"/>
                <w:sz w:val="24"/>
                <w:u w:val="none" w:color="auto"/>
                <w:lang w:val="en-US" w:eastAsia="zh-CN"/>
              </w:rPr>
              <w:t>扩建</w:t>
            </w:r>
            <w:r>
              <w:rPr>
                <w:rFonts w:hint="default" w:ascii="Times New Roman" w:hAnsi="Times New Roman" w:eastAsia="宋体" w:cs="Times New Roman"/>
                <w:color w:val="auto"/>
                <w:spacing w:val="0"/>
                <w:sz w:val="24"/>
                <w:u w:val="none" w:color="auto"/>
              </w:rPr>
              <w:t>完成后，建设单位应按相关竣工环保验收管理要求，及时开展项目竣工环境保护验收工作。具体验收清单和环保投资估算见下表：</w:t>
            </w:r>
          </w:p>
          <w:p w14:paraId="0893FA9D">
            <w:pPr>
              <w:pStyle w:val="2"/>
              <w:snapToGrid/>
              <w:spacing w:before="0" w:after="0" w:line="240" w:lineRule="auto"/>
              <w:ind w:right="0"/>
              <w:jc w:val="center"/>
              <w:rPr>
                <w:rFonts w:hint="default" w:ascii="Times New Roman" w:hAnsi="Times New Roman" w:eastAsia="宋体" w:cs="Times New Roman"/>
                <w:b/>
                <w:bCs/>
                <w:color w:val="auto"/>
                <w:spacing w:val="0"/>
                <w:sz w:val="21"/>
                <w:szCs w:val="16"/>
                <w:u w:val="none" w:color="auto"/>
              </w:rPr>
            </w:pPr>
            <w:r>
              <w:rPr>
                <w:rFonts w:hint="default" w:ascii="Times New Roman" w:hAnsi="Times New Roman" w:eastAsia="宋体" w:cs="Times New Roman"/>
                <w:b/>
                <w:bCs/>
                <w:color w:val="auto"/>
                <w:spacing w:val="0"/>
                <w:sz w:val="21"/>
                <w:szCs w:val="16"/>
                <w:u w:val="none" w:color="auto"/>
              </w:rPr>
              <w:t>表4-</w:t>
            </w:r>
            <w:r>
              <w:rPr>
                <w:rFonts w:hint="default" w:ascii="Times New Roman" w:hAnsi="Times New Roman" w:eastAsia="宋体" w:cs="Times New Roman"/>
                <w:b/>
                <w:bCs/>
                <w:color w:val="auto"/>
                <w:spacing w:val="0"/>
                <w:sz w:val="21"/>
                <w:szCs w:val="16"/>
                <w:u w:val="none" w:color="auto"/>
                <w:lang w:val="en-US" w:eastAsia="zh-CN"/>
              </w:rPr>
              <w:t xml:space="preserve">41 </w:t>
            </w:r>
            <w:r>
              <w:rPr>
                <w:rFonts w:hint="default" w:ascii="Times New Roman" w:hAnsi="Times New Roman" w:eastAsia="宋体" w:cs="Times New Roman"/>
                <w:b/>
                <w:bCs/>
                <w:color w:val="auto"/>
                <w:spacing w:val="0"/>
                <w:sz w:val="21"/>
                <w:szCs w:val="16"/>
                <w:u w:val="none" w:color="auto"/>
              </w:rPr>
              <w:t xml:space="preserve"> 项目环保投资及竣工环境保护验收一览表</w:t>
            </w:r>
          </w:p>
          <w:tbl>
            <w:tblPr>
              <w:tblStyle w:val="31"/>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753"/>
              <w:gridCol w:w="2931"/>
              <w:gridCol w:w="3532"/>
              <w:gridCol w:w="1299"/>
            </w:tblGrid>
            <w:tr w14:paraId="4B17F81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42" w:type="pct"/>
                  <w:noWrap w:val="0"/>
                  <w:vAlign w:val="center"/>
                </w:tcPr>
                <w:p w14:paraId="49C2A83D">
                  <w:pPr>
                    <w:jc w:val="center"/>
                    <w:rPr>
                      <w:rFonts w:hint="default" w:ascii="Times New Roman" w:hAnsi="Times New Roman" w:eastAsia="宋体" w:cs="Times New Roman"/>
                      <w:b/>
                      <w:bCs/>
                      <w:color w:val="auto"/>
                      <w:spacing w:val="0"/>
                      <w:szCs w:val="21"/>
                      <w:highlight w:val="none"/>
                      <w:u w:val="none" w:color="auto"/>
                    </w:rPr>
                  </w:pPr>
                  <w:r>
                    <w:rPr>
                      <w:rFonts w:hint="default" w:ascii="Times New Roman" w:hAnsi="Times New Roman" w:eastAsia="宋体" w:cs="Times New Roman"/>
                      <w:b/>
                      <w:bCs/>
                      <w:color w:val="auto"/>
                      <w:spacing w:val="0"/>
                      <w:szCs w:val="21"/>
                      <w:highlight w:val="none"/>
                      <w:u w:val="none" w:color="auto"/>
                    </w:rPr>
                    <w:t>类别</w:t>
                  </w:r>
                </w:p>
              </w:tc>
              <w:tc>
                <w:tcPr>
                  <w:tcW w:w="1721" w:type="pct"/>
                  <w:noWrap w:val="0"/>
                  <w:vAlign w:val="center"/>
                </w:tcPr>
                <w:p w14:paraId="5A3F1055">
                  <w:pPr>
                    <w:jc w:val="center"/>
                    <w:rPr>
                      <w:rFonts w:hint="default" w:ascii="Times New Roman" w:hAnsi="Times New Roman" w:eastAsia="宋体" w:cs="Times New Roman"/>
                      <w:b/>
                      <w:bCs/>
                      <w:color w:val="auto"/>
                      <w:spacing w:val="0"/>
                      <w:szCs w:val="21"/>
                      <w:highlight w:val="none"/>
                      <w:u w:val="none" w:color="auto"/>
                    </w:rPr>
                  </w:pPr>
                  <w:r>
                    <w:rPr>
                      <w:rFonts w:hint="default" w:ascii="Times New Roman" w:hAnsi="Times New Roman" w:eastAsia="宋体" w:cs="Times New Roman"/>
                      <w:b/>
                      <w:bCs/>
                      <w:color w:val="auto"/>
                      <w:spacing w:val="0"/>
                      <w:szCs w:val="21"/>
                      <w:highlight w:val="none"/>
                      <w:u w:val="none" w:color="auto"/>
                    </w:rPr>
                    <w:t>措施或设施</w:t>
                  </w:r>
                </w:p>
              </w:tc>
              <w:tc>
                <w:tcPr>
                  <w:tcW w:w="2073" w:type="pct"/>
                  <w:noWrap w:val="0"/>
                  <w:vAlign w:val="center"/>
                </w:tcPr>
                <w:p w14:paraId="56340BB5">
                  <w:pPr>
                    <w:jc w:val="center"/>
                    <w:rPr>
                      <w:rFonts w:hint="default" w:ascii="Times New Roman" w:hAnsi="Times New Roman" w:eastAsia="宋体" w:cs="Times New Roman"/>
                      <w:b/>
                      <w:bCs/>
                      <w:color w:val="auto"/>
                      <w:spacing w:val="0"/>
                      <w:szCs w:val="21"/>
                      <w:highlight w:val="none"/>
                      <w:u w:val="none" w:color="auto"/>
                    </w:rPr>
                  </w:pPr>
                  <w:r>
                    <w:rPr>
                      <w:rFonts w:hint="default" w:ascii="Times New Roman" w:hAnsi="Times New Roman" w:eastAsia="宋体" w:cs="Times New Roman"/>
                      <w:b/>
                      <w:bCs/>
                      <w:color w:val="auto"/>
                      <w:spacing w:val="0"/>
                      <w:szCs w:val="21"/>
                      <w:highlight w:val="none"/>
                      <w:u w:val="none" w:color="auto"/>
                    </w:rPr>
                    <w:t>达到效果</w:t>
                  </w:r>
                </w:p>
              </w:tc>
              <w:tc>
                <w:tcPr>
                  <w:tcW w:w="762" w:type="pct"/>
                  <w:noWrap w:val="0"/>
                  <w:vAlign w:val="center"/>
                </w:tcPr>
                <w:p w14:paraId="015A4350">
                  <w:pPr>
                    <w:jc w:val="center"/>
                    <w:rPr>
                      <w:rFonts w:hint="default" w:ascii="Times New Roman" w:hAnsi="Times New Roman" w:eastAsia="宋体" w:cs="Times New Roman"/>
                      <w:b/>
                      <w:bCs/>
                      <w:color w:val="auto"/>
                      <w:spacing w:val="0"/>
                      <w:szCs w:val="21"/>
                      <w:highlight w:val="none"/>
                      <w:u w:val="none" w:color="auto"/>
                    </w:rPr>
                  </w:pPr>
                  <w:r>
                    <w:rPr>
                      <w:rFonts w:hint="default" w:ascii="Times New Roman" w:hAnsi="Times New Roman" w:eastAsia="宋体" w:cs="Times New Roman"/>
                      <w:b/>
                      <w:bCs/>
                      <w:color w:val="auto"/>
                      <w:spacing w:val="0"/>
                      <w:szCs w:val="21"/>
                      <w:highlight w:val="none"/>
                      <w:u w:val="none" w:color="auto"/>
                    </w:rPr>
                    <w:t>投资（万元）</w:t>
                  </w:r>
                </w:p>
              </w:tc>
            </w:tr>
            <w:tr w14:paraId="6E86CFE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000" w:type="pct"/>
                  <w:gridSpan w:val="4"/>
                  <w:noWrap w:val="0"/>
                  <w:vAlign w:val="center"/>
                </w:tcPr>
                <w:p w14:paraId="4F8106D8">
                  <w:pPr>
                    <w:jc w:val="center"/>
                    <w:rPr>
                      <w:rFonts w:hint="default" w:ascii="Times New Roman" w:hAnsi="Times New Roman" w:eastAsia="宋体" w:cs="Times New Roman"/>
                      <w:b/>
                      <w:bCs/>
                      <w:color w:val="auto"/>
                      <w:spacing w:val="0"/>
                      <w:szCs w:val="21"/>
                      <w:highlight w:val="none"/>
                      <w:u w:val="none" w:color="auto"/>
                      <w:lang w:val="en-US" w:eastAsia="zh-CN"/>
                    </w:rPr>
                  </w:pPr>
                  <w:r>
                    <w:rPr>
                      <w:rFonts w:hint="default" w:ascii="Times New Roman" w:hAnsi="Times New Roman" w:eastAsia="宋体" w:cs="Times New Roman"/>
                      <w:b/>
                      <w:bCs/>
                      <w:color w:val="auto"/>
                      <w:spacing w:val="0"/>
                      <w:szCs w:val="21"/>
                      <w:highlight w:val="none"/>
                      <w:u w:val="none" w:color="auto"/>
                      <w:lang w:val="en-US" w:eastAsia="zh-CN"/>
                    </w:rPr>
                    <w:t>中创空天厂区</w:t>
                  </w:r>
                </w:p>
              </w:tc>
            </w:tr>
            <w:tr w14:paraId="45B236F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42" w:type="pct"/>
                  <w:vMerge w:val="restart"/>
                  <w:noWrap w:val="0"/>
                  <w:vAlign w:val="center"/>
                </w:tcPr>
                <w:p w14:paraId="16EE1537">
                  <w:pPr>
                    <w:jc w:val="center"/>
                    <w:rPr>
                      <w:rFonts w:hint="default" w:ascii="Times New Roman" w:hAnsi="Times New Roman" w:eastAsia="宋体" w:cs="Times New Roman"/>
                      <w:color w:val="auto"/>
                      <w:spacing w:val="0"/>
                      <w:szCs w:val="21"/>
                      <w:highlight w:val="none"/>
                      <w:u w:val="none" w:color="auto"/>
                    </w:rPr>
                  </w:pPr>
                  <w:r>
                    <w:rPr>
                      <w:rFonts w:hint="default" w:ascii="Times New Roman" w:hAnsi="Times New Roman" w:eastAsia="宋体" w:cs="Times New Roman"/>
                      <w:color w:val="auto"/>
                      <w:spacing w:val="0"/>
                      <w:szCs w:val="21"/>
                      <w:highlight w:val="none"/>
                      <w:u w:val="none" w:color="auto"/>
                    </w:rPr>
                    <w:t>废气</w:t>
                  </w:r>
                </w:p>
              </w:tc>
              <w:tc>
                <w:tcPr>
                  <w:tcW w:w="1721" w:type="pct"/>
                  <w:noWrap w:val="0"/>
                  <w:vAlign w:val="center"/>
                </w:tcPr>
                <w:p w14:paraId="06FAF1B9">
                  <w:pPr>
                    <w:jc w:val="center"/>
                    <w:rPr>
                      <w:rFonts w:hint="default" w:ascii="Times New Roman" w:hAnsi="Times New Roman" w:eastAsia="宋体" w:cs="Times New Roman"/>
                      <w:color w:val="auto"/>
                      <w:spacing w:val="0"/>
                      <w:kern w:val="2"/>
                      <w:sz w:val="21"/>
                      <w:szCs w:val="21"/>
                      <w:highlight w:val="none"/>
                      <w:u w:val="none" w:color="auto"/>
                      <w:lang w:val="en-US" w:eastAsia="zh-CN" w:bidi="ar-SA"/>
                    </w:rPr>
                  </w:pPr>
                  <w:r>
                    <w:rPr>
                      <w:rFonts w:hint="default" w:ascii="Times New Roman" w:hAnsi="Times New Roman" w:eastAsia="宋体" w:cs="Times New Roman"/>
                      <w:color w:val="auto"/>
                      <w:spacing w:val="0"/>
                      <w:kern w:val="2"/>
                      <w:sz w:val="21"/>
                      <w:szCs w:val="21"/>
                      <w:highlight w:val="none"/>
                      <w:u w:val="none" w:color="auto"/>
                      <w:lang w:val="en-US" w:eastAsia="zh-CN" w:bidi="ar-SA"/>
                    </w:rPr>
                    <w:t>TA010废气处理系统：多管重力除尘器+布袋除尘+20m高排气筒</w:t>
                  </w:r>
                </w:p>
              </w:tc>
              <w:tc>
                <w:tcPr>
                  <w:tcW w:w="2073" w:type="pct"/>
                  <w:noWrap w:val="0"/>
                  <w:vAlign w:val="center"/>
                </w:tcPr>
                <w:p w14:paraId="3369DC03">
                  <w:pPr>
                    <w:jc w:val="center"/>
                    <w:rPr>
                      <w:rFonts w:hint="default" w:ascii="Times New Roman" w:hAnsi="Times New Roman" w:eastAsia="宋体" w:cs="Times New Roman"/>
                      <w:color w:val="auto"/>
                      <w:spacing w:val="0"/>
                      <w:kern w:val="2"/>
                      <w:sz w:val="21"/>
                      <w:szCs w:val="21"/>
                      <w:highlight w:val="none"/>
                      <w:u w:val="none" w:color="auto"/>
                      <w:lang w:val="en-US" w:eastAsia="zh-CN" w:bidi="ar-SA"/>
                    </w:rPr>
                  </w:pPr>
                  <w:r>
                    <w:rPr>
                      <w:rFonts w:hint="default" w:ascii="Times New Roman" w:hAnsi="Times New Roman" w:eastAsia="宋体" w:cs="Times New Roman"/>
                      <w:color w:val="auto"/>
                      <w:spacing w:val="0"/>
                      <w:sz w:val="21"/>
                      <w:szCs w:val="21"/>
                      <w:highlight w:val="none"/>
                      <w:u w:val="none" w:color="auto"/>
                      <w:lang w:val="en-US" w:eastAsia="zh-CN"/>
                    </w:rPr>
                    <w:t>从严执行GB16297-1996、GB9078-1996、GB39726-2020</w:t>
                  </w:r>
                </w:p>
              </w:tc>
              <w:tc>
                <w:tcPr>
                  <w:tcW w:w="762" w:type="pct"/>
                  <w:noWrap w:val="0"/>
                  <w:vAlign w:val="center"/>
                </w:tcPr>
                <w:p w14:paraId="2690D509">
                  <w:pPr>
                    <w:jc w:val="center"/>
                    <w:rPr>
                      <w:rFonts w:hint="default" w:ascii="Times New Roman" w:hAnsi="Times New Roman" w:eastAsia="宋体" w:cs="Times New Roman"/>
                      <w:color w:val="auto"/>
                      <w:spacing w:val="0"/>
                      <w:kern w:val="2"/>
                      <w:sz w:val="21"/>
                      <w:szCs w:val="24"/>
                      <w:highlight w:val="none"/>
                      <w:u w:val="none" w:color="auto"/>
                      <w:lang w:val="en-US" w:eastAsia="zh-CN" w:bidi="ar-SA"/>
                    </w:rPr>
                  </w:pPr>
                  <w:r>
                    <w:rPr>
                      <w:rFonts w:hint="default" w:ascii="Times New Roman" w:hAnsi="Times New Roman" w:eastAsia="宋体" w:cs="Times New Roman"/>
                      <w:color w:val="auto"/>
                      <w:spacing w:val="0"/>
                      <w:kern w:val="2"/>
                      <w:sz w:val="21"/>
                      <w:szCs w:val="24"/>
                      <w:highlight w:val="none"/>
                      <w:u w:val="none" w:color="auto"/>
                      <w:lang w:val="en-US" w:eastAsia="zh-CN" w:bidi="ar-SA"/>
                    </w:rPr>
                    <w:t>150</w:t>
                  </w:r>
                </w:p>
              </w:tc>
            </w:tr>
            <w:tr w14:paraId="56B7D2B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42" w:type="pct"/>
                  <w:vMerge w:val="continue"/>
                  <w:noWrap w:val="0"/>
                  <w:vAlign w:val="center"/>
                </w:tcPr>
                <w:p w14:paraId="4E73B65E">
                  <w:pPr>
                    <w:jc w:val="center"/>
                    <w:rPr>
                      <w:rFonts w:hint="default" w:ascii="Times New Roman" w:hAnsi="Times New Roman" w:eastAsia="宋体" w:cs="Times New Roman"/>
                      <w:color w:val="auto"/>
                      <w:spacing w:val="0"/>
                      <w:szCs w:val="21"/>
                      <w:highlight w:val="none"/>
                      <w:u w:val="none" w:color="auto"/>
                    </w:rPr>
                  </w:pPr>
                </w:p>
              </w:tc>
              <w:tc>
                <w:tcPr>
                  <w:tcW w:w="1721" w:type="pct"/>
                  <w:noWrap w:val="0"/>
                  <w:vAlign w:val="center"/>
                </w:tcPr>
                <w:p w14:paraId="6E2BA232">
                  <w:pPr>
                    <w:jc w:val="center"/>
                    <w:rPr>
                      <w:rFonts w:hint="default" w:ascii="Times New Roman" w:hAnsi="Times New Roman" w:eastAsia="宋体" w:cs="Times New Roman"/>
                      <w:color w:val="auto"/>
                      <w:spacing w:val="0"/>
                      <w:kern w:val="2"/>
                      <w:sz w:val="21"/>
                      <w:szCs w:val="21"/>
                      <w:highlight w:val="none"/>
                      <w:u w:val="none" w:color="auto"/>
                      <w:lang w:val="en-US" w:eastAsia="zh-CN" w:bidi="ar-SA"/>
                    </w:rPr>
                  </w:pPr>
                  <w:r>
                    <w:rPr>
                      <w:rFonts w:hint="default" w:ascii="Times New Roman" w:hAnsi="Times New Roman" w:eastAsia="宋体" w:cs="Times New Roman"/>
                      <w:color w:val="auto"/>
                      <w:spacing w:val="0"/>
                      <w:kern w:val="2"/>
                      <w:sz w:val="21"/>
                      <w:szCs w:val="21"/>
                      <w:highlight w:val="none"/>
                      <w:u w:val="none" w:color="auto"/>
                      <w:lang w:val="en-US" w:eastAsia="zh-CN" w:bidi="ar-SA"/>
                    </w:rPr>
                    <w:t>TA011废气处理系统：布袋除尘+活性炭吸附+20m高排气筒</w:t>
                  </w:r>
                </w:p>
              </w:tc>
              <w:tc>
                <w:tcPr>
                  <w:tcW w:w="2073" w:type="pct"/>
                  <w:noWrap w:val="0"/>
                  <w:vAlign w:val="center"/>
                </w:tcPr>
                <w:p w14:paraId="459F02CB">
                  <w:pPr>
                    <w:autoSpaceDE w:val="0"/>
                    <w:autoSpaceDN w:val="0"/>
                    <w:jc w:val="center"/>
                    <w:rPr>
                      <w:rFonts w:hint="default" w:ascii="Times New Roman" w:hAnsi="Times New Roman" w:eastAsia="宋体" w:cs="Times New Roman"/>
                      <w:color w:val="auto"/>
                      <w:spacing w:val="0"/>
                      <w:kern w:val="0"/>
                      <w:sz w:val="21"/>
                      <w:szCs w:val="21"/>
                      <w:highlight w:val="none"/>
                      <w:u w:val="none" w:color="auto"/>
                      <w:lang w:val="en-US" w:eastAsia="zh-CN"/>
                    </w:rPr>
                  </w:pPr>
                  <w:r>
                    <w:rPr>
                      <w:rFonts w:hint="default" w:ascii="Times New Roman" w:hAnsi="Times New Roman" w:eastAsia="宋体" w:cs="Times New Roman"/>
                      <w:color w:val="auto"/>
                      <w:spacing w:val="0"/>
                      <w:kern w:val="0"/>
                      <w:sz w:val="21"/>
                      <w:szCs w:val="21"/>
                      <w:highlight w:val="none"/>
                      <w:u w:val="none" w:color="auto"/>
                      <w:lang w:val="en-US" w:eastAsia="zh-CN"/>
                    </w:rPr>
                    <w:t>执行</w:t>
                  </w:r>
                  <w:r>
                    <w:rPr>
                      <w:rFonts w:hint="default" w:ascii="Times New Roman" w:hAnsi="Times New Roman" w:eastAsia="宋体" w:cs="Times New Roman"/>
                      <w:color w:val="auto"/>
                      <w:spacing w:val="0"/>
                      <w:kern w:val="0"/>
                      <w:sz w:val="21"/>
                      <w:szCs w:val="21"/>
                      <w:highlight w:val="none"/>
                      <w:u w:val="none" w:color="auto"/>
                    </w:rPr>
                    <w:t>GB16297-1996表2相关限值</w:t>
                  </w:r>
                </w:p>
              </w:tc>
              <w:tc>
                <w:tcPr>
                  <w:tcW w:w="762" w:type="pct"/>
                  <w:noWrap w:val="0"/>
                  <w:vAlign w:val="center"/>
                </w:tcPr>
                <w:p w14:paraId="5325F260">
                  <w:pPr>
                    <w:jc w:val="center"/>
                    <w:rPr>
                      <w:rFonts w:hint="default" w:ascii="Times New Roman" w:hAnsi="Times New Roman" w:eastAsia="宋体" w:cs="Times New Roman"/>
                      <w:color w:val="auto"/>
                      <w:spacing w:val="0"/>
                      <w:kern w:val="2"/>
                      <w:sz w:val="21"/>
                      <w:szCs w:val="24"/>
                      <w:highlight w:val="none"/>
                      <w:u w:val="none" w:color="auto"/>
                      <w:lang w:val="en-US" w:eastAsia="zh-CN" w:bidi="ar-SA"/>
                    </w:rPr>
                  </w:pPr>
                  <w:r>
                    <w:rPr>
                      <w:rFonts w:hint="default" w:ascii="Times New Roman" w:hAnsi="Times New Roman" w:eastAsia="宋体" w:cs="Times New Roman"/>
                      <w:color w:val="auto"/>
                      <w:spacing w:val="0"/>
                      <w:kern w:val="2"/>
                      <w:sz w:val="21"/>
                      <w:szCs w:val="24"/>
                      <w:highlight w:val="none"/>
                      <w:u w:val="none" w:color="auto"/>
                      <w:lang w:val="en-US" w:eastAsia="zh-CN" w:bidi="ar-SA"/>
                    </w:rPr>
                    <w:t>40</w:t>
                  </w:r>
                </w:p>
              </w:tc>
            </w:tr>
            <w:tr w14:paraId="15AB482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42" w:type="pct"/>
                  <w:vMerge w:val="continue"/>
                  <w:noWrap w:val="0"/>
                  <w:vAlign w:val="center"/>
                </w:tcPr>
                <w:p w14:paraId="13812C72">
                  <w:pPr>
                    <w:jc w:val="center"/>
                    <w:rPr>
                      <w:rFonts w:hint="default" w:ascii="Times New Roman" w:hAnsi="Times New Roman" w:eastAsia="宋体" w:cs="Times New Roman"/>
                      <w:color w:val="auto"/>
                      <w:spacing w:val="0"/>
                      <w:szCs w:val="21"/>
                      <w:highlight w:val="none"/>
                      <w:u w:val="none" w:color="auto"/>
                    </w:rPr>
                  </w:pPr>
                </w:p>
              </w:tc>
              <w:tc>
                <w:tcPr>
                  <w:tcW w:w="1721" w:type="pct"/>
                  <w:noWrap w:val="0"/>
                  <w:vAlign w:val="center"/>
                </w:tcPr>
                <w:p w14:paraId="56025C02">
                  <w:pPr>
                    <w:jc w:val="center"/>
                    <w:rPr>
                      <w:rFonts w:hint="default" w:ascii="Times New Roman" w:hAnsi="Times New Roman" w:eastAsia="宋体" w:cs="Times New Roman"/>
                      <w:color w:val="auto"/>
                      <w:spacing w:val="0"/>
                      <w:kern w:val="2"/>
                      <w:sz w:val="21"/>
                      <w:szCs w:val="21"/>
                      <w:highlight w:val="none"/>
                      <w:u w:val="none" w:color="auto"/>
                      <w:lang w:val="en-US" w:eastAsia="zh-CN" w:bidi="ar-SA"/>
                    </w:rPr>
                  </w:pPr>
                  <w:r>
                    <w:rPr>
                      <w:rFonts w:hint="default" w:ascii="Times New Roman" w:hAnsi="Times New Roman" w:eastAsia="宋体" w:cs="Times New Roman"/>
                      <w:color w:val="auto"/>
                      <w:spacing w:val="0"/>
                      <w:kern w:val="2"/>
                      <w:sz w:val="21"/>
                      <w:szCs w:val="21"/>
                      <w:highlight w:val="none"/>
                      <w:u w:val="none" w:color="auto"/>
                      <w:lang w:val="en-US" w:eastAsia="zh-CN" w:bidi="ar-SA"/>
                    </w:rPr>
                    <w:t>移动式布袋除尘器</w:t>
                  </w:r>
                </w:p>
              </w:tc>
              <w:tc>
                <w:tcPr>
                  <w:tcW w:w="2073" w:type="pct"/>
                  <w:vMerge w:val="restart"/>
                  <w:noWrap w:val="0"/>
                  <w:vAlign w:val="center"/>
                </w:tcPr>
                <w:p w14:paraId="27EC83BC">
                  <w:pPr>
                    <w:autoSpaceDE w:val="0"/>
                    <w:autoSpaceDN w:val="0"/>
                    <w:jc w:val="center"/>
                    <w:rPr>
                      <w:rFonts w:hint="default" w:ascii="Times New Roman" w:hAnsi="Times New Roman" w:eastAsia="宋体" w:cs="Times New Roman"/>
                      <w:color w:val="auto"/>
                      <w:spacing w:val="0"/>
                      <w:kern w:val="0"/>
                      <w:sz w:val="21"/>
                      <w:szCs w:val="21"/>
                      <w:highlight w:val="none"/>
                      <w:u w:val="none" w:color="auto"/>
                      <w:lang w:val="en-US" w:eastAsia="zh-CN"/>
                    </w:rPr>
                  </w:pPr>
                  <w:r>
                    <w:rPr>
                      <w:rFonts w:hint="default" w:ascii="Times New Roman" w:hAnsi="Times New Roman" w:eastAsia="宋体" w:cs="Times New Roman"/>
                      <w:color w:val="auto"/>
                      <w:spacing w:val="0"/>
                      <w:kern w:val="0"/>
                      <w:sz w:val="21"/>
                      <w:szCs w:val="21"/>
                      <w:highlight w:val="none"/>
                      <w:u w:val="none" w:color="auto"/>
                      <w:lang w:val="en-US" w:eastAsia="zh-CN"/>
                    </w:rPr>
                    <w:t>厂界满足《大气污染物综合排放标准》（GB16297-1996）中的表2的无组织排放浓度监控限值；厂区内厂房外废气满足《铸造工业大气污染物排放标准》（GB39726-2020）表A.1的标准限值</w:t>
                  </w:r>
                </w:p>
              </w:tc>
              <w:tc>
                <w:tcPr>
                  <w:tcW w:w="762" w:type="pct"/>
                  <w:noWrap w:val="0"/>
                  <w:vAlign w:val="center"/>
                </w:tcPr>
                <w:p w14:paraId="36A2D250">
                  <w:pPr>
                    <w:jc w:val="center"/>
                    <w:rPr>
                      <w:rFonts w:hint="default" w:ascii="Times New Roman" w:hAnsi="Times New Roman" w:eastAsia="宋体" w:cs="Times New Roman"/>
                      <w:color w:val="auto"/>
                      <w:spacing w:val="0"/>
                      <w:kern w:val="2"/>
                      <w:sz w:val="21"/>
                      <w:szCs w:val="24"/>
                      <w:highlight w:val="none"/>
                      <w:u w:val="none" w:color="auto"/>
                      <w:lang w:val="en-US" w:eastAsia="zh-CN" w:bidi="ar-SA"/>
                    </w:rPr>
                  </w:pPr>
                  <w:r>
                    <w:rPr>
                      <w:rFonts w:hint="default" w:ascii="Times New Roman" w:hAnsi="Times New Roman" w:eastAsia="宋体" w:cs="Times New Roman"/>
                      <w:color w:val="auto"/>
                      <w:spacing w:val="0"/>
                      <w:kern w:val="2"/>
                      <w:sz w:val="21"/>
                      <w:szCs w:val="24"/>
                      <w:highlight w:val="none"/>
                      <w:u w:val="none" w:color="auto"/>
                      <w:lang w:val="en-US" w:eastAsia="zh-CN" w:bidi="ar-SA"/>
                    </w:rPr>
                    <w:t>/（激光打标设备自带）</w:t>
                  </w:r>
                </w:p>
              </w:tc>
            </w:tr>
            <w:tr w14:paraId="16C7680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42" w:type="pct"/>
                  <w:vMerge w:val="continue"/>
                  <w:noWrap w:val="0"/>
                  <w:vAlign w:val="center"/>
                </w:tcPr>
                <w:p w14:paraId="23E30CC5">
                  <w:pPr>
                    <w:jc w:val="center"/>
                    <w:rPr>
                      <w:rFonts w:hint="default" w:ascii="Times New Roman" w:hAnsi="Times New Roman" w:eastAsia="宋体" w:cs="Times New Roman"/>
                      <w:color w:val="auto"/>
                      <w:spacing w:val="0"/>
                      <w:szCs w:val="21"/>
                      <w:highlight w:val="none"/>
                      <w:u w:val="none" w:color="auto"/>
                    </w:rPr>
                  </w:pPr>
                </w:p>
              </w:tc>
              <w:tc>
                <w:tcPr>
                  <w:tcW w:w="1721" w:type="pct"/>
                  <w:noWrap w:val="0"/>
                  <w:vAlign w:val="center"/>
                </w:tcPr>
                <w:p w14:paraId="41A9EABE">
                  <w:pPr>
                    <w:jc w:val="center"/>
                    <w:rPr>
                      <w:rFonts w:hint="default" w:ascii="Times New Roman" w:hAnsi="Times New Roman" w:eastAsia="宋体" w:cs="Times New Roman"/>
                      <w:color w:val="auto"/>
                      <w:spacing w:val="0"/>
                      <w:kern w:val="2"/>
                      <w:sz w:val="21"/>
                      <w:szCs w:val="21"/>
                      <w:highlight w:val="none"/>
                      <w:u w:val="none" w:color="auto"/>
                      <w:lang w:val="en-US" w:eastAsia="zh-CN" w:bidi="ar-SA"/>
                    </w:rPr>
                  </w:pPr>
                  <w:r>
                    <w:rPr>
                      <w:rFonts w:hint="default" w:ascii="Times New Roman" w:hAnsi="Times New Roman" w:eastAsia="宋体" w:cs="Times New Roman"/>
                      <w:color w:val="auto"/>
                      <w:spacing w:val="0"/>
                      <w:kern w:val="2"/>
                      <w:sz w:val="21"/>
                      <w:szCs w:val="21"/>
                      <w:highlight w:val="none"/>
                      <w:u w:val="none" w:color="auto"/>
                      <w:lang w:val="en-US" w:eastAsia="zh-CN" w:bidi="ar-SA"/>
                    </w:rPr>
                    <w:t>车间内各废气点集气设施</w:t>
                  </w:r>
                </w:p>
              </w:tc>
              <w:tc>
                <w:tcPr>
                  <w:tcW w:w="2073" w:type="pct"/>
                  <w:vMerge w:val="continue"/>
                  <w:noWrap w:val="0"/>
                  <w:vAlign w:val="center"/>
                </w:tcPr>
                <w:p w14:paraId="08797D61">
                  <w:pPr>
                    <w:autoSpaceDE w:val="0"/>
                    <w:autoSpaceDN w:val="0"/>
                    <w:jc w:val="center"/>
                    <w:rPr>
                      <w:rFonts w:hint="default" w:ascii="Times New Roman" w:hAnsi="Times New Roman" w:eastAsia="宋体" w:cs="Times New Roman"/>
                      <w:color w:val="auto"/>
                      <w:spacing w:val="0"/>
                      <w:kern w:val="0"/>
                      <w:sz w:val="21"/>
                      <w:szCs w:val="21"/>
                      <w:highlight w:val="none"/>
                      <w:u w:val="none" w:color="auto"/>
                      <w:lang w:val="en-US" w:eastAsia="zh-CN"/>
                    </w:rPr>
                  </w:pPr>
                </w:p>
              </w:tc>
              <w:tc>
                <w:tcPr>
                  <w:tcW w:w="762" w:type="pct"/>
                  <w:noWrap w:val="0"/>
                  <w:vAlign w:val="center"/>
                </w:tcPr>
                <w:p w14:paraId="5FA4CCF3">
                  <w:pPr>
                    <w:jc w:val="center"/>
                    <w:rPr>
                      <w:rFonts w:hint="default" w:ascii="Times New Roman" w:hAnsi="Times New Roman" w:eastAsia="宋体" w:cs="Times New Roman"/>
                      <w:color w:val="auto"/>
                      <w:spacing w:val="0"/>
                      <w:kern w:val="2"/>
                      <w:sz w:val="21"/>
                      <w:szCs w:val="24"/>
                      <w:highlight w:val="none"/>
                      <w:u w:val="none" w:color="auto"/>
                      <w:lang w:val="en-US" w:eastAsia="zh-CN" w:bidi="ar-SA"/>
                    </w:rPr>
                  </w:pPr>
                  <w:r>
                    <w:rPr>
                      <w:rFonts w:hint="default" w:ascii="Times New Roman" w:hAnsi="Times New Roman" w:eastAsia="宋体" w:cs="Times New Roman"/>
                      <w:color w:val="auto"/>
                      <w:spacing w:val="0"/>
                      <w:kern w:val="2"/>
                      <w:sz w:val="21"/>
                      <w:szCs w:val="24"/>
                      <w:highlight w:val="none"/>
                      <w:u w:val="none" w:color="auto"/>
                      <w:lang w:val="en-US" w:eastAsia="zh-CN" w:bidi="ar-SA"/>
                    </w:rPr>
                    <w:t>15</w:t>
                  </w:r>
                </w:p>
              </w:tc>
            </w:tr>
            <w:tr w14:paraId="32F2556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42" w:type="pct"/>
                  <w:noWrap w:val="0"/>
                  <w:vAlign w:val="center"/>
                </w:tcPr>
                <w:p w14:paraId="08473809">
                  <w:pPr>
                    <w:jc w:val="center"/>
                    <w:rPr>
                      <w:rFonts w:hint="default" w:ascii="Times New Roman" w:hAnsi="Times New Roman" w:eastAsia="宋体" w:cs="Times New Roman"/>
                      <w:color w:val="auto"/>
                      <w:spacing w:val="0"/>
                      <w:szCs w:val="21"/>
                      <w:highlight w:val="none"/>
                      <w:u w:val="none" w:color="auto"/>
                      <w:lang w:val="en-US" w:eastAsia="zh-CN"/>
                    </w:rPr>
                  </w:pPr>
                  <w:r>
                    <w:rPr>
                      <w:rFonts w:hint="default" w:ascii="Times New Roman" w:hAnsi="Times New Roman" w:eastAsia="宋体" w:cs="Times New Roman"/>
                      <w:color w:val="auto"/>
                      <w:spacing w:val="0"/>
                      <w:szCs w:val="21"/>
                      <w:highlight w:val="none"/>
                      <w:u w:val="none" w:color="auto"/>
                      <w:lang w:val="en-US" w:eastAsia="zh-CN"/>
                    </w:rPr>
                    <w:t>噪声</w:t>
                  </w:r>
                </w:p>
              </w:tc>
              <w:tc>
                <w:tcPr>
                  <w:tcW w:w="1721" w:type="pct"/>
                  <w:noWrap w:val="0"/>
                  <w:vAlign w:val="center"/>
                </w:tcPr>
                <w:p w14:paraId="2B0F62A8">
                  <w:pPr>
                    <w:jc w:val="center"/>
                    <w:rPr>
                      <w:rFonts w:hint="default" w:ascii="Times New Roman" w:hAnsi="Times New Roman" w:eastAsia="宋体" w:cs="Times New Roman"/>
                      <w:color w:val="auto"/>
                      <w:spacing w:val="0"/>
                      <w:kern w:val="2"/>
                      <w:sz w:val="21"/>
                      <w:szCs w:val="21"/>
                      <w:highlight w:val="none"/>
                      <w:u w:val="none" w:color="auto"/>
                      <w:lang w:val="en-US" w:eastAsia="zh-CN" w:bidi="ar-SA"/>
                    </w:rPr>
                  </w:pPr>
                  <w:r>
                    <w:rPr>
                      <w:rFonts w:hint="default" w:ascii="Times New Roman" w:hAnsi="Times New Roman" w:eastAsia="宋体" w:cs="Times New Roman"/>
                      <w:bCs/>
                      <w:color w:val="auto"/>
                      <w:spacing w:val="0"/>
                      <w:szCs w:val="21"/>
                      <w:highlight w:val="none"/>
                      <w:u w:val="none" w:color="auto"/>
                    </w:rPr>
                    <w:t>结构隔声、基础减振、消声等措施</w:t>
                  </w:r>
                </w:p>
              </w:tc>
              <w:tc>
                <w:tcPr>
                  <w:tcW w:w="2073" w:type="pct"/>
                  <w:noWrap w:val="0"/>
                  <w:vAlign w:val="center"/>
                </w:tcPr>
                <w:p w14:paraId="6D9BD671">
                  <w:pPr>
                    <w:jc w:val="center"/>
                    <w:rPr>
                      <w:rFonts w:hint="default" w:ascii="Times New Roman" w:hAnsi="Times New Roman" w:eastAsia="宋体" w:cs="Times New Roman"/>
                      <w:color w:val="auto"/>
                      <w:spacing w:val="0"/>
                      <w:kern w:val="2"/>
                      <w:sz w:val="21"/>
                      <w:szCs w:val="21"/>
                      <w:highlight w:val="none"/>
                      <w:u w:val="none" w:color="auto"/>
                      <w:lang w:val="en-US" w:eastAsia="zh-CN" w:bidi="ar-SA"/>
                    </w:rPr>
                  </w:pPr>
                  <w:r>
                    <w:rPr>
                      <w:rFonts w:hint="default" w:ascii="Times New Roman" w:hAnsi="Times New Roman" w:eastAsia="宋体" w:cs="Times New Roman"/>
                      <w:color w:val="auto"/>
                      <w:spacing w:val="0"/>
                      <w:szCs w:val="21"/>
                      <w:highlight w:val="none"/>
                      <w:u w:val="none" w:color="auto"/>
                      <w:lang w:val="en-US" w:eastAsia="zh-CN"/>
                    </w:rPr>
                    <w:t>满足</w:t>
                  </w:r>
                  <w:r>
                    <w:rPr>
                      <w:rFonts w:hint="default" w:ascii="Times New Roman" w:hAnsi="Times New Roman" w:eastAsia="宋体" w:cs="Times New Roman"/>
                      <w:color w:val="auto"/>
                      <w:spacing w:val="0"/>
                      <w:szCs w:val="21"/>
                      <w:highlight w:val="none"/>
                      <w:u w:val="none" w:color="auto"/>
                    </w:rPr>
                    <w:t>《工业企业厂界环境噪声排放标准》（GB12348-2008）</w:t>
                  </w:r>
                  <w:r>
                    <w:rPr>
                      <w:rFonts w:hint="default" w:ascii="Times New Roman" w:hAnsi="Times New Roman" w:eastAsia="宋体" w:cs="Times New Roman"/>
                      <w:color w:val="auto"/>
                      <w:spacing w:val="0"/>
                      <w:szCs w:val="21"/>
                      <w:highlight w:val="none"/>
                      <w:u w:val="none" w:color="auto"/>
                      <w:lang w:val="en-US" w:eastAsia="zh-CN"/>
                    </w:rPr>
                    <w:t>中相关标准要求</w:t>
                  </w:r>
                </w:p>
              </w:tc>
              <w:tc>
                <w:tcPr>
                  <w:tcW w:w="762" w:type="pct"/>
                  <w:noWrap w:val="0"/>
                  <w:vAlign w:val="center"/>
                </w:tcPr>
                <w:p w14:paraId="7CFE4D83">
                  <w:pPr>
                    <w:jc w:val="center"/>
                    <w:rPr>
                      <w:rFonts w:hint="default" w:ascii="Times New Roman" w:hAnsi="Times New Roman" w:eastAsia="宋体" w:cs="Times New Roman"/>
                      <w:color w:val="auto"/>
                      <w:spacing w:val="0"/>
                      <w:highlight w:val="none"/>
                      <w:u w:val="none" w:color="auto"/>
                      <w:lang w:val="en-US" w:eastAsia="zh-CN"/>
                    </w:rPr>
                  </w:pPr>
                  <w:r>
                    <w:rPr>
                      <w:rFonts w:hint="default" w:ascii="Times New Roman" w:hAnsi="Times New Roman" w:eastAsia="宋体" w:cs="Times New Roman"/>
                      <w:color w:val="auto"/>
                      <w:spacing w:val="0"/>
                      <w:highlight w:val="none"/>
                      <w:u w:val="none" w:color="auto"/>
                      <w:lang w:val="en-US" w:eastAsia="zh-CN"/>
                    </w:rPr>
                    <w:t>10</w:t>
                  </w:r>
                </w:p>
              </w:tc>
            </w:tr>
            <w:tr w14:paraId="5FB572F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42" w:type="pct"/>
                  <w:noWrap w:val="0"/>
                  <w:vAlign w:val="center"/>
                </w:tcPr>
                <w:p w14:paraId="4D9CB60B">
                  <w:pPr>
                    <w:jc w:val="center"/>
                    <w:rPr>
                      <w:rFonts w:hint="default" w:ascii="Times New Roman" w:hAnsi="Times New Roman" w:eastAsia="宋体" w:cs="Times New Roman"/>
                      <w:color w:val="auto"/>
                      <w:spacing w:val="0"/>
                      <w:szCs w:val="21"/>
                      <w:highlight w:val="none"/>
                      <w:u w:val="none" w:color="auto"/>
                    </w:rPr>
                  </w:pPr>
                  <w:r>
                    <w:rPr>
                      <w:rFonts w:hint="default" w:ascii="Times New Roman" w:hAnsi="Times New Roman" w:eastAsia="宋体" w:cs="Times New Roman"/>
                      <w:color w:val="auto"/>
                      <w:spacing w:val="0"/>
                      <w:szCs w:val="21"/>
                      <w:highlight w:val="none"/>
                      <w:u w:val="none" w:color="auto"/>
                    </w:rPr>
                    <w:t>固废</w:t>
                  </w:r>
                </w:p>
              </w:tc>
              <w:tc>
                <w:tcPr>
                  <w:tcW w:w="1721" w:type="pct"/>
                  <w:noWrap w:val="0"/>
                  <w:vAlign w:val="center"/>
                </w:tcPr>
                <w:p w14:paraId="71EB8B8D">
                  <w:pPr>
                    <w:jc w:val="center"/>
                    <w:rPr>
                      <w:rFonts w:hint="default" w:ascii="Times New Roman" w:hAnsi="Times New Roman" w:eastAsia="宋体" w:cs="Times New Roman"/>
                      <w:color w:val="auto"/>
                      <w:spacing w:val="0"/>
                      <w:kern w:val="2"/>
                      <w:sz w:val="21"/>
                      <w:szCs w:val="21"/>
                      <w:highlight w:val="none"/>
                      <w:u w:val="none" w:color="auto"/>
                      <w:lang w:val="en-US" w:eastAsia="zh-CN" w:bidi="ar-SA"/>
                    </w:rPr>
                  </w:pPr>
                  <w:r>
                    <w:rPr>
                      <w:rFonts w:hint="default" w:ascii="Times New Roman" w:hAnsi="Times New Roman" w:eastAsia="宋体" w:cs="Times New Roman"/>
                      <w:color w:val="auto"/>
                      <w:spacing w:val="0"/>
                      <w:kern w:val="2"/>
                      <w:sz w:val="21"/>
                      <w:szCs w:val="21"/>
                      <w:highlight w:val="none"/>
                      <w:u w:val="none" w:color="auto"/>
                      <w:lang w:val="en-US" w:eastAsia="zh-CN" w:bidi="ar-SA"/>
                    </w:rPr>
                    <w:t>危废暂存库（含TS001~TS003危废暂存间）</w:t>
                  </w:r>
                </w:p>
              </w:tc>
              <w:tc>
                <w:tcPr>
                  <w:tcW w:w="2073" w:type="pct"/>
                  <w:noWrap w:val="0"/>
                  <w:vAlign w:val="center"/>
                </w:tcPr>
                <w:p w14:paraId="12A3DE80">
                  <w:pPr>
                    <w:jc w:val="center"/>
                    <w:rPr>
                      <w:rFonts w:hint="default" w:ascii="Times New Roman" w:hAnsi="Times New Roman" w:eastAsia="宋体" w:cs="Times New Roman"/>
                      <w:color w:val="auto"/>
                      <w:spacing w:val="0"/>
                      <w:szCs w:val="21"/>
                      <w:highlight w:val="none"/>
                      <w:u w:val="none" w:color="auto"/>
                    </w:rPr>
                  </w:pPr>
                  <w:r>
                    <w:rPr>
                      <w:rFonts w:hint="default" w:ascii="Times New Roman" w:hAnsi="Times New Roman" w:eastAsia="宋体" w:cs="Times New Roman"/>
                      <w:color w:val="auto"/>
                      <w:spacing w:val="0"/>
                      <w:szCs w:val="21"/>
                      <w:highlight w:val="none"/>
                      <w:u w:val="none" w:color="auto"/>
                    </w:rPr>
                    <w:t>不排入外环境，妥善处置</w:t>
                  </w:r>
                </w:p>
              </w:tc>
              <w:tc>
                <w:tcPr>
                  <w:tcW w:w="762" w:type="pct"/>
                  <w:noWrap w:val="0"/>
                  <w:vAlign w:val="center"/>
                </w:tcPr>
                <w:p w14:paraId="5E3111E0">
                  <w:pPr>
                    <w:jc w:val="center"/>
                    <w:rPr>
                      <w:rFonts w:hint="default" w:ascii="Times New Roman" w:hAnsi="Times New Roman" w:eastAsia="宋体" w:cs="Times New Roman"/>
                      <w:color w:val="auto"/>
                      <w:spacing w:val="0"/>
                      <w:szCs w:val="21"/>
                      <w:highlight w:val="none"/>
                      <w:u w:val="none" w:color="auto"/>
                      <w:lang w:val="en-US" w:eastAsia="zh-CN"/>
                    </w:rPr>
                  </w:pPr>
                  <w:r>
                    <w:rPr>
                      <w:rFonts w:hint="default" w:ascii="Times New Roman" w:hAnsi="Times New Roman" w:eastAsia="宋体" w:cs="Times New Roman"/>
                      <w:color w:val="auto"/>
                      <w:spacing w:val="0"/>
                      <w:szCs w:val="21"/>
                      <w:highlight w:val="none"/>
                      <w:u w:val="none" w:color="auto"/>
                      <w:lang w:val="en-US" w:eastAsia="zh-CN"/>
                    </w:rPr>
                    <w:t>/（依托现有）</w:t>
                  </w:r>
                </w:p>
              </w:tc>
            </w:tr>
            <w:tr w14:paraId="545F50E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42" w:type="pct"/>
                  <w:noWrap w:val="0"/>
                  <w:vAlign w:val="center"/>
                </w:tcPr>
                <w:p w14:paraId="5E738F3F">
                  <w:pPr>
                    <w:jc w:val="center"/>
                    <w:rPr>
                      <w:rFonts w:hint="default" w:ascii="Times New Roman" w:hAnsi="Times New Roman" w:eastAsia="宋体" w:cs="Times New Roman"/>
                      <w:color w:val="auto"/>
                      <w:spacing w:val="0"/>
                      <w:szCs w:val="21"/>
                      <w:highlight w:val="none"/>
                      <w:u w:val="none" w:color="auto"/>
                      <w:lang w:val="en-US" w:eastAsia="zh-CN"/>
                    </w:rPr>
                  </w:pPr>
                  <w:r>
                    <w:rPr>
                      <w:rFonts w:hint="default" w:ascii="Times New Roman" w:hAnsi="Times New Roman" w:eastAsia="宋体" w:cs="Times New Roman"/>
                      <w:color w:val="auto"/>
                      <w:spacing w:val="0"/>
                      <w:szCs w:val="21"/>
                      <w:highlight w:val="none"/>
                      <w:u w:val="none" w:color="auto"/>
                      <w:lang w:val="en-US" w:eastAsia="zh-CN"/>
                    </w:rPr>
                    <w:t>风险</w:t>
                  </w:r>
                </w:p>
              </w:tc>
              <w:tc>
                <w:tcPr>
                  <w:tcW w:w="1721" w:type="pct"/>
                  <w:noWrap w:val="0"/>
                  <w:vAlign w:val="center"/>
                </w:tcPr>
                <w:p w14:paraId="60E58F9D">
                  <w:pPr>
                    <w:jc w:val="center"/>
                    <w:rPr>
                      <w:rFonts w:hint="default" w:ascii="Times New Roman" w:hAnsi="Times New Roman" w:eastAsia="宋体" w:cs="Times New Roman"/>
                      <w:color w:val="auto"/>
                      <w:spacing w:val="0"/>
                      <w:kern w:val="2"/>
                      <w:sz w:val="21"/>
                      <w:szCs w:val="21"/>
                      <w:highlight w:val="none"/>
                      <w:u w:val="none" w:color="auto"/>
                      <w:lang w:val="en-US" w:eastAsia="zh-CN" w:bidi="ar-SA"/>
                    </w:rPr>
                  </w:pPr>
                  <w:r>
                    <w:rPr>
                      <w:rFonts w:hint="default" w:ascii="Times New Roman" w:hAnsi="Times New Roman" w:eastAsia="宋体" w:cs="Times New Roman"/>
                      <w:color w:val="auto"/>
                      <w:spacing w:val="0"/>
                      <w:kern w:val="2"/>
                      <w:sz w:val="21"/>
                      <w:szCs w:val="21"/>
                      <w:highlight w:val="none"/>
                      <w:u w:val="none" w:color="auto"/>
                      <w:lang w:val="en-US" w:eastAsia="zh-CN" w:bidi="ar-SA"/>
                    </w:rPr>
                    <w:t>天然气管道泄漏自动检测装置</w:t>
                  </w:r>
                </w:p>
              </w:tc>
              <w:tc>
                <w:tcPr>
                  <w:tcW w:w="2073" w:type="pct"/>
                  <w:noWrap w:val="0"/>
                  <w:vAlign w:val="center"/>
                </w:tcPr>
                <w:p w14:paraId="1056F7AC">
                  <w:pPr>
                    <w:jc w:val="center"/>
                    <w:rPr>
                      <w:rFonts w:hint="default" w:ascii="Times New Roman" w:hAnsi="Times New Roman" w:eastAsia="宋体" w:cs="Times New Roman"/>
                      <w:color w:val="auto"/>
                      <w:spacing w:val="0"/>
                      <w:szCs w:val="21"/>
                      <w:highlight w:val="none"/>
                      <w:u w:val="none" w:color="auto"/>
                      <w:lang w:val="en-US" w:eastAsia="zh-CN"/>
                    </w:rPr>
                  </w:pPr>
                  <w:r>
                    <w:rPr>
                      <w:rFonts w:hint="default" w:ascii="Times New Roman" w:hAnsi="Times New Roman" w:eastAsia="宋体" w:cs="Times New Roman"/>
                      <w:color w:val="auto"/>
                      <w:spacing w:val="0"/>
                      <w:szCs w:val="21"/>
                      <w:highlight w:val="none"/>
                      <w:u w:val="none" w:color="auto"/>
                      <w:lang w:val="en-US" w:eastAsia="zh-CN"/>
                    </w:rPr>
                    <w:t>满足风险防控要求</w:t>
                  </w:r>
                </w:p>
              </w:tc>
              <w:tc>
                <w:tcPr>
                  <w:tcW w:w="762" w:type="pct"/>
                  <w:noWrap w:val="0"/>
                  <w:vAlign w:val="center"/>
                </w:tcPr>
                <w:p w14:paraId="57BC2CF5">
                  <w:pPr>
                    <w:jc w:val="center"/>
                    <w:rPr>
                      <w:rFonts w:hint="default" w:ascii="Times New Roman" w:hAnsi="Times New Roman" w:eastAsia="宋体" w:cs="Times New Roman"/>
                      <w:color w:val="auto"/>
                      <w:spacing w:val="0"/>
                      <w:szCs w:val="21"/>
                      <w:highlight w:val="none"/>
                      <w:u w:val="none" w:color="auto"/>
                      <w:lang w:val="en-US" w:eastAsia="zh-CN"/>
                    </w:rPr>
                  </w:pPr>
                  <w:r>
                    <w:rPr>
                      <w:rFonts w:hint="default" w:ascii="Times New Roman" w:hAnsi="Times New Roman" w:eastAsia="宋体" w:cs="Times New Roman"/>
                      <w:color w:val="auto"/>
                      <w:spacing w:val="0"/>
                      <w:szCs w:val="21"/>
                      <w:highlight w:val="none"/>
                      <w:u w:val="none" w:color="auto"/>
                      <w:lang w:val="en-US" w:eastAsia="zh-CN"/>
                    </w:rPr>
                    <w:t>2</w:t>
                  </w:r>
                </w:p>
              </w:tc>
            </w:tr>
            <w:tr w14:paraId="324C685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10" w:hRule="atLeast"/>
                <w:jc w:val="center"/>
              </w:trPr>
              <w:tc>
                <w:tcPr>
                  <w:tcW w:w="4237" w:type="pct"/>
                  <w:gridSpan w:val="3"/>
                  <w:noWrap w:val="0"/>
                  <w:vAlign w:val="center"/>
                </w:tcPr>
                <w:p w14:paraId="3920DCD1">
                  <w:pPr>
                    <w:jc w:val="center"/>
                    <w:rPr>
                      <w:rFonts w:hint="default" w:ascii="Times New Roman" w:hAnsi="Times New Roman" w:eastAsia="宋体" w:cs="Times New Roman"/>
                      <w:b/>
                      <w:color w:val="auto"/>
                      <w:spacing w:val="0"/>
                      <w:szCs w:val="21"/>
                      <w:highlight w:val="none"/>
                      <w:u w:val="none" w:color="auto"/>
                    </w:rPr>
                  </w:pPr>
                  <w:r>
                    <w:rPr>
                      <w:rFonts w:hint="default" w:ascii="Times New Roman" w:hAnsi="Times New Roman" w:eastAsia="宋体" w:cs="Times New Roman"/>
                      <w:b/>
                      <w:color w:val="auto"/>
                      <w:spacing w:val="0"/>
                      <w:szCs w:val="21"/>
                      <w:highlight w:val="none"/>
                      <w:u w:val="none" w:color="auto"/>
                    </w:rPr>
                    <w:t>小计</w:t>
                  </w:r>
                </w:p>
              </w:tc>
              <w:tc>
                <w:tcPr>
                  <w:tcW w:w="762" w:type="pct"/>
                  <w:noWrap w:val="0"/>
                  <w:vAlign w:val="center"/>
                </w:tcPr>
                <w:p w14:paraId="29F9A44D">
                  <w:pPr>
                    <w:jc w:val="center"/>
                    <w:rPr>
                      <w:rFonts w:hint="default" w:ascii="Times New Roman" w:hAnsi="Times New Roman" w:eastAsia="宋体" w:cs="Times New Roman"/>
                      <w:b/>
                      <w:color w:val="auto"/>
                      <w:spacing w:val="0"/>
                      <w:szCs w:val="21"/>
                      <w:highlight w:val="none"/>
                      <w:u w:val="none" w:color="auto"/>
                      <w:lang w:val="en-US" w:eastAsia="zh-CN"/>
                    </w:rPr>
                  </w:pPr>
                  <w:r>
                    <w:rPr>
                      <w:rFonts w:hint="default" w:ascii="Times New Roman" w:hAnsi="Times New Roman" w:eastAsia="宋体" w:cs="Times New Roman"/>
                      <w:b/>
                      <w:color w:val="auto"/>
                      <w:spacing w:val="0"/>
                      <w:szCs w:val="21"/>
                      <w:highlight w:val="none"/>
                      <w:u w:val="none" w:color="auto"/>
                      <w:lang w:val="en-US" w:eastAsia="zh-CN"/>
                    </w:rPr>
                    <w:t>217</w:t>
                  </w:r>
                </w:p>
              </w:tc>
            </w:tr>
            <w:tr w14:paraId="6C80ADF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000" w:type="pct"/>
                  <w:gridSpan w:val="4"/>
                  <w:noWrap w:val="0"/>
                  <w:vAlign w:val="center"/>
                </w:tcPr>
                <w:p w14:paraId="362568E3">
                  <w:pPr>
                    <w:jc w:val="center"/>
                    <w:rPr>
                      <w:rFonts w:hint="default" w:ascii="Times New Roman" w:hAnsi="Times New Roman" w:eastAsia="宋体" w:cs="Times New Roman"/>
                      <w:b/>
                      <w:bCs/>
                      <w:color w:val="auto"/>
                      <w:spacing w:val="0"/>
                      <w:szCs w:val="21"/>
                      <w:highlight w:val="none"/>
                      <w:u w:val="none" w:color="auto"/>
                      <w:lang w:val="en-US" w:eastAsia="zh-CN"/>
                    </w:rPr>
                  </w:pPr>
                  <w:r>
                    <w:rPr>
                      <w:rFonts w:hint="default" w:ascii="Times New Roman" w:hAnsi="Times New Roman" w:eastAsia="宋体" w:cs="Times New Roman"/>
                      <w:b/>
                      <w:bCs/>
                      <w:color w:val="auto"/>
                      <w:spacing w:val="0"/>
                      <w:szCs w:val="21"/>
                      <w:highlight w:val="none"/>
                      <w:u w:val="none" w:color="auto"/>
                      <w:lang w:val="en-US" w:eastAsia="zh-CN"/>
                    </w:rPr>
                    <w:t>临港高新产业园区废气</w:t>
                  </w:r>
                </w:p>
              </w:tc>
            </w:tr>
            <w:tr w14:paraId="4E46318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42" w:type="pct"/>
                  <w:vMerge w:val="restart"/>
                  <w:noWrap w:val="0"/>
                  <w:vAlign w:val="center"/>
                </w:tcPr>
                <w:p w14:paraId="5CC901E7">
                  <w:pPr>
                    <w:jc w:val="center"/>
                    <w:rPr>
                      <w:rFonts w:hint="default" w:ascii="Times New Roman" w:hAnsi="Times New Roman" w:eastAsia="宋体" w:cs="Times New Roman"/>
                      <w:color w:val="auto"/>
                      <w:spacing w:val="0"/>
                      <w:szCs w:val="21"/>
                      <w:highlight w:val="none"/>
                      <w:u w:val="none" w:color="auto"/>
                    </w:rPr>
                  </w:pPr>
                  <w:r>
                    <w:rPr>
                      <w:rFonts w:hint="default" w:ascii="Times New Roman" w:hAnsi="Times New Roman" w:eastAsia="宋体" w:cs="Times New Roman"/>
                      <w:color w:val="auto"/>
                      <w:spacing w:val="0"/>
                      <w:szCs w:val="21"/>
                      <w:highlight w:val="none"/>
                      <w:u w:val="none" w:color="auto"/>
                    </w:rPr>
                    <w:t>废气</w:t>
                  </w:r>
                </w:p>
              </w:tc>
              <w:tc>
                <w:tcPr>
                  <w:tcW w:w="1721" w:type="pct"/>
                  <w:noWrap w:val="0"/>
                  <w:vAlign w:val="center"/>
                </w:tcPr>
                <w:p w14:paraId="6E713CDF">
                  <w:pPr>
                    <w:jc w:val="center"/>
                    <w:rPr>
                      <w:rFonts w:hint="default" w:ascii="Times New Roman" w:hAnsi="Times New Roman" w:eastAsia="宋体" w:cs="Times New Roman"/>
                      <w:color w:val="auto"/>
                      <w:spacing w:val="0"/>
                      <w:kern w:val="2"/>
                      <w:sz w:val="21"/>
                      <w:szCs w:val="21"/>
                      <w:highlight w:val="none"/>
                      <w:u w:val="none" w:color="auto"/>
                      <w:lang w:val="en-US" w:eastAsia="zh-CN" w:bidi="ar-SA"/>
                    </w:rPr>
                  </w:pPr>
                  <w:r>
                    <w:rPr>
                      <w:rFonts w:hint="default" w:ascii="Times New Roman" w:hAnsi="Times New Roman" w:eastAsia="宋体" w:cs="Times New Roman"/>
                      <w:color w:val="auto"/>
                      <w:u w:val="none" w:color="auto"/>
                    </w:rPr>
                    <w:t>TA012废气处理系统：干湿分离器+二级活性炭吸附处理+15m高排气筒</w:t>
                  </w:r>
                </w:p>
              </w:tc>
              <w:tc>
                <w:tcPr>
                  <w:tcW w:w="2073" w:type="pct"/>
                  <w:noWrap w:val="0"/>
                  <w:vAlign w:val="center"/>
                </w:tcPr>
                <w:p w14:paraId="751B9E66">
                  <w:pPr>
                    <w:autoSpaceDE w:val="0"/>
                    <w:autoSpaceDN w:val="0"/>
                    <w:jc w:val="center"/>
                    <w:rPr>
                      <w:rFonts w:hint="default" w:ascii="Times New Roman" w:hAnsi="Times New Roman" w:eastAsia="宋体" w:cs="Times New Roman"/>
                      <w:color w:val="auto"/>
                      <w:spacing w:val="0"/>
                      <w:kern w:val="2"/>
                      <w:sz w:val="21"/>
                      <w:szCs w:val="21"/>
                      <w:highlight w:val="none"/>
                      <w:u w:val="none" w:color="auto"/>
                      <w:lang w:val="en-US" w:eastAsia="zh-CN" w:bidi="ar-SA"/>
                    </w:rPr>
                  </w:pPr>
                  <w:r>
                    <w:rPr>
                      <w:rFonts w:hint="default" w:ascii="Times New Roman" w:hAnsi="Times New Roman" w:eastAsia="宋体" w:cs="Times New Roman"/>
                      <w:color w:val="auto"/>
                      <w:spacing w:val="0"/>
                      <w:kern w:val="0"/>
                      <w:sz w:val="21"/>
                      <w:szCs w:val="21"/>
                      <w:highlight w:val="none"/>
                      <w:u w:val="none" w:color="auto"/>
                      <w:lang w:val="en-US" w:eastAsia="zh-CN"/>
                    </w:rPr>
                    <w:t>《表面涂装(汽车制造及维修)挥发性有机物、镍排放标准》（DB43/ 1356-2017）表1的汽车制造排放标准</w:t>
                  </w:r>
                </w:p>
              </w:tc>
              <w:tc>
                <w:tcPr>
                  <w:tcW w:w="762" w:type="pct"/>
                  <w:noWrap w:val="0"/>
                  <w:vAlign w:val="center"/>
                </w:tcPr>
                <w:p w14:paraId="6B32E9FD">
                  <w:pPr>
                    <w:jc w:val="center"/>
                    <w:rPr>
                      <w:rFonts w:hint="default" w:ascii="Times New Roman" w:hAnsi="Times New Roman" w:eastAsia="宋体" w:cs="Times New Roman"/>
                      <w:color w:val="auto"/>
                      <w:spacing w:val="0"/>
                      <w:kern w:val="2"/>
                      <w:sz w:val="21"/>
                      <w:szCs w:val="24"/>
                      <w:highlight w:val="none"/>
                      <w:u w:val="none" w:color="auto"/>
                      <w:lang w:val="en-US" w:eastAsia="zh-CN" w:bidi="ar-SA"/>
                    </w:rPr>
                  </w:pPr>
                  <w:r>
                    <w:rPr>
                      <w:rFonts w:hint="default" w:ascii="Times New Roman" w:hAnsi="Times New Roman" w:eastAsia="宋体" w:cs="Times New Roman"/>
                      <w:color w:val="auto"/>
                      <w:spacing w:val="0"/>
                      <w:kern w:val="2"/>
                      <w:sz w:val="21"/>
                      <w:szCs w:val="24"/>
                      <w:highlight w:val="none"/>
                      <w:u w:val="none" w:color="auto"/>
                      <w:lang w:val="en-US" w:eastAsia="zh-CN" w:bidi="ar-SA"/>
                    </w:rPr>
                    <w:t>35</w:t>
                  </w:r>
                </w:p>
              </w:tc>
            </w:tr>
            <w:tr w14:paraId="6A27704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42" w:type="pct"/>
                  <w:vMerge w:val="continue"/>
                  <w:noWrap w:val="0"/>
                  <w:vAlign w:val="center"/>
                </w:tcPr>
                <w:p w14:paraId="29C39D53">
                  <w:pPr>
                    <w:jc w:val="center"/>
                    <w:rPr>
                      <w:rFonts w:hint="default" w:ascii="Times New Roman" w:hAnsi="Times New Roman" w:eastAsia="宋体" w:cs="Times New Roman"/>
                      <w:color w:val="auto"/>
                      <w:spacing w:val="0"/>
                      <w:szCs w:val="21"/>
                      <w:highlight w:val="none"/>
                      <w:u w:val="none" w:color="auto"/>
                    </w:rPr>
                  </w:pPr>
                </w:p>
              </w:tc>
              <w:tc>
                <w:tcPr>
                  <w:tcW w:w="1721" w:type="pct"/>
                  <w:noWrap w:val="0"/>
                  <w:vAlign w:val="center"/>
                </w:tcPr>
                <w:p w14:paraId="502DC367">
                  <w:pPr>
                    <w:jc w:val="center"/>
                    <w:rPr>
                      <w:rFonts w:hint="default" w:ascii="Times New Roman" w:hAnsi="Times New Roman" w:eastAsia="宋体" w:cs="Times New Roman"/>
                      <w:color w:val="auto"/>
                      <w:spacing w:val="0"/>
                      <w:kern w:val="2"/>
                      <w:sz w:val="21"/>
                      <w:szCs w:val="21"/>
                      <w:highlight w:val="none"/>
                      <w:u w:val="none" w:color="auto"/>
                      <w:lang w:val="en-US" w:eastAsia="zh-CN" w:bidi="ar-SA"/>
                    </w:rPr>
                  </w:pPr>
                  <w:r>
                    <w:rPr>
                      <w:rFonts w:hint="default" w:ascii="Times New Roman" w:hAnsi="Times New Roman" w:eastAsia="宋体" w:cs="Times New Roman"/>
                      <w:color w:val="auto"/>
                      <w:spacing w:val="0"/>
                      <w:kern w:val="2"/>
                      <w:sz w:val="21"/>
                      <w:szCs w:val="21"/>
                      <w:highlight w:val="none"/>
                      <w:u w:val="none" w:color="auto"/>
                      <w:lang w:val="en-US" w:eastAsia="zh-CN" w:bidi="ar-SA"/>
                    </w:rPr>
                    <w:t>移动式布袋除尘器</w:t>
                  </w:r>
                </w:p>
              </w:tc>
              <w:tc>
                <w:tcPr>
                  <w:tcW w:w="2073" w:type="pct"/>
                  <w:vMerge w:val="restart"/>
                  <w:noWrap w:val="0"/>
                  <w:vAlign w:val="center"/>
                </w:tcPr>
                <w:p w14:paraId="53350485">
                  <w:pPr>
                    <w:autoSpaceDE w:val="0"/>
                    <w:autoSpaceDN w:val="0"/>
                    <w:jc w:val="center"/>
                    <w:rPr>
                      <w:rFonts w:hint="default" w:ascii="Times New Roman" w:hAnsi="Times New Roman" w:eastAsia="宋体" w:cs="Times New Roman"/>
                      <w:color w:val="auto"/>
                      <w:spacing w:val="0"/>
                      <w:kern w:val="0"/>
                      <w:sz w:val="21"/>
                      <w:szCs w:val="21"/>
                      <w:highlight w:val="none"/>
                      <w:u w:val="none" w:color="auto"/>
                      <w:lang w:val="en-US" w:eastAsia="zh-CN"/>
                    </w:rPr>
                  </w:pPr>
                  <w:r>
                    <w:rPr>
                      <w:rFonts w:hint="default" w:ascii="Times New Roman" w:hAnsi="Times New Roman" w:eastAsia="宋体" w:cs="Times New Roman"/>
                      <w:color w:val="auto"/>
                      <w:spacing w:val="0"/>
                      <w:kern w:val="0"/>
                      <w:sz w:val="21"/>
                      <w:szCs w:val="21"/>
                      <w:highlight w:val="none"/>
                      <w:u w:val="none" w:color="auto"/>
                      <w:lang w:val="en-US" w:eastAsia="zh-CN"/>
                    </w:rPr>
                    <w:t>厂界颗粒物需执行《大气污染物综合排放标准》（GB16297-1996）标准、非甲烷总烃需执行《表面涂装(汽车制造及维修)挥发性有机物、镍排放标准》（DB43/ 1356-2017）限值；厂区内厂房外非甲烷总烃需《挥发性有机物无组织排放控制标准》（GB 37822-2019）</w:t>
                  </w:r>
                </w:p>
              </w:tc>
              <w:tc>
                <w:tcPr>
                  <w:tcW w:w="762" w:type="pct"/>
                  <w:noWrap w:val="0"/>
                  <w:vAlign w:val="center"/>
                </w:tcPr>
                <w:p w14:paraId="3CE7D748">
                  <w:pPr>
                    <w:jc w:val="center"/>
                    <w:rPr>
                      <w:rFonts w:hint="default" w:ascii="Times New Roman" w:hAnsi="Times New Roman" w:eastAsia="宋体" w:cs="Times New Roman"/>
                      <w:color w:val="auto"/>
                      <w:spacing w:val="0"/>
                      <w:kern w:val="0"/>
                      <w:sz w:val="21"/>
                      <w:szCs w:val="21"/>
                      <w:highlight w:val="none"/>
                      <w:u w:val="none" w:color="auto"/>
                      <w:lang w:val="en-US" w:eastAsia="zh-CN"/>
                    </w:rPr>
                  </w:pPr>
                  <w:r>
                    <w:rPr>
                      <w:rFonts w:hint="default" w:ascii="Times New Roman" w:hAnsi="Times New Roman" w:eastAsia="宋体" w:cs="Times New Roman"/>
                      <w:color w:val="auto"/>
                      <w:spacing w:val="0"/>
                      <w:kern w:val="2"/>
                      <w:sz w:val="21"/>
                      <w:szCs w:val="24"/>
                      <w:highlight w:val="none"/>
                      <w:u w:val="none" w:color="auto"/>
                      <w:lang w:val="en-US" w:eastAsia="zh-CN" w:bidi="ar-SA"/>
                    </w:rPr>
                    <w:t>/（激光打标设备自带）</w:t>
                  </w:r>
                </w:p>
              </w:tc>
            </w:tr>
            <w:tr w14:paraId="230BA14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42" w:type="pct"/>
                  <w:vMerge w:val="continue"/>
                  <w:noWrap w:val="0"/>
                  <w:vAlign w:val="center"/>
                </w:tcPr>
                <w:p w14:paraId="1D0F420B">
                  <w:pPr>
                    <w:jc w:val="center"/>
                    <w:rPr>
                      <w:rFonts w:hint="default" w:ascii="Times New Roman" w:hAnsi="Times New Roman" w:eastAsia="宋体" w:cs="Times New Roman"/>
                      <w:color w:val="auto"/>
                      <w:spacing w:val="0"/>
                      <w:szCs w:val="21"/>
                      <w:highlight w:val="none"/>
                      <w:u w:val="none" w:color="auto"/>
                    </w:rPr>
                  </w:pPr>
                </w:p>
              </w:tc>
              <w:tc>
                <w:tcPr>
                  <w:tcW w:w="1721" w:type="pct"/>
                  <w:noWrap w:val="0"/>
                  <w:vAlign w:val="center"/>
                </w:tcPr>
                <w:p w14:paraId="2FFE1B8E">
                  <w:pPr>
                    <w:jc w:val="center"/>
                    <w:rPr>
                      <w:rFonts w:hint="default" w:ascii="Times New Roman" w:hAnsi="Times New Roman" w:eastAsia="宋体" w:cs="Times New Roman"/>
                      <w:color w:val="auto"/>
                      <w:spacing w:val="0"/>
                      <w:kern w:val="2"/>
                      <w:sz w:val="21"/>
                      <w:szCs w:val="21"/>
                      <w:highlight w:val="none"/>
                      <w:u w:val="none" w:color="auto"/>
                      <w:lang w:val="en-US" w:eastAsia="zh-CN" w:bidi="ar-SA"/>
                    </w:rPr>
                  </w:pPr>
                  <w:r>
                    <w:rPr>
                      <w:rFonts w:hint="default" w:ascii="Times New Roman" w:hAnsi="Times New Roman" w:eastAsia="宋体" w:cs="Times New Roman"/>
                      <w:color w:val="auto"/>
                      <w:spacing w:val="0"/>
                      <w:kern w:val="2"/>
                      <w:sz w:val="21"/>
                      <w:szCs w:val="21"/>
                      <w:highlight w:val="none"/>
                      <w:u w:val="none" w:color="auto"/>
                      <w:lang w:val="en-US" w:eastAsia="zh-CN" w:bidi="ar-SA"/>
                    </w:rPr>
                    <w:t>去毛刺布袋除尘器</w:t>
                  </w:r>
                </w:p>
              </w:tc>
              <w:tc>
                <w:tcPr>
                  <w:tcW w:w="2073" w:type="pct"/>
                  <w:vMerge w:val="continue"/>
                  <w:noWrap w:val="0"/>
                  <w:vAlign w:val="center"/>
                </w:tcPr>
                <w:p w14:paraId="65EEF052">
                  <w:pPr>
                    <w:autoSpaceDE w:val="0"/>
                    <w:autoSpaceDN w:val="0"/>
                    <w:jc w:val="center"/>
                    <w:rPr>
                      <w:rFonts w:hint="default" w:ascii="Times New Roman" w:hAnsi="Times New Roman" w:eastAsia="宋体" w:cs="Times New Roman"/>
                      <w:color w:val="auto"/>
                      <w:spacing w:val="0"/>
                      <w:kern w:val="0"/>
                      <w:sz w:val="21"/>
                      <w:szCs w:val="21"/>
                      <w:highlight w:val="none"/>
                      <w:u w:val="none" w:color="auto"/>
                      <w:lang w:val="en-US" w:eastAsia="zh-CN"/>
                    </w:rPr>
                  </w:pPr>
                </w:p>
              </w:tc>
              <w:tc>
                <w:tcPr>
                  <w:tcW w:w="762" w:type="pct"/>
                  <w:shd w:val="clear" w:color="auto" w:fill="auto"/>
                  <w:noWrap w:val="0"/>
                  <w:vAlign w:val="center"/>
                </w:tcPr>
                <w:p w14:paraId="30C8BE0B">
                  <w:pPr>
                    <w:jc w:val="center"/>
                    <w:rPr>
                      <w:rFonts w:hint="default" w:ascii="Times New Roman" w:hAnsi="Times New Roman" w:eastAsia="宋体" w:cs="Times New Roman"/>
                      <w:color w:val="auto"/>
                      <w:spacing w:val="0"/>
                      <w:kern w:val="0"/>
                      <w:sz w:val="21"/>
                      <w:szCs w:val="21"/>
                      <w:highlight w:val="none"/>
                      <w:u w:val="none" w:color="auto"/>
                      <w:lang w:val="en-US" w:eastAsia="zh-CN" w:bidi="ar-SA"/>
                    </w:rPr>
                  </w:pPr>
                  <w:r>
                    <w:rPr>
                      <w:rFonts w:hint="default" w:ascii="Times New Roman" w:hAnsi="Times New Roman" w:eastAsia="宋体" w:cs="Times New Roman"/>
                      <w:color w:val="auto"/>
                      <w:spacing w:val="0"/>
                      <w:kern w:val="2"/>
                      <w:sz w:val="21"/>
                      <w:szCs w:val="24"/>
                      <w:highlight w:val="none"/>
                      <w:u w:val="none" w:color="auto"/>
                      <w:lang w:val="en-US" w:eastAsia="zh-CN" w:bidi="ar-SA"/>
                    </w:rPr>
                    <w:t>/（</w:t>
                  </w:r>
                  <w:r>
                    <w:rPr>
                      <w:rFonts w:hint="default" w:ascii="Times New Roman" w:hAnsi="Times New Roman" w:eastAsia="宋体" w:cs="Times New Roman"/>
                      <w:i w:val="0"/>
                      <w:iCs w:val="0"/>
                      <w:color w:val="auto"/>
                      <w:kern w:val="0"/>
                      <w:sz w:val="21"/>
                      <w:szCs w:val="21"/>
                      <w:u w:val="none" w:color="auto"/>
                      <w:lang w:val="en-US" w:eastAsia="zh-CN" w:bidi="ar"/>
                    </w:rPr>
                    <w:t>去毛刺设备</w:t>
                  </w:r>
                  <w:r>
                    <w:rPr>
                      <w:rFonts w:hint="default" w:ascii="Times New Roman" w:hAnsi="Times New Roman" w:eastAsia="宋体" w:cs="Times New Roman"/>
                      <w:color w:val="auto"/>
                      <w:spacing w:val="0"/>
                      <w:kern w:val="2"/>
                      <w:sz w:val="21"/>
                      <w:szCs w:val="24"/>
                      <w:highlight w:val="none"/>
                      <w:u w:val="none" w:color="auto"/>
                      <w:lang w:val="en-US" w:eastAsia="zh-CN" w:bidi="ar-SA"/>
                    </w:rPr>
                    <w:t>自带）</w:t>
                  </w:r>
                </w:p>
              </w:tc>
            </w:tr>
            <w:tr w14:paraId="1AEFFDB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42" w:type="pct"/>
                  <w:vMerge w:val="continue"/>
                  <w:noWrap w:val="0"/>
                  <w:vAlign w:val="center"/>
                </w:tcPr>
                <w:p w14:paraId="41A9757D">
                  <w:pPr>
                    <w:jc w:val="center"/>
                    <w:rPr>
                      <w:rFonts w:hint="default" w:ascii="Times New Roman" w:hAnsi="Times New Roman" w:eastAsia="宋体" w:cs="Times New Roman"/>
                      <w:color w:val="auto"/>
                      <w:spacing w:val="0"/>
                      <w:szCs w:val="21"/>
                      <w:highlight w:val="none"/>
                      <w:u w:val="none" w:color="auto"/>
                    </w:rPr>
                  </w:pPr>
                </w:p>
              </w:tc>
              <w:tc>
                <w:tcPr>
                  <w:tcW w:w="1721" w:type="pct"/>
                  <w:noWrap w:val="0"/>
                  <w:vAlign w:val="center"/>
                </w:tcPr>
                <w:p w14:paraId="52FD68CA">
                  <w:pPr>
                    <w:jc w:val="center"/>
                    <w:rPr>
                      <w:rFonts w:hint="default" w:ascii="Times New Roman" w:hAnsi="Times New Roman" w:eastAsia="宋体" w:cs="Times New Roman"/>
                      <w:color w:val="auto"/>
                      <w:spacing w:val="0"/>
                      <w:kern w:val="2"/>
                      <w:sz w:val="21"/>
                      <w:szCs w:val="21"/>
                      <w:highlight w:val="none"/>
                      <w:u w:val="none" w:color="auto"/>
                      <w:lang w:val="en-US" w:eastAsia="zh-CN" w:bidi="ar-SA"/>
                    </w:rPr>
                  </w:pPr>
                  <w:r>
                    <w:rPr>
                      <w:rFonts w:hint="default" w:ascii="Times New Roman" w:hAnsi="Times New Roman" w:eastAsia="宋体" w:cs="Times New Roman"/>
                      <w:color w:val="auto"/>
                      <w:spacing w:val="0"/>
                      <w:kern w:val="0"/>
                      <w:sz w:val="21"/>
                      <w:szCs w:val="21"/>
                      <w:highlight w:val="none"/>
                      <w:u w:val="none" w:color="auto"/>
                      <w:lang w:val="en-US" w:eastAsia="zh-CN"/>
                    </w:rPr>
                    <w:t>电油雾分离器</w:t>
                  </w:r>
                </w:p>
              </w:tc>
              <w:tc>
                <w:tcPr>
                  <w:tcW w:w="2073" w:type="pct"/>
                  <w:vMerge w:val="continue"/>
                  <w:noWrap w:val="0"/>
                  <w:vAlign w:val="center"/>
                </w:tcPr>
                <w:p w14:paraId="6845C67C">
                  <w:pPr>
                    <w:autoSpaceDE w:val="0"/>
                    <w:autoSpaceDN w:val="0"/>
                    <w:jc w:val="center"/>
                    <w:rPr>
                      <w:rFonts w:hint="default" w:ascii="Times New Roman" w:hAnsi="Times New Roman" w:eastAsia="宋体" w:cs="Times New Roman"/>
                      <w:color w:val="auto"/>
                      <w:spacing w:val="0"/>
                      <w:kern w:val="0"/>
                      <w:sz w:val="21"/>
                      <w:szCs w:val="21"/>
                      <w:highlight w:val="none"/>
                      <w:u w:val="none" w:color="auto"/>
                      <w:lang w:val="en-US" w:eastAsia="zh-CN"/>
                    </w:rPr>
                  </w:pPr>
                </w:p>
              </w:tc>
              <w:tc>
                <w:tcPr>
                  <w:tcW w:w="762" w:type="pct"/>
                  <w:noWrap w:val="0"/>
                  <w:vAlign w:val="center"/>
                </w:tcPr>
                <w:p w14:paraId="6C7473E4">
                  <w:pPr>
                    <w:autoSpaceDE w:val="0"/>
                    <w:autoSpaceDN w:val="0"/>
                    <w:jc w:val="center"/>
                    <w:rPr>
                      <w:rFonts w:hint="default" w:ascii="Times New Roman" w:hAnsi="Times New Roman" w:eastAsia="宋体" w:cs="Times New Roman"/>
                      <w:color w:val="auto"/>
                      <w:spacing w:val="0"/>
                      <w:kern w:val="0"/>
                      <w:sz w:val="21"/>
                      <w:szCs w:val="21"/>
                      <w:highlight w:val="none"/>
                      <w:u w:val="none" w:color="auto"/>
                      <w:lang w:val="en-US" w:eastAsia="zh-CN"/>
                    </w:rPr>
                  </w:pPr>
                  <w:r>
                    <w:rPr>
                      <w:rFonts w:hint="default" w:ascii="Times New Roman" w:hAnsi="Times New Roman" w:eastAsia="宋体" w:cs="Times New Roman"/>
                      <w:color w:val="auto"/>
                      <w:spacing w:val="0"/>
                      <w:kern w:val="0"/>
                      <w:sz w:val="21"/>
                      <w:szCs w:val="21"/>
                      <w:highlight w:val="none"/>
                      <w:u w:val="none" w:color="auto"/>
                      <w:lang w:val="en-US" w:eastAsia="zh-CN"/>
                    </w:rPr>
                    <w:t>/（相关机加设备自行配套静电油雾分离器）</w:t>
                  </w:r>
                </w:p>
              </w:tc>
            </w:tr>
            <w:tr w14:paraId="7319C1C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42" w:type="pct"/>
                  <w:vMerge w:val="continue"/>
                  <w:noWrap w:val="0"/>
                  <w:vAlign w:val="center"/>
                </w:tcPr>
                <w:p w14:paraId="4FFBC6DC">
                  <w:pPr>
                    <w:jc w:val="center"/>
                    <w:rPr>
                      <w:rFonts w:hint="default" w:ascii="Times New Roman" w:hAnsi="Times New Roman" w:eastAsia="宋体" w:cs="Times New Roman"/>
                      <w:color w:val="auto"/>
                      <w:spacing w:val="0"/>
                      <w:szCs w:val="21"/>
                      <w:highlight w:val="none"/>
                      <w:u w:val="none" w:color="auto"/>
                    </w:rPr>
                  </w:pPr>
                </w:p>
              </w:tc>
              <w:tc>
                <w:tcPr>
                  <w:tcW w:w="1721" w:type="pct"/>
                  <w:noWrap w:val="0"/>
                  <w:vAlign w:val="center"/>
                </w:tcPr>
                <w:p w14:paraId="78BA6A24">
                  <w:pPr>
                    <w:jc w:val="center"/>
                    <w:rPr>
                      <w:rFonts w:hint="default" w:ascii="Times New Roman" w:hAnsi="Times New Roman" w:eastAsia="宋体" w:cs="Times New Roman"/>
                      <w:color w:val="auto"/>
                      <w:spacing w:val="0"/>
                      <w:kern w:val="2"/>
                      <w:sz w:val="21"/>
                      <w:szCs w:val="21"/>
                      <w:highlight w:val="none"/>
                      <w:u w:val="none" w:color="auto"/>
                      <w:lang w:val="en-US" w:eastAsia="zh-CN" w:bidi="ar-SA"/>
                    </w:rPr>
                  </w:pPr>
                  <w:r>
                    <w:rPr>
                      <w:rFonts w:hint="default" w:ascii="Times New Roman" w:hAnsi="Times New Roman" w:eastAsia="宋体" w:cs="Times New Roman"/>
                      <w:color w:val="auto"/>
                      <w:spacing w:val="0"/>
                      <w:kern w:val="2"/>
                      <w:sz w:val="21"/>
                      <w:szCs w:val="21"/>
                      <w:highlight w:val="none"/>
                      <w:u w:val="none" w:color="auto"/>
                      <w:lang w:val="en-US" w:eastAsia="zh-CN" w:bidi="ar-SA"/>
                    </w:rPr>
                    <w:t>车间内各废气点集气设施</w:t>
                  </w:r>
                </w:p>
              </w:tc>
              <w:tc>
                <w:tcPr>
                  <w:tcW w:w="2073" w:type="pct"/>
                  <w:vMerge w:val="continue"/>
                  <w:noWrap w:val="0"/>
                  <w:vAlign w:val="center"/>
                </w:tcPr>
                <w:p w14:paraId="4DF8A6AF">
                  <w:pPr>
                    <w:autoSpaceDE w:val="0"/>
                    <w:autoSpaceDN w:val="0"/>
                    <w:jc w:val="center"/>
                    <w:rPr>
                      <w:rFonts w:hint="default" w:ascii="Times New Roman" w:hAnsi="Times New Roman" w:eastAsia="宋体" w:cs="Times New Roman"/>
                      <w:color w:val="auto"/>
                      <w:spacing w:val="0"/>
                      <w:kern w:val="0"/>
                      <w:sz w:val="21"/>
                      <w:szCs w:val="21"/>
                      <w:highlight w:val="none"/>
                      <w:u w:val="none" w:color="auto"/>
                      <w:lang w:val="en-US" w:eastAsia="zh-CN"/>
                    </w:rPr>
                  </w:pPr>
                </w:p>
              </w:tc>
              <w:tc>
                <w:tcPr>
                  <w:tcW w:w="762" w:type="pct"/>
                  <w:noWrap w:val="0"/>
                  <w:vAlign w:val="center"/>
                </w:tcPr>
                <w:p w14:paraId="239BE226">
                  <w:pPr>
                    <w:autoSpaceDE w:val="0"/>
                    <w:autoSpaceDN w:val="0"/>
                    <w:jc w:val="center"/>
                    <w:rPr>
                      <w:rFonts w:hint="default" w:ascii="Times New Roman" w:hAnsi="Times New Roman" w:eastAsia="宋体" w:cs="Times New Roman"/>
                      <w:color w:val="auto"/>
                      <w:spacing w:val="0"/>
                      <w:kern w:val="0"/>
                      <w:sz w:val="21"/>
                      <w:szCs w:val="21"/>
                      <w:highlight w:val="none"/>
                      <w:u w:val="none" w:color="auto"/>
                      <w:lang w:val="en-US" w:eastAsia="zh-CN"/>
                    </w:rPr>
                  </w:pPr>
                  <w:r>
                    <w:rPr>
                      <w:rFonts w:hint="default" w:ascii="Times New Roman" w:hAnsi="Times New Roman" w:eastAsia="宋体" w:cs="Times New Roman"/>
                      <w:color w:val="auto"/>
                      <w:spacing w:val="0"/>
                      <w:kern w:val="0"/>
                      <w:sz w:val="21"/>
                      <w:szCs w:val="21"/>
                      <w:highlight w:val="none"/>
                      <w:u w:val="none" w:color="auto"/>
                      <w:lang w:val="en-US" w:eastAsia="zh-CN"/>
                    </w:rPr>
                    <w:t>15</w:t>
                  </w:r>
                </w:p>
              </w:tc>
            </w:tr>
            <w:tr w14:paraId="1AAF0DA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42" w:type="pct"/>
                  <w:noWrap w:val="0"/>
                  <w:vAlign w:val="center"/>
                </w:tcPr>
                <w:p w14:paraId="541455BA">
                  <w:pPr>
                    <w:jc w:val="center"/>
                    <w:rPr>
                      <w:rFonts w:hint="default" w:ascii="Times New Roman" w:hAnsi="Times New Roman" w:eastAsia="宋体" w:cs="Times New Roman"/>
                      <w:color w:val="auto"/>
                      <w:spacing w:val="0"/>
                      <w:szCs w:val="21"/>
                      <w:highlight w:val="none"/>
                      <w:u w:val="none" w:color="auto"/>
                      <w:lang w:val="en-US" w:eastAsia="zh-CN"/>
                    </w:rPr>
                  </w:pPr>
                  <w:r>
                    <w:rPr>
                      <w:rFonts w:hint="default" w:ascii="Times New Roman" w:hAnsi="Times New Roman" w:eastAsia="宋体" w:cs="Times New Roman"/>
                      <w:color w:val="auto"/>
                      <w:spacing w:val="0"/>
                      <w:szCs w:val="21"/>
                      <w:highlight w:val="none"/>
                      <w:u w:val="none" w:color="auto"/>
                      <w:lang w:val="en-US" w:eastAsia="zh-CN"/>
                    </w:rPr>
                    <w:t>噪声</w:t>
                  </w:r>
                </w:p>
              </w:tc>
              <w:tc>
                <w:tcPr>
                  <w:tcW w:w="1721" w:type="pct"/>
                  <w:noWrap w:val="0"/>
                  <w:vAlign w:val="center"/>
                </w:tcPr>
                <w:p w14:paraId="358642F2">
                  <w:pPr>
                    <w:jc w:val="center"/>
                    <w:rPr>
                      <w:rFonts w:hint="default" w:ascii="Times New Roman" w:hAnsi="Times New Roman" w:eastAsia="宋体" w:cs="Times New Roman"/>
                      <w:color w:val="auto"/>
                      <w:spacing w:val="0"/>
                      <w:kern w:val="2"/>
                      <w:sz w:val="21"/>
                      <w:szCs w:val="21"/>
                      <w:highlight w:val="none"/>
                      <w:u w:val="none" w:color="auto"/>
                      <w:lang w:val="en-US" w:eastAsia="zh-CN" w:bidi="ar-SA"/>
                    </w:rPr>
                  </w:pPr>
                  <w:r>
                    <w:rPr>
                      <w:rFonts w:hint="default" w:ascii="Times New Roman" w:hAnsi="Times New Roman" w:eastAsia="宋体" w:cs="Times New Roman"/>
                      <w:bCs/>
                      <w:color w:val="auto"/>
                      <w:spacing w:val="0"/>
                      <w:szCs w:val="21"/>
                      <w:highlight w:val="none"/>
                      <w:u w:val="none" w:color="auto"/>
                    </w:rPr>
                    <w:t>结构隔声、基础减振、消声等措施</w:t>
                  </w:r>
                </w:p>
              </w:tc>
              <w:tc>
                <w:tcPr>
                  <w:tcW w:w="2073" w:type="pct"/>
                  <w:noWrap w:val="0"/>
                  <w:vAlign w:val="center"/>
                </w:tcPr>
                <w:p w14:paraId="6893CD7C">
                  <w:pPr>
                    <w:jc w:val="center"/>
                    <w:rPr>
                      <w:rFonts w:hint="default" w:ascii="Times New Roman" w:hAnsi="Times New Roman" w:eastAsia="宋体" w:cs="Times New Roman"/>
                      <w:color w:val="auto"/>
                      <w:spacing w:val="0"/>
                      <w:kern w:val="2"/>
                      <w:sz w:val="21"/>
                      <w:szCs w:val="21"/>
                      <w:highlight w:val="none"/>
                      <w:u w:val="none" w:color="auto"/>
                      <w:lang w:val="en-US" w:eastAsia="zh-CN" w:bidi="ar-SA"/>
                    </w:rPr>
                  </w:pPr>
                  <w:r>
                    <w:rPr>
                      <w:rFonts w:hint="default" w:ascii="Times New Roman" w:hAnsi="Times New Roman" w:eastAsia="宋体" w:cs="Times New Roman"/>
                      <w:color w:val="auto"/>
                      <w:spacing w:val="0"/>
                      <w:szCs w:val="21"/>
                      <w:highlight w:val="none"/>
                      <w:u w:val="none" w:color="auto"/>
                      <w:lang w:val="en-US" w:eastAsia="zh-CN"/>
                    </w:rPr>
                    <w:t>满足</w:t>
                  </w:r>
                  <w:r>
                    <w:rPr>
                      <w:rFonts w:hint="default" w:ascii="Times New Roman" w:hAnsi="Times New Roman" w:eastAsia="宋体" w:cs="Times New Roman"/>
                      <w:color w:val="auto"/>
                      <w:spacing w:val="0"/>
                      <w:szCs w:val="21"/>
                      <w:highlight w:val="none"/>
                      <w:u w:val="none" w:color="auto"/>
                    </w:rPr>
                    <w:t>《工业企业厂界环境噪声排放标准》（GB12348-2008）</w:t>
                  </w:r>
                  <w:r>
                    <w:rPr>
                      <w:rFonts w:hint="default" w:ascii="Times New Roman" w:hAnsi="Times New Roman" w:eastAsia="宋体" w:cs="Times New Roman"/>
                      <w:color w:val="auto"/>
                      <w:spacing w:val="0"/>
                      <w:szCs w:val="21"/>
                      <w:highlight w:val="none"/>
                      <w:u w:val="none" w:color="auto"/>
                      <w:lang w:val="en-US" w:eastAsia="zh-CN"/>
                    </w:rPr>
                    <w:t>中相关标准要求</w:t>
                  </w:r>
                </w:p>
              </w:tc>
              <w:tc>
                <w:tcPr>
                  <w:tcW w:w="762" w:type="pct"/>
                  <w:noWrap w:val="0"/>
                  <w:vAlign w:val="center"/>
                </w:tcPr>
                <w:p w14:paraId="1E4D93D9">
                  <w:pPr>
                    <w:jc w:val="center"/>
                    <w:rPr>
                      <w:rFonts w:hint="default" w:ascii="Times New Roman" w:hAnsi="Times New Roman" w:eastAsia="宋体" w:cs="Times New Roman"/>
                      <w:color w:val="auto"/>
                      <w:spacing w:val="0"/>
                      <w:highlight w:val="none"/>
                      <w:u w:val="none" w:color="auto"/>
                      <w:lang w:val="en-US" w:eastAsia="zh-CN"/>
                    </w:rPr>
                  </w:pPr>
                  <w:r>
                    <w:rPr>
                      <w:rFonts w:hint="default" w:ascii="Times New Roman" w:hAnsi="Times New Roman" w:eastAsia="宋体" w:cs="Times New Roman"/>
                      <w:color w:val="auto"/>
                      <w:spacing w:val="0"/>
                      <w:highlight w:val="none"/>
                      <w:u w:val="none" w:color="auto"/>
                      <w:lang w:val="en-US" w:eastAsia="zh-CN"/>
                    </w:rPr>
                    <w:t>60</w:t>
                  </w:r>
                </w:p>
              </w:tc>
            </w:tr>
            <w:tr w14:paraId="23E6172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42" w:type="pct"/>
                  <w:noWrap w:val="0"/>
                  <w:vAlign w:val="center"/>
                </w:tcPr>
                <w:p w14:paraId="7D22C35B">
                  <w:pPr>
                    <w:jc w:val="center"/>
                    <w:rPr>
                      <w:rFonts w:hint="default" w:ascii="Times New Roman" w:hAnsi="Times New Roman" w:eastAsia="宋体" w:cs="Times New Roman"/>
                      <w:color w:val="auto"/>
                      <w:spacing w:val="0"/>
                      <w:szCs w:val="21"/>
                      <w:highlight w:val="none"/>
                      <w:u w:val="none" w:color="auto"/>
                    </w:rPr>
                  </w:pPr>
                  <w:r>
                    <w:rPr>
                      <w:rFonts w:hint="default" w:ascii="Times New Roman" w:hAnsi="Times New Roman" w:eastAsia="宋体" w:cs="Times New Roman"/>
                      <w:color w:val="auto"/>
                      <w:spacing w:val="0"/>
                      <w:szCs w:val="21"/>
                      <w:highlight w:val="none"/>
                      <w:u w:val="none" w:color="auto"/>
                    </w:rPr>
                    <w:t>固废</w:t>
                  </w:r>
                </w:p>
              </w:tc>
              <w:tc>
                <w:tcPr>
                  <w:tcW w:w="1721" w:type="pct"/>
                  <w:noWrap w:val="0"/>
                  <w:vAlign w:val="center"/>
                </w:tcPr>
                <w:p w14:paraId="1F3B5D32">
                  <w:pPr>
                    <w:jc w:val="center"/>
                    <w:rPr>
                      <w:rFonts w:hint="default" w:ascii="Times New Roman" w:hAnsi="Times New Roman" w:eastAsia="宋体" w:cs="Times New Roman"/>
                      <w:color w:val="auto"/>
                      <w:spacing w:val="0"/>
                      <w:kern w:val="2"/>
                      <w:sz w:val="21"/>
                      <w:szCs w:val="21"/>
                      <w:highlight w:val="none"/>
                      <w:u w:val="none" w:color="auto"/>
                      <w:lang w:val="en-US" w:eastAsia="zh-CN" w:bidi="ar-SA"/>
                    </w:rPr>
                  </w:pPr>
                  <w:r>
                    <w:rPr>
                      <w:rFonts w:hint="default" w:ascii="Times New Roman" w:hAnsi="Times New Roman" w:eastAsia="宋体" w:cs="Times New Roman"/>
                      <w:color w:val="auto"/>
                      <w:spacing w:val="0"/>
                      <w:kern w:val="2"/>
                      <w:sz w:val="21"/>
                      <w:szCs w:val="21"/>
                      <w:highlight w:val="none"/>
                      <w:u w:val="none" w:color="auto"/>
                      <w:lang w:val="en-US" w:eastAsia="zh-CN" w:bidi="ar-SA"/>
                    </w:rPr>
                    <w:t>危废暂存库（TS004危废暂存间）</w:t>
                  </w:r>
                </w:p>
              </w:tc>
              <w:tc>
                <w:tcPr>
                  <w:tcW w:w="2073" w:type="pct"/>
                  <w:noWrap w:val="0"/>
                  <w:vAlign w:val="center"/>
                </w:tcPr>
                <w:p w14:paraId="0F827F34">
                  <w:pPr>
                    <w:jc w:val="center"/>
                    <w:rPr>
                      <w:rFonts w:hint="default" w:ascii="Times New Roman" w:hAnsi="Times New Roman" w:eastAsia="宋体" w:cs="Times New Roman"/>
                      <w:color w:val="auto"/>
                      <w:spacing w:val="0"/>
                      <w:szCs w:val="21"/>
                      <w:highlight w:val="none"/>
                      <w:u w:val="none" w:color="auto"/>
                    </w:rPr>
                  </w:pPr>
                  <w:r>
                    <w:rPr>
                      <w:rFonts w:hint="default" w:ascii="Times New Roman" w:hAnsi="Times New Roman" w:eastAsia="宋体" w:cs="Times New Roman"/>
                      <w:color w:val="auto"/>
                      <w:spacing w:val="0"/>
                      <w:szCs w:val="21"/>
                      <w:highlight w:val="none"/>
                      <w:u w:val="none" w:color="auto"/>
                    </w:rPr>
                    <w:t>不排入外环境，妥善处置</w:t>
                  </w:r>
                </w:p>
              </w:tc>
              <w:tc>
                <w:tcPr>
                  <w:tcW w:w="762" w:type="pct"/>
                  <w:noWrap w:val="0"/>
                  <w:vAlign w:val="center"/>
                </w:tcPr>
                <w:p w14:paraId="69BF4398">
                  <w:pPr>
                    <w:jc w:val="center"/>
                    <w:rPr>
                      <w:rFonts w:hint="default" w:ascii="Times New Roman" w:hAnsi="Times New Roman" w:eastAsia="宋体" w:cs="Times New Roman"/>
                      <w:color w:val="auto"/>
                      <w:spacing w:val="0"/>
                      <w:szCs w:val="21"/>
                      <w:highlight w:val="none"/>
                      <w:u w:val="none" w:color="auto"/>
                      <w:lang w:val="en-US" w:eastAsia="zh-CN"/>
                    </w:rPr>
                  </w:pPr>
                  <w:r>
                    <w:rPr>
                      <w:rFonts w:hint="default" w:ascii="Times New Roman" w:hAnsi="Times New Roman" w:eastAsia="宋体" w:cs="Times New Roman"/>
                      <w:color w:val="auto"/>
                      <w:spacing w:val="0"/>
                      <w:szCs w:val="21"/>
                      <w:highlight w:val="none"/>
                      <w:u w:val="none" w:color="auto"/>
                      <w:lang w:val="en-US" w:eastAsia="zh-CN"/>
                    </w:rPr>
                    <w:t>10</w:t>
                  </w:r>
                </w:p>
              </w:tc>
            </w:tr>
            <w:tr w14:paraId="7FD3EE8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42" w:type="pct"/>
                  <w:noWrap w:val="0"/>
                  <w:vAlign w:val="center"/>
                </w:tcPr>
                <w:p w14:paraId="69F9A67C">
                  <w:pPr>
                    <w:jc w:val="center"/>
                    <w:rPr>
                      <w:rFonts w:hint="default" w:ascii="Times New Roman" w:hAnsi="Times New Roman" w:eastAsia="宋体" w:cs="Times New Roman"/>
                      <w:color w:val="auto"/>
                      <w:spacing w:val="0"/>
                      <w:szCs w:val="21"/>
                      <w:highlight w:val="none"/>
                      <w:u w:val="none" w:color="auto"/>
                      <w:lang w:val="en-US" w:eastAsia="zh-CN"/>
                    </w:rPr>
                  </w:pPr>
                  <w:r>
                    <w:rPr>
                      <w:rFonts w:hint="default" w:ascii="Times New Roman" w:hAnsi="Times New Roman" w:eastAsia="宋体" w:cs="Times New Roman"/>
                      <w:color w:val="auto"/>
                      <w:spacing w:val="0"/>
                      <w:szCs w:val="21"/>
                      <w:highlight w:val="none"/>
                      <w:u w:val="none" w:color="auto"/>
                      <w:lang w:val="en-US" w:eastAsia="zh-CN"/>
                    </w:rPr>
                    <w:t>风险</w:t>
                  </w:r>
                </w:p>
              </w:tc>
              <w:tc>
                <w:tcPr>
                  <w:tcW w:w="1721" w:type="pct"/>
                  <w:noWrap w:val="0"/>
                  <w:vAlign w:val="center"/>
                </w:tcPr>
                <w:p w14:paraId="6FB7D4D9">
                  <w:pPr>
                    <w:jc w:val="center"/>
                    <w:rPr>
                      <w:rFonts w:hint="default" w:ascii="Times New Roman" w:hAnsi="Times New Roman" w:eastAsia="宋体" w:cs="Times New Roman"/>
                      <w:color w:val="auto"/>
                      <w:spacing w:val="0"/>
                      <w:kern w:val="2"/>
                      <w:sz w:val="21"/>
                      <w:szCs w:val="21"/>
                      <w:highlight w:val="none"/>
                      <w:u w:val="none" w:color="auto"/>
                      <w:lang w:val="en-US" w:eastAsia="zh-CN" w:bidi="ar-SA"/>
                    </w:rPr>
                  </w:pPr>
                  <w:r>
                    <w:rPr>
                      <w:rFonts w:hint="default" w:ascii="Times New Roman" w:hAnsi="Times New Roman" w:eastAsia="宋体" w:cs="Times New Roman"/>
                      <w:color w:val="auto"/>
                      <w:spacing w:val="0"/>
                      <w:kern w:val="2"/>
                      <w:sz w:val="21"/>
                      <w:szCs w:val="21"/>
                      <w:highlight w:val="none"/>
                      <w:u w:val="none" w:color="auto"/>
                      <w:lang w:val="en-US" w:eastAsia="zh-CN" w:bidi="ar-SA"/>
                    </w:rPr>
                    <w:t>防泄漏</w:t>
                  </w:r>
                  <w:r>
                    <w:rPr>
                      <w:rFonts w:hint="default" w:ascii="Times New Roman" w:hAnsi="Times New Roman" w:eastAsia="宋体" w:cs="Times New Roman"/>
                      <w:color w:val="auto"/>
                      <w:spacing w:val="0"/>
                      <w:szCs w:val="21"/>
                      <w:highlight w:val="none"/>
                      <w:u w:val="none" w:color="auto"/>
                      <w:lang w:val="en-US" w:eastAsia="zh-CN"/>
                    </w:rPr>
                    <w:t>托盘、拦截沟等措施</w:t>
                  </w:r>
                </w:p>
              </w:tc>
              <w:tc>
                <w:tcPr>
                  <w:tcW w:w="2073" w:type="pct"/>
                  <w:noWrap w:val="0"/>
                  <w:vAlign w:val="center"/>
                </w:tcPr>
                <w:p w14:paraId="50C97FF6">
                  <w:pPr>
                    <w:jc w:val="center"/>
                    <w:rPr>
                      <w:rFonts w:hint="default" w:ascii="Times New Roman" w:hAnsi="Times New Roman" w:eastAsia="宋体" w:cs="Times New Roman"/>
                      <w:color w:val="auto"/>
                      <w:spacing w:val="0"/>
                      <w:szCs w:val="21"/>
                      <w:highlight w:val="none"/>
                      <w:u w:val="none" w:color="auto"/>
                      <w:lang w:val="en-US" w:eastAsia="zh-CN"/>
                    </w:rPr>
                  </w:pPr>
                  <w:r>
                    <w:rPr>
                      <w:rFonts w:hint="default" w:ascii="Times New Roman" w:hAnsi="Times New Roman" w:eastAsia="宋体" w:cs="Times New Roman"/>
                      <w:color w:val="auto"/>
                      <w:spacing w:val="0"/>
                      <w:szCs w:val="21"/>
                      <w:highlight w:val="none"/>
                      <w:u w:val="none" w:color="auto"/>
                      <w:lang w:val="en-US" w:eastAsia="zh-CN"/>
                    </w:rPr>
                    <w:t>满足风险防控要求</w:t>
                  </w:r>
                </w:p>
              </w:tc>
              <w:tc>
                <w:tcPr>
                  <w:tcW w:w="762" w:type="pct"/>
                  <w:noWrap w:val="0"/>
                  <w:vAlign w:val="center"/>
                </w:tcPr>
                <w:p w14:paraId="2D266497">
                  <w:pPr>
                    <w:jc w:val="center"/>
                    <w:rPr>
                      <w:rFonts w:hint="default" w:ascii="Times New Roman" w:hAnsi="Times New Roman" w:eastAsia="宋体" w:cs="Times New Roman"/>
                      <w:color w:val="auto"/>
                      <w:spacing w:val="0"/>
                      <w:szCs w:val="21"/>
                      <w:highlight w:val="none"/>
                      <w:u w:val="none" w:color="auto"/>
                      <w:lang w:val="en-US" w:eastAsia="zh-CN"/>
                    </w:rPr>
                  </w:pPr>
                  <w:r>
                    <w:rPr>
                      <w:rFonts w:hint="default" w:ascii="Times New Roman" w:hAnsi="Times New Roman" w:eastAsia="宋体" w:cs="Times New Roman"/>
                      <w:color w:val="auto"/>
                      <w:spacing w:val="0"/>
                      <w:szCs w:val="21"/>
                      <w:highlight w:val="none"/>
                      <w:u w:val="none" w:color="auto"/>
                      <w:lang w:val="en-US" w:eastAsia="zh-CN"/>
                    </w:rPr>
                    <w:t>5</w:t>
                  </w:r>
                </w:p>
              </w:tc>
            </w:tr>
            <w:tr w14:paraId="4A78581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10" w:hRule="atLeast"/>
                <w:jc w:val="center"/>
              </w:trPr>
              <w:tc>
                <w:tcPr>
                  <w:tcW w:w="4237" w:type="pct"/>
                  <w:gridSpan w:val="3"/>
                  <w:noWrap w:val="0"/>
                  <w:vAlign w:val="center"/>
                </w:tcPr>
                <w:p w14:paraId="331F48E5">
                  <w:pPr>
                    <w:jc w:val="center"/>
                    <w:rPr>
                      <w:rFonts w:hint="default" w:ascii="Times New Roman" w:hAnsi="Times New Roman" w:eastAsia="宋体" w:cs="Times New Roman"/>
                      <w:b/>
                      <w:color w:val="auto"/>
                      <w:spacing w:val="0"/>
                      <w:szCs w:val="21"/>
                      <w:highlight w:val="none"/>
                      <w:u w:val="none" w:color="auto"/>
                    </w:rPr>
                  </w:pPr>
                  <w:r>
                    <w:rPr>
                      <w:rFonts w:hint="default" w:ascii="Times New Roman" w:hAnsi="Times New Roman" w:eastAsia="宋体" w:cs="Times New Roman"/>
                      <w:b/>
                      <w:color w:val="auto"/>
                      <w:spacing w:val="0"/>
                      <w:szCs w:val="21"/>
                      <w:highlight w:val="none"/>
                      <w:u w:val="none" w:color="auto"/>
                    </w:rPr>
                    <w:t>小计</w:t>
                  </w:r>
                </w:p>
              </w:tc>
              <w:tc>
                <w:tcPr>
                  <w:tcW w:w="762" w:type="pct"/>
                  <w:noWrap w:val="0"/>
                  <w:vAlign w:val="center"/>
                </w:tcPr>
                <w:p w14:paraId="34296154">
                  <w:pPr>
                    <w:jc w:val="center"/>
                    <w:rPr>
                      <w:rFonts w:hint="default" w:ascii="Times New Roman" w:hAnsi="Times New Roman" w:eastAsia="宋体" w:cs="Times New Roman"/>
                      <w:b/>
                      <w:color w:val="auto"/>
                      <w:spacing w:val="0"/>
                      <w:szCs w:val="21"/>
                      <w:highlight w:val="none"/>
                      <w:u w:val="none" w:color="auto"/>
                      <w:lang w:val="en-US" w:eastAsia="zh-CN"/>
                    </w:rPr>
                  </w:pPr>
                  <w:r>
                    <w:rPr>
                      <w:rFonts w:hint="default" w:ascii="Times New Roman" w:hAnsi="Times New Roman" w:eastAsia="宋体" w:cs="Times New Roman"/>
                      <w:b/>
                      <w:color w:val="auto"/>
                      <w:spacing w:val="0"/>
                      <w:szCs w:val="21"/>
                      <w:highlight w:val="none"/>
                      <w:u w:val="none" w:color="auto"/>
                      <w:lang w:val="en-US" w:eastAsia="zh-CN"/>
                    </w:rPr>
                    <w:t>125</w:t>
                  </w:r>
                </w:p>
              </w:tc>
            </w:tr>
            <w:tr w14:paraId="291E898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10" w:hRule="atLeast"/>
                <w:jc w:val="center"/>
              </w:trPr>
              <w:tc>
                <w:tcPr>
                  <w:tcW w:w="4237" w:type="pct"/>
                  <w:gridSpan w:val="3"/>
                  <w:noWrap w:val="0"/>
                  <w:vAlign w:val="center"/>
                </w:tcPr>
                <w:p w14:paraId="750F18C9">
                  <w:pPr>
                    <w:jc w:val="center"/>
                    <w:rPr>
                      <w:rFonts w:hint="default" w:ascii="Times New Roman" w:hAnsi="Times New Roman" w:eastAsia="宋体" w:cs="Times New Roman"/>
                      <w:b/>
                      <w:color w:val="auto"/>
                      <w:spacing w:val="0"/>
                      <w:szCs w:val="21"/>
                      <w:highlight w:val="none"/>
                      <w:u w:val="none" w:color="auto"/>
                      <w:lang w:val="en-US" w:eastAsia="zh-CN"/>
                    </w:rPr>
                  </w:pPr>
                  <w:r>
                    <w:rPr>
                      <w:rFonts w:hint="default" w:ascii="Times New Roman" w:hAnsi="Times New Roman" w:eastAsia="宋体" w:cs="Times New Roman"/>
                      <w:b/>
                      <w:color w:val="auto"/>
                      <w:spacing w:val="0"/>
                      <w:szCs w:val="21"/>
                      <w:highlight w:val="none"/>
                      <w:u w:val="none" w:color="auto"/>
                      <w:lang w:val="en-US" w:eastAsia="zh-CN"/>
                    </w:rPr>
                    <w:t>总计</w:t>
                  </w:r>
                </w:p>
              </w:tc>
              <w:tc>
                <w:tcPr>
                  <w:tcW w:w="762" w:type="pct"/>
                  <w:noWrap w:val="0"/>
                  <w:vAlign w:val="center"/>
                </w:tcPr>
                <w:p w14:paraId="4561E33E">
                  <w:pPr>
                    <w:jc w:val="center"/>
                    <w:rPr>
                      <w:rFonts w:hint="default" w:ascii="Times New Roman" w:hAnsi="Times New Roman" w:eastAsia="宋体" w:cs="Times New Roman"/>
                      <w:b/>
                      <w:color w:val="auto"/>
                      <w:spacing w:val="0"/>
                      <w:szCs w:val="21"/>
                      <w:highlight w:val="none"/>
                      <w:u w:val="none" w:color="auto"/>
                      <w:lang w:val="en-US" w:eastAsia="zh-CN"/>
                    </w:rPr>
                  </w:pPr>
                  <w:r>
                    <w:rPr>
                      <w:rFonts w:hint="default" w:ascii="Times New Roman" w:hAnsi="Times New Roman" w:eastAsia="宋体" w:cs="Times New Roman"/>
                      <w:b/>
                      <w:color w:val="auto"/>
                      <w:spacing w:val="0"/>
                      <w:szCs w:val="21"/>
                      <w:highlight w:val="none"/>
                      <w:u w:val="none" w:color="auto"/>
                      <w:lang w:val="en-US" w:eastAsia="zh-CN"/>
                    </w:rPr>
                    <w:t>342</w:t>
                  </w:r>
                </w:p>
              </w:tc>
            </w:tr>
          </w:tbl>
          <w:p w14:paraId="623F1D90">
            <w:pPr>
              <w:spacing w:line="360" w:lineRule="auto"/>
              <w:rPr>
                <w:rFonts w:hint="default" w:ascii="Times New Roman" w:hAnsi="Times New Roman" w:eastAsia="宋体" w:cs="Times New Roman"/>
                <w:bCs/>
                <w:color w:val="auto"/>
                <w:spacing w:val="0"/>
                <w:szCs w:val="21"/>
                <w:u w:val="none" w:color="auto"/>
                <w:lang w:val="en-US" w:eastAsia="zh-CN"/>
              </w:rPr>
            </w:pPr>
          </w:p>
          <w:p w14:paraId="08CC381E">
            <w:pPr>
              <w:spacing w:line="360" w:lineRule="auto"/>
              <w:rPr>
                <w:rFonts w:hint="default" w:ascii="Times New Roman" w:hAnsi="Times New Roman" w:eastAsia="宋体" w:cs="Times New Roman"/>
                <w:bCs/>
                <w:color w:val="auto"/>
                <w:spacing w:val="0"/>
                <w:szCs w:val="21"/>
                <w:u w:val="none" w:color="auto"/>
                <w:lang w:val="en-US" w:eastAsia="zh-CN"/>
              </w:rPr>
            </w:pPr>
          </w:p>
          <w:p w14:paraId="6EE0B00A">
            <w:pPr>
              <w:spacing w:line="360" w:lineRule="auto"/>
              <w:rPr>
                <w:rFonts w:hint="default" w:ascii="Times New Roman" w:hAnsi="Times New Roman" w:eastAsia="宋体" w:cs="Times New Roman"/>
                <w:bCs/>
                <w:color w:val="auto"/>
                <w:spacing w:val="0"/>
                <w:szCs w:val="21"/>
                <w:u w:val="none" w:color="auto"/>
                <w:lang w:val="en-US" w:eastAsia="zh-CN"/>
              </w:rPr>
            </w:pPr>
          </w:p>
          <w:p w14:paraId="50F08203">
            <w:pPr>
              <w:spacing w:line="360" w:lineRule="auto"/>
              <w:rPr>
                <w:rFonts w:hint="default" w:ascii="Times New Roman" w:hAnsi="Times New Roman" w:eastAsia="宋体" w:cs="Times New Roman"/>
                <w:bCs/>
                <w:color w:val="auto"/>
                <w:spacing w:val="0"/>
                <w:szCs w:val="21"/>
                <w:u w:val="none" w:color="auto"/>
                <w:lang w:val="en-US" w:eastAsia="zh-CN"/>
              </w:rPr>
            </w:pPr>
          </w:p>
          <w:p w14:paraId="2C1F0A1E">
            <w:pPr>
              <w:spacing w:line="360" w:lineRule="auto"/>
              <w:rPr>
                <w:rFonts w:hint="default" w:ascii="Times New Roman" w:hAnsi="Times New Roman" w:eastAsia="宋体" w:cs="Times New Roman"/>
                <w:bCs/>
                <w:color w:val="auto"/>
                <w:spacing w:val="0"/>
                <w:szCs w:val="21"/>
                <w:u w:val="none" w:color="auto"/>
                <w:lang w:val="en-US" w:eastAsia="zh-CN"/>
              </w:rPr>
            </w:pPr>
          </w:p>
          <w:p w14:paraId="7C90AF4E">
            <w:pPr>
              <w:spacing w:line="360" w:lineRule="auto"/>
              <w:rPr>
                <w:rFonts w:hint="default" w:ascii="Times New Roman" w:hAnsi="Times New Roman" w:eastAsia="宋体" w:cs="Times New Roman"/>
                <w:bCs/>
                <w:color w:val="auto"/>
                <w:spacing w:val="0"/>
                <w:szCs w:val="21"/>
                <w:u w:val="none" w:color="auto"/>
                <w:lang w:val="en-US" w:eastAsia="zh-CN"/>
              </w:rPr>
            </w:pPr>
          </w:p>
        </w:tc>
      </w:tr>
    </w:tbl>
    <w:p w14:paraId="7E6362CC">
      <w:pPr>
        <w:adjustRightInd w:val="0"/>
        <w:snapToGrid w:val="0"/>
        <w:spacing w:line="360" w:lineRule="auto"/>
        <w:rPr>
          <w:rFonts w:hint="default" w:ascii="Times New Roman" w:hAnsi="Times New Roman" w:eastAsia="宋体" w:cs="Times New Roman"/>
          <w:b/>
          <w:color w:val="auto"/>
          <w:kern w:val="0"/>
          <w:sz w:val="28"/>
          <w:szCs w:val="28"/>
          <w:u w:val="none" w:color="auto"/>
        </w:rPr>
        <w:sectPr>
          <w:pgSz w:w="11907" w:h="16840"/>
          <w:pgMar w:top="1701" w:right="1531" w:bottom="2127" w:left="1531" w:header="851" w:footer="851" w:gutter="0"/>
          <w:pgBorders>
            <w:top w:val="none" w:sz="0" w:space="0"/>
            <w:left w:val="none" w:sz="0" w:space="0"/>
            <w:bottom w:val="none" w:sz="0" w:space="0"/>
            <w:right w:val="none" w:sz="0" w:space="0"/>
          </w:pgBorders>
          <w:pgNumType w:fmt="decimal"/>
          <w:cols w:space="720" w:num="1"/>
          <w:docGrid w:linePitch="312" w:charSpace="0"/>
        </w:sectPr>
      </w:pPr>
    </w:p>
    <w:p w14:paraId="38FC0468">
      <w:pPr>
        <w:pStyle w:val="26"/>
        <w:numPr>
          <w:ilvl w:val="0"/>
          <w:numId w:val="8"/>
        </w:numPr>
        <w:jc w:val="center"/>
        <w:outlineLvl w:val="0"/>
        <w:rPr>
          <w:rFonts w:hint="default" w:ascii="Times New Roman" w:hAnsi="Times New Roman" w:eastAsia="宋体" w:cs="Times New Roman"/>
          <w:b/>
          <w:bCs/>
          <w:snapToGrid w:val="0"/>
          <w:color w:val="auto"/>
          <w:sz w:val="30"/>
          <w:szCs w:val="30"/>
          <w:u w:val="none" w:color="auto"/>
        </w:rPr>
      </w:pPr>
      <w:bookmarkStart w:id="95" w:name="_Hlk54167917"/>
      <w:bookmarkStart w:id="96" w:name="_Toc11821"/>
      <w:r>
        <w:rPr>
          <w:rFonts w:hint="default" w:ascii="Times New Roman" w:hAnsi="Times New Roman" w:eastAsia="宋体" w:cs="Times New Roman"/>
          <w:b/>
          <w:bCs/>
          <w:snapToGrid w:val="0"/>
          <w:color w:val="auto"/>
          <w:sz w:val="30"/>
          <w:szCs w:val="30"/>
          <w:u w:val="none" w:color="auto"/>
        </w:rPr>
        <w:t>环境保护措施监督检查清单</w:t>
      </w:r>
      <w:bookmarkEnd w:id="95"/>
      <w:bookmarkEnd w:id="96"/>
    </w:p>
    <w:tbl>
      <w:tblPr>
        <w:tblStyle w:val="31"/>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778"/>
        <w:gridCol w:w="877"/>
        <w:gridCol w:w="878"/>
        <w:gridCol w:w="1039"/>
        <w:gridCol w:w="1637"/>
        <w:gridCol w:w="2591"/>
      </w:tblGrid>
      <w:tr w14:paraId="29EC86A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778" w:type="dxa"/>
            <w:tcBorders>
              <w:tl2br w:val="single" w:color="auto" w:sz="4" w:space="0"/>
            </w:tcBorders>
            <w:noWrap w:val="0"/>
            <w:vAlign w:val="top"/>
          </w:tcPr>
          <w:p w14:paraId="11CA8EA1">
            <w:pPr>
              <w:adjustRightInd w:val="0"/>
              <w:snapToGrid w:val="0"/>
              <w:ind w:firstLine="840"/>
              <w:rPr>
                <w:rFonts w:hint="default" w:ascii="Times New Roman" w:hAnsi="Times New Roman" w:eastAsia="宋体" w:cs="Times New Roman"/>
                <w:b/>
                <w:bCs/>
                <w:color w:val="auto"/>
                <w:szCs w:val="21"/>
                <w:highlight w:val="none"/>
                <w:u w:val="none" w:color="auto"/>
              </w:rPr>
            </w:pPr>
            <w:r>
              <w:rPr>
                <w:rFonts w:hint="default" w:ascii="Times New Roman" w:hAnsi="Times New Roman" w:eastAsia="宋体" w:cs="Times New Roman"/>
                <w:b/>
                <w:bCs/>
                <w:color w:val="auto"/>
                <w:szCs w:val="21"/>
                <w:highlight w:val="none"/>
                <w:u w:val="none" w:color="auto"/>
              </w:rPr>
              <w:t>内容</w:t>
            </w:r>
          </w:p>
          <w:p w14:paraId="1266D3D6">
            <w:pPr>
              <w:adjustRightInd w:val="0"/>
              <w:snapToGrid w:val="0"/>
              <w:rPr>
                <w:rFonts w:hint="default" w:ascii="Times New Roman" w:hAnsi="Times New Roman" w:eastAsia="宋体" w:cs="Times New Roman"/>
                <w:b/>
                <w:bCs/>
                <w:color w:val="auto"/>
                <w:szCs w:val="21"/>
                <w:highlight w:val="none"/>
                <w:u w:val="none" w:color="auto"/>
              </w:rPr>
            </w:pPr>
            <w:r>
              <w:rPr>
                <w:rFonts w:hint="default" w:ascii="Times New Roman" w:hAnsi="Times New Roman" w:eastAsia="宋体" w:cs="Times New Roman"/>
                <w:b/>
                <w:bCs/>
                <w:color w:val="auto"/>
                <w:szCs w:val="21"/>
                <w:highlight w:val="none"/>
                <w:u w:val="none" w:color="auto"/>
              </w:rPr>
              <w:t>要素</w:t>
            </w:r>
          </w:p>
        </w:tc>
        <w:tc>
          <w:tcPr>
            <w:tcW w:w="1755" w:type="dxa"/>
            <w:gridSpan w:val="2"/>
            <w:noWrap w:val="0"/>
            <w:vAlign w:val="center"/>
          </w:tcPr>
          <w:p w14:paraId="0C21384E">
            <w:pPr>
              <w:adjustRightInd w:val="0"/>
              <w:snapToGrid w:val="0"/>
              <w:jc w:val="center"/>
              <w:rPr>
                <w:rFonts w:hint="default" w:ascii="Times New Roman" w:hAnsi="Times New Roman" w:eastAsia="宋体" w:cs="Times New Roman"/>
                <w:b/>
                <w:bCs/>
                <w:color w:val="auto"/>
                <w:szCs w:val="21"/>
                <w:highlight w:val="none"/>
                <w:u w:val="none" w:color="auto"/>
              </w:rPr>
            </w:pPr>
            <w:r>
              <w:rPr>
                <w:rFonts w:hint="default" w:ascii="Times New Roman" w:hAnsi="Times New Roman" w:eastAsia="宋体" w:cs="Times New Roman"/>
                <w:b/>
                <w:bCs/>
                <w:color w:val="auto"/>
                <w:szCs w:val="21"/>
                <w:highlight w:val="none"/>
                <w:u w:val="none" w:color="auto"/>
              </w:rPr>
              <w:t>排放口</w:t>
            </w:r>
            <w:r>
              <w:rPr>
                <w:rFonts w:hint="default" w:ascii="Times New Roman" w:hAnsi="Times New Roman" w:eastAsia="宋体" w:cs="Times New Roman"/>
                <w:b/>
                <w:bCs/>
                <w:color w:val="auto"/>
                <w:szCs w:val="21"/>
                <w:highlight w:val="none"/>
                <w:u w:val="none" w:color="auto"/>
                <w:lang w:eastAsia="zh-CN"/>
              </w:rPr>
              <w:t>（</w:t>
            </w:r>
            <w:r>
              <w:rPr>
                <w:rFonts w:hint="default" w:ascii="Times New Roman" w:hAnsi="Times New Roman" w:eastAsia="宋体" w:cs="Times New Roman"/>
                <w:b/>
                <w:bCs/>
                <w:color w:val="auto"/>
                <w:szCs w:val="21"/>
                <w:highlight w:val="none"/>
                <w:u w:val="none" w:color="auto"/>
              </w:rPr>
              <w:t>编号、</w:t>
            </w:r>
          </w:p>
          <w:p w14:paraId="1E979A70">
            <w:pPr>
              <w:adjustRightInd w:val="0"/>
              <w:snapToGrid w:val="0"/>
              <w:jc w:val="center"/>
              <w:rPr>
                <w:rFonts w:hint="default" w:ascii="Times New Roman" w:hAnsi="Times New Roman" w:eastAsia="宋体" w:cs="Times New Roman"/>
                <w:b/>
                <w:bCs/>
                <w:color w:val="auto"/>
                <w:szCs w:val="21"/>
                <w:highlight w:val="none"/>
                <w:u w:val="none" w:color="auto"/>
              </w:rPr>
            </w:pPr>
            <w:r>
              <w:rPr>
                <w:rFonts w:hint="default" w:ascii="Times New Roman" w:hAnsi="Times New Roman" w:eastAsia="宋体" w:cs="Times New Roman"/>
                <w:b/>
                <w:bCs/>
                <w:color w:val="auto"/>
                <w:szCs w:val="21"/>
                <w:highlight w:val="none"/>
                <w:u w:val="none" w:color="auto"/>
              </w:rPr>
              <w:t>名称</w:t>
            </w:r>
            <w:r>
              <w:rPr>
                <w:rFonts w:hint="default" w:ascii="Times New Roman" w:hAnsi="Times New Roman" w:eastAsia="宋体" w:cs="Times New Roman"/>
                <w:b/>
                <w:bCs/>
                <w:color w:val="auto"/>
                <w:szCs w:val="21"/>
                <w:highlight w:val="none"/>
                <w:u w:val="none" w:color="auto"/>
                <w:lang w:eastAsia="zh-CN"/>
              </w:rPr>
              <w:t>）</w:t>
            </w:r>
            <w:r>
              <w:rPr>
                <w:rFonts w:hint="default" w:ascii="Times New Roman" w:hAnsi="Times New Roman" w:eastAsia="宋体" w:cs="Times New Roman"/>
                <w:b/>
                <w:bCs/>
                <w:color w:val="auto"/>
                <w:szCs w:val="21"/>
                <w:highlight w:val="none"/>
                <w:u w:val="none" w:color="auto"/>
              </w:rPr>
              <w:t>/污染源</w:t>
            </w:r>
          </w:p>
        </w:tc>
        <w:tc>
          <w:tcPr>
            <w:tcW w:w="1039" w:type="dxa"/>
            <w:noWrap w:val="0"/>
            <w:vAlign w:val="center"/>
          </w:tcPr>
          <w:p w14:paraId="7C639939">
            <w:pPr>
              <w:adjustRightInd w:val="0"/>
              <w:snapToGrid w:val="0"/>
              <w:jc w:val="center"/>
              <w:rPr>
                <w:rFonts w:hint="default" w:ascii="Times New Roman" w:hAnsi="Times New Roman" w:eastAsia="宋体" w:cs="Times New Roman"/>
                <w:b/>
                <w:bCs/>
                <w:color w:val="auto"/>
                <w:szCs w:val="21"/>
                <w:highlight w:val="none"/>
                <w:u w:val="none" w:color="auto"/>
              </w:rPr>
            </w:pPr>
            <w:r>
              <w:rPr>
                <w:rFonts w:hint="default" w:ascii="Times New Roman" w:hAnsi="Times New Roman" w:eastAsia="宋体" w:cs="Times New Roman"/>
                <w:b/>
                <w:bCs/>
                <w:color w:val="auto"/>
                <w:szCs w:val="21"/>
                <w:highlight w:val="none"/>
                <w:u w:val="none" w:color="auto"/>
              </w:rPr>
              <w:t>污染物项目</w:t>
            </w:r>
          </w:p>
        </w:tc>
        <w:tc>
          <w:tcPr>
            <w:tcW w:w="1637" w:type="dxa"/>
            <w:noWrap w:val="0"/>
            <w:vAlign w:val="center"/>
          </w:tcPr>
          <w:p w14:paraId="43A3AB8A">
            <w:pPr>
              <w:adjustRightInd w:val="0"/>
              <w:snapToGrid w:val="0"/>
              <w:jc w:val="center"/>
              <w:rPr>
                <w:rFonts w:hint="default" w:ascii="Times New Roman" w:hAnsi="Times New Roman" w:eastAsia="宋体" w:cs="Times New Roman"/>
                <w:b/>
                <w:bCs/>
                <w:color w:val="auto"/>
                <w:szCs w:val="21"/>
                <w:highlight w:val="none"/>
                <w:u w:val="none" w:color="auto"/>
              </w:rPr>
            </w:pPr>
            <w:r>
              <w:rPr>
                <w:rFonts w:hint="default" w:ascii="Times New Roman" w:hAnsi="Times New Roman" w:eastAsia="宋体" w:cs="Times New Roman"/>
                <w:b/>
                <w:bCs/>
                <w:color w:val="auto"/>
                <w:szCs w:val="21"/>
                <w:highlight w:val="none"/>
                <w:u w:val="none" w:color="auto"/>
              </w:rPr>
              <w:t>环境保护措施</w:t>
            </w:r>
          </w:p>
        </w:tc>
        <w:tc>
          <w:tcPr>
            <w:tcW w:w="2591" w:type="dxa"/>
            <w:noWrap w:val="0"/>
            <w:vAlign w:val="center"/>
          </w:tcPr>
          <w:p w14:paraId="278499F7">
            <w:pPr>
              <w:adjustRightInd w:val="0"/>
              <w:snapToGrid w:val="0"/>
              <w:jc w:val="center"/>
              <w:rPr>
                <w:rFonts w:hint="default" w:ascii="Times New Roman" w:hAnsi="Times New Roman" w:eastAsia="宋体" w:cs="Times New Roman"/>
                <w:b/>
                <w:bCs/>
                <w:color w:val="auto"/>
                <w:szCs w:val="21"/>
                <w:highlight w:val="none"/>
                <w:u w:val="none" w:color="auto"/>
              </w:rPr>
            </w:pPr>
            <w:r>
              <w:rPr>
                <w:rFonts w:hint="default" w:ascii="Times New Roman" w:hAnsi="Times New Roman" w:eastAsia="宋体" w:cs="Times New Roman"/>
                <w:b/>
                <w:bCs/>
                <w:color w:val="auto"/>
                <w:szCs w:val="21"/>
                <w:highlight w:val="none"/>
                <w:u w:val="none" w:color="auto"/>
              </w:rPr>
              <w:t>执行标准</w:t>
            </w:r>
          </w:p>
        </w:tc>
      </w:tr>
      <w:tr w14:paraId="39B984F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778" w:type="dxa"/>
            <w:vMerge w:val="restart"/>
            <w:noWrap w:val="0"/>
            <w:vAlign w:val="center"/>
          </w:tcPr>
          <w:p w14:paraId="27FB9529">
            <w:pPr>
              <w:adjustRightInd w:val="0"/>
              <w:snapToGrid w:val="0"/>
              <w:jc w:val="center"/>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rPr>
              <w:t>大气环境</w:t>
            </w:r>
          </w:p>
        </w:tc>
        <w:tc>
          <w:tcPr>
            <w:tcW w:w="1755" w:type="dxa"/>
            <w:gridSpan w:val="2"/>
            <w:noWrap w:val="0"/>
            <w:vAlign w:val="center"/>
          </w:tcPr>
          <w:p w14:paraId="5F46FF50">
            <w:pPr>
              <w:jc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DA010</w:t>
            </w:r>
          </w:p>
        </w:tc>
        <w:tc>
          <w:tcPr>
            <w:tcW w:w="1039" w:type="dxa"/>
            <w:noWrap w:val="0"/>
            <w:vAlign w:val="center"/>
          </w:tcPr>
          <w:p w14:paraId="6E1C4C8E">
            <w:pPr>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颗粒物、二氧化硫、氮氧化物</w:t>
            </w:r>
          </w:p>
        </w:tc>
        <w:tc>
          <w:tcPr>
            <w:tcW w:w="1637" w:type="dxa"/>
            <w:noWrap w:val="0"/>
            <w:vAlign w:val="center"/>
          </w:tcPr>
          <w:p w14:paraId="787A39DE">
            <w:pPr>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pacing w:val="0"/>
                <w:kern w:val="2"/>
                <w:sz w:val="21"/>
                <w:szCs w:val="21"/>
                <w:highlight w:val="none"/>
                <w:u w:val="none" w:color="auto"/>
                <w:lang w:val="en-US" w:eastAsia="zh-CN" w:bidi="ar-SA"/>
              </w:rPr>
              <w:t>TA010废气处理系统：多管重力除尘器+布袋除尘+20m高排气筒</w:t>
            </w:r>
          </w:p>
        </w:tc>
        <w:tc>
          <w:tcPr>
            <w:tcW w:w="2591" w:type="dxa"/>
            <w:noWrap w:val="0"/>
            <w:vAlign w:val="center"/>
          </w:tcPr>
          <w:p w14:paraId="3F940A46">
            <w:pPr>
              <w:jc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从严执行《大气污染物综合排放标准》（GB16297-1996）、《工业炉窑大气污染物排放标准》（GB9078-1996）、《铸造工业大气污染物排放标准》（GB39726-2020）</w:t>
            </w:r>
          </w:p>
        </w:tc>
      </w:tr>
      <w:tr w14:paraId="27CCFB6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778" w:type="dxa"/>
            <w:vMerge w:val="continue"/>
            <w:noWrap w:val="0"/>
            <w:vAlign w:val="center"/>
          </w:tcPr>
          <w:p w14:paraId="2792A049">
            <w:pPr>
              <w:adjustRightInd w:val="0"/>
              <w:snapToGrid w:val="0"/>
              <w:jc w:val="center"/>
              <w:rPr>
                <w:rFonts w:hint="default" w:ascii="Times New Roman" w:hAnsi="Times New Roman" w:eastAsia="宋体" w:cs="Times New Roman"/>
                <w:color w:val="auto"/>
                <w:szCs w:val="21"/>
                <w:highlight w:val="none"/>
                <w:u w:val="none" w:color="auto"/>
              </w:rPr>
            </w:pPr>
          </w:p>
        </w:tc>
        <w:tc>
          <w:tcPr>
            <w:tcW w:w="1755" w:type="dxa"/>
            <w:gridSpan w:val="2"/>
            <w:noWrap w:val="0"/>
            <w:vAlign w:val="center"/>
          </w:tcPr>
          <w:p w14:paraId="599F92DD">
            <w:pPr>
              <w:jc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DA011</w:t>
            </w:r>
          </w:p>
        </w:tc>
        <w:tc>
          <w:tcPr>
            <w:tcW w:w="1039" w:type="dxa"/>
            <w:noWrap w:val="0"/>
            <w:vAlign w:val="center"/>
          </w:tcPr>
          <w:p w14:paraId="727B5534">
            <w:pPr>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颗粒物、非甲烷总烃</w:t>
            </w:r>
          </w:p>
        </w:tc>
        <w:tc>
          <w:tcPr>
            <w:tcW w:w="1637" w:type="dxa"/>
            <w:noWrap w:val="0"/>
            <w:vAlign w:val="center"/>
          </w:tcPr>
          <w:p w14:paraId="1ECCF75E">
            <w:pPr>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pacing w:val="0"/>
                <w:kern w:val="2"/>
                <w:sz w:val="21"/>
                <w:szCs w:val="21"/>
                <w:highlight w:val="none"/>
                <w:u w:val="none" w:color="auto"/>
                <w:lang w:val="en-US" w:eastAsia="zh-CN" w:bidi="ar-SA"/>
              </w:rPr>
              <w:t>TA011废气处理系统：布袋除尘+活性炭吸附+20m高排气筒</w:t>
            </w:r>
          </w:p>
        </w:tc>
        <w:tc>
          <w:tcPr>
            <w:tcW w:w="2591" w:type="dxa"/>
            <w:noWrap w:val="0"/>
            <w:vAlign w:val="center"/>
          </w:tcPr>
          <w:p w14:paraId="5525A143">
            <w:pPr>
              <w:jc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《大气污染物综合排放标准》（GB16297-1996）</w:t>
            </w:r>
          </w:p>
        </w:tc>
      </w:tr>
      <w:tr w14:paraId="0378C00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778" w:type="dxa"/>
            <w:vMerge w:val="continue"/>
            <w:noWrap w:val="0"/>
            <w:vAlign w:val="center"/>
          </w:tcPr>
          <w:p w14:paraId="4FC18BD9">
            <w:pPr>
              <w:adjustRightInd w:val="0"/>
              <w:snapToGrid w:val="0"/>
              <w:jc w:val="center"/>
              <w:rPr>
                <w:rFonts w:hint="default" w:ascii="Times New Roman" w:hAnsi="Times New Roman" w:eastAsia="宋体" w:cs="Times New Roman"/>
                <w:color w:val="auto"/>
                <w:szCs w:val="21"/>
                <w:highlight w:val="none"/>
                <w:u w:val="none" w:color="auto"/>
              </w:rPr>
            </w:pPr>
          </w:p>
        </w:tc>
        <w:tc>
          <w:tcPr>
            <w:tcW w:w="1755" w:type="dxa"/>
            <w:gridSpan w:val="2"/>
            <w:noWrap w:val="0"/>
            <w:vAlign w:val="center"/>
          </w:tcPr>
          <w:p w14:paraId="18F1EBAD">
            <w:pPr>
              <w:jc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DA012</w:t>
            </w:r>
          </w:p>
        </w:tc>
        <w:tc>
          <w:tcPr>
            <w:tcW w:w="1039" w:type="dxa"/>
            <w:noWrap w:val="0"/>
            <w:vAlign w:val="center"/>
          </w:tcPr>
          <w:p w14:paraId="7479CCD3">
            <w:pPr>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非甲烷总烃</w:t>
            </w:r>
          </w:p>
        </w:tc>
        <w:tc>
          <w:tcPr>
            <w:tcW w:w="1637" w:type="dxa"/>
            <w:shd w:val="clear" w:color="auto" w:fill="auto"/>
            <w:noWrap w:val="0"/>
            <w:vAlign w:val="center"/>
          </w:tcPr>
          <w:p w14:paraId="1F039F9E">
            <w:pPr>
              <w:jc w:val="center"/>
              <w:rPr>
                <w:rFonts w:hint="default" w:ascii="Times New Roman" w:hAnsi="Times New Roman" w:eastAsia="宋体" w:cs="Times New Roman"/>
                <w:color w:val="auto"/>
                <w:spacing w:val="0"/>
                <w:kern w:val="2"/>
                <w:sz w:val="21"/>
                <w:szCs w:val="21"/>
                <w:highlight w:val="none"/>
                <w:u w:val="none" w:color="auto"/>
                <w:lang w:val="en-US" w:eastAsia="zh-CN" w:bidi="ar-SA"/>
              </w:rPr>
            </w:pPr>
            <w:r>
              <w:rPr>
                <w:rFonts w:hint="default" w:ascii="Times New Roman" w:hAnsi="Times New Roman" w:eastAsia="宋体" w:cs="Times New Roman"/>
                <w:color w:val="auto"/>
                <w:u w:val="none" w:color="auto"/>
              </w:rPr>
              <w:t>TA012废气处理系统：干湿分离器+二级活性炭吸附处理+15m高排气筒</w:t>
            </w:r>
          </w:p>
        </w:tc>
        <w:tc>
          <w:tcPr>
            <w:tcW w:w="2591" w:type="dxa"/>
            <w:noWrap w:val="0"/>
            <w:vAlign w:val="center"/>
          </w:tcPr>
          <w:p w14:paraId="056587ED">
            <w:pPr>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u w:val="none" w:color="auto"/>
              </w:rPr>
              <w:t>《表面涂装(汽车制造及维修)挥发性有机物、镍排放标准》（DB43/ 1356-2017）</w:t>
            </w:r>
          </w:p>
        </w:tc>
      </w:tr>
      <w:tr w14:paraId="64A771E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778" w:type="dxa"/>
            <w:vMerge w:val="continue"/>
            <w:noWrap w:val="0"/>
            <w:vAlign w:val="center"/>
          </w:tcPr>
          <w:p w14:paraId="468303D1">
            <w:pPr>
              <w:adjustRightInd w:val="0"/>
              <w:snapToGrid w:val="0"/>
              <w:jc w:val="center"/>
              <w:rPr>
                <w:rFonts w:hint="default" w:ascii="Times New Roman" w:hAnsi="Times New Roman" w:eastAsia="宋体" w:cs="Times New Roman"/>
                <w:color w:val="auto"/>
                <w:szCs w:val="21"/>
                <w:highlight w:val="none"/>
                <w:u w:val="none" w:color="auto"/>
              </w:rPr>
            </w:pPr>
          </w:p>
        </w:tc>
        <w:tc>
          <w:tcPr>
            <w:tcW w:w="877" w:type="dxa"/>
            <w:noWrap w:val="0"/>
            <w:vAlign w:val="center"/>
          </w:tcPr>
          <w:p w14:paraId="6BD298EB">
            <w:pPr>
              <w:jc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中创空天厂区</w:t>
            </w:r>
          </w:p>
        </w:tc>
        <w:tc>
          <w:tcPr>
            <w:tcW w:w="878" w:type="dxa"/>
            <w:shd w:val="clear" w:color="auto" w:fill="auto"/>
            <w:noWrap w:val="0"/>
            <w:vAlign w:val="center"/>
          </w:tcPr>
          <w:p w14:paraId="789AECEA">
            <w:pPr>
              <w:jc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激光达标及车间其他未被收集废气</w:t>
            </w:r>
          </w:p>
        </w:tc>
        <w:tc>
          <w:tcPr>
            <w:tcW w:w="1039" w:type="dxa"/>
            <w:noWrap w:val="0"/>
            <w:vAlign w:val="center"/>
          </w:tcPr>
          <w:p w14:paraId="17079A71">
            <w:pPr>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颗粒物、二氧化硫、氮氧化物、非甲烷总烃</w:t>
            </w:r>
          </w:p>
        </w:tc>
        <w:tc>
          <w:tcPr>
            <w:tcW w:w="1637" w:type="dxa"/>
            <w:noWrap w:val="0"/>
            <w:vAlign w:val="center"/>
          </w:tcPr>
          <w:p w14:paraId="3C9120BD">
            <w:pPr>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kern w:val="2"/>
                <w:sz w:val="21"/>
                <w:szCs w:val="21"/>
                <w:u w:val="none" w:color="auto"/>
                <w:lang w:val="en-US" w:eastAsia="zh-CN" w:bidi="ar-SA"/>
              </w:rPr>
              <w:t>集气系统、</w:t>
            </w:r>
            <w:r>
              <w:rPr>
                <w:rFonts w:hint="default" w:ascii="Times New Roman" w:hAnsi="Times New Roman" w:eastAsia="宋体" w:cs="Times New Roman"/>
                <w:color w:val="auto"/>
                <w:spacing w:val="0"/>
                <w:kern w:val="2"/>
                <w:sz w:val="21"/>
                <w:szCs w:val="21"/>
                <w:highlight w:val="none"/>
                <w:u w:val="none" w:color="auto"/>
                <w:lang w:val="en-US" w:eastAsia="zh-CN" w:bidi="ar-SA"/>
              </w:rPr>
              <w:t>移动式布袋除尘器</w:t>
            </w:r>
          </w:p>
        </w:tc>
        <w:tc>
          <w:tcPr>
            <w:tcW w:w="2591" w:type="dxa"/>
            <w:shd w:val="clear" w:color="auto" w:fill="auto"/>
            <w:noWrap w:val="0"/>
            <w:vAlign w:val="center"/>
          </w:tcPr>
          <w:p w14:paraId="7AE6E33D">
            <w:pPr>
              <w:autoSpaceDE w:val="0"/>
              <w:autoSpaceDN w:val="0"/>
              <w:jc w:val="center"/>
              <w:rPr>
                <w:rFonts w:hint="default" w:ascii="Times New Roman" w:hAnsi="Times New Roman" w:eastAsia="宋体" w:cs="Times New Roman"/>
                <w:color w:val="auto"/>
                <w:spacing w:val="0"/>
                <w:kern w:val="0"/>
                <w:sz w:val="21"/>
                <w:szCs w:val="21"/>
                <w:highlight w:val="none"/>
                <w:u w:val="none" w:color="auto"/>
                <w:lang w:val="en-US" w:eastAsia="zh-CN" w:bidi="ar-SA"/>
              </w:rPr>
            </w:pPr>
            <w:r>
              <w:rPr>
                <w:rFonts w:hint="default" w:ascii="Times New Roman" w:hAnsi="Times New Roman" w:eastAsia="宋体" w:cs="Times New Roman"/>
                <w:color w:val="auto"/>
                <w:spacing w:val="0"/>
                <w:kern w:val="0"/>
                <w:sz w:val="21"/>
                <w:szCs w:val="21"/>
                <w:highlight w:val="none"/>
                <w:u w:val="none" w:color="auto"/>
                <w:lang w:val="en-US" w:eastAsia="zh-CN"/>
              </w:rPr>
              <w:t>厂界满足《大气污染物综合排放标准》（GB16297-1996）中的表2的无组织排放浓度监控限值；厂区内厂房外废气满足《铸造工业大气污染物排放标准》（GB39726-2020）表A.1的标准限值</w:t>
            </w:r>
          </w:p>
        </w:tc>
      </w:tr>
      <w:tr w14:paraId="6AB1C59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778" w:type="dxa"/>
            <w:vMerge w:val="continue"/>
            <w:noWrap w:val="0"/>
            <w:vAlign w:val="center"/>
          </w:tcPr>
          <w:p w14:paraId="5F57B00A">
            <w:pPr>
              <w:adjustRightInd w:val="0"/>
              <w:snapToGrid w:val="0"/>
              <w:jc w:val="center"/>
              <w:rPr>
                <w:rFonts w:hint="default" w:ascii="Times New Roman" w:hAnsi="Times New Roman" w:eastAsia="宋体" w:cs="Times New Roman"/>
                <w:color w:val="auto"/>
                <w:szCs w:val="21"/>
                <w:highlight w:val="none"/>
                <w:u w:val="none" w:color="auto"/>
              </w:rPr>
            </w:pPr>
          </w:p>
        </w:tc>
        <w:tc>
          <w:tcPr>
            <w:tcW w:w="877" w:type="dxa"/>
            <w:vMerge w:val="restart"/>
            <w:noWrap w:val="0"/>
            <w:vAlign w:val="center"/>
          </w:tcPr>
          <w:p w14:paraId="1524DD2B">
            <w:pPr>
              <w:jc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临港高新产业园区废气</w:t>
            </w:r>
          </w:p>
        </w:tc>
        <w:tc>
          <w:tcPr>
            <w:tcW w:w="878" w:type="dxa"/>
            <w:shd w:val="clear" w:color="auto" w:fill="auto"/>
            <w:noWrap w:val="0"/>
            <w:vAlign w:val="center"/>
          </w:tcPr>
          <w:p w14:paraId="396D777B">
            <w:pPr>
              <w:jc w:val="center"/>
              <w:rPr>
                <w:rFonts w:hint="default" w:ascii="Times New Roman" w:hAnsi="Times New Roman" w:eastAsia="宋体" w:cs="Times New Roman"/>
                <w:color w:val="auto"/>
                <w:kern w:val="2"/>
                <w:sz w:val="21"/>
                <w:szCs w:val="24"/>
                <w:u w:val="none" w:color="auto"/>
                <w:lang w:val="en-US" w:eastAsia="zh-CN" w:bidi="ar-SA"/>
              </w:rPr>
            </w:pPr>
            <w:r>
              <w:rPr>
                <w:rFonts w:hint="default" w:ascii="Times New Roman" w:hAnsi="Times New Roman" w:eastAsia="宋体" w:cs="Times New Roman"/>
                <w:color w:val="auto"/>
                <w:u w:val="none" w:color="auto"/>
                <w:lang w:val="en-US" w:eastAsia="zh-CN"/>
              </w:rPr>
              <w:t>激光达标及车间其他未被收集废气</w:t>
            </w:r>
          </w:p>
        </w:tc>
        <w:tc>
          <w:tcPr>
            <w:tcW w:w="1039" w:type="dxa"/>
            <w:shd w:val="clear" w:color="auto" w:fill="auto"/>
            <w:noWrap w:val="0"/>
            <w:vAlign w:val="center"/>
          </w:tcPr>
          <w:p w14:paraId="51E81A27">
            <w:pPr>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颗粒物、非甲烷总烃</w:t>
            </w:r>
          </w:p>
        </w:tc>
        <w:tc>
          <w:tcPr>
            <w:tcW w:w="1637" w:type="dxa"/>
            <w:shd w:val="clear" w:color="auto" w:fill="auto"/>
            <w:noWrap w:val="0"/>
            <w:vAlign w:val="center"/>
          </w:tcPr>
          <w:p w14:paraId="46A56E43">
            <w:pPr>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kern w:val="2"/>
                <w:sz w:val="21"/>
                <w:szCs w:val="21"/>
                <w:u w:val="none" w:color="auto"/>
                <w:lang w:val="en-US" w:eastAsia="zh-CN" w:bidi="ar-SA"/>
              </w:rPr>
              <w:t>集气系统、</w:t>
            </w:r>
            <w:r>
              <w:rPr>
                <w:rFonts w:hint="default" w:ascii="Times New Roman" w:hAnsi="Times New Roman" w:eastAsia="宋体" w:cs="Times New Roman"/>
                <w:color w:val="auto"/>
                <w:spacing w:val="0"/>
                <w:kern w:val="2"/>
                <w:sz w:val="21"/>
                <w:szCs w:val="21"/>
                <w:highlight w:val="none"/>
                <w:u w:val="none" w:color="auto"/>
                <w:lang w:val="en-US" w:eastAsia="zh-CN" w:bidi="ar-SA"/>
              </w:rPr>
              <w:t>移动式布袋除尘器</w:t>
            </w:r>
          </w:p>
        </w:tc>
        <w:tc>
          <w:tcPr>
            <w:tcW w:w="2591" w:type="dxa"/>
            <w:vMerge w:val="restart"/>
            <w:shd w:val="clear" w:color="auto" w:fill="auto"/>
            <w:noWrap w:val="0"/>
            <w:vAlign w:val="center"/>
          </w:tcPr>
          <w:p w14:paraId="19A863F9">
            <w:pPr>
              <w:autoSpaceDE w:val="0"/>
              <w:autoSpaceDN w:val="0"/>
              <w:jc w:val="center"/>
              <w:rPr>
                <w:rFonts w:hint="default" w:ascii="Times New Roman" w:hAnsi="Times New Roman" w:eastAsia="宋体" w:cs="Times New Roman"/>
                <w:color w:val="auto"/>
                <w:spacing w:val="0"/>
                <w:kern w:val="0"/>
                <w:sz w:val="21"/>
                <w:szCs w:val="21"/>
                <w:highlight w:val="none"/>
                <w:u w:val="none" w:color="auto"/>
                <w:lang w:val="en-US" w:eastAsia="zh-CN" w:bidi="ar-SA"/>
              </w:rPr>
            </w:pPr>
            <w:r>
              <w:rPr>
                <w:rFonts w:hint="default" w:ascii="Times New Roman" w:hAnsi="Times New Roman" w:eastAsia="宋体" w:cs="Times New Roman"/>
                <w:color w:val="auto"/>
                <w:spacing w:val="0"/>
                <w:kern w:val="0"/>
                <w:sz w:val="21"/>
                <w:szCs w:val="21"/>
                <w:highlight w:val="none"/>
                <w:u w:val="none" w:color="auto"/>
                <w:lang w:val="en-US" w:eastAsia="zh-CN"/>
              </w:rPr>
              <w:t>厂界颗粒物需执行《大气污染物综合排放标准》（GB16297-1996）标准、非甲烷总烃需执行《表面涂装(汽车制造及维修)挥发性有机物、镍排放标准》（DB43/ 1356-2017）限值；厂区内厂房外非甲烷总烃需《挥发性有机物无组织排放控制标准》（GB 37822-2019）</w:t>
            </w:r>
          </w:p>
        </w:tc>
      </w:tr>
      <w:tr w14:paraId="3AE80A9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778" w:type="dxa"/>
            <w:vMerge w:val="continue"/>
            <w:noWrap w:val="0"/>
            <w:vAlign w:val="center"/>
          </w:tcPr>
          <w:p w14:paraId="3EE23C96">
            <w:pPr>
              <w:adjustRightInd w:val="0"/>
              <w:snapToGrid w:val="0"/>
              <w:jc w:val="center"/>
              <w:rPr>
                <w:rFonts w:hint="default" w:ascii="Times New Roman" w:hAnsi="Times New Roman" w:eastAsia="宋体" w:cs="Times New Roman"/>
                <w:color w:val="auto"/>
                <w:szCs w:val="21"/>
                <w:highlight w:val="none"/>
                <w:u w:val="none" w:color="auto"/>
              </w:rPr>
            </w:pPr>
          </w:p>
        </w:tc>
        <w:tc>
          <w:tcPr>
            <w:tcW w:w="877" w:type="dxa"/>
            <w:vMerge w:val="continue"/>
            <w:noWrap w:val="0"/>
            <w:vAlign w:val="center"/>
          </w:tcPr>
          <w:p w14:paraId="0619FD34">
            <w:pPr>
              <w:jc w:val="center"/>
              <w:rPr>
                <w:rFonts w:hint="default" w:ascii="Times New Roman" w:hAnsi="Times New Roman" w:eastAsia="宋体" w:cs="Times New Roman"/>
                <w:b/>
                <w:bCs/>
                <w:color w:val="auto"/>
                <w:spacing w:val="0"/>
                <w:szCs w:val="21"/>
                <w:highlight w:val="none"/>
                <w:u w:val="none" w:color="auto"/>
                <w:lang w:val="en-US" w:eastAsia="zh-CN"/>
              </w:rPr>
            </w:pPr>
          </w:p>
        </w:tc>
        <w:tc>
          <w:tcPr>
            <w:tcW w:w="878" w:type="dxa"/>
            <w:shd w:val="clear" w:color="auto" w:fill="auto"/>
            <w:noWrap w:val="0"/>
            <w:vAlign w:val="center"/>
          </w:tcPr>
          <w:p w14:paraId="04CB7660">
            <w:pPr>
              <w:jc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去毛刺设备</w:t>
            </w:r>
          </w:p>
        </w:tc>
        <w:tc>
          <w:tcPr>
            <w:tcW w:w="1039" w:type="dxa"/>
            <w:noWrap w:val="0"/>
            <w:vAlign w:val="center"/>
          </w:tcPr>
          <w:p w14:paraId="26BB9175">
            <w:pPr>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颗粒物</w:t>
            </w:r>
          </w:p>
        </w:tc>
        <w:tc>
          <w:tcPr>
            <w:tcW w:w="1637" w:type="dxa"/>
            <w:shd w:val="clear" w:color="auto" w:fill="auto"/>
            <w:noWrap w:val="0"/>
            <w:vAlign w:val="center"/>
          </w:tcPr>
          <w:p w14:paraId="4B19F9C1">
            <w:pPr>
              <w:jc w:val="center"/>
              <w:rPr>
                <w:rFonts w:hint="default" w:ascii="Times New Roman" w:hAnsi="Times New Roman" w:eastAsia="宋体" w:cs="Times New Roman"/>
                <w:color w:val="auto"/>
                <w:spacing w:val="0"/>
                <w:kern w:val="2"/>
                <w:sz w:val="21"/>
                <w:szCs w:val="21"/>
                <w:highlight w:val="none"/>
                <w:u w:val="none" w:color="auto"/>
                <w:lang w:val="en-US" w:eastAsia="zh-CN" w:bidi="ar-SA"/>
              </w:rPr>
            </w:pPr>
            <w:r>
              <w:rPr>
                <w:rFonts w:hint="default" w:ascii="Times New Roman" w:hAnsi="Times New Roman" w:eastAsia="宋体" w:cs="Times New Roman"/>
                <w:color w:val="auto"/>
                <w:spacing w:val="0"/>
                <w:kern w:val="2"/>
                <w:sz w:val="21"/>
                <w:szCs w:val="21"/>
                <w:highlight w:val="none"/>
                <w:u w:val="none" w:color="auto"/>
                <w:lang w:val="en-US" w:eastAsia="zh-CN" w:bidi="ar-SA"/>
              </w:rPr>
              <w:t>去毛刺布袋除尘器</w:t>
            </w:r>
          </w:p>
        </w:tc>
        <w:tc>
          <w:tcPr>
            <w:tcW w:w="2591" w:type="dxa"/>
            <w:vMerge w:val="continue"/>
            <w:noWrap w:val="0"/>
            <w:vAlign w:val="center"/>
          </w:tcPr>
          <w:p w14:paraId="3FA0B07C">
            <w:pPr>
              <w:jc w:val="center"/>
              <w:rPr>
                <w:rFonts w:hint="default" w:ascii="Times New Roman" w:hAnsi="Times New Roman" w:eastAsia="宋体" w:cs="Times New Roman"/>
                <w:color w:val="auto"/>
                <w:kern w:val="2"/>
                <w:sz w:val="21"/>
                <w:szCs w:val="21"/>
                <w:highlight w:val="none"/>
                <w:u w:val="none" w:color="auto"/>
                <w:lang w:val="en-US" w:eastAsia="zh-CN" w:bidi="ar-SA"/>
              </w:rPr>
            </w:pPr>
          </w:p>
        </w:tc>
      </w:tr>
      <w:tr w14:paraId="7D11493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778" w:type="dxa"/>
            <w:vMerge w:val="continue"/>
            <w:noWrap w:val="0"/>
            <w:vAlign w:val="center"/>
          </w:tcPr>
          <w:p w14:paraId="0E379344">
            <w:pPr>
              <w:adjustRightInd w:val="0"/>
              <w:snapToGrid w:val="0"/>
              <w:jc w:val="center"/>
              <w:rPr>
                <w:rFonts w:hint="default" w:ascii="Times New Roman" w:hAnsi="Times New Roman" w:eastAsia="宋体" w:cs="Times New Roman"/>
                <w:color w:val="auto"/>
                <w:szCs w:val="21"/>
                <w:highlight w:val="none"/>
                <w:u w:val="none" w:color="auto"/>
              </w:rPr>
            </w:pPr>
          </w:p>
        </w:tc>
        <w:tc>
          <w:tcPr>
            <w:tcW w:w="877" w:type="dxa"/>
            <w:vMerge w:val="continue"/>
            <w:noWrap w:val="0"/>
            <w:vAlign w:val="center"/>
          </w:tcPr>
          <w:p w14:paraId="122DCA31">
            <w:pPr>
              <w:jc w:val="center"/>
              <w:rPr>
                <w:rFonts w:hint="default" w:ascii="Times New Roman" w:hAnsi="Times New Roman" w:eastAsia="宋体" w:cs="Times New Roman"/>
                <w:b/>
                <w:bCs/>
                <w:color w:val="auto"/>
                <w:spacing w:val="0"/>
                <w:szCs w:val="21"/>
                <w:highlight w:val="none"/>
                <w:u w:val="none" w:color="auto"/>
                <w:lang w:val="en-US" w:eastAsia="zh-CN"/>
              </w:rPr>
            </w:pPr>
          </w:p>
        </w:tc>
        <w:tc>
          <w:tcPr>
            <w:tcW w:w="878" w:type="dxa"/>
            <w:shd w:val="clear" w:color="auto" w:fill="auto"/>
            <w:noWrap w:val="0"/>
            <w:vAlign w:val="center"/>
          </w:tcPr>
          <w:p w14:paraId="68040522">
            <w:pPr>
              <w:jc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CNC精加工工序</w:t>
            </w:r>
          </w:p>
        </w:tc>
        <w:tc>
          <w:tcPr>
            <w:tcW w:w="1039" w:type="dxa"/>
            <w:noWrap w:val="0"/>
            <w:vAlign w:val="center"/>
          </w:tcPr>
          <w:p w14:paraId="3AC505A4">
            <w:pPr>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油雾（以非甲烷总烃表征）</w:t>
            </w:r>
          </w:p>
        </w:tc>
        <w:tc>
          <w:tcPr>
            <w:tcW w:w="1637" w:type="dxa"/>
            <w:shd w:val="clear" w:color="auto" w:fill="auto"/>
            <w:noWrap w:val="0"/>
            <w:vAlign w:val="center"/>
          </w:tcPr>
          <w:p w14:paraId="4DD24C71">
            <w:pPr>
              <w:jc w:val="center"/>
              <w:rPr>
                <w:rFonts w:hint="default" w:ascii="Times New Roman" w:hAnsi="Times New Roman" w:eastAsia="宋体" w:cs="Times New Roman"/>
                <w:color w:val="auto"/>
                <w:spacing w:val="0"/>
                <w:kern w:val="2"/>
                <w:sz w:val="21"/>
                <w:szCs w:val="21"/>
                <w:highlight w:val="none"/>
                <w:u w:val="none" w:color="auto"/>
                <w:lang w:val="en-US" w:eastAsia="zh-CN" w:bidi="ar-SA"/>
              </w:rPr>
            </w:pPr>
            <w:r>
              <w:rPr>
                <w:rFonts w:hint="default" w:ascii="Times New Roman" w:hAnsi="Times New Roman" w:eastAsia="宋体" w:cs="Times New Roman"/>
                <w:color w:val="auto"/>
                <w:spacing w:val="0"/>
                <w:kern w:val="0"/>
                <w:sz w:val="21"/>
                <w:szCs w:val="21"/>
                <w:highlight w:val="none"/>
                <w:u w:val="none" w:color="auto"/>
                <w:lang w:val="en-US" w:eastAsia="zh-CN"/>
              </w:rPr>
              <w:t>电油雾分离器</w:t>
            </w:r>
          </w:p>
        </w:tc>
        <w:tc>
          <w:tcPr>
            <w:tcW w:w="2591" w:type="dxa"/>
            <w:vMerge w:val="continue"/>
            <w:noWrap w:val="0"/>
            <w:vAlign w:val="center"/>
          </w:tcPr>
          <w:p w14:paraId="7651DDA1">
            <w:pPr>
              <w:jc w:val="center"/>
              <w:rPr>
                <w:rFonts w:hint="default" w:ascii="Times New Roman" w:hAnsi="Times New Roman" w:eastAsia="宋体" w:cs="Times New Roman"/>
                <w:color w:val="auto"/>
                <w:kern w:val="2"/>
                <w:sz w:val="21"/>
                <w:szCs w:val="21"/>
                <w:highlight w:val="none"/>
                <w:u w:val="none" w:color="auto"/>
                <w:lang w:val="en-US" w:eastAsia="zh-CN" w:bidi="ar-SA"/>
              </w:rPr>
            </w:pPr>
          </w:p>
        </w:tc>
      </w:tr>
      <w:tr w14:paraId="28E6009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23" w:hRule="atLeast"/>
          <w:jc w:val="center"/>
        </w:trPr>
        <w:tc>
          <w:tcPr>
            <w:tcW w:w="1778" w:type="dxa"/>
            <w:vMerge w:val="restart"/>
            <w:noWrap w:val="0"/>
            <w:vAlign w:val="center"/>
          </w:tcPr>
          <w:p w14:paraId="3C693CF4">
            <w:pPr>
              <w:adjustRightInd w:val="0"/>
              <w:snapToGrid w:val="0"/>
              <w:jc w:val="center"/>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rPr>
              <w:t>地表水环境</w:t>
            </w:r>
          </w:p>
        </w:tc>
        <w:tc>
          <w:tcPr>
            <w:tcW w:w="1755" w:type="dxa"/>
            <w:gridSpan w:val="2"/>
            <w:noWrap w:val="0"/>
            <w:vAlign w:val="center"/>
          </w:tcPr>
          <w:p w14:paraId="03999A06">
            <w:pPr>
              <w:adjustRightInd w:val="0"/>
              <w:snapToGrid w:val="0"/>
              <w:jc w:val="center"/>
              <w:rPr>
                <w:rFonts w:hint="default" w:ascii="Times New Roman" w:hAnsi="Times New Roman" w:eastAsia="宋体" w:cs="Times New Roman"/>
                <w:color w:val="auto"/>
                <w:szCs w:val="21"/>
                <w:highlight w:val="none"/>
                <w:u w:val="none" w:color="auto"/>
                <w:lang w:val="en-US" w:eastAsia="zh-CN"/>
              </w:rPr>
            </w:pPr>
            <w:r>
              <w:rPr>
                <w:rFonts w:hint="default" w:ascii="Times New Roman" w:hAnsi="Times New Roman" w:eastAsia="宋体" w:cs="Times New Roman"/>
                <w:color w:val="auto"/>
                <w:szCs w:val="21"/>
                <w:highlight w:val="none"/>
                <w:u w:val="none" w:color="auto"/>
              </w:rPr>
              <w:t>DW00</w:t>
            </w:r>
            <w:r>
              <w:rPr>
                <w:rFonts w:hint="default" w:ascii="Times New Roman" w:hAnsi="Times New Roman" w:eastAsia="宋体" w:cs="Times New Roman"/>
                <w:color w:val="auto"/>
                <w:szCs w:val="21"/>
                <w:highlight w:val="none"/>
                <w:u w:val="none" w:color="auto"/>
                <w:lang w:val="en-US" w:eastAsia="zh-CN"/>
              </w:rPr>
              <w:t>1总排口</w:t>
            </w:r>
          </w:p>
        </w:tc>
        <w:tc>
          <w:tcPr>
            <w:tcW w:w="1039" w:type="dxa"/>
            <w:noWrap w:val="0"/>
            <w:vAlign w:val="center"/>
          </w:tcPr>
          <w:p w14:paraId="122826B7">
            <w:pPr>
              <w:adjustRightInd w:val="0"/>
              <w:snapToGrid w:val="0"/>
              <w:jc w:val="center"/>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rPr>
              <w:t>pH、COD、SS、BOD</w:t>
            </w:r>
            <w:r>
              <w:rPr>
                <w:rFonts w:hint="default" w:ascii="Times New Roman" w:hAnsi="Times New Roman" w:eastAsia="宋体" w:cs="Times New Roman"/>
                <w:color w:val="auto"/>
                <w:szCs w:val="21"/>
                <w:highlight w:val="none"/>
                <w:u w:val="none" w:color="auto"/>
                <w:vertAlign w:val="subscript"/>
              </w:rPr>
              <w:t>5</w:t>
            </w:r>
            <w:r>
              <w:rPr>
                <w:rFonts w:hint="default" w:ascii="Times New Roman" w:hAnsi="Times New Roman" w:eastAsia="宋体" w:cs="Times New Roman"/>
                <w:color w:val="auto"/>
                <w:szCs w:val="21"/>
                <w:highlight w:val="none"/>
                <w:u w:val="none" w:color="auto"/>
              </w:rPr>
              <w:t>、氨氮等</w:t>
            </w:r>
          </w:p>
        </w:tc>
        <w:tc>
          <w:tcPr>
            <w:tcW w:w="1637" w:type="dxa"/>
            <w:noWrap w:val="0"/>
            <w:vAlign w:val="center"/>
          </w:tcPr>
          <w:p w14:paraId="21ADF5AE">
            <w:pPr>
              <w:adjustRightInd w:val="0"/>
              <w:snapToGrid w:val="0"/>
              <w:jc w:val="center"/>
              <w:rPr>
                <w:rFonts w:hint="default" w:ascii="Times New Roman" w:hAnsi="Times New Roman" w:eastAsia="宋体" w:cs="Times New Roman"/>
                <w:color w:val="auto"/>
                <w:szCs w:val="21"/>
                <w:highlight w:val="none"/>
                <w:u w:val="none" w:color="auto"/>
                <w:lang w:val="en-US" w:eastAsia="zh-CN"/>
              </w:rPr>
            </w:pPr>
            <w:r>
              <w:rPr>
                <w:rFonts w:hint="default" w:ascii="Times New Roman" w:hAnsi="Times New Roman" w:eastAsia="宋体" w:cs="Times New Roman"/>
                <w:color w:val="auto"/>
                <w:szCs w:val="21"/>
                <w:highlight w:val="none"/>
                <w:u w:val="none" w:color="auto"/>
              </w:rPr>
              <w:t>化粪池</w:t>
            </w:r>
            <w:r>
              <w:rPr>
                <w:rFonts w:hint="default" w:ascii="Times New Roman" w:hAnsi="Times New Roman" w:eastAsia="宋体" w:cs="Times New Roman"/>
                <w:color w:val="auto"/>
                <w:szCs w:val="21"/>
                <w:highlight w:val="none"/>
                <w:u w:val="none" w:color="auto"/>
                <w:lang w:val="en-US" w:eastAsia="zh-CN"/>
              </w:rPr>
              <w:t>/TW001废水处理站（隔油、中和、混凝、沉淀、过滤等）</w:t>
            </w:r>
          </w:p>
        </w:tc>
        <w:tc>
          <w:tcPr>
            <w:tcW w:w="2591" w:type="dxa"/>
            <w:vMerge w:val="restart"/>
            <w:noWrap w:val="0"/>
            <w:vAlign w:val="center"/>
          </w:tcPr>
          <w:p w14:paraId="3AA6442A">
            <w:pPr>
              <w:jc w:val="center"/>
              <w:rPr>
                <w:rFonts w:hint="default" w:ascii="Times New Roman" w:hAnsi="Times New Roman" w:eastAsia="宋体" w:cs="Times New Roman"/>
                <w:color w:val="auto"/>
                <w:kern w:val="2"/>
                <w:sz w:val="21"/>
                <w:szCs w:val="24"/>
                <w:u w:val="none" w:color="auto"/>
                <w:lang w:val="en-US" w:eastAsia="zh-CN" w:bidi="ar-SA"/>
              </w:rPr>
            </w:pPr>
            <w:r>
              <w:rPr>
                <w:rFonts w:hint="default" w:ascii="Times New Roman" w:hAnsi="Times New Roman" w:eastAsia="宋体" w:cs="Times New Roman"/>
                <w:color w:val="auto"/>
                <w:u w:val="none" w:color="auto"/>
                <w:lang w:eastAsia="zh-CN"/>
              </w:rPr>
              <w:t>《污水综合排放标准》（GB8978-1996）三级排放标准及湖南城陵矶临港产业新区污水处理厂进水水质要求</w:t>
            </w:r>
          </w:p>
        </w:tc>
      </w:tr>
      <w:tr w14:paraId="1C3EE35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778" w:type="dxa"/>
            <w:vMerge w:val="continue"/>
            <w:noWrap w:val="0"/>
            <w:vAlign w:val="center"/>
          </w:tcPr>
          <w:p w14:paraId="4959AF31">
            <w:pPr>
              <w:adjustRightInd w:val="0"/>
              <w:snapToGrid w:val="0"/>
              <w:jc w:val="center"/>
              <w:rPr>
                <w:rFonts w:hint="default" w:ascii="Times New Roman" w:hAnsi="Times New Roman" w:eastAsia="宋体" w:cs="Times New Roman"/>
                <w:color w:val="auto"/>
                <w:szCs w:val="21"/>
                <w:highlight w:val="none"/>
                <w:u w:val="none" w:color="auto"/>
              </w:rPr>
            </w:pPr>
          </w:p>
        </w:tc>
        <w:tc>
          <w:tcPr>
            <w:tcW w:w="1755" w:type="dxa"/>
            <w:gridSpan w:val="2"/>
            <w:noWrap w:val="0"/>
            <w:vAlign w:val="center"/>
          </w:tcPr>
          <w:p w14:paraId="64539C89">
            <w:pPr>
              <w:adjustRightInd w:val="0"/>
              <w:snapToGrid w:val="0"/>
              <w:jc w:val="center"/>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pacing w:val="0"/>
                <w:kern w:val="0"/>
                <w:sz w:val="21"/>
                <w:szCs w:val="21"/>
                <w:u w:val="none" w:color="auto"/>
                <w:vertAlign w:val="baseline"/>
                <w:lang w:val="en-US" w:eastAsia="zh-CN"/>
              </w:rPr>
              <w:t>DW002</w:t>
            </w:r>
            <w:r>
              <w:rPr>
                <w:rFonts w:hint="default" w:ascii="Times New Roman" w:hAnsi="Times New Roman" w:eastAsia="宋体" w:cs="Times New Roman"/>
                <w:color w:val="auto"/>
                <w:szCs w:val="21"/>
                <w:highlight w:val="none"/>
                <w:u w:val="none" w:color="auto"/>
                <w:lang w:val="en-US" w:eastAsia="zh-CN"/>
              </w:rPr>
              <w:t>总排口</w:t>
            </w:r>
          </w:p>
        </w:tc>
        <w:tc>
          <w:tcPr>
            <w:tcW w:w="1039" w:type="dxa"/>
            <w:shd w:val="clear" w:color="auto" w:fill="auto"/>
            <w:noWrap w:val="0"/>
            <w:vAlign w:val="center"/>
          </w:tcPr>
          <w:p w14:paraId="6F11B1A1">
            <w:pPr>
              <w:adjustRightInd w:val="0"/>
              <w:snapToGrid w:val="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Cs w:val="21"/>
                <w:highlight w:val="none"/>
                <w:u w:val="none" w:color="auto"/>
              </w:rPr>
              <w:t>pH、COD、SS、BOD</w:t>
            </w:r>
            <w:r>
              <w:rPr>
                <w:rFonts w:hint="default" w:ascii="Times New Roman" w:hAnsi="Times New Roman" w:eastAsia="宋体" w:cs="Times New Roman"/>
                <w:color w:val="auto"/>
                <w:szCs w:val="21"/>
                <w:highlight w:val="none"/>
                <w:u w:val="none" w:color="auto"/>
                <w:vertAlign w:val="subscript"/>
              </w:rPr>
              <w:t>5</w:t>
            </w:r>
            <w:r>
              <w:rPr>
                <w:rFonts w:hint="default" w:ascii="Times New Roman" w:hAnsi="Times New Roman" w:eastAsia="宋体" w:cs="Times New Roman"/>
                <w:color w:val="auto"/>
                <w:szCs w:val="21"/>
                <w:highlight w:val="none"/>
                <w:u w:val="none" w:color="auto"/>
              </w:rPr>
              <w:t>、氨氮</w:t>
            </w:r>
            <w:r>
              <w:rPr>
                <w:rFonts w:hint="default" w:ascii="Times New Roman" w:hAnsi="Times New Roman" w:eastAsia="宋体" w:cs="Times New Roman"/>
                <w:color w:val="auto"/>
                <w:szCs w:val="21"/>
                <w:highlight w:val="none"/>
                <w:u w:val="none" w:color="auto"/>
                <w:lang w:eastAsia="zh-CN"/>
              </w:rPr>
              <w:t>、</w:t>
            </w:r>
            <w:r>
              <w:rPr>
                <w:rFonts w:hint="default" w:ascii="Times New Roman" w:hAnsi="Times New Roman" w:eastAsia="宋体" w:cs="Times New Roman"/>
                <w:color w:val="auto"/>
                <w:szCs w:val="21"/>
                <w:highlight w:val="none"/>
                <w:u w:val="none" w:color="auto"/>
                <w:lang w:val="en-US" w:eastAsia="zh-CN"/>
              </w:rPr>
              <w:t>石油类</w:t>
            </w:r>
            <w:r>
              <w:rPr>
                <w:rFonts w:hint="default" w:ascii="Times New Roman" w:hAnsi="Times New Roman" w:eastAsia="宋体" w:cs="Times New Roman"/>
                <w:color w:val="auto"/>
                <w:szCs w:val="21"/>
                <w:highlight w:val="none"/>
                <w:u w:val="none" w:color="auto"/>
              </w:rPr>
              <w:t>等</w:t>
            </w:r>
          </w:p>
        </w:tc>
        <w:tc>
          <w:tcPr>
            <w:tcW w:w="1637" w:type="dxa"/>
            <w:noWrap w:val="0"/>
            <w:vAlign w:val="center"/>
          </w:tcPr>
          <w:p w14:paraId="6AEA5E28">
            <w:pPr>
              <w:adjustRightInd w:val="0"/>
              <w:snapToGrid w:val="0"/>
              <w:jc w:val="center"/>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lang w:val="en-US" w:eastAsia="zh-CN"/>
              </w:rPr>
              <w:t>TW004废水处理站（调节池、pH调节、混凝气浮、两级水解酸化、生物接触氧化、二沉池等）</w:t>
            </w:r>
          </w:p>
        </w:tc>
        <w:tc>
          <w:tcPr>
            <w:tcW w:w="2591" w:type="dxa"/>
            <w:vMerge w:val="continue"/>
            <w:noWrap w:val="0"/>
            <w:vAlign w:val="center"/>
          </w:tcPr>
          <w:p w14:paraId="756B71F8">
            <w:pPr>
              <w:jc w:val="center"/>
              <w:rPr>
                <w:rFonts w:hint="default" w:ascii="Times New Roman" w:hAnsi="Times New Roman" w:eastAsia="宋体" w:cs="Times New Roman"/>
                <w:color w:val="auto"/>
                <w:u w:val="none" w:color="auto"/>
                <w:lang w:eastAsia="zh-CN"/>
              </w:rPr>
            </w:pPr>
          </w:p>
        </w:tc>
      </w:tr>
      <w:tr w14:paraId="46DF704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778" w:type="dxa"/>
            <w:vMerge w:val="continue"/>
            <w:noWrap w:val="0"/>
            <w:vAlign w:val="center"/>
          </w:tcPr>
          <w:p w14:paraId="4106FAFA">
            <w:pPr>
              <w:adjustRightInd w:val="0"/>
              <w:snapToGrid w:val="0"/>
              <w:jc w:val="center"/>
              <w:rPr>
                <w:rFonts w:hint="default" w:ascii="Times New Roman" w:hAnsi="Times New Roman" w:eastAsia="宋体" w:cs="Times New Roman"/>
                <w:color w:val="auto"/>
                <w:szCs w:val="21"/>
                <w:highlight w:val="none"/>
                <w:u w:val="none" w:color="auto"/>
              </w:rPr>
            </w:pPr>
          </w:p>
        </w:tc>
        <w:tc>
          <w:tcPr>
            <w:tcW w:w="1755" w:type="dxa"/>
            <w:gridSpan w:val="2"/>
            <w:noWrap w:val="0"/>
            <w:vAlign w:val="center"/>
          </w:tcPr>
          <w:p w14:paraId="1E3B0B16">
            <w:pPr>
              <w:adjustRightInd w:val="0"/>
              <w:snapToGrid w:val="0"/>
              <w:jc w:val="center"/>
              <w:rPr>
                <w:rFonts w:hint="default" w:ascii="Times New Roman" w:hAnsi="Times New Roman" w:eastAsia="宋体" w:cs="Times New Roman"/>
                <w:color w:val="auto"/>
                <w:szCs w:val="21"/>
                <w:highlight w:val="none"/>
                <w:u w:val="none" w:color="auto"/>
                <w:lang w:val="en-US" w:eastAsia="zh-CN"/>
              </w:rPr>
            </w:pPr>
            <w:r>
              <w:rPr>
                <w:rFonts w:hint="default" w:ascii="Times New Roman" w:hAnsi="Times New Roman" w:eastAsia="宋体" w:cs="Times New Roman"/>
                <w:color w:val="auto"/>
                <w:szCs w:val="21"/>
                <w:highlight w:val="none"/>
                <w:u w:val="none" w:color="auto"/>
                <w:lang w:val="en-US" w:eastAsia="zh-CN"/>
              </w:rPr>
              <w:t>DW003/DW004/DW005生活污水排放口</w:t>
            </w:r>
          </w:p>
        </w:tc>
        <w:tc>
          <w:tcPr>
            <w:tcW w:w="1039" w:type="dxa"/>
            <w:noWrap w:val="0"/>
            <w:vAlign w:val="center"/>
          </w:tcPr>
          <w:p w14:paraId="6FE244A2">
            <w:pPr>
              <w:adjustRightInd w:val="0"/>
              <w:snapToGrid w:val="0"/>
              <w:jc w:val="center"/>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rPr>
              <w:t>pH、COD、SS、BOD</w:t>
            </w:r>
            <w:r>
              <w:rPr>
                <w:rFonts w:hint="default" w:ascii="Times New Roman" w:hAnsi="Times New Roman" w:eastAsia="宋体" w:cs="Times New Roman"/>
                <w:color w:val="auto"/>
                <w:szCs w:val="21"/>
                <w:highlight w:val="none"/>
                <w:u w:val="none" w:color="auto"/>
                <w:vertAlign w:val="subscript"/>
              </w:rPr>
              <w:t>5</w:t>
            </w:r>
            <w:r>
              <w:rPr>
                <w:rFonts w:hint="default" w:ascii="Times New Roman" w:hAnsi="Times New Roman" w:eastAsia="宋体" w:cs="Times New Roman"/>
                <w:color w:val="auto"/>
                <w:szCs w:val="21"/>
                <w:highlight w:val="none"/>
                <w:u w:val="none" w:color="auto"/>
              </w:rPr>
              <w:t>、氨氮等</w:t>
            </w:r>
          </w:p>
        </w:tc>
        <w:tc>
          <w:tcPr>
            <w:tcW w:w="1637" w:type="dxa"/>
            <w:noWrap w:val="0"/>
            <w:vAlign w:val="center"/>
          </w:tcPr>
          <w:p w14:paraId="2C13825C">
            <w:pPr>
              <w:adjustRightInd w:val="0"/>
              <w:snapToGrid w:val="0"/>
              <w:jc w:val="center"/>
              <w:rPr>
                <w:rFonts w:hint="default" w:ascii="Times New Roman" w:hAnsi="Times New Roman" w:eastAsia="宋体" w:cs="Times New Roman"/>
                <w:color w:val="auto"/>
                <w:szCs w:val="21"/>
                <w:highlight w:val="none"/>
                <w:u w:val="none" w:color="auto"/>
                <w:lang w:val="en-US" w:eastAsia="zh-CN"/>
              </w:rPr>
            </w:pPr>
            <w:r>
              <w:rPr>
                <w:rFonts w:hint="default" w:ascii="Times New Roman" w:hAnsi="Times New Roman" w:eastAsia="宋体" w:cs="Times New Roman"/>
                <w:color w:val="auto"/>
                <w:szCs w:val="21"/>
                <w:highlight w:val="none"/>
                <w:u w:val="none" w:color="auto"/>
                <w:lang w:val="en-US" w:eastAsia="zh-CN"/>
              </w:rPr>
              <w:t>化粪池</w:t>
            </w:r>
          </w:p>
        </w:tc>
        <w:tc>
          <w:tcPr>
            <w:tcW w:w="2591" w:type="dxa"/>
            <w:vMerge w:val="continue"/>
            <w:noWrap w:val="0"/>
            <w:vAlign w:val="center"/>
          </w:tcPr>
          <w:p w14:paraId="0E974460">
            <w:pPr>
              <w:jc w:val="center"/>
              <w:rPr>
                <w:rFonts w:hint="default" w:ascii="Times New Roman" w:hAnsi="Times New Roman" w:eastAsia="宋体" w:cs="Times New Roman"/>
                <w:color w:val="auto"/>
                <w:u w:val="none" w:color="auto"/>
                <w:lang w:eastAsia="zh-CN"/>
              </w:rPr>
            </w:pPr>
          </w:p>
        </w:tc>
      </w:tr>
      <w:tr w14:paraId="69F3982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23" w:hRule="atLeast"/>
          <w:jc w:val="center"/>
        </w:trPr>
        <w:tc>
          <w:tcPr>
            <w:tcW w:w="1778" w:type="dxa"/>
            <w:vMerge w:val="restart"/>
            <w:noWrap w:val="0"/>
            <w:vAlign w:val="center"/>
          </w:tcPr>
          <w:p w14:paraId="717C7741">
            <w:pPr>
              <w:adjustRightInd w:val="0"/>
              <w:snapToGrid w:val="0"/>
              <w:jc w:val="center"/>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rPr>
              <w:t>声环境</w:t>
            </w:r>
          </w:p>
        </w:tc>
        <w:tc>
          <w:tcPr>
            <w:tcW w:w="877" w:type="dxa"/>
            <w:noWrap w:val="0"/>
            <w:vAlign w:val="center"/>
          </w:tcPr>
          <w:p w14:paraId="760EA1D2">
            <w:pPr>
              <w:jc w:val="center"/>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u w:val="none" w:color="auto"/>
                <w:lang w:val="en-US" w:eastAsia="zh-CN"/>
              </w:rPr>
              <w:t>中创空天厂区</w:t>
            </w:r>
          </w:p>
        </w:tc>
        <w:tc>
          <w:tcPr>
            <w:tcW w:w="878" w:type="dxa"/>
            <w:vMerge w:val="restart"/>
            <w:shd w:val="clear" w:color="auto" w:fill="auto"/>
            <w:noWrap w:val="0"/>
            <w:vAlign w:val="center"/>
          </w:tcPr>
          <w:p w14:paraId="5BA847B6">
            <w:pPr>
              <w:adjustRightInd w:val="0"/>
              <w:snapToGrid w:val="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Cs w:val="21"/>
                <w:highlight w:val="none"/>
                <w:u w:val="none" w:color="auto"/>
              </w:rPr>
              <w:t>厂界</w:t>
            </w:r>
          </w:p>
        </w:tc>
        <w:tc>
          <w:tcPr>
            <w:tcW w:w="1039" w:type="dxa"/>
            <w:vMerge w:val="restart"/>
            <w:noWrap w:val="0"/>
            <w:vAlign w:val="center"/>
          </w:tcPr>
          <w:p w14:paraId="5BEAFC50">
            <w:pPr>
              <w:adjustRightInd w:val="0"/>
              <w:snapToGrid w:val="0"/>
              <w:jc w:val="center"/>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rPr>
              <w:t>等效连续A声级</w:t>
            </w:r>
          </w:p>
        </w:tc>
        <w:tc>
          <w:tcPr>
            <w:tcW w:w="1637" w:type="dxa"/>
            <w:noWrap w:val="0"/>
            <w:vAlign w:val="center"/>
          </w:tcPr>
          <w:p w14:paraId="502C7BAA">
            <w:pPr>
              <w:adjustRightInd w:val="0"/>
              <w:snapToGrid w:val="0"/>
              <w:jc w:val="center"/>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rPr>
              <w:t>设备基础减震、厂房及建筑材料隔声等措施</w:t>
            </w:r>
          </w:p>
        </w:tc>
        <w:tc>
          <w:tcPr>
            <w:tcW w:w="2591" w:type="dxa"/>
            <w:vMerge w:val="restart"/>
            <w:noWrap w:val="0"/>
            <w:vAlign w:val="center"/>
          </w:tcPr>
          <w:p w14:paraId="7280EFF7">
            <w:pPr>
              <w:adjustRightInd w:val="0"/>
              <w:snapToGrid w:val="0"/>
              <w:jc w:val="center"/>
              <w:rPr>
                <w:rFonts w:hint="default" w:ascii="Times New Roman" w:hAnsi="Times New Roman" w:eastAsia="宋体" w:cs="Times New Roman"/>
                <w:color w:val="auto"/>
                <w:szCs w:val="21"/>
                <w:highlight w:val="none"/>
                <w:u w:val="none" w:color="auto"/>
                <w:lang w:val="en-US" w:eastAsia="zh-CN"/>
              </w:rPr>
            </w:pPr>
            <w:r>
              <w:rPr>
                <w:rFonts w:hint="default" w:ascii="Times New Roman" w:hAnsi="Times New Roman" w:eastAsia="宋体" w:cs="Times New Roman"/>
                <w:color w:val="auto"/>
                <w:szCs w:val="21"/>
                <w:highlight w:val="none"/>
                <w:u w:val="none" w:color="auto"/>
              </w:rPr>
              <w:t>《工业企业厂界环境噪声排放标准》</w:t>
            </w:r>
            <w:r>
              <w:rPr>
                <w:rFonts w:hint="default" w:ascii="Times New Roman" w:hAnsi="Times New Roman" w:eastAsia="宋体" w:cs="Times New Roman"/>
                <w:color w:val="auto"/>
                <w:szCs w:val="21"/>
                <w:highlight w:val="none"/>
                <w:u w:val="none" w:color="auto"/>
                <w:lang w:eastAsia="zh-CN"/>
              </w:rPr>
              <w:t>（</w:t>
            </w:r>
            <w:r>
              <w:rPr>
                <w:rFonts w:hint="default" w:ascii="Times New Roman" w:hAnsi="Times New Roman" w:eastAsia="宋体" w:cs="Times New Roman"/>
                <w:color w:val="auto"/>
                <w:szCs w:val="21"/>
                <w:highlight w:val="none"/>
                <w:u w:val="none" w:color="auto"/>
              </w:rPr>
              <w:t>GB12348-2008</w:t>
            </w:r>
            <w:r>
              <w:rPr>
                <w:rFonts w:hint="default" w:ascii="Times New Roman" w:hAnsi="Times New Roman" w:eastAsia="宋体" w:cs="Times New Roman"/>
                <w:color w:val="auto"/>
                <w:szCs w:val="21"/>
                <w:highlight w:val="none"/>
                <w:u w:val="none" w:color="auto"/>
                <w:lang w:eastAsia="zh-CN"/>
              </w:rPr>
              <w:t>）</w:t>
            </w:r>
            <w:r>
              <w:rPr>
                <w:rFonts w:hint="default" w:ascii="Times New Roman" w:hAnsi="Times New Roman" w:eastAsia="宋体" w:cs="Times New Roman"/>
                <w:color w:val="auto"/>
                <w:szCs w:val="21"/>
                <w:highlight w:val="none"/>
                <w:u w:val="none" w:color="auto"/>
                <w:lang w:val="en-US" w:eastAsia="zh-CN"/>
              </w:rPr>
              <w:t>中相关标准限制要求</w:t>
            </w:r>
          </w:p>
        </w:tc>
      </w:tr>
      <w:tr w14:paraId="499DA32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778" w:type="dxa"/>
            <w:vMerge w:val="continue"/>
            <w:noWrap w:val="0"/>
            <w:vAlign w:val="center"/>
          </w:tcPr>
          <w:p w14:paraId="2F3E1F4E">
            <w:pPr>
              <w:adjustRightInd w:val="0"/>
              <w:snapToGrid w:val="0"/>
              <w:jc w:val="center"/>
              <w:rPr>
                <w:rFonts w:hint="default" w:ascii="Times New Roman" w:hAnsi="Times New Roman" w:eastAsia="宋体" w:cs="Times New Roman"/>
                <w:color w:val="auto"/>
                <w:szCs w:val="21"/>
                <w:highlight w:val="none"/>
                <w:u w:val="none" w:color="auto"/>
              </w:rPr>
            </w:pPr>
          </w:p>
        </w:tc>
        <w:tc>
          <w:tcPr>
            <w:tcW w:w="877" w:type="dxa"/>
            <w:noWrap w:val="0"/>
            <w:vAlign w:val="center"/>
          </w:tcPr>
          <w:p w14:paraId="16FBE716">
            <w:pPr>
              <w:jc w:val="center"/>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u w:val="none" w:color="auto"/>
                <w:lang w:val="en-US" w:eastAsia="zh-CN"/>
              </w:rPr>
              <w:t>临港高新产业园区废气</w:t>
            </w:r>
          </w:p>
        </w:tc>
        <w:tc>
          <w:tcPr>
            <w:tcW w:w="878" w:type="dxa"/>
            <w:vMerge w:val="continue"/>
            <w:noWrap w:val="0"/>
            <w:vAlign w:val="center"/>
          </w:tcPr>
          <w:p w14:paraId="0F7502A8">
            <w:pPr>
              <w:adjustRightInd w:val="0"/>
              <w:snapToGrid w:val="0"/>
              <w:jc w:val="center"/>
              <w:rPr>
                <w:rFonts w:hint="default" w:ascii="Times New Roman" w:hAnsi="Times New Roman" w:eastAsia="宋体" w:cs="Times New Roman"/>
                <w:color w:val="auto"/>
                <w:szCs w:val="21"/>
                <w:highlight w:val="none"/>
                <w:u w:val="none" w:color="auto"/>
              </w:rPr>
            </w:pPr>
          </w:p>
        </w:tc>
        <w:tc>
          <w:tcPr>
            <w:tcW w:w="1039" w:type="dxa"/>
            <w:vMerge w:val="continue"/>
            <w:noWrap w:val="0"/>
            <w:vAlign w:val="center"/>
          </w:tcPr>
          <w:p w14:paraId="47F43663">
            <w:pPr>
              <w:adjustRightInd w:val="0"/>
              <w:snapToGrid w:val="0"/>
              <w:jc w:val="center"/>
              <w:rPr>
                <w:rFonts w:hint="default" w:ascii="Times New Roman" w:hAnsi="Times New Roman" w:eastAsia="宋体" w:cs="Times New Roman"/>
                <w:color w:val="auto"/>
                <w:szCs w:val="21"/>
                <w:highlight w:val="none"/>
                <w:u w:val="none" w:color="auto"/>
              </w:rPr>
            </w:pPr>
          </w:p>
        </w:tc>
        <w:tc>
          <w:tcPr>
            <w:tcW w:w="1637" w:type="dxa"/>
            <w:noWrap w:val="0"/>
            <w:vAlign w:val="center"/>
          </w:tcPr>
          <w:p w14:paraId="60D68A9B">
            <w:pPr>
              <w:adjustRightInd w:val="0"/>
              <w:snapToGrid w:val="0"/>
              <w:jc w:val="center"/>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rPr>
              <w:t>设备基础减震、厂房及建筑材料隔声等措施</w:t>
            </w:r>
            <w:r>
              <w:rPr>
                <w:rFonts w:hint="default" w:ascii="Times New Roman" w:hAnsi="Times New Roman" w:eastAsia="宋体" w:cs="Times New Roman"/>
                <w:color w:val="auto"/>
                <w:szCs w:val="21"/>
                <w:highlight w:val="none"/>
                <w:u w:val="none" w:color="auto"/>
                <w:lang w:eastAsia="zh-CN"/>
              </w:rPr>
              <w:t>，</w:t>
            </w:r>
            <w:r>
              <w:rPr>
                <w:rFonts w:hint="default" w:ascii="Times New Roman" w:hAnsi="Times New Roman" w:eastAsia="宋体" w:cs="Times New Roman"/>
                <w:color w:val="auto"/>
                <w:szCs w:val="21"/>
                <w:highlight w:val="none"/>
                <w:u w:val="none" w:color="auto"/>
                <w:lang w:val="en-US" w:eastAsia="zh-CN"/>
              </w:rPr>
              <w:t>其中</w:t>
            </w:r>
            <w:r>
              <w:rPr>
                <w:rFonts w:hint="default" w:ascii="Times New Roman" w:hAnsi="Times New Roman" w:eastAsia="宋体" w:cs="Times New Roman"/>
                <w:color w:val="auto"/>
                <w:szCs w:val="21"/>
                <w:highlight w:val="none"/>
                <w:u w:val="none" w:color="auto"/>
              </w:rPr>
              <w:t>对15#、21#、22#栋厂房墙体采用传统复合结构（如岩棉+双层石膏板）或其他等效降噪措施</w:t>
            </w:r>
          </w:p>
        </w:tc>
        <w:tc>
          <w:tcPr>
            <w:tcW w:w="2591" w:type="dxa"/>
            <w:vMerge w:val="continue"/>
            <w:noWrap w:val="0"/>
            <w:vAlign w:val="center"/>
          </w:tcPr>
          <w:p w14:paraId="05464F2A">
            <w:pPr>
              <w:adjustRightInd w:val="0"/>
              <w:snapToGrid w:val="0"/>
              <w:jc w:val="center"/>
              <w:rPr>
                <w:rFonts w:hint="default" w:ascii="Times New Roman" w:hAnsi="Times New Roman" w:eastAsia="宋体" w:cs="Times New Roman"/>
                <w:color w:val="auto"/>
                <w:szCs w:val="21"/>
                <w:highlight w:val="none"/>
                <w:u w:val="none" w:color="auto"/>
              </w:rPr>
            </w:pPr>
          </w:p>
        </w:tc>
      </w:tr>
      <w:tr w14:paraId="6948A0D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778" w:type="dxa"/>
            <w:noWrap w:val="0"/>
            <w:vAlign w:val="center"/>
          </w:tcPr>
          <w:p w14:paraId="026A866E">
            <w:pPr>
              <w:adjustRightInd w:val="0"/>
              <w:snapToGrid w:val="0"/>
              <w:jc w:val="center"/>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rPr>
              <w:t>电磁辐射</w:t>
            </w:r>
          </w:p>
        </w:tc>
        <w:tc>
          <w:tcPr>
            <w:tcW w:w="1755" w:type="dxa"/>
            <w:gridSpan w:val="2"/>
            <w:noWrap w:val="0"/>
            <w:vAlign w:val="center"/>
          </w:tcPr>
          <w:p w14:paraId="3CE0A2FB">
            <w:pPr>
              <w:adjustRightInd w:val="0"/>
              <w:snapToGrid w:val="0"/>
              <w:jc w:val="center"/>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rPr>
              <w:t>/</w:t>
            </w:r>
          </w:p>
        </w:tc>
        <w:tc>
          <w:tcPr>
            <w:tcW w:w="1039" w:type="dxa"/>
            <w:noWrap w:val="0"/>
            <w:vAlign w:val="center"/>
          </w:tcPr>
          <w:p w14:paraId="0FEADA41">
            <w:pPr>
              <w:adjustRightInd w:val="0"/>
              <w:snapToGrid w:val="0"/>
              <w:jc w:val="center"/>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rPr>
              <w:t>/</w:t>
            </w:r>
          </w:p>
        </w:tc>
        <w:tc>
          <w:tcPr>
            <w:tcW w:w="1637" w:type="dxa"/>
            <w:noWrap w:val="0"/>
            <w:vAlign w:val="center"/>
          </w:tcPr>
          <w:p w14:paraId="31D7B393">
            <w:pPr>
              <w:adjustRightInd w:val="0"/>
              <w:snapToGrid w:val="0"/>
              <w:jc w:val="center"/>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rPr>
              <w:t>/</w:t>
            </w:r>
          </w:p>
        </w:tc>
        <w:tc>
          <w:tcPr>
            <w:tcW w:w="2591" w:type="dxa"/>
            <w:noWrap w:val="0"/>
            <w:vAlign w:val="center"/>
          </w:tcPr>
          <w:p w14:paraId="6AF4E35E">
            <w:pPr>
              <w:adjustRightInd w:val="0"/>
              <w:snapToGrid w:val="0"/>
              <w:jc w:val="center"/>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rPr>
              <w:t>/</w:t>
            </w:r>
          </w:p>
        </w:tc>
      </w:tr>
      <w:tr w14:paraId="3FD46C1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778" w:type="dxa"/>
            <w:noWrap w:val="0"/>
            <w:vAlign w:val="center"/>
          </w:tcPr>
          <w:p w14:paraId="47AF8F2B">
            <w:pPr>
              <w:adjustRightInd w:val="0"/>
              <w:snapToGrid w:val="0"/>
              <w:jc w:val="center"/>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rPr>
              <w:t>固体废物</w:t>
            </w:r>
          </w:p>
        </w:tc>
        <w:tc>
          <w:tcPr>
            <w:tcW w:w="7022" w:type="dxa"/>
            <w:gridSpan w:val="5"/>
            <w:noWrap w:val="0"/>
            <w:vAlign w:val="center"/>
          </w:tcPr>
          <w:p w14:paraId="265237B4">
            <w:pPr>
              <w:ind w:firstLine="420" w:firstLineChars="200"/>
              <w:jc w:val="left"/>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rPr>
              <w:t>1、一般固废、危险废物：危废</w:t>
            </w:r>
            <w:r>
              <w:rPr>
                <w:rFonts w:hint="default" w:ascii="Times New Roman" w:hAnsi="Times New Roman" w:eastAsia="宋体" w:cs="Times New Roman"/>
                <w:color w:val="auto"/>
                <w:szCs w:val="21"/>
                <w:highlight w:val="none"/>
                <w:u w:val="none" w:color="auto"/>
                <w:lang w:val="en-US" w:eastAsia="zh-CN"/>
              </w:rPr>
              <w:t>经</w:t>
            </w:r>
            <w:r>
              <w:rPr>
                <w:rFonts w:hint="default" w:ascii="Times New Roman" w:hAnsi="Times New Roman" w:eastAsia="宋体" w:cs="Times New Roman"/>
                <w:color w:val="auto"/>
                <w:szCs w:val="21"/>
                <w:highlight w:val="none"/>
                <w:u w:val="none" w:color="auto"/>
              </w:rPr>
              <w:t>危废暂存间进行暂存，定期交由资质单位无害化处置，企业须与有资质的单位签订危废处理协议，企业对于危废的入库出库等须做好台账记录；一般固废</w:t>
            </w:r>
            <w:r>
              <w:rPr>
                <w:rFonts w:hint="default" w:ascii="Times New Roman" w:hAnsi="Times New Roman" w:eastAsia="宋体" w:cs="Times New Roman"/>
                <w:color w:val="auto"/>
                <w:szCs w:val="21"/>
                <w:highlight w:val="none"/>
                <w:u w:val="none" w:color="auto"/>
                <w:lang w:val="en-US" w:eastAsia="zh-CN"/>
              </w:rPr>
              <w:t>经</w:t>
            </w:r>
            <w:r>
              <w:rPr>
                <w:rFonts w:hint="default" w:ascii="Times New Roman" w:hAnsi="Times New Roman" w:eastAsia="宋体" w:cs="Times New Roman"/>
                <w:color w:val="auto"/>
                <w:szCs w:val="21"/>
                <w:highlight w:val="none"/>
                <w:u w:val="none" w:color="auto"/>
              </w:rPr>
              <w:t>固废暂存间进行暂存，并依据要求进行处理处置，要求做到妥善处置，不得导致环境污染事件。</w:t>
            </w:r>
          </w:p>
          <w:p w14:paraId="30C6815C">
            <w:pPr>
              <w:ind w:firstLine="420" w:firstLineChars="200"/>
              <w:jc w:val="left"/>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rPr>
              <w:t>2、生活垃圾：厂区设置垃圾桶，垃圾收集后交由环卫部门处置。</w:t>
            </w:r>
          </w:p>
        </w:tc>
      </w:tr>
      <w:tr w14:paraId="43ADF59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778" w:type="dxa"/>
            <w:noWrap w:val="0"/>
            <w:vAlign w:val="center"/>
          </w:tcPr>
          <w:p w14:paraId="1667F2FA">
            <w:pPr>
              <w:adjustRightInd w:val="0"/>
              <w:snapToGrid w:val="0"/>
              <w:jc w:val="center"/>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rPr>
              <w:t>土壤及地下水</w:t>
            </w:r>
          </w:p>
          <w:p w14:paraId="53890E65">
            <w:pPr>
              <w:adjustRightInd w:val="0"/>
              <w:snapToGrid w:val="0"/>
              <w:jc w:val="center"/>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rPr>
              <w:t>污染防治措施</w:t>
            </w:r>
          </w:p>
        </w:tc>
        <w:tc>
          <w:tcPr>
            <w:tcW w:w="7022" w:type="dxa"/>
            <w:gridSpan w:val="5"/>
            <w:noWrap w:val="0"/>
            <w:vAlign w:val="center"/>
          </w:tcPr>
          <w:p w14:paraId="4645E496">
            <w:pPr>
              <w:adjustRightInd w:val="0"/>
              <w:snapToGrid w:val="0"/>
              <w:jc w:val="center"/>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rPr>
              <w:t>确保厂区地面无破损等导致地下水、土壤污染途径</w:t>
            </w:r>
          </w:p>
        </w:tc>
      </w:tr>
      <w:tr w14:paraId="03CFCD8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778" w:type="dxa"/>
            <w:noWrap w:val="0"/>
            <w:vAlign w:val="center"/>
          </w:tcPr>
          <w:p w14:paraId="71032C5E">
            <w:pPr>
              <w:adjustRightInd w:val="0"/>
              <w:snapToGrid w:val="0"/>
              <w:jc w:val="center"/>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rPr>
              <w:t>生态保护措施</w:t>
            </w:r>
          </w:p>
        </w:tc>
        <w:tc>
          <w:tcPr>
            <w:tcW w:w="7022" w:type="dxa"/>
            <w:gridSpan w:val="5"/>
            <w:noWrap w:val="0"/>
            <w:vAlign w:val="center"/>
          </w:tcPr>
          <w:p w14:paraId="10E949EC">
            <w:pPr>
              <w:adjustRightInd w:val="0"/>
              <w:snapToGrid w:val="0"/>
              <w:jc w:val="center"/>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rPr>
              <w:t>/</w:t>
            </w:r>
          </w:p>
        </w:tc>
      </w:tr>
      <w:tr w14:paraId="22A51F4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778" w:type="dxa"/>
            <w:noWrap w:val="0"/>
            <w:vAlign w:val="center"/>
          </w:tcPr>
          <w:p w14:paraId="0A84785C">
            <w:pPr>
              <w:adjustRightInd w:val="0"/>
              <w:snapToGrid w:val="0"/>
              <w:jc w:val="center"/>
              <w:rPr>
                <w:rFonts w:hint="default" w:ascii="Times New Roman" w:hAnsi="Times New Roman" w:eastAsia="宋体" w:cs="Times New Roman"/>
                <w:color w:val="auto"/>
                <w:spacing w:val="-8"/>
                <w:szCs w:val="21"/>
                <w:highlight w:val="none"/>
                <w:u w:val="none" w:color="auto"/>
              </w:rPr>
            </w:pPr>
            <w:r>
              <w:rPr>
                <w:rFonts w:hint="default" w:ascii="Times New Roman" w:hAnsi="Times New Roman" w:eastAsia="宋体" w:cs="Times New Roman"/>
                <w:color w:val="auto"/>
                <w:spacing w:val="-8"/>
                <w:szCs w:val="21"/>
                <w:highlight w:val="none"/>
                <w:u w:val="none" w:color="auto"/>
              </w:rPr>
              <w:t>环境风险</w:t>
            </w:r>
          </w:p>
          <w:p w14:paraId="63C89FB8">
            <w:pPr>
              <w:adjustRightInd w:val="0"/>
              <w:snapToGrid w:val="0"/>
              <w:jc w:val="center"/>
              <w:rPr>
                <w:rFonts w:hint="default" w:ascii="Times New Roman" w:hAnsi="Times New Roman" w:eastAsia="宋体" w:cs="Times New Roman"/>
                <w:color w:val="auto"/>
                <w:spacing w:val="-8"/>
                <w:szCs w:val="21"/>
                <w:highlight w:val="none"/>
                <w:u w:val="none" w:color="auto"/>
              </w:rPr>
            </w:pPr>
            <w:r>
              <w:rPr>
                <w:rFonts w:hint="default" w:ascii="Times New Roman" w:hAnsi="Times New Roman" w:eastAsia="宋体" w:cs="Times New Roman"/>
                <w:color w:val="auto"/>
                <w:spacing w:val="-8"/>
                <w:szCs w:val="21"/>
                <w:highlight w:val="none"/>
                <w:u w:val="none" w:color="auto"/>
              </w:rPr>
              <w:t>防范措施</w:t>
            </w:r>
          </w:p>
        </w:tc>
        <w:tc>
          <w:tcPr>
            <w:tcW w:w="7022" w:type="dxa"/>
            <w:gridSpan w:val="5"/>
            <w:noWrap w:val="0"/>
            <w:vAlign w:val="center"/>
          </w:tcPr>
          <w:p w14:paraId="5604463E">
            <w:pPr>
              <w:ind w:firstLine="420" w:firstLineChars="200"/>
              <w:jc w:val="left"/>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rPr>
              <w:t>1、应强化对危废管理，并及时转移至危废暂存间，并按规定时间交有资质的单位处置。</w:t>
            </w:r>
          </w:p>
          <w:p w14:paraId="1065D126">
            <w:pPr>
              <w:ind w:firstLine="420" w:firstLineChars="200"/>
              <w:jc w:val="left"/>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rPr>
              <w:t>2、加强职工的环保教育，</w:t>
            </w:r>
            <w:r>
              <w:rPr>
                <w:rFonts w:hint="default" w:ascii="Times New Roman" w:hAnsi="Times New Roman" w:eastAsia="宋体" w:cs="Times New Roman"/>
                <w:color w:val="auto"/>
                <w:szCs w:val="21"/>
                <w:highlight w:val="none"/>
                <w:u w:val="none" w:color="auto"/>
                <w:lang w:eastAsia="zh-CN"/>
              </w:rPr>
              <w:t>增强</w:t>
            </w:r>
            <w:r>
              <w:rPr>
                <w:rFonts w:hint="default" w:ascii="Times New Roman" w:hAnsi="Times New Roman" w:eastAsia="宋体" w:cs="Times New Roman"/>
                <w:color w:val="auto"/>
                <w:szCs w:val="21"/>
                <w:highlight w:val="none"/>
                <w:u w:val="none" w:color="auto"/>
              </w:rPr>
              <w:t>安全防范风险的意识。</w:t>
            </w:r>
          </w:p>
          <w:p w14:paraId="055A8F3C">
            <w:pPr>
              <w:ind w:firstLine="420" w:firstLineChars="200"/>
              <w:jc w:val="left"/>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rPr>
              <w:t>3、生产车间设专人负责，定期对各生产设备、废气处理设备、容器等进行检查维修。</w:t>
            </w:r>
          </w:p>
          <w:p w14:paraId="12995C39">
            <w:pPr>
              <w:ind w:firstLine="420" w:firstLineChars="200"/>
              <w:jc w:val="left"/>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rPr>
              <w:t>4、厂区内应按规范配置灭火器材、消防装备等应急物资</w:t>
            </w:r>
          </w:p>
          <w:p w14:paraId="47B4D2D3">
            <w:pPr>
              <w:ind w:firstLine="420" w:firstLineChars="200"/>
              <w:jc w:val="left"/>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rPr>
              <w:t>5、根据本项目建设情况，及时完成应急预案修编及备案工作。</w:t>
            </w:r>
          </w:p>
        </w:tc>
      </w:tr>
      <w:tr w14:paraId="1134B9B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778" w:type="dxa"/>
            <w:noWrap w:val="0"/>
            <w:vAlign w:val="center"/>
          </w:tcPr>
          <w:p w14:paraId="7E617766">
            <w:pPr>
              <w:adjustRightInd w:val="0"/>
              <w:snapToGrid w:val="0"/>
              <w:jc w:val="center"/>
              <w:rPr>
                <w:rFonts w:hint="default" w:ascii="Times New Roman" w:hAnsi="Times New Roman" w:eastAsia="宋体" w:cs="Times New Roman"/>
                <w:color w:val="auto"/>
                <w:spacing w:val="-8"/>
                <w:szCs w:val="21"/>
                <w:highlight w:val="none"/>
                <w:u w:val="none" w:color="auto"/>
              </w:rPr>
            </w:pPr>
            <w:r>
              <w:rPr>
                <w:rFonts w:hint="default" w:ascii="Times New Roman" w:hAnsi="Times New Roman" w:eastAsia="宋体" w:cs="Times New Roman"/>
                <w:color w:val="auto"/>
                <w:spacing w:val="-8"/>
                <w:szCs w:val="21"/>
                <w:highlight w:val="none"/>
                <w:u w:val="none" w:color="auto"/>
              </w:rPr>
              <w:t>其他环境</w:t>
            </w:r>
          </w:p>
          <w:p w14:paraId="36F2C6E3">
            <w:pPr>
              <w:adjustRightInd w:val="0"/>
              <w:snapToGrid w:val="0"/>
              <w:jc w:val="center"/>
              <w:rPr>
                <w:rFonts w:hint="default" w:ascii="Times New Roman" w:hAnsi="Times New Roman" w:eastAsia="宋体" w:cs="Times New Roman"/>
                <w:color w:val="auto"/>
                <w:spacing w:val="-8"/>
                <w:szCs w:val="21"/>
                <w:highlight w:val="none"/>
                <w:u w:val="none" w:color="auto"/>
              </w:rPr>
            </w:pPr>
            <w:r>
              <w:rPr>
                <w:rFonts w:hint="default" w:ascii="Times New Roman" w:hAnsi="Times New Roman" w:eastAsia="宋体" w:cs="Times New Roman"/>
                <w:color w:val="auto"/>
                <w:spacing w:val="-8"/>
                <w:szCs w:val="21"/>
                <w:highlight w:val="none"/>
                <w:u w:val="none" w:color="auto"/>
              </w:rPr>
              <w:t>管理要求</w:t>
            </w:r>
          </w:p>
        </w:tc>
        <w:tc>
          <w:tcPr>
            <w:tcW w:w="7022" w:type="dxa"/>
            <w:gridSpan w:val="5"/>
            <w:noWrap w:val="0"/>
            <w:vAlign w:val="center"/>
          </w:tcPr>
          <w:p w14:paraId="16C67B80">
            <w:pPr>
              <w:ind w:firstLine="420" w:firstLineChars="200"/>
              <w:jc w:val="left"/>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rPr>
              <w:t>1、设置厂区环保制度、加强员工环保培训，并定期做好自行监测、废气处理设施管理台账要求；</w:t>
            </w:r>
          </w:p>
          <w:p w14:paraId="66972C95">
            <w:pPr>
              <w:ind w:firstLine="420" w:firstLineChars="200"/>
              <w:jc w:val="left"/>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rPr>
              <w:t>2、编制本项目环境管理方案，落实项目环境管理制度及措施；</w:t>
            </w:r>
          </w:p>
          <w:p w14:paraId="43A4A6AD">
            <w:pPr>
              <w:ind w:firstLine="420" w:firstLineChars="200"/>
              <w:jc w:val="left"/>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rPr>
              <w:t>3、本项目竣工后，建设单位应当按照国务院环境保护行政主管部门规定的标准和程序，对配套建设的环境保护设施进行验收，编制验收报告。</w:t>
            </w:r>
          </w:p>
        </w:tc>
      </w:tr>
    </w:tbl>
    <w:p w14:paraId="0C3A8BA9">
      <w:pPr>
        <w:pStyle w:val="26"/>
        <w:jc w:val="center"/>
        <w:outlineLvl w:val="0"/>
        <w:rPr>
          <w:rFonts w:hint="default" w:ascii="Times New Roman" w:hAnsi="Times New Roman" w:eastAsia="宋体" w:cs="Times New Roman"/>
          <w:b/>
          <w:bCs/>
          <w:snapToGrid w:val="0"/>
          <w:color w:val="auto"/>
          <w:sz w:val="30"/>
          <w:szCs w:val="30"/>
          <w:u w:val="none" w:color="auto"/>
        </w:rPr>
      </w:pPr>
      <w:r>
        <w:rPr>
          <w:rFonts w:hint="default" w:ascii="Times New Roman" w:hAnsi="Times New Roman" w:eastAsia="宋体" w:cs="Times New Roman"/>
          <w:b/>
          <w:bCs/>
          <w:snapToGrid w:val="0"/>
          <w:color w:val="auto"/>
          <w:u w:val="none" w:color="auto"/>
        </w:rPr>
        <w:br w:type="page"/>
      </w:r>
      <w:bookmarkStart w:id="97" w:name="_Toc103"/>
      <w:r>
        <w:rPr>
          <w:rFonts w:hint="default" w:ascii="Times New Roman" w:hAnsi="Times New Roman" w:eastAsia="宋体" w:cs="Times New Roman"/>
          <w:b/>
          <w:bCs/>
          <w:snapToGrid w:val="0"/>
          <w:color w:val="auto"/>
          <w:sz w:val="30"/>
          <w:szCs w:val="30"/>
          <w:u w:val="none" w:color="auto"/>
        </w:rPr>
        <w:t>六、结论</w:t>
      </w:r>
      <w:bookmarkEnd w:id="97"/>
    </w:p>
    <w:tbl>
      <w:tblPr>
        <w:tblStyle w:val="31"/>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14:paraId="2F46D48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8865" w:type="dxa"/>
            <w:noWrap w:val="0"/>
            <w:vAlign w:val="center"/>
          </w:tcPr>
          <w:p w14:paraId="194FAB24">
            <w:pPr>
              <w:spacing w:line="360" w:lineRule="auto"/>
              <w:ind w:firstLine="480" w:firstLineChars="200"/>
              <w:rPr>
                <w:rFonts w:hint="default" w:ascii="Times New Roman" w:hAnsi="Times New Roman" w:eastAsia="宋体" w:cs="Times New Roman"/>
                <w:color w:val="auto"/>
                <w:sz w:val="24"/>
                <w:u w:val="none" w:color="auto"/>
                <w:lang w:eastAsia="zh-CN"/>
              </w:rPr>
            </w:pPr>
            <w:r>
              <w:rPr>
                <w:rFonts w:hint="default" w:ascii="Times New Roman" w:hAnsi="Times New Roman" w:eastAsia="宋体" w:cs="Times New Roman"/>
                <w:color w:val="auto"/>
                <w:sz w:val="24"/>
                <w:u w:val="none" w:color="auto"/>
              </w:rPr>
              <w:t>本项目的建设符合国家产业政策，选址</w:t>
            </w:r>
            <w:r>
              <w:rPr>
                <w:rFonts w:hint="default" w:ascii="Times New Roman" w:hAnsi="Times New Roman" w:eastAsia="宋体" w:cs="Times New Roman"/>
                <w:color w:val="auto"/>
                <w:sz w:val="24"/>
                <w:u w:val="none" w:color="auto"/>
                <w:lang w:val="en-US" w:eastAsia="zh-CN"/>
              </w:rPr>
              <w:t>符合</w:t>
            </w:r>
            <w:r>
              <w:rPr>
                <w:rFonts w:hint="default" w:ascii="Times New Roman" w:hAnsi="Times New Roman" w:eastAsia="宋体" w:cs="Times New Roman"/>
                <w:color w:val="auto"/>
                <w:sz w:val="24"/>
                <w:u w:val="none" w:color="auto"/>
              </w:rPr>
              <w:t>总体发展规划，符合相关法律法规的要求。建设单位在采取本评价所述措施对项目产生的污染物进行污染控制和治理</w:t>
            </w:r>
            <w:r>
              <w:rPr>
                <w:rFonts w:hint="default" w:ascii="Times New Roman" w:hAnsi="Times New Roman" w:eastAsia="宋体" w:cs="Times New Roman"/>
                <w:color w:val="auto"/>
                <w:sz w:val="24"/>
                <w:u w:val="none" w:color="auto"/>
                <w:lang w:val="en-US" w:eastAsia="zh-CN"/>
              </w:rPr>
              <w:t>后</w:t>
            </w:r>
            <w:r>
              <w:rPr>
                <w:rFonts w:hint="default" w:ascii="Times New Roman" w:hAnsi="Times New Roman" w:eastAsia="宋体" w:cs="Times New Roman"/>
                <w:color w:val="auto"/>
                <w:sz w:val="24"/>
                <w:u w:val="none" w:color="auto"/>
              </w:rPr>
              <w:t>，</w:t>
            </w:r>
            <w:r>
              <w:rPr>
                <w:rFonts w:hint="default" w:ascii="Times New Roman" w:hAnsi="Times New Roman" w:eastAsia="宋体" w:cs="Times New Roman"/>
                <w:color w:val="auto"/>
                <w:sz w:val="24"/>
                <w:u w:val="none" w:color="auto"/>
                <w:lang w:val="en-US" w:eastAsia="zh-CN"/>
              </w:rPr>
              <w:t>可</w:t>
            </w:r>
            <w:r>
              <w:rPr>
                <w:rFonts w:hint="default" w:ascii="Times New Roman" w:hAnsi="Times New Roman" w:eastAsia="宋体" w:cs="Times New Roman"/>
                <w:color w:val="auto"/>
                <w:sz w:val="24"/>
                <w:u w:val="none" w:color="auto"/>
              </w:rPr>
              <w:t>确保污染物达标排放，对周围环境影响</w:t>
            </w:r>
            <w:r>
              <w:rPr>
                <w:rFonts w:hint="default" w:ascii="Times New Roman" w:hAnsi="Times New Roman" w:eastAsia="宋体" w:cs="Times New Roman"/>
                <w:color w:val="auto"/>
                <w:sz w:val="24"/>
                <w:u w:val="none" w:color="auto"/>
                <w:lang w:val="en-US" w:eastAsia="zh-CN"/>
              </w:rPr>
              <w:t>在可接纳范围内</w:t>
            </w:r>
            <w:r>
              <w:rPr>
                <w:rFonts w:hint="default" w:ascii="Times New Roman" w:hAnsi="Times New Roman" w:eastAsia="宋体" w:cs="Times New Roman"/>
                <w:color w:val="auto"/>
                <w:sz w:val="24"/>
                <w:u w:val="none" w:color="auto"/>
                <w:lang w:eastAsia="zh-CN"/>
              </w:rPr>
              <w:t>。</w:t>
            </w:r>
          </w:p>
          <w:p w14:paraId="3B8F4943">
            <w:pPr>
              <w:spacing w:line="360" w:lineRule="auto"/>
              <w:ind w:firstLine="480" w:firstLineChars="200"/>
              <w:rPr>
                <w:rFonts w:hint="default" w:ascii="Times New Roman" w:hAnsi="Times New Roman" w:eastAsia="宋体" w:cs="Times New Roman"/>
                <w:color w:val="auto"/>
                <w:sz w:val="24"/>
                <w:u w:val="none" w:color="auto"/>
              </w:rPr>
            </w:pPr>
            <w:r>
              <w:rPr>
                <w:rFonts w:hint="default" w:ascii="Times New Roman" w:hAnsi="Times New Roman" w:eastAsia="宋体" w:cs="Times New Roman"/>
                <w:color w:val="auto"/>
                <w:sz w:val="24"/>
                <w:u w:val="none" w:color="auto"/>
                <w:lang w:val="en-US" w:eastAsia="zh-CN"/>
              </w:rPr>
              <w:t>综上分析，</w:t>
            </w:r>
            <w:r>
              <w:rPr>
                <w:rFonts w:hint="default" w:ascii="Times New Roman" w:hAnsi="Times New Roman" w:eastAsia="宋体" w:cs="Times New Roman"/>
                <w:color w:val="auto"/>
                <w:sz w:val="24"/>
                <w:u w:val="none" w:color="auto"/>
              </w:rPr>
              <w:t>从环境保护角度分析，项目建设是可行的。</w:t>
            </w:r>
          </w:p>
        </w:tc>
      </w:tr>
    </w:tbl>
    <w:p w14:paraId="06D4DE4C">
      <w:pP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br w:type="page"/>
      </w:r>
    </w:p>
    <w:p w14:paraId="35E146C8">
      <w:pPr>
        <w:rPr>
          <w:rFonts w:hint="default" w:ascii="Times New Roman" w:hAnsi="Times New Roman" w:eastAsia="宋体" w:cs="Times New Roman"/>
          <w:b/>
          <w:color w:val="auto"/>
          <w:sz w:val="36"/>
          <w:szCs w:val="36"/>
          <w:u w:val="none" w:color="auto"/>
        </w:rPr>
      </w:pPr>
      <w:bookmarkStart w:id="98" w:name="_Toc20053"/>
      <w:bookmarkStart w:id="99" w:name="_Toc29331"/>
      <w:bookmarkStart w:id="100" w:name="_Toc12706"/>
      <w:bookmarkStart w:id="101" w:name="_Toc31711"/>
      <w:bookmarkStart w:id="102" w:name="_Toc30780"/>
      <w:r>
        <w:rPr>
          <w:rFonts w:hint="default" w:ascii="Times New Roman" w:hAnsi="Times New Roman" w:eastAsia="宋体" w:cs="Times New Roman"/>
          <w:b/>
          <w:color w:val="auto"/>
          <w:sz w:val="36"/>
          <w:szCs w:val="36"/>
          <w:u w:val="none" w:color="auto"/>
        </w:rPr>
        <w:t>附录</w:t>
      </w:r>
      <w:bookmarkEnd w:id="98"/>
      <w:bookmarkEnd w:id="99"/>
      <w:bookmarkEnd w:id="100"/>
      <w:bookmarkEnd w:id="101"/>
      <w:bookmarkEnd w:id="102"/>
    </w:p>
    <w:p w14:paraId="16CEB12E">
      <w:pPr>
        <w:rPr>
          <w:rFonts w:hint="default" w:ascii="Times New Roman" w:hAnsi="Times New Roman" w:eastAsia="宋体" w:cs="Times New Roman"/>
          <w:b/>
          <w:color w:val="auto"/>
          <w:u w:val="none" w:color="auto"/>
        </w:rPr>
      </w:pPr>
    </w:p>
    <w:p w14:paraId="7E4DA701">
      <w:pPr>
        <w:jc w:val="center"/>
        <w:outlineLvl w:val="9"/>
        <w:rPr>
          <w:rFonts w:hint="default" w:ascii="Times New Roman" w:hAnsi="Times New Roman" w:eastAsia="宋体" w:cs="Times New Roman"/>
          <w:b/>
          <w:color w:val="auto"/>
          <w:sz w:val="44"/>
          <w:szCs w:val="44"/>
          <w:u w:val="none" w:color="auto"/>
          <w:lang w:eastAsia="zh-CN"/>
        </w:rPr>
      </w:pPr>
      <w:bookmarkStart w:id="103" w:name="_Toc24955"/>
      <w:bookmarkStart w:id="104" w:name="_Toc29582"/>
      <w:bookmarkStart w:id="105" w:name="_Toc27023"/>
      <w:bookmarkStart w:id="106" w:name="_Toc7056"/>
      <w:bookmarkStart w:id="107" w:name="_Toc23962"/>
    </w:p>
    <w:p w14:paraId="2EDF780F">
      <w:pPr>
        <w:jc w:val="center"/>
        <w:rPr>
          <w:rFonts w:hint="default" w:ascii="Times New Roman" w:hAnsi="Times New Roman" w:eastAsia="宋体" w:cs="Times New Roman"/>
          <w:b/>
          <w:color w:val="auto"/>
          <w:sz w:val="44"/>
          <w:szCs w:val="44"/>
          <w:u w:val="none" w:color="auto"/>
          <w:lang w:eastAsia="zh-CN"/>
        </w:rPr>
      </w:pPr>
    </w:p>
    <w:p w14:paraId="1450267E">
      <w:pPr>
        <w:jc w:val="center"/>
        <w:outlineLvl w:val="0"/>
        <w:rPr>
          <w:rFonts w:hint="default" w:ascii="Times New Roman" w:hAnsi="Times New Roman" w:eastAsia="宋体" w:cs="Times New Roman"/>
          <w:b/>
          <w:color w:val="auto"/>
          <w:sz w:val="44"/>
          <w:szCs w:val="44"/>
          <w:u w:val="none" w:color="auto"/>
        </w:rPr>
      </w:pPr>
      <w:bookmarkStart w:id="108" w:name="_Toc28842"/>
      <w:r>
        <w:rPr>
          <w:rFonts w:hint="default" w:ascii="Times New Roman" w:hAnsi="Times New Roman" w:eastAsia="宋体" w:cs="Times New Roman"/>
          <w:b/>
          <w:color w:val="auto"/>
          <w:sz w:val="44"/>
          <w:szCs w:val="44"/>
          <w:u w:val="none" w:color="auto"/>
          <w:lang w:eastAsia="zh-CN"/>
        </w:rPr>
        <w:t>中创新能源汽车用压铸动力外壳项目（</w:t>
      </w:r>
      <w:r>
        <w:rPr>
          <w:rFonts w:hint="default" w:ascii="Times New Roman" w:hAnsi="Times New Roman" w:eastAsia="宋体" w:cs="Times New Roman"/>
          <w:b/>
          <w:color w:val="auto"/>
          <w:sz w:val="44"/>
          <w:szCs w:val="44"/>
          <w:u w:val="none" w:color="auto"/>
          <w:lang w:val="en-US" w:eastAsia="zh-CN"/>
        </w:rPr>
        <w:t>中创空天厂区</w:t>
      </w:r>
      <w:r>
        <w:rPr>
          <w:rFonts w:hint="default" w:ascii="Times New Roman" w:hAnsi="Times New Roman" w:eastAsia="宋体" w:cs="Times New Roman"/>
          <w:b/>
          <w:color w:val="auto"/>
          <w:sz w:val="44"/>
          <w:szCs w:val="44"/>
          <w:u w:val="none" w:color="auto"/>
          <w:lang w:eastAsia="zh-CN"/>
        </w:rPr>
        <w:t>）</w:t>
      </w:r>
      <w:r>
        <w:rPr>
          <w:rFonts w:hint="default" w:ascii="Times New Roman" w:hAnsi="Times New Roman" w:eastAsia="宋体" w:cs="Times New Roman"/>
          <w:b/>
          <w:color w:val="auto"/>
          <w:sz w:val="44"/>
          <w:szCs w:val="44"/>
          <w:u w:val="none" w:color="auto"/>
        </w:rPr>
        <w:t>环境风险专项评价</w:t>
      </w:r>
      <w:bookmarkEnd w:id="103"/>
      <w:bookmarkEnd w:id="104"/>
      <w:bookmarkEnd w:id="105"/>
      <w:bookmarkEnd w:id="106"/>
      <w:bookmarkEnd w:id="107"/>
      <w:bookmarkEnd w:id="108"/>
    </w:p>
    <w:p w14:paraId="5F0AF330">
      <w:pPr>
        <w:jc w:val="center"/>
        <w:outlineLvl w:val="9"/>
        <w:rPr>
          <w:rFonts w:hint="default" w:ascii="Times New Roman" w:hAnsi="Times New Roman" w:eastAsia="宋体" w:cs="Times New Roman"/>
          <w:color w:val="auto"/>
          <w:sz w:val="44"/>
          <w:szCs w:val="44"/>
          <w:u w:val="none" w:color="auto"/>
          <w:lang w:val="en-US" w:eastAsia="zh-CN"/>
        </w:rPr>
      </w:pPr>
    </w:p>
    <w:p w14:paraId="0CE1BBD8">
      <w:pPr>
        <w:jc w:val="center"/>
        <w:outlineLvl w:val="9"/>
        <w:rPr>
          <w:rFonts w:hint="default" w:ascii="Times New Roman" w:hAnsi="Times New Roman" w:eastAsia="宋体" w:cs="Times New Roman"/>
          <w:color w:val="auto"/>
          <w:sz w:val="44"/>
          <w:szCs w:val="44"/>
          <w:u w:val="none" w:color="auto"/>
          <w:lang w:val="en-US" w:eastAsia="zh-CN"/>
        </w:rPr>
      </w:pPr>
    </w:p>
    <w:p w14:paraId="12C95085">
      <w:pPr>
        <w:jc w:val="center"/>
        <w:outlineLvl w:val="9"/>
        <w:rPr>
          <w:rFonts w:hint="default" w:ascii="Times New Roman" w:hAnsi="Times New Roman" w:eastAsia="宋体" w:cs="Times New Roman"/>
          <w:color w:val="auto"/>
          <w:sz w:val="44"/>
          <w:szCs w:val="44"/>
          <w:u w:val="none" w:color="auto"/>
          <w:lang w:val="en-US" w:eastAsia="zh-CN"/>
        </w:rPr>
      </w:pPr>
    </w:p>
    <w:p w14:paraId="4F65CD28">
      <w:pPr>
        <w:jc w:val="center"/>
        <w:outlineLvl w:val="9"/>
        <w:rPr>
          <w:rFonts w:hint="default" w:ascii="Times New Roman" w:hAnsi="Times New Roman" w:eastAsia="宋体" w:cs="Times New Roman"/>
          <w:color w:val="auto"/>
          <w:sz w:val="44"/>
          <w:szCs w:val="44"/>
          <w:u w:val="none" w:color="auto"/>
          <w:lang w:val="en-US" w:eastAsia="zh-CN"/>
        </w:rPr>
      </w:pPr>
    </w:p>
    <w:p w14:paraId="3073D863">
      <w:pPr>
        <w:jc w:val="center"/>
        <w:outlineLvl w:val="9"/>
        <w:rPr>
          <w:rFonts w:hint="default" w:ascii="Times New Roman" w:hAnsi="Times New Roman" w:eastAsia="宋体" w:cs="Times New Roman"/>
          <w:color w:val="auto"/>
          <w:sz w:val="44"/>
          <w:szCs w:val="44"/>
          <w:u w:val="none" w:color="auto"/>
          <w:lang w:val="en-US" w:eastAsia="zh-CN"/>
        </w:rPr>
      </w:pPr>
    </w:p>
    <w:p w14:paraId="6B3E03AE">
      <w:pPr>
        <w:jc w:val="center"/>
        <w:outlineLvl w:val="9"/>
        <w:rPr>
          <w:rFonts w:hint="default" w:ascii="Times New Roman" w:hAnsi="Times New Roman" w:eastAsia="宋体" w:cs="Times New Roman"/>
          <w:color w:val="auto"/>
          <w:sz w:val="44"/>
          <w:szCs w:val="44"/>
          <w:u w:val="none" w:color="auto"/>
          <w:lang w:val="en-US" w:eastAsia="zh-CN"/>
        </w:rPr>
      </w:pPr>
    </w:p>
    <w:p w14:paraId="3532D532">
      <w:pPr>
        <w:jc w:val="center"/>
        <w:outlineLvl w:val="9"/>
        <w:rPr>
          <w:rFonts w:hint="default" w:ascii="Times New Roman" w:hAnsi="Times New Roman" w:eastAsia="宋体" w:cs="Times New Roman"/>
          <w:color w:val="auto"/>
          <w:sz w:val="44"/>
          <w:szCs w:val="44"/>
          <w:u w:val="none" w:color="auto"/>
          <w:lang w:val="en-US" w:eastAsia="zh-CN"/>
        </w:rPr>
      </w:pPr>
    </w:p>
    <w:p w14:paraId="73C96743">
      <w:pPr>
        <w:jc w:val="center"/>
        <w:outlineLvl w:val="9"/>
        <w:rPr>
          <w:rFonts w:hint="default" w:ascii="Times New Roman" w:hAnsi="Times New Roman" w:eastAsia="宋体" w:cs="Times New Roman"/>
          <w:color w:val="auto"/>
          <w:sz w:val="44"/>
          <w:szCs w:val="44"/>
          <w:u w:val="none" w:color="auto"/>
          <w:lang w:val="en-US" w:eastAsia="zh-CN"/>
        </w:rPr>
      </w:pPr>
    </w:p>
    <w:p w14:paraId="1E0DD407">
      <w:pPr>
        <w:jc w:val="center"/>
        <w:outlineLvl w:val="9"/>
        <w:rPr>
          <w:rFonts w:hint="default" w:ascii="Times New Roman" w:hAnsi="Times New Roman" w:eastAsia="宋体" w:cs="Times New Roman"/>
          <w:color w:val="auto"/>
          <w:sz w:val="44"/>
          <w:szCs w:val="44"/>
          <w:u w:val="none" w:color="auto"/>
          <w:lang w:val="en-US" w:eastAsia="zh-CN"/>
        </w:rPr>
      </w:pPr>
    </w:p>
    <w:p w14:paraId="10011FFD">
      <w:pPr>
        <w:jc w:val="center"/>
        <w:outlineLvl w:val="9"/>
        <w:rPr>
          <w:rFonts w:hint="default" w:ascii="Times New Roman" w:hAnsi="Times New Roman" w:eastAsia="宋体" w:cs="Times New Roman"/>
          <w:color w:val="auto"/>
          <w:sz w:val="44"/>
          <w:szCs w:val="44"/>
          <w:u w:val="none" w:color="auto"/>
          <w:lang w:val="en-US" w:eastAsia="zh-CN"/>
        </w:rPr>
      </w:pPr>
    </w:p>
    <w:p w14:paraId="151BCE87">
      <w:pPr>
        <w:jc w:val="center"/>
        <w:outlineLvl w:val="9"/>
        <w:rPr>
          <w:rFonts w:hint="default" w:ascii="Times New Roman" w:hAnsi="Times New Roman" w:eastAsia="宋体" w:cs="Times New Roman"/>
          <w:color w:val="auto"/>
          <w:sz w:val="44"/>
          <w:szCs w:val="44"/>
          <w:u w:val="none" w:color="auto"/>
          <w:lang w:val="en-US" w:eastAsia="zh-CN"/>
        </w:rPr>
      </w:pPr>
    </w:p>
    <w:p w14:paraId="038BE168">
      <w:pPr>
        <w:jc w:val="center"/>
        <w:outlineLvl w:val="9"/>
        <w:rPr>
          <w:rFonts w:hint="default" w:ascii="Times New Roman" w:hAnsi="Times New Roman" w:eastAsia="宋体" w:cs="Times New Roman"/>
          <w:color w:val="auto"/>
          <w:sz w:val="44"/>
          <w:szCs w:val="44"/>
          <w:u w:val="none" w:color="auto"/>
          <w:lang w:val="en-US" w:eastAsia="zh-CN"/>
        </w:rPr>
      </w:pPr>
    </w:p>
    <w:p w14:paraId="7593706D">
      <w:pPr>
        <w:jc w:val="center"/>
        <w:outlineLvl w:val="9"/>
        <w:rPr>
          <w:rFonts w:hint="default" w:ascii="Times New Roman" w:hAnsi="Times New Roman" w:eastAsia="宋体" w:cs="Times New Roman"/>
          <w:color w:val="auto"/>
          <w:sz w:val="44"/>
          <w:szCs w:val="44"/>
          <w:u w:val="none" w:color="auto"/>
          <w:lang w:val="en-US" w:eastAsia="zh-CN"/>
        </w:rPr>
      </w:pPr>
    </w:p>
    <w:p w14:paraId="7EAB1720">
      <w:pPr>
        <w:jc w:val="center"/>
        <w:rPr>
          <w:rFonts w:hint="default" w:ascii="Times New Roman" w:hAnsi="Times New Roman" w:eastAsia="宋体" w:cs="Times New Roman"/>
          <w:b/>
          <w:color w:val="auto"/>
          <w:sz w:val="44"/>
          <w:szCs w:val="44"/>
          <w:u w:val="none" w:color="auto"/>
          <w:lang w:val="en-US" w:eastAsia="zh-CN"/>
        </w:rPr>
      </w:pPr>
    </w:p>
    <w:p w14:paraId="259B4C67">
      <w:pPr>
        <w:jc w:val="center"/>
        <w:rPr>
          <w:rFonts w:hint="default" w:ascii="Times New Roman" w:hAnsi="Times New Roman" w:eastAsia="宋体" w:cs="Times New Roman"/>
          <w:color w:val="auto"/>
        </w:rPr>
      </w:pPr>
      <w:r>
        <w:rPr>
          <w:rFonts w:hint="default" w:ascii="Times New Roman" w:hAnsi="Times New Roman" w:eastAsia="宋体" w:cs="Times New Roman"/>
          <w:b/>
          <w:color w:val="auto"/>
          <w:sz w:val="44"/>
          <w:szCs w:val="44"/>
          <w:u w:val="none" w:color="auto"/>
          <w:lang w:val="en-US" w:eastAsia="zh-CN"/>
        </w:rPr>
        <w:t>2025年7月</w:t>
      </w:r>
    </w:p>
    <w:p w14:paraId="4A3F1BB8">
      <w:pPr>
        <w:jc w:val="center"/>
        <w:rPr>
          <w:rFonts w:hint="default" w:ascii="Times New Roman" w:hAnsi="Times New Roman" w:eastAsia="宋体" w:cs="Times New Roman"/>
          <w:color w:val="auto"/>
          <w:sz w:val="44"/>
          <w:szCs w:val="44"/>
          <w:u w:val="none" w:color="auto"/>
          <w:lang w:val="en-US" w:eastAsia="zh-CN"/>
        </w:rPr>
      </w:pPr>
      <w:r>
        <w:rPr>
          <w:rFonts w:hint="default" w:ascii="Times New Roman" w:hAnsi="Times New Roman" w:eastAsia="宋体" w:cs="Times New Roman"/>
          <w:color w:val="auto"/>
          <w:sz w:val="44"/>
          <w:szCs w:val="44"/>
          <w:u w:val="none" w:color="auto"/>
        </w:rPr>
        <w:br w:type="page"/>
      </w:r>
      <w:r>
        <w:rPr>
          <w:rFonts w:hint="default" w:ascii="Times New Roman" w:hAnsi="Times New Roman" w:eastAsia="宋体" w:cs="Times New Roman"/>
          <w:b/>
          <w:color w:val="auto"/>
          <w:sz w:val="44"/>
          <w:szCs w:val="44"/>
          <w:u w:val="none" w:color="auto"/>
          <w:lang w:val="en-US" w:eastAsia="zh-CN"/>
        </w:rPr>
        <w:t>目  录</w:t>
      </w:r>
    </w:p>
    <w:p w14:paraId="53473782">
      <w:pPr>
        <w:pStyle w:val="25"/>
        <w:keepNext w:val="0"/>
        <w:keepLines w:val="0"/>
        <w:pageBreakBefore w:val="0"/>
        <w:widowControl w:val="0"/>
        <w:tabs>
          <w:tab w:val="right" w:leader="dot" w:pos="8844"/>
        </w:tabs>
        <w:kinsoku/>
        <w:wordWrap/>
        <w:overflowPunct/>
        <w:topLinePunct w:val="0"/>
        <w:autoSpaceDE/>
        <w:autoSpaceDN/>
        <w:bidi w:val="0"/>
        <w:adjustRightInd/>
        <w:snapToGrid/>
        <w:spacing w:line="360" w:lineRule="auto"/>
        <w:ind w:left="0" w:leftChars="0" w:firstLine="0" w:firstLineChars="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u w:val="none" w:color="auto"/>
        </w:rPr>
        <w:fldChar w:fldCharType="begin"/>
      </w:r>
      <w:r>
        <w:rPr>
          <w:rFonts w:hint="default" w:ascii="Times New Roman" w:hAnsi="Times New Roman" w:eastAsia="宋体" w:cs="Times New Roman"/>
          <w:color w:val="auto"/>
          <w:sz w:val="24"/>
          <w:szCs w:val="24"/>
          <w:u w:val="none" w:color="auto"/>
        </w:rPr>
        <w:instrText xml:space="preserve">TOC \o "1-2" \h \u </w:instrText>
      </w:r>
      <w:r>
        <w:rPr>
          <w:rFonts w:hint="default" w:ascii="Times New Roman" w:hAnsi="Times New Roman" w:eastAsia="宋体" w:cs="Times New Roman"/>
          <w:color w:val="auto"/>
          <w:sz w:val="24"/>
          <w:szCs w:val="24"/>
          <w:u w:val="none" w:color="auto"/>
        </w:rPr>
        <w:fldChar w:fldCharType="separate"/>
      </w:r>
      <w:r>
        <w:rPr>
          <w:rFonts w:hint="default" w:ascii="Times New Roman" w:hAnsi="Times New Roman" w:eastAsia="宋体" w:cs="Times New Roman"/>
          <w:color w:val="auto"/>
          <w:sz w:val="24"/>
          <w:szCs w:val="24"/>
          <w:u w:val="none" w:color="auto"/>
        </w:rPr>
        <w:fldChar w:fldCharType="begin"/>
      </w:r>
      <w:r>
        <w:rPr>
          <w:rFonts w:hint="default" w:ascii="Times New Roman" w:hAnsi="Times New Roman" w:eastAsia="宋体" w:cs="Times New Roman"/>
          <w:color w:val="auto"/>
          <w:sz w:val="24"/>
          <w:szCs w:val="24"/>
        </w:rPr>
        <w:instrText xml:space="preserve"> HYPERLINK \l _Toc23578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bCs/>
          <w:color w:val="auto"/>
          <w:sz w:val="24"/>
          <w:szCs w:val="24"/>
        </w:rPr>
        <w:t>1、总 论</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_Toc23578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169</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u w:val="none" w:color="auto"/>
        </w:rPr>
        <w:fldChar w:fldCharType="end"/>
      </w:r>
    </w:p>
    <w:p w14:paraId="24DA6E2B">
      <w:pPr>
        <w:pStyle w:val="25"/>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u w:val="none" w:color="auto"/>
        </w:rPr>
        <w:fldChar w:fldCharType="begin"/>
      </w:r>
      <w:r>
        <w:rPr>
          <w:rFonts w:hint="default" w:ascii="Times New Roman" w:hAnsi="Times New Roman" w:eastAsia="宋体" w:cs="Times New Roman"/>
          <w:color w:val="auto"/>
          <w:sz w:val="24"/>
          <w:szCs w:val="24"/>
        </w:rPr>
        <w:instrText xml:space="preserve"> HYPERLINK \l _Toc7830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1.1 前言</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_Toc7830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169</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u w:val="none" w:color="auto"/>
        </w:rPr>
        <w:fldChar w:fldCharType="end"/>
      </w:r>
    </w:p>
    <w:p w14:paraId="299881DC">
      <w:pPr>
        <w:pStyle w:val="25"/>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u w:val="none" w:color="auto"/>
        </w:rPr>
        <w:fldChar w:fldCharType="begin"/>
      </w:r>
      <w:r>
        <w:rPr>
          <w:rFonts w:hint="default" w:ascii="Times New Roman" w:hAnsi="Times New Roman" w:eastAsia="宋体" w:cs="Times New Roman"/>
          <w:color w:val="auto"/>
          <w:sz w:val="24"/>
          <w:szCs w:val="24"/>
        </w:rPr>
        <w:instrText xml:space="preserve"> HYPERLINK \l _Toc28295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1.2 编制依据</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_Toc28295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169</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u w:val="none" w:color="auto"/>
        </w:rPr>
        <w:fldChar w:fldCharType="end"/>
      </w:r>
    </w:p>
    <w:p w14:paraId="386D9776">
      <w:pPr>
        <w:pStyle w:val="25"/>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u w:val="none" w:color="auto"/>
        </w:rPr>
        <w:fldChar w:fldCharType="begin"/>
      </w:r>
      <w:r>
        <w:rPr>
          <w:rFonts w:hint="default" w:ascii="Times New Roman" w:hAnsi="Times New Roman" w:eastAsia="宋体" w:cs="Times New Roman"/>
          <w:color w:val="auto"/>
          <w:sz w:val="24"/>
          <w:szCs w:val="24"/>
        </w:rPr>
        <w:instrText xml:space="preserve"> HYPERLINK \l _Toc21239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1.3 评价因子筛选</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_Toc21239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169</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u w:val="none" w:color="auto"/>
        </w:rPr>
        <w:fldChar w:fldCharType="end"/>
      </w:r>
    </w:p>
    <w:p w14:paraId="66703BE8">
      <w:pPr>
        <w:pStyle w:val="25"/>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u w:val="none" w:color="auto"/>
        </w:rPr>
        <w:fldChar w:fldCharType="begin"/>
      </w:r>
      <w:r>
        <w:rPr>
          <w:rFonts w:hint="default" w:ascii="Times New Roman" w:hAnsi="Times New Roman" w:eastAsia="宋体" w:cs="Times New Roman"/>
          <w:color w:val="auto"/>
          <w:sz w:val="24"/>
          <w:szCs w:val="24"/>
        </w:rPr>
        <w:instrText xml:space="preserve"> HYPERLINK \l _Toc6539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1.4 评价等级判定</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_Toc6539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170</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u w:val="none" w:color="auto"/>
        </w:rPr>
        <w:fldChar w:fldCharType="end"/>
      </w:r>
    </w:p>
    <w:p w14:paraId="5BBE247F">
      <w:pPr>
        <w:pStyle w:val="25"/>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u w:val="none" w:color="auto"/>
        </w:rPr>
        <w:fldChar w:fldCharType="begin"/>
      </w:r>
      <w:r>
        <w:rPr>
          <w:rFonts w:hint="default" w:ascii="Times New Roman" w:hAnsi="Times New Roman" w:eastAsia="宋体" w:cs="Times New Roman"/>
          <w:color w:val="auto"/>
          <w:sz w:val="24"/>
          <w:szCs w:val="24"/>
        </w:rPr>
        <w:instrText xml:space="preserve"> HYPERLINK \l _Toc22552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1.5 环境风险评价范围</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_Toc22552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170</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u w:val="none" w:color="auto"/>
        </w:rPr>
        <w:fldChar w:fldCharType="end"/>
      </w:r>
    </w:p>
    <w:p w14:paraId="170D40B4">
      <w:pPr>
        <w:pStyle w:val="25"/>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u w:val="none" w:color="auto"/>
        </w:rPr>
        <w:fldChar w:fldCharType="begin"/>
      </w:r>
      <w:r>
        <w:rPr>
          <w:rFonts w:hint="default" w:ascii="Times New Roman" w:hAnsi="Times New Roman" w:eastAsia="宋体" w:cs="Times New Roman"/>
          <w:color w:val="auto"/>
          <w:sz w:val="24"/>
          <w:szCs w:val="24"/>
        </w:rPr>
        <w:instrText xml:space="preserve"> HYPERLINK \l _Toc23496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1.6 环境风险保护目标</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_Toc23496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170</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u w:val="none" w:color="auto"/>
        </w:rPr>
        <w:fldChar w:fldCharType="end"/>
      </w:r>
    </w:p>
    <w:p w14:paraId="27BD48F4">
      <w:pPr>
        <w:pStyle w:val="25"/>
        <w:keepNext w:val="0"/>
        <w:keepLines w:val="0"/>
        <w:pageBreakBefore w:val="0"/>
        <w:widowControl w:val="0"/>
        <w:tabs>
          <w:tab w:val="right" w:leader="dot" w:pos="8844"/>
        </w:tabs>
        <w:kinsoku/>
        <w:wordWrap/>
        <w:overflowPunct/>
        <w:topLinePunct w:val="0"/>
        <w:autoSpaceDE/>
        <w:autoSpaceDN/>
        <w:bidi w:val="0"/>
        <w:adjustRightInd/>
        <w:snapToGrid/>
        <w:spacing w:line="360" w:lineRule="auto"/>
        <w:ind w:left="0" w:leftChars="0" w:firstLine="0" w:firstLineChars="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u w:val="none" w:color="auto"/>
        </w:rPr>
        <w:fldChar w:fldCharType="begin"/>
      </w:r>
      <w:r>
        <w:rPr>
          <w:rFonts w:hint="default" w:ascii="Times New Roman" w:hAnsi="Times New Roman" w:eastAsia="宋体" w:cs="Times New Roman"/>
          <w:color w:val="auto"/>
          <w:sz w:val="24"/>
          <w:szCs w:val="24"/>
        </w:rPr>
        <w:instrText xml:space="preserve"> HYPERLINK \l _Toc28701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kern w:val="2"/>
          <w:sz w:val="24"/>
          <w:szCs w:val="24"/>
        </w:rPr>
        <w:t>2 评价依据</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_Toc28701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173</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u w:val="none" w:color="auto"/>
        </w:rPr>
        <w:fldChar w:fldCharType="end"/>
      </w:r>
    </w:p>
    <w:p w14:paraId="6278C559">
      <w:pPr>
        <w:pStyle w:val="25"/>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u w:val="none" w:color="auto"/>
        </w:rPr>
        <w:fldChar w:fldCharType="begin"/>
      </w:r>
      <w:r>
        <w:rPr>
          <w:rFonts w:hint="default" w:ascii="Times New Roman" w:hAnsi="Times New Roman" w:eastAsia="宋体" w:cs="Times New Roman"/>
          <w:color w:val="auto"/>
          <w:sz w:val="24"/>
          <w:szCs w:val="24"/>
        </w:rPr>
        <w:instrText xml:space="preserve"> HYPERLINK \l _Toc31900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2.1 风险调查</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_Toc31900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173</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u w:val="none" w:color="auto"/>
        </w:rPr>
        <w:fldChar w:fldCharType="end"/>
      </w:r>
    </w:p>
    <w:p w14:paraId="7A8F70CC">
      <w:pPr>
        <w:pStyle w:val="25"/>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u w:val="none" w:color="auto"/>
        </w:rPr>
        <w:fldChar w:fldCharType="begin"/>
      </w:r>
      <w:r>
        <w:rPr>
          <w:rFonts w:hint="default" w:ascii="Times New Roman" w:hAnsi="Times New Roman" w:eastAsia="宋体" w:cs="Times New Roman"/>
          <w:color w:val="auto"/>
          <w:sz w:val="24"/>
          <w:szCs w:val="24"/>
        </w:rPr>
        <w:instrText xml:space="preserve"> HYPERLINK \l _Toc17303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2.2 危险物质及工艺系统危险性P分级确定</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_Toc17303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173</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u w:val="none" w:color="auto"/>
        </w:rPr>
        <w:fldChar w:fldCharType="end"/>
      </w:r>
    </w:p>
    <w:p w14:paraId="7979DCF4">
      <w:pPr>
        <w:pStyle w:val="25"/>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u w:val="none" w:color="auto"/>
        </w:rPr>
        <w:fldChar w:fldCharType="begin"/>
      </w:r>
      <w:r>
        <w:rPr>
          <w:rFonts w:hint="default" w:ascii="Times New Roman" w:hAnsi="Times New Roman" w:eastAsia="宋体" w:cs="Times New Roman"/>
          <w:color w:val="auto"/>
          <w:sz w:val="24"/>
          <w:szCs w:val="24"/>
        </w:rPr>
        <w:instrText xml:space="preserve"> HYPERLINK \l _Toc3695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2.3环境敏感程度E的分级确定</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_Toc3695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175</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u w:val="none" w:color="auto"/>
        </w:rPr>
        <w:fldChar w:fldCharType="end"/>
      </w:r>
    </w:p>
    <w:p w14:paraId="415909F9">
      <w:pPr>
        <w:pStyle w:val="25"/>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u w:val="none" w:color="auto"/>
        </w:rPr>
        <w:fldChar w:fldCharType="begin"/>
      </w:r>
      <w:r>
        <w:rPr>
          <w:rFonts w:hint="default" w:ascii="Times New Roman" w:hAnsi="Times New Roman" w:eastAsia="宋体" w:cs="Times New Roman"/>
          <w:color w:val="auto"/>
          <w:sz w:val="24"/>
          <w:szCs w:val="24"/>
        </w:rPr>
        <w:instrText xml:space="preserve"> HYPERLINK \l _Toc24316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2.4 环境风险潜势判断</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_Toc24316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178</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u w:val="none" w:color="auto"/>
        </w:rPr>
        <w:fldChar w:fldCharType="end"/>
      </w:r>
    </w:p>
    <w:p w14:paraId="4FCEB131">
      <w:pPr>
        <w:pStyle w:val="25"/>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u w:val="none" w:color="auto"/>
        </w:rPr>
        <w:fldChar w:fldCharType="begin"/>
      </w:r>
      <w:r>
        <w:rPr>
          <w:rFonts w:hint="default" w:ascii="Times New Roman" w:hAnsi="Times New Roman" w:eastAsia="宋体" w:cs="Times New Roman"/>
          <w:color w:val="auto"/>
          <w:sz w:val="24"/>
          <w:szCs w:val="24"/>
        </w:rPr>
        <w:instrText xml:space="preserve"> HYPERLINK \l _Toc26824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2.5环境敏感目标概况</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_Toc26824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179</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u w:val="none" w:color="auto"/>
        </w:rPr>
        <w:fldChar w:fldCharType="end"/>
      </w:r>
    </w:p>
    <w:p w14:paraId="385E4BED">
      <w:pPr>
        <w:pStyle w:val="23"/>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u w:val="none" w:color="auto"/>
        </w:rPr>
        <w:fldChar w:fldCharType="begin"/>
      </w:r>
      <w:r>
        <w:rPr>
          <w:rFonts w:hint="default" w:ascii="Times New Roman" w:hAnsi="Times New Roman" w:eastAsia="宋体" w:cs="Times New Roman"/>
          <w:color w:val="auto"/>
          <w:sz w:val="24"/>
          <w:szCs w:val="24"/>
        </w:rPr>
        <w:instrText xml:space="preserve"> HYPERLINK \l _Toc27896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kern w:val="2"/>
          <w:sz w:val="24"/>
          <w:szCs w:val="24"/>
        </w:rPr>
        <w:t>3环境风险识别</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_Toc27896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180</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u w:val="none" w:color="auto"/>
        </w:rPr>
        <w:fldChar w:fldCharType="end"/>
      </w:r>
    </w:p>
    <w:p w14:paraId="55F346CF">
      <w:pPr>
        <w:pStyle w:val="25"/>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u w:val="none" w:color="auto"/>
        </w:rPr>
        <w:fldChar w:fldCharType="begin"/>
      </w:r>
      <w:r>
        <w:rPr>
          <w:rFonts w:hint="default" w:ascii="Times New Roman" w:hAnsi="Times New Roman" w:eastAsia="宋体" w:cs="Times New Roman"/>
          <w:color w:val="auto"/>
          <w:sz w:val="24"/>
          <w:szCs w:val="24"/>
        </w:rPr>
        <w:instrText xml:space="preserve"> HYPERLINK \l _Toc32735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3.1 物质危险性识别</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_Toc32735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180</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u w:val="none" w:color="auto"/>
        </w:rPr>
        <w:fldChar w:fldCharType="end"/>
      </w:r>
    </w:p>
    <w:p w14:paraId="209F4289">
      <w:pPr>
        <w:pStyle w:val="25"/>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u w:val="none" w:color="auto"/>
        </w:rPr>
        <w:fldChar w:fldCharType="begin"/>
      </w:r>
      <w:r>
        <w:rPr>
          <w:rFonts w:hint="default" w:ascii="Times New Roman" w:hAnsi="Times New Roman" w:eastAsia="宋体" w:cs="Times New Roman"/>
          <w:color w:val="auto"/>
          <w:sz w:val="24"/>
          <w:szCs w:val="24"/>
        </w:rPr>
        <w:instrText xml:space="preserve"> HYPERLINK \l _Toc7224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3.2 生产设施风险识别</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_Toc7224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185</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u w:val="none" w:color="auto"/>
        </w:rPr>
        <w:fldChar w:fldCharType="end"/>
      </w:r>
    </w:p>
    <w:p w14:paraId="33C249C5">
      <w:pPr>
        <w:pStyle w:val="25"/>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u w:val="none" w:color="auto"/>
        </w:rPr>
        <w:fldChar w:fldCharType="begin"/>
      </w:r>
      <w:r>
        <w:rPr>
          <w:rFonts w:hint="default" w:ascii="Times New Roman" w:hAnsi="Times New Roman" w:eastAsia="宋体" w:cs="Times New Roman"/>
          <w:color w:val="auto"/>
          <w:sz w:val="24"/>
          <w:szCs w:val="24"/>
        </w:rPr>
        <w:instrText xml:space="preserve"> HYPERLINK \l _Toc28082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3.3 建设项目环境风险识别表</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_Toc28082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186</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u w:val="none" w:color="auto"/>
        </w:rPr>
        <w:fldChar w:fldCharType="end"/>
      </w:r>
    </w:p>
    <w:p w14:paraId="268B6567">
      <w:pPr>
        <w:pStyle w:val="25"/>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u w:val="none" w:color="auto"/>
        </w:rPr>
        <w:fldChar w:fldCharType="begin"/>
      </w:r>
      <w:r>
        <w:rPr>
          <w:rFonts w:hint="default" w:ascii="Times New Roman" w:hAnsi="Times New Roman" w:eastAsia="宋体" w:cs="Times New Roman"/>
          <w:color w:val="auto"/>
          <w:sz w:val="24"/>
          <w:szCs w:val="24"/>
        </w:rPr>
        <w:instrText xml:space="preserve"> HYPERLINK \l _Toc21663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3.4风险事故情形设定</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_Toc21663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187</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u w:val="none" w:color="auto"/>
        </w:rPr>
        <w:fldChar w:fldCharType="end"/>
      </w:r>
    </w:p>
    <w:p w14:paraId="6B624293">
      <w:pPr>
        <w:pStyle w:val="23"/>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u w:val="none" w:color="auto"/>
        </w:rPr>
        <w:fldChar w:fldCharType="begin"/>
      </w:r>
      <w:r>
        <w:rPr>
          <w:rFonts w:hint="default" w:ascii="Times New Roman" w:hAnsi="Times New Roman" w:eastAsia="宋体" w:cs="Times New Roman"/>
          <w:color w:val="auto"/>
          <w:sz w:val="24"/>
          <w:szCs w:val="24"/>
        </w:rPr>
        <w:instrText xml:space="preserve"> HYPERLINK \l _Toc24824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kern w:val="2"/>
          <w:sz w:val="24"/>
          <w:szCs w:val="24"/>
        </w:rPr>
        <w:t>4 源项分析</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_Toc24824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188</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u w:val="none" w:color="auto"/>
        </w:rPr>
        <w:fldChar w:fldCharType="end"/>
      </w:r>
    </w:p>
    <w:p w14:paraId="51428972">
      <w:pPr>
        <w:pStyle w:val="25"/>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u w:val="none" w:color="auto"/>
        </w:rPr>
        <w:fldChar w:fldCharType="begin"/>
      </w:r>
      <w:r>
        <w:rPr>
          <w:rFonts w:hint="default" w:ascii="Times New Roman" w:hAnsi="Times New Roman" w:eastAsia="宋体" w:cs="Times New Roman"/>
          <w:color w:val="auto"/>
          <w:sz w:val="24"/>
          <w:szCs w:val="24"/>
        </w:rPr>
        <w:instrText xml:space="preserve"> HYPERLINK \l _Toc16129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4.1</w:t>
      </w:r>
      <w:r>
        <w:rPr>
          <w:rFonts w:hint="default" w:ascii="Times New Roman" w:hAnsi="Times New Roman" w:eastAsia="宋体" w:cs="Times New Roman"/>
          <w:color w:val="auto"/>
          <w:sz w:val="24"/>
          <w:szCs w:val="24"/>
          <w:lang w:val="en-US" w:eastAsia="zh-CN"/>
        </w:rPr>
        <w:t>天然气管道</w:t>
      </w:r>
      <w:r>
        <w:rPr>
          <w:rFonts w:hint="default" w:ascii="Times New Roman" w:hAnsi="Times New Roman" w:eastAsia="宋体" w:cs="Times New Roman"/>
          <w:color w:val="auto"/>
          <w:sz w:val="24"/>
          <w:szCs w:val="24"/>
        </w:rPr>
        <w:t>泄漏</w:t>
      </w:r>
      <w:r>
        <w:rPr>
          <w:rFonts w:hint="default" w:ascii="Times New Roman" w:hAnsi="Times New Roman" w:eastAsia="宋体" w:cs="Times New Roman"/>
          <w:color w:val="auto"/>
          <w:sz w:val="24"/>
          <w:szCs w:val="24"/>
          <w:lang w:val="en-US" w:eastAsia="zh-CN"/>
        </w:rPr>
        <w:t>源强</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_Toc16129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188</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u w:val="none" w:color="auto"/>
        </w:rPr>
        <w:fldChar w:fldCharType="end"/>
      </w:r>
    </w:p>
    <w:p w14:paraId="4A7D7B36">
      <w:pPr>
        <w:pStyle w:val="25"/>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u w:val="none" w:color="auto"/>
        </w:rPr>
        <w:fldChar w:fldCharType="begin"/>
      </w:r>
      <w:r>
        <w:rPr>
          <w:rFonts w:hint="default" w:ascii="Times New Roman" w:hAnsi="Times New Roman" w:eastAsia="宋体" w:cs="Times New Roman"/>
          <w:color w:val="auto"/>
          <w:sz w:val="24"/>
          <w:szCs w:val="24"/>
        </w:rPr>
        <w:instrText xml:space="preserve"> HYPERLINK \l _Toc2141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4</w:t>
      </w:r>
      <w:r>
        <w:rPr>
          <w:rFonts w:hint="default" w:ascii="Times New Roman" w:hAnsi="Times New Roman" w:eastAsia="宋体" w:cs="Times New Roman"/>
          <w:color w:val="auto"/>
          <w:sz w:val="24"/>
          <w:szCs w:val="24"/>
          <w:lang w:val="en-US" w:eastAsia="zh-CN"/>
        </w:rPr>
        <w:t>.2天然气火灾/爆炸伴生CO源强</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_Toc2141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189</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u w:val="none" w:color="auto"/>
        </w:rPr>
        <w:fldChar w:fldCharType="end"/>
      </w:r>
    </w:p>
    <w:p w14:paraId="270CC230">
      <w:pPr>
        <w:pStyle w:val="25"/>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u w:val="none" w:color="auto"/>
        </w:rPr>
        <w:fldChar w:fldCharType="begin"/>
      </w:r>
      <w:r>
        <w:rPr>
          <w:rFonts w:hint="default" w:ascii="Times New Roman" w:hAnsi="Times New Roman" w:eastAsia="宋体" w:cs="Times New Roman"/>
          <w:color w:val="auto"/>
          <w:sz w:val="24"/>
          <w:szCs w:val="24"/>
        </w:rPr>
        <w:instrText xml:space="preserve"> HYPERLINK \l _Toc31703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4</w:t>
      </w:r>
      <w:r>
        <w:rPr>
          <w:rFonts w:hint="default" w:ascii="Times New Roman" w:hAnsi="Times New Roman" w:eastAsia="宋体" w:cs="Times New Roman"/>
          <w:color w:val="auto"/>
          <w:sz w:val="24"/>
          <w:szCs w:val="24"/>
          <w:lang w:val="en-US" w:eastAsia="zh-CN"/>
        </w:rPr>
        <w:t>.3矿物油类泄漏源强</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_Toc31703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190</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u w:val="none" w:color="auto"/>
        </w:rPr>
        <w:fldChar w:fldCharType="end"/>
      </w:r>
    </w:p>
    <w:p w14:paraId="4DF7C19E">
      <w:pPr>
        <w:pStyle w:val="23"/>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u w:val="none" w:color="auto"/>
        </w:rPr>
        <w:fldChar w:fldCharType="begin"/>
      </w:r>
      <w:r>
        <w:rPr>
          <w:rFonts w:hint="default" w:ascii="Times New Roman" w:hAnsi="Times New Roman" w:eastAsia="宋体" w:cs="Times New Roman"/>
          <w:color w:val="auto"/>
          <w:sz w:val="24"/>
          <w:szCs w:val="24"/>
        </w:rPr>
        <w:instrText xml:space="preserve"> HYPERLINK \l _Toc1259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kern w:val="2"/>
          <w:sz w:val="24"/>
          <w:szCs w:val="24"/>
        </w:rPr>
        <w:t>5风险预测与评价</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_Toc1259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191</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u w:val="none" w:color="auto"/>
        </w:rPr>
        <w:fldChar w:fldCharType="end"/>
      </w:r>
    </w:p>
    <w:p w14:paraId="774FDF68">
      <w:pPr>
        <w:pStyle w:val="25"/>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u w:val="none" w:color="auto"/>
        </w:rPr>
        <w:fldChar w:fldCharType="begin"/>
      </w:r>
      <w:r>
        <w:rPr>
          <w:rFonts w:hint="default" w:ascii="Times New Roman" w:hAnsi="Times New Roman" w:eastAsia="宋体" w:cs="Times New Roman"/>
          <w:color w:val="auto"/>
          <w:sz w:val="24"/>
          <w:szCs w:val="24"/>
        </w:rPr>
        <w:instrText xml:space="preserve"> HYPERLINK \l _Toc2196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5.1空气环境风险影响分析</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_Toc2196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191</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u w:val="none" w:color="auto"/>
        </w:rPr>
        <w:fldChar w:fldCharType="end"/>
      </w:r>
    </w:p>
    <w:p w14:paraId="07AEEEE0">
      <w:pPr>
        <w:pStyle w:val="25"/>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u w:val="none" w:color="auto"/>
        </w:rPr>
        <w:fldChar w:fldCharType="begin"/>
      </w:r>
      <w:r>
        <w:rPr>
          <w:rFonts w:hint="default" w:ascii="Times New Roman" w:hAnsi="Times New Roman" w:eastAsia="宋体" w:cs="Times New Roman"/>
          <w:color w:val="auto"/>
          <w:sz w:val="24"/>
          <w:szCs w:val="24"/>
        </w:rPr>
        <w:instrText xml:space="preserve"> HYPERLINK \l _Toc1179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highlight w:val="none"/>
        </w:rPr>
        <w:t>5.2地表水环境风险影响分析</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_Toc1179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201</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u w:val="none" w:color="auto"/>
        </w:rPr>
        <w:fldChar w:fldCharType="end"/>
      </w:r>
    </w:p>
    <w:p w14:paraId="5CBFF6A2">
      <w:pPr>
        <w:pStyle w:val="25"/>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u w:val="none" w:color="auto"/>
        </w:rPr>
        <w:fldChar w:fldCharType="begin"/>
      </w:r>
      <w:r>
        <w:rPr>
          <w:rFonts w:hint="default" w:ascii="Times New Roman" w:hAnsi="Times New Roman" w:eastAsia="宋体" w:cs="Times New Roman"/>
          <w:color w:val="auto"/>
          <w:sz w:val="24"/>
          <w:szCs w:val="24"/>
        </w:rPr>
        <w:instrText xml:space="preserve"> HYPERLINK \l _Toc4212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5.3地下水、土壤环境风险影响分析</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_Toc4212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204</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u w:val="none" w:color="auto"/>
        </w:rPr>
        <w:fldChar w:fldCharType="end"/>
      </w:r>
    </w:p>
    <w:p w14:paraId="2B49351D">
      <w:pPr>
        <w:pStyle w:val="25"/>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u w:val="none" w:color="auto"/>
        </w:rPr>
        <w:fldChar w:fldCharType="begin"/>
      </w:r>
      <w:r>
        <w:rPr>
          <w:rFonts w:hint="default" w:ascii="Times New Roman" w:hAnsi="Times New Roman" w:eastAsia="宋体" w:cs="Times New Roman"/>
          <w:color w:val="auto"/>
          <w:sz w:val="24"/>
          <w:szCs w:val="24"/>
        </w:rPr>
        <w:instrText xml:space="preserve"> HYPERLINK \l _Toc28237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bCs/>
          <w:color w:val="auto"/>
          <w:kern w:val="24"/>
          <w:sz w:val="24"/>
          <w:szCs w:val="24"/>
        </w:rPr>
        <w:t>1、简单防渗区</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_Toc28237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205</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u w:val="none" w:color="auto"/>
        </w:rPr>
        <w:fldChar w:fldCharType="end"/>
      </w:r>
    </w:p>
    <w:p w14:paraId="174E1DD9">
      <w:pPr>
        <w:pStyle w:val="25"/>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u w:val="none" w:color="auto"/>
        </w:rPr>
        <w:fldChar w:fldCharType="begin"/>
      </w:r>
      <w:r>
        <w:rPr>
          <w:rFonts w:hint="default" w:ascii="Times New Roman" w:hAnsi="Times New Roman" w:eastAsia="宋体" w:cs="Times New Roman"/>
          <w:color w:val="auto"/>
          <w:sz w:val="24"/>
          <w:szCs w:val="24"/>
        </w:rPr>
        <w:instrText xml:space="preserve"> HYPERLINK \l _Toc3332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bCs/>
          <w:color w:val="auto"/>
          <w:kern w:val="24"/>
          <w:sz w:val="24"/>
          <w:szCs w:val="24"/>
        </w:rPr>
        <w:t>2、一般防渗区</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_Toc3332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205</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u w:val="none" w:color="auto"/>
        </w:rPr>
        <w:fldChar w:fldCharType="end"/>
      </w:r>
    </w:p>
    <w:p w14:paraId="5F81A29F">
      <w:pPr>
        <w:pStyle w:val="25"/>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u w:val="none" w:color="auto"/>
        </w:rPr>
        <w:fldChar w:fldCharType="begin"/>
      </w:r>
      <w:r>
        <w:rPr>
          <w:rFonts w:hint="default" w:ascii="Times New Roman" w:hAnsi="Times New Roman" w:eastAsia="宋体" w:cs="Times New Roman"/>
          <w:color w:val="auto"/>
          <w:sz w:val="24"/>
          <w:szCs w:val="24"/>
        </w:rPr>
        <w:instrText xml:space="preserve"> HYPERLINK \l _Toc4808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bCs/>
          <w:color w:val="auto"/>
          <w:kern w:val="24"/>
          <w:sz w:val="24"/>
          <w:szCs w:val="24"/>
        </w:rPr>
        <w:t>3、重点防渗区</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_Toc4808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205</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u w:val="none" w:color="auto"/>
        </w:rPr>
        <w:fldChar w:fldCharType="end"/>
      </w:r>
    </w:p>
    <w:p w14:paraId="126612AE">
      <w:pPr>
        <w:pStyle w:val="25"/>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u w:val="none" w:color="auto"/>
        </w:rPr>
        <w:fldChar w:fldCharType="begin"/>
      </w:r>
      <w:r>
        <w:rPr>
          <w:rFonts w:hint="default" w:ascii="Times New Roman" w:hAnsi="Times New Roman" w:eastAsia="宋体" w:cs="Times New Roman"/>
          <w:color w:val="auto"/>
          <w:sz w:val="24"/>
          <w:szCs w:val="24"/>
        </w:rPr>
        <w:instrText xml:space="preserve"> HYPERLINK \l _Toc31671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5.4危险废物暂存场所的风险分析</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_Toc31671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206</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u w:val="none" w:color="auto"/>
        </w:rPr>
        <w:fldChar w:fldCharType="end"/>
      </w:r>
    </w:p>
    <w:p w14:paraId="59BF5135">
      <w:pPr>
        <w:pStyle w:val="23"/>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u w:val="none" w:color="auto"/>
        </w:rPr>
        <w:fldChar w:fldCharType="begin"/>
      </w:r>
      <w:r>
        <w:rPr>
          <w:rFonts w:hint="default" w:ascii="Times New Roman" w:hAnsi="Times New Roman" w:eastAsia="宋体" w:cs="Times New Roman"/>
          <w:color w:val="auto"/>
          <w:sz w:val="24"/>
          <w:szCs w:val="24"/>
        </w:rPr>
        <w:instrText xml:space="preserve"> HYPERLINK \l _Toc12907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kern w:val="2"/>
          <w:sz w:val="24"/>
          <w:szCs w:val="24"/>
        </w:rPr>
        <w:t>6环境风险防范措施</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_Toc12907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207</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u w:val="none" w:color="auto"/>
        </w:rPr>
        <w:fldChar w:fldCharType="end"/>
      </w:r>
    </w:p>
    <w:p w14:paraId="565C422C">
      <w:pPr>
        <w:pStyle w:val="25"/>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u w:val="none" w:color="auto"/>
        </w:rPr>
        <w:fldChar w:fldCharType="begin"/>
      </w:r>
      <w:r>
        <w:rPr>
          <w:rFonts w:hint="default" w:ascii="Times New Roman" w:hAnsi="Times New Roman" w:eastAsia="宋体" w:cs="Times New Roman"/>
          <w:color w:val="auto"/>
          <w:sz w:val="24"/>
          <w:szCs w:val="24"/>
        </w:rPr>
        <w:instrText xml:space="preserve"> HYPERLINK \l _Toc22842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6.1大气风险事故风险防范措施</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_Toc22842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207</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u w:val="none" w:color="auto"/>
        </w:rPr>
        <w:fldChar w:fldCharType="end"/>
      </w:r>
    </w:p>
    <w:p w14:paraId="5AF20D57">
      <w:pPr>
        <w:pStyle w:val="25"/>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u w:val="none" w:color="auto"/>
        </w:rPr>
        <w:fldChar w:fldCharType="begin"/>
      </w:r>
      <w:r>
        <w:rPr>
          <w:rFonts w:hint="default" w:ascii="Times New Roman" w:hAnsi="Times New Roman" w:eastAsia="宋体" w:cs="Times New Roman"/>
          <w:color w:val="auto"/>
          <w:sz w:val="24"/>
          <w:szCs w:val="24"/>
        </w:rPr>
        <w:instrText xml:space="preserve"> HYPERLINK \l _Toc26039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6.2地下水、土壤风险事故风险防范措施</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_Toc26039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207</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u w:val="none" w:color="auto"/>
        </w:rPr>
        <w:fldChar w:fldCharType="end"/>
      </w:r>
    </w:p>
    <w:p w14:paraId="6F56BE71">
      <w:pPr>
        <w:pStyle w:val="25"/>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u w:val="none" w:color="auto"/>
        </w:rPr>
        <w:fldChar w:fldCharType="begin"/>
      </w:r>
      <w:r>
        <w:rPr>
          <w:rFonts w:hint="default" w:ascii="Times New Roman" w:hAnsi="Times New Roman" w:eastAsia="宋体" w:cs="Times New Roman"/>
          <w:color w:val="auto"/>
          <w:sz w:val="24"/>
          <w:szCs w:val="24"/>
        </w:rPr>
        <w:instrText xml:space="preserve"> HYPERLINK \l _Toc22641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6.3事故废水环境风险防范措施</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_Toc22641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207</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u w:val="none" w:color="auto"/>
        </w:rPr>
        <w:fldChar w:fldCharType="end"/>
      </w:r>
    </w:p>
    <w:p w14:paraId="0B2876D7">
      <w:pPr>
        <w:pStyle w:val="25"/>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u w:val="none" w:color="auto"/>
        </w:rPr>
        <w:fldChar w:fldCharType="begin"/>
      </w:r>
      <w:r>
        <w:rPr>
          <w:rFonts w:hint="default" w:ascii="Times New Roman" w:hAnsi="Times New Roman" w:eastAsia="宋体" w:cs="Times New Roman"/>
          <w:color w:val="auto"/>
          <w:sz w:val="24"/>
          <w:szCs w:val="24"/>
        </w:rPr>
        <w:instrText xml:space="preserve"> HYPERLINK \l _Toc9950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6.4风险源监控与应急监测措施</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_Toc9950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208</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u w:val="none" w:color="auto"/>
        </w:rPr>
        <w:fldChar w:fldCharType="end"/>
      </w:r>
    </w:p>
    <w:p w14:paraId="3285613D">
      <w:pPr>
        <w:pStyle w:val="25"/>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u w:val="none" w:color="auto"/>
        </w:rPr>
        <w:fldChar w:fldCharType="begin"/>
      </w:r>
      <w:r>
        <w:rPr>
          <w:rFonts w:hint="default" w:ascii="Times New Roman" w:hAnsi="Times New Roman" w:eastAsia="宋体" w:cs="Times New Roman"/>
          <w:color w:val="auto"/>
          <w:sz w:val="24"/>
          <w:szCs w:val="24"/>
        </w:rPr>
        <w:instrText xml:space="preserve"> HYPERLINK \l _Toc14906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1、泄漏隐患排查与措施</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_Toc14906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208</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u w:val="none" w:color="auto"/>
        </w:rPr>
        <w:fldChar w:fldCharType="end"/>
      </w:r>
    </w:p>
    <w:p w14:paraId="2410962F">
      <w:pPr>
        <w:pStyle w:val="25"/>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u w:val="none" w:color="auto"/>
        </w:rPr>
        <w:fldChar w:fldCharType="begin"/>
      </w:r>
      <w:r>
        <w:rPr>
          <w:rFonts w:hint="default" w:ascii="Times New Roman" w:hAnsi="Times New Roman" w:eastAsia="宋体" w:cs="Times New Roman"/>
          <w:color w:val="auto"/>
          <w:sz w:val="24"/>
          <w:szCs w:val="24"/>
        </w:rPr>
        <w:instrText xml:space="preserve"> HYPERLINK \l _Toc27885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2、物料暂存隐患排查与措施</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_Toc27885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209</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u w:val="none" w:color="auto"/>
        </w:rPr>
        <w:fldChar w:fldCharType="end"/>
      </w:r>
    </w:p>
    <w:p w14:paraId="7EE639F5">
      <w:pPr>
        <w:pStyle w:val="25"/>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u w:val="none" w:color="auto"/>
        </w:rPr>
        <w:fldChar w:fldCharType="begin"/>
      </w:r>
      <w:r>
        <w:rPr>
          <w:rFonts w:hint="default" w:ascii="Times New Roman" w:hAnsi="Times New Roman" w:eastAsia="宋体" w:cs="Times New Roman"/>
          <w:color w:val="auto"/>
          <w:sz w:val="24"/>
          <w:szCs w:val="24"/>
        </w:rPr>
        <w:instrText xml:space="preserve"> HYPERLINK \l _Toc5227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6.5其他风险防范措施</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_Toc5227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210</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u w:val="none" w:color="auto"/>
        </w:rPr>
        <w:fldChar w:fldCharType="end"/>
      </w:r>
    </w:p>
    <w:p w14:paraId="0F072C9E">
      <w:pPr>
        <w:pStyle w:val="25"/>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u w:val="none" w:color="auto"/>
        </w:rPr>
        <w:fldChar w:fldCharType="begin"/>
      </w:r>
      <w:r>
        <w:rPr>
          <w:rFonts w:hint="default" w:ascii="Times New Roman" w:hAnsi="Times New Roman" w:eastAsia="宋体" w:cs="Times New Roman"/>
          <w:color w:val="auto"/>
          <w:sz w:val="24"/>
          <w:szCs w:val="24"/>
        </w:rPr>
        <w:instrText xml:space="preserve"> HYPERLINK \l _Toc3423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6.6应急措施</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_Toc3423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211</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u w:val="none" w:color="auto"/>
        </w:rPr>
        <w:fldChar w:fldCharType="end"/>
      </w:r>
    </w:p>
    <w:p w14:paraId="66A4A4C2">
      <w:pPr>
        <w:pStyle w:val="23"/>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u w:val="none" w:color="auto"/>
        </w:rPr>
        <w:fldChar w:fldCharType="begin"/>
      </w:r>
      <w:r>
        <w:rPr>
          <w:rFonts w:hint="default" w:ascii="Times New Roman" w:hAnsi="Times New Roman" w:eastAsia="宋体" w:cs="Times New Roman"/>
          <w:color w:val="auto"/>
          <w:sz w:val="24"/>
          <w:szCs w:val="24"/>
        </w:rPr>
        <w:instrText xml:space="preserve"> HYPERLINK \l _Toc2473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kern w:val="2"/>
          <w:sz w:val="24"/>
          <w:szCs w:val="24"/>
        </w:rPr>
        <w:t>7环境风险评价结论</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_Toc2473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213</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u w:val="none" w:color="auto"/>
        </w:rPr>
        <w:fldChar w:fldCharType="end"/>
      </w:r>
    </w:p>
    <w:p w14:paraId="61A6B5BA">
      <w:pPr>
        <w:pStyle w:val="23"/>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u w:val="none" w:color="auto"/>
        </w:rPr>
        <w:fldChar w:fldCharType="begin"/>
      </w:r>
      <w:r>
        <w:rPr>
          <w:rFonts w:hint="default" w:ascii="Times New Roman" w:hAnsi="Times New Roman" w:eastAsia="宋体" w:cs="Times New Roman"/>
          <w:color w:val="auto"/>
          <w:sz w:val="24"/>
          <w:szCs w:val="24"/>
        </w:rPr>
        <w:instrText xml:space="preserve"> HYPERLINK \l _Toc32525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bCs/>
          <w:snapToGrid w:val="0"/>
          <w:color w:val="auto"/>
          <w:kern w:val="0"/>
          <w:sz w:val="24"/>
          <w:szCs w:val="24"/>
          <w:lang w:val="en-US" w:eastAsia="en-US" w:bidi="ar-SA"/>
        </w:rPr>
        <w:t>附表</w:t>
      </w:r>
      <w:r>
        <w:rPr>
          <w:rFonts w:hint="default" w:ascii="Times New Roman" w:hAnsi="Times New Roman" w:eastAsia="宋体" w:cs="Times New Roman"/>
          <w:bCs/>
          <w:snapToGrid w:val="0"/>
          <w:color w:val="auto"/>
          <w:kern w:val="0"/>
          <w:sz w:val="24"/>
          <w:szCs w:val="24"/>
          <w:lang w:val="en-US" w:eastAsia="zh-CN" w:bidi="ar-SA"/>
        </w:rPr>
        <w:t>1</w:t>
      </w:r>
      <w:r>
        <w:rPr>
          <w:rFonts w:hint="default" w:ascii="Times New Roman" w:hAnsi="Times New Roman" w:eastAsia="宋体" w:cs="Times New Roman"/>
          <w:bCs/>
          <w:snapToGrid w:val="0"/>
          <w:color w:val="auto"/>
          <w:kern w:val="0"/>
          <w:sz w:val="24"/>
          <w:szCs w:val="24"/>
          <w:lang w:val="en-US" w:eastAsia="en-US" w:bidi="ar-SA"/>
        </w:rPr>
        <w:t xml:space="preserve"> </w:t>
      </w:r>
      <w:r>
        <w:rPr>
          <w:rFonts w:hint="default" w:ascii="Times New Roman" w:hAnsi="Times New Roman" w:eastAsia="宋体" w:cs="Times New Roman"/>
          <w:bCs/>
          <w:snapToGrid w:val="0"/>
          <w:color w:val="auto"/>
          <w:kern w:val="0"/>
          <w:sz w:val="24"/>
          <w:szCs w:val="24"/>
          <w:lang w:val="en-US" w:eastAsia="zh-CN" w:bidi="ar-SA"/>
        </w:rPr>
        <w:t xml:space="preserve"> </w:t>
      </w:r>
      <w:r>
        <w:rPr>
          <w:rFonts w:hint="default" w:ascii="Times New Roman" w:hAnsi="Times New Roman" w:eastAsia="宋体" w:cs="Times New Roman"/>
          <w:bCs/>
          <w:snapToGrid w:val="0"/>
          <w:color w:val="auto"/>
          <w:kern w:val="0"/>
          <w:sz w:val="24"/>
          <w:szCs w:val="24"/>
          <w:lang w:val="en-US" w:eastAsia="en-US" w:bidi="ar-SA"/>
        </w:rPr>
        <w:t>建设项目环境风险评价自查表</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_Toc32525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214</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u w:val="none" w:color="auto"/>
        </w:rPr>
        <w:fldChar w:fldCharType="end"/>
      </w:r>
    </w:p>
    <w:p w14:paraId="4D7C709D">
      <w:pPr>
        <w:pStyle w:val="23"/>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u w:val="none" w:color="auto"/>
        </w:rPr>
        <w:fldChar w:fldCharType="begin"/>
      </w:r>
      <w:r>
        <w:rPr>
          <w:rFonts w:hint="default" w:ascii="Times New Roman" w:hAnsi="Times New Roman" w:eastAsia="宋体" w:cs="Times New Roman"/>
          <w:color w:val="auto"/>
          <w:sz w:val="24"/>
          <w:szCs w:val="24"/>
        </w:rPr>
        <w:instrText xml:space="preserve"> HYPERLINK \l _Toc16646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bCs/>
          <w:snapToGrid w:val="0"/>
          <w:color w:val="auto"/>
          <w:kern w:val="0"/>
          <w:sz w:val="24"/>
          <w:szCs w:val="24"/>
          <w:lang w:val="en-US" w:eastAsia="zh-CN" w:bidi="ar-SA"/>
        </w:rPr>
        <w:t>附图1  环境风险评价范围及敏感点分布</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_Toc16646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264</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u w:val="none" w:color="auto"/>
        </w:rPr>
        <w:fldChar w:fldCharType="end"/>
      </w:r>
    </w:p>
    <w:p w14:paraId="4D017032">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color w:val="auto"/>
          <w:sz w:val="24"/>
          <w:szCs w:val="24"/>
          <w:u w:val="none" w:color="auto"/>
        </w:rPr>
        <w:sectPr>
          <w:headerReference r:id="rId7" w:type="default"/>
          <w:pgSz w:w="11906" w:h="16838"/>
          <w:pgMar w:top="1440" w:right="1531" w:bottom="1440" w:left="1531"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rFonts w:hint="default" w:ascii="Times New Roman" w:hAnsi="Times New Roman" w:eastAsia="宋体" w:cs="Times New Roman"/>
          <w:color w:val="auto"/>
          <w:sz w:val="24"/>
          <w:szCs w:val="24"/>
          <w:u w:val="none" w:color="auto"/>
        </w:rPr>
        <w:fldChar w:fldCharType="end"/>
      </w:r>
    </w:p>
    <w:p w14:paraId="4121F878">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color w:val="auto"/>
          <w:sz w:val="24"/>
          <w:szCs w:val="24"/>
          <w:u w:val="none" w:color="auto"/>
        </w:rPr>
      </w:pPr>
    </w:p>
    <w:p w14:paraId="208C21E6">
      <w:pPr>
        <w:pStyle w:val="62"/>
        <w:adjustRightInd/>
        <w:spacing w:before="156" w:beforeLines="50" w:after="156" w:afterLines="50" w:line="360" w:lineRule="auto"/>
        <w:outlineLvl w:val="0"/>
        <w:rPr>
          <w:rFonts w:hint="default" w:ascii="Times New Roman" w:hAnsi="Times New Roman" w:eastAsia="宋体" w:cs="Times New Roman"/>
          <w:b/>
          <w:bCs/>
          <w:color w:val="auto"/>
          <w:sz w:val="32"/>
          <w:szCs w:val="32"/>
          <w:u w:val="none" w:color="auto"/>
        </w:rPr>
      </w:pPr>
      <w:bookmarkStart w:id="109" w:name="_Toc139177669"/>
      <w:bookmarkStart w:id="110" w:name="_Toc5884"/>
      <w:bookmarkStart w:id="111" w:name="_Toc16306"/>
      <w:bookmarkStart w:id="112" w:name="_Toc23578"/>
      <w:bookmarkStart w:id="113" w:name="_Toc25405"/>
      <w:bookmarkStart w:id="114" w:name="_Toc140642917"/>
      <w:bookmarkStart w:id="115" w:name="_Toc206737165"/>
      <w:bookmarkStart w:id="116" w:name="_Toc5824"/>
      <w:bookmarkStart w:id="117" w:name="_Toc1721"/>
      <w:bookmarkStart w:id="118" w:name="_Toc137436203"/>
      <w:bookmarkStart w:id="119" w:name="_Toc131932453"/>
      <w:bookmarkStart w:id="120" w:name="_Toc24632"/>
      <w:bookmarkStart w:id="121" w:name="_Toc56910777"/>
      <w:bookmarkStart w:id="122" w:name="_Toc31631"/>
      <w:bookmarkStart w:id="123" w:name="_Toc84086732"/>
      <w:bookmarkStart w:id="124" w:name="_Toc24320"/>
      <w:bookmarkStart w:id="125" w:name="_Toc6668248"/>
      <w:bookmarkStart w:id="126" w:name="_Toc15747"/>
      <w:r>
        <w:rPr>
          <w:rFonts w:hint="default" w:ascii="Times New Roman" w:hAnsi="Times New Roman" w:eastAsia="宋体" w:cs="Times New Roman"/>
          <w:b/>
          <w:bCs/>
          <w:color w:val="auto"/>
          <w:sz w:val="32"/>
          <w:szCs w:val="32"/>
          <w:u w:val="none" w:color="auto"/>
        </w:rPr>
        <w:t>1、总 论</w:t>
      </w:r>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p>
    <w:p w14:paraId="52D2A305">
      <w:pPr>
        <w:pStyle w:val="4"/>
        <w:numPr>
          <w:ilvl w:val="0"/>
          <w:numId w:val="0"/>
        </w:numPr>
        <w:spacing w:before="120" w:after="120" w:line="360" w:lineRule="auto"/>
        <w:contextualSpacing/>
        <w:rPr>
          <w:rFonts w:hint="default" w:ascii="Times New Roman" w:hAnsi="Times New Roman" w:eastAsia="宋体" w:cs="Times New Roman"/>
          <w:b/>
          <w:bCs w:val="0"/>
          <w:color w:val="auto"/>
          <w:sz w:val="28"/>
          <w:u w:val="none" w:color="auto"/>
          <w:lang w:val="en-US" w:eastAsia="zh-CN"/>
        </w:rPr>
      </w:pPr>
      <w:bookmarkStart w:id="127" w:name="_Toc206737166"/>
      <w:bookmarkStart w:id="128" w:name="_Toc6668249"/>
      <w:bookmarkStart w:id="129" w:name="_Toc139177670"/>
      <w:bookmarkStart w:id="130" w:name="_Toc7830"/>
      <w:bookmarkStart w:id="131" w:name="_Toc140642918"/>
      <w:bookmarkStart w:id="132" w:name="_Toc137436204"/>
      <w:bookmarkStart w:id="133" w:name="_Toc84086733"/>
      <w:bookmarkStart w:id="134" w:name="_Toc131932454"/>
      <w:bookmarkStart w:id="135" w:name="_Toc20382"/>
      <w:bookmarkStart w:id="136" w:name="_Toc56910778"/>
      <w:r>
        <w:rPr>
          <w:rFonts w:hint="default" w:ascii="Times New Roman" w:hAnsi="Times New Roman" w:eastAsia="宋体" w:cs="Times New Roman"/>
          <w:b/>
          <w:bCs w:val="0"/>
          <w:color w:val="auto"/>
          <w:sz w:val="28"/>
          <w:u w:val="none" w:color="auto"/>
        </w:rPr>
        <w:t>1.1 前言</w:t>
      </w:r>
      <w:bookmarkEnd w:id="127"/>
      <w:bookmarkEnd w:id="128"/>
      <w:bookmarkEnd w:id="129"/>
      <w:bookmarkEnd w:id="130"/>
      <w:bookmarkEnd w:id="131"/>
      <w:bookmarkEnd w:id="132"/>
      <w:bookmarkEnd w:id="133"/>
      <w:bookmarkEnd w:id="134"/>
      <w:bookmarkEnd w:id="135"/>
      <w:bookmarkEnd w:id="136"/>
      <w:r>
        <w:rPr>
          <w:rFonts w:hint="default" w:ascii="Times New Roman" w:hAnsi="Times New Roman" w:eastAsia="宋体" w:cs="Times New Roman"/>
          <w:b/>
          <w:bCs w:val="0"/>
          <w:color w:val="auto"/>
          <w:sz w:val="28"/>
          <w:u w:val="none" w:color="auto"/>
          <w:lang w:val="en-US" w:eastAsia="zh-CN"/>
        </w:rPr>
        <w:tab/>
      </w:r>
    </w:p>
    <w:p w14:paraId="52E989CF">
      <w:pPr>
        <w:spacing w:line="360" w:lineRule="auto"/>
        <w:ind w:firstLine="480" w:firstLineChars="200"/>
        <w:rPr>
          <w:rFonts w:hint="default" w:ascii="Times New Roman" w:hAnsi="Times New Roman" w:eastAsia="宋体" w:cs="Times New Roman"/>
          <w:bCs/>
          <w:color w:val="auto"/>
          <w:sz w:val="24"/>
          <w:szCs w:val="24"/>
          <w:u w:val="none" w:color="auto"/>
        </w:rPr>
      </w:pPr>
      <w:r>
        <w:rPr>
          <w:rFonts w:hint="default" w:ascii="Times New Roman" w:hAnsi="Times New Roman" w:eastAsia="宋体" w:cs="Times New Roman"/>
          <w:bCs/>
          <w:color w:val="auto"/>
          <w:sz w:val="24"/>
          <w:szCs w:val="24"/>
          <w:u w:val="none" w:color="auto"/>
        </w:rPr>
        <w:t>依据</w:t>
      </w:r>
      <w:r>
        <w:rPr>
          <w:rFonts w:hint="default" w:ascii="Times New Roman" w:hAnsi="Times New Roman" w:eastAsia="宋体" w:cs="Times New Roman"/>
          <w:color w:val="auto"/>
          <w:sz w:val="24"/>
          <w:szCs w:val="24"/>
          <w:u w:val="none" w:color="auto"/>
        </w:rPr>
        <w:t>《建设项目环境风险评价技术导则》（HJ169-2018）可知，项目两个厂区中的</w:t>
      </w:r>
      <w:r>
        <w:rPr>
          <w:rFonts w:hint="default" w:ascii="Times New Roman" w:hAnsi="Times New Roman" w:eastAsia="宋体" w:cs="Times New Roman"/>
          <w:bCs/>
          <w:color w:val="auto"/>
          <w:sz w:val="24"/>
          <w:szCs w:val="24"/>
          <w:u w:val="none" w:color="auto"/>
          <w:lang w:eastAsia="zh-CN"/>
        </w:rPr>
        <w:t>中创空天厂区</w:t>
      </w:r>
      <w:r>
        <w:rPr>
          <w:rFonts w:hint="default" w:ascii="Times New Roman" w:hAnsi="Times New Roman" w:eastAsia="宋体" w:cs="Times New Roman"/>
          <w:bCs/>
          <w:color w:val="auto"/>
          <w:sz w:val="24"/>
          <w:szCs w:val="24"/>
          <w:u w:val="none" w:color="auto"/>
        </w:rPr>
        <w:t>中</w:t>
      </w:r>
      <w:r>
        <w:rPr>
          <w:rFonts w:hint="default" w:ascii="Times New Roman" w:hAnsi="Times New Roman" w:eastAsia="宋体" w:cs="Times New Roman"/>
          <w:bCs/>
          <w:color w:val="auto"/>
          <w:sz w:val="24"/>
          <w:szCs w:val="24"/>
          <w:u w:val="none" w:color="auto"/>
          <w:lang w:val="en-US" w:eastAsia="zh-CN"/>
        </w:rPr>
        <w:t>危废暂存库</w:t>
      </w:r>
      <w:r>
        <w:rPr>
          <w:rFonts w:hint="default" w:ascii="Times New Roman" w:hAnsi="Times New Roman" w:eastAsia="宋体" w:cs="Times New Roman"/>
          <w:color w:val="auto"/>
          <w:sz w:val="24"/>
          <w:szCs w:val="24"/>
          <w:u w:val="none" w:color="auto"/>
        </w:rPr>
        <w:t>已超过《建设项目环境风险评价技术导则》（HJ169-2018）中临界贮存量。</w:t>
      </w:r>
      <w:r>
        <w:rPr>
          <w:rFonts w:hint="default" w:ascii="Times New Roman" w:hAnsi="Times New Roman" w:eastAsia="宋体" w:cs="Times New Roman"/>
          <w:bCs/>
          <w:color w:val="auto"/>
          <w:sz w:val="24"/>
          <w:szCs w:val="24"/>
          <w:u w:val="none" w:color="auto"/>
        </w:rPr>
        <w:t>根据《建设项目环境影响报告表编制技术指南（污染影响类）（试行）》中“表1专项评价设置原则表”要求，需对</w:t>
      </w:r>
      <w:r>
        <w:rPr>
          <w:rFonts w:hint="default" w:ascii="Times New Roman" w:hAnsi="Times New Roman" w:eastAsia="宋体" w:cs="Times New Roman"/>
          <w:bCs/>
          <w:color w:val="auto"/>
          <w:sz w:val="24"/>
          <w:szCs w:val="24"/>
          <w:u w:val="none" w:color="auto"/>
          <w:lang w:eastAsia="zh-CN"/>
        </w:rPr>
        <w:t>中创空天厂区</w:t>
      </w:r>
      <w:r>
        <w:rPr>
          <w:rFonts w:hint="default" w:ascii="Times New Roman" w:hAnsi="Times New Roman" w:eastAsia="宋体" w:cs="Times New Roman"/>
          <w:bCs/>
          <w:color w:val="auto"/>
          <w:sz w:val="24"/>
          <w:szCs w:val="24"/>
          <w:u w:val="none" w:color="auto"/>
        </w:rPr>
        <w:t>设置环境风险专项评价，作为本项目环境影响报告表的补充和完善。</w:t>
      </w:r>
    </w:p>
    <w:p w14:paraId="35C8F204">
      <w:pPr>
        <w:pStyle w:val="4"/>
        <w:keepNext w:val="0"/>
        <w:keepLines w:val="0"/>
        <w:numPr>
          <w:ilvl w:val="0"/>
          <w:numId w:val="0"/>
        </w:numPr>
        <w:spacing w:before="120" w:after="120" w:line="360" w:lineRule="auto"/>
        <w:contextualSpacing/>
        <w:rPr>
          <w:rFonts w:hint="default" w:ascii="Times New Roman" w:hAnsi="Times New Roman" w:eastAsia="宋体" w:cs="Times New Roman"/>
          <w:b/>
          <w:bCs w:val="0"/>
          <w:color w:val="auto"/>
          <w:sz w:val="28"/>
          <w:u w:val="none" w:color="auto"/>
        </w:rPr>
      </w:pPr>
      <w:bookmarkStart w:id="137" w:name="_Toc6668250"/>
      <w:bookmarkStart w:id="138" w:name="_Toc32186"/>
      <w:bookmarkStart w:id="139" w:name="_Toc28295"/>
      <w:bookmarkStart w:id="140" w:name="_Toc206737167"/>
      <w:r>
        <w:rPr>
          <w:rFonts w:hint="default" w:ascii="Times New Roman" w:hAnsi="Times New Roman" w:eastAsia="宋体" w:cs="Times New Roman"/>
          <w:b/>
          <w:bCs w:val="0"/>
          <w:color w:val="auto"/>
          <w:sz w:val="28"/>
          <w:u w:val="none" w:color="auto"/>
        </w:rPr>
        <w:t>1.2 编制依据</w:t>
      </w:r>
      <w:bookmarkEnd w:id="137"/>
      <w:bookmarkEnd w:id="138"/>
      <w:bookmarkEnd w:id="139"/>
      <w:bookmarkEnd w:id="140"/>
    </w:p>
    <w:p w14:paraId="541FE9D9">
      <w:pPr>
        <w:spacing w:line="360" w:lineRule="auto"/>
        <w:ind w:firstLine="480" w:firstLineChars="200"/>
        <w:rPr>
          <w:rFonts w:hint="default" w:ascii="Times New Roman" w:hAnsi="Times New Roman" w:eastAsia="宋体" w:cs="Times New Roman"/>
          <w:bCs/>
          <w:color w:val="auto"/>
          <w:sz w:val="24"/>
          <w:szCs w:val="24"/>
          <w:u w:val="none" w:color="auto"/>
        </w:rPr>
      </w:pPr>
      <w:r>
        <w:rPr>
          <w:rFonts w:hint="default" w:ascii="Times New Roman" w:hAnsi="Times New Roman" w:eastAsia="宋体" w:cs="Times New Roman"/>
          <w:bCs/>
          <w:color w:val="auto"/>
          <w:sz w:val="24"/>
          <w:szCs w:val="24"/>
          <w:u w:val="none" w:color="auto"/>
        </w:rPr>
        <w:t>（1）《中华人民共和国环境保护法》（2015.1.1）；</w:t>
      </w:r>
    </w:p>
    <w:p w14:paraId="10125FAD">
      <w:pPr>
        <w:spacing w:line="360" w:lineRule="auto"/>
        <w:ind w:firstLine="480" w:firstLineChars="200"/>
        <w:rPr>
          <w:rFonts w:hint="default" w:ascii="Times New Roman" w:hAnsi="Times New Roman" w:eastAsia="宋体" w:cs="Times New Roman"/>
          <w:bCs/>
          <w:color w:val="auto"/>
          <w:sz w:val="24"/>
          <w:szCs w:val="24"/>
          <w:u w:val="none" w:color="auto"/>
        </w:rPr>
      </w:pPr>
      <w:r>
        <w:rPr>
          <w:rFonts w:hint="default" w:ascii="Times New Roman" w:hAnsi="Times New Roman" w:eastAsia="宋体" w:cs="Times New Roman"/>
          <w:bCs/>
          <w:color w:val="auto"/>
          <w:sz w:val="24"/>
          <w:szCs w:val="24"/>
          <w:u w:val="none" w:color="auto"/>
        </w:rPr>
        <w:t>（2）《中华人民共和国环境影响评价法》（2018.12.29）；</w:t>
      </w:r>
    </w:p>
    <w:p w14:paraId="724B31EE">
      <w:pPr>
        <w:spacing w:line="360" w:lineRule="auto"/>
        <w:ind w:firstLine="480" w:firstLineChars="200"/>
        <w:rPr>
          <w:rFonts w:hint="default" w:ascii="Times New Roman" w:hAnsi="Times New Roman" w:eastAsia="宋体" w:cs="Times New Roman"/>
          <w:bCs/>
          <w:color w:val="auto"/>
          <w:sz w:val="24"/>
          <w:szCs w:val="24"/>
          <w:u w:val="none" w:color="auto"/>
        </w:rPr>
      </w:pPr>
      <w:r>
        <w:rPr>
          <w:rFonts w:hint="default" w:ascii="Times New Roman" w:hAnsi="Times New Roman" w:eastAsia="宋体" w:cs="Times New Roman"/>
          <w:bCs/>
          <w:color w:val="auto"/>
          <w:sz w:val="24"/>
          <w:szCs w:val="24"/>
          <w:u w:val="none" w:color="auto"/>
        </w:rPr>
        <w:t>（3）</w:t>
      </w:r>
      <w:r>
        <w:rPr>
          <w:rFonts w:hint="default" w:ascii="Times New Roman" w:hAnsi="Times New Roman" w:eastAsia="宋体" w:cs="Times New Roman"/>
          <w:color w:val="auto"/>
          <w:sz w:val="24"/>
          <w:u w:val="none" w:color="auto"/>
          <w:lang w:val="zh-CN"/>
        </w:rPr>
        <w:t>《建设项目环境保护管理条例》（201</w:t>
      </w:r>
      <w:r>
        <w:rPr>
          <w:rFonts w:hint="default" w:ascii="Times New Roman" w:hAnsi="Times New Roman" w:eastAsia="宋体" w:cs="Times New Roman"/>
          <w:color w:val="auto"/>
          <w:sz w:val="24"/>
          <w:u w:val="none" w:color="auto"/>
        </w:rPr>
        <w:t>7</w:t>
      </w:r>
      <w:r>
        <w:rPr>
          <w:rFonts w:hint="default" w:ascii="Times New Roman" w:hAnsi="Times New Roman" w:eastAsia="宋体" w:cs="Times New Roman"/>
          <w:color w:val="auto"/>
          <w:sz w:val="24"/>
          <w:u w:val="none" w:color="auto"/>
          <w:lang w:val="zh-CN"/>
        </w:rPr>
        <w:t>年10月1日施行）；</w:t>
      </w:r>
    </w:p>
    <w:p w14:paraId="1013B024">
      <w:pPr>
        <w:spacing w:line="360" w:lineRule="auto"/>
        <w:ind w:firstLine="480" w:firstLineChars="200"/>
        <w:rPr>
          <w:rFonts w:hint="default" w:ascii="Times New Roman" w:hAnsi="Times New Roman" w:eastAsia="宋体" w:cs="Times New Roman"/>
          <w:bCs/>
          <w:color w:val="auto"/>
          <w:sz w:val="24"/>
          <w:szCs w:val="24"/>
          <w:u w:val="none" w:color="auto"/>
        </w:rPr>
      </w:pPr>
      <w:r>
        <w:rPr>
          <w:rFonts w:hint="default" w:ascii="Times New Roman" w:hAnsi="Times New Roman" w:eastAsia="宋体" w:cs="Times New Roman"/>
          <w:bCs/>
          <w:color w:val="auto"/>
          <w:sz w:val="24"/>
          <w:szCs w:val="24"/>
          <w:u w:val="none" w:color="auto"/>
        </w:rPr>
        <w:t>（4）《建设项目环境风险评价技术导则》（HJ169-2018）；</w:t>
      </w:r>
    </w:p>
    <w:p w14:paraId="6F3D2BFD">
      <w:pPr>
        <w:spacing w:line="360" w:lineRule="auto"/>
        <w:ind w:firstLine="480" w:firstLineChars="200"/>
        <w:rPr>
          <w:rFonts w:hint="default" w:ascii="Times New Roman" w:hAnsi="Times New Roman" w:eastAsia="宋体" w:cs="Times New Roman"/>
          <w:bCs/>
          <w:color w:val="auto"/>
          <w:sz w:val="24"/>
          <w:szCs w:val="24"/>
          <w:u w:val="none" w:color="auto"/>
        </w:rPr>
      </w:pPr>
      <w:r>
        <w:rPr>
          <w:rFonts w:hint="default" w:ascii="Times New Roman" w:hAnsi="Times New Roman" w:eastAsia="宋体" w:cs="Times New Roman"/>
          <w:bCs/>
          <w:color w:val="auto"/>
          <w:sz w:val="24"/>
          <w:szCs w:val="24"/>
          <w:u w:val="none" w:color="auto"/>
        </w:rPr>
        <w:t>（5）《建设项目环境影响评价分类管理名录》（2021年版）；</w:t>
      </w:r>
    </w:p>
    <w:p w14:paraId="6B7BAA05">
      <w:pPr>
        <w:spacing w:line="360" w:lineRule="auto"/>
        <w:ind w:firstLine="480" w:firstLineChars="200"/>
        <w:rPr>
          <w:rFonts w:hint="default" w:ascii="Times New Roman" w:hAnsi="Times New Roman" w:eastAsia="宋体" w:cs="Times New Roman"/>
          <w:bCs/>
          <w:color w:val="auto"/>
          <w:sz w:val="24"/>
          <w:szCs w:val="24"/>
          <w:u w:val="none" w:color="auto"/>
        </w:rPr>
      </w:pPr>
      <w:r>
        <w:rPr>
          <w:rFonts w:hint="default" w:ascii="Times New Roman" w:hAnsi="Times New Roman" w:eastAsia="宋体" w:cs="Times New Roman"/>
          <w:bCs/>
          <w:color w:val="auto"/>
          <w:sz w:val="24"/>
          <w:szCs w:val="24"/>
          <w:u w:val="none" w:color="auto"/>
        </w:rPr>
        <w:t>（6）《湖南省“十四五”生态环境保护规划》（湘政办发〔2021〕61号）；</w:t>
      </w:r>
    </w:p>
    <w:p w14:paraId="0B7265FA">
      <w:pPr>
        <w:spacing w:line="360" w:lineRule="auto"/>
        <w:ind w:firstLine="480" w:firstLineChars="200"/>
        <w:rPr>
          <w:rFonts w:hint="default" w:ascii="Times New Roman" w:hAnsi="Times New Roman" w:eastAsia="宋体" w:cs="Times New Roman"/>
          <w:bCs/>
          <w:color w:val="auto"/>
          <w:sz w:val="24"/>
          <w:szCs w:val="24"/>
          <w:u w:val="none" w:color="auto"/>
        </w:rPr>
      </w:pPr>
      <w:r>
        <w:rPr>
          <w:rFonts w:hint="default" w:ascii="Times New Roman" w:hAnsi="Times New Roman" w:eastAsia="宋体" w:cs="Times New Roman"/>
          <w:bCs/>
          <w:color w:val="auto"/>
          <w:sz w:val="24"/>
          <w:szCs w:val="24"/>
          <w:u w:val="none" w:color="auto"/>
        </w:rPr>
        <w:t>（7）《湖南省污染防治攻坚战三年行动计划（2018—2020年）》（湘政发〔2018〕17号）。</w:t>
      </w:r>
    </w:p>
    <w:p w14:paraId="2005C022">
      <w:pPr>
        <w:pStyle w:val="4"/>
        <w:numPr>
          <w:ilvl w:val="0"/>
          <w:numId w:val="0"/>
        </w:numPr>
        <w:spacing w:before="120" w:after="120" w:line="360" w:lineRule="auto"/>
        <w:contextualSpacing/>
        <w:rPr>
          <w:rFonts w:hint="default" w:ascii="Times New Roman" w:hAnsi="Times New Roman" w:eastAsia="宋体" w:cs="Times New Roman"/>
          <w:b/>
          <w:bCs w:val="0"/>
          <w:color w:val="auto"/>
          <w:sz w:val="28"/>
          <w:u w:val="none" w:color="auto"/>
        </w:rPr>
      </w:pPr>
      <w:bookmarkStart w:id="141" w:name="_Toc21239"/>
      <w:bookmarkStart w:id="142" w:name="_Toc9763"/>
      <w:bookmarkStart w:id="143" w:name="_Toc1023"/>
      <w:bookmarkStart w:id="144" w:name="_Toc6219"/>
      <w:r>
        <w:rPr>
          <w:rFonts w:hint="default" w:ascii="Times New Roman" w:hAnsi="Times New Roman" w:eastAsia="宋体" w:cs="Times New Roman"/>
          <w:b/>
          <w:bCs w:val="0"/>
          <w:color w:val="auto"/>
          <w:sz w:val="28"/>
          <w:u w:val="none" w:color="auto"/>
        </w:rPr>
        <w:t>1.3 评价因子筛选</w:t>
      </w:r>
      <w:bookmarkEnd w:id="141"/>
      <w:bookmarkEnd w:id="142"/>
      <w:bookmarkEnd w:id="143"/>
      <w:bookmarkEnd w:id="144"/>
    </w:p>
    <w:p w14:paraId="3966C78C">
      <w:pPr>
        <w:pStyle w:val="2"/>
        <w:keepNext w:val="0"/>
        <w:keepLines w:val="0"/>
        <w:pageBreakBefore w:val="0"/>
        <w:widowControl/>
        <w:kinsoku/>
        <w:wordWrap/>
        <w:overflowPunct/>
        <w:topLinePunct w:val="0"/>
        <w:autoSpaceDE/>
        <w:autoSpaceDN/>
        <w:bidi w:val="0"/>
        <w:adjustRightInd/>
        <w:snapToGrid/>
        <w:spacing w:before="0" w:after="0" w:line="360" w:lineRule="auto"/>
        <w:ind w:right="0" w:firstLine="482"/>
        <w:textAlignment w:val="auto"/>
        <w:rPr>
          <w:rFonts w:hint="default" w:ascii="Times New Roman" w:hAnsi="Times New Roman" w:eastAsia="宋体" w:cs="Times New Roman"/>
          <w:color w:val="auto"/>
          <w:sz w:val="24"/>
          <w:szCs w:val="28"/>
          <w:u w:val="none" w:color="auto"/>
        </w:rPr>
      </w:pPr>
      <w:r>
        <w:rPr>
          <w:rFonts w:hint="default" w:ascii="Times New Roman" w:hAnsi="Times New Roman" w:eastAsia="宋体" w:cs="Times New Roman"/>
          <w:color w:val="auto"/>
          <w:sz w:val="24"/>
          <w:szCs w:val="28"/>
          <w:u w:val="none" w:color="auto"/>
        </w:rPr>
        <w:t>根据环境影响要素初步识别结果，结合各生产环节的排污特征，所排放污染物对环境危害的性质，对所识别的环境影响要素做进一步分析，将工程建设对环境的危害相对较大，对环境影响较为突出的污染因子作为评价因子。确定本项目评价因子见下表。</w:t>
      </w:r>
    </w:p>
    <w:p w14:paraId="16E071D5">
      <w:pPr>
        <w:pStyle w:val="17"/>
        <w:numPr>
          <w:ilvl w:val="0"/>
          <w:numId w:val="9"/>
        </w:numPr>
        <w:adjustRightInd/>
        <w:snapToGrid/>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环境影响评价因子筛选</w:t>
      </w:r>
    </w:p>
    <w:tbl>
      <w:tblPr>
        <w:tblStyle w:val="31"/>
        <w:tblW w:w="4999"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165"/>
        <w:gridCol w:w="1850"/>
        <w:gridCol w:w="6043"/>
      </w:tblGrid>
      <w:tr w14:paraId="1094ABD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643" w:type="pct"/>
            <w:tcBorders>
              <w:tl2br w:val="nil"/>
              <w:tr2bl w:val="nil"/>
            </w:tcBorders>
            <w:noWrap w:val="0"/>
            <w:vAlign w:val="center"/>
          </w:tcPr>
          <w:p w14:paraId="7C594FFF">
            <w:pPr>
              <w:jc w:val="center"/>
              <w:rPr>
                <w:rFonts w:hint="default" w:ascii="Times New Roman" w:hAnsi="Times New Roman" w:eastAsia="宋体" w:cs="Times New Roman"/>
                <w:b/>
                <w:bCs/>
                <w:color w:val="auto"/>
                <w:u w:val="none" w:color="auto"/>
              </w:rPr>
            </w:pPr>
            <w:r>
              <w:rPr>
                <w:rFonts w:hint="default" w:ascii="Times New Roman" w:hAnsi="Times New Roman" w:eastAsia="宋体" w:cs="Times New Roman"/>
                <w:b/>
                <w:bCs/>
                <w:color w:val="auto"/>
                <w:u w:val="none" w:color="auto"/>
              </w:rPr>
              <w:t>环境要素</w:t>
            </w:r>
          </w:p>
        </w:tc>
        <w:tc>
          <w:tcPr>
            <w:tcW w:w="1021" w:type="pct"/>
            <w:tcBorders>
              <w:tl2br w:val="nil"/>
              <w:tr2bl w:val="nil"/>
            </w:tcBorders>
            <w:noWrap w:val="0"/>
            <w:vAlign w:val="center"/>
          </w:tcPr>
          <w:p w14:paraId="76BEBF6E">
            <w:pPr>
              <w:jc w:val="center"/>
              <w:rPr>
                <w:rFonts w:hint="default" w:ascii="Times New Roman" w:hAnsi="Times New Roman" w:eastAsia="宋体" w:cs="Times New Roman"/>
                <w:b/>
                <w:bCs/>
                <w:color w:val="auto"/>
                <w:u w:val="none" w:color="auto"/>
              </w:rPr>
            </w:pPr>
            <w:r>
              <w:rPr>
                <w:rFonts w:hint="default" w:ascii="Times New Roman" w:hAnsi="Times New Roman" w:eastAsia="宋体" w:cs="Times New Roman"/>
                <w:b/>
                <w:bCs/>
                <w:color w:val="auto"/>
                <w:u w:val="none" w:color="auto"/>
              </w:rPr>
              <w:t>评价类型</w:t>
            </w:r>
          </w:p>
        </w:tc>
        <w:tc>
          <w:tcPr>
            <w:tcW w:w="3335" w:type="pct"/>
            <w:tcBorders>
              <w:tl2br w:val="nil"/>
              <w:tr2bl w:val="nil"/>
            </w:tcBorders>
            <w:noWrap w:val="0"/>
            <w:vAlign w:val="center"/>
          </w:tcPr>
          <w:p w14:paraId="5F686E3D">
            <w:pPr>
              <w:jc w:val="center"/>
              <w:rPr>
                <w:rFonts w:hint="default" w:ascii="Times New Roman" w:hAnsi="Times New Roman" w:eastAsia="宋体" w:cs="Times New Roman"/>
                <w:b/>
                <w:bCs/>
                <w:color w:val="auto"/>
                <w:u w:val="none" w:color="auto"/>
              </w:rPr>
            </w:pPr>
            <w:r>
              <w:rPr>
                <w:rFonts w:hint="default" w:ascii="Times New Roman" w:hAnsi="Times New Roman" w:eastAsia="宋体" w:cs="Times New Roman"/>
                <w:b/>
                <w:bCs/>
                <w:color w:val="auto"/>
                <w:u w:val="none" w:color="auto"/>
              </w:rPr>
              <w:t>评价因子</w:t>
            </w:r>
          </w:p>
        </w:tc>
      </w:tr>
      <w:tr w14:paraId="1F68D7D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43" w:type="pct"/>
            <w:vMerge w:val="restart"/>
            <w:tcBorders>
              <w:tl2br w:val="nil"/>
              <w:tr2bl w:val="nil"/>
            </w:tcBorders>
            <w:noWrap w:val="0"/>
            <w:vAlign w:val="center"/>
          </w:tcPr>
          <w:p w14:paraId="1A178360">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环境风险</w:t>
            </w:r>
          </w:p>
        </w:tc>
        <w:tc>
          <w:tcPr>
            <w:tcW w:w="1021" w:type="pct"/>
            <w:tcBorders>
              <w:tl2br w:val="nil"/>
              <w:tr2bl w:val="nil"/>
            </w:tcBorders>
            <w:noWrap w:val="0"/>
            <w:vAlign w:val="center"/>
          </w:tcPr>
          <w:p w14:paraId="0FF43865">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风险源</w:t>
            </w:r>
          </w:p>
        </w:tc>
        <w:tc>
          <w:tcPr>
            <w:tcW w:w="3335" w:type="pct"/>
            <w:tcBorders>
              <w:tl2br w:val="nil"/>
              <w:tr2bl w:val="nil"/>
            </w:tcBorders>
            <w:noWrap w:val="0"/>
            <w:vAlign w:val="center"/>
          </w:tcPr>
          <w:p w14:paraId="54D24136">
            <w:pPr>
              <w:jc w:val="center"/>
              <w:rPr>
                <w:rFonts w:hint="default" w:ascii="Times New Roman" w:hAnsi="Times New Roman" w:eastAsia="宋体" w:cs="Times New Roman"/>
                <w:color w:val="auto"/>
                <w:u w:val="none" w:color="auto"/>
                <w:lang w:val="en-US"/>
              </w:rPr>
            </w:pPr>
            <w:r>
              <w:rPr>
                <w:rFonts w:hint="default" w:ascii="Times New Roman" w:hAnsi="Times New Roman" w:eastAsia="宋体" w:cs="Times New Roman"/>
                <w:color w:val="auto"/>
                <w:szCs w:val="21"/>
                <w:highlight w:val="none"/>
                <w:u w:val="none" w:color="auto"/>
              </w:rPr>
              <w:t>生产设施</w:t>
            </w:r>
            <w:r>
              <w:rPr>
                <w:rFonts w:hint="default" w:ascii="Times New Roman" w:hAnsi="Times New Roman" w:eastAsia="宋体" w:cs="Times New Roman"/>
                <w:color w:val="auto"/>
                <w:szCs w:val="21"/>
                <w:highlight w:val="none"/>
                <w:u w:val="none" w:color="auto"/>
                <w:lang w:eastAsia="zh-CN"/>
              </w:rPr>
              <w:t>、</w:t>
            </w:r>
            <w:r>
              <w:rPr>
                <w:rFonts w:hint="default" w:ascii="Times New Roman" w:hAnsi="Times New Roman" w:eastAsia="宋体" w:cs="Times New Roman"/>
                <w:color w:val="auto"/>
                <w:szCs w:val="21"/>
                <w:highlight w:val="none"/>
                <w:u w:val="none" w:color="auto"/>
                <w:lang w:val="en-US" w:eastAsia="zh-CN"/>
              </w:rPr>
              <w:t>危废库、环保设施等</w:t>
            </w:r>
          </w:p>
        </w:tc>
      </w:tr>
      <w:tr w14:paraId="3C83666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43" w:type="pct"/>
            <w:vMerge w:val="continue"/>
            <w:tcBorders>
              <w:tl2br w:val="nil"/>
              <w:tr2bl w:val="nil"/>
            </w:tcBorders>
            <w:noWrap w:val="0"/>
            <w:vAlign w:val="center"/>
          </w:tcPr>
          <w:p w14:paraId="08E97D25">
            <w:pPr>
              <w:jc w:val="center"/>
              <w:rPr>
                <w:rFonts w:hint="default" w:ascii="Times New Roman" w:hAnsi="Times New Roman" w:eastAsia="宋体" w:cs="Times New Roman"/>
                <w:color w:val="auto"/>
                <w:u w:val="none" w:color="auto"/>
              </w:rPr>
            </w:pPr>
          </w:p>
        </w:tc>
        <w:tc>
          <w:tcPr>
            <w:tcW w:w="1021" w:type="pct"/>
            <w:tcBorders>
              <w:tl2br w:val="nil"/>
              <w:tr2bl w:val="nil"/>
            </w:tcBorders>
            <w:noWrap w:val="0"/>
            <w:vAlign w:val="center"/>
          </w:tcPr>
          <w:p w14:paraId="6EF2C3B2">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风险类型</w:t>
            </w:r>
          </w:p>
        </w:tc>
        <w:tc>
          <w:tcPr>
            <w:tcW w:w="3335" w:type="pct"/>
            <w:tcBorders>
              <w:tl2br w:val="nil"/>
              <w:tr2bl w:val="nil"/>
            </w:tcBorders>
            <w:noWrap w:val="0"/>
            <w:vAlign w:val="center"/>
          </w:tcPr>
          <w:p w14:paraId="2090F0CA">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危险物质泄漏，火灾、爆炸及引发次生/伴生污染物</w:t>
            </w:r>
          </w:p>
        </w:tc>
      </w:tr>
    </w:tbl>
    <w:p w14:paraId="7F2C5C0C">
      <w:pPr>
        <w:pStyle w:val="4"/>
        <w:numPr>
          <w:ilvl w:val="0"/>
          <w:numId w:val="0"/>
        </w:numPr>
        <w:spacing w:before="120" w:after="120" w:line="360" w:lineRule="auto"/>
        <w:contextualSpacing/>
        <w:rPr>
          <w:rFonts w:hint="default" w:ascii="Times New Roman" w:hAnsi="Times New Roman" w:eastAsia="宋体" w:cs="Times New Roman"/>
          <w:b/>
          <w:bCs w:val="0"/>
          <w:color w:val="auto"/>
          <w:sz w:val="28"/>
          <w:u w:val="none" w:color="auto"/>
        </w:rPr>
      </w:pPr>
      <w:bookmarkStart w:id="145" w:name="_Toc6668253"/>
      <w:bookmarkStart w:id="146" w:name="_Toc9051"/>
      <w:bookmarkStart w:id="147" w:name="_Toc6539"/>
      <w:r>
        <w:rPr>
          <w:rFonts w:hint="default" w:ascii="Times New Roman" w:hAnsi="Times New Roman" w:eastAsia="宋体" w:cs="Times New Roman"/>
          <w:b/>
          <w:bCs w:val="0"/>
          <w:color w:val="auto"/>
          <w:sz w:val="28"/>
          <w:u w:val="none" w:color="auto"/>
        </w:rPr>
        <w:t>1.4 评价等级判定</w:t>
      </w:r>
      <w:bookmarkEnd w:id="145"/>
      <w:bookmarkEnd w:id="146"/>
      <w:bookmarkEnd w:id="147"/>
    </w:p>
    <w:p w14:paraId="6F7D9BB1">
      <w:pPr>
        <w:pStyle w:val="2"/>
        <w:keepNext w:val="0"/>
        <w:keepLines w:val="0"/>
        <w:pageBreakBefore w:val="0"/>
        <w:widowControl/>
        <w:kinsoku/>
        <w:wordWrap/>
        <w:overflowPunct/>
        <w:topLinePunct w:val="0"/>
        <w:autoSpaceDE/>
        <w:autoSpaceDN/>
        <w:bidi w:val="0"/>
        <w:adjustRightInd/>
        <w:snapToGrid/>
        <w:spacing w:before="0" w:after="0" w:line="360" w:lineRule="auto"/>
        <w:ind w:right="0" w:firstLine="482"/>
        <w:textAlignment w:val="auto"/>
        <w:rPr>
          <w:rFonts w:hint="default" w:ascii="Times New Roman" w:hAnsi="Times New Roman" w:eastAsia="宋体" w:cs="Times New Roman"/>
          <w:color w:val="auto"/>
          <w:sz w:val="24"/>
          <w:szCs w:val="28"/>
          <w:u w:val="none" w:color="auto"/>
        </w:rPr>
      </w:pPr>
      <w:r>
        <w:rPr>
          <w:rFonts w:hint="default" w:ascii="Times New Roman" w:hAnsi="Times New Roman" w:eastAsia="宋体" w:cs="Times New Roman"/>
          <w:color w:val="auto"/>
          <w:sz w:val="24"/>
          <w:szCs w:val="28"/>
          <w:u w:val="none" w:color="auto"/>
        </w:rPr>
        <w:t>根据《建设项目环境风险评价技术导则》（HJ169-2018），环境风险评价工作等级根据建设项目涉及的物质及工艺系统危险性和所在地的环境敏感性确定环境风险潜势，按照下表确定评价工作等级。</w:t>
      </w:r>
    </w:p>
    <w:p w14:paraId="1423119D">
      <w:pPr>
        <w:pStyle w:val="17"/>
        <w:numPr>
          <w:ilvl w:val="0"/>
          <w:numId w:val="9"/>
        </w:numPr>
        <w:adjustRightInd/>
        <w:snapToGrid/>
        <w:rPr>
          <w:rFonts w:hint="default" w:ascii="Times New Roman" w:hAnsi="Times New Roman" w:eastAsia="宋体" w:cs="Times New Roman"/>
          <w:b/>
          <w:bCs/>
          <w:color w:val="auto"/>
          <w:sz w:val="21"/>
          <w:u w:val="none" w:color="auto"/>
        </w:rPr>
      </w:pPr>
      <w:r>
        <w:rPr>
          <w:rFonts w:hint="default" w:ascii="Times New Roman" w:hAnsi="Times New Roman" w:eastAsia="宋体" w:cs="Times New Roman"/>
          <w:b/>
          <w:bCs/>
          <w:color w:val="auto"/>
          <w:sz w:val="21"/>
          <w:u w:val="none" w:color="auto"/>
        </w:rPr>
        <w:t>评价工作等级划分</w:t>
      </w:r>
    </w:p>
    <w:tbl>
      <w:tblPr>
        <w:tblStyle w:val="31"/>
        <w:tblW w:w="4999"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850"/>
        <w:gridCol w:w="1851"/>
        <w:gridCol w:w="1851"/>
        <w:gridCol w:w="1851"/>
        <w:gridCol w:w="1655"/>
      </w:tblGrid>
      <w:tr w14:paraId="7799762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blHeader/>
        </w:trPr>
        <w:tc>
          <w:tcPr>
            <w:tcW w:w="1021" w:type="pct"/>
            <w:tcBorders>
              <w:tl2br w:val="nil"/>
              <w:tr2bl w:val="nil"/>
            </w:tcBorders>
            <w:noWrap w:val="0"/>
            <w:vAlign w:val="top"/>
          </w:tcPr>
          <w:p w14:paraId="361C94AF">
            <w:pPr>
              <w:jc w:val="center"/>
              <w:rPr>
                <w:rFonts w:hint="default" w:ascii="Times New Roman" w:hAnsi="Times New Roman" w:eastAsia="宋体" w:cs="Times New Roman"/>
                <w:b/>
                <w:bCs/>
                <w:color w:val="auto"/>
                <w:u w:val="none" w:color="auto"/>
              </w:rPr>
            </w:pPr>
            <w:r>
              <w:rPr>
                <w:rFonts w:hint="default" w:ascii="Times New Roman" w:hAnsi="Times New Roman" w:eastAsia="宋体" w:cs="Times New Roman"/>
                <w:b/>
                <w:bCs/>
                <w:color w:val="auto"/>
                <w:u w:val="none" w:color="auto"/>
              </w:rPr>
              <w:t>环境风险潜势</w:t>
            </w:r>
          </w:p>
        </w:tc>
        <w:tc>
          <w:tcPr>
            <w:tcW w:w="1022" w:type="pct"/>
            <w:tcBorders>
              <w:tl2br w:val="nil"/>
              <w:tr2bl w:val="nil"/>
            </w:tcBorders>
            <w:noWrap w:val="0"/>
            <w:vAlign w:val="top"/>
          </w:tcPr>
          <w:p w14:paraId="20CCF44F">
            <w:pPr>
              <w:jc w:val="center"/>
              <w:rPr>
                <w:rFonts w:hint="default" w:ascii="Times New Roman" w:hAnsi="Times New Roman" w:eastAsia="宋体" w:cs="Times New Roman"/>
                <w:b/>
                <w:bCs/>
                <w:color w:val="auto"/>
                <w:u w:val="none" w:color="auto"/>
              </w:rPr>
            </w:pPr>
            <w:r>
              <w:rPr>
                <w:rFonts w:hint="default" w:ascii="Times New Roman" w:hAnsi="Times New Roman" w:eastAsia="宋体" w:cs="Times New Roman"/>
                <w:b/>
                <w:bCs/>
                <w:color w:val="auto"/>
                <w:u w:val="none" w:color="auto"/>
              </w:rPr>
              <w:t>Ⅳ、Ⅳ</w:t>
            </w:r>
            <w:r>
              <w:rPr>
                <w:rFonts w:hint="default" w:ascii="Times New Roman" w:hAnsi="Times New Roman" w:eastAsia="宋体" w:cs="Times New Roman"/>
                <w:b/>
                <w:bCs/>
                <w:color w:val="auto"/>
                <w:u w:val="none" w:color="auto"/>
                <w:vertAlign w:val="superscript"/>
              </w:rPr>
              <w:t>+</w:t>
            </w:r>
          </w:p>
        </w:tc>
        <w:tc>
          <w:tcPr>
            <w:tcW w:w="1022" w:type="pct"/>
            <w:tcBorders>
              <w:tl2br w:val="nil"/>
              <w:tr2bl w:val="nil"/>
            </w:tcBorders>
            <w:noWrap w:val="0"/>
            <w:vAlign w:val="top"/>
          </w:tcPr>
          <w:p w14:paraId="7AB863D8">
            <w:pPr>
              <w:jc w:val="center"/>
              <w:rPr>
                <w:rFonts w:hint="default" w:ascii="Times New Roman" w:hAnsi="Times New Roman" w:eastAsia="宋体" w:cs="Times New Roman"/>
                <w:b/>
                <w:bCs/>
                <w:color w:val="auto"/>
                <w:u w:val="none" w:color="auto"/>
              </w:rPr>
            </w:pPr>
            <w:r>
              <w:rPr>
                <w:rFonts w:hint="default" w:ascii="Times New Roman" w:hAnsi="Times New Roman" w:eastAsia="宋体" w:cs="Times New Roman"/>
                <w:b/>
                <w:bCs/>
                <w:color w:val="auto"/>
                <w:u w:val="none" w:color="auto"/>
              </w:rPr>
              <w:t>Ⅲ</w:t>
            </w:r>
          </w:p>
        </w:tc>
        <w:tc>
          <w:tcPr>
            <w:tcW w:w="1022" w:type="pct"/>
            <w:tcBorders>
              <w:tl2br w:val="nil"/>
              <w:tr2bl w:val="nil"/>
            </w:tcBorders>
            <w:noWrap w:val="0"/>
            <w:vAlign w:val="top"/>
          </w:tcPr>
          <w:p w14:paraId="4686FC23">
            <w:pPr>
              <w:jc w:val="center"/>
              <w:rPr>
                <w:rFonts w:hint="default" w:ascii="Times New Roman" w:hAnsi="Times New Roman" w:eastAsia="宋体" w:cs="Times New Roman"/>
                <w:b/>
                <w:bCs/>
                <w:color w:val="auto"/>
                <w:u w:val="none" w:color="auto"/>
              </w:rPr>
            </w:pPr>
            <w:r>
              <w:rPr>
                <w:rFonts w:hint="default" w:ascii="Times New Roman" w:hAnsi="Times New Roman" w:eastAsia="宋体" w:cs="Times New Roman"/>
                <w:b/>
                <w:bCs/>
                <w:color w:val="auto"/>
                <w:u w:val="none" w:color="auto"/>
              </w:rPr>
              <w:t>Ⅱ</w:t>
            </w:r>
          </w:p>
        </w:tc>
        <w:tc>
          <w:tcPr>
            <w:tcW w:w="911" w:type="pct"/>
            <w:tcBorders>
              <w:tl2br w:val="nil"/>
              <w:tr2bl w:val="nil"/>
            </w:tcBorders>
            <w:noWrap w:val="0"/>
            <w:vAlign w:val="top"/>
          </w:tcPr>
          <w:p w14:paraId="5DED8EC7">
            <w:pPr>
              <w:jc w:val="center"/>
              <w:rPr>
                <w:rFonts w:hint="default" w:ascii="Times New Roman" w:hAnsi="Times New Roman" w:eastAsia="宋体" w:cs="Times New Roman"/>
                <w:b/>
                <w:bCs/>
                <w:color w:val="auto"/>
                <w:u w:val="none" w:color="auto"/>
              </w:rPr>
            </w:pPr>
            <w:r>
              <w:rPr>
                <w:rFonts w:hint="default" w:ascii="Times New Roman" w:hAnsi="Times New Roman" w:eastAsia="宋体" w:cs="Times New Roman"/>
                <w:b/>
                <w:bCs/>
                <w:color w:val="auto"/>
                <w:u w:val="none" w:color="auto"/>
              </w:rPr>
              <w:t>Ⅰ</w:t>
            </w:r>
          </w:p>
        </w:tc>
      </w:tr>
      <w:tr w14:paraId="0909913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021" w:type="pct"/>
            <w:tcBorders>
              <w:tl2br w:val="nil"/>
              <w:tr2bl w:val="nil"/>
            </w:tcBorders>
            <w:noWrap w:val="0"/>
            <w:vAlign w:val="top"/>
          </w:tcPr>
          <w:p w14:paraId="3129F3C8">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评价工作等级</w:t>
            </w:r>
          </w:p>
        </w:tc>
        <w:tc>
          <w:tcPr>
            <w:tcW w:w="1022" w:type="pct"/>
            <w:tcBorders>
              <w:tl2br w:val="nil"/>
              <w:tr2bl w:val="nil"/>
            </w:tcBorders>
            <w:noWrap w:val="0"/>
            <w:vAlign w:val="top"/>
          </w:tcPr>
          <w:p w14:paraId="7ED7F53D">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一</w:t>
            </w:r>
          </w:p>
        </w:tc>
        <w:tc>
          <w:tcPr>
            <w:tcW w:w="1022" w:type="pct"/>
            <w:tcBorders>
              <w:tl2br w:val="nil"/>
              <w:tr2bl w:val="nil"/>
            </w:tcBorders>
            <w:noWrap w:val="0"/>
            <w:vAlign w:val="top"/>
          </w:tcPr>
          <w:p w14:paraId="2F403CF0">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二</w:t>
            </w:r>
          </w:p>
        </w:tc>
        <w:tc>
          <w:tcPr>
            <w:tcW w:w="1022" w:type="pct"/>
            <w:tcBorders>
              <w:tl2br w:val="nil"/>
              <w:tr2bl w:val="nil"/>
            </w:tcBorders>
            <w:noWrap w:val="0"/>
            <w:vAlign w:val="top"/>
          </w:tcPr>
          <w:p w14:paraId="5BA6841C">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三</w:t>
            </w:r>
          </w:p>
        </w:tc>
        <w:tc>
          <w:tcPr>
            <w:tcW w:w="911" w:type="pct"/>
            <w:tcBorders>
              <w:tl2br w:val="nil"/>
              <w:tr2bl w:val="nil"/>
            </w:tcBorders>
            <w:noWrap w:val="0"/>
            <w:vAlign w:val="top"/>
          </w:tcPr>
          <w:p w14:paraId="138D2EFF">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简单分析</w:t>
            </w:r>
          </w:p>
        </w:tc>
      </w:tr>
      <w:tr w14:paraId="79CFE7A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000" w:type="pct"/>
            <w:gridSpan w:val="5"/>
            <w:tcBorders>
              <w:tl2br w:val="nil"/>
              <w:tr2bl w:val="nil"/>
            </w:tcBorders>
            <w:noWrap w:val="0"/>
            <w:vAlign w:val="top"/>
          </w:tcPr>
          <w:p w14:paraId="3DE0B332">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注：是相对于详细评价工作而言，在描述危险物质、环境影响途径、环境危害后果、风险防范措施等方面给出定性说明。</w:t>
            </w:r>
          </w:p>
        </w:tc>
      </w:tr>
    </w:tbl>
    <w:p w14:paraId="14D8506E">
      <w:pPr>
        <w:widowControl/>
        <w:spacing w:line="360" w:lineRule="auto"/>
        <w:ind w:firstLine="480" w:firstLineChars="200"/>
        <w:jc w:val="left"/>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依据</w:t>
      </w:r>
      <w:r>
        <w:rPr>
          <w:rFonts w:hint="default" w:ascii="Times New Roman" w:hAnsi="Times New Roman" w:eastAsia="宋体" w:cs="Times New Roman"/>
          <w:color w:val="auto"/>
          <w:sz w:val="24"/>
          <w:u w:val="none" w:color="auto"/>
        </w:rPr>
        <w:t>《建设项目环境风险评价技术导则》（HJ169-2018）要求，</w:t>
      </w:r>
      <w:r>
        <w:rPr>
          <w:rFonts w:hint="default" w:ascii="Times New Roman" w:hAnsi="Times New Roman" w:eastAsia="宋体" w:cs="Times New Roman"/>
          <w:color w:val="auto"/>
          <w:sz w:val="24"/>
          <w:szCs w:val="24"/>
          <w:u w:val="none" w:color="auto"/>
          <w:lang w:eastAsia="zh-CN"/>
        </w:rPr>
        <w:t>中创空天厂区</w:t>
      </w:r>
      <w:r>
        <w:rPr>
          <w:rFonts w:hint="default" w:ascii="Times New Roman" w:hAnsi="Times New Roman" w:eastAsia="宋体" w:cs="Times New Roman"/>
          <w:color w:val="auto"/>
          <w:sz w:val="24"/>
          <w:szCs w:val="24"/>
          <w:u w:val="none" w:color="auto"/>
        </w:rPr>
        <w:t>：</w:t>
      </w:r>
      <w:r>
        <w:rPr>
          <w:rFonts w:hint="default" w:ascii="Times New Roman" w:hAnsi="Times New Roman" w:eastAsia="宋体" w:cs="Times New Roman"/>
          <w:color w:val="auto"/>
          <w:sz w:val="24"/>
          <w:szCs w:val="24"/>
          <w:highlight w:val="none"/>
          <w:u w:val="none" w:color="auto"/>
        </w:rPr>
        <w:t>大气的风险潜势为Ⅲ级，地表水的风险潜势为Ⅲ级，地下水的风险潜势均为I级。项目环境风险潜势综合等级为Ⅲ级，对应的环境风险评价等级为二级</w:t>
      </w:r>
      <w:r>
        <w:rPr>
          <w:rFonts w:hint="default" w:ascii="Times New Roman" w:hAnsi="Times New Roman" w:eastAsia="宋体" w:cs="Times New Roman"/>
          <w:color w:val="auto"/>
          <w:kern w:val="0"/>
          <w:sz w:val="24"/>
          <w:szCs w:val="24"/>
          <w:highlight w:val="none"/>
          <w:u w:val="none" w:color="auto"/>
          <w:lang w:bidi="ar"/>
        </w:rPr>
        <w:t>。</w:t>
      </w:r>
    </w:p>
    <w:p w14:paraId="50AC2B8F">
      <w:pPr>
        <w:pStyle w:val="4"/>
        <w:keepNext w:val="0"/>
        <w:keepLines w:val="0"/>
        <w:numPr>
          <w:ilvl w:val="0"/>
          <w:numId w:val="0"/>
        </w:numPr>
        <w:spacing w:before="120" w:after="120" w:line="360" w:lineRule="auto"/>
        <w:contextualSpacing/>
        <w:rPr>
          <w:rFonts w:hint="default" w:ascii="Times New Roman" w:hAnsi="Times New Roman" w:eastAsia="宋体" w:cs="Times New Roman"/>
          <w:b/>
          <w:bCs w:val="0"/>
          <w:color w:val="auto"/>
          <w:sz w:val="28"/>
          <w:u w:val="none" w:color="auto"/>
        </w:rPr>
      </w:pPr>
      <w:bookmarkStart w:id="148" w:name="_Toc22552"/>
      <w:bookmarkStart w:id="149" w:name="_Toc21900"/>
      <w:bookmarkStart w:id="150" w:name="_Toc6668254"/>
      <w:r>
        <w:rPr>
          <w:rFonts w:hint="default" w:ascii="Times New Roman" w:hAnsi="Times New Roman" w:eastAsia="宋体" w:cs="Times New Roman"/>
          <w:b/>
          <w:bCs w:val="0"/>
          <w:color w:val="auto"/>
          <w:sz w:val="28"/>
          <w:u w:val="none" w:color="auto"/>
        </w:rPr>
        <w:t>1.5 环境风险评价范围</w:t>
      </w:r>
      <w:bookmarkEnd w:id="148"/>
      <w:bookmarkEnd w:id="149"/>
    </w:p>
    <w:p w14:paraId="6AF2F933">
      <w:pPr>
        <w:spacing w:line="360" w:lineRule="auto"/>
        <w:ind w:firstLine="480" w:firstLineChars="200"/>
        <w:jc w:val="left"/>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根据项目周边敏感目标分布及危害后果，确定大气环境风险保护目标范围为项目厂界外5km，本次大气环境风险等级为二级，其评价范围为厂界外5km；</w:t>
      </w:r>
      <w:r>
        <w:rPr>
          <w:rFonts w:hint="default" w:ascii="Times New Roman" w:hAnsi="Times New Roman" w:eastAsia="宋体" w:cs="Times New Roman"/>
          <w:color w:val="auto"/>
          <w:sz w:val="24"/>
          <w:szCs w:val="24"/>
          <w:highlight w:val="none"/>
          <w:u w:val="none" w:color="auto"/>
          <w:lang w:val="en-US" w:eastAsia="zh-CN"/>
        </w:rPr>
        <w:t>雨水排放口下游10km范围</w:t>
      </w:r>
      <w:r>
        <w:rPr>
          <w:rFonts w:hint="default" w:ascii="Times New Roman" w:hAnsi="Times New Roman" w:eastAsia="宋体" w:cs="Times New Roman"/>
          <w:color w:val="auto"/>
          <w:kern w:val="0"/>
          <w:sz w:val="24"/>
          <w:szCs w:val="24"/>
          <w:highlight w:val="none"/>
          <w:u w:val="none" w:color="auto"/>
        </w:rPr>
        <w:t>；地下水评价范围为厂区周边可能受事故影响的区域和敏感点</w:t>
      </w:r>
    </w:p>
    <w:p w14:paraId="45982F00">
      <w:pPr>
        <w:pStyle w:val="4"/>
        <w:numPr>
          <w:ilvl w:val="0"/>
          <w:numId w:val="0"/>
        </w:numPr>
        <w:spacing w:before="120" w:after="120" w:line="360" w:lineRule="auto"/>
        <w:contextualSpacing/>
        <w:rPr>
          <w:rFonts w:hint="default" w:ascii="Times New Roman" w:hAnsi="Times New Roman" w:eastAsia="宋体" w:cs="Times New Roman"/>
          <w:b/>
          <w:bCs w:val="0"/>
          <w:color w:val="auto"/>
          <w:sz w:val="28"/>
          <w:u w:val="none" w:color="auto"/>
        </w:rPr>
      </w:pPr>
      <w:bookmarkStart w:id="151" w:name="_Toc6668252"/>
      <w:bookmarkStart w:id="152" w:name="_Toc22985"/>
      <w:bookmarkStart w:id="153" w:name="_Toc23496"/>
      <w:r>
        <w:rPr>
          <w:rFonts w:hint="default" w:ascii="Times New Roman" w:hAnsi="Times New Roman" w:eastAsia="宋体" w:cs="Times New Roman"/>
          <w:b/>
          <w:bCs w:val="0"/>
          <w:color w:val="auto"/>
          <w:sz w:val="28"/>
          <w:u w:val="none" w:color="auto"/>
        </w:rPr>
        <w:t>1.6 环境风险保护目标</w:t>
      </w:r>
      <w:bookmarkEnd w:id="151"/>
      <w:bookmarkEnd w:id="152"/>
      <w:bookmarkEnd w:id="153"/>
    </w:p>
    <w:bookmarkEnd w:id="150"/>
    <w:p w14:paraId="28FC54A8">
      <w:pPr>
        <w:pStyle w:val="17"/>
        <w:numPr>
          <w:ilvl w:val="0"/>
          <w:numId w:val="9"/>
        </w:numPr>
        <w:adjustRightInd/>
        <w:snapToGrid/>
        <w:rPr>
          <w:rFonts w:hint="default" w:ascii="Times New Roman" w:hAnsi="Times New Roman" w:eastAsia="宋体" w:cs="Times New Roman"/>
          <w:b/>
          <w:bCs/>
          <w:color w:val="auto"/>
          <w:sz w:val="21"/>
          <w:u w:val="none" w:color="auto"/>
        </w:rPr>
      </w:pPr>
      <w:r>
        <w:rPr>
          <w:rFonts w:hint="default" w:ascii="Times New Roman" w:hAnsi="Times New Roman" w:eastAsia="宋体" w:cs="Times New Roman"/>
          <w:b/>
          <w:bCs/>
          <w:color w:val="auto"/>
          <w:sz w:val="21"/>
          <w:u w:val="none" w:color="auto"/>
        </w:rPr>
        <w:t>“</w:t>
      </w:r>
      <w:r>
        <w:rPr>
          <w:rFonts w:hint="default" w:ascii="Times New Roman" w:hAnsi="Times New Roman" w:eastAsia="宋体" w:cs="Times New Roman"/>
          <w:b/>
          <w:bCs/>
          <w:color w:val="auto"/>
          <w:sz w:val="21"/>
          <w:u w:val="none" w:color="auto"/>
          <w:lang w:eastAsia="zh-CN"/>
        </w:rPr>
        <w:t>中创空天厂区</w:t>
      </w:r>
      <w:r>
        <w:rPr>
          <w:rFonts w:hint="default" w:ascii="Times New Roman" w:hAnsi="Times New Roman" w:eastAsia="宋体" w:cs="Times New Roman"/>
          <w:b/>
          <w:bCs/>
          <w:color w:val="auto"/>
          <w:sz w:val="21"/>
          <w:u w:val="none" w:color="auto"/>
        </w:rPr>
        <w:t>”环境风险保护目标一览表</w:t>
      </w:r>
    </w:p>
    <w:tbl>
      <w:tblPr>
        <w:tblStyle w:val="31"/>
        <w:tblW w:w="5001"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845"/>
        <w:gridCol w:w="740"/>
        <w:gridCol w:w="399"/>
        <w:gridCol w:w="1575"/>
        <w:gridCol w:w="229"/>
        <w:gridCol w:w="228"/>
        <w:gridCol w:w="860"/>
        <w:gridCol w:w="313"/>
        <w:gridCol w:w="934"/>
        <w:gridCol w:w="576"/>
        <w:gridCol w:w="973"/>
        <w:gridCol w:w="1390"/>
      </w:tblGrid>
      <w:tr w14:paraId="093C20A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blHeader/>
          <w:jc w:val="center"/>
        </w:trPr>
        <w:tc>
          <w:tcPr>
            <w:tcW w:w="466" w:type="pct"/>
            <w:tcBorders>
              <w:tl2br w:val="nil"/>
              <w:tr2bl w:val="nil"/>
            </w:tcBorders>
            <w:noWrap w:val="0"/>
            <w:vAlign w:val="center"/>
          </w:tcPr>
          <w:p w14:paraId="0068C383">
            <w:pPr>
              <w:contextualSpacing/>
              <w:jc w:val="center"/>
              <w:rPr>
                <w:rFonts w:hint="default" w:ascii="Times New Roman" w:hAnsi="Times New Roman" w:eastAsia="宋体" w:cs="Times New Roman"/>
                <w:b/>
                <w:bCs/>
                <w:color w:val="auto"/>
                <w:szCs w:val="21"/>
                <w:highlight w:val="none"/>
                <w:u w:val="none" w:color="auto"/>
              </w:rPr>
            </w:pPr>
            <w:r>
              <w:rPr>
                <w:rFonts w:hint="default" w:ascii="Times New Roman" w:hAnsi="Times New Roman" w:eastAsia="宋体" w:cs="Times New Roman"/>
                <w:b/>
                <w:bCs/>
                <w:color w:val="auto"/>
                <w:szCs w:val="21"/>
                <w:highlight w:val="none"/>
                <w:u w:val="none" w:color="auto"/>
                <w:lang w:bidi="ar"/>
              </w:rPr>
              <w:t>类别</w:t>
            </w:r>
          </w:p>
        </w:tc>
        <w:tc>
          <w:tcPr>
            <w:tcW w:w="4533" w:type="pct"/>
            <w:gridSpan w:val="11"/>
            <w:tcBorders>
              <w:tl2br w:val="nil"/>
              <w:tr2bl w:val="nil"/>
            </w:tcBorders>
            <w:noWrap w:val="0"/>
            <w:vAlign w:val="center"/>
          </w:tcPr>
          <w:p w14:paraId="359B5E6D">
            <w:pPr>
              <w:contextualSpacing/>
              <w:jc w:val="center"/>
              <w:rPr>
                <w:rFonts w:hint="default" w:ascii="Times New Roman" w:hAnsi="Times New Roman" w:eastAsia="宋体" w:cs="Times New Roman"/>
                <w:b/>
                <w:bCs/>
                <w:color w:val="auto"/>
                <w:szCs w:val="21"/>
                <w:highlight w:val="none"/>
                <w:u w:val="none" w:color="auto"/>
              </w:rPr>
            </w:pPr>
            <w:r>
              <w:rPr>
                <w:rFonts w:hint="default" w:ascii="Times New Roman" w:hAnsi="Times New Roman" w:eastAsia="宋体" w:cs="Times New Roman"/>
                <w:b/>
                <w:bCs/>
                <w:color w:val="auto"/>
                <w:szCs w:val="21"/>
                <w:highlight w:val="none"/>
                <w:u w:val="none" w:color="auto"/>
                <w:lang w:bidi="ar"/>
              </w:rPr>
              <w:t>环境敏感特征</w:t>
            </w:r>
          </w:p>
        </w:tc>
      </w:tr>
      <w:tr w14:paraId="5986FCD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66" w:type="pct"/>
            <w:vMerge w:val="restart"/>
            <w:tcBorders>
              <w:tl2br w:val="nil"/>
              <w:tr2bl w:val="nil"/>
            </w:tcBorders>
            <w:noWrap w:val="0"/>
            <w:vAlign w:val="center"/>
          </w:tcPr>
          <w:p w14:paraId="7B3F9BF8">
            <w:pPr>
              <w:contextualSpacing/>
              <w:jc w:val="center"/>
              <w:rPr>
                <w:rFonts w:hint="default" w:ascii="Times New Roman" w:hAnsi="Times New Roman" w:eastAsia="宋体" w:cs="Times New Roman"/>
                <w:color w:val="auto"/>
                <w:szCs w:val="21"/>
                <w:highlight w:val="none"/>
                <w:u w:val="none" w:color="auto"/>
                <w:lang w:bidi="ar"/>
              </w:rPr>
            </w:pPr>
            <w:r>
              <w:rPr>
                <w:rFonts w:hint="default" w:ascii="Times New Roman" w:hAnsi="Times New Roman" w:eastAsia="宋体" w:cs="Times New Roman"/>
                <w:color w:val="auto"/>
                <w:szCs w:val="21"/>
                <w:highlight w:val="none"/>
                <w:u w:val="none" w:color="auto"/>
                <w:lang w:bidi="ar"/>
              </w:rPr>
              <w:t>环境空气</w:t>
            </w:r>
          </w:p>
        </w:tc>
        <w:tc>
          <w:tcPr>
            <w:tcW w:w="4533" w:type="pct"/>
            <w:gridSpan w:val="11"/>
            <w:tcBorders>
              <w:tl2br w:val="nil"/>
              <w:tr2bl w:val="nil"/>
            </w:tcBorders>
            <w:noWrap w:val="0"/>
            <w:vAlign w:val="center"/>
          </w:tcPr>
          <w:p w14:paraId="17628F2A">
            <w:pPr>
              <w:contextualSpacing/>
              <w:rPr>
                <w:rFonts w:hint="default" w:ascii="Times New Roman" w:hAnsi="Times New Roman" w:eastAsia="宋体" w:cs="Times New Roman"/>
                <w:color w:val="auto"/>
                <w:szCs w:val="21"/>
                <w:highlight w:val="none"/>
                <w:u w:val="none" w:color="auto"/>
                <w:lang w:bidi="ar"/>
              </w:rPr>
            </w:pPr>
            <w:r>
              <w:rPr>
                <w:rFonts w:hint="default" w:ascii="Times New Roman" w:hAnsi="Times New Roman" w:eastAsia="宋体" w:cs="Times New Roman"/>
                <w:bCs/>
                <w:color w:val="auto"/>
                <w:szCs w:val="21"/>
                <w:highlight w:val="none"/>
                <w:u w:val="none" w:color="auto"/>
              </w:rPr>
              <w:t>厂址周边5km范围内</w:t>
            </w:r>
          </w:p>
        </w:tc>
      </w:tr>
      <w:tr w14:paraId="2031E79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66" w:type="pct"/>
            <w:vMerge w:val="continue"/>
            <w:tcBorders>
              <w:tl2br w:val="nil"/>
              <w:tr2bl w:val="nil"/>
            </w:tcBorders>
            <w:noWrap w:val="0"/>
            <w:vAlign w:val="center"/>
          </w:tcPr>
          <w:p w14:paraId="71AB35F2">
            <w:pPr>
              <w:contextualSpacing/>
              <w:jc w:val="center"/>
              <w:rPr>
                <w:rFonts w:hint="default" w:ascii="Times New Roman" w:hAnsi="Times New Roman" w:eastAsia="宋体" w:cs="Times New Roman"/>
                <w:color w:val="auto"/>
                <w:szCs w:val="21"/>
                <w:highlight w:val="none"/>
                <w:u w:val="none" w:color="auto"/>
                <w:lang w:bidi="ar"/>
              </w:rPr>
            </w:pPr>
          </w:p>
        </w:tc>
        <w:tc>
          <w:tcPr>
            <w:tcW w:w="408" w:type="pct"/>
            <w:tcBorders>
              <w:tl2br w:val="nil"/>
              <w:tr2bl w:val="nil"/>
            </w:tcBorders>
            <w:noWrap w:val="0"/>
            <w:vAlign w:val="center"/>
          </w:tcPr>
          <w:p w14:paraId="4D9DC41D">
            <w:pPr>
              <w:contextualSpacing/>
              <w:jc w:val="center"/>
              <w:rPr>
                <w:rFonts w:hint="default" w:ascii="Times New Roman" w:hAnsi="Times New Roman" w:eastAsia="宋体" w:cs="Times New Roman"/>
                <w:color w:val="auto"/>
                <w:szCs w:val="21"/>
                <w:highlight w:val="none"/>
                <w:u w:val="none" w:color="auto"/>
                <w:lang w:bidi="ar"/>
              </w:rPr>
            </w:pPr>
            <w:r>
              <w:rPr>
                <w:rFonts w:hint="default" w:ascii="Times New Roman" w:hAnsi="Times New Roman" w:eastAsia="宋体" w:cs="Times New Roman"/>
                <w:bCs/>
                <w:color w:val="auto"/>
                <w:szCs w:val="21"/>
                <w:highlight w:val="none"/>
                <w:u w:val="none" w:color="auto"/>
              </w:rPr>
              <w:t>序号</w:t>
            </w:r>
          </w:p>
        </w:tc>
        <w:tc>
          <w:tcPr>
            <w:tcW w:w="1215" w:type="pct"/>
            <w:gridSpan w:val="3"/>
            <w:tcBorders>
              <w:tl2br w:val="nil"/>
              <w:tr2bl w:val="nil"/>
            </w:tcBorders>
            <w:noWrap w:val="0"/>
            <w:vAlign w:val="center"/>
          </w:tcPr>
          <w:p w14:paraId="15ED3500">
            <w:pPr>
              <w:contextualSpacing/>
              <w:jc w:val="center"/>
              <w:rPr>
                <w:rFonts w:hint="default" w:ascii="Times New Roman" w:hAnsi="Times New Roman" w:eastAsia="宋体" w:cs="Times New Roman"/>
                <w:color w:val="auto"/>
                <w:szCs w:val="21"/>
                <w:highlight w:val="none"/>
                <w:u w:val="none" w:color="auto"/>
                <w:lang w:bidi="ar"/>
              </w:rPr>
            </w:pPr>
            <w:r>
              <w:rPr>
                <w:rFonts w:hint="default" w:ascii="Times New Roman" w:hAnsi="Times New Roman" w:eastAsia="宋体" w:cs="Times New Roman"/>
                <w:color w:val="auto"/>
                <w:szCs w:val="21"/>
                <w:highlight w:val="none"/>
                <w:u w:val="none" w:color="auto"/>
                <w:lang w:bidi="ar"/>
              </w:rPr>
              <w:t>敏感目标名称</w:t>
            </w:r>
          </w:p>
        </w:tc>
        <w:tc>
          <w:tcPr>
            <w:tcW w:w="600" w:type="pct"/>
            <w:gridSpan w:val="2"/>
            <w:tcBorders>
              <w:tl2br w:val="nil"/>
              <w:tr2bl w:val="nil"/>
            </w:tcBorders>
            <w:noWrap w:val="0"/>
            <w:vAlign w:val="center"/>
          </w:tcPr>
          <w:p w14:paraId="4AB69403">
            <w:pPr>
              <w:contextualSpacing/>
              <w:jc w:val="center"/>
              <w:rPr>
                <w:rFonts w:hint="default" w:ascii="Times New Roman" w:hAnsi="Times New Roman" w:eastAsia="宋体" w:cs="Times New Roman"/>
                <w:color w:val="auto"/>
                <w:szCs w:val="21"/>
                <w:highlight w:val="none"/>
                <w:u w:val="none" w:color="auto"/>
                <w:lang w:bidi="ar"/>
              </w:rPr>
            </w:pPr>
            <w:r>
              <w:rPr>
                <w:rFonts w:hint="default" w:ascii="Times New Roman" w:hAnsi="Times New Roman" w:eastAsia="宋体" w:cs="Times New Roman"/>
                <w:color w:val="auto"/>
                <w:szCs w:val="21"/>
                <w:highlight w:val="none"/>
                <w:u w:val="none" w:color="auto"/>
                <w:lang w:bidi="ar"/>
              </w:rPr>
              <w:t>相对方位</w:t>
            </w:r>
          </w:p>
        </w:tc>
        <w:tc>
          <w:tcPr>
            <w:tcW w:w="688" w:type="pct"/>
            <w:gridSpan w:val="2"/>
            <w:tcBorders>
              <w:tl2br w:val="nil"/>
              <w:tr2bl w:val="nil"/>
            </w:tcBorders>
            <w:noWrap w:val="0"/>
            <w:vAlign w:val="center"/>
          </w:tcPr>
          <w:p w14:paraId="0C296518">
            <w:pPr>
              <w:contextualSpacing/>
              <w:jc w:val="center"/>
              <w:rPr>
                <w:rFonts w:hint="default" w:ascii="Times New Roman" w:hAnsi="Times New Roman" w:eastAsia="宋体" w:cs="Times New Roman"/>
                <w:color w:val="auto"/>
                <w:szCs w:val="21"/>
                <w:highlight w:val="none"/>
                <w:u w:val="none" w:color="auto"/>
                <w:lang w:bidi="ar"/>
              </w:rPr>
            </w:pPr>
            <w:r>
              <w:rPr>
                <w:rFonts w:hint="default" w:ascii="Times New Roman" w:hAnsi="Times New Roman" w:eastAsia="宋体" w:cs="Times New Roman"/>
                <w:color w:val="auto"/>
                <w:szCs w:val="21"/>
                <w:highlight w:val="none"/>
                <w:u w:val="none" w:color="auto"/>
                <w:lang w:bidi="ar"/>
              </w:rPr>
              <w:t>距离</w:t>
            </w:r>
          </w:p>
        </w:tc>
        <w:tc>
          <w:tcPr>
            <w:tcW w:w="854" w:type="pct"/>
            <w:gridSpan w:val="2"/>
            <w:tcBorders>
              <w:tl2br w:val="nil"/>
              <w:tr2bl w:val="nil"/>
            </w:tcBorders>
            <w:noWrap w:val="0"/>
            <w:vAlign w:val="center"/>
          </w:tcPr>
          <w:p w14:paraId="128EBD69">
            <w:pPr>
              <w:contextualSpacing/>
              <w:jc w:val="center"/>
              <w:rPr>
                <w:rFonts w:hint="default" w:ascii="Times New Roman" w:hAnsi="Times New Roman" w:eastAsia="宋体" w:cs="Times New Roman"/>
                <w:color w:val="auto"/>
                <w:szCs w:val="21"/>
                <w:highlight w:val="none"/>
                <w:u w:val="none" w:color="auto"/>
                <w:lang w:bidi="ar"/>
              </w:rPr>
            </w:pPr>
            <w:r>
              <w:rPr>
                <w:rFonts w:hint="default" w:ascii="Times New Roman" w:hAnsi="Times New Roman" w:eastAsia="宋体" w:cs="Times New Roman"/>
                <w:color w:val="auto"/>
                <w:szCs w:val="21"/>
                <w:highlight w:val="none"/>
                <w:u w:val="none" w:color="auto"/>
                <w:lang w:bidi="ar"/>
              </w:rPr>
              <w:t>属性</w:t>
            </w:r>
          </w:p>
        </w:tc>
        <w:tc>
          <w:tcPr>
            <w:tcW w:w="766" w:type="pct"/>
            <w:tcBorders>
              <w:tl2br w:val="nil"/>
              <w:tr2bl w:val="nil"/>
            </w:tcBorders>
            <w:noWrap w:val="0"/>
            <w:vAlign w:val="center"/>
          </w:tcPr>
          <w:p w14:paraId="73C18952">
            <w:pPr>
              <w:contextualSpacing/>
              <w:jc w:val="center"/>
              <w:rPr>
                <w:rFonts w:hint="default" w:ascii="Times New Roman" w:hAnsi="Times New Roman" w:eastAsia="宋体" w:cs="Times New Roman"/>
                <w:color w:val="auto"/>
                <w:szCs w:val="21"/>
                <w:highlight w:val="none"/>
                <w:u w:val="none" w:color="auto"/>
                <w:lang w:bidi="ar"/>
              </w:rPr>
            </w:pPr>
            <w:r>
              <w:rPr>
                <w:rFonts w:hint="default" w:ascii="Times New Roman" w:hAnsi="Times New Roman" w:eastAsia="宋体" w:cs="Times New Roman"/>
                <w:color w:val="auto"/>
                <w:szCs w:val="21"/>
                <w:highlight w:val="none"/>
                <w:u w:val="none" w:color="auto"/>
                <w:lang w:bidi="ar"/>
              </w:rPr>
              <w:t>人口数</w:t>
            </w:r>
          </w:p>
        </w:tc>
      </w:tr>
      <w:tr w14:paraId="7339ACD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66" w:type="pct"/>
            <w:vMerge w:val="continue"/>
            <w:tcBorders>
              <w:tl2br w:val="nil"/>
              <w:tr2bl w:val="nil"/>
            </w:tcBorders>
            <w:noWrap w:val="0"/>
            <w:vAlign w:val="center"/>
          </w:tcPr>
          <w:p w14:paraId="595E304B">
            <w:pPr>
              <w:contextualSpacing/>
              <w:jc w:val="center"/>
              <w:rPr>
                <w:rFonts w:hint="default" w:ascii="Times New Roman" w:hAnsi="Times New Roman" w:eastAsia="宋体" w:cs="Times New Roman"/>
                <w:color w:val="auto"/>
                <w:szCs w:val="21"/>
                <w:highlight w:val="none"/>
                <w:u w:val="none" w:color="auto"/>
                <w:lang w:bidi="ar"/>
              </w:rPr>
            </w:pPr>
          </w:p>
        </w:tc>
        <w:tc>
          <w:tcPr>
            <w:tcW w:w="408" w:type="pct"/>
            <w:tcBorders>
              <w:tl2br w:val="nil"/>
              <w:tr2bl w:val="nil"/>
            </w:tcBorders>
            <w:noWrap w:val="0"/>
            <w:vAlign w:val="center"/>
          </w:tcPr>
          <w:p w14:paraId="7EC86663">
            <w:pPr>
              <w:contextualSpacing/>
              <w:jc w:val="center"/>
              <w:rPr>
                <w:rFonts w:hint="default" w:ascii="Times New Roman" w:hAnsi="Times New Roman" w:eastAsia="宋体" w:cs="Times New Roman"/>
                <w:color w:val="auto"/>
                <w:szCs w:val="21"/>
                <w:highlight w:val="none"/>
                <w:u w:val="none" w:color="auto"/>
                <w:lang w:bidi="ar"/>
              </w:rPr>
            </w:pPr>
            <w:r>
              <w:rPr>
                <w:rFonts w:hint="default" w:ascii="Times New Roman" w:hAnsi="Times New Roman" w:eastAsia="宋体" w:cs="Times New Roman"/>
                <w:color w:val="auto"/>
                <w:szCs w:val="21"/>
                <w:highlight w:val="none"/>
                <w:u w:val="none" w:color="auto"/>
                <w:lang w:bidi="ar"/>
              </w:rPr>
              <w:t>1</w:t>
            </w:r>
          </w:p>
        </w:tc>
        <w:tc>
          <w:tcPr>
            <w:tcW w:w="1215" w:type="pct"/>
            <w:gridSpan w:val="3"/>
            <w:tcBorders>
              <w:tl2br w:val="nil"/>
              <w:tr2bl w:val="nil"/>
            </w:tcBorders>
            <w:noWrap w:val="0"/>
            <w:vAlign w:val="center"/>
          </w:tcPr>
          <w:p w14:paraId="4FB47EBE">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象骨港居民点</w:t>
            </w:r>
          </w:p>
        </w:tc>
        <w:tc>
          <w:tcPr>
            <w:tcW w:w="600" w:type="pct"/>
            <w:gridSpan w:val="2"/>
            <w:tcBorders>
              <w:tl2br w:val="nil"/>
              <w:tr2bl w:val="nil"/>
            </w:tcBorders>
            <w:noWrap w:val="0"/>
            <w:vAlign w:val="center"/>
          </w:tcPr>
          <w:p w14:paraId="5FB060E4">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西</w:t>
            </w:r>
          </w:p>
        </w:tc>
        <w:tc>
          <w:tcPr>
            <w:tcW w:w="688" w:type="pct"/>
            <w:gridSpan w:val="2"/>
            <w:tcBorders>
              <w:tl2br w:val="nil"/>
              <w:tr2bl w:val="nil"/>
            </w:tcBorders>
            <w:noWrap w:val="0"/>
            <w:vAlign w:val="center"/>
          </w:tcPr>
          <w:p w14:paraId="498882EF">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101~580</w:t>
            </w:r>
          </w:p>
        </w:tc>
        <w:tc>
          <w:tcPr>
            <w:tcW w:w="854" w:type="pct"/>
            <w:gridSpan w:val="2"/>
            <w:vMerge w:val="restart"/>
            <w:tcBorders>
              <w:tl2br w:val="nil"/>
              <w:tr2bl w:val="nil"/>
            </w:tcBorders>
            <w:noWrap w:val="0"/>
            <w:vAlign w:val="center"/>
          </w:tcPr>
          <w:p w14:paraId="7B553905">
            <w:pPr>
              <w:widowControl/>
              <w:topLinePunct w:val="0"/>
              <w:bidi w:val="0"/>
              <w:adjustRightInd/>
              <w:snapToGrid/>
              <w:jc w:val="center"/>
              <w:textAlignment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0"/>
                <w:szCs w:val="21"/>
                <w:highlight w:val="none"/>
                <w:u w:val="none" w:color="auto"/>
                <w:lang w:bidi="ar"/>
              </w:rPr>
              <w:t>居民</w:t>
            </w:r>
          </w:p>
        </w:tc>
        <w:tc>
          <w:tcPr>
            <w:tcW w:w="766" w:type="pct"/>
            <w:tcBorders>
              <w:tl2br w:val="nil"/>
              <w:tr2bl w:val="nil"/>
            </w:tcBorders>
            <w:noWrap w:val="0"/>
            <w:vAlign w:val="center"/>
          </w:tcPr>
          <w:p w14:paraId="18000D0A">
            <w:pPr>
              <w:keepNext w:val="0"/>
              <w:keepLines w:val="0"/>
              <w:widowControl/>
              <w:suppressLineNumbers w:val="0"/>
              <w:jc w:val="center"/>
              <w:textAlignment w:val="center"/>
              <w:rPr>
                <w:rFonts w:hint="default" w:ascii="Times New Roman" w:hAnsi="Times New Roman" w:eastAsia="宋体" w:cs="Times New Roman"/>
                <w:color w:val="auto"/>
                <w:szCs w:val="21"/>
                <w:highlight w:val="none"/>
                <w:u w:val="none" w:color="auto"/>
                <w:lang w:val="en-US" w:eastAsia="zh-CN"/>
              </w:rPr>
            </w:pPr>
            <w:r>
              <w:rPr>
                <w:rFonts w:hint="default" w:ascii="Times New Roman" w:hAnsi="Times New Roman" w:eastAsia="宋体" w:cs="Times New Roman"/>
                <w:i w:val="0"/>
                <w:iCs w:val="0"/>
                <w:color w:val="auto"/>
                <w:kern w:val="0"/>
                <w:sz w:val="21"/>
                <w:szCs w:val="21"/>
                <w:u w:val="none" w:color="auto"/>
                <w:lang w:val="en-US" w:eastAsia="zh-CN" w:bidi="ar"/>
              </w:rPr>
              <w:t>约1190</w:t>
            </w:r>
          </w:p>
        </w:tc>
      </w:tr>
      <w:tr w14:paraId="39F976E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66" w:type="pct"/>
            <w:vMerge w:val="continue"/>
            <w:tcBorders>
              <w:tl2br w:val="nil"/>
              <w:tr2bl w:val="nil"/>
            </w:tcBorders>
            <w:noWrap w:val="0"/>
            <w:vAlign w:val="center"/>
          </w:tcPr>
          <w:p w14:paraId="5F225008">
            <w:pPr>
              <w:contextualSpacing/>
              <w:jc w:val="center"/>
              <w:rPr>
                <w:rFonts w:hint="default" w:ascii="Times New Roman" w:hAnsi="Times New Roman" w:eastAsia="宋体" w:cs="Times New Roman"/>
                <w:color w:val="auto"/>
                <w:szCs w:val="21"/>
                <w:highlight w:val="none"/>
                <w:u w:val="none" w:color="auto"/>
                <w:lang w:bidi="ar"/>
              </w:rPr>
            </w:pPr>
          </w:p>
        </w:tc>
        <w:tc>
          <w:tcPr>
            <w:tcW w:w="408" w:type="pct"/>
            <w:tcBorders>
              <w:tl2br w:val="nil"/>
              <w:tr2bl w:val="nil"/>
            </w:tcBorders>
            <w:noWrap w:val="0"/>
            <w:vAlign w:val="center"/>
          </w:tcPr>
          <w:p w14:paraId="1E3A076E">
            <w:pPr>
              <w:contextualSpacing/>
              <w:jc w:val="center"/>
              <w:rPr>
                <w:rFonts w:hint="default" w:ascii="Times New Roman" w:hAnsi="Times New Roman" w:eastAsia="宋体" w:cs="Times New Roman"/>
                <w:color w:val="auto"/>
                <w:szCs w:val="21"/>
                <w:highlight w:val="none"/>
                <w:u w:val="none" w:color="auto"/>
                <w:lang w:bidi="ar"/>
              </w:rPr>
            </w:pPr>
            <w:r>
              <w:rPr>
                <w:rFonts w:hint="default" w:ascii="Times New Roman" w:hAnsi="Times New Roman" w:eastAsia="宋体" w:cs="Times New Roman"/>
                <w:color w:val="auto"/>
                <w:szCs w:val="21"/>
                <w:highlight w:val="none"/>
                <w:u w:val="none" w:color="auto"/>
                <w:lang w:bidi="ar"/>
              </w:rPr>
              <w:t>2</w:t>
            </w:r>
          </w:p>
        </w:tc>
        <w:tc>
          <w:tcPr>
            <w:tcW w:w="1215" w:type="pct"/>
            <w:gridSpan w:val="3"/>
            <w:tcBorders>
              <w:tl2br w:val="nil"/>
              <w:tr2bl w:val="nil"/>
            </w:tcBorders>
            <w:noWrap w:val="0"/>
            <w:vAlign w:val="center"/>
          </w:tcPr>
          <w:p w14:paraId="2435B8ED">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王家屋场</w:t>
            </w:r>
          </w:p>
        </w:tc>
        <w:tc>
          <w:tcPr>
            <w:tcW w:w="600" w:type="pct"/>
            <w:gridSpan w:val="2"/>
            <w:tcBorders>
              <w:tl2br w:val="nil"/>
              <w:tr2bl w:val="nil"/>
            </w:tcBorders>
            <w:noWrap w:val="0"/>
            <w:vAlign w:val="center"/>
          </w:tcPr>
          <w:p w14:paraId="0FC65D5A">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西</w:t>
            </w:r>
          </w:p>
        </w:tc>
        <w:tc>
          <w:tcPr>
            <w:tcW w:w="688" w:type="pct"/>
            <w:gridSpan w:val="2"/>
            <w:tcBorders>
              <w:tl2br w:val="nil"/>
              <w:tr2bl w:val="nil"/>
            </w:tcBorders>
            <w:noWrap w:val="0"/>
            <w:vAlign w:val="center"/>
          </w:tcPr>
          <w:p w14:paraId="22789C9C">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457~1250</w:t>
            </w:r>
          </w:p>
        </w:tc>
        <w:tc>
          <w:tcPr>
            <w:tcW w:w="854" w:type="pct"/>
            <w:gridSpan w:val="2"/>
            <w:vMerge w:val="continue"/>
            <w:tcBorders>
              <w:tl2br w:val="nil"/>
              <w:tr2bl w:val="nil"/>
            </w:tcBorders>
            <w:noWrap w:val="0"/>
            <w:vAlign w:val="center"/>
          </w:tcPr>
          <w:p w14:paraId="5C60A13E">
            <w:pPr>
              <w:jc w:val="center"/>
              <w:rPr>
                <w:rFonts w:hint="default" w:ascii="Times New Roman" w:hAnsi="Times New Roman" w:eastAsia="宋体" w:cs="Times New Roman"/>
                <w:color w:val="auto"/>
                <w:kern w:val="2"/>
                <w:sz w:val="21"/>
                <w:szCs w:val="21"/>
                <w:highlight w:val="none"/>
                <w:u w:val="none" w:color="auto"/>
                <w:lang w:val="en-US" w:eastAsia="zh-CN" w:bidi="ar-SA"/>
              </w:rPr>
            </w:pPr>
          </w:p>
        </w:tc>
        <w:tc>
          <w:tcPr>
            <w:tcW w:w="766" w:type="pct"/>
            <w:tcBorders>
              <w:tl2br w:val="nil"/>
              <w:tr2bl w:val="nil"/>
            </w:tcBorders>
            <w:noWrap w:val="0"/>
            <w:vAlign w:val="center"/>
          </w:tcPr>
          <w:p w14:paraId="3479A06A">
            <w:pPr>
              <w:keepNext w:val="0"/>
              <w:keepLines w:val="0"/>
              <w:widowControl/>
              <w:suppressLineNumbers w:val="0"/>
              <w:jc w:val="center"/>
              <w:textAlignment w:val="center"/>
              <w:rPr>
                <w:rFonts w:hint="default" w:ascii="Times New Roman" w:hAnsi="Times New Roman" w:eastAsia="宋体" w:cs="Times New Roman"/>
                <w:color w:val="auto"/>
                <w:szCs w:val="21"/>
                <w:highlight w:val="none"/>
                <w:u w:val="none" w:color="auto"/>
                <w:lang w:val="en-US" w:eastAsia="zh-CN"/>
              </w:rPr>
            </w:pPr>
            <w:r>
              <w:rPr>
                <w:rFonts w:hint="default" w:ascii="Times New Roman" w:hAnsi="Times New Roman" w:eastAsia="宋体" w:cs="Times New Roman"/>
                <w:i w:val="0"/>
                <w:iCs w:val="0"/>
                <w:color w:val="auto"/>
                <w:kern w:val="0"/>
                <w:sz w:val="21"/>
                <w:szCs w:val="21"/>
                <w:u w:val="none" w:color="auto"/>
                <w:lang w:val="en-US" w:eastAsia="zh-CN" w:bidi="ar"/>
              </w:rPr>
              <w:t>约525</w:t>
            </w:r>
          </w:p>
        </w:tc>
      </w:tr>
      <w:tr w14:paraId="7495522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66" w:type="pct"/>
            <w:vMerge w:val="continue"/>
            <w:tcBorders>
              <w:tl2br w:val="nil"/>
              <w:tr2bl w:val="nil"/>
            </w:tcBorders>
            <w:noWrap w:val="0"/>
            <w:vAlign w:val="center"/>
          </w:tcPr>
          <w:p w14:paraId="26333083">
            <w:pPr>
              <w:contextualSpacing/>
              <w:jc w:val="center"/>
              <w:rPr>
                <w:rFonts w:hint="default" w:ascii="Times New Roman" w:hAnsi="Times New Roman" w:eastAsia="宋体" w:cs="Times New Roman"/>
                <w:color w:val="auto"/>
                <w:szCs w:val="21"/>
                <w:highlight w:val="none"/>
                <w:u w:val="none" w:color="auto"/>
              </w:rPr>
            </w:pPr>
          </w:p>
        </w:tc>
        <w:tc>
          <w:tcPr>
            <w:tcW w:w="408" w:type="pct"/>
            <w:tcBorders>
              <w:tl2br w:val="nil"/>
              <w:tr2bl w:val="nil"/>
            </w:tcBorders>
            <w:noWrap w:val="0"/>
            <w:vAlign w:val="center"/>
          </w:tcPr>
          <w:p w14:paraId="33F0D8F4">
            <w:pPr>
              <w:contextualSpacing/>
              <w:jc w:val="center"/>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rPr>
              <w:t>3</w:t>
            </w:r>
          </w:p>
        </w:tc>
        <w:tc>
          <w:tcPr>
            <w:tcW w:w="1215" w:type="pct"/>
            <w:gridSpan w:val="3"/>
            <w:tcBorders>
              <w:tl2br w:val="nil"/>
              <w:tr2bl w:val="nil"/>
            </w:tcBorders>
            <w:noWrap w:val="0"/>
            <w:vAlign w:val="center"/>
          </w:tcPr>
          <w:p w14:paraId="3C8D6726">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永济新镇保障性住房</w:t>
            </w:r>
          </w:p>
        </w:tc>
        <w:tc>
          <w:tcPr>
            <w:tcW w:w="600" w:type="pct"/>
            <w:gridSpan w:val="2"/>
            <w:tcBorders>
              <w:tl2br w:val="nil"/>
              <w:tr2bl w:val="nil"/>
            </w:tcBorders>
            <w:noWrap w:val="0"/>
            <w:vAlign w:val="center"/>
          </w:tcPr>
          <w:p w14:paraId="40D77433">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西</w:t>
            </w:r>
          </w:p>
        </w:tc>
        <w:tc>
          <w:tcPr>
            <w:tcW w:w="688" w:type="pct"/>
            <w:gridSpan w:val="2"/>
            <w:tcBorders>
              <w:tl2br w:val="nil"/>
              <w:tr2bl w:val="nil"/>
            </w:tcBorders>
            <w:noWrap w:val="0"/>
            <w:vAlign w:val="center"/>
          </w:tcPr>
          <w:p w14:paraId="622FF65C">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u w:val="none" w:color="auto"/>
                <w:lang w:val="en-US" w:eastAsia="zh-CN" w:bidi="ar"/>
              </w:rPr>
            </w:pPr>
            <w:r>
              <w:rPr>
                <w:rFonts w:hint="default" w:ascii="Times New Roman" w:hAnsi="Times New Roman" w:eastAsia="宋体" w:cs="Times New Roman"/>
                <w:color w:val="auto"/>
                <w:kern w:val="0"/>
                <w:sz w:val="21"/>
                <w:szCs w:val="21"/>
                <w:u w:val="none" w:color="auto"/>
                <w:lang w:val="en-US" w:eastAsia="zh-CN" w:bidi="ar"/>
              </w:rPr>
              <w:t>147~292</w:t>
            </w:r>
          </w:p>
        </w:tc>
        <w:tc>
          <w:tcPr>
            <w:tcW w:w="854" w:type="pct"/>
            <w:gridSpan w:val="2"/>
            <w:vMerge w:val="continue"/>
            <w:tcBorders>
              <w:tl2br w:val="nil"/>
              <w:tr2bl w:val="nil"/>
            </w:tcBorders>
            <w:noWrap w:val="0"/>
            <w:vAlign w:val="center"/>
          </w:tcPr>
          <w:p w14:paraId="5F201291">
            <w:pPr>
              <w:jc w:val="center"/>
              <w:rPr>
                <w:rFonts w:hint="default" w:ascii="Times New Roman" w:hAnsi="Times New Roman" w:eastAsia="宋体" w:cs="Times New Roman"/>
                <w:color w:val="auto"/>
                <w:kern w:val="2"/>
                <w:sz w:val="21"/>
                <w:szCs w:val="21"/>
                <w:highlight w:val="none"/>
                <w:u w:val="none" w:color="auto"/>
                <w:lang w:val="en-US" w:eastAsia="zh-CN" w:bidi="ar-SA"/>
              </w:rPr>
            </w:pPr>
          </w:p>
        </w:tc>
        <w:tc>
          <w:tcPr>
            <w:tcW w:w="766" w:type="pct"/>
            <w:tcBorders>
              <w:tl2br w:val="nil"/>
              <w:tr2bl w:val="nil"/>
            </w:tcBorders>
            <w:noWrap w:val="0"/>
            <w:vAlign w:val="center"/>
          </w:tcPr>
          <w:p w14:paraId="3C72C07F">
            <w:pPr>
              <w:keepNext w:val="0"/>
              <w:keepLines w:val="0"/>
              <w:widowControl/>
              <w:suppressLineNumbers w:val="0"/>
              <w:jc w:val="center"/>
              <w:textAlignment w:val="center"/>
              <w:rPr>
                <w:rFonts w:hint="default" w:ascii="Times New Roman" w:hAnsi="Times New Roman" w:eastAsia="宋体" w:cs="Times New Roman"/>
                <w:color w:val="auto"/>
                <w:szCs w:val="21"/>
                <w:highlight w:val="none"/>
                <w:u w:val="none" w:color="auto"/>
                <w:lang w:val="en-US" w:eastAsia="zh-CN"/>
              </w:rPr>
            </w:pPr>
            <w:r>
              <w:rPr>
                <w:rFonts w:hint="default" w:ascii="Times New Roman" w:hAnsi="Times New Roman" w:eastAsia="宋体" w:cs="Times New Roman"/>
                <w:i w:val="0"/>
                <w:iCs w:val="0"/>
                <w:color w:val="auto"/>
                <w:kern w:val="0"/>
                <w:sz w:val="21"/>
                <w:szCs w:val="21"/>
                <w:u w:val="none" w:color="auto"/>
                <w:lang w:val="en-US" w:eastAsia="zh-CN" w:bidi="ar"/>
              </w:rPr>
              <w:t>约1554</w:t>
            </w:r>
          </w:p>
        </w:tc>
      </w:tr>
      <w:tr w14:paraId="5554FF7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66" w:type="pct"/>
            <w:vMerge w:val="continue"/>
            <w:tcBorders>
              <w:tl2br w:val="nil"/>
              <w:tr2bl w:val="nil"/>
            </w:tcBorders>
            <w:noWrap w:val="0"/>
            <w:vAlign w:val="center"/>
          </w:tcPr>
          <w:p w14:paraId="03082090">
            <w:pPr>
              <w:contextualSpacing/>
              <w:jc w:val="center"/>
              <w:rPr>
                <w:rFonts w:hint="default" w:ascii="Times New Roman" w:hAnsi="Times New Roman" w:eastAsia="宋体" w:cs="Times New Roman"/>
                <w:color w:val="auto"/>
                <w:szCs w:val="21"/>
                <w:highlight w:val="none"/>
                <w:u w:val="none" w:color="auto"/>
              </w:rPr>
            </w:pPr>
          </w:p>
        </w:tc>
        <w:tc>
          <w:tcPr>
            <w:tcW w:w="408" w:type="pct"/>
            <w:tcBorders>
              <w:tl2br w:val="nil"/>
              <w:tr2bl w:val="nil"/>
            </w:tcBorders>
            <w:noWrap w:val="0"/>
            <w:vAlign w:val="center"/>
          </w:tcPr>
          <w:p w14:paraId="0316F6AC">
            <w:pPr>
              <w:contextualSpacing/>
              <w:jc w:val="center"/>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rPr>
              <w:t>4</w:t>
            </w:r>
          </w:p>
        </w:tc>
        <w:tc>
          <w:tcPr>
            <w:tcW w:w="1215" w:type="pct"/>
            <w:gridSpan w:val="3"/>
            <w:tcBorders>
              <w:tl2br w:val="nil"/>
              <w:tr2bl w:val="nil"/>
            </w:tcBorders>
            <w:noWrap w:val="0"/>
            <w:vAlign w:val="center"/>
          </w:tcPr>
          <w:p w14:paraId="7871E0D8">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杨树港村居民点</w:t>
            </w:r>
          </w:p>
        </w:tc>
        <w:tc>
          <w:tcPr>
            <w:tcW w:w="600" w:type="pct"/>
            <w:gridSpan w:val="2"/>
            <w:tcBorders>
              <w:tl2br w:val="nil"/>
              <w:tr2bl w:val="nil"/>
            </w:tcBorders>
            <w:noWrap w:val="0"/>
            <w:vAlign w:val="center"/>
          </w:tcPr>
          <w:p w14:paraId="2069D2E3">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西南</w:t>
            </w:r>
          </w:p>
        </w:tc>
        <w:tc>
          <w:tcPr>
            <w:tcW w:w="688" w:type="pct"/>
            <w:gridSpan w:val="2"/>
            <w:tcBorders>
              <w:tl2br w:val="nil"/>
              <w:tr2bl w:val="nil"/>
            </w:tcBorders>
            <w:noWrap w:val="0"/>
            <w:vAlign w:val="center"/>
          </w:tcPr>
          <w:p w14:paraId="6270E776">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568~796</w:t>
            </w:r>
          </w:p>
        </w:tc>
        <w:tc>
          <w:tcPr>
            <w:tcW w:w="854" w:type="pct"/>
            <w:gridSpan w:val="2"/>
            <w:vMerge w:val="continue"/>
            <w:tcBorders>
              <w:tl2br w:val="nil"/>
              <w:tr2bl w:val="nil"/>
            </w:tcBorders>
            <w:noWrap w:val="0"/>
            <w:vAlign w:val="center"/>
          </w:tcPr>
          <w:p w14:paraId="6C68957B">
            <w:pPr>
              <w:jc w:val="center"/>
              <w:rPr>
                <w:rFonts w:hint="default" w:ascii="Times New Roman" w:hAnsi="Times New Roman" w:eastAsia="宋体" w:cs="Times New Roman"/>
                <w:color w:val="auto"/>
                <w:kern w:val="2"/>
                <w:sz w:val="21"/>
                <w:szCs w:val="21"/>
                <w:highlight w:val="none"/>
                <w:u w:val="none" w:color="auto"/>
                <w:lang w:val="en-US" w:eastAsia="zh-CN" w:bidi="ar-SA"/>
              </w:rPr>
            </w:pPr>
          </w:p>
        </w:tc>
        <w:tc>
          <w:tcPr>
            <w:tcW w:w="766" w:type="pct"/>
            <w:tcBorders>
              <w:tl2br w:val="nil"/>
              <w:tr2bl w:val="nil"/>
            </w:tcBorders>
            <w:noWrap w:val="0"/>
            <w:vAlign w:val="center"/>
          </w:tcPr>
          <w:p w14:paraId="3774C50B">
            <w:pPr>
              <w:keepNext w:val="0"/>
              <w:keepLines w:val="0"/>
              <w:widowControl/>
              <w:suppressLineNumbers w:val="0"/>
              <w:jc w:val="center"/>
              <w:textAlignment w:val="center"/>
              <w:rPr>
                <w:rFonts w:hint="default" w:ascii="Times New Roman" w:hAnsi="Times New Roman" w:eastAsia="宋体" w:cs="Times New Roman"/>
                <w:color w:val="auto"/>
                <w:szCs w:val="21"/>
                <w:highlight w:val="none"/>
                <w:u w:val="none" w:color="auto"/>
                <w:lang w:val="en-US" w:eastAsia="zh-CN"/>
              </w:rPr>
            </w:pPr>
            <w:r>
              <w:rPr>
                <w:rFonts w:hint="default" w:ascii="Times New Roman" w:hAnsi="Times New Roman" w:eastAsia="宋体" w:cs="Times New Roman"/>
                <w:i w:val="0"/>
                <w:iCs w:val="0"/>
                <w:color w:val="auto"/>
                <w:kern w:val="0"/>
                <w:sz w:val="21"/>
                <w:szCs w:val="21"/>
                <w:u w:val="none" w:color="auto"/>
                <w:lang w:val="en-US" w:eastAsia="zh-CN" w:bidi="ar"/>
              </w:rPr>
              <w:t>约700</w:t>
            </w:r>
          </w:p>
        </w:tc>
      </w:tr>
      <w:tr w14:paraId="5313679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66" w:type="pct"/>
            <w:vMerge w:val="continue"/>
            <w:tcBorders>
              <w:tl2br w:val="nil"/>
              <w:tr2bl w:val="nil"/>
            </w:tcBorders>
            <w:noWrap w:val="0"/>
            <w:vAlign w:val="center"/>
          </w:tcPr>
          <w:p w14:paraId="7C46787E">
            <w:pPr>
              <w:contextualSpacing/>
              <w:jc w:val="center"/>
              <w:rPr>
                <w:rFonts w:hint="default" w:ascii="Times New Roman" w:hAnsi="Times New Roman" w:eastAsia="宋体" w:cs="Times New Roman"/>
                <w:color w:val="auto"/>
                <w:szCs w:val="21"/>
                <w:highlight w:val="none"/>
                <w:u w:val="none" w:color="auto"/>
              </w:rPr>
            </w:pPr>
          </w:p>
        </w:tc>
        <w:tc>
          <w:tcPr>
            <w:tcW w:w="408" w:type="pct"/>
            <w:tcBorders>
              <w:tl2br w:val="nil"/>
              <w:tr2bl w:val="nil"/>
            </w:tcBorders>
            <w:noWrap w:val="0"/>
            <w:vAlign w:val="center"/>
          </w:tcPr>
          <w:p w14:paraId="060DFDA0">
            <w:pPr>
              <w:contextualSpacing/>
              <w:jc w:val="center"/>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rPr>
              <w:t>5</w:t>
            </w:r>
          </w:p>
        </w:tc>
        <w:tc>
          <w:tcPr>
            <w:tcW w:w="1215" w:type="pct"/>
            <w:gridSpan w:val="3"/>
            <w:tcBorders>
              <w:tl2br w:val="nil"/>
              <w:tr2bl w:val="nil"/>
            </w:tcBorders>
            <w:noWrap w:val="0"/>
            <w:vAlign w:val="center"/>
          </w:tcPr>
          <w:p w14:paraId="605D9031">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三五一七公租房（未投入使用）</w:t>
            </w:r>
          </w:p>
        </w:tc>
        <w:tc>
          <w:tcPr>
            <w:tcW w:w="600" w:type="pct"/>
            <w:gridSpan w:val="2"/>
            <w:tcBorders>
              <w:tl2br w:val="nil"/>
              <w:tr2bl w:val="nil"/>
            </w:tcBorders>
            <w:noWrap w:val="0"/>
            <w:vAlign w:val="center"/>
          </w:tcPr>
          <w:p w14:paraId="5A2F1AB6">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东北</w:t>
            </w:r>
          </w:p>
        </w:tc>
        <w:tc>
          <w:tcPr>
            <w:tcW w:w="688" w:type="pct"/>
            <w:gridSpan w:val="2"/>
            <w:tcBorders>
              <w:tl2br w:val="nil"/>
              <w:tr2bl w:val="nil"/>
            </w:tcBorders>
            <w:noWrap w:val="0"/>
            <w:vAlign w:val="center"/>
          </w:tcPr>
          <w:p w14:paraId="15055F88">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u w:val="none" w:color="auto"/>
                <w:lang w:val="en-US" w:eastAsia="zh-CN" w:bidi="ar"/>
              </w:rPr>
            </w:pPr>
            <w:r>
              <w:rPr>
                <w:rFonts w:hint="default" w:ascii="Times New Roman" w:hAnsi="Times New Roman" w:eastAsia="宋体" w:cs="Times New Roman"/>
                <w:color w:val="auto"/>
                <w:kern w:val="0"/>
                <w:sz w:val="21"/>
                <w:szCs w:val="21"/>
                <w:u w:val="none" w:color="auto"/>
                <w:lang w:val="en-US" w:eastAsia="zh-CN" w:bidi="ar"/>
              </w:rPr>
              <w:t>350~434</w:t>
            </w:r>
          </w:p>
        </w:tc>
        <w:tc>
          <w:tcPr>
            <w:tcW w:w="854" w:type="pct"/>
            <w:gridSpan w:val="2"/>
            <w:vMerge w:val="continue"/>
            <w:tcBorders>
              <w:tl2br w:val="nil"/>
              <w:tr2bl w:val="nil"/>
            </w:tcBorders>
            <w:noWrap w:val="0"/>
            <w:vAlign w:val="center"/>
          </w:tcPr>
          <w:p w14:paraId="315496A5">
            <w:pPr>
              <w:jc w:val="center"/>
              <w:rPr>
                <w:rFonts w:hint="default" w:ascii="Times New Roman" w:hAnsi="Times New Roman" w:eastAsia="宋体" w:cs="Times New Roman"/>
                <w:color w:val="auto"/>
                <w:kern w:val="2"/>
                <w:sz w:val="21"/>
                <w:szCs w:val="21"/>
                <w:highlight w:val="none"/>
                <w:u w:val="none" w:color="auto"/>
                <w:lang w:val="en-US" w:eastAsia="zh-CN" w:bidi="ar-SA"/>
              </w:rPr>
            </w:pPr>
          </w:p>
        </w:tc>
        <w:tc>
          <w:tcPr>
            <w:tcW w:w="766" w:type="pct"/>
            <w:tcBorders>
              <w:tl2br w:val="nil"/>
              <w:tr2bl w:val="nil"/>
            </w:tcBorders>
            <w:noWrap w:val="0"/>
            <w:vAlign w:val="center"/>
          </w:tcPr>
          <w:p w14:paraId="529A581A">
            <w:pPr>
              <w:keepNext w:val="0"/>
              <w:keepLines w:val="0"/>
              <w:widowControl/>
              <w:suppressLineNumbers w:val="0"/>
              <w:jc w:val="center"/>
              <w:textAlignment w:val="center"/>
              <w:rPr>
                <w:rFonts w:hint="default" w:ascii="Times New Roman" w:hAnsi="Times New Roman" w:eastAsia="宋体" w:cs="Times New Roman"/>
                <w:color w:val="auto"/>
                <w:szCs w:val="21"/>
                <w:highlight w:val="none"/>
                <w:u w:val="none" w:color="auto"/>
                <w:lang w:val="en-US" w:eastAsia="zh-CN"/>
              </w:rPr>
            </w:pPr>
            <w:r>
              <w:rPr>
                <w:rFonts w:hint="default" w:ascii="Times New Roman" w:hAnsi="Times New Roman" w:eastAsia="宋体" w:cs="Times New Roman"/>
                <w:i w:val="0"/>
                <w:iCs w:val="0"/>
                <w:color w:val="auto"/>
                <w:kern w:val="0"/>
                <w:sz w:val="21"/>
                <w:szCs w:val="21"/>
                <w:u w:val="none" w:color="auto"/>
                <w:lang w:val="en-US" w:eastAsia="zh-CN" w:bidi="ar"/>
              </w:rPr>
              <w:t>/</w:t>
            </w:r>
          </w:p>
        </w:tc>
      </w:tr>
      <w:tr w14:paraId="3C32CD9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66" w:type="pct"/>
            <w:vMerge w:val="continue"/>
            <w:tcBorders>
              <w:tl2br w:val="nil"/>
              <w:tr2bl w:val="nil"/>
            </w:tcBorders>
            <w:noWrap w:val="0"/>
            <w:vAlign w:val="center"/>
          </w:tcPr>
          <w:p w14:paraId="233F559E">
            <w:pPr>
              <w:contextualSpacing/>
              <w:jc w:val="center"/>
              <w:rPr>
                <w:rFonts w:hint="default" w:ascii="Times New Roman" w:hAnsi="Times New Roman" w:eastAsia="宋体" w:cs="Times New Roman"/>
                <w:color w:val="auto"/>
                <w:szCs w:val="21"/>
                <w:highlight w:val="none"/>
                <w:u w:val="none" w:color="auto"/>
              </w:rPr>
            </w:pPr>
          </w:p>
        </w:tc>
        <w:tc>
          <w:tcPr>
            <w:tcW w:w="408" w:type="pct"/>
            <w:tcBorders>
              <w:tl2br w:val="nil"/>
              <w:tr2bl w:val="nil"/>
            </w:tcBorders>
            <w:noWrap w:val="0"/>
            <w:vAlign w:val="center"/>
          </w:tcPr>
          <w:p w14:paraId="08E6C8E5">
            <w:pPr>
              <w:contextualSpacing/>
              <w:jc w:val="center"/>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rPr>
              <w:t>6</w:t>
            </w:r>
          </w:p>
        </w:tc>
        <w:tc>
          <w:tcPr>
            <w:tcW w:w="1215" w:type="pct"/>
            <w:gridSpan w:val="3"/>
            <w:tcBorders>
              <w:tl2br w:val="nil"/>
              <w:tr2bl w:val="nil"/>
            </w:tcBorders>
            <w:noWrap w:val="0"/>
            <w:vAlign w:val="center"/>
          </w:tcPr>
          <w:p w14:paraId="79C1C9A4">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i w:val="0"/>
                <w:iCs w:val="0"/>
                <w:color w:val="auto"/>
                <w:kern w:val="0"/>
                <w:sz w:val="21"/>
                <w:szCs w:val="21"/>
                <w:u w:val="none" w:color="auto"/>
                <w:lang w:val="en-US" w:eastAsia="zh-CN" w:bidi="ar"/>
              </w:rPr>
              <w:t>凌泊湖安置小区</w:t>
            </w:r>
          </w:p>
        </w:tc>
        <w:tc>
          <w:tcPr>
            <w:tcW w:w="600" w:type="pct"/>
            <w:gridSpan w:val="2"/>
            <w:tcBorders>
              <w:tl2br w:val="nil"/>
              <w:tr2bl w:val="nil"/>
            </w:tcBorders>
            <w:noWrap w:val="0"/>
            <w:vAlign w:val="center"/>
          </w:tcPr>
          <w:p w14:paraId="73C9B81A">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i w:val="0"/>
                <w:iCs w:val="0"/>
                <w:color w:val="auto"/>
                <w:kern w:val="0"/>
                <w:sz w:val="21"/>
                <w:szCs w:val="21"/>
                <w:u w:val="none" w:color="auto"/>
                <w:lang w:val="en-US" w:eastAsia="zh-CN" w:bidi="ar"/>
              </w:rPr>
              <w:t>东南</w:t>
            </w:r>
          </w:p>
        </w:tc>
        <w:tc>
          <w:tcPr>
            <w:tcW w:w="688" w:type="pct"/>
            <w:gridSpan w:val="2"/>
            <w:tcBorders>
              <w:tl2br w:val="nil"/>
              <w:tr2bl w:val="nil"/>
            </w:tcBorders>
            <w:noWrap w:val="0"/>
            <w:vAlign w:val="center"/>
          </w:tcPr>
          <w:p w14:paraId="1920DEF8">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i w:val="0"/>
                <w:iCs w:val="0"/>
                <w:color w:val="auto"/>
                <w:kern w:val="0"/>
                <w:sz w:val="21"/>
                <w:szCs w:val="21"/>
                <w:u w:val="none" w:color="auto"/>
                <w:lang w:val="en-US" w:eastAsia="zh-CN" w:bidi="ar"/>
              </w:rPr>
              <w:t>1236~1857</w:t>
            </w:r>
          </w:p>
        </w:tc>
        <w:tc>
          <w:tcPr>
            <w:tcW w:w="854" w:type="pct"/>
            <w:gridSpan w:val="2"/>
            <w:vMerge w:val="continue"/>
            <w:tcBorders>
              <w:tl2br w:val="nil"/>
              <w:tr2bl w:val="nil"/>
            </w:tcBorders>
            <w:noWrap w:val="0"/>
            <w:vAlign w:val="center"/>
          </w:tcPr>
          <w:p w14:paraId="6907825E">
            <w:pPr>
              <w:jc w:val="center"/>
              <w:rPr>
                <w:rFonts w:hint="default" w:ascii="Times New Roman" w:hAnsi="Times New Roman" w:eastAsia="宋体" w:cs="Times New Roman"/>
                <w:color w:val="auto"/>
                <w:kern w:val="2"/>
                <w:sz w:val="21"/>
                <w:szCs w:val="21"/>
                <w:highlight w:val="none"/>
                <w:u w:val="none" w:color="auto"/>
                <w:lang w:val="en-US" w:eastAsia="zh-CN" w:bidi="ar-SA"/>
              </w:rPr>
            </w:pPr>
          </w:p>
        </w:tc>
        <w:tc>
          <w:tcPr>
            <w:tcW w:w="766" w:type="pct"/>
            <w:tcBorders>
              <w:tl2br w:val="nil"/>
              <w:tr2bl w:val="nil"/>
            </w:tcBorders>
            <w:noWrap w:val="0"/>
            <w:vAlign w:val="center"/>
          </w:tcPr>
          <w:p w14:paraId="1EF404CD">
            <w:pPr>
              <w:keepNext w:val="0"/>
              <w:keepLines w:val="0"/>
              <w:widowControl/>
              <w:suppressLineNumbers w:val="0"/>
              <w:jc w:val="center"/>
              <w:textAlignment w:val="center"/>
              <w:rPr>
                <w:rFonts w:hint="default" w:ascii="Times New Roman" w:hAnsi="Times New Roman" w:eastAsia="宋体" w:cs="Times New Roman"/>
                <w:color w:val="auto"/>
                <w:szCs w:val="21"/>
                <w:highlight w:val="none"/>
                <w:u w:val="none" w:color="auto"/>
                <w:lang w:val="en-US" w:eastAsia="zh-CN"/>
              </w:rPr>
            </w:pPr>
            <w:r>
              <w:rPr>
                <w:rFonts w:hint="default" w:ascii="Times New Roman" w:hAnsi="Times New Roman" w:eastAsia="宋体" w:cs="Times New Roman"/>
                <w:i w:val="0"/>
                <w:iCs w:val="0"/>
                <w:color w:val="auto"/>
                <w:kern w:val="0"/>
                <w:sz w:val="21"/>
                <w:szCs w:val="21"/>
                <w:u w:val="none" w:color="auto"/>
                <w:lang w:val="en-US" w:eastAsia="zh-CN" w:bidi="ar"/>
              </w:rPr>
              <w:t>约1750</w:t>
            </w:r>
          </w:p>
        </w:tc>
      </w:tr>
      <w:tr w14:paraId="2FE7E16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66" w:type="pct"/>
            <w:vMerge w:val="continue"/>
            <w:tcBorders>
              <w:tl2br w:val="nil"/>
              <w:tr2bl w:val="nil"/>
            </w:tcBorders>
            <w:noWrap w:val="0"/>
            <w:vAlign w:val="center"/>
          </w:tcPr>
          <w:p w14:paraId="610E9746">
            <w:pPr>
              <w:contextualSpacing/>
              <w:jc w:val="center"/>
              <w:rPr>
                <w:rFonts w:hint="default" w:ascii="Times New Roman" w:hAnsi="Times New Roman" w:eastAsia="宋体" w:cs="Times New Roman"/>
                <w:color w:val="auto"/>
                <w:szCs w:val="21"/>
                <w:highlight w:val="none"/>
                <w:u w:val="none" w:color="auto"/>
              </w:rPr>
            </w:pPr>
          </w:p>
        </w:tc>
        <w:tc>
          <w:tcPr>
            <w:tcW w:w="408" w:type="pct"/>
            <w:tcBorders>
              <w:tl2br w:val="nil"/>
              <w:tr2bl w:val="nil"/>
            </w:tcBorders>
            <w:noWrap w:val="0"/>
            <w:vAlign w:val="center"/>
          </w:tcPr>
          <w:p w14:paraId="5B0075A0">
            <w:pPr>
              <w:contextualSpacing/>
              <w:jc w:val="center"/>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rPr>
              <w:t>7</w:t>
            </w:r>
          </w:p>
        </w:tc>
        <w:tc>
          <w:tcPr>
            <w:tcW w:w="1215" w:type="pct"/>
            <w:gridSpan w:val="3"/>
            <w:tcBorders>
              <w:tl2br w:val="nil"/>
              <w:tr2bl w:val="nil"/>
            </w:tcBorders>
            <w:noWrap w:val="0"/>
            <w:vAlign w:val="center"/>
          </w:tcPr>
          <w:p w14:paraId="55F52CCB">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rPr>
              <w:t>岳阳现代服务职业学院</w:t>
            </w:r>
          </w:p>
        </w:tc>
        <w:tc>
          <w:tcPr>
            <w:tcW w:w="600" w:type="pct"/>
            <w:gridSpan w:val="2"/>
            <w:tcBorders>
              <w:tl2br w:val="nil"/>
              <w:tr2bl w:val="nil"/>
            </w:tcBorders>
            <w:noWrap w:val="0"/>
            <w:vAlign w:val="center"/>
          </w:tcPr>
          <w:p w14:paraId="451A054E">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i w:val="0"/>
                <w:iCs w:val="0"/>
                <w:color w:val="auto"/>
                <w:kern w:val="0"/>
                <w:sz w:val="21"/>
                <w:szCs w:val="21"/>
                <w:u w:val="none" w:color="auto"/>
                <w:lang w:val="en-US" w:eastAsia="zh-CN" w:bidi="ar"/>
              </w:rPr>
              <w:t>东</w:t>
            </w:r>
          </w:p>
        </w:tc>
        <w:tc>
          <w:tcPr>
            <w:tcW w:w="688" w:type="pct"/>
            <w:gridSpan w:val="2"/>
            <w:tcBorders>
              <w:tl2br w:val="nil"/>
              <w:tr2bl w:val="nil"/>
            </w:tcBorders>
            <w:noWrap w:val="0"/>
            <w:vAlign w:val="center"/>
          </w:tcPr>
          <w:p w14:paraId="6F02EB5E">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i w:val="0"/>
                <w:iCs w:val="0"/>
                <w:color w:val="auto"/>
                <w:kern w:val="0"/>
                <w:sz w:val="21"/>
                <w:szCs w:val="21"/>
                <w:u w:val="none" w:color="auto"/>
                <w:lang w:val="en-US" w:eastAsia="zh-CN" w:bidi="ar"/>
              </w:rPr>
              <w:t>1557~2684</w:t>
            </w:r>
          </w:p>
        </w:tc>
        <w:tc>
          <w:tcPr>
            <w:tcW w:w="854" w:type="pct"/>
            <w:gridSpan w:val="2"/>
            <w:vMerge w:val="restart"/>
            <w:tcBorders>
              <w:tl2br w:val="nil"/>
              <w:tr2bl w:val="nil"/>
            </w:tcBorders>
            <w:noWrap w:val="0"/>
            <w:vAlign w:val="center"/>
          </w:tcPr>
          <w:p w14:paraId="7DD6868F">
            <w:pPr>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师生</w:t>
            </w:r>
          </w:p>
        </w:tc>
        <w:tc>
          <w:tcPr>
            <w:tcW w:w="766" w:type="pct"/>
            <w:tcBorders>
              <w:tl2br w:val="nil"/>
              <w:tr2bl w:val="nil"/>
            </w:tcBorders>
            <w:noWrap w:val="0"/>
            <w:vAlign w:val="center"/>
          </w:tcPr>
          <w:p w14:paraId="1E0495F5">
            <w:pPr>
              <w:keepNext w:val="0"/>
              <w:keepLines w:val="0"/>
              <w:widowControl/>
              <w:suppressLineNumbers w:val="0"/>
              <w:jc w:val="center"/>
              <w:textAlignment w:val="center"/>
              <w:rPr>
                <w:rFonts w:hint="default" w:ascii="Times New Roman" w:hAnsi="Times New Roman" w:eastAsia="宋体" w:cs="Times New Roman"/>
                <w:color w:val="auto"/>
                <w:szCs w:val="21"/>
                <w:highlight w:val="none"/>
                <w:u w:val="none" w:color="auto"/>
                <w:lang w:val="en-US" w:eastAsia="zh-CN"/>
              </w:rPr>
            </w:pPr>
            <w:r>
              <w:rPr>
                <w:rFonts w:hint="default" w:ascii="Times New Roman" w:hAnsi="Times New Roman" w:eastAsia="宋体" w:cs="Times New Roman"/>
                <w:i w:val="0"/>
                <w:iCs w:val="0"/>
                <w:color w:val="auto"/>
                <w:kern w:val="0"/>
                <w:sz w:val="21"/>
                <w:szCs w:val="21"/>
                <w:u w:val="none" w:color="auto"/>
                <w:lang w:val="en-US" w:eastAsia="zh-CN" w:bidi="ar"/>
              </w:rPr>
              <w:t>约3000</w:t>
            </w:r>
          </w:p>
        </w:tc>
      </w:tr>
      <w:tr w14:paraId="41F840F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66" w:type="pct"/>
            <w:vMerge w:val="continue"/>
            <w:tcBorders>
              <w:tl2br w:val="nil"/>
              <w:tr2bl w:val="nil"/>
            </w:tcBorders>
            <w:noWrap w:val="0"/>
            <w:vAlign w:val="center"/>
          </w:tcPr>
          <w:p w14:paraId="1CAB01DB">
            <w:pPr>
              <w:contextualSpacing/>
              <w:jc w:val="center"/>
              <w:rPr>
                <w:rFonts w:hint="default" w:ascii="Times New Roman" w:hAnsi="Times New Roman" w:eastAsia="宋体" w:cs="Times New Roman"/>
                <w:color w:val="auto"/>
                <w:szCs w:val="21"/>
                <w:highlight w:val="none"/>
                <w:u w:val="none" w:color="auto"/>
              </w:rPr>
            </w:pPr>
          </w:p>
        </w:tc>
        <w:tc>
          <w:tcPr>
            <w:tcW w:w="408" w:type="pct"/>
            <w:tcBorders>
              <w:tl2br w:val="nil"/>
              <w:tr2bl w:val="nil"/>
            </w:tcBorders>
            <w:noWrap w:val="0"/>
            <w:vAlign w:val="center"/>
          </w:tcPr>
          <w:p w14:paraId="6D661D96">
            <w:pPr>
              <w:contextualSpacing/>
              <w:jc w:val="center"/>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rPr>
              <w:t>8</w:t>
            </w:r>
          </w:p>
        </w:tc>
        <w:tc>
          <w:tcPr>
            <w:tcW w:w="1215" w:type="pct"/>
            <w:gridSpan w:val="3"/>
            <w:tcBorders>
              <w:tl2br w:val="nil"/>
              <w:tr2bl w:val="nil"/>
            </w:tcBorders>
            <w:noWrap w:val="0"/>
            <w:vAlign w:val="center"/>
          </w:tcPr>
          <w:p w14:paraId="30CBFFE0">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永济中学（位于凌泊湖安置小区内）</w:t>
            </w:r>
          </w:p>
        </w:tc>
        <w:tc>
          <w:tcPr>
            <w:tcW w:w="600" w:type="pct"/>
            <w:gridSpan w:val="2"/>
            <w:tcBorders>
              <w:tl2br w:val="nil"/>
              <w:tr2bl w:val="nil"/>
            </w:tcBorders>
            <w:noWrap w:val="0"/>
            <w:vAlign w:val="center"/>
          </w:tcPr>
          <w:p w14:paraId="7927F032">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i w:val="0"/>
                <w:iCs w:val="0"/>
                <w:color w:val="auto"/>
                <w:kern w:val="0"/>
                <w:sz w:val="21"/>
                <w:szCs w:val="21"/>
                <w:u w:val="none" w:color="auto"/>
                <w:lang w:val="en-US" w:eastAsia="zh-CN" w:bidi="ar"/>
              </w:rPr>
              <w:t>东南</w:t>
            </w:r>
          </w:p>
        </w:tc>
        <w:tc>
          <w:tcPr>
            <w:tcW w:w="688" w:type="pct"/>
            <w:gridSpan w:val="2"/>
            <w:tcBorders>
              <w:tl2br w:val="nil"/>
              <w:tr2bl w:val="nil"/>
            </w:tcBorders>
            <w:noWrap w:val="0"/>
            <w:vAlign w:val="center"/>
          </w:tcPr>
          <w:p w14:paraId="5956A07F">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i w:val="0"/>
                <w:iCs w:val="0"/>
                <w:color w:val="auto"/>
                <w:kern w:val="0"/>
                <w:sz w:val="21"/>
                <w:szCs w:val="21"/>
                <w:u w:val="none" w:color="auto"/>
                <w:lang w:val="en-US" w:eastAsia="zh-CN" w:bidi="ar"/>
              </w:rPr>
              <w:t>1553~1739</w:t>
            </w:r>
          </w:p>
        </w:tc>
        <w:tc>
          <w:tcPr>
            <w:tcW w:w="854" w:type="pct"/>
            <w:gridSpan w:val="2"/>
            <w:vMerge w:val="continue"/>
            <w:tcBorders>
              <w:tl2br w:val="nil"/>
              <w:tr2bl w:val="nil"/>
            </w:tcBorders>
            <w:noWrap w:val="0"/>
            <w:vAlign w:val="center"/>
          </w:tcPr>
          <w:p w14:paraId="1E82408F">
            <w:pPr>
              <w:jc w:val="center"/>
              <w:rPr>
                <w:rFonts w:hint="default" w:ascii="Times New Roman" w:hAnsi="Times New Roman" w:eastAsia="宋体" w:cs="Times New Roman"/>
                <w:color w:val="auto"/>
                <w:kern w:val="2"/>
                <w:sz w:val="21"/>
                <w:szCs w:val="21"/>
                <w:highlight w:val="none"/>
                <w:u w:val="none" w:color="auto"/>
                <w:lang w:val="en-US" w:eastAsia="zh-CN" w:bidi="ar-SA"/>
              </w:rPr>
            </w:pPr>
          </w:p>
        </w:tc>
        <w:tc>
          <w:tcPr>
            <w:tcW w:w="766" w:type="pct"/>
            <w:tcBorders>
              <w:tl2br w:val="nil"/>
              <w:tr2bl w:val="nil"/>
            </w:tcBorders>
            <w:noWrap w:val="0"/>
            <w:vAlign w:val="center"/>
          </w:tcPr>
          <w:p w14:paraId="44FA28D1">
            <w:pPr>
              <w:keepNext w:val="0"/>
              <w:keepLines w:val="0"/>
              <w:widowControl/>
              <w:suppressLineNumbers w:val="0"/>
              <w:jc w:val="center"/>
              <w:textAlignment w:val="center"/>
              <w:rPr>
                <w:rFonts w:hint="default" w:ascii="Times New Roman" w:hAnsi="Times New Roman" w:eastAsia="宋体" w:cs="Times New Roman"/>
                <w:color w:val="auto"/>
                <w:szCs w:val="21"/>
                <w:highlight w:val="none"/>
                <w:u w:val="none" w:color="auto"/>
                <w:lang w:val="en-US" w:eastAsia="zh-CN"/>
              </w:rPr>
            </w:pPr>
            <w:r>
              <w:rPr>
                <w:rFonts w:hint="default" w:ascii="Times New Roman" w:hAnsi="Times New Roman" w:eastAsia="宋体" w:cs="Times New Roman"/>
                <w:i w:val="0"/>
                <w:iCs w:val="0"/>
                <w:color w:val="auto"/>
                <w:kern w:val="0"/>
                <w:sz w:val="21"/>
                <w:szCs w:val="21"/>
                <w:u w:val="none" w:color="auto"/>
                <w:lang w:val="en-US" w:eastAsia="zh-CN" w:bidi="ar"/>
              </w:rPr>
              <w:t>约</w:t>
            </w:r>
            <w:r>
              <w:rPr>
                <w:rFonts w:hint="default" w:ascii="Times New Roman" w:hAnsi="Times New Roman" w:eastAsia="宋体" w:cs="Times New Roman"/>
                <w:i w:val="0"/>
                <w:iCs w:val="0"/>
                <w:color w:val="auto"/>
                <w:kern w:val="0"/>
                <w:sz w:val="22"/>
                <w:szCs w:val="22"/>
                <w:u w:val="none" w:color="auto"/>
                <w:lang w:val="en-US" w:eastAsia="zh-CN" w:bidi="ar"/>
              </w:rPr>
              <w:t>1500</w:t>
            </w:r>
          </w:p>
        </w:tc>
      </w:tr>
      <w:tr w14:paraId="2D00C86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2" w:hRule="atLeast"/>
          <w:jc w:val="center"/>
        </w:trPr>
        <w:tc>
          <w:tcPr>
            <w:tcW w:w="466" w:type="pct"/>
            <w:vMerge w:val="continue"/>
            <w:tcBorders>
              <w:tl2br w:val="nil"/>
              <w:tr2bl w:val="nil"/>
            </w:tcBorders>
            <w:noWrap w:val="0"/>
            <w:vAlign w:val="center"/>
          </w:tcPr>
          <w:p w14:paraId="4DB32C25">
            <w:pPr>
              <w:contextualSpacing/>
              <w:jc w:val="center"/>
              <w:rPr>
                <w:rFonts w:hint="default" w:ascii="Times New Roman" w:hAnsi="Times New Roman" w:eastAsia="宋体" w:cs="Times New Roman"/>
                <w:color w:val="auto"/>
                <w:szCs w:val="21"/>
                <w:highlight w:val="none"/>
                <w:u w:val="none" w:color="auto"/>
              </w:rPr>
            </w:pPr>
          </w:p>
        </w:tc>
        <w:tc>
          <w:tcPr>
            <w:tcW w:w="408" w:type="pct"/>
            <w:tcBorders>
              <w:tl2br w:val="nil"/>
              <w:tr2bl w:val="nil"/>
            </w:tcBorders>
            <w:noWrap w:val="0"/>
            <w:vAlign w:val="center"/>
          </w:tcPr>
          <w:p w14:paraId="07B93B4C">
            <w:pPr>
              <w:contextualSpacing/>
              <w:jc w:val="center"/>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rPr>
              <w:t>10</w:t>
            </w:r>
          </w:p>
        </w:tc>
        <w:tc>
          <w:tcPr>
            <w:tcW w:w="1215" w:type="pct"/>
            <w:gridSpan w:val="3"/>
            <w:tcBorders>
              <w:tl2br w:val="nil"/>
              <w:tr2bl w:val="nil"/>
            </w:tcBorders>
            <w:noWrap w:val="0"/>
            <w:vAlign w:val="center"/>
          </w:tcPr>
          <w:p w14:paraId="049BD1D9">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滨湖村</w:t>
            </w:r>
          </w:p>
        </w:tc>
        <w:tc>
          <w:tcPr>
            <w:tcW w:w="600" w:type="pct"/>
            <w:gridSpan w:val="2"/>
            <w:tcBorders>
              <w:tl2br w:val="nil"/>
              <w:tr2bl w:val="nil"/>
            </w:tcBorders>
            <w:noWrap w:val="0"/>
            <w:vAlign w:val="center"/>
          </w:tcPr>
          <w:p w14:paraId="2422C618">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i w:val="0"/>
                <w:iCs w:val="0"/>
                <w:color w:val="auto"/>
                <w:kern w:val="0"/>
                <w:sz w:val="21"/>
                <w:szCs w:val="21"/>
                <w:u w:val="none" w:color="auto"/>
                <w:lang w:val="en-US" w:eastAsia="zh-CN" w:bidi="ar"/>
              </w:rPr>
              <w:t>南</w:t>
            </w:r>
          </w:p>
        </w:tc>
        <w:tc>
          <w:tcPr>
            <w:tcW w:w="688" w:type="pct"/>
            <w:gridSpan w:val="2"/>
            <w:tcBorders>
              <w:tl2br w:val="nil"/>
              <w:tr2bl w:val="nil"/>
            </w:tcBorders>
            <w:noWrap w:val="0"/>
            <w:vAlign w:val="center"/>
          </w:tcPr>
          <w:p w14:paraId="17301A7F">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i w:val="0"/>
                <w:iCs w:val="0"/>
                <w:color w:val="auto"/>
                <w:kern w:val="0"/>
                <w:sz w:val="21"/>
                <w:szCs w:val="21"/>
                <w:u w:val="none" w:color="auto"/>
                <w:lang w:val="en-US" w:eastAsia="zh-CN" w:bidi="ar"/>
              </w:rPr>
              <w:t>2023~4184</w:t>
            </w:r>
          </w:p>
        </w:tc>
        <w:tc>
          <w:tcPr>
            <w:tcW w:w="854" w:type="pct"/>
            <w:gridSpan w:val="2"/>
            <w:vMerge w:val="restart"/>
            <w:tcBorders>
              <w:tl2br w:val="nil"/>
              <w:tr2bl w:val="nil"/>
            </w:tcBorders>
            <w:noWrap w:val="0"/>
            <w:vAlign w:val="center"/>
          </w:tcPr>
          <w:p w14:paraId="352C6300">
            <w:pPr>
              <w:widowControl/>
              <w:topLinePunct w:val="0"/>
              <w:bidi w:val="0"/>
              <w:adjustRightInd/>
              <w:snapToGrid/>
              <w:jc w:val="center"/>
              <w:textAlignment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居民</w:t>
            </w:r>
          </w:p>
        </w:tc>
        <w:tc>
          <w:tcPr>
            <w:tcW w:w="766" w:type="pct"/>
            <w:tcBorders>
              <w:tl2br w:val="nil"/>
              <w:tr2bl w:val="nil"/>
            </w:tcBorders>
            <w:noWrap w:val="0"/>
            <w:vAlign w:val="center"/>
          </w:tcPr>
          <w:p w14:paraId="0A8C17A1">
            <w:pPr>
              <w:keepNext w:val="0"/>
              <w:keepLines w:val="0"/>
              <w:widowControl/>
              <w:suppressLineNumbers w:val="0"/>
              <w:jc w:val="center"/>
              <w:textAlignment w:val="center"/>
              <w:rPr>
                <w:rFonts w:hint="default" w:ascii="Times New Roman" w:hAnsi="Times New Roman" w:eastAsia="宋体" w:cs="Times New Roman"/>
                <w:color w:val="auto"/>
                <w:szCs w:val="21"/>
                <w:highlight w:val="none"/>
                <w:u w:val="none" w:color="auto"/>
                <w:lang w:val="en-US" w:eastAsia="zh-CN"/>
              </w:rPr>
            </w:pPr>
            <w:r>
              <w:rPr>
                <w:rFonts w:hint="default" w:ascii="Times New Roman" w:hAnsi="Times New Roman" w:eastAsia="宋体" w:cs="Times New Roman"/>
                <w:i w:val="0"/>
                <w:iCs w:val="0"/>
                <w:color w:val="auto"/>
                <w:kern w:val="0"/>
                <w:sz w:val="21"/>
                <w:szCs w:val="21"/>
                <w:u w:val="none" w:color="auto"/>
                <w:lang w:val="en-US" w:eastAsia="zh-CN" w:bidi="ar"/>
              </w:rPr>
              <w:t>约10500</w:t>
            </w:r>
          </w:p>
        </w:tc>
      </w:tr>
      <w:tr w14:paraId="515BE4B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66" w:type="pct"/>
            <w:vMerge w:val="continue"/>
            <w:tcBorders>
              <w:tl2br w:val="nil"/>
              <w:tr2bl w:val="nil"/>
            </w:tcBorders>
            <w:noWrap w:val="0"/>
            <w:vAlign w:val="center"/>
          </w:tcPr>
          <w:p w14:paraId="544BC697">
            <w:pPr>
              <w:contextualSpacing/>
              <w:jc w:val="center"/>
              <w:rPr>
                <w:rFonts w:hint="default" w:ascii="Times New Roman" w:hAnsi="Times New Roman" w:eastAsia="宋体" w:cs="Times New Roman"/>
                <w:color w:val="auto"/>
                <w:szCs w:val="21"/>
                <w:highlight w:val="none"/>
                <w:u w:val="none" w:color="auto"/>
              </w:rPr>
            </w:pPr>
          </w:p>
        </w:tc>
        <w:tc>
          <w:tcPr>
            <w:tcW w:w="408" w:type="pct"/>
            <w:tcBorders>
              <w:tl2br w:val="nil"/>
              <w:tr2bl w:val="nil"/>
            </w:tcBorders>
            <w:noWrap w:val="0"/>
            <w:vAlign w:val="center"/>
          </w:tcPr>
          <w:p w14:paraId="5982D6CC">
            <w:pPr>
              <w:contextualSpacing/>
              <w:jc w:val="center"/>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rPr>
              <w:t>11</w:t>
            </w:r>
          </w:p>
        </w:tc>
        <w:tc>
          <w:tcPr>
            <w:tcW w:w="1215" w:type="pct"/>
            <w:gridSpan w:val="3"/>
            <w:tcBorders>
              <w:tl2br w:val="nil"/>
              <w:tr2bl w:val="nil"/>
            </w:tcBorders>
            <w:noWrap w:val="0"/>
            <w:vAlign w:val="center"/>
          </w:tcPr>
          <w:p w14:paraId="600F4113">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王德冲村</w:t>
            </w:r>
          </w:p>
        </w:tc>
        <w:tc>
          <w:tcPr>
            <w:tcW w:w="600" w:type="pct"/>
            <w:gridSpan w:val="2"/>
            <w:tcBorders>
              <w:tl2br w:val="nil"/>
              <w:tr2bl w:val="nil"/>
            </w:tcBorders>
            <w:noWrap w:val="0"/>
            <w:vAlign w:val="center"/>
          </w:tcPr>
          <w:p w14:paraId="2FFF7776">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i w:val="0"/>
                <w:iCs w:val="0"/>
                <w:color w:val="auto"/>
                <w:kern w:val="0"/>
                <w:sz w:val="21"/>
                <w:szCs w:val="21"/>
                <w:u w:val="none" w:color="auto"/>
                <w:lang w:val="en-US" w:eastAsia="zh-CN" w:bidi="ar"/>
              </w:rPr>
              <w:t>东南</w:t>
            </w:r>
          </w:p>
        </w:tc>
        <w:tc>
          <w:tcPr>
            <w:tcW w:w="688" w:type="pct"/>
            <w:gridSpan w:val="2"/>
            <w:tcBorders>
              <w:tl2br w:val="nil"/>
              <w:tr2bl w:val="nil"/>
            </w:tcBorders>
            <w:noWrap w:val="0"/>
            <w:vAlign w:val="center"/>
          </w:tcPr>
          <w:p w14:paraId="6B567982">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i w:val="0"/>
                <w:iCs w:val="0"/>
                <w:color w:val="auto"/>
                <w:kern w:val="0"/>
                <w:sz w:val="21"/>
                <w:szCs w:val="21"/>
                <w:u w:val="none" w:color="auto"/>
                <w:lang w:val="en-US" w:eastAsia="zh-CN" w:bidi="ar"/>
              </w:rPr>
              <w:t>2996~4404</w:t>
            </w:r>
          </w:p>
        </w:tc>
        <w:tc>
          <w:tcPr>
            <w:tcW w:w="854" w:type="pct"/>
            <w:gridSpan w:val="2"/>
            <w:vMerge w:val="continue"/>
            <w:tcBorders>
              <w:tl2br w:val="nil"/>
              <w:tr2bl w:val="nil"/>
            </w:tcBorders>
            <w:noWrap w:val="0"/>
            <w:vAlign w:val="center"/>
          </w:tcPr>
          <w:p w14:paraId="49B420EB">
            <w:pPr>
              <w:jc w:val="center"/>
              <w:rPr>
                <w:rFonts w:hint="default" w:ascii="Times New Roman" w:hAnsi="Times New Roman" w:eastAsia="宋体" w:cs="Times New Roman"/>
                <w:color w:val="auto"/>
                <w:kern w:val="2"/>
                <w:sz w:val="21"/>
                <w:szCs w:val="21"/>
                <w:highlight w:val="none"/>
                <w:u w:val="none" w:color="auto"/>
                <w:lang w:val="en-US" w:eastAsia="zh-CN" w:bidi="ar-SA"/>
              </w:rPr>
            </w:pPr>
          </w:p>
        </w:tc>
        <w:tc>
          <w:tcPr>
            <w:tcW w:w="766" w:type="pct"/>
            <w:tcBorders>
              <w:tl2br w:val="nil"/>
              <w:tr2bl w:val="nil"/>
            </w:tcBorders>
            <w:noWrap w:val="0"/>
            <w:vAlign w:val="center"/>
          </w:tcPr>
          <w:p w14:paraId="332E20B8">
            <w:pPr>
              <w:keepNext w:val="0"/>
              <w:keepLines w:val="0"/>
              <w:widowControl/>
              <w:suppressLineNumbers w:val="0"/>
              <w:jc w:val="center"/>
              <w:textAlignment w:val="center"/>
              <w:rPr>
                <w:rFonts w:hint="default" w:ascii="Times New Roman" w:hAnsi="Times New Roman" w:eastAsia="宋体" w:cs="Times New Roman"/>
                <w:color w:val="auto"/>
                <w:szCs w:val="21"/>
                <w:highlight w:val="none"/>
                <w:u w:val="none" w:color="auto"/>
                <w:lang w:val="en-US" w:eastAsia="zh-CN"/>
              </w:rPr>
            </w:pPr>
            <w:r>
              <w:rPr>
                <w:rFonts w:hint="default" w:ascii="Times New Roman" w:hAnsi="Times New Roman" w:eastAsia="宋体" w:cs="Times New Roman"/>
                <w:i w:val="0"/>
                <w:iCs w:val="0"/>
                <w:color w:val="auto"/>
                <w:kern w:val="0"/>
                <w:sz w:val="21"/>
                <w:szCs w:val="21"/>
                <w:u w:val="none" w:color="auto"/>
                <w:lang w:val="en-US" w:eastAsia="zh-CN" w:bidi="ar"/>
              </w:rPr>
              <w:t>约2800</w:t>
            </w:r>
          </w:p>
        </w:tc>
      </w:tr>
      <w:tr w14:paraId="3B47E24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66" w:type="pct"/>
            <w:vMerge w:val="continue"/>
            <w:tcBorders>
              <w:tl2br w:val="nil"/>
              <w:tr2bl w:val="nil"/>
            </w:tcBorders>
            <w:noWrap w:val="0"/>
            <w:vAlign w:val="center"/>
          </w:tcPr>
          <w:p w14:paraId="0D41A9DA">
            <w:pPr>
              <w:contextualSpacing/>
              <w:jc w:val="center"/>
              <w:rPr>
                <w:rFonts w:hint="default" w:ascii="Times New Roman" w:hAnsi="Times New Roman" w:eastAsia="宋体" w:cs="Times New Roman"/>
                <w:color w:val="auto"/>
                <w:szCs w:val="21"/>
                <w:highlight w:val="none"/>
                <w:u w:val="none" w:color="auto"/>
              </w:rPr>
            </w:pPr>
          </w:p>
        </w:tc>
        <w:tc>
          <w:tcPr>
            <w:tcW w:w="408" w:type="pct"/>
            <w:tcBorders>
              <w:tl2br w:val="nil"/>
              <w:tr2bl w:val="nil"/>
            </w:tcBorders>
            <w:noWrap w:val="0"/>
            <w:vAlign w:val="center"/>
          </w:tcPr>
          <w:p w14:paraId="0946C992">
            <w:pPr>
              <w:contextualSpacing/>
              <w:jc w:val="center"/>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rPr>
              <w:t>12</w:t>
            </w:r>
          </w:p>
        </w:tc>
        <w:tc>
          <w:tcPr>
            <w:tcW w:w="1215" w:type="pct"/>
            <w:gridSpan w:val="3"/>
            <w:tcBorders>
              <w:tl2br w:val="nil"/>
              <w:tr2bl w:val="nil"/>
            </w:tcBorders>
            <w:noWrap w:val="0"/>
            <w:vAlign w:val="center"/>
          </w:tcPr>
          <w:p w14:paraId="639D58E2">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东风村</w:t>
            </w:r>
          </w:p>
        </w:tc>
        <w:tc>
          <w:tcPr>
            <w:tcW w:w="600" w:type="pct"/>
            <w:gridSpan w:val="2"/>
            <w:tcBorders>
              <w:tl2br w:val="nil"/>
              <w:tr2bl w:val="nil"/>
            </w:tcBorders>
            <w:noWrap w:val="0"/>
            <w:vAlign w:val="center"/>
          </w:tcPr>
          <w:p w14:paraId="73F8D3FF">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i w:val="0"/>
                <w:iCs w:val="0"/>
                <w:color w:val="auto"/>
                <w:kern w:val="0"/>
                <w:sz w:val="21"/>
                <w:szCs w:val="21"/>
                <w:u w:val="none" w:color="auto"/>
                <w:lang w:val="en-US" w:eastAsia="zh-CN" w:bidi="ar"/>
              </w:rPr>
              <w:t>东</w:t>
            </w:r>
          </w:p>
        </w:tc>
        <w:tc>
          <w:tcPr>
            <w:tcW w:w="688" w:type="pct"/>
            <w:gridSpan w:val="2"/>
            <w:tcBorders>
              <w:tl2br w:val="nil"/>
              <w:tr2bl w:val="nil"/>
            </w:tcBorders>
            <w:noWrap w:val="0"/>
            <w:vAlign w:val="center"/>
          </w:tcPr>
          <w:p w14:paraId="1B0D4234">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i w:val="0"/>
                <w:iCs w:val="0"/>
                <w:color w:val="auto"/>
                <w:kern w:val="0"/>
                <w:sz w:val="21"/>
                <w:szCs w:val="21"/>
                <w:u w:val="none" w:color="auto"/>
                <w:lang w:val="en-US" w:eastAsia="zh-CN" w:bidi="ar"/>
              </w:rPr>
              <w:t>2663~4141</w:t>
            </w:r>
          </w:p>
        </w:tc>
        <w:tc>
          <w:tcPr>
            <w:tcW w:w="854" w:type="pct"/>
            <w:gridSpan w:val="2"/>
            <w:vMerge w:val="continue"/>
            <w:tcBorders>
              <w:tl2br w:val="nil"/>
              <w:tr2bl w:val="nil"/>
            </w:tcBorders>
            <w:noWrap w:val="0"/>
            <w:vAlign w:val="center"/>
          </w:tcPr>
          <w:p w14:paraId="68732359">
            <w:pPr>
              <w:jc w:val="center"/>
              <w:rPr>
                <w:rFonts w:hint="default" w:ascii="Times New Roman" w:hAnsi="Times New Roman" w:eastAsia="宋体" w:cs="Times New Roman"/>
                <w:color w:val="auto"/>
                <w:kern w:val="2"/>
                <w:sz w:val="21"/>
                <w:szCs w:val="21"/>
                <w:highlight w:val="none"/>
                <w:u w:val="none" w:color="auto"/>
                <w:lang w:val="en-US" w:eastAsia="zh-CN" w:bidi="ar-SA"/>
              </w:rPr>
            </w:pPr>
          </w:p>
        </w:tc>
        <w:tc>
          <w:tcPr>
            <w:tcW w:w="766" w:type="pct"/>
            <w:tcBorders>
              <w:tl2br w:val="nil"/>
              <w:tr2bl w:val="nil"/>
            </w:tcBorders>
            <w:noWrap w:val="0"/>
            <w:vAlign w:val="center"/>
          </w:tcPr>
          <w:p w14:paraId="02BF31B2">
            <w:pPr>
              <w:keepNext w:val="0"/>
              <w:keepLines w:val="0"/>
              <w:widowControl/>
              <w:suppressLineNumbers w:val="0"/>
              <w:jc w:val="center"/>
              <w:textAlignment w:val="center"/>
              <w:rPr>
                <w:rFonts w:hint="default" w:ascii="Times New Roman" w:hAnsi="Times New Roman" w:eastAsia="宋体" w:cs="Times New Roman"/>
                <w:color w:val="auto"/>
                <w:szCs w:val="21"/>
                <w:highlight w:val="none"/>
                <w:u w:val="none" w:color="auto"/>
                <w:lang w:val="en-US" w:eastAsia="zh-CN"/>
              </w:rPr>
            </w:pPr>
            <w:r>
              <w:rPr>
                <w:rFonts w:hint="default" w:ascii="Times New Roman" w:hAnsi="Times New Roman" w:eastAsia="宋体" w:cs="Times New Roman"/>
                <w:i w:val="0"/>
                <w:iCs w:val="0"/>
                <w:color w:val="auto"/>
                <w:kern w:val="0"/>
                <w:sz w:val="21"/>
                <w:szCs w:val="21"/>
                <w:u w:val="none" w:color="auto"/>
                <w:lang w:val="en-US" w:eastAsia="zh-CN" w:bidi="ar"/>
              </w:rPr>
              <w:t>约2240</w:t>
            </w:r>
          </w:p>
        </w:tc>
      </w:tr>
      <w:tr w14:paraId="7F2923D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66" w:type="pct"/>
            <w:vMerge w:val="continue"/>
            <w:tcBorders>
              <w:tl2br w:val="nil"/>
              <w:tr2bl w:val="nil"/>
            </w:tcBorders>
            <w:noWrap w:val="0"/>
            <w:vAlign w:val="center"/>
          </w:tcPr>
          <w:p w14:paraId="387E1F65">
            <w:pPr>
              <w:contextualSpacing/>
              <w:jc w:val="center"/>
              <w:rPr>
                <w:rFonts w:hint="default" w:ascii="Times New Roman" w:hAnsi="Times New Roman" w:eastAsia="宋体" w:cs="Times New Roman"/>
                <w:color w:val="auto"/>
                <w:szCs w:val="21"/>
                <w:highlight w:val="none"/>
                <w:u w:val="none" w:color="auto"/>
              </w:rPr>
            </w:pPr>
          </w:p>
        </w:tc>
        <w:tc>
          <w:tcPr>
            <w:tcW w:w="408" w:type="pct"/>
            <w:tcBorders>
              <w:tl2br w:val="nil"/>
              <w:tr2bl w:val="nil"/>
            </w:tcBorders>
            <w:noWrap w:val="0"/>
            <w:vAlign w:val="center"/>
          </w:tcPr>
          <w:p w14:paraId="74471ED2">
            <w:pPr>
              <w:contextualSpacing/>
              <w:jc w:val="center"/>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rPr>
              <w:t>13</w:t>
            </w:r>
          </w:p>
        </w:tc>
        <w:tc>
          <w:tcPr>
            <w:tcW w:w="1215" w:type="pct"/>
            <w:gridSpan w:val="3"/>
            <w:tcBorders>
              <w:tl2br w:val="nil"/>
              <w:tr2bl w:val="nil"/>
            </w:tcBorders>
            <w:noWrap w:val="0"/>
            <w:vAlign w:val="center"/>
          </w:tcPr>
          <w:p w14:paraId="0DDA95E5">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戴家坡村</w:t>
            </w:r>
          </w:p>
        </w:tc>
        <w:tc>
          <w:tcPr>
            <w:tcW w:w="600" w:type="pct"/>
            <w:gridSpan w:val="2"/>
            <w:tcBorders>
              <w:tl2br w:val="nil"/>
              <w:tr2bl w:val="nil"/>
            </w:tcBorders>
            <w:noWrap w:val="0"/>
            <w:vAlign w:val="center"/>
          </w:tcPr>
          <w:p w14:paraId="7ED337FC">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i w:val="0"/>
                <w:iCs w:val="0"/>
                <w:color w:val="auto"/>
                <w:kern w:val="0"/>
                <w:sz w:val="21"/>
                <w:szCs w:val="21"/>
                <w:u w:val="none" w:color="auto"/>
                <w:lang w:val="en-US" w:eastAsia="zh-CN" w:bidi="ar"/>
              </w:rPr>
              <w:t>北</w:t>
            </w:r>
          </w:p>
        </w:tc>
        <w:tc>
          <w:tcPr>
            <w:tcW w:w="688" w:type="pct"/>
            <w:gridSpan w:val="2"/>
            <w:tcBorders>
              <w:tl2br w:val="nil"/>
              <w:tr2bl w:val="nil"/>
            </w:tcBorders>
            <w:noWrap w:val="0"/>
            <w:vAlign w:val="center"/>
          </w:tcPr>
          <w:p w14:paraId="684FAC1A">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i w:val="0"/>
                <w:iCs w:val="0"/>
                <w:color w:val="auto"/>
                <w:kern w:val="0"/>
                <w:sz w:val="21"/>
                <w:szCs w:val="21"/>
                <w:u w:val="none" w:color="auto"/>
                <w:lang w:val="en-US" w:eastAsia="zh-CN" w:bidi="ar"/>
              </w:rPr>
              <w:t>2574~5000</w:t>
            </w:r>
          </w:p>
        </w:tc>
        <w:tc>
          <w:tcPr>
            <w:tcW w:w="854" w:type="pct"/>
            <w:gridSpan w:val="2"/>
            <w:vMerge w:val="continue"/>
            <w:tcBorders>
              <w:tl2br w:val="nil"/>
              <w:tr2bl w:val="nil"/>
            </w:tcBorders>
            <w:noWrap w:val="0"/>
            <w:vAlign w:val="center"/>
          </w:tcPr>
          <w:p w14:paraId="7A0130CB">
            <w:pPr>
              <w:jc w:val="center"/>
              <w:rPr>
                <w:rFonts w:hint="default" w:ascii="Times New Roman" w:hAnsi="Times New Roman" w:eastAsia="宋体" w:cs="Times New Roman"/>
                <w:color w:val="auto"/>
                <w:kern w:val="2"/>
                <w:sz w:val="21"/>
                <w:szCs w:val="21"/>
                <w:highlight w:val="none"/>
                <w:u w:val="none" w:color="auto"/>
                <w:lang w:val="en-US" w:eastAsia="zh-CN" w:bidi="ar-SA"/>
              </w:rPr>
            </w:pPr>
          </w:p>
        </w:tc>
        <w:tc>
          <w:tcPr>
            <w:tcW w:w="766" w:type="pct"/>
            <w:tcBorders>
              <w:tl2br w:val="nil"/>
              <w:tr2bl w:val="nil"/>
            </w:tcBorders>
            <w:noWrap w:val="0"/>
            <w:vAlign w:val="center"/>
          </w:tcPr>
          <w:p w14:paraId="059A7101">
            <w:pPr>
              <w:keepNext w:val="0"/>
              <w:keepLines w:val="0"/>
              <w:widowControl/>
              <w:suppressLineNumbers w:val="0"/>
              <w:jc w:val="center"/>
              <w:textAlignment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i w:val="0"/>
                <w:iCs w:val="0"/>
                <w:color w:val="auto"/>
                <w:kern w:val="0"/>
                <w:sz w:val="21"/>
                <w:szCs w:val="21"/>
                <w:u w:val="none" w:color="auto"/>
                <w:lang w:val="en-US" w:eastAsia="zh-CN" w:bidi="ar"/>
              </w:rPr>
              <w:t>约700</w:t>
            </w:r>
          </w:p>
        </w:tc>
      </w:tr>
      <w:tr w14:paraId="4BE0B40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66" w:type="pct"/>
            <w:vMerge w:val="continue"/>
            <w:tcBorders>
              <w:tl2br w:val="nil"/>
              <w:tr2bl w:val="nil"/>
            </w:tcBorders>
            <w:noWrap w:val="0"/>
            <w:vAlign w:val="center"/>
          </w:tcPr>
          <w:p w14:paraId="39929569">
            <w:pPr>
              <w:contextualSpacing/>
              <w:jc w:val="center"/>
              <w:rPr>
                <w:rFonts w:hint="default" w:ascii="Times New Roman" w:hAnsi="Times New Roman" w:eastAsia="宋体" w:cs="Times New Roman"/>
                <w:color w:val="auto"/>
                <w:szCs w:val="21"/>
                <w:highlight w:val="none"/>
                <w:u w:val="none" w:color="auto"/>
              </w:rPr>
            </w:pPr>
          </w:p>
        </w:tc>
        <w:tc>
          <w:tcPr>
            <w:tcW w:w="408" w:type="pct"/>
            <w:tcBorders>
              <w:tl2br w:val="nil"/>
              <w:tr2bl w:val="nil"/>
            </w:tcBorders>
            <w:noWrap w:val="0"/>
            <w:vAlign w:val="center"/>
          </w:tcPr>
          <w:p w14:paraId="0563ABA5">
            <w:pPr>
              <w:contextualSpacing/>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Cs w:val="21"/>
                <w:highlight w:val="none"/>
                <w:u w:val="none" w:color="auto"/>
              </w:rPr>
              <w:t>14</w:t>
            </w:r>
          </w:p>
        </w:tc>
        <w:tc>
          <w:tcPr>
            <w:tcW w:w="1215" w:type="pct"/>
            <w:gridSpan w:val="3"/>
            <w:tcBorders>
              <w:tl2br w:val="nil"/>
              <w:tr2bl w:val="nil"/>
            </w:tcBorders>
            <w:noWrap w:val="0"/>
            <w:vAlign w:val="center"/>
          </w:tcPr>
          <w:p w14:paraId="6C47D44B">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u w:val="none" w:color="auto"/>
                <w:lang w:bidi="ar"/>
              </w:rPr>
            </w:pPr>
            <w:r>
              <w:rPr>
                <w:rFonts w:hint="default" w:ascii="Times New Roman" w:hAnsi="Times New Roman" w:eastAsia="宋体" w:cs="Times New Roman"/>
                <w:i w:val="0"/>
                <w:iCs w:val="0"/>
                <w:color w:val="auto"/>
                <w:kern w:val="0"/>
                <w:sz w:val="21"/>
                <w:szCs w:val="21"/>
                <w:u w:val="none" w:color="auto"/>
                <w:lang w:val="en-US" w:eastAsia="zh-CN" w:bidi="ar"/>
              </w:rPr>
              <w:t>螃家咀</w:t>
            </w:r>
          </w:p>
        </w:tc>
        <w:tc>
          <w:tcPr>
            <w:tcW w:w="600" w:type="pct"/>
            <w:gridSpan w:val="2"/>
            <w:tcBorders>
              <w:tl2br w:val="nil"/>
              <w:tr2bl w:val="nil"/>
            </w:tcBorders>
            <w:noWrap w:val="0"/>
            <w:vAlign w:val="center"/>
          </w:tcPr>
          <w:p w14:paraId="1E9EE18E">
            <w:pPr>
              <w:jc w:val="center"/>
              <w:rPr>
                <w:rFonts w:hint="default" w:ascii="Times New Roman" w:hAnsi="Times New Roman" w:eastAsia="宋体" w:cs="Times New Roman"/>
                <w:color w:val="auto"/>
                <w:szCs w:val="21"/>
                <w:highlight w:val="none"/>
                <w:u w:val="none" w:color="auto"/>
                <w:lang w:val="en-US" w:eastAsia="zh-CN"/>
              </w:rPr>
            </w:pPr>
            <w:r>
              <w:rPr>
                <w:rFonts w:hint="default" w:ascii="Times New Roman" w:hAnsi="Times New Roman" w:eastAsia="宋体" w:cs="Times New Roman"/>
                <w:color w:val="auto"/>
                <w:szCs w:val="21"/>
                <w:highlight w:val="none"/>
                <w:u w:val="none" w:color="auto"/>
                <w:lang w:val="en-US" w:eastAsia="zh-CN"/>
              </w:rPr>
              <w:t>东北</w:t>
            </w:r>
          </w:p>
        </w:tc>
        <w:tc>
          <w:tcPr>
            <w:tcW w:w="688" w:type="pct"/>
            <w:gridSpan w:val="2"/>
            <w:tcBorders>
              <w:tl2br w:val="nil"/>
              <w:tr2bl w:val="nil"/>
            </w:tcBorders>
            <w:noWrap w:val="0"/>
            <w:vAlign w:val="center"/>
          </w:tcPr>
          <w:p w14:paraId="25D4FFB3">
            <w:pPr>
              <w:jc w:val="center"/>
              <w:rPr>
                <w:rFonts w:hint="default" w:ascii="Times New Roman" w:hAnsi="Times New Roman" w:eastAsia="宋体" w:cs="Times New Roman"/>
                <w:color w:val="auto"/>
                <w:szCs w:val="21"/>
                <w:highlight w:val="none"/>
                <w:u w:val="none" w:color="auto"/>
                <w:lang w:val="en-US" w:eastAsia="zh-CN"/>
              </w:rPr>
            </w:pPr>
            <w:r>
              <w:rPr>
                <w:rFonts w:hint="default" w:ascii="Times New Roman" w:hAnsi="Times New Roman" w:eastAsia="宋体" w:cs="Times New Roman"/>
                <w:color w:val="auto"/>
                <w:szCs w:val="21"/>
                <w:highlight w:val="none"/>
                <w:u w:val="none" w:color="auto"/>
                <w:lang w:val="en-US" w:eastAsia="zh-CN"/>
              </w:rPr>
              <w:t>2914~3797</w:t>
            </w:r>
          </w:p>
        </w:tc>
        <w:tc>
          <w:tcPr>
            <w:tcW w:w="854" w:type="pct"/>
            <w:gridSpan w:val="2"/>
            <w:vMerge w:val="continue"/>
            <w:tcBorders>
              <w:tl2br w:val="nil"/>
              <w:tr2bl w:val="nil"/>
            </w:tcBorders>
            <w:noWrap w:val="0"/>
            <w:vAlign w:val="center"/>
          </w:tcPr>
          <w:p w14:paraId="6C03BE79">
            <w:pPr>
              <w:jc w:val="center"/>
              <w:rPr>
                <w:rFonts w:hint="default" w:ascii="Times New Roman" w:hAnsi="Times New Roman" w:eastAsia="宋体" w:cs="Times New Roman"/>
                <w:color w:val="auto"/>
                <w:kern w:val="2"/>
                <w:sz w:val="21"/>
                <w:szCs w:val="21"/>
                <w:highlight w:val="none"/>
                <w:u w:val="none" w:color="auto"/>
                <w:lang w:val="en-US" w:eastAsia="zh-CN" w:bidi="ar-SA"/>
              </w:rPr>
            </w:pPr>
          </w:p>
        </w:tc>
        <w:tc>
          <w:tcPr>
            <w:tcW w:w="766" w:type="pct"/>
            <w:tcBorders>
              <w:tl2br w:val="nil"/>
              <w:tr2bl w:val="nil"/>
            </w:tcBorders>
            <w:noWrap w:val="0"/>
            <w:vAlign w:val="center"/>
          </w:tcPr>
          <w:p w14:paraId="5C0E22C0">
            <w:pPr>
              <w:jc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i w:val="0"/>
                <w:iCs w:val="0"/>
                <w:color w:val="auto"/>
                <w:kern w:val="0"/>
                <w:sz w:val="21"/>
                <w:szCs w:val="21"/>
                <w:u w:val="none" w:color="auto"/>
                <w:lang w:val="en-US" w:eastAsia="zh-CN" w:bidi="ar"/>
              </w:rPr>
              <w:t>约</w:t>
            </w:r>
            <w:r>
              <w:rPr>
                <w:rFonts w:hint="default" w:ascii="Times New Roman" w:hAnsi="Times New Roman" w:eastAsia="宋体" w:cs="Times New Roman"/>
                <w:color w:val="auto"/>
                <w:u w:val="none" w:color="auto"/>
                <w:lang w:val="en-US" w:eastAsia="zh-CN"/>
              </w:rPr>
              <w:t>350</w:t>
            </w:r>
          </w:p>
        </w:tc>
      </w:tr>
      <w:tr w14:paraId="3430866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66" w:type="pct"/>
            <w:vMerge w:val="continue"/>
            <w:tcBorders>
              <w:tl2br w:val="nil"/>
              <w:tr2bl w:val="nil"/>
            </w:tcBorders>
            <w:noWrap w:val="0"/>
            <w:vAlign w:val="center"/>
          </w:tcPr>
          <w:p w14:paraId="237698A4">
            <w:pPr>
              <w:contextualSpacing/>
              <w:jc w:val="center"/>
              <w:rPr>
                <w:rFonts w:hint="default" w:ascii="Times New Roman" w:hAnsi="Times New Roman" w:eastAsia="宋体" w:cs="Times New Roman"/>
                <w:color w:val="auto"/>
                <w:szCs w:val="21"/>
                <w:highlight w:val="none"/>
                <w:u w:val="none" w:color="auto"/>
              </w:rPr>
            </w:pPr>
          </w:p>
        </w:tc>
        <w:tc>
          <w:tcPr>
            <w:tcW w:w="408" w:type="pct"/>
            <w:tcBorders>
              <w:tl2br w:val="nil"/>
              <w:tr2bl w:val="nil"/>
            </w:tcBorders>
            <w:noWrap w:val="0"/>
            <w:vAlign w:val="center"/>
          </w:tcPr>
          <w:p w14:paraId="03AECDCE">
            <w:pPr>
              <w:contextualSpacing/>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Cs w:val="21"/>
                <w:highlight w:val="none"/>
                <w:u w:val="none" w:color="auto"/>
              </w:rPr>
              <w:t>15</w:t>
            </w:r>
          </w:p>
        </w:tc>
        <w:tc>
          <w:tcPr>
            <w:tcW w:w="1215" w:type="pct"/>
            <w:gridSpan w:val="3"/>
            <w:tcBorders>
              <w:tl2br w:val="nil"/>
              <w:tr2bl w:val="nil"/>
            </w:tcBorders>
            <w:noWrap w:val="0"/>
            <w:vAlign w:val="center"/>
          </w:tcPr>
          <w:p w14:paraId="1A084F9D">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u w:val="none" w:color="auto"/>
                <w:lang w:bidi="ar"/>
              </w:rPr>
            </w:pPr>
            <w:r>
              <w:rPr>
                <w:rFonts w:hint="default" w:ascii="Times New Roman" w:hAnsi="Times New Roman" w:eastAsia="宋体" w:cs="Times New Roman"/>
                <w:i w:val="0"/>
                <w:iCs w:val="0"/>
                <w:color w:val="auto"/>
                <w:kern w:val="0"/>
                <w:sz w:val="21"/>
                <w:szCs w:val="21"/>
                <w:u w:val="none" w:color="auto"/>
                <w:lang w:val="en-US" w:eastAsia="zh-CN" w:bidi="ar"/>
              </w:rPr>
              <w:t>刘家屋场</w:t>
            </w:r>
          </w:p>
        </w:tc>
        <w:tc>
          <w:tcPr>
            <w:tcW w:w="600" w:type="pct"/>
            <w:gridSpan w:val="2"/>
            <w:tcBorders>
              <w:tl2br w:val="nil"/>
              <w:tr2bl w:val="nil"/>
            </w:tcBorders>
            <w:noWrap w:val="0"/>
            <w:vAlign w:val="center"/>
          </w:tcPr>
          <w:p w14:paraId="64A36648">
            <w:pPr>
              <w:jc w:val="center"/>
              <w:rPr>
                <w:rFonts w:hint="default" w:ascii="Times New Roman" w:hAnsi="Times New Roman" w:eastAsia="宋体" w:cs="Times New Roman"/>
                <w:color w:val="auto"/>
                <w:szCs w:val="21"/>
                <w:highlight w:val="none"/>
                <w:u w:val="none" w:color="auto"/>
                <w:lang w:val="en-US" w:eastAsia="zh-CN"/>
              </w:rPr>
            </w:pPr>
            <w:r>
              <w:rPr>
                <w:rFonts w:hint="default" w:ascii="Times New Roman" w:hAnsi="Times New Roman" w:eastAsia="宋体" w:cs="Times New Roman"/>
                <w:color w:val="auto"/>
                <w:szCs w:val="21"/>
                <w:highlight w:val="none"/>
                <w:u w:val="none" w:color="auto"/>
                <w:lang w:val="en-US" w:eastAsia="zh-CN"/>
              </w:rPr>
              <w:t>北</w:t>
            </w:r>
          </w:p>
        </w:tc>
        <w:tc>
          <w:tcPr>
            <w:tcW w:w="688" w:type="pct"/>
            <w:gridSpan w:val="2"/>
            <w:tcBorders>
              <w:tl2br w:val="nil"/>
              <w:tr2bl w:val="nil"/>
            </w:tcBorders>
            <w:noWrap w:val="0"/>
            <w:vAlign w:val="center"/>
          </w:tcPr>
          <w:p w14:paraId="617A0FC0">
            <w:pPr>
              <w:jc w:val="center"/>
              <w:rPr>
                <w:rFonts w:hint="default" w:ascii="Times New Roman" w:hAnsi="Times New Roman" w:eastAsia="宋体" w:cs="Times New Roman"/>
                <w:color w:val="auto"/>
                <w:szCs w:val="21"/>
                <w:highlight w:val="none"/>
                <w:u w:val="none" w:color="auto"/>
                <w:lang w:val="en-US" w:eastAsia="zh-CN"/>
              </w:rPr>
            </w:pPr>
            <w:r>
              <w:rPr>
                <w:rFonts w:hint="default" w:ascii="Times New Roman" w:hAnsi="Times New Roman" w:eastAsia="宋体" w:cs="Times New Roman"/>
                <w:color w:val="auto"/>
                <w:szCs w:val="21"/>
                <w:highlight w:val="none"/>
                <w:u w:val="none" w:color="auto"/>
                <w:lang w:val="en-US" w:eastAsia="zh-CN"/>
              </w:rPr>
              <w:t>3947~5000</w:t>
            </w:r>
          </w:p>
        </w:tc>
        <w:tc>
          <w:tcPr>
            <w:tcW w:w="854" w:type="pct"/>
            <w:gridSpan w:val="2"/>
            <w:vMerge w:val="continue"/>
            <w:tcBorders>
              <w:tl2br w:val="nil"/>
              <w:tr2bl w:val="nil"/>
            </w:tcBorders>
            <w:noWrap w:val="0"/>
            <w:vAlign w:val="center"/>
          </w:tcPr>
          <w:p w14:paraId="7BE3214E">
            <w:pPr>
              <w:jc w:val="center"/>
              <w:rPr>
                <w:rFonts w:hint="default" w:ascii="Times New Roman" w:hAnsi="Times New Roman" w:eastAsia="宋体" w:cs="Times New Roman"/>
                <w:color w:val="auto"/>
                <w:kern w:val="2"/>
                <w:sz w:val="21"/>
                <w:szCs w:val="21"/>
                <w:highlight w:val="none"/>
                <w:u w:val="none" w:color="auto"/>
                <w:lang w:val="en-US" w:eastAsia="zh-CN" w:bidi="ar-SA"/>
              </w:rPr>
            </w:pPr>
          </w:p>
        </w:tc>
        <w:tc>
          <w:tcPr>
            <w:tcW w:w="766" w:type="pct"/>
            <w:tcBorders>
              <w:tl2br w:val="nil"/>
              <w:tr2bl w:val="nil"/>
            </w:tcBorders>
            <w:noWrap w:val="0"/>
            <w:vAlign w:val="center"/>
          </w:tcPr>
          <w:p w14:paraId="18ED4A0C">
            <w:pPr>
              <w:jc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i w:val="0"/>
                <w:iCs w:val="0"/>
                <w:color w:val="auto"/>
                <w:kern w:val="0"/>
                <w:sz w:val="21"/>
                <w:szCs w:val="21"/>
                <w:u w:val="none" w:color="auto"/>
                <w:lang w:val="en-US" w:eastAsia="zh-CN" w:bidi="ar"/>
              </w:rPr>
              <w:t>约</w:t>
            </w:r>
            <w:r>
              <w:rPr>
                <w:rFonts w:hint="default" w:ascii="Times New Roman" w:hAnsi="Times New Roman" w:eastAsia="宋体" w:cs="Times New Roman"/>
                <w:color w:val="auto"/>
                <w:u w:val="none" w:color="auto"/>
                <w:lang w:val="en-US" w:eastAsia="zh-CN"/>
              </w:rPr>
              <w:t>140</w:t>
            </w:r>
          </w:p>
        </w:tc>
      </w:tr>
      <w:tr w14:paraId="5F83B79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66" w:type="pct"/>
            <w:vMerge w:val="continue"/>
            <w:tcBorders>
              <w:tl2br w:val="nil"/>
              <w:tr2bl w:val="nil"/>
            </w:tcBorders>
            <w:noWrap w:val="0"/>
            <w:vAlign w:val="center"/>
          </w:tcPr>
          <w:p w14:paraId="37069C42">
            <w:pPr>
              <w:contextualSpacing/>
              <w:jc w:val="center"/>
              <w:rPr>
                <w:rFonts w:hint="default" w:ascii="Times New Roman" w:hAnsi="Times New Roman" w:eastAsia="宋体" w:cs="Times New Roman"/>
                <w:color w:val="auto"/>
                <w:szCs w:val="21"/>
                <w:highlight w:val="none"/>
                <w:u w:val="none" w:color="auto"/>
              </w:rPr>
            </w:pPr>
          </w:p>
        </w:tc>
        <w:tc>
          <w:tcPr>
            <w:tcW w:w="408" w:type="pct"/>
            <w:tcBorders>
              <w:tl2br w:val="nil"/>
              <w:tr2bl w:val="nil"/>
            </w:tcBorders>
            <w:noWrap w:val="0"/>
            <w:vAlign w:val="center"/>
          </w:tcPr>
          <w:p w14:paraId="52733505">
            <w:pPr>
              <w:contextualSpacing/>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Cs w:val="21"/>
                <w:highlight w:val="none"/>
                <w:u w:val="none" w:color="auto"/>
              </w:rPr>
              <w:t>16</w:t>
            </w:r>
          </w:p>
        </w:tc>
        <w:tc>
          <w:tcPr>
            <w:tcW w:w="1215" w:type="pct"/>
            <w:gridSpan w:val="3"/>
            <w:tcBorders>
              <w:tl2br w:val="nil"/>
              <w:tr2bl w:val="nil"/>
            </w:tcBorders>
            <w:noWrap w:val="0"/>
            <w:vAlign w:val="center"/>
          </w:tcPr>
          <w:p w14:paraId="559FB8EC">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u w:val="none" w:color="auto"/>
                <w:lang w:bidi="ar"/>
              </w:rPr>
            </w:pPr>
            <w:r>
              <w:rPr>
                <w:rFonts w:hint="default" w:ascii="Times New Roman" w:hAnsi="Times New Roman" w:eastAsia="宋体" w:cs="Times New Roman"/>
                <w:i w:val="0"/>
                <w:iCs w:val="0"/>
                <w:color w:val="auto"/>
                <w:kern w:val="0"/>
                <w:sz w:val="21"/>
                <w:szCs w:val="21"/>
                <w:u w:val="none" w:color="auto"/>
                <w:lang w:val="en-US" w:eastAsia="zh-CN" w:bidi="ar"/>
              </w:rPr>
              <w:t>亚泰花园</w:t>
            </w:r>
          </w:p>
        </w:tc>
        <w:tc>
          <w:tcPr>
            <w:tcW w:w="600" w:type="pct"/>
            <w:gridSpan w:val="2"/>
            <w:tcBorders>
              <w:tl2br w:val="nil"/>
              <w:tr2bl w:val="nil"/>
            </w:tcBorders>
            <w:noWrap w:val="0"/>
            <w:vAlign w:val="center"/>
          </w:tcPr>
          <w:p w14:paraId="3C5FED9C">
            <w:pPr>
              <w:jc w:val="center"/>
              <w:rPr>
                <w:rFonts w:hint="default" w:ascii="Times New Roman" w:hAnsi="Times New Roman" w:eastAsia="宋体" w:cs="Times New Roman"/>
                <w:color w:val="auto"/>
                <w:szCs w:val="21"/>
                <w:highlight w:val="none"/>
                <w:u w:val="none" w:color="auto"/>
                <w:lang w:val="en-US" w:eastAsia="zh-CN"/>
              </w:rPr>
            </w:pPr>
            <w:r>
              <w:rPr>
                <w:rFonts w:hint="default" w:ascii="Times New Roman" w:hAnsi="Times New Roman" w:eastAsia="宋体" w:cs="Times New Roman"/>
                <w:color w:val="auto"/>
                <w:szCs w:val="21"/>
                <w:highlight w:val="none"/>
                <w:u w:val="none" w:color="auto"/>
                <w:lang w:val="en-US" w:eastAsia="zh-CN"/>
              </w:rPr>
              <w:t>西南</w:t>
            </w:r>
          </w:p>
        </w:tc>
        <w:tc>
          <w:tcPr>
            <w:tcW w:w="688" w:type="pct"/>
            <w:gridSpan w:val="2"/>
            <w:tcBorders>
              <w:tl2br w:val="nil"/>
              <w:tr2bl w:val="nil"/>
            </w:tcBorders>
            <w:noWrap w:val="0"/>
            <w:vAlign w:val="center"/>
          </w:tcPr>
          <w:p w14:paraId="64F7ED30">
            <w:pPr>
              <w:jc w:val="center"/>
              <w:rPr>
                <w:rFonts w:hint="default" w:ascii="Times New Roman" w:hAnsi="Times New Roman" w:eastAsia="宋体" w:cs="Times New Roman"/>
                <w:color w:val="auto"/>
                <w:szCs w:val="21"/>
                <w:highlight w:val="none"/>
                <w:u w:val="none" w:color="auto"/>
                <w:lang w:val="en-US" w:eastAsia="zh-CN"/>
              </w:rPr>
            </w:pPr>
            <w:r>
              <w:rPr>
                <w:rFonts w:hint="default" w:ascii="Times New Roman" w:hAnsi="Times New Roman" w:eastAsia="宋体" w:cs="Times New Roman"/>
                <w:color w:val="auto"/>
                <w:szCs w:val="21"/>
                <w:highlight w:val="none"/>
                <w:u w:val="none" w:color="auto"/>
                <w:lang w:val="en-US" w:eastAsia="zh-CN"/>
              </w:rPr>
              <w:t>521~640</w:t>
            </w:r>
          </w:p>
        </w:tc>
        <w:tc>
          <w:tcPr>
            <w:tcW w:w="854" w:type="pct"/>
            <w:gridSpan w:val="2"/>
            <w:vMerge w:val="continue"/>
            <w:tcBorders>
              <w:tl2br w:val="nil"/>
              <w:tr2bl w:val="nil"/>
            </w:tcBorders>
            <w:noWrap w:val="0"/>
            <w:vAlign w:val="center"/>
          </w:tcPr>
          <w:p w14:paraId="66112534">
            <w:pPr>
              <w:jc w:val="center"/>
              <w:rPr>
                <w:rFonts w:hint="default" w:ascii="Times New Roman" w:hAnsi="Times New Roman" w:eastAsia="宋体" w:cs="Times New Roman"/>
                <w:color w:val="auto"/>
                <w:kern w:val="2"/>
                <w:sz w:val="21"/>
                <w:szCs w:val="21"/>
                <w:highlight w:val="none"/>
                <w:u w:val="none" w:color="auto"/>
                <w:lang w:val="en-US" w:eastAsia="zh-CN" w:bidi="ar-SA"/>
              </w:rPr>
            </w:pPr>
          </w:p>
        </w:tc>
        <w:tc>
          <w:tcPr>
            <w:tcW w:w="766" w:type="pct"/>
            <w:tcBorders>
              <w:tl2br w:val="nil"/>
              <w:tr2bl w:val="nil"/>
            </w:tcBorders>
            <w:noWrap w:val="0"/>
            <w:vAlign w:val="center"/>
          </w:tcPr>
          <w:p w14:paraId="419B7E52">
            <w:pPr>
              <w:jc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i w:val="0"/>
                <w:iCs w:val="0"/>
                <w:color w:val="auto"/>
                <w:kern w:val="0"/>
                <w:sz w:val="21"/>
                <w:szCs w:val="21"/>
                <w:u w:val="none" w:color="auto"/>
                <w:lang w:val="en-US" w:eastAsia="zh-CN" w:bidi="ar"/>
              </w:rPr>
              <w:t>约</w:t>
            </w:r>
            <w:r>
              <w:rPr>
                <w:rFonts w:hint="default" w:ascii="Times New Roman" w:hAnsi="Times New Roman" w:eastAsia="宋体" w:cs="Times New Roman"/>
                <w:color w:val="auto"/>
                <w:u w:val="none" w:color="auto"/>
                <w:lang w:val="en-US" w:eastAsia="zh-CN"/>
              </w:rPr>
              <w:t>1400</w:t>
            </w:r>
          </w:p>
        </w:tc>
      </w:tr>
      <w:tr w14:paraId="3D231D9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66" w:type="pct"/>
            <w:vMerge w:val="continue"/>
            <w:tcBorders>
              <w:tl2br w:val="nil"/>
              <w:tr2bl w:val="nil"/>
            </w:tcBorders>
            <w:noWrap w:val="0"/>
            <w:vAlign w:val="center"/>
          </w:tcPr>
          <w:p w14:paraId="1A06324C">
            <w:pPr>
              <w:contextualSpacing/>
              <w:jc w:val="center"/>
              <w:rPr>
                <w:rFonts w:hint="default" w:ascii="Times New Roman" w:hAnsi="Times New Roman" w:eastAsia="宋体" w:cs="Times New Roman"/>
                <w:color w:val="auto"/>
                <w:szCs w:val="21"/>
                <w:highlight w:val="none"/>
                <w:u w:val="none" w:color="auto"/>
              </w:rPr>
            </w:pPr>
          </w:p>
        </w:tc>
        <w:tc>
          <w:tcPr>
            <w:tcW w:w="408" w:type="pct"/>
            <w:tcBorders>
              <w:tl2br w:val="nil"/>
              <w:tr2bl w:val="nil"/>
            </w:tcBorders>
            <w:noWrap w:val="0"/>
            <w:vAlign w:val="center"/>
          </w:tcPr>
          <w:p w14:paraId="7A802B63">
            <w:pPr>
              <w:contextualSpacing/>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Cs w:val="21"/>
                <w:highlight w:val="none"/>
                <w:u w:val="none" w:color="auto"/>
              </w:rPr>
              <w:t>17</w:t>
            </w:r>
          </w:p>
        </w:tc>
        <w:tc>
          <w:tcPr>
            <w:tcW w:w="1215" w:type="pct"/>
            <w:gridSpan w:val="3"/>
            <w:tcBorders>
              <w:tl2br w:val="nil"/>
              <w:tr2bl w:val="nil"/>
            </w:tcBorders>
            <w:noWrap w:val="0"/>
            <w:vAlign w:val="center"/>
          </w:tcPr>
          <w:p w14:paraId="5E66FF87">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u w:val="none" w:color="auto"/>
                <w:lang w:bidi="ar"/>
              </w:rPr>
            </w:pPr>
            <w:r>
              <w:rPr>
                <w:rFonts w:hint="default" w:ascii="Times New Roman" w:hAnsi="Times New Roman" w:eastAsia="宋体" w:cs="Times New Roman"/>
                <w:i w:val="0"/>
                <w:iCs w:val="0"/>
                <w:color w:val="auto"/>
                <w:kern w:val="0"/>
                <w:sz w:val="21"/>
                <w:szCs w:val="21"/>
                <w:u w:val="none" w:color="auto"/>
                <w:lang w:val="en-US" w:eastAsia="zh-CN" w:bidi="ar"/>
              </w:rPr>
              <w:t>今创新港首府</w:t>
            </w:r>
          </w:p>
        </w:tc>
        <w:tc>
          <w:tcPr>
            <w:tcW w:w="600" w:type="pct"/>
            <w:gridSpan w:val="2"/>
            <w:tcBorders>
              <w:tl2br w:val="nil"/>
              <w:tr2bl w:val="nil"/>
            </w:tcBorders>
            <w:noWrap w:val="0"/>
            <w:vAlign w:val="center"/>
          </w:tcPr>
          <w:p w14:paraId="598E18C3">
            <w:pPr>
              <w:keepNext w:val="0"/>
              <w:keepLines w:val="0"/>
              <w:widowControl/>
              <w:suppressLineNumbers w:val="0"/>
              <w:jc w:val="center"/>
              <w:textAlignment w:val="center"/>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西</w:t>
            </w:r>
          </w:p>
        </w:tc>
        <w:tc>
          <w:tcPr>
            <w:tcW w:w="688" w:type="pct"/>
            <w:gridSpan w:val="2"/>
            <w:tcBorders>
              <w:tl2br w:val="nil"/>
              <w:tr2bl w:val="nil"/>
            </w:tcBorders>
            <w:noWrap w:val="0"/>
            <w:vAlign w:val="center"/>
          </w:tcPr>
          <w:p w14:paraId="465A893E">
            <w:pPr>
              <w:keepNext w:val="0"/>
              <w:keepLines w:val="0"/>
              <w:widowControl/>
              <w:suppressLineNumbers w:val="0"/>
              <w:jc w:val="center"/>
              <w:textAlignment w:val="center"/>
              <w:rPr>
                <w:rFonts w:hint="default" w:ascii="Times New Roman" w:hAnsi="Times New Roman" w:eastAsia="宋体" w:cs="Times New Roman"/>
                <w:color w:val="auto"/>
                <w:szCs w:val="21"/>
                <w:highlight w:val="none"/>
                <w:u w:val="none" w:color="auto"/>
                <w:lang w:val="en-US"/>
              </w:rPr>
            </w:pPr>
            <w:r>
              <w:rPr>
                <w:rFonts w:hint="default" w:ascii="Times New Roman" w:hAnsi="Times New Roman" w:eastAsia="宋体" w:cs="Times New Roman"/>
                <w:i w:val="0"/>
                <w:iCs w:val="0"/>
                <w:color w:val="auto"/>
                <w:kern w:val="0"/>
                <w:sz w:val="21"/>
                <w:szCs w:val="21"/>
                <w:u w:val="none" w:color="auto"/>
                <w:lang w:val="en-US" w:eastAsia="zh-CN" w:bidi="ar"/>
              </w:rPr>
              <w:t>121~458</w:t>
            </w:r>
          </w:p>
        </w:tc>
        <w:tc>
          <w:tcPr>
            <w:tcW w:w="854" w:type="pct"/>
            <w:gridSpan w:val="2"/>
            <w:vMerge w:val="continue"/>
            <w:tcBorders>
              <w:tl2br w:val="nil"/>
              <w:tr2bl w:val="nil"/>
            </w:tcBorders>
            <w:noWrap w:val="0"/>
            <w:vAlign w:val="center"/>
          </w:tcPr>
          <w:p w14:paraId="013F0B05">
            <w:pPr>
              <w:jc w:val="center"/>
              <w:rPr>
                <w:rFonts w:hint="default" w:ascii="Times New Roman" w:hAnsi="Times New Roman" w:eastAsia="宋体" w:cs="Times New Roman"/>
                <w:color w:val="auto"/>
                <w:kern w:val="2"/>
                <w:sz w:val="21"/>
                <w:szCs w:val="21"/>
                <w:highlight w:val="none"/>
                <w:u w:val="none" w:color="auto"/>
                <w:lang w:val="en-US" w:eastAsia="zh-CN" w:bidi="ar-SA"/>
              </w:rPr>
            </w:pPr>
          </w:p>
        </w:tc>
        <w:tc>
          <w:tcPr>
            <w:tcW w:w="766" w:type="pct"/>
            <w:tcBorders>
              <w:tl2br w:val="nil"/>
              <w:tr2bl w:val="nil"/>
            </w:tcBorders>
            <w:noWrap w:val="0"/>
            <w:vAlign w:val="center"/>
          </w:tcPr>
          <w:p w14:paraId="70818FBB">
            <w:pPr>
              <w:keepNext w:val="0"/>
              <w:keepLines w:val="0"/>
              <w:widowControl/>
              <w:suppressLineNumbers w:val="0"/>
              <w:jc w:val="center"/>
              <w:textAlignment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i w:val="0"/>
                <w:iCs w:val="0"/>
                <w:color w:val="auto"/>
                <w:kern w:val="0"/>
                <w:sz w:val="21"/>
                <w:szCs w:val="21"/>
                <w:u w:val="none" w:color="auto"/>
                <w:lang w:val="en-US" w:eastAsia="zh-CN" w:bidi="ar"/>
              </w:rPr>
              <w:t>约2500</w:t>
            </w:r>
          </w:p>
        </w:tc>
      </w:tr>
      <w:tr w14:paraId="3774229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66" w:type="pct"/>
            <w:vMerge w:val="continue"/>
            <w:tcBorders>
              <w:tl2br w:val="nil"/>
              <w:tr2bl w:val="nil"/>
            </w:tcBorders>
            <w:noWrap w:val="0"/>
            <w:vAlign w:val="center"/>
          </w:tcPr>
          <w:p w14:paraId="5FB56E39">
            <w:pPr>
              <w:contextualSpacing/>
              <w:jc w:val="center"/>
              <w:rPr>
                <w:rFonts w:hint="default" w:ascii="Times New Roman" w:hAnsi="Times New Roman" w:eastAsia="宋体" w:cs="Times New Roman"/>
                <w:color w:val="auto"/>
                <w:szCs w:val="21"/>
                <w:highlight w:val="none"/>
                <w:u w:val="none" w:color="auto"/>
              </w:rPr>
            </w:pPr>
          </w:p>
        </w:tc>
        <w:tc>
          <w:tcPr>
            <w:tcW w:w="408" w:type="pct"/>
            <w:tcBorders>
              <w:tl2br w:val="nil"/>
              <w:tr2bl w:val="nil"/>
            </w:tcBorders>
            <w:noWrap w:val="0"/>
            <w:vAlign w:val="center"/>
          </w:tcPr>
          <w:p w14:paraId="4DB9D5F1">
            <w:pPr>
              <w:contextualSpacing/>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Cs w:val="21"/>
                <w:highlight w:val="none"/>
                <w:u w:val="none" w:color="auto"/>
              </w:rPr>
              <w:t>18</w:t>
            </w:r>
          </w:p>
        </w:tc>
        <w:tc>
          <w:tcPr>
            <w:tcW w:w="1215" w:type="pct"/>
            <w:gridSpan w:val="3"/>
            <w:tcBorders>
              <w:tl2br w:val="nil"/>
              <w:tr2bl w:val="nil"/>
            </w:tcBorders>
            <w:noWrap w:val="0"/>
            <w:vAlign w:val="center"/>
          </w:tcPr>
          <w:p w14:paraId="6C121CA1">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u w:val="none" w:color="auto"/>
                <w:lang w:bidi="ar"/>
              </w:rPr>
            </w:pPr>
            <w:r>
              <w:rPr>
                <w:rFonts w:hint="default" w:ascii="Times New Roman" w:hAnsi="Times New Roman" w:eastAsia="宋体" w:cs="Times New Roman"/>
                <w:i w:val="0"/>
                <w:iCs w:val="0"/>
                <w:color w:val="auto"/>
                <w:kern w:val="0"/>
                <w:sz w:val="21"/>
                <w:szCs w:val="21"/>
                <w:u w:val="none" w:color="auto"/>
                <w:lang w:val="en-US" w:eastAsia="zh-CN" w:bidi="ar"/>
              </w:rPr>
              <w:t>松阳湖小区</w:t>
            </w:r>
          </w:p>
        </w:tc>
        <w:tc>
          <w:tcPr>
            <w:tcW w:w="600" w:type="pct"/>
            <w:gridSpan w:val="2"/>
            <w:tcBorders>
              <w:tl2br w:val="nil"/>
              <w:tr2bl w:val="nil"/>
            </w:tcBorders>
            <w:noWrap w:val="0"/>
            <w:vAlign w:val="center"/>
          </w:tcPr>
          <w:p w14:paraId="3F1264EC">
            <w:pPr>
              <w:keepNext w:val="0"/>
              <w:keepLines w:val="0"/>
              <w:widowControl/>
              <w:suppressLineNumbers w:val="0"/>
              <w:jc w:val="center"/>
              <w:textAlignment w:val="center"/>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西</w:t>
            </w:r>
          </w:p>
        </w:tc>
        <w:tc>
          <w:tcPr>
            <w:tcW w:w="688" w:type="pct"/>
            <w:gridSpan w:val="2"/>
            <w:tcBorders>
              <w:tl2br w:val="nil"/>
              <w:tr2bl w:val="nil"/>
            </w:tcBorders>
            <w:noWrap w:val="0"/>
            <w:vAlign w:val="center"/>
          </w:tcPr>
          <w:p w14:paraId="6704868F">
            <w:pPr>
              <w:keepNext w:val="0"/>
              <w:keepLines w:val="0"/>
              <w:widowControl/>
              <w:suppressLineNumbers w:val="0"/>
              <w:jc w:val="center"/>
              <w:textAlignment w:val="center"/>
              <w:rPr>
                <w:rFonts w:hint="default" w:ascii="Times New Roman" w:hAnsi="Times New Roman" w:eastAsia="宋体" w:cs="Times New Roman"/>
                <w:color w:val="auto"/>
                <w:szCs w:val="21"/>
                <w:highlight w:val="none"/>
                <w:u w:val="none" w:color="auto"/>
                <w:lang w:val="en-US"/>
              </w:rPr>
            </w:pPr>
            <w:r>
              <w:rPr>
                <w:rFonts w:hint="default" w:ascii="Times New Roman" w:hAnsi="Times New Roman" w:eastAsia="宋体" w:cs="Times New Roman"/>
                <w:i w:val="0"/>
                <w:iCs w:val="0"/>
                <w:color w:val="auto"/>
                <w:kern w:val="0"/>
                <w:sz w:val="21"/>
                <w:szCs w:val="21"/>
                <w:u w:val="none" w:color="auto"/>
                <w:lang w:val="en-US" w:eastAsia="zh-CN" w:bidi="ar"/>
              </w:rPr>
              <w:t>79~135</w:t>
            </w:r>
          </w:p>
        </w:tc>
        <w:tc>
          <w:tcPr>
            <w:tcW w:w="854" w:type="pct"/>
            <w:gridSpan w:val="2"/>
            <w:vMerge w:val="continue"/>
            <w:tcBorders>
              <w:tl2br w:val="nil"/>
              <w:tr2bl w:val="nil"/>
            </w:tcBorders>
            <w:noWrap w:val="0"/>
            <w:vAlign w:val="center"/>
          </w:tcPr>
          <w:p w14:paraId="001FED2B">
            <w:pPr>
              <w:jc w:val="center"/>
              <w:rPr>
                <w:rFonts w:hint="default" w:ascii="Times New Roman" w:hAnsi="Times New Roman" w:eastAsia="宋体" w:cs="Times New Roman"/>
                <w:color w:val="auto"/>
                <w:kern w:val="2"/>
                <w:sz w:val="21"/>
                <w:szCs w:val="21"/>
                <w:highlight w:val="none"/>
                <w:u w:val="none" w:color="auto"/>
                <w:lang w:val="en-US" w:eastAsia="zh-CN" w:bidi="ar-SA"/>
              </w:rPr>
            </w:pPr>
          </w:p>
        </w:tc>
        <w:tc>
          <w:tcPr>
            <w:tcW w:w="766" w:type="pct"/>
            <w:tcBorders>
              <w:tl2br w:val="nil"/>
              <w:tr2bl w:val="nil"/>
            </w:tcBorders>
            <w:noWrap w:val="0"/>
            <w:vAlign w:val="center"/>
          </w:tcPr>
          <w:p w14:paraId="2EDEFF46">
            <w:pPr>
              <w:keepNext w:val="0"/>
              <w:keepLines w:val="0"/>
              <w:widowControl/>
              <w:suppressLineNumbers w:val="0"/>
              <w:jc w:val="center"/>
              <w:textAlignment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i w:val="0"/>
                <w:iCs w:val="0"/>
                <w:color w:val="auto"/>
                <w:kern w:val="0"/>
                <w:sz w:val="21"/>
                <w:szCs w:val="21"/>
                <w:u w:val="none" w:color="auto"/>
                <w:lang w:val="en-US" w:eastAsia="zh-CN" w:bidi="ar"/>
              </w:rPr>
              <w:t>约</w:t>
            </w:r>
            <w:r>
              <w:rPr>
                <w:rFonts w:hint="default" w:ascii="Times New Roman" w:hAnsi="Times New Roman" w:eastAsia="宋体" w:cs="Times New Roman"/>
                <w:i w:val="0"/>
                <w:iCs w:val="0"/>
                <w:color w:val="auto"/>
                <w:kern w:val="0"/>
                <w:sz w:val="22"/>
                <w:szCs w:val="22"/>
                <w:u w:val="none" w:color="auto"/>
                <w:lang w:val="en-US" w:eastAsia="zh-CN" w:bidi="ar"/>
              </w:rPr>
              <w:t>2000</w:t>
            </w:r>
          </w:p>
        </w:tc>
      </w:tr>
      <w:tr w14:paraId="59DF8A9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66" w:type="pct"/>
            <w:vMerge w:val="continue"/>
            <w:tcBorders>
              <w:tl2br w:val="nil"/>
              <w:tr2bl w:val="nil"/>
            </w:tcBorders>
            <w:noWrap w:val="0"/>
            <w:vAlign w:val="center"/>
          </w:tcPr>
          <w:p w14:paraId="403F0367">
            <w:pPr>
              <w:contextualSpacing/>
              <w:jc w:val="center"/>
              <w:rPr>
                <w:rFonts w:hint="default" w:ascii="Times New Roman" w:hAnsi="Times New Roman" w:eastAsia="宋体" w:cs="Times New Roman"/>
                <w:color w:val="auto"/>
                <w:szCs w:val="21"/>
                <w:highlight w:val="none"/>
                <w:u w:val="none" w:color="auto"/>
              </w:rPr>
            </w:pPr>
          </w:p>
        </w:tc>
        <w:tc>
          <w:tcPr>
            <w:tcW w:w="408" w:type="pct"/>
            <w:tcBorders>
              <w:tl2br w:val="nil"/>
              <w:tr2bl w:val="nil"/>
            </w:tcBorders>
            <w:noWrap w:val="0"/>
            <w:vAlign w:val="center"/>
          </w:tcPr>
          <w:p w14:paraId="22FBC57F">
            <w:pPr>
              <w:contextualSpacing/>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Cs w:val="21"/>
                <w:highlight w:val="none"/>
                <w:u w:val="none" w:color="auto"/>
              </w:rPr>
              <w:t>19</w:t>
            </w:r>
          </w:p>
        </w:tc>
        <w:tc>
          <w:tcPr>
            <w:tcW w:w="1215" w:type="pct"/>
            <w:gridSpan w:val="3"/>
            <w:tcBorders>
              <w:tl2br w:val="nil"/>
              <w:tr2bl w:val="nil"/>
            </w:tcBorders>
            <w:noWrap w:val="0"/>
            <w:vAlign w:val="center"/>
          </w:tcPr>
          <w:p w14:paraId="037F2B85">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u w:val="none" w:color="auto"/>
                <w:lang w:bidi="ar"/>
              </w:rPr>
            </w:pPr>
            <w:r>
              <w:rPr>
                <w:rFonts w:hint="default" w:ascii="Times New Roman" w:hAnsi="Times New Roman" w:eastAsia="宋体" w:cs="Times New Roman"/>
                <w:i w:val="0"/>
                <w:iCs w:val="0"/>
                <w:color w:val="auto"/>
                <w:kern w:val="0"/>
                <w:sz w:val="21"/>
                <w:szCs w:val="21"/>
                <w:u w:val="none" w:color="auto"/>
                <w:lang w:val="en-US" w:eastAsia="zh-CN" w:bidi="ar"/>
              </w:rPr>
              <w:t>长形咀居民点（松杨湖渔场居民点）</w:t>
            </w:r>
          </w:p>
        </w:tc>
        <w:tc>
          <w:tcPr>
            <w:tcW w:w="600" w:type="pct"/>
            <w:gridSpan w:val="2"/>
            <w:tcBorders>
              <w:tl2br w:val="nil"/>
              <w:tr2bl w:val="nil"/>
            </w:tcBorders>
            <w:noWrap w:val="0"/>
            <w:vAlign w:val="center"/>
          </w:tcPr>
          <w:p w14:paraId="110C3AE9">
            <w:pPr>
              <w:keepNext w:val="0"/>
              <w:keepLines w:val="0"/>
              <w:widowControl/>
              <w:suppressLineNumbers w:val="0"/>
              <w:jc w:val="center"/>
              <w:textAlignment w:val="center"/>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东南</w:t>
            </w:r>
          </w:p>
        </w:tc>
        <w:tc>
          <w:tcPr>
            <w:tcW w:w="688" w:type="pct"/>
            <w:gridSpan w:val="2"/>
            <w:tcBorders>
              <w:tl2br w:val="nil"/>
              <w:tr2bl w:val="nil"/>
            </w:tcBorders>
            <w:noWrap w:val="0"/>
            <w:vAlign w:val="center"/>
          </w:tcPr>
          <w:p w14:paraId="7EF09068">
            <w:pPr>
              <w:keepNext w:val="0"/>
              <w:keepLines w:val="0"/>
              <w:widowControl/>
              <w:suppressLineNumbers w:val="0"/>
              <w:jc w:val="center"/>
              <w:textAlignment w:val="center"/>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360~735</w:t>
            </w:r>
          </w:p>
        </w:tc>
        <w:tc>
          <w:tcPr>
            <w:tcW w:w="854" w:type="pct"/>
            <w:gridSpan w:val="2"/>
            <w:vMerge w:val="continue"/>
            <w:tcBorders>
              <w:tl2br w:val="nil"/>
              <w:tr2bl w:val="nil"/>
            </w:tcBorders>
            <w:noWrap w:val="0"/>
            <w:vAlign w:val="center"/>
          </w:tcPr>
          <w:p w14:paraId="43E5DE54">
            <w:pPr>
              <w:jc w:val="center"/>
              <w:rPr>
                <w:rFonts w:hint="default" w:ascii="Times New Roman" w:hAnsi="Times New Roman" w:eastAsia="宋体" w:cs="Times New Roman"/>
                <w:color w:val="auto"/>
                <w:kern w:val="2"/>
                <w:sz w:val="21"/>
                <w:szCs w:val="21"/>
                <w:highlight w:val="none"/>
                <w:u w:val="none" w:color="auto"/>
                <w:lang w:val="en-US" w:eastAsia="zh-CN" w:bidi="ar-SA"/>
              </w:rPr>
            </w:pPr>
          </w:p>
        </w:tc>
        <w:tc>
          <w:tcPr>
            <w:tcW w:w="766" w:type="pct"/>
            <w:tcBorders>
              <w:tl2br w:val="nil"/>
              <w:tr2bl w:val="nil"/>
            </w:tcBorders>
            <w:noWrap w:val="0"/>
            <w:vAlign w:val="center"/>
          </w:tcPr>
          <w:p w14:paraId="11FA342B">
            <w:pPr>
              <w:keepNext w:val="0"/>
              <w:keepLines w:val="0"/>
              <w:widowControl/>
              <w:suppressLineNumbers w:val="0"/>
              <w:jc w:val="center"/>
              <w:textAlignment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i w:val="0"/>
                <w:iCs w:val="0"/>
                <w:color w:val="auto"/>
                <w:kern w:val="0"/>
                <w:sz w:val="21"/>
                <w:szCs w:val="21"/>
                <w:u w:val="none" w:color="auto"/>
                <w:lang w:val="en-US" w:eastAsia="zh-CN" w:bidi="ar"/>
              </w:rPr>
              <w:t>约420</w:t>
            </w:r>
          </w:p>
        </w:tc>
      </w:tr>
      <w:tr w14:paraId="214F926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66" w:type="pct"/>
            <w:vMerge w:val="continue"/>
            <w:tcBorders>
              <w:tl2br w:val="nil"/>
              <w:tr2bl w:val="nil"/>
            </w:tcBorders>
            <w:noWrap w:val="0"/>
            <w:vAlign w:val="center"/>
          </w:tcPr>
          <w:p w14:paraId="525E465B">
            <w:pPr>
              <w:contextualSpacing/>
              <w:jc w:val="center"/>
              <w:rPr>
                <w:rFonts w:hint="default" w:ascii="Times New Roman" w:hAnsi="Times New Roman" w:eastAsia="宋体" w:cs="Times New Roman"/>
                <w:color w:val="auto"/>
                <w:szCs w:val="21"/>
                <w:highlight w:val="none"/>
                <w:u w:val="none" w:color="auto"/>
              </w:rPr>
            </w:pPr>
          </w:p>
        </w:tc>
        <w:tc>
          <w:tcPr>
            <w:tcW w:w="408" w:type="pct"/>
            <w:tcBorders>
              <w:tl2br w:val="nil"/>
              <w:tr2bl w:val="nil"/>
            </w:tcBorders>
            <w:noWrap w:val="0"/>
            <w:vAlign w:val="center"/>
          </w:tcPr>
          <w:p w14:paraId="027975F8">
            <w:pPr>
              <w:contextualSpacing/>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Cs w:val="21"/>
                <w:highlight w:val="none"/>
                <w:u w:val="none" w:color="auto"/>
                <w:lang w:val="en-US" w:eastAsia="zh-CN"/>
              </w:rPr>
              <w:t>20</w:t>
            </w:r>
          </w:p>
        </w:tc>
        <w:tc>
          <w:tcPr>
            <w:tcW w:w="1215" w:type="pct"/>
            <w:gridSpan w:val="3"/>
            <w:tcBorders>
              <w:tl2br w:val="nil"/>
              <w:tr2bl w:val="nil"/>
            </w:tcBorders>
            <w:noWrap w:val="0"/>
            <w:vAlign w:val="center"/>
          </w:tcPr>
          <w:p w14:paraId="4754B24A">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u w:val="none" w:color="auto"/>
                <w:lang w:bidi="ar"/>
              </w:rPr>
            </w:pPr>
            <w:r>
              <w:rPr>
                <w:rFonts w:hint="default" w:ascii="Times New Roman" w:hAnsi="Times New Roman" w:eastAsia="宋体" w:cs="Times New Roman"/>
                <w:i w:val="0"/>
                <w:iCs w:val="0"/>
                <w:color w:val="auto"/>
                <w:kern w:val="0"/>
                <w:sz w:val="21"/>
                <w:szCs w:val="21"/>
                <w:u w:val="none" w:color="auto"/>
                <w:lang w:val="en-US" w:eastAsia="zh-CN" w:bidi="ar"/>
              </w:rPr>
              <w:t>岳阳市郡华学校</w:t>
            </w:r>
          </w:p>
        </w:tc>
        <w:tc>
          <w:tcPr>
            <w:tcW w:w="600" w:type="pct"/>
            <w:gridSpan w:val="2"/>
            <w:tcBorders>
              <w:tl2br w:val="nil"/>
              <w:tr2bl w:val="nil"/>
            </w:tcBorders>
            <w:noWrap w:val="0"/>
            <w:vAlign w:val="center"/>
          </w:tcPr>
          <w:p w14:paraId="66A06674">
            <w:pPr>
              <w:jc w:val="center"/>
              <w:rPr>
                <w:rFonts w:hint="default" w:ascii="Times New Roman" w:hAnsi="Times New Roman" w:eastAsia="宋体" w:cs="Times New Roman"/>
                <w:color w:val="auto"/>
                <w:szCs w:val="21"/>
                <w:highlight w:val="none"/>
                <w:u w:val="none" w:color="auto"/>
                <w:lang w:val="en-US" w:eastAsia="zh-CN"/>
              </w:rPr>
            </w:pPr>
            <w:r>
              <w:rPr>
                <w:rFonts w:hint="default" w:ascii="Times New Roman" w:hAnsi="Times New Roman" w:eastAsia="宋体" w:cs="Times New Roman"/>
                <w:color w:val="auto"/>
                <w:szCs w:val="21"/>
                <w:highlight w:val="none"/>
                <w:u w:val="none" w:color="auto"/>
                <w:lang w:val="en-US" w:eastAsia="zh-CN"/>
              </w:rPr>
              <w:t>东南</w:t>
            </w:r>
          </w:p>
        </w:tc>
        <w:tc>
          <w:tcPr>
            <w:tcW w:w="688" w:type="pct"/>
            <w:gridSpan w:val="2"/>
            <w:tcBorders>
              <w:tl2br w:val="nil"/>
              <w:tr2bl w:val="nil"/>
            </w:tcBorders>
            <w:noWrap w:val="0"/>
            <w:vAlign w:val="center"/>
          </w:tcPr>
          <w:p w14:paraId="1307971C">
            <w:pPr>
              <w:jc w:val="center"/>
              <w:rPr>
                <w:rFonts w:hint="default" w:ascii="Times New Roman" w:hAnsi="Times New Roman" w:eastAsia="宋体" w:cs="Times New Roman"/>
                <w:color w:val="auto"/>
                <w:szCs w:val="21"/>
                <w:highlight w:val="none"/>
                <w:u w:val="none" w:color="auto"/>
                <w:lang w:val="en-US" w:eastAsia="zh-CN"/>
              </w:rPr>
            </w:pPr>
            <w:r>
              <w:rPr>
                <w:rFonts w:hint="default" w:ascii="Times New Roman" w:hAnsi="Times New Roman" w:eastAsia="宋体" w:cs="Times New Roman"/>
                <w:color w:val="auto"/>
                <w:szCs w:val="21"/>
                <w:highlight w:val="none"/>
                <w:u w:val="none" w:color="auto"/>
                <w:lang w:val="en-US" w:eastAsia="zh-CN"/>
              </w:rPr>
              <w:t>2109~2555</w:t>
            </w:r>
          </w:p>
        </w:tc>
        <w:tc>
          <w:tcPr>
            <w:tcW w:w="854" w:type="pct"/>
            <w:gridSpan w:val="2"/>
            <w:tcBorders>
              <w:tl2br w:val="nil"/>
              <w:tr2bl w:val="nil"/>
            </w:tcBorders>
            <w:noWrap w:val="0"/>
            <w:vAlign w:val="center"/>
          </w:tcPr>
          <w:p w14:paraId="3D5C5224">
            <w:pPr>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师生</w:t>
            </w:r>
          </w:p>
        </w:tc>
        <w:tc>
          <w:tcPr>
            <w:tcW w:w="766" w:type="pct"/>
            <w:tcBorders>
              <w:tl2br w:val="nil"/>
              <w:tr2bl w:val="nil"/>
            </w:tcBorders>
            <w:noWrap w:val="0"/>
            <w:vAlign w:val="center"/>
          </w:tcPr>
          <w:p w14:paraId="58E452FB">
            <w:pPr>
              <w:jc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i w:val="0"/>
                <w:iCs w:val="0"/>
                <w:color w:val="auto"/>
                <w:kern w:val="0"/>
                <w:sz w:val="21"/>
                <w:szCs w:val="21"/>
                <w:u w:val="none" w:color="auto"/>
                <w:lang w:val="en-US" w:eastAsia="zh-CN" w:bidi="ar"/>
              </w:rPr>
              <w:t>约</w:t>
            </w:r>
            <w:r>
              <w:rPr>
                <w:rFonts w:hint="default" w:ascii="Times New Roman" w:hAnsi="Times New Roman" w:eastAsia="宋体" w:cs="Times New Roman"/>
                <w:color w:val="auto"/>
                <w:u w:val="none" w:color="auto"/>
                <w:lang w:val="en-US" w:eastAsia="zh-CN"/>
              </w:rPr>
              <w:t>2000</w:t>
            </w:r>
          </w:p>
        </w:tc>
      </w:tr>
      <w:tr w14:paraId="490398A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66" w:type="pct"/>
            <w:vMerge w:val="continue"/>
            <w:tcBorders>
              <w:tl2br w:val="nil"/>
              <w:tr2bl w:val="nil"/>
            </w:tcBorders>
            <w:noWrap w:val="0"/>
            <w:vAlign w:val="center"/>
          </w:tcPr>
          <w:p w14:paraId="0B4BFF85">
            <w:pPr>
              <w:contextualSpacing/>
              <w:jc w:val="center"/>
              <w:rPr>
                <w:rFonts w:hint="default" w:ascii="Times New Roman" w:hAnsi="Times New Roman" w:eastAsia="宋体" w:cs="Times New Roman"/>
                <w:color w:val="auto"/>
                <w:szCs w:val="21"/>
                <w:highlight w:val="none"/>
                <w:u w:val="none" w:color="auto"/>
              </w:rPr>
            </w:pPr>
          </w:p>
        </w:tc>
        <w:tc>
          <w:tcPr>
            <w:tcW w:w="408" w:type="pct"/>
            <w:tcBorders>
              <w:tl2br w:val="nil"/>
              <w:tr2bl w:val="nil"/>
            </w:tcBorders>
            <w:noWrap w:val="0"/>
            <w:vAlign w:val="center"/>
          </w:tcPr>
          <w:p w14:paraId="2515CA38">
            <w:pPr>
              <w:contextualSpacing/>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Cs w:val="21"/>
                <w:highlight w:val="none"/>
                <w:u w:val="none" w:color="auto"/>
                <w:lang w:val="en-US" w:eastAsia="zh-CN"/>
              </w:rPr>
              <w:t>21</w:t>
            </w:r>
          </w:p>
        </w:tc>
        <w:tc>
          <w:tcPr>
            <w:tcW w:w="1215" w:type="pct"/>
            <w:gridSpan w:val="3"/>
            <w:tcBorders>
              <w:tl2br w:val="nil"/>
              <w:tr2bl w:val="nil"/>
            </w:tcBorders>
            <w:noWrap w:val="0"/>
            <w:vAlign w:val="center"/>
          </w:tcPr>
          <w:p w14:paraId="2577049B">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u w:val="none" w:color="auto"/>
                <w:lang w:bidi="ar"/>
              </w:rPr>
            </w:pPr>
            <w:r>
              <w:rPr>
                <w:rFonts w:hint="default" w:ascii="Times New Roman" w:hAnsi="Times New Roman" w:eastAsia="宋体" w:cs="Times New Roman"/>
                <w:i w:val="0"/>
                <w:iCs w:val="0"/>
                <w:color w:val="auto"/>
                <w:kern w:val="0"/>
                <w:sz w:val="21"/>
                <w:szCs w:val="21"/>
                <w:u w:val="none" w:color="auto"/>
                <w:lang w:val="en-US" w:eastAsia="zh-CN" w:bidi="ar"/>
              </w:rPr>
              <w:t>未名府</w:t>
            </w:r>
          </w:p>
        </w:tc>
        <w:tc>
          <w:tcPr>
            <w:tcW w:w="600" w:type="pct"/>
            <w:gridSpan w:val="2"/>
            <w:tcBorders>
              <w:tl2br w:val="nil"/>
              <w:tr2bl w:val="nil"/>
            </w:tcBorders>
            <w:noWrap w:val="0"/>
            <w:vAlign w:val="center"/>
          </w:tcPr>
          <w:p w14:paraId="6FD6CD9B">
            <w:pPr>
              <w:jc w:val="center"/>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lang w:val="en-US" w:eastAsia="zh-CN"/>
              </w:rPr>
              <w:t>东南</w:t>
            </w:r>
          </w:p>
        </w:tc>
        <w:tc>
          <w:tcPr>
            <w:tcW w:w="688" w:type="pct"/>
            <w:gridSpan w:val="2"/>
            <w:tcBorders>
              <w:tl2br w:val="nil"/>
              <w:tr2bl w:val="nil"/>
            </w:tcBorders>
            <w:noWrap w:val="0"/>
            <w:vAlign w:val="center"/>
          </w:tcPr>
          <w:p w14:paraId="32B8DFF8">
            <w:pPr>
              <w:jc w:val="center"/>
              <w:rPr>
                <w:rFonts w:hint="default" w:ascii="Times New Roman" w:hAnsi="Times New Roman" w:eastAsia="宋体" w:cs="Times New Roman"/>
                <w:color w:val="auto"/>
                <w:szCs w:val="21"/>
                <w:highlight w:val="none"/>
                <w:u w:val="none" w:color="auto"/>
                <w:lang w:val="en-US" w:eastAsia="zh-CN"/>
              </w:rPr>
            </w:pPr>
            <w:r>
              <w:rPr>
                <w:rFonts w:hint="default" w:ascii="Times New Roman" w:hAnsi="Times New Roman" w:eastAsia="宋体" w:cs="Times New Roman"/>
                <w:color w:val="auto"/>
                <w:szCs w:val="21"/>
                <w:highlight w:val="none"/>
                <w:u w:val="none" w:color="auto"/>
                <w:lang w:val="en-US" w:eastAsia="zh-CN"/>
              </w:rPr>
              <w:t>1667~1875</w:t>
            </w:r>
          </w:p>
        </w:tc>
        <w:tc>
          <w:tcPr>
            <w:tcW w:w="854" w:type="pct"/>
            <w:gridSpan w:val="2"/>
            <w:vMerge w:val="restart"/>
            <w:tcBorders>
              <w:tl2br w:val="nil"/>
              <w:tr2bl w:val="nil"/>
            </w:tcBorders>
            <w:noWrap w:val="0"/>
            <w:vAlign w:val="center"/>
          </w:tcPr>
          <w:p w14:paraId="1F3FEED8">
            <w:pPr>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居民</w:t>
            </w:r>
          </w:p>
        </w:tc>
        <w:tc>
          <w:tcPr>
            <w:tcW w:w="766" w:type="pct"/>
            <w:tcBorders>
              <w:tl2br w:val="nil"/>
              <w:tr2bl w:val="nil"/>
            </w:tcBorders>
            <w:noWrap w:val="0"/>
            <w:vAlign w:val="center"/>
          </w:tcPr>
          <w:p w14:paraId="35399710">
            <w:pPr>
              <w:jc w:val="center"/>
              <w:rPr>
                <w:rFonts w:hint="default" w:ascii="Times New Roman" w:hAnsi="Times New Roman" w:eastAsia="宋体" w:cs="Times New Roman"/>
                <w:color w:val="auto"/>
                <w:szCs w:val="21"/>
                <w:highlight w:val="none"/>
                <w:u w:val="none" w:color="auto"/>
                <w:lang w:val="en-US" w:eastAsia="zh-CN"/>
              </w:rPr>
            </w:pPr>
            <w:r>
              <w:rPr>
                <w:rFonts w:hint="default" w:ascii="Times New Roman" w:hAnsi="Times New Roman" w:eastAsia="宋体" w:cs="Times New Roman"/>
                <w:i w:val="0"/>
                <w:iCs w:val="0"/>
                <w:color w:val="auto"/>
                <w:kern w:val="0"/>
                <w:sz w:val="21"/>
                <w:szCs w:val="21"/>
                <w:u w:val="none" w:color="auto"/>
                <w:lang w:val="en-US" w:eastAsia="zh-CN" w:bidi="ar"/>
              </w:rPr>
              <w:t>约</w:t>
            </w:r>
            <w:r>
              <w:rPr>
                <w:rFonts w:hint="default" w:ascii="Times New Roman" w:hAnsi="Times New Roman" w:eastAsia="宋体" w:cs="Times New Roman"/>
                <w:color w:val="auto"/>
                <w:szCs w:val="21"/>
                <w:highlight w:val="none"/>
                <w:u w:val="none" w:color="auto"/>
                <w:lang w:val="en-US" w:eastAsia="zh-CN"/>
              </w:rPr>
              <w:t>1800</w:t>
            </w:r>
          </w:p>
        </w:tc>
      </w:tr>
      <w:tr w14:paraId="5CF8803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66" w:type="pct"/>
            <w:vMerge w:val="continue"/>
            <w:tcBorders>
              <w:tl2br w:val="nil"/>
              <w:tr2bl w:val="nil"/>
            </w:tcBorders>
            <w:noWrap w:val="0"/>
            <w:vAlign w:val="center"/>
          </w:tcPr>
          <w:p w14:paraId="667E714B">
            <w:pPr>
              <w:contextualSpacing/>
              <w:jc w:val="center"/>
              <w:rPr>
                <w:rFonts w:hint="default" w:ascii="Times New Roman" w:hAnsi="Times New Roman" w:eastAsia="宋体" w:cs="Times New Roman"/>
                <w:color w:val="auto"/>
                <w:szCs w:val="21"/>
                <w:highlight w:val="none"/>
                <w:u w:val="none" w:color="auto"/>
              </w:rPr>
            </w:pPr>
          </w:p>
        </w:tc>
        <w:tc>
          <w:tcPr>
            <w:tcW w:w="408" w:type="pct"/>
            <w:tcBorders>
              <w:tl2br w:val="nil"/>
              <w:tr2bl w:val="nil"/>
            </w:tcBorders>
            <w:noWrap w:val="0"/>
            <w:vAlign w:val="center"/>
          </w:tcPr>
          <w:p w14:paraId="4DAFBE4D">
            <w:pPr>
              <w:contextualSpacing/>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22</w:t>
            </w:r>
          </w:p>
        </w:tc>
        <w:tc>
          <w:tcPr>
            <w:tcW w:w="1215" w:type="pct"/>
            <w:gridSpan w:val="3"/>
            <w:tcBorders>
              <w:tl2br w:val="nil"/>
              <w:tr2bl w:val="nil"/>
            </w:tcBorders>
            <w:noWrap w:val="0"/>
            <w:vAlign w:val="center"/>
          </w:tcPr>
          <w:p w14:paraId="3785A101">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u w:val="none" w:color="auto"/>
                <w:lang w:bidi="ar"/>
              </w:rPr>
            </w:pPr>
            <w:r>
              <w:rPr>
                <w:rFonts w:hint="default" w:ascii="Times New Roman" w:hAnsi="Times New Roman" w:eastAsia="宋体" w:cs="Times New Roman"/>
                <w:i w:val="0"/>
                <w:iCs w:val="0"/>
                <w:color w:val="auto"/>
                <w:kern w:val="0"/>
                <w:sz w:val="21"/>
                <w:szCs w:val="21"/>
                <w:u w:val="none" w:color="auto"/>
                <w:lang w:val="en-US" w:eastAsia="zh-CN" w:bidi="ar"/>
              </w:rPr>
              <w:t>郡华长郡里</w:t>
            </w:r>
          </w:p>
        </w:tc>
        <w:tc>
          <w:tcPr>
            <w:tcW w:w="600" w:type="pct"/>
            <w:gridSpan w:val="2"/>
            <w:tcBorders>
              <w:tl2br w:val="nil"/>
              <w:tr2bl w:val="nil"/>
            </w:tcBorders>
            <w:noWrap w:val="0"/>
            <w:vAlign w:val="center"/>
          </w:tcPr>
          <w:p w14:paraId="1F75F23A">
            <w:pPr>
              <w:jc w:val="center"/>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lang w:val="en-US" w:eastAsia="zh-CN"/>
              </w:rPr>
              <w:t>东南</w:t>
            </w:r>
          </w:p>
        </w:tc>
        <w:tc>
          <w:tcPr>
            <w:tcW w:w="688" w:type="pct"/>
            <w:gridSpan w:val="2"/>
            <w:tcBorders>
              <w:tl2br w:val="nil"/>
              <w:tr2bl w:val="nil"/>
            </w:tcBorders>
            <w:noWrap w:val="0"/>
            <w:vAlign w:val="center"/>
          </w:tcPr>
          <w:p w14:paraId="79452F95">
            <w:pPr>
              <w:jc w:val="center"/>
              <w:rPr>
                <w:rFonts w:hint="default" w:ascii="Times New Roman" w:hAnsi="Times New Roman" w:eastAsia="宋体" w:cs="Times New Roman"/>
                <w:color w:val="auto"/>
                <w:szCs w:val="21"/>
                <w:highlight w:val="none"/>
                <w:u w:val="none" w:color="auto"/>
                <w:lang w:val="en-US" w:eastAsia="zh-CN"/>
              </w:rPr>
            </w:pPr>
            <w:r>
              <w:rPr>
                <w:rFonts w:hint="default" w:ascii="Times New Roman" w:hAnsi="Times New Roman" w:eastAsia="宋体" w:cs="Times New Roman"/>
                <w:color w:val="auto"/>
                <w:szCs w:val="21"/>
                <w:highlight w:val="none"/>
                <w:u w:val="none" w:color="auto"/>
                <w:lang w:val="en-US" w:eastAsia="zh-CN"/>
              </w:rPr>
              <w:t>1979~2326</w:t>
            </w:r>
          </w:p>
        </w:tc>
        <w:tc>
          <w:tcPr>
            <w:tcW w:w="854" w:type="pct"/>
            <w:gridSpan w:val="2"/>
            <w:vMerge w:val="continue"/>
            <w:tcBorders>
              <w:tl2br w:val="nil"/>
              <w:tr2bl w:val="nil"/>
            </w:tcBorders>
            <w:noWrap w:val="0"/>
            <w:vAlign w:val="center"/>
          </w:tcPr>
          <w:p w14:paraId="2376A8A1">
            <w:pPr>
              <w:jc w:val="center"/>
              <w:rPr>
                <w:rFonts w:hint="default" w:ascii="Times New Roman" w:hAnsi="Times New Roman" w:eastAsia="宋体" w:cs="Times New Roman"/>
                <w:color w:val="auto"/>
                <w:kern w:val="2"/>
                <w:sz w:val="21"/>
                <w:szCs w:val="21"/>
                <w:highlight w:val="none"/>
                <w:u w:val="none" w:color="auto"/>
                <w:lang w:val="en-US" w:eastAsia="zh-CN" w:bidi="ar-SA"/>
              </w:rPr>
            </w:pPr>
          </w:p>
        </w:tc>
        <w:tc>
          <w:tcPr>
            <w:tcW w:w="766" w:type="pct"/>
            <w:tcBorders>
              <w:tl2br w:val="nil"/>
              <w:tr2bl w:val="nil"/>
            </w:tcBorders>
            <w:noWrap w:val="0"/>
            <w:vAlign w:val="center"/>
          </w:tcPr>
          <w:p w14:paraId="5F14017F">
            <w:pPr>
              <w:jc w:val="center"/>
              <w:rPr>
                <w:rFonts w:hint="default" w:ascii="Times New Roman" w:hAnsi="Times New Roman" w:eastAsia="宋体" w:cs="Times New Roman"/>
                <w:color w:val="auto"/>
                <w:szCs w:val="21"/>
                <w:highlight w:val="none"/>
                <w:u w:val="none" w:color="auto"/>
                <w:lang w:val="en-US" w:eastAsia="zh-CN"/>
              </w:rPr>
            </w:pPr>
            <w:r>
              <w:rPr>
                <w:rFonts w:hint="default" w:ascii="Times New Roman" w:hAnsi="Times New Roman" w:eastAsia="宋体" w:cs="Times New Roman"/>
                <w:i w:val="0"/>
                <w:iCs w:val="0"/>
                <w:color w:val="auto"/>
                <w:kern w:val="0"/>
                <w:sz w:val="21"/>
                <w:szCs w:val="21"/>
                <w:u w:val="none" w:color="auto"/>
                <w:lang w:val="en-US" w:eastAsia="zh-CN" w:bidi="ar"/>
              </w:rPr>
              <w:t>约</w:t>
            </w:r>
            <w:r>
              <w:rPr>
                <w:rFonts w:hint="default" w:ascii="Times New Roman" w:hAnsi="Times New Roman" w:eastAsia="宋体" w:cs="Times New Roman"/>
                <w:color w:val="auto"/>
                <w:szCs w:val="21"/>
                <w:highlight w:val="none"/>
                <w:u w:val="none" w:color="auto"/>
                <w:lang w:val="en-US" w:eastAsia="zh-CN"/>
              </w:rPr>
              <w:t>2300</w:t>
            </w:r>
          </w:p>
        </w:tc>
      </w:tr>
      <w:tr w14:paraId="720BDFA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42" w:hRule="atLeast"/>
          <w:jc w:val="center"/>
        </w:trPr>
        <w:tc>
          <w:tcPr>
            <w:tcW w:w="466" w:type="pct"/>
            <w:vMerge w:val="continue"/>
            <w:tcBorders>
              <w:tl2br w:val="nil"/>
              <w:tr2bl w:val="nil"/>
            </w:tcBorders>
            <w:noWrap w:val="0"/>
            <w:vAlign w:val="center"/>
          </w:tcPr>
          <w:p w14:paraId="2BFBB7B1">
            <w:pPr>
              <w:contextualSpacing/>
              <w:jc w:val="center"/>
              <w:rPr>
                <w:rFonts w:hint="default" w:ascii="Times New Roman" w:hAnsi="Times New Roman" w:eastAsia="宋体" w:cs="Times New Roman"/>
                <w:color w:val="auto"/>
                <w:szCs w:val="21"/>
                <w:highlight w:val="none"/>
                <w:u w:val="none" w:color="auto"/>
              </w:rPr>
            </w:pPr>
          </w:p>
        </w:tc>
        <w:tc>
          <w:tcPr>
            <w:tcW w:w="408" w:type="pct"/>
            <w:tcBorders>
              <w:tl2br w:val="nil"/>
              <w:tr2bl w:val="nil"/>
            </w:tcBorders>
            <w:noWrap w:val="0"/>
            <w:vAlign w:val="center"/>
          </w:tcPr>
          <w:p w14:paraId="765E284D">
            <w:pPr>
              <w:contextualSpacing/>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23</w:t>
            </w:r>
          </w:p>
        </w:tc>
        <w:tc>
          <w:tcPr>
            <w:tcW w:w="1215" w:type="pct"/>
            <w:gridSpan w:val="3"/>
            <w:tcBorders>
              <w:tl2br w:val="nil"/>
              <w:tr2bl w:val="nil"/>
            </w:tcBorders>
            <w:noWrap w:val="0"/>
            <w:vAlign w:val="center"/>
          </w:tcPr>
          <w:p w14:paraId="6A49B877">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u w:val="none" w:color="auto"/>
                <w:lang w:bidi="ar"/>
              </w:rPr>
            </w:pPr>
            <w:r>
              <w:rPr>
                <w:rFonts w:hint="default" w:ascii="Times New Roman" w:hAnsi="Times New Roman" w:eastAsia="宋体" w:cs="Times New Roman"/>
                <w:i w:val="0"/>
                <w:iCs w:val="0"/>
                <w:color w:val="auto"/>
                <w:kern w:val="0"/>
                <w:sz w:val="21"/>
                <w:szCs w:val="21"/>
                <w:u w:val="none" w:color="auto"/>
                <w:lang w:val="en-US" w:eastAsia="zh-CN" w:bidi="ar"/>
              </w:rPr>
              <w:t>金龙山小区</w:t>
            </w:r>
          </w:p>
        </w:tc>
        <w:tc>
          <w:tcPr>
            <w:tcW w:w="600" w:type="pct"/>
            <w:gridSpan w:val="2"/>
            <w:tcBorders>
              <w:tl2br w:val="nil"/>
              <w:tr2bl w:val="nil"/>
            </w:tcBorders>
            <w:noWrap w:val="0"/>
            <w:vAlign w:val="center"/>
          </w:tcPr>
          <w:p w14:paraId="5CE4B56B">
            <w:pPr>
              <w:jc w:val="center"/>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lang w:val="en-US" w:eastAsia="zh-CN"/>
              </w:rPr>
              <w:t>东南</w:t>
            </w:r>
          </w:p>
        </w:tc>
        <w:tc>
          <w:tcPr>
            <w:tcW w:w="688" w:type="pct"/>
            <w:gridSpan w:val="2"/>
            <w:tcBorders>
              <w:tl2br w:val="nil"/>
              <w:tr2bl w:val="nil"/>
            </w:tcBorders>
            <w:noWrap w:val="0"/>
            <w:vAlign w:val="center"/>
          </w:tcPr>
          <w:p w14:paraId="7E328D1A">
            <w:pPr>
              <w:jc w:val="center"/>
              <w:rPr>
                <w:rFonts w:hint="default" w:ascii="Times New Roman" w:hAnsi="Times New Roman" w:eastAsia="宋体" w:cs="Times New Roman"/>
                <w:color w:val="auto"/>
                <w:szCs w:val="21"/>
                <w:highlight w:val="none"/>
                <w:u w:val="none" w:color="auto"/>
                <w:lang w:val="en-US" w:eastAsia="zh-CN"/>
              </w:rPr>
            </w:pPr>
            <w:r>
              <w:rPr>
                <w:rFonts w:hint="default" w:ascii="Times New Roman" w:hAnsi="Times New Roman" w:eastAsia="宋体" w:cs="Times New Roman"/>
                <w:color w:val="auto"/>
                <w:szCs w:val="21"/>
                <w:highlight w:val="none"/>
                <w:u w:val="none" w:color="auto"/>
                <w:lang w:val="en-US" w:eastAsia="zh-CN"/>
              </w:rPr>
              <w:t>1830~2204</w:t>
            </w:r>
          </w:p>
        </w:tc>
        <w:tc>
          <w:tcPr>
            <w:tcW w:w="854" w:type="pct"/>
            <w:gridSpan w:val="2"/>
            <w:vMerge w:val="continue"/>
            <w:tcBorders>
              <w:tl2br w:val="nil"/>
              <w:tr2bl w:val="nil"/>
            </w:tcBorders>
            <w:noWrap w:val="0"/>
            <w:vAlign w:val="center"/>
          </w:tcPr>
          <w:p w14:paraId="5C4F43D4">
            <w:pPr>
              <w:jc w:val="center"/>
              <w:rPr>
                <w:rFonts w:hint="default" w:ascii="Times New Roman" w:hAnsi="Times New Roman" w:eastAsia="宋体" w:cs="Times New Roman"/>
                <w:color w:val="auto"/>
                <w:kern w:val="2"/>
                <w:sz w:val="21"/>
                <w:szCs w:val="21"/>
                <w:highlight w:val="none"/>
                <w:u w:val="none" w:color="auto"/>
                <w:lang w:val="en-US" w:eastAsia="zh-CN" w:bidi="ar-SA"/>
              </w:rPr>
            </w:pPr>
          </w:p>
        </w:tc>
        <w:tc>
          <w:tcPr>
            <w:tcW w:w="766" w:type="pct"/>
            <w:tcBorders>
              <w:tl2br w:val="nil"/>
              <w:tr2bl w:val="nil"/>
            </w:tcBorders>
            <w:noWrap w:val="0"/>
            <w:vAlign w:val="center"/>
          </w:tcPr>
          <w:p w14:paraId="7CC22440">
            <w:pPr>
              <w:jc w:val="center"/>
              <w:rPr>
                <w:rFonts w:hint="default" w:ascii="Times New Roman" w:hAnsi="Times New Roman" w:eastAsia="宋体" w:cs="Times New Roman"/>
                <w:color w:val="auto"/>
                <w:szCs w:val="21"/>
                <w:highlight w:val="none"/>
                <w:u w:val="none" w:color="auto"/>
                <w:lang w:val="en-US" w:eastAsia="zh-CN"/>
              </w:rPr>
            </w:pPr>
            <w:r>
              <w:rPr>
                <w:rFonts w:hint="default" w:ascii="Times New Roman" w:hAnsi="Times New Roman" w:eastAsia="宋体" w:cs="Times New Roman"/>
                <w:i w:val="0"/>
                <w:iCs w:val="0"/>
                <w:color w:val="auto"/>
                <w:kern w:val="0"/>
                <w:sz w:val="21"/>
                <w:szCs w:val="21"/>
                <w:u w:val="none" w:color="auto"/>
                <w:lang w:val="en-US" w:eastAsia="zh-CN" w:bidi="ar"/>
              </w:rPr>
              <w:t>约</w:t>
            </w:r>
            <w:r>
              <w:rPr>
                <w:rFonts w:hint="default" w:ascii="Times New Roman" w:hAnsi="Times New Roman" w:eastAsia="宋体" w:cs="Times New Roman"/>
                <w:color w:val="auto"/>
                <w:szCs w:val="21"/>
                <w:highlight w:val="none"/>
                <w:u w:val="none" w:color="auto"/>
                <w:lang w:val="en-US" w:eastAsia="zh-CN"/>
              </w:rPr>
              <w:t>2700</w:t>
            </w:r>
          </w:p>
        </w:tc>
      </w:tr>
      <w:tr w14:paraId="2B0D4A8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66" w:type="pct"/>
            <w:vMerge w:val="continue"/>
            <w:tcBorders>
              <w:tl2br w:val="nil"/>
              <w:tr2bl w:val="nil"/>
            </w:tcBorders>
            <w:noWrap w:val="0"/>
            <w:vAlign w:val="center"/>
          </w:tcPr>
          <w:p w14:paraId="6C13C3ED">
            <w:pPr>
              <w:contextualSpacing/>
              <w:jc w:val="center"/>
              <w:rPr>
                <w:rFonts w:hint="default" w:ascii="Times New Roman" w:hAnsi="Times New Roman" w:eastAsia="宋体" w:cs="Times New Roman"/>
                <w:color w:val="auto"/>
                <w:szCs w:val="21"/>
                <w:highlight w:val="none"/>
                <w:u w:val="none" w:color="auto"/>
              </w:rPr>
            </w:pPr>
          </w:p>
        </w:tc>
        <w:tc>
          <w:tcPr>
            <w:tcW w:w="408" w:type="pct"/>
            <w:tcBorders>
              <w:tl2br w:val="nil"/>
              <w:tr2bl w:val="nil"/>
            </w:tcBorders>
            <w:noWrap w:val="0"/>
            <w:vAlign w:val="center"/>
          </w:tcPr>
          <w:p w14:paraId="683555E8">
            <w:pPr>
              <w:contextualSpacing/>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24</w:t>
            </w:r>
          </w:p>
        </w:tc>
        <w:tc>
          <w:tcPr>
            <w:tcW w:w="1215" w:type="pct"/>
            <w:gridSpan w:val="3"/>
            <w:tcBorders>
              <w:tl2br w:val="nil"/>
              <w:tr2bl w:val="nil"/>
            </w:tcBorders>
            <w:noWrap w:val="0"/>
            <w:vAlign w:val="center"/>
          </w:tcPr>
          <w:p w14:paraId="3A7D3322">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u w:val="none" w:color="auto"/>
                <w:lang w:bidi="ar"/>
              </w:rPr>
            </w:pPr>
            <w:r>
              <w:rPr>
                <w:rFonts w:hint="default" w:ascii="Times New Roman" w:hAnsi="Times New Roman" w:eastAsia="宋体" w:cs="Times New Roman"/>
                <w:i w:val="0"/>
                <w:iCs w:val="0"/>
                <w:color w:val="auto"/>
                <w:kern w:val="0"/>
                <w:sz w:val="21"/>
                <w:szCs w:val="21"/>
                <w:u w:val="none" w:color="auto"/>
                <w:lang w:val="en-US" w:eastAsia="zh-CN" w:bidi="ar"/>
              </w:rPr>
              <w:t>岳阳市物流工程职业学校、岳阳职业技术学院自贸区现代产业学院</w:t>
            </w:r>
          </w:p>
        </w:tc>
        <w:tc>
          <w:tcPr>
            <w:tcW w:w="600" w:type="pct"/>
            <w:gridSpan w:val="2"/>
            <w:tcBorders>
              <w:tl2br w:val="nil"/>
              <w:tr2bl w:val="nil"/>
            </w:tcBorders>
            <w:noWrap w:val="0"/>
            <w:vAlign w:val="center"/>
          </w:tcPr>
          <w:p w14:paraId="656D77E4">
            <w:pPr>
              <w:jc w:val="center"/>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lang w:val="en-US" w:eastAsia="zh-CN"/>
              </w:rPr>
              <w:t>南</w:t>
            </w:r>
          </w:p>
        </w:tc>
        <w:tc>
          <w:tcPr>
            <w:tcW w:w="688" w:type="pct"/>
            <w:gridSpan w:val="2"/>
            <w:tcBorders>
              <w:tl2br w:val="nil"/>
              <w:tr2bl w:val="nil"/>
            </w:tcBorders>
            <w:noWrap w:val="0"/>
            <w:vAlign w:val="center"/>
          </w:tcPr>
          <w:p w14:paraId="746808B5">
            <w:pPr>
              <w:jc w:val="center"/>
              <w:rPr>
                <w:rFonts w:hint="default" w:ascii="Times New Roman" w:hAnsi="Times New Roman" w:eastAsia="宋体" w:cs="Times New Roman"/>
                <w:color w:val="auto"/>
                <w:szCs w:val="21"/>
                <w:highlight w:val="none"/>
                <w:u w:val="none" w:color="auto"/>
                <w:lang w:val="en-US" w:eastAsia="zh-CN"/>
              </w:rPr>
            </w:pPr>
            <w:r>
              <w:rPr>
                <w:rFonts w:hint="default" w:ascii="Times New Roman" w:hAnsi="Times New Roman" w:eastAsia="宋体" w:cs="Times New Roman"/>
                <w:color w:val="auto"/>
                <w:szCs w:val="21"/>
                <w:highlight w:val="none"/>
                <w:u w:val="none" w:color="auto"/>
                <w:lang w:val="en-US" w:eastAsia="zh-CN"/>
              </w:rPr>
              <w:t>1767~2062</w:t>
            </w:r>
          </w:p>
        </w:tc>
        <w:tc>
          <w:tcPr>
            <w:tcW w:w="854" w:type="pct"/>
            <w:gridSpan w:val="2"/>
            <w:tcBorders>
              <w:tl2br w:val="nil"/>
              <w:tr2bl w:val="nil"/>
            </w:tcBorders>
            <w:noWrap w:val="0"/>
            <w:vAlign w:val="center"/>
          </w:tcPr>
          <w:p w14:paraId="30AD3229">
            <w:pPr>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师生</w:t>
            </w:r>
          </w:p>
        </w:tc>
        <w:tc>
          <w:tcPr>
            <w:tcW w:w="766" w:type="pct"/>
            <w:tcBorders>
              <w:tl2br w:val="nil"/>
              <w:tr2bl w:val="nil"/>
            </w:tcBorders>
            <w:noWrap w:val="0"/>
            <w:vAlign w:val="center"/>
          </w:tcPr>
          <w:p w14:paraId="59358959">
            <w:pPr>
              <w:jc w:val="center"/>
              <w:rPr>
                <w:rFonts w:hint="default" w:ascii="Times New Roman" w:hAnsi="Times New Roman" w:eastAsia="宋体" w:cs="Times New Roman"/>
                <w:color w:val="auto"/>
                <w:szCs w:val="21"/>
                <w:highlight w:val="none"/>
                <w:u w:val="none" w:color="auto"/>
                <w:lang w:val="en-US" w:eastAsia="zh-CN"/>
              </w:rPr>
            </w:pPr>
            <w:r>
              <w:rPr>
                <w:rFonts w:hint="default" w:ascii="Times New Roman" w:hAnsi="Times New Roman" w:eastAsia="宋体" w:cs="Times New Roman"/>
                <w:i w:val="0"/>
                <w:iCs w:val="0"/>
                <w:color w:val="auto"/>
                <w:kern w:val="0"/>
                <w:sz w:val="21"/>
                <w:szCs w:val="21"/>
                <w:u w:val="none" w:color="auto"/>
                <w:lang w:val="en-US" w:eastAsia="zh-CN" w:bidi="ar"/>
              </w:rPr>
              <w:t>约2800</w:t>
            </w:r>
          </w:p>
        </w:tc>
      </w:tr>
      <w:tr w14:paraId="60C0FD5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66" w:type="pct"/>
            <w:vMerge w:val="continue"/>
            <w:tcBorders>
              <w:tl2br w:val="nil"/>
              <w:tr2bl w:val="nil"/>
            </w:tcBorders>
            <w:noWrap w:val="0"/>
            <w:vAlign w:val="center"/>
          </w:tcPr>
          <w:p w14:paraId="694BB272">
            <w:pPr>
              <w:contextualSpacing/>
              <w:jc w:val="center"/>
              <w:rPr>
                <w:rFonts w:hint="default" w:ascii="Times New Roman" w:hAnsi="Times New Roman" w:eastAsia="宋体" w:cs="Times New Roman"/>
                <w:color w:val="auto"/>
                <w:szCs w:val="21"/>
                <w:highlight w:val="none"/>
                <w:u w:val="none" w:color="auto"/>
              </w:rPr>
            </w:pPr>
          </w:p>
        </w:tc>
        <w:tc>
          <w:tcPr>
            <w:tcW w:w="408" w:type="pct"/>
            <w:tcBorders>
              <w:tl2br w:val="nil"/>
              <w:tr2bl w:val="nil"/>
            </w:tcBorders>
            <w:noWrap w:val="0"/>
            <w:vAlign w:val="center"/>
          </w:tcPr>
          <w:p w14:paraId="08CE0E74">
            <w:pPr>
              <w:contextualSpacing/>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25</w:t>
            </w:r>
          </w:p>
        </w:tc>
        <w:tc>
          <w:tcPr>
            <w:tcW w:w="1215" w:type="pct"/>
            <w:gridSpan w:val="3"/>
            <w:tcBorders>
              <w:tl2br w:val="nil"/>
              <w:tr2bl w:val="nil"/>
            </w:tcBorders>
            <w:noWrap w:val="0"/>
            <w:vAlign w:val="center"/>
          </w:tcPr>
          <w:p w14:paraId="2E43A38E">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u w:val="none" w:color="auto"/>
                <w:lang w:bidi="ar"/>
              </w:rPr>
            </w:pPr>
            <w:r>
              <w:rPr>
                <w:rFonts w:hint="default" w:ascii="Times New Roman" w:hAnsi="Times New Roman" w:eastAsia="宋体" w:cs="Times New Roman"/>
                <w:i w:val="0"/>
                <w:iCs w:val="0"/>
                <w:color w:val="auto"/>
                <w:kern w:val="0"/>
                <w:sz w:val="21"/>
                <w:szCs w:val="21"/>
                <w:u w:val="none" w:color="auto"/>
                <w:lang w:val="en-US" w:eastAsia="zh-CN" w:bidi="ar"/>
              </w:rPr>
              <w:t>云溪区政务服务中心</w:t>
            </w:r>
          </w:p>
        </w:tc>
        <w:tc>
          <w:tcPr>
            <w:tcW w:w="600" w:type="pct"/>
            <w:gridSpan w:val="2"/>
            <w:tcBorders>
              <w:tl2br w:val="nil"/>
              <w:tr2bl w:val="nil"/>
            </w:tcBorders>
            <w:noWrap w:val="0"/>
            <w:vAlign w:val="center"/>
          </w:tcPr>
          <w:p w14:paraId="6D09A4B5">
            <w:pPr>
              <w:jc w:val="center"/>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kern w:val="2"/>
                <w:sz w:val="21"/>
                <w:szCs w:val="21"/>
                <w:highlight w:val="none"/>
                <w:u w:val="none" w:color="auto"/>
                <w:lang w:val="en-US" w:eastAsia="zh-CN" w:bidi="ar-SA"/>
              </w:rPr>
              <w:t>东</w:t>
            </w:r>
          </w:p>
        </w:tc>
        <w:tc>
          <w:tcPr>
            <w:tcW w:w="688" w:type="pct"/>
            <w:gridSpan w:val="2"/>
            <w:tcBorders>
              <w:tl2br w:val="nil"/>
              <w:tr2bl w:val="nil"/>
            </w:tcBorders>
            <w:noWrap w:val="0"/>
            <w:vAlign w:val="center"/>
          </w:tcPr>
          <w:p w14:paraId="03F446CC">
            <w:pPr>
              <w:jc w:val="center"/>
              <w:rPr>
                <w:rFonts w:hint="default" w:ascii="Times New Roman" w:hAnsi="Times New Roman" w:eastAsia="宋体" w:cs="Times New Roman"/>
                <w:color w:val="auto"/>
                <w:szCs w:val="21"/>
                <w:highlight w:val="none"/>
                <w:u w:val="none" w:color="auto"/>
                <w:lang w:val="en-US" w:eastAsia="zh-CN"/>
              </w:rPr>
            </w:pPr>
            <w:r>
              <w:rPr>
                <w:rFonts w:hint="default" w:ascii="Times New Roman" w:hAnsi="Times New Roman" w:eastAsia="宋体" w:cs="Times New Roman"/>
                <w:color w:val="auto"/>
                <w:szCs w:val="21"/>
                <w:highlight w:val="none"/>
                <w:u w:val="none" w:color="auto"/>
                <w:lang w:val="en-US" w:eastAsia="zh-CN"/>
              </w:rPr>
              <w:t>4149~4280</w:t>
            </w:r>
          </w:p>
        </w:tc>
        <w:tc>
          <w:tcPr>
            <w:tcW w:w="854" w:type="pct"/>
            <w:gridSpan w:val="2"/>
            <w:tcBorders>
              <w:tl2br w:val="nil"/>
              <w:tr2bl w:val="nil"/>
            </w:tcBorders>
            <w:noWrap w:val="0"/>
            <w:vAlign w:val="center"/>
          </w:tcPr>
          <w:p w14:paraId="188CEFA2">
            <w:pPr>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行政办公机构</w:t>
            </w:r>
          </w:p>
        </w:tc>
        <w:tc>
          <w:tcPr>
            <w:tcW w:w="766" w:type="pct"/>
            <w:tcBorders>
              <w:tl2br w:val="nil"/>
              <w:tr2bl w:val="nil"/>
            </w:tcBorders>
            <w:noWrap w:val="0"/>
            <w:vAlign w:val="center"/>
          </w:tcPr>
          <w:p w14:paraId="21816303">
            <w:pPr>
              <w:jc w:val="center"/>
              <w:rPr>
                <w:rFonts w:hint="default" w:ascii="Times New Roman" w:hAnsi="Times New Roman" w:eastAsia="宋体" w:cs="Times New Roman"/>
                <w:color w:val="auto"/>
                <w:szCs w:val="21"/>
                <w:highlight w:val="none"/>
                <w:u w:val="none" w:color="auto"/>
                <w:lang w:val="en-US" w:eastAsia="zh-CN"/>
              </w:rPr>
            </w:pPr>
            <w:r>
              <w:rPr>
                <w:rFonts w:hint="default" w:ascii="Times New Roman" w:hAnsi="Times New Roman" w:eastAsia="宋体" w:cs="Times New Roman"/>
                <w:i w:val="0"/>
                <w:iCs w:val="0"/>
                <w:color w:val="auto"/>
                <w:kern w:val="0"/>
                <w:sz w:val="21"/>
                <w:szCs w:val="21"/>
                <w:u w:val="none" w:color="auto"/>
                <w:lang w:val="en-US" w:eastAsia="zh-CN" w:bidi="ar"/>
              </w:rPr>
              <w:t>约</w:t>
            </w:r>
            <w:r>
              <w:rPr>
                <w:rFonts w:hint="default" w:ascii="Times New Roman" w:hAnsi="Times New Roman" w:eastAsia="宋体" w:cs="Times New Roman"/>
                <w:color w:val="auto"/>
                <w:szCs w:val="21"/>
                <w:highlight w:val="none"/>
                <w:u w:val="none" w:color="auto"/>
                <w:lang w:val="en-US" w:eastAsia="zh-CN"/>
              </w:rPr>
              <w:t>430</w:t>
            </w:r>
          </w:p>
        </w:tc>
      </w:tr>
      <w:tr w14:paraId="6D0D9CB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66" w:type="pct"/>
            <w:vMerge w:val="continue"/>
            <w:tcBorders>
              <w:tl2br w:val="nil"/>
              <w:tr2bl w:val="nil"/>
            </w:tcBorders>
            <w:noWrap w:val="0"/>
            <w:vAlign w:val="center"/>
          </w:tcPr>
          <w:p w14:paraId="1AED6246">
            <w:pPr>
              <w:contextualSpacing/>
              <w:jc w:val="center"/>
              <w:rPr>
                <w:rFonts w:hint="default" w:ascii="Times New Roman" w:hAnsi="Times New Roman" w:eastAsia="宋体" w:cs="Times New Roman"/>
                <w:color w:val="auto"/>
                <w:szCs w:val="21"/>
                <w:highlight w:val="none"/>
                <w:u w:val="none" w:color="auto"/>
              </w:rPr>
            </w:pPr>
          </w:p>
        </w:tc>
        <w:tc>
          <w:tcPr>
            <w:tcW w:w="408" w:type="pct"/>
            <w:tcBorders>
              <w:tl2br w:val="nil"/>
              <w:tr2bl w:val="nil"/>
            </w:tcBorders>
            <w:noWrap w:val="0"/>
            <w:vAlign w:val="center"/>
          </w:tcPr>
          <w:p w14:paraId="763C0DD1">
            <w:pPr>
              <w:contextualSpacing/>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Cs w:val="21"/>
                <w:highlight w:val="none"/>
                <w:u w:val="none" w:color="auto"/>
                <w:lang w:val="en-US" w:eastAsia="zh-CN"/>
              </w:rPr>
              <w:t>27</w:t>
            </w:r>
          </w:p>
        </w:tc>
        <w:tc>
          <w:tcPr>
            <w:tcW w:w="1215" w:type="pct"/>
            <w:gridSpan w:val="3"/>
            <w:tcBorders>
              <w:tl2br w:val="nil"/>
              <w:tr2bl w:val="nil"/>
            </w:tcBorders>
            <w:noWrap w:val="0"/>
            <w:vAlign w:val="center"/>
          </w:tcPr>
          <w:p w14:paraId="0F995D2C">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岳阳市巴陵学校</w:t>
            </w:r>
          </w:p>
        </w:tc>
        <w:tc>
          <w:tcPr>
            <w:tcW w:w="600" w:type="pct"/>
            <w:gridSpan w:val="2"/>
            <w:tcBorders>
              <w:tl2br w:val="nil"/>
              <w:tr2bl w:val="nil"/>
            </w:tcBorders>
            <w:noWrap w:val="0"/>
            <w:vAlign w:val="center"/>
          </w:tcPr>
          <w:p w14:paraId="084C08BE">
            <w:pPr>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东</w:t>
            </w:r>
          </w:p>
        </w:tc>
        <w:tc>
          <w:tcPr>
            <w:tcW w:w="688" w:type="pct"/>
            <w:gridSpan w:val="2"/>
            <w:tcBorders>
              <w:tl2br w:val="nil"/>
              <w:tr2bl w:val="nil"/>
            </w:tcBorders>
            <w:noWrap w:val="0"/>
            <w:vAlign w:val="center"/>
          </w:tcPr>
          <w:p w14:paraId="7A40D6B2">
            <w:pPr>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2991~3237</w:t>
            </w:r>
          </w:p>
        </w:tc>
        <w:tc>
          <w:tcPr>
            <w:tcW w:w="854" w:type="pct"/>
            <w:gridSpan w:val="2"/>
            <w:tcBorders>
              <w:tl2br w:val="nil"/>
              <w:tr2bl w:val="nil"/>
            </w:tcBorders>
            <w:noWrap w:val="0"/>
            <w:vAlign w:val="center"/>
          </w:tcPr>
          <w:p w14:paraId="291AAD66">
            <w:pPr>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师生</w:t>
            </w:r>
          </w:p>
        </w:tc>
        <w:tc>
          <w:tcPr>
            <w:tcW w:w="766" w:type="pct"/>
            <w:tcBorders>
              <w:tl2br w:val="nil"/>
              <w:tr2bl w:val="nil"/>
            </w:tcBorders>
            <w:noWrap w:val="0"/>
            <w:vAlign w:val="center"/>
          </w:tcPr>
          <w:p w14:paraId="1D68FEBF">
            <w:pPr>
              <w:jc w:val="center"/>
              <w:rPr>
                <w:rFonts w:hint="default" w:ascii="Times New Roman" w:hAnsi="Times New Roman" w:eastAsia="宋体" w:cs="Times New Roman"/>
                <w:color w:val="auto"/>
                <w:szCs w:val="21"/>
                <w:highlight w:val="none"/>
                <w:u w:val="none" w:color="auto"/>
                <w:lang w:val="en-US" w:eastAsia="zh-CN"/>
              </w:rPr>
            </w:pPr>
            <w:r>
              <w:rPr>
                <w:rFonts w:hint="default" w:ascii="Times New Roman" w:hAnsi="Times New Roman" w:eastAsia="宋体" w:cs="Times New Roman"/>
                <w:i w:val="0"/>
                <w:iCs w:val="0"/>
                <w:color w:val="auto"/>
                <w:kern w:val="0"/>
                <w:sz w:val="21"/>
                <w:szCs w:val="21"/>
                <w:u w:val="none" w:color="auto"/>
                <w:lang w:val="en-US" w:eastAsia="zh-CN" w:bidi="ar"/>
              </w:rPr>
              <w:t>约</w:t>
            </w:r>
            <w:r>
              <w:rPr>
                <w:rFonts w:hint="default" w:ascii="Times New Roman" w:hAnsi="Times New Roman" w:eastAsia="宋体" w:cs="Times New Roman"/>
                <w:color w:val="auto"/>
                <w:szCs w:val="21"/>
                <w:highlight w:val="none"/>
                <w:u w:val="none" w:color="auto"/>
                <w:lang w:val="en-US" w:eastAsia="zh-CN"/>
              </w:rPr>
              <w:t>900</w:t>
            </w:r>
          </w:p>
        </w:tc>
      </w:tr>
      <w:tr w14:paraId="5E37A3A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66" w:type="pct"/>
            <w:vMerge w:val="continue"/>
            <w:tcBorders>
              <w:tl2br w:val="nil"/>
              <w:tr2bl w:val="nil"/>
            </w:tcBorders>
            <w:noWrap w:val="0"/>
            <w:vAlign w:val="center"/>
          </w:tcPr>
          <w:p w14:paraId="32302E62">
            <w:pPr>
              <w:contextualSpacing/>
              <w:jc w:val="center"/>
              <w:rPr>
                <w:rFonts w:hint="default" w:ascii="Times New Roman" w:hAnsi="Times New Roman" w:eastAsia="宋体" w:cs="Times New Roman"/>
                <w:color w:val="auto"/>
                <w:szCs w:val="21"/>
                <w:highlight w:val="none"/>
                <w:u w:val="none" w:color="auto"/>
              </w:rPr>
            </w:pPr>
          </w:p>
        </w:tc>
        <w:tc>
          <w:tcPr>
            <w:tcW w:w="408" w:type="pct"/>
            <w:tcBorders>
              <w:tl2br w:val="nil"/>
              <w:tr2bl w:val="nil"/>
            </w:tcBorders>
            <w:noWrap w:val="0"/>
            <w:vAlign w:val="center"/>
          </w:tcPr>
          <w:p w14:paraId="26E25EFD">
            <w:pPr>
              <w:contextualSpacing/>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Cs w:val="21"/>
                <w:highlight w:val="none"/>
                <w:u w:val="none" w:color="auto"/>
                <w:lang w:val="en-US" w:eastAsia="zh-CN"/>
              </w:rPr>
              <w:t>28</w:t>
            </w:r>
          </w:p>
        </w:tc>
        <w:tc>
          <w:tcPr>
            <w:tcW w:w="1215" w:type="pct"/>
            <w:gridSpan w:val="3"/>
            <w:tcBorders>
              <w:tl2br w:val="nil"/>
              <w:tr2bl w:val="nil"/>
            </w:tcBorders>
            <w:noWrap w:val="0"/>
            <w:vAlign w:val="center"/>
          </w:tcPr>
          <w:p w14:paraId="07282CBC">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福天城小区</w:t>
            </w:r>
          </w:p>
        </w:tc>
        <w:tc>
          <w:tcPr>
            <w:tcW w:w="600" w:type="pct"/>
            <w:gridSpan w:val="2"/>
            <w:tcBorders>
              <w:tl2br w:val="nil"/>
              <w:tr2bl w:val="nil"/>
            </w:tcBorders>
            <w:noWrap w:val="0"/>
            <w:vAlign w:val="center"/>
          </w:tcPr>
          <w:p w14:paraId="0741B3C4">
            <w:pPr>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东南</w:t>
            </w:r>
          </w:p>
        </w:tc>
        <w:tc>
          <w:tcPr>
            <w:tcW w:w="688" w:type="pct"/>
            <w:gridSpan w:val="2"/>
            <w:tcBorders>
              <w:tl2br w:val="nil"/>
              <w:tr2bl w:val="nil"/>
            </w:tcBorders>
            <w:noWrap w:val="0"/>
            <w:vAlign w:val="center"/>
          </w:tcPr>
          <w:p w14:paraId="64C6A0B1">
            <w:pPr>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2455~2679</w:t>
            </w:r>
          </w:p>
        </w:tc>
        <w:tc>
          <w:tcPr>
            <w:tcW w:w="854" w:type="pct"/>
            <w:gridSpan w:val="2"/>
            <w:vMerge w:val="restart"/>
            <w:tcBorders>
              <w:tl2br w:val="nil"/>
              <w:tr2bl w:val="nil"/>
            </w:tcBorders>
            <w:noWrap w:val="0"/>
            <w:vAlign w:val="center"/>
          </w:tcPr>
          <w:p w14:paraId="322764C4">
            <w:pPr>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居民</w:t>
            </w:r>
          </w:p>
        </w:tc>
        <w:tc>
          <w:tcPr>
            <w:tcW w:w="766" w:type="pct"/>
            <w:tcBorders>
              <w:tl2br w:val="nil"/>
              <w:tr2bl w:val="nil"/>
            </w:tcBorders>
            <w:noWrap w:val="0"/>
            <w:vAlign w:val="center"/>
          </w:tcPr>
          <w:p w14:paraId="178777FF">
            <w:pPr>
              <w:jc w:val="center"/>
              <w:rPr>
                <w:rFonts w:hint="default" w:ascii="Times New Roman" w:hAnsi="Times New Roman" w:eastAsia="宋体" w:cs="Times New Roman"/>
                <w:color w:val="auto"/>
                <w:szCs w:val="21"/>
                <w:highlight w:val="none"/>
                <w:u w:val="none" w:color="auto"/>
                <w:lang w:val="en-US" w:eastAsia="zh-CN"/>
              </w:rPr>
            </w:pPr>
            <w:r>
              <w:rPr>
                <w:rFonts w:hint="default" w:ascii="Times New Roman" w:hAnsi="Times New Roman" w:eastAsia="宋体" w:cs="Times New Roman"/>
                <w:i w:val="0"/>
                <w:iCs w:val="0"/>
                <w:color w:val="auto"/>
                <w:kern w:val="0"/>
                <w:sz w:val="21"/>
                <w:szCs w:val="21"/>
                <w:u w:val="none" w:color="auto"/>
                <w:lang w:val="en-US" w:eastAsia="zh-CN" w:bidi="ar"/>
              </w:rPr>
              <w:t>约</w:t>
            </w:r>
            <w:r>
              <w:rPr>
                <w:rFonts w:hint="default" w:ascii="Times New Roman" w:hAnsi="Times New Roman" w:eastAsia="宋体" w:cs="Times New Roman"/>
                <w:color w:val="auto"/>
                <w:szCs w:val="21"/>
                <w:highlight w:val="none"/>
                <w:u w:val="none" w:color="auto"/>
                <w:lang w:val="en-US" w:eastAsia="zh-CN"/>
              </w:rPr>
              <w:t>1200</w:t>
            </w:r>
          </w:p>
        </w:tc>
      </w:tr>
      <w:tr w14:paraId="6655523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66" w:type="pct"/>
            <w:vMerge w:val="continue"/>
            <w:tcBorders>
              <w:tl2br w:val="nil"/>
              <w:tr2bl w:val="nil"/>
            </w:tcBorders>
            <w:noWrap w:val="0"/>
            <w:vAlign w:val="center"/>
          </w:tcPr>
          <w:p w14:paraId="1BA7A0D7">
            <w:pPr>
              <w:contextualSpacing/>
              <w:jc w:val="center"/>
              <w:rPr>
                <w:rFonts w:hint="default" w:ascii="Times New Roman" w:hAnsi="Times New Roman" w:eastAsia="宋体" w:cs="Times New Roman"/>
                <w:color w:val="auto"/>
                <w:szCs w:val="21"/>
                <w:highlight w:val="none"/>
                <w:u w:val="none" w:color="auto"/>
              </w:rPr>
            </w:pPr>
          </w:p>
        </w:tc>
        <w:tc>
          <w:tcPr>
            <w:tcW w:w="408" w:type="pct"/>
            <w:tcBorders>
              <w:tl2br w:val="nil"/>
              <w:tr2bl w:val="nil"/>
            </w:tcBorders>
            <w:noWrap w:val="0"/>
            <w:vAlign w:val="center"/>
          </w:tcPr>
          <w:p w14:paraId="74A9F068">
            <w:pPr>
              <w:contextualSpacing/>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Cs w:val="21"/>
                <w:highlight w:val="none"/>
                <w:u w:val="none" w:color="auto"/>
                <w:lang w:val="en-US" w:eastAsia="zh-CN"/>
              </w:rPr>
              <w:t>29</w:t>
            </w:r>
          </w:p>
        </w:tc>
        <w:tc>
          <w:tcPr>
            <w:tcW w:w="1215" w:type="pct"/>
            <w:gridSpan w:val="3"/>
            <w:tcBorders>
              <w:tl2br w:val="nil"/>
              <w:tr2bl w:val="nil"/>
            </w:tcBorders>
            <w:noWrap w:val="0"/>
            <w:vAlign w:val="center"/>
          </w:tcPr>
          <w:p w14:paraId="15DF9F6B">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零陆嘉园</w:t>
            </w:r>
          </w:p>
        </w:tc>
        <w:tc>
          <w:tcPr>
            <w:tcW w:w="600" w:type="pct"/>
            <w:gridSpan w:val="2"/>
            <w:tcBorders>
              <w:tl2br w:val="nil"/>
              <w:tr2bl w:val="nil"/>
            </w:tcBorders>
            <w:noWrap w:val="0"/>
            <w:vAlign w:val="center"/>
          </w:tcPr>
          <w:p w14:paraId="3F4DE66D">
            <w:pPr>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东南</w:t>
            </w:r>
          </w:p>
        </w:tc>
        <w:tc>
          <w:tcPr>
            <w:tcW w:w="688" w:type="pct"/>
            <w:gridSpan w:val="2"/>
            <w:tcBorders>
              <w:tl2br w:val="nil"/>
              <w:tr2bl w:val="nil"/>
            </w:tcBorders>
            <w:noWrap w:val="0"/>
            <w:vAlign w:val="center"/>
          </w:tcPr>
          <w:p w14:paraId="0E9BC5D6">
            <w:pPr>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2392~2581</w:t>
            </w:r>
          </w:p>
        </w:tc>
        <w:tc>
          <w:tcPr>
            <w:tcW w:w="854" w:type="pct"/>
            <w:gridSpan w:val="2"/>
            <w:vMerge w:val="continue"/>
            <w:tcBorders>
              <w:tl2br w:val="nil"/>
              <w:tr2bl w:val="nil"/>
            </w:tcBorders>
            <w:noWrap w:val="0"/>
            <w:vAlign w:val="center"/>
          </w:tcPr>
          <w:p w14:paraId="6DE6DD66">
            <w:pPr>
              <w:jc w:val="center"/>
              <w:rPr>
                <w:rFonts w:hint="default" w:ascii="Times New Roman" w:hAnsi="Times New Roman" w:eastAsia="宋体" w:cs="Times New Roman"/>
                <w:color w:val="auto"/>
                <w:kern w:val="2"/>
                <w:sz w:val="21"/>
                <w:szCs w:val="21"/>
                <w:highlight w:val="none"/>
                <w:u w:val="none" w:color="auto"/>
                <w:lang w:val="en-US" w:eastAsia="zh-CN" w:bidi="ar-SA"/>
              </w:rPr>
            </w:pPr>
          </w:p>
        </w:tc>
        <w:tc>
          <w:tcPr>
            <w:tcW w:w="766" w:type="pct"/>
            <w:tcBorders>
              <w:tl2br w:val="nil"/>
              <w:tr2bl w:val="nil"/>
            </w:tcBorders>
            <w:noWrap w:val="0"/>
            <w:vAlign w:val="center"/>
          </w:tcPr>
          <w:p w14:paraId="177D8E14">
            <w:pPr>
              <w:jc w:val="center"/>
              <w:rPr>
                <w:rFonts w:hint="default" w:ascii="Times New Roman" w:hAnsi="Times New Roman" w:eastAsia="宋体" w:cs="Times New Roman"/>
                <w:color w:val="auto"/>
                <w:szCs w:val="21"/>
                <w:highlight w:val="none"/>
                <w:u w:val="none" w:color="auto"/>
                <w:lang w:val="en-US" w:eastAsia="zh-CN"/>
              </w:rPr>
            </w:pPr>
            <w:r>
              <w:rPr>
                <w:rFonts w:hint="default" w:ascii="Times New Roman" w:hAnsi="Times New Roman" w:eastAsia="宋体" w:cs="Times New Roman"/>
                <w:i w:val="0"/>
                <w:iCs w:val="0"/>
                <w:color w:val="auto"/>
                <w:kern w:val="0"/>
                <w:sz w:val="21"/>
                <w:szCs w:val="21"/>
                <w:u w:val="none" w:color="auto"/>
                <w:lang w:val="en-US" w:eastAsia="zh-CN" w:bidi="ar"/>
              </w:rPr>
              <w:t>约</w:t>
            </w:r>
            <w:r>
              <w:rPr>
                <w:rFonts w:hint="default" w:ascii="Times New Roman" w:hAnsi="Times New Roman" w:eastAsia="宋体" w:cs="Times New Roman"/>
                <w:color w:val="auto"/>
                <w:szCs w:val="21"/>
                <w:highlight w:val="none"/>
                <w:u w:val="none" w:color="auto"/>
                <w:lang w:val="en-US" w:eastAsia="zh-CN"/>
              </w:rPr>
              <w:t>1300</w:t>
            </w:r>
          </w:p>
        </w:tc>
      </w:tr>
      <w:tr w14:paraId="4DE0354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66" w:type="pct"/>
            <w:vMerge w:val="continue"/>
            <w:tcBorders>
              <w:tl2br w:val="nil"/>
              <w:tr2bl w:val="nil"/>
            </w:tcBorders>
            <w:noWrap w:val="0"/>
            <w:vAlign w:val="center"/>
          </w:tcPr>
          <w:p w14:paraId="706E38DD">
            <w:pPr>
              <w:contextualSpacing/>
              <w:jc w:val="center"/>
              <w:rPr>
                <w:rFonts w:hint="default" w:ascii="Times New Roman" w:hAnsi="Times New Roman" w:eastAsia="宋体" w:cs="Times New Roman"/>
                <w:color w:val="auto"/>
                <w:szCs w:val="21"/>
                <w:highlight w:val="none"/>
                <w:u w:val="none" w:color="auto"/>
              </w:rPr>
            </w:pPr>
          </w:p>
        </w:tc>
        <w:tc>
          <w:tcPr>
            <w:tcW w:w="408" w:type="pct"/>
            <w:tcBorders>
              <w:tl2br w:val="nil"/>
              <w:tr2bl w:val="nil"/>
            </w:tcBorders>
            <w:noWrap w:val="0"/>
            <w:vAlign w:val="center"/>
          </w:tcPr>
          <w:p w14:paraId="1A6B8E14">
            <w:pPr>
              <w:contextualSpacing/>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Cs w:val="21"/>
                <w:highlight w:val="none"/>
                <w:u w:val="none" w:color="auto"/>
                <w:lang w:val="en-US" w:eastAsia="zh-CN"/>
              </w:rPr>
              <w:t>30</w:t>
            </w:r>
          </w:p>
        </w:tc>
        <w:tc>
          <w:tcPr>
            <w:tcW w:w="1215" w:type="pct"/>
            <w:gridSpan w:val="3"/>
            <w:tcBorders>
              <w:tl2br w:val="nil"/>
              <w:tr2bl w:val="nil"/>
            </w:tcBorders>
            <w:noWrap w:val="0"/>
            <w:vAlign w:val="center"/>
          </w:tcPr>
          <w:p w14:paraId="01258D90">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岳阳城陵矶综合保税区CCTC保税大厦</w:t>
            </w:r>
          </w:p>
        </w:tc>
        <w:tc>
          <w:tcPr>
            <w:tcW w:w="600" w:type="pct"/>
            <w:gridSpan w:val="2"/>
            <w:tcBorders>
              <w:tl2br w:val="nil"/>
              <w:tr2bl w:val="nil"/>
            </w:tcBorders>
            <w:noWrap w:val="0"/>
            <w:vAlign w:val="center"/>
          </w:tcPr>
          <w:p w14:paraId="21EB9936">
            <w:pPr>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东</w:t>
            </w:r>
          </w:p>
        </w:tc>
        <w:tc>
          <w:tcPr>
            <w:tcW w:w="688" w:type="pct"/>
            <w:gridSpan w:val="2"/>
            <w:tcBorders>
              <w:tl2br w:val="nil"/>
              <w:tr2bl w:val="nil"/>
            </w:tcBorders>
            <w:noWrap w:val="0"/>
            <w:vAlign w:val="center"/>
          </w:tcPr>
          <w:p w14:paraId="4C77AFB8">
            <w:pPr>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2316~2442</w:t>
            </w:r>
          </w:p>
        </w:tc>
        <w:tc>
          <w:tcPr>
            <w:tcW w:w="854" w:type="pct"/>
            <w:gridSpan w:val="2"/>
            <w:vMerge w:val="restart"/>
            <w:tcBorders>
              <w:tl2br w:val="nil"/>
              <w:tr2bl w:val="nil"/>
            </w:tcBorders>
            <w:noWrap w:val="0"/>
            <w:vAlign w:val="center"/>
          </w:tcPr>
          <w:p w14:paraId="4159CD97">
            <w:pPr>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行政办公机构</w:t>
            </w:r>
          </w:p>
        </w:tc>
        <w:tc>
          <w:tcPr>
            <w:tcW w:w="766" w:type="pct"/>
            <w:tcBorders>
              <w:tl2br w:val="nil"/>
              <w:tr2bl w:val="nil"/>
            </w:tcBorders>
            <w:noWrap w:val="0"/>
            <w:vAlign w:val="center"/>
          </w:tcPr>
          <w:p w14:paraId="12DA2AA8">
            <w:pPr>
              <w:jc w:val="center"/>
              <w:rPr>
                <w:rFonts w:hint="default" w:ascii="Times New Roman" w:hAnsi="Times New Roman" w:eastAsia="宋体" w:cs="Times New Roman"/>
                <w:color w:val="auto"/>
                <w:szCs w:val="21"/>
                <w:highlight w:val="none"/>
                <w:u w:val="none" w:color="auto"/>
                <w:lang w:val="en-US" w:eastAsia="zh-CN"/>
              </w:rPr>
            </w:pPr>
            <w:r>
              <w:rPr>
                <w:rFonts w:hint="default" w:ascii="Times New Roman" w:hAnsi="Times New Roman" w:eastAsia="宋体" w:cs="Times New Roman"/>
                <w:i w:val="0"/>
                <w:iCs w:val="0"/>
                <w:color w:val="auto"/>
                <w:kern w:val="0"/>
                <w:sz w:val="21"/>
                <w:szCs w:val="21"/>
                <w:u w:val="none" w:color="auto"/>
                <w:lang w:val="en-US" w:eastAsia="zh-CN" w:bidi="ar"/>
              </w:rPr>
              <w:t>约</w:t>
            </w:r>
            <w:r>
              <w:rPr>
                <w:rFonts w:hint="default" w:ascii="Times New Roman" w:hAnsi="Times New Roman" w:eastAsia="宋体" w:cs="Times New Roman"/>
                <w:color w:val="auto"/>
                <w:szCs w:val="21"/>
                <w:highlight w:val="none"/>
                <w:u w:val="none" w:color="auto"/>
                <w:lang w:val="en-US" w:eastAsia="zh-CN"/>
              </w:rPr>
              <w:t>1200</w:t>
            </w:r>
          </w:p>
        </w:tc>
      </w:tr>
      <w:tr w14:paraId="237B726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66" w:type="pct"/>
            <w:vMerge w:val="continue"/>
            <w:tcBorders>
              <w:tl2br w:val="nil"/>
              <w:tr2bl w:val="nil"/>
            </w:tcBorders>
            <w:noWrap w:val="0"/>
            <w:vAlign w:val="center"/>
          </w:tcPr>
          <w:p w14:paraId="2C0A3020">
            <w:pPr>
              <w:contextualSpacing/>
              <w:jc w:val="center"/>
              <w:rPr>
                <w:rFonts w:hint="default" w:ascii="Times New Roman" w:hAnsi="Times New Roman" w:eastAsia="宋体" w:cs="Times New Roman"/>
                <w:color w:val="auto"/>
                <w:szCs w:val="21"/>
                <w:highlight w:val="none"/>
                <w:u w:val="none" w:color="auto"/>
              </w:rPr>
            </w:pPr>
          </w:p>
        </w:tc>
        <w:tc>
          <w:tcPr>
            <w:tcW w:w="408" w:type="pct"/>
            <w:tcBorders>
              <w:tl2br w:val="nil"/>
              <w:tr2bl w:val="nil"/>
            </w:tcBorders>
            <w:noWrap w:val="0"/>
            <w:vAlign w:val="center"/>
          </w:tcPr>
          <w:p w14:paraId="2577D113">
            <w:pPr>
              <w:contextualSpacing/>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Cs w:val="21"/>
                <w:highlight w:val="none"/>
                <w:u w:val="none" w:color="auto"/>
                <w:lang w:val="en-US" w:eastAsia="zh-CN"/>
              </w:rPr>
              <w:t>31</w:t>
            </w:r>
          </w:p>
        </w:tc>
        <w:tc>
          <w:tcPr>
            <w:tcW w:w="1215" w:type="pct"/>
            <w:gridSpan w:val="3"/>
            <w:tcBorders>
              <w:tl2br w:val="nil"/>
              <w:tr2bl w:val="nil"/>
            </w:tcBorders>
            <w:noWrap w:val="0"/>
            <w:vAlign w:val="center"/>
          </w:tcPr>
          <w:p w14:paraId="67199FA9">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岳阳城陵矶新港区管委会办公大楼</w:t>
            </w:r>
          </w:p>
        </w:tc>
        <w:tc>
          <w:tcPr>
            <w:tcW w:w="600" w:type="pct"/>
            <w:gridSpan w:val="2"/>
            <w:tcBorders>
              <w:tl2br w:val="nil"/>
              <w:tr2bl w:val="nil"/>
            </w:tcBorders>
            <w:noWrap w:val="0"/>
            <w:vAlign w:val="center"/>
          </w:tcPr>
          <w:p w14:paraId="5AE3CE86">
            <w:pPr>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东</w:t>
            </w:r>
          </w:p>
        </w:tc>
        <w:tc>
          <w:tcPr>
            <w:tcW w:w="688" w:type="pct"/>
            <w:gridSpan w:val="2"/>
            <w:tcBorders>
              <w:tl2br w:val="nil"/>
              <w:tr2bl w:val="nil"/>
            </w:tcBorders>
            <w:noWrap w:val="0"/>
            <w:vAlign w:val="center"/>
          </w:tcPr>
          <w:p w14:paraId="4DAA3CAB">
            <w:pPr>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1799~1927</w:t>
            </w:r>
          </w:p>
        </w:tc>
        <w:tc>
          <w:tcPr>
            <w:tcW w:w="854" w:type="pct"/>
            <w:gridSpan w:val="2"/>
            <w:vMerge w:val="continue"/>
            <w:tcBorders>
              <w:tl2br w:val="nil"/>
              <w:tr2bl w:val="nil"/>
            </w:tcBorders>
            <w:noWrap w:val="0"/>
            <w:vAlign w:val="center"/>
          </w:tcPr>
          <w:p w14:paraId="5407CACE">
            <w:pPr>
              <w:jc w:val="center"/>
              <w:rPr>
                <w:rFonts w:hint="default" w:ascii="Times New Roman" w:hAnsi="Times New Roman" w:eastAsia="宋体" w:cs="Times New Roman"/>
                <w:color w:val="auto"/>
                <w:szCs w:val="21"/>
                <w:highlight w:val="none"/>
                <w:u w:val="none" w:color="auto"/>
              </w:rPr>
            </w:pPr>
          </w:p>
        </w:tc>
        <w:tc>
          <w:tcPr>
            <w:tcW w:w="766" w:type="pct"/>
            <w:tcBorders>
              <w:tl2br w:val="nil"/>
              <w:tr2bl w:val="nil"/>
            </w:tcBorders>
            <w:noWrap w:val="0"/>
            <w:vAlign w:val="center"/>
          </w:tcPr>
          <w:p w14:paraId="7B928478">
            <w:pPr>
              <w:jc w:val="center"/>
              <w:rPr>
                <w:rFonts w:hint="default" w:ascii="Times New Roman" w:hAnsi="Times New Roman" w:eastAsia="宋体" w:cs="Times New Roman"/>
                <w:color w:val="auto"/>
                <w:szCs w:val="21"/>
                <w:highlight w:val="none"/>
                <w:u w:val="none" w:color="auto"/>
                <w:lang w:val="en-US" w:eastAsia="zh-CN"/>
              </w:rPr>
            </w:pPr>
            <w:r>
              <w:rPr>
                <w:rFonts w:hint="default" w:ascii="Times New Roman" w:hAnsi="Times New Roman" w:eastAsia="宋体" w:cs="Times New Roman"/>
                <w:i w:val="0"/>
                <w:iCs w:val="0"/>
                <w:color w:val="auto"/>
                <w:kern w:val="0"/>
                <w:sz w:val="21"/>
                <w:szCs w:val="21"/>
                <w:u w:val="none" w:color="auto"/>
                <w:lang w:val="en-US" w:eastAsia="zh-CN" w:bidi="ar"/>
              </w:rPr>
              <w:t>约</w:t>
            </w:r>
            <w:r>
              <w:rPr>
                <w:rFonts w:hint="default" w:ascii="Times New Roman" w:hAnsi="Times New Roman" w:eastAsia="宋体" w:cs="Times New Roman"/>
                <w:color w:val="auto"/>
                <w:szCs w:val="21"/>
                <w:highlight w:val="none"/>
                <w:u w:val="none" w:color="auto"/>
                <w:lang w:val="en-US" w:eastAsia="zh-CN"/>
              </w:rPr>
              <w:t>1700</w:t>
            </w:r>
          </w:p>
        </w:tc>
      </w:tr>
      <w:tr w14:paraId="24F341D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66" w:type="pct"/>
            <w:vMerge w:val="continue"/>
            <w:tcBorders>
              <w:tl2br w:val="nil"/>
              <w:tr2bl w:val="nil"/>
            </w:tcBorders>
            <w:noWrap w:val="0"/>
            <w:vAlign w:val="center"/>
          </w:tcPr>
          <w:p w14:paraId="66F10619">
            <w:pPr>
              <w:contextualSpacing/>
              <w:jc w:val="center"/>
              <w:rPr>
                <w:rFonts w:hint="default" w:ascii="Times New Roman" w:hAnsi="Times New Roman" w:eastAsia="宋体" w:cs="Times New Roman"/>
                <w:color w:val="auto"/>
                <w:szCs w:val="21"/>
                <w:highlight w:val="none"/>
                <w:u w:val="none" w:color="auto"/>
              </w:rPr>
            </w:pPr>
          </w:p>
        </w:tc>
        <w:tc>
          <w:tcPr>
            <w:tcW w:w="408" w:type="pct"/>
            <w:tcBorders>
              <w:tl2br w:val="nil"/>
              <w:tr2bl w:val="nil"/>
            </w:tcBorders>
            <w:noWrap w:val="0"/>
            <w:vAlign w:val="center"/>
          </w:tcPr>
          <w:p w14:paraId="083F784D">
            <w:pPr>
              <w:contextualSpacing/>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Cs w:val="21"/>
                <w:highlight w:val="none"/>
                <w:u w:val="none" w:color="auto"/>
                <w:lang w:val="en-US" w:eastAsia="zh-CN"/>
              </w:rPr>
              <w:t>32</w:t>
            </w:r>
          </w:p>
        </w:tc>
        <w:tc>
          <w:tcPr>
            <w:tcW w:w="1215" w:type="pct"/>
            <w:gridSpan w:val="3"/>
            <w:tcBorders>
              <w:tl2br w:val="nil"/>
              <w:tr2bl w:val="nil"/>
            </w:tcBorders>
            <w:noWrap w:val="0"/>
            <w:vAlign w:val="center"/>
          </w:tcPr>
          <w:p w14:paraId="04E8655E">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u w:val="none" w:color="auto"/>
                <w:lang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岳阳市城陵矶新港区税务局</w:t>
            </w:r>
          </w:p>
        </w:tc>
        <w:tc>
          <w:tcPr>
            <w:tcW w:w="600" w:type="pct"/>
            <w:gridSpan w:val="2"/>
            <w:tcBorders>
              <w:tl2br w:val="nil"/>
              <w:tr2bl w:val="nil"/>
            </w:tcBorders>
            <w:noWrap w:val="0"/>
            <w:vAlign w:val="center"/>
          </w:tcPr>
          <w:p w14:paraId="2A877019">
            <w:pPr>
              <w:jc w:val="center"/>
              <w:rPr>
                <w:rFonts w:hint="default" w:ascii="Times New Roman" w:hAnsi="Times New Roman" w:eastAsia="宋体" w:cs="Times New Roman"/>
                <w:color w:val="auto"/>
                <w:szCs w:val="21"/>
                <w:highlight w:val="none"/>
                <w:u w:val="none" w:color="auto"/>
                <w:lang w:val="en-US" w:eastAsia="zh-CN"/>
              </w:rPr>
            </w:pPr>
            <w:r>
              <w:rPr>
                <w:rFonts w:hint="default" w:ascii="Times New Roman" w:hAnsi="Times New Roman" w:eastAsia="宋体" w:cs="Times New Roman"/>
                <w:color w:val="auto"/>
                <w:kern w:val="2"/>
                <w:sz w:val="21"/>
                <w:szCs w:val="21"/>
                <w:highlight w:val="none"/>
                <w:u w:val="none" w:color="auto"/>
                <w:lang w:val="en-US" w:eastAsia="zh-CN" w:bidi="ar-SA"/>
              </w:rPr>
              <w:t>东</w:t>
            </w:r>
          </w:p>
        </w:tc>
        <w:tc>
          <w:tcPr>
            <w:tcW w:w="688" w:type="pct"/>
            <w:gridSpan w:val="2"/>
            <w:tcBorders>
              <w:tl2br w:val="nil"/>
              <w:tr2bl w:val="nil"/>
            </w:tcBorders>
            <w:noWrap w:val="0"/>
            <w:vAlign w:val="center"/>
          </w:tcPr>
          <w:p w14:paraId="30A04E46">
            <w:pPr>
              <w:jc w:val="center"/>
              <w:rPr>
                <w:rFonts w:hint="default" w:ascii="Times New Roman" w:hAnsi="Times New Roman" w:eastAsia="宋体" w:cs="Times New Roman"/>
                <w:color w:val="auto"/>
                <w:kern w:val="0"/>
                <w:szCs w:val="21"/>
                <w:highlight w:val="none"/>
                <w:u w:val="none" w:color="auto"/>
                <w:lang w:val="en-US" w:eastAsia="zh-CN" w:bidi="ar"/>
              </w:rPr>
            </w:pPr>
            <w:r>
              <w:rPr>
                <w:rFonts w:hint="default" w:ascii="Times New Roman" w:hAnsi="Times New Roman" w:eastAsia="宋体" w:cs="Times New Roman"/>
                <w:color w:val="auto"/>
                <w:kern w:val="0"/>
                <w:szCs w:val="21"/>
                <w:highlight w:val="none"/>
                <w:u w:val="none" w:color="auto"/>
                <w:lang w:val="en-US" w:eastAsia="zh-CN" w:bidi="ar"/>
              </w:rPr>
              <w:t>1552~1672</w:t>
            </w:r>
          </w:p>
        </w:tc>
        <w:tc>
          <w:tcPr>
            <w:tcW w:w="854" w:type="pct"/>
            <w:gridSpan w:val="2"/>
            <w:vMerge w:val="continue"/>
            <w:tcBorders>
              <w:tl2br w:val="nil"/>
              <w:tr2bl w:val="nil"/>
            </w:tcBorders>
            <w:noWrap w:val="0"/>
            <w:vAlign w:val="center"/>
          </w:tcPr>
          <w:p w14:paraId="2537CBD3">
            <w:pPr>
              <w:jc w:val="center"/>
              <w:rPr>
                <w:rFonts w:hint="default" w:ascii="Times New Roman" w:hAnsi="Times New Roman" w:eastAsia="宋体" w:cs="Times New Roman"/>
                <w:color w:val="auto"/>
                <w:szCs w:val="21"/>
                <w:highlight w:val="none"/>
                <w:u w:val="none" w:color="auto"/>
              </w:rPr>
            </w:pPr>
          </w:p>
        </w:tc>
        <w:tc>
          <w:tcPr>
            <w:tcW w:w="766" w:type="pct"/>
            <w:tcBorders>
              <w:tl2br w:val="nil"/>
              <w:tr2bl w:val="nil"/>
            </w:tcBorders>
            <w:noWrap w:val="0"/>
            <w:vAlign w:val="center"/>
          </w:tcPr>
          <w:p w14:paraId="702B7B8D">
            <w:pPr>
              <w:jc w:val="center"/>
              <w:rPr>
                <w:rFonts w:hint="default" w:ascii="Times New Roman" w:hAnsi="Times New Roman" w:eastAsia="宋体" w:cs="Times New Roman"/>
                <w:color w:val="auto"/>
                <w:szCs w:val="21"/>
                <w:highlight w:val="none"/>
                <w:u w:val="none" w:color="auto"/>
                <w:lang w:val="en-US" w:eastAsia="zh-CN"/>
              </w:rPr>
            </w:pPr>
            <w:r>
              <w:rPr>
                <w:rFonts w:hint="default" w:ascii="Times New Roman" w:hAnsi="Times New Roman" w:eastAsia="宋体" w:cs="Times New Roman"/>
                <w:i w:val="0"/>
                <w:iCs w:val="0"/>
                <w:color w:val="auto"/>
                <w:kern w:val="0"/>
                <w:sz w:val="21"/>
                <w:szCs w:val="21"/>
                <w:u w:val="none" w:color="auto"/>
                <w:lang w:val="en-US" w:eastAsia="zh-CN" w:bidi="ar"/>
              </w:rPr>
              <w:t>约</w:t>
            </w:r>
            <w:r>
              <w:rPr>
                <w:rFonts w:hint="default" w:ascii="Times New Roman" w:hAnsi="Times New Roman" w:eastAsia="宋体" w:cs="Times New Roman"/>
                <w:color w:val="auto"/>
                <w:szCs w:val="21"/>
                <w:highlight w:val="none"/>
                <w:u w:val="none" w:color="auto"/>
                <w:lang w:val="en-US" w:eastAsia="zh-CN"/>
              </w:rPr>
              <w:t>300</w:t>
            </w:r>
          </w:p>
        </w:tc>
      </w:tr>
      <w:tr w14:paraId="4A96D70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66" w:type="pct"/>
            <w:vMerge w:val="continue"/>
            <w:tcBorders>
              <w:tl2br w:val="nil"/>
              <w:tr2bl w:val="nil"/>
            </w:tcBorders>
            <w:noWrap w:val="0"/>
            <w:vAlign w:val="center"/>
          </w:tcPr>
          <w:p w14:paraId="65C67387">
            <w:pPr>
              <w:contextualSpacing/>
              <w:jc w:val="center"/>
              <w:rPr>
                <w:rFonts w:hint="default" w:ascii="Times New Roman" w:hAnsi="Times New Roman" w:eastAsia="宋体" w:cs="Times New Roman"/>
                <w:color w:val="auto"/>
                <w:szCs w:val="21"/>
                <w:highlight w:val="none"/>
                <w:u w:val="none" w:color="auto"/>
              </w:rPr>
            </w:pPr>
          </w:p>
        </w:tc>
        <w:tc>
          <w:tcPr>
            <w:tcW w:w="408" w:type="pct"/>
            <w:tcBorders>
              <w:tl2br w:val="nil"/>
              <w:tr2bl w:val="nil"/>
            </w:tcBorders>
            <w:noWrap w:val="0"/>
            <w:vAlign w:val="center"/>
          </w:tcPr>
          <w:p w14:paraId="2A7AB54B">
            <w:pPr>
              <w:contextualSpacing/>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Cs w:val="21"/>
                <w:highlight w:val="none"/>
                <w:u w:val="none" w:color="auto"/>
                <w:lang w:val="en-US" w:eastAsia="zh-CN"/>
              </w:rPr>
              <w:t>33</w:t>
            </w:r>
          </w:p>
        </w:tc>
        <w:tc>
          <w:tcPr>
            <w:tcW w:w="1215" w:type="pct"/>
            <w:gridSpan w:val="3"/>
            <w:tcBorders>
              <w:tl2br w:val="nil"/>
              <w:tr2bl w:val="nil"/>
            </w:tcBorders>
            <w:noWrap w:val="0"/>
            <w:vAlign w:val="center"/>
          </w:tcPr>
          <w:p w14:paraId="2E0F56A2">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u w:val="none" w:color="auto"/>
                <w:lang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云溪区松杨湖街道东风社区服务中心</w:t>
            </w:r>
          </w:p>
        </w:tc>
        <w:tc>
          <w:tcPr>
            <w:tcW w:w="600" w:type="pct"/>
            <w:gridSpan w:val="2"/>
            <w:tcBorders>
              <w:tl2br w:val="nil"/>
              <w:tr2bl w:val="nil"/>
            </w:tcBorders>
            <w:noWrap w:val="0"/>
            <w:vAlign w:val="center"/>
          </w:tcPr>
          <w:p w14:paraId="61985E56">
            <w:pPr>
              <w:jc w:val="center"/>
              <w:rPr>
                <w:rFonts w:hint="default" w:ascii="Times New Roman" w:hAnsi="Times New Roman" w:eastAsia="宋体" w:cs="Times New Roman"/>
                <w:color w:val="auto"/>
                <w:szCs w:val="21"/>
                <w:highlight w:val="none"/>
                <w:u w:val="none" w:color="auto"/>
                <w:lang w:val="en-US" w:eastAsia="zh-CN"/>
              </w:rPr>
            </w:pPr>
            <w:r>
              <w:rPr>
                <w:rFonts w:hint="default" w:ascii="Times New Roman" w:hAnsi="Times New Roman" w:eastAsia="宋体" w:cs="Times New Roman"/>
                <w:color w:val="auto"/>
                <w:kern w:val="2"/>
                <w:sz w:val="21"/>
                <w:szCs w:val="21"/>
                <w:highlight w:val="none"/>
                <w:u w:val="none" w:color="auto"/>
                <w:lang w:val="en-US" w:eastAsia="zh-CN" w:bidi="ar-SA"/>
              </w:rPr>
              <w:t>东</w:t>
            </w:r>
          </w:p>
        </w:tc>
        <w:tc>
          <w:tcPr>
            <w:tcW w:w="688" w:type="pct"/>
            <w:gridSpan w:val="2"/>
            <w:tcBorders>
              <w:tl2br w:val="nil"/>
              <w:tr2bl w:val="nil"/>
            </w:tcBorders>
            <w:noWrap w:val="0"/>
            <w:vAlign w:val="center"/>
          </w:tcPr>
          <w:p w14:paraId="5146E58D">
            <w:pPr>
              <w:jc w:val="center"/>
              <w:rPr>
                <w:rFonts w:hint="default" w:ascii="Times New Roman" w:hAnsi="Times New Roman" w:eastAsia="宋体" w:cs="Times New Roman"/>
                <w:color w:val="auto"/>
                <w:kern w:val="0"/>
                <w:szCs w:val="21"/>
                <w:highlight w:val="none"/>
                <w:u w:val="none" w:color="auto"/>
                <w:lang w:val="en-US" w:eastAsia="zh-CN" w:bidi="ar"/>
              </w:rPr>
            </w:pPr>
            <w:r>
              <w:rPr>
                <w:rFonts w:hint="default" w:ascii="Times New Roman" w:hAnsi="Times New Roman" w:eastAsia="宋体" w:cs="Times New Roman"/>
                <w:color w:val="auto"/>
                <w:kern w:val="0"/>
                <w:szCs w:val="21"/>
                <w:highlight w:val="none"/>
                <w:u w:val="none" w:color="auto"/>
                <w:lang w:val="en-US" w:eastAsia="zh-CN" w:bidi="ar"/>
              </w:rPr>
              <w:t>1341~1511</w:t>
            </w:r>
          </w:p>
        </w:tc>
        <w:tc>
          <w:tcPr>
            <w:tcW w:w="854" w:type="pct"/>
            <w:gridSpan w:val="2"/>
            <w:vMerge w:val="continue"/>
            <w:tcBorders>
              <w:tl2br w:val="nil"/>
              <w:tr2bl w:val="nil"/>
            </w:tcBorders>
            <w:noWrap w:val="0"/>
            <w:vAlign w:val="center"/>
          </w:tcPr>
          <w:p w14:paraId="1CDAE893">
            <w:pPr>
              <w:jc w:val="center"/>
              <w:rPr>
                <w:rFonts w:hint="default" w:ascii="Times New Roman" w:hAnsi="Times New Roman" w:eastAsia="宋体" w:cs="Times New Roman"/>
                <w:color w:val="auto"/>
                <w:szCs w:val="21"/>
                <w:highlight w:val="none"/>
                <w:u w:val="none" w:color="auto"/>
              </w:rPr>
            </w:pPr>
          </w:p>
        </w:tc>
        <w:tc>
          <w:tcPr>
            <w:tcW w:w="766" w:type="pct"/>
            <w:tcBorders>
              <w:tl2br w:val="nil"/>
              <w:tr2bl w:val="nil"/>
            </w:tcBorders>
            <w:noWrap w:val="0"/>
            <w:vAlign w:val="center"/>
          </w:tcPr>
          <w:p w14:paraId="280B8116">
            <w:pPr>
              <w:jc w:val="center"/>
              <w:rPr>
                <w:rFonts w:hint="default" w:ascii="Times New Roman" w:hAnsi="Times New Roman" w:eastAsia="宋体" w:cs="Times New Roman"/>
                <w:color w:val="auto"/>
                <w:szCs w:val="21"/>
                <w:highlight w:val="none"/>
                <w:u w:val="none" w:color="auto"/>
                <w:lang w:val="en-US" w:eastAsia="zh-CN"/>
              </w:rPr>
            </w:pPr>
            <w:r>
              <w:rPr>
                <w:rFonts w:hint="default" w:ascii="Times New Roman" w:hAnsi="Times New Roman" w:eastAsia="宋体" w:cs="Times New Roman"/>
                <w:i w:val="0"/>
                <w:iCs w:val="0"/>
                <w:color w:val="auto"/>
                <w:kern w:val="0"/>
                <w:sz w:val="21"/>
                <w:szCs w:val="21"/>
                <w:u w:val="none" w:color="auto"/>
                <w:lang w:val="en-US" w:eastAsia="zh-CN" w:bidi="ar"/>
              </w:rPr>
              <w:t>约</w:t>
            </w:r>
            <w:r>
              <w:rPr>
                <w:rFonts w:hint="default" w:ascii="Times New Roman" w:hAnsi="Times New Roman" w:eastAsia="宋体" w:cs="Times New Roman"/>
                <w:color w:val="auto"/>
                <w:szCs w:val="21"/>
                <w:highlight w:val="none"/>
                <w:u w:val="none" w:color="auto"/>
                <w:lang w:val="en-US" w:eastAsia="zh-CN"/>
              </w:rPr>
              <w:t>120</w:t>
            </w:r>
          </w:p>
        </w:tc>
      </w:tr>
      <w:tr w14:paraId="11C4B6C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466" w:type="pct"/>
            <w:vMerge w:val="continue"/>
            <w:tcBorders>
              <w:tl2br w:val="nil"/>
              <w:tr2bl w:val="nil"/>
            </w:tcBorders>
            <w:noWrap w:val="0"/>
            <w:vAlign w:val="center"/>
          </w:tcPr>
          <w:p w14:paraId="17A044E8">
            <w:pPr>
              <w:contextualSpacing/>
              <w:jc w:val="center"/>
              <w:rPr>
                <w:rFonts w:hint="default" w:ascii="Times New Roman" w:hAnsi="Times New Roman" w:eastAsia="宋体" w:cs="Times New Roman"/>
                <w:color w:val="auto"/>
                <w:szCs w:val="21"/>
                <w:highlight w:val="none"/>
                <w:u w:val="none" w:color="auto"/>
              </w:rPr>
            </w:pPr>
          </w:p>
        </w:tc>
        <w:tc>
          <w:tcPr>
            <w:tcW w:w="408" w:type="pct"/>
            <w:tcBorders>
              <w:tl2br w:val="nil"/>
              <w:tr2bl w:val="nil"/>
            </w:tcBorders>
            <w:noWrap w:val="0"/>
            <w:vAlign w:val="center"/>
          </w:tcPr>
          <w:p w14:paraId="1A165977">
            <w:pPr>
              <w:contextualSpacing/>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Cs w:val="21"/>
                <w:highlight w:val="none"/>
                <w:u w:val="none" w:color="auto"/>
                <w:lang w:val="en-US" w:eastAsia="zh-CN"/>
              </w:rPr>
              <w:t>34</w:t>
            </w:r>
          </w:p>
        </w:tc>
        <w:tc>
          <w:tcPr>
            <w:tcW w:w="1215" w:type="pct"/>
            <w:gridSpan w:val="3"/>
            <w:tcBorders>
              <w:tl2br w:val="nil"/>
              <w:tr2bl w:val="nil"/>
            </w:tcBorders>
            <w:noWrap w:val="0"/>
            <w:vAlign w:val="center"/>
          </w:tcPr>
          <w:p w14:paraId="5658AD26">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u w:val="none" w:color="auto"/>
                <w:lang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云溪区人民法院</w:t>
            </w:r>
          </w:p>
        </w:tc>
        <w:tc>
          <w:tcPr>
            <w:tcW w:w="600" w:type="pct"/>
            <w:gridSpan w:val="2"/>
            <w:tcBorders>
              <w:tl2br w:val="nil"/>
              <w:tr2bl w:val="nil"/>
            </w:tcBorders>
            <w:noWrap w:val="0"/>
            <w:vAlign w:val="center"/>
          </w:tcPr>
          <w:p w14:paraId="1CC23029">
            <w:pPr>
              <w:jc w:val="center"/>
              <w:rPr>
                <w:rFonts w:hint="default" w:ascii="Times New Roman" w:hAnsi="Times New Roman" w:eastAsia="宋体" w:cs="Times New Roman"/>
                <w:color w:val="auto"/>
                <w:szCs w:val="21"/>
                <w:highlight w:val="none"/>
                <w:u w:val="none" w:color="auto"/>
                <w:lang w:val="en-US" w:eastAsia="zh-CN"/>
              </w:rPr>
            </w:pPr>
            <w:r>
              <w:rPr>
                <w:rFonts w:hint="default" w:ascii="Times New Roman" w:hAnsi="Times New Roman" w:eastAsia="宋体" w:cs="Times New Roman"/>
                <w:color w:val="auto"/>
                <w:szCs w:val="21"/>
                <w:highlight w:val="none"/>
                <w:u w:val="none" w:color="auto"/>
                <w:lang w:val="en-US" w:eastAsia="zh-CN"/>
              </w:rPr>
              <w:t>东</w:t>
            </w:r>
          </w:p>
        </w:tc>
        <w:tc>
          <w:tcPr>
            <w:tcW w:w="688" w:type="pct"/>
            <w:gridSpan w:val="2"/>
            <w:tcBorders>
              <w:tl2br w:val="nil"/>
              <w:tr2bl w:val="nil"/>
            </w:tcBorders>
            <w:noWrap w:val="0"/>
            <w:vAlign w:val="center"/>
          </w:tcPr>
          <w:p w14:paraId="0DAF06BE">
            <w:pPr>
              <w:jc w:val="center"/>
              <w:rPr>
                <w:rFonts w:hint="default" w:ascii="Times New Roman" w:hAnsi="Times New Roman" w:eastAsia="宋体" w:cs="Times New Roman"/>
                <w:color w:val="auto"/>
                <w:kern w:val="0"/>
                <w:szCs w:val="21"/>
                <w:highlight w:val="none"/>
                <w:u w:val="none" w:color="auto"/>
                <w:lang w:val="en-US" w:eastAsia="zh-CN" w:bidi="ar"/>
              </w:rPr>
            </w:pPr>
            <w:r>
              <w:rPr>
                <w:rFonts w:hint="default" w:ascii="Times New Roman" w:hAnsi="Times New Roman" w:eastAsia="宋体" w:cs="Times New Roman"/>
                <w:color w:val="auto"/>
                <w:kern w:val="0"/>
                <w:szCs w:val="21"/>
                <w:highlight w:val="none"/>
                <w:u w:val="none" w:color="auto"/>
                <w:lang w:val="en-US" w:eastAsia="zh-CN" w:bidi="ar"/>
              </w:rPr>
              <w:t>1220~1445</w:t>
            </w:r>
          </w:p>
        </w:tc>
        <w:tc>
          <w:tcPr>
            <w:tcW w:w="854" w:type="pct"/>
            <w:gridSpan w:val="2"/>
            <w:vMerge w:val="continue"/>
            <w:tcBorders>
              <w:tl2br w:val="nil"/>
              <w:tr2bl w:val="nil"/>
            </w:tcBorders>
            <w:noWrap w:val="0"/>
            <w:vAlign w:val="center"/>
          </w:tcPr>
          <w:p w14:paraId="22B411CC">
            <w:pPr>
              <w:jc w:val="center"/>
              <w:rPr>
                <w:rFonts w:hint="default" w:ascii="Times New Roman" w:hAnsi="Times New Roman" w:eastAsia="宋体" w:cs="Times New Roman"/>
                <w:color w:val="auto"/>
                <w:szCs w:val="21"/>
                <w:highlight w:val="none"/>
                <w:u w:val="none" w:color="auto"/>
              </w:rPr>
            </w:pPr>
          </w:p>
        </w:tc>
        <w:tc>
          <w:tcPr>
            <w:tcW w:w="766" w:type="pct"/>
            <w:tcBorders>
              <w:tl2br w:val="nil"/>
              <w:tr2bl w:val="nil"/>
            </w:tcBorders>
            <w:noWrap w:val="0"/>
            <w:vAlign w:val="center"/>
          </w:tcPr>
          <w:p w14:paraId="5BFF5F92">
            <w:pPr>
              <w:jc w:val="center"/>
              <w:rPr>
                <w:rFonts w:hint="default" w:ascii="Times New Roman" w:hAnsi="Times New Roman" w:eastAsia="宋体" w:cs="Times New Roman"/>
                <w:color w:val="auto"/>
                <w:szCs w:val="21"/>
                <w:highlight w:val="none"/>
                <w:u w:val="none" w:color="auto"/>
                <w:lang w:val="en-US" w:eastAsia="zh-CN"/>
              </w:rPr>
            </w:pPr>
            <w:r>
              <w:rPr>
                <w:rFonts w:hint="default" w:ascii="Times New Roman" w:hAnsi="Times New Roman" w:eastAsia="宋体" w:cs="Times New Roman"/>
                <w:i w:val="0"/>
                <w:iCs w:val="0"/>
                <w:color w:val="auto"/>
                <w:kern w:val="0"/>
                <w:sz w:val="21"/>
                <w:szCs w:val="21"/>
                <w:u w:val="none" w:color="auto"/>
                <w:lang w:val="en-US" w:eastAsia="zh-CN" w:bidi="ar"/>
              </w:rPr>
              <w:t>约</w:t>
            </w:r>
            <w:r>
              <w:rPr>
                <w:rFonts w:hint="default" w:ascii="Times New Roman" w:hAnsi="Times New Roman" w:eastAsia="宋体" w:cs="Times New Roman"/>
                <w:color w:val="auto"/>
                <w:szCs w:val="21"/>
                <w:highlight w:val="none"/>
                <w:u w:val="none" w:color="auto"/>
                <w:lang w:val="en-US" w:eastAsia="zh-CN"/>
              </w:rPr>
              <w:t>260</w:t>
            </w:r>
          </w:p>
        </w:tc>
      </w:tr>
      <w:tr w14:paraId="01898C2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66" w:type="pct"/>
            <w:vMerge w:val="continue"/>
            <w:tcBorders>
              <w:tl2br w:val="nil"/>
              <w:tr2bl w:val="nil"/>
            </w:tcBorders>
            <w:noWrap w:val="0"/>
            <w:vAlign w:val="center"/>
          </w:tcPr>
          <w:p w14:paraId="2E16E544">
            <w:pPr>
              <w:contextualSpacing/>
              <w:jc w:val="center"/>
              <w:rPr>
                <w:rFonts w:hint="default" w:ascii="Times New Roman" w:hAnsi="Times New Roman" w:eastAsia="宋体" w:cs="Times New Roman"/>
                <w:color w:val="auto"/>
                <w:szCs w:val="21"/>
                <w:highlight w:val="none"/>
                <w:u w:val="none" w:color="auto"/>
              </w:rPr>
            </w:pPr>
          </w:p>
        </w:tc>
        <w:tc>
          <w:tcPr>
            <w:tcW w:w="408" w:type="pct"/>
            <w:tcBorders>
              <w:tl2br w:val="nil"/>
              <w:tr2bl w:val="nil"/>
            </w:tcBorders>
            <w:noWrap w:val="0"/>
            <w:vAlign w:val="center"/>
          </w:tcPr>
          <w:p w14:paraId="35D44E98">
            <w:pPr>
              <w:contextualSpacing/>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Cs w:val="21"/>
                <w:highlight w:val="none"/>
                <w:u w:val="none" w:color="auto"/>
                <w:lang w:val="en-US" w:eastAsia="zh-CN"/>
              </w:rPr>
              <w:t>35</w:t>
            </w:r>
          </w:p>
        </w:tc>
        <w:tc>
          <w:tcPr>
            <w:tcW w:w="1215" w:type="pct"/>
            <w:gridSpan w:val="3"/>
            <w:tcBorders>
              <w:tl2br w:val="nil"/>
              <w:tr2bl w:val="nil"/>
            </w:tcBorders>
            <w:noWrap w:val="0"/>
            <w:vAlign w:val="center"/>
          </w:tcPr>
          <w:p w14:paraId="41A55282">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曾连家</w:t>
            </w:r>
          </w:p>
        </w:tc>
        <w:tc>
          <w:tcPr>
            <w:tcW w:w="600" w:type="pct"/>
            <w:gridSpan w:val="2"/>
            <w:tcBorders>
              <w:tl2br w:val="nil"/>
              <w:tr2bl w:val="nil"/>
            </w:tcBorders>
            <w:noWrap w:val="0"/>
            <w:vAlign w:val="center"/>
          </w:tcPr>
          <w:p w14:paraId="01119A23">
            <w:pPr>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北</w:t>
            </w:r>
          </w:p>
        </w:tc>
        <w:tc>
          <w:tcPr>
            <w:tcW w:w="688" w:type="pct"/>
            <w:gridSpan w:val="2"/>
            <w:tcBorders>
              <w:tl2br w:val="nil"/>
              <w:tr2bl w:val="nil"/>
            </w:tcBorders>
            <w:noWrap w:val="0"/>
            <w:vAlign w:val="center"/>
          </w:tcPr>
          <w:p w14:paraId="333A6291">
            <w:pPr>
              <w:jc w:val="center"/>
              <w:rPr>
                <w:rFonts w:hint="default" w:ascii="Times New Roman" w:hAnsi="Times New Roman" w:eastAsia="宋体" w:cs="Times New Roman"/>
                <w:color w:val="auto"/>
                <w:kern w:val="0"/>
                <w:sz w:val="21"/>
                <w:szCs w:val="21"/>
                <w:highlight w:val="none"/>
                <w:u w:val="none" w:color="auto"/>
                <w:lang w:val="en-US" w:eastAsia="zh-CN" w:bidi="ar"/>
              </w:rPr>
            </w:pPr>
            <w:r>
              <w:rPr>
                <w:rFonts w:hint="default" w:ascii="Times New Roman" w:hAnsi="Times New Roman" w:eastAsia="宋体" w:cs="Times New Roman"/>
                <w:color w:val="auto"/>
                <w:kern w:val="0"/>
                <w:sz w:val="21"/>
                <w:szCs w:val="21"/>
                <w:highlight w:val="none"/>
                <w:u w:val="none" w:color="auto"/>
                <w:lang w:val="en-US" w:eastAsia="zh-CN" w:bidi="ar"/>
              </w:rPr>
              <w:t>3601~5000</w:t>
            </w:r>
          </w:p>
        </w:tc>
        <w:tc>
          <w:tcPr>
            <w:tcW w:w="854" w:type="pct"/>
            <w:gridSpan w:val="2"/>
            <w:tcBorders>
              <w:tl2br w:val="nil"/>
              <w:tr2bl w:val="nil"/>
            </w:tcBorders>
            <w:noWrap w:val="0"/>
            <w:vAlign w:val="center"/>
          </w:tcPr>
          <w:p w14:paraId="3B0D3AD4">
            <w:pPr>
              <w:jc w:val="center"/>
              <w:rPr>
                <w:rFonts w:hint="default" w:ascii="Times New Roman" w:hAnsi="Times New Roman" w:eastAsia="宋体" w:cs="Times New Roman"/>
                <w:color w:val="auto"/>
                <w:szCs w:val="21"/>
                <w:highlight w:val="none"/>
                <w:u w:val="none" w:color="auto"/>
                <w:lang w:val="en-US" w:eastAsia="zh-CN"/>
              </w:rPr>
            </w:pPr>
            <w:r>
              <w:rPr>
                <w:rFonts w:hint="default" w:ascii="Times New Roman" w:hAnsi="Times New Roman" w:eastAsia="宋体" w:cs="Times New Roman"/>
                <w:color w:val="auto"/>
                <w:szCs w:val="21"/>
                <w:highlight w:val="none"/>
                <w:u w:val="none" w:color="auto"/>
                <w:lang w:val="en-US" w:eastAsia="zh-CN"/>
              </w:rPr>
              <w:t>居民</w:t>
            </w:r>
          </w:p>
        </w:tc>
        <w:tc>
          <w:tcPr>
            <w:tcW w:w="766" w:type="pct"/>
            <w:tcBorders>
              <w:tl2br w:val="nil"/>
              <w:tr2bl w:val="nil"/>
            </w:tcBorders>
            <w:noWrap w:val="0"/>
            <w:vAlign w:val="center"/>
          </w:tcPr>
          <w:p w14:paraId="615897AE">
            <w:pPr>
              <w:jc w:val="center"/>
              <w:rPr>
                <w:rFonts w:hint="default" w:ascii="Times New Roman" w:hAnsi="Times New Roman" w:eastAsia="宋体" w:cs="Times New Roman"/>
                <w:color w:val="auto"/>
                <w:szCs w:val="21"/>
                <w:highlight w:val="none"/>
                <w:u w:val="none" w:color="auto"/>
                <w:lang w:val="en-US" w:eastAsia="zh-CN"/>
              </w:rPr>
            </w:pPr>
            <w:r>
              <w:rPr>
                <w:rFonts w:hint="default" w:ascii="Times New Roman" w:hAnsi="Times New Roman" w:eastAsia="宋体" w:cs="Times New Roman"/>
                <w:i w:val="0"/>
                <w:iCs w:val="0"/>
                <w:color w:val="auto"/>
                <w:kern w:val="0"/>
                <w:sz w:val="21"/>
                <w:szCs w:val="21"/>
                <w:u w:val="none" w:color="auto"/>
                <w:lang w:val="en-US" w:eastAsia="zh-CN" w:bidi="ar"/>
              </w:rPr>
              <w:t>约</w:t>
            </w:r>
            <w:r>
              <w:rPr>
                <w:rFonts w:hint="default" w:ascii="Times New Roman" w:hAnsi="Times New Roman" w:eastAsia="宋体" w:cs="Times New Roman"/>
                <w:color w:val="auto"/>
                <w:szCs w:val="21"/>
                <w:highlight w:val="none"/>
                <w:u w:val="none" w:color="auto"/>
                <w:lang w:val="en-US" w:eastAsia="zh-CN"/>
              </w:rPr>
              <w:t>210</w:t>
            </w:r>
          </w:p>
        </w:tc>
      </w:tr>
      <w:tr w14:paraId="569D3BA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66" w:type="pct"/>
            <w:vMerge w:val="continue"/>
            <w:tcBorders>
              <w:tl2br w:val="nil"/>
              <w:tr2bl w:val="nil"/>
            </w:tcBorders>
            <w:noWrap w:val="0"/>
            <w:vAlign w:val="center"/>
          </w:tcPr>
          <w:p w14:paraId="3D358E43">
            <w:pPr>
              <w:contextualSpacing/>
              <w:jc w:val="center"/>
              <w:rPr>
                <w:rFonts w:hint="default" w:ascii="Times New Roman" w:hAnsi="Times New Roman" w:eastAsia="宋体" w:cs="Times New Roman"/>
                <w:color w:val="auto"/>
                <w:szCs w:val="21"/>
                <w:highlight w:val="none"/>
                <w:u w:val="none" w:color="auto"/>
              </w:rPr>
            </w:pPr>
          </w:p>
        </w:tc>
        <w:tc>
          <w:tcPr>
            <w:tcW w:w="408" w:type="pct"/>
            <w:tcBorders>
              <w:tl2br w:val="nil"/>
              <w:tr2bl w:val="nil"/>
            </w:tcBorders>
            <w:noWrap w:val="0"/>
            <w:vAlign w:val="center"/>
          </w:tcPr>
          <w:p w14:paraId="6F6A44A3">
            <w:pPr>
              <w:contextualSpacing/>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Cs w:val="21"/>
                <w:highlight w:val="none"/>
                <w:u w:val="none" w:color="auto"/>
                <w:lang w:val="en-US" w:eastAsia="zh-CN"/>
              </w:rPr>
              <w:t>36</w:t>
            </w:r>
          </w:p>
        </w:tc>
        <w:tc>
          <w:tcPr>
            <w:tcW w:w="1215" w:type="pct"/>
            <w:gridSpan w:val="3"/>
            <w:tcBorders>
              <w:tl2br w:val="nil"/>
              <w:tr2bl w:val="nil"/>
            </w:tcBorders>
            <w:noWrap w:val="0"/>
            <w:vAlign w:val="center"/>
          </w:tcPr>
          <w:p w14:paraId="229CCE9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2"/>
                <w:szCs w:val="22"/>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安置小区（停建）</w:t>
            </w:r>
          </w:p>
        </w:tc>
        <w:tc>
          <w:tcPr>
            <w:tcW w:w="600" w:type="pct"/>
            <w:gridSpan w:val="2"/>
            <w:tcBorders>
              <w:tl2br w:val="nil"/>
              <w:tr2bl w:val="nil"/>
            </w:tcBorders>
            <w:noWrap w:val="0"/>
            <w:vAlign w:val="center"/>
          </w:tcPr>
          <w:p w14:paraId="45E9A4BA">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i w:val="0"/>
                <w:iCs w:val="0"/>
                <w:color w:val="auto"/>
                <w:kern w:val="0"/>
                <w:sz w:val="21"/>
                <w:szCs w:val="21"/>
                <w:u w:val="none" w:color="auto"/>
                <w:lang w:val="en-US" w:eastAsia="zh-CN" w:bidi="ar"/>
              </w:rPr>
              <w:t>南</w:t>
            </w:r>
          </w:p>
        </w:tc>
        <w:tc>
          <w:tcPr>
            <w:tcW w:w="688" w:type="pct"/>
            <w:gridSpan w:val="2"/>
            <w:tcBorders>
              <w:tl2br w:val="nil"/>
              <w:tr2bl w:val="nil"/>
            </w:tcBorders>
            <w:noWrap w:val="0"/>
            <w:vAlign w:val="center"/>
          </w:tcPr>
          <w:p w14:paraId="0395BB72">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57~223</w:t>
            </w:r>
          </w:p>
        </w:tc>
        <w:tc>
          <w:tcPr>
            <w:tcW w:w="854" w:type="pct"/>
            <w:gridSpan w:val="2"/>
            <w:tcBorders>
              <w:tl2br w:val="nil"/>
              <w:tr2bl w:val="nil"/>
            </w:tcBorders>
            <w:noWrap w:val="0"/>
            <w:vAlign w:val="center"/>
          </w:tcPr>
          <w:p w14:paraId="2E623AB1">
            <w:pPr>
              <w:jc w:val="center"/>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i w:val="0"/>
                <w:iCs w:val="0"/>
                <w:color w:val="auto"/>
                <w:kern w:val="0"/>
                <w:sz w:val="22"/>
                <w:szCs w:val="22"/>
                <w:u w:val="none" w:color="auto"/>
                <w:lang w:val="en-US" w:eastAsia="zh-CN" w:bidi="ar"/>
              </w:rPr>
              <w:t>/</w:t>
            </w:r>
          </w:p>
        </w:tc>
        <w:tc>
          <w:tcPr>
            <w:tcW w:w="766" w:type="pct"/>
            <w:tcBorders>
              <w:tl2br w:val="nil"/>
              <w:tr2bl w:val="nil"/>
            </w:tcBorders>
            <w:noWrap w:val="0"/>
            <w:vAlign w:val="center"/>
          </w:tcPr>
          <w:p w14:paraId="0B8F72FA">
            <w:pPr>
              <w:keepNext w:val="0"/>
              <w:keepLines w:val="0"/>
              <w:widowControl/>
              <w:suppressLineNumbers w:val="0"/>
              <w:jc w:val="center"/>
              <w:textAlignment w:val="center"/>
              <w:rPr>
                <w:rFonts w:hint="default" w:ascii="Times New Roman" w:hAnsi="Times New Roman" w:eastAsia="宋体" w:cs="Times New Roman"/>
                <w:color w:val="auto"/>
                <w:szCs w:val="21"/>
                <w:highlight w:val="none"/>
                <w:u w:val="none" w:color="auto"/>
                <w:lang w:val="en-US" w:eastAsia="zh-CN"/>
              </w:rPr>
            </w:pPr>
            <w:r>
              <w:rPr>
                <w:rFonts w:hint="default" w:ascii="Times New Roman" w:hAnsi="Times New Roman" w:eastAsia="宋体" w:cs="Times New Roman"/>
                <w:i w:val="0"/>
                <w:iCs w:val="0"/>
                <w:color w:val="auto"/>
                <w:kern w:val="0"/>
                <w:sz w:val="22"/>
                <w:szCs w:val="22"/>
                <w:u w:val="none" w:color="auto"/>
                <w:lang w:val="en-US" w:eastAsia="zh-CN" w:bidi="ar"/>
              </w:rPr>
              <w:t>/</w:t>
            </w:r>
          </w:p>
        </w:tc>
      </w:tr>
      <w:tr w14:paraId="2EE6857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66" w:type="pct"/>
            <w:vMerge w:val="continue"/>
            <w:tcBorders>
              <w:tl2br w:val="nil"/>
              <w:tr2bl w:val="nil"/>
            </w:tcBorders>
            <w:noWrap w:val="0"/>
            <w:vAlign w:val="center"/>
          </w:tcPr>
          <w:p w14:paraId="34BE6370">
            <w:pPr>
              <w:contextualSpacing/>
              <w:jc w:val="center"/>
              <w:rPr>
                <w:rFonts w:hint="default" w:ascii="Times New Roman" w:hAnsi="Times New Roman" w:eastAsia="宋体" w:cs="Times New Roman"/>
                <w:color w:val="auto"/>
                <w:szCs w:val="21"/>
                <w:highlight w:val="none"/>
                <w:u w:val="none" w:color="auto"/>
              </w:rPr>
            </w:pPr>
          </w:p>
        </w:tc>
        <w:tc>
          <w:tcPr>
            <w:tcW w:w="408" w:type="pct"/>
            <w:tcBorders>
              <w:tl2br w:val="nil"/>
              <w:tr2bl w:val="nil"/>
            </w:tcBorders>
            <w:noWrap w:val="0"/>
            <w:vAlign w:val="center"/>
          </w:tcPr>
          <w:p w14:paraId="24496428">
            <w:pPr>
              <w:contextualSpacing/>
              <w:jc w:val="center"/>
              <w:rPr>
                <w:rFonts w:hint="default" w:ascii="Times New Roman" w:hAnsi="Times New Roman" w:eastAsia="宋体" w:cs="Times New Roman"/>
                <w:color w:val="auto"/>
                <w:szCs w:val="21"/>
                <w:highlight w:val="none"/>
                <w:u w:val="none" w:color="auto"/>
                <w:lang w:val="en-US" w:eastAsia="zh-CN"/>
              </w:rPr>
            </w:pPr>
            <w:r>
              <w:rPr>
                <w:rFonts w:hint="default" w:ascii="Times New Roman" w:hAnsi="Times New Roman" w:eastAsia="宋体" w:cs="Times New Roman"/>
                <w:color w:val="auto"/>
                <w:szCs w:val="21"/>
                <w:highlight w:val="none"/>
                <w:u w:val="none" w:color="auto"/>
                <w:lang w:val="en-US" w:eastAsia="zh-CN"/>
              </w:rPr>
              <w:t>37</w:t>
            </w:r>
          </w:p>
        </w:tc>
        <w:tc>
          <w:tcPr>
            <w:tcW w:w="1215" w:type="pct"/>
            <w:gridSpan w:val="3"/>
            <w:tcBorders>
              <w:tl2br w:val="nil"/>
              <w:tr2bl w:val="nil"/>
            </w:tcBorders>
            <w:noWrap w:val="0"/>
            <w:vAlign w:val="center"/>
          </w:tcPr>
          <w:p w14:paraId="553D908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保税区人才公寓</w:t>
            </w:r>
          </w:p>
        </w:tc>
        <w:tc>
          <w:tcPr>
            <w:tcW w:w="600" w:type="pct"/>
            <w:gridSpan w:val="2"/>
            <w:tcBorders>
              <w:tl2br w:val="nil"/>
              <w:tr2bl w:val="nil"/>
            </w:tcBorders>
            <w:noWrap w:val="0"/>
            <w:vAlign w:val="center"/>
          </w:tcPr>
          <w:p w14:paraId="7BD5FF9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东</w:t>
            </w:r>
          </w:p>
        </w:tc>
        <w:tc>
          <w:tcPr>
            <w:tcW w:w="688" w:type="pct"/>
            <w:gridSpan w:val="2"/>
            <w:tcBorders>
              <w:tl2br w:val="nil"/>
              <w:tr2bl w:val="nil"/>
            </w:tcBorders>
            <w:noWrap w:val="0"/>
            <w:vAlign w:val="center"/>
          </w:tcPr>
          <w:p w14:paraId="04D9FBE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2522~2828</w:t>
            </w:r>
          </w:p>
        </w:tc>
        <w:tc>
          <w:tcPr>
            <w:tcW w:w="854" w:type="pct"/>
            <w:gridSpan w:val="2"/>
            <w:tcBorders>
              <w:tl2br w:val="nil"/>
              <w:tr2bl w:val="nil"/>
            </w:tcBorders>
            <w:noWrap w:val="0"/>
            <w:vAlign w:val="center"/>
          </w:tcPr>
          <w:p w14:paraId="2D2F4648">
            <w:pPr>
              <w:jc w:val="center"/>
              <w:rPr>
                <w:rFonts w:hint="default" w:ascii="Times New Roman" w:hAnsi="Times New Roman" w:eastAsia="宋体" w:cs="Times New Roman"/>
                <w:i w:val="0"/>
                <w:iCs w:val="0"/>
                <w:color w:val="auto"/>
                <w:kern w:val="0"/>
                <w:sz w:val="22"/>
                <w:szCs w:val="22"/>
                <w:u w:val="none" w:color="auto"/>
                <w:lang w:val="en-US" w:eastAsia="zh-CN" w:bidi="ar"/>
              </w:rPr>
            </w:pPr>
            <w:r>
              <w:rPr>
                <w:rFonts w:hint="default" w:ascii="Times New Roman" w:hAnsi="Times New Roman" w:eastAsia="宋体" w:cs="Times New Roman"/>
                <w:i w:val="0"/>
                <w:iCs w:val="0"/>
                <w:color w:val="auto"/>
                <w:kern w:val="0"/>
                <w:sz w:val="22"/>
                <w:szCs w:val="22"/>
                <w:u w:val="none" w:color="auto"/>
                <w:lang w:val="en-US" w:eastAsia="zh-CN" w:bidi="ar"/>
              </w:rPr>
              <w:t>居民</w:t>
            </w:r>
          </w:p>
        </w:tc>
        <w:tc>
          <w:tcPr>
            <w:tcW w:w="766" w:type="pct"/>
            <w:tcBorders>
              <w:tl2br w:val="nil"/>
              <w:tr2bl w:val="nil"/>
            </w:tcBorders>
            <w:noWrap w:val="0"/>
            <w:vAlign w:val="center"/>
          </w:tcPr>
          <w:p w14:paraId="2024DDF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2"/>
                <w:szCs w:val="22"/>
                <w:u w:val="none" w:color="auto"/>
                <w:lang w:val="en-US" w:eastAsia="zh-CN" w:bidi="ar"/>
              </w:rPr>
            </w:pPr>
            <w:r>
              <w:rPr>
                <w:rFonts w:hint="default" w:ascii="Times New Roman" w:hAnsi="Times New Roman" w:eastAsia="宋体" w:cs="Times New Roman"/>
                <w:i w:val="0"/>
                <w:iCs w:val="0"/>
                <w:color w:val="auto"/>
                <w:kern w:val="0"/>
                <w:sz w:val="22"/>
                <w:szCs w:val="22"/>
                <w:u w:val="none" w:color="auto"/>
                <w:lang w:val="en-US" w:eastAsia="zh-CN" w:bidi="ar"/>
              </w:rPr>
              <w:t>约3000</w:t>
            </w:r>
          </w:p>
        </w:tc>
      </w:tr>
      <w:tr w14:paraId="2F62F5A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66" w:type="pct"/>
            <w:vMerge w:val="continue"/>
            <w:tcBorders>
              <w:tl2br w:val="nil"/>
              <w:tr2bl w:val="nil"/>
            </w:tcBorders>
            <w:noWrap w:val="0"/>
            <w:vAlign w:val="center"/>
          </w:tcPr>
          <w:p w14:paraId="2F4A0681">
            <w:pPr>
              <w:contextualSpacing/>
              <w:jc w:val="center"/>
              <w:rPr>
                <w:rFonts w:hint="default" w:ascii="Times New Roman" w:hAnsi="Times New Roman" w:eastAsia="宋体" w:cs="Times New Roman"/>
                <w:color w:val="auto"/>
                <w:szCs w:val="21"/>
                <w:highlight w:val="none"/>
                <w:u w:val="none" w:color="auto"/>
              </w:rPr>
            </w:pPr>
          </w:p>
        </w:tc>
        <w:tc>
          <w:tcPr>
            <w:tcW w:w="408" w:type="pct"/>
            <w:tcBorders>
              <w:tl2br w:val="nil"/>
              <w:tr2bl w:val="nil"/>
            </w:tcBorders>
            <w:noWrap w:val="0"/>
            <w:vAlign w:val="center"/>
          </w:tcPr>
          <w:p w14:paraId="34C58845">
            <w:pPr>
              <w:contextualSpacing/>
              <w:jc w:val="center"/>
              <w:rPr>
                <w:rFonts w:hint="default" w:ascii="Times New Roman" w:hAnsi="Times New Roman" w:eastAsia="宋体" w:cs="Times New Roman"/>
                <w:color w:val="auto"/>
                <w:szCs w:val="21"/>
                <w:highlight w:val="none"/>
                <w:u w:val="none" w:color="auto"/>
                <w:lang w:val="en-US" w:eastAsia="zh-CN"/>
              </w:rPr>
            </w:pPr>
            <w:r>
              <w:rPr>
                <w:rFonts w:hint="default" w:ascii="Times New Roman" w:hAnsi="Times New Roman" w:eastAsia="宋体" w:cs="Times New Roman"/>
                <w:color w:val="auto"/>
                <w:szCs w:val="21"/>
                <w:highlight w:val="none"/>
                <w:u w:val="none" w:color="auto"/>
                <w:lang w:val="en-US" w:eastAsia="zh-CN"/>
              </w:rPr>
              <w:t>38</w:t>
            </w:r>
          </w:p>
        </w:tc>
        <w:tc>
          <w:tcPr>
            <w:tcW w:w="1215" w:type="pct"/>
            <w:gridSpan w:val="3"/>
            <w:tcBorders>
              <w:tl2br w:val="nil"/>
              <w:tr2bl w:val="nil"/>
            </w:tcBorders>
            <w:noWrap w:val="0"/>
            <w:vAlign w:val="center"/>
          </w:tcPr>
          <w:p w14:paraId="363E9F0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岳阳市军北学校</w:t>
            </w:r>
          </w:p>
        </w:tc>
        <w:tc>
          <w:tcPr>
            <w:tcW w:w="600" w:type="pct"/>
            <w:gridSpan w:val="2"/>
            <w:tcBorders>
              <w:tl2br w:val="nil"/>
              <w:tr2bl w:val="nil"/>
            </w:tcBorders>
            <w:noWrap w:val="0"/>
            <w:vAlign w:val="center"/>
          </w:tcPr>
          <w:p w14:paraId="0CC27FA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东</w:t>
            </w:r>
          </w:p>
        </w:tc>
        <w:tc>
          <w:tcPr>
            <w:tcW w:w="688" w:type="pct"/>
            <w:gridSpan w:val="2"/>
            <w:tcBorders>
              <w:tl2br w:val="nil"/>
              <w:tr2bl w:val="nil"/>
            </w:tcBorders>
            <w:noWrap w:val="0"/>
            <w:vAlign w:val="center"/>
          </w:tcPr>
          <w:p w14:paraId="2D8F266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3250~3512</w:t>
            </w:r>
          </w:p>
        </w:tc>
        <w:tc>
          <w:tcPr>
            <w:tcW w:w="854" w:type="pct"/>
            <w:gridSpan w:val="2"/>
            <w:tcBorders>
              <w:tl2br w:val="nil"/>
              <w:tr2bl w:val="nil"/>
            </w:tcBorders>
            <w:noWrap w:val="0"/>
            <w:vAlign w:val="center"/>
          </w:tcPr>
          <w:p w14:paraId="6E176598">
            <w:pPr>
              <w:jc w:val="center"/>
              <w:rPr>
                <w:rFonts w:hint="default" w:ascii="Times New Roman" w:hAnsi="Times New Roman" w:eastAsia="宋体" w:cs="Times New Roman"/>
                <w:i w:val="0"/>
                <w:iCs w:val="0"/>
                <w:color w:val="auto"/>
                <w:kern w:val="0"/>
                <w:sz w:val="22"/>
                <w:szCs w:val="22"/>
                <w:u w:val="none" w:color="auto"/>
                <w:lang w:val="en-US" w:eastAsia="zh-CN" w:bidi="ar"/>
              </w:rPr>
            </w:pPr>
            <w:r>
              <w:rPr>
                <w:rFonts w:hint="default" w:ascii="Times New Roman" w:hAnsi="Times New Roman" w:eastAsia="宋体" w:cs="Times New Roman"/>
                <w:i w:val="0"/>
                <w:iCs w:val="0"/>
                <w:color w:val="auto"/>
                <w:kern w:val="0"/>
                <w:sz w:val="22"/>
                <w:szCs w:val="22"/>
                <w:u w:val="none" w:color="auto"/>
                <w:lang w:val="en-US" w:eastAsia="zh-CN" w:bidi="ar"/>
              </w:rPr>
              <w:t>师生</w:t>
            </w:r>
          </w:p>
        </w:tc>
        <w:tc>
          <w:tcPr>
            <w:tcW w:w="766" w:type="pct"/>
            <w:tcBorders>
              <w:tl2br w:val="nil"/>
              <w:tr2bl w:val="nil"/>
            </w:tcBorders>
            <w:noWrap w:val="0"/>
            <w:vAlign w:val="center"/>
          </w:tcPr>
          <w:p w14:paraId="76F237D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2"/>
                <w:szCs w:val="22"/>
                <w:u w:val="none" w:color="auto"/>
                <w:lang w:val="en-US" w:eastAsia="zh-CN" w:bidi="ar"/>
              </w:rPr>
            </w:pPr>
            <w:r>
              <w:rPr>
                <w:rFonts w:hint="default" w:ascii="Times New Roman" w:hAnsi="Times New Roman" w:eastAsia="宋体" w:cs="Times New Roman"/>
                <w:i w:val="0"/>
                <w:iCs w:val="0"/>
                <w:color w:val="auto"/>
                <w:kern w:val="0"/>
                <w:sz w:val="22"/>
                <w:szCs w:val="22"/>
                <w:u w:val="none" w:color="auto"/>
                <w:lang w:val="en-US" w:eastAsia="zh-CN" w:bidi="ar"/>
              </w:rPr>
              <w:t>约1500</w:t>
            </w:r>
          </w:p>
        </w:tc>
      </w:tr>
      <w:tr w14:paraId="19309D1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66" w:type="pct"/>
            <w:vMerge w:val="continue"/>
            <w:tcBorders>
              <w:tl2br w:val="nil"/>
              <w:tr2bl w:val="nil"/>
            </w:tcBorders>
            <w:noWrap w:val="0"/>
            <w:vAlign w:val="center"/>
          </w:tcPr>
          <w:p w14:paraId="561C07D5">
            <w:pPr>
              <w:contextualSpacing/>
              <w:jc w:val="center"/>
              <w:rPr>
                <w:rFonts w:hint="default" w:ascii="Times New Roman" w:hAnsi="Times New Roman" w:eastAsia="宋体" w:cs="Times New Roman"/>
                <w:color w:val="auto"/>
                <w:szCs w:val="21"/>
                <w:highlight w:val="none"/>
                <w:u w:val="none" w:color="auto"/>
              </w:rPr>
            </w:pPr>
          </w:p>
        </w:tc>
        <w:tc>
          <w:tcPr>
            <w:tcW w:w="408" w:type="pct"/>
            <w:tcBorders>
              <w:tl2br w:val="nil"/>
              <w:tr2bl w:val="nil"/>
            </w:tcBorders>
            <w:noWrap w:val="0"/>
            <w:vAlign w:val="center"/>
          </w:tcPr>
          <w:p w14:paraId="01012B60">
            <w:pPr>
              <w:contextualSpacing/>
              <w:jc w:val="center"/>
              <w:rPr>
                <w:rFonts w:hint="default" w:ascii="Times New Roman" w:hAnsi="Times New Roman" w:eastAsia="宋体" w:cs="Times New Roman"/>
                <w:color w:val="auto"/>
                <w:szCs w:val="21"/>
                <w:highlight w:val="none"/>
                <w:u w:val="none" w:color="auto"/>
                <w:lang w:val="en-US" w:eastAsia="zh-CN"/>
              </w:rPr>
            </w:pPr>
            <w:r>
              <w:rPr>
                <w:rFonts w:hint="default" w:ascii="Times New Roman" w:hAnsi="Times New Roman" w:eastAsia="宋体" w:cs="Times New Roman"/>
                <w:color w:val="auto"/>
                <w:szCs w:val="21"/>
                <w:highlight w:val="none"/>
                <w:u w:val="none" w:color="auto"/>
                <w:lang w:val="en-US" w:eastAsia="zh-CN"/>
              </w:rPr>
              <w:t>39</w:t>
            </w:r>
          </w:p>
        </w:tc>
        <w:tc>
          <w:tcPr>
            <w:tcW w:w="1215" w:type="pct"/>
            <w:gridSpan w:val="3"/>
            <w:tcBorders>
              <w:tl2br w:val="nil"/>
              <w:tr2bl w:val="nil"/>
            </w:tcBorders>
            <w:noWrap w:val="0"/>
            <w:vAlign w:val="center"/>
          </w:tcPr>
          <w:p w14:paraId="4CAD166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新里垄</w:t>
            </w:r>
          </w:p>
        </w:tc>
        <w:tc>
          <w:tcPr>
            <w:tcW w:w="600" w:type="pct"/>
            <w:gridSpan w:val="2"/>
            <w:tcBorders>
              <w:tl2br w:val="nil"/>
              <w:tr2bl w:val="nil"/>
            </w:tcBorders>
            <w:noWrap w:val="0"/>
            <w:vAlign w:val="center"/>
          </w:tcPr>
          <w:p w14:paraId="13ED0C1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北</w:t>
            </w:r>
          </w:p>
        </w:tc>
        <w:tc>
          <w:tcPr>
            <w:tcW w:w="688" w:type="pct"/>
            <w:gridSpan w:val="2"/>
            <w:tcBorders>
              <w:tl2br w:val="nil"/>
              <w:tr2bl w:val="nil"/>
            </w:tcBorders>
            <w:noWrap w:val="0"/>
            <w:vAlign w:val="center"/>
          </w:tcPr>
          <w:p w14:paraId="06DC2FB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3970-5000</w:t>
            </w:r>
          </w:p>
        </w:tc>
        <w:tc>
          <w:tcPr>
            <w:tcW w:w="854" w:type="pct"/>
            <w:gridSpan w:val="2"/>
            <w:vMerge w:val="restart"/>
            <w:tcBorders>
              <w:tl2br w:val="nil"/>
              <w:tr2bl w:val="nil"/>
            </w:tcBorders>
            <w:noWrap w:val="0"/>
            <w:vAlign w:val="center"/>
          </w:tcPr>
          <w:p w14:paraId="6B2B567E">
            <w:pPr>
              <w:jc w:val="center"/>
              <w:rPr>
                <w:rFonts w:hint="default" w:ascii="Times New Roman" w:hAnsi="Times New Roman" w:eastAsia="宋体" w:cs="Times New Roman"/>
                <w:i w:val="0"/>
                <w:iCs w:val="0"/>
                <w:color w:val="auto"/>
                <w:kern w:val="0"/>
                <w:sz w:val="22"/>
                <w:szCs w:val="22"/>
                <w:u w:val="none" w:color="auto"/>
                <w:lang w:val="en-US" w:eastAsia="zh-CN" w:bidi="ar"/>
              </w:rPr>
            </w:pPr>
            <w:r>
              <w:rPr>
                <w:rFonts w:hint="default" w:ascii="Times New Roman" w:hAnsi="Times New Roman" w:eastAsia="宋体" w:cs="Times New Roman"/>
                <w:i w:val="0"/>
                <w:iCs w:val="0"/>
                <w:color w:val="auto"/>
                <w:kern w:val="0"/>
                <w:sz w:val="22"/>
                <w:szCs w:val="22"/>
                <w:u w:val="none" w:color="auto"/>
                <w:lang w:val="en-US" w:eastAsia="zh-CN" w:bidi="ar"/>
              </w:rPr>
              <w:t>居民</w:t>
            </w:r>
          </w:p>
        </w:tc>
        <w:tc>
          <w:tcPr>
            <w:tcW w:w="766" w:type="pct"/>
            <w:tcBorders>
              <w:tl2br w:val="nil"/>
              <w:tr2bl w:val="nil"/>
            </w:tcBorders>
            <w:noWrap w:val="0"/>
            <w:vAlign w:val="center"/>
          </w:tcPr>
          <w:p w14:paraId="0A01C7E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2"/>
                <w:szCs w:val="22"/>
                <w:u w:val="none" w:color="auto"/>
                <w:lang w:val="en-US" w:eastAsia="zh-CN" w:bidi="ar"/>
              </w:rPr>
            </w:pPr>
            <w:r>
              <w:rPr>
                <w:rFonts w:hint="default" w:ascii="Times New Roman" w:hAnsi="Times New Roman" w:eastAsia="宋体" w:cs="Times New Roman"/>
                <w:i w:val="0"/>
                <w:iCs w:val="0"/>
                <w:color w:val="auto"/>
                <w:kern w:val="0"/>
                <w:sz w:val="22"/>
                <w:szCs w:val="22"/>
                <w:u w:val="none" w:color="auto"/>
                <w:lang w:val="en-US" w:eastAsia="zh-CN" w:bidi="ar"/>
              </w:rPr>
              <w:t>450</w:t>
            </w:r>
          </w:p>
        </w:tc>
      </w:tr>
      <w:tr w14:paraId="3B51188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66" w:type="pct"/>
            <w:vMerge w:val="continue"/>
            <w:tcBorders>
              <w:tl2br w:val="nil"/>
              <w:tr2bl w:val="nil"/>
            </w:tcBorders>
            <w:noWrap w:val="0"/>
            <w:vAlign w:val="center"/>
          </w:tcPr>
          <w:p w14:paraId="0BA18897">
            <w:pPr>
              <w:contextualSpacing/>
              <w:jc w:val="center"/>
              <w:rPr>
                <w:rFonts w:hint="default" w:ascii="Times New Roman" w:hAnsi="Times New Roman" w:eastAsia="宋体" w:cs="Times New Roman"/>
                <w:color w:val="auto"/>
                <w:szCs w:val="21"/>
                <w:highlight w:val="none"/>
                <w:u w:val="none" w:color="auto"/>
              </w:rPr>
            </w:pPr>
          </w:p>
        </w:tc>
        <w:tc>
          <w:tcPr>
            <w:tcW w:w="408" w:type="pct"/>
            <w:tcBorders>
              <w:tl2br w:val="nil"/>
              <w:tr2bl w:val="nil"/>
            </w:tcBorders>
            <w:noWrap w:val="0"/>
            <w:vAlign w:val="center"/>
          </w:tcPr>
          <w:p w14:paraId="7335F4AE">
            <w:pPr>
              <w:contextualSpacing/>
              <w:jc w:val="center"/>
              <w:rPr>
                <w:rFonts w:hint="default" w:ascii="Times New Roman" w:hAnsi="Times New Roman" w:eastAsia="宋体" w:cs="Times New Roman"/>
                <w:color w:val="auto"/>
                <w:szCs w:val="21"/>
                <w:highlight w:val="none"/>
                <w:u w:val="none" w:color="auto"/>
                <w:lang w:val="en-US" w:eastAsia="zh-CN"/>
              </w:rPr>
            </w:pPr>
            <w:r>
              <w:rPr>
                <w:rFonts w:hint="default" w:ascii="Times New Roman" w:hAnsi="Times New Roman" w:eastAsia="宋体" w:cs="Times New Roman"/>
                <w:color w:val="auto"/>
                <w:szCs w:val="21"/>
                <w:highlight w:val="none"/>
                <w:u w:val="none" w:color="auto"/>
                <w:lang w:val="en-US" w:eastAsia="zh-CN"/>
              </w:rPr>
              <w:t>40</w:t>
            </w:r>
          </w:p>
        </w:tc>
        <w:tc>
          <w:tcPr>
            <w:tcW w:w="1215" w:type="pct"/>
            <w:gridSpan w:val="3"/>
            <w:tcBorders>
              <w:tl2br w:val="nil"/>
              <w:tr2bl w:val="nil"/>
            </w:tcBorders>
            <w:noWrap w:val="0"/>
            <w:vAlign w:val="center"/>
          </w:tcPr>
          <w:p w14:paraId="55596C2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赵家垄</w:t>
            </w:r>
          </w:p>
        </w:tc>
        <w:tc>
          <w:tcPr>
            <w:tcW w:w="600" w:type="pct"/>
            <w:gridSpan w:val="2"/>
            <w:tcBorders>
              <w:tl2br w:val="nil"/>
              <w:tr2bl w:val="nil"/>
            </w:tcBorders>
            <w:noWrap w:val="0"/>
            <w:vAlign w:val="center"/>
          </w:tcPr>
          <w:p w14:paraId="0F2F071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北</w:t>
            </w:r>
          </w:p>
        </w:tc>
        <w:tc>
          <w:tcPr>
            <w:tcW w:w="688" w:type="pct"/>
            <w:gridSpan w:val="2"/>
            <w:tcBorders>
              <w:tl2br w:val="nil"/>
              <w:tr2bl w:val="nil"/>
            </w:tcBorders>
            <w:noWrap w:val="0"/>
            <w:vAlign w:val="center"/>
          </w:tcPr>
          <w:p w14:paraId="51C0E25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3792~4257</w:t>
            </w:r>
          </w:p>
        </w:tc>
        <w:tc>
          <w:tcPr>
            <w:tcW w:w="854" w:type="pct"/>
            <w:gridSpan w:val="2"/>
            <w:vMerge w:val="continue"/>
            <w:tcBorders>
              <w:tl2br w:val="nil"/>
              <w:tr2bl w:val="nil"/>
            </w:tcBorders>
            <w:noWrap w:val="0"/>
            <w:vAlign w:val="center"/>
          </w:tcPr>
          <w:p w14:paraId="73544676">
            <w:pPr>
              <w:jc w:val="center"/>
              <w:rPr>
                <w:rFonts w:hint="default" w:ascii="Times New Roman" w:hAnsi="Times New Roman" w:eastAsia="宋体" w:cs="Times New Roman"/>
                <w:i w:val="0"/>
                <w:iCs w:val="0"/>
                <w:color w:val="auto"/>
                <w:kern w:val="0"/>
                <w:sz w:val="22"/>
                <w:szCs w:val="22"/>
                <w:u w:val="none" w:color="auto"/>
                <w:lang w:val="en-US" w:eastAsia="zh-CN" w:bidi="ar"/>
              </w:rPr>
            </w:pPr>
          </w:p>
        </w:tc>
        <w:tc>
          <w:tcPr>
            <w:tcW w:w="766" w:type="pct"/>
            <w:tcBorders>
              <w:tl2br w:val="nil"/>
              <w:tr2bl w:val="nil"/>
            </w:tcBorders>
            <w:noWrap w:val="0"/>
            <w:vAlign w:val="center"/>
          </w:tcPr>
          <w:p w14:paraId="482CB96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2"/>
                <w:szCs w:val="22"/>
                <w:u w:val="none" w:color="auto"/>
                <w:lang w:val="en-US" w:eastAsia="zh-CN" w:bidi="ar"/>
              </w:rPr>
            </w:pPr>
            <w:r>
              <w:rPr>
                <w:rFonts w:hint="default" w:ascii="Times New Roman" w:hAnsi="Times New Roman" w:eastAsia="宋体" w:cs="Times New Roman"/>
                <w:i w:val="0"/>
                <w:iCs w:val="0"/>
                <w:color w:val="auto"/>
                <w:kern w:val="0"/>
                <w:sz w:val="22"/>
                <w:szCs w:val="22"/>
                <w:u w:val="none" w:color="auto"/>
                <w:lang w:val="en-US" w:eastAsia="zh-CN" w:bidi="ar"/>
              </w:rPr>
              <w:t>120</w:t>
            </w:r>
          </w:p>
        </w:tc>
      </w:tr>
      <w:tr w14:paraId="255F933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66" w:type="pct"/>
            <w:vMerge w:val="continue"/>
            <w:tcBorders>
              <w:tl2br w:val="nil"/>
              <w:tr2bl w:val="nil"/>
            </w:tcBorders>
            <w:noWrap w:val="0"/>
            <w:vAlign w:val="center"/>
          </w:tcPr>
          <w:p w14:paraId="2352110E">
            <w:pPr>
              <w:contextualSpacing/>
              <w:jc w:val="center"/>
              <w:rPr>
                <w:rFonts w:hint="default" w:ascii="Times New Roman" w:hAnsi="Times New Roman" w:eastAsia="宋体" w:cs="Times New Roman"/>
                <w:color w:val="auto"/>
                <w:szCs w:val="21"/>
                <w:highlight w:val="none"/>
                <w:u w:val="none" w:color="auto"/>
              </w:rPr>
            </w:pPr>
          </w:p>
        </w:tc>
        <w:tc>
          <w:tcPr>
            <w:tcW w:w="408" w:type="pct"/>
            <w:tcBorders>
              <w:tl2br w:val="nil"/>
              <w:tr2bl w:val="nil"/>
            </w:tcBorders>
            <w:noWrap w:val="0"/>
            <w:vAlign w:val="center"/>
          </w:tcPr>
          <w:p w14:paraId="4FC1DF5F">
            <w:pPr>
              <w:contextualSpacing/>
              <w:jc w:val="center"/>
              <w:rPr>
                <w:rFonts w:hint="default" w:ascii="Times New Roman" w:hAnsi="Times New Roman" w:eastAsia="宋体" w:cs="Times New Roman"/>
                <w:color w:val="auto"/>
                <w:szCs w:val="21"/>
                <w:highlight w:val="none"/>
                <w:u w:val="none" w:color="auto"/>
                <w:lang w:val="en-US" w:eastAsia="zh-CN"/>
              </w:rPr>
            </w:pPr>
            <w:r>
              <w:rPr>
                <w:rFonts w:hint="default" w:ascii="Times New Roman" w:hAnsi="Times New Roman" w:eastAsia="宋体" w:cs="Times New Roman"/>
                <w:color w:val="auto"/>
                <w:szCs w:val="21"/>
                <w:highlight w:val="none"/>
                <w:u w:val="none" w:color="auto"/>
                <w:lang w:val="en-US" w:eastAsia="zh-CN"/>
              </w:rPr>
              <w:t>41</w:t>
            </w:r>
          </w:p>
        </w:tc>
        <w:tc>
          <w:tcPr>
            <w:tcW w:w="1215" w:type="pct"/>
            <w:gridSpan w:val="3"/>
            <w:tcBorders>
              <w:tl2br w:val="nil"/>
              <w:tr2bl w:val="nil"/>
            </w:tcBorders>
            <w:noWrap w:val="0"/>
            <w:vAlign w:val="center"/>
          </w:tcPr>
          <w:p w14:paraId="16F6970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石岗里</w:t>
            </w:r>
          </w:p>
        </w:tc>
        <w:tc>
          <w:tcPr>
            <w:tcW w:w="600" w:type="pct"/>
            <w:gridSpan w:val="2"/>
            <w:tcBorders>
              <w:tl2br w:val="nil"/>
              <w:tr2bl w:val="nil"/>
            </w:tcBorders>
            <w:noWrap w:val="0"/>
            <w:vAlign w:val="center"/>
          </w:tcPr>
          <w:p w14:paraId="568FD7B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东</w:t>
            </w:r>
          </w:p>
        </w:tc>
        <w:tc>
          <w:tcPr>
            <w:tcW w:w="688" w:type="pct"/>
            <w:gridSpan w:val="2"/>
            <w:tcBorders>
              <w:tl2br w:val="nil"/>
              <w:tr2bl w:val="nil"/>
            </w:tcBorders>
            <w:noWrap w:val="0"/>
            <w:vAlign w:val="center"/>
          </w:tcPr>
          <w:p w14:paraId="748807F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4111~5000</w:t>
            </w:r>
          </w:p>
        </w:tc>
        <w:tc>
          <w:tcPr>
            <w:tcW w:w="854" w:type="pct"/>
            <w:gridSpan w:val="2"/>
            <w:vMerge w:val="continue"/>
            <w:tcBorders>
              <w:tl2br w:val="nil"/>
              <w:tr2bl w:val="nil"/>
            </w:tcBorders>
            <w:noWrap w:val="0"/>
            <w:vAlign w:val="center"/>
          </w:tcPr>
          <w:p w14:paraId="360793CA">
            <w:pPr>
              <w:jc w:val="center"/>
              <w:rPr>
                <w:rFonts w:hint="default" w:ascii="Times New Roman" w:hAnsi="Times New Roman" w:eastAsia="宋体" w:cs="Times New Roman"/>
                <w:i w:val="0"/>
                <w:iCs w:val="0"/>
                <w:color w:val="auto"/>
                <w:kern w:val="0"/>
                <w:sz w:val="22"/>
                <w:szCs w:val="22"/>
                <w:u w:val="none" w:color="auto"/>
                <w:lang w:val="en-US" w:eastAsia="zh-CN" w:bidi="ar"/>
              </w:rPr>
            </w:pPr>
          </w:p>
        </w:tc>
        <w:tc>
          <w:tcPr>
            <w:tcW w:w="766" w:type="pct"/>
            <w:tcBorders>
              <w:tl2br w:val="nil"/>
              <w:tr2bl w:val="nil"/>
            </w:tcBorders>
            <w:noWrap w:val="0"/>
            <w:vAlign w:val="center"/>
          </w:tcPr>
          <w:p w14:paraId="2A4C2BD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2"/>
                <w:szCs w:val="22"/>
                <w:u w:val="none" w:color="auto"/>
                <w:lang w:val="en-US" w:eastAsia="zh-CN" w:bidi="ar"/>
              </w:rPr>
            </w:pPr>
            <w:r>
              <w:rPr>
                <w:rFonts w:hint="default" w:ascii="Times New Roman" w:hAnsi="Times New Roman" w:eastAsia="宋体" w:cs="Times New Roman"/>
                <w:i w:val="0"/>
                <w:iCs w:val="0"/>
                <w:color w:val="auto"/>
                <w:kern w:val="0"/>
                <w:sz w:val="22"/>
                <w:szCs w:val="22"/>
                <w:u w:val="none" w:color="auto"/>
                <w:lang w:val="en-US" w:eastAsia="zh-CN" w:bidi="ar"/>
              </w:rPr>
              <w:t>31</w:t>
            </w:r>
          </w:p>
        </w:tc>
      </w:tr>
      <w:tr w14:paraId="360FE09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66" w:type="pct"/>
            <w:vMerge w:val="continue"/>
            <w:tcBorders>
              <w:tl2br w:val="nil"/>
              <w:tr2bl w:val="nil"/>
            </w:tcBorders>
            <w:noWrap w:val="0"/>
            <w:vAlign w:val="center"/>
          </w:tcPr>
          <w:p w14:paraId="1522F8B2">
            <w:pPr>
              <w:contextualSpacing/>
              <w:jc w:val="center"/>
              <w:rPr>
                <w:rFonts w:hint="default" w:ascii="Times New Roman" w:hAnsi="Times New Roman" w:eastAsia="宋体" w:cs="Times New Roman"/>
                <w:color w:val="auto"/>
                <w:szCs w:val="21"/>
                <w:highlight w:val="none"/>
                <w:u w:val="none" w:color="auto"/>
              </w:rPr>
            </w:pPr>
          </w:p>
        </w:tc>
        <w:tc>
          <w:tcPr>
            <w:tcW w:w="408" w:type="pct"/>
            <w:tcBorders>
              <w:tl2br w:val="nil"/>
              <w:tr2bl w:val="nil"/>
            </w:tcBorders>
            <w:noWrap w:val="0"/>
            <w:vAlign w:val="center"/>
          </w:tcPr>
          <w:p w14:paraId="7BD5AF40">
            <w:pPr>
              <w:contextualSpacing/>
              <w:jc w:val="center"/>
              <w:rPr>
                <w:rFonts w:hint="default" w:ascii="Times New Roman" w:hAnsi="Times New Roman" w:eastAsia="宋体" w:cs="Times New Roman"/>
                <w:color w:val="auto"/>
                <w:szCs w:val="21"/>
                <w:highlight w:val="none"/>
                <w:u w:val="none" w:color="auto"/>
                <w:lang w:val="en-US" w:eastAsia="zh-CN"/>
              </w:rPr>
            </w:pPr>
            <w:r>
              <w:rPr>
                <w:rFonts w:hint="default" w:ascii="Times New Roman" w:hAnsi="Times New Roman" w:eastAsia="宋体" w:cs="Times New Roman"/>
                <w:color w:val="auto"/>
                <w:szCs w:val="21"/>
                <w:highlight w:val="none"/>
                <w:u w:val="none" w:color="auto"/>
                <w:lang w:val="en-US" w:eastAsia="zh-CN"/>
              </w:rPr>
              <w:t>42</w:t>
            </w:r>
          </w:p>
        </w:tc>
        <w:tc>
          <w:tcPr>
            <w:tcW w:w="1215" w:type="pct"/>
            <w:gridSpan w:val="3"/>
            <w:tcBorders>
              <w:tl2br w:val="nil"/>
              <w:tr2bl w:val="nil"/>
            </w:tcBorders>
            <w:noWrap w:val="0"/>
            <w:vAlign w:val="center"/>
          </w:tcPr>
          <w:p w14:paraId="41B48E0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毛家组</w:t>
            </w:r>
          </w:p>
        </w:tc>
        <w:tc>
          <w:tcPr>
            <w:tcW w:w="600" w:type="pct"/>
            <w:gridSpan w:val="2"/>
            <w:tcBorders>
              <w:tl2br w:val="nil"/>
              <w:tr2bl w:val="nil"/>
            </w:tcBorders>
            <w:noWrap w:val="0"/>
            <w:vAlign w:val="center"/>
          </w:tcPr>
          <w:p w14:paraId="6FDDC4B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东南</w:t>
            </w:r>
          </w:p>
        </w:tc>
        <w:tc>
          <w:tcPr>
            <w:tcW w:w="688" w:type="pct"/>
            <w:gridSpan w:val="2"/>
            <w:tcBorders>
              <w:tl2br w:val="nil"/>
              <w:tr2bl w:val="nil"/>
            </w:tcBorders>
            <w:noWrap w:val="0"/>
            <w:vAlign w:val="center"/>
          </w:tcPr>
          <w:p w14:paraId="6D04C86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4980~5000</w:t>
            </w:r>
          </w:p>
        </w:tc>
        <w:tc>
          <w:tcPr>
            <w:tcW w:w="854" w:type="pct"/>
            <w:gridSpan w:val="2"/>
            <w:vMerge w:val="continue"/>
            <w:tcBorders>
              <w:tl2br w:val="nil"/>
              <w:tr2bl w:val="nil"/>
            </w:tcBorders>
            <w:noWrap w:val="0"/>
            <w:vAlign w:val="center"/>
          </w:tcPr>
          <w:p w14:paraId="38C3F341">
            <w:pPr>
              <w:jc w:val="center"/>
              <w:rPr>
                <w:rFonts w:hint="default" w:ascii="Times New Roman" w:hAnsi="Times New Roman" w:eastAsia="宋体" w:cs="Times New Roman"/>
                <w:i w:val="0"/>
                <w:iCs w:val="0"/>
                <w:color w:val="auto"/>
                <w:kern w:val="0"/>
                <w:sz w:val="22"/>
                <w:szCs w:val="22"/>
                <w:u w:val="none" w:color="auto"/>
                <w:lang w:val="en-US" w:eastAsia="zh-CN" w:bidi="ar"/>
              </w:rPr>
            </w:pPr>
          </w:p>
        </w:tc>
        <w:tc>
          <w:tcPr>
            <w:tcW w:w="766" w:type="pct"/>
            <w:tcBorders>
              <w:tl2br w:val="nil"/>
              <w:tr2bl w:val="nil"/>
            </w:tcBorders>
            <w:noWrap w:val="0"/>
            <w:vAlign w:val="center"/>
          </w:tcPr>
          <w:p w14:paraId="38F5582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2"/>
                <w:szCs w:val="22"/>
                <w:u w:val="none" w:color="auto"/>
                <w:lang w:val="en-US" w:eastAsia="zh-CN" w:bidi="ar"/>
              </w:rPr>
            </w:pPr>
            <w:r>
              <w:rPr>
                <w:rFonts w:hint="default" w:ascii="Times New Roman" w:hAnsi="Times New Roman" w:eastAsia="宋体" w:cs="Times New Roman"/>
                <w:i w:val="0"/>
                <w:iCs w:val="0"/>
                <w:color w:val="auto"/>
                <w:kern w:val="0"/>
                <w:sz w:val="22"/>
                <w:szCs w:val="22"/>
                <w:u w:val="none" w:color="auto"/>
                <w:lang w:val="en-US" w:eastAsia="zh-CN" w:bidi="ar"/>
              </w:rPr>
              <w:t>6</w:t>
            </w:r>
          </w:p>
        </w:tc>
      </w:tr>
      <w:tr w14:paraId="5B18B59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66" w:type="pct"/>
            <w:vMerge w:val="continue"/>
            <w:tcBorders>
              <w:tl2br w:val="nil"/>
              <w:tr2bl w:val="nil"/>
            </w:tcBorders>
            <w:noWrap w:val="0"/>
            <w:vAlign w:val="center"/>
          </w:tcPr>
          <w:p w14:paraId="42961C19">
            <w:pPr>
              <w:contextualSpacing/>
              <w:jc w:val="center"/>
              <w:rPr>
                <w:rFonts w:hint="default" w:ascii="Times New Roman" w:hAnsi="Times New Roman" w:eastAsia="宋体" w:cs="Times New Roman"/>
                <w:color w:val="auto"/>
                <w:szCs w:val="21"/>
                <w:highlight w:val="none"/>
                <w:u w:val="none" w:color="auto"/>
              </w:rPr>
            </w:pPr>
          </w:p>
        </w:tc>
        <w:tc>
          <w:tcPr>
            <w:tcW w:w="408" w:type="pct"/>
            <w:tcBorders>
              <w:tl2br w:val="nil"/>
              <w:tr2bl w:val="nil"/>
            </w:tcBorders>
            <w:noWrap w:val="0"/>
            <w:vAlign w:val="center"/>
          </w:tcPr>
          <w:p w14:paraId="0266901F">
            <w:pPr>
              <w:contextualSpacing/>
              <w:jc w:val="center"/>
              <w:rPr>
                <w:rFonts w:hint="default" w:ascii="Times New Roman" w:hAnsi="Times New Roman" w:eastAsia="宋体" w:cs="Times New Roman"/>
                <w:color w:val="auto"/>
                <w:szCs w:val="21"/>
                <w:highlight w:val="none"/>
                <w:u w:val="none" w:color="auto"/>
                <w:lang w:val="en-US" w:eastAsia="zh-CN"/>
              </w:rPr>
            </w:pPr>
            <w:r>
              <w:rPr>
                <w:rFonts w:hint="default" w:ascii="Times New Roman" w:hAnsi="Times New Roman" w:eastAsia="宋体" w:cs="Times New Roman"/>
                <w:color w:val="auto"/>
                <w:szCs w:val="21"/>
                <w:highlight w:val="none"/>
                <w:u w:val="none" w:color="auto"/>
                <w:lang w:val="en-US" w:eastAsia="zh-CN"/>
              </w:rPr>
              <w:t>43</w:t>
            </w:r>
          </w:p>
        </w:tc>
        <w:tc>
          <w:tcPr>
            <w:tcW w:w="1215" w:type="pct"/>
            <w:gridSpan w:val="3"/>
            <w:tcBorders>
              <w:tl2br w:val="nil"/>
              <w:tr2bl w:val="nil"/>
            </w:tcBorders>
            <w:noWrap w:val="0"/>
            <w:vAlign w:val="center"/>
          </w:tcPr>
          <w:p w14:paraId="7A77722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杨其湖组</w:t>
            </w:r>
          </w:p>
        </w:tc>
        <w:tc>
          <w:tcPr>
            <w:tcW w:w="600" w:type="pct"/>
            <w:gridSpan w:val="2"/>
            <w:tcBorders>
              <w:tl2br w:val="nil"/>
              <w:tr2bl w:val="nil"/>
            </w:tcBorders>
            <w:noWrap w:val="0"/>
            <w:vAlign w:val="center"/>
          </w:tcPr>
          <w:p w14:paraId="14A38A2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东南</w:t>
            </w:r>
          </w:p>
        </w:tc>
        <w:tc>
          <w:tcPr>
            <w:tcW w:w="688" w:type="pct"/>
            <w:gridSpan w:val="2"/>
            <w:tcBorders>
              <w:tl2br w:val="nil"/>
              <w:tr2bl w:val="nil"/>
            </w:tcBorders>
            <w:noWrap w:val="0"/>
            <w:vAlign w:val="center"/>
          </w:tcPr>
          <w:p w14:paraId="088FFF4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4542~4862</w:t>
            </w:r>
          </w:p>
        </w:tc>
        <w:tc>
          <w:tcPr>
            <w:tcW w:w="854" w:type="pct"/>
            <w:gridSpan w:val="2"/>
            <w:vMerge w:val="continue"/>
            <w:tcBorders>
              <w:tl2br w:val="nil"/>
              <w:tr2bl w:val="nil"/>
            </w:tcBorders>
            <w:noWrap w:val="0"/>
            <w:vAlign w:val="center"/>
          </w:tcPr>
          <w:p w14:paraId="13CBED8D">
            <w:pPr>
              <w:jc w:val="center"/>
              <w:rPr>
                <w:rFonts w:hint="default" w:ascii="Times New Roman" w:hAnsi="Times New Roman" w:eastAsia="宋体" w:cs="Times New Roman"/>
                <w:i w:val="0"/>
                <w:iCs w:val="0"/>
                <w:color w:val="auto"/>
                <w:kern w:val="0"/>
                <w:sz w:val="22"/>
                <w:szCs w:val="22"/>
                <w:u w:val="none" w:color="auto"/>
                <w:lang w:val="en-US" w:eastAsia="zh-CN" w:bidi="ar"/>
              </w:rPr>
            </w:pPr>
          </w:p>
        </w:tc>
        <w:tc>
          <w:tcPr>
            <w:tcW w:w="766" w:type="pct"/>
            <w:tcBorders>
              <w:tl2br w:val="nil"/>
              <w:tr2bl w:val="nil"/>
            </w:tcBorders>
            <w:noWrap w:val="0"/>
            <w:vAlign w:val="center"/>
          </w:tcPr>
          <w:p w14:paraId="4265C15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2"/>
                <w:szCs w:val="22"/>
                <w:u w:val="none" w:color="auto"/>
                <w:lang w:val="en-US" w:eastAsia="zh-CN" w:bidi="ar"/>
              </w:rPr>
            </w:pPr>
            <w:r>
              <w:rPr>
                <w:rFonts w:hint="default" w:ascii="Times New Roman" w:hAnsi="Times New Roman" w:eastAsia="宋体" w:cs="Times New Roman"/>
                <w:i w:val="0"/>
                <w:iCs w:val="0"/>
                <w:color w:val="auto"/>
                <w:kern w:val="0"/>
                <w:sz w:val="22"/>
                <w:szCs w:val="22"/>
                <w:u w:val="none" w:color="auto"/>
                <w:lang w:val="en-US" w:eastAsia="zh-CN" w:bidi="ar"/>
              </w:rPr>
              <w:t>34</w:t>
            </w:r>
          </w:p>
        </w:tc>
      </w:tr>
      <w:tr w14:paraId="2A1445E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66" w:type="pct"/>
            <w:vMerge w:val="continue"/>
            <w:tcBorders>
              <w:tl2br w:val="nil"/>
              <w:tr2bl w:val="nil"/>
            </w:tcBorders>
            <w:noWrap w:val="0"/>
            <w:vAlign w:val="center"/>
          </w:tcPr>
          <w:p w14:paraId="35267FD6">
            <w:pPr>
              <w:contextualSpacing/>
              <w:jc w:val="center"/>
              <w:rPr>
                <w:rFonts w:hint="default" w:ascii="Times New Roman" w:hAnsi="Times New Roman" w:eastAsia="宋体" w:cs="Times New Roman"/>
                <w:color w:val="auto"/>
                <w:szCs w:val="21"/>
                <w:highlight w:val="none"/>
                <w:u w:val="none" w:color="auto"/>
              </w:rPr>
            </w:pPr>
          </w:p>
        </w:tc>
        <w:tc>
          <w:tcPr>
            <w:tcW w:w="408" w:type="pct"/>
            <w:tcBorders>
              <w:tl2br w:val="nil"/>
              <w:tr2bl w:val="nil"/>
            </w:tcBorders>
            <w:noWrap w:val="0"/>
            <w:vAlign w:val="center"/>
          </w:tcPr>
          <w:p w14:paraId="18E6A147">
            <w:pPr>
              <w:contextualSpacing/>
              <w:jc w:val="center"/>
              <w:rPr>
                <w:rFonts w:hint="default" w:ascii="Times New Roman" w:hAnsi="Times New Roman" w:eastAsia="宋体" w:cs="Times New Roman"/>
                <w:color w:val="auto"/>
                <w:szCs w:val="21"/>
                <w:highlight w:val="none"/>
                <w:u w:val="none" w:color="auto"/>
                <w:lang w:val="en-US" w:eastAsia="zh-CN"/>
              </w:rPr>
            </w:pPr>
            <w:r>
              <w:rPr>
                <w:rFonts w:hint="default" w:ascii="Times New Roman" w:hAnsi="Times New Roman" w:eastAsia="宋体" w:cs="Times New Roman"/>
                <w:color w:val="auto"/>
                <w:szCs w:val="21"/>
                <w:highlight w:val="none"/>
                <w:u w:val="none" w:color="auto"/>
                <w:lang w:val="en-US" w:eastAsia="zh-CN"/>
              </w:rPr>
              <w:t>44</w:t>
            </w:r>
          </w:p>
        </w:tc>
        <w:tc>
          <w:tcPr>
            <w:tcW w:w="1215" w:type="pct"/>
            <w:gridSpan w:val="3"/>
            <w:tcBorders>
              <w:tl2br w:val="nil"/>
              <w:tr2bl w:val="nil"/>
            </w:tcBorders>
            <w:noWrap w:val="0"/>
            <w:vAlign w:val="center"/>
          </w:tcPr>
          <w:p w14:paraId="19C4364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李家组</w:t>
            </w:r>
          </w:p>
        </w:tc>
        <w:tc>
          <w:tcPr>
            <w:tcW w:w="600" w:type="pct"/>
            <w:gridSpan w:val="2"/>
            <w:tcBorders>
              <w:tl2br w:val="nil"/>
              <w:tr2bl w:val="nil"/>
            </w:tcBorders>
            <w:noWrap w:val="0"/>
            <w:vAlign w:val="center"/>
          </w:tcPr>
          <w:p w14:paraId="19BFB82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东南</w:t>
            </w:r>
          </w:p>
        </w:tc>
        <w:tc>
          <w:tcPr>
            <w:tcW w:w="688" w:type="pct"/>
            <w:gridSpan w:val="2"/>
            <w:tcBorders>
              <w:tl2br w:val="nil"/>
              <w:tr2bl w:val="nil"/>
            </w:tcBorders>
            <w:noWrap w:val="0"/>
            <w:vAlign w:val="center"/>
          </w:tcPr>
          <w:p w14:paraId="7588B93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4335~5000</w:t>
            </w:r>
          </w:p>
        </w:tc>
        <w:tc>
          <w:tcPr>
            <w:tcW w:w="854" w:type="pct"/>
            <w:gridSpan w:val="2"/>
            <w:vMerge w:val="continue"/>
            <w:tcBorders>
              <w:tl2br w:val="nil"/>
              <w:tr2bl w:val="nil"/>
            </w:tcBorders>
            <w:noWrap w:val="0"/>
            <w:vAlign w:val="center"/>
          </w:tcPr>
          <w:p w14:paraId="165657C9">
            <w:pPr>
              <w:jc w:val="center"/>
              <w:rPr>
                <w:rFonts w:hint="default" w:ascii="Times New Roman" w:hAnsi="Times New Roman" w:eastAsia="宋体" w:cs="Times New Roman"/>
                <w:i w:val="0"/>
                <w:iCs w:val="0"/>
                <w:color w:val="auto"/>
                <w:kern w:val="0"/>
                <w:sz w:val="22"/>
                <w:szCs w:val="22"/>
                <w:u w:val="none" w:color="auto"/>
                <w:lang w:val="en-US" w:eastAsia="zh-CN" w:bidi="ar"/>
              </w:rPr>
            </w:pPr>
          </w:p>
        </w:tc>
        <w:tc>
          <w:tcPr>
            <w:tcW w:w="766" w:type="pct"/>
            <w:tcBorders>
              <w:tl2br w:val="nil"/>
              <w:tr2bl w:val="nil"/>
            </w:tcBorders>
            <w:noWrap w:val="0"/>
            <w:vAlign w:val="center"/>
          </w:tcPr>
          <w:p w14:paraId="574F8B0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2"/>
                <w:szCs w:val="22"/>
                <w:u w:val="none" w:color="auto"/>
                <w:lang w:val="en-US" w:eastAsia="zh-CN" w:bidi="ar"/>
              </w:rPr>
            </w:pPr>
            <w:r>
              <w:rPr>
                <w:rFonts w:hint="default" w:ascii="Times New Roman" w:hAnsi="Times New Roman" w:eastAsia="宋体" w:cs="Times New Roman"/>
                <w:i w:val="0"/>
                <w:iCs w:val="0"/>
                <w:color w:val="auto"/>
                <w:kern w:val="0"/>
                <w:sz w:val="22"/>
                <w:szCs w:val="22"/>
                <w:u w:val="none" w:color="auto"/>
                <w:lang w:val="en-US" w:eastAsia="zh-CN" w:bidi="ar"/>
              </w:rPr>
              <w:t>110</w:t>
            </w:r>
          </w:p>
        </w:tc>
      </w:tr>
      <w:tr w14:paraId="3448DAE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66" w:type="pct"/>
            <w:vMerge w:val="continue"/>
            <w:tcBorders>
              <w:tl2br w:val="nil"/>
              <w:tr2bl w:val="nil"/>
            </w:tcBorders>
            <w:noWrap w:val="0"/>
            <w:vAlign w:val="center"/>
          </w:tcPr>
          <w:p w14:paraId="0AD6929B">
            <w:pPr>
              <w:contextualSpacing/>
              <w:jc w:val="center"/>
              <w:rPr>
                <w:rFonts w:hint="default" w:ascii="Times New Roman" w:hAnsi="Times New Roman" w:eastAsia="宋体" w:cs="Times New Roman"/>
                <w:color w:val="auto"/>
                <w:szCs w:val="21"/>
                <w:highlight w:val="none"/>
                <w:u w:val="none" w:color="auto"/>
              </w:rPr>
            </w:pPr>
          </w:p>
        </w:tc>
        <w:tc>
          <w:tcPr>
            <w:tcW w:w="408" w:type="pct"/>
            <w:tcBorders>
              <w:tl2br w:val="nil"/>
              <w:tr2bl w:val="nil"/>
            </w:tcBorders>
            <w:noWrap w:val="0"/>
            <w:vAlign w:val="center"/>
          </w:tcPr>
          <w:p w14:paraId="4953A529">
            <w:pPr>
              <w:contextualSpacing/>
              <w:jc w:val="center"/>
              <w:rPr>
                <w:rFonts w:hint="default" w:ascii="Times New Roman" w:hAnsi="Times New Roman" w:eastAsia="宋体" w:cs="Times New Roman"/>
                <w:color w:val="auto"/>
                <w:szCs w:val="21"/>
                <w:highlight w:val="none"/>
                <w:u w:val="none" w:color="auto"/>
                <w:lang w:val="en-US" w:eastAsia="zh-CN"/>
              </w:rPr>
            </w:pPr>
            <w:r>
              <w:rPr>
                <w:rFonts w:hint="default" w:ascii="Times New Roman" w:hAnsi="Times New Roman" w:eastAsia="宋体" w:cs="Times New Roman"/>
                <w:color w:val="auto"/>
                <w:szCs w:val="21"/>
                <w:highlight w:val="none"/>
                <w:u w:val="none" w:color="auto"/>
                <w:lang w:val="en-US" w:eastAsia="zh-CN"/>
              </w:rPr>
              <w:t>45</w:t>
            </w:r>
          </w:p>
        </w:tc>
        <w:tc>
          <w:tcPr>
            <w:tcW w:w="1215" w:type="pct"/>
            <w:gridSpan w:val="3"/>
            <w:tcBorders>
              <w:tl2br w:val="nil"/>
              <w:tr2bl w:val="nil"/>
            </w:tcBorders>
            <w:noWrap w:val="0"/>
            <w:vAlign w:val="center"/>
          </w:tcPr>
          <w:p w14:paraId="426A267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新铺租</w:t>
            </w:r>
          </w:p>
        </w:tc>
        <w:tc>
          <w:tcPr>
            <w:tcW w:w="600" w:type="pct"/>
            <w:gridSpan w:val="2"/>
            <w:tcBorders>
              <w:tl2br w:val="nil"/>
              <w:tr2bl w:val="nil"/>
            </w:tcBorders>
            <w:noWrap w:val="0"/>
            <w:vAlign w:val="center"/>
          </w:tcPr>
          <w:p w14:paraId="45B5CA4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东南</w:t>
            </w:r>
          </w:p>
        </w:tc>
        <w:tc>
          <w:tcPr>
            <w:tcW w:w="688" w:type="pct"/>
            <w:gridSpan w:val="2"/>
            <w:tcBorders>
              <w:tl2br w:val="nil"/>
              <w:tr2bl w:val="nil"/>
            </w:tcBorders>
            <w:noWrap w:val="0"/>
            <w:vAlign w:val="center"/>
          </w:tcPr>
          <w:p w14:paraId="44E8479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4595~5000</w:t>
            </w:r>
          </w:p>
        </w:tc>
        <w:tc>
          <w:tcPr>
            <w:tcW w:w="854" w:type="pct"/>
            <w:gridSpan w:val="2"/>
            <w:vMerge w:val="continue"/>
            <w:tcBorders>
              <w:tl2br w:val="nil"/>
              <w:tr2bl w:val="nil"/>
            </w:tcBorders>
            <w:noWrap w:val="0"/>
            <w:vAlign w:val="center"/>
          </w:tcPr>
          <w:p w14:paraId="28B79B4C">
            <w:pPr>
              <w:jc w:val="center"/>
              <w:rPr>
                <w:rFonts w:hint="default" w:ascii="Times New Roman" w:hAnsi="Times New Roman" w:eastAsia="宋体" w:cs="Times New Roman"/>
                <w:i w:val="0"/>
                <w:iCs w:val="0"/>
                <w:color w:val="auto"/>
                <w:kern w:val="0"/>
                <w:sz w:val="22"/>
                <w:szCs w:val="22"/>
                <w:u w:val="none" w:color="auto"/>
                <w:lang w:val="en-US" w:eastAsia="zh-CN" w:bidi="ar"/>
              </w:rPr>
            </w:pPr>
          </w:p>
        </w:tc>
        <w:tc>
          <w:tcPr>
            <w:tcW w:w="766" w:type="pct"/>
            <w:tcBorders>
              <w:tl2br w:val="nil"/>
              <w:tr2bl w:val="nil"/>
            </w:tcBorders>
            <w:noWrap w:val="0"/>
            <w:vAlign w:val="center"/>
          </w:tcPr>
          <w:p w14:paraId="5D5D42D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2"/>
                <w:szCs w:val="22"/>
                <w:u w:val="none" w:color="auto"/>
                <w:lang w:val="en-US" w:eastAsia="zh-CN" w:bidi="ar"/>
              </w:rPr>
            </w:pPr>
            <w:r>
              <w:rPr>
                <w:rFonts w:hint="default" w:ascii="Times New Roman" w:hAnsi="Times New Roman" w:eastAsia="宋体" w:cs="Times New Roman"/>
                <w:i w:val="0"/>
                <w:iCs w:val="0"/>
                <w:color w:val="auto"/>
                <w:kern w:val="0"/>
                <w:sz w:val="22"/>
                <w:szCs w:val="22"/>
                <w:u w:val="none" w:color="auto"/>
                <w:lang w:val="en-US" w:eastAsia="zh-CN" w:bidi="ar"/>
              </w:rPr>
              <w:t>70</w:t>
            </w:r>
          </w:p>
        </w:tc>
      </w:tr>
      <w:tr w14:paraId="37E0C74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66" w:type="pct"/>
            <w:vMerge w:val="continue"/>
            <w:tcBorders>
              <w:tl2br w:val="nil"/>
              <w:tr2bl w:val="nil"/>
            </w:tcBorders>
            <w:noWrap w:val="0"/>
            <w:vAlign w:val="center"/>
          </w:tcPr>
          <w:p w14:paraId="35D2CA49">
            <w:pPr>
              <w:contextualSpacing/>
              <w:jc w:val="center"/>
              <w:rPr>
                <w:rFonts w:hint="default" w:ascii="Times New Roman" w:hAnsi="Times New Roman" w:eastAsia="宋体" w:cs="Times New Roman"/>
                <w:color w:val="auto"/>
                <w:szCs w:val="21"/>
                <w:highlight w:val="none"/>
                <w:u w:val="none" w:color="auto"/>
              </w:rPr>
            </w:pPr>
          </w:p>
        </w:tc>
        <w:tc>
          <w:tcPr>
            <w:tcW w:w="408" w:type="pct"/>
            <w:tcBorders>
              <w:tl2br w:val="nil"/>
              <w:tr2bl w:val="nil"/>
            </w:tcBorders>
            <w:noWrap w:val="0"/>
            <w:vAlign w:val="center"/>
          </w:tcPr>
          <w:p w14:paraId="5A11D658">
            <w:pPr>
              <w:contextualSpacing/>
              <w:jc w:val="center"/>
              <w:rPr>
                <w:rFonts w:hint="default" w:ascii="Times New Roman" w:hAnsi="Times New Roman" w:eastAsia="宋体" w:cs="Times New Roman"/>
                <w:color w:val="auto"/>
                <w:szCs w:val="21"/>
                <w:highlight w:val="none"/>
                <w:u w:val="none" w:color="auto"/>
                <w:lang w:val="en-US" w:eastAsia="zh-CN"/>
              </w:rPr>
            </w:pPr>
            <w:r>
              <w:rPr>
                <w:rFonts w:hint="default" w:ascii="Times New Roman" w:hAnsi="Times New Roman" w:eastAsia="宋体" w:cs="Times New Roman"/>
                <w:color w:val="auto"/>
                <w:szCs w:val="21"/>
                <w:highlight w:val="none"/>
                <w:u w:val="none" w:color="auto"/>
                <w:lang w:val="en-US" w:eastAsia="zh-CN"/>
              </w:rPr>
              <w:t>46</w:t>
            </w:r>
          </w:p>
        </w:tc>
        <w:tc>
          <w:tcPr>
            <w:tcW w:w="1215" w:type="pct"/>
            <w:gridSpan w:val="3"/>
            <w:tcBorders>
              <w:tl2br w:val="nil"/>
              <w:tr2bl w:val="nil"/>
            </w:tcBorders>
            <w:noWrap w:val="0"/>
            <w:vAlign w:val="center"/>
          </w:tcPr>
          <w:p w14:paraId="221ADA5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岳阳市城陵矶高新产业园办公楼</w:t>
            </w:r>
          </w:p>
        </w:tc>
        <w:tc>
          <w:tcPr>
            <w:tcW w:w="600" w:type="pct"/>
            <w:gridSpan w:val="2"/>
            <w:tcBorders>
              <w:tl2br w:val="nil"/>
              <w:tr2bl w:val="nil"/>
            </w:tcBorders>
            <w:noWrap w:val="0"/>
            <w:vAlign w:val="center"/>
          </w:tcPr>
          <w:p w14:paraId="7AE3D9B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南</w:t>
            </w:r>
          </w:p>
        </w:tc>
        <w:tc>
          <w:tcPr>
            <w:tcW w:w="688" w:type="pct"/>
            <w:gridSpan w:val="2"/>
            <w:tcBorders>
              <w:tl2br w:val="nil"/>
              <w:tr2bl w:val="nil"/>
            </w:tcBorders>
            <w:noWrap w:val="0"/>
            <w:vAlign w:val="center"/>
          </w:tcPr>
          <w:p w14:paraId="3F402F2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1414~1658</w:t>
            </w:r>
          </w:p>
        </w:tc>
        <w:tc>
          <w:tcPr>
            <w:tcW w:w="854" w:type="pct"/>
            <w:gridSpan w:val="2"/>
            <w:tcBorders>
              <w:tl2br w:val="nil"/>
              <w:tr2bl w:val="nil"/>
            </w:tcBorders>
            <w:noWrap w:val="0"/>
            <w:vAlign w:val="center"/>
          </w:tcPr>
          <w:p w14:paraId="37740424">
            <w:pPr>
              <w:jc w:val="center"/>
              <w:rPr>
                <w:rFonts w:hint="default" w:ascii="Times New Roman" w:hAnsi="Times New Roman" w:eastAsia="宋体" w:cs="Times New Roman"/>
                <w:i w:val="0"/>
                <w:iCs w:val="0"/>
                <w:color w:val="auto"/>
                <w:kern w:val="0"/>
                <w:sz w:val="22"/>
                <w:szCs w:val="22"/>
                <w:u w:val="none" w:color="auto"/>
                <w:lang w:val="en-US" w:eastAsia="zh-CN" w:bidi="ar"/>
              </w:rPr>
            </w:pPr>
            <w:r>
              <w:rPr>
                <w:rFonts w:hint="default" w:ascii="Times New Roman" w:hAnsi="Times New Roman" w:eastAsia="宋体" w:cs="Times New Roman"/>
                <w:i w:val="0"/>
                <w:iCs w:val="0"/>
                <w:color w:val="auto"/>
                <w:kern w:val="0"/>
                <w:sz w:val="22"/>
                <w:szCs w:val="22"/>
                <w:u w:val="none" w:color="auto"/>
                <w:lang w:val="en-US" w:eastAsia="zh-CN" w:bidi="ar"/>
              </w:rPr>
              <w:t>行政办公</w:t>
            </w:r>
          </w:p>
        </w:tc>
        <w:tc>
          <w:tcPr>
            <w:tcW w:w="766" w:type="pct"/>
            <w:tcBorders>
              <w:tl2br w:val="nil"/>
              <w:tr2bl w:val="nil"/>
            </w:tcBorders>
            <w:noWrap w:val="0"/>
            <w:vAlign w:val="center"/>
          </w:tcPr>
          <w:p w14:paraId="1C7C8BB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2"/>
                <w:szCs w:val="22"/>
                <w:u w:val="none" w:color="auto"/>
                <w:lang w:val="en-US" w:eastAsia="zh-CN" w:bidi="ar"/>
              </w:rPr>
            </w:pPr>
            <w:r>
              <w:rPr>
                <w:rFonts w:hint="default" w:ascii="Times New Roman" w:hAnsi="Times New Roman" w:eastAsia="宋体" w:cs="Times New Roman"/>
                <w:i w:val="0"/>
                <w:iCs w:val="0"/>
                <w:color w:val="auto"/>
                <w:kern w:val="0"/>
                <w:sz w:val="22"/>
                <w:szCs w:val="22"/>
                <w:u w:val="none" w:color="auto"/>
                <w:lang w:val="en-US" w:eastAsia="zh-CN" w:bidi="ar"/>
              </w:rPr>
              <w:t>1200</w:t>
            </w:r>
          </w:p>
        </w:tc>
      </w:tr>
      <w:tr w14:paraId="4B32C94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7" w:hRule="atLeast"/>
          <w:jc w:val="center"/>
        </w:trPr>
        <w:tc>
          <w:tcPr>
            <w:tcW w:w="466" w:type="pct"/>
            <w:vMerge w:val="continue"/>
            <w:tcBorders>
              <w:tl2br w:val="nil"/>
              <w:tr2bl w:val="nil"/>
            </w:tcBorders>
            <w:noWrap w:val="0"/>
            <w:vAlign w:val="center"/>
          </w:tcPr>
          <w:p w14:paraId="25AA74A0">
            <w:pPr>
              <w:contextualSpacing/>
              <w:jc w:val="center"/>
              <w:rPr>
                <w:rFonts w:hint="default" w:ascii="Times New Roman" w:hAnsi="Times New Roman" w:eastAsia="宋体" w:cs="Times New Roman"/>
                <w:color w:val="auto"/>
                <w:szCs w:val="21"/>
                <w:highlight w:val="none"/>
                <w:u w:val="none" w:color="auto"/>
              </w:rPr>
            </w:pPr>
          </w:p>
        </w:tc>
        <w:tc>
          <w:tcPr>
            <w:tcW w:w="408" w:type="pct"/>
            <w:tcBorders>
              <w:tl2br w:val="nil"/>
              <w:tr2bl w:val="nil"/>
            </w:tcBorders>
            <w:noWrap w:val="0"/>
            <w:vAlign w:val="center"/>
          </w:tcPr>
          <w:p w14:paraId="508187BC">
            <w:pPr>
              <w:contextualSpacing/>
              <w:jc w:val="center"/>
              <w:rPr>
                <w:rFonts w:hint="default" w:ascii="Times New Roman" w:hAnsi="Times New Roman" w:eastAsia="宋体" w:cs="Times New Roman"/>
                <w:color w:val="auto"/>
                <w:szCs w:val="21"/>
                <w:highlight w:val="none"/>
                <w:u w:val="none" w:color="auto"/>
                <w:lang w:val="en-US" w:eastAsia="zh-CN"/>
              </w:rPr>
            </w:pPr>
            <w:r>
              <w:rPr>
                <w:rFonts w:hint="default" w:ascii="Times New Roman" w:hAnsi="Times New Roman" w:eastAsia="宋体" w:cs="Times New Roman"/>
                <w:color w:val="auto"/>
                <w:szCs w:val="21"/>
                <w:highlight w:val="none"/>
                <w:u w:val="none" w:color="auto"/>
                <w:lang w:val="en-US" w:eastAsia="zh-CN"/>
              </w:rPr>
              <w:t>47</w:t>
            </w:r>
          </w:p>
        </w:tc>
        <w:tc>
          <w:tcPr>
            <w:tcW w:w="1215" w:type="pct"/>
            <w:gridSpan w:val="3"/>
            <w:tcBorders>
              <w:tl2br w:val="nil"/>
              <w:tr2bl w:val="nil"/>
            </w:tcBorders>
            <w:noWrap w:val="0"/>
            <w:vAlign w:val="center"/>
          </w:tcPr>
          <w:p w14:paraId="72D63C4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卢家垄</w:t>
            </w:r>
          </w:p>
        </w:tc>
        <w:tc>
          <w:tcPr>
            <w:tcW w:w="600" w:type="pct"/>
            <w:gridSpan w:val="2"/>
            <w:tcBorders>
              <w:tl2br w:val="nil"/>
              <w:tr2bl w:val="nil"/>
            </w:tcBorders>
            <w:noWrap w:val="0"/>
            <w:vAlign w:val="center"/>
          </w:tcPr>
          <w:p w14:paraId="3B26C71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南</w:t>
            </w:r>
          </w:p>
        </w:tc>
        <w:tc>
          <w:tcPr>
            <w:tcW w:w="688" w:type="pct"/>
            <w:gridSpan w:val="2"/>
            <w:tcBorders>
              <w:tl2br w:val="nil"/>
              <w:tr2bl w:val="nil"/>
            </w:tcBorders>
            <w:noWrap w:val="0"/>
            <w:vAlign w:val="center"/>
          </w:tcPr>
          <w:p w14:paraId="6B50766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4935~5000</w:t>
            </w:r>
          </w:p>
        </w:tc>
        <w:tc>
          <w:tcPr>
            <w:tcW w:w="854" w:type="pct"/>
            <w:gridSpan w:val="2"/>
            <w:vMerge w:val="restart"/>
            <w:tcBorders>
              <w:tl2br w:val="nil"/>
              <w:tr2bl w:val="nil"/>
            </w:tcBorders>
            <w:noWrap w:val="0"/>
            <w:vAlign w:val="center"/>
          </w:tcPr>
          <w:p w14:paraId="0A11E797">
            <w:pPr>
              <w:jc w:val="center"/>
              <w:rPr>
                <w:rFonts w:hint="default" w:ascii="Times New Roman" w:hAnsi="Times New Roman" w:eastAsia="宋体" w:cs="Times New Roman"/>
                <w:i w:val="0"/>
                <w:iCs w:val="0"/>
                <w:color w:val="auto"/>
                <w:kern w:val="0"/>
                <w:sz w:val="22"/>
                <w:szCs w:val="22"/>
                <w:u w:val="none" w:color="auto"/>
                <w:lang w:val="en-US" w:eastAsia="zh-CN" w:bidi="ar"/>
              </w:rPr>
            </w:pPr>
            <w:r>
              <w:rPr>
                <w:rFonts w:hint="default" w:ascii="Times New Roman" w:hAnsi="Times New Roman" w:eastAsia="宋体" w:cs="Times New Roman"/>
                <w:i w:val="0"/>
                <w:iCs w:val="0"/>
                <w:color w:val="auto"/>
                <w:kern w:val="0"/>
                <w:sz w:val="22"/>
                <w:szCs w:val="22"/>
                <w:u w:val="none" w:color="auto"/>
                <w:lang w:val="en-US" w:eastAsia="zh-CN" w:bidi="ar"/>
              </w:rPr>
              <w:t>居民</w:t>
            </w:r>
          </w:p>
        </w:tc>
        <w:tc>
          <w:tcPr>
            <w:tcW w:w="766" w:type="pct"/>
            <w:tcBorders>
              <w:tl2br w:val="nil"/>
              <w:tr2bl w:val="nil"/>
            </w:tcBorders>
            <w:noWrap w:val="0"/>
            <w:vAlign w:val="center"/>
          </w:tcPr>
          <w:p w14:paraId="5D8E2A3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2"/>
                <w:szCs w:val="22"/>
                <w:u w:val="none" w:color="auto"/>
                <w:lang w:val="en-US" w:eastAsia="zh-CN" w:bidi="ar"/>
              </w:rPr>
            </w:pPr>
            <w:r>
              <w:rPr>
                <w:rFonts w:hint="default" w:ascii="Times New Roman" w:hAnsi="Times New Roman" w:eastAsia="宋体" w:cs="Times New Roman"/>
                <w:i w:val="0"/>
                <w:iCs w:val="0"/>
                <w:color w:val="auto"/>
                <w:kern w:val="0"/>
                <w:sz w:val="22"/>
                <w:szCs w:val="22"/>
                <w:u w:val="none" w:color="auto"/>
                <w:lang w:val="en-US" w:eastAsia="zh-CN" w:bidi="ar"/>
              </w:rPr>
              <w:t>210</w:t>
            </w:r>
          </w:p>
        </w:tc>
      </w:tr>
      <w:tr w14:paraId="50C3500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66" w:type="pct"/>
            <w:vMerge w:val="continue"/>
            <w:tcBorders>
              <w:tl2br w:val="nil"/>
              <w:tr2bl w:val="nil"/>
            </w:tcBorders>
            <w:noWrap w:val="0"/>
            <w:vAlign w:val="center"/>
          </w:tcPr>
          <w:p w14:paraId="46A8532C">
            <w:pPr>
              <w:contextualSpacing/>
              <w:jc w:val="center"/>
              <w:rPr>
                <w:rFonts w:hint="default" w:ascii="Times New Roman" w:hAnsi="Times New Roman" w:eastAsia="宋体" w:cs="Times New Roman"/>
                <w:color w:val="auto"/>
                <w:szCs w:val="21"/>
                <w:highlight w:val="none"/>
                <w:u w:val="none" w:color="auto"/>
              </w:rPr>
            </w:pPr>
          </w:p>
        </w:tc>
        <w:tc>
          <w:tcPr>
            <w:tcW w:w="408" w:type="pct"/>
            <w:tcBorders>
              <w:tl2br w:val="nil"/>
              <w:tr2bl w:val="nil"/>
            </w:tcBorders>
            <w:noWrap w:val="0"/>
            <w:vAlign w:val="center"/>
          </w:tcPr>
          <w:p w14:paraId="3971EC36">
            <w:pPr>
              <w:contextualSpacing/>
              <w:jc w:val="center"/>
              <w:rPr>
                <w:rFonts w:hint="default" w:ascii="Times New Roman" w:hAnsi="Times New Roman" w:eastAsia="宋体" w:cs="Times New Roman"/>
                <w:color w:val="auto"/>
                <w:szCs w:val="21"/>
                <w:highlight w:val="none"/>
                <w:u w:val="none" w:color="auto"/>
                <w:lang w:val="en-US" w:eastAsia="zh-CN"/>
              </w:rPr>
            </w:pPr>
            <w:r>
              <w:rPr>
                <w:rFonts w:hint="default" w:ascii="Times New Roman" w:hAnsi="Times New Roman" w:eastAsia="宋体" w:cs="Times New Roman"/>
                <w:color w:val="auto"/>
                <w:szCs w:val="21"/>
                <w:highlight w:val="none"/>
                <w:u w:val="none" w:color="auto"/>
                <w:lang w:val="en-US" w:eastAsia="zh-CN"/>
              </w:rPr>
              <w:t>48</w:t>
            </w:r>
          </w:p>
        </w:tc>
        <w:tc>
          <w:tcPr>
            <w:tcW w:w="1215" w:type="pct"/>
            <w:gridSpan w:val="3"/>
            <w:tcBorders>
              <w:tl2br w:val="nil"/>
              <w:tr2bl w:val="nil"/>
            </w:tcBorders>
            <w:noWrap w:val="0"/>
            <w:vAlign w:val="center"/>
          </w:tcPr>
          <w:p w14:paraId="4D1A942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白竹坡</w:t>
            </w:r>
          </w:p>
        </w:tc>
        <w:tc>
          <w:tcPr>
            <w:tcW w:w="600" w:type="pct"/>
            <w:gridSpan w:val="2"/>
            <w:tcBorders>
              <w:tl2br w:val="nil"/>
              <w:tr2bl w:val="nil"/>
            </w:tcBorders>
            <w:noWrap w:val="0"/>
            <w:vAlign w:val="center"/>
          </w:tcPr>
          <w:p w14:paraId="73D9C54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南</w:t>
            </w:r>
          </w:p>
        </w:tc>
        <w:tc>
          <w:tcPr>
            <w:tcW w:w="688" w:type="pct"/>
            <w:gridSpan w:val="2"/>
            <w:tcBorders>
              <w:tl2br w:val="nil"/>
              <w:tr2bl w:val="nil"/>
            </w:tcBorders>
            <w:noWrap w:val="0"/>
            <w:vAlign w:val="center"/>
          </w:tcPr>
          <w:p w14:paraId="43111DC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4873~5000</w:t>
            </w:r>
          </w:p>
        </w:tc>
        <w:tc>
          <w:tcPr>
            <w:tcW w:w="854" w:type="pct"/>
            <w:gridSpan w:val="2"/>
            <w:vMerge w:val="continue"/>
            <w:tcBorders>
              <w:tl2br w:val="nil"/>
              <w:tr2bl w:val="nil"/>
            </w:tcBorders>
            <w:noWrap w:val="0"/>
            <w:vAlign w:val="center"/>
          </w:tcPr>
          <w:p w14:paraId="76B94A48">
            <w:pPr>
              <w:jc w:val="center"/>
              <w:rPr>
                <w:rFonts w:hint="default" w:ascii="Times New Roman" w:hAnsi="Times New Roman" w:eastAsia="宋体" w:cs="Times New Roman"/>
                <w:i w:val="0"/>
                <w:iCs w:val="0"/>
                <w:color w:val="auto"/>
                <w:kern w:val="0"/>
                <w:sz w:val="22"/>
                <w:szCs w:val="22"/>
                <w:u w:val="none" w:color="auto"/>
                <w:lang w:val="en-US" w:eastAsia="zh-CN" w:bidi="ar"/>
              </w:rPr>
            </w:pPr>
          </w:p>
        </w:tc>
        <w:tc>
          <w:tcPr>
            <w:tcW w:w="766" w:type="pct"/>
            <w:tcBorders>
              <w:tl2br w:val="nil"/>
              <w:tr2bl w:val="nil"/>
            </w:tcBorders>
            <w:noWrap w:val="0"/>
            <w:vAlign w:val="center"/>
          </w:tcPr>
          <w:p w14:paraId="50AEDB2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2"/>
                <w:szCs w:val="22"/>
                <w:u w:val="none" w:color="auto"/>
                <w:lang w:val="en-US" w:eastAsia="zh-CN" w:bidi="ar"/>
              </w:rPr>
            </w:pPr>
            <w:r>
              <w:rPr>
                <w:rFonts w:hint="default" w:ascii="Times New Roman" w:hAnsi="Times New Roman" w:eastAsia="宋体" w:cs="Times New Roman"/>
                <w:i w:val="0"/>
                <w:iCs w:val="0"/>
                <w:color w:val="auto"/>
                <w:kern w:val="0"/>
                <w:sz w:val="22"/>
                <w:szCs w:val="22"/>
                <w:u w:val="none" w:color="auto"/>
                <w:lang w:val="en-US" w:eastAsia="zh-CN" w:bidi="ar"/>
              </w:rPr>
              <w:t>220</w:t>
            </w:r>
          </w:p>
        </w:tc>
      </w:tr>
      <w:tr w14:paraId="6D37761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66" w:type="pct"/>
            <w:vMerge w:val="continue"/>
            <w:tcBorders>
              <w:tl2br w:val="nil"/>
              <w:tr2bl w:val="nil"/>
            </w:tcBorders>
            <w:noWrap w:val="0"/>
            <w:vAlign w:val="center"/>
          </w:tcPr>
          <w:p w14:paraId="3698BA51">
            <w:pPr>
              <w:contextualSpacing/>
              <w:jc w:val="center"/>
              <w:rPr>
                <w:rFonts w:hint="default" w:ascii="Times New Roman" w:hAnsi="Times New Roman" w:eastAsia="宋体" w:cs="Times New Roman"/>
                <w:color w:val="auto"/>
                <w:szCs w:val="21"/>
                <w:highlight w:val="none"/>
                <w:u w:val="none" w:color="auto"/>
              </w:rPr>
            </w:pPr>
          </w:p>
        </w:tc>
        <w:tc>
          <w:tcPr>
            <w:tcW w:w="408" w:type="pct"/>
            <w:tcBorders>
              <w:tl2br w:val="nil"/>
              <w:tr2bl w:val="nil"/>
            </w:tcBorders>
            <w:noWrap w:val="0"/>
            <w:vAlign w:val="center"/>
          </w:tcPr>
          <w:p w14:paraId="38D97AEC">
            <w:pPr>
              <w:contextualSpacing/>
              <w:jc w:val="center"/>
              <w:rPr>
                <w:rFonts w:hint="default" w:ascii="Times New Roman" w:hAnsi="Times New Roman" w:eastAsia="宋体" w:cs="Times New Roman"/>
                <w:color w:val="auto"/>
                <w:szCs w:val="21"/>
                <w:highlight w:val="none"/>
                <w:u w:val="none" w:color="auto"/>
                <w:lang w:val="en-US" w:eastAsia="zh-CN"/>
              </w:rPr>
            </w:pPr>
            <w:r>
              <w:rPr>
                <w:rFonts w:hint="default" w:ascii="Times New Roman" w:hAnsi="Times New Roman" w:eastAsia="宋体" w:cs="Times New Roman"/>
                <w:color w:val="auto"/>
                <w:szCs w:val="21"/>
                <w:highlight w:val="none"/>
                <w:u w:val="none" w:color="auto"/>
                <w:lang w:val="en-US" w:eastAsia="zh-CN"/>
              </w:rPr>
              <w:t>49</w:t>
            </w:r>
          </w:p>
        </w:tc>
        <w:tc>
          <w:tcPr>
            <w:tcW w:w="1215" w:type="pct"/>
            <w:gridSpan w:val="3"/>
            <w:tcBorders>
              <w:tl2br w:val="nil"/>
              <w:tr2bl w:val="nil"/>
            </w:tcBorders>
            <w:noWrap w:val="0"/>
            <w:vAlign w:val="center"/>
          </w:tcPr>
          <w:p w14:paraId="7A9C6D5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杨家垄</w:t>
            </w:r>
          </w:p>
        </w:tc>
        <w:tc>
          <w:tcPr>
            <w:tcW w:w="600" w:type="pct"/>
            <w:gridSpan w:val="2"/>
            <w:tcBorders>
              <w:tl2br w:val="nil"/>
              <w:tr2bl w:val="nil"/>
            </w:tcBorders>
            <w:noWrap w:val="0"/>
            <w:vAlign w:val="center"/>
          </w:tcPr>
          <w:p w14:paraId="09D8284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南</w:t>
            </w:r>
          </w:p>
        </w:tc>
        <w:tc>
          <w:tcPr>
            <w:tcW w:w="688" w:type="pct"/>
            <w:gridSpan w:val="2"/>
            <w:tcBorders>
              <w:tl2br w:val="nil"/>
              <w:tr2bl w:val="nil"/>
            </w:tcBorders>
            <w:noWrap w:val="0"/>
            <w:vAlign w:val="center"/>
          </w:tcPr>
          <w:p w14:paraId="519C8C3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4980~5000</w:t>
            </w:r>
          </w:p>
        </w:tc>
        <w:tc>
          <w:tcPr>
            <w:tcW w:w="854" w:type="pct"/>
            <w:gridSpan w:val="2"/>
            <w:vMerge w:val="continue"/>
            <w:tcBorders>
              <w:tl2br w:val="nil"/>
              <w:tr2bl w:val="nil"/>
            </w:tcBorders>
            <w:noWrap w:val="0"/>
            <w:vAlign w:val="center"/>
          </w:tcPr>
          <w:p w14:paraId="37D0F32F">
            <w:pPr>
              <w:jc w:val="center"/>
              <w:rPr>
                <w:rFonts w:hint="default" w:ascii="Times New Roman" w:hAnsi="Times New Roman" w:eastAsia="宋体" w:cs="Times New Roman"/>
                <w:i w:val="0"/>
                <w:iCs w:val="0"/>
                <w:color w:val="auto"/>
                <w:kern w:val="0"/>
                <w:sz w:val="22"/>
                <w:szCs w:val="22"/>
                <w:u w:val="none" w:color="auto"/>
                <w:lang w:val="en-US" w:eastAsia="zh-CN" w:bidi="ar"/>
              </w:rPr>
            </w:pPr>
          </w:p>
        </w:tc>
        <w:tc>
          <w:tcPr>
            <w:tcW w:w="766" w:type="pct"/>
            <w:tcBorders>
              <w:tl2br w:val="nil"/>
              <w:tr2bl w:val="nil"/>
            </w:tcBorders>
            <w:noWrap w:val="0"/>
            <w:vAlign w:val="center"/>
          </w:tcPr>
          <w:p w14:paraId="2EB27BF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2"/>
                <w:szCs w:val="22"/>
                <w:u w:val="none" w:color="auto"/>
                <w:lang w:val="en-US" w:eastAsia="zh-CN" w:bidi="ar"/>
              </w:rPr>
            </w:pPr>
            <w:r>
              <w:rPr>
                <w:rFonts w:hint="default" w:ascii="Times New Roman" w:hAnsi="Times New Roman" w:eastAsia="宋体" w:cs="Times New Roman"/>
                <w:i w:val="0"/>
                <w:iCs w:val="0"/>
                <w:color w:val="auto"/>
                <w:kern w:val="0"/>
                <w:sz w:val="22"/>
                <w:szCs w:val="22"/>
                <w:u w:val="none" w:color="auto"/>
                <w:lang w:val="en-US" w:eastAsia="zh-CN" w:bidi="ar"/>
              </w:rPr>
              <w:t>45</w:t>
            </w:r>
          </w:p>
        </w:tc>
      </w:tr>
      <w:tr w14:paraId="3098548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66" w:type="pct"/>
            <w:vMerge w:val="continue"/>
            <w:tcBorders>
              <w:tl2br w:val="nil"/>
              <w:tr2bl w:val="nil"/>
            </w:tcBorders>
            <w:noWrap w:val="0"/>
            <w:vAlign w:val="center"/>
          </w:tcPr>
          <w:p w14:paraId="2A5DB743">
            <w:pPr>
              <w:contextualSpacing/>
              <w:jc w:val="center"/>
              <w:rPr>
                <w:rFonts w:hint="default" w:ascii="Times New Roman" w:hAnsi="Times New Roman" w:eastAsia="宋体" w:cs="Times New Roman"/>
                <w:color w:val="auto"/>
                <w:szCs w:val="21"/>
                <w:highlight w:val="none"/>
                <w:u w:val="none" w:color="auto"/>
              </w:rPr>
            </w:pPr>
          </w:p>
        </w:tc>
        <w:tc>
          <w:tcPr>
            <w:tcW w:w="3766" w:type="pct"/>
            <w:gridSpan w:val="10"/>
            <w:tcBorders>
              <w:tl2br w:val="nil"/>
              <w:tr2bl w:val="nil"/>
            </w:tcBorders>
            <w:noWrap w:val="0"/>
            <w:vAlign w:val="center"/>
          </w:tcPr>
          <w:p w14:paraId="37F52A7C">
            <w:pPr>
              <w:contextualSpacing/>
              <w:rPr>
                <w:rFonts w:hint="default" w:ascii="Times New Roman" w:hAnsi="Times New Roman" w:eastAsia="宋体" w:cs="Times New Roman"/>
                <w:bCs/>
                <w:color w:val="auto"/>
                <w:szCs w:val="21"/>
                <w:highlight w:val="none"/>
                <w:u w:val="none" w:color="auto"/>
                <w:lang w:bidi="ar"/>
              </w:rPr>
            </w:pPr>
            <w:r>
              <w:rPr>
                <w:rFonts w:hint="default" w:ascii="Times New Roman" w:hAnsi="Times New Roman" w:eastAsia="宋体" w:cs="Times New Roman"/>
                <w:bCs/>
                <w:color w:val="auto"/>
                <w:szCs w:val="21"/>
                <w:highlight w:val="none"/>
                <w:u w:val="none" w:color="auto"/>
                <w:lang w:bidi="ar"/>
              </w:rPr>
              <w:t>厂址周边500m范围内人口数小计</w:t>
            </w:r>
          </w:p>
        </w:tc>
        <w:tc>
          <w:tcPr>
            <w:tcW w:w="766" w:type="pct"/>
            <w:tcBorders>
              <w:tl2br w:val="nil"/>
              <w:tr2bl w:val="nil"/>
            </w:tcBorders>
            <w:noWrap w:val="0"/>
            <w:vAlign w:val="center"/>
          </w:tcPr>
          <w:p w14:paraId="16A65BF7">
            <w:pPr>
              <w:contextualSpacing/>
              <w:jc w:val="center"/>
              <w:rPr>
                <w:rFonts w:hint="default" w:ascii="Times New Roman" w:hAnsi="Times New Roman" w:eastAsia="宋体" w:cs="Times New Roman"/>
                <w:bCs/>
                <w:color w:val="auto"/>
                <w:szCs w:val="21"/>
                <w:highlight w:val="none"/>
                <w:u w:val="none" w:color="auto"/>
                <w:lang w:bidi="ar"/>
              </w:rPr>
            </w:pPr>
            <w:r>
              <w:rPr>
                <w:rFonts w:hint="default" w:ascii="Times New Roman" w:hAnsi="Times New Roman" w:eastAsia="宋体" w:cs="Times New Roman"/>
                <w:bCs/>
                <w:color w:val="auto"/>
                <w:szCs w:val="21"/>
                <w:highlight w:val="none"/>
                <w:u w:val="none" w:color="auto"/>
                <w:lang w:val="en-US" w:eastAsia="zh-CN" w:bidi="ar"/>
              </w:rPr>
              <w:t>约6350</w:t>
            </w:r>
            <w:r>
              <w:rPr>
                <w:rFonts w:hint="default" w:ascii="Times New Roman" w:hAnsi="Times New Roman" w:eastAsia="宋体" w:cs="Times New Roman"/>
                <w:bCs/>
                <w:color w:val="auto"/>
                <w:szCs w:val="21"/>
                <w:highlight w:val="none"/>
                <w:u w:val="none" w:color="auto"/>
                <w:lang w:bidi="ar"/>
              </w:rPr>
              <w:t>人</w:t>
            </w:r>
          </w:p>
        </w:tc>
      </w:tr>
      <w:tr w14:paraId="23B7917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66" w:type="pct"/>
            <w:vMerge w:val="continue"/>
            <w:tcBorders>
              <w:tl2br w:val="nil"/>
              <w:tr2bl w:val="nil"/>
            </w:tcBorders>
            <w:noWrap w:val="0"/>
            <w:vAlign w:val="center"/>
          </w:tcPr>
          <w:p w14:paraId="589CE8D0">
            <w:pPr>
              <w:contextualSpacing/>
              <w:jc w:val="center"/>
              <w:rPr>
                <w:rFonts w:hint="default" w:ascii="Times New Roman" w:hAnsi="Times New Roman" w:eastAsia="宋体" w:cs="Times New Roman"/>
                <w:color w:val="auto"/>
                <w:szCs w:val="21"/>
                <w:highlight w:val="none"/>
                <w:u w:val="none" w:color="auto"/>
              </w:rPr>
            </w:pPr>
          </w:p>
        </w:tc>
        <w:tc>
          <w:tcPr>
            <w:tcW w:w="3766" w:type="pct"/>
            <w:gridSpan w:val="10"/>
            <w:tcBorders>
              <w:tl2br w:val="nil"/>
              <w:tr2bl w:val="nil"/>
            </w:tcBorders>
            <w:noWrap w:val="0"/>
            <w:vAlign w:val="center"/>
          </w:tcPr>
          <w:p w14:paraId="0B7A6D2B">
            <w:pPr>
              <w:contextualSpacing/>
              <w:rPr>
                <w:rFonts w:hint="default" w:ascii="Times New Roman" w:hAnsi="Times New Roman" w:eastAsia="宋体" w:cs="Times New Roman"/>
                <w:bCs/>
                <w:color w:val="auto"/>
                <w:szCs w:val="21"/>
                <w:highlight w:val="none"/>
                <w:u w:val="none" w:color="auto"/>
                <w:lang w:bidi="ar"/>
              </w:rPr>
            </w:pPr>
            <w:r>
              <w:rPr>
                <w:rFonts w:hint="default" w:ascii="Times New Roman" w:hAnsi="Times New Roman" w:eastAsia="宋体" w:cs="Times New Roman"/>
                <w:bCs/>
                <w:color w:val="auto"/>
                <w:szCs w:val="21"/>
                <w:highlight w:val="none"/>
                <w:u w:val="none" w:color="auto"/>
                <w:lang w:bidi="ar"/>
              </w:rPr>
              <w:t>厂址周边5km范围内人口数小计</w:t>
            </w:r>
          </w:p>
        </w:tc>
        <w:tc>
          <w:tcPr>
            <w:tcW w:w="766" w:type="pct"/>
            <w:tcBorders>
              <w:tl2br w:val="nil"/>
              <w:tr2bl w:val="nil"/>
            </w:tcBorders>
            <w:noWrap w:val="0"/>
            <w:vAlign w:val="center"/>
          </w:tcPr>
          <w:p w14:paraId="36B1B809">
            <w:pPr>
              <w:contextualSpacing/>
              <w:jc w:val="center"/>
              <w:rPr>
                <w:rFonts w:hint="default" w:ascii="Times New Roman" w:hAnsi="Times New Roman" w:eastAsia="宋体" w:cs="Times New Roman"/>
                <w:bCs/>
                <w:color w:val="auto"/>
                <w:szCs w:val="21"/>
                <w:highlight w:val="none"/>
                <w:u w:val="none" w:color="auto"/>
                <w:lang w:bidi="ar"/>
              </w:rPr>
            </w:pPr>
            <w:r>
              <w:rPr>
                <w:rFonts w:hint="default" w:ascii="Times New Roman" w:hAnsi="Times New Roman" w:eastAsia="宋体" w:cs="Times New Roman"/>
                <w:bCs/>
                <w:color w:val="auto"/>
                <w:szCs w:val="21"/>
                <w:highlight w:val="none"/>
                <w:u w:val="none" w:color="auto"/>
                <w:lang w:val="en-US" w:eastAsia="zh-CN" w:bidi="ar"/>
              </w:rPr>
              <w:t>约59485</w:t>
            </w:r>
            <w:r>
              <w:rPr>
                <w:rFonts w:hint="default" w:ascii="Times New Roman" w:hAnsi="Times New Roman" w:eastAsia="宋体" w:cs="Times New Roman"/>
                <w:bCs/>
                <w:color w:val="auto"/>
                <w:szCs w:val="21"/>
                <w:highlight w:val="none"/>
                <w:u w:val="none" w:color="auto"/>
                <w:lang w:bidi="ar"/>
              </w:rPr>
              <w:t>人</w:t>
            </w:r>
          </w:p>
        </w:tc>
      </w:tr>
      <w:tr w14:paraId="064437D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66" w:type="pct"/>
            <w:vMerge w:val="continue"/>
            <w:tcBorders>
              <w:tl2br w:val="nil"/>
              <w:tr2bl w:val="nil"/>
            </w:tcBorders>
            <w:noWrap w:val="0"/>
            <w:vAlign w:val="center"/>
          </w:tcPr>
          <w:p w14:paraId="72B0630E">
            <w:pPr>
              <w:contextualSpacing/>
              <w:jc w:val="center"/>
              <w:rPr>
                <w:rFonts w:hint="default" w:ascii="Times New Roman" w:hAnsi="Times New Roman" w:eastAsia="宋体" w:cs="Times New Roman"/>
                <w:color w:val="auto"/>
                <w:szCs w:val="21"/>
                <w:highlight w:val="none"/>
                <w:u w:val="none" w:color="auto"/>
              </w:rPr>
            </w:pPr>
          </w:p>
        </w:tc>
        <w:tc>
          <w:tcPr>
            <w:tcW w:w="3766" w:type="pct"/>
            <w:gridSpan w:val="10"/>
            <w:tcBorders>
              <w:tl2br w:val="nil"/>
              <w:tr2bl w:val="nil"/>
            </w:tcBorders>
            <w:noWrap w:val="0"/>
            <w:vAlign w:val="center"/>
          </w:tcPr>
          <w:p w14:paraId="6302D4AC">
            <w:pPr>
              <w:contextualSpacing/>
              <w:rPr>
                <w:rFonts w:hint="default" w:ascii="Times New Roman" w:hAnsi="Times New Roman" w:eastAsia="宋体" w:cs="Times New Roman"/>
                <w:bCs/>
                <w:color w:val="auto"/>
                <w:szCs w:val="21"/>
                <w:highlight w:val="none"/>
                <w:u w:val="none" w:color="auto"/>
                <w:lang w:bidi="ar"/>
              </w:rPr>
            </w:pPr>
            <w:r>
              <w:rPr>
                <w:rFonts w:hint="default" w:ascii="Times New Roman" w:hAnsi="Times New Roman" w:eastAsia="宋体" w:cs="Times New Roman"/>
                <w:bCs/>
                <w:color w:val="auto"/>
                <w:szCs w:val="21"/>
                <w:highlight w:val="none"/>
                <w:u w:val="none" w:color="auto"/>
                <w:lang w:bidi="ar"/>
              </w:rPr>
              <w:t>大气环境敏感程度E值</w:t>
            </w:r>
          </w:p>
        </w:tc>
        <w:tc>
          <w:tcPr>
            <w:tcW w:w="766" w:type="pct"/>
            <w:tcBorders>
              <w:tl2br w:val="nil"/>
              <w:tr2bl w:val="nil"/>
            </w:tcBorders>
            <w:noWrap w:val="0"/>
            <w:vAlign w:val="center"/>
          </w:tcPr>
          <w:p w14:paraId="6F3877F1">
            <w:pPr>
              <w:contextualSpacing/>
              <w:jc w:val="center"/>
              <w:rPr>
                <w:rFonts w:hint="default" w:ascii="Times New Roman" w:hAnsi="Times New Roman" w:eastAsia="宋体" w:cs="Times New Roman"/>
                <w:bCs/>
                <w:color w:val="auto"/>
                <w:szCs w:val="21"/>
                <w:highlight w:val="none"/>
                <w:u w:val="none" w:color="auto"/>
                <w:lang w:bidi="ar"/>
              </w:rPr>
            </w:pPr>
            <w:r>
              <w:rPr>
                <w:rFonts w:hint="default" w:ascii="Times New Roman" w:hAnsi="Times New Roman" w:eastAsia="宋体" w:cs="Times New Roman"/>
                <w:bCs/>
                <w:color w:val="auto"/>
                <w:szCs w:val="21"/>
                <w:highlight w:val="none"/>
                <w:u w:val="none" w:color="auto"/>
                <w:lang w:bidi="ar"/>
              </w:rPr>
              <w:t>E1</w:t>
            </w:r>
          </w:p>
        </w:tc>
      </w:tr>
      <w:tr w14:paraId="623B1CF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66" w:type="pct"/>
            <w:vMerge w:val="restart"/>
            <w:tcBorders>
              <w:tl2br w:val="nil"/>
              <w:tr2bl w:val="nil"/>
            </w:tcBorders>
            <w:noWrap w:val="0"/>
            <w:vAlign w:val="center"/>
          </w:tcPr>
          <w:p w14:paraId="425744A3">
            <w:pPr>
              <w:contextualSpacing/>
              <w:jc w:val="center"/>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rPr>
              <w:t>地表水</w:t>
            </w:r>
          </w:p>
        </w:tc>
        <w:tc>
          <w:tcPr>
            <w:tcW w:w="4533" w:type="pct"/>
            <w:gridSpan w:val="11"/>
            <w:tcBorders>
              <w:tl2br w:val="nil"/>
              <w:tr2bl w:val="nil"/>
            </w:tcBorders>
            <w:noWrap w:val="0"/>
            <w:vAlign w:val="center"/>
          </w:tcPr>
          <w:p w14:paraId="6A74C5E8">
            <w:pPr>
              <w:contextualSpacing/>
              <w:jc w:val="center"/>
              <w:rPr>
                <w:rFonts w:hint="default" w:ascii="Times New Roman" w:hAnsi="Times New Roman" w:eastAsia="宋体" w:cs="Times New Roman"/>
                <w:bCs/>
                <w:color w:val="auto"/>
                <w:szCs w:val="21"/>
                <w:highlight w:val="none"/>
                <w:u w:val="none" w:color="auto"/>
                <w:lang w:bidi="ar"/>
              </w:rPr>
            </w:pPr>
            <w:r>
              <w:rPr>
                <w:rFonts w:hint="default" w:ascii="Times New Roman" w:hAnsi="Times New Roman" w:eastAsia="宋体" w:cs="Times New Roman"/>
                <w:bCs/>
                <w:color w:val="auto"/>
                <w:szCs w:val="21"/>
                <w:highlight w:val="none"/>
                <w:u w:val="none" w:color="auto"/>
                <w:lang w:bidi="ar"/>
              </w:rPr>
              <w:t>受纳水体</w:t>
            </w:r>
          </w:p>
        </w:tc>
      </w:tr>
      <w:tr w14:paraId="113AC89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66" w:type="pct"/>
            <w:vMerge w:val="continue"/>
            <w:tcBorders>
              <w:tl2br w:val="nil"/>
              <w:tr2bl w:val="nil"/>
            </w:tcBorders>
            <w:noWrap w:val="0"/>
            <w:vAlign w:val="center"/>
          </w:tcPr>
          <w:p w14:paraId="2EE97C6A">
            <w:pPr>
              <w:contextualSpacing/>
              <w:jc w:val="center"/>
              <w:rPr>
                <w:rFonts w:hint="default" w:ascii="Times New Roman" w:hAnsi="Times New Roman" w:eastAsia="宋体" w:cs="Times New Roman"/>
                <w:color w:val="auto"/>
                <w:szCs w:val="21"/>
                <w:highlight w:val="none"/>
                <w:u w:val="none" w:color="auto"/>
              </w:rPr>
            </w:pPr>
          </w:p>
        </w:tc>
        <w:tc>
          <w:tcPr>
            <w:tcW w:w="408" w:type="pct"/>
            <w:tcBorders>
              <w:tl2br w:val="nil"/>
              <w:tr2bl w:val="nil"/>
            </w:tcBorders>
            <w:noWrap w:val="0"/>
            <w:vAlign w:val="center"/>
          </w:tcPr>
          <w:p w14:paraId="43F10390">
            <w:pPr>
              <w:contextualSpacing/>
              <w:jc w:val="center"/>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rPr>
              <w:t>序号</w:t>
            </w:r>
          </w:p>
        </w:tc>
        <w:tc>
          <w:tcPr>
            <w:tcW w:w="1215" w:type="pct"/>
            <w:gridSpan w:val="3"/>
            <w:tcBorders>
              <w:tl2br w:val="nil"/>
              <w:tr2bl w:val="nil"/>
            </w:tcBorders>
            <w:noWrap w:val="0"/>
            <w:vAlign w:val="center"/>
          </w:tcPr>
          <w:p w14:paraId="3B5272FE">
            <w:pPr>
              <w:contextualSpacing/>
              <w:jc w:val="center"/>
              <w:rPr>
                <w:rFonts w:hint="default" w:ascii="Times New Roman" w:hAnsi="Times New Roman" w:eastAsia="宋体" w:cs="Times New Roman"/>
                <w:color w:val="auto"/>
                <w:szCs w:val="21"/>
                <w:highlight w:val="none"/>
                <w:u w:val="none" w:color="auto"/>
                <w:lang w:bidi="ar"/>
              </w:rPr>
            </w:pPr>
            <w:r>
              <w:rPr>
                <w:rFonts w:hint="default" w:ascii="Times New Roman" w:hAnsi="Times New Roman" w:eastAsia="宋体" w:cs="Times New Roman"/>
                <w:color w:val="auto"/>
                <w:szCs w:val="21"/>
                <w:highlight w:val="none"/>
                <w:u w:val="none" w:color="auto"/>
                <w:lang w:bidi="ar"/>
              </w:rPr>
              <w:t>受纳水体名称</w:t>
            </w:r>
          </w:p>
        </w:tc>
        <w:tc>
          <w:tcPr>
            <w:tcW w:w="1288" w:type="pct"/>
            <w:gridSpan w:val="4"/>
            <w:tcBorders>
              <w:tl2br w:val="nil"/>
              <w:tr2bl w:val="nil"/>
            </w:tcBorders>
            <w:noWrap w:val="0"/>
            <w:vAlign w:val="center"/>
          </w:tcPr>
          <w:p w14:paraId="64A97B2A">
            <w:pPr>
              <w:contextualSpacing/>
              <w:jc w:val="center"/>
              <w:rPr>
                <w:rFonts w:hint="default" w:ascii="Times New Roman" w:hAnsi="Times New Roman" w:eastAsia="宋体" w:cs="Times New Roman"/>
                <w:color w:val="auto"/>
                <w:szCs w:val="21"/>
                <w:highlight w:val="none"/>
                <w:u w:val="none" w:color="auto"/>
                <w:lang w:bidi="ar"/>
              </w:rPr>
            </w:pPr>
            <w:r>
              <w:rPr>
                <w:rFonts w:hint="default" w:ascii="Times New Roman" w:hAnsi="Times New Roman" w:eastAsia="宋体" w:cs="Times New Roman"/>
                <w:color w:val="auto"/>
                <w:szCs w:val="21"/>
                <w:highlight w:val="none"/>
                <w:u w:val="none" w:color="auto"/>
                <w:lang w:bidi="ar"/>
              </w:rPr>
              <w:t>排放点水域功能环境</w:t>
            </w:r>
          </w:p>
        </w:tc>
        <w:tc>
          <w:tcPr>
            <w:tcW w:w="1621" w:type="pct"/>
            <w:gridSpan w:val="3"/>
            <w:tcBorders>
              <w:tl2br w:val="nil"/>
              <w:tr2bl w:val="nil"/>
            </w:tcBorders>
            <w:noWrap w:val="0"/>
            <w:vAlign w:val="center"/>
          </w:tcPr>
          <w:p w14:paraId="73EF7872">
            <w:pPr>
              <w:contextualSpacing/>
              <w:jc w:val="center"/>
              <w:rPr>
                <w:rFonts w:hint="default" w:ascii="Times New Roman" w:hAnsi="Times New Roman" w:eastAsia="宋体" w:cs="Times New Roman"/>
                <w:bCs/>
                <w:color w:val="auto"/>
                <w:szCs w:val="21"/>
                <w:highlight w:val="none"/>
                <w:u w:val="none" w:color="auto"/>
                <w:lang w:bidi="ar"/>
              </w:rPr>
            </w:pPr>
            <w:r>
              <w:rPr>
                <w:rFonts w:hint="default" w:ascii="Times New Roman" w:hAnsi="Times New Roman" w:eastAsia="宋体" w:cs="Times New Roman"/>
                <w:color w:val="auto"/>
                <w:szCs w:val="21"/>
                <w:highlight w:val="none"/>
                <w:u w:val="none" w:color="auto"/>
                <w:lang w:bidi="ar"/>
              </w:rPr>
              <w:t>24h内流经范围/km</w:t>
            </w:r>
          </w:p>
        </w:tc>
      </w:tr>
      <w:tr w14:paraId="5ABF8CC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66" w:type="pct"/>
            <w:vMerge w:val="continue"/>
            <w:tcBorders>
              <w:tl2br w:val="nil"/>
              <w:tr2bl w:val="nil"/>
            </w:tcBorders>
            <w:noWrap w:val="0"/>
            <w:vAlign w:val="center"/>
          </w:tcPr>
          <w:p w14:paraId="0B1778AF">
            <w:pPr>
              <w:contextualSpacing/>
              <w:jc w:val="center"/>
              <w:rPr>
                <w:rFonts w:hint="default" w:ascii="Times New Roman" w:hAnsi="Times New Roman" w:eastAsia="宋体" w:cs="Times New Roman"/>
                <w:color w:val="auto"/>
                <w:szCs w:val="21"/>
                <w:highlight w:val="none"/>
                <w:u w:val="none" w:color="auto"/>
              </w:rPr>
            </w:pPr>
          </w:p>
        </w:tc>
        <w:tc>
          <w:tcPr>
            <w:tcW w:w="408" w:type="pct"/>
            <w:tcBorders>
              <w:tl2br w:val="nil"/>
              <w:tr2bl w:val="nil"/>
            </w:tcBorders>
            <w:noWrap w:val="0"/>
            <w:vAlign w:val="center"/>
          </w:tcPr>
          <w:p w14:paraId="2B762701">
            <w:pPr>
              <w:contextualSpacing/>
              <w:jc w:val="center"/>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rPr>
              <w:t>1</w:t>
            </w:r>
          </w:p>
        </w:tc>
        <w:tc>
          <w:tcPr>
            <w:tcW w:w="1215" w:type="pct"/>
            <w:gridSpan w:val="3"/>
            <w:tcBorders>
              <w:tl2br w:val="nil"/>
              <w:tr2bl w:val="nil"/>
            </w:tcBorders>
            <w:noWrap w:val="0"/>
            <w:vAlign w:val="center"/>
          </w:tcPr>
          <w:p w14:paraId="28EFDC4D">
            <w:pPr>
              <w:contextualSpacing/>
              <w:jc w:val="center"/>
              <w:rPr>
                <w:rFonts w:hint="default" w:ascii="Times New Roman" w:hAnsi="Times New Roman" w:eastAsia="宋体" w:cs="Times New Roman"/>
                <w:color w:val="auto"/>
                <w:szCs w:val="21"/>
                <w:highlight w:val="none"/>
                <w:u w:val="none" w:color="auto"/>
                <w:lang w:val="en-US" w:eastAsia="zh-CN" w:bidi="ar"/>
              </w:rPr>
            </w:pPr>
            <w:r>
              <w:rPr>
                <w:rFonts w:hint="default" w:ascii="Times New Roman" w:hAnsi="Times New Roman" w:eastAsia="宋体" w:cs="Times New Roman"/>
                <w:color w:val="auto"/>
                <w:szCs w:val="21"/>
                <w:highlight w:val="none"/>
                <w:u w:val="none" w:color="auto"/>
                <w:lang w:val="en-US" w:eastAsia="zh-CN" w:bidi="ar"/>
              </w:rPr>
              <w:t>象骨港</w:t>
            </w:r>
          </w:p>
        </w:tc>
        <w:tc>
          <w:tcPr>
            <w:tcW w:w="1288" w:type="pct"/>
            <w:gridSpan w:val="4"/>
            <w:tcBorders>
              <w:tl2br w:val="nil"/>
              <w:tr2bl w:val="nil"/>
            </w:tcBorders>
            <w:noWrap w:val="0"/>
            <w:vAlign w:val="center"/>
          </w:tcPr>
          <w:p w14:paraId="3A6B8651">
            <w:pPr>
              <w:contextualSpacing/>
              <w:jc w:val="center"/>
              <w:rPr>
                <w:rFonts w:hint="default" w:ascii="Times New Roman" w:hAnsi="Times New Roman" w:eastAsia="宋体" w:cs="Times New Roman"/>
                <w:color w:val="auto"/>
                <w:szCs w:val="21"/>
                <w:highlight w:val="none"/>
                <w:u w:val="none" w:color="auto"/>
                <w:lang w:val="en-US" w:eastAsia="zh-CN" w:bidi="ar"/>
              </w:rPr>
            </w:pPr>
            <w:r>
              <w:rPr>
                <w:rFonts w:hint="default" w:ascii="Times New Roman" w:hAnsi="Times New Roman" w:eastAsia="宋体" w:cs="Times New Roman"/>
                <w:color w:val="auto"/>
                <w:szCs w:val="21"/>
                <w:highlight w:val="none"/>
                <w:u w:val="none" w:color="auto"/>
                <w:lang w:val="en-US" w:eastAsia="zh-CN" w:bidi="ar"/>
              </w:rPr>
              <w:t>农业灌溉</w:t>
            </w:r>
          </w:p>
        </w:tc>
        <w:tc>
          <w:tcPr>
            <w:tcW w:w="1621" w:type="pct"/>
            <w:gridSpan w:val="3"/>
            <w:tcBorders>
              <w:tl2br w:val="nil"/>
              <w:tr2bl w:val="nil"/>
            </w:tcBorders>
            <w:noWrap w:val="0"/>
            <w:vAlign w:val="center"/>
          </w:tcPr>
          <w:p w14:paraId="0A829E02">
            <w:pPr>
              <w:contextualSpacing/>
              <w:jc w:val="center"/>
              <w:rPr>
                <w:rFonts w:hint="default" w:ascii="Times New Roman" w:hAnsi="Times New Roman" w:eastAsia="宋体" w:cs="Times New Roman"/>
                <w:color w:val="auto"/>
                <w:szCs w:val="21"/>
                <w:highlight w:val="none"/>
                <w:u w:val="none" w:color="auto"/>
                <w:lang w:val="en-US" w:eastAsia="zh-CN" w:bidi="ar"/>
              </w:rPr>
            </w:pPr>
            <w:r>
              <w:rPr>
                <w:rFonts w:hint="default" w:ascii="Times New Roman" w:hAnsi="Times New Roman" w:eastAsia="宋体" w:cs="Times New Roman"/>
                <w:color w:val="auto"/>
                <w:szCs w:val="21"/>
                <w:highlight w:val="none"/>
                <w:u w:val="none" w:color="auto"/>
                <w:lang w:val="en-US" w:eastAsia="zh-CN" w:bidi="ar"/>
              </w:rPr>
              <w:t>1.3</w:t>
            </w:r>
          </w:p>
        </w:tc>
      </w:tr>
      <w:tr w14:paraId="4A7FDFB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66" w:type="pct"/>
            <w:vMerge w:val="continue"/>
            <w:tcBorders>
              <w:tl2br w:val="nil"/>
              <w:tr2bl w:val="nil"/>
            </w:tcBorders>
            <w:noWrap w:val="0"/>
            <w:vAlign w:val="center"/>
          </w:tcPr>
          <w:p w14:paraId="236B19FD">
            <w:pPr>
              <w:contextualSpacing/>
              <w:jc w:val="center"/>
              <w:rPr>
                <w:rFonts w:hint="default" w:ascii="Times New Roman" w:hAnsi="Times New Roman" w:eastAsia="宋体" w:cs="Times New Roman"/>
                <w:color w:val="auto"/>
                <w:szCs w:val="21"/>
                <w:highlight w:val="none"/>
                <w:u w:val="none" w:color="auto"/>
              </w:rPr>
            </w:pPr>
          </w:p>
        </w:tc>
        <w:tc>
          <w:tcPr>
            <w:tcW w:w="4533" w:type="pct"/>
            <w:gridSpan w:val="11"/>
            <w:tcBorders>
              <w:tl2br w:val="nil"/>
              <w:tr2bl w:val="nil"/>
            </w:tcBorders>
            <w:noWrap w:val="0"/>
            <w:vAlign w:val="center"/>
          </w:tcPr>
          <w:p w14:paraId="099A1CA5">
            <w:pPr>
              <w:contextualSpacing/>
              <w:jc w:val="center"/>
              <w:rPr>
                <w:rFonts w:hint="default" w:ascii="Times New Roman" w:hAnsi="Times New Roman" w:eastAsia="宋体" w:cs="Times New Roman"/>
                <w:color w:val="auto"/>
                <w:szCs w:val="21"/>
                <w:highlight w:val="none"/>
                <w:u w:val="none" w:color="auto"/>
                <w:lang w:bidi="ar"/>
              </w:rPr>
            </w:pPr>
            <w:r>
              <w:rPr>
                <w:rFonts w:hint="default" w:ascii="Times New Roman" w:hAnsi="Times New Roman" w:eastAsia="宋体" w:cs="Times New Roman"/>
                <w:color w:val="auto"/>
                <w:szCs w:val="21"/>
                <w:highlight w:val="none"/>
                <w:u w:val="none" w:color="auto"/>
                <w:lang w:bidi="ar"/>
              </w:rPr>
              <w:t>内陆水体排放点下游10km范围内敏感目标</w:t>
            </w:r>
          </w:p>
        </w:tc>
      </w:tr>
      <w:tr w14:paraId="0F126A8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66" w:type="pct"/>
            <w:vMerge w:val="continue"/>
            <w:tcBorders>
              <w:tl2br w:val="nil"/>
              <w:tr2bl w:val="nil"/>
            </w:tcBorders>
            <w:noWrap w:val="0"/>
            <w:vAlign w:val="center"/>
          </w:tcPr>
          <w:p w14:paraId="589712D7">
            <w:pPr>
              <w:contextualSpacing/>
              <w:jc w:val="center"/>
              <w:rPr>
                <w:rFonts w:hint="default" w:ascii="Times New Roman" w:hAnsi="Times New Roman" w:eastAsia="宋体" w:cs="Times New Roman"/>
                <w:color w:val="auto"/>
                <w:szCs w:val="21"/>
                <w:highlight w:val="none"/>
                <w:u w:val="none" w:color="auto"/>
              </w:rPr>
            </w:pPr>
          </w:p>
        </w:tc>
        <w:tc>
          <w:tcPr>
            <w:tcW w:w="408" w:type="pct"/>
            <w:tcBorders>
              <w:tl2br w:val="nil"/>
              <w:tr2bl w:val="nil"/>
            </w:tcBorders>
            <w:noWrap w:val="0"/>
            <w:vAlign w:val="center"/>
          </w:tcPr>
          <w:p w14:paraId="0FDF05B1">
            <w:pPr>
              <w:contextualSpacing/>
              <w:jc w:val="center"/>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rPr>
              <w:t>序号</w:t>
            </w:r>
          </w:p>
        </w:tc>
        <w:tc>
          <w:tcPr>
            <w:tcW w:w="1341" w:type="pct"/>
            <w:gridSpan w:val="4"/>
            <w:tcBorders>
              <w:tl2br w:val="nil"/>
              <w:tr2bl w:val="nil"/>
            </w:tcBorders>
            <w:noWrap w:val="0"/>
            <w:vAlign w:val="center"/>
          </w:tcPr>
          <w:p w14:paraId="3CA9C2B6">
            <w:pPr>
              <w:contextualSpacing/>
              <w:jc w:val="center"/>
              <w:rPr>
                <w:rFonts w:hint="default" w:ascii="Times New Roman" w:hAnsi="Times New Roman" w:eastAsia="宋体" w:cs="Times New Roman"/>
                <w:color w:val="auto"/>
                <w:szCs w:val="21"/>
                <w:highlight w:val="none"/>
                <w:u w:val="none" w:color="auto"/>
                <w:lang w:bidi="ar"/>
              </w:rPr>
            </w:pPr>
            <w:r>
              <w:rPr>
                <w:rFonts w:hint="default" w:ascii="Times New Roman" w:hAnsi="Times New Roman" w:eastAsia="宋体" w:cs="Times New Roman"/>
                <w:color w:val="auto"/>
                <w:szCs w:val="21"/>
                <w:highlight w:val="none"/>
                <w:u w:val="none" w:color="auto"/>
                <w:lang w:bidi="ar"/>
              </w:rPr>
              <w:t>敏感目标名称</w:t>
            </w:r>
          </w:p>
        </w:tc>
        <w:tc>
          <w:tcPr>
            <w:tcW w:w="1480" w:type="pct"/>
            <w:gridSpan w:val="4"/>
            <w:tcBorders>
              <w:tl2br w:val="nil"/>
              <w:tr2bl w:val="nil"/>
            </w:tcBorders>
            <w:noWrap w:val="0"/>
            <w:vAlign w:val="center"/>
          </w:tcPr>
          <w:p w14:paraId="7414368A">
            <w:pPr>
              <w:contextualSpacing/>
              <w:jc w:val="center"/>
              <w:rPr>
                <w:rFonts w:hint="default" w:ascii="Times New Roman" w:hAnsi="Times New Roman" w:eastAsia="宋体" w:cs="Times New Roman"/>
                <w:color w:val="auto"/>
                <w:szCs w:val="21"/>
                <w:highlight w:val="none"/>
                <w:u w:val="none" w:color="auto"/>
                <w:lang w:bidi="ar"/>
              </w:rPr>
            </w:pPr>
            <w:r>
              <w:rPr>
                <w:rFonts w:hint="default" w:ascii="Times New Roman" w:hAnsi="Times New Roman" w:eastAsia="宋体" w:cs="Times New Roman"/>
                <w:color w:val="auto"/>
                <w:szCs w:val="21"/>
                <w:highlight w:val="none"/>
                <w:u w:val="none" w:color="auto"/>
                <w:lang w:bidi="ar"/>
              </w:rPr>
              <w:t>环境敏感特征</w:t>
            </w:r>
          </w:p>
        </w:tc>
        <w:tc>
          <w:tcPr>
            <w:tcW w:w="536" w:type="pct"/>
            <w:tcBorders>
              <w:tl2br w:val="nil"/>
              <w:tr2bl w:val="nil"/>
            </w:tcBorders>
            <w:noWrap w:val="0"/>
            <w:vAlign w:val="center"/>
          </w:tcPr>
          <w:p w14:paraId="07668378">
            <w:pPr>
              <w:contextualSpacing/>
              <w:jc w:val="center"/>
              <w:rPr>
                <w:rFonts w:hint="default" w:ascii="Times New Roman" w:hAnsi="Times New Roman" w:eastAsia="宋体" w:cs="Times New Roman"/>
                <w:color w:val="auto"/>
                <w:szCs w:val="21"/>
                <w:highlight w:val="none"/>
                <w:u w:val="none" w:color="auto"/>
                <w:lang w:bidi="ar"/>
              </w:rPr>
            </w:pPr>
            <w:r>
              <w:rPr>
                <w:rFonts w:hint="default" w:ascii="Times New Roman" w:hAnsi="Times New Roman" w:eastAsia="宋体" w:cs="Times New Roman"/>
                <w:color w:val="auto"/>
                <w:szCs w:val="21"/>
                <w:highlight w:val="none"/>
                <w:u w:val="none" w:color="auto"/>
                <w:lang w:bidi="ar"/>
              </w:rPr>
              <w:t>水质目标</w:t>
            </w:r>
          </w:p>
        </w:tc>
        <w:tc>
          <w:tcPr>
            <w:tcW w:w="766" w:type="pct"/>
            <w:tcBorders>
              <w:tl2br w:val="nil"/>
              <w:tr2bl w:val="nil"/>
            </w:tcBorders>
            <w:noWrap w:val="0"/>
            <w:vAlign w:val="center"/>
          </w:tcPr>
          <w:p w14:paraId="5479D928">
            <w:pPr>
              <w:contextualSpacing/>
              <w:jc w:val="center"/>
              <w:rPr>
                <w:rFonts w:hint="default" w:ascii="Times New Roman" w:hAnsi="Times New Roman" w:eastAsia="宋体" w:cs="Times New Roman"/>
                <w:bCs/>
                <w:color w:val="auto"/>
                <w:szCs w:val="21"/>
                <w:highlight w:val="none"/>
                <w:u w:val="none" w:color="auto"/>
                <w:lang w:bidi="ar"/>
              </w:rPr>
            </w:pPr>
            <w:r>
              <w:rPr>
                <w:rFonts w:hint="default" w:ascii="Times New Roman" w:hAnsi="Times New Roman" w:eastAsia="宋体" w:cs="Times New Roman"/>
                <w:bCs/>
                <w:color w:val="auto"/>
                <w:szCs w:val="21"/>
                <w:highlight w:val="none"/>
                <w:u w:val="none" w:color="auto"/>
                <w:lang w:bidi="ar"/>
              </w:rPr>
              <w:t>与排放点距离/m</w:t>
            </w:r>
          </w:p>
        </w:tc>
      </w:tr>
      <w:tr w14:paraId="77661E6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66" w:type="pct"/>
            <w:vMerge w:val="continue"/>
            <w:tcBorders>
              <w:tl2br w:val="nil"/>
              <w:tr2bl w:val="nil"/>
            </w:tcBorders>
            <w:noWrap w:val="0"/>
            <w:vAlign w:val="center"/>
          </w:tcPr>
          <w:p w14:paraId="424BF144">
            <w:pPr>
              <w:contextualSpacing/>
              <w:jc w:val="center"/>
              <w:rPr>
                <w:rFonts w:hint="default" w:ascii="Times New Roman" w:hAnsi="Times New Roman" w:eastAsia="宋体" w:cs="Times New Roman"/>
                <w:color w:val="auto"/>
                <w:szCs w:val="21"/>
                <w:highlight w:val="none"/>
                <w:u w:val="none" w:color="auto"/>
              </w:rPr>
            </w:pPr>
          </w:p>
        </w:tc>
        <w:tc>
          <w:tcPr>
            <w:tcW w:w="408" w:type="pct"/>
            <w:tcBorders>
              <w:tl2br w:val="nil"/>
              <w:tr2bl w:val="nil"/>
            </w:tcBorders>
            <w:noWrap w:val="0"/>
            <w:vAlign w:val="center"/>
          </w:tcPr>
          <w:p w14:paraId="7592B1D5">
            <w:pPr>
              <w:contextualSpacing/>
              <w:jc w:val="center"/>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rPr>
              <w:t>1</w:t>
            </w:r>
          </w:p>
        </w:tc>
        <w:tc>
          <w:tcPr>
            <w:tcW w:w="1341" w:type="pct"/>
            <w:gridSpan w:val="4"/>
            <w:tcBorders>
              <w:tl2br w:val="nil"/>
              <w:tr2bl w:val="nil"/>
            </w:tcBorders>
            <w:noWrap w:val="0"/>
            <w:vAlign w:val="center"/>
          </w:tcPr>
          <w:p w14:paraId="3F5C6EAC">
            <w:pPr>
              <w:contextualSpacing/>
              <w:jc w:val="center"/>
              <w:rPr>
                <w:rFonts w:hint="default" w:ascii="Times New Roman" w:hAnsi="Times New Roman" w:eastAsia="宋体" w:cs="Times New Roman"/>
                <w:color w:val="auto"/>
                <w:szCs w:val="21"/>
                <w:highlight w:val="none"/>
                <w:u w:val="none" w:color="auto"/>
                <w:lang w:bidi="ar"/>
              </w:rPr>
            </w:pPr>
            <w:r>
              <w:rPr>
                <w:rFonts w:hint="default" w:ascii="Times New Roman" w:hAnsi="Times New Roman" w:eastAsia="宋体" w:cs="Times New Roman"/>
                <w:color w:val="auto"/>
                <w:szCs w:val="21"/>
                <w:highlight w:val="none"/>
                <w:u w:val="none" w:color="auto"/>
                <w:lang w:val="en-US" w:eastAsia="zh-CN" w:bidi="ar"/>
              </w:rPr>
              <w:t>象骨港</w:t>
            </w:r>
          </w:p>
        </w:tc>
        <w:tc>
          <w:tcPr>
            <w:tcW w:w="1480" w:type="pct"/>
            <w:gridSpan w:val="4"/>
            <w:tcBorders>
              <w:tl2br w:val="nil"/>
              <w:tr2bl w:val="nil"/>
            </w:tcBorders>
            <w:noWrap w:val="0"/>
            <w:vAlign w:val="center"/>
          </w:tcPr>
          <w:p w14:paraId="5E83E602">
            <w:pPr>
              <w:contextualSpacing/>
              <w:jc w:val="center"/>
              <w:rPr>
                <w:rFonts w:hint="default" w:ascii="Times New Roman" w:hAnsi="Times New Roman" w:eastAsia="宋体" w:cs="Times New Roman"/>
                <w:color w:val="auto"/>
                <w:szCs w:val="21"/>
                <w:highlight w:val="none"/>
                <w:u w:val="none" w:color="auto"/>
                <w:lang w:val="en-US" w:bidi="ar"/>
              </w:rPr>
            </w:pPr>
            <w:r>
              <w:rPr>
                <w:rFonts w:hint="default" w:ascii="Times New Roman" w:hAnsi="Times New Roman" w:eastAsia="宋体" w:cs="Times New Roman"/>
                <w:color w:val="auto"/>
                <w:szCs w:val="21"/>
                <w:highlight w:val="none"/>
                <w:u w:val="none" w:color="auto"/>
                <w:lang w:val="en-US" w:eastAsia="zh-CN" w:bidi="ar"/>
              </w:rPr>
              <w:t>无</w:t>
            </w:r>
          </w:p>
        </w:tc>
        <w:tc>
          <w:tcPr>
            <w:tcW w:w="536" w:type="pct"/>
            <w:tcBorders>
              <w:tl2br w:val="nil"/>
              <w:tr2bl w:val="nil"/>
            </w:tcBorders>
            <w:noWrap w:val="0"/>
            <w:vAlign w:val="center"/>
          </w:tcPr>
          <w:p w14:paraId="1494E69B">
            <w:pPr>
              <w:contextualSpacing/>
              <w:jc w:val="center"/>
              <w:rPr>
                <w:rFonts w:hint="default" w:ascii="Times New Roman" w:hAnsi="Times New Roman" w:eastAsia="宋体" w:cs="Times New Roman"/>
                <w:color w:val="auto"/>
                <w:szCs w:val="21"/>
                <w:highlight w:val="none"/>
                <w:u w:val="none" w:color="auto"/>
                <w:lang w:bidi="ar"/>
              </w:rPr>
            </w:pPr>
            <w:r>
              <w:rPr>
                <w:rFonts w:hint="default" w:ascii="Times New Roman" w:hAnsi="Times New Roman" w:eastAsia="宋体" w:cs="Times New Roman"/>
                <w:color w:val="auto"/>
                <w:szCs w:val="21"/>
                <w:highlight w:val="none"/>
                <w:u w:val="none" w:color="auto"/>
                <w:lang w:val="en-US" w:eastAsia="zh-CN" w:bidi="ar"/>
              </w:rPr>
              <w:t>Ⅲ类</w:t>
            </w:r>
          </w:p>
        </w:tc>
        <w:tc>
          <w:tcPr>
            <w:tcW w:w="766" w:type="pct"/>
            <w:tcBorders>
              <w:tl2br w:val="nil"/>
              <w:tr2bl w:val="nil"/>
            </w:tcBorders>
            <w:noWrap w:val="0"/>
            <w:vAlign w:val="center"/>
          </w:tcPr>
          <w:p w14:paraId="66118CF8">
            <w:pPr>
              <w:contextualSpacing/>
              <w:jc w:val="center"/>
              <w:rPr>
                <w:rFonts w:hint="default" w:ascii="Times New Roman" w:hAnsi="Times New Roman" w:eastAsia="宋体" w:cs="Times New Roman"/>
                <w:bCs/>
                <w:color w:val="auto"/>
                <w:szCs w:val="21"/>
                <w:highlight w:val="none"/>
                <w:u w:val="none" w:color="auto"/>
                <w:lang w:bidi="ar"/>
              </w:rPr>
            </w:pPr>
            <w:r>
              <w:rPr>
                <w:rFonts w:hint="default" w:ascii="Times New Roman" w:hAnsi="Times New Roman" w:eastAsia="宋体" w:cs="Times New Roman"/>
                <w:color w:val="auto"/>
                <w:szCs w:val="21"/>
                <w:highlight w:val="none"/>
                <w:u w:val="none" w:color="auto"/>
                <w:lang w:val="en-US" w:eastAsia="zh-CN" w:bidi="ar"/>
              </w:rPr>
              <w:t>0</w:t>
            </w:r>
          </w:p>
        </w:tc>
      </w:tr>
      <w:tr w14:paraId="31D3F0E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66" w:type="pct"/>
            <w:vMerge w:val="continue"/>
            <w:tcBorders>
              <w:tl2br w:val="nil"/>
              <w:tr2bl w:val="nil"/>
            </w:tcBorders>
            <w:noWrap w:val="0"/>
            <w:vAlign w:val="center"/>
          </w:tcPr>
          <w:p w14:paraId="560F4201">
            <w:pPr>
              <w:contextualSpacing/>
              <w:jc w:val="center"/>
              <w:rPr>
                <w:rFonts w:hint="default" w:ascii="Times New Roman" w:hAnsi="Times New Roman" w:eastAsia="宋体" w:cs="Times New Roman"/>
                <w:color w:val="auto"/>
                <w:szCs w:val="21"/>
                <w:highlight w:val="none"/>
                <w:u w:val="none" w:color="auto"/>
              </w:rPr>
            </w:pPr>
          </w:p>
        </w:tc>
        <w:tc>
          <w:tcPr>
            <w:tcW w:w="408" w:type="pct"/>
            <w:vMerge w:val="restart"/>
            <w:tcBorders>
              <w:tl2br w:val="nil"/>
              <w:tr2bl w:val="nil"/>
            </w:tcBorders>
            <w:noWrap w:val="0"/>
            <w:vAlign w:val="center"/>
          </w:tcPr>
          <w:p w14:paraId="54E2E1AE">
            <w:pPr>
              <w:contextualSpacing/>
              <w:jc w:val="center"/>
              <w:rPr>
                <w:rFonts w:hint="default" w:ascii="Times New Roman" w:hAnsi="Times New Roman" w:eastAsia="宋体" w:cs="Times New Roman"/>
                <w:color w:val="auto"/>
                <w:szCs w:val="21"/>
                <w:highlight w:val="none"/>
                <w:u w:val="none" w:color="auto"/>
                <w:lang w:val="en-US" w:eastAsia="zh-CN"/>
              </w:rPr>
            </w:pPr>
            <w:r>
              <w:rPr>
                <w:rFonts w:hint="default" w:ascii="Times New Roman" w:hAnsi="Times New Roman" w:eastAsia="宋体" w:cs="Times New Roman"/>
                <w:color w:val="auto"/>
                <w:szCs w:val="21"/>
                <w:highlight w:val="none"/>
                <w:u w:val="none" w:color="auto"/>
                <w:lang w:val="en-US" w:eastAsia="zh-CN"/>
              </w:rPr>
              <w:t>2</w:t>
            </w:r>
          </w:p>
        </w:tc>
        <w:tc>
          <w:tcPr>
            <w:tcW w:w="1341" w:type="pct"/>
            <w:gridSpan w:val="4"/>
            <w:tcBorders>
              <w:tl2br w:val="nil"/>
              <w:tr2bl w:val="nil"/>
            </w:tcBorders>
            <w:noWrap w:val="0"/>
            <w:vAlign w:val="center"/>
          </w:tcPr>
          <w:p w14:paraId="38815E0A">
            <w:pPr>
              <w:contextualSpacing/>
              <w:jc w:val="center"/>
              <w:rPr>
                <w:rFonts w:hint="default" w:ascii="Times New Roman" w:hAnsi="Times New Roman" w:eastAsia="宋体" w:cs="Times New Roman"/>
                <w:color w:val="auto"/>
                <w:szCs w:val="21"/>
                <w:highlight w:val="none"/>
                <w:u w:val="none" w:color="auto"/>
                <w:lang w:val="en-US" w:eastAsia="zh-CN" w:bidi="ar"/>
              </w:rPr>
            </w:pPr>
            <w:r>
              <w:rPr>
                <w:rFonts w:hint="default" w:ascii="Times New Roman" w:hAnsi="Times New Roman" w:eastAsia="宋体" w:cs="Times New Roman"/>
                <w:color w:val="auto"/>
                <w:szCs w:val="21"/>
                <w:highlight w:val="none"/>
                <w:u w:val="none" w:color="auto"/>
                <w:lang w:val="en-US" w:eastAsia="zh-CN" w:bidi="ar"/>
              </w:rPr>
              <w:t>长江岳阳段</w:t>
            </w:r>
          </w:p>
        </w:tc>
        <w:tc>
          <w:tcPr>
            <w:tcW w:w="1480" w:type="pct"/>
            <w:gridSpan w:val="4"/>
            <w:vMerge w:val="restart"/>
            <w:tcBorders>
              <w:tl2br w:val="nil"/>
              <w:tr2bl w:val="nil"/>
            </w:tcBorders>
            <w:noWrap w:val="0"/>
            <w:vAlign w:val="center"/>
          </w:tcPr>
          <w:p w14:paraId="1B1ABA64">
            <w:pPr>
              <w:contextualSpacing/>
              <w:jc w:val="center"/>
              <w:rPr>
                <w:rFonts w:hint="default" w:ascii="Times New Roman" w:hAnsi="Times New Roman" w:eastAsia="宋体" w:cs="Times New Roman"/>
                <w:color w:val="auto"/>
                <w:szCs w:val="21"/>
                <w:highlight w:val="none"/>
                <w:u w:val="none" w:color="auto"/>
                <w:lang w:val="en-US" w:eastAsia="zh-CN" w:bidi="ar"/>
              </w:rPr>
            </w:pPr>
            <w:r>
              <w:rPr>
                <w:rFonts w:hint="default" w:ascii="Times New Roman" w:hAnsi="Times New Roman" w:eastAsia="宋体" w:cs="Times New Roman"/>
                <w:color w:val="auto"/>
                <w:szCs w:val="21"/>
                <w:highlight w:val="none"/>
                <w:u w:val="none" w:color="auto"/>
                <w:lang w:val="en-US" w:eastAsia="zh-CN" w:bidi="ar"/>
              </w:rPr>
              <w:t>发生事故时，危险物质泄漏到内陆水体的排放点下游(顺水流向)10km范围内</w:t>
            </w:r>
            <w:r>
              <w:rPr>
                <w:rFonts w:hint="default" w:ascii="Times New Roman" w:hAnsi="Times New Roman" w:eastAsia="宋体" w:cs="Times New Roman"/>
                <w:color w:val="auto"/>
                <w:u w:val="none" w:color="auto"/>
              </w:rPr>
              <w:t>有集中式地表水饮用水源保护区（包括一级保护区、二级保护区及准保护区）；重要水生生物的自然产卵场及索饵场、越冬场和洄游通道；</w:t>
            </w:r>
          </w:p>
        </w:tc>
        <w:tc>
          <w:tcPr>
            <w:tcW w:w="536" w:type="pct"/>
            <w:vMerge w:val="restart"/>
            <w:tcBorders>
              <w:tl2br w:val="nil"/>
              <w:tr2bl w:val="nil"/>
            </w:tcBorders>
            <w:noWrap w:val="0"/>
            <w:vAlign w:val="center"/>
          </w:tcPr>
          <w:p w14:paraId="63377CFA">
            <w:pPr>
              <w:contextualSpacing/>
              <w:jc w:val="center"/>
              <w:rPr>
                <w:rFonts w:hint="default" w:ascii="Times New Roman" w:hAnsi="Times New Roman" w:eastAsia="宋体" w:cs="Times New Roman"/>
                <w:color w:val="auto"/>
                <w:szCs w:val="21"/>
                <w:highlight w:val="none"/>
                <w:u w:val="none" w:color="auto"/>
                <w:lang w:val="en-US" w:eastAsia="zh-CN" w:bidi="ar"/>
              </w:rPr>
            </w:pPr>
            <w:r>
              <w:rPr>
                <w:rFonts w:hint="default" w:ascii="Times New Roman" w:hAnsi="Times New Roman" w:eastAsia="宋体" w:cs="Times New Roman"/>
                <w:color w:val="auto"/>
                <w:szCs w:val="21"/>
                <w:highlight w:val="none"/>
                <w:u w:val="none" w:color="auto"/>
                <w:lang w:val="en-US" w:eastAsia="zh-CN" w:bidi="ar"/>
              </w:rPr>
              <w:t>Ⅲ类</w:t>
            </w:r>
          </w:p>
        </w:tc>
        <w:tc>
          <w:tcPr>
            <w:tcW w:w="766" w:type="pct"/>
            <w:tcBorders>
              <w:tl2br w:val="nil"/>
              <w:tr2bl w:val="nil"/>
            </w:tcBorders>
            <w:noWrap w:val="0"/>
            <w:vAlign w:val="center"/>
          </w:tcPr>
          <w:p w14:paraId="47EA90BD">
            <w:pPr>
              <w:contextualSpacing/>
              <w:jc w:val="center"/>
              <w:rPr>
                <w:rFonts w:hint="default" w:ascii="Times New Roman" w:hAnsi="Times New Roman" w:eastAsia="宋体" w:cs="Times New Roman"/>
                <w:color w:val="auto"/>
                <w:szCs w:val="21"/>
                <w:highlight w:val="none"/>
                <w:u w:val="none" w:color="auto"/>
                <w:lang w:val="en-US" w:eastAsia="zh-CN" w:bidi="ar"/>
              </w:rPr>
            </w:pPr>
            <w:r>
              <w:rPr>
                <w:rFonts w:hint="default" w:ascii="Times New Roman" w:hAnsi="Times New Roman" w:eastAsia="宋体" w:cs="Times New Roman"/>
                <w:color w:val="auto"/>
                <w:szCs w:val="21"/>
                <w:highlight w:val="none"/>
                <w:u w:val="none" w:color="auto"/>
                <w:lang w:val="en-US" w:eastAsia="zh-CN" w:bidi="ar"/>
              </w:rPr>
              <w:t>约1300</w:t>
            </w:r>
          </w:p>
        </w:tc>
      </w:tr>
      <w:tr w14:paraId="3AB378B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66" w:type="pct"/>
            <w:vMerge w:val="continue"/>
            <w:tcBorders>
              <w:tl2br w:val="nil"/>
              <w:tr2bl w:val="nil"/>
            </w:tcBorders>
            <w:noWrap w:val="0"/>
            <w:vAlign w:val="center"/>
          </w:tcPr>
          <w:p w14:paraId="71109AC5">
            <w:pPr>
              <w:contextualSpacing/>
              <w:jc w:val="center"/>
              <w:rPr>
                <w:rFonts w:hint="default" w:ascii="Times New Roman" w:hAnsi="Times New Roman" w:eastAsia="宋体" w:cs="Times New Roman"/>
                <w:color w:val="auto"/>
                <w:szCs w:val="21"/>
                <w:highlight w:val="none"/>
                <w:u w:val="none" w:color="auto"/>
              </w:rPr>
            </w:pPr>
          </w:p>
        </w:tc>
        <w:tc>
          <w:tcPr>
            <w:tcW w:w="408" w:type="pct"/>
            <w:vMerge w:val="continue"/>
            <w:tcBorders>
              <w:tl2br w:val="nil"/>
              <w:tr2bl w:val="nil"/>
            </w:tcBorders>
            <w:noWrap w:val="0"/>
            <w:vAlign w:val="center"/>
          </w:tcPr>
          <w:p w14:paraId="67E54C33">
            <w:pPr>
              <w:contextualSpacing/>
              <w:jc w:val="center"/>
              <w:rPr>
                <w:rFonts w:hint="default" w:ascii="Times New Roman" w:hAnsi="Times New Roman" w:eastAsia="宋体" w:cs="Times New Roman"/>
                <w:color w:val="auto"/>
                <w:szCs w:val="21"/>
                <w:highlight w:val="none"/>
                <w:u w:val="none" w:color="auto"/>
              </w:rPr>
            </w:pPr>
          </w:p>
        </w:tc>
        <w:tc>
          <w:tcPr>
            <w:tcW w:w="220" w:type="pct"/>
            <w:vMerge w:val="restart"/>
            <w:tcBorders>
              <w:tl2br w:val="nil"/>
              <w:tr2bl w:val="nil"/>
            </w:tcBorders>
            <w:noWrap w:val="0"/>
            <w:vAlign w:val="center"/>
          </w:tcPr>
          <w:p w14:paraId="6C3A7883">
            <w:pPr>
              <w:contextualSpacing/>
              <w:jc w:val="center"/>
              <w:rPr>
                <w:rFonts w:hint="default" w:ascii="Times New Roman" w:hAnsi="Times New Roman" w:eastAsia="宋体" w:cs="Times New Roman"/>
                <w:color w:val="auto"/>
                <w:szCs w:val="21"/>
                <w:highlight w:val="none"/>
                <w:u w:val="none" w:color="auto"/>
                <w:lang w:val="en-US" w:eastAsia="zh-CN" w:bidi="ar"/>
              </w:rPr>
            </w:pPr>
            <w:r>
              <w:rPr>
                <w:rFonts w:hint="default" w:ascii="Times New Roman" w:hAnsi="Times New Roman" w:eastAsia="宋体" w:cs="Times New Roman"/>
                <w:color w:val="auto"/>
                <w:szCs w:val="21"/>
                <w:highlight w:val="none"/>
                <w:u w:val="none" w:color="auto"/>
                <w:lang w:val="en-US" w:eastAsia="zh-CN" w:bidi="ar"/>
              </w:rPr>
              <w:t>其中</w:t>
            </w:r>
          </w:p>
        </w:tc>
        <w:tc>
          <w:tcPr>
            <w:tcW w:w="1121" w:type="pct"/>
            <w:gridSpan w:val="3"/>
            <w:tcBorders>
              <w:tl2br w:val="nil"/>
              <w:tr2bl w:val="nil"/>
            </w:tcBorders>
            <w:noWrap w:val="0"/>
            <w:vAlign w:val="center"/>
          </w:tcPr>
          <w:p w14:paraId="74E308D0">
            <w:pPr>
              <w:contextualSpacing/>
              <w:jc w:val="center"/>
              <w:rPr>
                <w:rFonts w:hint="default" w:ascii="Times New Roman" w:hAnsi="Times New Roman" w:eastAsia="宋体" w:cs="Times New Roman"/>
                <w:color w:val="auto"/>
                <w:szCs w:val="21"/>
                <w:highlight w:val="none"/>
                <w:u w:val="none" w:color="auto"/>
                <w:lang w:val="en-US" w:eastAsia="zh-CN" w:bidi="ar"/>
              </w:rPr>
            </w:pPr>
            <w:r>
              <w:rPr>
                <w:rFonts w:hint="default" w:ascii="Times New Roman" w:hAnsi="Times New Roman" w:eastAsia="宋体" w:cs="Times New Roman"/>
                <w:color w:val="auto"/>
                <w:szCs w:val="21"/>
                <w:highlight w:val="none"/>
                <w:u w:val="none" w:color="auto"/>
                <w:lang w:val="en-US" w:eastAsia="zh-CN" w:bidi="ar"/>
              </w:rPr>
              <w:t>岳阳市云溪区道仁矶水厂长江取水口</w:t>
            </w:r>
          </w:p>
        </w:tc>
        <w:tc>
          <w:tcPr>
            <w:tcW w:w="1480" w:type="pct"/>
            <w:gridSpan w:val="4"/>
            <w:vMerge w:val="continue"/>
            <w:tcBorders>
              <w:tl2br w:val="nil"/>
              <w:tr2bl w:val="nil"/>
            </w:tcBorders>
            <w:noWrap w:val="0"/>
            <w:vAlign w:val="center"/>
          </w:tcPr>
          <w:p w14:paraId="091BC62D">
            <w:pPr>
              <w:contextualSpacing/>
              <w:jc w:val="center"/>
              <w:rPr>
                <w:rFonts w:hint="default" w:ascii="Times New Roman" w:hAnsi="Times New Roman" w:eastAsia="宋体" w:cs="Times New Roman"/>
                <w:color w:val="auto"/>
                <w:szCs w:val="21"/>
                <w:highlight w:val="none"/>
                <w:u w:val="none" w:color="auto"/>
                <w:lang w:val="en-US" w:eastAsia="zh-CN" w:bidi="ar"/>
              </w:rPr>
            </w:pPr>
          </w:p>
        </w:tc>
        <w:tc>
          <w:tcPr>
            <w:tcW w:w="536" w:type="pct"/>
            <w:vMerge w:val="continue"/>
            <w:tcBorders>
              <w:tl2br w:val="nil"/>
              <w:tr2bl w:val="nil"/>
            </w:tcBorders>
            <w:noWrap w:val="0"/>
            <w:vAlign w:val="center"/>
          </w:tcPr>
          <w:p w14:paraId="526F2675">
            <w:pPr>
              <w:contextualSpacing/>
              <w:jc w:val="center"/>
              <w:rPr>
                <w:rFonts w:hint="default" w:ascii="Times New Roman" w:hAnsi="Times New Roman" w:eastAsia="宋体" w:cs="Times New Roman"/>
                <w:color w:val="auto"/>
                <w:szCs w:val="21"/>
                <w:highlight w:val="none"/>
                <w:u w:val="none" w:color="auto"/>
                <w:lang w:val="en-US" w:eastAsia="zh-CN" w:bidi="ar"/>
              </w:rPr>
            </w:pPr>
          </w:p>
        </w:tc>
        <w:tc>
          <w:tcPr>
            <w:tcW w:w="766" w:type="pct"/>
            <w:tcBorders>
              <w:tl2br w:val="nil"/>
              <w:tr2bl w:val="nil"/>
            </w:tcBorders>
            <w:noWrap w:val="0"/>
            <w:vAlign w:val="center"/>
          </w:tcPr>
          <w:p w14:paraId="7AA1B243">
            <w:pPr>
              <w:contextualSpacing/>
              <w:jc w:val="center"/>
              <w:rPr>
                <w:rFonts w:hint="default" w:ascii="Times New Roman" w:hAnsi="Times New Roman" w:eastAsia="宋体" w:cs="Times New Roman"/>
                <w:color w:val="auto"/>
                <w:szCs w:val="21"/>
                <w:highlight w:val="none"/>
                <w:u w:val="none" w:color="auto"/>
                <w:lang w:val="en-US" w:eastAsia="zh-CN" w:bidi="ar"/>
              </w:rPr>
            </w:pPr>
            <w:r>
              <w:rPr>
                <w:rFonts w:hint="default" w:ascii="Times New Roman" w:hAnsi="Times New Roman" w:eastAsia="宋体" w:cs="Times New Roman"/>
                <w:color w:val="auto"/>
                <w:szCs w:val="21"/>
                <w:highlight w:val="none"/>
                <w:u w:val="none" w:color="auto"/>
                <w:lang w:val="en-US" w:eastAsia="zh-CN" w:bidi="ar"/>
              </w:rPr>
              <w:t>约8400</w:t>
            </w:r>
          </w:p>
        </w:tc>
      </w:tr>
      <w:tr w14:paraId="620861E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66" w:type="pct"/>
            <w:vMerge w:val="continue"/>
            <w:tcBorders>
              <w:tl2br w:val="nil"/>
              <w:tr2bl w:val="nil"/>
            </w:tcBorders>
            <w:noWrap w:val="0"/>
            <w:vAlign w:val="center"/>
          </w:tcPr>
          <w:p w14:paraId="326A08F9">
            <w:pPr>
              <w:contextualSpacing/>
              <w:jc w:val="center"/>
              <w:rPr>
                <w:rFonts w:hint="default" w:ascii="Times New Roman" w:hAnsi="Times New Roman" w:eastAsia="宋体" w:cs="Times New Roman"/>
                <w:color w:val="auto"/>
                <w:szCs w:val="21"/>
                <w:highlight w:val="none"/>
                <w:u w:val="none" w:color="auto"/>
              </w:rPr>
            </w:pPr>
          </w:p>
        </w:tc>
        <w:tc>
          <w:tcPr>
            <w:tcW w:w="408" w:type="pct"/>
            <w:vMerge w:val="continue"/>
            <w:tcBorders>
              <w:tl2br w:val="nil"/>
              <w:tr2bl w:val="nil"/>
            </w:tcBorders>
            <w:noWrap w:val="0"/>
            <w:vAlign w:val="center"/>
          </w:tcPr>
          <w:p w14:paraId="33E2179C">
            <w:pPr>
              <w:contextualSpacing/>
              <w:jc w:val="center"/>
              <w:rPr>
                <w:rFonts w:hint="default" w:ascii="Times New Roman" w:hAnsi="Times New Roman" w:eastAsia="宋体" w:cs="Times New Roman"/>
                <w:color w:val="auto"/>
                <w:szCs w:val="21"/>
                <w:highlight w:val="none"/>
                <w:u w:val="none" w:color="auto"/>
              </w:rPr>
            </w:pPr>
          </w:p>
        </w:tc>
        <w:tc>
          <w:tcPr>
            <w:tcW w:w="220" w:type="pct"/>
            <w:vMerge w:val="continue"/>
            <w:tcBorders>
              <w:tl2br w:val="nil"/>
              <w:tr2bl w:val="nil"/>
            </w:tcBorders>
            <w:noWrap w:val="0"/>
            <w:vAlign w:val="center"/>
          </w:tcPr>
          <w:p w14:paraId="7390880D">
            <w:pPr>
              <w:contextualSpacing/>
              <w:jc w:val="center"/>
              <w:rPr>
                <w:rFonts w:hint="default" w:ascii="Times New Roman" w:hAnsi="Times New Roman" w:eastAsia="宋体" w:cs="Times New Roman"/>
                <w:color w:val="auto"/>
                <w:szCs w:val="21"/>
                <w:highlight w:val="none"/>
                <w:u w:val="none" w:color="auto"/>
                <w:lang w:val="en-US" w:eastAsia="zh-CN" w:bidi="ar"/>
              </w:rPr>
            </w:pPr>
          </w:p>
        </w:tc>
        <w:tc>
          <w:tcPr>
            <w:tcW w:w="1121" w:type="pct"/>
            <w:gridSpan w:val="3"/>
            <w:tcBorders>
              <w:tl2br w:val="nil"/>
              <w:tr2bl w:val="nil"/>
            </w:tcBorders>
            <w:noWrap w:val="0"/>
            <w:vAlign w:val="center"/>
          </w:tcPr>
          <w:p w14:paraId="1F8E689E">
            <w:pPr>
              <w:contextualSpacing/>
              <w:jc w:val="center"/>
              <w:rPr>
                <w:rFonts w:hint="default" w:ascii="Times New Roman" w:hAnsi="Times New Roman" w:eastAsia="宋体" w:cs="Times New Roman"/>
                <w:color w:val="auto"/>
                <w:szCs w:val="21"/>
                <w:highlight w:val="none"/>
                <w:u w:val="none" w:color="auto"/>
                <w:lang w:val="en-US" w:eastAsia="zh-CN" w:bidi="ar"/>
              </w:rPr>
            </w:pPr>
            <w:r>
              <w:rPr>
                <w:rFonts w:hint="default" w:ascii="Times New Roman" w:hAnsi="Times New Roman" w:eastAsia="宋体" w:cs="Times New Roman"/>
                <w:color w:val="auto"/>
                <w:szCs w:val="21"/>
                <w:highlight w:val="none"/>
                <w:u w:val="none" w:color="auto"/>
                <w:lang w:val="en-US" w:eastAsia="zh-CN" w:bidi="ar"/>
              </w:rPr>
              <w:t>长江监利段四大家鱼国家级水产种质资源保护区</w:t>
            </w:r>
          </w:p>
        </w:tc>
        <w:tc>
          <w:tcPr>
            <w:tcW w:w="1480" w:type="pct"/>
            <w:gridSpan w:val="4"/>
            <w:vMerge w:val="continue"/>
            <w:tcBorders>
              <w:tl2br w:val="nil"/>
              <w:tr2bl w:val="nil"/>
            </w:tcBorders>
            <w:noWrap w:val="0"/>
            <w:vAlign w:val="center"/>
          </w:tcPr>
          <w:p w14:paraId="2CF1D4D5">
            <w:pPr>
              <w:contextualSpacing/>
              <w:jc w:val="center"/>
              <w:rPr>
                <w:rFonts w:hint="default" w:ascii="Times New Roman" w:hAnsi="Times New Roman" w:eastAsia="宋体" w:cs="Times New Roman"/>
                <w:color w:val="auto"/>
                <w:szCs w:val="21"/>
                <w:highlight w:val="none"/>
                <w:u w:val="none" w:color="auto"/>
                <w:lang w:val="en-US" w:eastAsia="zh-CN" w:bidi="ar"/>
              </w:rPr>
            </w:pPr>
          </w:p>
        </w:tc>
        <w:tc>
          <w:tcPr>
            <w:tcW w:w="536" w:type="pct"/>
            <w:vMerge w:val="continue"/>
            <w:tcBorders>
              <w:tl2br w:val="nil"/>
              <w:tr2bl w:val="nil"/>
            </w:tcBorders>
            <w:noWrap w:val="0"/>
            <w:vAlign w:val="center"/>
          </w:tcPr>
          <w:p w14:paraId="20FEBA23">
            <w:pPr>
              <w:contextualSpacing/>
              <w:jc w:val="center"/>
              <w:rPr>
                <w:rFonts w:hint="default" w:ascii="Times New Roman" w:hAnsi="Times New Roman" w:eastAsia="宋体" w:cs="Times New Roman"/>
                <w:color w:val="auto"/>
                <w:szCs w:val="21"/>
                <w:highlight w:val="none"/>
                <w:u w:val="none" w:color="auto"/>
                <w:lang w:val="en-US" w:eastAsia="zh-CN" w:bidi="ar"/>
              </w:rPr>
            </w:pPr>
          </w:p>
        </w:tc>
        <w:tc>
          <w:tcPr>
            <w:tcW w:w="766" w:type="pct"/>
            <w:tcBorders>
              <w:tl2br w:val="nil"/>
              <w:tr2bl w:val="nil"/>
            </w:tcBorders>
            <w:noWrap w:val="0"/>
            <w:vAlign w:val="center"/>
          </w:tcPr>
          <w:p w14:paraId="30DA148A">
            <w:pPr>
              <w:contextualSpacing/>
              <w:jc w:val="center"/>
              <w:rPr>
                <w:rFonts w:hint="default" w:ascii="Times New Roman" w:hAnsi="Times New Roman" w:eastAsia="宋体" w:cs="Times New Roman"/>
                <w:color w:val="auto"/>
                <w:szCs w:val="21"/>
                <w:highlight w:val="none"/>
                <w:u w:val="none" w:color="auto"/>
                <w:lang w:val="en-US" w:eastAsia="zh-CN" w:bidi="ar"/>
              </w:rPr>
            </w:pPr>
            <w:r>
              <w:rPr>
                <w:rFonts w:hint="default" w:ascii="Times New Roman" w:hAnsi="Times New Roman" w:eastAsia="宋体" w:cs="Times New Roman"/>
                <w:color w:val="auto"/>
                <w:szCs w:val="21"/>
                <w:highlight w:val="none"/>
                <w:u w:val="none" w:color="auto"/>
                <w:lang w:val="en-US" w:eastAsia="zh-CN" w:bidi="ar"/>
              </w:rPr>
              <w:t>约4500</w:t>
            </w:r>
          </w:p>
        </w:tc>
      </w:tr>
      <w:tr w14:paraId="78576CE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66" w:type="pct"/>
            <w:vMerge w:val="continue"/>
            <w:tcBorders>
              <w:tl2br w:val="nil"/>
              <w:tr2bl w:val="nil"/>
            </w:tcBorders>
            <w:noWrap w:val="0"/>
            <w:vAlign w:val="center"/>
          </w:tcPr>
          <w:p w14:paraId="6483E7FB">
            <w:pPr>
              <w:contextualSpacing/>
              <w:jc w:val="center"/>
              <w:rPr>
                <w:rFonts w:hint="default" w:ascii="Times New Roman" w:hAnsi="Times New Roman" w:eastAsia="宋体" w:cs="Times New Roman"/>
                <w:color w:val="auto"/>
                <w:szCs w:val="21"/>
                <w:highlight w:val="none"/>
                <w:u w:val="none" w:color="auto"/>
              </w:rPr>
            </w:pPr>
          </w:p>
        </w:tc>
        <w:tc>
          <w:tcPr>
            <w:tcW w:w="408" w:type="pct"/>
            <w:vMerge w:val="continue"/>
            <w:tcBorders>
              <w:tl2br w:val="nil"/>
              <w:tr2bl w:val="nil"/>
            </w:tcBorders>
            <w:noWrap w:val="0"/>
            <w:vAlign w:val="center"/>
          </w:tcPr>
          <w:p w14:paraId="60389174">
            <w:pPr>
              <w:contextualSpacing/>
              <w:jc w:val="center"/>
              <w:rPr>
                <w:rFonts w:hint="default" w:ascii="Times New Roman" w:hAnsi="Times New Roman" w:eastAsia="宋体" w:cs="Times New Roman"/>
                <w:color w:val="auto"/>
                <w:szCs w:val="21"/>
                <w:highlight w:val="none"/>
                <w:u w:val="none" w:color="auto"/>
              </w:rPr>
            </w:pPr>
          </w:p>
        </w:tc>
        <w:tc>
          <w:tcPr>
            <w:tcW w:w="220" w:type="pct"/>
            <w:vMerge w:val="continue"/>
            <w:tcBorders>
              <w:tl2br w:val="nil"/>
              <w:tr2bl w:val="nil"/>
            </w:tcBorders>
            <w:noWrap w:val="0"/>
            <w:vAlign w:val="center"/>
          </w:tcPr>
          <w:p w14:paraId="1E3794E6">
            <w:pPr>
              <w:contextualSpacing/>
              <w:jc w:val="center"/>
              <w:rPr>
                <w:rFonts w:hint="default" w:ascii="Times New Roman" w:hAnsi="Times New Roman" w:eastAsia="宋体" w:cs="Times New Roman"/>
                <w:color w:val="auto"/>
                <w:szCs w:val="21"/>
                <w:highlight w:val="none"/>
                <w:u w:val="none" w:color="auto"/>
                <w:lang w:val="en-US" w:eastAsia="zh-CN" w:bidi="ar"/>
              </w:rPr>
            </w:pPr>
          </w:p>
        </w:tc>
        <w:tc>
          <w:tcPr>
            <w:tcW w:w="1121" w:type="pct"/>
            <w:gridSpan w:val="3"/>
            <w:tcBorders>
              <w:tl2br w:val="nil"/>
              <w:tr2bl w:val="nil"/>
            </w:tcBorders>
            <w:noWrap w:val="0"/>
            <w:vAlign w:val="center"/>
          </w:tcPr>
          <w:p w14:paraId="5B8FAFD0">
            <w:pPr>
              <w:contextualSpacing/>
              <w:jc w:val="center"/>
              <w:rPr>
                <w:rFonts w:hint="default" w:ascii="Times New Roman" w:hAnsi="Times New Roman" w:eastAsia="宋体" w:cs="Times New Roman"/>
                <w:color w:val="auto"/>
                <w:szCs w:val="21"/>
                <w:highlight w:val="none"/>
                <w:u w:val="none" w:color="auto"/>
                <w:lang w:val="en-US" w:eastAsia="zh-CN" w:bidi="ar"/>
              </w:rPr>
            </w:pPr>
            <w:r>
              <w:rPr>
                <w:rFonts w:hint="default" w:ascii="Times New Roman" w:hAnsi="Times New Roman" w:eastAsia="宋体" w:cs="Times New Roman"/>
                <w:color w:val="auto"/>
                <w:szCs w:val="21"/>
                <w:highlight w:val="none"/>
                <w:u w:val="none" w:color="auto"/>
                <w:lang w:val="en-US" w:eastAsia="zh-CN" w:bidi="ar"/>
              </w:rPr>
              <w:t>洞庭湖口铜鱼短颌鲚水产种质资源保护区</w:t>
            </w:r>
          </w:p>
        </w:tc>
        <w:tc>
          <w:tcPr>
            <w:tcW w:w="1480" w:type="pct"/>
            <w:gridSpan w:val="4"/>
            <w:vMerge w:val="continue"/>
            <w:tcBorders>
              <w:tl2br w:val="nil"/>
              <w:tr2bl w:val="nil"/>
            </w:tcBorders>
            <w:noWrap w:val="0"/>
            <w:vAlign w:val="center"/>
          </w:tcPr>
          <w:p w14:paraId="0DE6673B">
            <w:pPr>
              <w:contextualSpacing/>
              <w:jc w:val="center"/>
              <w:rPr>
                <w:rFonts w:hint="default" w:ascii="Times New Roman" w:hAnsi="Times New Roman" w:eastAsia="宋体" w:cs="Times New Roman"/>
                <w:color w:val="auto"/>
                <w:szCs w:val="21"/>
                <w:highlight w:val="none"/>
                <w:u w:val="none" w:color="auto"/>
                <w:lang w:val="en-US" w:eastAsia="zh-CN" w:bidi="ar"/>
              </w:rPr>
            </w:pPr>
          </w:p>
        </w:tc>
        <w:tc>
          <w:tcPr>
            <w:tcW w:w="536" w:type="pct"/>
            <w:vMerge w:val="continue"/>
            <w:tcBorders>
              <w:tl2br w:val="nil"/>
              <w:tr2bl w:val="nil"/>
            </w:tcBorders>
            <w:noWrap w:val="0"/>
            <w:vAlign w:val="center"/>
          </w:tcPr>
          <w:p w14:paraId="7F23780A">
            <w:pPr>
              <w:contextualSpacing/>
              <w:jc w:val="center"/>
              <w:rPr>
                <w:rFonts w:hint="default" w:ascii="Times New Roman" w:hAnsi="Times New Roman" w:eastAsia="宋体" w:cs="Times New Roman"/>
                <w:color w:val="auto"/>
                <w:szCs w:val="21"/>
                <w:highlight w:val="none"/>
                <w:u w:val="none" w:color="auto"/>
                <w:lang w:val="en-US" w:eastAsia="zh-CN" w:bidi="ar"/>
              </w:rPr>
            </w:pPr>
          </w:p>
        </w:tc>
        <w:tc>
          <w:tcPr>
            <w:tcW w:w="766" w:type="pct"/>
            <w:tcBorders>
              <w:tl2br w:val="nil"/>
              <w:tr2bl w:val="nil"/>
            </w:tcBorders>
            <w:noWrap w:val="0"/>
            <w:vAlign w:val="center"/>
          </w:tcPr>
          <w:p w14:paraId="6618FED2">
            <w:pPr>
              <w:contextualSpacing/>
              <w:jc w:val="center"/>
              <w:rPr>
                <w:rFonts w:hint="default" w:ascii="Times New Roman" w:hAnsi="Times New Roman" w:eastAsia="宋体" w:cs="Times New Roman"/>
                <w:color w:val="auto"/>
                <w:szCs w:val="21"/>
                <w:highlight w:val="none"/>
                <w:u w:val="none" w:color="auto"/>
                <w:lang w:val="en-US" w:eastAsia="zh-CN" w:bidi="ar"/>
              </w:rPr>
            </w:pPr>
            <w:r>
              <w:rPr>
                <w:rFonts w:hint="default" w:ascii="Times New Roman" w:hAnsi="Times New Roman" w:eastAsia="宋体" w:cs="Times New Roman"/>
                <w:color w:val="auto"/>
                <w:szCs w:val="21"/>
                <w:highlight w:val="none"/>
                <w:u w:val="none" w:color="auto"/>
                <w:lang w:val="en-US" w:eastAsia="zh-CN" w:bidi="ar"/>
              </w:rPr>
              <w:t>约1300（即电排站外区域）</w:t>
            </w:r>
          </w:p>
        </w:tc>
      </w:tr>
      <w:tr w14:paraId="332F23A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66" w:type="pct"/>
            <w:vMerge w:val="continue"/>
            <w:tcBorders>
              <w:tl2br w:val="nil"/>
              <w:tr2bl w:val="nil"/>
            </w:tcBorders>
            <w:noWrap w:val="0"/>
            <w:vAlign w:val="center"/>
          </w:tcPr>
          <w:p w14:paraId="58C4A75A">
            <w:pPr>
              <w:contextualSpacing/>
              <w:jc w:val="center"/>
              <w:rPr>
                <w:rFonts w:hint="default" w:ascii="Times New Roman" w:hAnsi="Times New Roman" w:eastAsia="宋体" w:cs="Times New Roman"/>
                <w:color w:val="auto"/>
                <w:szCs w:val="21"/>
                <w:highlight w:val="none"/>
                <w:u w:val="none" w:color="auto"/>
              </w:rPr>
            </w:pPr>
          </w:p>
        </w:tc>
        <w:tc>
          <w:tcPr>
            <w:tcW w:w="1749" w:type="pct"/>
            <w:gridSpan w:val="5"/>
            <w:tcBorders>
              <w:tl2br w:val="nil"/>
              <w:tr2bl w:val="nil"/>
            </w:tcBorders>
            <w:noWrap w:val="0"/>
            <w:vAlign w:val="center"/>
          </w:tcPr>
          <w:p w14:paraId="22D8306E">
            <w:pPr>
              <w:contextualSpacing/>
              <w:rPr>
                <w:rFonts w:hint="default" w:ascii="Times New Roman" w:hAnsi="Times New Roman" w:eastAsia="宋体" w:cs="Times New Roman"/>
                <w:color w:val="auto"/>
                <w:szCs w:val="21"/>
                <w:highlight w:val="none"/>
                <w:u w:val="none" w:color="auto"/>
                <w:lang w:bidi="ar"/>
              </w:rPr>
            </w:pPr>
            <w:r>
              <w:rPr>
                <w:rFonts w:hint="default" w:ascii="Times New Roman" w:hAnsi="Times New Roman" w:eastAsia="宋体" w:cs="Times New Roman"/>
                <w:color w:val="auto"/>
                <w:szCs w:val="21"/>
                <w:highlight w:val="none"/>
                <w:u w:val="none" w:color="auto"/>
                <w:lang w:bidi="ar"/>
              </w:rPr>
              <w:t>地表水环境敏感程度E值</w:t>
            </w:r>
          </w:p>
        </w:tc>
        <w:tc>
          <w:tcPr>
            <w:tcW w:w="2784" w:type="pct"/>
            <w:gridSpan w:val="6"/>
            <w:tcBorders>
              <w:tl2br w:val="nil"/>
              <w:tr2bl w:val="nil"/>
            </w:tcBorders>
            <w:noWrap w:val="0"/>
            <w:vAlign w:val="center"/>
          </w:tcPr>
          <w:p w14:paraId="0A9080A4">
            <w:pPr>
              <w:contextualSpacing/>
              <w:jc w:val="center"/>
              <w:rPr>
                <w:rFonts w:hint="default" w:ascii="Times New Roman" w:hAnsi="Times New Roman" w:eastAsia="宋体" w:cs="Times New Roman"/>
                <w:bCs/>
                <w:color w:val="auto"/>
                <w:szCs w:val="21"/>
                <w:highlight w:val="none"/>
                <w:u w:val="none" w:color="auto"/>
                <w:lang w:val="en-US" w:eastAsia="zh-CN" w:bidi="ar"/>
              </w:rPr>
            </w:pPr>
            <w:r>
              <w:rPr>
                <w:rFonts w:hint="default" w:ascii="Times New Roman" w:hAnsi="Times New Roman" w:eastAsia="宋体" w:cs="Times New Roman"/>
                <w:bCs/>
                <w:color w:val="auto"/>
                <w:szCs w:val="21"/>
                <w:highlight w:val="none"/>
                <w:u w:val="none" w:color="auto"/>
                <w:lang w:val="en-US" w:eastAsia="zh-CN" w:bidi="ar"/>
              </w:rPr>
              <w:t>E1</w:t>
            </w:r>
          </w:p>
        </w:tc>
      </w:tr>
      <w:tr w14:paraId="77FB623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66" w:type="pct"/>
            <w:vMerge w:val="restart"/>
            <w:tcBorders>
              <w:tl2br w:val="nil"/>
              <w:tr2bl w:val="nil"/>
            </w:tcBorders>
            <w:noWrap w:val="0"/>
            <w:vAlign w:val="center"/>
          </w:tcPr>
          <w:p w14:paraId="117E53E7">
            <w:pPr>
              <w:contextualSpacing/>
              <w:jc w:val="center"/>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rPr>
              <w:t>地下水</w:t>
            </w:r>
          </w:p>
        </w:tc>
        <w:tc>
          <w:tcPr>
            <w:tcW w:w="408" w:type="pct"/>
            <w:tcBorders>
              <w:tl2br w:val="nil"/>
              <w:tr2bl w:val="nil"/>
            </w:tcBorders>
            <w:noWrap w:val="0"/>
            <w:vAlign w:val="center"/>
          </w:tcPr>
          <w:p w14:paraId="59C3FA4D">
            <w:pPr>
              <w:contextualSpacing/>
              <w:jc w:val="center"/>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rPr>
              <w:t>序号</w:t>
            </w:r>
          </w:p>
        </w:tc>
        <w:tc>
          <w:tcPr>
            <w:tcW w:w="1089" w:type="pct"/>
            <w:gridSpan w:val="2"/>
            <w:tcBorders>
              <w:tl2br w:val="nil"/>
              <w:tr2bl w:val="nil"/>
            </w:tcBorders>
            <w:noWrap w:val="0"/>
            <w:vAlign w:val="center"/>
          </w:tcPr>
          <w:p w14:paraId="7FC8D4BF">
            <w:pPr>
              <w:contextualSpacing/>
              <w:jc w:val="center"/>
              <w:rPr>
                <w:rFonts w:hint="default" w:ascii="Times New Roman" w:hAnsi="Times New Roman" w:eastAsia="宋体" w:cs="Times New Roman"/>
                <w:color w:val="auto"/>
                <w:szCs w:val="21"/>
                <w:highlight w:val="none"/>
                <w:u w:val="none" w:color="auto"/>
                <w:lang w:bidi="ar"/>
              </w:rPr>
            </w:pPr>
            <w:r>
              <w:rPr>
                <w:rFonts w:hint="default" w:ascii="Times New Roman" w:hAnsi="Times New Roman" w:eastAsia="宋体" w:cs="Times New Roman"/>
                <w:color w:val="auto"/>
                <w:szCs w:val="21"/>
                <w:highlight w:val="none"/>
                <w:u w:val="none" w:color="auto"/>
                <w:lang w:bidi="ar"/>
              </w:rPr>
              <w:t>敏感目标名称</w:t>
            </w:r>
          </w:p>
        </w:tc>
        <w:tc>
          <w:tcPr>
            <w:tcW w:w="899" w:type="pct"/>
            <w:gridSpan w:val="4"/>
            <w:tcBorders>
              <w:tl2br w:val="nil"/>
              <w:tr2bl w:val="nil"/>
            </w:tcBorders>
            <w:noWrap w:val="0"/>
            <w:vAlign w:val="center"/>
          </w:tcPr>
          <w:p w14:paraId="58BF3005">
            <w:pPr>
              <w:contextualSpacing/>
              <w:jc w:val="center"/>
              <w:rPr>
                <w:rFonts w:hint="default" w:ascii="Times New Roman" w:hAnsi="Times New Roman" w:eastAsia="宋体" w:cs="Times New Roman"/>
                <w:color w:val="auto"/>
                <w:szCs w:val="21"/>
                <w:highlight w:val="none"/>
                <w:u w:val="none" w:color="auto"/>
                <w:lang w:bidi="ar"/>
              </w:rPr>
            </w:pPr>
            <w:r>
              <w:rPr>
                <w:rFonts w:hint="default" w:ascii="Times New Roman" w:hAnsi="Times New Roman" w:eastAsia="宋体" w:cs="Times New Roman"/>
                <w:color w:val="auto"/>
                <w:szCs w:val="21"/>
                <w:highlight w:val="none"/>
                <w:u w:val="none" w:color="auto"/>
                <w:lang w:bidi="ar"/>
              </w:rPr>
              <w:t>环境敏感特征</w:t>
            </w:r>
          </w:p>
        </w:tc>
        <w:tc>
          <w:tcPr>
            <w:tcW w:w="833" w:type="pct"/>
            <w:gridSpan w:val="2"/>
            <w:tcBorders>
              <w:tl2br w:val="nil"/>
              <w:tr2bl w:val="nil"/>
            </w:tcBorders>
            <w:noWrap w:val="0"/>
            <w:vAlign w:val="center"/>
          </w:tcPr>
          <w:p w14:paraId="0FCCC471">
            <w:pPr>
              <w:contextualSpacing/>
              <w:jc w:val="center"/>
              <w:rPr>
                <w:rFonts w:hint="default" w:ascii="Times New Roman" w:hAnsi="Times New Roman" w:eastAsia="宋体" w:cs="Times New Roman"/>
                <w:color w:val="auto"/>
                <w:szCs w:val="21"/>
                <w:highlight w:val="none"/>
                <w:u w:val="none" w:color="auto"/>
                <w:lang w:bidi="ar"/>
              </w:rPr>
            </w:pPr>
            <w:r>
              <w:rPr>
                <w:rFonts w:hint="default" w:ascii="Times New Roman" w:hAnsi="Times New Roman" w:eastAsia="宋体" w:cs="Times New Roman"/>
                <w:color w:val="auto"/>
                <w:szCs w:val="21"/>
                <w:highlight w:val="none"/>
                <w:u w:val="none" w:color="auto"/>
                <w:lang w:bidi="ar"/>
              </w:rPr>
              <w:t>水质目标</w:t>
            </w:r>
          </w:p>
        </w:tc>
        <w:tc>
          <w:tcPr>
            <w:tcW w:w="536" w:type="pct"/>
            <w:tcBorders>
              <w:tl2br w:val="nil"/>
              <w:tr2bl w:val="nil"/>
            </w:tcBorders>
            <w:noWrap w:val="0"/>
            <w:vAlign w:val="center"/>
          </w:tcPr>
          <w:p w14:paraId="5D1EBE7C">
            <w:pPr>
              <w:contextualSpacing/>
              <w:jc w:val="center"/>
              <w:rPr>
                <w:rFonts w:hint="default" w:ascii="Times New Roman" w:hAnsi="Times New Roman" w:eastAsia="宋体" w:cs="Times New Roman"/>
                <w:color w:val="auto"/>
                <w:szCs w:val="21"/>
                <w:highlight w:val="none"/>
                <w:u w:val="none" w:color="auto"/>
                <w:lang w:bidi="ar"/>
              </w:rPr>
            </w:pPr>
            <w:r>
              <w:rPr>
                <w:rFonts w:hint="default" w:ascii="Times New Roman" w:hAnsi="Times New Roman" w:eastAsia="宋体" w:cs="Times New Roman"/>
                <w:color w:val="auto"/>
                <w:szCs w:val="21"/>
                <w:highlight w:val="none"/>
                <w:u w:val="none" w:color="auto"/>
                <w:lang w:bidi="ar"/>
              </w:rPr>
              <w:t>包气带防污性能</w:t>
            </w:r>
          </w:p>
        </w:tc>
        <w:tc>
          <w:tcPr>
            <w:tcW w:w="766" w:type="pct"/>
            <w:tcBorders>
              <w:tl2br w:val="nil"/>
              <w:tr2bl w:val="nil"/>
            </w:tcBorders>
            <w:noWrap w:val="0"/>
            <w:vAlign w:val="center"/>
          </w:tcPr>
          <w:p w14:paraId="3577608E">
            <w:pPr>
              <w:contextualSpacing/>
              <w:jc w:val="center"/>
              <w:rPr>
                <w:rFonts w:hint="default" w:ascii="Times New Roman" w:hAnsi="Times New Roman" w:eastAsia="宋体" w:cs="Times New Roman"/>
                <w:bCs/>
                <w:color w:val="auto"/>
                <w:szCs w:val="21"/>
                <w:highlight w:val="none"/>
                <w:u w:val="none" w:color="auto"/>
                <w:lang w:bidi="ar"/>
              </w:rPr>
            </w:pPr>
            <w:r>
              <w:rPr>
                <w:rFonts w:hint="default" w:ascii="Times New Roman" w:hAnsi="Times New Roman" w:eastAsia="宋体" w:cs="Times New Roman"/>
                <w:bCs/>
                <w:color w:val="auto"/>
                <w:szCs w:val="21"/>
                <w:highlight w:val="none"/>
                <w:u w:val="none" w:color="auto"/>
                <w:lang w:bidi="ar"/>
              </w:rPr>
              <w:t>与下游厂界距离/m</w:t>
            </w:r>
          </w:p>
        </w:tc>
      </w:tr>
      <w:tr w14:paraId="41E314E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66" w:type="pct"/>
            <w:vMerge w:val="continue"/>
            <w:tcBorders>
              <w:tl2br w:val="nil"/>
              <w:tr2bl w:val="nil"/>
            </w:tcBorders>
            <w:noWrap w:val="0"/>
            <w:vAlign w:val="center"/>
          </w:tcPr>
          <w:p w14:paraId="766FD45E">
            <w:pPr>
              <w:contextualSpacing/>
              <w:jc w:val="center"/>
              <w:rPr>
                <w:rFonts w:hint="default" w:ascii="Times New Roman" w:hAnsi="Times New Roman" w:eastAsia="宋体" w:cs="Times New Roman"/>
                <w:color w:val="auto"/>
                <w:szCs w:val="21"/>
                <w:highlight w:val="none"/>
                <w:u w:val="none" w:color="auto"/>
              </w:rPr>
            </w:pPr>
          </w:p>
        </w:tc>
        <w:tc>
          <w:tcPr>
            <w:tcW w:w="408" w:type="pct"/>
            <w:tcBorders>
              <w:tl2br w:val="nil"/>
              <w:tr2bl w:val="nil"/>
            </w:tcBorders>
            <w:noWrap w:val="0"/>
            <w:vAlign w:val="center"/>
          </w:tcPr>
          <w:p w14:paraId="4F15C7A8">
            <w:pPr>
              <w:contextualSpacing/>
              <w:jc w:val="center"/>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rPr>
              <w:t>1</w:t>
            </w:r>
          </w:p>
        </w:tc>
        <w:tc>
          <w:tcPr>
            <w:tcW w:w="1089" w:type="pct"/>
            <w:gridSpan w:val="2"/>
            <w:tcBorders>
              <w:tl2br w:val="nil"/>
              <w:tr2bl w:val="nil"/>
            </w:tcBorders>
            <w:noWrap w:val="0"/>
            <w:vAlign w:val="center"/>
          </w:tcPr>
          <w:p w14:paraId="70E7C460">
            <w:pPr>
              <w:contextualSpacing/>
              <w:jc w:val="center"/>
              <w:rPr>
                <w:rFonts w:hint="default" w:ascii="Times New Roman" w:hAnsi="Times New Roman" w:eastAsia="宋体" w:cs="Times New Roman"/>
                <w:color w:val="auto"/>
                <w:szCs w:val="21"/>
                <w:highlight w:val="none"/>
                <w:u w:val="none" w:color="auto"/>
                <w:lang w:bidi="ar"/>
              </w:rPr>
            </w:pPr>
            <w:r>
              <w:rPr>
                <w:rFonts w:hint="default" w:ascii="Times New Roman" w:hAnsi="Times New Roman" w:eastAsia="宋体" w:cs="Times New Roman"/>
                <w:color w:val="auto"/>
                <w:szCs w:val="21"/>
                <w:highlight w:val="none"/>
                <w:u w:val="none" w:color="auto"/>
                <w:lang w:bidi="ar"/>
              </w:rPr>
              <w:t>区域地下水环境</w:t>
            </w:r>
          </w:p>
        </w:tc>
        <w:tc>
          <w:tcPr>
            <w:tcW w:w="899" w:type="pct"/>
            <w:gridSpan w:val="4"/>
            <w:tcBorders>
              <w:tl2br w:val="nil"/>
              <w:tr2bl w:val="nil"/>
            </w:tcBorders>
            <w:noWrap w:val="0"/>
            <w:vAlign w:val="center"/>
          </w:tcPr>
          <w:p w14:paraId="0DBD79E6">
            <w:pPr>
              <w:contextualSpacing/>
              <w:jc w:val="center"/>
              <w:rPr>
                <w:rFonts w:hint="default" w:ascii="Times New Roman" w:hAnsi="Times New Roman" w:eastAsia="宋体" w:cs="Times New Roman"/>
                <w:color w:val="auto"/>
                <w:szCs w:val="21"/>
                <w:highlight w:val="none"/>
                <w:u w:val="none" w:color="auto"/>
                <w:lang w:val="en-US" w:eastAsia="zh-CN" w:bidi="ar"/>
              </w:rPr>
            </w:pPr>
            <w:r>
              <w:rPr>
                <w:rFonts w:hint="default" w:ascii="Times New Roman" w:hAnsi="Times New Roman" w:eastAsia="宋体" w:cs="Times New Roman"/>
                <w:color w:val="auto"/>
                <w:szCs w:val="21"/>
                <w:highlight w:val="none"/>
                <w:u w:val="none" w:color="auto"/>
                <w:lang w:val="en-US" w:eastAsia="zh-CN" w:bidi="ar"/>
              </w:rPr>
              <w:t>无集中式饮用水源等敏感区</w:t>
            </w:r>
          </w:p>
        </w:tc>
        <w:tc>
          <w:tcPr>
            <w:tcW w:w="833" w:type="pct"/>
            <w:gridSpan w:val="2"/>
            <w:tcBorders>
              <w:tl2br w:val="nil"/>
              <w:tr2bl w:val="nil"/>
            </w:tcBorders>
            <w:noWrap w:val="0"/>
            <w:vAlign w:val="center"/>
          </w:tcPr>
          <w:p w14:paraId="1AE95DBF">
            <w:pPr>
              <w:contextualSpacing/>
              <w:jc w:val="center"/>
              <w:rPr>
                <w:rFonts w:hint="default" w:ascii="Times New Roman" w:hAnsi="Times New Roman" w:eastAsia="宋体" w:cs="Times New Roman"/>
                <w:color w:val="auto"/>
                <w:szCs w:val="21"/>
                <w:highlight w:val="none"/>
                <w:u w:val="none" w:color="auto"/>
                <w:lang w:bidi="ar"/>
              </w:rPr>
            </w:pPr>
            <w:r>
              <w:rPr>
                <w:rFonts w:hint="default" w:ascii="Times New Roman" w:hAnsi="Times New Roman" w:eastAsia="宋体" w:cs="Times New Roman"/>
                <w:color w:val="auto"/>
                <w:szCs w:val="21"/>
                <w:highlight w:val="none"/>
                <w:u w:val="none" w:color="auto"/>
                <w:lang w:bidi="ar"/>
              </w:rPr>
              <w:t>Ⅲ类</w:t>
            </w:r>
          </w:p>
        </w:tc>
        <w:tc>
          <w:tcPr>
            <w:tcW w:w="536" w:type="pct"/>
            <w:tcBorders>
              <w:tl2br w:val="nil"/>
              <w:tr2bl w:val="nil"/>
            </w:tcBorders>
            <w:noWrap w:val="0"/>
            <w:vAlign w:val="center"/>
          </w:tcPr>
          <w:p w14:paraId="2B81EAA1">
            <w:pPr>
              <w:contextualSpacing/>
              <w:jc w:val="center"/>
              <w:rPr>
                <w:rFonts w:hint="default" w:ascii="Times New Roman" w:hAnsi="Times New Roman" w:eastAsia="宋体" w:cs="Times New Roman"/>
                <w:color w:val="auto"/>
                <w:szCs w:val="21"/>
                <w:highlight w:val="none"/>
                <w:u w:val="none" w:color="auto"/>
                <w:lang w:val="en-US" w:eastAsia="zh-CN" w:bidi="ar"/>
              </w:rPr>
            </w:pPr>
            <w:r>
              <w:rPr>
                <w:rFonts w:hint="default" w:ascii="Times New Roman" w:hAnsi="Times New Roman" w:eastAsia="宋体" w:cs="Times New Roman"/>
                <w:color w:val="auto"/>
                <w:szCs w:val="21"/>
                <w:highlight w:val="none"/>
                <w:u w:val="none" w:color="auto"/>
                <w:lang w:bidi="ar"/>
              </w:rPr>
              <w:t>D</w:t>
            </w:r>
            <w:r>
              <w:rPr>
                <w:rFonts w:hint="default" w:ascii="Times New Roman" w:hAnsi="Times New Roman" w:eastAsia="宋体" w:cs="Times New Roman"/>
                <w:color w:val="auto"/>
                <w:szCs w:val="21"/>
                <w:highlight w:val="none"/>
                <w:u w:val="none" w:color="auto"/>
                <w:lang w:val="en-US" w:eastAsia="zh-CN" w:bidi="ar"/>
              </w:rPr>
              <w:t>2</w:t>
            </w:r>
          </w:p>
        </w:tc>
        <w:tc>
          <w:tcPr>
            <w:tcW w:w="766" w:type="pct"/>
            <w:tcBorders>
              <w:tl2br w:val="nil"/>
              <w:tr2bl w:val="nil"/>
            </w:tcBorders>
            <w:noWrap w:val="0"/>
            <w:vAlign w:val="center"/>
          </w:tcPr>
          <w:p w14:paraId="1E118D94">
            <w:pPr>
              <w:contextualSpacing/>
              <w:jc w:val="center"/>
              <w:rPr>
                <w:rFonts w:hint="default" w:ascii="Times New Roman" w:hAnsi="Times New Roman" w:eastAsia="宋体" w:cs="Times New Roman"/>
                <w:bCs/>
                <w:color w:val="auto"/>
                <w:szCs w:val="21"/>
                <w:highlight w:val="none"/>
                <w:u w:val="none" w:color="auto"/>
                <w:lang w:bidi="ar"/>
              </w:rPr>
            </w:pPr>
            <w:r>
              <w:rPr>
                <w:rFonts w:hint="default" w:ascii="Times New Roman" w:hAnsi="Times New Roman" w:eastAsia="宋体" w:cs="Times New Roman"/>
                <w:bCs/>
                <w:color w:val="auto"/>
                <w:szCs w:val="21"/>
                <w:highlight w:val="none"/>
                <w:u w:val="none" w:color="auto"/>
                <w:lang w:bidi="ar"/>
              </w:rPr>
              <w:t>-</w:t>
            </w:r>
          </w:p>
        </w:tc>
      </w:tr>
      <w:tr w14:paraId="1426909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66" w:type="pct"/>
            <w:vMerge w:val="continue"/>
            <w:tcBorders>
              <w:tl2br w:val="nil"/>
              <w:tr2bl w:val="nil"/>
            </w:tcBorders>
            <w:noWrap w:val="0"/>
            <w:vAlign w:val="center"/>
          </w:tcPr>
          <w:p w14:paraId="481BA0C3">
            <w:pPr>
              <w:contextualSpacing/>
              <w:jc w:val="center"/>
              <w:rPr>
                <w:rFonts w:hint="default" w:ascii="Times New Roman" w:hAnsi="Times New Roman" w:eastAsia="宋体" w:cs="Times New Roman"/>
                <w:color w:val="auto"/>
                <w:szCs w:val="21"/>
                <w:highlight w:val="none"/>
                <w:u w:val="none" w:color="auto"/>
              </w:rPr>
            </w:pPr>
          </w:p>
        </w:tc>
        <w:tc>
          <w:tcPr>
            <w:tcW w:w="3766" w:type="pct"/>
            <w:gridSpan w:val="10"/>
            <w:tcBorders>
              <w:tl2br w:val="nil"/>
              <w:tr2bl w:val="nil"/>
            </w:tcBorders>
            <w:noWrap w:val="0"/>
            <w:vAlign w:val="center"/>
          </w:tcPr>
          <w:p w14:paraId="7750F63A">
            <w:pPr>
              <w:contextualSpacing/>
              <w:rPr>
                <w:rFonts w:hint="default" w:ascii="Times New Roman" w:hAnsi="Times New Roman" w:eastAsia="宋体" w:cs="Times New Roman"/>
                <w:color w:val="auto"/>
                <w:szCs w:val="21"/>
                <w:highlight w:val="none"/>
                <w:u w:val="none" w:color="auto"/>
                <w:lang w:bidi="ar"/>
              </w:rPr>
            </w:pPr>
            <w:r>
              <w:rPr>
                <w:rFonts w:hint="default" w:ascii="Times New Roman" w:hAnsi="Times New Roman" w:eastAsia="宋体" w:cs="Times New Roman"/>
                <w:color w:val="auto"/>
                <w:szCs w:val="21"/>
                <w:highlight w:val="none"/>
                <w:u w:val="none" w:color="auto"/>
                <w:lang w:bidi="ar"/>
              </w:rPr>
              <w:t>地下水环境敏感程度E值</w:t>
            </w:r>
          </w:p>
        </w:tc>
        <w:tc>
          <w:tcPr>
            <w:tcW w:w="766" w:type="pct"/>
            <w:tcBorders>
              <w:tl2br w:val="nil"/>
              <w:tr2bl w:val="nil"/>
            </w:tcBorders>
            <w:noWrap w:val="0"/>
            <w:vAlign w:val="center"/>
          </w:tcPr>
          <w:p w14:paraId="52272EC5">
            <w:pPr>
              <w:contextualSpacing/>
              <w:jc w:val="center"/>
              <w:rPr>
                <w:rFonts w:hint="default" w:ascii="Times New Roman" w:hAnsi="Times New Roman" w:eastAsia="宋体" w:cs="Times New Roman"/>
                <w:bCs/>
                <w:color w:val="auto"/>
                <w:szCs w:val="21"/>
                <w:highlight w:val="none"/>
                <w:u w:val="none" w:color="auto"/>
                <w:lang w:val="en-US" w:eastAsia="zh-CN" w:bidi="ar"/>
              </w:rPr>
            </w:pPr>
            <w:r>
              <w:rPr>
                <w:rFonts w:hint="default" w:ascii="Times New Roman" w:hAnsi="Times New Roman" w:eastAsia="宋体" w:cs="Times New Roman"/>
                <w:bCs/>
                <w:color w:val="auto"/>
                <w:szCs w:val="21"/>
                <w:highlight w:val="none"/>
                <w:u w:val="none" w:color="auto"/>
                <w:lang w:bidi="ar"/>
              </w:rPr>
              <w:t>E</w:t>
            </w:r>
            <w:r>
              <w:rPr>
                <w:rFonts w:hint="default" w:ascii="Times New Roman" w:hAnsi="Times New Roman" w:eastAsia="宋体" w:cs="Times New Roman"/>
                <w:bCs/>
                <w:color w:val="auto"/>
                <w:szCs w:val="21"/>
                <w:highlight w:val="none"/>
                <w:u w:val="none" w:color="auto"/>
                <w:lang w:val="en-US" w:eastAsia="zh-CN" w:bidi="ar"/>
              </w:rPr>
              <w:t>3</w:t>
            </w:r>
          </w:p>
        </w:tc>
      </w:tr>
    </w:tbl>
    <w:p w14:paraId="2F3E77E6">
      <w:pPr>
        <w:pStyle w:val="3"/>
        <w:numPr>
          <w:ilvl w:val="0"/>
          <w:numId w:val="0"/>
        </w:numPr>
        <w:outlineLvl w:val="0"/>
        <w:rPr>
          <w:rFonts w:hint="default" w:ascii="Times New Roman" w:hAnsi="Times New Roman" w:eastAsia="宋体" w:cs="Times New Roman"/>
          <w:color w:val="auto"/>
          <w:szCs w:val="28"/>
          <w:u w:val="none" w:color="auto"/>
        </w:rPr>
      </w:pPr>
      <w:r>
        <w:rPr>
          <w:rFonts w:hint="default" w:ascii="Times New Roman" w:hAnsi="Times New Roman" w:eastAsia="宋体" w:cs="Times New Roman"/>
          <w:color w:val="auto"/>
          <w:sz w:val="32"/>
          <w:u w:val="none" w:color="auto"/>
        </w:rPr>
        <w:br w:type="page"/>
      </w:r>
      <w:bookmarkStart w:id="154" w:name="_Toc12646"/>
      <w:bookmarkStart w:id="155" w:name="_Toc32214"/>
      <w:bookmarkStart w:id="156" w:name="_Toc5759"/>
      <w:bookmarkStart w:id="157" w:name="_Toc21654"/>
      <w:bookmarkStart w:id="158" w:name="_Toc25419"/>
      <w:bookmarkStart w:id="159" w:name="_Toc31992"/>
      <w:bookmarkStart w:id="160" w:name="_Toc32265"/>
      <w:bookmarkStart w:id="161" w:name="_Toc12269"/>
      <w:bookmarkStart w:id="162" w:name="_Toc25249"/>
      <w:bookmarkStart w:id="163" w:name="_Toc28701"/>
      <w:bookmarkStart w:id="164" w:name="_Toc23282"/>
      <w:bookmarkStart w:id="165" w:name="_Toc25377"/>
      <w:bookmarkStart w:id="166" w:name="_Toc1024"/>
      <w:r>
        <w:rPr>
          <w:rFonts w:hint="default" w:ascii="Times New Roman" w:hAnsi="Times New Roman" w:eastAsia="宋体" w:cs="Times New Roman"/>
          <w:color w:val="auto"/>
          <w:kern w:val="2"/>
          <w:sz w:val="32"/>
          <w:u w:val="none" w:color="auto"/>
        </w:rPr>
        <w:t>2 评价依据</w:t>
      </w:r>
      <w:bookmarkEnd w:id="154"/>
      <w:bookmarkEnd w:id="155"/>
      <w:bookmarkEnd w:id="156"/>
      <w:bookmarkEnd w:id="157"/>
      <w:bookmarkEnd w:id="158"/>
      <w:bookmarkEnd w:id="159"/>
      <w:bookmarkEnd w:id="160"/>
      <w:bookmarkEnd w:id="161"/>
      <w:bookmarkEnd w:id="162"/>
      <w:bookmarkEnd w:id="163"/>
      <w:bookmarkEnd w:id="164"/>
      <w:bookmarkEnd w:id="165"/>
      <w:bookmarkEnd w:id="166"/>
    </w:p>
    <w:p w14:paraId="288111C7">
      <w:pPr>
        <w:pStyle w:val="4"/>
        <w:numPr>
          <w:ilvl w:val="1"/>
          <w:numId w:val="0"/>
        </w:numPr>
        <w:spacing w:before="120" w:after="120" w:line="360" w:lineRule="auto"/>
        <w:contextualSpacing/>
        <w:rPr>
          <w:rFonts w:hint="default" w:ascii="Times New Roman" w:hAnsi="Times New Roman" w:eastAsia="宋体" w:cs="Times New Roman"/>
          <w:b/>
          <w:bCs w:val="0"/>
          <w:color w:val="auto"/>
          <w:sz w:val="28"/>
          <w:u w:val="none" w:color="auto"/>
        </w:rPr>
      </w:pPr>
      <w:bookmarkStart w:id="167" w:name="_Toc15315"/>
      <w:bookmarkStart w:id="168" w:name="_Toc29492"/>
      <w:bookmarkStart w:id="169" w:name="_Toc20345"/>
      <w:bookmarkStart w:id="170" w:name="_Toc31900"/>
      <w:r>
        <w:rPr>
          <w:rFonts w:hint="default" w:ascii="Times New Roman" w:hAnsi="Times New Roman" w:eastAsia="宋体" w:cs="Times New Roman"/>
          <w:b/>
          <w:bCs w:val="0"/>
          <w:color w:val="auto"/>
          <w:sz w:val="28"/>
          <w:u w:val="none" w:color="auto"/>
        </w:rPr>
        <w:t>2.1 风险调查</w:t>
      </w:r>
      <w:bookmarkEnd w:id="167"/>
      <w:bookmarkEnd w:id="168"/>
      <w:bookmarkEnd w:id="169"/>
      <w:bookmarkEnd w:id="170"/>
    </w:p>
    <w:p w14:paraId="4D0DC7D9">
      <w:pPr>
        <w:spacing w:line="360" w:lineRule="auto"/>
        <w:ind w:firstLine="482"/>
        <w:rPr>
          <w:rFonts w:hint="default" w:ascii="Times New Roman" w:hAnsi="Times New Roman" w:eastAsia="宋体" w:cs="Times New Roman"/>
          <w:bCs/>
          <w:color w:val="auto"/>
          <w:sz w:val="24"/>
          <w:szCs w:val="24"/>
          <w:u w:val="none" w:color="auto"/>
          <w:lang w:val="en-US" w:eastAsia="zh-CN"/>
        </w:rPr>
      </w:pPr>
      <w:r>
        <w:rPr>
          <w:rFonts w:hint="default" w:ascii="Times New Roman" w:hAnsi="Times New Roman" w:eastAsia="宋体" w:cs="Times New Roman"/>
          <w:color w:val="auto"/>
          <w:sz w:val="24"/>
          <w:highlight w:val="none"/>
          <w:u w:val="none" w:color="auto"/>
          <w:lang w:val="en-US" w:eastAsia="zh-CN"/>
        </w:rPr>
        <w:t>本次风险专项评价作为</w:t>
      </w:r>
      <w:r>
        <w:rPr>
          <w:rFonts w:hint="default" w:ascii="Times New Roman" w:hAnsi="Times New Roman" w:eastAsia="宋体" w:cs="Times New Roman"/>
          <w:bCs/>
          <w:color w:val="auto"/>
          <w:sz w:val="24"/>
          <w:szCs w:val="24"/>
          <w:u w:val="none" w:color="auto"/>
        </w:rPr>
        <w:t>项目环境影响报告表的补充和完善</w:t>
      </w:r>
      <w:r>
        <w:rPr>
          <w:rFonts w:hint="default" w:ascii="Times New Roman" w:hAnsi="Times New Roman" w:eastAsia="宋体" w:cs="Times New Roman"/>
          <w:bCs/>
          <w:color w:val="auto"/>
          <w:sz w:val="24"/>
          <w:szCs w:val="24"/>
          <w:u w:val="none" w:color="auto"/>
          <w:lang w:eastAsia="zh-CN"/>
        </w:rPr>
        <w:t>，</w:t>
      </w:r>
      <w:r>
        <w:rPr>
          <w:rFonts w:hint="default" w:ascii="Times New Roman" w:hAnsi="Times New Roman" w:eastAsia="宋体" w:cs="Times New Roman"/>
          <w:bCs/>
          <w:color w:val="auto"/>
          <w:sz w:val="24"/>
          <w:szCs w:val="24"/>
          <w:u w:val="none" w:color="auto"/>
          <w:lang w:val="en-US" w:eastAsia="zh-CN"/>
        </w:rPr>
        <w:t>本次风险调查范围主要为与本项目相关区域，且风险单元无法分割的部分，具体包含铝合金熔铸一厂、铝合金熔铸二厂、危废暂存库、空压站、废水处理站等区域。与本项目风险单元可分割，且不涉及区域不在本次风险调查范围内，如铝锂车间、挤压车间、喷丸打磨房等。</w:t>
      </w:r>
    </w:p>
    <w:p w14:paraId="41C0756D">
      <w:pPr>
        <w:spacing w:line="360" w:lineRule="auto"/>
        <w:ind w:firstLine="482"/>
        <w:rPr>
          <w:rFonts w:hint="default" w:ascii="Times New Roman" w:hAnsi="Times New Roman" w:eastAsia="宋体" w:cs="Times New Roman"/>
          <w:color w:val="auto"/>
          <w:sz w:val="24"/>
          <w:u w:val="none" w:color="auto"/>
          <w:lang w:val="zh-CN"/>
        </w:rPr>
      </w:pPr>
      <w:r>
        <w:rPr>
          <w:rFonts w:hint="default" w:ascii="Times New Roman" w:hAnsi="Times New Roman" w:eastAsia="宋体" w:cs="Times New Roman"/>
          <w:color w:val="auto"/>
          <w:sz w:val="24"/>
          <w:highlight w:val="none"/>
          <w:u w:val="none" w:color="auto"/>
          <w:lang w:val="zh-CN"/>
        </w:rPr>
        <w:t>根据对建设项目危险物质的调查情况及收集的危险物质安全技术说明书等资料，本项目主要危险物质为润滑油、液压油、</w:t>
      </w:r>
      <w:r>
        <w:rPr>
          <w:rFonts w:hint="default" w:ascii="Times New Roman" w:hAnsi="Times New Roman" w:eastAsia="宋体" w:cs="Times New Roman"/>
          <w:color w:val="auto"/>
          <w:sz w:val="24"/>
          <w:highlight w:val="none"/>
          <w:u w:val="none" w:color="auto"/>
          <w:lang w:val="en-US" w:eastAsia="zh-CN"/>
        </w:rPr>
        <w:t>铝灰渣及二次铝灰渣</w:t>
      </w:r>
      <w:r>
        <w:rPr>
          <w:rFonts w:hint="default" w:ascii="Times New Roman" w:hAnsi="Times New Roman" w:eastAsia="宋体" w:cs="Times New Roman"/>
          <w:color w:val="auto"/>
          <w:sz w:val="24"/>
          <w:highlight w:val="none"/>
          <w:u w:val="none" w:color="auto"/>
          <w:lang w:val="zh-CN"/>
        </w:rPr>
        <w:t>等</w:t>
      </w:r>
      <w:r>
        <w:rPr>
          <w:rFonts w:hint="default" w:ascii="Times New Roman" w:hAnsi="Times New Roman" w:eastAsia="宋体" w:cs="Times New Roman"/>
          <w:color w:val="auto"/>
          <w:sz w:val="24"/>
          <w:highlight w:val="none"/>
          <w:u w:val="none" w:color="auto"/>
          <w:lang w:val="en-US" w:eastAsia="zh-CN"/>
        </w:rPr>
        <w:t>风险物质</w:t>
      </w:r>
      <w:r>
        <w:rPr>
          <w:rFonts w:hint="default" w:ascii="Times New Roman" w:hAnsi="Times New Roman" w:eastAsia="宋体" w:cs="Times New Roman"/>
          <w:color w:val="auto"/>
          <w:sz w:val="24"/>
          <w:u w:val="none" w:color="auto"/>
          <w:lang w:val="zh-CN"/>
        </w:rPr>
        <w:t>。</w:t>
      </w:r>
    </w:p>
    <w:p w14:paraId="4839B2C9">
      <w:pPr>
        <w:pStyle w:val="4"/>
        <w:numPr>
          <w:ilvl w:val="1"/>
          <w:numId w:val="0"/>
        </w:numPr>
        <w:spacing w:before="120" w:after="120" w:line="360" w:lineRule="auto"/>
        <w:contextualSpacing/>
        <w:rPr>
          <w:rFonts w:hint="default" w:ascii="Times New Roman" w:hAnsi="Times New Roman" w:eastAsia="宋体" w:cs="Times New Roman"/>
          <w:b/>
          <w:bCs w:val="0"/>
          <w:color w:val="auto"/>
          <w:sz w:val="28"/>
          <w:u w:val="none" w:color="auto"/>
        </w:rPr>
      </w:pPr>
      <w:bookmarkStart w:id="171" w:name="_Toc17303"/>
      <w:bookmarkStart w:id="172" w:name="_Toc3618"/>
      <w:r>
        <w:rPr>
          <w:rFonts w:hint="default" w:ascii="Times New Roman" w:hAnsi="Times New Roman" w:eastAsia="宋体" w:cs="Times New Roman"/>
          <w:b/>
          <w:bCs w:val="0"/>
          <w:color w:val="auto"/>
          <w:sz w:val="28"/>
          <w:u w:val="none" w:color="auto"/>
        </w:rPr>
        <w:t>2.2 危险物质及工艺系统危险性P分级确定</w:t>
      </w:r>
      <w:bookmarkEnd w:id="171"/>
      <w:bookmarkEnd w:id="172"/>
    </w:p>
    <w:p w14:paraId="0EFB686C">
      <w:pPr>
        <w:spacing w:line="360" w:lineRule="auto"/>
        <w:ind w:firstLine="482" w:firstLineChars="200"/>
        <w:rPr>
          <w:rFonts w:hint="default" w:ascii="Times New Roman" w:hAnsi="Times New Roman" w:eastAsia="宋体" w:cs="Times New Roman"/>
          <w:b/>
          <w:bCs/>
          <w:color w:val="auto"/>
          <w:sz w:val="24"/>
          <w:u w:val="none" w:color="auto"/>
          <w:lang w:val="zh-CN"/>
        </w:rPr>
      </w:pPr>
      <w:r>
        <w:rPr>
          <w:rFonts w:hint="default" w:ascii="Times New Roman" w:hAnsi="Times New Roman" w:eastAsia="宋体" w:cs="Times New Roman"/>
          <w:b/>
          <w:bCs/>
          <w:color w:val="auto"/>
          <w:sz w:val="24"/>
          <w:u w:val="none" w:color="auto"/>
        </w:rPr>
        <w:t>2.2.</w:t>
      </w:r>
      <w:r>
        <w:rPr>
          <w:rFonts w:hint="default" w:ascii="Times New Roman" w:hAnsi="Times New Roman" w:eastAsia="宋体" w:cs="Times New Roman"/>
          <w:b/>
          <w:bCs/>
          <w:color w:val="auto"/>
          <w:sz w:val="24"/>
          <w:u w:val="none" w:color="auto"/>
          <w:lang w:val="zh-CN"/>
        </w:rPr>
        <w:t>1、危险物质数量与临界量比值Q</w:t>
      </w:r>
    </w:p>
    <w:p w14:paraId="569C7B44">
      <w:pPr>
        <w:spacing w:line="360" w:lineRule="auto"/>
        <w:ind w:firstLine="480" w:firstLineChars="200"/>
        <w:rPr>
          <w:rFonts w:hint="default" w:ascii="Times New Roman" w:hAnsi="Times New Roman" w:eastAsia="宋体" w:cs="Times New Roman"/>
          <w:color w:val="auto"/>
          <w:sz w:val="24"/>
          <w:u w:val="none" w:color="auto"/>
          <w:lang w:val="zh-CN"/>
        </w:rPr>
      </w:pPr>
      <w:r>
        <w:rPr>
          <w:rFonts w:hint="default" w:ascii="Times New Roman" w:hAnsi="Times New Roman" w:eastAsia="宋体" w:cs="Times New Roman"/>
          <w:color w:val="auto"/>
          <w:sz w:val="24"/>
          <w:u w:val="none" w:color="auto"/>
          <w:lang w:val="zh-CN"/>
        </w:rPr>
        <w:t>根据《建设项目环境风险</w:t>
      </w:r>
      <w:r>
        <w:rPr>
          <w:rFonts w:hint="default" w:ascii="Times New Roman" w:hAnsi="Times New Roman" w:eastAsia="宋体" w:cs="Times New Roman"/>
          <w:color w:val="auto"/>
          <w:sz w:val="24"/>
          <w:u w:val="none" w:color="auto"/>
        </w:rPr>
        <w:t xml:space="preserve"> </w:t>
      </w:r>
      <w:r>
        <w:rPr>
          <w:rFonts w:hint="default" w:ascii="Times New Roman" w:hAnsi="Times New Roman" w:eastAsia="宋体" w:cs="Times New Roman"/>
          <w:color w:val="auto"/>
          <w:sz w:val="24"/>
          <w:u w:val="none" w:color="auto"/>
          <w:lang w:val="zh-CN"/>
        </w:rPr>
        <w:t>评价技术导则》（HJ169-2018）附表B和附录C突发环境事件风险物质及临界量表，根据本项目环境风险物质最大存在总量（以折纯计）与其对应的临界量，计算（Q），计算公式如下：</w:t>
      </w:r>
    </w:p>
    <w:p w14:paraId="03E71D9B">
      <w:pPr>
        <w:spacing w:line="360" w:lineRule="auto"/>
        <w:jc w:val="center"/>
        <w:rPr>
          <w:rFonts w:hint="default" w:ascii="Times New Roman" w:hAnsi="Times New Roman" w:eastAsia="宋体" w:cs="Times New Roman"/>
          <w:color w:val="auto"/>
          <w:sz w:val="24"/>
          <w:u w:val="none" w:color="auto"/>
        </w:rPr>
      </w:pPr>
      <w:r>
        <w:rPr>
          <w:rFonts w:hint="default" w:ascii="Times New Roman" w:hAnsi="Times New Roman" w:eastAsia="宋体" w:cs="Times New Roman"/>
          <w:color w:val="auto"/>
          <w:sz w:val="24"/>
          <w:u w:val="none" w:color="auto"/>
        </w:rPr>
        <w:t>Q=q</w:t>
      </w:r>
      <w:r>
        <w:rPr>
          <w:rFonts w:hint="default" w:ascii="Times New Roman" w:hAnsi="Times New Roman" w:eastAsia="宋体" w:cs="Times New Roman"/>
          <w:color w:val="auto"/>
          <w:sz w:val="24"/>
          <w:u w:val="none" w:color="auto"/>
          <w:vertAlign w:val="subscript"/>
        </w:rPr>
        <w:t>1</w:t>
      </w:r>
      <w:r>
        <w:rPr>
          <w:rFonts w:hint="default" w:ascii="Times New Roman" w:hAnsi="Times New Roman" w:eastAsia="宋体" w:cs="Times New Roman"/>
          <w:color w:val="auto"/>
          <w:sz w:val="24"/>
          <w:u w:val="none" w:color="auto"/>
        </w:rPr>
        <w:t>/Q</w:t>
      </w:r>
      <w:r>
        <w:rPr>
          <w:rFonts w:hint="default" w:ascii="Times New Roman" w:hAnsi="Times New Roman" w:eastAsia="宋体" w:cs="Times New Roman"/>
          <w:color w:val="auto"/>
          <w:sz w:val="24"/>
          <w:u w:val="none" w:color="auto"/>
          <w:vertAlign w:val="subscript"/>
        </w:rPr>
        <w:t>1</w:t>
      </w:r>
      <w:r>
        <w:rPr>
          <w:rFonts w:hint="default" w:ascii="Times New Roman" w:hAnsi="Times New Roman" w:eastAsia="宋体" w:cs="Times New Roman"/>
          <w:color w:val="auto"/>
          <w:sz w:val="24"/>
          <w:u w:val="none" w:color="auto"/>
        </w:rPr>
        <w:t xml:space="preserve"> +q</w:t>
      </w:r>
      <w:r>
        <w:rPr>
          <w:rFonts w:hint="default" w:ascii="Times New Roman" w:hAnsi="Times New Roman" w:eastAsia="宋体" w:cs="Times New Roman"/>
          <w:color w:val="auto"/>
          <w:sz w:val="24"/>
          <w:u w:val="none" w:color="auto"/>
          <w:vertAlign w:val="subscript"/>
        </w:rPr>
        <w:t>2</w:t>
      </w:r>
      <w:r>
        <w:rPr>
          <w:rFonts w:hint="default" w:ascii="Times New Roman" w:hAnsi="Times New Roman" w:eastAsia="宋体" w:cs="Times New Roman"/>
          <w:color w:val="auto"/>
          <w:sz w:val="24"/>
          <w:u w:val="none" w:color="auto"/>
        </w:rPr>
        <w:t>/Q</w:t>
      </w:r>
      <w:r>
        <w:rPr>
          <w:rFonts w:hint="default" w:ascii="Times New Roman" w:hAnsi="Times New Roman" w:eastAsia="宋体" w:cs="Times New Roman"/>
          <w:color w:val="auto"/>
          <w:sz w:val="24"/>
          <w:u w:val="none" w:color="auto"/>
          <w:vertAlign w:val="subscript"/>
        </w:rPr>
        <w:t>2</w:t>
      </w:r>
      <w:r>
        <w:rPr>
          <w:rFonts w:hint="default" w:ascii="Times New Roman" w:hAnsi="Times New Roman" w:eastAsia="宋体" w:cs="Times New Roman"/>
          <w:color w:val="auto"/>
          <w:sz w:val="24"/>
          <w:u w:val="none" w:color="auto"/>
        </w:rPr>
        <w:t xml:space="preserve"> +…+q</w:t>
      </w:r>
      <w:r>
        <w:rPr>
          <w:rFonts w:hint="default" w:ascii="Times New Roman" w:hAnsi="Times New Roman" w:eastAsia="宋体" w:cs="Times New Roman"/>
          <w:color w:val="auto"/>
          <w:sz w:val="24"/>
          <w:u w:val="none" w:color="auto"/>
          <w:vertAlign w:val="subscript"/>
        </w:rPr>
        <w:t>n</w:t>
      </w:r>
      <w:r>
        <w:rPr>
          <w:rFonts w:hint="default" w:ascii="Times New Roman" w:hAnsi="Times New Roman" w:eastAsia="宋体" w:cs="Times New Roman"/>
          <w:color w:val="auto"/>
          <w:sz w:val="24"/>
          <w:u w:val="none" w:color="auto"/>
        </w:rPr>
        <w:t xml:space="preserve"> /Q</w:t>
      </w:r>
      <w:r>
        <w:rPr>
          <w:rFonts w:hint="default" w:ascii="Times New Roman" w:hAnsi="Times New Roman" w:eastAsia="宋体" w:cs="Times New Roman"/>
          <w:color w:val="auto"/>
          <w:sz w:val="24"/>
          <w:u w:val="none" w:color="auto"/>
          <w:vertAlign w:val="subscript"/>
        </w:rPr>
        <w:t>n</w:t>
      </w:r>
    </w:p>
    <w:p w14:paraId="619C78B9">
      <w:pPr>
        <w:spacing w:line="360" w:lineRule="auto"/>
        <w:rPr>
          <w:rFonts w:hint="default" w:ascii="Times New Roman" w:hAnsi="Times New Roman" w:eastAsia="宋体" w:cs="Times New Roman"/>
          <w:color w:val="auto"/>
          <w:sz w:val="24"/>
          <w:u w:val="none" w:color="auto"/>
        </w:rPr>
      </w:pPr>
      <w:r>
        <w:rPr>
          <w:rFonts w:hint="default" w:ascii="Times New Roman" w:hAnsi="Times New Roman" w:eastAsia="宋体" w:cs="Times New Roman"/>
          <w:color w:val="auto"/>
          <w:sz w:val="24"/>
          <w:u w:val="none" w:color="auto"/>
        </w:rPr>
        <w:t>式中：q</w:t>
      </w:r>
      <w:r>
        <w:rPr>
          <w:rFonts w:hint="default" w:ascii="Times New Roman" w:hAnsi="Times New Roman" w:eastAsia="宋体" w:cs="Times New Roman"/>
          <w:color w:val="auto"/>
          <w:sz w:val="24"/>
          <w:u w:val="none" w:color="auto"/>
          <w:vertAlign w:val="subscript"/>
        </w:rPr>
        <w:t>1</w:t>
      </w:r>
      <w:r>
        <w:rPr>
          <w:rFonts w:hint="default" w:ascii="Times New Roman" w:hAnsi="Times New Roman" w:eastAsia="宋体" w:cs="Times New Roman"/>
          <w:color w:val="auto"/>
          <w:sz w:val="24"/>
          <w:u w:val="none" w:color="auto"/>
        </w:rPr>
        <w:t>，q</w:t>
      </w:r>
      <w:r>
        <w:rPr>
          <w:rFonts w:hint="default" w:ascii="Times New Roman" w:hAnsi="Times New Roman" w:eastAsia="宋体" w:cs="Times New Roman"/>
          <w:color w:val="auto"/>
          <w:sz w:val="24"/>
          <w:u w:val="none" w:color="auto"/>
          <w:vertAlign w:val="subscript"/>
        </w:rPr>
        <w:t>2</w:t>
      </w:r>
      <w:r>
        <w:rPr>
          <w:rFonts w:hint="default" w:ascii="Times New Roman" w:hAnsi="Times New Roman" w:eastAsia="宋体" w:cs="Times New Roman"/>
          <w:color w:val="auto"/>
          <w:sz w:val="24"/>
          <w:u w:val="none" w:color="auto"/>
        </w:rPr>
        <w:t>，…，q</w:t>
      </w:r>
      <w:r>
        <w:rPr>
          <w:rFonts w:hint="default" w:ascii="Times New Roman" w:hAnsi="Times New Roman" w:eastAsia="宋体" w:cs="Times New Roman"/>
          <w:color w:val="auto"/>
          <w:sz w:val="24"/>
          <w:u w:val="none" w:color="auto"/>
          <w:vertAlign w:val="subscript"/>
        </w:rPr>
        <w:t>n</w:t>
      </w:r>
      <w:r>
        <w:rPr>
          <w:rFonts w:hint="default" w:ascii="Times New Roman" w:hAnsi="Times New Roman" w:eastAsia="宋体" w:cs="Times New Roman"/>
          <w:color w:val="auto"/>
          <w:sz w:val="24"/>
          <w:u w:val="none" w:color="auto"/>
        </w:rPr>
        <w:t xml:space="preserve"> ———每种危险物质的最大存在总量，t；</w:t>
      </w:r>
    </w:p>
    <w:p w14:paraId="02B1535E">
      <w:pPr>
        <w:spacing w:line="360" w:lineRule="auto"/>
        <w:ind w:firstLine="720" w:firstLineChars="300"/>
        <w:rPr>
          <w:rFonts w:hint="default" w:ascii="Times New Roman" w:hAnsi="Times New Roman" w:eastAsia="宋体" w:cs="Times New Roman"/>
          <w:color w:val="auto"/>
          <w:sz w:val="24"/>
          <w:u w:val="none" w:color="auto"/>
        </w:rPr>
      </w:pPr>
      <w:r>
        <w:rPr>
          <w:rFonts w:hint="default" w:ascii="Times New Roman" w:hAnsi="Times New Roman" w:eastAsia="宋体" w:cs="Times New Roman"/>
          <w:color w:val="auto"/>
          <w:sz w:val="24"/>
          <w:u w:val="none" w:color="auto"/>
        </w:rPr>
        <w:t>Q</w:t>
      </w:r>
      <w:r>
        <w:rPr>
          <w:rFonts w:hint="default" w:ascii="Times New Roman" w:hAnsi="Times New Roman" w:eastAsia="宋体" w:cs="Times New Roman"/>
          <w:color w:val="auto"/>
          <w:sz w:val="24"/>
          <w:u w:val="none" w:color="auto"/>
          <w:vertAlign w:val="subscript"/>
        </w:rPr>
        <w:t>1</w:t>
      </w:r>
      <w:r>
        <w:rPr>
          <w:rFonts w:hint="default" w:ascii="Times New Roman" w:hAnsi="Times New Roman" w:eastAsia="宋体" w:cs="Times New Roman"/>
          <w:color w:val="auto"/>
          <w:sz w:val="24"/>
          <w:u w:val="none" w:color="auto"/>
        </w:rPr>
        <w:t>，Q</w:t>
      </w:r>
      <w:r>
        <w:rPr>
          <w:rFonts w:hint="default" w:ascii="Times New Roman" w:hAnsi="Times New Roman" w:eastAsia="宋体" w:cs="Times New Roman"/>
          <w:color w:val="auto"/>
          <w:sz w:val="24"/>
          <w:u w:val="none" w:color="auto"/>
          <w:vertAlign w:val="subscript"/>
        </w:rPr>
        <w:t>2</w:t>
      </w:r>
      <w:r>
        <w:rPr>
          <w:rFonts w:hint="default" w:ascii="Times New Roman" w:hAnsi="Times New Roman" w:eastAsia="宋体" w:cs="Times New Roman"/>
          <w:color w:val="auto"/>
          <w:sz w:val="24"/>
          <w:u w:val="none" w:color="auto"/>
        </w:rPr>
        <w:t>，…，Q</w:t>
      </w:r>
      <w:r>
        <w:rPr>
          <w:rFonts w:hint="default" w:ascii="Times New Roman" w:hAnsi="Times New Roman" w:eastAsia="宋体" w:cs="Times New Roman"/>
          <w:color w:val="auto"/>
          <w:sz w:val="24"/>
          <w:u w:val="none" w:color="auto"/>
          <w:vertAlign w:val="subscript"/>
        </w:rPr>
        <w:t>n</w:t>
      </w:r>
      <w:r>
        <w:rPr>
          <w:rFonts w:hint="default" w:ascii="Times New Roman" w:hAnsi="Times New Roman" w:eastAsia="宋体" w:cs="Times New Roman"/>
          <w:color w:val="auto"/>
          <w:sz w:val="24"/>
          <w:u w:val="none" w:color="auto"/>
        </w:rPr>
        <w:t xml:space="preserve"> ———每种危险物质的临界量，t。</w:t>
      </w:r>
    </w:p>
    <w:p w14:paraId="1163C816">
      <w:pPr>
        <w:spacing w:line="360" w:lineRule="auto"/>
        <w:ind w:firstLine="480" w:firstLineChars="200"/>
        <w:rPr>
          <w:rFonts w:hint="default" w:ascii="Times New Roman" w:hAnsi="Times New Roman" w:eastAsia="宋体" w:cs="Times New Roman"/>
          <w:color w:val="auto"/>
          <w:sz w:val="24"/>
          <w:u w:val="none" w:color="auto"/>
        </w:rPr>
      </w:pPr>
      <w:r>
        <w:rPr>
          <w:rFonts w:hint="default" w:ascii="Times New Roman" w:hAnsi="Times New Roman" w:eastAsia="宋体" w:cs="Times New Roman"/>
          <w:color w:val="auto"/>
          <w:sz w:val="24"/>
          <w:u w:val="none" w:color="auto"/>
        </w:rPr>
        <w:t>本项目涉及的危险物质最大储存量与临界量比值情况如表2-1所示。</w:t>
      </w:r>
    </w:p>
    <w:p w14:paraId="4302DA4C">
      <w:pPr>
        <w:pStyle w:val="17"/>
        <w:numPr>
          <w:ilvl w:val="0"/>
          <w:numId w:val="10"/>
        </w:numPr>
        <w:adjustRightInd/>
        <w:snapToGrid/>
        <w:rPr>
          <w:rFonts w:hint="default" w:ascii="Times New Roman" w:hAnsi="Times New Roman" w:eastAsia="宋体" w:cs="Times New Roman"/>
          <w:b/>
          <w:bCs/>
          <w:color w:val="auto"/>
          <w:sz w:val="21"/>
          <w:u w:val="none" w:color="auto"/>
        </w:rPr>
      </w:pPr>
      <w:r>
        <w:rPr>
          <w:rFonts w:hint="default" w:ascii="Times New Roman" w:hAnsi="Times New Roman" w:eastAsia="宋体" w:cs="Times New Roman"/>
          <w:b/>
          <w:bCs/>
          <w:color w:val="auto"/>
          <w:sz w:val="21"/>
          <w:u w:val="none" w:color="auto"/>
        </w:rPr>
        <w:t>各物质最大储存量与临界量比值</w:t>
      </w:r>
    </w:p>
    <w:tbl>
      <w:tblPr>
        <w:tblStyle w:val="31"/>
        <w:tblW w:w="4997"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532"/>
        <w:gridCol w:w="652"/>
        <w:gridCol w:w="653"/>
        <w:gridCol w:w="757"/>
        <w:gridCol w:w="1843"/>
        <w:gridCol w:w="1150"/>
        <w:gridCol w:w="987"/>
        <w:gridCol w:w="1376"/>
        <w:gridCol w:w="1105"/>
      </w:tblGrid>
      <w:tr w14:paraId="7DCF22A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10" w:hRule="atLeast"/>
          <w:tblHeader/>
        </w:trPr>
        <w:tc>
          <w:tcPr>
            <w:tcW w:w="293" w:type="pct"/>
            <w:tcBorders>
              <w:tl2br w:val="nil"/>
              <w:tr2bl w:val="nil"/>
            </w:tcBorders>
            <w:noWrap w:val="0"/>
            <w:vAlign w:val="center"/>
          </w:tcPr>
          <w:p w14:paraId="596CE895">
            <w:pPr>
              <w:topLinePunct w:val="0"/>
              <w:bidi w:val="0"/>
              <w:adjustRightInd/>
              <w:snapToGrid/>
              <w:jc w:val="center"/>
              <w:rPr>
                <w:rFonts w:hint="default" w:ascii="Times New Roman" w:hAnsi="Times New Roman" w:eastAsia="宋体" w:cs="Times New Roman"/>
                <w:b/>
                <w:bCs/>
                <w:color w:val="auto"/>
                <w:sz w:val="21"/>
                <w:szCs w:val="21"/>
                <w:highlight w:val="none"/>
                <w:u w:val="none" w:color="auto"/>
              </w:rPr>
            </w:pPr>
            <w:r>
              <w:rPr>
                <w:rFonts w:hint="default" w:ascii="Times New Roman" w:hAnsi="Times New Roman" w:eastAsia="宋体" w:cs="Times New Roman"/>
                <w:b/>
                <w:bCs/>
                <w:color w:val="auto"/>
                <w:sz w:val="21"/>
                <w:szCs w:val="21"/>
                <w:highlight w:val="none"/>
                <w:u w:val="none" w:color="auto"/>
              </w:rPr>
              <w:t>序号</w:t>
            </w:r>
          </w:p>
        </w:tc>
        <w:tc>
          <w:tcPr>
            <w:tcW w:w="720" w:type="pct"/>
            <w:gridSpan w:val="2"/>
            <w:tcBorders>
              <w:tl2br w:val="nil"/>
              <w:tr2bl w:val="nil"/>
            </w:tcBorders>
            <w:noWrap w:val="0"/>
            <w:vAlign w:val="center"/>
          </w:tcPr>
          <w:p w14:paraId="2DBCA20F">
            <w:pPr>
              <w:topLinePunct w:val="0"/>
              <w:bidi w:val="0"/>
              <w:adjustRightInd/>
              <w:snapToGrid/>
              <w:jc w:val="center"/>
              <w:rPr>
                <w:rFonts w:hint="default" w:ascii="Times New Roman" w:hAnsi="Times New Roman" w:eastAsia="宋体" w:cs="Times New Roman"/>
                <w:b/>
                <w:bCs/>
                <w:color w:val="auto"/>
                <w:sz w:val="21"/>
                <w:szCs w:val="21"/>
                <w:highlight w:val="none"/>
                <w:u w:val="none" w:color="auto"/>
                <w:lang w:val="en-US" w:eastAsia="zh-CN"/>
              </w:rPr>
            </w:pPr>
            <w:r>
              <w:rPr>
                <w:rFonts w:hint="default" w:ascii="Times New Roman" w:hAnsi="Times New Roman" w:eastAsia="宋体" w:cs="Times New Roman"/>
                <w:b/>
                <w:bCs/>
                <w:color w:val="auto"/>
                <w:sz w:val="21"/>
                <w:szCs w:val="21"/>
                <w:highlight w:val="none"/>
                <w:u w:val="none" w:color="auto"/>
                <w:lang w:val="en-US" w:eastAsia="zh-CN"/>
              </w:rPr>
              <w:t>危险单元</w:t>
            </w:r>
          </w:p>
        </w:tc>
        <w:tc>
          <w:tcPr>
            <w:tcW w:w="1435" w:type="pct"/>
            <w:gridSpan w:val="2"/>
            <w:tcBorders>
              <w:tl2br w:val="nil"/>
              <w:tr2bl w:val="nil"/>
            </w:tcBorders>
            <w:noWrap w:val="0"/>
            <w:vAlign w:val="center"/>
          </w:tcPr>
          <w:p w14:paraId="1D096CF0">
            <w:pPr>
              <w:topLinePunct w:val="0"/>
              <w:bidi w:val="0"/>
              <w:adjustRightInd/>
              <w:snapToGrid/>
              <w:jc w:val="center"/>
              <w:rPr>
                <w:rFonts w:hint="default" w:ascii="Times New Roman" w:hAnsi="Times New Roman" w:eastAsia="宋体" w:cs="Times New Roman"/>
                <w:b/>
                <w:bCs/>
                <w:color w:val="auto"/>
                <w:sz w:val="21"/>
                <w:szCs w:val="21"/>
                <w:highlight w:val="none"/>
                <w:u w:val="none" w:color="auto"/>
              </w:rPr>
            </w:pPr>
            <w:r>
              <w:rPr>
                <w:rFonts w:hint="default" w:ascii="Times New Roman" w:hAnsi="Times New Roman" w:eastAsia="宋体" w:cs="Times New Roman"/>
                <w:b/>
                <w:bCs/>
                <w:color w:val="auto"/>
                <w:sz w:val="21"/>
                <w:szCs w:val="21"/>
                <w:highlight w:val="none"/>
                <w:u w:val="none" w:color="auto"/>
              </w:rPr>
              <w:t>名称</w:t>
            </w:r>
          </w:p>
        </w:tc>
        <w:tc>
          <w:tcPr>
            <w:tcW w:w="635" w:type="pct"/>
            <w:tcBorders>
              <w:tl2br w:val="nil"/>
              <w:tr2bl w:val="nil"/>
            </w:tcBorders>
            <w:noWrap w:val="0"/>
            <w:vAlign w:val="center"/>
          </w:tcPr>
          <w:p w14:paraId="74F47FEA">
            <w:pPr>
              <w:topLinePunct w:val="0"/>
              <w:bidi w:val="0"/>
              <w:adjustRightInd/>
              <w:snapToGrid/>
              <w:jc w:val="center"/>
              <w:rPr>
                <w:rFonts w:hint="default" w:ascii="Times New Roman" w:hAnsi="Times New Roman" w:eastAsia="宋体" w:cs="Times New Roman"/>
                <w:b/>
                <w:bCs/>
                <w:color w:val="auto"/>
                <w:sz w:val="21"/>
                <w:szCs w:val="21"/>
                <w:highlight w:val="none"/>
                <w:u w:val="none" w:color="auto"/>
              </w:rPr>
            </w:pPr>
            <w:r>
              <w:rPr>
                <w:rFonts w:hint="default" w:ascii="Times New Roman" w:hAnsi="Times New Roman" w:eastAsia="宋体" w:cs="Times New Roman"/>
                <w:b/>
                <w:bCs/>
                <w:color w:val="auto"/>
                <w:sz w:val="21"/>
                <w:szCs w:val="21"/>
                <w:highlight w:val="none"/>
                <w:u w:val="none" w:color="auto"/>
              </w:rPr>
              <w:t>最大贮存量</w:t>
            </w:r>
            <w:r>
              <w:rPr>
                <w:rFonts w:hint="default" w:ascii="Times New Roman" w:hAnsi="Times New Roman" w:eastAsia="宋体" w:cs="Times New Roman"/>
                <w:b/>
                <w:bCs/>
                <w:color w:val="auto"/>
                <w:sz w:val="21"/>
                <w:szCs w:val="21"/>
                <w:highlight w:val="none"/>
                <w:u w:val="none" w:color="auto"/>
                <w:lang w:val="en-US" w:eastAsia="zh-CN"/>
              </w:rPr>
              <w:t>/在线量</w:t>
            </w:r>
            <w:r>
              <w:rPr>
                <w:rFonts w:hint="default" w:ascii="Times New Roman" w:hAnsi="Times New Roman" w:eastAsia="宋体" w:cs="Times New Roman"/>
                <w:b/>
                <w:bCs/>
                <w:color w:val="auto"/>
                <w:sz w:val="21"/>
                <w:szCs w:val="21"/>
                <w:highlight w:val="none"/>
                <w:u w:val="none" w:color="auto"/>
              </w:rPr>
              <w:t>q（t）</w:t>
            </w:r>
          </w:p>
        </w:tc>
        <w:tc>
          <w:tcPr>
            <w:tcW w:w="545" w:type="pct"/>
            <w:tcBorders>
              <w:tl2br w:val="nil"/>
              <w:tr2bl w:val="nil"/>
            </w:tcBorders>
            <w:noWrap w:val="0"/>
            <w:vAlign w:val="center"/>
          </w:tcPr>
          <w:p w14:paraId="625781C1">
            <w:pPr>
              <w:topLinePunct w:val="0"/>
              <w:bidi w:val="0"/>
              <w:adjustRightInd/>
              <w:snapToGrid/>
              <w:jc w:val="center"/>
              <w:rPr>
                <w:rFonts w:hint="default" w:ascii="Times New Roman" w:hAnsi="Times New Roman" w:eastAsia="宋体" w:cs="Times New Roman"/>
                <w:b/>
                <w:bCs/>
                <w:color w:val="auto"/>
                <w:sz w:val="21"/>
                <w:szCs w:val="21"/>
                <w:highlight w:val="none"/>
                <w:u w:val="none" w:color="auto"/>
              </w:rPr>
            </w:pPr>
            <w:r>
              <w:rPr>
                <w:rFonts w:hint="default" w:ascii="Times New Roman" w:hAnsi="Times New Roman" w:eastAsia="宋体" w:cs="Times New Roman"/>
                <w:b/>
                <w:bCs/>
                <w:color w:val="auto"/>
                <w:sz w:val="21"/>
                <w:szCs w:val="21"/>
                <w:highlight w:val="none"/>
                <w:u w:val="none" w:color="auto"/>
              </w:rPr>
              <w:t>临界量Q（t）</w:t>
            </w:r>
          </w:p>
        </w:tc>
        <w:tc>
          <w:tcPr>
            <w:tcW w:w="759" w:type="pct"/>
            <w:tcBorders>
              <w:tl2br w:val="nil"/>
              <w:tr2bl w:val="nil"/>
            </w:tcBorders>
            <w:noWrap w:val="0"/>
            <w:vAlign w:val="center"/>
          </w:tcPr>
          <w:p w14:paraId="2D7B33AE">
            <w:pPr>
              <w:topLinePunct w:val="0"/>
              <w:bidi w:val="0"/>
              <w:adjustRightInd/>
              <w:snapToGrid/>
              <w:jc w:val="center"/>
              <w:rPr>
                <w:rFonts w:hint="default" w:ascii="Times New Roman" w:hAnsi="Times New Roman" w:eastAsia="宋体" w:cs="Times New Roman"/>
                <w:b/>
                <w:bCs/>
                <w:color w:val="auto"/>
                <w:sz w:val="21"/>
                <w:szCs w:val="21"/>
                <w:highlight w:val="none"/>
                <w:u w:val="none" w:color="auto"/>
              </w:rPr>
            </w:pPr>
            <w:r>
              <w:rPr>
                <w:rFonts w:hint="default" w:ascii="Times New Roman" w:hAnsi="Times New Roman" w:eastAsia="宋体" w:cs="Times New Roman"/>
                <w:b/>
                <w:bCs/>
                <w:color w:val="auto"/>
                <w:sz w:val="21"/>
                <w:szCs w:val="21"/>
                <w:highlight w:val="none"/>
                <w:u w:val="none" w:color="auto"/>
              </w:rPr>
              <w:t>q/Q</w:t>
            </w:r>
          </w:p>
        </w:tc>
        <w:tc>
          <w:tcPr>
            <w:tcW w:w="610" w:type="pct"/>
            <w:tcBorders>
              <w:tl2br w:val="nil"/>
              <w:tr2bl w:val="nil"/>
            </w:tcBorders>
            <w:noWrap w:val="0"/>
            <w:vAlign w:val="center"/>
          </w:tcPr>
          <w:p w14:paraId="68150369">
            <w:pPr>
              <w:topLinePunct w:val="0"/>
              <w:bidi w:val="0"/>
              <w:adjustRightInd/>
              <w:snapToGrid/>
              <w:jc w:val="center"/>
              <w:rPr>
                <w:rFonts w:hint="default" w:ascii="Times New Roman" w:hAnsi="Times New Roman" w:eastAsia="宋体" w:cs="Times New Roman"/>
                <w:b/>
                <w:bCs/>
                <w:color w:val="auto"/>
                <w:sz w:val="21"/>
                <w:szCs w:val="21"/>
                <w:highlight w:val="none"/>
                <w:u w:val="none" w:color="auto"/>
                <w:lang w:val="en-US" w:eastAsia="zh-CN"/>
              </w:rPr>
            </w:pPr>
            <w:r>
              <w:rPr>
                <w:rFonts w:hint="default" w:ascii="Times New Roman" w:hAnsi="Times New Roman" w:eastAsia="宋体" w:cs="Times New Roman"/>
                <w:b/>
                <w:bCs/>
                <w:color w:val="auto"/>
                <w:sz w:val="21"/>
                <w:szCs w:val="21"/>
                <w:highlight w:val="none"/>
                <w:u w:val="none" w:color="auto"/>
                <w:lang w:val="en-US" w:eastAsia="zh-CN"/>
              </w:rPr>
              <w:t>备注</w:t>
            </w:r>
          </w:p>
        </w:tc>
      </w:tr>
      <w:tr w14:paraId="49975C4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4" w:hRule="atLeast"/>
        </w:trPr>
        <w:tc>
          <w:tcPr>
            <w:tcW w:w="293" w:type="pct"/>
            <w:vMerge w:val="restart"/>
            <w:tcBorders>
              <w:tl2br w:val="nil"/>
              <w:tr2bl w:val="nil"/>
            </w:tcBorders>
            <w:noWrap w:val="0"/>
            <w:vAlign w:val="center"/>
          </w:tcPr>
          <w:p w14:paraId="020A0B67">
            <w:pPr>
              <w:topLinePunct w:val="0"/>
              <w:bidi w:val="0"/>
              <w:adjustRightInd/>
              <w:snapToGrid/>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1</w:t>
            </w:r>
          </w:p>
        </w:tc>
        <w:tc>
          <w:tcPr>
            <w:tcW w:w="720" w:type="pct"/>
            <w:gridSpan w:val="2"/>
            <w:vMerge w:val="restart"/>
            <w:tcBorders>
              <w:tl2br w:val="nil"/>
              <w:tr2bl w:val="nil"/>
            </w:tcBorders>
            <w:noWrap w:val="0"/>
            <w:vAlign w:val="center"/>
          </w:tcPr>
          <w:p w14:paraId="53A47BBC">
            <w:pPr>
              <w:topLinePunct w:val="0"/>
              <w:bidi w:val="0"/>
              <w:adjustRightInd/>
              <w:snapToGrid/>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kern w:val="2"/>
                <w:sz w:val="21"/>
                <w:szCs w:val="21"/>
                <w:highlight w:val="none"/>
                <w:u w:val="none" w:color="auto"/>
                <w:lang w:val="en-US" w:eastAsia="zh-CN" w:bidi="ar-SA"/>
              </w:rPr>
              <w:t>原料库</w:t>
            </w:r>
          </w:p>
        </w:tc>
        <w:tc>
          <w:tcPr>
            <w:tcW w:w="1435" w:type="pct"/>
            <w:gridSpan w:val="2"/>
            <w:tcBorders>
              <w:tl2br w:val="nil"/>
              <w:tr2bl w:val="nil"/>
            </w:tcBorders>
            <w:noWrap w:val="0"/>
            <w:vAlign w:val="center"/>
          </w:tcPr>
          <w:p w14:paraId="15D88D34">
            <w:pPr>
              <w:topLinePunct w:val="0"/>
              <w:bidi w:val="0"/>
              <w:adjustRightInd/>
              <w:snapToGrid/>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润滑油、液压油</w:t>
            </w:r>
            <w:r>
              <w:rPr>
                <w:rFonts w:hint="default" w:ascii="Times New Roman" w:hAnsi="Times New Roman" w:eastAsia="宋体" w:cs="Times New Roman"/>
                <w:color w:val="auto"/>
                <w:sz w:val="21"/>
                <w:szCs w:val="21"/>
                <w:highlight w:val="none"/>
                <w:u w:val="none" w:color="auto"/>
                <w:lang w:eastAsia="zh-CN"/>
              </w:rPr>
              <w:t>、</w:t>
            </w:r>
            <w:r>
              <w:rPr>
                <w:rFonts w:hint="default" w:ascii="Times New Roman" w:hAnsi="Times New Roman" w:eastAsia="宋体" w:cs="Times New Roman"/>
                <w:color w:val="auto"/>
                <w:sz w:val="21"/>
                <w:szCs w:val="21"/>
                <w:highlight w:val="none"/>
                <w:u w:val="none" w:color="auto"/>
              </w:rPr>
              <w:t>等矿物油类</w:t>
            </w:r>
          </w:p>
        </w:tc>
        <w:tc>
          <w:tcPr>
            <w:tcW w:w="635" w:type="pct"/>
            <w:tcBorders>
              <w:tl2br w:val="nil"/>
              <w:tr2bl w:val="nil"/>
            </w:tcBorders>
            <w:noWrap w:val="0"/>
            <w:vAlign w:val="center"/>
          </w:tcPr>
          <w:p w14:paraId="1F4476B4">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i w:val="0"/>
                <w:iCs w:val="0"/>
                <w:color w:val="auto"/>
                <w:kern w:val="0"/>
                <w:sz w:val="21"/>
                <w:szCs w:val="21"/>
                <w:highlight w:val="none"/>
                <w:u w:val="none" w:color="auto"/>
                <w:lang w:val="en-US" w:eastAsia="zh-CN" w:bidi="ar"/>
              </w:rPr>
              <w:t>25.857</w:t>
            </w:r>
          </w:p>
        </w:tc>
        <w:tc>
          <w:tcPr>
            <w:tcW w:w="545" w:type="pct"/>
            <w:tcBorders>
              <w:tl2br w:val="nil"/>
              <w:tr2bl w:val="nil"/>
            </w:tcBorders>
            <w:noWrap w:val="0"/>
            <w:vAlign w:val="center"/>
          </w:tcPr>
          <w:p w14:paraId="4BBA16D1">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i w:val="0"/>
                <w:iCs w:val="0"/>
                <w:color w:val="auto"/>
                <w:kern w:val="0"/>
                <w:sz w:val="21"/>
                <w:szCs w:val="21"/>
                <w:highlight w:val="none"/>
                <w:u w:val="none" w:color="auto"/>
                <w:lang w:val="en-US" w:eastAsia="zh-CN" w:bidi="ar"/>
              </w:rPr>
              <w:t>2500</w:t>
            </w:r>
          </w:p>
        </w:tc>
        <w:tc>
          <w:tcPr>
            <w:tcW w:w="759" w:type="pct"/>
            <w:tcBorders>
              <w:tl2br w:val="nil"/>
              <w:tr2bl w:val="nil"/>
            </w:tcBorders>
            <w:noWrap w:val="0"/>
            <w:vAlign w:val="center"/>
          </w:tcPr>
          <w:p w14:paraId="6F98D66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0.0103428</w:t>
            </w:r>
          </w:p>
        </w:tc>
        <w:tc>
          <w:tcPr>
            <w:tcW w:w="610" w:type="pct"/>
            <w:tcBorders>
              <w:tl2br w:val="nil"/>
              <w:tr2bl w:val="nil"/>
            </w:tcBorders>
            <w:noWrap w:val="0"/>
            <w:vAlign w:val="center"/>
          </w:tcPr>
          <w:p w14:paraId="00859517">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u w:val="none" w:color="auto"/>
                <w:lang w:val="en-US" w:eastAsia="zh-CN" w:bidi="ar-SA"/>
              </w:rPr>
            </w:pPr>
          </w:p>
        </w:tc>
      </w:tr>
      <w:tr w14:paraId="7125E37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4" w:hRule="atLeast"/>
        </w:trPr>
        <w:tc>
          <w:tcPr>
            <w:tcW w:w="293" w:type="pct"/>
            <w:vMerge w:val="continue"/>
            <w:tcBorders>
              <w:tl2br w:val="nil"/>
              <w:tr2bl w:val="nil"/>
            </w:tcBorders>
            <w:noWrap w:val="0"/>
            <w:vAlign w:val="center"/>
          </w:tcPr>
          <w:p w14:paraId="1C175F9D">
            <w:pPr>
              <w:topLinePunct w:val="0"/>
              <w:bidi w:val="0"/>
              <w:adjustRightInd/>
              <w:snapToGrid/>
              <w:jc w:val="center"/>
              <w:rPr>
                <w:rFonts w:hint="default" w:ascii="Times New Roman" w:hAnsi="Times New Roman" w:eastAsia="宋体" w:cs="Times New Roman"/>
                <w:color w:val="auto"/>
                <w:sz w:val="21"/>
                <w:szCs w:val="21"/>
                <w:highlight w:val="none"/>
                <w:u w:val="none" w:color="auto"/>
                <w:lang w:val="en-US" w:eastAsia="zh-CN"/>
              </w:rPr>
            </w:pPr>
          </w:p>
        </w:tc>
        <w:tc>
          <w:tcPr>
            <w:tcW w:w="720" w:type="pct"/>
            <w:gridSpan w:val="2"/>
            <w:vMerge w:val="continue"/>
            <w:tcBorders>
              <w:tl2br w:val="nil"/>
              <w:tr2bl w:val="nil"/>
            </w:tcBorders>
            <w:noWrap w:val="0"/>
            <w:vAlign w:val="center"/>
          </w:tcPr>
          <w:p w14:paraId="382690BE">
            <w:pPr>
              <w:topLinePunct w:val="0"/>
              <w:bidi w:val="0"/>
              <w:adjustRightInd/>
              <w:snapToGrid/>
              <w:jc w:val="center"/>
              <w:rPr>
                <w:rFonts w:hint="default" w:ascii="Times New Roman" w:hAnsi="Times New Roman" w:eastAsia="宋体" w:cs="Times New Roman"/>
                <w:color w:val="auto"/>
                <w:kern w:val="2"/>
                <w:sz w:val="21"/>
                <w:szCs w:val="21"/>
                <w:highlight w:val="none"/>
                <w:u w:val="none" w:color="auto"/>
                <w:lang w:val="en-US" w:eastAsia="zh-CN" w:bidi="ar-SA"/>
              </w:rPr>
            </w:pPr>
          </w:p>
        </w:tc>
        <w:tc>
          <w:tcPr>
            <w:tcW w:w="1435" w:type="pct"/>
            <w:gridSpan w:val="2"/>
            <w:tcBorders>
              <w:tl2br w:val="nil"/>
              <w:tr2bl w:val="nil"/>
            </w:tcBorders>
            <w:noWrap w:val="0"/>
            <w:vAlign w:val="center"/>
          </w:tcPr>
          <w:p w14:paraId="7FBDBD3C">
            <w:pPr>
              <w:topLinePunct w:val="0"/>
              <w:bidi w:val="0"/>
              <w:adjustRightInd/>
              <w:snapToGrid/>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lang w:val="en-US" w:eastAsia="zh-CN"/>
              </w:rPr>
              <w:t>脱模剂</w:t>
            </w:r>
            <w:r>
              <w:rPr>
                <w:rFonts w:hint="default" w:ascii="Times New Roman" w:hAnsi="Times New Roman" w:eastAsia="宋体" w:cs="Times New Roman"/>
                <w:color w:val="auto"/>
                <w:sz w:val="21"/>
                <w:szCs w:val="21"/>
                <w:highlight w:val="none"/>
                <w:u w:val="none" w:color="auto"/>
                <w:vertAlign w:val="superscript"/>
                <w:lang w:val="en-US" w:eastAsia="zh-CN"/>
              </w:rPr>
              <w:t>[1]</w:t>
            </w:r>
          </w:p>
        </w:tc>
        <w:tc>
          <w:tcPr>
            <w:tcW w:w="635" w:type="pct"/>
            <w:tcBorders>
              <w:tl2br w:val="nil"/>
              <w:tr2bl w:val="nil"/>
            </w:tcBorders>
            <w:noWrap w:val="0"/>
            <w:vAlign w:val="center"/>
          </w:tcPr>
          <w:p w14:paraId="5A46FB6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30</w:t>
            </w:r>
          </w:p>
        </w:tc>
        <w:tc>
          <w:tcPr>
            <w:tcW w:w="545" w:type="pct"/>
            <w:tcBorders>
              <w:tl2br w:val="nil"/>
              <w:tr2bl w:val="nil"/>
            </w:tcBorders>
            <w:noWrap w:val="0"/>
            <w:vAlign w:val="center"/>
          </w:tcPr>
          <w:p w14:paraId="727CCB6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100</w:t>
            </w:r>
          </w:p>
        </w:tc>
        <w:tc>
          <w:tcPr>
            <w:tcW w:w="759" w:type="pct"/>
            <w:tcBorders>
              <w:tl2br w:val="nil"/>
              <w:tr2bl w:val="nil"/>
            </w:tcBorders>
            <w:noWrap w:val="0"/>
            <w:vAlign w:val="center"/>
          </w:tcPr>
          <w:p w14:paraId="614CA2F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0.3</w:t>
            </w:r>
          </w:p>
        </w:tc>
        <w:tc>
          <w:tcPr>
            <w:tcW w:w="610" w:type="pct"/>
            <w:tcBorders>
              <w:tl2br w:val="nil"/>
              <w:tr2bl w:val="nil"/>
            </w:tcBorders>
            <w:noWrap w:val="0"/>
            <w:vAlign w:val="center"/>
          </w:tcPr>
          <w:p w14:paraId="16478CA2">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u w:val="none" w:color="auto"/>
                <w:lang w:val="en-US" w:eastAsia="zh-CN" w:bidi="ar-SA"/>
              </w:rPr>
            </w:pPr>
          </w:p>
        </w:tc>
      </w:tr>
      <w:tr w14:paraId="004FAB6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93" w:type="pct"/>
            <w:tcBorders>
              <w:tl2br w:val="nil"/>
              <w:tr2bl w:val="nil"/>
            </w:tcBorders>
            <w:noWrap w:val="0"/>
            <w:vAlign w:val="center"/>
          </w:tcPr>
          <w:p w14:paraId="2E243E7F">
            <w:pPr>
              <w:topLinePunct w:val="0"/>
              <w:bidi w:val="0"/>
              <w:adjustRightInd/>
              <w:snapToGrid/>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2</w:t>
            </w:r>
          </w:p>
        </w:tc>
        <w:tc>
          <w:tcPr>
            <w:tcW w:w="720" w:type="pct"/>
            <w:gridSpan w:val="2"/>
            <w:tcBorders>
              <w:tl2br w:val="nil"/>
              <w:tr2bl w:val="nil"/>
            </w:tcBorders>
            <w:noWrap w:val="0"/>
            <w:vAlign w:val="center"/>
          </w:tcPr>
          <w:p w14:paraId="63CE5707">
            <w:pPr>
              <w:widowControl w:val="0"/>
              <w:topLinePunct w:val="0"/>
              <w:bidi w:val="0"/>
              <w:adjustRightInd/>
              <w:snapToGrid/>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天然气管道</w:t>
            </w:r>
          </w:p>
        </w:tc>
        <w:tc>
          <w:tcPr>
            <w:tcW w:w="1435" w:type="pct"/>
            <w:gridSpan w:val="2"/>
            <w:tcBorders>
              <w:tl2br w:val="nil"/>
              <w:tr2bl w:val="nil"/>
            </w:tcBorders>
            <w:noWrap w:val="0"/>
            <w:vAlign w:val="center"/>
          </w:tcPr>
          <w:p w14:paraId="42579CB8">
            <w:pPr>
              <w:widowControl w:val="0"/>
              <w:topLinePunct w:val="0"/>
              <w:bidi w:val="0"/>
              <w:adjustRightInd/>
              <w:snapToGrid/>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lang w:eastAsia="zh-CN"/>
              </w:rPr>
              <w:t>天然气（</w:t>
            </w:r>
            <w:r>
              <w:rPr>
                <w:rFonts w:hint="default" w:ascii="Times New Roman" w:hAnsi="Times New Roman" w:eastAsia="宋体" w:cs="Times New Roman"/>
                <w:color w:val="auto"/>
                <w:sz w:val="21"/>
                <w:szCs w:val="21"/>
                <w:highlight w:val="none"/>
                <w:u w:val="none" w:color="auto"/>
                <w:lang w:val="en-US" w:eastAsia="zh-CN"/>
              </w:rPr>
              <w:t>在线量</w:t>
            </w:r>
            <w:r>
              <w:rPr>
                <w:rFonts w:hint="default" w:ascii="Times New Roman" w:hAnsi="Times New Roman" w:eastAsia="宋体" w:cs="Times New Roman"/>
                <w:color w:val="auto"/>
                <w:sz w:val="21"/>
                <w:szCs w:val="21"/>
                <w:highlight w:val="none"/>
                <w:u w:val="none" w:color="auto"/>
                <w:lang w:eastAsia="zh-CN"/>
              </w:rPr>
              <w:t>）</w:t>
            </w:r>
          </w:p>
        </w:tc>
        <w:tc>
          <w:tcPr>
            <w:tcW w:w="635" w:type="pct"/>
            <w:tcBorders>
              <w:tl2br w:val="nil"/>
              <w:tr2bl w:val="nil"/>
            </w:tcBorders>
            <w:noWrap w:val="0"/>
            <w:vAlign w:val="center"/>
          </w:tcPr>
          <w:p w14:paraId="1D105510">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i w:val="0"/>
                <w:iCs w:val="0"/>
                <w:color w:val="auto"/>
                <w:kern w:val="0"/>
                <w:sz w:val="21"/>
                <w:szCs w:val="21"/>
                <w:highlight w:val="none"/>
                <w:u w:val="none" w:color="auto"/>
                <w:lang w:val="en-US" w:eastAsia="zh-CN" w:bidi="ar"/>
              </w:rPr>
              <w:t>0.05</w:t>
            </w:r>
          </w:p>
        </w:tc>
        <w:tc>
          <w:tcPr>
            <w:tcW w:w="545" w:type="pct"/>
            <w:tcBorders>
              <w:tl2br w:val="nil"/>
              <w:tr2bl w:val="nil"/>
            </w:tcBorders>
            <w:noWrap w:val="0"/>
            <w:vAlign w:val="center"/>
          </w:tcPr>
          <w:p w14:paraId="6DA5671A">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i w:val="0"/>
                <w:iCs w:val="0"/>
                <w:color w:val="auto"/>
                <w:kern w:val="0"/>
                <w:sz w:val="21"/>
                <w:szCs w:val="21"/>
                <w:highlight w:val="none"/>
                <w:u w:val="none" w:color="auto"/>
                <w:lang w:val="en-US" w:eastAsia="zh-CN" w:bidi="ar"/>
              </w:rPr>
              <w:t>10</w:t>
            </w:r>
          </w:p>
        </w:tc>
        <w:tc>
          <w:tcPr>
            <w:tcW w:w="759" w:type="pct"/>
            <w:tcBorders>
              <w:tl2br w:val="nil"/>
              <w:tr2bl w:val="nil"/>
            </w:tcBorders>
            <w:noWrap w:val="0"/>
            <w:vAlign w:val="center"/>
          </w:tcPr>
          <w:p w14:paraId="5908333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0.005</w:t>
            </w:r>
          </w:p>
        </w:tc>
        <w:tc>
          <w:tcPr>
            <w:tcW w:w="610" w:type="pct"/>
            <w:tcBorders>
              <w:tl2br w:val="nil"/>
              <w:tr2bl w:val="nil"/>
            </w:tcBorders>
            <w:noWrap w:val="0"/>
            <w:vAlign w:val="center"/>
          </w:tcPr>
          <w:p w14:paraId="7B0D27F6">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管道天然气</w:t>
            </w:r>
          </w:p>
        </w:tc>
      </w:tr>
      <w:tr w14:paraId="0E4DBFB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93" w:type="pct"/>
            <w:vMerge w:val="restart"/>
            <w:tcBorders>
              <w:tl2br w:val="nil"/>
              <w:tr2bl w:val="nil"/>
            </w:tcBorders>
            <w:noWrap w:val="0"/>
            <w:vAlign w:val="center"/>
          </w:tcPr>
          <w:p w14:paraId="0A7F29C8">
            <w:pPr>
              <w:topLinePunct w:val="0"/>
              <w:bidi w:val="0"/>
              <w:adjustRightInd/>
              <w:snapToGrid/>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3</w:t>
            </w:r>
          </w:p>
        </w:tc>
        <w:tc>
          <w:tcPr>
            <w:tcW w:w="720" w:type="pct"/>
            <w:gridSpan w:val="2"/>
            <w:vMerge w:val="restart"/>
            <w:tcBorders>
              <w:tl2br w:val="nil"/>
              <w:tr2bl w:val="nil"/>
            </w:tcBorders>
            <w:noWrap w:val="0"/>
            <w:vAlign w:val="center"/>
          </w:tcPr>
          <w:p w14:paraId="1441235A">
            <w:pPr>
              <w:widowControl w:val="0"/>
              <w:topLinePunct w:val="0"/>
              <w:bidi w:val="0"/>
              <w:adjustRightInd/>
              <w:snapToGrid/>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铝合金熔铸一厂压铸单元</w:t>
            </w:r>
          </w:p>
        </w:tc>
        <w:tc>
          <w:tcPr>
            <w:tcW w:w="1435" w:type="pct"/>
            <w:gridSpan w:val="2"/>
            <w:tcBorders>
              <w:tl2br w:val="nil"/>
              <w:tr2bl w:val="nil"/>
            </w:tcBorders>
            <w:noWrap w:val="0"/>
            <w:vAlign w:val="center"/>
          </w:tcPr>
          <w:p w14:paraId="60C87AAE">
            <w:pPr>
              <w:widowControl w:val="0"/>
              <w:topLinePunct w:val="0"/>
              <w:bidi w:val="0"/>
              <w:adjustRightInd/>
              <w:snapToGrid/>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导热油</w:t>
            </w:r>
            <w:r>
              <w:rPr>
                <w:rFonts w:hint="default" w:ascii="Times New Roman" w:hAnsi="Times New Roman" w:eastAsia="宋体" w:cs="Times New Roman"/>
                <w:color w:val="auto"/>
                <w:sz w:val="21"/>
                <w:szCs w:val="21"/>
                <w:highlight w:val="none"/>
                <w:u w:val="none" w:color="auto"/>
                <w:lang w:eastAsia="zh-CN"/>
              </w:rPr>
              <w:t>（</w:t>
            </w:r>
            <w:r>
              <w:rPr>
                <w:rFonts w:hint="default" w:ascii="Times New Roman" w:hAnsi="Times New Roman" w:eastAsia="宋体" w:cs="Times New Roman"/>
                <w:color w:val="auto"/>
                <w:sz w:val="21"/>
                <w:szCs w:val="21"/>
                <w:highlight w:val="none"/>
                <w:u w:val="none" w:color="auto"/>
                <w:lang w:val="en-US" w:eastAsia="zh-CN"/>
              </w:rPr>
              <w:t>在线量</w:t>
            </w:r>
            <w:r>
              <w:rPr>
                <w:rFonts w:hint="default" w:ascii="Times New Roman" w:hAnsi="Times New Roman" w:eastAsia="宋体" w:cs="Times New Roman"/>
                <w:color w:val="auto"/>
                <w:sz w:val="21"/>
                <w:szCs w:val="21"/>
                <w:highlight w:val="none"/>
                <w:u w:val="none" w:color="auto"/>
                <w:lang w:eastAsia="zh-CN"/>
              </w:rPr>
              <w:t>）</w:t>
            </w:r>
          </w:p>
        </w:tc>
        <w:tc>
          <w:tcPr>
            <w:tcW w:w="635" w:type="pct"/>
            <w:tcBorders>
              <w:tl2br w:val="nil"/>
              <w:tr2bl w:val="nil"/>
            </w:tcBorders>
            <w:noWrap w:val="0"/>
            <w:vAlign w:val="center"/>
          </w:tcPr>
          <w:p w14:paraId="2B5591C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4</w:t>
            </w:r>
          </w:p>
        </w:tc>
        <w:tc>
          <w:tcPr>
            <w:tcW w:w="545" w:type="pct"/>
            <w:tcBorders>
              <w:tl2br w:val="nil"/>
              <w:tr2bl w:val="nil"/>
            </w:tcBorders>
            <w:noWrap w:val="0"/>
            <w:vAlign w:val="center"/>
          </w:tcPr>
          <w:p w14:paraId="0E034B6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2500</w:t>
            </w:r>
          </w:p>
        </w:tc>
        <w:tc>
          <w:tcPr>
            <w:tcW w:w="759" w:type="pct"/>
            <w:tcBorders>
              <w:tl2br w:val="nil"/>
              <w:tr2bl w:val="nil"/>
            </w:tcBorders>
            <w:noWrap w:val="0"/>
            <w:vAlign w:val="center"/>
          </w:tcPr>
          <w:p w14:paraId="6111015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0.0016</w:t>
            </w:r>
          </w:p>
        </w:tc>
        <w:tc>
          <w:tcPr>
            <w:tcW w:w="610" w:type="pct"/>
            <w:tcBorders>
              <w:tl2br w:val="nil"/>
              <w:tr2bl w:val="nil"/>
            </w:tcBorders>
            <w:noWrap w:val="0"/>
            <w:vAlign w:val="center"/>
          </w:tcPr>
          <w:p w14:paraId="7812238F">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u w:val="none" w:color="auto"/>
                <w:lang w:val="en-US" w:eastAsia="zh-CN" w:bidi="ar-SA"/>
              </w:rPr>
            </w:pPr>
          </w:p>
        </w:tc>
      </w:tr>
      <w:tr w14:paraId="7014038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52" w:hRule="atLeast"/>
        </w:trPr>
        <w:tc>
          <w:tcPr>
            <w:tcW w:w="293" w:type="pct"/>
            <w:vMerge w:val="continue"/>
            <w:tcBorders>
              <w:tl2br w:val="nil"/>
              <w:tr2bl w:val="nil"/>
            </w:tcBorders>
            <w:noWrap w:val="0"/>
            <w:vAlign w:val="center"/>
          </w:tcPr>
          <w:p w14:paraId="61A5F3FC">
            <w:pPr>
              <w:topLinePunct w:val="0"/>
              <w:bidi w:val="0"/>
              <w:adjustRightInd/>
              <w:snapToGrid/>
              <w:jc w:val="center"/>
              <w:rPr>
                <w:rFonts w:hint="default" w:ascii="Times New Roman" w:hAnsi="Times New Roman" w:eastAsia="宋体" w:cs="Times New Roman"/>
                <w:color w:val="auto"/>
                <w:sz w:val="21"/>
                <w:szCs w:val="21"/>
                <w:highlight w:val="none"/>
                <w:u w:val="none" w:color="auto"/>
                <w:lang w:val="en-US" w:eastAsia="zh-CN"/>
              </w:rPr>
            </w:pPr>
          </w:p>
        </w:tc>
        <w:tc>
          <w:tcPr>
            <w:tcW w:w="720" w:type="pct"/>
            <w:gridSpan w:val="2"/>
            <w:vMerge w:val="continue"/>
            <w:tcBorders>
              <w:tl2br w:val="nil"/>
              <w:tr2bl w:val="nil"/>
            </w:tcBorders>
            <w:noWrap w:val="0"/>
            <w:vAlign w:val="center"/>
          </w:tcPr>
          <w:p w14:paraId="0A1C8F35">
            <w:pPr>
              <w:widowControl w:val="0"/>
              <w:topLinePunct w:val="0"/>
              <w:bidi w:val="0"/>
              <w:adjustRightInd/>
              <w:snapToGrid/>
              <w:jc w:val="center"/>
              <w:rPr>
                <w:rFonts w:hint="default" w:ascii="Times New Roman" w:hAnsi="Times New Roman" w:eastAsia="宋体" w:cs="Times New Roman"/>
                <w:color w:val="auto"/>
                <w:sz w:val="21"/>
                <w:szCs w:val="21"/>
                <w:highlight w:val="none"/>
                <w:u w:val="none" w:color="auto"/>
                <w:lang w:val="en-US" w:eastAsia="zh-CN"/>
              </w:rPr>
            </w:pPr>
          </w:p>
        </w:tc>
        <w:tc>
          <w:tcPr>
            <w:tcW w:w="1435" w:type="pct"/>
            <w:gridSpan w:val="2"/>
            <w:tcBorders>
              <w:tl2br w:val="nil"/>
              <w:tr2bl w:val="nil"/>
            </w:tcBorders>
            <w:noWrap w:val="0"/>
            <w:vAlign w:val="center"/>
          </w:tcPr>
          <w:p w14:paraId="5B7C8F33">
            <w:pPr>
              <w:topLinePunct w:val="0"/>
              <w:bidi w:val="0"/>
              <w:adjustRightInd/>
              <w:snapToGrid/>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lang w:val="en-US" w:eastAsia="zh-CN"/>
              </w:rPr>
              <w:t>脱模剂</w:t>
            </w:r>
            <w:r>
              <w:rPr>
                <w:rFonts w:hint="default" w:ascii="Times New Roman" w:hAnsi="Times New Roman" w:eastAsia="宋体" w:cs="Times New Roman"/>
                <w:color w:val="auto"/>
                <w:sz w:val="21"/>
                <w:szCs w:val="21"/>
                <w:highlight w:val="none"/>
                <w:u w:val="none" w:color="auto"/>
                <w:vertAlign w:val="superscript"/>
                <w:lang w:val="en-US" w:eastAsia="zh-CN"/>
              </w:rPr>
              <w:t>[1]</w:t>
            </w:r>
          </w:p>
        </w:tc>
        <w:tc>
          <w:tcPr>
            <w:tcW w:w="635" w:type="pct"/>
            <w:tcBorders>
              <w:tl2br w:val="nil"/>
              <w:tr2bl w:val="nil"/>
            </w:tcBorders>
            <w:noWrap w:val="0"/>
            <w:vAlign w:val="center"/>
          </w:tcPr>
          <w:p w14:paraId="5BF98B3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2</w:t>
            </w:r>
          </w:p>
        </w:tc>
        <w:tc>
          <w:tcPr>
            <w:tcW w:w="545" w:type="pct"/>
            <w:tcBorders>
              <w:tl2br w:val="nil"/>
              <w:tr2bl w:val="nil"/>
            </w:tcBorders>
            <w:noWrap w:val="0"/>
            <w:vAlign w:val="center"/>
          </w:tcPr>
          <w:p w14:paraId="265A371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100</w:t>
            </w:r>
          </w:p>
        </w:tc>
        <w:tc>
          <w:tcPr>
            <w:tcW w:w="759" w:type="pct"/>
            <w:tcBorders>
              <w:tl2br w:val="nil"/>
              <w:tr2bl w:val="nil"/>
            </w:tcBorders>
            <w:noWrap w:val="0"/>
            <w:vAlign w:val="center"/>
          </w:tcPr>
          <w:p w14:paraId="0499147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0.02</w:t>
            </w:r>
          </w:p>
        </w:tc>
        <w:tc>
          <w:tcPr>
            <w:tcW w:w="610" w:type="pct"/>
            <w:tcBorders>
              <w:tl2br w:val="nil"/>
              <w:tr2bl w:val="nil"/>
            </w:tcBorders>
            <w:noWrap w:val="0"/>
            <w:vAlign w:val="center"/>
          </w:tcPr>
          <w:p w14:paraId="1EFCDBF8">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u w:val="none" w:color="auto"/>
                <w:lang w:val="en-US" w:eastAsia="zh-CN" w:bidi="ar-SA"/>
              </w:rPr>
            </w:pPr>
          </w:p>
        </w:tc>
      </w:tr>
      <w:tr w14:paraId="502044C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93" w:type="pct"/>
            <w:vMerge w:val="restart"/>
            <w:tcBorders>
              <w:tl2br w:val="nil"/>
              <w:tr2bl w:val="nil"/>
            </w:tcBorders>
            <w:noWrap w:val="0"/>
            <w:vAlign w:val="center"/>
          </w:tcPr>
          <w:p w14:paraId="3C372D05">
            <w:pPr>
              <w:topLinePunct w:val="0"/>
              <w:bidi w:val="0"/>
              <w:adjustRightInd/>
              <w:snapToGrid/>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4</w:t>
            </w:r>
          </w:p>
        </w:tc>
        <w:tc>
          <w:tcPr>
            <w:tcW w:w="360" w:type="pct"/>
            <w:vMerge w:val="restart"/>
            <w:tcBorders>
              <w:tl2br w:val="nil"/>
              <w:tr2bl w:val="nil"/>
            </w:tcBorders>
            <w:noWrap w:val="0"/>
            <w:vAlign w:val="center"/>
          </w:tcPr>
          <w:p w14:paraId="233FA8B6">
            <w:pPr>
              <w:pStyle w:val="108"/>
              <w:topLinePunct w:val="0"/>
              <w:bidi w:val="0"/>
              <w:adjustRightInd/>
              <w:snapToGrid/>
              <w:contextualSpacing/>
              <w:rPr>
                <w:rFonts w:hint="default" w:ascii="Times New Roman" w:hAnsi="Times New Roman" w:eastAsia="宋体" w:cs="Times New Roman"/>
                <w:color w:val="auto"/>
                <w:kern w:val="0"/>
                <w:sz w:val="21"/>
                <w:szCs w:val="21"/>
                <w:highlight w:val="none"/>
                <w:u w:val="none" w:color="auto"/>
                <w:lang w:val="en-US" w:eastAsia="zh-CN" w:bidi="ar-SA"/>
              </w:rPr>
            </w:pPr>
            <w:r>
              <w:rPr>
                <w:rFonts w:hint="default" w:ascii="Times New Roman" w:hAnsi="Times New Roman" w:eastAsia="宋体" w:cs="Times New Roman"/>
                <w:color w:val="auto"/>
                <w:kern w:val="0"/>
                <w:sz w:val="21"/>
                <w:szCs w:val="21"/>
                <w:highlight w:val="none"/>
                <w:u w:val="none" w:color="auto"/>
                <w:lang w:val="en-US" w:eastAsia="zh-CN" w:bidi="ar-SA"/>
              </w:rPr>
              <w:t>危废暂存库</w:t>
            </w:r>
          </w:p>
        </w:tc>
        <w:tc>
          <w:tcPr>
            <w:tcW w:w="360" w:type="pct"/>
            <w:vMerge w:val="restart"/>
            <w:tcBorders>
              <w:tl2br w:val="nil"/>
              <w:tr2bl w:val="nil"/>
            </w:tcBorders>
            <w:noWrap w:val="0"/>
            <w:vAlign w:val="center"/>
          </w:tcPr>
          <w:p w14:paraId="69B7D4E0">
            <w:pPr>
              <w:pStyle w:val="108"/>
              <w:topLinePunct w:val="0"/>
              <w:bidi w:val="0"/>
              <w:adjustRightInd/>
              <w:snapToGrid/>
              <w:contextualSpacing/>
              <w:rPr>
                <w:rFonts w:hint="default" w:ascii="Times New Roman" w:hAnsi="Times New Roman" w:eastAsia="宋体" w:cs="Times New Roman"/>
                <w:color w:val="auto"/>
                <w:kern w:val="0"/>
                <w:sz w:val="21"/>
                <w:szCs w:val="21"/>
                <w:highlight w:val="none"/>
                <w:u w:val="none" w:color="auto"/>
                <w:lang w:val="en-US" w:eastAsia="zh-CN" w:bidi="ar-SA"/>
              </w:rPr>
            </w:pPr>
            <w:r>
              <w:rPr>
                <w:rFonts w:hint="default" w:ascii="Times New Roman" w:hAnsi="Times New Roman" w:eastAsia="宋体" w:cs="Times New Roman"/>
                <w:color w:val="auto"/>
                <w:kern w:val="0"/>
                <w:sz w:val="21"/>
                <w:szCs w:val="21"/>
                <w:highlight w:val="none"/>
                <w:u w:val="none" w:color="auto"/>
                <w:lang w:val="en-US" w:eastAsia="zh-CN" w:bidi="ar-SA"/>
              </w:rPr>
              <w:t>危废暂存间（TS001）、</w:t>
            </w:r>
          </w:p>
        </w:tc>
        <w:tc>
          <w:tcPr>
            <w:tcW w:w="1435" w:type="pct"/>
            <w:gridSpan w:val="2"/>
            <w:tcBorders>
              <w:tl2br w:val="nil"/>
              <w:tr2bl w:val="nil"/>
            </w:tcBorders>
            <w:noWrap w:val="0"/>
            <w:vAlign w:val="center"/>
          </w:tcPr>
          <w:p w14:paraId="0C263B74">
            <w:pPr>
              <w:pStyle w:val="108"/>
              <w:topLinePunct w:val="0"/>
              <w:bidi w:val="0"/>
              <w:adjustRightInd/>
              <w:snapToGrid/>
              <w:contextualSpacing/>
              <w:rPr>
                <w:rFonts w:hint="default" w:ascii="Times New Roman" w:hAnsi="Times New Roman" w:eastAsia="宋体" w:cs="Times New Roman"/>
                <w:color w:val="auto"/>
                <w:kern w:val="0"/>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lang w:eastAsia="zh-CN"/>
              </w:rPr>
              <w:t>废矿物油、乳液桶</w:t>
            </w:r>
          </w:p>
        </w:tc>
        <w:tc>
          <w:tcPr>
            <w:tcW w:w="635" w:type="pct"/>
            <w:tcBorders>
              <w:tl2br w:val="nil"/>
              <w:tr2bl w:val="nil"/>
            </w:tcBorders>
            <w:noWrap w:val="0"/>
            <w:vAlign w:val="center"/>
          </w:tcPr>
          <w:p w14:paraId="031F6101">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i w:val="0"/>
                <w:iCs w:val="0"/>
                <w:color w:val="auto"/>
                <w:kern w:val="0"/>
                <w:sz w:val="21"/>
                <w:szCs w:val="21"/>
                <w:highlight w:val="none"/>
                <w:u w:val="none" w:color="auto"/>
                <w:lang w:val="en-US" w:eastAsia="zh-CN" w:bidi="ar"/>
              </w:rPr>
              <w:t>2</w:t>
            </w:r>
          </w:p>
        </w:tc>
        <w:tc>
          <w:tcPr>
            <w:tcW w:w="545" w:type="pct"/>
            <w:tcBorders>
              <w:tl2br w:val="nil"/>
              <w:tr2bl w:val="nil"/>
            </w:tcBorders>
            <w:noWrap w:val="0"/>
            <w:vAlign w:val="center"/>
          </w:tcPr>
          <w:p w14:paraId="1E88146C">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i w:val="0"/>
                <w:iCs w:val="0"/>
                <w:color w:val="auto"/>
                <w:kern w:val="0"/>
                <w:sz w:val="21"/>
                <w:szCs w:val="21"/>
                <w:highlight w:val="none"/>
                <w:u w:val="none" w:color="auto"/>
                <w:lang w:val="en-US" w:eastAsia="zh-CN" w:bidi="ar"/>
              </w:rPr>
              <w:t>2500</w:t>
            </w:r>
          </w:p>
        </w:tc>
        <w:tc>
          <w:tcPr>
            <w:tcW w:w="759" w:type="pct"/>
            <w:tcBorders>
              <w:tl2br w:val="nil"/>
              <w:tr2bl w:val="nil"/>
            </w:tcBorders>
            <w:noWrap w:val="0"/>
            <w:vAlign w:val="center"/>
          </w:tcPr>
          <w:p w14:paraId="0E47371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0.0008</w:t>
            </w:r>
          </w:p>
        </w:tc>
        <w:tc>
          <w:tcPr>
            <w:tcW w:w="610" w:type="pct"/>
            <w:tcBorders>
              <w:tl2br w:val="nil"/>
              <w:tr2bl w:val="nil"/>
            </w:tcBorders>
            <w:noWrap w:val="0"/>
            <w:vAlign w:val="center"/>
          </w:tcPr>
          <w:p w14:paraId="04ACB3B2">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u w:val="none" w:color="auto"/>
                <w:lang w:val="en-US" w:eastAsia="zh-CN" w:bidi="ar-SA"/>
              </w:rPr>
            </w:pPr>
          </w:p>
        </w:tc>
      </w:tr>
      <w:tr w14:paraId="39AB2F9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42" w:hRule="atLeast"/>
        </w:trPr>
        <w:tc>
          <w:tcPr>
            <w:tcW w:w="293" w:type="pct"/>
            <w:vMerge w:val="continue"/>
            <w:tcBorders>
              <w:tl2br w:val="nil"/>
              <w:tr2bl w:val="nil"/>
            </w:tcBorders>
            <w:noWrap w:val="0"/>
            <w:vAlign w:val="center"/>
          </w:tcPr>
          <w:p w14:paraId="012C8F60">
            <w:pPr>
              <w:topLinePunct w:val="0"/>
              <w:bidi w:val="0"/>
              <w:adjustRightInd/>
              <w:snapToGrid/>
              <w:jc w:val="center"/>
              <w:rPr>
                <w:rFonts w:hint="default" w:ascii="Times New Roman" w:hAnsi="Times New Roman" w:eastAsia="宋体" w:cs="Times New Roman"/>
                <w:color w:val="auto"/>
                <w:kern w:val="2"/>
                <w:sz w:val="21"/>
                <w:szCs w:val="21"/>
                <w:highlight w:val="none"/>
                <w:u w:val="none" w:color="auto"/>
                <w:lang w:val="en-US" w:eastAsia="zh-CN" w:bidi="ar-SA"/>
              </w:rPr>
            </w:pPr>
          </w:p>
        </w:tc>
        <w:tc>
          <w:tcPr>
            <w:tcW w:w="360" w:type="pct"/>
            <w:vMerge w:val="continue"/>
            <w:tcBorders>
              <w:tl2br w:val="nil"/>
              <w:tr2bl w:val="nil"/>
            </w:tcBorders>
            <w:noWrap w:val="0"/>
            <w:vAlign w:val="center"/>
          </w:tcPr>
          <w:p w14:paraId="65A6DD7C">
            <w:pPr>
              <w:pStyle w:val="108"/>
              <w:topLinePunct w:val="0"/>
              <w:bidi w:val="0"/>
              <w:adjustRightInd/>
              <w:snapToGrid/>
              <w:contextualSpacing/>
              <w:rPr>
                <w:rFonts w:hint="default" w:ascii="Times New Roman" w:hAnsi="Times New Roman" w:eastAsia="宋体" w:cs="Times New Roman"/>
                <w:color w:val="auto"/>
                <w:kern w:val="0"/>
                <w:sz w:val="21"/>
                <w:szCs w:val="21"/>
                <w:highlight w:val="none"/>
                <w:u w:val="none" w:color="auto"/>
                <w:lang w:val="en-US" w:eastAsia="zh-CN" w:bidi="ar-SA"/>
              </w:rPr>
            </w:pPr>
          </w:p>
        </w:tc>
        <w:tc>
          <w:tcPr>
            <w:tcW w:w="360" w:type="pct"/>
            <w:vMerge w:val="continue"/>
            <w:tcBorders>
              <w:tl2br w:val="nil"/>
              <w:tr2bl w:val="nil"/>
            </w:tcBorders>
            <w:noWrap w:val="0"/>
            <w:vAlign w:val="center"/>
          </w:tcPr>
          <w:p w14:paraId="3A246BC9">
            <w:pPr>
              <w:pStyle w:val="108"/>
              <w:topLinePunct w:val="0"/>
              <w:bidi w:val="0"/>
              <w:adjustRightInd/>
              <w:snapToGrid/>
              <w:contextualSpacing/>
              <w:rPr>
                <w:rFonts w:hint="default" w:ascii="Times New Roman" w:hAnsi="Times New Roman" w:eastAsia="宋体" w:cs="Times New Roman"/>
                <w:color w:val="auto"/>
                <w:kern w:val="0"/>
                <w:sz w:val="21"/>
                <w:szCs w:val="21"/>
                <w:highlight w:val="none"/>
                <w:u w:val="none" w:color="auto"/>
                <w:lang w:val="en-US" w:eastAsia="zh-CN" w:bidi="ar-SA"/>
              </w:rPr>
            </w:pPr>
          </w:p>
        </w:tc>
        <w:tc>
          <w:tcPr>
            <w:tcW w:w="1435" w:type="pct"/>
            <w:gridSpan w:val="2"/>
            <w:tcBorders>
              <w:tl2br w:val="nil"/>
              <w:tr2bl w:val="nil"/>
            </w:tcBorders>
            <w:noWrap w:val="0"/>
            <w:vAlign w:val="center"/>
          </w:tcPr>
          <w:p w14:paraId="26BA06C5">
            <w:pPr>
              <w:pStyle w:val="108"/>
              <w:topLinePunct w:val="0"/>
              <w:bidi w:val="0"/>
              <w:adjustRightInd/>
              <w:snapToGrid/>
              <w:contextualSpacing/>
              <w:rPr>
                <w:rFonts w:hint="default" w:ascii="Times New Roman" w:hAnsi="Times New Roman" w:eastAsia="宋体" w:cs="Times New Roman"/>
                <w:color w:val="auto"/>
                <w:kern w:val="0"/>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rPr>
              <w:t>废液压油、废机油</w:t>
            </w:r>
            <w:r>
              <w:rPr>
                <w:rFonts w:hint="default" w:ascii="Times New Roman" w:hAnsi="Times New Roman" w:eastAsia="宋体" w:cs="Times New Roman"/>
                <w:color w:val="auto"/>
                <w:sz w:val="21"/>
                <w:szCs w:val="21"/>
                <w:highlight w:val="none"/>
                <w:u w:val="none" w:color="auto"/>
                <w:lang w:eastAsia="zh-CN"/>
              </w:rPr>
              <w:t>、</w:t>
            </w:r>
            <w:r>
              <w:rPr>
                <w:rFonts w:hint="default" w:ascii="Times New Roman" w:hAnsi="Times New Roman" w:eastAsia="宋体" w:cs="Times New Roman"/>
                <w:color w:val="auto"/>
                <w:sz w:val="21"/>
                <w:szCs w:val="21"/>
                <w:highlight w:val="none"/>
                <w:u w:val="none" w:color="auto"/>
              </w:rPr>
              <w:t>废乳液</w:t>
            </w:r>
            <w:r>
              <w:rPr>
                <w:rFonts w:hint="default" w:ascii="Times New Roman" w:hAnsi="Times New Roman" w:eastAsia="宋体" w:cs="Times New Roman"/>
                <w:color w:val="auto"/>
                <w:sz w:val="21"/>
                <w:szCs w:val="21"/>
                <w:highlight w:val="none"/>
                <w:u w:val="none" w:color="auto"/>
                <w:lang w:eastAsia="zh-CN"/>
              </w:rPr>
              <w:t>、</w:t>
            </w:r>
            <w:r>
              <w:rPr>
                <w:rFonts w:hint="default" w:ascii="Times New Roman" w:hAnsi="Times New Roman" w:eastAsia="宋体" w:cs="Times New Roman"/>
                <w:color w:val="auto"/>
                <w:sz w:val="21"/>
                <w:szCs w:val="21"/>
                <w:highlight w:val="none"/>
                <w:u w:val="none" w:color="auto"/>
              </w:rPr>
              <w:t>浮油等废矿物油</w:t>
            </w:r>
          </w:p>
        </w:tc>
        <w:tc>
          <w:tcPr>
            <w:tcW w:w="635" w:type="pct"/>
            <w:tcBorders>
              <w:tl2br w:val="nil"/>
              <w:tr2bl w:val="nil"/>
            </w:tcBorders>
            <w:noWrap w:val="0"/>
            <w:vAlign w:val="center"/>
          </w:tcPr>
          <w:p w14:paraId="72CAC239">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24</w:t>
            </w:r>
          </w:p>
        </w:tc>
        <w:tc>
          <w:tcPr>
            <w:tcW w:w="545" w:type="pct"/>
            <w:tcBorders>
              <w:tl2br w:val="nil"/>
              <w:tr2bl w:val="nil"/>
            </w:tcBorders>
            <w:noWrap w:val="0"/>
            <w:vAlign w:val="center"/>
          </w:tcPr>
          <w:p w14:paraId="59813A77">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i w:val="0"/>
                <w:iCs w:val="0"/>
                <w:color w:val="auto"/>
                <w:kern w:val="0"/>
                <w:sz w:val="21"/>
                <w:szCs w:val="21"/>
                <w:highlight w:val="none"/>
                <w:u w:val="none" w:color="auto"/>
                <w:lang w:val="en-US" w:eastAsia="zh-CN" w:bidi="ar"/>
              </w:rPr>
              <w:t>2500</w:t>
            </w:r>
          </w:p>
        </w:tc>
        <w:tc>
          <w:tcPr>
            <w:tcW w:w="759" w:type="pct"/>
            <w:tcBorders>
              <w:tl2br w:val="nil"/>
              <w:tr2bl w:val="nil"/>
            </w:tcBorders>
            <w:noWrap w:val="0"/>
            <w:vAlign w:val="center"/>
          </w:tcPr>
          <w:p w14:paraId="6B465AB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0.0096</w:t>
            </w:r>
          </w:p>
        </w:tc>
        <w:tc>
          <w:tcPr>
            <w:tcW w:w="610" w:type="pct"/>
            <w:tcBorders>
              <w:tl2br w:val="nil"/>
              <w:tr2bl w:val="nil"/>
            </w:tcBorders>
            <w:noWrap w:val="0"/>
            <w:vAlign w:val="center"/>
          </w:tcPr>
          <w:p w14:paraId="45D00542">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u w:val="none" w:color="auto"/>
                <w:lang w:val="en-US" w:eastAsia="zh-CN" w:bidi="ar-SA"/>
              </w:rPr>
            </w:pPr>
          </w:p>
        </w:tc>
      </w:tr>
      <w:tr w14:paraId="3674598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93" w:type="pct"/>
            <w:vMerge w:val="continue"/>
            <w:tcBorders>
              <w:tl2br w:val="nil"/>
              <w:tr2bl w:val="nil"/>
            </w:tcBorders>
            <w:noWrap w:val="0"/>
            <w:vAlign w:val="center"/>
          </w:tcPr>
          <w:p w14:paraId="3C82E1BE">
            <w:pPr>
              <w:topLinePunct w:val="0"/>
              <w:bidi w:val="0"/>
              <w:adjustRightInd/>
              <w:snapToGrid/>
              <w:jc w:val="center"/>
              <w:rPr>
                <w:rFonts w:hint="default" w:ascii="Times New Roman" w:hAnsi="Times New Roman" w:eastAsia="宋体" w:cs="Times New Roman"/>
                <w:color w:val="auto"/>
                <w:kern w:val="2"/>
                <w:sz w:val="21"/>
                <w:szCs w:val="21"/>
                <w:highlight w:val="none"/>
                <w:u w:val="none" w:color="auto"/>
                <w:lang w:val="en-US" w:eastAsia="zh-CN" w:bidi="ar-SA"/>
              </w:rPr>
            </w:pPr>
          </w:p>
        </w:tc>
        <w:tc>
          <w:tcPr>
            <w:tcW w:w="360" w:type="pct"/>
            <w:vMerge w:val="continue"/>
            <w:tcBorders>
              <w:tl2br w:val="nil"/>
              <w:tr2bl w:val="nil"/>
            </w:tcBorders>
            <w:noWrap w:val="0"/>
            <w:vAlign w:val="center"/>
          </w:tcPr>
          <w:p w14:paraId="798917B1">
            <w:pPr>
              <w:pStyle w:val="108"/>
              <w:topLinePunct w:val="0"/>
              <w:bidi w:val="0"/>
              <w:adjustRightInd/>
              <w:snapToGrid/>
              <w:contextualSpacing/>
              <w:rPr>
                <w:rFonts w:hint="default" w:ascii="Times New Roman" w:hAnsi="Times New Roman" w:eastAsia="宋体" w:cs="Times New Roman"/>
                <w:color w:val="auto"/>
                <w:kern w:val="0"/>
                <w:sz w:val="21"/>
                <w:szCs w:val="21"/>
                <w:highlight w:val="none"/>
                <w:u w:val="none" w:color="auto"/>
                <w:lang w:val="en-US" w:eastAsia="zh-CN" w:bidi="ar-SA"/>
              </w:rPr>
            </w:pPr>
          </w:p>
        </w:tc>
        <w:tc>
          <w:tcPr>
            <w:tcW w:w="360" w:type="pct"/>
            <w:vMerge w:val="continue"/>
            <w:tcBorders>
              <w:tl2br w:val="nil"/>
              <w:tr2bl w:val="nil"/>
            </w:tcBorders>
            <w:noWrap w:val="0"/>
            <w:vAlign w:val="center"/>
          </w:tcPr>
          <w:p w14:paraId="5A252227">
            <w:pPr>
              <w:pStyle w:val="108"/>
              <w:topLinePunct w:val="0"/>
              <w:bidi w:val="0"/>
              <w:adjustRightInd/>
              <w:snapToGrid/>
              <w:contextualSpacing/>
              <w:rPr>
                <w:rFonts w:hint="default" w:ascii="Times New Roman" w:hAnsi="Times New Roman" w:eastAsia="宋体" w:cs="Times New Roman"/>
                <w:color w:val="auto"/>
                <w:kern w:val="0"/>
                <w:sz w:val="21"/>
                <w:szCs w:val="21"/>
                <w:highlight w:val="none"/>
                <w:u w:val="none" w:color="auto"/>
                <w:lang w:val="en-US" w:eastAsia="zh-CN" w:bidi="ar-SA"/>
              </w:rPr>
            </w:pPr>
          </w:p>
        </w:tc>
        <w:tc>
          <w:tcPr>
            <w:tcW w:w="1435" w:type="pct"/>
            <w:gridSpan w:val="2"/>
            <w:tcBorders>
              <w:tl2br w:val="nil"/>
              <w:tr2bl w:val="nil"/>
            </w:tcBorders>
            <w:noWrap w:val="0"/>
            <w:vAlign w:val="center"/>
          </w:tcPr>
          <w:p w14:paraId="760C5BE9">
            <w:pPr>
              <w:topLinePunct w:val="0"/>
              <w:bidi w:val="0"/>
              <w:adjustRightInd/>
              <w:snapToGrid/>
              <w:spacing w:line="240" w:lineRule="atLeast"/>
              <w:jc w:val="center"/>
              <w:rPr>
                <w:rFonts w:hint="default" w:ascii="Times New Roman" w:hAnsi="Times New Roman" w:eastAsia="宋体" w:cs="Times New Roman"/>
                <w:color w:val="auto"/>
                <w:kern w:val="21"/>
                <w:sz w:val="21"/>
                <w:szCs w:val="21"/>
                <w:highlight w:val="none"/>
                <w:u w:val="none" w:color="auto"/>
                <w:lang w:val="en-US" w:eastAsia="zh-CN" w:bidi="ar-SA"/>
              </w:rPr>
            </w:pPr>
            <w:r>
              <w:rPr>
                <w:rFonts w:hint="default" w:ascii="Times New Roman" w:hAnsi="Times New Roman" w:eastAsia="宋体" w:cs="Times New Roman"/>
                <w:color w:val="auto"/>
                <w:kern w:val="21"/>
                <w:sz w:val="21"/>
                <w:szCs w:val="21"/>
                <w:highlight w:val="none"/>
                <w:u w:val="none" w:color="auto"/>
                <w:lang w:eastAsia="zh-CN"/>
              </w:rPr>
              <w:t>含油</w:t>
            </w:r>
            <w:r>
              <w:rPr>
                <w:rFonts w:hint="default" w:ascii="Times New Roman" w:hAnsi="Times New Roman" w:eastAsia="宋体" w:cs="Times New Roman"/>
                <w:color w:val="auto"/>
                <w:kern w:val="21"/>
                <w:sz w:val="21"/>
                <w:szCs w:val="21"/>
                <w:highlight w:val="none"/>
                <w:u w:val="none" w:color="auto"/>
              </w:rPr>
              <w:t>浮渣和污泥</w:t>
            </w:r>
          </w:p>
        </w:tc>
        <w:tc>
          <w:tcPr>
            <w:tcW w:w="635" w:type="pct"/>
            <w:tcBorders>
              <w:tl2br w:val="nil"/>
              <w:tr2bl w:val="nil"/>
            </w:tcBorders>
            <w:noWrap w:val="0"/>
            <w:vAlign w:val="center"/>
          </w:tcPr>
          <w:p w14:paraId="1A950859">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i w:val="0"/>
                <w:iCs w:val="0"/>
                <w:color w:val="auto"/>
                <w:kern w:val="0"/>
                <w:sz w:val="21"/>
                <w:szCs w:val="21"/>
                <w:highlight w:val="none"/>
                <w:u w:val="none" w:color="auto"/>
                <w:lang w:val="en-US" w:eastAsia="zh-CN" w:bidi="ar"/>
              </w:rPr>
              <w:t>80</w:t>
            </w:r>
          </w:p>
        </w:tc>
        <w:tc>
          <w:tcPr>
            <w:tcW w:w="545" w:type="pct"/>
            <w:tcBorders>
              <w:tl2br w:val="nil"/>
              <w:tr2bl w:val="nil"/>
            </w:tcBorders>
            <w:noWrap w:val="0"/>
            <w:vAlign w:val="center"/>
          </w:tcPr>
          <w:p w14:paraId="3758013A">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i w:val="0"/>
                <w:iCs w:val="0"/>
                <w:color w:val="auto"/>
                <w:kern w:val="0"/>
                <w:sz w:val="21"/>
                <w:szCs w:val="21"/>
                <w:highlight w:val="none"/>
                <w:u w:val="none" w:color="auto"/>
                <w:lang w:val="en-US" w:eastAsia="zh-CN" w:bidi="ar"/>
              </w:rPr>
              <w:t>2500</w:t>
            </w:r>
          </w:p>
        </w:tc>
        <w:tc>
          <w:tcPr>
            <w:tcW w:w="759" w:type="pct"/>
            <w:tcBorders>
              <w:tl2br w:val="nil"/>
              <w:tr2bl w:val="nil"/>
            </w:tcBorders>
            <w:noWrap w:val="0"/>
            <w:vAlign w:val="center"/>
          </w:tcPr>
          <w:p w14:paraId="58D3FC2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0.032</w:t>
            </w:r>
          </w:p>
        </w:tc>
        <w:tc>
          <w:tcPr>
            <w:tcW w:w="610" w:type="pct"/>
            <w:tcBorders>
              <w:tl2br w:val="nil"/>
              <w:tr2bl w:val="nil"/>
            </w:tcBorders>
            <w:noWrap w:val="0"/>
            <w:vAlign w:val="center"/>
          </w:tcPr>
          <w:p w14:paraId="1D6DD8E9">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u w:val="none" w:color="auto"/>
                <w:lang w:val="en-US" w:eastAsia="zh-CN" w:bidi="ar-SA"/>
              </w:rPr>
            </w:pPr>
          </w:p>
        </w:tc>
      </w:tr>
      <w:tr w14:paraId="2D93617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9" w:hRule="atLeast"/>
        </w:trPr>
        <w:tc>
          <w:tcPr>
            <w:tcW w:w="293" w:type="pct"/>
            <w:vMerge w:val="restart"/>
            <w:tcBorders>
              <w:tl2br w:val="nil"/>
              <w:tr2bl w:val="nil"/>
            </w:tcBorders>
            <w:noWrap w:val="0"/>
            <w:vAlign w:val="center"/>
          </w:tcPr>
          <w:p w14:paraId="114B6080">
            <w:pPr>
              <w:topLinePunct w:val="0"/>
              <w:bidi w:val="0"/>
              <w:adjustRightInd/>
              <w:snapToGrid/>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5</w:t>
            </w:r>
          </w:p>
        </w:tc>
        <w:tc>
          <w:tcPr>
            <w:tcW w:w="360" w:type="pct"/>
            <w:vMerge w:val="continue"/>
            <w:tcBorders>
              <w:tl2br w:val="nil"/>
              <w:tr2bl w:val="nil"/>
            </w:tcBorders>
            <w:noWrap w:val="0"/>
            <w:vAlign w:val="center"/>
          </w:tcPr>
          <w:p w14:paraId="78F3CC28">
            <w:pPr>
              <w:pStyle w:val="108"/>
              <w:topLinePunct w:val="0"/>
              <w:bidi w:val="0"/>
              <w:adjustRightInd/>
              <w:snapToGrid/>
              <w:contextualSpacing/>
              <w:rPr>
                <w:rFonts w:hint="default" w:ascii="Times New Roman" w:hAnsi="Times New Roman" w:eastAsia="宋体" w:cs="Times New Roman"/>
                <w:color w:val="auto"/>
                <w:kern w:val="0"/>
                <w:sz w:val="21"/>
                <w:szCs w:val="21"/>
                <w:highlight w:val="none"/>
                <w:u w:val="none" w:color="auto"/>
                <w:lang w:val="en-US" w:eastAsia="zh-CN" w:bidi="ar-SA"/>
              </w:rPr>
            </w:pPr>
          </w:p>
        </w:tc>
        <w:tc>
          <w:tcPr>
            <w:tcW w:w="360" w:type="pct"/>
            <w:vMerge w:val="restart"/>
            <w:tcBorders>
              <w:tl2br w:val="nil"/>
              <w:tr2bl w:val="nil"/>
            </w:tcBorders>
            <w:noWrap w:val="0"/>
            <w:vAlign w:val="center"/>
          </w:tcPr>
          <w:p w14:paraId="408B1AA8">
            <w:pPr>
              <w:pStyle w:val="108"/>
              <w:topLinePunct w:val="0"/>
              <w:bidi w:val="0"/>
              <w:adjustRightInd/>
              <w:snapToGrid/>
              <w:contextualSpacing/>
              <w:rPr>
                <w:rFonts w:hint="default" w:ascii="Times New Roman" w:hAnsi="Times New Roman" w:eastAsia="宋体" w:cs="Times New Roman"/>
                <w:color w:val="auto"/>
                <w:kern w:val="0"/>
                <w:sz w:val="21"/>
                <w:szCs w:val="21"/>
                <w:highlight w:val="none"/>
                <w:u w:val="none" w:color="auto"/>
                <w:lang w:val="en-US" w:eastAsia="zh-CN" w:bidi="ar-SA"/>
              </w:rPr>
            </w:pPr>
            <w:r>
              <w:rPr>
                <w:rFonts w:hint="default" w:ascii="Times New Roman" w:hAnsi="Times New Roman" w:eastAsia="宋体" w:cs="Times New Roman"/>
                <w:color w:val="auto"/>
                <w:kern w:val="0"/>
                <w:sz w:val="21"/>
                <w:szCs w:val="21"/>
                <w:highlight w:val="none"/>
                <w:u w:val="none" w:color="auto"/>
                <w:lang w:val="en-US" w:eastAsia="zh-CN" w:bidi="ar-SA"/>
              </w:rPr>
              <w:t>危废暂存间（TS002）</w:t>
            </w:r>
          </w:p>
        </w:tc>
        <w:tc>
          <w:tcPr>
            <w:tcW w:w="1435" w:type="pct"/>
            <w:gridSpan w:val="2"/>
            <w:tcBorders>
              <w:tl2br w:val="nil"/>
              <w:tr2bl w:val="nil"/>
            </w:tcBorders>
            <w:noWrap w:val="0"/>
            <w:vAlign w:val="center"/>
          </w:tcPr>
          <w:p w14:paraId="1ACDA0DC">
            <w:pPr>
              <w:pStyle w:val="108"/>
              <w:topLinePunct w:val="0"/>
              <w:bidi w:val="0"/>
              <w:adjustRightInd/>
              <w:snapToGrid/>
              <w:contextualSpacing/>
              <w:rPr>
                <w:rFonts w:hint="default" w:ascii="Times New Roman" w:hAnsi="Times New Roman" w:eastAsia="宋体" w:cs="Times New Roman"/>
                <w:color w:val="auto"/>
                <w:kern w:val="0"/>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rPr>
              <w:t>实验室废液</w:t>
            </w:r>
            <w:r>
              <w:rPr>
                <w:rFonts w:hint="default" w:ascii="Times New Roman" w:hAnsi="Times New Roman" w:eastAsia="宋体" w:cs="Times New Roman"/>
                <w:color w:val="auto"/>
                <w:sz w:val="21"/>
                <w:szCs w:val="21"/>
                <w:highlight w:val="none"/>
                <w:u w:val="none" w:color="auto"/>
                <w:vertAlign w:val="superscript"/>
                <w:lang w:val="en-US" w:eastAsia="zh-CN"/>
              </w:rPr>
              <w:t>[1]</w:t>
            </w:r>
          </w:p>
        </w:tc>
        <w:tc>
          <w:tcPr>
            <w:tcW w:w="635" w:type="pct"/>
            <w:tcBorders>
              <w:tl2br w:val="nil"/>
              <w:tr2bl w:val="nil"/>
            </w:tcBorders>
            <w:noWrap w:val="0"/>
            <w:vAlign w:val="center"/>
          </w:tcPr>
          <w:p w14:paraId="4A1228CF">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i w:val="0"/>
                <w:iCs w:val="0"/>
                <w:color w:val="auto"/>
                <w:kern w:val="0"/>
                <w:sz w:val="21"/>
                <w:szCs w:val="21"/>
                <w:highlight w:val="none"/>
                <w:u w:val="none" w:color="auto"/>
                <w:lang w:val="en-US" w:eastAsia="zh-CN" w:bidi="ar"/>
              </w:rPr>
              <w:t>10</w:t>
            </w:r>
          </w:p>
        </w:tc>
        <w:tc>
          <w:tcPr>
            <w:tcW w:w="545" w:type="pct"/>
            <w:tcBorders>
              <w:tl2br w:val="nil"/>
              <w:tr2bl w:val="nil"/>
            </w:tcBorders>
            <w:noWrap w:val="0"/>
            <w:vAlign w:val="center"/>
          </w:tcPr>
          <w:p w14:paraId="3729D975">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i w:val="0"/>
                <w:iCs w:val="0"/>
                <w:color w:val="auto"/>
                <w:kern w:val="0"/>
                <w:sz w:val="21"/>
                <w:szCs w:val="21"/>
                <w:highlight w:val="none"/>
                <w:u w:val="none" w:color="auto"/>
                <w:lang w:val="en-US" w:eastAsia="zh-CN" w:bidi="ar"/>
              </w:rPr>
              <w:t>100</w:t>
            </w:r>
          </w:p>
        </w:tc>
        <w:tc>
          <w:tcPr>
            <w:tcW w:w="759" w:type="pct"/>
            <w:tcBorders>
              <w:tl2br w:val="nil"/>
              <w:tr2bl w:val="nil"/>
            </w:tcBorders>
            <w:noWrap w:val="0"/>
            <w:vAlign w:val="center"/>
          </w:tcPr>
          <w:p w14:paraId="5083E6F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0.1</w:t>
            </w:r>
          </w:p>
        </w:tc>
        <w:tc>
          <w:tcPr>
            <w:tcW w:w="610" w:type="pct"/>
            <w:tcBorders>
              <w:tl2br w:val="nil"/>
              <w:tr2bl w:val="nil"/>
            </w:tcBorders>
            <w:noWrap w:val="0"/>
            <w:vAlign w:val="center"/>
          </w:tcPr>
          <w:p w14:paraId="710C1C3E">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u w:val="none" w:color="auto"/>
                <w:lang w:val="en-US" w:eastAsia="zh-CN" w:bidi="ar-SA"/>
              </w:rPr>
            </w:pPr>
          </w:p>
        </w:tc>
      </w:tr>
      <w:tr w14:paraId="7F332AC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93" w:type="pct"/>
            <w:vMerge w:val="continue"/>
            <w:tcBorders>
              <w:tl2br w:val="nil"/>
              <w:tr2bl w:val="nil"/>
            </w:tcBorders>
            <w:noWrap w:val="0"/>
            <w:vAlign w:val="center"/>
          </w:tcPr>
          <w:p w14:paraId="623867BA">
            <w:pPr>
              <w:topLinePunct w:val="0"/>
              <w:bidi w:val="0"/>
              <w:adjustRightInd/>
              <w:snapToGrid/>
              <w:jc w:val="center"/>
              <w:rPr>
                <w:rFonts w:hint="default" w:ascii="Times New Roman" w:hAnsi="Times New Roman" w:eastAsia="宋体" w:cs="Times New Roman"/>
                <w:color w:val="auto"/>
                <w:sz w:val="21"/>
                <w:szCs w:val="21"/>
                <w:highlight w:val="none"/>
                <w:u w:val="none" w:color="auto"/>
                <w:lang w:val="en-US" w:eastAsia="zh-CN"/>
              </w:rPr>
            </w:pPr>
          </w:p>
        </w:tc>
        <w:tc>
          <w:tcPr>
            <w:tcW w:w="360" w:type="pct"/>
            <w:vMerge w:val="continue"/>
            <w:tcBorders>
              <w:tl2br w:val="nil"/>
              <w:tr2bl w:val="nil"/>
            </w:tcBorders>
            <w:noWrap w:val="0"/>
            <w:vAlign w:val="center"/>
          </w:tcPr>
          <w:p w14:paraId="45FF0E99">
            <w:pPr>
              <w:topLinePunct w:val="0"/>
              <w:bidi w:val="0"/>
              <w:adjustRightInd/>
              <w:snapToGrid/>
              <w:spacing w:line="240" w:lineRule="atLeast"/>
              <w:jc w:val="center"/>
              <w:rPr>
                <w:rFonts w:hint="default" w:ascii="Times New Roman" w:hAnsi="Times New Roman" w:eastAsia="宋体" w:cs="Times New Roman"/>
                <w:color w:val="auto"/>
                <w:kern w:val="2"/>
                <w:sz w:val="21"/>
                <w:szCs w:val="21"/>
                <w:highlight w:val="none"/>
                <w:u w:val="none" w:color="auto"/>
                <w:lang w:val="en-US" w:eastAsia="zh-CN" w:bidi="ar-SA"/>
              </w:rPr>
            </w:pPr>
          </w:p>
        </w:tc>
        <w:tc>
          <w:tcPr>
            <w:tcW w:w="360" w:type="pct"/>
            <w:vMerge w:val="continue"/>
            <w:tcBorders>
              <w:tl2br w:val="nil"/>
              <w:tr2bl w:val="nil"/>
            </w:tcBorders>
            <w:noWrap w:val="0"/>
            <w:vAlign w:val="center"/>
          </w:tcPr>
          <w:p w14:paraId="4172872E">
            <w:pPr>
              <w:topLinePunct w:val="0"/>
              <w:bidi w:val="0"/>
              <w:adjustRightInd/>
              <w:snapToGrid/>
              <w:spacing w:line="240" w:lineRule="atLeast"/>
              <w:jc w:val="center"/>
              <w:rPr>
                <w:rFonts w:hint="default" w:ascii="Times New Roman" w:hAnsi="Times New Roman" w:eastAsia="宋体" w:cs="Times New Roman"/>
                <w:color w:val="auto"/>
                <w:kern w:val="2"/>
                <w:sz w:val="21"/>
                <w:szCs w:val="21"/>
                <w:highlight w:val="none"/>
                <w:u w:val="none" w:color="auto"/>
                <w:lang w:val="en-US" w:eastAsia="zh-CN" w:bidi="ar-SA"/>
              </w:rPr>
            </w:pPr>
          </w:p>
        </w:tc>
        <w:tc>
          <w:tcPr>
            <w:tcW w:w="1435" w:type="pct"/>
            <w:gridSpan w:val="2"/>
            <w:tcBorders>
              <w:tl2br w:val="nil"/>
              <w:tr2bl w:val="nil"/>
            </w:tcBorders>
            <w:noWrap w:val="0"/>
            <w:vAlign w:val="center"/>
          </w:tcPr>
          <w:p w14:paraId="09A033EE">
            <w:pPr>
              <w:topLinePunct w:val="0"/>
              <w:bidi w:val="0"/>
              <w:adjustRightInd/>
              <w:snapToGrid/>
              <w:spacing w:line="240" w:lineRule="atLeast"/>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1"/>
                <w:sz w:val="21"/>
                <w:szCs w:val="21"/>
                <w:highlight w:val="none"/>
                <w:u w:val="none" w:color="auto"/>
                <w:lang w:eastAsia="zh-CN"/>
              </w:rPr>
              <w:t>蚀洗槽铝残渣</w:t>
            </w:r>
            <w:r>
              <w:rPr>
                <w:rFonts w:hint="default" w:ascii="Times New Roman" w:hAnsi="Times New Roman" w:eastAsia="宋体" w:cs="Times New Roman"/>
                <w:color w:val="auto"/>
                <w:sz w:val="21"/>
                <w:szCs w:val="21"/>
                <w:highlight w:val="none"/>
                <w:u w:val="none" w:color="auto"/>
                <w:vertAlign w:val="superscript"/>
                <w:lang w:val="en-US" w:eastAsia="zh-CN"/>
              </w:rPr>
              <w:t>[1]</w:t>
            </w:r>
          </w:p>
        </w:tc>
        <w:tc>
          <w:tcPr>
            <w:tcW w:w="635" w:type="pct"/>
            <w:tcBorders>
              <w:tl2br w:val="nil"/>
              <w:tr2bl w:val="nil"/>
            </w:tcBorders>
            <w:noWrap w:val="0"/>
            <w:vAlign w:val="center"/>
          </w:tcPr>
          <w:p w14:paraId="5956B04B">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i w:val="0"/>
                <w:iCs w:val="0"/>
                <w:color w:val="auto"/>
                <w:kern w:val="0"/>
                <w:sz w:val="21"/>
                <w:szCs w:val="21"/>
                <w:highlight w:val="none"/>
                <w:u w:val="none" w:color="auto"/>
                <w:lang w:val="en-US" w:eastAsia="zh-CN" w:bidi="ar"/>
              </w:rPr>
              <w:t>4</w:t>
            </w:r>
          </w:p>
        </w:tc>
        <w:tc>
          <w:tcPr>
            <w:tcW w:w="545" w:type="pct"/>
            <w:tcBorders>
              <w:tl2br w:val="nil"/>
              <w:tr2bl w:val="nil"/>
            </w:tcBorders>
            <w:noWrap w:val="0"/>
            <w:vAlign w:val="center"/>
          </w:tcPr>
          <w:p w14:paraId="3D70BC52">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i w:val="0"/>
                <w:iCs w:val="0"/>
                <w:color w:val="auto"/>
                <w:kern w:val="0"/>
                <w:sz w:val="21"/>
                <w:szCs w:val="21"/>
                <w:highlight w:val="none"/>
                <w:u w:val="none" w:color="auto"/>
                <w:lang w:val="en-US" w:eastAsia="zh-CN" w:bidi="ar"/>
              </w:rPr>
              <w:t>100</w:t>
            </w:r>
          </w:p>
        </w:tc>
        <w:tc>
          <w:tcPr>
            <w:tcW w:w="759" w:type="pct"/>
            <w:tcBorders>
              <w:tl2br w:val="nil"/>
              <w:tr2bl w:val="nil"/>
            </w:tcBorders>
            <w:noWrap w:val="0"/>
            <w:vAlign w:val="center"/>
          </w:tcPr>
          <w:p w14:paraId="3F72935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0.04</w:t>
            </w:r>
          </w:p>
        </w:tc>
        <w:tc>
          <w:tcPr>
            <w:tcW w:w="610" w:type="pct"/>
            <w:tcBorders>
              <w:tl2br w:val="nil"/>
              <w:tr2bl w:val="nil"/>
            </w:tcBorders>
            <w:noWrap w:val="0"/>
            <w:vAlign w:val="center"/>
          </w:tcPr>
          <w:p w14:paraId="41432BBA">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u w:val="none" w:color="auto"/>
                <w:lang w:val="en-US" w:eastAsia="zh-CN" w:bidi="ar-SA"/>
              </w:rPr>
            </w:pPr>
          </w:p>
        </w:tc>
      </w:tr>
      <w:tr w14:paraId="5E38405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93" w:type="pct"/>
            <w:vMerge w:val="restart"/>
            <w:tcBorders>
              <w:tl2br w:val="nil"/>
              <w:tr2bl w:val="nil"/>
            </w:tcBorders>
            <w:noWrap w:val="0"/>
            <w:vAlign w:val="center"/>
          </w:tcPr>
          <w:p w14:paraId="47530B65">
            <w:pPr>
              <w:topLinePunct w:val="0"/>
              <w:bidi w:val="0"/>
              <w:adjustRightInd/>
              <w:snapToGrid/>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6</w:t>
            </w:r>
          </w:p>
        </w:tc>
        <w:tc>
          <w:tcPr>
            <w:tcW w:w="360" w:type="pct"/>
            <w:vMerge w:val="continue"/>
            <w:tcBorders>
              <w:tl2br w:val="nil"/>
              <w:tr2bl w:val="nil"/>
            </w:tcBorders>
            <w:noWrap w:val="0"/>
            <w:vAlign w:val="center"/>
          </w:tcPr>
          <w:p w14:paraId="26109FED">
            <w:pPr>
              <w:topLinePunct w:val="0"/>
              <w:bidi w:val="0"/>
              <w:adjustRightInd/>
              <w:snapToGrid/>
              <w:spacing w:line="240" w:lineRule="atLeast"/>
              <w:jc w:val="center"/>
              <w:rPr>
                <w:rFonts w:hint="default" w:ascii="Times New Roman" w:hAnsi="Times New Roman" w:eastAsia="宋体" w:cs="Times New Roman"/>
                <w:color w:val="auto"/>
                <w:kern w:val="21"/>
                <w:sz w:val="21"/>
                <w:szCs w:val="21"/>
                <w:highlight w:val="none"/>
                <w:u w:val="none" w:color="auto"/>
                <w:lang w:val="en-US" w:eastAsia="zh-CN" w:bidi="ar-SA"/>
              </w:rPr>
            </w:pPr>
          </w:p>
        </w:tc>
        <w:tc>
          <w:tcPr>
            <w:tcW w:w="360" w:type="pct"/>
            <w:vMerge w:val="restart"/>
            <w:tcBorders>
              <w:tl2br w:val="nil"/>
              <w:tr2bl w:val="nil"/>
            </w:tcBorders>
            <w:noWrap w:val="0"/>
            <w:vAlign w:val="center"/>
          </w:tcPr>
          <w:p w14:paraId="47878A9F">
            <w:pPr>
              <w:topLinePunct w:val="0"/>
              <w:bidi w:val="0"/>
              <w:adjustRightInd/>
              <w:snapToGrid/>
              <w:spacing w:line="240" w:lineRule="atLeast"/>
              <w:jc w:val="center"/>
              <w:rPr>
                <w:rFonts w:hint="default" w:ascii="Times New Roman" w:hAnsi="Times New Roman" w:eastAsia="宋体" w:cs="Times New Roman"/>
                <w:color w:val="auto"/>
                <w:kern w:val="21"/>
                <w:sz w:val="21"/>
                <w:szCs w:val="21"/>
                <w:highlight w:val="none"/>
                <w:u w:val="none" w:color="auto"/>
                <w:lang w:val="en-US" w:eastAsia="zh-CN" w:bidi="ar-SA"/>
              </w:rPr>
            </w:pPr>
            <w:r>
              <w:rPr>
                <w:rFonts w:hint="default" w:ascii="Times New Roman" w:hAnsi="Times New Roman" w:eastAsia="宋体" w:cs="Times New Roman"/>
                <w:color w:val="auto"/>
                <w:kern w:val="21"/>
                <w:sz w:val="21"/>
                <w:szCs w:val="21"/>
                <w:highlight w:val="none"/>
                <w:u w:val="none" w:color="auto"/>
                <w:lang w:val="en-US" w:eastAsia="zh-CN" w:bidi="ar-SA"/>
              </w:rPr>
              <w:t>危废暂存间（TS003）</w:t>
            </w:r>
          </w:p>
        </w:tc>
        <w:tc>
          <w:tcPr>
            <w:tcW w:w="1435" w:type="pct"/>
            <w:gridSpan w:val="2"/>
            <w:tcBorders>
              <w:tl2br w:val="nil"/>
              <w:tr2bl w:val="nil"/>
            </w:tcBorders>
            <w:noWrap w:val="0"/>
            <w:vAlign w:val="center"/>
          </w:tcPr>
          <w:p w14:paraId="52907546">
            <w:pPr>
              <w:topLinePunct w:val="0"/>
              <w:bidi w:val="0"/>
              <w:adjustRightInd/>
              <w:snapToGrid/>
              <w:spacing w:line="240" w:lineRule="atLeast"/>
              <w:jc w:val="center"/>
              <w:rPr>
                <w:rFonts w:hint="default" w:ascii="Times New Roman" w:hAnsi="Times New Roman" w:eastAsia="宋体" w:cs="Times New Roman"/>
                <w:color w:val="auto"/>
                <w:kern w:val="21"/>
                <w:sz w:val="21"/>
                <w:szCs w:val="21"/>
                <w:highlight w:val="none"/>
                <w:u w:val="none" w:color="auto"/>
                <w:lang w:val="en-US" w:eastAsia="zh-CN"/>
              </w:rPr>
            </w:pPr>
            <w:r>
              <w:rPr>
                <w:rFonts w:hint="default" w:ascii="Times New Roman" w:hAnsi="Times New Roman" w:eastAsia="宋体" w:cs="Times New Roman"/>
                <w:color w:val="auto"/>
                <w:kern w:val="21"/>
                <w:sz w:val="21"/>
                <w:szCs w:val="21"/>
                <w:highlight w:val="none"/>
                <w:u w:val="none" w:color="auto"/>
                <w:lang w:eastAsia="zh-CN"/>
              </w:rPr>
              <w:t>铝灰渣及二次铝灰渣</w:t>
            </w:r>
            <w:r>
              <w:rPr>
                <w:rFonts w:hint="default" w:ascii="Times New Roman" w:hAnsi="Times New Roman" w:eastAsia="宋体" w:cs="Times New Roman"/>
                <w:color w:val="auto"/>
                <w:sz w:val="21"/>
                <w:szCs w:val="21"/>
                <w:highlight w:val="none"/>
                <w:u w:val="none" w:color="auto"/>
                <w:vertAlign w:val="superscript"/>
                <w:lang w:val="en-US" w:eastAsia="zh-CN"/>
              </w:rPr>
              <w:t>[3]</w:t>
            </w:r>
          </w:p>
        </w:tc>
        <w:tc>
          <w:tcPr>
            <w:tcW w:w="635" w:type="pct"/>
            <w:tcBorders>
              <w:tl2br w:val="nil"/>
              <w:tr2bl w:val="nil"/>
            </w:tcBorders>
            <w:noWrap w:val="0"/>
            <w:vAlign w:val="center"/>
          </w:tcPr>
          <w:p w14:paraId="249637A9">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70</w:t>
            </w:r>
          </w:p>
        </w:tc>
        <w:tc>
          <w:tcPr>
            <w:tcW w:w="545" w:type="pct"/>
            <w:tcBorders>
              <w:tl2br w:val="nil"/>
              <w:tr2bl w:val="nil"/>
            </w:tcBorders>
            <w:noWrap w:val="0"/>
            <w:vAlign w:val="center"/>
          </w:tcPr>
          <w:p w14:paraId="51FDDD48">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i w:val="0"/>
                <w:iCs w:val="0"/>
                <w:color w:val="auto"/>
                <w:kern w:val="0"/>
                <w:sz w:val="21"/>
                <w:szCs w:val="21"/>
                <w:highlight w:val="none"/>
                <w:u w:val="none" w:color="auto"/>
                <w:lang w:val="en-US" w:eastAsia="zh-CN" w:bidi="ar"/>
              </w:rPr>
              <w:t>50</w:t>
            </w:r>
          </w:p>
        </w:tc>
        <w:tc>
          <w:tcPr>
            <w:tcW w:w="759" w:type="pct"/>
            <w:tcBorders>
              <w:tl2br w:val="nil"/>
              <w:tr2bl w:val="nil"/>
            </w:tcBorders>
            <w:noWrap w:val="0"/>
            <w:vAlign w:val="center"/>
          </w:tcPr>
          <w:p w14:paraId="21607AE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1.4</w:t>
            </w:r>
          </w:p>
        </w:tc>
        <w:tc>
          <w:tcPr>
            <w:tcW w:w="610" w:type="pct"/>
            <w:vMerge w:val="restart"/>
            <w:tcBorders>
              <w:tl2br w:val="nil"/>
              <w:tr2bl w:val="nil"/>
            </w:tcBorders>
            <w:noWrap w:val="0"/>
            <w:vAlign w:val="center"/>
          </w:tcPr>
          <w:p w14:paraId="28D319E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color="auto"/>
                <w:lang w:val="en-US" w:eastAsia="zh-CN" w:bidi="ar"/>
              </w:rPr>
            </w:pPr>
            <w:r>
              <w:rPr>
                <w:rFonts w:hint="default" w:ascii="Times New Roman" w:hAnsi="Times New Roman" w:eastAsia="宋体" w:cs="Times New Roman"/>
                <w:color w:val="auto"/>
                <w:kern w:val="21"/>
                <w:sz w:val="21"/>
                <w:szCs w:val="21"/>
                <w:highlight w:val="none"/>
                <w:u w:val="none" w:color="auto"/>
                <w:lang w:val="en-US" w:eastAsia="zh-CN"/>
              </w:rPr>
              <w:t>收集到的粉尘</w:t>
            </w:r>
            <w:r>
              <w:rPr>
                <w:rFonts w:hint="default" w:ascii="Times New Roman" w:hAnsi="Times New Roman" w:eastAsia="宋体" w:cs="Times New Roman"/>
                <w:color w:val="auto"/>
                <w:kern w:val="21"/>
                <w:sz w:val="21"/>
                <w:szCs w:val="21"/>
                <w:highlight w:val="none"/>
                <w:u w:val="none" w:color="auto"/>
                <w:lang w:eastAsia="zh-CN"/>
              </w:rPr>
              <w:t>除尘</w:t>
            </w:r>
            <w:r>
              <w:rPr>
                <w:rFonts w:hint="default" w:ascii="Times New Roman" w:hAnsi="Times New Roman" w:eastAsia="宋体" w:cs="Times New Roman"/>
                <w:color w:val="auto"/>
                <w:kern w:val="21"/>
                <w:sz w:val="21"/>
                <w:szCs w:val="21"/>
                <w:highlight w:val="none"/>
                <w:u w:val="none" w:color="auto"/>
                <w:lang w:val="en-US" w:eastAsia="zh-CN"/>
              </w:rPr>
              <w:t>最大暂存量20t；铝灰渣最大暂存量70t</w:t>
            </w:r>
          </w:p>
        </w:tc>
      </w:tr>
      <w:tr w14:paraId="5EDDDCF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93" w:type="pct"/>
            <w:vMerge w:val="continue"/>
            <w:tcBorders>
              <w:tl2br w:val="nil"/>
              <w:tr2bl w:val="nil"/>
            </w:tcBorders>
            <w:noWrap w:val="0"/>
            <w:vAlign w:val="center"/>
          </w:tcPr>
          <w:p w14:paraId="56A81A13">
            <w:pPr>
              <w:topLinePunct w:val="0"/>
              <w:bidi w:val="0"/>
              <w:adjustRightInd/>
              <w:snapToGrid/>
              <w:jc w:val="center"/>
              <w:rPr>
                <w:rFonts w:hint="default" w:ascii="Times New Roman" w:hAnsi="Times New Roman" w:eastAsia="宋体" w:cs="Times New Roman"/>
                <w:color w:val="auto"/>
                <w:sz w:val="21"/>
                <w:szCs w:val="21"/>
                <w:highlight w:val="none"/>
                <w:u w:val="none" w:color="auto"/>
                <w:lang w:val="en-US" w:eastAsia="zh-CN"/>
              </w:rPr>
            </w:pPr>
          </w:p>
        </w:tc>
        <w:tc>
          <w:tcPr>
            <w:tcW w:w="360" w:type="pct"/>
            <w:vMerge w:val="continue"/>
            <w:tcBorders>
              <w:tl2br w:val="nil"/>
              <w:tr2bl w:val="nil"/>
            </w:tcBorders>
            <w:noWrap w:val="0"/>
            <w:vAlign w:val="center"/>
          </w:tcPr>
          <w:p w14:paraId="50D86D7D">
            <w:pPr>
              <w:topLinePunct w:val="0"/>
              <w:bidi w:val="0"/>
              <w:adjustRightInd/>
              <w:snapToGrid/>
              <w:spacing w:line="240" w:lineRule="atLeast"/>
              <w:jc w:val="center"/>
              <w:rPr>
                <w:rFonts w:hint="default" w:ascii="Times New Roman" w:hAnsi="Times New Roman" w:eastAsia="宋体" w:cs="Times New Roman"/>
                <w:color w:val="auto"/>
                <w:kern w:val="21"/>
                <w:sz w:val="21"/>
                <w:szCs w:val="21"/>
                <w:highlight w:val="none"/>
                <w:u w:val="none" w:color="auto"/>
                <w:lang w:val="en-US" w:eastAsia="zh-CN" w:bidi="ar-SA"/>
              </w:rPr>
            </w:pPr>
          </w:p>
        </w:tc>
        <w:tc>
          <w:tcPr>
            <w:tcW w:w="360" w:type="pct"/>
            <w:vMerge w:val="continue"/>
            <w:tcBorders>
              <w:tl2br w:val="nil"/>
              <w:tr2bl w:val="nil"/>
            </w:tcBorders>
            <w:noWrap w:val="0"/>
            <w:vAlign w:val="center"/>
          </w:tcPr>
          <w:p w14:paraId="589071C1">
            <w:pPr>
              <w:topLinePunct w:val="0"/>
              <w:bidi w:val="0"/>
              <w:adjustRightInd/>
              <w:snapToGrid/>
              <w:spacing w:line="240" w:lineRule="atLeast"/>
              <w:jc w:val="center"/>
              <w:rPr>
                <w:rFonts w:hint="default" w:ascii="Times New Roman" w:hAnsi="Times New Roman" w:eastAsia="宋体" w:cs="Times New Roman"/>
                <w:color w:val="auto"/>
                <w:kern w:val="21"/>
                <w:sz w:val="21"/>
                <w:szCs w:val="21"/>
                <w:highlight w:val="none"/>
                <w:u w:val="none" w:color="auto"/>
                <w:lang w:val="en-US" w:eastAsia="zh-CN" w:bidi="ar-SA"/>
              </w:rPr>
            </w:pPr>
          </w:p>
        </w:tc>
        <w:tc>
          <w:tcPr>
            <w:tcW w:w="418" w:type="pct"/>
            <w:tcBorders>
              <w:tl2br w:val="nil"/>
              <w:tr2bl w:val="nil"/>
            </w:tcBorders>
            <w:noWrap w:val="0"/>
            <w:vAlign w:val="center"/>
          </w:tcPr>
          <w:p w14:paraId="4A1FB820">
            <w:pPr>
              <w:topLinePunct w:val="0"/>
              <w:bidi w:val="0"/>
              <w:adjustRightInd/>
              <w:snapToGrid/>
              <w:spacing w:line="240" w:lineRule="atLeast"/>
              <w:jc w:val="center"/>
              <w:rPr>
                <w:rFonts w:hint="default" w:ascii="Times New Roman" w:hAnsi="Times New Roman" w:eastAsia="宋体" w:cs="Times New Roman"/>
                <w:color w:val="auto"/>
                <w:kern w:val="21"/>
                <w:sz w:val="21"/>
                <w:szCs w:val="21"/>
                <w:highlight w:val="none"/>
                <w:u w:val="none" w:color="auto"/>
                <w:lang w:val="en-US" w:eastAsia="zh-CN"/>
              </w:rPr>
            </w:pPr>
            <w:r>
              <w:rPr>
                <w:rFonts w:hint="default" w:ascii="Times New Roman" w:hAnsi="Times New Roman" w:eastAsia="宋体" w:cs="Times New Roman"/>
                <w:color w:val="auto"/>
                <w:kern w:val="21"/>
                <w:sz w:val="21"/>
                <w:szCs w:val="21"/>
                <w:highlight w:val="none"/>
                <w:u w:val="none" w:color="auto"/>
                <w:lang w:val="en-US" w:eastAsia="zh-CN"/>
              </w:rPr>
              <w:t>其中</w:t>
            </w:r>
          </w:p>
        </w:tc>
        <w:tc>
          <w:tcPr>
            <w:tcW w:w="1017" w:type="pct"/>
            <w:tcBorders>
              <w:tl2br w:val="nil"/>
              <w:tr2bl w:val="nil"/>
            </w:tcBorders>
            <w:noWrap w:val="0"/>
            <w:vAlign w:val="center"/>
          </w:tcPr>
          <w:p w14:paraId="2C5FE18A">
            <w:pPr>
              <w:topLinePunct w:val="0"/>
              <w:bidi w:val="0"/>
              <w:adjustRightInd/>
              <w:snapToGrid/>
              <w:spacing w:line="240" w:lineRule="atLeast"/>
              <w:jc w:val="center"/>
              <w:rPr>
                <w:rFonts w:hint="default" w:ascii="Times New Roman" w:hAnsi="Times New Roman" w:eastAsia="宋体" w:cs="Times New Roman"/>
                <w:color w:val="auto"/>
                <w:kern w:val="21"/>
                <w:sz w:val="21"/>
                <w:szCs w:val="21"/>
                <w:highlight w:val="none"/>
                <w:u w:val="none" w:color="auto"/>
                <w:lang w:val="en-US" w:eastAsia="zh-CN" w:bidi="ar-SA"/>
              </w:rPr>
            </w:pPr>
            <w:r>
              <w:rPr>
                <w:rFonts w:hint="default" w:ascii="Times New Roman" w:hAnsi="Times New Roman" w:eastAsia="宋体" w:cs="Times New Roman"/>
                <w:color w:val="auto"/>
                <w:kern w:val="21"/>
                <w:sz w:val="21"/>
                <w:szCs w:val="21"/>
                <w:highlight w:val="none"/>
                <w:u w:val="none" w:color="auto"/>
                <w:lang w:val="en-US" w:eastAsia="zh-CN"/>
              </w:rPr>
              <w:t>重金属及其化合物</w:t>
            </w:r>
          </w:p>
        </w:tc>
        <w:tc>
          <w:tcPr>
            <w:tcW w:w="635" w:type="pct"/>
            <w:tcBorders>
              <w:tl2br w:val="nil"/>
              <w:tr2bl w:val="nil"/>
            </w:tcBorders>
            <w:noWrap w:val="0"/>
            <w:vAlign w:val="center"/>
          </w:tcPr>
          <w:p w14:paraId="00A5CF57">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i w:val="0"/>
                <w:iCs w:val="0"/>
                <w:color w:val="auto"/>
                <w:kern w:val="0"/>
                <w:sz w:val="21"/>
                <w:szCs w:val="21"/>
                <w:highlight w:val="none"/>
                <w:u w:val="none" w:color="auto"/>
                <w:lang w:val="en-US" w:eastAsia="zh-CN" w:bidi="ar"/>
              </w:rPr>
              <w:t>4.173</w:t>
            </w:r>
          </w:p>
        </w:tc>
        <w:tc>
          <w:tcPr>
            <w:tcW w:w="545" w:type="pct"/>
            <w:tcBorders>
              <w:tl2br w:val="nil"/>
              <w:tr2bl w:val="nil"/>
            </w:tcBorders>
            <w:noWrap w:val="0"/>
            <w:vAlign w:val="center"/>
          </w:tcPr>
          <w:p w14:paraId="04578937">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i w:val="0"/>
                <w:iCs w:val="0"/>
                <w:color w:val="auto"/>
                <w:kern w:val="0"/>
                <w:sz w:val="21"/>
                <w:szCs w:val="21"/>
                <w:highlight w:val="none"/>
                <w:u w:val="none" w:color="auto"/>
                <w:lang w:val="en-US" w:eastAsia="zh-CN" w:bidi="ar"/>
              </w:rPr>
              <w:t>0.25</w:t>
            </w:r>
          </w:p>
        </w:tc>
        <w:tc>
          <w:tcPr>
            <w:tcW w:w="759" w:type="pct"/>
            <w:tcBorders>
              <w:tl2br w:val="nil"/>
              <w:tr2bl w:val="nil"/>
            </w:tcBorders>
            <w:noWrap w:val="0"/>
            <w:vAlign w:val="center"/>
          </w:tcPr>
          <w:p w14:paraId="34D597B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16.692</w:t>
            </w:r>
          </w:p>
        </w:tc>
        <w:tc>
          <w:tcPr>
            <w:tcW w:w="610" w:type="pct"/>
            <w:vMerge w:val="continue"/>
            <w:tcBorders>
              <w:tl2br w:val="nil"/>
              <w:tr2bl w:val="nil"/>
            </w:tcBorders>
            <w:noWrap w:val="0"/>
            <w:vAlign w:val="center"/>
          </w:tcPr>
          <w:p w14:paraId="589D929B">
            <w:pPr>
              <w:keepNext w:val="0"/>
              <w:keepLines w:val="0"/>
              <w:widowControl/>
              <w:suppressLineNumbers w:val="0"/>
              <w:jc w:val="center"/>
              <w:textAlignment w:val="center"/>
              <w:rPr>
                <w:rFonts w:hint="default" w:ascii="Times New Roman" w:hAnsi="Times New Roman" w:eastAsia="宋体" w:cs="Times New Roman"/>
                <w:color w:val="auto"/>
                <w:kern w:val="21"/>
                <w:sz w:val="21"/>
                <w:szCs w:val="21"/>
                <w:highlight w:val="none"/>
                <w:u w:val="none" w:color="auto"/>
                <w:lang w:eastAsia="zh-CN"/>
              </w:rPr>
            </w:pPr>
          </w:p>
        </w:tc>
      </w:tr>
      <w:tr w14:paraId="38D5B15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93" w:type="pct"/>
            <w:vMerge w:val="continue"/>
            <w:tcBorders>
              <w:tl2br w:val="nil"/>
              <w:tr2bl w:val="nil"/>
            </w:tcBorders>
            <w:noWrap w:val="0"/>
            <w:vAlign w:val="center"/>
          </w:tcPr>
          <w:p w14:paraId="3B1E9741">
            <w:pPr>
              <w:topLinePunct w:val="0"/>
              <w:bidi w:val="0"/>
              <w:adjustRightInd/>
              <w:snapToGrid/>
              <w:jc w:val="center"/>
              <w:rPr>
                <w:rFonts w:hint="default" w:ascii="Times New Roman" w:hAnsi="Times New Roman" w:eastAsia="宋体" w:cs="Times New Roman"/>
                <w:color w:val="auto"/>
                <w:sz w:val="21"/>
                <w:szCs w:val="21"/>
                <w:highlight w:val="none"/>
                <w:u w:val="none" w:color="auto"/>
                <w:lang w:val="en-US" w:eastAsia="zh-CN"/>
              </w:rPr>
            </w:pPr>
          </w:p>
        </w:tc>
        <w:tc>
          <w:tcPr>
            <w:tcW w:w="360" w:type="pct"/>
            <w:vMerge w:val="continue"/>
            <w:tcBorders>
              <w:tl2br w:val="nil"/>
              <w:tr2bl w:val="nil"/>
            </w:tcBorders>
            <w:noWrap w:val="0"/>
            <w:vAlign w:val="center"/>
          </w:tcPr>
          <w:p w14:paraId="4FCC004D">
            <w:pPr>
              <w:topLinePunct w:val="0"/>
              <w:bidi w:val="0"/>
              <w:adjustRightInd/>
              <w:snapToGrid/>
              <w:spacing w:line="240" w:lineRule="atLeast"/>
              <w:jc w:val="center"/>
              <w:rPr>
                <w:rFonts w:hint="default" w:ascii="Times New Roman" w:hAnsi="Times New Roman" w:eastAsia="宋体" w:cs="Times New Roman"/>
                <w:color w:val="auto"/>
                <w:kern w:val="21"/>
                <w:sz w:val="21"/>
                <w:szCs w:val="21"/>
                <w:highlight w:val="none"/>
                <w:u w:val="none" w:color="auto"/>
                <w:lang w:val="en-US" w:eastAsia="zh-CN" w:bidi="ar-SA"/>
              </w:rPr>
            </w:pPr>
          </w:p>
        </w:tc>
        <w:tc>
          <w:tcPr>
            <w:tcW w:w="360" w:type="pct"/>
            <w:vMerge w:val="continue"/>
            <w:tcBorders>
              <w:tl2br w:val="nil"/>
              <w:tr2bl w:val="nil"/>
            </w:tcBorders>
            <w:noWrap w:val="0"/>
            <w:vAlign w:val="center"/>
          </w:tcPr>
          <w:p w14:paraId="646A2FED">
            <w:pPr>
              <w:topLinePunct w:val="0"/>
              <w:bidi w:val="0"/>
              <w:adjustRightInd/>
              <w:snapToGrid/>
              <w:spacing w:line="240" w:lineRule="atLeast"/>
              <w:jc w:val="center"/>
              <w:rPr>
                <w:rFonts w:hint="default" w:ascii="Times New Roman" w:hAnsi="Times New Roman" w:eastAsia="宋体" w:cs="Times New Roman"/>
                <w:color w:val="auto"/>
                <w:kern w:val="21"/>
                <w:sz w:val="21"/>
                <w:szCs w:val="21"/>
                <w:highlight w:val="none"/>
                <w:u w:val="none" w:color="auto"/>
                <w:lang w:val="en-US" w:eastAsia="zh-CN" w:bidi="ar-SA"/>
              </w:rPr>
            </w:pPr>
          </w:p>
        </w:tc>
        <w:tc>
          <w:tcPr>
            <w:tcW w:w="1435" w:type="pct"/>
            <w:gridSpan w:val="2"/>
            <w:tcBorders>
              <w:tl2br w:val="nil"/>
              <w:tr2bl w:val="nil"/>
            </w:tcBorders>
            <w:noWrap w:val="0"/>
            <w:vAlign w:val="center"/>
          </w:tcPr>
          <w:p w14:paraId="00EB3D0D">
            <w:pPr>
              <w:topLinePunct w:val="0"/>
              <w:bidi w:val="0"/>
              <w:adjustRightInd/>
              <w:snapToGrid/>
              <w:spacing w:line="240" w:lineRule="atLeast"/>
              <w:jc w:val="center"/>
              <w:rPr>
                <w:rFonts w:hint="default" w:ascii="Times New Roman" w:hAnsi="Times New Roman" w:eastAsia="宋体" w:cs="Times New Roman"/>
                <w:color w:val="auto"/>
                <w:kern w:val="21"/>
                <w:sz w:val="21"/>
                <w:szCs w:val="21"/>
                <w:highlight w:val="none"/>
                <w:u w:val="none" w:color="auto"/>
                <w:lang w:val="en-US" w:eastAsia="zh-CN" w:bidi="ar-SA"/>
              </w:rPr>
            </w:pPr>
            <w:r>
              <w:rPr>
                <w:rFonts w:hint="default" w:ascii="Times New Roman" w:hAnsi="Times New Roman" w:eastAsia="宋体" w:cs="Times New Roman"/>
                <w:color w:val="auto"/>
                <w:kern w:val="21"/>
                <w:sz w:val="21"/>
                <w:szCs w:val="21"/>
                <w:highlight w:val="none"/>
                <w:u w:val="none" w:color="auto"/>
                <w:lang w:val="en-US" w:eastAsia="zh-CN"/>
              </w:rPr>
              <w:t>收集到的粉尘</w:t>
            </w:r>
            <w:r>
              <w:rPr>
                <w:rFonts w:hint="default" w:ascii="Times New Roman" w:hAnsi="Times New Roman" w:eastAsia="宋体" w:cs="Times New Roman"/>
                <w:color w:val="auto"/>
                <w:kern w:val="21"/>
                <w:sz w:val="21"/>
                <w:szCs w:val="21"/>
                <w:highlight w:val="none"/>
                <w:u w:val="none" w:color="auto"/>
                <w:lang w:eastAsia="zh-CN"/>
              </w:rPr>
              <w:t>除尘</w:t>
            </w:r>
            <w:r>
              <w:rPr>
                <w:rFonts w:hint="default" w:ascii="Times New Roman" w:hAnsi="Times New Roman" w:eastAsia="宋体" w:cs="Times New Roman"/>
                <w:color w:val="auto"/>
                <w:sz w:val="21"/>
                <w:szCs w:val="21"/>
                <w:highlight w:val="none"/>
                <w:u w:val="none" w:color="auto"/>
                <w:vertAlign w:val="superscript"/>
                <w:lang w:val="en-US" w:eastAsia="zh-CN"/>
              </w:rPr>
              <w:t>[3]</w:t>
            </w:r>
          </w:p>
        </w:tc>
        <w:tc>
          <w:tcPr>
            <w:tcW w:w="635" w:type="pct"/>
            <w:tcBorders>
              <w:tl2br w:val="nil"/>
              <w:tr2bl w:val="nil"/>
            </w:tcBorders>
            <w:noWrap w:val="0"/>
            <w:vAlign w:val="center"/>
          </w:tcPr>
          <w:p w14:paraId="662F216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20</w:t>
            </w:r>
          </w:p>
        </w:tc>
        <w:tc>
          <w:tcPr>
            <w:tcW w:w="545" w:type="pct"/>
            <w:tcBorders>
              <w:tl2br w:val="nil"/>
              <w:tr2bl w:val="nil"/>
            </w:tcBorders>
            <w:noWrap w:val="0"/>
            <w:vAlign w:val="center"/>
          </w:tcPr>
          <w:p w14:paraId="0E53730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50</w:t>
            </w:r>
          </w:p>
        </w:tc>
        <w:tc>
          <w:tcPr>
            <w:tcW w:w="759" w:type="pct"/>
            <w:tcBorders>
              <w:tl2br w:val="nil"/>
              <w:tr2bl w:val="nil"/>
            </w:tcBorders>
            <w:noWrap w:val="0"/>
            <w:vAlign w:val="center"/>
          </w:tcPr>
          <w:p w14:paraId="58EBAC6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0.4</w:t>
            </w:r>
          </w:p>
        </w:tc>
        <w:tc>
          <w:tcPr>
            <w:tcW w:w="610" w:type="pct"/>
            <w:vMerge w:val="continue"/>
            <w:tcBorders>
              <w:tl2br w:val="nil"/>
              <w:tr2bl w:val="nil"/>
            </w:tcBorders>
            <w:noWrap w:val="0"/>
            <w:vAlign w:val="center"/>
          </w:tcPr>
          <w:p w14:paraId="2652890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color="auto"/>
                <w:lang w:val="en-US" w:eastAsia="zh-CN" w:bidi="ar"/>
              </w:rPr>
            </w:pPr>
          </w:p>
        </w:tc>
      </w:tr>
      <w:tr w14:paraId="34B3E92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93" w:type="pct"/>
            <w:vMerge w:val="continue"/>
            <w:tcBorders>
              <w:tl2br w:val="nil"/>
              <w:tr2bl w:val="nil"/>
            </w:tcBorders>
            <w:noWrap w:val="0"/>
            <w:vAlign w:val="center"/>
          </w:tcPr>
          <w:p w14:paraId="25C2B2FC">
            <w:pPr>
              <w:topLinePunct w:val="0"/>
              <w:bidi w:val="0"/>
              <w:adjustRightInd/>
              <w:snapToGrid/>
              <w:jc w:val="center"/>
              <w:rPr>
                <w:rFonts w:hint="default" w:ascii="Times New Roman" w:hAnsi="Times New Roman" w:eastAsia="宋体" w:cs="Times New Roman"/>
                <w:color w:val="auto"/>
                <w:sz w:val="21"/>
                <w:szCs w:val="21"/>
                <w:highlight w:val="none"/>
                <w:u w:val="none" w:color="auto"/>
                <w:lang w:val="en-US" w:eastAsia="zh-CN"/>
              </w:rPr>
            </w:pPr>
          </w:p>
        </w:tc>
        <w:tc>
          <w:tcPr>
            <w:tcW w:w="360" w:type="pct"/>
            <w:vMerge w:val="continue"/>
            <w:tcBorders>
              <w:tl2br w:val="nil"/>
              <w:tr2bl w:val="nil"/>
            </w:tcBorders>
            <w:noWrap w:val="0"/>
            <w:vAlign w:val="center"/>
          </w:tcPr>
          <w:p w14:paraId="25545FD9">
            <w:pPr>
              <w:topLinePunct w:val="0"/>
              <w:bidi w:val="0"/>
              <w:adjustRightInd/>
              <w:snapToGrid/>
              <w:spacing w:line="240" w:lineRule="atLeast"/>
              <w:jc w:val="center"/>
              <w:rPr>
                <w:rFonts w:hint="default" w:ascii="Times New Roman" w:hAnsi="Times New Roman" w:eastAsia="宋体" w:cs="Times New Roman"/>
                <w:color w:val="auto"/>
                <w:kern w:val="21"/>
                <w:sz w:val="21"/>
                <w:szCs w:val="21"/>
                <w:highlight w:val="none"/>
                <w:u w:val="none" w:color="auto"/>
                <w:lang w:val="en-US" w:eastAsia="zh-CN" w:bidi="ar-SA"/>
              </w:rPr>
            </w:pPr>
          </w:p>
        </w:tc>
        <w:tc>
          <w:tcPr>
            <w:tcW w:w="360" w:type="pct"/>
            <w:vMerge w:val="continue"/>
            <w:tcBorders>
              <w:tl2br w:val="nil"/>
              <w:tr2bl w:val="nil"/>
            </w:tcBorders>
            <w:noWrap w:val="0"/>
            <w:vAlign w:val="center"/>
          </w:tcPr>
          <w:p w14:paraId="458798F1">
            <w:pPr>
              <w:topLinePunct w:val="0"/>
              <w:bidi w:val="0"/>
              <w:adjustRightInd/>
              <w:snapToGrid/>
              <w:spacing w:line="240" w:lineRule="atLeast"/>
              <w:jc w:val="center"/>
              <w:rPr>
                <w:rFonts w:hint="default" w:ascii="Times New Roman" w:hAnsi="Times New Roman" w:eastAsia="宋体" w:cs="Times New Roman"/>
                <w:color w:val="auto"/>
                <w:kern w:val="21"/>
                <w:sz w:val="21"/>
                <w:szCs w:val="21"/>
                <w:highlight w:val="none"/>
                <w:u w:val="none" w:color="auto"/>
                <w:lang w:val="en-US" w:eastAsia="zh-CN" w:bidi="ar-SA"/>
              </w:rPr>
            </w:pPr>
          </w:p>
        </w:tc>
        <w:tc>
          <w:tcPr>
            <w:tcW w:w="418" w:type="pct"/>
            <w:tcBorders>
              <w:tl2br w:val="nil"/>
              <w:tr2bl w:val="nil"/>
            </w:tcBorders>
            <w:noWrap w:val="0"/>
            <w:vAlign w:val="center"/>
          </w:tcPr>
          <w:p w14:paraId="1A9A8737">
            <w:pPr>
              <w:topLinePunct w:val="0"/>
              <w:bidi w:val="0"/>
              <w:adjustRightInd/>
              <w:snapToGrid/>
              <w:spacing w:line="240" w:lineRule="atLeast"/>
              <w:jc w:val="center"/>
              <w:rPr>
                <w:rFonts w:hint="default" w:ascii="Times New Roman" w:hAnsi="Times New Roman" w:eastAsia="宋体" w:cs="Times New Roman"/>
                <w:color w:val="auto"/>
                <w:kern w:val="21"/>
                <w:sz w:val="21"/>
                <w:szCs w:val="21"/>
                <w:highlight w:val="none"/>
                <w:u w:val="none" w:color="auto"/>
                <w:lang w:val="en-US" w:eastAsia="zh-CN"/>
              </w:rPr>
            </w:pPr>
            <w:r>
              <w:rPr>
                <w:rFonts w:hint="default" w:ascii="Times New Roman" w:hAnsi="Times New Roman" w:eastAsia="宋体" w:cs="Times New Roman"/>
                <w:color w:val="auto"/>
                <w:kern w:val="21"/>
                <w:sz w:val="21"/>
                <w:szCs w:val="21"/>
                <w:highlight w:val="none"/>
                <w:u w:val="none" w:color="auto"/>
                <w:lang w:val="en-US" w:eastAsia="zh-CN"/>
              </w:rPr>
              <w:t>其中</w:t>
            </w:r>
          </w:p>
        </w:tc>
        <w:tc>
          <w:tcPr>
            <w:tcW w:w="1017" w:type="pct"/>
            <w:tcBorders>
              <w:tl2br w:val="nil"/>
              <w:tr2bl w:val="nil"/>
            </w:tcBorders>
            <w:noWrap w:val="0"/>
            <w:vAlign w:val="center"/>
          </w:tcPr>
          <w:p w14:paraId="19E75E8A">
            <w:pPr>
              <w:topLinePunct w:val="0"/>
              <w:bidi w:val="0"/>
              <w:adjustRightInd/>
              <w:snapToGrid/>
              <w:spacing w:line="240" w:lineRule="atLeast"/>
              <w:jc w:val="center"/>
              <w:rPr>
                <w:rFonts w:hint="default" w:ascii="Times New Roman" w:hAnsi="Times New Roman" w:eastAsia="宋体" w:cs="Times New Roman"/>
                <w:color w:val="auto"/>
                <w:kern w:val="21"/>
                <w:sz w:val="21"/>
                <w:szCs w:val="21"/>
                <w:highlight w:val="none"/>
                <w:u w:val="none" w:color="auto"/>
                <w:lang w:val="en-US" w:eastAsia="zh-CN" w:bidi="ar-SA"/>
              </w:rPr>
            </w:pPr>
            <w:r>
              <w:rPr>
                <w:rFonts w:hint="default" w:ascii="Times New Roman" w:hAnsi="Times New Roman" w:eastAsia="宋体" w:cs="Times New Roman"/>
                <w:color w:val="auto"/>
                <w:kern w:val="21"/>
                <w:sz w:val="21"/>
                <w:szCs w:val="21"/>
                <w:highlight w:val="none"/>
                <w:u w:val="none" w:color="auto"/>
                <w:lang w:val="en-US" w:eastAsia="zh-CN"/>
              </w:rPr>
              <w:t>重金属及其化合物</w:t>
            </w:r>
          </w:p>
        </w:tc>
        <w:tc>
          <w:tcPr>
            <w:tcW w:w="635" w:type="pct"/>
            <w:tcBorders>
              <w:tl2br w:val="nil"/>
              <w:tr2bl w:val="nil"/>
            </w:tcBorders>
            <w:noWrap w:val="0"/>
            <w:vAlign w:val="center"/>
          </w:tcPr>
          <w:p w14:paraId="7558A4D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0.731</w:t>
            </w:r>
          </w:p>
        </w:tc>
        <w:tc>
          <w:tcPr>
            <w:tcW w:w="545" w:type="pct"/>
            <w:tcBorders>
              <w:tl2br w:val="nil"/>
              <w:tr2bl w:val="nil"/>
            </w:tcBorders>
            <w:noWrap w:val="0"/>
            <w:vAlign w:val="center"/>
          </w:tcPr>
          <w:p w14:paraId="12E828B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0.25</w:t>
            </w:r>
          </w:p>
        </w:tc>
        <w:tc>
          <w:tcPr>
            <w:tcW w:w="759" w:type="pct"/>
            <w:tcBorders>
              <w:tl2br w:val="nil"/>
              <w:tr2bl w:val="nil"/>
            </w:tcBorders>
            <w:noWrap w:val="0"/>
            <w:vAlign w:val="center"/>
          </w:tcPr>
          <w:p w14:paraId="2E7780B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2.924</w:t>
            </w:r>
          </w:p>
        </w:tc>
        <w:tc>
          <w:tcPr>
            <w:tcW w:w="610" w:type="pct"/>
            <w:vMerge w:val="continue"/>
            <w:tcBorders>
              <w:tl2br w:val="nil"/>
              <w:tr2bl w:val="nil"/>
            </w:tcBorders>
            <w:noWrap w:val="0"/>
            <w:vAlign w:val="center"/>
          </w:tcPr>
          <w:p w14:paraId="4AF3AD9A">
            <w:pPr>
              <w:keepNext w:val="0"/>
              <w:keepLines w:val="0"/>
              <w:widowControl/>
              <w:suppressLineNumbers w:val="0"/>
              <w:jc w:val="center"/>
              <w:textAlignment w:val="center"/>
              <w:rPr>
                <w:rFonts w:hint="default" w:ascii="Times New Roman" w:hAnsi="Times New Roman" w:eastAsia="宋体" w:cs="Times New Roman"/>
                <w:color w:val="auto"/>
                <w:kern w:val="21"/>
                <w:sz w:val="21"/>
                <w:szCs w:val="21"/>
                <w:highlight w:val="none"/>
                <w:u w:val="none" w:color="auto"/>
                <w:lang w:val="en-US" w:eastAsia="zh-CN"/>
              </w:rPr>
            </w:pPr>
          </w:p>
        </w:tc>
      </w:tr>
      <w:tr w14:paraId="54BC3F4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630" w:type="pct"/>
            <w:gridSpan w:val="7"/>
            <w:tcBorders>
              <w:tl2br w:val="nil"/>
              <w:tr2bl w:val="nil"/>
            </w:tcBorders>
            <w:noWrap w:val="0"/>
            <w:vAlign w:val="center"/>
          </w:tcPr>
          <w:p w14:paraId="06E2141F">
            <w:pPr>
              <w:topLinePunct w:val="0"/>
              <w:bidi w:val="0"/>
              <w:adjustRightInd/>
              <w:snapToGrid/>
              <w:jc w:val="center"/>
              <w:rPr>
                <w:rFonts w:hint="default" w:ascii="Times New Roman" w:hAnsi="Times New Roman" w:eastAsia="宋体" w:cs="Times New Roman"/>
                <w:b/>
                <w:bCs/>
                <w:color w:val="auto"/>
                <w:sz w:val="21"/>
                <w:szCs w:val="21"/>
                <w:highlight w:val="none"/>
                <w:u w:val="none" w:color="auto"/>
              </w:rPr>
            </w:pPr>
            <w:r>
              <w:rPr>
                <w:rFonts w:hint="default" w:ascii="Times New Roman" w:hAnsi="Times New Roman" w:eastAsia="宋体" w:cs="Times New Roman"/>
                <w:b/>
                <w:bCs/>
                <w:color w:val="auto"/>
                <w:sz w:val="21"/>
                <w:szCs w:val="21"/>
                <w:highlight w:val="none"/>
                <w:u w:val="none" w:color="auto"/>
              </w:rPr>
              <w:t>Q</w:t>
            </w:r>
          </w:p>
        </w:tc>
        <w:tc>
          <w:tcPr>
            <w:tcW w:w="759" w:type="pct"/>
            <w:tcBorders>
              <w:tl2br w:val="nil"/>
              <w:tr2bl w:val="nil"/>
            </w:tcBorders>
            <w:noWrap w:val="0"/>
            <w:vAlign w:val="center"/>
          </w:tcPr>
          <w:p w14:paraId="6D5AAE84">
            <w:pPr>
              <w:keepNext w:val="0"/>
              <w:keepLines w:val="0"/>
              <w:widowControl/>
              <w:suppressLineNumbers w:val="0"/>
              <w:jc w:val="center"/>
              <w:textAlignment w:val="center"/>
              <w:rPr>
                <w:rFonts w:hint="default" w:ascii="Times New Roman" w:hAnsi="Times New Roman" w:eastAsia="宋体" w:cs="Times New Roman"/>
                <w:b/>
                <w:bCs/>
                <w:i w:val="0"/>
                <w:iCs w:val="0"/>
                <w:color w:val="auto"/>
                <w:kern w:val="0"/>
                <w:sz w:val="21"/>
                <w:szCs w:val="21"/>
                <w:highlight w:val="none"/>
                <w:u w:val="none" w:color="auto"/>
                <w:lang w:val="en-US" w:eastAsia="zh-CN" w:bidi="ar"/>
              </w:rPr>
            </w:pPr>
            <w:r>
              <w:rPr>
                <w:rFonts w:hint="default" w:ascii="Times New Roman" w:hAnsi="Times New Roman" w:eastAsia="宋体" w:cs="Times New Roman"/>
                <w:b/>
                <w:bCs/>
                <w:i w:val="0"/>
                <w:iCs w:val="0"/>
                <w:color w:val="auto"/>
                <w:kern w:val="0"/>
                <w:sz w:val="21"/>
                <w:szCs w:val="21"/>
                <w:u w:val="none" w:color="auto"/>
                <w:lang w:val="en-US" w:eastAsia="zh-CN" w:bidi="ar"/>
              </w:rPr>
              <w:t>21.9353428</w:t>
            </w:r>
          </w:p>
        </w:tc>
        <w:tc>
          <w:tcPr>
            <w:tcW w:w="610" w:type="pct"/>
            <w:tcBorders>
              <w:tl2br w:val="nil"/>
              <w:tr2bl w:val="nil"/>
            </w:tcBorders>
            <w:noWrap w:val="0"/>
            <w:vAlign w:val="center"/>
          </w:tcPr>
          <w:p w14:paraId="1A959DDE">
            <w:pPr>
              <w:keepNext w:val="0"/>
              <w:keepLines w:val="0"/>
              <w:widowControl/>
              <w:suppressLineNumbers w:val="0"/>
              <w:jc w:val="center"/>
              <w:textAlignment w:val="center"/>
              <w:rPr>
                <w:rFonts w:hint="default" w:ascii="Times New Roman" w:hAnsi="Times New Roman" w:eastAsia="宋体" w:cs="Times New Roman"/>
                <w:color w:val="auto"/>
                <w:highlight w:val="none"/>
                <w:u w:val="none" w:color="auto"/>
                <w:lang w:val="en-US"/>
              </w:rPr>
            </w:pPr>
          </w:p>
        </w:tc>
      </w:tr>
    </w:tbl>
    <w:p w14:paraId="6407613E">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b/>
          <w:bCs/>
          <w:color w:val="auto"/>
          <w:sz w:val="21"/>
          <w:szCs w:val="21"/>
          <w:highlight w:val="none"/>
          <w:u w:val="none" w:color="auto"/>
          <w:lang w:val="en-US" w:eastAsia="zh-CN"/>
        </w:rPr>
      </w:pPr>
      <w:r>
        <w:rPr>
          <w:rFonts w:hint="default" w:ascii="Times New Roman" w:hAnsi="Times New Roman" w:eastAsia="宋体" w:cs="Times New Roman"/>
          <w:b/>
          <w:bCs/>
          <w:color w:val="auto"/>
          <w:sz w:val="21"/>
          <w:szCs w:val="21"/>
          <w:highlight w:val="none"/>
          <w:u w:val="none" w:color="auto"/>
          <w:lang w:val="en-US" w:eastAsia="zh-CN"/>
        </w:rPr>
        <w:t>注[1]：按危害水环境物质（急性毒性类别1）计；</w:t>
      </w:r>
    </w:p>
    <w:p w14:paraId="3411DD08">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b/>
          <w:bCs/>
          <w:color w:val="auto"/>
          <w:sz w:val="21"/>
          <w:szCs w:val="21"/>
          <w:highlight w:val="none"/>
          <w:u w:val="none" w:color="auto"/>
          <w:lang w:val="en-US" w:eastAsia="zh-CN"/>
        </w:rPr>
      </w:pPr>
      <w:r>
        <w:rPr>
          <w:rFonts w:hint="default" w:ascii="Times New Roman" w:hAnsi="Times New Roman" w:eastAsia="宋体" w:cs="Times New Roman"/>
          <w:b/>
          <w:bCs/>
          <w:color w:val="auto"/>
          <w:sz w:val="21"/>
          <w:szCs w:val="21"/>
          <w:highlight w:val="none"/>
          <w:u w:val="none" w:color="auto"/>
          <w:lang w:val="en-US" w:eastAsia="zh-CN"/>
        </w:rPr>
        <w:t>注[2]：由于建设单位属于国家二级保密单位，其铝灰渣及二次铝灰渣、收集到的粉尘除尘中各类重金属成份种类及含量属于保密信息（可反推其合金成分），同时考虑到各类重金属及其化合物临界量一致，故应要求仅简述重金属及其化合物。</w:t>
      </w:r>
    </w:p>
    <w:p w14:paraId="19999337">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b/>
          <w:bCs/>
          <w:color w:val="auto"/>
          <w:sz w:val="21"/>
          <w:szCs w:val="21"/>
          <w:highlight w:val="none"/>
          <w:u w:val="none" w:color="auto"/>
          <w:lang w:val="en-US" w:eastAsia="zh-CN"/>
        </w:rPr>
      </w:pPr>
      <w:r>
        <w:rPr>
          <w:rFonts w:hint="default" w:ascii="Times New Roman" w:hAnsi="Times New Roman" w:eastAsia="宋体" w:cs="Times New Roman"/>
          <w:b/>
          <w:bCs/>
          <w:color w:val="auto"/>
          <w:sz w:val="21"/>
          <w:szCs w:val="21"/>
          <w:highlight w:val="none"/>
          <w:u w:val="none" w:color="auto"/>
          <w:lang w:val="en-US" w:eastAsia="zh-CN"/>
        </w:rPr>
        <w:t>注[3]：按健康危险急性毒性物质临界量（50吨）确定。</w:t>
      </w:r>
    </w:p>
    <w:p w14:paraId="30CFFBCD">
      <w:pPr>
        <w:spacing w:line="360" w:lineRule="auto"/>
        <w:ind w:firstLine="480" w:firstLineChars="200"/>
        <w:rPr>
          <w:rFonts w:hint="default" w:ascii="Times New Roman" w:hAnsi="Times New Roman" w:eastAsia="宋体" w:cs="Times New Roman"/>
          <w:bCs/>
          <w:color w:val="auto"/>
          <w:sz w:val="24"/>
          <w:szCs w:val="24"/>
          <w:u w:val="none" w:color="auto"/>
        </w:rPr>
      </w:pPr>
      <w:r>
        <w:rPr>
          <w:rFonts w:hint="default" w:ascii="Times New Roman" w:hAnsi="Times New Roman" w:eastAsia="宋体" w:cs="Times New Roman"/>
          <w:bCs/>
          <w:color w:val="auto"/>
          <w:sz w:val="24"/>
          <w:szCs w:val="24"/>
          <w:u w:val="none" w:color="auto"/>
        </w:rPr>
        <w:t>根据上述分析及《建设项目环境风险评价技术导则》（HJ169-2018）附录C1.1可知，</w:t>
      </w:r>
      <w:r>
        <w:rPr>
          <w:rFonts w:hint="default" w:ascii="Times New Roman" w:hAnsi="Times New Roman" w:eastAsia="宋体" w:cs="Times New Roman"/>
          <w:bCs/>
          <w:color w:val="auto"/>
          <w:sz w:val="24"/>
          <w:szCs w:val="24"/>
          <w:u w:val="none" w:color="auto"/>
          <w:lang w:eastAsia="zh-CN"/>
        </w:rPr>
        <w:t>中创空天厂区</w:t>
      </w:r>
      <w:r>
        <w:rPr>
          <w:rFonts w:hint="default" w:ascii="Times New Roman" w:hAnsi="Times New Roman" w:eastAsia="宋体" w:cs="Times New Roman"/>
          <w:bCs/>
          <w:color w:val="auto"/>
          <w:sz w:val="24"/>
          <w:szCs w:val="24"/>
          <w:u w:val="none" w:color="auto"/>
        </w:rPr>
        <w:t>：1</w:t>
      </w:r>
      <w:r>
        <w:rPr>
          <w:rFonts w:hint="default" w:ascii="Times New Roman" w:hAnsi="Times New Roman" w:eastAsia="宋体" w:cs="Times New Roman"/>
          <w:bCs/>
          <w:color w:val="auto"/>
          <w:sz w:val="24"/>
          <w:szCs w:val="24"/>
          <w:u w:val="none" w:color="auto"/>
          <w:lang w:val="en-US" w:eastAsia="zh-CN"/>
        </w:rPr>
        <w:t>0</w:t>
      </w:r>
      <w:r>
        <w:rPr>
          <w:rFonts w:hint="default" w:ascii="Times New Roman" w:hAnsi="Times New Roman" w:eastAsia="宋体" w:cs="Times New Roman"/>
          <w:bCs/>
          <w:color w:val="auto"/>
          <w:sz w:val="24"/>
          <w:szCs w:val="24"/>
          <w:u w:val="none" w:color="auto"/>
        </w:rPr>
        <w:t>≤Q＜10</w:t>
      </w:r>
      <w:r>
        <w:rPr>
          <w:rFonts w:hint="default" w:ascii="Times New Roman" w:hAnsi="Times New Roman" w:eastAsia="宋体" w:cs="Times New Roman"/>
          <w:bCs/>
          <w:color w:val="auto"/>
          <w:sz w:val="24"/>
          <w:szCs w:val="24"/>
          <w:u w:val="none" w:color="auto"/>
          <w:lang w:val="en-US" w:eastAsia="zh-CN"/>
        </w:rPr>
        <w:t>0</w:t>
      </w:r>
      <w:r>
        <w:rPr>
          <w:rFonts w:hint="default" w:ascii="Times New Roman" w:hAnsi="Times New Roman" w:eastAsia="宋体" w:cs="Times New Roman"/>
          <w:bCs/>
          <w:color w:val="auto"/>
          <w:sz w:val="24"/>
          <w:szCs w:val="24"/>
          <w:u w:val="none" w:color="auto"/>
        </w:rPr>
        <w:t>。</w:t>
      </w:r>
    </w:p>
    <w:p w14:paraId="613F0DF0">
      <w:pPr>
        <w:spacing w:line="360" w:lineRule="auto"/>
        <w:ind w:firstLine="482" w:firstLineChars="200"/>
        <w:rPr>
          <w:rFonts w:hint="default" w:ascii="Times New Roman" w:hAnsi="Times New Roman" w:eastAsia="宋体" w:cs="Times New Roman"/>
          <w:b/>
          <w:bCs/>
          <w:color w:val="auto"/>
          <w:sz w:val="24"/>
          <w:u w:val="none" w:color="auto"/>
        </w:rPr>
      </w:pPr>
      <w:r>
        <w:rPr>
          <w:rFonts w:hint="default" w:ascii="Times New Roman" w:hAnsi="Times New Roman" w:eastAsia="宋体" w:cs="Times New Roman"/>
          <w:b/>
          <w:bCs/>
          <w:color w:val="auto"/>
          <w:sz w:val="24"/>
          <w:u w:val="none" w:color="auto"/>
        </w:rPr>
        <w:t>2.2.2、行业及生产工艺M</w:t>
      </w:r>
    </w:p>
    <w:p w14:paraId="1A155D41">
      <w:pPr>
        <w:spacing w:line="360" w:lineRule="auto"/>
        <w:ind w:firstLine="480" w:firstLineChars="200"/>
        <w:rPr>
          <w:rFonts w:hint="default" w:ascii="Times New Roman" w:hAnsi="Times New Roman" w:eastAsia="宋体" w:cs="Times New Roman"/>
          <w:bCs/>
          <w:color w:val="auto"/>
          <w:sz w:val="24"/>
          <w:szCs w:val="24"/>
          <w:u w:val="none" w:color="auto"/>
        </w:rPr>
      </w:pPr>
      <w:r>
        <w:rPr>
          <w:rFonts w:hint="default" w:ascii="Times New Roman" w:hAnsi="Times New Roman" w:eastAsia="宋体" w:cs="Times New Roman"/>
          <w:bCs/>
          <w:color w:val="auto"/>
          <w:sz w:val="24"/>
          <w:szCs w:val="24"/>
          <w:u w:val="none" w:color="auto"/>
        </w:rPr>
        <w:t>本项目</w:t>
      </w:r>
      <w:r>
        <w:rPr>
          <w:rFonts w:hint="default" w:ascii="Times New Roman" w:hAnsi="Times New Roman" w:eastAsia="宋体" w:cs="Times New Roman"/>
          <w:bCs/>
          <w:color w:val="auto"/>
          <w:sz w:val="24"/>
          <w:szCs w:val="24"/>
          <w:u w:val="none" w:color="auto"/>
          <w:lang w:val="en-US" w:eastAsia="zh-CN"/>
        </w:rPr>
        <w:t>中创空天厂区</w:t>
      </w:r>
      <w:r>
        <w:rPr>
          <w:rFonts w:hint="default" w:ascii="Times New Roman" w:hAnsi="Times New Roman" w:eastAsia="宋体" w:cs="Times New Roman"/>
          <w:bCs/>
          <w:color w:val="auto"/>
          <w:sz w:val="24"/>
          <w:szCs w:val="24"/>
          <w:u w:val="none" w:color="auto"/>
        </w:rPr>
        <w:t>属于C3240  有色金属合金制造</w:t>
      </w:r>
      <w:r>
        <w:rPr>
          <w:rFonts w:hint="default" w:ascii="Times New Roman" w:hAnsi="Times New Roman" w:eastAsia="宋体" w:cs="Times New Roman"/>
          <w:bCs/>
          <w:color w:val="auto"/>
          <w:sz w:val="24"/>
          <w:szCs w:val="24"/>
          <w:u w:val="none" w:color="auto"/>
          <w:lang w:eastAsia="zh-CN"/>
        </w:rPr>
        <w:t>、</w:t>
      </w:r>
      <w:r>
        <w:rPr>
          <w:rFonts w:hint="default" w:ascii="Times New Roman" w:hAnsi="Times New Roman" w:eastAsia="宋体" w:cs="Times New Roman"/>
          <w:bCs/>
          <w:color w:val="auto"/>
          <w:sz w:val="24"/>
          <w:szCs w:val="24"/>
          <w:u w:val="none" w:color="auto"/>
        </w:rPr>
        <w:t>C3392  有色金属铸造，根据《建设项目环境风险评价技术导则》（HJ169-2018）附录C表C.1行业及生产工艺（M），通过分析项目</w:t>
      </w:r>
      <w:r>
        <w:rPr>
          <w:rFonts w:hint="default" w:ascii="Times New Roman" w:hAnsi="Times New Roman" w:eastAsia="宋体" w:cs="Times New Roman"/>
          <w:color w:val="auto"/>
          <w:sz w:val="24"/>
          <w:szCs w:val="24"/>
          <w:u w:val="none" w:color="auto"/>
          <w:lang w:eastAsia="zh-CN"/>
        </w:rPr>
        <w:t>中创空天厂区</w:t>
      </w:r>
      <w:r>
        <w:rPr>
          <w:rFonts w:hint="default" w:ascii="Times New Roman" w:hAnsi="Times New Roman" w:eastAsia="宋体" w:cs="Times New Roman"/>
          <w:bCs/>
          <w:color w:val="auto"/>
          <w:sz w:val="24"/>
          <w:szCs w:val="24"/>
          <w:u w:val="none" w:color="auto"/>
        </w:rPr>
        <w:t>所属行业及生产工艺特点，根据下表确定项目</w:t>
      </w:r>
      <w:r>
        <w:rPr>
          <w:rFonts w:hint="default" w:ascii="Times New Roman" w:hAnsi="Times New Roman" w:eastAsia="宋体" w:cs="Times New Roman"/>
          <w:color w:val="auto"/>
          <w:sz w:val="24"/>
          <w:szCs w:val="24"/>
          <w:u w:val="none" w:color="auto"/>
          <w:lang w:eastAsia="zh-CN"/>
        </w:rPr>
        <w:t>中创空天厂区</w:t>
      </w:r>
      <w:r>
        <w:rPr>
          <w:rFonts w:hint="default" w:ascii="Times New Roman" w:hAnsi="Times New Roman" w:eastAsia="宋体" w:cs="Times New Roman"/>
          <w:bCs/>
          <w:color w:val="auto"/>
          <w:sz w:val="24"/>
          <w:szCs w:val="24"/>
          <w:u w:val="none" w:color="auto"/>
        </w:rPr>
        <w:t>M=5，为M4（M=5）。</w:t>
      </w:r>
    </w:p>
    <w:p w14:paraId="0DEBA072">
      <w:pPr>
        <w:pStyle w:val="17"/>
        <w:numPr>
          <w:ilvl w:val="0"/>
          <w:numId w:val="10"/>
        </w:numPr>
        <w:adjustRightInd/>
        <w:snapToGrid/>
        <w:rPr>
          <w:rFonts w:hint="default" w:ascii="Times New Roman" w:hAnsi="Times New Roman" w:eastAsia="宋体" w:cs="Times New Roman"/>
          <w:b/>
          <w:bCs/>
          <w:color w:val="auto"/>
          <w:sz w:val="21"/>
          <w:szCs w:val="16"/>
          <w:u w:val="none" w:color="auto"/>
        </w:rPr>
      </w:pPr>
      <w:r>
        <w:rPr>
          <w:rFonts w:hint="default" w:ascii="Times New Roman" w:hAnsi="Times New Roman" w:eastAsia="宋体" w:cs="Times New Roman"/>
          <w:b/>
          <w:bCs/>
          <w:color w:val="auto"/>
          <w:sz w:val="21"/>
          <w:szCs w:val="16"/>
          <w:u w:val="none" w:color="auto"/>
        </w:rPr>
        <w:t>行业及生产工艺M</w:t>
      </w:r>
    </w:p>
    <w:tbl>
      <w:tblPr>
        <w:tblStyle w:val="31"/>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1420"/>
        <w:gridCol w:w="3427"/>
        <w:gridCol w:w="1375"/>
        <w:gridCol w:w="1384"/>
        <w:gridCol w:w="1264"/>
      </w:tblGrid>
      <w:tr w14:paraId="31EE154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3" w:hRule="atLeast"/>
          <w:tblHeader/>
          <w:jc w:val="center"/>
        </w:trPr>
        <w:tc>
          <w:tcPr>
            <w:tcW w:w="800" w:type="pct"/>
            <w:tcBorders>
              <w:tl2br w:val="nil"/>
              <w:tr2bl w:val="nil"/>
            </w:tcBorders>
            <w:noWrap w:val="0"/>
            <w:vAlign w:val="center"/>
          </w:tcPr>
          <w:p w14:paraId="4C524141">
            <w:pPr>
              <w:autoSpaceDE w:val="0"/>
              <w:autoSpaceDN w:val="0"/>
              <w:jc w:val="center"/>
              <w:rPr>
                <w:rFonts w:hint="default" w:ascii="Times New Roman" w:hAnsi="Times New Roman" w:eastAsia="宋体" w:cs="Times New Roman"/>
                <w:b/>
                <w:bCs/>
                <w:color w:val="auto"/>
                <w:u w:val="none" w:color="auto"/>
              </w:rPr>
            </w:pPr>
            <w:r>
              <w:rPr>
                <w:rFonts w:hint="default" w:ascii="Times New Roman" w:hAnsi="Times New Roman" w:eastAsia="宋体" w:cs="Times New Roman"/>
                <w:b/>
                <w:bCs/>
                <w:color w:val="auto"/>
                <w:u w:val="none" w:color="auto"/>
              </w:rPr>
              <w:t>行业</w:t>
            </w:r>
          </w:p>
        </w:tc>
        <w:tc>
          <w:tcPr>
            <w:tcW w:w="1931" w:type="pct"/>
            <w:tcBorders>
              <w:tl2br w:val="nil"/>
              <w:tr2bl w:val="nil"/>
            </w:tcBorders>
            <w:noWrap w:val="0"/>
            <w:vAlign w:val="center"/>
          </w:tcPr>
          <w:p w14:paraId="0A3E15F9">
            <w:pPr>
              <w:autoSpaceDE w:val="0"/>
              <w:autoSpaceDN w:val="0"/>
              <w:jc w:val="center"/>
              <w:rPr>
                <w:rFonts w:hint="default" w:ascii="Times New Roman" w:hAnsi="Times New Roman" w:eastAsia="宋体" w:cs="Times New Roman"/>
                <w:b/>
                <w:bCs/>
                <w:color w:val="auto"/>
                <w:u w:val="none" w:color="auto"/>
              </w:rPr>
            </w:pPr>
            <w:r>
              <w:rPr>
                <w:rFonts w:hint="default" w:ascii="Times New Roman" w:hAnsi="Times New Roman" w:eastAsia="宋体" w:cs="Times New Roman"/>
                <w:b/>
                <w:bCs/>
                <w:color w:val="auto"/>
                <w:u w:val="none" w:color="auto"/>
              </w:rPr>
              <w:t>评估依据</w:t>
            </w:r>
          </w:p>
        </w:tc>
        <w:tc>
          <w:tcPr>
            <w:tcW w:w="773" w:type="pct"/>
            <w:tcBorders>
              <w:tl2br w:val="nil"/>
              <w:tr2bl w:val="nil"/>
            </w:tcBorders>
            <w:noWrap w:val="0"/>
            <w:vAlign w:val="center"/>
          </w:tcPr>
          <w:p w14:paraId="0A2B23B8">
            <w:pPr>
              <w:autoSpaceDE w:val="0"/>
              <w:autoSpaceDN w:val="0"/>
              <w:jc w:val="center"/>
              <w:rPr>
                <w:rFonts w:hint="default" w:ascii="Times New Roman" w:hAnsi="Times New Roman" w:eastAsia="宋体" w:cs="Times New Roman"/>
                <w:b/>
                <w:bCs/>
                <w:color w:val="auto"/>
                <w:u w:val="none" w:color="auto"/>
              </w:rPr>
            </w:pPr>
            <w:r>
              <w:rPr>
                <w:rFonts w:hint="default" w:ascii="Times New Roman" w:hAnsi="Times New Roman" w:eastAsia="宋体" w:cs="Times New Roman"/>
                <w:b/>
                <w:bCs/>
                <w:color w:val="auto"/>
                <w:u w:val="none" w:color="auto"/>
              </w:rPr>
              <w:t>分值</w:t>
            </w:r>
          </w:p>
        </w:tc>
        <w:tc>
          <w:tcPr>
            <w:tcW w:w="780" w:type="pct"/>
            <w:tcBorders>
              <w:tl2br w:val="nil"/>
              <w:tr2bl w:val="nil"/>
            </w:tcBorders>
            <w:noWrap w:val="0"/>
            <w:vAlign w:val="center"/>
          </w:tcPr>
          <w:p w14:paraId="59906E0B">
            <w:pPr>
              <w:autoSpaceDE w:val="0"/>
              <w:autoSpaceDN w:val="0"/>
              <w:jc w:val="center"/>
              <w:rPr>
                <w:rFonts w:hint="default" w:ascii="Times New Roman" w:hAnsi="Times New Roman" w:eastAsia="宋体" w:cs="Times New Roman"/>
                <w:b/>
                <w:bCs/>
                <w:color w:val="auto"/>
                <w:u w:val="none" w:color="auto"/>
              </w:rPr>
            </w:pPr>
            <w:r>
              <w:rPr>
                <w:rFonts w:hint="default" w:ascii="Times New Roman" w:hAnsi="Times New Roman" w:eastAsia="宋体" w:cs="Times New Roman"/>
                <w:b/>
                <w:bCs/>
                <w:color w:val="auto"/>
                <w:u w:val="none" w:color="auto"/>
              </w:rPr>
              <w:t>项目情况</w:t>
            </w:r>
          </w:p>
        </w:tc>
        <w:tc>
          <w:tcPr>
            <w:tcW w:w="712" w:type="pct"/>
            <w:tcBorders>
              <w:tl2br w:val="nil"/>
              <w:tr2bl w:val="nil"/>
            </w:tcBorders>
            <w:noWrap w:val="0"/>
            <w:vAlign w:val="center"/>
          </w:tcPr>
          <w:p w14:paraId="47F173C8">
            <w:pPr>
              <w:autoSpaceDE w:val="0"/>
              <w:autoSpaceDN w:val="0"/>
              <w:jc w:val="center"/>
              <w:rPr>
                <w:rFonts w:hint="default" w:ascii="Times New Roman" w:hAnsi="Times New Roman" w:eastAsia="宋体" w:cs="Times New Roman"/>
                <w:b/>
                <w:bCs/>
                <w:color w:val="auto"/>
                <w:u w:val="none" w:color="auto"/>
              </w:rPr>
            </w:pPr>
            <w:r>
              <w:rPr>
                <w:rFonts w:hint="default" w:ascii="Times New Roman" w:hAnsi="Times New Roman" w:eastAsia="宋体" w:cs="Times New Roman"/>
                <w:b/>
                <w:bCs/>
                <w:color w:val="auto"/>
                <w:u w:val="none" w:color="auto"/>
              </w:rPr>
              <w:t>本项目得分</w:t>
            </w:r>
          </w:p>
        </w:tc>
      </w:tr>
      <w:tr w14:paraId="505F468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800" w:type="pct"/>
            <w:vMerge w:val="restart"/>
            <w:tcBorders>
              <w:tl2br w:val="nil"/>
              <w:tr2bl w:val="nil"/>
            </w:tcBorders>
            <w:noWrap w:val="0"/>
            <w:vAlign w:val="center"/>
          </w:tcPr>
          <w:p w14:paraId="1B80D26C">
            <w:pPr>
              <w:autoSpaceDE w:val="0"/>
              <w:autoSpaceDN w:val="0"/>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石化、化工、医药、轻工、化纤、有色冶炼等</w:t>
            </w:r>
          </w:p>
        </w:tc>
        <w:tc>
          <w:tcPr>
            <w:tcW w:w="1931" w:type="pct"/>
            <w:tcBorders>
              <w:tl2br w:val="nil"/>
              <w:tr2bl w:val="nil"/>
            </w:tcBorders>
            <w:noWrap w:val="0"/>
            <w:vAlign w:val="center"/>
          </w:tcPr>
          <w:p w14:paraId="1D74A169">
            <w:pPr>
              <w:autoSpaceDE w:val="0"/>
              <w:autoSpaceDN w:val="0"/>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涉及光气及光气化工艺、电解工艺（氯碱）、氯化工艺、硝化工艺、合成氨工艺、裂解（裂化）工艺、氟化工艺、加氢工艺、重氮化工艺、氧化工艺、过氧化工艺、胺基化工艺、磺化工艺、聚合工艺、烷基化工艺、新型煤化工工艺、电石生产工艺、偶氮化工艺</w:t>
            </w:r>
          </w:p>
        </w:tc>
        <w:tc>
          <w:tcPr>
            <w:tcW w:w="773" w:type="pct"/>
            <w:tcBorders>
              <w:tl2br w:val="nil"/>
              <w:tr2bl w:val="nil"/>
            </w:tcBorders>
            <w:noWrap w:val="0"/>
            <w:vAlign w:val="center"/>
          </w:tcPr>
          <w:p w14:paraId="56579BC2">
            <w:pPr>
              <w:autoSpaceDE w:val="0"/>
              <w:autoSpaceDN w:val="0"/>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10/套</w:t>
            </w:r>
          </w:p>
        </w:tc>
        <w:tc>
          <w:tcPr>
            <w:tcW w:w="780" w:type="pct"/>
            <w:tcBorders>
              <w:tl2br w:val="nil"/>
              <w:tr2bl w:val="nil"/>
            </w:tcBorders>
            <w:noWrap w:val="0"/>
            <w:vAlign w:val="center"/>
          </w:tcPr>
          <w:p w14:paraId="0172810A">
            <w:pPr>
              <w:autoSpaceDE w:val="0"/>
              <w:autoSpaceDN w:val="0"/>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不涉及</w:t>
            </w:r>
          </w:p>
        </w:tc>
        <w:tc>
          <w:tcPr>
            <w:tcW w:w="712" w:type="pct"/>
            <w:tcBorders>
              <w:tl2br w:val="nil"/>
              <w:tr2bl w:val="nil"/>
            </w:tcBorders>
            <w:noWrap w:val="0"/>
            <w:vAlign w:val="center"/>
          </w:tcPr>
          <w:p w14:paraId="15D3C2D8">
            <w:pPr>
              <w:autoSpaceDE w:val="0"/>
              <w:autoSpaceDN w:val="0"/>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0</w:t>
            </w:r>
          </w:p>
        </w:tc>
      </w:tr>
      <w:tr w14:paraId="21007E2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800" w:type="pct"/>
            <w:vMerge w:val="continue"/>
            <w:tcBorders>
              <w:tl2br w:val="nil"/>
              <w:tr2bl w:val="nil"/>
            </w:tcBorders>
            <w:noWrap w:val="0"/>
            <w:vAlign w:val="center"/>
          </w:tcPr>
          <w:p w14:paraId="651E01E2">
            <w:pPr>
              <w:jc w:val="center"/>
              <w:rPr>
                <w:rFonts w:hint="default" w:ascii="Times New Roman" w:hAnsi="Times New Roman" w:eastAsia="宋体" w:cs="Times New Roman"/>
                <w:color w:val="auto"/>
                <w:u w:val="none" w:color="auto"/>
              </w:rPr>
            </w:pPr>
          </w:p>
        </w:tc>
        <w:tc>
          <w:tcPr>
            <w:tcW w:w="1931" w:type="pct"/>
            <w:tcBorders>
              <w:tl2br w:val="nil"/>
              <w:tr2bl w:val="nil"/>
            </w:tcBorders>
            <w:noWrap w:val="0"/>
            <w:vAlign w:val="center"/>
          </w:tcPr>
          <w:p w14:paraId="61395F7B">
            <w:pPr>
              <w:pStyle w:val="54"/>
              <w:widowControl/>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无机酸制酸工艺、焦化工艺</w:t>
            </w:r>
          </w:p>
        </w:tc>
        <w:tc>
          <w:tcPr>
            <w:tcW w:w="773" w:type="pct"/>
            <w:tcBorders>
              <w:tl2br w:val="nil"/>
              <w:tr2bl w:val="nil"/>
            </w:tcBorders>
            <w:noWrap w:val="0"/>
            <w:vAlign w:val="center"/>
          </w:tcPr>
          <w:p w14:paraId="7CF6698A">
            <w:pPr>
              <w:pStyle w:val="54"/>
              <w:widowControl/>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5/套</w:t>
            </w:r>
          </w:p>
        </w:tc>
        <w:tc>
          <w:tcPr>
            <w:tcW w:w="780" w:type="pct"/>
            <w:tcBorders>
              <w:tl2br w:val="nil"/>
              <w:tr2bl w:val="nil"/>
            </w:tcBorders>
            <w:noWrap w:val="0"/>
            <w:vAlign w:val="center"/>
          </w:tcPr>
          <w:p w14:paraId="0FC562CC">
            <w:pPr>
              <w:pStyle w:val="54"/>
              <w:widowControl/>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不涉及</w:t>
            </w:r>
          </w:p>
        </w:tc>
        <w:tc>
          <w:tcPr>
            <w:tcW w:w="712" w:type="pct"/>
            <w:tcBorders>
              <w:tl2br w:val="nil"/>
              <w:tr2bl w:val="nil"/>
            </w:tcBorders>
            <w:noWrap w:val="0"/>
            <w:vAlign w:val="center"/>
          </w:tcPr>
          <w:p w14:paraId="09D3A286">
            <w:pPr>
              <w:pStyle w:val="54"/>
              <w:widowControl/>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0</w:t>
            </w:r>
          </w:p>
        </w:tc>
      </w:tr>
      <w:tr w14:paraId="14380E5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800" w:type="pct"/>
            <w:vMerge w:val="continue"/>
            <w:tcBorders>
              <w:tl2br w:val="nil"/>
              <w:tr2bl w:val="nil"/>
            </w:tcBorders>
            <w:noWrap w:val="0"/>
            <w:vAlign w:val="center"/>
          </w:tcPr>
          <w:p w14:paraId="716A5F18">
            <w:pPr>
              <w:jc w:val="center"/>
              <w:rPr>
                <w:rFonts w:hint="default" w:ascii="Times New Roman" w:hAnsi="Times New Roman" w:eastAsia="宋体" w:cs="Times New Roman"/>
                <w:color w:val="auto"/>
                <w:u w:val="none" w:color="auto"/>
              </w:rPr>
            </w:pPr>
          </w:p>
        </w:tc>
        <w:tc>
          <w:tcPr>
            <w:tcW w:w="1931" w:type="pct"/>
            <w:tcBorders>
              <w:tl2br w:val="nil"/>
              <w:tr2bl w:val="nil"/>
            </w:tcBorders>
            <w:noWrap w:val="0"/>
            <w:vAlign w:val="center"/>
          </w:tcPr>
          <w:p w14:paraId="48163D77">
            <w:pPr>
              <w:pStyle w:val="54"/>
              <w:widowControl/>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其他高温或高压，且涉及危险物质的工艺过程</w:t>
            </w:r>
            <w:r>
              <w:rPr>
                <w:rFonts w:hint="default" w:ascii="Times New Roman" w:hAnsi="Times New Roman" w:eastAsia="宋体" w:cs="Times New Roman"/>
                <w:color w:val="auto"/>
                <w:u w:val="none" w:color="auto"/>
                <w:vertAlign w:val="superscript"/>
              </w:rPr>
              <w:t>a</w:t>
            </w:r>
            <w:r>
              <w:rPr>
                <w:rFonts w:hint="default" w:ascii="Times New Roman" w:hAnsi="Times New Roman" w:eastAsia="宋体" w:cs="Times New Roman"/>
                <w:color w:val="auto"/>
                <w:u w:val="none" w:color="auto"/>
              </w:rPr>
              <w:t>、危险物质贮存罐区</w:t>
            </w:r>
          </w:p>
        </w:tc>
        <w:tc>
          <w:tcPr>
            <w:tcW w:w="773" w:type="pct"/>
            <w:tcBorders>
              <w:tl2br w:val="nil"/>
              <w:tr2bl w:val="nil"/>
            </w:tcBorders>
            <w:noWrap w:val="0"/>
            <w:vAlign w:val="center"/>
          </w:tcPr>
          <w:p w14:paraId="54EAD255">
            <w:pPr>
              <w:pStyle w:val="54"/>
              <w:widowControl/>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5/套（罐区）</w:t>
            </w:r>
          </w:p>
        </w:tc>
        <w:tc>
          <w:tcPr>
            <w:tcW w:w="780" w:type="pct"/>
            <w:tcBorders>
              <w:tl2br w:val="nil"/>
              <w:tr2bl w:val="nil"/>
            </w:tcBorders>
            <w:noWrap w:val="0"/>
            <w:vAlign w:val="center"/>
          </w:tcPr>
          <w:p w14:paraId="7E1A94ED">
            <w:pPr>
              <w:pStyle w:val="54"/>
              <w:widowControl/>
              <w:jc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涉及熔化炉、保温炉等高温工艺，但不涉及危险物质使用</w:t>
            </w:r>
          </w:p>
        </w:tc>
        <w:tc>
          <w:tcPr>
            <w:tcW w:w="712" w:type="pct"/>
            <w:tcBorders>
              <w:tl2br w:val="nil"/>
              <w:tr2bl w:val="nil"/>
            </w:tcBorders>
            <w:noWrap w:val="0"/>
            <w:vAlign w:val="center"/>
          </w:tcPr>
          <w:p w14:paraId="1B190F8B">
            <w:pPr>
              <w:pStyle w:val="54"/>
              <w:widowControl/>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0</w:t>
            </w:r>
          </w:p>
        </w:tc>
      </w:tr>
      <w:tr w14:paraId="3138210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800" w:type="pct"/>
            <w:tcBorders>
              <w:tl2br w:val="nil"/>
              <w:tr2bl w:val="nil"/>
            </w:tcBorders>
            <w:noWrap w:val="0"/>
            <w:vAlign w:val="center"/>
          </w:tcPr>
          <w:p w14:paraId="020BD850">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管道、港口/码头等</w:t>
            </w:r>
          </w:p>
        </w:tc>
        <w:tc>
          <w:tcPr>
            <w:tcW w:w="1931" w:type="pct"/>
            <w:tcBorders>
              <w:tl2br w:val="nil"/>
              <w:tr2bl w:val="nil"/>
            </w:tcBorders>
            <w:noWrap w:val="0"/>
            <w:vAlign w:val="center"/>
          </w:tcPr>
          <w:p w14:paraId="533B816A">
            <w:pPr>
              <w:pStyle w:val="54"/>
              <w:widowControl/>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涉及危险物质管道运输项目、港口/码头等</w:t>
            </w:r>
          </w:p>
        </w:tc>
        <w:tc>
          <w:tcPr>
            <w:tcW w:w="773" w:type="pct"/>
            <w:tcBorders>
              <w:tl2br w:val="nil"/>
              <w:tr2bl w:val="nil"/>
            </w:tcBorders>
            <w:noWrap w:val="0"/>
            <w:vAlign w:val="center"/>
          </w:tcPr>
          <w:p w14:paraId="10A6730A">
            <w:pPr>
              <w:pStyle w:val="54"/>
              <w:widowControl/>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10</w:t>
            </w:r>
          </w:p>
        </w:tc>
        <w:tc>
          <w:tcPr>
            <w:tcW w:w="1300" w:type="dxa"/>
            <w:tcBorders>
              <w:tl2br w:val="nil"/>
              <w:tr2bl w:val="nil"/>
            </w:tcBorders>
            <w:noWrap w:val="0"/>
            <w:vAlign w:val="center"/>
          </w:tcPr>
          <w:p w14:paraId="364DE030">
            <w:pPr>
              <w:autoSpaceDE w:val="0"/>
              <w:autoSpaceDN w:val="0"/>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不涉及</w:t>
            </w:r>
          </w:p>
        </w:tc>
        <w:tc>
          <w:tcPr>
            <w:tcW w:w="1188" w:type="dxa"/>
            <w:tcBorders>
              <w:tl2br w:val="nil"/>
              <w:tr2bl w:val="nil"/>
            </w:tcBorders>
            <w:noWrap w:val="0"/>
            <w:vAlign w:val="center"/>
          </w:tcPr>
          <w:p w14:paraId="731B1082">
            <w:pPr>
              <w:autoSpaceDE w:val="0"/>
              <w:autoSpaceDN w:val="0"/>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0</w:t>
            </w:r>
          </w:p>
        </w:tc>
      </w:tr>
      <w:tr w14:paraId="536DD38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800" w:type="pct"/>
            <w:tcBorders>
              <w:tl2br w:val="nil"/>
              <w:tr2bl w:val="nil"/>
            </w:tcBorders>
            <w:noWrap w:val="0"/>
            <w:vAlign w:val="center"/>
          </w:tcPr>
          <w:p w14:paraId="3A2A2725">
            <w:pPr>
              <w:pStyle w:val="54"/>
              <w:widowControl/>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石油天然气</w:t>
            </w:r>
          </w:p>
        </w:tc>
        <w:tc>
          <w:tcPr>
            <w:tcW w:w="1931" w:type="pct"/>
            <w:tcBorders>
              <w:tl2br w:val="nil"/>
              <w:tr2bl w:val="nil"/>
            </w:tcBorders>
            <w:noWrap w:val="0"/>
            <w:vAlign w:val="center"/>
          </w:tcPr>
          <w:p w14:paraId="50A29BFF">
            <w:pPr>
              <w:pStyle w:val="54"/>
              <w:widowControl/>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石油、天然气、页岩气开采（含净化），气库（不含加气站的气库），油库（不含加气站的油库）、油气管线</w:t>
            </w:r>
            <w:r>
              <w:rPr>
                <w:rFonts w:hint="default" w:ascii="Times New Roman" w:hAnsi="Times New Roman" w:eastAsia="宋体" w:cs="Times New Roman"/>
                <w:color w:val="auto"/>
                <w:u w:val="none" w:color="auto"/>
                <w:vertAlign w:val="superscript"/>
              </w:rPr>
              <w:t>b</w:t>
            </w:r>
            <w:r>
              <w:rPr>
                <w:rFonts w:hint="default" w:ascii="Times New Roman" w:hAnsi="Times New Roman" w:eastAsia="宋体" w:cs="Times New Roman"/>
                <w:color w:val="auto"/>
                <w:u w:val="none" w:color="auto"/>
              </w:rPr>
              <w:t>（不含城镇燃气管线）</w:t>
            </w:r>
          </w:p>
        </w:tc>
        <w:tc>
          <w:tcPr>
            <w:tcW w:w="773" w:type="pct"/>
            <w:tcBorders>
              <w:tl2br w:val="nil"/>
              <w:tr2bl w:val="nil"/>
            </w:tcBorders>
            <w:noWrap w:val="0"/>
            <w:vAlign w:val="center"/>
          </w:tcPr>
          <w:p w14:paraId="4586FC11">
            <w:pPr>
              <w:pStyle w:val="54"/>
              <w:widowControl/>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10</w:t>
            </w:r>
          </w:p>
        </w:tc>
        <w:tc>
          <w:tcPr>
            <w:tcW w:w="1300" w:type="dxa"/>
            <w:tcBorders>
              <w:tl2br w:val="nil"/>
              <w:tr2bl w:val="nil"/>
            </w:tcBorders>
            <w:noWrap w:val="0"/>
            <w:vAlign w:val="center"/>
          </w:tcPr>
          <w:p w14:paraId="63D26879">
            <w:pPr>
              <w:autoSpaceDE w:val="0"/>
              <w:autoSpaceDN w:val="0"/>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不涉及</w:t>
            </w:r>
          </w:p>
        </w:tc>
        <w:tc>
          <w:tcPr>
            <w:tcW w:w="1188" w:type="dxa"/>
            <w:tcBorders>
              <w:tl2br w:val="nil"/>
              <w:tr2bl w:val="nil"/>
            </w:tcBorders>
            <w:noWrap w:val="0"/>
            <w:vAlign w:val="center"/>
          </w:tcPr>
          <w:p w14:paraId="2FBB6B0C">
            <w:pPr>
              <w:autoSpaceDE w:val="0"/>
              <w:autoSpaceDN w:val="0"/>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0</w:t>
            </w:r>
          </w:p>
        </w:tc>
      </w:tr>
      <w:tr w14:paraId="5FFE336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800" w:type="pct"/>
            <w:tcBorders>
              <w:tl2br w:val="nil"/>
              <w:tr2bl w:val="nil"/>
            </w:tcBorders>
            <w:noWrap w:val="0"/>
            <w:vAlign w:val="center"/>
          </w:tcPr>
          <w:p w14:paraId="63ED4C45">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其他</w:t>
            </w:r>
          </w:p>
        </w:tc>
        <w:tc>
          <w:tcPr>
            <w:tcW w:w="1931" w:type="pct"/>
            <w:tcBorders>
              <w:tl2br w:val="nil"/>
              <w:tr2bl w:val="nil"/>
            </w:tcBorders>
            <w:noWrap w:val="0"/>
            <w:vAlign w:val="center"/>
          </w:tcPr>
          <w:p w14:paraId="199AB673">
            <w:pPr>
              <w:pStyle w:val="54"/>
              <w:widowControl/>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涉及危险物质使用、贮存的项目</w:t>
            </w:r>
          </w:p>
        </w:tc>
        <w:tc>
          <w:tcPr>
            <w:tcW w:w="773" w:type="pct"/>
            <w:tcBorders>
              <w:tl2br w:val="nil"/>
              <w:tr2bl w:val="nil"/>
            </w:tcBorders>
            <w:noWrap w:val="0"/>
            <w:vAlign w:val="center"/>
          </w:tcPr>
          <w:p w14:paraId="4E26DD3A">
            <w:pPr>
              <w:pStyle w:val="54"/>
              <w:widowControl/>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5</w:t>
            </w:r>
          </w:p>
        </w:tc>
        <w:tc>
          <w:tcPr>
            <w:tcW w:w="780" w:type="pct"/>
            <w:tcBorders>
              <w:tl2br w:val="nil"/>
              <w:tr2bl w:val="nil"/>
            </w:tcBorders>
            <w:noWrap w:val="0"/>
            <w:vAlign w:val="center"/>
          </w:tcPr>
          <w:p w14:paraId="6F55D357">
            <w:pPr>
              <w:pStyle w:val="54"/>
              <w:widowControl/>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涉及危险物质的贮存</w:t>
            </w:r>
          </w:p>
        </w:tc>
        <w:tc>
          <w:tcPr>
            <w:tcW w:w="712" w:type="pct"/>
            <w:tcBorders>
              <w:tl2br w:val="nil"/>
              <w:tr2bl w:val="nil"/>
            </w:tcBorders>
            <w:noWrap w:val="0"/>
            <w:vAlign w:val="center"/>
          </w:tcPr>
          <w:p w14:paraId="63C2AD23">
            <w:pPr>
              <w:pStyle w:val="54"/>
              <w:widowControl/>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5</w:t>
            </w:r>
          </w:p>
        </w:tc>
      </w:tr>
      <w:tr w14:paraId="57BACCE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3506" w:type="pct"/>
            <w:gridSpan w:val="3"/>
            <w:tcBorders>
              <w:tl2br w:val="nil"/>
              <w:tr2bl w:val="nil"/>
            </w:tcBorders>
            <w:noWrap w:val="0"/>
            <w:vAlign w:val="center"/>
          </w:tcPr>
          <w:p w14:paraId="713523EC">
            <w:pPr>
              <w:autoSpaceDE w:val="0"/>
              <w:autoSpaceDN w:val="0"/>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a 高温指工艺温度≥300 ℃，高压指压力容器的设计压力（P）≥10.0 MPa；b 长输管道运输项目应按站场、管线分段进行评价。</w:t>
            </w:r>
          </w:p>
        </w:tc>
        <w:tc>
          <w:tcPr>
            <w:tcW w:w="780" w:type="pct"/>
            <w:tcBorders>
              <w:tl2br w:val="nil"/>
              <w:tr2bl w:val="nil"/>
            </w:tcBorders>
            <w:noWrap w:val="0"/>
            <w:vAlign w:val="center"/>
          </w:tcPr>
          <w:p w14:paraId="0390EA78">
            <w:pPr>
              <w:autoSpaceDE w:val="0"/>
              <w:autoSpaceDN w:val="0"/>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本项目合计</w:t>
            </w:r>
          </w:p>
        </w:tc>
        <w:tc>
          <w:tcPr>
            <w:tcW w:w="712" w:type="pct"/>
            <w:tcBorders>
              <w:tl2br w:val="nil"/>
              <w:tr2bl w:val="nil"/>
            </w:tcBorders>
            <w:noWrap w:val="0"/>
            <w:vAlign w:val="center"/>
          </w:tcPr>
          <w:p w14:paraId="1B0E39CE">
            <w:pPr>
              <w:pStyle w:val="54"/>
              <w:widowControl/>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5</w:t>
            </w:r>
          </w:p>
        </w:tc>
      </w:tr>
    </w:tbl>
    <w:p w14:paraId="4CFC441D">
      <w:pPr>
        <w:spacing w:line="360" w:lineRule="auto"/>
        <w:ind w:firstLine="482" w:firstLineChars="200"/>
        <w:rPr>
          <w:rFonts w:hint="default" w:ascii="Times New Roman" w:hAnsi="Times New Roman" w:eastAsia="宋体" w:cs="Times New Roman"/>
          <w:b/>
          <w:bCs/>
          <w:color w:val="auto"/>
          <w:sz w:val="24"/>
          <w:u w:val="none" w:color="auto"/>
        </w:rPr>
      </w:pPr>
      <w:r>
        <w:rPr>
          <w:rFonts w:hint="default" w:ascii="Times New Roman" w:hAnsi="Times New Roman" w:eastAsia="宋体" w:cs="Times New Roman"/>
          <w:b/>
          <w:bCs/>
          <w:color w:val="auto"/>
          <w:sz w:val="24"/>
          <w:u w:val="none" w:color="auto"/>
        </w:rPr>
        <w:t>2.2.3、危险物质及工艺系统危险性P分级</w:t>
      </w:r>
    </w:p>
    <w:p w14:paraId="4914FC62">
      <w:pPr>
        <w:spacing w:line="360" w:lineRule="auto"/>
        <w:ind w:firstLine="480" w:firstLineChars="200"/>
        <w:rPr>
          <w:rFonts w:hint="default" w:ascii="Times New Roman" w:hAnsi="Times New Roman" w:eastAsia="宋体" w:cs="Times New Roman"/>
          <w:bCs/>
          <w:color w:val="auto"/>
          <w:sz w:val="24"/>
          <w:szCs w:val="24"/>
          <w:u w:val="none" w:color="auto"/>
        </w:rPr>
      </w:pPr>
      <w:r>
        <w:rPr>
          <w:rFonts w:hint="default" w:ascii="Times New Roman" w:hAnsi="Times New Roman" w:eastAsia="宋体" w:cs="Times New Roman"/>
          <w:bCs/>
          <w:color w:val="auto"/>
          <w:sz w:val="24"/>
          <w:szCs w:val="24"/>
          <w:u w:val="none" w:color="auto"/>
        </w:rPr>
        <w:t>根据确定的危险物质在项目厂区存储的数量与其规定的临界量比值和所属行业及生产工艺特点（M=5），确定项目危险物质及工艺系统危险性P等级，由于本项目</w:t>
      </w:r>
      <w:r>
        <w:rPr>
          <w:rFonts w:hint="default" w:ascii="Times New Roman" w:hAnsi="Times New Roman" w:eastAsia="宋体" w:cs="Times New Roman"/>
          <w:color w:val="auto"/>
          <w:sz w:val="24"/>
          <w:szCs w:val="24"/>
          <w:u w:val="none" w:color="auto"/>
          <w:lang w:eastAsia="zh-CN"/>
        </w:rPr>
        <w:t>中创空天厂区</w:t>
      </w:r>
      <w:r>
        <w:rPr>
          <w:rFonts w:hint="default" w:ascii="Times New Roman" w:hAnsi="Times New Roman" w:eastAsia="宋体" w:cs="Times New Roman"/>
          <w:color w:val="auto"/>
          <w:sz w:val="24"/>
          <w:u w:val="none" w:color="auto"/>
        </w:rPr>
        <w:t>1</w:t>
      </w:r>
      <w:r>
        <w:rPr>
          <w:rFonts w:hint="default" w:ascii="Times New Roman" w:hAnsi="Times New Roman" w:eastAsia="宋体" w:cs="Times New Roman"/>
          <w:color w:val="auto"/>
          <w:sz w:val="24"/>
          <w:u w:val="none" w:color="auto"/>
          <w:lang w:val="en-US" w:eastAsia="zh-CN"/>
        </w:rPr>
        <w:t>0</w:t>
      </w:r>
      <w:r>
        <w:rPr>
          <w:rFonts w:hint="default" w:ascii="Times New Roman" w:hAnsi="Times New Roman" w:eastAsia="宋体" w:cs="Times New Roman"/>
          <w:color w:val="auto"/>
          <w:sz w:val="24"/>
          <w:u w:val="none" w:color="auto"/>
        </w:rPr>
        <w:t>≤Q＜10</w:t>
      </w:r>
      <w:r>
        <w:rPr>
          <w:rFonts w:hint="default" w:ascii="Times New Roman" w:hAnsi="Times New Roman" w:eastAsia="宋体" w:cs="Times New Roman"/>
          <w:color w:val="auto"/>
          <w:sz w:val="24"/>
          <w:u w:val="none" w:color="auto"/>
          <w:lang w:val="en-US" w:eastAsia="zh-CN"/>
        </w:rPr>
        <w:t>0</w:t>
      </w:r>
      <w:r>
        <w:rPr>
          <w:rFonts w:hint="default" w:ascii="Times New Roman" w:hAnsi="Times New Roman" w:eastAsia="宋体" w:cs="Times New Roman"/>
          <w:color w:val="auto"/>
          <w:sz w:val="24"/>
          <w:szCs w:val="22"/>
          <w:u w:val="none" w:color="auto"/>
        </w:rPr>
        <w:t>，M值属于M4，则本项目</w:t>
      </w:r>
      <w:r>
        <w:rPr>
          <w:rFonts w:hint="default" w:ascii="Times New Roman" w:hAnsi="Times New Roman" w:eastAsia="宋体" w:cs="Times New Roman"/>
          <w:color w:val="auto"/>
          <w:sz w:val="24"/>
          <w:szCs w:val="24"/>
          <w:u w:val="none" w:color="auto"/>
          <w:lang w:eastAsia="zh-CN"/>
        </w:rPr>
        <w:t>中创空天厂区</w:t>
      </w:r>
      <w:r>
        <w:rPr>
          <w:rFonts w:hint="default" w:ascii="Times New Roman" w:hAnsi="Times New Roman" w:eastAsia="宋体" w:cs="Times New Roman"/>
          <w:color w:val="auto"/>
          <w:sz w:val="24"/>
          <w:szCs w:val="22"/>
          <w:u w:val="none" w:color="auto"/>
        </w:rPr>
        <w:t>危险物质及工艺系统危险性（P）的分级为P4</w:t>
      </w:r>
      <w:r>
        <w:rPr>
          <w:rFonts w:hint="default" w:ascii="Times New Roman" w:hAnsi="Times New Roman" w:eastAsia="宋体" w:cs="Times New Roman"/>
          <w:bCs/>
          <w:color w:val="auto"/>
          <w:sz w:val="24"/>
          <w:szCs w:val="24"/>
          <w:u w:val="none" w:color="auto"/>
        </w:rPr>
        <w:t>。</w:t>
      </w:r>
    </w:p>
    <w:p w14:paraId="3BA44F72">
      <w:pPr>
        <w:pStyle w:val="17"/>
        <w:numPr>
          <w:ilvl w:val="0"/>
          <w:numId w:val="10"/>
        </w:numPr>
        <w:adjustRightInd/>
        <w:snapToGrid/>
        <w:rPr>
          <w:rFonts w:hint="default" w:ascii="Times New Roman" w:hAnsi="Times New Roman" w:eastAsia="宋体" w:cs="Times New Roman"/>
          <w:b/>
          <w:bCs/>
          <w:color w:val="auto"/>
          <w:sz w:val="21"/>
          <w:szCs w:val="16"/>
          <w:u w:val="none" w:color="auto"/>
        </w:rPr>
      </w:pPr>
      <w:r>
        <w:rPr>
          <w:rFonts w:hint="default" w:ascii="Times New Roman" w:hAnsi="Times New Roman" w:eastAsia="宋体" w:cs="Times New Roman"/>
          <w:b/>
          <w:bCs/>
          <w:color w:val="auto"/>
          <w:sz w:val="21"/>
          <w:szCs w:val="16"/>
          <w:u w:val="none" w:color="auto"/>
        </w:rPr>
        <w:t>危险物质及工艺系统危险性等级判断（P）</w:t>
      </w:r>
    </w:p>
    <w:tbl>
      <w:tblPr>
        <w:tblStyle w:val="31"/>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904"/>
        <w:gridCol w:w="1720"/>
        <w:gridCol w:w="1812"/>
        <w:gridCol w:w="1812"/>
        <w:gridCol w:w="1812"/>
      </w:tblGrid>
      <w:tr w14:paraId="5509220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51" w:type="pct"/>
            <w:vMerge w:val="restart"/>
            <w:tcBorders>
              <w:tl2br w:val="nil"/>
              <w:tr2bl w:val="nil"/>
            </w:tcBorders>
            <w:noWrap w:val="0"/>
            <w:vAlign w:val="center"/>
          </w:tcPr>
          <w:p w14:paraId="1D3F64D4">
            <w:pPr>
              <w:pStyle w:val="109"/>
              <w:contextualSpacing/>
              <w:rPr>
                <w:rFonts w:hint="default" w:ascii="Times New Roman" w:hAnsi="Times New Roman" w:eastAsia="宋体" w:cs="Times New Roman"/>
                <w:b/>
                <w:bCs/>
                <w:color w:val="auto"/>
                <w:sz w:val="21"/>
                <w:u w:val="none" w:color="auto"/>
              </w:rPr>
            </w:pPr>
            <w:r>
              <w:rPr>
                <w:rFonts w:hint="default" w:ascii="Times New Roman" w:hAnsi="Times New Roman" w:eastAsia="宋体" w:cs="Times New Roman"/>
                <w:b/>
                <w:bCs/>
                <w:color w:val="auto"/>
                <w:sz w:val="21"/>
                <w:u w:val="none" w:color="auto"/>
              </w:rPr>
              <w:t>危险物质数量与临界量比值（Q）</w:t>
            </w:r>
          </w:p>
        </w:tc>
        <w:tc>
          <w:tcPr>
            <w:tcW w:w="3949" w:type="pct"/>
            <w:gridSpan w:val="4"/>
            <w:tcBorders>
              <w:tl2br w:val="nil"/>
              <w:tr2bl w:val="nil"/>
            </w:tcBorders>
            <w:noWrap w:val="0"/>
            <w:vAlign w:val="center"/>
          </w:tcPr>
          <w:p w14:paraId="295507B8">
            <w:pPr>
              <w:pStyle w:val="109"/>
              <w:contextualSpacing/>
              <w:rPr>
                <w:rFonts w:hint="default" w:ascii="Times New Roman" w:hAnsi="Times New Roman" w:eastAsia="宋体" w:cs="Times New Roman"/>
                <w:b/>
                <w:bCs/>
                <w:color w:val="auto"/>
                <w:sz w:val="21"/>
                <w:u w:val="none" w:color="auto"/>
              </w:rPr>
            </w:pPr>
            <w:r>
              <w:rPr>
                <w:rFonts w:hint="default" w:ascii="Times New Roman" w:hAnsi="Times New Roman" w:eastAsia="宋体" w:cs="Times New Roman"/>
                <w:b/>
                <w:bCs/>
                <w:color w:val="auto"/>
                <w:sz w:val="21"/>
                <w:u w:val="none" w:color="auto"/>
              </w:rPr>
              <w:t>行业及生产工艺（M）</w:t>
            </w:r>
          </w:p>
        </w:tc>
      </w:tr>
      <w:tr w14:paraId="78393A0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51" w:type="pct"/>
            <w:vMerge w:val="continue"/>
            <w:tcBorders>
              <w:tl2br w:val="nil"/>
              <w:tr2bl w:val="nil"/>
            </w:tcBorders>
            <w:noWrap w:val="0"/>
            <w:vAlign w:val="center"/>
          </w:tcPr>
          <w:p w14:paraId="28FF9AFB">
            <w:pPr>
              <w:pStyle w:val="109"/>
              <w:contextualSpacing/>
              <w:rPr>
                <w:rFonts w:hint="default" w:ascii="Times New Roman" w:hAnsi="Times New Roman" w:eastAsia="宋体" w:cs="Times New Roman"/>
                <w:b/>
                <w:bCs/>
                <w:color w:val="auto"/>
                <w:sz w:val="21"/>
                <w:u w:val="none" w:color="auto"/>
              </w:rPr>
            </w:pPr>
          </w:p>
        </w:tc>
        <w:tc>
          <w:tcPr>
            <w:tcW w:w="949" w:type="pct"/>
            <w:tcBorders>
              <w:tl2br w:val="nil"/>
              <w:tr2bl w:val="nil"/>
            </w:tcBorders>
            <w:noWrap w:val="0"/>
            <w:vAlign w:val="center"/>
          </w:tcPr>
          <w:p w14:paraId="7CA5C61A">
            <w:pPr>
              <w:pStyle w:val="109"/>
              <w:contextualSpacing/>
              <w:rPr>
                <w:rFonts w:hint="default" w:ascii="Times New Roman" w:hAnsi="Times New Roman" w:eastAsia="宋体" w:cs="Times New Roman"/>
                <w:b/>
                <w:bCs/>
                <w:color w:val="auto"/>
                <w:sz w:val="21"/>
                <w:u w:val="none" w:color="auto"/>
              </w:rPr>
            </w:pPr>
            <w:r>
              <w:rPr>
                <w:rFonts w:hint="default" w:ascii="Times New Roman" w:hAnsi="Times New Roman" w:eastAsia="宋体" w:cs="Times New Roman"/>
                <w:b/>
                <w:bCs/>
                <w:color w:val="auto"/>
                <w:sz w:val="21"/>
                <w:u w:val="none" w:color="auto"/>
              </w:rPr>
              <w:t>M1</w:t>
            </w:r>
          </w:p>
        </w:tc>
        <w:tc>
          <w:tcPr>
            <w:tcW w:w="1000" w:type="pct"/>
            <w:tcBorders>
              <w:tl2br w:val="nil"/>
              <w:tr2bl w:val="nil"/>
            </w:tcBorders>
            <w:noWrap w:val="0"/>
            <w:vAlign w:val="center"/>
          </w:tcPr>
          <w:p w14:paraId="19730306">
            <w:pPr>
              <w:pStyle w:val="109"/>
              <w:contextualSpacing/>
              <w:rPr>
                <w:rFonts w:hint="default" w:ascii="Times New Roman" w:hAnsi="Times New Roman" w:eastAsia="宋体" w:cs="Times New Roman"/>
                <w:b/>
                <w:bCs/>
                <w:color w:val="auto"/>
                <w:sz w:val="21"/>
                <w:u w:val="none" w:color="auto"/>
              </w:rPr>
            </w:pPr>
            <w:r>
              <w:rPr>
                <w:rFonts w:hint="default" w:ascii="Times New Roman" w:hAnsi="Times New Roman" w:eastAsia="宋体" w:cs="Times New Roman"/>
                <w:b/>
                <w:bCs/>
                <w:color w:val="auto"/>
                <w:sz w:val="21"/>
                <w:u w:val="none" w:color="auto"/>
              </w:rPr>
              <w:t>M2</w:t>
            </w:r>
          </w:p>
        </w:tc>
        <w:tc>
          <w:tcPr>
            <w:tcW w:w="1000" w:type="pct"/>
            <w:tcBorders>
              <w:tl2br w:val="nil"/>
              <w:tr2bl w:val="nil"/>
            </w:tcBorders>
            <w:noWrap w:val="0"/>
            <w:vAlign w:val="center"/>
          </w:tcPr>
          <w:p w14:paraId="5B7EC496">
            <w:pPr>
              <w:pStyle w:val="109"/>
              <w:contextualSpacing/>
              <w:rPr>
                <w:rFonts w:hint="default" w:ascii="Times New Roman" w:hAnsi="Times New Roman" w:eastAsia="宋体" w:cs="Times New Roman"/>
                <w:b/>
                <w:bCs/>
                <w:color w:val="auto"/>
                <w:sz w:val="21"/>
                <w:u w:val="none" w:color="auto"/>
              </w:rPr>
            </w:pPr>
            <w:r>
              <w:rPr>
                <w:rFonts w:hint="default" w:ascii="Times New Roman" w:hAnsi="Times New Roman" w:eastAsia="宋体" w:cs="Times New Roman"/>
                <w:b/>
                <w:bCs/>
                <w:color w:val="auto"/>
                <w:sz w:val="21"/>
                <w:u w:val="none" w:color="auto"/>
              </w:rPr>
              <w:t>M3</w:t>
            </w:r>
          </w:p>
        </w:tc>
        <w:tc>
          <w:tcPr>
            <w:tcW w:w="1001" w:type="pct"/>
            <w:tcBorders>
              <w:tl2br w:val="nil"/>
              <w:tr2bl w:val="nil"/>
            </w:tcBorders>
            <w:noWrap w:val="0"/>
            <w:vAlign w:val="center"/>
          </w:tcPr>
          <w:p w14:paraId="1C9484E6">
            <w:pPr>
              <w:pStyle w:val="109"/>
              <w:contextualSpacing/>
              <w:rPr>
                <w:rFonts w:hint="default" w:ascii="Times New Roman" w:hAnsi="Times New Roman" w:eastAsia="宋体" w:cs="Times New Roman"/>
                <w:b/>
                <w:bCs/>
                <w:color w:val="auto"/>
                <w:sz w:val="21"/>
                <w:u w:val="none" w:color="auto"/>
              </w:rPr>
            </w:pPr>
            <w:r>
              <w:rPr>
                <w:rFonts w:hint="default" w:ascii="Times New Roman" w:hAnsi="Times New Roman" w:eastAsia="宋体" w:cs="Times New Roman"/>
                <w:b/>
                <w:bCs/>
                <w:color w:val="auto"/>
                <w:sz w:val="21"/>
                <w:u w:val="none" w:color="auto"/>
              </w:rPr>
              <w:t>M4</w:t>
            </w:r>
          </w:p>
        </w:tc>
      </w:tr>
      <w:tr w14:paraId="6D88DED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51" w:type="pct"/>
            <w:tcBorders>
              <w:tl2br w:val="nil"/>
              <w:tr2bl w:val="nil"/>
            </w:tcBorders>
            <w:noWrap w:val="0"/>
            <w:vAlign w:val="center"/>
          </w:tcPr>
          <w:p w14:paraId="35E77A0A">
            <w:pPr>
              <w:pStyle w:val="109"/>
              <w:contextualSpacing/>
              <w:rPr>
                <w:rFonts w:hint="default" w:ascii="Times New Roman" w:hAnsi="Times New Roman" w:eastAsia="宋体" w:cs="Times New Roman"/>
                <w:color w:val="auto"/>
                <w:sz w:val="21"/>
                <w:u w:val="none" w:color="auto"/>
              </w:rPr>
            </w:pPr>
            <w:r>
              <w:rPr>
                <w:rFonts w:hint="default" w:ascii="Times New Roman" w:hAnsi="Times New Roman" w:eastAsia="宋体" w:cs="Times New Roman"/>
                <w:color w:val="auto"/>
                <w:sz w:val="21"/>
                <w:u w:val="none" w:color="auto"/>
              </w:rPr>
              <w:t>Q≥100</w:t>
            </w:r>
          </w:p>
        </w:tc>
        <w:tc>
          <w:tcPr>
            <w:tcW w:w="949" w:type="pct"/>
            <w:tcBorders>
              <w:tl2br w:val="nil"/>
              <w:tr2bl w:val="nil"/>
            </w:tcBorders>
            <w:noWrap w:val="0"/>
            <w:vAlign w:val="center"/>
          </w:tcPr>
          <w:p w14:paraId="74A6D7FB">
            <w:pPr>
              <w:pStyle w:val="109"/>
              <w:contextualSpacing/>
              <w:rPr>
                <w:rFonts w:hint="default" w:ascii="Times New Roman" w:hAnsi="Times New Roman" w:eastAsia="宋体" w:cs="Times New Roman"/>
                <w:color w:val="auto"/>
                <w:sz w:val="21"/>
                <w:u w:val="none" w:color="auto"/>
              </w:rPr>
            </w:pPr>
            <w:r>
              <w:rPr>
                <w:rFonts w:hint="default" w:ascii="Times New Roman" w:hAnsi="Times New Roman" w:eastAsia="宋体" w:cs="Times New Roman"/>
                <w:color w:val="auto"/>
                <w:sz w:val="21"/>
                <w:u w:val="none" w:color="auto"/>
              </w:rPr>
              <w:t>P1</w:t>
            </w:r>
          </w:p>
        </w:tc>
        <w:tc>
          <w:tcPr>
            <w:tcW w:w="1000" w:type="pct"/>
            <w:tcBorders>
              <w:tl2br w:val="nil"/>
              <w:tr2bl w:val="nil"/>
            </w:tcBorders>
            <w:noWrap w:val="0"/>
            <w:vAlign w:val="center"/>
          </w:tcPr>
          <w:p w14:paraId="26BC17A2">
            <w:pPr>
              <w:pStyle w:val="109"/>
              <w:contextualSpacing/>
              <w:rPr>
                <w:rFonts w:hint="default" w:ascii="Times New Roman" w:hAnsi="Times New Roman" w:eastAsia="宋体" w:cs="Times New Roman"/>
                <w:color w:val="auto"/>
                <w:sz w:val="21"/>
                <w:u w:val="none" w:color="auto"/>
              </w:rPr>
            </w:pPr>
            <w:r>
              <w:rPr>
                <w:rFonts w:hint="default" w:ascii="Times New Roman" w:hAnsi="Times New Roman" w:eastAsia="宋体" w:cs="Times New Roman"/>
                <w:color w:val="auto"/>
                <w:sz w:val="21"/>
                <w:u w:val="none" w:color="auto"/>
              </w:rPr>
              <w:t>P1</w:t>
            </w:r>
          </w:p>
        </w:tc>
        <w:tc>
          <w:tcPr>
            <w:tcW w:w="1000" w:type="pct"/>
            <w:tcBorders>
              <w:tl2br w:val="nil"/>
              <w:tr2bl w:val="nil"/>
            </w:tcBorders>
            <w:noWrap w:val="0"/>
            <w:vAlign w:val="center"/>
          </w:tcPr>
          <w:p w14:paraId="5444E81A">
            <w:pPr>
              <w:pStyle w:val="109"/>
              <w:contextualSpacing/>
              <w:rPr>
                <w:rFonts w:hint="default" w:ascii="Times New Roman" w:hAnsi="Times New Roman" w:eastAsia="宋体" w:cs="Times New Roman"/>
                <w:color w:val="auto"/>
                <w:sz w:val="21"/>
                <w:u w:val="none" w:color="auto"/>
              </w:rPr>
            </w:pPr>
            <w:r>
              <w:rPr>
                <w:rFonts w:hint="default" w:ascii="Times New Roman" w:hAnsi="Times New Roman" w:eastAsia="宋体" w:cs="Times New Roman"/>
                <w:color w:val="auto"/>
                <w:sz w:val="21"/>
                <w:u w:val="none" w:color="auto"/>
              </w:rPr>
              <w:t>P2</w:t>
            </w:r>
          </w:p>
        </w:tc>
        <w:tc>
          <w:tcPr>
            <w:tcW w:w="1001" w:type="pct"/>
            <w:tcBorders>
              <w:tl2br w:val="nil"/>
              <w:tr2bl w:val="nil"/>
            </w:tcBorders>
            <w:noWrap w:val="0"/>
            <w:vAlign w:val="center"/>
          </w:tcPr>
          <w:p w14:paraId="44B9C340">
            <w:pPr>
              <w:pStyle w:val="109"/>
              <w:contextualSpacing/>
              <w:rPr>
                <w:rFonts w:hint="default" w:ascii="Times New Roman" w:hAnsi="Times New Roman" w:eastAsia="宋体" w:cs="Times New Roman"/>
                <w:color w:val="auto"/>
                <w:sz w:val="21"/>
                <w:u w:val="none" w:color="auto"/>
              </w:rPr>
            </w:pPr>
            <w:r>
              <w:rPr>
                <w:rFonts w:hint="default" w:ascii="Times New Roman" w:hAnsi="Times New Roman" w:eastAsia="宋体" w:cs="Times New Roman"/>
                <w:color w:val="auto"/>
                <w:sz w:val="21"/>
                <w:u w:val="none" w:color="auto"/>
              </w:rPr>
              <w:t>P3</w:t>
            </w:r>
          </w:p>
        </w:tc>
      </w:tr>
      <w:tr w14:paraId="40B834D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51" w:type="pct"/>
            <w:tcBorders>
              <w:tl2br w:val="nil"/>
              <w:tr2bl w:val="nil"/>
            </w:tcBorders>
            <w:shd w:val="clear" w:color="auto" w:fill="auto"/>
            <w:noWrap w:val="0"/>
            <w:vAlign w:val="center"/>
          </w:tcPr>
          <w:p w14:paraId="3A8813C0">
            <w:pPr>
              <w:pStyle w:val="109"/>
              <w:contextualSpacing/>
              <w:rPr>
                <w:rFonts w:hint="default" w:ascii="Times New Roman" w:hAnsi="Times New Roman" w:eastAsia="宋体" w:cs="Times New Roman"/>
                <w:color w:val="auto"/>
                <w:sz w:val="21"/>
                <w:u w:val="none" w:color="auto"/>
              </w:rPr>
            </w:pPr>
            <w:r>
              <w:rPr>
                <w:rFonts w:hint="default" w:ascii="Times New Roman" w:hAnsi="Times New Roman" w:eastAsia="宋体" w:cs="Times New Roman"/>
                <w:color w:val="auto"/>
                <w:sz w:val="21"/>
                <w:u w:val="none" w:color="auto"/>
              </w:rPr>
              <w:t>10≤Q＜100</w:t>
            </w:r>
          </w:p>
        </w:tc>
        <w:tc>
          <w:tcPr>
            <w:tcW w:w="949" w:type="pct"/>
            <w:tcBorders>
              <w:tl2br w:val="nil"/>
              <w:tr2bl w:val="nil"/>
            </w:tcBorders>
            <w:shd w:val="clear" w:color="auto" w:fill="auto"/>
            <w:noWrap w:val="0"/>
            <w:vAlign w:val="center"/>
          </w:tcPr>
          <w:p w14:paraId="5ADEA795">
            <w:pPr>
              <w:pStyle w:val="109"/>
              <w:contextualSpacing/>
              <w:rPr>
                <w:rFonts w:hint="default" w:ascii="Times New Roman" w:hAnsi="Times New Roman" w:eastAsia="宋体" w:cs="Times New Roman"/>
                <w:color w:val="auto"/>
                <w:sz w:val="21"/>
                <w:u w:val="none" w:color="auto"/>
              </w:rPr>
            </w:pPr>
            <w:r>
              <w:rPr>
                <w:rFonts w:hint="default" w:ascii="Times New Roman" w:hAnsi="Times New Roman" w:eastAsia="宋体" w:cs="Times New Roman"/>
                <w:color w:val="auto"/>
                <w:sz w:val="21"/>
                <w:u w:val="none" w:color="auto"/>
              </w:rPr>
              <w:t>P1</w:t>
            </w:r>
          </w:p>
        </w:tc>
        <w:tc>
          <w:tcPr>
            <w:tcW w:w="1000" w:type="pct"/>
            <w:tcBorders>
              <w:tl2br w:val="nil"/>
              <w:tr2bl w:val="nil"/>
            </w:tcBorders>
            <w:shd w:val="clear" w:color="auto" w:fill="auto"/>
            <w:noWrap w:val="0"/>
            <w:vAlign w:val="center"/>
          </w:tcPr>
          <w:p w14:paraId="1B595DF6">
            <w:pPr>
              <w:pStyle w:val="109"/>
              <w:contextualSpacing/>
              <w:rPr>
                <w:rFonts w:hint="default" w:ascii="Times New Roman" w:hAnsi="Times New Roman" w:eastAsia="宋体" w:cs="Times New Roman"/>
                <w:color w:val="auto"/>
                <w:sz w:val="21"/>
                <w:u w:val="none" w:color="auto"/>
              </w:rPr>
            </w:pPr>
            <w:r>
              <w:rPr>
                <w:rFonts w:hint="default" w:ascii="Times New Roman" w:hAnsi="Times New Roman" w:eastAsia="宋体" w:cs="Times New Roman"/>
                <w:color w:val="auto"/>
                <w:sz w:val="21"/>
                <w:u w:val="none" w:color="auto"/>
              </w:rPr>
              <w:t>P2</w:t>
            </w:r>
          </w:p>
        </w:tc>
        <w:tc>
          <w:tcPr>
            <w:tcW w:w="1000" w:type="pct"/>
            <w:tcBorders>
              <w:tl2br w:val="nil"/>
              <w:tr2bl w:val="nil"/>
            </w:tcBorders>
            <w:shd w:val="clear" w:color="auto" w:fill="auto"/>
            <w:noWrap w:val="0"/>
            <w:vAlign w:val="center"/>
          </w:tcPr>
          <w:p w14:paraId="38E5138E">
            <w:pPr>
              <w:pStyle w:val="109"/>
              <w:contextualSpacing/>
              <w:rPr>
                <w:rFonts w:hint="default" w:ascii="Times New Roman" w:hAnsi="Times New Roman" w:eastAsia="宋体" w:cs="Times New Roman"/>
                <w:color w:val="auto"/>
                <w:sz w:val="21"/>
                <w:u w:val="none" w:color="auto"/>
              </w:rPr>
            </w:pPr>
            <w:r>
              <w:rPr>
                <w:rFonts w:hint="default" w:ascii="Times New Roman" w:hAnsi="Times New Roman" w:eastAsia="宋体" w:cs="Times New Roman"/>
                <w:color w:val="auto"/>
                <w:sz w:val="21"/>
                <w:u w:val="none" w:color="auto"/>
              </w:rPr>
              <w:t>P3</w:t>
            </w:r>
          </w:p>
        </w:tc>
        <w:tc>
          <w:tcPr>
            <w:tcW w:w="1001" w:type="pct"/>
            <w:tcBorders>
              <w:tl2br w:val="nil"/>
              <w:tr2bl w:val="nil"/>
            </w:tcBorders>
            <w:shd w:val="clear" w:color="auto" w:fill="A5A5A5"/>
            <w:noWrap w:val="0"/>
            <w:vAlign w:val="center"/>
          </w:tcPr>
          <w:p w14:paraId="39DE4B24">
            <w:pPr>
              <w:pStyle w:val="109"/>
              <w:contextualSpacing/>
              <w:rPr>
                <w:rFonts w:hint="default" w:ascii="Times New Roman" w:hAnsi="Times New Roman" w:eastAsia="宋体" w:cs="Times New Roman"/>
                <w:color w:val="auto"/>
                <w:sz w:val="21"/>
                <w:u w:val="none" w:color="auto"/>
              </w:rPr>
            </w:pPr>
            <w:r>
              <w:rPr>
                <w:rFonts w:hint="default" w:ascii="Times New Roman" w:hAnsi="Times New Roman" w:eastAsia="宋体" w:cs="Times New Roman"/>
                <w:color w:val="auto"/>
                <w:sz w:val="21"/>
                <w:u w:val="none" w:color="auto"/>
              </w:rPr>
              <w:t>P4</w:t>
            </w:r>
          </w:p>
        </w:tc>
      </w:tr>
      <w:tr w14:paraId="75D140E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51" w:type="pct"/>
            <w:tcBorders>
              <w:tl2br w:val="nil"/>
              <w:tr2bl w:val="nil"/>
            </w:tcBorders>
            <w:noWrap w:val="0"/>
            <w:vAlign w:val="center"/>
          </w:tcPr>
          <w:p w14:paraId="767C84FB">
            <w:pPr>
              <w:pStyle w:val="109"/>
              <w:contextualSpacing/>
              <w:rPr>
                <w:rFonts w:hint="default" w:ascii="Times New Roman" w:hAnsi="Times New Roman" w:eastAsia="宋体" w:cs="Times New Roman"/>
                <w:color w:val="auto"/>
                <w:sz w:val="21"/>
                <w:u w:val="none" w:color="auto"/>
              </w:rPr>
            </w:pPr>
            <w:r>
              <w:rPr>
                <w:rFonts w:hint="default" w:ascii="Times New Roman" w:hAnsi="Times New Roman" w:eastAsia="宋体" w:cs="Times New Roman"/>
                <w:color w:val="auto"/>
                <w:sz w:val="21"/>
                <w:u w:val="none" w:color="auto"/>
              </w:rPr>
              <w:t>1≤Q＜10</w:t>
            </w:r>
          </w:p>
        </w:tc>
        <w:tc>
          <w:tcPr>
            <w:tcW w:w="949" w:type="pct"/>
            <w:tcBorders>
              <w:tl2br w:val="nil"/>
              <w:tr2bl w:val="nil"/>
            </w:tcBorders>
            <w:noWrap w:val="0"/>
            <w:vAlign w:val="center"/>
          </w:tcPr>
          <w:p w14:paraId="726AEBE0">
            <w:pPr>
              <w:pStyle w:val="109"/>
              <w:contextualSpacing/>
              <w:rPr>
                <w:rFonts w:hint="default" w:ascii="Times New Roman" w:hAnsi="Times New Roman" w:eastAsia="宋体" w:cs="Times New Roman"/>
                <w:color w:val="auto"/>
                <w:sz w:val="21"/>
                <w:u w:val="none" w:color="auto"/>
              </w:rPr>
            </w:pPr>
            <w:r>
              <w:rPr>
                <w:rFonts w:hint="default" w:ascii="Times New Roman" w:hAnsi="Times New Roman" w:eastAsia="宋体" w:cs="Times New Roman"/>
                <w:color w:val="auto"/>
                <w:sz w:val="21"/>
                <w:u w:val="none" w:color="auto"/>
              </w:rPr>
              <w:t>P2</w:t>
            </w:r>
          </w:p>
        </w:tc>
        <w:tc>
          <w:tcPr>
            <w:tcW w:w="1000" w:type="pct"/>
            <w:tcBorders>
              <w:tl2br w:val="nil"/>
              <w:tr2bl w:val="nil"/>
            </w:tcBorders>
            <w:noWrap w:val="0"/>
            <w:vAlign w:val="center"/>
          </w:tcPr>
          <w:p w14:paraId="2DB5FAC9">
            <w:pPr>
              <w:pStyle w:val="109"/>
              <w:contextualSpacing/>
              <w:rPr>
                <w:rFonts w:hint="default" w:ascii="Times New Roman" w:hAnsi="Times New Roman" w:eastAsia="宋体" w:cs="Times New Roman"/>
                <w:color w:val="auto"/>
                <w:sz w:val="21"/>
                <w:u w:val="none" w:color="auto"/>
              </w:rPr>
            </w:pPr>
            <w:r>
              <w:rPr>
                <w:rFonts w:hint="default" w:ascii="Times New Roman" w:hAnsi="Times New Roman" w:eastAsia="宋体" w:cs="Times New Roman"/>
                <w:color w:val="auto"/>
                <w:sz w:val="21"/>
                <w:u w:val="none" w:color="auto"/>
              </w:rPr>
              <w:t>P3</w:t>
            </w:r>
          </w:p>
        </w:tc>
        <w:tc>
          <w:tcPr>
            <w:tcW w:w="1000" w:type="pct"/>
            <w:tcBorders>
              <w:tl2br w:val="nil"/>
              <w:tr2bl w:val="nil"/>
            </w:tcBorders>
            <w:noWrap w:val="0"/>
            <w:vAlign w:val="center"/>
          </w:tcPr>
          <w:p w14:paraId="40B2CA84">
            <w:pPr>
              <w:pStyle w:val="109"/>
              <w:contextualSpacing/>
              <w:rPr>
                <w:rFonts w:hint="default" w:ascii="Times New Roman" w:hAnsi="Times New Roman" w:eastAsia="宋体" w:cs="Times New Roman"/>
                <w:color w:val="auto"/>
                <w:sz w:val="21"/>
                <w:u w:val="none" w:color="auto"/>
              </w:rPr>
            </w:pPr>
            <w:r>
              <w:rPr>
                <w:rFonts w:hint="default" w:ascii="Times New Roman" w:hAnsi="Times New Roman" w:eastAsia="宋体" w:cs="Times New Roman"/>
                <w:color w:val="auto"/>
                <w:sz w:val="21"/>
                <w:u w:val="none" w:color="auto"/>
              </w:rPr>
              <w:t>P4</w:t>
            </w:r>
          </w:p>
        </w:tc>
        <w:tc>
          <w:tcPr>
            <w:tcW w:w="1001" w:type="pct"/>
            <w:tcBorders>
              <w:tl2br w:val="nil"/>
              <w:tr2bl w:val="nil"/>
            </w:tcBorders>
            <w:noWrap w:val="0"/>
            <w:vAlign w:val="center"/>
          </w:tcPr>
          <w:p w14:paraId="579D6098">
            <w:pPr>
              <w:pStyle w:val="109"/>
              <w:contextualSpacing/>
              <w:rPr>
                <w:rFonts w:hint="default" w:ascii="Times New Roman" w:hAnsi="Times New Roman" w:eastAsia="宋体" w:cs="Times New Roman"/>
                <w:color w:val="auto"/>
                <w:sz w:val="21"/>
                <w:u w:val="none" w:color="auto"/>
              </w:rPr>
            </w:pPr>
            <w:r>
              <w:rPr>
                <w:rFonts w:hint="default" w:ascii="Times New Roman" w:hAnsi="Times New Roman" w:eastAsia="宋体" w:cs="Times New Roman"/>
                <w:color w:val="auto"/>
                <w:sz w:val="21"/>
                <w:u w:val="none" w:color="auto"/>
              </w:rPr>
              <w:t>P4</w:t>
            </w:r>
          </w:p>
        </w:tc>
      </w:tr>
    </w:tbl>
    <w:p w14:paraId="7934D132">
      <w:pPr>
        <w:pStyle w:val="4"/>
        <w:numPr>
          <w:ilvl w:val="1"/>
          <w:numId w:val="0"/>
        </w:numPr>
        <w:spacing w:before="120" w:after="120" w:line="360" w:lineRule="auto"/>
        <w:contextualSpacing/>
        <w:rPr>
          <w:rFonts w:hint="default" w:ascii="Times New Roman" w:hAnsi="Times New Roman" w:eastAsia="宋体" w:cs="Times New Roman"/>
          <w:b/>
          <w:bCs w:val="0"/>
          <w:color w:val="auto"/>
          <w:sz w:val="28"/>
          <w:u w:val="none" w:color="auto"/>
        </w:rPr>
      </w:pPr>
      <w:bookmarkStart w:id="173" w:name="_Toc21375"/>
      <w:bookmarkStart w:id="174" w:name="_Toc23227"/>
      <w:bookmarkStart w:id="175" w:name="_Toc21094"/>
      <w:bookmarkStart w:id="176" w:name="_Toc3695"/>
      <w:bookmarkStart w:id="177" w:name="_Toc15048"/>
      <w:bookmarkStart w:id="178" w:name="_Toc4688"/>
      <w:r>
        <w:rPr>
          <w:rFonts w:hint="default" w:ascii="Times New Roman" w:hAnsi="Times New Roman" w:eastAsia="宋体" w:cs="Times New Roman"/>
          <w:b/>
          <w:bCs w:val="0"/>
          <w:color w:val="auto"/>
          <w:sz w:val="28"/>
          <w:u w:val="none" w:color="auto"/>
        </w:rPr>
        <w:t>2.3环境敏感程度E的分级确定</w:t>
      </w:r>
      <w:bookmarkEnd w:id="173"/>
      <w:bookmarkEnd w:id="174"/>
      <w:bookmarkEnd w:id="175"/>
      <w:bookmarkEnd w:id="176"/>
      <w:bookmarkEnd w:id="177"/>
      <w:bookmarkEnd w:id="178"/>
    </w:p>
    <w:p w14:paraId="32525CF6">
      <w:pPr>
        <w:spacing w:line="360" w:lineRule="auto"/>
        <w:ind w:firstLine="482" w:firstLineChars="200"/>
        <w:outlineLvl w:val="2"/>
        <w:rPr>
          <w:rFonts w:hint="default" w:ascii="Times New Roman" w:hAnsi="Times New Roman" w:eastAsia="宋体" w:cs="Times New Roman"/>
          <w:b/>
          <w:bCs/>
          <w:color w:val="auto"/>
          <w:sz w:val="24"/>
          <w:u w:val="none" w:color="auto"/>
        </w:rPr>
      </w:pPr>
      <w:bookmarkStart w:id="179" w:name="_Toc29861"/>
      <w:r>
        <w:rPr>
          <w:rFonts w:hint="default" w:ascii="Times New Roman" w:hAnsi="Times New Roman" w:eastAsia="宋体" w:cs="Times New Roman"/>
          <w:b/>
          <w:bCs/>
          <w:color w:val="auto"/>
          <w:sz w:val="24"/>
          <w:u w:val="none" w:color="auto"/>
        </w:rPr>
        <w:t>2.3.1大气环境</w:t>
      </w:r>
      <w:bookmarkEnd w:id="179"/>
    </w:p>
    <w:p w14:paraId="03BA99AD">
      <w:pPr>
        <w:spacing w:line="360" w:lineRule="auto"/>
        <w:ind w:firstLine="480" w:firstLineChars="200"/>
        <w:rPr>
          <w:rFonts w:hint="default" w:ascii="Times New Roman" w:hAnsi="Times New Roman" w:eastAsia="宋体" w:cs="Times New Roman"/>
          <w:bCs/>
          <w:color w:val="auto"/>
          <w:sz w:val="24"/>
          <w:szCs w:val="24"/>
          <w:u w:val="none" w:color="auto"/>
        </w:rPr>
      </w:pPr>
      <w:r>
        <w:rPr>
          <w:rFonts w:hint="default" w:ascii="Times New Roman" w:hAnsi="Times New Roman" w:eastAsia="宋体" w:cs="Times New Roman"/>
          <w:bCs/>
          <w:color w:val="auto"/>
          <w:sz w:val="24"/>
          <w:szCs w:val="24"/>
          <w:u w:val="none" w:color="auto"/>
        </w:rPr>
        <w:t>大气环境敏感程度依据环境敏感目标环境敏感性及人口密度划分环境风险受体的敏感性，共分为三种类型，E1为环境高度敏感区，E2为环境中度敏感区，E3为环境低度敏感区，分级原则见下表。</w:t>
      </w:r>
    </w:p>
    <w:p w14:paraId="6D8F96DF">
      <w:pPr>
        <w:pStyle w:val="17"/>
        <w:numPr>
          <w:ilvl w:val="0"/>
          <w:numId w:val="10"/>
        </w:numPr>
        <w:adjustRightInd/>
        <w:snapToGrid/>
        <w:rPr>
          <w:rFonts w:hint="default" w:ascii="Times New Roman" w:hAnsi="Times New Roman" w:eastAsia="宋体" w:cs="Times New Roman"/>
          <w:b/>
          <w:bCs/>
          <w:color w:val="auto"/>
          <w:sz w:val="21"/>
          <w:szCs w:val="16"/>
          <w:u w:val="none" w:color="auto"/>
        </w:rPr>
      </w:pPr>
      <w:r>
        <w:rPr>
          <w:rFonts w:hint="default" w:ascii="Times New Roman" w:hAnsi="Times New Roman" w:eastAsia="宋体" w:cs="Times New Roman"/>
          <w:b/>
          <w:bCs/>
          <w:color w:val="auto"/>
          <w:sz w:val="21"/>
          <w:szCs w:val="16"/>
          <w:u w:val="none" w:color="auto"/>
        </w:rPr>
        <w:t>大气环境敏感程度分级</w:t>
      </w:r>
    </w:p>
    <w:tbl>
      <w:tblPr>
        <w:tblStyle w:val="31"/>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756"/>
        <w:gridCol w:w="8118"/>
      </w:tblGrid>
      <w:tr w14:paraId="6B7CE9F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3" w:hRule="atLeast"/>
          <w:tblHeader/>
        </w:trPr>
        <w:tc>
          <w:tcPr>
            <w:tcW w:w="426" w:type="pct"/>
            <w:tcBorders>
              <w:tl2br w:val="nil"/>
              <w:tr2bl w:val="nil"/>
            </w:tcBorders>
            <w:noWrap w:val="0"/>
            <w:vAlign w:val="center"/>
          </w:tcPr>
          <w:p w14:paraId="67E15824">
            <w:pPr>
              <w:autoSpaceDE w:val="0"/>
              <w:autoSpaceDN w:val="0"/>
              <w:jc w:val="center"/>
              <w:rPr>
                <w:rFonts w:hint="default" w:ascii="Times New Roman" w:hAnsi="Times New Roman" w:eastAsia="宋体" w:cs="Times New Roman"/>
                <w:b/>
                <w:bCs/>
                <w:color w:val="auto"/>
                <w:u w:val="none" w:color="auto"/>
              </w:rPr>
            </w:pPr>
            <w:r>
              <w:rPr>
                <w:rFonts w:hint="default" w:ascii="Times New Roman" w:hAnsi="Times New Roman" w:eastAsia="宋体" w:cs="Times New Roman"/>
                <w:b/>
                <w:bCs/>
                <w:color w:val="auto"/>
                <w:u w:val="none" w:color="auto"/>
              </w:rPr>
              <w:t>分级</w:t>
            </w:r>
          </w:p>
        </w:tc>
        <w:tc>
          <w:tcPr>
            <w:tcW w:w="4574" w:type="pct"/>
            <w:tcBorders>
              <w:tl2br w:val="nil"/>
              <w:tr2bl w:val="nil"/>
            </w:tcBorders>
            <w:noWrap w:val="0"/>
            <w:vAlign w:val="center"/>
          </w:tcPr>
          <w:p w14:paraId="27218E55">
            <w:pPr>
              <w:autoSpaceDE w:val="0"/>
              <w:autoSpaceDN w:val="0"/>
              <w:jc w:val="center"/>
              <w:rPr>
                <w:rFonts w:hint="default" w:ascii="Times New Roman" w:hAnsi="Times New Roman" w:eastAsia="宋体" w:cs="Times New Roman"/>
                <w:b/>
                <w:bCs/>
                <w:color w:val="auto"/>
                <w:u w:val="none" w:color="auto"/>
              </w:rPr>
            </w:pPr>
            <w:r>
              <w:rPr>
                <w:rFonts w:hint="default" w:ascii="Times New Roman" w:hAnsi="Times New Roman" w:eastAsia="宋体" w:cs="Times New Roman"/>
                <w:b/>
                <w:bCs/>
                <w:color w:val="auto"/>
                <w:u w:val="none" w:color="auto"/>
              </w:rPr>
              <w:t>大气环境敏感性</w:t>
            </w:r>
          </w:p>
        </w:tc>
      </w:tr>
      <w:tr w14:paraId="29F0BA4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426" w:type="pct"/>
            <w:tcBorders>
              <w:tl2br w:val="nil"/>
              <w:tr2bl w:val="nil"/>
            </w:tcBorders>
            <w:noWrap w:val="0"/>
            <w:vAlign w:val="center"/>
          </w:tcPr>
          <w:p w14:paraId="1509845C">
            <w:pPr>
              <w:autoSpaceDE w:val="0"/>
              <w:autoSpaceDN w:val="0"/>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E1</w:t>
            </w:r>
          </w:p>
        </w:tc>
        <w:tc>
          <w:tcPr>
            <w:tcW w:w="4574" w:type="pct"/>
            <w:tcBorders>
              <w:tl2br w:val="nil"/>
              <w:tr2bl w:val="nil"/>
            </w:tcBorders>
            <w:noWrap w:val="0"/>
            <w:vAlign w:val="center"/>
          </w:tcPr>
          <w:p w14:paraId="38F1B2CC">
            <w:pPr>
              <w:autoSpaceDE w:val="0"/>
              <w:autoSpaceDN w:val="0"/>
              <w:rPr>
                <w:rFonts w:hint="default" w:ascii="Times New Roman" w:hAnsi="Times New Roman" w:eastAsia="宋体" w:cs="Times New Roman"/>
                <w:snapToGrid w:val="0"/>
                <w:color w:val="auto"/>
                <w:kern w:val="21"/>
                <w:u w:val="none" w:color="auto"/>
              </w:rPr>
            </w:pPr>
            <w:r>
              <w:rPr>
                <w:rFonts w:hint="default" w:ascii="Times New Roman" w:hAnsi="Times New Roman" w:eastAsia="宋体" w:cs="Times New Roman"/>
                <w:snapToGrid w:val="0"/>
                <w:color w:val="auto"/>
                <w:kern w:val="21"/>
                <w:u w:val="none" w:color="auto"/>
              </w:rPr>
              <w:t>周边5km范围内居住区、医疗卫生、文化教育、科研、行政办公等机构人口总数大于5万人，或其他需要特殊保护区域；或周边500m范围内人口总数大于1000人；油气、化学品输送管线管段周边200m范围内，每千米管段人口数大于200人；</w:t>
            </w:r>
          </w:p>
        </w:tc>
      </w:tr>
      <w:tr w14:paraId="1C6D469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426" w:type="pct"/>
            <w:tcBorders>
              <w:tl2br w:val="nil"/>
              <w:tr2bl w:val="nil"/>
            </w:tcBorders>
            <w:noWrap w:val="0"/>
            <w:vAlign w:val="center"/>
          </w:tcPr>
          <w:p w14:paraId="724A4248">
            <w:pPr>
              <w:autoSpaceDE w:val="0"/>
              <w:autoSpaceDN w:val="0"/>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E2</w:t>
            </w:r>
          </w:p>
        </w:tc>
        <w:tc>
          <w:tcPr>
            <w:tcW w:w="4574" w:type="pct"/>
            <w:tcBorders>
              <w:tl2br w:val="nil"/>
              <w:tr2bl w:val="nil"/>
            </w:tcBorders>
            <w:noWrap w:val="0"/>
            <w:vAlign w:val="center"/>
          </w:tcPr>
          <w:p w14:paraId="4D2F8C0A">
            <w:pPr>
              <w:autoSpaceDE w:val="0"/>
              <w:autoSpaceDN w:val="0"/>
              <w:rPr>
                <w:rFonts w:hint="default" w:ascii="Times New Roman" w:hAnsi="Times New Roman" w:eastAsia="宋体" w:cs="Times New Roman"/>
                <w:snapToGrid w:val="0"/>
                <w:color w:val="auto"/>
                <w:kern w:val="21"/>
                <w:u w:val="none" w:color="auto"/>
              </w:rPr>
            </w:pPr>
            <w:r>
              <w:rPr>
                <w:rFonts w:hint="default" w:ascii="Times New Roman" w:hAnsi="Times New Roman" w:eastAsia="宋体" w:cs="Times New Roman"/>
                <w:snapToGrid w:val="0"/>
                <w:color w:val="auto"/>
                <w:kern w:val="21"/>
                <w:u w:val="none" w:color="auto"/>
              </w:rPr>
              <w:t>周边5km范围内居住区、医疗卫生、文化教育、科研、行政办公等机构人口总数大于1万人，小于5万人；或周边500m范围内人口总数大于500人，小于1000人；油气、化学品输送管线管段周边200m范围内，每千米管段人口数大于100人，小于200人；</w:t>
            </w:r>
          </w:p>
        </w:tc>
      </w:tr>
      <w:tr w14:paraId="1471891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426" w:type="pct"/>
            <w:tcBorders>
              <w:tl2br w:val="nil"/>
              <w:tr2bl w:val="nil"/>
            </w:tcBorders>
            <w:noWrap w:val="0"/>
            <w:vAlign w:val="center"/>
          </w:tcPr>
          <w:p w14:paraId="432A6200">
            <w:pPr>
              <w:autoSpaceDE w:val="0"/>
              <w:autoSpaceDN w:val="0"/>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E3</w:t>
            </w:r>
          </w:p>
        </w:tc>
        <w:tc>
          <w:tcPr>
            <w:tcW w:w="4574" w:type="pct"/>
            <w:tcBorders>
              <w:tl2br w:val="nil"/>
              <w:tr2bl w:val="nil"/>
            </w:tcBorders>
            <w:noWrap w:val="0"/>
            <w:vAlign w:val="center"/>
          </w:tcPr>
          <w:p w14:paraId="11471EAA">
            <w:pPr>
              <w:autoSpaceDE w:val="0"/>
              <w:autoSpaceDN w:val="0"/>
              <w:rPr>
                <w:rFonts w:hint="default" w:ascii="Times New Roman" w:hAnsi="Times New Roman" w:eastAsia="宋体" w:cs="Times New Roman"/>
                <w:snapToGrid w:val="0"/>
                <w:color w:val="auto"/>
                <w:kern w:val="21"/>
                <w:u w:val="none" w:color="auto"/>
              </w:rPr>
            </w:pPr>
            <w:r>
              <w:rPr>
                <w:rFonts w:hint="default" w:ascii="Times New Roman" w:hAnsi="Times New Roman" w:eastAsia="宋体" w:cs="Times New Roman"/>
                <w:snapToGrid w:val="0"/>
                <w:color w:val="auto"/>
                <w:kern w:val="21"/>
                <w:u w:val="none" w:color="auto"/>
              </w:rPr>
              <w:t>周边5km范围内居住区、医疗卫生、文化教育、科研、行政办公等机构人口总数小于1万人；或周边500m范围内人口总数小于500人；油气、化学品输送管线管段周边200m范围内，每千米管段人口数小于100人；</w:t>
            </w:r>
          </w:p>
        </w:tc>
      </w:tr>
    </w:tbl>
    <w:p w14:paraId="07F265A8">
      <w:pPr>
        <w:spacing w:line="360" w:lineRule="auto"/>
        <w:ind w:left="239" w:leftChars="114" w:firstLine="240" w:firstLineChars="100"/>
        <w:rPr>
          <w:rFonts w:hint="default" w:ascii="Times New Roman" w:hAnsi="Times New Roman" w:eastAsia="宋体" w:cs="Times New Roman"/>
          <w:bCs/>
          <w:color w:val="auto"/>
          <w:sz w:val="24"/>
          <w:szCs w:val="24"/>
          <w:highlight w:val="none"/>
          <w:u w:val="none" w:color="auto"/>
        </w:rPr>
      </w:pPr>
      <w:bookmarkStart w:id="180" w:name="_Toc8307"/>
      <w:r>
        <w:rPr>
          <w:rFonts w:hint="default" w:ascii="Times New Roman" w:hAnsi="Times New Roman" w:eastAsia="宋体" w:cs="Times New Roman"/>
          <w:color w:val="auto"/>
          <w:spacing w:val="0"/>
          <w:sz w:val="24"/>
          <w:szCs w:val="24"/>
          <w:highlight w:val="none"/>
          <w:u w:val="none" w:color="auto"/>
        </w:rPr>
        <w:t>本项目周边500m范围</w:t>
      </w:r>
      <w:r>
        <w:rPr>
          <w:rFonts w:hint="default" w:ascii="Times New Roman" w:hAnsi="Times New Roman" w:eastAsia="宋体" w:cs="Times New Roman"/>
          <w:color w:val="auto"/>
          <w:spacing w:val="0"/>
          <w:sz w:val="24"/>
          <w:szCs w:val="24"/>
          <w:highlight w:val="none"/>
          <w:u w:val="none" w:color="auto"/>
          <w:lang w:val="en-US" w:eastAsia="zh-CN"/>
        </w:rPr>
        <w:t>内存在居民区，</w:t>
      </w:r>
      <w:r>
        <w:rPr>
          <w:rFonts w:hint="default" w:ascii="Times New Roman" w:hAnsi="Times New Roman" w:eastAsia="宋体" w:cs="Times New Roman"/>
          <w:color w:val="auto"/>
          <w:spacing w:val="0"/>
          <w:sz w:val="24"/>
          <w:szCs w:val="24"/>
          <w:highlight w:val="none"/>
          <w:u w:val="none" w:color="auto"/>
        </w:rPr>
        <w:t>总人口</w:t>
      </w:r>
      <w:r>
        <w:rPr>
          <w:rFonts w:hint="default" w:ascii="Times New Roman" w:hAnsi="Times New Roman" w:eastAsia="宋体" w:cs="Times New Roman"/>
          <w:color w:val="auto"/>
          <w:spacing w:val="0"/>
          <w:sz w:val="24"/>
          <w:szCs w:val="24"/>
          <w:highlight w:val="none"/>
          <w:u w:val="none" w:color="auto"/>
          <w:lang w:val="en-US" w:eastAsia="zh-CN"/>
        </w:rPr>
        <w:t>大于10</w:t>
      </w:r>
      <w:r>
        <w:rPr>
          <w:rFonts w:hint="default" w:ascii="Times New Roman" w:hAnsi="Times New Roman" w:eastAsia="宋体" w:cs="Times New Roman"/>
          <w:color w:val="auto"/>
          <w:spacing w:val="0"/>
          <w:sz w:val="24"/>
          <w:szCs w:val="24"/>
          <w:highlight w:val="none"/>
          <w:u w:val="none" w:color="auto"/>
        </w:rPr>
        <w:t>00人</w:t>
      </w:r>
      <w:r>
        <w:rPr>
          <w:rFonts w:hint="default" w:ascii="Times New Roman" w:hAnsi="Times New Roman" w:eastAsia="宋体" w:cs="Times New Roman"/>
          <w:color w:val="auto"/>
          <w:spacing w:val="0"/>
          <w:sz w:val="24"/>
          <w:szCs w:val="24"/>
          <w:highlight w:val="none"/>
          <w:u w:val="none" w:color="auto"/>
          <w:lang w:eastAsia="zh-CN"/>
        </w:rPr>
        <w:t>；</w:t>
      </w:r>
      <w:r>
        <w:rPr>
          <w:rFonts w:hint="default" w:ascii="Times New Roman" w:hAnsi="Times New Roman" w:eastAsia="宋体" w:cs="Times New Roman"/>
          <w:color w:val="auto"/>
          <w:spacing w:val="0"/>
          <w:sz w:val="24"/>
          <w:szCs w:val="24"/>
          <w:highlight w:val="none"/>
          <w:u w:val="none" w:color="auto"/>
        </w:rPr>
        <w:t>周边5km范围</w:t>
      </w:r>
      <w:r>
        <w:rPr>
          <w:rFonts w:hint="default" w:ascii="Times New Roman" w:hAnsi="Times New Roman" w:eastAsia="宋体" w:cs="Times New Roman"/>
          <w:color w:val="auto"/>
          <w:spacing w:val="0"/>
          <w:sz w:val="24"/>
          <w:szCs w:val="24"/>
          <w:highlight w:val="none"/>
          <w:u w:val="none" w:color="auto"/>
          <w:lang w:val="en-US" w:eastAsia="zh-CN"/>
        </w:rPr>
        <w:t>内</w:t>
      </w:r>
      <w:r>
        <w:rPr>
          <w:rFonts w:hint="default" w:ascii="Times New Roman" w:hAnsi="Times New Roman" w:eastAsia="宋体" w:cs="Times New Roman"/>
          <w:color w:val="auto"/>
          <w:spacing w:val="0"/>
          <w:sz w:val="24"/>
          <w:szCs w:val="24"/>
          <w:highlight w:val="none"/>
          <w:u w:val="none" w:color="auto"/>
        </w:rPr>
        <w:t>总人口</w:t>
      </w:r>
      <w:r>
        <w:rPr>
          <w:rFonts w:hint="default" w:ascii="Times New Roman" w:hAnsi="Times New Roman" w:eastAsia="宋体" w:cs="Times New Roman"/>
          <w:color w:val="auto"/>
          <w:spacing w:val="0"/>
          <w:sz w:val="24"/>
          <w:szCs w:val="24"/>
          <w:highlight w:val="none"/>
          <w:u w:val="none" w:color="auto"/>
          <w:lang w:val="en-US" w:eastAsia="zh-CN"/>
        </w:rPr>
        <w:t>大于5</w:t>
      </w:r>
      <w:r>
        <w:rPr>
          <w:rFonts w:hint="default" w:ascii="Times New Roman" w:hAnsi="Times New Roman" w:eastAsia="宋体" w:cs="Times New Roman"/>
          <w:color w:val="auto"/>
          <w:spacing w:val="0"/>
          <w:sz w:val="24"/>
          <w:szCs w:val="24"/>
          <w:highlight w:val="none"/>
          <w:u w:val="none" w:color="auto"/>
        </w:rPr>
        <w:t>万。本项目大气环境敏感程度为</w:t>
      </w:r>
      <w:r>
        <w:rPr>
          <w:rFonts w:hint="default" w:ascii="Times New Roman" w:hAnsi="Times New Roman" w:eastAsia="宋体" w:cs="Times New Roman"/>
          <w:b/>
          <w:color w:val="auto"/>
          <w:spacing w:val="0"/>
          <w:sz w:val="24"/>
          <w:szCs w:val="24"/>
          <w:highlight w:val="none"/>
          <w:u w:val="none" w:color="auto"/>
        </w:rPr>
        <w:t>E1</w:t>
      </w:r>
      <w:r>
        <w:rPr>
          <w:rFonts w:hint="default" w:ascii="Times New Roman" w:hAnsi="Times New Roman" w:eastAsia="宋体" w:cs="Times New Roman"/>
          <w:color w:val="auto"/>
          <w:spacing w:val="0"/>
          <w:sz w:val="24"/>
          <w:szCs w:val="24"/>
          <w:highlight w:val="none"/>
          <w:u w:val="none" w:color="auto"/>
          <w:lang w:eastAsia="zh-CN"/>
        </w:rPr>
        <w:t>，</w:t>
      </w:r>
      <w:r>
        <w:rPr>
          <w:rFonts w:hint="default" w:ascii="Times New Roman" w:hAnsi="Times New Roman" w:eastAsia="宋体" w:cs="Times New Roman"/>
          <w:color w:val="auto"/>
          <w:spacing w:val="0"/>
          <w:sz w:val="24"/>
          <w:szCs w:val="24"/>
          <w:highlight w:val="none"/>
          <w:u w:val="none" w:color="auto"/>
        </w:rPr>
        <w:t>为环境高度敏感区。</w:t>
      </w:r>
    </w:p>
    <w:p w14:paraId="6F99B457">
      <w:pPr>
        <w:spacing w:line="360" w:lineRule="auto"/>
        <w:ind w:firstLine="482" w:firstLineChars="200"/>
        <w:outlineLvl w:val="2"/>
        <w:rPr>
          <w:rFonts w:hint="default" w:ascii="Times New Roman" w:hAnsi="Times New Roman" w:eastAsia="宋体" w:cs="Times New Roman"/>
          <w:b/>
          <w:bCs/>
          <w:color w:val="auto"/>
          <w:sz w:val="24"/>
          <w:u w:val="none" w:color="auto"/>
        </w:rPr>
      </w:pPr>
      <w:r>
        <w:rPr>
          <w:rFonts w:hint="default" w:ascii="Times New Roman" w:hAnsi="Times New Roman" w:eastAsia="宋体" w:cs="Times New Roman"/>
          <w:b/>
          <w:bCs/>
          <w:color w:val="auto"/>
          <w:sz w:val="24"/>
          <w:u w:val="none" w:color="auto"/>
        </w:rPr>
        <w:t>2.3.2地表水环境</w:t>
      </w:r>
      <w:bookmarkEnd w:id="180"/>
    </w:p>
    <w:p w14:paraId="1FC9FFE5">
      <w:pPr>
        <w:spacing w:line="360" w:lineRule="auto"/>
        <w:ind w:firstLine="480" w:firstLineChars="200"/>
        <w:rPr>
          <w:rFonts w:hint="default" w:ascii="Times New Roman" w:hAnsi="Times New Roman" w:eastAsia="宋体" w:cs="Times New Roman"/>
          <w:bCs/>
          <w:color w:val="auto"/>
          <w:sz w:val="24"/>
          <w:szCs w:val="24"/>
          <w:u w:val="none" w:color="auto"/>
        </w:rPr>
      </w:pPr>
      <w:r>
        <w:rPr>
          <w:rFonts w:hint="default" w:ascii="Times New Roman" w:hAnsi="Times New Roman" w:eastAsia="宋体" w:cs="Times New Roman"/>
          <w:bCs/>
          <w:color w:val="auto"/>
          <w:sz w:val="24"/>
          <w:szCs w:val="24"/>
          <w:u w:val="none" w:color="auto"/>
        </w:rPr>
        <w:t>项目地表水环境敏感程度依据事故情况下危险物质泄漏到水体的排放点受纳地表水体功能敏感性，与下游环境敏感目标情况确定。具体分级原则见下表。</w:t>
      </w:r>
    </w:p>
    <w:p w14:paraId="42915676">
      <w:pPr>
        <w:pStyle w:val="17"/>
        <w:numPr>
          <w:ilvl w:val="0"/>
          <w:numId w:val="10"/>
        </w:numPr>
        <w:adjustRightInd/>
        <w:snapToGrid/>
        <w:rPr>
          <w:rFonts w:hint="default" w:ascii="Times New Roman" w:hAnsi="Times New Roman" w:eastAsia="宋体" w:cs="Times New Roman"/>
          <w:b/>
          <w:bCs/>
          <w:color w:val="auto"/>
          <w:sz w:val="21"/>
          <w:szCs w:val="16"/>
          <w:u w:val="none" w:color="auto"/>
        </w:rPr>
      </w:pPr>
      <w:r>
        <w:rPr>
          <w:rFonts w:hint="default" w:ascii="Times New Roman" w:hAnsi="Times New Roman" w:eastAsia="宋体" w:cs="Times New Roman"/>
          <w:b/>
          <w:bCs/>
          <w:color w:val="auto"/>
          <w:sz w:val="21"/>
          <w:szCs w:val="16"/>
          <w:u w:val="none" w:color="auto"/>
        </w:rPr>
        <w:t>地表水环境敏感程度分级</w:t>
      </w:r>
    </w:p>
    <w:tbl>
      <w:tblPr>
        <w:tblStyle w:val="31"/>
        <w:tblW w:w="5000" w:type="pct"/>
        <w:tblInd w:w="0" w:type="dxa"/>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autofit"/>
        <w:tblCellMar>
          <w:top w:w="0" w:type="dxa"/>
          <w:left w:w="0" w:type="dxa"/>
          <w:bottom w:w="0" w:type="dxa"/>
          <w:right w:w="0" w:type="dxa"/>
        </w:tblCellMar>
      </w:tblPr>
      <w:tblGrid>
        <w:gridCol w:w="2852"/>
        <w:gridCol w:w="1593"/>
        <w:gridCol w:w="2221"/>
        <w:gridCol w:w="2224"/>
      </w:tblGrid>
      <w:tr w14:paraId="72427578">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PrEx>
        <w:trPr>
          <w:trHeight w:val="23" w:hRule="atLeast"/>
          <w:tblHeader/>
        </w:trPr>
        <w:tc>
          <w:tcPr>
            <w:tcW w:w="1604" w:type="pct"/>
            <w:vMerge w:val="restart"/>
            <w:tcBorders>
              <w:tl2br w:val="nil"/>
              <w:tr2bl w:val="nil"/>
            </w:tcBorders>
            <w:noWrap w:val="0"/>
            <w:vAlign w:val="center"/>
          </w:tcPr>
          <w:p w14:paraId="17B14F44">
            <w:pPr>
              <w:pStyle w:val="54"/>
              <w:adjustRightInd w:val="0"/>
              <w:snapToGrid w:val="0"/>
              <w:jc w:val="center"/>
              <w:rPr>
                <w:rFonts w:hint="default" w:ascii="Times New Roman" w:hAnsi="Times New Roman" w:eastAsia="宋体" w:cs="Times New Roman"/>
                <w:b/>
                <w:bCs/>
                <w:color w:val="auto"/>
                <w:u w:val="none" w:color="auto"/>
              </w:rPr>
            </w:pPr>
            <w:r>
              <w:rPr>
                <w:rFonts w:hint="default" w:ascii="Times New Roman" w:hAnsi="Times New Roman" w:eastAsia="宋体" w:cs="Times New Roman"/>
                <w:b/>
                <w:bCs/>
                <w:color w:val="auto"/>
                <w:u w:val="none" w:color="auto"/>
              </w:rPr>
              <w:t>环境敏感目标</w:t>
            </w:r>
          </w:p>
        </w:tc>
        <w:tc>
          <w:tcPr>
            <w:tcW w:w="3396" w:type="pct"/>
            <w:gridSpan w:val="3"/>
            <w:tcBorders>
              <w:tl2br w:val="nil"/>
              <w:tr2bl w:val="nil"/>
            </w:tcBorders>
            <w:noWrap w:val="0"/>
            <w:vAlign w:val="center"/>
          </w:tcPr>
          <w:p w14:paraId="39C9FFE3">
            <w:pPr>
              <w:pStyle w:val="54"/>
              <w:adjustRightInd w:val="0"/>
              <w:snapToGrid w:val="0"/>
              <w:jc w:val="center"/>
              <w:rPr>
                <w:rFonts w:hint="default" w:ascii="Times New Roman" w:hAnsi="Times New Roman" w:eastAsia="宋体" w:cs="Times New Roman"/>
                <w:b/>
                <w:bCs/>
                <w:color w:val="auto"/>
                <w:u w:val="none" w:color="auto"/>
              </w:rPr>
            </w:pPr>
            <w:r>
              <w:rPr>
                <w:rFonts w:hint="default" w:ascii="Times New Roman" w:hAnsi="Times New Roman" w:eastAsia="宋体" w:cs="Times New Roman"/>
                <w:b/>
                <w:bCs/>
                <w:color w:val="auto"/>
                <w:u w:val="none" w:color="auto"/>
              </w:rPr>
              <w:t>地表水功能敏感性</w:t>
            </w:r>
          </w:p>
        </w:tc>
      </w:tr>
      <w:tr w14:paraId="67181D8B">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CellMar>
            <w:top w:w="0" w:type="dxa"/>
            <w:left w:w="0" w:type="dxa"/>
            <w:bottom w:w="0" w:type="dxa"/>
            <w:right w:w="0" w:type="dxa"/>
          </w:tblCellMar>
        </w:tblPrEx>
        <w:trPr>
          <w:trHeight w:val="23" w:hRule="atLeast"/>
          <w:tblHeader/>
        </w:trPr>
        <w:tc>
          <w:tcPr>
            <w:tcW w:w="1604" w:type="pct"/>
            <w:vMerge w:val="continue"/>
            <w:tcBorders>
              <w:tl2br w:val="nil"/>
              <w:tr2bl w:val="nil"/>
            </w:tcBorders>
            <w:noWrap w:val="0"/>
            <w:vAlign w:val="center"/>
          </w:tcPr>
          <w:p w14:paraId="6E3B510E">
            <w:pPr>
              <w:pStyle w:val="54"/>
              <w:adjustRightInd w:val="0"/>
              <w:snapToGrid w:val="0"/>
              <w:jc w:val="center"/>
              <w:rPr>
                <w:rFonts w:hint="default" w:ascii="Times New Roman" w:hAnsi="Times New Roman" w:eastAsia="宋体" w:cs="Times New Roman"/>
                <w:b/>
                <w:bCs/>
                <w:color w:val="auto"/>
                <w:u w:val="none" w:color="auto"/>
              </w:rPr>
            </w:pPr>
          </w:p>
        </w:tc>
        <w:tc>
          <w:tcPr>
            <w:tcW w:w="896" w:type="pct"/>
            <w:tcBorders>
              <w:tl2br w:val="nil"/>
              <w:tr2bl w:val="nil"/>
            </w:tcBorders>
            <w:noWrap w:val="0"/>
            <w:vAlign w:val="center"/>
          </w:tcPr>
          <w:p w14:paraId="1E6503C9">
            <w:pPr>
              <w:pStyle w:val="54"/>
              <w:adjustRightInd w:val="0"/>
              <w:snapToGrid w:val="0"/>
              <w:jc w:val="center"/>
              <w:rPr>
                <w:rFonts w:hint="default" w:ascii="Times New Roman" w:hAnsi="Times New Roman" w:eastAsia="宋体" w:cs="Times New Roman"/>
                <w:b/>
                <w:bCs/>
                <w:color w:val="auto"/>
                <w:u w:val="none" w:color="auto"/>
              </w:rPr>
            </w:pPr>
            <w:r>
              <w:rPr>
                <w:rFonts w:hint="default" w:ascii="Times New Roman" w:hAnsi="Times New Roman" w:eastAsia="宋体" w:cs="Times New Roman"/>
                <w:b/>
                <w:bCs/>
                <w:color w:val="auto"/>
                <w:u w:val="none" w:color="auto"/>
              </w:rPr>
              <w:t>F1</w:t>
            </w:r>
          </w:p>
        </w:tc>
        <w:tc>
          <w:tcPr>
            <w:tcW w:w="1249" w:type="pct"/>
            <w:tcBorders>
              <w:tl2br w:val="nil"/>
              <w:tr2bl w:val="nil"/>
            </w:tcBorders>
            <w:noWrap w:val="0"/>
            <w:vAlign w:val="center"/>
          </w:tcPr>
          <w:p w14:paraId="61E546F3">
            <w:pPr>
              <w:pStyle w:val="54"/>
              <w:adjustRightInd w:val="0"/>
              <w:snapToGrid w:val="0"/>
              <w:jc w:val="center"/>
              <w:rPr>
                <w:rFonts w:hint="default" w:ascii="Times New Roman" w:hAnsi="Times New Roman" w:eastAsia="宋体" w:cs="Times New Roman"/>
                <w:b/>
                <w:bCs/>
                <w:color w:val="auto"/>
                <w:u w:val="none" w:color="auto"/>
              </w:rPr>
            </w:pPr>
            <w:r>
              <w:rPr>
                <w:rFonts w:hint="default" w:ascii="Times New Roman" w:hAnsi="Times New Roman" w:eastAsia="宋体" w:cs="Times New Roman"/>
                <w:b/>
                <w:bCs/>
                <w:color w:val="auto"/>
                <w:u w:val="none" w:color="auto"/>
              </w:rPr>
              <w:t>F2</w:t>
            </w:r>
          </w:p>
        </w:tc>
        <w:tc>
          <w:tcPr>
            <w:tcW w:w="1251" w:type="pct"/>
            <w:tcBorders>
              <w:tl2br w:val="nil"/>
              <w:tr2bl w:val="nil"/>
            </w:tcBorders>
            <w:noWrap w:val="0"/>
            <w:vAlign w:val="center"/>
          </w:tcPr>
          <w:p w14:paraId="12ED718F">
            <w:pPr>
              <w:pStyle w:val="54"/>
              <w:adjustRightInd w:val="0"/>
              <w:snapToGrid w:val="0"/>
              <w:jc w:val="center"/>
              <w:rPr>
                <w:rFonts w:hint="default" w:ascii="Times New Roman" w:hAnsi="Times New Roman" w:eastAsia="宋体" w:cs="Times New Roman"/>
                <w:b/>
                <w:bCs/>
                <w:color w:val="auto"/>
                <w:u w:val="none" w:color="auto"/>
              </w:rPr>
            </w:pPr>
            <w:r>
              <w:rPr>
                <w:rFonts w:hint="default" w:ascii="Times New Roman" w:hAnsi="Times New Roman" w:eastAsia="宋体" w:cs="Times New Roman"/>
                <w:b/>
                <w:bCs/>
                <w:color w:val="auto"/>
                <w:u w:val="none" w:color="auto"/>
              </w:rPr>
              <w:t>F3</w:t>
            </w:r>
          </w:p>
        </w:tc>
      </w:tr>
      <w:tr w14:paraId="7414D1D9">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1604" w:type="pct"/>
            <w:tcBorders>
              <w:tl2br w:val="nil"/>
              <w:tr2bl w:val="nil"/>
            </w:tcBorders>
            <w:noWrap w:val="0"/>
            <w:vAlign w:val="center"/>
          </w:tcPr>
          <w:p w14:paraId="4A9AE87B">
            <w:pPr>
              <w:pStyle w:val="54"/>
              <w:adjustRightInd w:val="0"/>
              <w:snapToGrid w:val="0"/>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S1</w:t>
            </w:r>
          </w:p>
        </w:tc>
        <w:tc>
          <w:tcPr>
            <w:tcW w:w="896" w:type="pct"/>
            <w:tcBorders>
              <w:tl2br w:val="nil"/>
              <w:tr2bl w:val="nil"/>
            </w:tcBorders>
            <w:noWrap w:val="0"/>
            <w:vAlign w:val="center"/>
          </w:tcPr>
          <w:p w14:paraId="5DE6C21A">
            <w:pPr>
              <w:pStyle w:val="54"/>
              <w:adjustRightInd w:val="0"/>
              <w:snapToGrid w:val="0"/>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E1</w:t>
            </w:r>
          </w:p>
        </w:tc>
        <w:tc>
          <w:tcPr>
            <w:tcW w:w="1249" w:type="pct"/>
            <w:tcBorders>
              <w:tl2br w:val="nil"/>
              <w:tr2bl w:val="nil"/>
            </w:tcBorders>
            <w:noWrap w:val="0"/>
            <w:vAlign w:val="center"/>
          </w:tcPr>
          <w:p w14:paraId="03BEFCB9">
            <w:pPr>
              <w:pStyle w:val="54"/>
              <w:adjustRightInd w:val="0"/>
              <w:snapToGrid w:val="0"/>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E1</w:t>
            </w:r>
          </w:p>
        </w:tc>
        <w:tc>
          <w:tcPr>
            <w:tcW w:w="1251" w:type="pct"/>
            <w:tcBorders>
              <w:tl2br w:val="nil"/>
              <w:tr2bl w:val="nil"/>
            </w:tcBorders>
            <w:noWrap w:val="0"/>
            <w:vAlign w:val="center"/>
          </w:tcPr>
          <w:p w14:paraId="69744893">
            <w:pPr>
              <w:pStyle w:val="54"/>
              <w:adjustRightInd w:val="0"/>
              <w:snapToGrid w:val="0"/>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E2</w:t>
            </w:r>
          </w:p>
        </w:tc>
      </w:tr>
      <w:tr w14:paraId="2B5C2681">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1604" w:type="pct"/>
            <w:tcBorders>
              <w:tl2br w:val="nil"/>
              <w:tr2bl w:val="nil"/>
            </w:tcBorders>
            <w:noWrap w:val="0"/>
            <w:vAlign w:val="center"/>
          </w:tcPr>
          <w:p w14:paraId="0338A83B">
            <w:pPr>
              <w:pStyle w:val="54"/>
              <w:adjustRightInd w:val="0"/>
              <w:snapToGrid w:val="0"/>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S2</w:t>
            </w:r>
          </w:p>
        </w:tc>
        <w:tc>
          <w:tcPr>
            <w:tcW w:w="896" w:type="pct"/>
            <w:tcBorders>
              <w:tl2br w:val="nil"/>
              <w:tr2bl w:val="nil"/>
            </w:tcBorders>
            <w:noWrap w:val="0"/>
            <w:vAlign w:val="center"/>
          </w:tcPr>
          <w:p w14:paraId="2F6CB051">
            <w:pPr>
              <w:pStyle w:val="54"/>
              <w:adjustRightInd w:val="0"/>
              <w:snapToGrid w:val="0"/>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E1</w:t>
            </w:r>
          </w:p>
        </w:tc>
        <w:tc>
          <w:tcPr>
            <w:tcW w:w="1249" w:type="pct"/>
            <w:tcBorders>
              <w:tl2br w:val="nil"/>
              <w:tr2bl w:val="nil"/>
            </w:tcBorders>
            <w:noWrap w:val="0"/>
            <w:vAlign w:val="center"/>
          </w:tcPr>
          <w:p w14:paraId="4B3E70D4">
            <w:pPr>
              <w:pStyle w:val="54"/>
              <w:adjustRightInd w:val="0"/>
              <w:snapToGrid w:val="0"/>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E2</w:t>
            </w:r>
          </w:p>
        </w:tc>
        <w:tc>
          <w:tcPr>
            <w:tcW w:w="1251" w:type="pct"/>
            <w:tcBorders>
              <w:tl2br w:val="nil"/>
              <w:tr2bl w:val="nil"/>
            </w:tcBorders>
            <w:noWrap w:val="0"/>
            <w:vAlign w:val="center"/>
          </w:tcPr>
          <w:p w14:paraId="66635492">
            <w:pPr>
              <w:pStyle w:val="54"/>
              <w:adjustRightInd w:val="0"/>
              <w:snapToGrid w:val="0"/>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E3</w:t>
            </w:r>
          </w:p>
        </w:tc>
      </w:tr>
      <w:tr w14:paraId="5EA50590">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1604" w:type="pct"/>
            <w:tcBorders>
              <w:tl2br w:val="nil"/>
              <w:tr2bl w:val="nil"/>
            </w:tcBorders>
            <w:noWrap w:val="0"/>
            <w:vAlign w:val="center"/>
          </w:tcPr>
          <w:p w14:paraId="74A11A65">
            <w:pPr>
              <w:pStyle w:val="54"/>
              <w:adjustRightInd w:val="0"/>
              <w:snapToGrid w:val="0"/>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S3</w:t>
            </w:r>
          </w:p>
        </w:tc>
        <w:tc>
          <w:tcPr>
            <w:tcW w:w="896" w:type="pct"/>
            <w:tcBorders>
              <w:tl2br w:val="nil"/>
              <w:tr2bl w:val="nil"/>
            </w:tcBorders>
            <w:noWrap w:val="0"/>
            <w:vAlign w:val="center"/>
          </w:tcPr>
          <w:p w14:paraId="14930E7D">
            <w:pPr>
              <w:pStyle w:val="54"/>
              <w:adjustRightInd w:val="0"/>
              <w:snapToGrid w:val="0"/>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E1</w:t>
            </w:r>
          </w:p>
        </w:tc>
        <w:tc>
          <w:tcPr>
            <w:tcW w:w="1249" w:type="pct"/>
            <w:tcBorders>
              <w:tl2br w:val="nil"/>
              <w:tr2bl w:val="nil"/>
            </w:tcBorders>
            <w:noWrap w:val="0"/>
            <w:vAlign w:val="center"/>
          </w:tcPr>
          <w:p w14:paraId="0E75EE2A">
            <w:pPr>
              <w:pStyle w:val="54"/>
              <w:adjustRightInd w:val="0"/>
              <w:snapToGrid w:val="0"/>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E2</w:t>
            </w:r>
          </w:p>
        </w:tc>
        <w:tc>
          <w:tcPr>
            <w:tcW w:w="1251" w:type="pct"/>
            <w:tcBorders>
              <w:tl2br w:val="nil"/>
              <w:tr2bl w:val="nil"/>
            </w:tcBorders>
            <w:noWrap w:val="0"/>
            <w:vAlign w:val="center"/>
          </w:tcPr>
          <w:p w14:paraId="663146DF">
            <w:pPr>
              <w:pStyle w:val="54"/>
              <w:adjustRightInd w:val="0"/>
              <w:snapToGrid w:val="0"/>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E3</w:t>
            </w:r>
          </w:p>
        </w:tc>
      </w:tr>
    </w:tbl>
    <w:p w14:paraId="5239B05F">
      <w:pPr>
        <w:spacing w:line="360" w:lineRule="auto"/>
        <w:ind w:firstLine="480" w:firstLineChars="200"/>
        <w:rPr>
          <w:rFonts w:hint="default" w:ascii="Times New Roman" w:hAnsi="Times New Roman" w:eastAsia="宋体" w:cs="Times New Roman"/>
          <w:bCs/>
          <w:color w:val="auto"/>
          <w:sz w:val="24"/>
          <w:szCs w:val="24"/>
          <w:u w:val="none" w:color="auto"/>
        </w:rPr>
      </w:pPr>
      <w:r>
        <w:rPr>
          <w:rFonts w:hint="default" w:ascii="Times New Roman" w:hAnsi="Times New Roman" w:eastAsia="宋体" w:cs="Times New Roman"/>
          <w:bCs/>
          <w:color w:val="auto"/>
          <w:sz w:val="24"/>
          <w:szCs w:val="24"/>
          <w:u w:val="none" w:color="auto"/>
        </w:rPr>
        <w:t>地表水功能敏感性分区见下表。</w:t>
      </w:r>
    </w:p>
    <w:p w14:paraId="4AE446A1">
      <w:pPr>
        <w:pStyle w:val="17"/>
        <w:numPr>
          <w:ilvl w:val="0"/>
          <w:numId w:val="10"/>
        </w:numPr>
        <w:adjustRightInd/>
        <w:snapToGrid/>
        <w:rPr>
          <w:rFonts w:hint="default" w:ascii="Times New Roman" w:hAnsi="Times New Roman" w:eastAsia="宋体" w:cs="Times New Roman"/>
          <w:b/>
          <w:bCs/>
          <w:color w:val="auto"/>
          <w:sz w:val="21"/>
          <w:szCs w:val="16"/>
          <w:u w:val="none" w:color="auto"/>
        </w:rPr>
      </w:pPr>
      <w:r>
        <w:rPr>
          <w:rFonts w:hint="default" w:ascii="Times New Roman" w:hAnsi="Times New Roman" w:eastAsia="宋体" w:cs="Times New Roman"/>
          <w:b/>
          <w:bCs/>
          <w:color w:val="auto"/>
          <w:sz w:val="21"/>
          <w:szCs w:val="16"/>
          <w:u w:val="none" w:color="auto"/>
        </w:rPr>
        <w:t>地表水功能敏感性分区</w:t>
      </w:r>
    </w:p>
    <w:tbl>
      <w:tblPr>
        <w:tblStyle w:val="31"/>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1368"/>
        <w:gridCol w:w="7506"/>
      </w:tblGrid>
      <w:tr w14:paraId="77E71F9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771" w:type="pct"/>
            <w:tcBorders>
              <w:tl2br w:val="nil"/>
              <w:tr2bl w:val="nil"/>
            </w:tcBorders>
            <w:noWrap w:val="0"/>
            <w:vAlign w:val="center"/>
          </w:tcPr>
          <w:p w14:paraId="41667DAA">
            <w:pPr>
              <w:autoSpaceDE w:val="0"/>
              <w:autoSpaceDN w:val="0"/>
              <w:jc w:val="center"/>
              <w:rPr>
                <w:rFonts w:hint="default" w:ascii="Times New Roman" w:hAnsi="Times New Roman" w:eastAsia="宋体" w:cs="Times New Roman"/>
                <w:b/>
                <w:bCs/>
                <w:snapToGrid w:val="0"/>
                <w:color w:val="auto"/>
                <w:u w:val="none" w:color="auto"/>
              </w:rPr>
            </w:pPr>
            <w:r>
              <w:rPr>
                <w:rFonts w:hint="default" w:ascii="Times New Roman" w:hAnsi="Times New Roman" w:eastAsia="宋体" w:cs="Times New Roman"/>
                <w:b/>
                <w:bCs/>
                <w:snapToGrid w:val="0"/>
                <w:color w:val="auto"/>
                <w:u w:val="none" w:color="auto"/>
              </w:rPr>
              <w:t>敏感性</w:t>
            </w:r>
          </w:p>
        </w:tc>
        <w:tc>
          <w:tcPr>
            <w:tcW w:w="4229" w:type="pct"/>
            <w:tcBorders>
              <w:tl2br w:val="nil"/>
              <w:tr2bl w:val="nil"/>
            </w:tcBorders>
            <w:noWrap w:val="0"/>
            <w:vAlign w:val="center"/>
          </w:tcPr>
          <w:p w14:paraId="552D76F3">
            <w:pPr>
              <w:autoSpaceDE w:val="0"/>
              <w:autoSpaceDN w:val="0"/>
              <w:jc w:val="center"/>
              <w:rPr>
                <w:rFonts w:hint="default" w:ascii="Times New Roman" w:hAnsi="Times New Roman" w:eastAsia="宋体" w:cs="Times New Roman"/>
                <w:b/>
                <w:bCs/>
                <w:snapToGrid w:val="0"/>
                <w:color w:val="auto"/>
                <w:u w:val="none" w:color="auto"/>
              </w:rPr>
            </w:pPr>
            <w:r>
              <w:rPr>
                <w:rFonts w:hint="default" w:ascii="Times New Roman" w:hAnsi="Times New Roman" w:eastAsia="宋体" w:cs="Times New Roman"/>
                <w:b/>
                <w:bCs/>
                <w:snapToGrid w:val="0"/>
                <w:color w:val="auto"/>
                <w:u w:val="none" w:color="auto"/>
              </w:rPr>
              <w:t>地表水环境敏感特征</w:t>
            </w:r>
          </w:p>
        </w:tc>
      </w:tr>
      <w:tr w14:paraId="1B37B4A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771" w:type="pct"/>
            <w:tcBorders>
              <w:tl2br w:val="nil"/>
              <w:tr2bl w:val="nil"/>
            </w:tcBorders>
            <w:noWrap w:val="0"/>
            <w:vAlign w:val="center"/>
          </w:tcPr>
          <w:p w14:paraId="3AB5441E">
            <w:pPr>
              <w:autoSpaceDE w:val="0"/>
              <w:autoSpaceDN w:val="0"/>
              <w:jc w:val="center"/>
              <w:rPr>
                <w:rFonts w:hint="default" w:ascii="Times New Roman" w:hAnsi="Times New Roman" w:eastAsia="宋体" w:cs="Times New Roman"/>
                <w:snapToGrid w:val="0"/>
                <w:color w:val="auto"/>
                <w:u w:val="none" w:color="auto"/>
              </w:rPr>
            </w:pPr>
            <w:r>
              <w:rPr>
                <w:rFonts w:hint="default" w:ascii="Times New Roman" w:hAnsi="Times New Roman" w:eastAsia="宋体" w:cs="Times New Roman"/>
                <w:snapToGrid w:val="0"/>
                <w:color w:val="auto"/>
                <w:u w:val="none" w:color="auto"/>
              </w:rPr>
              <w:t>敏感F1</w:t>
            </w:r>
          </w:p>
        </w:tc>
        <w:tc>
          <w:tcPr>
            <w:tcW w:w="4229" w:type="pct"/>
            <w:tcBorders>
              <w:tl2br w:val="nil"/>
              <w:tr2bl w:val="nil"/>
            </w:tcBorders>
            <w:noWrap w:val="0"/>
            <w:vAlign w:val="center"/>
          </w:tcPr>
          <w:p w14:paraId="4495549A">
            <w:pPr>
              <w:autoSpaceDE w:val="0"/>
              <w:autoSpaceDN w:val="0"/>
              <w:rPr>
                <w:rFonts w:hint="default" w:ascii="Times New Roman" w:hAnsi="Times New Roman" w:eastAsia="宋体" w:cs="Times New Roman"/>
                <w:snapToGrid w:val="0"/>
                <w:color w:val="auto"/>
                <w:u w:val="none" w:color="auto"/>
              </w:rPr>
            </w:pPr>
            <w:r>
              <w:rPr>
                <w:rFonts w:hint="default" w:ascii="Times New Roman" w:hAnsi="Times New Roman" w:eastAsia="宋体" w:cs="Times New Roman"/>
                <w:snapToGrid w:val="0"/>
                <w:color w:val="auto"/>
                <w:u w:val="none" w:color="auto"/>
              </w:rPr>
              <w:t>排放点进入地表水水域环境功能为Ⅱ类及以上，或海水水质分类第一类；</w:t>
            </w:r>
          </w:p>
          <w:p w14:paraId="2ED59767">
            <w:pPr>
              <w:autoSpaceDE w:val="0"/>
              <w:autoSpaceDN w:val="0"/>
              <w:rPr>
                <w:rFonts w:hint="default" w:ascii="Times New Roman" w:hAnsi="Times New Roman" w:eastAsia="宋体" w:cs="Times New Roman"/>
                <w:snapToGrid w:val="0"/>
                <w:color w:val="auto"/>
                <w:u w:val="none" w:color="auto"/>
              </w:rPr>
            </w:pPr>
            <w:r>
              <w:rPr>
                <w:rFonts w:hint="default" w:ascii="Times New Roman" w:hAnsi="Times New Roman" w:eastAsia="宋体" w:cs="Times New Roman"/>
                <w:snapToGrid w:val="0"/>
                <w:color w:val="auto"/>
                <w:u w:val="none" w:color="auto"/>
              </w:rPr>
              <w:t>或已发生事故时，危险物质泄漏到水体的排放点算起，排放进入受纳河流最大流速时，24h流经范围内涉跨国界的</w:t>
            </w:r>
          </w:p>
        </w:tc>
      </w:tr>
      <w:tr w14:paraId="70A702B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771" w:type="pct"/>
            <w:tcBorders>
              <w:tl2br w:val="nil"/>
              <w:tr2bl w:val="nil"/>
            </w:tcBorders>
            <w:noWrap w:val="0"/>
            <w:vAlign w:val="center"/>
          </w:tcPr>
          <w:p w14:paraId="3E01CEA9">
            <w:pPr>
              <w:autoSpaceDE w:val="0"/>
              <w:autoSpaceDN w:val="0"/>
              <w:jc w:val="center"/>
              <w:rPr>
                <w:rFonts w:hint="default" w:ascii="Times New Roman" w:hAnsi="Times New Roman" w:eastAsia="宋体" w:cs="Times New Roman"/>
                <w:snapToGrid w:val="0"/>
                <w:color w:val="auto"/>
                <w:u w:val="none" w:color="auto"/>
              </w:rPr>
            </w:pPr>
            <w:r>
              <w:rPr>
                <w:rFonts w:hint="default" w:ascii="Times New Roman" w:hAnsi="Times New Roman" w:eastAsia="宋体" w:cs="Times New Roman"/>
                <w:snapToGrid w:val="0"/>
                <w:color w:val="auto"/>
                <w:u w:val="none" w:color="auto"/>
              </w:rPr>
              <w:t>较敏感F2</w:t>
            </w:r>
          </w:p>
        </w:tc>
        <w:tc>
          <w:tcPr>
            <w:tcW w:w="4229" w:type="pct"/>
            <w:tcBorders>
              <w:tl2br w:val="nil"/>
              <w:tr2bl w:val="nil"/>
            </w:tcBorders>
            <w:noWrap w:val="0"/>
            <w:vAlign w:val="center"/>
          </w:tcPr>
          <w:p w14:paraId="353440F7">
            <w:pPr>
              <w:autoSpaceDE w:val="0"/>
              <w:autoSpaceDN w:val="0"/>
              <w:rPr>
                <w:rFonts w:hint="default" w:ascii="Times New Roman" w:hAnsi="Times New Roman" w:eastAsia="宋体" w:cs="Times New Roman"/>
                <w:snapToGrid w:val="0"/>
                <w:color w:val="auto"/>
                <w:u w:val="none" w:color="auto"/>
              </w:rPr>
            </w:pPr>
            <w:r>
              <w:rPr>
                <w:rFonts w:hint="default" w:ascii="Times New Roman" w:hAnsi="Times New Roman" w:eastAsia="宋体" w:cs="Times New Roman"/>
                <w:snapToGrid w:val="0"/>
                <w:color w:val="auto"/>
                <w:u w:val="none" w:color="auto"/>
              </w:rPr>
              <w:t>排放点进入地表水水域环境功能为Ⅲ类，或海水水质分类第二类；</w:t>
            </w:r>
          </w:p>
          <w:p w14:paraId="32933DEB">
            <w:pPr>
              <w:autoSpaceDE w:val="0"/>
              <w:autoSpaceDN w:val="0"/>
              <w:rPr>
                <w:rFonts w:hint="default" w:ascii="Times New Roman" w:hAnsi="Times New Roman" w:eastAsia="宋体" w:cs="Times New Roman"/>
                <w:snapToGrid w:val="0"/>
                <w:color w:val="auto"/>
                <w:u w:val="none" w:color="auto"/>
              </w:rPr>
            </w:pPr>
            <w:r>
              <w:rPr>
                <w:rFonts w:hint="default" w:ascii="Times New Roman" w:hAnsi="Times New Roman" w:eastAsia="宋体" w:cs="Times New Roman"/>
                <w:snapToGrid w:val="0"/>
                <w:color w:val="auto"/>
                <w:u w:val="none" w:color="auto"/>
              </w:rPr>
              <w:t>或已发生事故时，危险物质泄漏到水体的排放点算起，排放进入受纳河流最大流速时，24h流经范围内涉跨省界的</w:t>
            </w:r>
          </w:p>
        </w:tc>
      </w:tr>
      <w:tr w14:paraId="078CCFF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771" w:type="pct"/>
            <w:tcBorders>
              <w:tl2br w:val="nil"/>
              <w:tr2bl w:val="nil"/>
            </w:tcBorders>
            <w:noWrap w:val="0"/>
            <w:vAlign w:val="center"/>
          </w:tcPr>
          <w:p w14:paraId="1922003C">
            <w:pPr>
              <w:autoSpaceDE w:val="0"/>
              <w:autoSpaceDN w:val="0"/>
              <w:jc w:val="center"/>
              <w:rPr>
                <w:rFonts w:hint="default" w:ascii="Times New Roman" w:hAnsi="Times New Roman" w:eastAsia="宋体" w:cs="Times New Roman"/>
                <w:snapToGrid w:val="0"/>
                <w:color w:val="auto"/>
                <w:u w:val="none" w:color="auto"/>
              </w:rPr>
            </w:pPr>
            <w:r>
              <w:rPr>
                <w:rFonts w:hint="default" w:ascii="Times New Roman" w:hAnsi="Times New Roman" w:eastAsia="宋体" w:cs="Times New Roman"/>
                <w:snapToGrid w:val="0"/>
                <w:color w:val="auto"/>
                <w:u w:val="none" w:color="auto"/>
              </w:rPr>
              <w:t>低敏感F3</w:t>
            </w:r>
          </w:p>
        </w:tc>
        <w:tc>
          <w:tcPr>
            <w:tcW w:w="4229" w:type="pct"/>
            <w:tcBorders>
              <w:tl2br w:val="nil"/>
              <w:tr2bl w:val="nil"/>
            </w:tcBorders>
            <w:noWrap w:val="0"/>
            <w:vAlign w:val="center"/>
          </w:tcPr>
          <w:p w14:paraId="27B705D9">
            <w:pPr>
              <w:autoSpaceDE w:val="0"/>
              <w:autoSpaceDN w:val="0"/>
              <w:rPr>
                <w:rFonts w:hint="default" w:ascii="Times New Roman" w:hAnsi="Times New Roman" w:eastAsia="宋体" w:cs="Times New Roman"/>
                <w:snapToGrid w:val="0"/>
                <w:color w:val="auto"/>
                <w:u w:val="none" w:color="auto"/>
              </w:rPr>
            </w:pPr>
            <w:r>
              <w:rPr>
                <w:rFonts w:hint="default" w:ascii="Times New Roman" w:hAnsi="Times New Roman" w:eastAsia="宋体" w:cs="Times New Roman"/>
                <w:snapToGrid w:val="0"/>
                <w:color w:val="auto"/>
                <w:u w:val="none" w:color="auto"/>
              </w:rPr>
              <w:t>上述地区之外的其他地区</w:t>
            </w:r>
          </w:p>
        </w:tc>
      </w:tr>
    </w:tbl>
    <w:p w14:paraId="77E584F2">
      <w:pPr>
        <w:spacing w:line="360" w:lineRule="auto"/>
        <w:ind w:firstLine="480" w:firstLineChars="200"/>
        <w:rPr>
          <w:rFonts w:hint="default" w:ascii="Times New Roman" w:hAnsi="Times New Roman" w:eastAsia="宋体" w:cs="Times New Roman"/>
          <w:bCs/>
          <w:color w:val="auto"/>
          <w:sz w:val="24"/>
          <w:szCs w:val="24"/>
          <w:u w:val="none" w:color="auto"/>
        </w:rPr>
      </w:pPr>
      <w:r>
        <w:rPr>
          <w:rFonts w:hint="default" w:ascii="Times New Roman" w:hAnsi="Times New Roman" w:eastAsia="宋体" w:cs="Times New Roman"/>
          <w:bCs/>
          <w:color w:val="auto"/>
          <w:sz w:val="24"/>
          <w:szCs w:val="24"/>
          <w:u w:val="none" w:color="auto"/>
        </w:rPr>
        <w:t>地表水环境敏感目标分级见下表。</w:t>
      </w:r>
    </w:p>
    <w:p w14:paraId="2F0C3C88">
      <w:pPr>
        <w:pStyle w:val="17"/>
        <w:numPr>
          <w:ilvl w:val="0"/>
          <w:numId w:val="10"/>
        </w:numPr>
        <w:adjustRightInd/>
        <w:snapToGrid/>
        <w:rPr>
          <w:rFonts w:hint="default" w:ascii="Times New Roman" w:hAnsi="Times New Roman" w:eastAsia="宋体" w:cs="Times New Roman"/>
          <w:b/>
          <w:bCs/>
          <w:color w:val="auto"/>
          <w:sz w:val="21"/>
          <w:szCs w:val="16"/>
          <w:u w:val="none" w:color="auto"/>
        </w:rPr>
      </w:pPr>
      <w:r>
        <w:rPr>
          <w:rFonts w:hint="default" w:ascii="Times New Roman" w:hAnsi="Times New Roman" w:eastAsia="宋体" w:cs="Times New Roman"/>
          <w:b/>
          <w:bCs/>
          <w:color w:val="auto"/>
          <w:sz w:val="21"/>
          <w:szCs w:val="16"/>
          <w:u w:val="none" w:color="auto"/>
        </w:rPr>
        <w:t>地表水环境敏感目标分级</w:t>
      </w:r>
    </w:p>
    <w:tbl>
      <w:tblPr>
        <w:tblStyle w:val="31"/>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713"/>
        <w:gridCol w:w="8161"/>
      </w:tblGrid>
      <w:tr w14:paraId="0F926B9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0" w:hRule="atLeast"/>
          <w:tblHeader/>
        </w:trPr>
        <w:tc>
          <w:tcPr>
            <w:tcW w:w="402" w:type="pct"/>
            <w:tcBorders>
              <w:tl2br w:val="nil"/>
              <w:tr2bl w:val="nil"/>
            </w:tcBorders>
            <w:noWrap w:val="0"/>
            <w:vAlign w:val="top"/>
          </w:tcPr>
          <w:p w14:paraId="2014F3DC">
            <w:pPr>
              <w:contextualSpacing/>
              <w:jc w:val="center"/>
              <w:rPr>
                <w:rFonts w:hint="default" w:ascii="Times New Roman" w:hAnsi="Times New Roman" w:eastAsia="宋体" w:cs="Times New Roman"/>
                <w:b/>
                <w:bCs/>
                <w:color w:val="auto"/>
                <w:u w:val="none" w:color="auto"/>
              </w:rPr>
            </w:pPr>
            <w:r>
              <w:rPr>
                <w:rFonts w:hint="default" w:ascii="Times New Roman" w:hAnsi="Times New Roman" w:eastAsia="宋体" w:cs="Times New Roman"/>
                <w:b/>
                <w:bCs/>
                <w:color w:val="auto"/>
                <w:u w:val="none" w:color="auto"/>
              </w:rPr>
              <w:t>分级</w:t>
            </w:r>
          </w:p>
        </w:tc>
        <w:tc>
          <w:tcPr>
            <w:tcW w:w="4598" w:type="pct"/>
            <w:tcBorders>
              <w:tl2br w:val="nil"/>
              <w:tr2bl w:val="nil"/>
            </w:tcBorders>
            <w:noWrap w:val="0"/>
            <w:vAlign w:val="top"/>
          </w:tcPr>
          <w:p w14:paraId="77C2B71E">
            <w:pPr>
              <w:contextualSpacing/>
              <w:jc w:val="center"/>
              <w:rPr>
                <w:rFonts w:hint="default" w:ascii="Times New Roman" w:hAnsi="Times New Roman" w:eastAsia="宋体" w:cs="Times New Roman"/>
                <w:b/>
                <w:bCs/>
                <w:color w:val="auto"/>
                <w:u w:val="none" w:color="auto"/>
              </w:rPr>
            </w:pPr>
            <w:r>
              <w:rPr>
                <w:rFonts w:hint="default" w:ascii="Times New Roman" w:hAnsi="Times New Roman" w:eastAsia="宋体" w:cs="Times New Roman"/>
                <w:b/>
                <w:bCs/>
                <w:color w:val="auto"/>
                <w:u w:val="none" w:color="auto"/>
              </w:rPr>
              <w:t>环境敏感目标</w:t>
            </w:r>
          </w:p>
        </w:tc>
      </w:tr>
      <w:tr w14:paraId="4931EDF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402" w:type="pct"/>
            <w:tcBorders>
              <w:tl2br w:val="nil"/>
              <w:tr2bl w:val="nil"/>
            </w:tcBorders>
            <w:noWrap w:val="0"/>
            <w:vAlign w:val="center"/>
          </w:tcPr>
          <w:p w14:paraId="5EFD32D8">
            <w:pPr>
              <w:contextualSpacing/>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S1</w:t>
            </w:r>
          </w:p>
        </w:tc>
        <w:tc>
          <w:tcPr>
            <w:tcW w:w="4598" w:type="pct"/>
            <w:tcBorders>
              <w:tl2br w:val="nil"/>
              <w:tr2bl w:val="nil"/>
            </w:tcBorders>
            <w:noWrap w:val="0"/>
            <w:vAlign w:val="top"/>
          </w:tcPr>
          <w:p w14:paraId="5F3F51FE">
            <w:pPr>
              <w:contextualSpacing/>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发生事故时，危险物质泄漏到内陆水体的排放点下游（顺水流向）10公里范围内、近岸海域一个潮周期水质点可能达到的最大水平距离的两倍范围内，有如下一类或多类环境风险受体的：集中式地表水饮用水源保护区（包括一级保护区、二级保护区及准保护区）；农村及分散式饮用水源保护区；重要湿地；珍稀濒危野生动植物天然集中分布区；重要水生生物的自然产卵场及索饵场、越冬场和洄游通道；世界文化和自然遗产地；红树林、珊瑚礁等滨海湿地生态系统；珍稀、濒危海洋生物的天然集中分布区；海洋特别保护区；海上自然保护区；盐场保护区；海水浴场；海洋自然历史遗迹；风景名胜区或其他特殊重要保护区域</w:t>
            </w:r>
          </w:p>
        </w:tc>
      </w:tr>
      <w:tr w14:paraId="3A2C38E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402" w:type="pct"/>
            <w:tcBorders>
              <w:tl2br w:val="nil"/>
              <w:tr2bl w:val="nil"/>
            </w:tcBorders>
            <w:noWrap w:val="0"/>
            <w:vAlign w:val="center"/>
          </w:tcPr>
          <w:p w14:paraId="76768533">
            <w:pPr>
              <w:contextualSpacing/>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S2</w:t>
            </w:r>
          </w:p>
        </w:tc>
        <w:tc>
          <w:tcPr>
            <w:tcW w:w="4598" w:type="pct"/>
            <w:tcBorders>
              <w:tl2br w:val="nil"/>
              <w:tr2bl w:val="nil"/>
            </w:tcBorders>
            <w:noWrap w:val="0"/>
            <w:vAlign w:val="top"/>
          </w:tcPr>
          <w:p w14:paraId="67F142B9">
            <w:pPr>
              <w:contextualSpacing/>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发生事故时，危险物质泄漏到内陆水体的排放点下游（顺水流向）10公里范围内、近岸海域一个潮周期水质点可能达到的最大水平距离的两倍范围内，有如下一类或多类环境风险受体的：水产养殖区；天然渔场；森林公园；地质公园；海滨风景游览区；具有重要经济价值的海洋生物生存区域</w:t>
            </w:r>
          </w:p>
        </w:tc>
      </w:tr>
      <w:tr w14:paraId="69867DF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402" w:type="pct"/>
            <w:tcBorders>
              <w:tl2br w:val="nil"/>
              <w:tr2bl w:val="nil"/>
            </w:tcBorders>
            <w:noWrap w:val="0"/>
            <w:vAlign w:val="center"/>
          </w:tcPr>
          <w:p w14:paraId="7EE76A83">
            <w:pPr>
              <w:contextualSpacing/>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S3</w:t>
            </w:r>
          </w:p>
        </w:tc>
        <w:tc>
          <w:tcPr>
            <w:tcW w:w="4598" w:type="pct"/>
            <w:tcBorders>
              <w:tl2br w:val="nil"/>
              <w:tr2bl w:val="nil"/>
            </w:tcBorders>
            <w:noWrap w:val="0"/>
            <w:vAlign w:val="top"/>
          </w:tcPr>
          <w:p w14:paraId="13B932A2">
            <w:pPr>
              <w:contextualSpacing/>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发生事故时，危险物质泄漏到内陆水体的排放点下游（顺水流向）10公里范围内、近岸海域一个潮周期水质点可能达到的最大水平距离的两倍范围内无上述类型1和类型2包括的敏感保护目标</w:t>
            </w:r>
          </w:p>
        </w:tc>
      </w:tr>
    </w:tbl>
    <w:p w14:paraId="43FEB5E6">
      <w:pPr>
        <w:spacing w:line="360" w:lineRule="auto"/>
        <w:ind w:firstLine="480" w:firstLineChars="200"/>
        <w:rPr>
          <w:rFonts w:hint="default" w:ascii="Times New Roman" w:hAnsi="Times New Roman" w:eastAsia="宋体" w:cs="Times New Roman"/>
          <w:color w:val="auto"/>
          <w:sz w:val="24"/>
          <w:szCs w:val="24"/>
          <w:highlight w:val="none"/>
          <w:u w:val="none" w:color="auto"/>
          <w:lang w:val="en-US" w:eastAsia="zh-CN"/>
        </w:rPr>
      </w:pPr>
      <w:r>
        <w:rPr>
          <w:rFonts w:hint="default" w:ascii="Times New Roman" w:hAnsi="Times New Roman" w:eastAsia="宋体" w:cs="Times New Roman"/>
          <w:color w:val="auto"/>
          <w:sz w:val="24"/>
          <w:szCs w:val="24"/>
          <w:highlight w:val="none"/>
          <w:u w:val="none" w:color="auto"/>
          <w:lang w:val="en-US" w:eastAsia="zh-CN"/>
        </w:rPr>
        <w:t>事故状态下泄漏液体可能通过雨水排口外溢至附近水体，经市政雨水管网排入象骨港，再经电排站汇入长江，其中象骨港、长江功能区划为Ⅲ类。其中长江与湖北相邻，经混合后可跨越中心线，因此地表水敏感特征为较敏感F2。</w:t>
      </w:r>
    </w:p>
    <w:p w14:paraId="3F9BFDC8">
      <w:pPr>
        <w:spacing w:line="360" w:lineRule="auto"/>
        <w:ind w:firstLine="480" w:firstLineChars="200"/>
        <w:rPr>
          <w:rFonts w:hint="default" w:ascii="Times New Roman" w:hAnsi="Times New Roman" w:eastAsia="宋体" w:cs="Times New Roman"/>
          <w:color w:val="auto"/>
          <w:sz w:val="24"/>
          <w:szCs w:val="24"/>
          <w:highlight w:val="none"/>
          <w:u w:val="none" w:color="auto"/>
          <w:lang w:val="en-US" w:eastAsia="zh-CN"/>
        </w:rPr>
      </w:pPr>
      <w:r>
        <w:rPr>
          <w:rFonts w:hint="default" w:ascii="Times New Roman" w:hAnsi="Times New Roman" w:eastAsia="宋体" w:cs="Times New Roman"/>
          <w:color w:val="auto"/>
          <w:sz w:val="24"/>
          <w:szCs w:val="24"/>
          <w:highlight w:val="none"/>
          <w:u w:val="none" w:color="auto"/>
          <w:lang w:val="en-US" w:eastAsia="zh-CN"/>
        </w:rPr>
        <w:t>雨水排放口到内陆水体的排放点下游（顺水流向）10公里范围内涉及集中式地表水饮用水源保护区（岳阳市云溪区道仁矶水厂长江取水口）、长江监利段四大家鱼国家级水产种质资源保护区（青鱼、草鱼、鲢、鳙“四大家鱼”及其他水生生物）、洞庭湖口铜鱼短颌鲚水产种质资源保护区，因此地表水环境敏感目标分级为S1。</w:t>
      </w:r>
    </w:p>
    <w:p w14:paraId="3ACDF475">
      <w:pPr>
        <w:spacing w:line="360" w:lineRule="auto"/>
        <w:ind w:firstLine="480" w:firstLineChars="200"/>
        <w:rPr>
          <w:rFonts w:hint="default" w:ascii="Times New Roman" w:hAnsi="Times New Roman" w:eastAsia="宋体" w:cs="Times New Roman"/>
          <w:bCs/>
          <w:color w:val="auto"/>
          <w:sz w:val="24"/>
          <w:szCs w:val="24"/>
          <w:u w:val="none" w:color="auto"/>
        </w:rPr>
      </w:pPr>
      <w:r>
        <w:rPr>
          <w:rFonts w:hint="default" w:ascii="Times New Roman" w:hAnsi="Times New Roman" w:eastAsia="宋体" w:cs="Times New Roman"/>
          <w:color w:val="auto"/>
          <w:sz w:val="24"/>
          <w:szCs w:val="24"/>
          <w:highlight w:val="none"/>
          <w:u w:val="none" w:color="auto"/>
          <w:lang w:val="en-US" w:eastAsia="zh-CN"/>
        </w:rPr>
        <w:t>根据上表判断，企业地表水环境敏感程度为E1（环境高度敏感区）。</w:t>
      </w:r>
    </w:p>
    <w:p w14:paraId="5F0F35CD">
      <w:pPr>
        <w:spacing w:line="360" w:lineRule="auto"/>
        <w:ind w:firstLine="482" w:firstLineChars="200"/>
        <w:outlineLvl w:val="2"/>
        <w:rPr>
          <w:rFonts w:hint="default" w:ascii="Times New Roman" w:hAnsi="Times New Roman" w:eastAsia="宋体" w:cs="Times New Roman"/>
          <w:b/>
          <w:bCs/>
          <w:color w:val="auto"/>
          <w:sz w:val="24"/>
          <w:u w:val="none" w:color="auto"/>
        </w:rPr>
      </w:pPr>
      <w:bookmarkStart w:id="181" w:name="_Toc1621"/>
      <w:r>
        <w:rPr>
          <w:rFonts w:hint="default" w:ascii="Times New Roman" w:hAnsi="Times New Roman" w:eastAsia="宋体" w:cs="Times New Roman"/>
          <w:b/>
          <w:bCs/>
          <w:color w:val="auto"/>
          <w:sz w:val="24"/>
          <w:u w:val="none" w:color="auto"/>
        </w:rPr>
        <w:t>2.3.3地下水环境</w:t>
      </w:r>
      <w:bookmarkEnd w:id="181"/>
    </w:p>
    <w:p w14:paraId="19C48597">
      <w:pPr>
        <w:spacing w:line="360" w:lineRule="auto"/>
        <w:ind w:firstLine="480" w:firstLineChars="200"/>
        <w:rPr>
          <w:rFonts w:hint="default" w:ascii="Times New Roman" w:hAnsi="Times New Roman" w:eastAsia="宋体" w:cs="Times New Roman"/>
          <w:bCs/>
          <w:color w:val="auto"/>
          <w:sz w:val="24"/>
          <w:szCs w:val="24"/>
          <w:u w:val="none" w:color="auto"/>
        </w:rPr>
      </w:pPr>
      <w:r>
        <w:rPr>
          <w:rFonts w:hint="default" w:ascii="Times New Roman" w:hAnsi="Times New Roman" w:eastAsia="宋体" w:cs="Times New Roman"/>
          <w:bCs/>
          <w:color w:val="auto"/>
          <w:sz w:val="24"/>
          <w:szCs w:val="24"/>
          <w:u w:val="none" w:color="auto"/>
        </w:rPr>
        <w:t>地下水环境敏感程度依据地下水功能敏感性与包气带防污性能确定，分级原则见下表。</w:t>
      </w:r>
    </w:p>
    <w:p w14:paraId="74F562D3">
      <w:pPr>
        <w:pStyle w:val="17"/>
        <w:numPr>
          <w:ilvl w:val="0"/>
          <w:numId w:val="10"/>
        </w:numPr>
        <w:adjustRightInd/>
        <w:snapToGrid/>
        <w:rPr>
          <w:rFonts w:hint="default" w:ascii="Times New Roman" w:hAnsi="Times New Roman" w:eastAsia="宋体" w:cs="Times New Roman"/>
          <w:b/>
          <w:bCs/>
          <w:color w:val="auto"/>
          <w:sz w:val="21"/>
          <w:szCs w:val="16"/>
          <w:u w:val="none" w:color="auto"/>
        </w:rPr>
      </w:pPr>
      <w:r>
        <w:rPr>
          <w:rFonts w:hint="default" w:ascii="Times New Roman" w:hAnsi="Times New Roman" w:eastAsia="宋体" w:cs="Times New Roman"/>
          <w:b/>
          <w:bCs/>
          <w:color w:val="auto"/>
          <w:sz w:val="21"/>
          <w:szCs w:val="16"/>
          <w:u w:val="none" w:color="auto"/>
        </w:rPr>
        <w:t>地下水环境敏感程度分级</w:t>
      </w:r>
    </w:p>
    <w:tbl>
      <w:tblPr>
        <w:tblStyle w:val="31"/>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2847"/>
        <w:gridCol w:w="1590"/>
        <w:gridCol w:w="2217"/>
        <w:gridCol w:w="2220"/>
      </w:tblGrid>
      <w:tr w14:paraId="4A7B8DB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1604" w:type="pct"/>
            <w:vMerge w:val="restart"/>
            <w:tcBorders>
              <w:tl2br w:val="nil"/>
              <w:tr2bl w:val="nil"/>
            </w:tcBorders>
            <w:noWrap w:val="0"/>
            <w:vAlign w:val="center"/>
          </w:tcPr>
          <w:p w14:paraId="56BA2F11">
            <w:pPr>
              <w:pStyle w:val="54"/>
              <w:adjustRightInd w:val="0"/>
              <w:snapToGrid w:val="0"/>
              <w:jc w:val="center"/>
              <w:rPr>
                <w:rFonts w:hint="default" w:ascii="Times New Roman" w:hAnsi="Times New Roman" w:eastAsia="宋体" w:cs="Times New Roman"/>
                <w:b/>
                <w:bCs/>
                <w:color w:val="auto"/>
                <w:u w:val="none" w:color="auto"/>
              </w:rPr>
            </w:pPr>
            <w:r>
              <w:rPr>
                <w:rFonts w:hint="default" w:ascii="Times New Roman" w:hAnsi="Times New Roman" w:eastAsia="宋体" w:cs="Times New Roman"/>
                <w:b/>
                <w:bCs/>
                <w:color w:val="auto"/>
                <w:u w:val="none" w:color="auto"/>
              </w:rPr>
              <w:t>包气带防污性能</w:t>
            </w:r>
          </w:p>
        </w:tc>
        <w:tc>
          <w:tcPr>
            <w:tcW w:w="3396" w:type="pct"/>
            <w:gridSpan w:val="3"/>
            <w:tcBorders>
              <w:tl2br w:val="nil"/>
              <w:tr2bl w:val="nil"/>
            </w:tcBorders>
            <w:noWrap w:val="0"/>
            <w:vAlign w:val="center"/>
          </w:tcPr>
          <w:p w14:paraId="5E138588">
            <w:pPr>
              <w:pStyle w:val="54"/>
              <w:adjustRightInd w:val="0"/>
              <w:snapToGrid w:val="0"/>
              <w:jc w:val="center"/>
              <w:rPr>
                <w:rFonts w:hint="default" w:ascii="Times New Roman" w:hAnsi="Times New Roman" w:eastAsia="宋体" w:cs="Times New Roman"/>
                <w:b/>
                <w:bCs/>
                <w:color w:val="auto"/>
                <w:u w:val="none" w:color="auto"/>
              </w:rPr>
            </w:pPr>
            <w:r>
              <w:rPr>
                <w:rFonts w:hint="default" w:ascii="Times New Roman" w:hAnsi="Times New Roman" w:eastAsia="宋体" w:cs="Times New Roman"/>
                <w:b/>
                <w:bCs/>
                <w:color w:val="auto"/>
                <w:u w:val="none" w:color="auto"/>
              </w:rPr>
              <w:t>地下水功能敏感性</w:t>
            </w:r>
          </w:p>
        </w:tc>
      </w:tr>
      <w:tr w14:paraId="0C79C92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1604" w:type="pct"/>
            <w:vMerge w:val="continue"/>
            <w:tcBorders>
              <w:tl2br w:val="nil"/>
              <w:tr2bl w:val="nil"/>
            </w:tcBorders>
            <w:noWrap w:val="0"/>
            <w:vAlign w:val="center"/>
          </w:tcPr>
          <w:p w14:paraId="4C6D173F">
            <w:pPr>
              <w:pStyle w:val="54"/>
              <w:adjustRightInd w:val="0"/>
              <w:snapToGrid w:val="0"/>
              <w:jc w:val="center"/>
              <w:rPr>
                <w:rFonts w:hint="default" w:ascii="Times New Roman" w:hAnsi="Times New Roman" w:eastAsia="宋体" w:cs="Times New Roman"/>
                <w:b/>
                <w:bCs/>
                <w:color w:val="auto"/>
                <w:u w:val="none" w:color="auto"/>
              </w:rPr>
            </w:pPr>
          </w:p>
        </w:tc>
        <w:tc>
          <w:tcPr>
            <w:tcW w:w="896" w:type="pct"/>
            <w:tcBorders>
              <w:tl2br w:val="nil"/>
              <w:tr2bl w:val="nil"/>
            </w:tcBorders>
            <w:noWrap w:val="0"/>
            <w:vAlign w:val="center"/>
          </w:tcPr>
          <w:p w14:paraId="41B4190B">
            <w:pPr>
              <w:pStyle w:val="54"/>
              <w:adjustRightInd w:val="0"/>
              <w:snapToGrid w:val="0"/>
              <w:jc w:val="center"/>
              <w:rPr>
                <w:rFonts w:hint="default" w:ascii="Times New Roman" w:hAnsi="Times New Roman" w:eastAsia="宋体" w:cs="Times New Roman"/>
                <w:b/>
                <w:bCs/>
                <w:color w:val="auto"/>
                <w:u w:val="none" w:color="auto"/>
              </w:rPr>
            </w:pPr>
            <w:r>
              <w:rPr>
                <w:rFonts w:hint="default" w:ascii="Times New Roman" w:hAnsi="Times New Roman" w:eastAsia="宋体" w:cs="Times New Roman"/>
                <w:b/>
                <w:bCs/>
                <w:color w:val="auto"/>
                <w:u w:val="none" w:color="auto"/>
              </w:rPr>
              <w:t>G1</w:t>
            </w:r>
          </w:p>
        </w:tc>
        <w:tc>
          <w:tcPr>
            <w:tcW w:w="1249" w:type="pct"/>
            <w:tcBorders>
              <w:tl2br w:val="nil"/>
              <w:tr2bl w:val="nil"/>
            </w:tcBorders>
            <w:noWrap w:val="0"/>
            <w:vAlign w:val="center"/>
          </w:tcPr>
          <w:p w14:paraId="09CEC9BC">
            <w:pPr>
              <w:pStyle w:val="54"/>
              <w:adjustRightInd w:val="0"/>
              <w:snapToGrid w:val="0"/>
              <w:jc w:val="center"/>
              <w:rPr>
                <w:rFonts w:hint="default" w:ascii="Times New Roman" w:hAnsi="Times New Roman" w:eastAsia="宋体" w:cs="Times New Roman"/>
                <w:b/>
                <w:bCs/>
                <w:color w:val="auto"/>
                <w:u w:val="none" w:color="auto"/>
              </w:rPr>
            </w:pPr>
            <w:r>
              <w:rPr>
                <w:rFonts w:hint="default" w:ascii="Times New Roman" w:hAnsi="Times New Roman" w:eastAsia="宋体" w:cs="Times New Roman"/>
                <w:b/>
                <w:bCs/>
                <w:color w:val="auto"/>
                <w:u w:val="none" w:color="auto"/>
              </w:rPr>
              <w:t>G2</w:t>
            </w:r>
          </w:p>
        </w:tc>
        <w:tc>
          <w:tcPr>
            <w:tcW w:w="1251" w:type="pct"/>
            <w:tcBorders>
              <w:tl2br w:val="nil"/>
              <w:tr2bl w:val="nil"/>
            </w:tcBorders>
            <w:noWrap w:val="0"/>
            <w:vAlign w:val="center"/>
          </w:tcPr>
          <w:p w14:paraId="2A359003">
            <w:pPr>
              <w:pStyle w:val="54"/>
              <w:adjustRightInd w:val="0"/>
              <w:snapToGrid w:val="0"/>
              <w:jc w:val="center"/>
              <w:rPr>
                <w:rFonts w:hint="default" w:ascii="Times New Roman" w:hAnsi="Times New Roman" w:eastAsia="宋体" w:cs="Times New Roman"/>
                <w:b/>
                <w:bCs/>
                <w:color w:val="auto"/>
                <w:u w:val="none" w:color="auto"/>
              </w:rPr>
            </w:pPr>
            <w:r>
              <w:rPr>
                <w:rFonts w:hint="default" w:ascii="Times New Roman" w:hAnsi="Times New Roman" w:eastAsia="宋体" w:cs="Times New Roman"/>
                <w:b/>
                <w:bCs/>
                <w:color w:val="auto"/>
                <w:u w:val="none" w:color="auto"/>
              </w:rPr>
              <w:t>G3</w:t>
            </w:r>
          </w:p>
        </w:tc>
      </w:tr>
      <w:tr w14:paraId="0797149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1604" w:type="pct"/>
            <w:tcBorders>
              <w:tl2br w:val="nil"/>
              <w:tr2bl w:val="nil"/>
            </w:tcBorders>
            <w:noWrap w:val="0"/>
            <w:vAlign w:val="center"/>
          </w:tcPr>
          <w:p w14:paraId="6E415661">
            <w:pPr>
              <w:pStyle w:val="54"/>
              <w:adjustRightInd w:val="0"/>
              <w:snapToGrid w:val="0"/>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D1</w:t>
            </w:r>
          </w:p>
        </w:tc>
        <w:tc>
          <w:tcPr>
            <w:tcW w:w="896" w:type="pct"/>
            <w:tcBorders>
              <w:tl2br w:val="nil"/>
              <w:tr2bl w:val="nil"/>
            </w:tcBorders>
            <w:noWrap w:val="0"/>
            <w:vAlign w:val="center"/>
          </w:tcPr>
          <w:p w14:paraId="07001504">
            <w:pPr>
              <w:pStyle w:val="54"/>
              <w:adjustRightInd w:val="0"/>
              <w:snapToGrid w:val="0"/>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E1</w:t>
            </w:r>
          </w:p>
        </w:tc>
        <w:tc>
          <w:tcPr>
            <w:tcW w:w="1249" w:type="pct"/>
            <w:tcBorders>
              <w:tl2br w:val="nil"/>
              <w:tr2bl w:val="nil"/>
            </w:tcBorders>
            <w:noWrap w:val="0"/>
            <w:vAlign w:val="center"/>
          </w:tcPr>
          <w:p w14:paraId="1934F047">
            <w:pPr>
              <w:pStyle w:val="54"/>
              <w:adjustRightInd w:val="0"/>
              <w:snapToGrid w:val="0"/>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E1</w:t>
            </w:r>
          </w:p>
        </w:tc>
        <w:tc>
          <w:tcPr>
            <w:tcW w:w="1251" w:type="pct"/>
            <w:tcBorders>
              <w:tl2br w:val="nil"/>
              <w:tr2bl w:val="nil"/>
            </w:tcBorders>
            <w:noWrap w:val="0"/>
            <w:vAlign w:val="center"/>
          </w:tcPr>
          <w:p w14:paraId="0716F9C2">
            <w:pPr>
              <w:pStyle w:val="54"/>
              <w:adjustRightInd w:val="0"/>
              <w:snapToGrid w:val="0"/>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E2</w:t>
            </w:r>
          </w:p>
        </w:tc>
      </w:tr>
      <w:tr w14:paraId="5081FF6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1604" w:type="pct"/>
            <w:tcBorders>
              <w:tl2br w:val="nil"/>
              <w:tr2bl w:val="nil"/>
            </w:tcBorders>
            <w:noWrap w:val="0"/>
            <w:vAlign w:val="center"/>
          </w:tcPr>
          <w:p w14:paraId="46A7F95A">
            <w:pPr>
              <w:pStyle w:val="54"/>
              <w:adjustRightInd w:val="0"/>
              <w:snapToGrid w:val="0"/>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D2</w:t>
            </w:r>
          </w:p>
        </w:tc>
        <w:tc>
          <w:tcPr>
            <w:tcW w:w="896" w:type="pct"/>
            <w:tcBorders>
              <w:tl2br w:val="nil"/>
              <w:tr2bl w:val="nil"/>
            </w:tcBorders>
            <w:noWrap w:val="0"/>
            <w:vAlign w:val="center"/>
          </w:tcPr>
          <w:p w14:paraId="78F931C3">
            <w:pPr>
              <w:pStyle w:val="54"/>
              <w:adjustRightInd w:val="0"/>
              <w:snapToGrid w:val="0"/>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E1</w:t>
            </w:r>
          </w:p>
        </w:tc>
        <w:tc>
          <w:tcPr>
            <w:tcW w:w="1249" w:type="pct"/>
            <w:tcBorders>
              <w:tl2br w:val="nil"/>
              <w:tr2bl w:val="nil"/>
            </w:tcBorders>
            <w:noWrap w:val="0"/>
            <w:vAlign w:val="center"/>
          </w:tcPr>
          <w:p w14:paraId="31562924">
            <w:pPr>
              <w:pStyle w:val="54"/>
              <w:adjustRightInd w:val="0"/>
              <w:snapToGrid w:val="0"/>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E2</w:t>
            </w:r>
          </w:p>
        </w:tc>
        <w:tc>
          <w:tcPr>
            <w:tcW w:w="1251" w:type="pct"/>
            <w:tcBorders>
              <w:tl2br w:val="nil"/>
              <w:tr2bl w:val="nil"/>
            </w:tcBorders>
            <w:noWrap w:val="0"/>
            <w:vAlign w:val="center"/>
          </w:tcPr>
          <w:p w14:paraId="32ED0A87">
            <w:pPr>
              <w:pStyle w:val="54"/>
              <w:adjustRightInd w:val="0"/>
              <w:snapToGrid w:val="0"/>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E3</w:t>
            </w:r>
          </w:p>
        </w:tc>
      </w:tr>
      <w:tr w14:paraId="1659B71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1604" w:type="pct"/>
            <w:tcBorders>
              <w:tl2br w:val="nil"/>
              <w:tr2bl w:val="nil"/>
            </w:tcBorders>
            <w:noWrap w:val="0"/>
            <w:vAlign w:val="center"/>
          </w:tcPr>
          <w:p w14:paraId="4E52E84B">
            <w:pPr>
              <w:pStyle w:val="54"/>
              <w:adjustRightInd w:val="0"/>
              <w:snapToGrid w:val="0"/>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D3</w:t>
            </w:r>
          </w:p>
        </w:tc>
        <w:tc>
          <w:tcPr>
            <w:tcW w:w="896" w:type="pct"/>
            <w:tcBorders>
              <w:tl2br w:val="nil"/>
              <w:tr2bl w:val="nil"/>
            </w:tcBorders>
            <w:noWrap w:val="0"/>
            <w:vAlign w:val="center"/>
          </w:tcPr>
          <w:p w14:paraId="489924EB">
            <w:pPr>
              <w:pStyle w:val="54"/>
              <w:adjustRightInd w:val="0"/>
              <w:snapToGrid w:val="0"/>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E2</w:t>
            </w:r>
          </w:p>
        </w:tc>
        <w:tc>
          <w:tcPr>
            <w:tcW w:w="1249" w:type="pct"/>
            <w:tcBorders>
              <w:tl2br w:val="nil"/>
              <w:tr2bl w:val="nil"/>
            </w:tcBorders>
            <w:noWrap w:val="0"/>
            <w:vAlign w:val="center"/>
          </w:tcPr>
          <w:p w14:paraId="7CF4C815">
            <w:pPr>
              <w:pStyle w:val="54"/>
              <w:adjustRightInd w:val="0"/>
              <w:snapToGrid w:val="0"/>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E3</w:t>
            </w:r>
          </w:p>
        </w:tc>
        <w:tc>
          <w:tcPr>
            <w:tcW w:w="1251" w:type="pct"/>
            <w:tcBorders>
              <w:tl2br w:val="nil"/>
              <w:tr2bl w:val="nil"/>
            </w:tcBorders>
            <w:noWrap w:val="0"/>
            <w:vAlign w:val="center"/>
          </w:tcPr>
          <w:p w14:paraId="29B77B49">
            <w:pPr>
              <w:pStyle w:val="54"/>
              <w:adjustRightInd w:val="0"/>
              <w:snapToGrid w:val="0"/>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E3</w:t>
            </w:r>
          </w:p>
        </w:tc>
      </w:tr>
    </w:tbl>
    <w:p w14:paraId="6D4DC4CA">
      <w:pPr>
        <w:spacing w:line="360" w:lineRule="auto"/>
        <w:ind w:firstLine="480" w:firstLineChars="200"/>
        <w:rPr>
          <w:rFonts w:hint="default" w:ascii="Times New Roman" w:hAnsi="Times New Roman" w:eastAsia="宋体" w:cs="Times New Roman"/>
          <w:bCs/>
          <w:color w:val="auto"/>
          <w:sz w:val="24"/>
          <w:szCs w:val="24"/>
          <w:u w:val="none" w:color="auto"/>
        </w:rPr>
      </w:pPr>
      <w:r>
        <w:rPr>
          <w:rFonts w:hint="default" w:ascii="Times New Roman" w:hAnsi="Times New Roman" w:eastAsia="宋体" w:cs="Times New Roman"/>
          <w:bCs/>
          <w:color w:val="auto"/>
          <w:sz w:val="24"/>
          <w:szCs w:val="24"/>
          <w:u w:val="none" w:color="auto"/>
        </w:rPr>
        <w:t>地下水功能敏感性分区见下表。</w:t>
      </w:r>
    </w:p>
    <w:p w14:paraId="76DD0428">
      <w:pPr>
        <w:pStyle w:val="17"/>
        <w:numPr>
          <w:ilvl w:val="0"/>
          <w:numId w:val="10"/>
        </w:numPr>
        <w:adjustRightInd/>
        <w:snapToGrid/>
        <w:rPr>
          <w:rFonts w:hint="default" w:ascii="Times New Roman" w:hAnsi="Times New Roman" w:eastAsia="宋体" w:cs="Times New Roman"/>
          <w:b/>
          <w:bCs/>
          <w:color w:val="auto"/>
          <w:sz w:val="21"/>
          <w:szCs w:val="16"/>
          <w:u w:val="none" w:color="auto"/>
        </w:rPr>
      </w:pPr>
      <w:r>
        <w:rPr>
          <w:rFonts w:hint="default" w:ascii="Times New Roman" w:hAnsi="Times New Roman" w:eastAsia="宋体" w:cs="Times New Roman"/>
          <w:b/>
          <w:bCs/>
          <w:color w:val="auto"/>
          <w:sz w:val="21"/>
          <w:szCs w:val="16"/>
          <w:u w:val="none" w:color="auto"/>
        </w:rPr>
        <w:t>地下水功能敏感性分区</w:t>
      </w:r>
    </w:p>
    <w:tbl>
      <w:tblPr>
        <w:tblStyle w:val="31"/>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1216"/>
        <w:gridCol w:w="7658"/>
      </w:tblGrid>
      <w:tr w14:paraId="398E64C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blHeader/>
        </w:trPr>
        <w:tc>
          <w:tcPr>
            <w:tcW w:w="685" w:type="pct"/>
            <w:tcBorders>
              <w:tl2br w:val="nil"/>
              <w:tr2bl w:val="nil"/>
            </w:tcBorders>
            <w:noWrap w:val="0"/>
            <w:vAlign w:val="center"/>
          </w:tcPr>
          <w:p w14:paraId="165AFF81">
            <w:pPr>
              <w:autoSpaceDE w:val="0"/>
              <w:autoSpaceDN w:val="0"/>
              <w:adjustRightInd w:val="0"/>
              <w:snapToGrid w:val="0"/>
              <w:jc w:val="center"/>
              <w:rPr>
                <w:rFonts w:hint="default" w:ascii="Times New Roman" w:hAnsi="Times New Roman" w:eastAsia="宋体" w:cs="Times New Roman"/>
                <w:b/>
                <w:bCs/>
                <w:snapToGrid w:val="0"/>
                <w:color w:val="auto"/>
                <w:u w:val="none" w:color="auto"/>
              </w:rPr>
            </w:pPr>
            <w:r>
              <w:rPr>
                <w:rFonts w:hint="default" w:ascii="Times New Roman" w:hAnsi="Times New Roman" w:eastAsia="宋体" w:cs="Times New Roman"/>
                <w:b/>
                <w:bCs/>
                <w:snapToGrid w:val="0"/>
                <w:color w:val="auto"/>
                <w:u w:val="none" w:color="auto"/>
              </w:rPr>
              <w:t>敏感性</w:t>
            </w:r>
          </w:p>
        </w:tc>
        <w:tc>
          <w:tcPr>
            <w:tcW w:w="4315" w:type="pct"/>
            <w:tcBorders>
              <w:tl2br w:val="nil"/>
              <w:tr2bl w:val="nil"/>
            </w:tcBorders>
            <w:noWrap w:val="0"/>
            <w:vAlign w:val="center"/>
          </w:tcPr>
          <w:p w14:paraId="09CE069D">
            <w:pPr>
              <w:autoSpaceDE w:val="0"/>
              <w:autoSpaceDN w:val="0"/>
              <w:adjustRightInd w:val="0"/>
              <w:snapToGrid w:val="0"/>
              <w:jc w:val="center"/>
              <w:rPr>
                <w:rFonts w:hint="default" w:ascii="Times New Roman" w:hAnsi="Times New Roman" w:eastAsia="宋体" w:cs="Times New Roman"/>
                <w:b/>
                <w:bCs/>
                <w:snapToGrid w:val="0"/>
                <w:color w:val="auto"/>
                <w:u w:val="none" w:color="auto"/>
              </w:rPr>
            </w:pPr>
            <w:r>
              <w:rPr>
                <w:rFonts w:hint="default" w:ascii="Times New Roman" w:hAnsi="Times New Roman" w:eastAsia="宋体" w:cs="Times New Roman"/>
                <w:b/>
                <w:bCs/>
                <w:snapToGrid w:val="0"/>
                <w:color w:val="auto"/>
                <w:u w:val="none" w:color="auto"/>
              </w:rPr>
              <w:t>地表水环境敏感特征</w:t>
            </w:r>
          </w:p>
        </w:tc>
      </w:tr>
      <w:tr w14:paraId="5DCC48C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685" w:type="pct"/>
            <w:tcBorders>
              <w:tl2br w:val="nil"/>
              <w:tr2bl w:val="nil"/>
            </w:tcBorders>
            <w:noWrap w:val="0"/>
            <w:vAlign w:val="center"/>
          </w:tcPr>
          <w:p w14:paraId="5B66E4DF">
            <w:pPr>
              <w:autoSpaceDE w:val="0"/>
              <w:autoSpaceDN w:val="0"/>
              <w:adjustRightInd w:val="0"/>
              <w:snapToGrid w:val="0"/>
              <w:jc w:val="center"/>
              <w:rPr>
                <w:rFonts w:hint="default" w:ascii="Times New Roman" w:hAnsi="Times New Roman" w:eastAsia="宋体" w:cs="Times New Roman"/>
                <w:snapToGrid w:val="0"/>
                <w:color w:val="auto"/>
                <w:u w:val="none" w:color="auto"/>
              </w:rPr>
            </w:pPr>
            <w:r>
              <w:rPr>
                <w:rFonts w:hint="default" w:ascii="Times New Roman" w:hAnsi="Times New Roman" w:eastAsia="宋体" w:cs="Times New Roman"/>
                <w:snapToGrid w:val="0"/>
                <w:color w:val="auto"/>
                <w:u w:val="none" w:color="auto"/>
              </w:rPr>
              <w:t>敏感G1</w:t>
            </w:r>
          </w:p>
        </w:tc>
        <w:tc>
          <w:tcPr>
            <w:tcW w:w="4315" w:type="pct"/>
            <w:tcBorders>
              <w:tl2br w:val="nil"/>
              <w:tr2bl w:val="nil"/>
            </w:tcBorders>
            <w:noWrap w:val="0"/>
            <w:vAlign w:val="center"/>
          </w:tcPr>
          <w:p w14:paraId="12D8A88A">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集中式饮用水水源（包括已建成的在用、备用、应急水源地，在建和规划的饮用水水源）准保护区；除集中式饮用水水源以外的国家或地方政府设定的与地下水环境相关的其它保护区，如热水、矿泉水、温泉等特殊地下水资源保护区</w:t>
            </w:r>
          </w:p>
        </w:tc>
      </w:tr>
      <w:tr w14:paraId="3CFA565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685" w:type="pct"/>
            <w:tcBorders>
              <w:tl2br w:val="nil"/>
              <w:tr2bl w:val="nil"/>
            </w:tcBorders>
            <w:noWrap w:val="0"/>
            <w:vAlign w:val="center"/>
          </w:tcPr>
          <w:p w14:paraId="470F3A28">
            <w:pPr>
              <w:autoSpaceDE w:val="0"/>
              <w:autoSpaceDN w:val="0"/>
              <w:adjustRightInd w:val="0"/>
              <w:snapToGrid w:val="0"/>
              <w:jc w:val="center"/>
              <w:rPr>
                <w:rFonts w:hint="default" w:ascii="Times New Roman" w:hAnsi="Times New Roman" w:eastAsia="宋体" w:cs="Times New Roman"/>
                <w:snapToGrid w:val="0"/>
                <w:color w:val="auto"/>
                <w:u w:val="none" w:color="auto"/>
              </w:rPr>
            </w:pPr>
            <w:r>
              <w:rPr>
                <w:rFonts w:hint="default" w:ascii="Times New Roman" w:hAnsi="Times New Roman" w:eastAsia="宋体" w:cs="Times New Roman"/>
                <w:snapToGrid w:val="0"/>
                <w:color w:val="auto"/>
                <w:u w:val="none" w:color="auto"/>
              </w:rPr>
              <w:t>较敏感G2</w:t>
            </w:r>
          </w:p>
        </w:tc>
        <w:tc>
          <w:tcPr>
            <w:tcW w:w="4315" w:type="pct"/>
            <w:tcBorders>
              <w:tl2br w:val="nil"/>
              <w:tr2bl w:val="nil"/>
            </w:tcBorders>
            <w:noWrap w:val="0"/>
            <w:vAlign w:val="center"/>
          </w:tcPr>
          <w:p w14:paraId="2045244E">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集中式饮用水水源（包括已建成的在用、备用、应急水源地，在建和规划的水源地）准保护区以外的补给径流区；未划定准保护区的集中式饮用水水源，其保护区以外的补给径流区；分散式饮用水水源地；特殊地下水资源（如矿泉水、温泉等）保护区以外的分布区等其它未列入上述敏感分级的环境敏感区*</w:t>
            </w:r>
          </w:p>
        </w:tc>
      </w:tr>
      <w:tr w14:paraId="774B8A4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685" w:type="pct"/>
            <w:tcBorders>
              <w:tl2br w:val="nil"/>
              <w:tr2bl w:val="nil"/>
            </w:tcBorders>
            <w:noWrap w:val="0"/>
            <w:vAlign w:val="center"/>
          </w:tcPr>
          <w:p w14:paraId="3CA335E3">
            <w:pPr>
              <w:autoSpaceDE w:val="0"/>
              <w:autoSpaceDN w:val="0"/>
              <w:adjustRightInd w:val="0"/>
              <w:snapToGrid w:val="0"/>
              <w:jc w:val="center"/>
              <w:rPr>
                <w:rFonts w:hint="default" w:ascii="Times New Roman" w:hAnsi="Times New Roman" w:eastAsia="宋体" w:cs="Times New Roman"/>
                <w:snapToGrid w:val="0"/>
                <w:color w:val="auto"/>
                <w:u w:val="none" w:color="auto"/>
              </w:rPr>
            </w:pPr>
            <w:r>
              <w:rPr>
                <w:rFonts w:hint="default" w:ascii="Times New Roman" w:hAnsi="Times New Roman" w:eastAsia="宋体" w:cs="Times New Roman"/>
                <w:snapToGrid w:val="0"/>
                <w:color w:val="auto"/>
                <w:u w:val="none" w:color="auto"/>
              </w:rPr>
              <w:t>低敏感G3</w:t>
            </w:r>
          </w:p>
        </w:tc>
        <w:tc>
          <w:tcPr>
            <w:tcW w:w="4315" w:type="pct"/>
            <w:tcBorders>
              <w:tl2br w:val="nil"/>
              <w:tr2bl w:val="nil"/>
            </w:tcBorders>
            <w:noWrap w:val="0"/>
            <w:vAlign w:val="center"/>
          </w:tcPr>
          <w:p w14:paraId="06985482">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上述地区之外的其它地区</w:t>
            </w:r>
          </w:p>
        </w:tc>
      </w:tr>
      <w:tr w14:paraId="53DD209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5000" w:type="pct"/>
            <w:gridSpan w:val="2"/>
            <w:tcBorders>
              <w:tl2br w:val="nil"/>
              <w:tr2bl w:val="nil"/>
            </w:tcBorders>
            <w:noWrap w:val="0"/>
            <w:vAlign w:val="center"/>
          </w:tcPr>
          <w:p w14:paraId="20701ECC">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“环境敏感区”是指《建设项目环境影响评价分类管理名录》中所界定的涉及地下水的环境敏感区</w:t>
            </w:r>
          </w:p>
        </w:tc>
      </w:tr>
    </w:tbl>
    <w:p w14:paraId="596EF962">
      <w:pPr>
        <w:spacing w:line="360" w:lineRule="auto"/>
        <w:ind w:firstLine="480" w:firstLineChars="200"/>
        <w:rPr>
          <w:rFonts w:hint="default" w:ascii="Times New Roman" w:hAnsi="Times New Roman" w:eastAsia="宋体" w:cs="Times New Roman"/>
          <w:bCs/>
          <w:color w:val="auto"/>
          <w:sz w:val="24"/>
          <w:szCs w:val="24"/>
          <w:u w:val="none" w:color="auto"/>
        </w:rPr>
      </w:pPr>
      <w:r>
        <w:rPr>
          <w:rFonts w:hint="default" w:ascii="Times New Roman" w:hAnsi="Times New Roman" w:eastAsia="宋体" w:cs="Times New Roman"/>
          <w:bCs/>
          <w:color w:val="auto"/>
          <w:sz w:val="24"/>
          <w:szCs w:val="24"/>
          <w:u w:val="none" w:color="auto"/>
        </w:rPr>
        <w:t>包气带防污性能分级见下表。</w:t>
      </w:r>
    </w:p>
    <w:p w14:paraId="76580AE7">
      <w:pPr>
        <w:pStyle w:val="17"/>
        <w:numPr>
          <w:ilvl w:val="0"/>
          <w:numId w:val="10"/>
        </w:numPr>
        <w:adjustRightInd/>
        <w:snapToGrid/>
        <w:rPr>
          <w:rFonts w:hint="default" w:ascii="Times New Roman" w:hAnsi="Times New Roman" w:eastAsia="宋体" w:cs="Times New Roman"/>
          <w:b/>
          <w:bCs/>
          <w:color w:val="auto"/>
          <w:sz w:val="21"/>
          <w:szCs w:val="16"/>
          <w:u w:val="none" w:color="auto"/>
        </w:rPr>
      </w:pPr>
      <w:r>
        <w:rPr>
          <w:rFonts w:hint="default" w:ascii="Times New Roman" w:hAnsi="Times New Roman" w:eastAsia="宋体" w:cs="Times New Roman"/>
          <w:b/>
          <w:bCs/>
          <w:color w:val="auto"/>
          <w:sz w:val="21"/>
          <w:szCs w:val="16"/>
          <w:u w:val="none" w:color="auto"/>
        </w:rPr>
        <w:t>包气带防污性能分级</w:t>
      </w:r>
    </w:p>
    <w:tbl>
      <w:tblPr>
        <w:tblStyle w:val="31"/>
        <w:tblW w:w="4999"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712"/>
        <w:gridCol w:w="8160"/>
      </w:tblGrid>
      <w:tr w14:paraId="2E384F0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0" w:hRule="atLeast"/>
          <w:tblHeader/>
        </w:trPr>
        <w:tc>
          <w:tcPr>
            <w:tcW w:w="401" w:type="pct"/>
            <w:tcBorders>
              <w:tl2br w:val="nil"/>
              <w:tr2bl w:val="nil"/>
            </w:tcBorders>
            <w:noWrap w:val="0"/>
            <w:vAlign w:val="top"/>
          </w:tcPr>
          <w:p w14:paraId="560535C5">
            <w:pPr>
              <w:contextualSpacing/>
              <w:jc w:val="center"/>
              <w:rPr>
                <w:rFonts w:hint="default" w:ascii="Times New Roman" w:hAnsi="Times New Roman" w:eastAsia="宋体" w:cs="Times New Roman"/>
                <w:b/>
                <w:bCs/>
                <w:color w:val="auto"/>
                <w:u w:val="none" w:color="auto"/>
              </w:rPr>
            </w:pPr>
            <w:r>
              <w:rPr>
                <w:rFonts w:hint="default" w:ascii="Times New Roman" w:hAnsi="Times New Roman" w:eastAsia="宋体" w:cs="Times New Roman"/>
                <w:b/>
                <w:bCs/>
                <w:color w:val="auto"/>
                <w:u w:val="none" w:color="auto"/>
              </w:rPr>
              <w:t>分级</w:t>
            </w:r>
          </w:p>
        </w:tc>
        <w:tc>
          <w:tcPr>
            <w:tcW w:w="4598" w:type="pct"/>
            <w:tcBorders>
              <w:tl2br w:val="nil"/>
              <w:tr2bl w:val="nil"/>
            </w:tcBorders>
            <w:noWrap w:val="0"/>
            <w:vAlign w:val="top"/>
          </w:tcPr>
          <w:p w14:paraId="65E83EE1">
            <w:pPr>
              <w:contextualSpacing/>
              <w:jc w:val="center"/>
              <w:rPr>
                <w:rFonts w:hint="default" w:ascii="Times New Roman" w:hAnsi="Times New Roman" w:eastAsia="宋体" w:cs="Times New Roman"/>
                <w:b/>
                <w:bCs/>
                <w:color w:val="auto"/>
                <w:u w:val="none" w:color="auto"/>
              </w:rPr>
            </w:pPr>
            <w:r>
              <w:rPr>
                <w:rFonts w:hint="default" w:ascii="Times New Roman" w:hAnsi="Times New Roman" w:eastAsia="宋体" w:cs="Times New Roman"/>
                <w:b/>
                <w:bCs/>
                <w:color w:val="auto"/>
                <w:u w:val="none" w:color="auto"/>
              </w:rPr>
              <w:t>环境风险受体情况</w:t>
            </w:r>
          </w:p>
        </w:tc>
      </w:tr>
      <w:tr w14:paraId="139EF0A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401" w:type="pct"/>
            <w:tcBorders>
              <w:tl2br w:val="nil"/>
              <w:tr2bl w:val="nil"/>
            </w:tcBorders>
            <w:noWrap w:val="0"/>
            <w:vAlign w:val="center"/>
          </w:tcPr>
          <w:p w14:paraId="233A95D9">
            <w:pPr>
              <w:contextualSpacing/>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D3</w:t>
            </w:r>
          </w:p>
        </w:tc>
        <w:tc>
          <w:tcPr>
            <w:tcW w:w="4598" w:type="pct"/>
            <w:tcBorders>
              <w:tl2br w:val="nil"/>
              <w:tr2bl w:val="nil"/>
            </w:tcBorders>
            <w:noWrap w:val="0"/>
            <w:vAlign w:val="top"/>
          </w:tcPr>
          <w:p w14:paraId="5A65D6F7">
            <w:pPr>
              <w:contextualSpacing/>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M</w:t>
            </w:r>
            <w:r>
              <w:rPr>
                <w:rFonts w:hint="default" w:ascii="Times New Roman" w:hAnsi="Times New Roman" w:eastAsia="宋体" w:cs="Times New Roman"/>
                <w:color w:val="auto"/>
                <w:u w:val="none" w:color="auto"/>
                <w:vertAlign w:val="subscript"/>
              </w:rPr>
              <w:t>b</w:t>
            </w:r>
            <w:r>
              <w:rPr>
                <w:rFonts w:hint="default" w:ascii="Times New Roman" w:hAnsi="Times New Roman" w:eastAsia="宋体" w:cs="Times New Roman"/>
                <w:color w:val="auto"/>
                <w:u w:val="none" w:color="auto"/>
              </w:rPr>
              <w:t>≥1.0m， K≤1.0×10</w:t>
            </w:r>
            <w:r>
              <w:rPr>
                <w:rFonts w:hint="default" w:ascii="Times New Roman" w:hAnsi="Times New Roman" w:eastAsia="宋体" w:cs="Times New Roman"/>
                <w:color w:val="auto"/>
                <w:u w:val="none" w:color="auto"/>
                <w:vertAlign w:val="superscript"/>
              </w:rPr>
              <w:t>-6</w:t>
            </w:r>
            <w:r>
              <w:rPr>
                <w:rFonts w:hint="default" w:ascii="Times New Roman" w:hAnsi="Times New Roman" w:eastAsia="宋体" w:cs="Times New Roman"/>
                <w:color w:val="auto"/>
                <w:u w:val="none" w:color="auto"/>
              </w:rPr>
              <w:t>cm/s，且分布连续，稳定</w:t>
            </w:r>
          </w:p>
        </w:tc>
      </w:tr>
      <w:tr w14:paraId="4CC222E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401" w:type="pct"/>
            <w:tcBorders>
              <w:tl2br w:val="nil"/>
              <w:tr2bl w:val="nil"/>
            </w:tcBorders>
            <w:noWrap w:val="0"/>
            <w:vAlign w:val="center"/>
          </w:tcPr>
          <w:p w14:paraId="5BA57442">
            <w:pPr>
              <w:contextualSpacing/>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D2</w:t>
            </w:r>
          </w:p>
        </w:tc>
        <w:tc>
          <w:tcPr>
            <w:tcW w:w="4598" w:type="pct"/>
            <w:tcBorders>
              <w:tl2br w:val="nil"/>
              <w:tr2bl w:val="nil"/>
            </w:tcBorders>
            <w:noWrap w:val="0"/>
            <w:vAlign w:val="top"/>
          </w:tcPr>
          <w:p w14:paraId="2DB1C449">
            <w:pPr>
              <w:contextualSpacing/>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0.5m≤M</w:t>
            </w:r>
            <w:r>
              <w:rPr>
                <w:rFonts w:hint="default" w:ascii="Times New Roman" w:hAnsi="Times New Roman" w:eastAsia="宋体" w:cs="Times New Roman"/>
                <w:color w:val="auto"/>
                <w:u w:val="none" w:color="auto"/>
                <w:vertAlign w:val="subscript"/>
              </w:rPr>
              <w:t>b</w:t>
            </w:r>
            <w:r>
              <w:rPr>
                <w:rFonts w:hint="default" w:ascii="Times New Roman" w:hAnsi="Times New Roman" w:eastAsia="宋体" w:cs="Times New Roman"/>
                <w:color w:val="auto"/>
                <w:u w:val="none" w:color="auto"/>
              </w:rPr>
              <w:t>＜1.0m， K≤1.0×10</w:t>
            </w:r>
            <w:r>
              <w:rPr>
                <w:rFonts w:hint="default" w:ascii="Times New Roman" w:hAnsi="Times New Roman" w:eastAsia="宋体" w:cs="Times New Roman"/>
                <w:color w:val="auto"/>
                <w:u w:val="none" w:color="auto"/>
                <w:vertAlign w:val="superscript"/>
              </w:rPr>
              <w:t>-6</w:t>
            </w:r>
            <w:r>
              <w:rPr>
                <w:rFonts w:hint="default" w:ascii="Times New Roman" w:hAnsi="Times New Roman" w:eastAsia="宋体" w:cs="Times New Roman"/>
                <w:color w:val="auto"/>
                <w:u w:val="none" w:color="auto"/>
              </w:rPr>
              <w:t>cm/s，且分布连续，稳定</w:t>
            </w:r>
          </w:p>
          <w:p w14:paraId="1532D157">
            <w:pPr>
              <w:contextualSpacing/>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M</w:t>
            </w:r>
            <w:r>
              <w:rPr>
                <w:rFonts w:hint="default" w:ascii="Times New Roman" w:hAnsi="Times New Roman" w:eastAsia="宋体" w:cs="Times New Roman"/>
                <w:color w:val="auto"/>
                <w:u w:val="none" w:color="auto"/>
                <w:vertAlign w:val="subscript"/>
              </w:rPr>
              <w:t>b</w:t>
            </w:r>
            <w:r>
              <w:rPr>
                <w:rFonts w:hint="default" w:ascii="Times New Roman" w:hAnsi="Times New Roman" w:eastAsia="宋体" w:cs="Times New Roman"/>
                <w:color w:val="auto"/>
                <w:u w:val="none" w:color="auto"/>
              </w:rPr>
              <w:t>≥1.0m， 1.0×10</w:t>
            </w:r>
            <w:r>
              <w:rPr>
                <w:rFonts w:hint="default" w:ascii="Times New Roman" w:hAnsi="Times New Roman" w:eastAsia="宋体" w:cs="Times New Roman"/>
                <w:color w:val="auto"/>
                <w:u w:val="none" w:color="auto"/>
                <w:vertAlign w:val="superscript"/>
              </w:rPr>
              <w:t>-6</w:t>
            </w:r>
            <w:r>
              <w:rPr>
                <w:rFonts w:hint="default" w:ascii="Times New Roman" w:hAnsi="Times New Roman" w:eastAsia="宋体" w:cs="Times New Roman"/>
                <w:color w:val="auto"/>
                <w:u w:val="none" w:color="auto"/>
              </w:rPr>
              <w:t>cm/s＜K≤1.0×10</w:t>
            </w:r>
            <w:r>
              <w:rPr>
                <w:rFonts w:hint="default" w:ascii="Times New Roman" w:hAnsi="Times New Roman" w:eastAsia="宋体" w:cs="Times New Roman"/>
                <w:color w:val="auto"/>
                <w:u w:val="none" w:color="auto"/>
                <w:vertAlign w:val="superscript"/>
              </w:rPr>
              <w:t>-4</w:t>
            </w:r>
            <w:r>
              <w:rPr>
                <w:rFonts w:hint="default" w:ascii="Times New Roman" w:hAnsi="Times New Roman" w:eastAsia="宋体" w:cs="Times New Roman"/>
                <w:color w:val="auto"/>
                <w:u w:val="none" w:color="auto"/>
              </w:rPr>
              <w:t>cm/s，且分布连续，稳定</w:t>
            </w:r>
          </w:p>
        </w:tc>
      </w:tr>
      <w:tr w14:paraId="647ECC7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401" w:type="pct"/>
            <w:tcBorders>
              <w:tl2br w:val="nil"/>
              <w:tr2bl w:val="nil"/>
            </w:tcBorders>
            <w:noWrap w:val="0"/>
            <w:vAlign w:val="center"/>
          </w:tcPr>
          <w:p w14:paraId="79D8EBC1">
            <w:pPr>
              <w:contextualSpacing/>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D1</w:t>
            </w:r>
          </w:p>
        </w:tc>
        <w:tc>
          <w:tcPr>
            <w:tcW w:w="4598" w:type="pct"/>
            <w:tcBorders>
              <w:tl2br w:val="nil"/>
              <w:tr2bl w:val="nil"/>
            </w:tcBorders>
            <w:noWrap w:val="0"/>
            <w:vAlign w:val="top"/>
          </w:tcPr>
          <w:p w14:paraId="22B5637C">
            <w:pPr>
              <w:contextualSpacing/>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岩土层不满足上述“D2”和“D3”条件</w:t>
            </w:r>
          </w:p>
        </w:tc>
      </w:tr>
      <w:tr w14:paraId="34EF6E4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5000" w:type="pct"/>
            <w:gridSpan w:val="2"/>
            <w:tcBorders>
              <w:tl2br w:val="nil"/>
              <w:tr2bl w:val="nil"/>
            </w:tcBorders>
            <w:noWrap w:val="0"/>
            <w:vAlign w:val="center"/>
          </w:tcPr>
          <w:p w14:paraId="557E4975">
            <w:pPr>
              <w:contextualSpacing/>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M</w:t>
            </w:r>
            <w:r>
              <w:rPr>
                <w:rFonts w:hint="default" w:ascii="Times New Roman" w:hAnsi="Times New Roman" w:eastAsia="宋体" w:cs="Times New Roman"/>
                <w:color w:val="auto"/>
                <w:u w:val="none" w:color="auto"/>
                <w:vertAlign w:val="subscript"/>
              </w:rPr>
              <w:t>b</w:t>
            </w:r>
            <w:r>
              <w:rPr>
                <w:rFonts w:hint="default" w:ascii="Times New Roman" w:hAnsi="Times New Roman" w:eastAsia="宋体" w:cs="Times New Roman"/>
                <w:color w:val="auto"/>
                <w:u w:val="none" w:color="auto"/>
              </w:rPr>
              <w:t>：岩土层单层厚度</w:t>
            </w:r>
          </w:p>
          <w:p w14:paraId="716D1128">
            <w:pPr>
              <w:contextualSpacing/>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K：渗透系数</w:t>
            </w:r>
          </w:p>
        </w:tc>
      </w:tr>
    </w:tbl>
    <w:p w14:paraId="0D8E590D">
      <w:pPr>
        <w:spacing w:line="360" w:lineRule="auto"/>
        <w:ind w:firstLine="480" w:firstLineChars="200"/>
        <w:contextualSpacing/>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highlight w:val="none"/>
          <w:u w:val="none" w:color="auto"/>
        </w:rPr>
        <w:t>根据</w:t>
      </w:r>
      <w:r>
        <w:rPr>
          <w:rFonts w:hint="default" w:ascii="Times New Roman" w:hAnsi="Times New Roman" w:eastAsia="宋体" w:cs="Times New Roman"/>
          <w:color w:val="auto"/>
          <w:sz w:val="24"/>
          <w:szCs w:val="24"/>
          <w:highlight w:val="none"/>
          <w:u w:val="none" w:color="auto"/>
          <w:lang w:val="en-US" w:eastAsia="zh-CN"/>
        </w:rPr>
        <w:t>项目区域</w:t>
      </w:r>
      <w:r>
        <w:rPr>
          <w:rFonts w:hint="default" w:ascii="Times New Roman" w:hAnsi="Times New Roman" w:eastAsia="宋体" w:cs="Times New Roman"/>
          <w:color w:val="auto"/>
          <w:sz w:val="24"/>
          <w:szCs w:val="24"/>
          <w:highlight w:val="none"/>
          <w:u w:val="none" w:color="auto"/>
        </w:rPr>
        <w:t>地勘资料</w:t>
      </w:r>
      <w:r>
        <w:rPr>
          <w:rFonts w:hint="default" w:ascii="Times New Roman" w:hAnsi="Times New Roman" w:eastAsia="宋体" w:cs="Times New Roman"/>
          <w:color w:val="auto"/>
          <w:sz w:val="24"/>
          <w:szCs w:val="24"/>
          <w:highlight w:val="none"/>
          <w:u w:val="none" w:color="auto"/>
          <w:lang w:eastAsia="zh-CN"/>
        </w:rPr>
        <w:t>，</w:t>
      </w:r>
      <w:r>
        <w:rPr>
          <w:rFonts w:hint="default" w:ascii="Times New Roman" w:hAnsi="Times New Roman" w:eastAsia="宋体" w:cs="Times New Roman"/>
          <w:color w:val="auto"/>
          <w:sz w:val="24"/>
          <w:szCs w:val="24"/>
          <w:highlight w:val="none"/>
          <w:u w:val="none" w:color="auto"/>
          <w:lang w:val="en-US" w:eastAsia="zh-CN"/>
        </w:rPr>
        <w:t>本项目评价范围内无区域包气带岩性主要为粉质黏土，项目区包气带岩土层单层厚度约为2m，渗透系数约为8*10</w:t>
      </w:r>
      <w:r>
        <w:rPr>
          <w:rFonts w:hint="default" w:ascii="Times New Roman" w:hAnsi="Times New Roman" w:eastAsia="宋体" w:cs="Times New Roman"/>
          <w:color w:val="auto"/>
          <w:sz w:val="24"/>
          <w:szCs w:val="24"/>
          <w:highlight w:val="none"/>
          <w:u w:val="none" w:color="auto"/>
          <w:vertAlign w:val="superscript"/>
          <w:lang w:val="en-US" w:eastAsia="zh-CN"/>
        </w:rPr>
        <w:t>-5</w:t>
      </w:r>
      <w:r>
        <w:rPr>
          <w:rFonts w:hint="default" w:ascii="Times New Roman" w:hAnsi="Times New Roman" w:eastAsia="宋体" w:cs="Times New Roman"/>
          <w:color w:val="auto"/>
          <w:sz w:val="24"/>
          <w:szCs w:val="24"/>
          <w:highlight w:val="none"/>
          <w:u w:val="none" w:color="auto"/>
          <w:lang w:val="en-US" w:eastAsia="zh-CN"/>
        </w:rPr>
        <w:t>cm/s，根据风险导则表D.7，项目区包气带防护性能分级为D2，项目区地下水不属于集中式饮用水源等敏感区和分散式饮用水源等较敏感区，地下水功能敏感等级为不敏感G3，因此，本项目地下水环境敏感</w:t>
      </w:r>
      <w:r>
        <w:rPr>
          <w:rFonts w:hint="eastAsia" w:cs="Times New Roman"/>
          <w:color w:val="auto"/>
          <w:sz w:val="24"/>
          <w:szCs w:val="24"/>
          <w:highlight w:val="none"/>
          <w:u w:val="none" w:color="auto"/>
          <w:lang w:val="en-US" w:eastAsia="zh-CN"/>
        </w:rPr>
        <w:t>程度</w:t>
      </w:r>
      <w:r>
        <w:rPr>
          <w:rFonts w:hint="default" w:ascii="Times New Roman" w:hAnsi="Times New Roman" w:eastAsia="宋体" w:cs="Times New Roman"/>
          <w:color w:val="auto"/>
          <w:sz w:val="24"/>
          <w:szCs w:val="24"/>
          <w:highlight w:val="none"/>
          <w:u w:val="none" w:color="auto"/>
          <w:lang w:val="en-US" w:eastAsia="zh-CN"/>
        </w:rPr>
        <w:t>为E3</w:t>
      </w:r>
      <w:r>
        <w:rPr>
          <w:rFonts w:hint="default" w:ascii="Times New Roman" w:hAnsi="Times New Roman" w:eastAsia="宋体" w:cs="Times New Roman"/>
          <w:color w:val="auto"/>
          <w:sz w:val="24"/>
          <w:szCs w:val="24"/>
          <w:u w:val="none" w:color="auto"/>
        </w:rPr>
        <w:t>。</w:t>
      </w:r>
    </w:p>
    <w:p w14:paraId="622098E6">
      <w:pPr>
        <w:pStyle w:val="4"/>
        <w:numPr>
          <w:ilvl w:val="1"/>
          <w:numId w:val="0"/>
        </w:numPr>
        <w:spacing w:before="120" w:after="120" w:line="360" w:lineRule="auto"/>
        <w:contextualSpacing/>
        <w:rPr>
          <w:rFonts w:hint="default" w:ascii="Times New Roman" w:hAnsi="Times New Roman" w:eastAsia="宋体" w:cs="Times New Roman"/>
          <w:b/>
          <w:bCs w:val="0"/>
          <w:color w:val="auto"/>
          <w:sz w:val="28"/>
          <w:u w:val="none" w:color="auto"/>
        </w:rPr>
      </w:pPr>
      <w:bookmarkStart w:id="182" w:name="_Toc13250"/>
      <w:bookmarkStart w:id="183" w:name="_Toc27645"/>
      <w:bookmarkStart w:id="184" w:name="_Toc24316"/>
      <w:bookmarkStart w:id="185" w:name="_Toc13882"/>
      <w:bookmarkStart w:id="186" w:name="_Toc28599"/>
      <w:r>
        <w:rPr>
          <w:rFonts w:hint="default" w:ascii="Times New Roman" w:hAnsi="Times New Roman" w:eastAsia="宋体" w:cs="Times New Roman"/>
          <w:b/>
          <w:bCs w:val="0"/>
          <w:color w:val="auto"/>
          <w:sz w:val="28"/>
          <w:u w:val="none" w:color="auto"/>
        </w:rPr>
        <w:t>2.4 环境风险潜势判断</w:t>
      </w:r>
      <w:bookmarkEnd w:id="182"/>
      <w:bookmarkEnd w:id="183"/>
      <w:bookmarkEnd w:id="184"/>
      <w:bookmarkEnd w:id="185"/>
      <w:bookmarkEnd w:id="186"/>
    </w:p>
    <w:p w14:paraId="1D956425">
      <w:pPr>
        <w:spacing w:line="360" w:lineRule="auto"/>
        <w:ind w:firstLine="480" w:firstLineChars="200"/>
        <w:contextualSpacing/>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根据建设项目涉及的物质和工艺系统的危险性及其所在地的环境敏感程度，结合事故情形下环境影响途径，对建设项目潜在环境危害程度进行概化分析，按照下表确定环境风险潜势。</w:t>
      </w:r>
    </w:p>
    <w:p w14:paraId="232AF469">
      <w:pPr>
        <w:pStyle w:val="17"/>
        <w:numPr>
          <w:ilvl w:val="0"/>
          <w:numId w:val="10"/>
        </w:numPr>
        <w:adjustRightInd/>
        <w:snapToGrid/>
        <w:rPr>
          <w:rFonts w:hint="default" w:ascii="Times New Roman" w:hAnsi="Times New Roman" w:eastAsia="宋体" w:cs="Times New Roman"/>
          <w:b/>
          <w:bCs/>
          <w:color w:val="auto"/>
          <w:sz w:val="21"/>
          <w:szCs w:val="16"/>
          <w:u w:val="none" w:color="auto"/>
        </w:rPr>
      </w:pPr>
      <w:r>
        <w:rPr>
          <w:rFonts w:hint="default" w:ascii="Times New Roman" w:hAnsi="Times New Roman" w:eastAsia="宋体" w:cs="Times New Roman"/>
          <w:b/>
          <w:bCs/>
          <w:color w:val="auto"/>
          <w:sz w:val="21"/>
          <w:szCs w:val="16"/>
          <w:u w:val="none" w:color="auto"/>
        </w:rPr>
        <w:t>建设项目环境风险潜势划分</w:t>
      </w:r>
    </w:p>
    <w:tbl>
      <w:tblPr>
        <w:tblStyle w:val="31"/>
        <w:tblW w:w="4999"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2202"/>
        <w:gridCol w:w="1703"/>
        <w:gridCol w:w="1648"/>
        <w:gridCol w:w="1664"/>
        <w:gridCol w:w="1655"/>
      </w:tblGrid>
      <w:tr w14:paraId="6CC8131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2" w:hRule="atLeast"/>
          <w:tblHeader/>
        </w:trPr>
        <w:tc>
          <w:tcPr>
            <w:tcW w:w="1241" w:type="pct"/>
            <w:vMerge w:val="restart"/>
            <w:tcBorders>
              <w:tl2br w:val="nil"/>
              <w:tr2bl w:val="nil"/>
            </w:tcBorders>
            <w:noWrap w:val="0"/>
            <w:vAlign w:val="center"/>
          </w:tcPr>
          <w:p w14:paraId="25E9A8E4">
            <w:pPr>
              <w:pStyle w:val="54"/>
              <w:jc w:val="center"/>
              <w:rPr>
                <w:rFonts w:hint="default" w:ascii="Times New Roman" w:hAnsi="Times New Roman" w:eastAsia="宋体" w:cs="Times New Roman"/>
                <w:b/>
                <w:bCs/>
                <w:color w:val="auto"/>
                <w:u w:val="none" w:color="auto"/>
              </w:rPr>
            </w:pPr>
            <w:r>
              <w:rPr>
                <w:rFonts w:hint="default" w:ascii="Times New Roman" w:hAnsi="Times New Roman" w:eastAsia="宋体" w:cs="Times New Roman"/>
                <w:b/>
                <w:bCs/>
                <w:color w:val="auto"/>
                <w:u w:val="none" w:color="auto"/>
              </w:rPr>
              <w:t>环境敏感程度（E）</w:t>
            </w:r>
          </w:p>
        </w:tc>
        <w:tc>
          <w:tcPr>
            <w:tcW w:w="3758" w:type="pct"/>
            <w:gridSpan w:val="4"/>
            <w:tcBorders>
              <w:tl2br w:val="nil"/>
              <w:tr2bl w:val="nil"/>
            </w:tcBorders>
            <w:noWrap w:val="0"/>
            <w:vAlign w:val="center"/>
          </w:tcPr>
          <w:p w14:paraId="1D65B02A">
            <w:pPr>
              <w:pStyle w:val="54"/>
              <w:jc w:val="center"/>
              <w:rPr>
                <w:rFonts w:hint="default" w:ascii="Times New Roman" w:hAnsi="Times New Roman" w:eastAsia="宋体" w:cs="Times New Roman"/>
                <w:b/>
                <w:bCs/>
                <w:color w:val="auto"/>
                <w:u w:val="none" w:color="auto"/>
              </w:rPr>
            </w:pPr>
            <w:r>
              <w:rPr>
                <w:rFonts w:hint="default" w:ascii="Times New Roman" w:hAnsi="Times New Roman" w:eastAsia="宋体" w:cs="Times New Roman"/>
                <w:b/>
                <w:bCs/>
                <w:color w:val="auto"/>
                <w:u w:val="none" w:color="auto"/>
              </w:rPr>
              <w:t>危险物质及工艺系统危险性（P）</w:t>
            </w:r>
          </w:p>
        </w:tc>
      </w:tr>
      <w:tr w14:paraId="4C685EB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53" w:hRule="atLeast"/>
          <w:tblHeader/>
        </w:trPr>
        <w:tc>
          <w:tcPr>
            <w:tcW w:w="1241" w:type="pct"/>
            <w:vMerge w:val="continue"/>
            <w:tcBorders>
              <w:tl2br w:val="nil"/>
              <w:tr2bl w:val="nil"/>
            </w:tcBorders>
            <w:noWrap w:val="0"/>
            <w:vAlign w:val="center"/>
          </w:tcPr>
          <w:p w14:paraId="6A0DC6A8">
            <w:pPr>
              <w:autoSpaceDE w:val="0"/>
              <w:autoSpaceDN w:val="0"/>
              <w:jc w:val="center"/>
              <w:rPr>
                <w:rFonts w:hint="default" w:ascii="Times New Roman" w:hAnsi="Times New Roman" w:eastAsia="宋体" w:cs="Times New Roman"/>
                <w:b/>
                <w:bCs/>
                <w:color w:val="auto"/>
                <w:u w:val="none" w:color="auto"/>
              </w:rPr>
            </w:pPr>
          </w:p>
        </w:tc>
        <w:tc>
          <w:tcPr>
            <w:tcW w:w="960" w:type="pct"/>
            <w:tcBorders>
              <w:tl2br w:val="nil"/>
              <w:tr2bl w:val="nil"/>
            </w:tcBorders>
            <w:noWrap w:val="0"/>
            <w:vAlign w:val="center"/>
          </w:tcPr>
          <w:p w14:paraId="7CF3B9B0">
            <w:pPr>
              <w:pStyle w:val="54"/>
              <w:jc w:val="center"/>
              <w:rPr>
                <w:rFonts w:hint="default" w:ascii="Times New Roman" w:hAnsi="Times New Roman" w:eastAsia="宋体" w:cs="Times New Roman"/>
                <w:b/>
                <w:bCs/>
                <w:color w:val="auto"/>
                <w:u w:val="none" w:color="auto"/>
              </w:rPr>
            </w:pPr>
            <w:r>
              <w:rPr>
                <w:rFonts w:hint="default" w:ascii="Times New Roman" w:hAnsi="Times New Roman" w:eastAsia="宋体" w:cs="Times New Roman"/>
                <w:b/>
                <w:bCs/>
                <w:color w:val="auto"/>
                <w:u w:val="none" w:color="auto"/>
              </w:rPr>
              <w:t>极高危害（P1）</w:t>
            </w:r>
          </w:p>
        </w:tc>
        <w:tc>
          <w:tcPr>
            <w:tcW w:w="929" w:type="pct"/>
            <w:tcBorders>
              <w:tl2br w:val="nil"/>
              <w:tr2bl w:val="nil"/>
            </w:tcBorders>
            <w:noWrap w:val="0"/>
            <w:vAlign w:val="center"/>
          </w:tcPr>
          <w:p w14:paraId="266070F3">
            <w:pPr>
              <w:pStyle w:val="54"/>
              <w:jc w:val="center"/>
              <w:rPr>
                <w:rFonts w:hint="default" w:ascii="Times New Roman" w:hAnsi="Times New Roman" w:eastAsia="宋体" w:cs="Times New Roman"/>
                <w:b/>
                <w:bCs/>
                <w:color w:val="auto"/>
                <w:u w:val="none" w:color="auto"/>
              </w:rPr>
            </w:pPr>
            <w:r>
              <w:rPr>
                <w:rFonts w:hint="default" w:ascii="Times New Roman" w:hAnsi="Times New Roman" w:eastAsia="宋体" w:cs="Times New Roman"/>
                <w:b/>
                <w:bCs/>
                <w:color w:val="auto"/>
                <w:u w:val="none" w:color="auto"/>
              </w:rPr>
              <w:t>高度危害（P2）</w:t>
            </w:r>
          </w:p>
        </w:tc>
        <w:tc>
          <w:tcPr>
            <w:tcW w:w="938" w:type="pct"/>
            <w:tcBorders>
              <w:tl2br w:val="nil"/>
              <w:tr2bl w:val="nil"/>
            </w:tcBorders>
            <w:noWrap w:val="0"/>
            <w:vAlign w:val="center"/>
          </w:tcPr>
          <w:p w14:paraId="03E8867D">
            <w:pPr>
              <w:pStyle w:val="54"/>
              <w:jc w:val="center"/>
              <w:rPr>
                <w:rFonts w:hint="default" w:ascii="Times New Roman" w:hAnsi="Times New Roman" w:eastAsia="宋体" w:cs="Times New Roman"/>
                <w:b/>
                <w:bCs/>
                <w:color w:val="auto"/>
                <w:u w:val="none" w:color="auto"/>
              </w:rPr>
            </w:pPr>
            <w:r>
              <w:rPr>
                <w:rFonts w:hint="default" w:ascii="Times New Roman" w:hAnsi="Times New Roman" w:eastAsia="宋体" w:cs="Times New Roman"/>
                <w:b/>
                <w:bCs/>
                <w:color w:val="auto"/>
                <w:u w:val="none" w:color="auto"/>
              </w:rPr>
              <w:t>中度危害（P3）</w:t>
            </w:r>
          </w:p>
        </w:tc>
        <w:tc>
          <w:tcPr>
            <w:tcW w:w="929" w:type="pct"/>
            <w:tcBorders>
              <w:tl2br w:val="nil"/>
              <w:tr2bl w:val="nil"/>
            </w:tcBorders>
            <w:noWrap w:val="0"/>
            <w:vAlign w:val="center"/>
          </w:tcPr>
          <w:p w14:paraId="2E3538C8">
            <w:pPr>
              <w:pStyle w:val="54"/>
              <w:jc w:val="center"/>
              <w:rPr>
                <w:rFonts w:hint="default" w:ascii="Times New Roman" w:hAnsi="Times New Roman" w:eastAsia="宋体" w:cs="Times New Roman"/>
                <w:b/>
                <w:bCs/>
                <w:color w:val="auto"/>
                <w:u w:val="none" w:color="auto"/>
              </w:rPr>
            </w:pPr>
            <w:r>
              <w:rPr>
                <w:rFonts w:hint="default" w:ascii="Times New Roman" w:hAnsi="Times New Roman" w:eastAsia="宋体" w:cs="Times New Roman"/>
                <w:b/>
                <w:bCs/>
                <w:color w:val="auto"/>
                <w:u w:val="none" w:color="auto"/>
              </w:rPr>
              <w:t>轻度危害（P4）</w:t>
            </w:r>
          </w:p>
        </w:tc>
      </w:tr>
      <w:tr w14:paraId="0DFBE34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2" w:hRule="atLeast"/>
        </w:trPr>
        <w:tc>
          <w:tcPr>
            <w:tcW w:w="1241" w:type="pct"/>
            <w:tcBorders>
              <w:tl2br w:val="nil"/>
              <w:tr2bl w:val="nil"/>
            </w:tcBorders>
            <w:noWrap w:val="0"/>
            <w:vAlign w:val="center"/>
          </w:tcPr>
          <w:p w14:paraId="4E8A674B">
            <w:pPr>
              <w:pStyle w:val="54"/>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环境高度敏感区（E1）</w:t>
            </w:r>
          </w:p>
        </w:tc>
        <w:tc>
          <w:tcPr>
            <w:tcW w:w="960" w:type="pct"/>
            <w:tcBorders>
              <w:tl2br w:val="nil"/>
              <w:tr2bl w:val="nil"/>
            </w:tcBorders>
            <w:noWrap w:val="0"/>
            <w:vAlign w:val="center"/>
          </w:tcPr>
          <w:p w14:paraId="7858C550">
            <w:pPr>
              <w:pStyle w:val="54"/>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Ⅳ+</w:t>
            </w:r>
          </w:p>
        </w:tc>
        <w:tc>
          <w:tcPr>
            <w:tcW w:w="929" w:type="pct"/>
            <w:tcBorders>
              <w:tl2br w:val="nil"/>
              <w:tr2bl w:val="nil"/>
            </w:tcBorders>
            <w:noWrap w:val="0"/>
            <w:vAlign w:val="center"/>
          </w:tcPr>
          <w:p w14:paraId="71D1CA53">
            <w:pPr>
              <w:pStyle w:val="54"/>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Ⅳ</w:t>
            </w:r>
          </w:p>
        </w:tc>
        <w:tc>
          <w:tcPr>
            <w:tcW w:w="938" w:type="pct"/>
            <w:tcBorders>
              <w:tl2br w:val="nil"/>
              <w:tr2bl w:val="nil"/>
            </w:tcBorders>
            <w:noWrap w:val="0"/>
            <w:vAlign w:val="center"/>
          </w:tcPr>
          <w:p w14:paraId="0AFC7CBA">
            <w:pPr>
              <w:pStyle w:val="54"/>
              <w:jc w:val="center"/>
              <w:rPr>
                <w:rFonts w:hint="default" w:ascii="Times New Roman" w:hAnsi="Times New Roman" w:eastAsia="宋体" w:cs="Times New Roman"/>
                <w:b/>
                <w:color w:val="auto"/>
                <w:u w:val="none" w:color="auto"/>
              </w:rPr>
            </w:pPr>
            <w:r>
              <w:rPr>
                <w:rFonts w:hint="default" w:ascii="Times New Roman" w:hAnsi="Times New Roman" w:eastAsia="宋体" w:cs="Times New Roman"/>
                <w:bCs/>
                <w:color w:val="auto"/>
                <w:u w:val="none" w:color="auto"/>
              </w:rPr>
              <w:t>Ⅲ</w:t>
            </w:r>
          </w:p>
        </w:tc>
        <w:tc>
          <w:tcPr>
            <w:tcW w:w="929" w:type="pct"/>
            <w:tcBorders>
              <w:tl2br w:val="nil"/>
              <w:tr2bl w:val="nil"/>
            </w:tcBorders>
            <w:noWrap w:val="0"/>
            <w:vAlign w:val="center"/>
          </w:tcPr>
          <w:p w14:paraId="2E2EF7C2">
            <w:pPr>
              <w:pStyle w:val="54"/>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Ⅲ</w:t>
            </w:r>
          </w:p>
        </w:tc>
      </w:tr>
      <w:tr w14:paraId="35081EB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2" w:hRule="atLeast"/>
        </w:trPr>
        <w:tc>
          <w:tcPr>
            <w:tcW w:w="1241" w:type="pct"/>
            <w:tcBorders>
              <w:tl2br w:val="nil"/>
              <w:tr2bl w:val="nil"/>
            </w:tcBorders>
            <w:noWrap w:val="0"/>
            <w:vAlign w:val="center"/>
          </w:tcPr>
          <w:p w14:paraId="7ADB754C">
            <w:pPr>
              <w:pStyle w:val="54"/>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环境中度敏感区（E2）</w:t>
            </w:r>
          </w:p>
        </w:tc>
        <w:tc>
          <w:tcPr>
            <w:tcW w:w="960" w:type="pct"/>
            <w:tcBorders>
              <w:tl2br w:val="nil"/>
              <w:tr2bl w:val="nil"/>
            </w:tcBorders>
            <w:noWrap w:val="0"/>
            <w:vAlign w:val="center"/>
          </w:tcPr>
          <w:p w14:paraId="32AD79ED">
            <w:pPr>
              <w:pStyle w:val="54"/>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Ⅳ</w:t>
            </w:r>
          </w:p>
        </w:tc>
        <w:tc>
          <w:tcPr>
            <w:tcW w:w="929" w:type="pct"/>
            <w:tcBorders>
              <w:tl2br w:val="nil"/>
              <w:tr2bl w:val="nil"/>
            </w:tcBorders>
            <w:noWrap w:val="0"/>
            <w:vAlign w:val="center"/>
          </w:tcPr>
          <w:p w14:paraId="24F78074">
            <w:pPr>
              <w:pStyle w:val="54"/>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Ⅲ</w:t>
            </w:r>
          </w:p>
        </w:tc>
        <w:tc>
          <w:tcPr>
            <w:tcW w:w="938" w:type="pct"/>
            <w:tcBorders>
              <w:tl2br w:val="nil"/>
              <w:tr2bl w:val="nil"/>
            </w:tcBorders>
            <w:noWrap w:val="0"/>
            <w:vAlign w:val="center"/>
          </w:tcPr>
          <w:p w14:paraId="6CDD2503">
            <w:pPr>
              <w:pStyle w:val="54"/>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Ⅲ</w:t>
            </w:r>
          </w:p>
        </w:tc>
        <w:tc>
          <w:tcPr>
            <w:tcW w:w="929" w:type="pct"/>
            <w:tcBorders>
              <w:tl2br w:val="nil"/>
              <w:tr2bl w:val="nil"/>
            </w:tcBorders>
            <w:noWrap w:val="0"/>
            <w:vAlign w:val="center"/>
          </w:tcPr>
          <w:p w14:paraId="3440E357">
            <w:pPr>
              <w:pStyle w:val="54"/>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Ⅱ</w:t>
            </w:r>
          </w:p>
        </w:tc>
      </w:tr>
      <w:tr w14:paraId="35649F6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2" w:hRule="atLeast"/>
        </w:trPr>
        <w:tc>
          <w:tcPr>
            <w:tcW w:w="1241" w:type="pct"/>
            <w:tcBorders>
              <w:tl2br w:val="nil"/>
              <w:tr2bl w:val="nil"/>
            </w:tcBorders>
            <w:noWrap w:val="0"/>
            <w:vAlign w:val="center"/>
          </w:tcPr>
          <w:p w14:paraId="27996E75">
            <w:pPr>
              <w:pStyle w:val="54"/>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环境低度敏感区（E3）</w:t>
            </w:r>
          </w:p>
        </w:tc>
        <w:tc>
          <w:tcPr>
            <w:tcW w:w="960" w:type="pct"/>
            <w:tcBorders>
              <w:tl2br w:val="nil"/>
              <w:tr2bl w:val="nil"/>
            </w:tcBorders>
            <w:noWrap w:val="0"/>
            <w:vAlign w:val="center"/>
          </w:tcPr>
          <w:p w14:paraId="0038C2ED">
            <w:pPr>
              <w:pStyle w:val="54"/>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Ⅲ</w:t>
            </w:r>
          </w:p>
        </w:tc>
        <w:tc>
          <w:tcPr>
            <w:tcW w:w="929" w:type="pct"/>
            <w:tcBorders>
              <w:tl2br w:val="nil"/>
              <w:tr2bl w:val="nil"/>
            </w:tcBorders>
            <w:noWrap w:val="0"/>
            <w:vAlign w:val="center"/>
          </w:tcPr>
          <w:p w14:paraId="0EA02ECD">
            <w:pPr>
              <w:pStyle w:val="54"/>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Ⅲ</w:t>
            </w:r>
          </w:p>
        </w:tc>
        <w:tc>
          <w:tcPr>
            <w:tcW w:w="938" w:type="pct"/>
            <w:tcBorders>
              <w:tl2br w:val="nil"/>
              <w:tr2bl w:val="nil"/>
            </w:tcBorders>
            <w:noWrap w:val="0"/>
            <w:vAlign w:val="center"/>
          </w:tcPr>
          <w:p w14:paraId="1CAF306F">
            <w:pPr>
              <w:pStyle w:val="54"/>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Ⅱ</w:t>
            </w:r>
          </w:p>
        </w:tc>
        <w:tc>
          <w:tcPr>
            <w:tcW w:w="929" w:type="pct"/>
            <w:tcBorders>
              <w:tl2br w:val="nil"/>
              <w:tr2bl w:val="nil"/>
            </w:tcBorders>
            <w:noWrap w:val="0"/>
            <w:vAlign w:val="center"/>
          </w:tcPr>
          <w:p w14:paraId="08398D38">
            <w:pPr>
              <w:pStyle w:val="54"/>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Ⅰ</w:t>
            </w:r>
          </w:p>
        </w:tc>
      </w:tr>
      <w:tr w14:paraId="481E4E7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2" w:hRule="atLeast"/>
        </w:trPr>
        <w:tc>
          <w:tcPr>
            <w:tcW w:w="5000" w:type="pct"/>
            <w:gridSpan w:val="5"/>
            <w:tcBorders>
              <w:tl2br w:val="nil"/>
              <w:tr2bl w:val="nil"/>
            </w:tcBorders>
            <w:noWrap w:val="0"/>
            <w:vAlign w:val="center"/>
          </w:tcPr>
          <w:p w14:paraId="631E4654">
            <w:pPr>
              <w:pStyle w:val="54"/>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注：Ⅳ</w:t>
            </w:r>
            <w:r>
              <w:rPr>
                <w:rFonts w:hint="default" w:ascii="Times New Roman" w:hAnsi="Times New Roman" w:eastAsia="宋体" w:cs="Times New Roman"/>
                <w:color w:val="auto"/>
                <w:u w:val="none" w:color="auto"/>
                <w:vertAlign w:val="superscript"/>
              </w:rPr>
              <w:t>+</w:t>
            </w:r>
            <w:r>
              <w:rPr>
                <w:rFonts w:hint="default" w:ascii="Times New Roman" w:hAnsi="Times New Roman" w:eastAsia="宋体" w:cs="Times New Roman"/>
                <w:color w:val="auto"/>
                <w:u w:val="none" w:color="auto"/>
              </w:rPr>
              <w:t>为极高环境风险。</w:t>
            </w:r>
          </w:p>
        </w:tc>
      </w:tr>
    </w:tbl>
    <w:p w14:paraId="2315E9C5">
      <w:pPr>
        <w:spacing w:line="360" w:lineRule="auto"/>
        <w:ind w:firstLine="480" w:firstLineChars="200"/>
        <w:contextualSpacing/>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本项目</w:t>
      </w:r>
      <w:r>
        <w:rPr>
          <w:rFonts w:hint="default" w:ascii="Times New Roman" w:hAnsi="Times New Roman" w:eastAsia="宋体" w:cs="Times New Roman"/>
          <w:color w:val="auto"/>
          <w:sz w:val="24"/>
          <w:szCs w:val="24"/>
          <w:u w:val="none" w:color="auto"/>
          <w:lang w:eastAsia="zh-CN"/>
        </w:rPr>
        <w:t>中创空天厂区</w:t>
      </w:r>
      <w:r>
        <w:rPr>
          <w:rFonts w:hint="default" w:ascii="Times New Roman" w:hAnsi="Times New Roman" w:eastAsia="宋体" w:cs="Times New Roman"/>
          <w:color w:val="auto"/>
          <w:sz w:val="24"/>
          <w:szCs w:val="24"/>
          <w:u w:val="none" w:color="auto"/>
        </w:rPr>
        <w:t>各环境要素的环境敏感程度为：大气为E1，地表水为E1，地下水为E3；项目的危险物质及工艺系统危险性等级为P4，根据风险导则表2，本项目大气的风险潜势为Ⅲ级，地下水的风险潜势为Ⅲ级，地表水的风险潜势为Ⅰ级，因此</w:t>
      </w:r>
      <w:r>
        <w:rPr>
          <w:rFonts w:hint="default" w:ascii="Times New Roman" w:hAnsi="Times New Roman" w:eastAsia="宋体" w:cs="Times New Roman"/>
          <w:color w:val="auto"/>
          <w:sz w:val="24"/>
          <w:szCs w:val="24"/>
          <w:u w:val="none" w:color="auto"/>
          <w:lang w:eastAsia="zh-CN"/>
        </w:rPr>
        <w:t>中创空天厂区</w:t>
      </w:r>
      <w:r>
        <w:rPr>
          <w:rFonts w:hint="default" w:ascii="Times New Roman" w:hAnsi="Times New Roman" w:eastAsia="宋体" w:cs="Times New Roman"/>
          <w:color w:val="auto"/>
          <w:sz w:val="24"/>
          <w:szCs w:val="24"/>
          <w:u w:val="none" w:color="auto"/>
        </w:rPr>
        <w:t>综合环境风险潜势等级为Ⅲ级，环境风险评价工作等级为二级。</w:t>
      </w:r>
    </w:p>
    <w:p w14:paraId="6292DA35">
      <w:pPr>
        <w:pStyle w:val="4"/>
        <w:numPr>
          <w:ilvl w:val="1"/>
          <w:numId w:val="0"/>
        </w:numPr>
        <w:spacing w:before="120" w:after="120" w:line="360" w:lineRule="auto"/>
        <w:contextualSpacing/>
        <w:rPr>
          <w:rFonts w:hint="default" w:ascii="Times New Roman" w:hAnsi="Times New Roman" w:eastAsia="宋体" w:cs="Times New Roman"/>
          <w:b/>
          <w:bCs w:val="0"/>
          <w:color w:val="auto"/>
          <w:sz w:val="28"/>
          <w:u w:val="none" w:color="auto"/>
        </w:rPr>
      </w:pPr>
      <w:bookmarkStart w:id="187" w:name="_Toc31000"/>
      <w:bookmarkStart w:id="188" w:name="_Toc6943"/>
      <w:bookmarkStart w:id="189" w:name="_Toc8404"/>
      <w:bookmarkStart w:id="190" w:name="_Toc10218"/>
      <w:bookmarkStart w:id="191" w:name="_Toc3320"/>
      <w:bookmarkStart w:id="192" w:name="_Toc24298"/>
      <w:bookmarkStart w:id="193" w:name="_Toc32116"/>
      <w:bookmarkStart w:id="194" w:name="_Toc26824"/>
      <w:bookmarkStart w:id="195" w:name="_Toc30414"/>
      <w:r>
        <w:rPr>
          <w:rFonts w:hint="default" w:ascii="Times New Roman" w:hAnsi="Times New Roman" w:eastAsia="宋体" w:cs="Times New Roman"/>
          <w:b/>
          <w:bCs w:val="0"/>
          <w:color w:val="auto"/>
          <w:sz w:val="28"/>
          <w:u w:val="none" w:color="auto"/>
        </w:rPr>
        <w:t>2.5环境敏感目标概况</w:t>
      </w:r>
      <w:bookmarkEnd w:id="187"/>
      <w:bookmarkEnd w:id="188"/>
      <w:bookmarkEnd w:id="189"/>
      <w:bookmarkEnd w:id="190"/>
      <w:bookmarkEnd w:id="191"/>
      <w:bookmarkEnd w:id="192"/>
      <w:bookmarkEnd w:id="193"/>
      <w:bookmarkEnd w:id="194"/>
      <w:bookmarkEnd w:id="195"/>
    </w:p>
    <w:p w14:paraId="5E41865F">
      <w:pPr>
        <w:spacing w:line="360" w:lineRule="auto"/>
        <w:ind w:firstLine="482"/>
        <w:rPr>
          <w:rFonts w:hint="default" w:ascii="Times New Roman" w:hAnsi="Times New Roman" w:eastAsia="宋体" w:cs="Times New Roman"/>
          <w:color w:val="auto"/>
          <w:sz w:val="24"/>
          <w:u w:val="none" w:color="auto"/>
          <w:lang w:val="zh-CN"/>
        </w:rPr>
      </w:pPr>
      <w:r>
        <w:rPr>
          <w:rFonts w:hint="default" w:ascii="Times New Roman" w:hAnsi="Times New Roman" w:eastAsia="宋体" w:cs="Times New Roman"/>
          <w:color w:val="auto"/>
          <w:sz w:val="24"/>
          <w:szCs w:val="24"/>
          <w:u w:val="none" w:color="auto"/>
          <w:lang w:eastAsia="zh-CN"/>
        </w:rPr>
        <w:t>中创空天厂区</w:t>
      </w:r>
      <w:r>
        <w:rPr>
          <w:rFonts w:hint="default" w:ascii="Times New Roman" w:hAnsi="Times New Roman" w:eastAsia="宋体" w:cs="Times New Roman"/>
          <w:color w:val="auto"/>
          <w:sz w:val="24"/>
          <w:u w:val="none" w:color="auto"/>
          <w:lang w:val="zh-CN"/>
        </w:rPr>
        <w:t>环境风险保护目标</w:t>
      </w:r>
      <w:r>
        <w:rPr>
          <w:rFonts w:hint="default" w:ascii="Times New Roman" w:hAnsi="Times New Roman" w:eastAsia="宋体" w:cs="Times New Roman"/>
          <w:color w:val="auto"/>
          <w:sz w:val="24"/>
          <w:u w:val="none" w:color="auto"/>
        </w:rPr>
        <w:t>具体详见表1-3环境风险保护目标一览表，此处不再赘述，</w:t>
      </w:r>
      <w:r>
        <w:rPr>
          <w:rFonts w:hint="default" w:ascii="Times New Roman" w:hAnsi="Times New Roman" w:eastAsia="宋体" w:cs="Times New Roman"/>
          <w:color w:val="auto"/>
          <w:sz w:val="24"/>
          <w:u w:val="none" w:color="auto"/>
          <w:lang w:val="zh-CN"/>
        </w:rPr>
        <w:t>环境风险保护目标</w:t>
      </w:r>
      <w:r>
        <w:rPr>
          <w:rFonts w:hint="default" w:ascii="Times New Roman" w:hAnsi="Times New Roman" w:eastAsia="宋体" w:cs="Times New Roman"/>
          <w:color w:val="auto"/>
          <w:sz w:val="24"/>
          <w:u w:val="none" w:color="auto"/>
        </w:rPr>
        <w:t>分布情况详见附图</w:t>
      </w:r>
      <w:r>
        <w:rPr>
          <w:rFonts w:hint="eastAsia" w:cs="Times New Roman"/>
          <w:color w:val="auto"/>
          <w:sz w:val="24"/>
          <w:u w:val="none" w:color="auto"/>
          <w:lang w:val="en-US" w:eastAsia="zh-CN"/>
        </w:rPr>
        <w:t>8</w:t>
      </w:r>
      <w:r>
        <w:rPr>
          <w:rFonts w:hint="default" w:ascii="Times New Roman" w:hAnsi="Times New Roman" w:eastAsia="宋体" w:cs="Times New Roman"/>
          <w:color w:val="auto"/>
          <w:sz w:val="24"/>
          <w:u w:val="none" w:color="auto"/>
          <w:lang w:val="zh-CN"/>
        </w:rPr>
        <w:t>。</w:t>
      </w:r>
    </w:p>
    <w:p w14:paraId="2E6D798B">
      <w:pPr>
        <w:pStyle w:val="3"/>
        <w:snapToGrid/>
        <w:ind w:left="0" w:firstLine="0"/>
        <w:rPr>
          <w:rFonts w:hint="default" w:ascii="Times New Roman" w:hAnsi="Times New Roman" w:eastAsia="宋体" w:cs="Times New Roman"/>
          <w:color w:val="auto"/>
          <w:szCs w:val="28"/>
          <w:u w:val="none" w:color="auto"/>
        </w:rPr>
      </w:pPr>
      <w:bookmarkStart w:id="196" w:name="_Toc24226"/>
      <w:bookmarkStart w:id="197" w:name="_Toc4487"/>
      <w:bookmarkStart w:id="198" w:name="_Toc25829"/>
      <w:bookmarkStart w:id="199" w:name="_Toc32705"/>
      <w:bookmarkStart w:id="200" w:name="_Toc31539"/>
      <w:bookmarkStart w:id="201" w:name="_Toc19363"/>
      <w:bookmarkStart w:id="202" w:name="_Toc30314"/>
      <w:r>
        <w:rPr>
          <w:rFonts w:hint="default" w:ascii="Times New Roman" w:hAnsi="Times New Roman" w:eastAsia="宋体" w:cs="Times New Roman"/>
          <w:color w:val="auto"/>
          <w:szCs w:val="28"/>
          <w:u w:val="none" w:color="auto"/>
        </w:rPr>
        <w:br w:type="page"/>
      </w:r>
      <w:bookmarkStart w:id="203" w:name="_Toc17004"/>
      <w:bookmarkStart w:id="204" w:name="_Toc24070"/>
      <w:bookmarkStart w:id="205" w:name="_Toc6239"/>
      <w:bookmarkStart w:id="206" w:name="_Toc7391"/>
      <w:bookmarkStart w:id="207" w:name="_Toc27174"/>
      <w:bookmarkStart w:id="208" w:name="_Toc27896"/>
      <w:r>
        <w:rPr>
          <w:rFonts w:hint="default" w:ascii="Times New Roman" w:hAnsi="Times New Roman" w:eastAsia="宋体" w:cs="Times New Roman"/>
          <w:color w:val="auto"/>
          <w:kern w:val="2"/>
          <w:sz w:val="32"/>
          <w:szCs w:val="32"/>
          <w:u w:val="none" w:color="auto"/>
        </w:rPr>
        <w:t>3环境风险识别</w:t>
      </w:r>
      <w:bookmarkEnd w:id="196"/>
      <w:bookmarkEnd w:id="197"/>
      <w:bookmarkEnd w:id="198"/>
      <w:bookmarkEnd w:id="199"/>
      <w:bookmarkEnd w:id="200"/>
      <w:bookmarkEnd w:id="201"/>
      <w:bookmarkEnd w:id="202"/>
      <w:bookmarkEnd w:id="203"/>
      <w:bookmarkEnd w:id="204"/>
      <w:bookmarkEnd w:id="205"/>
      <w:bookmarkEnd w:id="206"/>
      <w:bookmarkEnd w:id="207"/>
      <w:bookmarkEnd w:id="208"/>
    </w:p>
    <w:p w14:paraId="76E92E6A">
      <w:pPr>
        <w:topLinePunct w:val="0"/>
        <w:bidi w:val="0"/>
        <w:adjustRightInd/>
        <w:snapToGrid/>
        <w:spacing w:line="360" w:lineRule="auto"/>
        <w:ind w:firstLine="482"/>
        <w:rPr>
          <w:rFonts w:hint="default" w:ascii="Times New Roman" w:hAnsi="Times New Roman" w:eastAsia="宋体" w:cs="Times New Roman"/>
          <w:color w:val="auto"/>
          <w:sz w:val="24"/>
          <w:highlight w:val="none"/>
          <w:u w:val="none" w:color="auto"/>
          <w:lang w:val="zh-CN"/>
        </w:rPr>
      </w:pPr>
      <w:r>
        <w:rPr>
          <w:rFonts w:hint="default" w:ascii="Times New Roman" w:hAnsi="Times New Roman" w:eastAsia="宋体" w:cs="Times New Roman"/>
          <w:color w:val="auto"/>
          <w:sz w:val="24"/>
          <w:highlight w:val="none"/>
          <w:u w:val="none" w:color="auto"/>
          <w:lang w:val="zh-CN"/>
        </w:rPr>
        <w:t>风险识别范围包括生产过程中所涉及的物质风险识别和生产设施风险识别。</w:t>
      </w:r>
    </w:p>
    <w:p w14:paraId="6E396320">
      <w:pPr>
        <w:topLinePunct w:val="0"/>
        <w:bidi w:val="0"/>
        <w:adjustRightInd/>
        <w:snapToGrid/>
        <w:spacing w:line="360" w:lineRule="auto"/>
        <w:ind w:firstLine="482"/>
        <w:rPr>
          <w:rFonts w:hint="default" w:ascii="Times New Roman" w:hAnsi="Times New Roman" w:eastAsia="宋体" w:cs="Times New Roman"/>
          <w:color w:val="auto"/>
          <w:sz w:val="24"/>
          <w:highlight w:val="none"/>
          <w:u w:val="none" w:color="auto"/>
          <w:lang w:val="zh-CN"/>
        </w:rPr>
      </w:pPr>
      <w:r>
        <w:rPr>
          <w:rFonts w:hint="default" w:ascii="Times New Roman" w:hAnsi="Times New Roman" w:eastAsia="宋体" w:cs="Times New Roman"/>
          <w:color w:val="auto"/>
          <w:sz w:val="24"/>
          <w:highlight w:val="none"/>
          <w:u w:val="none" w:color="auto"/>
          <w:lang w:val="zh-CN"/>
        </w:rPr>
        <w:t>物质风险识别范围：主要原辅材料、燃料以及生产过程排放的“三废”污染物等。</w:t>
      </w:r>
    </w:p>
    <w:p w14:paraId="1C38598B">
      <w:pPr>
        <w:topLinePunct w:val="0"/>
        <w:bidi w:val="0"/>
        <w:adjustRightInd/>
        <w:snapToGrid/>
        <w:spacing w:line="360" w:lineRule="auto"/>
        <w:ind w:firstLine="482"/>
        <w:rPr>
          <w:rFonts w:hint="default" w:ascii="Times New Roman" w:hAnsi="Times New Roman" w:eastAsia="宋体" w:cs="Times New Roman"/>
          <w:color w:val="auto"/>
          <w:sz w:val="24"/>
          <w:highlight w:val="none"/>
          <w:u w:val="none" w:color="auto"/>
          <w:lang w:val="zh-CN"/>
        </w:rPr>
      </w:pPr>
      <w:r>
        <w:rPr>
          <w:rFonts w:hint="default" w:ascii="Times New Roman" w:hAnsi="Times New Roman" w:eastAsia="宋体" w:cs="Times New Roman"/>
          <w:color w:val="auto"/>
          <w:sz w:val="24"/>
          <w:highlight w:val="none"/>
          <w:u w:val="none" w:color="auto"/>
          <w:lang w:val="zh-CN"/>
        </w:rPr>
        <w:t>生产设施风险识别范围：主要生产装置、贮运系统、公用工程系统、工程环保设施及辅助生产设施等。</w:t>
      </w:r>
    </w:p>
    <w:p w14:paraId="298CD4A7">
      <w:pPr>
        <w:topLinePunct w:val="0"/>
        <w:bidi w:val="0"/>
        <w:adjustRightInd/>
        <w:snapToGrid/>
        <w:spacing w:line="360" w:lineRule="auto"/>
        <w:ind w:firstLine="482"/>
        <w:rPr>
          <w:rFonts w:hint="default" w:ascii="Times New Roman" w:hAnsi="Times New Roman" w:eastAsia="宋体" w:cs="Times New Roman"/>
          <w:color w:val="auto"/>
          <w:sz w:val="24"/>
          <w:u w:val="none" w:color="auto"/>
          <w:lang w:val="zh-CN"/>
        </w:rPr>
      </w:pPr>
      <w:r>
        <w:rPr>
          <w:rFonts w:hint="default" w:ascii="Times New Roman" w:hAnsi="Times New Roman" w:eastAsia="宋体" w:cs="Times New Roman"/>
          <w:color w:val="auto"/>
          <w:sz w:val="24"/>
          <w:highlight w:val="none"/>
          <w:u w:val="none" w:color="auto"/>
          <w:lang w:val="zh-CN"/>
        </w:rPr>
        <w:t>受影响的环境要素识别：应当根据污染物排放途径确定，如大气环境、水环境、土壤、生态环境等，明确受影响的环境保护目标</w:t>
      </w:r>
      <w:r>
        <w:rPr>
          <w:rFonts w:hint="default" w:ascii="Times New Roman" w:hAnsi="Times New Roman" w:eastAsia="宋体" w:cs="Times New Roman"/>
          <w:color w:val="auto"/>
          <w:sz w:val="24"/>
          <w:u w:val="none" w:color="auto"/>
          <w:lang w:val="zh-CN"/>
        </w:rPr>
        <w:t>。</w:t>
      </w:r>
    </w:p>
    <w:p w14:paraId="7D33D03B">
      <w:pPr>
        <w:pStyle w:val="4"/>
        <w:numPr>
          <w:ilvl w:val="1"/>
          <w:numId w:val="0"/>
        </w:numPr>
        <w:spacing w:before="120" w:after="120" w:line="360" w:lineRule="auto"/>
        <w:contextualSpacing/>
        <w:rPr>
          <w:rFonts w:hint="default" w:ascii="Times New Roman" w:hAnsi="Times New Roman" w:eastAsia="宋体" w:cs="Times New Roman"/>
          <w:b/>
          <w:bCs w:val="0"/>
          <w:color w:val="auto"/>
          <w:sz w:val="28"/>
          <w:u w:val="none" w:color="auto"/>
        </w:rPr>
      </w:pPr>
      <w:bookmarkStart w:id="209" w:name="_Toc32735"/>
      <w:bookmarkStart w:id="210" w:name="_Toc12743"/>
      <w:bookmarkStart w:id="211" w:name="_Toc6241"/>
      <w:bookmarkStart w:id="212" w:name="_Toc22866"/>
      <w:r>
        <w:rPr>
          <w:rFonts w:hint="default" w:ascii="Times New Roman" w:hAnsi="Times New Roman" w:eastAsia="宋体" w:cs="Times New Roman"/>
          <w:b/>
          <w:bCs w:val="0"/>
          <w:color w:val="auto"/>
          <w:sz w:val="28"/>
          <w:u w:val="none" w:color="auto"/>
        </w:rPr>
        <w:t>3.1 物质危险性识别</w:t>
      </w:r>
      <w:bookmarkEnd w:id="209"/>
      <w:bookmarkEnd w:id="210"/>
      <w:bookmarkEnd w:id="211"/>
      <w:bookmarkEnd w:id="212"/>
    </w:p>
    <w:p w14:paraId="69C33810">
      <w:pPr>
        <w:spacing w:line="360" w:lineRule="auto"/>
        <w:ind w:firstLine="482"/>
        <w:rPr>
          <w:rFonts w:hint="default" w:ascii="Times New Roman" w:hAnsi="Times New Roman" w:eastAsia="宋体" w:cs="Times New Roman"/>
          <w:color w:val="auto"/>
          <w:sz w:val="24"/>
          <w:u w:val="none" w:color="auto"/>
          <w:lang w:val="zh-CN"/>
        </w:rPr>
      </w:pPr>
      <w:r>
        <w:rPr>
          <w:rFonts w:hint="default" w:ascii="Times New Roman" w:hAnsi="Times New Roman" w:eastAsia="宋体" w:cs="Times New Roman"/>
          <w:color w:val="auto"/>
          <w:sz w:val="24"/>
          <w:u w:val="none" w:color="auto"/>
          <w:lang w:val="zh-CN"/>
        </w:rPr>
        <w:t>项目</w:t>
      </w:r>
      <w:r>
        <w:rPr>
          <w:rFonts w:hint="default" w:ascii="Times New Roman" w:hAnsi="Times New Roman" w:eastAsia="宋体" w:cs="Times New Roman"/>
          <w:color w:val="auto"/>
          <w:sz w:val="24"/>
          <w:szCs w:val="24"/>
          <w:u w:val="none" w:color="auto"/>
          <w:lang w:eastAsia="zh-CN"/>
        </w:rPr>
        <w:t>中创空天厂区</w:t>
      </w:r>
      <w:r>
        <w:rPr>
          <w:rFonts w:hint="default" w:ascii="Times New Roman" w:hAnsi="Times New Roman" w:eastAsia="宋体" w:cs="Times New Roman"/>
          <w:color w:val="auto"/>
          <w:sz w:val="24"/>
          <w:u w:val="none" w:color="auto"/>
          <w:lang w:val="zh-CN"/>
        </w:rPr>
        <w:t>涉及的风险物质为</w:t>
      </w:r>
      <w:r>
        <w:rPr>
          <w:rFonts w:hint="default" w:ascii="Times New Roman" w:hAnsi="Times New Roman" w:eastAsia="宋体" w:cs="Times New Roman"/>
          <w:color w:val="auto"/>
          <w:sz w:val="24"/>
          <w:highlight w:val="none"/>
          <w:u w:val="none" w:color="auto"/>
          <w:lang w:val="zh-CN"/>
        </w:rPr>
        <w:t>润滑油、液压油及乳液</w:t>
      </w:r>
      <w:r>
        <w:rPr>
          <w:rFonts w:hint="default" w:ascii="Times New Roman" w:hAnsi="Times New Roman" w:eastAsia="宋体" w:cs="Times New Roman"/>
          <w:color w:val="auto"/>
          <w:sz w:val="24"/>
          <w:highlight w:val="none"/>
          <w:u w:val="none" w:color="auto"/>
          <w:lang w:val="en-US" w:eastAsia="zh-CN"/>
        </w:rPr>
        <w:t>等</w:t>
      </w:r>
      <w:r>
        <w:rPr>
          <w:rFonts w:hint="default" w:ascii="Times New Roman" w:hAnsi="Times New Roman" w:eastAsia="宋体" w:cs="Times New Roman"/>
          <w:color w:val="auto"/>
          <w:sz w:val="24"/>
          <w:u w:val="none" w:color="auto"/>
          <w:lang w:val="zh-CN"/>
        </w:rPr>
        <w:t>，</w:t>
      </w:r>
      <w:r>
        <w:rPr>
          <w:rFonts w:hint="default" w:ascii="Times New Roman" w:hAnsi="Times New Roman" w:eastAsia="宋体" w:cs="Times New Roman"/>
          <w:color w:val="auto"/>
          <w:sz w:val="24"/>
          <w:u w:val="none" w:color="auto"/>
          <w:lang w:val="en-US" w:eastAsia="zh-CN"/>
        </w:rPr>
        <w:t>其中铝灰渣和二次铝灰渣主要成分为氮化铝，</w:t>
      </w:r>
      <w:r>
        <w:rPr>
          <w:rFonts w:hint="default" w:ascii="Times New Roman" w:hAnsi="Times New Roman" w:eastAsia="宋体" w:cs="Times New Roman"/>
          <w:color w:val="auto"/>
          <w:sz w:val="24"/>
          <w:u w:val="none" w:color="auto"/>
          <w:lang w:val="zh-CN"/>
        </w:rPr>
        <w:t>其物理化学性质及危险特征见表</w:t>
      </w:r>
      <w:r>
        <w:rPr>
          <w:rFonts w:hint="default" w:ascii="Times New Roman" w:hAnsi="Times New Roman" w:eastAsia="宋体" w:cs="Times New Roman"/>
          <w:color w:val="auto"/>
          <w:sz w:val="24"/>
          <w:u w:val="none" w:color="auto"/>
        </w:rPr>
        <w:t>3-1</w:t>
      </w:r>
      <w:r>
        <w:rPr>
          <w:rFonts w:hint="default" w:ascii="Times New Roman" w:hAnsi="Times New Roman" w:eastAsia="宋体" w:cs="Times New Roman"/>
          <w:color w:val="auto"/>
          <w:sz w:val="24"/>
          <w:u w:val="none" w:color="auto"/>
          <w:lang w:val="zh-CN"/>
        </w:rPr>
        <w:t>~表</w:t>
      </w:r>
      <w:r>
        <w:rPr>
          <w:rFonts w:hint="default" w:ascii="Times New Roman" w:hAnsi="Times New Roman" w:eastAsia="宋体" w:cs="Times New Roman"/>
          <w:color w:val="auto"/>
          <w:sz w:val="24"/>
          <w:u w:val="none" w:color="auto"/>
        </w:rPr>
        <w:t>3-3</w:t>
      </w:r>
      <w:r>
        <w:rPr>
          <w:rFonts w:hint="default" w:ascii="Times New Roman" w:hAnsi="Times New Roman" w:eastAsia="宋体" w:cs="Times New Roman"/>
          <w:color w:val="auto"/>
          <w:sz w:val="24"/>
          <w:u w:val="none" w:color="auto"/>
          <w:lang w:val="zh-CN"/>
        </w:rPr>
        <w:t>。</w:t>
      </w:r>
    </w:p>
    <w:p w14:paraId="0E361500">
      <w:pPr>
        <w:pStyle w:val="17"/>
        <w:numPr>
          <w:ilvl w:val="0"/>
          <w:numId w:val="11"/>
        </w:numPr>
        <w:adjustRightInd/>
        <w:snapToGrid/>
        <w:rPr>
          <w:rFonts w:hint="default" w:ascii="Times New Roman" w:hAnsi="Times New Roman" w:eastAsia="宋体" w:cs="Times New Roman"/>
          <w:b/>
          <w:color w:val="auto"/>
          <w:sz w:val="21"/>
          <w:szCs w:val="21"/>
          <w:highlight w:val="none"/>
          <w:u w:val="none" w:color="auto"/>
        </w:rPr>
      </w:pPr>
      <w:bookmarkStart w:id="213" w:name="_Toc2501"/>
      <w:bookmarkStart w:id="214" w:name="_Toc19676"/>
      <w:r>
        <w:rPr>
          <w:rFonts w:hint="default" w:ascii="Times New Roman" w:hAnsi="Times New Roman" w:eastAsia="宋体" w:cs="Times New Roman"/>
          <w:b/>
          <w:color w:val="auto"/>
          <w:sz w:val="21"/>
          <w:szCs w:val="21"/>
          <w:highlight w:val="none"/>
          <w:u w:val="none" w:color="auto"/>
        </w:rPr>
        <w:t>润滑油</w:t>
      </w:r>
      <w:r>
        <w:rPr>
          <w:rFonts w:hint="default" w:ascii="Times New Roman" w:hAnsi="Times New Roman" w:eastAsia="宋体" w:cs="Times New Roman"/>
          <w:b/>
          <w:color w:val="auto"/>
          <w:sz w:val="21"/>
          <w:szCs w:val="21"/>
          <w:highlight w:val="none"/>
          <w:u w:val="none" w:color="auto"/>
          <w:lang w:eastAsia="zh-CN"/>
        </w:rPr>
        <w:t>、</w:t>
      </w:r>
      <w:r>
        <w:rPr>
          <w:rFonts w:hint="default" w:ascii="Times New Roman" w:hAnsi="Times New Roman" w:eastAsia="宋体" w:cs="Times New Roman"/>
          <w:b/>
          <w:color w:val="auto"/>
          <w:sz w:val="21"/>
          <w:szCs w:val="21"/>
          <w:highlight w:val="none"/>
          <w:u w:val="none" w:color="auto"/>
          <w:lang w:val="en-US" w:eastAsia="zh-CN"/>
        </w:rPr>
        <w:t>导热油等矿物油类</w:t>
      </w:r>
      <w:r>
        <w:rPr>
          <w:rFonts w:hint="default" w:ascii="Times New Roman" w:hAnsi="Times New Roman" w:eastAsia="宋体" w:cs="Times New Roman"/>
          <w:b/>
          <w:color w:val="auto"/>
          <w:sz w:val="21"/>
          <w:szCs w:val="21"/>
          <w:highlight w:val="none"/>
          <w:u w:val="none" w:color="auto"/>
        </w:rPr>
        <w:t>的理化性质、危险特性及应急防范措施</w:t>
      </w:r>
    </w:p>
    <w:tbl>
      <w:tblPr>
        <w:tblStyle w:val="31"/>
        <w:tblW w:w="0" w:type="auto"/>
        <w:tblInd w:w="108"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800"/>
        <w:gridCol w:w="2564"/>
        <w:gridCol w:w="2237"/>
        <w:gridCol w:w="2237"/>
      </w:tblGrid>
      <w:tr w14:paraId="0E0FFA1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800" w:type="dxa"/>
            <w:tcBorders>
              <w:tl2br w:val="nil"/>
              <w:tr2bl w:val="nil"/>
            </w:tcBorders>
            <w:noWrap w:val="0"/>
            <w:vAlign w:val="center"/>
          </w:tcPr>
          <w:p w14:paraId="3C33595D">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中文名称</w:t>
            </w:r>
          </w:p>
        </w:tc>
        <w:tc>
          <w:tcPr>
            <w:tcW w:w="2564" w:type="dxa"/>
            <w:tcBorders>
              <w:tl2br w:val="nil"/>
              <w:tr2bl w:val="nil"/>
            </w:tcBorders>
            <w:noWrap w:val="0"/>
            <w:vAlign w:val="center"/>
          </w:tcPr>
          <w:p w14:paraId="30C1565E">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润滑油、导热油等矿物油类</w:t>
            </w:r>
          </w:p>
        </w:tc>
        <w:tc>
          <w:tcPr>
            <w:tcW w:w="2237" w:type="dxa"/>
            <w:tcBorders>
              <w:tl2br w:val="nil"/>
              <w:tr2bl w:val="nil"/>
            </w:tcBorders>
            <w:noWrap w:val="0"/>
            <w:vAlign w:val="center"/>
          </w:tcPr>
          <w:p w14:paraId="454F6543">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英文名称</w:t>
            </w:r>
          </w:p>
        </w:tc>
        <w:tc>
          <w:tcPr>
            <w:tcW w:w="2237" w:type="dxa"/>
            <w:tcBorders>
              <w:tl2br w:val="nil"/>
              <w:tr2bl w:val="nil"/>
            </w:tcBorders>
            <w:noWrap w:val="0"/>
            <w:vAlign w:val="center"/>
          </w:tcPr>
          <w:p w14:paraId="73B9114F">
            <w:pPr>
              <w:topLinePunct w:val="0"/>
              <w:bidi w:val="0"/>
              <w:adjustRightInd/>
              <w:snapToGrid/>
              <w:jc w:val="center"/>
              <w:rPr>
                <w:rFonts w:hint="default" w:ascii="Times New Roman" w:hAnsi="Times New Roman" w:eastAsia="宋体" w:cs="Times New Roman"/>
                <w:color w:val="auto"/>
                <w:highlight w:val="none"/>
                <w:u w:val="none" w:color="auto"/>
                <w:lang w:val="en-US" w:eastAsia="zh-CN"/>
              </w:rPr>
            </w:pPr>
            <w:r>
              <w:rPr>
                <w:rFonts w:hint="default" w:ascii="Times New Roman" w:hAnsi="Times New Roman" w:eastAsia="宋体" w:cs="Times New Roman"/>
                <w:color w:val="auto"/>
                <w:highlight w:val="none"/>
                <w:u w:val="none" w:color="auto"/>
                <w:lang w:val="en-US" w:eastAsia="zh-CN"/>
              </w:rPr>
              <w:t>/</w:t>
            </w:r>
          </w:p>
        </w:tc>
      </w:tr>
      <w:tr w14:paraId="5EEB5B4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800" w:type="dxa"/>
            <w:tcBorders>
              <w:tl2br w:val="nil"/>
              <w:tr2bl w:val="nil"/>
            </w:tcBorders>
            <w:noWrap w:val="0"/>
            <w:vAlign w:val="center"/>
          </w:tcPr>
          <w:p w14:paraId="42314952">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外观与性状</w:t>
            </w:r>
          </w:p>
        </w:tc>
        <w:tc>
          <w:tcPr>
            <w:tcW w:w="2564" w:type="dxa"/>
            <w:tcBorders>
              <w:tl2br w:val="nil"/>
              <w:tr2bl w:val="nil"/>
            </w:tcBorders>
            <w:noWrap w:val="0"/>
            <w:vAlign w:val="center"/>
          </w:tcPr>
          <w:p w14:paraId="3E4E9F93">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淡黄色粘稠液体</w:t>
            </w:r>
          </w:p>
        </w:tc>
        <w:tc>
          <w:tcPr>
            <w:tcW w:w="2237" w:type="dxa"/>
            <w:tcBorders>
              <w:tl2br w:val="nil"/>
              <w:tr2bl w:val="nil"/>
            </w:tcBorders>
            <w:noWrap w:val="0"/>
            <w:vAlign w:val="center"/>
          </w:tcPr>
          <w:p w14:paraId="33344961">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闪点</w:t>
            </w:r>
          </w:p>
        </w:tc>
        <w:tc>
          <w:tcPr>
            <w:tcW w:w="2237" w:type="dxa"/>
            <w:tcBorders>
              <w:tl2br w:val="nil"/>
              <w:tr2bl w:val="nil"/>
            </w:tcBorders>
            <w:noWrap w:val="0"/>
            <w:vAlign w:val="center"/>
          </w:tcPr>
          <w:p w14:paraId="17870463">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120～340℃</w:t>
            </w:r>
          </w:p>
        </w:tc>
      </w:tr>
      <w:tr w14:paraId="3E12637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800" w:type="dxa"/>
            <w:tcBorders>
              <w:tl2br w:val="nil"/>
              <w:tr2bl w:val="nil"/>
            </w:tcBorders>
            <w:noWrap w:val="0"/>
            <w:vAlign w:val="center"/>
          </w:tcPr>
          <w:p w14:paraId="011352A5">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蒸汽压</w:t>
            </w:r>
          </w:p>
        </w:tc>
        <w:tc>
          <w:tcPr>
            <w:tcW w:w="2564" w:type="dxa"/>
            <w:tcBorders>
              <w:tl2br w:val="nil"/>
              <w:tr2bl w:val="nil"/>
            </w:tcBorders>
            <w:noWrap w:val="0"/>
            <w:vAlign w:val="center"/>
          </w:tcPr>
          <w:p w14:paraId="70E3DE02">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0.13kPa（145.8℃）</w:t>
            </w:r>
          </w:p>
        </w:tc>
        <w:tc>
          <w:tcPr>
            <w:tcW w:w="2237" w:type="dxa"/>
            <w:tcBorders>
              <w:tl2br w:val="nil"/>
              <w:tr2bl w:val="nil"/>
            </w:tcBorders>
            <w:noWrap w:val="0"/>
            <w:vAlign w:val="center"/>
          </w:tcPr>
          <w:p w14:paraId="2D133CEE">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自燃点</w:t>
            </w:r>
          </w:p>
        </w:tc>
        <w:tc>
          <w:tcPr>
            <w:tcW w:w="2237" w:type="dxa"/>
            <w:tcBorders>
              <w:tl2br w:val="nil"/>
              <w:tr2bl w:val="nil"/>
            </w:tcBorders>
            <w:noWrap w:val="0"/>
            <w:vAlign w:val="center"/>
          </w:tcPr>
          <w:p w14:paraId="7B3BED89">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300～350℃</w:t>
            </w:r>
          </w:p>
        </w:tc>
      </w:tr>
      <w:tr w14:paraId="78EE2B9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800" w:type="dxa"/>
            <w:tcBorders>
              <w:tl2br w:val="nil"/>
              <w:tr2bl w:val="nil"/>
            </w:tcBorders>
            <w:noWrap w:val="0"/>
            <w:vAlign w:val="center"/>
          </w:tcPr>
          <w:p w14:paraId="68EBE7CA">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熔点</w:t>
            </w:r>
          </w:p>
        </w:tc>
        <w:tc>
          <w:tcPr>
            <w:tcW w:w="2564" w:type="dxa"/>
            <w:tcBorders>
              <w:tl2br w:val="nil"/>
              <w:tr2bl w:val="nil"/>
            </w:tcBorders>
            <w:noWrap w:val="0"/>
            <w:vAlign w:val="center"/>
          </w:tcPr>
          <w:p w14:paraId="32C926AD">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-77.7℃</w:t>
            </w:r>
          </w:p>
        </w:tc>
        <w:tc>
          <w:tcPr>
            <w:tcW w:w="2237" w:type="dxa"/>
            <w:tcBorders>
              <w:tl2br w:val="nil"/>
              <w:tr2bl w:val="nil"/>
            </w:tcBorders>
            <w:noWrap w:val="0"/>
            <w:vAlign w:val="center"/>
          </w:tcPr>
          <w:p w14:paraId="5345E61D">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沸点</w:t>
            </w:r>
          </w:p>
        </w:tc>
        <w:tc>
          <w:tcPr>
            <w:tcW w:w="2237" w:type="dxa"/>
            <w:tcBorders>
              <w:tl2br w:val="nil"/>
              <w:tr2bl w:val="nil"/>
            </w:tcBorders>
            <w:noWrap w:val="0"/>
            <w:vAlign w:val="center"/>
          </w:tcPr>
          <w:p w14:paraId="59FD2A32">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252.8℃</w:t>
            </w:r>
          </w:p>
        </w:tc>
      </w:tr>
      <w:tr w14:paraId="4140926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800" w:type="dxa"/>
            <w:vMerge w:val="restart"/>
            <w:tcBorders>
              <w:tl2br w:val="nil"/>
              <w:tr2bl w:val="nil"/>
            </w:tcBorders>
            <w:noWrap w:val="0"/>
            <w:vAlign w:val="center"/>
          </w:tcPr>
          <w:p w14:paraId="3FFB5A47">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密度</w:t>
            </w:r>
          </w:p>
        </w:tc>
        <w:tc>
          <w:tcPr>
            <w:tcW w:w="2564" w:type="dxa"/>
            <w:tcBorders>
              <w:tl2br w:val="nil"/>
              <w:tr2bl w:val="nil"/>
            </w:tcBorders>
            <w:noWrap w:val="0"/>
            <w:vAlign w:val="center"/>
          </w:tcPr>
          <w:p w14:paraId="30A7B4CB">
            <w:pPr>
              <w:topLinePunct w:val="0"/>
              <w:bidi w:val="0"/>
              <w:adjustRightInd/>
              <w:snapToGrid/>
              <w:jc w:val="center"/>
              <w:rPr>
                <w:rFonts w:hint="default" w:ascii="Times New Roman" w:hAnsi="Times New Roman" w:eastAsia="宋体" w:cs="Times New Roman"/>
                <w:color w:val="auto"/>
                <w:highlight w:val="none"/>
                <w:u w:val="none" w:color="auto"/>
                <w:lang w:val="en-US" w:eastAsia="zh-CN"/>
              </w:rPr>
            </w:pPr>
            <w:r>
              <w:rPr>
                <w:rFonts w:hint="default" w:ascii="Times New Roman" w:hAnsi="Times New Roman" w:eastAsia="宋体" w:cs="Times New Roman"/>
                <w:color w:val="auto"/>
                <w:highlight w:val="none"/>
                <w:u w:val="none" w:color="auto"/>
              </w:rPr>
              <w:t>相对密度（水=1）0.</w:t>
            </w:r>
            <w:r>
              <w:rPr>
                <w:rFonts w:hint="default" w:ascii="Times New Roman" w:hAnsi="Times New Roman" w:eastAsia="宋体" w:cs="Times New Roman"/>
                <w:color w:val="auto"/>
                <w:highlight w:val="none"/>
                <w:u w:val="none" w:color="auto"/>
                <w:lang w:val="en-US" w:eastAsia="zh-CN"/>
              </w:rPr>
              <w:t>87</w:t>
            </w:r>
          </w:p>
        </w:tc>
        <w:tc>
          <w:tcPr>
            <w:tcW w:w="2237" w:type="dxa"/>
            <w:tcBorders>
              <w:tl2br w:val="nil"/>
              <w:tr2bl w:val="nil"/>
            </w:tcBorders>
            <w:noWrap w:val="0"/>
            <w:vAlign w:val="center"/>
          </w:tcPr>
          <w:p w14:paraId="2B3C2837">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稳定性</w:t>
            </w:r>
          </w:p>
        </w:tc>
        <w:tc>
          <w:tcPr>
            <w:tcW w:w="2237" w:type="dxa"/>
            <w:tcBorders>
              <w:tl2br w:val="nil"/>
              <w:tr2bl w:val="nil"/>
            </w:tcBorders>
            <w:noWrap w:val="0"/>
            <w:vAlign w:val="center"/>
          </w:tcPr>
          <w:p w14:paraId="72CA84BB">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稳定</w:t>
            </w:r>
          </w:p>
        </w:tc>
      </w:tr>
      <w:tr w14:paraId="5A20F59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800" w:type="dxa"/>
            <w:vMerge w:val="continue"/>
            <w:tcBorders>
              <w:tl2br w:val="nil"/>
              <w:tr2bl w:val="nil"/>
            </w:tcBorders>
            <w:noWrap w:val="0"/>
            <w:vAlign w:val="center"/>
          </w:tcPr>
          <w:p w14:paraId="2EB00111">
            <w:pPr>
              <w:topLinePunct w:val="0"/>
              <w:bidi w:val="0"/>
              <w:adjustRightInd/>
              <w:snapToGrid/>
              <w:jc w:val="center"/>
              <w:rPr>
                <w:rFonts w:hint="default" w:ascii="Times New Roman" w:hAnsi="Times New Roman" w:eastAsia="宋体" w:cs="Times New Roman"/>
                <w:b/>
                <w:color w:val="auto"/>
                <w:sz w:val="24"/>
                <w:highlight w:val="none"/>
                <w:u w:val="none" w:color="auto"/>
              </w:rPr>
            </w:pPr>
          </w:p>
        </w:tc>
        <w:tc>
          <w:tcPr>
            <w:tcW w:w="2564" w:type="dxa"/>
            <w:tcBorders>
              <w:tl2br w:val="nil"/>
              <w:tr2bl w:val="nil"/>
            </w:tcBorders>
            <w:noWrap w:val="0"/>
            <w:vAlign w:val="center"/>
          </w:tcPr>
          <w:p w14:paraId="4E113134">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相对蒸气密度</w:t>
            </w:r>
          </w:p>
          <w:p w14:paraId="41A82916">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（空气=1）0.85</w:t>
            </w:r>
          </w:p>
        </w:tc>
        <w:tc>
          <w:tcPr>
            <w:tcW w:w="2237" w:type="dxa"/>
            <w:tcBorders>
              <w:tl2br w:val="nil"/>
              <w:tr2bl w:val="nil"/>
            </w:tcBorders>
            <w:noWrap w:val="0"/>
            <w:vAlign w:val="center"/>
          </w:tcPr>
          <w:p w14:paraId="571AB057">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禁忌物</w:t>
            </w:r>
          </w:p>
        </w:tc>
        <w:tc>
          <w:tcPr>
            <w:tcW w:w="2237" w:type="dxa"/>
            <w:tcBorders>
              <w:tl2br w:val="nil"/>
              <w:tr2bl w:val="nil"/>
            </w:tcBorders>
            <w:noWrap w:val="0"/>
            <w:vAlign w:val="center"/>
          </w:tcPr>
          <w:p w14:paraId="252CEA6D">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硝酸等强氧化剂</w:t>
            </w:r>
          </w:p>
        </w:tc>
      </w:tr>
      <w:tr w14:paraId="55DC8AF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800" w:type="dxa"/>
            <w:tcBorders>
              <w:tl2br w:val="nil"/>
              <w:tr2bl w:val="nil"/>
            </w:tcBorders>
            <w:noWrap w:val="0"/>
            <w:vAlign w:val="center"/>
          </w:tcPr>
          <w:p w14:paraId="18645F9C">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燃烧（分解）产物</w:t>
            </w:r>
          </w:p>
        </w:tc>
        <w:tc>
          <w:tcPr>
            <w:tcW w:w="2564" w:type="dxa"/>
            <w:tcBorders>
              <w:tl2br w:val="nil"/>
              <w:tr2bl w:val="nil"/>
            </w:tcBorders>
            <w:noWrap w:val="0"/>
            <w:vAlign w:val="center"/>
          </w:tcPr>
          <w:p w14:paraId="0B04FA3E">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CO、CO</w:t>
            </w:r>
            <w:r>
              <w:rPr>
                <w:rFonts w:hint="default" w:ascii="Times New Roman" w:hAnsi="Times New Roman" w:eastAsia="宋体" w:cs="Times New Roman"/>
                <w:color w:val="auto"/>
                <w:highlight w:val="none"/>
                <w:u w:val="none" w:color="auto"/>
                <w:vertAlign w:val="subscript"/>
              </w:rPr>
              <w:t>2</w:t>
            </w:r>
            <w:r>
              <w:rPr>
                <w:rFonts w:hint="default" w:ascii="Times New Roman" w:hAnsi="Times New Roman" w:eastAsia="宋体" w:cs="Times New Roman"/>
                <w:color w:val="auto"/>
                <w:highlight w:val="none"/>
                <w:u w:val="none" w:color="auto"/>
              </w:rPr>
              <w:t>等有毒有害气体</w:t>
            </w:r>
          </w:p>
        </w:tc>
        <w:tc>
          <w:tcPr>
            <w:tcW w:w="2237" w:type="dxa"/>
            <w:tcBorders>
              <w:tl2br w:val="nil"/>
              <w:tr2bl w:val="nil"/>
            </w:tcBorders>
            <w:noWrap w:val="0"/>
            <w:vAlign w:val="center"/>
          </w:tcPr>
          <w:p w14:paraId="59B13F54">
            <w:pPr>
              <w:topLinePunct w:val="0"/>
              <w:bidi w:val="0"/>
              <w:adjustRightInd/>
              <w:snapToGrid/>
              <w:jc w:val="center"/>
              <w:rPr>
                <w:rFonts w:hint="default" w:ascii="Times New Roman" w:hAnsi="Times New Roman" w:eastAsia="宋体" w:cs="Times New Roman"/>
                <w:b/>
                <w:color w:val="auto"/>
                <w:sz w:val="24"/>
                <w:highlight w:val="none"/>
                <w:u w:val="none" w:color="auto"/>
              </w:rPr>
            </w:pPr>
            <w:r>
              <w:rPr>
                <w:rFonts w:hint="default" w:ascii="Times New Roman" w:hAnsi="Times New Roman" w:eastAsia="宋体" w:cs="Times New Roman"/>
                <w:b/>
                <w:color w:val="auto"/>
                <w:sz w:val="24"/>
                <w:highlight w:val="none"/>
                <w:u w:val="none" w:color="auto"/>
              </w:rPr>
              <w:t>—</w:t>
            </w:r>
          </w:p>
        </w:tc>
        <w:tc>
          <w:tcPr>
            <w:tcW w:w="2237" w:type="dxa"/>
            <w:tcBorders>
              <w:tl2br w:val="nil"/>
              <w:tr2bl w:val="nil"/>
            </w:tcBorders>
            <w:noWrap w:val="0"/>
            <w:vAlign w:val="center"/>
          </w:tcPr>
          <w:p w14:paraId="44528111">
            <w:pPr>
              <w:topLinePunct w:val="0"/>
              <w:bidi w:val="0"/>
              <w:adjustRightInd/>
              <w:snapToGrid/>
              <w:jc w:val="center"/>
              <w:rPr>
                <w:rFonts w:hint="default" w:ascii="Times New Roman" w:hAnsi="Times New Roman" w:eastAsia="宋体" w:cs="Times New Roman"/>
                <w:b/>
                <w:color w:val="auto"/>
                <w:sz w:val="24"/>
                <w:highlight w:val="none"/>
                <w:u w:val="none" w:color="auto"/>
              </w:rPr>
            </w:pPr>
            <w:r>
              <w:rPr>
                <w:rFonts w:hint="default" w:ascii="Times New Roman" w:hAnsi="Times New Roman" w:eastAsia="宋体" w:cs="Times New Roman"/>
                <w:b/>
                <w:color w:val="auto"/>
                <w:sz w:val="24"/>
                <w:highlight w:val="none"/>
                <w:u w:val="none" w:color="auto"/>
              </w:rPr>
              <w:t>—</w:t>
            </w:r>
          </w:p>
        </w:tc>
      </w:tr>
      <w:tr w14:paraId="4DC19D4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800" w:type="dxa"/>
            <w:tcBorders>
              <w:tl2br w:val="nil"/>
              <w:tr2bl w:val="nil"/>
            </w:tcBorders>
            <w:noWrap w:val="0"/>
            <w:vAlign w:val="center"/>
          </w:tcPr>
          <w:p w14:paraId="7AFCA460">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溶解性</w:t>
            </w:r>
          </w:p>
        </w:tc>
        <w:tc>
          <w:tcPr>
            <w:tcW w:w="7038" w:type="dxa"/>
            <w:gridSpan w:val="3"/>
            <w:tcBorders>
              <w:tl2br w:val="nil"/>
              <w:tr2bl w:val="nil"/>
            </w:tcBorders>
            <w:noWrap w:val="0"/>
            <w:vAlign w:val="center"/>
          </w:tcPr>
          <w:p w14:paraId="2A474917">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溶于苯、乙醇、乙醚、氯仿、丙酮等多数有机溶剂</w:t>
            </w:r>
          </w:p>
        </w:tc>
      </w:tr>
      <w:tr w14:paraId="6EC22B2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800" w:type="dxa"/>
            <w:tcBorders>
              <w:tl2br w:val="nil"/>
              <w:tr2bl w:val="nil"/>
            </w:tcBorders>
            <w:noWrap w:val="0"/>
            <w:vAlign w:val="center"/>
          </w:tcPr>
          <w:p w14:paraId="3A9FCC7C">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健康危害</w:t>
            </w:r>
          </w:p>
        </w:tc>
        <w:tc>
          <w:tcPr>
            <w:tcW w:w="7038" w:type="dxa"/>
            <w:gridSpan w:val="3"/>
            <w:tcBorders>
              <w:tl2br w:val="nil"/>
              <w:tr2bl w:val="nil"/>
            </w:tcBorders>
            <w:noWrap w:val="0"/>
            <w:vAlign w:val="center"/>
          </w:tcPr>
          <w:p w14:paraId="76328324">
            <w:pPr>
              <w:topLinePunct w:val="0"/>
              <w:bidi w:val="0"/>
              <w:adjustRightInd/>
              <w:snapToGrid/>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急性吸入</w:t>
            </w:r>
            <w:r>
              <w:rPr>
                <w:rFonts w:hint="default" w:ascii="Times New Roman" w:hAnsi="Times New Roman" w:eastAsia="宋体" w:cs="Times New Roman"/>
                <w:color w:val="auto"/>
                <w:highlight w:val="none"/>
                <w:u w:val="none" w:color="auto"/>
                <w:lang w:eastAsia="zh-CN"/>
              </w:rPr>
              <w:t>，</w:t>
            </w:r>
            <w:r>
              <w:rPr>
                <w:rFonts w:hint="default" w:ascii="Times New Roman" w:hAnsi="Times New Roman" w:eastAsia="宋体" w:cs="Times New Roman"/>
                <w:color w:val="auto"/>
                <w:highlight w:val="none"/>
                <w:u w:val="none" w:color="auto"/>
              </w:rPr>
              <w:t>可出现乏力、头晕、头痛、恶心</w:t>
            </w:r>
            <w:r>
              <w:rPr>
                <w:rFonts w:hint="default" w:ascii="Times New Roman" w:hAnsi="Times New Roman" w:eastAsia="宋体" w:cs="Times New Roman"/>
                <w:color w:val="auto"/>
                <w:highlight w:val="none"/>
                <w:u w:val="none" w:color="auto"/>
                <w:lang w:eastAsia="zh-CN"/>
              </w:rPr>
              <w:t>，</w:t>
            </w:r>
            <w:r>
              <w:rPr>
                <w:rFonts w:hint="default" w:ascii="Times New Roman" w:hAnsi="Times New Roman" w:eastAsia="宋体" w:cs="Times New Roman"/>
                <w:color w:val="auto"/>
                <w:highlight w:val="none"/>
                <w:u w:val="none" w:color="auto"/>
              </w:rPr>
              <w:t>严重者可引起油脂性肺炎。慢接触者</w:t>
            </w:r>
            <w:r>
              <w:rPr>
                <w:rFonts w:hint="default" w:ascii="Times New Roman" w:hAnsi="Times New Roman" w:eastAsia="宋体" w:cs="Times New Roman"/>
                <w:color w:val="auto"/>
                <w:highlight w:val="none"/>
                <w:u w:val="none" w:color="auto"/>
                <w:lang w:eastAsia="zh-CN"/>
              </w:rPr>
              <w:t>，</w:t>
            </w:r>
            <w:r>
              <w:rPr>
                <w:rFonts w:hint="default" w:ascii="Times New Roman" w:hAnsi="Times New Roman" w:eastAsia="宋体" w:cs="Times New Roman"/>
                <w:color w:val="auto"/>
                <w:highlight w:val="none"/>
                <w:u w:val="none" w:color="auto"/>
              </w:rPr>
              <w:t>暴露部位可发生油性痤疮和接触型皮炎。可引发神经衰弱综合症</w:t>
            </w:r>
            <w:r>
              <w:rPr>
                <w:rFonts w:hint="default" w:ascii="Times New Roman" w:hAnsi="Times New Roman" w:eastAsia="宋体" w:cs="Times New Roman"/>
                <w:color w:val="auto"/>
                <w:highlight w:val="none"/>
                <w:u w:val="none" w:color="auto"/>
                <w:lang w:eastAsia="zh-CN"/>
              </w:rPr>
              <w:t>，</w:t>
            </w:r>
            <w:r>
              <w:rPr>
                <w:rFonts w:hint="default" w:ascii="Times New Roman" w:hAnsi="Times New Roman" w:eastAsia="宋体" w:cs="Times New Roman"/>
                <w:color w:val="auto"/>
                <w:highlight w:val="none"/>
                <w:u w:val="none" w:color="auto"/>
              </w:rPr>
              <w:t>呼吸道和眼刺激症状及慢性油脂性肺炎</w:t>
            </w:r>
          </w:p>
        </w:tc>
      </w:tr>
      <w:tr w14:paraId="54E6E10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800" w:type="dxa"/>
            <w:tcBorders>
              <w:tl2br w:val="nil"/>
              <w:tr2bl w:val="nil"/>
            </w:tcBorders>
            <w:noWrap w:val="0"/>
            <w:vAlign w:val="center"/>
          </w:tcPr>
          <w:p w14:paraId="5255E349">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灭火方法</w:t>
            </w:r>
          </w:p>
        </w:tc>
        <w:tc>
          <w:tcPr>
            <w:tcW w:w="7038" w:type="dxa"/>
            <w:gridSpan w:val="3"/>
            <w:tcBorders>
              <w:tl2br w:val="nil"/>
              <w:tr2bl w:val="nil"/>
            </w:tcBorders>
            <w:noWrap w:val="0"/>
            <w:vAlign w:val="center"/>
          </w:tcPr>
          <w:p w14:paraId="33EF0E9B">
            <w:pPr>
              <w:topLinePunct w:val="0"/>
              <w:bidi w:val="0"/>
              <w:adjustRightInd/>
              <w:snapToGrid/>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消防人员须佩戴防毒面具、穿全身消防服</w:t>
            </w:r>
            <w:r>
              <w:rPr>
                <w:rFonts w:hint="default" w:ascii="Times New Roman" w:hAnsi="Times New Roman" w:eastAsia="宋体" w:cs="Times New Roman"/>
                <w:color w:val="auto"/>
                <w:highlight w:val="none"/>
                <w:u w:val="none" w:color="auto"/>
                <w:lang w:eastAsia="zh-CN"/>
              </w:rPr>
              <w:t>，</w:t>
            </w:r>
            <w:r>
              <w:rPr>
                <w:rFonts w:hint="default" w:ascii="Times New Roman" w:hAnsi="Times New Roman" w:eastAsia="宋体" w:cs="Times New Roman"/>
                <w:color w:val="auto"/>
                <w:highlight w:val="none"/>
                <w:u w:val="none" w:color="auto"/>
              </w:rPr>
              <w:t>在上风向灭火。尽可 能将容器从火场移至空旷处。喷水保持火场容器冷却</w:t>
            </w:r>
            <w:r>
              <w:rPr>
                <w:rFonts w:hint="default" w:ascii="Times New Roman" w:hAnsi="Times New Roman" w:eastAsia="宋体" w:cs="Times New Roman"/>
                <w:color w:val="auto"/>
                <w:highlight w:val="none"/>
                <w:u w:val="none" w:color="auto"/>
                <w:lang w:eastAsia="zh-CN"/>
              </w:rPr>
              <w:t>，</w:t>
            </w:r>
            <w:r>
              <w:rPr>
                <w:rFonts w:hint="default" w:ascii="Times New Roman" w:hAnsi="Times New Roman" w:eastAsia="宋体" w:cs="Times New Roman"/>
                <w:color w:val="auto"/>
                <w:highlight w:val="none"/>
                <w:u w:val="none" w:color="auto"/>
              </w:rPr>
              <w:t>直至灭火 结束。处在火场中的容器若已变色或从安全泄压装置中产生声音</w:t>
            </w:r>
            <w:r>
              <w:rPr>
                <w:rFonts w:hint="default" w:ascii="Times New Roman" w:hAnsi="Times New Roman" w:eastAsia="宋体" w:cs="Times New Roman"/>
                <w:color w:val="auto"/>
                <w:highlight w:val="none"/>
                <w:u w:val="none" w:color="auto"/>
                <w:lang w:eastAsia="zh-CN"/>
              </w:rPr>
              <w:t>，</w:t>
            </w:r>
            <w:r>
              <w:rPr>
                <w:rFonts w:hint="default" w:ascii="Times New Roman" w:hAnsi="Times New Roman" w:eastAsia="宋体" w:cs="Times New Roman"/>
                <w:color w:val="auto"/>
                <w:highlight w:val="none"/>
                <w:u w:val="none" w:color="auto"/>
              </w:rPr>
              <w:t>必须立即撤离。灭火剂：雾状水、泡沫、干粉、二氧化碳、砂土。</w:t>
            </w:r>
          </w:p>
        </w:tc>
      </w:tr>
      <w:tr w14:paraId="3ACFED4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800" w:type="dxa"/>
            <w:tcBorders>
              <w:tl2br w:val="nil"/>
              <w:tr2bl w:val="nil"/>
            </w:tcBorders>
            <w:noWrap w:val="0"/>
            <w:vAlign w:val="center"/>
          </w:tcPr>
          <w:p w14:paraId="53D7098A">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泄漏应急处理</w:t>
            </w:r>
          </w:p>
        </w:tc>
        <w:tc>
          <w:tcPr>
            <w:tcW w:w="7038" w:type="dxa"/>
            <w:gridSpan w:val="3"/>
            <w:tcBorders>
              <w:tl2br w:val="nil"/>
              <w:tr2bl w:val="nil"/>
            </w:tcBorders>
            <w:noWrap w:val="0"/>
            <w:vAlign w:val="center"/>
          </w:tcPr>
          <w:p w14:paraId="470D932E">
            <w:pPr>
              <w:topLinePunct w:val="0"/>
              <w:bidi w:val="0"/>
              <w:adjustRightInd/>
              <w:snapToGrid/>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rPr>
              <w:t>迅速撤离泄漏污染区人员至安全区</w:t>
            </w:r>
            <w:r>
              <w:rPr>
                <w:rFonts w:hint="default" w:ascii="Times New Roman" w:hAnsi="Times New Roman" w:eastAsia="宋体" w:cs="Times New Roman"/>
                <w:color w:val="auto"/>
                <w:szCs w:val="21"/>
                <w:highlight w:val="none"/>
                <w:u w:val="none" w:color="auto"/>
                <w:lang w:eastAsia="zh-CN"/>
              </w:rPr>
              <w:t>，</w:t>
            </w:r>
            <w:r>
              <w:rPr>
                <w:rFonts w:hint="default" w:ascii="Times New Roman" w:hAnsi="Times New Roman" w:eastAsia="宋体" w:cs="Times New Roman"/>
                <w:color w:val="auto"/>
                <w:szCs w:val="21"/>
                <w:highlight w:val="none"/>
                <w:u w:val="none" w:color="auto"/>
              </w:rPr>
              <w:t>并进行隔离</w:t>
            </w:r>
            <w:r>
              <w:rPr>
                <w:rFonts w:hint="default" w:ascii="Times New Roman" w:hAnsi="Times New Roman" w:eastAsia="宋体" w:cs="Times New Roman"/>
                <w:color w:val="auto"/>
                <w:szCs w:val="21"/>
                <w:highlight w:val="none"/>
                <w:u w:val="none" w:color="auto"/>
                <w:lang w:eastAsia="zh-CN"/>
              </w:rPr>
              <w:t>，</w:t>
            </w:r>
            <w:r>
              <w:rPr>
                <w:rFonts w:hint="default" w:ascii="Times New Roman" w:hAnsi="Times New Roman" w:eastAsia="宋体" w:cs="Times New Roman"/>
                <w:color w:val="auto"/>
                <w:szCs w:val="21"/>
                <w:highlight w:val="none"/>
                <w:u w:val="none" w:color="auto"/>
              </w:rPr>
              <w:t>严格限制出入。切断火源。建议应急处理人员戴自给正式呼吸器</w:t>
            </w:r>
            <w:r>
              <w:rPr>
                <w:rFonts w:hint="default" w:ascii="Times New Roman" w:hAnsi="Times New Roman" w:eastAsia="宋体" w:cs="Times New Roman"/>
                <w:color w:val="auto"/>
                <w:szCs w:val="21"/>
                <w:highlight w:val="none"/>
                <w:u w:val="none" w:color="auto"/>
                <w:lang w:eastAsia="zh-CN"/>
              </w:rPr>
              <w:t>，</w:t>
            </w:r>
            <w:r>
              <w:rPr>
                <w:rFonts w:hint="default" w:ascii="Times New Roman" w:hAnsi="Times New Roman" w:eastAsia="宋体" w:cs="Times New Roman"/>
                <w:color w:val="auto"/>
                <w:szCs w:val="21"/>
                <w:highlight w:val="none"/>
                <w:u w:val="none" w:color="auto"/>
              </w:rPr>
              <w:t>穿防毒服。尽可能切 断泄漏源。防止流入下水道、排洪沟等限制性空间。小量泄漏：用砂土或其他不燃材料吸附或吸收</w:t>
            </w:r>
            <w:r>
              <w:rPr>
                <w:rFonts w:hint="default" w:ascii="Times New Roman" w:hAnsi="Times New Roman" w:eastAsia="宋体" w:cs="Times New Roman"/>
                <w:color w:val="auto"/>
                <w:szCs w:val="21"/>
                <w:highlight w:val="none"/>
                <w:u w:val="none" w:color="auto"/>
                <w:lang w:eastAsia="zh-CN"/>
              </w:rPr>
              <w:t>，</w:t>
            </w:r>
            <w:r>
              <w:rPr>
                <w:rFonts w:hint="default" w:ascii="Times New Roman" w:hAnsi="Times New Roman" w:eastAsia="宋体" w:cs="Times New Roman"/>
                <w:color w:val="auto"/>
                <w:szCs w:val="21"/>
                <w:highlight w:val="none"/>
                <w:u w:val="none" w:color="auto"/>
              </w:rPr>
              <w:t>减少挥发。大量泄漏：构筑围堤或挖 坑收容。用泵转移至槽车或专用收集器内</w:t>
            </w:r>
            <w:r>
              <w:rPr>
                <w:rFonts w:hint="default" w:ascii="Times New Roman" w:hAnsi="Times New Roman" w:eastAsia="宋体" w:cs="Times New Roman"/>
                <w:color w:val="auto"/>
                <w:szCs w:val="21"/>
                <w:highlight w:val="none"/>
                <w:u w:val="none" w:color="auto"/>
                <w:lang w:eastAsia="zh-CN"/>
              </w:rPr>
              <w:t>，</w:t>
            </w:r>
            <w:r>
              <w:rPr>
                <w:rFonts w:hint="default" w:ascii="Times New Roman" w:hAnsi="Times New Roman" w:eastAsia="宋体" w:cs="Times New Roman"/>
                <w:color w:val="auto"/>
                <w:szCs w:val="21"/>
                <w:highlight w:val="none"/>
                <w:u w:val="none" w:color="auto"/>
              </w:rPr>
              <w:t>回收或运至废物处理场所处置。</w:t>
            </w:r>
          </w:p>
        </w:tc>
      </w:tr>
      <w:tr w14:paraId="7B26FDC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800" w:type="dxa"/>
            <w:tcBorders>
              <w:tl2br w:val="nil"/>
              <w:tr2bl w:val="nil"/>
            </w:tcBorders>
            <w:noWrap w:val="0"/>
            <w:vAlign w:val="center"/>
          </w:tcPr>
          <w:p w14:paraId="11383262">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防护措施</w:t>
            </w:r>
          </w:p>
        </w:tc>
        <w:tc>
          <w:tcPr>
            <w:tcW w:w="7038" w:type="dxa"/>
            <w:gridSpan w:val="3"/>
            <w:tcBorders>
              <w:tl2br w:val="nil"/>
              <w:tr2bl w:val="nil"/>
            </w:tcBorders>
            <w:noWrap w:val="0"/>
            <w:vAlign w:val="center"/>
          </w:tcPr>
          <w:p w14:paraId="7FD54265">
            <w:pPr>
              <w:topLinePunct w:val="0"/>
              <w:bidi w:val="0"/>
              <w:adjustRightInd/>
              <w:snapToGrid/>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rPr>
              <w:t>呼吸系统防护：空气中浓度超标时</w:t>
            </w:r>
            <w:r>
              <w:rPr>
                <w:rFonts w:hint="default" w:ascii="Times New Roman" w:hAnsi="Times New Roman" w:eastAsia="宋体" w:cs="Times New Roman"/>
                <w:color w:val="auto"/>
                <w:szCs w:val="21"/>
                <w:highlight w:val="none"/>
                <w:u w:val="none" w:color="auto"/>
                <w:lang w:eastAsia="zh-CN"/>
              </w:rPr>
              <w:t>，</w:t>
            </w:r>
            <w:r>
              <w:rPr>
                <w:rFonts w:hint="default" w:ascii="Times New Roman" w:hAnsi="Times New Roman" w:eastAsia="宋体" w:cs="Times New Roman"/>
                <w:color w:val="auto"/>
                <w:szCs w:val="21"/>
                <w:highlight w:val="none"/>
                <w:u w:val="none" w:color="auto"/>
              </w:rPr>
              <w:t>必须佩戴自吸过滤式防毒面具（半面罩）；紧急事态抢救或撤离时</w:t>
            </w:r>
            <w:r>
              <w:rPr>
                <w:rFonts w:hint="default" w:ascii="Times New Roman" w:hAnsi="Times New Roman" w:eastAsia="宋体" w:cs="Times New Roman"/>
                <w:color w:val="auto"/>
                <w:szCs w:val="21"/>
                <w:highlight w:val="none"/>
                <w:u w:val="none" w:color="auto"/>
                <w:lang w:eastAsia="zh-CN"/>
              </w:rPr>
              <w:t>，</w:t>
            </w:r>
            <w:r>
              <w:rPr>
                <w:rFonts w:hint="default" w:ascii="Times New Roman" w:hAnsi="Times New Roman" w:eastAsia="宋体" w:cs="Times New Roman"/>
                <w:color w:val="auto"/>
                <w:szCs w:val="21"/>
                <w:highlight w:val="none"/>
                <w:u w:val="none" w:color="auto"/>
              </w:rPr>
              <w:t>应佩戴空气呼吸器。</w:t>
            </w:r>
          </w:p>
          <w:p w14:paraId="5227B69A">
            <w:pPr>
              <w:topLinePunct w:val="0"/>
              <w:bidi w:val="0"/>
              <w:adjustRightInd/>
              <w:snapToGrid/>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rPr>
              <w:t>眼睛防护：戴化学安全防护眼镜。</w:t>
            </w:r>
          </w:p>
          <w:p w14:paraId="255A207C">
            <w:pPr>
              <w:topLinePunct w:val="0"/>
              <w:bidi w:val="0"/>
              <w:adjustRightInd/>
              <w:snapToGrid/>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rPr>
              <w:t>身体防护：穿防毒渗透工作服。</w:t>
            </w:r>
          </w:p>
          <w:p w14:paraId="5F020243">
            <w:pPr>
              <w:topLinePunct w:val="0"/>
              <w:bidi w:val="0"/>
              <w:adjustRightInd/>
              <w:snapToGrid/>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rPr>
              <w:t>手防护：戴橡胶耐油手套。</w:t>
            </w:r>
          </w:p>
          <w:p w14:paraId="1729D35A">
            <w:pPr>
              <w:topLinePunct w:val="0"/>
              <w:bidi w:val="0"/>
              <w:adjustRightInd/>
              <w:snapToGrid/>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rPr>
              <w:t>其他：工作现场严禁吸烟</w:t>
            </w:r>
            <w:r>
              <w:rPr>
                <w:rFonts w:hint="default" w:ascii="Times New Roman" w:hAnsi="Times New Roman" w:eastAsia="宋体" w:cs="Times New Roman"/>
                <w:color w:val="auto"/>
                <w:szCs w:val="21"/>
                <w:highlight w:val="none"/>
                <w:u w:val="none" w:color="auto"/>
                <w:lang w:eastAsia="zh-CN"/>
              </w:rPr>
              <w:t>，</w:t>
            </w:r>
            <w:r>
              <w:rPr>
                <w:rFonts w:hint="default" w:ascii="Times New Roman" w:hAnsi="Times New Roman" w:eastAsia="宋体" w:cs="Times New Roman"/>
                <w:color w:val="auto"/>
                <w:szCs w:val="21"/>
                <w:highlight w:val="none"/>
                <w:u w:val="none" w:color="auto"/>
              </w:rPr>
              <w:t>避免长期反复接触。</w:t>
            </w:r>
          </w:p>
        </w:tc>
      </w:tr>
      <w:tr w14:paraId="31FEA1F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800" w:type="dxa"/>
            <w:tcBorders>
              <w:tl2br w:val="nil"/>
              <w:tr2bl w:val="nil"/>
            </w:tcBorders>
            <w:noWrap w:val="0"/>
            <w:vAlign w:val="center"/>
          </w:tcPr>
          <w:p w14:paraId="5731A1A5">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急救措施</w:t>
            </w:r>
          </w:p>
        </w:tc>
        <w:tc>
          <w:tcPr>
            <w:tcW w:w="7038" w:type="dxa"/>
            <w:gridSpan w:val="3"/>
            <w:tcBorders>
              <w:tl2br w:val="nil"/>
              <w:tr2bl w:val="nil"/>
            </w:tcBorders>
            <w:noWrap w:val="0"/>
            <w:vAlign w:val="center"/>
          </w:tcPr>
          <w:p w14:paraId="018336CC">
            <w:pPr>
              <w:topLinePunct w:val="0"/>
              <w:bidi w:val="0"/>
              <w:adjustRightInd/>
              <w:snapToGrid/>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rPr>
              <w:t>皮肤接触：脱去污染的衣着</w:t>
            </w:r>
            <w:r>
              <w:rPr>
                <w:rFonts w:hint="default" w:ascii="Times New Roman" w:hAnsi="Times New Roman" w:eastAsia="宋体" w:cs="Times New Roman"/>
                <w:color w:val="auto"/>
                <w:szCs w:val="21"/>
                <w:highlight w:val="none"/>
                <w:u w:val="none" w:color="auto"/>
                <w:lang w:eastAsia="zh-CN"/>
              </w:rPr>
              <w:t>，</w:t>
            </w:r>
            <w:r>
              <w:rPr>
                <w:rFonts w:hint="default" w:ascii="Times New Roman" w:hAnsi="Times New Roman" w:eastAsia="宋体" w:cs="Times New Roman"/>
                <w:color w:val="auto"/>
                <w:szCs w:val="21"/>
                <w:highlight w:val="none"/>
                <w:u w:val="none" w:color="auto"/>
              </w:rPr>
              <w:t>用大量流动清水清洗。就医。</w:t>
            </w:r>
          </w:p>
          <w:p w14:paraId="3393F673">
            <w:pPr>
              <w:topLinePunct w:val="0"/>
              <w:bidi w:val="0"/>
              <w:adjustRightInd/>
              <w:snapToGrid/>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rPr>
              <w:t>眼接触：提起眼睑</w:t>
            </w:r>
            <w:r>
              <w:rPr>
                <w:rFonts w:hint="default" w:ascii="Times New Roman" w:hAnsi="Times New Roman" w:eastAsia="宋体" w:cs="Times New Roman"/>
                <w:color w:val="auto"/>
                <w:szCs w:val="21"/>
                <w:highlight w:val="none"/>
                <w:u w:val="none" w:color="auto"/>
                <w:lang w:eastAsia="zh-CN"/>
              </w:rPr>
              <w:t>，</w:t>
            </w:r>
            <w:r>
              <w:rPr>
                <w:rFonts w:hint="default" w:ascii="Times New Roman" w:hAnsi="Times New Roman" w:eastAsia="宋体" w:cs="Times New Roman"/>
                <w:color w:val="auto"/>
                <w:szCs w:val="21"/>
                <w:highlight w:val="none"/>
                <w:u w:val="none" w:color="auto"/>
              </w:rPr>
              <w:t>用流动清水或生理盐水冲洗。就医。</w:t>
            </w:r>
          </w:p>
          <w:p w14:paraId="131D3095">
            <w:pPr>
              <w:topLinePunct w:val="0"/>
              <w:bidi w:val="0"/>
              <w:adjustRightInd/>
              <w:snapToGrid/>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rPr>
              <w:t>吸入：迅速脱离现场至空气新鲜处</w:t>
            </w:r>
            <w:r>
              <w:rPr>
                <w:rFonts w:hint="default" w:ascii="Times New Roman" w:hAnsi="Times New Roman" w:eastAsia="宋体" w:cs="Times New Roman"/>
                <w:color w:val="auto"/>
                <w:szCs w:val="21"/>
                <w:highlight w:val="none"/>
                <w:u w:val="none" w:color="auto"/>
                <w:lang w:eastAsia="zh-CN"/>
              </w:rPr>
              <w:t>，</w:t>
            </w:r>
            <w:r>
              <w:rPr>
                <w:rFonts w:hint="default" w:ascii="Times New Roman" w:hAnsi="Times New Roman" w:eastAsia="宋体" w:cs="Times New Roman"/>
                <w:color w:val="auto"/>
                <w:szCs w:val="21"/>
                <w:highlight w:val="none"/>
                <w:u w:val="none" w:color="auto"/>
              </w:rPr>
              <w:t>保持呼吸畅通。如呼吸困难</w:t>
            </w:r>
            <w:r>
              <w:rPr>
                <w:rFonts w:hint="default" w:ascii="Times New Roman" w:hAnsi="Times New Roman" w:eastAsia="宋体" w:cs="Times New Roman"/>
                <w:color w:val="auto"/>
                <w:szCs w:val="21"/>
                <w:highlight w:val="none"/>
                <w:u w:val="none" w:color="auto"/>
                <w:lang w:eastAsia="zh-CN"/>
              </w:rPr>
              <w:t>，</w:t>
            </w:r>
            <w:r>
              <w:rPr>
                <w:rFonts w:hint="default" w:ascii="Times New Roman" w:hAnsi="Times New Roman" w:eastAsia="宋体" w:cs="Times New Roman"/>
                <w:color w:val="auto"/>
                <w:szCs w:val="21"/>
                <w:highlight w:val="none"/>
                <w:u w:val="none" w:color="auto"/>
              </w:rPr>
              <w:t>给输氧。如呼吸停止</w:t>
            </w:r>
            <w:r>
              <w:rPr>
                <w:rFonts w:hint="default" w:ascii="Times New Roman" w:hAnsi="Times New Roman" w:eastAsia="宋体" w:cs="Times New Roman"/>
                <w:color w:val="auto"/>
                <w:szCs w:val="21"/>
                <w:highlight w:val="none"/>
                <w:u w:val="none" w:color="auto"/>
                <w:lang w:eastAsia="zh-CN"/>
              </w:rPr>
              <w:t>，</w:t>
            </w:r>
            <w:r>
              <w:rPr>
                <w:rFonts w:hint="default" w:ascii="Times New Roman" w:hAnsi="Times New Roman" w:eastAsia="宋体" w:cs="Times New Roman"/>
                <w:color w:val="auto"/>
                <w:szCs w:val="21"/>
                <w:highlight w:val="none"/>
                <w:u w:val="none" w:color="auto"/>
              </w:rPr>
              <w:t>立即进行人工呼吸。就医。</w:t>
            </w:r>
          </w:p>
          <w:p w14:paraId="13912983">
            <w:pPr>
              <w:topLinePunct w:val="0"/>
              <w:bidi w:val="0"/>
              <w:adjustRightInd/>
              <w:snapToGrid/>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rPr>
              <w:t>食用：饮适量温水</w:t>
            </w:r>
            <w:r>
              <w:rPr>
                <w:rFonts w:hint="default" w:ascii="Times New Roman" w:hAnsi="Times New Roman" w:eastAsia="宋体" w:cs="Times New Roman"/>
                <w:color w:val="auto"/>
                <w:szCs w:val="21"/>
                <w:highlight w:val="none"/>
                <w:u w:val="none" w:color="auto"/>
                <w:lang w:eastAsia="zh-CN"/>
              </w:rPr>
              <w:t>，</w:t>
            </w:r>
            <w:r>
              <w:rPr>
                <w:rFonts w:hint="default" w:ascii="Times New Roman" w:hAnsi="Times New Roman" w:eastAsia="宋体" w:cs="Times New Roman"/>
                <w:color w:val="auto"/>
                <w:szCs w:val="21"/>
                <w:highlight w:val="none"/>
                <w:u w:val="none" w:color="auto"/>
              </w:rPr>
              <w:t>催吐。就医。</w:t>
            </w:r>
          </w:p>
        </w:tc>
      </w:tr>
      <w:tr w14:paraId="24F79C1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800" w:type="dxa"/>
            <w:tcBorders>
              <w:tl2br w:val="nil"/>
              <w:tr2bl w:val="nil"/>
            </w:tcBorders>
            <w:noWrap w:val="0"/>
            <w:vAlign w:val="center"/>
          </w:tcPr>
          <w:p w14:paraId="0559DF92">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储存要求</w:t>
            </w:r>
          </w:p>
        </w:tc>
        <w:tc>
          <w:tcPr>
            <w:tcW w:w="7038" w:type="dxa"/>
            <w:gridSpan w:val="3"/>
            <w:tcBorders>
              <w:tl2br w:val="nil"/>
              <w:tr2bl w:val="nil"/>
            </w:tcBorders>
            <w:noWrap w:val="0"/>
            <w:vAlign w:val="center"/>
          </w:tcPr>
          <w:p w14:paraId="307ED960">
            <w:pPr>
              <w:topLinePunct w:val="0"/>
              <w:bidi w:val="0"/>
              <w:adjustRightInd/>
              <w:snapToGrid/>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rPr>
              <w:t>储存于阴凉、通风的库房。远离火种、热源。应与氧化剂分开存放</w:t>
            </w:r>
            <w:r>
              <w:rPr>
                <w:rFonts w:hint="default" w:ascii="Times New Roman" w:hAnsi="Times New Roman" w:eastAsia="宋体" w:cs="Times New Roman"/>
                <w:color w:val="auto"/>
                <w:szCs w:val="21"/>
                <w:highlight w:val="none"/>
                <w:u w:val="none" w:color="auto"/>
                <w:lang w:eastAsia="zh-CN"/>
              </w:rPr>
              <w:t>，</w:t>
            </w:r>
            <w:r>
              <w:rPr>
                <w:rFonts w:hint="default" w:ascii="Times New Roman" w:hAnsi="Times New Roman" w:eastAsia="宋体" w:cs="Times New Roman"/>
                <w:color w:val="auto"/>
                <w:szCs w:val="21"/>
                <w:highlight w:val="none"/>
                <w:u w:val="none" w:color="auto"/>
              </w:rPr>
              <w:t xml:space="preserve"> 切忌混储。配备相应品种和数量的消防器材。储区应备有泄漏应急处 理设备和合适的收容材料。</w:t>
            </w:r>
          </w:p>
        </w:tc>
      </w:tr>
      <w:tr w14:paraId="7EFB225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800" w:type="dxa"/>
            <w:tcBorders>
              <w:tl2br w:val="nil"/>
              <w:tr2bl w:val="nil"/>
            </w:tcBorders>
            <w:noWrap w:val="0"/>
            <w:vAlign w:val="center"/>
          </w:tcPr>
          <w:p w14:paraId="490099A1">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运输要求</w:t>
            </w:r>
          </w:p>
        </w:tc>
        <w:tc>
          <w:tcPr>
            <w:tcW w:w="7038" w:type="dxa"/>
            <w:gridSpan w:val="3"/>
            <w:tcBorders>
              <w:tl2br w:val="nil"/>
              <w:tr2bl w:val="nil"/>
            </w:tcBorders>
            <w:noWrap w:val="0"/>
            <w:vAlign w:val="center"/>
          </w:tcPr>
          <w:p w14:paraId="654ECD32">
            <w:pPr>
              <w:topLinePunct w:val="0"/>
              <w:bidi w:val="0"/>
              <w:adjustRightInd/>
              <w:snapToGrid/>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rPr>
              <w:t>用油罐、油罐车、油船、铁桶、塑料桶等盛装</w:t>
            </w:r>
            <w:r>
              <w:rPr>
                <w:rFonts w:hint="default" w:ascii="Times New Roman" w:hAnsi="Times New Roman" w:eastAsia="宋体" w:cs="Times New Roman"/>
                <w:color w:val="auto"/>
                <w:szCs w:val="21"/>
                <w:highlight w:val="none"/>
                <w:u w:val="none" w:color="auto"/>
                <w:lang w:eastAsia="zh-CN"/>
              </w:rPr>
              <w:t>，</w:t>
            </w:r>
            <w:r>
              <w:rPr>
                <w:rFonts w:hint="default" w:ascii="Times New Roman" w:hAnsi="Times New Roman" w:eastAsia="宋体" w:cs="Times New Roman"/>
                <w:color w:val="auto"/>
                <w:szCs w:val="21"/>
                <w:highlight w:val="none"/>
                <w:u w:val="none" w:color="auto"/>
              </w:rPr>
              <w:t>盛装时切不可装满</w:t>
            </w:r>
            <w:r>
              <w:rPr>
                <w:rFonts w:hint="default" w:ascii="Times New Roman" w:hAnsi="Times New Roman" w:eastAsia="宋体" w:cs="Times New Roman"/>
                <w:color w:val="auto"/>
                <w:szCs w:val="21"/>
                <w:highlight w:val="none"/>
                <w:u w:val="none" w:color="auto"/>
                <w:lang w:eastAsia="zh-CN"/>
              </w:rPr>
              <w:t>，</w:t>
            </w:r>
            <w:r>
              <w:rPr>
                <w:rFonts w:hint="default" w:ascii="Times New Roman" w:hAnsi="Times New Roman" w:eastAsia="宋体" w:cs="Times New Roman"/>
                <w:color w:val="auto"/>
                <w:szCs w:val="21"/>
                <w:highlight w:val="none"/>
                <w:u w:val="none" w:color="auto"/>
              </w:rPr>
              <w:t>要留出必要的安全空间。</w:t>
            </w:r>
          </w:p>
          <w:p w14:paraId="4A22AF2E">
            <w:pPr>
              <w:topLinePunct w:val="0"/>
              <w:bidi w:val="0"/>
              <w:adjustRightInd/>
              <w:snapToGrid/>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rPr>
              <w:t>运输前应先检查包装容器是否完整、密封</w:t>
            </w:r>
            <w:r>
              <w:rPr>
                <w:rFonts w:hint="default" w:ascii="Times New Roman" w:hAnsi="Times New Roman" w:eastAsia="宋体" w:cs="Times New Roman"/>
                <w:color w:val="auto"/>
                <w:szCs w:val="21"/>
                <w:highlight w:val="none"/>
                <w:u w:val="none" w:color="auto"/>
                <w:lang w:eastAsia="zh-CN"/>
              </w:rPr>
              <w:t>，</w:t>
            </w:r>
            <w:r>
              <w:rPr>
                <w:rFonts w:hint="default" w:ascii="Times New Roman" w:hAnsi="Times New Roman" w:eastAsia="宋体" w:cs="Times New Roman"/>
                <w:color w:val="auto"/>
                <w:szCs w:val="21"/>
                <w:highlight w:val="none"/>
                <w:u w:val="none" w:color="auto"/>
              </w:rPr>
              <w:t>运输过程中要确保容器不</w:t>
            </w:r>
            <w:r>
              <w:rPr>
                <w:rFonts w:hint="default" w:ascii="Times New Roman" w:hAnsi="Times New Roman" w:eastAsia="宋体" w:cs="Times New Roman"/>
                <w:color w:val="auto"/>
                <w:szCs w:val="21"/>
                <w:highlight w:val="none"/>
                <w:u w:val="none" w:color="auto"/>
                <w:lang w:eastAsia="zh-CN"/>
              </w:rPr>
              <w:t>泄漏</w:t>
            </w:r>
            <w:r>
              <w:rPr>
                <w:rFonts w:hint="default" w:ascii="Times New Roman" w:hAnsi="Times New Roman" w:eastAsia="宋体" w:cs="Times New Roman"/>
                <w:color w:val="auto"/>
                <w:szCs w:val="21"/>
                <w:highlight w:val="none"/>
                <w:u w:val="none" w:color="auto"/>
              </w:rPr>
              <w:t>、不倒塌、不坠落、不损坏。严禁与氧化剂、食用化学品等混装混运。运输车船必须彻底清洗、消毒</w:t>
            </w:r>
            <w:r>
              <w:rPr>
                <w:rFonts w:hint="default" w:ascii="Times New Roman" w:hAnsi="Times New Roman" w:eastAsia="宋体" w:cs="Times New Roman"/>
                <w:color w:val="auto"/>
                <w:szCs w:val="21"/>
                <w:highlight w:val="none"/>
                <w:u w:val="none" w:color="auto"/>
                <w:lang w:eastAsia="zh-CN"/>
              </w:rPr>
              <w:t>，</w:t>
            </w:r>
            <w:r>
              <w:rPr>
                <w:rFonts w:hint="default" w:ascii="Times New Roman" w:hAnsi="Times New Roman" w:eastAsia="宋体" w:cs="Times New Roman"/>
                <w:color w:val="auto"/>
                <w:szCs w:val="21"/>
                <w:highlight w:val="none"/>
                <w:u w:val="none" w:color="auto"/>
              </w:rPr>
              <w:t>否则不得装运其它物品。船运时</w:t>
            </w:r>
            <w:r>
              <w:rPr>
                <w:rFonts w:hint="default" w:ascii="Times New Roman" w:hAnsi="Times New Roman" w:eastAsia="宋体" w:cs="Times New Roman"/>
                <w:color w:val="auto"/>
                <w:szCs w:val="21"/>
                <w:highlight w:val="none"/>
                <w:u w:val="none" w:color="auto"/>
                <w:lang w:eastAsia="zh-CN"/>
              </w:rPr>
              <w:t>，</w:t>
            </w:r>
            <w:r>
              <w:rPr>
                <w:rFonts w:hint="default" w:ascii="Times New Roman" w:hAnsi="Times New Roman" w:eastAsia="宋体" w:cs="Times New Roman"/>
                <w:color w:val="auto"/>
                <w:szCs w:val="21"/>
                <w:highlight w:val="none"/>
                <w:u w:val="none" w:color="auto"/>
              </w:rPr>
              <w:t>配装位置应远离卧室、厨房</w:t>
            </w:r>
            <w:r>
              <w:rPr>
                <w:rFonts w:hint="default" w:ascii="Times New Roman" w:hAnsi="Times New Roman" w:eastAsia="宋体" w:cs="Times New Roman"/>
                <w:color w:val="auto"/>
                <w:szCs w:val="21"/>
                <w:highlight w:val="none"/>
                <w:u w:val="none" w:color="auto"/>
                <w:lang w:eastAsia="zh-CN"/>
              </w:rPr>
              <w:t>，</w:t>
            </w:r>
            <w:r>
              <w:rPr>
                <w:rFonts w:hint="default" w:ascii="Times New Roman" w:hAnsi="Times New Roman" w:eastAsia="宋体" w:cs="Times New Roman"/>
                <w:color w:val="auto"/>
                <w:szCs w:val="21"/>
                <w:highlight w:val="none"/>
                <w:u w:val="none" w:color="auto"/>
              </w:rPr>
              <w:t>并与机舱、电源、火源等部位隔离。</w:t>
            </w:r>
          </w:p>
          <w:p w14:paraId="006B0B77">
            <w:pPr>
              <w:topLinePunct w:val="0"/>
              <w:bidi w:val="0"/>
              <w:adjustRightInd/>
              <w:snapToGrid/>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rPr>
              <w:t>公路运输时要按规定路线行驶。</w:t>
            </w:r>
          </w:p>
        </w:tc>
      </w:tr>
    </w:tbl>
    <w:p w14:paraId="33F620FA">
      <w:pPr>
        <w:pStyle w:val="17"/>
        <w:numPr>
          <w:ilvl w:val="0"/>
          <w:numId w:val="11"/>
        </w:numPr>
        <w:adjustRightInd/>
        <w:snapToGrid/>
        <w:rPr>
          <w:rFonts w:hint="default" w:ascii="Times New Roman" w:hAnsi="Times New Roman" w:eastAsia="宋体" w:cs="Times New Roman"/>
          <w:b/>
          <w:color w:val="auto"/>
          <w:sz w:val="21"/>
          <w:szCs w:val="21"/>
          <w:highlight w:val="none"/>
          <w:u w:val="none" w:color="auto"/>
        </w:rPr>
      </w:pPr>
      <w:r>
        <w:rPr>
          <w:rFonts w:hint="default" w:ascii="Times New Roman" w:hAnsi="Times New Roman" w:eastAsia="宋体" w:cs="Times New Roman"/>
          <w:b/>
          <w:color w:val="auto"/>
          <w:sz w:val="21"/>
          <w:szCs w:val="21"/>
          <w:highlight w:val="none"/>
          <w:u w:val="none" w:color="auto"/>
        </w:rPr>
        <w:t>液压油的理化性质、危险特性及应急防范措施</w:t>
      </w:r>
    </w:p>
    <w:tbl>
      <w:tblPr>
        <w:tblStyle w:val="31"/>
        <w:tblW w:w="0" w:type="auto"/>
        <w:tblInd w:w="108"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800"/>
        <w:gridCol w:w="2564"/>
        <w:gridCol w:w="2237"/>
        <w:gridCol w:w="2237"/>
      </w:tblGrid>
      <w:tr w14:paraId="0A178F7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800" w:type="dxa"/>
            <w:tcBorders>
              <w:tl2br w:val="nil"/>
              <w:tr2bl w:val="nil"/>
            </w:tcBorders>
            <w:noWrap w:val="0"/>
            <w:vAlign w:val="center"/>
          </w:tcPr>
          <w:p w14:paraId="6F5A9AEE">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中文名称</w:t>
            </w:r>
          </w:p>
        </w:tc>
        <w:tc>
          <w:tcPr>
            <w:tcW w:w="2564" w:type="dxa"/>
            <w:tcBorders>
              <w:tl2br w:val="nil"/>
              <w:tr2bl w:val="nil"/>
            </w:tcBorders>
            <w:noWrap w:val="0"/>
            <w:vAlign w:val="center"/>
          </w:tcPr>
          <w:p w14:paraId="0293D628">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液压油</w:t>
            </w:r>
          </w:p>
        </w:tc>
        <w:tc>
          <w:tcPr>
            <w:tcW w:w="2237" w:type="dxa"/>
            <w:tcBorders>
              <w:tl2br w:val="nil"/>
              <w:tr2bl w:val="nil"/>
            </w:tcBorders>
            <w:noWrap w:val="0"/>
            <w:vAlign w:val="center"/>
          </w:tcPr>
          <w:p w14:paraId="24439F6C">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英文名称</w:t>
            </w:r>
          </w:p>
        </w:tc>
        <w:tc>
          <w:tcPr>
            <w:tcW w:w="2237" w:type="dxa"/>
            <w:tcBorders>
              <w:tl2br w:val="nil"/>
              <w:tr2bl w:val="nil"/>
            </w:tcBorders>
            <w:noWrap w:val="0"/>
            <w:vAlign w:val="center"/>
          </w:tcPr>
          <w:p w14:paraId="63EB16F0">
            <w:pPr>
              <w:topLinePunct w:val="0"/>
              <w:bidi w:val="0"/>
              <w:adjustRightInd/>
              <w:snapToGrid/>
              <w:jc w:val="center"/>
              <w:rPr>
                <w:rFonts w:hint="default" w:ascii="Times New Roman" w:hAnsi="Times New Roman" w:eastAsia="宋体" w:cs="Times New Roman"/>
                <w:color w:val="auto"/>
                <w:highlight w:val="none"/>
                <w:u w:val="none" w:color="auto"/>
              </w:rPr>
            </w:pPr>
          </w:p>
        </w:tc>
      </w:tr>
      <w:tr w14:paraId="7B43E33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800" w:type="dxa"/>
            <w:tcBorders>
              <w:tl2br w:val="nil"/>
              <w:tr2bl w:val="nil"/>
            </w:tcBorders>
            <w:noWrap w:val="0"/>
            <w:vAlign w:val="center"/>
          </w:tcPr>
          <w:p w14:paraId="7583791E">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外观与性状</w:t>
            </w:r>
          </w:p>
        </w:tc>
        <w:tc>
          <w:tcPr>
            <w:tcW w:w="2564" w:type="dxa"/>
            <w:tcBorders>
              <w:tl2br w:val="nil"/>
              <w:tr2bl w:val="nil"/>
            </w:tcBorders>
            <w:noWrap w:val="0"/>
            <w:vAlign w:val="center"/>
          </w:tcPr>
          <w:p w14:paraId="1C6739FB">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淡黄色粘稠液体</w:t>
            </w:r>
          </w:p>
        </w:tc>
        <w:tc>
          <w:tcPr>
            <w:tcW w:w="2237" w:type="dxa"/>
            <w:tcBorders>
              <w:tl2br w:val="nil"/>
              <w:tr2bl w:val="nil"/>
            </w:tcBorders>
            <w:noWrap w:val="0"/>
            <w:vAlign w:val="center"/>
          </w:tcPr>
          <w:p w14:paraId="7E8BAE2B">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闪点</w:t>
            </w:r>
          </w:p>
        </w:tc>
        <w:tc>
          <w:tcPr>
            <w:tcW w:w="2237" w:type="dxa"/>
            <w:tcBorders>
              <w:tl2br w:val="nil"/>
              <w:tr2bl w:val="nil"/>
            </w:tcBorders>
            <w:noWrap w:val="0"/>
            <w:vAlign w:val="center"/>
          </w:tcPr>
          <w:p w14:paraId="64E9BA40">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＞204℃</w:t>
            </w:r>
          </w:p>
        </w:tc>
      </w:tr>
      <w:tr w14:paraId="068D03E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800" w:type="dxa"/>
            <w:tcBorders>
              <w:tl2br w:val="nil"/>
              <w:tr2bl w:val="nil"/>
            </w:tcBorders>
            <w:noWrap w:val="0"/>
            <w:vAlign w:val="center"/>
          </w:tcPr>
          <w:p w14:paraId="577147D7">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蒸汽压</w:t>
            </w:r>
          </w:p>
        </w:tc>
        <w:tc>
          <w:tcPr>
            <w:tcW w:w="2564" w:type="dxa"/>
            <w:tcBorders>
              <w:tl2br w:val="nil"/>
              <w:tr2bl w:val="nil"/>
            </w:tcBorders>
            <w:noWrap w:val="0"/>
            <w:vAlign w:val="center"/>
          </w:tcPr>
          <w:p w14:paraId="46A274B9">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0.13kPa（20℃）</w:t>
            </w:r>
          </w:p>
        </w:tc>
        <w:tc>
          <w:tcPr>
            <w:tcW w:w="2237" w:type="dxa"/>
            <w:tcBorders>
              <w:tl2br w:val="nil"/>
              <w:tr2bl w:val="nil"/>
            </w:tcBorders>
            <w:noWrap w:val="0"/>
            <w:vAlign w:val="center"/>
          </w:tcPr>
          <w:p w14:paraId="22B5043E">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自燃点</w:t>
            </w:r>
          </w:p>
        </w:tc>
        <w:tc>
          <w:tcPr>
            <w:tcW w:w="2237" w:type="dxa"/>
            <w:tcBorders>
              <w:tl2br w:val="nil"/>
              <w:tr2bl w:val="nil"/>
            </w:tcBorders>
            <w:noWrap w:val="0"/>
            <w:vAlign w:val="center"/>
          </w:tcPr>
          <w:p w14:paraId="70E6F537">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b/>
                <w:color w:val="auto"/>
                <w:sz w:val="24"/>
                <w:highlight w:val="none"/>
                <w:u w:val="none" w:color="auto"/>
              </w:rPr>
              <w:t>—</w:t>
            </w:r>
          </w:p>
        </w:tc>
      </w:tr>
      <w:tr w14:paraId="0296C53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800" w:type="dxa"/>
            <w:tcBorders>
              <w:tl2br w:val="nil"/>
              <w:tr2bl w:val="nil"/>
            </w:tcBorders>
            <w:noWrap w:val="0"/>
            <w:vAlign w:val="center"/>
          </w:tcPr>
          <w:p w14:paraId="6DE5D96B">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熔点</w:t>
            </w:r>
          </w:p>
        </w:tc>
        <w:tc>
          <w:tcPr>
            <w:tcW w:w="2564" w:type="dxa"/>
            <w:tcBorders>
              <w:tl2br w:val="nil"/>
              <w:tr2bl w:val="nil"/>
            </w:tcBorders>
            <w:noWrap w:val="0"/>
            <w:vAlign w:val="center"/>
          </w:tcPr>
          <w:p w14:paraId="61725642">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b/>
                <w:color w:val="auto"/>
                <w:sz w:val="24"/>
                <w:highlight w:val="none"/>
                <w:u w:val="none" w:color="auto"/>
              </w:rPr>
              <w:t>—</w:t>
            </w:r>
          </w:p>
        </w:tc>
        <w:tc>
          <w:tcPr>
            <w:tcW w:w="2237" w:type="dxa"/>
            <w:tcBorders>
              <w:tl2br w:val="nil"/>
              <w:tr2bl w:val="nil"/>
            </w:tcBorders>
            <w:noWrap w:val="0"/>
            <w:vAlign w:val="center"/>
          </w:tcPr>
          <w:p w14:paraId="3F9D1AA1">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沸点</w:t>
            </w:r>
          </w:p>
        </w:tc>
        <w:tc>
          <w:tcPr>
            <w:tcW w:w="2237" w:type="dxa"/>
            <w:tcBorders>
              <w:tl2br w:val="nil"/>
              <w:tr2bl w:val="nil"/>
            </w:tcBorders>
            <w:noWrap w:val="0"/>
            <w:vAlign w:val="center"/>
          </w:tcPr>
          <w:p w14:paraId="2422A2D8">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b/>
                <w:color w:val="auto"/>
                <w:sz w:val="24"/>
                <w:highlight w:val="none"/>
                <w:u w:val="none" w:color="auto"/>
              </w:rPr>
              <w:t>—</w:t>
            </w:r>
          </w:p>
        </w:tc>
      </w:tr>
      <w:tr w14:paraId="34C0DAF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800" w:type="dxa"/>
            <w:vMerge w:val="restart"/>
            <w:tcBorders>
              <w:tl2br w:val="nil"/>
              <w:tr2bl w:val="nil"/>
            </w:tcBorders>
            <w:noWrap w:val="0"/>
            <w:vAlign w:val="center"/>
          </w:tcPr>
          <w:p w14:paraId="20C9CDF5">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密度</w:t>
            </w:r>
          </w:p>
        </w:tc>
        <w:tc>
          <w:tcPr>
            <w:tcW w:w="2564" w:type="dxa"/>
            <w:tcBorders>
              <w:tl2br w:val="nil"/>
              <w:tr2bl w:val="nil"/>
            </w:tcBorders>
            <w:noWrap w:val="0"/>
            <w:vAlign w:val="center"/>
          </w:tcPr>
          <w:p w14:paraId="4752C7C2">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相对密度（水=1）0.9</w:t>
            </w:r>
          </w:p>
        </w:tc>
        <w:tc>
          <w:tcPr>
            <w:tcW w:w="2237" w:type="dxa"/>
            <w:tcBorders>
              <w:tl2br w:val="nil"/>
              <w:tr2bl w:val="nil"/>
            </w:tcBorders>
            <w:noWrap w:val="0"/>
            <w:vAlign w:val="center"/>
          </w:tcPr>
          <w:p w14:paraId="411C31F2">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稳定性</w:t>
            </w:r>
          </w:p>
        </w:tc>
        <w:tc>
          <w:tcPr>
            <w:tcW w:w="2237" w:type="dxa"/>
            <w:tcBorders>
              <w:tl2br w:val="nil"/>
              <w:tr2bl w:val="nil"/>
            </w:tcBorders>
            <w:noWrap w:val="0"/>
            <w:vAlign w:val="center"/>
          </w:tcPr>
          <w:p w14:paraId="4D86110B">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稳定</w:t>
            </w:r>
          </w:p>
        </w:tc>
      </w:tr>
      <w:tr w14:paraId="18956E6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800" w:type="dxa"/>
            <w:vMerge w:val="continue"/>
            <w:tcBorders>
              <w:tl2br w:val="nil"/>
              <w:tr2bl w:val="nil"/>
            </w:tcBorders>
            <w:noWrap w:val="0"/>
            <w:vAlign w:val="center"/>
          </w:tcPr>
          <w:p w14:paraId="0C75B00F">
            <w:pPr>
              <w:topLinePunct w:val="0"/>
              <w:bidi w:val="0"/>
              <w:adjustRightInd/>
              <w:snapToGrid/>
              <w:jc w:val="center"/>
              <w:rPr>
                <w:rFonts w:hint="default" w:ascii="Times New Roman" w:hAnsi="Times New Roman" w:eastAsia="宋体" w:cs="Times New Roman"/>
                <w:b/>
                <w:color w:val="auto"/>
                <w:sz w:val="24"/>
                <w:highlight w:val="none"/>
                <w:u w:val="none" w:color="auto"/>
              </w:rPr>
            </w:pPr>
          </w:p>
        </w:tc>
        <w:tc>
          <w:tcPr>
            <w:tcW w:w="2564" w:type="dxa"/>
            <w:tcBorders>
              <w:tl2br w:val="nil"/>
              <w:tr2bl w:val="nil"/>
            </w:tcBorders>
            <w:noWrap w:val="0"/>
            <w:vAlign w:val="center"/>
          </w:tcPr>
          <w:p w14:paraId="76483770">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相对蒸气密度</w:t>
            </w:r>
          </w:p>
          <w:p w14:paraId="5B8A674F">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（空气=1）0.85</w:t>
            </w:r>
          </w:p>
        </w:tc>
        <w:tc>
          <w:tcPr>
            <w:tcW w:w="2237" w:type="dxa"/>
            <w:tcBorders>
              <w:tl2br w:val="nil"/>
              <w:tr2bl w:val="nil"/>
            </w:tcBorders>
            <w:noWrap w:val="0"/>
            <w:vAlign w:val="center"/>
          </w:tcPr>
          <w:p w14:paraId="4F542540">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禁忌物</w:t>
            </w:r>
          </w:p>
        </w:tc>
        <w:tc>
          <w:tcPr>
            <w:tcW w:w="2237" w:type="dxa"/>
            <w:tcBorders>
              <w:tl2br w:val="nil"/>
              <w:tr2bl w:val="nil"/>
            </w:tcBorders>
            <w:noWrap w:val="0"/>
            <w:vAlign w:val="center"/>
          </w:tcPr>
          <w:p w14:paraId="78BB2597">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强氧化剂</w:t>
            </w:r>
          </w:p>
        </w:tc>
      </w:tr>
      <w:tr w14:paraId="6ACBA5C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800" w:type="dxa"/>
            <w:tcBorders>
              <w:tl2br w:val="nil"/>
              <w:tr2bl w:val="nil"/>
            </w:tcBorders>
            <w:noWrap w:val="0"/>
            <w:vAlign w:val="center"/>
          </w:tcPr>
          <w:p w14:paraId="65F34FE2">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燃烧（分解）产物</w:t>
            </w:r>
          </w:p>
        </w:tc>
        <w:tc>
          <w:tcPr>
            <w:tcW w:w="2564" w:type="dxa"/>
            <w:tcBorders>
              <w:tl2br w:val="nil"/>
              <w:tr2bl w:val="nil"/>
            </w:tcBorders>
            <w:noWrap w:val="0"/>
            <w:vAlign w:val="center"/>
          </w:tcPr>
          <w:p w14:paraId="00657BCC">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CO、CO</w:t>
            </w:r>
            <w:r>
              <w:rPr>
                <w:rFonts w:hint="default" w:ascii="Times New Roman" w:hAnsi="Times New Roman" w:eastAsia="宋体" w:cs="Times New Roman"/>
                <w:color w:val="auto"/>
                <w:highlight w:val="none"/>
                <w:u w:val="none" w:color="auto"/>
                <w:vertAlign w:val="subscript"/>
              </w:rPr>
              <w:t>2</w:t>
            </w:r>
            <w:r>
              <w:rPr>
                <w:rFonts w:hint="default" w:ascii="Times New Roman" w:hAnsi="Times New Roman" w:eastAsia="宋体" w:cs="Times New Roman"/>
                <w:color w:val="auto"/>
                <w:highlight w:val="none"/>
                <w:u w:val="none" w:color="auto"/>
              </w:rPr>
              <w:t>等有毒有害气体</w:t>
            </w:r>
          </w:p>
        </w:tc>
        <w:tc>
          <w:tcPr>
            <w:tcW w:w="2237" w:type="dxa"/>
            <w:tcBorders>
              <w:tl2br w:val="nil"/>
              <w:tr2bl w:val="nil"/>
            </w:tcBorders>
            <w:noWrap w:val="0"/>
            <w:vAlign w:val="center"/>
          </w:tcPr>
          <w:p w14:paraId="05DBF8FE">
            <w:pPr>
              <w:topLinePunct w:val="0"/>
              <w:bidi w:val="0"/>
              <w:adjustRightInd/>
              <w:snapToGrid/>
              <w:jc w:val="center"/>
              <w:rPr>
                <w:rFonts w:hint="default" w:ascii="Times New Roman" w:hAnsi="Times New Roman" w:eastAsia="宋体" w:cs="Times New Roman"/>
                <w:b/>
                <w:color w:val="auto"/>
                <w:sz w:val="24"/>
                <w:highlight w:val="none"/>
                <w:u w:val="none" w:color="auto"/>
              </w:rPr>
            </w:pPr>
            <w:r>
              <w:rPr>
                <w:rFonts w:hint="default" w:ascii="Times New Roman" w:hAnsi="Times New Roman" w:eastAsia="宋体" w:cs="Times New Roman"/>
                <w:b/>
                <w:color w:val="auto"/>
                <w:sz w:val="24"/>
                <w:highlight w:val="none"/>
                <w:u w:val="none" w:color="auto"/>
              </w:rPr>
              <w:t>—</w:t>
            </w:r>
          </w:p>
        </w:tc>
        <w:tc>
          <w:tcPr>
            <w:tcW w:w="2237" w:type="dxa"/>
            <w:tcBorders>
              <w:tl2br w:val="nil"/>
              <w:tr2bl w:val="nil"/>
            </w:tcBorders>
            <w:noWrap w:val="0"/>
            <w:vAlign w:val="center"/>
          </w:tcPr>
          <w:p w14:paraId="0473339A">
            <w:pPr>
              <w:topLinePunct w:val="0"/>
              <w:bidi w:val="0"/>
              <w:adjustRightInd/>
              <w:snapToGrid/>
              <w:jc w:val="center"/>
              <w:rPr>
                <w:rFonts w:hint="default" w:ascii="Times New Roman" w:hAnsi="Times New Roman" w:eastAsia="宋体" w:cs="Times New Roman"/>
                <w:b/>
                <w:color w:val="auto"/>
                <w:sz w:val="24"/>
                <w:highlight w:val="none"/>
                <w:u w:val="none" w:color="auto"/>
              </w:rPr>
            </w:pPr>
            <w:r>
              <w:rPr>
                <w:rFonts w:hint="default" w:ascii="Times New Roman" w:hAnsi="Times New Roman" w:eastAsia="宋体" w:cs="Times New Roman"/>
                <w:b/>
                <w:color w:val="auto"/>
                <w:sz w:val="24"/>
                <w:highlight w:val="none"/>
                <w:u w:val="none" w:color="auto"/>
              </w:rPr>
              <w:t>—</w:t>
            </w:r>
          </w:p>
        </w:tc>
      </w:tr>
      <w:tr w14:paraId="661C41D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800" w:type="dxa"/>
            <w:tcBorders>
              <w:tl2br w:val="nil"/>
              <w:tr2bl w:val="nil"/>
            </w:tcBorders>
            <w:noWrap w:val="0"/>
            <w:vAlign w:val="center"/>
          </w:tcPr>
          <w:p w14:paraId="7CB16019">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溶解性</w:t>
            </w:r>
          </w:p>
        </w:tc>
        <w:tc>
          <w:tcPr>
            <w:tcW w:w="7038" w:type="dxa"/>
            <w:gridSpan w:val="3"/>
            <w:tcBorders>
              <w:tl2br w:val="nil"/>
              <w:tr2bl w:val="nil"/>
            </w:tcBorders>
            <w:noWrap w:val="0"/>
            <w:vAlign w:val="center"/>
          </w:tcPr>
          <w:p w14:paraId="5D4121C7">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在水中溶解度：可忽略</w:t>
            </w:r>
            <w:r>
              <w:rPr>
                <w:rFonts w:hint="default" w:ascii="Times New Roman" w:hAnsi="Times New Roman" w:eastAsia="宋体" w:cs="Times New Roman"/>
                <w:color w:val="auto"/>
                <w:highlight w:val="none"/>
                <w:u w:val="none" w:color="auto"/>
                <w:lang w:eastAsia="zh-CN"/>
              </w:rPr>
              <w:t>，</w:t>
            </w:r>
            <w:r>
              <w:rPr>
                <w:rFonts w:hint="default" w:ascii="Times New Roman" w:hAnsi="Times New Roman" w:eastAsia="宋体" w:cs="Times New Roman"/>
                <w:color w:val="auto"/>
                <w:highlight w:val="none"/>
                <w:u w:val="none" w:color="auto"/>
              </w:rPr>
              <w:t>溶于多数有机溶剂</w:t>
            </w:r>
          </w:p>
        </w:tc>
      </w:tr>
      <w:tr w14:paraId="2743CA9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800" w:type="dxa"/>
            <w:tcBorders>
              <w:tl2br w:val="nil"/>
              <w:tr2bl w:val="nil"/>
            </w:tcBorders>
            <w:noWrap w:val="0"/>
            <w:vAlign w:val="center"/>
          </w:tcPr>
          <w:p w14:paraId="731DB7D2">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健康危害</w:t>
            </w:r>
          </w:p>
        </w:tc>
        <w:tc>
          <w:tcPr>
            <w:tcW w:w="7038" w:type="dxa"/>
            <w:gridSpan w:val="3"/>
            <w:tcBorders>
              <w:tl2br w:val="nil"/>
              <w:tr2bl w:val="nil"/>
            </w:tcBorders>
            <w:noWrap w:val="0"/>
            <w:vAlign w:val="center"/>
          </w:tcPr>
          <w:p w14:paraId="414DECA8">
            <w:pPr>
              <w:topLinePunct w:val="0"/>
              <w:bidi w:val="0"/>
              <w:adjustRightInd/>
              <w:snapToGrid/>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健康危害毒性低。过度接触会造成眼部、皮肤或呼吸刺激。皮肤下高压注射可能会引起严重损伤。</w:t>
            </w:r>
          </w:p>
        </w:tc>
      </w:tr>
      <w:tr w14:paraId="6B48E13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800" w:type="dxa"/>
            <w:tcBorders>
              <w:tl2br w:val="nil"/>
              <w:tr2bl w:val="nil"/>
            </w:tcBorders>
            <w:noWrap w:val="0"/>
            <w:vAlign w:val="center"/>
          </w:tcPr>
          <w:p w14:paraId="63AAD3C0">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灭火方法</w:t>
            </w:r>
          </w:p>
        </w:tc>
        <w:tc>
          <w:tcPr>
            <w:tcW w:w="7038" w:type="dxa"/>
            <w:gridSpan w:val="3"/>
            <w:tcBorders>
              <w:tl2br w:val="nil"/>
              <w:tr2bl w:val="nil"/>
            </w:tcBorders>
            <w:noWrap w:val="0"/>
            <w:vAlign w:val="center"/>
          </w:tcPr>
          <w:p w14:paraId="683FAE5C">
            <w:pPr>
              <w:topLinePunct w:val="0"/>
              <w:bidi w:val="0"/>
              <w:adjustRightInd/>
              <w:snapToGrid/>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灭火介质：适当的灭火介质：使用消防水雾、泡沫、干化学制剂（ 干粉 ）或者二氧化碳（CO</w:t>
            </w:r>
            <w:r>
              <w:rPr>
                <w:rFonts w:hint="default" w:ascii="Times New Roman" w:hAnsi="Times New Roman" w:eastAsia="宋体" w:cs="Times New Roman"/>
                <w:color w:val="auto"/>
                <w:highlight w:val="none"/>
                <w:u w:val="none" w:color="auto"/>
                <w:vertAlign w:val="subscript"/>
              </w:rPr>
              <w:t>2</w:t>
            </w:r>
            <w:r>
              <w:rPr>
                <w:rFonts w:hint="default" w:ascii="Times New Roman" w:hAnsi="Times New Roman" w:eastAsia="宋体" w:cs="Times New Roman"/>
                <w:color w:val="auto"/>
                <w:highlight w:val="none"/>
                <w:u w:val="none" w:color="auto"/>
              </w:rPr>
              <w:t>） 灭火。不当的灭火介质：直接使用水。</w:t>
            </w:r>
          </w:p>
        </w:tc>
      </w:tr>
      <w:tr w14:paraId="10D1685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800" w:type="dxa"/>
            <w:tcBorders>
              <w:tl2br w:val="nil"/>
              <w:tr2bl w:val="nil"/>
            </w:tcBorders>
            <w:noWrap w:val="0"/>
            <w:vAlign w:val="center"/>
          </w:tcPr>
          <w:p w14:paraId="1264E749">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泄漏应急处理</w:t>
            </w:r>
          </w:p>
        </w:tc>
        <w:tc>
          <w:tcPr>
            <w:tcW w:w="7038" w:type="dxa"/>
            <w:gridSpan w:val="3"/>
            <w:tcBorders>
              <w:tl2br w:val="nil"/>
              <w:tr2bl w:val="nil"/>
            </w:tcBorders>
            <w:noWrap w:val="0"/>
            <w:vAlign w:val="center"/>
          </w:tcPr>
          <w:p w14:paraId="39FB6BC8">
            <w:pPr>
              <w:topLinePunct w:val="0"/>
              <w:bidi w:val="0"/>
              <w:adjustRightInd/>
              <w:snapToGrid/>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rPr>
              <w:t>如果没有危险</w:t>
            </w:r>
            <w:r>
              <w:rPr>
                <w:rFonts w:hint="default" w:ascii="Times New Roman" w:hAnsi="Times New Roman" w:eastAsia="宋体" w:cs="Times New Roman"/>
                <w:color w:val="auto"/>
                <w:szCs w:val="21"/>
                <w:highlight w:val="none"/>
                <w:u w:val="none" w:color="auto"/>
                <w:lang w:eastAsia="zh-CN"/>
              </w:rPr>
              <w:t>，</w:t>
            </w:r>
            <w:r>
              <w:rPr>
                <w:rFonts w:hint="default" w:ascii="Times New Roman" w:hAnsi="Times New Roman" w:eastAsia="宋体" w:cs="Times New Roman"/>
                <w:color w:val="auto"/>
                <w:szCs w:val="21"/>
                <w:highlight w:val="none"/>
                <w:u w:val="none" w:color="auto"/>
              </w:rPr>
              <w:t>可以采取行动阻止泄漏。通过泵或者使用合适的吸附剂回收。</w:t>
            </w:r>
          </w:p>
        </w:tc>
      </w:tr>
      <w:tr w14:paraId="667CEE1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800" w:type="dxa"/>
            <w:tcBorders>
              <w:tl2br w:val="nil"/>
              <w:tr2bl w:val="nil"/>
            </w:tcBorders>
            <w:noWrap w:val="0"/>
            <w:vAlign w:val="center"/>
          </w:tcPr>
          <w:p w14:paraId="5AE30EF4">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防护措施</w:t>
            </w:r>
          </w:p>
        </w:tc>
        <w:tc>
          <w:tcPr>
            <w:tcW w:w="7038" w:type="dxa"/>
            <w:gridSpan w:val="3"/>
            <w:tcBorders>
              <w:tl2br w:val="nil"/>
              <w:tr2bl w:val="nil"/>
            </w:tcBorders>
            <w:noWrap w:val="0"/>
            <w:vAlign w:val="center"/>
          </w:tcPr>
          <w:p w14:paraId="71C03ECC">
            <w:pPr>
              <w:topLinePunct w:val="0"/>
              <w:bidi w:val="0"/>
              <w:adjustRightInd/>
              <w:snapToGrid/>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rPr>
              <w:t>呼吸系统防护：空气中浓度超标时</w:t>
            </w:r>
            <w:r>
              <w:rPr>
                <w:rFonts w:hint="default" w:ascii="Times New Roman" w:hAnsi="Times New Roman" w:eastAsia="宋体" w:cs="Times New Roman"/>
                <w:color w:val="auto"/>
                <w:szCs w:val="21"/>
                <w:highlight w:val="none"/>
                <w:u w:val="none" w:color="auto"/>
                <w:lang w:eastAsia="zh-CN"/>
              </w:rPr>
              <w:t>，</w:t>
            </w:r>
            <w:r>
              <w:rPr>
                <w:rFonts w:hint="default" w:ascii="Times New Roman" w:hAnsi="Times New Roman" w:eastAsia="宋体" w:cs="Times New Roman"/>
                <w:color w:val="auto"/>
                <w:szCs w:val="21"/>
                <w:highlight w:val="none"/>
                <w:u w:val="none" w:color="auto"/>
              </w:rPr>
              <w:t>必须佩戴自吸过滤式防毒面具（半面罩）；紧急事态抢救或撤离时</w:t>
            </w:r>
            <w:r>
              <w:rPr>
                <w:rFonts w:hint="default" w:ascii="Times New Roman" w:hAnsi="Times New Roman" w:eastAsia="宋体" w:cs="Times New Roman"/>
                <w:color w:val="auto"/>
                <w:szCs w:val="21"/>
                <w:highlight w:val="none"/>
                <w:u w:val="none" w:color="auto"/>
                <w:lang w:eastAsia="zh-CN"/>
              </w:rPr>
              <w:t>，</w:t>
            </w:r>
            <w:r>
              <w:rPr>
                <w:rFonts w:hint="default" w:ascii="Times New Roman" w:hAnsi="Times New Roman" w:eastAsia="宋体" w:cs="Times New Roman"/>
                <w:color w:val="auto"/>
                <w:szCs w:val="21"/>
                <w:highlight w:val="none"/>
                <w:u w:val="none" w:color="auto"/>
              </w:rPr>
              <w:t>应佩戴空气呼吸器。</w:t>
            </w:r>
          </w:p>
          <w:p w14:paraId="108E36D5">
            <w:pPr>
              <w:topLinePunct w:val="0"/>
              <w:bidi w:val="0"/>
              <w:adjustRightInd/>
              <w:snapToGrid/>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rPr>
              <w:t>眼睛防护：戴化学安全防护眼镜。</w:t>
            </w:r>
          </w:p>
          <w:p w14:paraId="457D0CED">
            <w:pPr>
              <w:topLinePunct w:val="0"/>
              <w:bidi w:val="0"/>
              <w:adjustRightInd/>
              <w:snapToGrid/>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rPr>
              <w:t>身体防护：穿防毒渗透工作服。</w:t>
            </w:r>
          </w:p>
          <w:p w14:paraId="4DFDCA61">
            <w:pPr>
              <w:topLinePunct w:val="0"/>
              <w:bidi w:val="0"/>
              <w:adjustRightInd/>
              <w:snapToGrid/>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rPr>
              <w:t>手防护：戴橡胶耐油手套。</w:t>
            </w:r>
          </w:p>
          <w:p w14:paraId="6C8E12F6">
            <w:pPr>
              <w:topLinePunct w:val="0"/>
              <w:bidi w:val="0"/>
              <w:adjustRightInd/>
              <w:snapToGrid/>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rPr>
              <w:t>其他：工作现场严禁吸烟</w:t>
            </w:r>
            <w:r>
              <w:rPr>
                <w:rFonts w:hint="default" w:ascii="Times New Roman" w:hAnsi="Times New Roman" w:eastAsia="宋体" w:cs="Times New Roman"/>
                <w:color w:val="auto"/>
                <w:szCs w:val="21"/>
                <w:highlight w:val="none"/>
                <w:u w:val="none" w:color="auto"/>
                <w:lang w:eastAsia="zh-CN"/>
              </w:rPr>
              <w:t>，</w:t>
            </w:r>
            <w:r>
              <w:rPr>
                <w:rFonts w:hint="default" w:ascii="Times New Roman" w:hAnsi="Times New Roman" w:eastAsia="宋体" w:cs="Times New Roman"/>
                <w:color w:val="auto"/>
                <w:szCs w:val="21"/>
                <w:highlight w:val="none"/>
                <w:u w:val="none" w:color="auto"/>
              </w:rPr>
              <w:t>避免长期反复接触。</w:t>
            </w:r>
          </w:p>
        </w:tc>
      </w:tr>
      <w:tr w14:paraId="5FB71EC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800" w:type="dxa"/>
            <w:tcBorders>
              <w:tl2br w:val="nil"/>
              <w:tr2bl w:val="nil"/>
            </w:tcBorders>
            <w:noWrap w:val="0"/>
            <w:vAlign w:val="center"/>
          </w:tcPr>
          <w:p w14:paraId="6A41E428">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急救措施</w:t>
            </w:r>
          </w:p>
        </w:tc>
        <w:tc>
          <w:tcPr>
            <w:tcW w:w="7038" w:type="dxa"/>
            <w:gridSpan w:val="3"/>
            <w:tcBorders>
              <w:tl2br w:val="nil"/>
              <w:tr2bl w:val="nil"/>
            </w:tcBorders>
            <w:noWrap w:val="0"/>
            <w:vAlign w:val="center"/>
          </w:tcPr>
          <w:p w14:paraId="08F1347D">
            <w:pPr>
              <w:topLinePunct w:val="0"/>
              <w:bidi w:val="0"/>
              <w:adjustRightInd/>
              <w:snapToGrid/>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rPr>
              <w:t>吸收：避免进一步吸入接触。对于那些提供帮助的人员</w:t>
            </w:r>
            <w:r>
              <w:rPr>
                <w:rFonts w:hint="default" w:ascii="Times New Roman" w:hAnsi="Times New Roman" w:eastAsia="宋体" w:cs="Times New Roman"/>
                <w:color w:val="auto"/>
                <w:szCs w:val="21"/>
                <w:highlight w:val="none"/>
                <w:u w:val="none" w:color="auto"/>
                <w:lang w:eastAsia="zh-CN"/>
              </w:rPr>
              <w:t>，</w:t>
            </w:r>
            <w:r>
              <w:rPr>
                <w:rFonts w:hint="default" w:ascii="Times New Roman" w:hAnsi="Times New Roman" w:eastAsia="宋体" w:cs="Times New Roman"/>
                <w:color w:val="auto"/>
                <w:szCs w:val="21"/>
                <w:highlight w:val="none"/>
                <w:u w:val="none" w:color="auto"/>
              </w:rPr>
              <w:t>应使您或者其他人避免吸入。进行充分的呼吸防护。如果出现呼吸刺激、头昏、恶心、或者神志不清</w:t>
            </w:r>
            <w:r>
              <w:rPr>
                <w:rFonts w:hint="default" w:ascii="Times New Roman" w:hAnsi="Times New Roman" w:eastAsia="宋体" w:cs="Times New Roman"/>
                <w:color w:val="auto"/>
                <w:szCs w:val="21"/>
                <w:highlight w:val="none"/>
                <w:u w:val="none" w:color="auto"/>
                <w:lang w:eastAsia="zh-CN"/>
              </w:rPr>
              <w:t>，</w:t>
            </w:r>
            <w:r>
              <w:rPr>
                <w:rFonts w:hint="default" w:ascii="Times New Roman" w:hAnsi="Times New Roman" w:eastAsia="宋体" w:cs="Times New Roman"/>
                <w:color w:val="auto"/>
                <w:szCs w:val="21"/>
                <w:highlight w:val="none"/>
                <w:u w:val="none" w:color="auto"/>
              </w:rPr>
              <w:t>请立刻就医。如果呼吸停止</w:t>
            </w:r>
            <w:r>
              <w:rPr>
                <w:rFonts w:hint="default" w:ascii="Times New Roman" w:hAnsi="Times New Roman" w:eastAsia="宋体" w:cs="Times New Roman"/>
                <w:color w:val="auto"/>
                <w:szCs w:val="21"/>
                <w:highlight w:val="none"/>
                <w:u w:val="none" w:color="auto"/>
                <w:lang w:eastAsia="zh-CN"/>
              </w:rPr>
              <w:t>，</w:t>
            </w:r>
            <w:r>
              <w:rPr>
                <w:rFonts w:hint="default" w:ascii="Times New Roman" w:hAnsi="Times New Roman" w:eastAsia="宋体" w:cs="Times New Roman"/>
                <w:color w:val="auto"/>
                <w:szCs w:val="21"/>
                <w:highlight w:val="none"/>
                <w:u w:val="none" w:color="auto"/>
              </w:rPr>
              <w:t>请使用机械设备帮助通风</w:t>
            </w:r>
            <w:r>
              <w:rPr>
                <w:rFonts w:hint="default" w:ascii="Times New Roman" w:hAnsi="Times New Roman" w:eastAsia="宋体" w:cs="Times New Roman"/>
                <w:color w:val="auto"/>
                <w:szCs w:val="21"/>
                <w:highlight w:val="none"/>
                <w:u w:val="none" w:color="auto"/>
                <w:lang w:eastAsia="zh-CN"/>
              </w:rPr>
              <w:t>，</w:t>
            </w:r>
            <w:r>
              <w:rPr>
                <w:rFonts w:hint="default" w:ascii="Times New Roman" w:hAnsi="Times New Roman" w:eastAsia="宋体" w:cs="Times New Roman"/>
                <w:color w:val="auto"/>
                <w:szCs w:val="21"/>
                <w:highlight w:val="none"/>
                <w:u w:val="none" w:color="auto"/>
              </w:rPr>
              <w:t>或者进行嘴对嘴人工呼吸急救。</w:t>
            </w:r>
          </w:p>
          <w:p w14:paraId="257E6217">
            <w:pPr>
              <w:topLinePunct w:val="0"/>
              <w:bidi w:val="0"/>
              <w:adjustRightInd/>
              <w:snapToGrid/>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rPr>
              <w:t>皮肤接触：用肥皂和水清洗接触的部位。如果产品被注入皮下或者人体任何部位</w:t>
            </w:r>
            <w:r>
              <w:rPr>
                <w:rFonts w:hint="default" w:ascii="Times New Roman" w:hAnsi="Times New Roman" w:eastAsia="宋体" w:cs="Times New Roman"/>
                <w:color w:val="auto"/>
                <w:szCs w:val="21"/>
                <w:highlight w:val="none"/>
                <w:u w:val="none" w:color="auto"/>
                <w:lang w:eastAsia="zh-CN"/>
              </w:rPr>
              <w:t>，</w:t>
            </w:r>
            <w:r>
              <w:rPr>
                <w:rFonts w:hint="default" w:ascii="Times New Roman" w:hAnsi="Times New Roman" w:eastAsia="宋体" w:cs="Times New Roman"/>
                <w:color w:val="auto"/>
                <w:szCs w:val="21"/>
                <w:highlight w:val="none"/>
                <w:u w:val="none" w:color="auto"/>
              </w:rPr>
              <w:t>无论伤口的外观或大小如何</w:t>
            </w:r>
            <w:r>
              <w:rPr>
                <w:rFonts w:hint="default" w:ascii="Times New Roman" w:hAnsi="Times New Roman" w:eastAsia="宋体" w:cs="Times New Roman"/>
                <w:color w:val="auto"/>
                <w:szCs w:val="21"/>
                <w:highlight w:val="none"/>
                <w:u w:val="none" w:color="auto"/>
                <w:lang w:eastAsia="zh-CN"/>
              </w:rPr>
              <w:t>，</w:t>
            </w:r>
            <w:r>
              <w:rPr>
                <w:rFonts w:hint="default" w:ascii="Times New Roman" w:hAnsi="Times New Roman" w:eastAsia="宋体" w:cs="Times New Roman"/>
                <w:color w:val="auto"/>
                <w:szCs w:val="21"/>
                <w:highlight w:val="none"/>
                <w:u w:val="none" w:color="auto"/>
              </w:rPr>
              <w:t>被注射者必须立即由医生依照外科急救进行检查。</w:t>
            </w:r>
          </w:p>
          <w:p w14:paraId="4D0DB3DE">
            <w:pPr>
              <w:topLinePunct w:val="0"/>
              <w:bidi w:val="0"/>
              <w:adjustRightInd/>
              <w:snapToGrid/>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rPr>
              <w:t>即使高压注入后的最初症状轻微或者无症状</w:t>
            </w:r>
            <w:r>
              <w:rPr>
                <w:rFonts w:hint="default" w:ascii="Times New Roman" w:hAnsi="Times New Roman" w:eastAsia="宋体" w:cs="Times New Roman"/>
                <w:color w:val="auto"/>
                <w:szCs w:val="21"/>
                <w:highlight w:val="none"/>
                <w:u w:val="none" w:color="auto"/>
                <w:lang w:eastAsia="zh-CN"/>
              </w:rPr>
              <w:t>，</w:t>
            </w:r>
            <w:r>
              <w:rPr>
                <w:rFonts w:hint="default" w:ascii="Times New Roman" w:hAnsi="Times New Roman" w:eastAsia="宋体" w:cs="Times New Roman"/>
                <w:color w:val="auto"/>
                <w:szCs w:val="21"/>
                <w:highlight w:val="none"/>
                <w:u w:val="none" w:color="auto"/>
              </w:rPr>
              <w:t>在事故最初几个小时内及早进行外科处理可以显著减少最终伤害的程度。</w:t>
            </w:r>
          </w:p>
          <w:p w14:paraId="7A3E173C">
            <w:pPr>
              <w:topLinePunct w:val="0"/>
              <w:bidi w:val="0"/>
              <w:adjustRightInd/>
              <w:snapToGrid/>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rPr>
              <w:t>眼睛接触：用水彻底冲洗。若发生刺激</w:t>
            </w:r>
            <w:r>
              <w:rPr>
                <w:rFonts w:hint="default" w:ascii="Times New Roman" w:hAnsi="Times New Roman" w:eastAsia="宋体" w:cs="Times New Roman"/>
                <w:color w:val="auto"/>
                <w:szCs w:val="21"/>
                <w:highlight w:val="none"/>
                <w:u w:val="none" w:color="auto"/>
                <w:lang w:eastAsia="zh-CN"/>
              </w:rPr>
              <w:t>，</w:t>
            </w:r>
            <w:r>
              <w:rPr>
                <w:rFonts w:hint="default" w:ascii="Times New Roman" w:hAnsi="Times New Roman" w:eastAsia="宋体" w:cs="Times New Roman"/>
                <w:color w:val="auto"/>
                <w:szCs w:val="21"/>
                <w:highlight w:val="none"/>
                <w:u w:val="none" w:color="auto"/>
              </w:rPr>
              <w:t>寻求医疗援助。</w:t>
            </w:r>
          </w:p>
          <w:p w14:paraId="4507DDFB">
            <w:pPr>
              <w:topLinePunct w:val="0"/>
              <w:bidi w:val="0"/>
              <w:adjustRightInd/>
              <w:snapToGrid/>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rPr>
              <w:t>食入：通常不需急救。如果感觉不适请就医。</w:t>
            </w:r>
          </w:p>
        </w:tc>
      </w:tr>
      <w:tr w14:paraId="29A247A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800" w:type="dxa"/>
            <w:tcBorders>
              <w:tl2br w:val="nil"/>
              <w:tr2bl w:val="nil"/>
            </w:tcBorders>
            <w:noWrap w:val="0"/>
            <w:vAlign w:val="center"/>
          </w:tcPr>
          <w:p w14:paraId="49C3D295">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储存要求</w:t>
            </w:r>
          </w:p>
        </w:tc>
        <w:tc>
          <w:tcPr>
            <w:tcW w:w="7038" w:type="dxa"/>
            <w:gridSpan w:val="3"/>
            <w:tcBorders>
              <w:tl2br w:val="nil"/>
              <w:tr2bl w:val="nil"/>
            </w:tcBorders>
            <w:noWrap w:val="0"/>
            <w:vAlign w:val="center"/>
          </w:tcPr>
          <w:p w14:paraId="74AA75E0">
            <w:pPr>
              <w:topLinePunct w:val="0"/>
              <w:bidi w:val="0"/>
              <w:adjustRightInd/>
              <w:snapToGrid/>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rPr>
              <w:t>储存于阴凉、通风的库房。远离火种、热源。应与氧化剂分开存放</w:t>
            </w:r>
            <w:r>
              <w:rPr>
                <w:rFonts w:hint="default" w:ascii="Times New Roman" w:hAnsi="Times New Roman" w:eastAsia="宋体" w:cs="Times New Roman"/>
                <w:color w:val="auto"/>
                <w:szCs w:val="21"/>
                <w:highlight w:val="none"/>
                <w:u w:val="none" w:color="auto"/>
                <w:lang w:eastAsia="zh-CN"/>
              </w:rPr>
              <w:t>，</w:t>
            </w:r>
            <w:r>
              <w:rPr>
                <w:rFonts w:hint="default" w:ascii="Times New Roman" w:hAnsi="Times New Roman" w:eastAsia="宋体" w:cs="Times New Roman"/>
                <w:color w:val="auto"/>
                <w:szCs w:val="21"/>
                <w:highlight w:val="none"/>
                <w:u w:val="none" w:color="auto"/>
              </w:rPr>
              <w:t>切忌混储。配备相应品种和数量的消防器材。储区应备有泄漏应急处 理设备和合适的收容材料。</w:t>
            </w:r>
          </w:p>
        </w:tc>
      </w:tr>
      <w:tr w14:paraId="5C24D94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800" w:type="dxa"/>
            <w:tcBorders>
              <w:tl2br w:val="nil"/>
              <w:tr2bl w:val="nil"/>
            </w:tcBorders>
            <w:noWrap w:val="0"/>
            <w:vAlign w:val="center"/>
          </w:tcPr>
          <w:p w14:paraId="00565146">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运输要求</w:t>
            </w:r>
          </w:p>
        </w:tc>
        <w:tc>
          <w:tcPr>
            <w:tcW w:w="7038" w:type="dxa"/>
            <w:gridSpan w:val="3"/>
            <w:tcBorders>
              <w:tl2br w:val="nil"/>
              <w:tr2bl w:val="nil"/>
            </w:tcBorders>
            <w:noWrap w:val="0"/>
            <w:vAlign w:val="center"/>
          </w:tcPr>
          <w:p w14:paraId="793C3C3C">
            <w:pPr>
              <w:topLinePunct w:val="0"/>
              <w:bidi w:val="0"/>
              <w:adjustRightInd/>
              <w:snapToGrid/>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rPr>
              <w:t>陆路运输未受管制</w:t>
            </w:r>
          </w:p>
        </w:tc>
      </w:tr>
    </w:tbl>
    <w:p w14:paraId="25AECCE6">
      <w:pPr>
        <w:pStyle w:val="17"/>
        <w:numPr>
          <w:ilvl w:val="0"/>
          <w:numId w:val="11"/>
        </w:numPr>
        <w:adjustRightInd/>
        <w:snapToGrid/>
        <w:rPr>
          <w:rFonts w:hint="default" w:ascii="Times New Roman" w:hAnsi="Times New Roman" w:eastAsia="宋体" w:cs="Times New Roman"/>
          <w:b/>
          <w:color w:val="auto"/>
          <w:sz w:val="21"/>
          <w:szCs w:val="21"/>
          <w:highlight w:val="none"/>
          <w:u w:val="none" w:color="auto"/>
        </w:rPr>
      </w:pPr>
      <w:r>
        <w:rPr>
          <w:rFonts w:hint="default" w:ascii="Times New Roman" w:hAnsi="Times New Roman" w:eastAsia="宋体" w:cs="Times New Roman"/>
          <w:b/>
          <w:color w:val="auto"/>
          <w:sz w:val="21"/>
          <w:szCs w:val="21"/>
          <w:highlight w:val="none"/>
          <w:u w:val="none" w:color="auto"/>
        </w:rPr>
        <w:t>乳液（切削油）的理化性质、危险特性及应急防范措施</w:t>
      </w:r>
    </w:p>
    <w:tbl>
      <w:tblPr>
        <w:tblStyle w:val="31"/>
        <w:tblW w:w="0" w:type="auto"/>
        <w:tblInd w:w="108"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800"/>
        <w:gridCol w:w="2564"/>
        <w:gridCol w:w="2237"/>
        <w:gridCol w:w="2237"/>
      </w:tblGrid>
      <w:tr w14:paraId="7298A52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800" w:type="dxa"/>
            <w:tcBorders>
              <w:tl2br w:val="nil"/>
              <w:tr2bl w:val="nil"/>
            </w:tcBorders>
            <w:noWrap w:val="0"/>
            <w:vAlign w:val="center"/>
          </w:tcPr>
          <w:p w14:paraId="2AE2B73E">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化学名称</w:t>
            </w:r>
          </w:p>
        </w:tc>
        <w:tc>
          <w:tcPr>
            <w:tcW w:w="2564" w:type="dxa"/>
            <w:tcBorders>
              <w:tl2br w:val="nil"/>
              <w:tr2bl w:val="nil"/>
            </w:tcBorders>
            <w:noWrap w:val="0"/>
            <w:vAlign w:val="center"/>
          </w:tcPr>
          <w:p w14:paraId="671184EF">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切削油</w:t>
            </w:r>
          </w:p>
        </w:tc>
        <w:tc>
          <w:tcPr>
            <w:tcW w:w="2237" w:type="dxa"/>
            <w:tcBorders>
              <w:tl2br w:val="nil"/>
              <w:tr2bl w:val="nil"/>
            </w:tcBorders>
            <w:noWrap w:val="0"/>
            <w:vAlign w:val="center"/>
          </w:tcPr>
          <w:p w14:paraId="64E1B411">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英文名称</w:t>
            </w:r>
          </w:p>
        </w:tc>
        <w:tc>
          <w:tcPr>
            <w:tcW w:w="2237" w:type="dxa"/>
            <w:tcBorders>
              <w:tl2br w:val="nil"/>
              <w:tr2bl w:val="nil"/>
            </w:tcBorders>
            <w:noWrap w:val="0"/>
            <w:vAlign w:val="center"/>
          </w:tcPr>
          <w:p w14:paraId="4AA2FA17">
            <w:pPr>
              <w:topLinePunct w:val="0"/>
              <w:bidi w:val="0"/>
              <w:adjustRightInd/>
              <w:snapToGrid/>
              <w:jc w:val="center"/>
              <w:rPr>
                <w:rFonts w:hint="default" w:ascii="Times New Roman" w:hAnsi="Times New Roman" w:eastAsia="宋体" w:cs="Times New Roman"/>
                <w:color w:val="auto"/>
                <w:highlight w:val="none"/>
                <w:u w:val="none" w:color="auto"/>
              </w:rPr>
            </w:pPr>
          </w:p>
        </w:tc>
      </w:tr>
      <w:tr w14:paraId="5F2635F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800" w:type="dxa"/>
            <w:tcBorders>
              <w:tl2br w:val="nil"/>
              <w:tr2bl w:val="nil"/>
            </w:tcBorders>
            <w:noWrap w:val="0"/>
            <w:vAlign w:val="center"/>
          </w:tcPr>
          <w:p w14:paraId="0B887941">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外观与性状</w:t>
            </w:r>
          </w:p>
        </w:tc>
        <w:tc>
          <w:tcPr>
            <w:tcW w:w="2564" w:type="dxa"/>
            <w:tcBorders>
              <w:tl2br w:val="nil"/>
              <w:tr2bl w:val="nil"/>
            </w:tcBorders>
            <w:noWrap w:val="0"/>
            <w:vAlign w:val="center"/>
          </w:tcPr>
          <w:p w14:paraId="2AA20B6B">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白色液体</w:t>
            </w:r>
            <w:r>
              <w:rPr>
                <w:rFonts w:hint="default" w:ascii="Times New Roman" w:hAnsi="Times New Roman" w:eastAsia="宋体" w:cs="Times New Roman"/>
                <w:color w:val="auto"/>
                <w:highlight w:val="none"/>
                <w:u w:val="none" w:color="auto"/>
                <w:lang w:eastAsia="zh-CN"/>
              </w:rPr>
              <w:t>，</w:t>
            </w:r>
            <w:r>
              <w:rPr>
                <w:rFonts w:hint="default" w:ascii="Times New Roman" w:hAnsi="Times New Roman" w:eastAsia="宋体" w:cs="Times New Roman"/>
                <w:color w:val="auto"/>
                <w:highlight w:val="none"/>
                <w:u w:val="none" w:color="auto"/>
              </w:rPr>
              <w:t>有轻微的碳氢化合物气味</w:t>
            </w:r>
          </w:p>
        </w:tc>
        <w:tc>
          <w:tcPr>
            <w:tcW w:w="2237" w:type="dxa"/>
            <w:tcBorders>
              <w:tl2br w:val="nil"/>
              <w:tr2bl w:val="nil"/>
            </w:tcBorders>
            <w:noWrap w:val="0"/>
            <w:vAlign w:val="center"/>
          </w:tcPr>
          <w:p w14:paraId="00C79B92">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闪点</w:t>
            </w:r>
          </w:p>
        </w:tc>
        <w:tc>
          <w:tcPr>
            <w:tcW w:w="2237" w:type="dxa"/>
            <w:tcBorders>
              <w:tl2br w:val="nil"/>
              <w:tr2bl w:val="nil"/>
            </w:tcBorders>
            <w:noWrap w:val="0"/>
            <w:vAlign w:val="center"/>
          </w:tcPr>
          <w:p w14:paraId="40A2213F">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＞124℃</w:t>
            </w:r>
          </w:p>
        </w:tc>
      </w:tr>
      <w:tr w14:paraId="152F05E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800" w:type="dxa"/>
            <w:tcBorders>
              <w:tl2br w:val="nil"/>
              <w:tr2bl w:val="nil"/>
            </w:tcBorders>
            <w:noWrap w:val="0"/>
            <w:vAlign w:val="center"/>
          </w:tcPr>
          <w:p w14:paraId="68078292">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蒸汽压</w:t>
            </w:r>
          </w:p>
        </w:tc>
        <w:tc>
          <w:tcPr>
            <w:tcW w:w="2564" w:type="dxa"/>
            <w:tcBorders>
              <w:tl2br w:val="nil"/>
              <w:tr2bl w:val="nil"/>
            </w:tcBorders>
            <w:noWrap w:val="0"/>
            <w:vAlign w:val="center"/>
          </w:tcPr>
          <w:p w14:paraId="3213612B">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b/>
                <w:color w:val="auto"/>
                <w:sz w:val="24"/>
                <w:highlight w:val="none"/>
                <w:u w:val="none" w:color="auto"/>
              </w:rPr>
              <w:t>—</w:t>
            </w:r>
          </w:p>
        </w:tc>
        <w:tc>
          <w:tcPr>
            <w:tcW w:w="2237" w:type="dxa"/>
            <w:tcBorders>
              <w:tl2br w:val="nil"/>
              <w:tr2bl w:val="nil"/>
            </w:tcBorders>
            <w:noWrap w:val="0"/>
            <w:vAlign w:val="center"/>
          </w:tcPr>
          <w:p w14:paraId="5B1AA2C6">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自燃点</w:t>
            </w:r>
          </w:p>
        </w:tc>
        <w:tc>
          <w:tcPr>
            <w:tcW w:w="2237" w:type="dxa"/>
            <w:tcBorders>
              <w:tl2br w:val="nil"/>
              <w:tr2bl w:val="nil"/>
            </w:tcBorders>
            <w:noWrap w:val="0"/>
            <w:vAlign w:val="center"/>
          </w:tcPr>
          <w:p w14:paraId="6519E91E">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b/>
                <w:color w:val="auto"/>
                <w:sz w:val="24"/>
                <w:highlight w:val="none"/>
                <w:u w:val="none" w:color="auto"/>
              </w:rPr>
              <w:t>—</w:t>
            </w:r>
          </w:p>
        </w:tc>
      </w:tr>
      <w:tr w14:paraId="010D678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273" w:hRule="atLeast"/>
        </w:trPr>
        <w:tc>
          <w:tcPr>
            <w:tcW w:w="1800" w:type="dxa"/>
            <w:tcBorders>
              <w:tl2br w:val="nil"/>
              <w:tr2bl w:val="nil"/>
            </w:tcBorders>
            <w:noWrap w:val="0"/>
            <w:vAlign w:val="center"/>
          </w:tcPr>
          <w:p w14:paraId="7F846B22">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熔点</w:t>
            </w:r>
          </w:p>
        </w:tc>
        <w:tc>
          <w:tcPr>
            <w:tcW w:w="2564" w:type="dxa"/>
            <w:tcBorders>
              <w:tl2br w:val="nil"/>
              <w:tr2bl w:val="nil"/>
            </w:tcBorders>
            <w:noWrap w:val="0"/>
            <w:vAlign w:val="center"/>
          </w:tcPr>
          <w:p w14:paraId="22FD0CB7">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b/>
                <w:color w:val="auto"/>
                <w:sz w:val="24"/>
                <w:highlight w:val="none"/>
                <w:u w:val="none" w:color="auto"/>
              </w:rPr>
              <w:t>—</w:t>
            </w:r>
          </w:p>
        </w:tc>
        <w:tc>
          <w:tcPr>
            <w:tcW w:w="2237" w:type="dxa"/>
            <w:tcBorders>
              <w:tl2br w:val="nil"/>
              <w:tr2bl w:val="nil"/>
            </w:tcBorders>
            <w:noWrap w:val="0"/>
            <w:vAlign w:val="center"/>
          </w:tcPr>
          <w:p w14:paraId="6C4B026C">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沸点</w:t>
            </w:r>
          </w:p>
        </w:tc>
        <w:tc>
          <w:tcPr>
            <w:tcW w:w="2237" w:type="dxa"/>
            <w:tcBorders>
              <w:tl2br w:val="nil"/>
              <w:tr2bl w:val="nil"/>
            </w:tcBorders>
            <w:noWrap w:val="0"/>
            <w:vAlign w:val="center"/>
          </w:tcPr>
          <w:p w14:paraId="69A61CE5">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b/>
                <w:color w:val="auto"/>
                <w:sz w:val="24"/>
                <w:highlight w:val="none"/>
                <w:u w:val="none" w:color="auto"/>
              </w:rPr>
              <w:t>—</w:t>
            </w:r>
          </w:p>
        </w:tc>
      </w:tr>
      <w:tr w14:paraId="4FE1555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800" w:type="dxa"/>
            <w:vMerge w:val="restart"/>
            <w:tcBorders>
              <w:tl2br w:val="nil"/>
              <w:tr2bl w:val="nil"/>
            </w:tcBorders>
            <w:noWrap w:val="0"/>
            <w:vAlign w:val="center"/>
          </w:tcPr>
          <w:p w14:paraId="56E44D88">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密度</w:t>
            </w:r>
          </w:p>
        </w:tc>
        <w:tc>
          <w:tcPr>
            <w:tcW w:w="2564" w:type="dxa"/>
            <w:tcBorders>
              <w:tl2br w:val="nil"/>
              <w:tr2bl w:val="nil"/>
            </w:tcBorders>
            <w:noWrap w:val="0"/>
            <w:vAlign w:val="center"/>
          </w:tcPr>
          <w:p w14:paraId="00D94082">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相对密度（水=1）0.8735</w:t>
            </w:r>
          </w:p>
        </w:tc>
        <w:tc>
          <w:tcPr>
            <w:tcW w:w="2237" w:type="dxa"/>
            <w:tcBorders>
              <w:tl2br w:val="nil"/>
              <w:tr2bl w:val="nil"/>
            </w:tcBorders>
            <w:noWrap w:val="0"/>
            <w:vAlign w:val="center"/>
          </w:tcPr>
          <w:p w14:paraId="2A5F044B">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稳定性</w:t>
            </w:r>
          </w:p>
        </w:tc>
        <w:tc>
          <w:tcPr>
            <w:tcW w:w="2237" w:type="dxa"/>
            <w:tcBorders>
              <w:tl2br w:val="nil"/>
              <w:tr2bl w:val="nil"/>
            </w:tcBorders>
            <w:noWrap w:val="0"/>
            <w:vAlign w:val="center"/>
          </w:tcPr>
          <w:p w14:paraId="2AD8A912">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稳定</w:t>
            </w:r>
          </w:p>
        </w:tc>
      </w:tr>
      <w:tr w14:paraId="2AB7A24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800" w:type="dxa"/>
            <w:vMerge w:val="continue"/>
            <w:tcBorders>
              <w:tl2br w:val="nil"/>
              <w:tr2bl w:val="nil"/>
            </w:tcBorders>
            <w:noWrap w:val="0"/>
            <w:vAlign w:val="center"/>
          </w:tcPr>
          <w:p w14:paraId="3DEABD9D">
            <w:pPr>
              <w:topLinePunct w:val="0"/>
              <w:bidi w:val="0"/>
              <w:adjustRightInd/>
              <w:snapToGrid/>
              <w:jc w:val="center"/>
              <w:rPr>
                <w:rFonts w:hint="default" w:ascii="Times New Roman" w:hAnsi="Times New Roman" w:eastAsia="宋体" w:cs="Times New Roman"/>
                <w:b/>
                <w:color w:val="auto"/>
                <w:sz w:val="24"/>
                <w:highlight w:val="none"/>
                <w:u w:val="none" w:color="auto"/>
              </w:rPr>
            </w:pPr>
          </w:p>
        </w:tc>
        <w:tc>
          <w:tcPr>
            <w:tcW w:w="2564" w:type="dxa"/>
            <w:tcBorders>
              <w:tl2br w:val="nil"/>
              <w:tr2bl w:val="nil"/>
            </w:tcBorders>
            <w:noWrap w:val="0"/>
            <w:vAlign w:val="center"/>
          </w:tcPr>
          <w:p w14:paraId="3D098B79">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相对蒸气密度</w:t>
            </w:r>
          </w:p>
          <w:p w14:paraId="1C974C16">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（空气=1）/</w:t>
            </w:r>
          </w:p>
        </w:tc>
        <w:tc>
          <w:tcPr>
            <w:tcW w:w="2237" w:type="dxa"/>
            <w:tcBorders>
              <w:tl2br w:val="nil"/>
              <w:tr2bl w:val="nil"/>
            </w:tcBorders>
            <w:noWrap w:val="0"/>
            <w:vAlign w:val="center"/>
          </w:tcPr>
          <w:p w14:paraId="3D311489">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禁忌物</w:t>
            </w:r>
          </w:p>
        </w:tc>
        <w:tc>
          <w:tcPr>
            <w:tcW w:w="2237" w:type="dxa"/>
            <w:tcBorders>
              <w:tl2br w:val="nil"/>
              <w:tr2bl w:val="nil"/>
            </w:tcBorders>
            <w:noWrap w:val="0"/>
            <w:vAlign w:val="center"/>
          </w:tcPr>
          <w:p w14:paraId="57FB2E94">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强氧化物及明火</w:t>
            </w:r>
          </w:p>
        </w:tc>
      </w:tr>
      <w:tr w14:paraId="75BD32A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c>
          <w:tcPr>
            <w:tcW w:w="1800" w:type="dxa"/>
            <w:tcBorders>
              <w:tl2br w:val="nil"/>
              <w:tr2bl w:val="nil"/>
            </w:tcBorders>
            <w:noWrap w:val="0"/>
            <w:vAlign w:val="center"/>
          </w:tcPr>
          <w:p w14:paraId="78000E5A">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燃烧（分解）产物</w:t>
            </w:r>
          </w:p>
        </w:tc>
        <w:tc>
          <w:tcPr>
            <w:tcW w:w="2564" w:type="dxa"/>
            <w:tcBorders>
              <w:tl2br w:val="nil"/>
              <w:tr2bl w:val="nil"/>
            </w:tcBorders>
            <w:noWrap w:val="0"/>
            <w:vAlign w:val="center"/>
          </w:tcPr>
          <w:p w14:paraId="15A1ED11">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CO、CO</w:t>
            </w:r>
            <w:r>
              <w:rPr>
                <w:rFonts w:hint="default" w:ascii="Times New Roman" w:hAnsi="Times New Roman" w:eastAsia="宋体" w:cs="Times New Roman"/>
                <w:color w:val="auto"/>
                <w:highlight w:val="none"/>
                <w:u w:val="none" w:color="auto"/>
                <w:vertAlign w:val="subscript"/>
              </w:rPr>
              <w:t>2</w:t>
            </w:r>
            <w:r>
              <w:rPr>
                <w:rFonts w:hint="default" w:ascii="Times New Roman" w:hAnsi="Times New Roman" w:eastAsia="宋体" w:cs="Times New Roman"/>
                <w:color w:val="auto"/>
                <w:highlight w:val="none"/>
                <w:u w:val="none" w:color="auto"/>
              </w:rPr>
              <w:t>等有毒有害气体</w:t>
            </w:r>
          </w:p>
        </w:tc>
        <w:tc>
          <w:tcPr>
            <w:tcW w:w="2237" w:type="dxa"/>
            <w:tcBorders>
              <w:tl2br w:val="nil"/>
              <w:tr2bl w:val="nil"/>
            </w:tcBorders>
            <w:noWrap w:val="0"/>
            <w:vAlign w:val="center"/>
          </w:tcPr>
          <w:p w14:paraId="68368EA9">
            <w:pPr>
              <w:topLinePunct w:val="0"/>
              <w:bidi w:val="0"/>
              <w:adjustRightInd/>
              <w:snapToGrid/>
              <w:jc w:val="center"/>
              <w:rPr>
                <w:rFonts w:hint="default" w:ascii="Times New Roman" w:hAnsi="Times New Roman" w:eastAsia="宋体" w:cs="Times New Roman"/>
                <w:b/>
                <w:color w:val="auto"/>
                <w:sz w:val="24"/>
                <w:highlight w:val="none"/>
                <w:u w:val="none" w:color="auto"/>
              </w:rPr>
            </w:pPr>
            <w:r>
              <w:rPr>
                <w:rFonts w:hint="default" w:ascii="Times New Roman" w:hAnsi="Times New Roman" w:eastAsia="宋体" w:cs="Times New Roman"/>
                <w:b/>
                <w:color w:val="auto"/>
                <w:sz w:val="24"/>
                <w:highlight w:val="none"/>
                <w:u w:val="none" w:color="auto"/>
              </w:rPr>
              <w:t>—</w:t>
            </w:r>
          </w:p>
        </w:tc>
        <w:tc>
          <w:tcPr>
            <w:tcW w:w="2237" w:type="dxa"/>
            <w:tcBorders>
              <w:tl2br w:val="nil"/>
              <w:tr2bl w:val="nil"/>
            </w:tcBorders>
            <w:noWrap w:val="0"/>
            <w:vAlign w:val="center"/>
          </w:tcPr>
          <w:p w14:paraId="20C1DFD2">
            <w:pPr>
              <w:topLinePunct w:val="0"/>
              <w:bidi w:val="0"/>
              <w:adjustRightInd/>
              <w:snapToGrid/>
              <w:jc w:val="center"/>
              <w:rPr>
                <w:rFonts w:hint="default" w:ascii="Times New Roman" w:hAnsi="Times New Roman" w:eastAsia="宋体" w:cs="Times New Roman"/>
                <w:b/>
                <w:color w:val="auto"/>
                <w:sz w:val="24"/>
                <w:highlight w:val="none"/>
                <w:u w:val="none" w:color="auto"/>
              </w:rPr>
            </w:pPr>
            <w:r>
              <w:rPr>
                <w:rFonts w:hint="default" w:ascii="Times New Roman" w:hAnsi="Times New Roman" w:eastAsia="宋体" w:cs="Times New Roman"/>
                <w:b/>
                <w:color w:val="auto"/>
                <w:sz w:val="24"/>
                <w:highlight w:val="none"/>
                <w:u w:val="none" w:color="auto"/>
              </w:rPr>
              <w:t>—</w:t>
            </w:r>
          </w:p>
        </w:tc>
      </w:tr>
      <w:tr w14:paraId="3390537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800" w:type="dxa"/>
            <w:tcBorders>
              <w:tl2br w:val="nil"/>
              <w:tr2bl w:val="nil"/>
            </w:tcBorders>
            <w:noWrap w:val="0"/>
            <w:vAlign w:val="center"/>
          </w:tcPr>
          <w:p w14:paraId="05124258">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溶解性</w:t>
            </w:r>
          </w:p>
        </w:tc>
        <w:tc>
          <w:tcPr>
            <w:tcW w:w="7038" w:type="dxa"/>
            <w:gridSpan w:val="3"/>
            <w:tcBorders>
              <w:tl2br w:val="nil"/>
              <w:tr2bl w:val="nil"/>
            </w:tcBorders>
            <w:noWrap w:val="0"/>
            <w:vAlign w:val="center"/>
          </w:tcPr>
          <w:p w14:paraId="5CE1AE41">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不溶于水</w:t>
            </w:r>
          </w:p>
        </w:tc>
      </w:tr>
      <w:tr w14:paraId="43DE8CE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800" w:type="dxa"/>
            <w:tcBorders>
              <w:tl2br w:val="nil"/>
              <w:tr2bl w:val="nil"/>
            </w:tcBorders>
            <w:noWrap w:val="0"/>
            <w:vAlign w:val="center"/>
          </w:tcPr>
          <w:p w14:paraId="04D7F66F">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健康危害</w:t>
            </w:r>
          </w:p>
        </w:tc>
        <w:tc>
          <w:tcPr>
            <w:tcW w:w="7038" w:type="dxa"/>
            <w:gridSpan w:val="3"/>
            <w:tcBorders>
              <w:tl2br w:val="nil"/>
              <w:tr2bl w:val="nil"/>
            </w:tcBorders>
            <w:noWrap w:val="0"/>
            <w:vAlign w:val="center"/>
          </w:tcPr>
          <w:p w14:paraId="63BCD458">
            <w:pPr>
              <w:topLinePunct w:val="0"/>
              <w:bidi w:val="0"/>
              <w:adjustRightInd/>
              <w:snapToGrid/>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吸入其蒸气（仅在高温下产生）或烟雾</w:t>
            </w:r>
            <w:r>
              <w:rPr>
                <w:rFonts w:hint="default" w:ascii="Times New Roman" w:hAnsi="Times New Roman" w:eastAsia="宋体" w:cs="Times New Roman"/>
                <w:color w:val="auto"/>
                <w:highlight w:val="none"/>
                <w:u w:val="none" w:color="auto"/>
                <w:lang w:eastAsia="zh-CN"/>
              </w:rPr>
              <w:t>，</w:t>
            </w:r>
            <w:r>
              <w:rPr>
                <w:rFonts w:hint="default" w:ascii="Times New Roman" w:hAnsi="Times New Roman" w:eastAsia="宋体" w:cs="Times New Roman"/>
                <w:color w:val="auto"/>
                <w:highlight w:val="none"/>
                <w:u w:val="none" w:color="auto"/>
              </w:rPr>
              <w:t>可引起上呼吸道轻微发炎；误服可能引起呕吐；应避免吸入呼吸道</w:t>
            </w:r>
            <w:r>
              <w:rPr>
                <w:rFonts w:hint="default" w:ascii="Times New Roman" w:hAnsi="Times New Roman" w:eastAsia="宋体" w:cs="Times New Roman"/>
                <w:color w:val="auto"/>
                <w:highlight w:val="none"/>
                <w:u w:val="none" w:color="auto"/>
                <w:lang w:eastAsia="zh-CN"/>
              </w:rPr>
              <w:t>，</w:t>
            </w:r>
            <w:r>
              <w:rPr>
                <w:rFonts w:hint="default" w:ascii="Times New Roman" w:hAnsi="Times New Roman" w:eastAsia="宋体" w:cs="Times New Roman"/>
                <w:color w:val="auto"/>
                <w:highlight w:val="none"/>
                <w:u w:val="none" w:color="auto"/>
              </w:rPr>
              <w:t>会引起肺炎。 对眼无刺激</w:t>
            </w:r>
            <w:r>
              <w:rPr>
                <w:rFonts w:hint="default" w:ascii="Times New Roman" w:hAnsi="Times New Roman" w:eastAsia="宋体" w:cs="Times New Roman"/>
                <w:color w:val="auto"/>
                <w:highlight w:val="none"/>
                <w:u w:val="none" w:color="auto"/>
                <w:lang w:eastAsia="zh-CN"/>
              </w:rPr>
              <w:t>和</w:t>
            </w:r>
            <w:r>
              <w:rPr>
                <w:rFonts w:hint="default" w:ascii="Times New Roman" w:hAnsi="Times New Roman" w:eastAsia="宋体" w:cs="Times New Roman"/>
                <w:color w:val="auto"/>
                <w:highlight w:val="none"/>
                <w:u w:val="none" w:color="auto"/>
              </w:rPr>
              <w:t>损伤；对皮肤有极轻微刺激</w:t>
            </w:r>
            <w:r>
              <w:rPr>
                <w:rFonts w:hint="default" w:ascii="Times New Roman" w:hAnsi="Times New Roman" w:eastAsia="宋体" w:cs="Times New Roman"/>
                <w:color w:val="auto"/>
                <w:highlight w:val="none"/>
                <w:u w:val="none" w:color="auto"/>
                <w:lang w:eastAsia="zh-CN"/>
              </w:rPr>
              <w:t>，</w:t>
            </w:r>
            <w:r>
              <w:rPr>
                <w:rFonts w:hint="default" w:ascii="Times New Roman" w:hAnsi="Times New Roman" w:eastAsia="宋体" w:cs="Times New Roman"/>
                <w:color w:val="auto"/>
                <w:highlight w:val="none"/>
                <w:u w:val="none" w:color="auto"/>
              </w:rPr>
              <w:t>长时间直接皮肤接触可致皮炎</w:t>
            </w:r>
            <w:r>
              <w:rPr>
                <w:rFonts w:hint="default" w:ascii="Times New Roman" w:hAnsi="Times New Roman" w:eastAsia="宋体" w:cs="Times New Roman"/>
                <w:color w:val="auto"/>
                <w:highlight w:val="none"/>
                <w:u w:val="none" w:color="auto"/>
                <w:lang w:eastAsia="zh-CN"/>
              </w:rPr>
              <w:t>，</w:t>
            </w:r>
            <w:r>
              <w:rPr>
                <w:rFonts w:hint="default" w:ascii="Times New Roman" w:hAnsi="Times New Roman" w:eastAsia="宋体" w:cs="Times New Roman"/>
                <w:color w:val="auto"/>
                <w:highlight w:val="none"/>
                <w:u w:val="none" w:color="auto"/>
              </w:rPr>
              <w:t>毛囊炎或痤疮</w:t>
            </w:r>
          </w:p>
        </w:tc>
      </w:tr>
      <w:tr w14:paraId="0264C78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800" w:type="dxa"/>
            <w:tcBorders>
              <w:tl2br w:val="nil"/>
              <w:tr2bl w:val="nil"/>
            </w:tcBorders>
            <w:noWrap w:val="0"/>
            <w:vAlign w:val="center"/>
          </w:tcPr>
          <w:p w14:paraId="265E2F2D">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灭火方法</w:t>
            </w:r>
          </w:p>
        </w:tc>
        <w:tc>
          <w:tcPr>
            <w:tcW w:w="7038" w:type="dxa"/>
            <w:gridSpan w:val="3"/>
            <w:tcBorders>
              <w:tl2br w:val="nil"/>
              <w:tr2bl w:val="nil"/>
            </w:tcBorders>
            <w:noWrap w:val="0"/>
            <w:vAlign w:val="center"/>
          </w:tcPr>
          <w:p w14:paraId="55338B22">
            <w:pPr>
              <w:topLinePunct w:val="0"/>
              <w:bidi w:val="0"/>
              <w:adjustRightInd/>
              <w:snapToGrid/>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干粉、二氧化碳、砂土；消防人员必须佩戴自给正压式呼吸器、穿全身防护服。不可用水扑救</w:t>
            </w:r>
            <w:r>
              <w:rPr>
                <w:rFonts w:hint="default" w:ascii="Times New Roman" w:hAnsi="Times New Roman" w:eastAsia="宋体" w:cs="Times New Roman"/>
                <w:color w:val="auto"/>
                <w:highlight w:val="none"/>
                <w:u w:val="none" w:color="auto"/>
                <w:lang w:eastAsia="zh-CN"/>
              </w:rPr>
              <w:t>，</w:t>
            </w:r>
            <w:r>
              <w:rPr>
                <w:rFonts w:hint="default" w:ascii="Times New Roman" w:hAnsi="Times New Roman" w:eastAsia="宋体" w:cs="Times New Roman"/>
                <w:color w:val="auto"/>
                <w:highlight w:val="none"/>
                <w:u w:val="none" w:color="auto"/>
              </w:rPr>
              <w:t>以免切削油飘浮在水面上继续造成危害</w:t>
            </w:r>
          </w:p>
        </w:tc>
      </w:tr>
      <w:tr w14:paraId="13F3832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800" w:type="dxa"/>
            <w:tcBorders>
              <w:tl2br w:val="nil"/>
              <w:tr2bl w:val="nil"/>
            </w:tcBorders>
            <w:noWrap w:val="0"/>
            <w:vAlign w:val="center"/>
          </w:tcPr>
          <w:p w14:paraId="453110FD">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泄漏应急处理</w:t>
            </w:r>
          </w:p>
        </w:tc>
        <w:tc>
          <w:tcPr>
            <w:tcW w:w="7038" w:type="dxa"/>
            <w:gridSpan w:val="3"/>
            <w:tcBorders>
              <w:tl2br w:val="nil"/>
              <w:tr2bl w:val="nil"/>
            </w:tcBorders>
            <w:noWrap w:val="0"/>
            <w:vAlign w:val="center"/>
          </w:tcPr>
          <w:p w14:paraId="0A636AB1">
            <w:pPr>
              <w:topLinePunct w:val="0"/>
              <w:bidi w:val="0"/>
              <w:adjustRightInd/>
              <w:snapToGrid/>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少量泄漏时用适当物质吸附并妥善处理；</w:t>
            </w:r>
          </w:p>
          <w:p w14:paraId="24678F8E">
            <w:pPr>
              <w:topLinePunct w:val="0"/>
              <w:bidi w:val="0"/>
              <w:adjustRightInd/>
              <w:snapToGrid/>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highlight w:val="none"/>
                <w:u w:val="none" w:color="auto"/>
              </w:rPr>
              <w:t>大量泄漏时尽可能切断泄漏源；筑堤并用泵转移至槽车或专用收集器内；残余物用适当物质吸附并妥善处理；过油地面均用水冲洗</w:t>
            </w:r>
            <w:r>
              <w:rPr>
                <w:rFonts w:hint="default" w:ascii="Times New Roman" w:hAnsi="Times New Roman" w:eastAsia="宋体" w:cs="Times New Roman"/>
                <w:color w:val="auto"/>
                <w:highlight w:val="none"/>
                <w:u w:val="none" w:color="auto"/>
                <w:lang w:eastAsia="zh-CN"/>
              </w:rPr>
              <w:t>，</w:t>
            </w:r>
            <w:r>
              <w:rPr>
                <w:rFonts w:hint="default" w:ascii="Times New Roman" w:hAnsi="Times New Roman" w:eastAsia="宋体" w:cs="Times New Roman"/>
                <w:color w:val="auto"/>
                <w:highlight w:val="none"/>
                <w:u w:val="none" w:color="auto"/>
              </w:rPr>
              <w:t>废液妥善处理。</w:t>
            </w:r>
          </w:p>
        </w:tc>
      </w:tr>
      <w:tr w14:paraId="6182A02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800" w:type="dxa"/>
            <w:tcBorders>
              <w:tl2br w:val="nil"/>
              <w:tr2bl w:val="nil"/>
            </w:tcBorders>
            <w:noWrap w:val="0"/>
            <w:vAlign w:val="center"/>
          </w:tcPr>
          <w:p w14:paraId="30AEDFC4">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防护措施</w:t>
            </w:r>
          </w:p>
        </w:tc>
        <w:tc>
          <w:tcPr>
            <w:tcW w:w="7038" w:type="dxa"/>
            <w:gridSpan w:val="3"/>
            <w:tcBorders>
              <w:tl2br w:val="nil"/>
              <w:tr2bl w:val="nil"/>
            </w:tcBorders>
            <w:noWrap w:val="0"/>
            <w:vAlign w:val="center"/>
          </w:tcPr>
          <w:p w14:paraId="05867790">
            <w:pPr>
              <w:topLinePunct w:val="0"/>
              <w:bidi w:val="0"/>
              <w:adjustRightInd/>
              <w:snapToGrid/>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rPr>
              <w:t>呼吸系统防护：空气中浓度超标时</w:t>
            </w:r>
            <w:r>
              <w:rPr>
                <w:rFonts w:hint="default" w:ascii="Times New Roman" w:hAnsi="Times New Roman" w:eastAsia="宋体" w:cs="Times New Roman"/>
                <w:color w:val="auto"/>
                <w:szCs w:val="21"/>
                <w:highlight w:val="none"/>
                <w:u w:val="none" w:color="auto"/>
                <w:lang w:eastAsia="zh-CN"/>
              </w:rPr>
              <w:t>，</w:t>
            </w:r>
            <w:r>
              <w:rPr>
                <w:rFonts w:hint="default" w:ascii="Times New Roman" w:hAnsi="Times New Roman" w:eastAsia="宋体" w:cs="Times New Roman"/>
                <w:color w:val="auto"/>
                <w:szCs w:val="21"/>
                <w:highlight w:val="none"/>
                <w:u w:val="none" w:color="auto"/>
              </w:rPr>
              <w:t>必须佩戴自吸过滤式防毒面具（半面罩）；紧急事态抢救或撤离时</w:t>
            </w:r>
            <w:r>
              <w:rPr>
                <w:rFonts w:hint="default" w:ascii="Times New Roman" w:hAnsi="Times New Roman" w:eastAsia="宋体" w:cs="Times New Roman"/>
                <w:color w:val="auto"/>
                <w:szCs w:val="21"/>
                <w:highlight w:val="none"/>
                <w:u w:val="none" w:color="auto"/>
                <w:lang w:eastAsia="zh-CN"/>
              </w:rPr>
              <w:t>，</w:t>
            </w:r>
            <w:r>
              <w:rPr>
                <w:rFonts w:hint="default" w:ascii="Times New Roman" w:hAnsi="Times New Roman" w:eastAsia="宋体" w:cs="Times New Roman"/>
                <w:color w:val="auto"/>
                <w:szCs w:val="21"/>
                <w:highlight w:val="none"/>
                <w:u w:val="none" w:color="auto"/>
              </w:rPr>
              <w:t>应佩戴空气呼吸器。</w:t>
            </w:r>
          </w:p>
          <w:p w14:paraId="40375241">
            <w:pPr>
              <w:topLinePunct w:val="0"/>
              <w:bidi w:val="0"/>
              <w:adjustRightInd/>
              <w:snapToGrid/>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rPr>
              <w:t>眼睛防护：无</w:t>
            </w:r>
          </w:p>
          <w:p w14:paraId="5B1DF3A1">
            <w:pPr>
              <w:topLinePunct w:val="0"/>
              <w:bidi w:val="0"/>
              <w:adjustRightInd/>
              <w:snapToGrid/>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rPr>
              <w:t>身体防护：减少皮肤接触。</w:t>
            </w:r>
          </w:p>
          <w:p w14:paraId="35B34592">
            <w:pPr>
              <w:topLinePunct w:val="0"/>
              <w:bidi w:val="0"/>
              <w:adjustRightInd/>
              <w:snapToGrid/>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rPr>
              <w:t>手防护：戴橡胶耐油手套。</w:t>
            </w:r>
          </w:p>
          <w:p w14:paraId="79BDA388">
            <w:pPr>
              <w:topLinePunct w:val="0"/>
              <w:bidi w:val="0"/>
              <w:adjustRightInd/>
              <w:snapToGrid/>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rPr>
              <w:t>其他：工作现场严禁吸烟</w:t>
            </w:r>
            <w:r>
              <w:rPr>
                <w:rFonts w:hint="default" w:ascii="Times New Roman" w:hAnsi="Times New Roman" w:eastAsia="宋体" w:cs="Times New Roman"/>
                <w:color w:val="auto"/>
                <w:szCs w:val="21"/>
                <w:highlight w:val="none"/>
                <w:u w:val="none" w:color="auto"/>
                <w:lang w:eastAsia="zh-CN"/>
              </w:rPr>
              <w:t>，</w:t>
            </w:r>
            <w:r>
              <w:rPr>
                <w:rFonts w:hint="default" w:ascii="Times New Roman" w:hAnsi="Times New Roman" w:eastAsia="宋体" w:cs="Times New Roman"/>
                <w:color w:val="auto"/>
                <w:szCs w:val="21"/>
                <w:highlight w:val="none"/>
                <w:u w:val="none" w:color="auto"/>
              </w:rPr>
              <w:t>避免长期反复接触。</w:t>
            </w:r>
          </w:p>
        </w:tc>
      </w:tr>
      <w:tr w14:paraId="1C155D9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800" w:type="dxa"/>
            <w:tcBorders>
              <w:tl2br w:val="nil"/>
              <w:tr2bl w:val="nil"/>
            </w:tcBorders>
            <w:noWrap w:val="0"/>
            <w:vAlign w:val="center"/>
          </w:tcPr>
          <w:p w14:paraId="05736DB8">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急救措施</w:t>
            </w:r>
          </w:p>
        </w:tc>
        <w:tc>
          <w:tcPr>
            <w:tcW w:w="7038" w:type="dxa"/>
            <w:gridSpan w:val="3"/>
            <w:tcBorders>
              <w:tl2br w:val="nil"/>
              <w:tr2bl w:val="nil"/>
            </w:tcBorders>
            <w:noWrap w:val="0"/>
            <w:vAlign w:val="center"/>
          </w:tcPr>
          <w:p w14:paraId="211A310E">
            <w:pPr>
              <w:topLinePunct w:val="0"/>
              <w:bidi w:val="0"/>
              <w:adjustRightInd/>
              <w:snapToGrid/>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rPr>
              <w:t>皮肤接触：用肥皂清洗；如不适</w:t>
            </w:r>
            <w:r>
              <w:rPr>
                <w:rFonts w:hint="default" w:ascii="Times New Roman" w:hAnsi="Times New Roman" w:eastAsia="宋体" w:cs="Times New Roman"/>
                <w:color w:val="auto"/>
                <w:szCs w:val="21"/>
                <w:highlight w:val="none"/>
                <w:u w:val="none" w:color="auto"/>
                <w:lang w:eastAsia="zh-CN"/>
              </w:rPr>
              <w:t>，</w:t>
            </w:r>
            <w:r>
              <w:rPr>
                <w:rFonts w:hint="default" w:ascii="Times New Roman" w:hAnsi="Times New Roman" w:eastAsia="宋体" w:cs="Times New Roman"/>
                <w:color w:val="auto"/>
                <w:szCs w:val="21"/>
                <w:highlight w:val="none"/>
                <w:u w:val="none" w:color="auto"/>
              </w:rPr>
              <w:t>就医。 眼睛接触  用水冲洗；如不适</w:t>
            </w:r>
            <w:r>
              <w:rPr>
                <w:rFonts w:hint="default" w:ascii="Times New Roman" w:hAnsi="Times New Roman" w:eastAsia="宋体" w:cs="Times New Roman"/>
                <w:color w:val="auto"/>
                <w:szCs w:val="21"/>
                <w:highlight w:val="none"/>
                <w:u w:val="none" w:color="auto"/>
                <w:lang w:eastAsia="zh-CN"/>
              </w:rPr>
              <w:t>，</w:t>
            </w:r>
            <w:r>
              <w:rPr>
                <w:rFonts w:hint="default" w:ascii="Times New Roman" w:hAnsi="Times New Roman" w:eastAsia="宋体" w:cs="Times New Roman"/>
                <w:color w:val="auto"/>
                <w:szCs w:val="21"/>
                <w:highlight w:val="none"/>
                <w:u w:val="none" w:color="auto"/>
              </w:rPr>
              <w:t>就医。</w:t>
            </w:r>
          </w:p>
          <w:p w14:paraId="554A7616">
            <w:pPr>
              <w:topLinePunct w:val="0"/>
              <w:bidi w:val="0"/>
              <w:adjustRightInd/>
              <w:snapToGrid/>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rPr>
              <w:t>吸入：迅速脱离现场至空气新鲜处</w:t>
            </w:r>
            <w:r>
              <w:rPr>
                <w:rFonts w:hint="default" w:ascii="Times New Roman" w:hAnsi="Times New Roman" w:eastAsia="宋体" w:cs="Times New Roman"/>
                <w:color w:val="auto"/>
                <w:szCs w:val="21"/>
                <w:highlight w:val="none"/>
                <w:u w:val="none" w:color="auto"/>
                <w:lang w:eastAsia="zh-CN"/>
              </w:rPr>
              <w:t>，</w:t>
            </w:r>
            <w:r>
              <w:rPr>
                <w:rFonts w:hint="default" w:ascii="Times New Roman" w:hAnsi="Times New Roman" w:eastAsia="宋体" w:cs="Times New Roman"/>
                <w:color w:val="auto"/>
                <w:szCs w:val="21"/>
                <w:highlight w:val="none"/>
                <w:u w:val="none" w:color="auto"/>
              </w:rPr>
              <w:t>如呼吸困难</w:t>
            </w:r>
            <w:r>
              <w:rPr>
                <w:rFonts w:hint="default" w:ascii="Times New Roman" w:hAnsi="Times New Roman" w:eastAsia="宋体" w:cs="Times New Roman"/>
                <w:color w:val="auto"/>
                <w:szCs w:val="21"/>
                <w:highlight w:val="none"/>
                <w:u w:val="none" w:color="auto"/>
                <w:lang w:eastAsia="zh-CN"/>
              </w:rPr>
              <w:t>，</w:t>
            </w:r>
            <w:r>
              <w:rPr>
                <w:rFonts w:hint="default" w:ascii="Times New Roman" w:hAnsi="Times New Roman" w:eastAsia="宋体" w:cs="Times New Roman"/>
                <w:color w:val="auto"/>
                <w:szCs w:val="21"/>
                <w:highlight w:val="none"/>
                <w:u w:val="none" w:color="auto"/>
              </w:rPr>
              <w:t>输氧；就医。</w:t>
            </w:r>
          </w:p>
          <w:p w14:paraId="34C701F3">
            <w:pPr>
              <w:topLinePunct w:val="0"/>
              <w:bidi w:val="0"/>
              <w:adjustRightInd/>
              <w:snapToGrid/>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rPr>
              <w:t>食入：如呕吐</w:t>
            </w:r>
            <w:r>
              <w:rPr>
                <w:rFonts w:hint="default" w:ascii="Times New Roman" w:hAnsi="Times New Roman" w:eastAsia="宋体" w:cs="Times New Roman"/>
                <w:color w:val="auto"/>
                <w:szCs w:val="21"/>
                <w:highlight w:val="none"/>
                <w:u w:val="none" w:color="auto"/>
                <w:lang w:eastAsia="zh-CN"/>
              </w:rPr>
              <w:t>，</w:t>
            </w:r>
            <w:r>
              <w:rPr>
                <w:rFonts w:hint="default" w:ascii="Times New Roman" w:hAnsi="Times New Roman" w:eastAsia="宋体" w:cs="Times New Roman"/>
                <w:color w:val="auto"/>
                <w:szCs w:val="21"/>
                <w:highlight w:val="none"/>
                <w:u w:val="none" w:color="auto"/>
              </w:rPr>
              <w:t>头部应低于膝盖以防止进入呼吸道；就医</w:t>
            </w:r>
          </w:p>
        </w:tc>
      </w:tr>
      <w:tr w14:paraId="59D24D1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800" w:type="dxa"/>
            <w:tcBorders>
              <w:tl2br w:val="nil"/>
              <w:tr2bl w:val="nil"/>
            </w:tcBorders>
            <w:noWrap w:val="0"/>
            <w:vAlign w:val="center"/>
          </w:tcPr>
          <w:p w14:paraId="23D44FD6">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储存要求</w:t>
            </w:r>
          </w:p>
        </w:tc>
        <w:tc>
          <w:tcPr>
            <w:tcW w:w="7038" w:type="dxa"/>
            <w:gridSpan w:val="3"/>
            <w:tcBorders>
              <w:tl2br w:val="nil"/>
              <w:tr2bl w:val="nil"/>
            </w:tcBorders>
            <w:noWrap w:val="0"/>
            <w:vAlign w:val="center"/>
          </w:tcPr>
          <w:p w14:paraId="38538939">
            <w:pPr>
              <w:topLinePunct w:val="0"/>
              <w:bidi w:val="0"/>
              <w:adjustRightInd/>
              <w:snapToGrid/>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highlight w:val="none"/>
                <w:u w:val="none" w:color="auto"/>
              </w:rPr>
              <w:t>储存于阴凉、干燥、通风良好的</w:t>
            </w:r>
            <w:r>
              <w:rPr>
                <w:rFonts w:hint="default" w:ascii="Times New Roman" w:hAnsi="Times New Roman" w:eastAsia="宋体" w:cs="Times New Roman"/>
                <w:color w:val="auto"/>
                <w:highlight w:val="none"/>
                <w:u w:val="none" w:color="auto"/>
                <w:lang w:eastAsia="zh-CN"/>
              </w:rPr>
              <w:t>房间</w:t>
            </w:r>
            <w:r>
              <w:rPr>
                <w:rFonts w:hint="default" w:ascii="Times New Roman" w:hAnsi="Times New Roman" w:eastAsia="宋体" w:cs="Times New Roman"/>
                <w:color w:val="auto"/>
                <w:highlight w:val="none"/>
                <w:u w:val="none" w:color="auto"/>
              </w:rPr>
              <w:t>。应与强氧化物分开存放。分装和搬动作业要注意个人防护</w:t>
            </w:r>
            <w:r>
              <w:rPr>
                <w:rFonts w:hint="default" w:ascii="Times New Roman" w:hAnsi="Times New Roman" w:eastAsia="宋体" w:cs="Times New Roman"/>
                <w:color w:val="auto"/>
                <w:highlight w:val="none"/>
                <w:u w:val="none" w:color="auto"/>
                <w:lang w:eastAsia="zh-CN"/>
              </w:rPr>
              <w:t>，</w:t>
            </w:r>
            <w:r>
              <w:rPr>
                <w:rFonts w:hint="default" w:ascii="Times New Roman" w:hAnsi="Times New Roman" w:eastAsia="宋体" w:cs="Times New Roman"/>
                <w:color w:val="auto"/>
                <w:highlight w:val="none"/>
                <w:u w:val="none" w:color="auto"/>
              </w:rPr>
              <w:t>减少皮肤接触。</w:t>
            </w:r>
          </w:p>
        </w:tc>
      </w:tr>
      <w:tr w14:paraId="2E19563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800" w:type="dxa"/>
            <w:tcBorders>
              <w:tl2br w:val="nil"/>
              <w:tr2bl w:val="nil"/>
            </w:tcBorders>
            <w:noWrap w:val="0"/>
            <w:vAlign w:val="center"/>
          </w:tcPr>
          <w:p w14:paraId="488423D0">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运输要求</w:t>
            </w:r>
          </w:p>
        </w:tc>
        <w:tc>
          <w:tcPr>
            <w:tcW w:w="7038" w:type="dxa"/>
            <w:gridSpan w:val="3"/>
            <w:tcBorders>
              <w:tl2br w:val="nil"/>
              <w:tr2bl w:val="nil"/>
            </w:tcBorders>
            <w:noWrap w:val="0"/>
            <w:vAlign w:val="center"/>
          </w:tcPr>
          <w:p w14:paraId="4C7F8541">
            <w:pPr>
              <w:topLinePunct w:val="0"/>
              <w:bidi w:val="0"/>
              <w:adjustRightInd/>
              <w:snapToGrid/>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rPr>
              <w:t>陆路运输未受管制</w:t>
            </w:r>
          </w:p>
        </w:tc>
      </w:tr>
    </w:tbl>
    <w:p w14:paraId="4D8A5277">
      <w:pPr>
        <w:pStyle w:val="17"/>
        <w:numPr>
          <w:ilvl w:val="0"/>
          <w:numId w:val="11"/>
        </w:numPr>
        <w:adjustRightInd/>
        <w:snapToGrid/>
        <w:rPr>
          <w:rFonts w:hint="default" w:ascii="Times New Roman" w:hAnsi="Times New Roman" w:eastAsia="宋体" w:cs="Times New Roman"/>
          <w:b/>
          <w:color w:val="auto"/>
          <w:sz w:val="21"/>
          <w:szCs w:val="21"/>
          <w:highlight w:val="none"/>
          <w:u w:val="none" w:color="auto"/>
        </w:rPr>
      </w:pPr>
      <w:r>
        <w:rPr>
          <w:rFonts w:hint="default" w:ascii="Times New Roman" w:hAnsi="Times New Roman" w:eastAsia="宋体" w:cs="Times New Roman"/>
          <w:b/>
          <w:color w:val="auto"/>
          <w:sz w:val="21"/>
          <w:szCs w:val="21"/>
          <w:highlight w:val="none"/>
          <w:u w:val="none" w:color="auto"/>
          <w:lang w:val="en-US" w:eastAsia="zh-CN"/>
        </w:rPr>
        <w:t>天然气</w:t>
      </w:r>
      <w:r>
        <w:rPr>
          <w:rFonts w:hint="default" w:ascii="Times New Roman" w:hAnsi="Times New Roman" w:eastAsia="宋体" w:cs="Times New Roman"/>
          <w:b/>
          <w:color w:val="auto"/>
          <w:sz w:val="21"/>
          <w:szCs w:val="21"/>
          <w:highlight w:val="none"/>
          <w:u w:val="none" w:color="auto"/>
        </w:rPr>
        <w:t>的理化性质、危险特性及应急防范措施</w:t>
      </w:r>
    </w:p>
    <w:tbl>
      <w:tblPr>
        <w:tblStyle w:val="31"/>
        <w:tblW w:w="0" w:type="auto"/>
        <w:tblInd w:w="108"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800"/>
        <w:gridCol w:w="2564"/>
        <w:gridCol w:w="2237"/>
        <w:gridCol w:w="2237"/>
      </w:tblGrid>
      <w:tr w14:paraId="434750B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c>
          <w:tcPr>
            <w:tcW w:w="1800" w:type="dxa"/>
            <w:tcBorders>
              <w:tl2br w:val="nil"/>
              <w:tr2bl w:val="nil"/>
            </w:tcBorders>
            <w:noWrap w:val="0"/>
            <w:vAlign w:val="center"/>
          </w:tcPr>
          <w:p w14:paraId="6582E5CB">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化学名称</w:t>
            </w:r>
          </w:p>
        </w:tc>
        <w:tc>
          <w:tcPr>
            <w:tcW w:w="2564" w:type="dxa"/>
            <w:tcBorders>
              <w:tl2br w:val="nil"/>
              <w:tr2bl w:val="nil"/>
            </w:tcBorders>
            <w:noWrap w:val="0"/>
            <w:vAlign w:val="center"/>
          </w:tcPr>
          <w:p w14:paraId="024646E9">
            <w:pPr>
              <w:topLinePunct w:val="0"/>
              <w:bidi w:val="0"/>
              <w:adjustRightInd/>
              <w:snapToGrid/>
              <w:jc w:val="center"/>
              <w:rPr>
                <w:rFonts w:hint="default" w:ascii="Times New Roman" w:hAnsi="Times New Roman" w:eastAsia="宋体" w:cs="Times New Roman"/>
                <w:color w:val="auto"/>
                <w:highlight w:val="none"/>
                <w:u w:val="none" w:color="auto"/>
                <w:lang w:eastAsia="zh-CN"/>
              </w:rPr>
            </w:pPr>
            <w:r>
              <w:rPr>
                <w:rFonts w:hint="default" w:ascii="Times New Roman" w:hAnsi="Times New Roman" w:eastAsia="宋体" w:cs="Times New Roman"/>
                <w:color w:val="auto"/>
                <w:highlight w:val="none"/>
                <w:u w:val="none" w:color="auto"/>
                <w:lang w:val="en-US" w:eastAsia="zh-CN"/>
              </w:rPr>
              <w:t>天然气</w:t>
            </w:r>
          </w:p>
        </w:tc>
        <w:tc>
          <w:tcPr>
            <w:tcW w:w="2237" w:type="dxa"/>
            <w:tcBorders>
              <w:tl2br w:val="nil"/>
              <w:tr2bl w:val="nil"/>
            </w:tcBorders>
            <w:noWrap w:val="0"/>
            <w:vAlign w:val="center"/>
          </w:tcPr>
          <w:p w14:paraId="6589EB1C">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英文名称</w:t>
            </w:r>
          </w:p>
        </w:tc>
        <w:tc>
          <w:tcPr>
            <w:tcW w:w="2237" w:type="dxa"/>
            <w:tcBorders>
              <w:tl2br w:val="nil"/>
              <w:tr2bl w:val="nil"/>
            </w:tcBorders>
            <w:noWrap w:val="0"/>
            <w:vAlign w:val="center"/>
          </w:tcPr>
          <w:p w14:paraId="42B7E064">
            <w:pPr>
              <w:topLinePunct w:val="0"/>
              <w:bidi w:val="0"/>
              <w:adjustRightInd/>
              <w:snapToGrid/>
              <w:jc w:val="center"/>
              <w:rPr>
                <w:rFonts w:hint="default" w:ascii="Times New Roman" w:hAnsi="Times New Roman" w:eastAsia="宋体" w:cs="Times New Roman"/>
                <w:color w:val="auto"/>
                <w:highlight w:val="none"/>
                <w:u w:val="none" w:color="auto"/>
                <w:lang w:val="en-US" w:eastAsia="zh-CN"/>
              </w:rPr>
            </w:pPr>
            <w:r>
              <w:rPr>
                <w:rFonts w:hint="default" w:ascii="Times New Roman" w:hAnsi="Times New Roman" w:eastAsia="宋体" w:cs="Times New Roman"/>
                <w:color w:val="auto"/>
                <w:highlight w:val="none"/>
                <w:u w:val="none" w:color="auto"/>
                <w:lang w:val="en-US" w:eastAsia="zh-CN"/>
              </w:rPr>
              <w:t>Natural gas</w:t>
            </w:r>
          </w:p>
        </w:tc>
      </w:tr>
      <w:tr w14:paraId="0C803D7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800" w:type="dxa"/>
            <w:tcBorders>
              <w:tl2br w:val="nil"/>
              <w:tr2bl w:val="nil"/>
            </w:tcBorders>
            <w:noWrap w:val="0"/>
            <w:vAlign w:val="center"/>
          </w:tcPr>
          <w:p w14:paraId="04779BE1">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外观与性状</w:t>
            </w:r>
          </w:p>
        </w:tc>
        <w:tc>
          <w:tcPr>
            <w:tcW w:w="2564" w:type="dxa"/>
            <w:tcBorders>
              <w:tl2br w:val="nil"/>
              <w:tr2bl w:val="nil"/>
            </w:tcBorders>
            <w:noWrap w:val="0"/>
            <w:vAlign w:val="center"/>
          </w:tcPr>
          <w:p w14:paraId="5D1EDF14">
            <w:pPr>
              <w:topLinePunct w:val="0"/>
              <w:bidi w:val="0"/>
              <w:adjustRightInd/>
              <w:snapToGrid/>
              <w:jc w:val="center"/>
              <w:rPr>
                <w:rFonts w:hint="default" w:ascii="Times New Roman" w:hAnsi="Times New Roman" w:eastAsia="宋体" w:cs="Times New Roman"/>
                <w:color w:val="auto"/>
                <w:highlight w:val="none"/>
                <w:u w:val="none" w:color="auto"/>
                <w:lang w:val="en-US" w:eastAsia="zh-CN"/>
              </w:rPr>
            </w:pPr>
            <w:r>
              <w:rPr>
                <w:rFonts w:hint="default" w:ascii="Times New Roman" w:hAnsi="Times New Roman" w:eastAsia="宋体" w:cs="Times New Roman"/>
                <w:color w:val="auto"/>
                <w:highlight w:val="none"/>
                <w:u w:val="none" w:color="auto"/>
                <w:lang w:val="en-US" w:eastAsia="zh-CN"/>
              </w:rPr>
              <w:t>无色无臭气体</w:t>
            </w:r>
          </w:p>
        </w:tc>
        <w:tc>
          <w:tcPr>
            <w:tcW w:w="2237" w:type="dxa"/>
            <w:tcBorders>
              <w:tl2br w:val="nil"/>
              <w:tr2bl w:val="nil"/>
            </w:tcBorders>
            <w:noWrap w:val="0"/>
            <w:vAlign w:val="center"/>
          </w:tcPr>
          <w:p w14:paraId="2300FEFA">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闪点</w:t>
            </w:r>
          </w:p>
        </w:tc>
        <w:tc>
          <w:tcPr>
            <w:tcW w:w="2237" w:type="dxa"/>
            <w:tcBorders>
              <w:tl2br w:val="nil"/>
              <w:tr2bl w:val="nil"/>
            </w:tcBorders>
            <w:noWrap w:val="0"/>
            <w:vAlign w:val="center"/>
          </w:tcPr>
          <w:p w14:paraId="6732490A">
            <w:pPr>
              <w:topLinePunct w:val="0"/>
              <w:bidi w:val="0"/>
              <w:adjustRightInd/>
              <w:snapToGrid/>
              <w:jc w:val="center"/>
              <w:rPr>
                <w:rFonts w:hint="default" w:ascii="Times New Roman" w:hAnsi="Times New Roman" w:eastAsia="宋体" w:cs="Times New Roman"/>
                <w:color w:val="auto"/>
                <w:highlight w:val="none"/>
                <w:u w:val="none" w:color="auto"/>
                <w:lang w:val="en-US" w:eastAsia="zh-CN"/>
              </w:rPr>
            </w:pPr>
            <w:r>
              <w:rPr>
                <w:rFonts w:hint="default" w:ascii="Times New Roman" w:hAnsi="Times New Roman" w:eastAsia="宋体" w:cs="Times New Roman"/>
                <w:color w:val="auto"/>
                <w:highlight w:val="none"/>
                <w:u w:val="none" w:color="auto"/>
                <w:lang w:val="en-US" w:eastAsia="zh-CN"/>
              </w:rPr>
              <w:t>无资料</w:t>
            </w:r>
          </w:p>
        </w:tc>
      </w:tr>
      <w:tr w14:paraId="1FE8990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800" w:type="dxa"/>
            <w:tcBorders>
              <w:tl2br w:val="nil"/>
              <w:tr2bl w:val="nil"/>
            </w:tcBorders>
            <w:noWrap w:val="0"/>
            <w:vAlign w:val="center"/>
          </w:tcPr>
          <w:p w14:paraId="20B7A054">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蒸汽压</w:t>
            </w:r>
          </w:p>
        </w:tc>
        <w:tc>
          <w:tcPr>
            <w:tcW w:w="2564" w:type="dxa"/>
            <w:tcBorders>
              <w:tl2br w:val="nil"/>
              <w:tr2bl w:val="nil"/>
            </w:tcBorders>
            <w:noWrap w:val="0"/>
            <w:vAlign w:val="center"/>
          </w:tcPr>
          <w:p w14:paraId="1B189259">
            <w:pPr>
              <w:topLinePunct w:val="0"/>
              <w:bidi w:val="0"/>
              <w:adjustRightInd/>
              <w:snapToGrid/>
              <w:jc w:val="center"/>
              <w:rPr>
                <w:rFonts w:hint="default" w:ascii="Times New Roman" w:hAnsi="Times New Roman" w:eastAsia="宋体" w:cs="Times New Roman"/>
                <w:bCs/>
                <w:color w:val="auto"/>
                <w:szCs w:val="21"/>
                <w:highlight w:val="none"/>
                <w:u w:val="none" w:color="auto"/>
                <w:lang w:val="en-US" w:eastAsia="zh-CN"/>
              </w:rPr>
            </w:pPr>
            <w:r>
              <w:rPr>
                <w:rFonts w:hint="default" w:ascii="Times New Roman" w:hAnsi="Times New Roman" w:eastAsia="宋体" w:cs="Times New Roman"/>
                <w:bCs/>
                <w:color w:val="auto"/>
                <w:szCs w:val="21"/>
                <w:highlight w:val="none"/>
                <w:u w:val="none" w:color="auto"/>
                <w:lang w:val="en-US" w:eastAsia="zh-CN"/>
              </w:rPr>
              <w:t>无资料</w:t>
            </w:r>
          </w:p>
        </w:tc>
        <w:tc>
          <w:tcPr>
            <w:tcW w:w="2237" w:type="dxa"/>
            <w:tcBorders>
              <w:tl2br w:val="nil"/>
              <w:tr2bl w:val="nil"/>
            </w:tcBorders>
            <w:noWrap w:val="0"/>
            <w:vAlign w:val="center"/>
          </w:tcPr>
          <w:p w14:paraId="16BF4913">
            <w:pPr>
              <w:topLinePunct w:val="0"/>
              <w:bidi w:val="0"/>
              <w:adjustRightInd/>
              <w:snapToGrid/>
              <w:jc w:val="center"/>
              <w:rPr>
                <w:rFonts w:hint="default" w:ascii="Times New Roman" w:hAnsi="Times New Roman" w:eastAsia="宋体" w:cs="Times New Roman"/>
                <w:bCs/>
                <w:color w:val="auto"/>
                <w:szCs w:val="21"/>
                <w:highlight w:val="none"/>
                <w:u w:val="none" w:color="auto"/>
              </w:rPr>
            </w:pPr>
            <w:r>
              <w:rPr>
                <w:rFonts w:hint="default" w:ascii="Times New Roman" w:hAnsi="Times New Roman" w:eastAsia="宋体" w:cs="Times New Roman"/>
                <w:bCs/>
                <w:color w:val="auto"/>
                <w:szCs w:val="21"/>
                <w:highlight w:val="none"/>
                <w:u w:val="none" w:color="auto"/>
              </w:rPr>
              <w:t>自燃点</w:t>
            </w:r>
          </w:p>
        </w:tc>
        <w:tc>
          <w:tcPr>
            <w:tcW w:w="2237" w:type="dxa"/>
            <w:tcBorders>
              <w:tl2br w:val="nil"/>
              <w:tr2bl w:val="nil"/>
            </w:tcBorders>
            <w:noWrap w:val="0"/>
            <w:vAlign w:val="center"/>
          </w:tcPr>
          <w:p w14:paraId="66ED2AEE">
            <w:pPr>
              <w:topLinePunct w:val="0"/>
              <w:bidi w:val="0"/>
              <w:adjustRightInd/>
              <w:snapToGrid/>
              <w:jc w:val="center"/>
              <w:rPr>
                <w:rFonts w:hint="default" w:ascii="Times New Roman" w:hAnsi="Times New Roman" w:eastAsia="宋体" w:cs="Times New Roman"/>
                <w:bCs/>
                <w:color w:val="auto"/>
                <w:kern w:val="2"/>
                <w:sz w:val="21"/>
                <w:szCs w:val="21"/>
                <w:highlight w:val="none"/>
                <w:u w:val="none" w:color="auto"/>
                <w:lang w:val="en-US" w:eastAsia="zh-CN" w:bidi="ar-SA"/>
              </w:rPr>
            </w:pPr>
            <w:r>
              <w:rPr>
                <w:rFonts w:hint="default" w:ascii="Times New Roman" w:hAnsi="Times New Roman" w:eastAsia="宋体" w:cs="Times New Roman"/>
                <w:bCs/>
                <w:color w:val="auto"/>
                <w:szCs w:val="21"/>
                <w:highlight w:val="none"/>
                <w:u w:val="none" w:color="auto"/>
                <w:lang w:val="en-US" w:eastAsia="zh-CN"/>
              </w:rPr>
              <w:t>无资料</w:t>
            </w:r>
          </w:p>
        </w:tc>
      </w:tr>
      <w:tr w14:paraId="63766B8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3" w:hRule="atLeast"/>
        </w:trPr>
        <w:tc>
          <w:tcPr>
            <w:tcW w:w="1800" w:type="dxa"/>
            <w:tcBorders>
              <w:tl2br w:val="nil"/>
              <w:tr2bl w:val="nil"/>
            </w:tcBorders>
            <w:noWrap w:val="0"/>
            <w:vAlign w:val="center"/>
          </w:tcPr>
          <w:p w14:paraId="669A308B">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熔点</w:t>
            </w:r>
          </w:p>
        </w:tc>
        <w:tc>
          <w:tcPr>
            <w:tcW w:w="2564" w:type="dxa"/>
            <w:tcBorders>
              <w:tl2br w:val="nil"/>
              <w:tr2bl w:val="nil"/>
            </w:tcBorders>
            <w:noWrap w:val="0"/>
            <w:vAlign w:val="center"/>
          </w:tcPr>
          <w:p w14:paraId="2E6371BB">
            <w:pPr>
              <w:topLinePunct w:val="0"/>
              <w:bidi w:val="0"/>
              <w:adjustRightInd/>
              <w:snapToGrid/>
              <w:jc w:val="center"/>
              <w:rPr>
                <w:rFonts w:hint="default" w:ascii="Times New Roman" w:hAnsi="Times New Roman" w:eastAsia="宋体" w:cs="Times New Roman"/>
                <w:bCs/>
                <w:color w:val="auto"/>
                <w:kern w:val="2"/>
                <w:sz w:val="21"/>
                <w:szCs w:val="21"/>
                <w:highlight w:val="none"/>
                <w:u w:val="none" w:color="auto"/>
                <w:lang w:val="en-US" w:eastAsia="zh-CN" w:bidi="ar-SA"/>
              </w:rPr>
            </w:pPr>
            <w:r>
              <w:rPr>
                <w:rFonts w:hint="default" w:ascii="Times New Roman" w:hAnsi="Times New Roman" w:eastAsia="宋体" w:cs="Times New Roman"/>
                <w:bCs/>
                <w:color w:val="auto"/>
                <w:szCs w:val="21"/>
                <w:highlight w:val="none"/>
                <w:u w:val="none" w:color="auto"/>
                <w:lang w:val="en-US" w:eastAsia="zh-CN"/>
              </w:rPr>
              <w:t>无资料</w:t>
            </w:r>
          </w:p>
        </w:tc>
        <w:tc>
          <w:tcPr>
            <w:tcW w:w="2237" w:type="dxa"/>
            <w:tcBorders>
              <w:tl2br w:val="nil"/>
              <w:tr2bl w:val="nil"/>
            </w:tcBorders>
            <w:noWrap w:val="0"/>
            <w:vAlign w:val="center"/>
          </w:tcPr>
          <w:p w14:paraId="78FB22B8">
            <w:pPr>
              <w:topLinePunct w:val="0"/>
              <w:bidi w:val="0"/>
              <w:adjustRightInd/>
              <w:snapToGrid/>
              <w:jc w:val="center"/>
              <w:rPr>
                <w:rFonts w:hint="default" w:ascii="Times New Roman" w:hAnsi="Times New Roman" w:eastAsia="宋体" w:cs="Times New Roman"/>
                <w:bCs/>
                <w:color w:val="auto"/>
                <w:szCs w:val="21"/>
                <w:highlight w:val="none"/>
                <w:u w:val="none" w:color="auto"/>
              </w:rPr>
            </w:pPr>
            <w:r>
              <w:rPr>
                <w:rFonts w:hint="default" w:ascii="Times New Roman" w:hAnsi="Times New Roman" w:eastAsia="宋体" w:cs="Times New Roman"/>
                <w:bCs/>
                <w:color w:val="auto"/>
                <w:szCs w:val="21"/>
                <w:highlight w:val="none"/>
                <w:u w:val="none" w:color="auto"/>
              </w:rPr>
              <w:t>沸点</w:t>
            </w:r>
          </w:p>
        </w:tc>
        <w:tc>
          <w:tcPr>
            <w:tcW w:w="2237" w:type="dxa"/>
            <w:tcBorders>
              <w:tl2br w:val="nil"/>
              <w:tr2bl w:val="nil"/>
            </w:tcBorders>
            <w:noWrap w:val="0"/>
            <w:vAlign w:val="center"/>
          </w:tcPr>
          <w:p w14:paraId="0B597EF3">
            <w:pPr>
              <w:topLinePunct w:val="0"/>
              <w:bidi w:val="0"/>
              <w:adjustRightInd/>
              <w:snapToGrid/>
              <w:jc w:val="center"/>
              <w:rPr>
                <w:rFonts w:hint="default" w:ascii="Times New Roman" w:hAnsi="Times New Roman" w:eastAsia="宋体" w:cs="Times New Roman"/>
                <w:bCs/>
                <w:color w:val="auto"/>
                <w:szCs w:val="21"/>
                <w:highlight w:val="none"/>
                <w:u w:val="none" w:color="auto"/>
                <w:lang w:val="en-US" w:eastAsia="zh-CN"/>
              </w:rPr>
            </w:pPr>
            <w:r>
              <w:rPr>
                <w:rFonts w:hint="default" w:ascii="Times New Roman" w:hAnsi="Times New Roman" w:eastAsia="宋体" w:cs="Times New Roman"/>
                <w:bCs/>
                <w:color w:val="auto"/>
                <w:szCs w:val="21"/>
                <w:highlight w:val="none"/>
                <w:u w:val="none" w:color="auto"/>
                <w:lang w:val="en-US" w:eastAsia="zh-CN"/>
              </w:rPr>
              <w:t>-160℃</w:t>
            </w:r>
          </w:p>
        </w:tc>
      </w:tr>
      <w:tr w14:paraId="27C07C4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800" w:type="dxa"/>
            <w:vMerge w:val="restart"/>
            <w:tcBorders>
              <w:tl2br w:val="nil"/>
              <w:tr2bl w:val="nil"/>
            </w:tcBorders>
            <w:noWrap w:val="0"/>
            <w:vAlign w:val="center"/>
          </w:tcPr>
          <w:p w14:paraId="0CC00499">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密度</w:t>
            </w:r>
          </w:p>
        </w:tc>
        <w:tc>
          <w:tcPr>
            <w:tcW w:w="2564" w:type="dxa"/>
            <w:vMerge w:val="restart"/>
            <w:tcBorders>
              <w:tl2br w:val="nil"/>
              <w:tr2bl w:val="nil"/>
            </w:tcBorders>
            <w:noWrap w:val="0"/>
            <w:vAlign w:val="center"/>
          </w:tcPr>
          <w:p w14:paraId="3BB4E3ED">
            <w:pPr>
              <w:topLinePunct w:val="0"/>
              <w:bidi w:val="0"/>
              <w:adjustRightInd/>
              <w:snapToGrid/>
              <w:jc w:val="center"/>
              <w:rPr>
                <w:rFonts w:hint="default" w:ascii="Times New Roman" w:hAnsi="Times New Roman" w:eastAsia="宋体" w:cs="Times New Roman"/>
                <w:color w:val="auto"/>
                <w:highlight w:val="none"/>
                <w:u w:val="none" w:color="auto"/>
                <w:lang w:val="en-US" w:eastAsia="zh-CN"/>
              </w:rPr>
            </w:pPr>
            <w:r>
              <w:rPr>
                <w:rFonts w:hint="default" w:ascii="Times New Roman" w:hAnsi="Times New Roman" w:eastAsia="宋体" w:cs="Times New Roman"/>
                <w:color w:val="auto"/>
                <w:highlight w:val="none"/>
                <w:u w:val="none" w:color="auto"/>
                <w:lang w:val="en-US" w:eastAsia="zh-CN"/>
              </w:rPr>
              <w:t>相对密度（水=1）0.45（液化）</w:t>
            </w:r>
          </w:p>
        </w:tc>
        <w:tc>
          <w:tcPr>
            <w:tcW w:w="2237" w:type="dxa"/>
            <w:tcBorders>
              <w:tl2br w:val="nil"/>
              <w:tr2bl w:val="nil"/>
            </w:tcBorders>
            <w:noWrap w:val="0"/>
            <w:vAlign w:val="center"/>
          </w:tcPr>
          <w:p w14:paraId="6E2D2476">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稳定性</w:t>
            </w:r>
          </w:p>
        </w:tc>
        <w:tc>
          <w:tcPr>
            <w:tcW w:w="2237" w:type="dxa"/>
            <w:tcBorders>
              <w:tl2br w:val="nil"/>
              <w:tr2bl w:val="nil"/>
            </w:tcBorders>
            <w:noWrap w:val="0"/>
            <w:vAlign w:val="center"/>
          </w:tcPr>
          <w:p w14:paraId="0E254BAF">
            <w:pPr>
              <w:topLinePunct w:val="0"/>
              <w:bidi w:val="0"/>
              <w:adjustRightInd/>
              <w:snapToGrid/>
              <w:jc w:val="center"/>
              <w:rPr>
                <w:rFonts w:hint="default" w:ascii="Times New Roman" w:hAnsi="Times New Roman" w:eastAsia="宋体" w:cs="Times New Roman"/>
                <w:color w:val="auto"/>
                <w:highlight w:val="none"/>
                <w:u w:val="none" w:color="auto"/>
                <w:lang w:val="en-US" w:eastAsia="zh-CN"/>
              </w:rPr>
            </w:pPr>
            <w:r>
              <w:rPr>
                <w:rFonts w:hint="default" w:ascii="Times New Roman" w:hAnsi="Times New Roman" w:eastAsia="宋体" w:cs="Times New Roman"/>
                <w:color w:val="auto"/>
                <w:highlight w:val="none"/>
                <w:u w:val="none" w:color="auto"/>
                <w:lang w:val="en-US" w:eastAsia="zh-CN"/>
              </w:rPr>
              <w:t>稳定</w:t>
            </w:r>
          </w:p>
        </w:tc>
      </w:tr>
      <w:tr w14:paraId="2E9F4B7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800" w:type="dxa"/>
            <w:vMerge w:val="continue"/>
            <w:tcBorders>
              <w:tl2br w:val="nil"/>
              <w:tr2bl w:val="nil"/>
            </w:tcBorders>
            <w:noWrap w:val="0"/>
            <w:vAlign w:val="center"/>
          </w:tcPr>
          <w:p w14:paraId="58FAF8FC">
            <w:pPr>
              <w:topLinePunct w:val="0"/>
              <w:bidi w:val="0"/>
              <w:adjustRightInd/>
              <w:snapToGrid/>
              <w:jc w:val="center"/>
              <w:rPr>
                <w:rFonts w:hint="default" w:ascii="Times New Roman" w:hAnsi="Times New Roman" w:eastAsia="宋体" w:cs="Times New Roman"/>
                <w:b/>
                <w:color w:val="auto"/>
                <w:sz w:val="24"/>
                <w:highlight w:val="none"/>
                <w:u w:val="none" w:color="auto"/>
              </w:rPr>
            </w:pPr>
          </w:p>
        </w:tc>
        <w:tc>
          <w:tcPr>
            <w:tcW w:w="2564" w:type="dxa"/>
            <w:vMerge w:val="continue"/>
            <w:tcBorders>
              <w:tl2br w:val="nil"/>
              <w:tr2bl w:val="nil"/>
            </w:tcBorders>
            <w:noWrap w:val="0"/>
            <w:vAlign w:val="center"/>
          </w:tcPr>
          <w:p w14:paraId="1FDA104F">
            <w:pPr>
              <w:topLinePunct w:val="0"/>
              <w:bidi w:val="0"/>
              <w:adjustRightInd/>
              <w:snapToGrid/>
              <w:jc w:val="center"/>
              <w:rPr>
                <w:rFonts w:hint="default" w:ascii="Times New Roman" w:hAnsi="Times New Roman" w:eastAsia="宋体" w:cs="Times New Roman"/>
                <w:color w:val="auto"/>
                <w:highlight w:val="none"/>
                <w:u w:val="none" w:color="auto"/>
              </w:rPr>
            </w:pPr>
          </w:p>
        </w:tc>
        <w:tc>
          <w:tcPr>
            <w:tcW w:w="2237" w:type="dxa"/>
            <w:tcBorders>
              <w:tl2br w:val="nil"/>
              <w:tr2bl w:val="nil"/>
            </w:tcBorders>
            <w:noWrap w:val="0"/>
            <w:vAlign w:val="center"/>
          </w:tcPr>
          <w:p w14:paraId="4B75B44B">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禁忌物</w:t>
            </w:r>
          </w:p>
        </w:tc>
        <w:tc>
          <w:tcPr>
            <w:tcW w:w="2237" w:type="dxa"/>
            <w:tcBorders>
              <w:tl2br w:val="nil"/>
              <w:tr2bl w:val="nil"/>
            </w:tcBorders>
            <w:noWrap w:val="0"/>
            <w:vAlign w:val="center"/>
          </w:tcPr>
          <w:p w14:paraId="072AB14A">
            <w:pPr>
              <w:topLinePunct w:val="0"/>
              <w:bidi w:val="0"/>
              <w:adjustRightInd/>
              <w:snapToGrid/>
              <w:jc w:val="center"/>
              <w:rPr>
                <w:rFonts w:hint="default" w:ascii="Times New Roman" w:hAnsi="Times New Roman" w:eastAsia="宋体" w:cs="Times New Roman"/>
                <w:color w:val="auto"/>
                <w:highlight w:val="none"/>
                <w:u w:val="none" w:color="auto"/>
                <w:lang w:val="en-US" w:eastAsia="zh-CN"/>
              </w:rPr>
            </w:pPr>
            <w:r>
              <w:rPr>
                <w:rFonts w:hint="default" w:ascii="Times New Roman" w:hAnsi="Times New Roman" w:eastAsia="宋体" w:cs="Times New Roman"/>
                <w:color w:val="auto"/>
                <w:highlight w:val="none"/>
                <w:u w:val="none" w:color="auto"/>
                <w:lang w:val="en-US" w:eastAsia="zh-CN"/>
              </w:rPr>
              <w:t>强氧化剂、卤素</w:t>
            </w:r>
          </w:p>
        </w:tc>
      </w:tr>
      <w:tr w14:paraId="77CF274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800" w:type="dxa"/>
            <w:tcBorders>
              <w:tl2br w:val="nil"/>
              <w:tr2bl w:val="nil"/>
            </w:tcBorders>
            <w:noWrap w:val="0"/>
            <w:vAlign w:val="center"/>
          </w:tcPr>
          <w:p w14:paraId="733A7651">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燃烧（分解）产物</w:t>
            </w:r>
          </w:p>
        </w:tc>
        <w:tc>
          <w:tcPr>
            <w:tcW w:w="2564" w:type="dxa"/>
            <w:tcBorders>
              <w:tl2br w:val="nil"/>
              <w:tr2bl w:val="nil"/>
            </w:tcBorders>
            <w:noWrap w:val="0"/>
            <w:vAlign w:val="center"/>
          </w:tcPr>
          <w:p w14:paraId="5AA815AA">
            <w:pPr>
              <w:topLinePunct w:val="0"/>
              <w:bidi w:val="0"/>
              <w:adjustRightInd/>
              <w:snapToGrid/>
              <w:jc w:val="center"/>
              <w:rPr>
                <w:rFonts w:hint="default" w:ascii="Times New Roman" w:hAnsi="Times New Roman" w:eastAsia="宋体" w:cs="Times New Roman"/>
                <w:color w:val="auto"/>
                <w:highlight w:val="none"/>
                <w:u w:val="none" w:color="auto"/>
                <w:lang w:val="en-US" w:eastAsia="zh-CN"/>
              </w:rPr>
            </w:pPr>
            <w:r>
              <w:rPr>
                <w:rFonts w:hint="default" w:ascii="Times New Roman" w:hAnsi="Times New Roman" w:eastAsia="宋体" w:cs="Times New Roman"/>
                <w:color w:val="auto"/>
                <w:highlight w:val="none"/>
                <w:u w:val="none" w:color="auto"/>
                <w:lang w:val="en-US" w:eastAsia="zh-CN"/>
              </w:rPr>
              <w:t>一氧化碳、二氧化碳</w:t>
            </w:r>
          </w:p>
        </w:tc>
        <w:tc>
          <w:tcPr>
            <w:tcW w:w="2237" w:type="dxa"/>
            <w:tcBorders>
              <w:tl2br w:val="nil"/>
              <w:tr2bl w:val="nil"/>
            </w:tcBorders>
            <w:noWrap w:val="0"/>
            <w:vAlign w:val="center"/>
          </w:tcPr>
          <w:p w14:paraId="540A9BDF">
            <w:pPr>
              <w:topLinePunct w:val="0"/>
              <w:bidi w:val="0"/>
              <w:adjustRightInd/>
              <w:snapToGrid/>
              <w:jc w:val="center"/>
              <w:rPr>
                <w:rFonts w:hint="default" w:ascii="Times New Roman" w:hAnsi="Times New Roman" w:eastAsia="宋体" w:cs="Times New Roman"/>
                <w:b/>
                <w:color w:val="auto"/>
                <w:sz w:val="24"/>
                <w:highlight w:val="none"/>
                <w:u w:val="none" w:color="auto"/>
              </w:rPr>
            </w:pPr>
            <w:r>
              <w:rPr>
                <w:rFonts w:hint="default" w:ascii="Times New Roman" w:hAnsi="Times New Roman" w:eastAsia="宋体" w:cs="Times New Roman"/>
                <w:b/>
                <w:color w:val="auto"/>
                <w:sz w:val="24"/>
                <w:highlight w:val="none"/>
                <w:u w:val="none" w:color="auto"/>
              </w:rPr>
              <w:t>—</w:t>
            </w:r>
          </w:p>
        </w:tc>
        <w:tc>
          <w:tcPr>
            <w:tcW w:w="2237" w:type="dxa"/>
            <w:tcBorders>
              <w:tl2br w:val="nil"/>
              <w:tr2bl w:val="nil"/>
            </w:tcBorders>
            <w:noWrap w:val="0"/>
            <w:vAlign w:val="center"/>
          </w:tcPr>
          <w:p w14:paraId="2FC37B48">
            <w:pPr>
              <w:topLinePunct w:val="0"/>
              <w:bidi w:val="0"/>
              <w:adjustRightInd/>
              <w:snapToGrid/>
              <w:jc w:val="center"/>
              <w:rPr>
                <w:rFonts w:hint="default" w:ascii="Times New Roman" w:hAnsi="Times New Roman" w:eastAsia="宋体" w:cs="Times New Roman"/>
                <w:b/>
                <w:color w:val="auto"/>
                <w:sz w:val="24"/>
                <w:highlight w:val="none"/>
                <w:u w:val="none" w:color="auto"/>
              </w:rPr>
            </w:pPr>
            <w:r>
              <w:rPr>
                <w:rFonts w:hint="default" w:ascii="Times New Roman" w:hAnsi="Times New Roman" w:eastAsia="宋体" w:cs="Times New Roman"/>
                <w:b/>
                <w:color w:val="auto"/>
                <w:sz w:val="24"/>
                <w:highlight w:val="none"/>
                <w:u w:val="none" w:color="auto"/>
              </w:rPr>
              <w:t>—</w:t>
            </w:r>
          </w:p>
        </w:tc>
      </w:tr>
      <w:tr w14:paraId="16135E9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800" w:type="dxa"/>
            <w:tcBorders>
              <w:tl2br w:val="nil"/>
              <w:tr2bl w:val="nil"/>
            </w:tcBorders>
            <w:noWrap w:val="0"/>
            <w:vAlign w:val="center"/>
          </w:tcPr>
          <w:p w14:paraId="3AC526C7">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溶解性</w:t>
            </w:r>
          </w:p>
        </w:tc>
        <w:tc>
          <w:tcPr>
            <w:tcW w:w="7038" w:type="dxa"/>
            <w:gridSpan w:val="3"/>
            <w:tcBorders>
              <w:tl2br w:val="nil"/>
              <w:tr2bl w:val="nil"/>
            </w:tcBorders>
            <w:noWrap w:val="0"/>
            <w:vAlign w:val="center"/>
          </w:tcPr>
          <w:p w14:paraId="39A023E3">
            <w:pPr>
              <w:topLinePunct w:val="0"/>
              <w:bidi w:val="0"/>
              <w:adjustRightInd/>
              <w:snapToGrid/>
              <w:jc w:val="center"/>
              <w:rPr>
                <w:rFonts w:hint="default" w:ascii="Times New Roman" w:hAnsi="Times New Roman" w:eastAsia="宋体" w:cs="Times New Roman"/>
                <w:color w:val="auto"/>
                <w:highlight w:val="none"/>
                <w:u w:val="none" w:color="auto"/>
                <w:lang w:val="en-US" w:eastAsia="zh-CN"/>
              </w:rPr>
            </w:pPr>
            <w:r>
              <w:rPr>
                <w:rFonts w:hint="default" w:ascii="Times New Roman" w:hAnsi="Times New Roman" w:eastAsia="宋体" w:cs="Times New Roman"/>
                <w:color w:val="auto"/>
                <w:highlight w:val="none"/>
                <w:u w:val="none" w:color="auto"/>
                <w:lang w:val="en-US" w:eastAsia="zh-CN"/>
              </w:rPr>
              <w:t>溶于水</w:t>
            </w:r>
          </w:p>
        </w:tc>
      </w:tr>
      <w:tr w14:paraId="0B4DB9A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800" w:type="dxa"/>
            <w:tcBorders>
              <w:tl2br w:val="nil"/>
              <w:tr2bl w:val="nil"/>
            </w:tcBorders>
            <w:noWrap w:val="0"/>
            <w:vAlign w:val="center"/>
          </w:tcPr>
          <w:p w14:paraId="74217EC3">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健康危害</w:t>
            </w:r>
          </w:p>
        </w:tc>
        <w:tc>
          <w:tcPr>
            <w:tcW w:w="7038" w:type="dxa"/>
            <w:gridSpan w:val="3"/>
            <w:tcBorders>
              <w:tl2br w:val="nil"/>
              <w:tr2bl w:val="nil"/>
            </w:tcBorders>
            <w:noWrap w:val="0"/>
            <w:vAlign w:val="center"/>
          </w:tcPr>
          <w:p w14:paraId="099E2B73">
            <w:pPr>
              <w:topLinePunct w:val="0"/>
              <w:bidi w:val="0"/>
              <w:adjustRightInd/>
              <w:snapToGrid/>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急性中毒时</w:t>
            </w:r>
            <w:r>
              <w:rPr>
                <w:rFonts w:hint="default" w:ascii="Times New Roman" w:hAnsi="Times New Roman" w:eastAsia="宋体" w:cs="Times New Roman"/>
                <w:color w:val="auto"/>
                <w:highlight w:val="none"/>
                <w:u w:val="none" w:color="auto"/>
                <w:lang w:eastAsia="zh-CN"/>
              </w:rPr>
              <w:t>，</w:t>
            </w:r>
            <w:r>
              <w:rPr>
                <w:rFonts w:hint="default" w:ascii="Times New Roman" w:hAnsi="Times New Roman" w:eastAsia="宋体" w:cs="Times New Roman"/>
                <w:color w:val="auto"/>
                <w:highlight w:val="none"/>
                <w:u w:val="none" w:color="auto"/>
              </w:rPr>
              <w:t>可有头昏、头痛、呕吐、乏力甚至昏迷。病程中尚可出现精神症状</w:t>
            </w:r>
            <w:r>
              <w:rPr>
                <w:rFonts w:hint="default" w:ascii="Times New Roman" w:hAnsi="Times New Roman" w:eastAsia="宋体" w:cs="Times New Roman"/>
                <w:color w:val="auto"/>
                <w:highlight w:val="none"/>
                <w:u w:val="none" w:color="auto"/>
                <w:lang w:eastAsia="zh-CN"/>
              </w:rPr>
              <w:t>，</w:t>
            </w:r>
            <w:r>
              <w:rPr>
                <w:rFonts w:hint="default" w:ascii="Times New Roman" w:hAnsi="Times New Roman" w:eastAsia="宋体" w:cs="Times New Roman"/>
                <w:color w:val="auto"/>
                <w:highlight w:val="none"/>
                <w:u w:val="none" w:color="auto"/>
              </w:rPr>
              <w:t>步态不稳</w:t>
            </w:r>
            <w:r>
              <w:rPr>
                <w:rFonts w:hint="default" w:ascii="Times New Roman" w:hAnsi="Times New Roman" w:eastAsia="宋体" w:cs="Times New Roman"/>
                <w:color w:val="auto"/>
                <w:highlight w:val="none"/>
                <w:u w:val="none" w:color="auto"/>
                <w:lang w:eastAsia="zh-CN"/>
              </w:rPr>
              <w:t>，</w:t>
            </w:r>
            <w:r>
              <w:rPr>
                <w:rFonts w:hint="default" w:ascii="Times New Roman" w:hAnsi="Times New Roman" w:eastAsia="宋体" w:cs="Times New Roman"/>
                <w:color w:val="auto"/>
                <w:highlight w:val="none"/>
                <w:u w:val="none" w:color="auto"/>
              </w:rPr>
              <w:t>昏迷过程久者</w:t>
            </w:r>
            <w:r>
              <w:rPr>
                <w:rFonts w:hint="default" w:ascii="Times New Roman" w:hAnsi="Times New Roman" w:eastAsia="宋体" w:cs="Times New Roman"/>
                <w:color w:val="auto"/>
                <w:highlight w:val="none"/>
                <w:u w:val="none" w:color="auto"/>
                <w:lang w:eastAsia="zh-CN"/>
              </w:rPr>
              <w:t>，</w:t>
            </w:r>
            <w:r>
              <w:rPr>
                <w:rFonts w:hint="default" w:ascii="Times New Roman" w:hAnsi="Times New Roman" w:eastAsia="宋体" w:cs="Times New Roman"/>
                <w:color w:val="auto"/>
                <w:highlight w:val="none"/>
                <w:u w:val="none" w:color="auto"/>
              </w:rPr>
              <w:t>醒后可有运动性失语及偏瘫。长期接触天然气者</w:t>
            </w:r>
            <w:r>
              <w:rPr>
                <w:rFonts w:hint="default" w:ascii="Times New Roman" w:hAnsi="Times New Roman" w:eastAsia="宋体" w:cs="Times New Roman"/>
                <w:color w:val="auto"/>
                <w:highlight w:val="none"/>
                <w:u w:val="none" w:color="auto"/>
                <w:lang w:eastAsia="zh-CN"/>
              </w:rPr>
              <w:t>，</w:t>
            </w:r>
            <w:r>
              <w:rPr>
                <w:rFonts w:hint="default" w:ascii="Times New Roman" w:hAnsi="Times New Roman" w:eastAsia="宋体" w:cs="Times New Roman"/>
                <w:color w:val="auto"/>
                <w:highlight w:val="none"/>
                <w:u w:val="none" w:color="auto"/>
              </w:rPr>
              <w:t>可出现神经衰弱综合征。</w:t>
            </w:r>
          </w:p>
        </w:tc>
      </w:tr>
      <w:tr w14:paraId="35FEE39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800" w:type="dxa"/>
            <w:tcBorders>
              <w:tl2br w:val="nil"/>
              <w:tr2bl w:val="nil"/>
            </w:tcBorders>
            <w:noWrap w:val="0"/>
            <w:vAlign w:val="center"/>
          </w:tcPr>
          <w:p w14:paraId="34C8D525">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灭火方法</w:t>
            </w:r>
          </w:p>
        </w:tc>
        <w:tc>
          <w:tcPr>
            <w:tcW w:w="7038" w:type="dxa"/>
            <w:gridSpan w:val="3"/>
            <w:tcBorders>
              <w:tl2br w:val="nil"/>
              <w:tr2bl w:val="nil"/>
            </w:tcBorders>
            <w:noWrap w:val="0"/>
            <w:vAlign w:val="center"/>
          </w:tcPr>
          <w:p w14:paraId="187C025E">
            <w:pPr>
              <w:topLinePunct w:val="0"/>
              <w:bidi w:val="0"/>
              <w:adjustRightInd/>
              <w:snapToGrid/>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切断气源。若不能立即切断气源</w:t>
            </w:r>
            <w:r>
              <w:rPr>
                <w:rFonts w:hint="default" w:ascii="Times New Roman" w:hAnsi="Times New Roman" w:eastAsia="宋体" w:cs="Times New Roman"/>
                <w:color w:val="auto"/>
                <w:highlight w:val="none"/>
                <w:u w:val="none" w:color="auto"/>
                <w:lang w:eastAsia="zh-CN"/>
              </w:rPr>
              <w:t>，</w:t>
            </w:r>
            <w:r>
              <w:rPr>
                <w:rFonts w:hint="default" w:ascii="Times New Roman" w:hAnsi="Times New Roman" w:eastAsia="宋体" w:cs="Times New Roman"/>
                <w:color w:val="auto"/>
                <w:highlight w:val="none"/>
                <w:u w:val="none" w:color="auto"/>
              </w:rPr>
              <w:t>则不允许熄灭正在燃烧的气体</w:t>
            </w:r>
            <w:r>
              <w:rPr>
                <w:rFonts w:hint="default" w:ascii="Times New Roman" w:hAnsi="Times New Roman" w:eastAsia="宋体" w:cs="Times New Roman"/>
                <w:color w:val="auto"/>
                <w:highlight w:val="none"/>
                <w:u w:val="none" w:color="auto"/>
                <w:lang w:eastAsia="zh-CN"/>
              </w:rPr>
              <w:t>，</w:t>
            </w:r>
            <w:r>
              <w:rPr>
                <w:rFonts w:hint="default" w:ascii="Times New Roman" w:hAnsi="Times New Roman" w:eastAsia="宋体" w:cs="Times New Roman"/>
                <w:color w:val="auto"/>
                <w:highlight w:val="none"/>
                <w:u w:val="none" w:color="auto"/>
              </w:rPr>
              <w:t>喷水冷却容器</w:t>
            </w:r>
            <w:r>
              <w:rPr>
                <w:rFonts w:hint="default" w:ascii="Times New Roman" w:hAnsi="Times New Roman" w:eastAsia="宋体" w:cs="Times New Roman"/>
                <w:color w:val="auto"/>
                <w:highlight w:val="none"/>
                <w:u w:val="none" w:color="auto"/>
                <w:lang w:eastAsia="zh-CN"/>
              </w:rPr>
              <w:t>，</w:t>
            </w:r>
            <w:r>
              <w:rPr>
                <w:rFonts w:hint="default" w:ascii="Times New Roman" w:hAnsi="Times New Roman" w:eastAsia="宋体" w:cs="Times New Roman"/>
                <w:color w:val="auto"/>
                <w:highlight w:val="none"/>
                <w:u w:val="none" w:color="auto"/>
              </w:rPr>
              <w:t>可能的话将容器从火场移至空旷处。雾状水、泡沫、二氧化碳。</w:t>
            </w:r>
          </w:p>
        </w:tc>
      </w:tr>
      <w:tr w14:paraId="1B4C295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800" w:type="dxa"/>
            <w:tcBorders>
              <w:tl2br w:val="nil"/>
              <w:tr2bl w:val="nil"/>
            </w:tcBorders>
            <w:noWrap w:val="0"/>
            <w:vAlign w:val="center"/>
          </w:tcPr>
          <w:p w14:paraId="32805A5F">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泄漏应急处理</w:t>
            </w:r>
          </w:p>
        </w:tc>
        <w:tc>
          <w:tcPr>
            <w:tcW w:w="7038" w:type="dxa"/>
            <w:gridSpan w:val="3"/>
            <w:tcBorders>
              <w:tl2br w:val="nil"/>
              <w:tr2bl w:val="nil"/>
            </w:tcBorders>
            <w:noWrap w:val="0"/>
            <w:vAlign w:val="center"/>
          </w:tcPr>
          <w:p w14:paraId="55539931">
            <w:pPr>
              <w:topLinePunct w:val="0"/>
              <w:bidi w:val="0"/>
              <w:adjustRightInd/>
              <w:snapToGrid/>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rPr>
              <w:t>切断火源。戴自给式呼吸器</w:t>
            </w:r>
            <w:r>
              <w:rPr>
                <w:rFonts w:hint="default" w:ascii="Times New Roman" w:hAnsi="Times New Roman" w:eastAsia="宋体" w:cs="Times New Roman"/>
                <w:color w:val="auto"/>
                <w:szCs w:val="21"/>
                <w:highlight w:val="none"/>
                <w:u w:val="none" w:color="auto"/>
                <w:lang w:eastAsia="zh-CN"/>
              </w:rPr>
              <w:t>，</w:t>
            </w:r>
            <w:r>
              <w:rPr>
                <w:rFonts w:hint="default" w:ascii="Times New Roman" w:hAnsi="Times New Roman" w:eastAsia="宋体" w:cs="Times New Roman"/>
                <w:color w:val="auto"/>
                <w:szCs w:val="21"/>
                <w:highlight w:val="none"/>
                <w:u w:val="none" w:color="auto"/>
              </w:rPr>
              <w:t>穿一般消防防护服。合理通风</w:t>
            </w:r>
            <w:r>
              <w:rPr>
                <w:rFonts w:hint="default" w:ascii="Times New Roman" w:hAnsi="Times New Roman" w:eastAsia="宋体" w:cs="Times New Roman"/>
                <w:color w:val="auto"/>
                <w:szCs w:val="21"/>
                <w:highlight w:val="none"/>
                <w:u w:val="none" w:color="auto"/>
                <w:lang w:eastAsia="zh-CN"/>
              </w:rPr>
              <w:t>，</w:t>
            </w:r>
            <w:r>
              <w:rPr>
                <w:rFonts w:hint="default" w:ascii="Times New Roman" w:hAnsi="Times New Roman" w:eastAsia="宋体" w:cs="Times New Roman"/>
                <w:color w:val="auto"/>
                <w:szCs w:val="21"/>
                <w:highlight w:val="none"/>
                <w:u w:val="none" w:color="auto"/>
              </w:rPr>
              <w:t>禁止泄漏物进入受限制的空间</w:t>
            </w:r>
            <w:r>
              <w:rPr>
                <w:rFonts w:hint="default" w:ascii="Times New Roman" w:hAnsi="Times New Roman" w:eastAsia="宋体" w:cs="Times New Roman"/>
                <w:color w:val="auto"/>
                <w:szCs w:val="21"/>
                <w:highlight w:val="none"/>
                <w:u w:val="none" w:color="auto"/>
                <w:lang w:eastAsia="zh-CN"/>
              </w:rPr>
              <w:t>（</w:t>
            </w:r>
            <w:r>
              <w:rPr>
                <w:rFonts w:hint="default" w:ascii="Times New Roman" w:hAnsi="Times New Roman" w:eastAsia="宋体" w:cs="Times New Roman"/>
                <w:color w:val="auto"/>
                <w:szCs w:val="21"/>
                <w:highlight w:val="none"/>
                <w:u w:val="none" w:color="auto"/>
              </w:rPr>
              <w:t>如下水道等</w:t>
            </w:r>
            <w:r>
              <w:rPr>
                <w:rFonts w:hint="default" w:ascii="Times New Roman" w:hAnsi="Times New Roman" w:eastAsia="宋体" w:cs="Times New Roman"/>
                <w:color w:val="auto"/>
                <w:szCs w:val="21"/>
                <w:highlight w:val="none"/>
                <w:u w:val="none" w:color="auto"/>
                <w:lang w:eastAsia="zh-CN"/>
              </w:rPr>
              <w:t>），</w:t>
            </w:r>
            <w:r>
              <w:rPr>
                <w:rFonts w:hint="default" w:ascii="Times New Roman" w:hAnsi="Times New Roman" w:eastAsia="宋体" w:cs="Times New Roman"/>
                <w:color w:val="auto"/>
                <w:szCs w:val="21"/>
                <w:highlight w:val="none"/>
                <w:u w:val="none" w:color="auto"/>
              </w:rPr>
              <w:t>以避免发生爆炸。切断气源</w:t>
            </w:r>
            <w:r>
              <w:rPr>
                <w:rFonts w:hint="default" w:ascii="Times New Roman" w:hAnsi="Times New Roman" w:eastAsia="宋体" w:cs="Times New Roman"/>
                <w:color w:val="auto"/>
                <w:szCs w:val="21"/>
                <w:highlight w:val="none"/>
                <w:u w:val="none" w:color="auto"/>
                <w:lang w:eastAsia="zh-CN"/>
              </w:rPr>
              <w:t>，</w:t>
            </w:r>
            <w:r>
              <w:rPr>
                <w:rFonts w:hint="default" w:ascii="Times New Roman" w:hAnsi="Times New Roman" w:eastAsia="宋体" w:cs="Times New Roman"/>
                <w:color w:val="auto"/>
                <w:szCs w:val="21"/>
                <w:highlight w:val="none"/>
                <w:u w:val="none" w:color="auto"/>
              </w:rPr>
              <w:t>喷洒雾状水稀释</w:t>
            </w:r>
            <w:r>
              <w:rPr>
                <w:rFonts w:hint="default" w:ascii="Times New Roman" w:hAnsi="Times New Roman" w:eastAsia="宋体" w:cs="Times New Roman"/>
                <w:color w:val="auto"/>
                <w:szCs w:val="21"/>
                <w:highlight w:val="none"/>
                <w:u w:val="none" w:color="auto"/>
                <w:lang w:eastAsia="zh-CN"/>
              </w:rPr>
              <w:t>，</w:t>
            </w:r>
            <w:r>
              <w:rPr>
                <w:rFonts w:hint="default" w:ascii="Times New Roman" w:hAnsi="Times New Roman" w:eastAsia="宋体" w:cs="Times New Roman"/>
                <w:color w:val="auto"/>
                <w:szCs w:val="21"/>
                <w:highlight w:val="none"/>
                <w:u w:val="none" w:color="auto"/>
              </w:rPr>
              <w:t>抽排</w:t>
            </w:r>
            <w:r>
              <w:rPr>
                <w:rFonts w:hint="default" w:ascii="Times New Roman" w:hAnsi="Times New Roman" w:eastAsia="宋体" w:cs="Times New Roman"/>
                <w:color w:val="auto"/>
                <w:szCs w:val="21"/>
                <w:highlight w:val="none"/>
                <w:u w:val="none" w:color="auto"/>
                <w:lang w:eastAsia="zh-CN"/>
              </w:rPr>
              <w:t>（</w:t>
            </w:r>
            <w:r>
              <w:rPr>
                <w:rFonts w:hint="default" w:ascii="Times New Roman" w:hAnsi="Times New Roman" w:eastAsia="宋体" w:cs="Times New Roman"/>
                <w:color w:val="auto"/>
                <w:szCs w:val="21"/>
                <w:highlight w:val="none"/>
                <w:u w:val="none" w:color="auto"/>
              </w:rPr>
              <w:t>室内</w:t>
            </w:r>
            <w:r>
              <w:rPr>
                <w:rFonts w:hint="default" w:ascii="Times New Roman" w:hAnsi="Times New Roman" w:eastAsia="宋体" w:cs="Times New Roman"/>
                <w:color w:val="auto"/>
                <w:szCs w:val="21"/>
                <w:highlight w:val="none"/>
                <w:u w:val="none" w:color="auto"/>
                <w:lang w:eastAsia="zh-CN"/>
              </w:rPr>
              <w:t>）</w:t>
            </w:r>
            <w:r>
              <w:rPr>
                <w:rFonts w:hint="default" w:ascii="Times New Roman" w:hAnsi="Times New Roman" w:eastAsia="宋体" w:cs="Times New Roman"/>
                <w:color w:val="auto"/>
                <w:szCs w:val="21"/>
                <w:highlight w:val="none"/>
                <w:u w:val="none" w:color="auto"/>
              </w:rPr>
              <w:t>或强力通风</w:t>
            </w:r>
            <w:r>
              <w:rPr>
                <w:rFonts w:hint="default" w:ascii="Times New Roman" w:hAnsi="Times New Roman" w:eastAsia="宋体" w:cs="Times New Roman"/>
                <w:color w:val="auto"/>
                <w:szCs w:val="21"/>
                <w:highlight w:val="none"/>
                <w:u w:val="none" w:color="auto"/>
                <w:lang w:eastAsia="zh-CN"/>
              </w:rPr>
              <w:t>（</w:t>
            </w:r>
            <w:r>
              <w:rPr>
                <w:rFonts w:hint="default" w:ascii="Times New Roman" w:hAnsi="Times New Roman" w:eastAsia="宋体" w:cs="Times New Roman"/>
                <w:color w:val="auto"/>
                <w:szCs w:val="21"/>
                <w:highlight w:val="none"/>
                <w:u w:val="none" w:color="auto"/>
              </w:rPr>
              <w:t>室外</w:t>
            </w:r>
            <w:r>
              <w:rPr>
                <w:rFonts w:hint="default" w:ascii="Times New Roman" w:hAnsi="Times New Roman" w:eastAsia="宋体" w:cs="Times New Roman"/>
                <w:color w:val="auto"/>
                <w:szCs w:val="21"/>
                <w:highlight w:val="none"/>
                <w:u w:val="none" w:color="auto"/>
                <w:lang w:eastAsia="zh-CN"/>
              </w:rPr>
              <w:t>）</w:t>
            </w:r>
            <w:r>
              <w:rPr>
                <w:rFonts w:hint="default" w:ascii="Times New Roman" w:hAnsi="Times New Roman" w:eastAsia="宋体" w:cs="Times New Roman"/>
                <w:color w:val="auto"/>
                <w:szCs w:val="21"/>
                <w:highlight w:val="none"/>
                <w:u w:val="none" w:color="auto"/>
              </w:rPr>
              <w:t>。漏气容器不能再用</w:t>
            </w:r>
            <w:r>
              <w:rPr>
                <w:rFonts w:hint="default" w:ascii="Times New Roman" w:hAnsi="Times New Roman" w:eastAsia="宋体" w:cs="Times New Roman"/>
                <w:color w:val="auto"/>
                <w:szCs w:val="21"/>
                <w:highlight w:val="none"/>
                <w:u w:val="none" w:color="auto"/>
                <w:lang w:eastAsia="zh-CN"/>
              </w:rPr>
              <w:t>，</w:t>
            </w:r>
            <w:r>
              <w:rPr>
                <w:rFonts w:hint="default" w:ascii="Times New Roman" w:hAnsi="Times New Roman" w:eastAsia="宋体" w:cs="Times New Roman"/>
                <w:color w:val="auto"/>
                <w:szCs w:val="21"/>
                <w:highlight w:val="none"/>
                <w:u w:val="none" w:color="auto"/>
              </w:rPr>
              <w:t>且要经过技术处理以清除可能剩下的气体。</w:t>
            </w:r>
          </w:p>
        </w:tc>
      </w:tr>
      <w:tr w14:paraId="47E1A0C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800" w:type="dxa"/>
            <w:tcBorders>
              <w:tl2br w:val="nil"/>
              <w:tr2bl w:val="nil"/>
            </w:tcBorders>
            <w:noWrap w:val="0"/>
            <w:vAlign w:val="center"/>
          </w:tcPr>
          <w:p w14:paraId="5E2162E5">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防护措施</w:t>
            </w:r>
          </w:p>
        </w:tc>
        <w:tc>
          <w:tcPr>
            <w:tcW w:w="7038" w:type="dxa"/>
            <w:gridSpan w:val="3"/>
            <w:tcBorders>
              <w:tl2br w:val="nil"/>
              <w:tr2bl w:val="nil"/>
            </w:tcBorders>
            <w:noWrap w:val="0"/>
            <w:vAlign w:val="center"/>
          </w:tcPr>
          <w:p w14:paraId="755950D6">
            <w:pPr>
              <w:topLinePunct w:val="0"/>
              <w:bidi w:val="0"/>
              <w:adjustRightInd/>
              <w:snapToGrid/>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rPr>
              <w:t>工程控制:密f闭操作。提供良好的自然通风条件。呼吸系统防护:高浓度环境中</w:t>
            </w:r>
            <w:r>
              <w:rPr>
                <w:rFonts w:hint="default" w:ascii="Times New Roman" w:hAnsi="Times New Roman" w:eastAsia="宋体" w:cs="Times New Roman"/>
                <w:color w:val="auto"/>
                <w:szCs w:val="21"/>
                <w:highlight w:val="none"/>
                <w:u w:val="none" w:color="auto"/>
                <w:lang w:eastAsia="zh-CN"/>
              </w:rPr>
              <w:t>，佩戴</w:t>
            </w:r>
            <w:r>
              <w:rPr>
                <w:rFonts w:hint="default" w:ascii="Times New Roman" w:hAnsi="Times New Roman" w:eastAsia="宋体" w:cs="Times New Roman"/>
                <w:color w:val="auto"/>
                <w:szCs w:val="21"/>
                <w:highlight w:val="none"/>
                <w:u w:val="none" w:color="auto"/>
              </w:rPr>
              <w:t>供气式呼吸器。</w:t>
            </w:r>
          </w:p>
          <w:p w14:paraId="0F9583F7">
            <w:pPr>
              <w:topLinePunct w:val="0"/>
              <w:bidi w:val="0"/>
              <w:adjustRightInd/>
              <w:snapToGrid/>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rPr>
              <w:t>眼睛防护:—般不需要特殊防护</w:t>
            </w:r>
            <w:r>
              <w:rPr>
                <w:rFonts w:hint="default" w:ascii="Times New Roman" w:hAnsi="Times New Roman" w:eastAsia="宋体" w:cs="Times New Roman"/>
                <w:color w:val="auto"/>
                <w:szCs w:val="21"/>
                <w:highlight w:val="none"/>
                <w:u w:val="none" w:color="auto"/>
                <w:lang w:eastAsia="zh-CN"/>
              </w:rPr>
              <w:t>，</w:t>
            </w:r>
            <w:r>
              <w:rPr>
                <w:rFonts w:hint="default" w:ascii="Times New Roman" w:hAnsi="Times New Roman" w:eastAsia="宋体" w:cs="Times New Roman"/>
                <w:color w:val="auto"/>
                <w:szCs w:val="21"/>
                <w:highlight w:val="none"/>
                <w:u w:val="none" w:color="auto"/>
              </w:rPr>
              <w:t>高浓度接触时可戴化学安全防护眼镜。身体防护:穿防静电工作服。</w:t>
            </w:r>
          </w:p>
          <w:p w14:paraId="5E6406F6">
            <w:pPr>
              <w:topLinePunct w:val="0"/>
              <w:bidi w:val="0"/>
              <w:adjustRightInd/>
              <w:snapToGrid/>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rPr>
              <w:t>手防护:必要时戴防护手套。</w:t>
            </w:r>
          </w:p>
          <w:p w14:paraId="54EA3447">
            <w:pPr>
              <w:topLinePunct w:val="0"/>
              <w:bidi w:val="0"/>
              <w:adjustRightInd/>
              <w:snapToGrid/>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rPr>
              <w:t>其他防护:工作现场严禁吸烟。避免高浓度吸入。进入罐或其它高浓度区作业</w:t>
            </w:r>
            <w:r>
              <w:rPr>
                <w:rFonts w:hint="default" w:ascii="Times New Roman" w:hAnsi="Times New Roman" w:eastAsia="宋体" w:cs="Times New Roman"/>
                <w:color w:val="auto"/>
                <w:szCs w:val="21"/>
                <w:highlight w:val="none"/>
                <w:u w:val="none" w:color="auto"/>
                <w:lang w:eastAsia="zh-CN"/>
              </w:rPr>
              <w:t>，</w:t>
            </w:r>
            <w:r>
              <w:rPr>
                <w:rFonts w:hint="default" w:ascii="Times New Roman" w:hAnsi="Times New Roman" w:eastAsia="宋体" w:cs="Times New Roman"/>
                <w:color w:val="auto"/>
                <w:szCs w:val="21"/>
                <w:highlight w:val="none"/>
                <w:u w:val="none" w:color="auto"/>
              </w:rPr>
              <w:t>须有人监护。</w:t>
            </w:r>
          </w:p>
        </w:tc>
      </w:tr>
      <w:tr w14:paraId="722F01E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800" w:type="dxa"/>
            <w:tcBorders>
              <w:tl2br w:val="nil"/>
              <w:tr2bl w:val="nil"/>
            </w:tcBorders>
            <w:noWrap w:val="0"/>
            <w:vAlign w:val="center"/>
          </w:tcPr>
          <w:p w14:paraId="6493D8F7">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急救措施</w:t>
            </w:r>
          </w:p>
        </w:tc>
        <w:tc>
          <w:tcPr>
            <w:tcW w:w="7038" w:type="dxa"/>
            <w:gridSpan w:val="3"/>
            <w:tcBorders>
              <w:tl2br w:val="nil"/>
              <w:tr2bl w:val="nil"/>
            </w:tcBorders>
            <w:noWrap w:val="0"/>
            <w:vAlign w:val="center"/>
          </w:tcPr>
          <w:p w14:paraId="5A0743DB">
            <w:pPr>
              <w:topLinePunct w:val="0"/>
              <w:bidi w:val="0"/>
              <w:adjustRightInd/>
              <w:snapToGrid/>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rPr>
              <w:t>脱离有毒环境</w:t>
            </w:r>
            <w:r>
              <w:rPr>
                <w:rFonts w:hint="default" w:ascii="Times New Roman" w:hAnsi="Times New Roman" w:eastAsia="宋体" w:cs="Times New Roman"/>
                <w:color w:val="auto"/>
                <w:szCs w:val="21"/>
                <w:highlight w:val="none"/>
                <w:u w:val="none" w:color="auto"/>
                <w:lang w:eastAsia="zh-CN"/>
              </w:rPr>
              <w:t>，</w:t>
            </w:r>
            <w:r>
              <w:rPr>
                <w:rFonts w:hint="default" w:ascii="Times New Roman" w:hAnsi="Times New Roman" w:eastAsia="宋体" w:cs="Times New Roman"/>
                <w:color w:val="auto"/>
                <w:szCs w:val="21"/>
                <w:highlight w:val="none"/>
                <w:u w:val="none" w:color="auto"/>
              </w:rPr>
              <w:t>至空气新鲜处</w:t>
            </w:r>
            <w:r>
              <w:rPr>
                <w:rFonts w:hint="default" w:ascii="Times New Roman" w:hAnsi="Times New Roman" w:eastAsia="宋体" w:cs="Times New Roman"/>
                <w:color w:val="auto"/>
                <w:szCs w:val="21"/>
                <w:highlight w:val="none"/>
                <w:u w:val="none" w:color="auto"/>
                <w:lang w:eastAsia="zh-CN"/>
              </w:rPr>
              <w:t>，</w:t>
            </w:r>
            <w:r>
              <w:rPr>
                <w:rFonts w:hint="default" w:ascii="Times New Roman" w:hAnsi="Times New Roman" w:eastAsia="宋体" w:cs="Times New Roman"/>
                <w:color w:val="auto"/>
                <w:szCs w:val="21"/>
                <w:highlight w:val="none"/>
                <w:u w:val="none" w:color="auto"/>
              </w:rPr>
              <w:t>给氧</w:t>
            </w:r>
            <w:r>
              <w:rPr>
                <w:rFonts w:hint="default" w:ascii="Times New Roman" w:hAnsi="Times New Roman" w:eastAsia="宋体" w:cs="Times New Roman"/>
                <w:color w:val="auto"/>
                <w:szCs w:val="21"/>
                <w:highlight w:val="none"/>
                <w:u w:val="none" w:color="auto"/>
                <w:lang w:eastAsia="zh-CN"/>
              </w:rPr>
              <w:t>，</w:t>
            </w:r>
            <w:r>
              <w:rPr>
                <w:rFonts w:hint="default" w:ascii="Times New Roman" w:hAnsi="Times New Roman" w:eastAsia="宋体" w:cs="Times New Roman"/>
                <w:color w:val="auto"/>
                <w:szCs w:val="21"/>
                <w:highlight w:val="none"/>
                <w:u w:val="none" w:color="auto"/>
              </w:rPr>
              <w:t>对症治疗。注意防治脑水肿。</w:t>
            </w:r>
          </w:p>
        </w:tc>
      </w:tr>
      <w:tr w14:paraId="1F0E3B7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800" w:type="dxa"/>
            <w:tcBorders>
              <w:tl2br w:val="nil"/>
              <w:tr2bl w:val="nil"/>
            </w:tcBorders>
            <w:noWrap w:val="0"/>
            <w:vAlign w:val="center"/>
          </w:tcPr>
          <w:p w14:paraId="58E6CBC6">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储存要求</w:t>
            </w:r>
          </w:p>
        </w:tc>
        <w:tc>
          <w:tcPr>
            <w:tcW w:w="7038" w:type="dxa"/>
            <w:gridSpan w:val="3"/>
            <w:tcBorders>
              <w:tl2br w:val="nil"/>
              <w:tr2bl w:val="nil"/>
            </w:tcBorders>
            <w:noWrap w:val="0"/>
            <w:vAlign w:val="center"/>
          </w:tcPr>
          <w:p w14:paraId="5295B0BE">
            <w:pPr>
              <w:topLinePunct w:val="0"/>
              <w:bidi w:val="0"/>
              <w:adjustRightInd/>
              <w:snapToGrid/>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rPr>
              <w:t>易燃压缩气体。储存于阴凉、干燥、通风良好的不燃库房。仓温不宜超过30℃。远离火种、热源。防止阳光直射。应与氧气、压缩空气、卤素</w:t>
            </w:r>
            <w:r>
              <w:rPr>
                <w:rFonts w:hint="default" w:ascii="Times New Roman" w:hAnsi="Times New Roman" w:eastAsia="宋体" w:cs="Times New Roman"/>
                <w:color w:val="auto"/>
                <w:szCs w:val="21"/>
                <w:highlight w:val="none"/>
                <w:u w:val="none" w:color="auto"/>
                <w:lang w:eastAsia="zh-CN"/>
              </w:rPr>
              <w:t>（</w:t>
            </w:r>
            <w:r>
              <w:rPr>
                <w:rFonts w:hint="default" w:ascii="Times New Roman" w:hAnsi="Times New Roman" w:eastAsia="宋体" w:cs="Times New Roman"/>
                <w:color w:val="auto"/>
                <w:szCs w:val="21"/>
                <w:highlight w:val="none"/>
                <w:u w:val="none" w:color="auto"/>
              </w:rPr>
              <w:t>氟、氨、溴</w:t>
            </w:r>
            <w:r>
              <w:rPr>
                <w:rFonts w:hint="default" w:ascii="Times New Roman" w:hAnsi="Times New Roman" w:eastAsia="宋体" w:cs="Times New Roman"/>
                <w:color w:val="auto"/>
                <w:szCs w:val="21"/>
                <w:highlight w:val="none"/>
                <w:u w:val="none" w:color="auto"/>
                <w:lang w:eastAsia="zh-CN"/>
              </w:rPr>
              <w:t>）</w:t>
            </w:r>
            <w:r>
              <w:rPr>
                <w:rFonts w:hint="default" w:ascii="Times New Roman" w:hAnsi="Times New Roman" w:eastAsia="宋体" w:cs="Times New Roman"/>
                <w:color w:val="auto"/>
                <w:szCs w:val="21"/>
                <w:highlight w:val="none"/>
                <w:u w:val="none" w:color="auto"/>
              </w:rPr>
              <w:t>、氧化剂等分开存放。储存间内的照明、通风等设施应采用防爆型。若是储罐存放</w:t>
            </w:r>
            <w:r>
              <w:rPr>
                <w:rFonts w:hint="default" w:ascii="Times New Roman" w:hAnsi="Times New Roman" w:eastAsia="宋体" w:cs="Times New Roman"/>
                <w:color w:val="auto"/>
                <w:szCs w:val="21"/>
                <w:highlight w:val="none"/>
                <w:u w:val="none" w:color="auto"/>
                <w:lang w:eastAsia="zh-CN"/>
              </w:rPr>
              <w:t>，</w:t>
            </w:r>
            <w:r>
              <w:rPr>
                <w:rFonts w:hint="default" w:ascii="Times New Roman" w:hAnsi="Times New Roman" w:eastAsia="宋体" w:cs="Times New Roman"/>
                <w:color w:val="auto"/>
                <w:szCs w:val="21"/>
                <w:highlight w:val="none"/>
                <w:u w:val="none" w:color="auto"/>
              </w:rPr>
              <w:t>储罐区域要有禁火标志和防火防爆技术措施。禁止使用易产生火花的机械设备和工具。槽车运送时要灌装适量</w:t>
            </w:r>
            <w:r>
              <w:rPr>
                <w:rFonts w:hint="default" w:ascii="Times New Roman" w:hAnsi="Times New Roman" w:eastAsia="宋体" w:cs="Times New Roman"/>
                <w:color w:val="auto"/>
                <w:szCs w:val="21"/>
                <w:highlight w:val="none"/>
                <w:u w:val="none" w:color="auto"/>
                <w:lang w:eastAsia="zh-CN"/>
              </w:rPr>
              <w:t>，</w:t>
            </w:r>
            <w:r>
              <w:rPr>
                <w:rFonts w:hint="default" w:ascii="Times New Roman" w:hAnsi="Times New Roman" w:eastAsia="宋体" w:cs="Times New Roman"/>
                <w:color w:val="auto"/>
                <w:szCs w:val="21"/>
                <w:highlight w:val="none"/>
                <w:u w:val="none" w:color="auto"/>
              </w:rPr>
              <w:t>不可超压超量运输。搬运时轻装轻卸</w:t>
            </w:r>
            <w:r>
              <w:rPr>
                <w:rFonts w:hint="default" w:ascii="Times New Roman" w:hAnsi="Times New Roman" w:eastAsia="宋体" w:cs="Times New Roman"/>
                <w:color w:val="auto"/>
                <w:szCs w:val="21"/>
                <w:highlight w:val="none"/>
                <w:u w:val="none" w:color="auto"/>
                <w:lang w:eastAsia="zh-CN"/>
              </w:rPr>
              <w:t>，</w:t>
            </w:r>
            <w:r>
              <w:rPr>
                <w:rFonts w:hint="default" w:ascii="Times New Roman" w:hAnsi="Times New Roman" w:eastAsia="宋体" w:cs="Times New Roman"/>
                <w:color w:val="auto"/>
                <w:szCs w:val="21"/>
                <w:highlight w:val="none"/>
                <w:u w:val="none" w:color="auto"/>
              </w:rPr>
              <w:t>防止钢瓶及附件破损。</w:t>
            </w:r>
          </w:p>
        </w:tc>
      </w:tr>
      <w:tr w14:paraId="65F96D2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800" w:type="dxa"/>
            <w:tcBorders>
              <w:tl2br w:val="nil"/>
              <w:tr2bl w:val="nil"/>
            </w:tcBorders>
            <w:noWrap w:val="0"/>
            <w:vAlign w:val="center"/>
          </w:tcPr>
          <w:p w14:paraId="34DD401B">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运输要求</w:t>
            </w:r>
          </w:p>
        </w:tc>
        <w:tc>
          <w:tcPr>
            <w:tcW w:w="7038" w:type="dxa"/>
            <w:gridSpan w:val="3"/>
            <w:tcBorders>
              <w:tl2br w:val="nil"/>
              <w:tr2bl w:val="nil"/>
            </w:tcBorders>
            <w:noWrap w:val="0"/>
            <w:vAlign w:val="center"/>
          </w:tcPr>
          <w:p w14:paraId="09D33E40">
            <w:pPr>
              <w:topLinePunct w:val="0"/>
              <w:bidi w:val="0"/>
              <w:adjustRightInd/>
              <w:snapToGrid/>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rPr>
              <w:t>UN编号:1971</w:t>
            </w:r>
          </w:p>
          <w:p w14:paraId="40B5C207">
            <w:pPr>
              <w:topLinePunct w:val="0"/>
              <w:bidi w:val="0"/>
              <w:adjustRightInd/>
              <w:snapToGrid/>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rPr>
              <w:t>包装类别:Ⅱ</w:t>
            </w:r>
          </w:p>
        </w:tc>
      </w:tr>
    </w:tbl>
    <w:p w14:paraId="0565F6BE">
      <w:pPr>
        <w:pStyle w:val="17"/>
        <w:numPr>
          <w:ilvl w:val="0"/>
          <w:numId w:val="11"/>
        </w:numPr>
        <w:adjustRightInd/>
        <w:snapToGrid/>
        <w:rPr>
          <w:rFonts w:hint="default" w:ascii="Times New Roman" w:hAnsi="Times New Roman" w:eastAsia="宋体" w:cs="Times New Roman"/>
          <w:b/>
          <w:color w:val="auto"/>
          <w:sz w:val="21"/>
          <w:szCs w:val="21"/>
          <w:highlight w:val="none"/>
          <w:u w:val="none" w:color="auto"/>
        </w:rPr>
      </w:pPr>
      <w:r>
        <w:rPr>
          <w:rFonts w:hint="default" w:ascii="Times New Roman" w:hAnsi="Times New Roman" w:eastAsia="宋体" w:cs="Times New Roman"/>
          <w:b/>
          <w:color w:val="auto"/>
          <w:sz w:val="21"/>
          <w:szCs w:val="21"/>
          <w:highlight w:val="none"/>
          <w:u w:val="none" w:color="auto"/>
          <w:lang w:val="en-US" w:eastAsia="zh-CN"/>
        </w:rPr>
        <w:t>氮化铝</w:t>
      </w:r>
      <w:r>
        <w:rPr>
          <w:rFonts w:hint="default" w:ascii="Times New Roman" w:hAnsi="Times New Roman" w:eastAsia="宋体" w:cs="Times New Roman"/>
          <w:b/>
          <w:color w:val="auto"/>
          <w:sz w:val="21"/>
          <w:szCs w:val="21"/>
          <w:highlight w:val="none"/>
          <w:u w:val="none" w:color="auto"/>
        </w:rPr>
        <w:t>的理化性质、危险特性及应急防范措施</w:t>
      </w:r>
    </w:p>
    <w:tbl>
      <w:tblPr>
        <w:tblStyle w:val="31"/>
        <w:tblW w:w="0" w:type="auto"/>
        <w:tblInd w:w="108"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800"/>
        <w:gridCol w:w="2564"/>
        <w:gridCol w:w="1203"/>
        <w:gridCol w:w="3271"/>
      </w:tblGrid>
      <w:tr w14:paraId="0D61674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c>
          <w:tcPr>
            <w:tcW w:w="1800" w:type="dxa"/>
            <w:tcBorders>
              <w:tl2br w:val="nil"/>
              <w:tr2bl w:val="nil"/>
            </w:tcBorders>
            <w:noWrap w:val="0"/>
            <w:vAlign w:val="center"/>
          </w:tcPr>
          <w:p w14:paraId="02E67664">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化学名称</w:t>
            </w:r>
          </w:p>
        </w:tc>
        <w:tc>
          <w:tcPr>
            <w:tcW w:w="2564" w:type="dxa"/>
            <w:tcBorders>
              <w:tl2br w:val="nil"/>
              <w:tr2bl w:val="nil"/>
            </w:tcBorders>
            <w:noWrap w:val="0"/>
            <w:vAlign w:val="center"/>
          </w:tcPr>
          <w:p w14:paraId="7A7200DA">
            <w:pPr>
              <w:topLinePunct w:val="0"/>
              <w:bidi w:val="0"/>
              <w:adjustRightInd/>
              <w:snapToGrid/>
              <w:jc w:val="center"/>
              <w:rPr>
                <w:rFonts w:hint="default" w:ascii="Times New Roman" w:hAnsi="Times New Roman" w:eastAsia="宋体" w:cs="Times New Roman"/>
                <w:color w:val="auto"/>
                <w:highlight w:val="none"/>
                <w:u w:val="none" w:color="auto"/>
                <w:lang w:val="en-US" w:eastAsia="zh-CN"/>
              </w:rPr>
            </w:pPr>
            <w:r>
              <w:rPr>
                <w:rFonts w:hint="default" w:ascii="Times New Roman" w:hAnsi="Times New Roman" w:eastAsia="宋体" w:cs="Times New Roman"/>
                <w:color w:val="auto"/>
                <w:highlight w:val="none"/>
                <w:u w:val="none" w:color="auto"/>
                <w:lang w:val="en-US" w:eastAsia="zh-CN"/>
              </w:rPr>
              <w:t>氮化铝</w:t>
            </w:r>
          </w:p>
        </w:tc>
        <w:tc>
          <w:tcPr>
            <w:tcW w:w="1203" w:type="dxa"/>
            <w:tcBorders>
              <w:tl2br w:val="nil"/>
              <w:tr2bl w:val="nil"/>
            </w:tcBorders>
            <w:noWrap w:val="0"/>
            <w:vAlign w:val="center"/>
          </w:tcPr>
          <w:p w14:paraId="73D492BB">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英文名称</w:t>
            </w:r>
          </w:p>
        </w:tc>
        <w:tc>
          <w:tcPr>
            <w:tcW w:w="3271" w:type="dxa"/>
            <w:tcBorders>
              <w:tl2br w:val="nil"/>
              <w:tr2bl w:val="nil"/>
            </w:tcBorders>
            <w:noWrap w:val="0"/>
            <w:vAlign w:val="center"/>
          </w:tcPr>
          <w:p w14:paraId="0CFD27B6">
            <w:pPr>
              <w:topLinePunct w:val="0"/>
              <w:bidi w:val="0"/>
              <w:adjustRightInd/>
              <w:snapToGrid/>
              <w:jc w:val="center"/>
              <w:rPr>
                <w:rFonts w:hint="default" w:ascii="Times New Roman" w:hAnsi="Times New Roman" w:eastAsia="宋体" w:cs="Times New Roman"/>
                <w:color w:val="auto"/>
                <w:highlight w:val="none"/>
                <w:u w:val="none" w:color="auto"/>
                <w:lang w:val="en-US" w:eastAsia="zh-CN"/>
              </w:rPr>
            </w:pPr>
            <w:r>
              <w:rPr>
                <w:rFonts w:hint="default" w:ascii="Times New Roman" w:hAnsi="Times New Roman" w:eastAsia="宋体" w:cs="Times New Roman"/>
                <w:color w:val="auto"/>
                <w:highlight w:val="none"/>
                <w:u w:val="none" w:color="auto"/>
                <w:lang w:val="en-US" w:eastAsia="zh-CN"/>
              </w:rPr>
              <w:t>aluminium nitride</w:t>
            </w:r>
          </w:p>
        </w:tc>
      </w:tr>
      <w:tr w14:paraId="6E846FC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800" w:type="dxa"/>
            <w:tcBorders>
              <w:tl2br w:val="nil"/>
              <w:tr2bl w:val="nil"/>
            </w:tcBorders>
            <w:noWrap w:val="0"/>
            <w:vAlign w:val="center"/>
          </w:tcPr>
          <w:p w14:paraId="6416F01E">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外观与性状</w:t>
            </w:r>
          </w:p>
        </w:tc>
        <w:tc>
          <w:tcPr>
            <w:tcW w:w="2564" w:type="dxa"/>
            <w:tcBorders>
              <w:tl2br w:val="nil"/>
              <w:tr2bl w:val="nil"/>
            </w:tcBorders>
            <w:noWrap w:val="0"/>
            <w:vAlign w:val="center"/>
          </w:tcPr>
          <w:p w14:paraId="59816454">
            <w:pPr>
              <w:topLinePunct w:val="0"/>
              <w:bidi w:val="0"/>
              <w:adjustRightInd/>
              <w:snapToGrid/>
              <w:jc w:val="center"/>
              <w:rPr>
                <w:rFonts w:hint="default" w:ascii="Times New Roman" w:hAnsi="Times New Roman" w:eastAsia="宋体" w:cs="Times New Roman"/>
                <w:color w:val="auto"/>
                <w:highlight w:val="none"/>
                <w:u w:val="none" w:color="auto"/>
                <w:lang w:val="en-US" w:eastAsia="zh-CN"/>
              </w:rPr>
            </w:pPr>
            <w:r>
              <w:rPr>
                <w:rFonts w:hint="default" w:ascii="Times New Roman" w:hAnsi="Times New Roman" w:eastAsia="宋体" w:cs="Times New Roman"/>
                <w:color w:val="auto"/>
                <w:highlight w:val="none"/>
                <w:u w:val="none" w:color="auto"/>
                <w:lang w:val="en-US" w:eastAsia="zh-CN"/>
              </w:rPr>
              <w:t>氮化铝属六方晶系，纤维锌矿型结构。纯品为蓝白色，通常为灰色或灰白色。</w:t>
            </w:r>
          </w:p>
        </w:tc>
        <w:tc>
          <w:tcPr>
            <w:tcW w:w="1203" w:type="dxa"/>
            <w:tcBorders>
              <w:tl2br w:val="nil"/>
              <w:tr2bl w:val="nil"/>
            </w:tcBorders>
            <w:noWrap w:val="0"/>
            <w:vAlign w:val="center"/>
          </w:tcPr>
          <w:p w14:paraId="514561E8">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闪点</w:t>
            </w:r>
          </w:p>
        </w:tc>
        <w:tc>
          <w:tcPr>
            <w:tcW w:w="3271" w:type="dxa"/>
            <w:tcBorders>
              <w:tl2br w:val="nil"/>
              <w:tr2bl w:val="nil"/>
            </w:tcBorders>
            <w:noWrap w:val="0"/>
            <w:vAlign w:val="center"/>
          </w:tcPr>
          <w:p w14:paraId="0F3048F8">
            <w:pPr>
              <w:topLinePunct w:val="0"/>
              <w:bidi w:val="0"/>
              <w:adjustRightInd/>
              <w:snapToGrid/>
              <w:jc w:val="center"/>
              <w:rPr>
                <w:rFonts w:hint="default" w:ascii="Times New Roman" w:hAnsi="Times New Roman" w:eastAsia="宋体" w:cs="Times New Roman"/>
                <w:color w:val="auto"/>
                <w:highlight w:val="none"/>
                <w:u w:val="none" w:color="auto"/>
                <w:lang w:val="en-US" w:eastAsia="zh-CN"/>
              </w:rPr>
            </w:pPr>
            <w:r>
              <w:rPr>
                <w:rFonts w:hint="default" w:ascii="Times New Roman" w:hAnsi="Times New Roman" w:eastAsia="宋体" w:cs="Times New Roman"/>
                <w:color w:val="auto"/>
                <w:highlight w:val="none"/>
                <w:u w:val="none" w:color="auto"/>
                <w:lang w:val="en-US" w:eastAsia="zh-CN"/>
              </w:rPr>
              <w:t>无资料</w:t>
            </w:r>
          </w:p>
        </w:tc>
      </w:tr>
      <w:tr w14:paraId="06D08C1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800" w:type="dxa"/>
            <w:tcBorders>
              <w:tl2br w:val="nil"/>
              <w:tr2bl w:val="nil"/>
            </w:tcBorders>
            <w:noWrap w:val="0"/>
            <w:vAlign w:val="center"/>
          </w:tcPr>
          <w:p w14:paraId="34C331EC">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蒸汽压</w:t>
            </w:r>
          </w:p>
        </w:tc>
        <w:tc>
          <w:tcPr>
            <w:tcW w:w="2564" w:type="dxa"/>
            <w:tcBorders>
              <w:tl2br w:val="nil"/>
              <w:tr2bl w:val="nil"/>
            </w:tcBorders>
            <w:noWrap w:val="0"/>
            <w:vAlign w:val="center"/>
          </w:tcPr>
          <w:p w14:paraId="47670409">
            <w:pPr>
              <w:topLinePunct w:val="0"/>
              <w:bidi w:val="0"/>
              <w:adjustRightInd/>
              <w:snapToGrid/>
              <w:jc w:val="center"/>
              <w:rPr>
                <w:rFonts w:hint="default" w:ascii="Times New Roman" w:hAnsi="Times New Roman" w:eastAsia="宋体" w:cs="Times New Roman"/>
                <w:bCs/>
                <w:color w:val="auto"/>
                <w:szCs w:val="21"/>
                <w:highlight w:val="none"/>
                <w:u w:val="none" w:color="auto"/>
                <w:lang w:val="en-US" w:eastAsia="zh-CN"/>
              </w:rPr>
            </w:pPr>
            <w:r>
              <w:rPr>
                <w:rFonts w:hint="default" w:ascii="Times New Roman" w:hAnsi="Times New Roman" w:eastAsia="宋体" w:cs="Times New Roman"/>
                <w:color w:val="auto"/>
                <w:highlight w:val="none"/>
                <w:u w:val="none" w:color="auto"/>
                <w:lang w:val="en-US" w:eastAsia="zh-CN"/>
              </w:rPr>
              <w:t>无资料</w:t>
            </w:r>
          </w:p>
        </w:tc>
        <w:tc>
          <w:tcPr>
            <w:tcW w:w="1203" w:type="dxa"/>
            <w:tcBorders>
              <w:tl2br w:val="nil"/>
              <w:tr2bl w:val="nil"/>
            </w:tcBorders>
            <w:noWrap w:val="0"/>
            <w:vAlign w:val="center"/>
          </w:tcPr>
          <w:p w14:paraId="26418832">
            <w:pPr>
              <w:topLinePunct w:val="0"/>
              <w:bidi w:val="0"/>
              <w:adjustRightInd/>
              <w:snapToGrid/>
              <w:jc w:val="center"/>
              <w:rPr>
                <w:rFonts w:hint="default" w:ascii="Times New Roman" w:hAnsi="Times New Roman" w:eastAsia="宋体" w:cs="Times New Roman"/>
                <w:bCs/>
                <w:color w:val="auto"/>
                <w:szCs w:val="21"/>
                <w:highlight w:val="none"/>
                <w:u w:val="none" w:color="auto"/>
              </w:rPr>
            </w:pPr>
            <w:r>
              <w:rPr>
                <w:rFonts w:hint="default" w:ascii="Times New Roman" w:hAnsi="Times New Roman" w:eastAsia="宋体" w:cs="Times New Roman"/>
                <w:bCs/>
                <w:color w:val="auto"/>
                <w:szCs w:val="21"/>
                <w:highlight w:val="none"/>
                <w:u w:val="none" w:color="auto"/>
              </w:rPr>
              <w:t>自燃点</w:t>
            </w:r>
          </w:p>
        </w:tc>
        <w:tc>
          <w:tcPr>
            <w:tcW w:w="3271" w:type="dxa"/>
            <w:tcBorders>
              <w:tl2br w:val="nil"/>
              <w:tr2bl w:val="nil"/>
            </w:tcBorders>
            <w:noWrap w:val="0"/>
            <w:vAlign w:val="center"/>
          </w:tcPr>
          <w:p w14:paraId="077B4B4F">
            <w:pPr>
              <w:topLinePunct w:val="0"/>
              <w:bidi w:val="0"/>
              <w:adjustRightInd/>
              <w:snapToGrid/>
              <w:jc w:val="center"/>
              <w:rPr>
                <w:rFonts w:hint="default" w:ascii="Times New Roman" w:hAnsi="Times New Roman" w:eastAsia="宋体" w:cs="Times New Roman"/>
                <w:bCs/>
                <w:color w:val="auto"/>
                <w:kern w:val="2"/>
                <w:sz w:val="21"/>
                <w:szCs w:val="21"/>
                <w:highlight w:val="none"/>
                <w:u w:val="none" w:color="auto"/>
                <w:lang w:val="en-US" w:eastAsia="zh-CN" w:bidi="ar-SA"/>
              </w:rPr>
            </w:pPr>
            <w:r>
              <w:rPr>
                <w:rFonts w:hint="default" w:ascii="Times New Roman" w:hAnsi="Times New Roman" w:eastAsia="宋体" w:cs="Times New Roman"/>
                <w:color w:val="auto"/>
                <w:highlight w:val="none"/>
                <w:u w:val="none" w:color="auto"/>
                <w:lang w:val="en-US" w:eastAsia="zh-CN"/>
              </w:rPr>
              <w:t>无资料</w:t>
            </w:r>
          </w:p>
        </w:tc>
      </w:tr>
      <w:tr w14:paraId="7D24791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3" w:hRule="atLeast"/>
        </w:trPr>
        <w:tc>
          <w:tcPr>
            <w:tcW w:w="1800" w:type="dxa"/>
            <w:tcBorders>
              <w:tl2br w:val="nil"/>
              <w:tr2bl w:val="nil"/>
            </w:tcBorders>
            <w:noWrap w:val="0"/>
            <w:vAlign w:val="center"/>
          </w:tcPr>
          <w:p w14:paraId="5A88472D">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熔点</w:t>
            </w:r>
          </w:p>
        </w:tc>
        <w:tc>
          <w:tcPr>
            <w:tcW w:w="2564" w:type="dxa"/>
            <w:tcBorders>
              <w:tl2br w:val="nil"/>
              <w:tr2bl w:val="nil"/>
            </w:tcBorders>
            <w:noWrap w:val="0"/>
            <w:vAlign w:val="center"/>
          </w:tcPr>
          <w:p w14:paraId="26F9C2CC">
            <w:pPr>
              <w:topLinePunct w:val="0"/>
              <w:bidi w:val="0"/>
              <w:adjustRightInd/>
              <w:snapToGrid/>
              <w:jc w:val="center"/>
              <w:rPr>
                <w:rFonts w:hint="default" w:ascii="Times New Roman" w:hAnsi="Times New Roman" w:eastAsia="宋体" w:cs="Times New Roman"/>
                <w:bCs/>
                <w:color w:val="auto"/>
                <w:kern w:val="2"/>
                <w:sz w:val="21"/>
                <w:szCs w:val="21"/>
                <w:highlight w:val="none"/>
                <w:u w:val="none" w:color="auto"/>
                <w:lang w:val="en-US" w:eastAsia="zh-CN" w:bidi="ar-SA"/>
              </w:rPr>
            </w:pPr>
            <w:r>
              <w:rPr>
                <w:rFonts w:hint="default" w:ascii="Times New Roman" w:hAnsi="Times New Roman" w:eastAsia="宋体" w:cs="Times New Roman"/>
                <w:bCs/>
                <w:color w:val="auto"/>
                <w:kern w:val="2"/>
                <w:sz w:val="21"/>
                <w:szCs w:val="21"/>
                <w:highlight w:val="none"/>
                <w:u w:val="none" w:color="auto"/>
                <w:lang w:val="en-US" w:eastAsia="zh-CN" w:bidi="ar-SA"/>
              </w:rPr>
              <w:t>&gt;2200 °C(lit.)</w:t>
            </w:r>
          </w:p>
        </w:tc>
        <w:tc>
          <w:tcPr>
            <w:tcW w:w="1203" w:type="dxa"/>
            <w:tcBorders>
              <w:tl2br w:val="nil"/>
              <w:tr2bl w:val="nil"/>
            </w:tcBorders>
            <w:noWrap w:val="0"/>
            <w:vAlign w:val="center"/>
          </w:tcPr>
          <w:p w14:paraId="142610EE">
            <w:pPr>
              <w:topLinePunct w:val="0"/>
              <w:bidi w:val="0"/>
              <w:adjustRightInd/>
              <w:snapToGrid/>
              <w:jc w:val="center"/>
              <w:rPr>
                <w:rFonts w:hint="default" w:ascii="Times New Roman" w:hAnsi="Times New Roman" w:eastAsia="宋体" w:cs="Times New Roman"/>
                <w:bCs/>
                <w:color w:val="auto"/>
                <w:szCs w:val="21"/>
                <w:highlight w:val="none"/>
                <w:u w:val="none" w:color="auto"/>
              </w:rPr>
            </w:pPr>
            <w:r>
              <w:rPr>
                <w:rFonts w:hint="default" w:ascii="Times New Roman" w:hAnsi="Times New Roman" w:eastAsia="宋体" w:cs="Times New Roman"/>
                <w:bCs/>
                <w:color w:val="auto"/>
                <w:szCs w:val="21"/>
                <w:highlight w:val="none"/>
                <w:u w:val="none" w:color="auto"/>
              </w:rPr>
              <w:t>沸点</w:t>
            </w:r>
          </w:p>
        </w:tc>
        <w:tc>
          <w:tcPr>
            <w:tcW w:w="3271" w:type="dxa"/>
            <w:tcBorders>
              <w:tl2br w:val="nil"/>
              <w:tr2bl w:val="nil"/>
            </w:tcBorders>
            <w:noWrap w:val="0"/>
            <w:vAlign w:val="center"/>
          </w:tcPr>
          <w:p w14:paraId="45F6ABAA">
            <w:pPr>
              <w:topLinePunct w:val="0"/>
              <w:bidi w:val="0"/>
              <w:adjustRightInd/>
              <w:snapToGrid/>
              <w:jc w:val="center"/>
              <w:rPr>
                <w:rFonts w:hint="default" w:ascii="Times New Roman" w:hAnsi="Times New Roman" w:eastAsia="宋体" w:cs="Times New Roman"/>
                <w:bCs/>
                <w:color w:val="auto"/>
                <w:szCs w:val="21"/>
                <w:highlight w:val="none"/>
                <w:u w:val="none" w:color="auto"/>
                <w:lang w:val="en-US" w:eastAsia="zh-CN"/>
              </w:rPr>
            </w:pPr>
            <w:r>
              <w:rPr>
                <w:rFonts w:hint="default" w:ascii="Times New Roman" w:hAnsi="Times New Roman" w:eastAsia="宋体" w:cs="Times New Roman"/>
                <w:bCs/>
                <w:color w:val="auto"/>
                <w:szCs w:val="21"/>
                <w:highlight w:val="none"/>
                <w:u w:val="none" w:color="auto"/>
                <w:lang w:val="en-US" w:eastAsia="zh-CN"/>
              </w:rPr>
              <w:t>2517ºC</w:t>
            </w:r>
          </w:p>
        </w:tc>
      </w:tr>
      <w:tr w14:paraId="287713D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800" w:type="dxa"/>
            <w:vMerge w:val="restart"/>
            <w:tcBorders>
              <w:tl2br w:val="nil"/>
              <w:tr2bl w:val="nil"/>
            </w:tcBorders>
            <w:noWrap w:val="0"/>
            <w:vAlign w:val="center"/>
          </w:tcPr>
          <w:p w14:paraId="0988095B">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密度</w:t>
            </w:r>
          </w:p>
        </w:tc>
        <w:tc>
          <w:tcPr>
            <w:tcW w:w="2564" w:type="dxa"/>
            <w:vMerge w:val="restart"/>
            <w:tcBorders>
              <w:tl2br w:val="nil"/>
              <w:tr2bl w:val="nil"/>
            </w:tcBorders>
            <w:noWrap w:val="0"/>
            <w:vAlign w:val="center"/>
          </w:tcPr>
          <w:p w14:paraId="507246AB">
            <w:pPr>
              <w:topLinePunct w:val="0"/>
              <w:bidi w:val="0"/>
              <w:adjustRightInd/>
              <w:snapToGrid/>
              <w:jc w:val="center"/>
              <w:rPr>
                <w:rFonts w:hint="default" w:ascii="Times New Roman" w:hAnsi="Times New Roman" w:eastAsia="宋体" w:cs="Times New Roman"/>
                <w:color w:val="auto"/>
                <w:highlight w:val="none"/>
                <w:u w:val="none" w:color="auto"/>
                <w:lang w:val="en-US" w:eastAsia="zh-CN"/>
              </w:rPr>
            </w:pPr>
            <w:r>
              <w:rPr>
                <w:rFonts w:hint="default" w:ascii="Times New Roman" w:hAnsi="Times New Roman" w:eastAsia="宋体" w:cs="Times New Roman"/>
                <w:color w:val="auto"/>
                <w:highlight w:val="none"/>
                <w:u w:val="none" w:color="auto"/>
                <w:lang w:val="en-US" w:eastAsia="zh-CN"/>
              </w:rPr>
              <w:t>3.26 g/mL at 25 °C(lit.)</w:t>
            </w:r>
          </w:p>
        </w:tc>
        <w:tc>
          <w:tcPr>
            <w:tcW w:w="1203" w:type="dxa"/>
            <w:tcBorders>
              <w:tl2br w:val="nil"/>
              <w:tr2bl w:val="nil"/>
            </w:tcBorders>
            <w:noWrap w:val="0"/>
            <w:vAlign w:val="center"/>
          </w:tcPr>
          <w:p w14:paraId="455C1087">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稳定性</w:t>
            </w:r>
          </w:p>
        </w:tc>
        <w:tc>
          <w:tcPr>
            <w:tcW w:w="3271" w:type="dxa"/>
            <w:tcBorders>
              <w:tl2br w:val="nil"/>
              <w:tr2bl w:val="nil"/>
            </w:tcBorders>
            <w:noWrap w:val="0"/>
            <w:vAlign w:val="center"/>
          </w:tcPr>
          <w:p w14:paraId="0266BF79">
            <w:pPr>
              <w:topLinePunct w:val="0"/>
              <w:bidi w:val="0"/>
              <w:adjustRightInd/>
              <w:snapToGrid/>
              <w:jc w:val="center"/>
              <w:rPr>
                <w:rFonts w:hint="default" w:ascii="Times New Roman" w:hAnsi="Times New Roman" w:eastAsia="宋体" w:cs="Times New Roman"/>
                <w:color w:val="auto"/>
                <w:highlight w:val="none"/>
                <w:u w:val="none" w:color="auto"/>
                <w:lang w:val="en-US" w:eastAsia="zh-CN"/>
              </w:rPr>
            </w:pPr>
            <w:r>
              <w:rPr>
                <w:rFonts w:hint="default" w:ascii="Times New Roman" w:hAnsi="Times New Roman" w:eastAsia="宋体" w:cs="Times New Roman"/>
                <w:color w:val="auto"/>
                <w:highlight w:val="none"/>
                <w:u w:val="none" w:color="auto"/>
                <w:lang w:val="en-US" w:eastAsia="zh-CN"/>
              </w:rPr>
              <w:t>室温强度高，且强度随温度的升高下降较慢。导热性好，热膨胀系数小，是良好的耐热冲击材料。具有优异的抗热震性。AlN的导热率是Al2O3的2～3倍，热压时强度比Al2O3还高。氮化铝对Al和其他熔融金属、砷化镓等具有良好的耐蚀性，尤其对熔融Al液具有极好的耐侵蚀性，还具有优良的电绝缘性和介电性质。但氮化铝的高温抗氧化性差，在大气中易吸潮、水解，和湿空气、水或含水液体接触产生热和氮并迅速分解。在2516℃分解，热硬度很高，即使在分解温度前也不软化变形。氮化铝和水在室温下也能缓慢地进行反应，而被水解。和干燥氧气在800℃以上进行反应。</w:t>
            </w:r>
          </w:p>
        </w:tc>
      </w:tr>
      <w:tr w14:paraId="667C83A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c>
          <w:tcPr>
            <w:tcW w:w="1800" w:type="dxa"/>
            <w:vMerge w:val="continue"/>
            <w:tcBorders>
              <w:tl2br w:val="nil"/>
              <w:tr2bl w:val="nil"/>
            </w:tcBorders>
            <w:noWrap w:val="0"/>
            <w:vAlign w:val="center"/>
          </w:tcPr>
          <w:p w14:paraId="5E9C0818">
            <w:pPr>
              <w:topLinePunct w:val="0"/>
              <w:bidi w:val="0"/>
              <w:adjustRightInd/>
              <w:snapToGrid/>
              <w:jc w:val="center"/>
              <w:rPr>
                <w:rFonts w:hint="default" w:ascii="Times New Roman" w:hAnsi="Times New Roman" w:eastAsia="宋体" w:cs="Times New Roman"/>
                <w:b/>
                <w:color w:val="auto"/>
                <w:sz w:val="24"/>
                <w:highlight w:val="none"/>
                <w:u w:val="none" w:color="auto"/>
              </w:rPr>
            </w:pPr>
          </w:p>
        </w:tc>
        <w:tc>
          <w:tcPr>
            <w:tcW w:w="2564" w:type="dxa"/>
            <w:vMerge w:val="continue"/>
            <w:tcBorders>
              <w:tl2br w:val="nil"/>
              <w:tr2bl w:val="nil"/>
            </w:tcBorders>
            <w:noWrap w:val="0"/>
            <w:vAlign w:val="center"/>
          </w:tcPr>
          <w:p w14:paraId="5AF35D82">
            <w:pPr>
              <w:topLinePunct w:val="0"/>
              <w:bidi w:val="0"/>
              <w:adjustRightInd/>
              <w:snapToGrid/>
              <w:jc w:val="center"/>
              <w:rPr>
                <w:rFonts w:hint="default" w:ascii="Times New Roman" w:hAnsi="Times New Roman" w:eastAsia="宋体" w:cs="Times New Roman"/>
                <w:color w:val="auto"/>
                <w:highlight w:val="none"/>
                <w:u w:val="none" w:color="auto"/>
              </w:rPr>
            </w:pPr>
          </w:p>
        </w:tc>
        <w:tc>
          <w:tcPr>
            <w:tcW w:w="1203" w:type="dxa"/>
            <w:tcBorders>
              <w:tl2br w:val="nil"/>
              <w:tr2bl w:val="nil"/>
            </w:tcBorders>
            <w:noWrap w:val="0"/>
            <w:vAlign w:val="center"/>
          </w:tcPr>
          <w:p w14:paraId="1FBB516F">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禁忌物</w:t>
            </w:r>
          </w:p>
        </w:tc>
        <w:tc>
          <w:tcPr>
            <w:tcW w:w="3271" w:type="dxa"/>
            <w:tcBorders>
              <w:tl2br w:val="nil"/>
              <w:tr2bl w:val="nil"/>
            </w:tcBorders>
            <w:noWrap w:val="0"/>
            <w:vAlign w:val="center"/>
          </w:tcPr>
          <w:p w14:paraId="3E95A275">
            <w:pPr>
              <w:topLinePunct w:val="0"/>
              <w:bidi w:val="0"/>
              <w:adjustRightInd/>
              <w:snapToGrid/>
              <w:jc w:val="center"/>
              <w:rPr>
                <w:rFonts w:hint="default" w:ascii="Times New Roman" w:hAnsi="Times New Roman" w:eastAsia="宋体" w:cs="Times New Roman"/>
                <w:color w:val="auto"/>
                <w:highlight w:val="none"/>
                <w:u w:val="none" w:color="auto"/>
                <w:lang w:val="en-US" w:eastAsia="zh-CN"/>
              </w:rPr>
            </w:pPr>
            <w:r>
              <w:rPr>
                <w:rFonts w:hint="default" w:ascii="Times New Roman" w:hAnsi="Times New Roman" w:eastAsia="宋体" w:cs="Times New Roman"/>
                <w:color w:val="auto"/>
                <w:highlight w:val="none"/>
                <w:u w:val="none" w:color="auto"/>
                <w:lang w:val="en-US" w:eastAsia="zh-CN"/>
              </w:rPr>
              <w:t>强氧化剂, 酸, 碱</w:t>
            </w:r>
          </w:p>
        </w:tc>
      </w:tr>
      <w:tr w14:paraId="443C469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800" w:type="dxa"/>
            <w:tcBorders>
              <w:tl2br w:val="nil"/>
              <w:tr2bl w:val="nil"/>
            </w:tcBorders>
            <w:noWrap w:val="0"/>
            <w:vAlign w:val="center"/>
          </w:tcPr>
          <w:p w14:paraId="58ED91B2">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燃烧（分解）产物</w:t>
            </w:r>
          </w:p>
        </w:tc>
        <w:tc>
          <w:tcPr>
            <w:tcW w:w="2564" w:type="dxa"/>
            <w:tcBorders>
              <w:tl2br w:val="nil"/>
              <w:tr2bl w:val="nil"/>
            </w:tcBorders>
            <w:noWrap w:val="0"/>
            <w:vAlign w:val="center"/>
          </w:tcPr>
          <w:p w14:paraId="3AF90B94">
            <w:pPr>
              <w:topLinePunct w:val="0"/>
              <w:bidi w:val="0"/>
              <w:adjustRightInd/>
              <w:snapToGrid/>
              <w:jc w:val="center"/>
              <w:rPr>
                <w:rFonts w:hint="default" w:ascii="Times New Roman" w:hAnsi="Times New Roman" w:eastAsia="宋体" w:cs="Times New Roman"/>
                <w:color w:val="auto"/>
                <w:highlight w:val="none"/>
                <w:u w:val="none" w:color="auto"/>
                <w:lang w:val="en-US" w:eastAsia="zh-CN"/>
              </w:rPr>
            </w:pPr>
            <w:r>
              <w:rPr>
                <w:rFonts w:hint="default" w:ascii="Times New Roman" w:hAnsi="Times New Roman" w:eastAsia="宋体" w:cs="Times New Roman"/>
                <w:color w:val="auto"/>
                <w:highlight w:val="none"/>
                <w:u w:val="none" w:color="auto"/>
                <w:lang w:val="en-US" w:eastAsia="zh-CN"/>
              </w:rPr>
              <w:t>无资料</w:t>
            </w:r>
          </w:p>
        </w:tc>
        <w:tc>
          <w:tcPr>
            <w:tcW w:w="1203" w:type="dxa"/>
            <w:tcBorders>
              <w:tl2br w:val="nil"/>
              <w:tr2bl w:val="nil"/>
            </w:tcBorders>
            <w:noWrap w:val="0"/>
            <w:vAlign w:val="center"/>
          </w:tcPr>
          <w:p w14:paraId="6E4A9645">
            <w:pPr>
              <w:topLinePunct w:val="0"/>
              <w:bidi w:val="0"/>
              <w:adjustRightInd/>
              <w:snapToGrid/>
              <w:jc w:val="center"/>
              <w:rPr>
                <w:rFonts w:hint="default" w:ascii="Times New Roman" w:hAnsi="Times New Roman" w:eastAsia="宋体" w:cs="Times New Roman"/>
                <w:b/>
                <w:color w:val="auto"/>
                <w:sz w:val="24"/>
                <w:highlight w:val="none"/>
                <w:u w:val="none" w:color="auto"/>
              </w:rPr>
            </w:pPr>
            <w:r>
              <w:rPr>
                <w:rFonts w:hint="default" w:ascii="Times New Roman" w:hAnsi="Times New Roman" w:eastAsia="宋体" w:cs="Times New Roman"/>
                <w:b/>
                <w:color w:val="auto"/>
                <w:sz w:val="24"/>
                <w:highlight w:val="none"/>
                <w:u w:val="none" w:color="auto"/>
              </w:rPr>
              <w:t>—</w:t>
            </w:r>
          </w:p>
        </w:tc>
        <w:tc>
          <w:tcPr>
            <w:tcW w:w="3271" w:type="dxa"/>
            <w:tcBorders>
              <w:tl2br w:val="nil"/>
              <w:tr2bl w:val="nil"/>
            </w:tcBorders>
            <w:noWrap w:val="0"/>
            <w:vAlign w:val="center"/>
          </w:tcPr>
          <w:p w14:paraId="596C2DE3">
            <w:pPr>
              <w:topLinePunct w:val="0"/>
              <w:bidi w:val="0"/>
              <w:adjustRightInd/>
              <w:snapToGrid/>
              <w:jc w:val="center"/>
              <w:rPr>
                <w:rFonts w:hint="default" w:ascii="Times New Roman" w:hAnsi="Times New Roman" w:eastAsia="宋体" w:cs="Times New Roman"/>
                <w:b/>
                <w:color w:val="auto"/>
                <w:sz w:val="24"/>
                <w:highlight w:val="none"/>
                <w:u w:val="none" w:color="auto"/>
              </w:rPr>
            </w:pPr>
            <w:r>
              <w:rPr>
                <w:rFonts w:hint="default" w:ascii="Times New Roman" w:hAnsi="Times New Roman" w:eastAsia="宋体" w:cs="Times New Roman"/>
                <w:b/>
                <w:color w:val="auto"/>
                <w:sz w:val="24"/>
                <w:highlight w:val="none"/>
                <w:u w:val="none" w:color="auto"/>
              </w:rPr>
              <w:t>—</w:t>
            </w:r>
          </w:p>
        </w:tc>
      </w:tr>
      <w:tr w14:paraId="0C0D98F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800" w:type="dxa"/>
            <w:tcBorders>
              <w:tl2br w:val="nil"/>
              <w:tr2bl w:val="nil"/>
            </w:tcBorders>
            <w:noWrap w:val="0"/>
            <w:vAlign w:val="center"/>
          </w:tcPr>
          <w:p w14:paraId="3BD03D06">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溶解性</w:t>
            </w:r>
          </w:p>
        </w:tc>
        <w:tc>
          <w:tcPr>
            <w:tcW w:w="7038" w:type="dxa"/>
            <w:gridSpan w:val="3"/>
            <w:tcBorders>
              <w:tl2br w:val="nil"/>
              <w:tr2bl w:val="nil"/>
            </w:tcBorders>
            <w:noWrap w:val="0"/>
            <w:vAlign w:val="center"/>
          </w:tcPr>
          <w:p w14:paraId="337C7106">
            <w:pPr>
              <w:topLinePunct w:val="0"/>
              <w:bidi w:val="0"/>
              <w:adjustRightInd/>
              <w:snapToGrid/>
              <w:jc w:val="center"/>
              <w:rPr>
                <w:rFonts w:hint="default" w:ascii="Times New Roman" w:hAnsi="Times New Roman" w:eastAsia="宋体" w:cs="Times New Roman"/>
                <w:color w:val="auto"/>
                <w:highlight w:val="none"/>
                <w:u w:val="none" w:color="auto"/>
                <w:lang w:val="en-US" w:eastAsia="zh-CN"/>
              </w:rPr>
            </w:pPr>
            <w:r>
              <w:rPr>
                <w:rFonts w:hint="default" w:ascii="Times New Roman" w:hAnsi="Times New Roman" w:eastAsia="宋体" w:cs="Times New Roman"/>
                <w:color w:val="auto"/>
                <w:highlight w:val="none"/>
                <w:u w:val="none" w:color="auto"/>
                <w:lang w:val="en-US" w:eastAsia="zh-CN"/>
              </w:rPr>
              <w:t>无资料</w:t>
            </w:r>
          </w:p>
        </w:tc>
      </w:tr>
      <w:tr w14:paraId="7AC7859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800" w:type="dxa"/>
            <w:tcBorders>
              <w:tl2br w:val="nil"/>
              <w:tr2bl w:val="nil"/>
            </w:tcBorders>
            <w:noWrap w:val="0"/>
            <w:vAlign w:val="center"/>
          </w:tcPr>
          <w:p w14:paraId="0EA6F601">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健康危害</w:t>
            </w:r>
          </w:p>
        </w:tc>
        <w:tc>
          <w:tcPr>
            <w:tcW w:w="7038" w:type="dxa"/>
            <w:gridSpan w:val="3"/>
            <w:tcBorders>
              <w:tl2br w:val="nil"/>
              <w:tr2bl w:val="nil"/>
            </w:tcBorders>
            <w:noWrap w:val="0"/>
            <w:vAlign w:val="center"/>
          </w:tcPr>
          <w:p w14:paraId="170637CC">
            <w:pPr>
              <w:topLinePunct w:val="0"/>
              <w:bidi w:val="0"/>
              <w:adjustRightInd/>
              <w:snapToGrid/>
              <w:jc w:val="center"/>
              <w:rPr>
                <w:rFonts w:hint="default" w:ascii="Times New Roman" w:hAnsi="Times New Roman" w:eastAsia="宋体" w:cs="Times New Roman"/>
                <w:color w:val="auto"/>
                <w:highlight w:val="none"/>
                <w:u w:val="none" w:color="auto"/>
                <w:lang w:val="en-US" w:eastAsia="zh-CN"/>
              </w:rPr>
            </w:pPr>
            <w:r>
              <w:rPr>
                <w:rFonts w:hint="eastAsia" w:cs="Times New Roman"/>
                <w:color w:val="auto"/>
                <w:highlight w:val="none"/>
                <w:u w:val="none" w:color="auto"/>
                <w:lang w:val="en-US" w:eastAsia="zh-CN"/>
              </w:rPr>
              <w:t>吸入</w:t>
            </w:r>
            <w:r>
              <w:rPr>
                <w:rFonts w:hint="default" w:ascii="Times New Roman" w:hAnsi="Times New Roman" w:eastAsia="宋体" w:cs="Times New Roman"/>
                <w:color w:val="auto"/>
                <w:highlight w:val="none"/>
                <w:u w:val="none" w:color="auto"/>
                <w:lang w:val="en-US" w:eastAsia="zh-CN"/>
              </w:rPr>
              <w:t>可能有害。 该物质对组织、粘膜和上呼吸道破坏力强，引起呼吸道刺激。摄入如服入是有害的。引致灼伤。皮肤通过皮肤吸收可能有害。 引起皮肤灼伤。眼睛引起眼睛灼伤。</w:t>
            </w:r>
          </w:p>
        </w:tc>
      </w:tr>
      <w:tr w14:paraId="2E968F3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800" w:type="dxa"/>
            <w:tcBorders>
              <w:tl2br w:val="nil"/>
              <w:tr2bl w:val="nil"/>
            </w:tcBorders>
            <w:noWrap w:val="0"/>
            <w:vAlign w:val="center"/>
          </w:tcPr>
          <w:p w14:paraId="0F88DE6B">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灭火方法</w:t>
            </w:r>
          </w:p>
        </w:tc>
        <w:tc>
          <w:tcPr>
            <w:tcW w:w="7038" w:type="dxa"/>
            <w:gridSpan w:val="3"/>
            <w:tcBorders>
              <w:tl2br w:val="nil"/>
              <w:tr2bl w:val="nil"/>
            </w:tcBorders>
            <w:noWrap w:val="0"/>
            <w:vAlign w:val="center"/>
          </w:tcPr>
          <w:p w14:paraId="060376F3">
            <w:pPr>
              <w:topLinePunct w:val="0"/>
              <w:bidi w:val="0"/>
              <w:adjustRightInd/>
              <w:snapToGrid/>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用抗乙醇泡沫,干粉或二氧化碳灭火。</w:t>
            </w:r>
          </w:p>
        </w:tc>
      </w:tr>
      <w:tr w14:paraId="23E174E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800" w:type="dxa"/>
            <w:tcBorders>
              <w:tl2br w:val="nil"/>
              <w:tr2bl w:val="nil"/>
            </w:tcBorders>
            <w:noWrap w:val="0"/>
            <w:vAlign w:val="center"/>
          </w:tcPr>
          <w:p w14:paraId="77F6DD5B">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泄漏应急处理</w:t>
            </w:r>
          </w:p>
        </w:tc>
        <w:tc>
          <w:tcPr>
            <w:tcW w:w="7038" w:type="dxa"/>
            <w:gridSpan w:val="3"/>
            <w:tcBorders>
              <w:tl2br w:val="nil"/>
              <w:tr2bl w:val="nil"/>
            </w:tcBorders>
            <w:noWrap w:val="0"/>
            <w:vAlign w:val="center"/>
          </w:tcPr>
          <w:p w14:paraId="5EF024F6">
            <w:pPr>
              <w:topLinePunct w:val="0"/>
              <w:bidi w:val="0"/>
              <w:adjustRightInd/>
              <w:snapToGrid/>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rPr>
              <w:t>收集和处置时不要产生粉尘。 扫掉和铲掉。 放入合适的封闭的容器中待处理。</w:t>
            </w:r>
          </w:p>
        </w:tc>
      </w:tr>
      <w:tr w14:paraId="61120FB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800" w:type="dxa"/>
            <w:tcBorders>
              <w:tl2br w:val="nil"/>
              <w:tr2bl w:val="nil"/>
            </w:tcBorders>
            <w:noWrap w:val="0"/>
            <w:vAlign w:val="center"/>
          </w:tcPr>
          <w:p w14:paraId="56234D3B">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防护措施</w:t>
            </w:r>
          </w:p>
        </w:tc>
        <w:tc>
          <w:tcPr>
            <w:tcW w:w="7038" w:type="dxa"/>
            <w:gridSpan w:val="3"/>
            <w:tcBorders>
              <w:tl2br w:val="nil"/>
              <w:tr2bl w:val="nil"/>
            </w:tcBorders>
            <w:noWrap w:val="0"/>
            <w:vAlign w:val="center"/>
          </w:tcPr>
          <w:p w14:paraId="5B9D1189">
            <w:pPr>
              <w:topLinePunct w:val="0"/>
              <w:bidi w:val="0"/>
              <w:adjustRightInd/>
              <w:snapToGrid/>
              <w:rPr>
                <w:rFonts w:hint="default" w:ascii="Times New Roman" w:hAnsi="Times New Roman" w:eastAsia="宋体" w:cs="Times New Roman"/>
                <w:color w:val="auto"/>
                <w:szCs w:val="21"/>
                <w:highlight w:val="none"/>
                <w:u w:val="none" w:color="auto"/>
                <w:lang w:val="en-US" w:eastAsia="zh-CN"/>
              </w:rPr>
            </w:pPr>
            <w:r>
              <w:rPr>
                <w:rFonts w:hint="default" w:ascii="Times New Roman" w:hAnsi="Times New Roman" w:eastAsia="宋体" w:cs="Times New Roman"/>
                <w:color w:val="auto"/>
                <w:szCs w:val="21"/>
                <w:highlight w:val="none"/>
                <w:u w:val="none" w:color="auto"/>
                <w:lang w:val="en-US" w:eastAsia="zh-CN"/>
              </w:rPr>
              <w:t>使用个人防护用品。 避免粉尘生成。 避免吸入蒸气、烟雾或气体。 保证充分的通风。</w:t>
            </w:r>
          </w:p>
          <w:p w14:paraId="7A8DF338">
            <w:pPr>
              <w:topLinePunct w:val="0"/>
              <w:bidi w:val="0"/>
              <w:adjustRightInd/>
              <w:snapToGrid/>
              <w:rPr>
                <w:rFonts w:hint="default" w:ascii="Times New Roman" w:hAnsi="Times New Roman" w:eastAsia="宋体" w:cs="Times New Roman"/>
                <w:color w:val="auto"/>
                <w:szCs w:val="21"/>
                <w:highlight w:val="none"/>
                <w:u w:val="none" w:color="auto"/>
                <w:lang w:val="en-US" w:eastAsia="zh-CN"/>
              </w:rPr>
            </w:pPr>
            <w:r>
              <w:rPr>
                <w:rFonts w:hint="default" w:ascii="Times New Roman" w:hAnsi="Times New Roman" w:eastAsia="宋体" w:cs="Times New Roman"/>
                <w:color w:val="auto"/>
                <w:szCs w:val="21"/>
                <w:highlight w:val="none"/>
                <w:u w:val="none" w:color="auto"/>
                <w:lang w:val="en-US" w:eastAsia="zh-CN"/>
              </w:rPr>
              <w:t>人员疏散到安全区域。 避免吸入粉尘。</w:t>
            </w:r>
          </w:p>
        </w:tc>
      </w:tr>
      <w:tr w14:paraId="64DB0DD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44" w:hRule="atLeast"/>
        </w:trPr>
        <w:tc>
          <w:tcPr>
            <w:tcW w:w="1800" w:type="dxa"/>
            <w:tcBorders>
              <w:tl2br w:val="nil"/>
              <w:tr2bl w:val="nil"/>
            </w:tcBorders>
            <w:noWrap w:val="0"/>
            <w:vAlign w:val="center"/>
          </w:tcPr>
          <w:p w14:paraId="26A5BCF5">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急救措施</w:t>
            </w:r>
          </w:p>
        </w:tc>
        <w:tc>
          <w:tcPr>
            <w:tcW w:w="7038" w:type="dxa"/>
            <w:gridSpan w:val="3"/>
            <w:tcBorders>
              <w:tl2br w:val="nil"/>
              <w:tr2bl w:val="nil"/>
            </w:tcBorders>
            <w:noWrap w:val="0"/>
            <w:vAlign w:val="center"/>
          </w:tcPr>
          <w:p w14:paraId="322DE31F">
            <w:pPr>
              <w:topLinePunct w:val="0"/>
              <w:bidi w:val="0"/>
              <w:adjustRightInd/>
              <w:snapToGrid/>
              <w:rPr>
                <w:rFonts w:hint="default" w:ascii="Times New Roman" w:hAnsi="Times New Roman" w:eastAsia="宋体" w:cs="Times New Roman"/>
                <w:color w:val="auto"/>
                <w:szCs w:val="21"/>
                <w:highlight w:val="none"/>
                <w:u w:val="none" w:color="auto"/>
                <w:lang w:eastAsia="zh-CN"/>
              </w:rPr>
            </w:pPr>
            <w:r>
              <w:rPr>
                <w:rFonts w:hint="default" w:ascii="Times New Roman" w:hAnsi="Times New Roman" w:eastAsia="宋体" w:cs="Times New Roman"/>
                <w:color w:val="auto"/>
                <w:szCs w:val="21"/>
                <w:highlight w:val="none"/>
                <w:u w:val="none" w:color="auto"/>
              </w:rPr>
              <w:t>吸入</w:t>
            </w:r>
            <w:r>
              <w:rPr>
                <w:rFonts w:hint="default" w:ascii="Times New Roman" w:hAnsi="Times New Roman" w:eastAsia="宋体" w:cs="Times New Roman"/>
                <w:color w:val="auto"/>
                <w:szCs w:val="21"/>
                <w:highlight w:val="none"/>
                <w:u w:val="none" w:color="auto"/>
                <w:lang w:eastAsia="zh-CN"/>
              </w:rPr>
              <w:t>：</w:t>
            </w:r>
          </w:p>
          <w:p w14:paraId="48CBFAC2">
            <w:pPr>
              <w:topLinePunct w:val="0"/>
              <w:bidi w:val="0"/>
              <w:adjustRightInd/>
              <w:snapToGrid/>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rPr>
              <w:t>如果吸入,请将患者移到新鲜空气处。 如呼吸停止,进行人工呼吸。</w:t>
            </w:r>
          </w:p>
          <w:p w14:paraId="76AC481B">
            <w:pPr>
              <w:topLinePunct w:val="0"/>
              <w:bidi w:val="0"/>
              <w:adjustRightInd/>
              <w:snapToGrid/>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rPr>
              <w:t>皮肤接触</w:t>
            </w:r>
            <w:r>
              <w:rPr>
                <w:rFonts w:hint="default" w:ascii="Times New Roman" w:hAnsi="Times New Roman" w:eastAsia="宋体" w:cs="Times New Roman"/>
                <w:color w:val="auto"/>
                <w:szCs w:val="21"/>
                <w:highlight w:val="none"/>
                <w:u w:val="none" w:color="auto"/>
                <w:lang w:eastAsia="zh-CN"/>
              </w:rPr>
              <w:t>：</w:t>
            </w:r>
            <w:r>
              <w:rPr>
                <w:rFonts w:hint="default" w:ascii="Times New Roman" w:hAnsi="Times New Roman" w:eastAsia="宋体" w:cs="Times New Roman"/>
                <w:color w:val="auto"/>
                <w:szCs w:val="21"/>
                <w:highlight w:val="none"/>
                <w:u w:val="none" w:color="auto"/>
              </w:rPr>
              <w:t>立即脱掉被污染的衣服和鞋。 用肥皂和大量的水冲洗。</w:t>
            </w:r>
          </w:p>
          <w:p w14:paraId="4C1CD143">
            <w:pPr>
              <w:topLinePunct w:val="0"/>
              <w:bidi w:val="0"/>
              <w:adjustRightInd/>
              <w:snapToGrid/>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rPr>
              <w:t>眼睛接触</w:t>
            </w:r>
            <w:r>
              <w:rPr>
                <w:rFonts w:hint="default" w:ascii="Times New Roman" w:hAnsi="Times New Roman" w:eastAsia="宋体" w:cs="Times New Roman"/>
                <w:color w:val="auto"/>
                <w:szCs w:val="21"/>
                <w:highlight w:val="none"/>
                <w:u w:val="none" w:color="auto"/>
                <w:lang w:eastAsia="zh-CN"/>
              </w:rPr>
              <w:t>：</w:t>
            </w:r>
            <w:r>
              <w:rPr>
                <w:rFonts w:hint="default" w:ascii="Times New Roman" w:hAnsi="Times New Roman" w:eastAsia="宋体" w:cs="Times New Roman"/>
                <w:color w:val="auto"/>
                <w:szCs w:val="21"/>
                <w:highlight w:val="none"/>
                <w:u w:val="none" w:color="auto"/>
              </w:rPr>
              <w:t>用大量水彻底冲洗至少15分钟并请教医生。</w:t>
            </w:r>
          </w:p>
          <w:p w14:paraId="55A3BCC8">
            <w:pPr>
              <w:topLinePunct w:val="0"/>
              <w:bidi w:val="0"/>
              <w:adjustRightInd/>
              <w:snapToGrid/>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rPr>
              <w:t>食入</w:t>
            </w:r>
            <w:r>
              <w:rPr>
                <w:rFonts w:hint="default" w:ascii="Times New Roman" w:hAnsi="Times New Roman" w:eastAsia="宋体" w:cs="Times New Roman"/>
                <w:color w:val="auto"/>
                <w:szCs w:val="21"/>
                <w:highlight w:val="none"/>
                <w:u w:val="none" w:color="auto"/>
                <w:lang w:eastAsia="zh-CN"/>
              </w:rPr>
              <w:t>：</w:t>
            </w:r>
            <w:r>
              <w:rPr>
                <w:rFonts w:hint="default" w:ascii="Times New Roman" w:hAnsi="Times New Roman" w:eastAsia="宋体" w:cs="Times New Roman"/>
                <w:color w:val="auto"/>
                <w:szCs w:val="21"/>
                <w:highlight w:val="none"/>
                <w:u w:val="none" w:color="auto"/>
              </w:rPr>
              <w:t>禁止催吐。切勿给失去知觉者通过口喂任何东西</w:t>
            </w:r>
            <w:r>
              <w:rPr>
                <w:rFonts w:hint="default" w:ascii="Times New Roman" w:hAnsi="Times New Roman" w:eastAsia="宋体" w:cs="Times New Roman"/>
                <w:color w:val="auto"/>
                <w:szCs w:val="21"/>
                <w:highlight w:val="none"/>
                <w:u w:val="none" w:color="auto"/>
                <w:lang w:eastAsia="zh-CN"/>
              </w:rPr>
              <w:t>、</w:t>
            </w:r>
            <w:r>
              <w:rPr>
                <w:rFonts w:hint="default" w:ascii="Times New Roman" w:hAnsi="Times New Roman" w:eastAsia="宋体" w:cs="Times New Roman"/>
                <w:color w:val="auto"/>
                <w:szCs w:val="21"/>
                <w:highlight w:val="none"/>
                <w:u w:val="none" w:color="auto"/>
              </w:rPr>
              <w:t>用水漱口。</w:t>
            </w:r>
          </w:p>
        </w:tc>
      </w:tr>
      <w:tr w14:paraId="476A012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800" w:type="dxa"/>
            <w:tcBorders>
              <w:tl2br w:val="nil"/>
              <w:tr2bl w:val="nil"/>
            </w:tcBorders>
            <w:noWrap w:val="0"/>
            <w:vAlign w:val="center"/>
          </w:tcPr>
          <w:p w14:paraId="19F9BFE0">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储存要求</w:t>
            </w:r>
          </w:p>
        </w:tc>
        <w:tc>
          <w:tcPr>
            <w:tcW w:w="7038" w:type="dxa"/>
            <w:gridSpan w:val="3"/>
            <w:tcBorders>
              <w:tl2br w:val="nil"/>
              <w:tr2bl w:val="nil"/>
            </w:tcBorders>
            <w:noWrap w:val="0"/>
            <w:vAlign w:val="center"/>
          </w:tcPr>
          <w:p w14:paraId="73F8C6DF">
            <w:pPr>
              <w:topLinePunct w:val="0"/>
              <w:bidi w:val="0"/>
              <w:adjustRightInd/>
              <w:snapToGrid/>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rPr>
              <w:t>贮存在阴凉处。 使容器保持密闭，储存在干燥通风处。</w:t>
            </w:r>
          </w:p>
          <w:p w14:paraId="2A5E560E">
            <w:pPr>
              <w:topLinePunct w:val="0"/>
              <w:bidi w:val="0"/>
              <w:adjustRightInd/>
              <w:snapToGrid/>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rPr>
              <w:t>对湿度敏感 充气操作和储存</w:t>
            </w:r>
          </w:p>
        </w:tc>
      </w:tr>
    </w:tbl>
    <w:p w14:paraId="43375AD3">
      <w:pPr>
        <w:pStyle w:val="17"/>
        <w:numPr>
          <w:ilvl w:val="0"/>
          <w:numId w:val="11"/>
        </w:numPr>
        <w:adjustRightInd/>
        <w:snapToGrid/>
        <w:rPr>
          <w:rFonts w:hint="default" w:ascii="Times New Roman" w:hAnsi="Times New Roman" w:eastAsia="宋体" w:cs="Times New Roman"/>
          <w:b/>
          <w:color w:val="auto"/>
          <w:sz w:val="21"/>
          <w:szCs w:val="21"/>
          <w:highlight w:val="none"/>
          <w:u w:val="none" w:color="auto"/>
        </w:rPr>
      </w:pPr>
      <w:bookmarkStart w:id="215" w:name="_Toc8069"/>
      <w:r>
        <w:rPr>
          <w:rFonts w:hint="default" w:ascii="Times New Roman" w:hAnsi="Times New Roman" w:eastAsia="宋体" w:cs="Times New Roman"/>
          <w:b/>
          <w:color w:val="auto"/>
          <w:sz w:val="21"/>
          <w:szCs w:val="21"/>
          <w:highlight w:val="none"/>
          <w:u w:val="none" w:color="auto"/>
          <w:lang w:val="en-US" w:eastAsia="zh-CN"/>
        </w:rPr>
        <w:t>脱模剂</w:t>
      </w:r>
      <w:r>
        <w:rPr>
          <w:rFonts w:hint="default" w:ascii="Times New Roman" w:hAnsi="Times New Roman" w:eastAsia="宋体" w:cs="Times New Roman"/>
          <w:b/>
          <w:color w:val="auto"/>
          <w:sz w:val="21"/>
          <w:szCs w:val="21"/>
          <w:highlight w:val="none"/>
          <w:u w:val="none" w:color="auto"/>
        </w:rPr>
        <w:t>的理化性质、危险特性及应急防范措施</w:t>
      </w:r>
    </w:p>
    <w:tbl>
      <w:tblPr>
        <w:tblStyle w:val="31"/>
        <w:tblW w:w="0" w:type="auto"/>
        <w:tblInd w:w="108"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800"/>
        <w:gridCol w:w="2564"/>
        <w:gridCol w:w="2237"/>
        <w:gridCol w:w="2237"/>
      </w:tblGrid>
      <w:tr w14:paraId="3735802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c>
          <w:tcPr>
            <w:tcW w:w="1800" w:type="dxa"/>
            <w:tcBorders>
              <w:tl2br w:val="nil"/>
              <w:tr2bl w:val="nil"/>
            </w:tcBorders>
            <w:noWrap w:val="0"/>
            <w:vAlign w:val="center"/>
          </w:tcPr>
          <w:p w14:paraId="3B4F1719">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化学名称</w:t>
            </w:r>
          </w:p>
        </w:tc>
        <w:tc>
          <w:tcPr>
            <w:tcW w:w="2564" w:type="dxa"/>
            <w:tcBorders>
              <w:tl2br w:val="nil"/>
              <w:tr2bl w:val="nil"/>
            </w:tcBorders>
            <w:noWrap w:val="0"/>
            <w:vAlign w:val="center"/>
          </w:tcPr>
          <w:p w14:paraId="0D48AB3E">
            <w:pPr>
              <w:topLinePunct w:val="0"/>
              <w:bidi w:val="0"/>
              <w:adjustRightInd/>
              <w:snapToGrid/>
              <w:jc w:val="center"/>
              <w:rPr>
                <w:rFonts w:hint="default" w:ascii="Times New Roman" w:hAnsi="Times New Roman" w:eastAsia="宋体" w:cs="Times New Roman"/>
                <w:color w:val="auto"/>
                <w:highlight w:val="none"/>
                <w:u w:val="none" w:color="auto"/>
                <w:lang w:eastAsia="zh-CN"/>
              </w:rPr>
            </w:pPr>
            <w:r>
              <w:rPr>
                <w:rFonts w:hint="default" w:ascii="Times New Roman" w:hAnsi="Times New Roman" w:eastAsia="宋体" w:cs="Times New Roman"/>
                <w:color w:val="auto"/>
                <w:highlight w:val="none"/>
                <w:u w:val="none" w:color="auto"/>
                <w:lang w:eastAsia="zh-CN"/>
              </w:rPr>
              <w:t>脱模剂</w:t>
            </w:r>
          </w:p>
        </w:tc>
        <w:tc>
          <w:tcPr>
            <w:tcW w:w="2237" w:type="dxa"/>
            <w:tcBorders>
              <w:tl2br w:val="nil"/>
              <w:tr2bl w:val="nil"/>
            </w:tcBorders>
            <w:noWrap w:val="0"/>
            <w:vAlign w:val="center"/>
          </w:tcPr>
          <w:p w14:paraId="1E13A5D1">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英文名称</w:t>
            </w:r>
          </w:p>
        </w:tc>
        <w:tc>
          <w:tcPr>
            <w:tcW w:w="2237" w:type="dxa"/>
            <w:tcBorders>
              <w:tl2br w:val="nil"/>
              <w:tr2bl w:val="nil"/>
            </w:tcBorders>
            <w:noWrap w:val="0"/>
            <w:vAlign w:val="center"/>
          </w:tcPr>
          <w:p w14:paraId="075DC7F2">
            <w:pPr>
              <w:topLinePunct w:val="0"/>
              <w:bidi w:val="0"/>
              <w:adjustRightInd/>
              <w:snapToGrid/>
              <w:jc w:val="center"/>
              <w:rPr>
                <w:rFonts w:hint="default" w:ascii="Times New Roman" w:hAnsi="Times New Roman" w:eastAsia="宋体" w:cs="Times New Roman"/>
                <w:color w:val="auto"/>
                <w:highlight w:val="none"/>
                <w:u w:val="none" w:color="auto"/>
                <w:lang w:val="en-US" w:eastAsia="zh-CN"/>
              </w:rPr>
            </w:pPr>
            <w:r>
              <w:rPr>
                <w:rFonts w:hint="default" w:ascii="Times New Roman" w:hAnsi="Times New Roman" w:eastAsia="宋体" w:cs="Times New Roman"/>
                <w:color w:val="auto"/>
                <w:highlight w:val="none"/>
                <w:u w:val="none" w:color="auto"/>
                <w:lang w:val="en-US" w:eastAsia="zh-CN"/>
              </w:rPr>
              <w:t>/</w:t>
            </w:r>
          </w:p>
        </w:tc>
      </w:tr>
      <w:tr w14:paraId="020077D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90" w:hRule="atLeast"/>
        </w:trPr>
        <w:tc>
          <w:tcPr>
            <w:tcW w:w="1800" w:type="dxa"/>
            <w:tcBorders>
              <w:tl2br w:val="nil"/>
              <w:tr2bl w:val="nil"/>
            </w:tcBorders>
            <w:noWrap w:val="0"/>
            <w:vAlign w:val="center"/>
          </w:tcPr>
          <w:p w14:paraId="785E1CA1">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外观与性状</w:t>
            </w:r>
          </w:p>
        </w:tc>
        <w:tc>
          <w:tcPr>
            <w:tcW w:w="2564" w:type="dxa"/>
            <w:tcBorders>
              <w:tl2br w:val="nil"/>
              <w:tr2bl w:val="nil"/>
            </w:tcBorders>
            <w:noWrap w:val="0"/>
            <w:vAlign w:val="center"/>
          </w:tcPr>
          <w:p w14:paraId="59D97A92">
            <w:pPr>
              <w:topLinePunct w:val="0"/>
              <w:bidi w:val="0"/>
              <w:adjustRightInd/>
              <w:snapToGrid/>
              <w:jc w:val="center"/>
              <w:rPr>
                <w:rFonts w:hint="default" w:ascii="Times New Roman" w:hAnsi="Times New Roman" w:eastAsia="宋体" w:cs="Times New Roman"/>
                <w:color w:val="auto"/>
                <w:highlight w:val="none"/>
                <w:u w:val="none" w:color="auto"/>
                <w:lang w:val="en-US" w:eastAsia="zh-CN"/>
              </w:rPr>
            </w:pPr>
            <w:r>
              <w:rPr>
                <w:rFonts w:hint="default" w:ascii="Times New Roman" w:hAnsi="Times New Roman" w:eastAsia="宋体" w:cs="Times New Roman"/>
                <w:color w:val="auto"/>
                <w:highlight w:val="none"/>
                <w:u w:val="none" w:color="auto"/>
                <w:lang w:val="en-US" w:eastAsia="zh-CN"/>
              </w:rPr>
              <w:t>白色乳化液</w:t>
            </w:r>
          </w:p>
        </w:tc>
        <w:tc>
          <w:tcPr>
            <w:tcW w:w="2237" w:type="dxa"/>
            <w:tcBorders>
              <w:tl2br w:val="nil"/>
              <w:tr2bl w:val="nil"/>
            </w:tcBorders>
            <w:noWrap w:val="0"/>
            <w:vAlign w:val="center"/>
          </w:tcPr>
          <w:p w14:paraId="71891895">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闪点</w:t>
            </w:r>
          </w:p>
        </w:tc>
        <w:tc>
          <w:tcPr>
            <w:tcW w:w="2237" w:type="dxa"/>
            <w:tcBorders>
              <w:tl2br w:val="nil"/>
              <w:tr2bl w:val="nil"/>
            </w:tcBorders>
            <w:noWrap w:val="0"/>
            <w:vAlign w:val="center"/>
          </w:tcPr>
          <w:p w14:paraId="0AB1C8F3">
            <w:pPr>
              <w:topLinePunct w:val="0"/>
              <w:bidi w:val="0"/>
              <w:adjustRightInd/>
              <w:snapToGrid/>
              <w:jc w:val="center"/>
              <w:rPr>
                <w:rFonts w:hint="default" w:ascii="Times New Roman" w:hAnsi="Times New Roman" w:eastAsia="宋体" w:cs="Times New Roman"/>
                <w:color w:val="auto"/>
                <w:highlight w:val="none"/>
                <w:u w:val="none" w:color="auto"/>
                <w:lang w:val="en-US" w:eastAsia="zh-CN"/>
              </w:rPr>
            </w:pPr>
            <w:r>
              <w:rPr>
                <w:rFonts w:hint="default" w:ascii="Times New Roman" w:hAnsi="Times New Roman" w:eastAsia="宋体" w:cs="Times New Roman"/>
                <w:bCs/>
                <w:color w:val="auto"/>
                <w:kern w:val="2"/>
                <w:sz w:val="21"/>
                <w:szCs w:val="21"/>
                <w:highlight w:val="none"/>
                <w:u w:val="none" w:color="auto"/>
                <w:lang w:val="en-US" w:eastAsia="zh-CN" w:bidi="ar-SA"/>
              </w:rPr>
              <w:t>无资料</w:t>
            </w:r>
          </w:p>
        </w:tc>
      </w:tr>
      <w:tr w14:paraId="76B465E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800" w:type="dxa"/>
            <w:tcBorders>
              <w:tl2br w:val="nil"/>
              <w:tr2bl w:val="nil"/>
            </w:tcBorders>
            <w:noWrap w:val="0"/>
            <w:vAlign w:val="center"/>
          </w:tcPr>
          <w:p w14:paraId="55FD6756">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蒸汽压</w:t>
            </w:r>
          </w:p>
        </w:tc>
        <w:tc>
          <w:tcPr>
            <w:tcW w:w="2564" w:type="dxa"/>
            <w:tcBorders>
              <w:tl2br w:val="nil"/>
              <w:tr2bl w:val="nil"/>
            </w:tcBorders>
            <w:noWrap w:val="0"/>
            <w:vAlign w:val="center"/>
          </w:tcPr>
          <w:p w14:paraId="4337A7C5">
            <w:pPr>
              <w:topLinePunct w:val="0"/>
              <w:bidi w:val="0"/>
              <w:adjustRightInd/>
              <w:snapToGrid/>
              <w:jc w:val="center"/>
              <w:rPr>
                <w:rFonts w:hint="default" w:ascii="Times New Roman" w:hAnsi="Times New Roman" w:eastAsia="宋体" w:cs="Times New Roman"/>
                <w:bCs/>
                <w:color w:val="auto"/>
                <w:szCs w:val="21"/>
                <w:highlight w:val="none"/>
                <w:u w:val="none" w:color="auto"/>
                <w:lang w:val="en-US" w:eastAsia="zh-CN"/>
              </w:rPr>
            </w:pPr>
            <w:r>
              <w:rPr>
                <w:rFonts w:hint="default" w:ascii="Times New Roman" w:hAnsi="Times New Roman" w:eastAsia="宋体" w:cs="Times New Roman"/>
                <w:bCs/>
                <w:color w:val="auto"/>
                <w:szCs w:val="21"/>
                <w:highlight w:val="none"/>
                <w:u w:val="none" w:color="auto"/>
                <w:lang w:val="en-US" w:eastAsia="zh-CN"/>
              </w:rPr>
              <w:t>2.3-2.4KPa</w:t>
            </w:r>
          </w:p>
        </w:tc>
        <w:tc>
          <w:tcPr>
            <w:tcW w:w="2237" w:type="dxa"/>
            <w:tcBorders>
              <w:tl2br w:val="nil"/>
              <w:tr2bl w:val="nil"/>
            </w:tcBorders>
            <w:noWrap w:val="0"/>
            <w:vAlign w:val="center"/>
          </w:tcPr>
          <w:p w14:paraId="775ED5DB">
            <w:pPr>
              <w:topLinePunct w:val="0"/>
              <w:bidi w:val="0"/>
              <w:adjustRightInd/>
              <w:snapToGrid/>
              <w:jc w:val="center"/>
              <w:rPr>
                <w:rFonts w:hint="default" w:ascii="Times New Roman" w:hAnsi="Times New Roman" w:eastAsia="宋体" w:cs="Times New Roman"/>
                <w:bCs/>
                <w:color w:val="auto"/>
                <w:szCs w:val="21"/>
                <w:highlight w:val="none"/>
                <w:u w:val="none" w:color="auto"/>
              </w:rPr>
            </w:pPr>
            <w:r>
              <w:rPr>
                <w:rFonts w:hint="default" w:ascii="Times New Roman" w:hAnsi="Times New Roman" w:eastAsia="宋体" w:cs="Times New Roman"/>
                <w:bCs/>
                <w:color w:val="auto"/>
                <w:szCs w:val="21"/>
                <w:highlight w:val="none"/>
                <w:u w:val="none" w:color="auto"/>
              </w:rPr>
              <w:t>自燃点</w:t>
            </w:r>
          </w:p>
        </w:tc>
        <w:tc>
          <w:tcPr>
            <w:tcW w:w="2237" w:type="dxa"/>
            <w:tcBorders>
              <w:tl2br w:val="nil"/>
              <w:tr2bl w:val="nil"/>
            </w:tcBorders>
            <w:noWrap w:val="0"/>
            <w:vAlign w:val="center"/>
          </w:tcPr>
          <w:p w14:paraId="64B86CDB">
            <w:pPr>
              <w:topLinePunct w:val="0"/>
              <w:bidi w:val="0"/>
              <w:adjustRightInd/>
              <w:snapToGrid/>
              <w:jc w:val="center"/>
              <w:rPr>
                <w:rFonts w:hint="default" w:ascii="Times New Roman" w:hAnsi="Times New Roman" w:eastAsia="宋体" w:cs="Times New Roman"/>
                <w:bCs/>
                <w:color w:val="auto"/>
                <w:kern w:val="2"/>
                <w:sz w:val="21"/>
                <w:szCs w:val="21"/>
                <w:highlight w:val="none"/>
                <w:u w:val="none" w:color="auto"/>
                <w:lang w:val="en-US" w:eastAsia="zh-CN" w:bidi="ar-SA"/>
              </w:rPr>
            </w:pPr>
            <w:r>
              <w:rPr>
                <w:rFonts w:hint="default" w:ascii="Times New Roman" w:hAnsi="Times New Roman" w:eastAsia="宋体" w:cs="Times New Roman"/>
                <w:bCs/>
                <w:color w:val="auto"/>
                <w:kern w:val="2"/>
                <w:sz w:val="21"/>
                <w:szCs w:val="21"/>
                <w:highlight w:val="none"/>
                <w:u w:val="none" w:color="auto"/>
                <w:lang w:val="en-US" w:eastAsia="zh-CN" w:bidi="ar-SA"/>
              </w:rPr>
              <w:t>无资料</w:t>
            </w:r>
          </w:p>
        </w:tc>
      </w:tr>
      <w:tr w14:paraId="06FCC9D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3" w:hRule="atLeast"/>
        </w:trPr>
        <w:tc>
          <w:tcPr>
            <w:tcW w:w="1800" w:type="dxa"/>
            <w:tcBorders>
              <w:tl2br w:val="nil"/>
              <w:tr2bl w:val="nil"/>
            </w:tcBorders>
            <w:noWrap w:val="0"/>
            <w:vAlign w:val="center"/>
          </w:tcPr>
          <w:p w14:paraId="178A71B7">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熔点</w:t>
            </w:r>
          </w:p>
        </w:tc>
        <w:tc>
          <w:tcPr>
            <w:tcW w:w="2564" w:type="dxa"/>
            <w:tcBorders>
              <w:tl2br w:val="nil"/>
              <w:tr2bl w:val="nil"/>
            </w:tcBorders>
            <w:noWrap w:val="0"/>
            <w:vAlign w:val="center"/>
          </w:tcPr>
          <w:p w14:paraId="7BE7AFB1">
            <w:pPr>
              <w:topLinePunct w:val="0"/>
              <w:bidi w:val="0"/>
              <w:adjustRightInd/>
              <w:snapToGrid/>
              <w:jc w:val="center"/>
              <w:rPr>
                <w:rFonts w:hint="default" w:ascii="Times New Roman" w:hAnsi="Times New Roman" w:eastAsia="宋体" w:cs="Times New Roman"/>
                <w:bCs/>
                <w:color w:val="auto"/>
                <w:kern w:val="2"/>
                <w:sz w:val="21"/>
                <w:szCs w:val="21"/>
                <w:highlight w:val="none"/>
                <w:u w:val="none" w:color="auto"/>
                <w:lang w:val="en-US" w:eastAsia="zh-CN" w:bidi="ar-SA"/>
              </w:rPr>
            </w:pPr>
            <w:r>
              <w:rPr>
                <w:rFonts w:hint="default" w:ascii="Times New Roman" w:hAnsi="Times New Roman" w:eastAsia="宋体" w:cs="Times New Roman"/>
                <w:bCs/>
                <w:color w:val="auto"/>
                <w:kern w:val="2"/>
                <w:sz w:val="21"/>
                <w:szCs w:val="21"/>
                <w:highlight w:val="none"/>
                <w:u w:val="none" w:color="auto"/>
                <w:lang w:val="en-US" w:eastAsia="zh-CN" w:bidi="ar-SA"/>
              </w:rPr>
              <w:t>-2℃</w:t>
            </w:r>
          </w:p>
        </w:tc>
        <w:tc>
          <w:tcPr>
            <w:tcW w:w="2237" w:type="dxa"/>
            <w:tcBorders>
              <w:tl2br w:val="nil"/>
              <w:tr2bl w:val="nil"/>
            </w:tcBorders>
            <w:noWrap w:val="0"/>
            <w:vAlign w:val="center"/>
          </w:tcPr>
          <w:p w14:paraId="1A20F179">
            <w:pPr>
              <w:topLinePunct w:val="0"/>
              <w:bidi w:val="0"/>
              <w:adjustRightInd/>
              <w:snapToGrid/>
              <w:jc w:val="center"/>
              <w:rPr>
                <w:rFonts w:hint="default" w:ascii="Times New Roman" w:hAnsi="Times New Roman" w:eastAsia="宋体" w:cs="Times New Roman"/>
                <w:bCs/>
                <w:color w:val="auto"/>
                <w:szCs w:val="21"/>
                <w:highlight w:val="none"/>
                <w:u w:val="none" w:color="auto"/>
              </w:rPr>
            </w:pPr>
            <w:r>
              <w:rPr>
                <w:rFonts w:hint="default" w:ascii="Times New Roman" w:hAnsi="Times New Roman" w:eastAsia="宋体" w:cs="Times New Roman"/>
                <w:bCs/>
                <w:color w:val="auto"/>
                <w:szCs w:val="21"/>
                <w:highlight w:val="none"/>
                <w:u w:val="none" w:color="auto"/>
              </w:rPr>
              <w:t>沸点</w:t>
            </w:r>
          </w:p>
        </w:tc>
        <w:tc>
          <w:tcPr>
            <w:tcW w:w="2237" w:type="dxa"/>
            <w:tcBorders>
              <w:tl2br w:val="nil"/>
              <w:tr2bl w:val="nil"/>
            </w:tcBorders>
            <w:noWrap w:val="0"/>
            <w:vAlign w:val="center"/>
          </w:tcPr>
          <w:p w14:paraId="10C3CB82">
            <w:pPr>
              <w:topLinePunct w:val="0"/>
              <w:bidi w:val="0"/>
              <w:adjustRightInd/>
              <w:snapToGrid/>
              <w:jc w:val="center"/>
              <w:rPr>
                <w:rFonts w:hint="default" w:ascii="Times New Roman" w:hAnsi="Times New Roman" w:eastAsia="宋体" w:cs="Times New Roman"/>
                <w:bCs/>
                <w:color w:val="auto"/>
                <w:szCs w:val="21"/>
                <w:highlight w:val="none"/>
                <w:u w:val="none" w:color="auto"/>
                <w:lang w:val="en-US" w:eastAsia="zh-CN"/>
              </w:rPr>
            </w:pPr>
            <w:r>
              <w:rPr>
                <w:rFonts w:hint="default" w:ascii="Times New Roman" w:hAnsi="Times New Roman" w:eastAsia="宋体" w:cs="Times New Roman"/>
                <w:bCs/>
                <w:color w:val="auto"/>
                <w:szCs w:val="21"/>
                <w:highlight w:val="none"/>
                <w:u w:val="none" w:color="auto"/>
                <w:lang w:val="en-US" w:eastAsia="zh-CN"/>
              </w:rPr>
              <w:t>100℃</w:t>
            </w:r>
          </w:p>
        </w:tc>
      </w:tr>
      <w:tr w14:paraId="52E7CB8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800" w:type="dxa"/>
            <w:vMerge w:val="restart"/>
            <w:tcBorders>
              <w:tl2br w:val="nil"/>
              <w:tr2bl w:val="nil"/>
            </w:tcBorders>
            <w:noWrap w:val="0"/>
            <w:vAlign w:val="center"/>
          </w:tcPr>
          <w:p w14:paraId="37D68781">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密度</w:t>
            </w:r>
          </w:p>
        </w:tc>
        <w:tc>
          <w:tcPr>
            <w:tcW w:w="2564" w:type="dxa"/>
            <w:vMerge w:val="restart"/>
            <w:tcBorders>
              <w:tl2br w:val="nil"/>
              <w:tr2bl w:val="nil"/>
            </w:tcBorders>
            <w:noWrap w:val="0"/>
            <w:vAlign w:val="center"/>
          </w:tcPr>
          <w:p w14:paraId="008A3DF5">
            <w:pPr>
              <w:topLinePunct w:val="0"/>
              <w:bidi w:val="0"/>
              <w:adjustRightInd/>
              <w:snapToGrid/>
              <w:jc w:val="center"/>
              <w:rPr>
                <w:rFonts w:hint="default" w:ascii="Times New Roman" w:hAnsi="Times New Roman" w:eastAsia="宋体" w:cs="Times New Roman"/>
                <w:color w:val="auto"/>
                <w:highlight w:val="none"/>
                <w:u w:val="none" w:color="auto"/>
                <w:lang w:val="en-US" w:eastAsia="zh-CN"/>
              </w:rPr>
            </w:pPr>
            <w:r>
              <w:rPr>
                <w:rFonts w:hint="default" w:ascii="Times New Roman" w:hAnsi="Times New Roman" w:eastAsia="宋体" w:cs="Times New Roman"/>
                <w:color w:val="auto"/>
                <w:highlight w:val="none"/>
                <w:u w:val="none" w:color="auto"/>
                <w:lang w:val="en-US" w:eastAsia="zh-CN"/>
              </w:rPr>
              <w:t>0.96-0.98g/cm3</w:t>
            </w:r>
          </w:p>
        </w:tc>
        <w:tc>
          <w:tcPr>
            <w:tcW w:w="2237" w:type="dxa"/>
            <w:tcBorders>
              <w:tl2br w:val="nil"/>
              <w:tr2bl w:val="nil"/>
            </w:tcBorders>
            <w:noWrap w:val="0"/>
            <w:vAlign w:val="center"/>
          </w:tcPr>
          <w:p w14:paraId="7210132D">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稳定性</w:t>
            </w:r>
          </w:p>
        </w:tc>
        <w:tc>
          <w:tcPr>
            <w:tcW w:w="2237" w:type="dxa"/>
            <w:tcBorders>
              <w:tl2br w:val="nil"/>
              <w:tr2bl w:val="nil"/>
            </w:tcBorders>
            <w:noWrap w:val="0"/>
            <w:vAlign w:val="center"/>
          </w:tcPr>
          <w:p w14:paraId="6F86A41C">
            <w:pPr>
              <w:topLinePunct w:val="0"/>
              <w:bidi w:val="0"/>
              <w:adjustRightInd/>
              <w:snapToGrid/>
              <w:jc w:val="center"/>
              <w:rPr>
                <w:rFonts w:hint="default" w:ascii="Times New Roman" w:hAnsi="Times New Roman" w:eastAsia="宋体" w:cs="Times New Roman"/>
                <w:color w:val="auto"/>
                <w:highlight w:val="none"/>
                <w:u w:val="none" w:color="auto"/>
                <w:lang w:val="en-US" w:eastAsia="zh-CN"/>
              </w:rPr>
            </w:pPr>
            <w:r>
              <w:rPr>
                <w:rFonts w:hint="default" w:ascii="Times New Roman" w:hAnsi="Times New Roman" w:eastAsia="宋体" w:cs="Times New Roman"/>
                <w:color w:val="auto"/>
                <w:highlight w:val="none"/>
                <w:u w:val="none" w:color="auto"/>
                <w:lang w:val="en-US" w:eastAsia="zh-CN"/>
              </w:rPr>
              <w:t>稳定</w:t>
            </w:r>
          </w:p>
        </w:tc>
      </w:tr>
      <w:tr w14:paraId="6F7C0BA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800" w:type="dxa"/>
            <w:vMerge w:val="continue"/>
            <w:tcBorders>
              <w:tl2br w:val="nil"/>
              <w:tr2bl w:val="nil"/>
            </w:tcBorders>
            <w:noWrap w:val="0"/>
            <w:vAlign w:val="center"/>
          </w:tcPr>
          <w:p w14:paraId="73AF1621">
            <w:pPr>
              <w:topLinePunct w:val="0"/>
              <w:bidi w:val="0"/>
              <w:adjustRightInd/>
              <w:snapToGrid/>
              <w:jc w:val="center"/>
              <w:rPr>
                <w:rFonts w:hint="default" w:ascii="Times New Roman" w:hAnsi="Times New Roman" w:eastAsia="宋体" w:cs="Times New Roman"/>
                <w:b/>
                <w:color w:val="auto"/>
                <w:sz w:val="24"/>
                <w:highlight w:val="none"/>
                <w:u w:val="none" w:color="auto"/>
              </w:rPr>
            </w:pPr>
          </w:p>
        </w:tc>
        <w:tc>
          <w:tcPr>
            <w:tcW w:w="2564" w:type="dxa"/>
            <w:vMerge w:val="continue"/>
            <w:tcBorders>
              <w:tl2br w:val="nil"/>
              <w:tr2bl w:val="nil"/>
            </w:tcBorders>
            <w:noWrap w:val="0"/>
            <w:vAlign w:val="center"/>
          </w:tcPr>
          <w:p w14:paraId="50C16322">
            <w:pPr>
              <w:topLinePunct w:val="0"/>
              <w:bidi w:val="0"/>
              <w:adjustRightInd/>
              <w:snapToGrid/>
              <w:jc w:val="center"/>
              <w:rPr>
                <w:rFonts w:hint="default" w:ascii="Times New Roman" w:hAnsi="Times New Roman" w:eastAsia="宋体" w:cs="Times New Roman"/>
                <w:color w:val="auto"/>
                <w:highlight w:val="none"/>
                <w:u w:val="none" w:color="auto"/>
              </w:rPr>
            </w:pPr>
          </w:p>
        </w:tc>
        <w:tc>
          <w:tcPr>
            <w:tcW w:w="2237" w:type="dxa"/>
            <w:tcBorders>
              <w:tl2br w:val="nil"/>
              <w:tr2bl w:val="nil"/>
            </w:tcBorders>
            <w:noWrap w:val="0"/>
            <w:vAlign w:val="center"/>
          </w:tcPr>
          <w:p w14:paraId="51F21EF6">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禁忌物</w:t>
            </w:r>
          </w:p>
        </w:tc>
        <w:tc>
          <w:tcPr>
            <w:tcW w:w="2237" w:type="dxa"/>
            <w:tcBorders>
              <w:tl2br w:val="nil"/>
              <w:tr2bl w:val="nil"/>
            </w:tcBorders>
            <w:noWrap w:val="0"/>
            <w:vAlign w:val="center"/>
          </w:tcPr>
          <w:p w14:paraId="20699E50">
            <w:pPr>
              <w:topLinePunct w:val="0"/>
              <w:bidi w:val="0"/>
              <w:adjustRightInd/>
              <w:snapToGrid/>
              <w:jc w:val="center"/>
              <w:rPr>
                <w:rFonts w:hint="default" w:ascii="Times New Roman" w:hAnsi="Times New Roman" w:eastAsia="宋体" w:cs="Times New Roman"/>
                <w:color w:val="auto"/>
                <w:highlight w:val="none"/>
                <w:u w:val="none" w:color="auto"/>
                <w:lang w:val="en-US" w:eastAsia="zh-CN"/>
              </w:rPr>
            </w:pPr>
            <w:r>
              <w:rPr>
                <w:rFonts w:hint="default" w:ascii="Times New Roman" w:hAnsi="Times New Roman" w:eastAsia="宋体" w:cs="Times New Roman"/>
                <w:bCs/>
                <w:color w:val="auto"/>
                <w:kern w:val="2"/>
                <w:sz w:val="21"/>
                <w:szCs w:val="21"/>
                <w:highlight w:val="none"/>
                <w:u w:val="none" w:color="auto"/>
                <w:lang w:val="en-US" w:eastAsia="zh-CN" w:bidi="ar-SA"/>
              </w:rPr>
              <w:t>无资料</w:t>
            </w:r>
          </w:p>
        </w:tc>
      </w:tr>
      <w:tr w14:paraId="30E72A4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800" w:type="dxa"/>
            <w:tcBorders>
              <w:tl2br w:val="nil"/>
              <w:tr2bl w:val="nil"/>
            </w:tcBorders>
            <w:noWrap w:val="0"/>
            <w:vAlign w:val="center"/>
          </w:tcPr>
          <w:p w14:paraId="31D667B4">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燃烧（分解）产物</w:t>
            </w:r>
          </w:p>
        </w:tc>
        <w:tc>
          <w:tcPr>
            <w:tcW w:w="2564" w:type="dxa"/>
            <w:tcBorders>
              <w:tl2br w:val="nil"/>
              <w:tr2bl w:val="nil"/>
            </w:tcBorders>
            <w:noWrap w:val="0"/>
            <w:vAlign w:val="center"/>
          </w:tcPr>
          <w:p w14:paraId="6461DD1E">
            <w:pPr>
              <w:topLinePunct w:val="0"/>
              <w:bidi w:val="0"/>
              <w:adjustRightInd/>
              <w:snapToGrid/>
              <w:jc w:val="center"/>
              <w:rPr>
                <w:rFonts w:hint="default" w:ascii="Times New Roman" w:hAnsi="Times New Roman" w:eastAsia="宋体" w:cs="Times New Roman"/>
                <w:color w:val="auto"/>
                <w:highlight w:val="none"/>
                <w:u w:val="none" w:color="auto"/>
                <w:lang w:val="en-US" w:eastAsia="zh-CN"/>
              </w:rPr>
            </w:pPr>
            <w:r>
              <w:rPr>
                <w:rFonts w:hint="default" w:ascii="Times New Roman" w:hAnsi="Times New Roman" w:eastAsia="宋体" w:cs="Times New Roman"/>
                <w:color w:val="auto"/>
                <w:highlight w:val="none"/>
                <w:u w:val="none" w:color="auto"/>
                <w:lang w:val="en-US" w:eastAsia="zh-CN"/>
              </w:rPr>
              <w:t>CO、CO2</w:t>
            </w:r>
          </w:p>
        </w:tc>
        <w:tc>
          <w:tcPr>
            <w:tcW w:w="2237" w:type="dxa"/>
            <w:tcBorders>
              <w:tl2br w:val="nil"/>
              <w:tr2bl w:val="nil"/>
            </w:tcBorders>
            <w:noWrap w:val="0"/>
            <w:vAlign w:val="center"/>
          </w:tcPr>
          <w:p w14:paraId="0CC6EF3E">
            <w:pPr>
              <w:topLinePunct w:val="0"/>
              <w:bidi w:val="0"/>
              <w:adjustRightInd/>
              <w:snapToGrid/>
              <w:jc w:val="center"/>
              <w:rPr>
                <w:rFonts w:hint="default" w:ascii="Times New Roman" w:hAnsi="Times New Roman" w:eastAsia="宋体" w:cs="Times New Roman"/>
                <w:b/>
                <w:color w:val="auto"/>
                <w:sz w:val="24"/>
                <w:highlight w:val="none"/>
                <w:u w:val="none" w:color="auto"/>
              </w:rPr>
            </w:pPr>
            <w:r>
              <w:rPr>
                <w:rFonts w:hint="default" w:ascii="Times New Roman" w:hAnsi="Times New Roman" w:eastAsia="宋体" w:cs="Times New Roman"/>
                <w:b/>
                <w:color w:val="auto"/>
                <w:sz w:val="24"/>
                <w:highlight w:val="none"/>
                <w:u w:val="none" w:color="auto"/>
              </w:rPr>
              <w:t>—</w:t>
            </w:r>
          </w:p>
        </w:tc>
        <w:tc>
          <w:tcPr>
            <w:tcW w:w="2237" w:type="dxa"/>
            <w:tcBorders>
              <w:tl2br w:val="nil"/>
              <w:tr2bl w:val="nil"/>
            </w:tcBorders>
            <w:noWrap w:val="0"/>
            <w:vAlign w:val="center"/>
          </w:tcPr>
          <w:p w14:paraId="0641765F">
            <w:pPr>
              <w:topLinePunct w:val="0"/>
              <w:bidi w:val="0"/>
              <w:adjustRightInd/>
              <w:snapToGrid/>
              <w:jc w:val="center"/>
              <w:rPr>
                <w:rFonts w:hint="default" w:ascii="Times New Roman" w:hAnsi="Times New Roman" w:eastAsia="宋体" w:cs="Times New Roman"/>
                <w:b/>
                <w:color w:val="auto"/>
                <w:sz w:val="24"/>
                <w:highlight w:val="none"/>
                <w:u w:val="none" w:color="auto"/>
              </w:rPr>
            </w:pPr>
            <w:r>
              <w:rPr>
                <w:rFonts w:hint="default" w:ascii="Times New Roman" w:hAnsi="Times New Roman" w:eastAsia="宋体" w:cs="Times New Roman"/>
                <w:b/>
                <w:color w:val="auto"/>
                <w:sz w:val="24"/>
                <w:highlight w:val="none"/>
                <w:u w:val="none" w:color="auto"/>
              </w:rPr>
              <w:t>—</w:t>
            </w:r>
          </w:p>
        </w:tc>
      </w:tr>
      <w:tr w14:paraId="2476D59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800" w:type="dxa"/>
            <w:tcBorders>
              <w:tl2br w:val="nil"/>
              <w:tr2bl w:val="nil"/>
            </w:tcBorders>
            <w:noWrap w:val="0"/>
            <w:vAlign w:val="center"/>
          </w:tcPr>
          <w:p w14:paraId="186C9426">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溶解性</w:t>
            </w:r>
          </w:p>
        </w:tc>
        <w:tc>
          <w:tcPr>
            <w:tcW w:w="7038" w:type="dxa"/>
            <w:gridSpan w:val="3"/>
            <w:tcBorders>
              <w:tl2br w:val="nil"/>
              <w:tr2bl w:val="nil"/>
            </w:tcBorders>
            <w:noWrap w:val="0"/>
            <w:vAlign w:val="center"/>
          </w:tcPr>
          <w:p w14:paraId="184E873D">
            <w:pPr>
              <w:topLinePunct w:val="0"/>
              <w:bidi w:val="0"/>
              <w:adjustRightInd/>
              <w:snapToGrid/>
              <w:jc w:val="center"/>
              <w:rPr>
                <w:rFonts w:hint="default" w:ascii="Times New Roman" w:hAnsi="Times New Roman" w:eastAsia="宋体" w:cs="Times New Roman"/>
                <w:color w:val="auto"/>
                <w:highlight w:val="none"/>
                <w:u w:val="none" w:color="auto"/>
                <w:lang w:val="en-US" w:eastAsia="zh-CN"/>
              </w:rPr>
            </w:pPr>
            <w:r>
              <w:rPr>
                <w:rFonts w:hint="default" w:ascii="Times New Roman" w:hAnsi="Times New Roman" w:eastAsia="宋体" w:cs="Times New Roman"/>
                <w:color w:val="auto"/>
                <w:highlight w:val="none"/>
                <w:u w:val="none" w:color="auto"/>
                <w:lang w:val="en-US" w:eastAsia="zh-CN"/>
              </w:rPr>
              <w:t>完全溶于水形成混合物</w:t>
            </w:r>
          </w:p>
        </w:tc>
      </w:tr>
      <w:tr w14:paraId="6FB3BF8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800" w:type="dxa"/>
            <w:tcBorders>
              <w:tl2br w:val="nil"/>
              <w:tr2bl w:val="nil"/>
            </w:tcBorders>
            <w:noWrap w:val="0"/>
            <w:vAlign w:val="center"/>
          </w:tcPr>
          <w:p w14:paraId="2AF401CF">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健康危害</w:t>
            </w:r>
          </w:p>
        </w:tc>
        <w:tc>
          <w:tcPr>
            <w:tcW w:w="7038" w:type="dxa"/>
            <w:gridSpan w:val="3"/>
            <w:tcBorders>
              <w:tl2br w:val="nil"/>
              <w:tr2bl w:val="nil"/>
            </w:tcBorders>
            <w:noWrap w:val="0"/>
            <w:vAlign w:val="center"/>
          </w:tcPr>
          <w:p w14:paraId="3BE38B09">
            <w:pPr>
              <w:topLinePunct w:val="0"/>
              <w:bidi w:val="0"/>
              <w:adjustRightInd/>
              <w:snapToGrid/>
              <w:rPr>
                <w:rFonts w:hint="default" w:ascii="Times New Roman" w:hAnsi="Times New Roman" w:eastAsia="宋体" w:cs="Times New Roman"/>
                <w:color w:val="auto"/>
                <w:highlight w:val="none"/>
                <w:u w:val="none" w:color="auto"/>
                <w:lang w:eastAsia="zh-CN"/>
              </w:rPr>
            </w:pPr>
            <w:r>
              <w:rPr>
                <w:rFonts w:hint="default" w:ascii="Times New Roman" w:hAnsi="Times New Roman" w:eastAsia="宋体" w:cs="Times New Roman"/>
                <w:color w:val="auto"/>
                <w:highlight w:val="none"/>
                <w:u w:val="none" w:color="auto"/>
              </w:rPr>
              <w:t>如果食入有毒性</w:t>
            </w:r>
            <w:r>
              <w:rPr>
                <w:rFonts w:hint="default" w:ascii="Times New Roman" w:hAnsi="Times New Roman" w:eastAsia="宋体" w:cs="Times New Roman"/>
                <w:color w:val="auto"/>
                <w:highlight w:val="none"/>
                <w:u w:val="none" w:color="auto"/>
                <w:lang w:eastAsia="zh-CN"/>
              </w:rPr>
              <w:t>；</w:t>
            </w:r>
            <w:r>
              <w:rPr>
                <w:rFonts w:hint="default" w:ascii="Times New Roman" w:hAnsi="Times New Roman" w:eastAsia="宋体" w:cs="Times New Roman"/>
                <w:color w:val="auto"/>
                <w:highlight w:val="none"/>
                <w:u w:val="none" w:color="auto"/>
              </w:rPr>
              <w:t>如果食入有害健康与皮肤接触有毒性</w:t>
            </w:r>
            <w:r>
              <w:rPr>
                <w:rFonts w:hint="default" w:ascii="Times New Roman" w:hAnsi="Times New Roman" w:eastAsia="宋体" w:cs="Times New Roman"/>
                <w:color w:val="auto"/>
                <w:highlight w:val="none"/>
                <w:u w:val="none" w:color="auto"/>
                <w:lang w:eastAsia="zh-CN"/>
              </w:rPr>
              <w:t>；</w:t>
            </w:r>
          </w:p>
          <w:p w14:paraId="422A2D49">
            <w:pPr>
              <w:topLinePunct w:val="0"/>
              <w:bidi w:val="0"/>
              <w:adjustRightInd/>
              <w:snapToGrid/>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引起皮肤灼伤和眼部刺激</w:t>
            </w:r>
            <w:r>
              <w:rPr>
                <w:rFonts w:hint="default" w:ascii="Times New Roman" w:hAnsi="Times New Roman" w:eastAsia="宋体" w:cs="Times New Roman"/>
                <w:color w:val="auto"/>
                <w:highlight w:val="none"/>
                <w:u w:val="none" w:color="auto"/>
                <w:lang w:eastAsia="zh-CN"/>
              </w:rPr>
              <w:t>；</w:t>
            </w:r>
            <w:r>
              <w:rPr>
                <w:rFonts w:hint="default" w:ascii="Times New Roman" w:hAnsi="Times New Roman" w:eastAsia="宋体" w:cs="Times New Roman"/>
                <w:color w:val="auto"/>
                <w:highlight w:val="none"/>
                <w:u w:val="none" w:color="auto"/>
              </w:rPr>
              <w:t>可能引起皮肤敏感反应</w:t>
            </w:r>
            <w:r>
              <w:rPr>
                <w:rFonts w:hint="default" w:ascii="Times New Roman" w:hAnsi="Times New Roman" w:eastAsia="宋体" w:cs="Times New Roman"/>
                <w:color w:val="auto"/>
                <w:highlight w:val="none"/>
                <w:u w:val="none" w:color="auto"/>
                <w:lang w:eastAsia="zh-CN"/>
              </w:rPr>
              <w:t>；</w:t>
            </w:r>
            <w:r>
              <w:rPr>
                <w:rFonts w:hint="default" w:ascii="Times New Roman" w:hAnsi="Times New Roman" w:eastAsia="宋体" w:cs="Times New Roman"/>
                <w:color w:val="auto"/>
                <w:highlight w:val="none"/>
                <w:u w:val="none" w:color="auto"/>
              </w:rPr>
              <w:t>可能引起严重的眼部刺激</w:t>
            </w:r>
            <w:r>
              <w:rPr>
                <w:rFonts w:hint="default" w:ascii="Times New Roman" w:hAnsi="Times New Roman" w:eastAsia="宋体" w:cs="Times New Roman"/>
                <w:color w:val="auto"/>
                <w:highlight w:val="none"/>
                <w:u w:val="none" w:color="auto"/>
                <w:lang w:eastAsia="zh-CN"/>
              </w:rPr>
              <w:t>；</w:t>
            </w:r>
            <w:r>
              <w:rPr>
                <w:rFonts w:hint="default" w:ascii="Times New Roman" w:hAnsi="Times New Roman" w:eastAsia="宋体" w:cs="Times New Roman"/>
                <w:color w:val="auto"/>
                <w:highlight w:val="none"/>
                <w:u w:val="none" w:color="auto"/>
              </w:rPr>
              <w:t>吸入可能致命</w:t>
            </w:r>
            <w:r>
              <w:rPr>
                <w:rFonts w:hint="default" w:ascii="Times New Roman" w:hAnsi="Times New Roman" w:eastAsia="宋体" w:cs="Times New Roman"/>
                <w:color w:val="auto"/>
                <w:highlight w:val="none"/>
                <w:u w:val="none" w:color="auto"/>
                <w:lang w:eastAsia="zh-CN"/>
              </w:rPr>
              <w:t>；</w:t>
            </w:r>
            <w:r>
              <w:rPr>
                <w:rFonts w:hint="default" w:ascii="Times New Roman" w:hAnsi="Times New Roman" w:eastAsia="宋体" w:cs="Times New Roman"/>
                <w:color w:val="auto"/>
                <w:highlight w:val="none"/>
                <w:u w:val="none" w:color="auto"/>
              </w:rPr>
              <w:t>对水生生物有毒性,有持久的影响</w:t>
            </w:r>
          </w:p>
        </w:tc>
      </w:tr>
      <w:tr w14:paraId="43ED85A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800" w:type="dxa"/>
            <w:tcBorders>
              <w:tl2br w:val="nil"/>
              <w:tr2bl w:val="nil"/>
            </w:tcBorders>
            <w:noWrap w:val="0"/>
            <w:vAlign w:val="center"/>
          </w:tcPr>
          <w:p w14:paraId="39946C99">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灭火方法</w:t>
            </w:r>
          </w:p>
        </w:tc>
        <w:tc>
          <w:tcPr>
            <w:tcW w:w="7038" w:type="dxa"/>
            <w:gridSpan w:val="3"/>
            <w:tcBorders>
              <w:tl2br w:val="nil"/>
              <w:tr2bl w:val="nil"/>
            </w:tcBorders>
            <w:noWrap w:val="0"/>
            <w:vAlign w:val="center"/>
          </w:tcPr>
          <w:p w14:paraId="751BEA46">
            <w:pPr>
              <w:topLinePunct w:val="0"/>
              <w:bidi w:val="0"/>
              <w:adjustRightInd/>
              <w:snapToGrid/>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喷水雾；泡沫；干粉；CO2</w:t>
            </w:r>
          </w:p>
        </w:tc>
      </w:tr>
      <w:tr w14:paraId="116CD9E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800" w:type="dxa"/>
            <w:tcBorders>
              <w:tl2br w:val="nil"/>
              <w:tr2bl w:val="nil"/>
            </w:tcBorders>
            <w:noWrap w:val="0"/>
            <w:vAlign w:val="center"/>
          </w:tcPr>
          <w:p w14:paraId="766AEE1E">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泄漏应急处理</w:t>
            </w:r>
          </w:p>
        </w:tc>
        <w:tc>
          <w:tcPr>
            <w:tcW w:w="7038" w:type="dxa"/>
            <w:gridSpan w:val="3"/>
            <w:tcBorders>
              <w:tl2br w:val="nil"/>
              <w:tr2bl w:val="nil"/>
            </w:tcBorders>
            <w:noWrap w:val="0"/>
            <w:vAlign w:val="center"/>
          </w:tcPr>
          <w:p w14:paraId="2AF10FF0">
            <w:pPr>
              <w:topLinePunct w:val="0"/>
              <w:bidi w:val="0"/>
              <w:adjustRightInd/>
              <w:snapToGrid/>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rPr>
              <w:t>阻止泄漏，将容器移离泄漏区域。使用泥沙或惰性的干燥物料吸收泄漏物，并置于合适的废弃处置容器中</w:t>
            </w:r>
          </w:p>
        </w:tc>
      </w:tr>
      <w:tr w14:paraId="436D624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800" w:type="dxa"/>
            <w:tcBorders>
              <w:tl2br w:val="nil"/>
              <w:tr2bl w:val="nil"/>
            </w:tcBorders>
            <w:noWrap w:val="0"/>
            <w:vAlign w:val="center"/>
          </w:tcPr>
          <w:p w14:paraId="3D17A163">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防护措施</w:t>
            </w:r>
          </w:p>
        </w:tc>
        <w:tc>
          <w:tcPr>
            <w:tcW w:w="7038" w:type="dxa"/>
            <w:gridSpan w:val="3"/>
            <w:tcBorders>
              <w:tl2br w:val="nil"/>
              <w:tr2bl w:val="nil"/>
            </w:tcBorders>
            <w:noWrap w:val="0"/>
            <w:vAlign w:val="center"/>
          </w:tcPr>
          <w:p w14:paraId="4E15AF51">
            <w:pPr>
              <w:topLinePunct w:val="0"/>
              <w:bidi w:val="0"/>
              <w:adjustRightInd/>
              <w:snapToGrid/>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rPr>
              <w:t>如果有任何人身危险或尚未接受适当培训时，不可采取行动。疏散周围区域。防止无关人员和无防护的人员进入。禁止接触或走过溢出物质。避免吸入蒸气或烟雾。提供足够的通风。通风不充足时应戴合适的呼吸器。穿戴合适的个人防护装备。</w:t>
            </w:r>
          </w:p>
          <w:p w14:paraId="0045FF3A">
            <w:pPr>
              <w:topLinePunct w:val="0"/>
              <w:bidi w:val="0"/>
              <w:adjustRightInd/>
              <w:snapToGrid/>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Cs w:val="21"/>
                <w:highlight w:val="none"/>
                <w:u w:val="none" w:color="auto"/>
              </w:rPr>
              <w:t>应急人：适用个人防护装备；如有蒸汽，粉尘，气化物，穿戴特殊的呼吸装备。</w:t>
            </w:r>
          </w:p>
        </w:tc>
      </w:tr>
      <w:tr w14:paraId="00A9EF8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800" w:type="dxa"/>
            <w:tcBorders>
              <w:tl2br w:val="nil"/>
              <w:tr2bl w:val="nil"/>
            </w:tcBorders>
            <w:noWrap w:val="0"/>
            <w:vAlign w:val="center"/>
          </w:tcPr>
          <w:p w14:paraId="0359ACF1">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急救措施</w:t>
            </w:r>
          </w:p>
        </w:tc>
        <w:tc>
          <w:tcPr>
            <w:tcW w:w="7038" w:type="dxa"/>
            <w:gridSpan w:val="3"/>
            <w:tcBorders>
              <w:tl2br w:val="nil"/>
              <w:tr2bl w:val="nil"/>
            </w:tcBorders>
            <w:noWrap w:val="0"/>
            <w:vAlign w:val="center"/>
          </w:tcPr>
          <w:p w14:paraId="08C87804">
            <w:pPr>
              <w:topLinePunct w:val="0"/>
              <w:bidi w:val="0"/>
              <w:adjustRightInd/>
              <w:snapToGrid/>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rPr>
              <w:t>脱离有毒环境</w:t>
            </w:r>
            <w:r>
              <w:rPr>
                <w:rFonts w:hint="default" w:ascii="Times New Roman" w:hAnsi="Times New Roman" w:eastAsia="宋体" w:cs="Times New Roman"/>
                <w:color w:val="auto"/>
                <w:szCs w:val="21"/>
                <w:highlight w:val="none"/>
                <w:u w:val="none" w:color="auto"/>
                <w:lang w:eastAsia="zh-CN"/>
              </w:rPr>
              <w:t>，</w:t>
            </w:r>
            <w:r>
              <w:rPr>
                <w:rFonts w:hint="default" w:ascii="Times New Roman" w:hAnsi="Times New Roman" w:eastAsia="宋体" w:cs="Times New Roman"/>
                <w:color w:val="auto"/>
                <w:szCs w:val="21"/>
                <w:highlight w:val="none"/>
                <w:u w:val="none" w:color="auto"/>
              </w:rPr>
              <w:t>至空气新鲜处</w:t>
            </w:r>
            <w:r>
              <w:rPr>
                <w:rFonts w:hint="default" w:ascii="Times New Roman" w:hAnsi="Times New Roman" w:eastAsia="宋体" w:cs="Times New Roman"/>
                <w:color w:val="auto"/>
                <w:szCs w:val="21"/>
                <w:highlight w:val="none"/>
                <w:u w:val="none" w:color="auto"/>
                <w:lang w:eastAsia="zh-CN"/>
              </w:rPr>
              <w:t>，</w:t>
            </w:r>
            <w:r>
              <w:rPr>
                <w:rFonts w:hint="default" w:ascii="Times New Roman" w:hAnsi="Times New Roman" w:eastAsia="宋体" w:cs="Times New Roman"/>
                <w:color w:val="auto"/>
                <w:szCs w:val="21"/>
                <w:highlight w:val="none"/>
                <w:u w:val="none" w:color="auto"/>
              </w:rPr>
              <w:t>给氧</w:t>
            </w:r>
            <w:r>
              <w:rPr>
                <w:rFonts w:hint="default" w:ascii="Times New Roman" w:hAnsi="Times New Roman" w:eastAsia="宋体" w:cs="Times New Roman"/>
                <w:color w:val="auto"/>
                <w:szCs w:val="21"/>
                <w:highlight w:val="none"/>
                <w:u w:val="none" w:color="auto"/>
                <w:lang w:eastAsia="zh-CN"/>
              </w:rPr>
              <w:t>，</w:t>
            </w:r>
            <w:r>
              <w:rPr>
                <w:rFonts w:hint="default" w:ascii="Times New Roman" w:hAnsi="Times New Roman" w:eastAsia="宋体" w:cs="Times New Roman"/>
                <w:color w:val="auto"/>
                <w:szCs w:val="21"/>
                <w:highlight w:val="none"/>
                <w:u w:val="none" w:color="auto"/>
              </w:rPr>
              <w:t>对症治疗。注意防治脑水肿。</w:t>
            </w:r>
          </w:p>
        </w:tc>
      </w:tr>
      <w:tr w14:paraId="3746C45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800" w:type="dxa"/>
            <w:tcBorders>
              <w:tl2br w:val="nil"/>
              <w:tr2bl w:val="nil"/>
            </w:tcBorders>
            <w:noWrap w:val="0"/>
            <w:vAlign w:val="center"/>
          </w:tcPr>
          <w:p w14:paraId="616B7AAB">
            <w:pPr>
              <w:topLinePunct w:val="0"/>
              <w:bidi w:val="0"/>
              <w:adjustRightInd/>
              <w:snapToGrid/>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储存要求</w:t>
            </w:r>
          </w:p>
        </w:tc>
        <w:tc>
          <w:tcPr>
            <w:tcW w:w="7038" w:type="dxa"/>
            <w:gridSpan w:val="3"/>
            <w:tcBorders>
              <w:tl2br w:val="nil"/>
              <w:tr2bl w:val="nil"/>
            </w:tcBorders>
            <w:noWrap w:val="0"/>
            <w:vAlign w:val="center"/>
          </w:tcPr>
          <w:p w14:paraId="6CF0936D">
            <w:pPr>
              <w:topLinePunct w:val="0"/>
              <w:bidi w:val="0"/>
              <w:adjustRightInd/>
              <w:snapToGrid/>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rPr>
              <w:t>确保容器密封，放置于凉爽通风区域。</w:t>
            </w:r>
          </w:p>
          <w:p w14:paraId="5D09D94C">
            <w:pPr>
              <w:topLinePunct w:val="0"/>
              <w:bidi w:val="0"/>
              <w:adjustRightInd/>
              <w:snapToGrid/>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rPr>
              <w:t>避免阳光直射。避免冰冻。</w:t>
            </w:r>
          </w:p>
          <w:p w14:paraId="45A85A11">
            <w:pPr>
              <w:topLinePunct w:val="0"/>
              <w:bidi w:val="0"/>
              <w:adjustRightInd/>
              <w:snapToGrid/>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rPr>
              <w:t>存储温度：5-35℃</w:t>
            </w:r>
          </w:p>
        </w:tc>
      </w:tr>
    </w:tbl>
    <w:p w14:paraId="0F4FB05F">
      <w:pPr>
        <w:pStyle w:val="4"/>
        <w:numPr>
          <w:ilvl w:val="1"/>
          <w:numId w:val="0"/>
        </w:numPr>
        <w:spacing w:before="120" w:after="120" w:line="360" w:lineRule="auto"/>
        <w:contextualSpacing/>
        <w:rPr>
          <w:rFonts w:hint="default" w:ascii="Times New Roman" w:hAnsi="Times New Roman" w:eastAsia="宋体" w:cs="Times New Roman"/>
          <w:b/>
          <w:bCs w:val="0"/>
          <w:color w:val="auto"/>
          <w:sz w:val="28"/>
          <w:u w:val="none" w:color="auto"/>
        </w:rPr>
      </w:pPr>
      <w:bookmarkStart w:id="216" w:name="_Toc7224"/>
      <w:r>
        <w:rPr>
          <w:rFonts w:hint="default" w:ascii="Times New Roman" w:hAnsi="Times New Roman" w:eastAsia="宋体" w:cs="Times New Roman"/>
          <w:b/>
          <w:bCs w:val="0"/>
          <w:color w:val="auto"/>
          <w:sz w:val="28"/>
          <w:u w:val="none" w:color="auto"/>
        </w:rPr>
        <w:t>3.2 生产设施风险识别</w:t>
      </w:r>
      <w:bookmarkEnd w:id="213"/>
      <w:bookmarkEnd w:id="214"/>
      <w:bookmarkEnd w:id="215"/>
      <w:bookmarkEnd w:id="216"/>
    </w:p>
    <w:p w14:paraId="24BBC10A">
      <w:pPr>
        <w:spacing w:line="360" w:lineRule="auto"/>
        <w:ind w:firstLine="480" w:firstLineChars="200"/>
        <w:rPr>
          <w:rFonts w:hint="default" w:ascii="Times New Roman" w:hAnsi="Times New Roman" w:eastAsia="宋体" w:cs="Times New Roman"/>
          <w:color w:val="auto"/>
          <w:sz w:val="24"/>
          <w:u w:val="none" w:color="auto"/>
        </w:rPr>
      </w:pPr>
      <w:r>
        <w:rPr>
          <w:rFonts w:hint="default" w:ascii="Times New Roman" w:hAnsi="Times New Roman" w:eastAsia="宋体" w:cs="Times New Roman"/>
          <w:color w:val="auto"/>
          <w:sz w:val="24"/>
          <w:u w:val="none" w:color="auto"/>
        </w:rPr>
        <w:t>本项目</w:t>
      </w:r>
      <w:r>
        <w:rPr>
          <w:rFonts w:hint="default" w:ascii="Times New Roman" w:hAnsi="Times New Roman" w:eastAsia="宋体" w:cs="Times New Roman"/>
          <w:color w:val="auto"/>
          <w:sz w:val="24"/>
          <w:szCs w:val="24"/>
          <w:u w:val="none" w:color="auto"/>
          <w:lang w:eastAsia="zh-CN"/>
        </w:rPr>
        <w:t>中创空天厂区</w:t>
      </w:r>
      <w:r>
        <w:rPr>
          <w:rFonts w:hint="default" w:ascii="Times New Roman" w:hAnsi="Times New Roman" w:eastAsia="宋体" w:cs="Times New Roman"/>
          <w:color w:val="auto"/>
          <w:sz w:val="24"/>
          <w:u w:val="none" w:color="auto"/>
        </w:rPr>
        <w:t>生产设施风险识别情况见表3-</w:t>
      </w:r>
      <w:r>
        <w:rPr>
          <w:rFonts w:hint="default" w:ascii="Times New Roman" w:hAnsi="Times New Roman" w:eastAsia="宋体" w:cs="Times New Roman"/>
          <w:color w:val="auto"/>
          <w:sz w:val="24"/>
          <w:u w:val="none" w:color="auto"/>
          <w:lang w:val="en-US" w:eastAsia="zh-CN"/>
        </w:rPr>
        <w:t>7</w:t>
      </w:r>
      <w:r>
        <w:rPr>
          <w:rFonts w:hint="default" w:ascii="Times New Roman" w:hAnsi="Times New Roman" w:eastAsia="宋体" w:cs="Times New Roman"/>
          <w:color w:val="auto"/>
          <w:sz w:val="24"/>
          <w:u w:val="none" w:color="auto"/>
        </w:rPr>
        <w:t>。</w:t>
      </w:r>
    </w:p>
    <w:p w14:paraId="5742D542">
      <w:pPr>
        <w:pStyle w:val="17"/>
        <w:numPr>
          <w:ilvl w:val="0"/>
          <w:numId w:val="11"/>
        </w:numPr>
        <w:adjustRightInd/>
        <w:snapToGrid/>
        <w:rPr>
          <w:rFonts w:hint="default" w:ascii="Times New Roman" w:hAnsi="Times New Roman" w:eastAsia="宋体" w:cs="Times New Roman"/>
          <w:b/>
          <w:bCs/>
          <w:color w:val="auto"/>
          <w:sz w:val="21"/>
          <w:u w:val="none" w:color="auto"/>
        </w:rPr>
      </w:pPr>
      <w:r>
        <w:rPr>
          <w:rFonts w:hint="default" w:ascii="Times New Roman" w:hAnsi="Times New Roman" w:eastAsia="宋体" w:cs="Times New Roman"/>
          <w:b/>
          <w:bCs/>
          <w:color w:val="auto"/>
          <w:sz w:val="21"/>
          <w:u w:val="none" w:color="auto"/>
        </w:rPr>
        <w:t>生产设施风险识别情况一览表</w:t>
      </w:r>
    </w:p>
    <w:tbl>
      <w:tblPr>
        <w:tblStyle w:val="31"/>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369"/>
        <w:gridCol w:w="1680"/>
        <w:gridCol w:w="1625"/>
        <w:gridCol w:w="1625"/>
        <w:gridCol w:w="2643"/>
      </w:tblGrid>
      <w:tr w14:paraId="0502FA4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01" w:hRule="atLeast"/>
          <w:tblHeader/>
        </w:trPr>
        <w:tc>
          <w:tcPr>
            <w:tcW w:w="1369" w:type="dxa"/>
            <w:tcBorders>
              <w:tl2br w:val="nil"/>
              <w:tr2bl w:val="nil"/>
            </w:tcBorders>
            <w:noWrap w:val="0"/>
            <w:vAlign w:val="center"/>
          </w:tcPr>
          <w:p w14:paraId="221968AD">
            <w:pPr>
              <w:widowControl/>
              <w:topLinePunct w:val="0"/>
              <w:bidi w:val="0"/>
              <w:adjustRightInd/>
              <w:snapToGrid/>
              <w:jc w:val="center"/>
              <w:rPr>
                <w:rFonts w:hint="default" w:ascii="Times New Roman" w:hAnsi="Times New Roman" w:eastAsia="宋体" w:cs="Times New Roman"/>
                <w:b/>
                <w:bCs/>
                <w:color w:val="auto"/>
                <w:kern w:val="21"/>
                <w:szCs w:val="21"/>
                <w:highlight w:val="none"/>
                <w:u w:val="none" w:color="auto"/>
              </w:rPr>
            </w:pPr>
            <w:bookmarkStart w:id="217" w:name="_Toc17088"/>
            <w:bookmarkStart w:id="218" w:name="_Toc28080"/>
            <w:bookmarkStart w:id="219" w:name="_Toc32539"/>
            <w:r>
              <w:rPr>
                <w:rFonts w:hint="default" w:ascii="Times New Roman" w:hAnsi="Times New Roman" w:eastAsia="宋体" w:cs="Times New Roman"/>
                <w:b/>
                <w:bCs/>
                <w:color w:val="auto"/>
                <w:kern w:val="21"/>
                <w:szCs w:val="21"/>
                <w:highlight w:val="none"/>
                <w:u w:val="none" w:color="auto"/>
              </w:rPr>
              <w:t>设施</w:t>
            </w:r>
          </w:p>
        </w:tc>
        <w:tc>
          <w:tcPr>
            <w:tcW w:w="1680" w:type="dxa"/>
            <w:tcBorders>
              <w:tl2br w:val="nil"/>
              <w:tr2bl w:val="nil"/>
            </w:tcBorders>
            <w:noWrap w:val="0"/>
            <w:vAlign w:val="center"/>
          </w:tcPr>
          <w:p w14:paraId="57D69DD3">
            <w:pPr>
              <w:widowControl/>
              <w:topLinePunct w:val="0"/>
              <w:bidi w:val="0"/>
              <w:adjustRightInd/>
              <w:snapToGrid/>
              <w:jc w:val="center"/>
              <w:rPr>
                <w:rFonts w:hint="default" w:ascii="Times New Roman" w:hAnsi="Times New Roman" w:eastAsia="宋体" w:cs="Times New Roman"/>
                <w:b/>
                <w:bCs/>
                <w:color w:val="auto"/>
                <w:kern w:val="21"/>
                <w:szCs w:val="21"/>
                <w:highlight w:val="none"/>
                <w:u w:val="none" w:color="auto"/>
              </w:rPr>
            </w:pPr>
            <w:r>
              <w:rPr>
                <w:rFonts w:hint="default" w:ascii="Times New Roman" w:hAnsi="Times New Roman" w:eastAsia="宋体" w:cs="Times New Roman"/>
                <w:b/>
                <w:bCs/>
                <w:color w:val="auto"/>
                <w:kern w:val="21"/>
                <w:szCs w:val="21"/>
                <w:highlight w:val="none"/>
                <w:u w:val="none" w:color="auto"/>
              </w:rPr>
              <w:t>主要危险部位</w:t>
            </w:r>
          </w:p>
        </w:tc>
        <w:tc>
          <w:tcPr>
            <w:tcW w:w="1625" w:type="dxa"/>
            <w:tcBorders>
              <w:tl2br w:val="nil"/>
              <w:tr2bl w:val="nil"/>
            </w:tcBorders>
            <w:noWrap w:val="0"/>
            <w:vAlign w:val="center"/>
          </w:tcPr>
          <w:p w14:paraId="7797DA18">
            <w:pPr>
              <w:widowControl/>
              <w:topLinePunct w:val="0"/>
              <w:bidi w:val="0"/>
              <w:adjustRightInd/>
              <w:snapToGrid/>
              <w:jc w:val="center"/>
              <w:rPr>
                <w:rFonts w:hint="default" w:ascii="Times New Roman" w:hAnsi="Times New Roman" w:eastAsia="宋体" w:cs="Times New Roman"/>
                <w:b/>
                <w:bCs/>
                <w:color w:val="auto"/>
                <w:kern w:val="21"/>
                <w:szCs w:val="21"/>
                <w:highlight w:val="none"/>
                <w:u w:val="none" w:color="auto"/>
              </w:rPr>
            </w:pPr>
            <w:r>
              <w:rPr>
                <w:rFonts w:hint="default" w:ascii="Times New Roman" w:hAnsi="Times New Roman" w:eastAsia="宋体" w:cs="Times New Roman"/>
                <w:b/>
                <w:bCs/>
                <w:color w:val="auto"/>
                <w:kern w:val="21"/>
                <w:szCs w:val="21"/>
                <w:highlight w:val="none"/>
                <w:u w:val="none" w:color="auto"/>
              </w:rPr>
              <w:t>主要危险物质</w:t>
            </w:r>
          </w:p>
        </w:tc>
        <w:tc>
          <w:tcPr>
            <w:tcW w:w="1625" w:type="dxa"/>
            <w:tcBorders>
              <w:tl2br w:val="nil"/>
              <w:tr2bl w:val="nil"/>
            </w:tcBorders>
            <w:noWrap w:val="0"/>
            <w:vAlign w:val="center"/>
          </w:tcPr>
          <w:p w14:paraId="3827C68E">
            <w:pPr>
              <w:widowControl/>
              <w:topLinePunct w:val="0"/>
              <w:bidi w:val="0"/>
              <w:adjustRightInd/>
              <w:snapToGrid/>
              <w:jc w:val="center"/>
              <w:rPr>
                <w:rFonts w:hint="default" w:ascii="Times New Roman" w:hAnsi="Times New Roman" w:eastAsia="宋体" w:cs="Times New Roman"/>
                <w:b/>
                <w:bCs/>
                <w:color w:val="auto"/>
                <w:kern w:val="21"/>
                <w:szCs w:val="21"/>
                <w:highlight w:val="none"/>
                <w:u w:val="none" w:color="auto"/>
              </w:rPr>
            </w:pPr>
            <w:r>
              <w:rPr>
                <w:rFonts w:hint="default" w:ascii="Times New Roman" w:hAnsi="Times New Roman" w:eastAsia="宋体" w:cs="Times New Roman"/>
                <w:b/>
                <w:bCs/>
                <w:color w:val="auto"/>
                <w:kern w:val="21"/>
                <w:szCs w:val="21"/>
                <w:highlight w:val="none"/>
                <w:u w:val="none" w:color="auto"/>
              </w:rPr>
              <w:t>事故类型</w:t>
            </w:r>
          </w:p>
        </w:tc>
        <w:tc>
          <w:tcPr>
            <w:tcW w:w="2643" w:type="dxa"/>
            <w:tcBorders>
              <w:tl2br w:val="nil"/>
              <w:tr2bl w:val="nil"/>
            </w:tcBorders>
            <w:noWrap w:val="0"/>
            <w:vAlign w:val="center"/>
          </w:tcPr>
          <w:p w14:paraId="3D2DDFD9">
            <w:pPr>
              <w:widowControl/>
              <w:topLinePunct w:val="0"/>
              <w:bidi w:val="0"/>
              <w:adjustRightInd/>
              <w:snapToGrid/>
              <w:jc w:val="center"/>
              <w:rPr>
                <w:rFonts w:hint="default" w:ascii="Times New Roman" w:hAnsi="Times New Roman" w:eastAsia="宋体" w:cs="Times New Roman"/>
                <w:b/>
                <w:bCs/>
                <w:color w:val="auto"/>
                <w:kern w:val="21"/>
                <w:szCs w:val="21"/>
                <w:highlight w:val="none"/>
                <w:u w:val="none" w:color="auto"/>
              </w:rPr>
            </w:pPr>
            <w:r>
              <w:rPr>
                <w:rFonts w:hint="default" w:ascii="Times New Roman" w:hAnsi="Times New Roman" w:eastAsia="宋体" w:cs="Times New Roman"/>
                <w:b/>
                <w:bCs/>
                <w:color w:val="auto"/>
                <w:kern w:val="21"/>
                <w:szCs w:val="21"/>
                <w:highlight w:val="none"/>
                <w:u w:val="none" w:color="auto"/>
              </w:rPr>
              <w:t>原因</w:t>
            </w:r>
          </w:p>
        </w:tc>
      </w:tr>
      <w:tr w14:paraId="4DA41B8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1369" w:type="dxa"/>
            <w:tcBorders>
              <w:tl2br w:val="nil"/>
              <w:tr2bl w:val="nil"/>
            </w:tcBorders>
            <w:noWrap w:val="0"/>
            <w:vAlign w:val="center"/>
          </w:tcPr>
          <w:p w14:paraId="60E3A306">
            <w:pPr>
              <w:widowControl/>
              <w:topLinePunct w:val="0"/>
              <w:bidi w:val="0"/>
              <w:adjustRightInd/>
              <w:snapToGrid/>
              <w:jc w:val="center"/>
              <w:rPr>
                <w:rFonts w:hint="default" w:ascii="Times New Roman" w:hAnsi="Times New Roman" w:eastAsia="宋体" w:cs="Times New Roman"/>
                <w:color w:val="auto"/>
                <w:kern w:val="21"/>
                <w:szCs w:val="21"/>
                <w:highlight w:val="none"/>
                <w:u w:val="none" w:color="auto"/>
              </w:rPr>
            </w:pPr>
            <w:r>
              <w:rPr>
                <w:rFonts w:hint="default" w:ascii="Times New Roman" w:hAnsi="Times New Roman" w:eastAsia="宋体" w:cs="Times New Roman"/>
                <w:color w:val="auto"/>
                <w:kern w:val="21"/>
                <w:szCs w:val="21"/>
                <w:highlight w:val="none"/>
                <w:u w:val="none" w:color="auto"/>
              </w:rPr>
              <w:t>生产车间</w:t>
            </w:r>
          </w:p>
        </w:tc>
        <w:tc>
          <w:tcPr>
            <w:tcW w:w="1680" w:type="dxa"/>
            <w:tcBorders>
              <w:tl2br w:val="nil"/>
              <w:tr2bl w:val="nil"/>
            </w:tcBorders>
            <w:noWrap w:val="0"/>
            <w:vAlign w:val="center"/>
          </w:tcPr>
          <w:p w14:paraId="24FA1F63">
            <w:pPr>
              <w:widowControl/>
              <w:topLinePunct w:val="0"/>
              <w:bidi w:val="0"/>
              <w:adjustRightInd/>
              <w:snapToGrid/>
              <w:jc w:val="center"/>
              <w:rPr>
                <w:rFonts w:hint="default" w:ascii="Times New Roman" w:hAnsi="Times New Roman" w:eastAsia="宋体" w:cs="Times New Roman"/>
                <w:color w:val="auto"/>
                <w:kern w:val="21"/>
                <w:szCs w:val="21"/>
                <w:highlight w:val="none"/>
                <w:u w:val="none" w:color="auto"/>
              </w:rPr>
            </w:pPr>
            <w:r>
              <w:rPr>
                <w:rFonts w:hint="default" w:ascii="Times New Roman" w:hAnsi="Times New Roman" w:eastAsia="宋体" w:cs="Times New Roman"/>
                <w:color w:val="auto"/>
                <w:kern w:val="21"/>
                <w:szCs w:val="21"/>
                <w:highlight w:val="none"/>
                <w:u w:val="none" w:color="auto"/>
              </w:rPr>
              <w:t>各类窑炉</w:t>
            </w:r>
            <w:r>
              <w:rPr>
                <w:rFonts w:hint="default" w:ascii="Times New Roman" w:hAnsi="Times New Roman" w:eastAsia="宋体" w:cs="Times New Roman"/>
                <w:color w:val="auto"/>
                <w:kern w:val="21"/>
                <w:szCs w:val="21"/>
                <w:highlight w:val="none"/>
                <w:u w:val="none" w:color="auto"/>
                <w:lang w:eastAsia="zh-CN"/>
              </w:rPr>
              <w:t>、油压系统</w:t>
            </w:r>
            <w:r>
              <w:rPr>
                <w:rFonts w:hint="default" w:ascii="Times New Roman" w:hAnsi="Times New Roman" w:eastAsia="宋体" w:cs="Times New Roman"/>
                <w:color w:val="auto"/>
                <w:kern w:val="21"/>
                <w:szCs w:val="21"/>
                <w:highlight w:val="none"/>
                <w:u w:val="none" w:color="auto"/>
              </w:rPr>
              <w:t>等</w:t>
            </w:r>
          </w:p>
        </w:tc>
        <w:tc>
          <w:tcPr>
            <w:tcW w:w="1625" w:type="dxa"/>
            <w:tcBorders>
              <w:tl2br w:val="nil"/>
              <w:tr2bl w:val="nil"/>
            </w:tcBorders>
            <w:noWrap w:val="0"/>
            <w:vAlign w:val="center"/>
          </w:tcPr>
          <w:p w14:paraId="0594BD1A">
            <w:pPr>
              <w:widowControl/>
              <w:topLinePunct w:val="0"/>
              <w:bidi w:val="0"/>
              <w:adjustRightInd/>
              <w:snapToGrid/>
              <w:jc w:val="center"/>
              <w:rPr>
                <w:rFonts w:hint="default" w:ascii="Times New Roman" w:hAnsi="Times New Roman" w:eastAsia="宋体" w:cs="Times New Roman"/>
                <w:color w:val="auto"/>
                <w:kern w:val="21"/>
                <w:szCs w:val="21"/>
                <w:highlight w:val="none"/>
                <w:u w:val="none" w:color="auto"/>
                <w:lang w:val="en-US"/>
              </w:rPr>
            </w:pPr>
            <w:r>
              <w:rPr>
                <w:rFonts w:hint="default" w:ascii="Times New Roman" w:hAnsi="Times New Roman" w:eastAsia="宋体" w:cs="Times New Roman"/>
                <w:color w:val="auto"/>
                <w:kern w:val="21"/>
                <w:szCs w:val="21"/>
                <w:highlight w:val="none"/>
                <w:u w:val="none" w:color="auto"/>
              </w:rPr>
              <w:t>高温金属</w:t>
            </w:r>
            <w:r>
              <w:rPr>
                <w:rFonts w:hint="default" w:ascii="Times New Roman" w:hAnsi="Times New Roman" w:eastAsia="宋体" w:cs="Times New Roman"/>
                <w:color w:val="auto"/>
                <w:kern w:val="21"/>
                <w:szCs w:val="21"/>
                <w:highlight w:val="none"/>
                <w:u w:val="none" w:color="auto"/>
                <w:lang w:eastAsia="zh-CN"/>
              </w:rPr>
              <w:t>熔体、高温烟尘、矿物油、</w:t>
            </w:r>
            <w:r>
              <w:rPr>
                <w:rFonts w:hint="default" w:ascii="Times New Roman" w:hAnsi="Times New Roman" w:eastAsia="宋体" w:cs="Times New Roman"/>
                <w:color w:val="auto"/>
                <w:kern w:val="21"/>
                <w:szCs w:val="21"/>
                <w:highlight w:val="none"/>
                <w:u w:val="none" w:color="auto"/>
                <w:lang w:val="en-US" w:eastAsia="zh-CN"/>
              </w:rPr>
              <w:t>脱模剂等</w:t>
            </w:r>
          </w:p>
        </w:tc>
        <w:tc>
          <w:tcPr>
            <w:tcW w:w="1625" w:type="dxa"/>
            <w:tcBorders>
              <w:tl2br w:val="nil"/>
              <w:tr2bl w:val="nil"/>
            </w:tcBorders>
            <w:noWrap w:val="0"/>
            <w:vAlign w:val="center"/>
          </w:tcPr>
          <w:p w14:paraId="4A2DC2FA">
            <w:pPr>
              <w:widowControl/>
              <w:topLinePunct w:val="0"/>
              <w:bidi w:val="0"/>
              <w:adjustRightInd/>
              <w:snapToGrid/>
              <w:jc w:val="center"/>
              <w:rPr>
                <w:rFonts w:hint="default" w:ascii="Times New Roman" w:hAnsi="Times New Roman" w:eastAsia="宋体" w:cs="Times New Roman"/>
                <w:b/>
                <w:bCs/>
                <w:color w:val="auto"/>
                <w:kern w:val="21"/>
                <w:szCs w:val="21"/>
                <w:highlight w:val="none"/>
                <w:u w:val="none" w:color="auto"/>
              </w:rPr>
            </w:pPr>
            <w:r>
              <w:rPr>
                <w:rFonts w:hint="default" w:ascii="Times New Roman" w:hAnsi="Times New Roman" w:eastAsia="宋体" w:cs="Times New Roman"/>
                <w:color w:val="auto"/>
                <w:szCs w:val="21"/>
                <w:highlight w:val="none"/>
                <w:u w:val="none" w:color="auto"/>
              </w:rPr>
              <w:t>泄漏、爆炸</w:t>
            </w:r>
          </w:p>
        </w:tc>
        <w:tc>
          <w:tcPr>
            <w:tcW w:w="2643" w:type="dxa"/>
            <w:tcBorders>
              <w:tl2br w:val="nil"/>
              <w:tr2bl w:val="nil"/>
            </w:tcBorders>
            <w:noWrap w:val="0"/>
            <w:vAlign w:val="center"/>
          </w:tcPr>
          <w:p w14:paraId="3A95E41F">
            <w:pPr>
              <w:widowControl/>
              <w:topLinePunct w:val="0"/>
              <w:bidi w:val="0"/>
              <w:adjustRightInd/>
              <w:snapToGrid/>
              <w:jc w:val="center"/>
              <w:rPr>
                <w:rFonts w:hint="default" w:ascii="Times New Roman" w:hAnsi="Times New Roman" w:eastAsia="宋体" w:cs="Times New Roman"/>
                <w:b/>
                <w:bCs/>
                <w:color w:val="auto"/>
                <w:kern w:val="21"/>
                <w:szCs w:val="21"/>
                <w:highlight w:val="none"/>
                <w:u w:val="none" w:color="auto"/>
              </w:rPr>
            </w:pPr>
            <w:r>
              <w:rPr>
                <w:rFonts w:hint="default" w:ascii="Times New Roman" w:hAnsi="Times New Roman" w:eastAsia="宋体" w:cs="Times New Roman"/>
                <w:color w:val="auto"/>
                <w:szCs w:val="21"/>
                <w:highlight w:val="none"/>
                <w:u w:val="none" w:color="auto"/>
              </w:rPr>
              <w:t>生产控制操作不当</w:t>
            </w:r>
            <w:r>
              <w:rPr>
                <w:rFonts w:hint="default" w:ascii="Times New Roman" w:hAnsi="Times New Roman" w:eastAsia="宋体" w:cs="Times New Roman"/>
                <w:color w:val="auto"/>
                <w:szCs w:val="21"/>
                <w:highlight w:val="none"/>
                <w:u w:val="none" w:color="auto"/>
                <w:lang w:eastAsia="zh-CN"/>
              </w:rPr>
              <w:t>，</w:t>
            </w:r>
            <w:r>
              <w:rPr>
                <w:rFonts w:hint="default" w:ascii="Times New Roman" w:hAnsi="Times New Roman" w:eastAsia="宋体" w:cs="Times New Roman"/>
                <w:color w:val="auto"/>
                <w:szCs w:val="21"/>
                <w:highlight w:val="none"/>
                <w:u w:val="none" w:color="auto"/>
              </w:rPr>
              <w:t>引起装置内容物料压力或温度过高</w:t>
            </w:r>
            <w:r>
              <w:rPr>
                <w:rFonts w:hint="default" w:ascii="Times New Roman" w:hAnsi="Times New Roman" w:eastAsia="宋体" w:cs="Times New Roman"/>
                <w:color w:val="auto"/>
                <w:szCs w:val="21"/>
                <w:highlight w:val="none"/>
                <w:u w:val="none" w:color="auto"/>
                <w:lang w:eastAsia="zh-CN"/>
              </w:rPr>
              <w:t>，</w:t>
            </w:r>
            <w:r>
              <w:rPr>
                <w:rFonts w:hint="default" w:ascii="Times New Roman" w:hAnsi="Times New Roman" w:eastAsia="宋体" w:cs="Times New Roman"/>
                <w:color w:val="auto"/>
                <w:szCs w:val="21"/>
                <w:highlight w:val="none"/>
                <w:u w:val="none" w:color="auto"/>
              </w:rPr>
              <w:t>引起爆炸或泄漏</w:t>
            </w:r>
          </w:p>
        </w:tc>
      </w:tr>
      <w:tr w14:paraId="599B88D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1369" w:type="dxa"/>
            <w:tcBorders>
              <w:tl2br w:val="nil"/>
              <w:tr2bl w:val="nil"/>
            </w:tcBorders>
            <w:noWrap w:val="0"/>
            <w:vAlign w:val="center"/>
          </w:tcPr>
          <w:p w14:paraId="3F69B54A">
            <w:pPr>
              <w:widowControl/>
              <w:topLinePunct w:val="0"/>
              <w:bidi w:val="0"/>
              <w:adjustRightInd/>
              <w:snapToGrid/>
              <w:jc w:val="center"/>
              <w:rPr>
                <w:rFonts w:hint="default" w:ascii="Times New Roman" w:hAnsi="Times New Roman" w:eastAsia="宋体" w:cs="Times New Roman"/>
                <w:color w:val="auto"/>
                <w:kern w:val="21"/>
                <w:szCs w:val="21"/>
                <w:highlight w:val="none"/>
                <w:u w:val="none" w:color="auto"/>
              </w:rPr>
            </w:pPr>
            <w:r>
              <w:rPr>
                <w:rFonts w:hint="default" w:ascii="Times New Roman" w:hAnsi="Times New Roman" w:eastAsia="宋体" w:cs="Times New Roman"/>
                <w:color w:val="auto"/>
                <w:kern w:val="21"/>
                <w:szCs w:val="21"/>
                <w:highlight w:val="none"/>
                <w:u w:val="none" w:color="auto"/>
              </w:rPr>
              <w:t>天然气调压站</w:t>
            </w:r>
          </w:p>
        </w:tc>
        <w:tc>
          <w:tcPr>
            <w:tcW w:w="1680" w:type="dxa"/>
            <w:tcBorders>
              <w:tl2br w:val="nil"/>
              <w:tr2bl w:val="nil"/>
            </w:tcBorders>
            <w:noWrap w:val="0"/>
            <w:vAlign w:val="center"/>
          </w:tcPr>
          <w:p w14:paraId="7C8B5DB5">
            <w:pPr>
              <w:widowControl/>
              <w:topLinePunct w:val="0"/>
              <w:bidi w:val="0"/>
              <w:adjustRightInd/>
              <w:snapToGrid/>
              <w:jc w:val="center"/>
              <w:rPr>
                <w:rFonts w:hint="default" w:ascii="Times New Roman" w:hAnsi="Times New Roman" w:eastAsia="宋体" w:cs="Times New Roman"/>
                <w:color w:val="auto"/>
                <w:kern w:val="21"/>
                <w:szCs w:val="21"/>
                <w:highlight w:val="none"/>
                <w:u w:val="none" w:color="auto"/>
              </w:rPr>
            </w:pPr>
            <w:r>
              <w:rPr>
                <w:rFonts w:hint="default" w:ascii="Times New Roman" w:hAnsi="Times New Roman" w:eastAsia="宋体" w:cs="Times New Roman"/>
                <w:color w:val="auto"/>
                <w:kern w:val="21"/>
                <w:szCs w:val="21"/>
                <w:highlight w:val="none"/>
                <w:u w:val="none" w:color="auto"/>
              </w:rPr>
              <w:t>管道、阀门</w:t>
            </w:r>
          </w:p>
        </w:tc>
        <w:tc>
          <w:tcPr>
            <w:tcW w:w="1625" w:type="dxa"/>
            <w:tcBorders>
              <w:tl2br w:val="nil"/>
              <w:tr2bl w:val="nil"/>
            </w:tcBorders>
            <w:noWrap w:val="0"/>
            <w:vAlign w:val="center"/>
          </w:tcPr>
          <w:p w14:paraId="067E4287">
            <w:pPr>
              <w:widowControl/>
              <w:topLinePunct w:val="0"/>
              <w:bidi w:val="0"/>
              <w:adjustRightInd/>
              <w:snapToGrid/>
              <w:jc w:val="center"/>
              <w:rPr>
                <w:rFonts w:hint="default" w:ascii="Times New Roman" w:hAnsi="Times New Roman" w:eastAsia="宋体" w:cs="Times New Roman"/>
                <w:color w:val="auto"/>
                <w:kern w:val="21"/>
                <w:szCs w:val="21"/>
                <w:highlight w:val="none"/>
                <w:u w:val="none" w:color="auto"/>
              </w:rPr>
            </w:pPr>
            <w:r>
              <w:rPr>
                <w:rFonts w:hint="default" w:ascii="Times New Roman" w:hAnsi="Times New Roman" w:eastAsia="宋体" w:cs="Times New Roman"/>
                <w:color w:val="auto"/>
                <w:kern w:val="21"/>
                <w:szCs w:val="21"/>
                <w:highlight w:val="none"/>
                <w:u w:val="none" w:color="auto"/>
              </w:rPr>
              <w:t>天然气</w:t>
            </w:r>
          </w:p>
        </w:tc>
        <w:tc>
          <w:tcPr>
            <w:tcW w:w="1625" w:type="dxa"/>
            <w:tcBorders>
              <w:tl2br w:val="nil"/>
              <w:tr2bl w:val="nil"/>
            </w:tcBorders>
            <w:noWrap w:val="0"/>
            <w:vAlign w:val="center"/>
          </w:tcPr>
          <w:p w14:paraId="21F048D7">
            <w:pPr>
              <w:widowControl/>
              <w:topLinePunct w:val="0"/>
              <w:bidi w:val="0"/>
              <w:adjustRightInd/>
              <w:snapToGrid/>
              <w:jc w:val="center"/>
              <w:rPr>
                <w:rFonts w:hint="default" w:ascii="Times New Roman" w:hAnsi="Times New Roman" w:eastAsia="宋体" w:cs="Times New Roman"/>
                <w:b/>
                <w:bCs/>
                <w:color w:val="auto"/>
                <w:kern w:val="21"/>
                <w:szCs w:val="21"/>
                <w:highlight w:val="none"/>
                <w:u w:val="none" w:color="auto"/>
              </w:rPr>
            </w:pPr>
            <w:r>
              <w:rPr>
                <w:rFonts w:hint="default" w:ascii="Times New Roman" w:hAnsi="Times New Roman" w:eastAsia="宋体" w:cs="Times New Roman"/>
                <w:color w:val="auto"/>
                <w:szCs w:val="21"/>
                <w:highlight w:val="none"/>
                <w:u w:val="none" w:color="auto"/>
              </w:rPr>
              <w:t>泄漏、爆炸</w:t>
            </w:r>
          </w:p>
        </w:tc>
        <w:tc>
          <w:tcPr>
            <w:tcW w:w="2643" w:type="dxa"/>
            <w:tcBorders>
              <w:tl2br w:val="nil"/>
              <w:tr2bl w:val="nil"/>
            </w:tcBorders>
            <w:noWrap w:val="0"/>
            <w:vAlign w:val="center"/>
          </w:tcPr>
          <w:p w14:paraId="7170577B">
            <w:pPr>
              <w:topLinePunct w:val="0"/>
              <w:bidi w:val="0"/>
              <w:adjustRightInd/>
              <w:snapToGrid/>
              <w:jc w:val="center"/>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rPr>
              <w:t>操作不当、设备老化等</w:t>
            </w:r>
          </w:p>
        </w:tc>
      </w:tr>
      <w:tr w14:paraId="0B1DB90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1369" w:type="dxa"/>
            <w:tcBorders>
              <w:tl2br w:val="nil"/>
              <w:tr2bl w:val="nil"/>
            </w:tcBorders>
            <w:noWrap w:val="0"/>
            <w:vAlign w:val="center"/>
          </w:tcPr>
          <w:p w14:paraId="561891F6">
            <w:pPr>
              <w:topLinePunct w:val="0"/>
              <w:bidi w:val="0"/>
              <w:adjustRightInd/>
              <w:snapToGrid/>
              <w:jc w:val="center"/>
              <w:rPr>
                <w:rFonts w:hint="default" w:ascii="Times New Roman" w:hAnsi="Times New Roman" w:eastAsia="宋体" w:cs="Times New Roman"/>
                <w:color w:val="auto"/>
                <w:kern w:val="21"/>
                <w:szCs w:val="21"/>
                <w:highlight w:val="none"/>
                <w:u w:val="none" w:color="auto"/>
                <w:lang w:eastAsia="zh-CN"/>
              </w:rPr>
            </w:pPr>
            <w:r>
              <w:rPr>
                <w:rFonts w:hint="default" w:ascii="Times New Roman" w:hAnsi="Times New Roman" w:eastAsia="宋体" w:cs="Times New Roman"/>
                <w:color w:val="auto"/>
                <w:kern w:val="21"/>
                <w:szCs w:val="21"/>
                <w:highlight w:val="none"/>
                <w:u w:val="none" w:color="auto"/>
                <w:lang w:eastAsia="zh-CN"/>
              </w:rPr>
              <w:t>废气处理设施</w:t>
            </w:r>
          </w:p>
        </w:tc>
        <w:tc>
          <w:tcPr>
            <w:tcW w:w="1680" w:type="dxa"/>
            <w:tcBorders>
              <w:tl2br w:val="nil"/>
              <w:tr2bl w:val="nil"/>
            </w:tcBorders>
            <w:noWrap w:val="0"/>
            <w:vAlign w:val="center"/>
          </w:tcPr>
          <w:p w14:paraId="41600002">
            <w:pPr>
              <w:topLinePunct w:val="0"/>
              <w:bidi w:val="0"/>
              <w:adjustRightInd/>
              <w:snapToGrid/>
              <w:jc w:val="center"/>
              <w:rPr>
                <w:rFonts w:hint="default" w:ascii="Times New Roman" w:hAnsi="Times New Roman" w:eastAsia="宋体" w:cs="Times New Roman"/>
                <w:color w:val="auto"/>
                <w:kern w:val="21"/>
                <w:szCs w:val="21"/>
                <w:highlight w:val="none"/>
                <w:u w:val="none" w:color="auto"/>
              </w:rPr>
            </w:pPr>
            <w:r>
              <w:rPr>
                <w:rFonts w:hint="default" w:ascii="Times New Roman" w:hAnsi="Times New Roman" w:eastAsia="宋体" w:cs="Times New Roman"/>
                <w:color w:val="auto"/>
                <w:kern w:val="21"/>
                <w:szCs w:val="21"/>
                <w:highlight w:val="none"/>
                <w:u w:val="none" w:color="auto"/>
              </w:rPr>
              <w:t>生产车间</w:t>
            </w:r>
          </w:p>
        </w:tc>
        <w:tc>
          <w:tcPr>
            <w:tcW w:w="1625" w:type="dxa"/>
            <w:tcBorders>
              <w:tl2br w:val="nil"/>
              <w:tr2bl w:val="nil"/>
            </w:tcBorders>
            <w:noWrap w:val="0"/>
            <w:vAlign w:val="center"/>
          </w:tcPr>
          <w:p w14:paraId="672C1F9B">
            <w:pPr>
              <w:topLinePunct w:val="0"/>
              <w:bidi w:val="0"/>
              <w:adjustRightInd/>
              <w:snapToGrid/>
              <w:jc w:val="center"/>
              <w:rPr>
                <w:rFonts w:hint="default" w:ascii="Times New Roman" w:hAnsi="Times New Roman" w:eastAsia="宋体" w:cs="Times New Roman"/>
                <w:color w:val="auto"/>
                <w:kern w:val="21"/>
                <w:szCs w:val="21"/>
                <w:highlight w:val="none"/>
                <w:u w:val="none" w:color="auto"/>
                <w:lang w:eastAsia="zh-CN"/>
              </w:rPr>
            </w:pPr>
            <w:r>
              <w:rPr>
                <w:rFonts w:hint="default" w:ascii="Times New Roman" w:hAnsi="Times New Roman" w:eastAsia="宋体" w:cs="Times New Roman"/>
                <w:color w:val="auto"/>
                <w:kern w:val="21"/>
                <w:szCs w:val="21"/>
                <w:highlight w:val="none"/>
                <w:u w:val="none" w:color="auto"/>
              </w:rPr>
              <w:t>粉尘</w:t>
            </w:r>
            <w:r>
              <w:rPr>
                <w:rFonts w:hint="default" w:ascii="Times New Roman" w:hAnsi="Times New Roman" w:eastAsia="宋体" w:cs="Times New Roman"/>
                <w:color w:val="auto"/>
                <w:kern w:val="21"/>
                <w:szCs w:val="21"/>
                <w:highlight w:val="none"/>
                <w:u w:val="none" w:color="auto"/>
                <w:lang w:eastAsia="zh-CN"/>
              </w:rPr>
              <w:t>、</w:t>
            </w:r>
            <w:r>
              <w:rPr>
                <w:rFonts w:hint="default" w:ascii="Times New Roman" w:hAnsi="Times New Roman" w:eastAsia="宋体" w:cs="Times New Roman"/>
                <w:color w:val="auto"/>
                <w:kern w:val="21"/>
                <w:szCs w:val="21"/>
                <w:highlight w:val="none"/>
                <w:u w:val="none" w:color="auto"/>
                <w:lang w:val="en-US" w:eastAsia="zh-CN"/>
              </w:rPr>
              <w:t>二氧化硫、氮氧化物</w:t>
            </w:r>
            <w:r>
              <w:rPr>
                <w:rFonts w:hint="default" w:ascii="Times New Roman" w:hAnsi="Times New Roman" w:eastAsia="宋体" w:cs="Times New Roman"/>
                <w:color w:val="auto"/>
                <w:kern w:val="21"/>
                <w:szCs w:val="21"/>
                <w:highlight w:val="none"/>
                <w:u w:val="none" w:color="auto"/>
                <w:lang w:eastAsia="zh-CN"/>
              </w:rPr>
              <w:t>等</w:t>
            </w:r>
          </w:p>
        </w:tc>
        <w:tc>
          <w:tcPr>
            <w:tcW w:w="1625" w:type="dxa"/>
            <w:tcBorders>
              <w:tl2br w:val="nil"/>
              <w:tr2bl w:val="nil"/>
            </w:tcBorders>
            <w:noWrap w:val="0"/>
            <w:vAlign w:val="center"/>
          </w:tcPr>
          <w:p w14:paraId="44DC2176">
            <w:pPr>
              <w:topLinePunct w:val="0"/>
              <w:bidi w:val="0"/>
              <w:adjustRightInd/>
              <w:snapToGrid/>
              <w:jc w:val="center"/>
              <w:rPr>
                <w:rFonts w:hint="default" w:ascii="Times New Roman" w:hAnsi="Times New Roman" w:eastAsia="宋体" w:cs="Times New Roman"/>
                <w:color w:val="auto"/>
                <w:kern w:val="21"/>
                <w:szCs w:val="21"/>
                <w:highlight w:val="none"/>
                <w:u w:val="none" w:color="auto"/>
              </w:rPr>
            </w:pPr>
            <w:r>
              <w:rPr>
                <w:rFonts w:hint="default" w:ascii="Times New Roman" w:hAnsi="Times New Roman" w:eastAsia="宋体" w:cs="Times New Roman"/>
                <w:color w:val="auto"/>
                <w:kern w:val="21"/>
                <w:szCs w:val="21"/>
                <w:highlight w:val="none"/>
                <w:u w:val="none" w:color="auto"/>
              </w:rPr>
              <w:t>事故排放</w:t>
            </w:r>
          </w:p>
        </w:tc>
        <w:tc>
          <w:tcPr>
            <w:tcW w:w="2643" w:type="dxa"/>
            <w:tcBorders>
              <w:tl2br w:val="nil"/>
              <w:tr2bl w:val="nil"/>
            </w:tcBorders>
            <w:noWrap w:val="0"/>
            <w:vAlign w:val="center"/>
          </w:tcPr>
          <w:p w14:paraId="27D737D5">
            <w:pPr>
              <w:topLinePunct w:val="0"/>
              <w:bidi w:val="0"/>
              <w:adjustRightInd/>
              <w:snapToGrid/>
              <w:jc w:val="center"/>
              <w:rPr>
                <w:rFonts w:hint="default" w:ascii="Times New Roman" w:hAnsi="Times New Roman" w:eastAsia="宋体" w:cs="Times New Roman"/>
                <w:color w:val="auto"/>
                <w:kern w:val="21"/>
                <w:szCs w:val="21"/>
                <w:highlight w:val="none"/>
                <w:u w:val="none" w:color="auto"/>
                <w:lang w:eastAsia="zh-CN"/>
              </w:rPr>
            </w:pPr>
            <w:r>
              <w:rPr>
                <w:rFonts w:hint="default" w:ascii="Times New Roman" w:hAnsi="Times New Roman" w:eastAsia="宋体" w:cs="Times New Roman"/>
                <w:color w:val="auto"/>
                <w:kern w:val="21"/>
                <w:szCs w:val="21"/>
                <w:highlight w:val="none"/>
                <w:u w:val="none" w:color="auto"/>
                <w:lang w:eastAsia="zh-CN"/>
              </w:rPr>
              <w:t>废气处理设施完全失效</w:t>
            </w:r>
          </w:p>
        </w:tc>
      </w:tr>
      <w:tr w14:paraId="1A6A39F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1369" w:type="dxa"/>
            <w:tcBorders>
              <w:tl2br w:val="nil"/>
              <w:tr2bl w:val="nil"/>
            </w:tcBorders>
            <w:noWrap w:val="0"/>
            <w:vAlign w:val="center"/>
          </w:tcPr>
          <w:p w14:paraId="1291A8DF">
            <w:pPr>
              <w:topLinePunct w:val="0"/>
              <w:bidi w:val="0"/>
              <w:adjustRightInd/>
              <w:snapToGrid/>
              <w:jc w:val="center"/>
              <w:rPr>
                <w:rFonts w:hint="default" w:ascii="Times New Roman" w:hAnsi="Times New Roman" w:eastAsia="宋体" w:cs="Times New Roman"/>
                <w:color w:val="auto"/>
                <w:kern w:val="21"/>
                <w:szCs w:val="21"/>
                <w:highlight w:val="none"/>
                <w:u w:val="none" w:color="auto"/>
                <w:lang w:val="en-US" w:eastAsia="zh-CN"/>
              </w:rPr>
            </w:pPr>
            <w:r>
              <w:rPr>
                <w:rFonts w:hint="default" w:ascii="Times New Roman" w:hAnsi="Times New Roman" w:eastAsia="宋体" w:cs="Times New Roman"/>
                <w:color w:val="auto"/>
                <w:kern w:val="21"/>
                <w:szCs w:val="21"/>
                <w:highlight w:val="none"/>
                <w:u w:val="none" w:color="auto"/>
                <w:lang w:val="en-US" w:eastAsia="zh-CN"/>
              </w:rPr>
              <w:t>仓库</w:t>
            </w:r>
          </w:p>
        </w:tc>
        <w:tc>
          <w:tcPr>
            <w:tcW w:w="1680" w:type="dxa"/>
            <w:tcBorders>
              <w:tl2br w:val="nil"/>
              <w:tr2bl w:val="nil"/>
            </w:tcBorders>
            <w:noWrap w:val="0"/>
            <w:vAlign w:val="center"/>
          </w:tcPr>
          <w:p w14:paraId="5B98EDF7">
            <w:pPr>
              <w:topLinePunct w:val="0"/>
              <w:bidi w:val="0"/>
              <w:adjustRightInd/>
              <w:snapToGrid/>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Cs w:val="21"/>
                <w:highlight w:val="none"/>
                <w:u w:val="none" w:color="auto"/>
                <w:lang w:val="en-US" w:eastAsia="zh-CN"/>
              </w:rPr>
              <w:t>物料贮存区</w:t>
            </w:r>
          </w:p>
        </w:tc>
        <w:tc>
          <w:tcPr>
            <w:tcW w:w="1625" w:type="dxa"/>
            <w:tcBorders>
              <w:tl2br w:val="nil"/>
              <w:tr2bl w:val="nil"/>
            </w:tcBorders>
            <w:noWrap w:val="0"/>
            <w:vAlign w:val="center"/>
          </w:tcPr>
          <w:p w14:paraId="7E0CE4DC">
            <w:pPr>
              <w:topLinePunct w:val="0"/>
              <w:bidi w:val="0"/>
              <w:adjustRightInd/>
              <w:snapToGrid/>
              <w:jc w:val="center"/>
              <w:rPr>
                <w:rFonts w:hint="default" w:ascii="Times New Roman" w:hAnsi="Times New Roman" w:eastAsia="宋体" w:cs="Times New Roman"/>
                <w:color w:val="auto"/>
                <w:kern w:val="21"/>
                <w:sz w:val="21"/>
                <w:szCs w:val="21"/>
                <w:highlight w:val="none"/>
                <w:u w:val="none" w:color="auto"/>
                <w:lang w:val="en-US" w:eastAsia="zh-CN" w:bidi="ar-SA"/>
              </w:rPr>
            </w:pPr>
            <w:r>
              <w:rPr>
                <w:rFonts w:hint="default" w:ascii="Times New Roman" w:hAnsi="Times New Roman" w:eastAsia="宋体" w:cs="Times New Roman"/>
                <w:color w:val="auto"/>
                <w:szCs w:val="21"/>
                <w:highlight w:val="none"/>
                <w:u w:val="none" w:color="auto"/>
              </w:rPr>
              <w:t>润滑油、液压油、乳液</w:t>
            </w:r>
            <w:r>
              <w:rPr>
                <w:rFonts w:hint="default" w:ascii="Times New Roman" w:hAnsi="Times New Roman" w:eastAsia="宋体" w:cs="Times New Roman"/>
                <w:color w:val="auto"/>
                <w:kern w:val="21"/>
                <w:szCs w:val="21"/>
                <w:highlight w:val="none"/>
                <w:u w:val="none" w:color="auto"/>
                <w:lang w:eastAsia="zh-CN"/>
              </w:rPr>
              <w:t>、</w:t>
            </w:r>
            <w:r>
              <w:rPr>
                <w:rFonts w:hint="default" w:ascii="Times New Roman" w:hAnsi="Times New Roman" w:eastAsia="宋体" w:cs="Times New Roman"/>
                <w:color w:val="auto"/>
                <w:kern w:val="21"/>
                <w:szCs w:val="21"/>
                <w:highlight w:val="none"/>
                <w:u w:val="none" w:color="auto"/>
                <w:lang w:val="en-US" w:eastAsia="zh-CN"/>
              </w:rPr>
              <w:t>脱模剂等</w:t>
            </w:r>
          </w:p>
        </w:tc>
        <w:tc>
          <w:tcPr>
            <w:tcW w:w="1625" w:type="dxa"/>
            <w:tcBorders>
              <w:tl2br w:val="nil"/>
              <w:tr2bl w:val="nil"/>
            </w:tcBorders>
            <w:noWrap w:val="0"/>
            <w:vAlign w:val="center"/>
          </w:tcPr>
          <w:p w14:paraId="248B0760">
            <w:pPr>
              <w:topLinePunct w:val="0"/>
              <w:bidi w:val="0"/>
              <w:adjustRightInd/>
              <w:snapToGrid/>
              <w:jc w:val="center"/>
              <w:rPr>
                <w:rFonts w:hint="default" w:ascii="Times New Roman" w:hAnsi="Times New Roman" w:eastAsia="宋体" w:cs="Times New Roman"/>
                <w:color w:val="auto"/>
                <w:kern w:val="21"/>
                <w:szCs w:val="21"/>
                <w:highlight w:val="none"/>
                <w:u w:val="none" w:color="auto"/>
                <w:lang w:val="en-US" w:eastAsia="zh-CN"/>
              </w:rPr>
            </w:pPr>
            <w:r>
              <w:rPr>
                <w:rFonts w:hint="default" w:ascii="Times New Roman" w:hAnsi="Times New Roman" w:eastAsia="宋体" w:cs="Times New Roman"/>
                <w:color w:val="auto"/>
                <w:kern w:val="21"/>
                <w:szCs w:val="21"/>
                <w:highlight w:val="none"/>
                <w:u w:val="none" w:color="auto"/>
                <w:lang w:val="en-US" w:eastAsia="zh-CN"/>
              </w:rPr>
              <w:t>泄漏</w:t>
            </w:r>
          </w:p>
        </w:tc>
        <w:tc>
          <w:tcPr>
            <w:tcW w:w="2643" w:type="dxa"/>
            <w:tcBorders>
              <w:tl2br w:val="nil"/>
              <w:tr2bl w:val="nil"/>
            </w:tcBorders>
            <w:noWrap w:val="0"/>
            <w:vAlign w:val="center"/>
          </w:tcPr>
          <w:p w14:paraId="06711CC9">
            <w:pPr>
              <w:topLinePunct w:val="0"/>
              <w:bidi w:val="0"/>
              <w:adjustRightInd/>
              <w:snapToGrid/>
              <w:jc w:val="center"/>
              <w:rPr>
                <w:rFonts w:hint="default" w:ascii="Times New Roman" w:hAnsi="Times New Roman" w:eastAsia="宋体" w:cs="Times New Roman"/>
                <w:color w:val="auto"/>
                <w:kern w:val="21"/>
                <w:szCs w:val="21"/>
                <w:highlight w:val="none"/>
                <w:u w:val="none" w:color="auto"/>
                <w:lang w:val="en-US" w:eastAsia="zh-CN"/>
              </w:rPr>
            </w:pPr>
            <w:r>
              <w:rPr>
                <w:rFonts w:hint="default" w:ascii="Times New Roman" w:hAnsi="Times New Roman" w:eastAsia="宋体" w:cs="Times New Roman"/>
                <w:color w:val="auto"/>
                <w:kern w:val="21"/>
                <w:szCs w:val="21"/>
                <w:highlight w:val="none"/>
                <w:u w:val="none" w:color="auto"/>
                <w:lang w:val="en-US" w:eastAsia="zh-CN"/>
              </w:rPr>
              <w:t>包装袋破损导致遗散进入环境</w:t>
            </w:r>
          </w:p>
        </w:tc>
      </w:tr>
      <w:tr w14:paraId="4F3012D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1369" w:type="dxa"/>
            <w:tcBorders>
              <w:tl2br w:val="nil"/>
              <w:tr2bl w:val="nil"/>
            </w:tcBorders>
            <w:noWrap w:val="0"/>
            <w:vAlign w:val="center"/>
          </w:tcPr>
          <w:p w14:paraId="56F0A6A4">
            <w:pPr>
              <w:topLinePunct w:val="0"/>
              <w:bidi w:val="0"/>
              <w:adjustRightInd/>
              <w:snapToGrid/>
              <w:jc w:val="center"/>
              <w:rPr>
                <w:rFonts w:hint="default" w:ascii="Times New Roman" w:hAnsi="Times New Roman" w:eastAsia="宋体" w:cs="Times New Roman"/>
                <w:color w:val="auto"/>
                <w:kern w:val="21"/>
                <w:szCs w:val="21"/>
                <w:highlight w:val="none"/>
                <w:u w:val="none" w:color="auto"/>
              </w:rPr>
            </w:pPr>
            <w:r>
              <w:rPr>
                <w:rFonts w:hint="default" w:ascii="Times New Roman" w:hAnsi="Times New Roman" w:eastAsia="宋体" w:cs="Times New Roman"/>
                <w:color w:val="auto"/>
                <w:kern w:val="21"/>
                <w:szCs w:val="21"/>
                <w:highlight w:val="none"/>
                <w:u w:val="none" w:color="auto"/>
              </w:rPr>
              <w:t>废水处理站</w:t>
            </w:r>
          </w:p>
        </w:tc>
        <w:tc>
          <w:tcPr>
            <w:tcW w:w="1680" w:type="dxa"/>
            <w:tcBorders>
              <w:tl2br w:val="nil"/>
              <w:tr2bl w:val="nil"/>
            </w:tcBorders>
            <w:noWrap w:val="0"/>
            <w:vAlign w:val="center"/>
          </w:tcPr>
          <w:p w14:paraId="1416A6A2">
            <w:pPr>
              <w:topLinePunct w:val="0"/>
              <w:bidi w:val="0"/>
              <w:adjustRightInd/>
              <w:snapToGrid/>
              <w:jc w:val="center"/>
              <w:rPr>
                <w:rFonts w:hint="default" w:ascii="Times New Roman" w:hAnsi="Times New Roman" w:eastAsia="宋体" w:cs="Times New Roman"/>
                <w:color w:val="auto"/>
                <w:kern w:val="21"/>
                <w:szCs w:val="21"/>
                <w:highlight w:val="none"/>
                <w:u w:val="none" w:color="auto"/>
                <w:lang w:val="en-US" w:eastAsia="zh-CN"/>
              </w:rPr>
            </w:pPr>
            <w:r>
              <w:rPr>
                <w:rFonts w:hint="default" w:ascii="Times New Roman" w:hAnsi="Times New Roman" w:eastAsia="宋体" w:cs="Times New Roman"/>
                <w:color w:val="auto"/>
                <w:kern w:val="21"/>
                <w:szCs w:val="21"/>
                <w:highlight w:val="none"/>
                <w:u w:val="none" w:color="auto"/>
                <w:lang w:val="en-US" w:eastAsia="zh-CN"/>
              </w:rPr>
              <w:t>池体、试剂罐体</w:t>
            </w:r>
          </w:p>
        </w:tc>
        <w:tc>
          <w:tcPr>
            <w:tcW w:w="1625" w:type="dxa"/>
            <w:tcBorders>
              <w:tl2br w:val="nil"/>
              <w:tr2bl w:val="nil"/>
            </w:tcBorders>
            <w:noWrap w:val="0"/>
            <w:vAlign w:val="center"/>
          </w:tcPr>
          <w:p w14:paraId="0ABE0A35">
            <w:pPr>
              <w:topLinePunct w:val="0"/>
              <w:bidi w:val="0"/>
              <w:adjustRightInd/>
              <w:snapToGrid/>
              <w:jc w:val="center"/>
              <w:rPr>
                <w:rFonts w:hint="default" w:ascii="Times New Roman" w:hAnsi="Times New Roman" w:eastAsia="宋体" w:cs="Times New Roman"/>
                <w:color w:val="auto"/>
                <w:kern w:val="21"/>
                <w:szCs w:val="21"/>
                <w:highlight w:val="none"/>
                <w:u w:val="none" w:color="auto"/>
                <w:lang w:val="en-US" w:eastAsia="zh-CN"/>
              </w:rPr>
            </w:pPr>
            <w:r>
              <w:rPr>
                <w:rFonts w:hint="default" w:ascii="Times New Roman" w:hAnsi="Times New Roman" w:eastAsia="宋体" w:cs="Times New Roman"/>
                <w:color w:val="auto"/>
                <w:kern w:val="21"/>
                <w:szCs w:val="21"/>
                <w:highlight w:val="none"/>
                <w:u w:val="none" w:color="auto"/>
              </w:rPr>
              <w:t>生产废水</w:t>
            </w:r>
            <w:r>
              <w:rPr>
                <w:rFonts w:hint="default" w:ascii="Times New Roman" w:hAnsi="Times New Roman" w:eastAsia="宋体" w:cs="Times New Roman"/>
                <w:color w:val="auto"/>
                <w:kern w:val="21"/>
                <w:szCs w:val="21"/>
                <w:highlight w:val="none"/>
                <w:u w:val="none" w:color="auto"/>
                <w:lang w:val="en-US" w:eastAsia="zh-CN"/>
              </w:rPr>
              <w:t>及废水处理试剂</w:t>
            </w:r>
          </w:p>
        </w:tc>
        <w:tc>
          <w:tcPr>
            <w:tcW w:w="1625" w:type="dxa"/>
            <w:tcBorders>
              <w:tl2br w:val="nil"/>
              <w:tr2bl w:val="nil"/>
            </w:tcBorders>
            <w:noWrap w:val="0"/>
            <w:vAlign w:val="center"/>
          </w:tcPr>
          <w:p w14:paraId="0C6A01C8">
            <w:pPr>
              <w:topLinePunct w:val="0"/>
              <w:bidi w:val="0"/>
              <w:adjustRightInd/>
              <w:snapToGrid/>
              <w:jc w:val="center"/>
              <w:rPr>
                <w:rFonts w:hint="default" w:ascii="Times New Roman" w:hAnsi="Times New Roman" w:eastAsia="宋体" w:cs="Times New Roman"/>
                <w:color w:val="auto"/>
                <w:kern w:val="21"/>
                <w:szCs w:val="21"/>
                <w:highlight w:val="none"/>
                <w:u w:val="none" w:color="auto"/>
              </w:rPr>
            </w:pPr>
            <w:r>
              <w:rPr>
                <w:rFonts w:hint="default" w:ascii="Times New Roman" w:hAnsi="Times New Roman" w:eastAsia="宋体" w:cs="Times New Roman"/>
                <w:color w:val="auto"/>
                <w:kern w:val="21"/>
                <w:szCs w:val="21"/>
                <w:highlight w:val="none"/>
                <w:u w:val="none" w:color="auto"/>
              </w:rPr>
              <w:t>事故排放</w:t>
            </w:r>
          </w:p>
        </w:tc>
        <w:tc>
          <w:tcPr>
            <w:tcW w:w="2643" w:type="dxa"/>
            <w:tcBorders>
              <w:tl2br w:val="nil"/>
              <w:tr2bl w:val="nil"/>
            </w:tcBorders>
            <w:noWrap w:val="0"/>
            <w:vAlign w:val="center"/>
          </w:tcPr>
          <w:p w14:paraId="519D8515">
            <w:pPr>
              <w:topLinePunct w:val="0"/>
              <w:bidi w:val="0"/>
              <w:adjustRightInd/>
              <w:snapToGrid/>
              <w:jc w:val="center"/>
              <w:rPr>
                <w:rFonts w:hint="default" w:ascii="Times New Roman" w:hAnsi="Times New Roman" w:eastAsia="宋体" w:cs="Times New Roman"/>
                <w:color w:val="auto"/>
                <w:kern w:val="21"/>
                <w:szCs w:val="21"/>
                <w:highlight w:val="none"/>
                <w:u w:val="none" w:color="auto"/>
              </w:rPr>
            </w:pPr>
            <w:r>
              <w:rPr>
                <w:rFonts w:hint="default" w:ascii="Times New Roman" w:hAnsi="Times New Roman" w:eastAsia="宋体" w:cs="Times New Roman"/>
                <w:color w:val="auto"/>
                <w:szCs w:val="21"/>
                <w:highlight w:val="none"/>
                <w:u w:val="none" w:color="auto"/>
              </w:rPr>
              <w:t>项目生产废水未经预处理直接进入园区污水管进入污水处理厂</w:t>
            </w:r>
            <w:r>
              <w:rPr>
                <w:rFonts w:hint="default" w:ascii="Times New Roman" w:hAnsi="Times New Roman" w:eastAsia="宋体" w:cs="Times New Roman"/>
                <w:color w:val="auto"/>
                <w:szCs w:val="21"/>
                <w:highlight w:val="none"/>
                <w:u w:val="none" w:color="auto"/>
                <w:lang w:eastAsia="zh-CN"/>
              </w:rPr>
              <w:t>，</w:t>
            </w:r>
            <w:r>
              <w:rPr>
                <w:rFonts w:hint="default" w:ascii="Times New Roman" w:hAnsi="Times New Roman" w:eastAsia="宋体" w:cs="Times New Roman"/>
                <w:color w:val="auto"/>
                <w:szCs w:val="21"/>
                <w:highlight w:val="none"/>
                <w:u w:val="none" w:color="auto"/>
              </w:rPr>
              <w:t>导致超标排放</w:t>
            </w:r>
          </w:p>
        </w:tc>
      </w:tr>
      <w:tr w14:paraId="239630E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1369" w:type="dxa"/>
            <w:vMerge w:val="restart"/>
            <w:tcBorders>
              <w:tl2br w:val="nil"/>
              <w:tr2bl w:val="nil"/>
            </w:tcBorders>
            <w:noWrap w:val="0"/>
            <w:vAlign w:val="center"/>
          </w:tcPr>
          <w:p w14:paraId="2FAFF733">
            <w:pPr>
              <w:topLinePunct w:val="0"/>
              <w:bidi w:val="0"/>
              <w:adjustRightInd/>
              <w:snapToGrid/>
              <w:jc w:val="center"/>
              <w:rPr>
                <w:rFonts w:hint="default" w:ascii="Times New Roman" w:hAnsi="Times New Roman" w:eastAsia="宋体" w:cs="Times New Roman"/>
                <w:color w:val="auto"/>
                <w:kern w:val="21"/>
                <w:sz w:val="21"/>
                <w:szCs w:val="21"/>
                <w:highlight w:val="none"/>
                <w:u w:val="none" w:color="auto"/>
                <w:lang w:val="en-US" w:eastAsia="zh-CN" w:bidi="ar-SA"/>
              </w:rPr>
            </w:pPr>
            <w:r>
              <w:rPr>
                <w:rFonts w:hint="default" w:ascii="Times New Roman" w:hAnsi="Times New Roman" w:eastAsia="宋体" w:cs="Times New Roman"/>
                <w:color w:val="auto"/>
                <w:kern w:val="21"/>
                <w:szCs w:val="21"/>
                <w:highlight w:val="none"/>
                <w:u w:val="none" w:color="auto"/>
              </w:rPr>
              <w:t>危废暂存</w:t>
            </w:r>
            <w:r>
              <w:rPr>
                <w:rFonts w:hint="default" w:ascii="Times New Roman" w:hAnsi="Times New Roman" w:eastAsia="宋体" w:cs="Times New Roman"/>
                <w:color w:val="auto"/>
                <w:kern w:val="21"/>
                <w:szCs w:val="21"/>
                <w:highlight w:val="none"/>
                <w:u w:val="none" w:color="auto"/>
                <w:lang w:val="en-US" w:eastAsia="zh-CN"/>
              </w:rPr>
              <w:t>库</w:t>
            </w:r>
          </w:p>
        </w:tc>
        <w:tc>
          <w:tcPr>
            <w:tcW w:w="1680" w:type="dxa"/>
            <w:tcBorders>
              <w:tl2br w:val="nil"/>
              <w:tr2bl w:val="nil"/>
            </w:tcBorders>
            <w:noWrap w:val="0"/>
            <w:vAlign w:val="center"/>
          </w:tcPr>
          <w:p w14:paraId="2E8A5974">
            <w:pPr>
              <w:topLinePunct w:val="0"/>
              <w:bidi w:val="0"/>
              <w:adjustRightInd/>
              <w:snapToGrid/>
              <w:jc w:val="center"/>
              <w:rPr>
                <w:rFonts w:hint="default" w:ascii="Times New Roman" w:hAnsi="Times New Roman" w:eastAsia="宋体" w:cs="Times New Roman"/>
                <w:color w:val="auto"/>
                <w:kern w:val="21"/>
                <w:szCs w:val="21"/>
                <w:highlight w:val="none"/>
                <w:u w:val="none" w:color="auto"/>
                <w:lang w:val="en-US" w:eastAsia="zh-CN"/>
              </w:rPr>
            </w:pPr>
            <w:r>
              <w:rPr>
                <w:rFonts w:hint="default" w:ascii="Times New Roman" w:hAnsi="Times New Roman" w:eastAsia="宋体" w:cs="Times New Roman"/>
                <w:color w:val="auto"/>
                <w:kern w:val="21"/>
                <w:szCs w:val="21"/>
                <w:highlight w:val="none"/>
                <w:u w:val="none" w:color="auto"/>
                <w:lang w:val="en-US" w:eastAsia="zh-CN"/>
              </w:rPr>
              <w:t>TS001</w:t>
            </w:r>
            <w:r>
              <w:rPr>
                <w:rFonts w:hint="default" w:ascii="Times New Roman" w:hAnsi="Times New Roman" w:eastAsia="宋体" w:cs="Times New Roman"/>
                <w:color w:val="auto"/>
                <w:kern w:val="21"/>
                <w:szCs w:val="21"/>
                <w:highlight w:val="none"/>
                <w:u w:val="none" w:color="auto"/>
              </w:rPr>
              <w:t>危废暂存</w:t>
            </w:r>
            <w:r>
              <w:rPr>
                <w:rFonts w:hint="default" w:ascii="Times New Roman" w:hAnsi="Times New Roman" w:eastAsia="宋体" w:cs="Times New Roman"/>
                <w:color w:val="auto"/>
                <w:kern w:val="21"/>
                <w:szCs w:val="21"/>
                <w:highlight w:val="none"/>
                <w:u w:val="none" w:color="auto"/>
                <w:lang w:val="en-US" w:eastAsia="zh-CN"/>
              </w:rPr>
              <w:t>间</w:t>
            </w:r>
          </w:p>
        </w:tc>
        <w:tc>
          <w:tcPr>
            <w:tcW w:w="1625" w:type="dxa"/>
            <w:tcBorders>
              <w:tl2br w:val="nil"/>
              <w:tr2bl w:val="nil"/>
            </w:tcBorders>
            <w:noWrap w:val="0"/>
            <w:vAlign w:val="center"/>
          </w:tcPr>
          <w:p w14:paraId="0DBA080A">
            <w:pPr>
              <w:topLinePunct w:val="0"/>
              <w:bidi w:val="0"/>
              <w:adjustRightInd/>
              <w:snapToGrid/>
              <w:jc w:val="center"/>
              <w:rPr>
                <w:rFonts w:hint="default" w:ascii="Times New Roman" w:hAnsi="Times New Roman" w:eastAsia="宋体" w:cs="Times New Roman"/>
                <w:color w:val="auto"/>
                <w:kern w:val="21"/>
                <w:szCs w:val="21"/>
                <w:highlight w:val="none"/>
                <w:u w:val="none" w:color="auto"/>
                <w:lang w:val="en-US" w:eastAsia="zh-CN"/>
              </w:rPr>
            </w:pPr>
            <w:r>
              <w:rPr>
                <w:rFonts w:hint="default" w:ascii="Times New Roman" w:hAnsi="Times New Roman" w:eastAsia="宋体" w:cs="Times New Roman"/>
                <w:color w:val="auto"/>
                <w:kern w:val="21"/>
                <w:szCs w:val="21"/>
                <w:highlight w:val="none"/>
                <w:u w:val="none" w:color="auto"/>
              </w:rPr>
              <w:t>实验室废液</w:t>
            </w:r>
            <w:r>
              <w:rPr>
                <w:rFonts w:hint="default" w:ascii="Times New Roman" w:hAnsi="Times New Roman" w:eastAsia="宋体" w:cs="Times New Roman"/>
                <w:color w:val="auto"/>
                <w:kern w:val="21"/>
                <w:szCs w:val="21"/>
                <w:highlight w:val="none"/>
                <w:u w:val="none" w:color="auto"/>
                <w:lang w:val="en-US" w:eastAsia="zh-CN"/>
              </w:rPr>
              <w:t>等</w:t>
            </w:r>
          </w:p>
        </w:tc>
        <w:tc>
          <w:tcPr>
            <w:tcW w:w="1625" w:type="dxa"/>
            <w:vMerge w:val="restart"/>
            <w:tcBorders>
              <w:tl2br w:val="nil"/>
              <w:tr2bl w:val="nil"/>
            </w:tcBorders>
            <w:noWrap w:val="0"/>
            <w:vAlign w:val="center"/>
          </w:tcPr>
          <w:p w14:paraId="29FEB900">
            <w:pPr>
              <w:topLinePunct w:val="0"/>
              <w:bidi w:val="0"/>
              <w:adjustRightInd/>
              <w:snapToGrid/>
              <w:jc w:val="center"/>
              <w:rPr>
                <w:rFonts w:hint="default" w:ascii="Times New Roman" w:hAnsi="Times New Roman" w:eastAsia="宋体" w:cs="Times New Roman"/>
                <w:color w:val="auto"/>
                <w:kern w:val="21"/>
                <w:szCs w:val="21"/>
                <w:highlight w:val="none"/>
                <w:u w:val="none" w:color="auto"/>
              </w:rPr>
            </w:pPr>
            <w:r>
              <w:rPr>
                <w:rFonts w:hint="default" w:ascii="Times New Roman" w:hAnsi="Times New Roman" w:eastAsia="宋体" w:cs="Times New Roman"/>
                <w:color w:val="auto"/>
                <w:kern w:val="21"/>
                <w:szCs w:val="21"/>
                <w:highlight w:val="none"/>
                <w:u w:val="none" w:color="auto"/>
              </w:rPr>
              <w:t>泄漏</w:t>
            </w:r>
          </w:p>
        </w:tc>
        <w:tc>
          <w:tcPr>
            <w:tcW w:w="2643" w:type="dxa"/>
            <w:vMerge w:val="restart"/>
            <w:tcBorders>
              <w:tl2br w:val="nil"/>
              <w:tr2bl w:val="nil"/>
            </w:tcBorders>
            <w:noWrap w:val="0"/>
            <w:vAlign w:val="center"/>
          </w:tcPr>
          <w:p w14:paraId="341270A4">
            <w:pPr>
              <w:topLinePunct w:val="0"/>
              <w:bidi w:val="0"/>
              <w:adjustRightInd/>
              <w:snapToGrid/>
              <w:jc w:val="center"/>
              <w:rPr>
                <w:rFonts w:hint="default" w:ascii="Times New Roman" w:hAnsi="Times New Roman" w:eastAsia="宋体" w:cs="Times New Roman"/>
                <w:color w:val="auto"/>
                <w:kern w:val="21"/>
                <w:szCs w:val="21"/>
                <w:highlight w:val="none"/>
                <w:u w:val="none" w:color="auto"/>
              </w:rPr>
            </w:pPr>
            <w:r>
              <w:rPr>
                <w:rFonts w:hint="default" w:ascii="Times New Roman" w:hAnsi="Times New Roman" w:eastAsia="宋体" w:cs="Times New Roman"/>
                <w:color w:val="auto"/>
                <w:kern w:val="21"/>
                <w:szCs w:val="21"/>
                <w:highlight w:val="none"/>
                <w:u w:val="none" w:color="auto"/>
              </w:rPr>
              <w:t>防渗材料破裂；贮存容器破损</w:t>
            </w:r>
          </w:p>
        </w:tc>
      </w:tr>
      <w:tr w14:paraId="5903E8F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70" w:hRule="atLeast"/>
        </w:trPr>
        <w:tc>
          <w:tcPr>
            <w:tcW w:w="1369" w:type="dxa"/>
            <w:vMerge w:val="continue"/>
            <w:tcBorders>
              <w:tl2br w:val="nil"/>
              <w:tr2bl w:val="nil"/>
            </w:tcBorders>
            <w:noWrap w:val="0"/>
            <w:vAlign w:val="center"/>
          </w:tcPr>
          <w:p w14:paraId="1C291492">
            <w:pPr>
              <w:topLinePunct w:val="0"/>
              <w:bidi w:val="0"/>
              <w:adjustRightInd/>
              <w:snapToGrid/>
              <w:jc w:val="center"/>
              <w:rPr>
                <w:rFonts w:hint="default" w:ascii="Times New Roman" w:hAnsi="Times New Roman" w:eastAsia="宋体" w:cs="Times New Roman"/>
                <w:color w:val="auto"/>
                <w:kern w:val="21"/>
                <w:sz w:val="21"/>
                <w:szCs w:val="21"/>
                <w:highlight w:val="none"/>
                <w:u w:val="none" w:color="auto"/>
                <w:lang w:val="en-US" w:eastAsia="zh-CN" w:bidi="ar-SA"/>
              </w:rPr>
            </w:pPr>
          </w:p>
        </w:tc>
        <w:tc>
          <w:tcPr>
            <w:tcW w:w="1680" w:type="dxa"/>
            <w:tcBorders>
              <w:tl2br w:val="nil"/>
              <w:tr2bl w:val="nil"/>
            </w:tcBorders>
            <w:noWrap w:val="0"/>
            <w:vAlign w:val="center"/>
          </w:tcPr>
          <w:p w14:paraId="3C5B623D">
            <w:pPr>
              <w:topLinePunct w:val="0"/>
              <w:bidi w:val="0"/>
              <w:adjustRightInd/>
              <w:snapToGrid/>
              <w:jc w:val="center"/>
              <w:rPr>
                <w:rFonts w:hint="default" w:ascii="Times New Roman" w:hAnsi="Times New Roman" w:eastAsia="宋体" w:cs="Times New Roman"/>
                <w:color w:val="auto"/>
                <w:szCs w:val="21"/>
                <w:highlight w:val="none"/>
                <w:u w:val="none" w:color="auto"/>
                <w:lang w:val="en-US" w:eastAsia="zh-CN"/>
              </w:rPr>
            </w:pPr>
            <w:r>
              <w:rPr>
                <w:rFonts w:hint="default" w:ascii="Times New Roman" w:hAnsi="Times New Roman" w:eastAsia="宋体" w:cs="Times New Roman"/>
                <w:color w:val="auto"/>
                <w:kern w:val="21"/>
                <w:szCs w:val="21"/>
                <w:highlight w:val="none"/>
                <w:u w:val="none" w:color="auto"/>
                <w:lang w:val="en-US" w:eastAsia="zh-CN"/>
              </w:rPr>
              <w:t>TS002</w:t>
            </w:r>
            <w:r>
              <w:rPr>
                <w:rFonts w:hint="default" w:ascii="Times New Roman" w:hAnsi="Times New Roman" w:eastAsia="宋体" w:cs="Times New Roman"/>
                <w:color w:val="auto"/>
                <w:kern w:val="21"/>
                <w:szCs w:val="21"/>
                <w:highlight w:val="none"/>
                <w:u w:val="none" w:color="auto"/>
              </w:rPr>
              <w:t>危废暂存</w:t>
            </w:r>
            <w:r>
              <w:rPr>
                <w:rFonts w:hint="default" w:ascii="Times New Roman" w:hAnsi="Times New Roman" w:eastAsia="宋体" w:cs="Times New Roman"/>
                <w:color w:val="auto"/>
                <w:kern w:val="21"/>
                <w:szCs w:val="21"/>
                <w:highlight w:val="none"/>
                <w:u w:val="none" w:color="auto"/>
                <w:lang w:val="en-US" w:eastAsia="zh-CN"/>
              </w:rPr>
              <w:t>间</w:t>
            </w:r>
          </w:p>
        </w:tc>
        <w:tc>
          <w:tcPr>
            <w:tcW w:w="1625" w:type="dxa"/>
            <w:tcBorders>
              <w:tl2br w:val="nil"/>
              <w:tr2bl w:val="nil"/>
            </w:tcBorders>
            <w:noWrap w:val="0"/>
            <w:vAlign w:val="center"/>
          </w:tcPr>
          <w:p w14:paraId="6436C3C9">
            <w:pPr>
              <w:topLinePunct w:val="0"/>
              <w:bidi w:val="0"/>
              <w:adjustRightInd/>
              <w:snapToGrid/>
              <w:jc w:val="center"/>
              <w:rPr>
                <w:rFonts w:hint="default" w:ascii="Times New Roman" w:hAnsi="Times New Roman" w:eastAsia="宋体" w:cs="Times New Roman"/>
                <w:color w:val="auto"/>
                <w:kern w:val="21"/>
                <w:szCs w:val="21"/>
                <w:highlight w:val="none"/>
                <w:u w:val="none" w:color="auto"/>
              </w:rPr>
            </w:pPr>
            <w:r>
              <w:rPr>
                <w:rFonts w:hint="default" w:ascii="Times New Roman" w:hAnsi="Times New Roman" w:eastAsia="宋体" w:cs="Times New Roman"/>
                <w:color w:val="auto"/>
                <w:szCs w:val="21"/>
                <w:highlight w:val="none"/>
                <w:u w:val="none" w:color="auto"/>
              </w:rPr>
              <w:t>废润滑油、废液压油、废乳液</w:t>
            </w:r>
            <w:r>
              <w:rPr>
                <w:rFonts w:hint="default" w:ascii="Times New Roman" w:hAnsi="Times New Roman" w:eastAsia="宋体" w:cs="Times New Roman"/>
                <w:color w:val="auto"/>
                <w:szCs w:val="21"/>
                <w:highlight w:val="none"/>
                <w:u w:val="none" w:color="auto"/>
                <w:lang w:eastAsia="zh-CN"/>
              </w:rPr>
              <w:t>等</w:t>
            </w:r>
          </w:p>
        </w:tc>
        <w:tc>
          <w:tcPr>
            <w:tcW w:w="1625" w:type="dxa"/>
            <w:vMerge w:val="continue"/>
            <w:tcBorders>
              <w:tl2br w:val="nil"/>
              <w:tr2bl w:val="nil"/>
            </w:tcBorders>
            <w:noWrap w:val="0"/>
            <w:vAlign w:val="center"/>
          </w:tcPr>
          <w:p w14:paraId="5E00A176">
            <w:pPr>
              <w:topLinePunct w:val="0"/>
              <w:bidi w:val="0"/>
              <w:adjustRightInd/>
              <w:snapToGrid/>
              <w:jc w:val="center"/>
              <w:rPr>
                <w:rFonts w:hint="default" w:ascii="Times New Roman" w:hAnsi="Times New Roman" w:eastAsia="宋体" w:cs="Times New Roman"/>
                <w:color w:val="auto"/>
                <w:kern w:val="21"/>
                <w:szCs w:val="21"/>
                <w:highlight w:val="none"/>
                <w:u w:val="none" w:color="auto"/>
              </w:rPr>
            </w:pPr>
          </w:p>
        </w:tc>
        <w:tc>
          <w:tcPr>
            <w:tcW w:w="2643" w:type="dxa"/>
            <w:vMerge w:val="continue"/>
            <w:tcBorders>
              <w:tl2br w:val="nil"/>
              <w:tr2bl w:val="nil"/>
            </w:tcBorders>
            <w:noWrap w:val="0"/>
            <w:vAlign w:val="center"/>
          </w:tcPr>
          <w:p w14:paraId="1CB4D9C7">
            <w:pPr>
              <w:topLinePunct w:val="0"/>
              <w:bidi w:val="0"/>
              <w:adjustRightInd/>
              <w:snapToGrid/>
              <w:jc w:val="center"/>
              <w:rPr>
                <w:rFonts w:hint="default" w:ascii="Times New Roman" w:hAnsi="Times New Roman" w:eastAsia="宋体" w:cs="Times New Roman"/>
                <w:color w:val="auto"/>
                <w:kern w:val="21"/>
                <w:szCs w:val="21"/>
                <w:highlight w:val="none"/>
                <w:u w:val="none" w:color="auto"/>
              </w:rPr>
            </w:pPr>
          </w:p>
        </w:tc>
      </w:tr>
      <w:tr w14:paraId="436A8ED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470" w:hRule="atLeast"/>
        </w:trPr>
        <w:tc>
          <w:tcPr>
            <w:tcW w:w="1369" w:type="dxa"/>
            <w:vMerge w:val="continue"/>
            <w:tcBorders>
              <w:tl2br w:val="nil"/>
              <w:tr2bl w:val="nil"/>
            </w:tcBorders>
            <w:noWrap w:val="0"/>
            <w:vAlign w:val="center"/>
          </w:tcPr>
          <w:p w14:paraId="52EDB6C2">
            <w:pPr>
              <w:topLinePunct w:val="0"/>
              <w:bidi w:val="0"/>
              <w:adjustRightInd/>
              <w:snapToGrid/>
              <w:jc w:val="center"/>
              <w:rPr>
                <w:rFonts w:hint="default" w:ascii="Times New Roman" w:hAnsi="Times New Roman" w:eastAsia="宋体" w:cs="Times New Roman"/>
                <w:color w:val="auto"/>
                <w:kern w:val="21"/>
                <w:szCs w:val="21"/>
                <w:highlight w:val="none"/>
                <w:u w:val="none" w:color="auto"/>
              </w:rPr>
            </w:pPr>
          </w:p>
        </w:tc>
        <w:tc>
          <w:tcPr>
            <w:tcW w:w="1680" w:type="dxa"/>
            <w:tcBorders>
              <w:tl2br w:val="nil"/>
              <w:tr2bl w:val="nil"/>
            </w:tcBorders>
            <w:noWrap w:val="0"/>
            <w:vAlign w:val="center"/>
          </w:tcPr>
          <w:p w14:paraId="5042D77E">
            <w:pPr>
              <w:topLinePunct w:val="0"/>
              <w:bidi w:val="0"/>
              <w:adjustRightInd/>
              <w:snapToGrid/>
              <w:jc w:val="center"/>
              <w:rPr>
                <w:rFonts w:hint="default" w:ascii="Times New Roman" w:hAnsi="Times New Roman" w:eastAsia="宋体" w:cs="Times New Roman"/>
                <w:color w:val="auto"/>
                <w:szCs w:val="21"/>
                <w:highlight w:val="none"/>
                <w:u w:val="none" w:color="auto"/>
                <w:lang w:val="en-US" w:eastAsia="zh-CN"/>
              </w:rPr>
            </w:pPr>
            <w:r>
              <w:rPr>
                <w:rFonts w:hint="default" w:ascii="Times New Roman" w:hAnsi="Times New Roman" w:eastAsia="宋体" w:cs="Times New Roman"/>
                <w:color w:val="auto"/>
                <w:kern w:val="21"/>
                <w:szCs w:val="21"/>
                <w:highlight w:val="none"/>
                <w:u w:val="none" w:color="auto"/>
                <w:lang w:val="en-US" w:eastAsia="zh-CN"/>
              </w:rPr>
              <w:t>TS003</w:t>
            </w:r>
            <w:r>
              <w:rPr>
                <w:rFonts w:hint="default" w:ascii="Times New Roman" w:hAnsi="Times New Roman" w:eastAsia="宋体" w:cs="Times New Roman"/>
                <w:color w:val="auto"/>
                <w:kern w:val="21"/>
                <w:szCs w:val="21"/>
                <w:highlight w:val="none"/>
                <w:u w:val="none" w:color="auto"/>
              </w:rPr>
              <w:t>危废暂存</w:t>
            </w:r>
            <w:r>
              <w:rPr>
                <w:rFonts w:hint="default" w:ascii="Times New Roman" w:hAnsi="Times New Roman" w:eastAsia="宋体" w:cs="Times New Roman"/>
                <w:color w:val="auto"/>
                <w:kern w:val="21"/>
                <w:szCs w:val="21"/>
                <w:highlight w:val="none"/>
                <w:u w:val="none" w:color="auto"/>
                <w:lang w:val="en-US" w:eastAsia="zh-CN"/>
              </w:rPr>
              <w:t>间</w:t>
            </w:r>
          </w:p>
        </w:tc>
        <w:tc>
          <w:tcPr>
            <w:tcW w:w="1625" w:type="dxa"/>
            <w:tcBorders>
              <w:tl2br w:val="nil"/>
              <w:tr2bl w:val="nil"/>
            </w:tcBorders>
            <w:noWrap w:val="0"/>
            <w:vAlign w:val="center"/>
          </w:tcPr>
          <w:p w14:paraId="5C59591C">
            <w:pPr>
              <w:topLinePunct w:val="0"/>
              <w:bidi w:val="0"/>
              <w:adjustRightInd/>
              <w:snapToGrid/>
              <w:jc w:val="center"/>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lang w:val="en-US" w:eastAsia="zh-CN"/>
              </w:rPr>
              <w:t>铝灰及二次铝灰渣</w:t>
            </w:r>
          </w:p>
        </w:tc>
        <w:tc>
          <w:tcPr>
            <w:tcW w:w="1625" w:type="dxa"/>
            <w:tcBorders>
              <w:tl2br w:val="nil"/>
              <w:tr2bl w:val="nil"/>
            </w:tcBorders>
            <w:noWrap w:val="0"/>
            <w:vAlign w:val="center"/>
          </w:tcPr>
          <w:p w14:paraId="7F4A2B66">
            <w:pPr>
              <w:topLinePunct w:val="0"/>
              <w:bidi w:val="0"/>
              <w:adjustRightInd/>
              <w:snapToGrid/>
              <w:jc w:val="center"/>
              <w:rPr>
                <w:rFonts w:hint="default" w:ascii="Times New Roman" w:hAnsi="Times New Roman" w:eastAsia="宋体" w:cs="Times New Roman"/>
                <w:color w:val="auto"/>
                <w:kern w:val="21"/>
                <w:szCs w:val="21"/>
                <w:highlight w:val="none"/>
                <w:u w:val="none" w:color="auto"/>
              </w:rPr>
            </w:pPr>
            <w:r>
              <w:rPr>
                <w:rFonts w:hint="default" w:ascii="Times New Roman" w:hAnsi="Times New Roman" w:eastAsia="宋体" w:cs="Times New Roman"/>
                <w:color w:val="auto"/>
                <w:szCs w:val="21"/>
                <w:highlight w:val="none"/>
                <w:u w:val="none" w:color="auto"/>
              </w:rPr>
              <w:t>泄漏、爆炸</w:t>
            </w:r>
          </w:p>
        </w:tc>
        <w:tc>
          <w:tcPr>
            <w:tcW w:w="2643" w:type="dxa"/>
            <w:tcBorders>
              <w:tl2br w:val="nil"/>
              <w:tr2bl w:val="nil"/>
            </w:tcBorders>
            <w:noWrap w:val="0"/>
            <w:vAlign w:val="center"/>
          </w:tcPr>
          <w:p w14:paraId="36BD5F8D">
            <w:pPr>
              <w:topLinePunct w:val="0"/>
              <w:bidi w:val="0"/>
              <w:adjustRightInd/>
              <w:snapToGrid/>
              <w:jc w:val="center"/>
              <w:rPr>
                <w:rFonts w:hint="default" w:ascii="Times New Roman" w:hAnsi="Times New Roman" w:eastAsia="宋体" w:cs="Times New Roman"/>
                <w:color w:val="auto"/>
                <w:kern w:val="21"/>
                <w:sz w:val="21"/>
                <w:szCs w:val="21"/>
                <w:highlight w:val="none"/>
                <w:u w:val="none" w:color="auto"/>
                <w:lang w:val="en-US" w:eastAsia="zh-CN" w:bidi="ar-SA"/>
              </w:rPr>
            </w:pPr>
            <w:r>
              <w:rPr>
                <w:rFonts w:hint="default" w:ascii="Times New Roman" w:hAnsi="Times New Roman" w:eastAsia="宋体" w:cs="Times New Roman"/>
                <w:color w:val="auto"/>
                <w:kern w:val="21"/>
                <w:szCs w:val="21"/>
                <w:highlight w:val="none"/>
                <w:u w:val="none" w:color="auto"/>
              </w:rPr>
              <w:t>防渗材料破裂；贮存容器破损</w:t>
            </w:r>
            <w:r>
              <w:rPr>
                <w:rFonts w:hint="default" w:ascii="Times New Roman" w:hAnsi="Times New Roman" w:eastAsia="宋体" w:cs="Times New Roman"/>
                <w:color w:val="auto"/>
                <w:kern w:val="21"/>
                <w:szCs w:val="21"/>
                <w:highlight w:val="none"/>
                <w:u w:val="none" w:color="auto"/>
                <w:lang w:eastAsia="zh-CN"/>
              </w:rPr>
              <w:t>；</w:t>
            </w:r>
            <w:r>
              <w:rPr>
                <w:rFonts w:hint="default" w:ascii="Times New Roman" w:hAnsi="Times New Roman" w:eastAsia="宋体" w:cs="Times New Roman"/>
                <w:color w:val="auto"/>
                <w:kern w:val="21"/>
                <w:szCs w:val="21"/>
                <w:highlight w:val="none"/>
                <w:u w:val="none" w:color="auto"/>
                <w:lang w:val="en-US" w:eastAsia="zh-CN"/>
              </w:rPr>
              <w:t>遇水爆炸、自燃</w:t>
            </w:r>
          </w:p>
        </w:tc>
      </w:tr>
    </w:tbl>
    <w:p w14:paraId="59E4E708">
      <w:pPr>
        <w:pStyle w:val="4"/>
        <w:numPr>
          <w:ilvl w:val="1"/>
          <w:numId w:val="0"/>
        </w:numPr>
        <w:spacing w:before="120" w:after="120" w:line="360" w:lineRule="auto"/>
        <w:contextualSpacing/>
        <w:rPr>
          <w:rFonts w:hint="default" w:ascii="Times New Roman" w:hAnsi="Times New Roman" w:eastAsia="宋体" w:cs="Times New Roman"/>
          <w:b/>
          <w:bCs w:val="0"/>
          <w:color w:val="auto"/>
          <w:sz w:val="28"/>
          <w:u w:val="none" w:color="auto"/>
        </w:rPr>
      </w:pPr>
      <w:bookmarkStart w:id="220" w:name="_Toc28082"/>
      <w:r>
        <w:rPr>
          <w:rFonts w:hint="default" w:ascii="Times New Roman" w:hAnsi="Times New Roman" w:eastAsia="宋体" w:cs="Times New Roman"/>
          <w:b/>
          <w:bCs w:val="0"/>
          <w:color w:val="auto"/>
          <w:sz w:val="28"/>
          <w:u w:val="none" w:color="auto"/>
        </w:rPr>
        <w:t>3.3 建设项目环境风险识别表</w:t>
      </w:r>
      <w:bookmarkEnd w:id="217"/>
      <w:bookmarkEnd w:id="218"/>
      <w:bookmarkEnd w:id="219"/>
      <w:bookmarkEnd w:id="220"/>
    </w:p>
    <w:p w14:paraId="3F9FC17A">
      <w:pPr>
        <w:spacing w:line="360" w:lineRule="auto"/>
        <w:ind w:firstLine="480" w:firstLineChars="200"/>
        <w:rPr>
          <w:rFonts w:hint="default" w:ascii="Times New Roman" w:hAnsi="Times New Roman" w:eastAsia="宋体" w:cs="Times New Roman"/>
          <w:color w:val="auto"/>
          <w:sz w:val="24"/>
          <w:u w:val="none" w:color="auto"/>
        </w:rPr>
      </w:pPr>
      <w:r>
        <w:rPr>
          <w:rFonts w:hint="default" w:ascii="Times New Roman" w:hAnsi="Times New Roman" w:eastAsia="宋体" w:cs="Times New Roman"/>
          <w:color w:val="auto"/>
          <w:sz w:val="24"/>
          <w:u w:val="none" w:color="auto"/>
        </w:rPr>
        <w:t>本项目环境风险识别表如下：</w:t>
      </w:r>
    </w:p>
    <w:p w14:paraId="268160CA">
      <w:pPr>
        <w:pStyle w:val="17"/>
        <w:numPr>
          <w:ilvl w:val="0"/>
          <w:numId w:val="11"/>
        </w:numPr>
        <w:adjustRightInd/>
        <w:snapToGrid/>
        <w:rPr>
          <w:rFonts w:hint="default" w:ascii="Times New Roman" w:hAnsi="Times New Roman" w:eastAsia="宋体" w:cs="Times New Roman"/>
          <w:b/>
          <w:bCs/>
          <w:color w:val="auto"/>
          <w:sz w:val="21"/>
          <w:u w:val="none" w:color="auto"/>
        </w:rPr>
      </w:pPr>
      <w:r>
        <w:rPr>
          <w:rFonts w:hint="default" w:ascii="Times New Roman" w:hAnsi="Times New Roman" w:eastAsia="宋体" w:cs="Times New Roman"/>
          <w:b/>
          <w:bCs/>
          <w:color w:val="auto"/>
          <w:sz w:val="21"/>
          <w:u w:val="none" w:color="auto"/>
        </w:rPr>
        <w:t>建设项目环境风险识别表</w:t>
      </w:r>
    </w:p>
    <w:tbl>
      <w:tblPr>
        <w:tblStyle w:val="31"/>
        <w:tblW w:w="8814" w:type="dxa"/>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563"/>
        <w:gridCol w:w="827"/>
        <w:gridCol w:w="1221"/>
        <w:gridCol w:w="1060"/>
        <w:gridCol w:w="1067"/>
        <w:gridCol w:w="971"/>
        <w:gridCol w:w="1885"/>
        <w:gridCol w:w="1220"/>
      </w:tblGrid>
      <w:tr w14:paraId="519B5B4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blHeader/>
        </w:trPr>
        <w:tc>
          <w:tcPr>
            <w:tcW w:w="563" w:type="dxa"/>
            <w:noWrap w:val="0"/>
            <w:vAlign w:val="center"/>
          </w:tcPr>
          <w:p w14:paraId="5C436795">
            <w:pPr>
              <w:pStyle w:val="54"/>
              <w:topLinePunct w:val="0"/>
              <w:bidi w:val="0"/>
              <w:adjustRightInd/>
              <w:snapToGrid/>
              <w:jc w:val="center"/>
              <w:rPr>
                <w:rFonts w:hint="default" w:ascii="Times New Roman" w:hAnsi="Times New Roman" w:eastAsia="宋体" w:cs="Times New Roman"/>
                <w:b/>
                <w:bCs/>
                <w:color w:val="auto"/>
                <w:sz w:val="21"/>
                <w:szCs w:val="21"/>
                <w:highlight w:val="none"/>
                <w:u w:val="none" w:color="auto"/>
              </w:rPr>
            </w:pPr>
            <w:r>
              <w:rPr>
                <w:rFonts w:hint="default" w:ascii="Times New Roman" w:hAnsi="Times New Roman" w:eastAsia="宋体" w:cs="Times New Roman"/>
                <w:b/>
                <w:bCs/>
                <w:color w:val="auto"/>
                <w:sz w:val="21"/>
                <w:szCs w:val="21"/>
                <w:highlight w:val="none"/>
                <w:u w:val="none" w:color="auto"/>
              </w:rPr>
              <w:t>序号</w:t>
            </w:r>
          </w:p>
        </w:tc>
        <w:tc>
          <w:tcPr>
            <w:tcW w:w="827" w:type="dxa"/>
            <w:noWrap w:val="0"/>
            <w:vAlign w:val="center"/>
          </w:tcPr>
          <w:p w14:paraId="44432A03">
            <w:pPr>
              <w:pStyle w:val="54"/>
              <w:topLinePunct w:val="0"/>
              <w:bidi w:val="0"/>
              <w:adjustRightInd/>
              <w:snapToGrid/>
              <w:jc w:val="center"/>
              <w:rPr>
                <w:rFonts w:hint="default" w:ascii="Times New Roman" w:hAnsi="Times New Roman" w:eastAsia="宋体" w:cs="Times New Roman"/>
                <w:b/>
                <w:bCs/>
                <w:color w:val="auto"/>
                <w:sz w:val="21"/>
                <w:szCs w:val="21"/>
                <w:highlight w:val="none"/>
                <w:u w:val="none" w:color="auto"/>
              </w:rPr>
            </w:pPr>
            <w:r>
              <w:rPr>
                <w:rFonts w:hint="default" w:ascii="Times New Roman" w:hAnsi="Times New Roman" w:eastAsia="宋体" w:cs="Times New Roman"/>
                <w:b/>
                <w:bCs/>
                <w:color w:val="auto"/>
                <w:sz w:val="21"/>
                <w:szCs w:val="21"/>
                <w:highlight w:val="none"/>
                <w:u w:val="none" w:color="auto"/>
              </w:rPr>
              <w:t>危险单元</w:t>
            </w:r>
          </w:p>
        </w:tc>
        <w:tc>
          <w:tcPr>
            <w:tcW w:w="1221" w:type="dxa"/>
            <w:noWrap w:val="0"/>
            <w:vAlign w:val="center"/>
          </w:tcPr>
          <w:p w14:paraId="277EFCF9">
            <w:pPr>
              <w:pStyle w:val="54"/>
              <w:topLinePunct w:val="0"/>
              <w:bidi w:val="0"/>
              <w:adjustRightInd/>
              <w:snapToGrid/>
              <w:jc w:val="center"/>
              <w:rPr>
                <w:rFonts w:hint="default" w:ascii="Times New Roman" w:hAnsi="Times New Roman" w:eastAsia="宋体" w:cs="Times New Roman"/>
                <w:b/>
                <w:bCs/>
                <w:color w:val="auto"/>
                <w:sz w:val="21"/>
                <w:szCs w:val="21"/>
                <w:highlight w:val="none"/>
                <w:u w:val="none" w:color="auto"/>
              </w:rPr>
            </w:pPr>
            <w:r>
              <w:rPr>
                <w:rFonts w:hint="default" w:ascii="Times New Roman" w:hAnsi="Times New Roman" w:eastAsia="宋体" w:cs="Times New Roman"/>
                <w:b/>
                <w:bCs/>
                <w:color w:val="auto"/>
                <w:sz w:val="21"/>
                <w:szCs w:val="21"/>
                <w:highlight w:val="none"/>
                <w:u w:val="none" w:color="auto"/>
              </w:rPr>
              <w:t>风险源</w:t>
            </w:r>
          </w:p>
        </w:tc>
        <w:tc>
          <w:tcPr>
            <w:tcW w:w="1060" w:type="dxa"/>
            <w:noWrap w:val="0"/>
            <w:vAlign w:val="center"/>
          </w:tcPr>
          <w:p w14:paraId="2BA14283">
            <w:pPr>
              <w:pStyle w:val="54"/>
              <w:topLinePunct w:val="0"/>
              <w:bidi w:val="0"/>
              <w:adjustRightInd/>
              <w:snapToGrid/>
              <w:jc w:val="center"/>
              <w:rPr>
                <w:rFonts w:hint="default" w:ascii="Times New Roman" w:hAnsi="Times New Roman" w:eastAsia="宋体" w:cs="Times New Roman"/>
                <w:b/>
                <w:bCs/>
                <w:color w:val="auto"/>
                <w:sz w:val="21"/>
                <w:szCs w:val="21"/>
                <w:highlight w:val="none"/>
                <w:u w:val="none" w:color="auto"/>
              </w:rPr>
            </w:pPr>
            <w:r>
              <w:rPr>
                <w:rFonts w:hint="default" w:ascii="Times New Roman" w:hAnsi="Times New Roman" w:eastAsia="宋体" w:cs="Times New Roman"/>
                <w:b/>
                <w:bCs/>
                <w:color w:val="auto"/>
                <w:sz w:val="21"/>
                <w:szCs w:val="21"/>
                <w:highlight w:val="none"/>
                <w:u w:val="none" w:color="auto"/>
              </w:rPr>
              <w:t>主要危险物质</w:t>
            </w:r>
          </w:p>
        </w:tc>
        <w:tc>
          <w:tcPr>
            <w:tcW w:w="1067" w:type="dxa"/>
            <w:noWrap w:val="0"/>
            <w:vAlign w:val="center"/>
          </w:tcPr>
          <w:p w14:paraId="79E16071">
            <w:pPr>
              <w:pStyle w:val="54"/>
              <w:topLinePunct w:val="0"/>
              <w:bidi w:val="0"/>
              <w:adjustRightInd/>
              <w:snapToGrid/>
              <w:jc w:val="center"/>
              <w:rPr>
                <w:rFonts w:hint="default" w:ascii="Times New Roman" w:hAnsi="Times New Roman" w:eastAsia="宋体" w:cs="Times New Roman"/>
                <w:b/>
                <w:bCs/>
                <w:color w:val="auto"/>
                <w:sz w:val="21"/>
                <w:szCs w:val="21"/>
                <w:highlight w:val="none"/>
                <w:u w:val="none" w:color="auto"/>
              </w:rPr>
            </w:pPr>
            <w:r>
              <w:rPr>
                <w:rFonts w:hint="default" w:ascii="Times New Roman" w:hAnsi="Times New Roman" w:eastAsia="宋体" w:cs="Times New Roman"/>
                <w:b/>
                <w:bCs/>
                <w:color w:val="auto"/>
                <w:sz w:val="21"/>
                <w:szCs w:val="21"/>
                <w:highlight w:val="none"/>
                <w:u w:val="none" w:color="auto"/>
              </w:rPr>
              <w:t>环境风险类型</w:t>
            </w:r>
          </w:p>
        </w:tc>
        <w:tc>
          <w:tcPr>
            <w:tcW w:w="971" w:type="dxa"/>
            <w:noWrap w:val="0"/>
            <w:vAlign w:val="center"/>
          </w:tcPr>
          <w:p w14:paraId="75D714E1">
            <w:pPr>
              <w:pStyle w:val="54"/>
              <w:topLinePunct w:val="0"/>
              <w:bidi w:val="0"/>
              <w:adjustRightInd/>
              <w:snapToGrid/>
              <w:jc w:val="center"/>
              <w:rPr>
                <w:rFonts w:hint="default" w:ascii="Times New Roman" w:hAnsi="Times New Roman" w:eastAsia="宋体" w:cs="Times New Roman"/>
                <w:b/>
                <w:bCs/>
                <w:color w:val="auto"/>
                <w:sz w:val="21"/>
                <w:szCs w:val="21"/>
                <w:highlight w:val="none"/>
                <w:u w:val="none" w:color="auto"/>
              </w:rPr>
            </w:pPr>
            <w:r>
              <w:rPr>
                <w:rFonts w:hint="default" w:ascii="Times New Roman" w:hAnsi="Times New Roman" w:eastAsia="宋体" w:cs="Times New Roman"/>
                <w:b/>
                <w:bCs/>
                <w:color w:val="auto"/>
                <w:sz w:val="21"/>
                <w:szCs w:val="21"/>
                <w:highlight w:val="none"/>
                <w:u w:val="none" w:color="auto"/>
              </w:rPr>
              <w:t>环境影响途径</w:t>
            </w:r>
          </w:p>
        </w:tc>
        <w:tc>
          <w:tcPr>
            <w:tcW w:w="1885" w:type="dxa"/>
            <w:noWrap w:val="0"/>
            <w:vAlign w:val="center"/>
          </w:tcPr>
          <w:p w14:paraId="4A97FA70">
            <w:pPr>
              <w:pStyle w:val="54"/>
              <w:topLinePunct w:val="0"/>
              <w:bidi w:val="0"/>
              <w:adjustRightInd/>
              <w:snapToGrid/>
              <w:jc w:val="center"/>
              <w:rPr>
                <w:rFonts w:hint="default" w:ascii="Times New Roman" w:hAnsi="Times New Roman" w:eastAsia="宋体" w:cs="Times New Roman"/>
                <w:b/>
                <w:bCs/>
                <w:color w:val="auto"/>
                <w:sz w:val="21"/>
                <w:szCs w:val="21"/>
                <w:highlight w:val="none"/>
                <w:u w:val="none" w:color="auto"/>
                <w:lang w:eastAsia="zh-CN"/>
              </w:rPr>
            </w:pPr>
            <w:r>
              <w:rPr>
                <w:rFonts w:hint="default" w:ascii="Times New Roman" w:hAnsi="Times New Roman" w:eastAsia="宋体" w:cs="Times New Roman"/>
                <w:b/>
                <w:bCs/>
                <w:color w:val="auto"/>
                <w:sz w:val="21"/>
                <w:szCs w:val="21"/>
                <w:highlight w:val="none"/>
                <w:u w:val="none" w:color="auto"/>
                <w:lang w:eastAsia="zh-CN"/>
              </w:rPr>
              <w:t>可能受影响的环境敏感目标</w:t>
            </w:r>
          </w:p>
        </w:tc>
        <w:tc>
          <w:tcPr>
            <w:tcW w:w="1220" w:type="dxa"/>
            <w:noWrap w:val="0"/>
            <w:vAlign w:val="center"/>
          </w:tcPr>
          <w:p w14:paraId="5E548474">
            <w:pPr>
              <w:pStyle w:val="54"/>
              <w:topLinePunct w:val="0"/>
              <w:bidi w:val="0"/>
              <w:adjustRightInd/>
              <w:snapToGrid/>
              <w:jc w:val="center"/>
              <w:rPr>
                <w:rFonts w:hint="default" w:ascii="Times New Roman" w:hAnsi="Times New Roman" w:eastAsia="宋体" w:cs="Times New Roman"/>
                <w:b/>
                <w:bCs/>
                <w:color w:val="auto"/>
                <w:sz w:val="21"/>
                <w:szCs w:val="21"/>
                <w:highlight w:val="none"/>
                <w:u w:val="none" w:color="auto"/>
              </w:rPr>
            </w:pPr>
            <w:r>
              <w:rPr>
                <w:rFonts w:hint="default" w:ascii="Times New Roman" w:hAnsi="Times New Roman" w:eastAsia="宋体" w:cs="Times New Roman"/>
                <w:b/>
                <w:bCs/>
                <w:color w:val="auto"/>
                <w:sz w:val="21"/>
                <w:szCs w:val="21"/>
                <w:highlight w:val="none"/>
                <w:u w:val="none" w:color="auto"/>
              </w:rPr>
              <w:t>备注</w:t>
            </w:r>
          </w:p>
        </w:tc>
      </w:tr>
      <w:tr w14:paraId="24B3183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563" w:type="dxa"/>
            <w:noWrap w:val="0"/>
            <w:vAlign w:val="center"/>
          </w:tcPr>
          <w:p w14:paraId="2D12DB1C">
            <w:pPr>
              <w:pStyle w:val="54"/>
              <w:topLinePunct w:val="0"/>
              <w:bidi w:val="0"/>
              <w:adjustRightInd/>
              <w:snapToGrid/>
              <w:jc w:val="center"/>
              <w:rPr>
                <w:rFonts w:hint="default" w:ascii="Times New Roman" w:hAnsi="Times New Roman" w:eastAsia="宋体" w:cs="Times New Roman"/>
                <w:color w:val="auto"/>
                <w:sz w:val="21"/>
                <w:szCs w:val="21"/>
                <w:highlight w:val="none"/>
                <w:u w:val="none" w:color="auto"/>
                <w:lang w:eastAsia="zh-CN"/>
              </w:rPr>
            </w:pPr>
            <w:r>
              <w:rPr>
                <w:rFonts w:hint="default" w:ascii="Times New Roman" w:hAnsi="Times New Roman" w:eastAsia="宋体" w:cs="Times New Roman"/>
                <w:color w:val="auto"/>
                <w:sz w:val="21"/>
                <w:szCs w:val="21"/>
                <w:highlight w:val="none"/>
                <w:u w:val="none" w:color="auto"/>
                <w:lang w:eastAsia="zh-CN"/>
              </w:rPr>
              <w:t>1</w:t>
            </w:r>
          </w:p>
        </w:tc>
        <w:tc>
          <w:tcPr>
            <w:tcW w:w="827" w:type="dxa"/>
            <w:noWrap w:val="0"/>
            <w:vAlign w:val="center"/>
          </w:tcPr>
          <w:p w14:paraId="75CD1D3F">
            <w:pPr>
              <w:pStyle w:val="54"/>
              <w:topLinePunct w:val="0"/>
              <w:bidi w:val="0"/>
              <w:adjustRightInd/>
              <w:snapToGrid/>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铝合金熔铸二厂、铝合金熔铸 二厂</w:t>
            </w:r>
          </w:p>
        </w:tc>
        <w:tc>
          <w:tcPr>
            <w:tcW w:w="1221" w:type="dxa"/>
            <w:noWrap w:val="0"/>
            <w:vAlign w:val="center"/>
          </w:tcPr>
          <w:p w14:paraId="00F65B11">
            <w:pPr>
              <w:pStyle w:val="54"/>
              <w:topLinePunct w:val="0"/>
              <w:bidi w:val="0"/>
              <w:adjustRightInd/>
              <w:snapToGrid/>
              <w:jc w:val="center"/>
              <w:rPr>
                <w:rFonts w:hint="default" w:ascii="Times New Roman" w:hAnsi="Times New Roman" w:eastAsia="宋体" w:cs="Times New Roman"/>
                <w:color w:val="auto"/>
                <w:sz w:val="21"/>
                <w:szCs w:val="21"/>
                <w:highlight w:val="none"/>
                <w:u w:val="none" w:color="auto"/>
                <w:lang w:eastAsia="zh-CN"/>
              </w:rPr>
            </w:pPr>
            <w:r>
              <w:rPr>
                <w:rFonts w:hint="default" w:ascii="Times New Roman" w:hAnsi="Times New Roman" w:eastAsia="宋体" w:cs="Times New Roman"/>
                <w:color w:val="auto"/>
                <w:sz w:val="21"/>
                <w:szCs w:val="21"/>
                <w:highlight w:val="none"/>
                <w:u w:val="none" w:color="auto"/>
                <w:lang w:val="en-US" w:eastAsia="zh-CN"/>
              </w:rPr>
              <w:t>使用</w:t>
            </w:r>
            <w:r>
              <w:rPr>
                <w:rFonts w:hint="default" w:ascii="Times New Roman" w:hAnsi="Times New Roman" w:eastAsia="宋体" w:cs="Times New Roman"/>
                <w:color w:val="auto"/>
                <w:sz w:val="21"/>
                <w:szCs w:val="21"/>
                <w:highlight w:val="none"/>
                <w:u w:val="none" w:color="auto"/>
                <w:lang w:eastAsia="zh-CN"/>
              </w:rPr>
              <w:t>液压油、润滑油、乳液、</w:t>
            </w:r>
            <w:r>
              <w:rPr>
                <w:rFonts w:hint="default" w:ascii="Times New Roman" w:hAnsi="Times New Roman" w:eastAsia="宋体" w:cs="Times New Roman"/>
                <w:color w:val="auto"/>
                <w:sz w:val="21"/>
                <w:szCs w:val="21"/>
                <w:highlight w:val="none"/>
                <w:u w:val="none" w:color="auto"/>
                <w:lang w:val="en-US" w:eastAsia="zh-CN"/>
              </w:rPr>
              <w:t>脱模剂的</w:t>
            </w:r>
            <w:r>
              <w:rPr>
                <w:rFonts w:hint="default" w:ascii="Times New Roman" w:hAnsi="Times New Roman" w:eastAsia="宋体" w:cs="Times New Roman"/>
                <w:color w:val="auto"/>
                <w:sz w:val="21"/>
                <w:szCs w:val="21"/>
                <w:highlight w:val="none"/>
                <w:u w:val="none" w:color="auto"/>
                <w:lang w:eastAsia="zh-CN"/>
              </w:rPr>
              <w:t>设备</w:t>
            </w:r>
          </w:p>
        </w:tc>
        <w:tc>
          <w:tcPr>
            <w:tcW w:w="1060" w:type="dxa"/>
            <w:noWrap w:val="0"/>
            <w:vAlign w:val="center"/>
          </w:tcPr>
          <w:p w14:paraId="363BFF80">
            <w:pPr>
              <w:pStyle w:val="54"/>
              <w:topLinePunct w:val="0"/>
              <w:bidi w:val="0"/>
              <w:adjustRightInd/>
              <w:snapToGrid/>
              <w:jc w:val="center"/>
              <w:rPr>
                <w:rFonts w:hint="default" w:ascii="Times New Roman" w:hAnsi="Times New Roman" w:eastAsia="宋体" w:cs="Times New Roman"/>
                <w:color w:val="auto"/>
                <w:sz w:val="21"/>
                <w:szCs w:val="21"/>
                <w:highlight w:val="none"/>
                <w:u w:val="none" w:color="auto"/>
                <w:lang w:eastAsia="zh-CN"/>
              </w:rPr>
            </w:pPr>
            <w:r>
              <w:rPr>
                <w:rFonts w:hint="default" w:ascii="Times New Roman" w:hAnsi="Times New Roman" w:eastAsia="宋体" w:cs="Times New Roman"/>
                <w:color w:val="auto"/>
                <w:sz w:val="21"/>
                <w:szCs w:val="21"/>
                <w:highlight w:val="none"/>
                <w:u w:val="none" w:color="auto"/>
                <w:lang w:eastAsia="zh-CN"/>
              </w:rPr>
              <w:t>液压油、润滑油、乳液、</w:t>
            </w:r>
            <w:r>
              <w:rPr>
                <w:rFonts w:hint="default" w:ascii="Times New Roman" w:hAnsi="Times New Roman" w:eastAsia="宋体" w:cs="Times New Roman"/>
                <w:color w:val="auto"/>
                <w:sz w:val="21"/>
                <w:szCs w:val="21"/>
                <w:highlight w:val="none"/>
                <w:u w:val="none" w:color="auto"/>
                <w:lang w:val="en-US" w:eastAsia="zh-CN"/>
              </w:rPr>
              <w:t>脱模剂</w:t>
            </w:r>
          </w:p>
        </w:tc>
        <w:tc>
          <w:tcPr>
            <w:tcW w:w="1067" w:type="dxa"/>
            <w:noWrap w:val="0"/>
            <w:vAlign w:val="center"/>
          </w:tcPr>
          <w:p w14:paraId="3779C61B">
            <w:pPr>
              <w:pStyle w:val="54"/>
              <w:topLinePunct w:val="0"/>
              <w:bidi w:val="0"/>
              <w:adjustRightInd/>
              <w:snapToGrid/>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lang w:eastAsia="zh-CN"/>
              </w:rPr>
              <w:t>泄漏</w:t>
            </w:r>
          </w:p>
        </w:tc>
        <w:tc>
          <w:tcPr>
            <w:tcW w:w="971" w:type="dxa"/>
            <w:noWrap w:val="0"/>
            <w:vAlign w:val="center"/>
          </w:tcPr>
          <w:p w14:paraId="53B6DE83">
            <w:pPr>
              <w:pStyle w:val="54"/>
              <w:topLinePunct w:val="0"/>
              <w:bidi w:val="0"/>
              <w:adjustRightInd/>
              <w:snapToGrid/>
              <w:jc w:val="center"/>
              <w:rPr>
                <w:rFonts w:hint="default" w:ascii="Times New Roman" w:hAnsi="Times New Roman" w:eastAsia="宋体" w:cs="Times New Roman"/>
                <w:color w:val="auto"/>
                <w:sz w:val="21"/>
                <w:szCs w:val="21"/>
                <w:highlight w:val="none"/>
                <w:u w:val="none" w:color="auto"/>
                <w:lang w:eastAsia="zh-CN"/>
              </w:rPr>
            </w:pPr>
            <w:r>
              <w:rPr>
                <w:rFonts w:hint="default" w:ascii="Times New Roman" w:hAnsi="Times New Roman" w:eastAsia="宋体" w:cs="Times New Roman"/>
                <w:color w:val="auto"/>
                <w:sz w:val="21"/>
                <w:szCs w:val="21"/>
                <w:highlight w:val="none"/>
                <w:u w:val="none" w:color="auto"/>
                <w:lang w:eastAsia="zh-CN"/>
              </w:rPr>
              <w:t>地表水、地下水、土壤</w:t>
            </w:r>
          </w:p>
        </w:tc>
        <w:tc>
          <w:tcPr>
            <w:tcW w:w="1885" w:type="dxa"/>
            <w:noWrap w:val="0"/>
            <w:vAlign w:val="center"/>
          </w:tcPr>
          <w:p w14:paraId="4B8409F9">
            <w:pPr>
              <w:pStyle w:val="54"/>
              <w:topLinePunct w:val="0"/>
              <w:bidi w:val="0"/>
              <w:adjustRightInd/>
              <w:snapToGrid/>
              <w:jc w:val="center"/>
              <w:rPr>
                <w:rFonts w:hint="default" w:ascii="Times New Roman" w:hAnsi="Times New Roman" w:eastAsia="宋体" w:cs="Times New Roman"/>
                <w:color w:val="auto"/>
                <w:sz w:val="21"/>
                <w:szCs w:val="21"/>
                <w:highlight w:val="none"/>
                <w:u w:val="none" w:color="auto"/>
                <w:lang w:eastAsia="zh-CN"/>
              </w:rPr>
            </w:pPr>
            <w:r>
              <w:rPr>
                <w:rFonts w:hint="default" w:ascii="Times New Roman" w:hAnsi="Times New Roman" w:eastAsia="宋体" w:cs="Times New Roman"/>
                <w:color w:val="auto"/>
                <w:sz w:val="21"/>
                <w:szCs w:val="21"/>
                <w:highlight w:val="none"/>
                <w:u w:val="none" w:color="auto"/>
                <w:lang w:eastAsia="zh-CN"/>
              </w:rPr>
              <w:t>泄漏物质若进入厂区污水管网后，基本不对地表水造成影响，若进入雨水管网，可能存在排入外水环境的风险；采取防渗后基本不影响地下水、土壤；</w:t>
            </w:r>
          </w:p>
        </w:tc>
        <w:tc>
          <w:tcPr>
            <w:tcW w:w="1220" w:type="dxa"/>
            <w:noWrap w:val="0"/>
            <w:vAlign w:val="center"/>
          </w:tcPr>
          <w:p w14:paraId="6EA382AE">
            <w:pPr>
              <w:pStyle w:val="54"/>
              <w:topLinePunct w:val="0"/>
              <w:bidi w:val="0"/>
              <w:adjustRightInd/>
              <w:snapToGrid/>
              <w:jc w:val="center"/>
              <w:rPr>
                <w:rFonts w:hint="default" w:ascii="Times New Roman" w:hAnsi="Times New Roman" w:eastAsia="宋体" w:cs="Times New Roman"/>
                <w:color w:val="auto"/>
                <w:sz w:val="21"/>
                <w:szCs w:val="21"/>
                <w:highlight w:val="none"/>
                <w:u w:val="none" w:color="auto"/>
                <w:lang w:eastAsia="zh-CN"/>
              </w:rPr>
            </w:pPr>
          </w:p>
        </w:tc>
      </w:tr>
      <w:tr w14:paraId="611852B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563" w:type="dxa"/>
            <w:noWrap w:val="0"/>
            <w:vAlign w:val="center"/>
          </w:tcPr>
          <w:p w14:paraId="2084700D">
            <w:pPr>
              <w:pStyle w:val="54"/>
              <w:topLinePunct w:val="0"/>
              <w:bidi w:val="0"/>
              <w:adjustRightInd/>
              <w:snapToGrid/>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3</w:t>
            </w:r>
          </w:p>
        </w:tc>
        <w:tc>
          <w:tcPr>
            <w:tcW w:w="827" w:type="dxa"/>
            <w:noWrap w:val="0"/>
            <w:vAlign w:val="center"/>
          </w:tcPr>
          <w:p w14:paraId="5C5B2E51">
            <w:pPr>
              <w:pStyle w:val="54"/>
              <w:topLinePunct w:val="0"/>
              <w:bidi w:val="0"/>
              <w:adjustRightInd/>
              <w:snapToGrid/>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仓库</w:t>
            </w:r>
          </w:p>
        </w:tc>
        <w:tc>
          <w:tcPr>
            <w:tcW w:w="1221" w:type="dxa"/>
            <w:noWrap w:val="0"/>
            <w:vAlign w:val="center"/>
          </w:tcPr>
          <w:p w14:paraId="5BB750D4">
            <w:pPr>
              <w:topLinePunct w:val="0"/>
              <w:bidi w:val="0"/>
              <w:adjustRightInd/>
              <w:snapToGrid/>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Cs w:val="21"/>
                <w:highlight w:val="none"/>
                <w:u w:val="none" w:color="auto"/>
              </w:rPr>
              <w:t>润滑油、液压油</w:t>
            </w:r>
            <w:r>
              <w:rPr>
                <w:rFonts w:hint="default" w:ascii="Times New Roman" w:hAnsi="Times New Roman" w:eastAsia="宋体" w:cs="Times New Roman"/>
                <w:color w:val="auto"/>
                <w:szCs w:val="21"/>
                <w:highlight w:val="none"/>
                <w:u w:val="none" w:color="auto"/>
                <w:lang w:eastAsia="zh-CN"/>
              </w:rPr>
              <w:t>、</w:t>
            </w:r>
            <w:r>
              <w:rPr>
                <w:rFonts w:hint="default" w:ascii="Times New Roman" w:hAnsi="Times New Roman" w:eastAsia="宋体" w:cs="Times New Roman"/>
                <w:color w:val="auto"/>
                <w:szCs w:val="21"/>
                <w:highlight w:val="none"/>
                <w:u w:val="none" w:color="auto"/>
              </w:rPr>
              <w:t>乳液</w:t>
            </w:r>
            <w:r>
              <w:rPr>
                <w:rFonts w:hint="default" w:ascii="Times New Roman" w:hAnsi="Times New Roman" w:eastAsia="宋体" w:cs="Times New Roman"/>
                <w:color w:val="auto"/>
                <w:sz w:val="21"/>
                <w:szCs w:val="21"/>
                <w:highlight w:val="none"/>
                <w:u w:val="none" w:color="auto"/>
                <w:lang w:eastAsia="zh-CN"/>
              </w:rPr>
              <w:t>、</w:t>
            </w:r>
            <w:r>
              <w:rPr>
                <w:rFonts w:hint="default" w:ascii="Times New Roman" w:hAnsi="Times New Roman" w:eastAsia="宋体" w:cs="Times New Roman"/>
                <w:color w:val="auto"/>
                <w:sz w:val="21"/>
                <w:szCs w:val="21"/>
                <w:highlight w:val="none"/>
                <w:u w:val="none" w:color="auto"/>
                <w:lang w:val="en-US" w:eastAsia="zh-CN"/>
              </w:rPr>
              <w:t>脱模剂</w:t>
            </w:r>
            <w:r>
              <w:rPr>
                <w:rFonts w:hint="default" w:ascii="Times New Roman" w:hAnsi="Times New Roman" w:eastAsia="宋体" w:cs="Times New Roman"/>
                <w:color w:val="auto"/>
                <w:szCs w:val="21"/>
                <w:highlight w:val="none"/>
                <w:u w:val="none" w:color="auto"/>
              </w:rPr>
              <w:t>储存桶</w:t>
            </w:r>
          </w:p>
        </w:tc>
        <w:tc>
          <w:tcPr>
            <w:tcW w:w="1060" w:type="dxa"/>
            <w:noWrap w:val="0"/>
            <w:vAlign w:val="center"/>
          </w:tcPr>
          <w:p w14:paraId="75C60882">
            <w:pPr>
              <w:topLinePunct w:val="0"/>
              <w:bidi w:val="0"/>
              <w:adjustRightInd/>
              <w:snapToGrid/>
              <w:jc w:val="center"/>
              <w:rPr>
                <w:rFonts w:hint="default" w:ascii="Times New Roman" w:hAnsi="Times New Roman" w:eastAsia="宋体" w:cs="Times New Roman"/>
                <w:color w:val="auto"/>
                <w:kern w:val="21"/>
                <w:sz w:val="21"/>
                <w:szCs w:val="21"/>
                <w:highlight w:val="none"/>
                <w:u w:val="none" w:color="auto"/>
                <w:lang w:val="en-US" w:eastAsia="zh-CN" w:bidi="ar-SA"/>
              </w:rPr>
            </w:pPr>
            <w:r>
              <w:rPr>
                <w:rFonts w:hint="default" w:ascii="Times New Roman" w:hAnsi="Times New Roman" w:eastAsia="宋体" w:cs="Times New Roman"/>
                <w:color w:val="auto"/>
                <w:szCs w:val="21"/>
                <w:highlight w:val="none"/>
                <w:u w:val="none" w:color="auto"/>
              </w:rPr>
              <w:t>润滑油、液压油、乳液</w:t>
            </w:r>
            <w:r>
              <w:rPr>
                <w:rFonts w:hint="default" w:ascii="Times New Roman" w:hAnsi="Times New Roman" w:eastAsia="宋体" w:cs="Times New Roman"/>
                <w:color w:val="auto"/>
                <w:sz w:val="21"/>
                <w:szCs w:val="21"/>
                <w:highlight w:val="none"/>
                <w:u w:val="none" w:color="auto"/>
                <w:lang w:eastAsia="zh-CN"/>
              </w:rPr>
              <w:t>、</w:t>
            </w:r>
            <w:r>
              <w:rPr>
                <w:rFonts w:hint="default" w:ascii="Times New Roman" w:hAnsi="Times New Roman" w:eastAsia="宋体" w:cs="Times New Roman"/>
                <w:color w:val="auto"/>
                <w:sz w:val="21"/>
                <w:szCs w:val="21"/>
                <w:highlight w:val="none"/>
                <w:u w:val="none" w:color="auto"/>
                <w:lang w:val="en-US" w:eastAsia="zh-CN"/>
              </w:rPr>
              <w:t>脱模剂</w:t>
            </w:r>
          </w:p>
        </w:tc>
        <w:tc>
          <w:tcPr>
            <w:tcW w:w="1067" w:type="dxa"/>
            <w:noWrap w:val="0"/>
            <w:vAlign w:val="center"/>
          </w:tcPr>
          <w:p w14:paraId="62A9E401">
            <w:pPr>
              <w:pStyle w:val="54"/>
              <w:topLinePunct w:val="0"/>
              <w:bidi w:val="0"/>
              <w:adjustRightInd/>
              <w:snapToGrid/>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泄漏</w:t>
            </w:r>
          </w:p>
        </w:tc>
        <w:tc>
          <w:tcPr>
            <w:tcW w:w="971" w:type="dxa"/>
            <w:noWrap w:val="0"/>
            <w:vAlign w:val="center"/>
          </w:tcPr>
          <w:p w14:paraId="449C2606">
            <w:pPr>
              <w:pStyle w:val="54"/>
              <w:topLinePunct w:val="0"/>
              <w:bidi w:val="0"/>
              <w:adjustRightInd/>
              <w:snapToGrid/>
              <w:jc w:val="center"/>
              <w:rPr>
                <w:rFonts w:hint="default" w:ascii="Times New Roman" w:hAnsi="Times New Roman" w:eastAsia="宋体" w:cs="Times New Roman"/>
                <w:color w:val="auto"/>
                <w:sz w:val="21"/>
                <w:szCs w:val="21"/>
                <w:highlight w:val="none"/>
                <w:u w:val="none" w:color="auto"/>
                <w:lang w:eastAsia="zh-CN"/>
              </w:rPr>
            </w:pPr>
            <w:r>
              <w:rPr>
                <w:rFonts w:hint="default" w:ascii="Times New Roman" w:hAnsi="Times New Roman" w:eastAsia="宋体" w:cs="Times New Roman"/>
                <w:color w:val="auto"/>
                <w:sz w:val="21"/>
                <w:szCs w:val="21"/>
                <w:highlight w:val="none"/>
                <w:u w:val="none" w:color="auto"/>
                <w:lang w:eastAsia="zh-CN"/>
              </w:rPr>
              <w:t>地表水、地下水、土壤</w:t>
            </w:r>
          </w:p>
        </w:tc>
        <w:tc>
          <w:tcPr>
            <w:tcW w:w="1885" w:type="dxa"/>
            <w:noWrap w:val="0"/>
            <w:vAlign w:val="center"/>
          </w:tcPr>
          <w:p w14:paraId="32E42361">
            <w:pPr>
              <w:pStyle w:val="54"/>
              <w:topLinePunct w:val="0"/>
              <w:bidi w:val="0"/>
              <w:adjustRightInd/>
              <w:snapToGrid/>
              <w:jc w:val="center"/>
              <w:rPr>
                <w:rFonts w:hint="default" w:ascii="Times New Roman" w:hAnsi="Times New Roman" w:eastAsia="宋体" w:cs="Times New Roman"/>
                <w:color w:val="auto"/>
                <w:kern w:val="0"/>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lang w:eastAsia="zh-CN"/>
              </w:rPr>
              <w:t>泄漏物质若进入厂区污水管网后，基本不对地表水造成影响，若进入雨水管网，可能存在排入外水环境的风险；采取防渗后基本不影响地下水、土壤；</w:t>
            </w:r>
          </w:p>
        </w:tc>
        <w:tc>
          <w:tcPr>
            <w:tcW w:w="1220" w:type="dxa"/>
            <w:noWrap w:val="0"/>
            <w:vAlign w:val="center"/>
          </w:tcPr>
          <w:p w14:paraId="06A35A27">
            <w:pPr>
              <w:pStyle w:val="54"/>
              <w:topLinePunct w:val="0"/>
              <w:bidi w:val="0"/>
              <w:adjustRightInd/>
              <w:snapToGrid/>
              <w:jc w:val="center"/>
              <w:rPr>
                <w:rFonts w:hint="default" w:ascii="Times New Roman" w:hAnsi="Times New Roman" w:eastAsia="宋体" w:cs="Times New Roman"/>
                <w:color w:val="auto"/>
                <w:sz w:val="21"/>
                <w:szCs w:val="21"/>
                <w:highlight w:val="none"/>
                <w:u w:val="none" w:color="auto"/>
                <w:lang w:eastAsia="zh-CN"/>
              </w:rPr>
            </w:pPr>
          </w:p>
        </w:tc>
      </w:tr>
      <w:tr w14:paraId="664F20C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563" w:type="dxa"/>
            <w:vMerge w:val="restart"/>
            <w:noWrap w:val="0"/>
            <w:vAlign w:val="center"/>
          </w:tcPr>
          <w:p w14:paraId="6C46E53C">
            <w:pPr>
              <w:pStyle w:val="54"/>
              <w:topLinePunct w:val="0"/>
              <w:bidi w:val="0"/>
              <w:adjustRightInd/>
              <w:snapToGrid/>
              <w:jc w:val="center"/>
              <w:rPr>
                <w:rFonts w:hint="default" w:ascii="Times New Roman" w:hAnsi="Times New Roman" w:eastAsia="宋体" w:cs="Times New Roman"/>
                <w:color w:val="auto"/>
                <w:sz w:val="21"/>
                <w:szCs w:val="21"/>
                <w:highlight w:val="none"/>
                <w:u w:val="none" w:color="auto"/>
                <w:lang w:eastAsia="zh-CN"/>
              </w:rPr>
            </w:pPr>
            <w:r>
              <w:rPr>
                <w:rFonts w:hint="default" w:ascii="Times New Roman" w:hAnsi="Times New Roman" w:eastAsia="宋体" w:cs="Times New Roman"/>
                <w:color w:val="auto"/>
                <w:sz w:val="21"/>
                <w:szCs w:val="21"/>
                <w:highlight w:val="none"/>
                <w:u w:val="none" w:color="auto"/>
                <w:lang w:val="en-US" w:eastAsia="zh-CN"/>
              </w:rPr>
              <w:t>4</w:t>
            </w:r>
          </w:p>
        </w:tc>
        <w:tc>
          <w:tcPr>
            <w:tcW w:w="827" w:type="dxa"/>
            <w:vMerge w:val="restart"/>
            <w:noWrap w:val="0"/>
            <w:vAlign w:val="center"/>
          </w:tcPr>
          <w:p w14:paraId="3FB763AD">
            <w:pPr>
              <w:pStyle w:val="54"/>
              <w:topLinePunct w:val="0"/>
              <w:bidi w:val="0"/>
              <w:adjustRightInd/>
              <w:snapToGrid/>
              <w:jc w:val="center"/>
              <w:rPr>
                <w:rFonts w:hint="default" w:ascii="Times New Roman" w:hAnsi="Times New Roman" w:eastAsia="宋体" w:cs="Times New Roman"/>
                <w:color w:val="auto"/>
                <w:sz w:val="21"/>
                <w:szCs w:val="21"/>
                <w:highlight w:val="none"/>
                <w:u w:val="none" w:color="auto"/>
                <w:lang w:eastAsia="zh-CN"/>
              </w:rPr>
            </w:pPr>
            <w:r>
              <w:rPr>
                <w:rFonts w:hint="default" w:ascii="Times New Roman" w:hAnsi="Times New Roman" w:eastAsia="宋体" w:cs="Times New Roman"/>
                <w:color w:val="auto"/>
                <w:sz w:val="21"/>
                <w:szCs w:val="21"/>
                <w:highlight w:val="none"/>
                <w:u w:val="none" w:color="auto"/>
                <w:lang w:eastAsia="zh-CN"/>
              </w:rPr>
              <w:t>环保设施</w:t>
            </w:r>
          </w:p>
        </w:tc>
        <w:tc>
          <w:tcPr>
            <w:tcW w:w="1221" w:type="dxa"/>
            <w:noWrap w:val="0"/>
            <w:vAlign w:val="center"/>
          </w:tcPr>
          <w:p w14:paraId="7AF4122D">
            <w:pPr>
              <w:pStyle w:val="54"/>
              <w:topLinePunct w:val="0"/>
              <w:bidi w:val="0"/>
              <w:adjustRightInd/>
              <w:snapToGrid/>
              <w:jc w:val="center"/>
              <w:rPr>
                <w:rFonts w:hint="default" w:ascii="Times New Roman" w:hAnsi="Times New Roman" w:eastAsia="宋体" w:cs="Times New Roman"/>
                <w:color w:val="auto"/>
                <w:sz w:val="21"/>
                <w:szCs w:val="21"/>
                <w:highlight w:val="none"/>
                <w:u w:val="none" w:color="auto"/>
                <w:lang w:eastAsia="zh-CN"/>
              </w:rPr>
            </w:pPr>
            <w:r>
              <w:rPr>
                <w:rFonts w:hint="default" w:ascii="Times New Roman" w:hAnsi="Times New Roman" w:eastAsia="宋体" w:cs="Times New Roman"/>
                <w:color w:val="auto"/>
                <w:sz w:val="21"/>
                <w:szCs w:val="21"/>
                <w:highlight w:val="none"/>
                <w:u w:val="none" w:color="auto"/>
                <w:lang w:eastAsia="zh-CN"/>
              </w:rPr>
              <w:t>废气处理装置</w:t>
            </w:r>
          </w:p>
        </w:tc>
        <w:tc>
          <w:tcPr>
            <w:tcW w:w="1060" w:type="dxa"/>
            <w:noWrap w:val="0"/>
            <w:vAlign w:val="center"/>
          </w:tcPr>
          <w:p w14:paraId="4FCC3034">
            <w:pPr>
              <w:pStyle w:val="54"/>
              <w:topLinePunct w:val="0"/>
              <w:bidi w:val="0"/>
              <w:adjustRightInd/>
              <w:snapToGrid/>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eastAsia="zh-CN"/>
              </w:rPr>
              <w:t>颗粒物、</w:t>
            </w:r>
            <w:r>
              <w:rPr>
                <w:rFonts w:hint="default" w:ascii="Times New Roman" w:hAnsi="Times New Roman" w:eastAsia="宋体" w:cs="Times New Roman"/>
                <w:color w:val="auto"/>
                <w:sz w:val="21"/>
                <w:szCs w:val="21"/>
                <w:highlight w:val="none"/>
                <w:u w:val="none" w:color="auto"/>
                <w:lang w:val="en-US" w:eastAsia="zh-CN"/>
              </w:rPr>
              <w:t>二氧化硫</w:t>
            </w:r>
            <w:r>
              <w:rPr>
                <w:rFonts w:hint="default" w:ascii="Times New Roman" w:hAnsi="Times New Roman" w:eastAsia="宋体" w:cs="Times New Roman"/>
                <w:color w:val="auto"/>
                <w:sz w:val="21"/>
                <w:szCs w:val="21"/>
                <w:highlight w:val="none"/>
                <w:u w:val="none" w:color="auto"/>
                <w:lang w:eastAsia="zh-CN"/>
              </w:rPr>
              <w:t>等</w:t>
            </w:r>
          </w:p>
        </w:tc>
        <w:tc>
          <w:tcPr>
            <w:tcW w:w="1067" w:type="dxa"/>
            <w:vMerge w:val="restart"/>
            <w:noWrap w:val="0"/>
            <w:vAlign w:val="center"/>
          </w:tcPr>
          <w:p w14:paraId="67625793">
            <w:pPr>
              <w:pStyle w:val="54"/>
              <w:topLinePunct w:val="0"/>
              <w:bidi w:val="0"/>
              <w:adjustRightInd/>
              <w:snapToGrid/>
              <w:jc w:val="center"/>
              <w:rPr>
                <w:rFonts w:hint="default" w:ascii="Times New Roman" w:hAnsi="Times New Roman" w:eastAsia="宋体" w:cs="Times New Roman"/>
                <w:color w:val="auto"/>
                <w:sz w:val="21"/>
                <w:szCs w:val="21"/>
                <w:highlight w:val="none"/>
                <w:u w:val="none" w:color="auto"/>
                <w:lang w:eastAsia="zh-CN"/>
              </w:rPr>
            </w:pPr>
            <w:r>
              <w:rPr>
                <w:rFonts w:hint="default" w:ascii="Times New Roman" w:hAnsi="Times New Roman" w:eastAsia="宋体" w:cs="Times New Roman"/>
                <w:color w:val="auto"/>
                <w:sz w:val="21"/>
                <w:szCs w:val="21"/>
                <w:highlight w:val="none"/>
                <w:u w:val="none" w:color="auto"/>
                <w:lang w:eastAsia="zh-CN"/>
              </w:rPr>
              <w:t>事故排放、超标排放</w:t>
            </w:r>
          </w:p>
        </w:tc>
        <w:tc>
          <w:tcPr>
            <w:tcW w:w="971" w:type="dxa"/>
            <w:noWrap w:val="0"/>
            <w:vAlign w:val="center"/>
          </w:tcPr>
          <w:p w14:paraId="1B79F2C7">
            <w:pPr>
              <w:pStyle w:val="54"/>
              <w:topLinePunct w:val="0"/>
              <w:bidi w:val="0"/>
              <w:adjustRightInd/>
              <w:snapToGrid/>
              <w:jc w:val="center"/>
              <w:rPr>
                <w:rFonts w:hint="default" w:ascii="Times New Roman" w:hAnsi="Times New Roman" w:eastAsia="宋体" w:cs="Times New Roman"/>
                <w:color w:val="auto"/>
                <w:sz w:val="21"/>
                <w:szCs w:val="21"/>
                <w:highlight w:val="none"/>
                <w:u w:val="none" w:color="auto"/>
                <w:lang w:eastAsia="zh-CN"/>
              </w:rPr>
            </w:pPr>
            <w:r>
              <w:rPr>
                <w:rFonts w:hint="default" w:ascii="Times New Roman" w:hAnsi="Times New Roman" w:eastAsia="宋体" w:cs="Times New Roman"/>
                <w:color w:val="auto"/>
                <w:sz w:val="21"/>
                <w:szCs w:val="21"/>
                <w:highlight w:val="none"/>
                <w:u w:val="none" w:color="auto"/>
                <w:lang w:eastAsia="zh-CN"/>
              </w:rPr>
              <w:t>大气</w:t>
            </w:r>
          </w:p>
        </w:tc>
        <w:tc>
          <w:tcPr>
            <w:tcW w:w="1885" w:type="dxa"/>
            <w:noWrap w:val="0"/>
            <w:vAlign w:val="center"/>
          </w:tcPr>
          <w:p w14:paraId="245498DE">
            <w:pPr>
              <w:pStyle w:val="54"/>
              <w:topLinePunct w:val="0"/>
              <w:bidi w:val="0"/>
              <w:adjustRightInd/>
              <w:snapToGrid/>
              <w:jc w:val="center"/>
              <w:rPr>
                <w:rFonts w:hint="default" w:ascii="Times New Roman" w:hAnsi="Times New Roman" w:eastAsia="宋体" w:cs="Times New Roman"/>
                <w:color w:val="auto"/>
                <w:sz w:val="21"/>
                <w:szCs w:val="21"/>
                <w:highlight w:val="none"/>
                <w:u w:val="none" w:color="auto"/>
                <w:lang w:eastAsia="zh-CN"/>
              </w:rPr>
            </w:pPr>
            <w:r>
              <w:rPr>
                <w:rFonts w:hint="default" w:ascii="Times New Roman" w:hAnsi="Times New Roman" w:eastAsia="宋体" w:cs="Times New Roman"/>
                <w:color w:val="auto"/>
                <w:sz w:val="21"/>
                <w:szCs w:val="21"/>
                <w:highlight w:val="none"/>
                <w:u w:val="none" w:color="auto"/>
                <w:lang w:eastAsia="zh-CN"/>
              </w:rPr>
              <w:t>大气环境保护目标</w:t>
            </w:r>
          </w:p>
        </w:tc>
        <w:tc>
          <w:tcPr>
            <w:tcW w:w="1220" w:type="dxa"/>
            <w:noWrap w:val="0"/>
            <w:vAlign w:val="center"/>
          </w:tcPr>
          <w:p w14:paraId="5E7AD04B">
            <w:pPr>
              <w:pStyle w:val="54"/>
              <w:topLinePunct w:val="0"/>
              <w:bidi w:val="0"/>
              <w:adjustRightInd/>
              <w:snapToGrid/>
              <w:jc w:val="center"/>
              <w:rPr>
                <w:rFonts w:hint="default" w:ascii="Times New Roman" w:hAnsi="Times New Roman" w:eastAsia="宋体" w:cs="Times New Roman"/>
                <w:color w:val="auto"/>
                <w:sz w:val="21"/>
                <w:szCs w:val="21"/>
                <w:highlight w:val="none"/>
                <w:u w:val="none" w:color="auto"/>
                <w:lang w:eastAsia="zh-CN"/>
              </w:rPr>
            </w:pPr>
          </w:p>
        </w:tc>
      </w:tr>
      <w:tr w14:paraId="7AFFAC9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563" w:type="dxa"/>
            <w:vMerge w:val="continue"/>
            <w:noWrap w:val="0"/>
            <w:vAlign w:val="center"/>
          </w:tcPr>
          <w:p w14:paraId="1E3A2203">
            <w:pPr>
              <w:pStyle w:val="54"/>
              <w:topLinePunct w:val="0"/>
              <w:bidi w:val="0"/>
              <w:adjustRightInd/>
              <w:snapToGrid/>
              <w:jc w:val="center"/>
              <w:rPr>
                <w:rFonts w:hint="default" w:ascii="Times New Roman" w:hAnsi="Times New Roman" w:eastAsia="宋体" w:cs="Times New Roman"/>
                <w:color w:val="auto"/>
                <w:sz w:val="21"/>
                <w:szCs w:val="21"/>
                <w:highlight w:val="none"/>
                <w:u w:val="none" w:color="auto"/>
                <w:lang w:eastAsia="zh-CN"/>
              </w:rPr>
            </w:pPr>
          </w:p>
        </w:tc>
        <w:tc>
          <w:tcPr>
            <w:tcW w:w="827" w:type="dxa"/>
            <w:vMerge w:val="continue"/>
            <w:noWrap w:val="0"/>
            <w:vAlign w:val="center"/>
          </w:tcPr>
          <w:p w14:paraId="59E00081">
            <w:pPr>
              <w:pStyle w:val="54"/>
              <w:topLinePunct w:val="0"/>
              <w:bidi w:val="0"/>
              <w:adjustRightInd/>
              <w:snapToGrid/>
              <w:jc w:val="center"/>
              <w:rPr>
                <w:rFonts w:hint="default" w:ascii="Times New Roman" w:hAnsi="Times New Roman" w:eastAsia="宋体" w:cs="Times New Roman"/>
                <w:color w:val="auto"/>
                <w:sz w:val="21"/>
                <w:szCs w:val="21"/>
                <w:highlight w:val="none"/>
                <w:u w:val="none" w:color="auto"/>
                <w:lang w:eastAsia="zh-CN"/>
              </w:rPr>
            </w:pPr>
          </w:p>
        </w:tc>
        <w:tc>
          <w:tcPr>
            <w:tcW w:w="1221" w:type="dxa"/>
            <w:noWrap w:val="0"/>
            <w:vAlign w:val="center"/>
          </w:tcPr>
          <w:p w14:paraId="747B163D">
            <w:pPr>
              <w:pStyle w:val="54"/>
              <w:topLinePunct w:val="0"/>
              <w:bidi w:val="0"/>
              <w:adjustRightInd/>
              <w:snapToGrid/>
              <w:jc w:val="center"/>
              <w:rPr>
                <w:rFonts w:hint="default" w:ascii="Times New Roman" w:hAnsi="Times New Roman" w:eastAsia="宋体" w:cs="Times New Roman"/>
                <w:color w:val="auto"/>
                <w:sz w:val="21"/>
                <w:szCs w:val="21"/>
                <w:highlight w:val="none"/>
                <w:u w:val="none" w:color="auto"/>
                <w:lang w:eastAsia="zh-CN"/>
              </w:rPr>
            </w:pPr>
            <w:r>
              <w:rPr>
                <w:rFonts w:hint="default" w:ascii="Times New Roman" w:hAnsi="Times New Roman" w:eastAsia="宋体" w:cs="Times New Roman"/>
                <w:color w:val="auto"/>
                <w:sz w:val="21"/>
                <w:szCs w:val="21"/>
                <w:highlight w:val="none"/>
                <w:u w:val="none" w:color="auto"/>
                <w:lang w:eastAsia="zh-CN"/>
              </w:rPr>
              <w:t>废水处理站</w:t>
            </w:r>
          </w:p>
        </w:tc>
        <w:tc>
          <w:tcPr>
            <w:tcW w:w="1060" w:type="dxa"/>
            <w:noWrap w:val="0"/>
            <w:vAlign w:val="center"/>
          </w:tcPr>
          <w:p w14:paraId="728E08C6">
            <w:pPr>
              <w:pStyle w:val="54"/>
              <w:topLinePunct w:val="0"/>
              <w:bidi w:val="0"/>
              <w:adjustRightInd/>
              <w:snapToGrid/>
              <w:jc w:val="center"/>
              <w:rPr>
                <w:rFonts w:hint="default" w:ascii="Times New Roman" w:hAnsi="Times New Roman" w:eastAsia="宋体" w:cs="Times New Roman"/>
                <w:color w:val="auto"/>
                <w:sz w:val="21"/>
                <w:szCs w:val="21"/>
                <w:highlight w:val="none"/>
                <w:u w:val="none" w:color="auto"/>
                <w:lang w:eastAsia="zh-CN"/>
              </w:rPr>
            </w:pPr>
            <w:r>
              <w:rPr>
                <w:rFonts w:hint="default" w:ascii="Times New Roman" w:hAnsi="Times New Roman" w:eastAsia="宋体" w:cs="Times New Roman"/>
                <w:color w:val="auto"/>
                <w:sz w:val="21"/>
                <w:szCs w:val="21"/>
                <w:highlight w:val="none"/>
                <w:u w:val="none" w:color="auto"/>
                <w:lang w:eastAsia="zh-CN"/>
              </w:rPr>
              <w:t>pH、COD、石油类等</w:t>
            </w:r>
          </w:p>
        </w:tc>
        <w:tc>
          <w:tcPr>
            <w:tcW w:w="1067" w:type="dxa"/>
            <w:vMerge w:val="continue"/>
            <w:noWrap w:val="0"/>
            <w:vAlign w:val="center"/>
          </w:tcPr>
          <w:p w14:paraId="5655785A">
            <w:pPr>
              <w:pStyle w:val="54"/>
              <w:topLinePunct w:val="0"/>
              <w:bidi w:val="0"/>
              <w:adjustRightInd/>
              <w:snapToGrid/>
              <w:jc w:val="center"/>
              <w:rPr>
                <w:rFonts w:hint="default" w:ascii="Times New Roman" w:hAnsi="Times New Roman" w:eastAsia="宋体" w:cs="Times New Roman"/>
                <w:color w:val="auto"/>
                <w:sz w:val="21"/>
                <w:szCs w:val="21"/>
                <w:highlight w:val="none"/>
                <w:u w:val="none" w:color="auto"/>
                <w:lang w:eastAsia="zh-CN"/>
              </w:rPr>
            </w:pPr>
          </w:p>
        </w:tc>
        <w:tc>
          <w:tcPr>
            <w:tcW w:w="971" w:type="dxa"/>
            <w:noWrap w:val="0"/>
            <w:vAlign w:val="center"/>
          </w:tcPr>
          <w:p w14:paraId="1B36E0D1">
            <w:pPr>
              <w:pStyle w:val="54"/>
              <w:topLinePunct w:val="0"/>
              <w:bidi w:val="0"/>
              <w:adjustRightInd/>
              <w:snapToGrid/>
              <w:jc w:val="center"/>
              <w:rPr>
                <w:rFonts w:hint="default" w:ascii="Times New Roman" w:hAnsi="Times New Roman" w:eastAsia="宋体" w:cs="Times New Roman"/>
                <w:color w:val="auto"/>
                <w:sz w:val="21"/>
                <w:szCs w:val="21"/>
                <w:highlight w:val="none"/>
                <w:u w:val="none" w:color="auto"/>
                <w:lang w:eastAsia="zh-CN"/>
              </w:rPr>
            </w:pPr>
            <w:r>
              <w:rPr>
                <w:rFonts w:hint="default" w:ascii="Times New Roman" w:hAnsi="Times New Roman" w:eastAsia="宋体" w:cs="Times New Roman"/>
                <w:color w:val="auto"/>
                <w:sz w:val="21"/>
                <w:szCs w:val="21"/>
                <w:highlight w:val="none"/>
                <w:u w:val="none" w:color="auto"/>
                <w:lang w:eastAsia="zh-CN"/>
              </w:rPr>
              <w:t>土壤、地下水</w:t>
            </w:r>
          </w:p>
        </w:tc>
        <w:tc>
          <w:tcPr>
            <w:tcW w:w="1885" w:type="dxa"/>
            <w:noWrap w:val="0"/>
            <w:vAlign w:val="center"/>
          </w:tcPr>
          <w:p w14:paraId="5491610E">
            <w:pPr>
              <w:pStyle w:val="54"/>
              <w:topLinePunct w:val="0"/>
              <w:bidi w:val="0"/>
              <w:adjustRightInd/>
              <w:snapToGrid/>
              <w:jc w:val="center"/>
              <w:rPr>
                <w:rFonts w:hint="default" w:ascii="Times New Roman" w:hAnsi="Times New Roman" w:eastAsia="宋体" w:cs="Times New Roman"/>
                <w:color w:val="auto"/>
                <w:sz w:val="21"/>
                <w:szCs w:val="21"/>
                <w:highlight w:val="none"/>
                <w:u w:val="none" w:color="auto"/>
                <w:lang w:eastAsia="zh-CN"/>
              </w:rPr>
            </w:pPr>
            <w:r>
              <w:rPr>
                <w:rFonts w:hint="default" w:ascii="Times New Roman" w:hAnsi="Times New Roman" w:eastAsia="宋体" w:cs="Times New Roman"/>
                <w:color w:val="auto"/>
                <w:sz w:val="21"/>
                <w:szCs w:val="21"/>
                <w:highlight w:val="none"/>
                <w:u w:val="none" w:color="auto"/>
                <w:lang w:eastAsia="zh-CN"/>
              </w:rPr>
              <w:t>破损后渗入土壤</w:t>
            </w:r>
          </w:p>
        </w:tc>
        <w:tc>
          <w:tcPr>
            <w:tcW w:w="1220" w:type="dxa"/>
            <w:noWrap w:val="0"/>
            <w:vAlign w:val="center"/>
          </w:tcPr>
          <w:p w14:paraId="7AC2B96C">
            <w:pPr>
              <w:pStyle w:val="54"/>
              <w:topLinePunct w:val="0"/>
              <w:bidi w:val="0"/>
              <w:adjustRightInd/>
              <w:snapToGrid/>
              <w:jc w:val="center"/>
              <w:rPr>
                <w:rFonts w:hint="default" w:ascii="Times New Roman" w:hAnsi="Times New Roman" w:eastAsia="宋体" w:cs="Times New Roman"/>
                <w:color w:val="auto"/>
                <w:sz w:val="21"/>
                <w:szCs w:val="21"/>
                <w:highlight w:val="none"/>
                <w:u w:val="none" w:color="auto"/>
                <w:lang w:eastAsia="zh-CN"/>
              </w:rPr>
            </w:pPr>
            <w:r>
              <w:rPr>
                <w:rFonts w:hint="default" w:ascii="Times New Roman" w:hAnsi="Times New Roman" w:eastAsia="宋体" w:cs="Times New Roman"/>
                <w:color w:val="auto"/>
                <w:sz w:val="21"/>
                <w:szCs w:val="21"/>
                <w:highlight w:val="none"/>
                <w:u w:val="none" w:color="auto"/>
                <w:lang w:eastAsia="zh-CN"/>
              </w:rPr>
              <w:t>进入污水处理厂，不直接影响水体环境</w:t>
            </w:r>
          </w:p>
        </w:tc>
      </w:tr>
      <w:tr w14:paraId="1C7B52D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563" w:type="dxa"/>
            <w:vMerge w:val="continue"/>
            <w:noWrap w:val="0"/>
            <w:vAlign w:val="center"/>
          </w:tcPr>
          <w:p w14:paraId="116103BC">
            <w:pPr>
              <w:pStyle w:val="54"/>
              <w:topLinePunct w:val="0"/>
              <w:bidi w:val="0"/>
              <w:adjustRightInd/>
              <w:snapToGrid/>
              <w:jc w:val="center"/>
              <w:rPr>
                <w:rFonts w:hint="default" w:ascii="Times New Roman" w:hAnsi="Times New Roman" w:eastAsia="宋体" w:cs="Times New Roman"/>
                <w:color w:val="auto"/>
                <w:sz w:val="21"/>
                <w:szCs w:val="21"/>
                <w:highlight w:val="none"/>
                <w:u w:val="none" w:color="auto"/>
                <w:lang w:eastAsia="zh-CN"/>
              </w:rPr>
            </w:pPr>
          </w:p>
        </w:tc>
        <w:tc>
          <w:tcPr>
            <w:tcW w:w="827" w:type="dxa"/>
            <w:vMerge w:val="continue"/>
            <w:noWrap w:val="0"/>
            <w:vAlign w:val="center"/>
          </w:tcPr>
          <w:p w14:paraId="7C2C9817">
            <w:pPr>
              <w:pStyle w:val="54"/>
              <w:topLinePunct w:val="0"/>
              <w:bidi w:val="0"/>
              <w:adjustRightInd/>
              <w:snapToGrid/>
              <w:jc w:val="center"/>
              <w:rPr>
                <w:rFonts w:hint="default" w:ascii="Times New Roman" w:hAnsi="Times New Roman" w:eastAsia="宋体" w:cs="Times New Roman"/>
                <w:color w:val="auto"/>
                <w:sz w:val="21"/>
                <w:szCs w:val="21"/>
                <w:highlight w:val="none"/>
                <w:u w:val="none" w:color="auto"/>
                <w:lang w:eastAsia="zh-CN"/>
              </w:rPr>
            </w:pPr>
          </w:p>
        </w:tc>
        <w:tc>
          <w:tcPr>
            <w:tcW w:w="1221" w:type="dxa"/>
            <w:noWrap w:val="0"/>
            <w:vAlign w:val="center"/>
          </w:tcPr>
          <w:p w14:paraId="69B5194E">
            <w:pPr>
              <w:pStyle w:val="54"/>
              <w:topLinePunct w:val="0"/>
              <w:bidi w:val="0"/>
              <w:adjustRightInd/>
              <w:snapToGrid/>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TS001、TS002危废暂存间</w:t>
            </w:r>
          </w:p>
        </w:tc>
        <w:tc>
          <w:tcPr>
            <w:tcW w:w="1060" w:type="dxa"/>
            <w:noWrap w:val="0"/>
            <w:vAlign w:val="center"/>
          </w:tcPr>
          <w:p w14:paraId="340F07ED">
            <w:pPr>
              <w:pStyle w:val="54"/>
              <w:topLinePunct w:val="0"/>
              <w:bidi w:val="0"/>
              <w:adjustRightInd/>
              <w:snapToGrid/>
              <w:jc w:val="center"/>
              <w:rPr>
                <w:rFonts w:hint="default" w:ascii="Times New Roman" w:hAnsi="Times New Roman" w:eastAsia="宋体" w:cs="Times New Roman"/>
                <w:color w:val="auto"/>
                <w:sz w:val="21"/>
                <w:szCs w:val="21"/>
                <w:highlight w:val="none"/>
                <w:u w:val="none" w:color="auto"/>
                <w:lang w:eastAsia="zh-CN"/>
              </w:rPr>
            </w:pPr>
            <w:r>
              <w:rPr>
                <w:rFonts w:hint="default" w:ascii="Times New Roman" w:hAnsi="Times New Roman" w:eastAsia="宋体" w:cs="Times New Roman"/>
                <w:color w:val="auto"/>
                <w:sz w:val="21"/>
                <w:szCs w:val="21"/>
                <w:highlight w:val="none"/>
                <w:u w:val="none" w:color="auto"/>
                <w:lang w:eastAsia="zh-CN"/>
              </w:rPr>
              <w:t>废矿物油、</w:t>
            </w:r>
            <w:r>
              <w:rPr>
                <w:rFonts w:hint="default" w:ascii="Times New Roman" w:hAnsi="Times New Roman" w:eastAsia="宋体" w:cs="Times New Roman"/>
                <w:color w:val="auto"/>
                <w:kern w:val="21"/>
                <w:szCs w:val="21"/>
                <w:highlight w:val="none"/>
                <w:u w:val="none" w:color="auto"/>
              </w:rPr>
              <w:t>实验室废液</w:t>
            </w:r>
            <w:r>
              <w:rPr>
                <w:rFonts w:hint="default" w:ascii="Times New Roman" w:hAnsi="Times New Roman" w:eastAsia="宋体" w:cs="Times New Roman"/>
                <w:color w:val="auto"/>
                <w:kern w:val="21"/>
                <w:szCs w:val="21"/>
                <w:highlight w:val="none"/>
                <w:u w:val="none" w:color="auto"/>
                <w:lang w:val="en-US" w:eastAsia="zh-CN"/>
              </w:rPr>
              <w:t>等</w:t>
            </w:r>
          </w:p>
        </w:tc>
        <w:tc>
          <w:tcPr>
            <w:tcW w:w="1067" w:type="dxa"/>
            <w:noWrap w:val="0"/>
            <w:vAlign w:val="center"/>
          </w:tcPr>
          <w:p w14:paraId="1C157653">
            <w:pPr>
              <w:pStyle w:val="54"/>
              <w:topLinePunct w:val="0"/>
              <w:bidi w:val="0"/>
              <w:adjustRightInd/>
              <w:snapToGrid/>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eastAsia="zh-CN"/>
              </w:rPr>
              <w:t>泄漏</w:t>
            </w:r>
          </w:p>
        </w:tc>
        <w:tc>
          <w:tcPr>
            <w:tcW w:w="971" w:type="dxa"/>
            <w:noWrap w:val="0"/>
            <w:vAlign w:val="center"/>
          </w:tcPr>
          <w:p w14:paraId="2A2197DE">
            <w:pPr>
              <w:pStyle w:val="54"/>
              <w:topLinePunct w:val="0"/>
              <w:bidi w:val="0"/>
              <w:adjustRightInd/>
              <w:snapToGrid/>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eastAsia="zh-CN"/>
              </w:rPr>
              <w:t>土壤、</w:t>
            </w:r>
            <w:r>
              <w:rPr>
                <w:rFonts w:hint="default" w:ascii="Times New Roman" w:hAnsi="Times New Roman" w:eastAsia="宋体" w:cs="Times New Roman"/>
                <w:color w:val="auto"/>
                <w:sz w:val="21"/>
                <w:szCs w:val="21"/>
                <w:highlight w:val="none"/>
                <w:u w:val="none" w:color="auto"/>
                <w:lang w:val="en-US" w:eastAsia="zh-CN"/>
              </w:rPr>
              <w:t>地表水</w:t>
            </w:r>
            <w:r>
              <w:rPr>
                <w:rFonts w:hint="default" w:ascii="Times New Roman" w:hAnsi="Times New Roman" w:eastAsia="宋体" w:cs="Times New Roman"/>
                <w:color w:val="auto"/>
                <w:sz w:val="21"/>
                <w:szCs w:val="21"/>
                <w:highlight w:val="none"/>
                <w:u w:val="none" w:color="auto"/>
                <w:lang w:eastAsia="zh-CN"/>
              </w:rPr>
              <w:t>、</w:t>
            </w:r>
            <w:r>
              <w:rPr>
                <w:rFonts w:hint="default" w:ascii="Times New Roman" w:hAnsi="Times New Roman" w:eastAsia="宋体" w:cs="Times New Roman"/>
                <w:color w:val="auto"/>
                <w:sz w:val="21"/>
                <w:szCs w:val="21"/>
                <w:highlight w:val="none"/>
                <w:u w:val="none" w:color="auto"/>
                <w:lang w:val="en-US" w:eastAsia="zh-CN"/>
              </w:rPr>
              <w:t>地</w:t>
            </w:r>
            <w:r>
              <w:rPr>
                <w:rFonts w:hint="default" w:ascii="Times New Roman" w:hAnsi="Times New Roman" w:eastAsia="宋体" w:cs="Times New Roman"/>
                <w:color w:val="auto"/>
                <w:sz w:val="21"/>
                <w:szCs w:val="21"/>
                <w:highlight w:val="none"/>
                <w:u w:val="none" w:color="auto"/>
                <w:lang w:eastAsia="zh-CN"/>
              </w:rPr>
              <w:t>下水</w:t>
            </w:r>
          </w:p>
        </w:tc>
        <w:tc>
          <w:tcPr>
            <w:tcW w:w="1885" w:type="dxa"/>
            <w:noWrap w:val="0"/>
            <w:vAlign w:val="center"/>
          </w:tcPr>
          <w:p w14:paraId="4196AB1B">
            <w:pPr>
              <w:pStyle w:val="54"/>
              <w:topLinePunct w:val="0"/>
              <w:bidi w:val="0"/>
              <w:adjustRightInd/>
              <w:snapToGrid/>
              <w:jc w:val="center"/>
              <w:rPr>
                <w:rFonts w:hint="default" w:ascii="Times New Roman" w:hAnsi="Times New Roman" w:eastAsia="宋体" w:cs="Times New Roman"/>
                <w:color w:val="auto"/>
                <w:sz w:val="21"/>
                <w:szCs w:val="21"/>
                <w:highlight w:val="none"/>
                <w:u w:val="none" w:color="auto"/>
                <w:lang w:eastAsia="zh-CN"/>
              </w:rPr>
            </w:pPr>
            <w:r>
              <w:rPr>
                <w:rFonts w:hint="default" w:ascii="Times New Roman" w:hAnsi="Times New Roman" w:eastAsia="宋体" w:cs="Times New Roman"/>
                <w:color w:val="auto"/>
                <w:sz w:val="21"/>
                <w:szCs w:val="21"/>
                <w:highlight w:val="none"/>
                <w:u w:val="none" w:color="auto"/>
                <w:lang w:eastAsia="zh-CN"/>
              </w:rPr>
              <w:t>采取防渗后基本不影响地下水、土壤；采取截污措施后基本不会外排至暂存间外</w:t>
            </w:r>
          </w:p>
        </w:tc>
        <w:tc>
          <w:tcPr>
            <w:tcW w:w="1220" w:type="dxa"/>
            <w:noWrap w:val="0"/>
            <w:vAlign w:val="center"/>
          </w:tcPr>
          <w:p w14:paraId="731B229B">
            <w:pPr>
              <w:pStyle w:val="54"/>
              <w:topLinePunct w:val="0"/>
              <w:bidi w:val="0"/>
              <w:adjustRightInd/>
              <w:snapToGrid/>
              <w:jc w:val="center"/>
              <w:rPr>
                <w:rFonts w:hint="default" w:ascii="Times New Roman" w:hAnsi="Times New Roman" w:eastAsia="宋体" w:cs="Times New Roman"/>
                <w:color w:val="auto"/>
                <w:sz w:val="21"/>
                <w:szCs w:val="21"/>
                <w:highlight w:val="none"/>
                <w:u w:val="none" w:color="auto"/>
                <w:lang w:eastAsia="zh-CN"/>
              </w:rPr>
            </w:pPr>
          </w:p>
        </w:tc>
      </w:tr>
      <w:tr w14:paraId="048F187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563" w:type="dxa"/>
            <w:vMerge w:val="continue"/>
            <w:noWrap w:val="0"/>
            <w:vAlign w:val="center"/>
          </w:tcPr>
          <w:p w14:paraId="7D510152">
            <w:pPr>
              <w:pStyle w:val="54"/>
              <w:topLinePunct w:val="0"/>
              <w:bidi w:val="0"/>
              <w:adjustRightInd/>
              <w:snapToGrid/>
              <w:jc w:val="center"/>
              <w:rPr>
                <w:rFonts w:hint="default" w:ascii="Times New Roman" w:hAnsi="Times New Roman" w:eastAsia="宋体" w:cs="Times New Roman"/>
                <w:color w:val="auto"/>
                <w:sz w:val="21"/>
                <w:szCs w:val="21"/>
                <w:highlight w:val="none"/>
                <w:u w:val="none" w:color="auto"/>
                <w:lang w:eastAsia="zh-CN"/>
              </w:rPr>
            </w:pPr>
            <w:bookmarkStart w:id="221" w:name="_Toc20887"/>
            <w:bookmarkStart w:id="222" w:name="_Toc24783"/>
            <w:bookmarkStart w:id="223" w:name="_Toc27865"/>
            <w:bookmarkStart w:id="224" w:name="_Toc11033"/>
          </w:p>
        </w:tc>
        <w:tc>
          <w:tcPr>
            <w:tcW w:w="827" w:type="dxa"/>
            <w:vMerge w:val="continue"/>
            <w:noWrap w:val="0"/>
            <w:vAlign w:val="center"/>
          </w:tcPr>
          <w:p w14:paraId="4D718FEA">
            <w:pPr>
              <w:pStyle w:val="54"/>
              <w:topLinePunct w:val="0"/>
              <w:bidi w:val="0"/>
              <w:adjustRightInd/>
              <w:snapToGrid/>
              <w:jc w:val="center"/>
              <w:rPr>
                <w:rFonts w:hint="default" w:ascii="Times New Roman" w:hAnsi="Times New Roman" w:eastAsia="宋体" w:cs="Times New Roman"/>
                <w:color w:val="auto"/>
                <w:sz w:val="21"/>
                <w:szCs w:val="21"/>
                <w:highlight w:val="none"/>
                <w:u w:val="none" w:color="auto"/>
                <w:lang w:eastAsia="zh-CN"/>
              </w:rPr>
            </w:pPr>
          </w:p>
        </w:tc>
        <w:tc>
          <w:tcPr>
            <w:tcW w:w="1221" w:type="dxa"/>
            <w:noWrap w:val="0"/>
            <w:vAlign w:val="center"/>
          </w:tcPr>
          <w:p w14:paraId="25183D47">
            <w:pPr>
              <w:pStyle w:val="54"/>
              <w:topLinePunct w:val="0"/>
              <w:bidi w:val="0"/>
              <w:adjustRightInd/>
              <w:snapToGrid/>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TS003危废暂存间</w:t>
            </w:r>
          </w:p>
        </w:tc>
        <w:tc>
          <w:tcPr>
            <w:tcW w:w="1060" w:type="dxa"/>
            <w:noWrap w:val="0"/>
            <w:vAlign w:val="center"/>
          </w:tcPr>
          <w:p w14:paraId="3B7A72E9">
            <w:pPr>
              <w:topLinePunct w:val="0"/>
              <w:bidi w:val="0"/>
              <w:adjustRightInd/>
              <w:snapToGrid/>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Cs w:val="21"/>
                <w:highlight w:val="none"/>
                <w:u w:val="none" w:color="auto"/>
                <w:lang w:val="en-US" w:eastAsia="zh-CN"/>
              </w:rPr>
              <w:t>铝灰及二次铝灰渣</w:t>
            </w:r>
          </w:p>
        </w:tc>
        <w:tc>
          <w:tcPr>
            <w:tcW w:w="1067" w:type="dxa"/>
            <w:noWrap w:val="0"/>
            <w:vAlign w:val="center"/>
          </w:tcPr>
          <w:p w14:paraId="5D4DE798">
            <w:pPr>
              <w:topLinePunct w:val="0"/>
              <w:bidi w:val="0"/>
              <w:adjustRightInd/>
              <w:snapToGrid/>
              <w:jc w:val="center"/>
              <w:rPr>
                <w:rFonts w:hint="default" w:ascii="Times New Roman" w:hAnsi="Times New Roman" w:eastAsia="宋体" w:cs="Times New Roman"/>
                <w:color w:val="auto"/>
                <w:kern w:val="21"/>
                <w:sz w:val="21"/>
                <w:szCs w:val="21"/>
                <w:highlight w:val="none"/>
                <w:u w:val="none" w:color="auto"/>
                <w:lang w:val="en-US" w:eastAsia="zh-CN" w:bidi="ar-SA"/>
              </w:rPr>
            </w:pPr>
            <w:r>
              <w:rPr>
                <w:rFonts w:hint="default" w:ascii="Times New Roman" w:hAnsi="Times New Roman" w:eastAsia="宋体" w:cs="Times New Roman"/>
                <w:color w:val="auto"/>
                <w:szCs w:val="21"/>
                <w:highlight w:val="none"/>
                <w:u w:val="none" w:color="auto"/>
              </w:rPr>
              <w:t>泄漏、爆炸</w:t>
            </w:r>
          </w:p>
        </w:tc>
        <w:tc>
          <w:tcPr>
            <w:tcW w:w="971" w:type="dxa"/>
            <w:noWrap w:val="0"/>
            <w:vAlign w:val="center"/>
          </w:tcPr>
          <w:p w14:paraId="25AF897F">
            <w:pPr>
              <w:pStyle w:val="54"/>
              <w:topLinePunct w:val="0"/>
              <w:bidi w:val="0"/>
              <w:adjustRightInd/>
              <w:snapToGrid/>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lang w:eastAsia="zh-CN"/>
              </w:rPr>
              <w:t>土壤、</w:t>
            </w:r>
            <w:r>
              <w:rPr>
                <w:rFonts w:hint="default" w:ascii="Times New Roman" w:hAnsi="Times New Roman" w:eastAsia="宋体" w:cs="Times New Roman"/>
                <w:color w:val="auto"/>
                <w:sz w:val="21"/>
                <w:szCs w:val="21"/>
                <w:highlight w:val="none"/>
                <w:u w:val="none" w:color="auto"/>
                <w:lang w:val="en-US" w:eastAsia="zh-CN"/>
              </w:rPr>
              <w:t>地表水</w:t>
            </w:r>
            <w:r>
              <w:rPr>
                <w:rFonts w:hint="default" w:ascii="Times New Roman" w:hAnsi="Times New Roman" w:eastAsia="宋体" w:cs="Times New Roman"/>
                <w:color w:val="auto"/>
                <w:sz w:val="21"/>
                <w:szCs w:val="21"/>
                <w:highlight w:val="none"/>
                <w:u w:val="none" w:color="auto"/>
                <w:lang w:eastAsia="zh-CN"/>
              </w:rPr>
              <w:t>、</w:t>
            </w:r>
            <w:r>
              <w:rPr>
                <w:rFonts w:hint="default" w:ascii="Times New Roman" w:hAnsi="Times New Roman" w:eastAsia="宋体" w:cs="Times New Roman"/>
                <w:color w:val="auto"/>
                <w:sz w:val="21"/>
                <w:szCs w:val="21"/>
                <w:highlight w:val="none"/>
                <w:u w:val="none" w:color="auto"/>
                <w:lang w:val="en-US" w:eastAsia="zh-CN"/>
              </w:rPr>
              <w:t>地</w:t>
            </w:r>
            <w:r>
              <w:rPr>
                <w:rFonts w:hint="default" w:ascii="Times New Roman" w:hAnsi="Times New Roman" w:eastAsia="宋体" w:cs="Times New Roman"/>
                <w:color w:val="auto"/>
                <w:sz w:val="21"/>
                <w:szCs w:val="21"/>
                <w:highlight w:val="none"/>
                <w:u w:val="none" w:color="auto"/>
                <w:lang w:eastAsia="zh-CN"/>
              </w:rPr>
              <w:t>下水、</w:t>
            </w:r>
            <w:r>
              <w:rPr>
                <w:rFonts w:hint="default" w:ascii="Times New Roman" w:hAnsi="Times New Roman" w:eastAsia="宋体" w:cs="Times New Roman"/>
                <w:color w:val="auto"/>
                <w:sz w:val="21"/>
                <w:szCs w:val="21"/>
                <w:highlight w:val="none"/>
                <w:u w:val="none" w:color="auto"/>
                <w:lang w:val="en-US" w:eastAsia="zh-CN"/>
              </w:rPr>
              <w:t>环境空气</w:t>
            </w:r>
          </w:p>
        </w:tc>
        <w:tc>
          <w:tcPr>
            <w:tcW w:w="1885" w:type="dxa"/>
            <w:noWrap w:val="0"/>
            <w:vAlign w:val="center"/>
          </w:tcPr>
          <w:p w14:paraId="765DDC61">
            <w:pPr>
              <w:pStyle w:val="54"/>
              <w:topLinePunct w:val="0"/>
              <w:bidi w:val="0"/>
              <w:adjustRightInd/>
              <w:snapToGrid/>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eastAsia="zh-CN"/>
              </w:rPr>
              <w:t>采取防渗后基本不影响地下水、土壤；采取截污措施后基本不会外排至暂存间外；</w:t>
            </w:r>
            <w:r>
              <w:rPr>
                <w:rFonts w:hint="default" w:ascii="Times New Roman" w:hAnsi="Times New Roman" w:eastAsia="宋体" w:cs="Times New Roman"/>
                <w:color w:val="auto"/>
                <w:sz w:val="21"/>
                <w:szCs w:val="21"/>
                <w:highlight w:val="none"/>
                <w:u w:val="none" w:color="auto"/>
                <w:lang w:val="en-US" w:eastAsia="zh-CN"/>
              </w:rPr>
              <w:t>遇水自燃或爆炸产生的烟尘、废气影响周边环境敏感目标</w:t>
            </w:r>
          </w:p>
        </w:tc>
        <w:tc>
          <w:tcPr>
            <w:tcW w:w="1220" w:type="dxa"/>
            <w:noWrap w:val="0"/>
            <w:vAlign w:val="center"/>
          </w:tcPr>
          <w:p w14:paraId="125955CD">
            <w:pPr>
              <w:pStyle w:val="54"/>
              <w:topLinePunct w:val="0"/>
              <w:bidi w:val="0"/>
              <w:adjustRightInd/>
              <w:snapToGrid/>
              <w:jc w:val="center"/>
              <w:rPr>
                <w:rFonts w:hint="default" w:ascii="Times New Roman" w:hAnsi="Times New Roman" w:eastAsia="宋体" w:cs="Times New Roman"/>
                <w:color w:val="auto"/>
                <w:sz w:val="21"/>
                <w:szCs w:val="21"/>
                <w:highlight w:val="none"/>
                <w:u w:val="none" w:color="auto"/>
                <w:lang w:eastAsia="zh-CN"/>
              </w:rPr>
            </w:pPr>
          </w:p>
        </w:tc>
      </w:tr>
      <w:tr w14:paraId="507851B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340" w:hRule="atLeast"/>
        </w:trPr>
        <w:tc>
          <w:tcPr>
            <w:tcW w:w="563" w:type="dxa"/>
            <w:noWrap w:val="0"/>
            <w:vAlign w:val="center"/>
          </w:tcPr>
          <w:p w14:paraId="628FBD82">
            <w:pPr>
              <w:pStyle w:val="54"/>
              <w:topLinePunct w:val="0"/>
              <w:bidi w:val="0"/>
              <w:adjustRightInd/>
              <w:snapToGrid/>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5</w:t>
            </w:r>
          </w:p>
        </w:tc>
        <w:tc>
          <w:tcPr>
            <w:tcW w:w="827" w:type="dxa"/>
            <w:noWrap w:val="0"/>
            <w:vAlign w:val="center"/>
          </w:tcPr>
          <w:p w14:paraId="62F66162">
            <w:pPr>
              <w:pStyle w:val="54"/>
              <w:topLinePunct w:val="0"/>
              <w:bidi w:val="0"/>
              <w:adjustRightInd/>
              <w:snapToGrid/>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公共设施</w:t>
            </w:r>
          </w:p>
        </w:tc>
        <w:tc>
          <w:tcPr>
            <w:tcW w:w="1221" w:type="dxa"/>
            <w:noWrap w:val="0"/>
            <w:vAlign w:val="center"/>
          </w:tcPr>
          <w:p w14:paraId="6933E809">
            <w:pPr>
              <w:pStyle w:val="54"/>
              <w:topLinePunct w:val="0"/>
              <w:bidi w:val="0"/>
              <w:adjustRightInd/>
              <w:snapToGrid/>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天然气管道</w:t>
            </w:r>
          </w:p>
        </w:tc>
        <w:tc>
          <w:tcPr>
            <w:tcW w:w="1060" w:type="dxa"/>
            <w:noWrap w:val="0"/>
            <w:vAlign w:val="center"/>
          </w:tcPr>
          <w:p w14:paraId="21AF1780">
            <w:pPr>
              <w:pStyle w:val="54"/>
              <w:topLinePunct w:val="0"/>
              <w:bidi w:val="0"/>
              <w:adjustRightInd/>
              <w:snapToGrid/>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天然气</w:t>
            </w:r>
          </w:p>
        </w:tc>
        <w:tc>
          <w:tcPr>
            <w:tcW w:w="1067" w:type="dxa"/>
            <w:noWrap w:val="0"/>
            <w:vAlign w:val="center"/>
          </w:tcPr>
          <w:p w14:paraId="518F9719">
            <w:pPr>
              <w:pStyle w:val="54"/>
              <w:topLinePunct w:val="0"/>
              <w:bidi w:val="0"/>
              <w:adjustRightInd/>
              <w:snapToGrid/>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泄漏、火灾爆炸及引发的次生污染物</w:t>
            </w:r>
          </w:p>
        </w:tc>
        <w:tc>
          <w:tcPr>
            <w:tcW w:w="971" w:type="dxa"/>
            <w:noWrap w:val="0"/>
            <w:vAlign w:val="center"/>
          </w:tcPr>
          <w:p w14:paraId="6D274FB1">
            <w:pPr>
              <w:pStyle w:val="54"/>
              <w:topLinePunct w:val="0"/>
              <w:bidi w:val="0"/>
              <w:adjustRightInd/>
              <w:snapToGrid/>
              <w:jc w:val="center"/>
              <w:rPr>
                <w:rFonts w:hint="default" w:ascii="Times New Roman" w:hAnsi="Times New Roman" w:eastAsia="宋体" w:cs="Times New Roman"/>
                <w:color w:val="auto"/>
                <w:kern w:val="0"/>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lang w:eastAsia="zh-CN"/>
              </w:rPr>
              <w:t>地表水、地下水、土壤</w:t>
            </w:r>
          </w:p>
        </w:tc>
        <w:tc>
          <w:tcPr>
            <w:tcW w:w="1885" w:type="dxa"/>
            <w:noWrap w:val="0"/>
            <w:vAlign w:val="center"/>
          </w:tcPr>
          <w:p w14:paraId="0A1C0515">
            <w:pPr>
              <w:pStyle w:val="54"/>
              <w:topLinePunct w:val="0"/>
              <w:bidi w:val="0"/>
              <w:adjustRightInd/>
              <w:snapToGrid/>
              <w:jc w:val="center"/>
              <w:rPr>
                <w:rFonts w:hint="default" w:ascii="Times New Roman" w:hAnsi="Times New Roman" w:eastAsia="宋体" w:cs="Times New Roman"/>
                <w:color w:val="auto"/>
                <w:kern w:val="0"/>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lang w:eastAsia="zh-CN"/>
              </w:rPr>
              <w:t>大气环境保护目标，</w:t>
            </w:r>
            <w:r>
              <w:rPr>
                <w:rFonts w:hint="default" w:ascii="Times New Roman" w:hAnsi="Times New Roman" w:eastAsia="宋体" w:cs="Times New Roman"/>
                <w:color w:val="auto"/>
                <w:sz w:val="21"/>
                <w:szCs w:val="21"/>
                <w:highlight w:val="none"/>
                <w:u w:val="none" w:color="auto"/>
                <w:lang w:val="en-US" w:eastAsia="zh-CN"/>
              </w:rPr>
              <w:t>周边土壤、地下水</w:t>
            </w:r>
          </w:p>
        </w:tc>
        <w:tc>
          <w:tcPr>
            <w:tcW w:w="1220" w:type="dxa"/>
            <w:noWrap w:val="0"/>
            <w:vAlign w:val="center"/>
          </w:tcPr>
          <w:p w14:paraId="437B7618">
            <w:pPr>
              <w:pStyle w:val="54"/>
              <w:topLinePunct w:val="0"/>
              <w:bidi w:val="0"/>
              <w:adjustRightInd/>
              <w:snapToGrid/>
              <w:jc w:val="center"/>
              <w:rPr>
                <w:rFonts w:hint="default" w:ascii="Times New Roman" w:hAnsi="Times New Roman" w:eastAsia="宋体" w:cs="Times New Roman"/>
                <w:color w:val="auto"/>
                <w:sz w:val="21"/>
                <w:szCs w:val="21"/>
                <w:highlight w:val="none"/>
                <w:u w:val="none" w:color="auto"/>
                <w:lang w:eastAsia="zh-CN"/>
              </w:rPr>
            </w:pPr>
          </w:p>
        </w:tc>
      </w:tr>
      <w:bookmarkEnd w:id="221"/>
      <w:bookmarkEnd w:id="222"/>
      <w:bookmarkEnd w:id="223"/>
      <w:bookmarkEnd w:id="224"/>
    </w:tbl>
    <w:p w14:paraId="13C63158">
      <w:pPr>
        <w:pStyle w:val="4"/>
        <w:numPr>
          <w:ilvl w:val="1"/>
          <w:numId w:val="0"/>
        </w:numPr>
        <w:spacing w:before="120" w:after="120" w:line="360" w:lineRule="auto"/>
        <w:contextualSpacing/>
        <w:rPr>
          <w:rFonts w:hint="default" w:ascii="Times New Roman" w:hAnsi="Times New Roman" w:eastAsia="宋体" w:cs="Times New Roman"/>
          <w:b/>
          <w:bCs w:val="0"/>
          <w:color w:val="auto"/>
          <w:sz w:val="28"/>
          <w:u w:val="none" w:color="auto"/>
        </w:rPr>
      </w:pPr>
      <w:bookmarkStart w:id="225" w:name="_Toc7003"/>
      <w:bookmarkStart w:id="226" w:name="_Toc22927"/>
      <w:bookmarkStart w:id="227" w:name="_Toc22380"/>
      <w:bookmarkStart w:id="228" w:name="_Toc13750"/>
      <w:bookmarkStart w:id="229" w:name="_Toc18475"/>
      <w:bookmarkStart w:id="230" w:name="_Toc21663"/>
      <w:bookmarkStart w:id="231" w:name="_Toc2"/>
      <w:bookmarkStart w:id="232" w:name="_Toc19513"/>
      <w:bookmarkStart w:id="233" w:name="_Toc29579"/>
      <w:bookmarkStart w:id="234" w:name="_Toc200"/>
      <w:bookmarkStart w:id="235" w:name="_Toc14456"/>
      <w:bookmarkStart w:id="236" w:name="_Toc9941"/>
      <w:bookmarkStart w:id="237" w:name="_Toc17480"/>
      <w:r>
        <w:rPr>
          <w:rFonts w:hint="default" w:ascii="Times New Roman" w:hAnsi="Times New Roman" w:eastAsia="宋体" w:cs="Times New Roman"/>
          <w:b/>
          <w:bCs w:val="0"/>
          <w:color w:val="auto"/>
          <w:sz w:val="28"/>
          <w:u w:val="none" w:color="auto"/>
        </w:rPr>
        <w:t>3.4风险事故情形设定</w:t>
      </w:r>
      <w:bookmarkEnd w:id="225"/>
      <w:bookmarkEnd w:id="226"/>
      <w:bookmarkEnd w:id="227"/>
      <w:bookmarkEnd w:id="228"/>
      <w:bookmarkEnd w:id="229"/>
      <w:bookmarkEnd w:id="230"/>
    </w:p>
    <w:p w14:paraId="5274560F">
      <w:pPr>
        <w:pStyle w:val="110"/>
        <w:ind w:firstLine="480"/>
        <w:rPr>
          <w:rFonts w:hint="default" w:ascii="Times New Roman" w:hAnsi="Times New Roman" w:eastAsia="宋体" w:cs="Times New Roman"/>
          <w:color w:val="auto"/>
          <w:highlight w:val="none"/>
          <w:u w:val="none" w:color="auto"/>
          <w:lang w:val="en-US" w:eastAsia="zh-CN"/>
        </w:rPr>
      </w:pPr>
      <w:r>
        <w:rPr>
          <w:rFonts w:hint="default" w:ascii="Times New Roman" w:hAnsi="Times New Roman" w:eastAsia="宋体" w:cs="Times New Roman"/>
          <w:color w:val="auto"/>
          <w:highlight w:val="none"/>
          <w:u w:val="none" w:color="auto"/>
          <w:lang w:val="zh-TW"/>
        </w:rPr>
        <w:t>根据风险导则8.1.1条</w:t>
      </w:r>
      <w:r>
        <w:rPr>
          <w:rFonts w:hint="default" w:ascii="Times New Roman" w:hAnsi="Times New Roman" w:eastAsia="宋体" w:cs="Times New Roman"/>
          <w:color w:val="auto"/>
          <w:highlight w:val="none"/>
          <w:u w:val="none" w:color="auto"/>
          <w:lang w:val="zh-TW" w:eastAsia="zh-CN"/>
        </w:rPr>
        <w:t>，</w:t>
      </w:r>
      <w:r>
        <w:rPr>
          <w:rFonts w:hint="default" w:ascii="Times New Roman" w:hAnsi="Times New Roman" w:eastAsia="宋体" w:cs="Times New Roman"/>
          <w:color w:val="auto"/>
          <w:highlight w:val="none"/>
          <w:u w:val="none" w:color="auto"/>
          <w:lang w:val="zh-TW"/>
        </w:rPr>
        <w:t>选择对环境影响较大并具有代表性的事故类型</w:t>
      </w:r>
      <w:r>
        <w:rPr>
          <w:rFonts w:hint="default" w:ascii="Times New Roman" w:hAnsi="Times New Roman" w:eastAsia="宋体" w:cs="Times New Roman"/>
          <w:color w:val="auto"/>
          <w:highlight w:val="none"/>
          <w:u w:val="none" w:color="auto"/>
        </w:rPr>
        <w:t>设定风险事故情形</w:t>
      </w:r>
      <w:r>
        <w:rPr>
          <w:rFonts w:hint="default" w:ascii="Times New Roman" w:hAnsi="Times New Roman" w:eastAsia="宋体" w:cs="Times New Roman"/>
          <w:color w:val="auto"/>
          <w:highlight w:val="none"/>
          <w:u w:val="none" w:color="auto"/>
          <w:lang w:eastAsia="zh-CN"/>
        </w:rPr>
        <w:t>，</w:t>
      </w:r>
      <w:r>
        <w:rPr>
          <w:rFonts w:hint="default" w:ascii="Times New Roman" w:hAnsi="Times New Roman" w:eastAsia="宋体" w:cs="Times New Roman"/>
          <w:color w:val="auto"/>
          <w:highlight w:val="none"/>
          <w:u w:val="none" w:color="auto"/>
          <w:lang w:val="en-US" w:eastAsia="zh-CN"/>
        </w:rPr>
        <w:t>本项目判定在铝合金熔铸二厂天然气管线泄漏后遇高温或明火后引发火灾/爆炸引发的CO次生伴生事故，作为大气风险事故典型事件；考虑到项目运营后将增家油类物质的使用，若在转运或储存过程中发生泄漏，且未及时关闭雨水阀门，进而导致油类物质进入象骨港，经电排站排入长江，其产生影响极大，因此作为地表水风险事故典型事件。</w:t>
      </w:r>
    </w:p>
    <w:p w14:paraId="1C884B49">
      <w:pPr>
        <w:pStyle w:val="17"/>
        <w:numPr>
          <w:ilvl w:val="0"/>
          <w:numId w:val="11"/>
        </w:numPr>
        <w:adjustRightInd/>
        <w:snapToGrid/>
        <w:rPr>
          <w:rFonts w:hint="default" w:ascii="Times New Roman" w:hAnsi="Times New Roman" w:eastAsia="宋体" w:cs="Times New Roman"/>
          <w:b/>
          <w:bCs/>
          <w:color w:val="auto"/>
          <w:sz w:val="21"/>
          <w:szCs w:val="16"/>
          <w:u w:val="none" w:color="auto"/>
        </w:rPr>
      </w:pPr>
      <w:r>
        <w:rPr>
          <w:rFonts w:hint="default" w:ascii="Times New Roman" w:hAnsi="Times New Roman" w:eastAsia="宋体" w:cs="Times New Roman"/>
          <w:b/>
          <w:bCs/>
          <w:color w:val="auto"/>
          <w:sz w:val="21"/>
          <w:szCs w:val="16"/>
          <w:u w:val="none" w:color="auto"/>
        </w:rPr>
        <w:t>风险事故设置情景一览表</w:t>
      </w:r>
    </w:p>
    <w:tbl>
      <w:tblPr>
        <w:tblStyle w:val="31"/>
        <w:tblW w:w="4997"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17"/>
        <w:gridCol w:w="1030"/>
        <w:gridCol w:w="1108"/>
        <w:gridCol w:w="1031"/>
        <w:gridCol w:w="1359"/>
        <w:gridCol w:w="796"/>
        <w:gridCol w:w="980"/>
        <w:gridCol w:w="1076"/>
        <w:gridCol w:w="958"/>
      </w:tblGrid>
      <w:tr w14:paraId="24D5C22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95" w:type="pct"/>
            <w:tcBorders>
              <w:tl2br w:val="nil"/>
              <w:tr2bl w:val="nil"/>
            </w:tcBorders>
            <w:noWrap w:val="0"/>
            <w:vAlign w:val="center"/>
          </w:tcPr>
          <w:p w14:paraId="6C18D7A2">
            <w:pPr>
              <w:pStyle w:val="111"/>
              <w:spacing w:before="0"/>
              <w:rPr>
                <w:rFonts w:hint="default" w:ascii="Times New Roman" w:hAnsi="Times New Roman" w:eastAsia="宋体" w:cs="Times New Roman"/>
                <w:b/>
                <w:bCs/>
                <w:color w:val="auto"/>
                <w:u w:val="none" w:color="auto"/>
              </w:rPr>
            </w:pPr>
            <w:r>
              <w:rPr>
                <w:rFonts w:hint="default" w:ascii="Times New Roman" w:hAnsi="Times New Roman" w:eastAsia="宋体" w:cs="Times New Roman"/>
                <w:b/>
                <w:bCs/>
                <w:color w:val="auto"/>
                <w:u w:val="none" w:color="auto"/>
              </w:rPr>
              <w:t>风险</w:t>
            </w:r>
          </w:p>
          <w:p w14:paraId="2FFA3CC2">
            <w:pPr>
              <w:pStyle w:val="111"/>
              <w:spacing w:before="0"/>
              <w:rPr>
                <w:rFonts w:hint="default" w:ascii="Times New Roman" w:hAnsi="Times New Roman" w:eastAsia="宋体" w:cs="Times New Roman"/>
                <w:b/>
                <w:bCs/>
                <w:color w:val="auto"/>
                <w:u w:val="none" w:color="auto"/>
              </w:rPr>
            </w:pPr>
            <w:r>
              <w:rPr>
                <w:rFonts w:hint="default" w:ascii="Times New Roman" w:hAnsi="Times New Roman" w:eastAsia="宋体" w:cs="Times New Roman"/>
                <w:b/>
                <w:bCs/>
                <w:color w:val="auto"/>
                <w:u w:val="none" w:color="auto"/>
              </w:rPr>
              <w:t>单元</w:t>
            </w:r>
          </w:p>
        </w:tc>
        <w:tc>
          <w:tcPr>
            <w:tcW w:w="568" w:type="pct"/>
            <w:tcBorders>
              <w:tl2br w:val="nil"/>
              <w:tr2bl w:val="nil"/>
            </w:tcBorders>
            <w:noWrap w:val="0"/>
            <w:vAlign w:val="center"/>
          </w:tcPr>
          <w:p w14:paraId="6F348158">
            <w:pPr>
              <w:pStyle w:val="111"/>
              <w:spacing w:before="0"/>
              <w:rPr>
                <w:rFonts w:hint="default" w:ascii="Times New Roman" w:hAnsi="Times New Roman" w:eastAsia="宋体" w:cs="Times New Roman"/>
                <w:b/>
                <w:bCs/>
                <w:color w:val="auto"/>
                <w:u w:val="none" w:color="auto"/>
              </w:rPr>
            </w:pPr>
            <w:r>
              <w:rPr>
                <w:rFonts w:hint="default" w:ascii="Times New Roman" w:hAnsi="Times New Roman" w:eastAsia="宋体" w:cs="Times New Roman"/>
                <w:b/>
                <w:bCs/>
                <w:color w:val="auto"/>
                <w:u w:val="none" w:color="auto"/>
              </w:rPr>
              <w:t>风险源</w:t>
            </w:r>
          </w:p>
        </w:tc>
        <w:tc>
          <w:tcPr>
            <w:tcW w:w="611" w:type="pct"/>
            <w:tcBorders>
              <w:tl2br w:val="nil"/>
              <w:tr2bl w:val="nil"/>
            </w:tcBorders>
            <w:noWrap w:val="0"/>
            <w:vAlign w:val="center"/>
          </w:tcPr>
          <w:p w14:paraId="6925339D">
            <w:pPr>
              <w:pStyle w:val="111"/>
              <w:spacing w:before="0"/>
              <w:rPr>
                <w:rFonts w:hint="default" w:ascii="Times New Roman" w:hAnsi="Times New Roman" w:eastAsia="宋体" w:cs="Times New Roman"/>
                <w:b/>
                <w:bCs/>
                <w:color w:val="auto"/>
                <w:u w:val="none" w:color="auto"/>
              </w:rPr>
            </w:pPr>
            <w:r>
              <w:rPr>
                <w:rFonts w:hint="default" w:ascii="Times New Roman" w:hAnsi="Times New Roman" w:eastAsia="宋体" w:cs="Times New Roman"/>
                <w:b/>
                <w:bCs/>
                <w:color w:val="auto"/>
                <w:u w:val="none" w:color="auto"/>
              </w:rPr>
              <w:t>风险物质</w:t>
            </w:r>
          </w:p>
        </w:tc>
        <w:tc>
          <w:tcPr>
            <w:tcW w:w="569" w:type="pct"/>
            <w:tcBorders>
              <w:tl2br w:val="nil"/>
              <w:tr2bl w:val="nil"/>
            </w:tcBorders>
            <w:noWrap w:val="0"/>
            <w:vAlign w:val="center"/>
          </w:tcPr>
          <w:p w14:paraId="7C5875DC">
            <w:pPr>
              <w:pStyle w:val="111"/>
              <w:spacing w:before="0"/>
              <w:rPr>
                <w:rFonts w:hint="default" w:ascii="Times New Roman" w:hAnsi="Times New Roman" w:eastAsia="宋体" w:cs="Times New Roman"/>
                <w:b/>
                <w:bCs/>
                <w:color w:val="auto"/>
                <w:u w:val="none" w:color="auto"/>
              </w:rPr>
            </w:pPr>
            <w:r>
              <w:rPr>
                <w:rFonts w:hint="default" w:ascii="Times New Roman" w:hAnsi="Times New Roman" w:eastAsia="宋体" w:cs="Times New Roman"/>
                <w:b/>
                <w:bCs/>
                <w:color w:val="auto"/>
                <w:u w:val="none" w:color="auto"/>
              </w:rPr>
              <w:t>风险事故类型</w:t>
            </w:r>
          </w:p>
        </w:tc>
        <w:tc>
          <w:tcPr>
            <w:tcW w:w="750" w:type="pct"/>
            <w:tcBorders>
              <w:tl2br w:val="nil"/>
              <w:tr2bl w:val="nil"/>
            </w:tcBorders>
            <w:noWrap w:val="0"/>
            <w:vAlign w:val="center"/>
          </w:tcPr>
          <w:p w14:paraId="685AA91F">
            <w:pPr>
              <w:pStyle w:val="111"/>
              <w:spacing w:before="0"/>
              <w:rPr>
                <w:rFonts w:hint="default" w:ascii="Times New Roman" w:hAnsi="Times New Roman" w:eastAsia="宋体" w:cs="Times New Roman"/>
                <w:b/>
                <w:bCs/>
                <w:color w:val="auto"/>
                <w:u w:val="none" w:color="auto"/>
              </w:rPr>
            </w:pPr>
            <w:r>
              <w:rPr>
                <w:rFonts w:hint="default" w:ascii="Times New Roman" w:hAnsi="Times New Roman" w:eastAsia="宋体" w:cs="Times New Roman"/>
                <w:b/>
                <w:bCs/>
                <w:color w:val="auto"/>
                <w:u w:val="none" w:color="auto"/>
              </w:rPr>
              <w:t>影响途径</w:t>
            </w:r>
          </w:p>
        </w:tc>
        <w:tc>
          <w:tcPr>
            <w:tcW w:w="439" w:type="pct"/>
            <w:tcBorders>
              <w:tl2br w:val="nil"/>
              <w:tr2bl w:val="nil"/>
            </w:tcBorders>
            <w:noWrap w:val="0"/>
            <w:vAlign w:val="center"/>
          </w:tcPr>
          <w:p w14:paraId="6DAE132C">
            <w:pPr>
              <w:pStyle w:val="111"/>
              <w:spacing w:before="0"/>
              <w:rPr>
                <w:rFonts w:hint="default" w:ascii="Times New Roman" w:hAnsi="Times New Roman" w:eastAsia="宋体" w:cs="Times New Roman"/>
                <w:b/>
                <w:bCs/>
                <w:color w:val="auto"/>
                <w:u w:val="none" w:color="auto"/>
              </w:rPr>
            </w:pPr>
            <w:r>
              <w:rPr>
                <w:rFonts w:hint="default" w:ascii="Times New Roman" w:hAnsi="Times New Roman" w:eastAsia="宋体" w:cs="Times New Roman"/>
                <w:b/>
                <w:bCs/>
                <w:color w:val="auto"/>
                <w:u w:val="none" w:color="auto"/>
              </w:rPr>
              <w:t>部件</w:t>
            </w:r>
          </w:p>
          <w:p w14:paraId="1E200C2D">
            <w:pPr>
              <w:pStyle w:val="111"/>
              <w:spacing w:before="0"/>
              <w:rPr>
                <w:rFonts w:hint="default" w:ascii="Times New Roman" w:hAnsi="Times New Roman" w:eastAsia="宋体" w:cs="Times New Roman"/>
                <w:b/>
                <w:bCs/>
                <w:color w:val="auto"/>
                <w:u w:val="none" w:color="auto"/>
              </w:rPr>
            </w:pPr>
            <w:r>
              <w:rPr>
                <w:rFonts w:hint="default" w:ascii="Times New Roman" w:hAnsi="Times New Roman" w:eastAsia="宋体" w:cs="Times New Roman"/>
                <w:b/>
                <w:bCs/>
                <w:color w:val="auto"/>
                <w:u w:val="none" w:color="auto"/>
              </w:rPr>
              <w:t>类型</w:t>
            </w:r>
          </w:p>
        </w:tc>
        <w:tc>
          <w:tcPr>
            <w:tcW w:w="541" w:type="pct"/>
            <w:tcBorders>
              <w:tl2br w:val="nil"/>
              <w:tr2bl w:val="nil"/>
            </w:tcBorders>
            <w:noWrap w:val="0"/>
            <w:vAlign w:val="center"/>
          </w:tcPr>
          <w:p w14:paraId="2CB7568B">
            <w:pPr>
              <w:pStyle w:val="111"/>
              <w:spacing w:before="0"/>
              <w:rPr>
                <w:rFonts w:hint="default" w:ascii="Times New Roman" w:hAnsi="Times New Roman" w:eastAsia="宋体" w:cs="Times New Roman"/>
                <w:b/>
                <w:bCs/>
                <w:color w:val="auto"/>
                <w:u w:val="none" w:color="auto"/>
              </w:rPr>
            </w:pPr>
            <w:r>
              <w:rPr>
                <w:rFonts w:hint="default" w:ascii="Times New Roman" w:hAnsi="Times New Roman" w:eastAsia="宋体" w:cs="Times New Roman"/>
                <w:b/>
                <w:bCs/>
                <w:color w:val="auto"/>
                <w:u w:val="none" w:color="auto"/>
              </w:rPr>
              <w:t>释放或泄漏模式</w:t>
            </w:r>
          </w:p>
        </w:tc>
        <w:tc>
          <w:tcPr>
            <w:tcW w:w="594" w:type="pct"/>
            <w:tcBorders>
              <w:tl2br w:val="nil"/>
              <w:tr2bl w:val="nil"/>
            </w:tcBorders>
            <w:noWrap w:val="0"/>
            <w:vAlign w:val="center"/>
          </w:tcPr>
          <w:p w14:paraId="1728AC0B">
            <w:pPr>
              <w:pStyle w:val="111"/>
              <w:spacing w:before="0"/>
              <w:rPr>
                <w:rFonts w:hint="default" w:ascii="Times New Roman" w:hAnsi="Times New Roman" w:eastAsia="宋体" w:cs="Times New Roman"/>
                <w:b/>
                <w:bCs/>
                <w:color w:val="auto"/>
                <w:u w:val="none" w:color="auto"/>
              </w:rPr>
            </w:pPr>
            <w:r>
              <w:rPr>
                <w:rFonts w:hint="default" w:ascii="Times New Roman" w:hAnsi="Times New Roman" w:eastAsia="宋体" w:cs="Times New Roman"/>
                <w:b/>
                <w:bCs/>
                <w:color w:val="auto"/>
                <w:u w:val="none" w:color="auto"/>
              </w:rPr>
              <w:t>释放或泄漏频率</w:t>
            </w:r>
          </w:p>
        </w:tc>
        <w:tc>
          <w:tcPr>
            <w:tcW w:w="528" w:type="pct"/>
            <w:tcBorders>
              <w:tl2br w:val="nil"/>
              <w:tr2bl w:val="nil"/>
            </w:tcBorders>
            <w:noWrap w:val="0"/>
            <w:vAlign w:val="center"/>
          </w:tcPr>
          <w:p w14:paraId="401DB399">
            <w:pPr>
              <w:pStyle w:val="111"/>
              <w:spacing w:before="0"/>
              <w:rPr>
                <w:rFonts w:hint="default" w:ascii="Times New Roman" w:hAnsi="Times New Roman" w:eastAsia="宋体" w:cs="Times New Roman"/>
                <w:b/>
                <w:bCs/>
                <w:color w:val="auto"/>
                <w:u w:val="none" w:color="auto"/>
              </w:rPr>
            </w:pPr>
            <w:r>
              <w:rPr>
                <w:rFonts w:hint="default" w:ascii="Times New Roman" w:hAnsi="Times New Roman" w:eastAsia="宋体" w:cs="Times New Roman"/>
                <w:b/>
                <w:bCs/>
                <w:color w:val="auto"/>
                <w:u w:val="none" w:color="auto"/>
              </w:rPr>
              <w:t>事故持续时间</w:t>
            </w:r>
          </w:p>
        </w:tc>
      </w:tr>
      <w:tr w14:paraId="2EB5611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95" w:type="pct"/>
            <w:tcBorders>
              <w:tl2br w:val="nil"/>
              <w:tr2bl w:val="nil"/>
            </w:tcBorders>
            <w:noWrap w:val="0"/>
            <w:vAlign w:val="center"/>
          </w:tcPr>
          <w:p w14:paraId="2CD575A0">
            <w:pPr>
              <w:pStyle w:val="111"/>
              <w:rPr>
                <w:rFonts w:hint="default" w:ascii="Times New Roman" w:hAnsi="Times New Roman" w:eastAsia="宋体" w:cs="Times New Roman"/>
                <w:color w:val="auto"/>
                <w:kern w:val="21"/>
                <w:u w:val="none" w:color="auto"/>
                <w:lang w:val="en-US" w:eastAsia="zh-CN"/>
              </w:rPr>
            </w:pPr>
            <w:r>
              <w:rPr>
                <w:rFonts w:hint="default" w:ascii="Times New Roman" w:hAnsi="Times New Roman" w:eastAsia="宋体" w:cs="Times New Roman"/>
                <w:color w:val="auto"/>
                <w:u w:val="none" w:color="auto"/>
              </w:rPr>
              <w:t>铝合金熔铸二厂</w:t>
            </w:r>
          </w:p>
        </w:tc>
        <w:tc>
          <w:tcPr>
            <w:tcW w:w="568" w:type="pct"/>
            <w:tcBorders>
              <w:tl2br w:val="nil"/>
              <w:tr2bl w:val="nil"/>
            </w:tcBorders>
            <w:noWrap w:val="0"/>
            <w:vAlign w:val="center"/>
          </w:tcPr>
          <w:p w14:paraId="36BDDCFC">
            <w:pPr>
              <w:pStyle w:val="111"/>
              <w:spacing w:before="0"/>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天然气管道</w:t>
            </w:r>
          </w:p>
        </w:tc>
        <w:tc>
          <w:tcPr>
            <w:tcW w:w="611" w:type="pct"/>
            <w:tcBorders>
              <w:tl2br w:val="nil"/>
              <w:tr2bl w:val="nil"/>
            </w:tcBorders>
            <w:noWrap w:val="0"/>
            <w:vAlign w:val="center"/>
          </w:tcPr>
          <w:p w14:paraId="2B41C5D9">
            <w:pPr>
              <w:pStyle w:val="111"/>
              <w:spacing w:before="0"/>
              <w:rPr>
                <w:rFonts w:hint="default" w:ascii="Times New Roman" w:hAnsi="Times New Roman" w:eastAsia="宋体" w:cs="Times New Roman"/>
                <w:color w:val="auto"/>
                <w:u w:val="none" w:color="auto"/>
                <w:lang w:eastAsia="zh-CN"/>
              </w:rPr>
            </w:pPr>
            <w:r>
              <w:rPr>
                <w:rFonts w:hint="default" w:ascii="Times New Roman" w:hAnsi="Times New Roman" w:eastAsia="宋体" w:cs="Times New Roman"/>
                <w:color w:val="auto"/>
                <w:u w:val="none" w:color="auto"/>
                <w:lang w:val="en-US" w:eastAsia="zh-CN"/>
              </w:rPr>
              <w:t>天然气</w:t>
            </w:r>
          </w:p>
        </w:tc>
        <w:tc>
          <w:tcPr>
            <w:tcW w:w="569" w:type="pct"/>
            <w:tcBorders>
              <w:tl2br w:val="nil"/>
              <w:tr2bl w:val="nil"/>
            </w:tcBorders>
            <w:noWrap w:val="0"/>
            <w:vAlign w:val="center"/>
          </w:tcPr>
          <w:p w14:paraId="54297D94">
            <w:pPr>
              <w:pStyle w:val="111"/>
              <w:spacing w:before="0"/>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泄漏、火灾/爆炸</w:t>
            </w:r>
          </w:p>
        </w:tc>
        <w:tc>
          <w:tcPr>
            <w:tcW w:w="750" w:type="pct"/>
            <w:tcBorders>
              <w:tl2br w:val="nil"/>
              <w:tr2bl w:val="nil"/>
            </w:tcBorders>
            <w:noWrap w:val="0"/>
            <w:vAlign w:val="center"/>
          </w:tcPr>
          <w:p w14:paraId="25783052">
            <w:pPr>
              <w:pStyle w:val="111"/>
              <w:spacing w:before="0"/>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rPr>
              <w:t>地表水、土壤、地下水</w:t>
            </w:r>
            <w:r>
              <w:rPr>
                <w:rFonts w:hint="default" w:ascii="Times New Roman" w:hAnsi="Times New Roman" w:eastAsia="宋体" w:cs="Times New Roman"/>
                <w:color w:val="auto"/>
                <w:u w:val="none" w:color="auto"/>
                <w:lang w:eastAsia="zh-CN"/>
              </w:rPr>
              <w:t>、</w:t>
            </w:r>
            <w:r>
              <w:rPr>
                <w:rFonts w:hint="default" w:ascii="Times New Roman" w:hAnsi="Times New Roman" w:eastAsia="宋体" w:cs="Times New Roman"/>
                <w:color w:val="auto"/>
                <w:u w:val="none" w:color="auto"/>
                <w:lang w:val="en-US" w:eastAsia="zh-CN"/>
              </w:rPr>
              <w:t>环境空气</w:t>
            </w:r>
          </w:p>
        </w:tc>
        <w:tc>
          <w:tcPr>
            <w:tcW w:w="439" w:type="pct"/>
            <w:tcBorders>
              <w:tl2br w:val="nil"/>
              <w:tr2bl w:val="nil"/>
            </w:tcBorders>
            <w:noWrap w:val="0"/>
            <w:vAlign w:val="center"/>
          </w:tcPr>
          <w:p w14:paraId="23186B99">
            <w:pPr>
              <w:pStyle w:val="111"/>
              <w:spacing w:before="0"/>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内径75mm的管道</w:t>
            </w:r>
          </w:p>
        </w:tc>
        <w:tc>
          <w:tcPr>
            <w:tcW w:w="541" w:type="pct"/>
            <w:tcBorders>
              <w:tl2br w:val="nil"/>
              <w:tr2bl w:val="nil"/>
            </w:tcBorders>
            <w:noWrap w:val="0"/>
            <w:vAlign w:val="center"/>
          </w:tcPr>
          <w:p w14:paraId="5B290F6E">
            <w:pPr>
              <w:pStyle w:val="111"/>
              <w:spacing w:before="0"/>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rPr>
              <w:t>泄漏孔径为10</w:t>
            </w:r>
            <w:r>
              <w:rPr>
                <w:rFonts w:hint="default" w:ascii="Times New Roman" w:hAnsi="Times New Roman" w:eastAsia="宋体" w:cs="Times New Roman"/>
                <w:color w:val="auto"/>
                <w:u w:val="none" w:color="auto"/>
                <w:lang w:val="en-US" w:eastAsia="zh-CN"/>
              </w:rPr>
              <w:t>%孔径</w:t>
            </w:r>
          </w:p>
        </w:tc>
        <w:tc>
          <w:tcPr>
            <w:tcW w:w="594" w:type="pct"/>
            <w:tcBorders>
              <w:tl2br w:val="nil"/>
              <w:tr2bl w:val="nil"/>
            </w:tcBorders>
            <w:noWrap w:val="0"/>
            <w:vAlign w:val="center"/>
          </w:tcPr>
          <w:p w14:paraId="1CBA7168">
            <w:pPr>
              <w:pStyle w:val="111"/>
              <w:spacing w:before="0"/>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val="en-US" w:eastAsia="zh-CN"/>
              </w:rPr>
              <w:t>2.0</w:t>
            </w:r>
            <w:r>
              <w:rPr>
                <w:rFonts w:hint="default" w:ascii="Times New Roman" w:hAnsi="Times New Roman" w:eastAsia="宋体" w:cs="Times New Roman"/>
                <w:color w:val="auto"/>
                <w:u w:val="none" w:color="auto"/>
              </w:rPr>
              <w:t>×10</w:t>
            </w:r>
            <w:r>
              <w:rPr>
                <w:rFonts w:hint="default" w:ascii="Times New Roman" w:hAnsi="Times New Roman" w:eastAsia="宋体" w:cs="Times New Roman"/>
                <w:color w:val="auto"/>
                <w:u w:val="none" w:color="auto"/>
                <w:vertAlign w:val="superscript"/>
              </w:rPr>
              <w:t>-</w:t>
            </w:r>
            <w:r>
              <w:rPr>
                <w:rFonts w:hint="default" w:ascii="Times New Roman" w:hAnsi="Times New Roman" w:eastAsia="宋体" w:cs="Times New Roman"/>
                <w:color w:val="auto"/>
                <w:u w:val="none" w:color="auto"/>
                <w:vertAlign w:val="superscript"/>
                <w:lang w:val="en-US" w:eastAsia="zh-CN"/>
              </w:rPr>
              <w:t>6</w:t>
            </w:r>
            <w:r>
              <w:rPr>
                <w:rFonts w:hint="default" w:ascii="Times New Roman" w:hAnsi="Times New Roman" w:eastAsia="宋体" w:cs="Times New Roman"/>
                <w:color w:val="auto"/>
                <w:u w:val="none" w:color="auto"/>
              </w:rPr>
              <w:t>/</w:t>
            </w:r>
            <w:r>
              <w:rPr>
                <w:rFonts w:hint="default" w:ascii="Times New Roman" w:hAnsi="Times New Roman" w:eastAsia="宋体" w:cs="Times New Roman"/>
                <w:color w:val="auto"/>
                <w:u w:val="none" w:color="auto"/>
                <w:lang w:eastAsia="zh-CN"/>
              </w:rPr>
              <w:t>（</w:t>
            </w:r>
            <w:r>
              <w:rPr>
                <w:rFonts w:hint="default" w:ascii="Times New Roman" w:hAnsi="Times New Roman" w:eastAsia="宋体" w:cs="Times New Roman"/>
                <w:color w:val="auto"/>
                <w:u w:val="none" w:color="auto"/>
                <w:lang w:val="en-US" w:eastAsia="zh-CN"/>
              </w:rPr>
              <w:t>m·</w:t>
            </w:r>
            <w:r>
              <w:rPr>
                <w:rFonts w:hint="default" w:ascii="Times New Roman" w:hAnsi="Times New Roman" w:eastAsia="宋体" w:cs="Times New Roman"/>
                <w:color w:val="auto"/>
                <w:u w:val="none" w:color="auto"/>
              </w:rPr>
              <w:t>a</w:t>
            </w:r>
            <w:r>
              <w:rPr>
                <w:rFonts w:hint="default" w:ascii="Times New Roman" w:hAnsi="Times New Roman" w:eastAsia="宋体" w:cs="Times New Roman"/>
                <w:color w:val="auto"/>
                <w:u w:val="none" w:color="auto"/>
                <w:lang w:eastAsia="zh-CN"/>
              </w:rPr>
              <w:t>）</w:t>
            </w:r>
          </w:p>
        </w:tc>
        <w:tc>
          <w:tcPr>
            <w:tcW w:w="528" w:type="pct"/>
            <w:tcBorders>
              <w:tl2br w:val="nil"/>
              <w:tr2bl w:val="nil"/>
            </w:tcBorders>
            <w:noWrap w:val="0"/>
            <w:vAlign w:val="center"/>
          </w:tcPr>
          <w:p w14:paraId="7647F940">
            <w:pPr>
              <w:pStyle w:val="111"/>
              <w:spacing w:before="0"/>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10min</w:t>
            </w:r>
          </w:p>
        </w:tc>
      </w:tr>
      <w:tr w14:paraId="503A4E2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95" w:type="pct"/>
            <w:tcBorders>
              <w:tl2br w:val="nil"/>
              <w:tr2bl w:val="nil"/>
            </w:tcBorders>
            <w:noWrap w:val="0"/>
            <w:vAlign w:val="center"/>
          </w:tcPr>
          <w:p w14:paraId="4DFE607B">
            <w:pPr>
              <w:pStyle w:val="111"/>
              <w:rPr>
                <w:rFonts w:hint="default" w:ascii="Times New Roman" w:hAnsi="Times New Roman" w:eastAsia="宋体" w:cs="Times New Roman"/>
                <w:color w:val="auto"/>
                <w:u w:val="none" w:color="auto"/>
                <w:lang w:val="en-US" w:eastAsia="zh-CN"/>
              </w:rPr>
            </w:pPr>
            <w:bookmarkStart w:id="238" w:name="_Toc18686"/>
            <w:bookmarkStart w:id="239" w:name="_Toc12186"/>
            <w:bookmarkStart w:id="240" w:name="_Toc5498"/>
            <w:bookmarkStart w:id="241" w:name="_Toc41310125"/>
            <w:bookmarkStart w:id="242" w:name="_Toc23318"/>
            <w:bookmarkStart w:id="243" w:name="_Toc14573"/>
            <w:bookmarkStart w:id="244" w:name="_Toc23983"/>
            <w:r>
              <w:rPr>
                <w:rFonts w:hint="default" w:ascii="Times New Roman" w:hAnsi="Times New Roman" w:eastAsia="宋体" w:cs="Times New Roman"/>
                <w:color w:val="auto"/>
                <w:u w:val="none" w:color="auto"/>
                <w:lang w:val="en-US" w:eastAsia="zh-CN"/>
              </w:rPr>
              <w:t>原料库</w:t>
            </w:r>
          </w:p>
        </w:tc>
        <w:tc>
          <w:tcPr>
            <w:tcW w:w="568" w:type="pct"/>
            <w:tcBorders>
              <w:tl2br w:val="nil"/>
              <w:tr2bl w:val="nil"/>
            </w:tcBorders>
            <w:noWrap w:val="0"/>
            <w:vAlign w:val="center"/>
          </w:tcPr>
          <w:p w14:paraId="129C97E0">
            <w:pPr>
              <w:pStyle w:val="111"/>
              <w:spacing w:before="0"/>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润滑油、液压油等矿物油类</w:t>
            </w:r>
          </w:p>
        </w:tc>
        <w:tc>
          <w:tcPr>
            <w:tcW w:w="611" w:type="pct"/>
            <w:tcBorders>
              <w:tl2br w:val="nil"/>
              <w:tr2bl w:val="nil"/>
            </w:tcBorders>
            <w:noWrap w:val="0"/>
            <w:vAlign w:val="center"/>
          </w:tcPr>
          <w:p w14:paraId="3C8B7F1E">
            <w:pPr>
              <w:pStyle w:val="111"/>
              <w:spacing w:before="0"/>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矿物油类</w:t>
            </w:r>
          </w:p>
        </w:tc>
        <w:tc>
          <w:tcPr>
            <w:tcW w:w="569" w:type="pct"/>
            <w:tcBorders>
              <w:tl2br w:val="nil"/>
              <w:tr2bl w:val="nil"/>
            </w:tcBorders>
            <w:noWrap w:val="0"/>
            <w:vAlign w:val="center"/>
          </w:tcPr>
          <w:p w14:paraId="2F2E27DF">
            <w:pPr>
              <w:pStyle w:val="111"/>
              <w:spacing w:before="0"/>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泄漏</w:t>
            </w:r>
          </w:p>
        </w:tc>
        <w:tc>
          <w:tcPr>
            <w:tcW w:w="750" w:type="pct"/>
            <w:tcBorders>
              <w:tl2br w:val="nil"/>
              <w:tr2bl w:val="nil"/>
            </w:tcBorders>
            <w:noWrap w:val="0"/>
            <w:vAlign w:val="center"/>
          </w:tcPr>
          <w:p w14:paraId="3F2AACC1">
            <w:pPr>
              <w:pStyle w:val="111"/>
              <w:spacing w:before="0"/>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地表水</w:t>
            </w:r>
          </w:p>
        </w:tc>
        <w:tc>
          <w:tcPr>
            <w:tcW w:w="439" w:type="pct"/>
            <w:tcBorders>
              <w:tl2br w:val="nil"/>
              <w:tr2bl w:val="nil"/>
            </w:tcBorders>
            <w:noWrap w:val="0"/>
            <w:vAlign w:val="center"/>
          </w:tcPr>
          <w:p w14:paraId="13E9E4CF">
            <w:pPr>
              <w:pStyle w:val="111"/>
              <w:spacing w:before="0"/>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储存桶</w:t>
            </w:r>
          </w:p>
        </w:tc>
        <w:tc>
          <w:tcPr>
            <w:tcW w:w="541" w:type="pct"/>
            <w:tcBorders>
              <w:tl2br w:val="nil"/>
              <w:tr2bl w:val="nil"/>
            </w:tcBorders>
            <w:noWrap w:val="0"/>
            <w:vAlign w:val="center"/>
          </w:tcPr>
          <w:p w14:paraId="4F9E9D1E">
            <w:pPr>
              <w:pStyle w:val="112"/>
              <w:keepNext w:val="0"/>
              <w:keepLines w:val="0"/>
              <w:pageBreakBefore w:val="0"/>
              <w:kinsoku/>
              <w:wordWrap/>
              <w:overflowPunct/>
              <w:topLinePunct w:val="0"/>
              <w:bidi w:val="0"/>
              <w:adjustRightInd/>
              <w:snapToGrid/>
              <w:jc w:val="center"/>
              <w:textAlignment w:val="auto"/>
              <w:rPr>
                <w:rFonts w:hint="default" w:ascii="Times New Roman" w:hAnsi="Times New Roman" w:eastAsia="宋体" w:cs="Times New Roman"/>
                <w:b w:val="0"/>
                <w:color w:val="auto"/>
                <w:kern w:val="2"/>
                <w:sz w:val="21"/>
                <w:szCs w:val="21"/>
                <w:u w:val="none" w:color="auto"/>
                <w:lang w:val="zh-CN" w:eastAsia="zh-CN" w:bidi="ar-SA"/>
              </w:rPr>
            </w:pPr>
            <w:r>
              <w:rPr>
                <w:rFonts w:hint="default" w:ascii="Times New Roman" w:hAnsi="Times New Roman" w:eastAsia="宋体" w:cs="Times New Roman"/>
                <w:b w:val="0"/>
                <w:color w:val="auto"/>
                <w:sz w:val="21"/>
                <w:szCs w:val="21"/>
                <w:u w:val="none" w:color="auto"/>
              </w:rPr>
              <w:t>罐体全破裂</w:t>
            </w:r>
          </w:p>
        </w:tc>
        <w:tc>
          <w:tcPr>
            <w:tcW w:w="594" w:type="pct"/>
            <w:tcBorders>
              <w:tl2br w:val="nil"/>
              <w:tr2bl w:val="nil"/>
            </w:tcBorders>
            <w:noWrap w:val="0"/>
            <w:vAlign w:val="center"/>
          </w:tcPr>
          <w:p w14:paraId="30E3F8A9">
            <w:pPr>
              <w:pStyle w:val="112"/>
              <w:keepNext w:val="0"/>
              <w:keepLines w:val="0"/>
              <w:pageBreakBefore w:val="0"/>
              <w:kinsoku/>
              <w:wordWrap/>
              <w:overflowPunct/>
              <w:topLinePunct w:val="0"/>
              <w:bidi w:val="0"/>
              <w:adjustRightInd/>
              <w:snapToGrid/>
              <w:jc w:val="center"/>
              <w:textAlignment w:val="auto"/>
              <w:rPr>
                <w:rFonts w:hint="default" w:ascii="Times New Roman" w:hAnsi="Times New Roman" w:eastAsia="宋体" w:cs="Times New Roman"/>
                <w:b w:val="0"/>
                <w:color w:val="auto"/>
                <w:kern w:val="2"/>
                <w:sz w:val="21"/>
                <w:szCs w:val="21"/>
                <w:u w:val="none" w:color="auto"/>
                <w:lang w:val="en-US" w:eastAsia="zh-CN" w:bidi="ar-SA"/>
              </w:rPr>
            </w:pPr>
            <w:r>
              <w:rPr>
                <w:rFonts w:hint="default" w:ascii="Times New Roman" w:hAnsi="Times New Roman" w:eastAsia="宋体" w:cs="Times New Roman"/>
                <w:b w:val="0"/>
                <w:color w:val="auto"/>
                <w:sz w:val="21"/>
                <w:szCs w:val="21"/>
                <w:u w:val="none" w:color="auto"/>
              </w:rPr>
              <w:t>5.00×10</w:t>
            </w:r>
            <w:r>
              <w:rPr>
                <w:rFonts w:hint="default" w:ascii="Times New Roman" w:hAnsi="Times New Roman" w:eastAsia="宋体" w:cs="Times New Roman"/>
                <w:b w:val="0"/>
                <w:color w:val="auto"/>
                <w:sz w:val="21"/>
                <w:szCs w:val="21"/>
                <w:u w:val="none" w:color="auto"/>
                <w:vertAlign w:val="superscript"/>
              </w:rPr>
              <w:t>-6</w:t>
            </w:r>
            <w:r>
              <w:rPr>
                <w:rFonts w:hint="default" w:ascii="Times New Roman" w:hAnsi="Times New Roman" w:eastAsia="宋体" w:cs="Times New Roman"/>
                <w:b w:val="0"/>
                <w:color w:val="auto"/>
                <w:sz w:val="21"/>
                <w:szCs w:val="21"/>
                <w:u w:val="none" w:color="auto"/>
              </w:rPr>
              <w:t>/a</w:t>
            </w:r>
          </w:p>
        </w:tc>
        <w:tc>
          <w:tcPr>
            <w:tcW w:w="528" w:type="pct"/>
            <w:tcBorders>
              <w:tl2br w:val="nil"/>
              <w:tr2bl w:val="nil"/>
            </w:tcBorders>
            <w:noWrap w:val="0"/>
            <w:vAlign w:val="center"/>
          </w:tcPr>
          <w:p w14:paraId="7100B6FC">
            <w:pPr>
              <w:pStyle w:val="112"/>
              <w:keepNext w:val="0"/>
              <w:keepLines w:val="0"/>
              <w:pageBreakBefore w:val="0"/>
              <w:kinsoku/>
              <w:wordWrap/>
              <w:overflowPunct/>
              <w:topLinePunct w:val="0"/>
              <w:bidi w:val="0"/>
              <w:adjustRightInd/>
              <w:snapToGrid/>
              <w:jc w:val="center"/>
              <w:textAlignment w:val="auto"/>
              <w:rPr>
                <w:rFonts w:hint="default" w:ascii="Times New Roman" w:hAnsi="Times New Roman" w:eastAsia="宋体" w:cs="Times New Roman"/>
                <w:b w:val="0"/>
                <w:color w:val="auto"/>
                <w:kern w:val="2"/>
                <w:sz w:val="21"/>
                <w:szCs w:val="21"/>
                <w:u w:val="none" w:color="auto"/>
                <w:lang w:val="zh-CN" w:eastAsia="zh-CN" w:bidi="ar-SA"/>
              </w:rPr>
            </w:pPr>
            <w:r>
              <w:rPr>
                <w:rFonts w:hint="default" w:ascii="Times New Roman" w:hAnsi="Times New Roman" w:eastAsia="宋体" w:cs="Times New Roman"/>
                <w:b w:val="0"/>
                <w:color w:val="auto"/>
                <w:sz w:val="21"/>
                <w:szCs w:val="21"/>
                <w:u w:val="none" w:color="auto"/>
              </w:rPr>
              <w:t>30min</w:t>
            </w:r>
          </w:p>
        </w:tc>
      </w:tr>
    </w:tbl>
    <w:p w14:paraId="1C45B121">
      <w:pPr>
        <w:pStyle w:val="3"/>
        <w:snapToGrid/>
        <w:ind w:left="0" w:firstLine="0"/>
        <w:rPr>
          <w:rFonts w:hint="default" w:ascii="Times New Roman" w:hAnsi="Times New Roman" w:eastAsia="宋体" w:cs="Times New Roman"/>
          <w:color w:val="auto"/>
          <w:szCs w:val="28"/>
          <w:u w:val="none" w:color="auto"/>
        </w:rPr>
      </w:pPr>
      <w:r>
        <w:rPr>
          <w:rFonts w:hint="default" w:ascii="Times New Roman" w:hAnsi="Times New Roman" w:eastAsia="宋体" w:cs="Times New Roman"/>
          <w:color w:val="auto"/>
          <w:szCs w:val="28"/>
          <w:u w:val="none" w:color="auto"/>
        </w:rPr>
        <w:br w:type="page"/>
      </w:r>
      <w:bookmarkStart w:id="245" w:name="_Toc24824"/>
      <w:bookmarkStart w:id="246" w:name="_Toc11020"/>
      <w:bookmarkStart w:id="247" w:name="_Toc13631"/>
      <w:bookmarkStart w:id="248" w:name="_Toc1869"/>
      <w:bookmarkStart w:id="249" w:name="_Toc2210"/>
      <w:bookmarkStart w:id="250" w:name="_Toc2856"/>
      <w:r>
        <w:rPr>
          <w:rFonts w:hint="default" w:ascii="Times New Roman" w:hAnsi="Times New Roman" w:eastAsia="宋体" w:cs="Times New Roman"/>
          <w:color w:val="auto"/>
          <w:kern w:val="2"/>
          <w:sz w:val="32"/>
          <w:szCs w:val="32"/>
          <w:u w:val="none" w:color="auto"/>
        </w:rPr>
        <w:t>4 源项分析</w:t>
      </w:r>
      <w:bookmarkEnd w:id="238"/>
      <w:bookmarkEnd w:id="239"/>
      <w:bookmarkEnd w:id="240"/>
      <w:bookmarkEnd w:id="241"/>
      <w:bookmarkEnd w:id="242"/>
      <w:bookmarkEnd w:id="243"/>
      <w:bookmarkEnd w:id="244"/>
      <w:bookmarkEnd w:id="245"/>
      <w:bookmarkEnd w:id="246"/>
      <w:bookmarkEnd w:id="247"/>
      <w:bookmarkEnd w:id="248"/>
      <w:bookmarkEnd w:id="249"/>
      <w:bookmarkEnd w:id="250"/>
    </w:p>
    <w:p w14:paraId="2306ACCC">
      <w:pPr>
        <w:pStyle w:val="4"/>
        <w:numPr>
          <w:ilvl w:val="1"/>
          <w:numId w:val="0"/>
        </w:numPr>
        <w:spacing w:before="120" w:after="120" w:line="360" w:lineRule="auto"/>
        <w:contextualSpacing/>
        <w:rPr>
          <w:rFonts w:hint="default" w:ascii="Times New Roman" w:hAnsi="Times New Roman" w:eastAsia="宋体" w:cs="Times New Roman"/>
          <w:b/>
          <w:bCs w:val="0"/>
          <w:color w:val="auto"/>
          <w:sz w:val="28"/>
          <w:u w:val="none" w:color="auto"/>
        </w:rPr>
      </w:pPr>
      <w:bookmarkStart w:id="251" w:name="_Toc31898"/>
      <w:bookmarkStart w:id="252" w:name="_Toc16129"/>
      <w:r>
        <w:rPr>
          <w:rFonts w:hint="default" w:ascii="Times New Roman" w:hAnsi="Times New Roman" w:eastAsia="宋体" w:cs="Times New Roman"/>
          <w:b/>
          <w:bCs w:val="0"/>
          <w:color w:val="auto"/>
          <w:sz w:val="28"/>
          <w:u w:val="none" w:color="auto"/>
        </w:rPr>
        <w:t>4.1</w:t>
      </w:r>
      <w:r>
        <w:rPr>
          <w:rFonts w:hint="default" w:ascii="Times New Roman" w:hAnsi="Times New Roman" w:eastAsia="宋体" w:cs="Times New Roman"/>
          <w:b/>
          <w:bCs w:val="0"/>
          <w:color w:val="auto"/>
          <w:sz w:val="28"/>
          <w:u w:val="none" w:color="auto"/>
          <w:lang w:val="en-US" w:eastAsia="zh-CN"/>
        </w:rPr>
        <w:t>天然气管道</w:t>
      </w:r>
      <w:r>
        <w:rPr>
          <w:rFonts w:hint="default" w:ascii="Times New Roman" w:hAnsi="Times New Roman" w:eastAsia="宋体" w:cs="Times New Roman"/>
          <w:b/>
          <w:bCs w:val="0"/>
          <w:color w:val="auto"/>
          <w:sz w:val="28"/>
          <w:u w:val="none" w:color="auto"/>
        </w:rPr>
        <w:t>泄漏</w:t>
      </w:r>
      <w:bookmarkEnd w:id="251"/>
      <w:r>
        <w:rPr>
          <w:rFonts w:hint="default" w:ascii="Times New Roman" w:hAnsi="Times New Roman" w:eastAsia="宋体" w:cs="Times New Roman"/>
          <w:b/>
          <w:bCs w:val="0"/>
          <w:color w:val="auto"/>
          <w:sz w:val="28"/>
          <w:u w:val="none" w:color="auto"/>
          <w:lang w:val="en-US" w:eastAsia="zh-CN"/>
        </w:rPr>
        <w:t>源强</w:t>
      </w:r>
      <w:bookmarkEnd w:id="252"/>
    </w:p>
    <w:p w14:paraId="6D97A0DD">
      <w:pPr>
        <w:spacing w:line="360" w:lineRule="auto"/>
        <w:ind w:firstLine="480" w:firstLineChars="200"/>
        <w:contextualSpacing/>
        <w:rPr>
          <w:rFonts w:hint="default" w:ascii="Times New Roman" w:hAnsi="Times New Roman" w:eastAsia="宋体" w:cs="Times New Roman"/>
          <w:bCs/>
          <w:color w:val="auto"/>
          <w:sz w:val="24"/>
          <w:szCs w:val="24"/>
          <w:u w:val="none" w:color="auto"/>
          <w:lang w:val="en-US" w:eastAsia="zh-CN"/>
        </w:rPr>
      </w:pPr>
      <w:r>
        <w:rPr>
          <w:rFonts w:hint="default" w:ascii="Times New Roman" w:hAnsi="Times New Roman" w:eastAsia="宋体" w:cs="Times New Roman"/>
          <w:bCs/>
          <w:color w:val="auto"/>
          <w:sz w:val="24"/>
          <w:szCs w:val="24"/>
          <w:u w:val="none" w:color="auto"/>
          <w:lang w:val="en-US" w:eastAsia="zh-CN"/>
        </w:rPr>
        <w:t>天然气管道泄漏属于气体泄漏，当下式成立时，气体流动属音速流动(临界流)</w:t>
      </w:r>
    </w:p>
    <w:p w14:paraId="50D94FE7">
      <w:pPr>
        <w:spacing w:line="360" w:lineRule="auto"/>
        <w:contextualSpacing/>
        <w:jc w:val="center"/>
        <w:rPr>
          <w:rFonts w:hint="default" w:ascii="Times New Roman" w:hAnsi="Times New Roman" w:eastAsia="宋体" w:cs="Times New Roman"/>
          <w:bCs/>
          <w:color w:val="auto"/>
          <w:sz w:val="24"/>
          <w:szCs w:val="24"/>
          <w:u w:val="none" w:color="auto"/>
        </w:rPr>
      </w:pPr>
      <w:r>
        <w:rPr>
          <w:rFonts w:hint="default" w:ascii="Times New Roman" w:hAnsi="Times New Roman" w:eastAsia="宋体" w:cs="Times New Roman"/>
          <w:color w:val="auto"/>
          <w:u w:val="none" w:color="auto"/>
        </w:rPr>
        <w:drawing>
          <wp:inline distT="0" distB="0" distL="114300" distR="114300">
            <wp:extent cx="1562100" cy="695325"/>
            <wp:effectExtent l="0" t="0" r="0" b="9525"/>
            <wp:docPr id="3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3"/>
                    <pic:cNvPicPr>
                      <a:picLocks noChangeAspect="1"/>
                    </pic:cNvPicPr>
                  </pic:nvPicPr>
                  <pic:blipFill>
                    <a:blip r:embed="rId54"/>
                    <a:stretch>
                      <a:fillRect/>
                    </a:stretch>
                  </pic:blipFill>
                  <pic:spPr>
                    <a:xfrm>
                      <a:off x="0" y="0"/>
                      <a:ext cx="1562100" cy="695325"/>
                    </a:xfrm>
                    <a:prstGeom prst="rect">
                      <a:avLst/>
                    </a:prstGeom>
                    <a:noFill/>
                    <a:ln>
                      <a:noFill/>
                    </a:ln>
                  </pic:spPr>
                </pic:pic>
              </a:graphicData>
            </a:graphic>
          </wp:inline>
        </w:drawing>
      </w:r>
    </w:p>
    <w:p w14:paraId="690CDF6C">
      <w:pPr>
        <w:spacing w:line="360" w:lineRule="auto"/>
        <w:ind w:firstLine="480" w:firstLineChars="200"/>
        <w:contextualSpacing/>
        <w:rPr>
          <w:rFonts w:hint="default" w:ascii="Times New Roman" w:hAnsi="Times New Roman" w:eastAsia="宋体" w:cs="Times New Roman"/>
          <w:bCs/>
          <w:color w:val="auto"/>
          <w:sz w:val="24"/>
          <w:szCs w:val="24"/>
          <w:u w:val="none" w:color="auto"/>
        </w:rPr>
      </w:pPr>
      <w:r>
        <w:rPr>
          <w:rFonts w:hint="default" w:ascii="Times New Roman" w:hAnsi="Times New Roman" w:eastAsia="宋体" w:cs="Times New Roman"/>
          <w:bCs/>
          <w:color w:val="auto"/>
          <w:sz w:val="24"/>
          <w:szCs w:val="24"/>
          <w:u w:val="none" w:color="auto"/>
        </w:rPr>
        <w:t>当下式成立时，气体流动属于亚音速流动(次临界流):</w:t>
      </w:r>
    </w:p>
    <w:p w14:paraId="5F6B1392">
      <w:pPr>
        <w:spacing w:line="360" w:lineRule="auto"/>
        <w:contextualSpacing/>
        <w:jc w:val="center"/>
        <w:rPr>
          <w:rFonts w:hint="default" w:ascii="Times New Roman" w:hAnsi="Times New Roman" w:eastAsia="宋体" w:cs="Times New Roman"/>
          <w:bCs/>
          <w:color w:val="auto"/>
          <w:sz w:val="24"/>
          <w:szCs w:val="24"/>
          <w:u w:val="none" w:color="auto"/>
        </w:rPr>
      </w:pPr>
      <w:r>
        <w:rPr>
          <w:rFonts w:hint="default" w:ascii="Times New Roman" w:hAnsi="Times New Roman" w:eastAsia="宋体" w:cs="Times New Roman"/>
          <w:color w:val="auto"/>
          <w:u w:val="none" w:color="auto"/>
        </w:rPr>
        <w:drawing>
          <wp:inline distT="0" distB="0" distL="114300" distR="114300">
            <wp:extent cx="1343025" cy="723900"/>
            <wp:effectExtent l="0" t="0" r="9525" b="0"/>
            <wp:docPr id="3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4"/>
                    <pic:cNvPicPr>
                      <a:picLocks noChangeAspect="1"/>
                    </pic:cNvPicPr>
                  </pic:nvPicPr>
                  <pic:blipFill>
                    <a:blip r:embed="rId55"/>
                    <a:stretch>
                      <a:fillRect/>
                    </a:stretch>
                  </pic:blipFill>
                  <pic:spPr>
                    <a:xfrm>
                      <a:off x="0" y="0"/>
                      <a:ext cx="1343025" cy="723900"/>
                    </a:xfrm>
                    <a:prstGeom prst="rect">
                      <a:avLst/>
                    </a:prstGeom>
                    <a:noFill/>
                    <a:ln>
                      <a:noFill/>
                    </a:ln>
                  </pic:spPr>
                </pic:pic>
              </a:graphicData>
            </a:graphic>
          </wp:inline>
        </w:drawing>
      </w:r>
    </w:p>
    <w:p w14:paraId="54C633ED">
      <w:pPr>
        <w:spacing w:line="360" w:lineRule="auto"/>
        <w:contextualSpacing/>
        <w:rPr>
          <w:rFonts w:hint="default" w:ascii="Times New Roman" w:hAnsi="Times New Roman" w:eastAsia="宋体" w:cs="Times New Roman"/>
          <w:bCs/>
          <w:color w:val="auto"/>
          <w:sz w:val="24"/>
          <w:szCs w:val="24"/>
          <w:u w:val="none" w:color="auto"/>
        </w:rPr>
      </w:pPr>
      <w:r>
        <w:rPr>
          <w:rFonts w:hint="default" w:ascii="Times New Roman" w:hAnsi="Times New Roman" w:eastAsia="宋体" w:cs="Times New Roman"/>
          <w:bCs/>
          <w:color w:val="auto"/>
          <w:sz w:val="24"/>
          <w:szCs w:val="24"/>
          <w:u w:val="none" w:color="auto"/>
        </w:rPr>
        <w:t>式中：P——容器压力，Pa，</w:t>
      </w:r>
      <w:r>
        <w:rPr>
          <w:rFonts w:hint="default" w:ascii="Times New Roman" w:hAnsi="Times New Roman" w:eastAsia="宋体" w:cs="Times New Roman"/>
          <w:bCs/>
          <w:color w:val="auto"/>
          <w:sz w:val="24"/>
          <w:szCs w:val="24"/>
          <w:u w:val="none" w:color="auto"/>
          <w:lang w:val="en-US" w:eastAsia="zh-CN"/>
        </w:rPr>
        <w:t>按工业管道（内径75mm的管道）天然气压力0.4Mpa~1.6Mpa的均值计算，</w:t>
      </w:r>
      <w:r>
        <w:rPr>
          <w:rFonts w:hint="default" w:ascii="Times New Roman" w:hAnsi="Times New Roman" w:eastAsia="宋体" w:cs="Times New Roman"/>
          <w:bCs/>
          <w:color w:val="auto"/>
          <w:sz w:val="24"/>
          <w:szCs w:val="24"/>
          <w:u w:val="none" w:color="auto"/>
        </w:rPr>
        <w:t>取值10</w:t>
      </w:r>
      <w:r>
        <w:rPr>
          <w:rFonts w:hint="default" w:ascii="Times New Roman" w:hAnsi="Times New Roman" w:eastAsia="宋体" w:cs="Times New Roman"/>
          <w:bCs/>
          <w:color w:val="auto"/>
          <w:sz w:val="24"/>
          <w:szCs w:val="24"/>
          <w:u w:val="none" w:color="auto"/>
          <w:lang w:val="en-US" w:eastAsia="zh-CN"/>
        </w:rPr>
        <w:t>00000</w:t>
      </w:r>
      <w:r>
        <w:rPr>
          <w:rFonts w:hint="default" w:ascii="Times New Roman" w:hAnsi="Times New Roman" w:eastAsia="宋体" w:cs="Times New Roman"/>
          <w:bCs/>
          <w:color w:val="auto"/>
          <w:sz w:val="24"/>
          <w:szCs w:val="24"/>
          <w:u w:val="none" w:color="auto"/>
        </w:rPr>
        <w:t>Pa;</w:t>
      </w:r>
    </w:p>
    <w:p w14:paraId="4B05FD84">
      <w:pPr>
        <w:spacing w:line="360" w:lineRule="auto"/>
        <w:ind w:firstLine="720" w:firstLineChars="300"/>
        <w:contextualSpacing/>
        <w:rPr>
          <w:rFonts w:hint="default" w:ascii="Times New Roman" w:hAnsi="Times New Roman" w:eastAsia="宋体" w:cs="Times New Roman"/>
          <w:bCs/>
          <w:color w:val="auto"/>
          <w:sz w:val="24"/>
          <w:szCs w:val="24"/>
          <w:u w:val="none" w:color="auto"/>
        </w:rPr>
      </w:pPr>
      <w:r>
        <w:rPr>
          <w:rFonts w:hint="default" w:ascii="Times New Roman" w:hAnsi="Times New Roman" w:eastAsia="宋体" w:cs="Times New Roman"/>
          <w:bCs/>
          <w:color w:val="auto"/>
          <w:sz w:val="24"/>
          <w:szCs w:val="24"/>
          <w:u w:val="none" w:color="auto"/>
        </w:rPr>
        <w:t>P</w:t>
      </w:r>
      <w:r>
        <w:rPr>
          <w:rFonts w:hint="default" w:ascii="Times New Roman" w:hAnsi="Times New Roman" w:eastAsia="宋体" w:cs="Times New Roman"/>
          <w:bCs/>
          <w:color w:val="auto"/>
          <w:sz w:val="24"/>
          <w:szCs w:val="24"/>
          <w:u w:val="none" w:color="auto"/>
          <w:vertAlign w:val="subscript"/>
        </w:rPr>
        <w:t>0</w:t>
      </w:r>
      <w:r>
        <w:rPr>
          <w:rFonts w:hint="default" w:ascii="Times New Roman" w:hAnsi="Times New Roman" w:eastAsia="宋体" w:cs="Times New Roman"/>
          <w:bCs/>
          <w:color w:val="auto"/>
          <w:sz w:val="24"/>
          <w:szCs w:val="24"/>
          <w:u w:val="none" w:color="auto"/>
        </w:rPr>
        <w:t>——环境压力，Pa，取值101325Pa;</w:t>
      </w:r>
    </w:p>
    <w:p w14:paraId="37A57A8A">
      <w:pPr>
        <w:spacing w:line="360" w:lineRule="auto"/>
        <w:ind w:firstLine="720" w:firstLineChars="300"/>
        <w:contextualSpacing/>
        <w:rPr>
          <w:rFonts w:hint="default" w:ascii="Times New Roman" w:hAnsi="Times New Roman" w:eastAsia="宋体" w:cs="Times New Roman"/>
          <w:bCs/>
          <w:color w:val="auto"/>
          <w:sz w:val="24"/>
          <w:szCs w:val="24"/>
          <w:u w:val="none" w:color="auto"/>
        </w:rPr>
      </w:pPr>
      <w:r>
        <w:rPr>
          <w:rFonts w:hint="default" w:ascii="Times New Roman" w:hAnsi="Times New Roman" w:eastAsia="宋体" w:cs="Times New Roman"/>
          <w:bCs/>
          <w:color w:val="auto"/>
          <w:sz w:val="24"/>
          <w:szCs w:val="24"/>
          <w:u w:val="none" w:color="auto"/>
        </w:rPr>
        <w:t>γ——气体的绝热指数(比热容比)，即定压比热容C与定容比热容Cv之比</w:t>
      </w:r>
      <w:r>
        <w:rPr>
          <w:rFonts w:hint="default" w:ascii="Times New Roman" w:hAnsi="Times New Roman" w:eastAsia="宋体" w:cs="Times New Roman"/>
          <w:bCs/>
          <w:color w:val="auto"/>
          <w:sz w:val="24"/>
          <w:szCs w:val="24"/>
          <w:u w:val="none" w:color="auto"/>
          <w:lang w:eastAsia="zh-CN"/>
        </w:rPr>
        <w:t>，</w:t>
      </w:r>
      <w:r>
        <w:rPr>
          <w:rFonts w:hint="default" w:ascii="Times New Roman" w:hAnsi="Times New Roman" w:eastAsia="宋体" w:cs="Times New Roman"/>
          <w:bCs/>
          <w:color w:val="auto"/>
          <w:sz w:val="24"/>
          <w:szCs w:val="24"/>
          <w:u w:val="none" w:color="auto"/>
          <w:lang w:val="en-US" w:eastAsia="zh-CN"/>
        </w:rPr>
        <w:t>以甲烷表征，取值1.31</w:t>
      </w:r>
      <w:r>
        <w:rPr>
          <w:rFonts w:hint="default" w:ascii="Times New Roman" w:hAnsi="Times New Roman" w:eastAsia="宋体" w:cs="Times New Roman"/>
          <w:bCs/>
          <w:color w:val="auto"/>
          <w:sz w:val="24"/>
          <w:szCs w:val="24"/>
          <w:u w:val="none" w:color="auto"/>
          <w:lang w:eastAsia="zh-CN"/>
        </w:rPr>
        <w:t>；</w:t>
      </w:r>
      <w:r>
        <w:rPr>
          <w:rFonts w:hint="default" w:ascii="Times New Roman" w:hAnsi="Times New Roman" w:eastAsia="宋体" w:cs="Times New Roman"/>
          <w:bCs/>
          <w:color w:val="auto"/>
          <w:sz w:val="24"/>
          <w:szCs w:val="24"/>
          <w:u w:val="none" w:color="auto"/>
        </w:rPr>
        <w:t>假定气体特性为理想气体，其泄漏速率G按下式计算:</w:t>
      </w:r>
    </w:p>
    <w:p w14:paraId="3B8E4276">
      <w:pPr>
        <w:pStyle w:val="2"/>
        <w:ind w:left="0" w:leftChars="0" w:firstLine="0" w:firstLineChars="0"/>
        <w:jc w:val="center"/>
        <w:rPr>
          <w:rFonts w:hint="default" w:ascii="Times New Roman" w:hAnsi="Times New Roman" w:eastAsia="宋体" w:cs="Times New Roman"/>
          <w:bCs/>
          <w:color w:val="auto"/>
          <w:sz w:val="24"/>
          <w:szCs w:val="24"/>
          <w:u w:val="none" w:color="auto"/>
          <w:lang w:val="en-US" w:eastAsia="zh-CN"/>
        </w:rPr>
      </w:pPr>
      <w:r>
        <w:rPr>
          <w:rFonts w:hint="default" w:ascii="Times New Roman" w:hAnsi="Times New Roman" w:eastAsia="宋体" w:cs="Times New Roman"/>
          <w:color w:val="auto"/>
          <w:u w:val="none" w:color="auto"/>
        </w:rPr>
        <w:drawing>
          <wp:inline distT="0" distB="0" distL="114300" distR="114300">
            <wp:extent cx="3324225" cy="733425"/>
            <wp:effectExtent l="0" t="0" r="9525" b="9525"/>
            <wp:docPr id="12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5"/>
                    <pic:cNvPicPr>
                      <a:picLocks noChangeAspect="1"/>
                    </pic:cNvPicPr>
                  </pic:nvPicPr>
                  <pic:blipFill>
                    <a:blip r:embed="rId56"/>
                    <a:stretch>
                      <a:fillRect/>
                    </a:stretch>
                  </pic:blipFill>
                  <pic:spPr>
                    <a:xfrm>
                      <a:off x="0" y="0"/>
                      <a:ext cx="3324225" cy="733425"/>
                    </a:xfrm>
                    <a:prstGeom prst="rect">
                      <a:avLst/>
                    </a:prstGeom>
                    <a:noFill/>
                    <a:ln>
                      <a:noFill/>
                    </a:ln>
                  </pic:spPr>
                </pic:pic>
              </a:graphicData>
            </a:graphic>
          </wp:inline>
        </w:drawing>
      </w:r>
    </w:p>
    <w:p w14:paraId="753734CC">
      <w:pPr>
        <w:pStyle w:val="2"/>
        <w:keepNext w:val="0"/>
        <w:keepLines w:val="0"/>
        <w:pageBreakBefore w:val="0"/>
        <w:widowControl/>
        <w:kinsoku/>
        <w:wordWrap/>
        <w:overflowPunct/>
        <w:topLinePunct w:val="0"/>
        <w:autoSpaceDE/>
        <w:autoSpaceDN/>
        <w:bidi w:val="0"/>
        <w:adjustRightInd/>
        <w:snapToGrid w:val="0"/>
        <w:spacing w:before="0" w:after="0" w:line="360" w:lineRule="auto"/>
        <w:ind w:right="0"/>
        <w:textAlignment w:val="auto"/>
        <w:rPr>
          <w:rFonts w:hint="default" w:ascii="Times New Roman" w:hAnsi="Times New Roman" w:eastAsia="宋体" w:cs="Times New Roman"/>
          <w:bCs/>
          <w:color w:val="auto"/>
          <w:sz w:val="24"/>
          <w:szCs w:val="24"/>
          <w:u w:val="none" w:color="auto"/>
        </w:rPr>
      </w:pPr>
      <w:r>
        <w:rPr>
          <w:rFonts w:hint="default" w:ascii="Times New Roman" w:hAnsi="Times New Roman" w:eastAsia="宋体" w:cs="Times New Roman"/>
          <w:bCs/>
          <w:color w:val="auto"/>
          <w:sz w:val="24"/>
          <w:szCs w:val="24"/>
          <w:u w:val="none" w:color="auto"/>
        </w:rPr>
        <w:t>式中：</w:t>
      </w:r>
      <w:r>
        <w:rPr>
          <w:rFonts w:hint="default" w:ascii="Times New Roman" w:hAnsi="Times New Roman" w:eastAsia="宋体" w:cs="Times New Roman"/>
          <w:bCs/>
          <w:color w:val="auto"/>
          <w:sz w:val="24"/>
          <w:szCs w:val="24"/>
          <w:u w:val="none" w:color="auto"/>
          <w:lang w:val="en-US" w:eastAsia="zh-CN"/>
        </w:rPr>
        <w:t>Q</w:t>
      </w:r>
      <w:r>
        <w:rPr>
          <w:rFonts w:hint="default" w:ascii="Times New Roman" w:hAnsi="Times New Roman" w:eastAsia="宋体" w:cs="Times New Roman"/>
          <w:bCs/>
          <w:color w:val="auto"/>
          <w:sz w:val="24"/>
          <w:szCs w:val="24"/>
          <w:u w:val="none" w:color="auto"/>
          <w:vertAlign w:val="subscript"/>
          <w:lang w:val="en-US" w:eastAsia="zh-CN"/>
        </w:rPr>
        <w:t>G</w:t>
      </w:r>
      <w:r>
        <w:rPr>
          <w:rFonts w:hint="default" w:ascii="Times New Roman" w:hAnsi="Times New Roman" w:eastAsia="宋体" w:cs="Times New Roman"/>
          <w:bCs/>
          <w:color w:val="auto"/>
          <w:sz w:val="24"/>
          <w:szCs w:val="24"/>
          <w:u w:val="none" w:color="auto"/>
        </w:rPr>
        <w:t>——气体泄漏速率，kg/s;</w:t>
      </w:r>
    </w:p>
    <w:p w14:paraId="1CB38BBE">
      <w:pPr>
        <w:pStyle w:val="2"/>
        <w:keepNext w:val="0"/>
        <w:keepLines w:val="0"/>
        <w:pageBreakBefore w:val="0"/>
        <w:widowControl/>
        <w:kinsoku/>
        <w:wordWrap/>
        <w:overflowPunct/>
        <w:topLinePunct w:val="0"/>
        <w:autoSpaceDE/>
        <w:autoSpaceDN/>
        <w:bidi w:val="0"/>
        <w:adjustRightInd/>
        <w:snapToGrid w:val="0"/>
        <w:spacing w:before="0" w:after="0" w:line="360" w:lineRule="auto"/>
        <w:ind w:left="0" w:leftChars="0" w:right="0" w:firstLine="480" w:firstLineChars="200"/>
        <w:textAlignment w:val="auto"/>
        <w:rPr>
          <w:rFonts w:hint="default" w:ascii="Times New Roman" w:hAnsi="Times New Roman" w:eastAsia="宋体" w:cs="Times New Roman"/>
          <w:bCs/>
          <w:color w:val="auto"/>
          <w:sz w:val="24"/>
          <w:szCs w:val="24"/>
          <w:u w:val="none" w:color="auto"/>
        </w:rPr>
      </w:pPr>
      <w:r>
        <w:rPr>
          <w:rFonts w:hint="default" w:ascii="Times New Roman" w:hAnsi="Times New Roman" w:eastAsia="宋体" w:cs="Times New Roman"/>
          <w:bCs/>
          <w:color w:val="auto"/>
          <w:sz w:val="24"/>
          <w:szCs w:val="24"/>
          <w:u w:val="none" w:color="auto"/>
        </w:rPr>
        <w:t>P——容器压力，Pa，取值10</w:t>
      </w:r>
      <w:r>
        <w:rPr>
          <w:rFonts w:hint="default" w:ascii="Times New Roman" w:hAnsi="Times New Roman" w:eastAsia="宋体" w:cs="Times New Roman"/>
          <w:bCs/>
          <w:color w:val="auto"/>
          <w:sz w:val="24"/>
          <w:szCs w:val="24"/>
          <w:u w:val="none" w:color="auto"/>
          <w:lang w:val="en-US" w:eastAsia="zh-CN"/>
        </w:rPr>
        <w:t>00000</w:t>
      </w:r>
      <w:r>
        <w:rPr>
          <w:rFonts w:hint="default" w:ascii="Times New Roman" w:hAnsi="Times New Roman" w:eastAsia="宋体" w:cs="Times New Roman"/>
          <w:bCs/>
          <w:color w:val="auto"/>
          <w:sz w:val="24"/>
          <w:szCs w:val="24"/>
          <w:u w:val="none" w:color="auto"/>
        </w:rPr>
        <w:t>Pa;</w:t>
      </w:r>
    </w:p>
    <w:p w14:paraId="02B81797">
      <w:pPr>
        <w:pStyle w:val="2"/>
        <w:keepNext w:val="0"/>
        <w:keepLines w:val="0"/>
        <w:pageBreakBefore w:val="0"/>
        <w:widowControl/>
        <w:kinsoku/>
        <w:wordWrap/>
        <w:overflowPunct/>
        <w:topLinePunct w:val="0"/>
        <w:autoSpaceDE/>
        <w:autoSpaceDN/>
        <w:bidi w:val="0"/>
        <w:adjustRightInd/>
        <w:snapToGrid w:val="0"/>
        <w:spacing w:before="0" w:after="0" w:line="360" w:lineRule="auto"/>
        <w:ind w:left="0" w:leftChars="0" w:right="0" w:firstLine="480" w:firstLineChars="200"/>
        <w:textAlignment w:val="auto"/>
        <w:rPr>
          <w:rFonts w:hint="default" w:ascii="Times New Roman" w:hAnsi="Times New Roman" w:eastAsia="宋体" w:cs="Times New Roman"/>
          <w:bCs/>
          <w:color w:val="auto"/>
          <w:sz w:val="24"/>
          <w:szCs w:val="24"/>
          <w:u w:val="none" w:color="auto"/>
          <w:lang w:val="en-US" w:eastAsia="zh-CN"/>
        </w:rPr>
      </w:pPr>
      <w:r>
        <w:rPr>
          <w:rFonts w:hint="default" w:ascii="Times New Roman" w:hAnsi="Times New Roman" w:eastAsia="宋体" w:cs="Times New Roman"/>
          <w:bCs/>
          <w:color w:val="auto"/>
          <w:sz w:val="24"/>
          <w:szCs w:val="24"/>
          <w:u w:val="none" w:color="auto"/>
        </w:rPr>
        <w:t>C</w:t>
      </w:r>
      <w:r>
        <w:rPr>
          <w:rFonts w:hint="default" w:ascii="Times New Roman" w:hAnsi="Times New Roman" w:eastAsia="宋体" w:cs="Times New Roman"/>
          <w:bCs/>
          <w:color w:val="auto"/>
          <w:sz w:val="24"/>
          <w:szCs w:val="24"/>
          <w:u w:val="none" w:color="auto"/>
          <w:vertAlign w:val="subscript"/>
          <w:lang w:val="en-US" w:eastAsia="zh-CN"/>
        </w:rPr>
        <w:t>d</w:t>
      </w:r>
      <w:r>
        <w:rPr>
          <w:rFonts w:hint="default" w:ascii="Times New Roman" w:hAnsi="Times New Roman" w:eastAsia="宋体" w:cs="Times New Roman"/>
          <w:bCs/>
          <w:color w:val="auto"/>
          <w:sz w:val="24"/>
          <w:szCs w:val="24"/>
          <w:u w:val="none" w:color="auto"/>
        </w:rPr>
        <w:t>——气体泄漏系数;当裂口形状为圆形时取1.00,三角形时取0.95,长方形时取0.90</w:t>
      </w:r>
      <w:r>
        <w:rPr>
          <w:rFonts w:hint="default" w:ascii="Times New Roman" w:hAnsi="Times New Roman" w:eastAsia="宋体" w:cs="Times New Roman"/>
          <w:bCs/>
          <w:color w:val="auto"/>
          <w:sz w:val="24"/>
          <w:szCs w:val="24"/>
          <w:u w:val="none" w:color="auto"/>
          <w:lang w:eastAsia="zh-CN"/>
        </w:rPr>
        <w:t>，</w:t>
      </w:r>
      <w:r>
        <w:rPr>
          <w:rFonts w:hint="default" w:ascii="Times New Roman" w:hAnsi="Times New Roman" w:eastAsia="宋体" w:cs="Times New Roman"/>
          <w:bCs/>
          <w:color w:val="auto"/>
          <w:sz w:val="24"/>
          <w:szCs w:val="24"/>
          <w:u w:val="none" w:color="auto"/>
          <w:lang w:val="en-US" w:eastAsia="zh-CN"/>
        </w:rPr>
        <w:t>取值</w:t>
      </w:r>
      <w:r>
        <w:rPr>
          <w:rFonts w:hint="default" w:ascii="Times New Roman" w:hAnsi="Times New Roman" w:eastAsia="宋体" w:cs="Times New Roman"/>
          <w:bCs/>
          <w:color w:val="auto"/>
          <w:sz w:val="24"/>
          <w:szCs w:val="24"/>
          <w:u w:val="none" w:color="auto"/>
        </w:rPr>
        <w:t>1.00,</w:t>
      </w:r>
      <w:r>
        <w:rPr>
          <w:rFonts w:hint="default" w:ascii="Times New Roman" w:hAnsi="Times New Roman" w:eastAsia="宋体" w:cs="Times New Roman"/>
          <w:bCs/>
          <w:color w:val="auto"/>
          <w:sz w:val="24"/>
          <w:szCs w:val="24"/>
          <w:u w:val="none" w:color="auto"/>
          <w:lang w:eastAsia="zh-CN"/>
        </w:rPr>
        <w:t>；</w:t>
      </w:r>
    </w:p>
    <w:p w14:paraId="13F74D84">
      <w:pPr>
        <w:pStyle w:val="2"/>
        <w:keepNext w:val="0"/>
        <w:keepLines w:val="0"/>
        <w:pageBreakBefore w:val="0"/>
        <w:widowControl/>
        <w:kinsoku/>
        <w:wordWrap/>
        <w:overflowPunct/>
        <w:topLinePunct w:val="0"/>
        <w:autoSpaceDE/>
        <w:autoSpaceDN/>
        <w:bidi w:val="0"/>
        <w:adjustRightInd/>
        <w:snapToGrid w:val="0"/>
        <w:spacing w:before="0" w:after="0" w:line="360" w:lineRule="auto"/>
        <w:ind w:left="0" w:leftChars="0" w:right="0" w:firstLine="480" w:firstLineChars="200"/>
        <w:textAlignment w:val="auto"/>
        <w:rPr>
          <w:rFonts w:hint="default" w:ascii="Times New Roman" w:hAnsi="Times New Roman" w:eastAsia="宋体" w:cs="Times New Roman"/>
          <w:bCs/>
          <w:color w:val="auto"/>
          <w:sz w:val="24"/>
          <w:szCs w:val="24"/>
          <w:u w:val="none" w:color="auto"/>
          <w:lang w:val="en-US" w:eastAsia="zh-CN"/>
        </w:rPr>
      </w:pPr>
      <w:r>
        <w:rPr>
          <w:rFonts w:hint="default" w:ascii="Times New Roman" w:hAnsi="Times New Roman" w:eastAsia="宋体" w:cs="Times New Roman"/>
          <w:bCs/>
          <w:color w:val="auto"/>
          <w:sz w:val="24"/>
          <w:szCs w:val="24"/>
          <w:u w:val="none" w:color="auto"/>
          <w:lang w:val="en-US" w:eastAsia="zh-CN"/>
        </w:rPr>
        <w:t>M</w:t>
      </w:r>
      <w:r>
        <w:rPr>
          <w:rFonts w:hint="default" w:ascii="Times New Roman" w:hAnsi="Times New Roman" w:eastAsia="宋体" w:cs="Times New Roman"/>
          <w:bCs/>
          <w:color w:val="auto"/>
          <w:sz w:val="24"/>
          <w:szCs w:val="24"/>
          <w:u w:val="none" w:color="auto"/>
        </w:rPr>
        <w:t>——物质的摩尔质量，kg/mol</w:t>
      </w:r>
      <w:r>
        <w:rPr>
          <w:rFonts w:hint="default" w:ascii="Times New Roman" w:hAnsi="Times New Roman" w:eastAsia="宋体" w:cs="Times New Roman"/>
          <w:bCs/>
          <w:color w:val="auto"/>
          <w:sz w:val="24"/>
          <w:szCs w:val="24"/>
          <w:u w:val="none" w:color="auto"/>
          <w:lang w:eastAsia="zh-CN"/>
        </w:rPr>
        <w:t>，</w:t>
      </w:r>
      <w:r>
        <w:rPr>
          <w:rFonts w:hint="default" w:ascii="Times New Roman" w:hAnsi="Times New Roman" w:eastAsia="宋体" w:cs="Times New Roman"/>
          <w:bCs/>
          <w:color w:val="auto"/>
          <w:sz w:val="24"/>
          <w:szCs w:val="24"/>
          <w:u w:val="none" w:color="auto"/>
          <w:lang w:val="en-US" w:eastAsia="zh-CN"/>
        </w:rPr>
        <w:t>已甲烷表征，取值16.04</w:t>
      </w:r>
      <w:r>
        <w:rPr>
          <w:rFonts w:hint="default" w:ascii="Times New Roman" w:hAnsi="Times New Roman" w:eastAsia="宋体" w:cs="Times New Roman"/>
          <w:bCs/>
          <w:color w:val="auto"/>
          <w:sz w:val="24"/>
          <w:szCs w:val="24"/>
          <w:u w:val="none" w:color="auto"/>
        </w:rPr>
        <w:t>kg/mol</w:t>
      </w:r>
    </w:p>
    <w:p w14:paraId="4FA5ACE2">
      <w:pPr>
        <w:pStyle w:val="2"/>
        <w:keepNext w:val="0"/>
        <w:keepLines w:val="0"/>
        <w:pageBreakBefore w:val="0"/>
        <w:widowControl/>
        <w:numPr>
          <w:ilvl w:val="0"/>
          <w:numId w:val="0"/>
        </w:numPr>
        <w:kinsoku/>
        <w:wordWrap/>
        <w:overflowPunct/>
        <w:topLinePunct w:val="0"/>
        <w:autoSpaceDE/>
        <w:autoSpaceDN/>
        <w:bidi w:val="0"/>
        <w:adjustRightInd/>
        <w:snapToGrid w:val="0"/>
        <w:spacing w:before="0" w:after="0" w:line="360" w:lineRule="auto"/>
        <w:ind w:leftChars="0" w:right="0" w:rightChars="0" w:firstLine="480" w:firstLineChars="200"/>
        <w:textAlignment w:val="auto"/>
        <w:rPr>
          <w:rFonts w:hint="default" w:ascii="Times New Roman" w:hAnsi="Times New Roman" w:eastAsia="宋体" w:cs="Times New Roman"/>
          <w:bCs/>
          <w:color w:val="auto"/>
          <w:sz w:val="24"/>
          <w:szCs w:val="24"/>
          <w:u w:val="none" w:color="auto"/>
          <w:lang w:val="en-US" w:eastAsia="zh-CN"/>
        </w:rPr>
      </w:pPr>
      <w:r>
        <w:rPr>
          <w:rFonts w:hint="default" w:ascii="Times New Roman" w:hAnsi="Times New Roman" w:eastAsia="宋体" w:cs="Times New Roman"/>
          <w:bCs/>
          <w:color w:val="auto"/>
          <w:sz w:val="24"/>
          <w:szCs w:val="24"/>
          <w:u w:val="none" w:color="auto"/>
          <w:lang w:val="en-US" w:eastAsia="zh-CN"/>
        </w:rPr>
        <w:t>R</w:t>
      </w:r>
      <w:r>
        <w:rPr>
          <w:rFonts w:hint="default" w:ascii="Times New Roman" w:hAnsi="Times New Roman" w:eastAsia="宋体" w:cs="Times New Roman"/>
          <w:bCs/>
          <w:color w:val="auto"/>
          <w:sz w:val="24"/>
          <w:szCs w:val="24"/>
          <w:u w:val="none" w:color="auto"/>
        </w:rPr>
        <w:t>——气体常数，J/(mo1·K)</w:t>
      </w:r>
      <w:r>
        <w:rPr>
          <w:rFonts w:hint="default" w:ascii="Times New Roman" w:hAnsi="Times New Roman" w:eastAsia="宋体" w:cs="Times New Roman"/>
          <w:bCs/>
          <w:color w:val="auto"/>
          <w:sz w:val="24"/>
          <w:szCs w:val="24"/>
          <w:u w:val="none" w:color="auto"/>
          <w:lang w:eastAsia="zh-CN"/>
        </w:rPr>
        <w:t>，</w:t>
      </w:r>
      <w:r>
        <w:rPr>
          <w:rFonts w:hint="default" w:ascii="Times New Roman" w:hAnsi="Times New Roman" w:eastAsia="宋体" w:cs="Times New Roman"/>
          <w:bCs/>
          <w:color w:val="auto"/>
          <w:sz w:val="24"/>
          <w:szCs w:val="24"/>
          <w:u w:val="none" w:color="auto"/>
          <w:lang w:val="en-US" w:eastAsia="zh-CN"/>
        </w:rPr>
        <w:t>取值8.31436</w:t>
      </w:r>
      <w:r>
        <w:rPr>
          <w:rFonts w:hint="default" w:ascii="Times New Roman" w:hAnsi="Times New Roman" w:eastAsia="宋体" w:cs="Times New Roman"/>
          <w:bCs/>
          <w:color w:val="auto"/>
          <w:sz w:val="24"/>
          <w:szCs w:val="24"/>
          <w:u w:val="none" w:color="auto"/>
        </w:rPr>
        <w:t>J/(mo1·K)</w:t>
      </w:r>
    </w:p>
    <w:p w14:paraId="30A2DAD2">
      <w:pPr>
        <w:pStyle w:val="2"/>
        <w:keepNext w:val="0"/>
        <w:keepLines w:val="0"/>
        <w:pageBreakBefore w:val="0"/>
        <w:widowControl/>
        <w:numPr>
          <w:ilvl w:val="0"/>
          <w:numId w:val="0"/>
        </w:numPr>
        <w:kinsoku/>
        <w:wordWrap/>
        <w:overflowPunct/>
        <w:topLinePunct w:val="0"/>
        <w:autoSpaceDE/>
        <w:autoSpaceDN/>
        <w:bidi w:val="0"/>
        <w:adjustRightInd/>
        <w:snapToGrid w:val="0"/>
        <w:spacing w:before="0" w:after="0" w:line="360" w:lineRule="auto"/>
        <w:ind w:leftChars="0" w:right="0" w:rightChars="0" w:firstLine="480" w:firstLineChars="200"/>
        <w:textAlignment w:val="auto"/>
        <w:rPr>
          <w:rFonts w:hint="default" w:ascii="Times New Roman" w:hAnsi="Times New Roman" w:eastAsia="宋体" w:cs="Times New Roman"/>
          <w:bCs/>
          <w:color w:val="auto"/>
          <w:sz w:val="24"/>
          <w:szCs w:val="24"/>
          <w:u w:val="none" w:color="auto"/>
          <w:lang w:val="en-US" w:eastAsia="zh-CN"/>
        </w:rPr>
      </w:pPr>
      <w:r>
        <w:rPr>
          <w:rFonts w:hint="default" w:ascii="Times New Roman" w:hAnsi="Times New Roman" w:eastAsia="宋体" w:cs="Times New Roman"/>
          <w:bCs/>
          <w:color w:val="auto"/>
          <w:sz w:val="24"/>
          <w:szCs w:val="24"/>
          <w:u w:val="none" w:color="auto"/>
        </w:rPr>
        <w:t>T</w:t>
      </w:r>
      <w:r>
        <w:rPr>
          <w:rFonts w:hint="default" w:ascii="Times New Roman" w:hAnsi="Times New Roman" w:eastAsia="宋体" w:cs="Times New Roman"/>
          <w:bCs/>
          <w:color w:val="auto"/>
          <w:sz w:val="24"/>
          <w:szCs w:val="24"/>
          <w:u w:val="none" w:color="auto"/>
          <w:vertAlign w:val="subscript"/>
        </w:rPr>
        <w:t>G</w:t>
      </w:r>
      <w:r>
        <w:rPr>
          <w:rFonts w:hint="default" w:ascii="Times New Roman" w:hAnsi="Times New Roman" w:eastAsia="宋体" w:cs="Times New Roman"/>
          <w:bCs/>
          <w:color w:val="auto"/>
          <w:sz w:val="24"/>
          <w:szCs w:val="24"/>
          <w:u w:val="none" w:color="auto"/>
        </w:rPr>
        <w:t>——气体温度，K</w:t>
      </w:r>
      <w:r>
        <w:rPr>
          <w:rFonts w:hint="default" w:ascii="Times New Roman" w:hAnsi="Times New Roman" w:eastAsia="宋体" w:cs="Times New Roman"/>
          <w:bCs/>
          <w:color w:val="auto"/>
          <w:sz w:val="24"/>
          <w:szCs w:val="24"/>
          <w:u w:val="none" w:color="auto"/>
          <w:lang w:eastAsia="zh-CN"/>
        </w:rPr>
        <w:t>，</w:t>
      </w:r>
      <w:r>
        <w:rPr>
          <w:rFonts w:hint="default" w:ascii="Times New Roman" w:hAnsi="Times New Roman" w:eastAsia="宋体" w:cs="Times New Roman"/>
          <w:bCs/>
          <w:color w:val="auto"/>
          <w:sz w:val="24"/>
          <w:szCs w:val="24"/>
          <w:u w:val="none" w:color="auto"/>
          <w:lang w:val="en-US" w:eastAsia="zh-CN"/>
        </w:rPr>
        <w:t>取值288K（按管道温度15℃取值）</w:t>
      </w:r>
    </w:p>
    <w:p w14:paraId="25506606">
      <w:pPr>
        <w:pStyle w:val="2"/>
        <w:keepNext w:val="0"/>
        <w:keepLines w:val="0"/>
        <w:pageBreakBefore w:val="0"/>
        <w:widowControl/>
        <w:numPr>
          <w:ilvl w:val="0"/>
          <w:numId w:val="0"/>
        </w:numPr>
        <w:kinsoku/>
        <w:wordWrap/>
        <w:overflowPunct/>
        <w:topLinePunct w:val="0"/>
        <w:autoSpaceDE/>
        <w:autoSpaceDN/>
        <w:bidi w:val="0"/>
        <w:adjustRightInd/>
        <w:snapToGrid w:val="0"/>
        <w:spacing w:before="0" w:after="0" w:line="360" w:lineRule="auto"/>
        <w:ind w:leftChars="0" w:right="0" w:rightChars="0" w:firstLine="480" w:firstLineChars="200"/>
        <w:textAlignment w:val="auto"/>
        <w:rPr>
          <w:rFonts w:hint="default" w:ascii="Times New Roman" w:hAnsi="Times New Roman" w:eastAsia="宋体" w:cs="Times New Roman"/>
          <w:bCs/>
          <w:color w:val="auto"/>
          <w:sz w:val="24"/>
          <w:szCs w:val="24"/>
          <w:u w:val="none" w:color="auto"/>
          <w:vertAlign w:val="superscript"/>
          <w:lang w:val="en-US" w:eastAsia="zh-CN"/>
        </w:rPr>
      </w:pPr>
      <w:r>
        <w:rPr>
          <w:rFonts w:hint="default" w:ascii="Times New Roman" w:hAnsi="Times New Roman" w:eastAsia="宋体" w:cs="Times New Roman"/>
          <w:bCs/>
          <w:color w:val="auto"/>
          <w:sz w:val="24"/>
          <w:szCs w:val="24"/>
          <w:u w:val="none" w:color="auto"/>
          <w:lang w:val="en-US" w:eastAsia="zh-CN"/>
        </w:rPr>
        <w:t>A</w:t>
      </w:r>
      <w:r>
        <w:rPr>
          <w:rFonts w:hint="default" w:ascii="Times New Roman" w:hAnsi="Times New Roman" w:eastAsia="宋体" w:cs="Times New Roman"/>
          <w:bCs/>
          <w:color w:val="auto"/>
          <w:sz w:val="24"/>
          <w:szCs w:val="24"/>
          <w:u w:val="none" w:color="auto"/>
        </w:rPr>
        <w:t>——裂口面积，m</w:t>
      </w:r>
      <w:r>
        <w:rPr>
          <w:rFonts w:hint="default" w:ascii="Times New Roman" w:hAnsi="Times New Roman" w:eastAsia="宋体" w:cs="Times New Roman"/>
          <w:bCs/>
          <w:color w:val="auto"/>
          <w:sz w:val="24"/>
          <w:szCs w:val="24"/>
          <w:u w:val="none" w:color="auto"/>
          <w:vertAlign w:val="superscript"/>
          <w:lang w:val="en-US" w:eastAsia="zh-CN"/>
        </w:rPr>
        <w:t>2</w:t>
      </w:r>
      <w:r>
        <w:rPr>
          <w:rFonts w:hint="default" w:ascii="Times New Roman" w:hAnsi="Times New Roman" w:eastAsia="宋体" w:cs="Times New Roman"/>
          <w:bCs/>
          <w:color w:val="auto"/>
          <w:sz w:val="24"/>
          <w:szCs w:val="24"/>
          <w:u w:val="none" w:color="auto"/>
          <w:lang w:eastAsia="zh-CN"/>
        </w:rPr>
        <w:t>，泄漏孔径为10%孔径</w:t>
      </w:r>
      <w:r>
        <w:rPr>
          <w:rFonts w:hint="default" w:ascii="Times New Roman" w:hAnsi="Times New Roman" w:eastAsia="宋体" w:cs="Times New Roman"/>
          <w:bCs/>
          <w:color w:val="auto"/>
          <w:sz w:val="24"/>
          <w:szCs w:val="24"/>
          <w:u w:val="none" w:color="auto"/>
          <w:lang w:val="en-US" w:eastAsia="zh-CN"/>
        </w:rPr>
        <w:t>（即以75mm管径的10%计）</w:t>
      </w:r>
      <w:r>
        <w:rPr>
          <w:rFonts w:hint="default" w:ascii="Times New Roman" w:hAnsi="Times New Roman" w:eastAsia="宋体" w:cs="Times New Roman"/>
          <w:bCs/>
          <w:color w:val="auto"/>
          <w:sz w:val="24"/>
          <w:szCs w:val="24"/>
          <w:u w:val="none" w:color="auto"/>
          <w:lang w:eastAsia="zh-CN"/>
        </w:rPr>
        <w:t>，</w:t>
      </w:r>
      <w:r>
        <w:rPr>
          <w:rFonts w:hint="default" w:ascii="Times New Roman" w:hAnsi="Times New Roman" w:eastAsia="宋体" w:cs="Times New Roman"/>
          <w:bCs/>
          <w:color w:val="auto"/>
          <w:sz w:val="24"/>
          <w:szCs w:val="24"/>
          <w:u w:val="none" w:color="auto"/>
          <w:lang w:val="en-US" w:eastAsia="zh-CN"/>
        </w:rPr>
        <w:t>按最大泄漏量考虑，取值0.000176625</w:t>
      </w:r>
      <w:r>
        <w:rPr>
          <w:rFonts w:hint="default" w:ascii="Times New Roman" w:hAnsi="Times New Roman" w:eastAsia="宋体" w:cs="Times New Roman"/>
          <w:bCs/>
          <w:color w:val="auto"/>
          <w:sz w:val="24"/>
          <w:szCs w:val="24"/>
          <w:u w:val="none" w:color="auto"/>
        </w:rPr>
        <w:t>m</w:t>
      </w:r>
      <w:r>
        <w:rPr>
          <w:rFonts w:hint="default" w:ascii="Times New Roman" w:hAnsi="Times New Roman" w:eastAsia="宋体" w:cs="Times New Roman"/>
          <w:bCs/>
          <w:color w:val="auto"/>
          <w:sz w:val="24"/>
          <w:szCs w:val="24"/>
          <w:u w:val="none" w:color="auto"/>
          <w:vertAlign w:val="superscript"/>
          <w:lang w:val="en-US" w:eastAsia="zh-CN"/>
        </w:rPr>
        <w:t>2</w:t>
      </w:r>
    </w:p>
    <w:p w14:paraId="5EBFA03B">
      <w:pPr>
        <w:pStyle w:val="2"/>
        <w:keepNext w:val="0"/>
        <w:keepLines w:val="0"/>
        <w:pageBreakBefore w:val="0"/>
        <w:widowControl/>
        <w:numPr>
          <w:ilvl w:val="0"/>
          <w:numId w:val="0"/>
        </w:numPr>
        <w:kinsoku/>
        <w:wordWrap/>
        <w:overflowPunct/>
        <w:topLinePunct w:val="0"/>
        <w:autoSpaceDE/>
        <w:autoSpaceDN/>
        <w:bidi w:val="0"/>
        <w:adjustRightInd/>
        <w:snapToGrid w:val="0"/>
        <w:spacing w:before="0" w:after="0" w:line="360" w:lineRule="auto"/>
        <w:ind w:leftChars="0" w:right="0" w:rightChars="0" w:firstLine="480" w:firstLineChars="200"/>
        <w:textAlignment w:val="auto"/>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bCs/>
          <w:color w:val="auto"/>
          <w:sz w:val="24"/>
          <w:szCs w:val="24"/>
          <w:u w:val="none" w:color="auto"/>
          <w:lang w:val="en-US" w:eastAsia="zh-CN"/>
        </w:rPr>
        <w:t>Y</w:t>
      </w:r>
      <w:r>
        <w:rPr>
          <w:rFonts w:hint="default" w:ascii="Times New Roman" w:hAnsi="Times New Roman" w:eastAsia="宋体" w:cs="Times New Roman"/>
          <w:bCs/>
          <w:color w:val="auto"/>
          <w:sz w:val="24"/>
          <w:szCs w:val="24"/>
          <w:u w:val="none" w:color="auto"/>
        </w:rPr>
        <w:t>——流出系数，对于临界流至1.0</w:t>
      </w:r>
      <w:r>
        <w:rPr>
          <w:rFonts w:hint="default" w:ascii="Times New Roman" w:hAnsi="Times New Roman" w:eastAsia="宋体" w:cs="Times New Roman"/>
          <w:bCs/>
          <w:color w:val="auto"/>
          <w:sz w:val="24"/>
          <w:szCs w:val="24"/>
          <w:u w:val="none" w:color="auto"/>
          <w:lang w:eastAsia="zh-CN"/>
        </w:rPr>
        <w:t>；</w:t>
      </w:r>
      <w:r>
        <w:rPr>
          <w:rFonts w:hint="default" w:ascii="Times New Roman" w:hAnsi="Times New Roman" w:eastAsia="宋体" w:cs="Times New Roman"/>
          <w:color w:val="auto"/>
          <w:u w:val="none" w:color="auto"/>
          <w:lang w:val="en-US" w:eastAsia="zh-CN"/>
        </w:rPr>
        <w:t>经上述公式计算，</w:t>
      </w:r>
      <w:r>
        <w:rPr>
          <w:rFonts w:hint="default" w:ascii="Times New Roman" w:hAnsi="Times New Roman" w:eastAsia="宋体" w:cs="Times New Roman"/>
          <w:bCs/>
          <w:color w:val="auto"/>
          <w:sz w:val="24"/>
          <w:szCs w:val="24"/>
          <w:u w:val="none" w:color="auto"/>
          <w:lang w:val="en-US" w:eastAsia="zh-CN"/>
        </w:rPr>
        <w:t>气体流动属音速流动(临界流)（0.101325＜0.543927），因此Y取值1.0。</w:t>
      </w:r>
    </w:p>
    <w:p w14:paraId="2A318DCD">
      <w:pPr>
        <w:pStyle w:val="2"/>
        <w:keepNext w:val="0"/>
        <w:keepLines w:val="0"/>
        <w:pageBreakBefore w:val="0"/>
        <w:widowControl/>
        <w:numPr>
          <w:ilvl w:val="0"/>
          <w:numId w:val="0"/>
        </w:numPr>
        <w:kinsoku/>
        <w:wordWrap/>
        <w:overflowPunct/>
        <w:topLinePunct w:val="0"/>
        <w:autoSpaceDE/>
        <w:autoSpaceDN/>
        <w:bidi w:val="0"/>
        <w:adjustRightInd/>
        <w:snapToGrid w:val="0"/>
        <w:spacing w:before="0" w:after="0" w:line="360" w:lineRule="auto"/>
        <w:ind w:leftChars="0" w:right="0" w:rightChars="0" w:firstLine="480" w:firstLineChars="200"/>
        <w:textAlignment w:val="auto"/>
        <w:rPr>
          <w:rFonts w:hint="default" w:ascii="Times New Roman" w:hAnsi="Times New Roman" w:eastAsia="宋体" w:cs="Times New Roman"/>
          <w:bCs/>
          <w:color w:val="auto"/>
          <w:sz w:val="24"/>
          <w:szCs w:val="24"/>
          <w:u w:val="none" w:color="auto"/>
          <w:lang w:val="en-US" w:eastAsia="zh-CN"/>
        </w:rPr>
      </w:pPr>
      <w:r>
        <w:rPr>
          <w:rFonts w:hint="default" w:ascii="Times New Roman" w:hAnsi="Times New Roman" w:eastAsia="宋体" w:cs="Times New Roman"/>
          <w:bCs/>
          <w:color w:val="auto"/>
          <w:sz w:val="24"/>
          <w:szCs w:val="24"/>
          <w:u w:val="none" w:color="auto"/>
          <w:lang w:val="en-US" w:eastAsia="zh-CN"/>
        </w:rPr>
        <w:t>经计算，项目天然气泄漏源强如下所示：</w:t>
      </w:r>
    </w:p>
    <w:p w14:paraId="0600A7D7">
      <w:pPr>
        <w:pStyle w:val="17"/>
        <w:numPr>
          <w:ilvl w:val="0"/>
          <w:numId w:val="12"/>
        </w:numPr>
        <w:adjustRightInd/>
        <w:snapToGrid/>
        <w:rPr>
          <w:rFonts w:hint="default" w:ascii="Times New Roman" w:hAnsi="Times New Roman" w:eastAsia="宋体" w:cs="Times New Roman"/>
          <w:b/>
          <w:bCs/>
          <w:color w:val="auto"/>
          <w:sz w:val="21"/>
          <w:szCs w:val="18"/>
          <w:u w:val="none" w:color="auto"/>
        </w:rPr>
      </w:pPr>
      <w:r>
        <w:rPr>
          <w:rFonts w:hint="default" w:ascii="Times New Roman" w:hAnsi="Times New Roman" w:eastAsia="宋体" w:cs="Times New Roman"/>
          <w:b/>
          <w:bCs/>
          <w:color w:val="auto"/>
          <w:sz w:val="21"/>
          <w:szCs w:val="18"/>
          <w:u w:val="none" w:color="auto"/>
        </w:rPr>
        <w:t>建设项目源强一览表</w:t>
      </w:r>
    </w:p>
    <w:tbl>
      <w:tblPr>
        <w:tblStyle w:val="31"/>
        <w:tblW w:w="4997"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538"/>
        <w:gridCol w:w="1185"/>
        <w:gridCol w:w="1316"/>
        <w:gridCol w:w="978"/>
        <w:gridCol w:w="1268"/>
        <w:gridCol w:w="1385"/>
        <w:gridCol w:w="1385"/>
      </w:tblGrid>
      <w:tr w14:paraId="04E37F4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tblHeader/>
        </w:trPr>
        <w:tc>
          <w:tcPr>
            <w:tcW w:w="849" w:type="pct"/>
            <w:tcBorders>
              <w:tl2br w:val="nil"/>
              <w:tr2bl w:val="nil"/>
            </w:tcBorders>
            <w:noWrap w:val="0"/>
            <w:vAlign w:val="center"/>
          </w:tcPr>
          <w:p w14:paraId="355E83D0">
            <w:pPr>
              <w:jc w:val="center"/>
              <w:rPr>
                <w:rFonts w:hint="default" w:ascii="Times New Roman" w:hAnsi="Times New Roman" w:eastAsia="宋体" w:cs="Times New Roman"/>
                <w:b/>
                <w:bCs/>
                <w:color w:val="auto"/>
                <w:u w:val="none" w:color="auto"/>
              </w:rPr>
            </w:pPr>
            <w:r>
              <w:rPr>
                <w:rFonts w:hint="default" w:ascii="Times New Roman" w:hAnsi="Times New Roman" w:eastAsia="宋体" w:cs="Times New Roman"/>
                <w:b/>
                <w:bCs/>
                <w:color w:val="auto"/>
                <w:u w:val="none" w:color="auto"/>
              </w:rPr>
              <w:t>风险事故情况描述</w:t>
            </w:r>
          </w:p>
        </w:tc>
        <w:tc>
          <w:tcPr>
            <w:tcW w:w="654" w:type="pct"/>
            <w:tcBorders>
              <w:tl2br w:val="nil"/>
              <w:tr2bl w:val="nil"/>
            </w:tcBorders>
            <w:noWrap w:val="0"/>
            <w:vAlign w:val="center"/>
          </w:tcPr>
          <w:p w14:paraId="661B791B">
            <w:pPr>
              <w:jc w:val="center"/>
              <w:rPr>
                <w:rFonts w:hint="default" w:ascii="Times New Roman" w:hAnsi="Times New Roman" w:eastAsia="宋体" w:cs="Times New Roman"/>
                <w:b/>
                <w:bCs/>
                <w:color w:val="auto"/>
                <w:u w:val="none" w:color="auto"/>
              </w:rPr>
            </w:pPr>
            <w:r>
              <w:rPr>
                <w:rFonts w:hint="default" w:ascii="Times New Roman" w:hAnsi="Times New Roman" w:eastAsia="宋体" w:cs="Times New Roman"/>
                <w:b/>
                <w:bCs/>
                <w:color w:val="auto"/>
                <w:u w:val="none" w:color="auto"/>
              </w:rPr>
              <w:t>危险</w:t>
            </w:r>
          </w:p>
          <w:p w14:paraId="25FCC4BD">
            <w:pPr>
              <w:jc w:val="center"/>
              <w:rPr>
                <w:rFonts w:hint="default" w:ascii="Times New Roman" w:hAnsi="Times New Roman" w:eastAsia="宋体" w:cs="Times New Roman"/>
                <w:b/>
                <w:bCs/>
                <w:color w:val="auto"/>
                <w:u w:val="none" w:color="auto"/>
              </w:rPr>
            </w:pPr>
            <w:r>
              <w:rPr>
                <w:rFonts w:hint="default" w:ascii="Times New Roman" w:hAnsi="Times New Roman" w:eastAsia="宋体" w:cs="Times New Roman"/>
                <w:b/>
                <w:bCs/>
                <w:color w:val="auto"/>
                <w:u w:val="none" w:color="auto"/>
              </w:rPr>
              <w:t>单元</w:t>
            </w:r>
          </w:p>
        </w:tc>
        <w:tc>
          <w:tcPr>
            <w:tcW w:w="726" w:type="pct"/>
            <w:tcBorders>
              <w:tl2br w:val="nil"/>
              <w:tr2bl w:val="nil"/>
            </w:tcBorders>
            <w:noWrap w:val="0"/>
            <w:vAlign w:val="center"/>
          </w:tcPr>
          <w:p w14:paraId="497541B5">
            <w:pPr>
              <w:jc w:val="center"/>
              <w:rPr>
                <w:rFonts w:hint="default" w:ascii="Times New Roman" w:hAnsi="Times New Roman" w:eastAsia="宋体" w:cs="Times New Roman"/>
                <w:b/>
                <w:bCs/>
                <w:color w:val="auto"/>
                <w:u w:val="none" w:color="auto"/>
              </w:rPr>
            </w:pPr>
            <w:r>
              <w:rPr>
                <w:rFonts w:hint="default" w:ascii="Times New Roman" w:hAnsi="Times New Roman" w:eastAsia="宋体" w:cs="Times New Roman"/>
                <w:b/>
                <w:bCs/>
                <w:color w:val="auto"/>
                <w:u w:val="none" w:color="auto"/>
              </w:rPr>
              <w:t>危险</w:t>
            </w:r>
          </w:p>
          <w:p w14:paraId="6E6D1E27">
            <w:pPr>
              <w:jc w:val="center"/>
              <w:rPr>
                <w:rFonts w:hint="default" w:ascii="Times New Roman" w:hAnsi="Times New Roman" w:eastAsia="宋体" w:cs="Times New Roman"/>
                <w:b/>
                <w:bCs/>
                <w:color w:val="auto"/>
                <w:u w:val="none" w:color="auto"/>
              </w:rPr>
            </w:pPr>
            <w:r>
              <w:rPr>
                <w:rFonts w:hint="default" w:ascii="Times New Roman" w:hAnsi="Times New Roman" w:eastAsia="宋体" w:cs="Times New Roman"/>
                <w:b/>
                <w:bCs/>
                <w:color w:val="auto"/>
                <w:u w:val="none" w:color="auto"/>
              </w:rPr>
              <w:t>物质</w:t>
            </w:r>
          </w:p>
        </w:tc>
        <w:tc>
          <w:tcPr>
            <w:tcW w:w="540" w:type="pct"/>
            <w:tcBorders>
              <w:tl2br w:val="nil"/>
              <w:tr2bl w:val="nil"/>
            </w:tcBorders>
            <w:noWrap w:val="0"/>
            <w:vAlign w:val="center"/>
          </w:tcPr>
          <w:p w14:paraId="0BF6A63F">
            <w:pPr>
              <w:jc w:val="center"/>
              <w:rPr>
                <w:rFonts w:hint="default" w:ascii="Times New Roman" w:hAnsi="Times New Roman" w:eastAsia="宋体" w:cs="Times New Roman"/>
                <w:b/>
                <w:bCs/>
                <w:color w:val="auto"/>
                <w:u w:val="none" w:color="auto"/>
              </w:rPr>
            </w:pPr>
            <w:r>
              <w:rPr>
                <w:rFonts w:hint="default" w:ascii="Times New Roman" w:hAnsi="Times New Roman" w:eastAsia="宋体" w:cs="Times New Roman"/>
                <w:b/>
                <w:bCs/>
                <w:color w:val="auto"/>
                <w:u w:val="none" w:color="auto"/>
              </w:rPr>
              <w:t>影响途径</w:t>
            </w:r>
          </w:p>
        </w:tc>
        <w:tc>
          <w:tcPr>
            <w:tcW w:w="700" w:type="pct"/>
            <w:tcBorders>
              <w:tl2br w:val="nil"/>
              <w:tr2bl w:val="nil"/>
            </w:tcBorders>
            <w:noWrap w:val="0"/>
            <w:vAlign w:val="center"/>
          </w:tcPr>
          <w:p w14:paraId="36A8D65C">
            <w:pPr>
              <w:jc w:val="center"/>
              <w:rPr>
                <w:rFonts w:hint="default" w:ascii="Times New Roman" w:hAnsi="Times New Roman" w:eastAsia="宋体" w:cs="Times New Roman"/>
                <w:b/>
                <w:bCs/>
                <w:color w:val="auto"/>
                <w:u w:val="none" w:color="auto"/>
              </w:rPr>
            </w:pPr>
            <w:r>
              <w:rPr>
                <w:rFonts w:hint="default" w:ascii="Times New Roman" w:hAnsi="Times New Roman" w:eastAsia="宋体" w:cs="Times New Roman"/>
                <w:b/>
                <w:bCs/>
                <w:color w:val="auto"/>
                <w:u w:val="none" w:color="auto"/>
              </w:rPr>
              <w:t>释放或泄漏速率/kg/s</w:t>
            </w:r>
          </w:p>
        </w:tc>
        <w:tc>
          <w:tcPr>
            <w:tcW w:w="764" w:type="pct"/>
            <w:tcBorders>
              <w:tl2br w:val="nil"/>
              <w:tr2bl w:val="nil"/>
            </w:tcBorders>
            <w:noWrap w:val="0"/>
            <w:vAlign w:val="center"/>
          </w:tcPr>
          <w:p w14:paraId="71E96604">
            <w:pPr>
              <w:jc w:val="center"/>
              <w:rPr>
                <w:rFonts w:hint="default" w:ascii="Times New Roman" w:hAnsi="Times New Roman" w:eastAsia="宋体" w:cs="Times New Roman"/>
                <w:b/>
                <w:bCs/>
                <w:color w:val="auto"/>
                <w:u w:val="none" w:color="auto"/>
              </w:rPr>
            </w:pPr>
            <w:r>
              <w:rPr>
                <w:rFonts w:hint="default" w:ascii="Times New Roman" w:hAnsi="Times New Roman" w:eastAsia="宋体" w:cs="Times New Roman"/>
                <w:b/>
                <w:bCs/>
                <w:color w:val="auto"/>
                <w:u w:val="none" w:color="auto"/>
              </w:rPr>
              <w:t>释放或泄漏时间/min</w:t>
            </w:r>
          </w:p>
        </w:tc>
        <w:tc>
          <w:tcPr>
            <w:tcW w:w="764" w:type="pct"/>
            <w:tcBorders>
              <w:tl2br w:val="nil"/>
              <w:tr2bl w:val="nil"/>
            </w:tcBorders>
            <w:noWrap w:val="0"/>
            <w:vAlign w:val="center"/>
          </w:tcPr>
          <w:p w14:paraId="6ACF6BA3">
            <w:pPr>
              <w:jc w:val="center"/>
              <w:rPr>
                <w:rFonts w:hint="default" w:ascii="Times New Roman" w:hAnsi="Times New Roman" w:eastAsia="宋体" w:cs="Times New Roman"/>
                <w:b/>
                <w:bCs/>
                <w:color w:val="auto"/>
                <w:u w:val="none" w:color="auto"/>
              </w:rPr>
            </w:pPr>
            <w:r>
              <w:rPr>
                <w:rFonts w:hint="default" w:ascii="Times New Roman" w:hAnsi="Times New Roman" w:eastAsia="宋体" w:cs="Times New Roman"/>
                <w:b/>
                <w:bCs/>
                <w:color w:val="auto"/>
                <w:u w:val="none" w:color="auto"/>
              </w:rPr>
              <w:t>最大释放或泄漏量/kg</w:t>
            </w:r>
          </w:p>
        </w:tc>
      </w:tr>
      <w:tr w14:paraId="360DC39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849" w:type="pct"/>
            <w:tcBorders>
              <w:tl2br w:val="nil"/>
              <w:tr2bl w:val="nil"/>
            </w:tcBorders>
            <w:noWrap w:val="0"/>
            <w:vAlign w:val="center"/>
          </w:tcPr>
          <w:p w14:paraId="08D01201">
            <w:pPr>
              <w:jc w:val="center"/>
              <w:rPr>
                <w:rFonts w:hint="default" w:ascii="Times New Roman" w:hAnsi="Times New Roman" w:eastAsia="宋体" w:cs="Times New Roman"/>
                <w:color w:val="auto"/>
                <w:u w:val="none" w:color="auto"/>
                <w:lang w:val="en-US"/>
              </w:rPr>
            </w:pPr>
            <w:r>
              <w:rPr>
                <w:rFonts w:hint="default" w:ascii="Times New Roman" w:hAnsi="Times New Roman" w:eastAsia="宋体" w:cs="Times New Roman"/>
                <w:color w:val="auto"/>
                <w:u w:val="none" w:color="auto"/>
                <w:lang w:val="en-US" w:eastAsia="zh-CN"/>
              </w:rPr>
              <w:t>天然气管道泄漏</w:t>
            </w:r>
          </w:p>
        </w:tc>
        <w:tc>
          <w:tcPr>
            <w:tcW w:w="654" w:type="pct"/>
            <w:tcBorders>
              <w:tl2br w:val="nil"/>
              <w:tr2bl w:val="nil"/>
            </w:tcBorders>
            <w:noWrap w:val="0"/>
            <w:vAlign w:val="center"/>
          </w:tcPr>
          <w:p w14:paraId="56C5C145">
            <w:pPr>
              <w:jc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铝合金熔铸二厂</w:t>
            </w:r>
          </w:p>
        </w:tc>
        <w:tc>
          <w:tcPr>
            <w:tcW w:w="726" w:type="pct"/>
            <w:tcBorders>
              <w:tl2br w:val="nil"/>
              <w:tr2bl w:val="nil"/>
            </w:tcBorders>
            <w:noWrap w:val="0"/>
            <w:vAlign w:val="center"/>
          </w:tcPr>
          <w:p w14:paraId="6329BBC3">
            <w:pPr>
              <w:jc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天然气</w:t>
            </w:r>
          </w:p>
        </w:tc>
        <w:tc>
          <w:tcPr>
            <w:tcW w:w="540" w:type="pct"/>
            <w:tcBorders>
              <w:tl2br w:val="nil"/>
              <w:tr2bl w:val="nil"/>
            </w:tcBorders>
            <w:noWrap w:val="0"/>
            <w:vAlign w:val="center"/>
          </w:tcPr>
          <w:p w14:paraId="47A35A02">
            <w:pPr>
              <w:jc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大气</w:t>
            </w:r>
          </w:p>
        </w:tc>
        <w:tc>
          <w:tcPr>
            <w:tcW w:w="700" w:type="pct"/>
            <w:tcBorders>
              <w:tl2br w:val="nil"/>
              <w:tr2bl w:val="nil"/>
            </w:tcBorders>
            <w:noWrap w:val="0"/>
            <w:vAlign w:val="center"/>
          </w:tcPr>
          <w:p w14:paraId="058F7F43">
            <w:pPr>
              <w:jc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9.672</w:t>
            </w:r>
          </w:p>
        </w:tc>
        <w:tc>
          <w:tcPr>
            <w:tcW w:w="764" w:type="pct"/>
            <w:tcBorders>
              <w:tl2br w:val="nil"/>
              <w:tr2bl w:val="nil"/>
            </w:tcBorders>
            <w:noWrap w:val="0"/>
            <w:vAlign w:val="center"/>
          </w:tcPr>
          <w:p w14:paraId="4F19D906">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10</w:t>
            </w:r>
          </w:p>
        </w:tc>
        <w:tc>
          <w:tcPr>
            <w:tcW w:w="764" w:type="pct"/>
            <w:tcBorders>
              <w:tl2br w:val="nil"/>
              <w:tr2bl w:val="nil"/>
            </w:tcBorders>
            <w:noWrap w:val="0"/>
            <w:vAlign w:val="center"/>
          </w:tcPr>
          <w:p w14:paraId="43783621">
            <w:pPr>
              <w:jc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5803.2</w:t>
            </w:r>
          </w:p>
        </w:tc>
      </w:tr>
    </w:tbl>
    <w:p w14:paraId="034E182B">
      <w:pP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drawing>
          <wp:inline distT="0" distB="0" distL="114300" distR="114300">
            <wp:extent cx="5608320" cy="2894330"/>
            <wp:effectExtent l="0" t="0" r="11430" b="1270"/>
            <wp:docPr id="9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16"/>
                    <pic:cNvPicPr>
                      <a:picLocks noChangeAspect="1"/>
                    </pic:cNvPicPr>
                  </pic:nvPicPr>
                  <pic:blipFill>
                    <a:blip r:embed="rId57"/>
                    <a:stretch>
                      <a:fillRect/>
                    </a:stretch>
                  </pic:blipFill>
                  <pic:spPr>
                    <a:xfrm>
                      <a:off x="0" y="0"/>
                      <a:ext cx="5608320" cy="2894330"/>
                    </a:xfrm>
                    <a:prstGeom prst="rect">
                      <a:avLst/>
                    </a:prstGeom>
                    <a:noFill/>
                    <a:ln>
                      <a:noFill/>
                    </a:ln>
                  </pic:spPr>
                </pic:pic>
              </a:graphicData>
            </a:graphic>
          </wp:inline>
        </w:drawing>
      </w:r>
    </w:p>
    <w:p w14:paraId="4E9863D9">
      <w:pPr>
        <w:pStyle w:val="4"/>
        <w:numPr>
          <w:ilvl w:val="1"/>
          <w:numId w:val="0"/>
        </w:numPr>
        <w:spacing w:before="120" w:after="120" w:line="360" w:lineRule="auto"/>
        <w:contextualSpacing/>
        <w:rPr>
          <w:rFonts w:hint="default" w:ascii="Times New Roman" w:hAnsi="Times New Roman" w:eastAsia="宋体" w:cs="Times New Roman"/>
          <w:b/>
          <w:bCs w:val="0"/>
          <w:color w:val="auto"/>
          <w:sz w:val="28"/>
          <w:u w:val="none" w:color="auto"/>
        </w:rPr>
      </w:pPr>
      <w:bookmarkStart w:id="253" w:name="_Toc2141"/>
      <w:r>
        <w:rPr>
          <w:rFonts w:hint="default" w:ascii="Times New Roman" w:hAnsi="Times New Roman" w:eastAsia="宋体" w:cs="Times New Roman"/>
          <w:b/>
          <w:bCs w:val="0"/>
          <w:color w:val="auto"/>
          <w:sz w:val="28"/>
          <w:u w:val="none" w:color="auto"/>
        </w:rPr>
        <w:t>4</w:t>
      </w:r>
      <w:r>
        <w:rPr>
          <w:rFonts w:hint="default" w:ascii="Times New Roman" w:hAnsi="Times New Roman" w:eastAsia="宋体" w:cs="Times New Roman"/>
          <w:b/>
          <w:bCs w:val="0"/>
          <w:color w:val="auto"/>
          <w:sz w:val="28"/>
          <w:u w:val="none" w:color="auto"/>
          <w:lang w:val="en-US" w:eastAsia="zh-CN"/>
        </w:rPr>
        <w:t>.2天然气火灾/爆炸伴生CO源强</w:t>
      </w:r>
      <w:bookmarkEnd w:id="253"/>
    </w:p>
    <w:p w14:paraId="406DE041">
      <w:pPr>
        <w:pStyle w:val="110"/>
        <w:keepNext w:val="0"/>
        <w:keepLines w:val="0"/>
        <w:pageBreakBefore w:val="0"/>
        <w:widowControl w:val="0"/>
        <w:kinsoku/>
        <w:wordWrap/>
        <w:overflowPunct/>
        <w:topLinePunct w:val="0"/>
        <w:autoSpaceDE/>
        <w:autoSpaceDN/>
        <w:bidi w:val="0"/>
        <w:adjustRightInd/>
        <w:snapToGrid/>
        <w:spacing w:before="0" w:beforeLines="0" w:after="0" w:afterLines="0"/>
        <w:textAlignment w:val="auto"/>
        <w:rPr>
          <w:rFonts w:hint="default" w:ascii="Times New Roman" w:hAnsi="Times New Roman" w:eastAsia="宋体" w:cs="Times New Roman"/>
          <w:color w:val="auto"/>
          <w:spacing w:val="0"/>
          <w:kern w:val="24"/>
          <w:position w:val="0"/>
          <w:highlight w:val="none"/>
          <w:u w:val="none" w:color="auto"/>
          <w:lang w:eastAsia="zh-CN"/>
        </w:rPr>
      </w:pPr>
      <w:r>
        <w:rPr>
          <w:rFonts w:hint="default" w:ascii="Times New Roman" w:hAnsi="Times New Roman" w:eastAsia="宋体" w:cs="Times New Roman"/>
          <w:color w:val="auto"/>
          <w:spacing w:val="0"/>
          <w:kern w:val="24"/>
          <w:position w:val="0"/>
          <w:highlight w:val="none"/>
          <w:u w:val="none" w:color="auto"/>
        </w:rPr>
        <w:t>本项目</w:t>
      </w:r>
      <w:r>
        <w:rPr>
          <w:rFonts w:hint="default" w:ascii="Times New Roman" w:hAnsi="Times New Roman" w:eastAsia="宋体" w:cs="Times New Roman"/>
          <w:color w:val="auto"/>
          <w:spacing w:val="0"/>
          <w:kern w:val="24"/>
          <w:position w:val="0"/>
          <w:highlight w:val="none"/>
          <w:u w:val="none" w:color="auto"/>
          <w:lang w:eastAsia="zh-CN"/>
        </w:rPr>
        <w:t>重点风险源</w:t>
      </w:r>
      <w:r>
        <w:rPr>
          <w:rFonts w:hint="default" w:ascii="Times New Roman" w:hAnsi="Times New Roman" w:eastAsia="宋体" w:cs="Times New Roman"/>
          <w:color w:val="auto"/>
          <w:spacing w:val="0"/>
          <w:kern w:val="24"/>
          <w:position w:val="0"/>
          <w:highlight w:val="none"/>
          <w:u w:val="none" w:color="auto"/>
        </w:rPr>
        <w:t>涉及易燃物质有</w:t>
      </w:r>
      <w:r>
        <w:rPr>
          <w:rFonts w:hint="default" w:ascii="Times New Roman" w:hAnsi="Times New Roman" w:eastAsia="宋体" w:cs="Times New Roman"/>
          <w:color w:val="auto"/>
          <w:spacing w:val="0"/>
          <w:kern w:val="24"/>
          <w:position w:val="0"/>
          <w:highlight w:val="none"/>
          <w:u w:val="none" w:color="auto"/>
          <w:lang w:val="en-US" w:eastAsia="zh-CN"/>
        </w:rPr>
        <w:t>天然气</w:t>
      </w:r>
      <w:r>
        <w:rPr>
          <w:rFonts w:hint="default" w:ascii="Times New Roman" w:hAnsi="Times New Roman" w:eastAsia="宋体" w:cs="Times New Roman"/>
          <w:color w:val="auto"/>
          <w:spacing w:val="0"/>
          <w:kern w:val="24"/>
          <w:position w:val="0"/>
          <w:highlight w:val="none"/>
          <w:u w:val="none" w:color="auto"/>
          <w:lang w:eastAsia="zh-CN"/>
        </w:rPr>
        <w:t>，</w:t>
      </w:r>
      <w:r>
        <w:rPr>
          <w:rFonts w:hint="default" w:ascii="Times New Roman" w:hAnsi="Times New Roman" w:eastAsia="宋体" w:cs="Times New Roman"/>
          <w:color w:val="auto"/>
          <w:spacing w:val="0"/>
          <w:kern w:val="24"/>
          <w:position w:val="0"/>
          <w:highlight w:val="none"/>
          <w:u w:val="none" w:color="auto"/>
        </w:rPr>
        <w:t>根据火灾伴生/次生一氧化碳产生量按下式计算</w:t>
      </w:r>
      <w:r>
        <w:rPr>
          <w:rFonts w:hint="default" w:ascii="Times New Roman" w:hAnsi="Times New Roman" w:eastAsia="宋体" w:cs="Times New Roman"/>
          <w:color w:val="auto"/>
          <w:spacing w:val="0"/>
          <w:kern w:val="24"/>
          <w:position w:val="0"/>
          <w:highlight w:val="none"/>
          <w:u w:val="none" w:color="auto"/>
          <w:lang w:eastAsia="zh-CN"/>
        </w:rPr>
        <w:t>：</w:t>
      </w:r>
    </w:p>
    <w:p w14:paraId="322F9C9B">
      <w:pPr>
        <w:pStyle w:val="110"/>
        <w:wordWrap/>
        <w:topLinePunct w:val="0"/>
        <w:bidi w:val="0"/>
        <w:adjustRightInd/>
        <w:snapToGrid/>
        <w:jc w:val="center"/>
        <w:rPr>
          <w:rFonts w:hint="default" w:ascii="Times New Roman" w:hAnsi="Times New Roman" w:eastAsia="宋体" w:cs="Times New Roman"/>
          <w:color w:val="auto"/>
          <w:spacing w:val="0"/>
          <w:kern w:val="24"/>
          <w:position w:val="0"/>
          <w:highlight w:val="yellow"/>
          <w:u w:val="none" w:color="auto"/>
        </w:rPr>
      </w:pPr>
      <w:r>
        <w:rPr>
          <w:rFonts w:hint="default" w:ascii="Times New Roman" w:hAnsi="Times New Roman" w:eastAsia="宋体" w:cs="Times New Roman"/>
          <w:color w:val="auto"/>
          <w:spacing w:val="0"/>
          <w:kern w:val="24"/>
          <w:position w:val="0"/>
          <w:highlight w:val="none"/>
          <w:u w:val="none" w:color="auto"/>
        </w:rPr>
        <w:drawing>
          <wp:inline distT="0" distB="0" distL="114300" distR="114300">
            <wp:extent cx="1733550" cy="294640"/>
            <wp:effectExtent l="0" t="0" r="0" b="10160"/>
            <wp:docPr id="116"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7"/>
                    <pic:cNvPicPr>
                      <a:picLocks noChangeAspect="1"/>
                    </pic:cNvPicPr>
                  </pic:nvPicPr>
                  <pic:blipFill>
                    <a:blip r:embed="rId58"/>
                    <a:stretch>
                      <a:fillRect/>
                    </a:stretch>
                  </pic:blipFill>
                  <pic:spPr>
                    <a:xfrm>
                      <a:off x="0" y="0"/>
                      <a:ext cx="1733550" cy="294640"/>
                    </a:xfrm>
                    <a:prstGeom prst="rect">
                      <a:avLst/>
                    </a:prstGeom>
                    <a:noFill/>
                    <a:ln>
                      <a:noFill/>
                    </a:ln>
                  </pic:spPr>
                </pic:pic>
              </a:graphicData>
            </a:graphic>
          </wp:inline>
        </w:drawing>
      </w:r>
    </w:p>
    <w:p w14:paraId="2A514697">
      <w:pPr>
        <w:pStyle w:val="110"/>
        <w:keepNext w:val="0"/>
        <w:keepLines w:val="0"/>
        <w:pageBreakBefore w:val="0"/>
        <w:widowControl w:val="0"/>
        <w:kinsoku/>
        <w:wordWrap/>
        <w:overflowPunct/>
        <w:topLinePunct w:val="0"/>
        <w:autoSpaceDE/>
        <w:autoSpaceDN/>
        <w:bidi w:val="0"/>
        <w:adjustRightInd/>
        <w:snapToGrid/>
        <w:spacing w:before="0" w:beforeLines="0" w:after="0" w:afterLines="0"/>
        <w:ind w:left="0" w:leftChars="0" w:firstLine="0" w:firstLineChars="0"/>
        <w:textAlignment w:val="auto"/>
        <w:rPr>
          <w:rFonts w:hint="default" w:ascii="Times New Roman" w:hAnsi="Times New Roman" w:eastAsia="宋体" w:cs="Times New Roman"/>
          <w:color w:val="auto"/>
          <w:spacing w:val="0"/>
          <w:kern w:val="24"/>
          <w:position w:val="0"/>
          <w:highlight w:val="none"/>
          <w:u w:val="none" w:color="auto"/>
          <w:lang w:eastAsia="zh-CN"/>
        </w:rPr>
      </w:pPr>
      <w:r>
        <w:rPr>
          <w:rFonts w:hint="default" w:ascii="Times New Roman" w:hAnsi="Times New Roman" w:eastAsia="宋体" w:cs="Times New Roman"/>
          <w:color w:val="auto"/>
          <w:spacing w:val="0"/>
          <w:kern w:val="24"/>
          <w:position w:val="0"/>
          <w:highlight w:val="none"/>
          <w:u w:val="none" w:color="auto"/>
        </w:rPr>
        <w:t>式中</w:t>
      </w:r>
      <w:r>
        <w:rPr>
          <w:rFonts w:hint="default" w:ascii="Times New Roman" w:hAnsi="Times New Roman" w:eastAsia="宋体" w:cs="Times New Roman"/>
          <w:color w:val="auto"/>
          <w:spacing w:val="0"/>
          <w:kern w:val="24"/>
          <w:position w:val="0"/>
          <w:highlight w:val="none"/>
          <w:u w:val="none" w:color="auto"/>
          <w:lang w:eastAsia="zh-CN"/>
        </w:rPr>
        <w:t>：</w:t>
      </w:r>
    </w:p>
    <w:p w14:paraId="6BEBBF94">
      <w:pPr>
        <w:pStyle w:val="110"/>
        <w:keepNext w:val="0"/>
        <w:keepLines w:val="0"/>
        <w:pageBreakBefore w:val="0"/>
        <w:widowControl w:val="0"/>
        <w:kinsoku/>
        <w:wordWrap/>
        <w:overflowPunct/>
        <w:topLinePunct w:val="0"/>
        <w:autoSpaceDE/>
        <w:autoSpaceDN/>
        <w:bidi w:val="0"/>
        <w:adjustRightInd/>
        <w:snapToGrid/>
        <w:spacing w:before="0" w:beforeLines="0" w:after="0" w:afterLines="0"/>
        <w:textAlignment w:val="auto"/>
        <w:rPr>
          <w:rFonts w:hint="default" w:ascii="Times New Roman" w:hAnsi="Times New Roman" w:eastAsia="宋体" w:cs="Times New Roman"/>
          <w:color w:val="auto"/>
          <w:spacing w:val="0"/>
          <w:kern w:val="24"/>
          <w:position w:val="0"/>
          <w:highlight w:val="none"/>
          <w:u w:val="none" w:color="auto"/>
        </w:rPr>
      </w:pPr>
      <w:r>
        <w:rPr>
          <w:rFonts w:hint="default" w:ascii="Times New Roman" w:hAnsi="Times New Roman" w:eastAsia="宋体" w:cs="Times New Roman"/>
          <w:color w:val="auto"/>
          <w:spacing w:val="0"/>
          <w:kern w:val="24"/>
          <w:position w:val="0"/>
          <w:highlight w:val="none"/>
          <w:u w:val="none" w:color="auto"/>
        </w:rPr>
        <w:t>G一氧化碳——一氧化碳的产生量，kg/s；</w:t>
      </w:r>
    </w:p>
    <w:p w14:paraId="6EC2D70F">
      <w:pPr>
        <w:pStyle w:val="110"/>
        <w:keepNext w:val="0"/>
        <w:keepLines w:val="0"/>
        <w:pageBreakBefore w:val="0"/>
        <w:widowControl w:val="0"/>
        <w:kinsoku/>
        <w:wordWrap/>
        <w:overflowPunct/>
        <w:topLinePunct w:val="0"/>
        <w:autoSpaceDE/>
        <w:autoSpaceDN/>
        <w:bidi w:val="0"/>
        <w:adjustRightInd/>
        <w:snapToGrid/>
        <w:spacing w:before="0" w:beforeLines="0" w:after="0" w:afterLines="0"/>
        <w:textAlignment w:val="auto"/>
        <w:rPr>
          <w:rFonts w:hint="default" w:ascii="Times New Roman" w:hAnsi="Times New Roman" w:eastAsia="宋体" w:cs="Times New Roman"/>
          <w:color w:val="auto"/>
          <w:spacing w:val="0"/>
          <w:kern w:val="24"/>
          <w:position w:val="0"/>
          <w:highlight w:val="none"/>
          <w:u w:val="none" w:color="auto"/>
        </w:rPr>
      </w:pPr>
      <w:r>
        <w:rPr>
          <w:rFonts w:hint="default" w:ascii="Times New Roman" w:hAnsi="Times New Roman" w:eastAsia="宋体" w:cs="Times New Roman"/>
          <w:color w:val="auto"/>
          <w:spacing w:val="0"/>
          <w:kern w:val="24"/>
          <w:position w:val="0"/>
          <w:highlight w:val="none"/>
          <w:u w:val="none" w:color="auto"/>
        </w:rPr>
        <w:t>C——物质中碳的含量；</w:t>
      </w:r>
    </w:p>
    <w:p w14:paraId="2E246286">
      <w:pPr>
        <w:pStyle w:val="110"/>
        <w:keepNext w:val="0"/>
        <w:keepLines w:val="0"/>
        <w:pageBreakBefore w:val="0"/>
        <w:widowControl w:val="0"/>
        <w:kinsoku/>
        <w:wordWrap/>
        <w:overflowPunct/>
        <w:topLinePunct w:val="0"/>
        <w:autoSpaceDE/>
        <w:autoSpaceDN/>
        <w:bidi w:val="0"/>
        <w:adjustRightInd/>
        <w:snapToGrid/>
        <w:spacing w:before="0" w:beforeLines="0" w:after="0" w:afterLines="0"/>
        <w:textAlignment w:val="auto"/>
        <w:rPr>
          <w:rFonts w:hint="default" w:ascii="Times New Roman" w:hAnsi="Times New Roman" w:eastAsia="宋体" w:cs="Times New Roman"/>
          <w:color w:val="auto"/>
          <w:spacing w:val="0"/>
          <w:kern w:val="24"/>
          <w:position w:val="0"/>
          <w:highlight w:val="none"/>
          <w:u w:val="none" w:color="auto"/>
        </w:rPr>
      </w:pPr>
      <w:r>
        <w:rPr>
          <w:rFonts w:hint="default" w:ascii="Times New Roman" w:hAnsi="Times New Roman" w:eastAsia="宋体" w:cs="Times New Roman"/>
          <w:color w:val="auto"/>
          <w:spacing w:val="0"/>
          <w:kern w:val="24"/>
          <w:position w:val="0"/>
          <w:highlight w:val="none"/>
          <w:u w:val="none" w:color="auto"/>
        </w:rPr>
        <w:t>q——化学不完全燃烧值，1.5%~6.0%；</w:t>
      </w:r>
    </w:p>
    <w:p w14:paraId="3557A01C">
      <w:pPr>
        <w:pStyle w:val="110"/>
        <w:keepNext w:val="0"/>
        <w:keepLines w:val="0"/>
        <w:pageBreakBefore w:val="0"/>
        <w:widowControl w:val="0"/>
        <w:kinsoku/>
        <w:wordWrap/>
        <w:overflowPunct/>
        <w:topLinePunct w:val="0"/>
        <w:autoSpaceDE/>
        <w:autoSpaceDN/>
        <w:bidi w:val="0"/>
        <w:adjustRightInd/>
        <w:snapToGrid/>
        <w:spacing w:before="0" w:beforeLines="0" w:after="0" w:afterLines="0"/>
        <w:textAlignment w:val="auto"/>
        <w:rPr>
          <w:rFonts w:hint="default" w:ascii="Times New Roman" w:hAnsi="Times New Roman" w:eastAsia="宋体" w:cs="Times New Roman"/>
          <w:color w:val="auto"/>
          <w:spacing w:val="0"/>
          <w:kern w:val="24"/>
          <w:position w:val="0"/>
          <w:highlight w:val="none"/>
          <w:u w:val="none" w:color="auto"/>
          <w:lang w:val="en-US" w:eastAsia="zh-CN"/>
        </w:rPr>
      </w:pPr>
      <w:r>
        <w:rPr>
          <w:rFonts w:hint="default" w:ascii="Times New Roman" w:hAnsi="Times New Roman" w:eastAsia="宋体" w:cs="Times New Roman"/>
          <w:color w:val="auto"/>
          <w:spacing w:val="0"/>
          <w:kern w:val="24"/>
          <w:position w:val="0"/>
          <w:highlight w:val="none"/>
          <w:u w:val="none" w:color="auto"/>
        </w:rPr>
        <w:t>Q——参与燃烧的物质量，t/s</w:t>
      </w:r>
      <w:r>
        <w:rPr>
          <w:rFonts w:hint="default" w:ascii="Times New Roman" w:hAnsi="Times New Roman" w:eastAsia="宋体" w:cs="Times New Roman"/>
          <w:color w:val="auto"/>
          <w:spacing w:val="0"/>
          <w:kern w:val="24"/>
          <w:position w:val="0"/>
          <w:highlight w:val="none"/>
          <w:u w:val="none" w:color="auto"/>
          <w:lang w:eastAsia="zh-CN"/>
        </w:rPr>
        <w:t>；</w:t>
      </w:r>
      <w:r>
        <w:rPr>
          <w:rFonts w:hint="default" w:ascii="Times New Roman" w:hAnsi="Times New Roman" w:eastAsia="宋体" w:cs="Times New Roman"/>
          <w:color w:val="auto"/>
          <w:spacing w:val="0"/>
          <w:kern w:val="24"/>
          <w:position w:val="0"/>
          <w:highlight w:val="none"/>
          <w:u w:val="none" w:color="auto"/>
          <w:lang w:val="en-US" w:eastAsia="zh-CN"/>
        </w:rPr>
        <w:t>燃烧物质的量参考池火事故模型预测，具体设置参数及预测结果如下。</w:t>
      </w:r>
    </w:p>
    <w:p w14:paraId="2F21268B">
      <w:pPr>
        <w:pStyle w:val="17"/>
        <w:numPr>
          <w:ilvl w:val="0"/>
          <w:numId w:val="12"/>
        </w:numPr>
        <w:adjustRightInd/>
        <w:snapToGrid/>
        <w:rPr>
          <w:rFonts w:hint="default" w:ascii="Times New Roman" w:hAnsi="Times New Roman" w:eastAsia="宋体" w:cs="Times New Roman"/>
          <w:b/>
          <w:bCs w:val="0"/>
          <w:color w:val="auto"/>
          <w:spacing w:val="0"/>
          <w:kern w:val="24"/>
          <w:position w:val="0"/>
          <w:sz w:val="21"/>
          <w:szCs w:val="16"/>
          <w:highlight w:val="none"/>
          <w:u w:val="none" w:color="auto"/>
          <w:lang w:eastAsia="zh-CN"/>
        </w:rPr>
      </w:pPr>
      <w:r>
        <w:rPr>
          <w:rFonts w:hint="default" w:ascii="Times New Roman" w:hAnsi="Times New Roman" w:eastAsia="宋体" w:cs="Times New Roman"/>
          <w:b/>
          <w:bCs w:val="0"/>
          <w:color w:val="auto"/>
          <w:spacing w:val="0"/>
          <w:kern w:val="24"/>
          <w:position w:val="0"/>
          <w:sz w:val="21"/>
          <w:szCs w:val="16"/>
          <w:highlight w:val="none"/>
          <w:u w:val="none" w:color="auto"/>
          <w:lang w:val="en-US" w:eastAsia="zh-CN"/>
        </w:rPr>
        <w:t>天然气</w:t>
      </w:r>
      <w:r>
        <w:rPr>
          <w:rFonts w:hint="default" w:ascii="Times New Roman" w:hAnsi="Times New Roman" w:eastAsia="宋体" w:cs="Times New Roman"/>
          <w:b/>
          <w:bCs w:val="0"/>
          <w:color w:val="auto"/>
          <w:spacing w:val="0"/>
          <w:kern w:val="24"/>
          <w:position w:val="0"/>
          <w:sz w:val="21"/>
          <w:szCs w:val="16"/>
          <w:highlight w:val="none"/>
          <w:u w:val="none" w:color="auto"/>
          <w:lang w:eastAsia="zh-CN"/>
        </w:rPr>
        <w:t>火灾伴生CO源强计算表</w:t>
      </w:r>
    </w:p>
    <w:tbl>
      <w:tblPr>
        <w:tblStyle w:val="31"/>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382"/>
        <w:gridCol w:w="3337"/>
        <w:gridCol w:w="3337"/>
      </w:tblGrid>
      <w:tr w14:paraId="6273704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blHeader/>
          <w:jc w:val="center"/>
        </w:trPr>
        <w:tc>
          <w:tcPr>
            <w:tcW w:w="1315" w:type="pct"/>
            <w:tcBorders>
              <w:tl2br w:val="nil"/>
              <w:tr2bl w:val="nil"/>
            </w:tcBorders>
            <w:noWrap w:val="0"/>
            <w:vAlign w:val="center"/>
          </w:tcPr>
          <w:p w14:paraId="6C04F42F">
            <w:pPr>
              <w:pStyle w:val="111"/>
              <w:keepNext w:val="0"/>
              <w:keepLines w:val="0"/>
              <w:pageBreakBefore w:val="0"/>
              <w:widowControl w:val="0"/>
              <w:kinsoku/>
              <w:wordWrap/>
              <w:overflowPunct/>
              <w:topLinePunct w:val="0"/>
              <w:autoSpaceDE/>
              <w:autoSpaceDN/>
              <w:bidi w:val="0"/>
              <w:adjustRightInd/>
              <w:snapToGrid/>
              <w:spacing w:before="0" w:beforeLines="0" w:after="0" w:afterLines="0"/>
              <w:textAlignment w:val="auto"/>
              <w:rPr>
                <w:rFonts w:hint="default" w:ascii="Times New Roman" w:hAnsi="Times New Roman" w:eastAsia="宋体" w:cs="Times New Roman"/>
                <w:b/>
                <w:bCs/>
                <w:color w:val="auto"/>
                <w:spacing w:val="0"/>
                <w:kern w:val="24"/>
                <w:position w:val="0"/>
                <w:highlight w:val="none"/>
                <w:u w:val="none" w:color="auto"/>
                <w:lang w:eastAsia="zh-CN"/>
              </w:rPr>
            </w:pPr>
            <w:r>
              <w:rPr>
                <w:rFonts w:hint="default" w:ascii="Times New Roman" w:hAnsi="Times New Roman" w:eastAsia="宋体" w:cs="Times New Roman"/>
                <w:b/>
                <w:bCs/>
                <w:color w:val="auto"/>
                <w:spacing w:val="0"/>
                <w:kern w:val="24"/>
                <w:position w:val="0"/>
                <w:highlight w:val="none"/>
                <w:u w:val="none" w:color="auto"/>
                <w:lang w:eastAsia="zh-CN"/>
              </w:rPr>
              <w:t>计算参数</w:t>
            </w:r>
          </w:p>
        </w:tc>
        <w:tc>
          <w:tcPr>
            <w:tcW w:w="1842" w:type="pct"/>
            <w:tcBorders>
              <w:tl2br w:val="nil"/>
              <w:tr2bl w:val="nil"/>
            </w:tcBorders>
            <w:noWrap w:val="0"/>
            <w:vAlign w:val="center"/>
          </w:tcPr>
          <w:p w14:paraId="4D44545E">
            <w:pPr>
              <w:pStyle w:val="111"/>
              <w:keepNext w:val="0"/>
              <w:keepLines w:val="0"/>
              <w:pageBreakBefore w:val="0"/>
              <w:widowControl w:val="0"/>
              <w:kinsoku/>
              <w:wordWrap/>
              <w:overflowPunct/>
              <w:topLinePunct w:val="0"/>
              <w:autoSpaceDE/>
              <w:autoSpaceDN/>
              <w:bidi w:val="0"/>
              <w:adjustRightInd/>
              <w:snapToGrid/>
              <w:spacing w:before="0" w:beforeLines="0" w:after="0" w:afterLines="0"/>
              <w:textAlignment w:val="auto"/>
              <w:rPr>
                <w:rFonts w:hint="default" w:ascii="Times New Roman" w:hAnsi="Times New Roman" w:eastAsia="宋体" w:cs="Times New Roman"/>
                <w:b/>
                <w:bCs/>
                <w:color w:val="auto"/>
                <w:spacing w:val="0"/>
                <w:kern w:val="24"/>
                <w:position w:val="0"/>
                <w:highlight w:val="none"/>
                <w:u w:val="none" w:color="auto"/>
                <w:lang w:eastAsia="zh-CN"/>
              </w:rPr>
            </w:pPr>
            <w:r>
              <w:rPr>
                <w:rFonts w:hint="default" w:ascii="Times New Roman" w:hAnsi="Times New Roman" w:eastAsia="宋体" w:cs="Times New Roman"/>
                <w:b/>
                <w:bCs/>
                <w:color w:val="auto"/>
                <w:spacing w:val="0"/>
                <w:kern w:val="24"/>
                <w:position w:val="0"/>
                <w:highlight w:val="none"/>
                <w:u w:val="none" w:color="auto"/>
                <w:lang w:eastAsia="zh-CN"/>
              </w:rPr>
              <w:t>爆炸火灾伴生CO</w:t>
            </w:r>
          </w:p>
        </w:tc>
        <w:tc>
          <w:tcPr>
            <w:tcW w:w="1842" w:type="pct"/>
            <w:tcBorders>
              <w:tl2br w:val="nil"/>
              <w:tr2bl w:val="nil"/>
            </w:tcBorders>
            <w:noWrap w:val="0"/>
            <w:vAlign w:val="center"/>
          </w:tcPr>
          <w:p w14:paraId="0C88A697">
            <w:pPr>
              <w:pStyle w:val="111"/>
              <w:keepNext w:val="0"/>
              <w:keepLines w:val="0"/>
              <w:pageBreakBefore w:val="0"/>
              <w:widowControl w:val="0"/>
              <w:kinsoku/>
              <w:wordWrap/>
              <w:overflowPunct/>
              <w:topLinePunct w:val="0"/>
              <w:autoSpaceDE/>
              <w:autoSpaceDN/>
              <w:bidi w:val="0"/>
              <w:adjustRightInd/>
              <w:snapToGrid/>
              <w:spacing w:before="0" w:beforeLines="0" w:after="0" w:afterLines="0"/>
              <w:jc w:val="center"/>
              <w:textAlignment w:val="auto"/>
              <w:rPr>
                <w:rFonts w:hint="default" w:ascii="Times New Roman" w:hAnsi="Times New Roman" w:eastAsia="宋体" w:cs="Times New Roman"/>
                <w:b/>
                <w:bCs/>
                <w:color w:val="auto"/>
                <w:spacing w:val="0"/>
                <w:kern w:val="24"/>
                <w:position w:val="0"/>
                <w:highlight w:val="none"/>
                <w:u w:val="none" w:color="auto"/>
                <w:lang w:val="en-US" w:eastAsia="zh-CN"/>
              </w:rPr>
            </w:pPr>
            <w:r>
              <w:rPr>
                <w:rFonts w:hint="default" w:ascii="Times New Roman" w:hAnsi="Times New Roman" w:eastAsia="宋体" w:cs="Times New Roman"/>
                <w:b/>
                <w:bCs/>
                <w:color w:val="auto"/>
                <w:spacing w:val="0"/>
                <w:kern w:val="24"/>
                <w:position w:val="0"/>
                <w:highlight w:val="none"/>
                <w:u w:val="none" w:color="auto"/>
                <w:lang w:val="en-US" w:eastAsia="zh-CN"/>
              </w:rPr>
              <w:t>备注</w:t>
            </w:r>
          </w:p>
        </w:tc>
      </w:tr>
      <w:tr w14:paraId="3CFCE3C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315" w:type="pct"/>
            <w:tcBorders>
              <w:tl2br w:val="nil"/>
              <w:tr2bl w:val="nil"/>
            </w:tcBorders>
            <w:noWrap w:val="0"/>
            <w:vAlign w:val="center"/>
          </w:tcPr>
          <w:p w14:paraId="0FA7D5C6">
            <w:pPr>
              <w:pStyle w:val="111"/>
              <w:keepNext w:val="0"/>
              <w:keepLines w:val="0"/>
              <w:pageBreakBefore w:val="0"/>
              <w:widowControl w:val="0"/>
              <w:kinsoku/>
              <w:wordWrap/>
              <w:overflowPunct/>
              <w:topLinePunct w:val="0"/>
              <w:autoSpaceDE/>
              <w:autoSpaceDN/>
              <w:bidi w:val="0"/>
              <w:adjustRightInd/>
              <w:snapToGrid/>
              <w:spacing w:before="0" w:beforeLines="0" w:after="0" w:afterLines="0"/>
              <w:textAlignment w:val="auto"/>
              <w:rPr>
                <w:rFonts w:hint="default" w:ascii="Times New Roman" w:hAnsi="Times New Roman" w:eastAsia="宋体" w:cs="Times New Roman"/>
                <w:color w:val="auto"/>
                <w:spacing w:val="0"/>
                <w:kern w:val="24"/>
                <w:position w:val="0"/>
                <w:highlight w:val="none"/>
                <w:u w:val="none" w:color="auto"/>
                <w:lang w:eastAsia="zh-CN"/>
              </w:rPr>
            </w:pPr>
            <w:r>
              <w:rPr>
                <w:rFonts w:hint="default" w:ascii="Times New Roman" w:hAnsi="Times New Roman" w:eastAsia="宋体" w:cs="Times New Roman"/>
                <w:color w:val="auto"/>
                <w:spacing w:val="0"/>
                <w:kern w:val="24"/>
                <w:position w:val="0"/>
                <w:highlight w:val="none"/>
                <w:u w:val="none" w:color="auto"/>
                <w:lang w:eastAsia="zh-CN"/>
              </w:rPr>
              <w:t>物质含碳量（</w:t>
            </w:r>
            <w:r>
              <w:rPr>
                <w:rFonts w:hint="default" w:ascii="Times New Roman" w:hAnsi="Times New Roman" w:eastAsia="宋体" w:cs="Times New Roman"/>
                <w:color w:val="auto"/>
                <w:spacing w:val="0"/>
                <w:kern w:val="24"/>
                <w:position w:val="0"/>
                <w:highlight w:val="none"/>
                <w:u w:val="none" w:color="auto"/>
                <w:lang w:val="en-US" w:eastAsia="zh-CN"/>
              </w:rPr>
              <w:t>C</w:t>
            </w:r>
            <w:r>
              <w:rPr>
                <w:rFonts w:hint="default" w:ascii="Times New Roman" w:hAnsi="Times New Roman" w:eastAsia="宋体" w:cs="Times New Roman"/>
                <w:color w:val="auto"/>
                <w:spacing w:val="0"/>
                <w:kern w:val="24"/>
                <w:position w:val="0"/>
                <w:highlight w:val="none"/>
                <w:u w:val="none" w:color="auto"/>
                <w:lang w:eastAsia="zh-CN"/>
              </w:rPr>
              <w:t>）</w:t>
            </w:r>
          </w:p>
        </w:tc>
        <w:tc>
          <w:tcPr>
            <w:tcW w:w="1842" w:type="pct"/>
            <w:tcBorders>
              <w:tl2br w:val="nil"/>
              <w:tr2bl w:val="nil"/>
            </w:tcBorders>
            <w:noWrap w:val="0"/>
            <w:vAlign w:val="center"/>
          </w:tcPr>
          <w:p w14:paraId="1A786FD2">
            <w:pPr>
              <w:pStyle w:val="111"/>
              <w:keepNext w:val="0"/>
              <w:keepLines w:val="0"/>
              <w:pageBreakBefore w:val="0"/>
              <w:widowControl w:val="0"/>
              <w:kinsoku/>
              <w:wordWrap/>
              <w:overflowPunct/>
              <w:topLinePunct w:val="0"/>
              <w:autoSpaceDE/>
              <w:autoSpaceDN/>
              <w:bidi w:val="0"/>
              <w:adjustRightInd/>
              <w:snapToGrid/>
              <w:spacing w:before="0" w:beforeLines="0" w:after="0" w:afterLines="0"/>
              <w:textAlignment w:val="auto"/>
              <w:rPr>
                <w:rFonts w:hint="default" w:ascii="Times New Roman" w:hAnsi="Times New Roman" w:eastAsia="宋体" w:cs="Times New Roman"/>
                <w:color w:val="auto"/>
                <w:spacing w:val="0"/>
                <w:kern w:val="24"/>
                <w:position w:val="0"/>
                <w:highlight w:val="none"/>
                <w:u w:val="none" w:color="auto"/>
                <w:lang w:eastAsia="zh-CN"/>
              </w:rPr>
            </w:pPr>
            <w:r>
              <w:rPr>
                <w:rFonts w:hint="default" w:ascii="Times New Roman" w:hAnsi="Times New Roman" w:eastAsia="宋体" w:cs="Times New Roman"/>
                <w:color w:val="auto"/>
                <w:spacing w:val="0"/>
                <w:kern w:val="24"/>
                <w:position w:val="0"/>
                <w:highlight w:val="none"/>
                <w:u w:val="none" w:color="auto"/>
                <w:lang w:val="en-US" w:eastAsia="zh-CN"/>
              </w:rPr>
              <w:t>75</w:t>
            </w:r>
            <w:r>
              <w:rPr>
                <w:rFonts w:hint="default" w:ascii="Times New Roman" w:hAnsi="Times New Roman" w:eastAsia="宋体" w:cs="Times New Roman"/>
                <w:color w:val="auto"/>
                <w:spacing w:val="0"/>
                <w:kern w:val="24"/>
                <w:position w:val="0"/>
                <w:highlight w:val="none"/>
                <w:u w:val="none" w:color="auto"/>
                <w:lang w:eastAsia="zh-CN"/>
              </w:rPr>
              <w:t>%</w:t>
            </w:r>
          </w:p>
        </w:tc>
        <w:tc>
          <w:tcPr>
            <w:tcW w:w="1842" w:type="pct"/>
            <w:tcBorders>
              <w:tl2br w:val="nil"/>
              <w:tr2bl w:val="nil"/>
            </w:tcBorders>
            <w:noWrap w:val="0"/>
            <w:vAlign w:val="center"/>
          </w:tcPr>
          <w:p w14:paraId="2BE9AC9A">
            <w:pPr>
              <w:pStyle w:val="111"/>
              <w:keepNext w:val="0"/>
              <w:keepLines w:val="0"/>
              <w:pageBreakBefore w:val="0"/>
              <w:widowControl w:val="0"/>
              <w:kinsoku/>
              <w:wordWrap/>
              <w:overflowPunct/>
              <w:topLinePunct w:val="0"/>
              <w:autoSpaceDE/>
              <w:autoSpaceDN/>
              <w:bidi w:val="0"/>
              <w:adjustRightInd/>
              <w:snapToGrid/>
              <w:spacing w:before="0" w:beforeLines="0" w:after="0" w:afterLines="0"/>
              <w:textAlignment w:val="auto"/>
              <w:rPr>
                <w:rFonts w:hint="default" w:ascii="Times New Roman" w:hAnsi="Times New Roman" w:eastAsia="宋体" w:cs="Times New Roman"/>
                <w:color w:val="auto"/>
                <w:spacing w:val="0"/>
                <w:kern w:val="24"/>
                <w:position w:val="0"/>
                <w:highlight w:val="none"/>
                <w:u w:val="none" w:color="auto"/>
                <w:lang w:val="en-US" w:eastAsia="zh-CN"/>
              </w:rPr>
            </w:pPr>
          </w:p>
        </w:tc>
      </w:tr>
      <w:tr w14:paraId="784F5DF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315" w:type="pct"/>
            <w:tcBorders>
              <w:tl2br w:val="nil"/>
              <w:tr2bl w:val="nil"/>
            </w:tcBorders>
            <w:noWrap w:val="0"/>
            <w:vAlign w:val="center"/>
          </w:tcPr>
          <w:p w14:paraId="2965CCC7">
            <w:pPr>
              <w:pStyle w:val="111"/>
              <w:keepNext w:val="0"/>
              <w:keepLines w:val="0"/>
              <w:pageBreakBefore w:val="0"/>
              <w:widowControl w:val="0"/>
              <w:kinsoku/>
              <w:wordWrap/>
              <w:overflowPunct/>
              <w:topLinePunct w:val="0"/>
              <w:autoSpaceDE/>
              <w:autoSpaceDN/>
              <w:bidi w:val="0"/>
              <w:adjustRightInd/>
              <w:snapToGrid/>
              <w:spacing w:before="0" w:beforeLines="0" w:after="0" w:afterLines="0"/>
              <w:textAlignment w:val="auto"/>
              <w:rPr>
                <w:rFonts w:hint="default" w:ascii="Times New Roman" w:hAnsi="Times New Roman" w:eastAsia="宋体" w:cs="Times New Roman"/>
                <w:color w:val="auto"/>
                <w:spacing w:val="0"/>
                <w:kern w:val="24"/>
                <w:position w:val="0"/>
                <w:highlight w:val="none"/>
                <w:u w:val="none" w:color="auto"/>
                <w:lang w:eastAsia="zh-CN"/>
              </w:rPr>
            </w:pPr>
            <w:r>
              <w:rPr>
                <w:rFonts w:hint="default" w:ascii="Times New Roman" w:hAnsi="Times New Roman" w:eastAsia="宋体" w:cs="Times New Roman"/>
                <w:color w:val="auto"/>
                <w:spacing w:val="0"/>
                <w:kern w:val="24"/>
                <w:position w:val="0"/>
                <w:highlight w:val="none"/>
                <w:u w:val="none" w:color="auto"/>
                <w:lang w:eastAsia="zh-CN"/>
              </w:rPr>
              <w:t>化学不完全燃烧值（</w:t>
            </w:r>
            <w:r>
              <w:rPr>
                <w:rFonts w:hint="default" w:ascii="Times New Roman" w:hAnsi="Times New Roman" w:eastAsia="宋体" w:cs="Times New Roman"/>
                <w:color w:val="auto"/>
                <w:spacing w:val="0"/>
                <w:kern w:val="24"/>
                <w:position w:val="0"/>
                <w:highlight w:val="none"/>
                <w:u w:val="none" w:color="auto"/>
                <w:lang w:val="en-US" w:eastAsia="zh-CN"/>
              </w:rPr>
              <w:t>q</w:t>
            </w:r>
            <w:r>
              <w:rPr>
                <w:rFonts w:hint="default" w:ascii="Times New Roman" w:hAnsi="Times New Roman" w:eastAsia="宋体" w:cs="Times New Roman"/>
                <w:color w:val="auto"/>
                <w:spacing w:val="0"/>
                <w:kern w:val="24"/>
                <w:position w:val="0"/>
                <w:highlight w:val="none"/>
                <w:u w:val="none" w:color="auto"/>
                <w:lang w:eastAsia="zh-CN"/>
              </w:rPr>
              <w:t>）</w:t>
            </w:r>
          </w:p>
        </w:tc>
        <w:tc>
          <w:tcPr>
            <w:tcW w:w="1842" w:type="pct"/>
            <w:tcBorders>
              <w:tl2br w:val="nil"/>
              <w:tr2bl w:val="nil"/>
            </w:tcBorders>
            <w:noWrap w:val="0"/>
            <w:vAlign w:val="center"/>
          </w:tcPr>
          <w:p w14:paraId="4A2FC494">
            <w:pPr>
              <w:pStyle w:val="111"/>
              <w:keepNext w:val="0"/>
              <w:keepLines w:val="0"/>
              <w:pageBreakBefore w:val="0"/>
              <w:widowControl w:val="0"/>
              <w:kinsoku/>
              <w:wordWrap/>
              <w:overflowPunct/>
              <w:topLinePunct w:val="0"/>
              <w:autoSpaceDE/>
              <w:autoSpaceDN/>
              <w:bidi w:val="0"/>
              <w:adjustRightInd/>
              <w:snapToGrid/>
              <w:spacing w:before="0" w:beforeLines="0" w:after="0" w:afterLines="0"/>
              <w:textAlignment w:val="auto"/>
              <w:rPr>
                <w:rFonts w:hint="default" w:ascii="Times New Roman" w:hAnsi="Times New Roman" w:eastAsia="宋体" w:cs="Times New Roman"/>
                <w:color w:val="auto"/>
                <w:spacing w:val="0"/>
                <w:kern w:val="24"/>
                <w:position w:val="0"/>
                <w:highlight w:val="none"/>
                <w:u w:val="none" w:color="auto"/>
                <w:lang w:eastAsia="zh-CN"/>
              </w:rPr>
            </w:pPr>
            <w:r>
              <w:rPr>
                <w:rFonts w:hint="default" w:ascii="Times New Roman" w:hAnsi="Times New Roman" w:eastAsia="宋体" w:cs="Times New Roman"/>
                <w:color w:val="auto"/>
                <w:spacing w:val="0"/>
                <w:kern w:val="24"/>
                <w:position w:val="0"/>
                <w:highlight w:val="none"/>
                <w:u w:val="none" w:color="auto"/>
                <w:lang w:eastAsia="zh-CN"/>
              </w:rPr>
              <w:t>6.0%</w:t>
            </w:r>
          </w:p>
        </w:tc>
        <w:tc>
          <w:tcPr>
            <w:tcW w:w="1842" w:type="pct"/>
            <w:tcBorders>
              <w:tl2br w:val="nil"/>
              <w:tr2bl w:val="nil"/>
            </w:tcBorders>
            <w:noWrap w:val="0"/>
            <w:vAlign w:val="center"/>
          </w:tcPr>
          <w:p w14:paraId="3677AACE">
            <w:pPr>
              <w:pStyle w:val="111"/>
              <w:keepNext w:val="0"/>
              <w:keepLines w:val="0"/>
              <w:pageBreakBefore w:val="0"/>
              <w:widowControl w:val="0"/>
              <w:kinsoku/>
              <w:wordWrap/>
              <w:overflowPunct/>
              <w:topLinePunct w:val="0"/>
              <w:autoSpaceDE/>
              <w:autoSpaceDN/>
              <w:bidi w:val="0"/>
              <w:adjustRightInd/>
              <w:snapToGrid/>
              <w:spacing w:before="0" w:beforeLines="0" w:after="0" w:afterLines="0"/>
              <w:textAlignment w:val="auto"/>
              <w:rPr>
                <w:rFonts w:hint="default" w:ascii="Times New Roman" w:hAnsi="Times New Roman" w:eastAsia="宋体" w:cs="Times New Roman"/>
                <w:color w:val="auto"/>
                <w:spacing w:val="0"/>
                <w:kern w:val="24"/>
                <w:position w:val="0"/>
                <w:highlight w:val="none"/>
                <w:u w:val="none" w:color="auto"/>
                <w:lang w:eastAsia="zh-CN"/>
              </w:rPr>
            </w:pPr>
          </w:p>
        </w:tc>
      </w:tr>
      <w:tr w14:paraId="4D3EA8D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15" w:type="pct"/>
            <w:tcBorders>
              <w:tl2br w:val="nil"/>
              <w:tr2bl w:val="nil"/>
            </w:tcBorders>
            <w:noWrap w:val="0"/>
            <w:vAlign w:val="center"/>
          </w:tcPr>
          <w:p w14:paraId="25944EB2">
            <w:pPr>
              <w:pStyle w:val="111"/>
              <w:keepNext w:val="0"/>
              <w:keepLines w:val="0"/>
              <w:pageBreakBefore w:val="0"/>
              <w:widowControl w:val="0"/>
              <w:kinsoku/>
              <w:wordWrap/>
              <w:overflowPunct/>
              <w:topLinePunct w:val="0"/>
              <w:autoSpaceDE/>
              <w:autoSpaceDN/>
              <w:bidi w:val="0"/>
              <w:adjustRightInd/>
              <w:snapToGrid/>
              <w:spacing w:before="0" w:beforeLines="0" w:after="0" w:afterLines="0"/>
              <w:textAlignment w:val="auto"/>
              <w:rPr>
                <w:rFonts w:hint="default" w:ascii="Times New Roman" w:hAnsi="Times New Roman" w:eastAsia="宋体" w:cs="Times New Roman"/>
                <w:color w:val="auto"/>
                <w:spacing w:val="0"/>
                <w:kern w:val="24"/>
                <w:position w:val="0"/>
                <w:highlight w:val="none"/>
                <w:u w:val="none" w:color="auto"/>
                <w:lang w:eastAsia="zh-CN"/>
              </w:rPr>
            </w:pPr>
            <w:r>
              <w:rPr>
                <w:rFonts w:hint="default" w:ascii="Times New Roman" w:hAnsi="Times New Roman" w:eastAsia="宋体" w:cs="Times New Roman"/>
                <w:color w:val="auto"/>
                <w:spacing w:val="0"/>
                <w:kern w:val="24"/>
                <w:position w:val="0"/>
                <w:highlight w:val="none"/>
                <w:u w:val="none" w:color="auto"/>
                <w:lang w:eastAsia="zh-CN"/>
              </w:rPr>
              <w:t>燃烧物质量（</w:t>
            </w:r>
            <w:r>
              <w:rPr>
                <w:rFonts w:hint="default" w:ascii="Times New Roman" w:hAnsi="Times New Roman" w:eastAsia="宋体" w:cs="Times New Roman"/>
                <w:color w:val="auto"/>
                <w:spacing w:val="0"/>
                <w:kern w:val="24"/>
                <w:position w:val="0"/>
                <w:highlight w:val="none"/>
                <w:u w:val="none" w:color="auto"/>
                <w:lang w:val="en-US" w:eastAsia="zh-CN"/>
              </w:rPr>
              <w:t>Q</w:t>
            </w:r>
            <w:r>
              <w:rPr>
                <w:rFonts w:hint="default" w:ascii="Times New Roman" w:hAnsi="Times New Roman" w:eastAsia="宋体" w:cs="Times New Roman"/>
                <w:color w:val="auto"/>
                <w:spacing w:val="0"/>
                <w:kern w:val="24"/>
                <w:position w:val="0"/>
                <w:highlight w:val="none"/>
                <w:u w:val="none" w:color="auto"/>
                <w:lang w:eastAsia="zh-CN"/>
              </w:rPr>
              <w:t>）</w:t>
            </w:r>
          </w:p>
        </w:tc>
        <w:tc>
          <w:tcPr>
            <w:tcW w:w="1842" w:type="pct"/>
            <w:tcBorders>
              <w:tl2br w:val="nil"/>
              <w:tr2bl w:val="nil"/>
            </w:tcBorders>
            <w:noWrap w:val="0"/>
            <w:vAlign w:val="center"/>
          </w:tcPr>
          <w:p w14:paraId="1C748D9C">
            <w:pPr>
              <w:pStyle w:val="111"/>
              <w:keepNext w:val="0"/>
              <w:keepLines w:val="0"/>
              <w:pageBreakBefore w:val="0"/>
              <w:widowControl w:val="0"/>
              <w:kinsoku/>
              <w:wordWrap/>
              <w:overflowPunct/>
              <w:topLinePunct w:val="0"/>
              <w:autoSpaceDE/>
              <w:autoSpaceDN/>
              <w:bidi w:val="0"/>
              <w:adjustRightInd/>
              <w:snapToGrid/>
              <w:spacing w:before="0" w:beforeLines="0" w:after="0" w:afterLines="0"/>
              <w:textAlignment w:val="auto"/>
              <w:rPr>
                <w:rFonts w:hint="default" w:ascii="Times New Roman" w:hAnsi="Times New Roman" w:eastAsia="宋体" w:cs="Times New Roman"/>
                <w:color w:val="auto"/>
                <w:spacing w:val="0"/>
                <w:kern w:val="24"/>
                <w:position w:val="0"/>
                <w:highlight w:val="none"/>
                <w:u w:val="none" w:color="auto"/>
                <w:lang w:val="en-US" w:eastAsia="zh-CN"/>
              </w:rPr>
            </w:pPr>
            <w:r>
              <w:rPr>
                <w:rFonts w:hint="default" w:ascii="Times New Roman" w:hAnsi="Times New Roman" w:eastAsia="宋体" w:cs="Times New Roman"/>
                <w:color w:val="auto"/>
                <w:u w:val="none" w:color="auto"/>
                <w:lang w:val="en-US" w:eastAsia="zh-CN"/>
              </w:rPr>
              <w:t>0.009672</w:t>
            </w:r>
            <w:r>
              <w:rPr>
                <w:rFonts w:hint="default" w:ascii="Times New Roman" w:hAnsi="Times New Roman" w:eastAsia="宋体" w:cs="Times New Roman"/>
                <w:color w:val="auto"/>
                <w:spacing w:val="0"/>
                <w:kern w:val="24"/>
                <w:position w:val="0"/>
                <w:highlight w:val="none"/>
                <w:u w:val="none" w:color="auto"/>
                <w:lang w:val="en-US" w:eastAsia="zh-CN"/>
              </w:rPr>
              <w:t>t/s</w:t>
            </w:r>
          </w:p>
        </w:tc>
        <w:tc>
          <w:tcPr>
            <w:tcW w:w="1842" w:type="pct"/>
            <w:tcBorders>
              <w:tl2br w:val="nil"/>
              <w:tr2bl w:val="nil"/>
            </w:tcBorders>
            <w:noWrap w:val="0"/>
            <w:vAlign w:val="center"/>
          </w:tcPr>
          <w:p w14:paraId="22D10053">
            <w:pPr>
              <w:pStyle w:val="111"/>
              <w:keepNext w:val="0"/>
              <w:keepLines w:val="0"/>
              <w:pageBreakBefore w:val="0"/>
              <w:widowControl w:val="0"/>
              <w:kinsoku/>
              <w:wordWrap/>
              <w:overflowPunct/>
              <w:topLinePunct w:val="0"/>
              <w:autoSpaceDE/>
              <w:autoSpaceDN/>
              <w:bidi w:val="0"/>
              <w:adjustRightInd/>
              <w:snapToGrid/>
              <w:spacing w:before="0" w:beforeLines="0" w:after="0" w:afterLines="0"/>
              <w:textAlignment w:val="auto"/>
              <w:rPr>
                <w:rFonts w:hint="default" w:ascii="Times New Roman" w:hAnsi="Times New Roman" w:eastAsia="宋体" w:cs="Times New Roman"/>
                <w:color w:val="auto"/>
                <w:spacing w:val="0"/>
                <w:kern w:val="24"/>
                <w:position w:val="0"/>
                <w:highlight w:val="none"/>
                <w:u w:val="none" w:color="auto"/>
                <w:lang w:val="en-US" w:eastAsia="zh-CN"/>
              </w:rPr>
            </w:pPr>
            <w:r>
              <w:rPr>
                <w:rFonts w:hint="default" w:ascii="Times New Roman" w:hAnsi="Times New Roman" w:eastAsia="宋体" w:cs="Times New Roman"/>
                <w:color w:val="auto"/>
                <w:spacing w:val="0"/>
                <w:kern w:val="24"/>
                <w:position w:val="0"/>
                <w:highlight w:val="none"/>
                <w:u w:val="none" w:color="auto"/>
                <w:lang w:val="en-US" w:eastAsia="zh-CN"/>
              </w:rPr>
              <w:t>按泄漏量全部燃烧</w:t>
            </w:r>
          </w:p>
        </w:tc>
      </w:tr>
      <w:tr w14:paraId="6D600F1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15" w:type="pct"/>
            <w:tcBorders>
              <w:tl2br w:val="nil"/>
              <w:tr2bl w:val="nil"/>
            </w:tcBorders>
            <w:noWrap w:val="0"/>
            <w:vAlign w:val="center"/>
          </w:tcPr>
          <w:p w14:paraId="01333DFC">
            <w:pPr>
              <w:pStyle w:val="111"/>
              <w:keepNext w:val="0"/>
              <w:keepLines w:val="0"/>
              <w:pageBreakBefore w:val="0"/>
              <w:widowControl w:val="0"/>
              <w:kinsoku/>
              <w:wordWrap/>
              <w:overflowPunct/>
              <w:topLinePunct w:val="0"/>
              <w:autoSpaceDE/>
              <w:autoSpaceDN/>
              <w:bidi w:val="0"/>
              <w:adjustRightInd/>
              <w:snapToGrid/>
              <w:spacing w:before="0" w:beforeLines="0" w:after="0" w:afterLines="0"/>
              <w:textAlignment w:val="auto"/>
              <w:rPr>
                <w:rFonts w:hint="default" w:ascii="Times New Roman" w:hAnsi="Times New Roman" w:eastAsia="宋体" w:cs="Times New Roman"/>
                <w:color w:val="auto"/>
                <w:spacing w:val="0"/>
                <w:kern w:val="24"/>
                <w:position w:val="0"/>
                <w:highlight w:val="none"/>
                <w:u w:val="none" w:color="auto"/>
                <w:lang w:eastAsia="zh-CN"/>
              </w:rPr>
            </w:pPr>
            <w:r>
              <w:rPr>
                <w:rFonts w:hint="default" w:ascii="Times New Roman" w:hAnsi="Times New Roman" w:eastAsia="宋体" w:cs="Times New Roman"/>
                <w:color w:val="auto"/>
                <w:spacing w:val="0"/>
                <w:kern w:val="24"/>
                <w:position w:val="0"/>
                <w:highlight w:val="none"/>
                <w:u w:val="none" w:color="auto"/>
                <w:lang w:eastAsia="zh-CN"/>
              </w:rPr>
              <w:t>产生量（</w:t>
            </w:r>
            <w:r>
              <w:rPr>
                <w:rFonts w:hint="default" w:ascii="Times New Roman" w:hAnsi="Times New Roman" w:eastAsia="宋体" w:cs="Times New Roman"/>
                <w:color w:val="auto"/>
                <w:spacing w:val="0"/>
                <w:kern w:val="24"/>
                <w:position w:val="0"/>
                <w:highlight w:val="none"/>
                <w:u w:val="none" w:color="auto"/>
                <w:lang w:val="en-US" w:eastAsia="zh-CN"/>
              </w:rPr>
              <w:t>G</w:t>
            </w:r>
            <w:r>
              <w:rPr>
                <w:rFonts w:hint="default" w:ascii="Times New Roman" w:hAnsi="Times New Roman" w:eastAsia="宋体" w:cs="Times New Roman"/>
                <w:color w:val="auto"/>
                <w:spacing w:val="0"/>
                <w:kern w:val="24"/>
                <w:position w:val="0"/>
                <w:highlight w:val="none"/>
                <w:u w:val="none" w:color="auto"/>
                <w:lang w:eastAsia="zh-CN"/>
              </w:rPr>
              <w:t>）</w:t>
            </w:r>
          </w:p>
        </w:tc>
        <w:tc>
          <w:tcPr>
            <w:tcW w:w="1842" w:type="pct"/>
            <w:tcBorders>
              <w:tl2br w:val="nil"/>
              <w:tr2bl w:val="nil"/>
            </w:tcBorders>
            <w:noWrap w:val="0"/>
            <w:vAlign w:val="center"/>
          </w:tcPr>
          <w:p w14:paraId="07A3158F">
            <w:pPr>
              <w:pStyle w:val="111"/>
              <w:keepNext w:val="0"/>
              <w:keepLines w:val="0"/>
              <w:pageBreakBefore w:val="0"/>
              <w:widowControl w:val="0"/>
              <w:kinsoku/>
              <w:wordWrap/>
              <w:overflowPunct/>
              <w:topLinePunct w:val="0"/>
              <w:autoSpaceDE/>
              <w:autoSpaceDN/>
              <w:bidi w:val="0"/>
              <w:adjustRightInd/>
              <w:snapToGrid/>
              <w:spacing w:before="0" w:beforeLines="0" w:after="0" w:afterLines="0"/>
              <w:textAlignment w:val="auto"/>
              <w:rPr>
                <w:rFonts w:hint="default" w:ascii="Times New Roman" w:hAnsi="Times New Roman" w:eastAsia="宋体" w:cs="Times New Roman"/>
                <w:color w:val="auto"/>
                <w:spacing w:val="0"/>
                <w:kern w:val="24"/>
                <w:position w:val="0"/>
                <w:highlight w:val="none"/>
                <w:u w:val="none" w:color="auto"/>
                <w:lang w:val="en-US" w:eastAsia="zh-CN"/>
              </w:rPr>
            </w:pPr>
            <w:r>
              <w:rPr>
                <w:rFonts w:hint="default" w:ascii="Times New Roman" w:hAnsi="Times New Roman" w:eastAsia="宋体" w:cs="Times New Roman"/>
                <w:color w:val="auto"/>
                <w:spacing w:val="0"/>
                <w:kern w:val="24"/>
                <w:position w:val="0"/>
                <w:highlight w:val="none"/>
                <w:u w:val="none" w:color="auto"/>
                <w:lang w:val="en-US" w:eastAsia="zh-CN"/>
              </w:rPr>
              <w:t>1.0141kg/s（1521.18kg）</w:t>
            </w:r>
          </w:p>
        </w:tc>
        <w:tc>
          <w:tcPr>
            <w:tcW w:w="1842" w:type="pct"/>
            <w:tcBorders>
              <w:tl2br w:val="nil"/>
              <w:tr2bl w:val="nil"/>
            </w:tcBorders>
            <w:noWrap w:val="0"/>
            <w:vAlign w:val="center"/>
          </w:tcPr>
          <w:p w14:paraId="2DFDD022">
            <w:pPr>
              <w:pStyle w:val="111"/>
              <w:keepNext w:val="0"/>
              <w:keepLines w:val="0"/>
              <w:pageBreakBefore w:val="0"/>
              <w:widowControl w:val="0"/>
              <w:kinsoku/>
              <w:wordWrap/>
              <w:overflowPunct/>
              <w:topLinePunct w:val="0"/>
              <w:autoSpaceDE/>
              <w:autoSpaceDN/>
              <w:bidi w:val="0"/>
              <w:adjustRightInd/>
              <w:snapToGrid/>
              <w:spacing w:before="0" w:beforeLines="0" w:after="0" w:afterLines="0"/>
              <w:textAlignment w:val="auto"/>
              <w:rPr>
                <w:rFonts w:hint="default" w:ascii="Times New Roman" w:hAnsi="Times New Roman" w:eastAsia="宋体" w:cs="Times New Roman"/>
                <w:color w:val="auto"/>
                <w:spacing w:val="0"/>
                <w:kern w:val="24"/>
                <w:position w:val="0"/>
                <w:highlight w:val="none"/>
                <w:u w:val="none" w:color="auto"/>
                <w:lang w:val="en-US" w:eastAsia="zh-CN"/>
              </w:rPr>
            </w:pPr>
            <w:r>
              <w:rPr>
                <w:rFonts w:hint="default" w:ascii="Times New Roman" w:hAnsi="Times New Roman" w:eastAsia="宋体" w:cs="Times New Roman"/>
                <w:color w:val="auto"/>
                <w:spacing w:val="0"/>
                <w:kern w:val="24"/>
                <w:position w:val="0"/>
                <w:highlight w:val="none"/>
                <w:u w:val="none" w:color="auto"/>
                <w:lang w:val="en-US" w:eastAsia="zh-CN"/>
              </w:rPr>
              <w:t>按10min计</w:t>
            </w:r>
          </w:p>
        </w:tc>
      </w:tr>
    </w:tbl>
    <w:p w14:paraId="19FF4AA5">
      <w:pPr>
        <w:pStyle w:val="4"/>
        <w:numPr>
          <w:ilvl w:val="1"/>
          <w:numId w:val="0"/>
        </w:numPr>
        <w:spacing w:before="120" w:after="120" w:line="360" w:lineRule="auto"/>
        <w:contextualSpacing/>
        <w:rPr>
          <w:rFonts w:hint="default" w:ascii="Times New Roman" w:hAnsi="Times New Roman" w:eastAsia="宋体" w:cs="Times New Roman"/>
          <w:b/>
          <w:bCs w:val="0"/>
          <w:color w:val="auto"/>
          <w:sz w:val="28"/>
          <w:u w:val="none" w:color="auto"/>
          <w:lang w:val="en-US"/>
        </w:rPr>
      </w:pPr>
      <w:bookmarkStart w:id="254" w:name="_Toc31703"/>
      <w:r>
        <w:rPr>
          <w:rFonts w:hint="default" w:ascii="Times New Roman" w:hAnsi="Times New Roman" w:eastAsia="宋体" w:cs="Times New Roman"/>
          <w:b/>
          <w:bCs w:val="0"/>
          <w:color w:val="auto"/>
          <w:sz w:val="28"/>
          <w:u w:val="none" w:color="auto"/>
        </w:rPr>
        <w:t>4</w:t>
      </w:r>
      <w:r>
        <w:rPr>
          <w:rFonts w:hint="default" w:ascii="Times New Roman" w:hAnsi="Times New Roman" w:eastAsia="宋体" w:cs="Times New Roman"/>
          <w:b/>
          <w:bCs w:val="0"/>
          <w:color w:val="auto"/>
          <w:sz w:val="28"/>
          <w:u w:val="none" w:color="auto"/>
          <w:lang w:val="en-US" w:eastAsia="zh-CN"/>
        </w:rPr>
        <w:t>.3矿物油类泄漏源强</w:t>
      </w:r>
      <w:bookmarkEnd w:id="254"/>
    </w:p>
    <w:p w14:paraId="614D1658">
      <w:pPr>
        <w:pStyle w:val="110"/>
        <w:keepNext w:val="0"/>
        <w:keepLines w:val="0"/>
        <w:pageBreakBefore w:val="0"/>
        <w:widowControl w:val="0"/>
        <w:kinsoku/>
        <w:wordWrap/>
        <w:overflowPunct/>
        <w:topLinePunct w:val="0"/>
        <w:autoSpaceDE/>
        <w:autoSpaceDN/>
        <w:bidi w:val="0"/>
        <w:adjustRightInd/>
        <w:snapToGrid/>
        <w:spacing w:before="0" w:beforeLines="0" w:after="0" w:afterLines="0"/>
        <w:textAlignment w:val="auto"/>
        <w:rPr>
          <w:rFonts w:hint="default" w:ascii="Times New Roman" w:hAnsi="Times New Roman" w:eastAsia="宋体" w:cs="Times New Roman"/>
          <w:color w:val="auto"/>
          <w:spacing w:val="0"/>
          <w:kern w:val="24"/>
          <w:position w:val="0"/>
          <w:highlight w:val="none"/>
          <w:u w:val="none" w:color="auto"/>
          <w:lang w:val="en-US" w:eastAsia="zh-CN"/>
        </w:rPr>
      </w:pPr>
      <w:r>
        <w:rPr>
          <w:rFonts w:hint="default" w:ascii="Times New Roman" w:hAnsi="Times New Roman" w:eastAsia="宋体" w:cs="Times New Roman"/>
          <w:color w:val="auto"/>
          <w:spacing w:val="0"/>
          <w:kern w:val="24"/>
          <w:position w:val="0"/>
          <w:highlight w:val="none"/>
          <w:u w:val="none" w:color="auto"/>
          <w:lang w:val="en-US" w:eastAsia="zh-CN"/>
        </w:rPr>
        <w:t>本项目矿物油类最大包装规格为200kg/桶，因此泄漏量按全部泄漏计，由于原料库矿物油类贮存区</w:t>
      </w:r>
      <w:r>
        <w:rPr>
          <w:rFonts w:hint="eastAsia" w:cs="Times New Roman"/>
          <w:color w:val="auto"/>
          <w:spacing w:val="0"/>
          <w:kern w:val="24"/>
          <w:position w:val="0"/>
          <w:highlight w:val="none"/>
          <w:u w:val="none" w:color="auto"/>
          <w:lang w:val="en-US" w:eastAsia="zh-CN"/>
        </w:rPr>
        <w:t>未设置</w:t>
      </w:r>
      <w:r>
        <w:rPr>
          <w:rFonts w:hint="default" w:ascii="Times New Roman" w:hAnsi="Times New Roman" w:eastAsia="宋体" w:cs="Times New Roman"/>
          <w:color w:val="auto"/>
          <w:spacing w:val="0"/>
          <w:kern w:val="24"/>
          <w:position w:val="0"/>
          <w:highlight w:val="none"/>
          <w:u w:val="none" w:color="auto"/>
          <w:lang w:val="en-US" w:eastAsia="zh-CN"/>
        </w:rPr>
        <w:t>紧急隔离系统的单元，泄漏时间设定为30min，则泄漏速率为0.1111kg/s。</w:t>
      </w:r>
    </w:p>
    <w:p w14:paraId="4BD3C417">
      <w:pPr>
        <w:pStyle w:val="3"/>
        <w:snapToGrid/>
        <w:ind w:left="0" w:firstLine="0"/>
        <w:rPr>
          <w:rFonts w:hint="default" w:ascii="Times New Roman" w:hAnsi="Times New Roman" w:eastAsia="宋体" w:cs="Times New Roman"/>
          <w:color w:val="auto"/>
          <w:szCs w:val="28"/>
          <w:u w:val="none" w:color="auto"/>
        </w:rPr>
      </w:pPr>
      <w:r>
        <w:rPr>
          <w:rFonts w:hint="default" w:ascii="Times New Roman" w:hAnsi="Times New Roman" w:eastAsia="宋体" w:cs="Times New Roman"/>
          <w:color w:val="auto"/>
          <w:szCs w:val="28"/>
          <w:u w:val="none" w:color="auto"/>
        </w:rPr>
        <w:br w:type="page"/>
      </w:r>
      <w:bookmarkStart w:id="255" w:name="_Toc1192"/>
      <w:bookmarkStart w:id="256" w:name="_Toc1259"/>
      <w:bookmarkStart w:id="257" w:name="_Toc10384"/>
      <w:bookmarkStart w:id="258" w:name="_Toc28737"/>
      <w:bookmarkStart w:id="259" w:name="_Toc15290"/>
      <w:bookmarkStart w:id="260" w:name="_Toc17524"/>
      <w:r>
        <w:rPr>
          <w:rFonts w:hint="default" w:ascii="Times New Roman" w:hAnsi="Times New Roman" w:eastAsia="宋体" w:cs="Times New Roman"/>
          <w:color w:val="auto"/>
          <w:kern w:val="2"/>
          <w:sz w:val="32"/>
          <w:szCs w:val="32"/>
          <w:u w:val="none" w:color="auto"/>
        </w:rPr>
        <w:t>5</w:t>
      </w:r>
      <w:bookmarkEnd w:id="231"/>
      <w:bookmarkEnd w:id="232"/>
      <w:bookmarkEnd w:id="233"/>
      <w:bookmarkEnd w:id="234"/>
      <w:bookmarkEnd w:id="235"/>
      <w:bookmarkEnd w:id="236"/>
      <w:bookmarkEnd w:id="237"/>
      <w:r>
        <w:rPr>
          <w:rFonts w:hint="default" w:ascii="Times New Roman" w:hAnsi="Times New Roman" w:eastAsia="宋体" w:cs="Times New Roman"/>
          <w:color w:val="auto"/>
          <w:kern w:val="2"/>
          <w:sz w:val="32"/>
          <w:szCs w:val="32"/>
          <w:u w:val="none" w:color="auto"/>
        </w:rPr>
        <w:t>风险预测与评价</w:t>
      </w:r>
      <w:bookmarkEnd w:id="255"/>
      <w:bookmarkEnd w:id="256"/>
      <w:bookmarkEnd w:id="257"/>
      <w:bookmarkEnd w:id="258"/>
      <w:bookmarkEnd w:id="259"/>
      <w:bookmarkEnd w:id="260"/>
    </w:p>
    <w:p w14:paraId="4D093A38">
      <w:pPr>
        <w:pStyle w:val="4"/>
        <w:numPr>
          <w:ilvl w:val="1"/>
          <w:numId w:val="0"/>
        </w:numPr>
        <w:spacing w:before="120" w:after="120" w:line="360" w:lineRule="auto"/>
        <w:contextualSpacing/>
        <w:rPr>
          <w:rFonts w:hint="default" w:ascii="Times New Roman" w:hAnsi="Times New Roman" w:eastAsia="宋体" w:cs="Times New Roman"/>
          <w:b/>
          <w:bCs w:val="0"/>
          <w:color w:val="auto"/>
          <w:sz w:val="28"/>
          <w:u w:val="none" w:color="auto"/>
        </w:rPr>
      </w:pPr>
      <w:bookmarkStart w:id="261" w:name="_Toc1129"/>
      <w:bookmarkStart w:id="262" w:name="_Toc21238"/>
      <w:bookmarkStart w:id="263" w:name="_Toc14990"/>
      <w:bookmarkStart w:id="264" w:name="_Toc2196"/>
      <w:r>
        <w:rPr>
          <w:rFonts w:hint="default" w:ascii="Times New Roman" w:hAnsi="Times New Roman" w:eastAsia="宋体" w:cs="Times New Roman"/>
          <w:b/>
          <w:bCs w:val="0"/>
          <w:color w:val="auto"/>
          <w:sz w:val="28"/>
          <w:u w:val="none" w:color="auto"/>
        </w:rPr>
        <w:t>5.1</w:t>
      </w:r>
      <w:bookmarkEnd w:id="261"/>
      <w:bookmarkEnd w:id="262"/>
      <w:r>
        <w:rPr>
          <w:rFonts w:hint="default" w:ascii="Times New Roman" w:hAnsi="Times New Roman" w:eastAsia="宋体" w:cs="Times New Roman"/>
          <w:b/>
          <w:bCs w:val="0"/>
          <w:color w:val="auto"/>
          <w:sz w:val="28"/>
          <w:u w:val="none" w:color="auto"/>
        </w:rPr>
        <w:t>空气环境风险影响分析</w:t>
      </w:r>
      <w:bookmarkEnd w:id="263"/>
      <w:bookmarkEnd w:id="264"/>
    </w:p>
    <w:p w14:paraId="196C564F">
      <w:pPr>
        <w:pStyle w:val="105"/>
        <w:ind w:firstLine="482"/>
        <w:outlineLvl w:val="2"/>
        <w:rPr>
          <w:rFonts w:hint="default" w:ascii="Times New Roman" w:hAnsi="Times New Roman" w:eastAsia="宋体" w:cs="Times New Roman"/>
          <w:b/>
          <w:bCs/>
          <w:color w:val="auto"/>
          <w:u w:val="none" w:color="auto"/>
        </w:rPr>
      </w:pPr>
      <w:bookmarkStart w:id="265" w:name="_Toc13655"/>
      <w:r>
        <w:rPr>
          <w:rFonts w:hint="default" w:ascii="Times New Roman" w:hAnsi="Times New Roman" w:eastAsia="宋体" w:cs="Times New Roman"/>
          <w:b/>
          <w:bCs/>
          <w:color w:val="auto"/>
          <w:u w:val="none" w:color="auto"/>
        </w:rPr>
        <w:t>5.1.1预测模型及相关参数</w:t>
      </w:r>
    </w:p>
    <w:bookmarkEnd w:id="265"/>
    <w:p w14:paraId="64E09093">
      <w:pPr>
        <w:pStyle w:val="110"/>
        <w:spacing w:before="0"/>
        <w:ind w:firstLine="482"/>
        <w:rPr>
          <w:rFonts w:hint="default" w:ascii="Times New Roman" w:hAnsi="Times New Roman" w:eastAsia="宋体" w:cs="Times New Roman"/>
          <w:b/>
          <w:color w:val="auto"/>
          <w:szCs w:val="24"/>
          <w:u w:val="none" w:color="auto"/>
        </w:rPr>
      </w:pPr>
      <w:r>
        <w:rPr>
          <w:rFonts w:hint="default" w:ascii="Times New Roman" w:hAnsi="Times New Roman" w:eastAsia="宋体" w:cs="Times New Roman"/>
          <w:b/>
          <w:color w:val="auto"/>
          <w:szCs w:val="24"/>
          <w:u w:val="none" w:color="auto"/>
        </w:rPr>
        <w:t>1、预测评价采用标准</w:t>
      </w:r>
    </w:p>
    <w:p w14:paraId="7F765E6A">
      <w:pPr>
        <w:spacing w:line="360" w:lineRule="auto"/>
        <w:ind w:firstLine="480"/>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根据《建设项目环境风险评价技术导则》（HJ169-2018），大气毒性终点浓度及预测评价标准。大气毒性终点浓度值选取参见附录H，分为1、2级。其中1级为当大气中危险物质浓度低于该限值时，绝大多数人员暴露1h不会对生命造成威胁，当超过该限值时，有可能对人群造成生命威胁；2级为当大气中危险物质浓度低于该限值时，暴露1h一般不会对人体造成不可逆的伤害，或出现的症状一般不会损伤该个体采取有效防护措施的能力。</w:t>
      </w:r>
    </w:p>
    <w:p w14:paraId="6AB4A5F0">
      <w:pPr>
        <w:spacing w:line="360" w:lineRule="auto"/>
        <w:ind w:firstLine="480"/>
        <w:rPr>
          <w:rFonts w:hint="default" w:ascii="Times New Roman" w:hAnsi="Times New Roman" w:eastAsia="宋体" w:cs="Times New Roman"/>
          <w:color w:val="auto"/>
          <w:sz w:val="24"/>
          <w:szCs w:val="24"/>
          <w:u w:val="none" w:color="auto"/>
          <w:lang w:eastAsia="zh-CN"/>
        </w:rPr>
      </w:pPr>
      <w:r>
        <w:rPr>
          <w:rFonts w:hint="default" w:ascii="Times New Roman" w:hAnsi="Times New Roman" w:eastAsia="宋体" w:cs="Times New Roman"/>
          <w:color w:val="auto"/>
          <w:sz w:val="24"/>
          <w:szCs w:val="24"/>
          <w:u w:val="none" w:color="auto"/>
          <w:lang w:eastAsia="zh-CN"/>
        </w:rPr>
        <w:t>甲烷</w:t>
      </w:r>
      <w:r>
        <w:rPr>
          <w:rFonts w:hint="default" w:ascii="Times New Roman" w:hAnsi="Times New Roman" w:eastAsia="宋体" w:cs="Times New Roman"/>
          <w:color w:val="auto"/>
          <w:sz w:val="24"/>
          <w:szCs w:val="24"/>
          <w:u w:val="none" w:color="auto"/>
        </w:rPr>
        <w:t>的毒性终点浓度-1为</w:t>
      </w:r>
      <w:r>
        <w:rPr>
          <w:rFonts w:hint="default" w:ascii="Times New Roman" w:hAnsi="Times New Roman" w:eastAsia="宋体" w:cs="Times New Roman"/>
          <w:color w:val="auto"/>
          <w:sz w:val="24"/>
          <w:szCs w:val="24"/>
          <w:u w:val="none" w:color="auto"/>
          <w:lang w:val="en-US" w:eastAsia="zh-CN"/>
        </w:rPr>
        <w:t>260000</w:t>
      </w:r>
      <w:r>
        <w:rPr>
          <w:rFonts w:hint="default" w:ascii="Times New Roman" w:hAnsi="Times New Roman" w:eastAsia="宋体" w:cs="Times New Roman"/>
          <w:color w:val="auto"/>
          <w:sz w:val="24"/>
          <w:szCs w:val="24"/>
          <w:u w:val="none" w:color="auto"/>
        </w:rPr>
        <w:t>mg/m</w:t>
      </w:r>
      <w:r>
        <w:rPr>
          <w:rFonts w:hint="default" w:ascii="Times New Roman" w:hAnsi="Times New Roman" w:eastAsia="宋体" w:cs="Times New Roman"/>
          <w:color w:val="auto"/>
          <w:sz w:val="24"/>
          <w:szCs w:val="24"/>
          <w:u w:val="none" w:color="auto"/>
          <w:vertAlign w:val="superscript"/>
        </w:rPr>
        <w:t>3</w:t>
      </w:r>
      <w:r>
        <w:rPr>
          <w:rFonts w:hint="default" w:ascii="Times New Roman" w:hAnsi="Times New Roman" w:eastAsia="宋体" w:cs="Times New Roman"/>
          <w:color w:val="auto"/>
          <w:sz w:val="24"/>
          <w:szCs w:val="24"/>
          <w:u w:val="none" w:color="auto"/>
        </w:rPr>
        <w:t>，毒性终点浓度-2为</w:t>
      </w:r>
      <w:r>
        <w:rPr>
          <w:rFonts w:hint="default" w:ascii="Times New Roman" w:hAnsi="Times New Roman" w:eastAsia="宋体" w:cs="Times New Roman"/>
          <w:color w:val="auto"/>
          <w:sz w:val="24"/>
          <w:szCs w:val="24"/>
          <w:u w:val="none" w:color="auto"/>
          <w:lang w:val="en-US" w:eastAsia="zh-CN"/>
        </w:rPr>
        <w:t>150000</w:t>
      </w:r>
      <w:r>
        <w:rPr>
          <w:rFonts w:hint="default" w:ascii="Times New Roman" w:hAnsi="Times New Roman" w:eastAsia="宋体" w:cs="Times New Roman"/>
          <w:color w:val="auto"/>
          <w:sz w:val="24"/>
          <w:szCs w:val="24"/>
          <w:u w:val="none" w:color="auto"/>
        </w:rPr>
        <w:t>mg/m</w:t>
      </w:r>
      <w:r>
        <w:rPr>
          <w:rFonts w:hint="default" w:ascii="Times New Roman" w:hAnsi="Times New Roman" w:eastAsia="宋体" w:cs="Times New Roman"/>
          <w:color w:val="auto"/>
          <w:sz w:val="24"/>
          <w:szCs w:val="24"/>
          <w:u w:val="none" w:color="auto"/>
          <w:vertAlign w:val="superscript"/>
        </w:rPr>
        <w:t>3</w:t>
      </w:r>
      <w:r>
        <w:rPr>
          <w:rFonts w:hint="default" w:ascii="Times New Roman" w:hAnsi="Times New Roman" w:eastAsia="宋体" w:cs="Times New Roman"/>
          <w:color w:val="auto"/>
          <w:sz w:val="24"/>
          <w:szCs w:val="24"/>
          <w:u w:val="none" w:color="auto"/>
          <w:lang w:eastAsia="zh-CN"/>
        </w:rPr>
        <w:t>；</w:t>
      </w:r>
    </w:p>
    <w:p w14:paraId="752C334B">
      <w:pPr>
        <w:spacing w:line="360" w:lineRule="auto"/>
        <w:ind w:firstLine="480"/>
        <w:rPr>
          <w:rFonts w:hint="default" w:ascii="Times New Roman" w:hAnsi="Times New Roman" w:eastAsia="宋体" w:cs="Times New Roman"/>
          <w:color w:val="auto"/>
          <w:sz w:val="24"/>
          <w:szCs w:val="24"/>
          <w:u w:val="none" w:color="auto"/>
          <w:lang w:val="en-US" w:eastAsia="zh-CN"/>
        </w:rPr>
      </w:pPr>
      <w:r>
        <w:rPr>
          <w:rFonts w:hint="default" w:ascii="Times New Roman" w:hAnsi="Times New Roman" w:eastAsia="宋体" w:cs="Times New Roman"/>
          <w:color w:val="auto"/>
          <w:sz w:val="24"/>
          <w:szCs w:val="24"/>
          <w:u w:val="none" w:color="auto"/>
          <w:lang w:val="en-US" w:eastAsia="zh-CN"/>
        </w:rPr>
        <w:t>CO</w:t>
      </w:r>
      <w:r>
        <w:rPr>
          <w:rFonts w:hint="default" w:ascii="Times New Roman" w:hAnsi="Times New Roman" w:eastAsia="宋体" w:cs="Times New Roman"/>
          <w:color w:val="auto"/>
          <w:sz w:val="24"/>
          <w:szCs w:val="24"/>
          <w:u w:val="none" w:color="auto"/>
        </w:rPr>
        <w:t>的毒性终点浓度-1为</w:t>
      </w:r>
      <w:r>
        <w:rPr>
          <w:rFonts w:hint="default" w:ascii="Times New Roman" w:hAnsi="Times New Roman" w:eastAsia="宋体" w:cs="Times New Roman"/>
          <w:color w:val="auto"/>
          <w:sz w:val="24"/>
          <w:szCs w:val="24"/>
          <w:u w:val="none" w:color="auto"/>
          <w:lang w:val="en-US" w:eastAsia="zh-CN"/>
        </w:rPr>
        <w:t>380</w:t>
      </w:r>
      <w:r>
        <w:rPr>
          <w:rFonts w:hint="default" w:ascii="Times New Roman" w:hAnsi="Times New Roman" w:eastAsia="宋体" w:cs="Times New Roman"/>
          <w:color w:val="auto"/>
          <w:sz w:val="24"/>
          <w:szCs w:val="24"/>
          <w:u w:val="none" w:color="auto"/>
        </w:rPr>
        <w:t>mg/m</w:t>
      </w:r>
      <w:r>
        <w:rPr>
          <w:rFonts w:hint="default" w:ascii="Times New Roman" w:hAnsi="Times New Roman" w:eastAsia="宋体" w:cs="Times New Roman"/>
          <w:color w:val="auto"/>
          <w:sz w:val="24"/>
          <w:szCs w:val="24"/>
          <w:u w:val="none" w:color="auto"/>
          <w:vertAlign w:val="superscript"/>
        </w:rPr>
        <w:t>3</w:t>
      </w:r>
      <w:r>
        <w:rPr>
          <w:rFonts w:hint="default" w:ascii="Times New Roman" w:hAnsi="Times New Roman" w:eastAsia="宋体" w:cs="Times New Roman"/>
          <w:color w:val="auto"/>
          <w:sz w:val="24"/>
          <w:szCs w:val="24"/>
          <w:u w:val="none" w:color="auto"/>
        </w:rPr>
        <w:t>，毒性终点浓度-2为</w:t>
      </w:r>
      <w:r>
        <w:rPr>
          <w:rFonts w:hint="default" w:ascii="Times New Roman" w:hAnsi="Times New Roman" w:eastAsia="宋体" w:cs="Times New Roman"/>
          <w:color w:val="auto"/>
          <w:sz w:val="24"/>
          <w:szCs w:val="24"/>
          <w:u w:val="none" w:color="auto"/>
          <w:lang w:val="en-US" w:eastAsia="zh-CN"/>
        </w:rPr>
        <w:t>95</w:t>
      </w:r>
      <w:r>
        <w:rPr>
          <w:rFonts w:hint="default" w:ascii="Times New Roman" w:hAnsi="Times New Roman" w:eastAsia="宋体" w:cs="Times New Roman"/>
          <w:color w:val="auto"/>
          <w:sz w:val="24"/>
          <w:szCs w:val="24"/>
          <w:u w:val="none" w:color="auto"/>
        </w:rPr>
        <w:t>mg/m</w:t>
      </w:r>
      <w:r>
        <w:rPr>
          <w:rFonts w:hint="default" w:ascii="Times New Roman" w:hAnsi="Times New Roman" w:eastAsia="宋体" w:cs="Times New Roman"/>
          <w:color w:val="auto"/>
          <w:sz w:val="24"/>
          <w:szCs w:val="24"/>
          <w:u w:val="none" w:color="auto"/>
          <w:vertAlign w:val="superscript"/>
        </w:rPr>
        <w:t>3</w:t>
      </w:r>
      <w:r>
        <w:rPr>
          <w:rFonts w:hint="default" w:ascii="Times New Roman" w:hAnsi="Times New Roman" w:eastAsia="宋体" w:cs="Times New Roman"/>
          <w:color w:val="auto"/>
          <w:sz w:val="24"/>
          <w:szCs w:val="24"/>
          <w:u w:val="none" w:color="auto"/>
        </w:rPr>
        <w:t>。</w:t>
      </w:r>
    </w:p>
    <w:p w14:paraId="4AC3C55F">
      <w:pPr>
        <w:pStyle w:val="110"/>
        <w:spacing w:before="0"/>
        <w:ind w:firstLine="482"/>
        <w:rPr>
          <w:rFonts w:hint="default" w:ascii="Times New Roman" w:hAnsi="Times New Roman" w:eastAsia="宋体" w:cs="Times New Roman"/>
          <w:b/>
          <w:color w:val="auto"/>
          <w:szCs w:val="24"/>
          <w:u w:val="none" w:color="auto"/>
        </w:rPr>
      </w:pPr>
      <w:r>
        <w:rPr>
          <w:rFonts w:hint="default" w:ascii="Times New Roman" w:hAnsi="Times New Roman" w:eastAsia="宋体" w:cs="Times New Roman"/>
          <w:b/>
          <w:color w:val="auto"/>
          <w:szCs w:val="24"/>
          <w:u w:val="none" w:color="auto"/>
        </w:rPr>
        <w:t>2、预测模型与相关参数</w:t>
      </w:r>
    </w:p>
    <w:p w14:paraId="39C508F3">
      <w:pPr>
        <w:spacing w:line="360" w:lineRule="auto"/>
        <w:ind w:firstLine="480"/>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本项目</w:t>
      </w:r>
      <w:r>
        <w:rPr>
          <w:rFonts w:hint="default" w:ascii="Times New Roman" w:hAnsi="Times New Roman" w:eastAsia="宋体" w:cs="Times New Roman"/>
          <w:color w:val="auto"/>
          <w:sz w:val="24"/>
          <w:szCs w:val="24"/>
          <w:u w:val="none" w:color="auto"/>
          <w:lang w:eastAsia="zh-CN"/>
        </w:rPr>
        <w:t>天然气管道</w:t>
      </w:r>
      <w:r>
        <w:rPr>
          <w:rFonts w:hint="default" w:ascii="Times New Roman" w:hAnsi="Times New Roman" w:eastAsia="宋体" w:cs="Times New Roman"/>
          <w:color w:val="auto"/>
          <w:sz w:val="24"/>
          <w:szCs w:val="24"/>
          <w:u w:val="none" w:color="auto"/>
        </w:rPr>
        <w:t>泄漏后</w:t>
      </w:r>
      <w:r>
        <w:rPr>
          <w:rFonts w:hint="default" w:ascii="Times New Roman" w:hAnsi="Times New Roman" w:eastAsia="宋体" w:cs="Times New Roman"/>
          <w:color w:val="auto"/>
          <w:sz w:val="24"/>
          <w:szCs w:val="24"/>
          <w:u w:val="none" w:color="auto"/>
          <w:lang w:val="en-US" w:eastAsia="zh-CN"/>
        </w:rPr>
        <w:t>的</w:t>
      </w:r>
      <w:r>
        <w:rPr>
          <w:rFonts w:hint="default" w:ascii="Times New Roman" w:hAnsi="Times New Roman" w:eastAsia="宋体" w:cs="Times New Roman"/>
          <w:color w:val="auto"/>
          <w:sz w:val="24"/>
          <w:szCs w:val="24"/>
          <w:u w:val="none" w:color="auto"/>
        </w:rPr>
        <w:t>烟团初始密度未大于空气密度</w:t>
      </w:r>
      <w:r>
        <w:rPr>
          <w:rFonts w:hint="default" w:ascii="Times New Roman" w:hAnsi="Times New Roman" w:eastAsia="宋体" w:cs="Times New Roman"/>
          <w:color w:val="auto"/>
          <w:sz w:val="24"/>
          <w:szCs w:val="24"/>
          <w:u w:val="none" w:color="auto"/>
          <w:lang w:eastAsia="zh-CN"/>
        </w:rPr>
        <w:t>，</w:t>
      </w:r>
      <w:r>
        <w:rPr>
          <w:rFonts w:hint="default" w:ascii="Times New Roman" w:hAnsi="Times New Roman" w:eastAsia="宋体" w:cs="Times New Roman"/>
          <w:color w:val="auto"/>
          <w:sz w:val="24"/>
          <w:szCs w:val="24"/>
          <w:u w:val="none" w:color="auto"/>
        </w:rPr>
        <w:t>排放的</w:t>
      </w:r>
      <w:r>
        <w:rPr>
          <w:rFonts w:hint="default" w:ascii="Times New Roman" w:hAnsi="Times New Roman" w:eastAsia="宋体" w:cs="Times New Roman"/>
          <w:color w:val="auto"/>
          <w:sz w:val="24"/>
          <w:szCs w:val="24"/>
          <w:u w:val="none" w:color="auto"/>
          <w:lang w:eastAsia="zh-CN"/>
        </w:rPr>
        <w:t>天然气（</w:t>
      </w:r>
      <w:r>
        <w:rPr>
          <w:rFonts w:hint="default" w:ascii="Times New Roman" w:hAnsi="Times New Roman" w:eastAsia="宋体" w:cs="Times New Roman"/>
          <w:color w:val="auto"/>
          <w:sz w:val="24"/>
          <w:szCs w:val="24"/>
          <w:u w:val="none" w:color="auto"/>
          <w:lang w:val="en-US" w:eastAsia="zh-CN"/>
        </w:rPr>
        <w:t>以</w:t>
      </w:r>
      <w:r>
        <w:rPr>
          <w:rFonts w:hint="default" w:ascii="Times New Roman" w:hAnsi="Times New Roman" w:eastAsia="宋体" w:cs="Times New Roman"/>
          <w:color w:val="auto"/>
          <w:sz w:val="24"/>
          <w:szCs w:val="24"/>
          <w:u w:val="none" w:color="auto"/>
          <w:lang w:eastAsia="zh-CN"/>
        </w:rPr>
        <w:t>甲烷</w:t>
      </w:r>
      <w:r>
        <w:rPr>
          <w:rFonts w:hint="default" w:ascii="Times New Roman" w:hAnsi="Times New Roman" w:eastAsia="宋体" w:cs="Times New Roman"/>
          <w:color w:val="auto"/>
          <w:sz w:val="24"/>
          <w:szCs w:val="24"/>
          <w:u w:val="none" w:color="auto"/>
          <w:lang w:val="en-US" w:eastAsia="zh-CN"/>
        </w:rPr>
        <w:t>表征</w:t>
      </w:r>
      <w:r>
        <w:rPr>
          <w:rFonts w:hint="default" w:ascii="Times New Roman" w:hAnsi="Times New Roman" w:eastAsia="宋体" w:cs="Times New Roman"/>
          <w:color w:val="auto"/>
          <w:sz w:val="24"/>
          <w:szCs w:val="24"/>
          <w:u w:val="none" w:color="auto"/>
          <w:lang w:eastAsia="zh-CN"/>
        </w:rPr>
        <w:t>）</w:t>
      </w:r>
      <w:r>
        <w:rPr>
          <w:rFonts w:hint="default" w:ascii="Times New Roman" w:hAnsi="Times New Roman" w:eastAsia="宋体" w:cs="Times New Roman"/>
          <w:color w:val="auto"/>
          <w:sz w:val="24"/>
          <w:szCs w:val="24"/>
          <w:u w:val="none" w:color="auto"/>
          <w:lang w:val="en-US" w:eastAsia="zh-CN"/>
        </w:rPr>
        <w:t>及火灾/爆炸产生CO</w:t>
      </w:r>
      <w:r>
        <w:rPr>
          <w:rFonts w:hint="default" w:ascii="Times New Roman" w:hAnsi="Times New Roman" w:eastAsia="宋体" w:cs="Times New Roman"/>
          <w:color w:val="auto"/>
          <w:sz w:val="24"/>
          <w:szCs w:val="24"/>
          <w:u w:val="none" w:color="auto"/>
        </w:rPr>
        <w:t>为轻质气体，采用附录G推荐的AFTOX模式，AFTOX模式是用于模拟轻气体扩散的高斯烟团扩散模式。</w:t>
      </w:r>
    </w:p>
    <w:p w14:paraId="1738E373">
      <w:pPr>
        <w:spacing w:line="360" w:lineRule="auto"/>
        <w:ind w:firstLine="480"/>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因此，采用AFTOX模型对</w:t>
      </w:r>
      <w:r>
        <w:rPr>
          <w:rFonts w:hint="default" w:ascii="Times New Roman" w:hAnsi="Times New Roman" w:eastAsia="宋体" w:cs="Times New Roman"/>
          <w:color w:val="auto"/>
          <w:sz w:val="24"/>
          <w:szCs w:val="24"/>
          <w:u w:val="none" w:color="auto"/>
          <w:lang w:eastAsia="zh-CN"/>
        </w:rPr>
        <w:t>甲烷</w:t>
      </w:r>
      <w:r>
        <w:rPr>
          <w:rFonts w:hint="default" w:ascii="Times New Roman" w:hAnsi="Times New Roman" w:eastAsia="宋体" w:cs="Times New Roman"/>
          <w:color w:val="auto"/>
          <w:sz w:val="24"/>
          <w:szCs w:val="24"/>
          <w:u w:val="none" w:color="auto"/>
        </w:rPr>
        <w:t>泄漏进行模拟，主要参数详见表5-1。</w:t>
      </w:r>
    </w:p>
    <w:p w14:paraId="0FD2F9BB">
      <w:pPr>
        <w:pStyle w:val="17"/>
        <w:numPr>
          <w:ilvl w:val="0"/>
          <w:numId w:val="13"/>
        </w:numPr>
        <w:wordWrap/>
        <w:topLinePunct w:val="0"/>
        <w:bidi w:val="0"/>
        <w:adjustRightInd/>
        <w:snapToGrid/>
        <w:spacing w:line="240" w:lineRule="auto"/>
        <w:jc w:val="center"/>
        <w:rPr>
          <w:rFonts w:hint="default" w:ascii="Times New Roman" w:hAnsi="Times New Roman" w:eastAsia="宋体" w:cs="Times New Roman"/>
          <w:b/>
          <w:color w:val="auto"/>
          <w:szCs w:val="24"/>
          <w:u w:val="none" w:color="auto"/>
        </w:rPr>
      </w:pPr>
      <w:r>
        <w:rPr>
          <w:rFonts w:hint="default" w:ascii="Times New Roman" w:hAnsi="Times New Roman" w:eastAsia="宋体" w:cs="Times New Roman"/>
          <w:b/>
          <w:color w:val="auto"/>
          <w:szCs w:val="24"/>
          <w:u w:val="none" w:color="auto"/>
        </w:rPr>
        <w:t>大气风险预测模型主要参数表</w:t>
      </w:r>
    </w:p>
    <w:tbl>
      <w:tblPr>
        <w:tblStyle w:val="31"/>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105"/>
        <w:gridCol w:w="2165"/>
        <w:gridCol w:w="4252"/>
      </w:tblGrid>
      <w:tr w14:paraId="76B6ABE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105" w:type="dxa"/>
            <w:tcBorders>
              <w:tl2br w:val="nil"/>
              <w:tr2bl w:val="nil"/>
            </w:tcBorders>
            <w:noWrap w:val="0"/>
            <w:vAlign w:val="center"/>
          </w:tcPr>
          <w:p w14:paraId="134709B6">
            <w:pPr>
              <w:jc w:val="center"/>
              <w:rPr>
                <w:rFonts w:hint="default" w:ascii="Times New Roman" w:hAnsi="Times New Roman" w:eastAsia="宋体" w:cs="Times New Roman"/>
                <w:b/>
                <w:bCs/>
                <w:color w:val="auto"/>
                <w:u w:val="none" w:color="auto"/>
              </w:rPr>
            </w:pPr>
            <w:r>
              <w:rPr>
                <w:rFonts w:hint="default" w:ascii="Times New Roman" w:hAnsi="Times New Roman" w:eastAsia="宋体" w:cs="Times New Roman"/>
                <w:b/>
                <w:bCs/>
                <w:color w:val="auto"/>
                <w:u w:val="none" w:color="auto"/>
              </w:rPr>
              <w:t>参数类型</w:t>
            </w:r>
          </w:p>
        </w:tc>
        <w:tc>
          <w:tcPr>
            <w:tcW w:w="2165" w:type="dxa"/>
            <w:tcBorders>
              <w:tl2br w:val="nil"/>
              <w:tr2bl w:val="nil"/>
            </w:tcBorders>
            <w:noWrap w:val="0"/>
            <w:vAlign w:val="center"/>
          </w:tcPr>
          <w:p w14:paraId="7557E08F">
            <w:pPr>
              <w:jc w:val="center"/>
              <w:rPr>
                <w:rFonts w:hint="default" w:ascii="Times New Roman" w:hAnsi="Times New Roman" w:eastAsia="宋体" w:cs="Times New Roman"/>
                <w:b/>
                <w:bCs/>
                <w:color w:val="auto"/>
                <w:u w:val="none" w:color="auto"/>
              </w:rPr>
            </w:pPr>
            <w:r>
              <w:rPr>
                <w:rFonts w:hint="default" w:ascii="Times New Roman" w:hAnsi="Times New Roman" w:eastAsia="宋体" w:cs="Times New Roman"/>
                <w:b/>
                <w:bCs/>
                <w:color w:val="auto"/>
                <w:u w:val="none" w:color="auto"/>
              </w:rPr>
              <w:t>选项</w:t>
            </w:r>
          </w:p>
        </w:tc>
        <w:tc>
          <w:tcPr>
            <w:tcW w:w="4252" w:type="dxa"/>
            <w:tcBorders>
              <w:tl2br w:val="nil"/>
              <w:tr2bl w:val="nil"/>
            </w:tcBorders>
            <w:noWrap w:val="0"/>
            <w:vAlign w:val="center"/>
          </w:tcPr>
          <w:p w14:paraId="64FB58B4">
            <w:pPr>
              <w:jc w:val="center"/>
              <w:rPr>
                <w:rFonts w:hint="default" w:ascii="Times New Roman" w:hAnsi="Times New Roman" w:eastAsia="宋体" w:cs="Times New Roman"/>
                <w:b/>
                <w:bCs/>
                <w:color w:val="auto"/>
                <w:u w:val="none" w:color="auto"/>
              </w:rPr>
            </w:pPr>
            <w:r>
              <w:rPr>
                <w:rFonts w:hint="default" w:ascii="Times New Roman" w:hAnsi="Times New Roman" w:eastAsia="宋体" w:cs="Times New Roman"/>
                <w:b/>
                <w:bCs/>
                <w:color w:val="auto"/>
                <w:u w:val="none" w:color="auto"/>
              </w:rPr>
              <w:t>参数</w:t>
            </w:r>
          </w:p>
        </w:tc>
      </w:tr>
      <w:tr w14:paraId="2626870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105" w:type="dxa"/>
            <w:vMerge w:val="restart"/>
            <w:tcBorders>
              <w:tl2br w:val="nil"/>
              <w:tr2bl w:val="nil"/>
            </w:tcBorders>
            <w:noWrap w:val="0"/>
            <w:vAlign w:val="center"/>
          </w:tcPr>
          <w:p w14:paraId="2A4C54D6">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基本情况</w:t>
            </w:r>
          </w:p>
        </w:tc>
        <w:tc>
          <w:tcPr>
            <w:tcW w:w="2165" w:type="dxa"/>
            <w:tcBorders>
              <w:tl2br w:val="nil"/>
              <w:tr2bl w:val="nil"/>
            </w:tcBorders>
            <w:noWrap w:val="0"/>
            <w:vAlign w:val="center"/>
          </w:tcPr>
          <w:p w14:paraId="26848CDE">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事故源经度/（°）</w:t>
            </w:r>
          </w:p>
        </w:tc>
        <w:tc>
          <w:tcPr>
            <w:tcW w:w="4252" w:type="dxa"/>
            <w:tcBorders>
              <w:tl2br w:val="nil"/>
              <w:tr2bl w:val="nil"/>
            </w:tcBorders>
            <w:noWrap w:val="0"/>
            <w:vAlign w:val="center"/>
          </w:tcPr>
          <w:p w14:paraId="12CEB8BA">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113.204699E</w:t>
            </w:r>
          </w:p>
        </w:tc>
      </w:tr>
      <w:tr w14:paraId="6EA09CA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105" w:type="dxa"/>
            <w:vMerge w:val="continue"/>
            <w:tcBorders>
              <w:tl2br w:val="nil"/>
              <w:tr2bl w:val="nil"/>
            </w:tcBorders>
            <w:noWrap w:val="0"/>
            <w:vAlign w:val="center"/>
          </w:tcPr>
          <w:p w14:paraId="61AE9953">
            <w:pPr>
              <w:jc w:val="center"/>
              <w:rPr>
                <w:rFonts w:hint="default" w:ascii="Times New Roman" w:hAnsi="Times New Roman" w:eastAsia="宋体" w:cs="Times New Roman"/>
                <w:color w:val="auto"/>
                <w:u w:val="none" w:color="auto"/>
              </w:rPr>
            </w:pPr>
          </w:p>
        </w:tc>
        <w:tc>
          <w:tcPr>
            <w:tcW w:w="2165" w:type="dxa"/>
            <w:tcBorders>
              <w:tl2br w:val="nil"/>
              <w:tr2bl w:val="nil"/>
            </w:tcBorders>
            <w:noWrap w:val="0"/>
            <w:vAlign w:val="center"/>
          </w:tcPr>
          <w:p w14:paraId="0BF08506">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事故源纬度/（°）</w:t>
            </w:r>
          </w:p>
        </w:tc>
        <w:tc>
          <w:tcPr>
            <w:tcW w:w="4252" w:type="dxa"/>
            <w:tcBorders>
              <w:tl2br w:val="nil"/>
              <w:tr2bl w:val="nil"/>
            </w:tcBorders>
            <w:noWrap w:val="0"/>
            <w:vAlign w:val="center"/>
          </w:tcPr>
          <w:p w14:paraId="6706DC54">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29.483705N</w:t>
            </w:r>
          </w:p>
        </w:tc>
      </w:tr>
      <w:tr w14:paraId="2EBFEBD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105" w:type="dxa"/>
            <w:vMerge w:val="continue"/>
            <w:tcBorders>
              <w:tl2br w:val="nil"/>
              <w:tr2bl w:val="nil"/>
            </w:tcBorders>
            <w:noWrap w:val="0"/>
            <w:vAlign w:val="center"/>
          </w:tcPr>
          <w:p w14:paraId="193892A7">
            <w:pPr>
              <w:jc w:val="center"/>
              <w:rPr>
                <w:rFonts w:hint="default" w:ascii="Times New Roman" w:hAnsi="Times New Roman" w:eastAsia="宋体" w:cs="Times New Roman"/>
                <w:color w:val="auto"/>
                <w:u w:val="none" w:color="auto"/>
              </w:rPr>
            </w:pPr>
          </w:p>
        </w:tc>
        <w:tc>
          <w:tcPr>
            <w:tcW w:w="2165" w:type="dxa"/>
            <w:tcBorders>
              <w:tl2br w:val="nil"/>
              <w:tr2bl w:val="nil"/>
            </w:tcBorders>
            <w:noWrap w:val="0"/>
            <w:vAlign w:val="center"/>
          </w:tcPr>
          <w:p w14:paraId="153A8B75">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事故源类型</w:t>
            </w:r>
          </w:p>
        </w:tc>
        <w:tc>
          <w:tcPr>
            <w:tcW w:w="4252" w:type="dxa"/>
            <w:tcBorders>
              <w:tl2br w:val="nil"/>
              <w:tr2bl w:val="nil"/>
            </w:tcBorders>
            <w:noWrap w:val="0"/>
            <w:vAlign w:val="center"/>
          </w:tcPr>
          <w:p w14:paraId="5B97058E">
            <w:pPr>
              <w:jc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rPr>
              <w:t>泄漏</w:t>
            </w:r>
            <w:r>
              <w:rPr>
                <w:rFonts w:hint="default" w:ascii="Times New Roman" w:hAnsi="Times New Roman" w:eastAsia="宋体" w:cs="Times New Roman"/>
                <w:color w:val="auto"/>
                <w:u w:val="none" w:color="auto"/>
                <w:lang w:eastAsia="zh-CN"/>
              </w:rPr>
              <w:t>、</w:t>
            </w:r>
            <w:r>
              <w:rPr>
                <w:rFonts w:hint="default" w:ascii="Times New Roman" w:hAnsi="Times New Roman" w:eastAsia="宋体" w:cs="Times New Roman"/>
                <w:color w:val="auto"/>
                <w:u w:val="none" w:color="auto"/>
                <w:lang w:val="en-US" w:eastAsia="zh-CN"/>
              </w:rPr>
              <w:t>火灾/爆炸</w:t>
            </w:r>
          </w:p>
        </w:tc>
      </w:tr>
      <w:tr w14:paraId="40A53A8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105" w:type="dxa"/>
            <w:vMerge w:val="restart"/>
            <w:tcBorders>
              <w:tl2br w:val="nil"/>
              <w:tr2bl w:val="nil"/>
            </w:tcBorders>
            <w:noWrap w:val="0"/>
            <w:vAlign w:val="center"/>
          </w:tcPr>
          <w:p w14:paraId="4D956691">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气象参数</w:t>
            </w:r>
          </w:p>
        </w:tc>
        <w:tc>
          <w:tcPr>
            <w:tcW w:w="2165" w:type="dxa"/>
            <w:tcBorders>
              <w:tl2br w:val="nil"/>
              <w:tr2bl w:val="nil"/>
            </w:tcBorders>
            <w:noWrap w:val="0"/>
            <w:vAlign w:val="center"/>
          </w:tcPr>
          <w:p w14:paraId="5D5C278A">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气象条件类型</w:t>
            </w:r>
          </w:p>
        </w:tc>
        <w:tc>
          <w:tcPr>
            <w:tcW w:w="4252" w:type="dxa"/>
            <w:tcBorders>
              <w:tl2br w:val="nil"/>
              <w:tr2bl w:val="nil"/>
            </w:tcBorders>
            <w:noWrap w:val="0"/>
            <w:vAlign w:val="center"/>
          </w:tcPr>
          <w:p w14:paraId="32EC36E2">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最不利气象</w:t>
            </w:r>
          </w:p>
        </w:tc>
      </w:tr>
      <w:tr w14:paraId="54EA1A4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105" w:type="dxa"/>
            <w:vMerge w:val="continue"/>
            <w:tcBorders>
              <w:tl2br w:val="nil"/>
              <w:tr2bl w:val="nil"/>
            </w:tcBorders>
            <w:noWrap w:val="0"/>
            <w:vAlign w:val="center"/>
          </w:tcPr>
          <w:p w14:paraId="08641747">
            <w:pPr>
              <w:jc w:val="center"/>
              <w:rPr>
                <w:rFonts w:hint="default" w:ascii="Times New Roman" w:hAnsi="Times New Roman" w:eastAsia="宋体" w:cs="Times New Roman"/>
                <w:color w:val="auto"/>
                <w:u w:val="none" w:color="auto"/>
              </w:rPr>
            </w:pPr>
          </w:p>
        </w:tc>
        <w:tc>
          <w:tcPr>
            <w:tcW w:w="2165" w:type="dxa"/>
            <w:tcBorders>
              <w:tl2br w:val="nil"/>
              <w:tr2bl w:val="nil"/>
            </w:tcBorders>
            <w:noWrap w:val="0"/>
            <w:vAlign w:val="center"/>
          </w:tcPr>
          <w:p w14:paraId="38EDE962">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风速/（m/s）</w:t>
            </w:r>
          </w:p>
        </w:tc>
        <w:tc>
          <w:tcPr>
            <w:tcW w:w="4252" w:type="dxa"/>
            <w:tcBorders>
              <w:tl2br w:val="nil"/>
              <w:tr2bl w:val="nil"/>
            </w:tcBorders>
            <w:noWrap w:val="0"/>
            <w:vAlign w:val="center"/>
          </w:tcPr>
          <w:p w14:paraId="63D48BE2">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1.5</w:t>
            </w:r>
          </w:p>
        </w:tc>
      </w:tr>
      <w:tr w14:paraId="0F5DCF8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105" w:type="dxa"/>
            <w:vMerge w:val="continue"/>
            <w:tcBorders>
              <w:tl2br w:val="nil"/>
              <w:tr2bl w:val="nil"/>
            </w:tcBorders>
            <w:noWrap w:val="0"/>
            <w:vAlign w:val="center"/>
          </w:tcPr>
          <w:p w14:paraId="423F7EA2">
            <w:pPr>
              <w:jc w:val="center"/>
              <w:rPr>
                <w:rFonts w:hint="default" w:ascii="Times New Roman" w:hAnsi="Times New Roman" w:eastAsia="宋体" w:cs="Times New Roman"/>
                <w:color w:val="auto"/>
                <w:u w:val="none" w:color="auto"/>
              </w:rPr>
            </w:pPr>
          </w:p>
        </w:tc>
        <w:tc>
          <w:tcPr>
            <w:tcW w:w="2165" w:type="dxa"/>
            <w:tcBorders>
              <w:tl2br w:val="nil"/>
              <w:tr2bl w:val="nil"/>
            </w:tcBorders>
            <w:noWrap w:val="0"/>
            <w:vAlign w:val="center"/>
          </w:tcPr>
          <w:p w14:paraId="312E45C9">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环境温度/℃</w:t>
            </w:r>
          </w:p>
        </w:tc>
        <w:tc>
          <w:tcPr>
            <w:tcW w:w="4252" w:type="dxa"/>
            <w:tcBorders>
              <w:tl2br w:val="nil"/>
              <w:tr2bl w:val="nil"/>
            </w:tcBorders>
            <w:noWrap w:val="0"/>
            <w:vAlign w:val="center"/>
          </w:tcPr>
          <w:p w14:paraId="24027479">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25</w:t>
            </w:r>
          </w:p>
        </w:tc>
      </w:tr>
      <w:tr w14:paraId="06480C3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105" w:type="dxa"/>
            <w:vMerge w:val="continue"/>
            <w:tcBorders>
              <w:tl2br w:val="nil"/>
              <w:tr2bl w:val="nil"/>
            </w:tcBorders>
            <w:noWrap w:val="0"/>
            <w:vAlign w:val="center"/>
          </w:tcPr>
          <w:p w14:paraId="5FF13645">
            <w:pPr>
              <w:jc w:val="center"/>
              <w:rPr>
                <w:rFonts w:hint="default" w:ascii="Times New Roman" w:hAnsi="Times New Roman" w:eastAsia="宋体" w:cs="Times New Roman"/>
                <w:color w:val="auto"/>
                <w:u w:val="none" w:color="auto"/>
              </w:rPr>
            </w:pPr>
          </w:p>
        </w:tc>
        <w:tc>
          <w:tcPr>
            <w:tcW w:w="2165" w:type="dxa"/>
            <w:tcBorders>
              <w:tl2br w:val="nil"/>
              <w:tr2bl w:val="nil"/>
            </w:tcBorders>
            <w:noWrap w:val="0"/>
            <w:vAlign w:val="center"/>
          </w:tcPr>
          <w:p w14:paraId="6ACED178">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相对湿度/%</w:t>
            </w:r>
          </w:p>
        </w:tc>
        <w:tc>
          <w:tcPr>
            <w:tcW w:w="4252" w:type="dxa"/>
            <w:tcBorders>
              <w:tl2br w:val="nil"/>
              <w:tr2bl w:val="nil"/>
            </w:tcBorders>
            <w:noWrap w:val="0"/>
            <w:vAlign w:val="center"/>
          </w:tcPr>
          <w:p w14:paraId="1372436D">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50</w:t>
            </w:r>
          </w:p>
        </w:tc>
      </w:tr>
      <w:tr w14:paraId="677B93E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105" w:type="dxa"/>
            <w:vMerge w:val="continue"/>
            <w:tcBorders>
              <w:tl2br w:val="nil"/>
              <w:tr2bl w:val="nil"/>
            </w:tcBorders>
            <w:noWrap w:val="0"/>
            <w:vAlign w:val="center"/>
          </w:tcPr>
          <w:p w14:paraId="30984ADF">
            <w:pPr>
              <w:jc w:val="center"/>
              <w:rPr>
                <w:rFonts w:hint="default" w:ascii="Times New Roman" w:hAnsi="Times New Roman" w:eastAsia="宋体" w:cs="Times New Roman"/>
                <w:color w:val="auto"/>
                <w:u w:val="none" w:color="auto"/>
              </w:rPr>
            </w:pPr>
          </w:p>
        </w:tc>
        <w:tc>
          <w:tcPr>
            <w:tcW w:w="2165" w:type="dxa"/>
            <w:tcBorders>
              <w:tl2br w:val="nil"/>
              <w:tr2bl w:val="nil"/>
            </w:tcBorders>
            <w:noWrap w:val="0"/>
            <w:vAlign w:val="center"/>
          </w:tcPr>
          <w:p w14:paraId="55777E6A">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稳定度</w:t>
            </w:r>
          </w:p>
        </w:tc>
        <w:tc>
          <w:tcPr>
            <w:tcW w:w="4252" w:type="dxa"/>
            <w:tcBorders>
              <w:tl2br w:val="nil"/>
              <w:tr2bl w:val="nil"/>
            </w:tcBorders>
            <w:noWrap w:val="0"/>
            <w:vAlign w:val="center"/>
          </w:tcPr>
          <w:p w14:paraId="4871A32D">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F</w:t>
            </w:r>
          </w:p>
        </w:tc>
      </w:tr>
      <w:tr w14:paraId="57128F6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105" w:type="dxa"/>
            <w:vMerge w:val="continue"/>
            <w:tcBorders>
              <w:tl2br w:val="nil"/>
              <w:tr2bl w:val="nil"/>
            </w:tcBorders>
            <w:noWrap w:val="0"/>
            <w:vAlign w:val="center"/>
          </w:tcPr>
          <w:p w14:paraId="11D2B7DC">
            <w:pPr>
              <w:jc w:val="center"/>
              <w:rPr>
                <w:rFonts w:hint="default" w:ascii="Times New Roman" w:hAnsi="Times New Roman" w:eastAsia="宋体" w:cs="Times New Roman"/>
                <w:color w:val="auto"/>
                <w:u w:val="none" w:color="auto"/>
              </w:rPr>
            </w:pPr>
          </w:p>
        </w:tc>
        <w:tc>
          <w:tcPr>
            <w:tcW w:w="2165" w:type="dxa"/>
            <w:tcBorders>
              <w:tl2br w:val="nil"/>
              <w:tr2bl w:val="nil"/>
            </w:tcBorders>
            <w:noWrap w:val="0"/>
            <w:vAlign w:val="center"/>
          </w:tcPr>
          <w:p w14:paraId="60E23B2A">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风向</w:t>
            </w:r>
          </w:p>
        </w:tc>
        <w:tc>
          <w:tcPr>
            <w:tcW w:w="4252" w:type="dxa"/>
            <w:tcBorders>
              <w:tl2br w:val="nil"/>
              <w:tr2bl w:val="nil"/>
            </w:tcBorders>
            <w:noWrap w:val="0"/>
            <w:vAlign w:val="center"/>
          </w:tcPr>
          <w:p w14:paraId="21078E34">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NE</w:t>
            </w:r>
          </w:p>
        </w:tc>
      </w:tr>
      <w:tr w14:paraId="120B60F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105" w:type="dxa"/>
            <w:vMerge w:val="restart"/>
            <w:tcBorders>
              <w:tl2br w:val="nil"/>
              <w:tr2bl w:val="nil"/>
            </w:tcBorders>
            <w:noWrap w:val="0"/>
            <w:vAlign w:val="center"/>
          </w:tcPr>
          <w:p w14:paraId="1E452E11">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其他参数</w:t>
            </w:r>
          </w:p>
        </w:tc>
        <w:tc>
          <w:tcPr>
            <w:tcW w:w="2165" w:type="dxa"/>
            <w:tcBorders>
              <w:tl2br w:val="nil"/>
              <w:tr2bl w:val="nil"/>
            </w:tcBorders>
            <w:noWrap w:val="0"/>
            <w:vAlign w:val="center"/>
          </w:tcPr>
          <w:p w14:paraId="055CB9F8">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地表粗糙度/m</w:t>
            </w:r>
          </w:p>
        </w:tc>
        <w:tc>
          <w:tcPr>
            <w:tcW w:w="4252" w:type="dxa"/>
            <w:tcBorders>
              <w:tl2br w:val="nil"/>
              <w:tr2bl w:val="nil"/>
            </w:tcBorders>
            <w:noWrap w:val="0"/>
            <w:vAlign w:val="center"/>
          </w:tcPr>
          <w:p w14:paraId="1D3D922C">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1.0</w:t>
            </w:r>
          </w:p>
        </w:tc>
      </w:tr>
      <w:tr w14:paraId="36407F8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105" w:type="dxa"/>
            <w:vMerge w:val="continue"/>
            <w:tcBorders>
              <w:tl2br w:val="nil"/>
              <w:tr2bl w:val="nil"/>
            </w:tcBorders>
            <w:noWrap w:val="0"/>
            <w:vAlign w:val="center"/>
          </w:tcPr>
          <w:p w14:paraId="565DD381">
            <w:pPr>
              <w:jc w:val="center"/>
              <w:rPr>
                <w:rFonts w:hint="default" w:ascii="Times New Roman" w:hAnsi="Times New Roman" w:eastAsia="宋体" w:cs="Times New Roman"/>
                <w:color w:val="auto"/>
                <w:u w:val="none" w:color="auto"/>
              </w:rPr>
            </w:pPr>
          </w:p>
        </w:tc>
        <w:tc>
          <w:tcPr>
            <w:tcW w:w="2165" w:type="dxa"/>
            <w:tcBorders>
              <w:tl2br w:val="nil"/>
              <w:tr2bl w:val="nil"/>
            </w:tcBorders>
            <w:noWrap w:val="0"/>
            <w:vAlign w:val="center"/>
          </w:tcPr>
          <w:p w14:paraId="104D4D17">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是否考虑地形</w:t>
            </w:r>
          </w:p>
        </w:tc>
        <w:tc>
          <w:tcPr>
            <w:tcW w:w="4252" w:type="dxa"/>
            <w:tcBorders>
              <w:tl2br w:val="nil"/>
              <w:tr2bl w:val="nil"/>
            </w:tcBorders>
            <w:noWrap w:val="0"/>
            <w:vAlign w:val="center"/>
          </w:tcPr>
          <w:p w14:paraId="28EBF8E3">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否</w:t>
            </w:r>
          </w:p>
        </w:tc>
      </w:tr>
      <w:tr w14:paraId="1C4C5A4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105" w:type="dxa"/>
            <w:vMerge w:val="continue"/>
            <w:tcBorders>
              <w:tl2br w:val="nil"/>
              <w:tr2bl w:val="nil"/>
            </w:tcBorders>
            <w:noWrap w:val="0"/>
            <w:vAlign w:val="center"/>
          </w:tcPr>
          <w:p w14:paraId="75A67E67">
            <w:pPr>
              <w:jc w:val="center"/>
              <w:rPr>
                <w:rFonts w:hint="default" w:ascii="Times New Roman" w:hAnsi="Times New Roman" w:eastAsia="宋体" w:cs="Times New Roman"/>
                <w:color w:val="auto"/>
                <w:u w:val="none" w:color="auto"/>
              </w:rPr>
            </w:pPr>
          </w:p>
        </w:tc>
        <w:tc>
          <w:tcPr>
            <w:tcW w:w="2165" w:type="dxa"/>
            <w:tcBorders>
              <w:tl2br w:val="nil"/>
              <w:tr2bl w:val="nil"/>
            </w:tcBorders>
            <w:noWrap w:val="0"/>
            <w:vAlign w:val="center"/>
          </w:tcPr>
          <w:p w14:paraId="535C2FB2">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地形数据精度/m</w:t>
            </w:r>
          </w:p>
        </w:tc>
        <w:tc>
          <w:tcPr>
            <w:tcW w:w="4252" w:type="dxa"/>
            <w:tcBorders>
              <w:tl2br w:val="nil"/>
              <w:tr2bl w:val="nil"/>
            </w:tcBorders>
            <w:noWrap w:val="0"/>
            <w:vAlign w:val="center"/>
          </w:tcPr>
          <w:p w14:paraId="6EF4A7A5">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90</w:t>
            </w:r>
          </w:p>
        </w:tc>
      </w:tr>
    </w:tbl>
    <w:p w14:paraId="7894C76A">
      <w:pPr>
        <w:pStyle w:val="105"/>
        <w:ind w:firstLine="482"/>
        <w:outlineLvl w:val="2"/>
        <w:rPr>
          <w:rFonts w:hint="default" w:ascii="Times New Roman" w:hAnsi="Times New Roman" w:eastAsia="宋体" w:cs="Times New Roman"/>
          <w:b/>
          <w:bCs/>
          <w:color w:val="auto"/>
          <w:u w:val="none" w:color="auto"/>
        </w:rPr>
      </w:pPr>
      <w:r>
        <w:rPr>
          <w:rFonts w:hint="default" w:ascii="Times New Roman" w:hAnsi="Times New Roman" w:eastAsia="宋体" w:cs="Times New Roman"/>
          <w:b/>
          <w:bCs/>
          <w:color w:val="auto"/>
          <w:u w:val="none" w:color="auto"/>
          <w:lang w:val="en-US" w:eastAsia="zh-CN"/>
        </w:rPr>
        <w:t>5.1.</w:t>
      </w:r>
      <w:r>
        <w:rPr>
          <w:rFonts w:hint="default" w:ascii="Times New Roman" w:hAnsi="Times New Roman" w:eastAsia="宋体" w:cs="Times New Roman"/>
          <w:b/>
          <w:bCs/>
          <w:color w:val="auto"/>
          <w:u w:val="none" w:color="auto"/>
        </w:rPr>
        <w:t>3天然气</w:t>
      </w:r>
      <w:r>
        <w:rPr>
          <w:rFonts w:hint="default" w:ascii="Times New Roman" w:hAnsi="Times New Roman" w:eastAsia="宋体" w:cs="Times New Roman"/>
          <w:b/>
          <w:bCs/>
          <w:color w:val="auto"/>
          <w:u w:val="none" w:color="auto"/>
          <w:lang w:eastAsia="zh-CN"/>
        </w:rPr>
        <w:t>（</w:t>
      </w:r>
      <w:r>
        <w:rPr>
          <w:rFonts w:hint="default" w:ascii="Times New Roman" w:hAnsi="Times New Roman" w:eastAsia="宋体" w:cs="Times New Roman"/>
          <w:b/>
          <w:bCs/>
          <w:color w:val="auto"/>
          <w:u w:val="none" w:color="auto"/>
          <w:lang w:val="en-US" w:eastAsia="zh-CN"/>
        </w:rPr>
        <w:t>以甲烷表征</w:t>
      </w:r>
      <w:r>
        <w:rPr>
          <w:rFonts w:hint="default" w:ascii="Times New Roman" w:hAnsi="Times New Roman" w:eastAsia="宋体" w:cs="Times New Roman"/>
          <w:b/>
          <w:bCs/>
          <w:color w:val="auto"/>
          <w:u w:val="none" w:color="auto"/>
          <w:lang w:eastAsia="zh-CN"/>
        </w:rPr>
        <w:t>）</w:t>
      </w:r>
      <w:r>
        <w:rPr>
          <w:rFonts w:hint="default" w:ascii="Times New Roman" w:hAnsi="Times New Roman" w:eastAsia="宋体" w:cs="Times New Roman"/>
          <w:b/>
          <w:bCs/>
          <w:color w:val="auto"/>
          <w:u w:val="none" w:color="auto"/>
        </w:rPr>
        <w:t>泄漏预测结果与评价</w:t>
      </w:r>
    </w:p>
    <w:p w14:paraId="578809A5">
      <w:pPr>
        <w:spacing w:line="360" w:lineRule="auto"/>
        <w:ind w:firstLine="480"/>
        <w:rPr>
          <w:rFonts w:hint="default" w:ascii="Times New Roman" w:hAnsi="Times New Roman" w:eastAsia="宋体" w:cs="Times New Roman"/>
          <w:color w:val="auto"/>
          <w:sz w:val="24"/>
          <w:szCs w:val="24"/>
          <w:u w:val="none" w:color="auto"/>
          <w:lang w:val="en-US" w:eastAsia="zh-CN"/>
        </w:rPr>
      </w:pPr>
      <w:r>
        <w:rPr>
          <w:rFonts w:hint="default" w:ascii="Times New Roman" w:hAnsi="Times New Roman" w:eastAsia="宋体" w:cs="Times New Roman"/>
          <w:color w:val="auto"/>
          <w:sz w:val="24"/>
          <w:szCs w:val="24"/>
          <w:u w:val="none" w:color="auto"/>
          <w:lang w:eastAsia="zh-CN"/>
        </w:rPr>
        <w:t>（</w:t>
      </w:r>
      <w:r>
        <w:rPr>
          <w:rFonts w:hint="default" w:ascii="Times New Roman" w:hAnsi="Times New Roman" w:eastAsia="宋体" w:cs="Times New Roman"/>
          <w:color w:val="auto"/>
          <w:sz w:val="24"/>
          <w:szCs w:val="24"/>
          <w:u w:val="none" w:color="auto"/>
          <w:lang w:val="en-US" w:eastAsia="zh-CN"/>
        </w:rPr>
        <w:t>1</w:t>
      </w:r>
      <w:r>
        <w:rPr>
          <w:rFonts w:hint="default" w:ascii="Times New Roman" w:hAnsi="Times New Roman" w:eastAsia="宋体" w:cs="Times New Roman"/>
          <w:color w:val="auto"/>
          <w:sz w:val="24"/>
          <w:szCs w:val="24"/>
          <w:u w:val="none" w:color="auto"/>
          <w:lang w:eastAsia="zh-CN"/>
        </w:rPr>
        <w:t>）</w:t>
      </w:r>
      <w:r>
        <w:rPr>
          <w:rFonts w:hint="default" w:ascii="Times New Roman" w:hAnsi="Times New Roman" w:eastAsia="宋体" w:cs="Times New Roman"/>
          <w:color w:val="auto"/>
          <w:sz w:val="24"/>
          <w:szCs w:val="24"/>
          <w:u w:val="none" w:color="auto"/>
          <w:lang w:val="en-US" w:eastAsia="zh-CN"/>
        </w:rPr>
        <w:t>泄漏事故</w:t>
      </w:r>
    </w:p>
    <w:p w14:paraId="2DA962FB">
      <w:pPr>
        <w:spacing w:line="360" w:lineRule="auto"/>
        <w:ind w:firstLine="480"/>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本项目</w:t>
      </w:r>
      <w:r>
        <w:rPr>
          <w:rFonts w:hint="default" w:ascii="Times New Roman" w:hAnsi="Times New Roman" w:eastAsia="宋体" w:cs="Times New Roman"/>
          <w:color w:val="auto"/>
          <w:sz w:val="24"/>
          <w:szCs w:val="24"/>
          <w:u w:val="none" w:color="auto"/>
          <w:lang w:eastAsia="zh-CN"/>
        </w:rPr>
        <w:t>天然气管道</w:t>
      </w:r>
      <w:r>
        <w:rPr>
          <w:rFonts w:hint="default" w:ascii="Times New Roman" w:hAnsi="Times New Roman" w:eastAsia="宋体" w:cs="Times New Roman"/>
          <w:color w:val="auto"/>
          <w:sz w:val="24"/>
          <w:szCs w:val="24"/>
          <w:u w:val="none" w:color="auto"/>
        </w:rPr>
        <w:t>泄漏后</w:t>
      </w:r>
      <w:r>
        <w:rPr>
          <w:rFonts w:hint="default" w:ascii="Times New Roman" w:hAnsi="Times New Roman" w:eastAsia="宋体" w:cs="Times New Roman"/>
          <w:color w:val="auto"/>
          <w:sz w:val="24"/>
          <w:szCs w:val="24"/>
          <w:u w:val="none" w:color="auto"/>
          <w:lang w:eastAsia="zh-CN"/>
        </w:rPr>
        <w:t>天然气（以甲烷表征）</w:t>
      </w:r>
      <w:r>
        <w:rPr>
          <w:rFonts w:hint="default" w:ascii="Times New Roman" w:hAnsi="Times New Roman" w:eastAsia="宋体" w:cs="Times New Roman"/>
          <w:color w:val="auto"/>
          <w:sz w:val="24"/>
          <w:szCs w:val="24"/>
          <w:u w:val="none" w:color="auto"/>
        </w:rPr>
        <w:t>排放预测结果详见表5-2，主要反映在最不利气象条件下下风向不同距离处</w:t>
      </w:r>
      <w:r>
        <w:rPr>
          <w:rFonts w:hint="default" w:ascii="Times New Roman" w:hAnsi="Times New Roman" w:eastAsia="宋体" w:cs="Times New Roman"/>
          <w:color w:val="auto"/>
          <w:sz w:val="24"/>
          <w:szCs w:val="24"/>
          <w:u w:val="none" w:color="auto"/>
          <w:lang w:eastAsia="zh-CN"/>
        </w:rPr>
        <w:t>甲烷</w:t>
      </w:r>
      <w:r>
        <w:rPr>
          <w:rFonts w:hint="default" w:ascii="Times New Roman" w:hAnsi="Times New Roman" w:eastAsia="宋体" w:cs="Times New Roman"/>
          <w:color w:val="auto"/>
          <w:sz w:val="24"/>
          <w:szCs w:val="24"/>
          <w:u w:val="none" w:color="auto"/>
        </w:rPr>
        <w:t>的最大浓度；</w:t>
      </w:r>
      <w:r>
        <w:rPr>
          <w:rFonts w:hint="default" w:ascii="Times New Roman" w:hAnsi="Times New Roman" w:eastAsia="宋体" w:cs="Times New Roman"/>
          <w:color w:val="auto"/>
          <w:sz w:val="24"/>
          <w:szCs w:val="24"/>
          <w:u w:val="none" w:color="auto"/>
          <w:lang w:eastAsia="zh-CN"/>
        </w:rPr>
        <w:t>甲烷</w:t>
      </w:r>
      <w:r>
        <w:rPr>
          <w:rFonts w:hint="default" w:ascii="Times New Roman" w:hAnsi="Times New Roman" w:eastAsia="宋体" w:cs="Times New Roman"/>
          <w:color w:val="auto"/>
          <w:sz w:val="24"/>
          <w:szCs w:val="24"/>
          <w:u w:val="none" w:color="auto"/>
        </w:rPr>
        <w:t>预测浓度达到不同毒性终点浓度的最大影响范围。</w:t>
      </w:r>
    </w:p>
    <w:p w14:paraId="0E89B57E">
      <w:pPr>
        <w:pStyle w:val="17"/>
        <w:numPr>
          <w:ilvl w:val="0"/>
          <w:numId w:val="13"/>
        </w:numPr>
        <w:wordWrap/>
        <w:topLinePunct w:val="0"/>
        <w:bidi w:val="0"/>
        <w:adjustRightInd/>
        <w:snapToGrid/>
        <w:spacing w:line="240" w:lineRule="auto"/>
        <w:jc w:val="center"/>
        <w:rPr>
          <w:rFonts w:hint="default" w:ascii="Times New Roman" w:hAnsi="Times New Roman" w:eastAsia="宋体" w:cs="Times New Roman"/>
          <w:b/>
          <w:color w:val="auto"/>
          <w:szCs w:val="16"/>
          <w:u w:val="none" w:color="auto"/>
          <w:lang w:val="zh-TW"/>
        </w:rPr>
      </w:pPr>
      <w:r>
        <w:rPr>
          <w:rFonts w:hint="default" w:ascii="Times New Roman" w:hAnsi="Times New Roman" w:eastAsia="宋体" w:cs="Times New Roman"/>
          <w:b/>
          <w:color w:val="auto"/>
          <w:szCs w:val="16"/>
          <w:u w:val="none" w:color="auto"/>
          <w:lang w:val="zh-TW"/>
        </w:rPr>
        <w:t>事故源项及事故后果基本信息表（最不利气象条件）</w:t>
      </w:r>
    </w:p>
    <w:tbl>
      <w:tblPr>
        <w:tblStyle w:val="31"/>
        <w:tblW w:w="5336"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1655"/>
        <w:gridCol w:w="1045"/>
        <w:gridCol w:w="436"/>
        <w:gridCol w:w="1458"/>
        <w:gridCol w:w="195"/>
        <w:gridCol w:w="1261"/>
        <w:gridCol w:w="309"/>
        <w:gridCol w:w="1305"/>
        <w:gridCol w:w="314"/>
        <w:gridCol w:w="1492"/>
      </w:tblGrid>
      <w:tr w14:paraId="60CCC89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000" w:type="pct"/>
            <w:gridSpan w:val="10"/>
            <w:tcBorders>
              <w:tl2br w:val="nil"/>
              <w:tr2bl w:val="nil"/>
            </w:tcBorders>
            <w:noWrap w:val="0"/>
            <w:vAlign w:val="center"/>
          </w:tcPr>
          <w:p w14:paraId="6F3EFC09">
            <w:pPr>
              <w:pStyle w:val="111"/>
              <w:spacing w:before="0"/>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风险事故情形分析</w:t>
            </w:r>
          </w:p>
        </w:tc>
      </w:tr>
      <w:tr w14:paraId="6797225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74" w:type="pct"/>
            <w:tcBorders>
              <w:tl2br w:val="nil"/>
              <w:tr2bl w:val="nil"/>
            </w:tcBorders>
            <w:noWrap w:val="0"/>
            <w:vAlign w:val="center"/>
          </w:tcPr>
          <w:p w14:paraId="6CBC48BB">
            <w:pPr>
              <w:pStyle w:val="111"/>
              <w:spacing w:before="0"/>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代表性风险事故情形描述</w:t>
            </w:r>
          </w:p>
        </w:tc>
        <w:tc>
          <w:tcPr>
            <w:tcW w:w="4125" w:type="pct"/>
            <w:gridSpan w:val="9"/>
            <w:tcBorders>
              <w:tl2br w:val="nil"/>
              <w:tr2bl w:val="nil"/>
            </w:tcBorders>
            <w:noWrap w:val="0"/>
            <w:vAlign w:val="center"/>
          </w:tcPr>
          <w:p w14:paraId="3F77CD1B">
            <w:pPr>
              <w:pStyle w:val="111"/>
              <w:spacing w:before="0"/>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eastAsia="zh-CN"/>
              </w:rPr>
              <w:t>天然气管道</w:t>
            </w:r>
            <w:r>
              <w:rPr>
                <w:rFonts w:hint="default" w:ascii="Times New Roman" w:hAnsi="Times New Roman" w:eastAsia="宋体" w:cs="Times New Roman"/>
                <w:color w:val="auto"/>
                <w:u w:val="none" w:color="auto"/>
              </w:rPr>
              <w:t>泄漏后</w:t>
            </w:r>
            <w:r>
              <w:rPr>
                <w:rFonts w:hint="default" w:ascii="Times New Roman" w:hAnsi="Times New Roman" w:eastAsia="宋体" w:cs="Times New Roman"/>
                <w:color w:val="auto"/>
                <w:u w:val="none" w:color="auto"/>
                <w:lang w:eastAsia="zh-CN"/>
              </w:rPr>
              <w:t>天然气（以甲烷表征）</w:t>
            </w:r>
            <w:r>
              <w:rPr>
                <w:rFonts w:hint="default" w:ascii="Times New Roman" w:hAnsi="Times New Roman" w:eastAsia="宋体" w:cs="Times New Roman"/>
                <w:color w:val="auto"/>
                <w:u w:val="none" w:color="auto"/>
              </w:rPr>
              <w:t>排放</w:t>
            </w:r>
          </w:p>
        </w:tc>
      </w:tr>
      <w:tr w14:paraId="003DA3B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74" w:type="pct"/>
            <w:tcBorders>
              <w:tl2br w:val="nil"/>
              <w:tr2bl w:val="nil"/>
            </w:tcBorders>
            <w:noWrap w:val="0"/>
            <w:vAlign w:val="center"/>
          </w:tcPr>
          <w:p w14:paraId="3A2718DE">
            <w:pPr>
              <w:pStyle w:val="111"/>
              <w:spacing w:before="0"/>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环境风险类型</w:t>
            </w:r>
          </w:p>
        </w:tc>
        <w:tc>
          <w:tcPr>
            <w:tcW w:w="4125" w:type="pct"/>
            <w:gridSpan w:val="9"/>
            <w:tcBorders>
              <w:tl2br w:val="nil"/>
              <w:tr2bl w:val="nil"/>
            </w:tcBorders>
            <w:noWrap w:val="0"/>
            <w:vAlign w:val="center"/>
          </w:tcPr>
          <w:p w14:paraId="1569F14F">
            <w:pPr>
              <w:pStyle w:val="111"/>
              <w:spacing w:before="0"/>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大气</w:t>
            </w:r>
          </w:p>
        </w:tc>
      </w:tr>
      <w:tr w14:paraId="7742ECA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74" w:type="pct"/>
            <w:tcBorders>
              <w:tl2br w:val="nil"/>
              <w:tr2bl w:val="nil"/>
            </w:tcBorders>
            <w:noWrap w:val="0"/>
            <w:vAlign w:val="center"/>
          </w:tcPr>
          <w:p w14:paraId="1955CB03">
            <w:pPr>
              <w:pStyle w:val="111"/>
              <w:spacing w:before="0"/>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泄漏设备类型</w:t>
            </w:r>
          </w:p>
        </w:tc>
        <w:tc>
          <w:tcPr>
            <w:tcW w:w="782" w:type="pct"/>
            <w:gridSpan w:val="2"/>
            <w:tcBorders>
              <w:tl2br w:val="nil"/>
              <w:tr2bl w:val="nil"/>
            </w:tcBorders>
            <w:noWrap w:val="0"/>
            <w:vAlign w:val="center"/>
          </w:tcPr>
          <w:p w14:paraId="3F6B4E4B">
            <w:pPr>
              <w:pStyle w:val="111"/>
              <w:spacing w:before="0"/>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val="en-US" w:eastAsia="zh-CN"/>
              </w:rPr>
              <w:t>内径75mm的管道</w:t>
            </w:r>
          </w:p>
        </w:tc>
        <w:tc>
          <w:tcPr>
            <w:tcW w:w="873" w:type="pct"/>
            <w:gridSpan w:val="2"/>
            <w:tcBorders>
              <w:tl2br w:val="nil"/>
              <w:tr2bl w:val="nil"/>
            </w:tcBorders>
            <w:noWrap w:val="0"/>
            <w:vAlign w:val="center"/>
          </w:tcPr>
          <w:p w14:paraId="303BA1A2">
            <w:pPr>
              <w:pStyle w:val="111"/>
              <w:spacing w:before="0"/>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操作温度/℃</w:t>
            </w:r>
          </w:p>
        </w:tc>
        <w:tc>
          <w:tcPr>
            <w:tcW w:w="829" w:type="pct"/>
            <w:gridSpan w:val="2"/>
            <w:tcBorders>
              <w:tl2br w:val="nil"/>
              <w:tr2bl w:val="nil"/>
            </w:tcBorders>
            <w:noWrap w:val="0"/>
            <w:vAlign w:val="center"/>
          </w:tcPr>
          <w:p w14:paraId="676976FF">
            <w:pPr>
              <w:pStyle w:val="111"/>
              <w:spacing w:before="0"/>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15</w:t>
            </w:r>
          </w:p>
        </w:tc>
        <w:tc>
          <w:tcPr>
            <w:tcW w:w="855" w:type="pct"/>
            <w:gridSpan w:val="2"/>
            <w:tcBorders>
              <w:tl2br w:val="nil"/>
              <w:tr2bl w:val="nil"/>
            </w:tcBorders>
            <w:noWrap w:val="0"/>
            <w:vAlign w:val="center"/>
          </w:tcPr>
          <w:p w14:paraId="0A3C6899">
            <w:pPr>
              <w:pStyle w:val="111"/>
              <w:spacing w:before="0"/>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操作压力/MPa</w:t>
            </w:r>
          </w:p>
        </w:tc>
        <w:tc>
          <w:tcPr>
            <w:tcW w:w="786" w:type="pct"/>
            <w:tcBorders>
              <w:tl2br w:val="nil"/>
              <w:tr2bl w:val="nil"/>
            </w:tcBorders>
            <w:noWrap w:val="0"/>
            <w:vAlign w:val="center"/>
          </w:tcPr>
          <w:p w14:paraId="59B54077">
            <w:pPr>
              <w:pStyle w:val="111"/>
              <w:spacing w:before="0"/>
              <w:rPr>
                <w:rFonts w:hint="default" w:ascii="Times New Roman" w:hAnsi="Times New Roman" w:eastAsia="宋体" w:cs="Times New Roman"/>
                <w:color w:val="auto"/>
                <w:u w:val="none" w:color="auto"/>
                <w:lang w:eastAsia="zh-CN"/>
              </w:rPr>
            </w:pPr>
            <w:r>
              <w:rPr>
                <w:rFonts w:hint="default" w:ascii="Times New Roman" w:hAnsi="Times New Roman" w:eastAsia="宋体" w:cs="Times New Roman"/>
                <w:color w:val="auto"/>
                <w:u w:val="none" w:color="auto"/>
                <w:lang w:val="en-US" w:eastAsia="zh-CN"/>
              </w:rPr>
              <w:t>1</w:t>
            </w:r>
          </w:p>
        </w:tc>
      </w:tr>
      <w:tr w14:paraId="0412817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74" w:type="pct"/>
            <w:tcBorders>
              <w:tl2br w:val="nil"/>
              <w:tr2bl w:val="nil"/>
            </w:tcBorders>
            <w:noWrap w:val="0"/>
            <w:vAlign w:val="center"/>
          </w:tcPr>
          <w:p w14:paraId="08E5F112">
            <w:pPr>
              <w:pStyle w:val="111"/>
              <w:spacing w:before="0"/>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泄漏危险物质</w:t>
            </w:r>
          </w:p>
        </w:tc>
        <w:tc>
          <w:tcPr>
            <w:tcW w:w="782" w:type="pct"/>
            <w:gridSpan w:val="2"/>
            <w:tcBorders>
              <w:tl2br w:val="nil"/>
              <w:tr2bl w:val="nil"/>
            </w:tcBorders>
            <w:noWrap w:val="0"/>
            <w:vAlign w:val="center"/>
          </w:tcPr>
          <w:p w14:paraId="7A940E62">
            <w:pPr>
              <w:pStyle w:val="111"/>
              <w:spacing w:before="0"/>
              <w:rPr>
                <w:rFonts w:hint="default" w:ascii="Times New Roman" w:hAnsi="Times New Roman" w:eastAsia="宋体" w:cs="Times New Roman"/>
                <w:color w:val="auto"/>
                <w:u w:val="none" w:color="auto"/>
                <w:lang w:eastAsia="zh-CN"/>
              </w:rPr>
            </w:pPr>
            <w:r>
              <w:rPr>
                <w:rFonts w:hint="default" w:ascii="Times New Roman" w:hAnsi="Times New Roman" w:eastAsia="宋体" w:cs="Times New Roman"/>
                <w:color w:val="auto"/>
                <w:u w:val="none" w:color="auto"/>
                <w:lang w:eastAsia="zh-CN"/>
              </w:rPr>
              <w:t>天然气（以甲烷表征</w:t>
            </w:r>
          </w:p>
        </w:tc>
        <w:tc>
          <w:tcPr>
            <w:tcW w:w="873" w:type="pct"/>
            <w:gridSpan w:val="2"/>
            <w:tcBorders>
              <w:tl2br w:val="nil"/>
              <w:tr2bl w:val="nil"/>
            </w:tcBorders>
            <w:noWrap w:val="0"/>
            <w:vAlign w:val="center"/>
          </w:tcPr>
          <w:p w14:paraId="6F1B6A21">
            <w:pPr>
              <w:pStyle w:val="111"/>
              <w:spacing w:before="0"/>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最大存在量/kg</w:t>
            </w:r>
          </w:p>
        </w:tc>
        <w:tc>
          <w:tcPr>
            <w:tcW w:w="829" w:type="pct"/>
            <w:gridSpan w:val="2"/>
            <w:tcBorders>
              <w:tl2br w:val="nil"/>
              <w:tr2bl w:val="nil"/>
            </w:tcBorders>
            <w:noWrap w:val="0"/>
            <w:vAlign w:val="center"/>
          </w:tcPr>
          <w:p w14:paraId="773154F4">
            <w:pPr>
              <w:pStyle w:val="111"/>
              <w:spacing w:before="0"/>
              <w:rPr>
                <w:rFonts w:hint="default" w:ascii="Times New Roman" w:hAnsi="Times New Roman" w:eastAsia="宋体" w:cs="Times New Roman"/>
                <w:color w:val="auto"/>
                <w:u w:val="none" w:color="auto"/>
                <w:lang w:eastAsia="zh-CN"/>
              </w:rPr>
            </w:pPr>
            <w:r>
              <w:rPr>
                <w:rFonts w:hint="default" w:ascii="Times New Roman" w:hAnsi="Times New Roman" w:eastAsia="宋体" w:cs="Times New Roman"/>
                <w:color w:val="auto"/>
                <w:u w:val="none" w:color="auto"/>
                <w:lang w:val="en-US" w:eastAsia="zh-CN"/>
              </w:rPr>
              <w:t>/</w:t>
            </w:r>
          </w:p>
        </w:tc>
        <w:tc>
          <w:tcPr>
            <w:tcW w:w="855" w:type="pct"/>
            <w:gridSpan w:val="2"/>
            <w:tcBorders>
              <w:tl2br w:val="nil"/>
              <w:tr2bl w:val="nil"/>
            </w:tcBorders>
            <w:noWrap w:val="0"/>
            <w:vAlign w:val="center"/>
          </w:tcPr>
          <w:p w14:paraId="5EA700CB">
            <w:pPr>
              <w:pStyle w:val="111"/>
              <w:spacing w:before="0"/>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泄漏孔径/mm</w:t>
            </w:r>
          </w:p>
        </w:tc>
        <w:tc>
          <w:tcPr>
            <w:tcW w:w="786" w:type="pct"/>
            <w:tcBorders>
              <w:tl2br w:val="nil"/>
              <w:tr2bl w:val="nil"/>
            </w:tcBorders>
            <w:noWrap w:val="0"/>
            <w:vAlign w:val="center"/>
          </w:tcPr>
          <w:p w14:paraId="4562D941">
            <w:pPr>
              <w:pStyle w:val="111"/>
              <w:spacing w:before="0"/>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泄漏孔径为10</w:t>
            </w:r>
            <w:r>
              <w:rPr>
                <w:rFonts w:hint="default" w:ascii="Times New Roman" w:hAnsi="Times New Roman" w:eastAsia="宋体" w:cs="Times New Roman"/>
                <w:color w:val="auto"/>
                <w:u w:val="none" w:color="auto"/>
                <w:lang w:val="en-US" w:eastAsia="zh-CN"/>
              </w:rPr>
              <w:t>%孔径</w:t>
            </w:r>
          </w:p>
        </w:tc>
      </w:tr>
      <w:tr w14:paraId="1E16257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74" w:type="pct"/>
            <w:tcBorders>
              <w:tl2br w:val="nil"/>
              <w:tr2bl w:val="nil"/>
            </w:tcBorders>
            <w:noWrap w:val="0"/>
            <w:vAlign w:val="center"/>
          </w:tcPr>
          <w:p w14:paraId="64EA0A16">
            <w:pPr>
              <w:pStyle w:val="111"/>
              <w:spacing w:before="0"/>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泄漏速率/（kg/s）</w:t>
            </w:r>
          </w:p>
        </w:tc>
        <w:tc>
          <w:tcPr>
            <w:tcW w:w="782" w:type="pct"/>
            <w:gridSpan w:val="2"/>
            <w:tcBorders>
              <w:tl2br w:val="nil"/>
              <w:tr2bl w:val="nil"/>
            </w:tcBorders>
            <w:noWrap w:val="0"/>
            <w:vAlign w:val="center"/>
          </w:tcPr>
          <w:p w14:paraId="61621801">
            <w:pPr>
              <w:pStyle w:val="111"/>
              <w:spacing w:before="0"/>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val="en-US" w:eastAsia="zh-CN"/>
              </w:rPr>
              <w:t>9.672</w:t>
            </w:r>
          </w:p>
        </w:tc>
        <w:tc>
          <w:tcPr>
            <w:tcW w:w="873" w:type="pct"/>
            <w:gridSpan w:val="2"/>
            <w:tcBorders>
              <w:tl2br w:val="nil"/>
              <w:tr2bl w:val="nil"/>
            </w:tcBorders>
            <w:noWrap w:val="0"/>
            <w:vAlign w:val="center"/>
          </w:tcPr>
          <w:p w14:paraId="08CECE6E">
            <w:pPr>
              <w:pStyle w:val="111"/>
              <w:spacing w:before="0"/>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泄漏时间/min</w:t>
            </w:r>
          </w:p>
        </w:tc>
        <w:tc>
          <w:tcPr>
            <w:tcW w:w="829" w:type="pct"/>
            <w:gridSpan w:val="2"/>
            <w:tcBorders>
              <w:tl2br w:val="nil"/>
              <w:tr2bl w:val="nil"/>
            </w:tcBorders>
            <w:noWrap w:val="0"/>
            <w:vAlign w:val="center"/>
          </w:tcPr>
          <w:p w14:paraId="7014DDBF">
            <w:pPr>
              <w:pStyle w:val="111"/>
              <w:spacing w:before="0"/>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10</w:t>
            </w:r>
          </w:p>
        </w:tc>
        <w:tc>
          <w:tcPr>
            <w:tcW w:w="855" w:type="pct"/>
            <w:gridSpan w:val="2"/>
            <w:tcBorders>
              <w:tl2br w:val="nil"/>
              <w:tr2bl w:val="nil"/>
            </w:tcBorders>
            <w:noWrap w:val="0"/>
            <w:vAlign w:val="center"/>
          </w:tcPr>
          <w:p w14:paraId="3F1F2DD0">
            <w:pPr>
              <w:pStyle w:val="111"/>
              <w:spacing w:before="0"/>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泄漏量/kg</w:t>
            </w:r>
          </w:p>
        </w:tc>
        <w:tc>
          <w:tcPr>
            <w:tcW w:w="786" w:type="pct"/>
            <w:tcBorders>
              <w:tl2br w:val="nil"/>
              <w:tr2bl w:val="nil"/>
            </w:tcBorders>
            <w:noWrap w:val="0"/>
            <w:vAlign w:val="center"/>
          </w:tcPr>
          <w:p w14:paraId="67353E1F">
            <w:pPr>
              <w:pStyle w:val="111"/>
              <w:spacing w:before="0"/>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val="en-US" w:eastAsia="zh-CN"/>
              </w:rPr>
              <w:t>5803.2</w:t>
            </w:r>
          </w:p>
        </w:tc>
      </w:tr>
      <w:tr w14:paraId="7C0FCE5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74" w:type="pct"/>
            <w:tcBorders>
              <w:tl2br w:val="nil"/>
              <w:tr2bl w:val="nil"/>
            </w:tcBorders>
            <w:noWrap w:val="0"/>
            <w:vAlign w:val="center"/>
          </w:tcPr>
          <w:p w14:paraId="55FE5E0C">
            <w:pPr>
              <w:pStyle w:val="111"/>
              <w:spacing w:before="0"/>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泄漏高度/m</w:t>
            </w:r>
          </w:p>
        </w:tc>
        <w:tc>
          <w:tcPr>
            <w:tcW w:w="782" w:type="pct"/>
            <w:gridSpan w:val="2"/>
            <w:tcBorders>
              <w:tl2br w:val="nil"/>
              <w:tr2bl w:val="nil"/>
            </w:tcBorders>
            <w:noWrap w:val="0"/>
            <w:vAlign w:val="center"/>
          </w:tcPr>
          <w:p w14:paraId="47A6E122">
            <w:pPr>
              <w:pStyle w:val="111"/>
              <w:spacing w:before="0"/>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rPr>
              <w:t>1</w:t>
            </w:r>
            <w:r>
              <w:rPr>
                <w:rFonts w:hint="default" w:ascii="Times New Roman" w:hAnsi="Times New Roman" w:eastAsia="宋体" w:cs="Times New Roman"/>
                <w:color w:val="auto"/>
                <w:u w:val="none" w:color="auto"/>
                <w:lang w:val="en-US" w:eastAsia="zh-CN"/>
              </w:rPr>
              <w:t>.5</w:t>
            </w:r>
          </w:p>
        </w:tc>
        <w:tc>
          <w:tcPr>
            <w:tcW w:w="873" w:type="pct"/>
            <w:gridSpan w:val="2"/>
            <w:tcBorders>
              <w:tl2br w:val="nil"/>
              <w:tr2bl w:val="nil"/>
            </w:tcBorders>
            <w:noWrap w:val="0"/>
            <w:vAlign w:val="center"/>
          </w:tcPr>
          <w:p w14:paraId="7421CB56">
            <w:pPr>
              <w:pStyle w:val="111"/>
              <w:spacing w:before="0"/>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泄漏液体蒸发量/kg</w:t>
            </w:r>
          </w:p>
        </w:tc>
        <w:tc>
          <w:tcPr>
            <w:tcW w:w="829" w:type="pct"/>
            <w:gridSpan w:val="2"/>
            <w:tcBorders>
              <w:tl2br w:val="nil"/>
              <w:tr2bl w:val="nil"/>
            </w:tcBorders>
            <w:noWrap w:val="0"/>
            <w:vAlign w:val="center"/>
          </w:tcPr>
          <w:p w14:paraId="17F7DAD1">
            <w:pPr>
              <w:pStyle w:val="111"/>
              <w:spacing w:before="0"/>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val="en-US" w:eastAsia="zh-CN"/>
              </w:rPr>
              <w:t>/</w:t>
            </w:r>
          </w:p>
        </w:tc>
        <w:tc>
          <w:tcPr>
            <w:tcW w:w="855" w:type="pct"/>
            <w:gridSpan w:val="2"/>
            <w:tcBorders>
              <w:tl2br w:val="nil"/>
              <w:tr2bl w:val="nil"/>
            </w:tcBorders>
            <w:noWrap w:val="0"/>
            <w:vAlign w:val="center"/>
          </w:tcPr>
          <w:p w14:paraId="48DF2CED">
            <w:pPr>
              <w:pStyle w:val="111"/>
              <w:spacing w:before="0"/>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泄漏频率</w:t>
            </w:r>
          </w:p>
        </w:tc>
        <w:tc>
          <w:tcPr>
            <w:tcW w:w="1492" w:type="dxa"/>
            <w:tcBorders>
              <w:tl2br w:val="nil"/>
              <w:tr2bl w:val="nil"/>
            </w:tcBorders>
            <w:noWrap w:val="0"/>
            <w:vAlign w:val="center"/>
          </w:tcPr>
          <w:p w14:paraId="253648D0">
            <w:pPr>
              <w:pStyle w:val="111"/>
              <w:spacing w:before="0"/>
              <w:ind w:firstLine="0" w:firstLineChars="0"/>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val="en-US" w:eastAsia="zh-CN"/>
              </w:rPr>
              <w:t>2.0</w:t>
            </w:r>
            <w:r>
              <w:rPr>
                <w:rFonts w:hint="default" w:ascii="Times New Roman" w:hAnsi="Times New Roman" w:eastAsia="宋体" w:cs="Times New Roman"/>
                <w:color w:val="auto"/>
                <w:u w:val="none" w:color="auto"/>
              </w:rPr>
              <w:t>×10</w:t>
            </w:r>
            <w:r>
              <w:rPr>
                <w:rFonts w:hint="default" w:ascii="Times New Roman" w:hAnsi="Times New Roman" w:eastAsia="宋体" w:cs="Times New Roman"/>
                <w:color w:val="auto"/>
                <w:u w:val="none" w:color="auto"/>
                <w:vertAlign w:val="superscript"/>
              </w:rPr>
              <w:t>-</w:t>
            </w:r>
            <w:r>
              <w:rPr>
                <w:rFonts w:hint="default" w:ascii="Times New Roman" w:hAnsi="Times New Roman" w:eastAsia="宋体" w:cs="Times New Roman"/>
                <w:color w:val="auto"/>
                <w:u w:val="none" w:color="auto"/>
                <w:vertAlign w:val="superscript"/>
                <w:lang w:val="en-US" w:eastAsia="zh-CN"/>
              </w:rPr>
              <w:t>6</w:t>
            </w:r>
            <w:r>
              <w:rPr>
                <w:rFonts w:hint="default" w:ascii="Times New Roman" w:hAnsi="Times New Roman" w:eastAsia="宋体" w:cs="Times New Roman"/>
                <w:color w:val="auto"/>
                <w:u w:val="none" w:color="auto"/>
              </w:rPr>
              <w:t>/</w:t>
            </w:r>
            <w:r>
              <w:rPr>
                <w:rFonts w:hint="default" w:ascii="Times New Roman" w:hAnsi="Times New Roman" w:eastAsia="宋体" w:cs="Times New Roman"/>
                <w:color w:val="auto"/>
                <w:u w:val="none" w:color="auto"/>
                <w:lang w:eastAsia="zh-CN"/>
              </w:rPr>
              <w:t>（</w:t>
            </w:r>
            <w:r>
              <w:rPr>
                <w:rFonts w:hint="default" w:ascii="Times New Roman" w:hAnsi="Times New Roman" w:eastAsia="宋体" w:cs="Times New Roman"/>
                <w:color w:val="auto"/>
                <w:u w:val="none" w:color="auto"/>
                <w:lang w:val="en-US" w:eastAsia="zh-CN"/>
              </w:rPr>
              <w:t>m·</w:t>
            </w:r>
            <w:r>
              <w:rPr>
                <w:rFonts w:hint="default" w:ascii="Times New Roman" w:hAnsi="Times New Roman" w:eastAsia="宋体" w:cs="Times New Roman"/>
                <w:color w:val="auto"/>
                <w:u w:val="none" w:color="auto"/>
              </w:rPr>
              <w:t>a</w:t>
            </w:r>
            <w:r>
              <w:rPr>
                <w:rFonts w:hint="default" w:ascii="Times New Roman" w:hAnsi="Times New Roman" w:eastAsia="宋体" w:cs="Times New Roman"/>
                <w:color w:val="auto"/>
                <w:u w:val="none" w:color="auto"/>
                <w:lang w:eastAsia="zh-CN"/>
              </w:rPr>
              <w:t>）</w:t>
            </w:r>
          </w:p>
        </w:tc>
      </w:tr>
      <w:tr w14:paraId="40D7FA3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000" w:type="pct"/>
            <w:gridSpan w:val="10"/>
            <w:tcBorders>
              <w:tl2br w:val="nil"/>
              <w:tr2bl w:val="nil"/>
            </w:tcBorders>
            <w:noWrap w:val="0"/>
            <w:vAlign w:val="center"/>
          </w:tcPr>
          <w:p w14:paraId="3ECDF141">
            <w:pPr>
              <w:pStyle w:val="111"/>
              <w:spacing w:before="0"/>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事故后果预测</w:t>
            </w:r>
          </w:p>
        </w:tc>
      </w:tr>
      <w:tr w14:paraId="1F7A199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74" w:type="pct"/>
            <w:vMerge w:val="restart"/>
            <w:tcBorders>
              <w:tl2br w:val="nil"/>
              <w:tr2bl w:val="nil"/>
            </w:tcBorders>
            <w:noWrap w:val="0"/>
            <w:vAlign w:val="center"/>
          </w:tcPr>
          <w:p w14:paraId="68F0F1EF">
            <w:pPr>
              <w:pStyle w:val="111"/>
              <w:spacing w:before="0"/>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大气</w:t>
            </w:r>
          </w:p>
        </w:tc>
        <w:tc>
          <w:tcPr>
            <w:tcW w:w="552" w:type="pct"/>
            <w:tcBorders>
              <w:tl2br w:val="nil"/>
              <w:tr2bl w:val="nil"/>
            </w:tcBorders>
            <w:noWrap w:val="0"/>
            <w:vAlign w:val="center"/>
          </w:tcPr>
          <w:p w14:paraId="23DF7997">
            <w:pPr>
              <w:pStyle w:val="111"/>
              <w:spacing w:before="0"/>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危险物质</w:t>
            </w:r>
          </w:p>
        </w:tc>
        <w:tc>
          <w:tcPr>
            <w:tcW w:w="3573" w:type="pct"/>
            <w:gridSpan w:val="8"/>
            <w:tcBorders>
              <w:tl2br w:val="nil"/>
              <w:tr2bl w:val="nil"/>
            </w:tcBorders>
            <w:noWrap w:val="0"/>
            <w:vAlign w:val="center"/>
          </w:tcPr>
          <w:p w14:paraId="719FB865">
            <w:pPr>
              <w:pStyle w:val="111"/>
              <w:spacing w:before="0"/>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大气环境影响</w:t>
            </w:r>
          </w:p>
        </w:tc>
      </w:tr>
      <w:tr w14:paraId="6BC50CB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74" w:type="pct"/>
            <w:vMerge w:val="continue"/>
            <w:tcBorders>
              <w:tl2br w:val="nil"/>
              <w:tr2bl w:val="nil"/>
            </w:tcBorders>
            <w:noWrap w:val="0"/>
            <w:vAlign w:val="center"/>
          </w:tcPr>
          <w:p w14:paraId="61D5E0AA">
            <w:pPr>
              <w:pStyle w:val="111"/>
              <w:spacing w:before="0"/>
              <w:rPr>
                <w:rFonts w:hint="default" w:ascii="Times New Roman" w:hAnsi="Times New Roman" w:eastAsia="宋体" w:cs="Times New Roman"/>
                <w:color w:val="auto"/>
                <w:u w:val="none" w:color="auto"/>
              </w:rPr>
            </w:pPr>
          </w:p>
        </w:tc>
        <w:tc>
          <w:tcPr>
            <w:tcW w:w="552" w:type="pct"/>
            <w:vMerge w:val="restart"/>
            <w:tcBorders>
              <w:tl2br w:val="nil"/>
              <w:tr2bl w:val="nil"/>
            </w:tcBorders>
            <w:noWrap w:val="0"/>
            <w:vAlign w:val="center"/>
          </w:tcPr>
          <w:p w14:paraId="642EF30F">
            <w:pPr>
              <w:pStyle w:val="111"/>
              <w:spacing w:before="0"/>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eastAsia="zh-CN"/>
              </w:rPr>
              <w:t>天然气（以甲烷表征</w:t>
            </w:r>
          </w:p>
        </w:tc>
        <w:tc>
          <w:tcPr>
            <w:tcW w:w="1000" w:type="pct"/>
            <w:gridSpan w:val="2"/>
            <w:tcBorders>
              <w:tl2br w:val="nil"/>
              <w:tr2bl w:val="nil"/>
            </w:tcBorders>
            <w:noWrap w:val="0"/>
            <w:vAlign w:val="center"/>
          </w:tcPr>
          <w:p w14:paraId="5767DF21">
            <w:pPr>
              <w:pStyle w:val="111"/>
              <w:spacing w:before="0"/>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指标</w:t>
            </w:r>
          </w:p>
        </w:tc>
        <w:tc>
          <w:tcPr>
            <w:tcW w:w="769" w:type="pct"/>
            <w:gridSpan w:val="2"/>
            <w:tcBorders>
              <w:tl2br w:val="nil"/>
              <w:tr2bl w:val="nil"/>
            </w:tcBorders>
            <w:noWrap w:val="0"/>
            <w:vAlign w:val="center"/>
          </w:tcPr>
          <w:p w14:paraId="3737EAE4">
            <w:pPr>
              <w:pStyle w:val="111"/>
              <w:spacing w:before="0"/>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浓度值/（mg/m</w:t>
            </w:r>
            <w:r>
              <w:rPr>
                <w:rFonts w:hint="default" w:ascii="Times New Roman" w:hAnsi="Times New Roman" w:eastAsia="宋体" w:cs="Times New Roman"/>
                <w:color w:val="auto"/>
                <w:u w:val="none" w:color="auto"/>
                <w:vertAlign w:val="superscript"/>
              </w:rPr>
              <w:t>3</w:t>
            </w:r>
            <w:r>
              <w:rPr>
                <w:rFonts w:hint="default" w:ascii="Times New Roman" w:hAnsi="Times New Roman" w:eastAsia="宋体" w:cs="Times New Roman"/>
                <w:color w:val="auto"/>
                <w:u w:val="none" w:color="auto"/>
              </w:rPr>
              <w:t>）</w:t>
            </w:r>
          </w:p>
        </w:tc>
        <w:tc>
          <w:tcPr>
            <w:tcW w:w="852" w:type="pct"/>
            <w:gridSpan w:val="2"/>
            <w:tcBorders>
              <w:tl2br w:val="nil"/>
              <w:tr2bl w:val="nil"/>
            </w:tcBorders>
            <w:noWrap w:val="0"/>
            <w:vAlign w:val="center"/>
          </w:tcPr>
          <w:p w14:paraId="6A52AFA4">
            <w:pPr>
              <w:pStyle w:val="111"/>
              <w:spacing w:before="0"/>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最远影响距离/m</w:t>
            </w:r>
          </w:p>
        </w:tc>
        <w:tc>
          <w:tcPr>
            <w:tcW w:w="952" w:type="pct"/>
            <w:gridSpan w:val="2"/>
            <w:tcBorders>
              <w:tl2br w:val="nil"/>
              <w:tr2bl w:val="nil"/>
            </w:tcBorders>
            <w:noWrap w:val="0"/>
            <w:vAlign w:val="center"/>
          </w:tcPr>
          <w:p w14:paraId="1DFA02A3">
            <w:pPr>
              <w:pStyle w:val="111"/>
              <w:spacing w:before="0"/>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到达时间/min</w:t>
            </w:r>
          </w:p>
        </w:tc>
      </w:tr>
      <w:tr w14:paraId="071DAB6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74" w:type="pct"/>
            <w:vMerge w:val="continue"/>
            <w:tcBorders>
              <w:tl2br w:val="nil"/>
              <w:tr2bl w:val="nil"/>
            </w:tcBorders>
            <w:noWrap w:val="0"/>
            <w:vAlign w:val="center"/>
          </w:tcPr>
          <w:p w14:paraId="18174C45">
            <w:pPr>
              <w:pStyle w:val="111"/>
              <w:spacing w:before="0"/>
              <w:rPr>
                <w:rFonts w:hint="default" w:ascii="Times New Roman" w:hAnsi="Times New Roman" w:eastAsia="宋体" w:cs="Times New Roman"/>
                <w:color w:val="auto"/>
                <w:u w:val="none" w:color="auto"/>
              </w:rPr>
            </w:pPr>
          </w:p>
        </w:tc>
        <w:tc>
          <w:tcPr>
            <w:tcW w:w="552" w:type="pct"/>
            <w:vMerge w:val="continue"/>
            <w:tcBorders>
              <w:tl2br w:val="nil"/>
              <w:tr2bl w:val="nil"/>
            </w:tcBorders>
            <w:noWrap w:val="0"/>
            <w:vAlign w:val="center"/>
          </w:tcPr>
          <w:p w14:paraId="7BF657D6">
            <w:pPr>
              <w:pStyle w:val="111"/>
              <w:spacing w:before="0"/>
              <w:rPr>
                <w:rFonts w:hint="default" w:ascii="Times New Roman" w:hAnsi="Times New Roman" w:eastAsia="宋体" w:cs="Times New Roman"/>
                <w:color w:val="auto"/>
                <w:u w:val="none" w:color="auto"/>
              </w:rPr>
            </w:pPr>
          </w:p>
        </w:tc>
        <w:tc>
          <w:tcPr>
            <w:tcW w:w="1000" w:type="pct"/>
            <w:gridSpan w:val="2"/>
            <w:tcBorders>
              <w:tl2br w:val="nil"/>
              <w:tr2bl w:val="nil"/>
            </w:tcBorders>
            <w:noWrap w:val="0"/>
            <w:vAlign w:val="center"/>
          </w:tcPr>
          <w:p w14:paraId="334054F1">
            <w:pPr>
              <w:pStyle w:val="111"/>
              <w:spacing w:before="0"/>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大气毒性终点浓度-1</w:t>
            </w:r>
          </w:p>
        </w:tc>
        <w:tc>
          <w:tcPr>
            <w:tcW w:w="769" w:type="pct"/>
            <w:gridSpan w:val="2"/>
            <w:tcBorders>
              <w:tl2br w:val="nil"/>
              <w:tr2bl w:val="nil"/>
            </w:tcBorders>
            <w:noWrap w:val="0"/>
            <w:vAlign w:val="center"/>
          </w:tcPr>
          <w:p w14:paraId="726518E4">
            <w:pPr>
              <w:pStyle w:val="111"/>
              <w:spacing w:before="0"/>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260000</w:t>
            </w:r>
          </w:p>
        </w:tc>
        <w:tc>
          <w:tcPr>
            <w:tcW w:w="1804" w:type="pct"/>
            <w:gridSpan w:val="4"/>
            <w:vMerge w:val="restart"/>
            <w:tcBorders>
              <w:tl2br w:val="nil"/>
              <w:tr2bl w:val="nil"/>
            </w:tcBorders>
            <w:noWrap w:val="0"/>
            <w:vAlign w:val="center"/>
          </w:tcPr>
          <w:p w14:paraId="56A85CD8">
            <w:pPr>
              <w:pStyle w:val="111"/>
              <w:spacing w:before="0"/>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最大浓度均不超过大气毒性终点浓度-1、毒性终点浓度-2</w:t>
            </w:r>
          </w:p>
        </w:tc>
      </w:tr>
      <w:tr w14:paraId="28E178B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74" w:type="pct"/>
            <w:vMerge w:val="continue"/>
            <w:tcBorders>
              <w:tl2br w:val="nil"/>
              <w:tr2bl w:val="nil"/>
            </w:tcBorders>
            <w:noWrap w:val="0"/>
            <w:vAlign w:val="center"/>
          </w:tcPr>
          <w:p w14:paraId="1AF14834">
            <w:pPr>
              <w:pStyle w:val="111"/>
              <w:spacing w:before="0"/>
              <w:rPr>
                <w:rFonts w:hint="default" w:ascii="Times New Roman" w:hAnsi="Times New Roman" w:eastAsia="宋体" w:cs="Times New Roman"/>
                <w:color w:val="auto"/>
                <w:u w:val="none" w:color="auto"/>
              </w:rPr>
            </w:pPr>
          </w:p>
        </w:tc>
        <w:tc>
          <w:tcPr>
            <w:tcW w:w="552" w:type="pct"/>
            <w:vMerge w:val="continue"/>
            <w:tcBorders>
              <w:tl2br w:val="nil"/>
              <w:tr2bl w:val="nil"/>
            </w:tcBorders>
            <w:noWrap w:val="0"/>
            <w:vAlign w:val="center"/>
          </w:tcPr>
          <w:p w14:paraId="4A4E16D1">
            <w:pPr>
              <w:pStyle w:val="111"/>
              <w:spacing w:before="0"/>
              <w:rPr>
                <w:rFonts w:hint="default" w:ascii="Times New Roman" w:hAnsi="Times New Roman" w:eastAsia="宋体" w:cs="Times New Roman"/>
                <w:color w:val="auto"/>
                <w:u w:val="none" w:color="auto"/>
              </w:rPr>
            </w:pPr>
          </w:p>
        </w:tc>
        <w:tc>
          <w:tcPr>
            <w:tcW w:w="1000" w:type="pct"/>
            <w:gridSpan w:val="2"/>
            <w:tcBorders>
              <w:tl2br w:val="nil"/>
              <w:tr2bl w:val="nil"/>
            </w:tcBorders>
            <w:noWrap w:val="0"/>
            <w:vAlign w:val="center"/>
          </w:tcPr>
          <w:p w14:paraId="1D845995">
            <w:pPr>
              <w:pStyle w:val="111"/>
              <w:spacing w:before="0"/>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大气毒性终点浓度-2</w:t>
            </w:r>
          </w:p>
        </w:tc>
        <w:tc>
          <w:tcPr>
            <w:tcW w:w="769" w:type="pct"/>
            <w:gridSpan w:val="2"/>
            <w:tcBorders>
              <w:tl2br w:val="nil"/>
              <w:tr2bl w:val="nil"/>
            </w:tcBorders>
            <w:noWrap w:val="0"/>
            <w:vAlign w:val="center"/>
          </w:tcPr>
          <w:p w14:paraId="0471363D">
            <w:pPr>
              <w:pStyle w:val="111"/>
              <w:spacing w:before="0"/>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150000</w:t>
            </w:r>
          </w:p>
        </w:tc>
        <w:tc>
          <w:tcPr>
            <w:tcW w:w="1804" w:type="pct"/>
            <w:gridSpan w:val="4"/>
            <w:vMerge w:val="continue"/>
            <w:tcBorders>
              <w:tl2br w:val="nil"/>
              <w:tr2bl w:val="nil"/>
            </w:tcBorders>
            <w:noWrap w:val="0"/>
            <w:vAlign w:val="center"/>
          </w:tcPr>
          <w:p w14:paraId="3716F3C9">
            <w:pPr>
              <w:pStyle w:val="111"/>
              <w:spacing w:before="0"/>
              <w:rPr>
                <w:rFonts w:hint="default" w:ascii="Times New Roman" w:hAnsi="Times New Roman" w:eastAsia="宋体" w:cs="Times New Roman"/>
                <w:color w:val="auto"/>
                <w:u w:val="none" w:color="auto"/>
              </w:rPr>
            </w:pPr>
          </w:p>
        </w:tc>
      </w:tr>
      <w:tr w14:paraId="3E555FC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74" w:type="pct"/>
            <w:vMerge w:val="continue"/>
            <w:tcBorders>
              <w:tl2br w:val="nil"/>
              <w:tr2bl w:val="nil"/>
            </w:tcBorders>
            <w:noWrap w:val="0"/>
            <w:vAlign w:val="center"/>
          </w:tcPr>
          <w:p w14:paraId="794BAF74">
            <w:pPr>
              <w:pStyle w:val="111"/>
              <w:spacing w:before="0"/>
              <w:rPr>
                <w:rFonts w:hint="default" w:ascii="Times New Roman" w:hAnsi="Times New Roman" w:eastAsia="宋体" w:cs="Times New Roman"/>
                <w:color w:val="auto"/>
                <w:u w:val="none" w:color="auto"/>
              </w:rPr>
            </w:pPr>
          </w:p>
        </w:tc>
        <w:tc>
          <w:tcPr>
            <w:tcW w:w="552" w:type="pct"/>
            <w:vMerge w:val="continue"/>
            <w:tcBorders>
              <w:tl2br w:val="nil"/>
              <w:tr2bl w:val="nil"/>
            </w:tcBorders>
            <w:noWrap w:val="0"/>
            <w:vAlign w:val="center"/>
          </w:tcPr>
          <w:p w14:paraId="57DCAB9A">
            <w:pPr>
              <w:pStyle w:val="111"/>
              <w:spacing w:before="0"/>
              <w:rPr>
                <w:rFonts w:hint="default" w:ascii="Times New Roman" w:hAnsi="Times New Roman" w:eastAsia="宋体" w:cs="Times New Roman"/>
                <w:color w:val="auto"/>
                <w:u w:val="none" w:color="auto"/>
              </w:rPr>
            </w:pPr>
          </w:p>
        </w:tc>
        <w:tc>
          <w:tcPr>
            <w:tcW w:w="1000" w:type="pct"/>
            <w:gridSpan w:val="2"/>
            <w:tcBorders>
              <w:tl2br w:val="nil"/>
              <w:tr2bl w:val="nil"/>
            </w:tcBorders>
            <w:noWrap w:val="0"/>
            <w:vAlign w:val="center"/>
          </w:tcPr>
          <w:p w14:paraId="10BE6288">
            <w:pPr>
              <w:pStyle w:val="111"/>
              <w:spacing w:before="0"/>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敏感目标名称</w:t>
            </w:r>
          </w:p>
        </w:tc>
        <w:tc>
          <w:tcPr>
            <w:tcW w:w="769" w:type="pct"/>
            <w:gridSpan w:val="2"/>
            <w:tcBorders>
              <w:tl2br w:val="nil"/>
              <w:tr2bl w:val="nil"/>
            </w:tcBorders>
            <w:noWrap w:val="0"/>
            <w:vAlign w:val="center"/>
          </w:tcPr>
          <w:p w14:paraId="19404F96">
            <w:pPr>
              <w:pStyle w:val="111"/>
              <w:spacing w:before="0"/>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超大气毒性终点浓度1时间/min</w:t>
            </w:r>
          </w:p>
        </w:tc>
        <w:tc>
          <w:tcPr>
            <w:tcW w:w="852" w:type="pct"/>
            <w:gridSpan w:val="2"/>
            <w:tcBorders>
              <w:tl2br w:val="nil"/>
              <w:tr2bl w:val="nil"/>
            </w:tcBorders>
            <w:noWrap w:val="0"/>
            <w:vAlign w:val="center"/>
          </w:tcPr>
          <w:p w14:paraId="59492134">
            <w:pPr>
              <w:pStyle w:val="111"/>
              <w:spacing w:before="0"/>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超大气毒性终点浓度1持续时间/min</w:t>
            </w:r>
          </w:p>
        </w:tc>
        <w:tc>
          <w:tcPr>
            <w:tcW w:w="952" w:type="pct"/>
            <w:gridSpan w:val="2"/>
            <w:tcBorders>
              <w:tl2br w:val="nil"/>
              <w:tr2bl w:val="nil"/>
            </w:tcBorders>
            <w:noWrap w:val="0"/>
            <w:vAlign w:val="center"/>
          </w:tcPr>
          <w:p w14:paraId="61DD863C">
            <w:pPr>
              <w:pStyle w:val="111"/>
              <w:spacing w:before="0"/>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最大浓度/（mg/m</w:t>
            </w:r>
            <w:r>
              <w:rPr>
                <w:rFonts w:hint="default" w:ascii="Times New Roman" w:hAnsi="Times New Roman" w:eastAsia="宋体" w:cs="Times New Roman"/>
                <w:color w:val="auto"/>
                <w:u w:val="none" w:color="auto"/>
                <w:vertAlign w:val="superscript"/>
              </w:rPr>
              <w:t>3</w:t>
            </w:r>
            <w:r>
              <w:rPr>
                <w:rFonts w:hint="default" w:ascii="Times New Roman" w:hAnsi="Times New Roman" w:eastAsia="宋体" w:cs="Times New Roman"/>
                <w:color w:val="auto"/>
                <w:u w:val="none" w:color="auto"/>
              </w:rPr>
              <w:t>）</w:t>
            </w:r>
          </w:p>
        </w:tc>
      </w:tr>
      <w:tr w14:paraId="6C90EAA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74" w:type="pct"/>
            <w:vMerge w:val="continue"/>
            <w:tcBorders>
              <w:tl2br w:val="nil"/>
              <w:tr2bl w:val="nil"/>
            </w:tcBorders>
            <w:noWrap w:val="0"/>
            <w:vAlign w:val="center"/>
          </w:tcPr>
          <w:p w14:paraId="17D275FA">
            <w:pPr>
              <w:pStyle w:val="111"/>
              <w:spacing w:before="0"/>
              <w:rPr>
                <w:rFonts w:hint="default" w:ascii="Times New Roman" w:hAnsi="Times New Roman" w:eastAsia="宋体" w:cs="Times New Roman"/>
                <w:color w:val="auto"/>
                <w:u w:val="none" w:color="auto"/>
              </w:rPr>
            </w:pPr>
          </w:p>
        </w:tc>
        <w:tc>
          <w:tcPr>
            <w:tcW w:w="552" w:type="pct"/>
            <w:vMerge w:val="continue"/>
            <w:tcBorders>
              <w:tl2br w:val="nil"/>
              <w:tr2bl w:val="nil"/>
            </w:tcBorders>
            <w:noWrap w:val="0"/>
            <w:vAlign w:val="center"/>
          </w:tcPr>
          <w:p w14:paraId="0E2CCD1E">
            <w:pPr>
              <w:pStyle w:val="111"/>
              <w:spacing w:before="0"/>
              <w:rPr>
                <w:rFonts w:hint="default" w:ascii="Times New Roman" w:hAnsi="Times New Roman" w:eastAsia="宋体" w:cs="Times New Roman"/>
                <w:color w:val="auto"/>
                <w:u w:val="none" w:color="auto"/>
              </w:rPr>
            </w:pPr>
          </w:p>
        </w:tc>
        <w:tc>
          <w:tcPr>
            <w:tcW w:w="3573" w:type="pct"/>
            <w:gridSpan w:val="8"/>
            <w:tcBorders>
              <w:tl2br w:val="nil"/>
              <w:tr2bl w:val="nil"/>
            </w:tcBorders>
            <w:noWrap w:val="0"/>
            <w:vAlign w:val="center"/>
          </w:tcPr>
          <w:p w14:paraId="2BED7130">
            <w:pPr>
              <w:pStyle w:val="111"/>
              <w:spacing w:before="0"/>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各敏感点最大浓度均不超过大气毒性终点浓度-1</w:t>
            </w:r>
          </w:p>
        </w:tc>
      </w:tr>
      <w:tr w14:paraId="3F2DB08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74" w:type="pct"/>
            <w:vMerge w:val="continue"/>
            <w:tcBorders>
              <w:tl2br w:val="nil"/>
              <w:tr2bl w:val="nil"/>
            </w:tcBorders>
            <w:noWrap w:val="0"/>
            <w:vAlign w:val="center"/>
          </w:tcPr>
          <w:p w14:paraId="020B8EAF">
            <w:pPr>
              <w:pStyle w:val="111"/>
              <w:spacing w:before="0"/>
              <w:rPr>
                <w:rFonts w:hint="default" w:ascii="Times New Roman" w:hAnsi="Times New Roman" w:eastAsia="宋体" w:cs="Times New Roman"/>
                <w:color w:val="auto"/>
                <w:u w:val="none" w:color="auto"/>
              </w:rPr>
            </w:pPr>
          </w:p>
        </w:tc>
        <w:tc>
          <w:tcPr>
            <w:tcW w:w="552" w:type="pct"/>
            <w:vMerge w:val="continue"/>
            <w:tcBorders>
              <w:tl2br w:val="nil"/>
              <w:tr2bl w:val="nil"/>
            </w:tcBorders>
            <w:noWrap w:val="0"/>
            <w:vAlign w:val="center"/>
          </w:tcPr>
          <w:p w14:paraId="0D580C2D">
            <w:pPr>
              <w:pStyle w:val="111"/>
              <w:spacing w:before="0"/>
              <w:rPr>
                <w:rFonts w:hint="default" w:ascii="Times New Roman" w:hAnsi="Times New Roman" w:eastAsia="宋体" w:cs="Times New Roman"/>
                <w:color w:val="auto"/>
                <w:u w:val="none" w:color="auto"/>
              </w:rPr>
            </w:pPr>
          </w:p>
        </w:tc>
        <w:tc>
          <w:tcPr>
            <w:tcW w:w="1000" w:type="pct"/>
            <w:gridSpan w:val="2"/>
            <w:tcBorders>
              <w:tl2br w:val="nil"/>
              <w:tr2bl w:val="nil"/>
            </w:tcBorders>
            <w:noWrap w:val="0"/>
            <w:vAlign w:val="center"/>
          </w:tcPr>
          <w:p w14:paraId="2ACA27DF">
            <w:pPr>
              <w:pStyle w:val="111"/>
              <w:spacing w:before="0"/>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敏感目标名称</w:t>
            </w:r>
          </w:p>
        </w:tc>
        <w:tc>
          <w:tcPr>
            <w:tcW w:w="769" w:type="pct"/>
            <w:gridSpan w:val="2"/>
            <w:tcBorders>
              <w:tl2br w:val="nil"/>
              <w:tr2bl w:val="nil"/>
            </w:tcBorders>
            <w:noWrap w:val="0"/>
            <w:vAlign w:val="center"/>
          </w:tcPr>
          <w:p w14:paraId="55CA24EE">
            <w:pPr>
              <w:pStyle w:val="111"/>
              <w:spacing w:before="0"/>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超大气毒性终点浓度2时间/min</w:t>
            </w:r>
          </w:p>
        </w:tc>
        <w:tc>
          <w:tcPr>
            <w:tcW w:w="852" w:type="pct"/>
            <w:gridSpan w:val="2"/>
            <w:tcBorders>
              <w:tl2br w:val="nil"/>
              <w:tr2bl w:val="nil"/>
            </w:tcBorders>
            <w:noWrap w:val="0"/>
            <w:vAlign w:val="center"/>
          </w:tcPr>
          <w:p w14:paraId="3994DF04">
            <w:pPr>
              <w:pStyle w:val="111"/>
              <w:spacing w:before="0"/>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超大气毒性终点浓度2持续时间/min</w:t>
            </w:r>
          </w:p>
        </w:tc>
        <w:tc>
          <w:tcPr>
            <w:tcW w:w="952" w:type="pct"/>
            <w:gridSpan w:val="2"/>
            <w:tcBorders>
              <w:tl2br w:val="nil"/>
              <w:tr2bl w:val="nil"/>
            </w:tcBorders>
            <w:noWrap w:val="0"/>
            <w:vAlign w:val="center"/>
          </w:tcPr>
          <w:p w14:paraId="636EB4A7">
            <w:pPr>
              <w:pStyle w:val="111"/>
              <w:spacing w:before="0"/>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最大浓度/（mg/m</w:t>
            </w:r>
            <w:r>
              <w:rPr>
                <w:rFonts w:hint="default" w:ascii="Times New Roman" w:hAnsi="Times New Roman" w:eastAsia="宋体" w:cs="Times New Roman"/>
                <w:color w:val="auto"/>
                <w:u w:val="none" w:color="auto"/>
                <w:vertAlign w:val="superscript"/>
              </w:rPr>
              <w:t>3</w:t>
            </w:r>
            <w:r>
              <w:rPr>
                <w:rFonts w:hint="default" w:ascii="Times New Roman" w:hAnsi="Times New Roman" w:eastAsia="宋体" w:cs="Times New Roman"/>
                <w:color w:val="auto"/>
                <w:u w:val="none" w:color="auto"/>
              </w:rPr>
              <w:t>）</w:t>
            </w:r>
          </w:p>
        </w:tc>
      </w:tr>
      <w:tr w14:paraId="199D28A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25" w:hRule="atLeast"/>
          <w:jc w:val="center"/>
        </w:trPr>
        <w:tc>
          <w:tcPr>
            <w:tcW w:w="874" w:type="pct"/>
            <w:vMerge w:val="continue"/>
            <w:tcBorders>
              <w:tl2br w:val="nil"/>
              <w:tr2bl w:val="nil"/>
            </w:tcBorders>
            <w:noWrap w:val="0"/>
            <w:vAlign w:val="center"/>
          </w:tcPr>
          <w:p w14:paraId="7A3BCA02">
            <w:pPr>
              <w:pStyle w:val="111"/>
              <w:spacing w:before="0"/>
              <w:rPr>
                <w:rFonts w:hint="default" w:ascii="Times New Roman" w:hAnsi="Times New Roman" w:eastAsia="宋体" w:cs="Times New Roman"/>
                <w:color w:val="auto"/>
                <w:u w:val="none" w:color="auto"/>
              </w:rPr>
            </w:pPr>
          </w:p>
        </w:tc>
        <w:tc>
          <w:tcPr>
            <w:tcW w:w="552" w:type="pct"/>
            <w:vMerge w:val="continue"/>
            <w:tcBorders>
              <w:tl2br w:val="nil"/>
              <w:tr2bl w:val="nil"/>
            </w:tcBorders>
            <w:noWrap w:val="0"/>
            <w:vAlign w:val="center"/>
          </w:tcPr>
          <w:p w14:paraId="23818548">
            <w:pPr>
              <w:pStyle w:val="111"/>
              <w:spacing w:before="0"/>
              <w:rPr>
                <w:rFonts w:hint="default" w:ascii="Times New Roman" w:hAnsi="Times New Roman" w:eastAsia="宋体" w:cs="Times New Roman"/>
                <w:color w:val="auto"/>
                <w:u w:val="none" w:color="auto"/>
              </w:rPr>
            </w:pPr>
          </w:p>
        </w:tc>
        <w:tc>
          <w:tcPr>
            <w:tcW w:w="3573" w:type="pct"/>
            <w:gridSpan w:val="8"/>
            <w:tcBorders>
              <w:tl2br w:val="nil"/>
              <w:tr2bl w:val="nil"/>
            </w:tcBorders>
            <w:noWrap w:val="0"/>
            <w:vAlign w:val="center"/>
          </w:tcPr>
          <w:p w14:paraId="2A7776BE">
            <w:pPr>
              <w:pStyle w:val="111"/>
              <w:spacing w:before="0"/>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各敏感点最大浓度均不超过大气毒性终点浓度-2</w:t>
            </w:r>
          </w:p>
        </w:tc>
      </w:tr>
    </w:tbl>
    <w:p w14:paraId="45164D1F">
      <w:pPr>
        <w:pStyle w:val="17"/>
        <w:numPr>
          <w:ilvl w:val="0"/>
          <w:numId w:val="13"/>
        </w:numPr>
        <w:wordWrap/>
        <w:topLinePunct w:val="0"/>
        <w:bidi w:val="0"/>
        <w:adjustRightInd/>
        <w:snapToGrid/>
        <w:spacing w:line="240" w:lineRule="auto"/>
        <w:jc w:val="center"/>
        <w:rPr>
          <w:rFonts w:hint="default" w:ascii="Times New Roman" w:hAnsi="Times New Roman" w:eastAsia="宋体" w:cs="Times New Roman"/>
          <w:b/>
          <w:color w:val="auto"/>
          <w:szCs w:val="24"/>
          <w:u w:val="none" w:color="auto"/>
        </w:rPr>
      </w:pPr>
      <w:r>
        <w:rPr>
          <w:rFonts w:hint="default" w:ascii="Times New Roman" w:hAnsi="Times New Roman" w:eastAsia="宋体" w:cs="Times New Roman"/>
          <w:b/>
          <w:color w:val="auto"/>
          <w:szCs w:val="24"/>
          <w:u w:val="none" w:color="auto"/>
        </w:rPr>
        <w:t>不同距离处</w:t>
      </w:r>
      <w:r>
        <w:rPr>
          <w:rFonts w:hint="default" w:ascii="Times New Roman" w:hAnsi="Times New Roman" w:eastAsia="宋体" w:cs="Times New Roman"/>
          <w:b/>
          <w:color w:val="auto"/>
          <w:szCs w:val="24"/>
          <w:u w:val="none" w:color="auto"/>
          <w:lang w:eastAsia="zh-CN"/>
        </w:rPr>
        <w:t>甲烷</w:t>
      </w:r>
      <w:r>
        <w:rPr>
          <w:rFonts w:hint="default" w:ascii="Times New Roman" w:hAnsi="Times New Roman" w:eastAsia="宋体" w:cs="Times New Roman"/>
          <w:b/>
          <w:color w:val="auto"/>
          <w:szCs w:val="24"/>
          <w:u w:val="none" w:color="auto"/>
        </w:rPr>
        <w:t>的最大浓度</w:t>
      </w:r>
    </w:p>
    <w:tbl>
      <w:tblPr>
        <w:tblStyle w:val="31"/>
        <w:tblW w:w="4999"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08" w:type="dxa"/>
          <w:bottom w:w="0" w:type="dxa"/>
          <w:right w:w="108" w:type="dxa"/>
        </w:tblCellMar>
      </w:tblPr>
      <w:tblGrid>
        <w:gridCol w:w="2997"/>
        <w:gridCol w:w="3029"/>
        <w:gridCol w:w="3032"/>
      </w:tblGrid>
      <w:tr w14:paraId="1524A69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95" w:hRule="atLeast"/>
        </w:trPr>
        <w:tc>
          <w:tcPr>
            <w:tcW w:w="1654" w:type="pct"/>
            <w:tcBorders>
              <w:tl2br w:val="nil"/>
              <w:tr2bl w:val="nil"/>
            </w:tcBorders>
            <w:noWrap w:val="0"/>
            <w:vAlign w:val="center"/>
          </w:tcPr>
          <w:p w14:paraId="185138AB">
            <w:pPr>
              <w:keepNext w:val="0"/>
              <w:keepLines w:val="0"/>
              <w:widowControl/>
              <w:suppressLineNumbers w:val="0"/>
              <w:jc w:val="center"/>
              <w:textAlignment w:val="top"/>
              <w:rPr>
                <w:rFonts w:hint="default" w:ascii="Times New Roman" w:hAnsi="Times New Roman" w:eastAsia="宋体" w:cs="Times New Roman"/>
                <w:b/>
                <w:bCs/>
                <w:i w:val="0"/>
                <w:iCs w:val="0"/>
                <w:color w:val="auto"/>
                <w:sz w:val="18"/>
                <w:szCs w:val="18"/>
                <w:u w:val="none" w:color="auto"/>
              </w:rPr>
            </w:pPr>
            <w:r>
              <w:rPr>
                <w:rFonts w:hint="default" w:ascii="Times New Roman" w:hAnsi="Times New Roman" w:eastAsia="宋体" w:cs="Times New Roman"/>
                <w:b/>
                <w:bCs/>
                <w:i w:val="0"/>
                <w:iCs w:val="0"/>
                <w:color w:val="auto"/>
                <w:kern w:val="0"/>
                <w:sz w:val="18"/>
                <w:szCs w:val="18"/>
                <w:u w:val="none" w:color="auto"/>
                <w:lang w:val="en-US" w:eastAsia="zh-CN" w:bidi="ar"/>
              </w:rPr>
              <w:t>距离(m)</w:t>
            </w:r>
          </w:p>
        </w:tc>
        <w:tc>
          <w:tcPr>
            <w:tcW w:w="1671" w:type="pct"/>
            <w:tcBorders>
              <w:tl2br w:val="nil"/>
              <w:tr2bl w:val="nil"/>
            </w:tcBorders>
            <w:noWrap w:val="0"/>
            <w:vAlign w:val="center"/>
          </w:tcPr>
          <w:p w14:paraId="7B25A2C8">
            <w:pPr>
              <w:keepNext w:val="0"/>
              <w:keepLines w:val="0"/>
              <w:widowControl/>
              <w:suppressLineNumbers w:val="0"/>
              <w:jc w:val="center"/>
              <w:textAlignment w:val="top"/>
              <w:rPr>
                <w:rFonts w:hint="default" w:ascii="Times New Roman" w:hAnsi="Times New Roman" w:eastAsia="宋体" w:cs="Times New Roman"/>
                <w:b/>
                <w:bCs/>
                <w:i w:val="0"/>
                <w:iCs w:val="0"/>
                <w:color w:val="auto"/>
                <w:sz w:val="18"/>
                <w:szCs w:val="18"/>
                <w:u w:val="none" w:color="auto"/>
              </w:rPr>
            </w:pPr>
            <w:r>
              <w:rPr>
                <w:rFonts w:hint="default" w:ascii="Times New Roman" w:hAnsi="Times New Roman" w:eastAsia="宋体" w:cs="Times New Roman"/>
                <w:b/>
                <w:bCs/>
                <w:i w:val="0"/>
                <w:iCs w:val="0"/>
                <w:color w:val="auto"/>
                <w:kern w:val="0"/>
                <w:sz w:val="18"/>
                <w:szCs w:val="18"/>
                <w:u w:val="none" w:color="auto"/>
                <w:lang w:val="en-US" w:eastAsia="zh-CN" w:bidi="ar"/>
              </w:rPr>
              <w:t>浓度出现时间</w:t>
            </w:r>
          </w:p>
        </w:tc>
        <w:tc>
          <w:tcPr>
            <w:tcW w:w="1673" w:type="pct"/>
            <w:tcBorders>
              <w:tl2br w:val="nil"/>
              <w:tr2bl w:val="nil"/>
            </w:tcBorders>
            <w:noWrap w:val="0"/>
            <w:vAlign w:val="center"/>
          </w:tcPr>
          <w:p w14:paraId="4B91A6B2">
            <w:pPr>
              <w:keepNext w:val="0"/>
              <w:keepLines w:val="0"/>
              <w:widowControl/>
              <w:suppressLineNumbers w:val="0"/>
              <w:jc w:val="center"/>
              <w:textAlignment w:val="top"/>
              <w:rPr>
                <w:rFonts w:hint="default" w:ascii="Times New Roman" w:hAnsi="Times New Roman" w:eastAsia="宋体" w:cs="Times New Roman"/>
                <w:b/>
                <w:bCs/>
                <w:i w:val="0"/>
                <w:iCs w:val="0"/>
                <w:color w:val="auto"/>
                <w:sz w:val="18"/>
                <w:szCs w:val="18"/>
                <w:u w:val="none" w:color="auto"/>
              </w:rPr>
            </w:pPr>
            <w:r>
              <w:rPr>
                <w:rFonts w:hint="default" w:ascii="Times New Roman" w:hAnsi="Times New Roman" w:eastAsia="宋体" w:cs="Times New Roman"/>
                <w:b/>
                <w:bCs/>
                <w:i w:val="0"/>
                <w:iCs w:val="0"/>
                <w:color w:val="auto"/>
                <w:kern w:val="0"/>
                <w:sz w:val="18"/>
                <w:szCs w:val="18"/>
                <w:u w:val="none" w:color="auto"/>
                <w:lang w:val="en-US" w:eastAsia="zh-CN" w:bidi="ar"/>
              </w:rPr>
              <w:t>高峰浓度(mg/m3)</w:t>
            </w:r>
          </w:p>
        </w:tc>
      </w:tr>
      <w:tr w14:paraId="535631E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0" w:hRule="atLeast"/>
        </w:trPr>
        <w:tc>
          <w:tcPr>
            <w:tcW w:w="1654" w:type="pct"/>
            <w:tcBorders>
              <w:tl2br w:val="nil"/>
              <w:tr2bl w:val="nil"/>
            </w:tcBorders>
            <w:noWrap w:val="0"/>
            <w:vAlign w:val="center"/>
          </w:tcPr>
          <w:p w14:paraId="1AE20821">
            <w:pPr>
              <w:keepNext w:val="0"/>
              <w:keepLines w:val="0"/>
              <w:widowControl/>
              <w:suppressLineNumbers w:val="0"/>
              <w:jc w:val="center"/>
              <w:textAlignment w:val="top"/>
              <w:rPr>
                <w:rFonts w:hint="default" w:ascii="Times New Roman" w:hAnsi="Times New Roman" w:eastAsia="宋体" w:cs="Times New Roman"/>
                <w:i w:val="0"/>
                <w:iCs w:val="0"/>
                <w:color w:val="auto"/>
                <w:sz w:val="18"/>
                <w:szCs w:val="18"/>
                <w:u w:val="none" w:color="auto"/>
              </w:rPr>
            </w:pPr>
            <w:r>
              <w:rPr>
                <w:rFonts w:hint="default" w:ascii="Times New Roman" w:hAnsi="Times New Roman" w:eastAsia="宋体" w:cs="Times New Roman"/>
                <w:i w:val="0"/>
                <w:iCs w:val="0"/>
                <w:color w:val="auto"/>
                <w:kern w:val="0"/>
                <w:sz w:val="18"/>
                <w:szCs w:val="18"/>
                <w:u w:val="none" w:color="auto"/>
                <w:lang w:val="en-US" w:eastAsia="zh-CN" w:bidi="ar"/>
              </w:rPr>
              <w:t>10</w:t>
            </w:r>
          </w:p>
        </w:tc>
        <w:tc>
          <w:tcPr>
            <w:tcW w:w="1671" w:type="pct"/>
            <w:tcBorders>
              <w:tl2br w:val="nil"/>
              <w:tr2bl w:val="nil"/>
            </w:tcBorders>
            <w:noWrap w:val="0"/>
            <w:vAlign w:val="center"/>
          </w:tcPr>
          <w:p w14:paraId="454E269B">
            <w:pPr>
              <w:keepNext w:val="0"/>
              <w:keepLines w:val="0"/>
              <w:widowControl/>
              <w:suppressLineNumbers w:val="0"/>
              <w:jc w:val="center"/>
              <w:textAlignment w:val="top"/>
              <w:rPr>
                <w:rFonts w:hint="default" w:ascii="Times New Roman" w:hAnsi="Times New Roman" w:eastAsia="宋体" w:cs="Times New Roman"/>
                <w:i w:val="0"/>
                <w:iCs w:val="0"/>
                <w:color w:val="auto"/>
                <w:sz w:val="18"/>
                <w:szCs w:val="18"/>
                <w:u w:val="none" w:color="auto"/>
              </w:rPr>
            </w:pPr>
            <w:r>
              <w:rPr>
                <w:rFonts w:hint="default" w:ascii="Times New Roman" w:hAnsi="Times New Roman" w:eastAsia="宋体" w:cs="Times New Roman"/>
                <w:i w:val="0"/>
                <w:iCs w:val="0"/>
                <w:color w:val="auto"/>
                <w:kern w:val="0"/>
                <w:sz w:val="18"/>
                <w:szCs w:val="18"/>
                <w:u w:val="none" w:color="auto"/>
                <w:lang w:val="en-US" w:eastAsia="zh-CN" w:bidi="ar"/>
              </w:rPr>
              <w:t>1.11E-01</w:t>
            </w:r>
          </w:p>
        </w:tc>
        <w:tc>
          <w:tcPr>
            <w:tcW w:w="1673" w:type="pct"/>
            <w:tcBorders>
              <w:tl2br w:val="nil"/>
              <w:tr2bl w:val="nil"/>
            </w:tcBorders>
            <w:noWrap w:val="0"/>
            <w:vAlign w:val="center"/>
          </w:tcPr>
          <w:p w14:paraId="497259BA">
            <w:pPr>
              <w:keepNext w:val="0"/>
              <w:keepLines w:val="0"/>
              <w:widowControl/>
              <w:suppressLineNumbers w:val="0"/>
              <w:jc w:val="center"/>
              <w:textAlignment w:val="top"/>
              <w:rPr>
                <w:rFonts w:hint="default" w:ascii="Times New Roman" w:hAnsi="Times New Roman" w:eastAsia="宋体" w:cs="Times New Roman"/>
                <w:i w:val="0"/>
                <w:iCs w:val="0"/>
                <w:color w:val="auto"/>
                <w:sz w:val="18"/>
                <w:szCs w:val="18"/>
                <w:u w:val="none" w:color="auto"/>
              </w:rPr>
            </w:pPr>
            <w:r>
              <w:rPr>
                <w:rFonts w:hint="default" w:ascii="Times New Roman" w:hAnsi="Times New Roman" w:eastAsia="宋体" w:cs="Times New Roman"/>
                <w:i w:val="0"/>
                <w:iCs w:val="0"/>
                <w:color w:val="auto"/>
                <w:kern w:val="0"/>
                <w:sz w:val="18"/>
                <w:szCs w:val="18"/>
                <w:u w:val="none" w:color="auto"/>
                <w:lang w:val="en-US" w:eastAsia="zh-CN" w:bidi="ar"/>
              </w:rPr>
              <w:t>7.82E-38</w:t>
            </w:r>
          </w:p>
        </w:tc>
      </w:tr>
      <w:tr w14:paraId="61F7736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0" w:hRule="atLeast"/>
        </w:trPr>
        <w:tc>
          <w:tcPr>
            <w:tcW w:w="1654" w:type="pct"/>
            <w:tcBorders>
              <w:tl2br w:val="nil"/>
              <w:tr2bl w:val="nil"/>
            </w:tcBorders>
            <w:noWrap w:val="0"/>
            <w:vAlign w:val="center"/>
          </w:tcPr>
          <w:p w14:paraId="73431AAE">
            <w:pPr>
              <w:keepNext w:val="0"/>
              <w:keepLines w:val="0"/>
              <w:widowControl/>
              <w:suppressLineNumbers w:val="0"/>
              <w:jc w:val="center"/>
              <w:textAlignment w:val="top"/>
              <w:rPr>
                <w:rFonts w:hint="default" w:ascii="Times New Roman" w:hAnsi="Times New Roman" w:eastAsia="宋体" w:cs="Times New Roman"/>
                <w:i w:val="0"/>
                <w:iCs w:val="0"/>
                <w:color w:val="auto"/>
                <w:sz w:val="18"/>
                <w:szCs w:val="18"/>
                <w:u w:val="none" w:color="auto"/>
              </w:rPr>
            </w:pPr>
            <w:r>
              <w:rPr>
                <w:rFonts w:hint="default" w:ascii="Times New Roman" w:hAnsi="Times New Roman" w:eastAsia="宋体" w:cs="Times New Roman"/>
                <w:i w:val="0"/>
                <w:iCs w:val="0"/>
                <w:color w:val="auto"/>
                <w:kern w:val="0"/>
                <w:sz w:val="18"/>
                <w:szCs w:val="18"/>
                <w:u w:val="none" w:color="auto"/>
                <w:lang w:val="en-US" w:eastAsia="zh-CN" w:bidi="ar"/>
              </w:rPr>
              <w:t>100</w:t>
            </w:r>
          </w:p>
        </w:tc>
        <w:tc>
          <w:tcPr>
            <w:tcW w:w="1671" w:type="pct"/>
            <w:tcBorders>
              <w:tl2br w:val="nil"/>
              <w:tr2bl w:val="nil"/>
            </w:tcBorders>
            <w:noWrap w:val="0"/>
            <w:vAlign w:val="center"/>
          </w:tcPr>
          <w:p w14:paraId="6333FB64">
            <w:pPr>
              <w:keepNext w:val="0"/>
              <w:keepLines w:val="0"/>
              <w:widowControl/>
              <w:suppressLineNumbers w:val="0"/>
              <w:jc w:val="center"/>
              <w:textAlignment w:val="top"/>
              <w:rPr>
                <w:rFonts w:hint="default" w:ascii="Times New Roman" w:hAnsi="Times New Roman" w:eastAsia="宋体" w:cs="Times New Roman"/>
                <w:i w:val="0"/>
                <w:iCs w:val="0"/>
                <w:color w:val="auto"/>
                <w:sz w:val="18"/>
                <w:szCs w:val="18"/>
                <w:u w:val="none" w:color="auto"/>
              </w:rPr>
            </w:pPr>
            <w:r>
              <w:rPr>
                <w:rFonts w:hint="default" w:ascii="Times New Roman" w:hAnsi="Times New Roman" w:eastAsia="宋体" w:cs="Times New Roman"/>
                <w:i w:val="0"/>
                <w:iCs w:val="0"/>
                <w:color w:val="auto"/>
                <w:kern w:val="0"/>
                <w:sz w:val="18"/>
                <w:szCs w:val="18"/>
                <w:u w:val="none" w:color="auto"/>
                <w:lang w:val="en-US" w:eastAsia="zh-CN" w:bidi="ar"/>
              </w:rPr>
              <w:t>1.11E+00</w:t>
            </w:r>
          </w:p>
        </w:tc>
        <w:tc>
          <w:tcPr>
            <w:tcW w:w="1673" w:type="pct"/>
            <w:tcBorders>
              <w:tl2br w:val="nil"/>
              <w:tr2bl w:val="nil"/>
            </w:tcBorders>
            <w:noWrap w:val="0"/>
            <w:vAlign w:val="center"/>
          </w:tcPr>
          <w:p w14:paraId="0DFFBC2D">
            <w:pPr>
              <w:keepNext w:val="0"/>
              <w:keepLines w:val="0"/>
              <w:widowControl/>
              <w:suppressLineNumbers w:val="0"/>
              <w:jc w:val="center"/>
              <w:textAlignment w:val="top"/>
              <w:rPr>
                <w:rFonts w:hint="default" w:ascii="Times New Roman" w:hAnsi="Times New Roman" w:eastAsia="宋体" w:cs="Times New Roman"/>
                <w:i w:val="0"/>
                <w:iCs w:val="0"/>
                <w:color w:val="auto"/>
                <w:sz w:val="18"/>
                <w:szCs w:val="18"/>
                <w:u w:val="none" w:color="auto"/>
              </w:rPr>
            </w:pPr>
            <w:r>
              <w:rPr>
                <w:rFonts w:hint="default" w:ascii="Times New Roman" w:hAnsi="Times New Roman" w:eastAsia="宋体" w:cs="Times New Roman"/>
                <w:i w:val="0"/>
                <w:iCs w:val="0"/>
                <w:color w:val="auto"/>
                <w:kern w:val="0"/>
                <w:sz w:val="18"/>
                <w:szCs w:val="18"/>
                <w:u w:val="none" w:color="auto"/>
                <w:lang w:val="en-US" w:eastAsia="zh-CN" w:bidi="ar"/>
              </w:rPr>
              <w:t>6.50E+03</w:t>
            </w:r>
          </w:p>
        </w:tc>
      </w:tr>
      <w:tr w14:paraId="7D03AEF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0" w:hRule="atLeast"/>
        </w:trPr>
        <w:tc>
          <w:tcPr>
            <w:tcW w:w="1654" w:type="pct"/>
            <w:tcBorders>
              <w:tl2br w:val="nil"/>
              <w:tr2bl w:val="nil"/>
            </w:tcBorders>
            <w:noWrap w:val="0"/>
            <w:vAlign w:val="center"/>
          </w:tcPr>
          <w:p w14:paraId="028F2D85">
            <w:pPr>
              <w:keepNext w:val="0"/>
              <w:keepLines w:val="0"/>
              <w:widowControl/>
              <w:suppressLineNumbers w:val="0"/>
              <w:jc w:val="center"/>
              <w:textAlignment w:val="top"/>
              <w:rPr>
                <w:rFonts w:hint="default" w:ascii="Times New Roman" w:hAnsi="Times New Roman" w:eastAsia="宋体" w:cs="Times New Roman"/>
                <w:i w:val="0"/>
                <w:iCs w:val="0"/>
                <w:color w:val="auto"/>
                <w:sz w:val="18"/>
                <w:szCs w:val="18"/>
                <w:u w:val="none" w:color="auto"/>
              </w:rPr>
            </w:pPr>
            <w:r>
              <w:rPr>
                <w:rFonts w:hint="default" w:ascii="Times New Roman" w:hAnsi="Times New Roman" w:eastAsia="宋体" w:cs="Times New Roman"/>
                <w:i w:val="0"/>
                <w:iCs w:val="0"/>
                <w:color w:val="auto"/>
                <w:kern w:val="0"/>
                <w:sz w:val="18"/>
                <w:szCs w:val="18"/>
                <w:u w:val="none" w:color="auto"/>
                <w:lang w:val="en-US" w:eastAsia="zh-CN" w:bidi="ar"/>
              </w:rPr>
              <w:t>200</w:t>
            </w:r>
          </w:p>
        </w:tc>
        <w:tc>
          <w:tcPr>
            <w:tcW w:w="1671" w:type="pct"/>
            <w:tcBorders>
              <w:tl2br w:val="nil"/>
              <w:tr2bl w:val="nil"/>
            </w:tcBorders>
            <w:noWrap w:val="0"/>
            <w:vAlign w:val="center"/>
          </w:tcPr>
          <w:p w14:paraId="7C938B9E">
            <w:pPr>
              <w:keepNext w:val="0"/>
              <w:keepLines w:val="0"/>
              <w:widowControl/>
              <w:suppressLineNumbers w:val="0"/>
              <w:jc w:val="center"/>
              <w:textAlignment w:val="top"/>
              <w:rPr>
                <w:rFonts w:hint="default" w:ascii="Times New Roman" w:hAnsi="Times New Roman" w:eastAsia="宋体" w:cs="Times New Roman"/>
                <w:i w:val="0"/>
                <w:iCs w:val="0"/>
                <w:color w:val="auto"/>
                <w:sz w:val="18"/>
                <w:szCs w:val="18"/>
                <w:u w:val="none" w:color="auto"/>
              </w:rPr>
            </w:pPr>
            <w:r>
              <w:rPr>
                <w:rFonts w:hint="default" w:ascii="Times New Roman" w:hAnsi="Times New Roman" w:eastAsia="宋体" w:cs="Times New Roman"/>
                <w:i w:val="0"/>
                <w:iCs w:val="0"/>
                <w:color w:val="auto"/>
                <w:kern w:val="0"/>
                <w:sz w:val="18"/>
                <w:szCs w:val="18"/>
                <w:u w:val="none" w:color="auto"/>
                <w:lang w:val="en-US" w:eastAsia="zh-CN" w:bidi="ar"/>
              </w:rPr>
              <w:t>2.22E+00</w:t>
            </w:r>
          </w:p>
        </w:tc>
        <w:tc>
          <w:tcPr>
            <w:tcW w:w="1673" w:type="pct"/>
            <w:tcBorders>
              <w:tl2br w:val="nil"/>
              <w:tr2bl w:val="nil"/>
            </w:tcBorders>
            <w:noWrap w:val="0"/>
            <w:vAlign w:val="center"/>
          </w:tcPr>
          <w:p w14:paraId="79BDFBCC">
            <w:pPr>
              <w:keepNext w:val="0"/>
              <w:keepLines w:val="0"/>
              <w:widowControl/>
              <w:suppressLineNumbers w:val="0"/>
              <w:jc w:val="center"/>
              <w:textAlignment w:val="top"/>
              <w:rPr>
                <w:rFonts w:hint="default" w:ascii="Times New Roman" w:hAnsi="Times New Roman" w:eastAsia="宋体" w:cs="Times New Roman"/>
                <w:i w:val="0"/>
                <w:iCs w:val="0"/>
                <w:color w:val="auto"/>
                <w:sz w:val="18"/>
                <w:szCs w:val="18"/>
                <w:u w:val="none" w:color="auto"/>
              </w:rPr>
            </w:pPr>
            <w:r>
              <w:rPr>
                <w:rFonts w:hint="default" w:ascii="Times New Roman" w:hAnsi="Times New Roman" w:eastAsia="宋体" w:cs="Times New Roman"/>
                <w:i w:val="0"/>
                <w:iCs w:val="0"/>
                <w:color w:val="auto"/>
                <w:kern w:val="0"/>
                <w:sz w:val="18"/>
                <w:szCs w:val="18"/>
                <w:u w:val="none" w:color="auto"/>
                <w:lang w:val="en-US" w:eastAsia="zh-CN" w:bidi="ar"/>
              </w:rPr>
              <w:t>1.66E+04</w:t>
            </w:r>
          </w:p>
        </w:tc>
      </w:tr>
      <w:tr w14:paraId="340744B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0" w:hRule="atLeast"/>
        </w:trPr>
        <w:tc>
          <w:tcPr>
            <w:tcW w:w="1654" w:type="pct"/>
            <w:tcBorders>
              <w:tl2br w:val="nil"/>
              <w:tr2bl w:val="nil"/>
            </w:tcBorders>
            <w:noWrap w:val="0"/>
            <w:vAlign w:val="center"/>
          </w:tcPr>
          <w:p w14:paraId="711E21E4">
            <w:pPr>
              <w:keepNext w:val="0"/>
              <w:keepLines w:val="0"/>
              <w:widowControl/>
              <w:suppressLineNumbers w:val="0"/>
              <w:jc w:val="center"/>
              <w:textAlignment w:val="top"/>
              <w:rPr>
                <w:rFonts w:hint="default" w:ascii="Times New Roman" w:hAnsi="Times New Roman" w:eastAsia="宋体" w:cs="Times New Roman"/>
                <w:b/>
                <w:bCs/>
                <w:i w:val="0"/>
                <w:iCs w:val="0"/>
                <w:color w:val="auto"/>
                <w:sz w:val="18"/>
                <w:szCs w:val="18"/>
                <w:u w:val="none" w:color="auto"/>
              </w:rPr>
            </w:pPr>
            <w:r>
              <w:rPr>
                <w:rFonts w:hint="default" w:ascii="Times New Roman" w:hAnsi="Times New Roman" w:eastAsia="宋体" w:cs="Times New Roman"/>
                <w:b/>
                <w:bCs/>
                <w:i w:val="0"/>
                <w:iCs w:val="0"/>
                <w:color w:val="auto"/>
                <w:kern w:val="0"/>
                <w:sz w:val="18"/>
                <w:szCs w:val="18"/>
                <w:u w:val="none" w:color="auto"/>
                <w:lang w:val="en-US" w:eastAsia="zh-CN" w:bidi="ar"/>
              </w:rPr>
              <w:t>210</w:t>
            </w:r>
          </w:p>
        </w:tc>
        <w:tc>
          <w:tcPr>
            <w:tcW w:w="1671" w:type="pct"/>
            <w:tcBorders>
              <w:tl2br w:val="nil"/>
              <w:tr2bl w:val="nil"/>
            </w:tcBorders>
            <w:noWrap w:val="0"/>
            <w:vAlign w:val="center"/>
          </w:tcPr>
          <w:p w14:paraId="76CE3276">
            <w:pPr>
              <w:keepNext w:val="0"/>
              <w:keepLines w:val="0"/>
              <w:widowControl/>
              <w:suppressLineNumbers w:val="0"/>
              <w:jc w:val="center"/>
              <w:textAlignment w:val="top"/>
              <w:rPr>
                <w:rFonts w:hint="default" w:ascii="Times New Roman" w:hAnsi="Times New Roman" w:eastAsia="宋体" w:cs="Times New Roman"/>
                <w:b/>
                <w:bCs/>
                <w:i w:val="0"/>
                <w:iCs w:val="0"/>
                <w:color w:val="auto"/>
                <w:sz w:val="18"/>
                <w:szCs w:val="18"/>
                <w:u w:val="none" w:color="auto"/>
              </w:rPr>
            </w:pPr>
            <w:r>
              <w:rPr>
                <w:rFonts w:hint="default" w:ascii="Times New Roman" w:hAnsi="Times New Roman" w:eastAsia="宋体" w:cs="Times New Roman"/>
                <w:b/>
                <w:bCs/>
                <w:i w:val="0"/>
                <w:iCs w:val="0"/>
                <w:color w:val="auto"/>
                <w:kern w:val="0"/>
                <w:sz w:val="18"/>
                <w:szCs w:val="18"/>
                <w:u w:val="none" w:color="auto"/>
                <w:lang w:val="en-US" w:eastAsia="zh-CN" w:bidi="ar"/>
              </w:rPr>
              <w:t>2.33E+00</w:t>
            </w:r>
          </w:p>
        </w:tc>
        <w:tc>
          <w:tcPr>
            <w:tcW w:w="1673" w:type="pct"/>
            <w:tcBorders>
              <w:tl2br w:val="nil"/>
              <w:tr2bl w:val="nil"/>
            </w:tcBorders>
            <w:noWrap w:val="0"/>
            <w:vAlign w:val="center"/>
          </w:tcPr>
          <w:p w14:paraId="4C437501">
            <w:pPr>
              <w:keepNext w:val="0"/>
              <w:keepLines w:val="0"/>
              <w:widowControl/>
              <w:suppressLineNumbers w:val="0"/>
              <w:jc w:val="center"/>
              <w:textAlignment w:val="top"/>
              <w:rPr>
                <w:rFonts w:hint="default" w:ascii="Times New Roman" w:hAnsi="Times New Roman" w:eastAsia="宋体" w:cs="Times New Roman"/>
                <w:b/>
                <w:bCs/>
                <w:i w:val="0"/>
                <w:iCs w:val="0"/>
                <w:color w:val="auto"/>
                <w:sz w:val="18"/>
                <w:szCs w:val="18"/>
                <w:u w:val="none" w:color="auto"/>
              </w:rPr>
            </w:pPr>
            <w:r>
              <w:rPr>
                <w:rFonts w:hint="default" w:ascii="Times New Roman" w:hAnsi="Times New Roman" w:eastAsia="宋体" w:cs="Times New Roman"/>
                <w:b/>
                <w:bCs/>
                <w:i w:val="0"/>
                <w:iCs w:val="0"/>
                <w:color w:val="auto"/>
                <w:kern w:val="0"/>
                <w:sz w:val="18"/>
                <w:szCs w:val="18"/>
                <w:u w:val="none" w:color="auto"/>
                <w:lang w:val="en-US" w:eastAsia="zh-CN" w:bidi="ar"/>
              </w:rPr>
              <w:t>1.68E+04</w:t>
            </w:r>
          </w:p>
        </w:tc>
      </w:tr>
      <w:tr w14:paraId="3B40074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0" w:hRule="atLeast"/>
        </w:trPr>
        <w:tc>
          <w:tcPr>
            <w:tcW w:w="1654" w:type="pct"/>
            <w:tcBorders>
              <w:tl2br w:val="nil"/>
              <w:tr2bl w:val="nil"/>
            </w:tcBorders>
            <w:noWrap w:val="0"/>
            <w:vAlign w:val="center"/>
          </w:tcPr>
          <w:p w14:paraId="2CE08AB9">
            <w:pPr>
              <w:keepNext w:val="0"/>
              <w:keepLines w:val="0"/>
              <w:widowControl/>
              <w:suppressLineNumbers w:val="0"/>
              <w:jc w:val="center"/>
              <w:textAlignment w:val="top"/>
              <w:rPr>
                <w:rFonts w:hint="default" w:ascii="Times New Roman" w:hAnsi="Times New Roman" w:eastAsia="宋体" w:cs="Times New Roman"/>
                <w:b/>
                <w:bCs/>
                <w:i w:val="0"/>
                <w:iCs w:val="0"/>
                <w:color w:val="auto"/>
                <w:sz w:val="18"/>
                <w:szCs w:val="18"/>
                <w:u w:val="none" w:color="auto"/>
              </w:rPr>
            </w:pPr>
            <w:r>
              <w:rPr>
                <w:rFonts w:hint="default" w:ascii="Times New Roman" w:hAnsi="Times New Roman" w:eastAsia="宋体" w:cs="Times New Roman"/>
                <w:b/>
                <w:bCs/>
                <w:i w:val="0"/>
                <w:iCs w:val="0"/>
                <w:color w:val="auto"/>
                <w:kern w:val="0"/>
                <w:sz w:val="18"/>
                <w:szCs w:val="18"/>
                <w:u w:val="none" w:color="auto"/>
                <w:lang w:val="en-US" w:eastAsia="zh-CN" w:bidi="ar"/>
              </w:rPr>
              <w:t>220</w:t>
            </w:r>
          </w:p>
        </w:tc>
        <w:tc>
          <w:tcPr>
            <w:tcW w:w="1671" w:type="pct"/>
            <w:tcBorders>
              <w:tl2br w:val="nil"/>
              <w:tr2bl w:val="nil"/>
            </w:tcBorders>
            <w:noWrap w:val="0"/>
            <w:vAlign w:val="center"/>
          </w:tcPr>
          <w:p w14:paraId="75314331">
            <w:pPr>
              <w:keepNext w:val="0"/>
              <w:keepLines w:val="0"/>
              <w:widowControl/>
              <w:suppressLineNumbers w:val="0"/>
              <w:jc w:val="center"/>
              <w:textAlignment w:val="top"/>
              <w:rPr>
                <w:rFonts w:hint="default" w:ascii="Times New Roman" w:hAnsi="Times New Roman" w:eastAsia="宋体" w:cs="Times New Roman"/>
                <w:b/>
                <w:bCs/>
                <w:i w:val="0"/>
                <w:iCs w:val="0"/>
                <w:color w:val="auto"/>
                <w:sz w:val="18"/>
                <w:szCs w:val="18"/>
                <w:u w:val="none" w:color="auto"/>
              </w:rPr>
            </w:pPr>
            <w:r>
              <w:rPr>
                <w:rFonts w:hint="default" w:ascii="Times New Roman" w:hAnsi="Times New Roman" w:eastAsia="宋体" w:cs="Times New Roman"/>
                <w:b/>
                <w:bCs/>
                <w:i w:val="0"/>
                <w:iCs w:val="0"/>
                <w:color w:val="auto"/>
                <w:kern w:val="0"/>
                <w:sz w:val="18"/>
                <w:szCs w:val="18"/>
                <w:u w:val="none" w:color="auto"/>
                <w:lang w:val="en-US" w:eastAsia="zh-CN" w:bidi="ar"/>
              </w:rPr>
              <w:t>2.44E+00</w:t>
            </w:r>
          </w:p>
        </w:tc>
        <w:tc>
          <w:tcPr>
            <w:tcW w:w="1673" w:type="pct"/>
            <w:tcBorders>
              <w:tl2br w:val="nil"/>
              <w:tr2bl w:val="nil"/>
            </w:tcBorders>
            <w:noWrap w:val="0"/>
            <w:vAlign w:val="center"/>
          </w:tcPr>
          <w:p w14:paraId="56966C1C">
            <w:pPr>
              <w:keepNext w:val="0"/>
              <w:keepLines w:val="0"/>
              <w:widowControl/>
              <w:suppressLineNumbers w:val="0"/>
              <w:jc w:val="center"/>
              <w:textAlignment w:val="top"/>
              <w:rPr>
                <w:rFonts w:hint="default" w:ascii="Times New Roman" w:hAnsi="Times New Roman" w:eastAsia="宋体" w:cs="Times New Roman"/>
                <w:b/>
                <w:bCs/>
                <w:i w:val="0"/>
                <w:iCs w:val="0"/>
                <w:color w:val="auto"/>
                <w:sz w:val="18"/>
                <w:szCs w:val="18"/>
                <w:u w:val="none" w:color="auto"/>
              </w:rPr>
            </w:pPr>
            <w:r>
              <w:rPr>
                <w:rFonts w:hint="default" w:ascii="Times New Roman" w:hAnsi="Times New Roman" w:eastAsia="宋体" w:cs="Times New Roman"/>
                <w:b/>
                <w:bCs/>
                <w:i w:val="0"/>
                <w:iCs w:val="0"/>
                <w:color w:val="auto"/>
                <w:kern w:val="0"/>
                <w:sz w:val="18"/>
                <w:szCs w:val="18"/>
                <w:u w:val="none" w:color="auto"/>
                <w:lang w:val="en-US" w:eastAsia="zh-CN" w:bidi="ar"/>
              </w:rPr>
              <w:t>1.68E+04</w:t>
            </w:r>
          </w:p>
        </w:tc>
      </w:tr>
      <w:tr w14:paraId="517DC8C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0" w:hRule="atLeast"/>
        </w:trPr>
        <w:tc>
          <w:tcPr>
            <w:tcW w:w="1654" w:type="pct"/>
            <w:tcBorders>
              <w:tl2br w:val="nil"/>
              <w:tr2bl w:val="nil"/>
            </w:tcBorders>
            <w:noWrap w:val="0"/>
            <w:vAlign w:val="center"/>
          </w:tcPr>
          <w:p w14:paraId="4856E963">
            <w:pPr>
              <w:keepNext w:val="0"/>
              <w:keepLines w:val="0"/>
              <w:widowControl/>
              <w:suppressLineNumbers w:val="0"/>
              <w:jc w:val="center"/>
              <w:textAlignment w:val="top"/>
              <w:rPr>
                <w:rFonts w:hint="default" w:ascii="Times New Roman" w:hAnsi="Times New Roman" w:eastAsia="宋体" w:cs="Times New Roman"/>
                <w:b/>
                <w:bCs/>
                <w:i w:val="0"/>
                <w:iCs w:val="0"/>
                <w:color w:val="auto"/>
                <w:sz w:val="18"/>
                <w:szCs w:val="18"/>
                <w:u w:val="none" w:color="auto"/>
              </w:rPr>
            </w:pPr>
            <w:r>
              <w:rPr>
                <w:rFonts w:hint="default" w:ascii="Times New Roman" w:hAnsi="Times New Roman" w:eastAsia="宋体" w:cs="Times New Roman"/>
                <w:b/>
                <w:bCs/>
                <w:i w:val="0"/>
                <w:iCs w:val="0"/>
                <w:color w:val="auto"/>
                <w:kern w:val="0"/>
                <w:sz w:val="18"/>
                <w:szCs w:val="18"/>
                <w:u w:val="none" w:color="auto"/>
                <w:lang w:val="en-US" w:eastAsia="zh-CN" w:bidi="ar"/>
              </w:rPr>
              <w:t>230</w:t>
            </w:r>
          </w:p>
        </w:tc>
        <w:tc>
          <w:tcPr>
            <w:tcW w:w="1671" w:type="pct"/>
            <w:tcBorders>
              <w:tl2br w:val="nil"/>
              <w:tr2bl w:val="nil"/>
            </w:tcBorders>
            <w:noWrap w:val="0"/>
            <w:vAlign w:val="center"/>
          </w:tcPr>
          <w:p w14:paraId="5771DDB3">
            <w:pPr>
              <w:keepNext w:val="0"/>
              <w:keepLines w:val="0"/>
              <w:widowControl/>
              <w:suppressLineNumbers w:val="0"/>
              <w:jc w:val="center"/>
              <w:textAlignment w:val="top"/>
              <w:rPr>
                <w:rFonts w:hint="default" w:ascii="Times New Roman" w:hAnsi="Times New Roman" w:eastAsia="宋体" w:cs="Times New Roman"/>
                <w:b/>
                <w:bCs/>
                <w:i w:val="0"/>
                <w:iCs w:val="0"/>
                <w:color w:val="auto"/>
                <w:sz w:val="18"/>
                <w:szCs w:val="18"/>
                <w:u w:val="none" w:color="auto"/>
              </w:rPr>
            </w:pPr>
            <w:r>
              <w:rPr>
                <w:rFonts w:hint="default" w:ascii="Times New Roman" w:hAnsi="Times New Roman" w:eastAsia="宋体" w:cs="Times New Roman"/>
                <w:b/>
                <w:bCs/>
                <w:i w:val="0"/>
                <w:iCs w:val="0"/>
                <w:color w:val="auto"/>
                <w:kern w:val="0"/>
                <w:sz w:val="18"/>
                <w:szCs w:val="18"/>
                <w:u w:val="none" w:color="auto"/>
                <w:lang w:val="en-US" w:eastAsia="zh-CN" w:bidi="ar"/>
              </w:rPr>
              <w:t>2.56E+00</w:t>
            </w:r>
          </w:p>
        </w:tc>
        <w:tc>
          <w:tcPr>
            <w:tcW w:w="1673" w:type="pct"/>
            <w:tcBorders>
              <w:tl2br w:val="nil"/>
              <w:tr2bl w:val="nil"/>
            </w:tcBorders>
            <w:noWrap w:val="0"/>
            <w:vAlign w:val="center"/>
          </w:tcPr>
          <w:p w14:paraId="08E5E6C1">
            <w:pPr>
              <w:keepNext w:val="0"/>
              <w:keepLines w:val="0"/>
              <w:widowControl/>
              <w:suppressLineNumbers w:val="0"/>
              <w:jc w:val="center"/>
              <w:textAlignment w:val="top"/>
              <w:rPr>
                <w:rFonts w:hint="default" w:ascii="Times New Roman" w:hAnsi="Times New Roman" w:eastAsia="宋体" w:cs="Times New Roman"/>
                <w:b/>
                <w:bCs/>
                <w:i w:val="0"/>
                <w:iCs w:val="0"/>
                <w:color w:val="auto"/>
                <w:sz w:val="18"/>
                <w:szCs w:val="18"/>
                <w:u w:val="none" w:color="auto"/>
              </w:rPr>
            </w:pPr>
            <w:r>
              <w:rPr>
                <w:rFonts w:hint="default" w:ascii="Times New Roman" w:hAnsi="Times New Roman" w:eastAsia="宋体" w:cs="Times New Roman"/>
                <w:b/>
                <w:bCs/>
                <w:i w:val="0"/>
                <w:iCs w:val="0"/>
                <w:color w:val="auto"/>
                <w:kern w:val="0"/>
                <w:sz w:val="18"/>
                <w:szCs w:val="18"/>
                <w:u w:val="none" w:color="auto"/>
                <w:lang w:val="en-US" w:eastAsia="zh-CN" w:bidi="ar"/>
              </w:rPr>
              <w:t>1.68E+04</w:t>
            </w:r>
          </w:p>
        </w:tc>
      </w:tr>
      <w:tr w14:paraId="1ABD512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0" w:hRule="atLeast"/>
        </w:trPr>
        <w:tc>
          <w:tcPr>
            <w:tcW w:w="2997" w:type="dxa"/>
            <w:tcBorders>
              <w:tl2br w:val="nil"/>
              <w:tr2bl w:val="nil"/>
            </w:tcBorders>
            <w:noWrap w:val="0"/>
            <w:vAlign w:val="top"/>
          </w:tcPr>
          <w:p w14:paraId="3C4CAC02">
            <w:pPr>
              <w:keepNext w:val="0"/>
              <w:keepLines w:val="0"/>
              <w:widowControl/>
              <w:suppressLineNumbers w:val="0"/>
              <w:jc w:val="center"/>
              <w:textAlignment w:val="top"/>
              <w:rPr>
                <w:rFonts w:hint="default" w:ascii="Times New Roman" w:hAnsi="Times New Roman" w:eastAsia="宋体" w:cs="Times New Roman"/>
                <w:b/>
                <w:bCs/>
                <w:i w:val="0"/>
                <w:iCs w:val="0"/>
                <w:color w:val="auto"/>
                <w:kern w:val="0"/>
                <w:sz w:val="18"/>
                <w:szCs w:val="18"/>
                <w:u w:val="none" w:color="auto"/>
                <w:lang w:val="en-US" w:eastAsia="zh-CN" w:bidi="ar"/>
              </w:rPr>
            </w:pPr>
            <w:r>
              <w:rPr>
                <w:rFonts w:hint="default" w:ascii="Times New Roman" w:hAnsi="Times New Roman" w:eastAsia="宋体" w:cs="Times New Roman"/>
                <w:i w:val="0"/>
                <w:iCs w:val="0"/>
                <w:color w:val="auto"/>
                <w:kern w:val="0"/>
                <w:sz w:val="18"/>
                <w:szCs w:val="18"/>
                <w:u w:val="none" w:color="auto"/>
                <w:lang w:val="en-US" w:eastAsia="zh-CN" w:bidi="ar"/>
              </w:rPr>
              <w:t>300</w:t>
            </w:r>
          </w:p>
        </w:tc>
        <w:tc>
          <w:tcPr>
            <w:tcW w:w="3029" w:type="dxa"/>
            <w:tcBorders>
              <w:tl2br w:val="nil"/>
              <w:tr2bl w:val="nil"/>
            </w:tcBorders>
            <w:noWrap w:val="0"/>
            <w:vAlign w:val="top"/>
          </w:tcPr>
          <w:p w14:paraId="328A7014">
            <w:pPr>
              <w:keepNext w:val="0"/>
              <w:keepLines w:val="0"/>
              <w:widowControl/>
              <w:suppressLineNumbers w:val="0"/>
              <w:jc w:val="center"/>
              <w:textAlignment w:val="top"/>
              <w:rPr>
                <w:rFonts w:hint="default" w:ascii="Times New Roman" w:hAnsi="Times New Roman" w:eastAsia="宋体" w:cs="Times New Roman"/>
                <w:b/>
                <w:bCs/>
                <w:i w:val="0"/>
                <w:iCs w:val="0"/>
                <w:color w:val="auto"/>
                <w:kern w:val="0"/>
                <w:sz w:val="18"/>
                <w:szCs w:val="18"/>
                <w:u w:val="none" w:color="auto"/>
                <w:lang w:val="en-US" w:eastAsia="zh-CN" w:bidi="ar"/>
              </w:rPr>
            </w:pPr>
            <w:r>
              <w:rPr>
                <w:rFonts w:hint="default" w:ascii="Times New Roman" w:hAnsi="Times New Roman" w:eastAsia="宋体" w:cs="Times New Roman"/>
                <w:i w:val="0"/>
                <w:iCs w:val="0"/>
                <w:color w:val="auto"/>
                <w:kern w:val="0"/>
                <w:sz w:val="18"/>
                <w:szCs w:val="18"/>
                <w:u w:val="none" w:color="auto"/>
                <w:lang w:val="en-US" w:eastAsia="zh-CN" w:bidi="ar"/>
              </w:rPr>
              <w:t>3.33E+00</w:t>
            </w:r>
          </w:p>
        </w:tc>
        <w:tc>
          <w:tcPr>
            <w:tcW w:w="3032" w:type="dxa"/>
            <w:tcBorders>
              <w:tl2br w:val="nil"/>
              <w:tr2bl w:val="nil"/>
            </w:tcBorders>
            <w:noWrap w:val="0"/>
            <w:vAlign w:val="top"/>
          </w:tcPr>
          <w:p w14:paraId="61A02ED0">
            <w:pPr>
              <w:keepNext w:val="0"/>
              <w:keepLines w:val="0"/>
              <w:widowControl/>
              <w:suppressLineNumbers w:val="0"/>
              <w:jc w:val="center"/>
              <w:textAlignment w:val="top"/>
              <w:rPr>
                <w:rFonts w:hint="default" w:ascii="Times New Roman" w:hAnsi="Times New Roman" w:eastAsia="宋体" w:cs="Times New Roman"/>
                <w:b/>
                <w:bCs/>
                <w:i w:val="0"/>
                <w:iCs w:val="0"/>
                <w:color w:val="auto"/>
                <w:kern w:val="0"/>
                <w:sz w:val="18"/>
                <w:szCs w:val="18"/>
                <w:u w:val="none" w:color="auto"/>
                <w:lang w:val="en-US" w:eastAsia="zh-CN" w:bidi="ar"/>
              </w:rPr>
            </w:pPr>
            <w:r>
              <w:rPr>
                <w:rFonts w:hint="default" w:ascii="Times New Roman" w:hAnsi="Times New Roman" w:eastAsia="宋体" w:cs="Times New Roman"/>
                <w:i w:val="0"/>
                <w:iCs w:val="0"/>
                <w:color w:val="auto"/>
                <w:kern w:val="0"/>
                <w:sz w:val="18"/>
                <w:szCs w:val="18"/>
                <w:u w:val="none" w:color="auto"/>
                <w:lang w:val="en-US" w:eastAsia="zh-CN" w:bidi="ar"/>
              </w:rPr>
              <w:t>1.54E+04</w:t>
            </w:r>
          </w:p>
        </w:tc>
      </w:tr>
      <w:tr w14:paraId="3851A83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0" w:hRule="atLeast"/>
        </w:trPr>
        <w:tc>
          <w:tcPr>
            <w:tcW w:w="1654" w:type="pct"/>
            <w:tcBorders>
              <w:tl2br w:val="nil"/>
              <w:tr2bl w:val="nil"/>
            </w:tcBorders>
            <w:noWrap w:val="0"/>
            <w:vAlign w:val="center"/>
          </w:tcPr>
          <w:p w14:paraId="6495A2D3">
            <w:pPr>
              <w:keepNext w:val="0"/>
              <w:keepLines w:val="0"/>
              <w:widowControl/>
              <w:suppressLineNumbers w:val="0"/>
              <w:jc w:val="center"/>
              <w:textAlignment w:val="top"/>
              <w:rPr>
                <w:rFonts w:hint="default" w:ascii="Times New Roman" w:hAnsi="Times New Roman" w:eastAsia="宋体" w:cs="Times New Roman"/>
                <w:i w:val="0"/>
                <w:iCs w:val="0"/>
                <w:color w:val="auto"/>
                <w:sz w:val="18"/>
                <w:szCs w:val="18"/>
                <w:u w:val="none" w:color="auto"/>
              </w:rPr>
            </w:pPr>
            <w:r>
              <w:rPr>
                <w:rFonts w:hint="default" w:ascii="Times New Roman" w:hAnsi="Times New Roman" w:eastAsia="宋体" w:cs="Times New Roman"/>
                <w:i w:val="0"/>
                <w:iCs w:val="0"/>
                <w:color w:val="auto"/>
                <w:kern w:val="0"/>
                <w:sz w:val="18"/>
                <w:szCs w:val="18"/>
                <w:u w:val="none" w:color="auto"/>
                <w:lang w:val="en-US" w:eastAsia="zh-CN" w:bidi="ar"/>
              </w:rPr>
              <w:t>400</w:t>
            </w:r>
          </w:p>
        </w:tc>
        <w:tc>
          <w:tcPr>
            <w:tcW w:w="1671" w:type="pct"/>
            <w:tcBorders>
              <w:tl2br w:val="nil"/>
              <w:tr2bl w:val="nil"/>
            </w:tcBorders>
            <w:noWrap w:val="0"/>
            <w:vAlign w:val="center"/>
          </w:tcPr>
          <w:p w14:paraId="6F642572">
            <w:pPr>
              <w:keepNext w:val="0"/>
              <w:keepLines w:val="0"/>
              <w:widowControl/>
              <w:suppressLineNumbers w:val="0"/>
              <w:jc w:val="center"/>
              <w:textAlignment w:val="top"/>
              <w:rPr>
                <w:rFonts w:hint="default" w:ascii="Times New Roman" w:hAnsi="Times New Roman" w:eastAsia="宋体" w:cs="Times New Roman"/>
                <w:i w:val="0"/>
                <w:iCs w:val="0"/>
                <w:color w:val="auto"/>
                <w:sz w:val="18"/>
                <w:szCs w:val="18"/>
                <w:u w:val="none" w:color="auto"/>
              </w:rPr>
            </w:pPr>
            <w:r>
              <w:rPr>
                <w:rFonts w:hint="default" w:ascii="Times New Roman" w:hAnsi="Times New Roman" w:eastAsia="宋体" w:cs="Times New Roman"/>
                <w:i w:val="0"/>
                <w:iCs w:val="0"/>
                <w:color w:val="auto"/>
                <w:kern w:val="0"/>
                <w:sz w:val="18"/>
                <w:szCs w:val="18"/>
                <w:u w:val="none" w:color="auto"/>
                <w:lang w:val="en-US" w:eastAsia="zh-CN" w:bidi="ar"/>
              </w:rPr>
              <w:t>4.44E+00</w:t>
            </w:r>
          </w:p>
        </w:tc>
        <w:tc>
          <w:tcPr>
            <w:tcW w:w="1673" w:type="pct"/>
            <w:tcBorders>
              <w:tl2br w:val="nil"/>
              <w:tr2bl w:val="nil"/>
            </w:tcBorders>
            <w:noWrap w:val="0"/>
            <w:vAlign w:val="center"/>
          </w:tcPr>
          <w:p w14:paraId="7FF28AC8">
            <w:pPr>
              <w:keepNext w:val="0"/>
              <w:keepLines w:val="0"/>
              <w:widowControl/>
              <w:suppressLineNumbers w:val="0"/>
              <w:jc w:val="center"/>
              <w:textAlignment w:val="top"/>
              <w:rPr>
                <w:rFonts w:hint="default" w:ascii="Times New Roman" w:hAnsi="Times New Roman" w:eastAsia="宋体" w:cs="Times New Roman"/>
                <w:i w:val="0"/>
                <w:iCs w:val="0"/>
                <w:color w:val="auto"/>
                <w:sz w:val="18"/>
                <w:szCs w:val="18"/>
                <w:u w:val="none" w:color="auto"/>
              </w:rPr>
            </w:pPr>
            <w:r>
              <w:rPr>
                <w:rFonts w:hint="default" w:ascii="Times New Roman" w:hAnsi="Times New Roman" w:eastAsia="宋体" w:cs="Times New Roman"/>
                <w:i w:val="0"/>
                <w:iCs w:val="0"/>
                <w:color w:val="auto"/>
                <w:kern w:val="0"/>
                <w:sz w:val="18"/>
                <w:szCs w:val="18"/>
                <w:u w:val="none" w:color="auto"/>
                <w:lang w:val="en-US" w:eastAsia="zh-CN" w:bidi="ar"/>
              </w:rPr>
              <w:t>1.23E+04</w:t>
            </w:r>
          </w:p>
        </w:tc>
      </w:tr>
      <w:tr w14:paraId="59998AD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0" w:hRule="atLeast"/>
        </w:trPr>
        <w:tc>
          <w:tcPr>
            <w:tcW w:w="1654" w:type="pct"/>
            <w:tcBorders>
              <w:tl2br w:val="nil"/>
              <w:tr2bl w:val="nil"/>
            </w:tcBorders>
            <w:noWrap w:val="0"/>
            <w:vAlign w:val="center"/>
          </w:tcPr>
          <w:p w14:paraId="0DDDACA2">
            <w:pPr>
              <w:keepNext w:val="0"/>
              <w:keepLines w:val="0"/>
              <w:widowControl/>
              <w:suppressLineNumbers w:val="0"/>
              <w:jc w:val="center"/>
              <w:textAlignment w:val="top"/>
              <w:rPr>
                <w:rFonts w:hint="default" w:ascii="Times New Roman" w:hAnsi="Times New Roman" w:eastAsia="宋体" w:cs="Times New Roman"/>
                <w:i w:val="0"/>
                <w:iCs w:val="0"/>
                <w:color w:val="auto"/>
                <w:sz w:val="18"/>
                <w:szCs w:val="18"/>
                <w:u w:val="none" w:color="auto"/>
              </w:rPr>
            </w:pPr>
            <w:r>
              <w:rPr>
                <w:rFonts w:hint="default" w:ascii="Times New Roman" w:hAnsi="Times New Roman" w:eastAsia="宋体" w:cs="Times New Roman"/>
                <w:i w:val="0"/>
                <w:iCs w:val="0"/>
                <w:color w:val="auto"/>
                <w:kern w:val="0"/>
                <w:sz w:val="18"/>
                <w:szCs w:val="18"/>
                <w:u w:val="none" w:color="auto"/>
                <w:lang w:val="en-US" w:eastAsia="zh-CN" w:bidi="ar"/>
              </w:rPr>
              <w:t>500</w:t>
            </w:r>
          </w:p>
        </w:tc>
        <w:tc>
          <w:tcPr>
            <w:tcW w:w="1671" w:type="pct"/>
            <w:tcBorders>
              <w:tl2br w:val="nil"/>
              <w:tr2bl w:val="nil"/>
            </w:tcBorders>
            <w:noWrap w:val="0"/>
            <w:vAlign w:val="center"/>
          </w:tcPr>
          <w:p w14:paraId="1D4261F4">
            <w:pPr>
              <w:keepNext w:val="0"/>
              <w:keepLines w:val="0"/>
              <w:widowControl/>
              <w:suppressLineNumbers w:val="0"/>
              <w:jc w:val="center"/>
              <w:textAlignment w:val="top"/>
              <w:rPr>
                <w:rFonts w:hint="default" w:ascii="Times New Roman" w:hAnsi="Times New Roman" w:eastAsia="宋体" w:cs="Times New Roman"/>
                <w:i w:val="0"/>
                <w:iCs w:val="0"/>
                <w:color w:val="auto"/>
                <w:sz w:val="18"/>
                <w:szCs w:val="18"/>
                <w:u w:val="none" w:color="auto"/>
              </w:rPr>
            </w:pPr>
            <w:r>
              <w:rPr>
                <w:rFonts w:hint="default" w:ascii="Times New Roman" w:hAnsi="Times New Roman" w:eastAsia="宋体" w:cs="Times New Roman"/>
                <w:i w:val="0"/>
                <w:iCs w:val="0"/>
                <w:color w:val="auto"/>
                <w:kern w:val="0"/>
                <w:sz w:val="18"/>
                <w:szCs w:val="18"/>
                <w:u w:val="none" w:color="auto"/>
                <w:lang w:val="en-US" w:eastAsia="zh-CN" w:bidi="ar"/>
              </w:rPr>
              <w:t>5.56E+00</w:t>
            </w:r>
          </w:p>
        </w:tc>
        <w:tc>
          <w:tcPr>
            <w:tcW w:w="1673" w:type="pct"/>
            <w:tcBorders>
              <w:tl2br w:val="nil"/>
              <w:tr2bl w:val="nil"/>
            </w:tcBorders>
            <w:noWrap w:val="0"/>
            <w:vAlign w:val="center"/>
          </w:tcPr>
          <w:p w14:paraId="563AD165">
            <w:pPr>
              <w:keepNext w:val="0"/>
              <w:keepLines w:val="0"/>
              <w:widowControl/>
              <w:suppressLineNumbers w:val="0"/>
              <w:jc w:val="center"/>
              <w:textAlignment w:val="top"/>
              <w:rPr>
                <w:rFonts w:hint="default" w:ascii="Times New Roman" w:hAnsi="Times New Roman" w:eastAsia="宋体" w:cs="Times New Roman"/>
                <w:i w:val="0"/>
                <w:iCs w:val="0"/>
                <w:color w:val="auto"/>
                <w:sz w:val="18"/>
                <w:szCs w:val="18"/>
                <w:u w:val="none" w:color="auto"/>
              </w:rPr>
            </w:pPr>
            <w:r>
              <w:rPr>
                <w:rFonts w:hint="default" w:ascii="Times New Roman" w:hAnsi="Times New Roman" w:eastAsia="宋体" w:cs="Times New Roman"/>
                <w:i w:val="0"/>
                <w:iCs w:val="0"/>
                <w:color w:val="auto"/>
                <w:kern w:val="0"/>
                <w:sz w:val="18"/>
                <w:szCs w:val="18"/>
                <w:u w:val="none" w:color="auto"/>
                <w:lang w:val="en-US" w:eastAsia="zh-CN" w:bidi="ar"/>
              </w:rPr>
              <w:t>9.75E+03</w:t>
            </w:r>
          </w:p>
        </w:tc>
      </w:tr>
      <w:tr w14:paraId="1498C49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0" w:hRule="atLeast"/>
        </w:trPr>
        <w:tc>
          <w:tcPr>
            <w:tcW w:w="1654" w:type="pct"/>
            <w:tcBorders>
              <w:tl2br w:val="nil"/>
              <w:tr2bl w:val="nil"/>
            </w:tcBorders>
            <w:noWrap w:val="0"/>
            <w:vAlign w:val="center"/>
          </w:tcPr>
          <w:p w14:paraId="3CD4F7C3">
            <w:pPr>
              <w:keepNext w:val="0"/>
              <w:keepLines w:val="0"/>
              <w:widowControl/>
              <w:suppressLineNumbers w:val="0"/>
              <w:jc w:val="center"/>
              <w:textAlignment w:val="top"/>
              <w:rPr>
                <w:rFonts w:hint="default" w:ascii="Times New Roman" w:hAnsi="Times New Roman" w:eastAsia="宋体" w:cs="Times New Roman"/>
                <w:i w:val="0"/>
                <w:iCs w:val="0"/>
                <w:color w:val="auto"/>
                <w:sz w:val="18"/>
                <w:szCs w:val="18"/>
                <w:u w:val="none" w:color="auto"/>
              </w:rPr>
            </w:pPr>
            <w:r>
              <w:rPr>
                <w:rFonts w:hint="default" w:ascii="Times New Roman" w:hAnsi="Times New Roman" w:eastAsia="宋体" w:cs="Times New Roman"/>
                <w:i w:val="0"/>
                <w:iCs w:val="0"/>
                <w:color w:val="auto"/>
                <w:kern w:val="0"/>
                <w:sz w:val="18"/>
                <w:szCs w:val="18"/>
                <w:u w:val="none" w:color="auto"/>
                <w:lang w:val="en-US" w:eastAsia="zh-CN" w:bidi="ar"/>
              </w:rPr>
              <w:t>600</w:t>
            </w:r>
          </w:p>
        </w:tc>
        <w:tc>
          <w:tcPr>
            <w:tcW w:w="1671" w:type="pct"/>
            <w:tcBorders>
              <w:tl2br w:val="nil"/>
              <w:tr2bl w:val="nil"/>
            </w:tcBorders>
            <w:noWrap w:val="0"/>
            <w:vAlign w:val="center"/>
          </w:tcPr>
          <w:p w14:paraId="3B1A1EC7">
            <w:pPr>
              <w:keepNext w:val="0"/>
              <w:keepLines w:val="0"/>
              <w:widowControl/>
              <w:suppressLineNumbers w:val="0"/>
              <w:jc w:val="center"/>
              <w:textAlignment w:val="top"/>
              <w:rPr>
                <w:rFonts w:hint="default" w:ascii="Times New Roman" w:hAnsi="Times New Roman" w:eastAsia="宋体" w:cs="Times New Roman"/>
                <w:i w:val="0"/>
                <w:iCs w:val="0"/>
                <w:color w:val="auto"/>
                <w:sz w:val="18"/>
                <w:szCs w:val="18"/>
                <w:u w:val="none" w:color="auto"/>
              </w:rPr>
            </w:pPr>
            <w:r>
              <w:rPr>
                <w:rFonts w:hint="default" w:ascii="Times New Roman" w:hAnsi="Times New Roman" w:eastAsia="宋体" w:cs="Times New Roman"/>
                <w:i w:val="0"/>
                <w:iCs w:val="0"/>
                <w:color w:val="auto"/>
                <w:kern w:val="0"/>
                <w:sz w:val="18"/>
                <w:szCs w:val="18"/>
                <w:u w:val="none" w:color="auto"/>
                <w:lang w:val="en-US" w:eastAsia="zh-CN" w:bidi="ar"/>
              </w:rPr>
              <w:t>6.67E+00</w:t>
            </w:r>
          </w:p>
        </w:tc>
        <w:tc>
          <w:tcPr>
            <w:tcW w:w="1673" w:type="pct"/>
            <w:tcBorders>
              <w:tl2br w:val="nil"/>
              <w:tr2bl w:val="nil"/>
            </w:tcBorders>
            <w:noWrap w:val="0"/>
            <w:vAlign w:val="center"/>
          </w:tcPr>
          <w:p w14:paraId="31D8EE8C">
            <w:pPr>
              <w:keepNext w:val="0"/>
              <w:keepLines w:val="0"/>
              <w:widowControl/>
              <w:suppressLineNumbers w:val="0"/>
              <w:jc w:val="center"/>
              <w:textAlignment w:val="top"/>
              <w:rPr>
                <w:rFonts w:hint="default" w:ascii="Times New Roman" w:hAnsi="Times New Roman" w:eastAsia="宋体" w:cs="Times New Roman"/>
                <w:i w:val="0"/>
                <w:iCs w:val="0"/>
                <w:color w:val="auto"/>
                <w:sz w:val="18"/>
                <w:szCs w:val="18"/>
                <w:u w:val="none" w:color="auto"/>
              </w:rPr>
            </w:pPr>
            <w:r>
              <w:rPr>
                <w:rFonts w:hint="default" w:ascii="Times New Roman" w:hAnsi="Times New Roman" w:eastAsia="宋体" w:cs="Times New Roman"/>
                <w:i w:val="0"/>
                <w:iCs w:val="0"/>
                <w:color w:val="auto"/>
                <w:kern w:val="0"/>
                <w:sz w:val="18"/>
                <w:szCs w:val="18"/>
                <w:u w:val="none" w:color="auto"/>
                <w:lang w:val="en-US" w:eastAsia="zh-CN" w:bidi="ar"/>
              </w:rPr>
              <w:t>7.82E+03</w:t>
            </w:r>
          </w:p>
        </w:tc>
      </w:tr>
      <w:tr w14:paraId="65B5600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0" w:hRule="atLeast"/>
        </w:trPr>
        <w:tc>
          <w:tcPr>
            <w:tcW w:w="1654" w:type="pct"/>
            <w:tcBorders>
              <w:tl2br w:val="nil"/>
              <w:tr2bl w:val="nil"/>
            </w:tcBorders>
            <w:noWrap w:val="0"/>
            <w:vAlign w:val="center"/>
          </w:tcPr>
          <w:p w14:paraId="757B22A2">
            <w:pPr>
              <w:keepNext w:val="0"/>
              <w:keepLines w:val="0"/>
              <w:widowControl/>
              <w:suppressLineNumbers w:val="0"/>
              <w:jc w:val="center"/>
              <w:textAlignment w:val="top"/>
              <w:rPr>
                <w:rFonts w:hint="default" w:ascii="Times New Roman" w:hAnsi="Times New Roman" w:eastAsia="宋体" w:cs="Times New Roman"/>
                <w:i w:val="0"/>
                <w:iCs w:val="0"/>
                <w:color w:val="auto"/>
                <w:sz w:val="18"/>
                <w:szCs w:val="18"/>
                <w:u w:val="none" w:color="auto"/>
              </w:rPr>
            </w:pPr>
            <w:r>
              <w:rPr>
                <w:rFonts w:hint="default" w:ascii="Times New Roman" w:hAnsi="Times New Roman" w:eastAsia="宋体" w:cs="Times New Roman"/>
                <w:i w:val="0"/>
                <w:iCs w:val="0"/>
                <w:color w:val="auto"/>
                <w:kern w:val="0"/>
                <w:sz w:val="18"/>
                <w:szCs w:val="18"/>
                <w:u w:val="none" w:color="auto"/>
                <w:lang w:val="en-US" w:eastAsia="zh-CN" w:bidi="ar"/>
              </w:rPr>
              <w:t>700</w:t>
            </w:r>
          </w:p>
        </w:tc>
        <w:tc>
          <w:tcPr>
            <w:tcW w:w="1671" w:type="pct"/>
            <w:tcBorders>
              <w:tl2br w:val="nil"/>
              <w:tr2bl w:val="nil"/>
            </w:tcBorders>
            <w:noWrap w:val="0"/>
            <w:vAlign w:val="center"/>
          </w:tcPr>
          <w:p w14:paraId="1B66C9EF">
            <w:pPr>
              <w:keepNext w:val="0"/>
              <w:keepLines w:val="0"/>
              <w:widowControl/>
              <w:suppressLineNumbers w:val="0"/>
              <w:jc w:val="center"/>
              <w:textAlignment w:val="top"/>
              <w:rPr>
                <w:rFonts w:hint="default" w:ascii="Times New Roman" w:hAnsi="Times New Roman" w:eastAsia="宋体" w:cs="Times New Roman"/>
                <w:i w:val="0"/>
                <w:iCs w:val="0"/>
                <w:color w:val="auto"/>
                <w:sz w:val="18"/>
                <w:szCs w:val="18"/>
                <w:u w:val="none" w:color="auto"/>
              </w:rPr>
            </w:pPr>
            <w:r>
              <w:rPr>
                <w:rFonts w:hint="default" w:ascii="Times New Roman" w:hAnsi="Times New Roman" w:eastAsia="宋体" w:cs="Times New Roman"/>
                <w:i w:val="0"/>
                <w:iCs w:val="0"/>
                <w:color w:val="auto"/>
                <w:kern w:val="0"/>
                <w:sz w:val="18"/>
                <w:szCs w:val="18"/>
                <w:u w:val="none" w:color="auto"/>
                <w:lang w:val="en-US" w:eastAsia="zh-CN" w:bidi="ar"/>
              </w:rPr>
              <w:t>7.78E+00</w:t>
            </w:r>
          </w:p>
        </w:tc>
        <w:tc>
          <w:tcPr>
            <w:tcW w:w="1673" w:type="pct"/>
            <w:tcBorders>
              <w:tl2br w:val="nil"/>
              <w:tr2bl w:val="nil"/>
            </w:tcBorders>
            <w:noWrap w:val="0"/>
            <w:vAlign w:val="center"/>
          </w:tcPr>
          <w:p w14:paraId="6BCFFCF6">
            <w:pPr>
              <w:keepNext w:val="0"/>
              <w:keepLines w:val="0"/>
              <w:widowControl/>
              <w:suppressLineNumbers w:val="0"/>
              <w:jc w:val="center"/>
              <w:textAlignment w:val="top"/>
              <w:rPr>
                <w:rFonts w:hint="default" w:ascii="Times New Roman" w:hAnsi="Times New Roman" w:eastAsia="宋体" w:cs="Times New Roman"/>
                <w:i w:val="0"/>
                <w:iCs w:val="0"/>
                <w:color w:val="auto"/>
                <w:sz w:val="18"/>
                <w:szCs w:val="18"/>
                <w:u w:val="none" w:color="auto"/>
              </w:rPr>
            </w:pPr>
            <w:r>
              <w:rPr>
                <w:rFonts w:hint="default" w:ascii="Times New Roman" w:hAnsi="Times New Roman" w:eastAsia="宋体" w:cs="Times New Roman"/>
                <w:i w:val="0"/>
                <w:iCs w:val="0"/>
                <w:color w:val="auto"/>
                <w:kern w:val="0"/>
                <w:sz w:val="18"/>
                <w:szCs w:val="18"/>
                <w:u w:val="none" w:color="auto"/>
                <w:lang w:val="en-US" w:eastAsia="zh-CN" w:bidi="ar"/>
              </w:rPr>
              <w:t>6.38E+03</w:t>
            </w:r>
          </w:p>
        </w:tc>
      </w:tr>
      <w:tr w14:paraId="471A1E5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0" w:hRule="atLeast"/>
        </w:trPr>
        <w:tc>
          <w:tcPr>
            <w:tcW w:w="1654" w:type="pct"/>
            <w:tcBorders>
              <w:tl2br w:val="nil"/>
              <w:tr2bl w:val="nil"/>
            </w:tcBorders>
            <w:noWrap w:val="0"/>
            <w:vAlign w:val="center"/>
          </w:tcPr>
          <w:p w14:paraId="649B06A4">
            <w:pPr>
              <w:keepNext w:val="0"/>
              <w:keepLines w:val="0"/>
              <w:widowControl/>
              <w:suppressLineNumbers w:val="0"/>
              <w:jc w:val="center"/>
              <w:textAlignment w:val="top"/>
              <w:rPr>
                <w:rFonts w:hint="default" w:ascii="Times New Roman" w:hAnsi="Times New Roman" w:eastAsia="宋体" w:cs="Times New Roman"/>
                <w:i w:val="0"/>
                <w:iCs w:val="0"/>
                <w:color w:val="auto"/>
                <w:sz w:val="18"/>
                <w:szCs w:val="18"/>
                <w:u w:val="none" w:color="auto"/>
              </w:rPr>
            </w:pPr>
            <w:r>
              <w:rPr>
                <w:rFonts w:hint="default" w:ascii="Times New Roman" w:hAnsi="Times New Roman" w:eastAsia="宋体" w:cs="Times New Roman"/>
                <w:i w:val="0"/>
                <w:iCs w:val="0"/>
                <w:color w:val="auto"/>
                <w:kern w:val="0"/>
                <w:sz w:val="18"/>
                <w:szCs w:val="18"/>
                <w:u w:val="none" w:color="auto"/>
                <w:lang w:val="en-US" w:eastAsia="zh-CN" w:bidi="ar"/>
              </w:rPr>
              <w:t>800</w:t>
            </w:r>
          </w:p>
        </w:tc>
        <w:tc>
          <w:tcPr>
            <w:tcW w:w="1671" w:type="pct"/>
            <w:tcBorders>
              <w:tl2br w:val="nil"/>
              <w:tr2bl w:val="nil"/>
            </w:tcBorders>
            <w:noWrap w:val="0"/>
            <w:vAlign w:val="center"/>
          </w:tcPr>
          <w:p w14:paraId="40A21BF5">
            <w:pPr>
              <w:keepNext w:val="0"/>
              <w:keepLines w:val="0"/>
              <w:widowControl/>
              <w:suppressLineNumbers w:val="0"/>
              <w:jc w:val="center"/>
              <w:textAlignment w:val="top"/>
              <w:rPr>
                <w:rFonts w:hint="default" w:ascii="Times New Roman" w:hAnsi="Times New Roman" w:eastAsia="宋体" w:cs="Times New Roman"/>
                <w:i w:val="0"/>
                <w:iCs w:val="0"/>
                <w:color w:val="auto"/>
                <w:sz w:val="18"/>
                <w:szCs w:val="18"/>
                <w:u w:val="none" w:color="auto"/>
              </w:rPr>
            </w:pPr>
            <w:r>
              <w:rPr>
                <w:rFonts w:hint="default" w:ascii="Times New Roman" w:hAnsi="Times New Roman" w:eastAsia="宋体" w:cs="Times New Roman"/>
                <w:i w:val="0"/>
                <w:iCs w:val="0"/>
                <w:color w:val="auto"/>
                <w:kern w:val="0"/>
                <w:sz w:val="18"/>
                <w:szCs w:val="18"/>
                <w:u w:val="none" w:color="auto"/>
                <w:lang w:val="en-US" w:eastAsia="zh-CN" w:bidi="ar"/>
              </w:rPr>
              <w:t>8.89E+00</w:t>
            </w:r>
          </w:p>
        </w:tc>
        <w:tc>
          <w:tcPr>
            <w:tcW w:w="1673" w:type="pct"/>
            <w:tcBorders>
              <w:tl2br w:val="nil"/>
              <w:tr2bl w:val="nil"/>
            </w:tcBorders>
            <w:noWrap w:val="0"/>
            <w:vAlign w:val="center"/>
          </w:tcPr>
          <w:p w14:paraId="64590E7D">
            <w:pPr>
              <w:keepNext w:val="0"/>
              <w:keepLines w:val="0"/>
              <w:widowControl/>
              <w:suppressLineNumbers w:val="0"/>
              <w:jc w:val="center"/>
              <w:textAlignment w:val="top"/>
              <w:rPr>
                <w:rFonts w:hint="default" w:ascii="Times New Roman" w:hAnsi="Times New Roman" w:eastAsia="宋体" w:cs="Times New Roman"/>
                <w:i w:val="0"/>
                <w:iCs w:val="0"/>
                <w:color w:val="auto"/>
                <w:sz w:val="18"/>
                <w:szCs w:val="18"/>
                <w:u w:val="none" w:color="auto"/>
              </w:rPr>
            </w:pPr>
            <w:r>
              <w:rPr>
                <w:rFonts w:hint="default" w:ascii="Times New Roman" w:hAnsi="Times New Roman" w:eastAsia="宋体" w:cs="Times New Roman"/>
                <w:i w:val="0"/>
                <w:iCs w:val="0"/>
                <w:color w:val="auto"/>
                <w:kern w:val="0"/>
                <w:sz w:val="18"/>
                <w:szCs w:val="18"/>
                <w:u w:val="none" w:color="auto"/>
                <w:lang w:val="en-US" w:eastAsia="zh-CN" w:bidi="ar"/>
              </w:rPr>
              <w:t>5.30E+03</w:t>
            </w:r>
          </w:p>
        </w:tc>
      </w:tr>
      <w:tr w14:paraId="1DE8D76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0" w:hRule="atLeast"/>
        </w:trPr>
        <w:tc>
          <w:tcPr>
            <w:tcW w:w="1654" w:type="pct"/>
            <w:tcBorders>
              <w:tl2br w:val="nil"/>
              <w:tr2bl w:val="nil"/>
            </w:tcBorders>
            <w:noWrap w:val="0"/>
            <w:vAlign w:val="center"/>
          </w:tcPr>
          <w:p w14:paraId="1B52DBA4">
            <w:pPr>
              <w:keepNext w:val="0"/>
              <w:keepLines w:val="0"/>
              <w:widowControl/>
              <w:suppressLineNumbers w:val="0"/>
              <w:jc w:val="center"/>
              <w:textAlignment w:val="top"/>
              <w:rPr>
                <w:rFonts w:hint="default" w:ascii="Times New Roman" w:hAnsi="Times New Roman" w:eastAsia="宋体" w:cs="Times New Roman"/>
                <w:i w:val="0"/>
                <w:iCs w:val="0"/>
                <w:color w:val="auto"/>
                <w:sz w:val="18"/>
                <w:szCs w:val="18"/>
                <w:u w:val="none" w:color="auto"/>
              </w:rPr>
            </w:pPr>
            <w:r>
              <w:rPr>
                <w:rFonts w:hint="default" w:ascii="Times New Roman" w:hAnsi="Times New Roman" w:eastAsia="宋体" w:cs="Times New Roman"/>
                <w:i w:val="0"/>
                <w:iCs w:val="0"/>
                <w:color w:val="auto"/>
                <w:kern w:val="0"/>
                <w:sz w:val="18"/>
                <w:szCs w:val="18"/>
                <w:u w:val="none" w:color="auto"/>
                <w:lang w:val="en-US" w:eastAsia="zh-CN" w:bidi="ar"/>
              </w:rPr>
              <w:t>900</w:t>
            </w:r>
          </w:p>
        </w:tc>
        <w:tc>
          <w:tcPr>
            <w:tcW w:w="1671" w:type="pct"/>
            <w:tcBorders>
              <w:tl2br w:val="nil"/>
              <w:tr2bl w:val="nil"/>
            </w:tcBorders>
            <w:noWrap w:val="0"/>
            <w:vAlign w:val="center"/>
          </w:tcPr>
          <w:p w14:paraId="439585CB">
            <w:pPr>
              <w:keepNext w:val="0"/>
              <w:keepLines w:val="0"/>
              <w:widowControl/>
              <w:suppressLineNumbers w:val="0"/>
              <w:jc w:val="center"/>
              <w:textAlignment w:val="top"/>
              <w:rPr>
                <w:rFonts w:hint="default" w:ascii="Times New Roman" w:hAnsi="Times New Roman" w:eastAsia="宋体" w:cs="Times New Roman"/>
                <w:i w:val="0"/>
                <w:iCs w:val="0"/>
                <w:color w:val="auto"/>
                <w:sz w:val="18"/>
                <w:szCs w:val="18"/>
                <w:u w:val="none" w:color="auto"/>
              </w:rPr>
            </w:pPr>
            <w:r>
              <w:rPr>
                <w:rFonts w:hint="default" w:ascii="Times New Roman" w:hAnsi="Times New Roman" w:eastAsia="宋体" w:cs="Times New Roman"/>
                <w:i w:val="0"/>
                <w:iCs w:val="0"/>
                <w:color w:val="auto"/>
                <w:kern w:val="0"/>
                <w:sz w:val="18"/>
                <w:szCs w:val="18"/>
                <w:u w:val="none" w:color="auto"/>
                <w:lang w:val="en-US" w:eastAsia="zh-CN" w:bidi="ar"/>
              </w:rPr>
              <w:t>1.00E+01</w:t>
            </w:r>
          </w:p>
        </w:tc>
        <w:tc>
          <w:tcPr>
            <w:tcW w:w="1673" w:type="pct"/>
            <w:tcBorders>
              <w:tl2br w:val="nil"/>
              <w:tr2bl w:val="nil"/>
            </w:tcBorders>
            <w:noWrap w:val="0"/>
            <w:vAlign w:val="center"/>
          </w:tcPr>
          <w:p w14:paraId="47F20218">
            <w:pPr>
              <w:keepNext w:val="0"/>
              <w:keepLines w:val="0"/>
              <w:widowControl/>
              <w:suppressLineNumbers w:val="0"/>
              <w:jc w:val="center"/>
              <w:textAlignment w:val="top"/>
              <w:rPr>
                <w:rFonts w:hint="default" w:ascii="Times New Roman" w:hAnsi="Times New Roman" w:eastAsia="宋体" w:cs="Times New Roman"/>
                <w:i w:val="0"/>
                <w:iCs w:val="0"/>
                <w:color w:val="auto"/>
                <w:sz w:val="18"/>
                <w:szCs w:val="18"/>
                <w:u w:val="none" w:color="auto"/>
              </w:rPr>
            </w:pPr>
            <w:r>
              <w:rPr>
                <w:rFonts w:hint="default" w:ascii="Times New Roman" w:hAnsi="Times New Roman" w:eastAsia="宋体" w:cs="Times New Roman"/>
                <w:i w:val="0"/>
                <w:iCs w:val="0"/>
                <w:color w:val="auto"/>
                <w:kern w:val="0"/>
                <w:sz w:val="18"/>
                <w:szCs w:val="18"/>
                <w:u w:val="none" w:color="auto"/>
                <w:lang w:val="en-US" w:eastAsia="zh-CN" w:bidi="ar"/>
              </w:rPr>
              <w:t>4.48E+03</w:t>
            </w:r>
          </w:p>
        </w:tc>
      </w:tr>
      <w:tr w14:paraId="3910086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0" w:hRule="atLeast"/>
        </w:trPr>
        <w:tc>
          <w:tcPr>
            <w:tcW w:w="1654" w:type="pct"/>
            <w:tcBorders>
              <w:tl2br w:val="nil"/>
              <w:tr2bl w:val="nil"/>
            </w:tcBorders>
            <w:noWrap w:val="0"/>
            <w:vAlign w:val="center"/>
          </w:tcPr>
          <w:p w14:paraId="2B588234">
            <w:pPr>
              <w:keepNext w:val="0"/>
              <w:keepLines w:val="0"/>
              <w:widowControl/>
              <w:suppressLineNumbers w:val="0"/>
              <w:jc w:val="center"/>
              <w:textAlignment w:val="top"/>
              <w:rPr>
                <w:rFonts w:hint="default" w:ascii="Times New Roman" w:hAnsi="Times New Roman" w:eastAsia="宋体" w:cs="Times New Roman"/>
                <w:i w:val="0"/>
                <w:iCs w:val="0"/>
                <w:color w:val="auto"/>
                <w:sz w:val="18"/>
                <w:szCs w:val="18"/>
                <w:u w:val="none" w:color="auto"/>
              </w:rPr>
            </w:pPr>
            <w:r>
              <w:rPr>
                <w:rFonts w:hint="default" w:ascii="Times New Roman" w:hAnsi="Times New Roman" w:eastAsia="宋体" w:cs="Times New Roman"/>
                <w:i w:val="0"/>
                <w:iCs w:val="0"/>
                <w:color w:val="auto"/>
                <w:kern w:val="0"/>
                <w:sz w:val="18"/>
                <w:szCs w:val="18"/>
                <w:u w:val="none" w:color="auto"/>
                <w:lang w:val="en-US" w:eastAsia="zh-CN" w:bidi="ar"/>
              </w:rPr>
              <w:t>1000</w:t>
            </w:r>
          </w:p>
        </w:tc>
        <w:tc>
          <w:tcPr>
            <w:tcW w:w="1671" w:type="pct"/>
            <w:tcBorders>
              <w:tl2br w:val="nil"/>
              <w:tr2bl w:val="nil"/>
            </w:tcBorders>
            <w:noWrap w:val="0"/>
            <w:vAlign w:val="center"/>
          </w:tcPr>
          <w:p w14:paraId="20D54FB1">
            <w:pPr>
              <w:keepNext w:val="0"/>
              <w:keepLines w:val="0"/>
              <w:widowControl/>
              <w:suppressLineNumbers w:val="0"/>
              <w:jc w:val="center"/>
              <w:textAlignment w:val="top"/>
              <w:rPr>
                <w:rFonts w:hint="default" w:ascii="Times New Roman" w:hAnsi="Times New Roman" w:eastAsia="宋体" w:cs="Times New Roman"/>
                <w:i w:val="0"/>
                <w:iCs w:val="0"/>
                <w:color w:val="auto"/>
                <w:sz w:val="18"/>
                <w:szCs w:val="18"/>
                <w:u w:val="none" w:color="auto"/>
              </w:rPr>
            </w:pPr>
            <w:r>
              <w:rPr>
                <w:rFonts w:hint="default" w:ascii="Times New Roman" w:hAnsi="Times New Roman" w:eastAsia="宋体" w:cs="Times New Roman"/>
                <w:i w:val="0"/>
                <w:iCs w:val="0"/>
                <w:color w:val="auto"/>
                <w:kern w:val="0"/>
                <w:sz w:val="18"/>
                <w:szCs w:val="18"/>
                <w:u w:val="none" w:color="auto"/>
                <w:lang w:val="en-US" w:eastAsia="zh-CN" w:bidi="ar"/>
              </w:rPr>
              <w:t>1.31E+01</w:t>
            </w:r>
          </w:p>
        </w:tc>
        <w:tc>
          <w:tcPr>
            <w:tcW w:w="1673" w:type="pct"/>
            <w:tcBorders>
              <w:tl2br w:val="nil"/>
              <w:tr2bl w:val="nil"/>
            </w:tcBorders>
            <w:noWrap w:val="0"/>
            <w:vAlign w:val="center"/>
          </w:tcPr>
          <w:p w14:paraId="099106F1">
            <w:pPr>
              <w:keepNext w:val="0"/>
              <w:keepLines w:val="0"/>
              <w:widowControl/>
              <w:suppressLineNumbers w:val="0"/>
              <w:jc w:val="center"/>
              <w:textAlignment w:val="top"/>
              <w:rPr>
                <w:rFonts w:hint="default" w:ascii="Times New Roman" w:hAnsi="Times New Roman" w:eastAsia="宋体" w:cs="Times New Roman"/>
                <w:i w:val="0"/>
                <w:iCs w:val="0"/>
                <w:color w:val="auto"/>
                <w:sz w:val="18"/>
                <w:szCs w:val="18"/>
                <w:u w:val="none" w:color="auto"/>
              </w:rPr>
            </w:pPr>
            <w:r>
              <w:rPr>
                <w:rFonts w:hint="default" w:ascii="Times New Roman" w:hAnsi="Times New Roman" w:eastAsia="宋体" w:cs="Times New Roman"/>
                <w:i w:val="0"/>
                <w:iCs w:val="0"/>
                <w:color w:val="auto"/>
                <w:kern w:val="0"/>
                <w:sz w:val="18"/>
                <w:szCs w:val="18"/>
                <w:u w:val="none" w:color="auto"/>
                <w:lang w:val="en-US" w:eastAsia="zh-CN" w:bidi="ar"/>
              </w:rPr>
              <w:t>3.83E+03</w:t>
            </w:r>
          </w:p>
        </w:tc>
      </w:tr>
      <w:tr w14:paraId="54C4EE3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0" w:hRule="atLeast"/>
        </w:trPr>
        <w:tc>
          <w:tcPr>
            <w:tcW w:w="1654" w:type="pct"/>
            <w:tcBorders>
              <w:tl2br w:val="nil"/>
              <w:tr2bl w:val="nil"/>
            </w:tcBorders>
            <w:noWrap w:val="0"/>
            <w:vAlign w:val="center"/>
          </w:tcPr>
          <w:p w14:paraId="6D28D4C1">
            <w:pPr>
              <w:keepNext w:val="0"/>
              <w:keepLines w:val="0"/>
              <w:widowControl/>
              <w:suppressLineNumbers w:val="0"/>
              <w:jc w:val="center"/>
              <w:textAlignment w:val="top"/>
              <w:rPr>
                <w:rFonts w:hint="default" w:ascii="Times New Roman" w:hAnsi="Times New Roman" w:eastAsia="宋体" w:cs="Times New Roman"/>
                <w:i w:val="0"/>
                <w:iCs w:val="0"/>
                <w:color w:val="auto"/>
                <w:sz w:val="18"/>
                <w:szCs w:val="18"/>
                <w:u w:val="none" w:color="auto"/>
              </w:rPr>
            </w:pPr>
            <w:r>
              <w:rPr>
                <w:rFonts w:hint="default" w:ascii="Times New Roman" w:hAnsi="Times New Roman" w:eastAsia="宋体" w:cs="Times New Roman"/>
                <w:i w:val="0"/>
                <w:iCs w:val="0"/>
                <w:color w:val="auto"/>
                <w:kern w:val="0"/>
                <w:sz w:val="18"/>
                <w:szCs w:val="18"/>
                <w:u w:val="none" w:color="auto"/>
                <w:lang w:val="en-US" w:eastAsia="zh-CN" w:bidi="ar"/>
              </w:rPr>
              <w:t>2000</w:t>
            </w:r>
          </w:p>
        </w:tc>
        <w:tc>
          <w:tcPr>
            <w:tcW w:w="1671" w:type="pct"/>
            <w:tcBorders>
              <w:tl2br w:val="nil"/>
              <w:tr2bl w:val="nil"/>
            </w:tcBorders>
            <w:noWrap w:val="0"/>
            <w:vAlign w:val="center"/>
          </w:tcPr>
          <w:p w14:paraId="6747782D">
            <w:pPr>
              <w:keepNext w:val="0"/>
              <w:keepLines w:val="0"/>
              <w:widowControl/>
              <w:suppressLineNumbers w:val="0"/>
              <w:jc w:val="center"/>
              <w:textAlignment w:val="top"/>
              <w:rPr>
                <w:rFonts w:hint="default" w:ascii="Times New Roman" w:hAnsi="Times New Roman" w:eastAsia="宋体" w:cs="Times New Roman"/>
                <w:i w:val="0"/>
                <w:iCs w:val="0"/>
                <w:color w:val="auto"/>
                <w:sz w:val="18"/>
                <w:szCs w:val="18"/>
                <w:u w:val="none" w:color="auto"/>
              </w:rPr>
            </w:pPr>
            <w:r>
              <w:rPr>
                <w:rFonts w:hint="default" w:ascii="Times New Roman" w:hAnsi="Times New Roman" w:eastAsia="宋体" w:cs="Times New Roman"/>
                <w:i w:val="0"/>
                <w:iCs w:val="0"/>
                <w:color w:val="auto"/>
                <w:kern w:val="0"/>
                <w:sz w:val="18"/>
                <w:szCs w:val="18"/>
                <w:u w:val="none" w:color="auto"/>
                <w:lang w:val="en-US" w:eastAsia="zh-CN" w:bidi="ar"/>
              </w:rPr>
              <w:t>2.52E+01</w:t>
            </w:r>
          </w:p>
        </w:tc>
        <w:tc>
          <w:tcPr>
            <w:tcW w:w="1673" w:type="pct"/>
            <w:tcBorders>
              <w:tl2br w:val="nil"/>
              <w:tr2bl w:val="nil"/>
            </w:tcBorders>
            <w:noWrap w:val="0"/>
            <w:vAlign w:val="center"/>
          </w:tcPr>
          <w:p w14:paraId="34CF33B5">
            <w:pPr>
              <w:keepNext w:val="0"/>
              <w:keepLines w:val="0"/>
              <w:widowControl/>
              <w:suppressLineNumbers w:val="0"/>
              <w:jc w:val="center"/>
              <w:textAlignment w:val="top"/>
              <w:rPr>
                <w:rFonts w:hint="default" w:ascii="Times New Roman" w:hAnsi="Times New Roman" w:eastAsia="宋体" w:cs="Times New Roman"/>
                <w:i w:val="0"/>
                <w:iCs w:val="0"/>
                <w:color w:val="auto"/>
                <w:sz w:val="18"/>
                <w:szCs w:val="18"/>
                <w:u w:val="none" w:color="auto"/>
              </w:rPr>
            </w:pPr>
            <w:r>
              <w:rPr>
                <w:rFonts w:hint="default" w:ascii="Times New Roman" w:hAnsi="Times New Roman" w:eastAsia="宋体" w:cs="Times New Roman"/>
                <w:i w:val="0"/>
                <w:iCs w:val="0"/>
                <w:color w:val="auto"/>
                <w:kern w:val="0"/>
                <w:sz w:val="18"/>
                <w:szCs w:val="18"/>
                <w:u w:val="none" w:color="auto"/>
                <w:lang w:val="en-US" w:eastAsia="zh-CN" w:bidi="ar"/>
              </w:rPr>
              <w:t>1.44E+03</w:t>
            </w:r>
          </w:p>
        </w:tc>
      </w:tr>
      <w:tr w14:paraId="53B3901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0" w:hRule="atLeast"/>
        </w:trPr>
        <w:tc>
          <w:tcPr>
            <w:tcW w:w="1654" w:type="pct"/>
            <w:tcBorders>
              <w:tl2br w:val="nil"/>
              <w:tr2bl w:val="nil"/>
            </w:tcBorders>
            <w:noWrap w:val="0"/>
            <w:vAlign w:val="center"/>
          </w:tcPr>
          <w:p w14:paraId="19F05463">
            <w:pPr>
              <w:keepNext w:val="0"/>
              <w:keepLines w:val="0"/>
              <w:widowControl/>
              <w:suppressLineNumbers w:val="0"/>
              <w:jc w:val="center"/>
              <w:textAlignment w:val="top"/>
              <w:rPr>
                <w:rFonts w:hint="default" w:ascii="Times New Roman" w:hAnsi="Times New Roman" w:eastAsia="宋体" w:cs="Times New Roman"/>
                <w:i w:val="0"/>
                <w:iCs w:val="0"/>
                <w:color w:val="auto"/>
                <w:sz w:val="18"/>
                <w:szCs w:val="18"/>
                <w:u w:val="none" w:color="auto"/>
              </w:rPr>
            </w:pPr>
            <w:r>
              <w:rPr>
                <w:rFonts w:hint="default" w:ascii="Times New Roman" w:hAnsi="Times New Roman" w:eastAsia="宋体" w:cs="Times New Roman"/>
                <w:i w:val="0"/>
                <w:iCs w:val="0"/>
                <w:color w:val="auto"/>
                <w:kern w:val="0"/>
                <w:sz w:val="18"/>
                <w:szCs w:val="18"/>
                <w:u w:val="none" w:color="auto"/>
                <w:lang w:val="en-US" w:eastAsia="zh-CN" w:bidi="ar"/>
              </w:rPr>
              <w:t>3000</w:t>
            </w:r>
          </w:p>
        </w:tc>
        <w:tc>
          <w:tcPr>
            <w:tcW w:w="1671" w:type="pct"/>
            <w:tcBorders>
              <w:tl2br w:val="nil"/>
              <w:tr2bl w:val="nil"/>
            </w:tcBorders>
            <w:noWrap w:val="0"/>
            <w:vAlign w:val="center"/>
          </w:tcPr>
          <w:p w14:paraId="108DC803">
            <w:pPr>
              <w:keepNext w:val="0"/>
              <w:keepLines w:val="0"/>
              <w:widowControl/>
              <w:suppressLineNumbers w:val="0"/>
              <w:jc w:val="center"/>
              <w:textAlignment w:val="top"/>
              <w:rPr>
                <w:rFonts w:hint="default" w:ascii="Times New Roman" w:hAnsi="Times New Roman" w:eastAsia="宋体" w:cs="Times New Roman"/>
                <w:i w:val="0"/>
                <w:iCs w:val="0"/>
                <w:color w:val="auto"/>
                <w:sz w:val="18"/>
                <w:szCs w:val="18"/>
                <w:u w:val="none" w:color="auto"/>
              </w:rPr>
            </w:pPr>
            <w:r>
              <w:rPr>
                <w:rFonts w:hint="default" w:ascii="Times New Roman" w:hAnsi="Times New Roman" w:eastAsia="宋体" w:cs="Times New Roman"/>
                <w:i w:val="0"/>
                <w:iCs w:val="0"/>
                <w:color w:val="auto"/>
                <w:kern w:val="0"/>
                <w:sz w:val="18"/>
                <w:szCs w:val="18"/>
                <w:u w:val="none" w:color="auto"/>
                <w:lang w:val="en-US" w:eastAsia="zh-CN" w:bidi="ar"/>
              </w:rPr>
              <w:t>3.73E+01</w:t>
            </w:r>
          </w:p>
        </w:tc>
        <w:tc>
          <w:tcPr>
            <w:tcW w:w="1673" w:type="pct"/>
            <w:tcBorders>
              <w:tl2br w:val="nil"/>
              <w:tr2bl w:val="nil"/>
            </w:tcBorders>
            <w:noWrap w:val="0"/>
            <w:vAlign w:val="center"/>
          </w:tcPr>
          <w:p w14:paraId="2CF74F57">
            <w:pPr>
              <w:keepNext w:val="0"/>
              <w:keepLines w:val="0"/>
              <w:widowControl/>
              <w:suppressLineNumbers w:val="0"/>
              <w:jc w:val="center"/>
              <w:textAlignment w:val="top"/>
              <w:rPr>
                <w:rFonts w:hint="default" w:ascii="Times New Roman" w:hAnsi="Times New Roman" w:eastAsia="宋体" w:cs="Times New Roman"/>
                <w:i w:val="0"/>
                <w:iCs w:val="0"/>
                <w:color w:val="auto"/>
                <w:sz w:val="18"/>
                <w:szCs w:val="18"/>
                <w:u w:val="none" w:color="auto"/>
              </w:rPr>
            </w:pPr>
            <w:r>
              <w:rPr>
                <w:rFonts w:hint="default" w:ascii="Times New Roman" w:hAnsi="Times New Roman" w:eastAsia="宋体" w:cs="Times New Roman"/>
                <w:i w:val="0"/>
                <w:iCs w:val="0"/>
                <w:color w:val="auto"/>
                <w:kern w:val="0"/>
                <w:sz w:val="18"/>
                <w:szCs w:val="18"/>
                <w:u w:val="none" w:color="auto"/>
                <w:lang w:val="en-US" w:eastAsia="zh-CN" w:bidi="ar"/>
              </w:rPr>
              <w:t>8.49E+02</w:t>
            </w:r>
          </w:p>
        </w:tc>
      </w:tr>
      <w:tr w14:paraId="202CD39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0" w:hRule="atLeast"/>
        </w:trPr>
        <w:tc>
          <w:tcPr>
            <w:tcW w:w="1654" w:type="pct"/>
            <w:tcBorders>
              <w:tl2br w:val="nil"/>
              <w:tr2bl w:val="nil"/>
            </w:tcBorders>
            <w:noWrap w:val="0"/>
            <w:vAlign w:val="center"/>
          </w:tcPr>
          <w:p w14:paraId="67C8CAC1">
            <w:pPr>
              <w:keepNext w:val="0"/>
              <w:keepLines w:val="0"/>
              <w:widowControl/>
              <w:suppressLineNumbers w:val="0"/>
              <w:jc w:val="center"/>
              <w:textAlignment w:val="top"/>
              <w:rPr>
                <w:rFonts w:hint="default" w:ascii="Times New Roman" w:hAnsi="Times New Roman" w:eastAsia="宋体" w:cs="Times New Roman"/>
                <w:i w:val="0"/>
                <w:iCs w:val="0"/>
                <w:color w:val="auto"/>
                <w:sz w:val="18"/>
                <w:szCs w:val="18"/>
                <w:u w:val="none" w:color="auto"/>
              </w:rPr>
            </w:pPr>
            <w:r>
              <w:rPr>
                <w:rFonts w:hint="default" w:ascii="Times New Roman" w:hAnsi="Times New Roman" w:eastAsia="宋体" w:cs="Times New Roman"/>
                <w:i w:val="0"/>
                <w:iCs w:val="0"/>
                <w:color w:val="auto"/>
                <w:kern w:val="0"/>
                <w:sz w:val="18"/>
                <w:szCs w:val="18"/>
                <w:u w:val="none" w:color="auto"/>
                <w:lang w:val="en-US" w:eastAsia="zh-CN" w:bidi="ar"/>
              </w:rPr>
              <w:t>4000</w:t>
            </w:r>
          </w:p>
        </w:tc>
        <w:tc>
          <w:tcPr>
            <w:tcW w:w="1671" w:type="pct"/>
            <w:tcBorders>
              <w:tl2br w:val="nil"/>
              <w:tr2bl w:val="nil"/>
            </w:tcBorders>
            <w:noWrap w:val="0"/>
            <w:vAlign w:val="center"/>
          </w:tcPr>
          <w:p w14:paraId="346A0F0F">
            <w:pPr>
              <w:keepNext w:val="0"/>
              <w:keepLines w:val="0"/>
              <w:widowControl/>
              <w:suppressLineNumbers w:val="0"/>
              <w:jc w:val="center"/>
              <w:textAlignment w:val="top"/>
              <w:rPr>
                <w:rFonts w:hint="default" w:ascii="Times New Roman" w:hAnsi="Times New Roman" w:eastAsia="宋体" w:cs="Times New Roman"/>
                <w:i w:val="0"/>
                <w:iCs w:val="0"/>
                <w:color w:val="auto"/>
                <w:sz w:val="18"/>
                <w:szCs w:val="18"/>
                <w:u w:val="none" w:color="auto"/>
              </w:rPr>
            </w:pPr>
            <w:r>
              <w:rPr>
                <w:rFonts w:hint="default" w:ascii="Times New Roman" w:hAnsi="Times New Roman" w:eastAsia="宋体" w:cs="Times New Roman"/>
                <w:i w:val="0"/>
                <w:iCs w:val="0"/>
                <w:color w:val="auto"/>
                <w:kern w:val="0"/>
                <w:sz w:val="18"/>
                <w:szCs w:val="18"/>
                <w:u w:val="none" w:color="auto"/>
                <w:lang w:val="en-US" w:eastAsia="zh-CN" w:bidi="ar"/>
              </w:rPr>
              <w:t>4.94E+01</w:t>
            </w:r>
          </w:p>
        </w:tc>
        <w:tc>
          <w:tcPr>
            <w:tcW w:w="1673" w:type="pct"/>
            <w:tcBorders>
              <w:tl2br w:val="nil"/>
              <w:tr2bl w:val="nil"/>
            </w:tcBorders>
            <w:noWrap w:val="0"/>
            <w:vAlign w:val="center"/>
          </w:tcPr>
          <w:p w14:paraId="66ACE1A8">
            <w:pPr>
              <w:keepNext w:val="0"/>
              <w:keepLines w:val="0"/>
              <w:widowControl/>
              <w:suppressLineNumbers w:val="0"/>
              <w:jc w:val="center"/>
              <w:textAlignment w:val="top"/>
              <w:rPr>
                <w:rFonts w:hint="default" w:ascii="Times New Roman" w:hAnsi="Times New Roman" w:eastAsia="宋体" w:cs="Times New Roman"/>
                <w:i w:val="0"/>
                <w:iCs w:val="0"/>
                <w:color w:val="auto"/>
                <w:sz w:val="18"/>
                <w:szCs w:val="18"/>
                <w:u w:val="none" w:color="auto"/>
              </w:rPr>
            </w:pPr>
            <w:r>
              <w:rPr>
                <w:rFonts w:hint="default" w:ascii="Times New Roman" w:hAnsi="Times New Roman" w:eastAsia="宋体" w:cs="Times New Roman"/>
                <w:i w:val="0"/>
                <w:iCs w:val="0"/>
                <w:color w:val="auto"/>
                <w:kern w:val="0"/>
                <w:sz w:val="18"/>
                <w:szCs w:val="18"/>
                <w:u w:val="none" w:color="auto"/>
                <w:lang w:val="en-US" w:eastAsia="zh-CN" w:bidi="ar"/>
              </w:rPr>
              <w:t>5.83E+02</w:t>
            </w:r>
          </w:p>
        </w:tc>
      </w:tr>
      <w:tr w14:paraId="0854ACB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0" w:hRule="atLeast"/>
        </w:trPr>
        <w:tc>
          <w:tcPr>
            <w:tcW w:w="1654" w:type="pct"/>
            <w:tcBorders>
              <w:tl2br w:val="nil"/>
              <w:tr2bl w:val="nil"/>
            </w:tcBorders>
            <w:noWrap w:val="0"/>
            <w:vAlign w:val="center"/>
          </w:tcPr>
          <w:p w14:paraId="04020F1A">
            <w:pPr>
              <w:keepNext w:val="0"/>
              <w:keepLines w:val="0"/>
              <w:widowControl/>
              <w:suppressLineNumbers w:val="0"/>
              <w:jc w:val="center"/>
              <w:textAlignment w:val="top"/>
              <w:rPr>
                <w:rFonts w:hint="default" w:ascii="Times New Roman" w:hAnsi="Times New Roman" w:eastAsia="宋体" w:cs="Times New Roman"/>
                <w:i w:val="0"/>
                <w:iCs w:val="0"/>
                <w:color w:val="auto"/>
                <w:sz w:val="18"/>
                <w:szCs w:val="18"/>
                <w:u w:val="none" w:color="auto"/>
              </w:rPr>
            </w:pPr>
            <w:r>
              <w:rPr>
                <w:rFonts w:hint="default" w:ascii="Times New Roman" w:hAnsi="Times New Roman" w:eastAsia="宋体" w:cs="Times New Roman"/>
                <w:i w:val="0"/>
                <w:iCs w:val="0"/>
                <w:color w:val="auto"/>
                <w:kern w:val="0"/>
                <w:sz w:val="18"/>
                <w:szCs w:val="18"/>
                <w:u w:val="none" w:color="auto"/>
                <w:lang w:val="en-US" w:eastAsia="zh-CN" w:bidi="ar"/>
              </w:rPr>
              <w:t>5000</w:t>
            </w:r>
          </w:p>
        </w:tc>
        <w:tc>
          <w:tcPr>
            <w:tcW w:w="1671" w:type="pct"/>
            <w:tcBorders>
              <w:tl2br w:val="nil"/>
              <w:tr2bl w:val="nil"/>
            </w:tcBorders>
            <w:noWrap w:val="0"/>
            <w:vAlign w:val="center"/>
          </w:tcPr>
          <w:p w14:paraId="6A73BAA3">
            <w:pPr>
              <w:keepNext w:val="0"/>
              <w:keepLines w:val="0"/>
              <w:widowControl/>
              <w:suppressLineNumbers w:val="0"/>
              <w:jc w:val="center"/>
              <w:textAlignment w:val="top"/>
              <w:rPr>
                <w:rFonts w:hint="default" w:ascii="Times New Roman" w:hAnsi="Times New Roman" w:eastAsia="宋体" w:cs="Times New Roman"/>
                <w:i w:val="0"/>
                <w:iCs w:val="0"/>
                <w:color w:val="auto"/>
                <w:sz w:val="18"/>
                <w:szCs w:val="18"/>
                <w:u w:val="none" w:color="auto"/>
              </w:rPr>
            </w:pPr>
            <w:r>
              <w:rPr>
                <w:rFonts w:hint="default" w:ascii="Times New Roman" w:hAnsi="Times New Roman" w:eastAsia="宋体" w:cs="Times New Roman"/>
                <w:i w:val="0"/>
                <w:iCs w:val="0"/>
                <w:color w:val="auto"/>
                <w:kern w:val="0"/>
                <w:sz w:val="18"/>
                <w:szCs w:val="18"/>
                <w:u w:val="none" w:color="auto"/>
                <w:lang w:val="en-US" w:eastAsia="zh-CN" w:bidi="ar"/>
              </w:rPr>
              <w:t>6.06E+01</w:t>
            </w:r>
          </w:p>
        </w:tc>
        <w:tc>
          <w:tcPr>
            <w:tcW w:w="1673" w:type="pct"/>
            <w:tcBorders>
              <w:tl2br w:val="nil"/>
              <w:tr2bl w:val="nil"/>
            </w:tcBorders>
            <w:noWrap w:val="0"/>
            <w:vAlign w:val="center"/>
          </w:tcPr>
          <w:p w14:paraId="689B34D6">
            <w:pPr>
              <w:keepNext w:val="0"/>
              <w:keepLines w:val="0"/>
              <w:widowControl/>
              <w:suppressLineNumbers w:val="0"/>
              <w:jc w:val="center"/>
              <w:textAlignment w:val="top"/>
              <w:rPr>
                <w:rFonts w:hint="default" w:ascii="Times New Roman" w:hAnsi="Times New Roman" w:eastAsia="宋体" w:cs="Times New Roman"/>
                <w:i w:val="0"/>
                <w:iCs w:val="0"/>
                <w:color w:val="auto"/>
                <w:sz w:val="18"/>
                <w:szCs w:val="18"/>
                <w:u w:val="none" w:color="auto"/>
              </w:rPr>
            </w:pPr>
            <w:r>
              <w:rPr>
                <w:rFonts w:hint="default" w:ascii="Times New Roman" w:hAnsi="Times New Roman" w:eastAsia="宋体" w:cs="Times New Roman"/>
                <w:i w:val="0"/>
                <w:iCs w:val="0"/>
                <w:color w:val="auto"/>
                <w:kern w:val="0"/>
                <w:sz w:val="18"/>
                <w:szCs w:val="18"/>
                <w:u w:val="none" w:color="auto"/>
                <w:lang w:val="en-US" w:eastAsia="zh-CN" w:bidi="ar"/>
              </w:rPr>
              <w:t>4.35E+02</w:t>
            </w:r>
          </w:p>
        </w:tc>
      </w:tr>
    </w:tbl>
    <w:p w14:paraId="0B39301F">
      <w:pPr>
        <w:ind w:firstLine="0"/>
        <w:jc w:val="center"/>
        <w:rPr>
          <w:rFonts w:hint="default" w:ascii="Times New Roman" w:hAnsi="Times New Roman" w:eastAsia="宋体" w:cs="Times New Roman"/>
          <w:b/>
          <w:color w:val="auto"/>
          <w:szCs w:val="16"/>
          <w:u w:val="none" w:color="auto"/>
          <w:lang w:val="zh-TW"/>
        </w:rPr>
      </w:pPr>
      <w:r>
        <w:rPr>
          <w:rFonts w:hint="default" w:ascii="Times New Roman" w:hAnsi="Times New Roman" w:eastAsia="宋体" w:cs="Times New Roman"/>
          <w:color w:val="auto"/>
          <w:u w:val="none" w:color="auto"/>
        </w:rPr>
        <w:drawing>
          <wp:inline distT="0" distB="0" distL="114300" distR="114300">
            <wp:extent cx="5614670" cy="2887980"/>
            <wp:effectExtent l="0" t="0" r="5080" b="7620"/>
            <wp:docPr id="122"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8"/>
                    <pic:cNvPicPr>
                      <a:picLocks noChangeAspect="1"/>
                    </pic:cNvPicPr>
                  </pic:nvPicPr>
                  <pic:blipFill>
                    <a:blip r:embed="rId59"/>
                    <a:stretch>
                      <a:fillRect/>
                    </a:stretch>
                  </pic:blipFill>
                  <pic:spPr>
                    <a:xfrm>
                      <a:off x="0" y="0"/>
                      <a:ext cx="5614670" cy="2887980"/>
                    </a:xfrm>
                    <a:prstGeom prst="rect">
                      <a:avLst/>
                    </a:prstGeom>
                    <a:noFill/>
                    <a:ln>
                      <a:noFill/>
                    </a:ln>
                  </pic:spPr>
                </pic:pic>
              </a:graphicData>
            </a:graphic>
          </wp:inline>
        </w:drawing>
      </w:r>
    </w:p>
    <w:p w14:paraId="48D5C1D8">
      <w:pPr>
        <w:numPr>
          <w:ilvl w:val="0"/>
          <w:numId w:val="14"/>
        </w:numPr>
        <w:wordWrap/>
        <w:topLinePunct w:val="0"/>
        <w:bidi w:val="0"/>
        <w:adjustRightInd/>
        <w:snapToGrid/>
        <w:ind w:left="420" w:leftChars="0" w:hanging="420" w:firstLineChars="0"/>
        <w:jc w:val="center"/>
        <w:rPr>
          <w:rFonts w:hint="default" w:ascii="Times New Roman" w:hAnsi="Times New Roman" w:eastAsia="宋体" w:cs="Times New Roman"/>
          <w:b/>
          <w:bCs/>
          <w:color w:val="auto"/>
          <w:u w:val="none" w:color="auto"/>
        </w:rPr>
      </w:pPr>
      <w:r>
        <w:rPr>
          <w:rFonts w:hint="default" w:ascii="Times New Roman" w:hAnsi="Times New Roman" w:eastAsia="宋体" w:cs="Times New Roman"/>
          <w:b/>
          <w:bCs/>
          <w:color w:val="auto"/>
          <w:u w:val="none" w:color="auto"/>
        </w:rPr>
        <w:t>轴线最大浓度曲线图</w:t>
      </w:r>
    </w:p>
    <w:p w14:paraId="2DAB7082">
      <w:pPr>
        <w:autoSpaceDE w:val="0"/>
        <w:autoSpaceDN w:val="0"/>
        <w:spacing w:line="360" w:lineRule="auto"/>
        <w:ind w:firstLine="480" w:firstLineChars="200"/>
        <w:jc w:val="left"/>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根据上述分析结果可知，在发生事故后不会出现超过毒性终点浓度的情形，也因此无预测</w:t>
      </w:r>
      <w:r>
        <w:rPr>
          <w:rFonts w:hint="default" w:ascii="Times New Roman" w:hAnsi="Times New Roman" w:eastAsia="宋体" w:cs="Times New Roman"/>
          <w:color w:val="auto"/>
          <w:sz w:val="24"/>
          <w:szCs w:val="24"/>
          <w:u w:val="none" w:color="auto"/>
          <w:lang w:eastAsia="zh-CN"/>
        </w:rPr>
        <w:t>甲烷</w:t>
      </w:r>
      <w:r>
        <w:rPr>
          <w:rFonts w:hint="default" w:ascii="Times New Roman" w:hAnsi="Times New Roman" w:eastAsia="宋体" w:cs="Times New Roman"/>
          <w:color w:val="auto"/>
          <w:sz w:val="24"/>
          <w:szCs w:val="24"/>
          <w:u w:val="none" w:color="auto"/>
        </w:rPr>
        <w:t>浓度达到不同毒性终点浓度的最大影响范围示意图，本次评价仅示意在发生事故后产生的最大影响范围图，其最大影响浓度均低于毒性终点浓度。</w:t>
      </w:r>
    </w:p>
    <w:p w14:paraId="4B41F516">
      <w:pPr>
        <w:autoSpaceDE w:val="0"/>
        <w:autoSpaceDN w:val="0"/>
        <w:spacing w:line="360" w:lineRule="auto"/>
        <w:ind w:firstLine="420" w:firstLineChars="200"/>
        <w:jc w:val="left"/>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drawing>
          <wp:inline distT="0" distB="0" distL="114300" distR="114300">
            <wp:extent cx="3856990" cy="2370455"/>
            <wp:effectExtent l="0" t="0" r="10160" b="10795"/>
            <wp:docPr id="117"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9"/>
                    <pic:cNvPicPr>
                      <a:picLocks noChangeAspect="1"/>
                    </pic:cNvPicPr>
                  </pic:nvPicPr>
                  <pic:blipFill>
                    <a:blip r:embed="rId60"/>
                    <a:stretch>
                      <a:fillRect/>
                    </a:stretch>
                  </pic:blipFill>
                  <pic:spPr>
                    <a:xfrm>
                      <a:off x="0" y="0"/>
                      <a:ext cx="3856990" cy="2370455"/>
                    </a:xfrm>
                    <a:prstGeom prst="rect">
                      <a:avLst/>
                    </a:prstGeom>
                    <a:noFill/>
                    <a:ln>
                      <a:noFill/>
                    </a:ln>
                  </pic:spPr>
                </pic:pic>
              </a:graphicData>
            </a:graphic>
          </wp:inline>
        </w:drawing>
      </w:r>
    </w:p>
    <w:p w14:paraId="5DD8AB63">
      <w:pPr>
        <w:pStyle w:val="2"/>
        <w:rPr>
          <w:rFonts w:hint="default" w:ascii="Times New Roman" w:hAnsi="Times New Roman" w:eastAsia="宋体" w:cs="Times New Roman"/>
          <w:color w:val="auto"/>
          <w:u w:val="none" w:color="auto"/>
        </w:rPr>
      </w:pPr>
    </w:p>
    <w:p w14:paraId="48228203">
      <w:pPr>
        <w:pStyle w:val="17"/>
        <w:numPr>
          <w:ilvl w:val="0"/>
          <w:numId w:val="13"/>
        </w:numPr>
        <w:wordWrap/>
        <w:topLinePunct w:val="0"/>
        <w:bidi w:val="0"/>
        <w:adjustRightInd/>
        <w:snapToGrid/>
        <w:spacing w:line="240" w:lineRule="auto"/>
        <w:jc w:val="center"/>
        <w:rPr>
          <w:rFonts w:hint="default" w:ascii="Times New Roman" w:hAnsi="Times New Roman" w:eastAsia="宋体" w:cs="Times New Roman"/>
          <w:b/>
          <w:bCs w:val="0"/>
          <w:color w:val="auto"/>
          <w:spacing w:val="0"/>
          <w:kern w:val="24"/>
          <w:position w:val="0"/>
          <w:sz w:val="21"/>
          <w:szCs w:val="16"/>
          <w:highlight w:val="none"/>
          <w:u w:val="none" w:color="auto"/>
          <w:lang w:val="zh-TW" w:eastAsia="zh-CN"/>
        </w:rPr>
      </w:pPr>
      <w:r>
        <w:rPr>
          <w:rFonts w:hint="default" w:ascii="Times New Roman" w:hAnsi="Times New Roman" w:eastAsia="宋体" w:cs="Times New Roman"/>
          <w:b/>
          <w:bCs w:val="0"/>
          <w:color w:val="auto"/>
          <w:spacing w:val="0"/>
          <w:kern w:val="24"/>
          <w:position w:val="0"/>
          <w:sz w:val="21"/>
          <w:szCs w:val="16"/>
          <w:highlight w:val="none"/>
          <w:u w:val="none" w:color="auto"/>
          <w:lang w:val="zh-TW" w:eastAsia="zh-CN"/>
        </w:rPr>
        <w:t>下风向相对关心点影响程度预测一览表</w:t>
      </w:r>
    </w:p>
    <w:tbl>
      <w:tblPr>
        <w:tblStyle w:val="32"/>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3879"/>
        <w:gridCol w:w="2670"/>
        <w:gridCol w:w="2511"/>
      </w:tblGrid>
      <w:tr w14:paraId="2560CEB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140" w:type="pct"/>
            <w:tcBorders>
              <w:tl2br w:val="nil"/>
              <w:tr2bl w:val="nil"/>
            </w:tcBorders>
            <w:noWrap w:val="0"/>
            <w:vAlign w:val="center"/>
          </w:tcPr>
          <w:p w14:paraId="4178DC29">
            <w:pPr>
              <w:jc w:val="center"/>
              <w:rPr>
                <w:rFonts w:hint="default" w:ascii="Times New Roman" w:hAnsi="Times New Roman" w:eastAsia="宋体" w:cs="Times New Roman"/>
                <w:b/>
                <w:bCs/>
                <w:color w:val="auto"/>
                <w:u w:val="none" w:color="auto"/>
              </w:rPr>
            </w:pPr>
            <w:r>
              <w:rPr>
                <w:rFonts w:hint="default" w:ascii="Times New Roman" w:hAnsi="Times New Roman" w:eastAsia="宋体" w:cs="Times New Roman"/>
                <w:b/>
                <w:bCs/>
                <w:color w:val="auto"/>
                <w:u w:val="none" w:color="auto"/>
              </w:rPr>
              <w:t>名称</w:t>
            </w:r>
          </w:p>
        </w:tc>
        <w:tc>
          <w:tcPr>
            <w:tcW w:w="1473" w:type="pct"/>
            <w:tcBorders>
              <w:tl2br w:val="nil"/>
              <w:tr2bl w:val="nil"/>
            </w:tcBorders>
            <w:noWrap w:val="0"/>
            <w:vAlign w:val="center"/>
          </w:tcPr>
          <w:p w14:paraId="39277F26">
            <w:pPr>
              <w:jc w:val="center"/>
              <w:rPr>
                <w:rFonts w:hint="default" w:ascii="Times New Roman" w:hAnsi="Times New Roman" w:eastAsia="宋体" w:cs="Times New Roman"/>
                <w:b/>
                <w:bCs/>
                <w:color w:val="auto"/>
                <w:u w:val="none" w:color="auto"/>
              </w:rPr>
            </w:pPr>
            <w:r>
              <w:rPr>
                <w:rFonts w:hint="default" w:ascii="Times New Roman" w:hAnsi="Times New Roman" w:eastAsia="宋体" w:cs="Times New Roman"/>
                <w:b/>
                <w:bCs/>
                <w:color w:val="auto"/>
                <w:u w:val="none" w:color="auto"/>
              </w:rPr>
              <w:t>最大浓度</w:t>
            </w:r>
          </w:p>
        </w:tc>
        <w:tc>
          <w:tcPr>
            <w:tcW w:w="1385" w:type="pct"/>
            <w:tcBorders>
              <w:tl2br w:val="nil"/>
              <w:tr2bl w:val="nil"/>
            </w:tcBorders>
            <w:noWrap w:val="0"/>
            <w:vAlign w:val="center"/>
          </w:tcPr>
          <w:p w14:paraId="5A54171F">
            <w:pPr>
              <w:jc w:val="center"/>
              <w:rPr>
                <w:rFonts w:hint="default" w:ascii="Times New Roman" w:hAnsi="Times New Roman" w:eastAsia="宋体" w:cs="Times New Roman"/>
                <w:b/>
                <w:bCs/>
                <w:color w:val="auto"/>
                <w:u w:val="none" w:color="auto"/>
              </w:rPr>
            </w:pPr>
            <w:r>
              <w:rPr>
                <w:rFonts w:hint="default" w:ascii="Times New Roman" w:hAnsi="Times New Roman" w:eastAsia="宋体" w:cs="Times New Roman"/>
                <w:b/>
                <w:bCs/>
                <w:color w:val="auto"/>
                <w:u w:val="none" w:color="auto"/>
              </w:rPr>
              <w:t>时间(min)</w:t>
            </w:r>
          </w:p>
        </w:tc>
      </w:tr>
      <w:tr w14:paraId="6CE5D64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140" w:type="pct"/>
            <w:tcBorders>
              <w:tl2br w:val="nil"/>
              <w:tr2bl w:val="nil"/>
            </w:tcBorders>
            <w:noWrap w:val="0"/>
            <w:vAlign w:val="center"/>
          </w:tcPr>
          <w:p w14:paraId="02D471D1">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象骨港居民点</w:t>
            </w:r>
          </w:p>
        </w:tc>
        <w:tc>
          <w:tcPr>
            <w:tcW w:w="1473" w:type="pct"/>
            <w:tcBorders>
              <w:tl2br w:val="nil"/>
              <w:tr2bl w:val="nil"/>
            </w:tcBorders>
            <w:noWrap w:val="0"/>
            <w:vAlign w:val="center"/>
          </w:tcPr>
          <w:p w14:paraId="197E351B">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0.00E+00</w:t>
            </w:r>
          </w:p>
        </w:tc>
        <w:tc>
          <w:tcPr>
            <w:tcW w:w="1385" w:type="pct"/>
            <w:tcBorders>
              <w:tl2br w:val="nil"/>
              <w:tr2bl w:val="nil"/>
            </w:tcBorders>
            <w:noWrap w:val="0"/>
            <w:vAlign w:val="center"/>
          </w:tcPr>
          <w:p w14:paraId="0BEB6CEC">
            <w:pPr>
              <w:jc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5</w:t>
            </w:r>
          </w:p>
        </w:tc>
      </w:tr>
      <w:tr w14:paraId="43D79E0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140" w:type="pct"/>
            <w:tcBorders>
              <w:tl2br w:val="nil"/>
              <w:tr2bl w:val="nil"/>
            </w:tcBorders>
            <w:noWrap w:val="0"/>
            <w:vAlign w:val="center"/>
          </w:tcPr>
          <w:p w14:paraId="7D25A2C0">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王家屋场</w:t>
            </w:r>
          </w:p>
        </w:tc>
        <w:tc>
          <w:tcPr>
            <w:tcW w:w="2670" w:type="dxa"/>
            <w:tcBorders>
              <w:tl2br w:val="nil"/>
              <w:tr2bl w:val="nil"/>
            </w:tcBorders>
            <w:noWrap w:val="0"/>
            <w:vAlign w:val="center"/>
          </w:tcPr>
          <w:p w14:paraId="6EC5E98F">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0.00E+00</w:t>
            </w:r>
          </w:p>
        </w:tc>
        <w:tc>
          <w:tcPr>
            <w:tcW w:w="2511" w:type="dxa"/>
            <w:tcBorders>
              <w:tl2br w:val="nil"/>
              <w:tr2bl w:val="nil"/>
            </w:tcBorders>
            <w:noWrap w:val="0"/>
            <w:vAlign w:val="center"/>
          </w:tcPr>
          <w:p w14:paraId="7D692E43">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val="en-US" w:eastAsia="zh-CN"/>
              </w:rPr>
              <w:t>5</w:t>
            </w:r>
          </w:p>
        </w:tc>
      </w:tr>
      <w:tr w14:paraId="772FDFD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140" w:type="pct"/>
            <w:tcBorders>
              <w:tl2br w:val="nil"/>
              <w:tr2bl w:val="nil"/>
            </w:tcBorders>
            <w:noWrap w:val="0"/>
            <w:vAlign w:val="center"/>
          </w:tcPr>
          <w:p w14:paraId="0AB03CAC">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永济新镇保障性住房</w:t>
            </w:r>
          </w:p>
        </w:tc>
        <w:tc>
          <w:tcPr>
            <w:tcW w:w="2670" w:type="dxa"/>
            <w:tcBorders>
              <w:tl2br w:val="nil"/>
              <w:tr2bl w:val="nil"/>
            </w:tcBorders>
            <w:noWrap w:val="0"/>
            <w:vAlign w:val="center"/>
          </w:tcPr>
          <w:p w14:paraId="149142FA">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0.00E+00</w:t>
            </w:r>
          </w:p>
        </w:tc>
        <w:tc>
          <w:tcPr>
            <w:tcW w:w="2511" w:type="dxa"/>
            <w:tcBorders>
              <w:tl2br w:val="nil"/>
              <w:tr2bl w:val="nil"/>
            </w:tcBorders>
            <w:noWrap w:val="0"/>
            <w:vAlign w:val="center"/>
          </w:tcPr>
          <w:p w14:paraId="4BE256D9">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val="en-US" w:eastAsia="zh-CN"/>
              </w:rPr>
              <w:t>5</w:t>
            </w:r>
          </w:p>
        </w:tc>
      </w:tr>
      <w:tr w14:paraId="073064A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140" w:type="pct"/>
            <w:tcBorders>
              <w:tl2br w:val="nil"/>
              <w:tr2bl w:val="nil"/>
            </w:tcBorders>
            <w:noWrap w:val="0"/>
            <w:vAlign w:val="center"/>
          </w:tcPr>
          <w:p w14:paraId="3597BE28">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杨树港村居民点</w:t>
            </w:r>
          </w:p>
        </w:tc>
        <w:tc>
          <w:tcPr>
            <w:tcW w:w="2670" w:type="dxa"/>
            <w:tcBorders>
              <w:tl2br w:val="nil"/>
              <w:tr2bl w:val="nil"/>
            </w:tcBorders>
            <w:noWrap w:val="0"/>
            <w:vAlign w:val="center"/>
          </w:tcPr>
          <w:p w14:paraId="40D7567B">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0.00E+00</w:t>
            </w:r>
          </w:p>
        </w:tc>
        <w:tc>
          <w:tcPr>
            <w:tcW w:w="2511" w:type="dxa"/>
            <w:tcBorders>
              <w:tl2br w:val="nil"/>
              <w:tr2bl w:val="nil"/>
            </w:tcBorders>
            <w:noWrap w:val="0"/>
            <w:vAlign w:val="center"/>
          </w:tcPr>
          <w:p w14:paraId="00D49FBA">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val="en-US" w:eastAsia="zh-CN"/>
              </w:rPr>
              <w:t>5</w:t>
            </w:r>
          </w:p>
        </w:tc>
      </w:tr>
      <w:tr w14:paraId="5FCCAD6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140" w:type="pct"/>
            <w:tcBorders>
              <w:tl2br w:val="nil"/>
              <w:tr2bl w:val="nil"/>
            </w:tcBorders>
            <w:noWrap w:val="0"/>
            <w:vAlign w:val="center"/>
          </w:tcPr>
          <w:p w14:paraId="3DE3385A">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三五一七公租房（未投入使用）</w:t>
            </w:r>
          </w:p>
        </w:tc>
        <w:tc>
          <w:tcPr>
            <w:tcW w:w="2670" w:type="dxa"/>
            <w:tcBorders>
              <w:tl2br w:val="nil"/>
              <w:tr2bl w:val="nil"/>
            </w:tcBorders>
            <w:noWrap w:val="0"/>
            <w:vAlign w:val="center"/>
          </w:tcPr>
          <w:p w14:paraId="6B0A7FEA">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0.00E+00</w:t>
            </w:r>
          </w:p>
        </w:tc>
        <w:tc>
          <w:tcPr>
            <w:tcW w:w="2511" w:type="dxa"/>
            <w:tcBorders>
              <w:tl2br w:val="nil"/>
              <w:tr2bl w:val="nil"/>
            </w:tcBorders>
            <w:noWrap w:val="0"/>
            <w:vAlign w:val="center"/>
          </w:tcPr>
          <w:p w14:paraId="38E28DC2">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val="en-US" w:eastAsia="zh-CN"/>
              </w:rPr>
              <w:t>5</w:t>
            </w:r>
          </w:p>
        </w:tc>
      </w:tr>
      <w:tr w14:paraId="1272DF1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140" w:type="pct"/>
            <w:tcBorders>
              <w:tl2br w:val="nil"/>
              <w:tr2bl w:val="nil"/>
            </w:tcBorders>
            <w:noWrap w:val="0"/>
            <w:vAlign w:val="center"/>
          </w:tcPr>
          <w:p w14:paraId="24784CB3">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凌泊湖安置小区</w:t>
            </w:r>
          </w:p>
        </w:tc>
        <w:tc>
          <w:tcPr>
            <w:tcW w:w="2670" w:type="dxa"/>
            <w:tcBorders>
              <w:tl2br w:val="nil"/>
              <w:tr2bl w:val="nil"/>
            </w:tcBorders>
            <w:noWrap w:val="0"/>
            <w:vAlign w:val="center"/>
          </w:tcPr>
          <w:p w14:paraId="6A8DAE7A">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0.00E+00</w:t>
            </w:r>
          </w:p>
        </w:tc>
        <w:tc>
          <w:tcPr>
            <w:tcW w:w="2511" w:type="dxa"/>
            <w:tcBorders>
              <w:tl2br w:val="nil"/>
              <w:tr2bl w:val="nil"/>
            </w:tcBorders>
            <w:noWrap w:val="0"/>
            <w:vAlign w:val="center"/>
          </w:tcPr>
          <w:p w14:paraId="51ABDEE2">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val="en-US" w:eastAsia="zh-CN"/>
              </w:rPr>
              <w:t>5</w:t>
            </w:r>
          </w:p>
        </w:tc>
      </w:tr>
      <w:tr w14:paraId="444821E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140" w:type="pct"/>
            <w:tcBorders>
              <w:tl2br w:val="nil"/>
              <w:tr2bl w:val="nil"/>
            </w:tcBorders>
            <w:noWrap w:val="0"/>
            <w:vAlign w:val="center"/>
          </w:tcPr>
          <w:p w14:paraId="104A8D25">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岳阳现代服务职业学院</w:t>
            </w:r>
          </w:p>
        </w:tc>
        <w:tc>
          <w:tcPr>
            <w:tcW w:w="2670" w:type="dxa"/>
            <w:tcBorders>
              <w:tl2br w:val="nil"/>
              <w:tr2bl w:val="nil"/>
            </w:tcBorders>
            <w:noWrap w:val="0"/>
            <w:vAlign w:val="center"/>
          </w:tcPr>
          <w:p w14:paraId="2E8EABF4">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0.00E+00</w:t>
            </w:r>
          </w:p>
        </w:tc>
        <w:tc>
          <w:tcPr>
            <w:tcW w:w="2511" w:type="dxa"/>
            <w:tcBorders>
              <w:tl2br w:val="nil"/>
              <w:tr2bl w:val="nil"/>
            </w:tcBorders>
            <w:noWrap w:val="0"/>
            <w:vAlign w:val="center"/>
          </w:tcPr>
          <w:p w14:paraId="0C0A430B">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val="en-US" w:eastAsia="zh-CN"/>
              </w:rPr>
              <w:t>5</w:t>
            </w:r>
          </w:p>
        </w:tc>
      </w:tr>
      <w:tr w14:paraId="1F205AA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140" w:type="pct"/>
            <w:tcBorders>
              <w:tl2br w:val="nil"/>
              <w:tr2bl w:val="nil"/>
            </w:tcBorders>
            <w:noWrap w:val="0"/>
            <w:vAlign w:val="center"/>
          </w:tcPr>
          <w:p w14:paraId="3E972133">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永济中学（位于凌泊湖安置小区内）</w:t>
            </w:r>
          </w:p>
        </w:tc>
        <w:tc>
          <w:tcPr>
            <w:tcW w:w="2670" w:type="dxa"/>
            <w:tcBorders>
              <w:tl2br w:val="nil"/>
              <w:tr2bl w:val="nil"/>
            </w:tcBorders>
            <w:noWrap w:val="0"/>
            <w:vAlign w:val="center"/>
          </w:tcPr>
          <w:p w14:paraId="2C142D75">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0.00E+00</w:t>
            </w:r>
          </w:p>
        </w:tc>
        <w:tc>
          <w:tcPr>
            <w:tcW w:w="2511" w:type="dxa"/>
            <w:tcBorders>
              <w:tl2br w:val="nil"/>
              <w:tr2bl w:val="nil"/>
            </w:tcBorders>
            <w:noWrap w:val="0"/>
            <w:vAlign w:val="center"/>
          </w:tcPr>
          <w:p w14:paraId="3F1CD8DD">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val="en-US" w:eastAsia="zh-CN"/>
              </w:rPr>
              <w:t>5</w:t>
            </w:r>
          </w:p>
        </w:tc>
      </w:tr>
      <w:tr w14:paraId="367C28B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140" w:type="pct"/>
            <w:tcBorders>
              <w:tl2br w:val="nil"/>
              <w:tr2bl w:val="nil"/>
            </w:tcBorders>
            <w:noWrap w:val="0"/>
            <w:vAlign w:val="center"/>
          </w:tcPr>
          <w:p w14:paraId="16DDCB32">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滨湖村</w:t>
            </w:r>
          </w:p>
        </w:tc>
        <w:tc>
          <w:tcPr>
            <w:tcW w:w="2670" w:type="dxa"/>
            <w:tcBorders>
              <w:tl2br w:val="nil"/>
              <w:tr2bl w:val="nil"/>
            </w:tcBorders>
            <w:noWrap w:val="0"/>
            <w:vAlign w:val="center"/>
          </w:tcPr>
          <w:p w14:paraId="43DF2DEF">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0.00E+00</w:t>
            </w:r>
          </w:p>
        </w:tc>
        <w:tc>
          <w:tcPr>
            <w:tcW w:w="2511" w:type="dxa"/>
            <w:tcBorders>
              <w:tl2br w:val="nil"/>
              <w:tr2bl w:val="nil"/>
            </w:tcBorders>
            <w:noWrap w:val="0"/>
            <w:vAlign w:val="center"/>
          </w:tcPr>
          <w:p w14:paraId="6BF8429C">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val="en-US" w:eastAsia="zh-CN"/>
              </w:rPr>
              <w:t>5</w:t>
            </w:r>
          </w:p>
        </w:tc>
      </w:tr>
      <w:tr w14:paraId="2D27682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140" w:type="pct"/>
            <w:tcBorders>
              <w:tl2br w:val="nil"/>
              <w:tr2bl w:val="nil"/>
            </w:tcBorders>
            <w:noWrap w:val="0"/>
            <w:vAlign w:val="center"/>
          </w:tcPr>
          <w:p w14:paraId="4F5BB348">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王德冲村</w:t>
            </w:r>
          </w:p>
        </w:tc>
        <w:tc>
          <w:tcPr>
            <w:tcW w:w="2670" w:type="dxa"/>
            <w:tcBorders>
              <w:tl2br w:val="nil"/>
              <w:tr2bl w:val="nil"/>
            </w:tcBorders>
            <w:noWrap w:val="0"/>
            <w:vAlign w:val="center"/>
          </w:tcPr>
          <w:p w14:paraId="18119ADE">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0.00E+00</w:t>
            </w:r>
          </w:p>
        </w:tc>
        <w:tc>
          <w:tcPr>
            <w:tcW w:w="2511" w:type="dxa"/>
            <w:tcBorders>
              <w:tl2br w:val="nil"/>
              <w:tr2bl w:val="nil"/>
            </w:tcBorders>
            <w:noWrap w:val="0"/>
            <w:vAlign w:val="center"/>
          </w:tcPr>
          <w:p w14:paraId="04960B2D">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val="en-US" w:eastAsia="zh-CN"/>
              </w:rPr>
              <w:t>5</w:t>
            </w:r>
          </w:p>
        </w:tc>
      </w:tr>
      <w:tr w14:paraId="0030A31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140" w:type="pct"/>
            <w:tcBorders>
              <w:tl2br w:val="nil"/>
              <w:tr2bl w:val="nil"/>
            </w:tcBorders>
            <w:noWrap w:val="0"/>
            <w:vAlign w:val="center"/>
          </w:tcPr>
          <w:p w14:paraId="2CCF449F">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东风村</w:t>
            </w:r>
          </w:p>
        </w:tc>
        <w:tc>
          <w:tcPr>
            <w:tcW w:w="2670" w:type="dxa"/>
            <w:tcBorders>
              <w:tl2br w:val="nil"/>
              <w:tr2bl w:val="nil"/>
            </w:tcBorders>
            <w:noWrap w:val="0"/>
            <w:vAlign w:val="center"/>
          </w:tcPr>
          <w:p w14:paraId="3642E8B9">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0.00E+00</w:t>
            </w:r>
          </w:p>
        </w:tc>
        <w:tc>
          <w:tcPr>
            <w:tcW w:w="2511" w:type="dxa"/>
            <w:tcBorders>
              <w:tl2br w:val="nil"/>
              <w:tr2bl w:val="nil"/>
            </w:tcBorders>
            <w:noWrap w:val="0"/>
            <w:vAlign w:val="center"/>
          </w:tcPr>
          <w:p w14:paraId="32401ABE">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val="en-US" w:eastAsia="zh-CN"/>
              </w:rPr>
              <w:t>5</w:t>
            </w:r>
          </w:p>
        </w:tc>
      </w:tr>
      <w:tr w14:paraId="664D05C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140" w:type="pct"/>
            <w:tcBorders>
              <w:tl2br w:val="nil"/>
              <w:tr2bl w:val="nil"/>
            </w:tcBorders>
            <w:noWrap w:val="0"/>
            <w:vAlign w:val="center"/>
          </w:tcPr>
          <w:p w14:paraId="3EFB24F4">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戴家坡村</w:t>
            </w:r>
          </w:p>
        </w:tc>
        <w:tc>
          <w:tcPr>
            <w:tcW w:w="2670" w:type="dxa"/>
            <w:tcBorders>
              <w:tl2br w:val="nil"/>
              <w:tr2bl w:val="nil"/>
            </w:tcBorders>
            <w:noWrap w:val="0"/>
            <w:vAlign w:val="center"/>
          </w:tcPr>
          <w:p w14:paraId="4688A57D">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0.00E+00</w:t>
            </w:r>
          </w:p>
        </w:tc>
        <w:tc>
          <w:tcPr>
            <w:tcW w:w="2511" w:type="dxa"/>
            <w:tcBorders>
              <w:tl2br w:val="nil"/>
              <w:tr2bl w:val="nil"/>
            </w:tcBorders>
            <w:noWrap w:val="0"/>
            <w:vAlign w:val="center"/>
          </w:tcPr>
          <w:p w14:paraId="57ED72A6">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val="en-US" w:eastAsia="zh-CN"/>
              </w:rPr>
              <w:t>5</w:t>
            </w:r>
          </w:p>
        </w:tc>
      </w:tr>
      <w:tr w14:paraId="6878F18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140" w:type="pct"/>
            <w:tcBorders>
              <w:tl2br w:val="nil"/>
              <w:tr2bl w:val="nil"/>
            </w:tcBorders>
            <w:noWrap w:val="0"/>
            <w:vAlign w:val="center"/>
          </w:tcPr>
          <w:p w14:paraId="5DF0F51F">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螃家咀</w:t>
            </w:r>
          </w:p>
        </w:tc>
        <w:tc>
          <w:tcPr>
            <w:tcW w:w="2670" w:type="dxa"/>
            <w:tcBorders>
              <w:tl2br w:val="nil"/>
              <w:tr2bl w:val="nil"/>
            </w:tcBorders>
            <w:noWrap w:val="0"/>
            <w:vAlign w:val="center"/>
          </w:tcPr>
          <w:p w14:paraId="445503AB">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0.00E+00</w:t>
            </w:r>
          </w:p>
        </w:tc>
        <w:tc>
          <w:tcPr>
            <w:tcW w:w="2511" w:type="dxa"/>
            <w:tcBorders>
              <w:tl2br w:val="nil"/>
              <w:tr2bl w:val="nil"/>
            </w:tcBorders>
            <w:noWrap w:val="0"/>
            <w:vAlign w:val="center"/>
          </w:tcPr>
          <w:p w14:paraId="645B08A0">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val="en-US" w:eastAsia="zh-CN"/>
              </w:rPr>
              <w:t>5</w:t>
            </w:r>
          </w:p>
        </w:tc>
      </w:tr>
      <w:tr w14:paraId="0BAC39A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140" w:type="pct"/>
            <w:tcBorders>
              <w:tl2br w:val="nil"/>
              <w:tr2bl w:val="nil"/>
            </w:tcBorders>
            <w:noWrap w:val="0"/>
            <w:vAlign w:val="center"/>
          </w:tcPr>
          <w:p w14:paraId="0E487508">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刘家屋场</w:t>
            </w:r>
          </w:p>
        </w:tc>
        <w:tc>
          <w:tcPr>
            <w:tcW w:w="2670" w:type="dxa"/>
            <w:tcBorders>
              <w:tl2br w:val="nil"/>
              <w:tr2bl w:val="nil"/>
            </w:tcBorders>
            <w:noWrap w:val="0"/>
            <w:vAlign w:val="center"/>
          </w:tcPr>
          <w:p w14:paraId="729FD436">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0.00E+00</w:t>
            </w:r>
          </w:p>
        </w:tc>
        <w:tc>
          <w:tcPr>
            <w:tcW w:w="2511" w:type="dxa"/>
            <w:tcBorders>
              <w:tl2br w:val="nil"/>
              <w:tr2bl w:val="nil"/>
            </w:tcBorders>
            <w:noWrap w:val="0"/>
            <w:vAlign w:val="center"/>
          </w:tcPr>
          <w:p w14:paraId="5FDE6E1A">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val="en-US" w:eastAsia="zh-CN"/>
              </w:rPr>
              <w:t>5</w:t>
            </w:r>
          </w:p>
        </w:tc>
      </w:tr>
      <w:tr w14:paraId="5CFA0B9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140" w:type="pct"/>
            <w:tcBorders>
              <w:tl2br w:val="nil"/>
              <w:tr2bl w:val="nil"/>
            </w:tcBorders>
            <w:noWrap w:val="0"/>
            <w:vAlign w:val="center"/>
          </w:tcPr>
          <w:p w14:paraId="78CA9FE9">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亚泰花园</w:t>
            </w:r>
          </w:p>
        </w:tc>
        <w:tc>
          <w:tcPr>
            <w:tcW w:w="1473" w:type="pct"/>
            <w:tcBorders>
              <w:tl2br w:val="nil"/>
              <w:tr2bl w:val="nil"/>
            </w:tcBorders>
            <w:noWrap w:val="0"/>
            <w:vAlign w:val="center"/>
          </w:tcPr>
          <w:p w14:paraId="50187498">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2.57E-15</w:t>
            </w:r>
          </w:p>
        </w:tc>
        <w:tc>
          <w:tcPr>
            <w:tcW w:w="1385" w:type="pct"/>
            <w:tcBorders>
              <w:tl2br w:val="nil"/>
              <w:tr2bl w:val="nil"/>
            </w:tcBorders>
            <w:noWrap w:val="0"/>
            <w:vAlign w:val="center"/>
          </w:tcPr>
          <w:p w14:paraId="6315DAD4">
            <w:pPr>
              <w:jc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9</w:t>
            </w:r>
          </w:p>
        </w:tc>
      </w:tr>
      <w:tr w14:paraId="69C75AF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140" w:type="pct"/>
            <w:tcBorders>
              <w:tl2br w:val="nil"/>
              <w:tr2bl w:val="nil"/>
            </w:tcBorders>
            <w:noWrap w:val="0"/>
            <w:vAlign w:val="center"/>
          </w:tcPr>
          <w:p w14:paraId="1B104952">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新港首府</w:t>
            </w:r>
          </w:p>
        </w:tc>
        <w:tc>
          <w:tcPr>
            <w:tcW w:w="2670" w:type="dxa"/>
            <w:tcBorders>
              <w:tl2br w:val="nil"/>
              <w:tr2bl w:val="nil"/>
            </w:tcBorders>
            <w:noWrap w:val="0"/>
            <w:vAlign w:val="center"/>
          </w:tcPr>
          <w:p w14:paraId="0F6BF149">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0.00E+00</w:t>
            </w:r>
          </w:p>
        </w:tc>
        <w:tc>
          <w:tcPr>
            <w:tcW w:w="2511" w:type="dxa"/>
            <w:tcBorders>
              <w:tl2br w:val="nil"/>
              <w:tr2bl w:val="nil"/>
            </w:tcBorders>
            <w:noWrap w:val="0"/>
            <w:vAlign w:val="center"/>
          </w:tcPr>
          <w:p w14:paraId="6A36C016">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val="en-US" w:eastAsia="zh-CN"/>
              </w:rPr>
              <w:t>5</w:t>
            </w:r>
          </w:p>
        </w:tc>
      </w:tr>
      <w:tr w14:paraId="41CF0E0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140" w:type="pct"/>
            <w:tcBorders>
              <w:tl2br w:val="nil"/>
              <w:tr2bl w:val="nil"/>
            </w:tcBorders>
            <w:noWrap w:val="0"/>
            <w:vAlign w:val="center"/>
          </w:tcPr>
          <w:p w14:paraId="4C795A79">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松阳湖小区</w:t>
            </w:r>
          </w:p>
        </w:tc>
        <w:tc>
          <w:tcPr>
            <w:tcW w:w="2670" w:type="dxa"/>
            <w:tcBorders>
              <w:tl2br w:val="nil"/>
              <w:tr2bl w:val="nil"/>
            </w:tcBorders>
            <w:noWrap w:val="0"/>
            <w:vAlign w:val="center"/>
          </w:tcPr>
          <w:p w14:paraId="1F8436CC">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0.00E+00</w:t>
            </w:r>
          </w:p>
        </w:tc>
        <w:tc>
          <w:tcPr>
            <w:tcW w:w="2511" w:type="dxa"/>
            <w:tcBorders>
              <w:tl2br w:val="nil"/>
              <w:tr2bl w:val="nil"/>
            </w:tcBorders>
            <w:noWrap w:val="0"/>
            <w:vAlign w:val="center"/>
          </w:tcPr>
          <w:p w14:paraId="7CA9FDEB">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val="en-US" w:eastAsia="zh-CN"/>
              </w:rPr>
              <w:t>5</w:t>
            </w:r>
          </w:p>
        </w:tc>
      </w:tr>
      <w:tr w14:paraId="0E1100D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140" w:type="pct"/>
            <w:tcBorders>
              <w:tl2br w:val="nil"/>
              <w:tr2bl w:val="nil"/>
            </w:tcBorders>
            <w:noWrap w:val="0"/>
            <w:vAlign w:val="center"/>
          </w:tcPr>
          <w:p w14:paraId="555E1338">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松杨湖渔场居民点</w:t>
            </w:r>
          </w:p>
        </w:tc>
        <w:tc>
          <w:tcPr>
            <w:tcW w:w="2670" w:type="dxa"/>
            <w:tcBorders>
              <w:tl2br w:val="nil"/>
              <w:tr2bl w:val="nil"/>
            </w:tcBorders>
            <w:noWrap w:val="0"/>
            <w:vAlign w:val="center"/>
          </w:tcPr>
          <w:p w14:paraId="2FF25139">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0.00E+00</w:t>
            </w:r>
          </w:p>
        </w:tc>
        <w:tc>
          <w:tcPr>
            <w:tcW w:w="2511" w:type="dxa"/>
            <w:tcBorders>
              <w:tl2br w:val="nil"/>
              <w:tr2bl w:val="nil"/>
            </w:tcBorders>
            <w:noWrap w:val="0"/>
            <w:vAlign w:val="center"/>
          </w:tcPr>
          <w:p w14:paraId="254463C8">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val="en-US" w:eastAsia="zh-CN"/>
              </w:rPr>
              <w:t>5</w:t>
            </w:r>
          </w:p>
        </w:tc>
      </w:tr>
      <w:tr w14:paraId="44B30D1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140" w:type="pct"/>
            <w:tcBorders>
              <w:tl2br w:val="nil"/>
              <w:tr2bl w:val="nil"/>
            </w:tcBorders>
            <w:noWrap w:val="0"/>
            <w:vAlign w:val="center"/>
          </w:tcPr>
          <w:p w14:paraId="091AAF41">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岳阳市郡华学校</w:t>
            </w:r>
          </w:p>
        </w:tc>
        <w:tc>
          <w:tcPr>
            <w:tcW w:w="2670" w:type="dxa"/>
            <w:tcBorders>
              <w:tl2br w:val="nil"/>
              <w:tr2bl w:val="nil"/>
            </w:tcBorders>
            <w:noWrap w:val="0"/>
            <w:vAlign w:val="center"/>
          </w:tcPr>
          <w:p w14:paraId="25B126DB">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0.00E+00</w:t>
            </w:r>
          </w:p>
        </w:tc>
        <w:tc>
          <w:tcPr>
            <w:tcW w:w="2511" w:type="dxa"/>
            <w:tcBorders>
              <w:tl2br w:val="nil"/>
              <w:tr2bl w:val="nil"/>
            </w:tcBorders>
            <w:noWrap w:val="0"/>
            <w:vAlign w:val="center"/>
          </w:tcPr>
          <w:p w14:paraId="0B66C35E">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val="en-US" w:eastAsia="zh-CN"/>
              </w:rPr>
              <w:t>5</w:t>
            </w:r>
          </w:p>
        </w:tc>
      </w:tr>
      <w:tr w14:paraId="75AF58E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140" w:type="pct"/>
            <w:tcBorders>
              <w:tl2br w:val="nil"/>
              <w:tr2bl w:val="nil"/>
            </w:tcBorders>
            <w:noWrap w:val="0"/>
            <w:vAlign w:val="center"/>
          </w:tcPr>
          <w:p w14:paraId="5243EA1A">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未名府</w:t>
            </w:r>
          </w:p>
        </w:tc>
        <w:tc>
          <w:tcPr>
            <w:tcW w:w="2670" w:type="dxa"/>
            <w:tcBorders>
              <w:tl2br w:val="nil"/>
              <w:tr2bl w:val="nil"/>
            </w:tcBorders>
            <w:noWrap w:val="0"/>
            <w:vAlign w:val="center"/>
          </w:tcPr>
          <w:p w14:paraId="7EBFF1D9">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0.00E+00</w:t>
            </w:r>
          </w:p>
        </w:tc>
        <w:tc>
          <w:tcPr>
            <w:tcW w:w="2511" w:type="dxa"/>
            <w:tcBorders>
              <w:tl2br w:val="nil"/>
              <w:tr2bl w:val="nil"/>
            </w:tcBorders>
            <w:noWrap w:val="0"/>
            <w:vAlign w:val="center"/>
          </w:tcPr>
          <w:p w14:paraId="5A1DBAB7">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val="en-US" w:eastAsia="zh-CN"/>
              </w:rPr>
              <w:t>5</w:t>
            </w:r>
          </w:p>
        </w:tc>
      </w:tr>
      <w:tr w14:paraId="5785BA9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140" w:type="pct"/>
            <w:tcBorders>
              <w:tl2br w:val="nil"/>
              <w:tr2bl w:val="nil"/>
            </w:tcBorders>
            <w:noWrap w:val="0"/>
            <w:vAlign w:val="center"/>
          </w:tcPr>
          <w:p w14:paraId="665BAE98">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郡华长郡里</w:t>
            </w:r>
          </w:p>
        </w:tc>
        <w:tc>
          <w:tcPr>
            <w:tcW w:w="2670" w:type="dxa"/>
            <w:tcBorders>
              <w:tl2br w:val="nil"/>
              <w:tr2bl w:val="nil"/>
            </w:tcBorders>
            <w:noWrap w:val="0"/>
            <w:vAlign w:val="center"/>
          </w:tcPr>
          <w:p w14:paraId="15E86E57">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0.00E+00</w:t>
            </w:r>
          </w:p>
        </w:tc>
        <w:tc>
          <w:tcPr>
            <w:tcW w:w="2511" w:type="dxa"/>
            <w:tcBorders>
              <w:tl2br w:val="nil"/>
              <w:tr2bl w:val="nil"/>
            </w:tcBorders>
            <w:noWrap w:val="0"/>
            <w:vAlign w:val="center"/>
          </w:tcPr>
          <w:p w14:paraId="38ED2FC3">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val="en-US" w:eastAsia="zh-CN"/>
              </w:rPr>
              <w:t>5</w:t>
            </w:r>
          </w:p>
        </w:tc>
      </w:tr>
      <w:tr w14:paraId="7FB46E2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140" w:type="pct"/>
            <w:tcBorders>
              <w:tl2br w:val="nil"/>
              <w:tr2bl w:val="nil"/>
            </w:tcBorders>
            <w:noWrap w:val="0"/>
            <w:vAlign w:val="center"/>
          </w:tcPr>
          <w:p w14:paraId="209B3D66">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金龙山小区</w:t>
            </w:r>
          </w:p>
        </w:tc>
        <w:tc>
          <w:tcPr>
            <w:tcW w:w="2670" w:type="dxa"/>
            <w:tcBorders>
              <w:tl2br w:val="nil"/>
              <w:tr2bl w:val="nil"/>
            </w:tcBorders>
            <w:noWrap w:val="0"/>
            <w:vAlign w:val="center"/>
          </w:tcPr>
          <w:p w14:paraId="43B4ECA1">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0.00E+00</w:t>
            </w:r>
          </w:p>
        </w:tc>
        <w:tc>
          <w:tcPr>
            <w:tcW w:w="2511" w:type="dxa"/>
            <w:tcBorders>
              <w:tl2br w:val="nil"/>
              <w:tr2bl w:val="nil"/>
            </w:tcBorders>
            <w:noWrap w:val="0"/>
            <w:vAlign w:val="center"/>
          </w:tcPr>
          <w:p w14:paraId="732227FE">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val="en-US" w:eastAsia="zh-CN"/>
              </w:rPr>
              <w:t>5</w:t>
            </w:r>
          </w:p>
        </w:tc>
      </w:tr>
      <w:tr w14:paraId="4BD0977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140" w:type="pct"/>
            <w:tcBorders>
              <w:tl2br w:val="nil"/>
              <w:tr2bl w:val="nil"/>
            </w:tcBorders>
            <w:noWrap w:val="0"/>
            <w:vAlign w:val="center"/>
          </w:tcPr>
          <w:p w14:paraId="70F3BEB6">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岳阳职业技术学院自贸区现代产业学院、岳阳市物流工程职业学校</w:t>
            </w:r>
          </w:p>
        </w:tc>
        <w:tc>
          <w:tcPr>
            <w:tcW w:w="2670" w:type="dxa"/>
            <w:tcBorders>
              <w:tl2br w:val="nil"/>
              <w:tr2bl w:val="nil"/>
            </w:tcBorders>
            <w:noWrap w:val="0"/>
            <w:vAlign w:val="center"/>
          </w:tcPr>
          <w:p w14:paraId="0DAF0FF2">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0.00E+00</w:t>
            </w:r>
          </w:p>
        </w:tc>
        <w:tc>
          <w:tcPr>
            <w:tcW w:w="2511" w:type="dxa"/>
            <w:tcBorders>
              <w:tl2br w:val="nil"/>
              <w:tr2bl w:val="nil"/>
            </w:tcBorders>
            <w:noWrap w:val="0"/>
            <w:vAlign w:val="center"/>
          </w:tcPr>
          <w:p w14:paraId="5239DDA0">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val="en-US" w:eastAsia="zh-CN"/>
              </w:rPr>
              <w:t>5</w:t>
            </w:r>
          </w:p>
        </w:tc>
      </w:tr>
      <w:tr w14:paraId="09909AE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140" w:type="pct"/>
            <w:tcBorders>
              <w:tl2br w:val="nil"/>
              <w:tr2bl w:val="nil"/>
            </w:tcBorders>
            <w:noWrap w:val="0"/>
            <w:vAlign w:val="center"/>
          </w:tcPr>
          <w:p w14:paraId="2D7CE1DF">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云溪区政务服务中心</w:t>
            </w:r>
          </w:p>
        </w:tc>
        <w:tc>
          <w:tcPr>
            <w:tcW w:w="2670" w:type="dxa"/>
            <w:tcBorders>
              <w:tl2br w:val="nil"/>
              <w:tr2bl w:val="nil"/>
            </w:tcBorders>
            <w:noWrap w:val="0"/>
            <w:vAlign w:val="center"/>
          </w:tcPr>
          <w:p w14:paraId="0AF79874">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0.00E+00</w:t>
            </w:r>
          </w:p>
        </w:tc>
        <w:tc>
          <w:tcPr>
            <w:tcW w:w="2511" w:type="dxa"/>
            <w:tcBorders>
              <w:tl2br w:val="nil"/>
              <w:tr2bl w:val="nil"/>
            </w:tcBorders>
            <w:noWrap w:val="0"/>
            <w:vAlign w:val="center"/>
          </w:tcPr>
          <w:p w14:paraId="4EDC62B5">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val="en-US" w:eastAsia="zh-CN"/>
              </w:rPr>
              <w:t>5</w:t>
            </w:r>
          </w:p>
        </w:tc>
      </w:tr>
      <w:tr w14:paraId="5F90EEC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140" w:type="pct"/>
            <w:tcBorders>
              <w:tl2br w:val="nil"/>
              <w:tr2bl w:val="nil"/>
            </w:tcBorders>
            <w:noWrap w:val="0"/>
            <w:vAlign w:val="center"/>
          </w:tcPr>
          <w:p w14:paraId="63F5759F">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岳阳市巴陵学校</w:t>
            </w:r>
          </w:p>
        </w:tc>
        <w:tc>
          <w:tcPr>
            <w:tcW w:w="2670" w:type="dxa"/>
            <w:tcBorders>
              <w:tl2br w:val="nil"/>
              <w:tr2bl w:val="nil"/>
            </w:tcBorders>
            <w:noWrap w:val="0"/>
            <w:vAlign w:val="center"/>
          </w:tcPr>
          <w:p w14:paraId="6CFA541D">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0.00E+00</w:t>
            </w:r>
          </w:p>
        </w:tc>
        <w:tc>
          <w:tcPr>
            <w:tcW w:w="2511" w:type="dxa"/>
            <w:tcBorders>
              <w:tl2br w:val="nil"/>
              <w:tr2bl w:val="nil"/>
            </w:tcBorders>
            <w:noWrap w:val="0"/>
            <w:vAlign w:val="center"/>
          </w:tcPr>
          <w:p w14:paraId="4A244A5F">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val="en-US" w:eastAsia="zh-CN"/>
              </w:rPr>
              <w:t>5</w:t>
            </w:r>
          </w:p>
        </w:tc>
      </w:tr>
      <w:tr w14:paraId="1A47AC4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140" w:type="pct"/>
            <w:tcBorders>
              <w:tl2br w:val="nil"/>
              <w:tr2bl w:val="nil"/>
            </w:tcBorders>
            <w:noWrap w:val="0"/>
            <w:vAlign w:val="center"/>
          </w:tcPr>
          <w:p w14:paraId="32D571AB">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福天城小区</w:t>
            </w:r>
          </w:p>
        </w:tc>
        <w:tc>
          <w:tcPr>
            <w:tcW w:w="2670" w:type="dxa"/>
            <w:tcBorders>
              <w:tl2br w:val="nil"/>
              <w:tr2bl w:val="nil"/>
            </w:tcBorders>
            <w:noWrap w:val="0"/>
            <w:vAlign w:val="center"/>
          </w:tcPr>
          <w:p w14:paraId="559AD107">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0.00E+00</w:t>
            </w:r>
          </w:p>
        </w:tc>
        <w:tc>
          <w:tcPr>
            <w:tcW w:w="2511" w:type="dxa"/>
            <w:tcBorders>
              <w:tl2br w:val="nil"/>
              <w:tr2bl w:val="nil"/>
            </w:tcBorders>
            <w:noWrap w:val="0"/>
            <w:vAlign w:val="center"/>
          </w:tcPr>
          <w:p w14:paraId="786C6918">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val="en-US" w:eastAsia="zh-CN"/>
              </w:rPr>
              <w:t>5</w:t>
            </w:r>
          </w:p>
        </w:tc>
      </w:tr>
      <w:tr w14:paraId="23C62F7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140" w:type="pct"/>
            <w:tcBorders>
              <w:tl2br w:val="nil"/>
              <w:tr2bl w:val="nil"/>
            </w:tcBorders>
            <w:noWrap w:val="0"/>
            <w:vAlign w:val="center"/>
          </w:tcPr>
          <w:p w14:paraId="47C5C126">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零陆嘉园</w:t>
            </w:r>
          </w:p>
        </w:tc>
        <w:tc>
          <w:tcPr>
            <w:tcW w:w="2670" w:type="dxa"/>
            <w:tcBorders>
              <w:tl2br w:val="nil"/>
              <w:tr2bl w:val="nil"/>
            </w:tcBorders>
            <w:noWrap w:val="0"/>
            <w:vAlign w:val="center"/>
          </w:tcPr>
          <w:p w14:paraId="755803C8">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0.00E+00</w:t>
            </w:r>
          </w:p>
        </w:tc>
        <w:tc>
          <w:tcPr>
            <w:tcW w:w="2511" w:type="dxa"/>
            <w:tcBorders>
              <w:tl2br w:val="nil"/>
              <w:tr2bl w:val="nil"/>
            </w:tcBorders>
            <w:noWrap w:val="0"/>
            <w:vAlign w:val="center"/>
          </w:tcPr>
          <w:p w14:paraId="6BE106C1">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val="en-US" w:eastAsia="zh-CN"/>
              </w:rPr>
              <w:t>5</w:t>
            </w:r>
          </w:p>
        </w:tc>
      </w:tr>
      <w:tr w14:paraId="520CFE0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140" w:type="pct"/>
            <w:tcBorders>
              <w:tl2br w:val="nil"/>
              <w:tr2bl w:val="nil"/>
            </w:tcBorders>
            <w:noWrap w:val="0"/>
            <w:vAlign w:val="center"/>
          </w:tcPr>
          <w:p w14:paraId="3A78FED1">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岳阳城陵矶综合保税区CCTC保税大厦</w:t>
            </w:r>
          </w:p>
        </w:tc>
        <w:tc>
          <w:tcPr>
            <w:tcW w:w="2670" w:type="dxa"/>
            <w:tcBorders>
              <w:tl2br w:val="nil"/>
              <w:tr2bl w:val="nil"/>
            </w:tcBorders>
            <w:noWrap w:val="0"/>
            <w:vAlign w:val="center"/>
          </w:tcPr>
          <w:p w14:paraId="439325D6">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0.00E+00</w:t>
            </w:r>
          </w:p>
        </w:tc>
        <w:tc>
          <w:tcPr>
            <w:tcW w:w="2511" w:type="dxa"/>
            <w:tcBorders>
              <w:tl2br w:val="nil"/>
              <w:tr2bl w:val="nil"/>
            </w:tcBorders>
            <w:noWrap w:val="0"/>
            <w:vAlign w:val="center"/>
          </w:tcPr>
          <w:p w14:paraId="1D8303F2">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val="en-US" w:eastAsia="zh-CN"/>
              </w:rPr>
              <w:t>5</w:t>
            </w:r>
          </w:p>
        </w:tc>
      </w:tr>
      <w:tr w14:paraId="5DE720A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140" w:type="pct"/>
            <w:tcBorders>
              <w:tl2br w:val="nil"/>
              <w:tr2bl w:val="nil"/>
            </w:tcBorders>
            <w:noWrap w:val="0"/>
            <w:vAlign w:val="center"/>
          </w:tcPr>
          <w:p w14:paraId="08724A5A">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岳阳城陵矶新港区管委会办公大楼</w:t>
            </w:r>
          </w:p>
        </w:tc>
        <w:tc>
          <w:tcPr>
            <w:tcW w:w="2670" w:type="dxa"/>
            <w:tcBorders>
              <w:tl2br w:val="nil"/>
              <w:tr2bl w:val="nil"/>
            </w:tcBorders>
            <w:noWrap w:val="0"/>
            <w:vAlign w:val="center"/>
          </w:tcPr>
          <w:p w14:paraId="0ACC7177">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0.00E+00</w:t>
            </w:r>
          </w:p>
        </w:tc>
        <w:tc>
          <w:tcPr>
            <w:tcW w:w="2511" w:type="dxa"/>
            <w:tcBorders>
              <w:tl2br w:val="nil"/>
              <w:tr2bl w:val="nil"/>
            </w:tcBorders>
            <w:noWrap w:val="0"/>
            <w:vAlign w:val="center"/>
          </w:tcPr>
          <w:p w14:paraId="0B392A21">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val="en-US" w:eastAsia="zh-CN"/>
              </w:rPr>
              <w:t>5</w:t>
            </w:r>
          </w:p>
        </w:tc>
      </w:tr>
      <w:tr w14:paraId="278995C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140" w:type="pct"/>
            <w:tcBorders>
              <w:tl2br w:val="nil"/>
              <w:tr2bl w:val="nil"/>
            </w:tcBorders>
            <w:noWrap w:val="0"/>
            <w:vAlign w:val="center"/>
          </w:tcPr>
          <w:p w14:paraId="720E7B87">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岳阳市城陵矶新港区税务局</w:t>
            </w:r>
          </w:p>
        </w:tc>
        <w:tc>
          <w:tcPr>
            <w:tcW w:w="2670" w:type="dxa"/>
            <w:tcBorders>
              <w:tl2br w:val="nil"/>
              <w:tr2bl w:val="nil"/>
            </w:tcBorders>
            <w:noWrap w:val="0"/>
            <w:vAlign w:val="center"/>
          </w:tcPr>
          <w:p w14:paraId="03E8D71A">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0.00E+00</w:t>
            </w:r>
          </w:p>
        </w:tc>
        <w:tc>
          <w:tcPr>
            <w:tcW w:w="2511" w:type="dxa"/>
            <w:tcBorders>
              <w:tl2br w:val="nil"/>
              <w:tr2bl w:val="nil"/>
            </w:tcBorders>
            <w:noWrap w:val="0"/>
            <w:vAlign w:val="center"/>
          </w:tcPr>
          <w:p w14:paraId="53AC1ACD">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val="en-US" w:eastAsia="zh-CN"/>
              </w:rPr>
              <w:t>5</w:t>
            </w:r>
          </w:p>
        </w:tc>
      </w:tr>
      <w:tr w14:paraId="22A0D2C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140" w:type="pct"/>
            <w:tcBorders>
              <w:tl2br w:val="nil"/>
              <w:tr2bl w:val="nil"/>
            </w:tcBorders>
            <w:noWrap w:val="0"/>
            <w:vAlign w:val="center"/>
          </w:tcPr>
          <w:p w14:paraId="7AB29EC8">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云溪区松杨湖街道东风社区服务中心</w:t>
            </w:r>
          </w:p>
        </w:tc>
        <w:tc>
          <w:tcPr>
            <w:tcW w:w="2670" w:type="dxa"/>
            <w:tcBorders>
              <w:tl2br w:val="nil"/>
              <w:tr2bl w:val="nil"/>
            </w:tcBorders>
            <w:noWrap w:val="0"/>
            <w:vAlign w:val="center"/>
          </w:tcPr>
          <w:p w14:paraId="4364B5D3">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0.00E+00</w:t>
            </w:r>
          </w:p>
        </w:tc>
        <w:tc>
          <w:tcPr>
            <w:tcW w:w="2511" w:type="dxa"/>
            <w:tcBorders>
              <w:tl2br w:val="nil"/>
              <w:tr2bl w:val="nil"/>
            </w:tcBorders>
            <w:noWrap w:val="0"/>
            <w:vAlign w:val="center"/>
          </w:tcPr>
          <w:p w14:paraId="30DA9859">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val="en-US" w:eastAsia="zh-CN"/>
              </w:rPr>
              <w:t>5</w:t>
            </w:r>
          </w:p>
        </w:tc>
      </w:tr>
      <w:tr w14:paraId="65E66A1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140" w:type="pct"/>
            <w:tcBorders>
              <w:tl2br w:val="nil"/>
              <w:tr2bl w:val="nil"/>
            </w:tcBorders>
            <w:noWrap w:val="0"/>
            <w:vAlign w:val="center"/>
          </w:tcPr>
          <w:p w14:paraId="396AFB7D">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云溪区人民法院</w:t>
            </w:r>
          </w:p>
        </w:tc>
        <w:tc>
          <w:tcPr>
            <w:tcW w:w="2670" w:type="dxa"/>
            <w:tcBorders>
              <w:tl2br w:val="nil"/>
              <w:tr2bl w:val="nil"/>
            </w:tcBorders>
            <w:noWrap w:val="0"/>
            <w:vAlign w:val="center"/>
          </w:tcPr>
          <w:p w14:paraId="03C8DE39">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0.00E+00</w:t>
            </w:r>
          </w:p>
        </w:tc>
        <w:tc>
          <w:tcPr>
            <w:tcW w:w="2511" w:type="dxa"/>
            <w:tcBorders>
              <w:tl2br w:val="nil"/>
              <w:tr2bl w:val="nil"/>
            </w:tcBorders>
            <w:noWrap w:val="0"/>
            <w:vAlign w:val="center"/>
          </w:tcPr>
          <w:p w14:paraId="7F10AB9B">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val="en-US" w:eastAsia="zh-CN"/>
              </w:rPr>
              <w:t>5</w:t>
            </w:r>
          </w:p>
        </w:tc>
      </w:tr>
      <w:tr w14:paraId="1CC17F2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140" w:type="pct"/>
            <w:tcBorders>
              <w:tl2br w:val="nil"/>
              <w:tr2bl w:val="nil"/>
            </w:tcBorders>
            <w:noWrap w:val="0"/>
            <w:vAlign w:val="center"/>
          </w:tcPr>
          <w:p w14:paraId="3736079F">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曾连家</w:t>
            </w:r>
          </w:p>
        </w:tc>
        <w:tc>
          <w:tcPr>
            <w:tcW w:w="2670" w:type="dxa"/>
            <w:tcBorders>
              <w:tl2br w:val="nil"/>
              <w:tr2bl w:val="nil"/>
            </w:tcBorders>
            <w:noWrap w:val="0"/>
            <w:vAlign w:val="center"/>
          </w:tcPr>
          <w:p w14:paraId="4EC4C597">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0.00E+00</w:t>
            </w:r>
          </w:p>
        </w:tc>
        <w:tc>
          <w:tcPr>
            <w:tcW w:w="2511" w:type="dxa"/>
            <w:tcBorders>
              <w:tl2br w:val="nil"/>
              <w:tr2bl w:val="nil"/>
            </w:tcBorders>
            <w:noWrap w:val="0"/>
            <w:vAlign w:val="center"/>
          </w:tcPr>
          <w:p w14:paraId="2DBF5701">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val="en-US" w:eastAsia="zh-CN"/>
              </w:rPr>
              <w:t>5</w:t>
            </w:r>
          </w:p>
        </w:tc>
      </w:tr>
      <w:tr w14:paraId="5953734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140" w:type="pct"/>
            <w:tcBorders>
              <w:tl2br w:val="nil"/>
              <w:tr2bl w:val="nil"/>
            </w:tcBorders>
            <w:noWrap w:val="0"/>
            <w:vAlign w:val="center"/>
          </w:tcPr>
          <w:p w14:paraId="447AA7F4">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保税区人才公寓</w:t>
            </w:r>
          </w:p>
        </w:tc>
        <w:tc>
          <w:tcPr>
            <w:tcW w:w="2670" w:type="dxa"/>
            <w:tcBorders>
              <w:tl2br w:val="nil"/>
              <w:tr2bl w:val="nil"/>
            </w:tcBorders>
            <w:noWrap w:val="0"/>
            <w:vAlign w:val="center"/>
          </w:tcPr>
          <w:p w14:paraId="0AE96CA6">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0.00E+00</w:t>
            </w:r>
          </w:p>
        </w:tc>
        <w:tc>
          <w:tcPr>
            <w:tcW w:w="2511" w:type="dxa"/>
            <w:tcBorders>
              <w:tl2br w:val="nil"/>
              <w:tr2bl w:val="nil"/>
            </w:tcBorders>
            <w:noWrap w:val="0"/>
            <w:vAlign w:val="center"/>
          </w:tcPr>
          <w:p w14:paraId="151FB242">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val="en-US" w:eastAsia="zh-CN"/>
              </w:rPr>
              <w:t>5</w:t>
            </w:r>
          </w:p>
        </w:tc>
      </w:tr>
      <w:tr w14:paraId="5850575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140" w:type="pct"/>
            <w:tcBorders>
              <w:tl2br w:val="nil"/>
              <w:tr2bl w:val="nil"/>
            </w:tcBorders>
            <w:noWrap w:val="0"/>
            <w:vAlign w:val="center"/>
          </w:tcPr>
          <w:p w14:paraId="3CF8DE69">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岳阳市军北学校</w:t>
            </w:r>
          </w:p>
        </w:tc>
        <w:tc>
          <w:tcPr>
            <w:tcW w:w="2670" w:type="dxa"/>
            <w:tcBorders>
              <w:tl2br w:val="nil"/>
              <w:tr2bl w:val="nil"/>
            </w:tcBorders>
            <w:noWrap w:val="0"/>
            <w:vAlign w:val="center"/>
          </w:tcPr>
          <w:p w14:paraId="3DC7BAA3">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0.00E+00</w:t>
            </w:r>
          </w:p>
        </w:tc>
        <w:tc>
          <w:tcPr>
            <w:tcW w:w="2511" w:type="dxa"/>
            <w:tcBorders>
              <w:tl2br w:val="nil"/>
              <w:tr2bl w:val="nil"/>
            </w:tcBorders>
            <w:noWrap w:val="0"/>
            <w:vAlign w:val="center"/>
          </w:tcPr>
          <w:p w14:paraId="66708848">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val="en-US" w:eastAsia="zh-CN"/>
              </w:rPr>
              <w:t>5</w:t>
            </w:r>
          </w:p>
        </w:tc>
      </w:tr>
      <w:tr w14:paraId="1EFB2B9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140" w:type="pct"/>
            <w:tcBorders>
              <w:tl2br w:val="nil"/>
              <w:tr2bl w:val="nil"/>
            </w:tcBorders>
            <w:noWrap w:val="0"/>
            <w:vAlign w:val="center"/>
          </w:tcPr>
          <w:p w14:paraId="795634A3">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新里垄</w:t>
            </w:r>
          </w:p>
        </w:tc>
        <w:tc>
          <w:tcPr>
            <w:tcW w:w="2670" w:type="dxa"/>
            <w:tcBorders>
              <w:tl2br w:val="nil"/>
              <w:tr2bl w:val="nil"/>
            </w:tcBorders>
            <w:noWrap w:val="0"/>
            <w:vAlign w:val="center"/>
          </w:tcPr>
          <w:p w14:paraId="5F8E56D4">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0.00E+00</w:t>
            </w:r>
          </w:p>
        </w:tc>
        <w:tc>
          <w:tcPr>
            <w:tcW w:w="2511" w:type="dxa"/>
            <w:tcBorders>
              <w:tl2br w:val="nil"/>
              <w:tr2bl w:val="nil"/>
            </w:tcBorders>
            <w:noWrap w:val="0"/>
            <w:vAlign w:val="center"/>
          </w:tcPr>
          <w:p w14:paraId="426C52B2">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val="en-US" w:eastAsia="zh-CN"/>
              </w:rPr>
              <w:t>5</w:t>
            </w:r>
          </w:p>
        </w:tc>
      </w:tr>
      <w:tr w14:paraId="3D578B9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140" w:type="pct"/>
            <w:tcBorders>
              <w:tl2br w:val="nil"/>
              <w:tr2bl w:val="nil"/>
            </w:tcBorders>
            <w:noWrap w:val="0"/>
            <w:vAlign w:val="center"/>
          </w:tcPr>
          <w:p w14:paraId="6DF264C3">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赵家垄</w:t>
            </w:r>
          </w:p>
        </w:tc>
        <w:tc>
          <w:tcPr>
            <w:tcW w:w="2670" w:type="dxa"/>
            <w:tcBorders>
              <w:tl2br w:val="nil"/>
              <w:tr2bl w:val="nil"/>
            </w:tcBorders>
            <w:noWrap w:val="0"/>
            <w:vAlign w:val="center"/>
          </w:tcPr>
          <w:p w14:paraId="52B63D6B">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0.00E+00</w:t>
            </w:r>
          </w:p>
        </w:tc>
        <w:tc>
          <w:tcPr>
            <w:tcW w:w="2511" w:type="dxa"/>
            <w:tcBorders>
              <w:tl2br w:val="nil"/>
              <w:tr2bl w:val="nil"/>
            </w:tcBorders>
            <w:noWrap w:val="0"/>
            <w:vAlign w:val="center"/>
          </w:tcPr>
          <w:p w14:paraId="4771B977">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val="en-US" w:eastAsia="zh-CN"/>
              </w:rPr>
              <w:t>5</w:t>
            </w:r>
          </w:p>
        </w:tc>
      </w:tr>
      <w:tr w14:paraId="7B29A52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140" w:type="pct"/>
            <w:tcBorders>
              <w:tl2br w:val="nil"/>
              <w:tr2bl w:val="nil"/>
            </w:tcBorders>
            <w:noWrap w:val="0"/>
            <w:vAlign w:val="center"/>
          </w:tcPr>
          <w:p w14:paraId="25664C86">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石岗里</w:t>
            </w:r>
          </w:p>
        </w:tc>
        <w:tc>
          <w:tcPr>
            <w:tcW w:w="2670" w:type="dxa"/>
            <w:tcBorders>
              <w:tl2br w:val="nil"/>
              <w:tr2bl w:val="nil"/>
            </w:tcBorders>
            <w:noWrap w:val="0"/>
            <w:vAlign w:val="center"/>
          </w:tcPr>
          <w:p w14:paraId="74B61AB7">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0.00E+00</w:t>
            </w:r>
          </w:p>
        </w:tc>
        <w:tc>
          <w:tcPr>
            <w:tcW w:w="2511" w:type="dxa"/>
            <w:tcBorders>
              <w:tl2br w:val="nil"/>
              <w:tr2bl w:val="nil"/>
            </w:tcBorders>
            <w:noWrap w:val="0"/>
            <w:vAlign w:val="center"/>
          </w:tcPr>
          <w:p w14:paraId="13232751">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val="en-US" w:eastAsia="zh-CN"/>
              </w:rPr>
              <w:t>5</w:t>
            </w:r>
          </w:p>
        </w:tc>
      </w:tr>
      <w:tr w14:paraId="76A85A3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140" w:type="pct"/>
            <w:tcBorders>
              <w:tl2br w:val="nil"/>
              <w:tr2bl w:val="nil"/>
            </w:tcBorders>
            <w:noWrap w:val="0"/>
            <w:vAlign w:val="center"/>
          </w:tcPr>
          <w:p w14:paraId="7C3E3923">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毛家组</w:t>
            </w:r>
          </w:p>
        </w:tc>
        <w:tc>
          <w:tcPr>
            <w:tcW w:w="2670" w:type="dxa"/>
            <w:tcBorders>
              <w:tl2br w:val="nil"/>
              <w:tr2bl w:val="nil"/>
            </w:tcBorders>
            <w:noWrap w:val="0"/>
            <w:vAlign w:val="center"/>
          </w:tcPr>
          <w:p w14:paraId="258CB958">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0.00E+00</w:t>
            </w:r>
          </w:p>
        </w:tc>
        <w:tc>
          <w:tcPr>
            <w:tcW w:w="2511" w:type="dxa"/>
            <w:tcBorders>
              <w:tl2br w:val="nil"/>
              <w:tr2bl w:val="nil"/>
            </w:tcBorders>
            <w:noWrap w:val="0"/>
            <w:vAlign w:val="center"/>
          </w:tcPr>
          <w:p w14:paraId="517143D7">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val="en-US" w:eastAsia="zh-CN"/>
              </w:rPr>
              <w:t>5</w:t>
            </w:r>
          </w:p>
        </w:tc>
      </w:tr>
      <w:tr w14:paraId="6D8326F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140" w:type="pct"/>
            <w:tcBorders>
              <w:tl2br w:val="nil"/>
              <w:tr2bl w:val="nil"/>
            </w:tcBorders>
            <w:noWrap w:val="0"/>
            <w:vAlign w:val="center"/>
          </w:tcPr>
          <w:p w14:paraId="2266C5E9">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杨其湖组</w:t>
            </w:r>
          </w:p>
        </w:tc>
        <w:tc>
          <w:tcPr>
            <w:tcW w:w="2670" w:type="dxa"/>
            <w:tcBorders>
              <w:tl2br w:val="nil"/>
              <w:tr2bl w:val="nil"/>
            </w:tcBorders>
            <w:noWrap w:val="0"/>
            <w:vAlign w:val="center"/>
          </w:tcPr>
          <w:p w14:paraId="1D1E5A96">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0.00E+00</w:t>
            </w:r>
          </w:p>
        </w:tc>
        <w:tc>
          <w:tcPr>
            <w:tcW w:w="2511" w:type="dxa"/>
            <w:tcBorders>
              <w:tl2br w:val="nil"/>
              <w:tr2bl w:val="nil"/>
            </w:tcBorders>
            <w:noWrap w:val="0"/>
            <w:vAlign w:val="center"/>
          </w:tcPr>
          <w:p w14:paraId="4BCC1A40">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val="en-US" w:eastAsia="zh-CN"/>
              </w:rPr>
              <w:t>5</w:t>
            </w:r>
          </w:p>
        </w:tc>
      </w:tr>
      <w:tr w14:paraId="434CC2B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140" w:type="pct"/>
            <w:tcBorders>
              <w:tl2br w:val="nil"/>
              <w:tr2bl w:val="nil"/>
            </w:tcBorders>
            <w:noWrap w:val="0"/>
            <w:vAlign w:val="center"/>
          </w:tcPr>
          <w:p w14:paraId="32D3ED75">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李家组</w:t>
            </w:r>
          </w:p>
        </w:tc>
        <w:tc>
          <w:tcPr>
            <w:tcW w:w="2670" w:type="dxa"/>
            <w:tcBorders>
              <w:tl2br w:val="nil"/>
              <w:tr2bl w:val="nil"/>
            </w:tcBorders>
            <w:noWrap w:val="0"/>
            <w:vAlign w:val="center"/>
          </w:tcPr>
          <w:p w14:paraId="69C93DB4">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0.00E+00</w:t>
            </w:r>
          </w:p>
        </w:tc>
        <w:tc>
          <w:tcPr>
            <w:tcW w:w="2511" w:type="dxa"/>
            <w:tcBorders>
              <w:tl2br w:val="nil"/>
              <w:tr2bl w:val="nil"/>
            </w:tcBorders>
            <w:noWrap w:val="0"/>
            <w:vAlign w:val="center"/>
          </w:tcPr>
          <w:p w14:paraId="64C9F21B">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val="en-US" w:eastAsia="zh-CN"/>
              </w:rPr>
              <w:t>5</w:t>
            </w:r>
          </w:p>
        </w:tc>
      </w:tr>
      <w:tr w14:paraId="083A6FA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140" w:type="pct"/>
            <w:tcBorders>
              <w:tl2br w:val="nil"/>
              <w:tr2bl w:val="nil"/>
            </w:tcBorders>
            <w:noWrap w:val="0"/>
            <w:vAlign w:val="center"/>
          </w:tcPr>
          <w:p w14:paraId="46697308">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新铺租</w:t>
            </w:r>
          </w:p>
        </w:tc>
        <w:tc>
          <w:tcPr>
            <w:tcW w:w="2670" w:type="dxa"/>
            <w:tcBorders>
              <w:tl2br w:val="nil"/>
              <w:tr2bl w:val="nil"/>
            </w:tcBorders>
            <w:noWrap w:val="0"/>
            <w:vAlign w:val="center"/>
          </w:tcPr>
          <w:p w14:paraId="670DD11A">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0.00E+00</w:t>
            </w:r>
          </w:p>
        </w:tc>
        <w:tc>
          <w:tcPr>
            <w:tcW w:w="2511" w:type="dxa"/>
            <w:tcBorders>
              <w:tl2br w:val="nil"/>
              <w:tr2bl w:val="nil"/>
            </w:tcBorders>
            <w:noWrap w:val="0"/>
            <w:vAlign w:val="center"/>
          </w:tcPr>
          <w:p w14:paraId="44DB4912">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val="en-US" w:eastAsia="zh-CN"/>
              </w:rPr>
              <w:t>5</w:t>
            </w:r>
          </w:p>
        </w:tc>
      </w:tr>
      <w:tr w14:paraId="7A12D8B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140" w:type="pct"/>
            <w:tcBorders>
              <w:tl2br w:val="nil"/>
              <w:tr2bl w:val="nil"/>
            </w:tcBorders>
            <w:noWrap w:val="0"/>
            <w:vAlign w:val="center"/>
          </w:tcPr>
          <w:p w14:paraId="58D53FE4">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安置小区（停建）</w:t>
            </w:r>
          </w:p>
        </w:tc>
        <w:tc>
          <w:tcPr>
            <w:tcW w:w="1473" w:type="pct"/>
            <w:tcBorders>
              <w:tl2br w:val="nil"/>
              <w:tr2bl w:val="nil"/>
            </w:tcBorders>
            <w:noWrap w:val="0"/>
            <w:vAlign w:val="center"/>
          </w:tcPr>
          <w:p w14:paraId="6316B394">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1.25E-03</w:t>
            </w:r>
          </w:p>
        </w:tc>
        <w:tc>
          <w:tcPr>
            <w:tcW w:w="1385" w:type="pct"/>
            <w:tcBorders>
              <w:tl2br w:val="nil"/>
              <w:tr2bl w:val="nil"/>
            </w:tcBorders>
            <w:noWrap w:val="0"/>
            <w:vAlign w:val="center"/>
          </w:tcPr>
          <w:p w14:paraId="3BA949EC">
            <w:pPr>
              <w:jc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5</w:t>
            </w:r>
          </w:p>
        </w:tc>
      </w:tr>
      <w:tr w14:paraId="39B516C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140" w:type="pct"/>
            <w:tcBorders>
              <w:tl2br w:val="nil"/>
              <w:tr2bl w:val="nil"/>
            </w:tcBorders>
            <w:noWrap w:val="0"/>
            <w:vAlign w:val="center"/>
          </w:tcPr>
          <w:p w14:paraId="6DF5BF73">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岳阳市城陵矶高新产业园办公楼</w:t>
            </w:r>
          </w:p>
        </w:tc>
        <w:tc>
          <w:tcPr>
            <w:tcW w:w="2670" w:type="dxa"/>
            <w:tcBorders>
              <w:tl2br w:val="nil"/>
              <w:tr2bl w:val="nil"/>
            </w:tcBorders>
            <w:noWrap w:val="0"/>
            <w:vAlign w:val="center"/>
          </w:tcPr>
          <w:p w14:paraId="21793CC4">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0.00E+00</w:t>
            </w:r>
          </w:p>
        </w:tc>
        <w:tc>
          <w:tcPr>
            <w:tcW w:w="2511" w:type="dxa"/>
            <w:tcBorders>
              <w:tl2br w:val="nil"/>
              <w:tr2bl w:val="nil"/>
            </w:tcBorders>
            <w:noWrap w:val="0"/>
            <w:vAlign w:val="center"/>
          </w:tcPr>
          <w:p w14:paraId="22D0D0D0">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val="en-US" w:eastAsia="zh-CN"/>
              </w:rPr>
              <w:t>5</w:t>
            </w:r>
          </w:p>
        </w:tc>
      </w:tr>
      <w:tr w14:paraId="34E4226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140" w:type="pct"/>
            <w:tcBorders>
              <w:tl2br w:val="nil"/>
              <w:tr2bl w:val="nil"/>
            </w:tcBorders>
            <w:noWrap w:val="0"/>
            <w:vAlign w:val="center"/>
          </w:tcPr>
          <w:p w14:paraId="0D614DE8">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卢家垄</w:t>
            </w:r>
          </w:p>
        </w:tc>
        <w:tc>
          <w:tcPr>
            <w:tcW w:w="2670" w:type="dxa"/>
            <w:tcBorders>
              <w:tl2br w:val="nil"/>
              <w:tr2bl w:val="nil"/>
            </w:tcBorders>
            <w:noWrap w:val="0"/>
            <w:vAlign w:val="center"/>
          </w:tcPr>
          <w:p w14:paraId="7D2AE5B5">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0.00E+00</w:t>
            </w:r>
          </w:p>
        </w:tc>
        <w:tc>
          <w:tcPr>
            <w:tcW w:w="2511" w:type="dxa"/>
            <w:tcBorders>
              <w:tl2br w:val="nil"/>
              <w:tr2bl w:val="nil"/>
            </w:tcBorders>
            <w:noWrap w:val="0"/>
            <w:vAlign w:val="center"/>
          </w:tcPr>
          <w:p w14:paraId="2A1B1215">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val="en-US" w:eastAsia="zh-CN"/>
              </w:rPr>
              <w:t>5</w:t>
            </w:r>
          </w:p>
        </w:tc>
      </w:tr>
      <w:tr w14:paraId="2DA67D3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140" w:type="pct"/>
            <w:tcBorders>
              <w:tl2br w:val="nil"/>
              <w:tr2bl w:val="nil"/>
            </w:tcBorders>
            <w:noWrap w:val="0"/>
            <w:vAlign w:val="center"/>
          </w:tcPr>
          <w:p w14:paraId="2DBB1B78">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白竹坡</w:t>
            </w:r>
          </w:p>
        </w:tc>
        <w:tc>
          <w:tcPr>
            <w:tcW w:w="2670" w:type="dxa"/>
            <w:tcBorders>
              <w:tl2br w:val="nil"/>
              <w:tr2bl w:val="nil"/>
            </w:tcBorders>
            <w:noWrap w:val="0"/>
            <w:vAlign w:val="center"/>
          </w:tcPr>
          <w:p w14:paraId="373EF158">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0.00E+00</w:t>
            </w:r>
          </w:p>
        </w:tc>
        <w:tc>
          <w:tcPr>
            <w:tcW w:w="2511" w:type="dxa"/>
            <w:tcBorders>
              <w:tl2br w:val="nil"/>
              <w:tr2bl w:val="nil"/>
            </w:tcBorders>
            <w:noWrap w:val="0"/>
            <w:vAlign w:val="center"/>
          </w:tcPr>
          <w:p w14:paraId="3B711C8E">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val="en-US" w:eastAsia="zh-CN"/>
              </w:rPr>
              <w:t>5</w:t>
            </w:r>
          </w:p>
        </w:tc>
      </w:tr>
      <w:tr w14:paraId="01EBA48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140" w:type="pct"/>
            <w:tcBorders>
              <w:tl2br w:val="nil"/>
              <w:tr2bl w:val="nil"/>
            </w:tcBorders>
            <w:noWrap w:val="0"/>
            <w:vAlign w:val="center"/>
          </w:tcPr>
          <w:p w14:paraId="1E1559A1">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杨家垄</w:t>
            </w:r>
          </w:p>
        </w:tc>
        <w:tc>
          <w:tcPr>
            <w:tcW w:w="2670" w:type="dxa"/>
            <w:tcBorders>
              <w:tl2br w:val="nil"/>
              <w:tr2bl w:val="nil"/>
            </w:tcBorders>
            <w:noWrap w:val="0"/>
            <w:vAlign w:val="center"/>
          </w:tcPr>
          <w:p w14:paraId="2ACBE923">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0.00E+00</w:t>
            </w:r>
          </w:p>
        </w:tc>
        <w:tc>
          <w:tcPr>
            <w:tcW w:w="2511" w:type="dxa"/>
            <w:tcBorders>
              <w:tl2br w:val="nil"/>
              <w:tr2bl w:val="nil"/>
            </w:tcBorders>
            <w:noWrap w:val="0"/>
            <w:vAlign w:val="center"/>
          </w:tcPr>
          <w:p w14:paraId="5F8CAE09">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val="en-US" w:eastAsia="zh-CN"/>
              </w:rPr>
              <w:t>5</w:t>
            </w:r>
          </w:p>
        </w:tc>
      </w:tr>
    </w:tbl>
    <w:p w14:paraId="50D22D24">
      <w:pPr>
        <w:pStyle w:val="110"/>
        <w:keepNext w:val="0"/>
        <w:keepLines w:val="0"/>
        <w:pageBreakBefore w:val="0"/>
        <w:widowControl w:val="0"/>
        <w:kinsoku/>
        <w:wordWrap/>
        <w:overflowPunct/>
        <w:topLinePunct w:val="0"/>
        <w:autoSpaceDE/>
        <w:autoSpaceDN/>
        <w:bidi w:val="0"/>
        <w:adjustRightInd/>
        <w:snapToGrid/>
        <w:spacing w:before="0" w:beforeLines="0" w:after="0" w:afterLines="0"/>
        <w:textAlignment w:val="auto"/>
        <w:outlineLvl w:val="9"/>
        <w:rPr>
          <w:rFonts w:hint="default" w:ascii="Times New Roman" w:hAnsi="Times New Roman" w:eastAsia="宋体" w:cs="Times New Roman"/>
          <w:color w:val="auto"/>
          <w:spacing w:val="0"/>
          <w:kern w:val="24"/>
          <w:position w:val="0"/>
          <w:highlight w:val="none"/>
          <w:u w:val="none" w:color="auto"/>
          <w:lang w:val="en-US" w:eastAsia="zh-CN"/>
        </w:rPr>
      </w:pPr>
      <w:r>
        <w:rPr>
          <w:rFonts w:hint="default" w:ascii="Times New Roman" w:hAnsi="Times New Roman" w:eastAsia="宋体" w:cs="Times New Roman"/>
          <w:color w:val="auto"/>
          <w:spacing w:val="0"/>
          <w:kern w:val="24"/>
          <w:position w:val="0"/>
          <w:highlight w:val="none"/>
          <w:u w:val="none" w:color="auto"/>
          <w:lang w:val="en-US" w:eastAsia="zh-CN"/>
        </w:rPr>
        <w:t>各关心点</w:t>
      </w:r>
      <w:r>
        <w:rPr>
          <w:rFonts w:hint="default" w:ascii="Times New Roman" w:hAnsi="Times New Roman" w:eastAsia="宋体" w:cs="Times New Roman"/>
          <w:color w:val="auto"/>
          <w:spacing w:val="0"/>
          <w:kern w:val="24"/>
          <w:position w:val="0"/>
          <w:highlight w:val="none"/>
          <w:u w:val="none" w:color="auto"/>
          <w:lang w:val="zh-CN"/>
        </w:rPr>
        <w:t>浓度随时间变化情况</w:t>
      </w:r>
      <w:r>
        <w:rPr>
          <w:rFonts w:hint="default" w:ascii="Times New Roman" w:hAnsi="Times New Roman" w:eastAsia="宋体" w:cs="Times New Roman"/>
          <w:color w:val="auto"/>
          <w:spacing w:val="0"/>
          <w:kern w:val="24"/>
          <w:position w:val="0"/>
          <w:highlight w:val="none"/>
          <w:u w:val="none" w:color="auto"/>
          <w:lang w:val="en-US" w:eastAsia="zh-CN"/>
        </w:rPr>
        <w:t>如下图所示（不含无浓度关心点）：</w:t>
      </w:r>
    </w:p>
    <w:p w14:paraId="2F138F00">
      <w:pPr>
        <w:pStyle w:val="38"/>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drawing>
          <wp:inline distT="0" distB="0" distL="114300" distR="114300">
            <wp:extent cx="5609590" cy="2830195"/>
            <wp:effectExtent l="0" t="0" r="10160" b="8255"/>
            <wp:docPr id="114"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20"/>
                    <pic:cNvPicPr>
                      <a:picLocks noChangeAspect="1"/>
                    </pic:cNvPicPr>
                  </pic:nvPicPr>
                  <pic:blipFill>
                    <a:blip r:embed="rId61"/>
                    <a:stretch>
                      <a:fillRect/>
                    </a:stretch>
                  </pic:blipFill>
                  <pic:spPr>
                    <a:xfrm>
                      <a:off x="0" y="0"/>
                      <a:ext cx="5609590" cy="2830195"/>
                    </a:xfrm>
                    <a:prstGeom prst="rect">
                      <a:avLst/>
                    </a:prstGeom>
                    <a:noFill/>
                    <a:ln>
                      <a:noFill/>
                    </a:ln>
                  </pic:spPr>
                </pic:pic>
              </a:graphicData>
            </a:graphic>
          </wp:inline>
        </w:drawing>
      </w:r>
    </w:p>
    <w:p w14:paraId="3FE6BDB1">
      <w:pPr>
        <w:numPr>
          <w:ilvl w:val="0"/>
          <w:numId w:val="14"/>
        </w:numPr>
        <w:wordWrap/>
        <w:topLinePunct w:val="0"/>
        <w:bidi w:val="0"/>
        <w:adjustRightInd/>
        <w:snapToGrid/>
        <w:ind w:left="420" w:leftChars="0" w:hanging="420" w:firstLineChars="0"/>
        <w:jc w:val="center"/>
        <w:rPr>
          <w:rFonts w:hint="default" w:ascii="Times New Roman" w:hAnsi="Times New Roman" w:eastAsia="宋体" w:cs="Times New Roman"/>
          <w:b/>
          <w:bCs/>
          <w:color w:val="auto"/>
          <w:spacing w:val="0"/>
          <w:kern w:val="24"/>
          <w:position w:val="0"/>
          <w:highlight w:val="none"/>
          <w:u w:val="none" w:color="auto"/>
          <w:lang w:val="zh-CN"/>
        </w:rPr>
      </w:pPr>
      <w:r>
        <w:rPr>
          <w:rFonts w:hint="default" w:ascii="Times New Roman" w:hAnsi="Times New Roman" w:eastAsia="宋体" w:cs="Times New Roman"/>
          <w:b/>
          <w:bCs/>
          <w:color w:val="auto"/>
          <w:spacing w:val="0"/>
          <w:kern w:val="24"/>
          <w:position w:val="0"/>
          <w:highlight w:val="none"/>
          <w:u w:val="none" w:color="auto"/>
          <w:lang w:val="zh-CN"/>
        </w:rPr>
        <w:t>各关心点浓度随时间变化情况图（最不利气象条件）</w:t>
      </w:r>
    </w:p>
    <w:p w14:paraId="2C459C0F">
      <w:pPr>
        <w:jc w:val="center"/>
        <w:rPr>
          <w:rFonts w:hint="default" w:ascii="Times New Roman" w:hAnsi="Times New Roman" w:eastAsia="宋体" w:cs="Times New Roman"/>
          <w:b/>
          <w:color w:val="auto"/>
          <w:szCs w:val="16"/>
          <w:u w:val="none" w:color="auto"/>
          <w:lang w:val="zh-TW"/>
        </w:rPr>
      </w:pPr>
      <w:r>
        <w:rPr>
          <w:rFonts w:hint="default" w:ascii="Times New Roman" w:hAnsi="Times New Roman" w:eastAsia="宋体" w:cs="Times New Roman"/>
          <w:color w:val="auto"/>
          <w:u w:val="none" w:color="auto"/>
        </w:rPr>
        <w:drawing>
          <wp:inline distT="0" distB="0" distL="114300" distR="114300">
            <wp:extent cx="5605145" cy="3161665"/>
            <wp:effectExtent l="0" t="0" r="14605" b="635"/>
            <wp:docPr id="118"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21"/>
                    <pic:cNvPicPr>
                      <a:picLocks noChangeAspect="1"/>
                    </pic:cNvPicPr>
                  </pic:nvPicPr>
                  <pic:blipFill>
                    <a:blip r:embed="rId62"/>
                    <a:stretch>
                      <a:fillRect/>
                    </a:stretch>
                  </pic:blipFill>
                  <pic:spPr>
                    <a:xfrm>
                      <a:off x="0" y="0"/>
                      <a:ext cx="5605145" cy="3161665"/>
                    </a:xfrm>
                    <a:prstGeom prst="rect">
                      <a:avLst/>
                    </a:prstGeom>
                    <a:noFill/>
                    <a:ln>
                      <a:noFill/>
                    </a:ln>
                  </pic:spPr>
                </pic:pic>
              </a:graphicData>
            </a:graphic>
          </wp:inline>
        </w:drawing>
      </w:r>
    </w:p>
    <w:p w14:paraId="1A15E7C7">
      <w:pPr>
        <w:numPr>
          <w:ilvl w:val="0"/>
          <w:numId w:val="14"/>
        </w:numPr>
        <w:wordWrap/>
        <w:topLinePunct w:val="0"/>
        <w:bidi w:val="0"/>
        <w:adjustRightInd/>
        <w:snapToGrid/>
        <w:ind w:left="420" w:leftChars="0" w:hanging="420" w:firstLineChars="0"/>
        <w:jc w:val="center"/>
        <w:rPr>
          <w:rFonts w:hint="default" w:ascii="Times New Roman" w:hAnsi="Times New Roman" w:eastAsia="宋体" w:cs="Times New Roman"/>
          <w:b/>
          <w:bCs/>
          <w:color w:val="auto"/>
          <w:u w:val="none" w:color="auto"/>
        </w:rPr>
      </w:pPr>
      <w:r>
        <w:rPr>
          <w:rFonts w:hint="default" w:ascii="Times New Roman" w:hAnsi="Times New Roman" w:eastAsia="宋体" w:cs="Times New Roman"/>
          <w:b/>
          <w:bCs/>
          <w:color w:val="auto"/>
          <w:u w:val="none" w:color="auto"/>
        </w:rPr>
        <w:t>本次事故发生后</w:t>
      </w:r>
      <w:r>
        <w:rPr>
          <w:rFonts w:hint="default" w:ascii="Times New Roman" w:hAnsi="Times New Roman" w:eastAsia="宋体" w:cs="Times New Roman"/>
          <w:b/>
          <w:bCs/>
          <w:color w:val="auto"/>
          <w:u w:val="none" w:color="auto"/>
          <w:lang w:eastAsia="zh-CN"/>
        </w:rPr>
        <w:t>甲烷</w:t>
      </w:r>
      <w:r>
        <w:rPr>
          <w:rFonts w:hint="default" w:ascii="Times New Roman" w:hAnsi="Times New Roman" w:eastAsia="宋体" w:cs="Times New Roman"/>
          <w:b/>
          <w:bCs/>
          <w:color w:val="auto"/>
          <w:u w:val="none" w:color="auto"/>
        </w:rPr>
        <w:t>预测最大浓度影响范围示意（最不利气象条件）</w:t>
      </w:r>
    </w:p>
    <w:p w14:paraId="75A100F2">
      <w:pPr>
        <w:pStyle w:val="105"/>
        <w:ind w:firstLine="482"/>
        <w:outlineLvl w:val="2"/>
        <w:rPr>
          <w:rFonts w:hint="default" w:ascii="Times New Roman" w:hAnsi="Times New Roman" w:eastAsia="宋体" w:cs="Times New Roman"/>
          <w:b/>
          <w:bCs/>
          <w:color w:val="auto"/>
          <w:u w:val="none" w:color="auto"/>
        </w:rPr>
      </w:pPr>
      <w:r>
        <w:rPr>
          <w:rFonts w:hint="default" w:ascii="Times New Roman" w:hAnsi="Times New Roman" w:eastAsia="宋体" w:cs="Times New Roman"/>
          <w:b/>
          <w:bCs/>
          <w:color w:val="auto"/>
          <w:u w:val="none" w:color="auto"/>
          <w:lang w:val="en-US" w:eastAsia="zh-CN"/>
        </w:rPr>
        <w:t>5.1.</w:t>
      </w:r>
      <w:r>
        <w:rPr>
          <w:rFonts w:hint="default" w:ascii="Times New Roman" w:hAnsi="Times New Roman" w:eastAsia="宋体" w:cs="Times New Roman"/>
          <w:b/>
          <w:bCs/>
          <w:color w:val="auto"/>
          <w:u w:val="none" w:color="auto"/>
        </w:rPr>
        <w:t>3天然气</w:t>
      </w:r>
      <w:r>
        <w:rPr>
          <w:rFonts w:hint="default" w:ascii="Times New Roman" w:hAnsi="Times New Roman" w:eastAsia="宋体" w:cs="Times New Roman"/>
          <w:b/>
          <w:bCs/>
          <w:color w:val="auto"/>
          <w:u w:val="none" w:color="auto"/>
          <w:lang w:eastAsia="zh-CN"/>
        </w:rPr>
        <w:t>（</w:t>
      </w:r>
      <w:r>
        <w:rPr>
          <w:rFonts w:hint="default" w:ascii="Times New Roman" w:hAnsi="Times New Roman" w:eastAsia="宋体" w:cs="Times New Roman"/>
          <w:b/>
          <w:bCs/>
          <w:color w:val="auto"/>
          <w:u w:val="none" w:color="auto"/>
          <w:lang w:val="en-US" w:eastAsia="zh-CN"/>
        </w:rPr>
        <w:t>以甲烷表征</w:t>
      </w:r>
      <w:r>
        <w:rPr>
          <w:rFonts w:hint="default" w:ascii="Times New Roman" w:hAnsi="Times New Roman" w:eastAsia="宋体" w:cs="Times New Roman"/>
          <w:b/>
          <w:bCs/>
          <w:color w:val="auto"/>
          <w:u w:val="none" w:color="auto"/>
          <w:lang w:eastAsia="zh-CN"/>
        </w:rPr>
        <w:t>）</w:t>
      </w:r>
      <w:r>
        <w:rPr>
          <w:rFonts w:hint="default" w:ascii="Times New Roman" w:hAnsi="Times New Roman" w:eastAsia="宋体" w:cs="Times New Roman"/>
          <w:b/>
          <w:bCs/>
          <w:color w:val="auto"/>
          <w:u w:val="none" w:color="auto"/>
        </w:rPr>
        <w:t>火灾/爆炸事故预测结果与评价</w:t>
      </w:r>
    </w:p>
    <w:p w14:paraId="7403D37D">
      <w:pPr>
        <w:spacing w:line="360" w:lineRule="auto"/>
        <w:ind w:firstLine="480"/>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本项目</w:t>
      </w:r>
      <w:r>
        <w:rPr>
          <w:rFonts w:hint="default" w:ascii="Times New Roman" w:hAnsi="Times New Roman" w:eastAsia="宋体" w:cs="Times New Roman"/>
          <w:color w:val="auto"/>
          <w:sz w:val="24"/>
          <w:szCs w:val="24"/>
          <w:highlight w:val="none"/>
          <w:u w:val="none" w:color="auto"/>
          <w:lang w:eastAsia="zh-CN"/>
        </w:rPr>
        <w:t>天然气管道</w:t>
      </w:r>
      <w:r>
        <w:rPr>
          <w:rFonts w:hint="default" w:ascii="Times New Roman" w:hAnsi="Times New Roman" w:eastAsia="宋体" w:cs="Times New Roman"/>
          <w:color w:val="auto"/>
          <w:sz w:val="24"/>
          <w:szCs w:val="24"/>
          <w:highlight w:val="none"/>
          <w:u w:val="none" w:color="auto"/>
        </w:rPr>
        <w:t>泄漏后</w:t>
      </w:r>
      <w:r>
        <w:rPr>
          <w:rFonts w:hint="default" w:ascii="Times New Roman" w:hAnsi="Times New Roman" w:eastAsia="宋体" w:cs="Times New Roman"/>
          <w:color w:val="auto"/>
          <w:sz w:val="24"/>
          <w:szCs w:val="24"/>
          <w:highlight w:val="none"/>
          <w:u w:val="none" w:color="auto"/>
          <w:lang w:eastAsia="zh-CN"/>
        </w:rPr>
        <w:t>天然气（以甲烷表征）火灾/爆炸事故</w:t>
      </w:r>
      <w:r>
        <w:rPr>
          <w:rFonts w:hint="default" w:ascii="Times New Roman" w:hAnsi="Times New Roman" w:eastAsia="宋体" w:cs="Times New Roman"/>
          <w:color w:val="auto"/>
          <w:sz w:val="24"/>
          <w:szCs w:val="24"/>
          <w:highlight w:val="none"/>
          <w:u w:val="none" w:color="auto"/>
          <w:lang w:val="en-US" w:eastAsia="zh-CN"/>
        </w:rPr>
        <w:t>产生的CO</w:t>
      </w:r>
      <w:r>
        <w:rPr>
          <w:rFonts w:hint="default" w:ascii="Times New Roman" w:hAnsi="Times New Roman" w:eastAsia="宋体" w:cs="Times New Roman"/>
          <w:color w:val="auto"/>
          <w:sz w:val="24"/>
          <w:szCs w:val="24"/>
          <w:highlight w:val="none"/>
          <w:u w:val="none" w:color="auto"/>
        </w:rPr>
        <w:t>排放预测结果详见表5-</w:t>
      </w:r>
      <w:r>
        <w:rPr>
          <w:rFonts w:hint="default" w:ascii="Times New Roman" w:hAnsi="Times New Roman" w:eastAsia="宋体" w:cs="Times New Roman"/>
          <w:color w:val="auto"/>
          <w:sz w:val="24"/>
          <w:szCs w:val="24"/>
          <w:highlight w:val="none"/>
          <w:u w:val="none" w:color="auto"/>
          <w:lang w:val="en-US" w:eastAsia="zh-CN"/>
        </w:rPr>
        <w:t>5</w:t>
      </w:r>
      <w:r>
        <w:rPr>
          <w:rFonts w:hint="default" w:ascii="Times New Roman" w:hAnsi="Times New Roman" w:eastAsia="宋体" w:cs="Times New Roman"/>
          <w:color w:val="auto"/>
          <w:sz w:val="24"/>
          <w:szCs w:val="24"/>
          <w:highlight w:val="none"/>
          <w:u w:val="none" w:color="auto"/>
        </w:rPr>
        <w:t>，主要反映在最不利气象条件下下风向不同距离处</w:t>
      </w:r>
      <w:r>
        <w:rPr>
          <w:rFonts w:hint="default" w:ascii="Times New Roman" w:hAnsi="Times New Roman" w:eastAsia="宋体" w:cs="Times New Roman"/>
          <w:color w:val="auto"/>
          <w:sz w:val="24"/>
          <w:szCs w:val="24"/>
          <w:highlight w:val="none"/>
          <w:u w:val="none" w:color="auto"/>
          <w:lang w:val="en-US" w:eastAsia="zh-CN"/>
        </w:rPr>
        <w:t>CO</w:t>
      </w:r>
      <w:r>
        <w:rPr>
          <w:rFonts w:hint="default" w:ascii="Times New Roman" w:hAnsi="Times New Roman" w:eastAsia="宋体" w:cs="Times New Roman"/>
          <w:color w:val="auto"/>
          <w:sz w:val="24"/>
          <w:szCs w:val="24"/>
          <w:highlight w:val="none"/>
          <w:u w:val="none" w:color="auto"/>
        </w:rPr>
        <w:t>的最大浓度；</w:t>
      </w:r>
      <w:r>
        <w:rPr>
          <w:rFonts w:hint="default" w:ascii="Times New Roman" w:hAnsi="Times New Roman" w:eastAsia="宋体" w:cs="Times New Roman"/>
          <w:color w:val="auto"/>
          <w:sz w:val="24"/>
          <w:szCs w:val="24"/>
          <w:highlight w:val="none"/>
          <w:u w:val="none" w:color="auto"/>
          <w:lang w:eastAsia="zh-CN"/>
        </w:rPr>
        <w:t>甲烷</w:t>
      </w:r>
      <w:r>
        <w:rPr>
          <w:rFonts w:hint="default" w:ascii="Times New Roman" w:hAnsi="Times New Roman" w:eastAsia="宋体" w:cs="Times New Roman"/>
          <w:color w:val="auto"/>
          <w:sz w:val="24"/>
          <w:szCs w:val="24"/>
          <w:highlight w:val="none"/>
          <w:u w:val="none" w:color="auto"/>
        </w:rPr>
        <w:t>预测浓度达到不同毒性终点浓度的最大影响范围。</w:t>
      </w:r>
    </w:p>
    <w:p w14:paraId="1C03A30F">
      <w:pPr>
        <w:pStyle w:val="17"/>
        <w:numPr>
          <w:ilvl w:val="0"/>
          <w:numId w:val="13"/>
        </w:numPr>
        <w:wordWrap/>
        <w:topLinePunct w:val="0"/>
        <w:bidi w:val="0"/>
        <w:adjustRightInd/>
        <w:snapToGrid/>
        <w:spacing w:line="240" w:lineRule="auto"/>
        <w:jc w:val="center"/>
        <w:rPr>
          <w:rFonts w:hint="default" w:ascii="Times New Roman" w:hAnsi="Times New Roman" w:eastAsia="宋体" w:cs="Times New Roman"/>
          <w:b/>
          <w:color w:val="auto"/>
          <w:szCs w:val="16"/>
          <w:highlight w:val="none"/>
          <w:u w:val="none" w:color="auto"/>
          <w:lang w:val="zh-TW"/>
        </w:rPr>
      </w:pPr>
      <w:r>
        <w:rPr>
          <w:rFonts w:hint="default" w:ascii="Times New Roman" w:hAnsi="Times New Roman" w:eastAsia="宋体" w:cs="Times New Roman"/>
          <w:b/>
          <w:color w:val="auto"/>
          <w:szCs w:val="16"/>
          <w:highlight w:val="none"/>
          <w:u w:val="none" w:color="auto"/>
          <w:lang w:val="zh-TW"/>
        </w:rPr>
        <w:t>事故源项及事故后果基本信息表（最不利气象条件）</w:t>
      </w:r>
    </w:p>
    <w:tbl>
      <w:tblPr>
        <w:tblStyle w:val="31"/>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1540"/>
        <w:gridCol w:w="973"/>
        <w:gridCol w:w="408"/>
        <w:gridCol w:w="1359"/>
        <w:gridCol w:w="185"/>
        <w:gridCol w:w="1175"/>
        <w:gridCol w:w="295"/>
        <w:gridCol w:w="1216"/>
        <w:gridCol w:w="298"/>
        <w:gridCol w:w="1425"/>
      </w:tblGrid>
      <w:tr w14:paraId="2BEF96D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000" w:type="pct"/>
            <w:gridSpan w:val="10"/>
            <w:tcBorders>
              <w:tl2br w:val="nil"/>
              <w:tr2bl w:val="nil"/>
            </w:tcBorders>
            <w:noWrap w:val="0"/>
            <w:vAlign w:val="center"/>
          </w:tcPr>
          <w:p w14:paraId="68D7FBA8">
            <w:pPr>
              <w:pStyle w:val="111"/>
              <w:spacing w:before="0"/>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风险事故情形分析</w:t>
            </w:r>
          </w:p>
        </w:tc>
      </w:tr>
      <w:tr w14:paraId="0021B1C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68" w:type="pct"/>
            <w:tcBorders>
              <w:tl2br w:val="nil"/>
              <w:tr2bl w:val="nil"/>
            </w:tcBorders>
            <w:noWrap w:val="0"/>
            <w:vAlign w:val="center"/>
          </w:tcPr>
          <w:p w14:paraId="67D0E1DF">
            <w:pPr>
              <w:pStyle w:val="111"/>
              <w:spacing w:before="0"/>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代表性风险事故情形描述</w:t>
            </w:r>
          </w:p>
        </w:tc>
        <w:tc>
          <w:tcPr>
            <w:tcW w:w="4131" w:type="pct"/>
            <w:gridSpan w:val="9"/>
            <w:tcBorders>
              <w:tl2br w:val="nil"/>
              <w:tr2bl w:val="nil"/>
            </w:tcBorders>
            <w:noWrap w:val="0"/>
            <w:vAlign w:val="center"/>
          </w:tcPr>
          <w:p w14:paraId="2E79ED20">
            <w:pPr>
              <w:pStyle w:val="111"/>
              <w:spacing w:before="0"/>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lang w:eastAsia="zh-CN"/>
              </w:rPr>
              <w:t>天然气管道</w:t>
            </w:r>
            <w:r>
              <w:rPr>
                <w:rFonts w:hint="default" w:ascii="Times New Roman" w:hAnsi="Times New Roman" w:eastAsia="宋体" w:cs="Times New Roman"/>
                <w:color w:val="auto"/>
                <w:highlight w:val="none"/>
                <w:u w:val="none" w:color="auto"/>
              </w:rPr>
              <w:t>泄漏后</w:t>
            </w:r>
            <w:r>
              <w:rPr>
                <w:rFonts w:hint="default" w:ascii="Times New Roman" w:hAnsi="Times New Roman" w:eastAsia="宋体" w:cs="Times New Roman"/>
                <w:color w:val="auto"/>
                <w:highlight w:val="none"/>
                <w:u w:val="none" w:color="auto"/>
                <w:lang w:eastAsia="zh-CN"/>
              </w:rPr>
              <w:t>天然气（以甲烷表征）</w:t>
            </w:r>
            <w:r>
              <w:rPr>
                <w:rFonts w:hint="default" w:ascii="Times New Roman" w:hAnsi="Times New Roman" w:eastAsia="宋体" w:cs="Times New Roman"/>
                <w:color w:val="auto"/>
                <w:highlight w:val="none"/>
                <w:u w:val="none" w:color="auto"/>
              </w:rPr>
              <w:t>火灾/爆炸事故产生的CO排放</w:t>
            </w:r>
          </w:p>
        </w:tc>
      </w:tr>
      <w:tr w14:paraId="3999103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68" w:type="pct"/>
            <w:tcBorders>
              <w:tl2br w:val="nil"/>
              <w:tr2bl w:val="nil"/>
            </w:tcBorders>
            <w:noWrap w:val="0"/>
            <w:vAlign w:val="center"/>
          </w:tcPr>
          <w:p w14:paraId="714A3727">
            <w:pPr>
              <w:pStyle w:val="111"/>
              <w:spacing w:before="0"/>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环境风险类型</w:t>
            </w:r>
          </w:p>
        </w:tc>
        <w:tc>
          <w:tcPr>
            <w:tcW w:w="4131" w:type="pct"/>
            <w:gridSpan w:val="9"/>
            <w:tcBorders>
              <w:tl2br w:val="nil"/>
              <w:tr2bl w:val="nil"/>
            </w:tcBorders>
            <w:noWrap w:val="0"/>
            <w:vAlign w:val="center"/>
          </w:tcPr>
          <w:p w14:paraId="64C2C2CE">
            <w:pPr>
              <w:pStyle w:val="111"/>
              <w:spacing w:before="0"/>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大气</w:t>
            </w:r>
          </w:p>
        </w:tc>
      </w:tr>
      <w:tr w14:paraId="3C51A66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68" w:type="pct"/>
            <w:tcBorders>
              <w:tl2br w:val="nil"/>
              <w:tr2bl w:val="nil"/>
            </w:tcBorders>
            <w:noWrap w:val="0"/>
            <w:vAlign w:val="center"/>
          </w:tcPr>
          <w:p w14:paraId="48BA5911">
            <w:pPr>
              <w:pStyle w:val="111"/>
              <w:spacing w:before="0"/>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泄漏设备类型</w:t>
            </w:r>
          </w:p>
        </w:tc>
        <w:tc>
          <w:tcPr>
            <w:tcW w:w="778" w:type="pct"/>
            <w:gridSpan w:val="2"/>
            <w:tcBorders>
              <w:tl2br w:val="nil"/>
              <w:tr2bl w:val="nil"/>
            </w:tcBorders>
            <w:noWrap w:val="0"/>
            <w:vAlign w:val="center"/>
          </w:tcPr>
          <w:p w14:paraId="47E25F08">
            <w:pPr>
              <w:pStyle w:val="111"/>
              <w:spacing w:before="0"/>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lang w:val="en-US" w:eastAsia="zh-CN"/>
              </w:rPr>
              <w:t>内径75mm的管道</w:t>
            </w:r>
          </w:p>
        </w:tc>
        <w:tc>
          <w:tcPr>
            <w:tcW w:w="870" w:type="pct"/>
            <w:gridSpan w:val="2"/>
            <w:tcBorders>
              <w:tl2br w:val="nil"/>
              <w:tr2bl w:val="nil"/>
            </w:tcBorders>
            <w:noWrap w:val="0"/>
            <w:vAlign w:val="center"/>
          </w:tcPr>
          <w:p w14:paraId="5E0EEF3C">
            <w:pPr>
              <w:pStyle w:val="111"/>
              <w:spacing w:before="0"/>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操作温度/℃</w:t>
            </w:r>
          </w:p>
        </w:tc>
        <w:tc>
          <w:tcPr>
            <w:tcW w:w="828" w:type="pct"/>
            <w:gridSpan w:val="2"/>
            <w:tcBorders>
              <w:tl2br w:val="nil"/>
              <w:tr2bl w:val="nil"/>
            </w:tcBorders>
            <w:noWrap w:val="0"/>
            <w:vAlign w:val="center"/>
          </w:tcPr>
          <w:p w14:paraId="12F34436">
            <w:pPr>
              <w:pStyle w:val="111"/>
              <w:spacing w:before="0"/>
              <w:rPr>
                <w:rFonts w:hint="default" w:ascii="Times New Roman" w:hAnsi="Times New Roman" w:eastAsia="宋体" w:cs="Times New Roman"/>
                <w:color w:val="auto"/>
                <w:highlight w:val="none"/>
                <w:u w:val="none" w:color="auto"/>
                <w:lang w:val="en-US" w:eastAsia="zh-CN"/>
              </w:rPr>
            </w:pPr>
            <w:r>
              <w:rPr>
                <w:rFonts w:hint="default" w:ascii="Times New Roman" w:hAnsi="Times New Roman" w:eastAsia="宋体" w:cs="Times New Roman"/>
                <w:color w:val="auto"/>
                <w:highlight w:val="none"/>
                <w:u w:val="none" w:color="auto"/>
                <w:lang w:val="en-US" w:eastAsia="zh-CN"/>
              </w:rPr>
              <w:t>/</w:t>
            </w:r>
          </w:p>
        </w:tc>
        <w:tc>
          <w:tcPr>
            <w:tcW w:w="853" w:type="pct"/>
            <w:gridSpan w:val="2"/>
            <w:tcBorders>
              <w:tl2br w:val="nil"/>
              <w:tr2bl w:val="nil"/>
            </w:tcBorders>
            <w:noWrap w:val="0"/>
            <w:vAlign w:val="center"/>
          </w:tcPr>
          <w:p w14:paraId="15BB5FB7">
            <w:pPr>
              <w:pStyle w:val="111"/>
              <w:spacing w:before="0"/>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操作压力/MPa</w:t>
            </w:r>
          </w:p>
        </w:tc>
        <w:tc>
          <w:tcPr>
            <w:tcW w:w="800" w:type="pct"/>
            <w:tcBorders>
              <w:tl2br w:val="nil"/>
              <w:tr2bl w:val="nil"/>
            </w:tcBorders>
            <w:noWrap w:val="0"/>
            <w:vAlign w:val="center"/>
          </w:tcPr>
          <w:p w14:paraId="4827D3EB">
            <w:pPr>
              <w:pStyle w:val="111"/>
              <w:spacing w:before="0"/>
              <w:rPr>
                <w:rFonts w:hint="default" w:ascii="Times New Roman" w:hAnsi="Times New Roman" w:eastAsia="宋体" w:cs="Times New Roman"/>
                <w:color w:val="auto"/>
                <w:highlight w:val="none"/>
                <w:u w:val="none" w:color="auto"/>
                <w:lang w:eastAsia="zh-CN"/>
              </w:rPr>
            </w:pPr>
            <w:r>
              <w:rPr>
                <w:rFonts w:hint="default" w:ascii="Times New Roman" w:hAnsi="Times New Roman" w:eastAsia="宋体" w:cs="Times New Roman"/>
                <w:color w:val="auto"/>
                <w:highlight w:val="none"/>
                <w:u w:val="none" w:color="auto"/>
                <w:lang w:val="en-US" w:eastAsia="zh-CN"/>
              </w:rPr>
              <w:t>/</w:t>
            </w:r>
          </w:p>
        </w:tc>
      </w:tr>
      <w:tr w14:paraId="07596FD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68" w:type="pct"/>
            <w:tcBorders>
              <w:tl2br w:val="nil"/>
              <w:tr2bl w:val="nil"/>
            </w:tcBorders>
            <w:noWrap w:val="0"/>
            <w:vAlign w:val="center"/>
          </w:tcPr>
          <w:p w14:paraId="4C336E96">
            <w:pPr>
              <w:pStyle w:val="111"/>
              <w:spacing w:before="0"/>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泄漏危险物质</w:t>
            </w:r>
          </w:p>
        </w:tc>
        <w:tc>
          <w:tcPr>
            <w:tcW w:w="778" w:type="pct"/>
            <w:gridSpan w:val="2"/>
            <w:tcBorders>
              <w:tl2br w:val="nil"/>
              <w:tr2bl w:val="nil"/>
            </w:tcBorders>
            <w:noWrap w:val="0"/>
            <w:vAlign w:val="center"/>
          </w:tcPr>
          <w:p w14:paraId="2F51B02E">
            <w:pPr>
              <w:pStyle w:val="111"/>
              <w:spacing w:before="0"/>
              <w:rPr>
                <w:rFonts w:hint="default" w:ascii="Times New Roman" w:hAnsi="Times New Roman" w:eastAsia="宋体" w:cs="Times New Roman"/>
                <w:color w:val="auto"/>
                <w:highlight w:val="none"/>
                <w:u w:val="none" w:color="auto"/>
                <w:lang w:val="en-US" w:eastAsia="zh-CN"/>
              </w:rPr>
            </w:pPr>
            <w:r>
              <w:rPr>
                <w:rFonts w:hint="default" w:ascii="Times New Roman" w:hAnsi="Times New Roman" w:eastAsia="宋体" w:cs="Times New Roman"/>
                <w:color w:val="auto"/>
                <w:highlight w:val="none"/>
                <w:u w:val="none" w:color="auto"/>
                <w:lang w:val="en-US" w:eastAsia="zh-CN"/>
              </w:rPr>
              <w:t>CO</w:t>
            </w:r>
          </w:p>
        </w:tc>
        <w:tc>
          <w:tcPr>
            <w:tcW w:w="870" w:type="pct"/>
            <w:gridSpan w:val="2"/>
            <w:tcBorders>
              <w:tl2br w:val="nil"/>
              <w:tr2bl w:val="nil"/>
            </w:tcBorders>
            <w:noWrap w:val="0"/>
            <w:vAlign w:val="center"/>
          </w:tcPr>
          <w:p w14:paraId="59622065">
            <w:pPr>
              <w:pStyle w:val="111"/>
              <w:spacing w:before="0"/>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最大存在量/kg</w:t>
            </w:r>
          </w:p>
        </w:tc>
        <w:tc>
          <w:tcPr>
            <w:tcW w:w="828" w:type="pct"/>
            <w:gridSpan w:val="2"/>
            <w:tcBorders>
              <w:tl2br w:val="nil"/>
              <w:tr2bl w:val="nil"/>
            </w:tcBorders>
            <w:noWrap w:val="0"/>
            <w:vAlign w:val="center"/>
          </w:tcPr>
          <w:p w14:paraId="52C74430">
            <w:pPr>
              <w:pStyle w:val="111"/>
              <w:spacing w:before="0"/>
              <w:rPr>
                <w:rFonts w:hint="default" w:ascii="Times New Roman" w:hAnsi="Times New Roman" w:eastAsia="宋体" w:cs="Times New Roman"/>
                <w:color w:val="auto"/>
                <w:highlight w:val="none"/>
                <w:u w:val="none" w:color="auto"/>
                <w:lang w:eastAsia="zh-CN"/>
              </w:rPr>
            </w:pPr>
            <w:r>
              <w:rPr>
                <w:rFonts w:hint="default" w:ascii="Times New Roman" w:hAnsi="Times New Roman" w:eastAsia="宋体" w:cs="Times New Roman"/>
                <w:color w:val="auto"/>
                <w:highlight w:val="none"/>
                <w:u w:val="none" w:color="auto"/>
                <w:lang w:val="en-US" w:eastAsia="zh-CN"/>
              </w:rPr>
              <w:t>/</w:t>
            </w:r>
          </w:p>
        </w:tc>
        <w:tc>
          <w:tcPr>
            <w:tcW w:w="853" w:type="pct"/>
            <w:gridSpan w:val="2"/>
            <w:tcBorders>
              <w:tl2br w:val="nil"/>
              <w:tr2bl w:val="nil"/>
            </w:tcBorders>
            <w:noWrap w:val="0"/>
            <w:vAlign w:val="center"/>
          </w:tcPr>
          <w:p w14:paraId="408F3D71">
            <w:pPr>
              <w:pStyle w:val="111"/>
              <w:spacing w:before="0"/>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泄漏孔径/mm</w:t>
            </w:r>
          </w:p>
        </w:tc>
        <w:tc>
          <w:tcPr>
            <w:tcW w:w="800" w:type="pct"/>
            <w:tcBorders>
              <w:tl2br w:val="nil"/>
              <w:tr2bl w:val="nil"/>
            </w:tcBorders>
            <w:noWrap w:val="0"/>
            <w:vAlign w:val="center"/>
          </w:tcPr>
          <w:p w14:paraId="5017FCD4">
            <w:pPr>
              <w:pStyle w:val="111"/>
              <w:spacing w:before="0"/>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lang w:val="en-US" w:eastAsia="zh-CN"/>
              </w:rPr>
              <w:t>/</w:t>
            </w:r>
          </w:p>
        </w:tc>
      </w:tr>
      <w:tr w14:paraId="72E0CA0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68" w:type="pct"/>
            <w:tcBorders>
              <w:tl2br w:val="nil"/>
              <w:tr2bl w:val="nil"/>
            </w:tcBorders>
            <w:noWrap w:val="0"/>
            <w:vAlign w:val="center"/>
          </w:tcPr>
          <w:p w14:paraId="67B2F2A9">
            <w:pPr>
              <w:pStyle w:val="111"/>
              <w:spacing w:before="0"/>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泄漏速率/（kg/s）</w:t>
            </w:r>
          </w:p>
        </w:tc>
        <w:tc>
          <w:tcPr>
            <w:tcW w:w="778" w:type="pct"/>
            <w:gridSpan w:val="2"/>
            <w:tcBorders>
              <w:tl2br w:val="nil"/>
              <w:tr2bl w:val="nil"/>
            </w:tcBorders>
            <w:noWrap w:val="0"/>
            <w:vAlign w:val="center"/>
          </w:tcPr>
          <w:p w14:paraId="293E78B2">
            <w:pPr>
              <w:pStyle w:val="111"/>
              <w:spacing w:before="0"/>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spacing w:val="0"/>
                <w:kern w:val="24"/>
                <w:position w:val="0"/>
                <w:highlight w:val="none"/>
                <w:u w:val="none" w:color="auto"/>
                <w:lang w:val="en-US" w:eastAsia="zh-CN"/>
              </w:rPr>
              <w:t>1.0141</w:t>
            </w:r>
          </w:p>
        </w:tc>
        <w:tc>
          <w:tcPr>
            <w:tcW w:w="870" w:type="pct"/>
            <w:gridSpan w:val="2"/>
            <w:tcBorders>
              <w:tl2br w:val="nil"/>
              <w:tr2bl w:val="nil"/>
            </w:tcBorders>
            <w:noWrap w:val="0"/>
            <w:vAlign w:val="center"/>
          </w:tcPr>
          <w:p w14:paraId="269439F6">
            <w:pPr>
              <w:pStyle w:val="111"/>
              <w:spacing w:before="0"/>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泄漏时间/min</w:t>
            </w:r>
          </w:p>
        </w:tc>
        <w:tc>
          <w:tcPr>
            <w:tcW w:w="828" w:type="pct"/>
            <w:gridSpan w:val="2"/>
            <w:tcBorders>
              <w:tl2br w:val="nil"/>
              <w:tr2bl w:val="nil"/>
            </w:tcBorders>
            <w:noWrap w:val="0"/>
            <w:vAlign w:val="center"/>
          </w:tcPr>
          <w:p w14:paraId="1E30A78E">
            <w:pPr>
              <w:pStyle w:val="111"/>
              <w:spacing w:before="0"/>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10</w:t>
            </w:r>
          </w:p>
        </w:tc>
        <w:tc>
          <w:tcPr>
            <w:tcW w:w="853" w:type="pct"/>
            <w:gridSpan w:val="2"/>
            <w:tcBorders>
              <w:tl2br w:val="nil"/>
              <w:tr2bl w:val="nil"/>
            </w:tcBorders>
            <w:noWrap w:val="0"/>
            <w:vAlign w:val="center"/>
          </w:tcPr>
          <w:p w14:paraId="2C7A41E9">
            <w:pPr>
              <w:pStyle w:val="111"/>
              <w:spacing w:before="0"/>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泄漏量/kg</w:t>
            </w:r>
          </w:p>
        </w:tc>
        <w:tc>
          <w:tcPr>
            <w:tcW w:w="800" w:type="pct"/>
            <w:tcBorders>
              <w:tl2br w:val="nil"/>
              <w:tr2bl w:val="nil"/>
            </w:tcBorders>
            <w:noWrap w:val="0"/>
            <w:vAlign w:val="center"/>
          </w:tcPr>
          <w:p w14:paraId="5B34B3DD">
            <w:pPr>
              <w:pStyle w:val="111"/>
              <w:spacing w:before="0"/>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spacing w:val="0"/>
                <w:kern w:val="24"/>
                <w:position w:val="0"/>
                <w:highlight w:val="none"/>
                <w:u w:val="none" w:color="auto"/>
                <w:lang w:val="en-US" w:eastAsia="zh-CN"/>
              </w:rPr>
              <w:t>1521.18</w:t>
            </w:r>
          </w:p>
        </w:tc>
      </w:tr>
      <w:tr w14:paraId="5B04D73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68" w:type="pct"/>
            <w:tcBorders>
              <w:tl2br w:val="nil"/>
              <w:tr2bl w:val="nil"/>
            </w:tcBorders>
            <w:noWrap w:val="0"/>
            <w:vAlign w:val="center"/>
          </w:tcPr>
          <w:p w14:paraId="29008C04">
            <w:pPr>
              <w:pStyle w:val="111"/>
              <w:spacing w:before="0"/>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泄漏高度/m</w:t>
            </w:r>
          </w:p>
        </w:tc>
        <w:tc>
          <w:tcPr>
            <w:tcW w:w="778" w:type="pct"/>
            <w:gridSpan w:val="2"/>
            <w:tcBorders>
              <w:tl2br w:val="nil"/>
              <w:tr2bl w:val="nil"/>
            </w:tcBorders>
            <w:noWrap w:val="0"/>
            <w:vAlign w:val="center"/>
          </w:tcPr>
          <w:p w14:paraId="13ADE26A">
            <w:pPr>
              <w:pStyle w:val="111"/>
              <w:spacing w:before="0"/>
              <w:rPr>
                <w:rFonts w:hint="default" w:ascii="Times New Roman" w:hAnsi="Times New Roman" w:eastAsia="宋体" w:cs="Times New Roman"/>
                <w:color w:val="auto"/>
                <w:highlight w:val="none"/>
                <w:u w:val="none" w:color="auto"/>
                <w:lang w:val="en-US" w:eastAsia="zh-CN"/>
              </w:rPr>
            </w:pPr>
            <w:r>
              <w:rPr>
                <w:rFonts w:hint="default" w:ascii="Times New Roman" w:hAnsi="Times New Roman" w:eastAsia="宋体" w:cs="Times New Roman"/>
                <w:color w:val="auto"/>
                <w:highlight w:val="none"/>
                <w:u w:val="none" w:color="auto"/>
              </w:rPr>
              <w:t>1</w:t>
            </w:r>
            <w:r>
              <w:rPr>
                <w:rFonts w:hint="default" w:ascii="Times New Roman" w:hAnsi="Times New Roman" w:eastAsia="宋体" w:cs="Times New Roman"/>
                <w:color w:val="auto"/>
                <w:highlight w:val="none"/>
                <w:u w:val="none" w:color="auto"/>
                <w:lang w:val="en-US" w:eastAsia="zh-CN"/>
              </w:rPr>
              <w:t>.5</w:t>
            </w:r>
          </w:p>
        </w:tc>
        <w:tc>
          <w:tcPr>
            <w:tcW w:w="870" w:type="pct"/>
            <w:gridSpan w:val="2"/>
            <w:tcBorders>
              <w:tl2br w:val="nil"/>
              <w:tr2bl w:val="nil"/>
            </w:tcBorders>
            <w:noWrap w:val="0"/>
            <w:vAlign w:val="center"/>
          </w:tcPr>
          <w:p w14:paraId="43E748BA">
            <w:pPr>
              <w:pStyle w:val="111"/>
              <w:spacing w:before="0"/>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泄漏液体蒸发量/kg</w:t>
            </w:r>
          </w:p>
        </w:tc>
        <w:tc>
          <w:tcPr>
            <w:tcW w:w="828" w:type="pct"/>
            <w:gridSpan w:val="2"/>
            <w:tcBorders>
              <w:tl2br w:val="nil"/>
              <w:tr2bl w:val="nil"/>
            </w:tcBorders>
            <w:noWrap w:val="0"/>
            <w:vAlign w:val="center"/>
          </w:tcPr>
          <w:p w14:paraId="6F72F16B">
            <w:pPr>
              <w:pStyle w:val="111"/>
              <w:spacing w:before="0"/>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lang w:val="en-US" w:eastAsia="zh-CN"/>
              </w:rPr>
              <w:t>/</w:t>
            </w:r>
          </w:p>
        </w:tc>
        <w:tc>
          <w:tcPr>
            <w:tcW w:w="853" w:type="pct"/>
            <w:gridSpan w:val="2"/>
            <w:tcBorders>
              <w:tl2br w:val="nil"/>
              <w:tr2bl w:val="nil"/>
            </w:tcBorders>
            <w:noWrap w:val="0"/>
            <w:vAlign w:val="center"/>
          </w:tcPr>
          <w:p w14:paraId="521E121C">
            <w:pPr>
              <w:pStyle w:val="111"/>
              <w:spacing w:before="0"/>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泄漏频率</w:t>
            </w:r>
          </w:p>
        </w:tc>
        <w:tc>
          <w:tcPr>
            <w:tcW w:w="800" w:type="pct"/>
            <w:tcBorders>
              <w:tl2br w:val="nil"/>
              <w:tr2bl w:val="nil"/>
            </w:tcBorders>
            <w:noWrap w:val="0"/>
            <w:vAlign w:val="center"/>
          </w:tcPr>
          <w:p w14:paraId="49008972">
            <w:pPr>
              <w:pStyle w:val="111"/>
              <w:spacing w:before="0"/>
              <w:ind w:firstLine="0" w:firstLineChars="0"/>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lang w:val="en-US" w:eastAsia="zh-CN"/>
              </w:rPr>
              <w:t>/</w:t>
            </w:r>
          </w:p>
        </w:tc>
      </w:tr>
      <w:tr w14:paraId="7D29C4D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000" w:type="pct"/>
            <w:gridSpan w:val="10"/>
            <w:tcBorders>
              <w:tl2br w:val="nil"/>
              <w:tr2bl w:val="nil"/>
            </w:tcBorders>
            <w:noWrap w:val="0"/>
            <w:vAlign w:val="center"/>
          </w:tcPr>
          <w:p w14:paraId="2EB1B703">
            <w:pPr>
              <w:pStyle w:val="111"/>
              <w:spacing w:before="0"/>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事故后果预测</w:t>
            </w:r>
          </w:p>
        </w:tc>
      </w:tr>
      <w:tr w14:paraId="3D9A9C1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68" w:type="pct"/>
            <w:vMerge w:val="restart"/>
            <w:tcBorders>
              <w:tl2br w:val="nil"/>
              <w:tr2bl w:val="nil"/>
            </w:tcBorders>
            <w:noWrap w:val="0"/>
            <w:vAlign w:val="center"/>
          </w:tcPr>
          <w:p w14:paraId="756B7D92">
            <w:pPr>
              <w:pStyle w:val="111"/>
              <w:spacing w:before="0"/>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大气</w:t>
            </w:r>
          </w:p>
        </w:tc>
        <w:tc>
          <w:tcPr>
            <w:tcW w:w="548" w:type="pct"/>
            <w:tcBorders>
              <w:tl2br w:val="nil"/>
              <w:tr2bl w:val="nil"/>
            </w:tcBorders>
            <w:noWrap w:val="0"/>
            <w:vAlign w:val="center"/>
          </w:tcPr>
          <w:p w14:paraId="4DF6366E">
            <w:pPr>
              <w:pStyle w:val="111"/>
              <w:spacing w:before="0"/>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危险物质</w:t>
            </w:r>
          </w:p>
        </w:tc>
        <w:tc>
          <w:tcPr>
            <w:tcW w:w="3582" w:type="pct"/>
            <w:gridSpan w:val="8"/>
            <w:tcBorders>
              <w:tl2br w:val="nil"/>
              <w:tr2bl w:val="nil"/>
            </w:tcBorders>
            <w:noWrap w:val="0"/>
            <w:vAlign w:val="center"/>
          </w:tcPr>
          <w:p w14:paraId="1F37EBC1">
            <w:pPr>
              <w:pStyle w:val="111"/>
              <w:spacing w:before="0"/>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大气环境影响</w:t>
            </w:r>
          </w:p>
        </w:tc>
      </w:tr>
      <w:tr w14:paraId="5ACAD7D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68" w:type="pct"/>
            <w:vMerge w:val="continue"/>
            <w:tcBorders>
              <w:tl2br w:val="nil"/>
              <w:tr2bl w:val="nil"/>
            </w:tcBorders>
            <w:noWrap w:val="0"/>
            <w:vAlign w:val="center"/>
          </w:tcPr>
          <w:p w14:paraId="45081CC6">
            <w:pPr>
              <w:pStyle w:val="111"/>
              <w:spacing w:before="0"/>
              <w:rPr>
                <w:rFonts w:hint="default" w:ascii="Times New Roman" w:hAnsi="Times New Roman" w:eastAsia="宋体" w:cs="Times New Roman"/>
                <w:color w:val="auto"/>
                <w:highlight w:val="none"/>
                <w:u w:val="none" w:color="auto"/>
              </w:rPr>
            </w:pPr>
          </w:p>
        </w:tc>
        <w:tc>
          <w:tcPr>
            <w:tcW w:w="548" w:type="pct"/>
            <w:vMerge w:val="restart"/>
            <w:tcBorders>
              <w:tl2br w:val="nil"/>
              <w:tr2bl w:val="nil"/>
            </w:tcBorders>
            <w:noWrap w:val="0"/>
            <w:vAlign w:val="center"/>
          </w:tcPr>
          <w:p w14:paraId="42EFE947">
            <w:pPr>
              <w:pStyle w:val="111"/>
              <w:spacing w:before="0"/>
              <w:rPr>
                <w:rFonts w:hint="default" w:ascii="Times New Roman" w:hAnsi="Times New Roman" w:eastAsia="宋体" w:cs="Times New Roman"/>
                <w:color w:val="auto"/>
                <w:highlight w:val="none"/>
                <w:u w:val="none" w:color="auto"/>
                <w:lang w:val="en-US" w:eastAsia="zh-CN"/>
              </w:rPr>
            </w:pPr>
            <w:r>
              <w:rPr>
                <w:rFonts w:hint="default" w:ascii="Times New Roman" w:hAnsi="Times New Roman" w:eastAsia="宋体" w:cs="Times New Roman"/>
                <w:color w:val="auto"/>
                <w:highlight w:val="none"/>
                <w:u w:val="none" w:color="auto"/>
                <w:lang w:val="en-US" w:eastAsia="zh-CN"/>
              </w:rPr>
              <w:t>CO</w:t>
            </w:r>
          </w:p>
        </w:tc>
        <w:tc>
          <w:tcPr>
            <w:tcW w:w="996" w:type="pct"/>
            <w:gridSpan w:val="2"/>
            <w:tcBorders>
              <w:tl2br w:val="nil"/>
              <w:tr2bl w:val="nil"/>
            </w:tcBorders>
            <w:noWrap w:val="0"/>
            <w:vAlign w:val="center"/>
          </w:tcPr>
          <w:p w14:paraId="53F6B7B3">
            <w:pPr>
              <w:pStyle w:val="111"/>
              <w:spacing w:before="0"/>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指标</w:t>
            </w:r>
          </w:p>
        </w:tc>
        <w:tc>
          <w:tcPr>
            <w:tcW w:w="766" w:type="pct"/>
            <w:gridSpan w:val="2"/>
            <w:tcBorders>
              <w:tl2br w:val="nil"/>
              <w:tr2bl w:val="nil"/>
            </w:tcBorders>
            <w:noWrap w:val="0"/>
            <w:vAlign w:val="center"/>
          </w:tcPr>
          <w:p w14:paraId="74AA4A41">
            <w:pPr>
              <w:pStyle w:val="111"/>
              <w:spacing w:before="0"/>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浓度值/（mg/m</w:t>
            </w:r>
            <w:r>
              <w:rPr>
                <w:rFonts w:hint="default" w:ascii="Times New Roman" w:hAnsi="Times New Roman" w:eastAsia="宋体" w:cs="Times New Roman"/>
                <w:color w:val="auto"/>
                <w:highlight w:val="none"/>
                <w:u w:val="none" w:color="auto"/>
                <w:vertAlign w:val="superscript"/>
              </w:rPr>
              <w:t>3</w:t>
            </w:r>
            <w:r>
              <w:rPr>
                <w:rFonts w:hint="default" w:ascii="Times New Roman" w:hAnsi="Times New Roman" w:eastAsia="宋体" w:cs="Times New Roman"/>
                <w:color w:val="auto"/>
                <w:highlight w:val="none"/>
                <w:u w:val="none" w:color="auto"/>
              </w:rPr>
              <w:t>）</w:t>
            </w:r>
          </w:p>
        </w:tc>
        <w:tc>
          <w:tcPr>
            <w:tcW w:w="851" w:type="pct"/>
            <w:gridSpan w:val="2"/>
            <w:tcBorders>
              <w:tl2br w:val="nil"/>
              <w:tr2bl w:val="nil"/>
            </w:tcBorders>
            <w:noWrap w:val="0"/>
            <w:vAlign w:val="center"/>
          </w:tcPr>
          <w:p w14:paraId="46000B45">
            <w:pPr>
              <w:pStyle w:val="111"/>
              <w:spacing w:before="0"/>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最远影响距离/m</w:t>
            </w:r>
          </w:p>
        </w:tc>
        <w:tc>
          <w:tcPr>
            <w:tcW w:w="966" w:type="pct"/>
            <w:gridSpan w:val="2"/>
            <w:tcBorders>
              <w:tl2br w:val="nil"/>
              <w:tr2bl w:val="nil"/>
            </w:tcBorders>
            <w:noWrap w:val="0"/>
            <w:vAlign w:val="center"/>
          </w:tcPr>
          <w:p w14:paraId="02BD3A9A">
            <w:pPr>
              <w:pStyle w:val="111"/>
              <w:spacing w:before="0"/>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到达时间/min</w:t>
            </w:r>
          </w:p>
        </w:tc>
      </w:tr>
      <w:tr w14:paraId="40BD522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868" w:type="pct"/>
            <w:vMerge w:val="continue"/>
            <w:tcBorders>
              <w:tl2br w:val="nil"/>
              <w:tr2bl w:val="nil"/>
            </w:tcBorders>
            <w:noWrap w:val="0"/>
            <w:vAlign w:val="center"/>
          </w:tcPr>
          <w:p w14:paraId="00B73BAF">
            <w:pPr>
              <w:pStyle w:val="111"/>
              <w:spacing w:before="0"/>
              <w:rPr>
                <w:rFonts w:hint="default" w:ascii="Times New Roman" w:hAnsi="Times New Roman" w:eastAsia="宋体" w:cs="Times New Roman"/>
                <w:color w:val="auto"/>
                <w:highlight w:val="none"/>
                <w:u w:val="none" w:color="auto"/>
              </w:rPr>
            </w:pPr>
          </w:p>
        </w:tc>
        <w:tc>
          <w:tcPr>
            <w:tcW w:w="548" w:type="pct"/>
            <w:vMerge w:val="continue"/>
            <w:tcBorders>
              <w:tl2br w:val="nil"/>
              <w:tr2bl w:val="nil"/>
            </w:tcBorders>
            <w:noWrap w:val="0"/>
            <w:vAlign w:val="center"/>
          </w:tcPr>
          <w:p w14:paraId="56C0AA60">
            <w:pPr>
              <w:pStyle w:val="111"/>
              <w:spacing w:before="0"/>
              <w:rPr>
                <w:rFonts w:hint="default" w:ascii="Times New Roman" w:hAnsi="Times New Roman" w:eastAsia="宋体" w:cs="Times New Roman"/>
                <w:color w:val="auto"/>
                <w:highlight w:val="none"/>
                <w:u w:val="none" w:color="auto"/>
              </w:rPr>
            </w:pPr>
          </w:p>
        </w:tc>
        <w:tc>
          <w:tcPr>
            <w:tcW w:w="996" w:type="pct"/>
            <w:gridSpan w:val="2"/>
            <w:tcBorders>
              <w:tl2br w:val="nil"/>
              <w:tr2bl w:val="nil"/>
            </w:tcBorders>
            <w:noWrap w:val="0"/>
            <w:vAlign w:val="center"/>
          </w:tcPr>
          <w:p w14:paraId="6E53690A">
            <w:pPr>
              <w:pStyle w:val="111"/>
              <w:spacing w:before="0"/>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大气毒性终点浓度-1</w:t>
            </w:r>
          </w:p>
        </w:tc>
        <w:tc>
          <w:tcPr>
            <w:tcW w:w="766" w:type="pct"/>
            <w:gridSpan w:val="2"/>
            <w:tcBorders>
              <w:tl2br w:val="nil"/>
              <w:tr2bl w:val="nil"/>
            </w:tcBorders>
            <w:noWrap w:val="0"/>
            <w:vAlign w:val="center"/>
          </w:tcPr>
          <w:p w14:paraId="25CA151B">
            <w:pPr>
              <w:pStyle w:val="111"/>
              <w:spacing w:before="0"/>
              <w:rPr>
                <w:rFonts w:hint="default" w:ascii="Times New Roman" w:hAnsi="Times New Roman" w:eastAsia="宋体" w:cs="Times New Roman"/>
                <w:color w:val="auto"/>
                <w:highlight w:val="none"/>
                <w:u w:val="none" w:color="auto"/>
                <w:lang w:val="en-US" w:eastAsia="zh-CN"/>
              </w:rPr>
            </w:pPr>
            <w:r>
              <w:rPr>
                <w:rFonts w:hint="default" w:ascii="Times New Roman" w:hAnsi="Times New Roman" w:eastAsia="宋体" w:cs="Times New Roman"/>
                <w:color w:val="auto"/>
                <w:highlight w:val="none"/>
                <w:u w:val="none" w:color="auto"/>
                <w:lang w:val="en-US" w:eastAsia="zh-CN"/>
              </w:rPr>
              <w:t>380</w:t>
            </w:r>
          </w:p>
        </w:tc>
        <w:tc>
          <w:tcPr>
            <w:tcW w:w="851" w:type="pct"/>
            <w:gridSpan w:val="2"/>
            <w:tcBorders>
              <w:tl2br w:val="nil"/>
              <w:tr2bl w:val="nil"/>
            </w:tcBorders>
            <w:noWrap w:val="0"/>
            <w:vAlign w:val="center"/>
          </w:tcPr>
          <w:p w14:paraId="7D4B0D12">
            <w:pPr>
              <w:pStyle w:val="111"/>
              <w:spacing w:before="0"/>
              <w:rPr>
                <w:rFonts w:hint="default" w:ascii="Times New Roman" w:hAnsi="Times New Roman" w:eastAsia="宋体" w:cs="Times New Roman"/>
                <w:color w:val="auto"/>
                <w:highlight w:val="none"/>
                <w:u w:val="none" w:color="auto"/>
                <w:lang w:val="en-US" w:eastAsia="zh-CN"/>
              </w:rPr>
            </w:pPr>
            <w:r>
              <w:rPr>
                <w:rFonts w:hint="default" w:ascii="Times New Roman" w:hAnsi="Times New Roman" w:eastAsia="宋体" w:cs="Times New Roman"/>
                <w:color w:val="auto"/>
                <w:highlight w:val="none"/>
                <w:u w:val="none" w:color="auto"/>
                <w:lang w:val="en-US" w:eastAsia="zh-CN"/>
              </w:rPr>
              <w:t>1030</w:t>
            </w:r>
          </w:p>
        </w:tc>
        <w:tc>
          <w:tcPr>
            <w:tcW w:w="966" w:type="pct"/>
            <w:gridSpan w:val="2"/>
            <w:tcBorders>
              <w:tl2br w:val="nil"/>
              <w:tr2bl w:val="nil"/>
            </w:tcBorders>
            <w:noWrap w:val="0"/>
            <w:vAlign w:val="center"/>
          </w:tcPr>
          <w:p w14:paraId="2A120358">
            <w:pPr>
              <w:pStyle w:val="111"/>
              <w:spacing w:before="0"/>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sz w:val="18"/>
                <w:szCs w:val="24"/>
                <w:highlight w:val="none"/>
                <w:u w:val="none" w:color="auto"/>
                <w:lang w:val="zh-CN"/>
              </w:rPr>
              <w:t>1.3444E+01</w:t>
            </w:r>
          </w:p>
        </w:tc>
      </w:tr>
      <w:tr w14:paraId="05CCD05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68" w:type="pct"/>
            <w:vMerge w:val="continue"/>
            <w:tcBorders>
              <w:tl2br w:val="nil"/>
              <w:tr2bl w:val="nil"/>
            </w:tcBorders>
            <w:noWrap w:val="0"/>
            <w:vAlign w:val="center"/>
          </w:tcPr>
          <w:p w14:paraId="32728348">
            <w:pPr>
              <w:pStyle w:val="111"/>
              <w:spacing w:before="0"/>
              <w:rPr>
                <w:rFonts w:hint="default" w:ascii="Times New Roman" w:hAnsi="Times New Roman" w:eastAsia="宋体" w:cs="Times New Roman"/>
                <w:color w:val="auto"/>
                <w:highlight w:val="none"/>
                <w:u w:val="none" w:color="auto"/>
              </w:rPr>
            </w:pPr>
          </w:p>
        </w:tc>
        <w:tc>
          <w:tcPr>
            <w:tcW w:w="548" w:type="pct"/>
            <w:vMerge w:val="continue"/>
            <w:tcBorders>
              <w:tl2br w:val="nil"/>
              <w:tr2bl w:val="nil"/>
            </w:tcBorders>
            <w:noWrap w:val="0"/>
            <w:vAlign w:val="center"/>
          </w:tcPr>
          <w:p w14:paraId="0B68833A">
            <w:pPr>
              <w:pStyle w:val="111"/>
              <w:spacing w:before="0"/>
              <w:rPr>
                <w:rFonts w:hint="default" w:ascii="Times New Roman" w:hAnsi="Times New Roman" w:eastAsia="宋体" w:cs="Times New Roman"/>
                <w:color w:val="auto"/>
                <w:highlight w:val="none"/>
                <w:u w:val="none" w:color="auto"/>
              </w:rPr>
            </w:pPr>
          </w:p>
        </w:tc>
        <w:tc>
          <w:tcPr>
            <w:tcW w:w="996" w:type="pct"/>
            <w:gridSpan w:val="2"/>
            <w:tcBorders>
              <w:tl2br w:val="nil"/>
              <w:tr2bl w:val="nil"/>
            </w:tcBorders>
            <w:noWrap w:val="0"/>
            <w:vAlign w:val="center"/>
          </w:tcPr>
          <w:p w14:paraId="218E7246">
            <w:pPr>
              <w:pStyle w:val="111"/>
              <w:spacing w:before="0"/>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大气毒性终点浓度-2</w:t>
            </w:r>
          </w:p>
        </w:tc>
        <w:tc>
          <w:tcPr>
            <w:tcW w:w="766" w:type="pct"/>
            <w:gridSpan w:val="2"/>
            <w:tcBorders>
              <w:tl2br w:val="nil"/>
              <w:tr2bl w:val="nil"/>
            </w:tcBorders>
            <w:noWrap w:val="0"/>
            <w:vAlign w:val="center"/>
          </w:tcPr>
          <w:p w14:paraId="02E86C2F">
            <w:pPr>
              <w:pStyle w:val="111"/>
              <w:spacing w:before="0"/>
              <w:rPr>
                <w:rFonts w:hint="default" w:ascii="Times New Roman" w:hAnsi="Times New Roman" w:eastAsia="宋体" w:cs="Times New Roman"/>
                <w:color w:val="auto"/>
                <w:highlight w:val="none"/>
                <w:u w:val="none" w:color="auto"/>
                <w:lang w:val="en-US" w:eastAsia="zh-CN"/>
              </w:rPr>
            </w:pPr>
            <w:r>
              <w:rPr>
                <w:rFonts w:hint="default" w:ascii="Times New Roman" w:hAnsi="Times New Roman" w:eastAsia="宋体" w:cs="Times New Roman"/>
                <w:color w:val="auto"/>
                <w:highlight w:val="none"/>
                <w:u w:val="none" w:color="auto"/>
                <w:lang w:val="en-US" w:eastAsia="zh-CN"/>
              </w:rPr>
              <w:t>95</w:t>
            </w:r>
          </w:p>
        </w:tc>
        <w:tc>
          <w:tcPr>
            <w:tcW w:w="851" w:type="pct"/>
            <w:gridSpan w:val="2"/>
            <w:tcBorders>
              <w:tl2br w:val="nil"/>
              <w:tr2bl w:val="nil"/>
            </w:tcBorders>
            <w:noWrap w:val="0"/>
            <w:vAlign w:val="center"/>
          </w:tcPr>
          <w:p w14:paraId="4F52B668">
            <w:pPr>
              <w:pStyle w:val="111"/>
              <w:spacing w:before="0"/>
              <w:rPr>
                <w:rFonts w:hint="default" w:ascii="Times New Roman" w:hAnsi="Times New Roman" w:eastAsia="宋体" w:cs="Times New Roman"/>
                <w:color w:val="auto"/>
                <w:highlight w:val="none"/>
                <w:u w:val="none" w:color="auto"/>
                <w:lang w:val="en-US" w:eastAsia="zh-CN"/>
              </w:rPr>
            </w:pPr>
            <w:r>
              <w:rPr>
                <w:rFonts w:hint="default" w:ascii="Times New Roman" w:hAnsi="Times New Roman" w:eastAsia="宋体" w:cs="Times New Roman"/>
                <w:color w:val="auto"/>
                <w:highlight w:val="none"/>
                <w:u w:val="none" w:color="auto"/>
                <w:lang w:val="en-US" w:eastAsia="zh-CN"/>
              </w:rPr>
              <w:t>2850</w:t>
            </w:r>
          </w:p>
        </w:tc>
        <w:tc>
          <w:tcPr>
            <w:tcW w:w="966" w:type="pct"/>
            <w:gridSpan w:val="2"/>
            <w:tcBorders>
              <w:tl2br w:val="nil"/>
              <w:tr2bl w:val="nil"/>
            </w:tcBorders>
            <w:noWrap w:val="0"/>
            <w:vAlign w:val="center"/>
          </w:tcPr>
          <w:p w14:paraId="79D23F91">
            <w:pPr>
              <w:pStyle w:val="111"/>
              <w:spacing w:before="0"/>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sz w:val="18"/>
                <w:szCs w:val="24"/>
                <w:highlight w:val="none"/>
                <w:u w:val="none" w:color="auto"/>
                <w:lang w:val="zh-CN"/>
              </w:rPr>
              <w:t>3.5667E+01</w:t>
            </w:r>
          </w:p>
        </w:tc>
      </w:tr>
      <w:tr w14:paraId="794AD57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68" w:type="pct"/>
            <w:vMerge w:val="continue"/>
            <w:tcBorders>
              <w:tl2br w:val="nil"/>
              <w:tr2bl w:val="nil"/>
            </w:tcBorders>
            <w:noWrap w:val="0"/>
            <w:vAlign w:val="center"/>
          </w:tcPr>
          <w:p w14:paraId="3DB6A26F">
            <w:pPr>
              <w:pStyle w:val="111"/>
              <w:spacing w:before="0"/>
              <w:rPr>
                <w:rFonts w:hint="default" w:ascii="Times New Roman" w:hAnsi="Times New Roman" w:eastAsia="宋体" w:cs="Times New Roman"/>
                <w:color w:val="auto"/>
                <w:highlight w:val="none"/>
                <w:u w:val="none" w:color="auto"/>
              </w:rPr>
            </w:pPr>
          </w:p>
        </w:tc>
        <w:tc>
          <w:tcPr>
            <w:tcW w:w="548" w:type="pct"/>
            <w:vMerge w:val="continue"/>
            <w:tcBorders>
              <w:tl2br w:val="nil"/>
              <w:tr2bl w:val="nil"/>
            </w:tcBorders>
            <w:noWrap w:val="0"/>
            <w:vAlign w:val="center"/>
          </w:tcPr>
          <w:p w14:paraId="410BF551">
            <w:pPr>
              <w:pStyle w:val="111"/>
              <w:spacing w:before="0"/>
              <w:rPr>
                <w:rFonts w:hint="default" w:ascii="Times New Roman" w:hAnsi="Times New Roman" w:eastAsia="宋体" w:cs="Times New Roman"/>
                <w:color w:val="auto"/>
                <w:highlight w:val="none"/>
                <w:u w:val="none" w:color="auto"/>
              </w:rPr>
            </w:pPr>
          </w:p>
        </w:tc>
        <w:tc>
          <w:tcPr>
            <w:tcW w:w="996" w:type="pct"/>
            <w:gridSpan w:val="2"/>
            <w:tcBorders>
              <w:tl2br w:val="nil"/>
              <w:tr2bl w:val="nil"/>
            </w:tcBorders>
            <w:noWrap w:val="0"/>
            <w:vAlign w:val="center"/>
          </w:tcPr>
          <w:p w14:paraId="3CE47825">
            <w:pPr>
              <w:pStyle w:val="111"/>
              <w:spacing w:before="0"/>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敏感目标名称</w:t>
            </w:r>
          </w:p>
        </w:tc>
        <w:tc>
          <w:tcPr>
            <w:tcW w:w="766" w:type="pct"/>
            <w:gridSpan w:val="2"/>
            <w:tcBorders>
              <w:tl2br w:val="nil"/>
              <w:tr2bl w:val="nil"/>
            </w:tcBorders>
            <w:noWrap w:val="0"/>
            <w:vAlign w:val="center"/>
          </w:tcPr>
          <w:p w14:paraId="0A42716D">
            <w:pPr>
              <w:pStyle w:val="111"/>
              <w:spacing w:before="0"/>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超大气毒性终点浓度1时间/min</w:t>
            </w:r>
          </w:p>
        </w:tc>
        <w:tc>
          <w:tcPr>
            <w:tcW w:w="851" w:type="pct"/>
            <w:gridSpan w:val="2"/>
            <w:tcBorders>
              <w:tl2br w:val="nil"/>
              <w:tr2bl w:val="nil"/>
            </w:tcBorders>
            <w:noWrap w:val="0"/>
            <w:vAlign w:val="center"/>
          </w:tcPr>
          <w:p w14:paraId="3E300738">
            <w:pPr>
              <w:pStyle w:val="111"/>
              <w:spacing w:before="0"/>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超大气毒性终点浓度1持续时间/min</w:t>
            </w:r>
          </w:p>
        </w:tc>
        <w:tc>
          <w:tcPr>
            <w:tcW w:w="966" w:type="pct"/>
            <w:gridSpan w:val="2"/>
            <w:tcBorders>
              <w:tl2br w:val="nil"/>
              <w:tr2bl w:val="nil"/>
            </w:tcBorders>
            <w:noWrap w:val="0"/>
            <w:vAlign w:val="center"/>
          </w:tcPr>
          <w:p w14:paraId="3A22D020">
            <w:pPr>
              <w:pStyle w:val="111"/>
              <w:spacing w:before="0"/>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最大浓度/（mg/m</w:t>
            </w:r>
            <w:r>
              <w:rPr>
                <w:rFonts w:hint="default" w:ascii="Times New Roman" w:hAnsi="Times New Roman" w:eastAsia="宋体" w:cs="Times New Roman"/>
                <w:color w:val="auto"/>
                <w:highlight w:val="none"/>
                <w:u w:val="none" w:color="auto"/>
                <w:vertAlign w:val="superscript"/>
              </w:rPr>
              <w:t>3</w:t>
            </w:r>
            <w:r>
              <w:rPr>
                <w:rFonts w:hint="default" w:ascii="Times New Roman" w:hAnsi="Times New Roman" w:eastAsia="宋体" w:cs="Times New Roman"/>
                <w:color w:val="auto"/>
                <w:highlight w:val="none"/>
                <w:u w:val="none" w:color="auto"/>
              </w:rPr>
              <w:t>）</w:t>
            </w:r>
          </w:p>
        </w:tc>
      </w:tr>
      <w:tr w14:paraId="503E6B6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68" w:type="pct"/>
            <w:vMerge w:val="continue"/>
            <w:tcBorders>
              <w:tl2br w:val="nil"/>
              <w:tr2bl w:val="nil"/>
            </w:tcBorders>
            <w:noWrap w:val="0"/>
            <w:vAlign w:val="center"/>
          </w:tcPr>
          <w:p w14:paraId="34F7CB93">
            <w:pPr>
              <w:pStyle w:val="111"/>
              <w:spacing w:before="0"/>
              <w:rPr>
                <w:rFonts w:hint="default" w:ascii="Times New Roman" w:hAnsi="Times New Roman" w:eastAsia="宋体" w:cs="Times New Roman"/>
                <w:color w:val="auto"/>
                <w:highlight w:val="none"/>
                <w:u w:val="none" w:color="auto"/>
              </w:rPr>
            </w:pPr>
          </w:p>
        </w:tc>
        <w:tc>
          <w:tcPr>
            <w:tcW w:w="548" w:type="pct"/>
            <w:vMerge w:val="continue"/>
            <w:tcBorders>
              <w:tl2br w:val="nil"/>
              <w:tr2bl w:val="nil"/>
            </w:tcBorders>
            <w:noWrap w:val="0"/>
            <w:vAlign w:val="center"/>
          </w:tcPr>
          <w:p w14:paraId="6890E4DF">
            <w:pPr>
              <w:pStyle w:val="111"/>
              <w:spacing w:before="0"/>
              <w:rPr>
                <w:rFonts w:hint="default" w:ascii="Times New Roman" w:hAnsi="Times New Roman" w:eastAsia="宋体" w:cs="Times New Roman"/>
                <w:color w:val="auto"/>
                <w:highlight w:val="none"/>
                <w:u w:val="none" w:color="auto"/>
              </w:rPr>
            </w:pPr>
          </w:p>
        </w:tc>
        <w:tc>
          <w:tcPr>
            <w:tcW w:w="996" w:type="pct"/>
            <w:gridSpan w:val="2"/>
            <w:tcBorders>
              <w:tl2br w:val="nil"/>
              <w:tr2bl w:val="nil"/>
            </w:tcBorders>
            <w:noWrap w:val="0"/>
            <w:vAlign w:val="center"/>
          </w:tcPr>
          <w:p w14:paraId="599E90D8">
            <w:pPr>
              <w:pStyle w:val="111"/>
              <w:spacing w:before="0"/>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lang w:val="en-US" w:eastAsia="zh-CN"/>
              </w:rPr>
              <w:t>安置小区（停建）</w:t>
            </w:r>
          </w:p>
        </w:tc>
        <w:tc>
          <w:tcPr>
            <w:tcW w:w="766" w:type="pct"/>
            <w:gridSpan w:val="2"/>
            <w:tcBorders>
              <w:tl2br w:val="nil"/>
              <w:tr2bl w:val="nil"/>
            </w:tcBorders>
            <w:noWrap w:val="0"/>
            <w:vAlign w:val="center"/>
          </w:tcPr>
          <w:p w14:paraId="25753854">
            <w:pPr>
              <w:pStyle w:val="111"/>
              <w:spacing w:before="0"/>
              <w:rPr>
                <w:rFonts w:hint="default" w:ascii="Times New Roman" w:hAnsi="Times New Roman" w:eastAsia="宋体" w:cs="Times New Roman"/>
                <w:color w:val="auto"/>
                <w:highlight w:val="none"/>
                <w:u w:val="none" w:color="auto"/>
                <w:lang w:val="en-US" w:eastAsia="zh-CN"/>
              </w:rPr>
            </w:pPr>
            <w:r>
              <w:rPr>
                <w:rFonts w:hint="default" w:ascii="Times New Roman" w:hAnsi="Times New Roman" w:eastAsia="宋体" w:cs="Times New Roman"/>
                <w:color w:val="auto"/>
                <w:highlight w:val="none"/>
                <w:u w:val="none" w:color="auto"/>
                <w:lang w:val="en-US" w:eastAsia="zh-CN"/>
              </w:rPr>
              <w:t>3</w:t>
            </w:r>
          </w:p>
        </w:tc>
        <w:tc>
          <w:tcPr>
            <w:tcW w:w="851" w:type="pct"/>
            <w:gridSpan w:val="2"/>
            <w:tcBorders>
              <w:tl2br w:val="nil"/>
              <w:tr2bl w:val="nil"/>
            </w:tcBorders>
            <w:noWrap w:val="0"/>
            <w:vAlign w:val="center"/>
          </w:tcPr>
          <w:p w14:paraId="67A718A4">
            <w:pPr>
              <w:pStyle w:val="111"/>
              <w:spacing w:before="0"/>
              <w:rPr>
                <w:rFonts w:hint="default" w:ascii="Times New Roman" w:hAnsi="Times New Roman" w:eastAsia="宋体" w:cs="Times New Roman"/>
                <w:color w:val="auto"/>
                <w:highlight w:val="none"/>
                <w:u w:val="none" w:color="auto"/>
                <w:lang w:val="en-US" w:eastAsia="zh-CN"/>
              </w:rPr>
            </w:pPr>
            <w:r>
              <w:rPr>
                <w:rFonts w:hint="default" w:ascii="Times New Roman" w:hAnsi="Times New Roman" w:eastAsia="宋体" w:cs="Times New Roman"/>
                <w:color w:val="auto"/>
                <w:highlight w:val="none"/>
                <w:u w:val="none" w:color="auto"/>
                <w:lang w:val="en-US" w:eastAsia="zh-CN"/>
              </w:rPr>
              <w:t>10</w:t>
            </w:r>
          </w:p>
        </w:tc>
        <w:tc>
          <w:tcPr>
            <w:tcW w:w="966" w:type="pct"/>
            <w:gridSpan w:val="2"/>
            <w:tcBorders>
              <w:tl2br w:val="nil"/>
              <w:tr2bl w:val="nil"/>
            </w:tcBorders>
            <w:noWrap w:val="0"/>
            <w:vAlign w:val="center"/>
          </w:tcPr>
          <w:p w14:paraId="7A5D89B6">
            <w:pPr>
              <w:pStyle w:val="111"/>
              <w:spacing w:before="0"/>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1.23E+03</w:t>
            </w:r>
          </w:p>
        </w:tc>
      </w:tr>
      <w:tr w14:paraId="3A451C6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68" w:type="pct"/>
            <w:vMerge w:val="continue"/>
            <w:tcBorders>
              <w:tl2br w:val="nil"/>
              <w:tr2bl w:val="nil"/>
            </w:tcBorders>
            <w:noWrap w:val="0"/>
            <w:vAlign w:val="center"/>
          </w:tcPr>
          <w:p w14:paraId="6AD9E236">
            <w:pPr>
              <w:pStyle w:val="111"/>
              <w:spacing w:before="0"/>
              <w:rPr>
                <w:rFonts w:hint="default" w:ascii="Times New Roman" w:hAnsi="Times New Roman" w:eastAsia="宋体" w:cs="Times New Roman"/>
                <w:color w:val="auto"/>
                <w:highlight w:val="none"/>
                <w:u w:val="none" w:color="auto"/>
              </w:rPr>
            </w:pPr>
          </w:p>
        </w:tc>
        <w:tc>
          <w:tcPr>
            <w:tcW w:w="548" w:type="pct"/>
            <w:vMerge w:val="continue"/>
            <w:tcBorders>
              <w:tl2br w:val="nil"/>
              <w:tr2bl w:val="nil"/>
            </w:tcBorders>
            <w:noWrap w:val="0"/>
            <w:vAlign w:val="center"/>
          </w:tcPr>
          <w:p w14:paraId="2DDC1806">
            <w:pPr>
              <w:pStyle w:val="111"/>
              <w:spacing w:before="0"/>
              <w:rPr>
                <w:rFonts w:hint="default" w:ascii="Times New Roman" w:hAnsi="Times New Roman" w:eastAsia="宋体" w:cs="Times New Roman"/>
                <w:color w:val="auto"/>
                <w:highlight w:val="none"/>
                <w:u w:val="none" w:color="auto"/>
              </w:rPr>
            </w:pPr>
          </w:p>
        </w:tc>
        <w:tc>
          <w:tcPr>
            <w:tcW w:w="996" w:type="pct"/>
            <w:gridSpan w:val="2"/>
            <w:tcBorders>
              <w:tl2br w:val="nil"/>
              <w:tr2bl w:val="nil"/>
            </w:tcBorders>
            <w:noWrap w:val="0"/>
            <w:vAlign w:val="center"/>
          </w:tcPr>
          <w:p w14:paraId="7D4718E5">
            <w:pPr>
              <w:pStyle w:val="111"/>
              <w:spacing w:before="0"/>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敏感目标名称</w:t>
            </w:r>
          </w:p>
        </w:tc>
        <w:tc>
          <w:tcPr>
            <w:tcW w:w="766" w:type="pct"/>
            <w:gridSpan w:val="2"/>
            <w:tcBorders>
              <w:tl2br w:val="nil"/>
              <w:tr2bl w:val="nil"/>
            </w:tcBorders>
            <w:noWrap w:val="0"/>
            <w:vAlign w:val="center"/>
          </w:tcPr>
          <w:p w14:paraId="73AAD1B9">
            <w:pPr>
              <w:pStyle w:val="111"/>
              <w:spacing w:before="0"/>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超大气毒性终点浓度2时间/min</w:t>
            </w:r>
          </w:p>
        </w:tc>
        <w:tc>
          <w:tcPr>
            <w:tcW w:w="851" w:type="pct"/>
            <w:gridSpan w:val="2"/>
            <w:tcBorders>
              <w:tl2br w:val="nil"/>
              <w:tr2bl w:val="nil"/>
            </w:tcBorders>
            <w:noWrap w:val="0"/>
            <w:vAlign w:val="center"/>
          </w:tcPr>
          <w:p w14:paraId="0DB8D179">
            <w:pPr>
              <w:pStyle w:val="111"/>
              <w:spacing w:before="0"/>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超大气毒性终点浓度2持续时间/min</w:t>
            </w:r>
          </w:p>
        </w:tc>
        <w:tc>
          <w:tcPr>
            <w:tcW w:w="966" w:type="pct"/>
            <w:gridSpan w:val="2"/>
            <w:tcBorders>
              <w:tl2br w:val="nil"/>
              <w:tr2bl w:val="nil"/>
            </w:tcBorders>
            <w:noWrap w:val="0"/>
            <w:vAlign w:val="center"/>
          </w:tcPr>
          <w:p w14:paraId="79469931">
            <w:pPr>
              <w:pStyle w:val="111"/>
              <w:spacing w:before="0"/>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最大浓度/（mg/m</w:t>
            </w:r>
            <w:r>
              <w:rPr>
                <w:rFonts w:hint="default" w:ascii="Times New Roman" w:hAnsi="Times New Roman" w:eastAsia="宋体" w:cs="Times New Roman"/>
                <w:color w:val="auto"/>
                <w:highlight w:val="none"/>
                <w:u w:val="none" w:color="auto"/>
                <w:vertAlign w:val="superscript"/>
              </w:rPr>
              <w:t>3</w:t>
            </w:r>
            <w:r>
              <w:rPr>
                <w:rFonts w:hint="default" w:ascii="Times New Roman" w:hAnsi="Times New Roman" w:eastAsia="宋体" w:cs="Times New Roman"/>
                <w:color w:val="auto"/>
                <w:highlight w:val="none"/>
                <w:u w:val="none" w:color="auto"/>
              </w:rPr>
              <w:t>）</w:t>
            </w:r>
          </w:p>
        </w:tc>
      </w:tr>
      <w:tr w14:paraId="593F9C9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68" w:type="pct"/>
            <w:vMerge w:val="continue"/>
            <w:tcBorders>
              <w:tl2br w:val="nil"/>
              <w:tr2bl w:val="nil"/>
            </w:tcBorders>
            <w:noWrap w:val="0"/>
            <w:vAlign w:val="center"/>
          </w:tcPr>
          <w:p w14:paraId="143DADF2">
            <w:pPr>
              <w:pStyle w:val="111"/>
              <w:spacing w:before="0"/>
              <w:rPr>
                <w:rFonts w:hint="default" w:ascii="Times New Roman" w:hAnsi="Times New Roman" w:eastAsia="宋体" w:cs="Times New Roman"/>
                <w:color w:val="auto"/>
                <w:highlight w:val="none"/>
                <w:u w:val="none" w:color="auto"/>
              </w:rPr>
            </w:pPr>
          </w:p>
        </w:tc>
        <w:tc>
          <w:tcPr>
            <w:tcW w:w="548" w:type="pct"/>
            <w:vMerge w:val="continue"/>
            <w:tcBorders>
              <w:tl2br w:val="nil"/>
              <w:tr2bl w:val="nil"/>
            </w:tcBorders>
            <w:noWrap w:val="0"/>
            <w:vAlign w:val="center"/>
          </w:tcPr>
          <w:p w14:paraId="73864E20">
            <w:pPr>
              <w:pStyle w:val="111"/>
              <w:spacing w:before="0"/>
              <w:rPr>
                <w:rFonts w:hint="default" w:ascii="Times New Roman" w:hAnsi="Times New Roman" w:eastAsia="宋体" w:cs="Times New Roman"/>
                <w:color w:val="auto"/>
                <w:highlight w:val="none"/>
                <w:u w:val="none" w:color="auto"/>
              </w:rPr>
            </w:pPr>
          </w:p>
        </w:tc>
        <w:tc>
          <w:tcPr>
            <w:tcW w:w="996" w:type="pct"/>
            <w:gridSpan w:val="2"/>
            <w:tcBorders>
              <w:tl2br w:val="nil"/>
              <w:tr2bl w:val="nil"/>
            </w:tcBorders>
            <w:noWrap w:val="0"/>
            <w:vAlign w:val="center"/>
          </w:tcPr>
          <w:p w14:paraId="6ABF69A0">
            <w:pPr>
              <w:pStyle w:val="111"/>
              <w:spacing w:before="0"/>
              <w:rPr>
                <w:rFonts w:hint="default" w:ascii="Times New Roman" w:hAnsi="Times New Roman" w:eastAsia="宋体" w:cs="Times New Roman"/>
                <w:color w:val="auto"/>
                <w:highlight w:val="none"/>
                <w:u w:val="none" w:color="auto"/>
                <w:lang w:val="en-US" w:eastAsia="zh-CN"/>
              </w:rPr>
            </w:pPr>
            <w:r>
              <w:rPr>
                <w:rFonts w:hint="default" w:ascii="Times New Roman" w:hAnsi="Times New Roman" w:eastAsia="宋体" w:cs="Times New Roman"/>
                <w:color w:val="auto"/>
                <w:highlight w:val="none"/>
                <w:u w:val="none" w:color="auto"/>
                <w:lang w:val="en-US" w:eastAsia="zh-CN"/>
              </w:rPr>
              <w:t>安置小区（停建）</w:t>
            </w:r>
          </w:p>
        </w:tc>
        <w:tc>
          <w:tcPr>
            <w:tcW w:w="766" w:type="pct"/>
            <w:gridSpan w:val="2"/>
            <w:tcBorders>
              <w:tl2br w:val="nil"/>
              <w:tr2bl w:val="nil"/>
            </w:tcBorders>
            <w:noWrap w:val="0"/>
            <w:vAlign w:val="center"/>
          </w:tcPr>
          <w:p w14:paraId="50354A8C">
            <w:pPr>
              <w:pStyle w:val="111"/>
              <w:spacing w:before="0"/>
              <w:rPr>
                <w:rFonts w:hint="default" w:ascii="Times New Roman" w:hAnsi="Times New Roman" w:eastAsia="宋体" w:cs="Times New Roman"/>
                <w:color w:val="auto"/>
                <w:highlight w:val="none"/>
                <w:u w:val="none" w:color="auto"/>
                <w:lang w:val="en-US" w:eastAsia="zh-CN"/>
              </w:rPr>
            </w:pPr>
            <w:r>
              <w:rPr>
                <w:rFonts w:hint="default" w:ascii="Times New Roman" w:hAnsi="Times New Roman" w:eastAsia="宋体" w:cs="Times New Roman"/>
                <w:color w:val="auto"/>
                <w:highlight w:val="none"/>
                <w:u w:val="none" w:color="auto"/>
                <w:lang w:val="en-US" w:eastAsia="zh-CN"/>
              </w:rPr>
              <w:t>3</w:t>
            </w:r>
          </w:p>
        </w:tc>
        <w:tc>
          <w:tcPr>
            <w:tcW w:w="851" w:type="pct"/>
            <w:gridSpan w:val="2"/>
            <w:tcBorders>
              <w:tl2br w:val="nil"/>
              <w:tr2bl w:val="nil"/>
            </w:tcBorders>
            <w:noWrap w:val="0"/>
            <w:vAlign w:val="center"/>
          </w:tcPr>
          <w:p w14:paraId="5157172B">
            <w:pPr>
              <w:pStyle w:val="111"/>
              <w:spacing w:before="0"/>
              <w:rPr>
                <w:rFonts w:hint="default" w:ascii="Times New Roman" w:hAnsi="Times New Roman" w:eastAsia="宋体" w:cs="Times New Roman"/>
                <w:color w:val="auto"/>
                <w:highlight w:val="none"/>
                <w:u w:val="none" w:color="auto"/>
                <w:lang w:val="en-US" w:eastAsia="zh-CN"/>
              </w:rPr>
            </w:pPr>
            <w:r>
              <w:rPr>
                <w:rFonts w:hint="default" w:ascii="Times New Roman" w:hAnsi="Times New Roman" w:eastAsia="宋体" w:cs="Times New Roman"/>
                <w:color w:val="auto"/>
                <w:highlight w:val="none"/>
                <w:u w:val="none" w:color="auto"/>
                <w:lang w:val="en-US" w:eastAsia="zh-CN"/>
              </w:rPr>
              <w:t>10</w:t>
            </w:r>
          </w:p>
        </w:tc>
        <w:tc>
          <w:tcPr>
            <w:tcW w:w="966" w:type="pct"/>
            <w:gridSpan w:val="2"/>
            <w:tcBorders>
              <w:tl2br w:val="nil"/>
              <w:tr2bl w:val="nil"/>
            </w:tcBorders>
            <w:noWrap w:val="0"/>
            <w:vAlign w:val="center"/>
          </w:tcPr>
          <w:p w14:paraId="20B0DC72">
            <w:pPr>
              <w:pStyle w:val="111"/>
              <w:spacing w:before="0"/>
              <w:rPr>
                <w:rFonts w:hint="default" w:ascii="Times New Roman" w:hAnsi="Times New Roman" w:eastAsia="宋体" w:cs="Times New Roman"/>
                <w:color w:val="auto"/>
                <w:highlight w:val="none"/>
                <w:u w:val="none" w:color="auto"/>
                <w:lang w:val="en-US" w:eastAsia="zh-CN"/>
              </w:rPr>
            </w:pPr>
            <w:r>
              <w:rPr>
                <w:rFonts w:hint="default" w:ascii="Times New Roman" w:hAnsi="Times New Roman" w:eastAsia="宋体" w:cs="Times New Roman"/>
                <w:color w:val="auto"/>
                <w:highlight w:val="none"/>
                <w:u w:val="none" w:color="auto"/>
                <w:lang w:val="en-US" w:eastAsia="zh-CN"/>
              </w:rPr>
              <w:t>1.23E+03</w:t>
            </w:r>
          </w:p>
        </w:tc>
      </w:tr>
    </w:tbl>
    <w:p w14:paraId="0CB01352">
      <w:pPr>
        <w:keepNext/>
        <w:ind w:firstLine="482"/>
        <w:jc w:val="center"/>
        <w:rPr>
          <w:rFonts w:hint="default" w:ascii="Times New Roman" w:hAnsi="Times New Roman" w:eastAsia="宋体" w:cs="Times New Roman"/>
          <w:b/>
          <w:color w:val="auto"/>
          <w:szCs w:val="24"/>
          <w:highlight w:val="none"/>
          <w:u w:val="none" w:color="auto"/>
        </w:rPr>
      </w:pPr>
    </w:p>
    <w:p w14:paraId="767C0F1A">
      <w:pPr>
        <w:pStyle w:val="17"/>
        <w:numPr>
          <w:ilvl w:val="0"/>
          <w:numId w:val="13"/>
        </w:numPr>
        <w:wordWrap/>
        <w:topLinePunct w:val="0"/>
        <w:bidi w:val="0"/>
        <w:adjustRightInd/>
        <w:snapToGrid/>
        <w:spacing w:line="240" w:lineRule="auto"/>
        <w:jc w:val="center"/>
        <w:rPr>
          <w:rFonts w:hint="default" w:ascii="Times New Roman" w:hAnsi="Times New Roman" w:eastAsia="宋体" w:cs="Times New Roman"/>
          <w:b/>
          <w:color w:val="auto"/>
          <w:szCs w:val="24"/>
          <w:highlight w:val="none"/>
          <w:u w:val="none" w:color="auto"/>
        </w:rPr>
      </w:pPr>
      <w:r>
        <w:rPr>
          <w:rFonts w:hint="default" w:ascii="Times New Roman" w:hAnsi="Times New Roman" w:eastAsia="宋体" w:cs="Times New Roman"/>
          <w:b/>
          <w:color w:val="auto"/>
          <w:szCs w:val="24"/>
          <w:highlight w:val="none"/>
          <w:u w:val="none" w:color="auto"/>
        </w:rPr>
        <w:t>不同距离处</w:t>
      </w:r>
      <w:r>
        <w:rPr>
          <w:rFonts w:hint="default" w:ascii="Times New Roman" w:hAnsi="Times New Roman" w:eastAsia="宋体" w:cs="Times New Roman"/>
          <w:b/>
          <w:color w:val="auto"/>
          <w:szCs w:val="24"/>
          <w:highlight w:val="none"/>
          <w:u w:val="none" w:color="auto"/>
          <w:lang w:val="en-US" w:eastAsia="zh-CN"/>
        </w:rPr>
        <w:t>CO</w:t>
      </w:r>
      <w:r>
        <w:rPr>
          <w:rFonts w:hint="default" w:ascii="Times New Roman" w:hAnsi="Times New Roman" w:eastAsia="宋体" w:cs="Times New Roman"/>
          <w:b/>
          <w:color w:val="auto"/>
          <w:szCs w:val="24"/>
          <w:highlight w:val="none"/>
          <w:u w:val="none" w:color="auto"/>
        </w:rPr>
        <w:t>的最大浓度</w:t>
      </w:r>
    </w:p>
    <w:tbl>
      <w:tblPr>
        <w:tblStyle w:val="31"/>
        <w:tblW w:w="4997"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08" w:type="dxa"/>
          <w:bottom w:w="0" w:type="dxa"/>
          <w:right w:w="108" w:type="dxa"/>
        </w:tblCellMar>
      </w:tblPr>
      <w:tblGrid>
        <w:gridCol w:w="2996"/>
        <w:gridCol w:w="3029"/>
        <w:gridCol w:w="3030"/>
      </w:tblGrid>
      <w:tr w14:paraId="48C1670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95" w:hRule="atLeast"/>
        </w:trPr>
        <w:tc>
          <w:tcPr>
            <w:tcW w:w="1654" w:type="pct"/>
            <w:tcBorders>
              <w:tl2br w:val="nil"/>
              <w:tr2bl w:val="nil"/>
            </w:tcBorders>
            <w:noWrap w:val="0"/>
            <w:vAlign w:val="center"/>
          </w:tcPr>
          <w:p w14:paraId="510E875B">
            <w:pPr>
              <w:keepNext w:val="0"/>
              <w:keepLines w:val="0"/>
              <w:widowControl/>
              <w:suppressLineNumbers w:val="0"/>
              <w:jc w:val="center"/>
              <w:textAlignment w:val="top"/>
              <w:rPr>
                <w:rFonts w:hint="default" w:ascii="Times New Roman" w:hAnsi="Times New Roman" w:eastAsia="宋体" w:cs="Times New Roman"/>
                <w:i w:val="0"/>
                <w:iCs w:val="0"/>
                <w:color w:val="auto"/>
                <w:sz w:val="18"/>
                <w:szCs w:val="18"/>
                <w:u w:val="none" w:color="auto"/>
              </w:rPr>
            </w:pPr>
            <w:r>
              <w:rPr>
                <w:rFonts w:hint="default" w:ascii="Times New Roman" w:hAnsi="Times New Roman" w:eastAsia="宋体" w:cs="Times New Roman"/>
                <w:i w:val="0"/>
                <w:iCs w:val="0"/>
                <w:color w:val="auto"/>
                <w:kern w:val="0"/>
                <w:sz w:val="18"/>
                <w:szCs w:val="18"/>
                <w:u w:val="none" w:color="auto"/>
                <w:lang w:val="en-US" w:eastAsia="zh-CN" w:bidi="ar"/>
              </w:rPr>
              <w:t>距离(m)</w:t>
            </w:r>
          </w:p>
        </w:tc>
        <w:tc>
          <w:tcPr>
            <w:tcW w:w="1672" w:type="pct"/>
            <w:tcBorders>
              <w:tl2br w:val="nil"/>
              <w:tr2bl w:val="nil"/>
            </w:tcBorders>
            <w:noWrap w:val="0"/>
            <w:vAlign w:val="center"/>
          </w:tcPr>
          <w:p w14:paraId="6D398F12">
            <w:pPr>
              <w:keepNext w:val="0"/>
              <w:keepLines w:val="0"/>
              <w:widowControl/>
              <w:suppressLineNumbers w:val="0"/>
              <w:jc w:val="center"/>
              <w:textAlignment w:val="top"/>
              <w:rPr>
                <w:rFonts w:hint="default" w:ascii="Times New Roman" w:hAnsi="Times New Roman" w:eastAsia="宋体" w:cs="Times New Roman"/>
                <w:i w:val="0"/>
                <w:iCs w:val="0"/>
                <w:color w:val="auto"/>
                <w:sz w:val="18"/>
                <w:szCs w:val="18"/>
                <w:u w:val="none" w:color="auto"/>
              </w:rPr>
            </w:pPr>
            <w:r>
              <w:rPr>
                <w:rFonts w:hint="default" w:ascii="Times New Roman" w:hAnsi="Times New Roman" w:eastAsia="宋体" w:cs="Times New Roman"/>
                <w:i w:val="0"/>
                <w:iCs w:val="0"/>
                <w:color w:val="auto"/>
                <w:kern w:val="0"/>
                <w:sz w:val="18"/>
                <w:szCs w:val="18"/>
                <w:u w:val="none" w:color="auto"/>
                <w:lang w:val="en-US" w:eastAsia="zh-CN" w:bidi="ar"/>
              </w:rPr>
              <w:t>浓度出现时间</w:t>
            </w:r>
          </w:p>
        </w:tc>
        <w:tc>
          <w:tcPr>
            <w:tcW w:w="1673" w:type="pct"/>
            <w:tcBorders>
              <w:tl2br w:val="nil"/>
              <w:tr2bl w:val="nil"/>
            </w:tcBorders>
            <w:noWrap w:val="0"/>
            <w:vAlign w:val="center"/>
          </w:tcPr>
          <w:p w14:paraId="50E78268">
            <w:pPr>
              <w:keepNext w:val="0"/>
              <w:keepLines w:val="0"/>
              <w:widowControl/>
              <w:suppressLineNumbers w:val="0"/>
              <w:jc w:val="center"/>
              <w:textAlignment w:val="top"/>
              <w:rPr>
                <w:rFonts w:hint="default" w:ascii="Times New Roman" w:hAnsi="Times New Roman" w:eastAsia="宋体" w:cs="Times New Roman"/>
                <w:i w:val="0"/>
                <w:iCs w:val="0"/>
                <w:color w:val="auto"/>
                <w:sz w:val="18"/>
                <w:szCs w:val="18"/>
                <w:u w:val="none" w:color="auto"/>
              </w:rPr>
            </w:pPr>
            <w:r>
              <w:rPr>
                <w:rFonts w:hint="default" w:ascii="Times New Roman" w:hAnsi="Times New Roman" w:eastAsia="宋体" w:cs="Times New Roman"/>
                <w:i w:val="0"/>
                <w:iCs w:val="0"/>
                <w:color w:val="auto"/>
                <w:kern w:val="0"/>
                <w:sz w:val="18"/>
                <w:szCs w:val="18"/>
                <w:u w:val="none" w:color="auto"/>
                <w:lang w:val="en-US" w:eastAsia="zh-CN" w:bidi="ar"/>
              </w:rPr>
              <w:t>高峰浓度(mg/m3)</w:t>
            </w:r>
          </w:p>
        </w:tc>
      </w:tr>
      <w:tr w14:paraId="2BDBE1A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0" w:hRule="atLeast"/>
        </w:trPr>
        <w:tc>
          <w:tcPr>
            <w:tcW w:w="1654" w:type="pct"/>
            <w:tcBorders>
              <w:tl2br w:val="nil"/>
              <w:tr2bl w:val="nil"/>
            </w:tcBorders>
            <w:noWrap w:val="0"/>
            <w:vAlign w:val="center"/>
          </w:tcPr>
          <w:p w14:paraId="0F600C13">
            <w:pPr>
              <w:keepNext w:val="0"/>
              <w:keepLines w:val="0"/>
              <w:widowControl/>
              <w:suppressLineNumbers w:val="0"/>
              <w:jc w:val="center"/>
              <w:textAlignment w:val="top"/>
              <w:rPr>
                <w:rFonts w:hint="default" w:ascii="Times New Roman" w:hAnsi="Times New Roman" w:eastAsia="宋体" w:cs="Times New Roman"/>
                <w:i w:val="0"/>
                <w:iCs w:val="0"/>
                <w:color w:val="auto"/>
                <w:sz w:val="18"/>
                <w:szCs w:val="18"/>
                <w:u w:val="none" w:color="auto"/>
              </w:rPr>
            </w:pPr>
            <w:r>
              <w:rPr>
                <w:rFonts w:hint="default" w:ascii="Times New Roman" w:hAnsi="Times New Roman" w:eastAsia="宋体" w:cs="Times New Roman"/>
                <w:i w:val="0"/>
                <w:iCs w:val="0"/>
                <w:color w:val="auto"/>
                <w:kern w:val="0"/>
                <w:sz w:val="18"/>
                <w:szCs w:val="18"/>
                <w:u w:val="none" w:color="auto"/>
                <w:lang w:val="en-US" w:eastAsia="zh-CN" w:bidi="ar"/>
              </w:rPr>
              <w:t>10</w:t>
            </w:r>
          </w:p>
        </w:tc>
        <w:tc>
          <w:tcPr>
            <w:tcW w:w="1672" w:type="pct"/>
            <w:tcBorders>
              <w:tl2br w:val="nil"/>
              <w:tr2bl w:val="nil"/>
            </w:tcBorders>
            <w:noWrap w:val="0"/>
            <w:vAlign w:val="center"/>
          </w:tcPr>
          <w:p w14:paraId="4F23D934">
            <w:pPr>
              <w:keepNext w:val="0"/>
              <w:keepLines w:val="0"/>
              <w:widowControl/>
              <w:suppressLineNumbers w:val="0"/>
              <w:jc w:val="center"/>
              <w:textAlignment w:val="top"/>
              <w:rPr>
                <w:rFonts w:hint="default" w:ascii="Times New Roman" w:hAnsi="Times New Roman" w:eastAsia="宋体" w:cs="Times New Roman"/>
                <w:i w:val="0"/>
                <w:iCs w:val="0"/>
                <w:color w:val="auto"/>
                <w:sz w:val="18"/>
                <w:szCs w:val="18"/>
                <w:u w:val="none" w:color="auto"/>
              </w:rPr>
            </w:pPr>
            <w:r>
              <w:rPr>
                <w:rFonts w:hint="default" w:ascii="Times New Roman" w:hAnsi="Times New Roman" w:eastAsia="宋体" w:cs="Times New Roman"/>
                <w:i w:val="0"/>
                <w:iCs w:val="0"/>
                <w:color w:val="auto"/>
                <w:kern w:val="0"/>
                <w:sz w:val="18"/>
                <w:szCs w:val="18"/>
                <w:u w:val="none" w:color="auto"/>
                <w:lang w:val="en-US" w:eastAsia="zh-CN" w:bidi="ar"/>
              </w:rPr>
              <w:t>1.11E-01</w:t>
            </w:r>
          </w:p>
        </w:tc>
        <w:tc>
          <w:tcPr>
            <w:tcW w:w="1673" w:type="pct"/>
            <w:tcBorders>
              <w:tl2br w:val="nil"/>
              <w:tr2bl w:val="nil"/>
            </w:tcBorders>
            <w:noWrap w:val="0"/>
            <w:vAlign w:val="center"/>
          </w:tcPr>
          <w:p w14:paraId="37E3CAA4">
            <w:pPr>
              <w:keepNext w:val="0"/>
              <w:keepLines w:val="0"/>
              <w:widowControl/>
              <w:suppressLineNumbers w:val="0"/>
              <w:jc w:val="center"/>
              <w:textAlignment w:val="top"/>
              <w:rPr>
                <w:rFonts w:hint="default" w:ascii="Times New Roman" w:hAnsi="Times New Roman" w:eastAsia="宋体" w:cs="Times New Roman"/>
                <w:i w:val="0"/>
                <w:iCs w:val="0"/>
                <w:color w:val="auto"/>
                <w:sz w:val="18"/>
                <w:szCs w:val="18"/>
                <w:u w:val="none" w:color="auto"/>
              </w:rPr>
            </w:pPr>
            <w:r>
              <w:rPr>
                <w:rFonts w:hint="default" w:ascii="Times New Roman" w:hAnsi="Times New Roman" w:eastAsia="宋体" w:cs="Times New Roman"/>
                <w:i w:val="0"/>
                <w:iCs w:val="0"/>
                <w:color w:val="auto"/>
                <w:kern w:val="0"/>
                <w:sz w:val="18"/>
                <w:szCs w:val="18"/>
                <w:u w:val="none" w:color="auto"/>
                <w:lang w:val="en-US" w:eastAsia="zh-CN" w:bidi="ar"/>
              </w:rPr>
              <w:t>8.20E-39</w:t>
            </w:r>
          </w:p>
        </w:tc>
      </w:tr>
      <w:tr w14:paraId="0CEB6A5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0" w:hRule="atLeast"/>
        </w:trPr>
        <w:tc>
          <w:tcPr>
            <w:tcW w:w="1654" w:type="pct"/>
            <w:tcBorders>
              <w:tl2br w:val="nil"/>
              <w:tr2bl w:val="nil"/>
            </w:tcBorders>
            <w:noWrap w:val="0"/>
            <w:vAlign w:val="center"/>
          </w:tcPr>
          <w:p w14:paraId="4A5646AE">
            <w:pPr>
              <w:keepNext w:val="0"/>
              <w:keepLines w:val="0"/>
              <w:widowControl/>
              <w:suppressLineNumbers w:val="0"/>
              <w:jc w:val="center"/>
              <w:textAlignment w:val="top"/>
              <w:rPr>
                <w:rFonts w:hint="default" w:ascii="Times New Roman" w:hAnsi="Times New Roman" w:eastAsia="宋体" w:cs="Times New Roman"/>
                <w:i w:val="0"/>
                <w:iCs w:val="0"/>
                <w:color w:val="auto"/>
                <w:sz w:val="18"/>
                <w:szCs w:val="18"/>
                <w:u w:val="none" w:color="auto"/>
              </w:rPr>
            </w:pPr>
            <w:r>
              <w:rPr>
                <w:rFonts w:hint="default" w:ascii="Times New Roman" w:hAnsi="Times New Roman" w:eastAsia="宋体" w:cs="Times New Roman"/>
                <w:i w:val="0"/>
                <w:iCs w:val="0"/>
                <w:color w:val="auto"/>
                <w:kern w:val="0"/>
                <w:sz w:val="18"/>
                <w:szCs w:val="18"/>
                <w:u w:val="none" w:color="auto"/>
                <w:lang w:val="en-US" w:eastAsia="zh-CN" w:bidi="ar"/>
              </w:rPr>
              <w:t>100</w:t>
            </w:r>
          </w:p>
        </w:tc>
        <w:tc>
          <w:tcPr>
            <w:tcW w:w="1672" w:type="pct"/>
            <w:tcBorders>
              <w:tl2br w:val="nil"/>
              <w:tr2bl w:val="nil"/>
            </w:tcBorders>
            <w:noWrap w:val="0"/>
            <w:vAlign w:val="center"/>
          </w:tcPr>
          <w:p w14:paraId="33750410">
            <w:pPr>
              <w:keepNext w:val="0"/>
              <w:keepLines w:val="0"/>
              <w:widowControl/>
              <w:suppressLineNumbers w:val="0"/>
              <w:jc w:val="center"/>
              <w:textAlignment w:val="top"/>
              <w:rPr>
                <w:rFonts w:hint="default" w:ascii="Times New Roman" w:hAnsi="Times New Roman" w:eastAsia="宋体" w:cs="Times New Roman"/>
                <w:i w:val="0"/>
                <w:iCs w:val="0"/>
                <w:color w:val="auto"/>
                <w:sz w:val="18"/>
                <w:szCs w:val="18"/>
                <w:u w:val="none" w:color="auto"/>
              </w:rPr>
            </w:pPr>
            <w:r>
              <w:rPr>
                <w:rFonts w:hint="default" w:ascii="Times New Roman" w:hAnsi="Times New Roman" w:eastAsia="宋体" w:cs="Times New Roman"/>
                <w:i w:val="0"/>
                <w:iCs w:val="0"/>
                <w:color w:val="auto"/>
                <w:kern w:val="0"/>
                <w:sz w:val="18"/>
                <w:szCs w:val="18"/>
                <w:u w:val="none" w:color="auto"/>
                <w:lang w:val="en-US" w:eastAsia="zh-CN" w:bidi="ar"/>
              </w:rPr>
              <w:t>1.11E+00</w:t>
            </w:r>
          </w:p>
        </w:tc>
        <w:tc>
          <w:tcPr>
            <w:tcW w:w="1673" w:type="pct"/>
            <w:tcBorders>
              <w:tl2br w:val="nil"/>
              <w:tr2bl w:val="nil"/>
            </w:tcBorders>
            <w:noWrap w:val="0"/>
            <w:vAlign w:val="center"/>
          </w:tcPr>
          <w:p w14:paraId="4ABCD6B5">
            <w:pPr>
              <w:keepNext w:val="0"/>
              <w:keepLines w:val="0"/>
              <w:widowControl/>
              <w:suppressLineNumbers w:val="0"/>
              <w:jc w:val="center"/>
              <w:textAlignment w:val="top"/>
              <w:rPr>
                <w:rFonts w:hint="default" w:ascii="Times New Roman" w:hAnsi="Times New Roman" w:eastAsia="宋体" w:cs="Times New Roman"/>
                <w:i w:val="0"/>
                <w:iCs w:val="0"/>
                <w:color w:val="auto"/>
                <w:sz w:val="18"/>
                <w:szCs w:val="18"/>
                <w:u w:val="none" w:color="auto"/>
              </w:rPr>
            </w:pPr>
            <w:r>
              <w:rPr>
                <w:rFonts w:hint="default" w:ascii="Times New Roman" w:hAnsi="Times New Roman" w:eastAsia="宋体" w:cs="Times New Roman"/>
                <w:i w:val="0"/>
                <w:iCs w:val="0"/>
                <w:color w:val="auto"/>
                <w:kern w:val="0"/>
                <w:sz w:val="18"/>
                <w:szCs w:val="18"/>
                <w:u w:val="none" w:color="auto"/>
                <w:lang w:val="en-US" w:eastAsia="zh-CN" w:bidi="ar"/>
              </w:rPr>
              <w:t>6.81E+02</w:t>
            </w:r>
          </w:p>
        </w:tc>
      </w:tr>
      <w:tr w14:paraId="305BB77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0" w:hRule="atLeast"/>
        </w:trPr>
        <w:tc>
          <w:tcPr>
            <w:tcW w:w="1654" w:type="pct"/>
            <w:tcBorders>
              <w:tl2br w:val="nil"/>
              <w:tr2bl w:val="nil"/>
            </w:tcBorders>
            <w:noWrap w:val="0"/>
            <w:vAlign w:val="center"/>
          </w:tcPr>
          <w:p w14:paraId="1209E1EC">
            <w:pPr>
              <w:keepNext w:val="0"/>
              <w:keepLines w:val="0"/>
              <w:widowControl/>
              <w:suppressLineNumbers w:val="0"/>
              <w:jc w:val="center"/>
              <w:textAlignment w:val="top"/>
              <w:rPr>
                <w:rFonts w:hint="default" w:ascii="Times New Roman" w:hAnsi="Times New Roman" w:eastAsia="宋体" w:cs="Times New Roman"/>
                <w:i w:val="0"/>
                <w:iCs w:val="0"/>
                <w:color w:val="auto"/>
                <w:sz w:val="18"/>
                <w:szCs w:val="18"/>
                <w:u w:val="none" w:color="auto"/>
              </w:rPr>
            </w:pPr>
            <w:r>
              <w:rPr>
                <w:rFonts w:hint="default" w:ascii="Times New Roman" w:hAnsi="Times New Roman" w:eastAsia="宋体" w:cs="Times New Roman"/>
                <w:i w:val="0"/>
                <w:iCs w:val="0"/>
                <w:color w:val="auto"/>
                <w:kern w:val="0"/>
                <w:sz w:val="18"/>
                <w:szCs w:val="18"/>
                <w:u w:val="none" w:color="auto"/>
                <w:lang w:val="en-US" w:eastAsia="zh-CN" w:bidi="ar"/>
              </w:rPr>
              <w:t>200</w:t>
            </w:r>
          </w:p>
        </w:tc>
        <w:tc>
          <w:tcPr>
            <w:tcW w:w="1672" w:type="pct"/>
            <w:tcBorders>
              <w:tl2br w:val="nil"/>
              <w:tr2bl w:val="nil"/>
            </w:tcBorders>
            <w:noWrap w:val="0"/>
            <w:vAlign w:val="center"/>
          </w:tcPr>
          <w:p w14:paraId="585D5268">
            <w:pPr>
              <w:keepNext w:val="0"/>
              <w:keepLines w:val="0"/>
              <w:widowControl/>
              <w:suppressLineNumbers w:val="0"/>
              <w:jc w:val="center"/>
              <w:textAlignment w:val="top"/>
              <w:rPr>
                <w:rFonts w:hint="default" w:ascii="Times New Roman" w:hAnsi="Times New Roman" w:eastAsia="宋体" w:cs="Times New Roman"/>
                <w:i w:val="0"/>
                <w:iCs w:val="0"/>
                <w:color w:val="auto"/>
                <w:sz w:val="18"/>
                <w:szCs w:val="18"/>
                <w:u w:val="none" w:color="auto"/>
              </w:rPr>
            </w:pPr>
            <w:r>
              <w:rPr>
                <w:rFonts w:hint="default" w:ascii="Times New Roman" w:hAnsi="Times New Roman" w:eastAsia="宋体" w:cs="Times New Roman"/>
                <w:i w:val="0"/>
                <w:iCs w:val="0"/>
                <w:color w:val="auto"/>
                <w:kern w:val="0"/>
                <w:sz w:val="18"/>
                <w:szCs w:val="18"/>
                <w:u w:val="none" w:color="auto"/>
                <w:lang w:val="en-US" w:eastAsia="zh-CN" w:bidi="ar"/>
              </w:rPr>
              <w:t>2.22E+00</w:t>
            </w:r>
          </w:p>
        </w:tc>
        <w:tc>
          <w:tcPr>
            <w:tcW w:w="1673" w:type="pct"/>
            <w:tcBorders>
              <w:tl2br w:val="nil"/>
              <w:tr2bl w:val="nil"/>
            </w:tcBorders>
            <w:noWrap w:val="0"/>
            <w:vAlign w:val="center"/>
          </w:tcPr>
          <w:p w14:paraId="2D3D1786">
            <w:pPr>
              <w:keepNext w:val="0"/>
              <w:keepLines w:val="0"/>
              <w:widowControl/>
              <w:suppressLineNumbers w:val="0"/>
              <w:jc w:val="center"/>
              <w:textAlignment w:val="top"/>
              <w:rPr>
                <w:rFonts w:hint="default" w:ascii="Times New Roman" w:hAnsi="Times New Roman" w:eastAsia="宋体" w:cs="Times New Roman"/>
                <w:i w:val="0"/>
                <w:iCs w:val="0"/>
                <w:color w:val="auto"/>
                <w:sz w:val="18"/>
                <w:szCs w:val="18"/>
                <w:u w:val="none" w:color="auto"/>
              </w:rPr>
            </w:pPr>
            <w:r>
              <w:rPr>
                <w:rFonts w:hint="default" w:ascii="Times New Roman" w:hAnsi="Times New Roman" w:eastAsia="宋体" w:cs="Times New Roman"/>
                <w:i w:val="0"/>
                <w:iCs w:val="0"/>
                <w:color w:val="auto"/>
                <w:kern w:val="0"/>
                <w:sz w:val="18"/>
                <w:szCs w:val="18"/>
                <w:u w:val="none" w:color="auto"/>
                <w:lang w:val="en-US" w:eastAsia="zh-CN" w:bidi="ar"/>
              </w:rPr>
              <w:t>1.74E+03</w:t>
            </w:r>
          </w:p>
        </w:tc>
      </w:tr>
      <w:tr w14:paraId="707AECC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0" w:hRule="atLeast"/>
        </w:trPr>
        <w:tc>
          <w:tcPr>
            <w:tcW w:w="1654" w:type="pct"/>
            <w:tcBorders>
              <w:tl2br w:val="nil"/>
              <w:tr2bl w:val="nil"/>
            </w:tcBorders>
            <w:noWrap w:val="0"/>
            <w:vAlign w:val="center"/>
          </w:tcPr>
          <w:p w14:paraId="768E7198">
            <w:pPr>
              <w:keepNext w:val="0"/>
              <w:keepLines w:val="0"/>
              <w:widowControl/>
              <w:suppressLineNumbers w:val="0"/>
              <w:jc w:val="center"/>
              <w:textAlignment w:val="top"/>
              <w:rPr>
                <w:rFonts w:hint="default" w:ascii="Times New Roman" w:hAnsi="Times New Roman" w:eastAsia="宋体" w:cs="Times New Roman"/>
                <w:b/>
                <w:bCs/>
                <w:i w:val="0"/>
                <w:iCs w:val="0"/>
                <w:color w:val="auto"/>
                <w:sz w:val="18"/>
                <w:szCs w:val="18"/>
                <w:u w:val="none" w:color="auto"/>
              </w:rPr>
            </w:pPr>
            <w:r>
              <w:rPr>
                <w:rFonts w:hint="default" w:ascii="Times New Roman" w:hAnsi="Times New Roman" w:eastAsia="宋体" w:cs="Times New Roman"/>
                <w:b/>
                <w:bCs/>
                <w:i w:val="0"/>
                <w:iCs w:val="0"/>
                <w:color w:val="auto"/>
                <w:kern w:val="0"/>
                <w:sz w:val="18"/>
                <w:szCs w:val="18"/>
                <w:u w:val="none" w:color="auto"/>
                <w:lang w:val="en-US" w:eastAsia="zh-CN" w:bidi="ar"/>
              </w:rPr>
              <w:t>210</w:t>
            </w:r>
          </w:p>
        </w:tc>
        <w:tc>
          <w:tcPr>
            <w:tcW w:w="1672" w:type="pct"/>
            <w:tcBorders>
              <w:tl2br w:val="nil"/>
              <w:tr2bl w:val="nil"/>
            </w:tcBorders>
            <w:noWrap w:val="0"/>
            <w:vAlign w:val="center"/>
          </w:tcPr>
          <w:p w14:paraId="37D2C0DA">
            <w:pPr>
              <w:keepNext w:val="0"/>
              <w:keepLines w:val="0"/>
              <w:widowControl/>
              <w:suppressLineNumbers w:val="0"/>
              <w:jc w:val="center"/>
              <w:textAlignment w:val="top"/>
              <w:rPr>
                <w:rFonts w:hint="default" w:ascii="Times New Roman" w:hAnsi="Times New Roman" w:eastAsia="宋体" w:cs="Times New Roman"/>
                <w:b/>
                <w:bCs/>
                <w:i w:val="0"/>
                <w:iCs w:val="0"/>
                <w:color w:val="auto"/>
                <w:sz w:val="18"/>
                <w:szCs w:val="18"/>
                <w:u w:val="none" w:color="auto"/>
              </w:rPr>
            </w:pPr>
            <w:r>
              <w:rPr>
                <w:rFonts w:hint="default" w:ascii="Times New Roman" w:hAnsi="Times New Roman" w:eastAsia="宋体" w:cs="Times New Roman"/>
                <w:b/>
                <w:bCs/>
                <w:i w:val="0"/>
                <w:iCs w:val="0"/>
                <w:color w:val="auto"/>
                <w:kern w:val="0"/>
                <w:sz w:val="18"/>
                <w:szCs w:val="18"/>
                <w:u w:val="none" w:color="auto"/>
                <w:lang w:val="en-US" w:eastAsia="zh-CN" w:bidi="ar"/>
              </w:rPr>
              <w:t>2.33E+00</w:t>
            </w:r>
          </w:p>
        </w:tc>
        <w:tc>
          <w:tcPr>
            <w:tcW w:w="1673" w:type="pct"/>
            <w:tcBorders>
              <w:tl2br w:val="nil"/>
              <w:tr2bl w:val="nil"/>
            </w:tcBorders>
            <w:noWrap w:val="0"/>
            <w:vAlign w:val="center"/>
          </w:tcPr>
          <w:p w14:paraId="47D0CD73">
            <w:pPr>
              <w:keepNext w:val="0"/>
              <w:keepLines w:val="0"/>
              <w:widowControl/>
              <w:suppressLineNumbers w:val="0"/>
              <w:jc w:val="center"/>
              <w:textAlignment w:val="top"/>
              <w:rPr>
                <w:rFonts w:hint="default" w:ascii="Times New Roman" w:hAnsi="Times New Roman" w:eastAsia="宋体" w:cs="Times New Roman"/>
                <w:b/>
                <w:bCs/>
                <w:i w:val="0"/>
                <w:iCs w:val="0"/>
                <w:color w:val="auto"/>
                <w:sz w:val="18"/>
                <w:szCs w:val="18"/>
                <w:u w:val="none" w:color="auto"/>
              </w:rPr>
            </w:pPr>
            <w:r>
              <w:rPr>
                <w:rFonts w:hint="default" w:ascii="Times New Roman" w:hAnsi="Times New Roman" w:eastAsia="宋体" w:cs="Times New Roman"/>
                <w:b/>
                <w:bCs/>
                <w:i w:val="0"/>
                <w:iCs w:val="0"/>
                <w:color w:val="auto"/>
                <w:kern w:val="0"/>
                <w:sz w:val="18"/>
                <w:szCs w:val="18"/>
                <w:u w:val="none" w:color="auto"/>
                <w:lang w:val="en-US" w:eastAsia="zh-CN" w:bidi="ar"/>
              </w:rPr>
              <w:t>1.76E+03</w:t>
            </w:r>
          </w:p>
        </w:tc>
      </w:tr>
      <w:tr w14:paraId="341135D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0" w:hRule="atLeast"/>
        </w:trPr>
        <w:tc>
          <w:tcPr>
            <w:tcW w:w="1654" w:type="pct"/>
            <w:tcBorders>
              <w:tl2br w:val="nil"/>
              <w:tr2bl w:val="nil"/>
            </w:tcBorders>
            <w:noWrap w:val="0"/>
            <w:vAlign w:val="center"/>
          </w:tcPr>
          <w:p w14:paraId="7239B0A4">
            <w:pPr>
              <w:keepNext w:val="0"/>
              <w:keepLines w:val="0"/>
              <w:widowControl/>
              <w:suppressLineNumbers w:val="0"/>
              <w:jc w:val="center"/>
              <w:textAlignment w:val="top"/>
              <w:rPr>
                <w:rFonts w:hint="default" w:ascii="Times New Roman" w:hAnsi="Times New Roman" w:eastAsia="宋体" w:cs="Times New Roman"/>
                <w:b/>
                <w:bCs/>
                <w:i w:val="0"/>
                <w:iCs w:val="0"/>
                <w:color w:val="auto"/>
                <w:sz w:val="18"/>
                <w:szCs w:val="18"/>
                <w:u w:val="none" w:color="auto"/>
              </w:rPr>
            </w:pPr>
            <w:r>
              <w:rPr>
                <w:rFonts w:hint="default" w:ascii="Times New Roman" w:hAnsi="Times New Roman" w:eastAsia="宋体" w:cs="Times New Roman"/>
                <w:b/>
                <w:bCs/>
                <w:i w:val="0"/>
                <w:iCs w:val="0"/>
                <w:color w:val="auto"/>
                <w:kern w:val="0"/>
                <w:sz w:val="18"/>
                <w:szCs w:val="18"/>
                <w:u w:val="none" w:color="auto"/>
                <w:lang w:val="en-US" w:eastAsia="zh-CN" w:bidi="ar"/>
              </w:rPr>
              <w:t>220</w:t>
            </w:r>
          </w:p>
        </w:tc>
        <w:tc>
          <w:tcPr>
            <w:tcW w:w="1672" w:type="pct"/>
            <w:tcBorders>
              <w:tl2br w:val="nil"/>
              <w:tr2bl w:val="nil"/>
            </w:tcBorders>
            <w:noWrap w:val="0"/>
            <w:vAlign w:val="center"/>
          </w:tcPr>
          <w:p w14:paraId="6ACA0231">
            <w:pPr>
              <w:keepNext w:val="0"/>
              <w:keepLines w:val="0"/>
              <w:widowControl/>
              <w:suppressLineNumbers w:val="0"/>
              <w:jc w:val="center"/>
              <w:textAlignment w:val="top"/>
              <w:rPr>
                <w:rFonts w:hint="default" w:ascii="Times New Roman" w:hAnsi="Times New Roman" w:eastAsia="宋体" w:cs="Times New Roman"/>
                <w:b/>
                <w:bCs/>
                <w:i w:val="0"/>
                <w:iCs w:val="0"/>
                <w:color w:val="auto"/>
                <w:sz w:val="18"/>
                <w:szCs w:val="18"/>
                <w:u w:val="none" w:color="auto"/>
              </w:rPr>
            </w:pPr>
            <w:r>
              <w:rPr>
                <w:rFonts w:hint="default" w:ascii="Times New Roman" w:hAnsi="Times New Roman" w:eastAsia="宋体" w:cs="Times New Roman"/>
                <w:b/>
                <w:bCs/>
                <w:i w:val="0"/>
                <w:iCs w:val="0"/>
                <w:color w:val="auto"/>
                <w:kern w:val="0"/>
                <w:sz w:val="18"/>
                <w:szCs w:val="18"/>
                <w:u w:val="none" w:color="auto"/>
                <w:lang w:val="en-US" w:eastAsia="zh-CN" w:bidi="ar"/>
              </w:rPr>
              <w:t>2.44E+00</w:t>
            </w:r>
          </w:p>
        </w:tc>
        <w:tc>
          <w:tcPr>
            <w:tcW w:w="1673" w:type="pct"/>
            <w:tcBorders>
              <w:tl2br w:val="nil"/>
              <w:tr2bl w:val="nil"/>
            </w:tcBorders>
            <w:noWrap w:val="0"/>
            <w:vAlign w:val="center"/>
          </w:tcPr>
          <w:p w14:paraId="28A58DEA">
            <w:pPr>
              <w:keepNext w:val="0"/>
              <w:keepLines w:val="0"/>
              <w:widowControl/>
              <w:suppressLineNumbers w:val="0"/>
              <w:jc w:val="center"/>
              <w:textAlignment w:val="top"/>
              <w:rPr>
                <w:rFonts w:hint="default" w:ascii="Times New Roman" w:hAnsi="Times New Roman" w:eastAsia="宋体" w:cs="Times New Roman"/>
                <w:b/>
                <w:bCs/>
                <w:i w:val="0"/>
                <w:iCs w:val="0"/>
                <w:color w:val="auto"/>
                <w:sz w:val="18"/>
                <w:szCs w:val="18"/>
                <w:u w:val="none" w:color="auto"/>
              </w:rPr>
            </w:pPr>
            <w:r>
              <w:rPr>
                <w:rFonts w:hint="default" w:ascii="Times New Roman" w:hAnsi="Times New Roman" w:eastAsia="宋体" w:cs="Times New Roman"/>
                <w:b/>
                <w:bCs/>
                <w:i w:val="0"/>
                <w:iCs w:val="0"/>
                <w:color w:val="auto"/>
                <w:kern w:val="0"/>
                <w:sz w:val="18"/>
                <w:szCs w:val="18"/>
                <w:u w:val="none" w:color="auto"/>
                <w:lang w:val="en-US" w:eastAsia="zh-CN" w:bidi="ar"/>
              </w:rPr>
              <w:t>1.76E+03</w:t>
            </w:r>
          </w:p>
        </w:tc>
      </w:tr>
      <w:tr w14:paraId="3868B0C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0" w:hRule="atLeast"/>
        </w:trPr>
        <w:tc>
          <w:tcPr>
            <w:tcW w:w="1654" w:type="pct"/>
            <w:tcBorders>
              <w:tl2br w:val="nil"/>
              <w:tr2bl w:val="nil"/>
            </w:tcBorders>
            <w:noWrap w:val="0"/>
            <w:vAlign w:val="center"/>
          </w:tcPr>
          <w:p w14:paraId="6617BB13">
            <w:pPr>
              <w:keepNext w:val="0"/>
              <w:keepLines w:val="0"/>
              <w:widowControl/>
              <w:suppressLineNumbers w:val="0"/>
              <w:jc w:val="center"/>
              <w:textAlignment w:val="top"/>
              <w:rPr>
                <w:rFonts w:hint="default" w:ascii="Times New Roman" w:hAnsi="Times New Roman" w:eastAsia="宋体" w:cs="Times New Roman"/>
                <w:b/>
                <w:bCs/>
                <w:i w:val="0"/>
                <w:iCs w:val="0"/>
                <w:color w:val="auto"/>
                <w:sz w:val="18"/>
                <w:szCs w:val="18"/>
                <w:u w:val="none" w:color="auto"/>
              </w:rPr>
            </w:pPr>
            <w:r>
              <w:rPr>
                <w:rFonts w:hint="default" w:ascii="Times New Roman" w:hAnsi="Times New Roman" w:eastAsia="宋体" w:cs="Times New Roman"/>
                <w:b/>
                <w:bCs/>
                <w:i w:val="0"/>
                <w:iCs w:val="0"/>
                <w:color w:val="auto"/>
                <w:kern w:val="0"/>
                <w:sz w:val="18"/>
                <w:szCs w:val="18"/>
                <w:u w:val="none" w:color="auto"/>
                <w:lang w:val="en-US" w:eastAsia="zh-CN" w:bidi="ar"/>
              </w:rPr>
              <w:t>230</w:t>
            </w:r>
          </w:p>
        </w:tc>
        <w:tc>
          <w:tcPr>
            <w:tcW w:w="1672" w:type="pct"/>
            <w:tcBorders>
              <w:tl2br w:val="nil"/>
              <w:tr2bl w:val="nil"/>
            </w:tcBorders>
            <w:noWrap w:val="0"/>
            <w:vAlign w:val="center"/>
          </w:tcPr>
          <w:p w14:paraId="3169E6D8">
            <w:pPr>
              <w:keepNext w:val="0"/>
              <w:keepLines w:val="0"/>
              <w:widowControl/>
              <w:suppressLineNumbers w:val="0"/>
              <w:jc w:val="center"/>
              <w:textAlignment w:val="top"/>
              <w:rPr>
                <w:rFonts w:hint="default" w:ascii="Times New Roman" w:hAnsi="Times New Roman" w:eastAsia="宋体" w:cs="Times New Roman"/>
                <w:b/>
                <w:bCs/>
                <w:i w:val="0"/>
                <w:iCs w:val="0"/>
                <w:color w:val="auto"/>
                <w:sz w:val="18"/>
                <w:szCs w:val="18"/>
                <w:u w:val="none" w:color="auto"/>
              </w:rPr>
            </w:pPr>
            <w:r>
              <w:rPr>
                <w:rFonts w:hint="default" w:ascii="Times New Roman" w:hAnsi="Times New Roman" w:eastAsia="宋体" w:cs="Times New Roman"/>
                <w:b/>
                <w:bCs/>
                <w:i w:val="0"/>
                <w:iCs w:val="0"/>
                <w:color w:val="auto"/>
                <w:kern w:val="0"/>
                <w:sz w:val="18"/>
                <w:szCs w:val="18"/>
                <w:u w:val="none" w:color="auto"/>
                <w:lang w:val="en-US" w:eastAsia="zh-CN" w:bidi="ar"/>
              </w:rPr>
              <w:t>2.56E+00</w:t>
            </w:r>
          </w:p>
        </w:tc>
        <w:tc>
          <w:tcPr>
            <w:tcW w:w="1673" w:type="pct"/>
            <w:tcBorders>
              <w:tl2br w:val="nil"/>
              <w:tr2bl w:val="nil"/>
            </w:tcBorders>
            <w:noWrap w:val="0"/>
            <w:vAlign w:val="center"/>
          </w:tcPr>
          <w:p w14:paraId="0C77D79B">
            <w:pPr>
              <w:keepNext w:val="0"/>
              <w:keepLines w:val="0"/>
              <w:widowControl/>
              <w:suppressLineNumbers w:val="0"/>
              <w:jc w:val="center"/>
              <w:textAlignment w:val="top"/>
              <w:rPr>
                <w:rFonts w:hint="default" w:ascii="Times New Roman" w:hAnsi="Times New Roman" w:eastAsia="宋体" w:cs="Times New Roman"/>
                <w:b/>
                <w:bCs/>
                <w:i w:val="0"/>
                <w:iCs w:val="0"/>
                <w:color w:val="auto"/>
                <w:sz w:val="18"/>
                <w:szCs w:val="18"/>
                <w:u w:val="none" w:color="auto"/>
              </w:rPr>
            </w:pPr>
            <w:r>
              <w:rPr>
                <w:rFonts w:hint="default" w:ascii="Times New Roman" w:hAnsi="Times New Roman" w:eastAsia="宋体" w:cs="Times New Roman"/>
                <w:b/>
                <w:bCs/>
                <w:i w:val="0"/>
                <w:iCs w:val="0"/>
                <w:color w:val="auto"/>
                <w:kern w:val="0"/>
                <w:sz w:val="18"/>
                <w:szCs w:val="18"/>
                <w:u w:val="none" w:color="auto"/>
                <w:lang w:val="en-US" w:eastAsia="zh-CN" w:bidi="ar"/>
              </w:rPr>
              <w:t>1.76E+03</w:t>
            </w:r>
          </w:p>
        </w:tc>
      </w:tr>
      <w:tr w14:paraId="7B97229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0" w:hRule="atLeast"/>
        </w:trPr>
        <w:tc>
          <w:tcPr>
            <w:tcW w:w="1654" w:type="pct"/>
            <w:tcBorders>
              <w:tl2br w:val="nil"/>
              <w:tr2bl w:val="nil"/>
            </w:tcBorders>
            <w:noWrap w:val="0"/>
            <w:vAlign w:val="center"/>
          </w:tcPr>
          <w:p w14:paraId="17607E9F">
            <w:pPr>
              <w:keepNext w:val="0"/>
              <w:keepLines w:val="0"/>
              <w:widowControl/>
              <w:suppressLineNumbers w:val="0"/>
              <w:jc w:val="center"/>
              <w:textAlignment w:val="top"/>
              <w:rPr>
                <w:rFonts w:hint="default" w:ascii="Times New Roman" w:hAnsi="Times New Roman" w:eastAsia="宋体" w:cs="Times New Roman"/>
                <w:i w:val="0"/>
                <w:iCs w:val="0"/>
                <w:color w:val="auto"/>
                <w:sz w:val="18"/>
                <w:szCs w:val="18"/>
                <w:u w:val="none" w:color="auto"/>
              </w:rPr>
            </w:pPr>
            <w:r>
              <w:rPr>
                <w:rFonts w:hint="default" w:ascii="Times New Roman" w:hAnsi="Times New Roman" w:eastAsia="宋体" w:cs="Times New Roman"/>
                <w:i w:val="0"/>
                <w:iCs w:val="0"/>
                <w:color w:val="auto"/>
                <w:kern w:val="0"/>
                <w:sz w:val="18"/>
                <w:szCs w:val="18"/>
                <w:u w:val="none" w:color="auto"/>
                <w:lang w:val="en-US" w:eastAsia="zh-CN" w:bidi="ar"/>
              </w:rPr>
              <w:t>300</w:t>
            </w:r>
          </w:p>
        </w:tc>
        <w:tc>
          <w:tcPr>
            <w:tcW w:w="1672" w:type="pct"/>
            <w:tcBorders>
              <w:tl2br w:val="nil"/>
              <w:tr2bl w:val="nil"/>
            </w:tcBorders>
            <w:noWrap w:val="0"/>
            <w:vAlign w:val="center"/>
          </w:tcPr>
          <w:p w14:paraId="3FD8FEA6">
            <w:pPr>
              <w:keepNext w:val="0"/>
              <w:keepLines w:val="0"/>
              <w:widowControl/>
              <w:suppressLineNumbers w:val="0"/>
              <w:jc w:val="center"/>
              <w:textAlignment w:val="top"/>
              <w:rPr>
                <w:rFonts w:hint="default" w:ascii="Times New Roman" w:hAnsi="Times New Roman" w:eastAsia="宋体" w:cs="Times New Roman"/>
                <w:i w:val="0"/>
                <w:iCs w:val="0"/>
                <w:color w:val="auto"/>
                <w:sz w:val="18"/>
                <w:szCs w:val="18"/>
                <w:u w:val="none" w:color="auto"/>
              </w:rPr>
            </w:pPr>
            <w:r>
              <w:rPr>
                <w:rFonts w:hint="default" w:ascii="Times New Roman" w:hAnsi="Times New Roman" w:eastAsia="宋体" w:cs="Times New Roman"/>
                <w:i w:val="0"/>
                <w:iCs w:val="0"/>
                <w:color w:val="auto"/>
                <w:kern w:val="0"/>
                <w:sz w:val="18"/>
                <w:szCs w:val="18"/>
                <w:u w:val="none" w:color="auto"/>
                <w:lang w:val="en-US" w:eastAsia="zh-CN" w:bidi="ar"/>
              </w:rPr>
              <w:t>3.33E+00</w:t>
            </w:r>
          </w:p>
        </w:tc>
        <w:tc>
          <w:tcPr>
            <w:tcW w:w="1673" w:type="pct"/>
            <w:tcBorders>
              <w:tl2br w:val="nil"/>
              <w:tr2bl w:val="nil"/>
            </w:tcBorders>
            <w:noWrap w:val="0"/>
            <w:vAlign w:val="center"/>
          </w:tcPr>
          <w:p w14:paraId="655FBB27">
            <w:pPr>
              <w:keepNext w:val="0"/>
              <w:keepLines w:val="0"/>
              <w:widowControl/>
              <w:suppressLineNumbers w:val="0"/>
              <w:jc w:val="center"/>
              <w:textAlignment w:val="top"/>
              <w:rPr>
                <w:rFonts w:hint="default" w:ascii="Times New Roman" w:hAnsi="Times New Roman" w:eastAsia="宋体" w:cs="Times New Roman"/>
                <w:i w:val="0"/>
                <w:iCs w:val="0"/>
                <w:color w:val="auto"/>
                <w:sz w:val="18"/>
                <w:szCs w:val="18"/>
                <w:u w:val="none" w:color="auto"/>
              </w:rPr>
            </w:pPr>
            <w:r>
              <w:rPr>
                <w:rFonts w:hint="default" w:ascii="Times New Roman" w:hAnsi="Times New Roman" w:eastAsia="宋体" w:cs="Times New Roman"/>
                <w:i w:val="0"/>
                <w:iCs w:val="0"/>
                <w:color w:val="auto"/>
                <w:kern w:val="0"/>
                <w:sz w:val="18"/>
                <w:szCs w:val="18"/>
                <w:u w:val="none" w:color="auto"/>
                <w:lang w:val="en-US" w:eastAsia="zh-CN" w:bidi="ar"/>
              </w:rPr>
              <w:t>1.61E+03</w:t>
            </w:r>
          </w:p>
        </w:tc>
      </w:tr>
      <w:tr w14:paraId="191C1C5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0" w:hRule="atLeast"/>
        </w:trPr>
        <w:tc>
          <w:tcPr>
            <w:tcW w:w="1654" w:type="pct"/>
            <w:tcBorders>
              <w:tl2br w:val="nil"/>
              <w:tr2bl w:val="nil"/>
            </w:tcBorders>
            <w:noWrap w:val="0"/>
            <w:vAlign w:val="center"/>
          </w:tcPr>
          <w:p w14:paraId="062367BB">
            <w:pPr>
              <w:keepNext w:val="0"/>
              <w:keepLines w:val="0"/>
              <w:widowControl/>
              <w:suppressLineNumbers w:val="0"/>
              <w:jc w:val="center"/>
              <w:textAlignment w:val="top"/>
              <w:rPr>
                <w:rFonts w:hint="default" w:ascii="Times New Roman" w:hAnsi="Times New Roman" w:eastAsia="宋体" w:cs="Times New Roman"/>
                <w:i w:val="0"/>
                <w:iCs w:val="0"/>
                <w:color w:val="auto"/>
                <w:sz w:val="18"/>
                <w:szCs w:val="18"/>
                <w:u w:val="none" w:color="auto"/>
              </w:rPr>
            </w:pPr>
            <w:r>
              <w:rPr>
                <w:rFonts w:hint="default" w:ascii="Times New Roman" w:hAnsi="Times New Roman" w:eastAsia="宋体" w:cs="Times New Roman"/>
                <w:i w:val="0"/>
                <w:iCs w:val="0"/>
                <w:color w:val="auto"/>
                <w:kern w:val="0"/>
                <w:sz w:val="18"/>
                <w:szCs w:val="18"/>
                <w:u w:val="none" w:color="auto"/>
                <w:lang w:val="en-US" w:eastAsia="zh-CN" w:bidi="ar"/>
              </w:rPr>
              <w:t>400</w:t>
            </w:r>
          </w:p>
        </w:tc>
        <w:tc>
          <w:tcPr>
            <w:tcW w:w="1672" w:type="pct"/>
            <w:tcBorders>
              <w:tl2br w:val="nil"/>
              <w:tr2bl w:val="nil"/>
            </w:tcBorders>
            <w:noWrap w:val="0"/>
            <w:vAlign w:val="center"/>
          </w:tcPr>
          <w:p w14:paraId="37BE3230">
            <w:pPr>
              <w:keepNext w:val="0"/>
              <w:keepLines w:val="0"/>
              <w:widowControl/>
              <w:suppressLineNumbers w:val="0"/>
              <w:jc w:val="center"/>
              <w:textAlignment w:val="top"/>
              <w:rPr>
                <w:rFonts w:hint="default" w:ascii="Times New Roman" w:hAnsi="Times New Roman" w:eastAsia="宋体" w:cs="Times New Roman"/>
                <w:i w:val="0"/>
                <w:iCs w:val="0"/>
                <w:color w:val="auto"/>
                <w:sz w:val="18"/>
                <w:szCs w:val="18"/>
                <w:u w:val="none" w:color="auto"/>
              </w:rPr>
            </w:pPr>
            <w:r>
              <w:rPr>
                <w:rFonts w:hint="default" w:ascii="Times New Roman" w:hAnsi="Times New Roman" w:eastAsia="宋体" w:cs="Times New Roman"/>
                <w:i w:val="0"/>
                <w:iCs w:val="0"/>
                <w:color w:val="auto"/>
                <w:kern w:val="0"/>
                <w:sz w:val="18"/>
                <w:szCs w:val="18"/>
                <w:u w:val="none" w:color="auto"/>
                <w:lang w:val="en-US" w:eastAsia="zh-CN" w:bidi="ar"/>
              </w:rPr>
              <w:t>4.44E+00</w:t>
            </w:r>
          </w:p>
        </w:tc>
        <w:tc>
          <w:tcPr>
            <w:tcW w:w="1673" w:type="pct"/>
            <w:tcBorders>
              <w:tl2br w:val="nil"/>
              <w:tr2bl w:val="nil"/>
            </w:tcBorders>
            <w:noWrap w:val="0"/>
            <w:vAlign w:val="center"/>
          </w:tcPr>
          <w:p w14:paraId="729A2AB7">
            <w:pPr>
              <w:keepNext w:val="0"/>
              <w:keepLines w:val="0"/>
              <w:widowControl/>
              <w:suppressLineNumbers w:val="0"/>
              <w:jc w:val="center"/>
              <w:textAlignment w:val="top"/>
              <w:rPr>
                <w:rFonts w:hint="default" w:ascii="Times New Roman" w:hAnsi="Times New Roman" w:eastAsia="宋体" w:cs="Times New Roman"/>
                <w:i w:val="0"/>
                <w:iCs w:val="0"/>
                <w:color w:val="auto"/>
                <w:sz w:val="18"/>
                <w:szCs w:val="18"/>
                <w:u w:val="none" w:color="auto"/>
              </w:rPr>
            </w:pPr>
            <w:r>
              <w:rPr>
                <w:rFonts w:hint="default" w:ascii="Times New Roman" w:hAnsi="Times New Roman" w:eastAsia="宋体" w:cs="Times New Roman"/>
                <w:i w:val="0"/>
                <w:iCs w:val="0"/>
                <w:color w:val="auto"/>
                <w:kern w:val="0"/>
                <w:sz w:val="18"/>
                <w:szCs w:val="18"/>
                <w:u w:val="none" w:color="auto"/>
                <w:lang w:val="en-US" w:eastAsia="zh-CN" w:bidi="ar"/>
              </w:rPr>
              <w:t>1.29E+03</w:t>
            </w:r>
          </w:p>
        </w:tc>
      </w:tr>
      <w:tr w14:paraId="470E8E0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0" w:hRule="atLeast"/>
        </w:trPr>
        <w:tc>
          <w:tcPr>
            <w:tcW w:w="1654" w:type="pct"/>
            <w:tcBorders>
              <w:tl2br w:val="nil"/>
              <w:tr2bl w:val="nil"/>
            </w:tcBorders>
            <w:noWrap w:val="0"/>
            <w:vAlign w:val="center"/>
          </w:tcPr>
          <w:p w14:paraId="22809560">
            <w:pPr>
              <w:keepNext w:val="0"/>
              <w:keepLines w:val="0"/>
              <w:widowControl/>
              <w:suppressLineNumbers w:val="0"/>
              <w:jc w:val="center"/>
              <w:textAlignment w:val="top"/>
              <w:rPr>
                <w:rFonts w:hint="default" w:ascii="Times New Roman" w:hAnsi="Times New Roman" w:eastAsia="宋体" w:cs="Times New Roman"/>
                <w:i w:val="0"/>
                <w:iCs w:val="0"/>
                <w:color w:val="auto"/>
                <w:sz w:val="18"/>
                <w:szCs w:val="18"/>
                <w:u w:val="none" w:color="auto"/>
              </w:rPr>
            </w:pPr>
            <w:r>
              <w:rPr>
                <w:rFonts w:hint="default" w:ascii="Times New Roman" w:hAnsi="Times New Roman" w:eastAsia="宋体" w:cs="Times New Roman"/>
                <w:i w:val="0"/>
                <w:iCs w:val="0"/>
                <w:color w:val="auto"/>
                <w:kern w:val="0"/>
                <w:sz w:val="18"/>
                <w:szCs w:val="18"/>
                <w:u w:val="none" w:color="auto"/>
                <w:lang w:val="en-US" w:eastAsia="zh-CN" w:bidi="ar"/>
              </w:rPr>
              <w:t>500</w:t>
            </w:r>
          </w:p>
        </w:tc>
        <w:tc>
          <w:tcPr>
            <w:tcW w:w="1672" w:type="pct"/>
            <w:tcBorders>
              <w:tl2br w:val="nil"/>
              <w:tr2bl w:val="nil"/>
            </w:tcBorders>
            <w:noWrap w:val="0"/>
            <w:vAlign w:val="center"/>
          </w:tcPr>
          <w:p w14:paraId="54A2EC23">
            <w:pPr>
              <w:keepNext w:val="0"/>
              <w:keepLines w:val="0"/>
              <w:widowControl/>
              <w:suppressLineNumbers w:val="0"/>
              <w:jc w:val="center"/>
              <w:textAlignment w:val="top"/>
              <w:rPr>
                <w:rFonts w:hint="default" w:ascii="Times New Roman" w:hAnsi="Times New Roman" w:eastAsia="宋体" w:cs="Times New Roman"/>
                <w:i w:val="0"/>
                <w:iCs w:val="0"/>
                <w:color w:val="auto"/>
                <w:sz w:val="18"/>
                <w:szCs w:val="18"/>
                <w:u w:val="none" w:color="auto"/>
              </w:rPr>
            </w:pPr>
            <w:r>
              <w:rPr>
                <w:rFonts w:hint="default" w:ascii="Times New Roman" w:hAnsi="Times New Roman" w:eastAsia="宋体" w:cs="Times New Roman"/>
                <w:i w:val="0"/>
                <w:iCs w:val="0"/>
                <w:color w:val="auto"/>
                <w:kern w:val="0"/>
                <w:sz w:val="18"/>
                <w:szCs w:val="18"/>
                <w:u w:val="none" w:color="auto"/>
                <w:lang w:val="en-US" w:eastAsia="zh-CN" w:bidi="ar"/>
              </w:rPr>
              <w:t>5.56E+00</w:t>
            </w:r>
          </w:p>
        </w:tc>
        <w:tc>
          <w:tcPr>
            <w:tcW w:w="1673" w:type="pct"/>
            <w:tcBorders>
              <w:tl2br w:val="nil"/>
              <w:tr2bl w:val="nil"/>
            </w:tcBorders>
            <w:noWrap w:val="0"/>
            <w:vAlign w:val="center"/>
          </w:tcPr>
          <w:p w14:paraId="62D19592">
            <w:pPr>
              <w:keepNext w:val="0"/>
              <w:keepLines w:val="0"/>
              <w:widowControl/>
              <w:suppressLineNumbers w:val="0"/>
              <w:jc w:val="center"/>
              <w:textAlignment w:val="top"/>
              <w:rPr>
                <w:rFonts w:hint="default" w:ascii="Times New Roman" w:hAnsi="Times New Roman" w:eastAsia="宋体" w:cs="Times New Roman"/>
                <w:i w:val="0"/>
                <w:iCs w:val="0"/>
                <w:color w:val="auto"/>
                <w:sz w:val="18"/>
                <w:szCs w:val="18"/>
                <w:u w:val="none" w:color="auto"/>
              </w:rPr>
            </w:pPr>
            <w:r>
              <w:rPr>
                <w:rFonts w:hint="default" w:ascii="Times New Roman" w:hAnsi="Times New Roman" w:eastAsia="宋体" w:cs="Times New Roman"/>
                <w:i w:val="0"/>
                <w:iCs w:val="0"/>
                <w:color w:val="auto"/>
                <w:kern w:val="0"/>
                <w:sz w:val="18"/>
                <w:szCs w:val="18"/>
                <w:u w:val="none" w:color="auto"/>
                <w:lang w:val="en-US" w:eastAsia="zh-CN" w:bidi="ar"/>
              </w:rPr>
              <w:t>1.02E+03</w:t>
            </w:r>
          </w:p>
        </w:tc>
      </w:tr>
      <w:tr w14:paraId="515B982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0" w:hRule="atLeast"/>
        </w:trPr>
        <w:tc>
          <w:tcPr>
            <w:tcW w:w="1654" w:type="pct"/>
            <w:tcBorders>
              <w:tl2br w:val="nil"/>
              <w:tr2bl w:val="nil"/>
            </w:tcBorders>
            <w:noWrap w:val="0"/>
            <w:vAlign w:val="center"/>
          </w:tcPr>
          <w:p w14:paraId="03F19B9F">
            <w:pPr>
              <w:keepNext w:val="0"/>
              <w:keepLines w:val="0"/>
              <w:widowControl/>
              <w:suppressLineNumbers w:val="0"/>
              <w:jc w:val="center"/>
              <w:textAlignment w:val="top"/>
              <w:rPr>
                <w:rFonts w:hint="default" w:ascii="Times New Roman" w:hAnsi="Times New Roman" w:eastAsia="宋体" w:cs="Times New Roman"/>
                <w:i w:val="0"/>
                <w:iCs w:val="0"/>
                <w:color w:val="auto"/>
                <w:sz w:val="18"/>
                <w:szCs w:val="18"/>
                <w:u w:val="none" w:color="auto"/>
              </w:rPr>
            </w:pPr>
            <w:r>
              <w:rPr>
                <w:rFonts w:hint="default" w:ascii="Times New Roman" w:hAnsi="Times New Roman" w:eastAsia="宋体" w:cs="Times New Roman"/>
                <w:i w:val="0"/>
                <w:iCs w:val="0"/>
                <w:color w:val="auto"/>
                <w:kern w:val="0"/>
                <w:sz w:val="18"/>
                <w:szCs w:val="18"/>
                <w:u w:val="none" w:color="auto"/>
                <w:lang w:val="en-US" w:eastAsia="zh-CN" w:bidi="ar"/>
              </w:rPr>
              <w:t>600</w:t>
            </w:r>
          </w:p>
        </w:tc>
        <w:tc>
          <w:tcPr>
            <w:tcW w:w="1672" w:type="pct"/>
            <w:tcBorders>
              <w:tl2br w:val="nil"/>
              <w:tr2bl w:val="nil"/>
            </w:tcBorders>
            <w:noWrap w:val="0"/>
            <w:vAlign w:val="center"/>
          </w:tcPr>
          <w:p w14:paraId="66EFB1D3">
            <w:pPr>
              <w:keepNext w:val="0"/>
              <w:keepLines w:val="0"/>
              <w:widowControl/>
              <w:suppressLineNumbers w:val="0"/>
              <w:jc w:val="center"/>
              <w:textAlignment w:val="top"/>
              <w:rPr>
                <w:rFonts w:hint="default" w:ascii="Times New Roman" w:hAnsi="Times New Roman" w:eastAsia="宋体" w:cs="Times New Roman"/>
                <w:i w:val="0"/>
                <w:iCs w:val="0"/>
                <w:color w:val="auto"/>
                <w:sz w:val="18"/>
                <w:szCs w:val="18"/>
                <w:u w:val="none" w:color="auto"/>
              </w:rPr>
            </w:pPr>
            <w:r>
              <w:rPr>
                <w:rFonts w:hint="default" w:ascii="Times New Roman" w:hAnsi="Times New Roman" w:eastAsia="宋体" w:cs="Times New Roman"/>
                <w:i w:val="0"/>
                <w:iCs w:val="0"/>
                <w:color w:val="auto"/>
                <w:kern w:val="0"/>
                <w:sz w:val="18"/>
                <w:szCs w:val="18"/>
                <w:u w:val="none" w:color="auto"/>
                <w:lang w:val="en-US" w:eastAsia="zh-CN" w:bidi="ar"/>
              </w:rPr>
              <w:t>6.67E+00</w:t>
            </w:r>
          </w:p>
        </w:tc>
        <w:tc>
          <w:tcPr>
            <w:tcW w:w="1673" w:type="pct"/>
            <w:tcBorders>
              <w:tl2br w:val="nil"/>
              <w:tr2bl w:val="nil"/>
            </w:tcBorders>
            <w:noWrap w:val="0"/>
            <w:vAlign w:val="center"/>
          </w:tcPr>
          <w:p w14:paraId="2AF5B0EE">
            <w:pPr>
              <w:keepNext w:val="0"/>
              <w:keepLines w:val="0"/>
              <w:widowControl/>
              <w:suppressLineNumbers w:val="0"/>
              <w:jc w:val="center"/>
              <w:textAlignment w:val="top"/>
              <w:rPr>
                <w:rFonts w:hint="default" w:ascii="Times New Roman" w:hAnsi="Times New Roman" w:eastAsia="宋体" w:cs="Times New Roman"/>
                <w:i w:val="0"/>
                <w:iCs w:val="0"/>
                <w:color w:val="auto"/>
                <w:sz w:val="18"/>
                <w:szCs w:val="18"/>
                <w:u w:val="none" w:color="auto"/>
              </w:rPr>
            </w:pPr>
            <w:r>
              <w:rPr>
                <w:rFonts w:hint="default" w:ascii="Times New Roman" w:hAnsi="Times New Roman" w:eastAsia="宋体" w:cs="Times New Roman"/>
                <w:i w:val="0"/>
                <w:iCs w:val="0"/>
                <w:color w:val="auto"/>
                <w:kern w:val="0"/>
                <w:sz w:val="18"/>
                <w:szCs w:val="18"/>
                <w:u w:val="none" w:color="auto"/>
                <w:lang w:val="en-US" w:eastAsia="zh-CN" w:bidi="ar"/>
              </w:rPr>
              <w:t>8.20E+02</w:t>
            </w:r>
          </w:p>
        </w:tc>
      </w:tr>
      <w:tr w14:paraId="3DC3964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0" w:hRule="atLeast"/>
        </w:trPr>
        <w:tc>
          <w:tcPr>
            <w:tcW w:w="1654" w:type="pct"/>
            <w:tcBorders>
              <w:tl2br w:val="nil"/>
              <w:tr2bl w:val="nil"/>
            </w:tcBorders>
            <w:noWrap w:val="0"/>
            <w:vAlign w:val="center"/>
          </w:tcPr>
          <w:p w14:paraId="13EC62E1">
            <w:pPr>
              <w:keepNext w:val="0"/>
              <w:keepLines w:val="0"/>
              <w:widowControl/>
              <w:suppressLineNumbers w:val="0"/>
              <w:jc w:val="center"/>
              <w:textAlignment w:val="top"/>
              <w:rPr>
                <w:rFonts w:hint="default" w:ascii="Times New Roman" w:hAnsi="Times New Roman" w:eastAsia="宋体" w:cs="Times New Roman"/>
                <w:i w:val="0"/>
                <w:iCs w:val="0"/>
                <w:color w:val="auto"/>
                <w:sz w:val="18"/>
                <w:szCs w:val="18"/>
                <w:u w:val="none" w:color="auto"/>
              </w:rPr>
            </w:pPr>
            <w:r>
              <w:rPr>
                <w:rFonts w:hint="default" w:ascii="Times New Roman" w:hAnsi="Times New Roman" w:eastAsia="宋体" w:cs="Times New Roman"/>
                <w:i w:val="0"/>
                <w:iCs w:val="0"/>
                <w:color w:val="auto"/>
                <w:kern w:val="0"/>
                <w:sz w:val="18"/>
                <w:szCs w:val="18"/>
                <w:u w:val="none" w:color="auto"/>
                <w:lang w:val="en-US" w:eastAsia="zh-CN" w:bidi="ar"/>
              </w:rPr>
              <w:t>700</w:t>
            </w:r>
          </w:p>
        </w:tc>
        <w:tc>
          <w:tcPr>
            <w:tcW w:w="1672" w:type="pct"/>
            <w:tcBorders>
              <w:tl2br w:val="nil"/>
              <w:tr2bl w:val="nil"/>
            </w:tcBorders>
            <w:noWrap w:val="0"/>
            <w:vAlign w:val="center"/>
          </w:tcPr>
          <w:p w14:paraId="659908B5">
            <w:pPr>
              <w:keepNext w:val="0"/>
              <w:keepLines w:val="0"/>
              <w:widowControl/>
              <w:suppressLineNumbers w:val="0"/>
              <w:jc w:val="center"/>
              <w:textAlignment w:val="top"/>
              <w:rPr>
                <w:rFonts w:hint="default" w:ascii="Times New Roman" w:hAnsi="Times New Roman" w:eastAsia="宋体" w:cs="Times New Roman"/>
                <w:i w:val="0"/>
                <w:iCs w:val="0"/>
                <w:color w:val="auto"/>
                <w:sz w:val="18"/>
                <w:szCs w:val="18"/>
                <w:u w:val="none" w:color="auto"/>
              </w:rPr>
            </w:pPr>
            <w:r>
              <w:rPr>
                <w:rFonts w:hint="default" w:ascii="Times New Roman" w:hAnsi="Times New Roman" w:eastAsia="宋体" w:cs="Times New Roman"/>
                <w:i w:val="0"/>
                <w:iCs w:val="0"/>
                <w:color w:val="auto"/>
                <w:kern w:val="0"/>
                <w:sz w:val="18"/>
                <w:szCs w:val="18"/>
                <w:u w:val="none" w:color="auto"/>
                <w:lang w:val="en-US" w:eastAsia="zh-CN" w:bidi="ar"/>
              </w:rPr>
              <w:t>7.78E+00</w:t>
            </w:r>
          </w:p>
        </w:tc>
        <w:tc>
          <w:tcPr>
            <w:tcW w:w="1673" w:type="pct"/>
            <w:tcBorders>
              <w:tl2br w:val="nil"/>
              <w:tr2bl w:val="nil"/>
            </w:tcBorders>
            <w:noWrap w:val="0"/>
            <w:vAlign w:val="center"/>
          </w:tcPr>
          <w:p w14:paraId="538DEC30">
            <w:pPr>
              <w:keepNext w:val="0"/>
              <w:keepLines w:val="0"/>
              <w:widowControl/>
              <w:suppressLineNumbers w:val="0"/>
              <w:jc w:val="center"/>
              <w:textAlignment w:val="top"/>
              <w:rPr>
                <w:rFonts w:hint="default" w:ascii="Times New Roman" w:hAnsi="Times New Roman" w:eastAsia="宋体" w:cs="Times New Roman"/>
                <w:i w:val="0"/>
                <w:iCs w:val="0"/>
                <w:color w:val="auto"/>
                <w:sz w:val="18"/>
                <w:szCs w:val="18"/>
                <w:u w:val="none" w:color="auto"/>
              </w:rPr>
            </w:pPr>
            <w:r>
              <w:rPr>
                <w:rFonts w:hint="default" w:ascii="Times New Roman" w:hAnsi="Times New Roman" w:eastAsia="宋体" w:cs="Times New Roman"/>
                <w:i w:val="0"/>
                <w:iCs w:val="0"/>
                <w:color w:val="auto"/>
                <w:kern w:val="0"/>
                <w:sz w:val="18"/>
                <w:szCs w:val="18"/>
                <w:u w:val="none" w:color="auto"/>
                <w:lang w:val="en-US" w:eastAsia="zh-CN" w:bidi="ar"/>
              </w:rPr>
              <w:t>6.69E+02</w:t>
            </w:r>
          </w:p>
        </w:tc>
      </w:tr>
      <w:tr w14:paraId="319636D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0" w:hRule="atLeast"/>
        </w:trPr>
        <w:tc>
          <w:tcPr>
            <w:tcW w:w="1654" w:type="pct"/>
            <w:tcBorders>
              <w:tl2br w:val="nil"/>
              <w:tr2bl w:val="nil"/>
            </w:tcBorders>
            <w:noWrap w:val="0"/>
            <w:vAlign w:val="center"/>
          </w:tcPr>
          <w:p w14:paraId="12AB8D4B">
            <w:pPr>
              <w:keepNext w:val="0"/>
              <w:keepLines w:val="0"/>
              <w:widowControl/>
              <w:suppressLineNumbers w:val="0"/>
              <w:jc w:val="center"/>
              <w:textAlignment w:val="top"/>
              <w:rPr>
                <w:rFonts w:hint="default" w:ascii="Times New Roman" w:hAnsi="Times New Roman" w:eastAsia="宋体" w:cs="Times New Roman"/>
                <w:i w:val="0"/>
                <w:iCs w:val="0"/>
                <w:color w:val="auto"/>
                <w:sz w:val="18"/>
                <w:szCs w:val="18"/>
                <w:u w:val="none" w:color="auto"/>
              </w:rPr>
            </w:pPr>
            <w:r>
              <w:rPr>
                <w:rFonts w:hint="default" w:ascii="Times New Roman" w:hAnsi="Times New Roman" w:eastAsia="宋体" w:cs="Times New Roman"/>
                <w:i w:val="0"/>
                <w:iCs w:val="0"/>
                <w:color w:val="auto"/>
                <w:kern w:val="0"/>
                <w:sz w:val="18"/>
                <w:szCs w:val="18"/>
                <w:u w:val="none" w:color="auto"/>
                <w:lang w:val="en-US" w:eastAsia="zh-CN" w:bidi="ar"/>
              </w:rPr>
              <w:t>800</w:t>
            </w:r>
          </w:p>
        </w:tc>
        <w:tc>
          <w:tcPr>
            <w:tcW w:w="1672" w:type="pct"/>
            <w:tcBorders>
              <w:tl2br w:val="nil"/>
              <w:tr2bl w:val="nil"/>
            </w:tcBorders>
            <w:noWrap w:val="0"/>
            <w:vAlign w:val="center"/>
          </w:tcPr>
          <w:p w14:paraId="0AEB63BD">
            <w:pPr>
              <w:keepNext w:val="0"/>
              <w:keepLines w:val="0"/>
              <w:widowControl/>
              <w:suppressLineNumbers w:val="0"/>
              <w:jc w:val="center"/>
              <w:textAlignment w:val="top"/>
              <w:rPr>
                <w:rFonts w:hint="default" w:ascii="Times New Roman" w:hAnsi="Times New Roman" w:eastAsia="宋体" w:cs="Times New Roman"/>
                <w:i w:val="0"/>
                <w:iCs w:val="0"/>
                <w:color w:val="auto"/>
                <w:sz w:val="18"/>
                <w:szCs w:val="18"/>
                <w:u w:val="none" w:color="auto"/>
              </w:rPr>
            </w:pPr>
            <w:r>
              <w:rPr>
                <w:rFonts w:hint="default" w:ascii="Times New Roman" w:hAnsi="Times New Roman" w:eastAsia="宋体" w:cs="Times New Roman"/>
                <w:i w:val="0"/>
                <w:iCs w:val="0"/>
                <w:color w:val="auto"/>
                <w:kern w:val="0"/>
                <w:sz w:val="18"/>
                <w:szCs w:val="18"/>
                <w:u w:val="none" w:color="auto"/>
                <w:lang w:val="en-US" w:eastAsia="zh-CN" w:bidi="ar"/>
              </w:rPr>
              <w:t>8.89E+00</w:t>
            </w:r>
          </w:p>
        </w:tc>
        <w:tc>
          <w:tcPr>
            <w:tcW w:w="1673" w:type="pct"/>
            <w:tcBorders>
              <w:tl2br w:val="nil"/>
              <w:tr2bl w:val="nil"/>
            </w:tcBorders>
            <w:noWrap w:val="0"/>
            <w:vAlign w:val="center"/>
          </w:tcPr>
          <w:p w14:paraId="701D2DCE">
            <w:pPr>
              <w:keepNext w:val="0"/>
              <w:keepLines w:val="0"/>
              <w:widowControl/>
              <w:suppressLineNumbers w:val="0"/>
              <w:jc w:val="center"/>
              <w:textAlignment w:val="top"/>
              <w:rPr>
                <w:rFonts w:hint="default" w:ascii="Times New Roman" w:hAnsi="Times New Roman" w:eastAsia="宋体" w:cs="Times New Roman"/>
                <w:i w:val="0"/>
                <w:iCs w:val="0"/>
                <w:color w:val="auto"/>
                <w:sz w:val="18"/>
                <w:szCs w:val="18"/>
                <w:u w:val="none" w:color="auto"/>
              </w:rPr>
            </w:pPr>
            <w:r>
              <w:rPr>
                <w:rFonts w:hint="default" w:ascii="Times New Roman" w:hAnsi="Times New Roman" w:eastAsia="宋体" w:cs="Times New Roman"/>
                <w:i w:val="0"/>
                <w:iCs w:val="0"/>
                <w:color w:val="auto"/>
                <w:kern w:val="0"/>
                <w:sz w:val="18"/>
                <w:szCs w:val="18"/>
                <w:u w:val="none" w:color="auto"/>
                <w:lang w:val="en-US" w:eastAsia="zh-CN" w:bidi="ar"/>
              </w:rPr>
              <w:t>5.56E+02</w:t>
            </w:r>
          </w:p>
        </w:tc>
      </w:tr>
      <w:tr w14:paraId="4A7FF03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0" w:hRule="atLeast"/>
        </w:trPr>
        <w:tc>
          <w:tcPr>
            <w:tcW w:w="1654" w:type="pct"/>
            <w:tcBorders>
              <w:tl2br w:val="nil"/>
              <w:tr2bl w:val="nil"/>
            </w:tcBorders>
            <w:noWrap w:val="0"/>
            <w:vAlign w:val="center"/>
          </w:tcPr>
          <w:p w14:paraId="111A6602">
            <w:pPr>
              <w:keepNext w:val="0"/>
              <w:keepLines w:val="0"/>
              <w:widowControl/>
              <w:suppressLineNumbers w:val="0"/>
              <w:jc w:val="center"/>
              <w:textAlignment w:val="top"/>
              <w:rPr>
                <w:rFonts w:hint="default" w:ascii="Times New Roman" w:hAnsi="Times New Roman" w:eastAsia="宋体" w:cs="Times New Roman"/>
                <w:i w:val="0"/>
                <w:iCs w:val="0"/>
                <w:color w:val="auto"/>
                <w:sz w:val="18"/>
                <w:szCs w:val="18"/>
                <w:u w:val="none" w:color="auto"/>
              </w:rPr>
            </w:pPr>
            <w:r>
              <w:rPr>
                <w:rFonts w:hint="default" w:ascii="Times New Roman" w:hAnsi="Times New Roman" w:eastAsia="宋体" w:cs="Times New Roman"/>
                <w:i w:val="0"/>
                <w:iCs w:val="0"/>
                <w:color w:val="auto"/>
                <w:kern w:val="0"/>
                <w:sz w:val="18"/>
                <w:szCs w:val="18"/>
                <w:u w:val="none" w:color="auto"/>
                <w:lang w:val="en-US" w:eastAsia="zh-CN" w:bidi="ar"/>
              </w:rPr>
              <w:t>900</w:t>
            </w:r>
          </w:p>
        </w:tc>
        <w:tc>
          <w:tcPr>
            <w:tcW w:w="1672" w:type="pct"/>
            <w:tcBorders>
              <w:tl2br w:val="nil"/>
              <w:tr2bl w:val="nil"/>
            </w:tcBorders>
            <w:noWrap w:val="0"/>
            <w:vAlign w:val="center"/>
          </w:tcPr>
          <w:p w14:paraId="247FFA5C">
            <w:pPr>
              <w:keepNext w:val="0"/>
              <w:keepLines w:val="0"/>
              <w:widowControl/>
              <w:suppressLineNumbers w:val="0"/>
              <w:jc w:val="center"/>
              <w:textAlignment w:val="top"/>
              <w:rPr>
                <w:rFonts w:hint="default" w:ascii="Times New Roman" w:hAnsi="Times New Roman" w:eastAsia="宋体" w:cs="Times New Roman"/>
                <w:i w:val="0"/>
                <w:iCs w:val="0"/>
                <w:color w:val="auto"/>
                <w:sz w:val="18"/>
                <w:szCs w:val="18"/>
                <w:u w:val="none" w:color="auto"/>
              </w:rPr>
            </w:pPr>
            <w:r>
              <w:rPr>
                <w:rFonts w:hint="default" w:ascii="Times New Roman" w:hAnsi="Times New Roman" w:eastAsia="宋体" w:cs="Times New Roman"/>
                <w:i w:val="0"/>
                <w:iCs w:val="0"/>
                <w:color w:val="auto"/>
                <w:kern w:val="0"/>
                <w:sz w:val="18"/>
                <w:szCs w:val="18"/>
                <w:u w:val="none" w:color="auto"/>
                <w:lang w:val="en-US" w:eastAsia="zh-CN" w:bidi="ar"/>
              </w:rPr>
              <w:t>1.00E+01</w:t>
            </w:r>
          </w:p>
        </w:tc>
        <w:tc>
          <w:tcPr>
            <w:tcW w:w="1673" w:type="pct"/>
            <w:tcBorders>
              <w:tl2br w:val="nil"/>
              <w:tr2bl w:val="nil"/>
            </w:tcBorders>
            <w:noWrap w:val="0"/>
            <w:vAlign w:val="center"/>
          </w:tcPr>
          <w:p w14:paraId="059FAAF8">
            <w:pPr>
              <w:keepNext w:val="0"/>
              <w:keepLines w:val="0"/>
              <w:widowControl/>
              <w:suppressLineNumbers w:val="0"/>
              <w:jc w:val="center"/>
              <w:textAlignment w:val="top"/>
              <w:rPr>
                <w:rFonts w:hint="default" w:ascii="Times New Roman" w:hAnsi="Times New Roman" w:eastAsia="宋体" w:cs="Times New Roman"/>
                <w:i w:val="0"/>
                <w:iCs w:val="0"/>
                <w:color w:val="auto"/>
                <w:sz w:val="18"/>
                <w:szCs w:val="18"/>
                <w:u w:val="none" w:color="auto"/>
              </w:rPr>
            </w:pPr>
            <w:r>
              <w:rPr>
                <w:rFonts w:hint="default" w:ascii="Times New Roman" w:hAnsi="Times New Roman" w:eastAsia="宋体" w:cs="Times New Roman"/>
                <w:i w:val="0"/>
                <w:iCs w:val="0"/>
                <w:color w:val="auto"/>
                <w:kern w:val="0"/>
                <w:sz w:val="18"/>
                <w:szCs w:val="18"/>
                <w:u w:val="none" w:color="auto"/>
                <w:lang w:val="en-US" w:eastAsia="zh-CN" w:bidi="ar"/>
              </w:rPr>
              <w:t>4.69E+02</w:t>
            </w:r>
          </w:p>
        </w:tc>
      </w:tr>
      <w:tr w14:paraId="1CF3865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0" w:hRule="atLeast"/>
        </w:trPr>
        <w:tc>
          <w:tcPr>
            <w:tcW w:w="1654" w:type="pct"/>
            <w:tcBorders>
              <w:tl2br w:val="nil"/>
              <w:tr2bl w:val="nil"/>
            </w:tcBorders>
            <w:noWrap w:val="0"/>
            <w:vAlign w:val="center"/>
          </w:tcPr>
          <w:p w14:paraId="48461855">
            <w:pPr>
              <w:keepNext w:val="0"/>
              <w:keepLines w:val="0"/>
              <w:widowControl/>
              <w:suppressLineNumbers w:val="0"/>
              <w:jc w:val="center"/>
              <w:textAlignment w:val="top"/>
              <w:rPr>
                <w:rFonts w:hint="default" w:ascii="Times New Roman" w:hAnsi="Times New Roman" w:eastAsia="宋体" w:cs="Times New Roman"/>
                <w:i w:val="0"/>
                <w:iCs w:val="0"/>
                <w:color w:val="auto"/>
                <w:sz w:val="18"/>
                <w:szCs w:val="18"/>
                <w:u w:val="none" w:color="auto"/>
              </w:rPr>
            </w:pPr>
            <w:r>
              <w:rPr>
                <w:rFonts w:hint="default" w:ascii="Times New Roman" w:hAnsi="Times New Roman" w:eastAsia="宋体" w:cs="Times New Roman"/>
                <w:i w:val="0"/>
                <w:iCs w:val="0"/>
                <w:color w:val="auto"/>
                <w:kern w:val="0"/>
                <w:sz w:val="18"/>
                <w:szCs w:val="18"/>
                <w:u w:val="none" w:color="auto"/>
                <w:lang w:val="en-US" w:eastAsia="zh-CN" w:bidi="ar"/>
              </w:rPr>
              <w:t>1000</w:t>
            </w:r>
          </w:p>
        </w:tc>
        <w:tc>
          <w:tcPr>
            <w:tcW w:w="1672" w:type="pct"/>
            <w:tcBorders>
              <w:tl2br w:val="nil"/>
              <w:tr2bl w:val="nil"/>
            </w:tcBorders>
            <w:noWrap w:val="0"/>
            <w:vAlign w:val="center"/>
          </w:tcPr>
          <w:p w14:paraId="20E57F1E">
            <w:pPr>
              <w:keepNext w:val="0"/>
              <w:keepLines w:val="0"/>
              <w:widowControl/>
              <w:suppressLineNumbers w:val="0"/>
              <w:jc w:val="center"/>
              <w:textAlignment w:val="top"/>
              <w:rPr>
                <w:rFonts w:hint="default" w:ascii="Times New Roman" w:hAnsi="Times New Roman" w:eastAsia="宋体" w:cs="Times New Roman"/>
                <w:i w:val="0"/>
                <w:iCs w:val="0"/>
                <w:color w:val="auto"/>
                <w:sz w:val="18"/>
                <w:szCs w:val="18"/>
                <w:u w:val="none" w:color="auto"/>
              </w:rPr>
            </w:pPr>
            <w:r>
              <w:rPr>
                <w:rFonts w:hint="default" w:ascii="Times New Roman" w:hAnsi="Times New Roman" w:eastAsia="宋体" w:cs="Times New Roman"/>
                <w:i w:val="0"/>
                <w:iCs w:val="0"/>
                <w:color w:val="auto"/>
                <w:kern w:val="0"/>
                <w:sz w:val="18"/>
                <w:szCs w:val="18"/>
                <w:u w:val="none" w:color="auto"/>
                <w:lang w:val="en-US" w:eastAsia="zh-CN" w:bidi="ar"/>
              </w:rPr>
              <w:t>1.31E+01</w:t>
            </w:r>
          </w:p>
        </w:tc>
        <w:tc>
          <w:tcPr>
            <w:tcW w:w="1673" w:type="pct"/>
            <w:tcBorders>
              <w:tl2br w:val="nil"/>
              <w:tr2bl w:val="nil"/>
            </w:tcBorders>
            <w:noWrap w:val="0"/>
            <w:vAlign w:val="center"/>
          </w:tcPr>
          <w:p w14:paraId="0755E27B">
            <w:pPr>
              <w:keepNext w:val="0"/>
              <w:keepLines w:val="0"/>
              <w:widowControl/>
              <w:suppressLineNumbers w:val="0"/>
              <w:jc w:val="center"/>
              <w:textAlignment w:val="top"/>
              <w:rPr>
                <w:rFonts w:hint="default" w:ascii="Times New Roman" w:hAnsi="Times New Roman" w:eastAsia="宋体" w:cs="Times New Roman"/>
                <w:i w:val="0"/>
                <w:iCs w:val="0"/>
                <w:color w:val="auto"/>
                <w:sz w:val="18"/>
                <w:szCs w:val="18"/>
                <w:u w:val="none" w:color="auto"/>
              </w:rPr>
            </w:pPr>
            <w:r>
              <w:rPr>
                <w:rFonts w:hint="default" w:ascii="Times New Roman" w:hAnsi="Times New Roman" w:eastAsia="宋体" w:cs="Times New Roman"/>
                <w:i w:val="0"/>
                <w:iCs w:val="0"/>
                <w:color w:val="auto"/>
                <w:kern w:val="0"/>
                <w:sz w:val="18"/>
                <w:szCs w:val="18"/>
                <w:u w:val="none" w:color="auto"/>
                <w:lang w:val="en-US" w:eastAsia="zh-CN" w:bidi="ar"/>
              </w:rPr>
              <w:t>4.02E+02</w:t>
            </w:r>
          </w:p>
        </w:tc>
      </w:tr>
      <w:tr w14:paraId="69F2E23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0" w:hRule="atLeast"/>
        </w:trPr>
        <w:tc>
          <w:tcPr>
            <w:tcW w:w="1654" w:type="pct"/>
            <w:tcBorders>
              <w:tl2br w:val="nil"/>
              <w:tr2bl w:val="nil"/>
            </w:tcBorders>
            <w:noWrap w:val="0"/>
            <w:vAlign w:val="center"/>
          </w:tcPr>
          <w:p w14:paraId="6BBCA3B5">
            <w:pPr>
              <w:keepNext w:val="0"/>
              <w:keepLines w:val="0"/>
              <w:widowControl/>
              <w:suppressLineNumbers w:val="0"/>
              <w:jc w:val="center"/>
              <w:textAlignment w:val="top"/>
              <w:rPr>
                <w:rFonts w:hint="default" w:ascii="Times New Roman" w:hAnsi="Times New Roman" w:eastAsia="宋体" w:cs="Times New Roman"/>
                <w:i w:val="0"/>
                <w:iCs w:val="0"/>
                <w:color w:val="auto"/>
                <w:sz w:val="18"/>
                <w:szCs w:val="18"/>
                <w:u w:val="none" w:color="auto"/>
              </w:rPr>
            </w:pPr>
            <w:r>
              <w:rPr>
                <w:rFonts w:hint="default" w:ascii="Times New Roman" w:hAnsi="Times New Roman" w:eastAsia="宋体" w:cs="Times New Roman"/>
                <w:i w:val="0"/>
                <w:iCs w:val="0"/>
                <w:color w:val="auto"/>
                <w:kern w:val="0"/>
                <w:sz w:val="18"/>
                <w:szCs w:val="18"/>
                <w:u w:val="none" w:color="auto"/>
                <w:lang w:val="en-US" w:eastAsia="zh-CN" w:bidi="ar"/>
              </w:rPr>
              <w:t>2000</w:t>
            </w:r>
          </w:p>
        </w:tc>
        <w:tc>
          <w:tcPr>
            <w:tcW w:w="1672" w:type="pct"/>
            <w:tcBorders>
              <w:tl2br w:val="nil"/>
              <w:tr2bl w:val="nil"/>
            </w:tcBorders>
            <w:noWrap w:val="0"/>
            <w:vAlign w:val="center"/>
          </w:tcPr>
          <w:p w14:paraId="594A000F">
            <w:pPr>
              <w:keepNext w:val="0"/>
              <w:keepLines w:val="0"/>
              <w:widowControl/>
              <w:suppressLineNumbers w:val="0"/>
              <w:jc w:val="center"/>
              <w:textAlignment w:val="top"/>
              <w:rPr>
                <w:rFonts w:hint="default" w:ascii="Times New Roman" w:hAnsi="Times New Roman" w:eastAsia="宋体" w:cs="Times New Roman"/>
                <w:i w:val="0"/>
                <w:iCs w:val="0"/>
                <w:color w:val="auto"/>
                <w:sz w:val="18"/>
                <w:szCs w:val="18"/>
                <w:u w:val="none" w:color="auto"/>
              </w:rPr>
            </w:pPr>
            <w:r>
              <w:rPr>
                <w:rFonts w:hint="default" w:ascii="Times New Roman" w:hAnsi="Times New Roman" w:eastAsia="宋体" w:cs="Times New Roman"/>
                <w:i w:val="0"/>
                <w:iCs w:val="0"/>
                <w:color w:val="auto"/>
                <w:kern w:val="0"/>
                <w:sz w:val="18"/>
                <w:szCs w:val="18"/>
                <w:u w:val="none" w:color="auto"/>
                <w:lang w:val="en-US" w:eastAsia="zh-CN" w:bidi="ar"/>
              </w:rPr>
              <w:t>2.52E+01</w:t>
            </w:r>
          </w:p>
        </w:tc>
        <w:tc>
          <w:tcPr>
            <w:tcW w:w="1673" w:type="pct"/>
            <w:tcBorders>
              <w:tl2br w:val="nil"/>
              <w:tr2bl w:val="nil"/>
            </w:tcBorders>
            <w:noWrap w:val="0"/>
            <w:vAlign w:val="center"/>
          </w:tcPr>
          <w:p w14:paraId="57D69D22">
            <w:pPr>
              <w:keepNext w:val="0"/>
              <w:keepLines w:val="0"/>
              <w:widowControl/>
              <w:suppressLineNumbers w:val="0"/>
              <w:jc w:val="center"/>
              <w:textAlignment w:val="top"/>
              <w:rPr>
                <w:rFonts w:hint="default" w:ascii="Times New Roman" w:hAnsi="Times New Roman" w:eastAsia="宋体" w:cs="Times New Roman"/>
                <w:i w:val="0"/>
                <w:iCs w:val="0"/>
                <w:color w:val="auto"/>
                <w:sz w:val="18"/>
                <w:szCs w:val="18"/>
                <w:u w:val="none" w:color="auto"/>
              </w:rPr>
            </w:pPr>
            <w:r>
              <w:rPr>
                <w:rFonts w:hint="default" w:ascii="Times New Roman" w:hAnsi="Times New Roman" w:eastAsia="宋体" w:cs="Times New Roman"/>
                <w:i w:val="0"/>
                <w:iCs w:val="0"/>
                <w:color w:val="auto"/>
                <w:kern w:val="0"/>
                <w:sz w:val="18"/>
                <w:szCs w:val="18"/>
                <w:u w:val="none" w:color="auto"/>
                <w:lang w:val="en-US" w:eastAsia="zh-CN" w:bidi="ar"/>
              </w:rPr>
              <w:t>1.51E+02</w:t>
            </w:r>
          </w:p>
        </w:tc>
      </w:tr>
      <w:tr w14:paraId="71B111C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0" w:hRule="atLeast"/>
        </w:trPr>
        <w:tc>
          <w:tcPr>
            <w:tcW w:w="1654" w:type="pct"/>
            <w:tcBorders>
              <w:tl2br w:val="nil"/>
              <w:tr2bl w:val="nil"/>
            </w:tcBorders>
            <w:noWrap w:val="0"/>
            <w:vAlign w:val="center"/>
          </w:tcPr>
          <w:p w14:paraId="2D4BEC1D">
            <w:pPr>
              <w:keepNext w:val="0"/>
              <w:keepLines w:val="0"/>
              <w:widowControl/>
              <w:suppressLineNumbers w:val="0"/>
              <w:jc w:val="center"/>
              <w:textAlignment w:val="top"/>
              <w:rPr>
                <w:rFonts w:hint="default" w:ascii="Times New Roman" w:hAnsi="Times New Roman" w:eastAsia="宋体" w:cs="Times New Roman"/>
                <w:i w:val="0"/>
                <w:iCs w:val="0"/>
                <w:color w:val="auto"/>
                <w:sz w:val="18"/>
                <w:szCs w:val="18"/>
                <w:u w:val="none" w:color="auto"/>
              </w:rPr>
            </w:pPr>
            <w:r>
              <w:rPr>
                <w:rFonts w:hint="default" w:ascii="Times New Roman" w:hAnsi="Times New Roman" w:eastAsia="宋体" w:cs="Times New Roman"/>
                <w:i w:val="0"/>
                <w:iCs w:val="0"/>
                <w:color w:val="auto"/>
                <w:kern w:val="0"/>
                <w:sz w:val="18"/>
                <w:szCs w:val="18"/>
                <w:u w:val="none" w:color="auto"/>
                <w:lang w:val="en-US" w:eastAsia="zh-CN" w:bidi="ar"/>
              </w:rPr>
              <w:t>3000</w:t>
            </w:r>
          </w:p>
        </w:tc>
        <w:tc>
          <w:tcPr>
            <w:tcW w:w="1672" w:type="pct"/>
            <w:tcBorders>
              <w:tl2br w:val="nil"/>
              <w:tr2bl w:val="nil"/>
            </w:tcBorders>
            <w:noWrap w:val="0"/>
            <w:vAlign w:val="center"/>
          </w:tcPr>
          <w:p w14:paraId="52BE0490">
            <w:pPr>
              <w:keepNext w:val="0"/>
              <w:keepLines w:val="0"/>
              <w:widowControl/>
              <w:suppressLineNumbers w:val="0"/>
              <w:jc w:val="center"/>
              <w:textAlignment w:val="top"/>
              <w:rPr>
                <w:rFonts w:hint="default" w:ascii="Times New Roman" w:hAnsi="Times New Roman" w:eastAsia="宋体" w:cs="Times New Roman"/>
                <w:i w:val="0"/>
                <w:iCs w:val="0"/>
                <w:color w:val="auto"/>
                <w:sz w:val="18"/>
                <w:szCs w:val="18"/>
                <w:u w:val="none" w:color="auto"/>
              </w:rPr>
            </w:pPr>
            <w:r>
              <w:rPr>
                <w:rFonts w:hint="default" w:ascii="Times New Roman" w:hAnsi="Times New Roman" w:eastAsia="宋体" w:cs="Times New Roman"/>
                <w:i w:val="0"/>
                <w:iCs w:val="0"/>
                <w:color w:val="auto"/>
                <w:kern w:val="0"/>
                <w:sz w:val="18"/>
                <w:szCs w:val="18"/>
                <w:u w:val="none" w:color="auto"/>
                <w:lang w:val="en-US" w:eastAsia="zh-CN" w:bidi="ar"/>
              </w:rPr>
              <w:t>3.73E+01</w:t>
            </w:r>
          </w:p>
        </w:tc>
        <w:tc>
          <w:tcPr>
            <w:tcW w:w="1673" w:type="pct"/>
            <w:tcBorders>
              <w:tl2br w:val="nil"/>
              <w:tr2bl w:val="nil"/>
            </w:tcBorders>
            <w:noWrap w:val="0"/>
            <w:vAlign w:val="center"/>
          </w:tcPr>
          <w:p w14:paraId="56CF7053">
            <w:pPr>
              <w:keepNext w:val="0"/>
              <w:keepLines w:val="0"/>
              <w:widowControl/>
              <w:suppressLineNumbers w:val="0"/>
              <w:jc w:val="center"/>
              <w:textAlignment w:val="top"/>
              <w:rPr>
                <w:rFonts w:hint="default" w:ascii="Times New Roman" w:hAnsi="Times New Roman" w:eastAsia="宋体" w:cs="Times New Roman"/>
                <w:i w:val="0"/>
                <w:iCs w:val="0"/>
                <w:color w:val="auto"/>
                <w:sz w:val="18"/>
                <w:szCs w:val="18"/>
                <w:u w:val="none" w:color="auto"/>
              </w:rPr>
            </w:pPr>
            <w:r>
              <w:rPr>
                <w:rFonts w:hint="default" w:ascii="Times New Roman" w:hAnsi="Times New Roman" w:eastAsia="宋体" w:cs="Times New Roman"/>
                <w:i w:val="0"/>
                <w:iCs w:val="0"/>
                <w:color w:val="auto"/>
                <w:kern w:val="0"/>
                <w:sz w:val="18"/>
                <w:szCs w:val="18"/>
                <w:u w:val="none" w:color="auto"/>
                <w:lang w:val="en-US" w:eastAsia="zh-CN" w:bidi="ar"/>
              </w:rPr>
              <w:t>8.90E+01</w:t>
            </w:r>
          </w:p>
        </w:tc>
      </w:tr>
      <w:tr w14:paraId="52E375D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0" w:hRule="atLeast"/>
        </w:trPr>
        <w:tc>
          <w:tcPr>
            <w:tcW w:w="1654" w:type="pct"/>
            <w:tcBorders>
              <w:tl2br w:val="nil"/>
              <w:tr2bl w:val="nil"/>
            </w:tcBorders>
            <w:noWrap w:val="0"/>
            <w:vAlign w:val="center"/>
          </w:tcPr>
          <w:p w14:paraId="018244E0">
            <w:pPr>
              <w:keepNext w:val="0"/>
              <w:keepLines w:val="0"/>
              <w:widowControl/>
              <w:suppressLineNumbers w:val="0"/>
              <w:jc w:val="center"/>
              <w:textAlignment w:val="top"/>
              <w:rPr>
                <w:rFonts w:hint="default" w:ascii="Times New Roman" w:hAnsi="Times New Roman" w:eastAsia="宋体" w:cs="Times New Roman"/>
                <w:i w:val="0"/>
                <w:iCs w:val="0"/>
                <w:color w:val="auto"/>
                <w:sz w:val="18"/>
                <w:szCs w:val="18"/>
                <w:u w:val="none" w:color="auto"/>
              </w:rPr>
            </w:pPr>
            <w:r>
              <w:rPr>
                <w:rFonts w:hint="default" w:ascii="Times New Roman" w:hAnsi="Times New Roman" w:eastAsia="宋体" w:cs="Times New Roman"/>
                <w:i w:val="0"/>
                <w:iCs w:val="0"/>
                <w:color w:val="auto"/>
                <w:kern w:val="0"/>
                <w:sz w:val="18"/>
                <w:szCs w:val="18"/>
                <w:u w:val="none" w:color="auto"/>
                <w:lang w:val="en-US" w:eastAsia="zh-CN" w:bidi="ar"/>
              </w:rPr>
              <w:t>4000</w:t>
            </w:r>
          </w:p>
        </w:tc>
        <w:tc>
          <w:tcPr>
            <w:tcW w:w="1672" w:type="pct"/>
            <w:tcBorders>
              <w:tl2br w:val="nil"/>
              <w:tr2bl w:val="nil"/>
            </w:tcBorders>
            <w:noWrap w:val="0"/>
            <w:vAlign w:val="center"/>
          </w:tcPr>
          <w:p w14:paraId="05259013">
            <w:pPr>
              <w:keepNext w:val="0"/>
              <w:keepLines w:val="0"/>
              <w:widowControl/>
              <w:suppressLineNumbers w:val="0"/>
              <w:jc w:val="center"/>
              <w:textAlignment w:val="top"/>
              <w:rPr>
                <w:rFonts w:hint="default" w:ascii="Times New Roman" w:hAnsi="Times New Roman" w:eastAsia="宋体" w:cs="Times New Roman"/>
                <w:i w:val="0"/>
                <w:iCs w:val="0"/>
                <w:color w:val="auto"/>
                <w:sz w:val="18"/>
                <w:szCs w:val="18"/>
                <w:u w:val="none" w:color="auto"/>
              </w:rPr>
            </w:pPr>
            <w:r>
              <w:rPr>
                <w:rFonts w:hint="default" w:ascii="Times New Roman" w:hAnsi="Times New Roman" w:eastAsia="宋体" w:cs="Times New Roman"/>
                <w:i w:val="0"/>
                <w:iCs w:val="0"/>
                <w:color w:val="auto"/>
                <w:kern w:val="0"/>
                <w:sz w:val="18"/>
                <w:szCs w:val="18"/>
                <w:u w:val="none" w:color="auto"/>
                <w:lang w:val="en-US" w:eastAsia="zh-CN" w:bidi="ar"/>
              </w:rPr>
              <w:t>4.94E+01</w:t>
            </w:r>
          </w:p>
        </w:tc>
        <w:tc>
          <w:tcPr>
            <w:tcW w:w="1673" w:type="pct"/>
            <w:tcBorders>
              <w:tl2br w:val="nil"/>
              <w:tr2bl w:val="nil"/>
            </w:tcBorders>
            <w:noWrap w:val="0"/>
            <w:vAlign w:val="center"/>
          </w:tcPr>
          <w:p w14:paraId="2311DC7B">
            <w:pPr>
              <w:keepNext w:val="0"/>
              <w:keepLines w:val="0"/>
              <w:widowControl/>
              <w:suppressLineNumbers w:val="0"/>
              <w:jc w:val="center"/>
              <w:textAlignment w:val="top"/>
              <w:rPr>
                <w:rFonts w:hint="default" w:ascii="Times New Roman" w:hAnsi="Times New Roman" w:eastAsia="宋体" w:cs="Times New Roman"/>
                <w:i w:val="0"/>
                <w:iCs w:val="0"/>
                <w:color w:val="auto"/>
                <w:sz w:val="18"/>
                <w:szCs w:val="18"/>
                <w:u w:val="none" w:color="auto"/>
              </w:rPr>
            </w:pPr>
            <w:r>
              <w:rPr>
                <w:rFonts w:hint="default" w:ascii="Times New Roman" w:hAnsi="Times New Roman" w:eastAsia="宋体" w:cs="Times New Roman"/>
                <w:i w:val="0"/>
                <w:iCs w:val="0"/>
                <w:color w:val="auto"/>
                <w:kern w:val="0"/>
                <w:sz w:val="18"/>
                <w:szCs w:val="18"/>
                <w:u w:val="none" w:color="auto"/>
                <w:lang w:val="en-US" w:eastAsia="zh-CN" w:bidi="ar"/>
              </w:rPr>
              <w:t>6.11E+01</w:t>
            </w:r>
          </w:p>
        </w:tc>
      </w:tr>
      <w:tr w14:paraId="775DA08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0" w:hRule="atLeast"/>
        </w:trPr>
        <w:tc>
          <w:tcPr>
            <w:tcW w:w="1654" w:type="pct"/>
            <w:tcBorders>
              <w:tl2br w:val="nil"/>
              <w:tr2bl w:val="nil"/>
            </w:tcBorders>
            <w:noWrap w:val="0"/>
            <w:vAlign w:val="center"/>
          </w:tcPr>
          <w:p w14:paraId="03DF7B75">
            <w:pPr>
              <w:keepNext w:val="0"/>
              <w:keepLines w:val="0"/>
              <w:widowControl/>
              <w:suppressLineNumbers w:val="0"/>
              <w:jc w:val="center"/>
              <w:textAlignment w:val="top"/>
              <w:rPr>
                <w:rFonts w:hint="default" w:ascii="Times New Roman" w:hAnsi="Times New Roman" w:eastAsia="宋体" w:cs="Times New Roman"/>
                <w:i w:val="0"/>
                <w:iCs w:val="0"/>
                <w:color w:val="auto"/>
                <w:sz w:val="18"/>
                <w:szCs w:val="18"/>
                <w:u w:val="none" w:color="auto"/>
              </w:rPr>
            </w:pPr>
            <w:r>
              <w:rPr>
                <w:rFonts w:hint="default" w:ascii="Times New Roman" w:hAnsi="Times New Roman" w:eastAsia="宋体" w:cs="Times New Roman"/>
                <w:i w:val="0"/>
                <w:iCs w:val="0"/>
                <w:color w:val="auto"/>
                <w:kern w:val="0"/>
                <w:sz w:val="18"/>
                <w:szCs w:val="18"/>
                <w:u w:val="none" w:color="auto"/>
                <w:lang w:val="en-US" w:eastAsia="zh-CN" w:bidi="ar"/>
              </w:rPr>
              <w:t>5000</w:t>
            </w:r>
          </w:p>
        </w:tc>
        <w:tc>
          <w:tcPr>
            <w:tcW w:w="1672" w:type="pct"/>
            <w:tcBorders>
              <w:tl2br w:val="nil"/>
              <w:tr2bl w:val="nil"/>
            </w:tcBorders>
            <w:noWrap w:val="0"/>
            <w:vAlign w:val="center"/>
          </w:tcPr>
          <w:p w14:paraId="1EFFBCD3">
            <w:pPr>
              <w:keepNext w:val="0"/>
              <w:keepLines w:val="0"/>
              <w:widowControl/>
              <w:suppressLineNumbers w:val="0"/>
              <w:jc w:val="center"/>
              <w:textAlignment w:val="top"/>
              <w:rPr>
                <w:rFonts w:hint="default" w:ascii="Times New Roman" w:hAnsi="Times New Roman" w:eastAsia="宋体" w:cs="Times New Roman"/>
                <w:i w:val="0"/>
                <w:iCs w:val="0"/>
                <w:color w:val="auto"/>
                <w:sz w:val="18"/>
                <w:szCs w:val="18"/>
                <w:u w:val="none" w:color="auto"/>
              </w:rPr>
            </w:pPr>
            <w:r>
              <w:rPr>
                <w:rFonts w:hint="default" w:ascii="Times New Roman" w:hAnsi="Times New Roman" w:eastAsia="宋体" w:cs="Times New Roman"/>
                <w:i w:val="0"/>
                <w:iCs w:val="0"/>
                <w:color w:val="auto"/>
                <w:kern w:val="0"/>
                <w:sz w:val="18"/>
                <w:szCs w:val="18"/>
                <w:u w:val="none" w:color="auto"/>
                <w:lang w:val="en-US" w:eastAsia="zh-CN" w:bidi="ar"/>
              </w:rPr>
              <w:t>6.06E+01</w:t>
            </w:r>
          </w:p>
        </w:tc>
        <w:tc>
          <w:tcPr>
            <w:tcW w:w="1673" w:type="pct"/>
            <w:tcBorders>
              <w:tl2br w:val="nil"/>
              <w:tr2bl w:val="nil"/>
            </w:tcBorders>
            <w:noWrap w:val="0"/>
            <w:vAlign w:val="center"/>
          </w:tcPr>
          <w:p w14:paraId="1E7076BE">
            <w:pPr>
              <w:keepNext w:val="0"/>
              <w:keepLines w:val="0"/>
              <w:widowControl/>
              <w:suppressLineNumbers w:val="0"/>
              <w:jc w:val="center"/>
              <w:textAlignment w:val="top"/>
              <w:rPr>
                <w:rFonts w:hint="default" w:ascii="Times New Roman" w:hAnsi="Times New Roman" w:eastAsia="宋体" w:cs="Times New Roman"/>
                <w:i w:val="0"/>
                <w:iCs w:val="0"/>
                <w:color w:val="auto"/>
                <w:sz w:val="18"/>
                <w:szCs w:val="18"/>
                <w:u w:val="none" w:color="auto"/>
              </w:rPr>
            </w:pPr>
            <w:r>
              <w:rPr>
                <w:rFonts w:hint="default" w:ascii="Times New Roman" w:hAnsi="Times New Roman" w:eastAsia="宋体" w:cs="Times New Roman"/>
                <w:i w:val="0"/>
                <w:iCs w:val="0"/>
                <w:color w:val="auto"/>
                <w:kern w:val="0"/>
                <w:sz w:val="18"/>
                <w:szCs w:val="18"/>
                <w:u w:val="none" w:color="auto"/>
                <w:lang w:val="en-US" w:eastAsia="zh-CN" w:bidi="ar"/>
              </w:rPr>
              <w:t>4.56E+01</w:t>
            </w:r>
          </w:p>
        </w:tc>
      </w:tr>
    </w:tbl>
    <w:p w14:paraId="75AB51E5">
      <w:pPr>
        <w:ind w:firstLine="0"/>
        <w:jc w:val="center"/>
        <w:rPr>
          <w:rFonts w:hint="default" w:ascii="Times New Roman" w:hAnsi="Times New Roman" w:eastAsia="宋体" w:cs="Times New Roman"/>
          <w:b/>
          <w:color w:val="auto"/>
          <w:szCs w:val="16"/>
          <w:highlight w:val="none"/>
          <w:u w:val="none" w:color="auto"/>
          <w:lang w:val="zh-TW"/>
        </w:rPr>
      </w:pPr>
      <w:r>
        <w:rPr>
          <w:rFonts w:hint="default" w:ascii="Times New Roman" w:hAnsi="Times New Roman" w:eastAsia="宋体" w:cs="Times New Roman"/>
          <w:color w:val="auto"/>
          <w:highlight w:val="none"/>
          <w:u w:val="none" w:color="auto"/>
        </w:rPr>
        <w:drawing>
          <wp:inline distT="0" distB="0" distL="114300" distR="114300">
            <wp:extent cx="5610225" cy="2819400"/>
            <wp:effectExtent l="0" t="0" r="9525" b="0"/>
            <wp:docPr id="12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22"/>
                    <pic:cNvPicPr>
                      <a:picLocks noChangeAspect="1"/>
                    </pic:cNvPicPr>
                  </pic:nvPicPr>
                  <pic:blipFill>
                    <a:blip r:embed="rId63"/>
                    <a:stretch>
                      <a:fillRect/>
                    </a:stretch>
                  </pic:blipFill>
                  <pic:spPr>
                    <a:xfrm>
                      <a:off x="0" y="0"/>
                      <a:ext cx="5610225" cy="2819400"/>
                    </a:xfrm>
                    <a:prstGeom prst="rect">
                      <a:avLst/>
                    </a:prstGeom>
                    <a:noFill/>
                    <a:ln>
                      <a:noFill/>
                    </a:ln>
                  </pic:spPr>
                </pic:pic>
              </a:graphicData>
            </a:graphic>
          </wp:inline>
        </w:drawing>
      </w:r>
    </w:p>
    <w:p w14:paraId="6D4785F2">
      <w:pPr>
        <w:numPr>
          <w:ilvl w:val="0"/>
          <w:numId w:val="14"/>
        </w:numPr>
        <w:wordWrap/>
        <w:topLinePunct w:val="0"/>
        <w:bidi w:val="0"/>
        <w:adjustRightInd/>
        <w:snapToGrid/>
        <w:ind w:left="420" w:leftChars="0" w:hanging="420" w:firstLineChars="0"/>
        <w:jc w:val="center"/>
        <w:rPr>
          <w:rFonts w:hint="default" w:ascii="Times New Roman" w:hAnsi="Times New Roman" w:eastAsia="宋体" w:cs="Times New Roman"/>
          <w:b/>
          <w:bCs/>
          <w:color w:val="auto"/>
          <w:highlight w:val="none"/>
          <w:u w:val="none" w:color="auto"/>
        </w:rPr>
      </w:pPr>
      <w:r>
        <w:rPr>
          <w:rFonts w:hint="default" w:ascii="Times New Roman" w:hAnsi="Times New Roman" w:eastAsia="宋体" w:cs="Times New Roman"/>
          <w:b/>
          <w:bCs/>
          <w:color w:val="auto"/>
          <w:highlight w:val="none"/>
          <w:u w:val="none" w:color="auto"/>
        </w:rPr>
        <w:t>轴线最大浓度曲线图</w:t>
      </w:r>
    </w:p>
    <w:p w14:paraId="2416ADAC">
      <w:pPr>
        <w:autoSpaceDE w:val="0"/>
        <w:autoSpaceDN w:val="0"/>
        <w:spacing w:line="360" w:lineRule="auto"/>
        <w:ind w:firstLine="480" w:firstLineChars="200"/>
        <w:jc w:val="left"/>
        <w:rPr>
          <w:rFonts w:hint="default" w:ascii="Times New Roman" w:hAnsi="Times New Roman" w:eastAsia="宋体" w:cs="Times New Roman"/>
          <w:color w:val="auto"/>
          <w:spacing w:val="0"/>
          <w:kern w:val="24"/>
          <w:position w:val="0"/>
          <w:highlight w:val="none"/>
          <w:u w:val="none" w:color="auto"/>
          <w:lang w:val="en-US" w:eastAsia="zh-CN"/>
        </w:rPr>
      </w:pPr>
      <w:r>
        <w:rPr>
          <w:rFonts w:hint="default" w:ascii="Times New Roman" w:hAnsi="Times New Roman" w:eastAsia="宋体" w:cs="Times New Roman"/>
          <w:color w:val="auto"/>
          <w:sz w:val="24"/>
          <w:szCs w:val="24"/>
          <w:highlight w:val="none"/>
          <w:u w:val="none" w:color="auto"/>
        </w:rPr>
        <w:t>根据上述分析结果可知</w:t>
      </w:r>
      <w:r>
        <w:rPr>
          <w:rFonts w:hint="default" w:ascii="Times New Roman" w:hAnsi="Times New Roman" w:eastAsia="宋体" w:cs="Times New Roman"/>
          <w:color w:val="auto"/>
          <w:sz w:val="24"/>
          <w:szCs w:val="24"/>
          <w:highlight w:val="none"/>
          <w:u w:val="none" w:color="auto"/>
          <w:lang w:eastAsia="zh-CN"/>
        </w:rPr>
        <w:t>，</w:t>
      </w:r>
      <w:r>
        <w:rPr>
          <w:rFonts w:hint="default" w:ascii="Times New Roman" w:hAnsi="Times New Roman" w:eastAsia="宋体" w:cs="Times New Roman"/>
          <w:color w:val="auto"/>
          <w:spacing w:val="0"/>
          <w:kern w:val="24"/>
          <w:position w:val="0"/>
          <w:highlight w:val="none"/>
          <w:u w:val="none" w:color="auto"/>
          <w:lang w:val="zh-CN"/>
        </w:rPr>
        <w:t>各阈值的廓线对应的位置</w:t>
      </w:r>
      <w:r>
        <w:rPr>
          <w:rFonts w:hint="default" w:ascii="Times New Roman" w:hAnsi="Times New Roman" w:eastAsia="宋体" w:cs="Times New Roman"/>
          <w:color w:val="auto"/>
          <w:spacing w:val="0"/>
          <w:kern w:val="24"/>
          <w:position w:val="0"/>
          <w:highlight w:val="none"/>
          <w:u w:val="none" w:color="auto"/>
          <w:lang w:val="en-US" w:eastAsia="zh-CN"/>
        </w:rPr>
        <w:t>及达到不同毒性终点浓度的最大影响范围示意图如下表、下图所示：</w:t>
      </w:r>
    </w:p>
    <w:p w14:paraId="3C082910">
      <w:pPr>
        <w:pStyle w:val="17"/>
        <w:numPr>
          <w:ilvl w:val="0"/>
          <w:numId w:val="13"/>
        </w:numPr>
        <w:wordWrap/>
        <w:topLinePunct w:val="0"/>
        <w:bidi w:val="0"/>
        <w:adjustRightInd/>
        <w:snapToGrid/>
        <w:spacing w:line="240" w:lineRule="auto"/>
        <w:jc w:val="center"/>
        <w:rPr>
          <w:rFonts w:hint="default" w:ascii="Times New Roman" w:hAnsi="Times New Roman" w:eastAsia="宋体" w:cs="Times New Roman"/>
          <w:b/>
          <w:bCs w:val="0"/>
          <w:color w:val="auto"/>
          <w:spacing w:val="0"/>
          <w:kern w:val="24"/>
          <w:position w:val="0"/>
          <w:sz w:val="21"/>
          <w:szCs w:val="16"/>
          <w:highlight w:val="none"/>
          <w:u w:val="none" w:color="auto"/>
          <w:lang w:val="zh-CN" w:eastAsia="zh-CN"/>
        </w:rPr>
      </w:pPr>
      <w:r>
        <w:rPr>
          <w:rFonts w:hint="default" w:ascii="Times New Roman" w:hAnsi="Times New Roman" w:eastAsia="宋体" w:cs="Times New Roman"/>
          <w:b/>
          <w:bCs w:val="0"/>
          <w:color w:val="auto"/>
          <w:spacing w:val="0"/>
          <w:kern w:val="24"/>
          <w:position w:val="0"/>
          <w:sz w:val="21"/>
          <w:szCs w:val="16"/>
          <w:highlight w:val="none"/>
          <w:u w:val="none" w:color="auto"/>
          <w:lang w:val="zh-CN" w:eastAsia="zh-CN"/>
        </w:rPr>
        <w:t>各阈值的廓线对应的位置</w:t>
      </w:r>
    </w:p>
    <w:tbl>
      <w:tblPr>
        <w:tblStyle w:val="31"/>
        <w:tblW w:w="4997"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448"/>
        <w:gridCol w:w="1458"/>
        <w:gridCol w:w="1303"/>
        <w:gridCol w:w="1297"/>
        <w:gridCol w:w="1781"/>
        <w:gridCol w:w="1768"/>
      </w:tblGrid>
      <w:tr w14:paraId="25B323C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23" w:hRule="atLeast"/>
        </w:trPr>
        <w:tc>
          <w:tcPr>
            <w:tcW w:w="799" w:type="pct"/>
            <w:noWrap w:val="0"/>
            <w:vAlign w:val="center"/>
          </w:tcPr>
          <w:p w14:paraId="50E1DAE1">
            <w:pPr>
              <w:pStyle w:val="111"/>
              <w:keepNext w:val="0"/>
              <w:keepLines w:val="0"/>
              <w:pageBreakBefore w:val="0"/>
              <w:widowControl w:val="0"/>
              <w:kinsoku/>
              <w:wordWrap/>
              <w:overflowPunct/>
              <w:topLinePunct w:val="0"/>
              <w:autoSpaceDE/>
              <w:autoSpaceDN/>
              <w:bidi w:val="0"/>
              <w:adjustRightInd/>
              <w:snapToGrid/>
              <w:spacing w:before="0" w:beforeLines="0" w:after="0" w:afterLines="0"/>
              <w:textAlignment w:val="auto"/>
              <w:rPr>
                <w:rFonts w:hint="default" w:ascii="Times New Roman" w:hAnsi="Times New Roman" w:eastAsia="宋体" w:cs="Times New Roman"/>
                <w:b/>
                <w:bCs/>
                <w:color w:val="auto"/>
                <w:spacing w:val="0"/>
                <w:kern w:val="24"/>
                <w:position w:val="0"/>
                <w:highlight w:val="none"/>
                <w:u w:val="none" w:color="auto"/>
                <w:lang w:val="zh-CN"/>
              </w:rPr>
            </w:pPr>
            <w:r>
              <w:rPr>
                <w:rFonts w:hint="default" w:ascii="Times New Roman" w:hAnsi="Times New Roman" w:eastAsia="宋体" w:cs="Times New Roman"/>
                <w:b/>
                <w:bCs/>
                <w:color w:val="auto"/>
                <w:spacing w:val="0"/>
                <w:kern w:val="24"/>
                <w:position w:val="0"/>
                <w:highlight w:val="none"/>
                <w:u w:val="none" w:color="auto"/>
                <w:lang w:val="zh-CN"/>
              </w:rPr>
              <w:t>阈值（mg/m</w:t>
            </w:r>
            <w:r>
              <w:rPr>
                <w:rFonts w:hint="default" w:ascii="Times New Roman" w:hAnsi="Times New Roman" w:eastAsia="宋体" w:cs="Times New Roman"/>
                <w:b/>
                <w:bCs/>
                <w:color w:val="auto"/>
                <w:spacing w:val="0"/>
                <w:kern w:val="24"/>
                <w:position w:val="0"/>
                <w:highlight w:val="none"/>
                <w:u w:val="none" w:color="auto"/>
                <w:vertAlign w:val="superscript"/>
                <w:lang w:val="zh-CN"/>
              </w:rPr>
              <w:t>3</w:t>
            </w:r>
            <w:r>
              <w:rPr>
                <w:rFonts w:hint="default" w:ascii="Times New Roman" w:hAnsi="Times New Roman" w:eastAsia="宋体" w:cs="Times New Roman"/>
                <w:b/>
                <w:bCs/>
                <w:color w:val="auto"/>
                <w:spacing w:val="0"/>
                <w:kern w:val="24"/>
                <w:position w:val="0"/>
                <w:highlight w:val="none"/>
                <w:u w:val="none" w:color="auto"/>
                <w:lang w:val="zh-CN"/>
              </w:rPr>
              <w:t>）</w:t>
            </w:r>
          </w:p>
        </w:tc>
        <w:tc>
          <w:tcPr>
            <w:tcW w:w="805" w:type="pct"/>
            <w:noWrap w:val="0"/>
            <w:vAlign w:val="center"/>
          </w:tcPr>
          <w:p w14:paraId="0F618394">
            <w:pPr>
              <w:pStyle w:val="111"/>
              <w:keepNext w:val="0"/>
              <w:keepLines w:val="0"/>
              <w:pageBreakBefore w:val="0"/>
              <w:widowControl w:val="0"/>
              <w:kinsoku/>
              <w:wordWrap/>
              <w:overflowPunct/>
              <w:topLinePunct w:val="0"/>
              <w:autoSpaceDE/>
              <w:autoSpaceDN/>
              <w:bidi w:val="0"/>
              <w:adjustRightInd/>
              <w:snapToGrid/>
              <w:spacing w:before="0" w:beforeLines="0" w:after="0" w:afterLines="0"/>
              <w:textAlignment w:val="auto"/>
              <w:rPr>
                <w:rFonts w:hint="default" w:ascii="Times New Roman" w:hAnsi="Times New Roman" w:eastAsia="宋体" w:cs="Times New Roman"/>
                <w:b/>
                <w:bCs/>
                <w:color w:val="auto"/>
                <w:spacing w:val="0"/>
                <w:kern w:val="24"/>
                <w:position w:val="0"/>
                <w:highlight w:val="none"/>
                <w:u w:val="none" w:color="auto"/>
                <w:lang w:val="zh-CN"/>
              </w:rPr>
            </w:pPr>
            <w:r>
              <w:rPr>
                <w:rFonts w:hint="default" w:ascii="Times New Roman" w:hAnsi="Times New Roman" w:eastAsia="宋体" w:cs="Times New Roman"/>
                <w:b/>
                <w:bCs/>
                <w:color w:val="auto"/>
                <w:spacing w:val="0"/>
                <w:kern w:val="24"/>
                <w:position w:val="0"/>
                <w:highlight w:val="none"/>
                <w:u w:val="none" w:color="auto"/>
                <w:lang w:val="zh-CN"/>
              </w:rPr>
              <w:t>X起点（m）</w:t>
            </w:r>
          </w:p>
        </w:tc>
        <w:tc>
          <w:tcPr>
            <w:tcW w:w="719" w:type="pct"/>
            <w:noWrap w:val="0"/>
            <w:vAlign w:val="center"/>
          </w:tcPr>
          <w:p w14:paraId="33FBBB22">
            <w:pPr>
              <w:pStyle w:val="111"/>
              <w:keepNext w:val="0"/>
              <w:keepLines w:val="0"/>
              <w:pageBreakBefore w:val="0"/>
              <w:widowControl w:val="0"/>
              <w:kinsoku/>
              <w:wordWrap/>
              <w:overflowPunct/>
              <w:topLinePunct w:val="0"/>
              <w:autoSpaceDE/>
              <w:autoSpaceDN/>
              <w:bidi w:val="0"/>
              <w:adjustRightInd/>
              <w:snapToGrid/>
              <w:spacing w:before="0" w:beforeLines="0" w:after="0" w:afterLines="0"/>
              <w:textAlignment w:val="auto"/>
              <w:rPr>
                <w:rFonts w:hint="default" w:ascii="Times New Roman" w:hAnsi="Times New Roman" w:eastAsia="宋体" w:cs="Times New Roman"/>
                <w:b/>
                <w:bCs/>
                <w:color w:val="auto"/>
                <w:spacing w:val="0"/>
                <w:kern w:val="24"/>
                <w:position w:val="0"/>
                <w:highlight w:val="none"/>
                <w:u w:val="none" w:color="auto"/>
                <w:lang w:val="zh-CN"/>
              </w:rPr>
            </w:pPr>
            <w:r>
              <w:rPr>
                <w:rFonts w:hint="default" w:ascii="Times New Roman" w:hAnsi="Times New Roman" w:eastAsia="宋体" w:cs="Times New Roman"/>
                <w:b/>
                <w:bCs/>
                <w:color w:val="auto"/>
                <w:spacing w:val="0"/>
                <w:kern w:val="24"/>
                <w:position w:val="0"/>
                <w:highlight w:val="none"/>
                <w:u w:val="none" w:color="auto"/>
                <w:lang w:val="zh-CN"/>
              </w:rPr>
              <w:t>X终点（m）</w:t>
            </w:r>
          </w:p>
        </w:tc>
        <w:tc>
          <w:tcPr>
            <w:tcW w:w="716" w:type="pct"/>
            <w:noWrap w:val="0"/>
            <w:vAlign w:val="center"/>
          </w:tcPr>
          <w:p w14:paraId="627612A6">
            <w:pPr>
              <w:pStyle w:val="111"/>
              <w:keepNext w:val="0"/>
              <w:keepLines w:val="0"/>
              <w:pageBreakBefore w:val="0"/>
              <w:widowControl w:val="0"/>
              <w:kinsoku/>
              <w:wordWrap/>
              <w:overflowPunct/>
              <w:topLinePunct w:val="0"/>
              <w:autoSpaceDE/>
              <w:autoSpaceDN/>
              <w:bidi w:val="0"/>
              <w:adjustRightInd/>
              <w:snapToGrid/>
              <w:spacing w:before="0" w:beforeLines="0" w:after="0" w:afterLines="0"/>
              <w:textAlignment w:val="auto"/>
              <w:rPr>
                <w:rFonts w:hint="default" w:ascii="Times New Roman" w:hAnsi="Times New Roman" w:eastAsia="宋体" w:cs="Times New Roman"/>
                <w:b/>
                <w:bCs/>
                <w:color w:val="auto"/>
                <w:spacing w:val="0"/>
                <w:kern w:val="24"/>
                <w:position w:val="0"/>
                <w:highlight w:val="none"/>
                <w:u w:val="none" w:color="auto"/>
                <w:lang w:val="zh-CN"/>
              </w:rPr>
            </w:pPr>
            <w:r>
              <w:rPr>
                <w:rFonts w:hint="default" w:ascii="Times New Roman" w:hAnsi="Times New Roman" w:eastAsia="宋体" w:cs="Times New Roman"/>
                <w:b/>
                <w:bCs/>
                <w:color w:val="auto"/>
                <w:spacing w:val="0"/>
                <w:kern w:val="24"/>
                <w:position w:val="0"/>
                <w:highlight w:val="none"/>
                <w:u w:val="none" w:color="auto"/>
                <w:lang w:val="zh-CN"/>
              </w:rPr>
              <w:t>最大半宽（m）</w:t>
            </w:r>
          </w:p>
        </w:tc>
        <w:tc>
          <w:tcPr>
            <w:tcW w:w="983" w:type="pct"/>
            <w:noWrap w:val="0"/>
            <w:vAlign w:val="center"/>
          </w:tcPr>
          <w:p w14:paraId="34855E04">
            <w:pPr>
              <w:pStyle w:val="111"/>
              <w:keepNext w:val="0"/>
              <w:keepLines w:val="0"/>
              <w:pageBreakBefore w:val="0"/>
              <w:widowControl w:val="0"/>
              <w:kinsoku/>
              <w:wordWrap/>
              <w:overflowPunct/>
              <w:topLinePunct w:val="0"/>
              <w:autoSpaceDE/>
              <w:autoSpaceDN/>
              <w:bidi w:val="0"/>
              <w:adjustRightInd/>
              <w:snapToGrid/>
              <w:spacing w:before="0" w:beforeLines="0" w:after="0" w:afterLines="0"/>
              <w:textAlignment w:val="auto"/>
              <w:rPr>
                <w:rFonts w:hint="default" w:ascii="Times New Roman" w:hAnsi="Times New Roman" w:eastAsia="宋体" w:cs="Times New Roman"/>
                <w:b/>
                <w:bCs/>
                <w:color w:val="auto"/>
                <w:spacing w:val="0"/>
                <w:kern w:val="24"/>
                <w:position w:val="0"/>
                <w:highlight w:val="none"/>
                <w:u w:val="none" w:color="auto"/>
                <w:lang w:val="zh-CN"/>
              </w:rPr>
            </w:pPr>
            <w:r>
              <w:rPr>
                <w:rFonts w:hint="default" w:ascii="Times New Roman" w:hAnsi="Times New Roman" w:eastAsia="宋体" w:cs="Times New Roman"/>
                <w:b/>
                <w:bCs/>
                <w:color w:val="auto"/>
                <w:spacing w:val="0"/>
                <w:kern w:val="24"/>
                <w:position w:val="0"/>
                <w:highlight w:val="none"/>
                <w:u w:val="none" w:color="auto"/>
                <w:lang w:val="zh-CN"/>
              </w:rPr>
              <w:t>最大半宽对应X（m）</w:t>
            </w:r>
          </w:p>
        </w:tc>
        <w:tc>
          <w:tcPr>
            <w:tcW w:w="976" w:type="pct"/>
            <w:noWrap w:val="0"/>
            <w:vAlign w:val="center"/>
          </w:tcPr>
          <w:p w14:paraId="1BB19ABC">
            <w:pPr>
              <w:pStyle w:val="111"/>
              <w:keepNext w:val="0"/>
              <w:keepLines w:val="0"/>
              <w:pageBreakBefore w:val="0"/>
              <w:widowControl w:val="0"/>
              <w:kinsoku/>
              <w:wordWrap/>
              <w:overflowPunct/>
              <w:topLinePunct w:val="0"/>
              <w:autoSpaceDE/>
              <w:autoSpaceDN/>
              <w:bidi w:val="0"/>
              <w:adjustRightInd/>
              <w:snapToGrid/>
              <w:spacing w:before="0" w:beforeLines="0" w:after="0" w:afterLines="0"/>
              <w:textAlignment w:val="auto"/>
              <w:rPr>
                <w:rFonts w:hint="default" w:ascii="Times New Roman" w:hAnsi="Times New Roman" w:eastAsia="宋体" w:cs="Times New Roman"/>
                <w:b/>
                <w:bCs/>
                <w:color w:val="auto"/>
                <w:spacing w:val="0"/>
                <w:kern w:val="24"/>
                <w:position w:val="0"/>
                <w:highlight w:val="none"/>
                <w:u w:val="none" w:color="auto"/>
                <w:lang w:val="en-US" w:eastAsia="zh-CN"/>
              </w:rPr>
            </w:pPr>
            <w:r>
              <w:rPr>
                <w:rFonts w:hint="default" w:ascii="Times New Roman" w:hAnsi="Times New Roman" w:eastAsia="宋体" w:cs="Times New Roman"/>
                <w:b/>
                <w:bCs/>
                <w:color w:val="auto"/>
                <w:spacing w:val="0"/>
                <w:kern w:val="24"/>
                <w:position w:val="0"/>
                <w:highlight w:val="none"/>
                <w:u w:val="none" w:color="auto"/>
                <w:lang w:val="en-US" w:eastAsia="zh-CN"/>
              </w:rPr>
              <w:t>气象条件</w:t>
            </w:r>
          </w:p>
        </w:tc>
      </w:tr>
      <w:tr w14:paraId="45E2D28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23" w:hRule="atLeast"/>
        </w:trPr>
        <w:tc>
          <w:tcPr>
            <w:tcW w:w="799" w:type="pct"/>
            <w:noWrap w:val="0"/>
            <w:vAlign w:val="center"/>
          </w:tcPr>
          <w:p w14:paraId="338822CE">
            <w:pPr>
              <w:pStyle w:val="111"/>
              <w:keepNext w:val="0"/>
              <w:keepLines w:val="0"/>
              <w:pageBreakBefore w:val="0"/>
              <w:widowControl w:val="0"/>
              <w:kinsoku/>
              <w:wordWrap/>
              <w:overflowPunct/>
              <w:topLinePunct w:val="0"/>
              <w:autoSpaceDE/>
              <w:autoSpaceDN/>
              <w:bidi w:val="0"/>
              <w:adjustRightInd/>
              <w:snapToGrid/>
              <w:spacing w:before="0" w:beforeLines="0" w:after="0" w:afterLines="0"/>
              <w:textAlignment w:val="auto"/>
              <w:rPr>
                <w:rFonts w:hint="default" w:ascii="Times New Roman" w:hAnsi="Times New Roman" w:eastAsia="宋体" w:cs="Times New Roman"/>
                <w:color w:val="auto"/>
                <w:spacing w:val="0"/>
                <w:kern w:val="24"/>
                <w:position w:val="0"/>
                <w:highlight w:val="none"/>
                <w:u w:val="none" w:color="auto"/>
                <w:lang w:val="en-US" w:eastAsia="zh-CN"/>
              </w:rPr>
            </w:pPr>
            <w:r>
              <w:rPr>
                <w:rFonts w:hint="default" w:ascii="Times New Roman" w:hAnsi="Times New Roman" w:eastAsia="宋体" w:cs="Times New Roman"/>
                <w:color w:val="auto"/>
                <w:spacing w:val="0"/>
                <w:kern w:val="24"/>
                <w:position w:val="0"/>
                <w:highlight w:val="none"/>
                <w:u w:val="none" w:color="auto"/>
                <w:lang w:val="en-US" w:eastAsia="zh-CN"/>
              </w:rPr>
              <w:t>95</w:t>
            </w:r>
          </w:p>
        </w:tc>
        <w:tc>
          <w:tcPr>
            <w:tcW w:w="805" w:type="pct"/>
            <w:noWrap w:val="0"/>
            <w:vAlign w:val="center"/>
          </w:tcPr>
          <w:p w14:paraId="167AB8D2">
            <w:pPr>
              <w:pStyle w:val="111"/>
              <w:keepNext w:val="0"/>
              <w:keepLines w:val="0"/>
              <w:pageBreakBefore w:val="0"/>
              <w:widowControl w:val="0"/>
              <w:kinsoku/>
              <w:wordWrap/>
              <w:overflowPunct/>
              <w:topLinePunct w:val="0"/>
              <w:autoSpaceDE/>
              <w:autoSpaceDN/>
              <w:bidi w:val="0"/>
              <w:adjustRightInd/>
              <w:snapToGrid/>
              <w:spacing w:before="0" w:beforeLines="0" w:after="0" w:afterLines="0"/>
              <w:textAlignment w:val="auto"/>
              <w:rPr>
                <w:rFonts w:hint="default" w:ascii="Times New Roman" w:hAnsi="Times New Roman" w:eastAsia="宋体" w:cs="Times New Roman"/>
                <w:color w:val="auto"/>
                <w:spacing w:val="0"/>
                <w:kern w:val="24"/>
                <w:position w:val="0"/>
                <w:highlight w:val="none"/>
                <w:u w:val="none" w:color="auto"/>
                <w:lang w:val="en-US" w:eastAsia="zh-CN"/>
              </w:rPr>
            </w:pPr>
            <w:r>
              <w:rPr>
                <w:rFonts w:hint="default" w:ascii="Times New Roman" w:hAnsi="Times New Roman" w:eastAsia="宋体" w:cs="Times New Roman"/>
                <w:color w:val="auto"/>
                <w:spacing w:val="0"/>
                <w:kern w:val="24"/>
                <w:position w:val="0"/>
                <w:highlight w:val="none"/>
                <w:u w:val="none" w:color="auto"/>
                <w:lang w:val="en-US" w:eastAsia="zh-CN"/>
              </w:rPr>
              <w:t>70</w:t>
            </w:r>
          </w:p>
        </w:tc>
        <w:tc>
          <w:tcPr>
            <w:tcW w:w="719" w:type="pct"/>
            <w:noWrap w:val="0"/>
            <w:vAlign w:val="center"/>
          </w:tcPr>
          <w:p w14:paraId="0E9F335C">
            <w:pPr>
              <w:pStyle w:val="111"/>
              <w:keepNext w:val="0"/>
              <w:keepLines w:val="0"/>
              <w:pageBreakBefore w:val="0"/>
              <w:widowControl w:val="0"/>
              <w:kinsoku/>
              <w:wordWrap/>
              <w:overflowPunct/>
              <w:topLinePunct w:val="0"/>
              <w:autoSpaceDE/>
              <w:autoSpaceDN/>
              <w:bidi w:val="0"/>
              <w:adjustRightInd/>
              <w:snapToGrid/>
              <w:spacing w:before="0" w:beforeLines="0" w:after="0" w:afterLines="0"/>
              <w:textAlignment w:val="auto"/>
              <w:rPr>
                <w:rFonts w:hint="default" w:ascii="Times New Roman" w:hAnsi="Times New Roman" w:eastAsia="宋体" w:cs="Times New Roman"/>
                <w:color w:val="auto"/>
                <w:spacing w:val="0"/>
                <w:kern w:val="24"/>
                <w:position w:val="0"/>
                <w:highlight w:val="none"/>
                <w:u w:val="none" w:color="auto"/>
                <w:lang w:val="en-US" w:eastAsia="zh-CN"/>
              </w:rPr>
            </w:pPr>
            <w:r>
              <w:rPr>
                <w:rFonts w:hint="default" w:ascii="Times New Roman" w:hAnsi="Times New Roman" w:eastAsia="宋体" w:cs="Times New Roman"/>
                <w:color w:val="auto"/>
                <w:spacing w:val="0"/>
                <w:kern w:val="24"/>
                <w:position w:val="0"/>
                <w:highlight w:val="none"/>
                <w:u w:val="none" w:color="auto"/>
                <w:lang w:val="en-US" w:eastAsia="zh-CN"/>
              </w:rPr>
              <w:t>2850</w:t>
            </w:r>
          </w:p>
        </w:tc>
        <w:tc>
          <w:tcPr>
            <w:tcW w:w="716" w:type="pct"/>
            <w:noWrap w:val="0"/>
            <w:vAlign w:val="center"/>
          </w:tcPr>
          <w:p w14:paraId="5C6645E8">
            <w:pPr>
              <w:pStyle w:val="111"/>
              <w:keepNext w:val="0"/>
              <w:keepLines w:val="0"/>
              <w:pageBreakBefore w:val="0"/>
              <w:widowControl w:val="0"/>
              <w:kinsoku/>
              <w:wordWrap/>
              <w:overflowPunct/>
              <w:topLinePunct w:val="0"/>
              <w:autoSpaceDE/>
              <w:autoSpaceDN/>
              <w:bidi w:val="0"/>
              <w:adjustRightInd/>
              <w:snapToGrid/>
              <w:spacing w:before="0" w:beforeLines="0" w:after="0" w:afterLines="0"/>
              <w:textAlignment w:val="auto"/>
              <w:rPr>
                <w:rFonts w:hint="default" w:ascii="Times New Roman" w:hAnsi="Times New Roman" w:eastAsia="宋体" w:cs="Times New Roman"/>
                <w:color w:val="auto"/>
                <w:spacing w:val="0"/>
                <w:kern w:val="24"/>
                <w:position w:val="0"/>
                <w:highlight w:val="none"/>
                <w:u w:val="none" w:color="auto"/>
                <w:lang w:val="en-US" w:eastAsia="zh-CN"/>
              </w:rPr>
            </w:pPr>
            <w:r>
              <w:rPr>
                <w:rFonts w:hint="default" w:ascii="Times New Roman" w:hAnsi="Times New Roman" w:eastAsia="宋体" w:cs="Times New Roman"/>
                <w:color w:val="auto"/>
                <w:spacing w:val="0"/>
                <w:kern w:val="24"/>
                <w:position w:val="0"/>
                <w:highlight w:val="none"/>
                <w:u w:val="none" w:color="auto"/>
                <w:lang w:val="en-US" w:eastAsia="zh-CN"/>
              </w:rPr>
              <w:t>52</w:t>
            </w:r>
          </w:p>
        </w:tc>
        <w:tc>
          <w:tcPr>
            <w:tcW w:w="983" w:type="pct"/>
            <w:noWrap w:val="0"/>
            <w:vAlign w:val="center"/>
          </w:tcPr>
          <w:p w14:paraId="67D6B237">
            <w:pPr>
              <w:pStyle w:val="111"/>
              <w:keepNext w:val="0"/>
              <w:keepLines w:val="0"/>
              <w:pageBreakBefore w:val="0"/>
              <w:widowControl w:val="0"/>
              <w:kinsoku/>
              <w:wordWrap/>
              <w:overflowPunct/>
              <w:topLinePunct w:val="0"/>
              <w:autoSpaceDE/>
              <w:autoSpaceDN/>
              <w:bidi w:val="0"/>
              <w:adjustRightInd/>
              <w:snapToGrid/>
              <w:spacing w:before="0" w:beforeLines="0" w:after="0" w:afterLines="0"/>
              <w:textAlignment w:val="auto"/>
              <w:rPr>
                <w:rFonts w:hint="default" w:ascii="Times New Roman" w:hAnsi="Times New Roman" w:eastAsia="宋体" w:cs="Times New Roman"/>
                <w:color w:val="auto"/>
                <w:spacing w:val="0"/>
                <w:kern w:val="24"/>
                <w:position w:val="0"/>
                <w:highlight w:val="none"/>
                <w:u w:val="none" w:color="auto"/>
                <w:lang w:val="en-US" w:eastAsia="zh-CN"/>
              </w:rPr>
            </w:pPr>
            <w:r>
              <w:rPr>
                <w:rFonts w:hint="default" w:ascii="Times New Roman" w:hAnsi="Times New Roman" w:eastAsia="宋体" w:cs="Times New Roman"/>
                <w:color w:val="auto"/>
                <w:spacing w:val="0"/>
                <w:kern w:val="24"/>
                <w:position w:val="0"/>
                <w:highlight w:val="none"/>
                <w:u w:val="none" w:color="auto"/>
                <w:lang w:val="en-US" w:eastAsia="zh-CN"/>
              </w:rPr>
              <w:t>1280</w:t>
            </w:r>
          </w:p>
        </w:tc>
        <w:tc>
          <w:tcPr>
            <w:tcW w:w="976" w:type="pct"/>
            <w:vMerge w:val="restart"/>
            <w:noWrap w:val="0"/>
            <w:vAlign w:val="center"/>
          </w:tcPr>
          <w:p w14:paraId="3FFDA053">
            <w:pPr>
              <w:pStyle w:val="111"/>
              <w:keepNext w:val="0"/>
              <w:keepLines w:val="0"/>
              <w:pageBreakBefore w:val="0"/>
              <w:widowControl w:val="0"/>
              <w:kinsoku/>
              <w:wordWrap/>
              <w:overflowPunct/>
              <w:topLinePunct w:val="0"/>
              <w:autoSpaceDE/>
              <w:autoSpaceDN/>
              <w:bidi w:val="0"/>
              <w:adjustRightInd/>
              <w:snapToGrid/>
              <w:spacing w:before="0" w:beforeLines="0" w:after="0" w:afterLines="0"/>
              <w:textAlignment w:val="auto"/>
              <w:rPr>
                <w:rFonts w:hint="default" w:ascii="Times New Roman" w:hAnsi="Times New Roman" w:eastAsia="宋体" w:cs="Times New Roman"/>
                <w:color w:val="auto"/>
                <w:spacing w:val="0"/>
                <w:kern w:val="24"/>
                <w:position w:val="0"/>
                <w:highlight w:val="none"/>
                <w:u w:val="none" w:color="auto"/>
                <w:lang w:val="en-US" w:eastAsia="zh-CN"/>
              </w:rPr>
            </w:pPr>
            <w:r>
              <w:rPr>
                <w:rFonts w:hint="default" w:ascii="Times New Roman" w:hAnsi="Times New Roman" w:eastAsia="宋体" w:cs="Times New Roman"/>
                <w:color w:val="auto"/>
                <w:spacing w:val="0"/>
                <w:kern w:val="24"/>
                <w:position w:val="0"/>
                <w:highlight w:val="none"/>
                <w:u w:val="none" w:color="auto"/>
                <w:lang w:val="en-US" w:eastAsia="zh-CN"/>
              </w:rPr>
              <w:t>最不利气象</w:t>
            </w:r>
          </w:p>
        </w:tc>
      </w:tr>
      <w:tr w14:paraId="7686A14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23" w:hRule="atLeast"/>
        </w:trPr>
        <w:tc>
          <w:tcPr>
            <w:tcW w:w="799" w:type="pct"/>
            <w:noWrap w:val="0"/>
            <w:vAlign w:val="center"/>
          </w:tcPr>
          <w:p w14:paraId="55BD949F">
            <w:pPr>
              <w:pStyle w:val="111"/>
              <w:keepNext w:val="0"/>
              <w:keepLines w:val="0"/>
              <w:pageBreakBefore w:val="0"/>
              <w:widowControl w:val="0"/>
              <w:kinsoku/>
              <w:wordWrap/>
              <w:overflowPunct/>
              <w:topLinePunct w:val="0"/>
              <w:autoSpaceDE/>
              <w:autoSpaceDN/>
              <w:bidi w:val="0"/>
              <w:adjustRightInd/>
              <w:snapToGrid/>
              <w:spacing w:before="0" w:beforeLines="0" w:after="0" w:afterLines="0"/>
              <w:textAlignment w:val="auto"/>
              <w:rPr>
                <w:rFonts w:hint="default" w:ascii="Times New Roman" w:hAnsi="Times New Roman" w:eastAsia="宋体" w:cs="Times New Roman"/>
                <w:color w:val="auto"/>
                <w:spacing w:val="0"/>
                <w:kern w:val="24"/>
                <w:position w:val="0"/>
                <w:highlight w:val="none"/>
                <w:u w:val="none" w:color="auto"/>
                <w:lang w:val="en-US" w:eastAsia="zh-CN"/>
              </w:rPr>
            </w:pPr>
            <w:r>
              <w:rPr>
                <w:rFonts w:hint="default" w:ascii="Times New Roman" w:hAnsi="Times New Roman" w:eastAsia="宋体" w:cs="Times New Roman"/>
                <w:color w:val="auto"/>
                <w:spacing w:val="0"/>
                <w:kern w:val="24"/>
                <w:position w:val="0"/>
                <w:highlight w:val="none"/>
                <w:u w:val="none" w:color="auto"/>
                <w:lang w:val="en-US" w:eastAsia="zh-CN"/>
              </w:rPr>
              <w:t>380</w:t>
            </w:r>
          </w:p>
        </w:tc>
        <w:tc>
          <w:tcPr>
            <w:tcW w:w="805" w:type="pct"/>
            <w:noWrap w:val="0"/>
            <w:vAlign w:val="center"/>
          </w:tcPr>
          <w:p w14:paraId="0BB92DF4">
            <w:pPr>
              <w:pStyle w:val="111"/>
              <w:keepNext w:val="0"/>
              <w:keepLines w:val="0"/>
              <w:pageBreakBefore w:val="0"/>
              <w:widowControl w:val="0"/>
              <w:kinsoku/>
              <w:wordWrap/>
              <w:overflowPunct/>
              <w:topLinePunct w:val="0"/>
              <w:autoSpaceDE/>
              <w:autoSpaceDN/>
              <w:bidi w:val="0"/>
              <w:adjustRightInd/>
              <w:snapToGrid/>
              <w:spacing w:before="0" w:beforeLines="0" w:after="0" w:afterLines="0"/>
              <w:textAlignment w:val="auto"/>
              <w:rPr>
                <w:rFonts w:hint="default" w:ascii="Times New Roman" w:hAnsi="Times New Roman" w:eastAsia="宋体" w:cs="Times New Roman"/>
                <w:color w:val="auto"/>
                <w:spacing w:val="0"/>
                <w:kern w:val="24"/>
                <w:position w:val="0"/>
                <w:highlight w:val="none"/>
                <w:u w:val="none" w:color="auto"/>
                <w:lang w:val="en-US" w:eastAsia="zh-CN"/>
              </w:rPr>
            </w:pPr>
            <w:r>
              <w:rPr>
                <w:rFonts w:hint="default" w:ascii="Times New Roman" w:hAnsi="Times New Roman" w:eastAsia="宋体" w:cs="Times New Roman"/>
                <w:color w:val="auto"/>
                <w:spacing w:val="0"/>
                <w:kern w:val="24"/>
                <w:position w:val="0"/>
                <w:highlight w:val="none"/>
                <w:u w:val="none" w:color="auto"/>
                <w:lang w:val="en-US" w:eastAsia="zh-CN"/>
              </w:rPr>
              <w:t>90</w:t>
            </w:r>
          </w:p>
        </w:tc>
        <w:tc>
          <w:tcPr>
            <w:tcW w:w="719" w:type="pct"/>
            <w:noWrap w:val="0"/>
            <w:vAlign w:val="center"/>
          </w:tcPr>
          <w:p w14:paraId="0300282F">
            <w:pPr>
              <w:pStyle w:val="111"/>
              <w:keepNext w:val="0"/>
              <w:keepLines w:val="0"/>
              <w:pageBreakBefore w:val="0"/>
              <w:widowControl w:val="0"/>
              <w:kinsoku/>
              <w:wordWrap/>
              <w:overflowPunct/>
              <w:topLinePunct w:val="0"/>
              <w:autoSpaceDE/>
              <w:autoSpaceDN/>
              <w:bidi w:val="0"/>
              <w:adjustRightInd/>
              <w:snapToGrid/>
              <w:spacing w:before="0" w:beforeLines="0" w:after="0" w:afterLines="0"/>
              <w:textAlignment w:val="auto"/>
              <w:rPr>
                <w:rFonts w:hint="default" w:ascii="Times New Roman" w:hAnsi="Times New Roman" w:eastAsia="宋体" w:cs="Times New Roman"/>
                <w:color w:val="auto"/>
                <w:spacing w:val="0"/>
                <w:kern w:val="24"/>
                <w:position w:val="0"/>
                <w:highlight w:val="none"/>
                <w:u w:val="none" w:color="auto"/>
                <w:lang w:val="en-US" w:eastAsia="zh-CN"/>
              </w:rPr>
            </w:pPr>
            <w:r>
              <w:rPr>
                <w:rFonts w:hint="default" w:ascii="Times New Roman" w:hAnsi="Times New Roman" w:eastAsia="宋体" w:cs="Times New Roman"/>
                <w:color w:val="auto"/>
                <w:spacing w:val="0"/>
                <w:kern w:val="24"/>
                <w:position w:val="0"/>
                <w:highlight w:val="none"/>
                <w:u w:val="none" w:color="auto"/>
                <w:lang w:val="en-US" w:eastAsia="zh-CN"/>
              </w:rPr>
              <w:t>1030</w:t>
            </w:r>
          </w:p>
        </w:tc>
        <w:tc>
          <w:tcPr>
            <w:tcW w:w="716" w:type="pct"/>
            <w:noWrap w:val="0"/>
            <w:vAlign w:val="center"/>
          </w:tcPr>
          <w:p w14:paraId="4138D39F">
            <w:pPr>
              <w:pStyle w:val="111"/>
              <w:keepNext w:val="0"/>
              <w:keepLines w:val="0"/>
              <w:pageBreakBefore w:val="0"/>
              <w:widowControl w:val="0"/>
              <w:kinsoku/>
              <w:wordWrap/>
              <w:overflowPunct/>
              <w:topLinePunct w:val="0"/>
              <w:autoSpaceDE/>
              <w:autoSpaceDN/>
              <w:bidi w:val="0"/>
              <w:adjustRightInd/>
              <w:snapToGrid/>
              <w:spacing w:before="0" w:beforeLines="0" w:after="0" w:afterLines="0"/>
              <w:textAlignment w:val="auto"/>
              <w:rPr>
                <w:rFonts w:hint="default" w:ascii="Times New Roman" w:hAnsi="Times New Roman" w:eastAsia="宋体" w:cs="Times New Roman"/>
                <w:color w:val="auto"/>
                <w:spacing w:val="0"/>
                <w:kern w:val="24"/>
                <w:position w:val="0"/>
                <w:highlight w:val="none"/>
                <w:u w:val="none" w:color="auto"/>
                <w:lang w:val="en-US" w:eastAsia="zh-CN"/>
              </w:rPr>
            </w:pPr>
            <w:r>
              <w:rPr>
                <w:rFonts w:hint="default" w:ascii="Times New Roman" w:hAnsi="Times New Roman" w:eastAsia="宋体" w:cs="Times New Roman"/>
                <w:color w:val="auto"/>
                <w:spacing w:val="0"/>
                <w:kern w:val="24"/>
                <w:position w:val="0"/>
                <w:highlight w:val="none"/>
                <w:u w:val="none" w:color="auto"/>
                <w:lang w:val="en-US" w:eastAsia="zh-CN"/>
              </w:rPr>
              <w:t>22</w:t>
            </w:r>
          </w:p>
        </w:tc>
        <w:tc>
          <w:tcPr>
            <w:tcW w:w="983" w:type="pct"/>
            <w:noWrap w:val="0"/>
            <w:vAlign w:val="center"/>
          </w:tcPr>
          <w:p w14:paraId="575B77EA">
            <w:pPr>
              <w:pStyle w:val="111"/>
              <w:keepNext w:val="0"/>
              <w:keepLines w:val="0"/>
              <w:pageBreakBefore w:val="0"/>
              <w:widowControl w:val="0"/>
              <w:kinsoku/>
              <w:wordWrap/>
              <w:overflowPunct/>
              <w:topLinePunct w:val="0"/>
              <w:autoSpaceDE/>
              <w:autoSpaceDN/>
              <w:bidi w:val="0"/>
              <w:adjustRightInd/>
              <w:snapToGrid/>
              <w:spacing w:before="0" w:beforeLines="0" w:after="0" w:afterLines="0"/>
              <w:textAlignment w:val="auto"/>
              <w:rPr>
                <w:rFonts w:hint="default" w:ascii="Times New Roman" w:hAnsi="Times New Roman" w:eastAsia="宋体" w:cs="Times New Roman"/>
                <w:color w:val="auto"/>
                <w:spacing w:val="0"/>
                <w:kern w:val="24"/>
                <w:position w:val="0"/>
                <w:highlight w:val="none"/>
                <w:u w:val="none" w:color="auto"/>
                <w:lang w:val="en-US" w:eastAsia="zh-CN"/>
              </w:rPr>
            </w:pPr>
            <w:r>
              <w:rPr>
                <w:rFonts w:hint="default" w:ascii="Times New Roman" w:hAnsi="Times New Roman" w:eastAsia="宋体" w:cs="Times New Roman"/>
                <w:color w:val="auto"/>
                <w:spacing w:val="0"/>
                <w:kern w:val="24"/>
                <w:position w:val="0"/>
                <w:highlight w:val="none"/>
                <w:u w:val="none" w:color="auto"/>
                <w:lang w:val="en-US" w:eastAsia="zh-CN"/>
              </w:rPr>
              <w:t>530</w:t>
            </w:r>
          </w:p>
        </w:tc>
        <w:tc>
          <w:tcPr>
            <w:tcW w:w="976" w:type="pct"/>
            <w:vMerge w:val="continue"/>
            <w:noWrap w:val="0"/>
            <w:vAlign w:val="center"/>
          </w:tcPr>
          <w:p w14:paraId="291182D4">
            <w:pPr>
              <w:pStyle w:val="111"/>
              <w:keepNext w:val="0"/>
              <w:keepLines w:val="0"/>
              <w:pageBreakBefore w:val="0"/>
              <w:widowControl w:val="0"/>
              <w:kinsoku/>
              <w:wordWrap/>
              <w:overflowPunct/>
              <w:topLinePunct w:val="0"/>
              <w:autoSpaceDE/>
              <w:autoSpaceDN/>
              <w:bidi w:val="0"/>
              <w:adjustRightInd/>
              <w:snapToGrid/>
              <w:spacing w:before="0" w:beforeLines="0" w:after="0" w:afterLines="0"/>
              <w:textAlignment w:val="auto"/>
              <w:rPr>
                <w:rFonts w:hint="default" w:ascii="Times New Roman" w:hAnsi="Times New Roman" w:eastAsia="宋体" w:cs="Times New Roman"/>
                <w:color w:val="auto"/>
                <w:spacing w:val="0"/>
                <w:kern w:val="24"/>
                <w:position w:val="0"/>
                <w:highlight w:val="none"/>
                <w:u w:val="none" w:color="auto"/>
                <w:lang w:val="en-US" w:eastAsia="zh-CN"/>
              </w:rPr>
            </w:pPr>
          </w:p>
        </w:tc>
      </w:tr>
    </w:tbl>
    <w:p w14:paraId="6BC27A80">
      <w:pPr>
        <w:pStyle w:val="17"/>
        <w:numPr>
          <w:ilvl w:val="0"/>
          <w:numId w:val="0"/>
        </w:numPr>
        <w:wordWrap/>
        <w:topLinePunct w:val="0"/>
        <w:bidi w:val="0"/>
        <w:adjustRightInd/>
        <w:snapToGrid/>
        <w:spacing w:line="240" w:lineRule="auto"/>
        <w:ind w:leftChars="0"/>
        <w:jc w:val="center"/>
        <w:rPr>
          <w:rFonts w:hint="default" w:ascii="Times New Roman" w:hAnsi="Times New Roman" w:eastAsia="宋体" w:cs="Times New Roman"/>
          <w:b/>
          <w:bCs w:val="0"/>
          <w:color w:val="auto"/>
          <w:spacing w:val="0"/>
          <w:kern w:val="24"/>
          <w:position w:val="0"/>
          <w:sz w:val="21"/>
          <w:szCs w:val="16"/>
          <w:highlight w:val="none"/>
          <w:u w:val="none" w:color="auto"/>
          <w:lang w:val="zh-TW" w:eastAsia="zh-CN"/>
        </w:rPr>
      </w:pPr>
      <w:r>
        <w:rPr>
          <w:rFonts w:hint="default" w:ascii="Times New Roman" w:hAnsi="Times New Roman" w:eastAsia="宋体" w:cs="Times New Roman"/>
          <w:color w:val="auto"/>
          <w:u w:val="none" w:color="auto"/>
        </w:rPr>
        <w:drawing>
          <wp:inline distT="0" distB="0" distL="114300" distR="114300">
            <wp:extent cx="5613400" cy="3425190"/>
            <wp:effectExtent l="0" t="0" r="6350" b="3810"/>
            <wp:docPr id="119"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23"/>
                    <pic:cNvPicPr>
                      <a:picLocks noChangeAspect="1"/>
                    </pic:cNvPicPr>
                  </pic:nvPicPr>
                  <pic:blipFill>
                    <a:blip r:embed="rId64"/>
                    <a:stretch>
                      <a:fillRect/>
                    </a:stretch>
                  </pic:blipFill>
                  <pic:spPr>
                    <a:xfrm>
                      <a:off x="0" y="0"/>
                      <a:ext cx="5613400" cy="3425190"/>
                    </a:xfrm>
                    <a:prstGeom prst="rect">
                      <a:avLst/>
                    </a:prstGeom>
                    <a:noFill/>
                    <a:ln>
                      <a:noFill/>
                    </a:ln>
                  </pic:spPr>
                </pic:pic>
              </a:graphicData>
            </a:graphic>
          </wp:inline>
        </w:drawing>
      </w:r>
    </w:p>
    <w:p w14:paraId="29E983A2">
      <w:pPr>
        <w:numPr>
          <w:ilvl w:val="0"/>
          <w:numId w:val="14"/>
        </w:numPr>
        <w:wordWrap/>
        <w:topLinePunct w:val="0"/>
        <w:bidi w:val="0"/>
        <w:adjustRightInd/>
        <w:snapToGrid/>
        <w:ind w:left="420" w:leftChars="0" w:hanging="420" w:firstLineChars="0"/>
        <w:jc w:val="center"/>
        <w:rPr>
          <w:rFonts w:hint="default" w:ascii="Times New Roman" w:hAnsi="Times New Roman" w:eastAsia="宋体" w:cs="Times New Roman"/>
          <w:b/>
          <w:bCs/>
          <w:color w:val="auto"/>
          <w:spacing w:val="0"/>
          <w:kern w:val="24"/>
          <w:position w:val="0"/>
          <w:u w:val="none" w:color="auto"/>
          <w:lang w:val="en-US" w:eastAsia="zh-CN"/>
        </w:rPr>
      </w:pPr>
      <w:r>
        <w:rPr>
          <w:rFonts w:hint="default" w:ascii="Times New Roman" w:hAnsi="Times New Roman" w:eastAsia="宋体" w:cs="Times New Roman"/>
          <w:b/>
          <w:bCs/>
          <w:color w:val="auto"/>
          <w:spacing w:val="0"/>
          <w:kern w:val="24"/>
          <w:position w:val="0"/>
          <w:u w:val="none" w:color="auto"/>
          <w:lang w:val="en-US" w:eastAsia="zh-CN"/>
        </w:rPr>
        <w:t>浓度达到不同毒性终点浓度的最大影响范围示意图（最不利气象）</w:t>
      </w:r>
    </w:p>
    <w:p w14:paraId="5DF186FD">
      <w:pPr>
        <w:rPr>
          <w:rFonts w:hint="default" w:ascii="Times New Roman" w:hAnsi="Times New Roman" w:eastAsia="宋体" w:cs="Times New Roman"/>
          <w:color w:val="auto"/>
          <w:u w:val="none" w:color="auto"/>
          <w:lang w:val="zh-TW" w:eastAsia="zh-CN"/>
        </w:rPr>
      </w:pPr>
    </w:p>
    <w:p w14:paraId="5772103D">
      <w:pPr>
        <w:pStyle w:val="17"/>
        <w:numPr>
          <w:ilvl w:val="0"/>
          <w:numId w:val="13"/>
        </w:numPr>
        <w:wordWrap/>
        <w:topLinePunct w:val="0"/>
        <w:bidi w:val="0"/>
        <w:adjustRightInd/>
        <w:snapToGrid/>
        <w:spacing w:line="240" w:lineRule="auto"/>
        <w:jc w:val="center"/>
        <w:rPr>
          <w:rFonts w:hint="default" w:ascii="Times New Roman" w:hAnsi="Times New Roman" w:eastAsia="宋体" w:cs="Times New Roman"/>
          <w:b/>
          <w:bCs w:val="0"/>
          <w:color w:val="auto"/>
          <w:spacing w:val="0"/>
          <w:kern w:val="24"/>
          <w:position w:val="0"/>
          <w:sz w:val="21"/>
          <w:szCs w:val="16"/>
          <w:highlight w:val="none"/>
          <w:u w:val="none" w:color="auto"/>
          <w:lang w:val="zh-TW" w:eastAsia="zh-CN"/>
        </w:rPr>
      </w:pPr>
      <w:r>
        <w:rPr>
          <w:rFonts w:hint="default" w:ascii="Times New Roman" w:hAnsi="Times New Roman" w:eastAsia="宋体" w:cs="Times New Roman"/>
          <w:b/>
          <w:bCs w:val="0"/>
          <w:color w:val="auto"/>
          <w:spacing w:val="0"/>
          <w:kern w:val="24"/>
          <w:position w:val="0"/>
          <w:sz w:val="21"/>
          <w:szCs w:val="16"/>
          <w:highlight w:val="none"/>
          <w:u w:val="none" w:color="auto"/>
          <w:lang w:val="zh-TW" w:eastAsia="zh-CN"/>
        </w:rPr>
        <w:t>下风向相对关心点影响程度预测一览表</w:t>
      </w:r>
    </w:p>
    <w:tbl>
      <w:tblPr>
        <w:tblStyle w:val="32"/>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3879"/>
        <w:gridCol w:w="2670"/>
        <w:gridCol w:w="2511"/>
      </w:tblGrid>
      <w:tr w14:paraId="39B30BA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140" w:type="pct"/>
            <w:tcBorders>
              <w:tl2br w:val="nil"/>
              <w:tr2bl w:val="nil"/>
            </w:tcBorders>
            <w:noWrap w:val="0"/>
            <w:vAlign w:val="center"/>
          </w:tcPr>
          <w:p w14:paraId="43AAB874">
            <w:pPr>
              <w:jc w:val="center"/>
              <w:rPr>
                <w:rFonts w:hint="default" w:ascii="Times New Roman" w:hAnsi="Times New Roman" w:eastAsia="宋体" w:cs="Times New Roman"/>
                <w:b/>
                <w:bCs/>
                <w:color w:val="auto"/>
                <w:u w:val="none" w:color="auto"/>
              </w:rPr>
            </w:pPr>
            <w:r>
              <w:rPr>
                <w:rFonts w:hint="default" w:ascii="Times New Roman" w:hAnsi="Times New Roman" w:eastAsia="宋体" w:cs="Times New Roman"/>
                <w:b/>
                <w:bCs/>
                <w:color w:val="auto"/>
                <w:u w:val="none" w:color="auto"/>
              </w:rPr>
              <w:t>名称</w:t>
            </w:r>
          </w:p>
        </w:tc>
        <w:tc>
          <w:tcPr>
            <w:tcW w:w="1473" w:type="pct"/>
            <w:tcBorders>
              <w:tl2br w:val="nil"/>
              <w:tr2bl w:val="nil"/>
            </w:tcBorders>
            <w:noWrap w:val="0"/>
            <w:vAlign w:val="center"/>
          </w:tcPr>
          <w:p w14:paraId="19D2B011">
            <w:pPr>
              <w:jc w:val="center"/>
              <w:rPr>
                <w:rFonts w:hint="default" w:ascii="Times New Roman" w:hAnsi="Times New Roman" w:eastAsia="宋体" w:cs="Times New Roman"/>
                <w:b/>
                <w:bCs/>
                <w:color w:val="auto"/>
                <w:u w:val="none" w:color="auto"/>
              </w:rPr>
            </w:pPr>
            <w:r>
              <w:rPr>
                <w:rFonts w:hint="default" w:ascii="Times New Roman" w:hAnsi="Times New Roman" w:eastAsia="宋体" w:cs="Times New Roman"/>
                <w:b/>
                <w:bCs/>
                <w:color w:val="auto"/>
                <w:u w:val="none" w:color="auto"/>
              </w:rPr>
              <w:t>最大浓度</w:t>
            </w:r>
          </w:p>
        </w:tc>
        <w:tc>
          <w:tcPr>
            <w:tcW w:w="1385" w:type="pct"/>
            <w:tcBorders>
              <w:tl2br w:val="nil"/>
              <w:tr2bl w:val="nil"/>
            </w:tcBorders>
            <w:noWrap w:val="0"/>
            <w:vAlign w:val="center"/>
          </w:tcPr>
          <w:p w14:paraId="0D6C678A">
            <w:pPr>
              <w:jc w:val="center"/>
              <w:rPr>
                <w:rFonts w:hint="default" w:ascii="Times New Roman" w:hAnsi="Times New Roman" w:eastAsia="宋体" w:cs="Times New Roman"/>
                <w:b/>
                <w:bCs/>
                <w:color w:val="auto"/>
                <w:u w:val="none" w:color="auto"/>
              </w:rPr>
            </w:pPr>
            <w:r>
              <w:rPr>
                <w:rFonts w:hint="default" w:ascii="Times New Roman" w:hAnsi="Times New Roman" w:eastAsia="宋体" w:cs="Times New Roman"/>
                <w:b/>
                <w:bCs/>
                <w:color w:val="auto"/>
                <w:u w:val="none" w:color="auto"/>
              </w:rPr>
              <w:t>时间(min)</w:t>
            </w:r>
          </w:p>
        </w:tc>
      </w:tr>
      <w:tr w14:paraId="753D4DC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140" w:type="pct"/>
            <w:tcBorders>
              <w:tl2br w:val="nil"/>
              <w:tr2bl w:val="nil"/>
            </w:tcBorders>
            <w:noWrap w:val="0"/>
            <w:vAlign w:val="center"/>
          </w:tcPr>
          <w:p w14:paraId="59C662CB">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象骨港居民点</w:t>
            </w:r>
          </w:p>
        </w:tc>
        <w:tc>
          <w:tcPr>
            <w:tcW w:w="1473" w:type="pct"/>
            <w:tcBorders>
              <w:tl2br w:val="nil"/>
              <w:tr2bl w:val="nil"/>
            </w:tcBorders>
            <w:noWrap w:val="0"/>
            <w:vAlign w:val="center"/>
          </w:tcPr>
          <w:p w14:paraId="0B67117E">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0.00E+00</w:t>
            </w:r>
          </w:p>
        </w:tc>
        <w:tc>
          <w:tcPr>
            <w:tcW w:w="1385" w:type="pct"/>
            <w:tcBorders>
              <w:tl2br w:val="nil"/>
              <w:tr2bl w:val="nil"/>
            </w:tcBorders>
            <w:noWrap w:val="0"/>
            <w:vAlign w:val="center"/>
          </w:tcPr>
          <w:p w14:paraId="3D729A74">
            <w:pPr>
              <w:jc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5</w:t>
            </w:r>
          </w:p>
        </w:tc>
      </w:tr>
      <w:tr w14:paraId="1F1B26F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140" w:type="pct"/>
            <w:tcBorders>
              <w:tl2br w:val="nil"/>
              <w:tr2bl w:val="nil"/>
            </w:tcBorders>
            <w:noWrap w:val="0"/>
            <w:vAlign w:val="center"/>
          </w:tcPr>
          <w:p w14:paraId="12BF7DDA">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王家屋场</w:t>
            </w:r>
          </w:p>
        </w:tc>
        <w:tc>
          <w:tcPr>
            <w:tcW w:w="2670" w:type="dxa"/>
            <w:tcBorders>
              <w:tl2br w:val="nil"/>
              <w:tr2bl w:val="nil"/>
            </w:tcBorders>
            <w:noWrap w:val="0"/>
            <w:vAlign w:val="center"/>
          </w:tcPr>
          <w:p w14:paraId="203F5DB3">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0.00E+00</w:t>
            </w:r>
          </w:p>
        </w:tc>
        <w:tc>
          <w:tcPr>
            <w:tcW w:w="2511" w:type="dxa"/>
            <w:tcBorders>
              <w:tl2br w:val="nil"/>
              <w:tr2bl w:val="nil"/>
            </w:tcBorders>
            <w:noWrap w:val="0"/>
            <w:vAlign w:val="center"/>
          </w:tcPr>
          <w:p w14:paraId="33DC78B1">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val="en-US" w:eastAsia="zh-CN"/>
              </w:rPr>
              <w:t>5</w:t>
            </w:r>
          </w:p>
        </w:tc>
      </w:tr>
      <w:tr w14:paraId="04617EB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140" w:type="pct"/>
            <w:tcBorders>
              <w:tl2br w:val="nil"/>
              <w:tr2bl w:val="nil"/>
            </w:tcBorders>
            <w:noWrap w:val="0"/>
            <w:vAlign w:val="center"/>
          </w:tcPr>
          <w:p w14:paraId="0AEE9246">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永济新镇保障性住房</w:t>
            </w:r>
          </w:p>
        </w:tc>
        <w:tc>
          <w:tcPr>
            <w:tcW w:w="2670" w:type="dxa"/>
            <w:tcBorders>
              <w:tl2br w:val="nil"/>
              <w:tr2bl w:val="nil"/>
            </w:tcBorders>
            <w:noWrap w:val="0"/>
            <w:vAlign w:val="center"/>
          </w:tcPr>
          <w:p w14:paraId="04A5265B">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0.00E+00</w:t>
            </w:r>
          </w:p>
        </w:tc>
        <w:tc>
          <w:tcPr>
            <w:tcW w:w="2511" w:type="dxa"/>
            <w:tcBorders>
              <w:tl2br w:val="nil"/>
              <w:tr2bl w:val="nil"/>
            </w:tcBorders>
            <w:noWrap w:val="0"/>
            <w:vAlign w:val="center"/>
          </w:tcPr>
          <w:p w14:paraId="6E226912">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val="en-US" w:eastAsia="zh-CN"/>
              </w:rPr>
              <w:t>5</w:t>
            </w:r>
          </w:p>
        </w:tc>
      </w:tr>
      <w:tr w14:paraId="0446537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140" w:type="pct"/>
            <w:tcBorders>
              <w:tl2br w:val="nil"/>
              <w:tr2bl w:val="nil"/>
            </w:tcBorders>
            <w:noWrap w:val="0"/>
            <w:vAlign w:val="center"/>
          </w:tcPr>
          <w:p w14:paraId="79BB595B">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杨树港村居民点</w:t>
            </w:r>
          </w:p>
        </w:tc>
        <w:tc>
          <w:tcPr>
            <w:tcW w:w="2670" w:type="dxa"/>
            <w:tcBorders>
              <w:tl2br w:val="nil"/>
              <w:tr2bl w:val="nil"/>
            </w:tcBorders>
            <w:noWrap w:val="0"/>
            <w:vAlign w:val="center"/>
          </w:tcPr>
          <w:p w14:paraId="718CAEB0">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0.00E+00</w:t>
            </w:r>
          </w:p>
        </w:tc>
        <w:tc>
          <w:tcPr>
            <w:tcW w:w="2511" w:type="dxa"/>
            <w:tcBorders>
              <w:tl2br w:val="nil"/>
              <w:tr2bl w:val="nil"/>
            </w:tcBorders>
            <w:noWrap w:val="0"/>
            <w:vAlign w:val="center"/>
          </w:tcPr>
          <w:p w14:paraId="7F9F71A7">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val="en-US" w:eastAsia="zh-CN"/>
              </w:rPr>
              <w:t>5</w:t>
            </w:r>
          </w:p>
        </w:tc>
      </w:tr>
      <w:tr w14:paraId="7C6BEF4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140" w:type="pct"/>
            <w:tcBorders>
              <w:tl2br w:val="nil"/>
              <w:tr2bl w:val="nil"/>
            </w:tcBorders>
            <w:noWrap w:val="0"/>
            <w:vAlign w:val="center"/>
          </w:tcPr>
          <w:p w14:paraId="5DD01338">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三五一七公租房（未投入使用）</w:t>
            </w:r>
          </w:p>
        </w:tc>
        <w:tc>
          <w:tcPr>
            <w:tcW w:w="2670" w:type="dxa"/>
            <w:tcBorders>
              <w:tl2br w:val="nil"/>
              <w:tr2bl w:val="nil"/>
            </w:tcBorders>
            <w:noWrap w:val="0"/>
            <w:vAlign w:val="center"/>
          </w:tcPr>
          <w:p w14:paraId="02F0CFB9">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0.00E+00</w:t>
            </w:r>
          </w:p>
        </w:tc>
        <w:tc>
          <w:tcPr>
            <w:tcW w:w="2511" w:type="dxa"/>
            <w:tcBorders>
              <w:tl2br w:val="nil"/>
              <w:tr2bl w:val="nil"/>
            </w:tcBorders>
            <w:noWrap w:val="0"/>
            <w:vAlign w:val="center"/>
          </w:tcPr>
          <w:p w14:paraId="38BC604B">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val="en-US" w:eastAsia="zh-CN"/>
              </w:rPr>
              <w:t>5</w:t>
            </w:r>
          </w:p>
        </w:tc>
      </w:tr>
      <w:tr w14:paraId="2787190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140" w:type="pct"/>
            <w:tcBorders>
              <w:tl2br w:val="nil"/>
              <w:tr2bl w:val="nil"/>
            </w:tcBorders>
            <w:noWrap w:val="0"/>
            <w:vAlign w:val="center"/>
          </w:tcPr>
          <w:p w14:paraId="2321DF58">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凌泊湖安置小区</w:t>
            </w:r>
          </w:p>
        </w:tc>
        <w:tc>
          <w:tcPr>
            <w:tcW w:w="2670" w:type="dxa"/>
            <w:tcBorders>
              <w:tl2br w:val="nil"/>
              <w:tr2bl w:val="nil"/>
            </w:tcBorders>
            <w:noWrap w:val="0"/>
            <w:vAlign w:val="center"/>
          </w:tcPr>
          <w:p w14:paraId="56FA2D65">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0.00E+00</w:t>
            </w:r>
          </w:p>
        </w:tc>
        <w:tc>
          <w:tcPr>
            <w:tcW w:w="2511" w:type="dxa"/>
            <w:tcBorders>
              <w:tl2br w:val="nil"/>
              <w:tr2bl w:val="nil"/>
            </w:tcBorders>
            <w:noWrap w:val="0"/>
            <w:vAlign w:val="center"/>
          </w:tcPr>
          <w:p w14:paraId="3B8462A0">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val="en-US" w:eastAsia="zh-CN"/>
              </w:rPr>
              <w:t>5</w:t>
            </w:r>
          </w:p>
        </w:tc>
      </w:tr>
      <w:tr w14:paraId="12C38B5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140" w:type="pct"/>
            <w:tcBorders>
              <w:tl2br w:val="nil"/>
              <w:tr2bl w:val="nil"/>
            </w:tcBorders>
            <w:noWrap w:val="0"/>
            <w:vAlign w:val="center"/>
          </w:tcPr>
          <w:p w14:paraId="5B798229">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岳阳现代服务职业学院</w:t>
            </w:r>
          </w:p>
        </w:tc>
        <w:tc>
          <w:tcPr>
            <w:tcW w:w="2670" w:type="dxa"/>
            <w:tcBorders>
              <w:tl2br w:val="nil"/>
              <w:tr2bl w:val="nil"/>
            </w:tcBorders>
            <w:noWrap w:val="0"/>
            <w:vAlign w:val="center"/>
          </w:tcPr>
          <w:p w14:paraId="7B0B22BA">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0.00E+00</w:t>
            </w:r>
          </w:p>
        </w:tc>
        <w:tc>
          <w:tcPr>
            <w:tcW w:w="2511" w:type="dxa"/>
            <w:tcBorders>
              <w:tl2br w:val="nil"/>
              <w:tr2bl w:val="nil"/>
            </w:tcBorders>
            <w:noWrap w:val="0"/>
            <w:vAlign w:val="center"/>
          </w:tcPr>
          <w:p w14:paraId="06A8A93B">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val="en-US" w:eastAsia="zh-CN"/>
              </w:rPr>
              <w:t>5</w:t>
            </w:r>
          </w:p>
        </w:tc>
      </w:tr>
      <w:tr w14:paraId="147BED8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140" w:type="pct"/>
            <w:tcBorders>
              <w:tl2br w:val="nil"/>
              <w:tr2bl w:val="nil"/>
            </w:tcBorders>
            <w:noWrap w:val="0"/>
            <w:vAlign w:val="center"/>
          </w:tcPr>
          <w:p w14:paraId="634A3AF8">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永济中学（位于凌泊湖安置小区内）</w:t>
            </w:r>
          </w:p>
        </w:tc>
        <w:tc>
          <w:tcPr>
            <w:tcW w:w="2670" w:type="dxa"/>
            <w:tcBorders>
              <w:tl2br w:val="nil"/>
              <w:tr2bl w:val="nil"/>
            </w:tcBorders>
            <w:noWrap w:val="0"/>
            <w:vAlign w:val="center"/>
          </w:tcPr>
          <w:p w14:paraId="265E48A3">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0.00E+00</w:t>
            </w:r>
          </w:p>
        </w:tc>
        <w:tc>
          <w:tcPr>
            <w:tcW w:w="2511" w:type="dxa"/>
            <w:tcBorders>
              <w:tl2br w:val="nil"/>
              <w:tr2bl w:val="nil"/>
            </w:tcBorders>
            <w:noWrap w:val="0"/>
            <w:vAlign w:val="center"/>
          </w:tcPr>
          <w:p w14:paraId="41986A9C">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val="en-US" w:eastAsia="zh-CN"/>
              </w:rPr>
              <w:t>5</w:t>
            </w:r>
          </w:p>
        </w:tc>
      </w:tr>
      <w:tr w14:paraId="0D45D25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140" w:type="pct"/>
            <w:tcBorders>
              <w:tl2br w:val="nil"/>
              <w:tr2bl w:val="nil"/>
            </w:tcBorders>
            <w:noWrap w:val="0"/>
            <w:vAlign w:val="center"/>
          </w:tcPr>
          <w:p w14:paraId="4E6154F3">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滨湖村</w:t>
            </w:r>
          </w:p>
        </w:tc>
        <w:tc>
          <w:tcPr>
            <w:tcW w:w="2670" w:type="dxa"/>
            <w:tcBorders>
              <w:tl2br w:val="nil"/>
              <w:tr2bl w:val="nil"/>
            </w:tcBorders>
            <w:noWrap w:val="0"/>
            <w:vAlign w:val="center"/>
          </w:tcPr>
          <w:p w14:paraId="6450C58C">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0.00E+00</w:t>
            </w:r>
          </w:p>
        </w:tc>
        <w:tc>
          <w:tcPr>
            <w:tcW w:w="2511" w:type="dxa"/>
            <w:tcBorders>
              <w:tl2br w:val="nil"/>
              <w:tr2bl w:val="nil"/>
            </w:tcBorders>
            <w:noWrap w:val="0"/>
            <w:vAlign w:val="center"/>
          </w:tcPr>
          <w:p w14:paraId="38881F1C">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val="en-US" w:eastAsia="zh-CN"/>
              </w:rPr>
              <w:t>5</w:t>
            </w:r>
          </w:p>
        </w:tc>
      </w:tr>
      <w:tr w14:paraId="6DD8E3C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140" w:type="pct"/>
            <w:tcBorders>
              <w:tl2br w:val="nil"/>
              <w:tr2bl w:val="nil"/>
            </w:tcBorders>
            <w:noWrap w:val="0"/>
            <w:vAlign w:val="center"/>
          </w:tcPr>
          <w:p w14:paraId="2BED9DAE">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王德冲村</w:t>
            </w:r>
          </w:p>
        </w:tc>
        <w:tc>
          <w:tcPr>
            <w:tcW w:w="2670" w:type="dxa"/>
            <w:tcBorders>
              <w:tl2br w:val="nil"/>
              <w:tr2bl w:val="nil"/>
            </w:tcBorders>
            <w:noWrap w:val="0"/>
            <w:vAlign w:val="center"/>
          </w:tcPr>
          <w:p w14:paraId="08B47246">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0.00E+00</w:t>
            </w:r>
          </w:p>
        </w:tc>
        <w:tc>
          <w:tcPr>
            <w:tcW w:w="2511" w:type="dxa"/>
            <w:tcBorders>
              <w:tl2br w:val="nil"/>
              <w:tr2bl w:val="nil"/>
            </w:tcBorders>
            <w:noWrap w:val="0"/>
            <w:vAlign w:val="center"/>
          </w:tcPr>
          <w:p w14:paraId="7B108D66">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val="en-US" w:eastAsia="zh-CN"/>
              </w:rPr>
              <w:t>5</w:t>
            </w:r>
          </w:p>
        </w:tc>
      </w:tr>
      <w:tr w14:paraId="6964D37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140" w:type="pct"/>
            <w:tcBorders>
              <w:tl2br w:val="nil"/>
              <w:tr2bl w:val="nil"/>
            </w:tcBorders>
            <w:noWrap w:val="0"/>
            <w:vAlign w:val="center"/>
          </w:tcPr>
          <w:p w14:paraId="6CEAAC4A">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东风村</w:t>
            </w:r>
          </w:p>
        </w:tc>
        <w:tc>
          <w:tcPr>
            <w:tcW w:w="2670" w:type="dxa"/>
            <w:tcBorders>
              <w:tl2br w:val="nil"/>
              <w:tr2bl w:val="nil"/>
            </w:tcBorders>
            <w:noWrap w:val="0"/>
            <w:vAlign w:val="center"/>
          </w:tcPr>
          <w:p w14:paraId="0F08760B">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0.00E+00</w:t>
            </w:r>
          </w:p>
        </w:tc>
        <w:tc>
          <w:tcPr>
            <w:tcW w:w="2511" w:type="dxa"/>
            <w:tcBorders>
              <w:tl2br w:val="nil"/>
              <w:tr2bl w:val="nil"/>
            </w:tcBorders>
            <w:noWrap w:val="0"/>
            <w:vAlign w:val="center"/>
          </w:tcPr>
          <w:p w14:paraId="203D34C7">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val="en-US" w:eastAsia="zh-CN"/>
              </w:rPr>
              <w:t>5</w:t>
            </w:r>
          </w:p>
        </w:tc>
      </w:tr>
      <w:tr w14:paraId="7349837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140" w:type="pct"/>
            <w:tcBorders>
              <w:tl2br w:val="nil"/>
              <w:tr2bl w:val="nil"/>
            </w:tcBorders>
            <w:noWrap w:val="0"/>
            <w:vAlign w:val="center"/>
          </w:tcPr>
          <w:p w14:paraId="6B7EAB3C">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戴家坡村</w:t>
            </w:r>
          </w:p>
        </w:tc>
        <w:tc>
          <w:tcPr>
            <w:tcW w:w="2670" w:type="dxa"/>
            <w:tcBorders>
              <w:tl2br w:val="nil"/>
              <w:tr2bl w:val="nil"/>
            </w:tcBorders>
            <w:noWrap w:val="0"/>
            <w:vAlign w:val="center"/>
          </w:tcPr>
          <w:p w14:paraId="45E93DC5">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0.00E+00</w:t>
            </w:r>
          </w:p>
        </w:tc>
        <w:tc>
          <w:tcPr>
            <w:tcW w:w="2511" w:type="dxa"/>
            <w:tcBorders>
              <w:tl2br w:val="nil"/>
              <w:tr2bl w:val="nil"/>
            </w:tcBorders>
            <w:noWrap w:val="0"/>
            <w:vAlign w:val="center"/>
          </w:tcPr>
          <w:p w14:paraId="753365CA">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val="en-US" w:eastAsia="zh-CN"/>
              </w:rPr>
              <w:t>5</w:t>
            </w:r>
          </w:p>
        </w:tc>
      </w:tr>
      <w:tr w14:paraId="484C7EE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140" w:type="pct"/>
            <w:tcBorders>
              <w:tl2br w:val="nil"/>
              <w:tr2bl w:val="nil"/>
            </w:tcBorders>
            <w:noWrap w:val="0"/>
            <w:vAlign w:val="center"/>
          </w:tcPr>
          <w:p w14:paraId="7C691B64">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螃家咀</w:t>
            </w:r>
          </w:p>
        </w:tc>
        <w:tc>
          <w:tcPr>
            <w:tcW w:w="2670" w:type="dxa"/>
            <w:tcBorders>
              <w:tl2br w:val="nil"/>
              <w:tr2bl w:val="nil"/>
            </w:tcBorders>
            <w:noWrap w:val="0"/>
            <w:vAlign w:val="center"/>
          </w:tcPr>
          <w:p w14:paraId="07AC7AA3">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0.00E+00</w:t>
            </w:r>
          </w:p>
        </w:tc>
        <w:tc>
          <w:tcPr>
            <w:tcW w:w="2511" w:type="dxa"/>
            <w:tcBorders>
              <w:tl2br w:val="nil"/>
              <w:tr2bl w:val="nil"/>
            </w:tcBorders>
            <w:noWrap w:val="0"/>
            <w:vAlign w:val="center"/>
          </w:tcPr>
          <w:p w14:paraId="0586C242">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val="en-US" w:eastAsia="zh-CN"/>
              </w:rPr>
              <w:t>5</w:t>
            </w:r>
          </w:p>
        </w:tc>
      </w:tr>
      <w:tr w14:paraId="5FAF06C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140" w:type="pct"/>
            <w:tcBorders>
              <w:tl2br w:val="nil"/>
              <w:tr2bl w:val="nil"/>
            </w:tcBorders>
            <w:noWrap w:val="0"/>
            <w:vAlign w:val="center"/>
          </w:tcPr>
          <w:p w14:paraId="6C3F25AF">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刘家屋场</w:t>
            </w:r>
          </w:p>
        </w:tc>
        <w:tc>
          <w:tcPr>
            <w:tcW w:w="2670" w:type="dxa"/>
            <w:tcBorders>
              <w:tl2br w:val="nil"/>
              <w:tr2bl w:val="nil"/>
            </w:tcBorders>
            <w:noWrap w:val="0"/>
            <w:vAlign w:val="center"/>
          </w:tcPr>
          <w:p w14:paraId="778FAA66">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0.00E+00</w:t>
            </w:r>
          </w:p>
        </w:tc>
        <w:tc>
          <w:tcPr>
            <w:tcW w:w="2511" w:type="dxa"/>
            <w:tcBorders>
              <w:tl2br w:val="nil"/>
              <w:tr2bl w:val="nil"/>
            </w:tcBorders>
            <w:noWrap w:val="0"/>
            <w:vAlign w:val="center"/>
          </w:tcPr>
          <w:p w14:paraId="6CA78649">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val="en-US" w:eastAsia="zh-CN"/>
              </w:rPr>
              <w:t>5</w:t>
            </w:r>
          </w:p>
        </w:tc>
      </w:tr>
      <w:tr w14:paraId="38710C2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140" w:type="pct"/>
            <w:tcBorders>
              <w:tl2br w:val="nil"/>
              <w:tr2bl w:val="nil"/>
            </w:tcBorders>
            <w:noWrap w:val="0"/>
            <w:vAlign w:val="center"/>
          </w:tcPr>
          <w:p w14:paraId="41899A6D">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亚泰花园</w:t>
            </w:r>
          </w:p>
        </w:tc>
        <w:tc>
          <w:tcPr>
            <w:tcW w:w="1473" w:type="pct"/>
            <w:tcBorders>
              <w:tl2br w:val="nil"/>
              <w:tr2bl w:val="nil"/>
            </w:tcBorders>
            <w:noWrap w:val="0"/>
            <w:vAlign w:val="center"/>
          </w:tcPr>
          <w:p w14:paraId="41E497D6">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3.70E-12</w:t>
            </w:r>
          </w:p>
        </w:tc>
        <w:tc>
          <w:tcPr>
            <w:tcW w:w="1385" w:type="pct"/>
            <w:tcBorders>
              <w:tl2br w:val="nil"/>
              <w:tr2bl w:val="nil"/>
            </w:tcBorders>
            <w:noWrap w:val="0"/>
            <w:vAlign w:val="center"/>
          </w:tcPr>
          <w:p w14:paraId="03A03C39">
            <w:pPr>
              <w:jc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9</w:t>
            </w:r>
          </w:p>
        </w:tc>
      </w:tr>
      <w:tr w14:paraId="0BFB6F9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140" w:type="pct"/>
            <w:tcBorders>
              <w:tl2br w:val="nil"/>
              <w:tr2bl w:val="nil"/>
            </w:tcBorders>
            <w:noWrap w:val="0"/>
            <w:vAlign w:val="center"/>
          </w:tcPr>
          <w:p w14:paraId="69D0753E">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新港首府</w:t>
            </w:r>
          </w:p>
        </w:tc>
        <w:tc>
          <w:tcPr>
            <w:tcW w:w="2670" w:type="dxa"/>
            <w:tcBorders>
              <w:tl2br w:val="nil"/>
              <w:tr2bl w:val="nil"/>
            </w:tcBorders>
            <w:noWrap w:val="0"/>
            <w:vAlign w:val="center"/>
          </w:tcPr>
          <w:p w14:paraId="7C044C2F">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0.00E+00</w:t>
            </w:r>
          </w:p>
        </w:tc>
        <w:tc>
          <w:tcPr>
            <w:tcW w:w="2511" w:type="dxa"/>
            <w:tcBorders>
              <w:tl2br w:val="nil"/>
              <w:tr2bl w:val="nil"/>
            </w:tcBorders>
            <w:noWrap w:val="0"/>
            <w:vAlign w:val="center"/>
          </w:tcPr>
          <w:p w14:paraId="4BA9C476">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val="en-US" w:eastAsia="zh-CN"/>
              </w:rPr>
              <w:t>5</w:t>
            </w:r>
          </w:p>
        </w:tc>
      </w:tr>
      <w:tr w14:paraId="4D39E32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140" w:type="pct"/>
            <w:tcBorders>
              <w:tl2br w:val="nil"/>
              <w:tr2bl w:val="nil"/>
            </w:tcBorders>
            <w:noWrap w:val="0"/>
            <w:vAlign w:val="center"/>
          </w:tcPr>
          <w:p w14:paraId="7E466B69">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松阳湖小区</w:t>
            </w:r>
          </w:p>
        </w:tc>
        <w:tc>
          <w:tcPr>
            <w:tcW w:w="2670" w:type="dxa"/>
            <w:tcBorders>
              <w:tl2br w:val="nil"/>
              <w:tr2bl w:val="nil"/>
            </w:tcBorders>
            <w:noWrap w:val="0"/>
            <w:vAlign w:val="center"/>
          </w:tcPr>
          <w:p w14:paraId="4070553E">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0.00E+00</w:t>
            </w:r>
          </w:p>
        </w:tc>
        <w:tc>
          <w:tcPr>
            <w:tcW w:w="2511" w:type="dxa"/>
            <w:tcBorders>
              <w:tl2br w:val="nil"/>
              <w:tr2bl w:val="nil"/>
            </w:tcBorders>
            <w:noWrap w:val="0"/>
            <w:vAlign w:val="center"/>
          </w:tcPr>
          <w:p w14:paraId="45F6658E">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val="en-US" w:eastAsia="zh-CN"/>
              </w:rPr>
              <w:t>5</w:t>
            </w:r>
          </w:p>
        </w:tc>
      </w:tr>
      <w:tr w14:paraId="4301203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140" w:type="pct"/>
            <w:tcBorders>
              <w:tl2br w:val="nil"/>
              <w:tr2bl w:val="nil"/>
            </w:tcBorders>
            <w:noWrap w:val="0"/>
            <w:vAlign w:val="center"/>
          </w:tcPr>
          <w:p w14:paraId="65759AF3">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松杨湖渔场居民点</w:t>
            </w:r>
          </w:p>
        </w:tc>
        <w:tc>
          <w:tcPr>
            <w:tcW w:w="2670" w:type="dxa"/>
            <w:tcBorders>
              <w:tl2br w:val="nil"/>
              <w:tr2bl w:val="nil"/>
            </w:tcBorders>
            <w:noWrap w:val="0"/>
            <w:vAlign w:val="center"/>
          </w:tcPr>
          <w:p w14:paraId="7532FF19">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0.00E+00</w:t>
            </w:r>
          </w:p>
        </w:tc>
        <w:tc>
          <w:tcPr>
            <w:tcW w:w="2511" w:type="dxa"/>
            <w:tcBorders>
              <w:tl2br w:val="nil"/>
              <w:tr2bl w:val="nil"/>
            </w:tcBorders>
            <w:noWrap w:val="0"/>
            <w:vAlign w:val="center"/>
          </w:tcPr>
          <w:p w14:paraId="7E86A546">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val="en-US" w:eastAsia="zh-CN"/>
              </w:rPr>
              <w:t>5</w:t>
            </w:r>
          </w:p>
        </w:tc>
      </w:tr>
      <w:tr w14:paraId="48368AE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140" w:type="pct"/>
            <w:tcBorders>
              <w:tl2br w:val="nil"/>
              <w:tr2bl w:val="nil"/>
            </w:tcBorders>
            <w:noWrap w:val="0"/>
            <w:vAlign w:val="center"/>
          </w:tcPr>
          <w:p w14:paraId="28DAAE5C">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岳阳市郡华学校</w:t>
            </w:r>
          </w:p>
        </w:tc>
        <w:tc>
          <w:tcPr>
            <w:tcW w:w="2670" w:type="dxa"/>
            <w:tcBorders>
              <w:tl2br w:val="nil"/>
              <w:tr2bl w:val="nil"/>
            </w:tcBorders>
            <w:noWrap w:val="0"/>
            <w:vAlign w:val="center"/>
          </w:tcPr>
          <w:p w14:paraId="2101FAE5">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0.00E+00</w:t>
            </w:r>
          </w:p>
        </w:tc>
        <w:tc>
          <w:tcPr>
            <w:tcW w:w="2511" w:type="dxa"/>
            <w:tcBorders>
              <w:tl2br w:val="nil"/>
              <w:tr2bl w:val="nil"/>
            </w:tcBorders>
            <w:noWrap w:val="0"/>
            <w:vAlign w:val="center"/>
          </w:tcPr>
          <w:p w14:paraId="2E0D31B5">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val="en-US" w:eastAsia="zh-CN"/>
              </w:rPr>
              <w:t>5</w:t>
            </w:r>
          </w:p>
        </w:tc>
      </w:tr>
      <w:tr w14:paraId="36714FC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140" w:type="pct"/>
            <w:tcBorders>
              <w:tl2br w:val="nil"/>
              <w:tr2bl w:val="nil"/>
            </w:tcBorders>
            <w:noWrap w:val="0"/>
            <w:vAlign w:val="center"/>
          </w:tcPr>
          <w:p w14:paraId="6B8EF02C">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未名府</w:t>
            </w:r>
          </w:p>
        </w:tc>
        <w:tc>
          <w:tcPr>
            <w:tcW w:w="2670" w:type="dxa"/>
            <w:tcBorders>
              <w:tl2br w:val="nil"/>
              <w:tr2bl w:val="nil"/>
            </w:tcBorders>
            <w:noWrap w:val="0"/>
            <w:vAlign w:val="center"/>
          </w:tcPr>
          <w:p w14:paraId="0EF69CAE">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0.00E+00</w:t>
            </w:r>
          </w:p>
        </w:tc>
        <w:tc>
          <w:tcPr>
            <w:tcW w:w="2511" w:type="dxa"/>
            <w:tcBorders>
              <w:tl2br w:val="nil"/>
              <w:tr2bl w:val="nil"/>
            </w:tcBorders>
            <w:noWrap w:val="0"/>
            <w:vAlign w:val="center"/>
          </w:tcPr>
          <w:p w14:paraId="26A77966">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val="en-US" w:eastAsia="zh-CN"/>
              </w:rPr>
              <w:t>5</w:t>
            </w:r>
          </w:p>
        </w:tc>
      </w:tr>
      <w:tr w14:paraId="067D6F7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140" w:type="pct"/>
            <w:tcBorders>
              <w:tl2br w:val="nil"/>
              <w:tr2bl w:val="nil"/>
            </w:tcBorders>
            <w:noWrap w:val="0"/>
            <w:vAlign w:val="center"/>
          </w:tcPr>
          <w:p w14:paraId="2C76877F">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郡华长郡里</w:t>
            </w:r>
          </w:p>
        </w:tc>
        <w:tc>
          <w:tcPr>
            <w:tcW w:w="2670" w:type="dxa"/>
            <w:tcBorders>
              <w:tl2br w:val="nil"/>
              <w:tr2bl w:val="nil"/>
            </w:tcBorders>
            <w:noWrap w:val="0"/>
            <w:vAlign w:val="center"/>
          </w:tcPr>
          <w:p w14:paraId="027D82BE">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0.00E+00</w:t>
            </w:r>
          </w:p>
        </w:tc>
        <w:tc>
          <w:tcPr>
            <w:tcW w:w="2511" w:type="dxa"/>
            <w:tcBorders>
              <w:tl2br w:val="nil"/>
              <w:tr2bl w:val="nil"/>
            </w:tcBorders>
            <w:noWrap w:val="0"/>
            <w:vAlign w:val="center"/>
          </w:tcPr>
          <w:p w14:paraId="734940F2">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val="en-US" w:eastAsia="zh-CN"/>
              </w:rPr>
              <w:t>5</w:t>
            </w:r>
          </w:p>
        </w:tc>
      </w:tr>
      <w:tr w14:paraId="1D63A34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140" w:type="pct"/>
            <w:tcBorders>
              <w:tl2br w:val="nil"/>
              <w:tr2bl w:val="nil"/>
            </w:tcBorders>
            <w:noWrap w:val="0"/>
            <w:vAlign w:val="center"/>
          </w:tcPr>
          <w:p w14:paraId="538BD76A">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金龙山小区</w:t>
            </w:r>
          </w:p>
        </w:tc>
        <w:tc>
          <w:tcPr>
            <w:tcW w:w="2670" w:type="dxa"/>
            <w:tcBorders>
              <w:tl2br w:val="nil"/>
              <w:tr2bl w:val="nil"/>
            </w:tcBorders>
            <w:noWrap w:val="0"/>
            <w:vAlign w:val="center"/>
          </w:tcPr>
          <w:p w14:paraId="4AFDE287">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0.00E+00</w:t>
            </w:r>
          </w:p>
        </w:tc>
        <w:tc>
          <w:tcPr>
            <w:tcW w:w="2511" w:type="dxa"/>
            <w:tcBorders>
              <w:tl2br w:val="nil"/>
              <w:tr2bl w:val="nil"/>
            </w:tcBorders>
            <w:noWrap w:val="0"/>
            <w:vAlign w:val="center"/>
          </w:tcPr>
          <w:p w14:paraId="0B0F1D90">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val="en-US" w:eastAsia="zh-CN"/>
              </w:rPr>
              <w:t>5</w:t>
            </w:r>
          </w:p>
        </w:tc>
      </w:tr>
      <w:tr w14:paraId="33A4C98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140" w:type="pct"/>
            <w:tcBorders>
              <w:tl2br w:val="nil"/>
              <w:tr2bl w:val="nil"/>
            </w:tcBorders>
            <w:noWrap w:val="0"/>
            <w:vAlign w:val="center"/>
          </w:tcPr>
          <w:p w14:paraId="51B11B38">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岳阳职业技术学院自贸区现代产业学院、岳阳市物流工程职业学校</w:t>
            </w:r>
          </w:p>
        </w:tc>
        <w:tc>
          <w:tcPr>
            <w:tcW w:w="2670" w:type="dxa"/>
            <w:tcBorders>
              <w:tl2br w:val="nil"/>
              <w:tr2bl w:val="nil"/>
            </w:tcBorders>
            <w:noWrap w:val="0"/>
            <w:vAlign w:val="center"/>
          </w:tcPr>
          <w:p w14:paraId="03B12334">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0.00E+00</w:t>
            </w:r>
          </w:p>
        </w:tc>
        <w:tc>
          <w:tcPr>
            <w:tcW w:w="2511" w:type="dxa"/>
            <w:tcBorders>
              <w:tl2br w:val="nil"/>
              <w:tr2bl w:val="nil"/>
            </w:tcBorders>
            <w:noWrap w:val="0"/>
            <w:vAlign w:val="center"/>
          </w:tcPr>
          <w:p w14:paraId="18998B66">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val="en-US" w:eastAsia="zh-CN"/>
              </w:rPr>
              <w:t>5</w:t>
            </w:r>
          </w:p>
        </w:tc>
      </w:tr>
      <w:tr w14:paraId="6BB9DA9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140" w:type="pct"/>
            <w:tcBorders>
              <w:tl2br w:val="nil"/>
              <w:tr2bl w:val="nil"/>
            </w:tcBorders>
            <w:noWrap w:val="0"/>
            <w:vAlign w:val="center"/>
          </w:tcPr>
          <w:p w14:paraId="7123AB4D">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云溪区政务服务中心</w:t>
            </w:r>
          </w:p>
        </w:tc>
        <w:tc>
          <w:tcPr>
            <w:tcW w:w="2670" w:type="dxa"/>
            <w:tcBorders>
              <w:tl2br w:val="nil"/>
              <w:tr2bl w:val="nil"/>
            </w:tcBorders>
            <w:noWrap w:val="0"/>
            <w:vAlign w:val="center"/>
          </w:tcPr>
          <w:p w14:paraId="74EDDCDF">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0.00E+00</w:t>
            </w:r>
          </w:p>
        </w:tc>
        <w:tc>
          <w:tcPr>
            <w:tcW w:w="2511" w:type="dxa"/>
            <w:tcBorders>
              <w:tl2br w:val="nil"/>
              <w:tr2bl w:val="nil"/>
            </w:tcBorders>
            <w:noWrap w:val="0"/>
            <w:vAlign w:val="center"/>
          </w:tcPr>
          <w:p w14:paraId="2FD4C29C">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val="en-US" w:eastAsia="zh-CN"/>
              </w:rPr>
              <w:t>5</w:t>
            </w:r>
          </w:p>
        </w:tc>
      </w:tr>
      <w:tr w14:paraId="5CC21EC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140" w:type="pct"/>
            <w:tcBorders>
              <w:tl2br w:val="nil"/>
              <w:tr2bl w:val="nil"/>
            </w:tcBorders>
            <w:noWrap w:val="0"/>
            <w:vAlign w:val="center"/>
          </w:tcPr>
          <w:p w14:paraId="1DFFE4D4">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岳阳市巴陵学校</w:t>
            </w:r>
          </w:p>
        </w:tc>
        <w:tc>
          <w:tcPr>
            <w:tcW w:w="2670" w:type="dxa"/>
            <w:tcBorders>
              <w:tl2br w:val="nil"/>
              <w:tr2bl w:val="nil"/>
            </w:tcBorders>
            <w:noWrap w:val="0"/>
            <w:vAlign w:val="center"/>
          </w:tcPr>
          <w:p w14:paraId="489C65EF">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0.00E+00</w:t>
            </w:r>
          </w:p>
        </w:tc>
        <w:tc>
          <w:tcPr>
            <w:tcW w:w="2511" w:type="dxa"/>
            <w:tcBorders>
              <w:tl2br w:val="nil"/>
              <w:tr2bl w:val="nil"/>
            </w:tcBorders>
            <w:noWrap w:val="0"/>
            <w:vAlign w:val="center"/>
          </w:tcPr>
          <w:p w14:paraId="6E36478E">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val="en-US" w:eastAsia="zh-CN"/>
              </w:rPr>
              <w:t>5</w:t>
            </w:r>
          </w:p>
        </w:tc>
      </w:tr>
      <w:tr w14:paraId="2A50D94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140" w:type="pct"/>
            <w:tcBorders>
              <w:tl2br w:val="nil"/>
              <w:tr2bl w:val="nil"/>
            </w:tcBorders>
            <w:noWrap w:val="0"/>
            <w:vAlign w:val="center"/>
          </w:tcPr>
          <w:p w14:paraId="7E88DE74">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福天城小区</w:t>
            </w:r>
          </w:p>
        </w:tc>
        <w:tc>
          <w:tcPr>
            <w:tcW w:w="2670" w:type="dxa"/>
            <w:tcBorders>
              <w:tl2br w:val="nil"/>
              <w:tr2bl w:val="nil"/>
            </w:tcBorders>
            <w:noWrap w:val="0"/>
            <w:vAlign w:val="center"/>
          </w:tcPr>
          <w:p w14:paraId="373A8FB4">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0.00E+00</w:t>
            </w:r>
          </w:p>
        </w:tc>
        <w:tc>
          <w:tcPr>
            <w:tcW w:w="2511" w:type="dxa"/>
            <w:tcBorders>
              <w:tl2br w:val="nil"/>
              <w:tr2bl w:val="nil"/>
            </w:tcBorders>
            <w:noWrap w:val="0"/>
            <w:vAlign w:val="center"/>
          </w:tcPr>
          <w:p w14:paraId="37538B1A">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val="en-US" w:eastAsia="zh-CN"/>
              </w:rPr>
              <w:t>5</w:t>
            </w:r>
          </w:p>
        </w:tc>
      </w:tr>
      <w:tr w14:paraId="214BC14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140" w:type="pct"/>
            <w:tcBorders>
              <w:tl2br w:val="nil"/>
              <w:tr2bl w:val="nil"/>
            </w:tcBorders>
            <w:noWrap w:val="0"/>
            <w:vAlign w:val="center"/>
          </w:tcPr>
          <w:p w14:paraId="6F893701">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零陆嘉园</w:t>
            </w:r>
          </w:p>
        </w:tc>
        <w:tc>
          <w:tcPr>
            <w:tcW w:w="2670" w:type="dxa"/>
            <w:tcBorders>
              <w:tl2br w:val="nil"/>
              <w:tr2bl w:val="nil"/>
            </w:tcBorders>
            <w:noWrap w:val="0"/>
            <w:vAlign w:val="center"/>
          </w:tcPr>
          <w:p w14:paraId="0E7809CA">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0.00E+00</w:t>
            </w:r>
          </w:p>
        </w:tc>
        <w:tc>
          <w:tcPr>
            <w:tcW w:w="2511" w:type="dxa"/>
            <w:tcBorders>
              <w:tl2br w:val="nil"/>
              <w:tr2bl w:val="nil"/>
            </w:tcBorders>
            <w:noWrap w:val="0"/>
            <w:vAlign w:val="center"/>
          </w:tcPr>
          <w:p w14:paraId="638F3EDF">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val="en-US" w:eastAsia="zh-CN"/>
              </w:rPr>
              <w:t>5</w:t>
            </w:r>
          </w:p>
        </w:tc>
      </w:tr>
      <w:tr w14:paraId="796DBCA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140" w:type="pct"/>
            <w:tcBorders>
              <w:tl2br w:val="nil"/>
              <w:tr2bl w:val="nil"/>
            </w:tcBorders>
            <w:noWrap w:val="0"/>
            <w:vAlign w:val="center"/>
          </w:tcPr>
          <w:p w14:paraId="5C17265E">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岳阳城陵矶综合保税区CCTC保税大厦</w:t>
            </w:r>
          </w:p>
        </w:tc>
        <w:tc>
          <w:tcPr>
            <w:tcW w:w="2670" w:type="dxa"/>
            <w:tcBorders>
              <w:tl2br w:val="nil"/>
              <w:tr2bl w:val="nil"/>
            </w:tcBorders>
            <w:noWrap w:val="0"/>
            <w:vAlign w:val="center"/>
          </w:tcPr>
          <w:p w14:paraId="4EE03FC2">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0.00E+00</w:t>
            </w:r>
          </w:p>
        </w:tc>
        <w:tc>
          <w:tcPr>
            <w:tcW w:w="2511" w:type="dxa"/>
            <w:tcBorders>
              <w:tl2br w:val="nil"/>
              <w:tr2bl w:val="nil"/>
            </w:tcBorders>
            <w:noWrap w:val="0"/>
            <w:vAlign w:val="center"/>
          </w:tcPr>
          <w:p w14:paraId="3444485F">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val="en-US" w:eastAsia="zh-CN"/>
              </w:rPr>
              <w:t>5</w:t>
            </w:r>
          </w:p>
        </w:tc>
      </w:tr>
      <w:tr w14:paraId="34ED212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140" w:type="pct"/>
            <w:tcBorders>
              <w:tl2br w:val="nil"/>
              <w:tr2bl w:val="nil"/>
            </w:tcBorders>
            <w:noWrap w:val="0"/>
            <w:vAlign w:val="center"/>
          </w:tcPr>
          <w:p w14:paraId="4228B597">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岳阳城陵矶新港区管委会办公大楼</w:t>
            </w:r>
          </w:p>
        </w:tc>
        <w:tc>
          <w:tcPr>
            <w:tcW w:w="2670" w:type="dxa"/>
            <w:tcBorders>
              <w:tl2br w:val="nil"/>
              <w:tr2bl w:val="nil"/>
            </w:tcBorders>
            <w:noWrap w:val="0"/>
            <w:vAlign w:val="center"/>
          </w:tcPr>
          <w:p w14:paraId="7AFABD14">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0.00E+00</w:t>
            </w:r>
          </w:p>
        </w:tc>
        <w:tc>
          <w:tcPr>
            <w:tcW w:w="2511" w:type="dxa"/>
            <w:tcBorders>
              <w:tl2br w:val="nil"/>
              <w:tr2bl w:val="nil"/>
            </w:tcBorders>
            <w:noWrap w:val="0"/>
            <w:vAlign w:val="center"/>
          </w:tcPr>
          <w:p w14:paraId="03A6ECAE">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val="en-US" w:eastAsia="zh-CN"/>
              </w:rPr>
              <w:t>5</w:t>
            </w:r>
          </w:p>
        </w:tc>
      </w:tr>
      <w:tr w14:paraId="17A98AD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140" w:type="pct"/>
            <w:tcBorders>
              <w:tl2br w:val="nil"/>
              <w:tr2bl w:val="nil"/>
            </w:tcBorders>
            <w:noWrap w:val="0"/>
            <w:vAlign w:val="center"/>
          </w:tcPr>
          <w:p w14:paraId="24CB6400">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岳阳市城陵矶新港区税务局</w:t>
            </w:r>
          </w:p>
        </w:tc>
        <w:tc>
          <w:tcPr>
            <w:tcW w:w="2670" w:type="dxa"/>
            <w:tcBorders>
              <w:tl2br w:val="nil"/>
              <w:tr2bl w:val="nil"/>
            </w:tcBorders>
            <w:noWrap w:val="0"/>
            <w:vAlign w:val="center"/>
          </w:tcPr>
          <w:p w14:paraId="240AABD9">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0.00E+00</w:t>
            </w:r>
          </w:p>
        </w:tc>
        <w:tc>
          <w:tcPr>
            <w:tcW w:w="2511" w:type="dxa"/>
            <w:tcBorders>
              <w:tl2br w:val="nil"/>
              <w:tr2bl w:val="nil"/>
            </w:tcBorders>
            <w:noWrap w:val="0"/>
            <w:vAlign w:val="center"/>
          </w:tcPr>
          <w:p w14:paraId="4D8088FE">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val="en-US" w:eastAsia="zh-CN"/>
              </w:rPr>
              <w:t>5</w:t>
            </w:r>
          </w:p>
        </w:tc>
      </w:tr>
      <w:tr w14:paraId="1339ADA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140" w:type="pct"/>
            <w:tcBorders>
              <w:tl2br w:val="nil"/>
              <w:tr2bl w:val="nil"/>
            </w:tcBorders>
            <w:noWrap w:val="0"/>
            <w:vAlign w:val="center"/>
          </w:tcPr>
          <w:p w14:paraId="67A48054">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云溪区松杨湖街道东风社区服务中心</w:t>
            </w:r>
          </w:p>
        </w:tc>
        <w:tc>
          <w:tcPr>
            <w:tcW w:w="2670" w:type="dxa"/>
            <w:tcBorders>
              <w:tl2br w:val="nil"/>
              <w:tr2bl w:val="nil"/>
            </w:tcBorders>
            <w:noWrap w:val="0"/>
            <w:vAlign w:val="center"/>
          </w:tcPr>
          <w:p w14:paraId="39D711BB">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0.00E+00</w:t>
            </w:r>
          </w:p>
        </w:tc>
        <w:tc>
          <w:tcPr>
            <w:tcW w:w="2511" w:type="dxa"/>
            <w:tcBorders>
              <w:tl2br w:val="nil"/>
              <w:tr2bl w:val="nil"/>
            </w:tcBorders>
            <w:noWrap w:val="0"/>
            <w:vAlign w:val="center"/>
          </w:tcPr>
          <w:p w14:paraId="4A74D07B">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val="en-US" w:eastAsia="zh-CN"/>
              </w:rPr>
              <w:t>5</w:t>
            </w:r>
          </w:p>
        </w:tc>
      </w:tr>
      <w:tr w14:paraId="4E3125E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140" w:type="pct"/>
            <w:tcBorders>
              <w:tl2br w:val="nil"/>
              <w:tr2bl w:val="nil"/>
            </w:tcBorders>
            <w:noWrap w:val="0"/>
            <w:vAlign w:val="center"/>
          </w:tcPr>
          <w:p w14:paraId="65225ED0">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云溪区人民法院</w:t>
            </w:r>
          </w:p>
        </w:tc>
        <w:tc>
          <w:tcPr>
            <w:tcW w:w="2670" w:type="dxa"/>
            <w:tcBorders>
              <w:tl2br w:val="nil"/>
              <w:tr2bl w:val="nil"/>
            </w:tcBorders>
            <w:noWrap w:val="0"/>
            <w:vAlign w:val="center"/>
          </w:tcPr>
          <w:p w14:paraId="516ACCA6">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0.00E+00</w:t>
            </w:r>
          </w:p>
        </w:tc>
        <w:tc>
          <w:tcPr>
            <w:tcW w:w="2511" w:type="dxa"/>
            <w:tcBorders>
              <w:tl2br w:val="nil"/>
              <w:tr2bl w:val="nil"/>
            </w:tcBorders>
            <w:noWrap w:val="0"/>
            <w:vAlign w:val="center"/>
          </w:tcPr>
          <w:p w14:paraId="3B3AEA97">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val="en-US" w:eastAsia="zh-CN"/>
              </w:rPr>
              <w:t>5</w:t>
            </w:r>
          </w:p>
        </w:tc>
      </w:tr>
      <w:tr w14:paraId="05C2725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140" w:type="pct"/>
            <w:tcBorders>
              <w:tl2br w:val="nil"/>
              <w:tr2bl w:val="nil"/>
            </w:tcBorders>
            <w:noWrap w:val="0"/>
            <w:vAlign w:val="center"/>
          </w:tcPr>
          <w:p w14:paraId="63DEC19D">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曾连家</w:t>
            </w:r>
          </w:p>
        </w:tc>
        <w:tc>
          <w:tcPr>
            <w:tcW w:w="2670" w:type="dxa"/>
            <w:tcBorders>
              <w:tl2br w:val="nil"/>
              <w:tr2bl w:val="nil"/>
            </w:tcBorders>
            <w:noWrap w:val="0"/>
            <w:vAlign w:val="center"/>
          </w:tcPr>
          <w:p w14:paraId="045FF6A0">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0.00E+00</w:t>
            </w:r>
          </w:p>
        </w:tc>
        <w:tc>
          <w:tcPr>
            <w:tcW w:w="2511" w:type="dxa"/>
            <w:tcBorders>
              <w:tl2br w:val="nil"/>
              <w:tr2bl w:val="nil"/>
            </w:tcBorders>
            <w:noWrap w:val="0"/>
            <w:vAlign w:val="center"/>
          </w:tcPr>
          <w:p w14:paraId="77D9651A">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val="en-US" w:eastAsia="zh-CN"/>
              </w:rPr>
              <w:t>5</w:t>
            </w:r>
          </w:p>
        </w:tc>
      </w:tr>
      <w:tr w14:paraId="0335E47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140" w:type="pct"/>
            <w:tcBorders>
              <w:tl2br w:val="nil"/>
              <w:tr2bl w:val="nil"/>
            </w:tcBorders>
            <w:noWrap w:val="0"/>
            <w:vAlign w:val="center"/>
          </w:tcPr>
          <w:p w14:paraId="1BB88321">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保税区人才公寓</w:t>
            </w:r>
          </w:p>
        </w:tc>
        <w:tc>
          <w:tcPr>
            <w:tcW w:w="2670" w:type="dxa"/>
            <w:tcBorders>
              <w:tl2br w:val="nil"/>
              <w:tr2bl w:val="nil"/>
            </w:tcBorders>
            <w:noWrap w:val="0"/>
            <w:vAlign w:val="center"/>
          </w:tcPr>
          <w:p w14:paraId="2017FFB2">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0.00E+00</w:t>
            </w:r>
          </w:p>
        </w:tc>
        <w:tc>
          <w:tcPr>
            <w:tcW w:w="2511" w:type="dxa"/>
            <w:tcBorders>
              <w:tl2br w:val="nil"/>
              <w:tr2bl w:val="nil"/>
            </w:tcBorders>
            <w:noWrap w:val="0"/>
            <w:vAlign w:val="center"/>
          </w:tcPr>
          <w:p w14:paraId="685C5495">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val="en-US" w:eastAsia="zh-CN"/>
              </w:rPr>
              <w:t>5</w:t>
            </w:r>
          </w:p>
        </w:tc>
      </w:tr>
      <w:tr w14:paraId="6A99E82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140" w:type="pct"/>
            <w:tcBorders>
              <w:tl2br w:val="nil"/>
              <w:tr2bl w:val="nil"/>
            </w:tcBorders>
            <w:noWrap w:val="0"/>
            <w:vAlign w:val="center"/>
          </w:tcPr>
          <w:p w14:paraId="09F67118">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岳阳市军北学校</w:t>
            </w:r>
          </w:p>
        </w:tc>
        <w:tc>
          <w:tcPr>
            <w:tcW w:w="2670" w:type="dxa"/>
            <w:tcBorders>
              <w:tl2br w:val="nil"/>
              <w:tr2bl w:val="nil"/>
            </w:tcBorders>
            <w:noWrap w:val="0"/>
            <w:vAlign w:val="center"/>
          </w:tcPr>
          <w:p w14:paraId="0B5AE96C">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0.00E+00</w:t>
            </w:r>
          </w:p>
        </w:tc>
        <w:tc>
          <w:tcPr>
            <w:tcW w:w="2511" w:type="dxa"/>
            <w:tcBorders>
              <w:tl2br w:val="nil"/>
              <w:tr2bl w:val="nil"/>
            </w:tcBorders>
            <w:noWrap w:val="0"/>
            <w:vAlign w:val="center"/>
          </w:tcPr>
          <w:p w14:paraId="5EDEFB96">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val="en-US" w:eastAsia="zh-CN"/>
              </w:rPr>
              <w:t>5</w:t>
            </w:r>
          </w:p>
        </w:tc>
      </w:tr>
      <w:tr w14:paraId="54876B6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140" w:type="pct"/>
            <w:tcBorders>
              <w:tl2br w:val="nil"/>
              <w:tr2bl w:val="nil"/>
            </w:tcBorders>
            <w:noWrap w:val="0"/>
            <w:vAlign w:val="center"/>
          </w:tcPr>
          <w:p w14:paraId="07C3DA5E">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新里垄</w:t>
            </w:r>
          </w:p>
        </w:tc>
        <w:tc>
          <w:tcPr>
            <w:tcW w:w="2670" w:type="dxa"/>
            <w:tcBorders>
              <w:tl2br w:val="nil"/>
              <w:tr2bl w:val="nil"/>
            </w:tcBorders>
            <w:noWrap w:val="0"/>
            <w:vAlign w:val="center"/>
          </w:tcPr>
          <w:p w14:paraId="0E7248F8">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0.00E+00</w:t>
            </w:r>
          </w:p>
        </w:tc>
        <w:tc>
          <w:tcPr>
            <w:tcW w:w="2511" w:type="dxa"/>
            <w:tcBorders>
              <w:tl2br w:val="nil"/>
              <w:tr2bl w:val="nil"/>
            </w:tcBorders>
            <w:noWrap w:val="0"/>
            <w:vAlign w:val="center"/>
          </w:tcPr>
          <w:p w14:paraId="4B63132A">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val="en-US" w:eastAsia="zh-CN"/>
              </w:rPr>
              <w:t>5</w:t>
            </w:r>
          </w:p>
        </w:tc>
      </w:tr>
      <w:tr w14:paraId="544620A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140" w:type="pct"/>
            <w:tcBorders>
              <w:tl2br w:val="nil"/>
              <w:tr2bl w:val="nil"/>
            </w:tcBorders>
            <w:noWrap w:val="0"/>
            <w:vAlign w:val="center"/>
          </w:tcPr>
          <w:p w14:paraId="0284F5E5">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赵家垄</w:t>
            </w:r>
          </w:p>
        </w:tc>
        <w:tc>
          <w:tcPr>
            <w:tcW w:w="2670" w:type="dxa"/>
            <w:tcBorders>
              <w:tl2br w:val="nil"/>
              <w:tr2bl w:val="nil"/>
            </w:tcBorders>
            <w:noWrap w:val="0"/>
            <w:vAlign w:val="center"/>
          </w:tcPr>
          <w:p w14:paraId="3E55DFBC">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0.00E+00</w:t>
            </w:r>
          </w:p>
        </w:tc>
        <w:tc>
          <w:tcPr>
            <w:tcW w:w="2511" w:type="dxa"/>
            <w:tcBorders>
              <w:tl2br w:val="nil"/>
              <w:tr2bl w:val="nil"/>
            </w:tcBorders>
            <w:noWrap w:val="0"/>
            <w:vAlign w:val="center"/>
          </w:tcPr>
          <w:p w14:paraId="131843DA">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val="en-US" w:eastAsia="zh-CN"/>
              </w:rPr>
              <w:t>5</w:t>
            </w:r>
          </w:p>
        </w:tc>
      </w:tr>
      <w:tr w14:paraId="2C118F1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140" w:type="pct"/>
            <w:tcBorders>
              <w:tl2br w:val="nil"/>
              <w:tr2bl w:val="nil"/>
            </w:tcBorders>
            <w:noWrap w:val="0"/>
            <w:vAlign w:val="center"/>
          </w:tcPr>
          <w:p w14:paraId="4EED63B9">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石岗里</w:t>
            </w:r>
          </w:p>
        </w:tc>
        <w:tc>
          <w:tcPr>
            <w:tcW w:w="2670" w:type="dxa"/>
            <w:tcBorders>
              <w:tl2br w:val="nil"/>
              <w:tr2bl w:val="nil"/>
            </w:tcBorders>
            <w:noWrap w:val="0"/>
            <w:vAlign w:val="center"/>
          </w:tcPr>
          <w:p w14:paraId="19702991">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0.00E+00</w:t>
            </w:r>
          </w:p>
        </w:tc>
        <w:tc>
          <w:tcPr>
            <w:tcW w:w="2511" w:type="dxa"/>
            <w:tcBorders>
              <w:tl2br w:val="nil"/>
              <w:tr2bl w:val="nil"/>
            </w:tcBorders>
            <w:noWrap w:val="0"/>
            <w:vAlign w:val="center"/>
          </w:tcPr>
          <w:p w14:paraId="656961BF">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val="en-US" w:eastAsia="zh-CN"/>
              </w:rPr>
              <w:t>5</w:t>
            </w:r>
          </w:p>
        </w:tc>
      </w:tr>
      <w:tr w14:paraId="22BA833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140" w:type="pct"/>
            <w:tcBorders>
              <w:tl2br w:val="nil"/>
              <w:tr2bl w:val="nil"/>
            </w:tcBorders>
            <w:noWrap w:val="0"/>
            <w:vAlign w:val="center"/>
          </w:tcPr>
          <w:p w14:paraId="4ABC2513">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毛家组</w:t>
            </w:r>
          </w:p>
        </w:tc>
        <w:tc>
          <w:tcPr>
            <w:tcW w:w="2670" w:type="dxa"/>
            <w:tcBorders>
              <w:tl2br w:val="nil"/>
              <w:tr2bl w:val="nil"/>
            </w:tcBorders>
            <w:noWrap w:val="0"/>
            <w:vAlign w:val="center"/>
          </w:tcPr>
          <w:p w14:paraId="5272091A">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0.00E+00</w:t>
            </w:r>
          </w:p>
        </w:tc>
        <w:tc>
          <w:tcPr>
            <w:tcW w:w="2511" w:type="dxa"/>
            <w:tcBorders>
              <w:tl2br w:val="nil"/>
              <w:tr2bl w:val="nil"/>
            </w:tcBorders>
            <w:noWrap w:val="0"/>
            <w:vAlign w:val="center"/>
          </w:tcPr>
          <w:p w14:paraId="4E62812C">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val="en-US" w:eastAsia="zh-CN"/>
              </w:rPr>
              <w:t>5</w:t>
            </w:r>
          </w:p>
        </w:tc>
      </w:tr>
      <w:tr w14:paraId="2E2D7A4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140" w:type="pct"/>
            <w:tcBorders>
              <w:tl2br w:val="nil"/>
              <w:tr2bl w:val="nil"/>
            </w:tcBorders>
            <w:noWrap w:val="0"/>
            <w:vAlign w:val="center"/>
          </w:tcPr>
          <w:p w14:paraId="41EB1339">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杨其湖组</w:t>
            </w:r>
          </w:p>
        </w:tc>
        <w:tc>
          <w:tcPr>
            <w:tcW w:w="2670" w:type="dxa"/>
            <w:tcBorders>
              <w:tl2br w:val="nil"/>
              <w:tr2bl w:val="nil"/>
            </w:tcBorders>
            <w:noWrap w:val="0"/>
            <w:vAlign w:val="center"/>
          </w:tcPr>
          <w:p w14:paraId="1FC4A76D">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0.00E+00</w:t>
            </w:r>
          </w:p>
        </w:tc>
        <w:tc>
          <w:tcPr>
            <w:tcW w:w="2511" w:type="dxa"/>
            <w:tcBorders>
              <w:tl2br w:val="nil"/>
              <w:tr2bl w:val="nil"/>
            </w:tcBorders>
            <w:noWrap w:val="0"/>
            <w:vAlign w:val="center"/>
          </w:tcPr>
          <w:p w14:paraId="508E6FFF">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val="en-US" w:eastAsia="zh-CN"/>
              </w:rPr>
              <w:t>5</w:t>
            </w:r>
          </w:p>
        </w:tc>
      </w:tr>
      <w:tr w14:paraId="591BDAF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140" w:type="pct"/>
            <w:tcBorders>
              <w:tl2br w:val="nil"/>
              <w:tr2bl w:val="nil"/>
            </w:tcBorders>
            <w:noWrap w:val="0"/>
            <w:vAlign w:val="center"/>
          </w:tcPr>
          <w:p w14:paraId="49E46093">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李家组</w:t>
            </w:r>
          </w:p>
        </w:tc>
        <w:tc>
          <w:tcPr>
            <w:tcW w:w="2670" w:type="dxa"/>
            <w:tcBorders>
              <w:tl2br w:val="nil"/>
              <w:tr2bl w:val="nil"/>
            </w:tcBorders>
            <w:noWrap w:val="0"/>
            <w:vAlign w:val="center"/>
          </w:tcPr>
          <w:p w14:paraId="59AD64CF">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0.00E+00</w:t>
            </w:r>
          </w:p>
        </w:tc>
        <w:tc>
          <w:tcPr>
            <w:tcW w:w="2511" w:type="dxa"/>
            <w:tcBorders>
              <w:tl2br w:val="nil"/>
              <w:tr2bl w:val="nil"/>
            </w:tcBorders>
            <w:noWrap w:val="0"/>
            <w:vAlign w:val="center"/>
          </w:tcPr>
          <w:p w14:paraId="1DFCBF20">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val="en-US" w:eastAsia="zh-CN"/>
              </w:rPr>
              <w:t>5</w:t>
            </w:r>
          </w:p>
        </w:tc>
      </w:tr>
      <w:tr w14:paraId="0FC9582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140" w:type="pct"/>
            <w:tcBorders>
              <w:tl2br w:val="nil"/>
              <w:tr2bl w:val="nil"/>
            </w:tcBorders>
            <w:noWrap w:val="0"/>
            <w:vAlign w:val="center"/>
          </w:tcPr>
          <w:p w14:paraId="589BEED1">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新铺租</w:t>
            </w:r>
          </w:p>
        </w:tc>
        <w:tc>
          <w:tcPr>
            <w:tcW w:w="2670" w:type="dxa"/>
            <w:tcBorders>
              <w:tl2br w:val="nil"/>
              <w:tr2bl w:val="nil"/>
            </w:tcBorders>
            <w:noWrap w:val="0"/>
            <w:vAlign w:val="center"/>
          </w:tcPr>
          <w:p w14:paraId="598DC2DE">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0.00E+00</w:t>
            </w:r>
          </w:p>
        </w:tc>
        <w:tc>
          <w:tcPr>
            <w:tcW w:w="2511" w:type="dxa"/>
            <w:tcBorders>
              <w:tl2br w:val="nil"/>
              <w:tr2bl w:val="nil"/>
            </w:tcBorders>
            <w:noWrap w:val="0"/>
            <w:vAlign w:val="center"/>
          </w:tcPr>
          <w:p w14:paraId="5F84CD8E">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val="en-US" w:eastAsia="zh-CN"/>
              </w:rPr>
              <w:t>5</w:t>
            </w:r>
          </w:p>
        </w:tc>
      </w:tr>
      <w:tr w14:paraId="132E3A6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140" w:type="pct"/>
            <w:tcBorders>
              <w:tl2br w:val="nil"/>
              <w:tr2bl w:val="nil"/>
            </w:tcBorders>
            <w:noWrap w:val="0"/>
            <w:vAlign w:val="center"/>
          </w:tcPr>
          <w:p w14:paraId="511C9C58">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安置小区（停建）</w:t>
            </w:r>
          </w:p>
        </w:tc>
        <w:tc>
          <w:tcPr>
            <w:tcW w:w="1473" w:type="pct"/>
            <w:tcBorders>
              <w:tl2br w:val="nil"/>
              <w:tr2bl w:val="nil"/>
            </w:tcBorders>
            <w:noWrap w:val="0"/>
            <w:vAlign w:val="center"/>
          </w:tcPr>
          <w:p w14:paraId="486EAD0A">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1.70E-04</w:t>
            </w:r>
          </w:p>
        </w:tc>
        <w:tc>
          <w:tcPr>
            <w:tcW w:w="1385" w:type="pct"/>
            <w:tcBorders>
              <w:tl2br w:val="nil"/>
              <w:tr2bl w:val="nil"/>
            </w:tcBorders>
            <w:noWrap w:val="0"/>
            <w:vAlign w:val="center"/>
          </w:tcPr>
          <w:p w14:paraId="582B7D55">
            <w:pPr>
              <w:jc w:val="center"/>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5</w:t>
            </w:r>
          </w:p>
        </w:tc>
      </w:tr>
      <w:tr w14:paraId="3ACC69C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140" w:type="pct"/>
            <w:tcBorders>
              <w:tl2br w:val="nil"/>
              <w:tr2bl w:val="nil"/>
            </w:tcBorders>
            <w:noWrap w:val="0"/>
            <w:vAlign w:val="center"/>
          </w:tcPr>
          <w:p w14:paraId="481D90E5">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岳阳市城陵矶高新产业园办公楼</w:t>
            </w:r>
          </w:p>
        </w:tc>
        <w:tc>
          <w:tcPr>
            <w:tcW w:w="2670" w:type="dxa"/>
            <w:tcBorders>
              <w:tl2br w:val="nil"/>
              <w:tr2bl w:val="nil"/>
            </w:tcBorders>
            <w:noWrap w:val="0"/>
            <w:vAlign w:val="center"/>
          </w:tcPr>
          <w:p w14:paraId="56716DC6">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0.00E+00</w:t>
            </w:r>
          </w:p>
        </w:tc>
        <w:tc>
          <w:tcPr>
            <w:tcW w:w="2511" w:type="dxa"/>
            <w:tcBorders>
              <w:tl2br w:val="nil"/>
              <w:tr2bl w:val="nil"/>
            </w:tcBorders>
            <w:noWrap w:val="0"/>
            <w:vAlign w:val="center"/>
          </w:tcPr>
          <w:p w14:paraId="74CBCD9B">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val="en-US" w:eastAsia="zh-CN"/>
              </w:rPr>
              <w:t>5</w:t>
            </w:r>
          </w:p>
        </w:tc>
      </w:tr>
      <w:tr w14:paraId="345CC82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140" w:type="pct"/>
            <w:tcBorders>
              <w:tl2br w:val="nil"/>
              <w:tr2bl w:val="nil"/>
            </w:tcBorders>
            <w:noWrap w:val="0"/>
            <w:vAlign w:val="center"/>
          </w:tcPr>
          <w:p w14:paraId="7C05042A">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卢家垄</w:t>
            </w:r>
          </w:p>
        </w:tc>
        <w:tc>
          <w:tcPr>
            <w:tcW w:w="2670" w:type="dxa"/>
            <w:tcBorders>
              <w:tl2br w:val="nil"/>
              <w:tr2bl w:val="nil"/>
            </w:tcBorders>
            <w:noWrap w:val="0"/>
            <w:vAlign w:val="center"/>
          </w:tcPr>
          <w:p w14:paraId="16214A07">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0.00E+00</w:t>
            </w:r>
          </w:p>
        </w:tc>
        <w:tc>
          <w:tcPr>
            <w:tcW w:w="2511" w:type="dxa"/>
            <w:tcBorders>
              <w:tl2br w:val="nil"/>
              <w:tr2bl w:val="nil"/>
            </w:tcBorders>
            <w:noWrap w:val="0"/>
            <w:vAlign w:val="center"/>
          </w:tcPr>
          <w:p w14:paraId="43E07967">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val="en-US" w:eastAsia="zh-CN"/>
              </w:rPr>
              <w:t>5</w:t>
            </w:r>
          </w:p>
        </w:tc>
      </w:tr>
      <w:tr w14:paraId="6EFD8CF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140" w:type="pct"/>
            <w:tcBorders>
              <w:tl2br w:val="nil"/>
              <w:tr2bl w:val="nil"/>
            </w:tcBorders>
            <w:noWrap w:val="0"/>
            <w:vAlign w:val="center"/>
          </w:tcPr>
          <w:p w14:paraId="06F3DB89">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白竹坡</w:t>
            </w:r>
          </w:p>
        </w:tc>
        <w:tc>
          <w:tcPr>
            <w:tcW w:w="2670" w:type="dxa"/>
            <w:tcBorders>
              <w:tl2br w:val="nil"/>
              <w:tr2bl w:val="nil"/>
            </w:tcBorders>
            <w:noWrap w:val="0"/>
            <w:vAlign w:val="center"/>
          </w:tcPr>
          <w:p w14:paraId="168DDB6F">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0.00E+00</w:t>
            </w:r>
          </w:p>
        </w:tc>
        <w:tc>
          <w:tcPr>
            <w:tcW w:w="2511" w:type="dxa"/>
            <w:tcBorders>
              <w:tl2br w:val="nil"/>
              <w:tr2bl w:val="nil"/>
            </w:tcBorders>
            <w:noWrap w:val="0"/>
            <w:vAlign w:val="center"/>
          </w:tcPr>
          <w:p w14:paraId="0AA5C15A">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val="en-US" w:eastAsia="zh-CN"/>
              </w:rPr>
              <w:t>5</w:t>
            </w:r>
          </w:p>
        </w:tc>
      </w:tr>
      <w:tr w14:paraId="7AC25E6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140" w:type="pct"/>
            <w:tcBorders>
              <w:tl2br w:val="nil"/>
              <w:tr2bl w:val="nil"/>
            </w:tcBorders>
            <w:noWrap w:val="0"/>
            <w:vAlign w:val="center"/>
          </w:tcPr>
          <w:p w14:paraId="0F9C3666">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杨家垄</w:t>
            </w:r>
          </w:p>
        </w:tc>
        <w:tc>
          <w:tcPr>
            <w:tcW w:w="2670" w:type="dxa"/>
            <w:tcBorders>
              <w:tl2br w:val="nil"/>
              <w:tr2bl w:val="nil"/>
            </w:tcBorders>
            <w:noWrap w:val="0"/>
            <w:vAlign w:val="center"/>
          </w:tcPr>
          <w:p w14:paraId="7C7F8C23">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0.00E+00</w:t>
            </w:r>
          </w:p>
        </w:tc>
        <w:tc>
          <w:tcPr>
            <w:tcW w:w="2511" w:type="dxa"/>
            <w:tcBorders>
              <w:tl2br w:val="nil"/>
              <w:tr2bl w:val="nil"/>
            </w:tcBorders>
            <w:noWrap w:val="0"/>
            <w:vAlign w:val="center"/>
          </w:tcPr>
          <w:p w14:paraId="0729328F">
            <w:pPr>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val="en-US" w:eastAsia="zh-CN"/>
              </w:rPr>
              <w:t>5</w:t>
            </w:r>
          </w:p>
        </w:tc>
      </w:tr>
    </w:tbl>
    <w:p w14:paraId="62DDDC30">
      <w:pPr>
        <w:pStyle w:val="110"/>
        <w:keepNext w:val="0"/>
        <w:keepLines w:val="0"/>
        <w:pageBreakBefore w:val="0"/>
        <w:widowControl w:val="0"/>
        <w:kinsoku/>
        <w:wordWrap/>
        <w:overflowPunct/>
        <w:topLinePunct w:val="0"/>
        <w:autoSpaceDE/>
        <w:autoSpaceDN/>
        <w:bidi w:val="0"/>
        <w:adjustRightInd/>
        <w:snapToGrid/>
        <w:spacing w:before="0" w:beforeLines="0" w:after="0" w:afterLines="0"/>
        <w:textAlignment w:val="auto"/>
        <w:outlineLvl w:val="9"/>
        <w:rPr>
          <w:rFonts w:hint="default" w:ascii="Times New Roman" w:hAnsi="Times New Roman" w:eastAsia="宋体" w:cs="Times New Roman"/>
          <w:color w:val="auto"/>
          <w:spacing w:val="0"/>
          <w:kern w:val="24"/>
          <w:position w:val="0"/>
          <w:highlight w:val="none"/>
          <w:u w:val="none" w:color="auto"/>
          <w:lang w:val="en-US" w:eastAsia="zh-CN"/>
        </w:rPr>
      </w:pPr>
      <w:r>
        <w:rPr>
          <w:rFonts w:hint="default" w:ascii="Times New Roman" w:hAnsi="Times New Roman" w:eastAsia="宋体" w:cs="Times New Roman"/>
          <w:color w:val="auto"/>
          <w:spacing w:val="0"/>
          <w:kern w:val="24"/>
          <w:position w:val="0"/>
          <w:highlight w:val="none"/>
          <w:u w:val="none" w:color="auto"/>
          <w:lang w:val="en-US" w:eastAsia="zh-CN"/>
        </w:rPr>
        <w:t>各关心点</w:t>
      </w:r>
      <w:r>
        <w:rPr>
          <w:rFonts w:hint="default" w:ascii="Times New Roman" w:hAnsi="Times New Roman" w:eastAsia="宋体" w:cs="Times New Roman"/>
          <w:color w:val="auto"/>
          <w:spacing w:val="0"/>
          <w:kern w:val="24"/>
          <w:position w:val="0"/>
          <w:highlight w:val="none"/>
          <w:u w:val="none" w:color="auto"/>
          <w:lang w:val="zh-CN"/>
        </w:rPr>
        <w:t>浓度随时间变化情况</w:t>
      </w:r>
      <w:r>
        <w:rPr>
          <w:rFonts w:hint="default" w:ascii="Times New Roman" w:hAnsi="Times New Roman" w:eastAsia="宋体" w:cs="Times New Roman"/>
          <w:color w:val="auto"/>
          <w:spacing w:val="0"/>
          <w:kern w:val="24"/>
          <w:position w:val="0"/>
          <w:highlight w:val="none"/>
          <w:u w:val="none" w:color="auto"/>
          <w:lang w:val="en-US" w:eastAsia="zh-CN"/>
        </w:rPr>
        <w:t>如下图所示（不含无浓度关心点）：</w:t>
      </w:r>
    </w:p>
    <w:p w14:paraId="700D2E46">
      <w:pPr>
        <w:wordWrap/>
        <w:topLinePunct w:val="0"/>
        <w:bidi w:val="0"/>
        <w:adjustRightInd/>
        <w:snapToGrid/>
        <w:jc w:val="center"/>
        <w:rPr>
          <w:rFonts w:hint="default" w:ascii="Times New Roman" w:hAnsi="Times New Roman" w:eastAsia="宋体" w:cs="Times New Roman"/>
          <w:color w:val="auto"/>
          <w:spacing w:val="0"/>
          <w:kern w:val="24"/>
          <w:position w:val="0"/>
          <w:u w:val="none" w:color="auto"/>
          <w:lang w:val="zh-CN"/>
        </w:rPr>
      </w:pPr>
      <w:r>
        <w:rPr>
          <w:rFonts w:hint="default" w:ascii="Times New Roman" w:hAnsi="Times New Roman" w:eastAsia="宋体" w:cs="Times New Roman"/>
          <w:color w:val="auto"/>
          <w:u w:val="none" w:color="auto"/>
        </w:rPr>
        <w:drawing>
          <wp:inline distT="0" distB="0" distL="114300" distR="114300">
            <wp:extent cx="5608955" cy="2879725"/>
            <wp:effectExtent l="0" t="0" r="10795" b="15875"/>
            <wp:docPr id="120"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24"/>
                    <pic:cNvPicPr>
                      <a:picLocks noChangeAspect="1"/>
                    </pic:cNvPicPr>
                  </pic:nvPicPr>
                  <pic:blipFill>
                    <a:blip r:embed="rId65"/>
                    <a:stretch>
                      <a:fillRect/>
                    </a:stretch>
                  </pic:blipFill>
                  <pic:spPr>
                    <a:xfrm>
                      <a:off x="0" y="0"/>
                      <a:ext cx="5608955" cy="2879725"/>
                    </a:xfrm>
                    <a:prstGeom prst="rect">
                      <a:avLst/>
                    </a:prstGeom>
                    <a:noFill/>
                    <a:ln>
                      <a:noFill/>
                    </a:ln>
                  </pic:spPr>
                </pic:pic>
              </a:graphicData>
            </a:graphic>
          </wp:inline>
        </w:drawing>
      </w:r>
    </w:p>
    <w:p w14:paraId="365D5F67">
      <w:pPr>
        <w:numPr>
          <w:ilvl w:val="0"/>
          <w:numId w:val="14"/>
        </w:numPr>
        <w:wordWrap/>
        <w:topLinePunct w:val="0"/>
        <w:bidi w:val="0"/>
        <w:adjustRightInd/>
        <w:snapToGrid/>
        <w:ind w:left="420" w:leftChars="0" w:hanging="420" w:firstLineChars="0"/>
        <w:jc w:val="center"/>
        <w:rPr>
          <w:rFonts w:hint="default" w:ascii="Times New Roman" w:hAnsi="Times New Roman" w:eastAsia="宋体" w:cs="Times New Roman"/>
          <w:b/>
          <w:bCs/>
          <w:color w:val="auto"/>
          <w:spacing w:val="0"/>
          <w:kern w:val="24"/>
          <w:position w:val="0"/>
          <w:highlight w:val="none"/>
          <w:u w:val="none" w:color="auto"/>
          <w:lang w:val="zh-CN"/>
        </w:rPr>
      </w:pPr>
      <w:r>
        <w:rPr>
          <w:rFonts w:hint="default" w:ascii="Times New Roman" w:hAnsi="Times New Roman" w:eastAsia="宋体" w:cs="Times New Roman"/>
          <w:b/>
          <w:bCs/>
          <w:color w:val="auto"/>
          <w:spacing w:val="0"/>
          <w:kern w:val="24"/>
          <w:position w:val="0"/>
          <w:highlight w:val="none"/>
          <w:u w:val="none" w:color="auto"/>
          <w:lang w:val="zh-CN"/>
        </w:rPr>
        <w:t>各关心点浓度随时间变化情况图（最不利气象条件）</w:t>
      </w:r>
    </w:p>
    <w:p w14:paraId="6A604D01">
      <w:pPr>
        <w:pStyle w:val="30"/>
        <w:tabs>
          <w:tab w:val="left" w:pos="540"/>
        </w:tabs>
        <w:ind w:left="0" w:leftChars="0" w:firstLine="0" w:firstLineChars="0"/>
        <w:rPr>
          <w:rFonts w:hint="default" w:ascii="Times New Roman" w:hAnsi="Times New Roman" w:eastAsia="宋体" w:cs="Times New Roman"/>
          <w:b/>
          <w:color w:val="auto"/>
          <w:szCs w:val="16"/>
          <w:highlight w:val="yellow"/>
          <w:u w:val="none" w:color="auto"/>
          <w:lang w:val="zh-TW"/>
        </w:rPr>
      </w:pPr>
      <w:r>
        <w:rPr>
          <w:rFonts w:hint="default" w:ascii="Times New Roman" w:hAnsi="Times New Roman" w:eastAsia="宋体" w:cs="Times New Roman"/>
          <w:color w:val="auto"/>
          <w:u w:val="none" w:color="auto"/>
        </w:rPr>
        <w:drawing>
          <wp:inline distT="0" distB="0" distL="114300" distR="114300">
            <wp:extent cx="5605145" cy="3161665"/>
            <wp:effectExtent l="0" t="0" r="14605" b="635"/>
            <wp:docPr id="112"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25"/>
                    <pic:cNvPicPr>
                      <a:picLocks noChangeAspect="1"/>
                    </pic:cNvPicPr>
                  </pic:nvPicPr>
                  <pic:blipFill>
                    <a:blip r:embed="rId66"/>
                    <a:stretch>
                      <a:fillRect/>
                    </a:stretch>
                  </pic:blipFill>
                  <pic:spPr>
                    <a:xfrm>
                      <a:off x="0" y="0"/>
                      <a:ext cx="5605145" cy="3161665"/>
                    </a:xfrm>
                    <a:prstGeom prst="rect">
                      <a:avLst/>
                    </a:prstGeom>
                    <a:noFill/>
                    <a:ln>
                      <a:noFill/>
                    </a:ln>
                  </pic:spPr>
                </pic:pic>
              </a:graphicData>
            </a:graphic>
          </wp:inline>
        </w:drawing>
      </w:r>
    </w:p>
    <w:p w14:paraId="5A27B428">
      <w:pPr>
        <w:numPr>
          <w:ilvl w:val="0"/>
          <w:numId w:val="14"/>
        </w:numPr>
        <w:wordWrap/>
        <w:topLinePunct w:val="0"/>
        <w:bidi w:val="0"/>
        <w:adjustRightInd/>
        <w:snapToGrid/>
        <w:ind w:left="420" w:leftChars="0" w:hanging="420" w:firstLineChars="0"/>
        <w:jc w:val="center"/>
        <w:rPr>
          <w:rFonts w:hint="default" w:ascii="Times New Roman" w:hAnsi="Times New Roman" w:eastAsia="宋体" w:cs="Times New Roman"/>
          <w:b/>
          <w:bCs/>
          <w:color w:val="auto"/>
          <w:highlight w:val="none"/>
          <w:u w:val="none" w:color="auto"/>
        </w:rPr>
      </w:pPr>
      <w:r>
        <w:rPr>
          <w:rFonts w:hint="default" w:ascii="Times New Roman" w:hAnsi="Times New Roman" w:eastAsia="宋体" w:cs="Times New Roman"/>
          <w:b/>
          <w:bCs/>
          <w:color w:val="auto"/>
          <w:highlight w:val="none"/>
          <w:u w:val="none" w:color="auto"/>
        </w:rPr>
        <w:t>本次事故发生后</w:t>
      </w:r>
      <w:r>
        <w:rPr>
          <w:rFonts w:hint="default" w:ascii="Times New Roman" w:hAnsi="Times New Roman" w:eastAsia="宋体" w:cs="Times New Roman"/>
          <w:b/>
          <w:bCs/>
          <w:color w:val="auto"/>
          <w:highlight w:val="none"/>
          <w:u w:val="none" w:color="auto"/>
          <w:lang w:val="en-US" w:eastAsia="zh-CN"/>
        </w:rPr>
        <w:t>CO</w:t>
      </w:r>
      <w:r>
        <w:rPr>
          <w:rFonts w:hint="default" w:ascii="Times New Roman" w:hAnsi="Times New Roman" w:eastAsia="宋体" w:cs="Times New Roman"/>
          <w:b/>
          <w:bCs/>
          <w:color w:val="auto"/>
          <w:highlight w:val="none"/>
          <w:u w:val="none" w:color="auto"/>
        </w:rPr>
        <w:t>预测最大浓度影响范围示意（最不利气象条件）</w:t>
      </w:r>
    </w:p>
    <w:p w14:paraId="3F92767A">
      <w:pPr>
        <w:pStyle w:val="4"/>
        <w:numPr>
          <w:ilvl w:val="1"/>
          <w:numId w:val="0"/>
        </w:numPr>
        <w:spacing w:before="120" w:after="120" w:line="360" w:lineRule="auto"/>
        <w:contextualSpacing/>
        <w:rPr>
          <w:rFonts w:hint="default" w:ascii="Times New Roman" w:hAnsi="Times New Roman" w:eastAsia="宋体" w:cs="Times New Roman"/>
          <w:b/>
          <w:bCs w:val="0"/>
          <w:color w:val="auto"/>
          <w:sz w:val="28"/>
          <w:highlight w:val="none"/>
          <w:u w:val="none" w:color="auto"/>
        </w:rPr>
      </w:pPr>
      <w:bookmarkStart w:id="266" w:name="_Toc1216"/>
      <w:bookmarkStart w:id="267" w:name="_Toc30334"/>
      <w:bookmarkStart w:id="268" w:name="_Toc1179"/>
      <w:bookmarkStart w:id="269" w:name="_Toc28806"/>
      <w:r>
        <w:rPr>
          <w:rFonts w:hint="default" w:ascii="Times New Roman" w:hAnsi="Times New Roman" w:eastAsia="宋体" w:cs="Times New Roman"/>
          <w:b/>
          <w:bCs w:val="0"/>
          <w:color w:val="auto"/>
          <w:sz w:val="28"/>
          <w:highlight w:val="none"/>
          <w:u w:val="none" w:color="auto"/>
        </w:rPr>
        <w:t>5.2地表水环境风险影响分析</w:t>
      </w:r>
      <w:bookmarkEnd w:id="266"/>
      <w:bookmarkEnd w:id="267"/>
      <w:bookmarkEnd w:id="268"/>
      <w:bookmarkEnd w:id="269"/>
    </w:p>
    <w:p w14:paraId="1252AE5F">
      <w:pPr>
        <w:spacing w:line="360" w:lineRule="auto"/>
        <w:ind w:firstLine="480" w:firstLineChars="200"/>
        <w:rPr>
          <w:rFonts w:hint="default" w:ascii="Times New Roman" w:hAnsi="Times New Roman" w:eastAsia="宋体" w:cs="Times New Roman"/>
          <w:color w:val="auto"/>
          <w:sz w:val="24"/>
          <w:u w:val="none" w:color="auto"/>
        </w:rPr>
      </w:pPr>
      <w:r>
        <w:rPr>
          <w:rFonts w:hint="default" w:ascii="Times New Roman" w:hAnsi="Times New Roman" w:eastAsia="宋体" w:cs="Times New Roman"/>
          <w:color w:val="auto"/>
          <w:sz w:val="24"/>
          <w:u w:val="none" w:color="auto"/>
        </w:rPr>
        <w:t>根据本项目所用生产原辅料及工艺，且厂房主要为钢架结构，因此本项目产生消防废水的情形主要为润滑油等储存桶发生的泄漏和火灾事故而产生的消防废水，危险物质发生泄漏产生的泄漏废水废液。</w:t>
      </w:r>
    </w:p>
    <w:p w14:paraId="786C1FDE">
      <w:pPr>
        <w:spacing w:line="360" w:lineRule="auto"/>
        <w:ind w:firstLine="482" w:firstLineChars="200"/>
        <w:outlineLvl w:val="2"/>
        <w:rPr>
          <w:rFonts w:hint="default" w:ascii="Times New Roman" w:hAnsi="Times New Roman" w:eastAsia="宋体" w:cs="Times New Roman"/>
          <w:b/>
          <w:bCs/>
          <w:color w:val="auto"/>
          <w:sz w:val="24"/>
          <w:u w:val="none" w:color="auto"/>
        </w:rPr>
      </w:pPr>
      <w:bookmarkStart w:id="270" w:name="_Toc20820"/>
      <w:r>
        <w:rPr>
          <w:rFonts w:hint="default" w:ascii="Times New Roman" w:hAnsi="Times New Roman" w:eastAsia="宋体" w:cs="Times New Roman"/>
          <w:b/>
          <w:bCs/>
          <w:color w:val="auto"/>
          <w:sz w:val="24"/>
          <w:u w:val="none" w:color="auto"/>
        </w:rPr>
        <w:t>5.2.1油类物料发生火灾的影响分析</w:t>
      </w:r>
      <w:bookmarkEnd w:id="270"/>
    </w:p>
    <w:p w14:paraId="6CBB0E8B">
      <w:pPr>
        <w:spacing w:line="360" w:lineRule="auto"/>
        <w:ind w:firstLine="480" w:firstLineChars="200"/>
        <w:rPr>
          <w:rFonts w:hint="default" w:ascii="Times New Roman" w:hAnsi="Times New Roman" w:eastAsia="宋体" w:cs="Times New Roman"/>
          <w:color w:val="auto"/>
          <w:sz w:val="24"/>
          <w:u w:val="none" w:color="auto"/>
        </w:rPr>
      </w:pPr>
      <w:r>
        <w:rPr>
          <w:rFonts w:hint="default" w:ascii="Times New Roman" w:hAnsi="Times New Roman" w:eastAsia="宋体" w:cs="Times New Roman"/>
          <w:color w:val="auto"/>
          <w:sz w:val="24"/>
          <w:u w:val="none" w:color="auto"/>
        </w:rPr>
        <w:t>根据建设单位提供的资料可知，项目仅暂存少量油类，用于日常生产补充消耗；在设备维护保养时再另行购置相关油类物料，并予以现场更换，产生的废油类物质经危废暂存间暂存后交由资质单位无害化处置。</w:t>
      </w:r>
    </w:p>
    <w:p w14:paraId="068FE985">
      <w:pPr>
        <w:spacing w:line="360" w:lineRule="auto"/>
        <w:ind w:firstLine="480" w:firstLineChars="200"/>
        <w:rPr>
          <w:rFonts w:hint="default" w:ascii="Times New Roman" w:hAnsi="Times New Roman" w:eastAsia="宋体" w:cs="Times New Roman"/>
          <w:color w:val="auto"/>
          <w:sz w:val="24"/>
          <w:u w:val="none" w:color="auto"/>
        </w:rPr>
      </w:pPr>
      <w:r>
        <w:rPr>
          <w:rFonts w:hint="default" w:ascii="Times New Roman" w:hAnsi="Times New Roman" w:eastAsia="宋体" w:cs="Times New Roman"/>
          <w:color w:val="auto"/>
          <w:sz w:val="24"/>
          <w:u w:val="none" w:color="auto"/>
        </w:rPr>
        <w:t>可知在通常情况下项目生产车间是不会发生泄漏及火灾，主要为危废暂存间、油类贮存区发生泄漏和火灾。根据建设单位设计资料，拟在危废暂存间、油类贮存区设置堵截裙角，防止发生泄漏时外泄入厂区环境事件，同时还设置火灾报警器、配套干粉灭火器等，则发生火灾情形时，可及时予以扑灭。</w:t>
      </w:r>
    </w:p>
    <w:p w14:paraId="09941A8F">
      <w:pPr>
        <w:spacing w:line="360" w:lineRule="auto"/>
        <w:ind w:firstLine="482" w:firstLineChars="200"/>
        <w:outlineLvl w:val="2"/>
        <w:rPr>
          <w:rFonts w:hint="default" w:ascii="Times New Roman" w:hAnsi="Times New Roman" w:eastAsia="宋体" w:cs="Times New Roman"/>
          <w:b/>
          <w:bCs/>
          <w:color w:val="auto"/>
          <w:sz w:val="24"/>
          <w:u w:val="none" w:color="auto"/>
        </w:rPr>
      </w:pPr>
      <w:r>
        <w:rPr>
          <w:rFonts w:hint="default" w:ascii="Times New Roman" w:hAnsi="Times New Roman" w:eastAsia="宋体" w:cs="Times New Roman"/>
          <w:b/>
          <w:bCs/>
          <w:color w:val="auto"/>
          <w:sz w:val="24"/>
          <w:u w:val="none" w:color="auto"/>
        </w:rPr>
        <w:t>5.2.</w:t>
      </w:r>
      <w:r>
        <w:rPr>
          <w:rFonts w:hint="default" w:ascii="Times New Roman" w:hAnsi="Times New Roman" w:eastAsia="宋体" w:cs="Times New Roman"/>
          <w:b/>
          <w:bCs/>
          <w:color w:val="auto"/>
          <w:sz w:val="24"/>
          <w:u w:val="none" w:color="auto"/>
          <w:lang w:val="en-US" w:eastAsia="zh-CN"/>
        </w:rPr>
        <w:t>2</w:t>
      </w:r>
      <w:r>
        <w:rPr>
          <w:rFonts w:hint="default" w:ascii="Times New Roman" w:hAnsi="Times New Roman" w:eastAsia="宋体" w:cs="Times New Roman"/>
          <w:b/>
          <w:bCs/>
          <w:color w:val="auto"/>
          <w:sz w:val="24"/>
          <w:u w:val="none" w:color="auto"/>
        </w:rPr>
        <w:t>油类物料发生泄漏影响分析</w:t>
      </w:r>
    </w:p>
    <w:p w14:paraId="7DCD136D">
      <w:pPr>
        <w:topLinePunct w:val="0"/>
        <w:bidi w:val="0"/>
        <w:adjustRightInd/>
        <w:snapToGrid/>
        <w:spacing w:line="360" w:lineRule="auto"/>
        <w:ind w:firstLine="480" w:firstLineChars="200"/>
        <w:rPr>
          <w:rFonts w:hint="default" w:ascii="Times New Roman" w:hAnsi="Times New Roman" w:eastAsia="宋体" w:cs="Times New Roman"/>
          <w:color w:val="auto"/>
          <w:sz w:val="24"/>
          <w:u w:val="none" w:color="auto"/>
        </w:rPr>
      </w:pPr>
      <w:r>
        <w:rPr>
          <w:rFonts w:hint="default" w:ascii="Times New Roman" w:hAnsi="Times New Roman" w:eastAsia="宋体" w:cs="Times New Roman"/>
          <w:color w:val="auto"/>
          <w:sz w:val="24"/>
          <w:highlight w:val="none"/>
          <w:u w:val="none" w:color="auto"/>
          <w:lang w:val="en-US" w:eastAsia="zh-CN"/>
        </w:rPr>
        <w:t>企业在贮存或使用油类物料时，若发生泄漏事故可能通过雨水排放口排入市政雨水受纳水体（象骨港），并可能经电排站排入长江。</w:t>
      </w:r>
      <w:r>
        <w:rPr>
          <w:rFonts w:hint="default" w:ascii="Times New Roman" w:hAnsi="Times New Roman" w:eastAsia="宋体" w:cs="Times New Roman"/>
          <w:color w:val="auto"/>
          <w:sz w:val="24"/>
          <w:u w:val="none" w:color="auto"/>
        </w:rPr>
        <w:t>考虑污染最大风险，预测时不考虑</w:t>
      </w:r>
      <w:r>
        <w:rPr>
          <w:rFonts w:hint="default" w:ascii="Times New Roman" w:hAnsi="Times New Roman" w:eastAsia="宋体" w:cs="Times New Roman"/>
          <w:color w:val="auto"/>
          <w:sz w:val="24"/>
          <w:highlight w:val="none"/>
          <w:u w:val="none" w:color="auto"/>
          <w:lang w:val="en-US" w:eastAsia="zh-CN"/>
        </w:rPr>
        <w:t>油类物料</w:t>
      </w:r>
      <w:r>
        <w:rPr>
          <w:rFonts w:hint="default" w:ascii="Times New Roman" w:hAnsi="Times New Roman" w:eastAsia="宋体" w:cs="Times New Roman"/>
          <w:color w:val="auto"/>
          <w:sz w:val="24"/>
          <w:u w:val="none" w:color="auto"/>
        </w:rPr>
        <w:t>的降解，同时考虑到</w:t>
      </w:r>
      <w:r>
        <w:rPr>
          <w:rFonts w:hint="default" w:ascii="Times New Roman" w:hAnsi="Times New Roman" w:eastAsia="宋体" w:cs="Times New Roman"/>
          <w:color w:val="auto"/>
          <w:sz w:val="24"/>
          <w:highlight w:val="none"/>
          <w:u w:val="none" w:color="auto"/>
          <w:lang w:val="en-US" w:eastAsia="zh-CN"/>
        </w:rPr>
        <w:t>油类物料</w:t>
      </w:r>
      <w:r>
        <w:rPr>
          <w:rFonts w:hint="default" w:ascii="Times New Roman" w:hAnsi="Times New Roman" w:eastAsia="宋体" w:cs="Times New Roman"/>
          <w:color w:val="auto"/>
          <w:sz w:val="24"/>
          <w:u w:val="none" w:color="auto"/>
        </w:rPr>
        <w:t>泄漏进入水体后的特性，预测模型采用不溶性化学物理溢油扩散模型计算其扩散面积，采用漂流模型计算其</w:t>
      </w:r>
      <w:r>
        <w:rPr>
          <w:rFonts w:hint="default" w:ascii="Times New Roman" w:hAnsi="Times New Roman" w:eastAsia="宋体" w:cs="Times New Roman"/>
          <w:color w:val="auto"/>
          <w:sz w:val="24"/>
          <w:u w:val="none" w:color="auto"/>
          <w:lang w:eastAsia="zh-CN"/>
        </w:rPr>
        <w:t>漂移</w:t>
      </w:r>
      <w:r>
        <w:rPr>
          <w:rFonts w:hint="default" w:ascii="Times New Roman" w:hAnsi="Times New Roman" w:eastAsia="宋体" w:cs="Times New Roman"/>
          <w:color w:val="auto"/>
          <w:sz w:val="24"/>
          <w:u w:val="none" w:color="auto"/>
        </w:rPr>
        <w:t>距离。</w:t>
      </w:r>
    </w:p>
    <w:p w14:paraId="7F023924">
      <w:pPr>
        <w:spacing w:line="360" w:lineRule="auto"/>
        <w:ind w:firstLine="480" w:firstLineChars="200"/>
        <w:contextualSpacing/>
        <w:rPr>
          <w:rFonts w:hint="default" w:ascii="Times New Roman" w:hAnsi="Times New Roman" w:eastAsia="宋体" w:cs="Times New Roman"/>
          <w:color w:val="auto"/>
          <w:sz w:val="24"/>
          <w:u w:val="none" w:color="auto"/>
        </w:rPr>
      </w:pPr>
      <w:r>
        <w:rPr>
          <w:rFonts w:hint="default" w:ascii="Times New Roman" w:hAnsi="Times New Roman" w:eastAsia="宋体" w:cs="Times New Roman"/>
          <w:color w:val="auto"/>
          <w:sz w:val="24"/>
          <w:u w:val="none" w:color="auto"/>
        </w:rPr>
        <w:t>A.溢油扩散模型</w:t>
      </w:r>
    </w:p>
    <w:p w14:paraId="765DA3FD">
      <w:pPr>
        <w:spacing w:line="360" w:lineRule="auto"/>
        <w:ind w:firstLine="480" w:firstLineChars="200"/>
        <w:contextualSpacing/>
        <w:rPr>
          <w:rFonts w:hint="default" w:ascii="Times New Roman" w:hAnsi="Times New Roman" w:eastAsia="宋体" w:cs="Times New Roman"/>
          <w:color w:val="auto"/>
          <w:sz w:val="24"/>
          <w:u w:val="none" w:color="auto"/>
        </w:rPr>
      </w:pPr>
      <w:r>
        <w:rPr>
          <w:rFonts w:hint="default" w:ascii="Times New Roman" w:hAnsi="Times New Roman" w:eastAsia="宋体" w:cs="Times New Roman"/>
          <w:color w:val="auto"/>
          <w:sz w:val="24"/>
          <w:u w:val="none" w:color="auto"/>
        </w:rPr>
        <w:t>采用P,C,Blokker公式进行计算，即假定油膜在无风条件下的扩散情形，计算公式如下：</w:t>
      </w:r>
    </w:p>
    <w:p w14:paraId="6CA2702C">
      <w:pPr>
        <w:spacing w:line="360" w:lineRule="auto"/>
        <w:ind w:firstLine="480" w:firstLineChars="200"/>
        <w:contextualSpacing/>
        <w:jc w:val="center"/>
        <w:rPr>
          <w:rFonts w:hint="default" w:ascii="Times New Roman" w:hAnsi="Times New Roman" w:eastAsia="宋体" w:cs="Times New Roman"/>
          <w:color w:val="auto"/>
          <w:sz w:val="24"/>
          <w:u w:val="none" w:color="auto"/>
        </w:rPr>
      </w:pPr>
      <w:r>
        <w:rPr>
          <w:rFonts w:hint="default" w:ascii="Times New Roman" w:hAnsi="Times New Roman" w:eastAsia="宋体" w:cs="Times New Roman"/>
          <w:color w:val="auto"/>
          <w:sz w:val="24"/>
          <w:u w:val="none" w:color="auto"/>
        </w:rPr>
        <w:drawing>
          <wp:inline distT="0" distB="0" distL="114300" distR="114300">
            <wp:extent cx="1917065" cy="431800"/>
            <wp:effectExtent l="0" t="0" r="6985" b="5715"/>
            <wp:docPr id="110"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26"/>
                    <pic:cNvPicPr>
                      <a:picLocks noChangeAspect="1"/>
                    </pic:cNvPicPr>
                  </pic:nvPicPr>
                  <pic:blipFill>
                    <a:blip r:embed="rId67"/>
                    <a:stretch>
                      <a:fillRect/>
                    </a:stretch>
                  </pic:blipFill>
                  <pic:spPr>
                    <a:xfrm>
                      <a:off x="0" y="0"/>
                      <a:ext cx="1917065" cy="431800"/>
                    </a:xfrm>
                    <a:prstGeom prst="rect">
                      <a:avLst/>
                    </a:prstGeom>
                    <a:noFill/>
                    <a:ln>
                      <a:noFill/>
                    </a:ln>
                  </pic:spPr>
                </pic:pic>
              </a:graphicData>
            </a:graphic>
          </wp:inline>
        </w:drawing>
      </w:r>
    </w:p>
    <w:p w14:paraId="50D210C4">
      <w:pPr>
        <w:spacing w:line="360" w:lineRule="auto"/>
        <w:ind w:firstLine="480" w:firstLineChars="200"/>
        <w:contextualSpacing/>
        <w:rPr>
          <w:rFonts w:hint="default" w:ascii="Times New Roman" w:hAnsi="Times New Roman" w:eastAsia="宋体" w:cs="Times New Roman"/>
          <w:color w:val="auto"/>
          <w:sz w:val="24"/>
          <w:u w:val="none" w:color="auto"/>
        </w:rPr>
      </w:pPr>
      <w:r>
        <w:rPr>
          <w:rFonts w:hint="default" w:ascii="Times New Roman" w:hAnsi="Times New Roman" w:eastAsia="宋体" w:cs="Times New Roman"/>
          <w:color w:val="auto"/>
          <w:sz w:val="24"/>
          <w:u w:val="none" w:color="auto"/>
        </w:rPr>
        <w:t>式中：D</w:t>
      </w:r>
      <w:r>
        <w:rPr>
          <w:rFonts w:hint="default" w:ascii="Times New Roman" w:hAnsi="Times New Roman" w:eastAsia="宋体" w:cs="Times New Roman"/>
          <w:color w:val="auto"/>
          <w:sz w:val="24"/>
          <w:u w:val="none" w:color="auto"/>
          <w:vertAlign w:val="subscript"/>
        </w:rPr>
        <w:t>t</w:t>
      </w:r>
      <w:r>
        <w:rPr>
          <w:rFonts w:hint="default" w:ascii="Times New Roman" w:hAnsi="Times New Roman" w:eastAsia="宋体" w:cs="Times New Roman"/>
          <w:color w:val="auto"/>
          <w:sz w:val="24"/>
          <w:u w:val="none" w:color="auto"/>
        </w:rPr>
        <w:t>——t时刻后油膜的直径，m；</w:t>
      </w:r>
    </w:p>
    <w:p w14:paraId="1D5F89DC">
      <w:pPr>
        <w:spacing w:line="360" w:lineRule="auto"/>
        <w:ind w:firstLine="1200" w:firstLineChars="500"/>
        <w:contextualSpacing/>
        <w:rPr>
          <w:rFonts w:hint="default" w:ascii="Times New Roman" w:hAnsi="Times New Roman" w:eastAsia="宋体" w:cs="Times New Roman"/>
          <w:color w:val="auto"/>
          <w:sz w:val="24"/>
          <w:u w:val="none" w:color="auto"/>
          <w:lang w:eastAsia="zh-CN"/>
        </w:rPr>
      </w:pPr>
      <w:r>
        <w:rPr>
          <w:rFonts w:hint="default" w:ascii="Times New Roman" w:hAnsi="Times New Roman" w:eastAsia="宋体" w:cs="Times New Roman"/>
          <w:color w:val="auto"/>
          <w:sz w:val="24"/>
          <w:u w:val="none" w:color="auto"/>
        </w:rPr>
        <w:t>D</w:t>
      </w:r>
      <w:r>
        <w:rPr>
          <w:rFonts w:hint="default" w:ascii="Times New Roman" w:hAnsi="Times New Roman" w:eastAsia="宋体" w:cs="Times New Roman"/>
          <w:color w:val="auto"/>
          <w:sz w:val="24"/>
          <w:u w:val="none" w:color="auto"/>
          <w:vertAlign w:val="subscript"/>
        </w:rPr>
        <w:t>0</w:t>
      </w:r>
      <w:r>
        <w:rPr>
          <w:rFonts w:hint="default" w:ascii="Times New Roman" w:hAnsi="Times New Roman" w:eastAsia="宋体" w:cs="Times New Roman"/>
          <w:color w:val="auto"/>
          <w:sz w:val="24"/>
          <w:u w:val="none" w:color="auto"/>
        </w:rPr>
        <w:t>——油膜初始时刻的直径，m，取值泄漏1min时产生的油膜直径（m）；</w:t>
      </w:r>
    </w:p>
    <w:p w14:paraId="639CD807">
      <w:pPr>
        <w:spacing w:line="360" w:lineRule="auto"/>
        <w:ind w:firstLine="1200" w:firstLineChars="500"/>
        <w:contextualSpacing/>
        <w:rPr>
          <w:rFonts w:hint="default" w:ascii="Times New Roman" w:hAnsi="Times New Roman" w:eastAsia="宋体" w:cs="Times New Roman"/>
          <w:color w:val="auto"/>
          <w:sz w:val="24"/>
          <w:u w:val="none" w:color="auto"/>
        </w:rPr>
      </w:pPr>
      <w:r>
        <w:rPr>
          <w:rFonts w:hint="default" w:ascii="Times New Roman" w:hAnsi="Times New Roman" w:eastAsia="宋体" w:cs="Times New Roman"/>
          <w:color w:val="auto"/>
          <w:sz w:val="24"/>
          <w:u w:val="none" w:color="auto"/>
        </w:rPr>
        <w:t>γ</w:t>
      </w:r>
      <w:r>
        <w:rPr>
          <w:rFonts w:hint="default" w:ascii="Times New Roman" w:hAnsi="Times New Roman" w:eastAsia="宋体" w:cs="Times New Roman"/>
          <w:color w:val="auto"/>
          <w:sz w:val="24"/>
          <w:u w:val="none" w:color="auto"/>
          <w:vertAlign w:val="subscript"/>
        </w:rPr>
        <w:t>W</w:t>
      </w:r>
      <w:r>
        <w:rPr>
          <w:rFonts w:hint="default" w:ascii="Times New Roman" w:hAnsi="Times New Roman" w:eastAsia="宋体" w:cs="Times New Roman"/>
          <w:color w:val="auto"/>
          <w:sz w:val="24"/>
          <w:u w:val="none" w:color="auto"/>
        </w:rPr>
        <w:t>、γ</w:t>
      </w:r>
      <w:r>
        <w:rPr>
          <w:rFonts w:hint="default" w:ascii="Times New Roman" w:hAnsi="Times New Roman" w:eastAsia="宋体" w:cs="Times New Roman"/>
          <w:color w:val="auto"/>
          <w:sz w:val="24"/>
          <w:u w:val="none" w:color="auto"/>
          <w:vertAlign w:val="subscript"/>
        </w:rPr>
        <w:t>0</w:t>
      </w:r>
      <w:r>
        <w:rPr>
          <w:rFonts w:hint="default" w:ascii="Times New Roman" w:hAnsi="Times New Roman" w:eastAsia="宋体" w:cs="Times New Roman"/>
          <w:color w:val="auto"/>
          <w:sz w:val="24"/>
          <w:u w:val="none" w:color="auto"/>
        </w:rPr>
        <w:t>——水和</w:t>
      </w:r>
      <w:r>
        <w:rPr>
          <w:rFonts w:hint="default" w:ascii="Times New Roman" w:hAnsi="Times New Roman" w:eastAsia="宋体" w:cs="Times New Roman"/>
          <w:color w:val="auto"/>
          <w:sz w:val="24"/>
          <w:u w:val="none" w:color="auto"/>
          <w:lang w:val="en-US" w:eastAsia="zh-CN"/>
        </w:rPr>
        <w:t>矿物油类</w:t>
      </w:r>
      <w:r>
        <w:rPr>
          <w:rFonts w:hint="default" w:ascii="Times New Roman" w:hAnsi="Times New Roman" w:eastAsia="宋体" w:cs="Times New Roman"/>
          <w:color w:val="auto"/>
          <w:sz w:val="24"/>
          <w:u w:val="none" w:color="auto"/>
        </w:rPr>
        <w:t>的比重，分别取值1t/m</w:t>
      </w:r>
      <w:r>
        <w:rPr>
          <w:rFonts w:hint="default" w:ascii="Times New Roman" w:hAnsi="Times New Roman" w:eastAsia="宋体" w:cs="Times New Roman"/>
          <w:color w:val="auto"/>
          <w:sz w:val="24"/>
          <w:u w:val="none" w:color="auto"/>
          <w:vertAlign w:val="superscript"/>
        </w:rPr>
        <w:t>3</w:t>
      </w:r>
      <w:r>
        <w:rPr>
          <w:rFonts w:hint="default" w:ascii="Times New Roman" w:hAnsi="Times New Roman" w:eastAsia="宋体" w:cs="Times New Roman"/>
          <w:color w:val="auto"/>
          <w:sz w:val="24"/>
          <w:u w:val="none" w:color="auto"/>
        </w:rPr>
        <w:t>、0.87t/m</w:t>
      </w:r>
      <w:r>
        <w:rPr>
          <w:rFonts w:hint="default" w:ascii="Times New Roman" w:hAnsi="Times New Roman" w:eastAsia="宋体" w:cs="Times New Roman"/>
          <w:color w:val="auto"/>
          <w:sz w:val="24"/>
          <w:u w:val="none" w:color="auto"/>
          <w:vertAlign w:val="superscript"/>
        </w:rPr>
        <w:t>3</w:t>
      </w:r>
      <w:r>
        <w:rPr>
          <w:rFonts w:hint="default" w:ascii="Times New Roman" w:hAnsi="Times New Roman" w:eastAsia="宋体" w:cs="Times New Roman"/>
          <w:color w:val="auto"/>
          <w:sz w:val="24"/>
          <w:u w:val="none" w:color="auto"/>
        </w:rPr>
        <w:t>；</w:t>
      </w:r>
    </w:p>
    <w:p w14:paraId="75A9DA0B">
      <w:pPr>
        <w:spacing w:line="360" w:lineRule="auto"/>
        <w:ind w:firstLine="1200" w:firstLineChars="500"/>
        <w:contextualSpacing/>
        <w:rPr>
          <w:rFonts w:hint="default" w:ascii="Times New Roman" w:hAnsi="Times New Roman" w:eastAsia="宋体" w:cs="Times New Roman"/>
          <w:color w:val="auto"/>
          <w:sz w:val="24"/>
          <w:u w:val="none" w:color="auto"/>
        </w:rPr>
      </w:pPr>
      <w:r>
        <w:rPr>
          <w:rFonts w:hint="default" w:ascii="Times New Roman" w:hAnsi="Times New Roman" w:eastAsia="宋体" w:cs="Times New Roman"/>
          <w:color w:val="auto"/>
          <w:sz w:val="24"/>
          <w:u w:val="none" w:color="auto"/>
        </w:rPr>
        <w:t>V</w:t>
      </w:r>
      <w:r>
        <w:rPr>
          <w:rFonts w:hint="default" w:ascii="Times New Roman" w:hAnsi="Times New Roman" w:eastAsia="宋体" w:cs="Times New Roman"/>
          <w:color w:val="auto"/>
          <w:sz w:val="24"/>
          <w:u w:val="none" w:color="auto"/>
          <w:vertAlign w:val="subscript"/>
        </w:rPr>
        <w:t>0</w:t>
      </w:r>
      <w:r>
        <w:rPr>
          <w:rFonts w:hint="default" w:ascii="Times New Roman" w:hAnsi="Times New Roman" w:eastAsia="宋体" w:cs="Times New Roman"/>
          <w:color w:val="auto"/>
          <w:sz w:val="24"/>
          <w:u w:val="none" w:color="auto"/>
        </w:rPr>
        <w:t>——计算的溢油量，m</w:t>
      </w:r>
      <w:r>
        <w:rPr>
          <w:rFonts w:hint="default" w:ascii="Times New Roman" w:hAnsi="Times New Roman" w:eastAsia="宋体" w:cs="Times New Roman"/>
          <w:color w:val="auto"/>
          <w:sz w:val="24"/>
          <w:u w:val="none" w:color="auto"/>
          <w:vertAlign w:val="superscript"/>
        </w:rPr>
        <w:t>3</w:t>
      </w:r>
      <w:r>
        <w:rPr>
          <w:rFonts w:hint="default" w:ascii="Times New Roman" w:hAnsi="Times New Roman" w:eastAsia="宋体" w:cs="Times New Roman"/>
          <w:color w:val="auto"/>
          <w:sz w:val="24"/>
          <w:u w:val="none" w:color="auto"/>
        </w:rPr>
        <w:t>；</w:t>
      </w:r>
    </w:p>
    <w:p w14:paraId="18E98E21">
      <w:pPr>
        <w:spacing w:line="360" w:lineRule="auto"/>
        <w:ind w:firstLine="1200" w:firstLineChars="500"/>
        <w:contextualSpacing/>
        <w:rPr>
          <w:rFonts w:hint="default" w:ascii="Times New Roman" w:hAnsi="Times New Roman" w:eastAsia="宋体" w:cs="Times New Roman"/>
          <w:color w:val="auto"/>
          <w:sz w:val="24"/>
          <w:u w:val="none" w:color="auto"/>
        </w:rPr>
      </w:pPr>
      <w:r>
        <w:rPr>
          <w:rFonts w:hint="default" w:ascii="Times New Roman" w:hAnsi="Times New Roman" w:eastAsia="宋体" w:cs="Times New Roman"/>
          <w:color w:val="auto"/>
          <w:sz w:val="24"/>
          <w:u w:val="none" w:color="auto"/>
        </w:rPr>
        <w:t>K——常数，取值15000/min；</w:t>
      </w:r>
    </w:p>
    <w:p w14:paraId="347ABB2A">
      <w:pPr>
        <w:spacing w:line="360" w:lineRule="auto"/>
        <w:ind w:firstLine="1200" w:firstLineChars="500"/>
        <w:contextualSpacing/>
        <w:rPr>
          <w:rFonts w:hint="default" w:ascii="Times New Roman" w:hAnsi="Times New Roman" w:eastAsia="宋体" w:cs="Times New Roman"/>
          <w:color w:val="auto"/>
          <w:sz w:val="24"/>
          <w:u w:val="none" w:color="auto"/>
        </w:rPr>
      </w:pPr>
      <w:r>
        <w:rPr>
          <w:rFonts w:hint="default" w:ascii="Times New Roman" w:hAnsi="Times New Roman" w:eastAsia="宋体" w:cs="Times New Roman"/>
          <w:color w:val="auto"/>
          <w:sz w:val="24"/>
          <w:u w:val="none" w:color="auto"/>
        </w:rPr>
        <w:t>t——时间，min。</w:t>
      </w:r>
    </w:p>
    <w:p w14:paraId="6849B725">
      <w:pPr>
        <w:pStyle w:val="2"/>
        <w:keepNext w:val="0"/>
        <w:keepLines w:val="0"/>
        <w:pageBreakBefore w:val="0"/>
        <w:widowControl/>
        <w:kinsoku/>
        <w:wordWrap/>
        <w:overflowPunct/>
        <w:topLinePunct w:val="0"/>
        <w:autoSpaceDE/>
        <w:autoSpaceDN/>
        <w:bidi w:val="0"/>
        <w:adjustRightInd/>
        <w:snapToGrid/>
        <w:spacing w:before="0" w:after="0" w:line="360" w:lineRule="auto"/>
        <w:ind w:right="0" w:firstLine="480" w:firstLineChars="200"/>
        <w:textAlignment w:val="auto"/>
        <w:rPr>
          <w:rFonts w:hint="default" w:ascii="Times New Roman" w:hAnsi="Times New Roman" w:eastAsia="宋体" w:cs="Times New Roman"/>
          <w:color w:val="auto"/>
          <w:sz w:val="24"/>
          <w:szCs w:val="28"/>
          <w:u w:val="none" w:color="auto"/>
        </w:rPr>
      </w:pPr>
      <w:r>
        <w:rPr>
          <w:rFonts w:hint="default" w:ascii="Times New Roman" w:hAnsi="Times New Roman" w:eastAsia="宋体" w:cs="Times New Roman"/>
          <w:color w:val="auto"/>
          <w:sz w:val="24"/>
          <w:szCs w:val="40"/>
          <w:u w:val="none" w:color="auto"/>
        </w:rPr>
        <w:t>油膜扩散使油膜面积增大，厚度减小。当油膜厚度大于其临界厚度时（即扩散结束后，油膜直径保持不变时的厚度），油膜保持其完整性；油膜厚度等于或小于临界厚度时，油膜开始分裂为碎片，并继续扩散。</w:t>
      </w:r>
    </w:p>
    <w:p w14:paraId="5D03811E">
      <w:pPr>
        <w:spacing w:line="360" w:lineRule="auto"/>
        <w:ind w:firstLine="480" w:firstLineChars="200"/>
        <w:contextualSpacing/>
        <w:rPr>
          <w:rFonts w:hint="default" w:ascii="Times New Roman" w:hAnsi="Times New Roman" w:eastAsia="宋体" w:cs="Times New Roman"/>
          <w:color w:val="auto"/>
          <w:sz w:val="24"/>
          <w:u w:val="none" w:color="auto"/>
        </w:rPr>
      </w:pPr>
      <w:r>
        <w:rPr>
          <w:rFonts w:hint="default" w:ascii="Times New Roman" w:hAnsi="Times New Roman" w:eastAsia="宋体" w:cs="Times New Roman"/>
          <w:color w:val="auto"/>
          <w:sz w:val="24"/>
          <w:u w:val="none" w:color="auto"/>
        </w:rPr>
        <w:t>B.溢油漂移模型</w:t>
      </w:r>
    </w:p>
    <w:p w14:paraId="2A5DE861">
      <w:pPr>
        <w:spacing w:line="360" w:lineRule="auto"/>
        <w:ind w:firstLine="480" w:firstLineChars="200"/>
        <w:contextualSpacing/>
        <w:rPr>
          <w:rFonts w:hint="default" w:ascii="Times New Roman" w:hAnsi="Times New Roman" w:eastAsia="宋体" w:cs="Times New Roman"/>
          <w:color w:val="auto"/>
          <w:sz w:val="24"/>
          <w:u w:val="none" w:color="auto"/>
        </w:rPr>
      </w:pPr>
      <w:r>
        <w:rPr>
          <w:rFonts w:hint="eastAsia" w:cs="Times New Roman"/>
          <w:color w:val="auto"/>
          <w:sz w:val="24"/>
          <w:u w:val="none" w:color="auto"/>
          <w:lang w:val="en-US" w:eastAsia="zh-CN"/>
        </w:rPr>
        <w:t>油类物料</w:t>
      </w:r>
      <w:r>
        <w:rPr>
          <w:rFonts w:hint="default" w:ascii="Times New Roman" w:hAnsi="Times New Roman" w:eastAsia="宋体" w:cs="Times New Roman"/>
          <w:color w:val="auto"/>
          <w:sz w:val="24"/>
          <w:u w:val="none" w:color="auto"/>
        </w:rPr>
        <w:t>进入水体后很快扩展成油膜，然后在水流、风的作用下产生漂移，同时溢油本身扩散还在继续，因此溢油污染范围就是不断扩大同时在漂移的等效圆油膜所经过的水域面积。采用FAY模型对溢油漂移情况进行预测。如果膜中心位置在S</w:t>
      </w:r>
      <w:r>
        <w:rPr>
          <w:rFonts w:hint="default" w:ascii="Times New Roman" w:hAnsi="Times New Roman" w:eastAsia="宋体" w:cs="Times New Roman"/>
          <w:color w:val="auto"/>
          <w:sz w:val="24"/>
          <w:u w:val="none" w:color="auto"/>
          <w:vertAlign w:val="subscript"/>
        </w:rPr>
        <w:t>0</w:t>
      </w:r>
      <w:r>
        <w:rPr>
          <w:rFonts w:hint="default" w:ascii="Times New Roman" w:hAnsi="Times New Roman" w:eastAsia="宋体" w:cs="Times New Roman"/>
          <w:color w:val="auto"/>
          <w:sz w:val="24"/>
          <w:u w:val="none" w:color="auto"/>
        </w:rPr>
        <w:t>，经过△t时间后，其位置S由下述公式进行计算：</w:t>
      </w:r>
    </w:p>
    <w:p w14:paraId="5B295EA1">
      <w:pPr>
        <w:spacing w:line="360" w:lineRule="auto"/>
        <w:ind w:firstLine="480" w:firstLineChars="200"/>
        <w:contextualSpacing/>
        <w:jc w:val="center"/>
        <w:rPr>
          <w:rFonts w:hint="default" w:ascii="Times New Roman" w:hAnsi="Times New Roman" w:eastAsia="宋体" w:cs="Times New Roman"/>
          <w:color w:val="auto"/>
          <w:sz w:val="24"/>
          <w:u w:val="none" w:color="auto"/>
        </w:rPr>
      </w:pPr>
      <w:r>
        <w:rPr>
          <w:rFonts w:hint="default" w:ascii="Times New Roman" w:hAnsi="Times New Roman" w:eastAsia="宋体" w:cs="Times New Roman"/>
          <w:color w:val="auto"/>
          <w:sz w:val="24"/>
          <w:u w:val="none" w:color="auto"/>
        </w:rPr>
        <w:drawing>
          <wp:inline distT="0" distB="0" distL="114300" distR="114300">
            <wp:extent cx="1244600" cy="495300"/>
            <wp:effectExtent l="0" t="0" r="12700" b="0"/>
            <wp:docPr id="121"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27"/>
                    <pic:cNvPicPr>
                      <a:picLocks noChangeAspect="1"/>
                    </pic:cNvPicPr>
                  </pic:nvPicPr>
                  <pic:blipFill>
                    <a:blip r:embed="rId68"/>
                    <a:stretch>
                      <a:fillRect/>
                    </a:stretch>
                  </pic:blipFill>
                  <pic:spPr>
                    <a:xfrm>
                      <a:off x="0" y="0"/>
                      <a:ext cx="1244600" cy="495300"/>
                    </a:xfrm>
                    <a:prstGeom prst="rect">
                      <a:avLst/>
                    </a:prstGeom>
                    <a:noFill/>
                    <a:ln>
                      <a:noFill/>
                    </a:ln>
                  </pic:spPr>
                </pic:pic>
              </a:graphicData>
            </a:graphic>
          </wp:inline>
        </w:drawing>
      </w:r>
    </w:p>
    <w:p w14:paraId="2A858B8C">
      <w:pPr>
        <w:spacing w:line="360" w:lineRule="auto"/>
        <w:ind w:firstLine="480" w:firstLineChars="200"/>
        <w:contextualSpacing/>
        <w:rPr>
          <w:rFonts w:hint="default" w:ascii="Times New Roman" w:hAnsi="Times New Roman" w:eastAsia="宋体" w:cs="Times New Roman"/>
          <w:color w:val="auto"/>
          <w:sz w:val="24"/>
          <w:u w:val="none" w:color="auto"/>
        </w:rPr>
      </w:pPr>
      <w:r>
        <w:rPr>
          <w:rFonts w:hint="default" w:ascii="Times New Roman" w:hAnsi="Times New Roman" w:eastAsia="宋体" w:cs="Times New Roman"/>
          <w:color w:val="auto"/>
          <w:sz w:val="24"/>
          <w:u w:val="none" w:color="auto"/>
        </w:rPr>
        <w:t>式中油膜中心矢量预测模型见下式：</w:t>
      </w:r>
    </w:p>
    <w:p w14:paraId="2B82AA32">
      <w:pPr>
        <w:spacing w:line="360" w:lineRule="auto"/>
        <w:ind w:firstLine="480" w:firstLineChars="200"/>
        <w:contextualSpacing/>
        <w:jc w:val="center"/>
        <w:rPr>
          <w:rFonts w:hint="default" w:ascii="Times New Roman" w:hAnsi="Times New Roman" w:eastAsia="宋体" w:cs="Times New Roman"/>
          <w:color w:val="auto"/>
          <w:sz w:val="24"/>
          <w:u w:val="none" w:color="auto"/>
        </w:rPr>
      </w:pPr>
      <w:r>
        <w:rPr>
          <w:rFonts w:hint="default" w:ascii="Times New Roman" w:hAnsi="Times New Roman" w:eastAsia="宋体" w:cs="Times New Roman"/>
          <w:color w:val="auto"/>
          <w:sz w:val="24"/>
          <w:u w:val="none" w:color="auto"/>
        </w:rPr>
        <w:drawing>
          <wp:inline distT="0" distB="0" distL="114300" distR="114300">
            <wp:extent cx="1370965" cy="285750"/>
            <wp:effectExtent l="0" t="0" r="635" b="0"/>
            <wp:docPr id="124"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28"/>
                    <pic:cNvPicPr>
                      <a:picLocks noChangeAspect="1"/>
                    </pic:cNvPicPr>
                  </pic:nvPicPr>
                  <pic:blipFill>
                    <a:blip r:embed="rId69"/>
                    <a:stretch>
                      <a:fillRect/>
                    </a:stretch>
                  </pic:blipFill>
                  <pic:spPr>
                    <a:xfrm>
                      <a:off x="0" y="0"/>
                      <a:ext cx="1370965" cy="285750"/>
                    </a:xfrm>
                    <a:prstGeom prst="rect">
                      <a:avLst/>
                    </a:prstGeom>
                    <a:noFill/>
                    <a:ln>
                      <a:noFill/>
                    </a:ln>
                  </pic:spPr>
                </pic:pic>
              </a:graphicData>
            </a:graphic>
          </wp:inline>
        </w:drawing>
      </w:r>
    </w:p>
    <w:p w14:paraId="79F533D5">
      <w:pPr>
        <w:spacing w:line="360" w:lineRule="auto"/>
        <w:ind w:firstLine="480" w:firstLineChars="200"/>
        <w:contextualSpacing/>
        <w:rPr>
          <w:rFonts w:hint="default" w:ascii="Times New Roman" w:hAnsi="Times New Roman" w:eastAsia="宋体" w:cs="Times New Roman"/>
          <w:color w:val="auto"/>
          <w:sz w:val="24"/>
          <w:u w:val="none" w:color="auto"/>
        </w:rPr>
      </w:pPr>
      <w:r>
        <w:rPr>
          <w:rFonts w:hint="default" w:ascii="Times New Roman" w:hAnsi="Times New Roman" w:eastAsia="宋体" w:cs="Times New Roman"/>
          <w:color w:val="auto"/>
          <w:sz w:val="24"/>
          <w:u w:val="none" w:color="auto"/>
        </w:rPr>
        <w:t>式中：</w:t>
      </w:r>
      <w:r>
        <w:rPr>
          <w:rFonts w:hint="default" w:ascii="Times New Roman" w:hAnsi="Times New Roman" w:eastAsia="宋体" w:cs="Times New Roman"/>
          <w:color w:val="auto"/>
          <w:sz w:val="24"/>
          <w:u w:val="none" w:color="auto"/>
        </w:rPr>
        <w:drawing>
          <wp:inline distT="0" distB="0" distL="114300" distR="114300">
            <wp:extent cx="143510" cy="215900"/>
            <wp:effectExtent l="0" t="0" r="8890" b="15240"/>
            <wp:docPr id="111"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29"/>
                    <pic:cNvPicPr>
                      <a:picLocks noChangeAspect="1"/>
                    </pic:cNvPicPr>
                  </pic:nvPicPr>
                  <pic:blipFill>
                    <a:blip r:embed="rId70"/>
                    <a:stretch>
                      <a:fillRect/>
                    </a:stretch>
                  </pic:blipFill>
                  <pic:spPr>
                    <a:xfrm>
                      <a:off x="0" y="0"/>
                      <a:ext cx="143510" cy="215900"/>
                    </a:xfrm>
                    <a:prstGeom prst="rect">
                      <a:avLst/>
                    </a:prstGeom>
                    <a:noFill/>
                    <a:ln>
                      <a:noFill/>
                    </a:ln>
                  </pic:spPr>
                </pic:pic>
              </a:graphicData>
            </a:graphic>
          </wp:inline>
        </w:drawing>
      </w:r>
      <w:r>
        <w:rPr>
          <w:rFonts w:hint="default" w:ascii="Times New Roman" w:hAnsi="Times New Roman" w:eastAsia="宋体" w:cs="Times New Roman"/>
          <w:color w:val="auto"/>
          <w:sz w:val="24"/>
          <w:u w:val="none" w:color="auto"/>
        </w:rPr>
        <w:t>——油膜中心移动速度；</w:t>
      </w:r>
    </w:p>
    <w:p w14:paraId="11C8F557">
      <w:pPr>
        <w:spacing w:line="360" w:lineRule="auto"/>
        <w:ind w:firstLine="1200" w:firstLineChars="500"/>
        <w:contextualSpacing/>
        <w:rPr>
          <w:rFonts w:hint="default" w:ascii="Times New Roman" w:hAnsi="Times New Roman" w:eastAsia="宋体" w:cs="Times New Roman"/>
          <w:color w:val="auto"/>
          <w:sz w:val="24"/>
          <w:u w:val="none" w:color="auto"/>
          <w:lang w:eastAsia="zh-CN"/>
        </w:rPr>
      </w:pPr>
      <w:r>
        <w:rPr>
          <w:rFonts w:hint="default" w:ascii="Times New Roman" w:hAnsi="Times New Roman" w:eastAsia="宋体" w:cs="Times New Roman"/>
          <w:color w:val="auto"/>
          <w:sz w:val="24"/>
          <w:u w:val="none" w:color="auto"/>
        </w:rPr>
        <w:drawing>
          <wp:inline distT="0" distB="0" distL="114300" distR="114300">
            <wp:extent cx="184785" cy="215900"/>
            <wp:effectExtent l="0" t="0" r="5715" b="15240"/>
            <wp:docPr id="113"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30"/>
                    <pic:cNvPicPr>
                      <a:picLocks noChangeAspect="1"/>
                    </pic:cNvPicPr>
                  </pic:nvPicPr>
                  <pic:blipFill>
                    <a:blip r:embed="rId71"/>
                    <a:stretch>
                      <a:fillRect/>
                    </a:stretch>
                  </pic:blipFill>
                  <pic:spPr>
                    <a:xfrm>
                      <a:off x="0" y="0"/>
                      <a:ext cx="184785" cy="215900"/>
                    </a:xfrm>
                    <a:prstGeom prst="rect">
                      <a:avLst/>
                    </a:prstGeom>
                    <a:noFill/>
                    <a:ln>
                      <a:noFill/>
                    </a:ln>
                  </pic:spPr>
                </pic:pic>
              </a:graphicData>
            </a:graphic>
          </wp:inline>
        </w:drawing>
      </w:r>
      <w:r>
        <w:rPr>
          <w:rFonts w:hint="default" w:ascii="Times New Roman" w:hAnsi="Times New Roman" w:eastAsia="宋体" w:cs="Times New Roman"/>
          <w:color w:val="auto"/>
          <w:sz w:val="24"/>
          <w:u w:val="none" w:color="auto"/>
        </w:rPr>
        <w:t>——水面上10m高风速</w:t>
      </w:r>
      <w:r>
        <w:rPr>
          <w:rFonts w:hint="default" w:ascii="Times New Roman" w:hAnsi="Times New Roman" w:eastAsia="宋体" w:cs="Times New Roman"/>
          <w:color w:val="auto"/>
          <w:sz w:val="24"/>
          <w:u w:val="none" w:color="auto"/>
          <w:lang w:eastAsia="zh-CN"/>
        </w:rPr>
        <w:t>，</w:t>
      </w:r>
      <w:r>
        <w:rPr>
          <w:rFonts w:hint="default" w:ascii="Times New Roman" w:hAnsi="Times New Roman" w:eastAsia="宋体" w:cs="Times New Roman"/>
          <w:color w:val="auto"/>
          <w:sz w:val="24"/>
          <w:u w:val="none" w:color="auto"/>
          <w:lang w:val="en-US" w:eastAsia="zh-CN"/>
        </w:rPr>
        <w:t>按2.5</w:t>
      </w:r>
      <w:r>
        <w:rPr>
          <w:rFonts w:hint="default" w:ascii="Times New Roman" w:hAnsi="Times New Roman" w:eastAsia="宋体" w:cs="Times New Roman"/>
          <w:color w:val="auto"/>
          <w:sz w:val="24"/>
          <w:u w:val="none" w:color="auto"/>
        </w:rPr>
        <w:t>m/s</w:t>
      </w:r>
      <w:r>
        <w:rPr>
          <w:rFonts w:hint="default" w:ascii="Times New Roman" w:hAnsi="Times New Roman" w:eastAsia="宋体" w:cs="Times New Roman"/>
          <w:color w:val="auto"/>
          <w:sz w:val="24"/>
          <w:u w:val="none" w:color="auto"/>
          <w:lang w:val="en-US" w:eastAsia="zh-CN"/>
        </w:rPr>
        <w:t>计</w:t>
      </w:r>
      <w:r>
        <w:rPr>
          <w:rFonts w:hint="default" w:ascii="Times New Roman" w:hAnsi="Times New Roman" w:eastAsia="宋体" w:cs="Times New Roman"/>
          <w:color w:val="auto"/>
          <w:sz w:val="24"/>
          <w:u w:val="none" w:color="auto"/>
          <w:lang w:eastAsia="zh-CN"/>
        </w:rPr>
        <w:t>；</w:t>
      </w:r>
    </w:p>
    <w:p w14:paraId="65F0C834">
      <w:pPr>
        <w:spacing w:line="360" w:lineRule="auto"/>
        <w:ind w:firstLine="1200" w:firstLineChars="500"/>
        <w:contextualSpacing/>
        <w:rPr>
          <w:rFonts w:hint="default" w:ascii="Times New Roman" w:hAnsi="Times New Roman" w:eastAsia="宋体" w:cs="Times New Roman"/>
          <w:color w:val="auto"/>
          <w:sz w:val="24"/>
          <w:u w:val="none" w:color="auto"/>
          <w:lang w:val="en-US" w:eastAsia="zh-CN"/>
        </w:rPr>
      </w:pPr>
      <w:r>
        <w:rPr>
          <w:rFonts w:hint="default" w:ascii="Times New Roman" w:hAnsi="Times New Roman" w:eastAsia="宋体" w:cs="Times New Roman"/>
          <w:color w:val="auto"/>
          <w:sz w:val="24"/>
          <w:u w:val="none" w:color="auto"/>
        </w:rPr>
        <w:drawing>
          <wp:inline distT="0" distB="0" distL="114300" distR="114300">
            <wp:extent cx="184785" cy="215900"/>
            <wp:effectExtent l="0" t="0" r="5715" b="15240"/>
            <wp:docPr id="115"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31"/>
                    <pic:cNvPicPr>
                      <a:picLocks noChangeAspect="1"/>
                    </pic:cNvPicPr>
                  </pic:nvPicPr>
                  <pic:blipFill>
                    <a:blip r:embed="rId72"/>
                    <a:stretch>
                      <a:fillRect/>
                    </a:stretch>
                  </pic:blipFill>
                  <pic:spPr>
                    <a:xfrm>
                      <a:off x="0" y="0"/>
                      <a:ext cx="184785" cy="215900"/>
                    </a:xfrm>
                    <a:prstGeom prst="rect">
                      <a:avLst/>
                    </a:prstGeom>
                    <a:noFill/>
                    <a:ln>
                      <a:noFill/>
                    </a:ln>
                  </pic:spPr>
                </pic:pic>
              </a:graphicData>
            </a:graphic>
          </wp:inline>
        </w:drawing>
      </w:r>
      <w:r>
        <w:rPr>
          <w:rFonts w:hint="default" w:ascii="Times New Roman" w:hAnsi="Times New Roman" w:eastAsia="宋体" w:cs="Times New Roman"/>
          <w:color w:val="auto"/>
          <w:sz w:val="24"/>
          <w:u w:val="none" w:color="auto"/>
        </w:rPr>
        <w:t>——水面流速</w:t>
      </w:r>
      <w:r>
        <w:rPr>
          <w:rFonts w:hint="default" w:ascii="Times New Roman" w:hAnsi="Times New Roman" w:eastAsia="宋体" w:cs="Times New Roman"/>
          <w:color w:val="auto"/>
          <w:sz w:val="24"/>
          <w:u w:val="none" w:color="auto"/>
          <w:lang w:val="en-US" w:eastAsia="zh-CN"/>
        </w:rPr>
        <w:t>，取值2.6m/s</w:t>
      </w:r>
    </w:p>
    <w:p w14:paraId="74F66AF4">
      <w:pPr>
        <w:spacing w:line="360" w:lineRule="auto"/>
        <w:ind w:firstLine="1200" w:firstLineChars="500"/>
        <w:contextualSpacing/>
        <w:rPr>
          <w:rFonts w:hint="default" w:ascii="Times New Roman" w:hAnsi="Times New Roman" w:eastAsia="宋体" w:cs="Times New Roman"/>
          <w:color w:val="auto"/>
          <w:sz w:val="24"/>
          <w:u w:val="none" w:color="auto"/>
          <w:lang w:val="en-US" w:eastAsia="zh-CN"/>
        </w:rPr>
      </w:pPr>
      <w:r>
        <w:rPr>
          <w:rFonts w:hint="default" w:ascii="Times New Roman" w:hAnsi="Times New Roman" w:eastAsia="宋体" w:cs="Times New Roman"/>
          <w:color w:val="auto"/>
          <w:sz w:val="24"/>
          <w:u w:val="none" w:color="auto"/>
        </w:rPr>
        <w:t>K——风速对水流的贡献率</w:t>
      </w:r>
      <w:r>
        <w:rPr>
          <w:rFonts w:hint="default" w:ascii="Times New Roman" w:hAnsi="Times New Roman" w:eastAsia="宋体" w:cs="Times New Roman"/>
          <w:color w:val="auto"/>
          <w:sz w:val="24"/>
          <w:szCs w:val="24"/>
          <w:highlight w:val="none"/>
          <w:u w:val="none" w:color="auto"/>
          <w:lang w:eastAsia="zh-CN"/>
        </w:rPr>
        <w:t>，</w:t>
      </w:r>
      <w:r>
        <w:rPr>
          <w:rFonts w:hint="default" w:ascii="Times New Roman" w:hAnsi="Times New Roman" w:eastAsia="宋体" w:cs="Times New Roman"/>
          <w:color w:val="auto"/>
          <w:sz w:val="24"/>
          <w:szCs w:val="24"/>
          <w:highlight w:val="none"/>
          <w:u w:val="none" w:color="auto"/>
          <w:lang w:val="en-US" w:eastAsia="zh-CN"/>
        </w:rPr>
        <w:t>约为5~20%，本次取最大值即20%</w:t>
      </w:r>
    </w:p>
    <w:p w14:paraId="180A7804">
      <w:pPr>
        <w:spacing w:line="360" w:lineRule="auto"/>
        <w:ind w:firstLine="480" w:firstLineChars="200"/>
        <w:rPr>
          <w:rFonts w:hint="default" w:ascii="Times New Roman" w:hAnsi="Times New Roman" w:eastAsia="宋体" w:cs="Times New Roman"/>
          <w:color w:val="auto"/>
          <w:sz w:val="24"/>
          <w:u w:val="none" w:color="auto"/>
        </w:rPr>
      </w:pPr>
      <w:r>
        <w:rPr>
          <w:rFonts w:hint="default" w:ascii="Times New Roman" w:hAnsi="Times New Roman" w:eastAsia="宋体" w:cs="Times New Roman"/>
          <w:color w:val="auto"/>
          <w:sz w:val="24"/>
          <w:u w:val="none" w:color="auto"/>
          <w:lang w:val="en-US" w:eastAsia="zh-CN"/>
        </w:rPr>
        <w:t>经计算V0=3.1m/s</w:t>
      </w:r>
      <w:r>
        <w:rPr>
          <w:rFonts w:hint="default" w:ascii="Times New Roman" w:hAnsi="Times New Roman" w:eastAsia="宋体" w:cs="Times New Roman"/>
          <w:color w:val="auto"/>
          <w:sz w:val="24"/>
          <w:u w:val="none" w:color="auto"/>
        </w:rPr>
        <w:t>。本公司所在水域为内河区域，根据对该河段的水文分析，取与流向最不利风向，以及最大流速情况进行预测，往下游流的最快，</w:t>
      </w:r>
      <w:r>
        <w:rPr>
          <w:rFonts w:hint="default" w:ascii="Times New Roman" w:hAnsi="Times New Roman" w:eastAsia="宋体" w:cs="Times New Roman"/>
          <w:color w:val="auto"/>
          <w:sz w:val="24"/>
          <w:u w:val="none" w:color="auto"/>
          <w:lang w:val="en-US" w:eastAsia="zh-CN"/>
        </w:rPr>
        <w:t>矿物油类</w:t>
      </w:r>
      <w:r>
        <w:rPr>
          <w:rFonts w:hint="default" w:ascii="Times New Roman" w:hAnsi="Times New Roman" w:eastAsia="宋体" w:cs="Times New Roman"/>
          <w:color w:val="auto"/>
          <w:sz w:val="24"/>
          <w:u w:val="none" w:color="auto"/>
        </w:rPr>
        <w:t>泄漏到内陆水体的排放点的情况：此最不利情况预测不考虑油膜生物降解、油膜的风化作用</w:t>
      </w:r>
      <w:r>
        <w:rPr>
          <w:rFonts w:hint="default" w:ascii="Times New Roman" w:hAnsi="Times New Roman" w:eastAsia="宋体" w:cs="Times New Roman"/>
          <w:color w:val="auto"/>
          <w:sz w:val="24"/>
          <w:u w:val="none" w:color="auto"/>
          <w:lang w:eastAsia="zh-CN"/>
        </w:rPr>
        <w:t>、</w:t>
      </w:r>
      <w:r>
        <w:rPr>
          <w:rFonts w:hint="default" w:ascii="Times New Roman" w:hAnsi="Times New Roman" w:eastAsia="宋体" w:cs="Times New Roman"/>
          <w:color w:val="auto"/>
          <w:sz w:val="24"/>
          <w:u w:val="none" w:color="auto"/>
          <w:lang w:val="en-US" w:eastAsia="zh-CN"/>
        </w:rPr>
        <w:t>电排站对油膜的破坏</w:t>
      </w:r>
      <w:r>
        <w:rPr>
          <w:rFonts w:hint="default" w:ascii="Times New Roman" w:hAnsi="Times New Roman" w:eastAsia="宋体" w:cs="Times New Roman"/>
          <w:color w:val="auto"/>
          <w:sz w:val="24"/>
          <w:u w:val="none" w:color="auto"/>
        </w:rPr>
        <w:t>，也不考虑事故发生后采取的紧急措施。</w:t>
      </w:r>
    </w:p>
    <w:p w14:paraId="78A18E06">
      <w:pPr>
        <w:spacing w:line="360" w:lineRule="auto"/>
        <w:ind w:firstLine="480" w:firstLineChars="200"/>
        <w:rPr>
          <w:rFonts w:hint="default" w:ascii="Times New Roman" w:hAnsi="Times New Roman" w:eastAsia="宋体" w:cs="Times New Roman"/>
          <w:color w:val="auto"/>
          <w:sz w:val="24"/>
          <w:u w:val="none" w:color="auto"/>
        </w:rPr>
      </w:pPr>
      <w:r>
        <w:rPr>
          <w:rFonts w:hint="default" w:ascii="Times New Roman" w:hAnsi="Times New Roman" w:eastAsia="宋体" w:cs="Times New Roman"/>
          <w:color w:val="auto"/>
          <w:sz w:val="24"/>
          <w:u w:val="none" w:color="auto"/>
        </w:rPr>
        <w:t>对</w:t>
      </w:r>
      <w:r>
        <w:rPr>
          <w:rFonts w:hint="default" w:ascii="Times New Roman" w:hAnsi="Times New Roman" w:eastAsia="宋体" w:cs="Times New Roman"/>
          <w:color w:val="auto"/>
          <w:sz w:val="24"/>
          <w:u w:val="none" w:color="auto"/>
          <w:lang w:eastAsia="zh-CN"/>
        </w:rPr>
        <w:t>泄漏</w:t>
      </w:r>
      <w:r>
        <w:rPr>
          <w:rFonts w:hint="default" w:ascii="Times New Roman" w:hAnsi="Times New Roman" w:eastAsia="宋体" w:cs="Times New Roman"/>
          <w:color w:val="auto"/>
          <w:sz w:val="24"/>
          <w:u w:val="none" w:color="auto"/>
          <w:lang w:val="en-US" w:eastAsia="zh-CN"/>
        </w:rPr>
        <w:t>矿物油类</w:t>
      </w:r>
      <w:r>
        <w:rPr>
          <w:rFonts w:hint="default" w:ascii="Times New Roman" w:hAnsi="Times New Roman" w:eastAsia="宋体" w:cs="Times New Roman"/>
          <w:color w:val="auto"/>
          <w:sz w:val="24"/>
          <w:u w:val="none" w:color="auto"/>
        </w:rPr>
        <w:t>进行风险事故预测结果如下表所示。</w:t>
      </w:r>
    </w:p>
    <w:p w14:paraId="1B802615">
      <w:pPr>
        <w:pStyle w:val="17"/>
        <w:numPr>
          <w:ilvl w:val="0"/>
          <w:numId w:val="13"/>
        </w:numPr>
        <w:wordWrap/>
        <w:topLinePunct w:val="0"/>
        <w:bidi w:val="0"/>
        <w:adjustRightInd/>
        <w:snapToGrid/>
        <w:spacing w:line="240" w:lineRule="auto"/>
        <w:jc w:val="center"/>
        <w:rPr>
          <w:rFonts w:hint="default" w:ascii="Times New Roman" w:hAnsi="Times New Roman" w:eastAsia="宋体" w:cs="Times New Roman"/>
          <w:b/>
          <w:color w:val="auto"/>
          <w:sz w:val="21"/>
          <w:szCs w:val="21"/>
          <w:u w:val="none" w:color="auto"/>
        </w:rPr>
      </w:pPr>
      <w:r>
        <w:rPr>
          <w:rFonts w:hint="default" w:ascii="Times New Roman" w:hAnsi="Times New Roman" w:eastAsia="宋体" w:cs="Times New Roman"/>
          <w:b/>
          <w:color w:val="auto"/>
          <w:sz w:val="21"/>
          <w:szCs w:val="21"/>
          <w:u w:val="none" w:color="auto"/>
          <w:lang w:eastAsia="zh-CN"/>
        </w:rPr>
        <w:t>废矿物油泄漏</w:t>
      </w:r>
      <w:r>
        <w:rPr>
          <w:rFonts w:hint="default" w:ascii="Times New Roman" w:hAnsi="Times New Roman" w:eastAsia="宋体" w:cs="Times New Roman"/>
          <w:b/>
          <w:color w:val="auto"/>
          <w:sz w:val="21"/>
          <w:szCs w:val="21"/>
          <w:u w:val="none" w:color="auto"/>
        </w:rPr>
        <w:t>风险事故预测结果</w:t>
      </w:r>
    </w:p>
    <w:tbl>
      <w:tblPr>
        <w:tblStyle w:val="31"/>
        <w:tblW w:w="4999"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506"/>
        <w:gridCol w:w="1506"/>
        <w:gridCol w:w="1510"/>
        <w:gridCol w:w="1512"/>
        <w:gridCol w:w="1512"/>
        <w:gridCol w:w="1512"/>
      </w:tblGrid>
      <w:tr w14:paraId="1C22C67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831" w:type="pct"/>
            <w:tcBorders>
              <w:tl2br w:val="nil"/>
              <w:tr2bl w:val="nil"/>
            </w:tcBorders>
            <w:noWrap w:val="0"/>
            <w:vAlign w:val="center"/>
          </w:tcPr>
          <w:p w14:paraId="3FA815F7">
            <w:pPr>
              <w:jc w:val="center"/>
              <w:rPr>
                <w:rFonts w:hint="default" w:ascii="Times New Roman" w:hAnsi="Times New Roman" w:eastAsia="宋体" w:cs="Times New Roman"/>
                <w:b/>
                <w:color w:val="auto"/>
                <w:szCs w:val="21"/>
                <w:u w:val="none" w:color="auto"/>
              </w:rPr>
            </w:pPr>
            <w:r>
              <w:rPr>
                <w:rFonts w:hint="default" w:ascii="Times New Roman" w:hAnsi="Times New Roman" w:eastAsia="宋体" w:cs="Times New Roman"/>
                <w:b/>
                <w:color w:val="auto"/>
                <w:szCs w:val="21"/>
                <w:u w:val="none" w:color="auto"/>
              </w:rPr>
              <w:t>时间（min）</w:t>
            </w:r>
          </w:p>
        </w:tc>
        <w:tc>
          <w:tcPr>
            <w:tcW w:w="831" w:type="pct"/>
            <w:tcBorders>
              <w:tl2br w:val="nil"/>
              <w:tr2bl w:val="nil"/>
            </w:tcBorders>
            <w:noWrap w:val="0"/>
            <w:vAlign w:val="center"/>
          </w:tcPr>
          <w:p w14:paraId="6FB28040">
            <w:pPr>
              <w:jc w:val="center"/>
              <w:rPr>
                <w:rFonts w:hint="default" w:ascii="Times New Roman" w:hAnsi="Times New Roman" w:eastAsia="宋体" w:cs="Times New Roman"/>
                <w:b/>
                <w:color w:val="auto"/>
                <w:szCs w:val="21"/>
                <w:u w:val="none" w:color="auto"/>
              </w:rPr>
            </w:pPr>
            <w:r>
              <w:rPr>
                <w:rFonts w:hint="default" w:ascii="Times New Roman" w:hAnsi="Times New Roman" w:eastAsia="宋体" w:cs="Times New Roman"/>
                <w:b/>
                <w:color w:val="auto"/>
                <w:szCs w:val="21"/>
                <w:u w:val="none" w:color="auto"/>
              </w:rPr>
              <w:t>直径（m）</w:t>
            </w:r>
          </w:p>
        </w:tc>
        <w:tc>
          <w:tcPr>
            <w:tcW w:w="833" w:type="pct"/>
            <w:tcBorders>
              <w:tl2br w:val="nil"/>
              <w:tr2bl w:val="nil"/>
            </w:tcBorders>
            <w:noWrap w:val="0"/>
            <w:vAlign w:val="center"/>
          </w:tcPr>
          <w:p w14:paraId="1A9C3CA4">
            <w:pPr>
              <w:jc w:val="center"/>
              <w:rPr>
                <w:rFonts w:hint="default" w:ascii="Times New Roman" w:hAnsi="Times New Roman" w:eastAsia="宋体" w:cs="Times New Roman"/>
                <w:b/>
                <w:color w:val="auto"/>
                <w:szCs w:val="21"/>
                <w:u w:val="none" w:color="auto"/>
              </w:rPr>
            </w:pPr>
            <w:r>
              <w:rPr>
                <w:rFonts w:hint="default" w:ascii="Times New Roman" w:hAnsi="Times New Roman" w:eastAsia="宋体" w:cs="Times New Roman"/>
                <w:b/>
                <w:color w:val="auto"/>
                <w:szCs w:val="21"/>
                <w:u w:val="none" w:color="auto"/>
              </w:rPr>
              <w:t>面积（m</w:t>
            </w:r>
            <w:r>
              <w:rPr>
                <w:rFonts w:hint="default" w:ascii="Times New Roman" w:hAnsi="Times New Roman" w:eastAsia="宋体" w:cs="Times New Roman"/>
                <w:b/>
                <w:color w:val="auto"/>
                <w:szCs w:val="21"/>
                <w:u w:val="none" w:color="auto"/>
                <w:vertAlign w:val="superscript"/>
              </w:rPr>
              <w:t>2</w:t>
            </w:r>
            <w:r>
              <w:rPr>
                <w:rFonts w:hint="default" w:ascii="Times New Roman" w:hAnsi="Times New Roman" w:eastAsia="宋体" w:cs="Times New Roman"/>
                <w:b/>
                <w:color w:val="auto"/>
                <w:szCs w:val="21"/>
                <w:u w:val="none" w:color="auto"/>
              </w:rPr>
              <w:t>）</w:t>
            </w:r>
          </w:p>
        </w:tc>
        <w:tc>
          <w:tcPr>
            <w:tcW w:w="834" w:type="pct"/>
            <w:tcBorders>
              <w:tl2br w:val="nil"/>
              <w:tr2bl w:val="nil"/>
            </w:tcBorders>
            <w:noWrap w:val="0"/>
            <w:vAlign w:val="center"/>
          </w:tcPr>
          <w:p w14:paraId="4C49E7EF">
            <w:pPr>
              <w:jc w:val="center"/>
              <w:rPr>
                <w:rFonts w:hint="default" w:ascii="Times New Roman" w:hAnsi="Times New Roman" w:eastAsia="宋体" w:cs="Times New Roman"/>
                <w:b/>
                <w:color w:val="auto"/>
                <w:szCs w:val="21"/>
                <w:u w:val="none" w:color="auto"/>
              </w:rPr>
            </w:pPr>
            <w:r>
              <w:rPr>
                <w:rFonts w:hint="default" w:ascii="Times New Roman" w:hAnsi="Times New Roman" w:eastAsia="宋体" w:cs="Times New Roman"/>
                <w:b/>
                <w:color w:val="auto"/>
                <w:szCs w:val="21"/>
                <w:u w:val="none" w:color="auto"/>
              </w:rPr>
              <w:t>厚度（mm）</w:t>
            </w:r>
          </w:p>
        </w:tc>
        <w:tc>
          <w:tcPr>
            <w:tcW w:w="834" w:type="pct"/>
            <w:tcBorders>
              <w:tl2br w:val="nil"/>
              <w:tr2bl w:val="nil"/>
            </w:tcBorders>
            <w:noWrap w:val="0"/>
            <w:vAlign w:val="center"/>
          </w:tcPr>
          <w:p w14:paraId="6393A3B3">
            <w:pPr>
              <w:jc w:val="center"/>
              <w:rPr>
                <w:rFonts w:hint="default" w:ascii="Times New Roman" w:hAnsi="Times New Roman" w:eastAsia="宋体" w:cs="Times New Roman"/>
                <w:b/>
                <w:color w:val="auto"/>
                <w:szCs w:val="21"/>
                <w:u w:val="none" w:color="auto"/>
              </w:rPr>
            </w:pPr>
            <w:r>
              <w:rPr>
                <w:rFonts w:hint="default" w:ascii="Times New Roman" w:hAnsi="Times New Roman" w:eastAsia="宋体" w:cs="Times New Roman"/>
                <w:b/>
                <w:color w:val="auto"/>
                <w:szCs w:val="21"/>
                <w:u w:val="none" w:color="auto"/>
              </w:rPr>
              <w:t>距离（m）</w:t>
            </w:r>
          </w:p>
        </w:tc>
        <w:tc>
          <w:tcPr>
            <w:tcW w:w="834" w:type="pct"/>
            <w:tcBorders>
              <w:tl2br w:val="nil"/>
              <w:tr2bl w:val="nil"/>
            </w:tcBorders>
            <w:noWrap w:val="0"/>
            <w:vAlign w:val="center"/>
          </w:tcPr>
          <w:p w14:paraId="2D971074">
            <w:pPr>
              <w:jc w:val="center"/>
              <w:rPr>
                <w:rFonts w:hint="default" w:ascii="Times New Roman" w:hAnsi="Times New Roman" w:eastAsia="宋体" w:cs="Times New Roman"/>
                <w:b/>
                <w:color w:val="auto"/>
                <w:szCs w:val="21"/>
                <w:u w:val="none" w:color="auto"/>
                <w:lang w:val="en-US" w:eastAsia="zh-CN"/>
              </w:rPr>
            </w:pPr>
            <w:r>
              <w:rPr>
                <w:rFonts w:hint="default" w:ascii="Times New Roman" w:hAnsi="Times New Roman" w:eastAsia="宋体" w:cs="Times New Roman"/>
                <w:b/>
                <w:color w:val="auto"/>
                <w:szCs w:val="21"/>
                <w:u w:val="none" w:color="auto"/>
                <w:lang w:val="en-US" w:eastAsia="zh-CN"/>
              </w:rPr>
              <w:t>备注</w:t>
            </w:r>
          </w:p>
        </w:tc>
      </w:tr>
      <w:tr w14:paraId="1460505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831" w:type="pct"/>
            <w:tcBorders>
              <w:tl2br w:val="nil"/>
              <w:tr2bl w:val="nil"/>
            </w:tcBorders>
            <w:noWrap w:val="0"/>
            <w:vAlign w:val="center"/>
          </w:tcPr>
          <w:p w14:paraId="1A654710">
            <w:pPr>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1</w:t>
            </w:r>
          </w:p>
        </w:tc>
        <w:tc>
          <w:tcPr>
            <w:tcW w:w="831" w:type="pct"/>
            <w:tcBorders>
              <w:tl2br w:val="nil"/>
              <w:tr2bl w:val="nil"/>
            </w:tcBorders>
            <w:noWrap w:val="0"/>
            <w:vAlign w:val="center"/>
          </w:tcPr>
          <w:p w14:paraId="56584EBC">
            <w:pPr>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lang w:val="en-US" w:eastAsia="zh-CN"/>
              </w:rPr>
              <w:t xml:space="preserve">34.256 </w:t>
            </w:r>
          </w:p>
        </w:tc>
        <w:tc>
          <w:tcPr>
            <w:tcW w:w="833" w:type="pct"/>
            <w:tcBorders>
              <w:tl2br w:val="nil"/>
              <w:tr2bl w:val="nil"/>
            </w:tcBorders>
            <w:noWrap w:val="0"/>
            <w:vAlign w:val="top"/>
          </w:tcPr>
          <w:p w14:paraId="749A05F5">
            <w:pPr>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lang w:val="en-US" w:eastAsia="zh-CN"/>
              </w:rPr>
              <w:t xml:space="preserve">921.159 </w:t>
            </w:r>
          </w:p>
        </w:tc>
        <w:tc>
          <w:tcPr>
            <w:tcW w:w="834" w:type="pct"/>
            <w:tcBorders>
              <w:tl2br w:val="nil"/>
              <w:tr2bl w:val="nil"/>
            </w:tcBorders>
            <w:noWrap w:val="0"/>
            <w:vAlign w:val="top"/>
          </w:tcPr>
          <w:p w14:paraId="266ADE8F">
            <w:pPr>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lang w:val="en-US" w:eastAsia="zh-CN"/>
              </w:rPr>
              <w:t xml:space="preserve">0.008 </w:t>
            </w:r>
          </w:p>
        </w:tc>
        <w:tc>
          <w:tcPr>
            <w:tcW w:w="834" w:type="pct"/>
            <w:tcBorders>
              <w:tl2br w:val="nil"/>
              <w:tr2bl w:val="nil"/>
            </w:tcBorders>
            <w:noWrap w:val="0"/>
            <w:vAlign w:val="top"/>
          </w:tcPr>
          <w:p w14:paraId="4DB6CC01">
            <w:pPr>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lang w:val="en-US" w:eastAsia="zh-CN"/>
              </w:rPr>
              <w:t xml:space="preserve">203.128 </w:t>
            </w:r>
          </w:p>
        </w:tc>
        <w:tc>
          <w:tcPr>
            <w:tcW w:w="834" w:type="pct"/>
            <w:tcBorders>
              <w:tl2br w:val="nil"/>
              <w:tr2bl w:val="nil"/>
            </w:tcBorders>
            <w:noWrap w:val="0"/>
            <w:vAlign w:val="top"/>
          </w:tcPr>
          <w:p w14:paraId="085F4F5D">
            <w:pPr>
              <w:jc w:val="center"/>
              <w:rPr>
                <w:rFonts w:hint="default" w:ascii="Times New Roman" w:hAnsi="Times New Roman" w:eastAsia="宋体" w:cs="Times New Roman"/>
                <w:color w:val="auto"/>
                <w:szCs w:val="21"/>
                <w:u w:val="none" w:color="auto"/>
                <w:lang w:val="en-US" w:eastAsia="zh-CN"/>
              </w:rPr>
            </w:pPr>
          </w:p>
        </w:tc>
      </w:tr>
      <w:tr w14:paraId="63E5177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831" w:type="pct"/>
            <w:tcBorders>
              <w:tl2br w:val="nil"/>
              <w:tr2bl w:val="nil"/>
            </w:tcBorders>
            <w:noWrap w:val="0"/>
            <w:vAlign w:val="center"/>
          </w:tcPr>
          <w:p w14:paraId="0E81CE49">
            <w:pPr>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5</w:t>
            </w:r>
          </w:p>
        </w:tc>
        <w:tc>
          <w:tcPr>
            <w:tcW w:w="831" w:type="pct"/>
            <w:tcBorders>
              <w:tl2br w:val="nil"/>
              <w:tr2bl w:val="nil"/>
            </w:tcBorders>
            <w:noWrap w:val="0"/>
            <w:vAlign w:val="center"/>
          </w:tcPr>
          <w:p w14:paraId="04125741">
            <w:pPr>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lang w:val="en-US" w:eastAsia="zh-CN"/>
              </w:rPr>
              <w:t xml:space="preserve">58.576 </w:t>
            </w:r>
          </w:p>
        </w:tc>
        <w:tc>
          <w:tcPr>
            <w:tcW w:w="833" w:type="pct"/>
            <w:tcBorders>
              <w:tl2br w:val="nil"/>
              <w:tr2bl w:val="nil"/>
            </w:tcBorders>
            <w:noWrap w:val="0"/>
            <w:vAlign w:val="top"/>
          </w:tcPr>
          <w:p w14:paraId="55CEE66D">
            <w:pPr>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lang w:val="en-US" w:eastAsia="zh-CN"/>
              </w:rPr>
              <w:t xml:space="preserve">2693.484 </w:t>
            </w:r>
          </w:p>
        </w:tc>
        <w:tc>
          <w:tcPr>
            <w:tcW w:w="834" w:type="pct"/>
            <w:tcBorders>
              <w:tl2br w:val="nil"/>
              <w:tr2bl w:val="nil"/>
            </w:tcBorders>
            <w:noWrap w:val="0"/>
            <w:vAlign w:val="top"/>
          </w:tcPr>
          <w:p w14:paraId="4A9D849C">
            <w:pPr>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lang w:val="en-US" w:eastAsia="zh-CN"/>
              </w:rPr>
              <w:t xml:space="preserve">0.014 </w:t>
            </w:r>
          </w:p>
        </w:tc>
        <w:tc>
          <w:tcPr>
            <w:tcW w:w="834" w:type="pct"/>
            <w:tcBorders>
              <w:tl2br w:val="nil"/>
              <w:tr2bl w:val="nil"/>
            </w:tcBorders>
            <w:noWrap w:val="0"/>
            <w:vAlign w:val="top"/>
          </w:tcPr>
          <w:p w14:paraId="749366BE">
            <w:pPr>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lang w:val="en-US" w:eastAsia="zh-CN"/>
              </w:rPr>
              <w:t xml:space="preserve">959.288 </w:t>
            </w:r>
          </w:p>
        </w:tc>
        <w:tc>
          <w:tcPr>
            <w:tcW w:w="834" w:type="pct"/>
            <w:tcBorders>
              <w:tl2br w:val="nil"/>
              <w:tr2bl w:val="nil"/>
            </w:tcBorders>
            <w:noWrap w:val="0"/>
            <w:vAlign w:val="top"/>
          </w:tcPr>
          <w:p w14:paraId="2F25E390">
            <w:pPr>
              <w:jc w:val="center"/>
              <w:rPr>
                <w:rFonts w:hint="default" w:ascii="Times New Roman" w:hAnsi="Times New Roman" w:eastAsia="宋体" w:cs="Times New Roman"/>
                <w:color w:val="auto"/>
                <w:szCs w:val="21"/>
                <w:u w:val="none" w:color="auto"/>
                <w:lang w:val="en-US" w:eastAsia="zh-CN"/>
              </w:rPr>
            </w:pPr>
          </w:p>
        </w:tc>
      </w:tr>
      <w:tr w14:paraId="5BB9864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831" w:type="pct"/>
            <w:tcBorders>
              <w:tl2br w:val="nil"/>
              <w:tr2bl w:val="nil"/>
            </w:tcBorders>
            <w:noWrap w:val="0"/>
            <w:vAlign w:val="center"/>
          </w:tcPr>
          <w:p w14:paraId="09D8EEFA">
            <w:pPr>
              <w:jc w:val="center"/>
              <w:rPr>
                <w:rFonts w:hint="default" w:ascii="Times New Roman" w:hAnsi="Times New Roman" w:eastAsia="宋体" w:cs="Times New Roman"/>
                <w:color w:val="auto"/>
                <w:szCs w:val="21"/>
                <w:u w:val="none" w:color="auto"/>
                <w:lang w:val="en-US" w:eastAsia="zh-CN"/>
              </w:rPr>
            </w:pPr>
            <w:r>
              <w:rPr>
                <w:rFonts w:hint="default" w:ascii="Times New Roman" w:hAnsi="Times New Roman" w:eastAsia="宋体" w:cs="Times New Roman"/>
                <w:b/>
                <w:bCs/>
                <w:color w:val="auto"/>
                <w:szCs w:val="21"/>
                <w:u w:val="none" w:color="auto"/>
                <w:lang w:val="en-US" w:eastAsia="zh-CN"/>
              </w:rPr>
              <w:t>7</w:t>
            </w:r>
          </w:p>
        </w:tc>
        <w:tc>
          <w:tcPr>
            <w:tcW w:w="831" w:type="pct"/>
            <w:tcBorders>
              <w:tl2br w:val="nil"/>
              <w:tr2bl w:val="nil"/>
            </w:tcBorders>
            <w:noWrap w:val="0"/>
            <w:vAlign w:val="center"/>
          </w:tcPr>
          <w:p w14:paraId="69DC7485">
            <w:pPr>
              <w:jc w:val="center"/>
              <w:rPr>
                <w:rFonts w:hint="default" w:ascii="Times New Roman" w:hAnsi="Times New Roman" w:eastAsia="宋体" w:cs="Times New Roman"/>
                <w:b/>
                <w:bCs/>
                <w:color w:val="auto"/>
                <w:szCs w:val="21"/>
                <w:u w:val="none" w:color="auto"/>
                <w:lang w:val="en-US" w:eastAsia="zh-CN"/>
              </w:rPr>
            </w:pPr>
            <w:r>
              <w:rPr>
                <w:rFonts w:hint="default" w:ascii="Times New Roman" w:hAnsi="Times New Roman" w:eastAsia="宋体" w:cs="Times New Roman"/>
                <w:b/>
                <w:bCs/>
                <w:color w:val="auto"/>
                <w:szCs w:val="21"/>
                <w:u w:val="none" w:color="auto"/>
                <w:lang w:val="en-US" w:eastAsia="zh-CN"/>
              </w:rPr>
              <w:t xml:space="preserve">65.529 </w:t>
            </w:r>
          </w:p>
        </w:tc>
        <w:tc>
          <w:tcPr>
            <w:tcW w:w="833" w:type="pct"/>
            <w:tcBorders>
              <w:tl2br w:val="nil"/>
              <w:tr2bl w:val="nil"/>
            </w:tcBorders>
            <w:noWrap w:val="0"/>
            <w:vAlign w:val="center"/>
          </w:tcPr>
          <w:p w14:paraId="5913B159">
            <w:pPr>
              <w:jc w:val="center"/>
              <w:rPr>
                <w:rFonts w:hint="default" w:ascii="Times New Roman" w:hAnsi="Times New Roman" w:eastAsia="宋体" w:cs="Times New Roman"/>
                <w:b/>
                <w:bCs/>
                <w:color w:val="auto"/>
                <w:szCs w:val="21"/>
                <w:u w:val="none" w:color="auto"/>
                <w:lang w:val="en-US" w:eastAsia="zh-CN"/>
              </w:rPr>
            </w:pPr>
            <w:r>
              <w:rPr>
                <w:rFonts w:hint="default" w:ascii="Times New Roman" w:hAnsi="Times New Roman" w:eastAsia="宋体" w:cs="Times New Roman"/>
                <w:b/>
                <w:bCs/>
                <w:color w:val="auto"/>
                <w:szCs w:val="21"/>
                <w:u w:val="none" w:color="auto"/>
                <w:lang w:val="en-US" w:eastAsia="zh-CN"/>
              </w:rPr>
              <w:t>3370.801</w:t>
            </w:r>
          </w:p>
        </w:tc>
        <w:tc>
          <w:tcPr>
            <w:tcW w:w="834" w:type="pct"/>
            <w:tcBorders>
              <w:tl2br w:val="nil"/>
              <w:tr2bl w:val="nil"/>
            </w:tcBorders>
            <w:noWrap w:val="0"/>
            <w:vAlign w:val="center"/>
          </w:tcPr>
          <w:p w14:paraId="7603B2CD">
            <w:pPr>
              <w:jc w:val="center"/>
              <w:rPr>
                <w:rFonts w:hint="default" w:ascii="Times New Roman" w:hAnsi="Times New Roman" w:eastAsia="宋体" w:cs="Times New Roman"/>
                <w:b/>
                <w:bCs/>
                <w:color w:val="auto"/>
                <w:szCs w:val="21"/>
                <w:u w:val="none" w:color="auto"/>
                <w:lang w:val="en-US" w:eastAsia="zh-CN"/>
              </w:rPr>
            </w:pPr>
            <w:r>
              <w:rPr>
                <w:rFonts w:hint="default" w:ascii="Times New Roman" w:hAnsi="Times New Roman" w:eastAsia="宋体" w:cs="Times New Roman"/>
                <w:b/>
                <w:bCs/>
                <w:color w:val="auto"/>
                <w:szCs w:val="21"/>
                <w:u w:val="none" w:color="auto"/>
                <w:lang w:val="en-US" w:eastAsia="zh-CN"/>
              </w:rPr>
              <w:t>0.016</w:t>
            </w:r>
          </w:p>
        </w:tc>
        <w:tc>
          <w:tcPr>
            <w:tcW w:w="834" w:type="pct"/>
            <w:tcBorders>
              <w:tl2br w:val="nil"/>
              <w:tr2bl w:val="nil"/>
            </w:tcBorders>
            <w:noWrap w:val="0"/>
            <w:vAlign w:val="center"/>
          </w:tcPr>
          <w:p w14:paraId="3165E381">
            <w:pPr>
              <w:jc w:val="center"/>
              <w:rPr>
                <w:rFonts w:hint="default" w:ascii="Times New Roman" w:hAnsi="Times New Roman" w:eastAsia="宋体" w:cs="Times New Roman"/>
                <w:b/>
                <w:bCs/>
                <w:color w:val="auto"/>
                <w:szCs w:val="21"/>
                <w:u w:val="none" w:color="auto"/>
                <w:lang w:val="en-US" w:eastAsia="zh-CN"/>
              </w:rPr>
            </w:pPr>
            <w:r>
              <w:rPr>
                <w:rFonts w:hint="default" w:ascii="Times New Roman" w:hAnsi="Times New Roman" w:eastAsia="宋体" w:cs="Times New Roman"/>
                <w:b/>
                <w:bCs/>
                <w:color w:val="auto"/>
                <w:szCs w:val="21"/>
                <w:u w:val="none" w:color="auto"/>
                <w:lang w:val="en-US" w:eastAsia="zh-CN"/>
              </w:rPr>
              <w:t>1334.764</w:t>
            </w:r>
          </w:p>
        </w:tc>
        <w:tc>
          <w:tcPr>
            <w:tcW w:w="834" w:type="pct"/>
            <w:tcBorders>
              <w:tl2br w:val="nil"/>
              <w:tr2bl w:val="nil"/>
            </w:tcBorders>
            <w:noWrap w:val="0"/>
            <w:vAlign w:val="top"/>
          </w:tcPr>
          <w:p w14:paraId="34F84F32">
            <w:pPr>
              <w:jc w:val="center"/>
              <w:rPr>
                <w:rFonts w:hint="default" w:ascii="Times New Roman" w:hAnsi="Times New Roman" w:eastAsia="宋体" w:cs="Times New Roman"/>
                <w:b/>
                <w:bCs/>
                <w:color w:val="auto"/>
                <w:szCs w:val="21"/>
                <w:u w:val="none" w:color="auto"/>
                <w:lang w:val="en-US" w:eastAsia="zh-CN"/>
              </w:rPr>
            </w:pPr>
            <w:r>
              <w:rPr>
                <w:rFonts w:hint="default" w:ascii="Times New Roman" w:hAnsi="Times New Roman" w:eastAsia="宋体" w:cs="Times New Roman"/>
                <w:b/>
                <w:bCs/>
                <w:color w:val="auto"/>
                <w:szCs w:val="21"/>
                <w:u w:val="none" w:color="auto"/>
                <w:lang w:val="en-US" w:eastAsia="zh-CN"/>
              </w:rPr>
              <w:t>通过电排站进入长江，并抵达洞庭湖口铜鱼短颌鲚水产种质资源保护区</w:t>
            </w:r>
          </w:p>
        </w:tc>
      </w:tr>
      <w:tr w14:paraId="03C6B02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831" w:type="pct"/>
            <w:tcBorders>
              <w:tl2br w:val="nil"/>
              <w:tr2bl w:val="nil"/>
            </w:tcBorders>
            <w:noWrap w:val="0"/>
            <w:vAlign w:val="center"/>
          </w:tcPr>
          <w:p w14:paraId="10791D61">
            <w:pPr>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10</w:t>
            </w:r>
          </w:p>
        </w:tc>
        <w:tc>
          <w:tcPr>
            <w:tcW w:w="831" w:type="pct"/>
            <w:tcBorders>
              <w:tl2br w:val="nil"/>
              <w:tr2bl w:val="nil"/>
            </w:tcBorders>
            <w:noWrap w:val="0"/>
            <w:vAlign w:val="center"/>
          </w:tcPr>
          <w:p w14:paraId="495AF298">
            <w:pPr>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lang w:val="en-US" w:eastAsia="zh-CN"/>
              </w:rPr>
              <w:t xml:space="preserve">73.802 </w:t>
            </w:r>
          </w:p>
        </w:tc>
        <w:tc>
          <w:tcPr>
            <w:tcW w:w="833" w:type="pct"/>
            <w:tcBorders>
              <w:tl2br w:val="nil"/>
              <w:tr2bl w:val="nil"/>
            </w:tcBorders>
            <w:noWrap w:val="0"/>
            <w:vAlign w:val="top"/>
          </w:tcPr>
          <w:p w14:paraId="63DFCEDA">
            <w:pPr>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lang w:val="en-US" w:eastAsia="zh-CN"/>
              </w:rPr>
              <w:t xml:space="preserve">4275.640 </w:t>
            </w:r>
          </w:p>
        </w:tc>
        <w:tc>
          <w:tcPr>
            <w:tcW w:w="834" w:type="pct"/>
            <w:tcBorders>
              <w:tl2br w:val="nil"/>
              <w:tr2bl w:val="nil"/>
            </w:tcBorders>
            <w:noWrap w:val="0"/>
            <w:vAlign w:val="top"/>
          </w:tcPr>
          <w:p w14:paraId="10C2D68C">
            <w:pPr>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lang w:val="en-US" w:eastAsia="zh-CN"/>
              </w:rPr>
              <w:t xml:space="preserve">0.018 </w:t>
            </w:r>
          </w:p>
        </w:tc>
        <w:tc>
          <w:tcPr>
            <w:tcW w:w="834" w:type="pct"/>
            <w:tcBorders>
              <w:tl2br w:val="nil"/>
              <w:tr2bl w:val="nil"/>
            </w:tcBorders>
            <w:noWrap w:val="0"/>
            <w:vAlign w:val="top"/>
          </w:tcPr>
          <w:p w14:paraId="0778B216">
            <w:pPr>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lang w:val="en-US" w:eastAsia="zh-CN"/>
              </w:rPr>
              <w:t xml:space="preserve">1896.901 </w:t>
            </w:r>
          </w:p>
        </w:tc>
        <w:tc>
          <w:tcPr>
            <w:tcW w:w="834" w:type="pct"/>
            <w:tcBorders>
              <w:tl2br w:val="nil"/>
              <w:tr2bl w:val="nil"/>
            </w:tcBorders>
            <w:noWrap w:val="0"/>
            <w:vAlign w:val="top"/>
          </w:tcPr>
          <w:p w14:paraId="40A68788">
            <w:pPr>
              <w:jc w:val="center"/>
              <w:rPr>
                <w:rFonts w:hint="default" w:ascii="Times New Roman" w:hAnsi="Times New Roman" w:eastAsia="宋体" w:cs="Times New Roman"/>
                <w:color w:val="auto"/>
                <w:szCs w:val="21"/>
                <w:u w:val="none" w:color="auto"/>
                <w:lang w:val="en-US" w:eastAsia="zh-CN"/>
              </w:rPr>
            </w:pPr>
          </w:p>
        </w:tc>
      </w:tr>
      <w:tr w14:paraId="05BCAB9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831" w:type="pct"/>
            <w:tcBorders>
              <w:tl2br w:val="nil"/>
              <w:tr2bl w:val="nil"/>
            </w:tcBorders>
            <w:noWrap w:val="0"/>
            <w:vAlign w:val="center"/>
          </w:tcPr>
          <w:p w14:paraId="030F5D8B">
            <w:pPr>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15</w:t>
            </w:r>
          </w:p>
        </w:tc>
        <w:tc>
          <w:tcPr>
            <w:tcW w:w="831" w:type="pct"/>
            <w:tcBorders>
              <w:tl2br w:val="nil"/>
              <w:tr2bl w:val="nil"/>
            </w:tcBorders>
            <w:noWrap w:val="0"/>
            <w:vAlign w:val="center"/>
          </w:tcPr>
          <w:p w14:paraId="2194BF0E">
            <w:pPr>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lang w:val="en-US" w:eastAsia="zh-CN"/>
              </w:rPr>
              <w:t xml:space="preserve">84.482 </w:t>
            </w:r>
          </w:p>
        </w:tc>
        <w:tc>
          <w:tcPr>
            <w:tcW w:w="833" w:type="pct"/>
            <w:tcBorders>
              <w:tl2br w:val="nil"/>
              <w:tr2bl w:val="nil"/>
            </w:tcBorders>
            <w:noWrap w:val="0"/>
            <w:vAlign w:val="top"/>
          </w:tcPr>
          <w:p w14:paraId="643D659D">
            <w:pPr>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lang w:val="en-US" w:eastAsia="zh-CN"/>
              </w:rPr>
              <w:t xml:space="preserve">5602.673 </w:t>
            </w:r>
          </w:p>
        </w:tc>
        <w:tc>
          <w:tcPr>
            <w:tcW w:w="834" w:type="pct"/>
            <w:tcBorders>
              <w:tl2br w:val="nil"/>
              <w:tr2bl w:val="nil"/>
            </w:tcBorders>
            <w:noWrap w:val="0"/>
            <w:vAlign w:val="top"/>
          </w:tcPr>
          <w:p w14:paraId="1323541F">
            <w:pPr>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lang w:val="en-US" w:eastAsia="zh-CN"/>
              </w:rPr>
              <w:t xml:space="preserve">0.021 </w:t>
            </w:r>
          </w:p>
        </w:tc>
        <w:tc>
          <w:tcPr>
            <w:tcW w:w="834" w:type="pct"/>
            <w:tcBorders>
              <w:tl2br w:val="nil"/>
              <w:tr2bl w:val="nil"/>
            </w:tcBorders>
            <w:noWrap w:val="0"/>
            <w:vAlign w:val="top"/>
          </w:tcPr>
          <w:p w14:paraId="6EAF0049">
            <w:pPr>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lang w:val="en-US" w:eastAsia="zh-CN"/>
              </w:rPr>
              <w:t xml:space="preserve">2832.241 </w:t>
            </w:r>
          </w:p>
        </w:tc>
        <w:tc>
          <w:tcPr>
            <w:tcW w:w="834" w:type="pct"/>
            <w:tcBorders>
              <w:tl2br w:val="nil"/>
              <w:tr2bl w:val="nil"/>
            </w:tcBorders>
            <w:noWrap w:val="0"/>
            <w:vAlign w:val="top"/>
          </w:tcPr>
          <w:p w14:paraId="2DF64D69">
            <w:pPr>
              <w:jc w:val="center"/>
              <w:rPr>
                <w:rFonts w:hint="default" w:ascii="Times New Roman" w:hAnsi="Times New Roman" w:eastAsia="宋体" w:cs="Times New Roman"/>
                <w:color w:val="auto"/>
                <w:szCs w:val="21"/>
                <w:u w:val="none" w:color="auto"/>
                <w:lang w:val="en-US" w:eastAsia="zh-CN"/>
              </w:rPr>
            </w:pPr>
          </w:p>
        </w:tc>
      </w:tr>
      <w:tr w14:paraId="233B843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831" w:type="pct"/>
            <w:tcBorders>
              <w:tl2br w:val="nil"/>
              <w:tr2bl w:val="nil"/>
            </w:tcBorders>
            <w:noWrap w:val="0"/>
            <w:vAlign w:val="center"/>
          </w:tcPr>
          <w:p w14:paraId="43E1DB08">
            <w:pPr>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20</w:t>
            </w:r>
          </w:p>
        </w:tc>
        <w:tc>
          <w:tcPr>
            <w:tcW w:w="831" w:type="pct"/>
            <w:tcBorders>
              <w:tl2br w:val="nil"/>
              <w:tr2bl w:val="nil"/>
            </w:tcBorders>
            <w:noWrap w:val="0"/>
            <w:vAlign w:val="center"/>
          </w:tcPr>
          <w:p w14:paraId="27FE4586">
            <w:pPr>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lang w:val="en-US" w:eastAsia="zh-CN"/>
              </w:rPr>
              <w:t xml:space="preserve">92.984 </w:t>
            </w:r>
          </w:p>
        </w:tc>
        <w:tc>
          <w:tcPr>
            <w:tcW w:w="833" w:type="pct"/>
            <w:tcBorders>
              <w:tl2br w:val="nil"/>
              <w:tr2bl w:val="nil"/>
            </w:tcBorders>
            <w:noWrap w:val="0"/>
            <w:vAlign w:val="top"/>
          </w:tcPr>
          <w:p w14:paraId="09ED9FBE">
            <w:pPr>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lang w:val="en-US" w:eastAsia="zh-CN"/>
              </w:rPr>
              <w:t xml:space="preserve">6787.155 </w:t>
            </w:r>
          </w:p>
        </w:tc>
        <w:tc>
          <w:tcPr>
            <w:tcW w:w="834" w:type="pct"/>
            <w:tcBorders>
              <w:tl2br w:val="nil"/>
              <w:tr2bl w:val="nil"/>
            </w:tcBorders>
            <w:noWrap w:val="0"/>
            <w:vAlign w:val="top"/>
          </w:tcPr>
          <w:p w14:paraId="11087719">
            <w:pPr>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lang w:val="en-US" w:eastAsia="zh-CN"/>
              </w:rPr>
              <w:t xml:space="preserve">0.023 </w:t>
            </w:r>
          </w:p>
        </w:tc>
        <w:tc>
          <w:tcPr>
            <w:tcW w:w="834" w:type="pct"/>
            <w:tcBorders>
              <w:tl2br w:val="nil"/>
              <w:tr2bl w:val="nil"/>
            </w:tcBorders>
            <w:noWrap w:val="0"/>
            <w:vAlign w:val="top"/>
          </w:tcPr>
          <w:p w14:paraId="00D48303">
            <w:pPr>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lang w:val="en-US" w:eastAsia="zh-CN"/>
              </w:rPr>
              <w:t xml:space="preserve">3766.492 </w:t>
            </w:r>
          </w:p>
        </w:tc>
        <w:tc>
          <w:tcPr>
            <w:tcW w:w="834" w:type="pct"/>
            <w:tcBorders>
              <w:tl2br w:val="nil"/>
              <w:tr2bl w:val="nil"/>
            </w:tcBorders>
            <w:noWrap w:val="0"/>
            <w:vAlign w:val="top"/>
          </w:tcPr>
          <w:p w14:paraId="679FD34F">
            <w:pPr>
              <w:jc w:val="center"/>
              <w:rPr>
                <w:rFonts w:hint="default" w:ascii="Times New Roman" w:hAnsi="Times New Roman" w:eastAsia="宋体" w:cs="Times New Roman"/>
                <w:color w:val="auto"/>
                <w:szCs w:val="21"/>
                <w:u w:val="none" w:color="auto"/>
                <w:lang w:val="en-US" w:eastAsia="zh-CN"/>
              </w:rPr>
            </w:pPr>
          </w:p>
        </w:tc>
      </w:tr>
      <w:tr w14:paraId="291541B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831" w:type="pct"/>
            <w:tcBorders>
              <w:tl2br w:val="nil"/>
              <w:tr2bl w:val="nil"/>
            </w:tcBorders>
            <w:noWrap w:val="0"/>
            <w:vAlign w:val="center"/>
          </w:tcPr>
          <w:p w14:paraId="6208349F">
            <w:pPr>
              <w:jc w:val="center"/>
              <w:rPr>
                <w:rFonts w:hint="default" w:ascii="Times New Roman" w:hAnsi="Times New Roman" w:eastAsia="宋体" w:cs="Times New Roman"/>
                <w:b/>
                <w:bCs/>
                <w:color w:val="auto"/>
                <w:szCs w:val="21"/>
                <w:u w:val="none" w:color="auto"/>
                <w:lang w:val="en-US" w:eastAsia="zh-CN"/>
              </w:rPr>
            </w:pPr>
            <w:r>
              <w:rPr>
                <w:rFonts w:hint="default" w:ascii="Times New Roman" w:hAnsi="Times New Roman" w:eastAsia="宋体" w:cs="Times New Roman"/>
                <w:b/>
                <w:bCs/>
                <w:color w:val="auto"/>
                <w:szCs w:val="21"/>
                <w:u w:val="none" w:color="auto"/>
                <w:lang w:val="en-US" w:eastAsia="zh-CN"/>
              </w:rPr>
              <w:t>24</w:t>
            </w:r>
          </w:p>
        </w:tc>
        <w:tc>
          <w:tcPr>
            <w:tcW w:w="1506" w:type="dxa"/>
            <w:tcBorders>
              <w:tl2br w:val="nil"/>
              <w:tr2bl w:val="nil"/>
            </w:tcBorders>
            <w:noWrap w:val="0"/>
            <w:vAlign w:val="center"/>
          </w:tcPr>
          <w:p w14:paraId="54DF991F">
            <w:pPr>
              <w:jc w:val="center"/>
              <w:rPr>
                <w:rFonts w:hint="default" w:ascii="Times New Roman" w:hAnsi="Times New Roman" w:eastAsia="宋体" w:cs="Times New Roman"/>
                <w:b/>
                <w:bCs/>
                <w:color w:val="auto"/>
                <w:szCs w:val="21"/>
                <w:u w:val="none" w:color="auto"/>
                <w:lang w:val="en-US" w:eastAsia="zh-CN"/>
              </w:rPr>
            </w:pPr>
            <w:r>
              <w:rPr>
                <w:rFonts w:hint="default" w:ascii="Times New Roman" w:hAnsi="Times New Roman" w:eastAsia="宋体" w:cs="Times New Roman"/>
                <w:b/>
                <w:bCs/>
                <w:color w:val="auto"/>
                <w:szCs w:val="21"/>
                <w:u w:val="none" w:color="auto"/>
                <w:lang w:val="en-US" w:eastAsia="zh-CN"/>
              </w:rPr>
              <w:t>98.810</w:t>
            </w:r>
          </w:p>
        </w:tc>
        <w:tc>
          <w:tcPr>
            <w:tcW w:w="1510" w:type="dxa"/>
            <w:tcBorders>
              <w:tl2br w:val="nil"/>
              <w:tr2bl w:val="nil"/>
            </w:tcBorders>
            <w:noWrap w:val="0"/>
            <w:vAlign w:val="center"/>
          </w:tcPr>
          <w:p w14:paraId="38492D55">
            <w:pPr>
              <w:jc w:val="center"/>
              <w:rPr>
                <w:rFonts w:hint="default" w:ascii="Times New Roman" w:hAnsi="Times New Roman" w:eastAsia="宋体" w:cs="Times New Roman"/>
                <w:b/>
                <w:bCs/>
                <w:color w:val="auto"/>
                <w:szCs w:val="21"/>
                <w:u w:val="none" w:color="auto"/>
                <w:lang w:val="en-US" w:eastAsia="zh-CN"/>
              </w:rPr>
            </w:pPr>
            <w:r>
              <w:rPr>
                <w:rFonts w:hint="default" w:ascii="Times New Roman" w:hAnsi="Times New Roman" w:eastAsia="宋体" w:cs="Times New Roman"/>
                <w:b/>
                <w:bCs/>
                <w:color w:val="auto"/>
                <w:szCs w:val="21"/>
                <w:u w:val="none" w:color="auto"/>
                <w:lang w:val="en-US" w:eastAsia="zh-CN"/>
              </w:rPr>
              <w:t>7664.349</w:t>
            </w:r>
          </w:p>
        </w:tc>
        <w:tc>
          <w:tcPr>
            <w:tcW w:w="1512" w:type="dxa"/>
            <w:tcBorders>
              <w:tl2br w:val="nil"/>
              <w:tr2bl w:val="nil"/>
            </w:tcBorders>
            <w:noWrap w:val="0"/>
            <w:vAlign w:val="center"/>
          </w:tcPr>
          <w:p w14:paraId="095C6BBB">
            <w:pPr>
              <w:jc w:val="center"/>
              <w:rPr>
                <w:rFonts w:hint="default" w:ascii="Times New Roman" w:hAnsi="Times New Roman" w:eastAsia="宋体" w:cs="Times New Roman"/>
                <w:b/>
                <w:bCs/>
                <w:color w:val="auto"/>
                <w:szCs w:val="21"/>
                <w:u w:val="none" w:color="auto"/>
                <w:lang w:val="en-US" w:eastAsia="zh-CN"/>
              </w:rPr>
            </w:pPr>
            <w:r>
              <w:rPr>
                <w:rFonts w:hint="default" w:ascii="Times New Roman" w:hAnsi="Times New Roman" w:eastAsia="宋体" w:cs="Times New Roman"/>
                <w:b/>
                <w:bCs/>
                <w:color w:val="auto"/>
                <w:szCs w:val="21"/>
                <w:u w:val="none" w:color="auto"/>
                <w:lang w:val="en-US" w:eastAsia="zh-CN"/>
              </w:rPr>
              <w:t>0.024</w:t>
            </w:r>
          </w:p>
        </w:tc>
        <w:tc>
          <w:tcPr>
            <w:tcW w:w="1512" w:type="dxa"/>
            <w:tcBorders>
              <w:tl2br w:val="nil"/>
              <w:tr2bl w:val="nil"/>
            </w:tcBorders>
            <w:noWrap w:val="0"/>
            <w:vAlign w:val="center"/>
          </w:tcPr>
          <w:p w14:paraId="5CCF3B2D">
            <w:pPr>
              <w:jc w:val="center"/>
              <w:rPr>
                <w:rFonts w:hint="default" w:ascii="Times New Roman" w:hAnsi="Times New Roman" w:eastAsia="宋体" w:cs="Times New Roman"/>
                <w:b/>
                <w:bCs/>
                <w:color w:val="auto"/>
                <w:szCs w:val="21"/>
                <w:u w:val="none" w:color="auto"/>
                <w:lang w:val="en-US" w:eastAsia="zh-CN"/>
              </w:rPr>
            </w:pPr>
            <w:r>
              <w:rPr>
                <w:rFonts w:hint="default" w:ascii="Times New Roman" w:hAnsi="Times New Roman" w:eastAsia="宋体" w:cs="Times New Roman"/>
                <w:b/>
                <w:bCs/>
                <w:color w:val="auto"/>
                <w:szCs w:val="21"/>
                <w:u w:val="none" w:color="auto"/>
                <w:lang w:val="en-US" w:eastAsia="zh-CN"/>
              </w:rPr>
              <w:t>4513.405</w:t>
            </w:r>
          </w:p>
        </w:tc>
        <w:tc>
          <w:tcPr>
            <w:tcW w:w="834" w:type="pct"/>
            <w:tcBorders>
              <w:tl2br w:val="nil"/>
              <w:tr2bl w:val="nil"/>
            </w:tcBorders>
            <w:noWrap w:val="0"/>
            <w:vAlign w:val="top"/>
          </w:tcPr>
          <w:p w14:paraId="7A9C4488">
            <w:pPr>
              <w:jc w:val="center"/>
              <w:rPr>
                <w:rFonts w:hint="default" w:ascii="Times New Roman" w:hAnsi="Times New Roman" w:eastAsia="宋体" w:cs="Times New Roman"/>
                <w:b/>
                <w:bCs/>
                <w:color w:val="auto"/>
                <w:szCs w:val="21"/>
                <w:u w:val="none" w:color="auto"/>
                <w:lang w:val="en-US" w:eastAsia="zh-CN"/>
              </w:rPr>
            </w:pPr>
            <w:r>
              <w:rPr>
                <w:rFonts w:hint="default" w:ascii="Times New Roman" w:hAnsi="Times New Roman" w:eastAsia="宋体" w:cs="Times New Roman"/>
                <w:b/>
                <w:bCs/>
                <w:color w:val="auto"/>
                <w:szCs w:val="21"/>
                <w:u w:val="none" w:color="auto"/>
                <w:lang w:val="en-US" w:eastAsia="zh-CN"/>
              </w:rPr>
              <w:t>抵达长江监利段四大家鱼国家级水产种质资源保护区</w:t>
            </w:r>
          </w:p>
        </w:tc>
      </w:tr>
      <w:tr w14:paraId="62ADC1F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831" w:type="pct"/>
            <w:tcBorders>
              <w:tl2br w:val="nil"/>
              <w:tr2bl w:val="nil"/>
            </w:tcBorders>
            <w:noWrap w:val="0"/>
            <w:vAlign w:val="center"/>
          </w:tcPr>
          <w:p w14:paraId="5A6740D8">
            <w:pPr>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25</w:t>
            </w:r>
          </w:p>
        </w:tc>
        <w:tc>
          <w:tcPr>
            <w:tcW w:w="831" w:type="pct"/>
            <w:tcBorders>
              <w:tl2br w:val="nil"/>
              <w:tr2bl w:val="nil"/>
            </w:tcBorders>
            <w:noWrap w:val="0"/>
            <w:vAlign w:val="center"/>
          </w:tcPr>
          <w:p w14:paraId="0AD14E77">
            <w:pPr>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lang w:val="en-US" w:eastAsia="zh-CN"/>
              </w:rPr>
              <w:t xml:space="preserve">100.164 </w:t>
            </w:r>
          </w:p>
        </w:tc>
        <w:tc>
          <w:tcPr>
            <w:tcW w:w="833" w:type="pct"/>
            <w:tcBorders>
              <w:tl2br w:val="nil"/>
              <w:tr2bl w:val="nil"/>
            </w:tcBorders>
            <w:noWrap w:val="0"/>
            <w:vAlign w:val="top"/>
          </w:tcPr>
          <w:p w14:paraId="278CADFE">
            <w:pPr>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lang w:val="en-US" w:eastAsia="zh-CN"/>
              </w:rPr>
              <w:t xml:space="preserve">7875.795 </w:t>
            </w:r>
          </w:p>
        </w:tc>
        <w:tc>
          <w:tcPr>
            <w:tcW w:w="834" w:type="pct"/>
            <w:tcBorders>
              <w:tl2br w:val="nil"/>
              <w:tr2bl w:val="nil"/>
            </w:tcBorders>
            <w:noWrap w:val="0"/>
            <w:vAlign w:val="top"/>
          </w:tcPr>
          <w:p w14:paraId="18BBE5D0">
            <w:pPr>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lang w:val="en-US" w:eastAsia="zh-CN"/>
              </w:rPr>
              <w:t xml:space="preserve">0.024 </w:t>
            </w:r>
          </w:p>
        </w:tc>
        <w:tc>
          <w:tcPr>
            <w:tcW w:w="834" w:type="pct"/>
            <w:tcBorders>
              <w:tl2br w:val="nil"/>
              <w:tr2bl w:val="nil"/>
            </w:tcBorders>
            <w:noWrap w:val="0"/>
            <w:vAlign w:val="top"/>
          </w:tcPr>
          <w:p w14:paraId="730B92F0">
            <w:pPr>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lang w:val="en-US" w:eastAsia="zh-CN"/>
              </w:rPr>
              <w:t xml:space="preserve">4700.082 </w:t>
            </w:r>
          </w:p>
        </w:tc>
        <w:tc>
          <w:tcPr>
            <w:tcW w:w="834" w:type="pct"/>
            <w:tcBorders>
              <w:tl2br w:val="nil"/>
              <w:tr2bl w:val="nil"/>
            </w:tcBorders>
            <w:noWrap w:val="0"/>
            <w:vAlign w:val="top"/>
          </w:tcPr>
          <w:p w14:paraId="7A70B02D">
            <w:pPr>
              <w:jc w:val="center"/>
              <w:rPr>
                <w:rFonts w:hint="default" w:ascii="Times New Roman" w:hAnsi="Times New Roman" w:eastAsia="宋体" w:cs="Times New Roman"/>
                <w:color w:val="auto"/>
                <w:szCs w:val="21"/>
                <w:u w:val="none" w:color="auto"/>
                <w:lang w:val="en-US" w:eastAsia="zh-CN"/>
              </w:rPr>
            </w:pPr>
          </w:p>
        </w:tc>
      </w:tr>
      <w:tr w14:paraId="24D71E9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831" w:type="pct"/>
            <w:tcBorders>
              <w:tl2br w:val="nil"/>
              <w:tr2bl w:val="nil"/>
            </w:tcBorders>
            <w:noWrap w:val="0"/>
            <w:vAlign w:val="center"/>
          </w:tcPr>
          <w:p w14:paraId="1249D8BD">
            <w:pPr>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30</w:t>
            </w:r>
          </w:p>
        </w:tc>
        <w:tc>
          <w:tcPr>
            <w:tcW w:w="831" w:type="pct"/>
            <w:tcBorders>
              <w:tl2br w:val="nil"/>
              <w:tr2bl w:val="nil"/>
            </w:tcBorders>
            <w:noWrap w:val="0"/>
            <w:vAlign w:val="center"/>
          </w:tcPr>
          <w:p w14:paraId="65615A1C">
            <w:pPr>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lang w:val="en-US" w:eastAsia="zh-CN"/>
              </w:rPr>
              <w:t xml:space="preserve">106.440 </w:t>
            </w:r>
          </w:p>
        </w:tc>
        <w:tc>
          <w:tcPr>
            <w:tcW w:w="833" w:type="pct"/>
            <w:tcBorders>
              <w:tl2br w:val="nil"/>
              <w:tr2bl w:val="nil"/>
            </w:tcBorders>
            <w:noWrap w:val="0"/>
            <w:vAlign w:val="top"/>
          </w:tcPr>
          <w:p w14:paraId="2525F206">
            <w:pPr>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lang w:val="en-US" w:eastAsia="zh-CN"/>
              </w:rPr>
              <w:t xml:space="preserve">8893.689 </w:t>
            </w:r>
          </w:p>
        </w:tc>
        <w:tc>
          <w:tcPr>
            <w:tcW w:w="834" w:type="pct"/>
            <w:tcBorders>
              <w:tl2br w:val="nil"/>
              <w:tr2bl w:val="nil"/>
            </w:tcBorders>
            <w:noWrap w:val="0"/>
            <w:vAlign w:val="top"/>
          </w:tcPr>
          <w:p w14:paraId="72FA3F9F">
            <w:pPr>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lang w:val="en-US" w:eastAsia="zh-CN"/>
              </w:rPr>
              <w:t xml:space="preserve">0.026 </w:t>
            </w:r>
          </w:p>
        </w:tc>
        <w:tc>
          <w:tcPr>
            <w:tcW w:w="834" w:type="pct"/>
            <w:tcBorders>
              <w:tl2br w:val="nil"/>
              <w:tr2bl w:val="nil"/>
            </w:tcBorders>
            <w:noWrap w:val="0"/>
            <w:vAlign w:val="top"/>
          </w:tcPr>
          <w:p w14:paraId="68AC59AC">
            <w:pPr>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lang w:val="en-US" w:eastAsia="zh-CN"/>
              </w:rPr>
              <w:t xml:space="preserve">5633.220 </w:t>
            </w:r>
          </w:p>
        </w:tc>
        <w:tc>
          <w:tcPr>
            <w:tcW w:w="834" w:type="pct"/>
            <w:tcBorders>
              <w:tl2br w:val="nil"/>
              <w:tr2bl w:val="nil"/>
            </w:tcBorders>
            <w:noWrap w:val="0"/>
            <w:vAlign w:val="top"/>
          </w:tcPr>
          <w:p w14:paraId="2375659F">
            <w:pPr>
              <w:jc w:val="center"/>
              <w:rPr>
                <w:rFonts w:hint="default" w:ascii="Times New Roman" w:hAnsi="Times New Roman" w:eastAsia="宋体" w:cs="Times New Roman"/>
                <w:color w:val="auto"/>
                <w:szCs w:val="21"/>
                <w:u w:val="none" w:color="auto"/>
                <w:lang w:val="en-US" w:eastAsia="zh-CN"/>
              </w:rPr>
            </w:pPr>
          </w:p>
        </w:tc>
      </w:tr>
      <w:tr w14:paraId="0793327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831" w:type="pct"/>
            <w:tcBorders>
              <w:tl2br w:val="nil"/>
              <w:tr2bl w:val="nil"/>
            </w:tcBorders>
            <w:noWrap w:val="0"/>
            <w:vAlign w:val="center"/>
          </w:tcPr>
          <w:p w14:paraId="0137FDBF">
            <w:pPr>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35</w:t>
            </w:r>
          </w:p>
        </w:tc>
        <w:tc>
          <w:tcPr>
            <w:tcW w:w="831" w:type="pct"/>
            <w:tcBorders>
              <w:tl2br w:val="nil"/>
              <w:tr2bl w:val="nil"/>
            </w:tcBorders>
            <w:noWrap w:val="0"/>
            <w:vAlign w:val="center"/>
          </w:tcPr>
          <w:p w14:paraId="10E11D73">
            <w:pPr>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lang w:val="en-US" w:eastAsia="zh-CN"/>
              </w:rPr>
              <w:t xml:space="preserve">112.053 </w:t>
            </w:r>
          </w:p>
        </w:tc>
        <w:tc>
          <w:tcPr>
            <w:tcW w:w="833" w:type="pct"/>
            <w:tcBorders>
              <w:tl2br w:val="nil"/>
              <w:tr2bl w:val="nil"/>
            </w:tcBorders>
            <w:noWrap w:val="0"/>
            <w:vAlign w:val="top"/>
          </w:tcPr>
          <w:p w14:paraId="4D6F2473">
            <w:pPr>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lang w:val="en-US" w:eastAsia="zh-CN"/>
              </w:rPr>
              <w:t xml:space="preserve">9856.282 </w:t>
            </w:r>
          </w:p>
        </w:tc>
        <w:tc>
          <w:tcPr>
            <w:tcW w:w="834" w:type="pct"/>
            <w:tcBorders>
              <w:tl2br w:val="nil"/>
              <w:tr2bl w:val="nil"/>
            </w:tcBorders>
            <w:noWrap w:val="0"/>
            <w:vAlign w:val="top"/>
          </w:tcPr>
          <w:p w14:paraId="071E0D7A">
            <w:pPr>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lang w:val="en-US" w:eastAsia="zh-CN"/>
              </w:rPr>
              <w:t xml:space="preserve">0.027 </w:t>
            </w:r>
          </w:p>
        </w:tc>
        <w:tc>
          <w:tcPr>
            <w:tcW w:w="834" w:type="pct"/>
            <w:tcBorders>
              <w:tl2br w:val="nil"/>
              <w:tr2bl w:val="nil"/>
            </w:tcBorders>
            <w:noWrap w:val="0"/>
            <w:vAlign w:val="top"/>
          </w:tcPr>
          <w:p w14:paraId="435E8A69">
            <w:pPr>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lang w:val="en-US" w:eastAsia="zh-CN"/>
              </w:rPr>
              <w:t xml:space="preserve">6566.026 </w:t>
            </w:r>
          </w:p>
        </w:tc>
        <w:tc>
          <w:tcPr>
            <w:tcW w:w="834" w:type="pct"/>
            <w:tcBorders>
              <w:tl2br w:val="nil"/>
              <w:tr2bl w:val="nil"/>
            </w:tcBorders>
            <w:noWrap w:val="0"/>
            <w:vAlign w:val="top"/>
          </w:tcPr>
          <w:p w14:paraId="1DD0DAE7">
            <w:pPr>
              <w:jc w:val="center"/>
              <w:rPr>
                <w:rFonts w:hint="default" w:ascii="Times New Roman" w:hAnsi="Times New Roman" w:eastAsia="宋体" w:cs="Times New Roman"/>
                <w:color w:val="auto"/>
                <w:szCs w:val="21"/>
                <w:u w:val="none" w:color="auto"/>
                <w:lang w:val="en-US" w:eastAsia="zh-CN"/>
              </w:rPr>
            </w:pPr>
          </w:p>
        </w:tc>
      </w:tr>
      <w:tr w14:paraId="01B79CF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831" w:type="pct"/>
            <w:tcBorders>
              <w:tl2br w:val="nil"/>
              <w:tr2bl w:val="nil"/>
            </w:tcBorders>
            <w:noWrap w:val="0"/>
            <w:vAlign w:val="center"/>
          </w:tcPr>
          <w:p w14:paraId="30149CC3">
            <w:pPr>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40</w:t>
            </w:r>
          </w:p>
        </w:tc>
        <w:tc>
          <w:tcPr>
            <w:tcW w:w="831" w:type="pct"/>
            <w:tcBorders>
              <w:tl2br w:val="nil"/>
              <w:tr2bl w:val="nil"/>
            </w:tcBorders>
            <w:noWrap w:val="0"/>
            <w:vAlign w:val="center"/>
          </w:tcPr>
          <w:p w14:paraId="23DA231D">
            <w:pPr>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lang w:val="en-US" w:eastAsia="zh-CN"/>
              </w:rPr>
              <w:t xml:space="preserve">117.153 </w:t>
            </w:r>
          </w:p>
        </w:tc>
        <w:tc>
          <w:tcPr>
            <w:tcW w:w="833" w:type="pct"/>
            <w:tcBorders>
              <w:tl2br w:val="nil"/>
              <w:tr2bl w:val="nil"/>
            </w:tcBorders>
            <w:noWrap w:val="0"/>
            <w:vAlign w:val="top"/>
          </w:tcPr>
          <w:p w14:paraId="7E535ED5">
            <w:pPr>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lang w:val="en-US" w:eastAsia="zh-CN"/>
              </w:rPr>
              <w:t xml:space="preserve">10773.937 </w:t>
            </w:r>
          </w:p>
        </w:tc>
        <w:tc>
          <w:tcPr>
            <w:tcW w:w="834" w:type="pct"/>
            <w:tcBorders>
              <w:tl2br w:val="nil"/>
              <w:tr2bl w:val="nil"/>
            </w:tcBorders>
            <w:noWrap w:val="0"/>
            <w:vAlign w:val="top"/>
          </w:tcPr>
          <w:p w14:paraId="3892D76B">
            <w:pPr>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lang w:val="en-US" w:eastAsia="zh-CN"/>
              </w:rPr>
              <w:t xml:space="preserve">0.028 </w:t>
            </w:r>
          </w:p>
        </w:tc>
        <w:tc>
          <w:tcPr>
            <w:tcW w:w="834" w:type="pct"/>
            <w:tcBorders>
              <w:tl2br w:val="nil"/>
              <w:tr2bl w:val="nil"/>
            </w:tcBorders>
            <w:noWrap w:val="0"/>
            <w:vAlign w:val="top"/>
          </w:tcPr>
          <w:p w14:paraId="12ADC697">
            <w:pPr>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lang w:val="en-US" w:eastAsia="zh-CN"/>
              </w:rPr>
              <w:t xml:space="preserve">7498.576 </w:t>
            </w:r>
          </w:p>
        </w:tc>
        <w:tc>
          <w:tcPr>
            <w:tcW w:w="834" w:type="pct"/>
            <w:tcBorders>
              <w:tl2br w:val="nil"/>
              <w:tr2bl w:val="nil"/>
            </w:tcBorders>
            <w:noWrap w:val="0"/>
            <w:vAlign w:val="top"/>
          </w:tcPr>
          <w:p w14:paraId="3221C836">
            <w:pPr>
              <w:jc w:val="center"/>
              <w:rPr>
                <w:rFonts w:hint="default" w:ascii="Times New Roman" w:hAnsi="Times New Roman" w:eastAsia="宋体" w:cs="Times New Roman"/>
                <w:color w:val="auto"/>
                <w:szCs w:val="21"/>
                <w:u w:val="none" w:color="auto"/>
                <w:lang w:val="en-US" w:eastAsia="zh-CN"/>
              </w:rPr>
            </w:pPr>
          </w:p>
        </w:tc>
      </w:tr>
      <w:tr w14:paraId="6898B9E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831" w:type="pct"/>
            <w:tcBorders>
              <w:tl2br w:val="nil"/>
              <w:tr2bl w:val="nil"/>
            </w:tcBorders>
            <w:noWrap w:val="0"/>
            <w:vAlign w:val="center"/>
          </w:tcPr>
          <w:p w14:paraId="4C4129C6">
            <w:pPr>
              <w:jc w:val="center"/>
              <w:rPr>
                <w:rFonts w:hint="default" w:ascii="Times New Roman" w:hAnsi="Times New Roman" w:eastAsia="宋体" w:cs="Times New Roman"/>
                <w:b/>
                <w:bCs/>
                <w:color w:val="auto"/>
                <w:szCs w:val="21"/>
                <w:u w:val="none" w:color="auto"/>
              </w:rPr>
            </w:pPr>
            <w:r>
              <w:rPr>
                <w:rFonts w:hint="default" w:ascii="Times New Roman" w:hAnsi="Times New Roman" w:eastAsia="宋体" w:cs="Times New Roman"/>
                <w:b/>
                <w:bCs/>
                <w:color w:val="auto"/>
                <w:szCs w:val="21"/>
                <w:u w:val="none" w:color="auto"/>
              </w:rPr>
              <w:t>45</w:t>
            </w:r>
          </w:p>
        </w:tc>
        <w:tc>
          <w:tcPr>
            <w:tcW w:w="831" w:type="pct"/>
            <w:tcBorders>
              <w:tl2br w:val="nil"/>
              <w:tr2bl w:val="nil"/>
            </w:tcBorders>
            <w:noWrap w:val="0"/>
            <w:vAlign w:val="center"/>
          </w:tcPr>
          <w:p w14:paraId="79E4CD03">
            <w:pPr>
              <w:jc w:val="center"/>
              <w:rPr>
                <w:rFonts w:hint="default" w:ascii="Times New Roman" w:hAnsi="Times New Roman" w:eastAsia="宋体" w:cs="Times New Roman"/>
                <w:b/>
                <w:bCs/>
                <w:color w:val="auto"/>
                <w:szCs w:val="21"/>
                <w:u w:val="none" w:color="auto"/>
              </w:rPr>
            </w:pPr>
            <w:r>
              <w:rPr>
                <w:rFonts w:hint="default" w:ascii="Times New Roman" w:hAnsi="Times New Roman" w:eastAsia="宋体" w:cs="Times New Roman"/>
                <w:b/>
                <w:bCs/>
                <w:color w:val="auto"/>
                <w:szCs w:val="21"/>
                <w:u w:val="none" w:color="auto"/>
                <w:lang w:val="en-US" w:eastAsia="zh-CN"/>
              </w:rPr>
              <w:t xml:space="preserve">121.844 </w:t>
            </w:r>
          </w:p>
        </w:tc>
        <w:tc>
          <w:tcPr>
            <w:tcW w:w="833" w:type="pct"/>
            <w:tcBorders>
              <w:tl2br w:val="nil"/>
              <w:tr2bl w:val="nil"/>
            </w:tcBorders>
            <w:noWrap w:val="0"/>
            <w:vAlign w:val="center"/>
          </w:tcPr>
          <w:p w14:paraId="1AA9F346">
            <w:pPr>
              <w:jc w:val="center"/>
              <w:rPr>
                <w:rFonts w:hint="default" w:ascii="Times New Roman" w:hAnsi="Times New Roman" w:eastAsia="宋体" w:cs="Times New Roman"/>
                <w:b/>
                <w:bCs/>
                <w:color w:val="auto"/>
                <w:szCs w:val="21"/>
                <w:u w:val="none" w:color="auto"/>
              </w:rPr>
            </w:pPr>
            <w:r>
              <w:rPr>
                <w:rFonts w:hint="default" w:ascii="Times New Roman" w:hAnsi="Times New Roman" w:eastAsia="宋体" w:cs="Times New Roman"/>
                <w:b/>
                <w:bCs/>
                <w:color w:val="auto"/>
                <w:szCs w:val="21"/>
                <w:u w:val="none" w:color="auto"/>
                <w:lang w:val="en-US" w:eastAsia="zh-CN"/>
              </w:rPr>
              <w:t>11654.029</w:t>
            </w:r>
          </w:p>
        </w:tc>
        <w:tc>
          <w:tcPr>
            <w:tcW w:w="834" w:type="pct"/>
            <w:tcBorders>
              <w:tl2br w:val="nil"/>
              <w:tr2bl w:val="nil"/>
            </w:tcBorders>
            <w:noWrap w:val="0"/>
            <w:vAlign w:val="center"/>
          </w:tcPr>
          <w:p w14:paraId="605253EF">
            <w:pPr>
              <w:jc w:val="center"/>
              <w:rPr>
                <w:rFonts w:hint="default" w:ascii="Times New Roman" w:hAnsi="Times New Roman" w:eastAsia="宋体" w:cs="Times New Roman"/>
                <w:b/>
                <w:bCs/>
                <w:color w:val="auto"/>
                <w:szCs w:val="21"/>
                <w:u w:val="none" w:color="auto"/>
              </w:rPr>
            </w:pPr>
            <w:r>
              <w:rPr>
                <w:rFonts w:hint="default" w:ascii="Times New Roman" w:hAnsi="Times New Roman" w:eastAsia="宋体" w:cs="Times New Roman"/>
                <w:b/>
                <w:bCs/>
                <w:color w:val="auto"/>
                <w:szCs w:val="21"/>
                <w:u w:val="none" w:color="auto"/>
                <w:lang w:val="en-US" w:eastAsia="zh-CN"/>
              </w:rPr>
              <w:t>0.030</w:t>
            </w:r>
          </w:p>
        </w:tc>
        <w:tc>
          <w:tcPr>
            <w:tcW w:w="834" w:type="pct"/>
            <w:tcBorders>
              <w:tl2br w:val="nil"/>
              <w:tr2bl w:val="nil"/>
            </w:tcBorders>
            <w:noWrap w:val="0"/>
            <w:vAlign w:val="center"/>
          </w:tcPr>
          <w:p w14:paraId="19AB75B7">
            <w:pPr>
              <w:jc w:val="center"/>
              <w:rPr>
                <w:rFonts w:hint="default" w:ascii="Times New Roman" w:hAnsi="Times New Roman" w:eastAsia="宋体" w:cs="Times New Roman"/>
                <w:b/>
                <w:bCs/>
                <w:color w:val="auto"/>
                <w:szCs w:val="21"/>
                <w:u w:val="none" w:color="auto"/>
              </w:rPr>
            </w:pPr>
            <w:r>
              <w:rPr>
                <w:rFonts w:hint="default" w:ascii="Times New Roman" w:hAnsi="Times New Roman" w:eastAsia="宋体" w:cs="Times New Roman"/>
                <w:b/>
                <w:bCs/>
                <w:color w:val="auto"/>
                <w:szCs w:val="21"/>
                <w:u w:val="none" w:color="auto"/>
                <w:lang w:val="en-US" w:eastAsia="zh-CN"/>
              </w:rPr>
              <w:t>8430.922</w:t>
            </w:r>
          </w:p>
        </w:tc>
        <w:tc>
          <w:tcPr>
            <w:tcW w:w="834" w:type="pct"/>
            <w:tcBorders>
              <w:tl2br w:val="nil"/>
              <w:tr2bl w:val="nil"/>
            </w:tcBorders>
            <w:noWrap w:val="0"/>
            <w:vAlign w:val="center"/>
          </w:tcPr>
          <w:p w14:paraId="0E5A9F2E">
            <w:pPr>
              <w:jc w:val="center"/>
              <w:rPr>
                <w:rFonts w:hint="default" w:ascii="Times New Roman" w:hAnsi="Times New Roman" w:eastAsia="宋体" w:cs="Times New Roman"/>
                <w:b/>
                <w:bCs/>
                <w:color w:val="auto"/>
                <w:szCs w:val="21"/>
                <w:u w:val="none" w:color="auto"/>
                <w:lang w:val="en-US" w:eastAsia="zh-CN"/>
              </w:rPr>
            </w:pPr>
            <w:r>
              <w:rPr>
                <w:rFonts w:hint="default" w:ascii="Times New Roman" w:hAnsi="Times New Roman" w:eastAsia="宋体" w:cs="Times New Roman"/>
                <w:b/>
                <w:bCs/>
                <w:color w:val="auto"/>
                <w:szCs w:val="21"/>
                <w:u w:val="none" w:color="auto"/>
                <w:lang w:val="en-US" w:eastAsia="zh-CN"/>
              </w:rPr>
              <w:t>抵达岳阳市云溪区道仁矶水厂长江取水口周边</w:t>
            </w:r>
          </w:p>
        </w:tc>
      </w:tr>
      <w:tr w14:paraId="23D97ED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831" w:type="pct"/>
            <w:tcBorders>
              <w:tl2br w:val="nil"/>
              <w:tr2bl w:val="nil"/>
            </w:tcBorders>
            <w:noWrap w:val="0"/>
            <w:vAlign w:val="center"/>
          </w:tcPr>
          <w:p w14:paraId="074B5A06">
            <w:pPr>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50</w:t>
            </w:r>
          </w:p>
        </w:tc>
        <w:tc>
          <w:tcPr>
            <w:tcW w:w="831" w:type="pct"/>
            <w:tcBorders>
              <w:tl2br w:val="nil"/>
              <w:tr2bl w:val="nil"/>
            </w:tcBorders>
            <w:noWrap w:val="0"/>
            <w:vAlign w:val="center"/>
          </w:tcPr>
          <w:p w14:paraId="133BA2CE">
            <w:pPr>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lang w:val="en-US" w:eastAsia="zh-CN"/>
              </w:rPr>
              <w:t xml:space="preserve">126.199 </w:t>
            </w:r>
          </w:p>
        </w:tc>
        <w:tc>
          <w:tcPr>
            <w:tcW w:w="833" w:type="pct"/>
            <w:tcBorders>
              <w:tl2br w:val="nil"/>
              <w:tr2bl w:val="nil"/>
            </w:tcBorders>
            <w:noWrap w:val="0"/>
            <w:vAlign w:val="top"/>
          </w:tcPr>
          <w:p w14:paraId="4FBFB07A">
            <w:pPr>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lang w:val="en-US" w:eastAsia="zh-CN"/>
              </w:rPr>
              <w:t xml:space="preserve">12502.046 </w:t>
            </w:r>
          </w:p>
        </w:tc>
        <w:tc>
          <w:tcPr>
            <w:tcW w:w="834" w:type="pct"/>
            <w:tcBorders>
              <w:tl2br w:val="nil"/>
              <w:tr2bl w:val="nil"/>
            </w:tcBorders>
            <w:noWrap w:val="0"/>
            <w:vAlign w:val="top"/>
          </w:tcPr>
          <w:p w14:paraId="54E5D911">
            <w:pPr>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lang w:val="en-US" w:eastAsia="zh-CN"/>
              </w:rPr>
              <w:t xml:space="preserve">0.031 </w:t>
            </w:r>
          </w:p>
        </w:tc>
        <w:tc>
          <w:tcPr>
            <w:tcW w:w="834" w:type="pct"/>
            <w:tcBorders>
              <w:tl2br w:val="nil"/>
              <w:tr2bl w:val="nil"/>
            </w:tcBorders>
            <w:noWrap w:val="0"/>
            <w:vAlign w:val="top"/>
          </w:tcPr>
          <w:p w14:paraId="7CF58E54">
            <w:pPr>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lang w:val="en-US" w:eastAsia="zh-CN"/>
              </w:rPr>
              <w:t xml:space="preserve">9363.099 </w:t>
            </w:r>
          </w:p>
        </w:tc>
        <w:tc>
          <w:tcPr>
            <w:tcW w:w="834" w:type="pct"/>
            <w:tcBorders>
              <w:tl2br w:val="nil"/>
              <w:tr2bl w:val="nil"/>
            </w:tcBorders>
            <w:noWrap w:val="0"/>
            <w:vAlign w:val="top"/>
          </w:tcPr>
          <w:p w14:paraId="71326F40">
            <w:pPr>
              <w:jc w:val="center"/>
              <w:rPr>
                <w:rFonts w:hint="default" w:ascii="Times New Roman" w:hAnsi="Times New Roman" w:eastAsia="宋体" w:cs="Times New Roman"/>
                <w:color w:val="auto"/>
                <w:szCs w:val="21"/>
                <w:u w:val="none" w:color="auto"/>
                <w:lang w:val="en-US" w:eastAsia="zh-CN"/>
              </w:rPr>
            </w:pPr>
          </w:p>
        </w:tc>
      </w:tr>
      <w:tr w14:paraId="23DA316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831" w:type="pct"/>
            <w:tcBorders>
              <w:tl2br w:val="nil"/>
              <w:tr2bl w:val="nil"/>
            </w:tcBorders>
            <w:noWrap w:val="0"/>
            <w:vAlign w:val="center"/>
          </w:tcPr>
          <w:p w14:paraId="2A1BC816">
            <w:pPr>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55</w:t>
            </w:r>
          </w:p>
        </w:tc>
        <w:tc>
          <w:tcPr>
            <w:tcW w:w="831" w:type="pct"/>
            <w:tcBorders>
              <w:tl2br w:val="nil"/>
              <w:tr2bl w:val="nil"/>
            </w:tcBorders>
            <w:noWrap w:val="0"/>
            <w:vAlign w:val="center"/>
          </w:tcPr>
          <w:p w14:paraId="57CB7515">
            <w:pPr>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lang w:val="en-US" w:eastAsia="zh-CN"/>
              </w:rPr>
              <w:t xml:space="preserve">130.273 </w:t>
            </w:r>
          </w:p>
        </w:tc>
        <w:tc>
          <w:tcPr>
            <w:tcW w:w="833" w:type="pct"/>
            <w:tcBorders>
              <w:tl2br w:val="nil"/>
              <w:tr2bl w:val="nil"/>
            </w:tcBorders>
            <w:noWrap w:val="0"/>
            <w:vAlign w:val="top"/>
          </w:tcPr>
          <w:p w14:paraId="28F4B24F">
            <w:pPr>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lang w:val="en-US" w:eastAsia="zh-CN"/>
              </w:rPr>
              <w:t xml:space="preserve">13322.208 </w:t>
            </w:r>
          </w:p>
        </w:tc>
        <w:tc>
          <w:tcPr>
            <w:tcW w:w="834" w:type="pct"/>
            <w:tcBorders>
              <w:tl2br w:val="nil"/>
              <w:tr2bl w:val="nil"/>
            </w:tcBorders>
            <w:noWrap w:val="0"/>
            <w:vAlign w:val="top"/>
          </w:tcPr>
          <w:p w14:paraId="05F1ABCF">
            <w:pPr>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lang w:val="en-US" w:eastAsia="zh-CN"/>
              </w:rPr>
              <w:t xml:space="preserve">0.032 </w:t>
            </w:r>
          </w:p>
        </w:tc>
        <w:tc>
          <w:tcPr>
            <w:tcW w:w="834" w:type="pct"/>
            <w:tcBorders>
              <w:tl2br w:val="nil"/>
              <w:tr2bl w:val="nil"/>
            </w:tcBorders>
            <w:noWrap w:val="0"/>
            <w:vAlign w:val="top"/>
          </w:tcPr>
          <w:p w14:paraId="15916233">
            <w:pPr>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lang w:val="en-US" w:eastAsia="zh-CN"/>
              </w:rPr>
              <w:t xml:space="preserve">10295.136 </w:t>
            </w:r>
          </w:p>
        </w:tc>
        <w:tc>
          <w:tcPr>
            <w:tcW w:w="834" w:type="pct"/>
            <w:tcBorders>
              <w:tl2br w:val="nil"/>
              <w:tr2bl w:val="nil"/>
            </w:tcBorders>
            <w:noWrap w:val="0"/>
            <w:vAlign w:val="top"/>
          </w:tcPr>
          <w:p w14:paraId="527E4E6D">
            <w:pPr>
              <w:jc w:val="center"/>
              <w:rPr>
                <w:rFonts w:hint="default" w:ascii="Times New Roman" w:hAnsi="Times New Roman" w:eastAsia="宋体" w:cs="Times New Roman"/>
                <w:color w:val="auto"/>
                <w:szCs w:val="21"/>
                <w:u w:val="none" w:color="auto"/>
                <w:lang w:val="en-US" w:eastAsia="zh-CN"/>
              </w:rPr>
            </w:pPr>
          </w:p>
        </w:tc>
      </w:tr>
      <w:tr w14:paraId="1050149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831" w:type="pct"/>
            <w:tcBorders>
              <w:tl2br w:val="nil"/>
              <w:tr2bl w:val="nil"/>
            </w:tcBorders>
            <w:noWrap w:val="0"/>
            <w:vAlign w:val="center"/>
          </w:tcPr>
          <w:p w14:paraId="1670562F">
            <w:pPr>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60</w:t>
            </w:r>
          </w:p>
        </w:tc>
        <w:tc>
          <w:tcPr>
            <w:tcW w:w="831" w:type="pct"/>
            <w:tcBorders>
              <w:tl2br w:val="nil"/>
              <w:tr2bl w:val="nil"/>
            </w:tcBorders>
            <w:noWrap w:val="0"/>
            <w:vAlign w:val="center"/>
          </w:tcPr>
          <w:p w14:paraId="559FDBC1">
            <w:pPr>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lang w:val="en-US" w:eastAsia="zh-CN"/>
              </w:rPr>
              <w:t xml:space="preserve">134.106 </w:t>
            </w:r>
          </w:p>
        </w:tc>
        <w:tc>
          <w:tcPr>
            <w:tcW w:w="833" w:type="pct"/>
            <w:tcBorders>
              <w:tl2br w:val="nil"/>
              <w:tr2bl w:val="nil"/>
            </w:tcBorders>
            <w:noWrap w:val="0"/>
            <w:vAlign w:val="top"/>
          </w:tcPr>
          <w:p w14:paraId="7DC0B54F">
            <w:pPr>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lang w:val="en-US" w:eastAsia="zh-CN"/>
              </w:rPr>
              <w:t xml:space="preserve">14117.851 </w:t>
            </w:r>
          </w:p>
        </w:tc>
        <w:tc>
          <w:tcPr>
            <w:tcW w:w="834" w:type="pct"/>
            <w:tcBorders>
              <w:tl2br w:val="nil"/>
              <w:tr2bl w:val="nil"/>
            </w:tcBorders>
            <w:noWrap w:val="0"/>
            <w:vAlign w:val="top"/>
          </w:tcPr>
          <w:p w14:paraId="369A5F85">
            <w:pPr>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lang w:val="en-US" w:eastAsia="zh-CN"/>
              </w:rPr>
              <w:t xml:space="preserve">0.033 </w:t>
            </w:r>
          </w:p>
        </w:tc>
        <w:tc>
          <w:tcPr>
            <w:tcW w:w="834" w:type="pct"/>
            <w:tcBorders>
              <w:tl2br w:val="nil"/>
              <w:tr2bl w:val="nil"/>
            </w:tcBorders>
            <w:noWrap w:val="0"/>
            <w:vAlign w:val="top"/>
          </w:tcPr>
          <w:p w14:paraId="60EF6149">
            <w:pPr>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lang w:val="en-US" w:eastAsia="zh-CN"/>
              </w:rPr>
              <w:t xml:space="preserve">11227.053 </w:t>
            </w:r>
          </w:p>
        </w:tc>
        <w:tc>
          <w:tcPr>
            <w:tcW w:w="834" w:type="pct"/>
            <w:tcBorders>
              <w:tl2br w:val="nil"/>
              <w:tr2bl w:val="nil"/>
            </w:tcBorders>
            <w:noWrap w:val="0"/>
            <w:vAlign w:val="top"/>
          </w:tcPr>
          <w:p w14:paraId="6907CB9C">
            <w:pPr>
              <w:jc w:val="center"/>
              <w:rPr>
                <w:rFonts w:hint="default" w:ascii="Times New Roman" w:hAnsi="Times New Roman" w:eastAsia="宋体" w:cs="Times New Roman"/>
                <w:color w:val="auto"/>
                <w:szCs w:val="21"/>
                <w:u w:val="none" w:color="auto"/>
                <w:lang w:val="en-US" w:eastAsia="zh-CN"/>
              </w:rPr>
            </w:pPr>
          </w:p>
        </w:tc>
      </w:tr>
    </w:tbl>
    <w:p w14:paraId="118EA053">
      <w:pPr>
        <w:spacing w:line="360" w:lineRule="auto"/>
        <w:ind w:firstLine="480" w:firstLineChars="200"/>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根据上述预测结果可知，发生泄漏</w:t>
      </w:r>
      <w:r>
        <w:rPr>
          <w:rFonts w:hint="default" w:ascii="Times New Roman" w:hAnsi="Times New Roman" w:eastAsia="宋体" w:cs="Times New Roman"/>
          <w:color w:val="auto"/>
          <w:sz w:val="24"/>
          <w:szCs w:val="24"/>
          <w:u w:val="none" w:color="auto"/>
          <w:lang w:val="en-US" w:eastAsia="zh-CN"/>
        </w:rPr>
        <w:t>后7min后，</w:t>
      </w:r>
      <w:r>
        <w:rPr>
          <w:rFonts w:hint="default" w:ascii="Times New Roman" w:hAnsi="Times New Roman" w:eastAsia="宋体" w:cs="Times New Roman"/>
          <w:color w:val="auto"/>
          <w:sz w:val="24"/>
          <w:szCs w:val="24"/>
          <w:u w:val="none" w:color="auto"/>
        </w:rPr>
        <w:t>油膜溢散</w:t>
      </w:r>
      <w:r>
        <w:rPr>
          <w:rFonts w:hint="default" w:ascii="Times New Roman" w:hAnsi="Times New Roman" w:eastAsia="宋体" w:cs="Times New Roman"/>
          <w:color w:val="auto"/>
          <w:sz w:val="24"/>
          <w:szCs w:val="24"/>
          <w:u w:val="none" w:color="auto"/>
          <w:lang w:val="en-US" w:eastAsia="zh-CN"/>
        </w:rPr>
        <w:t>通过电排站进入长江</w:t>
      </w:r>
      <w:r>
        <w:rPr>
          <w:rFonts w:hint="default" w:ascii="Times New Roman" w:hAnsi="Times New Roman" w:eastAsia="宋体" w:cs="Times New Roman"/>
          <w:color w:val="auto"/>
          <w:sz w:val="24"/>
          <w:u w:val="none" w:color="auto"/>
          <w:lang w:val="en-US" w:eastAsia="zh-CN"/>
        </w:rPr>
        <w:t>，但由于油膜厚度极小，在考虑水体扰动影响情况下，可能会被稀释。</w:t>
      </w:r>
    </w:p>
    <w:p w14:paraId="177052E0">
      <w:pPr>
        <w:spacing w:line="360" w:lineRule="auto"/>
        <w:ind w:firstLine="480" w:firstLineChars="200"/>
        <w:rPr>
          <w:rFonts w:hint="default" w:ascii="Times New Roman" w:hAnsi="Times New Roman" w:eastAsia="宋体" w:cs="Times New Roman"/>
          <w:color w:val="auto"/>
          <w:sz w:val="24"/>
          <w:u w:val="none" w:color="auto"/>
          <w:lang w:val="en-US" w:eastAsia="zh-CN"/>
        </w:rPr>
      </w:pPr>
      <w:r>
        <w:rPr>
          <w:rFonts w:hint="default" w:ascii="Times New Roman" w:hAnsi="Times New Roman" w:eastAsia="宋体" w:cs="Times New Roman"/>
          <w:color w:val="auto"/>
          <w:kern w:val="0"/>
          <w:sz w:val="24"/>
          <w:szCs w:val="24"/>
          <w:u w:val="none" w:color="auto"/>
          <w:lang w:val="en-US" w:eastAsia="zh-CN" w:bidi="ar"/>
        </w:rPr>
        <w:t>同时由于油膜的黏附性，油膜在漂移的过程中会黏附于岸边，但随着时间的迁移，油膜会随水流进入下游重要生境，因此，在发生泄漏事故时，应该尽快关闭雨水阀门，若未及时关闭，则应通知电排站启动应急计划，关闭抽水设施，同时在短时间内在排放点位处及下游设置围油栏，拦截油膜，把油膜的影响控制在项目所在水域的象骨港内，杜绝通过电排站进入长江，扩大污染范围。</w:t>
      </w:r>
    </w:p>
    <w:p w14:paraId="7A17110E">
      <w:pPr>
        <w:spacing w:line="360" w:lineRule="auto"/>
        <w:rPr>
          <w:rFonts w:hint="default" w:ascii="Times New Roman" w:hAnsi="Times New Roman" w:eastAsia="宋体" w:cs="Times New Roman"/>
          <w:color w:val="auto"/>
          <w:sz w:val="24"/>
          <w:u w:val="none" w:color="auto"/>
        </w:rPr>
      </w:pPr>
      <w:r>
        <w:rPr>
          <w:rFonts w:hint="default" w:ascii="Times New Roman" w:hAnsi="Times New Roman" w:eastAsia="宋体" w:cs="Times New Roman"/>
          <w:color w:val="auto"/>
          <w:u w:val="none" w:color="auto"/>
        </w:rPr>
        <w:drawing>
          <wp:inline distT="0" distB="0" distL="114300" distR="114300">
            <wp:extent cx="5601335" cy="3191510"/>
            <wp:effectExtent l="0" t="0" r="18415" b="8890"/>
            <wp:docPr id="41"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32"/>
                    <pic:cNvPicPr>
                      <a:picLocks noChangeAspect="1"/>
                    </pic:cNvPicPr>
                  </pic:nvPicPr>
                  <pic:blipFill>
                    <a:blip r:embed="rId73"/>
                    <a:stretch>
                      <a:fillRect/>
                    </a:stretch>
                  </pic:blipFill>
                  <pic:spPr>
                    <a:xfrm>
                      <a:off x="0" y="0"/>
                      <a:ext cx="5601335" cy="3191510"/>
                    </a:xfrm>
                    <a:prstGeom prst="rect">
                      <a:avLst/>
                    </a:prstGeom>
                    <a:noFill/>
                    <a:ln>
                      <a:noFill/>
                    </a:ln>
                  </pic:spPr>
                </pic:pic>
              </a:graphicData>
            </a:graphic>
          </wp:inline>
        </w:drawing>
      </w:r>
    </w:p>
    <w:p w14:paraId="79E0AA30">
      <w:pPr>
        <w:numPr>
          <w:ilvl w:val="0"/>
          <w:numId w:val="14"/>
        </w:numPr>
        <w:wordWrap/>
        <w:topLinePunct w:val="0"/>
        <w:bidi w:val="0"/>
        <w:adjustRightInd/>
        <w:snapToGrid/>
        <w:ind w:left="420" w:leftChars="0" w:hanging="420" w:firstLineChars="0"/>
        <w:jc w:val="center"/>
        <w:rPr>
          <w:rFonts w:hint="default" w:ascii="Times New Roman" w:hAnsi="Times New Roman" w:eastAsia="宋体" w:cs="Times New Roman"/>
          <w:color w:val="auto"/>
          <w:u w:val="none" w:color="auto"/>
        </w:rPr>
      </w:pPr>
      <w:r>
        <w:rPr>
          <w:rFonts w:hint="default" w:ascii="Times New Roman" w:hAnsi="Times New Roman" w:eastAsia="宋体" w:cs="Times New Roman"/>
          <w:b/>
          <w:bCs/>
          <w:color w:val="auto"/>
          <w:u w:val="none" w:color="auto"/>
        </w:rPr>
        <w:t>泄漏到内陆水体的排放点</w:t>
      </w:r>
      <w:r>
        <w:rPr>
          <w:rFonts w:hint="default" w:ascii="Times New Roman" w:hAnsi="Times New Roman" w:eastAsia="宋体" w:cs="Times New Roman"/>
          <w:b/>
          <w:bCs/>
          <w:color w:val="auto"/>
          <w:u w:val="none" w:color="auto"/>
          <w:lang w:val="en-US" w:eastAsia="zh-CN"/>
        </w:rPr>
        <w:t>及下游10km范围图</w:t>
      </w:r>
    </w:p>
    <w:p w14:paraId="27803841">
      <w:pPr>
        <w:spacing w:line="360" w:lineRule="auto"/>
        <w:ind w:firstLine="482" w:firstLineChars="200"/>
        <w:outlineLvl w:val="2"/>
        <w:rPr>
          <w:rFonts w:hint="default" w:ascii="Times New Roman" w:hAnsi="Times New Roman" w:eastAsia="宋体" w:cs="Times New Roman"/>
          <w:b/>
          <w:bCs/>
          <w:color w:val="auto"/>
          <w:sz w:val="24"/>
          <w:u w:val="none" w:color="auto"/>
          <w:lang w:val="en-US" w:eastAsia="zh-CN"/>
        </w:rPr>
      </w:pPr>
      <w:bookmarkStart w:id="271" w:name="_Toc28905"/>
      <w:r>
        <w:rPr>
          <w:rFonts w:hint="default" w:ascii="Times New Roman" w:hAnsi="Times New Roman" w:eastAsia="宋体" w:cs="Times New Roman"/>
          <w:b/>
          <w:bCs/>
          <w:color w:val="auto"/>
          <w:sz w:val="24"/>
          <w:u w:val="none" w:color="auto"/>
        </w:rPr>
        <w:t>5.2.2</w:t>
      </w:r>
      <w:bookmarkEnd w:id="271"/>
      <w:r>
        <w:rPr>
          <w:rFonts w:hint="default" w:ascii="Times New Roman" w:hAnsi="Times New Roman" w:eastAsia="宋体" w:cs="Times New Roman"/>
          <w:b/>
          <w:bCs/>
          <w:color w:val="auto"/>
          <w:sz w:val="24"/>
          <w:u w:val="none" w:color="auto"/>
          <w:lang w:val="en-US" w:eastAsia="zh-CN"/>
        </w:rPr>
        <w:t>天然气管道发生火灾爆炸及其他情形</w:t>
      </w:r>
    </w:p>
    <w:p w14:paraId="29329309">
      <w:pPr>
        <w:topLinePunct w:val="0"/>
        <w:bidi w:val="0"/>
        <w:adjustRightInd/>
        <w:snapToGrid/>
        <w:spacing w:line="360" w:lineRule="auto"/>
        <w:ind w:firstLine="480" w:firstLineChars="200"/>
        <w:rPr>
          <w:rFonts w:hint="default" w:ascii="Times New Roman" w:hAnsi="Times New Roman" w:eastAsia="宋体" w:cs="Times New Roman"/>
          <w:color w:val="auto"/>
          <w:sz w:val="24"/>
          <w:szCs w:val="22"/>
          <w:highlight w:val="none"/>
          <w:u w:val="none" w:color="auto"/>
          <w:vertAlign w:val="baseline"/>
          <w:lang w:val="en-US" w:eastAsia="zh-CN"/>
        </w:rPr>
      </w:pPr>
      <w:r>
        <w:rPr>
          <w:rFonts w:hint="default" w:ascii="Times New Roman" w:hAnsi="Times New Roman" w:eastAsia="宋体" w:cs="Times New Roman"/>
          <w:color w:val="auto"/>
          <w:sz w:val="24"/>
          <w:highlight w:val="none"/>
          <w:u w:val="none" w:color="auto"/>
          <w:lang w:val="en-US" w:eastAsia="zh-CN"/>
        </w:rPr>
        <w:t>本项目在发生天然气管道火灾爆炸及其他大型火灾等产生大量消防废水时，可通过建设单位编制的应急预案与《湖南城陵矶新港区核心区突发环境事件应急预案》衔接、区域联动等，依托城陵矶新港区污水处理厂建设的</w:t>
      </w:r>
      <w:r>
        <w:rPr>
          <w:rFonts w:hint="default" w:ascii="Times New Roman" w:hAnsi="Times New Roman" w:eastAsia="宋体" w:cs="Times New Roman"/>
          <w:color w:val="auto"/>
          <w:sz w:val="24"/>
          <w:szCs w:val="22"/>
          <w:highlight w:val="none"/>
          <w:u w:val="none" w:color="auto"/>
        </w:rPr>
        <w:t>总有效容积</w:t>
      </w:r>
      <w:r>
        <w:rPr>
          <w:rFonts w:hint="default" w:ascii="Times New Roman" w:hAnsi="Times New Roman" w:eastAsia="宋体" w:cs="Times New Roman"/>
          <w:color w:val="auto"/>
          <w:sz w:val="24"/>
          <w:szCs w:val="22"/>
          <w:highlight w:val="none"/>
          <w:u w:val="none" w:color="auto"/>
          <w:lang w:val="en-US" w:eastAsia="zh-CN"/>
        </w:rPr>
        <w:t>为</w:t>
      </w:r>
      <w:r>
        <w:rPr>
          <w:rFonts w:hint="default" w:ascii="Times New Roman" w:hAnsi="Times New Roman" w:eastAsia="宋体" w:cs="Times New Roman"/>
          <w:color w:val="auto"/>
          <w:sz w:val="24"/>
          <w:szCs w:val="22"/>
          <w:highlight w:val="none"/>
          <w:u w:val="none" w:color="auto"/>
        </w:rPr>
        <w:t>4000m</w:t>
      </w:r>
      <w:r>
        <w:rPr>
          <w:rFonts w:hint="default" w:ascii="Times New Roman" w:hAnsi="Times New Roman" w:eastAsia="宋体" w:cs="Times New Roman"/>
          <w:color w:val="auto"/>
          <w:sz w:val="24"/>
          <w:szCs w:val="22"/>
          <w:highlight w:val="none"/>
          <w:u w:val="none" w:color="auto"/>
          <w:vertAlign w:val="superscript"/>
        </w:rPr>
        <w:t>3</w:t>
      </w:r>
      <w:r>
        <w:rPr>
          <w:rFonts w:hint="default" w:ascii="Times New Roman" w:hAnsi="Times New Roman" w:eastAsia="宋体" w:cs="Times New Roman"/>
          <w:color w:val="auto"/>
          <w:sz w:val="24"/>
          <w:szCs w:val="22"/>
          <w:highlight w:val="none"/>
          <w:u w:val="none" w:color="auto"/>
          <w:vertAlign w:val="baseline"/>
          <w:lang w:val="en-US" w:eastAsia="zh-CN"/>
        </w:rPr>
        <w:t>的区域公共应急池进行受纳、处理。</w:t>
      </w:r>
    </w:p>
    <w:p w14:paraId="60CA0181">
      <w:pPr>
        <w:topLinePunct w:val="0"/>
        <w:bidi w:val="0"/>
        <w:adjustRightInd/>
        <w:snapToGrid/>
        <w:spacing w:line="360" w:lineRule="auto"/>
        <w:ind w:firstLine="480" w:firstLineChars="200"/>
        <w:rPr>
          <w:rFonts w:hint="default" w:ascii="Times New Roman" w:hAnsi="Times New Roman" w:eastAsia="宋体" w:cs="Times New Roman"/>
          <w:color w:val="auto"/>
          <w:sz w:val="24"/>
          <w:highlight w:val="none"/>
          <w:u w:val="none" w:color="auto"/>
          <w:lang w:val="en-US" w:eastAsia="zh-CN"/>
        </w:rPr>
      </w:pPr>
      <w:r>
        <w:rPr>
          <w:rFonts w:hint="default" w:ascii="Times New Roman" w:hAnsi="Times New Roman" w:eastAsia="宋体" w:cs="Times New Roman"/>
          <w:color w:val="auto"/>
          <w:sz w:val="24"/>
          <w:szCs w:val="22"/>
          <w:highlight w:val="none"/>
          <w:u w:val="none" w:color="auto"/>
          <w:vertAlign w:val="baseline"/>
          <w:lang w:val="en-US" w:eastAsia="zh-CN"/>
        </w:rPr>
        <w:t>根据《建筑设计防火规范》（GB50016-2014）（2018年版）及建设单位提供的设计可知，本厂区各车间（铝锂熔铸车间除外）为联合厂房，其生产类别为丁类，建筑耐火等级为二级，消防水量：室外20L/S，室内15L/S，火灾延续时间2h。铝锂熔铸车间生产类别为甲类，建筑耐火等级为二级，消防水量：室外35L/S，室内不设消火栓，火灾延续时间3h。科研楼消防水量：室外30L/S，室内15L/S，火灾延续时间2h。本项目同一时间内的火灾次数为1次，且按消防废水最大原则计，则按铝锂熔铸车间发生火灾情形计，消防水量35L/S，火灾延续时间3h。经计算，预计一次消防用水约为378m³，消防废水产生量按0.8计，则预计产生消防废水302.4m³，仅占</w:t>
      </w:r>
      <w:r>
        <w:rPr>
          <w:rFonts w:hint="default" w:ascii="Times New Roman" w:hAnsi="Times New Roman" w:eastAsia="宋体" w:cs="Times New Roman"/>
          <w:color w:val="auto"/>
          <w:sz w:val="24"/>
          <w:highlight w:val="none"/>
          <w:u w:val="none" w:color="auto"/>
          <w:lang w:val="en-US" w:eastAsia="zh-CN"/>
        </w:rPr>
        <w:t>城陵矶新港区污水处理厂建设的</w:t>
      </w:r>
      <w:r>
        <w:rPr>
          <w:rFonts w:hint="default" w:ascii="Times New Roman" w:hAnsi="Times New Roman" w:eastAsia="宋体" w:cs="Times New Roman"/>
          <w:color w:val="auto"/>
          <w:sz w:val="24"/>
          <w:szCs w:val="22"/>
          <w:highlight w:val="none"/>
          <w:u w:val="none" w:color="auto"/>
        </w:rPr>
        <w:t>总有效容积</w:t>
      </w:r>
      <w:r>
        <w:rPr>
          <w:rFonts w:hint="default" w:ascii="Times New Roman" w:hAnsi="Times New Roman" w:eastAsia="宋体" w:cs="Times New Roman"/>
          <w:color w:val="auto"/>
          <w:sz w:val="24"/>
          <w:szCs w:val="22"/>
          <w:highlight w:val="none"/>
          <w:u w:val="none" w:color="auto"/>
          <w:lang w:val="en-US" w:eastAsia="zh-CN"/>
        </w:rPr>
        <w:t>的7.56%，因此能够满足</w:t>
      </w:r>
      <w:r>
        <w:rPr>
          <w:rFonts w:hint="default" w:ascii="Times New Roman" w:hAnsi="Times New Roman" w:eastAsia="宋体" w:cs="Times New Roman"/>
          <w:color w:val="auto"/>
          <w:sz w:val="24"/>
          <w:highlight w:val="none"/>
          <w:u w:val="none" w:color="auto"/>
          <w:lang w:val="en-US" w:eastAsia="zh-CN"/>
        </w:rPr>
        <w:t>天然气管道发生火灾爆炸及其他情形产的消防废水。</w:t>
      </w:r>
    </w:p>
    <w:p w14:paraId="2E80E341">
      <w:pPr>
        <w:pStyle w:val="4"/>
        <w:numPr>
          <w:ilvl w:val="1"/>
          <w:numId w:val="0"/>
        </w:numPr>
        <w:spacing w:before="120" w:after="120" w:line="360" w:lineRule="auto"/>
        <w:contextualSpacing/>
        <w:rPr>
          <w:rFonts w:hint="default" w:ascii="Times New Roman" w:hAnsi="Times New Roman" w:eastAsia="宋体" w:cs="Times New Roman"/>
          <w:b/>
          <w:bCs w:val="0"/>
          <w:color w:val="auto"/>
          <w:sz w:val="28"/>
          <w:u w:val="none" w:color="auto"/>
        </w:rPr>
      </w:pPr>
      <w:bookmarkStart w:id="272" w:name="_Toc4212"/>
      <w:bookmarkStart w:id="273" w:name="_Toc21718"/>
      <w:bookmarkStart w:id="274" w:name="_Toc4859"/>
      <w:bookmarkStart w:id="275" w:name="_Toc18531"/>
      <w:r>
        <w:rPr>
          <w:rFonts w:hint="default" w:ascii="Times New Roman" w:hAnsi="Times New Roman" w:eastAsia="宋体" w:cs="Times New Roman"/>
          <w:b/>
          <w:bCs w:val="0"/>
          <w:color w:val="auto"/>
          <w:sz w:val="28"/>
          <w:u w:val="none" w:color="auto"/>
        </w:rPr>
        <w:t>5.3地下水、土壤环境风险影响分析</w:t>
      </w:r>
      <w:bookmarkEnd w:id="272"/>
      <w:bookmarkEnd w:id="273"/>
      <w:bookmarkEnd w:id="274"/>
      <w:bookmarkEnd w:id="275"/>
    </w:p>
    <w:p w14:paraId="019D4003">
      <w:pPr>
        <w:spacing w:line="360" w:lineRule="auto"/>
        <w:ind w:firstLine="480" w:firstLineChars="200"/>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为了杜绝物料等泄漏对土壤及地下水环境质量的影响，根据《中华人民共和国水污染防治法》的相关规范，按照“源头控制、分区防治、污染监控、应急响应”的原则，场地污染防治对策从以下方面考虑：</w:t>
      </w:r>
    </w:p>
    <w:p w14:paraId="22291FA9">
      <w:pPr>
        <w:spacing w:line="360" w:lineRule="auto"/>
        <w:ind w:firstLine="482" w:firstLineChars="200"/>
        <w:outlineLvl w:val="2"/>
        <w:rPr>
          <w:rFonts w:hint="default" w:ascii="Times New Roman" w:hAnsi="Times New Roman" w:eastAsia="宋体" w:cs="Times New Roman"/>
          <w:b/>
          <w:bCs/>
          <w:color w:val="auto"/>
          <w:sz w:val="24"/>
          <w:szCs w:val="24"/>
          <w:u w:val="none" w:color="auto"/>
        </w:rPr>
      </w:pPr>
      <w:bookmarkStart w:id="276" w:name="_Toc3646"/>
      <w:r>
        <w:rPr>
          <w:rFonts w:hint="default" w:ascii="Times New Roman" w:hAnsi="Times New Roman" w:eastAsia="宋体" w:cs="Times New Roman"/>
          <w:b/>
          <w:bCs/>
          <w:color w:val="auto"/>
          <w:sz w:val="24"/>
          <w:szCs w:val="24"/>
          <w:u w:val="none" w:color="auto"/>
        </w:rPr>
        <w:t>5.3.1源头控制措施</w:t>
      </w:r>
      <w:bookmarkEnd w:id="276"/>
    </w:p>
    <w:p w14:paraId="29BA7196">
      <w:pPr>
        <w:spacing w:line="360" w:lineRule="auto"/>
        <w:ind w:firstLine="480" w:firstLineChars="200"/>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①企业应选用先进的生产工艺，减少污染物的排放量。</w:t>
      </w:r>
    </w:p>
    <w:p w14:paraId="3C206013">
      <w:pPr>
        <w:spacing w:line="360" w:lineRule="auto"/>
        <w:ind w:firstLine="480" w:firstLineChars="200"/>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②涉及</w:t>
      </w:r>
      <w:r>
        <w:rPr>
          <w:rFonts w:hint="default" w:ascii="Times New Roman" w:hAnsi="Times New Roman" w:eastAsia="宋体" w:cs="Times New Roman"/>
          <w:color w:val="auto"/>
          <w:sz w:val="24"/>
          <w:szCs w:val="24"/>
          <w:u w:val="none" w:color="auto"/>
          <w:lang w:val="en-US" w:eastAsia="zh-CN"/>
        </w:rPr>
        <w:t>润滑油、液压油等矿物油</w:t>
      </w:r>
      <w:r>
        <w:rPr>
          <w:rFonts w:hint="default" w:ascii="Times New Roman" w:hAnsi="Times New Roman" w:eastAsia="宋体" w:cs="Times New Roman"/>
          <w:color w:val="auto"/>
          <w:sz w:val="24"/>
          <w:szCs w:val="24"/>
          <w:u w:val="none" w:color="auto"/>
        </w:rPr>
        <w:t>物质转移等均应防止污染物的跑、冒、滴、漏。</w:t>
      </w:r>
    </w:p>
    <w:p w14:paraId="012481FF">
      <w:pPr>
        <w:spacing w:line="360" w:lineRule="auto"/>
        <w:ind w:firstLine="480" w:firstLineChars="200"/>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③相应导排水管道和污水暂存、处理设施均具有防渗功能，切断了废水进入地下水的途径。</w:t>
      </w:r>
    </w:p>
    <w:p w14:paraId="33C24FC9">
      <w:pPr>
        <w:spacing w:line="360" w:lineRule="auto"/>
        <w:ind w:firstLine="480" w:firstLineChars="200"/>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④本项目危废暂存间等</w:t>
      </w:r>
      <w:r>
        <w:rPr>
          <w:rFonts w:hint="default" w:ascii="Times New Roman" w:hAnsi="Times New Roman" w:eastAsia="宋体" w:cs="Times New Roman"/>
          <w:color w:val="auto"/>
          <w:sz w:val="24"/>
          <w:szCs w:val="24"/>
          <w:u w:val="none" w:color="auto"/>
          <w:lang w:val="en-US" w:eastAsia="zh-CN"/>
        </w:rPr>
        <w:t>相关区域</w:t>
      </w:r>
      <w:r>
        <w:rPr>
          <w:rFonts w:hint="default" w:ascii="Times New Roman" w:hAnsi="Times New Roman" w:eastAsia="宋体" w:cs="Times New Roman"/>
          <w:color w:val="auto"/>
          <w:sz w:val="24"/>
          <w:szCs w:val="24"/>
          <w:u w:val="none" w:color="auto"/>
        </w:rPr>
        <w:t>均</w:t>
      </w:r>
      <w:r>
        <w:rPr>
          <w:rFonts w:hint="default" w:ascii="Times New Roman" w:hAnsi="Times New Roman" w:eastAsia="宋体" w:cs="Times New Roman"/>
          <w:color w:val="auto"/>
          <w:sz w:val="24"/>
          <w:szCs w:val="24"/>
          <w:u w:val="none" w:color="auto"/>
          <w:lang w:val="en-US" w:eastAsia="zh-CN"/>
        </w:rPr>
        <w:t>需</w:t>
      </w:r>
      <w:r>
        <w:rPr>
          <w:rFonts w:hint="default" w:ascii="Times New Roman" w:hAnsi="Times New Roman" w:eastAsia="宋体" w:cs="Times New Roman"/>
          <w:color w:val="auto"/>
          <w:sz w:val="24"/>
          <w:szCs w:val="24"/>
          <w:u w:val="none" w:color="auto"/>
        </w:rPr>
        <w:t>做防渗防腐处理。</w:t>
      </w:r>
    </w:p>
    <w:p w14:paraId="77D20711">
      <w:pPr>
        <w:spacing w:line="360" w:lineRule="auto"/>
        <w:ind w:firstLine="482" w:firstLineChars="200"/>
        <w:outlineLvl w:val="2"/>
        <w:rPr>
          <w:rFonts w:hint="default" w:ascii="Times New Roman" w:hAnsi="Times New Roman" w:eastAsia="宋体" w:cs="Times New Roman"/>
          <w:b/>
          <w:bCs/>
          <w:color w:val="auto"/>
          <w:sz w:val="24"/>
          <w:szCs w:val="24"/>
          <w:u w:val="none" w:color="auto"/>
        </w:rPr>
      </w:pPr>
      <w:bookmarkStart w:id="277" w:name="_Toc24816"/>
      <w:r>
        <w:rPr>
          <w:rFonts w:hint="default" w:ascii="Times New Roman" w:hAnsi="Times New Roman" w:eastAsia="宋体" w:cs="Times New Roman"/>
          <w:b/>
          <w:bCs/>
          <w:color w:val="auto"/>
          <w:sz w:val="24"/>
          <w:szCs w:val="24"/>
          <w:u w:val="none" w:color="auto"/>
        </w:rPr>
        <w:t>5.3.2分区防治措施</w:t>
      </w:r>
      <w:bookmarkEnd w:id="277"/>
    </w:p>
    <w:p w14:paraId="4E6ED0E6">
      <w:pPr>
        <w:spacing w:line="360" w:lineRule="auto"/>
        <w:ind w:firstLine="480" w:firstLineChars="200"/>
        <w:rPr>
          <w:rFonts w:hint="default" w:ascii="Times New Roman" w:hAnsi="Times New Roman" w:eastAsia="宋体" w:cs="Times New Roman"/>
          <w:color w:val="auto"/>
          <w:kern w:val="24"/>
          <w:sz w:val="24"/>
          <w:szCs w:val="24"/>
          <w:u w:val="none" w:color="auto"/>
        </w:rPr>
      </w:pPr>
      <w:r>
        <w:rPr>
          <w:rFonts w:hint="default" w:ascii="Times New Roman" w:hAnsi="Times New Roman" w:eastAsia="宋体" w:cs="Times New Roman"/>
          <w:color w:val="auto"/>
          <w:sz w:val="24"/>
          <w:szCs w:val="24"/>
          <w:u w:val="none" w:color="auto"/>
        </w:rPr>
        <w:t>项目结合各生产设备、管道、贮存与运输装置、污染物贮存与处理装置、事故应急装置等的布局，根据可能进入地下水环境的各种物料及其他各类污染物的性质、产生量和排放量，</w:t>
      </w:r>
      <w:r>
        <w:rPr>
          <w:rFonts w:hint="default" w:ascii="Times New Roman" w:hAnsi="Times New Roman" w:eastAsia="宋体" w:cs="Times New Roman"/>
          <w:color w:val="auto"/>
          <w:kern w:val="24"/>
          <w:sz w:val="24"/>
          <w:szCs w:val="24"/>
          <w:u w:val="none" w:color="auto"/>
        </w:rPr>
        <w:t>将本项目防渗措施分为三个级别，并对应三个防渗区，即简单防渗区、一般防渗区和重点防渗区。</w:t>
      </w:r>
    </w:p>
    <w:p w14:paraId="27AA97E1">
      <w:pPr>
        <w:spacing w:line="360" w:lineRule="auto"/>
        <w:ind w:firstLine="482" w:firstLineChars="200"/>
        <w:jc w:val="left"/>
        <w:outlineLvl w:val="3"/>
        <w:rPr>
          <w:rFonts w:hint="default" w:ascii="Times New Roman" w:hAnsi="Times New Roman" w:eastAsia="宋体" w:cs="Times New Roman"/>
          <w:b/>
          <w:bCs/>
          <w:color w:val="auto"/>
          <w:kern w:val="24"/>
          <w:sz w:val="24"/>
          <w:szCs w:val="24"/>
          <w:u w:val="none" w:color="auto"/>
        </w:rPr>
      </w:pPr>
      <w:bookmarkStart w:id="278" w:name="_Toc28237"/>
      <w:bookmarkStart w:id="279" w:name="_Toc15579"/>
      <w:r>
        <w:rPr>
          <w:rFonts w:hint="default" w:ascii="Times New Roman" w:hAnsi="Times New Roman" w:eastAsia="宋体" w:cs="Times New Roman"/>
          <w:b/>
          <w:bCs/>
          <w:color w:val="auto"/>
          <w:kern w:val="24"/>
          <w:sz w:val="24"/>
          <w:szCs w:val="24"/>
          <w:u w:val="none" w:color="auto"/>
        </w:rPr>
        <w:t>1、简单防渗区</w:t>
      </w:r>
      <w:bookmarkEnd w:id="278"/>
      <w:bookmarkEnd w:id="279"/>
    </w:p>
    <w:p w14:paraId="486AE6ED">
      <w:pPr>
        <w:spacing w:line="360" w:lineRule="auto"/>
        <w:ind w:firstLine="480" w:firstLineChars="200"/>
        <w:jc w:val="left"/>
        <w:rPr>
          <w:rFonts w:hint="default" w:ascii="Times New Roman" w:hAnsi="Times New Roman" w:eastAsia="宋体" w:cs="Times New Roman"/>
          <w:color w:val="auto"/>
          <w:kern w:val="24"/>
          <w:sz w:val="24"/>
          <w:szCs w:val="24"/>
          <w:u w:val="none" w:color="auto"/>
        </w:rPr>
      </w:pPr>
      <w:r>
        <w:rPr>
          <w:rFonts w:hint="default" w:ascii="Times New Roman" w:hAnsi="Times New Roman" w:eastAsia="宋体" w:cs="Times New Roman"/>
          <w:color w:val="auto"/>
          <w:kern w:val="24"/>
          <w:sz w:val="24"/>
          <w:szCs w:val="24"/>
          <w:u w:val="none" w:color="auto"/>
        </w:rPr>
        <w:t>非污染防治区主要是指没有物料或污染物泄漏，不会对地下水环境造成污染的区域或部位。主要包括成品仓库、办公楼、员工宿舍等。依据《环境影响评价技术导则 地下水环境》（HJ610-2016）给出不同分区的具体防渗技术要求，简单防渗区采取一般地面硬化即可。</w:t>
      </w:r>
    </w:p>
    <w:p w14:paraId="6E7020B6">
      <w:pPr>
        <w:spacing w:line="360" w:lineRule="auto"/>
        <w:ind w:firstLine="482" w:firstLineChars="200"/>
        <w:jc w:val="left"/>
        <w:outlineLvl w:val="3"/>
        <w:rPr>
          <w:rFonts w:hint="default" w:ascii="Times New Roman" w:hAnsi="Times New Roman" w:eastAsia="宋体" w:cs="Times New Roman"/>
          <w:b/>
          <w:bCs/>
          <w:color w:val="auto"/>
          <w:kern w:val="24"/>
          <w:sz w:val="24"/>
          <w:szCs w:val="24"/>
          <w:u w:val="none" w:color="auto"/>
        </w:rPr>
      </w:pPr>
      <w:bookmarkStart w:id="280" w:name="_Toc3332"/>
      <w:bookmarkStart w:id="281" w:name="_Toc2242"/>
      <w:r>
        <w:rPr>
          <w:rFonts w:hint="default" w:ascii="Times New Roman" w:hAnsi="Times New Roman" w:eastAsia="宋体" w:cs="Times New Roman"/>
          <w:b/>
          <w:bCs/>
          <w:color w:val="auto"/>
          <w:kern w:val="24"/>
          <w:sz w:val="24"/>
          <w:szCs w:val="24"/>
          <w:u w:val="none" w:color="auto"/>
        </w:rPr>
        <w:t>2、一般防渗区</w:t>
      </w:r>
      <w:bookmarkEnd w:id="280"/>
      <w:bookmarkEnd w:id="281"/>
    </w:p>
    <w:p w14:paraId="5B99F475">
      <w:pPr>
        <w:spacing w:line="360" w:lineRule="auto"/>
        <w:ind w:firstLine="480" w:firstLineChars="200"/>
        <w:jc w:val="left"/>
        <w:rPr>
          <w:rFonts w:hint="default" w:ascii="Times New Roman" w:hAnsi="Times New Roman" w:eastAsia="宋体" w:cs="Times New Roman"/>
          <w:color w:val="auto"/>
          <w:kern w:val="24"/>
          <w:sz w:val="24"/>
          <w:szCs w:val="24"/>
          <w:u w:val="none" w:color="auto"/>
        </w:rPr>
      </w:pPr>
      <w:r>
        <w:rPr>
          <w:rFonts w:hint="default" w:ascii="Times New Roman" w:hAnsi="Times New Roman" w:eastAsia="宋体" w:cs="Times New Roman"/>
          <w:color w:val="auto"/>
          <w:kern w:val="24"/>
          <w:sz w:val="24"/>
          <w:szCs w:val="24"/>
          <w:u w:val="none" w:color="auto"/>
        </w:rPr>
        <w:t>一般污染防治区主要是指位于地面以上的生产功能单元，污染地下水环境的物料或污染物泄漏后，可及时发现和处理的区域或部位，主要为</w:t>
      </w:r>
      <w:r>
        <w:rPr>
          <w:rFonts w:hint="default" w:ascii="Times New Roman" w:hAnsi="Times New Roman" w:eastAsia="宋体" w:cs="Times New Roman"/>
          <w:color w:val="auto"/>
          <w:kern w:val="24"/>
          <w:sz w:val="24"/>
          <w:szCs w:val="24"/>
          <w:u w:val="none" w:color="auto"/>
          <w:lang w:eastAsia="zh-CN"/>
        </w:rPr>
        <w:t>中创空天厂区</w:t>
      </w:r>
      <w:r>
        <w:rPr>
          <w:rFonts w:hint="default" w:ascii="Times New Roman" w:hAnsi="Times New Roman" w:eastAsia="宋体" w:cs="Times New Roman"/>
          <w:color w:val="auto"/>
          <w:kern w:val="24"/>
          <w:sz w:val="24"/>
          <w:szCs w:val="24"/>
          <w:u w:val="none" w:color="auto"/>
        </w:rPr>
        <w:t>其他生产区、初期雨水池、化粪池、循环水池、原料库等。要求采用防渗的混凝土铺砌，防渗层采用抗渗钢筋混凝土和防水涂料。混凝土防渗层的耐久性应符合现行国家标准《混凝土结构设计规范》（GB50010-2010）的有关规定。依据《环境影响评价技术导则 地下水环境》（HJ610-2016）给出不同分区的具体防渗技术要求，一般防渗区等效黏土防渗层Mb≥1.5m，K≤1×10</w:t>
      </w:r>
      <w:r>
        <w:rPr>
          <w:rFonts w:hint="default" w:ascii="Times New Roman" w:hAnsi="Times New Roman" w:eastAsia="宋体" w:cs="Times New Roman"/>
          <w:color w:val="auto"/>
          <w:kern w:val="24"/>
          <w:sz w:val="24"/>
          <w:szCs w:val="24"/>
          <w:u w:val="none" w:color="auto"/>
          <w:vertAlign w:val="superscript"/>
        </w:rPr>
        <w:t>-7</w:t>
      </w:r>
      <w:r>
        <w:rPr>
          <w:rFonts w:hint="default" w:ascii="Times New Roman" w:hAnsi="Times New Roman" w:eastAsia="宋体" w:cs="Times New Roman"/>
          <w:color w:val="auto"/>
          <w:kern w:val="24"/>
          <w:sz w:val="24"/>
          <w:szCs w:val="24"/>
          <w:u w:val="none" w:color="auto"/>
        </w:rPr>
        <w:t>cm/s；或参照GB16889执行。</w:t>
      </w:r>
    </w:p>
    <w:p w14:paraId="6BEEEC00">
      <w:pPr>
        <w:spacing w:line="360" w:lineRule="auto"/>
        <w:ind w:firstLine="482" w:firstLineChars="200"/>
        <w:jc w:val="left"/>
        <w:outlineLvl w:val="3"/>
        <w:rPr>
          <w:rFonts w:hint="default" w:ascii="Times New Roman" w:hAnsi="Times New Roman" w:eastAsia="宋体" w:cs="Times New Roman"/>
          <w:b/>
          <w:bCs/>
          <w:color w:val="auto"/>
          <w:kern w:val="24"/>
          <w:sz w:val="24"/>
          <w:szCs w:val="24"/>
          <w:u w:val="none" w:color="auto"/>
        </w:rPr>
      </w:pPr>
      <w:bookmarkStart w:id="282" w:name="_Toc13065"/>
      <w:bookmarkStart w:id="283" w:name="_Toc4808"/>
      <w:r>
        <w:rPr>
          <w:rFonts w:hint="default" w:ascii="Times New Roman" w:hAnsi="Times New Roman" w:eastAsia="宋体" w:cs="Times New Roman"/>
          <w:b/>
          <w:bCs/>
          <w:color w:val="auto"/>
          <w:kern w:val="24"/>
          <w:sz w:val="24"/>
          <w:szCs w:val="24"/>
          <w:u w:val="none" w:color="auto"/>
        </w:rPr>
        <w:t>3、重点防渗区</w:t>
      </w:r>
      <w:bookmarkEnd w:id="282"/>
      <w:bookmarkEnd w:id="283"/>
    </w:p>
    <w:p w14:paraId="1EBDE379">
      <w:pPr>
        <w:spacing w:line="360" w:lineRule="auto"/>
        <w:ind w:firstLine="480" w:firstLineChars="200"/>
        <w:jc w:val="left"/>
        <w:rPr>
          <w:rFonts w:hint="default" w:ascii="Times New Roman" w:hAnsi="Times New Roman" w:eastAsia="宋体" w:cs="Times New Roman"/>
          <w:color w:val="auto"/>
          <w:kern w:val="24"/>
          <w:sz w:val="24"/>
          <w:szCs w:val="24"/>
          <w:u w:val="none" w:color="auto"/>
        </w:rPr>
      </w:pPr>
      <w:r>
        <w:rPr>
          <w:rFonts w:hint="default" w:ascii="Times New Roman" w:hAnsi="Times New Roman" w:eastAsia="宋体" w:cs="Times New Roman"/>
          <w:color w:val="auto"/>
          <w:kern w:val="24"/>
          <w:sz w:val="24"/>
          <w:szCs w:val="24"/>
          <w:u w:val="none" w:color="auto"/>
        </w:rPr>
        <w:t>重点污染防治区主要是指位于主要生产功能单元，污染地下水环境的物料或污染物泄漏后，不易及时发现和处理的区域或部位，主要为</w:t>
      </w:r>
      <w:r>
        <w:rPr>
          <w:rFonts w:hint="default" w:ascii="Times New Roman" w:hAnsi="Times New Roman" w:eastAsia="宋体" w:cs="Times New Roman"/>
          <w:color w:val="auto"/>
          <w:kern w:val="24"/>
          <w:sz w:val="24"/>
          <w:szCs w:val="24"/>
          <w:u w:val="none" w:color="auto"/>
          <w:lang w:val="en-US" w:eastAsia="zh-CN"/>
        </w:rPr>
        <w:t>废水处理站</w:t>
      </w:r>
      <w:r>
        <w:rPr>
          <w:rFonts w:hint="default" w:ascii="Times New Roman" w:hAnsi="Times New Roman" w:eastAsia="宋体" w:cs="Times New Roman"/>
          <w:color w:val="auto"/>
          <w:kern w:val="24"/>
          <w:sz w:val="24"/>
          <w:szCs w:val="24"/>
          <w:u w:val="none" w:color="auto"/>
        </w:rPr>
        <w:t>、危废暂存间</w:t>
      </w:r>
      <w:r>
        <w:rPr>
          <w:rFonts w:hint="default" w:ascii="Times New Roman" w:hAnsi="Times New Roman" w:eastAsia="宋体" w:cs="Times New Roman"/>
          <w:color w:val="auto"/>
          <w:kern w:val="24"/>
          <w:sz w:val="24"/>
          <w:szCs w:val="24"/>
          <w:u w:val="none" w:color="auto"/>
          <w:lang w:val="en-US" w:eastAsia="zh-CN"/>
        </w:rPr>
        <w:t>等区域</w:t>
      </w:r>
      <w:r>
        <w:rPr>
          <w:rFonts w:hint="default" w:ascii="Times New Roman" w:hAnsi="Times New Roman" w:eastAsia="宋体" w:cs="Times New Roman"/>
          <w:color w:val="auto"/>
          <w:kern w:val="24"/>
          <w:sz w:val="24"/>
          <w:szCs w:val="24"/>
          <w:u w:val="none" w:color="auto"/>
        </w:rPr>
        <w:t>。</w:t>
      </w:r>
    </w:p>
    <w:p w14:paraId="043A3CB8">
      <w:pPr>
        <w:spacing w:line="360" w:lineRule="auto"/>
        <w:ind w:firstLine="480" w:firstLineChars="200"/>
        <w:jc w:val="left"/>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kern w:val="24"/>
          <w:sz w:val="24"/>
          <w:szCs w:val="24"/>
          <w:u w:val="none" w:color="auto"/>
        </w:rPr>
        <w:t>依据《环境影响评价技术导则 地下水环境》（HJ610-2016）给出的不同分区的具体防渗技术要求，重点防渗区等效黏土防渗层Mb≥6.0m，K≤1×10</w:t>
      </w:r>
      <w:r>
        <w:rPr>
          <w:rFonts w:hint="default" w:ascii="Times New Roman" w:hAnsi="Times New Roman" w:eastAsia="宋体" w:cs="Times New Roman"/>
          <w:color w:val="auto"/>
          <w:kern w:val="24"/>
          <w:sz w:val="24"/>
          <w:szCs w:val="24"/>
          <w:u w:val="none" w:color="auto"/>
          <w:vertAlign w:val="superscript"/>
        </w:rPr>
        <w:t>-7</w:t>
      </w:r>
      <w:r>
        <w:rPr>
          <w:rFonts w:hint="default" w:ascii="Times New Roman" w:hAnsi="Times New Roman" w:eastAsia="宋体" w:cs="Times New Roman"/>
          <w:color w:val="auto"/>
          <w:kern w:val="24"/>
          <w:sz w:val="24"/>
          <w:szCs w:val="24"/>
          <w:u w:val="none" w:color="auto"/>
        </w:rPr>
        <w:t>cm/s；或参照GB18598执行。</w:t>
      </w:r>
    </w:p>
    <w:p w14:paraId="53924F39">
      <w:pPr>
        <w:spacing w:line="360" w:lineRule="auto"/>
        <w:ind w:firstLine="480" w:firstLineChars="200"/>
        <w:rPr>
          <w:rFonts w:hint="default" w:ascii="Times New Roman" w:hAnsi="Times New Roman" w:eastAsia="宋体" w:cs="Times New Roman"/>
          <w:bCs/>
          <w:color w:val="auto"/>
          <w:sz w:val="24"/>
          <w:szCs w:val="24"/>
          <w:u w:val="none" w:color="auto"/>
          <w:lang w:val="zh-CN"/>
        </w:rPr>
      </w:pPr>
      <w:r>
        <w:rPr>
          <w:rFonts w:hint="default" w:ascii="Times New Roman" w:hAnsi="Times New Roman" w:eastAsia="宋体" w:cs="Times New Roman"/>
          <w:bCs/>
          <w:color w:val="auto"/>
          <w:sz w:val="24"/>
          <w:szCs w:val="24"/>
          <w:u w:val="none" w:color="auto"/>
          <w:lang w:val="zh-CN"/>
        </w:rPr>
        <w:t>建设单位在依据本次评价提出的各项分区防渗措施及源头控制措施后，在非正常情况下对地下水和土壤环境影响在场地区域范围内，不会对周边区域地下水环境造成明显影响。</w:t>
      </w:r>
    </w:p>
    <w:p w14:paraId="36961FFC">
      <w:pPr>
        <w:pStyle w:val="4"/>
        <w:numPr>
          <w:ilvl w:val="1"/>
          <w:numId w:val="0"/>
        </w:numPr>
        <w:spacing w:before="120" w:after="120" w:line="360" w:lineRule="auto"/>
        <w:contextualSpacing/>
        <w:rPr>
          <w:rFonts w:hint="default" w:ascii="Times New Roman" w:hAnsi="Times New Roman" w:eastAsia="宋体" w:cs="Times New Roman"/>
          <w:b/>
          <w:bCs w:val="0"/>
          <w:color w:val="auto"/>
          <w:sz w:val="28"/>
          <w:u w:val="none" w:color="auto"/>
        </w:rPr>
      </w:pPr>
      <w:bookmarkStart w:id="284" w:name="_Toc17264"/>
      <w:bookmarkStart w:id="285" w:name="_Toc29556"/>
      <w:bookmarkStart w:id="286" w:name="_Toc31671"/>
      <w:bookmarkStart w:id="287" w:name="_Toc23469"/>
      <w:r>
        <w:rPr>
          <w:rFonts w:hint="default" w:ascii="Times New Roman" w:hAnsi="Times New Roman" w:eastAsia="宋体" w:cs="Times New Roman"/>
          <w:b/>
          <w:bCs w:val="0"/>
          <w:color w:val="auto"/>
          <w:sz w:val="28"/>
          <w:u w:val="none" w:color="auto"/>
        </w:rPr>
        <w:t>5.4危险废物暂存场所的风险分析</w:t>
      </w:r>
      <w:bookmarkEnd w:id="284"/>
      <w:bookmarkEnd w:id="285"/>
      <w:bookmarkEnd w:id="286"/>
      <w:bookmarkEnd w:id="287"/>
    </w:p>
    <w:p w14:paraId="379291B7">
      <w:pPr>
        <w:spacing w:line="360" w:lineRule="auto"/>
        <w:ind w:firstLine="480" w:firstLineChars="200"/>
        <w:rPr>
          <w:rFonts w:hint="default" w:ascii="Times New Roman" w:hAnsi="Times New Roman" w:eastAsia="宋体" w:cs="Times New Roman"/>
          <w:color w:val="auto"/>
          <w:sz w:val="24"/>
          <w:u w:val="none" w:color="auto"/>
        </w:rPr>
      </w:pPr>
      <w:r>
        <w:rPr>
          <w:rFonts w:hint="default" w:ascii="Times New Roman" w:hAnsi="Times New Roman" w:eastAsia="宋体" w:cs="Times New Roman"/>
          <w:color w:val="auto"/>
          <w:sz w:val="24"/>
          <w:u w:val="none" w:color="auto"/>
        </w:rPr>
        <w:t>评价要求企业按</w:t>
      </w:r>
      <w:r>
        <w:rPr>
          <w:rFonts w:hint="default" w:ascii="Times New Roman" w:hAnsi="Times New Roman" w:eastAsia="宋体" w:cs="Times New Roman"/>
          <w:color w:val="auto"/>
          <w:kern w:val="24"/>
          <w:sz w:val="24"/>
          <w:szCs w:val="24"/>
          <w:u w:val="none" w:color="auto"/>
        </w:rPr>
        <w:t>《危险废物贮存污染控制标准》</w:t>
      </w:r>
      <w:r>
        <w:rPr>
          <w:rFonts w:hint="default" w:ascii="Times New Roman" w:hAnsi="Times New Roman" w:eastAsia="宋体" w:cs="Times New Roman"/>
          <w:color w:val="auto"/>
          <w:kern w:val="0"/>
          <w:sz w:val="24"/>
          <w:u w:val="none" w:color="auto"/>
        </w:rPr>
        <w:t>（G18597-2023）</w:t>
      </w:r>
      <w:r>
        <w:rPr>
          <w:rFonts w:hint="default" w:ascii="Times New Roman" w:hAnsi="Times New Roman" w:eastAsia="宋体" w:cs="Times New Roman"/>
          <w:color w:val="auto"/>
          <w:kern w:val="24"/>
          <w:sz w:val="24"/>
          <w:szCs w:val="24"/>
          <w:u w:val="none" w:color="auto"/>
        </w:rPr>
        <w:t>的要求</w:t>
      </w:r>
      <w:r>
        <w:rPr>
          <w:rFonts w:hint="default" w:ascii="Times New Roman" w:hAnsi="Times New Roman" w:eastAsia="宋体" w:cs="Times New Roman"/>
          <w:color w:val="auto"/>
          <w:sz w:val="24"/>
          <w:u w:val="none" w:color="auto"/>
        </w:rPr>
        <w:t>规范设置专门收集容器和专门的储存场所，储存场所采取表面防渗、液体泄漏堵截设施等措施，收集的危险废物均委托有资质单位专门收运和处置。根据同类企业危险废物储存场的运营调查，在采取以上措施后很难发生危险废弃物泄漏和污染事故。</w:t>
      </w:r>
    </w:p>
    <w:p w14:paraId="7530857E">
      <w:pPr>
        <w:pStyle w:val="3"/>
        <w:snapToGrid/>
        <w:ind w:left="0" w:firstLine="0"/>
        <w:rPr>
          <w:rFonts w:hint="default" w:ascii="Times New Roman" w:hAnsi="Times New Roman" w:eastAsia="宋体" w:cs="Times New Roman"/>
          <w:color w:val="auto"/>
          <w:szCs w:val="28"/>
          <w:u w:val="none" w:color="auto"/>
        </w:rPr>
      </w:pPr>
      <w:bookmarkStart w:id="288" w:name="_Toc3318"/>
      <w:bookmarkStart w:id="289" w:name="_Toc9321"/>
      <w:bookmarkStart w:id="290" w:name="_Toc20517"/>
      <w:bookmarkStart w:id="291" w:name="_Toc5443"/>
      <w:bookmarkStart w:id="292" w:name="_Toc2963"/>
      <w:bookmarkStart w:id="293" w:name="_Toc7720"/>
      <w:bookmarkStart w:id="294" w:name="_Toc30855"/>
      <w:r>
        <w:rPr>
          <w:rFonts w:hint="default" w:ascii="Times New Roman" w:hAnsi="Times New Roman" w:eastAsia="宋体" w:cs="Times New Roman"/>
          <w:color w:val="auto"/>
          <w:szCs w:val="28"/>
          <w:u w:val="none" w:color="auto"/>
        </w:rPr>
        <w:br w:type="page"/>
      </w:r>
      <w:bookmarkStart w:id="295" w:name="_Toc23589"/>
      <w:bookmarkStart w:id="296" w:name="_Toc4539"/>
      <w:bookmarkStart w:id="297" w:name="_Toc28037"/>
      <w:bookmarkStart w:id="298" w:name="_Toc18201"/>
      <w:bookmarkStart w:id="299" w:name="_Toc12907"/>
      <w:bookmarkStart w:id="300" w:name="_Toc30972"/>
      <w:r>
        <w:rPr>
          <w:rFonts w:hint="default" w:ascii="Times New Roman" w:hAnsi="Times New Roman" w:eastAsia="宋体" w:cs="Times New Roman"/>
          <w:color w:val="auto"/>
          <w:kern w:val="2"/>
          <w:sz w:val="32"/>
          <w:szCs w:val="32"/>
          <w:u w:val="none" w:color="auto"/>
        </w:rPr>
        <w:t>6环境风险防范措施</w:t>
      </w:r>
      <w:bookmarkEnd w:id="288"/>
      <w:bookmarkEnd w:id="289"/>
      <w:bookmarkEnd w:id="290"/>
      <w:bookmarkEnd w:id="291"/>
      <w:bookmarkEnd w:id="292"/>
      <w:bookmarkEnd w:id="293"/>
      <w:bookmarkEnd w:id="294"/>
      <w:bookmarkEnd w:id="295"/>
      <w:bookmarkEnd w:id="296"/>
      <w:bookmarkEnd w:id="297"/>
      <w:bookmarkEnd w:id="298"/>
      <w:bookmarkEnd w:id="299"/>
      <w:bookmarkEnd w:id="300"/>
    </w:p>
    <w:p w14:paraId="33E7F6C8">
      <w:pPr>
        <w:spacing w:line="360" w:lineRule="auto"/>
        <w:ind w:firstLine="480" w:firstLineChars="200"/>
        <w:rPr>
          <w:rFonts w:hint="default" w:ascii="Times New Roman" w:hAnsi="Times New Roman" w:eastAsia="宋体" w:cs="Times New Roman"/>
          <w:color w:val="auto"/>
          <w:sz w:val="24"/>
          <w:u w:val="none" w:color="auto"/>
        </w:rPr>
      </w:pPr>
      <w:r>
        <w:rPr>
          <w:rFonts w:hint="default" w:ascii="Times New Roman" w:hAnsi="Times New Roman" w:eastAsia="宋体" w:cs="Times New Roman"/>
          <w:bCs/>
          <w:color w:val="auto"/>
          <w:sz w:val="24"/>
          <w:szCs w:val="24"/>
          <w:u w:val="none" w:color="auto"/>
          <w:lang w:eastAsia="zh-TW"/>
        </w:rPr>
        <w:t>为使本项目环境风险减小到最低限度</w:t>
      </w:r>
      <w:r>
        <w:rPr>
          <w:rFonts w:hint="default" w:ascii="Times New Roman" w:hAnsi="Times New Roman" w:eastAsia="宋体" w:cs="Times New Roman"/>
          <w:bCs/>
          <w:color w:val="auto"/>
          <w:sz w:val="24"/>
          <w:szCs w:val="24"/>
          <w:u w:val="none" w:color="auto"/>
        </w:rPr>
        <w:t>，</w:t>
      </w:r>
      <w:r>
        <w:rPr>
          <w:rFonts w:hint="default" w:ascii="Times New Roman" w:hAnsi="Times New Roman" w:eastAsia="宋体" w:cs="Times New Roman"/>
          <w:bCs/>
          <w:color w:val="auto"/>
          <w:sz w:val="24"/>
          <w:szCs w:val="24"/>
          <w:u w:val="none" w:color="auto"/>
          <w:lang w:eastAsia="zh-TW"/>
        </w:rPr>
        <w:t>必须加强安全环保管理</w:t>
      </w:r>
      <w:r>
        <w:rPr>
          <w:rFonts w:hint="default" w:ascii="Times New Roman" w:hAnsi="Times New Roman" w:eastAsia="宋体" w:cs="Times New Roman"/>
          <w:bCs/>
          <w:color w:val="auto"/>
          <w:sz w:val="24"/>
          <w:szCs w:val="24"/>
          <w:u w:val="none" w:color="auto"/>
        </w:rPr>
        <w:t>，</w:t>
      </w:r>
      <w:r>
        <w:rPr>
          <w:rFonts w:hint="default" w:ascii="Times New Roman" w:hAnsi="Times New Roman" w:eastAsia="宋体" w:cs="Times New Roman"/>
          <w:bCs/>
          <w:color w:val="auto"/>
          <w:sz w:val="24"/>
          <w:szCs w:val="24"/>
          <w:u w:val="none" w:color="auto"/>
          <w:lang w:eastAsia="zh-TW"/>
        </w:rPr>
        <w:t>制定完备、有效的安全环保防范措施</w:t>
      </w:r>
      <w:r>
        <w:rPr>
          <w:rFonts w:hint="default" w:ascii="Times New Roman" w:hAnsi="Times New Roman" w:eastAsia="宋体" w:cs="Times New Roman"/>
          <w:bCs/>
          <w:color w:val="auto"/>
          <w:sz w:val="24"/>
          <w:szCs w:val="24"/>
          <w:u w:val="none" w:color="auto"/>
        </w:rPr>
        <w:t>，</w:t>
      </w:r>
      <w:r>
        <w:rPr>
          <w:rFonts w:hint="default" w:ascii="Times New Roman" w:hAnsi="Times New Roman" w:eastAsia="宋体" w:cs="Times New Roman"/>
          <w:bCs/>
          <w:color w:val="auto"/>
          <w:sz w:val="24"/>
          <w:szCs w:val="24"/>
          <w:u w:val="none" w:color="auto"/>
          <w:lang w:eastAsia="zh-TW"/>
        </w:rPr>
        <w:t>尽可能降低</w:t>
      </w:r>
      <w:r>
        <w:rPr>
          <w:rFonts w:hint="default" w:ascii="Times New Roman" w:hAnsi="Times New Roman" w:eastAsia="宋体" w:cs="Times New Roman"/>
          <w:bCs/>
          <w:color w:val="auto"/>
          <w:sz w:val="24"/>
          <w:szCs w:val="24"/>
          <w:u w:val="none" w:color="auto"/>
        </w:rPr>
        <w:t>环境风险</w:t>
      </w:r>
      <w:r>
        <w:rPr>
          <w:rFonts w:hint="default" w:ascii="Times New Roman" w:hAnsi="Times New Roman" w:eastAsia="宋体" w:cs="Times New Roman"/>
          <w:bCs/>
          <w:color w:val="auto"/>
          <w:sz w:val="24"/>
          <w:szCs w:val="24"/>
          <w:u w:val="none" w:color="auto"/>
          <w:lang w:eastAsia="zh-TW"/>
        </w:rPr>
        <w:t>事故发生的概率。</w:t>
      </w:r>
    </w:p>
    <w:p w14:paraId="1E72017E">
      <w:pPr>
        <w:pStyle w:val="4"/>
        <w:numPr>
          <w:ilvl w:val="1"/>
          <w:numId w:val="0"/>
        </w:numPr>
        <w:spacing w:before="120" w:after="120" w:line="360" w:lineRule="auto"/>
        <w:contextualSpacing/>
        <w:rPr>
          <w:rFonts w:hint="default" w:ascii="Times New Roman" w:hAnsi="Times New Roman" w:eastAsia="宋体" w:cs="Times New Roman"/>
          <w:b/>
          <w:bCs w:val="0"/>
          <w:color w:val="auto"/>
          <w:sz w:val="28"/>
          <w:u w:val="none" w:color="auto"/>
        </w:rPr>
      </w:pPr>
      <w:bookmarkStart w:id="301" w:name="_Toc28805"/>
      <w:bookmarkStart w:id="302" w:name="_Toc32455"/>
      <w:bookmarkStart w:id="303" w:name="_Toc22842"/>
      <w:bookmarkStart w:id="304" w:name="_Toc9925"/>
      <w:r>
        <w:rPr>
          <w:rFonts w:hint="default" w:ascii="Times New Roman" w:hAnsi="Times New Roman" w:eastAsia="宋体" w:cs="Times New Roman"/>
          <w:b/>
          <w:bCs w:val="0"/>
          <w:color w:val="auto"/>
          <w:sz w:val="28"/>
          <w:u w:val="none" w:color="auto"/>
        </w:rPr>
        <w:t>6.1大气风险事故风险防范措施</w:t>
      </w:r>
      <w:bookmarkEnd w:id="301"/>
      <w:bookmarkEnd w:id="302"/>
      <w:bookmarkEnd w:id="303"/>
      <w:bookmarkEnd w:id="304"/>
    </w:p>
    <w:p w14:paraId="5E3F81D0">
      <w:pPr>
        <w:spacing w:line="360" w:lineRule="auto"/>
        <w:ind w:firstLine="480" w:firstLineChars="200"/>
        <w:rPr>
          <w:rFonts w:hint="default" w:ascii="Times New Roman" w:hAnsi="Times New Roman" w:eastAsia="宋体" w:cs="Times New Roman"/>
          <w:bCs/>
          <w:color w:val="auto"/>
          <w:sz w:val="24"/>
          <w:szCs w:val="24"/>
          <w:u w:val="none" w:color="auto"/>
        </w:rPr>
      </w:pPr>
      <w:r>
        <w:rPr>
          <w:rFonts w:hint="default" w:ascii="Times New Roman" w:hAnsi="Times New Roman" w:eastAsia="宋体" w:cs="Times New Roman"/>
          <w:bCs/>
          <w:color w:val="auto"/>
          <w:sz w:val="24"/>
          <w:szCs w:val="24"/>
          <w:u w:val="none" w:color="auto"/>
        </w:rPr>
        <w:t>本项目大气风险事故主要为</w:t>
      </w:r>
      <w:r>
        <w:rPr>
          <w:rFonts w:hint="default" w:ascii="Times New Roman" w:hAnsi="Times New Roman" w:eastAsia="宋体" w:cs="Times New Roman"/>
          <w:bCs/>
          <w:color w:val="auto"/>
          <w:sz w:val="24"/>
          <w:szCs w:val="24"/>
          <w:u w:val="none" w:color="auto"/>
          <w:lang w:val="en-US" w:eastAsia="zh-CN"/>
        </w:rPr>
        <w:t>TA010、TA011</w:t>
      </w:r>
      <w:r>
        <w:rPr>
          <w:rFonts w:hint="default" w:ascii="Times New Roman" w:hAnsi="Times New Roman" w:eastAsia="宋体" w:cs="Times New Roman"/>
          <w:bCs/>
          <w:color w:val="auto"/>
          <w:sz w:val="24"/>
          <w:szCs w:val="24"/>
          <w:u w:val="none" w:color="auto"/>
        </w:rPr>
        <w:t>废气处理系统失效，导致废气超标排放，对下风向敏感点影响较大，因此本次评价要求采取如下风险防范措施：</w:t>
      </w:r>
    </w:p>
    <w:p w14:paraId="6BE21400">
      <w:pPr>
        <w:numPr>
          <w:ilvl w:val="0"/>
          <w:numId w:val="15"/>
        </w:numPr>
        <w:spacing w:line="360" w:lineRule="auto"/>
        <w:ind w:firstLine="480" w:firstLineChars="200"/>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bCs/>
          <w:color w:val="auto"/>
          <w:sz w:val="24"/>
          <w:szCs w:val="24"/>
          <w:u w:val="none" w:color="auto"/>
        </w:rPr>
        <w:t>加强生产管理，树立环境保护意识，操作人员上岗前必须经过培训。</w:t>
      </w:r>
    </w:p>
    <w:p w14:paraId="054FB95E">
      <w:pPr>
        <w:numPr>
          <w:ilvl w:val="0"/>
          <w:numId w:val="15"/>
        </w:numPr>
        <w:spacing w:line="360" w:lineRule="auto"/>
        <w:ind w:firstLine="480" w:firstLineChars="200"/>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bCs/>
          <w:color w:val="auto"/>
          <w:sz w:val="24"/>
          <w:szCs w:val="24"/>
          <w:u w:val="none" w:color="auto"/>
        </w:rPr>
        <w:t>企业环保部门负责对废气处理装置定期巡查，当设备出现异常时，应立即停止相关车间的生产，并通知设备部对废气处理装置进行检修，正常后方可开启工作。</w:t>
      </w:r>
    </w:p>
    <w:p w14:paraId="4EBA22D9">
      <w:pPr>
        <w:numPr>
          <w:ilvl w:val="0"/>
          <w:numId w:val="15"/>
        </w:numPr>
        <w:spacing w:line="360" w:lineRule="auto"/>
        <w:ind w:firstLine="480" w:firstLineChars="200"/>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将</w:t>
      </w:r>
      <w:r>
        <w:rPr>
          <w:rFonts w:hint="default" w:ascii="Times New Roman" w:hAnsi="Times New Roman" w:eastAsia="宋体" w:cs="Times New Roman"/>
          <w:bCs/>
          <w:color w:val="auto"/>
          <w:sz w:val="24"/>
          <w:szCs w:val="24"/>
          <w:u w:val="none" w:color="auto"/>
          <w:lang w:val="en-US" w:eastAsia="zh-CN"/>
        </w:rPr>
        <w:t>TA010、TA011</w:t>
      </w:r>
      <w:r>
        <w:rPr>
          <w:rFonts w:hint="default" w:ascii="Times New Roman" w:hAnsi="Times New Roman" w:eastAsia="宋体" w:cs="Times New Roman"/>
          <w:color w:val="auto"/>
          <w:sz w:val="24"/>
          <w:szCs w:val="24"/>
          <w:u w:val="none" w:color="auto"/>
        </w:rPr>
        <w:t>废气处理系统与</w:t>
      </w:r>
      <w:r>
        <w:rPr>
          <w:rFonts w:hint="default" w:ascii="Times New Roman" w:hAnsi="Times New Roman" w:eastAsia="宋体" w:cs="Times New Roman"/>
          <w:color w:val="auto"/>
          <w:sz w:val="24"/>
          <w:szCs w:val="24"/>
          <w:u w:val="none" w:color="auto"/>
          <w:lang w:val="en-US" w:eastAsia="zh-CN"/>
        </w:rPr>
        <w:t>生产</w:t>
      </w:r>
      <w:r>
        <w:rPr>
          <w:rFonts w:hint="default" w:ascii="Times New Roman" w:hAnsi="Times New Roman" w:eastAsia="宋体" w:cs="Times New Roman"/>
          <w:color w:val="auto"/>
          <w:sz w:val="24"/>
          <w:szCs w:val="24"/>
          <w:u w:val="none" w:color="auto"/>
        </w:rPr>
        <w:t>装置连通，出现故障时自动停止生产，将事故排放时长降低到最低。</w:t>
      </w:r>
    </w:p>
    <w:p w14:paraId="5F3B7DC1">
      <w:pPr>
        <w:spacing w:line="360" w:lineRule="auto"/>
        <w:ind w:firstLine="480" w:firstLineChars="200"/>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在采取上述风险防范措施后，可及时发现废气处理设施故障，并进行维护保养修复，做到达标排放。</w:t>
      </w:r>
    </w:p>
    <w:p w14:paraId="28A3C261">
      <w:pPr>
        <w:pStyle w:val="4"/>
        <w:numPr>
          <w:ilvl w:val="1"/>
          <w:numId w:val="0"/>
        </w:numPr>
        <w:spacing w:before="120" w:after="120" w:line="360" w:lineRule="auto"/>
        <w:contextualSpacing/>
        <w:rPr>
          <w:rFonts w:hint="default" w:ascii="Times New Roman" w:hAnsi="Times New Roman" w:eastAsia="宋体" w:cs="Times New Roman"/>
          <w:b/>
          <w:bCs w:val="0"/>
          <w:color w:val="auto"/>
          <w:sz w:val="28"/>
          <w:u w:val="none" w:color="auto"/>
        </w:rPr>
      </w:pPr>
      <w:bookmarkStart w:id="305" w:name="_Toc3569"/>
      <w:bookmarkStart w:id="306" w:name="_Toc27153"/>
      <w:bookmarkStart w:id="307" w:name="_Toc11496"/>
      <w:bookmarkStart w:id="308" w:name="_Toc26039"/>
      <w:r>
        <w:rPr>
          <w:rFonts w:hint="default" w:ascii="Times New Roman" w:hAnsi="Times New Roman" w:eastAsia="宋体" w:cs="Times New Roman"/>
          <w:b/>
          <w:bCs w:val="0"/>
          <w:color w:val="auto"/>
          <w:sz w:val="28"/>
          <w:u w:val="none" w:color="auto"/>
        </w:rPr>
        <w:t>6.2地下水、土壤风险事故风险防范措施</w:t>
      </w:r>
      <w:bookmarkEnd w:id="305"/>
      <w:bookmarkEnd w:id="306"/>
      <w:bookmarkEnd w:id="307"/>
      <w:bookmarkEnd w:id="308"/>
    </w:p>
    <w:p w14:paraId="26A74C4A">
      <w:pPr>
        <w:spacing w:line="360" w:lineRule="auto"/>
        <w:ind w:firstLine="480" w:firstLineChars="200"/>
        <w:rPr>
          <w:rFonts w:hint="default" w:ascii="Times New Roman" w:hAnsi="Times New Roman" w:eastAsia="宋体" w:cs="Times New Roman"/>
          <w:color w:val="auto"/>
          <w:sz w:val="24"/>
          <w:szCs w:val="22"/>
          <w:u w:val="none" w:color="auto"/>
        </w:rPr>
      </w:pPr>
      <w:r>
        <w:rPr>
          <w:rFonts w:hint="default" w:ascii="Times New Roman" w:hAnsi="Times New Roman" w:eastAsia="宋体" w:cs="Times New Roman"/>
          <w:color w:val="auto"/>
          <w:sz w:val="24"/>
          <w:szCs w:val="22"/>
          <w:u w:val="none" w:color="auto"/>
        </w:rPr>
        <w:t>本次评价鉴于地下水、土壤风险事故具有往往难于发现、隐蔽性强等特点，故要求采取如下地下水、土壤风险防范措施：</w:t>
      </w:r>
    </w:p>
    <w:p w14:paraId="1CBB4F1A">
      <w:pPr>
        <w:spacing w:line="360" w:lineRule="auto"/>
        <w:ind w:firstLine="480" w:firstLineChars="200"/>
        <w:rPr>
          <w:rFonts w:hint="default" w:ascii="Times New Roman" w:hAnsi="Times New Roman" w:eastAsia="宋体" w:cs="Times New Roman"/>
          <w:color w:val="auto"/>
          <w:sz w:val="24"/>
          <w:szCs w:val="22"/>
          <w:u w:val="none" w:color="auto"/>
        </w:rPr>
      </w:pPr>
      <w:r>
        <w:rPr>
          <w:rFonts w:hint="default" w:ascii="Times New Roman" w:hAnsi="Times New Roman" w:eastAsia="宋体" w:cs="Times New Roman"/>
          <w:color w:val="auto"/>
          <w:sz w:val="24"/>
          <w:szCs w:val="22"/>
          <w:u w:val="none" w:color="auto"/>
        </w:rPr>
        <w:t>（1）重点采取源头控制和分区防渗措施，加强环境的监控、预警，提出事故应急减缓措施。</w:t>
      </w:r>
    </w:p>
    <w:p w14:paraId="0A7AD067">
      <w:pPr>
        <w:spacing w:line="360" w:lineRule="auto"/>
        <w:ind w:firstLine="480" w:firstLineChars="200"/>
        <w:rPr>
          <w:rFonts w:hint="default" w:ascii="Times New Roman" w:hAnsi="Times New Roman" w:eastAsia="宋体" w:cs="Times New Roman"/>
          <w:color w:val="auto"/>
          <w:sz w:val="24"/>
          <w:szCs w:val="22"/>
          <w:u w:val="none" w:color="auto"/>
        </w:rPr>
      </w:pPr>
      <w:r>
        <w:rPr>
          <w:rFonts w:hint="default" w:ascii="Times New Roman" w:hAnsi="Times New Roman" w:eastAsia="宋体" w:cs="Times New Roman"/>
          <w:color w:val="auto"/>
          <w:sz w:val="24"/>
          <w:szCs w:val="22"/>
          <w:u w:val="none" w:color="auto"/>
        </w:rPr>
        <w:t>（2）针对主要风险源，提出设立风险监控、自动报警监控设施及应急监测系统，实现事故预警和快速应急监测、跟踪，提出应急物资、人员等的管理要求。</w:t>
      </w:r>
    </w:p>
    <w:p w14:paraId="19F03F61">
      <w:pPr>
        <w:spacing w:line="360" w:lineRule="auto"/>
        <w:ind w:firstLine="480" w:firstLineChars="200"/>
        <w:rPr>
          <w:rFonts w:hint="default" w:ascii="Times New Roman" w:hAnsi="Times New Roman" w:eastAsia="宋体" w:cs="Times New Roman"/>
          <w:color w:val="auto"/>
          <w:sz w:val="24"/>
          <w:szCs w:val="22"/>
          <w:u w:val="none" w:color="auto"/>
        </w:rPr>
      </w:pPr>
      <w:r>
        <w:rPr>
          <w:rFonts w:hint="default" w:ascii="Times New Roman" w:hAnsi="Times New Roman" w:eastAsia="宋体" w:cs="Times New Roman"/>
          <w:color w:val="auto"/>
          <w:sz w:val="24"/>
          <w:szCs w:val="22"/>
          <w:u w:val="none" w:color="auto"/>
        </w:rPr>
        <w:t>（3）罐区设置围堰、截流沟；定期对分区防渗措施进行排查，特别是对厂区内重点防渗区的排查，并建立排查档案。</w:t>
      </w:r>
    </w:p>
    <w:p w14:paraId="1001B674">
      <w:pPr>
        <w:pStyle w:val="4"/>
        <w:numPr>
          <w:ilvl w:val="1"/>
          <w:numId w:val="0"/>
        </w:numPr>
        <w:spacing w:before="120" w:after="120" w:line="360" w:lineRule="auto"/>
        <w:contextualSpacing/>
        <w:rPr>
          <w:rFonts w:hint="default" w:ascii="Times New Roman" w:hAnsi="Times New Roman" w:eastAsia="宋体" w:cs="Times New Roman"/>
          <w:b/>
          <w:bCs w:val="0"/>
          <w:color w:val="auto"/>
          <w:sz w:val="28"/>
          <w:u w:val="none" w:color="auto"/>
        </w:rPr>
      </w:pPr>
      <w:bookmarkStart w:id="309" w:name="_Toc4694"/>
      <w:bookmarkStart w:id="310" w:name="_Toc21093"/>
      <w:bookmarkStart w:id="311" w:name="_Toc7175"/>
      <w:bookmarkStart w:id="312" w:name="_Toc22641"/>
      <w:r>
        <w:rPr>
          <w:rFonts w:hint="default" w:ascii="Times New Roman" w:hAnsi="Times New Roman" w:eastAsia="宋体" w:cs="Times New Roman"/>
          <w:b/>
          <w:bCs w:val="0"/>
          <w:color w:val="auto"/>
          <w:sz w:val="28"/>
          <w:u w:val="none" w:color="auto"/>
        </w:rPr>
        <w:t>6.3事故废水环境风险防范措施</w:t>
      </w:r>
      <w:bookmarkEnd w:id="309"/>
      <w:bookmarkEnd w:id="310"/>
      <w:bookmarkEnd w:id="311"/>
      <w:bookmarkEnd w:id="312"/>
    </w:p>
    <w:p w14:paraId="049CD45C">
      <w:pPr>
        <w:topLinePunct w:val="0"/>
        <w:bidi w:val="0"/>
        <w:adjustRightInd/>
        <w:snapToGrid/>
        <w:spacing w:line="360" w:lineRule="auto"/>
        <w:ind w:firstLine="480" w:firstLineChars="200"/>
        <w:rPr>
          <w:rFonts w:hint="default" w:ascii="Times New Roman" w:hAnsi="Times New Roman" w:eastAsia="宋体" w:cs="Times New Roman"/>
          <w:color w:val="auto"/>
          <w:sz w:val="24"/>
          <w:highlight w:val="none"/>
          <w:u w:val="none" w:color="auto"/>
          <w:lang w:val="en-US" w:eastAsia="zh-CN"/>
        </w:rPr>
      </w:pPr>
      <w:r>
        <w:rPr>
          <w:rFonts w:hint="default" w:ascii="Times New Roman" w:hAnsi="Times New Roman" w:eastAsia="宋体" w:cs="Times New Roman"/>
          <w:color w:val="auto"/>
          <w:sz w:val="24"/>
          <w:highlight w:val="none"/>
          <w:u w:val="none" w:color="auto"/>
          <w:lang w:val="en-US" w:eastAsia="zh-TW"/>
        </w:rPr>
        <w:t>厂区事故废水主要来源：</w:t>
      </w:r>
      <w:r>
        <w:rPr>
          <w:rFonts w:hint="default" w:ascii="Times New Roman" w:hAnsi="Times New Roman" w:eastAsia="宋体" w:cs="Times New Roman"/>
          <w:color w:val="auto"/>
          <w:sz w:val="24"/>
          <w:highlight w:val="none"/>
          <w:u w:val="none" w:color="auto"/>
          <w:lang w:val="en-US" w:eastAsia="zh-CN"/>
        </w:rPr>
        <w:t>润滑油和液压油等储存桶发生的泄漏和火灾事故导致的少量消防废水，以及天然气管道发生火灾爆炸及其他情形产生的消防废水。</w:t>
      </w:r>
    </w:p>
    <w:p w14:paraId="2D71FD47">
      <w:pPr>
        <w:topLinePunct w:val="0"/>
        <w:bidi w:val="0"/>
        <w:adjustRightInd/>
        <w:snapToGrid/>
        <w:spacing w:line="360" w:lineRule="auto"/>
        <w:ind w:firstLine="480" w:firstLineChars="200"/>
        <w:rPr>
          <w:rFonts w:hint="default" w:ascii="Times New Roman" w:hAnsi="Times New Roman" w:eastAsia="宋体" w:cs="Times New Roman"/>
          <w:color w:val="auto"/>
          <w:sz w:val="24"/>
          <w:highlight w:val="none"/>
          <w:u w:val="none" w:color="auto"/>
          <w:lang w:val="en-US" w:eastAsia="zh-TW"/>
        </w:rPr>
      </w:pPr>
      <w:r>
        <w:rPr>
          <w:rFonts w:hint="default" w:ascii="Times New Roman" w:hAnsi="Times New Roman" w:eastAsia="宋体" w:cs="Times New Roman"/>
          <w:color w:val="auto"/>
          <w:sz w:val="24"/>
          <w:highlight w:val="none"/>
          <w:u w:val="none" w:color="auto"/>
          <w:lang w:val="en-US" w:eastAsia="zh-CN"/>
        </w:rPr>
        <w:t>润滑油和液压油等储存桶发生的泄漏和火灾事故导致的少量消防废水，</w:t>
      </w:r>
      <w:r>
        <w:rPr>
          <w:rFonts w:hint="default" w:ascii="Times New Roman" w:hAnsi="Times New Roman" w:eastAsia="宋体" w:cs="Times New Roman"/>
          <w:color w:val="auto"/>
          <w:sz w:val="24"/>
          <w:highlight w:val="none"/>
          <w:u w:val="none" w:color="auto"/>
          <w:lang w:val="en-US" w:eastAsia="zh-TW"/>
        </w:rPr>
        <w:t>通过收集管网</w:t>
      </w:r>
      <w:r>
        <w:rPr>
          <w:rFonts w:hint="default" w:ascii="Times New Roman" w:hAnsi="Times New Roman" w:eastAsia="宋体" w:cs="Times New Roman"/>
          <w:color w:val="auto"/>
          <w:sz w:val="24"/>
          <w:highlight w:val="none"/>
          <w:u w:val="none" w:color="auto"/>
          <w:lang w:val="en-US" w:eastAsia="zh-CN"/>
        </w:rPr>
        <w:t>（事故水收集系统）</w:t>
      </w:r>
      <w:r>
        <w:rPr>
          <w:rFonts w:hint="default" w:ascii="Times New Roman" w:hAnsi="Times New Roman" w:eastAsia="宋体" w:cs="Times New Roman"/>
          <w:color w:val="auto"/>
          <w:sz w:val="24"/>
          <w:highlight w:val="none"/>
          <w:u w:val="none" w:color="auto"/>
          <w:lang w:val="en-US" w:eastAsia="zh-TW"/>
        </w:rPr>
        <w:t>进入</w:t>
      </w:r>
      <w:r>
        <w:rPr>
          <w:rFonts w:hint="default" w:ascii="Times New Roman" w:hAnsi="Times New Roman" w:eastAsia="宋体" w:cs="Times New Roman"/>
          <w:color w:val="auto"/>
          <w:sz w:val="24"/>
          <w:highlight w:val="none"/>
          <w:u w:val="none" w:color="auto"/>
          <w:lang w:val="en-US" w:eastAsia="zh-CN"/>
        </w:rPr>
        <w:t>厂区内废水处理站调节池，</w:t>
      </w:r>
      <w:r>
        <w:rPr>
          <w:rFonts w:hint="default" w:ascii="Times New Roman" w:hAnsi="Times New Roman" w:eastAsia="宋体" w:cs="Times New Roman"/>
          <w:color w:val="auto"/>
          <w:sz w:val="24"/>
          <w:highlight w:val="none"/>
          <w:u w:val="none" w:color="auto"/>
          <w:lang w:val="en-US" w:eastAsia="zh-TW"/>
        </w:rPr>
        <w:t>将消防废水控制在厂区范围内</w:t>
      </w:r>
      <w:r>
        <w:rPr>
          <w:rFonts w:hint="default" w:ascii="Times New Roman" w:hAnsi="Times New Roman" w:eastAsia="宋体" w:cs="Times New Roman"/>
          <w:color w:val="auto"/>
          <w:sz w:val="24"/>
          <w:highlight w:val="none"/>
          <w:u w:val="none" w:color="auto"/>
          <w:lang w:val="en-US" w:eastAsia="zh-CN"/>
        </w:rPr>
        <w:t>，</w:t>
      </w:r>
      <w:r>
        <w:rPr>
          <w:rFonts w:hint="default" w:ascii="Times New Roman" w:hAnsi="Times New Roman" w:eastAsia="宋体" w:cs="Times New Roman"/>
          <w:color w:val="auto"/>
          <w:sz w:val="24"/>
          <w:highlight w:val="none"/>
          <w:u w:val="none" w:color="auto"/>
          <w:lang w:val="zh-CN" w:eastAsia="zh-TW"/>
        </w:rPr>
        <w:t>以免通过雨水管网外排，对附近水体造成重大影响。</w:t>
      </w:r>
    </w:p>
    <w:p w14:paraId="53466E99">
      <w:pPr>
        <w:topLinePunct w:val="0"/>
        <w:bidi w:val="0"/>
        <w:adjustRightInd/>
        <w:snapToGrid/>
        <w:spacing w:line="360" w:lineRule="auto"/>
        <w:ind w:firstLine="480" w:firstLineChars="200"/>
        <w:rPr>
          <w:rFonts w:hint="default" w:ascii="Times New Roman" w:hAnsi="Times New Roman" w:eastAsia="宋体" w:cs="Times New Roman"/>
          <w:color w:val="auto"/>
          <w:sz w:val="24"/>
          <w:highlight w:val="none"/>
          <w:u w:val="none" w:color="auto"/>
          <w:lang w:val="en-US" w:eastAsia="zh-TW"/>
        </w:rPr>
      </w:pPr>
      <w:r>
        <w:rPr>
          <w:rFonts w:hint="default" w:ascii="Times New Roman" w:hAnsi="Times New Roman" w:eastAsia="宋体" w:cs="Times New Roman"/>
          <w:color w:val="auto"/>
          <w:sz w:val="24"/>
          <w:highlight w:val="none"/>
          <w:u w:val="none" w:color="auto"/>
          <w:lang w:val="en-US" w:eastAsia="zh-CN"/>
        </w:rPr>
        <w:t>天然气管道发生火灾爆炸及其他情形产生的消防废水，通过与《湖南城陵矶新港区核心区突发环境事件应急预案》衔接、区域联动等，依托城陵矶新港区污水处理厂建设的公共应急池进行受纳、处理，需及时通知污水处理厂将该部分废水导入应急池中，避免直接进入处理系统。</w:t>
      </w:r>
    </w:p>
    <w:p w14:paraId="03057D70">
      <w:pPr>
        <w:topLinePunct w:val="0"/>
        <w:bidi w:val="0"/>
        <w:adjustRightInd/>
        <w:snapToGrid/>
        <w:spacing w:line="360" w:lineRule="auto"/>
        <w:ind w:firstLine="480" w:firstLineChars="200"/>
        <w:rPr>
          <w:rFonts w:hint="default" w:ascii="Times New Roman" w:hAnsi="Times New Roman" w:eastAsia="宋体" w:cs="Times New Roman"/>
          <w:color w:val="auto"/>
          <w:sz w:val="24"/>
          <w:highlight w:val="none"/>
          <w:u w:val="none" w:color="auto"/>
          <w:lang w:val="zh-CN" w:eastAsia="zh-TW"/>
        </w:rPr>
      </w:pPr>
      <w:r>
        <w:rPr>
          <w:rFonts w:hint="default" w:ascii="Times New Roman" w:hAnsi="Times New Roman" w:eastAsia="宋体" w:cs="Times New Roman"/>
          <w:color w:val="auto"/>
          <w:sz w:val="24"/>
          <w:highlight w:val="none"/>
          <w:u w:val="none" w:color="auto"/>
          <w:lang w:val="en-US" w:eastAsia="zh-CN"/>
        </w:rPr>
        <w:t>此外，</w:t>
      </w:r>
      <w:r>
        <w:rPr>
          <w:rFonts w:hint="default" w:ascii="Times New Roman" w:hAnsi="Times New Roman" w:eastAsia="宋体" w:cs="Times New Roman"/>
          <w:color w:val="auto"/>
          <w:sz w:val="24"/>
          <w:highlight w:val="none"/>
          <w:u w:val="none" w:color="auto"/>
          <w:lang w:val="en-US" w:eastAsia="zh-TW"/>
        </w:rPr>
        <w:t>公司</w:t>
      </w:r>
      <w:r>
        <w:rPr>
          <w:rFonts w:hint="default" w:ascii="Times New Roman" w:hAnsi="Times New Roman" w:eastAsia="宋体" w:cs="Times New Roman"/>
          <w:color w:val="auto"/>
          <w:sz w:val="24"/>
          <w:highlight w:val="none"/>
          <w:u w:val="none" w:color="auto"/>
          <w:lang w:val="en-US" w:eastAsia="zh-CN"/>
        </w:rPr>
        <w:t>还需在废水</w:t>
      </w:r>
      <w:r>
        <w:rPr>
          <w:rFonts w:hint="default" w:ascii="Times New Roman" w:hAnsi="Times New Roman" w:eastAsia="宋体" w:cs="Times New Roman"/>
          <w:color w:val="auto"/>
          <w:sz w:val="24"/>
          <w:highlight w:val="none"/>
          <w:u w:val="none" w:color="auto"/>
          <w:lang w:val="en-US" w:eastAsia="zh-TW"/>
        </w:rPr>
        <w:t>总排口</w:t>
      </w:r>
      <w:r>
        <w:rPr>
          <w:rFonts w:hint="default" w:ascii="Times New Roman" w:hAnsi="Times New Roman" w:eastAsia="宋体" w:cs="Times New Roman"/>
          <w:color w:val="auto"/>
          <w:sz w:val="24"/>
          <w:highlight w:val="none"/>
          <w:u w:val="none" w:color="auto"/>
          <w:lang w:val="en-US" w:eastAsia="zh-CN"/>
        </w:rPr>
        <w:t>、雨水排放口</w:t>
      </w:r>
      <w:r>
        <w:rPr>
          <w:rFonts w:hint="default" w:ascii="Times New Roman" w:hAnsi="Times New Roman" w:eastAsia="宋体" w:cs="Times New Roman"/>
          <w:color w:val="auto"/>
          <w:sz w:val="24"/>
          <w:highlight w:val="none"/>
          <w:u w:val="none" w:color="auto"/>
          <w:lang w:val="en-US" w:eastAsia="zh-TW"/>
        </w:rPr>
        <w:t>与</w:t>
      </w:r>
      <w:r>
        <w:rPr>
          <w:rFonts w:hint="default" w:ascii="Times New Roman" w:hAnsi="Times New Roman" w:eastAsia="宋体" w:cs="Times New Roman"/>
          <w:color w:val="auto"/>
          <w:sz w:val="24"/>
          <w:highlight w:val="none"/>
          <w:u w:val="none" w:color="auto"/>
          <w:lang w:val="en-US" w:eastAsia="zh-CN"/>
        </w:rPr>
        <w:t>之对接管网</w:t>
      </w:r>
      <w:r>
        <w:rPr>
          <w:rFonts w:hint="default" w:ascii="Times New Roman" w:hAnsi="Times New Roman" w:eastAsia="宋体" w:cs="Times New Roman"/>
          <w:color w:val="auto"/>
          <w:sz w:val="24"/>
          <w:highlight w:val="none"/>
          <w:u w:val="none" w:color="auto"/>
          <w:lang w:val="en-US" w:eastAsia="zh-TW"/>
        </w:rPr>
        <w:t>之间安装切断设施</w:t>
      </w:r>
      <w:r>
        <w:rPr>
          <w:rFonts w:hint="default" w:ascii="Times New Roman" w:hAnsi="Times New Roman" w:eastAsia="宋体" w:cs="Times New Roman"/>
          <w:color w:val="auto"/>
          <w:sz w:val="24"/>
          <w:highlight w:val="none"/>
          <w:u w:val="none" w:color="auto"/>
          <w:lang w:val="en-US" w:eastAsia="zh-CN"/>
        </w:rPr>
        <w:t>，</w:t>
      </w:r>
      <w:r>
        <w:rPr>
          <w:rFonts w:hint="default" w:ascii="Times New Roman" w:hAnsi="Times New Roman" w:eastAsia="宋体" w:cs="Times New Roman"/>
          <w:color w:val="auto"/>
          <w:sz w:val="24"/>
          <w:highlight w:val="none"/>
          <w:u w:val="none" w:color="auto"/>
          <w:lang w:val="en-US" w:eastAsia="zh-TW"/>
        </w:rPr>
        <w:t>确保</w:t>
      </w:r>
      <w:r>
        <w:rPr>
          <w:rFonts w:hint="default" w:ascii="Times New Roman" w:hAnsi="Times New Roman" w:eastAsia="宋体" w:cs="Times New Roman"/>
          <w:color w:val="auto"/>
          <w:sz w:val="24"/>
          <w:highlight w:val="none"/>
          <w:u w:val="none" w:color="auto"/>
          <w:lang w:val="en-US" w:eastAsia="zh-CN"/>
        </w:rPr>
        <w:t>能够及时截断</w:t>
      </w:r>
      <w:r>
        <w:rPr>
          <w:rFonts w:hint="default" w:ascii="Times New Roman" w:hAnsi="Times New Roman" w:eastAsia="宋体" w:cs="Times New Roman"/>
          <w:color w:val="auto"/>
          <w:sz w:val="24"/>
          <w:highlight w:val="none"/>
          <w:u w:val="none" w:color="auto"/>
          <w:lang w:val="en-US" w:eastAsia="zh-TW"/>
        </w:rPr>
        <w:t>。对废物的存储和处置场所必须配备围堵或收集设施</w:t>
      </w:r>
      <w:r>
        <w:rPr>
          <w:rFonts w:hint="default" w:ascii="Times New Roman" w:hAnsi="Times New Roman" w:eastAsia="宋体" w:cs="Times New Roman"/>
          <w:color w:val="auto"/>
          <w:sz w:val="24"/>
          <w:highlight w:val="none"/>
          <w:u w:val="none" w:color="auto"/>
          <w:lang w:val="en-US" w:eastAsia="zh-CN"/>
        </w:rPr>
        <w:t>，</w:t>
      </w:r>
      <w:r>
        <w:rPr>
          <w:rFonts w:hint="default" w:ascii="Times New Roman" w:hAnsi="Times New Roman" w:eastAsia="宋体" w:cs="Times New Roman"/>
          <w:color w:val="auto"/>
          <w:sz w:val="24"/>
          <w:highlight w:val="none"/>
          <w:u w:val="none" w:color="auto"/>
          <w:lang w:val="en-US" w:eastAsia="zh-TW"/>
        </w:rPr>
        <w:t>严防泄漏事故发生。</w:t>
      </w:r>
      <w:r>
        <w:rPr>
          <w:rFonts w:hint="default" w:ascii="Times New Roman" w:hAnsi="Times New Roman" w:eastAsia="宋体" w:cs="Times New Roman"/>
          <w:color w:val="auto"/>
          <w:sz w:val="24"/>
          <w:highlight w:val="none"/>
          <w:u w:val="none" w:color="auto"/>
          <w:lang w:val="zh-CN" w:eastAsia="zh-TW"/>
        </w:rPr>
        <w:t>建设项目事故废水必须进入废水处理系统处理或委外处置，杜绝将此类废水直接排入工业园污水排放管网，</w:t>
      </w:r>
      <w:r>
        <w:rPr>
          <w:rFonts w:hint="default" w:ascii="Times New Roman" w:hAnsi="Times New Roman" w:eastAsia="宋体" w:cs="Times New Roman"/>
          <w:color w:val="auto"/>
          <w:sz w:val="24"/>
          <w:highlight w:val="none"/>
          <w:u w:val="none" w:color="auto"/>
          <w:lang w:val="en-US" w:eastAsia="zh-CN"/>
        </w:rPr>
        <w:t>进入公共应急池的需配合相关部门进行处理处置</w:t>
      </w:r>
      <w:r>
        <w:rPr>
          <w:rFonts w:hint="default" w:ascii="Times New Roman" w:hAnsi="Times New Roman" w:eastAsia="宋体" w:cs="Times New Roman"/>
          <w:color w:val="auto"/>
          <w:sz w:val="24"/>
          <w:highlight w:val="none"/>
          <w:u w:val="none" w:color="auto"/>
          <w:lang w:val="zh-CN" w:eastAsia="zh-TW"/>
        </w:rPr>
        <w:t>。</w:t>
      </w:r>
    </w:p>
    <w:p w14:paraId="7FAC8E4C">
      <w:pPr>
        <w:spacing w:line="360" w:lineRule="auto"/>
        <w:ind w:firstLine="480" w:firstLineChars="200"/>
        <w:rPr>
          <w:rFonts w:hint="default" w:ascii="Times New Roman" w:hAnsi="Times New Roman" w:eastAsia="宋体" w:cs="Times New Roman"/>
          <w:color w:val="auto"/>
          <w:sz w:val="24"/>
          <w:u w:val="none" w:color="auto"/>
        </w:rPr>
      </w:pPr>
      <w:r>
        <w:rPr>
          <w:rFonts w:hint="default" w:ascii="Times New Roman" w:hAnsi="Times New Roman" w:eastAsia="宋体" w:cs="Times New Roman"/>
          <w:color w:val="auto"/>
          <w:sz w:val="24"/>
          <w:highlight w:val="none"/>
          <w:u w:val="none" w:color="auto"/>
          <w:lang w:val="en-US" w:eastAsia="zh-CN"/>
        </w:rPr>
        <w:t>在采取上述措施后，事故废水环境风险影响降到最低</w:t>
      </w:r>
      <w:r>
        <w:rPr>
          <w:rFonts w:hint="eastAsia" w:cs="Times New Roman"/>
          <w:color w:val="auto"/>
          <w:sz w:val="24"/>
          <w:highlight w:val="none"/>
          <w:u w:val="none" w:color="auto"/>
          <w:lang w:val="en-US" w:eastAsia="zh-CN"/>
        </w:rPr>
        <w:t>。</w:t>
      </w:r>
    </w:p>
    <w:p w14:paraId="436AC826">
      <w:pPr>
        <w:pStyle w:val="4"/>
        <w:numPr>
          <w:ilvl w:val="1"/>
          <w:numId w:val="0"/>
        </w:numPr>
        <w:spacing w:before="120" w:after="120" w:line="360" w:lineRule="auto"/>
        <w:contextualSpacing/>
        <w:rPr>
          <w:rFonts w:hint="default" w:ascii="Times New Roman" w:hAnsi="Times New Roman" w:eastAsia="宋体" w:cs="Times New Roman"/>
          <w:b/>
          <w:bCs w:val="0"/>
          <w:color w:val="auto"/>
          <w:sz w:val="28"/>
          <w:u w:val="none" w:color="auto"/>
        </w:rPr>
      </w:pPr>
      <w:bookmarkStart w:id="313" w:name="_Toc3736"/>
      <w:bookmarkStart w:id="314" w:name="_Toc27351"/>
      <w:bookmarkStart w:id="315" w:name="_Toc31282"/>
      <w:bookmarkStart w:id="316" w:name="_Toc9950"/>
      <w:r>
        <w:rPr>
          <w:rFonts w:hint="default" w:ascii="Times New Roman" w:hAnsi="Times New Roman" w:eastAsia="宋体" w:cs="Times New Roman"/>
          <w:b/>
          <w:bCs w:val="0"/>
          <w:color w:val="auto"/>
          <w:sz w:val="28"/>
          <w:u w:val="none" w:color="auto"/>
        </w:rPr>
        <w:t>6.4风险源监控与应急监测措施</w:t>
      </w:r>
      <w:bookmarkEnd w:id="313"/>
      <w:bookmarkEnd w:id="314"/>
      <w:bookmarkEnd w:id="315"/>
      <w:bookmarkEnd w:id="316"/>
    </w:p>
    <w:p w14:paraId="63C5701D">
      <w:pPr>
        <w:spacing w:line="360" w:lineRule="auto"/>
        <w:ind w:firstLine="482" w:firstLineChars="200"/>
        <w:outlineLvl w:val="2"/>
        <w:rPr>
          <w:rFonts w:hint="default" w:ascii="Times New Roman" w:hAnsi="Times New Roman" w:eastAsia="宋体" w:cs="Times New Roman"/>
          <w:b/>
          <w:bCs/>
          <w:color w:val="auto"/>
          <w:sz w:val="24"/>
          <w:u w:val="none" w:color="auto"/>
        </w:rPr>
      </w:pPr>
      <w:bookmarkStart w:id="317" w:name="_Toc14875"/>
      <w:r>
        <w:rPr>
          <w:rFonts w:hint="default" w:ascii="Times New Roman" w:hAnsi="Times New Roman" w:eastAsia="宋体" w:cs="Times New Roman"/>
          <w:b/>
          <w:bCs/>
          <w:color w:val="auto"/>
          <w:sz w:val="24"/>
          <w:u w:val="none" w:color="auto"/>
        </w:rPr>
        <w:t>6.4.1风险源监控</w:t>
      </w:r>
      <w:bookmarkEnd w:id="317"/>
    </w:p>
    <w:p w14:paraId="71D64BB0">
      <w:pPr>
        <w:spacing w:line="360" w:lineRule="auto"/>
        <w:ind w:firstLine="480" w:firstLineChars="200"/>
        <w:rPr>
          <w:rFonts w:hint="default" w:ascii="Times New Roman" w:hAnsi="Times New Roman" w:eastAsia="宋体" w:cs="Times New Roman"/>
          <w:bCs/>
          <w:color w:val="auto"/>
          <w:sz w:val="24"/>
          <w:szCs w:val="24"/>
          <w:u w:val="none" w:color="auto"/>
        </w:rPr>
      </w:pPr>
      <w:r>
        <w:rPr>
          <w:rFonts w:hint="default" w:ascii="Times New Roman" w:hAnsi="Times New Roman" w:eastAsia="宋体" w:cs="Times New Roman"/>
          <w:bCs/>
          <w:color w:val="auto"/>
          <w:sz w:val="24"/>
          <w:szCs w:val="24"/>
          <w:u w:val="none" w:color="auto"/>
        </w:rPr>
        <w:t>企业各部门应加强对各种可能发生的突发环境事故的监控和预测分析，做到早发现、早报告、早处置。公司厂区内应当落实环境安全主体责任，定期排查环境安全隐患，开展环境风险评估，健全风险防控措施，建议采取以下监控措施：</w:t>
      </w:r>
    </w:p>
    <w:p w14:paraId="3C094877">
      <w:pPr>
        <w:spacing w:line="360" w:lineRule="auto"/>
        <w:ind w:firstLine="480" w:firstLineChars="200"/>
        <w:rPr>
          <w:rFonts w:hint="default" w:ascii="Times New Roman" w:hAnsi="Times New Roman" w:eastAsia="宋体" w:cs="Times New Roman"/>
          <w:bCs/>
          <w:color w:val="auto"/>
          <w:sz w:val="24"/>
          <w:szCs w:val="24"/>
          <w:u w:val="none" w:color="auto"/>
        </w:rPr>
      </w:pPr>
      <w:r>
        <w:rPr>
          <w:rFonts w:hint="default" w:ascii="Times New Roman" w:hAnsi="Times New Roman" w:eastAsia="宋体" w:cs="Times New Roman"/>
          <w:bCs/>
          <w:color w:val="auto"/>
          <w:sz w:val="24"/>
          <w:szCs w:val="24"/>
          <w:u w:val="none" w:color="auto"/>
        </w:rPr>
        <w:t>（1）设立专门的机构负责人员安全、环境工作，建立日常巡回检查制度，每次检查都做情况记录，发现隐患及时汇报。</w:t>
      </w:r>
    </w:p>
    <w:p w14:paraId="7F7147F1">
      <w:pPr>
        <w:spacing w:line="360" w:lineRule="auto"/>
        <w:ind w:firstLine="480" w:firstLineChars="200"/>
        <w:rPr>
          <w:rFonts w:hint="default" w:ascii="Times New Roman" w:hAnsi="Times New Roman" w:eastAsia="宋体" w:cs="Times New Roman"/>
          <w:bCs/>
          <w:color w:val="auto"/>
          <w:sz w:val="24"/>
          <w:szCs w:val="24"/>
          <w:u w:val="none" w:color="auto"/>
        </w:rPr>
      </w:pPr>
      <w:r>
        <w:rPr>
          <w:rFonts w:hint="default" w:ascii="Times New Roman" w:hAnsi="Times New Roman" w:eastAsia="宋体" w:cs="Times New Roman"/>
          <w:bCs/>
          <w:color w:val="auto"/>
          <w:sz w:val="24"/>
          <w:szCs w:val="24"/>
          <w:u w:val="none" w:color="auto"/>
        </w:rPr>
        <w:t>（2）员工必须熟练掌握各种应急设施的使用方法。</w:t>
      </w:r>
    </w:p>
    <w:p w14:paraId="66F51D4E">
      <w:pPr>
        <w:spacing w:line="360" w:lineRule="auto"/>
        <w:ind w:firstLine="480" w:firstLineChars="200"/>
        <w:rPr>
          <w:rFonts w:hint="default" w:ascii="Times New Roman" w:hAnsi="Times New Roman" w:eastAsia="宋体" w:cs="Times New Roman"/>
          <w:bCs/>
          <w:color w:val="auto"/>
          <w:sz w:val="24"/>
          <w:szCs w:val="24"/>
          <w:u w:val="none" w:color="auto"/>
        </w:rPr>
      </w:pPr>
      <w:r>
        <w:rPr>
          <w:rFonts w:hint="default" w:ascii="Times New Roman" w:hAnsi="Times New Roman" w:eastAsia="宋体" w:cs="Times New Roman"/>
          <w:bCs/>
          <w:color w:val="auto"/>
          <w:sz w:val="24"/>
          <w:szCs w:val="24"/>
          <w:u w:val="none" w:color="auto"/>
        </w:rPr>
        <w:t>（3）了解掌握厂区内环境风险物质的危险特性及应急处理方法。</w:t>
      </w:r>
    </w:p>
    <w:p w14:paraId="1927669E">
      <w:pPr>
        <w:spacing w:line="360" w:lineRule="auto"/>
        <w:ind w:firstLine="480" w:firstLineChars="200"/>
        <w:rPr>
          <w:rFonts w:hint="default" w:ascii="Times New Roman" w:hAnsi="Times New Roman" w:eastAsia="宋体" w:cs="Times New Roman"/>
          <w:bCs/>
          <w:color w:val="auto"/>
          <w:sz w:val="24"/>
          <w:szCs w:val="24"/>
          <w:u w:val="none" w:color="auto"/>
        </w:rPr>
      </w:pPr>
      <w:r>
        <w:rPr>
          <w:rFonts w:hint="default" w:ascii="Times New Roman" w:hAnsi="Times New Roman" w:eastAsia="宋体" w:cs="Times New Roman"/>
          <w:bCs/>
          <w:color w:val="auto"/>
          <w:sz w:val="24"/>
          <w:szCs w:val="24"/>
          <w:u w:val="none" w:color="auto"/>
        </w:rPr>
        <w:t xml:space="preserve">（4）加强管理，在生产、储存、废物处置等各个环节明确责任主体，建立相应的管理制度，使企业的各项工作有章可循，各项运行状况可控。 </w:t>
      </w:r>
    </w:p>
    <w:p w14:paraId="2B6C66E2">
      <w:pPr>
        <w:spacing w:line="360" w:lineRule="auto"/>
        <w:ind w:firstLine="482" w:firstLineChars="200"/>
        <w:outlineLvl w:val="2"/>
        <w:rPr>
          <w:rFonts w:hint="default" w:ascii="Times New Roman" w:hAnsi="Times New Roman" w:eastAsia="宋体" w:cs="Times New Roman"/>
          <w:b/>
          <w:bCs/>
          <w:color w:val="auto"/>
          <w:sz w:val="24"/>
          <w:u w:val="none" w:color="auto"/>
        </w:rPr>
      </w:pPr>
      <w:bookmarkStart w:id="318" w:name="_Toc1890"/>
      <w:r>
        <w:rPr>
          <w:rFonts w:hint="default" w:ascii="Times New Roman" w:hAnsi="Times New Roman" w:eastAsia="宋体" w:cs="Times New Roman"/>
          <w:b/>
          <w:bCs/>
          <w:color w:val="auto"/>
          <w:sz w:val="24"/>
          <w:u w:val="none" w:color="auto"/>
        </w:rPr>
        <w:t>6.4.2环境风险隐患排查与措施</w:t>
      </w:r>
      <w:bookmarkEnd w:id="318"/>
    </w:p>
    <w:p w14:paraId="74C5C038">
      <w:pPr>
        <w:spacing w:line="360" w:lineRule="auto"/>
        <w:ind w:firstLine="482" w:firstLineChars="200"/>
        <w:outlineLvl w:val="3"/>
        <w:rPr>
          <w:rFonts w:hint="default" w:ascii="Times New Roman" w:hAnsi="Times New Roman" w:eastAsia="宋体" w:cs="Times New Roman"/>
          <w:b/>
          <w:color w:val="auto"/>
          <w:sz w:val="24"/>
          <w:szCs w:val="24"/>
          <w:u w:val="none" w:color="auto"/>
        </w:rPr>
      </w:pPr>
      <w:bookmarkStart w:id="319" w:name="_Toc8124"/>
      <w:bookmarkStart w:id="320" w:name="_Toc14906"/>
      <w:r>
        <w:rPr>
          <w:rFonts w:hint="default" w:ascii="Times New Roman" w:hAnsi="Times New Roman" w:eastAsia="宋体" w:cs="Times New Roman"/>
          <w:b/>
          <w:color w:val="auto"/>
          <w:sz w:val="24"/>
          <w:szCs w:val="24"/>
          <w:u w:val="none" w:color="auto"/>
        </w:rPr>
        <w:t>1、泄漏隐患排查与措施</w:t>
      </w:r>
      <w:bookmarkEnd w:id="319"/>
      <w:bookmarkEnd w:id="320"/>
    </w:p>
    <w:p w14:paraId="76AD51F9">
      <w:pPr>
        <w:spacing w:line="360" w:lineRule="auto"/>
        <w:ind w:firstLine="480" w:firstLineChars="200"/>
        <w:rPr>
          <w:rFonts w:hint="default" w:ascii="Times New Roman" w:hAnsi="Times New Roman" w:eastAsia="宋体" w:cs="Times New Roman"/>
          <w:bCs/>
          <w:color w:val="auto"/>
          <w:sz w:val="24"/>
          <w:szCs w:val="24"/>
          <w:u w:val="none" w:color="auto"/>
        </w:rPr>
      </w:pPr>
      <w:r>
        <w:rPr>
          <w:rFonts w:hint="default" w:ascii="Times New Roman" w:hAnsi="Times New Roman" w:eastAsia="宋体" w:cs="Times New Roman"/>
          <w:bCs/>
          <w:color w:val="auto"/>
          <w:sz w:val="24"/>
          <w:szCs w:val="24"/>
          <w:u w:val="none" w:color="auto"/>
        </w:rPr>
        <w:t>本次评价主要提出如下泄漏隐患排查与措施：</w:t>
      </w:r>
    </w:p>
    <w:p w14:paraId="3866F315">
      <w:pPr>
        <w:spacing w:line="360" w:lineRule="auto"/>
        <w:ind w:firstLine="480" w:firstLineChars="200"/>
        <w:rPr>
          <w:rFonts w:hint="default" w:ascii="Times New Roman" w:hAnsi="Times New Roman" w:eastAsia="宋体" w:cs="Times New Roman"/>
          <w:bCs/>
          <w:color w:val="auto"/>
          <w:sz w:val="24"/>
          <w:szCs w:val="24"/>
          <w:u w:val="none" w:color="auto"/>
        </w:rPr>
      </w:pPr>
      <w:r>
        <w:rPr>
          <w:rFonts w:hint="default" w:ascii="Times New Roman" w:hAnsi="Times New Roman" w:eastAsia="宋体" w:cs="Times New Roman"/>
          <w:bCs/>
          <w:color w:val="auto"/>
          <w:sz w:val="24"/>
          <w:szCs w:val="24"/>
          <w:u w:val="none" w:color="auto"/>
        </w:rPr>
        <w:t>（1）按照设备报废标准，及时报废有关设备；在设计时就应依据适当的设计标准，采取可靠的措施；</w:t>
      </w:r>
    </w:p>
    <w:p w14:paraId="0C184466">
      <w:pPr>
        <w:spacing w:line="360" w:lineRule="auto"/>
        <w:ind w:firstLine="480" w:firstLineChars="200"/>
        <w:rPr>
          <w:rFonts w:hint="default" w:ascii="Times New Roman" w:hAnsi="Times New Roman" w:eastAsia="宋体" w:cs="Times New Roman"/>
          <w:bCs/>
          <w:color w:val="auto"/>
          <w:sz w:val="24"/>
          <w:szCs w:val="24"/>
          <w:u w:val="none" w:color="auto"/>
        </w:rPr>
      </w:pPr>
      <w:r>
        <w:rPr>
          <w:rFonts w:hint="default" w:ascii="Times New Roman" w:hAnsi="Times New Roman" w:eastAsia="宋体" w:cs="Times New Roman"/>
          <w:bCs/>
          <w:color w:val="auto"/>
          <w:sz w:val="24"/>
          <w:szCs w:val="24"/>
          <w:u w:val="none" w:color="auto"/>
        </w:rPr>
        <w:t>（2）采用合理的工艺技术，正确选择材料材质、结构、连接方式、密封装置和相应的保护措施；</w:t>
      </w:r>
    </w:p>
    <w:p w14:paraId="64EB86A8">
      <w:pPr>
        <w:spacing w:line="360" w:lineRule="auto"/>
        <w:ind w:firstLine="480" w:firstLineChars="200"/>
        <w:rPr>
          <w:rFonts w:hint="default" w:ascii="Times New Roman" w:hAnsi="Times New Roman" w:eastAsia="宋体" w:cs="Times New Roman"/>
          <w:bCs/>
          <w:color w:val="auto"/>
          <w:sz w:val="24"/>
          <w:szCs w:val="24"/>
          <w:u w:val="none" w:color="auto"/>
        </w:rPr>
      </w:pPr>
      <w:r>
        <w:rPr>
          <w:rFonts w:hint="default" w:ascii="Times New Roman" w:hAnsi="Times New Roman" w:eastAsia="宋体" w:cs="Times New Roman"/>
          <w:bCs/>
          <w:color w:val="auto"/>
          <w:sz w:val="24"/>
          <w:szCs w:val="24"/>
          <w:u w:val="none" w:color="auto"/>
        </w:rPr>
        <w:t>（3）企业要把好采购、招标的物资进厂关，确保设备、管线的质量；</w:t>
      </w:r>
    </w:p>
    <w:p w14:paraId="3C312CBA">
      <w:pPr>
        <w:spacing w:line="360" w:lineRule="auto"/>
        <w:ind w:firstLine="480" w:firstLineChars="200"/>
        <w:rPr>
          <w:rFonts w:hint="default" w:ascii="Times New Roman" w:hAnsi="Times New Roman" w:eastAsia="宋体" w:cs="Times New Roman"/>
          <w:bCs/>
          <w:color w:val="auto"/>
          <w:sz w:val="24"/>
          <w:szCs w:val="24"/>
          <w:u w:val="none" w:color="auto"/>
        </w:rPr>
      </w:pPr>
      <w:r>
        <w:rPr>
          <w:rFonts w:hint="default" w:ascii="Times New Roman" w:hAnsi="Times New Roman" w:eastAsia="宋体" w:cs="Times New Roman"/>
          <w:bCs/>
          <w:color w:val="auto"/>
          <w:sz w:val="24"/>
          <w:szCs w:val="24"/>
          <w:u w:val="none" w:color="auto"/>
        </w:rPr>
        <w:t>（4）新管线、新设备投用前要严格按照规程做好耐腐蚀检测，严防有隐患的设施投入生产；</w:t>
      </w:r>
    </w:p>
    <w:p w14:paraId="30724DEA">
      <w:pPr>
        <w:spacing w:line="360" w:lineRule="auto"/>
        <w:ind w:firstLine="480" w:firstLineChars="200"/>
        <w:rPr>
          <w:rFonts w:hint="default" w:ascii="Times New Roman" w:hAnsi="Times New Roman" w:eastAsia="宋体" w:cs="Times New Roman"/>
          <w:bCs/>
          <w:color w:val="auto"/>
          <w:sz w:val="24"/>
          <w:szCs w:val="24"/>
          <w:u w:val="none" w:color="auto"/>
        </w:rPr>
      </w:pPr>
      <w:r>
        <w:rPr>
          <w:rFonts w:hint="default" w:ascii="Times New Roman" w:hAnsi="Times New Roman" w:eastAsia="宋体" w:cs="Times New Roman"/>
          <w:bCs/>
          <w:color w:val="auto"/>
          <w:sz w:val="24"/>
          <w:szCs w:val="24"/>
          <w:u w:val="none" w:color="auto"/>
        </w:rPr>
        <w:t>（5）正确使用与维护，要严格按操作规程操作，不得超温、超压、超振动、超位移、超负荷生产，严格执行设备维护保养制度，认真做好设备润滑、巡检等工作，做到运转设备振动不超标，相关连接点无跑冒滴漏现象；</w:t>
      </w:r>
    </w:p>
    <w:p w14:paraId="1B9D8E16">
      <w:pPr>
        <w:spacing w:line="360" w:lineRule="auto"/>
        <w:ind w:firstLine="480" w:firstLineChars="200"/>
        <w:rPr>
          <w:rFonts w:hint="default" w:ascii="Times New Roman" w:hAnsi="Times New Roman" w:eastAsia="宋体" w:cs="Times New Roman"/>
          <w:bCs/>
          <w:color w:val="auto"/>
          <w:sz w:val="24"/>
          <w:szCs w:val="24"/>
          <w:u w:val="none" w:color="auto"/>
        </w:rPr>
      </w:pPr>
      <w:r>
        <w:rPr>
          <w:rFonts w:hint="default" w:ascii="Times New Roman" w:hAnsi="Times New Roman" w:eastAsia="宋体" w:cs="Times New Roman"/>
          <w:bCs/>
          <w:color w:val="auto"/>
          <w:sz w:val="24"/>
          <w:szCs w:val="24"/>
          <w:u w:val="none" w:color="auto"/>
        </w:rPr>
        <w:t>（6）对安全防护设施要进行维护，保证灵敏可靠。因为如果失灵，危险性更大；</w:t>
      </w:r>
    </w:p>
    <w:p w14:paraId="7A6A9757">
      <w:pPr>
        <w:spacing w:line="360" w:lineRule="auto"/>
        <w:ind w:firstLine="480" w:firstLineChars="200"/>
        <w:rPr>
          <w:rFonts w:hint="default" w:ascii="Times New Roman" w:hAnsi="Times New Roman" w:eastAsia="宋体" w:cs="Times New Roman"/>
          <w:bCs/>
          <w:color w:val="auto"/>
          <w:sz w:val="24"/>
          <w:szCs w:val="24"/>
          <w:u w:val="none" w:color="auto"/>
        </w:rPr>
      </w:pPr>
      <w:r>
        <w:rPr>
          <w:rFonts w:hint="default" w:ascii="Times New Roman" w:hAnsi="Times New Roman" w:eastAsia="宋体" w:cs="Times New Roman"/>
          <w:bCs/>
          <w:color w:val="auto"/>
          <w:sz w:val="24"/>
          <w:szCs w:val="24"/>
          <w:u w:val="none" w:color="auto"/>
        </w:rPr>
        <w:t>（7）采用控制系统、电视监视系统和报警系统等先进的信息技术，对</w:t>
      </w:r>
      <w:r>
        <w:rPr>
          <w:rFonts w:hint="default" w:ascii="Times New Roman" w:hAnsi="Times New Roman" w:eastAsia="宋体" w:cs="Times New Roman"/>
          <w:bCs/>
          <w:color w:val="auto"/>
          <w:sz w:val="24"/>
          <w:szCs w:val="24"/>
          <w:u w:val="none" w:color="auto"/>
          <w:lang w:val="en-US" w:eastAsia="zh-CN"/>
        </w:rPr>
        <w:t>天然气管道</w:t>
      </w:r>
      <w:r>
        <w:rPr>
          <w:rFonts w:hint="default" w:ascii="Times New Roman" w:hAnsi="Times New Roman" w:eastAsia="宋体" w:cs="Times New Roman"/>
          <w:bCs/>
          <w:color w:val="auto"/>
          <w:sz w:val="24"/>
          <w:szCs w:val="24"/>
          <w:u w:val="none" w:color="auto"/>
        </w:rPr>
        <w:t>进行监视</w:t>
      </w:r>
      <w:r>
        <w:rPr>
          <w:rFonts w:hint="default" w:ascii="Times New Roman" w:hAnsi="Times New Roman" w:eastAsia="宋体" w:cs="Times New Roman"/>
          <w:bCs/>
          <w:color w:val="auto"/>
          <w:sz w:val="24"/>
          <w:szCs w:val="24"/>
          <w:u w:val="none" w:color="auto"/>
          <w:lang w:eastAsia="zh-CN"/>
        </w:rPr>
        <w:t>、</w:t>
      </w:r>
      <w:r>
        <w:rPr>
          <w:rFonts w:hint="default" w:ascii="Times New Roman" w:hAnsi="Times New Roman" w:eastAsia="宋体" w:cs="Times New Roman"/>
          <w:bCs/>
          <w:color w:val="auto"/>
          <w:sz w:val="24"/>
          <w:szCs w:val="24"/>
          <w:u w:val="none" w:color="auto"/>
          <w:lang w:val="en-US" w:eastAsia="zh-CN"/>
        </w:rPr>
        <w:t>压力</w:t>
      </w:r>
      <w:r>
        <w:rPr>
          <w:rFonts w:hint="default" w:ascii="Times New Roman" w:hAnsi="Times New Roman" w:eastAsia="宋体" w:cs="Times New Roman"/>
          <w:bCs/>
          <w:color w:val="auto"/>
          <w:sz w:val="24"/>
          <w:szCs w:val="24"/>
          <w:u w:val="none" w:color="auto"/>
        </w:rPr>
        <w:t>监测</w:t>
      </w:r>
      <w:r>
        <w:rPr>
          <w:rFonts w:hint="default" w:ascii="Times New Roman" w:hAnsi="Times New Roman" w:eastAsia="宋体" w:cs="Times New Roman"/>
          <w:bCs/>
          <w:color w:val="auto"/>
          <w:sz w:val="24"/>
          <w:szCs w:val="24"/>
          <w:u w:val="none" w:color="auto"/>
          <w:lang w:val="en-US" w:eastAsia="zh-CN"/>
        </w:rPr>
        <w:t>等</w:t>
      </w:r>
      <w:r>
        <w:rPr>
          <w:rFonts w:hint="default" w:ascii="Times New Roman" w:hAnsi="Times New Roman" w:eastAsia="宋体" w:cs="Times New Roman"/>
          <w:bCs/>
          <w:color w:val="auto"/>
          <w:sz w:val="24"/>
          <w:szCs w:val="24"/>
          <w:u w:val="none" w:color="auto"/>
        </w:rPr>
        <w:t>；</w:t>
      </w:r>
    </w:p>
    <w:p w14:paraId="44E1038B">
      <w:pPr>
        <w:spacing w:line="360" w:lineRule="auto"/>
        <w:ind w:firstLine="480" w:firstLineChars="200"/>
        <w:outlineLvl w:val="9"/>
        <w:rPr>
          <w:rFonts w:hint="default" w:ascii="Times New Roman" w:hAnsi="Times New Roman" w:eastAsia="宋体" w:cs="Times New Roman"/>
          <w:bCs/>
          <w:color w:val="auto"/>
          <w:sz w:val="24"/>
          <w:szCs w:val="24"/>
          <w:u w:val="none" w:color="auto"/>
        </w:rPr>
      </w:pPr>
      <w:bookmarkStart w:id="321" w:name="_Toc8334"/>
      <w:r>
        <w:rPr>
          <w:rFonts w:hint="default" w:ascii="Times New Roman" w:hAnsi="Times New Roman" w:eastAsia="宋体" w:cs="Times New Roman"/>
          <w:bCs/>
          <w:color w:val="auto"/>
          <w:sz w:val="24"/>
          <w:szCs w:val="24"/>
          <w:u w:val="none" w:color="auto"/>
        </w:rPr>
        <w:t>（8）掌握全面的堵漏技术，确保在发生泄漏事故后能够及时堵漏。</w:t>
      </w:r>
      <w:bookmarkEnd w:id="321"/>
    </w:p>
    <w:p w14:paraId="795F21B8">
      <w:pPr>
        <w:spacing w:line="360" w:lineRule="auto"/>
        <w:ind w:firstLine="482" w:firstLineChars="200"/>
        <w:outlineLvl w:val="3"/>
        <w:rPr>
          <w:rFonts w:hint="default" w:ascii="Times New Roman" w:hAnsi="Times New Roman" w:eastAsia="宋体" w:cs="Times New Roman"/>
          <w:b/>
          <w:color w:val="auto"/>
          <w:sz w:val="24"/>
          <w:u w:val="none" w:color="auto"/>
        </w:rPr>
      </w:pPr>
      <w:bookmarkStart w:id="322" w:name="_Toc27885"/>
      <w:bookmarkStart w:id="323" w:name="_Toc8488"/>
      <w:r>
        <w:rPr>
          <w:rFonts w:hint="default" w:ascii="Times New Roman" w:hAnsi="Times New Roman" w:eastAsia="宋体" w:cs="Times New Roman"/>
          <w:b/>
          <w:color w:val="auto"/>
          <w:sz w:val="24"/>
          <w:szCs w:val="24"/>
          <w:u w:val="none" w:color="auto"/>
        </w:rPr>
        <w:t>2、</w:t>
      </w:r>
      <w:r>
        <w:rPr>
          <w:rFonts w:hint="default" w:ascii="Times New Roman" w:hAnsi="Times New Roman" w:eastAsia="宋体" w:cs="Times New Roman"/>
          <w:b/>
          <w:color w:val="auto"/>
          <w:sz w:val="24"/>
          <w:u w:val="none" w:color="auto"/>
        </w:rPr>
        <w:t>物料暂存</w:t>
      </w:r>
      <w:r>
        <w:rPr>
          <w:rFonts w:hint="default" w:ascii="Times New Roman" w:hAnsi="Times New Roman" w:eastAsia="宋体" w:cs="Times New Roman"/>
          <w:b/>
          <w:color w:val="auto"/>
          <w:sz w:val="24"/>
          <w:szCs w:val="24"/>
          <w:u w:val="none" w:color="auto"/>
        </w:rPr>
        <w:t>隐患排查与措施</w:t>
      </w:r>
      <w:bookmarkEnd w:id="322"/>
      <w:bookmarkEnd w:id="323"/>
    </w:p>
    <w:p w14:paraId="73CAE2A2">
      <w:pPr>
        <w:spacing w:line="360" w:lineRule="auto"/>
        <w:ind w:firstLine="480" w:firstLineChars="200"/>
        <w:rPr>
          <w:rFonts w:hint="default" w:ascii="Times New Roman" w:hAnsi="Times New Roman" w:eastAsia="宋体" w:cs="Times New Roman"/>
          <w:bCs/>
          <w:color w:val="auto"/>
          <w:sz w:val="24"/>
          <w:szCs w:val="24"/>
          <w:u w:val="none" w:color="auto"/>
        </w:rPr>
      </w:pPr>
      <w:r>
        <w:rPr>
          <w:rFonts w:hint="default" w:ascii="Times New Roman" w:hAnsi="Times New Roman" w:eastAsia="宋体" w:cs="Times New Roman"/>
          <w:bCs/>
          <w:color w:val="auto"/>
          <w:sz w:val="24"/>
          <w:szCs w:val="24"/>
          <w:u w:val="none" w:color="auto"/>
        </w:rPr>
        <w:t>本次评价主要提出如下废</w:t>
      </w:r>
      <w:r>
        <w:rPr>
          <w:rFonts w:hint="default" w:ascii="Times New Roman" w:hAnsi="Times New Roman" w:eastAsia="宋体" w:cs="Times New Roman"/>
          <w:bCs/>
          <w:color w:val="auto"/>
          <w:sz w:val="24"/>
          <w:u w:val="none" w:color="auto"/>
        </w:rPr>
        <w:t>矿物油类等物料暂存</w:t>
      </w:r>
      <w:r>
        <w:rPr>
          <w:rFonts w:hint="default" w:ascii="Times New Roman" w:hAnsi="Times New Roman" w:eastAsia="宋体" w:cs="Times New Roman"/>
          <w:bCs/>
          <w:color w:val="auto"/>
          <w:sz w:val="24"/>
          <w:szCs w:val="24"/>
          <w:u w:val="none" w:color="auto"/>
        </w:rPr>
        <w:t>隐患排查与措施：</w:t>
      </w:r>
    </w:p>
    <w:p w14:paraId="5E5A3154">
      <w:pPr>
        <w:spacing w:line="360" w:lineRule="auto"/>
        <w:ind w:firstLine="480" w:firstLineChars="200"/>
        <w:rPr>
          <w:rFonts w:hint="default" w:ascii="Times New Roman" w:hAnsi="Times New Roman" w:eastAsia="宋体" w:cs="Times New Roman"/>
          <w:color w:val="auto"/>
          <w:sz w:val="24"/>
          <w:u w:val="none" w:color="auto"/>
        </w:rPr>
      </w:pPr>
      <w:r>
        <w:rPr>
          <w:rFonts w:hint="default" w:ascii="Times New Roman" w:hAnsi="Times New Roman" w:eastAsia="宋体" w:cs="Times New Roman"/>
          <w:color w:val="auto"/>
          <w:sz w:val="24"/>
          <w:u w:val="none" w:color="auto"/>
        </w:rPr>
        <w:t>（1）设定专门的润滑油</w:t>
      </w:r>
      <w:r>
        <w:rPr>
          <w:rFonts w:hint="default" w:ascii="Times New Roman" w:hAnsi="Times New Roman" w:eastAsia="宋体" w:cs="Times New Roman"/>
          <w:color w:val="auto"/>
          <w:sz w:val="24"/>
          <w:u w:val="none" w:color="auto"/>
          <w:lang w:val="en-US" w:eastAsia="zh-CN"/>
        </w:rPr>
        <w:t>等矿物油类</w:t>
      </w:r>
      <w:r>
        <w:rPr>
          <w:rFonts w:hint="default" w:ascii="Times New Roman" w:hAnsi="Times New Roman" w:eastAsia="宋体" w:cs="Times New Roman"/>
          <w:color w:val="auto"/>
          <w:sz w:val="24"/>
          <w:u w:val="none" w:color="auto"/>
        </w:rPr>
        <w:t>物料存放区域，且分区存放，存放区采取地面硬化、防渗处理、设置截污沟、围堰等措施，并配备通风系统；</w:t>
      </w:r>
    </w:p>
    <w:p w14:paraId="4C3703DF">
      <w:pPr>
        <w:spacing w:line="360" w:lineRule="auto"/>
        <w:ind w:firstLine="480" w:firstLineChars="200"/>
        <w:rPr>
          <w:rFonts w:hint="default" w:ascii="Times New Roman" w:hAnsi="Times New Roman" w:eastAsia="宋体" w:cs="Times New Roman"/>
          <w:color w:val="auto"/>
          <w:sz w:val="24"/>
          <w:u w:val="none" w:color="auto"/>
        </w:rPr>
      </w:pPr>
      <w:r>
        <w:rPr>
          <w:rFonts w:hint="default" w:ascii="Times New Roman" w:hAnsi="Times New Roman" w:eastAsia="宋体" w:cs="Times New Roman"/>
          <w:color w:val="auto"/>
          <w:sz w:val="24"/>
          <w:u w:val="none" w:color="auto"/>
        </w:rPr>
        <w:t>（2）物料安排专人管理；设专人负责巡回检查；</w:t>
      </w:r>
    </w:p>
    <w:p w14:paraId="229AD029">
      <w:pPr>
        <w:spacing w:line="360" w:lineRule="auto"/>
        <w:ind w:firstLine="480" w:firstLineChars="200"/>
        <w:rPr>
          <w:rFonts w:hint="default" w:ascii="Times New Roman" w:hAnsi="Times New Roman" w:eastAsia="宋体" w:cs="Times New Roman"/>
          <w:color w:val="auto"/>
          <w:sz w:val="24"/>
          <w:u w:val="none" w:color="auto"/>
        </w:rPr>
      </w:pPr>
      <w:r>
        <w:rPr>
          <w:rFonts w:hint="default" w:ascii="Times New Roman" w:hAnsi="Times New Roman" w:eastAsia="宋体" w:cs="Times New Roman"/>
          <w:color w:val="auto"/>
          <w:sz w:val="24"/>
          <w:u w:val="none" w:color="auto"/>
        </w:rPr>
        <w:t>（3）储存区严禁烟火、明火；</w:t>
      </w:r>
    </w:p>
    <w:p w14:paraId="4C08CBB9">
      <w:pPr>
        <w:spacing w:line="360" w:lineRule="auto"/>
        <w:ind w:firstLine="480" w:firstLineChars="200"/>
        <w:rPr>
          <w:rFonts w:hint="default" w:ascii="Times New Roman" w:hAnsi="Times New Roman" w:eastAsia="宋体" w:cs="Times New Roman"/>
          <w:color w:val="auto"/>
          <w:sz w:val="24"/>
          <w:u w:val="none" w:color="auto"/>
        </w:rPr>
      </w:pPr>
      <w:r>
        <w:rPr>
          <w:rFonts w:hint="default" w:ascii="Times New Roman" w:hAnsi="Times New Roman" w:eastAsia="宋体" w:cs="Times New Roman"/>
          <w:color w:val="auto"/>
          <w:sz w:val="24"/>
          <w:u w:val="none" w:color="auto"/>
        </w:rPr>
        <w:t>（4）矿物油类等物料暂存区域设立明显警示标识、警示线、警示说明；</w:t>
      </w:r>
    </w:p>
    <w:p w14:paraId="44C61411">
      <w:pPr>
        <w:spacing w:line="360" w:lineRule="auto"/>
        <w:ind w:firstLine="480" w:firstLineChars="200"/>
        <w:rPr>
          <w:rFonts w:hint="default" w:ascii="Times New Roman" w:hAnsi="Times New Roman" w:eastAsia="宋体" w:cs="Times New Roman"/>
          <w:color w:val="auto"/>
          <w:sz w:val="24"/>
          <w:u w:val="none" w:color="auto"/>
        </w:rPr>
      </w:pPr>
      <w:r>
        <w:rPr>
          <w:rFonts w:hint="default" w:ascii="Times New Roman" w:hAnsi="Times New Roman" w:eastAsia="宋体" w:cs="Times New Roman"/>
          <w:color w:val="auto"/>
          <w:sz w:val="24"/>
          <w:u w:val="none" w:color="auto"/>
        </w:rPr>
        <w:t>（5）废矿物油等危险废物的包装物外必须按《危险货物包装标志》（GB190-1990）规定，在其外包装的明显部位粘贴危险物品标志，以便一旦发生问题，可以及时采取有效措施</w:t>
      </w:r>
      <w:r>
        <w:rPr>
          <w:rFonts w:hint="default" w:ascii="Times New Roman" w:hAnsi="Times New Roman" w:eastAsia="宋体" w:cs="Times New Roman"/>
          <w:bCs/>
          <w:color w:val="auto"/>
          <w:sz w:val="24"/>
          <w:szCs w:val="24"/>
          <w:u w:val="none" w:color="auto"/>
        </w:rPr>
        <w:t>。</w:t>
      </w:r>
    </w:p>
    <w:p w14:paraId="65D46029">
      <w:pPr>
        <w:spacing w:line="360" w:lineRule="auto"/>
        <w:ind w:firstLine="482" w:firstLineChars="200"/>
        <w:outlineLvl w:val="2"/>
        <w:rPr>
          <w:rFonts w:hint="default" w:ascii="Times New Roman" w:hAnsi="Times New Roman" w:eastAsia="宋体" w:cs="Times New Roman"/>
          <w:b/>
          <w:bCs/>
          <w:color w:val="auto"/>
          <w:sz w:val="24"/>
          <w:u w:val="none" w:color="auto"/>
        </w:rPr>
      </w:pPr>
      <w:bookmarkStart w:id="324" w:name="_Toc13342"/>
      <w:r>
        <w:rPr>
          <w:rFonts w:hint="default" w:ascii="Times New Roman" w:hAnsi="Times New Roman" w:eastAsia="宋体" w:cs="Times New Roman"/>
          <w:b/>
          <w:bCs/>
          <w:color w:val="auto"/>
          <w:sz w:val="24"/>
          <w:u w:val="none" w:color="auto"/>
        </w:rPr>
        <w:t>6.4.3应急监测制度</w:t>
      </w:r>
      <w:bookmarkEnd w:id="324"/>
    </w:p>
    <w:p w14:paraId="36614A88">
      <w:pPr>
        <w:spacing w:line="360" w:lineRule="auto"/>
        <w:ind w:firstLine="480" w:firstLineChars="200"/>
        <w:rPr>
          <w:rFonts w:hint="default" w:ascii="Times New Roman" w:hAnsi="Times New Roman" w:eastAsia="宋体" w:cs="Times New Roman"/>
          <w:bCs/>
          <w:color w:val="auto"/>
          <w:sz w:val="24"/>
          <w:szCs w:val="24"/>
          <w:u w:val="none" w:color="auto"/>
        </w:rPr>
      </w:pPr>
      <w:r>
        <w:rPr>
          <w:rFonts w:hint="default" w:ascii="Times New Roman" w:hAnsi="Times New Roman" w:eastAsia="宋体" w:cs="Times New Roman"/>
          <w:bCs/>
          <w:color w:val="auto"/>
          <w:sz w:val="24"/>
          <w:szCs w:val="24"/>
          <w:u w:val="none" w:color="auto"/>
        </w:rPr>
        <w:t>突发环境事件时，环境应急监测组应迅速组织监测人员赶赴现场，根据事件的实际情况，迅速确定监测方案，及时开展应急监测工作，在尽可能短的时间内作出判断，以便对事件及时正确进行处理。</w:t>
      </w:r>
    </w:p>
    <w:p w14:paraId="3A6D4357">
      <w:pPr>
        <w:spacing w:line="360" w:lineRule="auto"/>
        <w:ind w:firstLine="480" w:firstLineChars="200"/>
        <w:rPr>
          <w:rFonts w:hint="default" w:ascii="Times New Roman" w:hAnsi="Times New Roman" w:eastAsia="宋体" w:cs="Times New Roman"/>
          <w:bCs/>
          <w:color w:val="auto"/>
          <w:sz w:val="24"/>
          <w:szCs w:val="24"/>
          <w:u w:val="none" w:color="auto"/>
        </w:rPr>
      </w:pPr>
      <w:r>
        <w:rPr>
          <w:rFonts w:hint="default" w:ascii="Times New Roman" w:hAnsi="Times New Roman" w:eastAsia="宋体" w:cs="Times New Roman"/>
          <w:bCs/>
          <w:color w:val="auto"/>
          <w:sz w:val="24"/>
          <w:szCs w:val="24"/>
          <w:u w:val="none" w:color="auto"/>
        </w:rPr>
        <w:t>应急监测人员应根据事故现场指挥人员和企业应急领导小组的指示，建立全厂应急监测网络，组织制定全厂突发环境事件应急监测方案。根据不同形式的环境事故，确定好监测对象、监测点位、监测指标、监测方法、监测频次、质控要求，同时做好分工，由应急监测小组组长分配好任务。应急监测人员应做好相应防护措施后进行事故监测区域，实施现场采样与监测，对污染物进行定性、定量以及确定污染范围。根据事态的变化，在企业应急领导小组的指导下适当调整监测方案。应急监测终止后应当根据事故变化情况向领导汇报，并分析事故发生的原因、提出预防措施、进行追踪监测。</w:t>
      </w:r>
    </w:p>
    <w:p w14:paraId="24A34827">
      <w:pPr>
        <w:spacing w:line="360" w:lineRule="auto"/>
        <w:ind w:firstLine="480" w:firstLineChars="200"/>
        <w:rPr>
          <w:rFonts w:hint="default" w:ascii="Times New Roman" w:hAnsi="Times New Roman" w:eastAsia="宋体" w:cs="Times New Roman"/>
          <w:bCs/>
          <w:color w:val="auto"/>
          <w:sz w:val="24"/>
          <w:szCs w:val="24"/>
          <w:u w:val="none" w:color="auto"/>
        </w:rPr>
      </w:pPr>
      <w:r>
        <w:rPr>
          <w:rFonts w:hint="default" w:ascii="Times New Roman" w:hAnsi="Times New Roman" w:eastAsia="宋体" w:cs="Times New Roman"/>
          <w:bCs/>
          <w:color w:val="auto"/>
          <w:sz w:val="24"/>
          <w:szCs w:val="24"/>
          <w:u w:val="none" w:color="auto"/>
        </w:rPr>
        <w:t>应急监测责任主体为湖南省乐升新材料科技有限公司，在公司不具有应急监测能力的情况下，可以与有检测能力资质的第三方机构签订应急监测委托协议。</w:t>
      </w:r>
    </w:p>
    <w:p w14:paraId="3534AA94">
      <w:pPr>
        <w:pStyle w:val="4"/>
        <w:numPr>
          <w:ilvl w:val="1"/>
          <w:numId w:val="0"/>
        </w:numPr>
        <w:spacing w:before="120" w:after="120" w:line="360" w:lineRule="auto"/>
        <w:contextualSpacing/>
        <w:rPr>
          <w:rFonts w:hint="default" w:ascii="Times New Roman" w:hAnsi="Times New Roman" w:eastAsia="宋体" w:cs="Times New Roman"/>
          <w:b/>
          <w:bCs w:val="0"/>
          <w:color w:val="auto"/>
          <w:sz w:val="28"/>
          <w:u w:val="none" w:color="auto"/>
        </w:rPr>
      </w:pPr>
      <w:bookmarkStart w:id="325" w:name="_Toc5227"/>
      <w:bookmarkStart w:id="326" w:name="_Toc32055"/>
      <w:bookmarkStart w:id="327" w:name="_Toc8992"/>
      <w:bookmarkStart w:id="328" w:name="_Toc12745"/>
      <w:r>
        <w:rPr>
          <w:rFonts w:hint="default" w:ascii="Times New Roman" w:hAnsi="Times New Roman" w:eastAsia="宋体" w:cs="Times New Roman"/>
          <w:b/>
          <w:bCs w:val="0"/>
          <w:color w:val="auto"/>
          <w:sz w:val="28"/>
          <w:u w:val="none" w:color="auto"/>
        </w:rPr>
        <w:t>6.5其他风险防范措施</w:t>
      </w:r>
      <w:bookmarkEnd w:id="325"/>
      <w:bookmarkEnd w:id="326"/>
      <w:bookmarkEnd w:id="327"/>
      <w:bookmarkEnd w:id="328"/>
    </w:p>
    <w:p w14:paraId="45D23001">
      <w:pPr>
        <w:spacing w:line="360" w:lineRule="auto"/>
        <w:ind w:firstLine="482" w:firstLineChars="200"/>
        <w:outlineLvl w:val="2"/>
        <w:rPr>
          <w:rFonts w:hint="default" w:ascii="Times New Roman" w:hAnsi="Times New Roman" w:eastAsia="宋体" w:cs="Times New Roman"/>
          <w:b/>
          <w:bCs/>
          <w:color w:val="auto"/>
          <w:sz w:val="24"/>
          <w:u w:val="none" w:color="auto"/>
        </w:rPr>
      </w:pPr>
      <w:bookmarkStart w:id="329" w:name="_Toc27611"/>
      <w:r>
        <w:rPr>
          <w:rFonts w:hint="default" w:ascii="Times New Roman" w:hAnsi="Times New Roman" w:eastAsia="宋体" w:cs="Times New Roman"/>
          <w:b/>
          <w:bCs/>
          <w:color w:val="auto"/>
          <w:sz w:val="24"/>
          <w:u w:val="none" w:color="auto"/>
        </w:rPr>
        <w:t>6.5.1、火灾爆炸风险防范</w:t>
      </w:r>
      <w:bookmarkEnd w:id="329"/>
    </w:p>
    <w:p w14:paraId="53073C60">
      <w:pPr>
        <w:spacing w:line="360" w:lineRule="auto"/>
        <w:ind w:firstLine="482"/>
        <w:rPr>
          <w:rFonts w:hint="default" w:ascii="Times New Roman" w:hAnsi="Times New Roman" w:eastAsia="宋体" w:cs="Times New Roman"/>
          <w:color w:val="auto"/>
          <w:sz w:val="24"/>
          <w:u w:val="none" w:color="auto"/>
        </w:rPr>
      </w:pPr>
      <w:r>
        <w:rPr>
          <w:rFonts w:hint="default" w:ascii="Times New Roman" w:hAnsi="Times New Roman" w:eastAsia="宋体" w:cs="Times New Roman"/>
          <w:color w:val="auto"/>
          <w:sz w:val="24"/>
          <w:u w:val="none" w:color="auto"/>
        </w:rPr>
        <w:t>（1）建立健全防火安全规章制度并严格执行：①安全员责任制度，把每个工作人员在业务上、工作上与消防安全管理上的职责、责任明确。②防火防爆制度：是对各种火种、火源和有散发火花危险的机械设备、作业活动，以及可燃、易燃物品等的控制和管理。③用火审批制度：在非固定点进行明火作业时，必须根据用火场所危险程度大小以及各级防火责任人，规定批准权限。④安全检查制度：各类储存容器、输送设备、安全设施、消防器材，进行各种日常的、定期的、专业的防火安全检查，并将发现的问题定人、限期落实整改。</w:t>
      </w:r>
    </w:p>
    <w:p w14:paraId="5EC9B1A5">
      <w:pPr>
        <w:spacing w:line="360" w:lineRule="auto"/>
        <w:ind w:firstLine="482"/>
        <w:rPr>
          <w:rFonts w:hint="default" w:ascii="Times New Roman" w:hAnsi="Times New Roman" w:eastAsia="宋体" w:cs="Times New Roman"/>
          <w:color w:val="auto"/>
          <w:sz w:val="24"/>
          <w:u w:val="none" w:color="auto"/>
        </w:rPr>
      </w:pPr>
      <w:r>
        <w:rPr>
          <w:rFonts w:hint="default" w:ascii="Times New Roman" w:hAnsi="Times New Roman" w:eastAsia="宋体" w:cs="Times New Roman"/>
          <w:color w:val="auto"/>
          <w:sz w:val="24"/>
          <w:u w:val="none" w:color="auto"/>
        </w:rPr>
        <w:t>（2）采取防火防爆措施：①合理分区，在防火区内杜绝火源。本项目矿物油类属于丙类火灾危险性产品，故在油类暂存区应设置防火墙、防护距离等安全措施。②在易燃、易爆的危险环境中，设置报警系统和灭火系统。③在爆炸危险区域内的照明、电机等电力装置的选型设计，结合其所在区域的防爆等级，严格按照《爆炸和火灾危险环境电力装置设计规范》（GB50058-92）的要求进行。④采取防静电、防火控制等措施。</w:t>
      </w:r>
    </w:p>
    <w:p w14:paraId="590F1548">
      <w:pPr>
        <w:spacing w:line="360" w:lineRule="auto"/>
        <w:ind w:firstLine="482"/>
        <w:rPr>
          <w:rFonts w:hint="default" w:ascii="Times New Roman" w:hAnsi="Times New Roman" w:eastAsia="宋体" w:cs="Times New Roman"/>
          <w:color w:val="auto"/>
          <w:sz w:val="24"/>
          <w:u w:val="none" w:color="auto"/>
        </w:rPr>
      </w:pPr>
      <w:r>
        <w:rPr>
          <w:rFonts w:hint="default" w:ascii="Times New Roman" w:hAnsi="Times New Roman" w:eastAsia="宋体" w:cs="Times New Roman"/>
          <w:color w:val="auto"/>
          <w:sz w:val="24"/>
          <w:u w:val="none" w:color="auto"/>
        </w:rPr>
        <w:t>（3）设立报警系统：设置火灾探测器及报警灭火控制设施，以便在火灾的初期阶段发出报警，并及时采取措施进行补救。</w:t>
      </w:r>
    </w:p>
    <w:p w14:paraId="6BD9A5EE">
      <w:pPr>
        <w:spacing w:line="360" w:lineRule="auto"/>
        <w:ind w:firstLine="482"/>
        <w:rPr>
          <w:rFonts w:hint="default" w:ascii="Times New Roman" w:hAnsi="Times New Roman" w:eastAsia="宋体" w:cs="Times New Roman"/>
          <w:color w:val="auto"/>
          <w:sz w:val="24"/>
          <w:u w:val="none" w:color="auto"/>
        </w:rPr>
      </w:pPr>
      <w:r>
        <w:rPr>
          <w:rFonts w:hint="default" w:ascii="Times New Roman" w:hAnsi="Times New Roman" w:eastAsia="宋体" w:cs="Times New Roman"/>
          <w:color w:val="auto"/>
          <w:sz w:val="24"/>
          <w:u w:val="none" w:color="auto"/>
        </w:rPr>
        <w:t>（4）加强员工的事故安全知识教育：要求全体人员了解事故处理的程序，事故处理器材的使用方法，一旦出现事故可以立即停产，控制事故的危险范围和程度。</w:t>
      </w:r>
    </w:p>
    <w:p w14:paraId="4CBBB6B1">
      <w:pPr>
        <w:spacing w:line="360" w:lineRule="auto"/>
        <w:ind w:firstLine="482" w:firstLineChars="200"/>
        <w:outlineLvl w:val="2"/>
        <w:rPr>
          <w:rFonts w:hint="default" w:ascii="Times New Roman" w:hAnsi="Times New Roman" w:eastAsia="宋体" w:cs="Times New Roman"/>
          <w:b/>
          <w:bCs/>
          <w:color w:val="auto"/>
          <w:sz w:val="24"/>
          <w:u w:val="none" w:color="auto"/>
        </w:rPr>
      </w:pPr>
      <w:bookmarkStart w:id="330" w:name="_Toc26643"/>
      <w:r>
        <w:rPr>
          <w:rFonts w:hint="default" w:ascii="Times New Roman" w:hAnsi="Times New Roman" w:eastAsia="宋体" w:cs="Times New Roman"/>
          <w:b/>
          <w:bCs/>
          <w:color w:val="auto"/>
          <w:sz w:val="24"/>
          <w:u w:val="none" w:color="auto"/>
        </w:rPr>
        <w:t>6.5.2、防火防爆、工艺和设备安全防范措施</w:t>
      </w:r>
      <w:bookmarkEnd w:id="330"/>
    </w:p>
    <w:p w14:paraId="53CC248F">
      <w:pPr>
        <w:spacing w:line="360" w:lineRule="auto"/>
        <w:ind w:firstLine="480" w:firstLineChars="200"/>
        <w:rPr>
          <w:rFonts w:hint="default" w:ascii="Times New Roman" w:hAnsi="Times New Roman" w:eastAsia="宋体" w:cs="Times New Roman"/>
          <w:color w:val="auto"/>
          <w:sz w:val="24"/>
          <w:u w:val="none" w:color="auto"/>
        </w:rPr>
      </w:pPr>
      <w:r>
        <w:rPr>
          <w:rFonts w:hint="default" w:ascii="Times New Roman" w:hAnsi="Times New Roman" w:eastAsia="宋体" w:cs="Times New Roman"/>
          <w:color w:val="auto"/>
          <w:sz w:val="24"/>
          <w:u w:val="none" w:color="auto"/>
        </w:rPr>
        <w:t>（1）防火防爆、消防安全防范措施</w:t>
      </w:r>
    </w:p>
    <w:p w14:paraId="5824B583">
      <w:pPr>
        <w:spacing w:line="360" w:lineRule="auto"/>
        <w:ind w:firstLine="480" w:firstLineChars="200"/>
        <w:rPr>
          <w:rFonts w:hint="default" w:ascii="Times New Roman" w:hAnsi="Times New Roman" w:eastAsia="宋体" w:cs="Times New Roman"/>
          <w:color w:val="auto"/>
          <w:sz w:val="24"/>
          <w:u w:val="none" w:color="auto"/>
        </w:rPr>
      </w:pPr>
      <w:r>
        <w:rPr>
          <w:rFonts w:hint="default" w:ascii="Times New Roman" w:hAnsi="Times New Roman" w:eastAsia="宋体" w:cs="Times New Roman"/>
          <w:color w:val="auto"/>
          <w:sz w:val="24"/>
          <w:u w:val="none" w:color="auto"/>
        </w:rPr>
        <w:t>根据各建筑物的使用性质，按《建筑物灭火器配置设计规范》（GB50140-2005）规定，分别配置足量的手提式干粉灭火器、泡沫灭火器、二氧化碳灭火器及推车式泡沫（或干粉）灭火器等消防器材。厂区内的消防及检修通道与界区外的主要道路及消防道路相通，确保消防通道通畅。</w:t>
      </w:r>
    </w:p>
    <w:p w14:paraId="750D766E">
      <w:pPr>
        <w:spacing w:line="360" w:lineRule="auto"/>
        <w:ind w:firstLine="480" w:firstLineChars="200"/>
        <w:rPr>
          <w:rFonts w:hint="default" w:ascii="Times New Roman" w:hAnsi="Times New Roman" w:eastAsia="宋体" w:cs="Times New Roman"/>
          <w:color w:val="auto"/>
          <w:sz w:val="24"/>
          <w:u w:val="none" w:color="auto"/>
        </w:rPr>
      </w:pPr>
      <w:r>
        <w:rPr>
          <w:rFonts w:hint="default" w:ascii="Times New Roman" w:hAnsi="Times New Roman" w:eastAsia="宋体" w:cs="Times New Roman"/>
          <w:color w:val="auto"/>
          <w:sz w:val="24"/>
          <w:u w:val="none" w:color="auto"/>
        </w:rPr>
        <w:t>（2）电器、电讯安全工程防范措施</w:t>
      </w:r>
    </w:p>
    <w:p w14:paraId="59B262C4">
      <w:pPr>
        <w:spacing w:line="360" w:lineRule="auto"/>
        <w:ind w:firstLine="480" w:firstLineChars="200"/>
        <w:rPr>
          <w:rFonts w:hint="default" w:ascii="Times New Roman" w:hAnsi="Times New Roman" w:eastAsia="宋体" w:cs="Times New Roman"/>
          <w:color w:val="auto"/>
          <w:sz w:val="24"/>
          <w:u w:val="none" w:color="auto"/>
        </w:rPr>
      </w:pPr>
      <w:r>
        <w:rPr>
          <w:rFonts w:hint="default" w:ascii="Times New Roman" w:hAnsi="Times New Roman" w:eastAsia="宋体" w:cs="Times New Roman"/>
          <w:color w:val="auto"/>
          <w:sz w:val="24"/>
          <w:u w:val="none" w:color="auto"/>
        </w:rPr>
        <w:t>①配电室所按照相关规范进行安全设计。</w:t>
      </w:r>
    </w:p>
    <w:p w14:paraId="30CD5DE6">
      <w:pPr>
        <w:spacing w:line="360" w:lineRule="auto"/>
        <w:ind w:firstLine="480" w:firstLineChars="200"/>
        <w:rPr>
          <w:rFonts w:hint="default" w:ascii="Times New Roman" w:hAnsi="Times New Roman" w:eastAsia="宋体" w:cs="Times New Roman"/>
          <w:color w:val="auto"/>
          <w:sz w:val="24"/>
          <w:u w:val="none" w:color="auto"/>
        </w:rPr>
      </w:pPr>
      <w:r>
        <w:rPr>
          <w:rFonts w:hint="default" w:ascii="Times New Roman" w:hAnsi="Times New Roman" w:eastAsia="宋体" w:cs="Times New Roman"/>
          <w:color w:val="auto"/>
          <w:sz w:val="24"/>
          <w:u w:val="none" w:color="auto"/>
        </w:rPr>
        <w:t>②防静电、防雷电按照相关规范进行安全设计。</w:t>
      </w:r>
    </w:p>
    <w:p w14:paraId="23EA199A">
      <w:pPr>
        <w:spacing w:line="360" w:lineRule="auto"/>
        <w:ind w:firstLine="480" w:firstLineChars="200"/>
        <w:rPr>
          <w:rFonts w:hint="default" w:ascii="Times New Roman" w:hAnsi="Times New Roman" w:eastAsia="宋体" w:cs="Times New Roman"/>
          <w:color w:val="auto"/>
          <w:sz w:val="24"/>
          <w:u w:val="none" w:color="auto"/>
        </w:rPr>
      </w:pPr>
      <w:r>
        <w:rPr>
          <w:rFonts w:hint="default" w:ascii="Times New Roman" w:hAnsi="Times New Roman" w:eastAsia="宋体" w:cs="Times New Roman"/>
          <w:color w:val="auto"/>
          <w:sz w:val="24"/>
          <w:u w:val="none" w:color="auto"/>
        </w:rPr>
        <w:t>（3）安全管理方面</w:t>
      </w:r>
    </w:p>
    <w:p w14:paraId="70A89ABF">
      <w:pPr>
        <w:spacing w:line="360" w:lineRule="auto"/>
        <w:ind w:firstLine="480" w:firstLineChars="200"/>
        <w:rPr>
          <w:rFonts w:hint="default" w:ascii="Times New Roman" w:hAnsi="Times New Roman" w:eastAsia="宋体" w:cs="Times New Roman"/>
          <w:color w:val="auto"/>
          <w:sz w:val="24"/>
          <w:u w:val="none" w:color="auto"/>
        </w:rPr>
      </w:pPr>
      <w:r>
        <w:rPr>
          <w:rFonts w:hint="default" w:ascii="Times New Roman" w:hAnsi="Times New Roman" w:eastAsia="宋体" w:cs="Times New Roman"/>
          <w:color w:val="auto"/>
          <w:sz w:val="24"/>
          <w:u w:val="none" w:color="auto"/>
        </w:rPr>
        <w:t>①管理人员和生产人员上岗前必须经过认真的生产培训和生产安全教育，并通过严格的考核，须持证上岗。</w:t>
      </w:r>
    </w:p>
    <w:p w14:paraId="2E81DBC2">
      <w:pPr>
        <w:spacing w:line="360" w:lineRule="auto"/>
        <w:ind w:firstLine="480" w:firstLineChars="200"/>
        <w:rPr>
          <w:rFonts w:hint="default" w:ascii="Times New Roman" w:hAnsi="Times New Roman" w:eastAsia="宋体" w:cs="Times New Roman"/>
          <w:color w:val="auto"/>
          <w:sz w:val="24"/>
          <w:u w:val="none" w:color="auto"/>
        </w:rPr>
      </w:pPr>
      <w:r>
        <w:rPr>
          <w:rFonts w:hint="default" w:ascii="Times New Roman" w:hAnsi="Times New Roman" w:eastAsia="宋体" w:cs="Times New Roman"/>
          <w:color w:val="auto"/>
          <w:sz w:val="24"/>
          <w:u w:val="none" w:color="auto"/>
        </w:rPr>
        <w:t>②建立完善的巡回检查（值守）记录和监控措施，确保巡检人员按时、按要求进行检查巡视。</w:t>
      </w:r>
    </w:p>
    <w:p w14:paraId="081DFCC2">
      <w:pPr>
        <w:spacing w:line="360" w:lineRule="auto"/>
        <w:ind w:firstLine="480" w:firstLineChars="200"/>
        <w:rPr>
          <w:rFonts w:hint="default" w:ascii="Times New Roman" w:hAnsi="Times New Roman" w:eastAsia="宋体" w:cs="Times New Roman"/>
          <w:color w:val="auto"/>
          <w:sz w:val="24"/>
          <w:u w:val="none" w:color="auto"/>
        </w:rPr>
      </w:pPr>
      <w:r>
        <w:rPr>
          <w:rFonts w:hint="default" w:ascii="Times New Roman" w:hAnsi="Times New Roman" w:eastAsia="宋体" w:cs="Times New Roman"/>
          <w:color w:val="auto"/>
          <w:sz w:val="24"/>
          <w:u w:val="none" w:color="auto"/>
        </w:rPr>
        <w:t>③做好设备、设施及安全防护设施的维护、保养，按设备管理的要求，保障设备完好率符合要求，并稳定在一定水平，使设备不带病运行，不超负荷运行，不野蛮操作。</w:t>
      </w:r>
    </w:p>
    <w:p w14:paraId="44FA3D03">
      <w:pPr>
        <w:pStyle w:val="4"/>
        <w:numPr>
          <w:ilvl w:val="1"/>
          <w:numId w:val="0"/>
        </w:numPr>
        <w:spacing w:before="120" w:after="120" w:line="360" w:lineRule="auto"/>
        <w:contextualSpacing/>
        <w:rPr>
          <w:rFonts w:hint="default" w:ascii="Times New Roman" w:hAnsi="Times New Roman" w:eastAsia="宋体" w:cs="Times New Roman"/>
          <w:b/>
          <w:bCs w:val="0"/>
          <w:color w:val="auto"/>
          <w:sz w:val="28"/>
          <w:u w:val="none" w:color="auto"/>
        </w:rPr>
      </w:pPr>
      <w:bookmarkStart w:id="331" w:name="_Toc3423"/>
      <w:bookmarkStart w:id="332" w:name="_Toc26911"/>
      <w:bookmarkStart w:id="333" w:name="_Toc26491"/>
      <w:bookmarkStart w:id="334" w:name="_Toc19355"/>
      <w:r>
        <w:rPr>
          <w:rFonts w:hint="default" w:ascii="Times New Roman" w:hAnsi="Times New Roman" w:eastAsia="宋体" w:cs="Times New Roman"/>
          <w:b/>
          <w:bCs w:val="0"/>
          <w:color w:val="auto"/>
          <w:sz w:val="28"/>
          <w:u w:val="none" w:color="auto"/>
        </w:rPr>
        <w:t>6.6应急措施</w:t>
      </w:r>
      <w:bookmarkEnd w:id="331"/>
      <w:bookmarkEnd w:id="332"/>
      <w:bookmarkEnd w:id="333"/>
      <w:bookmarkEnd w:id="334"/>
    </w:p>
    <w:p w14:paraId="0AFC502B">
      <w:pPr>
        <w:spacing w:line="360" w:lineRule="auto"/>
        <w:ind w:firstLine="482" w:firstLineChars="200"/>
        <w:outlineLvl w:val="2"/>
        <w:rPr>
          <w:rFonts w:hint="default" w:ascii="Times New Roman" w:hAnsi="Times New Roman" w:eastAsia="宋体" w:cs="Times New Roman"/>
          <w:b/>
          <w:bCs/>
          <w:color w:val="auto"/>
          <w:sz w:val="24"/>
          <w:u w:val="none" w:color="auto"/>
          <w:lang w:eastAsia="zh-TW"/>
        </w:rPr>
      </w:pPr>
      <w:bookmarkStart w:id="335" w:name="_Toc23057"/>
      <w:r>
        <w:rPr>
          <w:rFonts w:hint="default" w:ascii="Times New Roman" w:hAnsi="Times New Roman" w:eastAsia="宋体" w:cs="Times New Roman"/>
          <w:b/>
          <w:bCs/>
          <w:color w:val="auto"/>
          <w:sz w:val="24"/>
          <w:u w:val="none" w:color="auto"/>
        </w:rPr>
        <w:t>6.6.</w:t>
      </w:r>
      <w:r>
        <w:rPr>
          <w:rFonts w:hint="default" w:ascii="Times New Roman" w:hAnsi="Times New Roman" w:eastAsia="宋体" w:cs="Times New Roman"/>
          <w:b/>
          <w:bCs/>
          <w:color w:val="auto"/>
          <w:sz w:val="24"/>
          <w:u w:val="none" w:color="auto"/>
          <w:lang w:eastAsia="zh-TW"/>
        </w:rPr>
        <w:t>1、应急</w:t>
      </w:r>
      <w:r>
        <w:rPr>
          <w:rFonts w:hint="default" w:ascii="Times New Roman" w:hAnsi="Times New Roman" w:eastAsia="宋体" w:cs="Times New Roman"/>
          <w:b/>
          <w:bCs/>
          <w:color w:val="auto"/>
          <w:sz w:val="24"/>
          <w:u w:val="none" w:color="auto"/>
        </w:rPr>
        <w:t>预案</w:t>
      </w:r>
      <w:bookmarkEnd w:id="335"/>
    </w:p>
    <w:p w14:paraId="4196263C">
      <w:pPr>
        <w:pStyle w:val="113"/>
        <w:widowControl/>
        <w:ind w:firstLine="480"/>
        <w:rPr>
          <w:rFonts w:hint="default" w:ascii="Times New Roman" w:hAnsi="Times New Roman" w:eastAsia="宋体" w:cs="Times New Roman"/>
          <w:color w:val="auto"/>
          <w:szCs w:val="20"/>
          <w:u w:val="none" w:color="auto"/>
        </w:rPr>
      </w:pPr>
      <w:r>
        <w:rPr>
          <w:rFonts w:hint="default" w:ascii="Times New Roman" w:hAnsi="Times New Roman" w:eastAsia="宋体" w:cs="Times New Roman"/>
          <w:color w:val="auto"/>
          <w:szCs w:val="24"/>
          <w:u w:val="none" w:color="auto"/>
        </w:rPr>
        <w:t>企业应</w:t>
      </w:r>
      <w:r>
        <w:rPr>
          <w:rFonts w:hint="default" w:ascii="Times New Roman" w:hAnsi="Times New Roman" w:eastAsia="宋体" w:cs="Times New Roman"/>
          <w:color w:val="auto"/>
          <w:szCs w:val="20"/>
          <w:u w:val="none" w:color="auto"/>
        </w:rPr>
        <w:t>按《企业事业单位突发环境事件应急预案备案管理办法（试行）》（环发〔2015〕4号）、《湖南省突发环境事件应急预案管理办法》</w:t>
      </w:r>
      <w:r>
        <w:rPr>
          <w:rFonts w:hint="default" w:ascii="Times New Roman" w:hAnsi="Times New Roman" w:eastAsia="宋体" w:cs="Times New Roman"/>
          <w:color w:val="auto"/>
          <w:szCs w:val="20"/>
          <w:u w:val="none" w:color="auto"/>
          <w:lang w:eastAsia="zh-CN"/>
        </w:rPr>
        <w:t>（</w:t>
      </w:r>
      <w:r>
        <w:rPr>
          <w:rFonts w:hint="default" w:ascii="Times New Roman" w:hAnsi="Times New Roman" w:eastAsia="宋体" w:cs="Times New Roman"/>
          <w:color w:val="auto"/>
          <w:szCs w:val="20"/>
          <w:u w:val="none" w:color="auto"/>
          <w:lang w:val="en-US" w:eastAsia="zh-CN"/>
        </w:rPr>
        <w:t>修订版</w:t>
      </w:r>
      <w:r>
        <w:rPr>
          <w:rFonts w:hint="default" w:ascii="Times New Roman" w:hAnsi="Times New Roman" w:eastAsia="宋体" w:cs="Times New Roman"/>
          <w:color w:val="auto"/>
          <w:szCs w:val="20"/>
          <w:u w:val="none" w:color="auto"/>
          <w:lang w:eastAsia="zh-CN"/>
        </w:rPr>
        <w:t>）</w:t>
      </w:r>
      <w:r>
        <w:rPr>
          <w:rFonts w:hint="default" w:ascii="Times New Roman" w:hAnsi="Times New Roman" w:eastAsia="宋体" w:cs="Times New Roman"/>
          <w:color w:val="auto"/>
          <w:szCs w:val="20"/>
          <w:u w:val="none" w:color="auto"/>
        </w:rPr>
        <w:t>等相关规定编制《企业突发环境事件应急预案》，将项目风险管理及应急措施纳入其中，以应对突发事件，将损失和危害降到最低点。按照企业风险源类别，按照《企业突发环境事件应急预案》中确定的环境风险等级进行分级备案。突发环境事件应急预案编制按《企业突发环境事件应急预案编制指南》进行。应急预案及应急救援队伍的主要内容分别见表6-1。</w:t>
      </w:r>
    </w:p>
    <w:p w14:paraId="254B810D">
      <w:pPr>
        <w:pStyle w:val="17"/>
        <w:numPr>
          <w:ilvl w:val="0"/>
          <w:numId w:val="16"/>
        </w:numPr>
        <w:adjustRightInd/>
        <w:snapToGrid/>
        <w:rPr>
          <w:rFonts w:hint="default" w:ascii="Times New Roman" w:hAnsi="Times New Roman" w:eastAsia="宋体" w:cs="Times New Roman"/>
          <w:b/>
          <w:bCs/>
          <w:color w:val="auto"/>
          <w:sz w:val="21"/>
          <w:u w:val="none" w:color="auto"/>
        </w:rPr>
      </w:pPr>
      <w:r>
        <w:rPr>
          <w:rFonts w:hint="default" w:ascii="Times New Roman" w:hAnsi="Times New Roman" w:eastAsia="宋体" w:cs="Times New Roman"/>
          <w:b/>
          <w:bCs/>
          <w:color w:val="auto"/>
          <w:sz w:val="21"/>
          <w:u w:val="none" w:color="auto"/>
        </w:rPr>
        <w:t>应急预案内容</w:t>
      </w:r>
    </w:p>
    <w:tbl>
      <w:tblPr>
        <w:tblStyle w:val="31"/>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28"/>
        <w:gridCol w:w="2553"/>
        <w:gridCol w:w="5675"/>
      </w:tblGrid>
      <w:tr w14:paraId="62244A0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0" w:hRule="atLeast"/>
          <w:tblHeader/>
          <w:jc w:val="center"/>
        </w:trPr>
        <w:tc>
          <w:tcPr>
            <w:tcW w:w="457" w:type="pct"/>
            <w:tcBorders>
              <w:tl2br w:val="nil"/>
              <w:tr2bl w:val="nil"/>
            </w:tcBorders>
            <w:noWrap w:val="0"/>
            <w:vAlign w:val="center"/>
          </w:tcPr>
          <w:p w14:paraId="0F4B8221">
            <w:pPr>
              <w:spacing w:line="360" w:lineRule="exact"/>
              <w:jc w:val="center"/>
              <w:rPr>
                <w:rFonts w:hint="default" w:ascii="Times New Roman" w:hAnsi="Times New Roman" w:eastAsia="宋体" w:cs="Times New Roman"/>
                <w:b/>
                <w:bCs/>
                <w:color w:val="auto"/>
                <w:u w:val="none" w:color="auto"/>
              </w:rPr>
            </w:pPr>
            <w:r>
              <w:rPr>
                <w:rFonts w:hint="default" w:ascii="Times New Roman" w:hAnsi="Times New Roman" w:eastAsia="宋体" w:cs="Times New Roman"/>
                <w:b/>
                <w:bCs/>
                <w:color w:val="auto"/>
                <w:u w:val="none" w:color="auto"/>
              </w:rPr>
              <w:t>序号</w:t>
            </w:r>
          </w:p>
        </w:tc>
        <w:tc>
          <w:tcPr>
            <w:tcW w:w="1409" w:type="pct"/>
            <w:tcBorders>
              <w:tl2br w:val="nil"/>
              <w:tr2bl w:val="nil"/>
            </w:tcBorders>
            <w:noWrap w:val="0"/>
            <w:vAlign w:val="center"/>
          </w:tcPr>
          <w:p w14:paraId="14669532">
            <w:pPr>
              <w:spacing w:line="360" w:lineRule="exact"/>
              <w:jc w:val="center"/>
              <w:rPr>
                <w:rFonts w:hint="default" w:ascii="Times New Roman" w:hAnsi="Times New Roman" w:eastAsia="宋体" w:cs="Times New Roman"/>
                <w:b/>
                <w:bCs/>
                <w:color w:val="auto"/>
                <w:u w:val="none" w:color="auto"/>
              </w:rPr>
            </w:pPr>
            <w:r>
              <w:rPr>
                <w:rFonts w:hint="default" w:ascii="Times New Roman" w:hAnsi="Times New Roman" w:eastAsia="宋体" w:cs="Times New Roman"/>
                <w:b/>
                <w:bCs/>
                <w:color w:val="auto"/>
                <w:u w:val="none" w:color="auto"/>
              </w:rPr>
              <w:t>项目</w:t>
            </w:r>
          </w:p>
        </w:tc>
        <w:tc>
          <w:tcPr>
            <w:tcW w:w="3132" w:type="pct"/>
            <w:tcBorders>
              <w:tl2br w:val="nil"/>
              <w:tr2bl w:val="nil"/>
            </w:tcBorders>
            <w:noWrap w:val="0"/>
            <w:vAlign w:val="center"/>
          </w:tcPr>
          <w:p w14:paraId="28AE25B2">
            <w:pPr>
              <w:spacing w:line="360" w:lineRule="exact"/>
              <w:jc w:val="center"/>
              <w:rPr>
                <w:rFonts w:hint="default" w:ascii="Times New Roman" w:hAnsi="Times New Roman" w:eastAsia="宋体" w:cs="Times New Roman"/>
                <w:b/>
                <w:bCs/>
                <w:color w:val="auto"/>
                <w:u w:val="none" w:color="auto"/>
              </w:rPr>
            </w:pPr>
            <w:r>
              <w:rPr>
                <w:rFonts w:hint="default" w:ascii="Times New Roman" w:hAnsi="Times New Roman" w:eastAsia="宋体" w:cs="Times New Roman"/>
                <w:b/>
                <w:bCs/>
                <w:color w:val="auto"/>
                <w:u w:val="none" w:color="auto"/>
              </w:rPr>
              <w:t>内容及要求</w:t>
            </w:r>
          </w:p>
        </w:tc>
      </w:tr>
      <w:tr w14:paraId="301D673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0" w:hRule="atLeast"/>
          <w:jc w:val="center"/>
        </w:trPr>
        <w:tc>
          <w:tcPr>
            <w:tcW w:w="457" w:type="pct"/>
            <w:tcBorders>
              <w:tl2br w:val="nil"/>
              <w:tr2bl w:val="nil"/>
            </w:tcBorders>
            <w:noWrap w:val="0"/>
            <w:vAlign w:val="center"/>
          </w:tcPr>
          <w:p w14:paraId="1907D2D5">
            <w:pPr>
              <w:spacing w:line="360" w:lineRule="exact"/>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1</w:t>
            </w:r>
          </w:p>
        </w:tc>
        <w:tc>
          <w:tcPr>
            <w:tcW w:w="1409" w:type="pct"/>
            <w:tcBorders>
              <w:tl2br w:val="nil"/>
              <w:tr2bl w:val="nil"/>
            </w:tcBorders>
            <w:noWrap w:val="0"/>
            <w:vAlign w:val="center"/>
          </w:tcPr>
          <w:p w14:paraId="6C5F4FCB">
            <w:pPr>
              <w:spacing w:line="360" w:lineRule="exact"/>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应急计划区</w:t>
            </w:r>
          </w:p>
        </w:tc>
        <w:tc>
          <w:tcPr>
            <w:tcW w:w="3132" w:type="pct"/>
            <w:tcBorders>
              <w:tl2br w:val="nil"/>
              <w:tr2bl w:val="nil"/>
            </w:tcBorders>
            <w:noWrap w:val="0"/>
            <w:vAlign w:val="center"/>
          </w:tcPr>
          <w:p w14:paraId="1DB52784">
            <w:pPr>
              <w:spacing w:line="360" w:lineRule="exact"/>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val="en-US" w:eastAsia="zh-CN"/>
              </w:rPr>
              <w:t>高温</w:t>
            </w:r>
            <w:r>
              <w:rPr>
                <w:rFonts w:hint="default" w:ascii="Times New Roman" w:hAnsi="Times New Roman" w:eastAsia="宋体" w:cs="Times New Roman"/>
                <w:color w:val="auto"/>
                <w:u w:val="none" w:color="auto"/>
              </w:rPr>
              <w:t>作业区、</w:t>
            </w:r>
            <w:r>
              <w:rPr>
                <w:rFonts w:hint="default" w:ascii="Times New Roman" w:hAnsi="Times New Roman" w:eastAsia="宋体" w:cs="Times New Roman"/>
                <w:color w:val="auto"/>
                <w:u w:val="none" w:color="auto"/>
                <w:lang w:eastAsia="zh-CN"/>
              </w:rPr>
              <w:t>天然气管道</w:t>
            </w:r>
            <w:r>
              <w:rPr>
                <w:rFonts w:hint="default" w:ascii="Times New Roman" w:hAnsi="Times New Roman" w:eastAsia="宋体" w:cs="Times New Roman"/>
                <w:color w:val="auto"/>
                <w:u w:val="none" w:color="auto"/>
              </w:rPr>
              <w:t>区、环境保护目标等</w:t>
            </w:r>
          </w:p>
        </w:tc>
      </w:tr>
      <w:tr w14:paraId="7CE71A5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457" w:type="pct"/>
            <w:tcBorders>
              <w:tl2br w:val="nil"/>
              <w:tr2bl w:val="nil"/>
            </w:tcBorders>
            <w:noWrap w:val="0"/>
            <w:vAlign w:val="center"/>
          </w:tcPr>
          <w:p w14:paraId="75D5A5AC">
            <w:pPr>
              <w:spacing w:line="360" w:lineRule="exact"/>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2</w:t>
            </w:r>
          </w:p>
        </w:tc>
        <w:tc>
          <w:tcPr>
            <w:tcW w:w="1409" w:type="pct"/>
            <w:tcBorders>
              <w:tl2br w:val="nil"/>
              <w:tr2bl w:val="nil"/>
            </w:tcBorders>
            <w:noWrap w:val="0"/>
            <w:vAlign w:val="center"/>
          </w:tcPr>
          <w:p w14:paraId="37FEE02C">
            <w:pPr>
              <w:spacing w:line="360" w:lineRule="exact"/>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应急组织机构、人员</w:t>
            </w:r>
          </w:p>
        </w:tc>
        <w:tc>
          <w:tcPr>
            <w:tcW w:w="3132" w:type="pct"/>
            <w:tcBorders>
              <w:tl2br w:val="nil"/>
              <w:tr2bl w:val="nil"/>
            </w:tcBorders>
            <w:noWrap w:val="0"/>
            <w:vAlign w:val="center"/>
          </w:tcPr>
          <w:p w14:paraId="0D653EC7">
            <w:pPr>
              <w:spacing w:line="360" w:lineRule="exact"/>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企业、地区应急组织机构、人员</w:t>
            </w:r>
          </w:p>
        </w:tc>
      </w:tr>
      <w:tr w14:paraId="644D763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457" w:type="pct"/>
            <w:tcBorders>
              <w:tl2br w:val="nil"/>
              <w:tr2bl w:val="nil"/>
            </w:tcBorders>
            <w:noWrap w:val="0"/>
            <w:vAlign w:val="center"/>
          </w:tcPr>
          <w:p w14:paraId="08CA1A05">
            <w:pPr>
              <w:spacing w:line="360" w:lineRule="exact"/>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3</w:t>
            </w:r>
          </w:p>
        </w:tc>
        <w:tc>
          <w:tcPr>
            <w:tcW w:w="1409" w:type="pct"/>
            <w:tcBorders>
              <w:tl2br w:val="nil"/>
              <w:tr2bl w:val="nil"/>
            </w:tcBorders>
            <w:noWrap w:val="0"/>
            <w:vAlign w:val="center"/>
          </w:tcPr>
          <w:p w14:paraId="68164064">
            <w:pPr>
              <w:spacing w:line="360" w:lineRule="exact"/>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预案分级响应条件</w:t>
            </w:r>
          </w:p>
        </w:tc>
        <w:tc>
          <w:tcPr>
            <w:tcW w:w="3132" w:type="pct"/>
            <w:tcBorders>
              <w:tl2br w:val="nil"/>
              <w:tr2bl w:val="nil"/>
            </w:tcBorders>
            <w:noWrap w:val="0"/>
            <w:vAlign w:val="center"/>
          </w:tcPr>
          <w:p w14:paraId="5794E5CB">
            <w:pPr>
              <w:spacing w:line="360" w:lineRule="exact"/>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规定预案的级别及分级响应程序</w:t>
            </w:r>
          </w:p>
        </w:tc>
      </w:tr>
      <w:tr w14:paraId="7F827AF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457" w:type="pct"/>
            <w:tcBorders>
              <w:tl2br w:val="nil"/>
              <w:tr2bl w:val="nil"/>
            </w:tcBorders>
            <w:noWrap w:val="0"/>
            <w:vAlign w:val="center"/>
          </w:tcPr>
          <w:p w14:paraId="1DB1C3D7">
            <w:pPr>
              <w:spacing w:line="360" w:lineRule="exact"/>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4</w:t>
            </w:r>
          </w:p>
        </w:tc>
        <w:tc>
          <w:tcPr>
            <w:tcW w:w="1409" w:type="pct"/>
            <w:tcBorders>
              <w:tl2br w:val="nil"/>
              <w:tr2bl w:val="nil"/>
            </w:tcBorders>
            <w:noWrap w:val="0"/>
            <w:vAlign w:val="center"/>
          </w:tcPr>
          <w:p w14:paraId="1235D787">
            <w:pPr>
              <w:spacing w:line="360" w:lineRule="exact"/>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应急救援保障</w:t>
            </w:r>
          </w:p>
        </w:tc>
        <w:tc>
          <w:tcPr>
            <w:tcW w:w="3132" w:type="pct"/>
            <w:tcBorders>
              <w:tl2br w:val="nil"/>
              <w:tr2bl w:val="nil"/>
            </w:tcBorders>
            <w:noWrap w:val="0"/>
            <w:vAlign w:val="center"/>
          </w:tcPr>
          <w:p w14:paraId="36023B94">
            <w:pPr>
              <w:spacing w:line="360" w:lineRule="exact"/>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应急设施、设备与器材等</w:t>
            </w:r>
          </w:p>
        </w:tc>
      </w:tr>
      <w:tr w14:paraId="2A6E23E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457" w:type="pct"/>
            <w:tcBorders>
              <w:tl2br w:val="nil"/>
              <w:tr2bl w:val="nil"/>
            </w:tcBorders>
            <w:noWrap w:val="0"/>
            <w:vAlign w:val="center"/>
          </w:tcPr>
          <w:p w14:paraId="628A91F8">
            <w:pPr>
              <w:spacing w:line="360" w:lineRule="exact"/>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5</w:t>
            </w:r>
          </w:p>
        </w:tc>
        <w:tc>
          <w:tcPr>
            <w:tcW w:w="1409" w:type="pct"/>
            <w:tcBorders>
              <w:tl2br w:val="nil"/>
              <w:tr2bl w:val="nil"/>
            </w:tcBorders>
            <w:noWrap w:val="0"/>
            <w:vAlign w:val="center"/>
          </w:tcPr>
          <w:p w14:paraId="11848F3D">
            <w:pPr>
              <w:spacing w:line="360" w:lineRule="exact"/>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报警、通讯联络方式</w:t>
            </w:r>
          </w:p>
        </w:tc>
        <w:tc>
          <w:tcPr>
            <w:tcW w:w="3132" w:type="pct"/>
            <w:tcBorders>
              <w:tl2br w:val="nil"/>
              <w:tr2bl w:val="nil"/>
            </w:tcBorders>
            <w:noWrap w:val="0"/>
            <w:vAlign w:val="center"/>
          </w:tcPr>
          <w:p w14:paraId="3CF1682A">
            <w:pPr>
              <w:spacing w:line="360" w:lineRule="exact"/>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规定应急状态下的报警通信方式、通知方式和交通保障、管制</w:t>
            </w:r>
          </w:p>
        </w:tc>
      </w:tr>
      <w:tr w14:paraId="4B84AE2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457" w:type="pct"/>
            <w:tcBorders>
              <w:tl2br w:val="nil"/>
              <w:tr2bl w:val="nil"/>
            </w:tcBorders>
            <w:noWrap w:val="0"/>
            <w:vAlign w:val="center"/>
          </w:tcPr>
          <w:p w14:paraId="5FB81BD4">
            <w:pPr>
              <w:spacing w:line="360" w:lineRule="exact"/>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6</w:t>
            </w:r>
          </w:p>
        </w:tc>
        <w:tc>
          <w:tcPr>
            <w:tcW w:w="1409" w:type="pct"/>
            <w:tcBorders>
              <w:tl2br w:val="nil"/>
              <w:tr2bl w:val="nil"/>
            </w:tcBorders>
            <w:noWrap w:val="0"/>
            <w:vAlign w:val="center"/>
          </w:tcPr>
          <w:p w14:paraId="555A5B6E">
            <w:pPr>
              <w:spacing w:line="360" w:lineRule="exact"/>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应急环境监测、抢险、救援及控制措施</w:t>
            </w:r>
          </w:p>
        </w:tc>
        <w:tc>
          <w:tcPr>
            <w:tcW w:w="3132" w:type="pct"/>
            <w:tcBorders>
              <w:tl2br w:val="nil"/>
              <w:tr2bl w:val="nil"/>
            </w:tcBorders>
            <w:noWrap w:val="0"/>
            <w:vAlign w:val="center"/>
          </w:tcPr>
          <w:p w14:paraId="218F9662">
            <w:pPr>
              <w:spacing w:line="360" w:lineRule="exact"/>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由专业队伍负责对事故现场进行侦察监测，对事故性质、参数与后果进行评估，为指挥部门提供决策依据</w:t>
            </w:r>
          </w:p>
        </w:tc>
      </w:tr>
      <w:tr w14:paraId="085F1B0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457" w:type="pct"/>
            <w:tcBorders>
              <w:tl2br w:val="nil"/>
              <w:tr2bl w:val="nil"/>
            </w:tcBorders>
            <w:noWrap w:val="0"/>
            <w:vAlign w:val="center"/>
          </w:tcPr>
          <w:p w14:paraId="078027E8">
            <w:pPr>
              <w:spacing w:line="360" w:lineRule="exact"/>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7</w:t>
            </w:r>
          </w:p>
        </w:tc>
        <w:tc>
          <w:tcPr>
            <w:tcW w:w="1409" w:type="pct"/>
            <w:tcBorders>
              <w:tl2br w:val="nil"/>
              <w:tr2bl w:val="nil"/>
            </w:tcBorders>
            <w:noWrap w:val="0"/>
            <w:vAlign w:val="center"/>
          </w:tcPr>
          <w:p w14:paraId="7B7A1A81">
            <w:pPr>
              <w:spacing w:line="360" w:lineRule="exact"/>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应急检测、防护措施、清除泄漏措施和器材</w:t>
            </w:r>
          </w:p>
        </w:tc>
        <w:tc>
          <w:tcPr>
            <w:tcW w:w="3132" w:type="pct"/>
            <w:tcBorders>
              <w:tl2br w:val="nil"/>
              <w:tr2bl w:val="nil"/>
            </w:tcBorders>
            <w:noWrap w:val="0"/>
            <w:vAlign w:val="center"/>
          </w:tcPr>
          <w:p w14:paraId="626F3013">
            <w:pPr>
              <w:spacing w:line="360" w:lineRule="exact"/>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事故现场、邻近区域、控制防火区域，控制和清除污染措施及相应设备</w:t>
            </w:r>
          </w:p>
        </w:tc>
      </w:tr>
      <w:tr w14:paraId="5E5A771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457" w:type="pct"/>
            <w:tcBorders>
              <w:tl2br w:val="nil"/>
              <w:tr2bl w:val="nil"/>
            </w:tcBorders>
            <w:noWrap w:val="0"/>
            <w:vAlign w:val="center"/>
          </w:tcPr>
          <w:p w14:paraId="49C692D4">
            <w:pPr>
              <w:spacing w:line="360" w:lineRule="exact"/>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8</w:t>
            </w:r>
          </w:p>
        </w:tc>
        <w:tc>
          <w:tcPr>
            <w:tcW w:w="1409" w:type="pct"/>
            <w:tcBorders>
              <w:tl2br w:val="nil"/>
              <w:tr2bl w:val="nil"/>
            </w:tcBorders>
            <w:noWrap w:val="0"/>
            <w:vAlign w:val="center"/>
          </w:tcPr>
          <w:p w14:paraId="5C3770AD">
            <w:pPr>
              <w:spacing w:line="360" w:lineRule="exact"/>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人员紧急撤离、疏散，应急剂量控制、撤离组织计划</w:t>
            </w:r>
          </w:p>
        </w:tc>
        <w:tc>
          <w:tcPr>
            <w:tcW w:w="3132" w:type="pct"/>
            <w:tcBorders>
              <w:tl2br w:val="nil"/>
              <w:tr2bl w:val="nil"/>
            </w:tcBorders>
            <w:noWrap w:val="0"/>
            <w:vAlign w:val="center"/>
          </w:tcPr>
          <w:p w14:paraId="31005986">
            <w:pPr>
              <w:spacing w:line="360" w:lineRule="exact"/>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事故现场、工厂邻近区、受事故影响的区域人员及公众对毒物应急剂量控制规定、撤离组织计划及救护，医疗救护与公众健康</w:t>
            </w:r>
          </w:p>
        </w:tc>
      </w:tr>
      <w:tr w14:paraId="1C69984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457" w:type="pct"/>
            <w:tcBorders>
              <w:tl2br w:val="nil"/>
              <w:tr2bl w:val="nil"/>
            </w:tcBorders>
            <w:noWrap w:val="0"/>
            <w:vAlign w:val="center"/>
          </w:tcPr>
          <w:p w14:paraId="37AF3008">
            <w:pPr>
              <w:spacing w:line="360" w:lineRule="exact"/>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9</w:t>
            </w:r>
          </w:p>
        </w:tc>
        <w:tc>
          <w:tcPr>
            <w:tcW w:w="1409" w:type="pct"/>
            <w:tcBorders>
              <w:tl2br w:val="nil"/>
              <w:tr2bl w:val="nil"/>
            </w:tcBorders>
            <w:noWrap w:val="0"/>
            <w:vAlign w:val="center"/>
          </w:tcPr>
          <w:p w14:paraId="541E5FD2">
            <w:pPr>
              <w:spacing w:line="360" w:lineRule="exact"/>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事故应急救援关闭程序与恢复措施</w:t>
            </w:r>
          </w:p>
        </w:tc>
        <w:tc>
          <w:tcPr>
            <w:tcW w:w="3132" w:type="pct"/>
            <w:tcBorders>
              <w:tl2br w:val="nil"/>
              <w:tr2bl w:val="nil"/>
            </w:tcBorders>
            <w:noWrap w:val="0"/>
            <w:vAlign w:val="center"/>
          </w:tcPr>
          <w:p w14:paraId="5FA07C9A">
            <w:pPr>
              <w:spacing w:line="360" w:lineRule="exact"/>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规定应急状态终止程序事故现场善后处理，恢复措施</w:t>
            </w:r>
          </w:p>
          <w:p w14:paraId="2E3A396A">
            <w:pPr>
              <w:spacing w:line="360" w:lineRule="exact"/>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邻近区域解除事故警戒及善后恢复措施</w:t>
            </w:r>
          </w:p>
        </w:tc>
      </w:tr>
      <w:tr w14:paraId="3414AC2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457" w:type="pct"/>
            <w:tcBorders>
              <w:tl2br w:val="nil"/>
              <w:tr2bl w:val="nil"/>
            </w:tcBorders>
            <w:noWrap w:val="0"/>
            <w:vAlign w:val="center"/>
          </w:tcPr>
          <w:p w14:paraId="2E81F94B">
            <w:pPr>
              <w:spacing w:line="360" w:lineRule="exact"/>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10</w:t>
            </w:r>
          </w:p>
        </w:tc>
        <w:tc>
          <w:tcPr>
            <w:tcW w:w="1409" w:type="pct"/>
            <w:tcBorders>
              <w:tl2br w:val="nil"/>
              <w:tr2bl w:val="nil"/>
            </w:tcBorders>
            <w:noWrap w:val="0"/>
            <w:vAlign w:val="center"/>
          </w:tcPr>
          <w:p w14:paraId="7A11B826">
            <w:pPr>
              <w:spacing w:line="360" w:lineRule="exact"/>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应急培训计划</w:t>
            </w:r>
          </w:p>
        </w:tc>
        <w:tc>
          <w:tcPr>
            <w:tcW w:w="3132" w:type="pct"/>
            <w:tcBorders>
              <w:tl2br w:val="nil"/>
              <w:tr2bl w:val="nil"/>
            </w:tcBorders>
            <w:noWrap w:val="0"/>
            <w:vAlign w:val="center"/>
          </w:tcPr>
          <w:p w14:paraId="6BAF538B">
            <w:pPr>
              <w:spacing w:line="360" w:lineRule="exact"/>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应急计划制定后，平时安排人员培训与演练</w:t>
            </w:r>
          </w:p>
        </w:tc>
      </w:tr>
      <w:tr w14:paraId="7D9A79A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457" w:type="pct"/>
            <w:tcBorders>
              <w:tl2br w:val="nil"/>
              <w:tr2bl w:val="nil"/>
            </w:tcBorders>
            <w:noWrap w:val="0"/>
            <w:vAlign w:val="center"/>
          </w:tcPr>
          <w:p w14:paraId="7465F905">
            <w:pPr>
              <w:spacing w:line="360" w:lineRule="exact"/>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11</w:t>
            </w:r>
          </w:p>
        </w:tc>
        <w:tc>
          <w:tcPr>
            <w:tcW w:w="1409" w:type="pct"/>
            <w:tcBorders>
              <w:tl2br w:val="nil"/>
              <w:tr2bl w:val="nil"/>
            </w:tcBorders>
            <w:noWrap w:val="0"/>
            <w:vAlign w:val="center"/>
          </w:tcPr>
          <w:p w14:paraId="4D7F1027">
            <w:pPr>
              <w:spacing w:line="360" w:lineRule="exact"/>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公众教育和信息</w:t>
            </w:r>
          </w:p>
        </w:tc>
        <w:tc>
          <w:tcPr>
            <w:tcW w:w="3132" w:type="pct"/>
            <w:tcBorders>
              <w:tl2br w:val="nil"/>
              <w:tr2bl w:val="nil"/>
            </w:tcBorders>
            <w:noWrap w:val="0"/>
            <w:vAlign w:val="center"/>
          </w:tcPr>
          <w:p w14:paraId="484F0B40">
            <w:pPr>
              <w:spacing w:line="360" w:lineRule="exact"/>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对工厂邻近地区开展公众教育、培训和发布有关信息</w:t>
            </w:r>
          </w:p>
        </w:tc>
      </w:tr>
    </w:tbl>
    <w:p w14:paraId="03CC9091">
      <w:pPr>
        <w:spacing w:line="360" w:lineRule="auto"/>
        <w:ind w:firstLine="482" w:firstLineChars="200"/>
        <w:outlineLvl w:val="2"/>
        <w:rPr>
          <w:rFonts w:hint="default" w:ascii="Times New Roman" w:hAnsi="Times New Roman" w:eastAsia="宋体" w:cs="Times New Roman"/>
          <w:b/>
          <w:bCs/>
          <w:color w:val="auto"/>
          <w:sz w:val="24"/>
          <w:u w:val="none" w:color="auto"/>
        </w:rPr>
      </w:pPr>
      <w:bookmarkStart w:id="336" w:name="_Toc27500"/>
      <w:r>
        <w:rPr>
          <w:rFonts w:hint="default" w:ascii="Times New Roman" w:hAnsi="Times New Roman" w:eastAsia="宋体" w:cs="Times New Roman"/>
          <w:b/>
          <w:bCs/>
          <w:color w:val="auto"/>
          <w:sz w:val="24"/>
          <w:u w:val="none" w:color="auto"/>
        </w:rPr>
        <w:t>6.6.</w:t>
      </w:r>
      <w:r>
        <w:rPr>
          <w:rFonts w:hint="default" w:ascii="Times New Roman" w:hAnsi="Times New Roman" w:eastAsia="宋体" w:cs="Times New Roman"/>
          <w:b/>
          <w:bCs/>
          <w:color w:val="auto"/>
          <w:sz w:val="24"/>
          <w:u w:val="none" w:color="auto"/>
          <w:lang w:eastAsia="zh-TW"/>
        </w:rPr>
        <w:t>2、最大可信风险事故</w:t>
      </w:r>
      <w:r>
        <w:rPr>
          <w:rFonts w:hint="default" w:ascii="Times New Roman" w:hAnsi="Times New Roman" w:eastAsia="宋体" w:cs="Times New Roman"/>
          <w:b/>
          <w:bCs/>
          <w:color w:val="auto"/>
          <w:sz w:val="24"/>
          <w:u w:val="none" w:color="auto"/>
        </w:rPr>
        <w:t>及处置措施分析</w:t>
      </w:r>
      <w:bookmarkEnd w:id="336"/>
    </w:p>
    <w:p w14:paraId="77DB37ED">
      <w:pPr>
        <w:spacing w:line="360" w:lineRule="auto"/>
        <w:ind w:firstLine="480" w:firstLineChars="200"/>
        <w:rPr>
          <w:rFonts w:hint="default" w:ascii="Times New Roman" w:hAnsi="Times New Roman" w:eastAsia="宋体" w:cs="Times New Roman"/>
          <w:bCs/>
          <w:color w:val="auto"/>
          <w:sz w:val="24"/>
          <w:szCs w:val="24"/>
          <w:u w:val="none" w:color="auto"/>
          <w:lang w:eastAsia="zh-TW"/>
        </w:rPr>
      </w:pPr>
      <w:r>
        <w:rPr>
          <w:rFonts w:hint="default" w:ascii="Times New Roman" w:hAnsi="Times New Roman" w:eastAsia="宋体" w:cs="Times New Roman"/>
          <w:bCs/>
          <w:color w:val="auto"/>
          <w:sz w:val="24"/>
          <w:szCs w:val="24"/>
          <w:u w:val="none" w:color="auto"/>
          <w:lang w:eastAsia="zh-TW"/>
        </w:rPr>
        <w:t>本次评价对识别出的物质发生最大可信事故的处置措施、直接、伴生/次生污染及处置措施进行描述</w:t>
      </w:r>
      <w:r>
        <w:rPr>
          <w:rFonts w:hint="default" w:ascii="Times New Roman" w:hAnsi="Times New Roman" w:eastAsia="宋体" w:cs="Times New Roman"/>
          <w:bCs/>
          <w:color w:val="auto"/>
          <w:sz w:val="24"/>
          <w:szCs w:val="24"/>
          <w:u w:val="none" w:color="auto"/>
        </w:rPr>
        <w:t>，</w:t>
      </w:r>
      <w:r>
        <w:rPr>
          <w:rFonts w:hint="default" w:ascii="Times New Roman" w:hAnsi="Times New Roman" w:eastAsia="宋体" w:cs="Times New Roman"/>
          <w:bCs/>
          <w:color w:val="auto"/>
          <w:sz w:val="24"/>
          <w:szCs w:val="24"/>
          <w:u w:val="none" w:color="auto"/>
          <w:lang w:eastAsia="zh-TW"/>
        </w:rPr>
        <w:t>具体内容见</w:t>
      </w:r>
      <w:r>
        <w:rPr>
          <w:rFonts w:hint="default" w:ascii="Times New Roman" w:hAnsi="Times New Roman" w:eastAsia="宋体" w:cs="Times New Roman"/>
          <w:bCs/>
          <w:color w:val="auto"/>
          <w:sz w:val="24"/>
          <w:szCs w:val="24"/>
          <w:u w:val="none" w:color="auto"/>
        </w:rPr>
        <w:t>表6-2</w:t>
      </w:r>
      <w:r>
        <w:rPr>
          <w:rFonts w:hint="default" w:ascii="Times New Roman" w:hAnsi="Times New Roman" w:eastAsia="宋体" w:cs="Times New Roman"/>
          <w:bCs/>
          <w:color w:val="auto"/>
          <w:sz w:val="24"/>
          <w:szCs w:val="24"/>
          <w:u w:val="none" w:color="auto"/>
          <w:lang w:eastAsia="zh-TW"/>
        </w:rPr>
        <w:t>。</w:t>
      </w:r>
    </w:p>
    <w:p w14:paraId="1979EA22">
      <w:pPr>
        <w:pStyle w:val="17"/>
        <w:numPr>
          <w:ilvl w:val="0"/>
          <w:numId w:val="16"/>
        </w:numPr>
        <w:adjustRightInd/>
        <w:snapToGrid/>
        <w:rPr>
          <w:rFonts w:hint="default" w:ascii="Times New Roman" w:hAnsi="Times New Roman" w:eastAsia="宋体" w:cs="Times New Roman"/>
          <w:b/>
          <w:bCs/>
          <w:color w:val="auto"/>
          <w:sz w:val="21"/>
          <w:u w:val="none" w:color="auto"/>
        </w:rPr>
      </w:pPr>
      <w:r>
        <w:rPr>
          <w:rFonts w:hint="default" w:ascii="Times New Roman" w:hAnsi="Times New Roman" w:eastAsia="宋体" w:cs="Times New Roman"/>
          <w:b/>
          <w:bCs/>
          <w:color w:val="auto"/>
          <w:sz w:val="21"/>
          <w:u w:val="none" w:color="auto"/>
        </w:rPr>
        <w:t>最大可信事件的处置措施及伴生/次生污染及处置措施</w:t>
      </w:r>
    </w:p>
    <w:tbl>
      <w:tblPr>
        <w:tblStyle w:val="31"/>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422"/>
        <w:gridCol w:w="964"/>
        <w:gridCol w:w="1962"/>
        <w:gridCol w:w="2443"/>
        <w:gridCol w:w="2265"/>
      </w:tblGrid>
      <w:tr w14:paraId="58C70B0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blHeader/>
          <w:jc w:val="center"/>
        </w:trPr>
        <w:tc>
          <w:tcPr>
            <w:tcW w:w="785" w:type="pct"/>
            <w:tcBorders>
              <w:tl2br w:val="nil"/>
              <w:tr2bl w:val="nil"/>
            </w:tcBorders>
            <w:noWrap w:val="0"/>
            <w:vAlign w:val="center"/>
          </w:tcPr>
          <w:p w14:paraId="3F080CA8">
            <w:pPr>
              <w:contextualSpacing/>
              <w:jc w:val="center"/>
              <w:rPr>
                <w:rFonts w:hint="default" w:ascii="Times New Roman" w:hAnsi="Times New Roman" w:eastAsia="宋体" w:cs="Times New Roman"/>
                <w:b/>
                <w:bCs/>
                <w:color w:val="auto"/>
                <w:kern w:val="0"/>
                <w:u w:val="none" w:color="auto"/>
              </w:rPr>
            </w:pPr>
            <w:r>
              <w:rPr>
                <w:rFonts w:hint="default" w:ascii="Times New Roman" w:hAnsi="Times New Roman" w:eastAsia="宋体" w:cs="Times New Roman"/>
                <w:b/>
                <w:bCs/>
                <w:color w:val="auto"/>
                <w:kern w:val="0"/>
                <w:u w:val="none" w:color="auto"/>
              </w:rPr>
              <w:t>最大可信事故</w:t>
            </w:r>
          </w:p>
        </w:tc>
        <w:tc>
          <w:tcPr>
            <w:tcW w:w="532" w:type="pct"/>
            <w:tcBorders>
              <w:tl2br w:val="nil"/>
              <w:tr2bl w:val="nil"/>
            </w:tcBorders>
            <w:noWrap w:val="0"/>
            <w:vAlign w:val="center"/>
          </w:tcPr>
          <w:p w14:paraId="24C3BE0D">
            <w:pPr>
              <w:contextualSpacing/>
              <w:jc w:val="center"/>
              <w:rPr>
                <w:rFonts w:hint="default" w:ascii="Times New Roman" w:hAnsi="Times New Roman" w:eastAsia="宋体" w:cs="Times New Roman"/>
                <w:b/>
                <w:bCs/>
                <w:color w:val="auto"/>
                <w:kern w:val="0"/>
                <w:u w:val="none" w:color="auto"/>
              </w:rPr>
            </w:pPr>
            <w:r>
              <w:rPr>
                <w:rFonts w:hint="default" w:ascii="Times New Roman" w:hAnsi="Times New Roman" w:eastAsia="宋体" w:cs="Times New Roman"/>
                <w:b/>
                <w:bCs/>
                <w:color w:val="auto"/>
                <w:kern w:val="0"/>
                <w:u w:val="none" w:color="auto"/>
              </w:rPr>
              <w:t>事故类型</w:t>
            </w:r>
          </w:p>
        </w:tc>
        <w:tc>
          <w:tcPr>
            <w:tcW w:w="1083" w:type="pct"/>
            <w:tcBorders>
              <w:tl2br w:val="nil"/>
              <w:tr2bl w:val="nil"/>
            </w:tcBorders>
            <w:noWrap w:val="0"/>
            <w:vAlign w:val="center"/>
          </w:tcPr>
          <w:p w14:paraId="6FEAABA9">
            <w:pPr>
              <w:contextualSpacing/>
              <w:jc w:val="center"/>
              <w:rPr>
                <w:rFonts w:hint="default" w:ascii="Times New Roman" w:hAnsi="Times New Roman" w:eastAsia="宋体" w:cs="Times New Roman"/>
                <w:b/>
                <w:bCs/>
                <w:color w:val="auto"/>
                <w:kern w:val="0"/>
                <w:u w:val="none" w:color="auto"/>
              </w:rPr>
            </w:pPr>
            <w:r>
              <w:rPr>
                <w:rFonts w:hint="default" w:ascii="Times New Roman" w:hAnsi="Times New Roman" w:eastAsia="宋体" w:cs="Times New Roman"/>
                <w:b/>
                <w:bCs/>
                <w:color w:val="auto"/>
                <w:kern w:val="0"/>
                <w:u w:val="none" w:color="auto"/>
              </w:rPr>
              <w:t>直接污染</w:t>
            </w:r>
          </w:p>
        </w:tc>
        <w:tc>
          <w:tcPr>
            <w:tcW w:w="1348" w:type="pct"/>
            <w:tcBorders>
              <w:tl2br w:val="nil"/>
              <w:tr2bl w:val="nil"/>
            </w:tcBorders>
            <w:noWrap w:val="0"/>
            <w:vAlign w:val="center"/>
          </w:tcPr>
          <w:p w14:paraId="54202467">
            <w:pPr>
              <w:contextualSpacing/>
              <w:jc w:val="center"/>
              <w:rPr>
                <w:rFonts w:hint="default" w:ascii="Times New Roman" w:hAnsi="Times New Roman" w:eastAsia="宋体" w:cs="Times New Roman"/>
                <w:b/>
                <w:bCs/>
                <w:color w:val="auto"/>
                <w:kern w:val="0"/>
                <w:u w:val="none" w:color="auto"/>
              </w:rPr>
            </w:pPr>
            <w:r>
              <w:rPr>
                <w:rFonts w:hint="default" w:ascii="Times New Roman" w:hAnsi="Times New Roman" w:eastAsia="宋体" w:cs="Times New Roman"/>
                <w:b/>
                <w:bCs/>
                <w:color w:val="auto"/>
                <w:kern w:val="0"/>
                <w:u w:val="none" w:color="auto"/>
                <w:lang w:val="en-US" w:eastAsia="zh-CN"/>
              </w:rPr>
              <w:t>预防</w:t>
            </w:r>
            <w:r>
              <w:rPr>
                <w:rFonts w:hint="default" w:ascii="Times New Roman" w:hAnsi="Times New Roman" w:eastAsia="宋体" w:cs="Times New Roman"/>
                <w:b/>
                <w:bCs/>
                <w:color w:val="auto"/>
                <w:kern w:val="0"/>
                <w:u w:val="none" w:color="auto"/>
              </w:rPr>
              <w:t>措施</w:t>
            </w:r>
          </w:p>
        </w:tc>
        <w:tc>
          <w:tcPr>
            <w:tcW w:w="1250" w:type="pct"/>
            <w:tcBorders>
              <w:tl2br w:val="nil"/>
              <w:tr2bl w:val="nil"/>
            </w:tcBorders>
            <w:noWrap w:val="0"/>
            <w:vAlign w:val="center"/>
          </w:tcPr>
          <w:p w14:paraId="27F12EF7">
            <w:pPr>
              <w:contextualSpacing/>
              <w:jc w:val="center"/>
              <w:rPr>
                <w:rFonts w:hint="default" w:ascii="Times New Roman" w:hAnsi="Times New Roman" w:eastAsia="宋体" w:cs="Times New Roman"/>
                <w:b/>
                <w:bCs/>
                <w:color w:val="auto"/>
                <w:kern w:val="0"/>
                <w:u w:val="none" w:color="auto"/>
              </w:rPr>
            </w:pPr>
            <w:r>
              <w:rPr>
                <w:rFonts w:hint="default" w:ascii="Times New Roman" w:hAnsi="Times New Roman" w:eastAsia="宋体" w:cs="Times New Roman"/>
                <w:b/>
                <w:bCs/>
                <w:color w:val="auto"/>
                <w:kern w:val="0"/>
                <w:u w:val="none" w:color="auto"/>
              </w:rPr>
              <w:t>处置措施</w:t>
            </w:r>
          </w:p>
        </w:tc>
      </w:tr>
      <w:tr w14:paraId="09C77AC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85" w:type="pct"/>
            <w:tcBorders>
              <w:tl2br w:val="nil"/>
              <w:tr2bl w:val="nil"/>
            </w:tcBorders>
            <w:noWrap w:val="0"/>
            <w:vAlign w:val="center"/>
          </w:tcPr>
          <w:p w14:paraId="1CF09CE0">
            <w:pPr>
              <w:contextualSpacing/>
              <w:jc w:val="center"/>
              <w:rPr>
                <w:rFonts w:hint="default" w:ascii="Times New Roman" w:hAnsi="Times New Roman" w:eastAsia="宋体" w:cs="Times New Roman"/>
                <w:color w:val="auto"/>
                <w:kern w:val="0"/>
                <w:u w:val="none" w:color="auto"/>
              </w:rPr>
            </w:pPr>
            <w:r>
              <w:rPr>
                <w:rFonts w:hint="default" w:ascii="Times New Roman" w:hAnsi="Times New Roman" w:eastAsia="宋体" w:cs="Times New Roman"/>
                <w:color w:val="auto"/>
                <w:kern w:val="0"/>
                <w:u w:val="none" w:color="auto"/>
                <w:lang w:eastAsia="zh-CN"/>
              </w:rPr>
              <w:t>天然气管道</w:t>
            </w:r>
            <w:r>
              <w:rPr>
                <w:rFonts w:hint="default" w:ascii="Times New Roman" w:hAnsi="Times New Roman" w:eastAsia="宋体" w:cs="Times New Roman"/>
                <w:color w:val="auto"/>
                <w:kern w:val="0"/>
                <w:u w:val="none" w:color="auto"/>
              </w:rPr>
              <w:t>泄漏</w:t>
            </w:r>
          </w:p>
        </w:tc>
        <w:tc>
          <w:tcPr>
            <w:tcW w:w="532" w:type="pct"/>
            <w:tcBorders>
              <w:tl2br w:val="nil"/>
              <w:tr2bl w:val="nil"/>
            </w:tcBorders>
            <w:noWrap w:val="0"/>
            <w:vAlign w:val="center"/>
          </w:tcPr>
          <w:p w14:paraId="1D1D3A87">
            <w:pPr>
              <w:contextualSpacing/>
              <w:jc w:val="center"/>
              <w:rPr>
                <w:rFonts w:hint="default" w:ascii="Times New Roman" w:hAnsi="Times New Roman" w:eastAsia="宋体" w:cs="Times New Roman"/>
                <w:color w:val="auto"/>
                <w:kern w:val="0"/>
                <w:u w:val="none" w:color="auto"/>
                <w:lang w:val="en-US" w:eastAsia="zh-CN"/>
              </w:rPr>
            </w:pPr>
            <w:r>
              <w:rPr>
                <w:rFonts w:hint="default" w:ascii="Times New Roman" w:hAnsi="Times New Roman" w:eastAsia="宋体" w:cs="Times New Roman"/>
                <w:color w:val="auto"/>
                <w:kern w:val="0"/>
                <w:u w:val="none" w:color="auto"/>
              </w:rPr>
              <w:t>泄漏</w:t>
            </w:r>
            <w:r>
              <w:rPr>
                <w:rFonts w:hint="default" w:ascii="Times New Roman" w:hAnsi="Times New Roman" w:eastAsia="宋体" w:cs="Times New Roman"/>
                <w:color w:val="auto"/>
                <w:kern w:val="0"/>
                <w:u w:val="none" w:color="auto"/>
                <w:lang w:eastAsia="zh-CN"/>
              </w:rPr>
              <w:t>、</w:t>
            </w:r>
            <w:r>
              <w:rPr>
                <w:rFonts w:hint="default" w:ascii="Times New Roman" w:hAnsi="Times New Roman" w:eastAsia="宋体" w:cs="Times New Roman"/>
                <w:color w:val="auto"/>
                <w:kern w:val="0"/>
                <w:u w:val="none" w:color="auto"/>
                <w:lang w:val="en-US" w:eastAsia="zh-CN"/>
              </w:rPr>
              <w:t>火灾/爆炸</w:t>
            </w:r>
          </w:p>
        </w:tc>
        <w:tc>
          <w:tcPr>
            <w:tcW w:w="1083" w:type="pct"/>
            <w:tcBorders>
              <w:tl2br w:val="nil"/>
              <w:tr2bl w:val="nil"/>
            </w:tcBorders>
            <w:noWrap w:val="0"/>
            <w:vAlign w:val="center"/>
          </w:tcPr>
          <w:p w14:paraId="11424D4D">
            <w:pPr>
              <w:contextualSpacing/>
              <w:jc w:val="center"/>
              <w:rPr>
                <w:rFonts w:hint="default" w:ascii="Times New Roman" w:hAnsi="Times New Roman" w:eastAsia="宋体" w:cs="Times New Roman"/>
                <w:color w:val="auto"/>
                <w:kern w:val="0"/>
                <w:sz w:val="21"/>
                <w:szCs w:val="21"/>
                <w:u w:val="none" w:color="auto"/>
                <w:lang w:val="en-US" w:eastAsia="zh-CN" w:bidi="ar-SA"/>
              </w:rPr>
            </w:pPr>
            <w:r>
              <w:rPr>
                <w:rFonts w:hint="default" w:ascii="Times New Roman" w:hAnsi="Times New Roman" w:eastAsia="宋体" w:cs="Times New Roman"/>
                <w:color w:val="auto"/>
                <w:kern w:val="0"/>
                <w:u w:val="none" w:color="auto"/>
              </w:rPr>
              <w:t>环境空气</w:t>
            </w:r>
          </w:p>
        </w:tc>
        <w:tc>
          <w:tcPr>
            <w:tcW w:w="1348" w:type="pct"/>
            <w:tcBorders>
              <w:tl2br w:val="nil"/>
              <w:tr2bl w:val="nil"/>
            </w:tcBorders>
            <w:noWrap w:val="0"/>
            <w:vAlign w:val="center"/>
          </w:tcPr>
          <w:p w14:paraId="1FAA4B35">
            <w:pPr>
              <w:contextualSpacing/>
              <w:jc w:val="center"/>
              <w:rPr>
                <w:rFonts w:hint="default" w:ascii="Times New Roman" w:hAnsi="Times New Roman" w:eastAsia="宋体" w:cs="Times New Roman"/>
                <w:color w:val="auto"/>
                <w:kern w:val="0"/>
                <w:sz w:val="21"/>
                <w:szCs w:val="21"/>
                <w:u w:val="none" w:color="auto"/>
                <w:lang w:val="en-US" w:eastAsia="zh-CN" w:bidi="ar-SA"/>
              </w:rPr>
            </w:pPr>
            <w:r>
              <w:rPr>
                <w:rFonts w:hint="default" w:ascii="Times New Roman" w:hAnsi="Times New Roman" w:eastAsia="宋体" w:cs="Times New Roman"/>
                <w:color w:val="auto"/>
                <w:kern w:val="0"/>
                <w:u w:val="none" w:color="auto"/>
              </w:rPr>
              <w:t>定期巡检、自动报警监控设施</w:t>
            </w:r>
            <w:r>
              <w:rPr>
                <w:rFonts w:hint="default" w:ascii="Times New Roman" w:hAnsi="Times New Roman" w:eastAsia="宋体" w:cs="Times New Roman"/>
                <w:color w:val="auto"/>
                <w:kern w:val="0"/>
                <w:u w:val="none" w:color="auto"/>
                <w:lang w:eastAsia="zh-CN"/>
              </w:rPr>
              <w:t>、</w:t>
            </w:r>
            <w:r>
              <w:rPr>
                <w:rFonts w:hint="default" w:ascii="Times New Roman" w:hAnsi="Times New Roman" w:eastAsia="宋体" w:cs="Times New Roman"/>
                <w:color w:val="auto"/>
                <w:kern w:val="0"/>
                <w:u w:val="none" w:color="auto"/>
                <w:lang w:val="en-US" w:eastAsia="zh-CN"/>
              </w:rPr>
              <w:t>自动连锁装置</w:t>
            </w:r>
          </w:p>
        </w:tc>
        <w:tc>
          <w:tcPr>
            <w:tcW w:w="1250" w:type="pct"/>
            <w:tcBorders>
              <w:tl2br w:val="nil"/>
              <w:tr2bl w:val="nil"/>
            </w:tcBorders>
            <w:noWrap w:val="0"/>
            <w:vAlign w:val="center"/>
          </w:tcPr>
          <w:p w14:paraId="6943448C">
            <w:pPr>
              <w:contextualSpacing/>
              <w:jc w:val="center"/>
              <w:rPr>
                <w:rFonts w:hint="default" w:ascii="Times New Roman" w:hAnsi="Times New Roman" w:eastAsia="宋体" w:cs="Times New Roman"/>
                <w:color w:val="auto"/>
                <w:kern w:val="0"/>
                <w:u w:val="none" w:color="auto"/>
                <w:lang w:val="en-US" w:eastAsia="zh-CN"/>
              </w:rPr>
            </w:pPr>
            <w:r>
              <w:rPr>
                <w:rFonts w:hint="default" w:ascii="Times New Roman" w:hAnsi="Times New Roman" w:eastAsia="宋体" w:cs="Times New Roman"/>
                <w:color w:val="auto"/>
                <w:kern w:val="0"/>
                <w:u w:val="none" w:color="auto"/>
                <w:lang w:val="en-US" w:eastAsia="zh-CN"/>
              </w:rPr>
              <w:t>通过自动连锁装置自动关闭铝合金熔铸二厂天然气阀门</w:t>
            </w:r>
          </w:p>
        </w:tc>
      </w:tr>
      <w:tr w14:paraId="58E42CB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85" w:type="pct"/>
            <w:tcBorders>
              <w:tl2br w:val="nil"/>
              <w:tr2bl w:val="nil"/>
            </w:tcBorders>
            <w:noWrap w:val="0"/>
            <w:vAlign w:val="center"/>
          </w:tcPr>
          <w:p w14:paraId="16A59880">
            <w:pPr>
              <w:contextualSpacing/>
              <w:jc w:val="center"/>
              <w:rPr>
                <w:rFonts w:hint="default" w:ascii="Times New Roman" w:hAnsi="Times New Roman" w:eastAsia="宋体" w:cs="Times New Roman"/>
                <w:color w:val="auto"/>
                <w:kern w:val="0"/>
                <w:u w:val="none" w:color="auto"/>
                <w:lang w:val="en-US" w:eastAsia="zh-CN"/>
              </w:rPr>
            </w:pPr>
            <w:bookmarkStart w:id="337" w:name="_Toc15681"/>
            <w:bookmarkStart w:id="338" w:name="_Toc31777"/>
            <w:bookmarkStart w:id="339" w:name="_Toc1111"/>
            <w:bookmarkStart w:id="340" w:name="_Toc17246"/>
            <w:bookmarkStart w:id="341" w:name="_Toc25953"/>
            <w:bookmarkStart w:id="342" w:name="_Toc13909"/>
            <w:bookmarkStart w:id="343" w:name="_Toc20829"/>
            <w:r>
              <w:rPr>
                <w:rFonts w:hint="default" w:ascii="Times New Roman" w:hAnsi="Times New Roman" w:eastAsia="宋体" w:cs="Times New Roman"/>
                <w:color w:val="auto"/>
                <w:kern w:val="0"/>
                <w:u w:val="none" w:color="auto"/>
                <w:lang w:val="en-US" w:eastAsia="zh-CN"/>
              </w:rPr>
              <w:t>矿物油类泄漏</w:t>
            </w:r>
          </w:p>
        </w:tc>
        <w:tc>
          <w:tcPr>
            <w:tcW w:w="532" w:type="pct"/>
            <w:tcBorders>
              <w:tl2br w:val="nil"/>
              <w:tr2bl w:val="nil"/>
            </w:tcBorders>
            <w:noWrap w:val="0"/>
            <w:vAlign w:val="center"/>
          </w:tcPr>
          <w:p w14:paraId="380D8261">
            <w:pPr>
              <w:contextualSpacing/>
              <w:jc w:val="center"/>
              <w:rPr>
                <w:rFonts w:hint="default" w:ascii="Times New Roman" w:hAnsi="Times New Roman" w:eastAsia="宋体" w:cs="Times New Roman"/>
                <w:color w:val="auto"/>
                <w:kern w:val="0"/>
                <w:u w:val="none" w:color="auto"/>
                <w:lang w:val="en-US" w:eastAsia="zh-CN"/>
              </w:rPr>
            </w:pPr>
            <w:r>
              <w:rPr>
                <w:rFonts w:hint="default" w:ascii="Times New Roman" w:hAnsi="Times New Roman" w:eastAsia="宋体" w:cs="Times New Roman"/>
                <w:color w:val="auto"/>
                <w:kern w:val="0"/>
                <w:u w:val="none" w:color="auto"/>
                <w:lang w:val="en-US" w:eastAsia="zh-CN"/>
              </w:rPr>
              <w:t>泄漏</w:t>
            </w:r>
          </w:p>
        </w:tc>
        <w:tc>
          <w:tcPr>
            <w:tcW w:w="1083" w:type="pct"/>
            <w:tcBorders>
              <w:tl2br w:val="nil"/>
              <w:tr2bl w:val="nil"/>
            </w:tcBorders>
            <w:noWrap w:val="0"/>
            <w:vAlign w:val="center"/>
          </w:tcPr>
          <w:p w14:paraId="0B14CAF4">
            <w:pPr>
              <w:contextualSpacing/>
              <w:jc w:val="center"/>
              <w:rPr>
                <w:rFonts w:hint="default" w:ascii="Times New Roman" w:hAnsi="Times New Roman" w:eastAsia="宋体" w:cs="Times New Roman"/>
                <w:color w:val="auto"/>
                <w:kern w:val="0"/>
                <w:u w:val="none" w:color="auto"/>
                <w:lang w:val="en-US" w:eastAsia="zh-CN"/>
              </w:rPr>
            </w:pPr>
            <w:r>
              <w:rPr>
                <w:rFonts w:hint="default" w:ascii="Times New Roman" w:hAnsi="Times New Roman" w:eastAsia="宋体" w:cs="Times New Roman"/>
                <w:color w:val="auto"/>
                <w:kern w:val="0"/>
                <w:u w:val="none" w:color="auto"/>
                <w:lang w:val="en-US" w:eastAsia="zh-CN"/>
              </w:rPr>
              <w:t>地表水</w:t>
            </w:r>
          </w:p>
        </w:tc>
        <w:tc>
          <w:tcPr>
            <w:tcW w:w="1348" w:type="pct"/>
            <w:tcBorders>
              <w:tl2br w:val="nil"/>
              <w:tr2bl w:val="nil"/>
            </w:tcBorders>
            <w:noWrap w:val="0"/>
            <w:vAlign w:val="center"/>
          </w:tcPr>
          <w:p w14:paraId="783E9E8A">
            <w:pPr>
              <w:contextualSpacing/>
              <w:jc w:val="center"/>
              <w:rPr>
                <w:rFonts w:hint="default" w:ascii="Times New Roman" w:hAnsi="Times New Roman" w:eastAsia="宋体" w:cs="Times New Roman"/>
                <w:color w:val="auto"/>
                <w:kern w:val="0"/>
                <w:u w:val="none" w:color="auto"/>
                <w:lang w:val="en-US" w:eastAsia="zh-CN"/>
              </w:rPr>
            </w:pPr>
            <w:r>
              <w:rPr>
                <w:rFonts w:hint="default" w:ascii="Times New Roman" w:hAnsi="Times New Roman" w:eastAsia="宋体" w:cs="Times New Roman"/>
                <w:color w:val="auto"/>
                <w:kern w:val="0"/>
                <w:u w:val="none" w:color="auto"/>
                <w:lang w:val="en-US" w:eastAsia="zh-CN"/>
              </w:rPr>
              <w:t>雨水排放口设置截止阀</w:t>
            </w:r>
          </w:p>
        </w:tc>
        <w:tc>
          <w:tcPr>
            <w:tcW w:w="1250" w:type="pct"/>
            <w:tcBorders>
              <w:tl2br w:val="nil"/>
              <w:tr2bl w:val="nil"/>
            </w:tcBorders>
            <w:noWrap w:val="0"/>
            <w:vAlign w:val="center"/>
          </w:tcPr>
          <w:p w14:paraId="578DB342">
            <w:pPr>
              <w:contextualSpacing/>
              <w:jc w:val="center"/>
              <w:rPr>
                <w:rFonts w:hint="default" w:ascii="Times New Roman" w:hAnsi="Times New Roman" w:eastAsia="宋体" w:cs="Times New Roman"/>
                <w:color w:val="auto"/>
                <w:kern w:val="0"/>
                <w:u w:val="none" w:color="auto"/>
                <w:lang w:val="en-US" w:eastAsia="zh-CN"/>
              </w:rPr>
            </w:pPr>
            <w:r>
              <w:rPr>
                <w:rFonts w:hint="default" w:ascii="Times New Roman" w:hAnsi="Times New Roman" w:eastAsia="宋体" w:cs="Times New Roman"/>
                <w:color w:val="auto"/>
                <w:kern w:val="0"/>
                <w:u w:val="none" w:color="auto"/>
                <w:lang w:val="en-US" w:eastAsia="zh-CN"/>
              </w:rPr>
              <w:t>关闭雨水阀门，同时电排站停止排水，同时在排放点处及下游设置拦油收油措施</w:t>
            </w:r>
          </w:p>
        </w:tc>
      </w:tr>
    </w:tbl>
    <w:p w14:paraId="471E69FC">
      <w:pPr>
        <w:pStyle w:val="3"/>
        <w:snapToGrid/>
        <w:ind w:left="0" w:firstLine="0"/>
        <w:rPr>
          <w:rFonts w:hint="default" w:ascii="Times New Roman" w:hAnsi="Times New Roman" w:eastAsia="宋体" w:cs="Times New Roman"/>
          <w:color w:val="auto"/>
          <w:szCs w:val="28"/>
          <w:u w:val="none" w:color="auto"/>
        </w:rPr>
      </w:pPr>
      <w:r>
        <w:rPr>
          <w:rFonts w:hint="default" w:ascii="Times New Roman" w:hAnsi="Times New Roman" w:eastAsia="宋体" w:cs="Times New Roman"/>
          <w:color w:val="auto"/>
          <w:szCs w:val="28"/>
          <w:u w:val="none" w:color="auto"/>
        </w:rPr>
        <w:br w:type="page"/>
      </w:r>
      <w:bookmarkStart w:id="344" w:name="_Toc2473"/>
      <w:bookmarkStart w:id="345" w:name="_Toc4362"/>
      <w:bookmarkStart w:id="346" w:name="_Toc2426"/>
      <w:bookmarkStart w:id="347" w:name="_Toc31510"/>
      <w:bookmarkStart w:id="348" w:name="_Toc26895"/>
      <w:bookmarkStart w:id="349" w:name="_Toc25823"/>
      <w:r>
        <w:rPr>
          <w:rFonts w:hint="default" w:ascii="Times New Roman" w:hAnsi="Times New Roman" w:eastAsia="宋体" w:cs="Times New Roman"/>
          <w:color w:val="auto"/>
          <w:kern w:val="2"/>
          <w:sz w:val="32"/>
          <w:szCs w:val="32"/>
          <w:u w:val="none" w:color="auto"/>
        </w:rPr>
        <w:t>7环境风险评价结论</w:t>
      </w:r>
      <w:bookmarkEnd w:id="337"/>
      <w:bookmarkEnd w:id="338"/>
      <w:bookmarkEnd w:id="339"/>
      <w:bookmarkEnd w:id="340"/>
      <w:bookmarkEnd w:id="341"/>
      <w:bookmarkEnd w:id="342"/>
      <w:bookmarkEnd w:id="343"/>
      <w:bookmarkEnd w:id="344"/>
      <w:bookmarkEnd w:id="345"/>
      <w:bookmarkEnd w:id="346"/>
      <w:bookmarkEnd w:id="347"/>
      <w:bookmarkEnd w:id="348"/>
      <w:bookmarkEnd w:id="349"/>
    </w:p>
    <w:p w14:paraId="139DEA57">
      <w:pPr>
        <w:spacing w:line="360" w:lineRule="auto"/>
        <w:ind w:firstLine="480" w:firstLineChars="200"/>
        <w:rPr>
          <w:rFonts w:hint="default" w:ascii="Times New Roman" w:hAnsi="Times New Roman" w:eastAsia="宋体" w:cs="Times New Roman"/>
          <w:bCs/>
          <w:color w:val="auto"/>
          <w:sz w:val="24"/>
          <w:szCs w:val="24"/>
          <w:highlight w:val="none"/>
          <w:u w:val="none" w:color="auto"/>
        </w:rPr>
      </w:pPr>
      <w:r>
        <w:rPr>
          <w:rFonts w:hint="default" w:ascii="Times New Roman" w:hAnsi="Times New Roman" w:eastAsia="宋体" w:cs="Times New Roman"/>
          <w:bCs/>
          <w:color w:val="auto"/>
          <w:sz w:val="24"/>
          <w:szCs w:val="24"/>
          <w:highlight w:val="none"/>
          <w:u w:val="none" w:color="auto"/>
        </w:rPr>
        <w:t>通过对生产设施风险识别和生产过程所涉及的物质风险识别</w:t>
      </w:r>
      <w:r>
        <w:rPr>
          <w:rFonts w:hint="default" w:ascii="Times New Roman" w:hAnsi="Times New Roman" w:eastAsia="宋体" w:cs="Times New Roman"/>
          <w:bCs/>
          <w:color w:val="auto"/>
          <w:sz w:val="24"/>
          <w:szCs w:val="24"/>
          <w:highlight w:val="none"/>
          <w:u w:val="none" w:color="auto"/>
          <w:lang w:eastAsia="zh-CN"/>
        </w:rPr>
        <w:t>，</w:t>
      </w:r>
      <w:r>
        <w:rPr>
          <w:rFonts w:hint="default" w:ascii="Times New Roman" w:hAnsi="Times New Roman" w:eastAsia="宋体" w:cs="Times New Roman"/>
          <w:bCs/>
          <w:color w:val="auto"/>
          <w:sz w:val="24"/>
          <w:szCs w:val="24"/>
          <w:highlight w:val="none"/>
          <w:u w:val="none" w:color="auto"/>
        </w:rPr>
        <w:t>确定本项目的</w:t>
      </w:r>
      <w:r>
        <w:rPr>
          <w:rFonts w:hint="default" w:ascii="Times New Roman" w:hAnsi="Times New Roman" w:eastAsia="宋体" w:cs="Times New Roman"/>
          <w:bCs/>
          <w:color w:val="auto"/>
          <w:sz w:val="24"/>
          <w:szCs w:val="24"/>
          <w:highlight w:val="none"/>
          <w:u w:val="none" w:color="auto"/>
          <w:lang w:val="en-US" w:eastAsia="zh-CN"/>
        </w:rPr>
        <w:t>影响最大的</w:t>
      </w:r>
      <w:r>
        <w:rPr>
          <w:rFonts w:hint="default" w:ascii="Times New Roman" w:hAnsi="Times New Roman" w:eastAsia="宋体" w:cs="Times New Roman"/>
          <w:bCs/>
          <w:color w:val="auto"/>
          <w:sz w:val="24"/>
          <w:szCs w:val="24"/>
          <w:highlight w:val="none"/>
          <w:u w:val="none" w:color="auto"/>
        </w:rPr>
        <w:t>风险类型为</w:t>
      </w:r>
      <w:r>
        <w:rPr>
          <w:rFonts w:hint="default" w:ascii="Times New Roman" w:hAnsi="Times New Roman" w:eastAsia="宋体" w:cs="Times New Roman"/>
          <w:bCs/>
          <w:color w:val="auto"/>
          <w:sz w:val="24"/>
          <w:szCs w:val="24"/>
          <w:highlight w:val="none"/>
          <w:u w:val="none" w:color="auto"/>
          <w:lang w:val="en-US" w:eastAsia="zh-CN"/>
        </w:rPr>
        <w:t>天然气管道</w:t>
      </w:r>
      <w:r>
        <w:rPr>
          <w:rFonts w:hint="default" w:ascii="Times New Roman" w:hAnsi="Times New Roman" w:eastAsia="宋体" w:cs="Times New Roman"/>
          <w:bCs/>
          <w:color w:val="auto"/>
          <w:sz w:val="24"/>
          <w:szCs w:val="24"/>
          <w:highlight w:val="none"/>
          <w:u w:val="none" w:color="auto"/>
        </w:rPr>
        <w:t>泄漏</w:t>
      </w:r>
      <w:r>
        <w:rPr>
          <w:rFonts w:hint="eastAsia" w:cs="Times New Roman"/>
          <w:bCs/>
          <w:color w:val="auto"/>
          <w:sz w:val="24"/>
          <w:szCs w:val="24"/>
          <w:highlight w:val="none"/>
          <w:u w:val="none" w:color="auto"/>
          <w:lang w:eastAsia="zh-CN"/>
        </w:rPr>
        <w:t>、</w:t>
      </w:r>
      <w:r>
        <w:rPr>
          <w:rFonts w:hint="eastAsia" w:cs="Times New Roman"/>
          <w:bCs/>
          <w:color w:val="auto"/>
          <w:sz w:val="24"/>
          <w:szCs w:val="24"/>
          <w:highlight w:val="none"/>
          <w:u w:val="none" w:color="auto"/>
          <w:lang w:val="en-US" w:eastAsia="zh-CN"/>
        </w:rPr>
        <w:t>火灾/爆炸产生的次生污染物</w:t>
      </w:r>
      <w:r>
        <w:rPr>
          <w:rFonts w:hint="default" w:ascii="Times New Roman" w:hAnsi="Times New Roman" w:eastAsia="宋体" w:cs="Times New Roman"/>
          <w:bCs/>
          <w:color w:val="auto"/>
          <w:sz w:val="24"/>
          <w:szCs w:val="24"/>
          <w:highlight w:val="none"/>
          <w:u w:val="none" w:color="auto"/>
        </w:rPr>
        <w:t>。为了防范事故和减少危害</w:t>
      </w:r>
      <w:r>
        <w:rPr>
          <w:rFonts w:hint="default" w:ascii="Times New Roman" w:hAnsi="Times New Roman" w:eastAsia="宋体" w:cs="Times New Roman"/>
          <w:bCs/>
          <w:color w:val="auto"/>
          <w:sz w:val="24"/>
          <w:szCs w:val="24"/>
          <w:highlight w:val="none"/>
          <w:u w:val="none" w:color="auto"/>
          <w:lang w:eastAsia="zh-CN"/>
        </w:rPr>
        <w:t>，</w:t>
      </w:r>
      <w:r>
        <w:rPr>
          <w:rFonts w:hint="default" w:ascii="Times New Roman" w:hAnsi="Times New Roman" w:eastAsia="宋体" w:cs="Times New Roman"/>
          <w:bCs/>
          <w:color w:val="auto"/>
          <w:sz w:val="24"/>
          <w:szCs w:val="24"/>
          <w:highlight w:val="none"/>
          <w:u w:val="none" w:color="auto"/>
        </w:rPr>
        <w:t>建设项目从厂区总平面布置、生产操作和原料储运安全防范、事故废水收集等方面编制了详细的风险防范措施</w:t>
      </w:r>
      <w:r>
        <w:rPr>
          <w:rFonts w:hint="default" w:ascii="Times New Roman" w:hAnsi="Times New Roman" w:eastAsia="宋体" w:cs="Times New Roman"/>
          <w:bCs/>
          <w:color w:val="auto"/>
          <w:sz w:val="24"/>
          <w:szCs w:val="24"/>
          <w:highlight w:val="none"/>
          <w:u w:val="none" w:color="auto"/>
          <w:lang w:eastAsia="zh-CN"/>
        </w:rPr>
        <w:t>，</w:t>
      </w:r>
      <w:r>
        <w:rPr>
          <w:rFonts w:hint="default" w:ascii="Times New Roman" w:hAnsi="Times New Roman" w:eastAsia="宋体" w:cs="Times New Roman"/>
          <w:bCs/>
          <w:color w:val="auto"/>
          <w:sz w:val="24"/>
          <w:szCs w:val="24"/>
          <w:highlight w:val="none"/>
          <w:u w:val="none" w:color="auto"/>
        </w:rPr>
        <w:t>并根据有关规定制定了企业的环境突发事件应急救援预案</w:t>
      </w:r>
      <w:r>
        <w:rPr>
          <w:rFonts w:hint="default" w:ascii="Times New Roman" w:hAnsi="Times New Roman" w:eastAsia="宋体" w:cs="Times New Roman"/>
          <w:bCs/>
          <w:color w:val="auto"/>
          <w:sz w:val="24"/>
          <w:szCs w:val="24"/>
          <w:highlight w:val="none"/>
          <w:u w:val="none" w:color="auto"/>
          <w:lang w:eastAsia="zh-CN"/>
        </w:rPr>
        <w:t>，</w:t>
      </w:r>
      <w:r>
        <w:rPr>
          <w:rFonts w:hint="default" w:ascii="Times New Roman" w:hAnsi="Times New Roman" w:eastAsia="宋体" w:cs="Times New Roman"/>
          <w:bCs/>
          <w:color w:val="auto"/>
          <w:sz w:val="24"/>
          <w:szCs w:val="24"/>
          <w:highlight w:val="none"/>
          <w:u w:val="none" w:color="auto"/>
        </w:rPr>
        <w:t>并定期进行演练。当出现事故时</w:t>
      </w:r>
      <w:r>
        <w:rPr>
          <w:rFonts w:hint="default" w:ascii="Times New Roman" w:hAnsi="Times New Roman" w:eastAsia="宋体" w:cs="Times New Roman"/>
          <w:bCs/>
          <w:color w:val="auto"/>
          <w:sz w:val="24"/>
          <w:szCs w:val="24"/>
          <w:highlight w:val="none"/>
          <w:u w:val="none" w:color="auto"/>
          <w:lang w:eastAsia="zh-CN"/>
        </w:rPr>
        <w:t>，</w:t>
      </w:r>
      <w:r>
        <w:rPr>
          <w:rFonts w:hint="default" w:ascii="Times New Roman" w:hAnsi="Times New Roman" w:eastAsia="宋体" w:cs="Times New Roman"/>
          <w:bCs/>
          <w:color w:val="auto"/>
          <w:sz w:val="24"/>
          <w:szCs w:val="24"/>
          <w:highlight w:val="none"/>
          <w:u w:val="none" w:color="auto"/>
        </w:rPr>
        <w:t>要采取紧急的工程应急措施</w:t>
      </w:r>
      <w:r>
        <w:rPr>
          <w:rFonts w:hint="default" w:ascii="Times New Roman" w:hAnsi="Times New Roman" w:eastAsia="宋体" w:cs="Times New Roman"/>
          <w:bCs/>
          <w:color w:val="auto"/>
          <w:sz w:val="24"/>
          <w:szCs w:val="24"/>
          <w:highlight w:val="none"/>
          <w:u w:val="none" w:color="auto"/>
          <w:lang w:eastAsia="zh-CN"/>
        </w:rPr>
        <w:t>，</w:t>
      </w:r>
      <w:r>
        <w:rPr>
          <w:rFonts w:hint="default" w:ascii="Times New Roman" w:hAnsi="Times New Roman" w:eastAsia="宋体" w:cs="Times New Roman"/>
          <w:bCs/>
          <w:color w:val="auto"/>
          <w:sz w:val="24"/>
          <w:szCs w:val="24"/>
          <w:highlight w:val="none"/>
          <w:u w:val="none" w:color="auto"/>
        </w:rPr>
        <w:t>如有必要</w:t>
      </w:r>
      <w:r>
        <w:rPr>
          <w:rFonts w:hint="default" w:ascii="Times New Roman" w:hAnsi="Times New Roman" w:eastAsia="宋体" w:cs="Times New Roman"/>
          <w:bCs/>
          <w:color w:val="auto"/>
          <w:sz w:val="24"/>
          <w:szCs w:val="24"/>
          <w:highlight w:val="none"/>
          <w:u w:val="none" w:color="auto"/>
          <w:lang w:eastAsia="zh-CN"/>
        </w:rPr>
        <w:t>，</w:t>
      </w:r>
      <w:r>
        <w:rPr>
          <w:rFonts w:hint="default" w:ascii="Times New Roman" w:hAnsi="Times New Roman" w:eastAsia="宋体" w:cs="Times New Roman"/>
          <w:bCs/>
          <w:color w:val="auto"/>
          <w:sz w:val="24"/>
          <w:szCs w:val="24"/>
          <w:highlight w:val="none"/>
          <w:u w:val="none" w:color="auto"/>
        </w:rPr>
        <w:t>要采取社会应急措施</w:t>
      </w:r>
      <w:r>
        <w:rPr>
          <w:rFonts w:hint="default" w:ascii="Times New Roman" w:hAnsi="Times New Roman" w:eastAsia="宋体" w:cs="Times New Roman"/>
          <w:bCs/>
          <w:color w:val="auto"/>
          <w:sz w:val="24"/>
          <w:szCs w:val="24"/>
          <w:highlight w:val="none"/>
          <w:u w:val="none" w:color="auto"/>
          <w:lang w:eastAsia="zh-CN"/>
        </w:rPr>
        <w:t>，</w:t>
      </w:r>
      <w:r>
        <w:rPr>
          <w:rFonts w:hint="default" w:ascii="Times New Roman" w:hAnsi="Times New Roman" w:eastAsia="宋体" w:cs="Times New Roman"/>
          <w:bCs/>
          <w:color w:val="auto"/>
          <w:sz w:val="24"/>
          <w:szCs w:val="24"/>
          <w:highlight w:val="none"/>
          <w:u w:val="none" w:color="auto"/>
        </w:rPr>
        <w:t>以控制事故和减少对环境造成的危害。本次评价建议针对可能发生的环境风险所产生的特征污染物</w:t>
      </w:r>
      <w:r>
        <w:rPr>
          <w:rFonts w:hint="default" w:ascii="Times New Roman" w:hAnsi="Times New Roman" w:eastAsia="宋体" w:cs="Times New Roman"/>
          <w:bCs/>
          <w:color w:val="auto"/>
          <w:sz w:val="24"/>
          <w:szCs w:val="24"/>
          <w:highlight w:val="none"/>
          <w:u w:val="none" w:color="auto"/>
          <w:lang w:eastAsia="zh-CN"/>
        </w:rPr>
        <w:t>，</w:t>
      </w:r>
      <w:r>
        <w:rPr>
          <w:rFonts w:hint="default" w:ascii="Times New Roman" w:hAnsi="Times New Roman" w:eastAsia="宋体" w:cs="Times New Roman"/>
          <w:bCs/>
          <w:color w:val="auto"/>
          <w:sz w:val="24"/>
          <w:szCs w:val="24"/>
          <w:highlight w:val="none"/>
          <w:u w:val="none" w:color="auto"/>
        </w:rPr>
        <w:t>在各类事故发生时</w:t>
      </w:r>
      <w:r>
        <w:rPr>
          <w:rFonts w:hint="default" w:ascii="Times New Roman" w:hAnsi="Times New Roman" w:eastAsia="宋体" w:cs="Times New Roman"/>
          <w:bCs/>
          <w:color w:val="auto"/>
          <w:sz w:val="24"/>
          <w:szCs w:val="24"/>
          <w:highlight w:val="none"/>
          <w:u w:val="none" w:color="auto"/>
          <w:lang w:eastAsia="zh-CN"/>
        </w:rPr>
        <w:t>，</w:t>
      </w:r>
      <w:r>
        <w:rPr>
          <w:rFonts w:hint="default" w:ascii="Times New Roman" w:hAnsi="Times New Roman" w:eastAsia="宋体" w:cs="Times New Roman"/>
          <w:bCs/>
          <w:color w:val="auto"/>
          <w:sz w:val="24"/>
          <w:szCs w:val="24"/>
          <w:highlight w:val="none"/>
          <w:u w:val="none" w:color="auto"/>
        </w:rPr>
        <w:t>选择适当的因子进行应急检测</w:t>
      </w:r>
      <w:r>
        <w:rPr>
          <w:rFonts w:hint="default" w:ascii="Times New Roman" w:hAnsi="Times New Roman" w:eastAsia="宋体" w:cs="Times New Roman"/>
          <w:bCs/>
          <w:color w:val="auto"/>
          <w:sz w:val="24"/>
          <w:szCs w:val="24"/>
          <w:highlight w:val="none"/>
          <w:u w:val="none" w:color="auto"/>
          <w:lang w:eastAsia="zh-CN"/>
        </w:rPr>
        <w:t>，</w:t>
      </w:r>
      <w:r>
        <w:rPr>
          <w:rFonts w:hint="default" w:ascii="Times New Roman" w:hAnsi="Times New Roman" w:eastAsia="宋体" w:cs="Times New Roman"/>
          <w:bCs/>
          <w:color w:val="auto"/>
          <w:sz w:val="24"/>
          <w:szCs w:val="24"/>
          <w:highlight w:val="none"/>
          <w:u w:val="none" w:color="auto"/>
        </w:rPr>
        <w:t>指导应急救援及环境污染治理方案的编制和实施。</w:t>
      </w:r>
    </w:p>
    <w:p w14:paraId="5C93BA65">
      <w:pPr>
        <w:spacing w:line="360" w:lineRule="auto"/>
        <w:ind w:firstLine="480" w:firstLineChars="200"/>
        <w:rPr>
          <w:rFonts w:hint="default" w:ascii="Times New Roman" w:hAnsi="Times New Roman" w:eastAsia="宋体" w:cs="Times New Roman"/>
          <w:b/>
          <w:color w:val="auto"/>
          <w:u w:val="none" w:color="auto"/>
        </w:rPr>
      </w:pPr>
      <w:r>
        <w:rPr>
          <w:rFonts w:hint="default" w:ascii="Times New Roman" w:hAnsi="Times New Roman" w:eastAsia="宋体" w:cs="Times New Roman"/>
          <w:bCs/>
          <w:color w:val="auto"/>
          <w:sz w:val="24"/>
          <w:szCs w:val="24"/>
          <w:highlight w:val="none"/>
          <w:u w:val="none" w:color="auto"/>
        </w:rPr>
        <w:t>综上所述</w:t>
      </w:r>
      <w:r>
        <w:rPr>
          <w:rFonts w:hint="default" w:ascii="Times New Roman" w:hAnsi="Times New Roman" w:eastAsia="宋体" w:cs="Times New Roman"/>
          <w:bCs/>
          <w:color w:val="auto"/>
          <w:sz w:val="24"/>
          <w:szCs w:val="24"/>
          <w:highlight w:val="none"/>
          <w:u w:val="none" w:color="auto"/>
          <w:lang w:eastAsia="zh-CN"/>
        </w:rPr>
        <w:t>，</w:t>
      </w:r>
      <w:r>
        <w:rPr>
          <w:rFonts w:hint="default" w:ascii="Times New Roman" w:hAnsi="Times New Roman" w:eastAsia="宋体" w:cs="Times New Roman"/>
          <w:bCs/>
          <w:color w:val="auto"/>
          <w:sz w:val="24"/>
          <w:szCs w:val="24"/>
          <w:highlight w:val="none"/>
          <w:u w:val="none" w:color="auto"/>
        </w:rPr>
        <w:t>项目在采取严格安全防范措施、落实相关风险防范措施后</w:t>
      </w:r>
      <w:r>
        <w:rPr>
          <w:rFonts w:hint="default" w:ascii="Times New Roman" w:hAnsi="Times New Roman" w:eastAsia="宋体" w:cs="Times New Roman"/>
          <w:bCs/>
          <w:color w:val="auto"/>
          <w:sz w:val="24"/>
          <w:szCs w:val="24"/>
          <w:highlight w:val="none"/>
          <w:u w:val="none" w:color="auto"/>
          <w:lang w:eastAsia="zh-CN"/>
        </w:rPr>
        <w:t>，</w:t>
      </w:r>
      <w:r>
        <w:rPr>
          <w:rFonts w:hint="default" w:ascii="Times New Roman" w:hAnsi="Times New Roman" w:eastAsia="宋体" w:cs="Times New Roman"/>
          <w:bCs/>
          <w:color w:val="auto"/>
          <w:sz w:val="24"/>
          <w:szCs w:val="24"/>
          <w:highlight w:val="none"/>
          <w:u w:val="none" w:color="auto"/>
        </w:rPr>
        <w:t>其风险水平总体上是可以接受的。项目在各环境风险防范措施落实到位的情况下</w:t>
      </w:r>
      <w:r>
        <w:rPr>
          <w:rFonts w:hint="default" w:ascii="Times New Roman" w:hAnsi="Times New Roman" w:eastAsia="宋体" w:cs="Times New Roman"/>
          <w:bCs/>
          <w:color w:val="auto"/>
          <w:sz w:val="24"/>
          <w:szCs w:val="24"/>
          <w:highlight w:val="none"/>
          <w:u w:val="none" w:color="auto"/>
          <w:lang w:eastAsia="zh-CN"/>
        </w:rPr>
        <w:t>，</w:t>
      </w:r>
      <w:r>
        <w:rPr>
          <w:rFonts w:hint="default" w:ascii="Times New Roman" w:hAnsi="Times New Roman" w:eastAsia="宋体" w:cs="Times New Roman"/>
          <w:bCs/>
          <w:color w:val="auto"/>
          <w:sz w:val="24"/>
          <w:szCs w:val="24"/>
          <w:highlight w:val="none"/>
          <w:u w:val="none" w:color="auto"/>
        </w:rPr>
        <w:t>相应风险防范措施具有有效性</w:t>
      </w:r>
      <w:r>
        <w:rPr>
          <w:rFonts w:hint="default" w:ascii="Times New Roman" w:hAnsi="Times New Roman" w:eastAsia="宋体" w:cs="Times New Roman"/>
          <w:bCs/>
          <w:color w:val="auto"/>
          <w:sz w:val="24"/>
          <w:szCs w:val="24"/>
          <w:highlight w:val="none"/>
          <w:u w:val="none" w:color="auto"/>
          <w:lang w:eastAsia="zh-CN"/>
        </w:rPr>
        <w:t>，</w:t>
      </w:r>
      <w:r>
        <w:rPr>
          <w:rFonts w:hint="default" w:ascii="Times New Roman" w:hAnsi="Times New Roman" w:eastAsia="宋体" w:cs="Times New Roman"/>
          <w:bCs/>
          <w:color w:val="auto"/>
          <w:sz w:val="24"/>
          <w:szCs w:val="24"/>
          <w:highlight w:val="none"/>
          <w:u w:val="none" w:color="auto"/>
        </w:rPr>
        <w:t>将可大大降低项目的环境风险</w:t>
      </w:r>
      <w:r>
        <w:rPr>
          <w:rFonts w:hint="default" w:ascii="Times New Roman" w:hAnsi="Times New Roman" w:eastAsia="宋体" w:cs="Times New Roman"/>
          <w:bCs/>
          <w:color w:val="auto"/>
          <w:sz w:val="24"/>
          <w:szCs w:val="24"/>
          <w:highlight w:val="none"/>
          <w:u w:val="none" w:color="auto"/>
          <w:lang w:eastAsia="zh-CN"/>
        </w:rPr>
        <w:t>，</w:t>
      </w:r>
      <w:r>
        <w:rPr>
          <w:rFonts w:hint="default" w:ascii="Times New Roman" w:hAnsi="Times New Roman" w:eastAsia="宋体" w:cs="Times New Roman"/>
          <w:bCs/>
          <w:color w:val="auto"/>
          <w:sz w:val="24"/>
          <w:szCs w:val="24"/>
          <w:highlight w:val="none"/>
          <w:u w:val="none" w:color="auto"/>
        </w:rPr>
        <w:t>最大程度减少对环境可能造成的危害。</w:t>
      </w:r>
    </w:p>
    <w:p w14:paraId="067F85DF">
      <w:pPr>
        <w:rPr>
          <w:rFonts w:hint="default" w:ascii="Times New Roman" w:hAnsi="Times New Roman" w:eastAsia="宋体" w:cs="Times New Roman"/>
          <w:color w:val="auto"/>
          <w:highlight w:val="yellow"/>
          <w:u w:val="none" w:color="auto"/>
          <w:lang w:val="en-US" w:eastAsia="zh-CN"/>
        </w:rPr>
      </w:pPr>
    </w:p>
    <w:p w14:paraId="5170FA22">
      <w:pPr>
        <w:rPr>
          <w:rFonts w:hint="default" w:ascii="Times New Roman" w:hAnsi="Times New Roman" w:eastAsia="宋体" w:cs="Times New Roman"/>
          <w:color w:val="auto"/>
          <w:highlight w:val="yellow"/>
          <w:u w:val="none" w:color="auto"/>
          <w:lang w:val="en-US" w:eastAsia="zh-CN"/>
        </w:rPr>
        <w:sectPr>
          <w:footerReference r:id="rId8" w:type="default"/>
          <w:pgSz w:w="11906" w:h="16838"/>
          <w:pgMar w:top="1440" w:right="1531" w:bottom="1440" w:left="1531"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497B0966">
      <w:pPr>
        <w:jc w:val="both"/>
        <w:outlineLvl w:val="0"/>
        <w:rPr>
          <w:rFonts w:hint="default" w:ascii="Times New Roman" w:hAnsi="Times New Roman" w:eastAsia="宋体" w:cs="Times New Roman"/>
          <w:b/>
          <w:bCs/>
          <w:color w:val="auto"/>
          <w:u w:val="none" w:color="auto"/>
        </w:rPr>
      </w:pPr>
      <w:bookmarkStart w:id="350" w:name="_Toc32525"/>
      <w:bookmarkStart w:id="351" w:name="_Toc15592"/>
      <w:r>
        <w:rPr>
          <w:rFonts w:hint="default" w:ascii="Times New Roman" w:hAnsi="Times New Roman" w:eastAsia="宋体" w:cs="Times New Roman"/>
          <w:b/>
          <w:bCs/>
          <w:snapToGrid w:val="0"/>
          <w:color w:val="auto"/>
          <w:kern w:val="0"/>
          <w:sz w:val="24"/>
          <w:szCs w:val="24"/>
          <w:u w:val="none" w:color="auto"/>
          <w:lang w:val="en-US" w:eastAsia="en-US" w:bidi="ar-SA"/>
        </w:rPr>
        <w:t>附表</w:t>
      </w:r>
      <w:r>
        <w:rPr>
          <w:rFonts w:hint="default" w:ascii="Times New Roman" w:hAnsi="Times New Roman" w:eastAsia="宋体" w:cs="Times New Roman"/>
          <w:b/>
          <w:bCs/>
          <w:snapToGrid w:val="0"/>
          <w:color w:val="auto"/>
          <w:kern w:val="0"/>
          <w:sz w:val="24"/>
          <w:szCs w:val="24"/>
          <w:u w:val="none" w:color="auto"/>
          <w:lang w:val="en-US" w:eastAsia="zh-CN" w:bidi="ar-SA"/>
        </w:rPr>
        <w:t>1</w:t>
      </w:r>
      <w:r>
        <w:rPr>
          <w:rFonts w:hint="default" w:ascii="Times New Roman" w:hAnsi="Times New Roman" w:eastAsia="宋体" w:cs="Times New Roman"/>
          <w:b/>
          <w:bCs/>
          <w:snapToGrid w:val="0"/>
          <w:color w:val="auto"/>
          <w:kern w:val="0"/>
          <w:sz w:val="24"/>
          <w:szCs w:val="24"/>
          <w:u w:val="none" w:color="auto"/>
          <w:lang w:val="en-US" w:eastAsia="en-US" w:bidi="ar-SA"/>
        </w:rPr>
        <w:t xml:space="preserve"> </w:t>
      </w:r>
      <w:r>
        <w:rPr>
          <w:rFonts w:hint="default" w:ascii="Times New Roman" w:hAnsi="Times New Roman" w:eastAsia="宋体" w:cs="Times New Roman"/>
          <w:b/>
          <w:bCs/>
          <w:snapToGrid w:val="0"/>
          <w:color w:val="auto"/>
          <w:kern w:val="0"/>
          <w:sz w:val="24"/>
          <w:szCs w:val="24"/>
          <w:u w:val="none" w:color="auto"/>
          <w:lang w:val="en-US" w:eastAsia="zh-CN" w:bidi="ar-SA"/>
        </w:rPr>
        <w:t xml:space="preserve"> </w:t>
      </w:r>
      <w:r>
        <w:rPr>
          <w:rFonts w:hint="default" w:ascii="Times New Roman" w:hAnsi="Times New Roman" w:eastAsia="宋体" w:cs="Times New Roman"/>
          <w:b/>
          <w:bCs/>
          <w:snapToGrid w:val="0"/>
          <w:color w:val="auto"/>
          <w:kern w:val="0"/>
          <w:sz w:val="24"/>
          <w:szCs w:val="24"/>
          <w:u w:val="none" w:color="auto"/>
          <w:lang w:val="en-US" w:eastAsia="en-US" w:bidi="ar-SA"/>
        </w:rPr>
        <w:t>建设项目环境风险评价自查表</w:t>
      </w:r>
      <w:bookmarkEnd w:id="350"/>
      <w:bookmarkEnd w:id="351"/>
    </w:p>
    <w:tbl>
      <w:tblPr>
        <w:tblStyle w:val="31"/>
        <w:tblW w:w="4998"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28" w:type="dxa"/>
          <w:left w:w="108" w:type="dxa"/>
          <w:bottom w:w="28" w:type="dxa"/>
          <w:right w:w="108" w:type="dxa"/>
        </w:tblCellMar>
      </w:tblPr>
      <w:tblGrid>
        <w:gridCol w:w="452"/>
        <w:gridCol w:w="12"/>
        <w:gridCol w:w="754"/>
        <w:gridCol w:w="736"/>
        <w:gridCol w:w="507"/>
        <w:gridCol w:w="117"/>
        <w:gridCol w:w="390"/>
        <w:gridCol w:w="507"/>
        <w:gridCol w:w="157"/>
        <w:gridCol w:w="350"/>
        <w:gridCol w:w="507"/>
        <w:gridCol w:w="449"/>
        <w:gridCol w:w="166"/>
        <w:gridCol w:w="625"/>
        <w:gridCol w:w="282"/>
        <w:gridCol w:w="155"/>
        <w:gridCol w:w="352"/>
        <w:gridCol w:w="366"/>
        <w:gridCol w:w="553"/>
        <w:gridCol w:w="603"/>
        <w:gridCol w:w="397"/>
        <w:gridCol w:w="622"/>
      </w:tblGrid>
      <w:tr w14:paraId="129CAF4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28" w:type="dxa"/>
            <w:left w:w="108" w:type="dxa"/>
            <w:bottom w:w="28" w:type="dxa"/>
            <w:right w:w="108" w:type="dxa"/>
          </w:tblCellMar>
        </w:tblPrEx>
        <w:trPr>
          <w:tblHeader/>
          <w:jc w:val="center"/>
        </w:trPr>
        <w:tc>
          <w:tcPr>
            <w:tcW w:w="672" w:type="pct"/>
            <w:gridSpan w:val="3"/>
            <w:tcBorders>
              <w:tl2br w:val="nil"/>
              <w:tr2bl w:val="nil"/>
            </w:tcBorders>
            <w:noWrap w:val="0"/>
            <w:vAlign w:val="center"/>
          </w:tcPr>
          <w:p w14:paraId="5573F3AB">
            <w:pPr>
              <w:adjustRightInd w:val="0"/>
              <w:snapToGrid w:val="0"/>
              <w:jc w:val="center"/>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工作内容</w:t>
            </w:r>
          </w:p>
        </w:tc>
        <w:tc>
          <w:tcPr>
            <w:tcW w:w="4327" w:type="pct"/>
            <w:gridSpan w:val="19"/>
            <w:tcBorders>
              <w:tl2br w:val="nil"/>
              <w:tr2bl w:val="nil"/>
            </w:tcBorders>
            <w:noWrap w:val="0"/>
            <w:vAlign w:val="center"/>
          </w:tcPr>
          <w:p w14:paraId="3BF1034C">
            <w:pPr>
              <w:adjustRightInd w:val="0"/>
              <w:snapToGrid w:val="0"/>
              <w:jc w:val="center"/>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完成情况</w:t>
            </w:r>
          </w:p>
        </w:tc>
      </w:tr>
      <w:tr w14:paraId="1AB03D5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28" w:type="dxa"/>
            <w:left w:w="108" w:type="dxa"/>
            <w:bottom w:w="28" w:type="dxa"/>
            <w:right w:w="108" w:type="dxa"/>
          </w:tblCellMar>
        </w:tblPrEx>
        <w:trPr>
          <w:trHeight w:val="179" w:hRule="atLeast"/>
          <w:jc w:val="center"/>
        </w:trPr>
        <w:tc>
          <w:tcPr>
            <w:tcW w:w="255" w:type="pct"/>
            <w:gridSpan w:val="2"/>
            <w:vMerge w:val="restart"/>
            <w:tcBorders>
              <w:tl2br w:val="nil"/>
              <w:tr2bl w:val="nil"/>
            </w:tcBorders>
            <w:noWrap w:val="0"/>
            <w:vAlign w:val="center"/>
          </w:tcPr>
          <w:p w14:paraId="0E41DDED">
            <w:pPr>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风险调查</w:t>
            </w:r>
          </w:p>
        </w:tc>
        <w:tc>
          <w:tcPr>
            <w:tcW w:w="416" w:type="pct"/>
            <w:vMerge w:val="restart"/>
            <w:tcBorders>
              <w:tl2br w:val="nil"/>
              <w:tr2bl w:val="nil"/>
            </w:tcBorders>
            <w:noWrap w:val="0"/>
            <w:vAlign w:val="center"/>
          </w:tcPr>
          <w:p w14:paraId="2CCD6CF1">
            <w:pPr>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风险物质</w:t>
            </w:r>
          </w:p>
        </w:tc>
        <w:tc>
          <w:tcPr>
            <w:tcW w:w="406" w:type="pct"/>
            <w:vMerge w:val="restart"/>
            <w:tcBorders>
              <w:tl2br w:val="nil"/>
              <w:tr2bl w:val="nil"/>
            </w:tcBorders>
            <w:noWrap w:val="0"/>
            <w:vAlign w:val="center"/>
          </w:tcPr>
          <w:p w14:paraId="08985204">
            <w:pPr>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名称</w:t>
            </w:r>
          </w:p>
        </w:tc>
        <w:tc>
          <w:tcPr>
            <w:tcW w:w="279" w:type="pct"/>
            <w:vMerge w:val="restart"/>
            <w:tcBorders>
              <w:tl2br w:val="nil"/>
              <w:tr2bl w:val="nil"/>
            </w:tcBorders>
            <w:noWrap w:val="0"/>
            <w:vAlign w:val="center"/>
          </w:tcPr>
          <w:p w14:paraId="3FEE054D">
            <w:pPr>
              <w:keepNext w:val="0"/>
              <w:keepLines w:val="0"/>
              <w:widowControl/>
              <w:suppressLineNumbers w:val="0"/>
              <w:jc w:val="center"/>
              <w:textAlignment w:val="center"/>
              <w:rPr>
                <w:rFonts w:hint="default" w:ascii="Times New Roman" w:hAnsi="Times New Roman" w:eastAsia="宋体" w:cs="Times New Roman"/>
                <w:color w:val="auto"/>
                <w:sz w:val="15"/>
                <w:szCs w:val="15"/>
                <w:u w:val="none" w:color="auto"/>
              </w:rPr>
            </w:pPr>
            <w:r>
              <w:rPr>
                <w:rFonts w:hint="default" w:ascii="Times New Roman" w:hAnsi="Times New Roman" w:eastAsia="宋体" w:cs="Times New Roman"/>
                <w:i w:val="0"/>
                <w:iCs w:val="0"/>
                <w:color w:val="auto"/>
                <w:kern w:val="0"/>
                <w:sz w:val="15"/>
                <w:szCs w:val="15"/>
                <w:u w:val="none" w:color="auto"/>
                <w:lang w:val="en-US" w:eastAsia="zh-CN" w:bidi="ar"/>
              </w:rPr>
              <w:t>润滑油、液压油、等矿物油类</w:t>
            </w:r>
          </w:p>
        </w:tc>
        <w:tc>
          <w:tcPr>
            <w:tcW w:w="279" w:type="pct"/>
            <w:gridSpan w:val="2"/>
            <w:vMerge w:val="restart"/>
            <w:tcBorders>
              <w:tl2br w:val="nil"/>
              <w:tr2bl w:val="nil"/>
            </w:tcBorders>
            <w:noWrap w:val="0"/>
            <w:vAlign w:val="center"/>
          </w:tcPr>
          <w:p w14:paraId="7EF82AC0">
            <w:pPr>
              <w:keepNext w:val="0"/>
              <w:keepLines w:val="0"/>
              <w:widowControl/>
              <w:suppressLineNumbers w:val="0"/>
              <w:jc w:val="center"/>
              <w:textAlignment w:val="center"/>
              <w:rPr>
                <w:rFonts w:hint="default" w:ascii="Times New Roman" w:hAnsi="Times New Roman" w:eastAsia="宋体" w:cs="Times New Roman"/>
                <w:color w:val="auto"/>
                <w:sz w:val="15"/>
                <w:szCs w:val="15"/>
                <w:u w:val="none" w:color="auto"/>
              </w:rPr>
            </w:pPr>
            <w:r>
              <w:rPr>
                <w:rFonts w:hint="default" w:ascii="Times New Roman" w:hAnsi="Times New Roman" w:eastAsia="宋体" w:cs="Times New Roman"/>
                <w:i w:val="0"/>
                <w:iCs w:val="0"/>
                <w:color w:val="auto"/>
                <w:kern w:val="0"/>
                <w:sz w:val="15"/>
                <w:szCs w:val="15"/>
                <w:u w:val="none" w:color="auto"/>
                <w:lang w:val="en-US" w:eastAsia="zh-CN" w:bidi="ar"/>
              </w:rPr>
              <w:t>脱模剂</w:t>
            </w:r>
          </w:p>
        </w:tc>
        <w:tc>
          <w:tcPr>
            <w:tcW w:w="279" w:type="pct"/>
            <w:vMerge w:val="restart"/>
            <w:tcBorders>
              <w:tl2br w:val="nil"/>
              <w:tr2bl w:val="nil"/>
            </w:tcBorders>
            <w:noWrap w:val="0"/>
            <w:vAlign w:val="center"/>
          </w:tcPr>
          <w:p w14:paraId="5BE240BE">
            <w:pPr>
              <w:keepNext w:val="0"/>
              <w:keepLines w:val="0"/>
              <w:widowControl/>
              <w:suppressLineNumbers w:val="0"/>
              <w:jc w:val="center"/>
              <w:textAlignment w:val="center"/>
              <w:rPr>
                <w:rFonts w:hint="default" w:ascii="Times New Roman" w:hAnsi="Times New Roman" w:eastAsia="宋体" w:cs="Times New Roman"/>
                <w:color w:val="auto"/>
                <w:sz w:val="15"/>
                <w:szCs w:val="15"/>
                <w:u w:val="none" w:color="auto"/>
                <w:lang w:eastAsia="zh-CN"/>
              </w:rPr>
            </w:pPr>
            <w:r>
              <w:rPr>
                <w:rFonts w:hint="default" w:ascii="Times New Roman" w:hAnsi="Times New Roman" w:eastAsia="宋体" w:cs="Times New Roman"/>
                <w:i w:val="0"/>
                <w:iCs w:val="0"/>
                <w:color w:val="auto"/>
                <w:kern w:val="0"/>
                <w:sz w:val="15"/>
                <w:szCs w:val="15"/>
                <w:u w:val="none" w:color="auto"/>
                <w:lang w:val="en-US" w:eastAsia="zh-CN" w:bidi="ar"/>
              </w:rPr>
              <w:t>天然气（在线量）</w:t>
            </w:r>
          </w:p>
        </w:tc>
        <w:tc>
          <w:tcPr>
            <w:tcW w:w="279" w:type="pct"/>
            <w:gridSpan w:val="2"/>
            <w:vMerge w:val="restart"/>
            <w:tcBorders>
              <w:tl2br w:val="nil"/>
              <w:tr2bl w:val="nil"/>
            </w:tcBorders>
            <w:noWrap w:val="0"/>
            <w:vAlign w:val="center"/>
          </w:tcPr>
          <w:p w14:paraId="4E71F543">
            <w:pPr>
              <w:keepNext w:val="0"/>
              <w:keepLines w:val="0"/>
              <w:widowControl/>
              <w:suppressLineNumbers w:val="0"/>
              <w:jc w:val="center"/>
              <w:textAlignment w:val="center"/>
              <w:rPr>
                <w:rFonts w:hint="default" w:ascii="Times New Roman" w:hAnsi="Times New Roman" w:eastAsia="宋体" w:cs="Times New Roman"/>
                <w:color w:val="auto"/>
                <w:sz w:val="15"/>
                <w:szCs w:val="15"/>
                <w:u w:val="none" w:color="auto"/>
                <w:lang w:val="en-US" w:eastAsia="zh-CN"/>
              </w:rPr>
            </w:pPr>
            <w:r>
              <w:rPr>
                <w:rFonts w:hint="default" w:ascii="Times New Roman" w:hAnsi="Times New Roman" w:eastAsia="宋体" w:cs="Times New Roman"/>
                <w:i w:val="0"/>
                <w:iCs w:val="0"/>
                <w:color w:val="auto"/>
                <w:kern w:val="0"/>
                <w:sz w:val="15"/>
                <w:szCs w:val="15"/>
                <w:u w:val="none" w:color="auto"/>
                <w:lang w:val="en-US" w:eastAsia="zh-CN" w:bidi="ar"/>
              </w:rPr>
              <w:t>导热油（在线量）</w:t>
            </w:r>
          </w:p>
        </w:tc>
        <w:tc>
          <w:tcPr>
            <w:tcW w:w="279" w:type="pct"/>
            <w:vMerge w:val="restart"/>
            <w:tcBorders>
              <w:tl2br w:val="nil"/>
              <w:tr2bl w:val="nil"/>
            </w:tcBorders>
            <w:noWrap w:val="0"/>
            <w:vAlign w:val="center"/>
          </w:tcPr>
          <w:p w14:paraId="5B86C10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5"/>
                <w:szCs w:val="15"/>
                <w:u w:val="none" w:color="auto"/>
                <w:lang w:val="en-US" w:eastAsia="zh-CN" w:bidi="ar"/>
              </w:rPr>
            </w:pPr>
            <w:r>
              <w:rPr>
                <w:rFonts w:hint="default" w:ascii="Times New Roman" w:hAnsi="Times New Roman" w:eastAsia="宋体" w:cs="Times New Roman"/>
                <w:i w:val="0"/>
                <w:iCs w:val="0"/>
                <w:color w:val="auto"/>
                <w:kern w:val="0"/>
                <w:sz w:val="15"/>
                <w:szCs w:val="15"/>
                <w:u w:val="none" w:color="auto"/>
                <w:lang w:val="en-US" w:eastAsia="zh-CN" w:bidi="ar"/>
              </w:rPr>
              <w:t>脱模剂</w:t>
            </w:r>
            <w:r>
              <w:rPr>
                <w:rStyle w:val="82"/>
                <w:rFonts w:hint="default" w:ascii="Times New Roman" w:hAnsi="Times New Roman" w:eastAsia="宋体" w:cs="Times New Roman"/>
                <w:color w:val="auto"/>
                <w:sz w:val="15"/>
                <w:szCs w:val="15"/>
                <w:u w:val="none" w:color="auto"/>
                <w:lang w:val="en-US" w:eastAsia="zh-CN" w:bidi="ar"/>
              </w:rPr>
              <w:t>[1]</w:t>
            </w:r>
          </w:p>
        </w:tc>
        <w:tc>
          <w:tcPr>
            <w:tcW w:w="247" w:type="pct"/>
            <w:vMerge w:val="restart"/>
            <w:tcBorders>
              <w:tl2br w:val="nil"/>
              <w:tr2bl w:val="nil"/>
            </w:tcBorders>
            <w:noWrap w:val="0"/>
            <w:vAlign w:val="center"/>
          </w:tcPr>
          <w:p w14:paraId="5DB4E2B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5"/>
                <w:szCs w:val="15"/>
                <w:u w:val="none" w:color="auto"/>
                <w:lang w:val="en-US" w:eastAsia="zh-CN" w:bidi="ar"/>
              </w:rPr>
            </w:pPr>
            <w:r>
              <w:rPr>
                <w:rFonts w:hint="default" w:ascii="Times New Roman" w:hAnsi="Times New Roman" w:eastAsia="宋体" w:cs="Times New Roman"/>
                <w:i w:val="0"/>
                <w:iCs w:val="0"/>
                <w:color w:val="auto"/>
                <w:kern w:val="0"/>
                <w:sz w:val="15"/>
                <w:szCs w:val="15"/>
                <w:u w:val="none" w:color="auto"/>
                <w:lang w:val="en-US" w:eastAsia="zh-CN" w:bidi="ar"/>
              </w:rPr>
              <w:t>废矿物油、乳液桶</w:t>
            </w:r>
          </w:p>
        </w:tc>
        <w:tc>
          <w:tcPr>
            <w:tcW w:w="436" w:type="pct"/>
            <w:gridSpan w:val="2"/>
            <w:vMerge w:val="restart"/>
            <w:tcBorders>
              <w:tl2br w:val="nil"/>
              <w:tr2bl w:val="nil"/>
            </w:tcBorders>
            <w:noWrap w:val="0"/>
            <w:vAlign w:val="center"/>
          </w:tcPr>
          <w:p w14:paraId="47755CA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5"/>
                <w:szCs w:val="15"/>
                <w:u w:val="none" w:color="auto"/>
                <w:lang w:val="en-US" w:eastAsia="zh-CN" w:bidi="ar"/>
              </w:rPr>
            </w:pPr>
            <w:r>
              <w:rPr>
                <w:rFonts w:hint="default" w:ascii="Times New Roman" w:hAnsi="Times New Roman" w:eastAsia="宋体" w:cs="Times New Roman"/>
                <w:i w:val="0"/>
                <w:iCs w:val="0"/>
                <w:color w:val="auto"/>
                <w:kern w:val="0"/>
                <w:sz w:val="15"/>
                <w:szCs w:val="15"/>
                <w:u w:val="none" w:color="auto"/>
                <w:lang w:val="en-US" w:eastAsia="zh-CN" w:bidi="ar"/>
              </w:rPr>
              <w:t>废液压油、废机油、废乳液、浮油等废矿物油</w:t>
            </w:r>
          </w:p>
        </w:tc>
        <w:tc>
          <w:tcPr>
            <w:tcW w:w="155" w:type="pct"/>
            <w:vMerge w:val="restart"/>
            <w:tcBorders>
              <w:tl2br w:val="nil"/>
              <w:tr2bl w:val="nil"/>
            </w:tcBorders>
            <w:noWrap w:val="0"/>
            <w:vAlign w:val="center"/>
          </w:tcPr>
          <w:p w14:paraId="610143D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5"/>
                <w:szCs w:val="15"/>
                <w:u w:val="none" w:color="auto"/>
                <w:lang w:val="en-US" w:eastAsia="zh-CN" w:bidi="ar"/>
              </w:rPr>
            </w:pPr>
            <w:r>
              <w:rPr>
                <w:rFonts w:hint="default" w:ascii="Times New Roman" w:hAnsi="Times New Roman" w:eastAsia="宋体" w:cs="Times New Roman"/>
                <w:i w:val="0"/>
                <w:iCs w:val="0"/>
                <w:color w:val="auto"/>
                <w:kern w:val="0"/>
                <w:sz w:val="15"/>
                <w:szCs w:val="15"/>
                <w:u w:val="none" w:color="auto"/>
                <w:lang w:val="en-US" w:eastAsia="zh-CN" w:bidi="ar"/>
              </w:rPr>
              <w:t>含油浮渣和污泥</w:t>
            </w:r>
          </w:p>
        </w:tc>
        <w:tc>
          <w:tcPr>
            <w:tcW w:w="279" w:type="pct"/>
            <w:gridSpan w:val="2"/>
            <w:vMerge w:val="restart"/>
            <w:tcBorders>
              <w:tl2br w:val="nil"/>
              <w:tr2bl w:val="nil"/>
            </w:tcBorders>
            <w:noWrap w:val="0"/>
            <w:vAlign w:val="center"/>
          </w:tcPr>
          <w:p w14:paraId="73F7118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5"/>
                <w:szCs w:val="15"/>
                <w:u w:val="none" w:color="auto"/>
                <w:lang w:val="en-US" w:eastAsia="zh-CN" w:bidi="ar"/>
              </w:rPr>
            </w:pPr>
            <w:r>
              <w:rPr>
                <w:rFonts w:hint="default" w:ascii="Times New Roman" w:hAnsi="Times New Roman" w:eastAsia="宋体" w:cs="Times New Roman"/>
                <w:i w:val="0"/>
                <w:iCs w:val="0"/>
                <w:color w:val="auto"/>
                <w:kern w:val="0"/>
                <w:sz w:val="15"/>
                <w:szCs w:val="15"/>
                <w:u w:val="none" w:color="auto"/>
                <w:lang w:val="en-US" w:eastAsia="zh-CN" w:bidi="ar"/>
              </w:rPr>
              <w:t>实验室废液</w:t>
            </w:r>
          </w:p>
        </w:tc>
        <w:tc>
          <w:tcPr>
            <w:tcW w:w="201" w:type="pct"/>
            <w:vMerge w:val="restart"/>
            <w:tcBorders>
              <w:tl2br w:val="nil"/>
              <w:tr2bl w:val="nil"/>
            </w:tcBorders>
            <w:noWrap w:val="0"/>
            <w:vAlign w:val="center"/>
          </w:tcPr>
          <w:p w14:paraId="155134F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5"/>
                <w:szCs w:val="15"/>
                <w:u w:val="none" w:color="auto"/>
                <w:lang w:val="en-US" w:eastAsia="zh-CN" w:bidi="ar"/>
              </w:rPr>
            </w:pPr>
            <w:r>
              <w:rPr>
                <w:rFonts w:hint="default" w:ascii="Times New Roman" w:hAnsi="Times New Roman" w:eastAsia="宋体" w:cs="Times New Roman"/>
                <w:i w:val="0"/>
                <w:iCs w:val="0"/>
                <w:color w:val="auto"/>
                <w:kern w:val="0"/>
                <w:sz w:val="15"/>
                <w:szCs w:val="15"/>
                <w:u w:val="none" w:color="auto"/>
                <w:lang w:val="en-US" w:eastAsia="zh-CN" w:bidi="ar"/>
              </w:rPr>
              <w:t>蚀洗槽铝残渣</w:t>
            </w:r>
          </w:p>
        </w:tc>
        <w:tc>
          <w:tcPr>
            <w:tcW w:w="305" w:type="pct"/>
            <w:vMerge w:val="restart"/>
            <w:tcBorders>
              <w:tl2br w:val="nil"/>
              <w:tr2bl w:val="nil"/>
            </w:tcBorders>
            <w:noWrap w:val="0"/>
            <w:vAlign w:val="center"/>
          </w:tcPr>
          <w:p w14:paraId="7024242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5"/>
                <w:szCs w:val="15"/>
                <w:u w:val="none" w:color="auto"/>
                <w:lang w:val="en-US" w:eastAsia="zh-CN" w:bidi="ar"/>
              </w:rPr>
            </w:pPr>
            <w:r>
              <w:rPr>
                <w:rFonts w:hint="default" w:ascii="Times New Roman" w:hAnsi="Times New Roman" w:eastAsia="宋体" w:cs="Times New Roman"/>
                <w:i w:val="0"/>
                <w:iCs w:val="0"/>
                <w:color w:val="auto"/>
                <w:kern w:val="0"/>
                <w:sz w:val="15"/>
                <w:szCs w:val="15"/>
                <w:u w:val="none" w:color="auto"/>
                <w:lang w:val="en-US" w:eastAsia="zh-CN" w:bidi="ar"/>
              </w:rPr>
              <w:t>铝灰渣及二次铝灰渣</w:t>
            </w:r>
            <w:r>
              <w:rPr>
                <w:rStyle w:val="82"/>
                <w:rFonts w:hint="default" w:ascii="Times New Roman" w:hAnsi="Times New Roman" w:eastAsia="宋体" w:cs="Times New Roman"/>
                <w:color w:val="auto"/>
                <w:sz w:val="15"/>
                <w:szCs w:val="15"/>
                <w:u w:val="none" w:color="auto"/>
                <w:lang w:val="en-US" w:eastAsia="zh-CN" w:bidi="ar"/>
              </w:rPr>
              <w:t>[3]</w:t>
            </w:r>
          </w:p>
        </w:tc>
        <w:tc>
          <w:tcPr>
            <w:tcW w:w="332" w:type="pct"/>
            <w:tcBorders>
              <w:tl2br w:val="nil"/>
              <w:tr2bl w:val="nil"/>
            </w:tcBorders>
            <w:noWrap w:val="0"/>
            <w:vAlign w:val="center"/>
          </w:tcPr>
          <w:p w14:paraId="4199905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5"/>
                <w:szCs w:val="15"/>
                <w:u w:val="none" w:color="auto"/>
                <w:lang w:val="en-US" w:eastAsia="zh-CN" w:bidi="ar"/>
              </w:rPr>
            </w:pPr>
            <w:r>
              <w:rPr>
                <w:rFonts w:hint="default" w:ascii="Times New Roman" w:hAnsi="Times New Roman" w:eastAsia="宋体" w:cs="Times New Roman"/>
                <w:i w:val="0"/>
                <w:iCs w:val="0"/>
                <w:color w:val="auto"/>
                <w:kern w:val="0"/>
                <w:sz w:val="15"/>
                <w:szCs w:val="15"/>
                <w:u w:val="none" w:color="auto"/>
                <w:lang w:val="en-US" w:eastAsia="zh-CN" w:bidi="ar"/>
              </w:rPr>
              <w:t>其中</w:t>
            </w:r>
          </w:p>
        </w:tc>
        <w:tc>
          <w:tcPr>
            <w:tcW w:w="218" w:type="pct"/>
            <w:vMerge w:val="restart"/>
            <w:tcBorders>
              <w:tl2br w:val="nil"/>
              <w:tr2bl w:val="nil"/>
            </w:tcBorders>
            <w:noWrap w:val="0"/>
            <w:vAlign w:val="center"/>
          </w:tcPr>
          <w:p w14:paraId="1E2DD4E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5"/>
                <w:szCs w:val="15"/>
                <w:u w:val="none" w:color="auto"/>
                <w:lang w:val="en-US" w:eastAsia="zh-CN" w:bidi="ar"/>
              </w:rPr>
            </w:pPr>
            <w:r>
              <w:rPr>
                <w:rFonts w:hint="default" w:ascii="Times New Roman" w:hAnsi="Times New Roman" w:eastAsia="宋体" w:cs="Times New Roman"/>
                <w:i w:val="0"/>
                <w:iCs w:val="0"/>
                <w:color w:val="auto"/>
                <w:kern w:val="0"/>
                <w:sz w:val="15"/>
                <w:szCs w:val="15"/>
                <w:u w:val="none" w:color="auto"/>
                <w:lang w:val="en-US" w:eastAsia="zh-CN" w:bidi="ar"/>
              </w:rPr>
              <w:t>收集到的粉尘除尘</w:t>
            </w:r>
          </w:p>
        </w:tc>
        <w:tc>
          <w:tcPr>
            <w:tcW w:w="343" w:type="pct"/>
            <w:tcBorders>
              <w:tl2br w:val="nil"/>
              <w:tr2bl w:val="nil"/>
            </w:tcBorders>
            <w:noWrap w:val="0"/>
            <w:vAlign w:val="center"/>
          </w:tcPr>
          <w:p w14:paraId="0E47D4B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5"/>
                <w:szCs w:val="15"/>
                <w:u w:val="none" w:color="auto"/>
                <w:lang w:val="en-US" w:eastAsia="zh-CN" w:bidi="ar"/>
              </w:rPr>
            </w:pPr>
            <w:r>
              <w:rPr>
                <w:rFonts w:hint="default" w:ascii="Times New Roman" w:hAnsi="Times New Roman" w:eastAsia="宋体" w:cs="Times New Roman"/>
                <w:i w:val="0"/>
                <w:iCs w:val="0"/>
                <w:color w:val="auto"/>
                <w:kern w:val="0"/>
                <w:sz w:val="15"/>
                <w:szCs w:val="15"/>
                <w:u w:val="none" w:color="auto"/>
                <w:lang w:val="en-US" w:eastAsia="zh-CN" w:bidi="ar"/>
              </w:rPr>
              <w:t>其中</w:t>
            </w:r>
          </w:p>
        </w:tc>
      </w:tr>
      <w:tr w14:paraId="2FB1911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28" w:type="dxa"/>
            <w:left w:w="108" w:type="dxa"/>
            <w:bottom w:w="28" w:type="dxa"/>
            <w:right w:w="108" w:type="dxa"/>
          </w:tblCellMar>
        </w:tblPrEx>
        <w:trPr>
          <w:trHeight w:val="179" w:hRule="atLeast"/>
          <w:jc w:val="center"/>
        </w:trPr>
        <w:tc>
          <w:tcPr>
            <w:tcW w:w="255" w:type="pct"/>
            <w:gridSpan w:val="2"/>
            <w:vMerge w:val="continue"/>
            <w:tcBorders>
              <w:tl2br w:val="nil"/>
              <w:tr2bl w:val="nil"/>
            </w:tcBorders>
            <w:noWrap w:val="0"/>
            <w:vAlign w:val="center"/>
          </w:tcPr>
          <w:p w14:paraId="70C39A13">
            <w:pPr>
              <w:keepNext w:val="0"/>
              <w:keepLines w:val="0"/>
              <w:widowControl/>
              <w:suppressLineNumbers w:val="0"/>
              <w:jc w:val="center"/>
              <w:textAlignment w:val="center"/>
              <w:rPr>
                <w:rFonts w:hint="default" w:ascii="Times New Roman" w:hAnsi="Times New Roman" w:eastAsia="宋体" w:cs="Times New Roman"/>
                <w:color w:val="auto"/>
                <w:u w:val="none" w:color="auto"/>
              </w:rPr>
            </w:pPr>
          </w:p>
        </w:tc>
        <w:tc>
          <w:tcPr>
            <w:tcW w:w="416" w:type="pct"/>
            <w:vMerge w:val="continue"/>
            <w:tcBorders>
              <w:tl2br w:val="nil"/>
              <w:tr2bl w:val="nil"/>
            </w:tcBorders>
            <w:noWrap w:val="0"/>
            <w:vAlign w:val="center"/>
          </w:tcPr>
          <w:p w14:paraId="6E6B6690">
            <w:pPr>
              <w:keepNext w:val="0"/>
              <w:keepLines w:val="0"/>
              <w:widowControl/>
              <w:suppressLineNumbers w:val="0"/>
              <w:jc w:val="center"/>
              <w:textAlignment w:val="center"/>
              <w:rPr>
                <w:rFonts w:hint="default" w:ascii="Times New Roman" w:hAnsi="Times New Roman" w:eastAsia="宋体" w:cs="Times New Roman"/>
                <w:color w:val="auto"/>
                <w:u w:val="none" w:color="auto"/>
              </w:rPr>
            </w:pPr>
          </w:p>
        </w:tc>
        <w:tc>
          <w:tcPr>
            <w:tcW w:w="406" w:type="pct"/>
            <w:vMerge w:val="continue"/>
            <w:tcBorders>
              <w:tl2br w:val="nil"/>
              <w:tr2bl w:val="nil"/>
            </w:tcBorders>
            <w:noWrap w:val="0"/>
            <w:vAlign w:val="center"/>
          </w:tcPr>
          <w:p w14:paraId="2110777C">
            <w:pPr>
              <w:keepNext w:val="0"/>
              <w:keepLines w:val="0"/>
              <w:widowControl/>
              <w:suppressLineNumbers w:val="0"/>
              <w:jc w:val="center"/>
              <w:textAlignment w:val="center"/>
              <w:rPr>
                <w:rFonts w:hint="default" w:ascii="Times New Roman" w:hAnsi="Times New Roman" w:eastAsia="宋体" w:cs="Times New Roman"/>
                <w:color w:val="auto"/>
                <w:u w:val="none" w:color="auto"/>
              </w:rPr>
            </w:pPr>
          </w:p>
        </w:tc>
        <w:tc>
          <w:tcPr>
            <w:tcW w:w="279" w:type="pct"/>
            <w:vMerge w:val="continue"/>
            <w:tcBorders>
              <w:tl2br w:val="nil"/>
              <w:tr2bl w:val="nil"/>
            </w:tcBorders>
            <w:noWrap w:val="0"/>
            <w:vAlign w:val="center"/>
          </w:tcPr>
          <w:p w14:paraId="5FD39721">
            <w:pPr>
              <w:jc w:val="center"/>
              <w:rPr>
                <w:rFonts w:hint="default" w:ascii="Times New Roman" w:hAnsi="Times New Roman" w:eastAsia="宋体" w:cs="Times New Roman"/>
                <w:color w:val="auto"/>
                <w:sz w:val="13"/>
                <w:szCs w:val="13"/>
                <w:u w:val="none" w:color="auto"/>
              </w:rPr>
            </w:pPr>
          </w:p>
        </w:tc>
        <w:tc>
          <w:tcPr>
            <w:tcW w:w="279" w:type="pct"/>
            <w:gridSpan w:val="2"/>
            <w:vMerge w:val="continue"/>
            <w:tcBorders>
              <w:tl2br w:val="nil"/>
              <w:tr2bl w:val="nil"/>
            </w:tcBorders>
            <w:noWrap w:val="0"/>
            <w:vAlign w:val="center"/>
          </w:tcPr>
          <w:p w14:paraId="6FA2B7E0">
            <w:pPr>
              <w:jc w:val="center"/>
              <w:rPr>
                <w:rFonts w:hint="default" w:ascii="Times New Roman" w:hAnsi="Times New Roman" w:eastAsia="宋体" w:cs="Times New Roman"/>
                <w:color w:val="auto"/>
                <w:sz w:val="13"/>
                <w:szCs w:val="13"/>
                <w:u w:val="none" w:color="auto"/>
              </w:rPr>
            </w:pPr>
          </w:p>
        </w:tc>
        <w:tc>
          <w:tcPr>
            <w:tcW w:w="279" w:type="pct"/>
            <w:vMerge w:val="continue"/>
            <w:tcBorders>
              <w:tl2br w:val="nil"/>
              <w:tr2bl w:val="nil"/>
            </w:tcBorders>
            <w:noWrap w:val="0"/>
            <w:vAlign w:val="center"/>
          </w:tcPr>
          <w:p w14:paraId="15722FBD">
            <w:pPr>
              <w:jc w:val="center"/>
              <w:rPr>
                <w:rFonts w:hint="default" w:ascii="Times New Roman" w:hAnsi="Times New Roman" w:eastAsia="宋体" w:cs="Times New Roman"/>
                <w:color w:val="auto"/>
                <w:sz w:val="13"/>
                <w:szCs w:val="13"/>
                <w:u w:val="none" w:color="auto"/>
              </w:rPr>
            </w:pPr>
          </w:p>
        </w:tc>
        <w:tc>
          <w:tcPr>
            <w:tcW w:w="279" w:type="pct"/>
            <w:gridSpan w:val="2"/>
            <w:vMerge w:val="continue"/>
            <w:tcBorders>
              <w:tl2br w:val="nil"/>
              <w:tr2bl w:val="nil"/>
            </w:tcBorders>
            <w:noWrap w:val="0"/>
            <w:vAlign w:val="center"/>
          </w:tcPr>
          <w:p w14:paraId="168EEFF2">
            <w:pPr>
              <w:jc w:val="center"/>
              <w:rPr>
                <w:rFonts w:hint="default" w:ascii="Times New Roman" w:hAnsi="Times New Roman" w:eastAsia="宋体" w:cs="Times New Roman"/>
                <w:color w:val="auto"/>
                <w:sz w:val="13"/>
                <w:szCs w:val="13"/>
                <w:u w:val="none" w:color="auto"/>
              </w:rPr>
            </w:pPr>
          </w:p>
        </w:tc>
        <w:tc>
          <w:tcPr>
            <w:tcW w:w="279" w:type="pct"/>
            <w:vMerge w:val="continue"/>
            <w:tcBorders>
              <w:tl2br w:val="nil"/>
              <w:tr2bl w:val="nil"/>
            </w:tcBorders>
            <w:noWrap w:val="0"/>
            <w:vAlign w:val="center"/>
          </w:tcPr>
          <w:p w14:paraId="786C3C0C">
            <w:pPr>
              <w:jc w:val="center"/>
              <w:rPr>
                <w:rFonts w:hint="default" w:ascii="Times New Roman" w:hAnsi="Times New Roman" w:eastAsia="宋体" w:cs="Times New Roman"/>
                <w:color w:val="auto"/>
                <w:sz w:val="13"/>
                <w:szCs w:val="13"/>
                <w:u w:val="none" w:color="auto"/>
              </w:rPr>
            </w:pPr>
          </w:p>
        </w:tc>
        <w:tc>
          <w:tcPr>
            <w:tcW w:w="247" w:type="pct"/>
            <w:vMerge w:val="continue"/>
            <w:tcBorders>
              <w:tl2br w:val="nil"/>
              <w:tr2bl w:val="nil"/>
            </w:tcBorders>
            <w:noWrap w:val="0"/>
            <w:vAlign w:val="center"/>
          </w:tcPr>
          <w:p w14:paraId="09D16CEF">
            <w:pPr>
              <w:jc w:val="center"/>
              <w:rPr>
                <w:rFonts w:hint="default" w:ascii="Times New Roman" w:hAnsi="Times New Roman" w:eastAsia="宋体" w:cs="Times New Roman"/>
                <w:color w:val="auto"/>
                <w:sz w:val="13"/>
                <w:szCs w:val="13"/>
                <w:u w:val="none" w:color="auto"/>
              </w:rPr>
            </w:pPr>
          </w:p>
        </w:tc>
        <w:tc>
          <w:tcPr>
            <w:tcW w:w="436" w:type="pct"/>
            <w:gridSpan w:val="2"/>
            <w:vMerge w:val="continue"/>
            <w:tcBorders>
              <w:tl2br w:val="nil"/>
              <w:tr2bl w:val="nil"/>
            </w:tcBorders>
            <w:noWrap w:val="0"/>
            <w:vAlign w:val="center"/>
          </w:tcPr>
          <w:p w14:paraId="5A71C3F0">
            <w:pPr>
              <w:jc w:val="center"/>
              <w:rPr>
                <w:rFonts w:hint="default" w:ascii="Times New Roman" w:hAnsi="Times New Roman" w:eastAsia="宋体" w:cs="Times New Roman"/>
                <w:color w:val="auto"/>
                <w:sz w:val="13"/>
                <w:szCs w:val="13"/>
                <w:u w:val="none" w:color="auto"/>
              </w:rPr>
            </w:pPr>
          </w:p>
        </w:tc>
        <w:tc>
          <w:tcPr>
            <w:tcW w:w="155" w:type="pct"/>
            <w:vMerge w:val="continue"/>
            <w:tcBorders>
              <w:tl2br w:val="nil"/>
              <w:tr2bl w:val="nil"/>
            </w:tcBorders>
            <w:noWrap w:val="0"/>
            <w:vAlign w:val="center"/>
          </w:tcPr>
          <w:p w14:paraId="4AFB7046">
            <w:pPr>
              <w:jc w:val="center"/>
              <w:rPr>
                <w:rFonts w:hint="default" w:ascii="Times New Roman" w:hAnsi="Times New Roman" w:eastAsia="宋体" w:cs="Times New Roman"/>
                <w:color w:val="auto"/>
                <w:sz w:val="13"/>
                <w:szCs w:val="13"/>
                <w:u w:val="none" w:color="auto"/>
              </w:rPr>
            </w:pPr>
          </w:p>
        </w:tc>
        <w:tc>
          <w:tcPr>
            <w:tcW w:w="279" w:type="pct"/>
            <w:gridSpan w:val="2"/>
            <w:vMerge w:val="continue"/>
            <w:tcBorders>
              <w:tl2br w:val="nil"/>
              <w:tr2bl w:val="nil"/>
            </w:tcBorders>
            <w:noWrap w:val="0"/>
            <w:vAlign w:val="center"/>
          </w:tcPr>
          <w:p w14:paraId="6D3CAB86">
            <w:pPr>
              <w:jc w:val="center"/>
              <w:rPr>
                <w:rFonts w:hint="default" w:ascii="Times New Roman" w:hAnsi="Times New Roman" w:eastAsia="宋体" w:cs="Times New Roman"/>
                <w:color w:val="auto"/>
                <w:sz w:val="13"/>
                <w:szCs w:val="13"/>
                <w:u w:val="none" w:color="auto"/>
              </w:rPr>
            </w:pPr>
          </w:p>
        </w:tc>
        <w:tc>
          <w:tcPr>
            <w:tcW w:w="201" w:type="pct"/>
            <w:vMerge w:val="continue"/>
            <w:tcBorders>
              <w:tl2br w:val="nil"/>
              <w:tr2bl w:val="nil"/>
            </w:tcBorders>
            <w:noWrap w:val="0"/>
            <w:vAlign w:val="center"/>
          </w:tcPr>
          <w:p w14:paraId="7B42F2CD">
            <w:pPr>
              <w:jc w:val="center"/>
              <w:rPr>
                <w:rFonts w:hint="default" w:ascii="Times New Roman" w:hAnsi="Times New Roman" w:eastAsia="宋体" w:cs="Times New Roman"/>
                <w:color w:val="auto"/>
                <w:sz w:val="13"/>
                <w:szCs w:val="13"/>
                <w:u w:val="none" w:color="auto"/>
              </w:rPr>
            </w:pPr>
          </w:p>
        </w:tc>
        <w:tc>
          <w:tcPr>
            <w:tcW w:w="305" w:type="pct"/>
            <w:vMerge w:val="continue"/>
            <w:tcBorders>
              <w:tl2br w:val="nil"/>
              <w:tr2bl w:val="nil"/>
            </w:tcBorders>
            <w:noWrap w:val="0"/>
            <w:vAlign w:val="center"/>
          </w:tcPr>
          <w:p w14:paraId="5504C3F9">
            <w:pPr>
              <w:jc w:val="center"/>
              <w:rPr>
                <w:rFonts w:hint="default" w:ascii="Times New Roman" w:hAnsi="Times New Roman" w:eastAsia="宋体" w:cs="Times New Roman"/>
                <w:color w:val="auto"/>
                <w:sz w:val="13"/>
                <w:szCs w:val="13"/>
                <w:u w:val="none" w:color="auto"/>
              </w:rPr>
            </w:pPr>
          </w:p>
        </w:tc>
        <w:tc>
          <w:tcPr>
            <w:tcW w:w="332" w:type="pct"/>
            <w:tcBorders>
              <w:tl2br w:val="nil"/>
              <w:tr2bl w:val="nil"/>
            </w:tcBorders>
            <w:noWrap w:val="0"/>
            <w:vAlign w:val="center"/>
          </w:tcPr>
          <w:p w14:paraId="7B363835">
            <w:pPr>
              <w:keepNext w:val="0"/>
              <w:keepLines w:val="0"/>
              <w:widowControl/>
              <w:suppressLineNumbers w:val="0"/>
              <w:jc w:val="center"/>
              <w:textAlignment w:val="center"/>
              <w:rPr>
                <w:rFonts w:hint="default" w:ascii="Times New Roman" w:hAnsi="Times New Roman" w:eastAsia="宋体" w:cs="Times New Roman"/>
                <w:color w:val="auto"/>
                <w:sz w:val="15"/>
                <w:szCs w:val="15"/>
                <w:u w:val="none" w:color="auto"/>
              </w:rPr>
            </w:pPr>
            <w:r>
              <w:rPr>
                <w:rFonts w:hint="default" w:ascii="Times New Roman" w:hAnsi="Times New Roman" w:eastAsia="宋体" w:cs="Times New Roman"/>
                <w:i w:val="0"/>
                <w:iCs w:val="0"/>
                <w:color w:val="auto"/>
                <w:kern w:val="0"/>
                <w:sz w:val="15"/>
                <w:szCs w:val="15"/>
                <w:u w:val="none" w:color="auto"/>
                <w:lang w:val="en-US" w:eastAsia="zh-CN" w:bidi="ar"/>
              </w:rPr>
              <w:t>重金属</w:t>
            </w:r>
            <w:r>
              <w:rPr>
                <w:rStyle w:val="51"/>
                <w:rFonts w:hint="default" w:ascii="Times New Roman" w:hAnsi="Times New Roman" w:eastAsia="宋体" w:cs="Times New Roman"/>
                <w:color w:val="auto"/>
                <w:sz w:val="15"/>
                <w:szCs w:val="15"/>
                <w:u w:val="none" w:color="auto"/>
                <w:lang w:val="en-US" w:eastAsia="zh-CN" w:bidi="ar"/>
              </w:rPr>
              <w:t>及其化合物</w:t>
            </w:r>
          </w:p>
        </w:tc>
        <w:tc>
          <w:tcPr>
            <w:tcW w:w="218" w:type="pct"/>
            <w:vMerge w:val="continue"/>
            <w:tcBorders>
              <w:tl2br w:val="nil"/>
              <w:tr2bl w:val="nil"/>
            </w:tcBorders>
            <w:noWrap w:val="0"/>
            <w:vAlign w:val="center"/>
          </w:tcPr>
          <w:p w14:paraId="142C08DB">
            <w:pPr>
              <w:jc w:val="center"/>
              <w:rPr>
                <w:rFonts w:hint="default" w:ascii="Times New Roman" w:hAnsi="Times New Roman" w:eastAsia="宋体" w:cs="Times New Roman"/>
                <w:color w:val="auto"/>
                <w:sz w:val="13"/>
                <w:szCs w:val="13"/>
                <w:u w:val="none" w:color="auto"/>
              </w:rPr>
            </w:pPr>
          </w:p>
        </w:tc>
        <w:tc>
          <w:tcPr>
            <w:tcW w:w="343" w:type="pct"/>
            <w:tcBorders>
              <w:tl2br w:val="nil"/>
              <w:tr2bl w:val="nil"/>
            </w:tcBorders>
            <w:noWrap w:val="0"/>
            <w:vAlign w:val="center"/>
          </w:tcPr>
          <w:p w14:paraId="49899C2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5"/>
                <w:szCs w:val="15"/>
                <w:u w:val="none" w:color="auto"/>
                <w:lang w:val="en-US" w:eastAsia="zh-CN" w:bidi="ar"/>
              </w:rPr>
            </w:pPr>
            <w:r>
              <w:rPr>
                <w:rFonts w:hint="default" w:ascii="Times New Roman" w:hAnsi="Times New Roman" w:eastAsia="宋体" w:cs="Times New Roman"/>
                <w:i w:val="0"/>
                <w:iCs w:val="0"/>
                <w:color w:val="auto"/>
                <w:kern w:val="0"/>
                <w:sz w:val="15"/>
                <w:szCs w:val="15"/>
                <w:u w:val="none" w:color="auto"/>
                <w:lang w:val="en-US" w:eastAsia="zh-CN" w:bidi="ar"/>
              </w:rPr>
              <w:t>重金属</w:t>
            </w:r>
            <w:r>
              <w:rPr>
                <w:rStyle w:val="51"/>
                <w:rFonts w:hint="default" w:ascii="Times New Roman" w:hAnsi="Times New Roman" w:eastAsia="宋体" w:cs="Times New Roman"/>
                <w:color w:val="auto"/>
                <w:sz w:val="15"/>
                <w:szCs w:val="15"/>
                <w:u w:val="none" w:color="auto"/>
                <w:lang w:val="en-US" w:eastAsia="zh-CN" w:bidi="ar"/>
              </w:rPr>
              <w:t>及其化合物</w:t>
            </w:r>
          </w:p>
        </w:tc>
      </w:tr>
      <w:tr w14:paraId="66E6A0B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28" w:type="dxa"/>
            <w:left w:w="108" w:type="dxa"/>
            <w:bottom w:w="28" w:type="dxa"/>
            <w:right w:w="108" w:type="dxa"/>
          </w:tblCellMar>
        </w:tblPrEx>
        <w:trPr>
          <w:jc w:val="center"/>
        </w:trPr>
        <w:tc>
          <w:tcPr>
            <w:tcW w:w="255" w:type="pct"/>
            <w:gridSpan w:val="2"/>
            <w:vMerge w:val="continue"/>
            <w:tcBorders>
              <w:tl2br w:val="nil"/>
              <w:tr2bl w:val="nil"/>
            </w:tcBorders>
            <w:noWrap w:val="0"/>
            <w:vAlign w:val="center"/>
          </w:tcPr>
          <w:p w14:paraId="7EA3E6AB">
            <w:pPr>
              <w:widowControl/>
              <w:jc w:val="left"/>
              <w:rPr>
                <w:rFonts w:hint="default" w:ascii="Times New Roman" w:hAnsi="Times New Roman" w:eastAsia="宋体" w:cs="Times New Roman"/>
                <w:color w:val="auto"/>
                <w:sz w:val="21"/>
                <w:szCs w:val="21"/>
                <w:u w:val="none" w:color="auto"/>
              </w:rPr>
            </w:pPr>
          </w:p>
        </w:tc>
        <w:tc>
          <w:tcPr>
            <w:tcW w:w="416" w:type="pct"/>
            <w:vMerge w:val="continue"/>
            <w:tcBorders>
              <w:tl2br w:val="nil"/>
              <w:tr2bl w:val="nil"/>
            </w:tcBorders>
            <w:noWrap w:val="0"/>
            <w:vAlign w:val="center"/>
          </w:tcPr>
          <w:p w14:paraId="491999BD">
            <w:pPr>
              <w:widowControl/>
              <w:jc w:val="left"/>
              <w:rPr>
                <w:rFonts w:hint="default" w:ascii="Times New Roman" w:hAnsi="Times New Roman" w:eastAsia="宋体" w:cs="Times New Roman"/>
                <w:color w:val="auto"/>
                <w:sz w:val="21"/>
                <w:szCs w:val="21"/>
                <w:u w:val="none" w:color="auto"/>
              </w:rPr>
            </w:pPr>
          </w:p>
        </w:tc>
        <w:tc>
          <w:tcPr>
            <w:tcW w:w="406" w:type="pct"/>
            <w:tcBorders>
              <w:tl2br w:val="nil"/>
              <w:tr2bl w:val="nil"/>
            </w:tcBorders>
            <w:noWrap w:val="0"/>
            <w:vAlign w:val="center"/>
          </w:tcPr>
          <w:p w14:paraId="7AB33289">
            <w:pPr>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存在总量/t</w:t>
            </w:r>
          </w:p>
        </w:tc>
        <w:tc>
          <w:tcPr>
            <w:tcW w:w="279" w:type="pct"/>
            <w:tcBorders>
              <w:tl2br w:val="nil"/>
              <w:tr2bl w:val="nil"/>
            </w:tcBorders>
            <w:noWrap w:val="0"/>
            <w:vAlign w:val="center"/>
          </w:tcPr>
          <w:p w14:paraId="06BAB32E">
            <w:pPr>
              <w:keepNext w:val="0"/>
              <w:keepLines w:val="0"/>
              <w:widowControl/>
              <w:suppressLineNumbers w:val="0"/>
              <w:jc w:val="center"/>
              <w:textAlignment w:val="center"/>
              <w:rPr>
                <w:rFonts w:hint="default" w:ascii="Times New Roman" w:hAnsi="Times New Roman" w:eastAsia="宋体" w:cs="Times New Roman"/>
                <w:color w:val="auto"/>
                <w:sz w:val="15"/>
                <w:szCs w:val="15"/>
                <w:u w:val="none" w:color="auto"/>
                <w:lang w:val="en-US" w:eastAsia="zh-CN"/>
              </w:rPr>
            </w:pPr>
            <w:r>
              <w:rPr>
                <w:rFonts w:hint="default" w:ascii="Times New Roman" w:hAnsi="Times New Roman" w:eastAsia="宋体" w:cs="Times New Roman"/>
                <w:i w:val="0"/>
                <w:iCs w:val="0"/>
                <w:color w:val="auto"/>
                <w:kern w:val="0"/>
                <w:sz w:val="15"/>
                <w:szCs w:val="15"/>
                <w:u w:val="none" w:color="auto"/>
                <w:lang w:val="en-US" w:eastAsia="zh-CN" w:bidi="ar"/>
              </w:rPr>
              <w:t>25.857</w:t>
            </w:r>
          </w:p>
        </w:tc>
        <w:tc>
          <w:tcPr>
            <w:tcW w:w="279" w:type="pct"/>
            <w:gridSpan w:val="2"/>
            <w:tcBorders>
              <w:tl2br w:val="nil"/>
              <w:tr2bl w:val="nil"/>
            </w:tcBorders>
            <w:noWrap w:val="0"/>
            <w:vAlign w:val="center"/>
          </w:tcPr>
          <w:p w14:paraId="59C34BB8">
            <w:pPr>
              <w:keepNext w:val="0"/>
              <w:keepLines w:val="0"/>
              <w:widowControl/>
              <w:suppressLineNumbers w:val="0"/>
              <w:jc w:val="center"/>
              <w:textAlignment w:val="center"/>
              <w:rPr>
                <w:rFonts w:hint="default" w:ascii="Times New Roman" w:hAnsi="Times New Roman" w:eastAsia="宋体" w:cs="Times New Roman"/>
                <w:color w:val="auto"/>
                <w:sz w:val="15"/>
                <w:szCs w:val="15"/>
                <w:u w:val="none" w:color="auto"/>
                <w:lang w:val="en-US" w:eastAsia="zh-CN"/>
              </w:rPr>
            </w:pPr>
            <w:r>
              <w:rPr>
                <w:rFonts w:hint="default" w:ascii="Times New Roman" w:hAnsi="Times New Roman" w:eastAsia="宋体" w:cs="Times New Roman"/>
                <w:i w:val="0"/>
                <w:iCs w:val="0"/>
                <w:color w:val="auto"/>
                <w:kern w:val="0"/>
                <w:sz w:val="15"/>
                <w:szCs w:val="15"/>
                <w:u w:val="none" w:color="auto"/>
                <w:lang w:val="en-US" w:eastAsia="zh-CN" w:bidi="ar"/>
              </w:rPr>
              <w:t>30</w:t>
            </w:r>
          </w:p>
        </w:tc>
        <w:tc>
          <w:tcPr>
            <w:tcW w:w="279" w:type="pct"/>
            <w:tcBorders>
              <w:tl2br w:val="nil"/>
              <w:tr2bl w:val="nil"/>
            </w:tcBorders>
            <w:noWrap w:val="0"/>
            <w:vAlign w:val="center"/>
          </w:tcPr>
          <w:p w14:paraId="06B4218F">
            <w:pPr>
              <w:keepNext w:val="0"/>
              <w:keepLines w:val="0"/>
              <w:widowControl/>
              <w:suppressLineNumbers w:val="0"/>
              <w:jc w:val="center"/>
              <w:textAlignment w:val="center"/>
              <w:rPr>
                <w:rFonts w:hint="default" w:ascii="Times New Roman" w:hAnsi="Times New Roman" w:eastAsia="宋体" w:cs="Times New Roman"/>
                <w:color w:val="auto"/>
                <w:sz w:val="15"/>
                <w:szCs w:val="15"/>
                <w:u w:val="none" w:color="auto"/>
                <w:lang w:val="en-US" w:eastAsia="zh-CN"/>
              </w:rPr>
            </w:pPr>
            <w:r>
              <w:rPr>
                <w:rFonts w:hint="default" w:ascii="Times New Roman" w:hAnsi="Times New Roman" w:eastAsia="宋体" w:cs="Times New Roman"/>
                <w:i w:val="0"/>
                <w:iCs w:val="0"/>
                <w:color w:val="auto"/>
                <w:kern w:val="0"/>
                <w:sz w:val="15"/>
                <w:szCs w:val="15"/>
                <w:u w:val="none" w:color="auto"/>
                <w:lang w:val="en-US" w:eastAsia="zh-CN" w:bidi="ar"/>
              </w:rPr>
              <w:t>0.05</w:t>
            </w:r>
          </w:p>
        </w:tc>
        <w:tc>
          <w:tcPr>
            <w:tcW w:w="279" w:type="pct"/>
            <w:gridSpan w:val="2"/>
            <w:tcBorders>
              <w:tl2br w:val="nil"/>
              <w:tr2bl w:val="nil"/>
            </w:tcBorders>
            <w:noWrap w:val="0"/>
            <w:vAlign w:val="center"/>
          </w:tcPr>
          <w:p w14:paraId="7C9F8E07">
            <w:pPr>
              <w:keepNext w:val="0"/>
              <w:keepLines w:val="0"/>
              <w:widowControl/>
              <w:suppressLineNumbers w:val="0"/>
              <w:jc w:val="center"/>
              <w:textAlignment w:val="center"/>
              <w:rPr>
                <w:rFonts w:hint="default" w:ascii="Times New Roman" w:hAnsi="Times New Roman" w:eastAsia="宋体" w:cs="Times New Roman"/>
                <w:color w:val="auto"/>
                <w:sz w:val="15"/>
                <w:szCs w:val="15"/>
                <w:u w:val="none" w:color="auto"/>
                <w:lang w:val="en-US" w:eastAsia="zh-CN"/>
              </w:rPr>
            </w:pPr>
            <w:r>
              <w:rPr>
                <w:rFonts w:hint="default" w:ascii="Times New Roman" w:hAnsi="Times New Roman" w:eastAsia="宋体" w:cs="Times New Roman"/>
                <w:i w:val="0"/>
                <w:iCs w:val="0"/>
                <w:color w:val="auto"/>
                <w:kern w:val="0"/>
                <w:sz w:val="15"/>
                <w:szCs w:val="15"/>
                <w:u w:val="none" w:color="auto"/>
                <w:lang w:val="en-US" w:eastAsia="zh-CN" w:bidi="ar"/>
              </w:rPr>
              <w:t>4</w:t>
            </w:r>
          </w:p>
        </w:tc>
        <w:tc>
          <w:tcPr>
            <w:tcW w:w="279" w:type="pct"/>
            <w:tcBorders>
              <w:tl2br w:val="nil"/>
              <w:tr2bl w:val="nil"/>
            </w:tcBorders>
            <w:noWrap w:val="0"/>
            <w:vAlign w:val="center"/>
          </w:tcPr>
          <w:p w14:paraId="513043C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5"/>
                <w:szCs w:val="15"/>
                <w:u w:val="none" w:color="auto"/>
                <w:lang w:val="en-US" w:eastAsia="zh-CN" w:bidi="ar"/>
              </w:rPr>
            </w:pPr>
            <w:r>
              <w:rPr>
                <w:rFonts w:hint="default" w:ascii="Times New Roman" w:hAnsi="Times New Roman" w:eastAsia="宋体" w:cs="Times New Roman"/>
                <w:i w:val="0"/>
                <w:iCs w:val="0"/>
                <w:color w:val="auto"/>
                <w:kern w:val="0"/>
                <w:sz w:val="15"/>
                <w:szCs w:val="15"/>
                <w:u w:val="none" w:color="auto"/>
                <w:lang w:val="en-US" w:eastAsia="zh-CN" w:bidi="ar"/>
              </w:rPr>
              <w:t>2</w:t>
            </w:r>
          </w:p>
        </w:tc>
        <w:tc>
          <w:tcPr>
            <w:tcW w:w="247" w:type="pct"/>
            <w:tcBorders>
              <w:tl2br w:val="nil"/>
              <w:tr2bl w:val="nil"/>
            </w:tcBorders>
            <w:noWrap w:val="0"/>
            <w:vAlign w:val="center"/>
          </w:tcPr>
          <w:p w14:paraId="768ACB2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5"/>
                <w:szCs w:val="15"/>
                <w:u w:val="none" w:color="auto"/>
                <w:lang w:val="en-US" w:eastAsia="zh-CN" w:bidi="ar"/>
              </w:rPr>
            </w:pPr>
            <w:r>
              <w:rPr>
                <w:rFonts w:hint="default" w:ascii="Times New Roman" w:hAnsi="Times New Roman" w:eastAsia="宋体" w:cs="Times New Roman"/>
                <w:i w:val="0"/>
                <w:iCs w:val="0"/>
                <w:color w:val="auto"/>
                <w:kern w:val="0"/>
                <w:sz w:val="15"/>
                <w:szCs w:val="15"/>
                <w:u w:val="none" w:color="auto"/>
                <w:lang w:val="en-US" w:eastAsia="zh-CN" w:bidi="ar"/>
              </w:rPr>
              <w:t>2</w:t>
            </w:r>
          </w:p>
        </w:tc>
        <w:tc>
          <w:tcPr>
            <w:tcW w:w="436" w:type="pct"/>
            <w:gridSpan w:val="2"/>
            <w:tcBorders>
              <w:tl2br w:val="nil"/>
              <w:tr2bl w:val="nil"/>
            </w:tcBorders>
            <w:noWrap w:val="0"/>
            <w:vAlign w:val="center"/>
          </w:tcPr>
          <w:p w14:paraId="7C59BE4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5"/>
                <w:szCs w:val="15"/>
                <w:u w:val="none" w:color="auto"/>
                <w:lang w:val="en-US" w:eastAsia="zh-CN" w:bidi="ar"/>
              </w:rPr>
            </w:pPr>
            <w:r>
              <w:rPr>
                <w:rFonts w:hint="default" w:ascii="Times New Roman" w:hAnsi="Times New Roman" w:eastAsia="宋体" w:cs="Times New Roman"/>
                <w:i w:val="0"/>
                <w:iCs w:val="0"/>
                <w:color w:val="auto"/>
                <w:kern w:val="0"/>
                <w:sz w:val="15"/>
                <w:szCs w:val="15"/>
                <w:u w:val="none" w:color="auto"/>
                <w:lang w:val="en-US" w:eastAsia="zh-CN" w:bidi="ar"/>
              </w:rPr>
              <w:t>24</w:t>
            </w:r>
          </w:p>
        </w:tc>
        <w:tc>
          <w:tcPr>
            <w:tcW w:w="155" w:type="pct"/>
            <w:tcBorders>
              <w:tl2br w:val="nil"/>
              <w:tr2bl w:val="nil"/>
            </w:tcBorders>
            <w:noWrap w:val="0"/>
            <w:vAlign w:val="center"/>
          </w:tcPr>
          <w:p w14:paraId="323BE20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5"/>
                <w:szCs w:val="15"/>
                <w:u w:val="none" w:color="auto"/>
                <w:lang w:val="en-US" w:eastAsia="zh-CN" w:bidi="ar"/>
              </w:rPr>
            </w:pPr>
            <w:r>
              <w:rPr>
                <w:rFonts w:hint="default" w:ascii="Times New Roman" w:hAnsi="Times New Roman" w:eastAsia="宋体" w:cs="Times New Roman"/>
                <w:i w:val="0"/>
                <w:iCs w:val="0"/>
                <w:color w:val="auto"/>
                <w:kern w:val="0"/>
                <w:sz w:val="15"/>
                <w:szCs w:val="15"/>
                <w:u w:val="none" w:color="auto"/>
                <w:lang w:val="en-US" w:eastAsia="zh-CN" w:bidi="ar"/>
              </w:rPr>
              <w:t>80</w:t>
            </w:r>
          </w:p>
        </w:tc>
        <w:tc>
          <w:tcPr>
            <w:tcW w:w="279" w:type="pct"/>
            <w:gridSpan w:val="2"/>
            <w:tcBorders>
              <w:tl2br w:val="nil"/>
              <w:tr2bl w:val="nil"/>
            </w:tcBorders>
            <w:noWrap w:val="0"/>
            <w:vAlign w:val="center"/>
          </w:tcPr>
          <w:p w14:paraId="0F5363A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5"/>
                <w:szCs w:val="15"/>
                <w:u w:val="none" w:color="auto"/>
                <w:lang w:val="en-US" w:eastAsia="zh-CN" w:bidi="ar"/>
              </w:rPr>
            </w:pPr>
            <w:r>
              <w:rPr>
                <w:rFonts w:hint="default" w:ascii="Times New Roman" w:hAnsi="Times New Roman" w:eastAsia="宋体" w:cs="Times New Roman"/>
                <w:i w:val="0"/>
                <w:iCs w:val="0"/>
                <w:color w:val="auto"/>
                <w:kern w:val="0"/>
                <w:sz w:val="15"/>
                <w:szCs w:val="15"/>
                <w:u w:val="none" w:color="auto"/>
                <w:lang w:val="en-US" w:eastAsia="zh-CN" w:bidi="ar"/>
              </w:rPr>
              <w:t>10</w:t>
            </w:r>
          </w:p>
        </w:tc>
        <w:tc>
          <w:tcPr>
            <w:tcW w:w="201" w:type="pct"/>
            <w:tcBorders>
              <w:tl2br w:val="nil"/>
              <w:tr2bl w:val="nil"/>
            </w:tcBorders>
            <w:noWrap w:val="0"/>
            <w:vAlign w:val="center"/>
          </w:tcPr>
          <w:p w14:paraId="40D4AF1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5"/>
                <w:szCs w:val="15"/>
                <w:u w:val="none" w:color="auto"/>
                <w:lang w:val="en-US" w:eastAsia="zh-CN" w:bidi="ar"/>
              </w:rPr>
            </w:pPr>
            <w:r>
              <w:rPr>
                <w:rFonts w:hint="default" w:ascii="Times New Roman" w:hAnsi="Times New Roman" w:eastAsia="宋体" w:cs="Times New Roman"/>
                <w:i w:val="0"/>
                <w:iCs w:val="0"/>
                <w:color w:val="auto"/>
                <w:kern w:val="0"/>
                <w:sz w:val="15"/>
                <w:szCs w:val="15"/>
                <w:u w:val="none" w:color="auto"/>
                <w:lang w:val="en-US" w:eastAsia="zh-CN" w:bidi="ar"/>
              </w:rPr>
              <w:t>4</w:t>
            </w:r>
          </w:p>
        </w:tc>
        <w:tc>
          <w:tcPr>
            <w:tcW w:w="305" w:type="pct"/>
            <w:tcBorders>
              <w:tl2br w:val="nil"/>
              <w:tr2bl w:val="nil"/>
            </w:tcBorders>
            <w:noWrap w:val="0"/>
            <w:vAlign w:val="center"/>
          </w:tcPr>
          <w:p w14:paraId="0F7EFE5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5"/>
                <w:szCs w:val="15"/>
                <w:u w:val="none" w:color="auto"/>
                <w:lang w:val="en-US" w:eastAsia="zh-CN" w:bidi="ar"/>
              </w:rPr>
            </w:pPr>
            <w:r>
              <w:rPr>
                <w:rFonts w:hint="default" w:ascii="Times New Roman" w:hAnsi="Times New Roman" w:eastAsia="宋体" w:cs="Times New Roman"/>
                <w:i w:val="0"/>
                <w:iCs w:val="0"/>
                <w:color w:val="auto"/>
                <w:kern w:val="0"/>
                <w:sz w:val="15"/>
                <w:szCs w:val="15"/>
                <w:u w:val="none" w:color="auto"/>
                <w:lang w:val="en-US" w:eastAsia="zh-CN" w:bidi="ar"/>
              </w:rPr>
              <w:t>70</w:t>
            </w:r>
          </w:p>
        </w:tc>
        <w:tc>
          <w:tcPr>
            <w:tcW w:w="332" w:type="pct"/>
            <w:tcBorders>
              <w:tl2br w:val="nil"/>
              <w:tr2bl w:val="nil"/>
            </w:tcBorders>
            <w:noWrap w:val="0"/>
            <w:vAlign w:val="center"/>
          </w:tcPr>
          <w:p w14:paraId="66C2CC6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5"/>
                <w:szCs w:val="15"/>
                <w:u w:val="none" w:color="auto"/>
                <w:lang w:val="en-US" w:eastAsia="zh-CN" w:bidi="ar"/>
              </w:rPr>
            </w:pPr>
            <w:r>
              <w:rPr>
                <w:rFonts w:hint="default" w:ascii="Times New Roman" w:hAnsi="Times New Roman" w:eastAsia="宋体" w:cs="Times New Roman"/>
                <w:i w:val="0"/>
                <w:iCs w:val="0"/>
                <w:color w:val="auto"/>
                <w:kern w:val="0"/>
                <w:sz w:val="15"/>
                <w:szCs w:val="15"/>
                <w:u w:val="none" w:color="auto"/>
                <w:lang w:val="en-US" w:eastAsia="zh-CN" w:bidi="ar"/>
              </w:rPr>
              <w:t>4.173</w:t>
            </w:r>
          </w:p>
        </w:tc>
        <w:tc>
          <w:tcPr>
            <w:tcW w:w="218" w:type="pct"/>
            <w:tcBorders>
              <w:tl2br w:val="nil"/>
              <w:tr2bl w:val="nil"/>
            </w:tcBorders>
            <w:noWrap w:val="0"/>
            <w:vAlign w:val="center"/>
          </w:tcPr>
          <w:p w14:paraId="5A5560C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5"/>
                <w:szCs w:val="15"/>
                <w:u w:val="none" w:color="auto"/>
                <w:lang w:val="en-US" w:eastAsia="zh-CN" w:bidi="ar"/>
              </w:rPr>
            </w:pPr>
            <w:r>
              <w:rPr>
                <w:rFonts w:hint="default" w:ascii="Times New Roman" w:hAnsi="Times New Roman" w:eastAsia="宋体" w:cs="Times New Roman"/>
                <w:i w:val="0"/>
                <w:iCs w:val="0"/>
                <w:color w:val="auto"/>
                <w:kern w:val="0"/>
                <w:sz w:val="15"/>
                <w:szCs w:val="15"/>
                <w:u w:val="none" w:color="auto"/>
                <w:lang w:val="en-US" w:eastAsia="zh-CN" w:bidi="ar"/>
              </w:rPr>
              <w:t>20</w:t>
            </w:r>
          </w:p>
        </w:tc>
        <w:tc>
          <w:tcPr>
            <w:tcW w:w="343" w:type="pct"/>
            <w:tcBorders>
              <w:tl2br w:val="nil"/>
              <w:tr2bl w:val="nil"/>
            </w:tcBorders>
            <w:noWrap w:val="0"/>
            <w:vAlign w:val="center"/>
          </w:tcPr>
          <w:p w14:paraId="4DB56A0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5"/>
                <w:szCs w:val="15"/>
                <w:u w:val="none" w:color="auto"/>
                <w:lang w:val="en-US" w:eastAsia="zh-CN" w:bidi="ar"/>
              </w:rPr>
            </w:pPr>
            <w:r>
              <w:rPr>
                <w:rFonts w:hint="default" w:ascii="Times New Roman" w:hAnsi="Times New Roman" w:eastAsia="宋体" w:cs="Times New Roman"/>
                <w:i w:val="0"/>
                <w:iCs w:val="0"/>
                <w:color w:val="auto"/>
                <w:kern w:val="0"/>
                <w:sz w:val="15"/>
                <w:szCs w:val="15"/>
                <w:u w:val="none" w:color="auto"/>
                <w:lang w:val="en-US" w:eastAsia="zh-CN" w:bidi="ar"/>
              </w:rPr>
              <w:t>0.731</w:t>
            </w:r>
          </w:p>
        </w:tc>
      </w:tr>
      <w:tr w14:paraId="682A095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28" w:type="dxa"/>
            <w:left w:w="108" w:type="dxa"/>
            <w:bottom w:w="28" w:type="dxa"/>
            <w:right w:w="108" w:type="dxa"/>
          </w:tblCellMar>
        </w:tblPrEx>
        <w:trPr>
          <w:jc w:val="center"/>
        </w:trPr>
        <w:tc>
          <w:tcPr>
            <w:tcW w:w="255" w:type="pct"/>
            <w:gridSpan w:val="2"/>
            <w:vMerge w:val="continue"/>
            <w:tcBorders>
              <w:tl2br w:val="nil"/>
              <w:tr2bl w:val="nil"/>
            </w:tcBorders>
            <w:noWrap w:val="0"/>
            <w:vAlign w:val="center"/>
          </w:tcPr>
          <w:p w14:paraId="61215DB8">
            <w:pPr>
              <w:widowControl/>
              <w:jc w:val="left"/>
              <w:rPr>
                <w:rFonts w:hint="default" w:ascii="Times New Roman" w:hAnsi="Times New Roman" w:eastAsia="宋体" w:cs="Times New Roman"/>
                <w:color w:val="auto"/>
                <w:sz w:val="21"/>
                <w:szCs w:val="21"/>
                <w:u w:val="none" w:color="auto"/>
              </w:rPr>
            </w:pPr>
          </w:p>
        </w:tc>
        <w:tc>
          <w:tcPr>
            <w:tcW w:w="416" w:type="pct"/>
            <w:vMerge w:val="restart"/>
            <w:tcBorders>
              <w:tl2br w:val="nil"/>
              <w:tr2bl w:val="nil"/>
            </w:tcBorders>
            <w:noWrap w:val="0"/>
            <w:vAlign w:val="center"/>
          </w:tcPr>
          <w:p w14:paraId="2CE60A09">
            <w:pPr>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环境敏感性</w:t>
            </w:r>
          </w:p>
        </w:tc>
        <w:tc>
          <w:tcPr>
            <w:tcW w:w="406" w:type="pct"/>
            <w:vMerge w:val="restart"/>
            <w:tcBorders>
              <w:tl2br w:val="nil"/>
              <w:tr2bl w:val="nil"/>
            </w:tcBorders>
            <w:noWrap w:val="0"/>
            <w:vAlign w:val="center"/>
          </w:tcPr>
          <w:p w14:paraId="61BFB453">
            <w:pPr>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大气</w:t>
            </w:r>
          </w:p>
        </w:tc>
        <w:tc>
          <w:tcPr>
            <w:tcW w:w="2084" w:type="pct"/>
            <w:gridSpan w:val="10"/>
            <w:tcBorders>
              <w:tl2br w:val="nil"/>
              <w:tr2bl w:val="nil"/>
            </w:tcBorders>
            <w:noWrap w:val="0"/>
            <w:vAlign w:val="center"/>
          </w:tcPr>
          <w:p w14:paraId="3C65B94E">
            <w:pPr>
              <w:adjustRightInd w:val="0"/>
              <w:snapToGrid w:val="0"/>
              <w:jc w:val="center"/>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color w:val="auto"/>
                <w:kern w:val="0"/>
                <w:sz w:val="21"/>
                <w:szCs w:val="21"/>
                <w:u w:val="none" w:color="auto"/>
              </w:rPr>
              <w:t>500m范围内人口数</w:t>
            </w:r>
            <w:r>
              <w:rPr>
                <w:rFonts w:hint="default" w:ascii="Times New Roman" w:hAnsi="Times New Roman" w:eastAsia="宋体" w:cs="Times New Roman"/>
                <w:color w:val="auto"/>
                <w:kern w:val="0"/>
                <w:sz w:val="21"/>
                <w:szCs w:val="21"/>
                <w:u w:val="none" w:color="auto"/>
                <w:lang w:val="en-US" w:eastAsia="zh-CN"/>
              </w:rPr>
              <w:t>＞1000</w:t>
            </w:r>
            <w:r>
              <w:rPr>
                <w:rFonts w:hint="default" w:ascii="Times New Roman" w:hAnsi="Times New Roman" w:eastAsia="宋体" w:cs="Times New Roman"/>
                <w:color w:val="auto"/>
                <w:kern w:val="0"/>
                <w:sz w:val="21"/>
                <w:szCs w:val="21"/>
                <w:u w:val="none" w:color="auto"/>
              </w:rPr>
              <w:t xml:space="preserve"> 人</w:t>
            </w:r>
          </w:p>
        </w:tc>
        <w:tc>
          <w:tcPr>
            <w:tcW w:w="1837" w:type="pct"/>
            <w:gridSpan w:val="8"/>
            <w:tcBorders>
              <w:tl2br w:val="nil"/>
              <w:tr2bl w:val="nil"/>
            </w:tcBorders>
            <w:noWrap w:val="0"/>
            <w:vAlign w:val="center"/>
          </w:tcPr>
          <w:p w14:paraId="514DFD58">
            <w:pPr>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kern w:val="0"/>
                <w:sz w:val="21"/>
                <w:szCs w:val="21"/>
                <w:u w:val="none" w:color="auto"/>
              </w:rPr>
              <w:t>5km范围内人口数</w:t>
            </w:r>
            <w:r>
              <w:rPr>
                <w:rFonts w:hint="default" w:ascii="Times New Roman" w:hAnsi="Times New Roman" w:eastAsia="宋体" w:cs="Times New Roman"/>
                <w:color w:val="auto"/>
                <w:kern w:val="0"/>
                <w:sz w:val="21"/>
                <w:szCs w:val="21"/>
                <w:u w:val="none" w:color="auto"/>
                <w:lang w:val="en-US" w:eastAsia="zh-CN"/>
              </w:rPr>
              <w:t>＞5万人</w:t>
            </w:r>
          </w:p>
        </w:tc>
      </w:tr>
      <w:tr w14:paraId="4DD98B1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28" w:type="dxa"/>
            <w:left w:w="108" w:type="dxa"/>
            <w:bottom w:w="28" w:type="dxa"/>
            <w:right w:w="108" w:type="dxa"/>
          </w:tblCellMar>
        </w:tblPrEx>
        <w:trPr>
          <w:jc w:val="center"/>
        </w:trPr>
        <w:tc>
          <w:tcPr>
            <w:tcW w:w="255" w:type="pct"/>
            <w:gridSpan w:val="2"/>
            <w:vMerge w:val="continue"/>
            <w:tcBorders>
              <w:tl2br w:val="nil"/>
              <w:tr2bl w:val="nil"/>
            </w:tcBorders>
            <w:noWrap w:val="0"/>
            <w:vAlign w:val="center"/>
          </w:tcPr>
          <w:p w14:paraId="4737CA64">
            <w:pPr>
              <w:widowControl/>
              <w:jc w:val="left"/>
              <w:rPr>
                <w:rFonts w:hint="default" w:ascii="Times New Roman" w:hAnsi="Times New Roman" w:eastAsia="宋体" w:cs="Times New Roman"/>
                <w:color w:val="auto"/>
                <w:sz w:val="21"/>
                <w:szCs w:val="21"/>
                <w:u w:val="none" w:color="auto"/>
              </w:rPr>
            </w:pPr>
          </w:p>
        </w:tc>
        <w:tc>
          <w:tcPr>
            <w:tcW w:w="416" w:type="pct"/>
            <w:vMerge w:val="continue"/>
            <w:tcBorders>
              <w:tl2br w:val="nil"/>
              <w:tr2bl w:val="nil"/>
            </w:tcBorders>
            <w:noWrap w:val="0"/>
            <w:vAlign w:val="center"/>
          </w:tcPr>
          <w:p w14:paraId="38D342EA">
            <w:pPr>
              <w:widowControl/>
              <w:jc w:val="left"/>
              <w:rPr>
                <w:rFonts w:hint="default" w:ascii="Times New Roman" w:hAnsi="Times New Roman" w:eastAsia="宋体" w:cs="Times New Roman"/>
                <w:color w:val="auto"/>
                <w:sz w:val="21"/>
                <w:szCs w:val="21"/>
                <w:u w:val="none" w:color="auto"/>
              </w:rPr>
            </w:pPr>
          </w:p>
        </w:tc>
        <w:tc>
          <w:tcPr>
            <w:tcW w:w="406" w:type="pct"/>
            <w:vMerge w:val="continue"/>
            <w:tcBorders>
              <w:tl2br w:val="nil"/>
              <w:tr2bl w:val="nil"/>
            </w:tcBorders>
            <w:noWrap w:val="0"/>
            <w:vAlign w:val="center"/>
          </w:tcPr>
          <w:p w14:paraId="2A9DACF3">
            <w:pPr>
              <w:widowControl/>
              <w:jc w:val="left"/>
              <w:rPr>
                <w:rFonts w:hint="default" w:ascii="Times New Roman" w:hAnsi="Times New Roman" w:eastAsia="宋体" w:cs="Times New Roman"/>
                <w:color w:val="auto"/>
                <w:sz w:val="21"/>
                <w:szCs w:val="21"/>
                <w:u w:val="none" w:color="auto"/>
              </w:rPr>
            </w:pPr>
          </w:p>
        </w:tc>
        <w:tc>
          <w:tcPr>
            <w:tcW w:w="2721" w:type="pct"/>
            <w:gridSpan w:val="14"/>
            <w:tcBorders>
              <w:tl2br w:val="nil"/>
              <w:tr2bl w:val="nil"/>
            </w:tcBorders>
            <w:noWrap w:val="0"/>
            <w:vAlign w:val="center"/>
          </w:tcPr>
          <w:p w14:paraId="68B1C4AE">
            <w:pPr>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每公里管段周边200m范围内人口数（最大）</w:t>
            </w:r>
          </w:p>
        </w:tc>
        <w:tc>
          <w:tcPr>
            <w:tcW w:w="1200" w:type="pct"/>
            <w:gridSpan w:val="4"/>
            <w:tcBorders>
              <w:tl2br w:val="nil"/>
              <w:tr2bl w:val="nil"/>
            </w:tcBorders>
            <w:noWrap w:val="0"/>
            <w:vAlign w:val="center"/>
          </w:tcPr>
          <w:p w14:paraId="22D8CFF6">
            <w:pPr>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kern w:val="0"/>
                <w:sz w:val="21"/>
                <w:szCs w:val="21"/>
                <w:u w:val="none" w:color="auto"/>
              </w:rPr>
              <w:t xml:space="preserve">        人</w:t>
            </w:r>
          </w:p>
        </w:tc>
      </w:tr>
      <w:tr w14:paraId="1618402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28" w:type="dxa"/>
            <w:left w:w="108" w:type="dxa"/>
            <w:bottom w:w="28" w:type="dxa"/>
            <w:right w:w="108" w:type="dxa"/>
          </w:tblCellMar>
        </w:tblPrEx>
        <w:trPr>
          <w:jc w:val="center"/>
        </w:trPr>
        <w:tc>
          <w:tcPr>
            <w:tcW w:w="255" w:type="pct"/>
            <w:gridSpan w:val="2"/>
            <w:vMerge w:val="continue"/>
            <w:tcBorders>
              <w:tl2br w:val="nil"/>
              <w:tr2bl w:val="nil"/>
            </w:tcBorders>
            <w:noWrap w:val="0"/>
            <w:vAlign w:val="center"/>
          </w:tcPr>
          <w:p w14:paraId="52B904E5">
            <w:pPr>
              <w:widowControl/>
              <w:jc w:val="left"/>
              <w:rPr>
                <w:rFonts w:hint="default" w:ascii="Times New Roman" w:hAnsi="Times New Roman" w:eastAsia="宋体" w:cs="Times New Roman"/>
                <w:color w:val="auto"/>
                <w:sz w:val="21"/>
                <w:szCs w:val="21"/>
                <w:u w:val="none" w:color="auto"/>
              </w:rPr>
            </w:pPr>
          </w:p>
        </w:tc>
        <w:tc>
          <w:tcPr>
            <w:tcW w:w="416" w:type="pct"/>
            <w:vMerge w:val="continue"/>
            <w:tcBorders>
              <w:tl2br w:val="nil"/>
              <w:tr2bl w:val="nil"/>
            </w:tcBorders>
            <w:noWrap w:val="0"/>
            <w:vAlign w:val="center"/>
          </w:tcPr>
          <w:p w14:paraId="4148FBF7">
            <w:pPr>
              <w:widowControl/>
              <w:jc w:val="left"/>
              <w:rPr>
                <w:rFonts w:hint="default" w:ascii="Times New Roman" w:hAnsi="Times New Roman" w:eastAsia="宋体" w:cs="Times New Roman"/>
                <w:color w:val="auto"/>
                <w:sz w:val="21"/>
                <w:szCs w:val="21"/>
                <w:u w:val="none" w:color="auto"/>
              </w:rPr>
            </w:pPr>
          </w:p>
        </w:tc>
        <w:tc>
          <w:tcPr>
            <w:tcW w:w="406" w:type="pct"/>
            <w:vMerge w:val="restart"/>
            <w:tcBorders>
              <w:tl2br w:val="nil"/>
              <w:tr2bl w:val="nil"/>
            </w:tcBorders>
            <w:noWrap w:val="0"/>
            <w:vAlign w:val="center"/>
          </w:tcPr>
          <w:p w14:paraId="5DAF28C7">
            <w:pPr>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地表水</w:t>
            </w:r>
          </w:p>
        </w:tc>
        <w:tc>
          <w:tcPr>
            <w:tcW w:w="926" w:type="pct"/>
            <w:gridSpan w:val="5"/>
            <w:tcBorders>
              <w:tl2br w:val="nil"/>
              <w:tr2bl w:val="nil"/>
            </w:tcBorders>
            <w:noWrap w:val="0"/>
            <w:vAlign w:val="center"/>
          </w:tcPr>
          <w:p w14:paraId="2A1B4808">
            <w:pPr>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地表水功能敏感性</w:t>
            </w:r>
          </w:p>
        </w:tc>
        <w:tc>
          <w:tcPr>
            <w:tcW w:w="812" w:type="pct"/>
            <w:gridSpan w:val="4"/>
            <w:tcBorders>
              <w:tl2br w:val="nil"/>
              <w:tr2bl w:val="nil"/>
            </w:tcBorders>
            <w:noWrap w:val="0"/>
            <w:vAlign w:val="center"/>
          </w:tcPr>
          <w:p w14:paraId="00D72921">
            <w:pPr>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F1□</w:t>
            </w:r>
          </w:p>
        </w:tc>
        <w:tc>
          <w:tcPr>
            <w:tcW w:w="982" w:type="pct"/>
            <w:gridSpan w:val="5"/>
            <w:tcBorders>
              <w:tl2br w:val="nil"/>
              <w:tr2bl w:val="nil"/>
            </w:tcBorders>
            <w:noWrap w:val="0"/>
            <w:vAlign w:val="center"/>
          </w:tcPr>
          <w:p w14:paraId="0DC8CD4E">
            <w:pPr>
              <w:adjustRightInd w:val="0"/>
              <w:snapToGrid w:val="0"/>
              <w:jc w:val="center"/>
              <w:rPr>
                <w:rFonts w:hint="default" w:ascii="Times New Roman" w:hAnsi="Times New Roman" w:eastAsia="宋体" w:cs="Times New Roman"/>
                <w:color w:val="auto"/>
                <w:sz w:val="21"/>
                <w:szCs w:val="21"/>
                <w:u w:val="none" w:color="auto"/>
                <w:lang w:eastAsia="zh-CN"/>
              </w:rPr>
            </w:pPr>
            <w:r>
              <w:rPr>
                <w:rFonts w:hint="default" w:ascii="Times New Roman" w:hAnsi="Times New Roman" w:eastAsia="宋体" w:cs="Times New Roman"/>
                <w:color w:val="auto"/>
                <w:sz w:val="21"/>
                <w:szCs w:val="21"/>
                <w:u w:val="none" w:color="auto"/>
              </w:rPr>
              <w:t>F2</w:t>
            </w:r>
            <w:r>
              <w:rPr>
                <w:rFonts w:hint="default" w:ascii="Times New Roman" w:hAnsi="Times New Roman" w:eastAsia="宋体" w:cs="Times New Roman"/>
                <w:color w:val="auto"/>
                <w:sz w:val="21"/>
                <w:szCs w:val="21"/>
                <w:u w:val="none" w:color="auto"/>
                <w:lang w:eastAsia="zh-CN"/>
              </w:rPr>
              <w:sym w:font="Wingdings 2" w:char="0052"/>
            </w:r>
          </w:p>
        </w:tc>
        <w:tc>
          <w:tcPr>
            <w:tcW w:w="1200" w:type="pct"/>
            <w:gridSpan w:val="4"/>
            <w:tcBorders>
              <w:tl2br w:val="nil"/>
              <w:tr2bl w:val="nil"/>
            </w:tcBorders>
            <w:noWrap w:val="0"/>
            <w:vAlign w:val="center"/>
          </w:tcPr>
          <w:p w14:paraId="2F0A8FC5">
            <w:pPr>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F3□</w:t>
            </w:r>
          </w:p>
        </w:tc>
      </w:tr>
      <w:tr w14:paraId="18BA4BC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28" w:type="dxa"/>
            <w:left w:w="108" w:type="dxa"/>
            <w:bottom w:w="28" w:type="dxa"/>
            <w:right w:w="108" w:type="dxa"/>
          </w:tblCellMar>
        </w:tblPrEx>
        <w:trPr>
          <w:jc w:val="center"/>
        </w:trPr>
        <w:tc>
          <w:tcPr>
            <w:tcW w:w="255" w:type="pct"/>
            <w:gridSpan w:val="2"/>
            <w:vMerge w:val="continue"/>
            <w:tcBorders>
              <w:tl2br w:val="nil"/>
              <w:tr2bl w:val="nil"/>
            </w:tcBorders>
            <w:noWrap w:val="0"/>
            <w:vAlign w:val="center"/>
          </w:tcPr>
          <w:p w14:paraId="21106529">
            <w:pPr>
              <w:widowControl/>
              <w:jc w:val="left"/>
              <w:rPr>
                <w:rFonts w:hint="default" w:ascii="Times New Roman" w:hAnsi="Times New Roman" w:eastAsia="宋体" w:cs="Times New Roman"/>
                <w:color w:val="auto"/>
                <w:sz w:val="21"/>
                <w:szCs w:val="21"/>
                <w:u w:val="none" w:color="auto"/>
              </w:rPr>
            </w:pPr>
          </w:p>
        </w:tc>
        <w:tc>
          <w:tcPr>
            <w:tcW w:w="416" w:type="pct"/>
            <w:vMerge w:val="continue"/>
            <w:tcBorders>
              <w:tl2br w:val="nil"/>
              <w:tr2bl w:val="nil"/>
            </w:tcBorders>
            <w:noWrap w:val="0"/>
            <w:vAlign w:val="center"/>
          </w:tcPr>
          <w:p w14:paraId="0F460721">
            <w:pPr>
              <w:widowControl/>
              <w:jc w:val="left"/>
              <w:rPr>
                <w:rFonts w:hint="default" w:ascii="Times New Roman" w:hAnsi="Times New Roman" w:eastAsia="宋体" w:cs="Times New Roman"/>
                <w:color w:val="auto"/>
                <w:sz w:val="21"/>
                <w:szCs w:val="21"/>
                <w:u w:val="none" w:color="auto"/>
              </w:rPr>
            </w:pPr>
          </w:p>
        </w:tc>
        <w:tc>
          <w:tcPr>
            <w:tcW w:w="406" w:type="pct"/>
            <w:vMerge w:val="continue"/>
            <w:tcBorders>
              <w:tl2br w:val="nil"/>
              <w:tr2bl w:val="nil"/>
            </w:tcBorders>
            <w:noWrap w:val="0"/>
            <w:vAlign w:val="center"/>
          </w:tcPr>
          <w:p w14:paraId="1D449AC5">
            <w:pPr>
              <w:widowControl/>
              <w:jc w:val="left"/>
              <w:rPr>
                <w:rFonts w:hint="default" w:ascii="Times New Roman" w:hAnsi="Times New Roman" w:eastAsia="宋体" w:cs="Times New Roman"/>
                <w:color w:val="auto"/>
                <w:sz w:val="21"/>
                <w:szCs w:val="21"/>
                <w:u w:val="none" w:color="auto"/>
              </w:rPr>
            </w:pPr>
          </w:p>
        </w:tc>
        <w:tc>
          <w:tcPr>
            <w:tcW w:w="926" w:type="pct"/>
            <w:gridSpan w:val="5"/>
            <w:tcBorders>
              <w:tl2br w:val="nil"/>
              <w:tr2bl w:val="nil"/>
            </w:tcBorders>
            <w:noWrap w:val="0"/>
            <w:vAlign w:val="center"/>
          </w:tcPr>
          <w:p w14:paraId="233FF32C">
            <w:pPr>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环境敏感目标分级</w:t>
            </w:r>
          </w:p>
        </w:tc>
        <w:tc>
          <w:tcPr>
            <w:tcW w:w="812" w:type="pct"/>
            <w:gridSpan w:val="4"/>
            <w:tcBorders>
              <w:tl2br w:val="nil"/>
              <w:tr2bl w:val="nil"/>
            </w:tcBorders>
            <w:noWrap w:val="0"/>
            <w:vAlign w:val="center"/>
          </w:tcPr>
          <w:p w14:paraId="1CF83200">
            <w:pPr>
              <w:adjustRightInd w:val="0"/>
              <w:snapToGrid w:val="0"/>
              <w:jc w:val="center"/>
              <w:rPr>
                <w:rFonts w:hint="default" w:ascii="Times New Roman" w:hAnsi="Times New Roman" w:eastAsia="宋体" w:cs="Times New Roman"/>
                <w:color w:val="auto"/>
                <w:sz w:val="21"/>
                <w:szCs w:val="21"/>
                <w:u w:val="none" w:color="auto"/>
                <w:lang w:eastAsia="zh-CN"/>
              </w:rPr>
            </w:pPr>
            <w:r>
              <w:rPr>
                <w:rFonts w:hint="default" w:ascii="Times New Roman" w:hAnsi="Times New Roman" w:eastAsia="宋体" w:cs="Times New Roman"/>
                <w:color w:val="auto"/>
                <w:sz w:val="21"/>
                <w:szCs w:val="21"/>
                <w:u w:val="none" w:color="auto"/>
              </w:rPr>
              <w:t>S1</w:t>
            </w:r>
            <w:r>
              <w:rPr>
                <w:rFonts w:hint="default" w:ascii="Times New Roman" w:hAnsi="Times New Roman" w:eastAsia="宋体" w:cs="Times New Roman"/>
                <w:color w:val="auto"/>
                <w:sz w:val="21"/>
                <w:szCs w:val="21"/>
                <w:u w:val="none" w:color="auto"/>
                <w:lang w:eastAsia="zh-CN"/>
              </w:rPr>
              <w:sym w:font="Wingdings 2" w:char="0052"/>
            </w:r>
          </w:p>
        </w:tc>
        <w:tc>
          <w:tcPr>
            <w:tcW w:w="982" w:type="pct"/>
            <w:gridSpan w:val="5"/>
            <w:tcBorders>
              <w:tl2br w:val="nil"/>
              <w:tr2bl w:val="nil"/>
            </w:tcBorders>
            <w:noWrap w:val="0"/>
            <w:vAlign w:val="center"/>
          </w:tcPr>
          <w:p w14:paraId="2BBF26E3">
            <w:pPr>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S2□</w:t>
            </w:r>
          </w:p>
        </w:tc>
        <w:tc>
          <w:tcPr>
            <w:tcW w:w="1200" w:type="pct"/>
            <w:gridSpan w:val="4"/>
            <w:tcBorders>
              <w:tl2br w:val="nil"/>
              <w:tr2bl w:val="nil"/>
            </w:tcBorders>
            <w:noWrap w:val="0"/>
            <w:vAlign w:val="center"/>
          </w:tcPr>
          <w:p w14:paraId="3A13BFCE">
            <w:pPr>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S3□</w:t>
            </w:r>
          </w:p>
        </w:tc>
      </w:tr>
      <w:tr w14:paraId="3A238C1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28" w:type="dxa"/>
            <w:left w:w="108" w:type="dxa"/>
            <w:bottom w:w="28" w:type="dxa"/>
            <w:right w:w="108" w:type="dxa"/>
          </w:tblCellMar>
        </w:tblPrEx>
        <w:trPr>
          <w:jc w:val="center"/>
        </w:trPr>
        <w:tc>
          <w:tcPr>
            <w:tcW w:w="255" w:type="pct"/>
            <w:gridSpan w:val="2"/>
            <w:vMerge w:val="continue"/>
            <w:tcBorders>
              <w:tl2br w:val="nil"/>
              <w:tr2bl w:val="nil"/>
            </w:tcBorders>
            <w:noWrap w:val="0"/>
            <w:vAlign w:val="center"/>
          </w:tcPr>
          <w:p w14:paraId="3EBC908B">
            <w:pPr>
              <w:widowControl/>
              <w:jc w:val="left"/>
              <w:rPr>
                <w:rFonts w:hint="default" w:ascii="Times New Roman" w:hAnsi="Times New Roman" w:eastAsia="宋体" w:cs="Times New Roman"/>
                <w:color w:val="auto"/>
                <w:sz w:val="21"/>
                <w:szCs w:val="21"/>
                <w:u w:val="none" w:color="auto"/>
              </w:rPr>
            </w:pPr>
          </w:p>
        </w:tc>
        <w:tc>
          <w:tcPr>
            <w:tcW w:w="416" w:type="pct"/>
            <w:vMerge w:val="continue"/>
            <w:tcBorders>
              <w:tl2br w:val="nil"/>
              <w:tr2bl w:val="nil"/>
            </w:tcBorders>
            <w:noWrap w:val="0"/>
            <w:vAlign w:val="center"/>
          </w:tcPr>
          <w:p w14:paraId="3E637DC8">
            <w:pPr>
              <w:widowControl/>
              <w:jc w:val="left"/>
              <w:rPr>
                <w:rFonts w:hint="default" w:ascii="Times New Roman" w:hAnsi="Times New Roman" w:eastAsia="宋体" w:cs="Times New Roman"/>
                <w:color w:val="auto"/>
                <w:sz w:val="21"/>
                <w:szCs w:val="21"/>
                <w:u w:val="none" w:color="auto"/>
              </w:rPr>
            </w:pPr>
          </w:p>
        </w:tc>
        <w:tc>
          <w:tcPr>
            <w:tcW w:w="406" w:type="pct"/>
            <w:vMerge w:val="restart"/>
            <w:tcBorders>
              <w:tl2br w:val="nil"/>
              <w:tr2bl w:val="nil"/>
            </w:tcBorders>
            <w:noWrap w:val="0"/>
            <w:vAlign w:val="center"/>
          </w:tcPr>
          <w:p w14:paraId="25E45088">
            <w:pPr>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地下水</w:t>
            </w:r>
          </w:p>
        </w:tc>
        <w:tc>
          <w:tcPr>
            <w:tcW w:w="926" w:type="pct"/>
            <w:gridSpan w:val="5"/>
            <w:tcBorders>
              <w:tl2br w:val="nil"/>
              <w:tr2bl w:val="nil"/>
            </w:tcBorders>
            <w:noWrap w:val="0"/>
            <w:vAlign w:val="center"/>
          </w:tcPr>
          <w:p w14:paraId="100ADD5C">
            <w:pPr>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地下水功能敏感性</w:t>
            </w:r>
          </w:p>
        </w:tc>
        <w:tc>
          <w:tcPr>
            <w:tcW w:w="812" w:type="pct"/>
            <w:gridSpan w:val="4"/>
            <w:tcBorders>
              <w:tl2br w:val="nil"/>
              <w:tr2bl w:val="nil"/>
            </w:tcBorders>
            <w:noWrap w:val="0"/>
            <w:vAlign w:val="center"/>
          </w:tcPr>
          <w:p w14:paraId="6D9C593E">
            <w:pPr>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G1□</w:t>
            </w:r>
          </w:p>
        </w:tc>
        <w:tc>
          <w:tcPr>
            <w:tcW w:w="982" w:type="pct"/>
            <w:gridSpan w:val="5"/>
            <w:tcBorders>
              <w:tl2br w:val="nil"/>
              <w:tr2bl w:val="nil"/>
            </w:tcBorders>
            <w:noWrap w:val="0"/>
            <w:vAlign w:val="center"/>
          </w:tcPr>
          <w:p w14:paraId="3140438C">
            <w:pPr>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G2□</w:t>
            </w:r>
          </w:p>
        </w:tc>
        <w:tc>
          <w:tcPr>
            <w:tcW w:w="1200" w:type="pct"/>
            <w:gridSpan w:val="4"/>
            <w:tcBorders>
              <w:tl2br w:val="nil"/>
              <w:tr2bl w:val="nil"/>
            </w:tcBorders>
            <w:noWrap w:val="0"/>
            <w:vAlign w:val="center"/>
          </w:tcPr>
          <w:p w14:paraId="69BE0AC6">
            <w:pPr>
              <w:adjustRightInd w:val="0"/>
              <w:snapToGrid w:val="0"/>
              <w:jc w:val="center"/>
              <w:rPr>
                <w:rFonts w:hint="default" w:ascii="Times New Roman" w:hAnsi="Times New Roman" w:eastAsia="宋体" w:cs="Times New Roman"/>
                <w:color w:val="auto"/>
                <w:sz w:val="21"/>
                <w:szCs w:val="21"/>
                <w:u w:val="none" w:color="auto"/>
                <w:lang w:eastAsia="zh-CN"/>
              </w:rPr>
            </w:pPr>
            <w:r>
              <w:rPr>
                <w:rFonts w:hint="default" w:ascii="Times New Roman" w:hAnsi="Times New Roman" w:eastAsia="宋体" w:cs="Times New Roman"/>
                <w:color w:val="auto"/>
                <w:sz w:val="21"/>
                <w:szCs w:val="21"/>
                <w:u w:val="none" w:color="auto"/>
              </w:rPr>
              <w:t>G3</w:t>
            </w:r>
            <w:r>
              <w:rPr>
                <w:rFonts w:hint="default" w:ascii="Times New Roman" w:hAnsi="Times New Roman" w:eastAsia="宋体" w:cs="Times New Roman"/>
                <w:color w:val="auto"/>
                <w:sz w:val="21"/>
                <w:szCs w:val="21"/>
                <w:u w:val="none" w:color="auto"/>
                <w:lang w:eastAsia="zh-CN"/>
              </w:rPr>
              <w:sym w:font="Wingdings 2" w:char="0052"/>
            </w:r>
          </w:p>
        </w:tc>
      </w:tr>
      <w:tr w14:paraId="42F1A9F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28" w:type="dxa"/>
            <w:left w:w="108" w:type="dxa"/>
            <w:bottom w:w="28" w:type="dxa"/>
            <w:right w:w="108" w:type="dxa"/>
          </w:tblCellMar>
        </w:tblPrEx>
        <w:trPr>
          <w:jc w:val="center"/>
        </w:trPr>
        <w:tc>
          <w:tcPr>
            <w:tcW w:w="255" w:type="pct"/>
            <w:gridSpan w:val="2"/>
            <w:vMerge w:val="continue"/>
            <w:tcBorders>
              <w:tl2br w:val="nil"/>
              <w:tr2bl w:val="nil"/>
            </w:tcBorders>
            <w:noWrap w:val="0"/>
            <w:vAlign w:val="center"/>
          </w:tcPr>
          <w:p w14:paraId="309EAAB8">
            <w:pPr>
              <w:widowControl/>
              <w:jc w:val="left"/>
              <w:rPr>
                <w:rFonts w:hint="default" w:ascii="Times New Roman" w:hAnsi="Times New Roman" w:eastAsia="宋体" w:cs="Times New Roman"/>
                <w:color w:val="auto"/>
                <w:sz w:val="21"/>
                <w:szCs w:val="21"/>
                <w:u w:val="none" w:color="auto"/>
              </w:rPr>
            </w:pPr>
          </w:p>
        </w:tc>
        <w:tc>
          <w:tcPr>
            <w:tcW w:w="416" w:type="pct"/>
            <w:vMerge w:val="continue"/>
            <w:tcBorders>
              <w:tl2br w:val="nil"/>
              <w:tr2bl w:val="nil"/>
            </w:tcBorders>
            <w:noWrap w:val="0"/>
            <w:vAlign w:val="center"/>
          </w:tcPr>
          <w:p w14:paraId="040FBDC6">
            <w:pPr>
              <w:widowControl/>
              <w:jc w:val="left"/>
              <w:rPr>
                <w:rFonts w:hint="default" w:ascii="Times New Roman" w:hAnsi="Times New Roman" w:eastAsia="宋体" w:cs="Times New Roman"/>
                <w:color w:val="auto"/>
                <w:sz w:val="21"/>
                <w:szCs w:val="21"/>
                <w:u w:val="none" w:color="auto"/>
              </w:rPr>
            </w:pPr>
          </w:p>
        </w:tc>
        <w:tc>
          <w:tcPr>
            <w:tcW w:w="406" w:type="pct"/>
            <w:vMerge w:val="continue"/>
            <w:tcBorders>
              <w:tl2br w:val="nil"/>
              <w:tr2bl w:val="nil"/>
            </w:tcBorders>
            <w:noWrap w:val="0"/>
            <w:vAlign w:val="center"/>
          </w:tcPr>
          <w:p w14:paraId="76059E64">
            <w:pPr>
              <w:widowControl/>
              <w:jc w:val="left"/>
              <w:rPr>
                <w:rFonts w:hint="default" w:ascii="Times New Roman" w:hAnsi="Times New Roman" w:eastAsia="宋体" w:cs="Times New Roman"/>
                <w:color w:val="auto"/>
                <w:sz w:val="21"/>
                <w:szCs w:val="21"/>
                <w:u w:val="none" w:color="auto"/>
              </w:rPr>
            </w:pPr>
          </w:p>
        </w:tc>
        <w:tc>
          <w:tcPr>
            <w:tcW w:w="926" w:type="pct"/>
            <w:gridSpan w:val="5"/>
            <w:tcBorders>
              <w:tl2br w:val="nil"/>
              <w:tr2bl w:val="nil"/>
            </w:tcBorders>
            <w:noWrap w:val="0"/>
            <w:vAlign w:val="center"/>
          </w:tcPr>
          <w:p w14:paraId="13242E4E">
            <w:pPr>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包气带防污性能</w:t>
            </w:r>
          </w:p>
        </w:tc>
        <w:tc>
          <w:tcPr>
            <w:tcW w:w="812" w:type="pct"/>
            <w:gridSpan w:val="4"/>
            <w:tcBorders>
              <w:tl2br w:val="nil"/>
              <w:tr2bl w:val="nil"/>
            </w:tcBorders>
            <w:noWrap w:val="0"/>
            <w:vAlign w:val="center"/>
          </w:tcPr>
          <w:p w14:paraId="433ECC34">
            <w:pPr>
              <w:adjustRightInd w:val="0"/>
              <w:snapToGrid w:val="0"/>
              <w:jc w:val="center"/>
              <w:rPr>
                <w:rFonts w:hint="default" w:ascii="Times New Roman" w:hAnsi="Times New Roman" w:eastAsia="宋体" w:cs="Times New Roman"/>
                <w:color w:val="auto"/>
                <w:sz w:val="21"/>
                <w:szCs w:val="21"/>
                <w:u w:val="none" w:color="auto"/>
                <w:lang w:eastAsia="zh-CN"/>
              </w:rPr>
            </w:pPr>
            <w:r>
              <w:rPr>
                <w:rFonts w:hint="default" w:ascii="Times New Roman" w:hAnsi="Times New Roman" w:eastAsia="宋体" w:cs="Times New Roman"/>
                <w:color w:val="auto"/>
                <w:sz w:val="21"/>
                <w:szCs w:val="21"/>
                <w:u w:val="none" w:color="auto"/>
              </w:rPr>
              <w:t>D1</w:t>
            </w:r>
            <w:r>
              <w:rPr>
                <w:rFonts w:hint="default" w:ascii="Times New Roman" w:hAnsi="Times New Roman" w:eastAsia="宋体" w:cs="Times New Roman"/>
                <w:color w:val="auto"/>
                <w:sz w:val="21"/>
                <w:szCs w:val="21"/>
                <w:u w:val="none" w:color="auto"/>
                <w:lang w:eastAsia="zh-CN"/>
              </w:rPr>
              <w:sym w:font="Wingdings 2" w:char="00A3"/>
            </w:r>
          </w:p>
        </w:tc>
        <w:tc>
          <w:tcPr>
            <w:tcW w:w="982" w:type="pct"/>
            <w:gridSpan w:val="5"/>
            <w:tcBorders>
              <w:tl2br w:val="nil"/>
              <w:tr2bl w:val="nil"/>
            </w:tcBorders>
            <w:noWrap w:val="0"/>
            <w:vAlign w:val="center"/>
          </w:tcPr>
          <w:p w14:paraId="339277D3">
            <w:pPr>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D2</w:t>
            </w:r>
            <w:r>
              <w:rPr>
                <w:rFonts w:hint="default" w:ascii="Times New Roman" w:hAnsi="Times New Roman" w:eastAsia="宋体" w:cs="Times New Roman"/>
                <w:color w:val="auto"/>
                <w:sz w:val="21"/>
                <w:szCs w:val="21"/>
                <w:u w:val="none" w:color="auto"/>
              </w:rPr>
              <w:sym w:font="Wingdings 2" w:char="0052"/>
            </w:r>
          </w:p>
        </w:tc>
        <w:tc>
          <w:tcPr>
            <w:tcW w:w="1200" w:type="pct"/>
            <w:gridSpan w:val="4"/>
            <w:tcBorders>
              <w:tl2br w:val="nil"/>
              <w:tr2bl w:val="nil"/>
            </w:tcBorders>
            <w:noWrap w:val="0"/>
            <w:vAlign w:val="center"/>
          </w:tcPr>
          <w:p w14:paraId="06A9D461">
            <w:pPr>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D3□</w:t>
            </w:r>
          </w:p>
        </w:tc>
      </w:tr>
      <w:tr w14:paraId="595E851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28" w:type="dxa"/>
            <w:left w:w="108" w:type="dxa"/>
            <w:bottom w:w="28" w:type="dxa"/>
            <w:right w:w="108" w:type="dxa"/>
          </w:tblCellMar>
        </w:tblPrEx>
        <w:trPr>
          <w:jc w:val="center"/>
        </w:trPr>
        <w:tc>
          <w:tcPr>
            <w:tcW w:w="672" w:type="pct"/>
            <w:gridSpan w:val="3"/>
            <w:vMerge w:val="restart"/>
            <w:tcBorders>
              <w:tl2br w:val="nil"/>
              <w:tr2bl w:val="nil"/>
            </w:tcBorders>
            <w:noWrap w:val="0"/>
            <w:vAlign w:val="center"/>
          </w:tcPr>
          <w:p w14:paraId="3D38CCC1">
            <w:pPr>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物质及工艺系统危险性</w:t>
            </w:r>
          </w:p>
        </w:tc>
        <w:tc>
          <w:tcPr>
            <w:tcW w:w="406" w:type="pct"/>
            <w:tcBorders>
              <w:tl2br w:val="nil"/>
              <w:tr2bl w:val="nil"/>
            </w:tcBorders>
            <w:noWrap w:val="0"/>
            <w:vAlign w:val="center"/>
          </w:tcPr>
          <w:p w14:paraId="6AC365AD">
            <w:pPr>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Q值</w:t>
            </w:r>
          </w:p>
        </w:tc>
        <w:tc>
          <w:tcPr>
            <w:tcW w:w="926" w:type="pct"/>
            <w:gridSpan w:val="5"/>
            <w:tcBorders>
              <w:tl2br w:val="nil"/>
              <w:tr2bl w:val="nil"/>
            </w:tcBorders>
            <w:noWrap w:val="0"/>
            <w:vAlign w:val="center"/>
          </w:tcPr>
          <w:p w14:paraId="5B75EFA0">
            <w:pPr>
              <w:adjustRightInd w:val="0"/>
              <w:snapToGrid w:val="0"/>
              <w:jc w:val="center"/>
              <w:rPr>
                <w:rFonts w:hint="default" w:ascii="Times New Roman" w:hAnsi="Times New Roman" w:eastAsia="宋体" w:cs="Times New Roman"/>
                <w:color w:val="auto"/>
                <w:sz w:val="21"/>
                <w:szCs w:val="21"/>
                <w:u w:val="none" w:color="auto"/>
                <w:lang w:eastAsia="zh-CN"/>
              </w:rPr>
            </w:pPr>
            <w:r>
              <w:rPr>
                <w:rFonts w:hint="default" w:ascii="Times New Roman" w:hAnsi="Times New Roman" w:eastAsia="宋体" w:cs="Times New Roman"/>
                <w:color w:val="auto"/>
                <w:sz w:val="21"/>
                <w:szCs w:val="21"/>
                <w:u w:val="none" w:color="auto"/>
              </w:rPr>
              <w:t>Q＜1</w:t>
            </w:r>
            <w:r>
              <w:rPr>
                <w:rFonts w:hint="default" w:ascii="Times New Roman" w:hAnsi="Times New Roman" w:eastAsia="宋体" w:cs="Times New Roman"/>
                <w:color w:val="auto"/>
                <w:sz w:val="21"/>
                <w:szCs w:val="21"/>
                <w:u w:val="none" w:color="auto"/>
                <w:lang w:eastAsia="zh-CN"/>
              </w:rPr>
              <w:t>□</w:t>
            </w:r>
          </w:p>
        </w:tc>
        <w:tc>
          <w:tcPr>
            <w:tcW w:w="812" w:type="pct"/>
            <w:gridSpan w:val="4"/>
            <w:tcBorders>
              <w:tl2br w:val="nil"/>
              <w:tr2bl w:val="nil"/>
            </w:tcBorders>
            <w:noWrap w:val="0"/>
            <w:vAlign w:val="center"/>
          </w:tcPr>
          <w:p w14:paraId="56CF50E3">
            <w:pPr>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1≤Q＜10□</w:t>
            </w:r>
          </w:p>
        </w:tc>
        <w:tc>
          <w:tcPr>
            <w:tcW w:w="982" w:type="pct"/>
            <w:gridSpan w:val="5"/>
            <w:tcBorders>
              <w:tl2br w:val="nil"/>
              <w:tr2bl w:val="nil"/>
            </w:tcBorders>
            <w:noWrap w:val="0"/>
            <w:vAlign w:val="center"/>
          </w:tcPr>
          <w:p w14:paraId="74AFE6C8">
            <w:pPr>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10≤Q＜100</w:t>
            </w:r>
            <w:r>
              <w:rPr>
                <w:rFonts w:hint="default" w:ascii="Times New Roman" w:hAnsi="Times New Roman" w:eastAsia="宋体" w:cs="Times New Roman"/>
                <w:color w:val="auto"/>
                <w:sz w:val="21"/>
                <w:szCs w:val="21"/>
                <w:u w:val="none" w:color="auto"/>
              </w:rPr>
              <w:sym w:font="Wingdings 2" w:char="0052"/>
            </w:r>
          </w:p>
        </w:tc>
        <w:tc>
          <w:tcPr>
            <w:tcW w:w="1200" w:type="pct"/>
            <w:gridSpan w:val="4"/>
            <w:tcBorders>
              <w:tl2br w:val="nil"/>
              <w:tr2bl w:val="nil"/>
            </w:tcBorders>
            <w:noWrap w:val="0"/>
            <w:vAlign w:val="center"/>
          </w:tcPr>
          <w:p w14:paraId="1C7FD9B0">
            <w:pPr>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Q＞100□</w:t>
            </w:r>
          </w:p>
        </w:tc>
      </w:tr>
      <w:tr w14:paraId="09B4983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28" w:type="dxa"/>
            <w:left w:w="108" w:type="dxa"/>
            <w:bottom w:w="28" w:type="dxa"/>
            <w:right w:w="108" w:type="dxa"/>
          </w:tblCellMar>
        </w:tblPrEx>
        <w:trPr>
          <w:jc w:val="center"/>
        </w:trPr>
        <w:tc>
          <w:tcPr>
            <w:tcW w:w="672" w:type="pct"/>
            <w:gridSpan w:val="3"/>
            <w:vMerge w:val="continue"/>
            <w:tcBorders>
              <w:tl2br w:val="nil"/>
              <w:tr2bl w:val="nil"/>
            </w:tcBorders>
            <w:noWrap w:val="0"/>
            <w:vAlign w:val="center"/>
          </w:tcPr>
          <w:p w14:paraId="0E6FC43D">
            <w:pPr>
              <w:widowControl/>
              <w:jc w:val="left"/>
              <w:rPr>
                <w:rFonts w:hint="default" w:ascii="Times New Roman" w:hAnsi="Times New Roman" w:eastAsia="宋体" w:cs="Times New Roman"/>
                <w:color w:val="auto"/>
                <w:sz w:val="21"/>
                <w:szCs w:val="21"/>
                <w:u w:val="none" w:color="auto"/>
              </w:rPr>
            </w:pPr>
          </w:p>
        </w:tc>
        <w:tc>
          <w:tcPr>
            <w:tcW w:w="406" w:type="pct"/>
            <w:tcBorders>
              <w:tl2br w:val="nil"/>
              <w:tr2bl w:val="nil"/>
            </w:tcBorders>
            <w:noWrap w:val="0"/>
            <w:vAlign w:val="center"/>
          </w:tcPr>
          <w:p w14:paraId="35830AF8">
            <w:pPr>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M值</w:t>
            </w:r>
          </w:p>
        </w:tc>
        <w:tc>
          <w:tcPr>
            <w:tcW w:w="926" w:type="pct"/>
            <w:gridSpan w:val="5"/>
            <w:tcBorders>
              <w:tl2br w:val="nil"/>
              <w:tr2bl w:val="nil"/>
            </w:tcBorders>
            <w:noWrap w:val="0"/>
            <w:vAlign w:val="center"/>
          </w:tcPr>
          <w:p w14:paraId="240ABA34">
            <w:pPr>
              <w:adjustRightInd w:val="0"/>
              <w:snapToGrid w:val="0"/>
              <w:jc w:val="center"/>
              <w:rPr>
                <w:rFonts w:hint="default" w:ascii="Times New Roman" w:hAnsi="Times New Roman" w:eastAsia="宋体" w:cs="Times New Roman"/>
                <w:color w:val="auto"/>
                <w:sz w:val="21"/>
                <w:szCs w:val="21"/>
                <w:u w:val="none" w:color="auto"/>
                <w:lang w:eastAsia="zh-CN"/>
              </w:rPr>
            </w:pPr>
            <w:r>
              <w:rPr>
                <w:rFonts w:hint="default" w:ascii="Times New Roman" w:hAnsi="Times New Roman" w:eastAsia="宋体" w:cs="Times New Roman"/>
                <w:color w:val="auto"/>
                <w:sz w:val="21"/>
                <w:szCs w:val="21"/>
                <w:u w:val="none" w:color="auto"/>
              </w:rPr>
              <w:t>M1</w:t>
            </w:r>
            <w:r>
              <w:rPr>
                <w:rFonts w:hint="default" w:ascii="Times New Roman" w:hAnsi="Times New Roman" w:eastAsia="宋体" w:cs="Times New Roman"/>
                <w:color w:val="auto"/>
                <w:sz w:val="21"/>
                <w:szCs w:val="21"/>
                <w:u w:val="none" w:color="auto"/>
                <w:lang w:eastAsia="zh-CN"/>
              </w:rPr>
              <w:t>□</w:t>
            </w:r>
          </w:p>
        </w:tc>
        <w:tc>
          <w:tcPr>
            <w:tcW w:w="812" w:type="pct"/>
            <w:gridSpan w:val="4"/>
            <w:tcBorders>
              <w:tl2br w:val="nil"/>
              <w:tr2bl w:val="nil"/>
            </w:tcBorders>
            <w:noWrap w:val="0"/>
            <w:vAlign w:val="center"/>
          </w:tcPr>
          <w:p w14:paraId="4675D04E">
            <w:pPr>
              <w:adjustRightInd w:val="0"/>
              <w:snapToGrid w:val="0"/>
              <w:jc w:val="center"/>
              <w:rPr>
                <w:rFonts w:hint="default" w:ascii="Times New Roman" w:hAnsi="Times New Roman" w:eastAsia="宋体" w:cs="Times New Roman"/>
                <w:color w:val="auto"/>
                <w:sz w:val="21"/>
                <w:szCs w:val="21"/>
                <w:u w:val="none" w:color="auto"/>
                <w:lang w:eastAsia="zh-CN"/>
              </w:rPr>
            </w:pPr>
            <w:r>
              <w:rPr>
                <w:rFonts w:hint="default" w:ascii="Times New Roman" w:hAnsi="Times New Roman" w:eastAsia="宋体" w:cs="Times New Roman"/>
                <w:color w:val="auto"/>
                <w:sz w:val="21"/>
                <w:szCs w:val="21"/>
                <w:u w:val="none" w:color="auto"/>
              </w:rPr>
              <w:t>M2</w:t>
            </w:r>
            <w:r>
              <w:rPr>
                <w:rFonts w:hint="default" w:ascii="Times New Roman" w:hAnsi="Times New Roman" w:eastAsia="宋体" w:cs="Times New Roman"/>
                <w:color w:val="auto"/>
                <w:sz w:val="21"/>
                <w:szCs w:val="21"/>
                <w:u w:val="none" w:color="auto"/>
                <w:lang w:eastAsia="zh-CN"/>
              </w:rPr>
              <w:sym w:font="Wingdings 2" w:char="00A3"/>
            </w:r>
          </w:p>
        </w:tc>
        <w:tc>
          <w:tcPr>
            <w:tcW w:w="982" w:type="pct"/>
            <w:gridSpan w:val="5"/>
            <w:tcBorders>
              <w:tl2br w:val="nil"/>
              <w:tr2bl w:val="nil"/>
            </w:tcBorders>
            <w:noWrap w:val="0"/>
            <w:vAlign w:val="center"/>
          </w:tcPr>
          <w:p w14:paraId="4CBB7AF1">
            <w:pPr>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M3□</w:t>
            </w:r>
          </w:p>
        </w:tc>
        <w:tc>
          <w:tcPr>
            <w:tcW w:w="1200" w:type="pct"/>
            <w:gridSpan w:val="4"/>
            <w:tcBorders>
              <w:tl2br w:val="nil"/>
              <w:tr2bl w:val="nil"/>
            </w:tcBorders>
            <w:noWrap w:val="0"/>
            <w:vAlign w:val="center"/>
          </w:tcPr>
          <w:p w14:paraId="31B0D3E2">
            <w:pPr>
              <w:adjustRightInd w:val="0"/>
              <w:snapToGrid w:val="0"/>
              <w:jc w:val="center"/>
              <w:rPr>
                <w:rFonts w:hint="default" w:ascii="Times New Roman" w:hAnsi="Times New Roman" w:eastAsia="宋体" w:cs="Times New Roman"/>
                <w:color w:val="auto"/>
                <w:sz w:val="21"/>
                <w:szCs w:val="21"/>
                <w:u w:val="none" w:color="auto"/>
                <w:lang w:eastAsia="zh-CN"/>
              </w:rPr>
            </w:pPr>
            <w:r>
              <w:rPr>
                <w:rFonts w:hint="default" w:ascii="Times New Roman" w:hAnsi="Times New Roman" w:eastAsia="宋体" w:cs="Times New Roman"/>
                <w:color w:val="auto"/>
                <w:sz w:val="21"/>
                <w:szCs w:val="21"/>
                <w:u w:val="none" w:color="auto"/>
              </w:rPr>
              <w:t>M4</w:t>
            </w:r>
            <w:r>
              <w:rPr>
                <w:rFonts w:hint="default" w:ascii="Times New Roman" w:hAnsi="Times New Roman" w:eastAsia="宋体" w:cs="Times New Roman"/>
                <w:color w:val="auto"/>
                <w:sz w:val="21"/>
                <w:szCs w:val="21"/>
                <w:u w:val="none" w:color="auto"/>
                <w:lang w:eastAsia="zh-CN"/>
              </w:rPr>
              <w:t>☑</w:t>
            </w:r>
          </w:p>
        </w:tc>
      </w:tr>
      <w:tr w14:paraId="7EDD45D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28" w:type="dxa"/>
            <w:left w:w="108" w:type="dxa"/>
            <w:bottom w:w="28" w:type="dxa"/>
            <w:right w:w="108" w:type="dxa"/>
          </w:tblCellMar>
        </w:tblPrEx>
        <w:trPr>
          <w:jc w:val="center"/>
        </w:trPr>
        <w:tc>
          <w:tcPr>
            <w:tcW w:w="672" w:type="pct"/>
            <w:gridSpan w:val="3"/>
            <w:vMerge w:val="continue"/>
            <w:tcBorders>
              <w:tl2br w:val="nil"/>
              <w:tr2bl w:val="nil"/>
            </w:tcBorders>
            <w:noWrap w:val="0"/>
            <w:vAlign w:val="center"/>
          </w:tcPr>
          <w:p w14:paraId="6461D74A">
            <w:pPr>
              <w:widowControl/>
              <w:jc w:val="left"/>
              <w:rPr>
                <w:rFonts w:hint="default" w:ascii="Times New Roman" w:hAnsi="Times New Roman" w:eastAsia="宋体" w:cs="Times New Roman"/>
                <w:color w:val="auto"/>
                <w:sz w:val="21"/>
                <w:szCs w:val="21"/>
                <w:u w:val="none" w:color="auto"/>
              </w:rPr>
            </w:pPr>
          </w:p>
        </w:tc>
        <w:tc>
          <w:tcPr>
            <w:tcW w:w="406" w:type="pct"/>
            <w:tcBorders>
              <w:tl2br w:val="nil"/>
              <w:tr2bl w:val="nil"/>
            </w:tcBorders>
            <w:noWrap w:val="0"/>
            <w:vAlign w:val="center"/>
          </w:tcPr>
          <w:p w14:paraId="4EFE355C">
            <w:pPr>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P值</w:t>
            </w:r>
          </w:p>
        </w:tc>
        <w:tc>
          <w:tcPr>
            <w:tcW w:w="926" w:type="pct"/>
            <w:gridSpan w:val="5"/>
            <w:tcBorders>
              <w:tl2br w:val="nil"/>
              <w:tr2bl w:val="nil"/>
            </w:tcBorders>
            <w:noWrap w:val="0"/>
            <w:vAlign w:val="center"/>
          </w:tcPr>
          <w:p w14:paraId="63F03303">
            <w:pPr>
              <w:adjustRightInd w:val="0"/>
              <w:snapToGrid w:val="0"/>
              <w:jc w:val="center"/>
              <w:rPr>
                <w:rFonts w:hint="default" w:ascii="Times New Roman" w:hAnsi="Times New Roman" w:eastAsia="宋体" w:cs="Times New Roman"/>
                <w:color w:val="auto"/>
                <w:sz w:val="21"/>
                <w:szCs w:val="21"/>
                <w:u w:val="none" w:color="auto"/>
                <w:lang w:eastAsia="zh-CN"/>
              </w:rPr>
            </w:pPr>
            <w:r>
              <w:rPr>
                <w:rFonts w:hint="default" w:ascii="Times New Roman" w:hAnsi="Times New Roman" w:eastAsia="宋体" w:cs="Times New Roman"/>
                <w:color w:val="auto"/>
                <w:sz w:val="21"/>
                <w:szCs w:val="21"/>
                <w:u w:val="none" w:color="auto"/>
              </w:rPr>
              <w:t>P1</w:t>
            </w:r>
            <w:r>
              <w:rPr>
                <w:rFonts w:hint="default" w:ascii="Times New Roman" w:hAnsi="Times New Roman" w:eastAsia="宋体" w:cs="Times New Roman"/>
                <w:color w:val="auto"/>
                <w:sz w:val="21"/>
                <w:szCs w:val="21"/>
                <w:u w:val="none" w:color="auto"/>
                <w:lang w:eastAsia="zh-CN"/>
              </w:rPr>
              <w:t>□</w:t>
            </w:r>
          </w:p>
        </w:tc>
        <w:tc>
          <w:tcPr>
            <w:tcW w:w="812" w:type="pct"/>
            <w:gridSpan w:val="4"/>
            <w:tcBorders>
              <w:tl2br w:val="nil"/>
              <w:tr2bl w:val="nil"/>
            </w:tcBorders>
            <w:noWrap w:val="0"/>
            <w:vAlign w:val="center"/>
          </w:tcPr>
          <w:p w14:paraId="4E965D4D">
            <w:pPr>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P2</w:t>
            </w:r>
            <w:r>
              <w:rPr>
                <w:rFonts w:hint="default" w:ascii="Times New Roman" w:hAnsi="Times New Roman" w:eastAsia="宋体" w:cs="Times New Roman"/>
                <w:color w:val="auto"/>
                <w:sz w:val="21"/>
                <w:szCs w:val="21"/>
                <w:u w:val="none" w:color="auto"/>
              </w:rPr>
              <w:sym w:font="Wingdings 2" w:char="00A3"/>
            </w:r>
          </w:p>
        </w:tc>
        <w:tc>
          <w:tcPr>
            <w:tcW w:w="982" w:type="pct"/>
            <w:gridSpan w:val="5"/>
            <w:tcBorders>
              <w:tl2br w:val="nil"/>
              <w:tr2bl w:val="nil"/>
            </w:tcBorders>
            <w:noWrap w:val="0"/>
            <w:vAlign w:val="center"/>
          </w:tcPr>
          <w:p w14:paraId="3033BA79">
            <w:pPr>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P3□</w:t>
            </w:r>
          </w:p>
        </w:tc>
        <w:tc>
          <w:tcPr>
            <w:tcW w:w="1200" w:type="pct"/>
            <w:gridSpan w:val="4"/>
            <w:tcBorders>
              <w:tl2br w:val="nil"/>
              <w:tr2bl w:val="nil"/>
            </w:tcBorders>
            <w:noWrap w:val="0"/>
            <w:vAlign w:val="center"/>
          </w:tcPr>
          <w:p w14:paraId="01E594D0">
            <w:pPr>
              <w:adjustRightInd w:val="0"/>
              <w:snapToGrid w:val="0"/>
              <w:jc w:val="center"/>
              <w:rPr>
                <w:rFonts w:hint="default" w:ascii="Times New Roman" w:hAnsi="Times New Roman" w:eastAsia="宋体" w:cs="Times New Roman"/>
                <w:color w:val="auto"/>
                <w:sz w:val="21"/>
                <w:szCs w:val="21"/>
                <w:u w:val="none" w:color="auto"/>
                <w:lang w:eastAsia="zh-CN"/>
              </w:rPr>
            </w:pPr>
            <w:r>
              <w:rPr>
                <w:rFonts w:hint="default" w:ascii="Times New Roman" w:hAnsi="Times New Roman" w:eastAsia="宋体" w:cs="Times New Roman"/>
                <w:color w:val="auto"/>
                <w:sz w:val="21"/>
                <w:szCs w:val="21"/>
                <w:u w:val="none" w:color="auto"/>
              </w:rPr>
              <w:t>P4</w:t>
            </w:r>
            <w:r>
              <w:rPr>
                <w:rFonts w:hint="default" w:ascii="Times New Roman" w:hAnsi="Times New Roman" w:eastAsia="宋体" w:cs="Times New Roman"/>
                <w:color w:val="auto"/>
                <w:sz w:val="21"/>
                <w:szCs w:val="21"/>
                <w:u w:val="none" w:color="auto"/>
                <w:lang w:eastAsia="zh-CN"/>
              </w:rPr>
              <w:t>☑</w:t>
            </w:r>
          </w:p>
        </w:tc>
      </w:tr>
      <w:tr w14:paraId="555A313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28" w:type="dxa"/>
            <w:left w:w="108" w:type="dxa"/>
            <w:bottom w:w="28" w:type="dxa"/>
            <w:right w:w="108" w:type="dxa"/>
          </w:tblCellMar>
        </w:tblPrEx>
        <w:trPr>
          <w:trHeight w:val="299" w:hRule="atLeast"/>
          <w:jc w:val="center"/>
        </w:trPr>
        <w:tc>
          <w:tcPr>
            <w:tcW w:w="672" w:type="pct"/>
            <w:gridSpan w:val="3"/>
            <w:vMerge w:val="restart"/>
            <w:tcBorders>
              <w:tl2br w:val="nil"/>
              <w:tr2bl w:val="nil"/>
            </w:tcBorders>
            <w:noWrap w:val="0"/>
            <w:vAlign w:val="center"/>
          </w:tcPr>
          <w:p w14:paraId="54BD1F39">
            <w:pPr>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环境敏感程度</w:t>
            </w:r>
          </w:p>
        </w:tc>
        <w:tc>
          <w:tcPr>
            <w:tcW w:w="406" w:type="pct"/>
            <w:tcBorders>
              <w:tl2br w:val="nil"/>
              <w:tr2bl w:val="nil"/>
            </w:tcBorders>
            <w:noWrap w:val="0"/>
            <w:vAlign w:val="center"/>
          </w:tcPr>
          <w:p w14:paraId="2E9312BE">
            <w:pPr>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大气</w:t>
            </w:r>
          </w:p>
        </w:tc>
        <w:tc>
          <w:tcPr>
            <w:tcW w:w="926" w:type="pct"/>
            <w:gridSpan w:val="5"/>
            <w:tcBorders>
              <w:tl2br w:val="nil"/>
              <w:tr2bl w:val="nil"/>
            </w:tcBorders>
            <w:noWrap w:val="0"/>
            <w:vAlign w:val="center"/>
          </w:tcPr>
          <w:p w14:paraId="327CBC36">
            <w:pPr>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E1☑</w:t>
            </w:r>
          </w:p>
        </w:tc>
        <w:tc>
          <w:tcPr>
            <w:tcW w:w="1398" w:type="pct"/>
            <w:gridSpan w:val="7"/>
            <w:tcBorders>
              <w:tl2br w:val="nil"/>
              <w:tr2bl w:val="nil"/>
            </w:tcBorders>
            <w:noWrap w:val="0"/>
            <w:vAlign w:val="center"/>
          </w:tcPr>
          <w:p w14:paraId="19CC4599">
            <w:pPr>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E2□</w:t>
            </w:r>
          </w:p>
        </w:tc>
        <w:tc>
          <w:tcPr>
            <w:tcW w:w="1596" w:type="pct"/>
            <w:gridSpan w:val="6"/>
            <w:tcBorders>
              <w:tl2br w:val="nil"/>
              <w:tr2bl w:val="nil"/>
            </w:tcBorders>
            <w:noWrap w:val="0"/>
            <w:vAlign w:val="center"/>
          </w:tcPr>
          <w:p w14:paraId="31B9A034">
            <w:pPr>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E3□</w:t>
            </w:r>
          </w:p>
        </w:tc>
      </w:tr>
      <w:tr w14:paraId="6FF2ED3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28" w:type="dxa"/>
            <w:left w:w="108" w:type="dxa"/>
            <w:bottom w:w="28" w:type="dxa"/>
            <w:right w:w="108" w:type="dxa"/>
          </w:tblCellMar>
        </w:tblPrEx>
        <w:trPr>
          <w:jc w:val="center"/>
        </w:trPr>
        <w:tc>
          <w:tcPr>
            <w:tcW w:w="672" w:type="pct"/>
            <w:gridSpan w:val="3"/>
            <w:vMerge w:val="continue"/>
            <w:tcBorders>
              <w:tl2br w:val="nil"/>
              <w:tr2bl w:val="nil"/>
            </w:tcBorders>
            <w:noWrap w:val="0"/>
            <w:vAlign w:val="center"/>
          </w:tcPr>
          <w:p w14:paraId="6E8626D4">
            <w:pPr>
              <w:widowControl/>
              <w:jc w:val="left"/>
              <w:rPr>
                <w:rFonts w:hint="default" w:ascii="Times New Roman" w:hAnsi="Times New Roman" w:eastAsia="宋体" w:cs="Times New Roman"/>
                <w:color w:val="auto"/>
                <w:sz w:val="21"/>
                <w:szCs w:val="21"/>
                <w:u w:val="none" w:color="auto"/>
              </w:rPr>
            </w:pPr>
          </w:p>
        </w:tc>
        <w:tc>
          <w:tcPr>
            <w:tcW w:w="406" w:type="pct"/>
            <w:tcBorders>
              <w:tl2br w:val="nil"/>
              <w:tr2bl w:val="nil"/>
            </w:tcBorders>
            <w:noWrap w:val="0"/>
            <w:vAlign w:val="center"/>
          </w:tcPr>
          <w:p w14:paraId="06946D61">
            <w:pPr>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地表水</w:t>
            </w:r>
          </w:p>
        </w:tc>
        <w:tc>
          <w:tcPr>
            <w:tcW w:w="926" w:type="pct"/>
            <w:gridSpan w:val="5"/>
            <w:tcBorders>
              <w:tl2br w:val="nil"/>
              <w:tr2bl w:val="nil"/>
            </w:tcBorders>
            <w:noWrap w:val="0"/>
            <w:vAlign w:val="center"/>
          </w:tcPr>
          <w:p w14:paraId="3BE79A08">
            <w:pPr>
              <w:adjustRightInd w:val="0"/>
              <w:snapToGrid w:val="0"/>
              <w:jc w:val="center"/>
              <w:rPr>
                <w:rFonts w:hint="default" w:ascii="Times New Roman" w:hAnsi="Times New Roman" w:eastAsia="宋体" w:cs="Times New Roman"/>
                <w:color w:val="auto"/>
                <w:sz w:val="21"/>
                <w:szCs w:val="21"/>
                <w:u w:val="none" w:color="auto"/>
                <w:lang w:eastAsia="zh-CN"/>
              </w:rPr>
            </w:pPr>
            <w:r>
              <w:rPr>
                <w:rFonts w:hint="default" w:ascii="Times New Roman" w:hAnsi="Times New Roman" w:eastAsia="宋体" w:cs="Times New Roman"/>
                <w:color w:val="auto"/>
                <w:sz w:val="21"/>
                <w:szCs w:val="21"/>
                <w:u w:val="none" w:color="auto"/>
              </w:rPr>
              <w:t>E1</w:t>
            </w:r>
            <w:r>
              <w:rPr>
                <w:rFonts w:hint="default" w:ascii="Times New Roman" w:hAnsi="Times New Roman" w:eastAsia="宋体" w:cs="Times New Roman"/>
                <w:color w:val="auto"/>
                <w:sz w:val="21"/>
                <w:szCs w:val="21"/>
                <w:u w:val="none" w:color="auto"/>
                <w:lang w:eastAsia="zh-CN"/>
              </w:rPr>
              <w:t>☑</w:t>
            </w:r>
          </w:p>
        </w:tc>
        <w:tc>
          <w:tcPr>
            <w:tcW w:w="1398" w:type="pct"/>
            <w:gridSpan w:val="7"/>
            <w:tcBorders>
              <w:tl2br w:val="nil"/>
              <w:tr2bl w:val="nil"/>
            </w:tcBorders>
            <w:noWrap w:val="0"/>
            <w:vAlign w:val="center"/>
          </w:tcPr>
          <w:p w14:paraId="371757B1">
            <w:pPr>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E2□</w:t>
            </w:r>
          </w:p>
        </w:tc>
        <w:tc>
          <w:tcPr>
            <w:tcW w:w="1596" w:type="pct"/>
            <w:gridSpan w:val="6"/>
            <w:tcBorders>
              <w:tl2br w:val="nil"/>
              <w:tr2bl w:val="nil"/>
            </w:tcBorders>
            <w:noWrap w:val="0"/>
            <w:vAlign w:val="center"/>
          </w:tcPr>
          <w:p w14:paraId="7EE1AC2F">
            <w:pPr>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E3□</w:t>
            </w:r>
          </w:p>
        </w:tc>
      </w:tr>
      <w:tr w14:paraId="6243CB3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28" w:type="dxa"/>
            <w:left w:w="108" w:type="dxa"/>
            <w:bottom w:w="28" w:type="dxa"/>
            <w:right w:w="108" w:type="dxa"/>
          </w:tblCellMar>
        </w:tblPrEx>
        <w:trPr>
          <w:jc w:val="center"/>
        </w:trPr>
        <w:tc>
          <w:tcPr>
            <w:tcW w:w="672" w:type="pct"/>
            <w:gridSpan w:val="3"/>
            <w:vMerge w:val="continue"/>
            <w:tcBorders>
              <w:tl2br w:val="nil"/>
              <w:tr2bl w:val="nil"/>
            </w:tcBorders>
            <w:noWrap w:val="0"/>
            <w:vAlign w:val="center"/>
          </w:tcPr>
          <w:p w14:paraId="4C58DA1F">
            <w:pPr>
              <w:widowControl/>
              <w:jc w:val="left"/>
              <w:rPr>
                <w:rFonts w:hint="default" w:ascii="Times New Roman" w:hAnsi="Times New Roman" w:eastAsia="宋体" w:cs="Times New Roman"/>
                <w:color w:val="auto"/>
                <w:sz w:val="21"/>
                <w:szCs w:val="21"/>
                <w:u w:val="none" w:color="auto"/>
              </w:rPr>
            </w:pPr>
          </w:p>
        </w:tc>
        <w:tc>
          <w:tcPr>
            <w:tcW w:w="406" w:type="pct"/>
            <w:tcBorders>
              <w:tl2br w:val="nil"/>
              <w:tr2bl w:val="nil"/>
            </w:tcBorders>
            <w:noWrap w:val="0"/>
            <w:vAlign w:val="center"/>
          </w:tcPr>
          <w:p w14:paraId="3C494CFA">
            <w:pPr>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地下水</w:t>
            </w:r>
          </w:p>
        </w:tc>
        <w:tc>
          <w:tcPr>
            <w:tcW w:w="926" w:type="pct"/>
            <w:gridSpan w:val="5"/>
            <w:tcBorders>
              <w:tl2br w:val="nil"/>
              <w:tr2bl w:val="nil"/>
            </w:tcBorders>
            <w:noWrap w:val="0"/>
            <w:vAlign w:val="center"/>
          </w:tcPr>
          <w:p w14:paraId="4D8DB4F7">
            <w:pPr>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E1□</w:t>
            </w:r>
          </w:p>
        </w:tc>
        <w:tc>
          <w:tcPr>
            <w:tcW w:w="1398" w:type="pct"/>
            <w:gridSpan w:val="7"/>
            <w:tcBorders>
              <w:tl2br w:val="nil"/>
              <w:tr2bl w:val="nil"/>
            </w:tcBorders>
            <w:noWrap w:val="0"/>
            <w:vAlign w:val="center"/>
          </w:tcPr>
          <w:p w14:paraId="5D6924D5">
            <w:pPr>
              <w:adjustRightInd w:val="0"/>
              <w:snapToGrid w:val="0"/>
              <w:jc w:val="center"/>
              <w:rPr>
                <w:rFonts w:hint="default" w:ascii="Times New Roman" w:hAnsi="Times New Roman" w:eastAsia="宋体" w:cs="Times New Roman"/>
                <w:color w:val="auto"/>
                <w:sz w:val="21"/>
                <w:szCs w:val="21"/>
                <w:u w:val="none" w:color="auto"/>
                <w:lang w:eastAsia="zh-CN"/>
              </w:rPr>
            </w:pPr>
            <w:r>
              <w:rPr>
                <w:rFonts w:hint="default" w:ascii="Times New Roman" w:hAnsi="Times New Roman" w:eastAsia="宋体" w:cs="Times New Roman"/>
                <w:color w:val="auto"/>
                <w:sz w:val="21"/>
                <w:szCs w:val="21"/>
                <w:u w:val="none" w:color="auto"/>
              </w:rPr>
              <w:t>E2</w:t>
            </w:r>
            <w:r>
              <w:rPr>
                <w:rFonts w:hint="default" w:ascii="Times New Roman" w:hAnsi="Times New Roman" w:eastAsia="宋体" w:cs="Times New Roman"/>
                <w:color w:val="auto"/>
                <w:sz w:val="21"/>
                <w:szCs w:val="21"/>
                <w:u w:val="none" w:color="auto"/>
                <w:lang w:eastAsia="zh-CN"/>
              </w:rPr>
              <w:t>□</w:t>
            </w:r>
          </w:p>
        </w:tc>
        <w:tc>
          <w:tcPr>
            <w:tcW w:w="1596" w:type="pct"/>
            <w:gridSpan w:val="6"/>
            <w:tcBorders>
              <w:tl2br w:val="nil"/>
              <w:tr2bl w:val="nil"/>
            </w:tcBorders>
            <w:noWrap w:val="0"/>
            <w:vAlign w:val="center"/>
          </w:tcPr>
          <w:p w14:paraId="01DEBD20">
            <w:pPr>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E3</w:t>
            </w:r>
            <w:r>
              <w:rPr>
                <w:rFonts w:hint="default" w:ascii="Times New Roman" w:hAnsi="Times New Roman" w:eastAsia="宋体" w:cs="Times New Roman"/>
                <w:color w:val="auto"/>
                <w:sz w:val="21"/>
                <w:szCs w:val="21"/>
                <w:u w:val="none" w:color="auto"/>
              </w:rPr>
              <w:sym w:font="Wingdings 2" w:char="0052"/>
            </w:r>
          </w:p>
        </w:tc>
      </w:tr>
      <w:tr w14:paraId="0BDAEC1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28" w:type="dxa"/>
            <w:left w:w="108" w:type="dxa"/>
            <w:bottom w:w="28" w:type="dxa"/>
            <w:right w:w="108" w:type="dxa"/>
          </w:tblCellMar>
        </w:tblPrEx>
        <w:trPr>
          <w:jc w:val="center"/>
        </w:trPr>
        <w:tc>
          <w:tcPr>
            <w:tcW w:w="672" w:type="pct"/>
            <w:gridSpan w:val="3"/>
            <w:tcBorders>
              <w:tl2br w:val="nil"/>
              <w:tr2bl w:val="nil"/>
            </w:tcBorders>
            <w:noWrap w:val="0"/>
            <w:vAlign w:val="center"/>
          </w:tcPr>
          <w:p w14:paraId="2C2BF9FD">
            <w:pPr>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环境风险潜势</w:t>
            </w:r>
          </w:p>
        </w:tc>
        <w:tc>
          <w:tcPr>
            <w:tcW w:w="406" w:type="pct"/>
            <w:tcBorders>
              <w:tl2br w:val="nil"/>
              <w:tr2bl w:val="nil"/>
            </w:tcBorders>
            <w:noWrap w:val="0"/>
            <w:vAlign w:val="center"/>
          </w:tcPr>
          <w:p w14:paraId="60AA6594">
            <w:pPr>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Ⅳ</w:t>
            </w:r>
            <w:r>
              <w:rPr>
                <w:rFonts w:hint="default" w:ascii="Times New Roman" w:hAnsi="Times New Roman" w:eastAsia="宋体" w:cs="Times New Roman"/>
                <w:color w:val="auto"/>
                <w:sz w:val="21"/>
                <w:szCs w:val="21"/>
                <w:u w:val="none" w:color="auto"/>
                <w:vertAlign w:val="superscript"/>
              </w:rPr>
              <w:t>+</w:t>
            </w:r>
            <w:r>
              <w:rPr>
                <w:rFonts w:hint="default" w:ascii="Times New Roman" w:hAnsi="Times New Roman" w:eastAsia="宋体" w:cs="Times New Roman"/>
                <w:color w:val="auto"/>
                <w:sz w:val="21"/>
                <w:szCs w:val="21"/>
                <w:u w:val="none" w:color="auto"/>
              </w:rPr>
              <w:sym w:font="Wingdings 2" w:char="00A3"/>
            </w:r>
          </w:p>
        </w:tc>
        <w:tc>
          <w:tcPr>
            <w:tcW w:w="926" w:type="pct"/>
            <w:gridSpan w:val="5"/>
            <w:tcBorders>
              <w:tl2br w:val="nil"/>
              <w:tr2bl w:val="nil"/>
            </w:tcBorders>
            <w:noWrap w:val="0"/>
            <w:vAlign w:val="center"/>
          </w:tcPr>
          <w:p w14:paraId="26C11D8C">
            <w:pPr>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Ⅳ</w:t>
            </w:r>
            <w:r>
              <w:rPr>
                <w:rFonts w:hint="default" w:ascii="Times New Roman" w:hAnsi="Times New Roman" w:eastAsia="宋体" w:cs="Times New Roman"/>
                <w:color w:val="auto"/>
                <w:sz w:val="21"/>
                <w:szCs w:val="21"/>
                <w:u w:val="none" w:color="auto"/>
              </w:rPr>
              <w:sym w:font="Wingdings 2" w:char="00A3"/>
            </w:r>
          </w:p>
        </w:tc>
        <w:tc>
          <w:tcPr>
            <w:tcW w:w="812" w:type="pct"/>
            <w:gridSpan w:val="4"/>
            <w:tcBorders>
              <w:tl2br w:val="nil"/>
              <w:tr2bl w:val="nil"/>
            </w:tcBorders>
            <w:noWrap w:val="0"/>
            <w:vAlign w:val="center"/>
          </w:tcPr>
          <w:p w14:paraId="6531CB6B">
            <w:pPr>
              <w:adjustRightInd w:val="0"/>
              <w:snapToGrid w:val="0"/>
              <w:jc w:val="center"/>
              <w:rPr>
                <w:rFonts w:hint="default" w:ascii="Times New Roman" w:hAnsi="Times New Roman" w:eastAsia="宋体" w:cs="Times New Roman"/>
                <w:color w:val="auto"/>
                <w:sz w:val="21"/>
                <w:szCs w:val="21"/>
                <w:u w:val="none" w:color="auto"/>
                <w:lang w:eastAsia="zh-CN"/>
              </w:rPr>
            </w:pPr>
            <w:r>
              <w:rPr>
                <w:rFonts w:hint="default" w:ascii="Times New Roman" w:hAnsi="Times New Roman" w:eastAsia="宋体" w:cs="Times New Roman"/>
                <w:color w:val="auto"/>
                <w:sz w:val="21"/>
                <w:szCs w:val="21"/>
                <w:u w:val="none" w:color="auto"/>
              </w:rPr>
              <w:t>Ⅲ</w:t>
            </w:r>
            <w:r>
              <w:rPr>
                <w:rFonts w:hint="default" w:ascii="Times New Roman" w:hAnsi="Times New Roman" w:eastAsia="宋体" w:cs="Times New Roman"/>
                <w:color w:val="auto"/>
                <w:sz w:val="21"/>
                <w:szCs w:val="21"/>
                <w:u w:val="none" w:color="auto"/>
                <w:lang w:eastAsia="zh-CN"/>
              </w:rPr>
              <w:t>☑</w:t>
            </w:r>
          </w:p>
        </w:tc>
        <w:tc>
          <w:tcPr>
            <w:tcW w:w="982" w:type="pct"/>
            <w:gridSpan w:val="5"/>
            <w:tcBorders>
              <w:tl2br w:val="nil"/>
              <w:tr2bl w:val="nil"/>
            </w:tcBorders>
            <w:noWrap w:val="0"/>
            <w:vAlign w:val="center"/>
          </w:tcPr>
          <w:p w14:paraId="4FC95867">
            <w:pPr>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Ⅱ□</w:t>
            </w:r>
          </w:p>
        </w:tc>
        <w:tc>
          <w:tcPr>
            <w:tcW w:w="1200" w:type="pct"/>
            <w:gridSpan w:val="4"/>
            <w:tcBorders>
              <w:tl2br w:val="nil"/>
              <w:tr2bl w:val="nil"/>
            </w:tcBorders>
            <w:noWrap w:val="0"/>
            <w:vAlign w:val="center"/>
          </w:tcPr>
          <w:p w14:paraId="444C463A">
            <w:pPr>
              <w:adjustRightInd w:val="0"/>
              <w:snapToGrid w:val="0"/>
              <w:jc w:val="center"/>
              <w:rPr>
                <w:rFonts w:hint="default" w:ascii="Times New Roman" w:hAnsi="Times New Roman" w:eastAsia="宋体" w:cs="Times New Roman"/>
                <w:color w:val="auto"/>
                <w:sz w:val="21"/>
                <w:szCs w:val="21"/>
                <w:u w:val="none" w:color="auto"/>
                <w:lang w:eastAsia="zh-CN"/>
              </w:rPr>
            </w:pPr>
            <w:r>
              <w:rPr>
                <w:rFonts w:hint="default" w:ascii="Times New Roman" w:hAnsi="Times New Roman" w:eastAsia="宋体" w:cs="Times New Roman"/>
                <w:color w:val="auto"/>
                <w:sz w:val="21"/>
                <w:szCs w:val="21"/>
                <w:u w:val="none" w:color="auto"/>
              </w:rPr>
              <w:t>Ⅰ</w:t>
            </w:r>
            <w:r>
              <w:rPr>
                <w:rFonts w:hint="default" w:ascii="Times New Roman" w:hAnsi="Times New Roman" w:eastAsia="宋体" w:cs="Times New Roman"/>
                <w:color w:val="auto"/>
                <w:sz w:val="21"/>
                <w:szCs w:val="21"/>
                <w:u w:val="none" w:color="auto"/>
                <w:lang w:eastAsia="zh-CN"/>
              </w:rPr>
              <w:t>□</w:t>
            </w:r>
          </w:p>
        </w:tc>
      </w:tr>
      <w:tr w14:paraId="7611FDE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28" w:type="dxa"/>
            <w:left w:w="108" w:type="dxa"/>
            <w:bottom w:w="28" w:type="dxa"/>
            <w:right w:w="108" w:type="dxa"/>
          </w:tblCellMar>
        </w:tblPrEx>
        <w:trPr>
          <w:jc w:val="center"/>
        </w:trPr>
        <w:tc>
          <w:tcPr>
            <w:tcW w:w="672" w:type="pct"/>
            <w:gridSpan w:val="3"/>
            <w:tcBorders>
              <w:tl2br w:val="nil"/>
              <w:tr2bl w:val="nil"/>
            </w:tcBorders>
            <w:noWrap w:val="0"/>
            <w:vAlign w:val="center"/>
          </w:tcPr>
          <w:p w14:paraId="7BD90CF6">
            <w:pPr>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评价等级</w:t>
            </w:r>
          </w:p>
        </w:tc>
        <w:tc>
          <w:tcPr>
            <w:tcW w:w="1332" w:type="pct"/>
            <w:gridSpan w:val="6"/>
            <w:tcBorders>
              <w:tl2br w:val="nil"/>
              <w:tr2bl w:val="nil"/>
            </w:tcBorders>
            <w:noWrap w:val="0"/>
            <w:vAlign w:val="center"/>
          </w:tcPr>
          <w:p w14:paraId="1FBDF86C">
            <w:pPr>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一级</w:t>
            </w:r>
            <w:r>
              <w:rPr>
                <w:rFonts w:hint="default" w:ascii="Times New Roman" w:hAnsi="Times New Roman" w:eastAsia="宋体" w:cs="Times New Roman"/>
                <w:color w:val="auto"/>
                <w:sz w:val="21"/>
                <w:szCs w:val="21"/>
                <w:u w:val="none" w:color="auto"/>
              </w:rPr>
              <w:sym w:font="Wingdings 2" w:char="0052"/>
            </w:r>
          </w:p>
        </w:tc>
        <w:tc>
          <w:tcPr>
            <w:tcW w:w="812" w:type="pct"/>
            <w:gridSpan w:val="4"/>
            <w:tcBorders>
              <w:tl2br w:val="nil"/>
              <w:tr2bl w:val="nil"/>
            </w:tcBorders>
            <w:noWrap w:val="0"/>
            <w:vAlign w:val="center"/>
          </w:tcPr>
          <w:p w14:paraId="69EF190D">
            <w:pPr>
              <w:adjustRightInd w:val="0"/>
              <w:snapToGrid w:val="0"/>
              <w:jc w:val="center"/>
              <w:rPr>
                <w:rFonts w:hint="default" w:ascii="Times New Roman" w:hAnsi="Times New Roman" w:eastAsia="宋体" w:cs="Times New Roman"/>
                <w:color w:val="auto"/>
                <w:sz w:val="21"/>
                <w:szCs w:val="21"/>
                <w:u w:val="none" w:color="auto"/>
                <w:lang w:eastAsia="zh-CN"/>
              </w:rPr>
            </w:pPr>
            <w:r>
              <w:rPr>
                <w:rFonts w:hint="default" w:ascii="Times New Roman" w:hAnsi="Times New Roman" w:eastAsia="宋体" w:cs="Times New Roman"/>
                <w:color w:val="auto"/>
                <w:sz w:val="21"/>
                <w:szCs w:val="21"/>
                <w:u w:val="none" w:color="auto"/>
              </w:rPr>
              <w:t>二级</w:t>
            </w:r>
            <w:r>
              <w:rPr>
                <w:rFonts w:hint="default" w:ascii="Times New Roman" w:hAnsi="Times New Roman" w:eastAsia="宋体" w:cs="Times New Roman"/>
                <w:color w:val="auto"/>
                <w:sz w:val="21"/>
                <w:szCs w:val="21"/>
                <w:u w:val="none" w:color="auto"/>
                <w:lang w:eastAsia="zh-CN"/>
              </w:rPr>
              <w:t>☑</w:t>
            </w:r>
          </w:p>
        </w:tc>
        <w:tc>
          <w:tcPr>
            <w:tcW w:w="982" w:type="pct"/>
            <w:gridSpan w:val="5"/>
            <w:tcBorders>
              <w:tl2br w:val="nil"/>
              <w:tr2bl w:val="nil"/>
            </w:tcBorders>
            <w:noWrap w:val="0"/>
            <w:vAlign w:val="center"/>
          </w:tcPr>
          <w:p w14:paraId="4369F5A9">
            <w:pPr>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三级□</w:t>
            </w:r>
          </w:p>
        </w:tc>
        <w:tc>
          <w:tcPr>
            <w:tcW w:w="1200" w:type="pct"/>
            <w:gridSpan w:val="4"/>
            <w:tcBorders>
              <w:tl2br w:val="nil"/>
              <w:tr2bl w:val="nil"/>
            </w:tcBorders>
            <w:noWrap w:val="0"/>
            <w:vAlign w:val="center"/>
          </w:tcPr>
          <w:p w14:paraId="3BEE05F5">
            <w:pPr>
              <w:adjustRightInd w:val="0"/>
              <w:snapToGrid w:val="0"/>
              <w:jc w:val="center"/>
              <w:rPr>
                <w:rFonts w:hint="default" w:ascii="Times New Roman" w:hAnsi="Times New Roman" w:eastAsia="宋体" w:cs="Times New Roman"/>
                <w:color w:val="auto"/>
                <w:sz w:val="21"/>
                <w:szCs w:val="21"/>
                <w:u w:val="none" w:color="auto"/>
                <w:lang w:eastAsia="zh-CN"/>
              </w:rPr>
            </w:pPr>
            <w:r>
              <w:rPr>
                <w:rFonts w:hint="default" w:ascii="Times New Roman" w:hAnsi="Times New Roman" w:eastAsia="宋体" w:cs="Times New Roman"/>
                <w:color w:val="auto"/>
                <w:sz w:val="21"/>
                <w:szCs w:val="21"/>
                <w:u w:val="none" w:color="auto"/>
              </w:rPr>
              <w:t>简单分析</w:t>
            </w:r>
            <w:r>
              <w:rPr>
                <w:rFonts w:hint="default" w:ascii="Times New Roman" w:hAnsi="Times New Roman" w:eastAsia="宋体" w:cs="Times New Roman"/>
                <w:color w:val="auto"/>
                <w:sz w:val="21"/>
                <w:szCs w:val="21"/>
                <w:u w:val="none" w:color="auto"/>
                <w:lang w:eastAsia="zh-CN"/>
              </w:rPr>
              <w:t>□</w:t>
            </w:r>
          </w:p>
        </w:tc>
      </w:tr>
      <w:tr w14:paraId="7A60498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28" w:type="dxa"/>
            <w:left w:w="108" w:type="dxa"/>
            <w:bottom w:w="28" w:type="dxa"/>
            <w:right w:w="108" w:type="dxa"/>
          </w:tblCellMar>
        </w:tblPrEx>
        <w:trPr>
          <w:jc w:val="center"/>
        </w:trPr>
        <w:tc>
          <w:tcPr>
            <w:tcW w:w="249" w:type="pct"/>
            <w:vMerge w:val="restart"/>
            <w:tcBorders>
              <w:tl2br w:val="nil"/>
              <w:tr2bl w:val="nil"/>
            </w:tcBorders>
            <w:noWrap w:val="0"/>
            <w:vAlign w:val="center"/>
          </w:tcPr>
          <w:p w14:paraId="7C29D4B7">
            <w:pPr>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风险识别</w:t>
            </w:r>
          </w:p>
        </w:tc>
        <w:tc>
          <w:tcPr>
            <w:tcW w:w="422" w:type="pct"/>
            <w:gridSpan w:val="2"/>
            <w:tcBorders>
              <w:tl2br w:val="nil"/>
              <w:tr2bl w:val="nil"/>
            </w:tcBorders>
            <w:noWrap w:val="0"/>
            <w:vAlign w:val="center"/>
          </w:tcPr>
          <w:p w14:paraId="40ACA0DF">
            <w:pPr>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物质危险性</w:t>
            </w:r>
          </w:p>
        </w:tc>
        <w:tc>
          <w:tcPr>
            <w:tcW w:w="2145" w:type="pct"/>
            <w:gridSpan w:val="10"/>
            <w:tcBorders>
              <w:tl2br w:val="nil"/>
              <w:tr2bl w:val="nil"/>
            </w:tcBorders>
            <w:noWrap w:val="0"/>
            <w:vAlign w:val="center"/>
          </w:tcPr>
          <w:p w14:paraId="17357E94">
            <w:pPr>
              <w:adjustRightInd w:val="0"/>
              <w:snapToGrid w:val="0"/>
              <w:jc w:val="center"/>
              <w:rPr>
                <w:rFonts w:hint="default" w:ascii="Times New Roman" w:hAnsi="Times New Roman" w:eastAsia="宋体" w:cs="Times New Roman"/>
                <w:color w:val="auto"/>
                <w:sz w:val="21"/>
                <w:szCs w:val="21"/>
                <w:u w:val="none" w:color="auto"/>
                <w:lang w:eastAsia="zh-CN"/>
              </w:rPr>
            </w:pPr>
            <w:r>
              <w:rPr>
                <w:rFonts w:hint="default" w:ascii="Times New Roman" w:hAnsi="Times New Roman" w:eastAsia="宋体" w:cs="Times New Roman"/>
                <w:color w:val="auto"/>
                <w:sz w:val="21"/>
                <w:szCs w:val="21"/>
                <w:u w:val="none" w:color="auto"/>
              </w:rPr>
              <w:t>有毒有害</w:t>
            </w:r>
            <w:r>
              <w:rPr>
                <w:rFonts w:hint="default" w:ascii="Times New Roman" w:hAnsi="Times New Roman" w:eastAsia="宋体" w:cs="Times New Roman"/>
                <w:color w:val="auto"/>
                <w:sz w:val="21"/>
                <w:szCs w:val="21"/>
                <w:u w:val="none" w:color="auto"/>
                <w:lang w:eastAsia="zh-CN"/>
              </w:rPr>
              <w:t>□</w:t>
            </w:r>
          </w:p>
        </w:tc>
        <w:tc>
          <w:tcPr>
            <w:tcW w:w="2182" w:type="pct"/>
            <w:gridSpan w:val="9"/>
            <w:tcBorders>
              <w:tl2br w:val="nil"/>
              <w:tr2bl w:val="nil"/>
            </w:tcBorders>
            <w:noWrap w:val="0"/>
            <w:vAlign w:val="center"/>
          </w:tcPr>
          <w:p w14:paraId="58D6A3CE">
            <w:pPr>
              <w:adjustRightInd w:val="0"/>
              <w:snapToGrid w:val="0"/>
              <w:jc w:val="center"/>
              <w:rPr>
                <w:rFonts w:hint="default" w:ascii="Times New Roman" w:hAnsi="Times New Roman" w:eastAsia="宋体" w:cs="Times New Roman"/>
                <w:color w:val="auto"/>
                <w:sz w:val="21"/>
                <w:szCs w:val="21"/>
                <w:u w:val="none" w:color="auto"/>
                <w:lang w:eastAsia="zh-CN"/>
              </w:rPr>
            </w:pPr>
            <w:r>
              <w:rPr>
                <w:rFonts w:hint="default" w:ascii="Times New Roman" w:hAnsi="Times New Roman" w:eastAsia="宋体" w:cs="Times New Roman"/>
                <w:color w:val="auto"/>
                <w:sz w:val="21"/>
                <w:szCs w:val="21"/>
                <w:u w:val="none" w:color="auto"/>
              </w:rPr>
              <w:t>易燃易爆</w:t>
            </w:r>
            <w:r>
              <w:rPr>
                <w:rFonts w:hint="default" w:ascii="Times New Roman" w:hAnsi="Times New Roman" w:eastAsia="宋体" w:cs="Times New Roman"/>
                <w:color w:val="auto"/>
                <w:sz w:val="21"/>
                <w:szCs w:val="21"/>
                <w:u w:val="none" w:color="auto"/>
                <w:lang w:eastAsia="zh-CN"/>
              </w:rPr>
              <w:t>☑</w:t>
            </w:r>
          </w:p>
        </w:tc>
      </w:tr>
      <w:tr w14:paraId="555D5D9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28" w:type="dxa"/>
            <w:left w:w="108" w:type="dxa"/>
            <w:bottom w:w="28" w:type="dxa"/>
            <w:right w:w="108" w:type="dxa"/>
          </w:tblCellMar>
        </w:tblPrEx>
        <w:trPr>
          <w:jc w:val="center"/>
        </w:trPr>
        <w:tc>
          <w:tcPr>
            <w:tcW w:w="249" w:type="pct"/>
            <w:vMerge w:val="continue"/>
            <w:tcBorders>
              <w:tl2br w:val="nil"/>
              <w:tr2bl w:val="nil"/>
            </w:tcBorders>
            <w:noWrap w:val="0"/>
            <w:vAlign w:val="center"/>
          </w:tcPr>
          <w:p w14:paraId="03A3919F">
            <w:pPr>
              <w:widowControl/>
              <w:jc w:val="left"/>
              <w:rPr>
                <w:rFonts w:hint="default" w:ascii="Times New Roman" w:hAnsi="Times New Roman" w:eastAsia="宋体" w:cs="Times New Roman"/>
                <w:color w:val="auto"/>
                <w:sz w:val="21"/>
                <w:szCs w:val="21"/>
                <w:u w:val="none" w:color="auto"/>
              </w:rPr>
            </w:pPr>
          </w:p>
        </w:tc>
        <w:tc>
          <w:tcPr>
            <w:tcW w:w="422" w:type="pct"/>
            <w:gridSpan w:val="2"/>
            <w:tcBorders>
              <w:tl2br w:val="nil"/>
              <w:tr2bl w:val="nil"/>
            </w:tcBorders>
            <w:noWrap w:val="0"/>
            <w:vAlign w:val="center"/>
          </w:tcPr>
          <w:p w14:paraId="0D10028A">
            <w:pPr>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环境风险类型</w:t>
            </w:r>
          </w:p>
        </w:tc>
        <w:tc>
          <w:tcPr>
            <w:tcW w:w="2145" w:type="pct"/>
            <w:gridSpan w:val="10"/>
            <w:tcBorders>
              <w:tl2br w:val="nil"/>
              <w:tr2bl w:val="nil"/>
            </w:tcBorders>
            <w:noWrap w:val="0"/>
            <w:vAlign w:val="center"/>
          </w:tcPr>
          <w:p w14:paraId="26C7273D">
            <w:pPr>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eastAsia="zh-CN"/>
              </w:rPr>
              <w:t>泄漏</w:t>
            </w:r>
            <w:r>
              <w:rPr>
                <w:rFonts w:hint="default" w:ascii="Times New Roman" w:hAnsi="Times New Roman" w:eastAsia="宋体" w:cs="Times New Roman"/>
                <w:color w:val="auto"/>
                <w:sz w:val="21"/>
                <w:szCs w:val="21"/>
                <w:u w:val="none" w:color="auto"/>
              </w:rPr>
              <w:t>☑</w:t>
            </w:r>
          </w:p>
        </w:tc>
        <w:tc>
          <w:tcPr>
            <w:tcW w:w="2182" w:type="pct"/>
            <w:gridSpan w:val="9"/>
            <w:tcBorders>
              <w:tl2br w:val="nil"/>
              <w:tr2bl w:val="nil"/>
            </w:tcBorders>
            <w:noWrap w:val="0"/>
            <w:vAlign w:val="center"/>
          </w:tcPr>
          <w:p w14:paraId="7C5B2B9C">
            <w:pPr>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火灾、爆炸引发半生/次生污染物排放☑</w:t>
            </w:r>
          </w:p>
        </w:tc>
      </w:tr>
      <w:tr w14:paraId="23B9379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28" w:type="dxa"/>
            <w:left w:w="108" w:type="dxa"/>
            <w:bottom w:w="28" w:type="dxa"/>
            <w:right w:w="108" w:type="dxa"/>
          </w:tblCellMar>
        </w:tblPrEx>
        <w:trPr>
          <w:jc w:val="center"/>
        </w:trPr>
        <w:tc>
          <w:tcPr>
            <w:tcW w:w="249" w:type="pct"/>
            <w:vMerge w:val="continue"/>
            <w:tcBorders>
              <w:tl2br w:val="nil"/>
              <w:tr2bl w:val="nil"/>
            </w:tcBorders>
            <w:noWrap w:val="0"/>
            <w:vAlign w:val="center"/>
          </w:tcPr>
          <w:p w14:paraId="70D3BE02">
            <w:pPr>
              <w:widowControl/>
              <w:jc w:val="left"/>
              <w:rPr>
                <w:rFonts w:hint="default" w:ascii="Times New Roman" w:hAnsi="Times New Roman" w:eastAsia="宋体" w:cs="Times New Roman"/>
                <w:color w:val="auto"/>
                <w:sz w:val="21"/>
                <w:szCs w:val="21"/>
                <w:u w:val="none" w:color="auto"/>
              </w:rPr>
            </w:pPr>
          </w:p>
        </w:tc>
        <w:tc>
          <w:tcPr>
            <w:tcW w:w="422" w:type="pct"/>
            <w:gridSpan w:val="2"/>
            <w:tcBorders>
              <w:tl2br w:val="nil"/>
              <w:tr2bl w:val="nil"/>
            </w:tcBorders>
            <w:noWrap w:val="0"/>
            <w:vAlign w:val="center"/>
          </w:tcPr>
          <w:p w14:paraId="7B038F07">
            <w:pPr>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影响途径</w:t>
            </w:r>
          </w:p>
        </w:tc>
        <w:tc>
          <w:tcPr>
            <w:tcW w:w="1332" w:type="pct"/>
            <w:gridSpan w:val="6"/>
            <w:tcBorders>
              <w:tl2br w:val="nil"/>
              <w:tr2bl w:val="nil"/>
            </w:tcBorders>
            <w:noWrap w:val="0"/>
            <w:vAlign w:val="center"/>
          </w:tcPr>
          <w:p w14:paraId="0C64E73A">
            <w:pPr>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大气☑</w:t>
            </w:r>
          </w:p>
        </w:tc>
        <w:tc>
          <w:tcPr>
            <w:tcW w:w="1398" w:type="pct"/>
            <w:gridSpan w:val="7"/>
            <w:tcBorders>
              <w:tl2br w:val="nil"/>
              <w:tr2bl w:val="nil"/>
            </w:tcBorders>
            <w:noWrap w:val="0"/>
            <w:vAlign w:val="center"/>
          </w:tcPr>
          <w:p w14:paraId="5F302F4B">
            <w:pPr>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地表水☑</w:t>
            </w:r>
          </w:p>
        </w:tc>
        <w:tc>
          <w:tcPr>
            <w:tcW w:w="1596" w:type="pct"/>
            <w:gridSpan w:val="6"/>
            <w:tcBorders>
              <w:tl2br w:val="nil"/>
              <w:tr2bl w:val="nil"/>
            </w:tcBorders>
            <w:noWrap w:val="0"/>
            <w:vAlign w:val="center"/>
          </w:tcPr>
          <w:p w14:paraId="0929967C">
            <w:pPr>
              <w:adjustRightInd w:val="0"/>
              <w:snapToGrid w:val="0"/>
              <w:jc w:val="center"/>
              <w:rPr>
                <w:rFonts w:hint="default" w:ascii="Times New Roman" w:hAnsi="Times New Roman" w:eastAsia="宋体" w:cs="Times New Roman"/>
                <w:color w:val="auto"/>
                <w:sz w:val="21"/>
                <w:szCs w:val="21"/>
                <w:u w:val="none" w:color="auto"/>
                <w:lang w:eastAsia="zh-CN"/>
              </w:rPr>
            </w:pPr>
            <w:r>
              <w:rPr>
                <w:rFonts w:hint="default" w:ascii="Times New Roman" w:hAnsi="Times New Roman" w:eastAsia="宋体" w:cs="Times New Roman"/>
                <w:color w:val="auto"/>
                <w:sz w:val="21"/>
                <w:szCs w:val="21"/>
                <w:u w:val="none" w:color="auto"/>
              </w:rPr>
              <w:t>地下水</w:t>
            </w:r>
            <w:r>
              <w:rPr>
                <w:rFonts w:hint="default" w:ascii="Times New Roman" w:hAnsi="Times New Roman" w:eastAsia="宋体" w:cs="Times New Roman"/>
                <w:color w:val="auto"/>
                <w:sz w:val="21"/>
                <w:szCs w:val="21"/>
                <w:u w:val="none" w:color="auto"/>
                <w:lang w:eastAsia="zh-CN"/>
              </w:rPr>
              <w:t>☑</w:t>
            </w:r>
          </w:p>
        </w:tc>
      </w:tr>
      <w:tr w14:paraId="343774D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28" w:type="dxa"/>
            <w:left w:w="108" w:type="dxa"/>
            <w:bottom w:w="28" w:type="dxa"/>
            <w:right w:w="108" w:type="dxa"/>
          </w:tblCellMar>
        </w:tblPrEx>
        <w:trPr>
          <w:jc w:val="center"/>
        </w:trPr>
        <w:tc>
          <w:tcPr>
            <w:tcW w:w="672" w:type="pct"/>
            <w:gridSpan w:val="3"/>
            <w:tcBorders>
              <w:tl2br w:val="nil"/>
              <w:tr2bl w:val="nil"/>
            </w:tcBorders>
            <w:noWrap w:val="0"/>
            <w:vAlign w:val="center"/>
          </w:tcPr>
          <w:p w14:paraId="5594F8CD">
            <w:pPr>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事故情形分析</w:t>
            </w:r>
          </w:p>
        </w:tc>
        <w:tc>
          <w:tcPr>
            <w:tcW w:w="750" w:type="pct"/>
            <w:gridSpan w:val="3"/>
            <w:tcBorders>
              <w:tl2br w:val="nil"/>
              <w:tr2bl w:val="nil"/>
            </w:tcBorders>
            <w:noWrap w:val="0"/>
            <w:vAlign w:val="center"/>
          </w:tcPr>
          <w:p w14:paraId="762A1F9C">
            <w:pPr>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源强设定方法</w:t>
            </w:r>
          </w:p>
        </w:tc>
        <w:tc>
          <w:tcPr>
            <w:tcW w:w="1394" w:type="pct"/>
            <w:gridSpan w:val="7"/>
            <w:tcBorders>
              <w:tl2br w:val="nil"/>
              <w:tr2bl w:val="nil"/>
            </w:tcBorders>
            <w:noWrap w:val="0"/>
            <w:vAlign w:val="center"/>
          </w:tcPr>
          <w:p w14:paraId="7B40ACF0">
            <w:pPr>
              <w:adjustRightInd w:val="0"/>
              <w:snapToGrid w:val="0"/>
              <w:jc w:val="center"/>
              <w:rPr>
                <w:rFonts w:hint="default" w:ascii="Times New Roman" w:hAnsi="Times New Roman" w:eastAsia="宋体" w:cs="Times New Roman"/>
                <w:color w:val="auto"/>
                <w:sz w:val="21"/>
                <w:szCs w:val="21"/>
                <w:u w:val="none" w:color="auto"/>
                <w:lang w:eastAsia="zh-CN"/>
              </w:rPr>
            </w:pPr>
            <w:r>
              <w:rPr>
                <w:rFonts w:hint="default" w:ascii="Times New Roman" w:hAnsi="Times New Roman" w:eastAsia="宋体" w:cs="Times New Roman"/>
                <w:color w:val="auto"/>
                <w:sz w:val="21"/>
                <w:szCs w:val="21"/>
                <w:u w:val="none" w:color="auto"/>
              </w:rPr>
              <w:t>计算法</w:t>
            </w:r>
            <w:r>
              <w:rPr>
                <w:rFonts w:hint="default" w:ascii="Times New Roman" w:hAnsi="Times New Roman" w:eastAsia="宋体" w:cs="Times New Roman"/>
                <w:color w:val="auto"/>
                <w:sz w:val="21"/>
                <w:szCs w:val="21"/>
                <w:u w:val="none" w:color="auto"/>
                <w:lang w:eastAsia="zh-CN"/>
              </w:rPr>
              <w:sym w:font="Wingdings 2" w:char="0052"/>
            </w:r>
          </w:p>
        </w:tc>
        <w:tc>
          <w:tcPr>
            <w:tcW w:w="982" w:type="pct"/>
            <w:gridSpan w:val="5"/>
            <w:tcBorders>
              <w:tl2br w:val="nil"/>
              <w:tr2bl w:val="nil"/>
            </w:tcBorders>
            <w:noWrap w:val="0"/>
            <w:vAlign w:val="center"/>
          </w:tcPr>
          <w:p w14:paraId="6B75E911">
            <w:pPr>
              <w:adjustRightInd w:val="0"/>
              <w:snapToGrid w:val="0"/>
              <w:jc w:val="center"/>
              <w:rPr>
                <w:rFonts w:hint="default" w:ascii="Times New Roman" w:hAnsi="Times New Roman" w:eastAsia="宋体" w:cs="Times New Roman"/>
                <w:color w:val="auto"/>
                <w:sz w:val="21"/>
                <w:szCs w:val="21"/>
                <w:u w:val="none" w:color="auto"/>
                <w:lang w:eastAsia="zh-CN"/>
              </w:rPr>
            </w:pPr>
            <w:r>
              <w:rPr>
                <w:rFonts w:hint="default" w:ascii="Times New Roman" w:hAnsi="Times New Roman" w:eastAsia="宋体" w:cs="Times New Roman"/>
                <w:color w:val="auto"/>
                <w:sz w:val="21"/>
                <w:szCs w:val="21"/>
                <w:u w:val="none" w:color="auto"/>
              </w:rPr>
              <w:t>经验估算法</w:t>
            </w:r>
            <w:r>
              <w:rPr>
                <w:rFonts w:hint="default" w:ascii="Times New Roman" w:hAnsi="Times New Roman" w:eastAsia="宋体" w:cs="Times New Roman"/>
                <w:color w:val="auto"/>
                <w:sz w:val="21"/>
                <w:szCs w:val="21"/>
                <w:u w:val="none" w:color="auto"/>
                <w:lang w:eastAsia="zh-CN"/>
              </w:rPr>
              <w:t>□</w:t>
            </w:r>
          </w:p>
        </w:tc>
        <w:tc>
          <w:tcPr>
            <w:tcW w:w="1200" w:type="pct"/>
            <w:gridSpan w:val="4"/>
            <w:tcBorders>
              <w:tl2br w:val="nil"/>
              <w:tr2bl w:val="nil"/>
            </w:tcBorders>
            <w:noWrap w:val="0"/>
            <w:vAlign w:val="center"/>
          </w:tcPr>
          <w:p w14:paraId="511285C5">
            <w:pPr>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其他估算法□</w:t>
            </w:r>
          </w:p>
        </w:tc>
      </w:tr>
      <w:tr w14:paraId="5429344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28" w:type="dxa"/>
            <w:left w:w="108" w:type="dxa"/>
            <w:bottom w:w="28" w:type="dxa"/>
            <w:right w:w="108" w:type="dxa"/>
          </w:tblCellMar>
        </w:tblPrEx>
        <w:trPr>
          <w:jc w:val="center"/>
        </w:trPr>
        <w:tc>
          <w:tcPr>
            <w:tcW w:w="249" w:type="pct"/>
            <w:vMerge w:val="restart"/>
            <w:tcBorders>
              <w:tl2br w:val="nil"/>
              <w:tr2bl w:val="nil"/>
            </w:tcBorders>
            <w:noWrap w:val="0"/>
            <w:vAlign w:val="center"/>
          </w:tcPr>
          <w:p w14:paraId="1D2AB9CE">
            <w:pPr>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风险预测与评价</w:t>
            </w:r>
          </w:p>
        </w:tc>
        <w:tc>
          <w:tcPr>
            <w:tcW w:w="422" w:type="pct"/>
            <w:gridSpan w:val="2"/>
            <w:vMerge w:val="restart"/>
            <w:tcBorders>
              <w:tl2br w:val="nil"/>
              <w:tr2bl w:val="nil"/>
            </w:tcBorders>
            <w:noWrap w:val="0"/>
            <w:vAlign w:val="center"/>
          </w:tcPr>
          <w:p w14:paraId="31A39A10">
            <w:pPr>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大气</w:t>
            </w:r>
          </w:p>
        </w:tc>
        <w:tc>
          <w:tcPr>
            <w:tcW w:w="750" w:type="pct"/>
            <w:gridSpan w:val="3"/>
            <w:tcBorders>
              <w:tl2br w:val="nil"/>
              <w:tr2bl w:val="nil"/>
            </w:tcBorders>
            <w:noWrap w:val="0"/>
            <w:vAlign w:val="center"/>
          </w:tcPr>
          <w:p w14:paraId="6B108306">
            <w:pPr>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预测模型</w:t>
            </w:r>
          </w:p>
        </w:tc>
        <w:tc>
          <w:tcPr>
            <w:tcW w:w="1394" w:type="pct"/>
            <w:gridSpan w:val="7"/>
            <w:tcBorders>
              <w:tl2br w:val="nil"/>
              <w:tr2bl w:val="nil"/>
            </w:tcBorders>
            <w:noWrap w:val="0"/>
            <w:vAlign w:val="center"/>
          </w:tcPr>
          <w:p w14:paraId="495D0639">
            <w:pPr>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SLAB□</w:t>
            </w:r>
          </w:p>
        </w:tc>
        <w:tc>
          <w:tcPr>
            <w:tcW w:w="982" w:type="pct"/>
            <w:gridSpan w:val="5"/>
            <w:tcBorders>
              <w:tl2br w:val="nil"/>
              <w:tr2bl w:val="nil"/>
            </w:tcBorders>
            <w:noWrap w:val="0"/>
            <w:vAlign w:val="center"/>
          </w:tcPr>
          <w:p w14:paraId="3244ADED">
            <w:pPr>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AFTOX</w:t>
            </w:r>
            <w:r>
              <w:rPr>
                <w:rFonts w:hint="default" w:ascii="Times New Roman" w:hAnsi="Times New Roman" w:eastAsia="宋体" w:cs="Times New Roman"/>
                <w:color w:val="auto"/>
                <w:sz w:val="21"/>
                <w:szCs w:val="21"/>
                <w:u w:val="none" w:color="auto"/>
              </w:rPr>
              <w:sym w:font="Wingdings 2" w:char="0052"/>
            </w:r>
          </w:p>
        </w:tc>
        <w:tc>
          <w:tcPr>
            <w:tcW w:w="1200" w:type="pct"/>
            <w:gridSpan w:val="4"/>
            <w:tcBorders>
              <w:tl2br w:val="nil"/>
              <w:tr2bl w:val="nil"/>
            </w:tcBorders>
            <w:noWrap w:val="0"/>
            <w:vAlign w:val="center"/>
          </w:tcPr>
          <w:p w14:paraId="3B02C5CC">
            <w:pPr>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其他□</w:t>
            </w:r>
          </w:p>
        </w:tc>
      </w:tr>
      <w:tr w14:paraId="6453DBD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28" w:type="dxa"/>
            <w:left w:w="108" w:type="dxa"/>
            <w:bottom w:w="28" w:type="dxa"/>
            <w:right w:w="108" w:type="dxa"/>
          </w:tblCellMar>
        </w:tblPrEx>
        <w:trPr>
          <w:jc w:val="center"/>
        </w:trPr>
        <w:tc>
          <w:tcPr>
            <w:tcW w:w="249" w:type="pct"/>
            <w:vMerge w:val="continue"/>
            <w:tcBorders>
              <w:tl2br w:val="nil"/>
              <w:tr2bl w:val="nil"/>
            </w:tcBorders>
            <w:noWrap w:val="0"/>
            <w:vAlign w:val="center"/>
          </w:tcPr>
          <w:p w14:paraId="17A21B02">
            <w:pPr>
              <w:widowControl/>
              <w:jc w:val="left"/>
              <w:rPr>
                <w:rFonts w:hint="default" w:ascii="Times New Roman" w:hAnsi="Times New Roman" w:eastAsia="宋体" w:cs="Times New Roman"/>
                <w:color w:val="auto"/>
                <w:sz w:val="21"/>
                <w:szCs w:val="21"/>
                <w:u w:val="none" w:color="auto"/>
              </w:rPr>
            </w:pPr>
          </w:p>
        </w:tc>
        <w:tc>
          <w:tcPr>
            <w:tcW w:w="422" w:type="pct"/>
            <w:gridSpan w:val="2"/>
            <w:vMerge w:val="continue"/>
            <w:tcBorders>
              <w:tl2br w:val="nil"/>
              <w:tr2bl w:val="nil"/>
            </w:tcBorders>
            <w:noWrap w:val="0"/>
            <w:vAlign w:val="center"/>
          </w:tcPr>
          <w:p w14:paraId="43899FE0">
            <w:pPr>
              <w:widowControl/>
              <w:jc w:val="left"/>
              <w:rPr>
                <w:rFonts w:hint="default" w:ascii="Times New Roman" w:hAnsi="Times New Roman" w:eastAsia="宋体" w:cs="Times New Roman"/>
                <w:color w:val="auto"/>
                <w:sz w:val="21"/>
                <w:szCs w:val="21"/>
                <w:u w:val="none" w:color="auto"/>
              </w:rPr>
            </w:pPr>
          </w:p>
        </w:tc>
        <w:tc>
          <w:tcPr>
            <w:tcW w:w="750" w:type="pct"/>
            <w:gridSpan w:val="3"/>
            <w:vMerge w:val="restart"/>
            <w:tcBorders>
              <w:tl2br w:val="nil"/>
              <w:tr2bl w:val="nil"/>
            </w:tcBorders>
            <w:noWrap w:val="0"/>
            <w:vAlign w:val="center"/>
          </w:tcPr>
          <w:p w14:paraId="6702073B">
            <w:pPr>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预测结果</w:t>
            </w:r>
          </w:p>
        </w:tc>
        <w:tc>
          <w:tcPr>
            <w:tcW w:w="1394" w:type="pct"/>
            <w:gridSpan w:val="7"/>
            <w:vMerge w:val="restart"/>
            <w:tcBorders>
              <w:tl2br w:val="nil"/>
              <w:tr2bl w:val="nil"/>
            </w:tcBorders>
            <w:noWrap w:val="0"/>
            <w:vAlign w:val="center"/>
          </w:tcPr>
          <w:p w14:paraId="658B3AE3">
            <w:pPr>
              <w:adjustRightInd w:val="0"/>
              <w:snapToGrid w:val="0"/>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u w:val="none" w:color="auto"/>
                <w:lang w:eastAsia="zh-CN"/>
              </w:rPr>
              <w:t>天然气管道</w:t>
            </w:r>
            <w:r>
              <w:rPr>
                <w:rFonts w:hint="default" w:ascii="Times New Roman" w:hAnsi="Times New Roman" w:eastAsia="宋体" w:cs="Times New Roman"/>
                <w:color w:val="auto"/>
                <w:u w:val="none" w:color="auto"/>
              </w:rPr>
              <w:t>泄漏后</w:t>
            </w:r>
            <w:r>
              <w:rPr>
                <w:rFonts w:hint="default" w:ascii="Times New Roman" w:hAnsi="Times New Roman" w:eastAsia="宋体" w:cs="Times New Roman"/>
                <w:color w:val="auto"/>
                <w:u w:val="none" w:color="auto"/>
                <w:lang w:eastAsia="zh-CN"/>
              </w:rPr>
              <w:t>天然气（以甲烷表征）</w:t>
            </w:r>
            <w:r>
              <w:rPr>
                <w:rFonts w:hint="default" w:ascii="Times New Roman" w:hAnsi="Times New Roman" w:eastAsia="宋体" w:cs="Times New Roman"/>
                <w:color w:val="auto"/>
                <w:u w:val="none" w:color="auto"/>
              </w:rPr>
              <w:t>排放</w:t>
            </w:r>
          </w:p>
        </w:tc>
        <w:tc>
          <w:tcPr>
            <w:tcW w:w="2182" w:type="pct"/>
            <w:gridSpan w:val="9"/>
            <w:tcBorders>
              <w:tl2br w:val="nil"/>
              <w:tr2bl w:val="nil"/>
            </w:tcBorders>
            <w:noWrap w:val="0"/>
            <w:vAlign w:val="center"/>
          </w:tcPr>
          <w:p w14:paraId="1F9E9D73">
            <w:pPr>
              <w:adjustRightInd w:val="0"/>
              <w:snapToGrid w:val="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 xml:space="preserve">大气毒性终点浓度-1 最大影响范围 </w:t>
            </w:r>
            <w:r>
              <w:rPr>
                <w:rFonts w:hint="default" w:ascii="Times New Roman" w:hAnsi="Times New Roman" w:eastAsia="宋体" w:cs="Times New Roman"/>
                <w:color w:val="auto"/>
                <w:sz w:val="21"/>
                <w:szCs w:val="21"/>
                <w:u w:val="none" w:color="auto"/>
                <w:lang w:val="en-US" w:eastAsia="zh-CN"/>
              </w:rPr>
              <w:t>/</w:t>
            </w:r>
            <w:r>
              <w:rPr>
                <w:rFonts w:hint="default" w:ascii="Times New Roman" w:hAnsi="Times New Roman" w:eastAsia="宋体" w:cs="Times New Roman"/>
                <w:color w:val="auto"/>
                <w:sz w:val="21"/>
                <w:szCs w:val="21"/>
                <w:u w:val="none" w:color="auto"/>
              </w:rPr>
              <w:t xml:space="preserve"> m</w:t>
            </w:r>
          </w:p>
        </w:tc>
      </w:tr>
      <w:tr w14:paraId="47915D9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28" w:type="dxa"/>
            <w:left w:w="108" w:type="dxa"/>
            <w:bottom w:w="28" w:type="dxa"/>
            <w:right w:w="108" w:type="dxa"/>
          </w:tblCellMar>
        </w:tblPrEx>
        <w:trPr>
          <w:jc w:val="center"/>
        </w:trPr>
        <w:tc>
          <w:tcPr>
            <w:tcW w:w="249" w:type="pct"/>
            <w:vMerge w:val="continue"/>
            <w:tcBorders>
              <w:tl2br w:val="nil"/>
              <w:tr2bl w:val="nil"/>
            </w:tcBorders>
            <w:noWrap w:val="0"/>
            <w:vAlign w:val="center"/>
          </w:tcPr>
          <w:p w14:paraId="141D8FF9">
            <w:pPr>
              <w:widowControl/>
              <w:jc w:val="left"/>
              <w:rPr>
                <w:rFonts w:hint="default" w:ascii="Times New Roman" w:hAnsi="Times New Roman" w:eastAsia="宋体" w:cs="Times New Roman"/>
                <w:color w:val="auto"/>
                <w:sz w:val="21"/>
                <w:szCs w:val="21"/>
                <w:u w:val="none" w:color="auto"/>
              </w:rPr>
            </w:pPr>
          </w:p>
        </w:tc>
        <w:tc>
          <w:tcPr>
            <w:tcW w:w="422" w:type="pct"/>
            <w:gridSpan w:val="2"/>
            <w:vMerge w:val="continue"/>
            <w:tcBorders>
              <w:tl2br w:val="nil"/>
              <w:tr2bl w:val="nil"/>
            </w:tcBorders>
            <w:noWrap w:val="0"/>
            <w:vAlign w:val="center"/>
          </w:tcPr>
          <w:p w14:paraId="13834DC5">
            <w:pPr>
              <w:widowControl/>
              <w:jc w:val="left"/>
              <w:rPr>
                <w:rFonts w:hint="default" w:ascii="Times New Roman" w:hAnsi="Times New Roman" w:eastAsia="宋体" w:cs="Times New Roman"/>
                <w:color w:val="auto"/>
                <w:sz w:val="21"/>
                <w:szCs w:val="21"/>
                <w:u w:val="none" w:color="auto"/>
              </w:rPr>
            </w:pPr>
          </w:p>
        </w:tc>
        <w:tc>
          <w:tcPr>
            <w:tcW w:w="750" w:type="pct"/>
            <w:gridSpan w:val="3"/>
            <w:vMerge w:val="continue"/>
            <w:tcBorders>
              <w:tl2br w:val="nil"/>
              <w:tr2bl w:val="nil"/>
            </w:tcBorders>
            <w:noWrap w:val="0"/>
            <w:vAlign w:val="center"/>
          </w:tcPr>
          <w:p w14:paraId="782B3344">
            <w:pPr>
              <w:widowControl/>
              <w:jc w:val="left"/>
              <w:rPr>
                <w:rFonts w:hint="default" w:ascii="Times New Roman" w:hAnsi="Times New Roman" w:eastAsia="宋体" w:cs="Times New Roman"/>
                <w:color w:val="auto"/>
                <w:sz w:val="21"/>
                <w:szCs w:val="21"/>
                <w:u w:val="none" w:color="auto"/>
              </w:rPr>
            </w:pPr>
          </w:p>
        </w:tc>
        <w:tc>
          <w:tcPr>
            <w:tcW w:w="1394" w:type="pct"/>
            <w:gridSpan w:val="7"/>
            <w:vMerge w:val="continue"/>
            <w:tcBorders>
              <w:tl2br w:val="nil"/>
              <w:tr2bl w:val="nil"/>
            </w:tcBorders>
            <w:noWrap w:val="0"/>
            <w:vAlign w:val="center"/>
          </w:tcPr>
          <w:p w14:paraId="003A0E2E">
            <w:pPr>
              <w:adjustRightInd w:val="0"/>
              <w:snapToGrid w:val="0"/>
              <w:jc w:val="center"/>
              <w:rPr>
                <w:rFonts w:hint="default" w:ascii="Times New Roman" w:hAnsi="Times New Roman" w:eastAsia="宋体" w:cs="Times New Roman"/>
                <w:color w:val="auto"/>
                <w:sz w:val="21"/>
                <w:szCs w:val="21"/>
                <w:u w:val="none" w:color="auto"/>
              </w:rPr>
            </w:pPr>
          </w:p>
        </w:tc>
        <w:tc>
          <w:tcPr>
            <w:tcW w:w="2182" w:type="pct"/>
            <w:gridSpan w:val="9"/>
            <w:tcBorders>
              <w:tl2br w:val="nil"/>
              <w:tr2bl w:val="nil"/>
            </w:tcBorders>
            <w:noWrap w:val="0"/>
            <w:vAlign w:val="center"/>
          </w:tcPr>
          <w:p w14:paraId="3DC21B3D">
            <w:pPr>
              <w:adjustRightInd w:val="0"/>
              <w:snapToGrid w:val="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 xml:space="preserve">大气毒性终点浓度-2 最大影响范围 </w:t>
            </w:r>
            <w:r>
              <w:rPr>
                <w:rFonts w:hint="default" w:ascii="Times New Roman" w:hAnsi="Times New Roman" w:eastAsia="宋体" w:cs="Times New Roman"/>
                <w:color w:val="auto"/>
                <w:sz w:val="21"/>
                <w:szCs w:val="21"/>
                <w:u w:val="none" w:color="auto"/>
                <w:lang w:val="en-US" w:eastAsia="zh-CN"/>
              </w:rPr>
              <w:t>/</w:t>
            </w:r>
            <w:r>
              <w:rPr>
                <w:rFonts w:hint="default" w:ascii="Times New Roman" w:hAnsi="Times New Roman" w:eastAsia="宋体" w:cs="Times New Roman"/>
                <w:color w:val="auto"/>
                <w:sz w:val="21"/>
                <w:szCs w:val="21"/>
                <w:u w:val="none" w:color="auto"/>
              </w:rPr>
              <w:t xml:space="preserve"> m</w:t>
            </w:r>
          </w:p>
        </w:tc>
      </w:tr>
      <w:tr w14:paraId="7AC828F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28" w:type="dxa"/>
            <w:left w:w="108" w:type="dxa"/>
            <w:bottom w:w="28" w:type="dxa"/>
            <w:right w:w="108" w:type="dxa"/>
          </w:tblCellMar>
        </w:tblPrEx>
        <w:trPr>
          <w:jc w:val="center"/>
        </w:trPr>
        <w:tc>
          <w:tcPr>
            <w:tcW w:w="249" w:type="pct"/>
            <w:vMerge w:val="continue"/>
            <w:tcBorders>
              <w:tl2br w:val="nil"/>
              <w:tr2bl w:val="nil"/>
            </w:tcBorders>
            <w:noWrap w:val="0"/>
            <w:vAlign w:val="center"/>
          </w:tcPr>
          <w:p w14:paraId="012FEE9F">
            <w:pPr>
              <w:widowControl/>
              <w:jc w:val="left"/>
              <w:rPr>
                <w:rFonts w:hint="default" w:ascii="Times New Roman" w:hAnsi="Times New Roman" w:eastAsia="宋体" w:cs="Times New Roman"/>
                <w:color w:val="auto"/>
                <w:sz w:val="21"/>
                <w:szCs w:val="21"/>
                <w:u w:val="none" w:color="auto"/>
              </w:rPr>
            </w:pPr>
          </w:p>
        </w:tc>
        <w:tc>
          <w:tcPr>
            <w:tcW w:w="422" w:type="pct"/>
            <w:gridSpan w:val="2"/>
            <w:vMerge w:val="continue"/>
            <w:tcBorders>
              <w:tl2br w:val="nil"/>
              <w:tr2bl w:val="nil"/>
            </w:tcBorders>
            <w:noWrap w:val="0"/>
            <w:vAlign w:val="center"/>
          </w:tcPr>
          <w:p w14:paraId="765FF28D">
            <w:pPr>
              <w:widowControl/>
              <w:jc w:val="left"/>
              <w:rPr>
                <w:rFonts w:hint="default" w:ascii="Times New Roman" w:hAnsi="Times New Roman" w:eastAsia="宋体" w:cs="Times New Roman"/>
                <w:color w:val="auto"/>
                <w:sz w:val="21"/>
                <w:szCs w:val="21"/>
                <w:u w:val="none" w:color="auto"/>
              </w:rPr>
            </w:pPr>
          </w:p>
        </w:tc>
        <w:tc>
          <w:tcPr>
            <w:tcW w:w="750" w:type="pct"/>
            <w:gridSpan w:val="3"/>
            <w:vMerge w:val="continue"/>
            <w:tcBorders>
              <w:tl2br w:val="nil"/>
              <w:tr2bl w:val="nil"/>
            </w:tcBorders>
            <w:noWrap w:val="0"/>
            <w:vAlign w:val="center"/>
          </w:tcPr>
          <w:p w14:paraId="6BEF1257">
            <w:pPr>
              <w:widowControl/>
              <w:jc w:val="left"/>
              <w:rPr>
                <w:rFonts w:hint="default" w:ascii="Times New Roman" w:hAnsi="Times New Roman" w:eastAsia="宋体" w:cs="Times New Roman"/>
                <w:color w:val="auto"/>
                <w:sz w:val="21"/>
                <w:szCs w:val="21"/>
                <w:u w:val="none" w:color="auto"/>
              </w:rPr>
            </w:pPr>
          </w:p>
        </w:tc>
        <w:tc>
          <w:tcPr>
            <w:tcW w:w="1394" w:type="pct"/>
            <w:gridSpan w:val="7"/>
            <w:vMerge w:val="restart"/>
            <w:tcBorders>
              <w:tl2br w:val="nil"/>
              <w:tr2bl w:val="nil"/>
            </w:tcBorders>
            <w:noWrap w:val="0"/>
            <w:vAlign w:val="center"/>
          </w:tcPr>
          <w:p w14:paraId="04F98D3D">
            <w:pPr>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highlight w:val="none"/>
                <w:u w:val="none" w:color="auto"/>
                <w:lang w:eastAsia="zh-CN"/>
              </w:rPr>
              <w:t>天然气管道</w:t>
            </w:r>
            <w:r>
              <w:rPr>
                <w:rFonts w:hint="default" w:ascii="Times New Roman" w:hAnsi="Times New Roman" w:eastAsia="宋体" w:cs="Times New Roman"/>
                <w:color w:val="auto"/>
                <w:highlight w:val="none"/>
                <w:u w:val="none" w:color="auto"/>
              </w:rPr>
              <w:t>泄漏后</w:t>
            </w:r>
            <w:r>
              <w:rPr>
                <w:rFonts w:hint="default" w:ascii="Times New Roman" w:hAnsi="Times New Roman" w:eastAsia="宋体" w:cs="Times New Roman"/>
                <w:color w:val="auto"/>
                <w:highlight w:val="none"/>
                <w:u w:val="none" w:color="auto"/>
                <w:lang w:eastAsia="zh-CN"/>
              </w:rPr>
              <w:t>天然气（以甲烷表征）</w:t>
            </w:r>
            <w:r>
              <w:rPr>
                <w:rFonts w:hint="default" w:ascii="Times New Roman" w:hAnsi="Times New Roman" w:eastAsia="宋体" w:cs="Times New Roman"/>
                <w:color w:val="auto"/>
                <w:highlight w:val="none"/>
                <w:u w:val="none" w:color="auto"/>
              </w:rPr>
              <w:t>火灾/爆炸事故产生的CO排放</w:t>
            </w:r>
          </w:p>
        </w:tc>
        <w:tc>
          <w:tcPr>
            <w:tcW w:w="2182" w:type="pct"/>
            <w:gridSpan w:val="9"/>
            <w:tcBorders>
              <w:tl2br w:val="nil"/>
              <w:tr2bl w:val="nil"/>
            </w:tcBorders>
            <w:noWrap w:val="0"/>
            <w:vAlign w:val="center"/>
          </w:tcPr>
          <w:p w14:paraId="1E2E1F9E">
            <w:pPr>
              <w:adjustRightInd w:val="0"/>
              <w:snapToGrid w:val="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 xml:space="preserve">大气毒性终点浓度-1 最大影响范围 </w:t>
            </w:r>
            <w:r>
              <w:rPr>
                <w:rFonts w:hint="default" w:ascii="Times New Roman" w:hAnsi="Times New Roman" w:eastAsia="宋体" w:cs="Times New Roman"/>
                <w:color w:val="auto"/>
                <w:sz w:val="21"/>
                <w:szCs w:val="21"/>
                <w:u w:val="none" w:color="auto"/>
                <w:lang w:val="en-US" w:eastAsia="zh-CN"/>
              </w:rPr>
              <w:t>1030</w:t>
            </w:r>
            <w:r>
              <w:rPr>
                <w:rFonts w:hint="default" w:ascii="Times New Roman" w:hAnsi="Times New Roman" w:eastAsia="宋体" w:cs="Times New Roman"/>
                <w:color w:val="auto"/>
                <w:sz w:val="21"/>
                <w:szCs w:val="21"/>
                <w:u w:val="none" w:color="auto"/>
              </w:rPr>
              <w:t xml:space="preserve"> m</w:t>
            </w:r>
          </w:p>
        </w:tc>
      </w:tr>
      <w:tr w14:paraId="287D43C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28" w:type="dxa"/>
            <w:left w:w="108" w:type="dxa"/>
            <w:bottom w:w="28" w:type="dxa"/>
            <w:right w:w="108" w:type="dxa"/>
          </w:tblCellMar>
        </w:tblPrEx>
        <w:trPr>
          <w:jc w:val="center"/>
        </w:trPr>
        <w:tc>
          <w:tcPr>
            <w:tcW w:w="249" w:type="pct"/>
            <w:vMerge w:val="continue"/>
            <w:tcBorders>
              <w:tl2br w:val="nil"/>
              <w:tr2bl w:val="nil"/>
            </w:tcBorders>
            <w:noWrap w:val="0"/>
            <w:vAlign w:val="center"/>
          </w:tcPr>
          <w:p w14:paraId="771008C3">
            <w:pPr>
              <w:widowControl/>
              <w:jc w:val="left"/>
              <w:rPr>
                <w:rFonts w:hint="default" w:ascii="Times New Roman" w:hAnsi="Times New Roman" w:eastAsia="宋体" w:cs="Times New Roman"/>
                <w:color w:val="auto"/>
                <w:sz w:val="21"/>
                <w:szCs w:val="21"/>
                <w:u w:val="none" w:color="auto"/>
              </w:rPr>
            </w:pPr>
          </w:p>
        </w:tc>
        <w:tc>
          <w:tcPr>
            <w:tcW w:w="422" w:type="pct"/>
            <w:gridSpan w:val="2"/>
            <w:vMerge w:val="continue"/>
            <w:tcBorders>
              <w:tl2br w:val="nil"/>
              <w:tr2bl w:val="nil"/>
            </w:tcBorders>
            <w:noWrap w:val="0"/>
            <w:vAlign w:val="center"/>
          </w:tcPr>
          <w:p w14:paraId="1F6A84D4">
            <w:pPr>
              <w:widowControl/>
              <w:jc w:val="left"/>
              <w:rPr>
                <w:rFonts w:hint="default" w:ascii="Times New Roman" w:hAnsi="Times New Roman" w:eastAsia="宋体" w:cs="Times New Roman"/>
                <w:color w:val="auto"/>
                <w:sz w:val="21"/>
                <w:szCs w:val="21"/>
                <w:u w:val="none" w:color="auto"/>
              </w:rPr>
            </w:pPr>
          </w:p>
        </w:tc>
        <w:tc>
          <w:tcPr>
            <w:tcW w:w="750" w:type="pct"/>
            <w:gridSpan w:val="3"/>
            <w:vMerge w:val="continue"/>
            <w:tcBorders>
              <w:tl2br w:val="nil"/>
              <w:tr2bl w:val="nil"/>
            </w:tcBorders>
            <w:noWrap w:val="0"/>
            <w:vAlign w:val="center"/>
          </w:tcPr>
          <w:p w14:paraId="15B1FAC9">
            <w:pPr>
              <w:widowControl/>
              <w:jc w:val="left"/>
              <w:rPr>
                <w:rFonts w:hint="default" w:ascii="Times New Roman" w:hAnsi="Times New Roman" w:eastAsia="宋体" w:cs="Times New Roman"/>
                <w:color w:val="auto"/>
                <w:sz w:val="21"/>
                <w:szCs w:val="21"/>
                <w:u w:val="none" w:color="auto"/>
              </w:rPr>
            </w:pPr>
          </w:p>
        </w:tc>
        <w:tc>
          <w:tcPr>
            <w:tcW w:w="1394" w:type="pct"/>
            <w:gridSpan w:val="7"/>
            <w:vMerge w:val="continue"/>
            <w:tcBorders>
              <w:tl2br w:val="nil"/>
              <w:tr2bl w:val="nil"/>
            </w:tcBorders>
            <w:noWrap w:val="0"/>
            <w:vAlign w:val="center"/>
          </w:tcPr>
          <w:p w14:paraId="3D5B172F">
            <w:pPr>
              <w:adjustRightInd w:val="0"/>
              <w:snapToGrid w:val="0"/>
              <w:jc w:val="center"/>
              <w:rPr>
                <w:rFonts w:hint="default" w:ascii="Times New Roman" w:hAnsi="Times New Roman" w:eastAsia="宋体" w:cs="Times New Roman"/>
                <w:color w:val="auto"/>
                <w:sz w:val="21"/>
                <w:szCs w:val="21"/>
                <w:u w:val="none" w:color="auto"/>
              </w:rPr>
            </w:pPr>
          </w:p>
        </w:tc>
        <w:tc>
          <w:tcPr>
            <w:tcW w:w="2182" w:type="pct"/>
            <w:gridSpan w:val="9"/>
            <w:tcBorders>
              <w:tl2br w:val="nil"/>
              <w:tr2bl w:val="nil"/>
            </w:tcBorders>
            <w:noWrap w:val="0"/>
            <w:vAlign w:val="center"/>
          </w:tcPr>
          <w:p w14:paraId="564E872A">
            <w:pPr>
              <w:adjustRightInd w:val="0"/>
              <w:snapToGrid w:val="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rPr>
              <w:t xml:space="preserve">大气毒性终点浓度-2 最大影响范围 </w:t>
            </w:r>
            <w:r>
              <w:rPr>
                <w:rFonts w:hint="default" w:ascii="Times New Roman" w:hAnsi="Times New Roman" w:eastAsia="宋体" w:cs="Times New Roman"/>
                <w:color w:val="auto"/>
                <w:sz w:val="21"/>
                <w:szCs w:val="21"/>
                <w:u w:val="none" w:color="auto"/>
                <w:lang w:val="en-US" w:eastAsia="zh-CN"/>
              </w:rPr>
              <w:t>2850</w:t>
            </w:r>
            <w:r>
              <w:rPr>
                <w:rFonts w:hint="default" w:ascii="Times New Roman" w:hAnsi="Times New Roman" w:eastAsia="宋体" w:cs="Times New Roman"/>
                <w:color w:val="auto"/>
                <w:sz w:val="21"/>
                <w:szCs w:val="21"/>
                <w:u w:val="none" w:color="auto"/>
              </w:rPr>
              <w:t xml:space="preserve"> m</w:t>
            </w:r>
          </w:p>
        </w:tc>
      </w:tr>
      <w:tr w14:paraId="2AB700A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28" w:type="dxa"/>
            <w:left w:w="108" w:type="dxa"/>
            <w:bottom w:w="28" w:type="dxa"/>
            <w:right w:w="108" w:type="dxa"/>
          </w:tblCellMar>
        </w:tblPrEx>
        <w:trPr>
          <w:jc w:val="center"/>
        </w:trPr>
        <w:tc>
          <w:tcPr>
            <w:tcW w:w="249" w:type="pct"/>
            <w:vMerge w:val="continue"/>
            <w:tcBorders>
              <w:tl2br w:val="nil"/>
              <w:tr2bl w:val="nil"/>
            </w:tcBorders>
            <w:noWrap w:val="0"/>
            <w:vAlign w:val="center"/>
          </w:tcPr>
          <w:p w14:paraId="7DEFBDE7">
            <w:pPr>
              <w:widowControl/>
              <w:jc w:val="left"/>
              <w:rPr>
                <w:rFonts w:hint="default" w:ascii="Times New Roman" w:hAnsi="Times New Roman" w:eastAsia="宋体" w:cs="Times New Roman"/>
                <w:color w:val="auto"/>
                <w:sz w:val="21"/>
                <w:szCs w:val="21"/>
                <w:u w:val="none" w:color="auto"/>
              </w:rPr>
            </w:pPr>
          </w:p>
        </w:tc>
        <w:tc>
          <w:tcPr>
            <w:tcW w:w="422" w:type="pct"/>
            <w:gridSpan w:val="2"/>
            <w:tcBorders>
              <w:tl2br w:val="nil"/>
              <w:tr2bl w:val="nil"/>
            </w:tcBorders>
            <w:noWrap w:val="0"/>
            <w:vAlign w:val="center"/>
          </w:tcPr>
          <w:p w14:paraId="64E03EF6">
            <w:pPr>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地表水</w:t>
            </w:r>
          </w:p>
        </w:tc>
        <w:tc>
          <w:tcPr>
            <w:tcW w:w="4327" w:type="pct"/>
            <w:gridSpan w:val="19"/>
            <w:tcBorders>
              <w:tl2br w:val="nil"/>
              <w:tr2bl w:val="nil"/>
            </w:tcBorders>
            <w:noWrap w:val="0"/>
            <w:vAlign w:val="center"/>
          </w:tcPr>
          <w:p w14:paraId="7A4DDF3A">
            <w:pPr>
              <w:adjustRightInd w:val="0"/>
              <w:snapToGrid w:val="0"/>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rPr>
              <w:t>最近环境敏感目标</w:t>
            </w:r>
            <w:r>
              <w:rPr>
                <w:rFonts w:hint="default" w:ascii="Times New Roman" w:hAnsi="Times New Roman" w:eastAsia="宋体" w:cs="Times New Roman"/>
                <w:color w:val="auto"/>
                <w:sz w:val="21"/>
                <w:szCs w:val="21"/>
                <w:u w:val="none" w:color="auto"/>
                <w:lang w:val="en-US" w:eastAsia="zh-CN"/>
              </w:rPr>
              <w:t>长江岳阳段及洞庭湖口铜鱼短颌鲚水产种质资源保护区</w:t>
            </w:r>
            <w:r>
              <w:rPr>
                <w:rFonts w:hint="default" w:ascii="Times New Roman" w:hAnsi="Times New Roman" w:eastAsia="宋体" w:cs="Times New Roman"/>
                <w:color w:val="auto"/>
                <w:sz w:val="21"/>
                <w:szCs w:val="21"/>
                <w:u w:val="none" w:color="auto"/>
              </w:rPr>
              <w:t>，达到时间</w:t>
            </w:r>
            <w:r>
              <w:rPr>
                <w:rFonts w:hint="default" w:ascii="Times New Roman" w:hAnsi="Times New Roman" w:eastAsia="宋体" w:cs="Times New Roman"/>
                <w:color w:val="auto"/>
                <w:sz w:val="21"/>
                <w:szCs w:val="21"/>
                <w:u w:val="none" w:color="auto"/>
                <w:lang w:val="en-US" w:eastAsia="zh-CN"/>
              </w:rPr>
              <w:t>7min；</w:t>
            </w:r>
          </w:p>
          <w:p w14:paraId="5CFAF1E0">
            <w:pPr>
              <w:adjustRightInd w:val="0"/>
              <w:snapToGrid w:val="0"/>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rPr>
              <w:t>最近环境敏感目标</w:t>
            </w:r>
            <w:r>
              <w:rPr>
                <w:rFonts w:hint="default" w:ascii="Times New Roman" w:hAnsi="Times New Roman" w:eastAsia="宋体" w:cs="Times New Roman"/>
                <w:color w:val="auto"/>
                <w:sz w:val="21"/>
                <w:szCs w:val="21"/>
                <w:u w:val="none" w:color="auto"/>
                <w:lang w:val="en-US" w:eastAsia="zh-CN"/>
              </w:rPr>
              <w:t>长江监利段四大家鱼国家级水产种质资源保护区</w:t>
            </w:r>
            <w:r>
              <w:rPr>
                <w:rFonts w:hint="default" w:ascii="Times New Roman" w:hAnsi="Times New Roman" w:eastAsia="宋体" w:cs="Times New Roman"/>
                <w:color w:val="auto"/>
                <w:sz w:val="21"/>
                <w:szCs w:val="21"/>
                <w:u w:val="none" w:color="auto"/>
              </w:rPr>
              <w:t>，达到时间</w:t>
            </w:r>
            <w:r>
              <w:rPr>
                <w:rFonts w:hint="default" w:ascii="Times New Roman" w:hAnsi="Times New Roman" w:eastAsia="宋体" w:cs="Times New Roman"/>
                <w:color w:val="auto"/>
                <w:sz w:val="21"/>
                <w:szCs w:val="21"/>
                <w:u w:val="none" w:color="auto"/>
                <w:lang w:val="en-US" w:eastAsia="zh-CN"/>
              </w:rPr>
              <w:t>24min；</w:t>
            </w:r>
          </w:p>
          <w:p w14:paraId="04CFDBA6">
            <w:pPr>
              <w:adjustRightInd w:val="0"/>
              <w:snapToGrid w:val="0"/>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rPr>
              <w:t>最近环境敏感目标</w:t>
            </w:r>
            <w:r>
              <w:rPr>
                <w:rFonts w:hint="default" w:ascii="Times New Roman" w:hAnsi="Times New Roman" w:eastAsia="宋体" w:cs="Times New Roman"/>
                <w:color w:val="auto"/>
                <w:sz w:val="21"/>
                <w:szCs w:val="21"/>
                <w:u w:val="none" w:color="auto"/>
                <w:lang w:val="en-US" w:eastAsia="zh-CN"/>
              </w:rPr>
              <w:t>岳阳市云溪区道仁矶水厂长江取水口周边</w:t>
            </w:r>
            <w:r>
              <w:rPr>
                <w:rFonts w:hint="default" w:ascii="Times New Roman" w:hAnsi="Times New Roman" w:eastAsia="宋体" w:cs="Times New Roman"/>
                <w:color w:val="auto"/>
                <w:sz w:val="21"/>
                <w:szCs w:val="21"/>
                <w:u w:val="none" w:color="auto"/>
              </w:rPr>
              <w:t>，达到时间</w:t>
            </w:r>
            <w:r>
              <w:rPr>
                <w:rFonts w:hint="default" w:ascii="Times New Roman" w:hAnsi="Times New Roman" w:eastAsia="宋体" w:cs="Times New Roman"/>
                <w:color w:val="auto"/>
                <w:sz w:val="21"/>
                <w:szCs w:val="21"/>
                <w:u w:val="none" w:color="auto"/>
                <w:lang w:val="en-US" w:eastAsia="zh-CN"/>
              </w:rPr>
              <w:t>45min；</w:t>
            </w:r>
          </w:p>
        </w:tc>
      </w:tr>
      <w:tr w14:paraId="632D5B3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28" w:type="dxa"/>
            <w:left w:w="108" w:type="dxa"/>
            <w:bottom w:w="28" w:type="dxa"/>
            <w:right w:w="108" w:type="dxa"/>
          </w:tblCellMar>
        </w:tblPrEx>
        <w:trPr>
          <w:jc w:val="center"/>
        </w:trPr>
        <w:tc>
          <w:tcPr>
            <w:tcW w:w="249" w:type="pct"/>
            <w:vMerge w:val="continue"/>
            <w:tcBorders>
              <w:tl2br w:val="nil"/>
              <w:tr2bl w:val="nil"/>
            </w:tcBorders>
            <w:noWrap w:val="0"/>
            <w:vAlign w:val="center"/>
          </w:tcPr>
          <w:p w14:paraId="575B2FB5">
            <w:pPr>
              <w:widowControl/>
              <w:jc w:val="left"/>
              <w:rPr>
                <w:rFonts w:hint="default" w:ascii="Times New Roman" w:hAnsi="Times New Roman" w:eastAsia="宋体" w:cs="Times New Roman"/>
                <w:color w:val="auto"/>
                <w:sz w:val="21"/>
                <w:szCs w:val="21"/>
                <w:u w:val="none" w:color="auto"/>
              </w:rPr>
            </w:pPr>
          </w:p>
        </w:tc>
        <w:tc>
          <w:tcPr>
            <w:tcW w:w="422" w:type="pct"/>
            <w:gridSpan w:val="2"/>
            <w:vMerge w:val="restart"/>
            <w:tcBorders>
              <w:tl2br w:val="nil"/>
              <w:tr2bl w:val="nil"/>
            </w:tcBorders>
            <w:noWrap w:val="0"/>
            <w:vAlign w:val="center"/>
          </w:tcPr>
          <w:p w14:paraId="752C19C2">
            <w:pPr>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地下水</w:t>
            </w:r>
          </w:p>
        </w:tc>
        <w:tc>
          <w:tcPr>
            <w:tcW w:w="4327" w:type="pct"/>
            <w:gridSpan w:val="19"/>
            <w:tcBorders>
              <w:tl2br w:val="nil"/>
              <w:tr2bl w:val="nil"/>
            </w:tcBorders>
            <w:noWrap w:val="0"/>
            <w:vAlign w:val="center"/>
          </w:tcPr>
          <w:p w14:paraId="4476472B">
            <w:pPr>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下游厂区边界到达时间</w:t>
            </w:r>
            <w:r>
              <w:rPr>
                <w:rFonts w:hint="default" w:ascii="Times New Roman" w:hAnsi="Times New Roman" w:eastAsia="宋体" w:cs="Times New Roman"/>
                <w:color w:val="auto"/>
                <w:sz w:val="21"/>
                <w:szCs w:val="21"/>
                <w:u w:val="none" w:color="auto"/>
                <w:lang w:val="en-US" w:eastAsia="zh-CN"/>
              </w:rPr>
              <w:t>/</w:t>
            </w:r>
            <w:r>
              <w:rPr>
                <w:rFonts w:hint="default" w:ascii="Times New Roman" w:hAnsi="Times New Roman" w:eastAsia="宋体" w:cs="Times New Roman"/>
                <w:color w:val="auto"/>
                <w:sz w:val="21"/>
                <w:szCs w:val="21"/>
                <w:u w:val="none" w:color="auto"/>
              </w:rPr>
              <w:t>d</w:t>
            </w:r>
          </w:p>
        </w:tc>
      </w:tr>
      <w:tr w14:paraId="457DAC0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28" w:type="dxa"/>
            <w:left w:w="108" w:type="dxa"/>
            <w:bottom w:w="28" w:type="dxa"/>
            <w:right w:w="108" w:type="dxa"/>
          </w:tblCellMar>
        </w:tblPrEx>
        <w:trPr>
          <w:jc w:val="center"/>
        </w:trPr>
        <w:tc>
          <w:tcPr>
            <w:tcW w:w="249" w:type="pct"/>
            <w:vMerge w:val="continue"/>
            <w:tcBorders>
              <w:tl2br w:val="nil"/>
              <w:tr2bl w:val="nil"/>
            </w:tcBorders>
            <w:noWrap w:val="0"/>
            <w:vAlign w:val="center"/>
          </w:tcPr>
          <w:p w14:paraId="7D83FE1A">
            <w:pPr>
              <w:widowControl/>
              <w:jc w:val="left"/>
              <w:rPr>
                <w:rFonts w:hint="default" w:ascii="Times New Roman" w:hAnsi="Times New Roman" w:eastAsia="宋体" w:cs="Times New Roman"/>
                <w:color w:val="auto"/>
                <w:sz w:val="21"/>
                <w:szCs w:val="21"/>
                <w:u w:val="none" w:color="auto"/>
              </w:rPr>
            </w:pPr>
          </w:p>
        </w:tc>
        <w:tc>
          <w:tcPr>
            <w:tcW w:w="422" w:type="pct"/>
            <w:gridSpan w:val="2"/>
            <w:vMerge w:val="continue"/>
            <w:tcBorders>
              <w:tl2br w:val="nil"/>
              <w:tr2bl w:val="nil"/>
            </w:tcBorders>
            <w:noWrap w:val="0"/>
            <w:vAlign w:val="center"/>
          </w:tcPr>
          <w:p w14:paraId="555B733B">
            <w:pPr>
              <w:widowControl/>
              <w:jc w:val="left"/>
              <w:rPr>
                <w:rFonts w:hint="default" w:ascii="Times New Roman" w:hAnsi="Times New Roman" w:eastAsia="宋体" w:cs="Times New Roman"/>
                <w:color w:val="auto"/>
                <w:sz w:val="21"/>
                <w:szCs w:val="21"/>
                <w:u w:val="none" w:color="auto"/>
              </w:rPr>
            </w:pPr>
          </w:p>
        </w:tc>
        <w:tc>
          <w:tcPr>
            <w:tcW w:w="4327" w:type="pct"/>
            <w:gridSpan w:val="19"/>
            <w:tcBorders>
              <w:tl2br w:val="nil"/>
              <w:tr2bl w:val="nil"/>
            </w:tcBorders>
            <w:noWrap w:val="0"/>
            <w:vAlign w:val="center"/>
          </w:tcPr>
          <w:p w14:paraId="09CECC02">
            <w:pPr>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最近环境敏感目标</w:t>
            </w:r>
            <w:r>
              <w:rPr>
                <w:rFonts w:hint="default" w:ascii="Times New Roman" w:hAnsi="Times New Roman" w:eastAsia="宋体" w:cs="Times New Roman"/>
                <w:color w:val="auto"/>
                <w:sz w:val="21"/>
                <w:szCs w:val="21"/>
                <w:u w:val="none" w:color="auto"/>
                <w:lang w:val="en-US" w:eastAsia="zh-CN"/>
              </w:rPr>
              <w:t>/</w:t>
            </w:r>
            <w:r>
              <w:rPr>
                <w:rFonts w:hint="default" w:ascii="Times New Roman" w:hAnsi="Times New Roman" w:eastAsia="宋体" w:cs="Times New Roman"/>
                <w:color w:val="auto"/>
                <w:sz w:val="21"/>
                <w:szCs w:val="21"/>
                <w:u w:val="none" w:color="auto"/>
              </w:rPr>
              <w:t>，达到时间</w:t>
            </w:r>
            <w:r>
              <w:rPr>
                <w:rFonts w:hint="default" w:ascii="Times New Roman" w:hAnsi="Times New Roman" w:eastAsia="宋体" w:cs="Times New Roman"/>
                <w:color w:val="auto"/>
                <w:sz w:val="21"/>
                <w:szCs w:val="21"/>
                <w:u w:val="none" w:color="auto"/>
                <w:lang w:val="en-US" w:eastAsia="zh-CN"/>
              </w:rPr>
              <w:t>/</w:t>
            </w:r>
            <w:r>
              <w:rPr>
                <w:rFonts w:hint="default" w:ascii="Times New Roman" w:hAnsi="Times New Roman" w:eastAsia="宋体" w:cs="Times New Roman"/>
                <w:color w:val="auto"/>
                <w:sz w:val="21"/>
                <w:szCs w:val="21"/>
                <w:u w:val="none" w:color="auto"/>
              </w:rPr>
              <w:t>d</w:t>
            </w:r>
          </w:p>
        </w:tc>
      </w:tr>
      <w:tr w14:paraId="65B0BF9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28" w:type="dxa"/>
            <w:left w:w="108" w:type="dxa"/>
            <w:bottom w:w="28" w:type="dxa"/>
            <w:right w:w="108" w:type="dxa"/>
          </w:tblCellMar>
        </w:tblPrEx>
        <w:trPr>
          <w:jc w:val="center"/>
        </w:trPr>
        <w:tc>
          <w:tcPr>
            <w:tcW w:w="672" w:type="pct"/>
            <w:gridSpan w:val="3"/>
            <w:tcBorders>
              <w:tl2br w:val="nil"/>
              <w:tr2bl w:val="nil"/>
            </w:tcBorders>
            <w:noWrap w:val="0"/>
            <w:vAlign w:val="center"/>
          </w:tcPr>
          <w:p w14:paraId="3FAFC6E9">
            <w:pPr>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重点风险防范措施</w:t>
            </w:r>
          </w:p>
        </w:tc>
        <w:tc>
          <w:tcPr>
            <w:tcW w:w="4327" w:type="pct"/>
            <w:gridSpan w:val="19"/>
            <w:tcBorders>
              <w:tl2br w:val="nil"/>
              <w:tr2bl w:val="nil"/>
            </w:tcBorders>
            <w:noWrap w:val="0"/>
            <w:vAlign w:val="center"/>
          </w:tcPr>
          <w:p w14:paraId="5C8C28EC">
            <w:pPr>
              <w:adjustRightInd w:val="0"/>
              <w:snapToGrid w:val="0"/>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①制定严格的生产操作规程，加强作业工人的安全教育，杜绝工作失误造成事故；</w:t>
            </w:r>
          </w:p>
          <w:p w14:paraId="10E1CCC2">
            <w:pPr>
              <w:adjustRightInd w:val="0"/>
              <w:snapToGrid w:val="0"/>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②设置围堰、截污沟等措施，切断泄漏物料进入外环境的途径；</w:t>
            </w:r>
          </w:p>
          <w:p w14:paraId="3BD02C45">
            <w:pPr>
              <w:adjustRightInd w:val="0"/>
              <w:snapToGrid w:val="0"/>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③定期检查</w:t>
            </w:r>
            <w:r>
              <w:rPr>
                <w:rFonts w:hint="default" w:ascii="Times New Roman" w:hAnsi="Times New Roman" w:eastAsia="宋体" w:cs="Times New Roman"/>
                <w:color w:val="auto"/>
                <w:sz w:val="21"/>
                <w:szCs w:val="21"/>
                <w:u w:val="none" w:color="auto"/>
                <w:lang w:val="en-US" w:eastAsia="zh-CN"/>
              </w:rPr>
              <w:t>油桶</w:t>
            </w:r>
            <w:r>
              <w:rPr>
                <w:rFonts w:hint="default" w:ascii="Times New Roman" w:hAnsi="Times New Roman" w:eastAsia="宋体" w:cs="Times New Roman"/>
                <w:color w:val="auto"/>
                <w:sz w:val="21"/>
                <w:szCs w:val="21"/>
                <w:u w:val="none" w:color="auto"/>
              </w:rPr>
              <w:t>，确保无泄漏；在</w:t>
            </w:r>
            <w:r>
              <w:rPr>
                <w:rFonts w:hint="default" w:ascii="Times New Roman" w:hAnsi="Times New Roman" w:eastAsia="宋体" w:cs="Times New Roman"/>
                <w:color w:val="auto"/>
                <w:sz w:val="21"/>
                <w:szCs w:val="21"/>
                <w:u w:val="none" w:color="auto"/>
                <w:lang w:val="en-US" w:eastAsia="zh-CN"/>
              </w:rPr>
              <w:t>油料贮存区设置围堰、拦截沟</w:t>
            </w:r>
            <w:r>
              <w:rPr>
                <w:rFonts w:hint="default" w:ascii="Times New Roman" w:hAnsi="Times New Roman" w:eastAsia="宋体" w:cs="Times New Roman"/>
                <w:color w:val="auto"/>
                <w:sz w:val="21"/>
                <w:szCs w:val="21"/>
                <w:u w:val="none" w:color="auto"/>
              </w:rPr>
              <w:t>等措施，降低受到碰撞、太阳暴晒的可能</w:t>
            </w:r>
            <w:r>
              <w:rPr>
                <w:rFonts w:hint="default" w:ascii="Times New Roman" w:hAnsi="Times New Roman" w:eastAsia="宋体" w:cs="Times New Roman"/>
                <w:color w:val="auto"/>
                <w:sz w:val="21"/>
                <w:szCs w:val="21"/>
                <w:u w:val="none" w:color="auto"/>
                <w:lang w:eastAsia="zh-CN"/>
              </w:rPr>
              <w:t>；</w:t>
            </w:r>
          </w:p>
          <w:p w14:paraId="7F8101F3">
            <w:pPr>
              <w:adjustRightInd w:val="0"/>
              <w:snapToGrid w:val="0"/>
              <w:rPr>
                <w:rFonts w:hint="default" w:ascii="Times New Roman" w:hAnsi="Times New Roman" w:eastAsia="宋体" w:cs="Times New Roman"/>
                <w:color w:val="auto"/>
                <w:sz w:val="21"/>
                <w:szCs w:val="21"/>
                <w:u w:val="none" w:color="auto"/>
                <w:lang w:eastAsia="zh-CN"/>
              </w:rPr>
            </w:pPr>
            <w:r>
              <w:rPr>
                <w:rFonts w:hint="default" w:ascii="Times New Roman" w:hAnsi="Times New Roman" w:eastAsia="宋体" w:cs="Times New Roman"/>
                <w:color w:val="auto"/>
                <w:sz w:val="21"/>
                <w:szCs w:val="21"/>
                <w:u w:val="none" w:color="auto"/>
              </w:rPr>
              <w:t>④发生火灾、爆炸时产生的消防废水引导</w:t>
            </w:r>
            <w:r>
              <w:rPr>
                <w:rFonts w:hint="default" w:ascii="Times New Roman" w:hAnsi="Times New Roman" w:eastAsia="宋体" w:cs="Times New Roman"/>
                <w:color w:val="auto"/>
                <w:sz w:val="21"/>
                <w:szCs w:val="21"/>
                <w:u w:val="none" w:color="auto"/>
                <w:lang w:val="en-US" w:eastAsia="zh-CN"/>
              </w:rPr>
              <w:t>收集，同时关闭雨水排放口阀门</w:t>
            </w:r>
            <w:r>
              <w:rPr>
                <w:rFonts w:hint="default" w:ascii="Times New Roman" w:hAnsi="Times New Roman" w:eastAsia="宋体" w:cs="Times New Roman"/>
                <w:color w:val="auto"/>
                <w:sz w:val="21"/>
                <w:szCs w:val="21"/>
                <w:u w:val="none" w:color="auto"/>
              </w:rPr>
              <w:t>，就地处理达标后排放或委外专业机构进行处理</w:t>
            </w:r>
            <w:r>
              <w:rPr>
                <w:rFonts w:hint="default" w:ascii="Times New Roman" w:hAnsi="Times New Roman" w:eastAsia="宋体" w:cs="Times New Roman"/>
                <w:color w:val="auto"/>
                <w:sz w:val="21"/>
                <w:szCs w:val="21"/>
                <w:u w:val="none" w:color="auto"/>
                <w:lang w:eastAsia="zh-CN"/>
              </w:rPr>
              <w:t>；</w:t>
            </w:r>
          </w:p>
          <w:p w14:paraId="409AC513">
            <w:pPr>
              <w:adjustRightInd w:val="0"/>
              <w:snapToGrid w:val="0"/>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⑤设置易燃气体报警器、有毒有害气体报警器</w:t>
            </w:r>
            <w:r>
              <w:rPr>
                <w:rFonts w:hint="default" w:ascii="Times New Roman" w:hAnsi="Times New Roman" w:eastAsia="宋体" w:cs="Times New Roman"/>
                <w:color w:val="auto"/>
                <w:sz w:val="21"/>
                <w:szCs w:val="21"/>
                <w:u w:val="none" w:color="auto"/>
              </w:rPr>
              <w:t>。</w:t>
            </w:r>
          </w:p>
        </w:tc>
      </w:tr>
      <w:tr w14:paraId="044ADEC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28" w:type="dxa"/>
            <w:left w:w="108" w:type="dxa"/>
            <w:bottom w:w="28" w:type="dxa"/>
            <w:right w:w="108" w:type="dxa"/>
          </w:tblCellMar>
        </w:tblPrEx>
        <w:trPr>
          <w:jc w:val="center"/>
        </w:trPr>
        <w:tc>
          <w:tcPr>
            <w:tcW w:w="672" w:type="pct"/>
            <w:gridSpan w:val="3"/>
            <w:tcBorders>
              <w:tl2br w:val="nil"/>
              <w:tr2bl w:val="nil"/>
            </w:tcBorders>
            <w:noWrap w:val="0"/>
            <w:vAlign w:val="center"/>
          </w:tcPr>
          <w:p w14:paraId="20A479BC">
            <w:pPr>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评价结论与建议</w:t>
            </w:r>
          </w:p>
        </w:tc>
        <w:tc>
          <w:tcPr>
            <w:tcW w:w="4327" w:type="pct"/>
            <w:gridSpan w:val="19"/>
            <w:tcBorders>
              <w:tl2br w:val="nil"/>
              <w:tr2bl w:val="nil"/>
            </w:tcBorders>
            <w:noWrap w:val="0"/>
            <w:vAlign w:val="center"/>
          </w:tcPr>
          <w:p w14:paraId="77569488">
            <w:pPr>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在采取严格安全防范措施、落实相关风险防范措施后，其风险水平总体上是可以接受的</w:t>
            </w:r>
          </w:p>
        </w:tc>
      </w:tr>
      <w:tr w14:paraId="385B84F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28" w:type="dxa"/>
            <w:left w:w="108" w:type="dxa"/>
            <w:bottom w:w="28" w:type="dxa"/>
            <w:right w:w="108" w:type="dxa"/>
          </w:tblCellMar>
        </w:tblPrEx>
        <w:trPr>
          <w:jc w:val="center"/>
        </w:trPr>
        <w:tc>
          <w:tcPr>
            <w:tcW w:w="5000" w:type="pct"/>
            <w:gridSpan w:val="22"/>
            <w:tcBorders>
              <w:tl2br w:val="nil"/>
              <w:tr2bl w:val="nil"/>
            </w:tcBorders>
            <w:noWrap w:val="0"/>
            <w:vAlign w:val="center"/>
          </w:tcPr>
          <w:p w14:paraId="5D2085C9">
            <w:pPr>
              <w:adjustRightInd w:val="0"/>
              <w:snapToGrid w:val="0"/>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注：“□”为勾选项，“      ”为填写项</w:t>
            </w:r>
          </w:p>
        </w:tc>
      </w:tr>
    </w:tbl>
    <w:p w14:paraId="4C117182">
      <w:pPr>
        <w:rPr>
          <w:rFonts w:hint="default" w:ascii="Times New Roman" w:hAnsi="Times New Roman" w:eastAsia="宋体" w:cs="Times New Roman"/>
          <w:color w:val="auto"/>
          <w:u w:val="none" w:color="auto"/>
          <w:lang w:val="en-US" w:eastAsia="zh-CN"/>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p>
    <w:p w14:paraId="34E1B85E">
      <w:pPr>
        <w:jc w:val="both"/>
        <w:outlineLvl w:val="0"/>
        <w:rPr>
          <w:rFonts w:hint="default" w:ascii="Times New Roman" w:hAnsi="Times New Roman" w:eastAsia="宋体" w:cs="Times New Roman"/>
          <w:b/>
          <w:bCs/>
          <w:snapToGrid w:val="0"/>
          <w:color w:val="auto"/>
          <w:kern w:val="0"/>
          <w:sz w:val="24"/>
          <w:szCs w:val="24"/>
          <w:u w:val="none" w:color="auto"/>
          <w:lang w:val="en-US" w:eastAsia="zh-CN" w:bidi="ar-SA"/>
        </w:rPr>
      </w:pPr>
      <w:bookmarkStart w:id="352" w:name="_Toc11986"/>
      <w:bookmarkStart w:id="353" w:name="_Toc11742"/>
      <w:r>
        <w:rPr>
          <w:rFonts w:hint="default" w:ascii="Times New Roman" w:hAnsi="Times New Roman" w:eastAsia="宋体" w:cs="Times New Roman"/>
          <w:b/>
          <w:bCs/>
          <w:snapToGrid w:val="0"/>
          <w:color w:val="auto"/>
          <w:kern w:val="0"/>
          <w:sz w:val="24"/>
          <w:szCs w:val="24"/>
          <w:u w:val="none" w:color="auto"/>
          <w:lang w:val="en-US" w:eastAsia="en-US" w:bidi="ar-SA"/>
        </w:rPr>
        <w:t>附表</w:t>
      </w:r>
      <w:bookmarkEnd w:id="352"/>
      <w:r>
        <w:rPr>
          <w:rFonts w:hint="default" w:ascii="Times New Roman" w:hAnsi="Times New Roman" w:eastAsia="宋体" w:cs="Times New Roman"/>
          <w:b/>
          <w:bCs/>
          <w:snapToGrid w:val="0"/>
          <w:color w:val="auto"/>
          <w:kern w:val="0"/>
          <w:sz w:val="24"/>
          <w:szCs w:val="24"/>
          <w:u w:val="none" w:color="auto"/>
          <w:lang w:val="en-US" w:eastAsia="zh-CN" w:bidi="ar-SA"/>
        </w:rPr>
        <w:t>2：建设项目污染物排放量汇总表</w:t>
      </w:r>
      <w:bookmarkEnd w:id="353"/>
      <w:bookmarkStart w:id="354" w:name="_GoBack"/>
      <w:bookmarkEnd w:id="354"/>
    </w:p>
    <w:tbl>
      <w:tblPr>
        <w:tblStyle w:val="31"/>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095"/>
        <w:gridCol w:w="2084"/>
        <w:gridCol w:w="1515"/>
        <w:gridCol w:w="1391"/>
        <w:gridCol w:w="1540"/>
        <w:gridCol w:w="1540"/>
        <w:gridCol w:w="1540"/>
        <w:gridCol w:w="1540"/>
        <w:gridCol w:w="1543"/>
      </w:tblGrid>
      <w:tr w14:paraId="740D98A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95" w:type="dxa"/>
            <w:tcBorders>
              <w:tl2br w:val="single" w:color="auto" w:sz="4" w:space="0"/>
            </w:tcBorders>
            <w:noWrap w:val="0"/>
            <w:tcMar>
              <w:left w:w="28" w:type="dxa"/>
              <w:right w:w="28" w:type="dxa"/>
            </w:tcMar>
            <w:vAlign w:val="center"/>
          </w:tcPr>
          <w:p w14:paraId="54142906">
            <w:pPr>
              <w:pStyle w:val="42"/>
              <w:spacing w:beforeLines="0" w:afterLines="0" w:line="240" w:lineRule="auto"/>
              <w:jc w:val="center"/>
              <w:rPr>
                <w:rFonts w:hint="default" w:ascii="Times New Roman" w:hAnsi="Times New Roman" w:eastAsia="宋体" w:cs="Times New Roman"/>
                <w:b/>
                <w:bCs/>
                <w:snapToGrid w:val="0"/>
                <w:color w:val="auto"/>
                <w:spacing w:val="-6"/>
                <w:kern w:val="21"/>
                <w:sz w:val="21"/>
                <w:szCs w:val="21"/>
                <w:u w:val="none" w:color="auto"/>
              </w:rPr>
            </w:pPr>
            <w:r>
              <w:rPr>
                <w:rFonts w:hint="default" w:ascii="Times New Roman" w:hAnsi="Times New Roman" w:eastAsia="宋体" w:cs="Times New Roman"/>
                <w:b/>
                <w:bCs/>
                <w:snapToGrid w:val="0"/>
                <w:color w:val="auto"/>
                <w:spacing w:val="-6"/>
                <w:kern w:val="21"/>
                <w:sz w:val="21"/>
                <w:szCs w:val="21"/>
                <w:u w:val="none" w:color="auto"/>
              </w:rPr>
              <w:t>项目</w:t>
            </w:r>
          </w:p>
          <w:p w14:paraId="4129C66C">
            <w:pPr>
              <w:pStyle w:val="42"/>
              <w:spacing w:beforeLines="0" w:afterLines="0" w:line="240" w:lineRule="auto"/>
              <w:jc w:val="center"/>
              <w:rPr>
                <w:rFonts w:hint="default" w:ascii="Times New Roman" w:hAnsi="Times New Roman" w:eastAsia="宋体" w:cs="Times New Roman"/>
                <w:b/>
                <w:bCs/>
                <w:snapToGrid w:val="0"/>
                <w:color w:val="auto"/>
                <w:spacing w:val="-6"/>
                <w:kern w:val="21"/>
                <w:sz w:val="21"/>
                <w:szCs w:val="21"/>
                <w:u w:val="none" w:color="auto"/>
              </w:rPr>
            </w:pPr>
            <w:r>
              <w:rPr>
                <w:rFonts w:hint="default" w:ascii="Times New Roman" w:hAnsi="Times New Roman" w:eastAsia="宋体" w:cs="Times New Roman"/>
                <w:b/>
                <w:bCs/>
                <w:snapToGrid w:val="0"/>
                <w:color w:val="auto"/>
                <w:spacing w:val="-6"/>
                <w:kern w:val="21"/>
                <w:sz w:val="21"/>
                <w:szCs w:val="21"/>
                <w:u w:val="none" w:color="auto"/>
              </w:rPr>
              <w:t>分类</w:t>
            </w:r>
          </w:p>
        </w:tc>
        <w:tc>
          <w:tcPr>
            <w:tcW w:w="2084" w:type="dxa"/>
            <w:noWrap w:val="0"/>
            <w:tcMar>
              <w:left w:w="28" w:type="dxa"/>
              <w:right w:w="28" w:type="dxa"/>
            </w:tcMar>
            <w:vAlign w:val="center"/>
          </w:tcPr>
          <w:p w14:paraId="3F52E9C2">
            <w:pPr>
              <w:pStyle w:val="42"/>
              <w:spacing w:beforeLines="0" w:afterLines="0" w:line="240" w:lineRule="auto"/>
              <w:jc w:val="center"/>
              <w:rPr>
                <w:rFonts w:hint="default" w:ascii="Times New Roman" w:hAnsi="Times New Roman" w:eastAsia="宋体" w:cs="Times New Roman"/>
                <w:b/>
                <w:bCs/>
                <w:snapToGrid w:val="0"/>
                <w:color w:val="auto"/>
                <w:spacing w:val="-6"/>
                <w:kern w:val="21"/>
                <w:sz w:val="21"/>
                <w:szCs w:val="21"/>
                <w:u w:val="none" w:color="auto"/>
              </w:rPr>
            </w:pPr>
            <w:r>
              <w:rPr>
                <w:rFonts w:hint="default" w:ascii="Times New Roman" w:hAnsi="Times New Roman" w:eastAsia="宋体" w:cs="Times New Roman"/>
                <w:b/>
                <w:bCs/>
                <w:snapToGrid w:val="0"/>
                <w:color w:val="auto"/>
                <w:spacing w:val="-6"/>
                <w:kern w:val="21"/>
                <w:sz w:val="21"/>
                <w:szCs w:val="21"/>
                <w:u w:val="none" w:color="auto"/>
              </w:rPr>
              <w:t>污染物名称</w:t>
            </w:r>
          </w:p>
        </w:tc>
        <w:tc>
          <w:tcPr>
            <w:tcW w:w="1515" w:type="dxa"/>
            <w:noWrap w:val="0"/>
            <w:tcMar>
              <w:left w:w="28" w:type="dxa"/>
              <w:right w:w="28" w:type="dxa"/>
            </w:tcMar>
            <w:vAlign w:val="center"/>
          </w:tcPr>
          <w:p w14:paraId="417178D0">
            <w:pPr>
              <w:pStyle w:val="42"/>
              <w:spacing w:beforeLines="0" w:afterLines="0" w:line="240" w:lineRule="auto"/>
              <w:jc w:val="center"/>
              <w:rPr>
                <w:rFonts w:hint="default" w:ascii="Times New Roman" w:hAnsi="Times New Roman" w:eastAsia="宋体" w:cs="Times New Roman"/>
                <w:b/>
                <w:bCs/>
                <w:snapToGrid w:val="0"/>
                <w:color w:val="auto"/>
                <w:spacing w:val="-6"/>
                <w:kern w:val="21"/>
                <w:sz w:val="21"/>
                <w:szCs w:val="21"/>
                <w:u w:val="none" w:color="auto"/>
              </w:rPr>
            </w:pPr>
            <w:r>
              <w:rPr>
                <w:rFonts w:hint="default" w:ascii="Times New Roman" w:hAnsi="Times New Roman" w:eastAsia="宋体" w:cs="Times New Roman"/>
                <w:b/>
                <w:bCs/>
                <w:snapToGrid w:val="0"/>
                <w:color w:val="auto"/>
                <w:spacing w:val="-6"/>
                <w:kern w:val="21"/>
                <w:sz w:val="21"/>
                <w:szCs w:val="21"/>
                <w:u w:val="none" w:color="auto"/>
              </w:rPr>
              <w:t>现有工程</w:t>
            </w:r>
          </w:p>
          <w:p w14:paraId="6846A913">
            <w:pPr>
              <w:pStyle w:val="42"/>
              <w:spacing w:beforeLines="0" w:afterLines="0" w:line="240" w:lineRule="auto"/>
              <w:jc w:val="center"/>
              <w:rPr>
                <w:rFonts w:hint="default" w:ascii="Times New Roman" w:hAnsi="Times New Roman" w:eastAsia="宋体" w:cs="Times New Roman"/>
                <w:b/>
                <w:bCs/>
                <w:snapToGrid w:val="0"/>
                <w:color w:val="auto"/>
                <w:spacing w:val="-6"/>
                <w:kern w:val="21"/>
                <w:sz w:val="21"/>
                <w:szCs w:val="21"/>
                <w:u w:val="none" w:color="auto"/>
              </w:rPr>
            </w:pPr>
            <w:r>
              <w:rPr>
                <w:rFonts w:hint="default" w:ascii="Times New Roman" w:hAnsi="Times New Roman" w:eastAsia="宋体" w:cs="Times New Roman"/>
                <w:b/>
                <w:bCs/>
                <w:snapToGrid w:val="0"/>
                <w:color w:val="auto"/>
                <w:spacing w:val="-6"/>
                <w:kern w:val="21"/>
                <w:sz w:val="21"/>
                <w:szCs w:val="21"/>
                <w:u w:val="none" w:color="auto"/>
              </w:rPr>
              <w:t>排放量（固体废物产生量）</w:t>
            </w:r>
            <w:r>
              <w:rPr>
                <w:rFonts w:hint="default" w:ascii="Times New Roman" w:hAnsi="Times New Roman" w:eastAsia="宋体" w:cs="Times New Roman"/>
                <w:b/>
                <w:bCs/>
                <w:snapToGrid w:val="0"/>
                <w:color w:val="auto"/>
                <w:spacing w:val="-6"/>
                <w:kern w:val="21"/>
                <w:sz w:val="21"/>
                <w:szCs w:val="21"/>
                <w:u w:val="none" w:color="auto"/>
              </w:rPr>
              <w:fldChar w:fldCharType="begin"/>
            </w:r>
            <w:r>
              <w:rPr>
                <w:rFonts w:hint="default" w:ascii="Times New Roman" w:hAnsi="Times New Roman" w:eastAsia="宋体" w:cs="Times New Roman"/>
                <w:b/>
                <w:bCs/>
                <w:snapToGrid w:val="0"/>
                <w:color w:val="auto"/>
                <w:spacing w:val="-6"/>
                <w:kern w:val="21"/>
                <w:sz w:val="21"/>
                <w:szCs w:val="21"/>
                <w:u w:val="none" w:color="auto"/>
              </w:rPr>
              <w:instrText xml:space="preserve"> = 1 \* GB3 \* MERGEFORMAT </w:instrText>
            </w:r>
            <w:r>
              <w:rPr>
                <w:rFonts w:hint="default" w:ascii="Times New Roman" w:hAnsi="Times New Roman" w:eastAsia="宋体" w:cs="Times New Roman"/>
                <w:b/>
                <w:bCs/>
                <w:snapToGrid w:val="0"/>
                <w:color w:val="auto"/>
                <w:spacing w:val="-6"/>
                <w:kern w:val="21"/>
                <w:sz w:val="21"/>
                <w:szCs w:val="21"/>
                <w:u w:val="none" w:color="auto"/>
              </w:rPr>
              <w:fldChar w:fldCharType="separate"/>
            </w:r>
            <w:r>
              <w:rPr>
                <w:rFonts w:hint="default" w:ascii="Times New Roman" w:hAnsi="Times New Roman" w:eastAsia="宋体" w:cs="Times New Roman"/>
                <w:b/>
                <w:bCs/>
                <w:color w:val="auto"/>
                <w:kern w:val="2"/>
                <w:sz w:val="21"/>
                <w:szCs w:val="21"/>
                <w:u w:val="none" w:color="auto"/>
              </w:rPr>
              <w:t>①</w:t>
            </w:r>
            <w:r>
              <w:rPr>
                <w:rFonts w:hint="default" w:ascii="Times New Roman" w:hAnsi="Times New Roman" w:eastAsia="宋体" w:cs="Times New Roman"/>
                <w:b/>
                <w:bCs/>
                <w:snapToGrid w:val="0"/>
                <w:color w:val="auto"/>
                <w:spacing w:val="-6"/>
                <w:kern w:val="21"/>
                <w:sz w:val="21"/>
                <w:szCs w:val="21"/>
                <w:u w:val="none" w:color="auto"/>
              </w:rPr>
              <w:fldChar w:fldCharType="end"/>
            </w:r>
          </w:p>
        </w:tc>
        <w:tc>
          <w:tcPr>
            <w:tcW w:w="1391" w:type="dxa"/>
            <w:noWrap w:val="0"/>
            <w:tcMar>
              <w:left w:w="28" w:type="dxa"/>
              <w:right w:w="28" w:type="dxa"/>
            </w:tcMar>
            <w:vAlign w:val="center"/>
          </w:tcPr>
          <w:p w14:paraId="58A2D721">
            <w:pPr>
              <w:pStyle w:val="42"/>
              <w:spacing w:beforeLines="0" w:afterLines="0" w:line="240" w:lineRule="auto"/>
              <w:jc w:val="center"/>
              <w:rPr>
                <w:rFonts w:hint="default" w:ascii="Times New Roman" w:hAnsi="Times New Roman" w:eastAsia="宋体" w:cs="Times New Roman"/>
                <w:b/>
                <w:bCs/>
                <w:snapToGrid w:val="0"/>
                <w:color w:val="auto"/>
                <w:spacing w:val="-6"/>
                <w:kern w:val="21"/>
                <w:sz w:val="21"/>
                <w:szCs w:val="21"/>
                <w:u w:val="none" w:color="auto"/>
              </w:rPr>
            </w:pPr>
            <w:r>
              <w:rPr>
                <w:rFonts w:hint="default" w:ascii="Times New Roman" w:hAnsi="Times New Roman" w:eastAsia="宋体" w:cs="Times New Roman"/>
                <w:b/>
                <w:bCs/>
                <w:snapToGrid w:val="0"/>
                <w:color w:val="auto"/>
                <w:spacing w:val="-6"/>
                <w:kern w:val="21"/>
                <w:sz w:val="21"/>
                <w:szCs w:val="21"/>
                <w:u w:val="none" w:color="auto"/>
              </w:rPr>
              <w:t>现有工程</w:t>
            </w:r>
          </w:p>
          <w:p w14:paraId="3C2AE75D">
            <w:pPr>
              <w:pStyle w:val="42"/>
              <w:spacing w:beforeLines="0" w:afterLines="0" w:line="240" w:lineRule="auto"/>
              <w:jc w:val="center"/>
              <w:rPr>
                <w:rFonts w:hint="default" w:ascii="Times New Roman" w:hAnsi="Times New Roman" w:eastAsia="宋体" w:cs="Times New Roman"/>
                <w:b/>
                <w:bCs/>
                <w:snapToGrid w:val="0"/>
                <w:color w:val="auto"/>
                <w:spacing w:val="-6"/>
                <w:kern w:val="21"/>
                <w:sz w:val="21"/>
                <w:szCs w:val="21"/>
                <w:u w:val="none" w:color="auto"/>
              </w:rPr>
            </w:pPr>
            <w:r>
              <w:rPr>
                <w:rFonts w:hint="default" w:ascii="Times New Roman" w:hAnsi="Times New Roman" w:eastAsia="宋体" w:cs="Times New Roman"/>
                <w:b/>
                <w:bCs/>
                <w:snapToGrid w:val="0"/>
                <w:color w:val="auto"/>
                <w:spacing w:val="-6"/>
                <w:kern w:val="21"/>
                <w:sz w:val="21"/>
                <w:szCs w:val="21"/>
                <w:u w:val="none" w:color="auto"/>
              </w:rPr>
              <w:t>许可排放量</w:t>
            </w:r>
          </w:p>
          <w:p w14:paraId="007F84AF">
            <w:pPr>
              <w:pStyle w:val="42"/>
              <w:spacing w:beforeLines="0" w:afterLines="0"/>
              <w:jc w:val="center"/>
              <w:rPr>
                <w:rFonts w:hint="default" w:ascii="Times New Roman" w:hAnsi="Times New Roman" w:eastAsia="宋体" w:cs="Times New Roman"/>
                <w:b/>
                <w:bCs/>
                <w:snapToGrid w:val="0"/>
                <w:color w:val="auto"/>
                <w:spacing w:val="-6"/>
                <w:kern w:val="21"/>
                <w:sz w:val="21"/>
                <w:szCs w:val="21"/>
                <w:u w:val="none" w:color="auto"/>
              </w:rPr>
            </w:pPr>
            <w:r>
              <w:rPr>
                <w:rFonts w:hint="default" w:ascii="Times New Roman" w:hAnsi="Times New Roman" w:eastAsia="宋体" w:cs="Times New Roman"/>
                <w:b/>
                <w:bCs/>
                <w:snapToGrid w:val="0"/>
                <w:color w:val="auto"/>
                <w:spacing w:val="-6"/>
                <w:kern w:val="21"/>
                <w:sz w:val="21"/>
                <w:szCs w:val="21"/>
                <w:u w:val="none" w:color="auto"/>
              </w:rPr>
              <w:fldChar w:fldCharType="begin"/>
            </w:r>
            <w:r>
              <w:rPr>
                <w:rFonts w:hint="default" w:ascii="Times New Roman" w:hAnsi="Times New Roman" w:eastAsia="宋体" w:cs="Times New Roman"/>
                <w:b/>
                <w:bCs/>
                <w:snapToGrid w:val="0"/>
                <w:color w:val="auto"/>
                <w:spacing w:val="-6"/>
                <w:kern w:val="21"/>
                <w:sz w:val="21"/>
                <w:szCs w:val="21"/>
                <w:u w:val="none" w:color="auto"/>
              </w:rPr>
              <w:instrText xml:space="preserve"> = 2 \* GB3 \* MERGEFORMAT </w:instrText>
            </w:r>
            <w:r>
              <w:rPr>
                <w:rFonts w:hint="default" w:ascii="Times New Roman" w:hAnsi="Times New Roman" w:eastAsia="宋体" w:cs="Times New Roman"/>
                <w:b/>
                <w:bCs/>
                <w:snapToGrid w:val="0"/>
                <w:color w:val="auto"/>
                <w:spacing w:val="-6"/>
                <w:kern w:val="21"/>
                <w:sz w:val="21"/>
                <w:szCs w:val="21"/>
                <w:u w:val="none" w:color="auto"/>
              </w:rPr>
              <w:fldChar w:fldCharType="separate"/>
            </w:r>
            <w:r>
              <w:rPr>
                <w:rFonts w:hint="default" w:ascii="Times New Roman" w:hAnsi="Times New Roman" w:eastAsia="宋体" w:cs="Times New Roman"/>
                <w:b/>
                <w:bCs/>
                <w:snapToGrid w:val="0"/>
                <w:color w:val="auto"/>
                <w:spacing w:val="-6"/>
                <w:kern w:val="21"/>
                <w:sz w:val="21"/>
                <w:szCs w:val="21"/>
                <w:u w:val="none" w:color="auto"/>
              </w:rPr>
              <w:t>②</w:t>
            </w:r>
            <w:r>
              <w:rPr>
                <w:rFonts w:hint="default" w:ascii="Times New Roman" w:hAnsi="Times New Roman" w:eastAsia="宋体" w:cs="Times New Roman"/>
                <w:b/>
                <w:bCs/>
                <w:snapToGrid w:val="0"/>
                <w:color w:val="auto"/>
                <w:spacing w:val="-6"/>
                <w:kern w:val="21"/>
                <w:sz w:val="21"/>
                <w:szCs w:val="21"/>
                <w:u w:val="none" w:color="auto"/>
              </w:rPr>
              <w:fldChar w:fldCharType="end"/>
            </w:r>
          </w:p>
        </w:tc>
        <w:tc>
          <w:tcPr>
            <w:tcW w:w="1540" w:type="dxa"/>
            <w:noWrap w:val="0"/>
            <w:tcMar>
              <w:left w:w="28" w:type="dxa"/>
              <w:right w:w="28" w:type="dxa"/>
            </w:tcMar>
            <w:vAlign w:val="center"/>
          </w:tcPr>
          <w:p w14:paraId="0E96E50C">
            <w:pPr>
              <w:pStyle w:val="42"/>
              <w:spacing w:beforeLines="0" w:afterLines="0" w:line="240" w:lineRule="auto"/>
              <w:jc w:val="center"/>
              <w:rPr>
                <w:rFonts w:hint="default" w:ascii="Times New Roman" w:hAnsi="Times New Roman" w:eastAsia="宋体" w:cs="Times New Roman"/>
                <w:b/>
                <w:bCs/>
                <w:snapToGrid w:val="0"/>
                <w:color w:val="auto"/>
                <w:spacing w:val="-6"/>
                <w:kern w:val="21"/>
                <w:sz w:val="21"/>
                <w:szCs w:val="21"/>
                <w:u w:val="none" w:color="auto"/>
              </w:rPr>
            </w:pPr>
            <w:r>
              <w:rPr>
                <w:rFonts w:hint="default" w:ascii="Times New Roman" w:hAnsi="Times New Roman" w:eastAsia="宋体" w:cs="Times New Roman"/>
                <w:b/>
                <w:bCs/>
                <w:snapToGrid w:val="0"/>
                <w:color w:val="auto"/>
                <w:spacing w:val="-6"/>
                <w:kern w:val="21"/>
                <w:sz w:val="21"/>
                <w:szCs w:val="21"/>
                <w:u w:val="none" w:color="auto"/>
              </w:rPr>
              <w:t>在建工程</w:t>
            </w:r>
          </w:p>
          <w:p w14:paraId="074B6626">
            <w:pPr>
              <w:pStyle w:val="42"/>
              <w:spacing w:beforeLines="0" w:afterLines="0" w:line="240" w:lineRule="auto"/>
              <w:jc w:val="center"/>
              <w:rPr>
                <w:rFonts w:hint="default" w:ascii="Times New Roman" w:hAnsi="Times New Roman" w:eastAsia="宋体" w:cs="Times New Roman"/>
                <w:b/>
                <w:bCs/>
                <w:snapToGrid w:val="0"/>
                <w:color w:val="auto"/>
                <w:spacing w:val="-6"/>
                <w:kern w:val="21"/>
                <w:sz w:val="21"/>
                <w:szCs w:val="21"/>
                <w:u w:val="none" w:color="auto"/>
              </w:rPr>
            </w:pPr>
            <w:r>
              <w:rPr>
                <w:rFonts w:hint="default" w:ascii="Times New Roman" w:hAnsi="Times New Roman" w:eastAsia="宋体" w:cs="Times New Roman"/>
                <w:b/>
                <w:bCs/>
                <w:snapToGrid w:val="0"/>
                <w:color w:val="auto"/>
                <w:spacing w:val="-6"/>
                <w:kern w:val="21"/>
                <w:sz w:val="21"/>
                <w:szCs w:val="21"/>
                <w:u w:val="none" w:color="auto"/>
              </w:rPr>
              <w:t>排放量（固体废物产生量）</w:t>
            </w:r>
            <w:r>
              <w:rPr>
                <w:rFonts w:hint="default" w:ascii="Times New Roman" w:hAnsi="Times New Roman" w:eastAsia="宋体" w:cs="Times New Roman"/>
                <w:b/>
                <w:bCs/>
                <w:snapToGrid w:val="0"/>
                <w:color w:val="auto"/>
                <w:spacing w:val="-6"/>
                <w:kern w:val="21"/>
                <w:sz w:val="21"/>
                <w:szCs w:val="21"/>
                <w:u w:val="none" w:color="auto"/>
              </w:rPr>
              <w:fldChar w:fldCharType="begin"/>
            </w:r>
            <w:r>
              <w:rPr>
                <w:rFonts w:hint="default" w:ascii="Times New Roman" w:hAnsi="Times New Roman" w:eastAsia="宋体" w:cs="Times New Roman"/>
                <w:b/>
                <w:bCs/>
                <w:snapToGrid w:val="0"/>
                <w:color w:val="auto"/>
                <w:spacing w:val="-6"/>
                <w:kern w:val="21"/>
                <w:sz w:val="21"/>
                <w:szCs w:val="21"/>
                <w:u w:val="none" w:color="auto"/>
              </w:rPr>
              <w:instrText xml:space="preserve"> = 3 \* GB3 \* MERGEFORMAT </w:instrText>
            </w:r>
            <w:r>
              <w:rPr>
                <w:rFonts w:hint="default" w:ascii="Times New Roman" w:hAnsi="Times New Roman" w:eastAsia="宋体" w:cs="Times New Roman"/>
                <w:b/>
                <w:bCs/>
                <w:snapToGrid w:val="0"/>
                <w:color w:val="auto"/>
                <w:spacing w:val="-6"/>
                <w:kern w:val="21"/>
                <w:sz w:val="21"/>
                <w:szCs w:val="21"/>
                <w:u w:val="none" w:color="auto"/>
              </w:rPr>
              <w:fldChar w:fldCharType="separate"/>
            </w:r>
            <w:r>
              <w:rPr>
                <w:rFonts w:hint="default" w:ascii="Times New Roman" w:hAnsi="Times New Roman" w:eastAsia="宋体" w:cs="Times New Roman"/>
                <w:b/>
                <w:bCs/>
                <w:color w:val="auto"/>
                <w:kern w:val="2"/>
                <w:sz w:val="21"/>
                <w:szCs w:val="21"/>
                <w:u w:val="none" w:color="auto"/>
              </w:rPr>
              <w:t>③</w:t>
            </w:r>
            <w:r>
              <w:rPr>
                <w:rFonts w:hint="default" w:ascii="Times New Roman" w:hAnsi="Times New Roman" w:eastAsia="宋体" w:cs="Times New Roman"/>
                <w:b/>
                <w:bCs/>
                <w:snapToGrid w:val="0"/>
                <w:color w:val="auto"/>
                <w:spacing w:val="-6"/>
                <w:kern w:val="21"/>
                <w:sz w:val="21"/>
                <w:szCs w:val="21"/>
                <w:u w:val="none" w:color="auto"/>
              </w:rPr>
              <w:fldChar w:fldCharType="end"/>
            </w:r>
          </w:p>
        </w:tc>
        <w:tc>
          <w:tcPr>
            <w:tcW w:w="1540" w:type="dxa"/>
            <w:noWrap w:val="0"/>
            <w:tcMar>
              <w:left w:w="28" w:type="dxa"/>
              <w:right w:w="28" w:type="dxa"/>
            </w:tcMar>
            <w:vAlign w:val="center"/>
          </w:tcPr>
          <w:p w14:paraId="24F6160A">
            <w:pPr>
              <w:pStyle w:val="42"/>
              <w:spacing w:beforeLines="0" w:afterLines="0" w:line="240" w:lineRule="auto"/>
              <w:jc w:val="center"/>
              <w:rPr>
                <w:rFonts w:hint="default" w:ascii="Times New Roman" w:hAnsi="Times New Roman" w:eastAsia="宋体" w:cs="Times New Roman"/>
                <w:b/>
                <w:bCs/>
                <w:snapToGrid w:val="0"/>
                <w:color w:val="auto"/>
                <w:spacing w:val="-6"/>
                <w:kern w:val="21"/>
                <w:sz w:val="21"/>
                <w:szCs w:val="21"/>
                <w:u w:val="none" w:color="auto"/>
              </w:rPr>
            </w:pPr>
            <w:r>
              <w:rPr>
                <w:rFonts w:hint="default" w:ascii="Times New Roman" w:hAnsi="Times New Roman" w:eastAsia="宋体" w:cs="Times New Roman"/>
                <w:b/>
                <w:bCs/>
                <w:snapToGrid w:val="0"/>
                <w:color w:val="auto"/>
                <w:spacing w:val="-6"/>
                <w:kern w:val="21"/>
                <w:sz w:val="21"/>
                <w:szCs w:val="21"/>
                <w:u w:val="none" w:color="auto"/>
              </w:rPr>
              <w:t>本项目</w:t>
            </w:r>
          </w:p>
          <w:p w14:paraId="2C315465">
            <w:pPr>
              <w:pStyle w:val="42"/>
              <w:spacing w:beforeLines="0" w:afterLines="0" w:line="240" w:lineRule="auto"/>
              <w:jc w:val="center"/>
              <w:rPr>
                <w:rFonts w:hint="default" w:ascii="Times New Roman" w:hAnsi="Times New Roman" w:eastAsia="宋体" w:cs="Times New Roman"/>
                <w:b/>
                <w:bCs/>
                <w:snapToGrid w:val="0"/>
                <w:color w:val="auto"/>
                <w:spacing w:val="-6"/>
                <w:kern w:val="21"/>
                <w:sz w:val="21"/>
                <w:szCs w:val="21"/>
                <w:u w:val="none" w:color="auto"/>
              </w:rPr>
            </w:pPr>
            <w:r>
              <w:rPr>
                <w:rFonts w:hint="default" w:ascii="Times New Roman" w:hAnsi="Times New Roman" w:eastAsia="宋体" w:cs="Times New Roman"/>
                <w:b/>
                <w:bCs/>
                <w:snapToGrid w:val="0"/>
                <w:color w:val="auto"/>
                <w:spacing w:val="-6"/>
                <w:kern w:val="21"/>
                <w:sz w:val="21"/>
                <w:szCs w:val="21"/>
                <w:u w:val="none" w:color="auto"/>
              </w:rPr>
              <w:t>排放量（固体废物产生量）</w:t>
            </w:r>
            <w:r>
              <w:rPr>
                <w:rFonts w:hint="default" w:ascii="Times New Roman" w:hAnsi="Times New Roman" w:eastAsia="宋体" w:cs="Times New Roman"/>
                <w:b/>
                <w:bCs/>
                <w:snapToGrid w:val="0"/>
                <w:color w:val="auto"/>
                <w:spacing w:val="-6"/>
                <w:kern w:val="21"/>
                <w:sz w:val="21"/>
                <w:szCs w:val="21"/>
                <w:u w:val="none" w:color="auto"/>
              </w:rPr>
              <w:fldChar w:fldCharType="begin"/>
            </w:r>
            <w:r>
              <w:rPr>
                <w:rFonts w:hint="default" w:ascii="Times New Roman" w:hAnsi="Times New Roman" w:eastAsia="宋体" w:cs="Times New Roman"/>
                <w:b/>
                <w:bCs/>
                <w:snapToGrid w:val="0"/>
                <w:color w:val="auto"/>
                <w:spacing w:val="-6"/>
                <w:kern w:val="21"/>
                <w:sz w:val="21"/>
                <w:szCs w:val="21"/>
                <w:u w:val="none" w:color="auto"/>
              </w:rPr>
              <w:instrText xml:space="preserve"> = 4 \* GB3 \* MERGEFORMAT </w:instrText>
            </w:r>
            <w:r>
              <w:rPr>
                <w:rFonts w:hint="default" w:ascii="Times New Roman" w:hAnsi="Times New Roman" w:eastAsia="宋体" w:cs="Times New Roman"/>
                <w:b/>
                <w:bCs/>
                <w:snapToGrid w:val="0"/>
                <w:color w:val="auto"/>
                <w:spacing w:val="-6"/>
                <w:kern w:val="21"/>
                <w:sz w:val="21"/>
                <w:szCs w:val="21"/>
                <w:u w:val="none" w:color="auto"/>
              </w:rPr>
              <w:fldChar w:fldCharType="separate"/>
            </w:r>
            <w:r>
              <w:rPr>
                <w:rFonts w:hint="default" w:ascii="Times New Roman" w:hAnsi="Times New Roman" w:eastAsia="宋体" w:cs="Times New Roman"/>
                <w:b/>
                <w:bCs/>
                <w:color w:val="auto"/>
                <w:kern w:val="2"/>
                <w:sz w:val="21"/>
                <w:szCs w:val="21"/>
                <w:u w:val="none" w:color="auto"/>
              </w:rPr>
              <w:t>④</w:t>
            </w:r>
            <w:r>
              <w:rPr>
                <w:rFonts w:hint="default" w:ascii="Times New Roman" w:hAnsi="Times New Roman" w:eastAsia="宋体" w:cs="Times New Roman"/>
                <w:b/>
                <w:bCs/>
                <w:snapToGrid w:val="0"/>
                <w:color w:val="auto"/>
                <w:spacing w:val="-6"/>
                <w:kern w:val="21"/>
                <w:sz w:val="21"/>
                <w:szCs w:val="21"/>
                <w:u w:val="none" w:color="auto"/>
              </w:rPr>
              <w:fldChar w:fldCharType="end"/>
            </w:r>
          </w:p>
        </w:tc>
        <w:tc>
          <w:tcPr>
            <w:tcW w:w="1540" w:type="dxa"/>
            <w:noWrap w:val="0"/>
            <w:tcMar>
              <w:left w:w="28" w:type="dxa"/>
              <w:right w:w="28" w:type="dxa"/>
            </w:tcMar>
            <w:vAlign w:val="center"/>
          </w:tcPr>
          <w:p w14:paraId="63C3B4AD">
            <w:pPr>
              <w:pStyle w:val="42"/>
              <w:spacing w:beforeLines="0" w:afterLines="0" w:line="240" w:lineRule="auto"/>
              <w:jc w:val="center"/>
              <w:rPr>
                <w:rFonts w:hint="default" w:ascii="Times New Roman" w:hAnsi="Times New Roman" w:eastAsia="宋体" w:cs="Times New Roman"/>
                <w:b/>
                <w:bCs/>
                <w:snapToGrid w:val="0"/>
                <w:color w:val="auto"/>
                <w:spacing w:val="-16"/>
                <w:kern w:val="21"/>
                <w:sz w:val="21"/>
                <w:szCs w:val="21"/>
                <w:u w:val="none" w:color="auto"/>
              </w:rPr>
            </w:pPr>
            <w:r>
              <w:rPr>
                <w:rFonts w:hint="default" w:ascii="Times New Roman" w:hAnsi="Times New Roman" w:eastAsia="宋体" w:cs="Times New Roman"/>
                <w:b/>
                <w:bCs/>
                <w:snapToGrid w:val="0"/>
                <w:color w:val="auto"/>
                <w:spacing w:val="-16"/>
                <w:kern w:val="21"/>
                <w:sz w:val="21"/>
                <w:szCs w:val="21"/>
                <w:u w:val="none" w:color="auto"/>
              </w:rPr>
              <w:t>以新带老削减量</w:t>
            </w:r>
          </w:p>
          <w:p w14:paraId="22A4002B">
            <w:pPr>
              <w:pStyle w:val="42"/>
              <w:spacing w:beforeLines="0" w:afterLines="0" w:line="240" w:lineRule="auto"/>
              <w:jc w:val="center"/>
              <w:rPr>
                <w:rFonts w:hint="default" w:ascii="Times New Roman" w:hAnsi="Times New Roman" w:eastAsia="宋体" w:cs="Times New Roman"/>
                <w:b/>
                <w:bCs/>
                <w:snapToGrid w:val="0"/>
                <w:color w:val="auto"/>
                <w:spacing w:val="-16"/>
                <w:kern w:val="21"/>
                <w:sz w:val="21"/>
                <w:szCs w:val="21"/>
                <w:u w:val="none" w:color="auto"/>
              </w:rPr>
            </w:pPr>
            <w:r>
              <w:rPr>
                <w:rFonts w:hint="default" w:ascii="Times New Roman" w:hAnsi="Times New Roman" w:eastAsia="宋体" w:cs="Times New Roman"/>
                <w:b/>
                <w:bCs/>
                <w:snapToGrid w:val="0"/>
                <w:color w:val="auto"/>
                <w:spacing w:val="-16"/>
                <w:kern w:val="21"/>
                <w:sz w:val="21"/>
                <w:szCs w:val="21"/>
                <w:u w:val="none" w:color="auto"/>
              </w:rPr>
              <w:t>（新建项目不填）</w:t>
            </w:r>
            <w:r>
              <w:rPr>
                <w:rFonts w:hint="default" w:ascii="Times New Roman" w:hAnsi="Times New Roman" w:eastAsia="宋体" w:cs="Times New Roman"/>
                <w:b/>
                <w:bCs/>
                <w:snapToGrid w:val="0"/>
                <w:color w:val="auto"/>
                <w:spacing w:val="-16"/>
                <w:kern w:val="21"/>
                <w:sz w:val="21"/>
                <w:szCs w:val="21"/>
                <w:u w:val="none" w:color="auto"/>
              </w:rPr>
              <w:fldChar w:fldCharType="begin"/>
            </w:r>
            <w:r>
              <w:rPr>
                <w:rFonts w:hint="default" w:ascii="Times New Roman" w:hAnsi="Times New Roman" w:eastAsia="宋体" w:cs="Times New Roman"/>
                <w:b/>
                <w:bCs/>
                <w:snapToGrid w:val="0"/>
                <w:color w:val="auto"/>
                <w:spacing w:val="-16"/>
                <w:kern w:val="21"/>
                <w:sz w:val="21"/>
                <w:szCs w:val="21"/>
                <w:u w:val="none" w:color="auto"/>
              </w:rPr>
              <w:instrText xml:space="preserve"> = 5 \* GB3 \* MERGEFORMAT </w:instrText>
            </w:r>
            <w:r>
              <w:rPr>
                <w:rFonts w:hint="default" w:ascii="Times New Roman" w:hAnsi="Times New Roman" w:eastAsia="宋体" w:cs="Times New Roman"/>
                <w:b/>
                <w:bCs/>
                <w:snapToGrid w:val="0"/>
                <w:color w:val="auto"/>
                <w:spacing w:val="-16"/>
                <w:kern w:val="21"/>
                <w:sz w:val="21"/>
                <w:szCs w:val="21"/>
                <w:u w:val="none" w:color="auto"/>
              </w:rPr>
              <w:fldChar w:fldCharType="separate"/>
            </w:r>
            <w:r>
              <w:rPr>
                <w:rFonts w:hint="default" w:ascii="Times New Roman" w:hAnsi="Times New Roman" w:eastAsia="宋体" w:cs="Times New Roman"/>
                <w:b/>
                <w:bCs/>
                <w:color w:val="auto"/>
                <w:kern w:val="2"/>
                <w:sz w:val="21"/>
                <w:szCs w:val="21"/>
                <w:u w:val="none" w:color="auto"/>
              </w:rPr>
              <w:t>⑤</w:t>
            </w:r>
            <w:r>
              <w:rPr>
                <w:rFonts w:hint="default" w:ascii="Times New Roman" w:hAnsi="Times New Roman" w:eastAsia="宋体" w:cs="Times New Roman"/>
                <w:b/>
                <w:bCs/>
                <w:snapToGrid w:val="0"/>
                <w:color w:val="auto"/>
                <w:spacing w:val="-16"/>
                <w:kern w:val="21"/>
                <w:sz w:val="21"/>
                <w:szCs w:val="21"/>
                <w:u w:val="none" w:color="auto"/>
              </w:rPr>
              <w:fldChar w:fldCharType="end"/>
            </w:r>
          </w:p>
        </w:tc>
        <w:tc>
          <w:tcPr>
            <w:tcW w:w="1540" w:type="dxa"/>
            <w:noWrap w:val="0"/>
            <w:tcMar>
              <w:left w:w="28" w:type="dxa"/>
              <w:right w:w="28" w:type="dxa"/>
            </w:tcMar>
            <w:vAlign w:val="center"/>
          </w:tcPr>
          <w:p w14:paraId="6D685B5F">
            <w:pPr>
              <w:pStyle w:val="42"/>
              <w:spacing w:beforeLines="0" w:afterLines="0" w:line="240" w:lineRule="auto"/>
              <w:jc w:val="center"/>
              <w:rPr>
                <w:rFonts w:hint="default" w:ascii="Times New Roman" w:hAnsi="Times New Roman" w:eastAsia="宋体" w:cs="Times New Roman"/>
                <w:b/>
                <w:bCs/>
                <w:snapToGrid w:val="0"/>
                <w:color w:val="auto"/>
                <w:spacing w:val="-16"/>
                <w:kern w:val="21"/>
                <w:sz w:val="21"/>
                <w:szCs w:val="21"/>
                <w:u w:val="none" w:color="auto"/>
              </w:rPr>
            </w:pPr>
            <w:r>
              <w:rPr>
                <w:rFonts w:hint="default" w:ascii="Times New Roman" w:hAnsi="Times New Roman" w:eastAsia="宋体" w:cs="Times New Roman"/>
                <w:b/>
                <w:bCs/>
                <w:snapToGrid w:val="0"/>
                <w:color w:val="auto"/>
                <w:spacing w:val="-16"/>
                <w:kern w:val="21"/>
                <w:sz w:val="21"/>
                <w:szCs w:val="21"/>
                <w:u w:val="none" w:color="auto"/>
              </w:rPr>
              <w:t>本项目建成后</w:t>
            </w:r>
          </w:p>
          <w:p w14:paraId="2A1D2286">
            <w:pPr>
              <w:pStyle w:val="42"/>
              <w:spacing w:beforeLines="0" w:afterLines="0" w:line="240" w:lineRule="auto"/>
              <w:jc w:val="center"/>
              <w:rPr>
                <w:rFonts w:hint="default" w:ascii="Times New Roman" w:hAnsi="Times New Roman" w:eastAsia="宋体" w:cs="Times New Roman"/>
                <w:b/>
                <w:bCs/>
                <w:snapToGrid w:val="0"/>
                <w:color w:val="auto"/>
                <w:spacing w:val="-16"/>
                <w:kern w:val="21"/>
                <w:sz w:val="21"/>
                <w:szCs w:val="21"/>
                <w:u w:val="none" w:color="auto"/>
              </w:rPr>
            </w:pPr>
            <w:r>
              <w:rPr>
                <w:rFonts w:hint="default" w:ascii="Times New Roman" w:hAnsi="Times New Roman" w:eastAsia="宋体" w:cs="Times New Roman"/>
                <w:b/>
                <w:bCs/>
                <w:snapToGrid w:val="0"/>
                <w:color w:val="auto"/>
                <w:spacing w:val="-16"/>
                <w:kern w:val="21"/>
                <w:sz w:val="21"/>
                <w:szCs w:val="21"/>
                <w:u w:val="none" w:color="auto"/>
              </w:rPr>
              <w:t>全厂排放量（固体废物产生量）</w:t>
            </w:r>
            <w:r>
              <w:rPr>
                <w:rFonts w:hint="default" w:ascii="Times New Roman" w:hAnsi="Times New Roman" w:eastAsia="宋体" w:cs="Times New Roman"/>
                <w:b/>
                <w:bCs/>
                <w:snapToGrid w:val="0"/>
                <w:color w:val="auto"/>
                <w:spacing w:val="-16"/>
                <w:kern w:val="21"/>
                <w:sz w:val="21"/>
                <w:szCs w:val="21"/>
                <w:u w:val="none" w:color="auto"/>
              </w:rPr>
              <w:fldChar w:fldCharType="begin"/>
            </w:r>
            <w:r>
              <w:rPr>
                <w:rFonts w:hint="default" w:ascii="Times New Roman" w:hAnsi="Times New Roman" w:eastAsia="宋体" w:cs="Times New Roman"/>
                <w:b/>
                <w:bCs/>
                <w:snapToGrid w:val="0"/>
                <w:color w:val="auto"/>
                <w:spacing w:val="-16"/>
                <w:kern w:val="21"/>
                <w:sz w:val="21"/>
                <w:szCs w:val="21"/>
                <w:u w:val="none" w:color="auto"/>
              </w:rPr>
              <w:instrText xml:space="preserve"> = 6 \* GB3 \* MERGEFORMAT </w:instrText>
            </w:r>
            <w:r>
              <w:rPr>
                <w:rFonts w:hint="default" w:ascii="Times New Roman" w:hAnsi="Times New Roman" w:eastAsia="宋体" w:cs="Times New Roman"/>
                <w:b/>
                <w:bCs/>
                <w:snapToGrid w:val="0"/>
                <w:color w:val="auto"/>
                <w:spacing w:val="-16"/>
                <w:kern w:val="21"/>
                <w:sz w:val="21"/>
                <w:szCs w:val="21"/>
                <w:u w:val="none" w:color="auto"/>
              </w:rPr>
              <w:fldChar w:fldCharType="separate"/>
            </w:r>
            <w:r>
              <w:rPr>
                <w:rFonts w:hint="default" w:ascii="Times New Roman" w:hAnsi="Times New Roman" w:eastAsia="宋体" w:cs="Times New Roman"/>
                <w:b/>
                <w:bCs/>
                <w:color w:val="auto"/>
                <w:kern w:val="2"/>
                <w:sz w:val="21"/>
                <w:szCs w:val="21"/>
                <w:u w:val="none" w:color="auto"/>
              </w:rPr>
              <w:t>⑥</w:t>
            </w:r>
            <w:r>
              <w:rPr>
                <w:rFonts w:hint="default" w:ascii="Times New Roman" w:hAnsi="Times New Roman" w:eastAsia="宋体" w:cs="Times New Roman"/>
                <w:b/>
                <w:bCs/>
                <w:snapToGrid w:val="0"/>
                <w:color w:val="auto"/>
                <w:spacing w:val="-16"/>
                <w:kern w:val="21"/>
                <w:sz w:val="21"/>
                <w:szCs w:val="21"/>
                <w:u w:val="none" w:color="auto"/>
              </w:rPr>
              <w:fldChar w:fldCharType="end"/>
            </w:r>
          </w:p>
        </w:tc>
        <w:tc>
          <w:tcPr>
            <w:tcW w:w="1543" w:type="dxa"/>
            <w:noWrap w:val="0"/>
            <w:tcMar>
              <w:left w:w="28" w:type="dxa"/>
              <w:right w:w="28" w:type="dxa"/>
            </w:tcMar>
            <w:vAlign w:val="center"/>
          </w:tcPr>
          <w:p w14:paraId="29712663">
            <w:pPr>
              <w:pStyle w:val="42"/>
              <w:spacing w:beforeLines="0" w:afterLines="0" w:line="240" w:lineRule="auto"/>
              <w:jc w:val="center"/>
              <w:rPr>
                <w:rFonts w:hint="default" w:ascii="Times New Roman" w:hAnsi="Times New Roman" w:eastAsia="宋体" w:cs="Times New Roman"/>
                <w:b/>
                <w:bCs/>
                <w:snapToGrid w:val="0"/>
                <w:color w:val="auto"/>
                <w:spacing w:val="-6"/>
                <w:kern w:val="21"/>
                <w:sz w:val="21"/>
                <w:szCs w:val="21"/>
                <w:u w:val="none" w:color="auto"/>
              </w:rPr>
            </w:pPr>
            <w:r>
              <w:rPr>
                <w:rFonts w:hint="default" w:ascii="Times New Roman" w:hAnsi="Times New Roman" w:eastAsia="宋体" w:cs="Times New Roman"/>
                <w:b/>
                <w:bCs/>
                <w:snapToGrid w:val="0"/>
                <w:color w:val="auto"/>
                <w:spacing w:val="-6"/>
                <w:kern w:val="21"/>
                <w:sz w:val="21"/>
                <w:szCs w:val="21"/>
                <w:u w:val="none" w:color="auto"/>
              </w:rPr>
              <w:t>变化量</w:t>
            </w:r>
          </w:p>
          <w:p w14:paraId="618687FE">
            <w:pPr>
              <w:pStyle w:val="42"/>
              <w:spacing w:beforeLines="0" w:afterLines="0" w:line="240" w:lineRule="auto"/>
              <w:jc w:val="center"/>
              <w:rPr>
                <w:rFonts w:hint="default" w:ascii="Times New Roman" w:hAnsi="Times New Roman" w:eastAsia="宋体" w:cs="Times New Roman"/>
                <w:b/>
                <w:bCs/>
                <w:snapToGrid w:val="0"/>
                <w:color w:val="auto"/>
                <w:spacing w:val="-6"/>
                <w:kern w:val="21"/>
                <w:sz w:val="21"/>
                <w:szCs w:val="21"/>
                <w:u w:val="none" w:color="auto"/>
              </w:rPr>
            </w:pPr>
            <w:r>
              <w:rPr>
                <w:rFonts w:hint="default" w:ascii="Times New Roman" w:hAnsi="Times New Roman" w:eastAsia="宋体" w:cs="Times New Roman"/>
                <w:b/>
                <w:bCs/>
                <w:snapToGrid w:val="0"/>
                <w:color w:val="auto"/>
                <w:spacing w:val="-6"/>
                <w:kern w:val="21"/>
                <w:sz w:val="21"/>
                <w:szCs w:val="21"/>
                <w:u w:val="none" w:color="auto"/>
              </w:rPr>
              <w:fldChar w:fldCharType="begin"/>
            </w:r>
            <w:r>
              <w:rPr>
                <w:rFonts w:hint="default" w:ascii="Times New Roman" w:hAnsi="Times New Roman" w:eastAsia="宋体" w:cs="Times New Roman"/>
                <w:b/>
                <w:bCs/>
                <w:snapToGrid w:val="0"/>
                <w:color w:val="auto"/>
                <w:spacing w:val="-6"/>
                <w:kern w:val="21"/>
                <w:sz w:val="21"/>
                <w:szCs w:val="21"/>
                <w:u w:val="none" w:color="auto"/>
              </w:rPr>
              <w:instrText xml:space="preserve"> = 7 \* GB3 \* MERGEFORMAT </w:instrText>
            </w:r>
            <w:r>
              <w:rPr>
                <w:rFonts w:hint="default" w:ascii="Times New Roman" w:hAnsi="Times New Roman" w:eastAsia="宋体" w:cs="Times New Roman"/>
                <w:b/>
                <w:bCs/>
                <w:snapToGrid w:val="0"/>
                <w:color w:val="auto"/>
                <w:spacing w:val="-6"/>
                <w:kern w:val="21"/>
                <w:sz w:val="21"/>
                <w:szCs w:val="21"/>
                <w:u w:val="none" w:color="auto"/>
              </w:rPr>
              <w:fldChar w:fldCharType="separate"/>
            </w:r>
            <w:r>
              <w:rPr>
                <w:rFonts w:hint="default" w:ascii="Times New Roman" w:hAnsi="Times New Roman" w:eastAsia="宋体" w:cs="Times New Roman"/>
                <w:b/>
                <w:bCs/>
                <w:color w:val="auto"/>
                <w:kern w:val="2"/>
                <w:sz w:val="21"/>
                <w:szCs w:val="21"/>
                <w:u w:val="none" w:color="auto"/>
              </w:rPr>
              <w:t>⑦</w:t>
            </w:r>
            <w:r>
              <w:rPr>
                <w:rFonts w:hint="default" w:ascii="Times New Roman" w:hAnsi="Times New Roman" w:eastAsia="宋体" w:cs="Times New Roman"/>
                <w:b/>
                <w:bCs/>
                <w:snapToGrid w:val="0"/>
                <w:color w:val="auto"/>
                <w:spacing w:val="-6"/>
                <w:kern w:val="21"/>
                <w:sz w:val="21"/>
                <w:szCs w:val="21"/>
                <w:u w:val="none" w:color="auto"/>
              </w:rPr>
              <w:fldChar w:fldCharType="end"/>
            </w:r>
          </w:p>
        </w:tc>
      </w:tr>
      <w:tr w14:paraId="295C84B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53" w:hRule="atLeast"/>
          <w:jc w:val="center"/>
        </w:trPr>
        <w:tc>
          <w:tcPr>
            <w:tcW w:w="1095" w:type="dxa"/>
            <w:vMerge w:val="restart"/>
            <w:noWrap w:val="0"/>
            <w:vAlign w:val="center"/>
          </w:tcPr>
          <w:p w14:paraId="286089A4">
            <w:pPr>
              <w:pStyle w:val="42"/>
              <w:spacing w:beforeLines="0" w:afterLines="0" w:line="240" w:lineRule="auto"/>
              <w:jc w:val="center"/>
              <w:rPr>
                <w:rFonts w:hint="default" w:ascii="Times New Roman" w:hAnsi="Times New Roman" w:eastAsia="宋体" w:cs="Times New Roman"/>
                <w:snapToGrid w:val="0"/>
                <w:color w:val="auto"/>
                <w:kern w:val="21"/>
                <w:sz w:val="21"/>
                <w:szCs w:val="21"/>
                <w:u w:val="none" w:color="auto"/>
              </w:rPr>
            </w:pPr>
            <w:r>
              <w:rPr>
                <w:rFonts w:hint="default" w:ascii="Times New Roman" w:hAnsi="Times New Roman" w:eastAsia="宋体" w:cs="Times New Roman"/>
                <w:snapToGrid w:val="0"/>
                <w:color w:val="auto"/>
                <w:kern w:val="21"/>
                <w:sz w:val="21"/>
                <w:szCs w:val="21"/>
                <w:u w:val="none" w:color="auto"/>
              </w:rPr>
              <w:t>废气</w:t>
            </w:r>
          </w:p>
        </w:tc>
        <w:tc>
          <w:tcPr>
            <w:tcW w:w="2084" w:type="dxa"/>
            <w:noWrap w:val="0"/>
            <w:vAlign w:val="center"/>
          </w:tcPr>
          <w:p w14:paraId="31550BBA">
            <w:pPr>
              <w:keepNext w:val="0"/>
              <w:keepLines w:val="0"/>
              <w:widowControl/>
              <w:suppressLineNumbers w:val="0"/>
              <w:topLinePunct w:val="0"/>
              <w:bidi w:val="0"/>
              <w:adjustRightInd/>
              <w:snapToGrid/>
              <w:jc w:val="center"/>
              <w:textAlignment w:val="center"/>
              <w:rPr>
                <w:rFonts w:hint="default" w:ascii="Times New Roman" w:hAnsi="Times New Roman" w:eastAsia="宋体" w:cs="Times New Roman"/>
                <w:b w:val="0"/>
                <w:bCs/>
                <w:color w:val="auto"/>
                <w:kern w:val="2"/>
                <w:sz w:val="21"/>
                <w:szCs w:val="21"/>
                <w:highlight w:val="none"/>
                <w:u w:val="none" w:color="auto"/>
                <w:lang w:val="en-US" w:eastAsia="zh-CN" w:bidi="ar-SA"/>
              </w:rPr>
            </w:pPr>
            <w:r>
              <w:rPr>
                <w:rFonts w:hint="default" w:ascii="Times New Roman" w:hAnsi="Times New Roman" w:eastAsia="宋体" w:cs="Times New Roman"/>
                <w:b w:val="0"/>
                <w:bCs/>
                <w:color w:val="auto"/>
                <w:kern w:val="2"/>
                <w:sz w:val="21"/>
                <w:szCs w:val="21"/>
                <w:highlight w:val="none"/>
                <w:u w:val="none" w:color="auto"/>
                <w:lang w:val="en-US" w:eastAsia="zh-CN" w:bidi="ar-SA"/>
              </w:rPr>
              <w:t>非甲烷总烃</w:t>
            </w:r>
          </w:p>
        </w:tc>
        <w:tc>
          <w:tcPr>
            <w:tcW w:w="1515" w:type="dxa"/>
            <w:noWrap w:val="0"/>
            <w:vAlign w:val="center"/>
          </w:tcPr>
          <w:p w14:paraId="4458757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0</w:t>
            </w:r>
          </w:p>
        </w:tc>
        <w:tc>
          <w:tcPr>
            <w:tcW w:w="1391" w:type="dxa"/>
            <w:noWrap w:val="0"/>
            <w:vAlign w:val="center"/>
          </w:tcPr>
          <w:p w14:paraId="31D8266E">
            <w:pPr>
              <w:jc w:val="center"/>
              <w:rPr>
                <w:rFonts w:hint="default" w:ascii="Times New Roman" w:hAnsi="Times New Roman" w:eastAsia="宋体" w:cs="Times New Roman"/>
                <w:snapToGrid w:val="0"/>
                <w:color w:val="auto"/>
                <w:kern w:val="21"/>
                <w:sz w:val="21"/>
                <w:szCs w:val="21"/>
                <w:highlight w:val="none"/>
                <w:u w:val="none" w:color="auto"/>
              </w:rPr>
            </w:pPr>
            <w:r>
              <w:rPr>
                <w:rFonts w:hint="default" w:ascii="Times New Roman" w:hAnsi="Times New Roman" w:eastAsia="宋体" w:cs="Times New Roman"/>
                <w:color w:val="auto"/>
                <w:kern w:val="2"/>
                <w:sz w:val="21"/>
                <w:szCs w:val="21"/>
                <w:highlight w:val="none"/>
                <w:u w:val="none" w:color="auto"/>
                <w:lang w:val="en-US" w:eastAsia="zh-CN" w:bidi="ar-SA"/>
              </w:rPr>
              <w:t>/</w:t>
            </w:r>
          </w:p>
        </w:tc>
        <w:tc>
          <w:tcPr>
            <w:tcW w:w="1540" w:type="dxa"/>
            <w:noWrap w:val="0"/>
            <w:vAlign w:val="center"/>
          </w:tcPr>
          <w:p w14:paraId="3C5C0021">
            <w:pPr>
              <w:jc w:val="center"/>
              <w:rPr>
                <w:rFonts w:hint="default" w:ascii="Times New Roman" w:hAnsi="Times New Roman" w:eastAsia="宋体" w:cs="Times New Roman"/>
                <w:snapToGrid w:val="0"/>
                <w:color w:val="auto"/>
                <w:kern w:val="21"/>
                <w:sz w:val="21"/>
                <w:szCs w:val="21"/>
                <w:highlight w:val="none"/>
                <w:u w:val="none" w:color="auto"/>
                <w:lang w:val="en-US" w:eastAsia="zh-CN"/>
              </w:rPr>
            </w:pPr>
            <w:r>
              <w:rPr>
                <w:rFonts w:hint="default" w:ascii="Times New Roman" w:hAnsi="Times New Roman" w:eastAsia="宋体" w:cs="Times New Roman"/>
                <w:color w:val="auto"/>
                <w:kern w:val="2"/>
                <w:sz w:val="21"/>
                <w:szCs w:val="21"/>
                <w:highlight w:val="none"/>
                <w:u w:val="none" w:color="auto"/>
                <w:lang w:val="en-US" w:eastAsia="zh-CN" w:bidi="ar-SA"/>
              </w:rPr>
              <w:t>0.033</w:t>
            </w:r>
          </w:p>
        </w:tc>
        <w:tc>
          <w:tcPr>
            <w:tcW w:w="1540" w:type="dxa"/>
            <w:noWrap w:val="0"/>
            <w:vAlign w:val="center"/>
          </w:tcPr>
          <w:p w14:paraId="0F736C8E">
            <w:pPr>
              <w:jc w:val="center"/>
              <w:outlineLvl w:val="9"/>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2.8934</w:t>
            </w:r>
          </w:p>
        </w:tc>
        <w:tc>
          <w:tcPr>
            <w:tcW w:w="1540" w:type="dxa"/>
            <w:noWrap w:val="0"/>
            <w:vAlign w:val="center"/>
          </w:tcPr>
          <w:p w14:paraId="157047F1">
            <w:pPr>
              <w:jc w:val="center"/>
              <w:rPr>
                <w:rFonts w:hint="default" w:ascii="Times New Roman" w:hAnsi="Times New Roman" w:eastAsia="宋体" w:cs="Times New Roman"/>
                <w:snapToGrid w:val="0"/>
                <w:color w:val="auto"/>
                <w:kern w:val="21"/>
                <w:sz w:val="21"/>
                <w:szCs w:val="21"/>
                <w:highlight w:val="none"/>
                <w:u w:val="none" w:color="auto"/>
                <w:lang w:val="en-US" w:eastAsia="zh-CN"/>
              </w:rPr>
            </w:pPr>
            <w:r>
              <w:rPr>
                <w:rFonts w:hint="default" w:ascii="Times New Roman" w:hAnsi="Times New Roman" w:eastAsia="宋体" w:cs="Times New Roman"/>
                <w:snapToGrid w:val="0"/>
                <w:color w:val="auto"/>
                <w:kern w:val="21"/>
                <w:sz w:val="21"/>
                <w:szCs w:val="21"/>
                <w:highlight w:val="none"/>
                <w:u w:val="none" w:color="auto"/>
                <w:lang w:val="en-US" w:eastAsia="zh-CN"/>
              </w:rPr>
              <w:t>0</w:t>
            </w:r>
          </w:p>
        </w:tc>
        <w:tc>
          <w:tcPr>
            <w:tcW w:w="1540" w:type="dxa"/>
            <w:noWrap w:val="0"/>
            <w:vAlign w:val="center"/>
          </w:tcPr>
          <w:p w14:paraId="593577F0">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2.9264</w:t>
            </w:r>
          </w:p>
        </w:tc>
        <w:tc>
          <w:tcPr>
            <w:tcW w:w="1543" w:type="dxa"/>
            <w:shd w:val="clear" w:color="auto" w:fill="auto"/>
            <w:noWrap w:val="0"/>
            <w:vAlign w:val="center"/>
          </w:tcPr>
          <w:p w14:paraId="4A137E00">
            <w:pPr>
              <w:jc w:val="center"/>
              <w:outlineLvl w:val="9"/>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+2.8934</w:t>
            </w:r>
          </w:p>
        </w:tc>
      </w:tr>
      <w:tr w14:paraId="195D8D3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53" w:hRule="atLeast"/>
          <w:jc w:val="center"/>
        </w:trPr>
        <w:tc>
          <w:tcPr>
            <w:tcW w:w="1095" w:type="dxa"/>
            <w:vMerge w:val="continue"/>
            <w:noWrap w:val="0"/>
            <w:vAlign w:val="center"/>
          </w:tcPr>
          <w:p w14:paraId="26705401">
            <w:pPr>
              <w:pStyle w:val="42"/>
              <w:spacing w:beforeLines="0" w:afterLines="0" w:line="240" w:lineRule="auto"/>
              <w:jc w:val="center"/>
              <w:rPr>
                <w:rFonts w:hint="default" w:ascii="Times New Roman" w:hAnsi="Times New Roman" w:eastAsia="宋体" w:cs="Times New Roman"/>
                <w:snapToGrid w:val="0"/>
                <w:color w:val="auto"/>
                <w:kern w:val="21"/>
                <w:sz w:val="21"/>
                <w:szCs w:val="21"/>
                <w:u w:val="none" w:color="auto"/>
              </w:rPr>
            </w:pPr>
          </w:p>
        </w:tc>
        <w:tc>
          <w:tcPr>
            <w:tcW w:w="2084" w:type="dxa"/>
            <w:noWrap w:val="0"/>
            <w:vAlign w:val="center"/>
          </w:tcPr>
          <w:p w14:paraId="35EC675F">
            <w:pPr>
              <w:keepNext w:val="0"/>
              <w:keepLines w:val="0"/>
              <w:widowControl/>
              <w:suppressLineNumbers w:val="0"/>
              <w:topLinePunct w:val="0"/>
              <w:bidi w:val="0"/>
              <w:adjustRightInd/>
              <w:snapToGrid/>
              <w:jc w:val="center"/>
              <w:textAlignment w:val="center"/>
              <w:rPr>
                <w:rFonts w:hint="default" w:ascii="Times New Roman" w:hAnsi="Times New Roman" w:eastAsia="宋体" w:cs="Times New Roman"/>
                <w:b w:val="0"/>
                <w:bCs/>
                <w:color w:val="auto"/>
                <w:kern w:val="2"/>
                <w:sz w:val="21"/>
                <w:szCs w:val="21"/>
                <w:highlight w:val="none"/>
                <w:u w:val="none" w:color="auto"/>
                <w:lang w:val="en-US" w:eastAsia="zh-CN" w:bidi="ar-SA"/>
              </w:rPr>
            </w:pPr>
            <w:r>
              <w:rPr>
                <w:rFonts w:hint="default" w:ascii="Times New Roman" w:hAnsi="Times New Roman" w:eastAsia="宋体" w:cs="Times New Roman"/>
                <w:b w:val="0"/>
                <w:bCs/>
                <w:i w:val="0"/>
                <w:iCs w:val="0"/>
                <w:color w:val="auto"/>
                <w:kern w:val="0"/>
                <w:sz w:val="21"/>
                <w:szCs w:val="21"/>
                <w:highlight w:val="none"/>
                <w:u w:val="none" w:color="auto"/>
                <w:lang w:val="en-US" w:eastAsia="zh-CN" w:bidi="ar"/>
              </w:rPr>
              <w:t>颗粒物</w:t>
            </w:r>
          </w:p>
        </w:tc>
        <w:tc>
          <w:tcPr>
            <w:tcW w:w="1515" w:type="dxa"/>
            <w:noWrap w:val="0"/>
            <w:vAlign w:val="center"/>
          </w:tcPr>
          <w:p w14:paraId="58DE659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2.3562</w:t>
            </w:r>
          </w:p>
        </w:tc>
        <w:tc>
          <w:tcPr>
            <w:tcW w:w="1391" w:type="dxa"/>
            <w:noWrap w:val="0"/>
            <w:vAlign w:val="center"/>
          </w:tcPr>
          <w:p w14:paraId="7A07DC4E">
            <w:pPr>
              <w:jc w:val="center"/>
              <w:rPr>
                <w:rFonts w:hint="default" w:ascii="Times New Roman" w:hAnsi="Times New Roman" w:eastAsia="宋体" w:cs="Times New Roman"/>
                <w:snapToGrid w:val="0"/>
                <w:color w:val="auto"/>
                <w:kern w:val="21"/>
                <w:sz w:val="21"/>
                <w:szCs w:val="21"/>
                <w:highlight w:val="none"/>
                <w:u w:val="none" w:color="auto"/>
              </w:rPr>
            </w:pPr>
            <w:r>
              <w:rPr>
                <w:rFonts w:hint="default" w:ascii="Times New Roman" w:hAnsi="Times New Roman" w:eastAsia="宋体" w:cs="Times New Roman"/>
                <w:color w:val="auto"/>
                <w:kern w:val="2"/>
                <w:sz w:val="21"/>
                <w:szCs w:val="21"/>
                <w:highlight w:val="none"/>
                <w:u w:val="none" w:color="auto"/>
                <w:lang w:val="en-US" w:eastAsia="zh-CN" w:bidi="ar-SA"/>
              </w:rPr>
              <w:t>/</w:t>
            </w:r>
          </w:p>
        </w:tc>
        <w:tc>
          <w:tcPr>
            <w:tcW w:w="1540" w:type="dxa"/>
            <w:noWrap w:val="0"/>
            <w:vAlign w:val="center"/>
          </w:tcPr>
          <w:p w14:paraId="78862CC2">
            <w:pPr>
              <w:jc w:val="center"/>
              <w:rPr>
                <w:rFonts w:hint="default" w:ascii="Times New Roman" w:hAnsi="Times New Roman" w:eastAsia="宋体" w:cs="Times New Roman"/>
                <w:snapToGrid w:val="0"/>
                <w:color w:val="auto"/>
                <w:kern w:val="21"/>
                <w:sz w:val="21"/>
                <w:szCs w:val="21"/>
                <w:highlight w:val="none"/>
                <w:u w:val="none" w:color="auto"/>
              </w:rPr>
            </w:pPr>
            <w:r>
              <w:rPr>
                <w:rFonts w:hint="default" w:ascii="Times New Roman" w:hAnsi="Times New Roman" w:eastAsia="宋体" w:cs="Times New Roman"/>
                <w:snapToGrid w:val="0"/>
                <w:color w:val="auto"/>
                <w:kern w:val="21"/>
                <w:sz w:val="21"/>
                <w:szCs w:val="21"/>
                <w:highlight w:val="none"/>
                <w:u w:val="none" w:color="auto"/>
                <w:lang w:val="en-US" w:eastAsia="zh-CN"/>
              </w:rPr>
              <w:t>0</w:t>
            </w:r>
          </w:p>
        </w:tc>
        <w:tc>
          <w:tcPr>
            <w:tcW w:w="1540" w:type="dxa"/>
            <w:noWrap w:val="0"/>
            <w:vAlign w:val="center"/>
          </w:tcPr>
          <w:p w14:paraId="2C0696AE">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17.7067‬</w:t>
            </w:r>
          </w:p>
        </w:tc>
        <w:tc>
          <w:tcPr>
            <w:tcW w:w="1540" w:type="dxa"/>
            <w:noWrap w:val="0"/>
            <w:vAlign w:val="center"/>
          </w:tcPr>
          <w:p w14:paraId="0E52A93B">
            <w:pPr>
              <w:jc w:val="center"/>
              <w:rPr>
                <w:rFonts w:hint="default" w:ascii="Times New Roman" w:hAnsi="Times New Roman" w:eastAsia="宋体" w:cs="Times New Roman"/>
                <w:snapToGrid w:val="0"/>
                <w:color w:val="auto"/>
                <w:kern w:val="21"/>
                <w:sz w:val="21"/>
                <w:szCs w:val="21"/>
                <w:highlight w:val="none"/>
                <w:u w:val="none" w:color="auto"/>
                <w:lang w:val="en-US" w:eastAsia="zh-CN"/>
              </w:rPr>
            </w:pPr>
            <w:r>
              <w:rPr>
                <w:rFonts w:hint="default" w:ascii="Times New Roman" w:hAnsi="Times New Roman" w:eastAsia="宋体" w:cs="Times New Roman"/>
                <w:snapToGrid w:val="0"/>
                <w:color w:val="auto"/>
                <w:kern w:val="21"/>
                <w:sz w:val="21"/>
                <w:szCs w:val="21"/>
                <w:highlight w:val="none"/>
                <w:u w:val="none" w:color="auto"/>
                <w:lang w:val="en-US" w:eastAsia="zh-CN"/>
              </w:rPr>
              <w:t>0</w:t>
            </w:r>
          </w:p>
        </w:tc>
        <w:tc>
          <w:tcPr>
            <w:tcW w:w="1540" w:type="dxa"/>
            <w:noWrap w:val="0"/>
            <w:vAlign w:val="center"/>
          </w:tcPr>
          <w:p w14:paraId="077FED4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20.0629</w:t>
            </w:r>
          </w:p>
        </w:tc>
        <w:tc>
          <w:tcPr>
            <w:tcW w:w="1543" w:type="dxa"/>
            <w:shd w:val="clear" w:color="auto" w:fill="auto"/>
            <w:noWrap w:val="0"/>
            <w:vAlign w:val="center"/>
          </w:tcPr>
          <w:p w14:paraId="1D059C97">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+17.7067‬</w:t>
            </w:r>
          </w:p>
        </w:tc>
      </w:tr>
      <w:tr w14:paraId="63DF8C4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53" w:hRule="atLeast"/>
          <w:jc w:val="center"/>
        </w:trPr>
        <w:tc>
          <w:tcPr>
            <w:tcW w:w="1095" w:type="dxa"/>
            <w:vMerge w:val="continue"/>
            <w:noWrap w:val="0"/>
            <w:vAlign w:val="center"/>
          </w:tcPr>
          <w:p w14:paraId="72B20EDC">
            <w:pPr>
              <w:pStyle w:val="42"/>
              <w:spacing w:beforeLines="0" w:afterLines="0" w:line="240" w:lineRule="auto"/>
              <w:jc w:val="center"/>
              <w:rPr>
                <w:rFonts w:hint="default" w:ascii="Times New Roman" w:hAnsi="Times New Roman" w:eastAsia="宋体" w:cs="Times New Roman"/>
                <w:snapToGrid w:val="0"/>
                <w:color w:val="auto"/>
                <w:kern w:val="21"/>
                <w:sz w:val="21"/>
                <w:szCs w:val="21"/>
                <w:u w:val="none" w:color="auto"/>
              </w:rPr>
            </w:pPr>
          </w:p>
        </w:tc>
        <w:tc>
          <w:tcPr>
            <w:tcW w:w="2084" w:type="dxa"/>
            <w:noWrap w:val="0"/>
            <w:vAlign w:val="center"/>
          </w:tcPr>
          <w:p w14:paraId="726B3425">
            <w:pPr>
              <w:keepNext w:val="0"/>
              <w:keepLines w:val="0"/>
              <w:widowControl/>
              <w:suppressLineNumbers w:val="0"/>
              <w:topLinePunct w:val="0"/>
              <w:bidi w:val="0"/>
              <w:adjustRightInd/>
              <w:snapToGrid/>
              <w:jc w:val="center"/>
              <w:textAlignment w:val="center"/>
              <w:rPr>
                <w:rFonts w:hint="default" w:ascii="Times New Roman" w:hAnsi="Times New Roman" w:eastAsia="宋体" w:cs="Times New Roman"/>
                <w:b w:val="0"/>
                <w:bCs/>
                <w:color w:val="auto"/>
                <w:kern w:val="2"/>
                <w:sz w:val="21"/>
                <w:szCs w:val="21"/>
                <w:highlight w:val="none"/>
                <w:u w:val="none" w:color="auto"/>
                <w:lang w:val="en-US" w:eastAsia="zh-CN" w:bidi="ar-SA"/>
              </w:rPr>
            </w:pPr>
            <w:r>
              <w:rPr>
                <w:rFonts w:hint="default" w:ascii="Times New Roman" w:hAnsi="Times New Roman" w:eastAsia="宋体" w:cs="Times New Roman"/>
                <w:b w:val="0"/>
                <w:bCs/>
                <w:i w:val="0"/>
                <w:iCs w:val="0"/>
                <w:color w:val="auto"/>
                <w:kern w:val="0"/>
                <w:sz w:val="21"/>
                <w:szCs w:val="21"/>
                <w:u w:val="none" w:color="auto"/>
                <w:lang w:val="en-US" w:eastAsia="zh-CN" w:bidi="ar"/>
              </w:rPr>
              <w:t>二氧化硫</w:t>
            </w:r>
          </w:p>
        </w:tc>
        <w:tc>
          <w:tcPr>
            <w:tcW w:w="1515" w:type="dxa"/>
            <w:noWrap w:val="0"/>
            <w:vAlign w:val="center"/>
          </w:tcPr>
          <w:p w14:paraId="4F82B99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1.4967</w:t>
            </w:r>
          </w:p>
        </w:tc>
        <w:tc>
          <w:tcPr>
            <w:tcW w:w="1391" w:type="dxa"/>
            <w:noWrap w:val="0"/>
            <w:vAlign w:val="center"/>
          </w:tcPr>
          <w:p w14:paraId="17E0C91B">
            <w:pPr>
              <w:jc w:val="center"/>
              <w:rPr>
                <w:rFonts w:hint="default" w:ascii="Times New Roman" w:hAnsi="Times New Roman" w:eastAsia="宋体" w:cs="Times New Roman"/>
                <w:snapToGrid w:val="0"/>
                <w:color w:val="auto"/>
                <w:kern w:val="21"/>
                <w:sz w:val="21"/>
                <w:szCs w:val="21"/>
                <w:u w:val="none" w:color="auto"/>
                <w:lang w:val="en-US" w:eastAsia="zh-CN"/>
              </w:rPr>
            </w:pPr>
            <w:r>
              <w:rPr>
                <w:rFonts w:hint="default" w:ascii="Times New Roman" w:hAnsi="Times New Roman" w:eastAsia="宋体" w:cs="Times New Roman"/>
                <w:snapToGrid w:val="0"/>
                <w:color w:val="auto"/>
                <w:kern w:val="21"/>
                <w:sz w:val="21"/>
                <w:szCs w:val="21"/>
                <w:u w:val="none" w:color="auto"/>
                <w:lang w:val="en-US" w:eastAsia="zh-CN"/>
              </w:rPr>
              <w:t>1.5</w:t>
            </w:r>
          </w:p>
        </w:tc>
        <w:tc>
          <w:tcPr>
            <w:tcW w:w="1540" w:type="dxa"/>
            <w:noWrap w:val="0"/>
            <w:vAlign w:val="center"/>
          </w:tcPr>
          <w:p w14:paraId="36CD6952">
            <w:pPr>
              <w:jc w:val="center"/>
              <w:rPr>
                <w:rFonts w:hint="default" w:ascii="Times New Roman" w:hAnsi="Times New Roman" w:eastAsia="宋体" w:cs="Times New Roman"/>
                <w:snapToGrid w:val="0"/>
                <w:color w:val="auto"/>
                <w:kern w:val="21"/>
                <w:sz w:val="21"/>
                <w:szCs w:val="21"/>
                <w:u w:val="none" w:color="auto"/>
              </w:rPr>
            </w:pPr>
            <w:r>
              <w:rPr>
                <w:rFonts w:hint="default" w:ascii="Times New Roman" w:hAnsi="Times New Roman" w:eastAsia="宋体" w:cs="Times New Roman"/>
                <w:snapToGrid w:val="0"/>
                <w:color w:val="auto"/>
                <w:kern w:val="21"/>
                <w:sz w:val="21"/>
                <w:szCs w:val="21"/>
                <w:u w:val="none" w:color="auto"/>
                <w:lang w:val="en-US" w:eastAsia="zh-CN"/>
              </w:rPr>
              <w:t>0</w:t>
            </w:r>
          </w:p>
        </w:tc>
        <w:tc>
          <w:tcPr>
            <w:tcW w:w="1540" w:type="dxa"/>
            <w:noWrap w:val="0"/>
            <w:vAlign w:val="center"/>
          </w:tcPr>
          <w:p w14:paraId="6D365FF4">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5.6491</w:t>
            </w:r>
          </w:p>
        </w:tc>
        <w:tc>
          <w:tcPr>
            <w:tcW w:w="1540" w:type="dxa"/>
            <w:noWrap w:val="0"/>
            <w:vAlign w:val="center"/>
          </w:tcPr>
          <w:p w14:paraId="72059CBB">
            <w:pPr>
              <w:jc w:val="center"/>
              <w:rPr>
                <w:rFonts w:hint="default" w:ascii="Times New Roman" w:hAnsi="Times New Roman" w:eastAsia="宋体" w:cs="Times New Roman"/>
                <w:snapToGrid w:val="0"/>
                <w:color w:val="auto"/>
                <w:kern w:val="21"/>
                <w:sz w:val="21"/>
                <w:szCs w:val="21"/>
                <w:u w:val="none" w:color="auto"/>
              </w:rPr>
            </w:pPr>
            <w:r>
              <w:rPr>
                <w:rFonts w:hint="default" w:ascii="Times New Roman" w:hAnsi="Times New Roman" w:eastAsia="宋体" w:cs="Times New Roman"/>
                <w:snapToGrid w:val="0"/>
                <w:color w:val="auto"/>
                <w:kern w:val="21"/>
                <w:sz w:val="21"/>
                <w:szCs w:val="21"/>
                <w:highlight w:val="none"/>
                <w:u w:val="none" w:color="auto"/>
                <w:lang w:val="en-US" w:eastAsia="zh-CN"/>
              </w:rPr>
              <w:t>0</w:t>
            </w:r>
          </w:p>
        </w:tc>
        <w:tc>
          <w:tcPr>
            <w:tcW w:w="1540" w:type="dxa"/>
            <w:noWrap w:val="0"/>
            <w:vAlign w:val="center"/>
          </w:tcPr>
          <w:p w14:paraId="3F5709D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7.1458</w:t>
            </w:r>
          </w:p>
        </w:tc>
        <w:tc>
          <w:tcPr>
            <w:tcW w:w="1543" w:type="dxa"/>
            <w:shd w:val="clear" w:color="auto" w:fill="auto"/>
            <w:noWrap w:val="0"/>
            <w:vAlign w:val="center"/>
          </w:tcPr>
          <w:p w14:paraId="26C47048">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+5.6491</w:t>
            </w:r>
          </w:p>
        </w:tc>
      </w:tr>
      <w:tr w14:paraId="481B573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95" w:type="dxa"/>
            <w:vMerge w:val="continue"/>
            <w:noWrap w:val="0"/>
            <w:vAlign w:val="center"/>
          </w:tcPr>
          <w:p w14:paraId="0D69F574">
            <w:pPr>
              <w:pStyle w:val="42"/>
              <w:spacing w:beforeLines="0" w:afterLines="0" w:line="240" w:lineRule="auto"/>
              <w:jc w:val="center"/>
              <w:rPr>
                <w:rFonts w:hint="default" w:ascii="Times New Roman" w:hAnsi="Times New Roman" w:eastAsia="宋体" w:cs="Times New Roman"/>
                <w:snapToGrid w:val="0"/>
                <w:color w:val="auto"/>
                <w:kern w:val="21"/>
                <w:sz w:val="21"/>
                <w:szCs w:val="21"/>
                <w:u w:val="none" w:color="auto"/>
              </w:rPr>
            </w:pPr>
          </w:p>
        </w:tc>
        <w:tc>
          <w:tcPr>
            <w:tcW w:w="2084" w:type="dxa"/>
            <w:noWrap w:val="0"/>
            <w:vAlign w:val="center"/>
          </w:tcPr>
          <w:p w14:paraId="14F8A4C3">
            <w:pPr>
              <w:keepNext w:val="0"/>
              <w:keepLines w:val="0"/>
              <w:widowControl/>
              <w:suppressLineNumbers w:val="0"/>
              <w:topLinePunct w:val="0"/>
              <w:bidi w:val="0"/>
              <w:adjustRightInd/>
              <w:snapToGrid/>
              <w:jc w:val="center"/>
              <w:textAlignment w:val="center"/>
              <w:rPr>
                <w:rFonts w:hint="default" w:ascii="Times New Roman" w:hAnsi="Times New Roman" w:eastAsia="宋体" w:cs="Times New Roman"/>
                <w:b w:val="0"/>
                <w:bCs/>
                <w:color w:val="auto"/>
                <w:kern w:val="2"/>
                <w:sz w:val="21"/>
                <w:szCs w:val="21"/>
                <w:highlight w:val="none"/>
                <w:u w:val="none" w:color="auto"/>
                <w:lang w:val="zh-CN" w:eastAsia="zh-CN" w:bidi="ar-SA"/>
              </w:rPr>
            </w:pPr>
            <w:r>
              <w:rPr>
                <w:rFonts w:hint="default" w:ascii="Times New Roman" w:hAnsi="Times New Roman" w:eastAsia="宋体" w:cs="Times New Roman"/>
                <w:b w:val="0"/>
                <w:bCs/>
                <w:i w:val="0"/>
                <w:iCs w:val="0"/>
                <w:color w:val="auto"/>
                <w:kern w:val="0"/>
                <w:sz w:val="21"/>
                <w:szCs w:val="21"/>
                <w:u w:val="none" w:color="auto"/>
                <w:lang w:val="en-US" w:eastAsia="zh-CN" w:bidi="ar"/>
              </w:rPr>
              <w:t>氮氧化物</w:t>
            </w:r>
          </w:p>
        </w:tc>
        <w:tc>
          <w:tcPr>
            <w:tcW w:w="1515" w:type="dxa"/>
            <w:noWrap w:val="0"/>
            <w:vAlign w:val="center"/>
          </w:tcPr>
          <w:p w14:paraId="7081CE2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11.4613</w:t>
            </w:r>
          </w:p>
        </w:tc>
        <w:tc>
          <w:tcPr>
            <w:tcW w:w="1391" w:type="dxa"/>
            <w:noWrap w:val="0"/>
            <w:vAlign w:val="center"/>
          </w:tcPr>
          <w:p w14:paraId="13D6CAFD">
            <w:pPr>
              <w:jc w:val="center"/>
              <w:rPr>
                <w:rFonts w:hint="default" w:ascii="Times New Roman" w:hAnsi="Times New Roman" w:eastAsia="宋体" w:cs="Times New Roman"/>
                <w:snapToGrid w:val="0"/>
                <w:color w:val="auto"/>
                <w:kern w:val="21"/>
                <w:sz w:val="21"/>
                <w:szCs w:val="21"/>
                <w:u w:val="none" w:color="auto"/>
                <w:lang w:val="en-US" w:eastAsia="zh-CN"/>
              </w:rPr>
            </w:pPr>
            <w:r>
              <w:rPr>
                <w:rFonts w:hint="default" w:ascii="Times New Roman" w:hAnsi="Times New Roman" w:eastAsia="宋体" w:cs="Times New Roman"/>
                <w:snapToGrid w:val="0"/>
                <w:color w:val="auto"/>
                <w:kern w:val="21"/>
                <w:sz w:val="21"/>
                <w:szCs w:val="21"/>
                <w:u w:val="none" w:color="auto"/>
                <w:lang w:val="en-US" w:eastAsia="zh-CN"/>
              </w:rPr>
              <w:t>11.5</w:t>
            </w:r>
          </w:p>
        </w:tc>
        <w:tc>
          <w:tcPr>
            <w:tcW w:w="1540" w:type="dxa"/>
            <w:noWrap w:val="0"/>
            <w:vAlign w:val="center"/>
          </w:tcPr>
          <w:p w14:paraId="1B1A3892">
            <w:pPr>
              <w:jc w:val="center"/>
              <w:rPr>
                <w:rFonts w:hint="default" w:ascii="Times New Roman" w:hAnsi="Times New Roman" w:eastAsia="宋体" w:cs="Times New Roman"/>
                <w:snapToGrid w:val="0"/>
                <w:color w:val="auto"/>
                <w:kern w:val="21"/>
                <w:sz w:val="21"/>
                <w:szCs w:val="21"/>
                <w:u w:val="none" w:color="auto"/>
              </w:rPr>
            </w:pPr>
            <w:r>
              <w:rPr>
                <w:rFonts w:hint="default" w:ascii="Times New Roman" w:hAnsi="Times New Roman" w:eastAsia="宋体" w:cs="Times New Roman"/>
                <w:snapToGrid w:val="0"/>
                <w:color w:val="auto"/>
                <w:kern w:val="21"/>
                <w:sz w:val="21"/>
                <w:szCs w:val="21"/>
                <w:u w:val="none" w:color="auto"/>
                <w:lang w:val="en-US" w:eastAsia="zh-CN"/>
              </w:rPr>
              <w:t>0</w:t>
            </w:r>
          </w:p>
        </w:tc>
        <w:tc>
          <w:tcPr>
            <w:tcW w:w="1540" w:type="dxa"/>
            <w:noWrap w:val="0"/>
            <w:vAlign w:val="center"/>
          </w:tcPr>
          <w:p w14:paraId="70EFC147">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11.496</w:t>
            </w:r>
          </w:p>
        </w:tc>
        <w:tc>
          <w:tcPr>
            <w:tcW w:w="1540" w:type="dxa"/>
            <w:noWrap w:val="0"/>
            <w:vAlign w:val="center"/>
          </w:tcPr>
          <w:p w14:paraId="377880D5">
            <w:pPr>
              <w:jc w:val="center"/>
              <w:rPr>
                <w:rFonts w:hint="default" w:ascii="Times New Roman" w:hAnsi="Times New Roman" w:eastAsia="宋体" w:cs="Times New Roman"/>
                <w:snapToGrid w:val="0"/>
                <w:color w:val="auto"/>
                <w:kern w:val="21"/>
                <w:sz w:val="21"/>
                <w:szCs w:val="21"/>
                <w:u w:val="none" w:color="auto"/>
              </w:rPr>
            </w:pPr>
            <w:r>
              <w:rPr>
                <w:rFonts w:hint="default" w:ascii="Times New Roman" w:hAnsi="Times New Roman" w:eastAsia="宋体" w:cs="Times New Roman"/>
                <w:snapToGrid w:val="0"/>
                <w:color w:val="auto"/>
                <w:kern w:val="21"/>
                <w:sz w:val="21"/>
                <w:szCs w:val="21"/>
                <w:highlight w:val="none"/>
                <w:u w:val="none" w:color="auto"/>
                <w:lang w:val="en-US" w:eastAsia="zh-CN"/>
              </w:rPr>
              <w:t>0</w:t>
            </w:r>
          </w:p>
        </w:tc>
        <w:tc>
          <w:tcPr>
            <w:tcW w:w="1540" w:type="dxa"/>
            <w:noWrap w:val="0"/>
            <w:vAlign w:val="center"/>
          </w:tcPr>
          <w:p w14:paraId="6893099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22.9573</w:t>
            </w:r>
          </w:p>
        </w:tc>
        <w:tc>
          <w:tcPr>
            <w:tcW w:w="1543" w:type="dxa"/>
            <w:shd w:val="clear" w:color="auto" w:fill="auto"/>
            <w:noWrap w:val="0"/>
            <w:vAlign w:val="center"/>
          </w:tcPr>
          <w:p w14:paraId="06A105E1">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+11.496</w:t>
            </w:r>
          </w:p>
        </w:tc>
      </w:tr>
      <w:tr w14:paraId="2556E82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53" w:hRule="atLeast"/>
          <w:jc w:val="center"/>
        </w:trPr>
        <w:tc>
          <w:tcPr>
            <w:tcW w:w="1095" w:type="dxa"/>
            <w:vMerge w:val="continue"/>
            <w:noWrap w:val="0"/>
            <w:vAlign w:val="center"/>
          </w:tcPr>
          <w:p w14:paraId="37B66018">
            <w:pPr>
              <w:pStyle w:val="42"/>
              <w:spacing w:beforeLines="0" w:afterLines="0" w:line="240" w:lineRule="auto"/>
              <w:jc w:val="center"/>
              <w:rPr>
                <w:rFonts w:hint="default" w:ascii="Times New Roman" w:hAnsi="Times New Roman" w:eastAsia="宋体" w:cs="Times New Roman"/>
                <w:snapToGrid w:val="0"/>
                <w:color w:val="auto"/>
                <w:kern w:val="21"/>
                <w:sz w:val="21"/>
                <w:szCs w:val="21"/>
                <w:u w:val="none" w:color="auto"/>
              </w:rPr>
            </w:pPr>
          </w:p>
        </w:tc>
        <w:tc>
          <w:tcPr>
            <w:tcW w:w="2084" w:type="dxa"/>
            <w:noWrap w:val="0"/>
            <w:vAlign w:val="center"/>
          </w:tcPr>
          <w:p w14:paraId="6D269EE4">
            <w:pPr>
              <w:keepNext w:val="0"/>
              <w:keepLines w:val="0"/>
              <w:widowControl/>
              <w:suppressLineNumbers w:val="0"/>
              <w:topLinePunct w:val="0"/>
              <w:bidi w:val="0"/>
              <w:adjustRightInd/>
              <w:snapToGrid/>
              <w:jc w:val="center"/>
              <w:textAlignment w:val="center"/>
              <w:rPr>
                <w:rFonts w:hint="default" w:ascii="Times New Roman" w:hAnsi="Times New Roman" w:eastAsia="宋体" w:cs="Times New Roman"/>
                <w:b w:val="0"/>
                <w:bCs/>
                <w:color w:val="auto"/>
                <w:kern w:val="2"/>
                <w:sz w:val="21"/>
                <w:szCs w:val="21"/>
                <w:highlight w:val="none"/>
                <w:u w:val="none" w:color="auto"/>
                <w:lang w:val="en-US" w:eastAsia="zh-CN" w:bidi="ar-SA"/>
              </w:rPr>
            </w:pPr>
            <w:r>
              <w:rPr>
                <w:rFonts w:hint="default" w:ascii="Times New Roman" w:hAnsi="Times New Roman" w:eastAsia="宋体" w:cs="Times New Roman"/>
                <w:b w:val="0"/>
                <w:bCs/>
                <w:i w:val="0"/>
                <w:iCs w:val="0"/>
                <w:color w:val="auto"/>
                <w:kern w:val="0"/>
                <w:sz w:val="21"/>
                <w:szCs w:val="21"/>
                <w:u w:val="none" w:color="auto"/>
                <w:lang w:val="en-US" w:eastAsia="zh-CN" w:bidi="ar"/>
              </w:rPr>
              <w:t>锰及其化合物</w:t>
            </w:r>
          </w:p>
        </w:tc>
        <w:tc>
          <w:tcPr>
            <w:tcW w:w="1515" w:type="dxa"/>
            <w:noWrap w:val="0"/>
            <w:vAlign w:val="center"/>
          </w:tcPr>
          <w:p w14:paraId="15FF6AD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0.00100575</w:t>
            </w:r>
          </w:p>
        </w:tc>
        <w:tc>
          <w:tcPr>
            <w:tcW w:w="1391" w:type="dxa"/>
            <w:noWrap w:val="0"/>
            <w:vAlign w:val="center"/>
          </w:tcPr>
          <w:p w14:paraId="5C483DA5">
            <w:pPr>
              <w:jc w:val="center"/>
              <w:rPr>
                <w:rFonts w:hint="default" w:ascii="Times New Roman" w:hAnsi="Times New Roman" w:eastAsia="宋体" w:cs="Times New Roman"/>
                <w:snapToGrid w:val="0"/>
                <w:color w:val="auto"/>
                <w:kern w:val="21"/>
                <w:sz w:val="21"/>
                <w:szCs w:val="21"/>
                <w:u w:val="none" w:color="auto"/>
              </w:rPr>
            </w:pPr>
            <w:r>
              <w:rPr>
                <w:rFonts w:hint="default" w:ascii="Times New Roman" w:hAnsi="Times New Roman" w:eastAsia="宋体" w:cs="Times New Roman"/>
                <w:color w:val="auto"/>
                <w:kern w:val="2"/>
                <w:sz w:val="21"/>
                <w:szCs w:val="21"/>
                <w:u w:val="none" w:color="auto"/>
                <w:lang w:val="en-US" w:eastAsia="zh-CN" w:bidi="ar-SA"/>
              </w:rPr>
              <w:t>/</w:t>
            </w:r>
          </w:p>
        </w:tc>
        <w:tc>
          <w:tcPr>
            <w:tcW w:w="1540" w:type="dxa"/>
            <w:noWrap w:val="0"/>
            <w:vAlign w:val="center"/>
          </w:tcPr>
          <w:p w14:paraId="298CDB38">
            <w:pPr>
              <w:jc w:val="center"/>
              <w:rPr>
                <w:rFonts w:hint="default" w:ascii="Times New Roman" w:hAnsi="Times New Roman" w:eastAsia="宋体" w:cs="Times New Roman"/>
                <w:snapToGrid w:val="0"/>
                <w:color w:val="auto"/>
                <w:kern w:val="21"/>
                <w:sz w:val="21"/>
                <w:szCs w:val="21"/>
                <w:u w:val="none" w:color="auto"/>
              </w:rPr>
            </w:pPr>
            <w:r>
              <w:rPr>
                <w:rFonts w:hint="default" w:ascii="Times New Roman" w:hAnsi="Times New Roman" w:eastAsia="宋体" w:cs="Times New Roman"/>
                <w:snapToGrid w:val="0"/>
                <w:color w:val="auto"/>
                <w:kern w:val="21"/>
                <w:sz w:val="21"/>
                <w:szCs w:val="21"/>
                <w:u w:val="none" w:color="auto"/>
                <w:lang w:val="en-US" w:eastAsia="zh-CN"/>
              </w:rPr>
              <w:t>0</w:t>
            </w:r>
          </w:p>
        </w:tc>
        <w:tc>
          <w:tcPr>
            <w:tcW w:w="1540" w:type="dxa"/>
            <w:noWrap w:val="0"/>
            <w:vAlign w:val="center"/>
          </w:tcPr>
          <w:p w14:paraId="7F62A83E">
            <w:pPr>
              <w:jc w:val="center"/>
              <w:outlineLvl w:val="9"/>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snapToGrid w:val="0"/>
                <w:color w:val="auto"/>
                <w:kern w:val="21"/>
                <w:sz w:val="21"/>
                <w:szCs w:val="21"/>
                <w:u w:val="none" w:color="auto"/>
                <w:lang w:val="en-US" w:eastAsia="zh-CN"/>
              </w:rPr>
              <w:t>0</w:t>
            </w:r>
          </w:p>
        </w:tc>
        <w:tc>
          <w:tcPr>
            <w:tcW w:w="1540" w:type="dxa"/>
            <w:noWrap w:val="0"/>
            <w:vAlign w:val="center"/>
          </w:tcPr>
          <w:p w14:paraId="35D5850D">
            <w:pPr>
              <w:jc w:val="center"/>
              <w:rPr>
                <w:rFonts w:hint="default" w:ascii="Times New Roman" w:hAnsi="Times New Roman" w:eastAsia="宋体" w:cs="Times New Roman"/>
                <w:snapToGrid w:val="0"/>
                <w:color w:val="auto"/>
                <w:kern w:val="21"/>
                <w:sz w:val="21"/>
                <w:szCs w:val="21"/>
                <w:u w:val="none" w:color="auto"/>
              </w:rPr>
            </w:pPr>
            <w:r>
              <w:rPr>
                <w:rFonts w:hint="default" w:ascii="Times New Roman" w:hAnsi="Times New Roman" w:eastAsia="宋体" w:cs="Times New Roman"/>
                <w:snapToGrid w:val="0"/>
                <w:color w:val="auto"/>
                <w:kern w:val="21"/>
                <w:sz w:val="21"/>
                <w:szCs w:val="21"/>
                <w:highlight w:val="none"/>
                <w:u w:val="none" w:color="auto"/>
                <w:lang w:val="en-US" w:eastAsia="zh-CN"/>
              </w:rPr>
              <w:t>0</w:t>
            </w:r>
          </w:p>
        </w:tc>
        <w:tc>
          <w:tcPr>
            <w:tcW w:w="1540" w:type="dxa"/>
            <w:noWrap w:val="0"/>
            <w:vAlign w:val="center"/>
          </w:tcPr>
          <w:p w14:paraId="42BDC6D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0.00100575</w:t>
            </w:r>
          </w:p>
        </w:tc>
        <w:tc>
          <w:tcPr>
            <w:tcW w:w="1543" w:type="dxa"/>
            <w:shd w:val="clear" w:color="auto" w:fill="auto"/>
            <w:noWrap w:val="0"/>
            <w:vAlign w:val="center"/>
          </w:tcPr>
          <w:p w14:paraId="73981FDC">
            <w:pPr>
              <w:jc w:val="center"/>
              <w:outlineLvl w:val="9"/>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snapToGrid w:val="0"/>
                <w:color w:val="auto"/>
                <w:kern w:val="21"/>
                <w:sz w:val="21"/>
                <w:szCs w:val="21"/>
                <w:u w:val="none" w:color="auto"/>
                <w:lang w:val="en-US" w:eastAsia="zh-CN"/>
              </w:rPr>
              <w:t>0</w:t>
            </w:r>
          </w:p>
        </w:tc>
      </w:tr>
      <w:tr w14:paraId="571460E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53" w:hRule="atLeast"/>
          <w:jc w:val="center"/>
        </w:trPr>
        <w:tc>
          <w:tcPr>
            <w:tcW w:w="1095" w:type="dxa"/>
            <w:vMerge w:val="continue"/>
            <w:noWrap w:val="0"/>
            <w:vAlign w:val="center"/>
          </w:tcPr>
          <w:p w14:paraId="5F36F0D2">
            <w:pPr>
              <w:pStyle w:val="42"/>
              <w:spacing w:beforeLines="0" w:afterLines="0" w:line="240" w:lineRule="auto"/>
              <w:jc w:val="center"/>
              <w:rPr>
                <w:rFonts w:hint="default" w:ascii="Times New Roman" w:hAnsi="Times New Roman" w:eastAsia="宋体" w:cs="Times New Roman"/>
                <w:snapToGrid w:val="0"/>
                <w:color w:val="auto"/>
                <w:kern w:val="21"/>
                <w:sz w:val="21"/>
                <w:szCs w:val="21"/>
                <w:u w:val="none" w:color="auto"/>
              </w:rPr>
            </w:pPr>
          </w:p>
        </w:tc>
        <w:tc>
          <w:tcPr>
            <w:tcW w:w="2084" w:type="dxa"/>
            <w:noWrap w:val="0"/>
            <w:vAlign w:val="center"/>
          </w:tcPr>
          <w:p w14:paraId="61FD0F23">
            <w:pPr>
              <w:keepNext w:val="0"/>
              <w:keepLines w:val="0"/>
              <w:widowControl/>
              <w:suppressLineNumbers w:val="0"/>
              <w:topLinePunct w:val="0"/>
              <w:bidi w:val="0"/>
              <w:adjustRightInd/>
              <w:snapToGrid/>
              <w:jc w:val="center"/>
              <w:textAlignment w:val="center"/>
              <w:rPr>
                <w:rFonts w:hint="default" w:ascii="Times New Roman" w:hAnsi="Times New Roman" w:eastAsia="宋体" w:cs="Times New Roman"/>
                <w:b w:val="0"/>
                <w:bCs/>
                <w:color w:val="auto"/>
                <w:kern w:val="2"/>
                <w:sz w:val="21"/>
                <w:szCs w:val="21"/>
                <w:highlight w:val="none"/>
                <w:u w:val="none" w:color="auto"/>
                <w:lang w:val="en-US" w:eastAsia="zh-CN" w:bidi="ar-SA"/>
              </w:rPr>
            </w:pPr>
            <w:r>
              <w:rPr>
                <w:rFonts w:hint="default" w:ascii="Times New Roman" w:hAnsi="Times New Roman" w:eastAsia="宋体" w:cs="Times New Roman"/>
                <w:b w:val="0"/>
                <w:bCs/>
                <w:i w:val="0"/>
                <w:iCs w:val="0"/>
                <w:color w:val="auto"/>
                <w:kern w:val="0"/>
                <w:sz w:val="21"/>
                <w:szCs w:val="21"/>
                <w:u w:val="none" w:color="auto"/>
                <w:lang w:val="en-US" w:eastAsia="zh-CN" w:bidi="ar"/>
              </w:rPr>
              <w:t>镍及其化合物</w:t>
            </w:r>
          </w:p>
        </w:tc>
        <w:tc>
          <w:tcPr>
            <w:tcW w:w="1515" w:type="dxa"/>
            <w:noWrap w:val="0"/>
            <w:vAlign w:val="center"/>
          </w:tcPr>
          <w:p w14:paraId="75DD74B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0.0017523</w:t>
            </w:r>
          </w:p>
        </w:tc>
        <w:tc>
          <w:tcPr>
            <w:tcW w:w="1391" w:type="dxa"/>
            <w:noWrap w:val="0"/>
            <w:vAlign w:val="center"/>
          </w:tcPr>
          <w:p w14:paraId="7E1265AB">
            <w:pPr>
              <w:jc w:val="center"/>
              <w:rPr>
                <w:rFonts w:hint="default" w:ascii="Times New Roman" w:hAnsi="Times New Roman" w:eastAsia="宋体" w:cs="Times New Roman"/>
                <w:snapToGrid w:val="0"/>
                <w:color w:val="auto"/>
                <w:kern w:val="21"/>
                <w:sz w:val="21"/>
                <w:szCs w:val="21"/>
                <w:u w:val="none" w:color="auto"/>
                <w:lang w:val="en-US" w:eastAsia="zh-CN"/>
              </w:rPr>
            </w:pPr>
            <w:r>
              <w:rPr>
                <w:rFonts w:hint="default" w:ascii="Times New Roman" w:hAnsi="Times New Roman" w:eastAsia="宋体" w:cs="Times New Roman"/>
                <w:color w:val="auto"/>
                <w:kern w:val="2"/>
                <w:sz w:val="21"/>
                <w:szCs w:val="21"/>
                <w:u w:val="none" w:color="auto"/>
                <w:lang w:val="en-US" w:eastAsia="zh-CN" w:bidi="ar-SA"/>
              </w:rPr>
              <w:t>/</w:t>
            </w:r>
          </w:p>
        </w:tc>
        <w:tc>
          <w:tcPr>
            <w:tcW w:w="1540" w:type="dxa"/>
            <w:noWrap w:val="0"/>
            <w:vAlign w:val="center"/>
          </w:tcPr>
          <w:p w14:paraId="49154F2B">
            <w:pPr>
              <w:jc w:val="center"/>
              <w:rPr>
                <w:rFonts w:hint="default" w:ascii="Times New Roman" w:hAnsi="Times New Roman" w:eastAsia="宋体" w:cs="Times New Roman"/>
                <w:snapToGrid w:val="0"/>
                <w:color w:val="auto"/>
                <w:kern w:val="21"/>
                <w:sz w:val="21"/>
                <w:szCs w:val="21"/>
                <w:u w:val="none" w:color="auto"/>
                <w:lang w:val="en-US" w:eastAsia="zh-CN"/>
              </w:rPr>
            </w:pPr>
            <w:r>
              <w:rPr>
                <w:rFonts w:hint="default" w:ascii="Times New Roman" w:hAnsi="Times New Roman" w:eastAsia="宋体" w:cs="Times New Roman"/>
                <w:snapToGrid w:val="0"/>
                <w:color w:val="auto"/>
                <w:kern w:val="21"/>
                <w:sz w:val="21"/>
                <w:szCs w:val="21"/>
                <w:u w:val="none" w:color="auto"/>
                <w:lang w:val="en-US" w:eastAsia="zh-CN"/>
              </w:rPr>
              <w:t>0</w:t>
            </w:r>
          </w:p>
        </w:tc>
        <w:tc>
          <w:tcPr>
            <w:tcW w:w="1540" w:type="dxa"/>
            <w:noWrap w:val="0"/>
            <w:vAlign w:val="center"/>
          </w:tcPr>
          <w:p w14:paraId="53B9540E">
            <w:pPr>
              <w:jc w:val="center"/>
              <w:outlineLvl w:val="9"/>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snapToGrid w:val="0"/>
                <w:color w:val="auto"/>
                <w:kern w:val="21"/>
                <w:sz w:val="21"/>
                <w:szCs w:val="21"/>
                <w:u w:val="none" w:color="auto"/>
                <w:lang w:val="en-US" w:eastAsia="zh-CN"/>
              </w:rPr>
              <w:t>0</w:t>
            </w:r>
          </w:p>
        </w:tc>
        <w:tc>
          <w:tcPr>
            <w:tcW w:w="1540" w:type="dxa"/>
            <w:noWrap w:val="0"/>
            <w:vAlign w:val="center"/>
          </w:tcPr>
          <w:p w14:paraId="5C9D3EEF">
            <w:pPr>
              <w:jc w:val="center"/>
              <w:rPr>
                <w:rFonts w:hint="default" w:ascii="Times New Roman" w:hAnsi="Times New Roman" w:eastAsia="宋体" w:cs="Times New Roman"/>
                <w:snapToGrid w:val="0"/>
                <w:color w:val="auto"/>
                <w:kern w:val="21"/>
                <w:sz w:val="21"/>
                <w:szCs w:val="21"/>
                <w:u w:val="none" w:color="auto"/>
              </w:rPr>
            </w:pPr>
            <w:r>
              <w:rPr>
                <w:rFonts w:hint="default" w:ascii="Times New Roman" w:hAnsi="Times New Roman" w:eastAsia="宋体" w:cs="Times New Roman"/>
                <w:snapToGrid w:val="0"/>
                <w:color w:val="auto"/>
                <w:kern w:val="21"/>
                <w:sz w:val="21"/>
                <w:szCs w:val="21"/>
                <w:highlight w:val="none"/>
                <w:u w:val="none" w:color="auto"/>
                <w:lang w:val="en-US" w:eastAsia="zh-CN"/>
              </w:rPr>
              <w:t>0</w:t>
            </w:r>
          </w:p>
        </w:tc>
        <w:tc>
          <w:tcPr>
            <w:tcW w:w="1540" w:type="dxa"/>
            <w:noWrap w:val="0"/>
            <w:vAlign w:val="center"/>
          </w:tcPr>
          <w:p w14:paraId="7F608EB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0.0017523</w:t>
            </w:r>
          </w:p>
        </w:tc>
        <w:tc>
          <w:tcPr>
            <w:tcW w:w="1543" w:type="dxa"/>
            <w:shd w:val="clear" w:color="auto" w:fill="auto"/>
            <w:noWrap w:val="0"/>
            <w:vAlign w:val="center"/>
          </w:tcPr>
          <w:p w14:paraId="3E9761EB">
            <w:pPr>
              <w:jc w:val="center"/>
              <w:outlineLvl w:val="9"/>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snapToGrid w:val="0"/>
                <w:color w:val="auto"/>
                <w:kern w:val="21"/>
                <w:sz w:val="21"/>
                <w:szCs w:val="21"/>
                <w:u w:val="none" w:color="auto"/>
                <w:lang w:val="en-US" w:eastAsia="zh-CN"/>
              </w:rPr>
              <w:t>0</w:t>
            </w:r>
          </w:p>
        </w:tc>
      </w:tr>
      <w:tr w14:paraId="6EB8AA8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53" w:hRule="atLeast"/>
          <w:jc w:val="center"/>
        </w:trPr>
        <w:tc>
          <w:tcPr>
            <w:tcW w:w="1095" w:type="dxa"/>
            <w:vMerge w:val="continue"/>
            <w:noWrap w:val="0"/>
            <w:vAlign w:val="center"/>
          </w:tcPr>
          <w:p w14:paraId="192458A9">
            <w:pPr>
              <w:pStyle w:val="42"/>
              <w:spacing w:beforeLines="0" w:afterLines="0" w:line="240" w:lineRule="auto"/>
              <w:jc w:val="center"/>
              <w:rPr>
                <w:rFonts w:hint="default" w:ascii="Times New Roman" w:hAnsi="Times New Roman" w:eastAsia="宋体" w:cs="Times New Roman"/>
                <w:snapToGrid w:val="0"/>
                <w:color w:val="auto"/>
                <w:kern w:val="21"/>
                <w:sz w:val="21"/>
                <w:szCs w:val="21"/>
                <w:u w:val="none" w:color="auto"/>
              </w:rPr>
            </w:pPr>
          </w:p>
        </w:tc>
        <w:tc>
          <w:tcPr>
            <w:tcW w:w="2084" w:type="dxa"/>
            <w:noWrap w:val="0"/>
            <w:vAlign w:val="center"/>
          </w:tcPr>
          <w:p w14:paraId="33D276C6">
            <w:pPr>
              <w:keepNext w:val="0"/>
              <w:keepLines w:val="0"/>
              <w:widowControl/>
              <w:suppressLineNumbers w:val="0"/>
              <w:topLinePunct w:val="0"/>
              <w:bidi w:val="0"/>
              <w:adjustRightInd/>
              <w:snapToGrid/>
              <w:jc w:val="center"/>
              <w:textAlignment w:val="center"/>
              <w:rPr>
                <w:rFonts w:hint="default" w:ascii="Times New Roman" w:hAnsi="Times New Roman" w:eastAsia="宋体" w:cs="Times New Roman"/>
                <w:b w:val="0"/>
                <w:bCs/>
                <w:color w:val="auto"/>
                <w:kern w:val="2"/>
                <w:sz w:val="21"/>
                <w:szCs w:val="21"/>
                <w:highlight w:val="none"/>
                <w:u w:val="none" w:color="auto"/>
                <w:lang w:val="en-US" w:eastAsia="zh-CN" w:bidi="ar-SA"/>
              </w:rPr>
            </w:pPr>
            <w:r>
              <w:rPr>
                <w:rFonts w:hint="default" w:ascii="Times New Roman" w:hAnsi="Times New Roman" w:eastAsia="宋体" w:cs="Times New Roman"/>
                <w:b w:val="0"/>
                <w:bCs/>
                <w:i w:val="0"/>
                <w:iCs w:val="0"/>
                <w:color w:val="auto"/>
                <w:kern w:val="0"/>
                <w:sz w:val="21"/>
                <w:szCs w:val="21"/>
                <w:u w:val="none" w:color="auto"/>
                <w:lang w:val="en-US" w:eastAsia="zh-CN" w:bidi="ar"/>
              </w:rPr>
              <w:t>铬及其化合物</w:t>
            </w:r>
          </w:p>
        </w:tc>
        <w:tc>
          <w:tcPr>
            <w:tcW w:w="1515" w:type="dxa"/>
            <w:noWrap w:val="0"/>
            <w:vAlign w:val="center"/>
          </w:tcPr>
          <w:p w14:paraId="3199247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0.00088263</w:t>
            </w:r>
          </w:p>
        </w:tc>
        <w:tc>
          <w:tcPr>
            <w:tcW w:w="1391" w:type="dxa"/>
            <w:noWrap w:val="0"/>
            <w:vAlign w:val="center"/>
          </w:tcPr>
          <w:p w14:paraId="4F086AF9">
            <w:pPr>
              <w:jc w:val="center"/>
              <w:rPr>
                <w:rFonts w:hint="default" w:ascii="Times New Roman" w:hAnsi="Times New Roman" w:eastAsia="宋体" w:cs="Times New Roman"/>
                <w:snapToGrid w:val="0"/>
                <w:color w:val="auto"/>
                <w:kern w:val="21"/>
                <w:sz w:val="21"/>
                <w:szCs w:val="21"/>
                <w:u w:val="none" w:color="auto"/>
                <w:lang w:val="en-US" w:eastAsia="zh-CN" w:bidi="ar-SA"/>
              </w:rPr>
            </w:pPr>
            <w:r>
              <w:rPr>
                <w:rFonts w:hint="default" w:ascii="Times New Roman" w:hAnsi="Times New Roman" w:eastAsia="宋体" w:cs="Times New Roman"/>
                <w:color w:val="auto"/>
                <w:kern w:val="2"/>
                <w:sz w:val="21"/>
                <w:szCs w:val="21"/>
                <w:u w:val="none" w:color="auto"/>
                <w:lang w:val="en-US" w:eastAsia="zh-CN" w:bidi="ar-SA"/>
              </w:rPr>
              <w:t>/</w:t>
            </w:r>
          </w:p>
        </w:tc>
        <w:tc>
          <w:tcPr>
            <w:tcW w:w="1540" w:type="dxa"/>
            <w:noWrap w:val="0"/>
            <w:vAlign w:val="center"/>
          </w:tcPr>
          <w:p w14:paraId="0DFBD5EC">
            <w:pPr>
              <w:jc w:val="center"/>
              <w:rPr>
                <w:rFonts w:hint="default" w:ascii="Times New Roman" w:hAnsi="Times New Roman" w:eastAsia="宋体" w:cs="Times New Roman"/>
                <w:snapToGrid w:val="0"/>
                <w:color w:val="auto"/>
                <w:kern w:val="21"/>
                <w:sz w:val="21"/>
                <w:szCs w:val="21"/>
                <w:u w:val="none" w:color="auto"/>
                <w:lang w:val="en-US" w:eastAsia="zh-CN" w:bidi="ar-SA"/>
              </w:rPr>
            </w:pPr>
            <w:r>
              <w:rPr>
                <w:rFonts w:hint="default" w:ascii="Times New Roman" w:hAnsi="Times New Roman" w:eastAsia="宋体" w:cs="Times New Roman"/>
                <w:snapToGrid w:val="0"/>
                <w:color w:val="auto"/>
                <w:kern w:val="21"/>
                <w:sz w:val="21"/>
                <w:szCs w:val="21"/>
                <w:u w:val="none" w:color="auto"/>
                <w:lang w:val="en-US" w:eastAsia="zh-CN"/>
              </w:rPr>
              <w:t>0</w:t>
            </w:r>
          </w:p>
        </w:tc>
        <w:tc>
          <w:tcPr>
            <w:tcW w:w="1540" w:type="dxa"/>
            <w:noWrap w:val="0"/>
            <w:vAlign w:val="center"/>
          </w:tcPr>
          <w:p w14:paraId="61C5E479">
            <w:pPr>
              <w:jc w:val="center"/>
              <w:outlineLvl w:val="9"/>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snapToGrid w:val="0"/>
                <w:color w:val="auto"/>
                <w:kern w:val="21"/>
                <w:sz w:val="21"/>
                <w:szCs w:val="21"/>
                <w:u w:val="none" w:color="auto"/>
                <w:lang w:val="en-US" w:eastAsia="zh-CN"/>
              </w:rPr>
              <w:t>0</w:t>
            </w:r>
          </w:p>
        </w:tc>
        <w:tc>
          <w:tcPr>
            <w:tcW w:w="1540" w:type="dxa"/>
            <w:noWrap w:val="0"/>
            <w:vAlign w:val="center"/>
          </w:tcPr>
          <w:p w14:paraId="648F252F">
            <w:pPr>
              <w:jc w:val="center"/>
              <w:rPr>
                <w:rFonts w:hint="default" w:ascii="Times New Roman" w:hAnsi="Times New Roman" w:eastAsia="宋体" w:cs="Times New Roman"/>
                <w:snapToGrid w:val="0"/>
                <w:color w:val="auto"/>
                <w:kern w:val="21"/>
                <w:sz w:val="21"/>
                <w:szCs w:val="21"/>
                <w:u w:val="none" w:color="auto"/>
              </w:rPr>
            </w:pPr>
            <w:r>
              <w:rPr>
                <w:rFonts w:hint="default" w:ascii="Times New Roman" w:hAnsi="Times New Roman" w:eastAsia="宋体" w:cs="Times New Roman"/>
                <w:snapToGrid w:val="0"/>
                <w:color w:val="auto"/>
                <w:kern w:val="21"/>
                <w:sz w:val="21"/>
                <w:szCs w:val="21"/>
                <w:highlight w:val="none"/>
                <w:u w:val="none" w:color="auto"/>
                <w:lang w:val="en-US" w:eastAsia="zh-CN"/>
              </w:rPr>
              <w:t>0</w:t>
            </w:r>
          </w:p>
        </w:tc>
        <w:tc>
          <w:tcPr>
            <w:tcW w:w="1540" w:type="dxa"/>
            <w:noWrap w:val="0"/>
            <w:vAlign w:val="center"/>
          </w:tcPr>
          <w:p w14:paraId="1235C62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0.00088263</w:t>
            </w:r>
          </w:p>
        </w:tc>
        <w:tc>
          <w:tcPr>
            <w:tcW w:w="1543" w:type="dxa"/>
            <w:shd w:val="clear" w:color="auto" w:fill="auto"/>
            <w:noWrap w:val="0"/>
            <w:vAlign w:val="center"/>
          </w:tcPr>
          <w:p w14:paraId="337C8C6C">
            <w:pPr>
              <w:jc w:val="center"/>
              <w:outlineLvl w:val="9"/>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snapToGrid w:val="0"/>
                <w:color w:val="auto"/>
                <w:kern w:val="21"/>
                <w:sz w:val="21"/>
                <w:szCs w:val="21"/>
                <w:u w:val="none" w:color="auto"/>
                <w:lang w:val="en-US" w:eastAsia="zh-CN"/>
              </w:rPr>
              <w:t>0</w:t>
            </w:r>
          </w:p>
        </w:tc>
      </w:tr>
      <w:tr w14:paraId="18B0762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53" w:hRule="atLeast"/>
          <w:jc w:val="center"/>
        </w:trPr>
        <w:tc>
          <w:tcPr>
            <w:tcW w:w="1095" w:type="dxa"/>
            <w:vMerge w:val="continue"/>
            <w:noWrap w:val="0"/>
            <w:vAlign w:val="center"/>
          </w:tcPr>
          <w:p w14:paraId="19ADAE02">
            <w:pPr>
              <w:pStyle w:val="42"/>
              <w:spacing w:beforeLines="0" w:afterLines="0" w:line="240" w:lineRule="auto"/>
              <w:jc w:val="center"/>
              <w:rPr>
                <w:rFonts w:hint="default" w:ascii="Times New Roman" w:hAnsi="Times New Roman" w:eastAsia="宋体" w:cs="Times New Roman"/>
                <w:snapToGrid w:val="0"/>
                <w:color w:val="auto"/>
                <w:kern w:val="21"/>
                <w:sz w:val="21"/>
                <w:szCs w:val="21"/>
                <w:u w:val="none" w:color="auto"/>
              </w:rPr>
            </w:pPr>
          </w:p>
        </w:tc>
        <w:tc>
          <w:tcPr>
            <w:tcW w:w="2084" w:type="dxa"/>
            <w:noWrap w:val="0"/>
            <w:vAlign w:val="center"/>
          </w:tcPr>
          <w:p w14:paraId="72A3C3D9">
            <w:pPr>
              <w:keepNext w:val="0"/>
              <w:keepLines w:val="0"/>
              <w:widowControl/>
              <w:suppressLineNumbers w:val="0"/>
              <w:topLinePunct w:val="0"/>
              <w:bidi w:val="0"/>
              <w:adjustRightInd/>
              <w:snapToGrid/>
              <w:jc w:val="center"/>
              <w:textAlignment w:val="center"/>
              <w:rPr>
                <w:rFonts w:hint="default" w:ascii="Times New Roman" w:hAnsi="Times New Roman" w:eastAsia="宋体" w:cs="Times New Roman"/>
                <w:b w:val="0"/>
                <w:bCs/>
                <w:color w:val="auto"/>
                <w:kern w:val="2"/>
                <w:sz w:val="21"/>
                <w:szCs w:val="21"/>
                <w:highlight w:val="none"/>
                <w:u w:val="none" w:color="auto"/>
                <w:lang w:val="en-US" w:eastAsia="zh-CN" w:bidi="ar-SA"/>
              </w:rPr>
            </w:pPr>
            <w:r>
              <w:rPr>
                <w:rFonts w:hint="default" w:ascii="Times New Roman" w:hAnsi="Times New Roman" w:eastAsia="宋体" w:cs="Times New Roman"/>
                <w:b w:val="0"/>
                <w:bCs/>
                <w:i w:val="0"/>
                <w:iCs w:val="0"/>
                <w:color w:val="auto"/>
                <w:kern w:val="0"/>
                <w:sz w:val="21"/>
                <w:szCs w:val="21"/>
                <w:u w:val="none" w:color="auto"/>
                <w:lang w:val="en-US" w:eastAsia="zh-CN" w:bidi="ar"/>
              </w:rPr>
              <w:t>铜及其化合物</w:t>
            </w:r>
          </w:p>
        </w:tc>
        <w:tc>
          <w:tcPr>
            <w:tcW w:w="1515" w:type="dxa"/>
            <w:noWrap w:val="0"/>
            <w:vAlign w:val="center"/>
          </w:tcPr>
          <w:p w14:paraId="398AA83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0.01235262</w:t>
            </w:r>
          </w:p>
        </w:tc>
        <w:tc>
          <w:tcPr>
            <w:tcW w:w="1391" w:type="dxa"/>
            <w:noWrap w:val="0"/>
            <w:vAlign w:val="center"/>
          </w:tcPr>
          <w:p w14:paraId="50623585">
            <w:pPr>
              <w:jc w:val="center"/>
              <w:rPr>
                <w:rFonts w:hint="default" w:ascii="Times New Roman" w:hAnsi="Times New Roman" w:eastAsia="宋体" w:cs="Times New Roman"/>
                <w:snapToGrid w:val="0"/>
                <w:color w:val="auto"/>
                <w:kern w:val="21"/>
                <w:sz w:val="21"/>
                <w:szCs w:val="21"/>
                <w:u w:val="none" w:color="auto"/>
                <w:lang w:val="en-US" w:eastAsia="zh-CN" w:bidi="ar-SA"/>
              </w:rPr>
            </w:pPr>
            <w:r>
              <w:rPr>
                <w:rFonts w:hint="default" w:ascii="Times New Roman" w:hAnsi="Times New Roman" w:eastAsia="宋体" w:cs="Times New Roman"/>
                <w:color w:val="auto"/>
                <w:kern w:val="2"/>
                <w:sz w:val="21"/>
                <w:szCs w:val="21"/>
                <w:u w:val="none" w:color="auto"/>
                <w:lang w:val="en-US" w:eastAsia="zh-CN" w:bidi="ar-SA"/>
              </w:rPr>
              <w:t>/</w:t>
            </w:r>
          </w:p>
        </w:tc>
        <w:tc>
          <w:tcPr>
            <w:tcW w:w="1540" w:type="dxa"/>
            <w:noWrap w:val="0"/>
            <w:vAlign w:val="center"/>
          </w:tcPr>
          <w:p w14:paraId="2F671153">
            <w:pPr>
              <w:jc w:val="center"/>
              <w:rPr>
                <w:rFonts w:hint="default" w:ascii="Times New Roman" w:hAnsi="Times New Roman" w:eastAsia="宋体" w:cs="Times New Roman"/>
                <w:snapToGrid w:val="0"/>
                <w:color w:val="auto"/>
                <w:kern w:val="21"/>
                <w:sz w:val="21"/>
                <w:szCs w:val="21"/>
                <w:u w:val="none" w:color="auto"/>
                <w:lang w:val="en-US" w:eastAsia="zh-CN" w:bidi="ar-SA"/>
              </w:rPr>
            </w:pPr>
            <w:r>
              <w:rPr>
                <w:rFonts w:hint="default" w:ascii="Times New Roman" w:hAnsi="Times New Roman" w:eastAsia="宋体" w:cs="Times New Roman"/>
                <w:snapToGrid w:val="0"/>
                <w:color w:val="auto"/>
                <w:kern w:val="21"/>
                <w:sz w:val="21"/>
                <w:szCs w:val="21"/>
                <w:u w:val="none" w:color="auto"/>
                <w:lang w:val="en-US" w:eastAsia="zh-CN"/>
              </w:rPr>
              <w:t>0</w:t>
            </w:r>
          </w:p>
        </w:tc>
        <w:tc>
          <w:tcPr>
            <w:tcW w:w="1540" w:type="dxa"/>
            <w:noWrap w:val="0"/>
            <w:vAlign w:val="center"/>
          </w:tcPr>
          <w:p w14:paraId="06F0EC60">
            <w:pPr>
              <w:jc w:val="center"/>
              <w:outlineLvl w:val="9"/>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snapToGrid w:val="0"/>
                <w:color w:val="auto"/>
                <w:kern w:val="21"/>
                <w:sz w:val="21"/>
                <w:szCs w:val="21"/>
                <w:u w:val="none" w:color="auto"/>
                <w:lang w:val="en-US" w:eastAsia="zh-CN"/>
              </w:rPr>
              <w:t>0</w:t>
            </w:r>
          </w:p>
        </w:tc>
        <w:tc>
          <w:tcPr>
            <w:tcW w:w="1540" w:type="dxa"/>
            <w:noWrap w:val="0"/>
            <w:vAlign w:val="center"/>
          </w:tcPr>
          <w:p w14:paraId="26274E60">
            <w:pPr>
              <w:jc w:val="center"/>
              <w:rPr>
                <w:rFonts w:hint="default" w:ascii="Times New Roman" w:hAnsi="Times New Roman" w:eastAsia="宋体" w:cs="Times New Roman"/>
                <w:snapToGrid w:val="0"/>
                <w:color w:val="auto"/>
                <w:kern w:val="21"/>
                <w:sz w:val="21"/>
                <w:szCs w:val="21"/>
                <w:u w:val="none" w:color="auto"/>
              </w:rPr>
            </w:pPr>
            <w:r>
              <w:rPr>
                <w:rFonts w:hint="default" w:ascii="Times New Roman" w:hAnsi="Times New Roman" w:eastAsia="宋体" w:cs="Times New Roman"/>
                <w:snapToGrid w:val="0"/>
                <w:color w:val="auto"/>
                <w:kern w:val="21"/>
                <w:sz w:val="21"/>
                <w:szCs w:val="21"/>
                <w:highlight w:val="none"/>
                <w:u w:val="none" w:color="auto"/>
                <w:lang w:val="en-US" w:eastAsia="zh-CN"/>
              </w:rPr>
              <w:t>0</w:t>
            </w:r>
          </w:p>
        </w:tc>
        <w:tc>
          <w:tcPr>
            <w:tcW w:w="1540" w:type="dxa"/>
            <w:noWrap w:val="0"/>
            <w:vAlign w:val="center"/>
          </w:tcPr>
          <w:p w14:paraId="41C1C74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0.01235262</w:t>
            </w:r>
          </w:p>
        </w:tc>
        <w:tc>
          <w:tcPr>
            <w:tcW w:w="1543" w:type="dxa"/>
            <w:shd w:val="clear" w:color="auto" w:fill="auto"/>
            <w:noWrap w:val="0"/>
            <w:vAlign w:val="center"/>
          </w:tcPr>
          <w:p w14:paraId="4A985AA0">
            <w:pPr>
              <w:jc w:val="center"/>
              <w:outlineLvl w:val="9"/>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snapToGrid w:val="0"/>
                <w:color w:val="auto"/>
                <w:kern w:val="21"/>
                <w:sz w:val="21"/>
                <w:szCs w:val="21"/>
                <w:u w:val="none" w:color="auto"/>
                <w:lang w:val="en-US" w:eastAsia="zh-CN"/>
              </w:rPr>
              <w:t>0</w:t>
            </w:r>
          </w:p>
        </w:tc>
      </w:tr>
      <w:tr w14:paraId="314347C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53" w:hRule="atLeast"/>
          <w:jc w:val="center"/>
        </w:trPr>
        <w:tc>
          <w:tcPr>
            <w:tcW w:w="1095" w:type="dxa"/>
            <w:vMerge w:val="continue"/>
            <w:noWrap w:val="0"/>
            <w:vAlign w:val="center"/>
          </w:tcPr>
          <w:p w14:paraId="26023FF1">
            <w:pPr>
              <w:pStyle w:val="42"/>
              <w:spacing w:beforeLines="0" w:afterLines="0" w:line="240" w:lineRule="auto"/>
              <w:jc w:val="center"/>
              <w:rPr>
                <w:rFonts w:hint="default" w:ascii="Times New Roman" w:hAnsi="Times New Roman" w:eastAsia="宋体" w:cs="Times New Roman"/>
                <w:snapToGrid w:val="0"/>
                <w:color w:val="auto"/>
                <w:kern w:val="21"/>
                <w:sz w:val="21"/>
                <w:szCs w:val="21"/>
                <w:u w:val="none" w:color="auto"/>
              </w:rPr>
            </w:pPr>
          </w:p>
        </w:tc>
        <w:tc>
          <w:tcPr>
            <w:tcW w:w="2084" w:type="dxa"/>
            <w:noWrap w:val="0"/>
            <w:vAlign w:val="center"/>
          </w:tcPr>
          <w:p w14:paraId="3F902989">
            <w:pPr>
              <w:keepNext w:val="0"/>
              <w:keepLines w:val="0"/>
              <w:widowControl/>
              <w:suppressLineNumbers w:val="0"/>
              <w:topLinePunct w:val="0"/>
              <w:bidi w:val="0"/>
              <w:adjustRightInd/>
              <w:snapToGrid/>
              <w:jc w:val="center"/>
              <w:textAlignment w:val="center"/>
              <w:rPr>
                <w:rFonts w:hint="default" w:ascii="Times New Roman" w:hAnsi="Times New Roman" w:eastAsia="宋体" w:cs="Times New Roman"/>
                <w:b w:val="0"/>
                <w:bCs/>
                <w:color w:val="auto"/>
                <w:kern w:val="0"/>
                <w:sz w:val="21"/>
                <w:szCs w:val="21"/>
                <w:highlight w:val="none"/>
                <w:u w:val="none" w:color="auto"/>
                <w:lang w:val="en-US" w:eastAsia="zh-CN" w:bidi="ar"/>
              </w:rPr>
            </w:pPr>
            <w:r>
              <w:rPr>
                <w:rFonts w:hint="default" w:ascii="Times New Roman" w:hAnsi="Times New Roman" w:eastAsia="宋体" w:cs="Times New Roman"/>
                <w:b w:val="0"/>
                <w:bCs/>
                <w:i w:val="0"/>
                <w:iCs w:val="0"/>
                <w:color w:val="auto"/>
                <w:kern w:val="0"/>
                <w:sz w:val="21"/>
                <w:szCs w:val="21"/>
                <w:u w:val="none" w:color="auto"/>
                <w:lang w:val="en-US" w:eastAsia="zh-CN" w:bidi="ar"/>
              </w:rPr>
              <w:t>碱雾</w:t>
            </w:r>
          </w:p>
        </w:tc>
        <w:tc>
          <w:tcPr>
            <w:tcW w:w="1515" w:type="dxa"/>
            <w:noWrap w:val="0"/>
            <w:vAlign w:val="center"/>
          </w:tcPr>
          <w:p w14:paraId="37078D6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0.227</w:t>
            </w:r>
          </w:p>
        </w:tc>
        <w:tc>
          <w:tcPr>
            <w:tcW w:w="1391" w:type="dxa"/>
            <w:noWrap w:val="0"/>
            <w:vAlign w:val="center"/>
          </w:tcPr>
          <w:p w14:paraId="79FCE31C">
            <w:pPr>
              <w:jc w:val="center"/>
              <w:rPr>
                <w:rFonts w:hint="default" w:ascii="Times New Roman" w:hAnsi="Times New Roman" w:eastAsia="宋体" w:cs="Times New Roman"/>
                <w:snapToGrid w:val="0"/>
                <w:color w:val="auto"/>
                <w:kern w:val="21"/>
                <w:sz w:val="21"/>
                <w:szCs w:val="21"/>
                <w:u w:val="none" w:color="auto"/>
                <w:lang w:val="en-US" w:eastAsia="zh-CN" w:bidi="ar-SA"/>
              </w:rPr>
            </w:pPr>
            <w:r>
              <w:rPr>
                <w:rFonts w:hint="default" w:ascii="Times New Roman" w:hAnsi="Times New Roman" w:eastAsia="宋体" w:cs="Times New Roman"/>
                <w:color w:val="auto"/>
                <w:kern w:val="2"/>
                <w:sz w:val="21"/>
                <w:szCs w:val="21"/>
                <w:u w:val="none" w:color="auto"/>
                <w:lang w:val="en-US" w:eastAsia="zh-CN" w:bidi="ar-SA"/>
              </w:rPr>
              <w:t>/</w:t>
            </w:r>
          </w:p>
        </w:tc>
        <w:tc>
          <w:tcPr>
            <w:tcW w:w="1540" w:type="dxa"/>
            <w:noWrap w:val="0"/>
            <w:vAlign w:val="center"/>
          </w:tcPr>
          <w:p w14:paraId="2447540C">
            <w:pPr>
              <w:jc w:val="center"/>
              <w:rPr>
                <w:rFonts w:hint="default" w:ascii="Times New Roman" w:hAnsi="Times New Roman" w:eastAsia="宋体" w:cs="Times New Roman"/>
                <w:snapToGrid w:val="0"/>
                <w:color w:val="auto"/>
                <w:kern w:val="21"/>
                <w:sz w:val="21"/>
                <w:szCs w:val="21"/>
                <w:u w:val="none" w:color="auto"/>
                <w:lang w:val="en-US" w:eastAsia="zh-CN" w:bidi="ar-SA"/>
              </w:rPr>
            </w:pPr>
            <w:r>
              <w:rPr>
                <w:rFonts w:hint="default" w:ascii="Times New Roman" w:hAnsi="Times New Roman" w:eastAsia="宋体" w:cs="Times New Roman"/>
                <w:snapToGrid w:val="0"/>
                <w:color w:val="auto"/>
                <w:kern w:val="21"/>
                <w:sz w:val="21"/>
                <w:szCs w:val="21"/>
                <w:u w:val="none" w:color="auto"/>
                <w:lang w:val="en-US" w:eastAsia="zh-CN"/>
              </w:rPr>
              <w:t>0</w:t>
            </w:r>
          </w:p>
        </w:tc>
        <w:tc>
          <w:tcPr>
            <w:tcW w:w="1540" w:type="dxa"/>
            <w:noWrap w:val="0"/>
            <w:vAlign w:val="center"/>
          </w:tcPr>
          <w:p w14:paraId="3A2AAE85">
            <w:pPr>
              <w:jc w:val="center"/>
              <w:outlineLvl w:val="9"/>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snapToGrid w:val="0"/>
                <w:color w:val="auto"/>
                <w:kern w:val="21"/>
                <w:sz w:val="21"/>
                <w:szCs w:val="21"/>
                <w:u w:val="none" w:color="auto"/>
                <w:lang w:val="en-US" w:eastAsia="zh-CN"/>
              </w:rPr>
              <w:t>0</w:t>
            </w:r>
          </w:p>
        </w:tc>
        <w:tc>
          <w:tcPr>
            <w:tcW w:w="1540" w:type="dxa"/>
            <w:noWrap w:val="0"/>
            <w:vAlign w:val="center"/>
          </w:tcPr>
          <w:p w14:paraId="18CEF9FE">
            <w:pPr>
              <w:jc w:val="center"/>
              <w:rPr>
                <w:rFonts w:hint="default" w:ascii="Times New Roman" w:hAnsi="Times New Roman" w:eastAsia="宋体" w:cs="Times New Roman"/>
                <w:snapToGrid w:val="0"/>
                <w:color w:val="auto"/>
                <w:kern w:val="21"/>
                <w:sz w:val="21"/>
                <w:szCs w:val="21"/>
                <w:u w:val="none" w:color="auto"/>
              </w:rPr>
            </w:pPr>
            <w:r>
              <w:rPr>
                <w:rFonts w:hint="default" w:ascii="Times New Roman" w:hAnsi="Times New Roman" w:eastAsia="宋体" w:cs="Times New Roman"/>
                <w:snapToGrid w:val="0"/>
                <w:color w:val="auto"/>
                <w:kern w:val="21"/>
                <w:sz w:val="21"/>
                <w:szCs w:val="21"/>
                <w:highlight w:val="none"/>
                <w:u w:val="none" w:color="auto"/>
                <w:lang w:val="en-US" w:eastAsia="zh-CN"/>
              </w:rPr>
              <w:t>0</w:t>
            </w:r>
          </w:p>
        </w:tc>
        <w:tc>
          <w:tcPr>
            <w:tcW w:w="1540" w:type="dxa"/>
            <w:noWrap w:val="0"/>
            <w:vAlign w:val="center"/>
          </w:tcPr>
          <w:p w14:paraId="2850C73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0.227</w:t>
            </w:r>
          </w:p>
        </w:tc>
        <w:tc>
          <w:tcPr>
            <w:tcW w:w="1543" w:type="dxa"/>
            <w:shd w:val="clear" w:color="auto" w:fill="auto"/>
            <w:noWrap w:val="0"/>
            <w:vAlign w:val="center"/>
          </w:tcPr>
          <w:p w14:paraId="49EEE5FB">
            <w:pPr>
              <w:jc w:val="center"/>
              <w:outlineLvl w:val="9"/>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snapToGrid w:val="0"/>
                <w:color w:val="auto"/>
                <w:kern w:val="21"/>
                <w:sz w:val="21"/>
                <w:szCs w:val="21"/>
                <w:u w:val="none" w:color="auto"/>
                <w:lang w:val="en-US" w:eastAsia="zh-CN"/>
              </w:rPr>
              <w:t>0</w:t>
            </w:r>
          </w:p>
        </w:tc>
      </w:tr>
      <w:tr w14:paraId="24F9DB9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53" w:hRule="atLeast"/>
          <w:jc w:val="center"/>
        </w:trPr>
        <w:tc>
          <w:tcPr>
            <w:tcW w:w="1095" w:type="dxa"/>
            <w:vMerge w:val="continue"/>
            <w:noWrap w:val="0"/>
            <w:vAlign w:val="center"/>
          </w:tcPr>
          <w:p w14:paraId="4C25BCF0">
            <w:pPr>
              <w:pStyle w:val="42"/>
              <w:spacing w:beforeLines="0" w:afterLines="0" w:line="240" w:lineRule="auto"/>
              <w:jc w:val="center"/>
              <w:rPr>
                <w:rFonts w:hint="default" w:ascii="Times New Roman" w:hAnsi="Times New Roman" w:eastAsia="宋体" w:cs="Times New Roman"/>
                <w:snapToGrid w:val="0"/>
                <w:color w:val="auto"/>
                <w:kern w:val="21"/>
                <w:sz w:val="21"/>
                <w:szCs w:val="21"/>
                <w:u w:val="none" w:color="auto"/>
              </w:rPr>
            </w:pPr>
          </w:p>
        </w:tc>
        <w:tc>
          <w:tcPr>
            <w:tcW w:w="2084" w:type="dxa"/>
            <w:noWrap w:val="0"/>
            <w:vAlign w:val="center"/>
          </w:tcPr>
          <w:p w14:paraId="6A1372C2">
            <w:pPr>
              <w:keepNext w:val="0"/>
              <w:keepLines w:val="0"/>
              <w:widowControl/>
              <w:suppressLineNumbers w:val="0"/>
              <w:topLinePunct w:val="0"/>
              <w:bidi w:val="0"/>
              <w:adjustRightInd/>
              <w:snapToGrid/>
              <w:jc w:val="center"/>
              <w:textAlignment w:val="center"/>
              <w:rPr>
                <w:rFonts w:hint="default" w:ascii="Times New Roman" w:hAnsi="Times New Roman" w:eastAsia="宋体" w:cs="Times New Roman"/>
                <w:b w:val="0"/>
                <w:bCs/>
                <w:color w:val="auto"/>
                <w:kern w:val="0"/>
                <w:sz w:val="21"/>
                <w:szCs w:val="21"/>
                <w:highlight w:val="none"/>
                <w:u w:val="none" w:color="auto"/>
                <w:lang w:val="en-US" w:eastAsia="zh-CN" w:bidi="ar"/>
              </w:rPr>
            </w:pPr>
            <w:r>
              <w:rPr>
                <w:rFonts w:hint="default" w:ascii="Times New Roman" w:hAnsi="Times New Roman" w:eastAsia="宋体" w:cs="Times New Roman"/>
                <w:b w:val="0"/>
                <w:bCs/>
                <w:i w:val="0"/>
                <w:iCs w:val="0"/>
                <w:color w:val="auto"/>
                <w:kern w:val="0"/>
                <w:sz w:val="21"/>
                <w:szCs w:val="21"/>
                <w:u w:val="none" w:color="auto"/>
                <w:lang w:val="en-US" w:eastAsia="zh-CN" w:bidi="ar"/>
              </w:rPr>
              <w:t>NH</w:t>
            </w:r>
            <w:r>
              <w:rPr>
                <w:rFonts w:hint="default" w:ascii="Times New Roman" w:hAnsi="Times New Roman" w:eastAsia="宋体" w:cs="Times New Roman"/>
                <w:b w:val="0"/>
                <w:bCs/>
                <w:i w:val="0"/>
                <w:iCs w:val="0"/>
                <w:color w:val="auto"/>
                <w:kern w:val="0"/>
                <w:sz w:val="21"/>
                <w:szCs w:val="21"/>
                <w:u w:val="none" w:color="auto"/>
                <w:vertAlign w:val="subscript"/>
                <w:lang w:val="en-US" w:eastAsia="zh-CN" w:bidi="ar"/>
              </w:rPr>
              <w:t>3</w:t>
            </w:r>
          </w:p>
        </w:tc>
        <w:tc>
          <w:tcPr>
            <w:tcW w:w="1515" w:type="dxa"/>
            <w:noWrap w:val="0"/>
            <w:vAlign w:val="center"/>
          </w:tcPr>
          <w:p w14:paraId="4205325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0.0017</w:t>
            </w:r>
          </w:p>
        </w:tc>
        <w:tc>
          <w:tcPr>
            <w:tcW w:w="1391" w:type="dxa"/>
            <w:noWrap w:val="0"/>
            <w:vAlign w:val="center"/>
          </w:tcPr>
          <w:p w14:paraId="6832B4F3">
            <w:pPr>
              <w:jc w:val="center"/>
              <w:rPr>
                <w:rFonts w:hint="default" w:ascii="Times New Roman" w:hAnsi="Times New Roman" w:eastAsia="宋体" w:cs="Times New Roman"/>
                <w:snapToGrid w:val="0"/>
                <w:color w:val="auto"/>
                <w:kern w:val="21"/>
                <w:sz w:val="21"/>
                <w:szCs w:val="21"/>
                <w:u w:val="none" w:color="auto"/>
                <w:lang w:val="en-US" w:eastAsia="zh-CN" w:bidi="ar-SA"/>
              </w:rPr>
            </w:pPr>
            <w:r>
              <w:rPr>
                <w:rFonts w:hint="default" w:ascii="Times New Roman" w:hAnsi="Times New Roman" w:eastAsia="宋体" w:cs="Times New Roman"/>
                <w:color w:val="auto"/>
                <w:kern w:val="2"/>
                <w:sz w:val="21"/>
                <w:szCs w:val="21"/>
                <w:u w:val="none" w:color="auto"/>
                <w:lang w:val="en-US" w:eastAsia="zh-CN" w:bidi="ar-SA"/>
              </w:rPr>
              <w:t>/</w:t>
            </w:r>
          </w:p>
        </w:tc>
        <w:tc>
          <w:tcPr>
            <w:tcW w:w="1540" w:type="dxa"/>
            <w:noWrap w:val="0"/>
            <w:vAlign w:val="center"/>
          </w:tcPr>
          <w:p w14:paraId="785EFAEE">
            <w:pPr>
              <w:jc w:val="center"/>
              <w:rPr>
                <w:rFonts w:hint="default" w:ascii="Times New Roman" w:hAnsi="Times New Roman" w:eastAsia="宋体" w:cs="Times New Roman"/>
                <w:snapToGrid w:val="0"/>
                <w:color w:val="auto"/>
                <w:kern w:val="21"/>
                <w:sz w:val="21"/>
                <w:szCs w:val="21"/>
                <w:u w:val="none" w:color="auto"/>
                <w:lang w:val="en-US" w:eastAsia="zh-CN" w:bidi="ar-SA"/>
              </w:rPr>
            </w:pPr>
            <w:r>
              <w:rPr>
                <w:rFonts w:hint="default" w:ascii="Times New Roman" w:hAnsi="Times New Roman" w:eastAsia="宋体" w:cs="Times New Roman"/>
                <w:snapToGrid w:val="0"/>
                <w:color w:val="auto"/>
                <w:kern w:val="21"/>
                <w:sz w:val="21"/>
                <w:szCs w:val="21"/>
                <w:u w:val="none" w:color="auto"/>
                <w:lang w:val="en-US" w:eastAsia="zh-CN"/>
              </w:rPr>
              <w:t>0</w:t>
            </w:r>
          </w:p>
        </w:tc>
        <w:tc>
          <w:tcPr>
            <w:tcW w:w="1540" w:type="dxa"/>
            <w:noWrap w:val="0"/>
            <w:vAlign w:val="center"/>
          </w:tcPr>
          <w:p w14:paraId="6F3627A2">
            <w:pPr>
              <w:jc w:val="center"/>
              <w:outlineLvl w:val="9"/>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snapToGrid w:val="0"/>
                <w:color w:val="auto"/>
                <w:kern w:val="21"/>
                <w:sz w:val="21"/>
                <w:szCs w:val="21"/>
                <w:u w:val="none" w:color="auto"/>
                <w:lang w:val="en-US" w:eastAsia="zh-CN"/>
              </w:rPr>
              <w:t>0</w:t>
            </w:r>
          </w:p>
        </w:tc>
        <w:tc>
          <w:tcPr>
            <w:tcW w:w="1540" w:type="dxa"/>
            <w:noWrap w:val="0"/>
            <w:vAlign w:val="center"/>
          </w:tcPr>
          <w:p w14:paraId="35480B6B">
            <w:pPr>
              <w:jc w:val="center"/>
              <w:rPr>
                <w:rFonts w:hint="default" w:ascii="Times New Roman" w:hAnsi="Times New Roman" w:eastAsia="宋体" w:cs="Times New Roman"/>
                <w:snapToGrid w:val="0"/>
                <w:color w:val="auto"/>
                <w:kern w:val="21"/>
                <w:sz w:val="21"/>
                <w:szCs w:val="21"/>
                <w:u w:val="none" w:color="auto"/>
              </w:rPr>
            </w:pPr>
            <w:r>
              <w:rPr>
                <w:rFonts w:hint="default" w:ascii="Times New Roman" w:hAnsi="Times New Roman" w:eastAsia="宋体" w:cs="Times New Roman"/>
                <w:snapToGrid w:val="0"/>
                <w:color w:val="auto"/>
                <w:kern w:val="21"/>
                <w:sz w:val="21"/>
                <w:szCs w:val="21"/>
                <w:highlight w:val="none"/>
                <w:u w:val="none" w:color="auto"/>
                <w:lang w:val="en-US" w:eastAsia="zh-CN"/>
              </w:rPr>
              <w:t>0</w:t>
            </w:r>
          </w:p>
        </w:tc>
        <w:tc>
          <w:tcPr>
            <w:tcW w:w="1540" w:type="dxa"/>
            <w:noWrap w:val="0"/>
            <w:vAlign w:val="center"/>
          </w:tcPr>
          <w:p w14:paraId="286AEB9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0.0017</w:t>
            </w:r>
          </w:p>
        </w:tc>
        <w:tc>
          <w:tcPr>
            <w:tcW w:w="1543" w:type="dxa"/>
            <w:shd w:val="clear" w:color="auto" w:fill="auto"/>
            <w:noWrap w:val="0"/>
            <w:vAlign w:val="center"/>
          </w:tcPr>
          <w:p w14:paraId="072A816E">
            <w:pPr>
              <w:jc w:val="center"/>
              <w:outlineLvl w:val="9"/>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snapToGrid w:val="0"/>
                <w:color w:val="auto"/>
                <w:kern w:val="21"/>
                <w:sz w:val="21"/>
                <w:szCs w:val="21"/>
                <w:u w:val="none" w:color="auto"/>
                <w:lang w:val="en-US" w:eastAsia="zh-CN"/>
              </w:rPr>
              <w:t>0</w:t>
            </w:r>
          </w:p>
        </w:tc>
      </w:tr>
      <w:tr w14:paraId="2F760A4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53" w:hRule="atLeast"/>
          <w:jc w:val="center"/>
        </w:trPr>
        <w:tc>
          <w:tcPr>
            <w:tcW w:w="1095" w:type="dxa"/>
            <w:vMerge w:val="continue"/>
            <w:noWrap w:val="0"/>
            <w:vAlign w:val="center"/>
          </w:tcPr>
          <w:p w14:paraId="4AC81A41">
            <w:pPr>
              <w:pStyle w:val="42"/>
              <w:spacing w:beforeLines="0" w:afterLines="0" w:line="240" w:lineRule="auto"/>
              <w:jc w:val="center"/>
              <w:rPr>
                <w:rFonts w:hint="default" w:ascii="Times New Roman" w:hAnsi="Times New Roman" w:eastAsia="宋体" w:cs="Times New Roman"/>
                <w:snapToGrid w:val="0"/>
                <w:color w:val="auto"/>
                <w:kern w:val="21"/>
                <w:sz w:val="21"/>
                <w:szCs w:val="21"/>
                <w:u w:val="none" w:color="auto"/>
              </w:rPr>
            </w:pPr>
          </w:p>
        </w:tc>
        <w:tc>
          <w:tcPr>
            <w:tcW w:w="2084" w:type="dxa"/>
            <w:noWrap w:val="0"/>
            <w:vAlign w:val="center"/>
          </w:tcPr>
          <w:p w14:paraId="4F2E4D1C">
            <w:pPr>
              <w:keepNext w:val="0"/>
              <w:keepLines w:val="0"/>
              <w:widowControl/>
              <w:suppressLineNumbers w:val="0"/>
              <w:topLinePunct w:val="0"/>
              <w:bidi w:val="0"/>
              <w:adjustRightInd/>
              <w:snapToGrid/>
              <w:jc w:val="center"/>
              <w:textAlignment w:val="center"/>
              <w:rPr>
                <w:rFonts w:hint="default" w:ascii="Times New Roman" w:hAnsi="Times New Roman" w:eastAsia="宋体" w:cs="Times New Roman"/>
                <w:b w:val="0"/>
                <w:bCs/>
                <w:color w:val="auto"/>
                <w:kern w:val="0"/>
                <w:sz w:val="21"/>
                <w:szCs w:val="21"/>
                <w:highlight w:val="none"/>
                <w:u w:val="none" w:color="auto"/>
                <w:lang w:val="en-US" w:eastAsia="zh-CN" w:bidi="ar"/>
              </w:rPr>
            </w:pPr>
            <w:r>
              <w:rPr>
                <w:rFonts w:hint="default" w:ascii="Times New Roman" w:hAnsi="Times New Roman" w:eastAsia="宋体" w:cs="Times New Roman"/>
                <w:b w:val="0"/>
                <w:bCs/>
                <w:i w:val="0"/>
                <w:iCs w:val="0"/>
                <w:color w:val="auto"/>
                <w:kern w:val="0"/>
                <w:sz w:val="21"/>
                <w:szCs w:val="21"/>
                <w:u w:val="none" w:color="auto"/>
                <w:lang w:val="en-US" w:eastAsia="zh-CN" w:bidi="ar"/>
              </w:rPr>
              <w:t>H</w:t>
            </w:r>
            <w:r>
              <w:rPr>
                <w:rFonts w:hint="default" w:ascii="Times New Roman" w:hAnsi="Times New Roman" w:eastAsia="宋体" w:cs="Times New Roman"/>
                <w:b w:val="0"/>
                <w:bCs/>
                <w:i w:val="0"/>
                <w:iCs w:val="0"/>
                <w:color w:val="auto"/>
                <w:kern w:val="0"/>
                <w:sz w:val="21"/>
                <w:szCs w:val="21"/>
                <w:u w:val="none" w:color="auto"/>
                <w:vertAlign w:val="subscript"/>
                <w:lang w:val="en-US" w:eastAsia="zh-CN" w:bidi="ar"/>
              </w:rPr>
              <w:t>2</w:t>
            </w:r>
            <w:r>
              <w:rPr>
                <w:rFonts w:hint="default" w:ascii="Times New Roman" w:hAnsi="Times New Roman" w:eastAsia="宋体" w:cs="Times New Roman"/>
                <w:b w:val="0"/>
                <w:bCs/>
                <w:i w:val="0"/>
                <w:iCs w:val="0"/>
                <w:color w:val="auto"/>
                <w:kern w:val="0"/>
                <w:sz w:val="21"/>
                <w:szCs w:val="21"/>
                <w:u w:val="none" w:color="auto"/>
                <w:lang w:val="en-US" w:eastAsia="zh-CN" w:bidi="ar"/>
              </w:rPr>
              <w:t>S</w:t>
            </w:r>
          </w:p>
        </w:tc>
        <w:tc>
          <w:tcPr>
            <w:tcW w:w="1515" w:type="dxa"/>
            <w:noWrap w:val="0"/>
            <w:vAlign w:val="center"/>
          </w:tcPr>
          <w:p w14:paraId="011BD7E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0.00008</w:t>
            </w:r>
          </w:p>
        </w:tc>
        <w:tc>
          <w:tcPr>
            <w:tcW w:w="1391" w:type="dxa"/>
            <w:noWrap w:val="0"/>
            <w:vAlign w:val="center"/>
          </w:tcPr>
          <w:p w14:paraId="43E43B38">
            <w:pPr>
              <w:jc w:val="center"/>
              <w:rPr>
                <w:rFonts w:hint="default" w:ascii="Times New Roman" w:hAnsi="Times New Roman" w:eastAsia="宋体" w:cs="Times New Roman"/>
                <w:snapToGrid w:val="0"/>
                <w:color w:val="auto"/>
                <w:kern w:val="21"/>
                <w:sz w:val="21"/>
                <w:szCs w:val="21"/>
                <w:u w:val="none" w:color="auto"/>
                <w:lang w:val="en-US" w:eastAsia="zh-CN" w:bidi="ar-SA"/>
              </w:rPr>
            </w:pPr>
            <w:r>
              <w:rPr>
                <w:rFonts w:hint="default" w:ascii="Times New Roman" w:hAnsi="Times New Roman" w:eastAsia="宋体" w:cs="Times New Roman"/>
                <w:color w:val="auto"/>
                <w:kern w:val="2"/>
                <w:sz w:val="21"/>
                <w:szCs w:val="21"/>
                <w:u w:val="none" w:color="auto"/>
                <w:lang w:val="en-US" w:eastAsia="zh-CN" w:bidi="ar-SA"/>
              </w:rPr>
              <w:t>/</w:t>
            </w:r>
          </w:p>
        </w:tc>
        <w:tc>
          <w:tcPr>
            <w:tcW w:w="1540" w:type="dxa"/>
            <w:noWrap w:val="0"/>
            <w:vAlign w:val="center"/>
          </w:tcPr>
          <w:p w14:paraId="56A08BDB">
            <w:pPr>
              <w:jc w:val="center"/>
              <w:rPr>
                <w:rFonts w:hint="default" w:ascii="Times New Roman" w:hAnsi="Times New Roman" w:eastAsia="宋体" w:cs="Times New Roman"/>
                <w:snapToGrid w:val="0"/>
                <w:color w:val="auto"/>
                <w:kern w:val="21"/>
                <w:sz w:val="21"/>
                <w:szCs w:val="21"/>
                <w:u w:val="none" w:color="auto"/>
                <w:lang w:val="en-US" w:eastAsia="zh-CN" w:bidi="ar-SA"/>
              </w:rPr>
            </w:pPr>
            <w:r>
              <w:rPr>
                <w:rFonts w:hint="default" w:ascii="Times New Roman" w:hAnsi="Times New Roman" w:eastAsia="宋体" w:cs="Times New Roman"/>
                <w:snapToGrid w:val="0"/>
                <w:color w:val="auto"/>
                <w:kern w:val="21"/>
                <w:sz w:val="21"/>
                <w:szCs w:val="21"/>
                <w:u w:val="none" w:color="auto"/>
                <w:lang w:val="en-US" w:eastAsia="zh-CN"/>
              </w:rPr>
              <w:t>0</w:t>
            </w:r>
          </w:p>
        </w:tc>
        <w:tc>
          <w:tcPr>
            <w:tcW w:w="1540" w:type="dxa"/>
            <w:noWrap w:val="0"/>
            <w:vAlign w:val="center"/>
          </w:tcPr>
          <w:p w14:paraId="66287A2F">
            <w:pPr>
              <w:jc w:val="center"/>
              <w:outlineLvl w:val="9"/>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snapToGrid w:val="0"/>
                <w:color w:val="auto"/>
                <w:kern w:val="21"/>
                <w:sz w:val="21"/>
                <w:szCs w:val="21"/>
                <w:u w:val="none" w:color="auto"/>
                <w:lang w:val="en-US" w:eastAsia="zh-CN"/>
              </w:rPr>
              <w:t>0</w:t>
            </w:r>
          </w:p>
        </w:tc>
        <w:tc>
          <w:tcPr>
            <w:tcW w:w="1540" w:type="dxa"/>
            <w:noWrap w:val="0"/>
            <w:vAlign w:val="center"/>
          </w:tcPr>
          <w:p w14:paraId="68730249">
            <w:pPr>
              <w:jc w:val="center"/>
              <w:rPr>
                <w:rFonts w:hint="default" w:ascii="Times New Roman" w:hAnsi="Times New Roman" w:eastAsia="宋体" w:cs="Times New Roman"/>
                <w:snapToGrid w:val="0"/>
                <w:color w:val="auto"/>
                <w:kern w:val="21"/>
                <w:sz w:val="21"/>
                <w:szCs w:val="21"/>
                <w:u w:val="none" w:color="auto"/>
              </w:rPr>
            </w:pPr>
            <w:r>
              <w:rPr>
                <w:rFonts w:hint="default" w:ascii="Times New Roman" w:hAnsi="Times New Roman" w:eastAsia="宋体" w:cs="Times New Roman"/>
                <w:snapToGrid w:val="0"/>
                <w:color w:val="auto"/>
                <w:kern w:val="21"/>
                <w:sz w:val="21"/>
                <w:szCs w:val="21"/>
                <w:highlight w:val="none"/>
                <w:u w:val="none" w:color="auto"/>
                <w:lang w:val="en-US" w:eastAsia="zh-CN"/>
              </w:rPr>
              <w:t>0</w:t>
            </w:r>
          </w:p>
        </w:tc>
        <w:tc>
          <w:tcPr>
            <w:tcW w:w="1540" w:type="dxa"/>
            <w:noWrap w:val="0"/>
            <w:vAlign w:val="center"/>
          </w:tcPr>
          <w:p w14:paraId="3E5D963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0.00008</w:t>
            </w:r>
          </w:p>
        </w:tc>
        <w:tc>
          <w:tcPr>
            <w:tcW w:w="1543" w:type="dxa"/>
            <w:shd w:val="clear" w:color="auto" w:fill="auto"/>
            <w:noWrap w:val="0"/>
            <w:vAlign w:val="center"/>
          </w:tcPr>
          <w:p w14:paraId="063944FA">
            <w:pPr>
              <w:jc w:val="center"/>
              <w:outlineLvl w:val="9"/>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snapToGrid w:val="0"/>
                <w:color w:val="auto"/>
                <w:kern w:val="21"/>
                <w:sz w:val="21"/>
                <w:szCs w:val="21"/>
                <w:u w:val="none" w:color="auto"/>
                <w:lang w:val="en-US" w:eastAsia="zh-CN"/>
              </w:rPr>
              <w:t>0</w:t>
            </w:r>
          </w:p>
        </w:tc>
      </w:tr>
      <w:tr w14:paraId="4EDA0D6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53" w:hRule="atLeast"/>
          <w:jc w:val="center"/>
        </w:trPr>
        <w:tc>
          <w:tcPr>
            <w:tcW w:w="1095" w:type="dxa"/>
            <w:vMerge w:val="continue"/>
            <w:noWrap w:val="0"/>
            <w:vAlign w:val="center"/>
          </w:tcPr>
          <w:p w14:paraId="7F89737E">
            <w:pPr>
              <w:pStyle w:val="42"/>
              <w:spacing w:beforeLines="0" w:afterLines="0" w:line="240" w:lineRule="auto"/>
              <w:jc w:val="center"/>
              <w:rPr>
                <w:rFonts w:hint="default" w:ascii="Times New Roman" w:hAnsi="Times New Roman" w:eastAsia="宋体" w:cs="Times New Roman"/>
                <w:snapToGrid w:val="0"/>
                <w:color w:val="auto"/>
                <w:kern w:val="21"/>
                <w:sz w:val="21"/>
                <w:szCs w:val="21"/>
                <w:u w:val="none" w:color="auto"/>
              </w:rPr>
            </w:pPr>
          </w:p>
        </w:tc>
        <w:tc>
          <w:tcPr>
            <w:tcW w:w="2084" w:type="dxa"/>
            <w:noWrap w:val="0"/>
            <w:vAlign w:val="center"/>
          </w:tcPr>
          <w:p w14:paraId="5B946ADB">
            <w:pPr>
              <w:keepNext w:val="0"/>
              <w:keepLines w:val="0"/>
              <w:widowControl/>
              <w:suppressLineNumbers w:val="0"/>
              <w:topLinePunct w:val="0"/>
              <w:bidi w:val="0"/>
              <w:adjustRightInd/>
              <w:snapToGrid/>
              <w:jc w:val="center"/>
              <w:textAlignment w:val="center"/>
              <w:rPr>
                <w:rFonts w:hint="default" w:ascii="Times New Roman" w:hAnsi="Times New Roman" w:eastAsia="宋体" w:cs="Times New Roman"/>
                <w:b w:val="0"/>
                <w:bCs/>
                <w:i w:val="0"/>
                <w:iCs w:val="0"/>
                <w:color w:val="auto"/>
                <w:kern w:val="0"/>
                <w:sz w:val="21"/>
                <w:szCs w:val="21"/>
                <w:u w:val="none" w:color="auto"/>
                <w:lang w:val="en-US" w:eastAsia="zh-CN" w:bidi="ar"/>
              </w:rPr>
            </w:pPr>
            <w:r>
              <w:rPr>
                <w:rFonts w:hint="default" w:ascii="Times New Roman" w:hAnsi="Times New Roman" w:eastAsia="宋体" w:cs="Times New Roman"/>
                <w:b w:val="0"/>
                <w:bCs/>
                <w:i w:val="0"/>
                <w:iCs w:val="0"/>
                <w:color w:val="auto"/>
                <w:kern w:val="0"/>
                <w:sz w:val="21"/>
                <w:szCs w:val="21"/>
                <w:u w:val="none" w:color="auto"/>
                <w:lang w:val="en-US" w:eastAsia="zh-CN" w:bidi="ar"/>
              </w:rPr>
              <w:t>HCL</w:t>
            </w:r>
          </w:p>
        </w:tc>
        <w:tc>
          <w:tcPr>
            <w:tcW w:w="1515" w:type="dxa"/>
            <w:noWrap w:val="0"/>
            <w:vAlign w:val="center"/>
          </w:tcPr>
          <w:p w14:paraId="63EB911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0.0093</w:t>
            </w:r>
          </w:p>
        </w:tc>
        <w:tc>
          <w:tcPr>
            <w:tcW w:w="1391" w:type="dxa"/>
            <w:noWrap w:val="0"/>
            <w:vAlign w:val="center"/>
          </w:tcPr>
          <w:p w14:paraId="17051E15">
            <w:pPr>
              <w:jc w:val="center"/>
              <w:rPr>
                <w:rFonts w:hint="default" w:ascii="Times New Roman" w:hAnsi="Times New Roman" w:eastAsia="宋体" w:cs="Times New Roman"/>
                <w:snapToGrid w:val="0"/>
                <w:color w:val="auto"/>
                <w:kern w:val="21"/>
                <w:sz w:val="21"/>
                <w:szCs w:val="21"/>
                <w:u w:val="none" w:color="auto"/>
                <w:lang w:val="en-US" w:eastAsia="zh-CN" w:bidi="ar-SA"/>
              </w:rPr>
            </w:pPr>
            <w:r>
              <w:rPr>
                <w:rFonts w:hint="default" w:ascii="Times New Roman" w:hAnsi="Times New Roman" w:eastAsia="宋体" w:cs="Times New Roman"/>
                <w:color w:val="auto"/>
                <w:kern w:val="2"/>
                <w:sz w:val="21"/>
                <w:szCs w:val="21"/>
                <w:u w:val="none" w:color="auto"/>
                <w:lang w:val="en-US" w:eastAsia="zh-CN" w:bidi="ar-SA"/>
              </w:rPr>
              <w:t>/</w:t>
            </w:r>
          </w:p>
        </w:tc>
        <w:tc>
          <w:tcPr>
            <w:tcW w:w="1540" w:type="dxa"/>
            <w:noWrap w:val="0"/>
            <w:vAlign w:val="center"/>
          </w:tcPr>
          <w:p w14:paraId="571C73B1">
            <w:pPr>
              <w:jc w:val="center"/>
              <w:rPr>
                <w:rFonts w:hint="default" w:ascii="Times New Roman" w:hAnsi="Times New Roman" w:eastAsia="宋体" w:cs="Times New Roman"/>
                <w:snapToGrid w:val="0"/>
                <w:color w:val="auto"/>
                <w:kern w:val="21"/>
                <w:sz w:val="21"/>
                <w:szCs w:val="21"/>
                <w:u w:val="none" w:color="auto"/>
                <w:lang w:val="en-US" w:eastAsia="zh-CN" w:bidi="ar-SA"/>
              </w:rPr>
            </w:pPr>
            <w:r>
              <w:rPr>
                <w:rFonts w:hint="default" w:ascii="Times New Roman" w:hAnsi="Times New Roman" w:eastAsia="宋体" w:cs="Times New Roman"/>
                <w:snapToGrid w:val="0"/>
                <w:color w:val="auto"/>
                <w:kern w:val="21"/>
                <w:sz w:val="21"/>
                <w:szCs w:val="21"/>
                <w:u w:val="none" w:color="auto"/>
                <w:lang w:val="en-US" w:eastAsia="zh-CN"/>
              </w:rPr>
              <w:t>0</w:t>
            </w:r>
          </w:p>
        </w:tc>
        <w:tc>
          <w:tcPr>
            <w:tcW w:w="1540" w:type="dxa"/>
            <w:noWrap w:val="0"/>
            <w:vAlign w:val="center"/>
          </w:tcPr>
          <w:p w14:paraId="7A2DF4B2">
            <w:pPr>
              <w:jc w:val="center"/>
              <w:outlineLvl w:val="9"/>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snapToGrid w:val="0"/>
                <w:color w:val="auto"/>
                <w:kern w:val="21"/>
                <w:sz w:val="21"/>
                <w:szCs w:val="21"/>
                <w:u w:val="none" w:color="auto"/>
                <w:lang w:val="en-US" w:eastAsia="zh-CN"/>
              </w:rPr>
              <w:t>0</w:t>
            </w:r>
          </w:p>
        </w:tc>
        <w:tc>
          <w:tcPr>
            <w:tcW w:w="1540" w:type="dxa"/>
            <w:noWrap w:val="0"/>
            <w:vAlign w:val="center"/>
          </w:tcPr>
          <w:p w14:paraId="59E2205B">
            <w:pPr>
              <w:jc w:val="center"/>
              <w:rPr>
                <w:rFonts w:hint="default" w:ascii="Times New Roman" w:hAnsi="Times New Roman" w:eastAsia="宋体" w:cs="Times New Roman"/>
                <w:snapToGrid w:val="0"/>
                <w:color w:val="auto"/>
                <w:kern w:val="21"/>
                <w:sz w:val="21"/>
                <w:szCs w:val="21"/>
                <w:u w:val="none" w:color="auto"/>
              </w:rPr>
            </w:pPr>
            <w:r>
              <w:rPr>
                <w:rFonts w:hint="default" w:ascii="Times New Roman" w:hAnsi="Times New Roman" w:eastAsia="宋体" w:cs="Times New Roman"/>
                <w:snapToGrid w:val="0"/>
                <w:color w:val="auto"/>
                <w:kern w:val="21"/>
                <w:sz w:val="21"/>
                <w:szCs w:val="21"/>
                <w:highlight w:val="none"/>
                <w:u w:val="none" w:color="auto"/>
                <w:lang w:val="en-US" w:eastAsia="zh-CN"/>
              </w:rPr>
              <w:t>0</w:t>
            </w:r>
          </w:p>
        </w:tc>
        <w:tc>
          <w:tcPr>
            <w:tcW w:w="1540" w:type="dxa"/>
            <w:noWrap w:val="0"/>
            <w:vAlign w:val="center"/>
          </w:tcPr>
          <w:p w14:paraId="0A74EFF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0.0093</w:t>
            </w:r>
          </w:p>
        </w:tc>
        <w:tc>
          <w:tcPr>
            <w:tcW w:w="1543" w:type="dxa"/>
            <w:shd w:val="clear" w:color="auto" w:fill="auto"/>
            <w:noWrap w:val="0"/>
            <w:vAlign w:val="center"/>
          </w:tcPr>
          <w:p w14:paraId="642FEC75">
            <w:pPr>
              <w:jc w:val="center"/>
              <w:outlineLvl w:val="9"/>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snapToGrid w:val="0"/>
                <w:color w:val="auto"/>
                <w:kern w:val="21"/>
                <w:sz w:val="21"/>
                <w:szCs w:val="21"/>
                <w:u w:val="none" w:color="auto"/>
                <w:lang w:val="en-US" w:eastAsia="zh-CN"/>
              </w:rPr>
              <w:t>0</w:t>
            </w:r>
          </w:p>
        </w:tc>
      </w:tr>
      <w:tr w14:paraId="3571E91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53" w:hRule="atLeast"/>
          <w:jc w:val="center"/>
        </w:trPr>
        <w:tc>
          <w:tcPr>
            <w:tcW w:w="1095" w:type="dxa"/>
            <w:vMerge w:val="restart"/>
            <w:noWrap w:val="0"/>
            <w:vAlign w:val="center"/>
          </w:tcPr>
          <w:p w14:paraId="2693D664">
            <w:pPr>
              <w:pStyle w:val="42"/>
              <w:spacing w:beforeLines="0" w:afterLines="0" w:line="240" w:lineRule="auto"/>
              <w:jc w:val="center"/>
              <w:rPr>
                <w:rFonts w:hint="default" w:ascii="Times New Roman" w:hAnsi="Times New Roman" w:eastAsia="宋体" w:cs="Times New Roman"/>
                <w:snapToGrid w:val="0"/>
                <w:color w:val="auto"/>
                <w:kern w:val="21"/>
                <w:sz w:val="21"/>
                <w:szCs w:val="21"/>
                <w:u w:val="none" w:color="auto"/>
              </w:rPr>
            </w:pPr>
            <w:r>
              <w:rPr>
                <w:rFonts w:hint="default" w:ascii="Times New Roman" w:hAnsi="Times New Roman" w:eastAsia="宋体" w:cs="Times New Roman"/>
                <w:snapToGrid w:val="0"/>
                <w:color w:val="auto"/>
                <w:kern w:val="21"/>
                <w:sz w:val="21"/>
                <w:szCs w:val="21"/>
                <w:u w:val="none" w:color="auto"/>
              </w:rPr>
              <w:t>废水</w:t>
            </w:r>
          </w:p>
        </w:tc>
        <w:tc>
          <w:tcPr>
            <w:tcW w:w="2084" w:type="dxa"/>
            <w:noWrap w:val="0"/>
            <w:vAlign w:val="center"/>
          </w:tcPr>
          <w:p w14:paraId="3AF002F4">
            <w:pPr>
              <w:keepNext w:val="0"/>
              <w:keepLines w:val="0"/>
              <w:widowControl/>
              <w:suppressLineNumbers w:val="0"/>
              <w:topLinePunct w:val="0"/>
              <w:bidi w:val="0"/>
              <w:adjustRightInd/>
              <w:snapToGrid/>
              <w:jc w:val="center"/>
              <w:textAlignment w:val="center"/>
              <w:rPr>
                <w:rFonts w:hint="default" w:ascii="Times New Roman" w:hAnsi="Times New Roman" w:eastAsia="宋体" w:cs="Times New Roman"/>
                <w:b w:val="0"/>
                <w:bCs/>
                <w:i w:val="0"/>
                <w:iCs w:val="0"/>
                <w:color w:val="auto"/>
                <w:kern w:val="0"/>
                <w:sz w:val="21"/>
                <w:szCs w:val="21"/>
                <w:highlight w:val="none"/>
                <w:u w:val="none" w:color="auto"/>
                <w:lang w:val="en-US" w:eastAsia="zh-CN" w:bidi="ar"/>
              </w:rPr>
            </w:pPr>
            <w:r>
              <w:rPr>
                <w:rFonts w:hint="default" w:ascii="Times New Roman" w:hAnsi="Times New Roman" w:eastAsia="宋体" w:cs="Times New Roman"/>
                <w:b w:val="0"/>
                <w:bCs/>
                <w:i w:val="0"/>
                <w:iCs w:val="0"/>
                <w:color w:val="auto"/>
                <w:kern w:val="0"/>
                <w:sz w:val="21"/>
                <w:szCs w:val="21"/>
                <w:highlight w:val="none"/>
                <w:u w:val="none" w:color="auto"/>
                <w:lang w:val="en-US" w:eastAsia="zh-CN" w:bidi="ar"/>
              </w:rPr>
              <w:t>废水量</w:t>
            </w:r>
          </w:p>
        </w:tc>
        <w:tc>
          <w:tcPr>
            <w:tcW w:w="1515" w:type="dxa"/>
            <w:noWrap w:val="0"/>
            <w:vAlign w:val="center"/>
          </w:tcPr>
          <w:p w14:paraId="5C39B59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140244.128</w:t>
            </w:r>
          </w:p>
        </w:tc>
        <w:tc>
          <w:tcPr>
            <w:tcW w:w="1391" w:type="dxa"/>
            <w:noWrap w:val="0"/>
            <w:vAlign w:val="center"/>
          </w:tcPr>
          <w:p w14:paraId="51FC9742">
            <w:pPr>
              <w:jc w:val="center"/>
              <w:rPr>
                <w:rFonts w:hint="default" w:ascii="Times New Roman" w:hAnsi="Times New Roman" w:eastAsia="宋体" w:cs="Times New Roman"/>
                <w:snapToGrid w:val="0"/>
                <w:color w:val="auto"/>
                <w:kern w:val="21"/>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w:t>
            </w:r>
          </w:p>
        </w:tc>
        <w:tc>
          <w:tcPr>
            <w:tcW w:w="1540" w:type="dxa"/>
            <w:noWrap w:val="0"/>
            <w:vAlign w:val="center"/>
          </w:tcPr>
          <w:p w14:paraId="027E5654">
            <w:pPr>
              <w:jc w:val="center"/>
              <w:rPr>
                <w:rFonts w:hint="default" w:ascii="Times New Roman" w:hAnsi="Times New Roman" w:eastAsia="宋体" w:cs="Times New Roman"/>
                <w:snapToGrid w:val="0"/>
                <w:color w:val="auto"/>
                <w:kern w:val="21"/>
                <w:sz w:val="21"/>
                <w:szCs w:val="21"/>
                <w:highlight w:val="none"/>
                <w:u w:val="none" w:color="auto"/>
                <w:lang w:val="en-US" w:eastAsia="zh-CN" w:bidi="ar-SA"/>
              </w:rPr>
            </w:pPr>
            <w:r>
              <w:rPr>
                <w:rFonts w:hint="default" w:ascii="Times New Roman" w:hAnsi="Times New Roman" w:eastAsia="宋体" w:cs="Times New Roman"/>
                <w:snapToGrid w:val="0"/>
                <w:color w:val="auto"/>
                <w:kern w:val="21"/>
                <w:sz w:val="21"/>
                <w:szCs w:val="21"/>
                <w:highlight w:val="none"/>
                <w:u w:val="none" w:color="auto"/>
                <w:lang w:val="en-US" w:eastAsia="zh-CN"/>
              </w:rPr>
              <w:t>0</w:t>
            </w:r>
          </w:p>
        </w:tc>
        <w:tc>
          <w:tcPr>
            <w:tcW w:w="1540" w:type="dxa"/>
            <w:noWrap w:val="0"/>
            <w:vAlign w:val="center"/>
          </w:tcPr>
          <w:p w14:paraId="10D858B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yellow"/>
                <w:u w:val="none" w:color="auto"/>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7854</w:t>
            </w:r>
          </w:p>
        </w:tc>
        <w:tc>
          <w:tcPr>
            <w:tcW w:w="1540" w:type="dxa"/>
            <w:noWrap w:val="0"/>
            <w:vAlign w:val="center"/>
          </w:tcPr>
          <w:p w14:paraId="12C02ECD">
            <w:pPr>
              <w:keepNext w:val="0"/>
              <w:keepLines w:val="0"/>
              <w:widowControl/>
              <w:suppressLineNumbers w:val="0"/>
              <w:jc w:val="center"/>
              <w:textAlignment w:val="center"/>
              <w:rPr>
                <w:rFonts w:hint="default" w:ascii="Times New Roman" w:hAnsi="Times New Roman" w:eastAsia="宋体" w:cs="Times New Roman"/>
                <w:snapToGrid w:val="0"/>
                <w:color w:val="auto"/>
                <w:kern w:val="21"/>
                <w:sz w:val="21"/>
                <w:szCs w:val="21"/>
                <w:highlight w:val="yellow"/>
                <w:u w:val="none" w:color="auto"/>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w:t>
            </w:r>
          </w:p>
        </w:tc>
        <w:tc>
          <w:tcPr>
            <w:tcW w:w="1540" w:type="dxa"/>
            <w:noWrap w:val="0"/>
            <w:vAlign w:val="center"/>
          </w:tcPr>
          <w:p w14:paraId="29F87EB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yellow"/>
                <w:u w:val="none" w:color="auto"/>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148098.128</w:t>
            </w:r>
          </w:p>
        </w:tc>
        <w:tc>
          <w:tcPr>
            <w:tcW w:w="1543" w:type="dxa"/>
            <w:shd w:val="clear" w:color="auto" w:fill="auto"/>
            <w:noWrap w:val="0"/>
            <w:vAlign w:val="center"/>
          </w:tcPr>
          <w:p w14:paraId="4AE3019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yellow"/>
                <w:u w:val="none" w:color="auto"/>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+7854</w:t>
            </w:r>
          </w:p>
        </w:tc>
      </w:tr>
      <w:tr w14:paraId="1EC9749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53" w:hRule="atLeast"/>
          <w:jc w:val="center"/>
        </w:trPr>
        <w:tc>
          <w:tcPr>
            <w:tcW w:w="1095" w:type="dxa"/>
            <w:vMerge w:val="continue"/>
            <w:noWrap w:val="0"/>
            <w:vAlign w:val="center"/>
          </w:tcPr>
          <w:p w14:paraId="6F681630">
            <w:pPr>
              <w:pStyle w:val="42"/>
              <w:spacing w:beforeLines="0" w:afterLines="0" w:line="240" w:lineRule="auto"/>
              <w:jc w:val="center"/>
              <w:rPr>
                <w:rFonts w:hint="default" w:ascii="Times New Roman" w:hAnsi="Times New Roman" w:eastAsia="宋体" w:cs="Times New Roman"/>
                <w:snapToGrid w:val="0"/>
                <w:color w:val="auto"/>
                <w:kern w:val="21"/>
                <w:sz w:val="21"/>
                <w:szCs w:val="21"/>
                <w:u w:val="none" w:color="auto"/>
              </w:rPr>
            </w:pPr>
          </w:p>
        </w:tc>
        <w:tc>
          <w:tcPr>
            <w:tcW w:w="2084" w:type="dxa"/>
            <w:noWrap w:val="0"/>
            <w:vAlign w:val="center"/>
          </w:tcPr>
          <w:p w14:paraId="24434FFD">
            <w:pPr>
              <w:keepNext w:val="0"/>
              <w:keepLines w:val="0"/>
              <w:widowControl/>
              <w:suppressLineNumbers w:val="0"/>
              <w:topLinePunct w:val="0"/>
              <w:bidi w:val="0"/>
              <w:adjustRightInd/>
              <w:snapToGrid/>
              <w:jc w:val="center"/>
              <w:textAlignment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i w:val="0"/>
                <w:iCs w:val="0"/>
                <w:color w:val="auto"/>
                <w:kern w:val="0"/>
                <w:sz w:val="21"/>
                <w:szCs w:val="21"/>
                <w:highlight w:val="none"/>
                <w:u w:val="none" w:color="auto"/>
                <w:lang w:val="en-US" w:eastAsia="zh-CN" w:bidi="ar"/>
              </w:rPr>
              <w:t>COD</w:t>
            </w:r>
          </w:p>
        </w:tc>
        <w:tc>
          <w:tcPr>
            <w:tcW w:w="1515" w:type="dxa"/>
            <w:noWrap w:val="0"/>
            <w:vAlign w:val="center"/>
          </w:tcPr>
          <w:p w14:paraId="628D9FA4">
            <w:pPr>
              <w:keepNext w:val="0"/>
              <w:keepLines w:val="0"/>
              <w:widowControl/>
              <w:suppressLineNumbers w:val="0"/>
              <w:topLinePunct w:val="0"/>
              <w:bidi w:val="0"/>
              <w:adjustRightInd/>
              <w:snapToGrid/>
              <w:jc w:val="center"/>
              <w:textAlignment w:val="center"/>
              <w:rPr>
                <w:rFonts w:hint="default" w:ascii="Times New Roman" w:hAnsi="Times New Roman" w:eastAsia="宋体" w:cs="Times New Roman"/>
                <w:i w:val="0"/>
                <w:iCs w:val="0"/>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7.0122</w:t>
            </w:r>
          </w:p>
        </w:tc>
        <w:tc>
          <w:tcPr>
            <w:tcW w:w="1391" w:type="dxa"/>
            <w:noWrap w:val="0"/>
            <w:vAlign w:val="center"/>
          </w:tcPr>
          <w:p w14:paraId="4E98EF2C">
            <w:pPr>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7.1</w:t>
            </w:r>
          </w:p>
        </w:tc>
        <w:tc>
          <w:tcPr>
            <w:tcW w:w="1540" w:type="dxa"/>
            <w:noWrap w:val="0"/>
            <w:vAlign w:val="center"/>
          </w:tcPr>
          <w:p w14:paraId="6AE9F994">
            <w:pPr>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snapToGrid w:val="0"/>
                <w:color w:val="auto"/>
                <w:kern w:val="21"/>
                <w:sz w:val="21"/>
                <w:szCs w:val="21"/>
                <w:highlight w:val="none"/>
                <w:u w:val="none" w:color="auto"/>
                <w:lang w:val="en-US" w:eastAsia="zh-CN"/>
              </w:rPr>
              <w:t>0</w:t>
            </w:r>
          </w:p>
        </w:tc>
        <w:tc>
          <w:tcPr>
            <w:tcW w:w="1540" w:type="dxa"/>
            <w:shd w:val="clear" w:color="auto" w:fill="auto"/>
            <w:noWrap w:val="0"/>
            <w:vAlign w:val="center"/>
          </w:tcPr>
          <w:p w14:paraId="32BB070F">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0.3927</w:t>
            </w:r>
          </w:p>
        </w:tc>
        <w:tc>
          <w:tcPr>
            <w:tcW w:w="1540" w:type="dxa"/>
            <w:noWrap w:val="0"/>
            <w:vAlign w:val="center"/>
          </w:tcPr>
          <w:p w14:paraId="3D89412C">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yellow"/>
                <w:u w:val="none" w:color="auto"/>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w:t>
            </w:r>
          </w:p>
        </w:tc>
        <w:tc>
          <w:tcPr>
            <w:tcW w:w="1540" w:type="dxa"/>
            <w:noWrap w:val="0"/>
            <w:vAlign w:val="center"/>
          </w:tcPr>
          <w:p w14:paraId="51456E4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yellow"/>
                <w:u w:val="none" w:color="auto"/>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7.4049</w:t>
            </w:r>
          </w:p>
        </w:tc>
        <w:tc>
          <w:tcPr>
            <w:tcW w:w="1543" w:type="dxa"/>
            <w:shd w:val="clear" w:color="auto" w:fill="auto"/>
            <w:noWrap w:val="0"/>
            <w:vAlign w:val="center"/>
          </w:tcPr>
          <w:p w14:paraId="6628D03B">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yellow"/>
                <w:u w:val="none" w:color="auto"/>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+0.3927</w:t>
            </w:r>
          </w:p>
        </w:tc>
      </w:tr>
      <w:tr w14:paraId="7E50F6C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53" w:hRule="atLeast"/>
          <w:jc w:val="center"/>
        </w:trPr>
        <w:tc>
          <w:tcPr>
            <w:tcW w:w="1095" w:type="dxa"/>
            <w:vMerge w:val="continue"/>
            <w:noWrap w:val="0"/>
            <w:vAlign w:val="center"/>
          </w:tcPr>
          <w:p w14:paraId="33151ACF">
            <w:pPr>
              <w:pStyle w:val="42"/>
              <w:spacing w:beforeLines="0" w:afterLines="0" w:line="240" w:lineRule="auto"/>
              <w:jc w:val="center"/>
              <w:rPr>
                <w:rFonts w:hint="default" w:ascii="Times New Roman" w:hAnsi="Times New Roman" w:eastAsia="宋体" w:cs="Times New Roman"/>
                <w:snapToGrid w:val="0"/>
                <w:color w:val="auto"/>
                <w:kern w:val="21"/>
                <w:sz w:val="21"/>
                <w:szCs w:val="21"/>
                <w:u w:val="none" w:color="auto"/>
              </w:rPr>
            </w:pPr>
          </w:p>
        </w:tc>
        <w:tc>
          <w:tcPr>
            <w:tcW w:w="2084" w:type="dxa"/>
            <w:noWrap w:val="0"/>
            <w:vAlign w:val="center"/>
          </w:tcPr>
          <w:p w14:paraId="6A73D3BD">
            <w:pPr>
              <w:keepNext w:val="0"/>
              <w:keepLines w:val="0"/>
              <w:widowControl/>
              <w:suppressLineNumbers w:val="0"/>
              <w:topLinePunct w:val="0"/>
              <w:bidi w:val="0"/>
              <w:adjustRightInd/>
              <w:snapToGrid/>
              <w:jc w:val="center"/>
              <w:textAlignment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i w:val="0"/>
                <w:iCs w:val="0"/>
                <w:color w:val="auto"/>
                <w:kern w:val="0"/>
                <w:sz w:val="21"/>
                <w:szCs w:val="21"/>
                <w:highlight w:val="none"/>
                <w:u w:val="none" w:color="auto"/>
                <w:lang w:val="en-US" w:eastAsia="zh-CN" w:bidi="ar"/>
              </w:rPr>
              <w:t>BOD</w:t>
            </w:r>
            <w:r>
              <w:rPr>
                <w:rFonts w:hint="default" w:ascii="Times New Roman" w:hAnsi="Times New Roman" w:eastAsia="宋体" w:cs="Times New Roman"/>
                <w:i w:val="0"/>
                <w:iCs w:val="0"/>
                <w:color w:val="auto"/>
                <w:kern w:val="0"/>
                <w:sz w:val="21"/>
                <w:szCs w:val="21"/>
                <w:highlight w:val="none"/>
                <w:u w:val="none" w:color="auto"/>
                <w:vertAlign w:val="subscript"/>
                <w:lang w:val="en-US" w:eastAsia="zh-CN" w:bidi="ar"/>
              </w:rPr>
              <w:t>5</w:t>
            </w:r>
          </w:p>
        </w:tc>
        <w:tc>
          <w:tcPr>
            <w:tcW w:w="1515" w:type="dxa"/>
            <w:noWrap w:val="0"/>
            <w:vAlign w:val="center"/>
          </w:tcPr>
          <w:p w14:paraId="59EFF3D8">
            <w:pPr>
              <w:keepNext w:val="0"/>
              <w:keepLines w:val="0"/>
              <w:widowControl/>
              <w:suppressLineNumbers w:val="0"/>
              <w:topLinePunct w:val="0"/>
              <w:bidi w:val="0"/>
              <w:adjustRightInd/>
              <w:snapToGrid/>
              <w:jc w:val="center"/>
              <w:textAlignment w:val="center"/>
              <w:rPr>
                <w:rFonts w:hint="default" w:ascii="Times New Roman" w:hAnsi="Times New Roman" w:eastAsia="宋体" w:cs="Times New Roman"/>
                <w:i w:val="0"/>
                <w:iCs w:val="0"/>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1.4024</w:t>
            </w:r>
          </w:p>
        </w:tc>
        <w:tc>
          <w:tcPr>
            <w:tcW w:w="1391" w:type="dxa"/>
            <w:noWrap w:val="0"/>
            <w:vAlign w:val="center"/>
          </w:tcPr>
          <w:p w14:paraId="33A42CC1">
            <w:pPr>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w:t>
            </w:r>
          </w:p>
        </w:tc>
        <w:tc>
          <w:tcPr>
            <w:tcW w:w="1540" w:type="dxa"/>
            <w:noWrap w:val="0"/>
            <w:vAlign w:val="center"/>
          </w:tcPr>
          <w:p w14:paraId="039F1096">
            <w:pPr>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snapToGrid w:val="0"/>
                <w:color w:val="auto"/>
                <w:kern w:val="21"/>
                <w:sz w:val="21"/>
                <w:szCs w:val="21"/>
                <w:highlight w:val="none"/>
                <w:u w:val="none" w:color="auto"/>
                <w:lang w:val="en-US" w:eastAsia="zh-CN"/>
              </w:rPr>
              <w:t>0</w:t>
            </w:r>
          </w:p>
        </w:tc>
        <w:tc>
          <w:tcPr>
            <w:tcW w:w="1540" w:type="dxa"/>
            <w:shd w:val="clear" w:color="auto" w:fill="auto"/>
            <w:noWrap w:val="0"/>
            <w:vAlign w:val="center"/>
          </w:tcPr>
          <w:p w14:paraId="766FEBA1">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0.0785</w:t>
            </w:r>
          </w:p>
        </w:tc>
        <w:tc>
          <w:tcPr>
            <w:tcW w:w="1540" w:type="dxa"/>
            <w:noWrap w:val="0"/>
            <w:vAlign w:val="center"/>
          </w:tcPr>
          <w:p w14:paraId="35A45747">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yellow"/>
                <w:u w:val="none" w:color="auto"/>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w:t>
            </w:r>
          </w:p>
        </w:tc>
        <w:tc>
          <w:tcPr>
            <w:tcW w:w="1540" w:type="dxa"/>
            <w:noWrap w:val="0"/>
            <w:vAlign w:val="center"/>
          </w:tcPr>
          <w:p w14:paraId="09DA970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yellow"/>
                <w:u w:val="none" w:color="auto"/>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1.4809</w:t>
            </w:r>
          </w:p>
        </w:tc>
        <w:tc>
          <w:tcPr>
            <w:tcW w:w="1543" w:type="dxa"/>
            <w:shd w:val="clear" w:color="auto" w:fill="auto"/>
            <w:noWrap w:val="0"/>
            <w:vAlign w:val="center"/>
          </w:tcPr>
          <w:p w14:paraId="4A48AC2E">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yellow"/>
                <w:u w:val="none" w:color="auto"/>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+0.0785</w:t>
            </w:r>
          </w:p>
        </w:tc>
      </w:tr>
      <w:tr w14:paraId="318B0BE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53" w:hRule="atLeast"/>
          <w:jc w:val="center"/>
        </w:trPr>
        <w:tc>
          <w:tcPr>
            <w:tcW w:w="1095" w:type="dxa"/>
            <w:vMerge w:val="continue"/>
            <w:noWrap w:val="0"/>
            <w:vAlign w:val="center"/>
          </w:tcPr>
          <w:p w14:paraId="01FD54B0">
            <w:pPr>
              <w:pStyle w:val="42"/>
              <w:spacing w:beforeLines="0" w:afterLines="0" w:line="240" w:lineRule="auto"/>
              <w:jc w:val="center"/>
              <w:rPr>
                <w:rFonts w:hint="default" w:ascii="Times New Roman" w:hAnsi="Times New Roman" w:eastAsia="宋体" w:cs="Times New Roman"/>
                <w:snapToGrid w:val="0"/>
                <w:color w:val="auto"/>
                <w:kern w:val="21"/>
                <w:sz w:val="21"/>
                <w:szCs w:val="21"/>
                <w:u w:val="none" w:color="auto"/>
              </w:rPr>
            </w:pPr>
          </w:p>
        </w:tc>
        <w:tc>
          <w:tcPr>
            <w:tcW w:w="2084" w:type="dxa"/>
            <w:noWrap w:val="0"/>
            <w:vAlign w:val="center"/>
          </w:tcPr>
          <w:p w14:paraId="60FE4338">
            <w:pPr>
              <w:keepNext w:val="0"/>
              <w:keepLines w:val="0"/>
              <w:widowControl/>
              <w:suppressLineNumbers w:val="0"/>
              <w:topLinePunct w:val="0"/>
              <w:bidi w:val="0"/>
              <w:adjustRightInd/>
              <w:snapToGrid/>
              <w:jc w:val="center"/>
              <w:textAlignment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i w:val="0"/>
                <w:iCs w:val="0"/>
                <w:color w:val="auto"/>
                <w:kern w:val="0"/>
                <w:sz w:val="21"/>
                <w:szCs w:val="21"/>
                <w:highlight w:val="none"/>
                <w:u w:val="none" w:color="auto"/>
                <w:lang w:val="en-US" w:eastAsia="zh-CN" w:bidi="ar"/>
              </w:rPr>
              <w:t>SS</w:t>
            </w:r>
          </w:p>
        </w:tc>
        <w:tc>
          <w:tcPr>
            <w:tcW w:w="1515" w:type="dxa"/>
            <w:noWrap w:val="0"/>
            <w:vAlign w:val="center"/>
          </w:tcPr>
          <w:p w14:paraId="11B6014A">
            <w:pPr>
              <w:keepNext w:val="0"/>
              <w:keepLines w:val="0"/>
              <w:widowControl/>
              <w:suppressLineNumbers w:val="0"/>
              <w:topLinePunct w:val="0"/>
              <w:bidi w:val="0"/>
              <w:adjustRightInd/>
              <w:snapToGrid/>
              <w:jc w:val="center"/>
              <w:textAlignment w:val="center"/>
              <w:rPr>
                <w:rFonts w:hint="default" w:ascii="Times New Roman" w:hAnsi="Times New Roman" w:eastAsia="宋体" w:cs="Times New Roman"/>
                <w:i w:val="0"/>
                <w:iCs w:val="0"/>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1.4024</w:t>
            </w:r>
          </w:p>
        </w:tc>
        <w:tc>
          <w:tcPr>
            <w:tcW w:w="1391" w:type="dxa"/>
            <w:noWrap w:val="0"/>
            <w:vAlign w:val="center"/>
          </w:tcPr>
          <w:p w14:paraId="74EF1755">
            <w:pPr>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w:t>
            </w:r>
          </w:p>
        </w:tc>
        <w:tc>
          <w:tcPr>
            <w:tcW w:w="1540" w:type="dxa"/>
            <w:noWrap w:val="0"/>
            <w:vAlign w:val="center"/>
          </w:tcPr>
          <w:p w14:paraId="13A039F1">
            <w:pPr>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snapToGrid w:val="0"/>
                <w:color w:val="auto"/>
                <w:kern w:val="21"/>
                <w:sz w:val="21"/>
                <w:szCs w:val="21"/>
                <w:highlight w:val="none"/>
                <w:u w:val="none" w:color="auto"/>
                <w:lang w:val="en-US" w:eastAsia="zh-CN"/>
              </w:rPr>
              <w:t>0</w:t>
            </w:r>
          </w:p>
        </w:tc>
        <w:tc>
          <w:tcPr>
            <w:tcW w:w="1540" w:type="dxa"/>
            <w:shd w:val="clear" w:color="auto" w:fill="auto"/>
            <w:noWrap w:val="0"/>
            <w:vAlign w:val="center"/>
          </w:tcPr>
          <w:p w14:paraId="2E56883C">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0.0785</w:t>
            </w:r>
          </w:p>
        </w:tc>
        <w:tc>
          <w:tcPr>
            <w:tcW w:w="1540" w:type="dxa"/>
            <w:noWrap w:val="0"/>
            <w:vAlign w:val="center"/>
          </w:tcPr>
          <w:p w14:paraId="7AB2F401">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yellow"/>
                <w:u w:val="none" w:color="auto"/>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w:t>
            </w:r>
          </w:p>
        </w:tc>
        <w:tc>
          <w:tcPr>
            <w:tcW w:w="1540" w:type="dxa"/>
            <w:noWrap w:val="0"/>
            <w:vAlign w:val="center"/>
          </w:tcPr>
          <w:p w14:paraId="5BA920C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yellow"/>
                <w:u w:val="none" w:color="auto"/>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1.4809</w:t>
            </w:r>
          </w:p>
        </w:tc>
        <w:tc>
          <w:tcPr>
            <w:tcW w:w="1543" w:type="dxa"/>
            <w:shd w:val="clear" w:color="auto" w:fill="auto"/>
            <w:noWrap w:val="0"/>
            <w:vAlign w:val="center"/>
          </w:tcPr>
          <w:p w14:paraId="49B61F69">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yellow"/>
                <w:u w:val="none" w:color="auto"/>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+0.0785</w:t>
            </w:r>
          </w:p>
        </w:tc>
      </w:tr>
      <w:tr w14:paraId="1AAF46B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53" w:hRule="atLeast"/>
          <w:jc w:val="center"/>
        </w:trPr>
        <w:tc>
          <w:tcPr>
            <w:tcW w:w="1095" w:type="dxa"/>
            <w:vMerge w:val="continue"/>
            <w:noWrap w:val="0"/>
            <w:vAlign w:val="center"/>
          </w:tcPr>
          <w:p w14:paraId="745A0D32">
            <w:pPr>
              <w:pStyle w:val="42"/>
              <w:spacing w:beforeLines="0" w:afterLines="0" w:line="240" w:lineRule="auto"/>
              <w:jc w:val="center"/>
              <w:rPr>
                <w:rFonts w:hint="default" w:ascii="Times New Roman" w:hAnsi="Times New Roman" w:eastAsia="宋体" w:cs="Times New Roman"/>
                <w:snapToGrid w:val="0"/>
                <w:color w:val="auto"/>
                <w:kern w:val="21"/>
                <w:sz w:val="21"/>
                <w:szCs w:val="21"/>
                <w:u w:val="none" w:color="auto"/>
              </w:rPr>
            </w:pPr>
          </w:p>
        </w:tc>
        <w:tc>
          <w:tcPr>
            <w:tcW w:w="2084" w:type="dxa"/>
            <w:noWrap w:val="0"/>
            <w:vAlign w:val="center"/>
          </w:tcPr>
          <w:p w14:paraId="18D38209">
            <w:pPr>
              <w:keepNext w:val="0"/>
              <w:keepLines w:val="0"/>
              <w:widowControl/>
              <w:suppressLineNumbers w:val="0"/>
              <w:topLinePunct w:val="0"/>
              <w:bidi w:val="0"/>
              <w:adjustRightInd/>
              <w:snapToGrid/>
              <w:jc w:val="center"/>
              <w:textAlignment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i w:val="0"/>
                <w:iCs w:val="0"/>
                <w:color w:val="auto"/>
                <w:kern w:val="0"/>
                <w:sz w:val="21"/>
                <w:szCs w:val="21"/>
                <w:highlight w:val="none"/>
                <w:u w:val="none" w:color="auto"/>
                <w:lang w:val="en-US" w:eastAsia="zh-CN" w:bidi="ar"/>
              </w:rPr>
              <w:t>氨氮</w:t>
            </w:r>
          </w:p>
        </w:tc>
        <w:tc>
          <w:tcPr>
            <w:tcW w:w="1515" w:type="dxa"/>
            <w:noWrap w:val="0"/>
            <w:vAlign w:val="center"/>
          </w:tcPr>
          <w:p w14:paraId="316EB915">
            <w:pPr>
              <w:keepNext w:val="0"/>
              <w:keepLines w:val="0"/>
              <w:widowControl/>
              <w:suppressLineNumbers w:val="0"/>
              <w:topLinePunct w:val="0"/>
              <w:bidi w:val="0"/>
              <w:adjustRightInd/>
              <w:snapToGrid/>
              <w:jc w:val="center"/>
              <w:textAlignment w:val="center"/>
              <w:rPr>
                <w:rFonts w:hint="default" w:ascii="Times New Roman" w:hAnsi="Times New Roman" w:eastAsia="宋体" w:cs="Times New Roman"/>
                <w:i w:val="0"/>
                <w:iCs w:val="0"/>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0.7012</w:t>
            </w:r>
          </w:p>
        </w:tc>
        <w:tc>
          <w:tcPr>
            <w:tcW w:w="1391" w:type="dxa"/>
            <w:noWrap w:val="0"/>
            <w:vAlign w:val="center"/>
          </w:tcPr>
          <w:p w14:paraId="4F4CCB69">
            <w:pPr>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0.8</w:t>
            </w:r>
          </w:p>
        </w:tc>
        <w:tc>
          <w:tcPr>
            <w:tcW w:w="1540" w:type="dxa"/>
            <w:noWrap w:val="0"/>
            <w:vAlign w:val="center"/>
          </w:tcPr>
          <w:p w14:paraId="2998310A">
            <w:pPr>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snapToGrid w:val="0"/>
                <w:color w:val="auto"/>
                <w:kern w:val="21"/>
                <w:sz w:val="21"/>
                <w:szCs w:val="21"/>
                <w:highlight w:val="none"/>
                <w:u w:val="none" w:color="auto"/>
                <w:lang w:val="en-US" w:eastAsia="zh-CN"/>
              </w:rPr>
              <w:t>0</w:t>
            </w:r>
          </w:p>
        </w:tc>
        <w:tc>
          <w:tcPr>
            <w:tcW w:w="1540" w:type="dxa"/>
            <w:shd w:val="clear" w:color="auto" w:fill="auto"/>
            <w:noWrap w:val="0"/>
            <w:vAlign w:val="center"/>
          </w:tcPr>
          <w:p w14:paraId="312A2817">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0.0393</w:t>
            </w:r>
          </w:p>
        </w:tc>
        <w:tc>
          <w:tcPr>
            <w:tcW w:w="1540" w:type="dxa"/>
            <w:noWrap w:val="0"/>
            <w:vAlign w:val="center"/>
          </w:tcPr>
          <w:p w14:paraId="02E43BF4">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yellow"/>
                <w:u w:val="none" w:color="auto"/>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w:t>
            </w:r>
          </w:p>
        </w:tc>
        <w:tc>
          <w:tcPr>
            <w:tcW w:w="1540" w:type="dxa"/>
            <w:noWrap w:val="0"/>
            <w:vAlign w:val="center"/>
          </w:tcPr>
          <w:p w14:paraId="3E60B9C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yellow"/>
                <w:u w:val="none" w:color="auto"/>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0.7405</w:t>
            </w:r>
          </w:p>
        </w:tc>
        <w:tc>
          <w:tcPr>
            <w:tcW w:w="1543" w:type="dxa"/>
            <w:shd w:val="clear" w:color="auto" w:fill="auto"/>
            <w:noWrap w:val="0"/>
            <w:vAlign w:val="center"/>
          </w:tcPr>
          <w:p w14:paraId="2D4E87D0">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yellow"/>
                <w:u w:val="none" w:color="auto"/>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+0.0393</w:t>
            </w:r>
          </w:p>
        </w:tc>
      </w:tr>
      <w:tr w14:paraId="68A4CE9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53" w:hRule="atLeast"/>
          <w:jc w:val="center"/>
        </w:trPr>
        <w:tc>
          <w:tcPr>
            <w:tcW w:w="1095" w:type="dxa"/>
            <w:vMerge w:val="continue"/>
            <w:noWrap w:val="0"/>
            <w:vAlign w:val="center"/>
          </w:tcPr>
          <w:p w14:paraId="5B8F1614">
            <w:pPr>
              <w:pStyle w:val="42"/>
              <w:spacing w:beforeLines="0" w:afterLines="0" w:line="240" w:lineRule="auto"/>
              <w:jc w:val="center"/>
              <w:rPr>
                <w:rFonts w:hint="default" w:ascii="Times New Roman" w:hAnsi="Times New Roman" w:eastAsia="宋体" w:cs="Times New Roman"/>
                <w:snapToGrid w:val="0"/>
                <w:color w:val="auto"/>
                <w:kern w:val="21"/>
                <w:sz w:val="21"/>
                <w:szCs w:val="21"/>
                <w:u w:val="none" w:color="auto"/>
              </w:rPr>
            </w:pPr>
          </w:p>
        </w:tc>
        <w:tc>
          <w:tcPr>
            <w:tcW w:w="2084" w:type="dxa"/>
            <w:noWrap w:val="0"/>
            <w:vAlign w:val="center"/>
          </w:tcPr>
          <w:p w14:paraId="09C232B0">
            <w:pPr>
              <w:keepNext w:val="0"/>
              <w:keepLines w:val="0"/>
              <w:widowControl/>
              <w:suppressLineNumbers w:val="0"/>
              <w:topLinePunct w:val="0"/>
              <w:bidi w:val="0"/>
              <w:adjustRightInd/>
              <w:snapToGrid/>
              <w:jc w:val="center"/>
              <w:textAlignment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i w:val="0"/>
                <w:iCs w:val="0"/>
                <w:color w:val="auto"/>
                <w:kern w:val="0"/>
                <w:sz w:val="21"/>
                <w:szCs w:val="21"/>
                <w:highlight w:val="none"/>
                <w:u w:val="none" w:color="auto"/>
                <w:lang w:val="en-US" w:eastAsia="zh-CN" w:bidi="ar"/>
              </w:rPr>
              <w:t>动植物油类</w:t>
            </w:r>
          </w:p>
        </w:tc>
        <w:tc>
          <w:tcPr>
            <w:tcW w:w="1515" w:type="dxa"/>
            <w:noWrap w:val="0"/>
            <w:vAlign w:val="center"/>
          </w:tcPr>
          <w:p w14:paraId="4F9AECF3">
            <w:pPr>
              <w:keepNext w:val="0"/>
              <w:keepLines w:val="0"/>
              <w:widowControl/>
              <w:suppressLineNumbers w:val="0"/>
              <w:topLinePunct w:val="0"/>
              <w:bidi w:val="0"/>
              <w:adjustRightInd/>
              <w:snapToGrid/>
              <w:jc w:val="center"/>
              <w:textAlignment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i w:val="0"/>
                <w:iCs w:val="0"/>
                <w:color w:val="auto"/>
                <w:kern w:val="0"/>
                <w:sz w:val="21"/>
                <w:szCs w:val="21"/>
                <w:highlight w:val="none"/>
                <w:u w:val="none" w:color="auto"/>
                <w:lang w:val="en-US" w:eastAsia="zh-CN" w:bidi="ar"/>
              </w:rPr>
              <w:t>0.1402</w:t>
            </w:r>
          </w:p>
        </w:tc>
        <w:tc>
          <w:tcPr>
            <w:tcW w:w="1391" w:type="dxa"/>
            <w:noWrap w:val="0"/>
            <w:vAlign w:val="center"/>
          </w:tcPr>
          <w:p w14:paraId="4BDE61FA">
            <w:pPr>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w:t>
            </w:r>
          </w:p>
        </w:tc>
        <w:tc>
          <w:tcPr>
            <w:tcW w:w="1540" w:type="dxa"/>
            <w:noWrap w:val="0"/>
            <w:vAlign w:val="center"/>
          </w:tcPr>
          <w:p w14:paraId="724D7B5F">
            <w:pPr>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snapToGrid w:val="0"/>
                <w:color w:val="auto"/>
                <w:kern w:val="21"/>
                <w:sz w:val="21"/>
                <w:szCs w:val="21"/>
                <w:highlight w:val="none"/>
                <w:u w:val="none" w:color="auto"/>
                <w:lang w:val="en-US" w:eastAsia="zh-CN"/>
              </w:rPr>
              <w:t>0</w:t>
            </w:r>
          </w:p>
        </w:tc>
        <w:tc>
          <w:tcPr>
            <w:tcW w:w="1540" w:type="dxa"/>
            <w:shd w:val="clear" w:color="auto" w:fill="auto"/>
            <w:noWrap w:val="0"/>
            <w:vAlign w:val="center"/>
          </w:tcPr>
          <w:p w14:paraId="25FE9756">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0.0079</w:t>
            </w:r>
          </w:p>
        </w:tc>
        <w:tc>
          <w:tcPr>
            <w:tcW w:w="1540" w:type="dxa"/>
            <w:noWrap w:val="0"/>
            <w:vAlign w:val="center"/>
          </w:tcPr>
          <w:p w14:paraId="19ADCE8C">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yellow"/>
                <w:u w:val="none" w:color="auto"/>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w:t>
            </w:r>
          </w:p>
        </w:tc>
        <w:tc>
          <w:tcPr>
            <w:tcW w:w="1540" w:type="dxa"/>
            <w:noWrap w:val="0"/>
            <w:vAlign w:val="center"/>
          </w:tcPr>
          <w:p w14:paraId="40228C79">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yellow"/>
                <w:u w:val="none" w:color="auto"/>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0.1481</w:t>
            </w:r>
          </w:p>
        </w:tc>
        <w:tc>
          <w:tcPr>
            <w:tcW w:w="1543" w:type="dxa"/>
            <w:shd w:val="clear" w:color="auto" w:fill="auto"/>
            <w:noWrap w:val="0"/>
            <w:vAlign w:val="center"/>
          </w:tcPr>
          <w:p w14:paraId="5433F1AC">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yellow"/>
                <w:u w:val="none" w:color="auto"/>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+0.0079</w:t>
            </w:r>
          </w:p>
        </w:tc>
      </w:tr>
      <w:tr w14:paraId="00DC281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53" w:hRule="atLeast"/>
          <w:jc w:val="center"/>
        </w:trPr>
        <w:tc>
          <w:tcPr>
            <w:tcW w:w="1095" w:type="dxa"/>
            <w:vMerge w:val="continue"/>
            <w:noWrap w:val="0"/>
            <w:vAlign w:val="center"/>
          </w:tcPr>
          <w:p w14:paraId="319703FC">
            <w:pPr>
              <w:pStyle w:val="42"/>
              <w:spacing w:beforeLines="0" w:afterLines="0" w:line="240" w:lineRule="auto"/>
              <w:jc w:val="center"/>
              <w:rPr>
                <w:rFonts w:hint="default" w:ascii="Times New Roman" w:hAnsi="Times New Roman" w:eastAsia="宋体" w:cs="Times New Roman"/>
                <w:snapToGrid w:val="0"/>
                <w:color w:val="auto"/>
                <w:kern w:val="21"/>
                <w:sz w:val="21"/>
                <w:szCs w:val="21"/>
                <w:u w:val="none" w:color="auto"/>
              </w:rPr>
            </w:pPr>
          </w:p>
        </w:tc>
        <w:tc>
          <w:tcPr>
            <w:tcW w:w="2084" w:type="dxa"/>
            <w:noWrap w:val="0"/>
            <w:vAlign w:val="center"/>
          </w:tcPr>
          <w:p w14:paraId="55C576F0">
            <w:pPr>
              <w:keepNext w:val="0"/>
              <w:keepLines w:val="0"/>
              <w:widowControl/>
              <w:suppressLineNumbers w:val="0"/>
              <w:topLinePunct w:val="0"/>
              <w:bidi w:val="0"/>
              <w:adjustRightInd/>
              <w:snapToGrid/>
              <w:jc w:val="center"/>
              <w:textAlignment w:val="center"/>
              <w:rPr>
                <w:rFonts w:hint="default" w:ascii="Times New Roman" w:hAnsi="Times New Roman" w:eastAsia="宋体" w:cs="Times New Roman"/>
                <w:i w:val="0"/>
                <w:iCs w:val="0"/>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石油类</w:t>
            </w:r>
          </w:p>
        </w:tc>
        <w:tc>
          <w:tcPr>
            <w:tcW w:w="1515" w:type="dxa"/>
            <w:noWrap w:val="0"/>
            <w:vAlign w:val="center"/>
          </w:tcPr>
          <w:p w14:paraId="17FA5CE8">
            <w:pPr>
              <w:keepNext w:val="0"/>
              <w:keepLines w:val="0"/>
              <w:widowControl/>
              <w:suppressLineNumbers w:val="0"/>
              <w:topLinePunct w:val="0"/>
              <w:bidi w:val="0"/>
              <w:adjustRightInd/>
              <w:snapToGrid/>
              <w:jc w:val="center"/>
              <w:textAlignment w:val="center"/>
              <w:rPr>
                <w:rFonts w:hint="default" w:ascii="Times New Roman" w:hAnsi="Times New Roman" w:eastAsia="宋体" w:cs="Times New Roman"/>
                <w:i w:val="0"/>
                <w:iCs w:val="0"/>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1"/>
                <w:szCs w:val="21"/>
                <w:highlight w:val="none"/>
                <w:u w:val="none" w:color="auto"/>
                <w:lang w:val="en-US" w:eastAsia="zh-CN" w:bidi="ar"/>
              </w:rPr>
              <w:t>0.1402</w:t>
            </w:r>
          </w:p>
        </w:tc>
        <w:tc>
          <w:tcPr>
            <w:tcW w:w="1391" w:type="dxa"/>
            <w:noWrap w:val="0"/>
            <w:vAlign w:val="center"/>
          </w:tcPr>
          <w:p w14:paraId="314DC59C">
            <w:pPr>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w:t>
            </w:r>
          </w:p>
        </w:tc>
        <w:tc>
          <w:tcPr>
            <w:tcW w:w="1540" w:type="dxa"/>
            <w:noWrap w:val="0"/>
            <w:vAlign w:val="center"/>
          </w:tcPr>
          <w:p w14:paraId="6E057FD5">
            <w:pPr>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snapToGrid w:val="0"/>
                <w:color w:val="auto"/>
                <w:kern w:val="21"/>
                <w:sz w:val="21"/>
                <w:szCs w:val="21"/>
                <w:highlight w:val="none"/>
                <w:u w:val="none" w:color="auto"/>
                <w:lang w:val="en-US" w:eastAsia="zh-CN"/>
              </w:rPr>
              <w:t>0</w:t>
            </w:r>
          </w:p>
        </w:tc>
        <w:tc>
          <w:tcPr>
            <w:tcW w:w="1540" w:type="dxa"/>
            <w:shd w:val="clear" w:color="auto" w:fill="auto"/>
            <w:noWrap w:val="0"/>
            <w:vAlign w:val="center"/>
          </w:tcPr>
          <w:p w14:paraId="0418A7B5">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0.0079</w:t>
            </w:r>
          </w:p>
        </w:tc>
        <w:tc>
          <w:tcPr>
            <w:tcW w:w="1540" w:type="dxa"/>
            <w:noWrap w:val="0"/>
            <w:vAlign w:val="center"/>
          </w:tcPr>
          <w:p w14:paraId="3649E026">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yellow"/>
                <w:u w:val="none" w:color="auto"/>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w:t>
            </w:r>
          </w:p>
        </w:tc>
        <w:tc>
          <w:tcPr>
            <w:tcW w:w="1540" w:type="dxa"/>
            <w:noWrap w:val="0"/>
            <w:vAlign w:val="center"/>
          </w:tcPr>
          <w:p w14:paraId="653B5AE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yellow"/>
                <w:u w:val="none" w:color="auto"/>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0.1481</w:t>
            </w:r>
          </w:p>
        </w:tc>
        <w:tc>
          <w:tcPr>
            <w:tcW w:w="1543" w:type="dxa"/>
            <w:shd w:val="clear" w:color="auto" w:fill="auto"/>
            <w:noWrap w:val="0"/>
            <w:vAlign w:val="center"/>
          </w:tcPr>
          <w:p w14:paraId="22EB7AE2">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yellow"/>
                <w:u w:val="none" w:color="auto"/>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+0.0079</w:t>
            </w:r>
          </w:p>
        </w:tc>
      </w:tr>
      <w:tr w14:paraId="04983BD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9" w:hRule="atLeast"/>
          <w:jc w:val="center"/>
        </w:trPr>
        <w:tc>
          <w:tcPr>
            <w:tcW w:w="1095" w:type="dxa"/>
            <w:vMerge w:val="restart"/>
            <w:noWrap w:val="0"/>
            <w:vAlign w:val="center"/>
          </w:tcPr>
          <w:p w14:paraId="5E98B7C8">
            <w:pPr>
              <w:pStyle w:val="42"/>
              <w:spacing w:beforeLines="0" w:afterLines="0" w:line="240" w:lineRule="auto"/>
              <w:jc w:val="center"/>
              <w:rPr>
                <w:rFonts w:hint="default" w:ascii="Times New Roman" w:hAnsi="Times New Roman" w:eastAsia="宋体" w:cs="Times New Roman"/>
                <w:snapToGrid w:val="0"/>
                <w:color w:val="auto"/>
                <w:kern w:val="21"/>
                <w:sz w:val="21"/>
                <w:szCs w:val="21"/>
                <w:u w:val="none" w:color="auto"/>
              </w:rPr>
            </w:pPr>
            <w:r>
              <w:rPr>
                <w:rFonts w:hint="default" w:ascii="Times New Roman" w:hAnsi="Times New Roman" w:eastAsia="宋体" w:cs="Times New Roman"/>
                <w:snapToGrid w:val="0"/>
                <w:color w:val="auto"/>
                <w:kern w:val="21"/>
                <w:sz w:val="21"/>
                <w:szCs w:val="21"/>
                <w:u w:val="none" w:color="auto"/>
              </w:rPr>
              <w:t>一般工业固体废物</w:t>
            </w:r>
          </w:p>
        </w:tc>
        <w:tc>
          <w:tcPr>
            <w:tcW w:w="2084" w:type="dxa"/>
            <w:noWrap w:val="0"/>
            <w:vAlign w:val="center"/>
          </w:tcPr>
          <w:p w14:paraId="4EF599A8">
            <w:pPr>
              <w:keepNext w:val="0"/>
              <w:keepLines w:val="0"/>
              <w:widowControl/>
              <w:suppressLineNumbers w:val="0"/>
              <w:jc w:val="center"/>
              <w:textAlignment w:val="center"/>
              <w:rPr>
                <w:rFonts w:hint="default" w:ascii="Times New Roman" w:hAnsi="Times New Roman" w:eastAsia="宋体" w:cs="Times New Roman"/>
                <w:snapToGrid w:val="0"/>
                <w:color w:val="auto"/>
                <w:kern w:val="21"/>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color="auto"/>
                <w:lang w:val="en-US" w:eastAsia="zh-CN" w:bidi="ar"/>
              </w:rPr>
              <w:t>废边角料</w:t>
            </w:r>
          </w:p>
        </w:tc>
        <w:tc>
          <w:tcPr>
            <w:tcW w:w="1515" w:type="dxa"/>
            <w:noWrap w:val="0"/>
            <w:vAlign w:val="center"/>
          </w:tcPr>
          <w:p w14:paraId="7BD3494C">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color="auto"/>
                <w:lang w:val="en-US" w:eastAsia="zh-CN" w:bidi="ar-SA"/>
              </w:rPr>
            </w:pPr>
            <w:r>
              <w:rPr>
                <w:rFonts w:hint="default" w:ascii="Times New Roman" w:hAnsi="Times New Roman" w:eastAsia="宋体" w:cs="Times New Roman"/>
                <w:i w:val="0"/>
                <w:iCs w:val="0"/>
                <w:color w:val="auto"/>
                <w:kern w:val="0"/>
                <w:sz w:val="21"/>
                <w:szCs w:val="21"/>
                <w:highlight w:val="none"/>
                <w:u w:val="none" w:color="auto"/>
                <w:lang w:val="en-US" w:eastAsia="zh-CN" w:bidi="ar"/>
              </w:rPr>
              <w:t>7117.833</w:t>
            </w:r>
          </w:p>
        </w:tc>
        <w:tc>
          <w:tcPr>
            <w:tcW w:w="1391" w:type="dxa"/>
            <w:noWrap w:val="0"/>
            <w:vAlign w:val="center"/>
          </w:tcPr>
          <w:p w14:paraId="5B879B5F">
            <w:pPr>
              <w:jc w:val="center"/>
              <w:rPr>
                <w:rFonts w:hint="default" w:ascii="Times New Roman" w:hAnsi="Times New Roman" w:eastAsia="宋体" w:cs="Times New Roman"/>
                <w:snapToGrid w:val="0"/>
                <w:color w:val="auto"/>
                <w:kern w:val="21"/>
                <w:sz w:val="21"/>
                <w:szCs w:val="21"/>
                <w:highlight w:val="none"/>
                <w:u w:val="none" w:color="auto"/>
                <w:lang w:val="en-US" w:eastAsia="zh-CN"/>
              </w:rPr>
            </w:pPr>
            <w:r>
              <w:rPr>
                <w:rFonts w:hint="default" w:ascii="Times New Roman" w:hAnsi="Times New Roman" w:eastAsia="宋体" w:cs="Times New Roman"/>
                <w:color w:val="auto"/>
                <w:kern w:val="2"/>
                <w:sz w:val="21"/>
                <w:szCs w:val="21"/>
                <w:highlight w:val="none"/>
                <w:u w:val="none" w:color="auto"/>
                <w:lang w:val="en-US" w:eastAsia="zh-CN" w:bidi="ar-SA"/>
              </w:rPr>
              <w:t>/</w:t>
            </w:r>
          </w:p>
        </w:tc>
        <w:tc>
          <w:tcPr>
            <w:tcW w:w="1540" w:type="dxa"/>
            <w:noWrap w:val="0"/>
            <w:vAlign w:val="center"/>
          </w:tcPr>
          <w:p w14:paraId="08E818F2">
            <w:pPr>
              <w:widowControl/>
              <w:jc w:val="center"/>
              <w:textAlignment w:val="center"/>
              <w:rPr>
                <w:rFonts w:hint="default" w:ascii="Times New Roman" w:hAnsi="Times New Roman" w:eastAsia="宋体" w:cs="Times New Roman"/>
                <w:snapToGrid w:val="0"/>
                <w:color w:val="auto"/>
                <w:kern w:val="21"/>
                <w:sz w:val="21"/>
                <w:szCs w:val="21"/>
                <w:highlight w:val="none"/>
                <w:u w:val="none" w:color="auto"/>
                <w:lang w:val="en-US" w:eastAsia="zh-CN"/>
              </w:rPr>
            </w:pPr>
            <w:r>
              <w:rPr>
                <w:rFonts w:hint="default" w:ascii="Times New Roman" w:hAnsi="Times New Roman" w:eastAsia="宋体" w:cs="Times New Roman"/>
                <w:snapToGrid w:val="0"/>
                <w:color w:val="auto"/>
                <w:kern w:val="21"/>
                <w:sz w:val="21"/>
                <w:szCs w:val="21"/>
                <w:highlight w:val="none"/>
                <w:u w:val="none" w:color="auto"/>
                <w:lang w:val="en-US" w:eastAsia="zh-CN"/>
              </w:rPr>
              <w:t>6</w:t>
            </w:r>
          </w:p>
        </w:tc>
        <w:tc>
          <w:tcPr>
            <w:tcW w:w="1540" w:type="dxa"/>
            <w:noWrap w:val="0"/>
            <w:vAlign w:val="center"/>
          </w:tcPr>
          <w:p w14:paraId="3CD6B355">
            <w:pPr>
              <w:widowControl/>
              <w:jc w:val="center"/>
              <w:textAlignment w:val="center"/>
              <w:rPr>
                <w:rFonts w:hint="default" w:ascii="Times New Roman" w:hAnsi="Times New Roman" w:eastAsia="宋体" w:cs="Times New Roman"/>
                <w:snapToGrid w:val="0"/>
                <w:color w:val="auto"/>
                <w:kern w:val="21"/>
                <w:sz w:val="21"/>
                <w:szCs w:val="21"/>
                <w:highlight w:val="none"/>
                <w:u w:val="none" w:color="auto"/>
                <w:lang w:val="en-US" w:eastAsia="zh-CN"/>
              </w:rPr>
            </w:pPr>
            <w:r>
              <w:rPr>
                <w:rFonts w:hint="default" w:ascii="Times New Roman" w:hAnsi="Times New Roman" w:eastAsia="宋体" w:cs="Times New Roman"/>
                <w:snapToGrid w:val="0"/>
                <w:color w:val="auto"/>
                <w:kern w:val="21"/>
                <w:sz w:val="21"/>
                <w:szCs w:val="21"/>
                <w:highlight w:val="none"/>
                <w:u w:val="none" w:color="auto"/>
                <w:lang w:val="en-US" w:eastAsia="zh-CN"/>
              </w:rPr>
              <w:t>900.375</w:t>
            </w:r>
          </w:p>
        </w:tc>
        <w:tc>
          <w:tcPr>
            <w:tcW w:w="1540" w:type="dxa"/>
            <w:noWrap w:val="0"/>
            <w:vAlign w:val="center"/>
          </w:tcPr>
          <w:p w14:paraId="1C565DB4">
            <w:pPr>
              <w:widowControl/>
              <w:jc w:val="center"/>
              <w:textAlignment w:val="center"/>
              <w:rPr>
                <w:rFonts w:hint="default" w:ascii="Times New Roman" w:hAnsi="Times New Roman" w:eastAsia="宋体" w:cs="Times New Roman"/>
                <w:snapToGrid w:val="0"/>
                <w:color w:val="auto"/>
                <w:kern w:val="21"/>
                <w:sz w:val="21"/>
                <w:szCs w:val="21"/>
                <w:highlight w:val="none"/>
                <w:u w:val="none" w:color="auto"/>
                <w:lang w:val="en-US" w:eastAsia="zh-CN"/>
              </w:rPr>
            </w:pPr>
            <w:r>
              <w:rPr>
                <w:rFonts w:hint="default" w:ascii="Times New Roman" w:hAnsi="Times New Roman" w:eastAsia="宋体" w:cs="Times New Roman"/>
                <w:snapToGrid w:val="0"/>
                <w:color w:val="auto"/>
                <w:kern w:val="21"/>
                <w:sz w:val="21"/>
                <w:szCs w:val="21"/>
                <w:highlight w:val="none"/>
                <w:u w:val="none" w:color="auto"/>
                <w:lang w:val="en-US" w:eastAsia="zh-CN"/>
              </w:rPr>
              <w:t>0</w:t>
            </w:r>
          </w:p>
        </w:tc>
        <w:tc>
          <w:tcPr>
            <w:tcW w:w="1540" w:type="dxa"/>
            <w:noWrap w:val="0"/>
            <w:vAlign w:val="center"/>
          </w:tcPr>
          <w:p w14:paraId="48A8AFA8">
            <w:pPr>
              <w:keepNext w:val="0"/>
              <w:keepLines w:val="0"/>
              <w:widowControl/>
              <w:suppressLineNumbers w:val="0"/>
              <w:jc w:val="center"/>
              <w:textAlignment w:val="center"/>
              <w:rPr>
                <w:rFonts w:hint="default" w:ascii="Times New Roman" w:hAnsi="Times New Roman" w:eastAsia="宋体" w:cs="Times New Roman"/>
                <w:snapToGrid w:val="0"/>
                <w:color w:val="auto"/>
                <w:kern w:val="21"/>
                <w:sz w:val="21"/>
                <w:szCs w:val="21"/>
                <w:highlight w:val="none"/>
                <w:u w:val="none" w:color="auto"/>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8024.208</w:t>
            </w:r>
          </w:p>
        </w:tc>
        <w:tc>
          <w:tcPr>
            <w:tcW w:w="1543" w:type="dxa"/>
            <w:shd w:val="clear" w:color="auto" w:fill="auto"/>
            <w:noWrap w:val="0"/>
            <w:vAlign w:val="center"/>
          </w:tcPr>
          <w:p w14:paraId="7C726667">
            <w:pPr>
              <w:widowControl/>
              <w:jc w:val="center"/>
              <w:textAlignment w:val="center"/>
              <w:rPr>
                <w:rFonts w:hint="default" w:ascii="Times New Roman" w:hAnsi="Times New Roman" w:eastAsia="宋体" w:cs="Times New Roman"/>
                <w:snapToGrid w:val="0"/>
                <w:color w:val="auto"/>
                <w:kern w:val="21"/>
                <w:sz w:val="21"/>
                <w:szCs w:val="21"/>
                <w:highlight w:val="none"/>
                <w:u w:val="none" w:color="auto"/>
                <w:lang w:val="en-US" w:eastAsia="zh-CN" w:bidi="ar-SA"/>
              </w:rPr>
            </w:pPr>
            <w:r>
              <w:rPr>
                <w:rFonts w:hint="default" w:ascii="Times New Roman" w:hAnsi="Times New Roman" w:eastAsia="宋体" w:cs="Times New Roman"/>
                <w:snapToGrid w:val="0"/>
                <w:color w:val="auto"/>
                <w:kern w:val="21"/>
                <w:sz w:val="21"/>
                <w:szCs w:val="21"/>
                <w:highlight w:val="none"/>
                <w:u w:val="none" w:color="auto"/>
                <w:lang w:val="en-US" w:eastAsia="zh-CN"/>
              </w:rPr>
              <w:t>+900.375</w:t>
            </w:r>
          </w:p>
        </w:tc>
      </w:tr>
      <w:tr w14:paraId="3B6F881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95" w:type="dxa"/>
            <w:vMerge w:val="continue"/>
            <w:noWrap w:val="0"/>
            <w:vAlign w:val="center"/>
          </w:tcPr>
          <w:p w14:paraId="3078ED0B">
            <w:pPr>
              <w:pStyle w:val="42"/>
              <w:spacing w:beforeLines="0" w:afterLines="0" w:line="240" w:lineRule="auto"/>
              <w:jc w:val="center"/>
              <w:rPr>
                <w:rFonts w:hint="default" w:ascii="Times New Roman" w:hAnsi="Times New Roman" w:eastAsia="宋体" w:cs="Times New Roman"/>
                <w:snapToGrid w:val="0"/>
                <w:color w:val="auto"/>
                <w:kern w:val="21"/>
                <w:sz w:val="21"/>
                <w:szCs w:val="21"/>
                <w:u w:val="none" w:color="auto"/>
              </w:rPr>
            </w:pPr>
          </w:p>
        </w:tc>
        <w:tc>
          <w:tcPr>
            <w:tcW w:w="2084" w:type="dxa"/>
            <w:noWrap w:val="0"/>
            <w:vAlign w:val="center"/>
          </w:tcPr>
          <w:p w14:paraId="58EA941E">
            <w:pPr>
              <w:keepNext w:val="0"/>
              <w:keepLines w:val="0"/>
              <w:widowControl/>
              <w:suppressLineNumbers w:val="0"/>
              <w:jc w:val="center"/>
              <w:textAlignment w:val="center"/>
              <w:rPr>
                <w:rFonts w:hint="default" w:ascii="Times New Roman" w:hAnsi="Times New Roman" w:eastAsia="宋体" w:cs="Times New Roman"/>
                <w:snapToGrid w:val="0"/>
                <w:color w:val="auto"/>
                <w:kern w:val="21"/>
                <w:sz w:val="21"/>
                <w:szCs w:val="21"/>
                <w:u w:val="none" w:color="auto"/>
                <w:lang w:val="en-US" w:eastAsia="zh-CN" w:bidi="ar-SA"/>
              </w:rPr>
            </w:pPr>
            <w:r>
              <w:rPr>
                <w:rFonts w:hint="default" w:ascii="Times New Roman" w:hAnsi="Times New Roman" w:eastAsia="宋体" w:cs="Times New Roman"/>
                <w:i w:val="0"/>
                <w:iCs w:val="0"/>
                <w:color w:val="auto"/>
                <w:kern w:val="0"/>
                <w:sz w:val="21"/>
                <w:szCs w:val="21"/>
                <w:u w:val="none" w:color="auto"/>
                <w:lang w:val="en-US" w:eastAsia="zh-CN" w:bidi="ar"/>
              </w:rPr>
              <w:t>废包装材料</w:t>
            </w:r>
          </w:p>
        </w:tc>
        <w:tc>
          <w:tcPr>
            <w:tcW w:w="1515" w:type="dxa"/>
            <w:noWrap w:val="0"/>
            <w:vAlign w:val="center"/>
          </w:tcPr>
          <w:p w14:paraId="2AC8D19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11.7264</w:t>
            </w:r>
          </w:p>
        </w:tc>
        <w:tc>
          <w:tcPr>
            <w:tcW w:w="1391" w:type="dxa"/>
            <w:noWrap w:val="0"/>
            <w:vAlign w:val="center"/>
          </w:tcPr>
          <w:p w14:paraId="30F5BC4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w:t>
            </w:r>
          </w:p>
        </w:tc>
        <w:tc>
          <w:tcPr>
            <w:tcW w:w="1540" w:type="dxa"/>
            <w:noWrap w:val="0"/>
            <w:vAlign w:val="center"/>
          </w:tcPr>
          <w:p w14:paraId="6CACAEA1">
            <w:pPr>
              <w:widowControl/>
              <w:jc w:val="center"/>
              <w:textAlignment w:val="center"/>
              <w:rPr>
                <w:rFonts w:hint="default" w:ascii="Times New Roman" w:hAnsi="Times New Roman" w:eastAsia="宋体" w:cs="Times New Roman"/>
                <w:snapToGrid w:val="0"/>
                <w:color w:val="auto"/>
                <w:kern w:val="21"/>
                <w:sz w:val="21"/>
                <w:szCs w:val="21"/>
                <w:u w:val="none" w:color="auto"/>
                <w:lang w:val="en-US" w:eastAsia="zh-CN"/>
              </w:rPr>
            </w:pPr>
            <w:r>
              <w:rPr>
                <w:rFonts w:hint="default" w:ascii="Times New Roman" w:hAnsi="Times New Roman" w:eastAsia="宋体" w:cs="Times New Roman"/>
                <w:snapToGrid w:val="0"/>
                <w:color w:val="auto"/>
                <w:kern w:val="21"/>
                <w:sz w:val="21"/>
                <w:szCs w:val="21"/>
                <w:highlight w:val="none"/>
                <w:u w:val="none" w:color="auto"/>
                <w:lang w:val="en-US" w:eastAsia="zh-CN"/>
              </w:rPr>
              <w:t>0.189kg/a</w:t>
            </w:r>
          </w:p>
        </w:tc>
        <w:tc>
          <w:tcPr>
            <w:tcW w:w="1540" w:type="dxa"/>
            <w:noWrap w:val="0"/>
            <w:vAlign w:val="center"/>
          </w:tcPr>
          <w:p w14:paraId="30AFD856">
            <w:pPr>
              <w:widowControl/>
              <w:jc w:val="center"/>
              <w:textAlignment w:val="center"/>
              <w:rPr>
                <w:rFonts w:hint="default" w:ascii="Times New Roman" w:hAnsi="Times New Roman" w:eastAsia="宋体" w:cs="Times New Roman"/>
                <w:snapToGrid w:val="0"/>
                <w:color w:val="auto"/>
                <w:kern w:val="21"/>
                <w:sz w:val="21"/>
                <w:szCs w:val="21"/>
                <w:highlight w:val="none"/>
                <w:u w:val="none" w:color="auto"/>
                <w:lang w:val="en-US" w:eastAsia="zh-CN"/>
              </w:rPr>
            </w:pPr>
            <w:r>
              <w:rPr>
                <w:rFonts w:hint="default" w:ascii="Times New Roman" w:hAnsi="Times New Roman" w:eastAsia="宋体" w:cs="Times New Roman"/>
                <w:snapToGrid w:val="0"/>
                <w:color w:val="auto"/>
                <w:kern w:val="21"/>
                <w:sz w:val="21"/>
                <w:szCs w:val="21"/>
                <w:u w:val="none" w:color="auto"/>
                <w:lang w:val="en-US" w:eastAsia="zh-CN"/>
              </w:rPr>
              <w:t>0</w:t>
            </w:r>
          </w:p>
        </w:tc>
        <w:tc>
          <w:tcPr>
            <w:tcW w:w="1540" w:type="dxa"/>
            <w:noWrap w:val="0"/>
            <w:vAlign w:val="center"/>
          </w:tcPr>
          <w:p w14:paraId="1695C917">
            <w:pPr>
              <w:widowControl/>
              <w:jc w:val="center"/>
              <w:textAlignment w:val="center"/>
              <w:rPr>
                <w:rFonts w:hint="default" w:ascii="Times New Roman" w:hAnsi="Times New Roman" w:eastAsia="宋体" w:cs="Times New Roman"/>
                <w:snapToGrid w:val="0"/>
                <w:color w:val="auto"/>
                <w:kern w:val="21"/>
                <w:sz w:val="21"/>
                <w:szCs w:val="21"/>
                <w:highlight w:val="none"/>
                <w:u w:val="none" w:color="auto"/>
                <w:lang w:val="en-US" w:eastAsia="zh-CN"/>
              </w:rPr>
            </w:pPr>
            <w:r>
              <w:rPr>
                <w:rFonts w:hint="default" w:ascii="Times New Roman" w:hAnsi="Times New Roman" w:eastAsia="宋体" w:cs="Times New Roman"/>
                <w:snapToGrid w:val="0"/>
                <w:color w:val="auto"/>
                <w:kern w:val="21"/>
                <w:sz w:val="21"/>
                <w:szCs w:val="21"/>
                <w:highlight w:val="none"/>
                <w:u w:val="none" w:color="auto"/>
                <w:lang w:val="en-US" w:eastAsia="zh-CN"/>
              </w:rPr>
              <w:t>0</w:t>
            </w:r>
          </w:p>
        </w:tc>
        <w:tc>
          <w:tcPr>
            <w:tcW w:w="1540" w:type="dxa"/>
            <w:noWrap w:val="0"/>
            <w:vAlign w:val="center"/>
          </w:tcPr>
          <w:p w14:paraId="7B0EB245">
            <w:pPr>
              <w:keepNext w:val="0"/>
              <w:keepLines w:val="0"/>
              <w:widowControl/>
              <w:suppressLineNumbers w:val="0"/>
              <w:jc w:val="center"/>
              <w:textAlignment w:val="center"/>
              <w:rPr>
                <w:rFonts w:hint="default" w:ascii="Times New Roman" w:hAnsi="Times New Roman" w:eastAsia="宋体" w:cs="Times New Roman"/>
                <w:snapToGrid w:val="0"/>
                <w:color w:val="auto"/>
                <w:kern w:val="21"/>
                <w:sz w:val="21"/>
                <w:szCs w:val="21"/>
                <w:highlight w:val="none"/>
                <w:u w:val="none" w:color="auto"/>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11.726589</w:t>
            </w:r>
          </w:p>
        </w:tc>
        <w:tc>
          <w:tcPr>
            <w:tcW w:w="1543" w:type="dxa"/>
            <w:shd w:val="clear" w:color="auto" w:fill="auto"/>
            <w:noWrap w:val="0"/>
            <w:vAlign w:val="center"/>
          </w:tcPr>
          <w:p w14:paraId="43777FFD">
            <w:pPr>
              <w:widowControl/>
              <w:jc w:val="center"/>
              <w:textAlignment w:val="center"/>
              <w:rPr>
                <w:rFonts w:hint="default" w:ascii="Times New Roman" w:hAnsi="Times New Roman" w:eastAsia="宋体" w:cs="Times New Roman"/>
                <w:snapToGrid w:val="0"/>
                <w:color w:val="auto"/>
                <w:kern w:val="21"/>
                <w:sz w:val="21"/>
                <w:szCs w:val="21"/>
                <w:highlight w:val="none"/>
                <w:u w:val="none" w:color="auto"/>
                <w:lang w:val="en-US" w:eastAsia="zh-CN" w:bidi="ar-SA"/>
              </w:rPr>
            </w:pPr>
            <w:r>
              <w:rPr>
                <w:rFonts w:hint="default" w:ascii="Times New Roman" w:hAnsi="Times New Roman" w:eastAsia="宋体" w:cs="Times New Roman"/>
                <w:snapToGrid w:val="0"/>
                <w:color w:val="auto"/>
                <w:kern w:val="21"/>
                <w:sz w:val="21"/>
                <w:szCs w:val="21"/>
                <w:u w:val="none" w:color="auto"/>
                <w:lang w:val="en-US" w:eastAsia="zh-CN"/>
              </w:rPr>
              <w:t>0</w:t>
            </w:r>
          </w:p>
        </w:tc>
      </w:tr>
      <w:tr w14:paraId="6CDC453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95" w:type="dxa"/>
            <w:vMerge w:val="continue"/>
            <w:noWrap w:val="0"/>
            <w:vAlign w:val="center"/>
          </w:tcPr>
          <w:p w14:paraId="7D4CC4B5">
            <w:pPr>
              <w:pStyle w:val="42"/>
              <w:spacing w:beforeLines="0" w:afterLines="0" w:line="240" w:lineRule="auto"/>
              <w:jc w:val="center"/>
              <w:rPr>
                <w:rFonts w:hint="default" w:ascii="Times New Roman" w:hAnsi="Times New Roman" w:eastAsia="宋体" w:cs="Times New Roman"/>
                <w:snapToGrid w:val="0"/>
                <w:color w:val="auto"/>
                <w:kern w:val="21"/>
                <w:sz w:val="21"/>
                <w:szCs w:val="21"/>
                <w:u w:val="none" w:color="auto"/>
              </w:rPr>
            </w:pPr>
          </w:p>
        </w:tc>
        <w:tc>
          <w:tcPr>
            <w:tcW w:w="2084" w:type="dxa"/>
            <w:noWrap w:val="0"/>
            <w:vAlign w:val="center"/>
          </w:tcPr>
          <w:p w14:paraId="35F2FD0F">
            <w:pPr>
              <w:keepNext w:val="0"/>
              <w:keepLines w:val="0"/>
              <w:widowControl/>
              <w:suppressLineNumbers w:val="0"/>
              <w:jc w:val="center"/>
              <w:textAlignment w:val="center"/>
              <w:rPr>
                <w:rFonts w:hint="default" w:ascii="Times New Roman" w:hAnsi="Times New Roman" w:eastAsia="宋体" w:cs="Times New Roman"/>
                <w:snapToGrid w:val="0"/>
                <w:color w:val="auto"/>
                <w:kern w:val="21"/>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灰渣、残渣</w:t>
            </w:r>
          </w:p>
        </w:tc>
        <w:tc>
          <w:tcPr>
            <w:tcW w:w="1515" w:type="dxa"/>
            <w:noWrap w:val="0"/>
            <w:vAlign w:val="center"/>
          </w:tcPr>
          <w:p w14:paraId="7265B5B0">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u w:val="none" w:color="auto"/>
                <w:lang w:val="en-US" w:eastAsia="zh-CN" w:bidi="ar-SA"/>
              </w:rPr>
            </w:pPr>
            <w:r>
              <w:rPr>
                <w:rFonts w:hint="default" w:ascii="Times New Roman" w:hAnsi="Times New Roman" w:eastAsia="宋体" w:cs="Times New Roman"/>
                <w:i w:val="0"/>
                <w:iCs w:val="0"/>
                <w:color w:val="auto"/>
                <w:kern w:val="0"/>
                <w:sz w:val="21"/>
                <w:szCs w:val="21"/>
                <w:u w:val="none" w:color="auto"/>
                <w:lang w:val="en-US" w:eastAsia="zh-CN" w:bidi="ar"/>
              </w:rPr>
              <w:t>0.3389</w:t>
            </w:r>
          </w:p>
        </w:tc>
        <w:tc>
          <w:tcPr>
            <w:tcW w:w="1391" w:type="dxa"/>
            <w:noWrap w:val="0"/>
            <w:vAlign w:val="center"/>
          </w:tcPr>
          <w:p w14:paraId="42EA78DA">
            <w:pPr>
              <w:jc w:val="center"/>
              <w:rPr>
                <w:rFonts w:hint="default" w:ascii="Times New Roman" w:hAnsi="Times New Roman" w:eastAsia="宋体" w:cs="Times New Roman"/>
                <w:snapToGrid w:val="0"/>
                <w:color w:val="auto"/>
                <w:kern w:val="21"/>
                <w:sz w:val="21"/>
                <w:szCs w:val="21"/>
                <w:u w:val="none" w:color="auto"/>
              </w:rPr>
            </w:pPr>
            <w:r>
              <w:rPr>
                <w:rFonts w:hint="default" w:ascii="Times New Roman" w:hAnsi="Times New Roman" w:eastAsia="宋体" w:cs="Times New Roman"/>
                <w:color w:val="auto"/>
                <w:kern w:val="2"/>
                <w:sz w:val="21"/>
                <w:szCs w:val="21"/>
                <w:u w:val="none" w:color="auto"/>
                <w:lang w:val="en-US" w:eastAsia="zh-CN" w:bidi="ar-SA"/>
              </w:rPr>
              <w:t>/</w:t>
            </w:r>
          </w:p>
        </w:tc>
        <w:tc>
          <w:tcPr>
            <w:tcW w:w="1540" w:type="dxa"/>
            <w:noWrap w:val="0"/>
            <w:vAlign w:val="center"/>
          </w:tcPr>
          <w:p w14:paraId="6F337DF1">
            <w:pPr>
              <w:jc w:val="center"/>
              <w:rPr>
                <w:rFonts w:hint="default" w:ascii="Times New Roman" w:hAnsi="Times New Roman" w:eastAsia="宋体" w:cs="Times New Roman"/>
                <w:snapToGrid w:val="0"/>
                <w:color w:val="auto"/>
                <w:kern w:val="21"/>
                <w:sz w:val="21"/>
                <w:szCs w:val="21"/>
                <w:u w:val="none" w:color="auto"/>
              </w:rPr>
            </w:pPr>
            <w:r>
              <w:rPr>
                <w:rFonts w:hint="default" w:ascii="Times New Roman" w:hAnsi="Times New Roman" w:eastAsia="宋体" w:cs="Times New Roman"/>
                <w:snapToGrid w:val="0"/>
                <w:color w:val="auto"/>
                <w:kern w:val="21"/>
                <w:sz w:val="21"/>
                <w:szCs w:val="21"/>
                <w:u w:val="none" w:color="auto"/>
                <w:lang w:val="en-US" w:eastAsia="zh-CN"/>
              </w:rPr>
              <w:t>0</w:t>
            </w:r>
          </w:p>
        </w:tc>
        <w:tc>
          <w:tcPr>
            <w:tcW w:w="1540" w:type="dxa"/>
            <w:noWrap w:val="0"/>
            <w:vAlign w:val="center"/>
          </w:tcPr>
          <w:p w14:paraId="7C804535">
            <w:pPr>
              <w:jc w:val="center"/>
              <w:rPr>
                <w:rFonts w:hint="default" w:ascii="Times New Roman" w:hAnsi="Times New Roman" w:eastAsia="宋体" w:cs="Times New Roman"/>
                <w:snapToGrid w:val="0"/>
                <w:color w:val="auto"/>
                <w:kern w:val="21"/>
                <w:sz w:val="21"/>
                <w:szCs w:val="21"/>
                <w:u w:val="none" w:color="auto"/>
                <w:lang w:val="en-US" w:eastAsia="zh-CN"/>
              </w:rPr>
            </w:pPr>
            <w:r>
              <w:rPr>
                <w:rFonts w:hint="default" w:ascii="Times New Roman" w:hAnsi="Times New Roman" w:eastAsia="宋体" w:cs="Times New Roman"/>
                <w:snapToGrid w:val="0"/>
                <w:color w:val="auto"/>
                <w:kern w:val="21"/>
                <w:sz w:val="21"/>
                <w:szCs w:val="21"/>
                <w:u w:val="none" w:color="auto"/>
                <w:lang w:val="en-US" w:eastAsia="zh-CN"/>
              </w:rPr>
              <w:t>0</w:t>
            </w:r>
          </w:p>
        </w:tc>
        <w:tc>
          <w:tcPr>
            <w:tcW w:w="1540" w:type="dxa"/>
            <w:noWrap w:val="0"/>
            <w:vAlign w:val="center"/>
          </w:tcPr>
          <w:p w14:paraId="2D787D79">
            <w:pPr>
              <w:jc w:val="center"/>
              <w:rPr>
                <w:rFonts w:hint="default" w:ascii="Times New Roman" w:hAnsi="Times New Roman" w:eastAsia="宋体" w:cs="Times New Roman"/>
                <w:snapToGrid w:val="0"/>
                <w:color w:val="auto"/>
                <w:kern w:val="21"/>
                <w:sz w:val="21"/>
                <w:szCs w:val="21"/>
                <w:u w:val="none" w:color="auto"/>
              </w:rPr>
            </w:pPr>
            <w:r>
              <w:rPr>
                <w:rFonts w:hint="default" w:ascii="Times New Roman" w:hAnsi="Times New Roman" w:eastAsia="宋体" w:cs="Times New Roman"/>
                <w:snapToGrid w:val="0"/>
                <w:color w:val="auto"/>
                <w:kern w:val="21"/>
                <w:sz w:val="21"/>
                <w:szCs w:val="21"/>
                <w:highlight w:val="none"/>
                <w:u w:val="none" w:color="auto"/>
                <w:lang w:val="en-US" w:eastAsia="zh-CN"/>
              </w:rPr>
              <w:t>0</w:t>
            </w:r>
          </w:p>
        </w:tc>
        <w:tc>
          <w:tcPr>
            <w:tcW w:w="1540" w:type="dxa"/>
            <w:noWrap w:val="0"/>
            <w:vAlign w:val="center"/>
          </w:tcPr>
          <w:p w14:paraId="143BD17C">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u w:val="none" w:color="auto"/>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0.3389</w:t>
            </w:r>
          </w:p>
        </w:tc>
        <w:tc>
          <w:tcPr>
            <w:tcW w:w="1543" w:type="dxa"/>
            <w:shd w:val="clear" w:color="auto" w:fill="auto"/>
            <w:noWrap w:val="0"/>
            <w:vAlign w:val="center"/>
          </w:tcPr>
          <w:p w14:paraId="420EEDCE">
            <w:pPr>
              <w:jc w:val="center"/>
              <w:rPr>
                <w:rFonts w:hint="default" w:ascii="Times New Roman" w:hAnsi="Times New Roman" w:eastAsia="宋体" w:cs="Times New Roman"/>
                <w:snapToGrid w:val="0"/>
                <w:color w:val="auto"/>
                <w:kern w:val="21"/>
                <w:sz w:val="21"/>
                <w:szCs w:val="21"/>
                <w:u w:val="none" w:color="auto"/>
                <w:lang w:val="en-US" w:eastAsia="zh-CN" w:bidi="ar-SA"/>
              </w:rPr>
            </w:pPr>
            <w:r>
              <w:rPr>
                <w:rFonts w:hint="default" w:ascii="Times New Roman" w:hAnsi="Times New Roman" w:eastAsia="宋体" w:cs="Times New Roman"/>
                <w:snapToGrid w:val="0"/>
                <w:color w:val="auto"/>
                <w:kern w:val="21"/>
                <w:sz w:val="21"/>
                <w:szCs w:val="21"/>
                <w:u w:val="none" w:color="auto"/>
                <w:lang w:val="en-US" w:eastAsia="zh-CN"/>
              </w:rPr>
              <w:t>0</w:t>
            </w:r>
          </w:p>
        </w:tc>
      </w:tr>
      <w:tr w14:paraId="051322A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95" w:type="dxa"/>
            <w:vMerge w:val="continue"/>
            <w:noWrap w:val="0"/>
            <w:vAlign w:val="center"/>
          </w:tcPr>
          <w:p w14:paraId="2AEF472C">
            <w:pPr>
              <w:pStyle w:val="42"/>
              <w:spacing w:beforeLines="0" w:afterLines="0" w:line="240" w:lineRule="auto"/>
              <w:jc w:val="center"/>
              <w:rPr>
                <w:rFonts w:hint="default" w:ascii="Times New Roman" w:hAnsi="Times New Roman" w:eastAsia="宋体" w:cs="Times New Roman"/>
                <w:snapToGrid w:val="0"/>
                <w:color w:val="auto"/>
                <w:kern w:val="21"/>
                <w:sz w:val="21"/>
                <w:szCs w:val="21"/>
                <w:u w:val="none" w:color="auto"/>
              </w:rPr>
            </w:pPr>
          </w:p>
        </w:tc>
        <w:tc>
          <w:tcPr>
            <w:tcW w:w="2084" w:type="dxa"/>
            <w:noWrap w:val="0"/>
            <w:vAlign w:val="center"/>
          </w:tcPr>
          <w:p w14:paraId="507014BC">
            <w:pPr>
              <w:keepNext w:val="0"/>
              <w:keepLines w:val="0"/>
              <w:widowControl/>
              <w:suppressLineNumbers w:val="0"/>
              <w:jc w:val="center"/>
              <w:textAlignment w:val="center"/>
              <w:rPr>
                <w:rFonts w:hint="default" w:ascii="Times New Roman" w:hAnsi="Times New Roman" w:eastAsia="宋体" w:cs="Times New Roman"/>
                <w:snapToGrid w:val="0"/>
                <w:color w:val="auto"/>
                <w:kern w:val="21"/>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除尘收集的粉尘</w:t>
            </w:r>
          </w:p>
        </w:tc>
        <w:tc>
          <w:tcPr>
            <w:tcW w:w="1515" w:type="dxa"/>
            <w:noWrap w:val="0"/>
            <w:vAlign w:val="center"/>
          </w:tcPr>
          <w:p w14:paraId="18EB7C85">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u w:val="none" w:color="auto"/>
                <w:lang w:val="en-US" w:eastAsia="zh-CN" w:bidi="ar-SA"/>
              </w:rPr>
            </w:pPr>
            <w:r>
              <w:rPr>
                <w:rFonts w:hint="default" w:ascii="Times New Roman" w:hAnsi="Times New Roman" w:eastAsia="宋体" w:cs="Times New Roman"/>
                <w:i w:val="0"/>
                <w:iCs w:val="0"/>
                <w:color w:val="auto"/>
                <w:kern w:val="0"/>
                <w:sz w:val="21"/>
                <w:szCs w:val="21"/>
                <w:u w:val="none" w:color="auto"/>
                <w:lang w:val="en-US" w:eastAsia="zh-CN" w:bidi="ar"/>
              </w:rPr>
              <w:t>2.6372</w:t>
            </w:r>
          </w:p>
        </w:tc>
        <w:tc>
          <w:tcPr>
            <w:tcW w:w="1391" w:type="dxa"/>
            <w:noWrap w:val="0"/>
            <w:vAlign w:val="center"/>
          </w:tcPr>
          <w:p w14:paraId="6BBB110C">
            <w:pPr>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kern w:val="2"/>
                <w:sz w:val="21"/>
                <w:szCs w:val="21"/>
                <w:u w:val="none" w:color="auto"/>
                <w:lang w:val="en-US" w:eastAsia="zh-CN" w:bidi="ar-SA"/>
              </w:rPr>
              <w:t>/</w:t>
            </w:r>
          </w:p>
        </w:tc>
        <w:tc>
          <w:tcPr>
            <w:tcW w:w="1540" w:type="dxa"/>
            <w:noWrap w:val="0"/>
            <w:vAlign w:val="center"/>
          </w:tcPr>
          <w:p w14:paraId="09B7E829">
            <w:pPr>
              <w:jc w:val="center"/>
              <w:rPr>
                <w:rFonts w:hint="default" w:ascii="Times New Roman" w:hAnsi="Times New Roman" w:eastAsia="宋体" w:cs="Times New Roman"/>
                <w:snapToGrid w:val="0"/>
                <w:color w:val="auto"/>
                <w:kern w:val="21"/>
                <w:sz w:val="21"/>
                <w:szCs w:val="21"/>
                <w:u w:val="none" w:color="auto"/>
                <w:lang w:val="en-US" w:eastAsia="zh-CN"/>
              </w:rPr>
            </w:pPr>
            <w:r>
              <w:rPr>
                <w:rFonts w:hint="default" w:ascii="Times New Roman" w:hAnsi="Times New Roman" w:eastAsia="宋体" w:cs="Times New Roman"/>
                <w:snapToGrid w:val="0"/>
                <w:color w:val="auto"/>
                <w:kern w:val="21"/>
                <w:sz w:val="21"/>
                <w:szCs w:val="21"/>
                <w:u w:val="none" w:color="auto"/>
                <w:lang w:val="en-US" w:eastAsia="zh-CN"/>
              </w:rPr>
              <w:t>0</w:t>
            </w:r>
          </w:p>
        </w:tc>
        <w:tc>
          <w:tcPr>
            <w:tcW w:w="1540" w:type="dxa"/>
            <w:noWrap w:val="0"/>
            <w:vAlign w:val="center"/>
          </w:tcPr>
          <w:p w14:paraId="5F1AD3AC">
            <w:pPr>
              <w:jc w:val="center"/>
              <w:rPr>
                <w:rFonts w:hint="default" w:ascii="Times New Roman" w:hAnsi="Times New Roman" w:eastAsia="宋体" w:cs="Times New Roman"/>
                <w:snapToGrid w:val="0"/>
                <w:color w:val="auto"/>
                <w:kern w:val="21"/>
                <w:sz w:val="21"/>
                <w:szCs w:val="21"/>
                <w:u w:val="none" w:color="auto"/>
                <w:lang w:val="en-US" w:eastAsia="zh-CN"/>
              </w:rPr>
            </w:pPr>
            <w:r>
              <w:rPr>
                <w:rFonts w:hint="default" w:ascii="Times New Roman" w:hAnsi="Times New Roman" w:eastAsia="宋体" w:cs="Times New Roman"/>
                <w:snapToGrid w:val="0"/>
                <w:color w:val="auto"/>
                <w:kern w:val="21"/>
                <w:sz w:val="21"/>
                <w:szCs w:val="21"/>
                <w:u w:val="none" w:color="auto"/>
                <w:lang w:val="en-US" w:eastAsia="zh-CN"/>
              </w:rPr>
              <w:t>51.4651‬</w:t>
            </w:r>
          </w:p>
        </w:tc>
        <w:tc>
          <w:tcPr>
            <w:tcW w:w="1540" w:type="dxa"/>
            <w:noWrap w:val="0"/>
            <w:vAlign w:val="center"/>
          </w:tcPr>
          <w:p w14:paraId="02F8B053">
            <w:pPr>
              <w:jc w:val="center"/>
              <w:rPr>
                <w:rFonts w:hint="default" w:ascii="Times New Roman" w:hAnsi="Times New Roman" w:eastAsia="宋体" w:cs="Times New Roman"/>
                <w:snapToGrid w:val="0"/>
                <w:color w:val="auto"/>
                <w:kern w:val="21"/>
                <w:sz w:val="21"/>
                <w:szCs w:val="21"/>
                <w:u w:val="none" w:color="auto"/>
              </w:rPr>
            </w:pPr>
            <w:r>
              <w:rPr>
                <w:rFonts w:hint="default" w:ascii="Times New Roman" w:hAnsi="Times New Roman" w:eastAsia="宋体" w:cs="Times New Roman"/>
                <w:snapToGrid w:val="0"/>
                <w:color w:val="auto"/>
                <w:kern w:val="21"/>
                <w:sz w:val="21"/>
                <w:szCs w:val="21"/>
                <w:highlight w:val="none"/>
                <w:u w:val="none" w:color="auto"/>
                <w:lang w:val="en-US" w:eastAsia="zh-CN"/>
              </w:rPr>
              <w:t>0</w:t>
            </w:r>
          </w:p>
        </w:tc>
        <w:tc>
          <w:tcPr>
            <w:tcW w:w="1540" w:type="dxa"/>
            <w:noWrap w:val="0"/>
            <w:vAlign w:val="center"/>
          </w:tcPr>
          <w:p w14:paraId="3022EF32">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u w:val="none" w:color="auto"/>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54.1023‬</w:t>
            </w:r>
          </w:p>
        </w:tc>
        <w:tc>
          <w:tcPr>
            <w:tcW w:w="1543" w:type="dxa"/>
            <w:shd w:val="clear" w:color="auto" w:fill="auto"/>
            <w:noWrap w:val="0"/>
            <w:vAlign w:val="center"/>
          </w:tcPr>
          <w:p w14:paraId="4B560638">
            <w:pPr>
              <w:jc w:val="center"/>
              <w:rPr>
                <w:rFonts w:hint="default" w:ascii="Times New Roman" w:hAnsi="Times New Roman" w:eastAsia="宋体" w:cs="Times New Roman"/>
                <w:snapToGrid w:val="0"/>
                <w:color w:val="auto"/>
                <w:kern w:val="21"/>
                <w:sz w:val="21"/>
                <w:szCs w:val="21"/>
                <w:u w:val="none" w:color="auto"/>
                <w:lang w:val="en-US" w:eastAsia="zh-CN" w:bidi="ar-SA"/>
              </w:rPr>
            </w:pPr>
            <w:r>
              <w:rPr>
                <w:rFonts w:hint="default" w:ascii="Times New Roman" w:hAnsi="Times New Roman" w:eastAsia="宋体" w:cs="Times New Roman"/>
                <w:snapToGrid w:val="0"/>
                <w:color w:val="auto"/>
                <w:kern w:val="21"/>
                <w:sz w:val="21"/>
                <w:szCs w:val="21"/>
                <w:u w:val="none" w:color="auto"/>
                <w:lang w:val="en-US" w:eastAsia="zh-CN"/>
              </w:rPr>
              <w:t>+51.4651‬</w:t>
            </w:r>
          </w:p>
        </w:tc>
      </w:tr>
      <w:tr w14:paraId="4EE7762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95" w:type="dxa"/>
            <w:vMerge w:val="continue"/>
            <w:noWrap w:val="0"/>
            <w:vAlign w:val="center"/>
          </w:tcPr>
          <w:p w14:paraId="14A8DE2C">
            <w:pPr>
              <w:pStyle w:val="42"/>
              <w:spacing w:beforeLines="0" w:afterLines="0" w:line="240" w:lineRule="auto"/>
              <w:jc w:val="center"/>
              <w:rPr>
                <w:rFonts w:hint="default" w:ascii="Times New Roman" w:hAnsi="Times New Roman" w:eastAsia="宋体" w:cs="Times New Roman"/>
                <w:snapToGrid w:val="0"/>
                <w:color w:val="auto"/>
                <w:kern w:val="21"/>
                <w:sz w:val="21"/>
                <w:szCs w:val="21"/>
                <w:u w:val="none" w:color="auto"/>
              </w:rPr>
            </w:pPr>
          </w:p>
        </w:tc>
        <w:tc>
          <w:tcPr>
            <w:tcW w:w="2084" w:type="dxa"/>
            <w:noWrap w:val="0"/>
            <w:vAlign w:val="center"/>
          </w:tcPr>
          <w:p w14:paraId="43A93245">
            <w:pPr>
              <w:keepNext w:val="0"/>
              <w:keepLines w:val="0"/>
              <w:widowControl/>
              <w:suppressLineNumbers w:val="0"/>
              <w:jc w:val="center"/>
              <w:textAlignment w:val="center"/>
              <w:rPr>
                <w:rFonts w:hint="default" w:ascii="Times New Roman" w:hAnsi="Times New Roman" w:eastAsia="宋体" w:cs="Times New Roman"/>
                <w:snapToGrid w:val="0"/>
                <w:color w:val="auto"/>
                <w:kern w:val="21"/>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废模具</w:t>
            </w:r>
          </w:p>
        </w:tc>
        <w:tc>
          <w:tcPr>
            <w:tcW w:w="1515" w:type="dxa"/>
            <w:noWrap w:val="0"/>
            <w:vAlign w:val="center"/>
          </w:tcPr>
          <w:p w14:paraId="0FE4E8EE">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u w:val="none" w:color="auto"/>
                <w:lang w:val="en-US" w:eastAsia="zh-CN" w:bidi="ar-SA"/>
              </w:rPr>
            </w:pPr>
            <w:r>
              <w:rPr>
                <w:rFonts w:hint="default" w:ascii="Times New Roman" w:hAnsi="Times New Roman" w:eastAsia="宋体" w:cs="Times New Roman"/>
                <w:i w:val="0"/>
                <w:iCs w:val="0"/>
                <w:color w:val="auto"/>
                <w:kern w:val="0"/>
                <w:sz w:val="21"/>
                <w:szCs w:val="21"/>
                <w:u w:val="none" w:color="auto"/>
                <w:lang w:val="en-US" w:eastAsia="zh-CN" w:bidi="ar"/>
              </w:rPr>
              <w:t>310.1</w:t>
            </w:r>
          </w:p>
        </w:tc>
        <w:tc>
          <w:tcPr>
            <w:tcW w:w="1391" w:type="dxa"/>
            <w:noWrap w:val="0"/>
            <w:vAlign w:val="center"/>
          </w:tcPr>
          <w:p w14:paraId="14A55A09">
            <w:pPr>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kern w:val="2"/>
                <w:sz w:val="21"/>
                <w:szCs w:val="21"/>
                <w:u w:val="none" w:color="auto"/>
                <w:lang w:val="en-US" w:eastAsia="zh-CN" w:bidi="ar-SA"/>
              </w:rPr>
              <w:t>/</w:t>
            </w:r>
          </w:p>
        </w:tc>
        <w:tc>
          <w:tcPr>
            <w:tcW w:w="1540" w:type="dxa"/>
            <w:noWrap w:val="0"/>
            <w:vAlign w:val="center"/>
          </w:tcPr>
          <w:p w14:paraId="779DEAD8">
            <w:pPr>
              <w:jc w:val="center"/>
              <w:rPr>
                <w:rFonts w:hint="default" w:ascii="Times New Roman" w:hAnsi="Times New Roman" w:eastAsia="宋体" w:cs="Times New Roman"/>
                <w:snapToGrid w:val="0"/>
                <w:color w:val="auto"/>
                <w:kern w:val="21"/>
                <w:sz w:val="21"/>
                <w:szCs w:val="21"/>
                <w:u w:val="none" w:color="auto"/>
                <w:lang w:val="en-US" w:eastAsia="zh-CN"/>
              </w:rPr>
            </w:pPr>
            <w:r>
              <w:rPr>
                <w:rFonts w:hint="default" w:ascii="Times New Roman" w:hAnsi="Times New Roman" w:eastAsia="宋体" w:cs="Times New Roman"/>
                <w:snapToGrid w:val="0"/>
                <w:color w:val="auto"/>
                <w:kern w:val="21"/>
                <w:sz w:val="21"/>
                <w:szCs w:val="21"/>
                <w:u w:val="none" w:color="auto"/>
                <w:lang w:val="en-US" w:eastAsia="zh-CN"/>
              </w:rPr>
              <w:t>0</w:t>
            </w:r>
          </w:p>
        </w:tc>
        <w:tc>
          <w:tcPr>
            <w:tcW w:w="1540" w:type="dxa"/>
            <w:noWrap w:val="0"/>
            <w:vAlign w:val="center"/>
          </w:tcPr>
          <w:p w14:paraId="5518BD14">
            <w:pPr>
              <w:jc w:val="center"/>
              <w:rPr>
                <w:rFonts w:hint="default" w:ascii="Times New Roman" w:hAnsi="Times New Roman" w:eastAsia="宋体" w:cs="Times New Roman"/>
                <w:snapToGrid w:val="0"/>
                <w:color w:val="auto"/>
                <w:kern w:val="21"/>
                <w:sz w:val="21"/>
                <w:szCs w:val="21"/>
                <w:u w:val="none" w:color="auto"/>
                <w:lang w:val="en-US" w:eastAsia="zh-CN"/>
              </w:rPr>
            </w:pPr>
            <w:r>
              <w:rPr>
                <w:rFonts w:hint="default" w:ascii="Times New Roman" w:hAnsi="Times New Roman" w:eastAsia="宋体" w:cs="Times New Roman"/>
                <w:snapToGrid w:val="0"/>
                <w:color w:val="auto"/>
                <w:kern w:val="21"/>
                <w:sz w:val="21"/>
                <w:szCs w:val="21"/>
                <w:u w:val="none" w:color="auto"/>
                <w:lang w:val="en-US" w:eastAsia="zh-CN"/>
              </w:rPr>
              <w:t>0</w:t>
            </w:r>
          </w:p>
        </w:tc>
        <w:tc>
          <w:tcPr>
            <w:tcW w:w="1540" w:type="dxa"/>
            <w:noWrap w:val="0"/>
            <w:vAlign w:val="center"/>
          </w:tcPr>
          <w:p w14:paraId="26C50CD0">
            <w:pPr>
              <w:jc w:val="center"/>
              <w:rPr>
                <w:rFonts w:hint="default" w:ascii="Times New Roman" w:hAnsi="Times New Roman" w:eastAsia="宋体" w:cs="Times New Roman"/>
                <w:snapToGrid w:val="0"/>
                <w:color w:val="auto"/>
                <w:kern w:val="21"/>
                <w:sz w:val="21"/>
                <w:szCs w:val="21"/>
                <w:u w:val="none" w:color="auto"/>
              </w:rPr>
            </w:pPr>
            <w:r>
              <w:rPr>
                <w:rFonts w:hint="default" w:ascii="Times New Roman" w:hAnsi="Times New Roman" w:eastAsia="宋体" w:cs="Times New Roman"/>
                <w:snapToGrid w:val="0"/>
                <w:color w:val="auto"/>
                <w:kern w:val="21"/>
                <w:sz w:val="21"/>
                <w:szCs w:val="21"/>
                <w:highlight w:val="none"/>
                <w:u w:val="none" w:color="auto"/>
                <w:lang w:val="en-US" w:eastAsia="zh-CN"/>
              </w:rPr>
              <w:t>0</w:t>
            </w:r>
          </w:p>
        </w:tc>
        <w:tc>
          <w:tcPr>
            <w:tcW w:w="1540" w:type="dxa"/>
            <w:noWrap w:val="0"/>
            <w:vAlign w:val="center"/>
          </w:tcPr>
          <w:p w14:paraId="2E8588AA">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u w:val="none" w:color="auto"/>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310.1</w:t>
            </w:r>
          </w:p>
        </w:tc>
        <w:tc>
          <w:tcPr>
            <w:tcW w:w="1543" w:type="dxa"/>
            <w:shd w:val="clear" w:color="auto" w:fill="auto"/>
            <w:noWrap w:val="0"/>
            <w:vAlign w:val="center"/>
          </w:tcPr>
          <w:p w14:paraId="68FA26B5">
            <w:pPr>
              <w:jc w:val="center"/>
              <w:rPr>
                <w:rFonts w:hint="default" w:ascii="Times New Roman" w:hAnsi="Times New Roman" w:eastAsia="宋体" w:cs="Times New Roman"/>
                <w:snapToGrid w:val="0"/>
                <w:color w:val="auto"/>
                <w:kern w:val="21"/>
                <w:sz w:val="21"/>
                <w:szCs w:val="21"/>
                <w:u w:val="none" w:color="auto"/>
                <w:lang w:val="en-US" w:eastAsia="zh-CN" w:bidi="ar-SA"/>
              </w:rPr>
            </w:pPr>
            <w:r>
              <w:rPr>
                <w:rFonts w:hint="default" w:ascii="Times New Roman" w:hAnsi="Times New Roman" w:eastAsia="宋体" w:cs="Times New Roman"/>
                <w:snapToGrid w:val="0"/>
                <w:color w:val="auto"/>
                <w:kern w:val="21"/>
                <w:sz w:val="21"/>
                <w:szCs w:val="21"/>
                <w:u w:val="none" w:color="auto"/>
                <w:lang w:val="en-US" w:eastAsia="zh-CN"/>
              </w:rPr>
              <w:t>0</w:t>
            </w:r>
          </w:p>
        </w:tc>
      </w:tr>
      <w:tr w14:paraId="1FF42E7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95" w:type="dxa"/>
            <w:vMerge w:val="continue"/>
            <w:noWrap w:val="0"/>
            <w:vAlign w:val="center"/>
          </w:tcPr>
          <w:p w14:paraId="38602D59">
            <w:pPr>
              <w:pStyle w:val="42"/>
              <w:spacing w:beforeLines="0" w:afterLines="0" w:line="240" w:lineRule="auto"/>
              <w:jc w:val="center"/>
              <w:rPr>
                <w:rFonts w:hint="default" w:ascii="Times New Roman" w:hAnsi="Times New Roman" w:eastAsia="宋体" w:cs="Times New Roman"/>
                <w:snapToGrid w:val="0"/>
                <w:color w:val="auto"/>
                <w:kern w:val="21"/>
                <w:sz w:val="21"/>
                <w:szCs w:val="21"/>
                <w:u w:val="none" w:color="auto"/>
              </w:rPr>
            </w:pPr>
          </w:p>
        </w:tc>
        <w:tc>
          <w:tcPr>
            <w:tcW w:w="2084" w:type="dxa"/>
            <w:noWrap w:val="0"/>
            <w:vAlign w:val="center"/>
          </w:tcPr>
          <w:p w14:paraId="5ED881C1">
            <w:pPr>
              <w:keepNext w:val="0"/>
              <w:keepLines w:val="0"/>
              <w:widowControl/>
              <w:suppressLineNumbers w:val="0"/>
              <w:jc w:val="center"/>
              <w:textAlignment w:val="center"/>
              <w:rPr>
                <w:rFonts w:hint="default" w:ascii="Times New Roman" w:hAnsi="Times New Roman" w:eastAsia="宋体" w:cs="Times New Roman"/>
                <w:snapToGrid w:val="0"/>
                <w:color w:val="auto"/>
                <w:kern w:val="21"/>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废耐火材料</w:t>
            </w:r>
          </w:p>
        </w:tc>
        <w:tc>
          <w:tcPr>
            <w:tcW w:w="1515" w:type="dxa"/>
            <w:noWrap w:val="0"/>
            <w:vAlign w:val="center"/>
          </w:tcPr>
          <w:p w14:paraId="4BCD215A">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u w:val="none" w:color="auto"/>
                <w:lang w:val="en-US" w:eastAsia="zh-CN" w:bidi="ar-SA"/>
              </w:rPr>
            </w:pPr>
            <w:r>
              <w:rPr>
                <w:rFonts w:hint="default" w:ascii="Times New Roman" w:hAnsi="Times New Roman" w:eastAsia="宋体" w:cs="Times New Roman"/>
                <w:i w:val="0"/>
                <w:iCs w:val="0"/>
                <w:color w:val="auto"/>
                <w:kern w:val="0"/>
                <w:sz w:val="21"/>
                <w:szCs w:val="21"/>
                <w:u w:val="none" w:color="auto"/>
                <w:lang w:val="en-US" w:eastAsia="zh-CN" w:bidi="ar"/>
              </w:rPr>
              <w:t>48</w:t>
            </w:r>
          </w:p>
        </w:tc>
        <w:tc>
          <w:tcPr>
            <w:tcW w:w="1391" w:type="dxa"/>
            <w:noWrap w:val="0"/>
            <w:vAlign w:val="center"/>
          </w:tcPr>
          <w:p w14:paraId="60F03DA5">
            <w:pPr>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kern w:val="2"/>
                <w:sz w:val="21"/>
                <w:szCs w:val="21"/>
                <w:u w:val="none" w:color="auto"/>
                <w:lang w:val="en-US" w:eastAsia="zh-CN" w:bidi="ar-SA"/>
              </w:rPr>
              <w:t>/</w:t>
            </w:r>
          </w:p>
        </w:tc>
        <w:tc>
          <w:tcPr>
            <w:tcW w:w="1540" w:type="dxa"/>
            <w:noWrap w:val="0"/>
            <w:vAlign w:val="center"/>
          </w:tcPr>
          <w:p w14:paraId="5FBDF639">
            <w:pPr>
              <w:jc w:val="center"/>
              <w:rPr>
                <w:rFonts w:hint="default" w:ascii="Times New Roman" w:hAnsi="Times New Roman" w:eastAsia="宋体" w:cs="Times New Roman"/>
                <w:snapToGrid w:val="0"/>
                <w:color w:val="auto"/>
                <w:kern w:val="21"/>
                <w:sz w:val="21"/>
                <w:szCs w:val="21"/>
                <w:u w:val="none" w:color="auto"/>
                <w:lang w:val="en-US" w:eastAsia="zh-CN"/>
              </w:rPr>
            </w:pPr>
            <w:r>
              <w:rPr>
                <w:rFonts w:hint="default" w:ascii="Times New Roman" w:hAnsi="Times New Roman" w:eastAsia="宋体" w:cs="Times New Roman"/>
                <w:snapToGrid w:val="0"/>
                <w:color w:val="auto"/>
                <w:kern w:val="21"/>
                <w:sz w:val="21"/>
                <w:szCs w:val="21"/>
                <w:u w:val="none" w:color="auto"/>
                <w:lang w:val="en-US" w:eastAsia="zh-CN"/>
              </w:rPr>
              <w:t>0</w:t>
            </w:r>
          </w:p>
        </w:tc>
        <w:tc>
          <w:tcPr>
            <w:tcW w:w="1540" w:type="dxa"/>
            <w:noWrap w:val="0"/>
            <w:vAlign w:val="center"/>
          </w:tcPr>
          <w:p w14:paraId="5D264B17">
            <w:pPr>
              <w:jc w:val="center"/>
              <w:rPr>
                <w:rFonts w:hint="default" w:ascii="Times New Roman" w:hAnsi="Times New Roman" w:eastAsia="宋体" w:cs="Times New Roman"/>
                <w:snapToGrid w:val="0"/>
                <w:color w:val="auto"/>
                <w:kern w:val="21"/>
                <w:sz w:val="21"/>
                <w:szCs w:val="21"/>
                <w:u w:val="none" w:color="auto"/>
                <w:lang w:val="en-US" w:eastAsia="zh-CN"/>
              </w:rPr>
            </w:pPr>
            <w:r>
              <w:rPr>
                <w:rFonts w:hint="default" w:ascii="Times New Roman" w:hAnsi="Times New Roman" w:eastAsia="宋体" w:cs="Times New Roman"/>
                <w:snapToGrid w:val="0"/>
                <w:color w:val="auto"/>
                <w:kern w:val="21"/>
                <w:sz w:val="21"/>
                <w:szCs w:val="21"/>
                <w:u w:val="none" w:color="auto"/>
                <w:lang w:val="en-US" w:eastAsia="zh-CN"/>
              </w:rPr>
              <w:t>0</w:t>
            </w:r>
          </w:p>
        </w:tc>
        <w:tc>
          <w:tcPr>
            <w:tcW w:w="1540" w:type="dxa"/>
            <w:noWrap w:val="0"/>
            <w:vAlign w:val="center"/>
          </w:tcPr>
          <w:p w14:paraId="6D74AAC3">
            <w:pPr>
              <w:jc w:val="center"/>
              <w:rPr>
                <w:rFonts w:hint="default" w:ascii="Times New Roman" w:hAnsi="Times New Roman" w:eastAsia="宋体" w:cs="Times New Roman"/>
                <w:snapToGrid w:val="0"/>
                <w:color w:val="auto"/>
                <w:kern w:val="21"/>
                <w:sz w:val="21"/>
                <w:szCs w:val="21"/>
                <w:u w:val="none" w:color="auto"/>
              </w:rPr>
            </w:pPr>
            <w:r>
              <w:rPr>
                <w:rFonts w:hint="default" w:ascii="Times New Roman" w:hAnsi="Times New Roman" w:eastAsia="宋体" w:cs="Times New Roman"/>
                <w:snapToGrid w:val="0"/>
                <w:color w:val="auto"/>
                <w:kern w:val="21"/>
                <w:sz w:val="21"/>
                <w:szCs w:val="21"/>
                <w:highlight w:val="none"/>
                <w:u w:val="none" w:color="auto"/>
                <w:lang w:val="en-US" w:eastAsia="zh-CN"/>
              </w:rPr>
              <w:t>0</w:t>
            </w:r>
          </w:p>
        </w:tc>
        <w:tc>
          <w:tcPr>
            <w:tcW w:w="1540" w:type="dxa"/>
            <w:noWrap w:val="0"/>
            <w:vAlign w:val="center"/>
          </w:tcPr>
          <w:p w14:paraId="54B7958B">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u w:val="none" w:color="auto"/>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48</w:t>
            </w:r>
          </w:p>
        </w:tc>
        <w:tc>
          <w:tcPr>
            <w:tcW w:w="1543" w:type="dxa"/>
            <w:shd w:val="clear" w:color="auto" w:fill="auto"/>
            <w:noWrap w:val="0"/>
            <w:vAlign w:val="center"/>
          </w:tcPr>
          <w:p w14:paraId="0DBF05DB">
            <w:pPr>
              <w:jc w:val="center"/>
              <w:rPr>
                <w:rFonts w:hint="default" w:ascii="Times New Roman" w:hAnsi="Times New Roman" w:eastAsia="宋体" w:cs="Times New Roman"/>
                <w:snapToGrid w:val="0"/>
                <w:color w:val="auto"/>
                <w:kern w:val="21"/>
                <w:sz w:val="21"/>
                <w:szCs w:val="21"/>
                <w:u w:val="none" w:color="auto"/>
                <w:lang w:val="en-US" w:eastAsia="zh-CN" w:bidi="ar-SA"/>
              </w:rPr>
            </w:pPr>
            <w:r>
              <w:rPr>
                <w:rFonts w:hint="default" w:ascii="Times New Roman" w:hAnsi="Times New Roman" w:eastAsia="宋体" w:cs="Times New Roman"/>
                <w:snapToGrid w:val="0"/>
                <w:color w:val="auto"/>
                <w:kern w:val="21"/>
                <w:sz w:val="21"/>
                <w:szCs w:val="21"/>
                <w:u w:val="none" w:color="auto"/>
                <w:lang w:val="en-US" w:eastAsia="zh-CN"/>
              </w:rPr>
              <w:t>0</w:t>
            </w:r>
          </w:p>
        </w:tc>
      </w:tr>
      <w:tr w14:paraId="6708A64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95" w:type="dxa"/>
            <w:vMerge w:val="continue"/>
            <w:noWrap w:val="0"/>
            <w:vAlign w:val="center"/>
          </w:tcPr>
          <w:p w14:paraId="18294A77">
            <w:pPr>
              <w:pStyle w:val="42"/>
              <w:spacing w:beforeLines="0" w:afterLines="0" w:line="240" w:lineRule="auto"/>
              <w:jc w:val="center"/>
              <w:rPr>
                <w:rFonts w:hint="default" w:ascii="Times New Roman" w:hAnsi="Times New Roman" w:eastAsia="宋体" w:cs="Times New Roman"/>
                <w:snapToGrid w:val="0"/>
                <w:color w:val="auto"/>
                <w:kern w:val="21"/>
                <w:sz w:val="21"/>
                <w:szCs w:val="21"/>
                <w:u w:val="none" w:color="auto"/>
              </w:rPr>
            </w:pPr>
          </w:p>
        </w:tc>
        <w:tc>
          <w:tcPr>
            <w:tcW w:w="2084" w:type="dxa"/>
            <w:noWrap w:val="0"/>
            <w:vAlign w:val="center"/>
          </w:tcPr>
          <w:p w14:paraId="372B800E">
            <w:pPr>
              <w:keepNext w:val="0"/>
              <w:keepLines w:val="0"/>
              <w:widowControl/>
              <w:suppressLineNumbers w:val="0"/>
              <w:jc w:val="center"/>
              <w:textAlignment w:val="center"/>
              <w:rPr>
                <w:rFonts w:hint="default" w:ascii="Times New Roman" w:hAnsi="Times New Roman" w:eastAsia="宋体" w:cs="Times New Roman"/>
                <w:snapToGrid w:val="0"/>
                <w:color w:val="auto"/>
                <w:kern w:val="21"/>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废CFF过滤板</w:t>
            </w:r>
          </w:p>
        </w:tc>
        <w:tc>
          <w:tcPr>
            <w:tcW w:w="1515" w:type="dxa"/>
            <w:noWrap w:val="0"/>
            <w:vAlign w:val="center"/>
          </w:tcPr>
          <w:p w14:paraId="1C8E6429">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u w:val="none" w:color="auto"/>
                <w:lang w:val="en-US" w:eastAsia="zh-CN" w:bidi="ar-SA"/>
              </w:rPr>
            </w:pPr>
            <w:r>
              <w:rPr>
                <w:rFonts w:hint="default" w:ascii="Times New Roman" w:hAnsi="Times New Roman" w:eastAsia="宋体" w:cs="Times New Roman"/>
                <w:i w:val="0"/>
                <w:iCs w:val="0"/>
                <w:color w:val="auto"/>
                <w:kern w:val="0"/>
                <w:sz w:val="21"/>
                <w:szCs w:val="21"/>
                <w:u w:val="none" w:color="auto"/>
                <w:lang w:val="en-US" w:eastAsia="zh-CN" w:bidi="ar"/>
              </w:rPr>
              <w:t>8028块/a</w:t>
            </w:r>
          </w:p>
        </w:tc>
        <w:tc>
          <w:tcPr>
            <w:tcW w:w="1391" w:type="dxa"/>
            <w:noWrap w:val="0"/>
            <w:vAlign w:val="center"/>
          </w:tcPr>
          <w:p w14:paraId="3A652522">
            <w:pPr>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kern w:val="2"/>
                <w:sz w:val="21"/>
                <w:szCs w:val="21"/>
                <w:u w:val="none" w:color="auto"/>
                <w:lang w:val="en-US" w:eastAsia="zh-CN" w:bidi="ar-SA"/>
              </w:rPr>
              <w:t>/</w:t>
            </w:r>
          </w:p>
        </w:tc>
        <w:tc>
          <w:tcPr>
            <w:tcW w:w="1540" w:type="dxa"/>
            <w:noWrap w:val="0"/>
            <w:vAlign w:val="center"/>
          </w:tcPr>
          <w:p w14:paraId="2C0CA7B0">
            <w:pPr>
              <w:jc w:val="center"/>
              <w:rPr>
                <w:rFonts w:hint="default" w:ascii="Times New Roman" w:hAnsi="Times New Roman" w:eastAsia="宋体" w:cs="Times New Roman"/>
                <w:snapToGrid w:val="0"/>
                <w:color w:val="auto"/>
                <w:kern w:val="21"/>
                <w:sz w:val="21"/>
                <w:szCs w:val="21"/>
                <w:u w:val="none" w:color="auto"/>
                <w:lang w:val="en-US" w:eastAsia="zh-CN"/>
              </w:rPr>
            </w:pPr>
            <w:r>
              <w:rPr>
                <w:rFonts w:hint="default" w:ascii="Times New Roman" w:hAnsi="Times New Roman" w:eastAsia="宋体" w:cs="Times New Roman"/>
                <w:snapToGrid w:val="0"/>
                <w:color w:val="auto"/>
                <w:kern w:val="21"/>
                <w:sz w:val="21"/>
                <w:szCs w:val="21"/>
                <w:u w:val="none" w:color="auto"/>
                <w:lang w:val="en-US" w:eastAsia="zh-CN"/>
              </w:rPr>
              <w:t>0</w:t>
            </w:r>
          </w:p>
        </w:tc>
        <w:tc>
          <w:tcPr>
            <w:tcW w:w="1540" w:type="dxa"/>
            <w:noWrap w:val="0"/>
            <w:vAlign w:val="center"/>
          </w:tcPr>
          <w:p w14:paraId="5A51ADFD">
            <w:pPr>
              <w:jc w:val="center"/>
              <w:rPr>
                <w:rFonts w:hint="default" w:ascii="Times New Roman" w:hAnsi="Times New Roman" w:eastAsia="宋体" w:cs="Times New Roman"/>
                <w:snapToGrid w:val="0"/>
                <w:color w:val="auto"/>
                <w:kern w:val="21"/>
                <w:sz w:val="21"/>
                <w:szCs w:val="21"/>
                <w:u w:val="none" w:color="auto"/>
                <w:lang w:val="en-US" w:eastAsia="zh-CN"/>
              </w:rPr>
            </w:pPr>
            <w:r>
              <w:rPr>
                <w:rFonts w:hint="default" w:ascii="Times New Roman" w:hAnsi="Times New Roman" w:eastAsia="宋体" w:cs="Times New Roman"/>
                <w:snapToGrid w:val="0"/>
                <w:color w:val="auto"/>
                <w:kern w:val="21"/>
                <w:sz w:val="21"/>
                <w:szCs w:val="21"/>
                <w:u w:val="none" w:color="auto"/>
                <w:lang w:val="en-US" w:eastAsia="zh-CN"/>
              </w:rPr>
              <w:t>0</w:t>
            </w:r>
          </w:p>
        </w:tc>
        <w:tc>
          <w:tcPr>
            <w:tcW w:w="1540" w:type="dxa"/>
            <w:noWrap w:val="0"/>
            <w:vAlign w:val="center"/>
          </w:tcPr>
          <w:p w14:paraId="2B7F983C">
            <w:pPr>
              <w:jc w:val="center"/>
              <w:rPr>
                <w:rFonts w:hint="default" w:ascii="Times New Roman" w:hAnsi="Times New Roman" w:eastAsia="宋体" w:cs="Times New Roman"/>
                <w:snapToGrid w:val="0"/>
                <w:color w:val="auto"/>
                <w:kern w:val="21"/>
                <w:sz w:val="21"/>
                <w:szCs w:val="21"/>
                <w:u w:val="none" w:color="auto"/>
              </w:rPr>
            </w:pPr>
            <w:r>
              <w:rPr>
                <w:rFonts w:hint="default" w:ascii="Times New Roman" w:hAnsi="Times New Roman" w:eastAsia="宋体" w:cs="Times New Roman"/>
                <w:snapToGrid w:val="0"/>
                <w:color w:val="auto"/>
                <w:kern w:val="21"/>
                <w:sz w:val="21"/>
                <w:szCs w:val="21"/>
                <w:highlight w:val="none"/>
                <w:u w:val="none" w:color="auto"/>
                <w:lang w:val="en-US" w:eastAsia="zh-CN"/>
              </w:rPr>
              <w:t>0</w:t>
            </w:r>
          </w:p>
        </w:tc>
        <w:tc>
          <w:tcPr>
            <w:tcW w:w="1540" w:type="dxa"/>
            <w:noWrap w:val="0"/>
            <w:vAlign w:val="center"/>
          </w:tcPr>
          <w:p w14:paraId="3E793AB4">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u w:val="none" w:color="auto"/>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8028块/a</w:t>
            </w:r>
          </w:p>
        </w:tc>
        <w:tc>
          <w:tcPr>
            <w:tcW w:w="1543" w:type="dxa"/>
            <w:shd w:val="clear" w:color="auto" w:fill="auto"/>
            <w:noWrap w:val="0"/>
            <w:vAlign w:val="center"/>
          </w:tcPr>
          <w:p w14:paraId="00956750">
            <w:pPr>
              <w:jc w:val="center"/>
              <w:rPr>
                <w:rFonts w:hint="default" w:ascii="Times New Roman" w:hAnsi="Times New Roman" w:eastAsia="宋体" w:cs="Times New Roman"/>
                <w:snapToGrid w:val="0"/>
                <w:color w:val="auto"/>
                <w:kern w:val="21"/>
                <w:sz w:val="21"/>
                <w:szCs w:val="21"/>
                <w:u w:val="none" w:color="auto"/>
                <w:lang w:val="en-US" w:eastAsia="zh-CN" w:bidi="ar-SA"/>
              </w:rPr>
            </w:pPr>
            <w:r>
              <w:rPr>
                <w:rFonts w:hint="default" w:ascii="Times New Roman" w:hAnsi="Times New Roman" w:eastAsia="宋体" w:cs="Times New Roman"/>
                <w:snapToGrid w:val="0"/>
                <w:color w:val="auto"/>
                <w:kern w:val="21"/>
                <w:sz w:val="21"/>
                <w:szCs w:val="21"/>
                <w:u w:val="none" w:color="auto"/>
                <w:lang w:val="en-US" w:eastAsia="zh-CN"/>
              </w:rPr>
              <w:t>0</w:t>
            </w:r>
          </w:p>
        </w:tc>
      </w:tr>
      <w:tr w14:paraId="4878A3E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95" w:type="dxa"/>
            <w:vMerge w:val="continue"/>
            <w:noWrap w:val="0"/>
            <w:vAlign w:val="center"/>
          </w:tcPr>
          <w:p w14:paraId="07F743C3">
            <w:pPr>
              <w:pStyle w:val="42"/>
              <w:spacing w:beforeLines="0" w:afterLines="0" w:line="240" w:lineRule="auto"/>
              <w:jc w:val="center"/>
              <w:rPr>
                <w:rFonts w:hint="default" w:ascii="Times New Roman" w:hAnsi="Times New Roman" w:eastAsia="宋体" w:cs="Times New Roman"/>
                <w:snapToGrid w:val="0"/>
                <w:color w:val="auto"/>
                <w:kern w:val="21"/>
                <w:sz w:val="21"/>
                <w:szCs w:val="21"/>
                <w:u w:val="none" w:color="auto"/>
              </w:rPr>
            </w:pPr>
          </w:p>
        </w:tc>
        <w:tc>
          <w:tcPr>
            <w:tcW w:w="2084" w:type="dxa"/>
            <w:noWrap w:val="0"/>
            <w:vAlign w:val="center"/>
          </w:tcPr>
          <w:p w14:paraId="63D04ABC">
            <w:pPr>
              <w:keepNext w:val="0"/>
              <w:keepLines w:val="0"/>
              <w:widowControl/>
              <w:suppressLineNumbers w:val="0"/>
              <w:jc w:val="center"/>
              <w:textAlignment w:val="center"/>
              <w:rPr>
                <w:rFonts w:hint="default" w:ascii="Times New Roman" w:hAnsi="Times New Roman" w:eastAsia="宋体" w:cs="Times New Roman"/>
                <w:snapToGrid w:val="0"/>
                <w:color w:val="auto"/>
                <w:kern w:val="21"/>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餐厨垃圾及废动植物油</w:t>
            </w:r>
          </w:p>
        </w:tc>
        <w:tc>
          <w:tcPr>
            <w:tcW w:w="1515" w:type="dxa"/>
            <w:noWrap w:val="0"/>
            <w:vAlign w:val="center"/>
          </w:tcPr>
          <w:p w14:paraId="15D1C3BB">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u w:val="none" w:color="auto"/>
                <w:lang w:val="en-US" w:eastAsia="zh-CN" w:bidi="ar-SA"/>
              </w:rPr>
            </w:pPr>
            <w:r>
              <w:rPr>
                <w:rFonts w:hint="default" w:ascii="Times New Roman" w:hAnsi="Times New Roman" w:eastAsia="宋体" w:cs="Times New Roman"/>
                <w:i w:val="0"/>
                <w:iCs w:val="0"/>
                <w:color w:val="auto"/>
                <w:kern w:val="0"/>
                <w:sz w:val="21"/>
                <w:szCs w:val="21"/>
                <w:u w:val="none" w:color="auto"/>
                <w:lang w:val="en-US" w:eastAsia="zh-CN" w:bidi="ar"/>
              </w:rPr>
              <w:t>19.7992</w:t>
            </w:r>
          </w:p>
        </w:tc>
        <w:tc>
          <w:tcPr>
            <w:tcW w:w="1391" w:type="dxa"/>
            <w:noWrap w:val="0"/>
            <w:vAlign w:val="center"/>
          </w:tcPr>
          <w:p w14:paraId="62812EDB">
            <w:pPr>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kern w:val="2"/>
                <w:sz w:val="21"/>
                <w:szCs w:val="21"/>
                <w:u w:val="none" w:color="auto"/>
                <w:lang w:val="en-US" w:eastAsia="zh-CN" w:bidi="ar-SA"/>
              </w:rPr>
              <w:t>/</w:t>
            </w:r>
          </w:p>
        </w:tc>
        <w:tc>
          <w:tcPr>
            <w:tcW w:w="1540" w:type="dxa"/>
            <w:noWrap w:val="0"/>
            <w:vAlign w:val="center"/>
          </w:tcPr>
          <w:p w14:paraId="29451372">
            <w:pPr>
              <w:jc w:val="center"/>
              <w:rPr>
                <w:rFonts w:hint="default" w:ascii="Times New Roman" w:hAnsi="Times New Roman" w:eastAsia="宋体" w:cs="Times New Roman"/>
                <w:snapToGrid w:val="0"/>
                <w:color w:val="auto"/>
                <w:kern w:val="21"/>
                <w:sz w:val="21"/>
                <w:szCs w:val="21"/>
                <w:u w:val="none" w:color="auto"/>
                <w:lang w:val="en-US" w:eastAsia="zh-CN"/>
              </w:rPr>
            </w:pPr>
            <w:r>
              <w:rPr>
                <w:rFonts w:hint="default" w:ascii="Times New Roman" w:hAnsi="Times New Roman" w:eastAsia="宋体" w:cs="Times New Roman"/>
                <w:snapToGrid w:val="0"/>
                <w:color w:val="auto"/>
                <w:kern w:val="21"/>
                <w:sz w:val="21"/>
                <w:szCs w:val="21"/>
                <w:u w:val="none" w:color="auto"/>
                <w:lang w:val="en-US" w:eastAsia="zh-CN"/>
              </w:rPr>
              <w:t>0</w:t>
            </w:r>
          </w:p>
        </w:tc>
        <w:tc>
          <w:tcPr>
            <w:tcW w:w="1540" w:type="dxa"/>
            <w:noWrap w:val="0"/>
            <w:vAlign w:val="center"/>
          </w:tcPr>
          <w:p w14:paraId="4C70BD4C">
            <w:pPr>
              <w:jc w:val="center"/>
              <w:rPr>
                <w:rFonts w:hint="default" w:ascii="Times New Roman" w:hAnsi="Times New Roman" w:eastAsia="宋体" w:cs="Times New Roman"/>
                <w:snapToGrid w:val="0"/>
                <w:color w:val="auto"/>
                <w:kern w:val="21"/>
                <w:sz w:val="21"/>
                <w:szCs w:val="21"/>
                <w:u w:val="none" w:color="auto"/>
                <w:lang w:val="en-US" w:eastAsia="zh-CN"/>
              </w:rPr>
            </w:pPr>
            <w:r>
              <w:rPr>
                <w:rFonts w:hint="default" w:ascii="Times New Roman" w:hAnsi="Times New Roman" w:eastAsia="宋体" w:cs="Times New Roman"/>
                <w:snapToGrid w:val="0"/>
                <w:color w:val="auto"/>
                <w:kern w:val="21"/>
                <w:sz w:val="21"/>
                <w:szCs w:val="21"/>
                <w:u w:val="none" w:color="auto"/>
                <w:lang w:val="en-US" w:eastAsia="zh-CN"/>
              </w:rPr>
              <w:t>0</w:t>
            </w:r>
          </w:p>
        </w:tc>
        <w:tc>
          <w:tcPr>
            <w:tcW w:w="1540" w:type="dxa"/>
            <w:noWrap w:val="0"/>
            <w:vAlign w:val="center"/>
          </w:tcPr>
          <w:p w14:paraId="73FA5A86">
            <w:pPr>
              <w:jc w:val="center"/>
              <w:rPr>
                <w:rFonts w:hint="default" w:ascii="Times New Roman" w:hAnsi="Times New Roman" w:eastAsia="宋体" w:cs="Times New Roman"/>
                <w:snapToGrid w:val="0"/>
                <w:color w:val="auto"/>
                <w:kern w:val="21"/>
                <w:sz w:val="21"/>
                <w:szCs w:val="21"/>
                <w:u w:val="none" w:color="auto"/>
              </w:rPr>
            </w:pPr>
            <w:r>
              <w:rPr>
                <w:rFonts w:hint="default" w:ascii="Times New Roman" w:hAnsi="Times New Roman" w:eastAsia="宋体" w:cs="Times New Roman"/>
                <w:snapToGrid w:val="0"/>
                <w:color w:val="auto"/>
                <w:kern w:val="21"/>
                <w:sz w:val="21"/>
                <w:szCs w:val="21"/>
                <w:highlight w:val="none"/>
                <w:u w:val="none" w:color="auto"/>
                <w:lang w:val="en-US" w:eastAsia="zh-CN"/>
              </w:rPr>
              <w:t>0</w:t>
            </w:r>
          </w:p>
        </w:tc>
        <w:tc>
          <w:tcPr>
            <w:tcW w:w="1540" w:type="dxa"/>
            <w:noWrap w:val="0"/>
            <w:vAlign w:val="center"/>
          </w:tcPr>
          <w:p w14:paraId="373C73B5">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u w:val="none" w:color="auto"/>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19.7992</w:t>
            </w:r>
          </w:p>
        </w:tc>
        <w:tc>
          <w:tcPr>
            <w:tcW w:w="1543" w:type="dxa"/>
            <w:shd w:val="clear" w:color="auto" w:fill="auto"/>
            <w:noWrap w:val="0"/>
            <w:vAlign w:val="center"/>
          </w:tcPr>
          <w:p w14:paraId="21E4D22F">
            <w:pPr>
              <w:jc w:val="center"/>
              <w:rPr>
                <w:rFonts w:hint="default" w:ascii="Times New Roman" w:hAnsi="Times New Roman" w:eastAsia="宋体" w:cs="Times New Roman"/>
                <w:snapToGrid w:val="0"/>
                <w:color w:val="auto"/>
                <w:kern w:val="21"/>
                <w:sz w:val="21"/>
                <w:szCs w:val="21"/>
                <w:u w:val="none" w:color="auto"/>
                <w:lang w:val="en-US" w:eastAsia="zh-CN" w:bidi="ar-SA"/>
              </w:rPr>
            </w:pPr>
            <w:r>
              <w:rPr>
                <w:rFonts w:hint="default" w:ascii="Times New Roman" w:hAnsi="Times New Roman" w:eastAsia="宋体" w:cs="Times New Roman"/>
                <w:snapToGrid w:val="0"/>
                <w:color w:val="auto"/>
                <w:kern w:val="21"/>
                <w:sz w:val="21"/>
                <w:szCs w:val="21"/>
                <w:u w:val="none" w:color="auto"/>
                <w:lang w:val="en-US" w:eastAsia="zh-CN"/>
              </w:rPr>
              <w:t>0</w:t>
            </w:r>
          </w:p>
        </w:tc>
      </w:tr>
      <w:tr w14:paraId="6983464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95" w:type="dxa"/>
            <w:vMerge w:val="continue"/>
            <w:noWrap w:val="0"/>
            <w:vAlign w:val="center"/>
          </w:tcPr>
          <w:p w14:paraId="52F74A53">
            <w:pPr>
              <w:pStyle w:val="42"/>
              <w:spacing w:beforeLines="0" w:afterLines="0" w:line="240" w:lineRule="auto"/>
              <w:jc w:val="center"/>
              <w:rPr>
                <w:rFonts w:hint="default" w:ascii="Times New Roman" w:hAnsi="Times New Roman" w:eastAsia="宋体" w:cs="Times New Roman"/>
                <w:snapToGrid w:val="0"/>
                <w:color w:val="auto"/>
                <w:kern w:val="21"/>
                <w:sz w:val="21"/>
                <w:szCs w:val="21"/>
                <w:u w:val="none" w:color="auto"/>
              </w:rPr>
            </w:pPr>
          </w:p>
        </w:tc>
        <w:tc>
          <w:tcPr>
            <w:tcW w:w="2084" w:type="dxa"/>
            <w:noWrap w:val="0"/>
            <w:vAlign w:val="center"/>
          </w:tcPr>
          <w:p w14:paraId="78E12DB1">
            <w:pPr>
              <w:keepNext w:val="0"/>
              <w:keepLines w:val="0"/>
              <w:widowControl/>
              <w:suppressLineNumbers w:val="0"/>
              <w:jc w:val="center"/>
              <w:textAlignment w:val="center"/>
              <w:rPr>
                <w:rFonts w:hint="default" w:ascii="Times New Roman" w:hAnsi="Times New Roman" w:eastAsia="宋体" w:cs="Times New Roman"/>
                <w:snapToGrid w:val="0"/>
                <w:color w:val="auto"/>
                <w:kern w:val="21"/>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废催化剂（铁触媒）</w:t>
            </w:r>
          </w:p>
        </w:tc>
        <w:tc>
          <w:tcPr>
            <w:tcW w:w="1515" w:type="dxa"/>
            <w:noWrap w:val="0"/>
            <w:vAlign w:val="center"/>
          </w:tcPr>
          <w:p w14:paraId="5B7AF531">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u w:val="none" w:color="auto"/>
                <w:lang w:val="en-US" w:eastAsia="zh-CN" w:bidi="ar-SA"/>
              </w:rPr>
            </w:pPr>
            <w:r>
              <w:rPr>
                <w:rFonts w:hint="default" w:ascii="Times New Roman" w:hAnsi="Times New Roman" w:eastAsia="宋体" w:cs="Times New Roman"/>
                <w:i w:val="0"/>
                <w:iCs w:val="0"/>
                <w:color w:val="auto"/>
                <w:kern w:val="0"/>
                <w:sz w:val="21"/>
                <w:szCs w:val="21"/>
                <w:u w:val="none" w:color="auto"/>
                <w:lang w:val="en-US" w:eastAsia="zh-CN" w:bidi="ar"/>
              </w:rPr>
              <w:t>0.5</w:t>
            </w:r>
          </w:p>
        </w:tc>
        <w:tc>
          <w:tcPr>
            <w:tcW w:w="1391" w:type="dxa"/>
            <w:noWrap w:val="0"/>
            <w:vAlign w:val="center"/>
          </w:tcPr>
          <w:p w14:paraId="25FE03CD">
            <w:pPr>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kern w:val="2"/>
                <w:sz w:val="21"/>
                <w:szCs w:val="21"/>
                <w:u w:val="none" w:color="auto"/>
                <w:lang w:val="en-US" w:eastAsia="zh-CN" w:bidi="ar-SA"/>
              </w:rPr>
              <w:t>/</w:t>
            </w:r>
          </w:p>
        </w:tc>
        <w:tc>
          <w:tcPr>
            <w:tcW w:w="1540" w:type="dxa"/>
            <w:noWrap w:val="0"/>
            <w:vAlign w:val="center"/>
          </w:tcPr>
          <w:p w14:paraId="7D334BD2">
            <w:pPr>
              <w:jc w:val="center"/>
              <w:rPr>
                <w:rFonts w:hint="default" w:ascii="Times New Roman" w:hAnsi="Times New Roman" w:eastAsia="宋体" w:cs="Times New Roman"/>
                <w:snapToGrid w:val="0"/>
                <w:color w:val="auto"/>
                <w:kern w:val="21"/>
                <w:sz w:val="21"/>
                <w:szCs w:val="21"/>
                <w:u w:val="none" w:color="auto"/>
                <w:lang w:val="en-US" w:eastAsia="zh-CN"/>
              </w:rPr>
            </w:pPr>
            <w:r>
              <w:rPr>
                <w:rFonts w:hint="default" w:ascii="Times New Roman" w:hAnsi="Times New Roman" w:eastAsia="宋体" w:cs="Times New Roman"/>
                <w:snapToGrid w:val="0"/>
                <w:color w:val="auto"/>
                <w:kern w:val="21"/>
                <w:sz w:val="21"/>
                <w:szCs w:val="21"/>
                <w:u w:val="none" w:color="auto"/>
                <w:lang w:val="en-US" w:eastAsia="zh-CN"/>
              </w:rPr>
              <w:t>0</w:t>
            </w:r>
          </w:p>
        </w:tc>
        <w:tc>
          <w:tcPr>
            <w:tcW w:w="1540" w:type="dxa"/>
            <w:noWrap w:val="0"/>
            <w:vAlign w:val="center"/>
          </w:tcPr>
          <w:p w14:paraId="77472DF8">
            <w:pPr>
              <w:jc w:val="center"/>
              <w:rPr>
                <w:rFonts w:hint="default" w:ascii="Times New Roman" w:hAnsi="Times New Roman" w:eastAsia="宋体" w:cs="Times New Roman"/>
                <w:snapToGrid w:val="0"/>
                <w:color w:val="auto"/>
                <w:kern w:val="21"/>
                <w:sz w:val="21"/>
                <w:szCs w:val="21"/>
                <w:u w:val="none" w:color="auto"/>
                <w:lang w:val="en-US" w:eastAsia="zh-CN"/>
              </w:rPr>
            </w:pPr>
            <w:r>
              <w:rPr>
                <w:rFonts w:hint="default" w:ascii="Times New Roman" w:hAnsi="Times New Roman" w:eastAsia="宋体" w:cs="Times New Roman"/>
                <w:snapToGrid w:val="0"/>
                <w:color w:val="auto"/>
                <w:kern w:val="21"/>
                <w:sz w:val="21"/>
                <w:szCs w:val="21"/>
                <w:u w:val="none" w:color="auto"/>
                <w:lang w:val="en-US" w:eastAsia="zh-CN"/>
              </w:rPr>
              <w:t>0</w:t>
            </w:r>
          </w:p>
        </w:tc>
        <w:tc>
          <w:tcPr>
            <w:tcW w:w="1540" w:type="dxa"/>
            <w:noWrap w:val="0"/>
            <w:vAlign w:val="center"/>
          </w:tcPr>
          <w:p w14:paraId="0C288516">
            <w:pPr>
              <w:jc w:val="center"/>
              <w:rPr>
                <w:rFonts w:hint="default" w:ascii="Times New Roman" w:hAnsi="Times New Roman" w:eastAsia="宋体" w:cs="Times New Roman"/>
                <w:snapToGrid w:val="0"/>
                <w:color w:val="auto"/>
                <w:kern w:val="21"/>
                <w:sz w:val="21"/>
                <w:szCs w:val="21"/>
                <w:u w:val="none" w:color="auto"/>
              </w:rPr>
            </w:pPr>
            <w:r>
              <w:rPr>
                <w:rFonts w:hint="default" w:ascii="Times New Roman" w:hAnsi="Times New Roman" w:eastAsia="宋体" w:cs="Times New Roman"/>
                <w:snapToGrid w:val="0"/>
                <w:color w:val="auto"/>
                <w:kern w:val="21"/>
                <w:sz w:val="21"/>
                <w:szCs w:val="21"/>
                <w:highlight w:val="none"/>
                <w:u w:val="none" w:color="auto"/>
                <w:lang w:val="en-US" w:eastAsia="zh-CN"/>
              </w:rPr>
              <w:t>0</w:t>
            </w:r>
          </w:p>
        </w:tc>
        <w:tc>
          <w:tcPr>
            <w:tcW w:w="1540" w:type="dxa"/>
            <w:noWrap w:val="0"/>
            <w:vAlign w:val="center"/>
          </w:tcPr>
          <w:p w14:paraId="59563AFE">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u w:val="none" w:color="auto"/>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0.5</w:t>
            </w:r>
          </w:p>
        </w:tc>
        <w:tc>
          <w:tcPr>
            <w:tcW w:w="1543" w:type="dxa"/>
            <w:shd w:val="clear" w:color="auto" w:fill="auto"/>
            <w:noWrap w:val="0"/>
            <w:vAlign w:val="center"/>
          </w:tcPr>
          <w:p w14:paraId="64899D57">
            <w:pPr>
              <w:jc w:val="center"/>
              <w:rPr>
                <w:rFonts w:hint="default" w:ascii="Times New Roman" w:hAnsi="Times New Roman" w:eastAsia="宋体" w:cs="Times New Roman"/>
                <w:snapToGrid w:val="0"/>
                <w:color w:val="auto"/>
                <w:kern w:val="21"/>
                <w:sz w:val="21"/>
                <w:szCs w:val="21"/>
                <w:u w:val="none" w:color="auto"/>
                <w:lang w:val="en-US" w:eastAsia="zh-CN" w:bidi="ar-SA"/>
              </w:rPr>
            </w:pPr>
            <w:r>
              <w:rPr>
                <w:rFonts w:hint="default" w:ascii="Times New Roman" w:hAnsi="Times New Roman" w:eastAsia="宋体" w:cs="Times New Roman"/>
                <w:snapToGrid w:val="0"/>
                <w:color w:val="auto"/>
                <w:kern w:val="21"/>
                <w:sz w:val="21"/>
                <w:szCs w:val="21"/>
                <w:u w:val="none" w:color="auto"/>
                <w:lang w:val="en-US" w:eastAsia="zh-CN"/>
              </w:rPr>
              <w:t>0</w:t>
            </w:r>
          </w:p>
        </w:tc>
      </w:tr>
      <w:tr w14:paraId="4F29B61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95" w:type="dxa"/>
            <w:vMerge w:val="continue"/>
            <w:noWrap w:val="0"/>
            <w:vAlign w:val="center"/>
          </w:tcPr>
          <w:p w14:paraId="569C6F00">
            <w:pPr>
              <w:pStyle w:val="42"/>
              <w:spacing w:beforeLines="0" w:afterLines="0" w:line="240" w:lineRule="auto"/>
              <w:jc w:val="center"/>
              <w:rPr>
                <w:rFonts w:hint="default" w:ascii="Times New Roman" w:hAnsi="Times New Roman" w:eastAsia="宋体" w:cs="Times New Roman"/>
                <w:snapToGrid w:val="0"/>
                <w:color w:val="auto"/>
                <w:kern w:val="21"/>
                <w:sz w:val="21"/>
                <w:szCs w:val="21"/>
                <w:u w:val="none" w:color="auto"/>
              </w:rPr>
            </w:pPr>
          </w:p>
        </w:tc>
        <w:tc>
          <w:tcPr>
            <w:tcW w:w="2084" w:type="dxa"/>
            <w:noWrap w:val="0"/>
            <w:vAlign w:val="center"/>
          </w:tcPr>
          <w:p w14:paraId="39C97891">
            <w:pPr>
              <w:keepNext w:val="0"/>
              <w:keepLines w:val="0"/>
              <w:widowControl/>
              <w:suppressLineNumbers w:val="0"/>
              <w:jc w:val="center"/>
              <w:textAlignment w:val="center"/>
              <w:rPr>
                <w:rFonts w:hint="default" w:ascii="Times New Roman" w:hAnsi="Times New Roman" w:eastAsia="宋体" w:cs="Times New Roman"/>
                <w:snapToGrid w:val="0"/>
                <w:color w:val="auto"/>
                <w:kern w:val="21"/>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废钢丸、废砂</w:t>
            </w:r>
          </w:p>
        </w:tc>
        <w:tc>
          <w:tcPr>
            <w:tcW w:w="1515" w:type="dxa"/>
            <w:noWrap w:val="0"/>
            <w:vAlign w:val="center"/>
          </w:tcPr>
          <w:p w14:paraId="2EA1D700">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u w:val="none" w:color="auto"/>
                <w:lang w:val="en-US" w:eastAsia="zh-CN" w:bidi="ar-SA"/>
              </w:rPr>
            </w:pPr>
            <w:r>
              <w:rPr>
                <w:rFonts w:hint="default" w:ascii="Times New Roman" w:hAnsi="Times New Roman" w:eastAsia="宋体" w:cs="Times New Roman"/>
                <w:i w:val="0"/>
                <w:iCs w:val="0"/>
                <w:color w:val="auto"/>
                <w:kern w:val="0"/>
                <w:sz w:val="21"/>
                <w:szCs w:val="21"/>
                <w:u w:val="none" w:color="auto"/>
                <w:lang w:val="en-US" w:eastAsia="zh-CN" w:bidi="ar"/>
              </w:rPr>
              <w:t>15</w:t>
            </w:r>
          </w:p>
        </w:tc>
        <w:tc>
          <w:tcPr>
            <w:tcW w:w="1391" w:type="dxa"/>
            <w:noWrap w:val="0"/>
            <w:vAlign w:val="center"/>
          </w:tcPr>
          <w:p w14:paraId="76712AE9">
            <w:pPr>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kern w:val="2"/>
                <w:sz w:val="21"/>
                <w:szCs w:val="21"/>
                <w:u w:val="none" w:color="auto"/>
                <w:lang w:val="en-US" w:eastAsia="zh-CN" w:bidi="ar-SA"/>
              </w:rPr>
              <w:t>/</w:t>
            </w:r>
          </w:p>
        </w:tc>
        <w:tc>
          <w:tcPr>
            <w:tcW w:w="1540" w:type="dxa"/>
            <w:noWrap w:val="0"/>
            <w:vAlign w:val="center"/>
          </w:tcPr>
          <w:p w14:paraId="338035F1">
            <w:pPr>
              <w:jc w:val="center"/>
              <w:rPr>
                <w:rFonts w:hint="default" w:ascii="Times New Roman" w:hAnsi="Times New Roman" w:eastAsia="宋体" w:cs="Times New Roman"/>
                <w:snapToGrid w:val="0"/>
                <w:color w:val="auto"/>
                <w:kern w:val="21"/>
                <w:sz w:val="21"/>
                <w:szCs w:val="21"/>
                <w:u w:val="none" w:color="auto"/>
                <w:lang w:val="en-US" w:eastAsia="zh-CN"/>
              </w:rPr>
            </w:pPr>
            <w:r>
              <w:rPr>
                <w:rFonts w:hint="default" w:ascii="Times New Roman" w:hAnsi="Times New Roman" w:eastAsia="宋体" w:cs="Times New Roman"/>
                <w:snapToGrid w:val="0"/>
                <w:color w:val="auto"/>
                <w:kern w:val="21"/>
                <w:sz w:val="21"/>
                <w:szCs w:val="21"/>
                <w:u w:val="none" w:color="auto"/>
                <w:lang w:val="en-US" w:eastAsia="zh-CN"/>
              </w:rPr>
              <w:t>0</w:t>
            </w:r>
          </w:p>
        </w:tc>
        <w:tc>
          <w:tcPr>
            <w:tcW w:w="1540" w:type="dxa"/>
            <w:noWrap w:val="0"/>
            <w:vAlign w:val="center"/>
          </w:tcPr>
          <w:p w14:paraId="7B38447D">
            <w:pPr>
              <w:jc w:val="center"/>
              <w:rPr>
                <w:rFonts w:hint="default" w:ascii="Times New Roman" w:hAnsi="Times New Roman" w:eastAsia="宋体" w:cs="Times New Roman"/>
                <w:snapToGrid w:val="0"/>
                <w:color w:val="auto"/>
                <w:kern w:val="21"/>
                <w:sz w:val="21"/>
                <w:szCs w:val="21"/>
                <w:u w:val="none" w:color="auto"/>
                <w:lang w:val="en-US" w:eastAsia="zh-CN"/>
              </w:rPr>
            </w:pPr>
            <w:r>
              <w:rPr>
                <w:rFonts w:hint="default" w:ascii="Times New Roman" w:hAnsi="Times New Roman" w:eastAsia="宋体" w:cs="Times New Roman"/>
                <w:snapToGrid w:val="0"/>
                <w:color w:val="auto"/>
                <w:kern w:val="21"/>
                <w:sz w:val="21"/>
                <w:szCs w:val="21"/>
                <w:u w:val="none" w:color="auto"/>
                <w:lang w:val="en-US" w:eastAsia="zh-CN"/>
              </w:rPr>
              <w:t>0</w:t>
            </w:r>
          </w:p>
        </w:tc>
        <w:tc>
          <w:tcPr>
            <w:tcW w:w="1540" w:type="dxa"/>
            <w:noWrap w:val="0"/>
            <w:vAlign w:val="center"/>
          </w:tcPr>
          <w:p w14:paraId="2DF2985D">
            <w:pPr>
              <w:jc w:val="center"/>
              <w:rPr>
                <w:rFonts w:hint="default" w:ascii="Times New Roman" w:hAnsi="Times New Roman" w:eastAsia="宋体" w:cs="Times New Roman"/>
                <w:snapToGrid w:val="0"/>
                <w:color w:val="auto"/>
                <w:kern w:val="21"/>
                <w:sz w:val="21"/>
                <w:szCs w:val="21"/>
                <w:u w:val="none" w:color="auto"/>
              </w:rPr>
            </w:pPr>
            <w:r>
              <w:rPr>
                <w:rFonts w:hint="default" w:ascii="Times New Roman" w:hAnsi="Times New Roman" w:eastAsia="宋体" w:cs="Times New Roman"/>
                <w:snapToGrid w:val="0"/>
                <w:color w:val="auto"/>
                <w:kern w:val="21"/>
                <w:sz w:val="21"/>
                <w:szCs w:val="21"/>
                <w:highlight w:val="none"/>
                <w:u w:val="none" w:color="auto"/>
                <w:lang w:val="en-US" w:eastAsia="zh-CN"/>
              </w:rPr>
              <w:t>0</w:t>
            </w:r>
          </w:p>
        </w:tc>
        <w:tc>
          <w:tcPr>
            <w:tcW w:w="1540" w:type="dxa"/>
            <w:noWrap w:val="0"/>
            <w:vAlign w:val="center"/>
          </w:tcPr>
          <w:p w14:paraId="443680DB">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u w:val="none" w:color="auto"/>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15</w:t>
            </w:r>
          </w:p>
        </w:tc>
        <w:tc>
          <w:tcPr>
            <w:tcW w:w="1543" w:type="dxa"/>
            <w:shd w:val="clear" w:color="auto" w:fill="auto"/>
            <w:noWrap w:val="0"/>
            <w:vAlign w:val="center"/>
          </w:tcPr>
          <w:p w14:paraId="554F7C19">
            <w:pPr>
              <w:jc w:val="center"/>
              <w:rPr>
                <w:rFonts w:hint="default" w:ascii="Times New Roman" w:hAnsi="Times New Roman" w:eastAsia="宋体" w:cs="Times New Roman"/>
                <w:snapToGrid w:val="0"/>
                <w:color w:val="auto"/>
                <w:kern w:val="21"/>
                <w:sz w:val="21"/>
                <w:szCs w:val="21"/>
                <w:u w:val="none" w:color="auto"/>
                <w:lang w:val="en-US" w:eastAsia="zh-CN" w:bidi="ar-SA"/>
              </w:rPr>
            </w:pPr>
            <w:r>
              <w:rPr>
                <w:rFonts w:hint="default" w:ascii="Times New Roman" w:hAnsi="Times New Roman" w:eastAsia="宋体" w:cs="Times New Roman"/>
                <w:snapToGrid w:val="0"/>
                <w:color w:val="auto"/>
                <w:kern w:val="21"/>
                <w:sz w:val="21"/>
                <w:szCs w:val="21"/>
                <w:u w:val="none" w:color="auto"/>
                <w:lang w:val="en-US" w:eastAsia="zh-CN"/>
              </w:rPr>
              <w:t>0</w:t>
            </w:r>
          </w:p>
        </w:tc>
      </w:tr>
      <w:tr w14:paraId="5E06175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95" w:type="dxa"/>
            <w:vMerge w:val="continue"/>
            <w:noWrap w:val="0"/>
            <w:vAlign w:val="center"/>
          </w:tcPr>
          <w:p w14:paraId="06464658">
            <w:pPr>
              <w:pStyle w:val="42"/>
              <w:spacing w:beforeLines="0" w:afterLines="0" w:line="240" w:lineRule="auto"/>
              <w:jc w:val="center"/>
              <w:rPr>
                <w:rFonts w:hint="default" w:ascii="Times New Roman" w:hAnsi="Times New Roman" w:eastAsia="宋体" w:cs="Times New Roman"/>
                <w:snapToGrid w:val="0"/>
                <w:color w:val="auto"/>
                <w:kern w:val="21"/>
                <w:sz w:val="21"/>
                <w:szCs w:val="21"/>
                <w:u w:val="none" w:color="auto"/>
              </w:rPr>
            </w:pPr>
          </w:p>
        </w:tc>
        <w:tc>
          <w:tcPr>
            <w:tcW w:w="2084" w:type="dxa"/>
            <w:noWrap w:val="0"/>
            <w:vAlign w:val="center"/>
          </w:tcPr>
          <w:p w14:paraId="686D9F82">
            <w:pPr>
              <w:keepNext w:val="0"/>
              <w:keepLines w:val="0"/>
              <w:widowControl/>
              <w:suppressLineNumbers w:val="0"/>
              <w:jc w:val="center"/>
              <w:textAlignment w:val="center"/>
              <w:rPr>
                <w:rFonts w:hint="default" w:ascii="Times New Roman" w:hAnsi="Times New Roman" w:eastAsia="宋体" w:cs="Times New Roman"/>
                <w:snapToGrid w:val="0"/>
                <w:color w:val="auto"/>
                <w:kern w:val="21"/>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泥饼</w:t>
            </w:r>
          </w:p>
        </w:tc>
        <w:tc>
          <w:tcPr>
            <w:tcW w:w="1515" w:type="dxa"/>
            <w:noWrap w:val="0"/>
            <w:vAlign w:val="center"/>
          </w:tcPr>
          <w:p w14:paraId="524F0011">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u w:val="none" w:color="auto"/>
                <w:lang w:val="en-US" w:eastAsia="zh-CN" w:bidi="ar-SA"/>
              </w:rPr>
            </w:pPr>
            <w:r>
              <w:rPr>
                <w:rFonts w:hint="default" w:ascii="Times New Roman" w:hAnsi="Times New Roman" w:eastAsia="宋体" w:cs="Times New Roman"/>
                <w:i w:val="0"/>
                <w:iCs w:val="0"/>
                <w:color w:val="auto"/>
                <w:kern w:val="0"/>
                <w:sz w:val="21"/>
                <w:szCs w:val="21"/>
                <w:u w:val="none" w:color="auto"/>
                <w:lang w:val="en-US" w:eastAsia="zh-CN" w:bidi="ar"/>
              </w:rPr>
              <w:t>62.658</w:t>
            </w:r>
          </w:p>
        </w:tc>
        <w:tc>
          <w:tcPr>
            <w:tcW w:w="1391" w:type="dxa"/>
            <w:noWrap w:val="0"/>
            <w:vAlign w:val="center"/>
          </w:tcPr>
          <w:p w14:paraId="140B64C5">
            <w:pPr>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kern w:val="2"/>
                <w:sz w:val="21"/>
                <w:szCs w:val="21"/>
                <w:u w:val="none" w:color="auto"/>
                <w:lang w:val="en-US" w:eastAsia="zh-CN" w:bidi="ar-SA"/>
              </w:rPr>
              <w:t>/</w:t>
            </w:r>
          </w:p>
        </w:tc>
        <w:tc>
          <w:tcPr>
            <w:tcW w:w="1540" w:type="dxa"/>
            <w:noWrap w:val="0"/>
            <w:vAlign w:val="center"/>
          </w:tcPr>
          <w:p w14:paraId="6AAFEA42">
            <w:pPr>
              <w:jc w:val="center"/>
              <w:rPr>
                <w:rFonts w:hint="default" w:ascii="Times New Roman" w:hAnsi="Times New Roman" w:eastAsia="宋体" w:cs="Times New Roman"/>
                <w:snapToGrid w:val="0"/>
                <w:color w:val="auto"/>
                <w:kern w:val="21"/>
                <w:sz w:val="21"/>
                <w:szCs w:val="21"/>
                <w:u w:val="none" w:color="auto"/>
                <w:lang w:val="en-US" w:eastAsia="zh-CN"/>
              </w:rPr>
            </w:pPr>
            <w:r>
              <w:rPr>
                <w:rFonts w:hint="default" w:ascii="Times New Roman" w:hAnsi="Times New Roman" w:eastAsia="宋体" w:cs="Times New Roman"/>
                <w:snapToGrid w:val="0"/>
                <w:color w:val="auto"/>
                <w:kern w:val="21"/>
                <w:sz w:val="21"/>
                <w:szCs w:val="21"/>
                <w:u w:val="none" w:color="auto"/>
                <w:lang w:val="en-US" w:eastAsia="zh-CN"/>
              </w:rPr>
              <w:t>0</w:t>
            </w:r>
          </w:p>
        </w:tc>
        <w:tc>
          <w:tcPr>
            <w:tcW w:w="1540" w:type="dxa"/>
            <w:noWrap w:val="0"/>
            <w:vAlign w:val="center"/>
          </w:tcPr>
          <w:p w14:paraId="4DC7F1CC">
            <w:pPr>
              <w:jc w:val="center"/>
              <w:rPr>
                <w:rFonts w:hint="default" w:ascii="Times New Roman" w:hAnsi="Times New Roman" w:eastAsia="宋体" w:cs="Times New Roman"/>
                <w:snapToGrid w:val="0"/>
                <w:color w:val="auto"/>
                <w:kern w:val="21"/>
                <w:sz w:val="21"/>
                <w:szCs w:val="21"/>
                <w:u w:val="none" w:color="auto"/>
                <w:lang w:val="en-US" w:eastAsia="zh-CN"/>
              </w:rPr>
            </w:pPr>
            <w:r>
              <w:rPr>
                <w:rFonts w:hint="default" w:ascii="Times New Roman" w:hAnsi="Times New Roman" w:eastAsia="宋体" w:cs="Times New Roman"/>
                <w:snapToGrid w:val="0"/>
                <w:color w:val="auto"/>
                <w:kern w:val="21"/>
                <w:sz w:val="21"/>
                <w:szCs w:val="21"/>
                <w:u w:val="none" w:color="auto"/>
                <w:lang w:val="en-US" w:eastAsia="zh-CN"/>
              </w:rPr>
              <w:t>0</w:t>
            </w:r>
          </w:p>
        </w:tc>
        <w:tc>
          <w:tcPr>
            <w:tcW w:w="1540" w:type="dxa"/>
            <w:noWrap w:val="0"/>
            <w:vAlign w:val="center"/>
          </w:tcPr>
          <w:p w14:paraId="484B25EB">
            <w:pPr>
              <w:jc w:val="center"/>
              <w:rPr>
                <w:rFonts w:hint="default" w:ascii="Times New Roman" w:hAnsi="Times New Roman" w:eastAsia="宋体" w:cs="Times New Roman"/>
                <w:snapToGrid w:val="0"/>
                <w:color w:val="auto"/>
                <w:kern w:val="21"/>
                <w:sz w:val="21"/>
                <w:szCs w:val="21"/>
                <w:u w:val="none" w:color="auto"/>
              </w:rPr>
            </w:pPr>
            <w:r>
              <w:rPr>
                <w:rFonts w:hint="default" w:ascii="Times New Roman" w:hAnsi="Times New Roman" w:eastAsia="宋体" w:cs="Times New Roman"/>
                <w:snapToGrid w:val="0"/>
                <w:color w:val="auto"/>
                <w:kern w:val="21"/>
                <w:sz w:val="21"/>
                <w:szCs w:val="21"/>
                <w:highlight w:val="none"/>
                <w:u w:val="none" w:color="auto"/>
                <w:lang w:val="en-US" w:eastAsia="zh-CN"/>
              </w:rPr>
              <w:t>0</w:t>
            </w:r>
          </w:p>
        </w:tc>
        <w:tc>
          <w:tcPr>
            <w:tcW w:w="1540" w:type="dxa"/>
            <w:noWrap w:val="0"/>
            <w:vAlign w:val="center"/>
          </w:tcPr>
          <w:p w14:paraId="2D84218E">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u w:val="none" w:color="auto"/>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62.658</w:t>
            </w:r>
          </w:p>
        </w:tc>
        <w:tc>
          <w:tcPr>
            <w:tcW w:w="1543" w:type="dxa"/>
            <w:shd w:val="clear" w:color="auto" w:fill="auto"/>
            <w:noWrap w:val="0"/>
            <w:vAlign w:val="center"/>
          </w:tcPr>
          <w:p w14:paraId="4619A9F2">
            <w:pPr>
              <w:jc w:val="center"/>
              <w:rPr>
                <w:rFonts w:hint="default" w:ascii="Times New Roman" w:hAnsi="Times New Roman" w:eastAsia="宋体" w:cs="Times New Roman"/>
                <w:snapToGrid w:val="0"/>
                <w:color w:val="auto"/>
                <w:kern w:val="21"/>
                <w:sz w:val="21"/>
                <w:szCs w:val="21"/>
                <w:u w:val="none" w:color="auto"/>
                <w:lang w:val="en-US" w:eastAsia="zh-CN" w:bidi="ar-SA"/>
              </w:rPr>
            </w:pPr>
            <w:r>
              <w:rPr>
                <w:rFonts w:hint="default" w:ascii="Times New Roman" w:hAnsi="Times New Roman" w:eastAsia="宋体" w:cs="Times New Roman"/>
                <w:snapToGrid w:val="0"/>
                <w:color w:val="auto"/>
                <w:kern w:val="21"/>
                <w:sz w:val="21"/>
                <w:szCs w:val="21"/>
                <w:u w:val="none" w:color="auto"/>
                <w:lang w:val="en-US" w:eastAsia="zh-CN"/>
              </w:rPr>
              <w:t>0</w:t>
            </w:r>
          </w:p>
        </w:tc>
      </w:tr>
      <w:tr w14:paraId="76EA5AD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95" w:type="dxa"/>
            <w:vMerge w:val="continue"/>
            <w:noWrap w:val="0"/>
            <w:vAlign w:val="center"/>
          </w:tcPr>
          <w:p w14:paraId="7E4190E3">
            <w:pPr>
              <w:pStyle w:val="42"/>
              <w:spacing w:beforeLines="0" w:afterLines="0" w:line="240" w:lineRule="auto"/>
              <w:jc w:val="center"/>
              <w:rPr>
                <w:rFonts w:hint="default" w:ascii="Times New Roman" w:hAnsi="Times New Roman" w:eastAsia="宋体" w:cs="Times New Roman"/>
                <w:snapToGrid w:val="0"/>
                <w:color w:val="auto"/>
                <w:kern w:val="21"/>
                <w:sz w:val="21"/>
                <w:szCs w:val="21"/>
                <w:u w:val="none" w:color="auto"/>
              </w:rPr>
            </w:pPr>
          </w:p>
        </w:tc>
        <w:tc>
          <w:tcPr>
            <w:tcW w:w="2084" w:type="dxa"/>
            <w:noWrap w:val="0"/>
            <w:vAlign w:val="center"/>
          </w:tcPr>
          <w:p w14:paraId="08913BE3">
            <w:pPr>
              <w:keepNext w:val="0"/>
              <w:keepLines w:val="0"/>
              <w:widowControl/>
              <w:suppressLineNumbers w:val="0"/>
              <w:jc w:val="center"/>
              <w:textAlignment w:val="center"/>
              <w:rPr>
                <w:rFonts w:hint="default" w:ascii="Times New Roman" w:hAnsi="Times New Roman" w:eastAsia="宋体" w:cs="Times New Roman"/>
                <w:snapToGrid w:val="0"/>
                <w:color w:val="auto"/>
                <w:kern w:val="21"/>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泥沙沉渣</w:t>
            </w:r>
          </w:p>
        </w:tc>
        <w:tc>
          <w:tcPr>
            <w:tcW w:w="1515" w:type="dxa"/>
            <w:noWrap w:val="0"/>
            <w:vAlign w:val="center"/>
          </w:tcPr>
          <w:p w14:paraId="6BCE9019">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u w:val="none" w:color="auto"/>
                <w:lang w:val="en-US" w:eastAsia="zh-CN" w:bidi="ar-SA"/>
              </w:rPr>
            </w:pPr>
            <w:r>
              <w:rPr>
                <w:rFonts w:hint="default" w:ascii="Times New Roman" w:hAnsi="Times New Roman" w:eastAsia="宋体" w:cs="Times New Roman"/>
                <w:i w:val="0"/>
                <w:iCs w:val="0"/>
                <w:color w:val="auto"/>
                <w:kern w:val="0"/>
                <w:sz w:val="21"/>
                <w:szCs w:val="21"/>
                <w:u w:val="none" w:color="auto"/>
                <w:lang w:val="en-US" w:eastAsia="zh-CN" w:bidi="ar"/>
              </w:rPr>
              <w:t>0.0444</w:t>
            </w:r>
          </w:p>
        </w:tc>
        <w:tc>
          <w:tcPr>
            <w:tcW w:w="1391" w:type="dxa"/>
            <w:noWrap w:val="0"/>
            <w:vAlign w:val="center"/>
          </w:tcPr>
          <w:p w14:paraId="2401E2FA">
            <w:pPr>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kern w:val="2"/>
                <w:sz w:val="21"/>
                <w:szCs w:val="21"/>
                <w:u w:val="none" w:color="auto"/>
                <w:lang w:val="en-US" w:eastAsia="zh-CN" w:bidi="ar-SA"/>
              </w:rPr>
              <w:t>/</w:t>
            </w:r>
          </w:p>
        </w:tc>
        <w:tc>
          <w:tcPr>
            <w:tcW w:w="1540" w:type="dxa"/>
            <w:noWrap w:val="0"/>
            <w:vAlign w:val="center"/>
          </w:tcPr>
          <w:p w14:paraId="44255EDE">
            <w:pPr>
              <w:jc w:val="center"/>
              <w:rPr>
                <w:rFonts w:hint="default" w:ascii="Times New Roman" w:hAnsi="Times New Roman" w:eastAsia="宋体" w:cs="Times New Roman"/>
                <w:snapToGrid w:val="0"/>
                <w:color w:val="auto"/>
                <w:kern w:val="21"/>
                <w:sz w:val="21"/>
                <w:szCs w:val="21"/>
                <w:u w:val="none" w:color="auto"/>
                <w:lang w:val="en-US" w:eastAsia="zh-CN"/>
              </w:rPr>
            </w:pPr>
            <w:r>
              <w:rPr>
                <w:rFonts w:hint="default" w:ascii="Times New Roman" w:hAnsi="Times New Roman" w:eastAsia="宋体" w:cs="Times New Roman"/>
                <w:snapToGrid w:val="0"/>
                <w:color w:val="auto"/>
                <w:kern w:val="21"/>
                <w:sz w:val="21"/>
                <w:szCs w:val="21"/>
                <w:u w:val="none" w:color="auto"/>
                <w:lang w:val="en-US" w:eastAsia="zh-CN"/>
              </w:rPr>
              <w:t>0</w:t>
            </w:r>
          </w:p>
        </w:tc>
        <w:tc>
          <w:tcPr>
            <w:tcW w:w="1540" w:type="dxa"/>
            <w:noWrap w:val="0"/>
            <w:vAlign w:val="center"/>
          </w:tcPr>
          <w:p w14:paraId="26928A62">
            <w:pPr>
              <w:jc w:val="center"/>
              <w:rPr>
                <w:rFonts w:hint="default" w:ascii="Times New Roman" w:hAnsi="Times New Roman" w:eastAsia="宋体" w:cs="Times New Roman"/>
                <w:snapToGrid w:val="0"/>
                <w:color w:val="auto"/>
                <w:kern w:val="21"/>
                <w:sz w:val="21"/>
                <w:szCs w:val="21"/>
                <w:u w:val="none" w:color="auto"/>
                <w:lang w:val="en-US" w:eastAsia="zh-CN"/>
              </w:rPr>
            </w:pPr>
            <w:r>
              <w:rPr>
                <w:rFonts w:hint="default" w:ascii="Times New Roman" w:hAnsi="Times New Roman" w:eastAsia="宋体" w:cs="Times New Roman"/>
                <w:snapToGrid w:val="0"/>
                <w:color w:val="auto"/>
                <w:kern w:val="21"/>
                <w:sz w:val="21"/>
                <w:szCs w:val="21"/>
                <w:u w:val="none" w:color="auto"/>
                <w:lang w:val="en-US" w:eastAsia="zh-CN"/>
              </w:rPr>
              <w:t>0</w:t>
            </w:r>
          </w:p>
        </w:tc>
        <w:tc>
          <w:tcPr>
            <w:tcW w:w="1540" w:type="dxa"/>
            <w:noWrap w:val="0"/>
            <w:vAlign w:val="center"/>
          </w:tcPr>
          <w:p w14:paraId="56B84C83">
            <w:pPr>
              <w:jc w:val="center"/>
              <w:rPr>
                <w:rFonts w:hint="default" w:ascii="Times New Roman" w:hAnsi="Times New Roman" w:eastAsia="宋体" w:cs="Times New Roman"/>
                <w:snapToGrid w:val="0"/>
                <w:color w:val="auto"/>
                <w:kern w:val="21"/>
                <w:sz w:val="21"/>
                <w:szCs w:val="21"/>
                <w:u w:val="none" w:color="auto"/>
              </w:rPr>
            </w:pPr>
            <w:r>
              <w:rPr>
                <w:rFonts w:hint="default" w:ascii="Times New Roman" w:hAnsi="Times New Roman" w:eastAsia="宋体" w:cs="Times New Roman"/>
                <w:snapToGrid w:val="0"/>
                <w:color w:val="auto"/>
                <w:kern w:val="21"/>
                <w:sz w:val="21"/>
                <w:szCs w:val="21"/>
                <w:highlight w:val="none"/>
                <w:u w:val="none" w:color="auto"/>
                <w:lang w:val="en-US" w:eastAsia="zh-CN"/>
              </w:rPr>
              <w:t>0</w:t>
            </w:r>
          </w:p>
        </w:tc>
        <w:tc>
          <w:tcPr>
            <w:tcW w:w="1540" w:type="dxa"/>
            <w:noWrap w:val="0"/>
            <w:vAlign w:val="center"/>
          </w:tcPr>
          <w:p w14:paraId="1D6FD4E6">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u w:val="none" w:color="auto"/>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0.0444</w:t>
            </w:r>
          </w:p>
        </w:tc>
        <w:tc>
          <w:tcPr>
            <w:tcW w:w="1543" w:type="dxa"/>
            <w:shd w:val="clear" w:color="auto" w:fill="auto"/>
            <w:noWrap w:val="0"/>
            <w:vAlign w:val="center"/>
          </w:tcPr>
          <w:p w14:paraId="7BFB6BAD">
            <w:pPr>
              <w:jc w:val="center"/>
              <w:rPr>
                <w:rFonts w:hint="default" w:ascii="Times New Roman" w:hAnsi="Times New Roman" w:eastAsia="宋体" w:cs="Times New Roman"/>
                <w:snapToGrid w:val="0"/>
                <w:color w:val="auto"/>
                <w:kern w:val="21"/>
                <w:sz w:val="21"/>
                <w:szCs w:val="21"/>
                <w:u w:val="none" w:color="auto"/>
                <w:lang w:val="en-US" w:eastAsia="zh-CN" w:bidi="ar-SA"/>
              </w:rPr>
            </w:pPr>
            <w:r>
              <w:rPr>
                <w:rFonts w:hint="default" w:ascii="Times New Roman" w:hAnsi="Times New Roman" w:eastAsia="宋体" w:cs="Times New Roman"/>
                <w:snapToGrid w:val="0"/>
                <w:color w:val="auto"/>
                <w:kern w:val="21"/>
                <w:sz w:val="21"/>
                <w:szCs w:val="21"/>
                <w:u w:val="none" w:color="auto"/>
                <w:lang w:val="en-US" w:eastAsia="zh-CN"/>
              </w:rPr>
              <w:t>0</w:t>
            </w:r>
          </w:p>
        </w:tc>
      </w:tr>
      <w:tr w14:paraId="6938BA4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95" w:type="dxa"/>
            <w:vMerge w:val="restart"/>
            <w:noWrap w:val="0"/>
            <w:vAlign w:val="center"/>
          </w:tcPr>
          <w:p w14:paraId="5953E5FF">
            <w:pPr>
              <w:pStyle w:val="42"/>
              <w:spacing w:beforeLines="0" w:afterLines="0" w:line="240" w:lineRule="auto"/>
              <w:jc w:val="center"/>
              <w:rPr>
                <w:rFonts w:hint="default" w:ascii="Times New Roman" w:hAnsi="Times New Roman" w:eastAsia="宋体" w:cs="Times New Roman"/>
                <w:snapToGrid w:val="0"/>
                <w:color w:val="auto"/>
                <w:kern w:val="21"/>
                <w:sz w:val="21"/>
                <w:szCs w:val="21"/>
                <w:u w:val="none" w:color="auto"/>
              </w:rPr>
            </w:pPr>
            <w:r>
              <w:rPr>
                <w:rFonts w:hint="default" w:ascii="Times New Roman" w:hAnsi="Times New Roman" w:eastAsia="宋体" w:cs="Times New Roman"/>
                <w:snapToGrid w:val="0"/>
                <w:color w:val="auto"/>
                <w:kern w:val="21"/>
                <w:sz w:val="21"/>
                <w:szCs w:val="21"/>
                <w:u w:val="none" w:color="auto"/>
              </w:rPr>
              <w:t>危险废物</w:t>
            </w:r>
          </w:p>
        </w:tc>
        <w:tc>
          <w:tcPr>
            <w:tcW w:w="2084" w:type="dxa"/>
            <w:shd w:val="clear" w:color="auto" w:fill="auto"/>
            <w:noWrap w:val="0"/>
            <w:vAlign w:val="center"/>
          </w:tcPr>
          <w:p w14:paraId="6399617B">
            <w:pPr>
              <w:keepNext w:val="0"/>
              <w:keepLines w:val="0"/>
              <w:widowControl/>
              <w:suppressLineNumbers w:val="0"/>
              <w:jc w:val="center"/>
              <w:textAlignment w:val="center"/>
              <w:rPr>
                <w:rFonts w:hint="default" w:ascii="Times New Roman" w:hAnsi="Times New Roman" w:eastAsia="宋体" w:cs="Times New Roman"/>
                <w:snapToGrid w:val="0"/>
                <w:color w:val="auto"/>
                <w:kern w:val="21"/>
                <w:sz w:val="21"/>
                <w:szCs w:val="21"/>
                <w:u w:val="none" w:color="auto"/>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其他废物（代码：900-041-49）</w:t>
            </w:r>
          </w:p>
        </w:tc>
        <w:tc>
          <w:tcPr>
            <w:tcW w:w="1515" w:type="dxa"/>
            <w:shd w:val="clear" w:color="auto" w:fill="auto"/>
            <w:noWrap w:val="0"/>
            <w:vAlign w:val="center"/>
          </w:tcPr>
          <w:p w14:paraId="400C04C0">
            <w:pPr>
              <w:keepNext w:val="0"/>
              <w:keepLines w:val="0"/>
              <w:widowControl/>
              <w:suppressLineNumbers w:val="0"/>
              <w:jc w:val="center"/>
              <w:textAlignment w:val="center"/>
              <w:rPr>
                <w:rFonts w:hint="default" w:ascii="Times New Roman" w:hAnsi="Times New Roman" w:eastAsia="宋体" w:cs="Times New Roman"/>
                <w:snapToGrid w:val="0"/>
                <w:color w:val="auto"/>
                <w:kern w:val="21"/>
                <w:sz w:val="21"/>
                <w:szCs w:val="21"/>
                <w:u w:val="none" w:color="auto"/>
                <w:lang w:val="en-US" w:eastAsia="zh-CN" w:bidi="ar-SA"/>
              </w:rPr>
            </w:pPr>
            <w:r>
              <w:rPr>
                <w:rFonts w:hint="default" w:ascii="Times New Roman" w:hAnsi="Times New Roman" w:eastAsia="宋体" w:cs="Times New Roman"/>
                <w:i w:val="0"/>
                <w:iCs w:val="0"/>
                <w:color w:val="auto"/>
                <w:kern w:val="0"/>
                <w:sz w:val="21"/>
                <w:szCs w:val="21"/>
                <w:u w:val="none" w:color="auto"/>
                <w:lang w:val="en-US" w:eastAsia="zh-CN" w:bidi="ar"/>
              </w:rPr>
              <w:t>2.06</w:t>
            </w:r>
          </w:p>
        </w:tc>
        <w:tc>
          <w:tcPr>
            <w:tcW w:w="1391" w:type="dxa"/>
            <w:noWrap w:val="0"/>
            <w:vAlign w:val="center"/>
          </w:tcPr>
          <w:p w14:paraId="4F9379C4">
            <w:pPr>
              <w:jc w:val="center"/>
              <w:rPr>
                <w:rFonts w:hint="default" w:ascii="Times New Roman" w:hAnsi="Times New Roman" w:eastAsia="宋体" w:cs="Times New Roman"/>
                <w:snapToGrid w:val="0"/>
                <w:color w:val="auto"/>
                <w:kern w:val="21"/>
                <w:sz w:val="21"/>
                <w:szCs w:val="21"/>
                <w:u w:val="none" w:color="auto"/>
                <w:lang w:val="en-US" w:eastAsia="zh-CN" w:bidi="ar-SA"/>
              </w:rPr>
            </w:pPr>
            <w:r>
              <w:rPr>
                <w:rFonts w:hint="default" w:ascii="Times New Roman" w:hAnsi="Times New Roman" w:eastAsia="宋体" w:cs="Times New Roman"/>
                <w:color w:val="auto"/>
                <w:kern w:val="2"/>
                <w:sz w:val="21"/>
                <w:szCs w:val="21"/>
                <w:u w:val="none" w:color="auto"/>
                <w:lang w:val="en-US" w:eastAsia="zh-CN" w:bidi="ar-SA"/>
              </w:rPr>
              <w:t>/</w:t>
            </w:r>
          </w:p>
        </w:tc>
        <w:tc>
          <w:tcPr>
            <w:tcW w:w="1540" w:type="dxa"/>
            <w:noWrap w:val="0"/>
            <w:vAlign w:val="center"/>
          </w:tcPr>
          <w:p w14:paraId="2D4F6320">
            <w:pPr>
              <w:jc w:val="center"/>
              <w:rPr>
                <w:rFonts w:hint="default" w:ascii="Times New Roman" w:hAnsi="Times New Roman" w:eastAsia="宋体" w:cs="Times New Roman"/>
                <w:snapToGrid w:val="0"/>
                <w:color w:val="auto"/>
                <w:kern w:val="21"/>
                <w:sz w:val="21"/>
                <w:szCs w:val="21"/>
                <w:u w:val="none" w:color="auto"/>
                <w:lang w:val="en-US" w:eastAsia="zh-CN" w:bidi="ar-SA"/>
              </w:rPr>
            </w:pPr>
            <w:r>
              <w:rPr>
                <w:rFonts w:hint="default" w:ascii="Times New Roman" w:hAnsi="Times New Roman" w:eastAsia="宋体" w:cs="Times New Roman"/>
                <w:snapToGrid w:val="0"/>
                <w:color w:val="auto"/>
                <w:kern w:val="21"/>
                <w:sz w:val="21"/>
                <w:szCs w:val="21"/>
                <w:u w:val="none" w:color="auto"/>
                <w:lang w:val="en-US" w:eastAsia="zh-CN" w:bidi="ar-SA"/>
              </w:rPr>
              <w:t>2.4416</w:t>
            </w:r>
          </w:p>
        </w:tc>
        <w:tc>
          <w:tcPr>
            <w:tcW w:w="1540" w:type="dxa"/>
            <w:noWrap w:val="0"/>
            <w:vAlign w:val="center"/>
          </w:tcPr>
          <w:p w14:paraId="520DF65D">
            <w:pPr>
              <w:keepNext w:val="0"/>
              <w:keepLines w:val="0"/>
              <w:widowControl/>
              <w:suppressLineNumbers w:val="0"/>
              <w:jc w:val="center"/>
              <w:textAlignment w:val="center"/>
              <w:rPr>
                <w:rFonts w:hint="default" w:ascii="Times New Roman" w:hAnsi="Times New Roman" w:eastAsia="宋体" w:cs="Times New Roman"/>
                <w:snapToGrid w:val="0"/>
                <w:color w:val="auto"/>
                <w:kern w:val="21"/>
                <w:sz w:val="21"/>
                <w:szCs w:val="21"/>
                <w:u w:val="none" w:color="auto"/>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1.777</w:t>
            </w:r>
          </w:p>
        </w:tc>
        <w:tc>
          <w:tcPr>
            <w:tcW w:w="1540" w:type="dxa"/>
            <w:noWrap w:val="0"/>
            <w:vAlign w:val="center"/>
          </w:tcPr>
          <w:p w14:paraId="32B8B856">
            <w:pPr>
              <w:jc w:val="center"/>
              <w:rPr>
                <w:rFonts w:hint="default" w:ascii="Times New Roman" w:hAnsi="Times New Roman" w:eastAsia="宋体" w:cs="Times New Roman"/>
                <w:snapToGrid w:val="0"/>
                <w:color w:val="auto"/>
                <w:kern w:val="21"/>
                <w:sz w:val="21"/>
                <w:szCs w:val="21"/>
                <w:u w:val="none" w:color="auto"/>
                <w:lang w:val="en-US" w:eastAsia="zh-CN" w:bidi="ar-SA"/>
              </w:rPr>
            </w:pPr>
            <w:r>
              <w:rPr>
                <w:rFonts w:hint="default" w:ascii="Times New Roman" w:hAnsi="Times New Roman" w:eastAsia="宋体" w:cs="Times New Roman"/>
                <w:snapToGrid w:val="0"/>
                <w:color w:val="auto"/>
                <w:kern w:val="21"/>
                <w:sz w:val="21"/>
                <w:szCs w:val="21"/>
                <w:highlight w:val="none"/>
                <w:u w:val="none" w:color="auto"/>
                <w:lang w:val="en-US" w:eastAsia="zh-CN"/>
              </w:rPr>
              <w:t>0</w:t>
            </w:r>
          </w:p>
        </w:tc>
        <w:tc>
          <w:tcPr>
            <w:tcW w:w="1540" w:type="dxa"/>
            <w:noWrap w:val="0"/>
            <w:vAlign w:val="center"/>
          </w:tcPr>
          <w:p w14:paraId="1A7F7B39">
            <w:pPr>
              <w:keepNext w:val="0"/>
              <w:keepLines w:val="0"/>
              <w:widowControl/>
              <w:suppressLineNumbers w:val="0"/>
              <w:jc w:val="center"/>
              <w:textAlignment w:val="center"/>
              <w:rPr>
                <w:rFonts w:hint="default" w:ascii="Times New Roman" w:hAnsi="Times New Roman" w:eastAsia="宋体" w:cs="Times New Roman"/>
                <w:snapToGrid w:val="0"/>
                <w:color w:val="auto"/>
                <w:kern w:val="21"/>
                <w:sz w:val="21"/>
                <w:szCs w:val="21"/>
                <w:u w:val="none" w:color="auto"/>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6.2786</w:t>
            </w:r>
          </w:p>
        </w:tc>
        <w:tc>
          <w:tcPr>
            <w:tcW w:w="1543" w:type="dxa"/>
            <w:shd w:val="clear" w:color="auto" w:fill="auto"/>
            <w:noWrap w:val="0"/>
            <w:vAlign w:val="center"/>
          </w:tcPr>
          <w:p w14:paraId="2C1F5BBC">
            <w:pPr>
              <w:keepNext w:val="0"/>
              <w:keepLines w:val="0"/>
              <w:widowControl/>
              <w:suppressLineNumbers w:val="0"/>
              <w:jc w:val="center"/>
              <w:textAlignment w:val="center"/>
              <w:rPr>
                <w:rFonts w:hint="default" w:ascii="Times New Roman" w:hAnsi="Times New Roman" w:eastAsia="宋体" w:cs="Times New Roman"/>
                <w:snapToGrid w:val="0"/>
                <w:color w:val="auto"/>
                <w:kern w:val="21"/>
                <w:sz w:val="21"/>
                <w:szCs w:val="21"/>
                <w:u w:val="none" w:color="auto"/>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+1.777</w:t>
            </w:r>
          </w:p>
        </w:tc>
      </w:tr>
      <w:tr w14:paraId="2F4C525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95" w:type="dxa"/>
            <w:vMerge w:val="continue"/>
            <w:noWrap w:val="0"/>
            <w:vAlign w:val="center"/>
          </w:tcPr>
          <w:p w14:paraId="0E12FECE">
            <w:pPr>
              <w:pStyle w:val="42"/>
              <w:spacing w:beforeLines="0" w:afterLines="0" w:line="240" w:lineRule="auto"/>
              <w:jc w:val="center"/>
              <w:rPr>
                <w:rFonts w:hint="default" w:ascii="Times New Roman" w:hAnsi="Times New Roman" w:eastAsia="宋体" w:cs="Times New Roman"/>
                <w:snapToGrid w:val="0"/>
                <w:color w:val="auto"/>
                <w:kern w:val="21"/>
                <w:sz w:val="21"/>
                <w:szCs w:val="21"/>
                <w:u w:val="none" w:color="auto"/>
              </w:rPr>
            </w:pPr>
          </w:p>
        </w:tc>
        <w:tc>
          <w:tcPr>
            <w:tcW w:w="2084" w:type="dxa"/>
            <w:noWrap w:val="0"/>
            <w:vAlign w:val="center"/>
          </w:tcPr>
          <w:p w14:paraId="3C7F97B7">
            <w:pPr>
              <w:keepNext w:val="0"/>
              <w:keepLines w:val="0"/>
              <w:widowControl/>
              <w:suppressLineNumbers w:val="0"/>
              <w:jc w:val="center"/>
              <w:textAlignment w:val="center"/>
              <w:rPr>
                <w:rFonts w:hint="default" w:ascii="Times New Roman" w:hAnsi="Times New Roman" w:eastAsia="宋体" w:cs="Times New Roman"/>
                <w:snapToGrid w:val="0"/>
                <w:color w:val="auto"/>
                <w:kern w:val="21"/>
                <w:sz w:val="21"/>
                <w:szCs w:val="21"/>
                <w:u w:val="none" w:color="auto"/>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废矿物油与含废矿物油（代码：900-217-08、900-218-08、900-214-08、900-220-08、900-249-08）</w:t>
            </w:r>
          </w:p>
        </w:tc>
        <w:tc>
          <w:tcPr>
            <w:tcW w:w="1515" w:type="dxa"/>
            <w:noWrap w:val="0"/>
            <w:vAlign w:val="center"/>
          </w:tcPr>
          <w:p w14:paraId="1D008F5F">
            <w:pPr>
              <w:keepNext w:val="0"/>
              <w:keepLines w:val="0"/>
              <w:widowControl/>
              <w:suppressLineNumbers w:val="0"/>
              <w:jc w:val="center"/>
              <w:textAlignment w:val="center"/>
              <w:rPr>
                <w:rFonts w:hint="default" w:ascii="Times New Roman" w:hAnsi="Times New Roman" w:eastAsia="宋体" w:cs="Times New Roman"/>
                <w:snapToGrid w:val="0"/>
                <w:color w:val="auto"/>
                <w:kern w:val="21"/>
                <w:sz w:val="21"/>
                <w:szCs w:val="21"/>
                <w:u w:val="none" w:color="auto"/>
                <w:lang w:val="en-US" w:eastAsia="zh-CN" w:bidi="ar-SA"/>
              </w:rPr>
            </w:pPr>
            <w:r>
              <w:rPr>
                <w:rFonts w:hint="default" w:ascii="Times New Roman" w:hAnsi="Times New Roman" w:eastAsia="宋体" w:cs="Times New Roman"/>
                <w:i w:val="0"/>
                <w:iCs w:val="0"/>
                <w:color w:val="auto"/>
                <w:kern w:val="0"/>
                <w:sz w:val="21"/>
                <w:szCs w:val="21"/>
                <w:u w:val="none" w:color="auto"/>
                <w:lang w:val="en-US" w:eastAsia="zh-CN" w:bidi="ar"/>
              </w:rPr>
              <w:t>24.69</w:t>
            </w:r>
          </w:p>
        </w:tc>
        <w:tc>
          <w:tcPr>
            <w:tcW w:w="1391" w:type="dxa"/>
            <w:noWrap w:val="0"/>
            <w:vAlign w:val="center"/>
          </w:tcPr>
          <w:p w14:paraId="4E3320CA">
            <w:pPr>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kern w:val="2"/>
                <w:sz w:val="21"/>
                <w:szCs w:val="21"/>
                <w:u w:val="none" w:color="auto"/>
                <w:lang w:val="en-US" w:eastAsia="zh-CN" w:bidi="ar-SA"/>
              </w:rPr>
              <w:t>/</w:t>
            </w:r>
          </w:p>
        </w:tc>
        <w:tc>
          <w:tcPr>
            <w:tcW w:w="1540" w:type="dxa"/>
            <w:noWrap w:val="0"/>
            <w:vAlign w:val="center"/>
          </w:tcPr>
          <w:p w14:paraId="4362A59D">
            <w:pPr>
              <w:jc w:val="center"/>
              <w:rPr>
                <w:rFonts w:hint="default" w:ascii="Times New Roman" w:hAnsi="Times New Roman" w:eastAsia="宋体" w:cs="Times New Roman"/>
                <w:snapToGrid w:val="0"/>
                <w:color w:val="auto"/>
                <w:kern w:val="21"/>
                <w:sz w:val="21"/>
                <w:szCs w:val="21"/>
                <w:u w:val="none" w:color="auto"/>
                <w:lang w:val="en-US" w:eastAsia="zh-CN" w:bidi="ar-SA"/>
              </w:rPr>
            </w:pPr>
            <w:r>
              <w:rPr>
                <w:rFonts w:hint="default" w:ascii="Times New Roman" w:hAnsi="Times New Roman" w:eastAsia="宋体" w:cs="Times New Roman"/>
                <w:snapToGrid w:val="0"/>
                <w:color w:val="auto"/>
                <w:kern w:val="21"/>
                <w:sz w:val="21"/>
                <w:szCs w:val="21"/>
                <w:u w:val="none" w:color="auto"/>
                <w:lang w:val="en-US" w:eastAsia="zh-CN"/>
              </w:rPr>
              <w:t>0</w:t>
            </w:r>
          </w:p>
        </w:tc>
        <w:tc>
          <w:tcPr>
            <w:tcW w:w="1540" w:type="dxa"/>
            <w:noWrap w:val="0"/>
            <w:vAlign w:val="center"/>
          </w:tcPr>
          <w:p w14:paraId="5D6687C3">
            <w:pPr>
              <w:keepNext w:val="0"/>
              <w:keepLines w:val="0"/>
              <w:widowControl/>
              <w:suppressLineNumbers w:val="0"/>
              <w:jc w:val="center"/>
              <w:textAlignment w:val="center"/>
              <w:rPr>
                <w:rFonts w:hint="default" w:ascii="Times New Roman" w:hAnsi="Times New Roman" w:eastAsia="宋体" w:cs="Times New Roman"/>
                <w:snapToGrid w:val="0"/>
                <w:color w:val="auto"/>
                <w:kern w:val="21"/>
                <w:sz w:val="21"/>
                <w:szCs w:val="21"/>
                <w:u w:val="none" w:color="auto"/>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9.75</w:t>
            </w:r>
          </w:p>
        </w:tc>
        <w:tc>
          <w:tcPr>
            <w:tcW w:w="1540" w:type="dxa"/>
            <w:noWrap w:val="0"/>
            <w:vAlign w:val="center"/>
          </w:tcPr>
          <w:p w14:paraId="6DBF8636">
            <w:pPr>
              <w:jc w:val="center"/>
              <w:rPr>
                <w:rFonts w:hint="default" w:ascii="Times New Roman" w:hAnsi="Times New Roman" w:eastAsia="宋体" w:cs="Times New Roman"/>
                <w:snapToGrid w:val="0"/>
                <w:color w:val="auto"/>
                <w:kern w:val="21"/>
                <w:sz w:val="21"/>
                <w:szCs w:val="21"/>
                <w:u w:val="none" w:color="auto"/>
                <w:lang w:val="en-US" w:eastAsia="zh-CN" w:bidi="ar-SA"/>
              </w:rPr>
            </w:pPr>
            <w:r>
              <w:rPr>
                <w:rFonts w:hint="default" w:ascii="Times New Roman" w:hAnsi="Times New Roman" w:eastAsia="宋体" w:cs="Times New Roman"/>
                <w:snapToGrid w:val="0"/>
                <w:color w:val="auto"/>
                <w:kern w:val="21"/>
                <w:sz w:val="21"/>
                <w:szCs w:val="21"/>
                <w:highlight w:val="none"/>
                <w:u w:val="none" w:color="auto"/>
                <w:lang w:val="en-US" w:eastAsia="zh-CN"/>
              </w:rPr>
              <w:t>0</w:t>
            </w:r>
          </w:p>
        </w:tc>
        <w:tc>
          <w:tcPr>
            <w:tcW w:w="1540" w:type="dxa"/>
            <w:noWrap w:val="0"/>
            <w:vAlign w:val="center"/>
          </w:tcPr>
          <w:p w14:paraId="76AB9ACD">
            <w:pPr>
              <w:keepNext w:val="0"/>
              <w:keepLines w:val="0"/>
              <w:widowControl/>
              <w:suppressLineNumbers w:val="0"/>
              <w:jc w:val="center"/>
              <w:textAlignment w:val="center"/>
              <w:rPr>
                <w:rFonts w:hint="default" w:ascii="Times New Roman" w:hAnsi="Times New Roman" w:eastAsia="宋体" w:cs="Times New Roman"/>
                <w:snapToGrid w:val="0"/>
                <w:color w:val="auto"/>
                <w:kern w:val="21"/>
                <w:sz w:val="21"/>
                <w:szCs w:val="21"/>
                <w:u w:val="none" w:color="auto"/>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34.44</w:t>
            </w:r>
          </w:p>
        </w:tc>
        <w:tc>
          <w:tcPr>
            <w:tcW w:w="1543" w:type="dxa"/>
            <w:shd w:val="clear" w:color="auto" w:fill="auto"/>
            <w:noWrap w:val="0"/>
            <w:vAlign w:val="center"/>
          </w:tcPr>
          <w:p w14:paraId="7D885F7F">
            <w:pPr>
              <w:keepNext w:val="0"/>
              <w:keepLines w:val="0"/>
              <w:widowControl/>
              <w:suppressLineNumbers w:val="0"/>
              <w:jc w:val="center"/>
              <w:textAlignment w:val="center"/>
              <w:rPr>
                <w:rFonts w:hint="default" w:ascii="Times New Roman" w:hAnsi="Times New Roman" w:eastAsia="宋体" w:cs="Times New Roman"/>
                <w:snapToGrid w:val="0"/>
                <w:color w:val="auto"/>
                <w:kern w:val="21"/>
                <w:sz w:val="21"/>
                <w:szCs w:val="21"/>
                <w:u w:val="none" w:color="auto"/>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+9.75</w:t>
            </w:r>
          </w:p>
        </w:tc>
      </w:tr>
      <w:tr w14:paraId="51ABC30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95" w:type="dxa"/>
            <w:vMerge w:val="continue"/>
            <w:noWrap w:val="0"/>
            <w:vAlign w:val="center"/>
          </w:tcPr>
          <w:p w14:paraId="10136444">
            <w:pPr>
              <w:pStyle w:val="42"/>
              <w:spacing w:beforeLines="0" w:afterLines="0" w:line="240" w:lineRule="auto"/>
              <w:jc w:val="center"/>
              <w:rPr>
                <w:rFonts w:hint="default" w:ascii="Times New Roman" w:hAnsi="Times New Roman" w:eastAsia="宋体" w:cs="Times New Roman"/>
                <w:snapToGrid w:val="0"/>
                <w:color w:val="auto"/>
                <w:kern w:val="21"/>
                <w:sz w:val="21"/>
                <w:szCs w:val="21"/>
                <w:u w:val="none" w:color="auto"/>
              </w:rPr>
            </w:pPr>
          </w:p>
        </w:tc>
        <w:tc>
          <w:tcPr>
            <w:tcW w:w="2084" w:type="dxa"/>
            <w:noWrap w:val="0"/>
            <w:vAlign w:val="center"/>
          </w:tcPr>
          <w:p w14:paraId="05DE0368">
            <w:pPr>
              <w:keepNext w:val="0"/>
              <w:keepLines w:val="0"/>
              <w:widowControl/>
              <w:suppressLineNumbers w:val="0"/>
              <w:jc w:val="center"/>
              <w:textAlignment w:val="center"/>
              <w:rPr>
                <w:rFonts w:hint="default" w:ascii="Times New Roman" w:hAnsi="Times New Roman" w:eastAsia="宋体" w:cs="Times New Roman"/>
                <w:snapToGrid w:val="0"/>
                <w:color w:val="auto"/>
                <w:kern w:val="21"/>
                <w:sz w:val="21"/>
                <w:szCs w:val="21"/>
                <w:u w:val="none" w:color="auto"/>
                <w:lang w:val="en-US" w:eastAsia="zh-CN" w:bidi="ar-SA"/>
              </w:rPr>
            </w:pPr>
            <w:r>
              <w:rPr>
                <w:rFonts w:hint="default" w:ascii="Times New Roman" w:hAnsi="Times New Roman" w:eastAsia="宋体" w:cs="Times New Roman"/>
                <w:i w:val="0"/>
                <w:iCs w:val="0"/>
                <w:color w:val="auto"/>
                <w:kern w:val="0"/>
                <w:sz w:val="21"/>
                <w:szCs w:val="21"/>
                <w:u w:val="none" w:color="auto"/>
                <w:lang w:val="en-US" w:eastAsia="zh-CN" w:bidi="ar"/>
              </w:rPr>
              <w:t>废乳液（代码：900-006-09）</w:t>
            </w:r>
          </w:p>
        </w:tc>
        <w:tc>
          <w:tcPr>
            <w:tcW w:w="1515" w:type="dxa"/>
            <w:noWrap w:val="0"/>
            <w:vAlign w:val="center"/>
          </w:tcPr>
          <w:p w14:paraId="6886D2ED">
            <w:pPr>
              <w:keepNext w:val="0"/>
              <w:keepLines w:val="0"/>
              <w:widowControl/>
              <w:suppressLineNumbers w:val="0"/>
              <w:jc w:val="center"/>
              <w:textAlignment w:val="center"/>
              <w:rPr>
                <w:rFonts w:hint="default" w:ascii="Times New Roman" w:hAnsi="Times New Roman" w:eastAsia="宋体" w:cs="Times New Roman"/>
                <w:snapToGrid w:val="0"/>
                <w:color w:val="auto"/>
                <w:kern w:val="21"/>
                <w:sz w:val="21"/>
                <w:szCs w:val="21"/>
                <w:u w:val="none" w:color="auto"/>
                <w:lang w:val="en-US" w:eastAsia="zh-CN" w:bidi="ar-SA"/>
              </w:rPr>
            </w:pPr>
            <w:r>
              <w:rPr>
                <w:rFonts w:hint="default" w:ascii="Times New Roman" w:hAnsi="Times New Roman" w:eastAsia="宋体" w:cs="Times New Roman"/>
                <w:i w:val="0"/>
                <w:iCs w:val="0"/>
                <w:color w:val="auto"/>
                <w:kern w:val="0"/>
                <w:sz w:val="21"/>
                <w:szCs w:val="21"/>
                <w:u w:val="none" w:color="auto"/>
                <w:lang w:val="en-US" w:eastAsia="zh-CN" w:bidi="ar"/>
              </w:rPr>
              <w:t>4.197</w:t>
            </w:r>
          </w:p>
        </w:tc>
        <w:tc>
          <w:tcPr>
            <w:tcW w:w="1391" w:type="dxa"/>
            <w:noWrap w:val="0"/>
            <w:vAlign w:val="center"/>
          </w:tcPr>
          <w:p w14:paraId="43BF2A3F">
            <w:pPr>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kern w:val="2"/>
                <w:sz w:val="21"/>
                <w:szCs w:val="21"/>
                <w:u w:val="none" w:color="auto"/>
                <w:lang w:val="en-US" w:eastAsia="zh-CN" w:bidi="ar-SA"/>
              </w:rPr>
              <w:t>/</w:t>
            </w:r>
          </w:p>
        </w:tc>
        <w:tc>
          <w:tcPr>
            <w:tcW w:w="1540" w:type="dxa"/>
            <w:noWrap w:val="0"/>
            <w:vAlign w:val="center"/>
          </w:tcPr>
          <w:p w14:paraId="6086C772">
            <w:pPr>
              <w:jc w:val="center"/>
              <w:rPr>
                <w:rFonts w:hint="default" w:ascii="Times New Roman" w:hAnsi="Times New Roman" w:eastAsia="宋体" w:cs="Times New Roman"/>
                <w:snapToGrid w:val="0"/>
                <w:color w:val="auto"/>
                <w:kern w:val="21"/>
                <w:sz w:val="21"/>
                <w:szCs w:val="21"/>
                <w:u w:val="none" w:color="auto"/>
                <w:lang w:val="en-US" w:eastAsia="zh-CN" w:bidi="ar-SA"/>
              </w:rPr>
            </w:pPr>
            <w:r>
              <w:rPr>
                <w:rFonts w:hint="default" w:ascii="Times New Roman" w:hAnsi="Times New Roman" w:eastAsia="宋体" w:cs="Times New Roman"/>
                <w:snapToGrid w:val="0"/>
                <w:color w:val="auto"/>
                <w:kern w:val="21"/>
                <w:sz w:val="21"/>
                <w:szCs w:val="21"/>
                <w:u w:val="none" w:color="auto"/>
                <w:lang w:val="en-US" w:eastAsia="zh-CN"/>
              </w:rPr>
              <w:t>0</w:t>
            </w:r>
          </w:p>
        </w:tc>
        <w:tc>
          <w:tcPr>
            <w:tcW w:w="1540" w:type="dxa"/>
            <w:noWrap w:val="0"/>
            <w:vAlign w:val="center"/>
          </w:tcPr>
          <w:p w14:paraId="5593B7D2">
            <w:pPr>
              <w:jc w:val="center"/>
              <w:rPr>
                <w:rFonts w:hint="default" w:ascii="Times New Roman" w:hAnsi="Times New Roman" w:eastAsia="宋体" w:cs="Times New Roman"/>
                <w:snapToGrid w:val="0"/>
                <w:color w:val="auto"/>
                <w:kern w:val="21"/>
                <w:sz w:val="21"/>
                <w:szCs w:val="21"/>
                <w:u w:val="none" w:color="auto"/>
                <w:lang w:val="en-US" w:eastAsia="zh-CN" w:bidi="ar-SA"/>
              </w:rPr>
            </w:pPr>
            <w:r>
              <w:rPr>
                <w:rFonts w:hint="default" w:ascii="Times New Roman" w:hAnsi="Times New Roman" w:eastAsia="宋体" w:cs="Times New Roman"/>
                <w:snapToGrid w:val="0"/>
                <w:color w:val="auto"/>
                <w:kern w:val="21"/>
                <w:sz w:val="21"/>
                <w:szCs w:val="21"/>
                <w:u w:val="none" w:color="auto"/>
                <w:lang w:val="en-US" w:eastAsia="zh-CN" w:bidi="ar-SA"/>
              </w:rPr>
              <w:t>284.2421</w:t>
            </w:r>
          </w:p>
        </w:tc>
        <w:tc>
          <w:tcPr>
            <w:tcW w:w="1540" w:type="dxa"/>
            <w:noWrap w:val="0"/>
            <w:vAlign w:val="center"/>
          </w:tcPr>
          <w:p w14:paraId="4A5C5240">
            <w:pPr>
              <w:jc w:val="center"/>
              <w:rPr>
                <w:rFonts w:hint="default" w:ascii="Times New Roman" w:hAnsi="Times New Roman" w:eastAsia="宋体" w:cs="Times New Roman"/>
                <w:snapToGrid w:val="0"/>
                <w:color w:val="auto"/>
                <w:kern w:val="21"/>
                <w:sz w:val="21"/>
                <w:szCs w:val="21"/>
                <w:u w:val="none" w:color="auto"/>
                <w:lang w:val="en-US" w:eastAsia="zh-CN" w:bidi="ar-SA"/>
              </w:rPr>
            </w:pPr>
            <w:r>
              <w:rPr>
                <w:rFonts w:hint="default" w:ascii="Times New Roman" w:hAnsi="Times New Roman" w:eastAsia="宋体" w:cs="Times New Roman"/>
                <w:snapToGrid w:val="0"/>
                <w:color w:val="auto"/>
                <w:kern w:val="21"/>
                <w:sz w:val="21"/>
                <w:szCs w:val="21"/>
                <w:highlight w:val="none"/>
                <w:u w:val="none" w:color="auto"/>
                <w:lang w:val="en-US" w:eastAsia="zh-CN"/>
              </w:rPr>
              <w:t>0</w:t>
            </w:r>
          </w:p>
        </w:tc>
        <w:tc>
          <w:tcPr>
            <w:tcW w:w="1540" w:type="dxa"/>
            <w:noWrap w:val="0"/>
            <w:vAlign w:val="center"/>
          </w:tcPr>
          <w:p w14:paraId="2436EEB1">
            <w:pPr>
              <w:keepNext w:val="0"/>
              <w:keepLines w:val="0"/>
              <w:widowControl/>
              <w:suppressLineNumbers w:val="0"/>
              <w:jc w:val="center"/>
              <w:textAlignment w:val="center"/>
              <w:rPr>
                <w:rFonts w:hint="default" w:ascii="Times New Roman" w:hAnsi="Times New Roman" w:eastAsia="宋体" w:cs="Times New Roman"/>
                <w:snapToGrid w:val="0"/>
                <w:color w:val="auto"/>
                <w:kern w:val="21"/>
                <w:sz w:val="21"/>
                <w:szCs w:val="21"/>
                <w:u w:val="none" w:color="auto"/>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288.4391</w:t>
            </w:r>
          </w:p>
        </w:tc>
        <w:tc>
          <w:tcPr>
            <w:tcW w:w="1543" w:type="dxa"/>
            <w:shd w:val="clear" w:color="auto" w:fill="auto"/>
            <w:noWrap w:val="0"/>
            <w:vAlign w:val="center"/>
          </w:tcPr>
          <w:p w14:paraId="456F0DC3">
            <w:pPr>
              <w:jc w:val="center"/>
              <w:rPr>
                <w:rFonts w:hint="default" w:ascii="Times New Roman" w:hAnsi="Times New Roman" w:eastAsia="宋体" w:cs="Times New Roman"/>
                <w:snapToGrid w:val="0"/>
                <w:color w:val="auto"/>
                <w:kern w:val="21"/>
                <w:sz w:val="21"/>
                <w:szCs w:val="21"/>
                <w:u w:val="none" w:color="auto"/>
                <w:lang w:val="en-US" w:eastAsia="zh-CN" w:bidi="ar-SA"/>
              </w:rPr>
            </w:pPr>
            <w:r>
              <w:rPr>
                <w:rFonts w:hint="default" w:ascii="Times New Roman" w:hAnsi="Times New Roman" w:eastAsia="宋体" w:cs="Times New Roman"/>
                <w:snapToGrid w:val="0"/>
                <w:color w:val="auto"/>
                <w:kern w:val="21"/>
                <w:sz w:val="21"/>
                <w:szCs w:val="21"/>
                <w:u w:val="none" w:color="auto"/>
                <w:lang w:val="en-US" w:eastAsia="zh-CN" w:bidi="ar-SA"/>
              </w:rPr>
              <w:t>+284.2421</w:t>
            </w:r>
          </w:p>
        </w:tc>
      </w:tr>
      <w:tr w14:paraId="588C92A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95" w:type="dxa"/>
            <w:vMerge w:val="continue"/>
            <w:noWrap w:val="0"/>
            <w:vAlign w:val="center"/>
          </w:tcPr>
          <w:p w14:paraId="5E7E3168">
            <w:pPr>
              <w:pStyle w:val="42"/>
              <w:spacing w:beforeLines="0" w:afterLines="0" w:line="240" w:lineRule="auto"/>
              <w:jc w:val="center"/>
              <w:rPr>
                <w:rFonts w:hint="default" w:ascii="Times New Roman" w:hAnsi="Times New Roman" w:eastAsia="宋体" w:cs="Times New Roman"/>
                <w:snapToGrid w:val="0"/>
                <w:color w:val="auto"/>
                <w:kern w:val="21"/>
                <w:sz w:val="21"/>
                <w:szCs w:val="21"/>
                <w:u w:val="none" w:color="auto"/>
              </w:rPr>
            </w:pPr>
          </w:p>
        </w:tc>
        <w:tc>
          <w:tcPr>
            <w:tcW w:w="2084" w:type="dxa"/>
            <w:noWrap w:val="0"/>
            <w:vAlign w:val="center"/>
          </w:tcPr>
          <w:p w14:paraId="505A2E11">
            <w:pPr>
              <w:keepNext w:val="0"/>
              <w:keepLines w:val="0"/>
              <w:widowControl/>
              <w:suppressLineNumbers w:val="0"/>
              <w:jc w:val="center"/>
              <w:textAlignment w:val="center"/>
              <w:rPr>
                <w:rFonts w:hint="default" w:ascii="Times New Roman" w:hAnsi="Times New Roman" w:eastAsia="宋体" w:cs="Times New Roman"/>
                <w:snapToGrid w:val="0"/>
                <w:color w:val="auto"/>
                <w:kern w:val="21"/>
                <w:sz w:val="21"/>
                <w:szCs w:val="21"/>
                <w:u w:val="none" w:color="auto"/>
                <w:lang w:val="en-US" w:eastAsia="zh-CN" w:bidi="ar-SA"/>
              </w:rPr>
            </w:pPr>
            <w:r>
              <w:rPr>
                <w:rFonts w:hint="default" w:ascii="Times New Roman" w:hAnsi="Times New Roman" w:eastAsia="宋体" w:cs="Times New Roman"/>
                <w:i w:val="0"/>
                <w:iCs w:val="0"/>
                <w:color w:val="auto"/>
                <w:kern w:val="0"/>
                <w:sz w:val="21"/>
                <w:szCs w:val="21"/>
                <w:u w:val="none" w:color="auto"/>
                <w:lang w:val="en-US" w:eastAsia="zh-CN" w:bidi="ar"/>
              </w:rPr>
              <w:t>含油浮渣和污泥（代码：900-210-08）</w:t>
            </w:r>
          </w:p>
        </w:tc>
        <w:tc>
          <w:tcPr>
            <w:tcW w:w="1515" w:type="dxa"/>
            <w:noWrap w:val="0"/>
            <w:vAlign w:val="center"/>
          </w:tcPr>
          <w:p w14:paraId="211C28C0">
            <w:pPr>
              <w:keepNext w:val="0"/>
              <w:keepLines w:val="0"/>
              <w:widowControl/>
              <w:suppressLineNumbers w:val="0"/>
              <w:jc w:val="center"/>
              <w:textAlignment w:val="center"/>
              <w:rPr>
                <w:rFonts w:hint="default" w:ascii="Times New Roman" w:hAnsi="Times New Roman" w:eastAsia="宋体" w:cs="Times New Roman"/>
                <w:snapToGrid w:val="0"/>
                <w:color w:val="auto"/>
                <w:kern w:val="21"/>
                <w:sz w:val="21"/>
                <w:szCs w:val="21"/>
                <w:u w:val="none" w:color="auto"/>
                <w:lang w:val="en-US" w:eastAsia="zh-CN" w:bidi="ar-SA"/>
              </w:rPr>
            </w:pPr>
            <w:r>
              <w:rPr>
                <w:rFonts w:hint="default" w:ascii="Times New Roman" w:hAnsi="Times New Roman" w:eastAsia="宋体" w:cs="Times New Roman"/>
                <w:i w:val="0"/>
                <w:iCs w:val="0"/>
                <w:color w:val="auto"/>
                <w:kern w:val="0"/>
                <w:sz w:val="21"/>
                <w:szCs w:val="21"/>
                <w:u w:val="none" w:color="auto"/>
                <w:lang w:val="en-US" w:eastAsia="zh-CN" w:bidi="ar"/>
              </w:rPr>
              <w:t>91.7568（含水率60%）</w:t>
            </w:r>
          </w:p>
        </w:tc>
        <w:tc>
          <w:tcPr>
            <w:tcW w:w="1391" w:type="dxa"/>
            <w:noWrap w:val="0"/>
            <w:vAlign w:val="center"/>
          </w:tcPr>
          <w:p w14:paraId="4011691F">
            <w:pPr>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kern w:val="2"/>
                <w:sz w:val="21"/>
                <w:szCs w:val="21"/>
                <w:u w:val="none" w:color="auto"/>
                <w:lang w:val="en-US" w:eastAsia="zh-CN" w:bidi="ar-SA"/>
              </w:rPr>
              <w:t>/</w:t>
            </w:r>
          </w:p>
        </w:tc>
        <w:tc>
          <w:tcPr>
            <w:tcW w:w="1540" w:type="dxa"/>
            <w:noWrap w:val="0"/>
            <w:vAlign w:val="center"/>
          </w:tcPr>
          <w:p w14:paraId="484083CE">
            <w:pPr>
              <w:jc w:val="center"/>
              <w:rPr>
                <w:rFonts w:hint="default" w:ascii="Times New Roman" w:hAnsi="Times New Roman" w:eastAsia="宋体" w:cs="Times New Roman"/>
                <w:snapToGrid w:val="0"/>
                <w:color w:val="auto"/>
                <w:kern w:val="21"/>
                <w:sz w:val="21"/>
                <w:szCs w:val="21"/>
                <w:u w:val="none" w:color="auto"/>
                <w:lang w:val="en-US" w:eastAsia="zh-CN" w:bidi="ar-SA"/>
              </w:rPr>
            </w:pPr>
            <w:r>
              <w:rPr>
                <w:rFonts w:hint="default" w:ascii="Times New Roman" w:hAnsi="Times New Roman" w:eastAsia="宋体" w:cs="Times New Roman"/>
                <w:snapToGrid w:val="0"/>
                <w:color w:val="auto"/>
                <w:kern w:val="21"/>
                <w:sz w:val="21"/>
                <w:szCs w:val="21"/>
                <w:u w:val="none" w:color="auto"/>
                <w:lang w:val="en-US" w:eastAsia="zh-CN"/>
              </w:rPr>
              <w:t>0</w:t>
            </w:r>
          </w:p>
        </w:tc>
        <w:tc>
          <w:tcPr>
            <w:tcW w:w="1540" w:type="dxa"/>
            <w:noWrap w:val="0"/>
            <w:vAlign w:val="center"/>
          </w:tcPr>
          <w:p w14:paraId="63E30C1D">
            <w:pPr>
              <w:jc w:val="center"/>
              <w:rPr>
                <w:rFonts w:hint="default" w:ascii="Times New Roman" w:hAnsi="Times New Roman" w:eastAsia="宋体" w:cs="Times New Roman"/>
                <w:snapToGrid w:val="0"/>
                <w:color w:val="auto"/>
                <w:kern w:val="21"/>
                <w:sz w:val="21"/>
                <w:szCs w:val="21"/>
                <w:u w:val="none" w:color="auto"/>
                <w:lang w:val="en-US" w:eastAsia="zh-CN" w:bidi="ar-SA"/>
              </w:rPr>
            </w:pPr>
            <w:r>
              <w:rPr>
                <w:rFonts w:hint="default" w:ascii="Times New Roman" w:hAnsi="Times New Roman" w:eastAsia="宋体" w:cs="Times New Roman"/>
                <w:snapToGrid w:val="0"/>
                <w:color w:val="auto"/>
                <w:kern w:val="21"/>
                <w:sz w:val="21"/>
                <w:szCs w:val="21"/>
                <w:u w:val="none" w:color="auto"/>
                <w:lang w:val="en-US" w:eastAsia="zh-CN" w:bidi="ar-SA"/>
              </w:rPr>
              <w:t>0</w:t>
            </w:r>
          </w:p>
        </w:tc>
        <w:tc>
          <w:tcPr>
            <w:tcW w:w="1540" w:type="dxa"/>
            <w:noWrap w:val="0"/>
            <w:vAlign w:val="center"/>
          </w:tcPr>
          <w:p w14:paraId="3A29D6ED">
            <w:pPr>
              <w:jc w:val="center"/>
              <w:rPr>
                <w:rFonts w:hint="default" w:ascii="Times New Roman" w:hAnsi="Times New Roman" w:eastAsia="宋体" w:cs="Times New Roman"/>
                <w:snapToGrid w:val="0"/>
                <w:color w:val="auto"/>
                <w:kern w:val="21"/>
                <w:sz w:val="21"/>
                <w:szCs w:val="21"/>
                <w:u w:val="none" w:color="auto"/>
                <w:lang w:val="en-US" w:eastAsia="zh-CN" w:bidi="ar-SA"/>
              </w:rPr>
            </w:pPr>
            <w:r>
              <w:rPr>
                <w:rFonts w:hint="default" w:ascii="Times New Roman" w:hAnsi="Times New Roman" w:eastAsia="宋体" w:cs="Times New Roman"/>
                <w:snapToGrid w:val="0"/>
                <w:color w:val="auto"/>
                <w:kern w:val="21"/>
                <w:sz w:val="21"/>
                <w:szCs w:val="21"/>
                <w:highlight w:val="none"/>
                <w:u w:val="none" w:color="auto"/>
                <w:lang w:val="en-US" w:eastAsia="zh-CN"/>
              </w:rPr>
              <w:t>0</w:t>
            </w:r>
          </w:p>
        </w:tc>
        <w:tc>
          <w:tcPr>
            <w:tcW w:w="1540" w:type="dxa"/>
            <w:noWrap w:val="0"/>
            <w:vAlign w:val="center"/>
          </w:tcPr>
          <w:p w14:paraId="6700A8AC">
            <w:pPr>
              <w:keepNext w:val="0"/>
              <w:keepLines w:val="0"/>
              <w:widowControl/>
              <w:suppressLineNumbers w:val="0"/>
              <w:jc w:val="center"/>
              <w:textAlignment w:val="center"/>
              <w:rPr>
                <w:rFonts w:hint="default" w:ascii="Times New Roman" w:hAnsi="Times New Roman" w:eastAsia="宋体" w:cs="Times New Roman"/>
                <w:snapToGrid w:val="0"/>
                <w:color w:val="auto"/>
                <w:kern w:val="21"/>
                <w:sz w:val="21"/>
                <w:szCs w:val="21"/>
                <w:u w:val="none" w:color="auto"/>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91.7568（含水率60%）</w:t>
            </w:r>
          </w:p>
        </w:tc>
        <w:tc>
          <w:tcPr>
            <w:tcW w:w="1543" w:type="dxa"/>
            <w:shd w:val="clear" w:color="auto" w:fill="auto"/>
            <w:noWrap w:val="0"/>
            <w:vAlign w:val="center"/>
          </w:tcPr>
          <w:p w14:paraId="1ECDDE29">
            <w:pPr>
              <w:jc w:val="center"/>
              <w:rPr>
                <w:rFonts w:hint="default" w:ascii="Times New Roman" w:hAnsi="Times New Roman" w:eastAsia="宋体" w:cs="Times New Roman"/>
                <w:snapToGrid w:val="0"/>
                <w:color w:val="auto"/>
                <w:kern w:val="21"/>
                <w:sz w:val="21"/>
                <w:szCs w:val="21"/>
                <w:u w:val="none" w:color="auto"/>
                <w:lang w:val="en-US" w:eastAsia="zh-CN" w:bidi="ar-SA"/>
              </w:rPr>
            </w:pPr>
            <w:r>
              <w:rPr>
                <w:rFonts w:hint="default" w:ascii="Times New Roman" w:hAnsi="Times New Roman" w:eastAsia="宋体" w:cs="Times New Roman"/>
                <w:snapToGrid w:val="0"/>
                <w:color w:val="auto"/>
                <w:kern w:val="21"/>
                <w:sz w:val="21"/>
                <w:szCs w:val="21"/>
                <w:u w:val="none" w:color="auto"/>
                <w:lang w:val="en-US" w:eastAsia="zh-CN" w:bidi="ar-SA"/>
              </w:rPr>
              <w:t>0</w:t>
            </w:r>
          </w:p>
        </w:tc>
      </w:tr>
      <w:tr w14:paraId="760AFB8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95" w:type="dxa"/>
            <w:vMerge w:val="continue"/>
            <w:noWrap w:val="0"/>
            <w:vAlign w:val="center"/>
          </w:tcPr>
          <w:p w14:paraId="4957DC1E">
            <w:pPr>
              <w:pStyle w:val="42"/>
              <w:spacing w:beforeLines="0" w:afterLines="0" w:line="240" w:lineRule="auto"/>
              <w:jc w:val="center"/>
              <w:rPr>
                <w:rFonts w:hint="default" w:ascii="Times New Roman" w:hAnsi="Times New Roman" w:eastAsia="宋体" w:cs="Times New Roman"/>
                <w:snapToGrid w:val="0"/>
                <w:color w:val="auto"/>
                <w:kern w:val="21"/>
                <w:sz w:val="21"/>
                <w:szCs w:val="21"/>
                <w:u w:val="none" w:color="auto"/>
              </w:rPr>
            </w:pPr>
          </w:p>
        </w:tc>
        <w:tc>
          <w:tcPr>
            <w:tcW w:w="2084" w:type="dxa"/>
            <w:noWrap w:val="0"/>
            <w:vAlign w:val="center"/>
          </w:tcPr>
          <w:p w14:paraId="77A9C7C6">
            <w:pPr>
              <w:keepNext w:val="0"/>
              <w:keepLines w:val="0"/>
              <w:widowControl/>
              <w:suppressLineNumbers w:val="0"/>
              <w:jc w:val="center"/>
              <w:textAlignment w:val="center"/>
              <w:rPr>
                <w:rFonts w:hint="default" w:ascii="Times New Roman" w:hAnsi="Times New Roman" w:eastAsia="宋体" w:cs="Times New Roman"/>
                <w:snapToGrid w:val="0"/>
                <w:color w:val="auto"/>
                <w:kern w:val="21"/>
                <w:sz w:val="21"/>
                <w:szCs w:val="21"/>
                <w:u w:val="none" w:color="auto"/>
                <w:lang w:val="en-US" w:eastAsia="zh-CN" w:bidi="ar-SA"/>
              </w:rPr>
            </w:pPr>
            <w:r>
              <w:rPr>
                <w:rFonts w:hint="default" w:ascii="Times New Roman" w:hAnsi="Times New Roman" w:eastAsia="宋体" w:cs="Times New Roman"/>
                <w:i w:val="0"/>
                <w:iCs w:val="0"/>
                <w:color w:val="auto"/>
                <w:kern w:val="0"/>
                <w:sz w:val="21"/>
                <w:szCs w:val="21"/>
                <w:u w:val="none" w:color="auto"/>
                <w:lang w:val="en-US" w:eastAsia="zh-CN" w:bidi="ar"/>
              </w:rPr>
              <w:t>浮油（代码：900-210-08）</w:t>
            </w:r>
          </w:p>
        </w:tc>
        <w:tc>
          <w:tcPr>
            <w:tcW w:w="1515" w:type="dxa"/>
            <w:noWrap w:val="0"/>
            <w:vAlign w:val="center"/>
          </w:tcPr>
          <w:p w14:paraId="65EBABB5">
            <w:pPr>
              <w:keepNext w:val="0"/>
              <w:keepLines w:val="0"/>
              <w:widowControl/>
              <w:suppressLineNumbers w:val="0"/>
              <w:jc w:val="center"/>
              <w:textAlignment w:val="center"/>
              <w:rPr>
                <w:rFonts w:hint="default" w:ascii="Times New Roman" w:hAnsi="Times New Roman" w:eastAsia="宋体" w:cs="Times New Roman"/>
                <w:snapToGrid w:val="0"/>
                <w:color w:val="auto"/>
                <w:kern w:val="21"/>
                <w:sz w:val="21"/>
                <w:szCs w:val="21"/>
                <w:u w:val="none" w:color="auto"/>
                <w:lang w:val="en-US" w:eastAsia="zh-CN" w:bidi="ar-SA"/>
              </w:rPr>
            </w:pPr>
            <w:r>
              <w:rPr>
                <w:rFonts w:hint="default" w:ascii="Times New Roman" w:hAnsi="Times New Roman" w:eastAsia="宋体" w:cs="Times New Roman"/>
                <w:i w:val="0"/>
                <w:iCs w:val="0"/>
                <w:color w:val="auto"/>
                <w:kern w:val="0"/>
                <w:sz w:val="21"/>
                <w:szCs w:val="21"/>
                <w:u w:val="none" w:color="auto"/>
                <w:lang w:val="en-US" w:eastAsia="zh-CN" w:bidi="ar"/>
              </w:rPr>
              <w:t>4.1111</w:t>
            </w:r>
          </w:p>
        </w:tc>
        <w:tc>
          <w:tcPr>
            <w:tcW w:w="1391" w:type="dxa"/>
            <w:noWrap w:val="0"/>
            <w:vAlign w:val="center"/>
          </w:tcPr>
          <w:p w14:paraId="764C0D7F">
            <w:pPr>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kern w:val="2"/>
                <w:sz w:val="21"/>
                <w:szCs w:val="21"/>
                <w:u w:val="none" w:color="auto"/>
                <w:lang w:val="en-US" w:eastAsia="zh-CN" w:bidi="ar-SA"/>
              </w:rPr>
              <w:t>/</w:t>
            </w:r>
          </w:p>
        </w:tc>
        <w:tc>
          <w:tcPr>
            <w:tcW w:w="1540" w:type="dxa"/>
            <w:noWrap w:val="0"/>
            <w:vAlign w:val="center"/>
          </w:tcPr>
          <w:p w14:paraId="41B1379E">
            <w:pPr>
              <w:jc w:val="center"/>
              <w:rPr>
                <w:rFonts w:hint="default" w:ascii="Times New Roman" w:hAnsi="Times New Roman" w:eastAsia="宋体" w:cs="Times New Roman"/>
                <w:snapToGrid w:val="0"/>
                <w:color w:val="auto"/>
                <w:kern w:val="21"/>
                <w:sz w:val="21"/>
                <w:szCs w:val="21"/>
                <w:u w:val="none" w:color="auto"/>
                <w:lang w:val="en-US" w:eastAsia="zh-CN" w:bidi="ar-SA"/>
              </w:rPr>
            </w:pPr>
            <w:r>
              <w:rPr>
                <w:rFonts w:hint="default" w:ascii="Times New Roman" w:hAnsi="Times New Roman" w:eastAsia="宋体" w:cs="Times New Roman"/>
                <w:snapToGrid w:val="0"/>
                <w:color w:val="auto"/>
                <w:kern w:val="21"/>
                <w:sz w:val="21"/>
                <w:szCs w:val="21"/>
                <w:u w:val="none" w:color="auto"/>
                <w:lang w:val="en-US" w:eastAsia="zh-CN"/>
              </w:rPr>
              <w:t>0</w:t>
            </w:r>
          </w:p>
        </w:tc>
        <w:tc>
          <w:tcPr>
            <w:tcW w:w="1540" w:type="dxa"/>
            <w:noWrap w:val="0"/>
            <w:vAlign w:val="center"/>
          </w:tcPr>
          <w:p w14:paraId="3C58E13F">
            <w:pPr>
              <w:jc w:val="center"/>
              <w:rPr>
                <w:rFonts w:hint="default" w:ascii="Times New Roman" w:hAnsi="Times New Roman" w:eastAsia="宋体" w:cs="Times New Roman"/>
                <w:snapToGrid w:val="0"/>
                <w:color w:val="auto"/>
                <w:kern w:val="21"/>
                <w:sz w:val="21"/>
                <w:szCs w:val="21"/>
                <w:u w:val="none" w:color="auto"/>
                <w:lang w:val="en-US" w:eastAsia="zh-CN" w:bidi="ar-SA"/>
              </w:rPr>
            </w:pPr>
            <w:r>
              <w:rPr>
                <w:rFonts w:hint="default" w:ascii="Times New Roman" w:hAnsi="Times New Roman" w:eastAsia="宋体" w:cs="Times New Roman"/>
                <w:snapToGrid w:val="0"/>
                <w:color w:val="auto"/>
                <w:kern w:val="21"/>
                <w:sz w:val="21"/>
                <w:szCs w:val="21"/>
                <w:u w:val="none" w:color="auto"/>
                <w:lang w:val="en-US" w:eastAsia="zh-CN" w:bidi="ar-SA"/>
              </w:rPr>
              <w:t>0</w:t>
            </w:r>
          </w:p>
        </w:tc>
        <w:tc>
          <w:tcPr>
            <w:tcW w:w="1540" w:type="dxa"/>
            <w:noWrap w:val="0"/>
            <w:vAlign w:val="center"/>
          </w:tcPr>
          <w:p w14:paraId="6D70D7A5">
            <w:pPr>
              <w:jc w:val="center"/>
              <w:rPr>
                <w:rFonts w:hint="default" w:ascii="Times New Roman" w:hAnsi="Times New Roman" w:eastAsia="宋体" w:cs="Times New Roman"/>
                <w:snapToGrid w:val="0"/>
                <w:color w:val="auto"/>
                <w:kern w:val="21"/>
                <w:sz w:val="21"/>
                <w:szCs w:val="21"/>
                <w:u w:val="none" w:color="auto"/>
                <w:lang w:val="en-US" w:eastAsia="zh-CN" w:bidi="ar-SA"/>
              </w:rPr>
            </w:pPr>
            <w:r>
              <w:rPr>
                <w:rFonts w:hint="default" w:ascii="Times New Roman" w:hAnsi="Times New Roman" w:eastAsia="宋体" w:cs="Times New Roman"/>
                <w:snapToGrid w:val="0"/>
                <w:color w:val="auto"/>
                <w:kern w:val="21"/>
                <w:sz w:val="21"/>
                <w:szCs w:val="21"/>
                <w:highlight w:val="none"/>
                <w:u w:val="none" w:color="auto"/>
                <w:lang w:val="en-US" w:eastAsia="zh-CN"/>
              </w:rPr>
              <w:t>0</w:t>
            </w:r>
          </w:p>
        </w:tc>
        <w:tc>
          <w:tcPr>
            <w:tcW w:w="1540" w:type="dxa"/>
            <w:noWrap w:val="0"/>
            <w:vAlign w:val="center"/>
          </w:tcPr>
          <w:p w14:paraId="34B004D5">
            <w:pPr>
              <w:keepNext w:val="0"/>
              <w:keepLines w:val="0"/>
              <w:widowControl/>
              <w:suppressLineNumbers w:val="0"/>
              <w:jc w:val="center"/>
              <w:textAlignment w:val="center"/>
              <w:rPr>
                <w:rFonts w:hint="default" w:ascii="Times New Roman" w:hAnsi="Times New Roman" w:eastAsia="宋体" w:cs="Times New Roman"/>
                <w:snapToGrid w:val="0"/>
                <w:color w:val="auto"/>
                <w:kern w:val="21"/>
                <w:sz w:val="21"/>
                <w:szCs w:val="21"/>
                <w:u w:val="none" w:color="auto"/>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4.1111</w:t>
            </w:r>
          </w:p>
        </w:tc>
        <w:tc>
          <w:tcPr>
            <w:tcW w:w="1543" w:type="dxa"/>
            <w:shd w:val="clear" w:color="auto" w:fill="auto"/>
            <w:noWrap w:val="0"/>
            <w:vAlign w:val="center"/>
          </w:tcPr>
          <w:p w14:paraId="69C5E2D0">
            <w:pPr>
              <w:jc w:val="center"/>
              <w:rPr>
                <w:rFonts w:hint="default" w:ascii="Times New Roman" w:hAnsi="Times New Roman" w:eastAsia="宋体" w:cs="Times New Roman"/>
                <w:snapToGrid w:val="0"/>
                <w:color w:val="auto"/>
                <w:kern w:val="21"/>
                <w:sz w:val="21"/>
                <w:szCs w:val="21"/>
                <w:u w:val="none" w:color="auto"/>
                <w:lang w:val="en-US" w:eastAsia="zh-CN" w:bidi="ar-SA"/>
              </w:rPr>
            </w:pPr>
            <w:r>
              <w:rPr>
                <w:rFonts w:hint="default" w:ascii="Times New Roman" w:hAnsi="Times New Roman" w:eastAsia="宋体" w:cs="Times New Roman"/>
                <w:snapToGrid w:val="0"/>
                <w:color w:val="auto"/>
                <w:kern w:val="21"/>
                <w:sz w:val="21"/>
                <w:szCs w:val="21"/>
                <w:u w:val="none" w:color="auto"/>
                <w:lang w:val="en-US" w:eastAsia="zh-CN" w:bidi="ar-SA"/>
              </w:rPr>
              <w:t>0</w:t>
            </w:r>
          </w:p>
        </w:tc>
      </w:tr>
      <w:tr w14:paraId="44AC341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95" w:type="dxa"/>
            <w:vMerge w:val="continue"/>
            <w:noWrap w:val="0"/>
            <w:vAlign w:val="center"/>
          </w:tcPr>
          <w:p w14:paraId="2DDF726B">
            <w:pPr>
              <w:pStyle w:val="42"/>
              <w:spacing w:beforeLines="0" w:afterLines="0" w:line="240" w:lineRule="auto"/>
              <w:jc w:val="center"/>
              <w:rPr>
                <w:rFonts w:hint="default" w:ascii="Times New Roman" w:hAnsi="Times New Roman" w:eastAsia="宋体" w:cs="Times New Roman"/>
                <w:snapToGrid w:val="0"/>
                <w:color w:val="auto"/>
                <w:kern w:val="21"/>
                <w:sz w:val="21"/>
                <w:szCs w:val="21"/>
                <w:u w:val="none" w:color="auto"/>
              </w:rPr>
            </w:pPr>
          </w:p>
        </w:tc>
        <w:tc>
          <w:tcPr>
            <w:tcW w:w="2084" w:type="dxa"/>
            <w:noWrap w:val="0"/>
            <w:vAlign w:val="center"/>
          </w:tcPr>
          <w:p w14:paraId="6B7C32C3">
            <w:pPr>
              <w:keepNext w:val="0"/>
              <w:keepLines w:val="0"/>
              <w:widowControl/>
              <w:suppressLineNumbers w:val="0"/>
              <w:jc w:val="center"/>
              <w:textAlignment w:val="center"/>
              <w:rPr>
                <w:rFonts w:hint="default" w:ascii="Times New Roman" w:hAnsi="Times New Roman" w:eastAsia="宋体" w:cs="Times New Roman"/>
                <w:snapToGrid w:val="0"/>
                <w:color w:val="auto"/>
                <w:kern w:val="21"/>
                <w:sz w:val="21"/>
                <w:szCs w:val="21"/>
                <w:u w:val="none" w:color="auto"/>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灰渣、残渣（代码321-026-48）</w:t>
            </w:r>
          </w:p>
        </w:tc>
        <w:tc>
          <w:tcPr>
            <w:tcW w:w="1515" w:type="dxa"/>
            <w:noWrap w:val="0"/>
            <w:vAlign w:val="center"/>
          </w:tcPr>
          <w:p w14:paraId="180674B9">
            <w:pPr>
              <w:keepNext w:val="0"/>
              <w:keepLines w:val="0"/>
              <w:widowControl/>
              <w:suppressLineNumbers w:val="0"/>
              <w:jc w:val="center"/>
              <w:textAlignment w:val="center"/>
              <w:rPr>
                <w:rFonts w:hint="default" w:ascii="Times New Roman" w:hAnsi="Times New Roman" w:eastAsia="宋体" w:cs="Times New Roman"/>
                <w:snapToGrid w:val="0"/>
                <w:color w:val="auto"/>
                <w:kern w:val="21"/>
                <w:sz w:val="21"/>
                <w:szCs w:val="21"/>
                <w:u w:val="none" w:color="auto"/>
                <w:lang w:val="en-US" w:eastAsia="zh-CN" w:bidi="ar-SA"/>
              </w:rPr>
            </w:pPr>
            <w:r>
              <w:rPr>
                <w:rFonts w:hint="default" w:ascii="Times New Roman" w:hAnsi="Times New Roman" w:eastAsia="宋体" w:cs="Times New Roman"/>
                <w:i w:val="0"/>
                <w:iCs w:val="0"/>
                <w:color w:val="auto"/>
                <w:kern w:val="0"/>
                <w:sz w:val="21"/>
                <w:szCs w:val="21"/>
                <w:u w:val="none" w:color="auto"/>
                <w:lang w:val="en-US" w:eastAsia="zh-CN" w:bidi="ar"/>
              </w:rPr>
              <w:t>734.3748</w:t>
            </w:r>
          </w:p>
        </w:tc>
        <w:tc>
          <w:tcPr>
            <w:tcW w:w="1391" w:type="dxa"/>
            <w:noWrap w:val="0"/>
            <w:vAlign w:val="center"/>
          </w:tcPr>
          <w:p w14:paraId="35F98F12">
            <w:pPr>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kern w:val="2"/>
                <w:sz w:val="21"/>
                <w:szCs w:val="21"/>
                <w:u w:val="none" w:color="auto"/>
                <w:lang w:val="en-US" w:eastAsia="zh-CN" w:bidi="ar-SA"/>
              </w:rPr>
              <w:t>/</w:t>
            </w:r>
          </w:p>
        </w:tc>
        <w:tc>
          <w:tcPr>
            <w:tcW w:w="1540" w:type="dxa"/>
            <w:noWrap w:val="0"/>
            <w:vAlign w:val="center"/>
          </w:tcPr>
          <w:p w14:paraId="4C148F41">
            <w:pPr>
              <w:jc w:val="center"/>
              <w:rPr>
                <w:rFonts w:hint="default" w:ascii="Times New Roman" w:hAnsi="Times New Roman" w:eastAsia="宋体" w:cs="Times New Roman"/>
                <w:snapToGrid w:val="0"/>
                <w:color w:val="auto"/>
                <w:kern w:val="21"/>
                <w:sz w:val="21"/>
                <w:szCs w:val="21"/>
                <w:u w:val="none" w:color="auto"/>
                <w:lang w:val="en-US" w:eastAsia="zh-CN" w:bidi="ar-SA"/>
              </w:rPr>
            </w:pPr>
            <w:r>
              <w:rPr>
                <w:rFonts w:hint="default" w:ascii="Times New Roman" w:hAnsi="Times New Roman" w:eastAsia="宋体" w:cs="Times New Roman"/>
                <w:snapToGrid w:val="0"/>
                <w:color w:val="auto"/>
                <w:kern w:val="21"/>
                <w:sz w:val="21"/>
                <w:szCs w:val="21"/>
                <w:u w:val="none" w:color="auto"/>
                <w:lang w:val="en-US" w:eastAsia="zh-CN"/>
              </w:rPr>
              <w:t>0</w:t>
            </w:r>
          </w:p>
        </w:tc>
        <w:tc>
          <w:tcPr>
            <w:tcW w:w="1540" w:type="dxa"/>
            <w:noWrap w:val="0"/>
            <w:vAlign w:val="center"/>
          </w:tcPr>
          <w:p w14:paraId="5E7AC44B">
            <w:pPr>
              <w:keepNext w:val="0"/>
              <w:keepLines w:val="0"/>
              <w:widowControl/>
              <w:suppressLineNumbers w:val="0"/>
              <w:jc w:val="center"/>
              <w:textAlignment w:val="center"/>
              <w:rPr>
                <w:rFonts w:hint="default" w:ascii="Times New Roman" w:hAnsi="Times New Roman" w:eastAsia="宋体" w:cs="Times New Roman"/>
                <w:snapToGrid w:val="0"/>
                <w:color w:val="auto"/>
                <w:kern w:val="21"/>
                <w:sz w:val="21"/>
                <w:szCs w:val="21"/>
                <w:u w:val="none" w:color="auto"/>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146.2929‬</w:t>
            </w:r>
          </w:p>
        </w:tc>
        <w:tc>
          <w:tcPr>
            <w:tcW w:w="1540" w:type="dxa"/>
            <w:noWrap w:val="0"/>
            <w:vAlign w:val="center"/>
          </w:tcPr>
          <w:p w14:paraId="39B9DD0C">
            <w:pPr>
              <w:jc w:val="center"/>
              <w:rPr>
                <w:rFonts w:hint="default" w:ascii="Times New Roman" w:hAnsi="Times New Roman" w:eastAsia="宋体" w:cs="Times New Roman"/>
                <w:snapToGrid w:val="0"/>
                <w:color w:val="auto"/>
                <w:kern w:val="21"/>
                <w:sz w:val="21"/>
                <w:szCs w:val="21"/>
                <w:u w:val="none" w:color="auto"/>
                <w:lang w:val="en-US" w:eastAsia="zh-CN" w:bidi="ar-SA"/>
              </w:rPr>
            </w:pPr>
            <w:r>
              <w:rPr>
                <w:rFonts w:hint="default" w:ascii="Times New Roman" w:hAnsi="Times New Roman" w:eastAsia="宋体" w:cs="Times New Roman"/>
                <w:snapToGrid w:val="0"/>
                <w:color w:val="auto"/>
                <w:kern w:val="21"/>
                <w:sz w:val="21"/>
                <w:szCs w:val="21"/>
                <w:highlight w:val="none"/>
                <w:u w:val="none" w:color="auto"/>
                <w:lang w:val="en-US" w:eastAsia="zh-CN"/>
              </w:rPr>
              <w:t>0</w:t>
            </w:r>
          </w:p>
        </w:tc>
        <w:tc>
          <w:tcPr>
            <w:tcW w:w="1540" w:type="dxa"/>
            <w:noWrap w:val="0"/>
            <w:vAlign w:val="center"/>
          </w:tcPr>
          <w:p w14:paraId="451BE6DC">
            <w:pPr>
              <w:keepNext w:val="0"/>
              <w:keepLines w:val="0"/>
              <w:widowControl/>
              <w:suppressLineNumbers w:val="0"/>
              <w:jc w:val="center"/>
              <w:textAlignment w:val="center"/>
              <w:rPr>
                <w:rFonts w:hint="default" w:ascii="Times New Roman" w:hAnsi="Times New Roman" w:eastAsia="宋体" w:cs="Times New Roman"/>
                <w:snapToGrid w:val="0"/>
                <w:color w:val="auto"/>
                <w:kern w:val="21"/>
                <w:sz w:val="21"/>
                <w:szCs w:val="21"/>
                <w:u w:val="none" w:color="auto"/>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880.6677</w:t>
            </w:r>
          </w:p>
        </w:tc>
        <w:tc>
          <w:tcPr>
            <w:tcW w:w="1543" w:type="dxa"/>
            <w:shd w:val="clear" w:color="auto" w:fill="auto"/>
            <w:noWrap w:val="0"/>
            <w:vAlign w:val="center"/>
          </w:tcPr>
          <w:p w14:paraId="4B542072">
            <w:pPr>
              <w:keepNext w:val="0"/>
              <w:keepLines w:val="0"/>
              <w:widowControl/>
              <w:suppressLineNumbers w:val="0"/>
              <w:jc w:val="center"/>
              <w:textAlignment w:val="center"/>
              <w:rPr>
                <w:rFonts w:hint="default" w:ascii="Times New Roman" w:hAnsi="Times New Roman" w:eastAsia="宋体" w:cs="Times New Roman"/>
                <w:snapToGrid w:val="0"/>
                <w:color w:val="auto"/>
                <w:kern w:val="21"/>
                <w:sz w:val="21"/>
                <w:szCs w:val="21"/>
                <w:u w:val="none" w:color="auto"/>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+146.2929‬</w:t>
            </w:r>
          </w:p>
        </w:tc>
      </w:tr>
      <w:tr w14:paraId="0C86F97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23" w:hRule="atLeast"/>
          <w:jc w:val="center"/>
        </w:trPr>
        <w:tc>
          <w:tcPr>
            <w:tcW w:w="1095" w:type="dxa"/>
            <w:vMerge w:val="continue"/>
            <w:noWrap w:val="0"/>
            <w:vAlign w:val="center"/>
          </w:tcPr>
          <w:p w14:paraId="6A6A4201">
            <w:pPr>
              <w:pStyle w:val="42"/>
              <w:spacing w:beforeLines="0" w:afterLines="0" w:line="240" w:lineRule="auto"/>
              <w:jc w:val="center"/>
              <w:rPr>
                <w:rFonts w:hint="default" w:ascii="Times New Roman" w:hAnsi="Times New Roman" w:eastAsia="宋体" w:cs="Times New Roman"/>
                <w:snapToGrid w:val="0"/>
                <w:color w:val="auto"/>
                <w:kern w:val="21"/>
                <w:sz w:val="21"/>
                <w:szCs w:val="21"/>
                <w:u w:val="none" w:color="auto"/>
              </w:rPr>
            </w:pPr>
          </w:p>
        </w:tc>
        <w:tc>
          <w:tcPr>
            <w:tcW w:w="2084" w:type="dxa"/>
            <w:noWrap w:val="0"/>
            <w:vAlign w:val="center"/>
          </w:tcPr>
          <w:p w14:paraId="0CEC6AF7">
            <w:pPr>
              <w:keepNext w:val="0"/>
              <w:keepLines w:val="0"/>
              <w:widowControl/>
              <w:suppressLineNumbers w:val="0"/>
              <w:jc w:val="center"/>
              <w:textAlignment w:val="center"/>
              <w:rPr>
                <w:rFonts w:hint="default" w:ascii="Times New Roman" w:hAnsi="Times New Roman" w:eastAsia="宋体" w:cs="Times New Roman"/>
                <w:snapToGrid w:val="0"/>
                <w:color w:val="auto"/>
                <w:kern w:val="21"/>
                <w:sz w:val="21"/>
                <w:szCs w:val="21"/>
                <w:u w:val="none" w:color="auto"/>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蚀洗槽铝残渣（代码：336-064-17）</w:t>
            </w:r>
          </w:p>
        </w:tc>
        <w:tc>
          <w:tcPr>
            <w:tcW w:w="1515" w:type="dxa"/>
            <w:noWrap w:val="0"/>
            <w:vAlign w:val="center"/>
          </w:tcPr>
          <w:p w14:paraId="1E08552B">
            <w:pPr>
              <w:keepNext w:val="0"/>
              <w:keepLines w:val="0"/>
              <w:widowControl/>
              <w:suppressLineNumbers w:val="0"/>
              <w:jc w:val="center"/>
              <w:textAlignment w:val="center"/>
              <w:rPr>
                <w:rFonts w:hint="default" w:ascii="Times New Roman" w:hAnsi="Times New Roman" w:eastAsia="宋体" w:cs="Times New Roman"/>
                <w:snapToGrid w:val="0"/>
                <w:color w:val="auto"/>
                <w:kern w:val="21"/>
                <w:sz w:val="21"/>
                <w:szCs w:val="21"/>
                <w:u w:val="none" w:color="auto"/>
                <w:lang w:val="en-US" w:eastAsia="zh-CN" w:bidi="ar-SA"/>
              </w:rPr>
            </w:pPr>
            <w:r>
              <w:rPr>
                <w:rFonts w:hint="default" w:ascii="Times New Roman" w:hAnsi="Times New Roman" w:eastAsia="宋体" w:cs="Times New Roman"/>
                <w:i w:val="0"/>
                <w:iCs w:val="0"/>
                <w:color w:val="auto"/>
                <w:kern w:val="0"/>
                <w:sz w:val="21"/>
                <w:szCs w:val="21"/>
                <w:u w:val="none" w:color="auto"/>
                <w:lang w:val="en-US" w:eastAsia="zh-CN" w:bidi="ar"/>
              </w:rPr>
              <w:t>5.9351</w:t>
            </w:r>
          </w:p>
        </w:tc>
        <w:tc>
          <w:tcPr>
            <w:tcW w:w="1391" w:type="dxa"/>
            <w:noWrap w:val="0"/>
            <w:vAlign w:val="center"/>
          </w:tcPr>
          <w:p w14:paraId="6D3B00F4">
            <w:pPr>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kern w:val="2"/>
                <w:sz w:val="21"/>
                <w:szCs w:val="21"/>
                <w:u w:val="none" w:color="auto"/>
                <w:lang w:val="en-US" w:eastAsia="zh-CN" w:bidi="ar-SA"/>
              </w:rPr>
              <w:t>/</w:t>
            </w:r>
          </w:p>
        </w:tc>
        <w:tc>
          <w:tcPr>
            <w:tcW w:w="1540" w:type="dxa"/>
            <w:noWrap w:val="0"/>
            <w:vAlign w:val="center"/>
          </w:tcPr>
          <w:p w14:paraId="039E4335">
            <w:pPr>
              <w:jc w:val="center"/>
              <w:rPr>
                <w:rFonts w:hint="default" w:ascii="Times New Roman" w:hAnsi="Times New Roman" w:eastAsia="宋体" w:cs="Times New Roman"/>
                <w:snapToGrid w:val="0"/>
                <w:color w:val="auto"/>
                <w:kern w:val="21"/>
                <w:sz w:val="21"/>
                <w:szCs w:val="21"/>
                <w:u w:val="none" w:color="auto"/>
                <w:lang w:val="en-US" w:eastAsia="zh-CN" w:bidi="ar-SA"/>
              </w:rPr>
            </w:pPr>
            <w:r>
              <w:rPr>
                <w:rFonts w:hint="default" w:ascii="Times New Roman" w:hAnsi="Times New Roman" w:eastAsia="宋体" w:cs="Times New Roman"/>
                <w:snapToGrid w:val="0"/>
                <w:color w:val="auto"/>
                <w:kern w:val="21"/>
                <w:sz w:val="21"/>
                <w:szCs w:val="21"/>
                <w:u w:val="none" w:color="auto"/>
                <w:lang w:val="en-US" w:eastAsia="zh-CN"/>
              </w:rPr>
              <w:t>0</w:t>
            </w:r>
          </w:p>
        </w:tc>
        <w:tc>
          <w:tcPr>
            <w:tcW w:w="1540" w:type="dxa"/>
            <w:noWrap w:val="0"/>
            <w:vAlign w:val="center"/>
          </w:tcPr>
          <w:p w14:paraId="750E3488">
            <w:pPr>
              <w:jc w:val="center"/>
              <w:rPr>
                <w:rFonts w:hint="default" w:ascii="Times New Roman" w:hAnsi="Times New Roman" w:eastAsia="宋体" w:cs="Times New Roman"/>
                <w:snapToGrid w:val="0"/>
                <w:color w:val="auto"/>
                <w:kern w:val="21"/>
                <w:sz w:val="21"/>
                <w:szCs w:val="21"/>
                <w:u w:val="none" w:color="auto"/>
                <w:lang w:val="en-US" w:eastAsia="zh-CN" w:bidi="ar-SA"/>
              </w:rPr>
            </w:pPr>
            <w:r>
              <w:rPr>
                <w:rFonts w:hint="default" w:ascii="Times New Roman" w:hAnsi="Times New Roman" w:eastAsia="宋体" w:cs="Times New Roman"/>
                <w:snapToGrid w:val="0"/>
                <w:color w:val="auto"/>
                <w:kern w:val="21"/>
                <w:sz w:val="21"/>
                <w:szCs w:val="21"/>
                <w:u w:val="none" w:color="auto"/>
                <w:lang w:val="en-US" w:eastAsia="zh-CN" w:bidi="ar-SA"/>
              </w:rPr>
              <w:t>0</w:t>
            </w:r>
          </w:p>
        </w:tc>
        <w:tc>
          <w:tcPr>
            <w:tcW w:w="1540" w:type="dxa"/>
            <w:noWrap w:val="0"/>
            <w:vAlign w:val="center"/>
          </w:tcPr>
          <w:p w14:paraId="01613696">
            <w:pPr>
              <w:jc w:val="center"/>
              <w:rPr>
                <w:rFonts w:hint="default" w:ascii="Times New Roman" w:hAnsi="Times New Roman" w:eastAsia="宋体" w:cs="Times New Roman"/>
                <w:snapToGrid w:val="0"/>
                <w:color w:val="auto"/>
                <w:kern w:val="21"/>
                <w:sz w:val="21"/>
                <w:szCs w:val="21"/>
                <w:u w:val="none" w:color="auto"/>
                <w:lang w:val="en-US" w:eastAsia="zh-CN" w:bidi="ar-SA"/>
              </w:rPr>
            </w:pPr>
            <w:r>
              <w:rPr>
                <w:rFonts w:hint="default" w:ascii="Times New Roman" w:hAnsi="Times New Roman" w:eastAsia="宋体" w:cs="Times New Roman"/>
                <w:snapToGrid w:val="0"/>
                <w:color w:val="auto"/>
                <w:kern w:val="21"/>
                <w:sz w:val="21"/>
                <w:szCs w:val="21"/>
                <w:highlight w:val="none"/>
                <w:u w:val="none" w:color="auto"/>
                <w:lang w:val="en-US" w:eastAsia="zh-CN"/>
              </w:rPr>
              <w:t>0</w:t>
            </w:r>
          </w:p>
        </w:tc>
        <w:tc>
          <w:tcPr>
            <w:tcW w:w="1540" w:type="dxa"/>
            <w:noWrap w:val="0"/>
            <w:vAlign w:val="center"/>
          </w:tcPr>
          <w:p w14:paraId="0D3D26E9">
            <w:pPr>
              <w:keepNext w:val="0"/>
              <w:keepLines w:val="0"/>
              <w:widowControl/>
              <w:suppressLineNumbers w:val="0"/>
              <w:jc w:val="center"/>
              <w:textAlignment w:val="center"/>
              <w:rPr>
                <w:rFonts w:hint="default" w:ascii="Times New Roman" w:hAnsi="Times New Roman" w:eastAsia="宋体" w:cs="Times New Roman"/>
                <w:snapToGrid w:val="0"/>
                <w:color w:val="auto"/>
                <w:kern w:val="21"/>
                <w:sz w:val="21"/>
                <w:szCs w:val="21"/>
                <w:u w:val="none" w:color="auto"/>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5.9351</w:t>
            </w:r>
          </w:p>
        </w:tc>
        <w:tc>
          <w:tcPr>
            <w:tcW w:w="1543" w:type="dxa"/>
            <w:shd w:val="clear" w:color="auto" w:fill="auto"/>
            <w:noWrap w:val="0"/>
            <w:vAlign w:val="center"/>
          </w:tcPr>
          <w:p w14:paraId="66C1EA21">
            <w:pPr>
              <w:jc w:val="center"/>
              <w:rPr>
                <w:rFonts w:hint="default" w:ascii="Times New Roman" w:hAnsi="Times New Roman" w:eastAsia="宋体" w:cs="Times New Roman"/>
                <w:snapToGrid w:val="0"/>
                <w:color w:val="auto"/>
                <w:kern w:val="21"/>
                <w:sz w:val="21"/>
                <w:szCs w:val="21"/>
                <w:u w:val="none" w:color="auto"/>
                <w:lang w:val="en-US" w:eastAsia="zh-CN" w:bidi="ar-SA"/>
              </w:rPr>
            </w:pPr>
            <w:r>
              <w:rPr>
                <w:rFonts w:hint="default" w:ascii="Times New Roman" w:hAnsi="Times New Roman" w:eastAsia="宋体" w:cs="Times New Roman"/>
                <w:snapToGrid w:val="0"/>
                <w:color w:val="auto"/>
                <w:kern w:val="21"/>
                <w:sz w:val="21"/>
                <w:szCs w:val="21"/>
                <w:u w:val="none" w:color="auto"/>
                <w:lang w:val="en-US" w:eastAsia="zh-CN" w:bidi="ar-SA"/>
              </w:rPr>
              <w:t>0</w:t>
            </w:r>
          </w:p>
        </w:tc>
      </w:tr>
      <w:tr w14:paraId="2FB47F2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95" w:type="dxa"/>
            <w:vMerge w:val="continue"/>
            <w:noWrap w:val="0"/>
            <w:vAlign w:val="center"/>
          </w:tcPr>
          <w:p w14:paraId="0A10E368">
            <w:pPr>
              <w:pStyle w:val="42"/>
              <w:spacing w:beforeLines="0" w:afterLines="0" w:line="240" w:lineRule="auto"/>
              <w:jc w:val="center"/>
              <w:rPr>
                <w:rFonts w:hint="default" w:ascii="Times New Roman" w:hAnsi="Times New Roman" w:eastAsia="宋体" w:cs="Times New Roman"/>
                <w:snapToGrid w:val="0"/>
                <w:color w:val="auto"/>
                <w:kern w:val="21"/>
                <w:sz w:val="21"/>
                <w:szCs w:val="21"/>
                <w:u w:val="none" w:color="auto"/>
              </w:rPr>
            </w:pPr>
          </w:p>
        </w:tc>
        <w:tc>
          <w:tcPr>
            <w:tcW w:w="2084" w:type="dxa"/>
            <w:noWrap w:val="0"/>
            <w:vAlign w:val="center"/>
          </w:tcPr>
          <w:p w14:paraId="4B083E57">
            <w:pPr>
              <w:keepNext w:val="0"/>
              <w:keepLines w:val="0"/>
              <w:widowControl/>
              <w:suppressLineNumbers w:val="0"/>
              <w:jc w:val="center"/>
              <w:textAlignment w:val="center"/>
              <w:rPr>
                <w:rFonts w:hint="default" w:ascii="Times New Roman" w:hAnsi="Times New Roman" w:eastAsia="宋体" w:cs="Times New Roman"/>
                <w:snapToGrid w:val="0"/>
                <w:color w:val="auto"/>
                <w:kern w:val="21"/>
                <w:sz w:val="21"/>
                <w:szCs w:val="21"/>
                <w:u w:val="none" w:color="auto"/>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除尘收集的粉尘（代码321-034-48）</w:t>
            </w:r>
          </w:p>
        </w:tc>
        <w:tc>
          <w:tcPr>
            <w:tcW w:w="1515" w:type="dxa"/>
            <w:noWrap w:val="0"/>
            <w:vAlign w:val="center"/>
          </w:tcPr>
          <w:p w14:paraId="551116AB">
            <w:pPr>
              <w:keepNext w:val="0"/>
              <w:keepLines w:val="0"/>
              <w:widowControl/>
              <w:suppressLineNumbers w:val="0"/>
              <w:jc w:val="center"/>
              <w:textAlignment w:val="center"/>
              <w:rPr>
                <w:rFonts w:hint="default" w:ascii="Times New Roman" w:hAnsi="Times New Roman" w:eastAsia="宋体" w:cs="Times New Roman"/>
                <w:snapToGrid w:val="0"/>
                <w:color w:val="auto"/>
                <w:kern w:val="21"/>
                <w:sz w:val="21"/>
                <w:szCs w:val="21"/>
                <w:u w:val="none" w:color="auto"/>
                <w:lang w:val="en-US" w:eastAsia="zh-CN" w:bidi="ar-SA"/>
              </w:rPr>
            </w:pPr>
            <w:r>
              <w:rPr>
                <w:rFonts w:hint="default" w:ascii="Times New Roman" w:hAnsi="Times New Roman" w:eastAsia="宋体" w:cs="Times New Roman"/>
                <w:i w:val="0"/>
                <w:iCs w:val="0"/>
                <w:color w:val="auto"/>
                <w:kern w:val="0"/>
                <w:sz w:val="21"/>
                <w:szCs w:val="21"/>
                <w:u w:val="none" w:color="auto"/>
                <w:lang w:val="en-US" w:eastAsia="zh-CN" w:bidi="ar"/>
              </w:rPr>
              <w:t>94.5396</w:t>
            </w:r>
          </w:p>
        </w:tc>
        <w:tc>
          <w:tcPr>
            <w:tcW w:w="1391" w:type="dxa"/>
            <w:noWrap w:val="0"/>
            <w:vAlign w:val="center"/>
          </w:tcPr>
          <w:p w14:paraId="6A5433CF">
            <w:pPr>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kern w:val="2"/>
                <w:sz w:val="21"/>
                <w:szCs w:val="21"/>
                <w:u w:val="none" w:color="auto"/>
                <w:lang w:val="en-US" w:eastAsia="zh-CN" w:bidi="ar-SA"/>
              </w:rPr>
              <w:t>/</w:t>
            </w:r>
          </w:p>
        </w:tc>
        <w:tc>
          <w:tcPr>
            <w:tcW w:w="1540" w:type="dxa"/>
            <w:noWrap w:val="0"/>
            <w:vAlign w:val="center"/>
          </w:tcPr>
          <w:p w14:paraId="224BD926">
            <w:pPr>
              <w:jc w:val="center"/>
              <w:rPr>
                <w:rFonts w:hint="default" w:ascii="Times New Roman" w:hAnsi="Times New Roman" w:eastAsia="宋体" w:cs="Times New Roman"/>
                <w:snapToGrid w:val="0"/>
                <w:color w:val="auto"/>
                <w:kern w:val="21"/>
                <w:sz w:val="21"/>
                <w:szCs w:val="21"/>
                <w:u w:val="none" w:color="auto"/>
                <w:lang w:val="en-US" w:eastAsia="zh-CN" w:bidi="ar-SA"/>
              </w:rPr>
            </w:pPr>
            <w:r>
              <w:rPr>
                <w:rFonts w:hint="default" w:ascii="Times New Roman" w:hAnsi="Times New Roman" w:eastAsia="宋体" w:cs="Times New Roman"/>
                <w:snapToGrid w:val="0"/>
                <w:color w:val="auto"/>
                <w:kern w:val="21"/>
                <w:sz w:val="21"/>
                <w:szCs w:val="21"/>
                <w:u w:val="none" w:color="auto"/>
                <w:lang w:val="en-US" w:eastAsia="zh-CN"/>
              </w:rPr>
              <w:t>0</w:t>
            </w:r>
          </w:p>
        </w:tc>
        <w:tc>
          <w:tcPr>
            <w:tcW w:w="1540" w:type="dxa"/>
            <w:noWrap w:val="0"/>
            <w:vAlign w:val="center"/>
          </w:tcPr>
          <w:p w14:paraId="5A391EAA">
            <w:pPr>
              <w:keepNext w:val="0"/>
              <w:keepLines w:val="0"/>
              <w:widowControl/>
              <w:suppressLineNumbers w:val="0"/>
              <w:jc w:val="center"/>
              <w:textAlignment w:val="center"/>
              <w:rPr>
                <w:rFonts w:hint="default" w:ascii="Times New Roman" w:hAnsi="Times New Roman" w:eastAsia="宋体" w:cs="Times New Roman"/>
                <w:snapToGrid w:val="0"/>
                <w:color w:val="auto"/>
                <w:kern w:val="21"/>
                <w:sz w:val="21"/>
                <w:szCs w:val="21"/>
                <w:u w:val="none" w:color="auto"/>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282.5423</w:t>
            </w:r>
          </w:p>
        </w:tc>
        <w:tc>
          <w:tcPr>
            <w:tcW w:w="1540" w:type="dxa"/>
            <w:noWrap w:val="0"/>
            <w:vAlign w:val="center"/>
          </w:tcPr>
          <w:p w14:paraId="4F18EFCE">
            <w:pPr>
              <w:jc w:val="center"/>
              <w:rPr>
                <w:rFonts w:hint="default" w:ascii="Times New Roman" w:hAnsi="Times New Roman" w:eastAsia="宋体" w:cs="Times New Roman"/>
                <w:snapToGrid w:val="0"/>
                <w:color w:val="auto"/>
                <w:kern w:val="21"/>
                <w:sz w:val="21"/>
                <w:szCs w:val="21"/>
                <w:u w:val="none" w:color="auto"/>
                <w:lang w:val="en-US" w:eastAsia="zh-CN" w:bidi="ar-SA"/>
              </w:rPr>
            </w:pPr>
            <w:r>
              <w:rPr>
                <w:rFonts w:hint="default" w:ascii="Times New Roman" w:hAnsi="Times New Roman" w:eastAsia="宋体" w:cs="Times New Roman"/>
                <w:snapToGrid w:val="0"/>
                <w:color w:val="auto"/>
                <w:kern w:val="21"/>
                <w:sz w:val="21"/>
                <w:szCs w:val="21"/>
                <w:highlight w:val="none"/>
                <w:u w:val="none" w:color="auto"/>
                <w:lang w:val="en-US" w:eastAsia="zh-CN"/>
              </w:rPr>
              <w:t>0</w:t>
            </w:r>
          </w:p>
        </w:tc>
        <w:tc>
          <w:tcPr>
            <w:tcW w:w="1540" w:type="dxa"/>
            <w:noWrap w:val="0"/>
            <w:vAlign w:val="center"/>
          </w:tcPr>
          <w:p w14:paraId="59EA799B">
            <w:pPr>
              <w:keepNext w:val="0"/>
              <w:keepLines w:val="0"/>
              <w:widowControl/>
              <w:suppressLineNumbers w:val="0"/>
              <w:jc w:val="center"/>
              <w:textAlignment w:val="center"/>
              <w:rPr>
                <w:rFonts w:hint="default" w:ascii="Times New Roman" w:hAnsi="Times New Roman" w:eastAsia="宋体" w:cs="Times New Roman"/>
                <w:snapToGrid w:val="0"/>
                <w:color w:val="auto"/>
                <w:kern w:val="21"/>
                <w:sz w:val="21"/>
                <w:szCs w:val="21"/>
                <w:u w:val="none" w:color="auto"/>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377.0819</w:t>
            </w:r>
          </w:p>
        </w:tc>
        <w:tc>
          <w:tcPr>
            <w:tcW w:w="1543" w:type="dxa"/>
            <w:shd w:val="clear" w:color="auto" w:fill="auto"/>
            <w:noWrap w:val="0"/>
            <w:vAlign w:val="center"/>
          </w:tcPr>
          <w:p w14:paraId="17CEE7FB">
            <w:pPr>
              <w:keepNext w:val="0"/>
              <w:keepLines w:val="0"/>
              <w:widowControl/>
              <w:suppressLineNumbers w:val="0"/>
              <w:jc w:val="center"/>
              <w:textAlignment w:val="center"/>
              <w:rPr>
                <w:rFonts w:hint="default" w:ascii="Times New Roman" w:hAnsi="Times New Roman" w:eastAsia="宋体" w:cs="Times New Roman"/>
                <w:snapToGrid w:val="0"/>
                <w:color w:val="auto"/>
                <w:kern w:val="21"/>
                <w:sz w:val="21"/>
                <w:szCs w:val="21"/>
                <w:u w:val="none" w:color="auto"/>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+282.5423</w:t>
            </w:r>
          </w:p>
        </w:tc>
      </w:tr>
      <w:tr w14:paraId="302EF5E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95" w:type="dxa"/>
            <w:vMerge w:val="continue"/>
            <w:noWrap w:val="0"/>
            <w:vAlign w:val="center"/>
          </w:tcPr>
          <w:p w14:paraId="09DFD4FD">
            <w:pPr>
              <w:pStyle w:val="42"/>
              <w:spacing w:beforeLines="0" w:afterLines="0" w:line="240" w:lineRule="auto"/>
              <w:jc w:val="center"/>
              <w:rPr>
                <w:rFonts w:hint="default" w:ascii="Times New Roman" w:hAnsi="Times New Roman" w:eastAsia="宋体" w:cs="Times New Roman"/>
                <w:snapToGrid w:val="0"/>
                <w:color w:val="auto"/>
                <w:kern w:val="21"/>
                <w:sz w:val="21"/>
                <w:szCs w:val="21"/>
                <w:u w:val="none" w:color="auto"/>
              </w:rPr>
            </w:pPr>
          </w:p>
        </w:tc>
        <w:tc>
          <w:tcPr>
            <w:tcW w:w="2084" w:type="dxa"/>
            <w:noWrap w:val="0"/>
            <w:vAlign w:val="center"/>
          </w:tcPr>
          <w:p w14:paraId="6DB4470E">
            <w:pPr>
              <w:keepNext w:val="0"/>
              <w:keepLines w:val="0"/>
              <w:widowControl/>
              <w:suppressLineNumbers w:val="0"/>
              <w:jc w:val="center"/>
              <w:textAlignment w:val="center"/>
              <w:rPr>
                <w:rFonts w:hint="default" w:ascii="Times New Roman" w:hAnsi="Times New Roman" w:eastAsia="宋体" w:cs="Times New Roman"/>
                <w:snapToGrid w:val="0"/>
                <w:color w:val="auto"/>
                <w:kern w:val="21"/>
                <w:sz w:val="21"/>
                <w:szCs w:val="21"/>
                <w:u w:val="none" w:color="auto"/>
                <w:lang w:val="en-US" w:eastAsia="zh-CN" w:bidi="ar-SA"/>
              </w:rPr>
            </w:pPr>
            <w:r>
              <w:rPr>
                <w:rFonts w:hint="default" w:ascii="Times New Roman" w:hAnsi="Times New Roman" w:eastAsia="宋体" w:cs="Times New Roman"/>
                <w:i w:val="0"/>
                <w:iCs w:val="0"/>
                <w:color w:val="auto"/>
                <w:kern w:val="0"/>
                <w:sz w:val="21"/>
                <w:szCs w:val="21"/>
                <w:u w:val="none" w:color="auto"/>
                <w:lang w:val="en-US" w:eastAsia="zh-CN" w:bidi="ar"/>
              </w:rPr>
              <w:t>实验室废液（代码：900-047-49）</w:t>
            </w:r>
          </w:p>
        </w:tc>
        <w:tc>
          <w:tcPr>
            <w:tcW w:w="1515" w:type="dxa"/>
            <w:noWrap w:val="0"/>
            <w:vAlign w:val="center"/>
          </w:tcPr>
          <w:p w14:paraId="3604EEC6">
            <w:pPr>
              <w:keepNext w:val="0"/>
              <w:keepLines w:val="0"/>
              <w:widowControl/>
              <w:suppressLineNumbers w:val="0"/>
              <w:jc w:val="center"/>
              <w:textAlignment w:val="center"/>
              <w:rPr>
                <w:rFonts w:hint="default" w:ascii="Times New Roman" w:hAnsi="Times New Roman" w:eastAsia="宋体" w:cs="Times New Roman"/>
                <w:snapToGrid w:val="0"/>
                <w:color w:val="auto"/>
                <w:kern w:val="21"/>
                <w:sz w:val="21"/>
                <w:szCs w:val="21"/>
                <w:u w:val="none" w:color="auto"/>
                <w:lang w:val="en-US" w:eastAsia="zh-CN" w:bidi="ar-SA"/>
              </w:rPr>
            </w:pPr>
            <w:r>
              <w:rPr>
                <w:rFonts w:hint="default" w:ascii="Times New Roman" w:hAnsi="Times New Roman" w:eastAsia="宋体" w:cs="Times New Roman"/>
                <w:i w:val="0"/>
                <w:iCs w:val="0"/>
                <w:color w:val="auto"/>
                <w:kern w:val="0"/>
                <w:sz w:val="21"/>
                <w:szCs w:val="21"/>
                <w:u w:val="none" w:color="auto"/>
                <w:lang w:val="en-US" w:eastAsia="zh-CN" w:bidi="ar"/>
              </w:rPr>
              <w:t>11.328</w:t>
            </w:r>
          </w:p>
        </w:tc>
        <w:tc>
          <w:tcPr>
            <w:tcW w:w="1391" w:type="dxa"/>
            <w:noWrap w:val="0"/>
            <w:vAlign w:val="center"/>
          </w:tcPr>
          <w:p w14:paraId="0DEE3F3B">
            <w:pPr>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kern w:val="2"/>
                <w:sz w:val="21"/>
                <w:szCs w:val="21"/>
                <w:u w:val="none" w:color="auto"/>
                <w:lang w:val="en-US" w:eastAsia="zh-CN" w:bidi="ar-SA"/>
              </w:rPr>
              <w:t>/</w:t>
            </w:r>
          </w:p>
        </w:tc>
        <w:tc>
          <w:tcPr>
            <w:tcW w:w="1540" w:type="dxa"/>
            <w:noWrap w:val="0"/>
            <w:vAlign w:val="center"/>
          </w:tcPr>
          <w:p w14:paraId="64B3388E">
            <w:pPr>
              <w:jc w:val="center"/>
              <w:rPr>
                <w:rFonts w:hint="default" w:ascii="Times New Roman" w:hAnsi="Times New Roman" w:eastAsia="宋体" w:cs="Times New Roman"/>
                <w:snapToGrid w:val="0"/>
                <w:color w:val="auto"/>
                <w:kern w:val="21"/>
                <w:sz w:val="21"/>
                <w:szCs w:val="21"/>
                <w:u w:val="none" w:color="auto"/>
                <w:lang w:val="en-US" w:eastAsia="zh-CN" w:bidi="ar-SA"/>
              </w:rPr>
            </w:pPr>
            <w:r>
              <w:rPr>
                <w:rFonts w:hint="default" w:ascii="Times New Roman" w:hAnsi="Times New Roman" w:eastAsia="宋体" w:cs="Times New Roman"/>
                <w:snapToGrid w:val="0"/>
                <w:color w:val="auto"/>
                <w:kern w:val="21"/>
                <w:sz w:val="21"/>
                <w:szCs w:val="21"/>
                <w:u w:val="none" w:color="auto"/>
                <w:lang w:val="en-US" w:eastAsia="zh-CN"/>
              </w:rPr>
              <w:t>0</w:t>
            </w:r>
          </w:p>
        </w:tc>
        <w:tc>
          <w:tcPr>
            <w:tcW w:w="1540" w:type="dxa"/>
            <w:noWrap w:val="0"/>
            <w:vAlign w:val="center"/>
          </w:tcPr>
          <w:p w14:paraId="6427FD18">
            <w:pPr>
              <w:jc w:val="center"/>
              <w:rPr>
                <w:rFonts w:hint="default" w:ascii="Times New Roman" w:hAnsi="Times New Roman" w:eastAsia="宋体" w:cs="Times New Roman"/>
                <w:snapToGrid w:val="0"/>
                <w:color w:val="auto"/>
                <w:kern w:val="21"/>
                <w:sz w:val="21"/>
                <w:szCs w:val="21"/>
                <w:u w:val="none" w:color="auto"/>
                <w:lang w:val="en-US" w:eastAsia="zh-CN" w:bidi="ar-SA"/>
              </w:rPr>
            </w:pPr>
            <w:r>
              <w:rPr>
                <w:rFonts w:hint="default" w:ascii="Times New Roman" w:hAnsi="Times New Roman" w:eastAsia="宋体" w:cs="Times New Roman"/>
                <w:snapToGrid w:val="0"/>
                <w:color w:val="auto"/>
                <w:kern w:val="21"/>
                <w:sz w:val="21"/>
                <w:szCs w:val="21"/>
                <w:u w:val="none" w:color="auto"/>
                <w:lang w:val="en-US" w:eastAsia="zh-CN" w:bidi="ar-SA"/>
              </w:rPr>
              <w:t>0</w:t>
            </w:r>
          </w:p>
        </w:tc>
        <w:tc>
          <w:tcPr>
            <w:tcW w:w="1540" w:type="dxa"/>
            <w:noWrap w:val="0"/>
            <w:vAlign w:val="center"/>
          </w:tcPr>
          <w:p w14:paraId="011920DA">
            <w:pPr>
              <w:jc w:val="center"/>
              <w:rPr>
                <w:rFonts w:hint="default" w:ascii="Times New Roman" w:hAnsi="Times New Roman" w:eastAsia="宋体" w:cs="Times New Roman"/>
                <w:snapToGrid w:val="0"/>
                <w:color w:val="auto"/>
                <w:kern w:val="21"/>
                <w:sz w:val="21"/>
                <w:szCs w:val="21"/>
                <w:u w:val="none" w:color="auto"/>
                <w:lang w:val="en-US" w:eastAsia="zh-CN" w:bidi="ar-SA"/>
              </w:rPr>
            </w:pPr>
            <w:r>
              <w:rPr>
                <w:rFonts w:hint="default" w:ascii="Times New Roman" w:hAnsi="Times New Roman" w:eastAsia="宋体" w:cs="Times New Roman"/>
                <w:snapToGrid w:val="0"/>
                <w:color w:val="auto"/>
                <w:kern w:val="21"/>
                <w:sz w:val="21"/>
                <w:szCs w:val="21"/>
                <w:highlight w:val="none"/>
                <w:u w:val="none" w:color="auto"/>
                <w:lang w:val="en-US" w:eastAsia="zh-CN"/>
              </w:rPr>
              <w:t>0</w:t>
            </w:r>
          </w:p>
        </w:tc>
        <w:tc>
          <w:tcPr>
            <w:tcW w:w="1540" w:type="dxa"/>
            <w:noWrap w:val="0"/>
            <w:vAlign w:val="center"/>
          </w:tcPr>
          <w:p w14:paraId="6CE4ACB0">
            <w:pPr>
              <w:keepNext w:val="0"/>
              <w:keepLines w:val="0"/>
              <w:widowControl/>
              <w:suppressLineNumbers w:val="0"/>
              <w:jc w:val="center"/>
              <w:textAlignment w:val="center"/>
              <w:rPr>
                <w:rFonts w:hint="default" w:ascii="Times New Roman" w:hAnsi="Times New Roman" w:eastAsia="宋体" w:cs="Times New Roman"/>
                <w:snapToGrid w:val="0"/>
                <w:color w:val="auto"/>
                <w:kern w:val="21"/>
                <w:sz w:val="21"/>
                <w:szCs w:val="21"/>
                <w:u w:val="none" w:color="auto"/>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11.328</w:t>
            </w:r>
          </w:p>
        </w:tc>
        <w:tc>
          <w:tcPr>
            <w:tcW w:w="1543" w:type="dxa"/>
            <w:shd w:val="clear" w:color="auto" w:fill="auto"/>
            <w:noWrap w:val="0"/>
            <w:vAlign w:val="center"/>
          </w:tcPr>
          <w:p w14:paraId="77E63C75">
            <w:pPr>
              <w:jc w:val="center"/>
              <w:rPr>
                <w:rFonts w:hint="default" w:ascii="Times New Roman" w:hAnsi="Times New Roman" w:eastAsia="宋体" w:cs="Times New Roman"/>
                <w:snapToGrid w:val="0"/>
                <w:color w:val="auto"/>
                <w:kern w:val="21"/>
                <w:sz w:val="21"/>
                <w:szCs w:val="21"/>
                <w:u w:val="none" w:color="auto"/>
                <w:lang w:val="en-US" w:eastAsia="zh-CN" w:bidi="ar-SA"/>
              </w:rPr>
            </w:pPr>
            <w:r>
              <w:rPr>
                <w:rFonts w:hint="default" w:ascii="Times New Roman" w:hAnsi="Times New Roman" w:eastAsia="宋体" w:cs="Times New Roman"/>
                <w:snapToGrid w:val="0"/>
                <w:color w:val="auto"/>
                <w:kern w:val="21"/>
                <w:sz w:val="21"/>
                <w:szCs w:val="21"/>
                <w:u w:val="none" w:color="auto"/>
                <w:lang w:val="en-US" w:eastAsia="zh-CN" w:bidi="ar-SA"/>
              </w:rPr>
              <w:t>0</w:t>
            </w:r>
          </w:p>
        </w:tc>
      </w:tr>
      <w:tr w14:paraId="76FBD2C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95" w:type="dxa"/>
            <w:vMerge w:val="continue"/>
            <w:noWrap w:val="0"/>
            <w:vAlign w:val="center"/>
          </w:tcPr>
          <w:p w14:paraId="07ED3849">
            <w:pPr>
              <w:pStyle w:val="42"/>
              <w:spacing w:beforeLines="0" w:afterLines="0" w:line="240" w:lineRule="auto"/>
              <w:jc w:val="center"/>
              <w:rPr>
                <w:rFonts w:hint="default" w:ascii="Times New Roman" w:hAnsi="Times New Roman" w:eastAsia="宋体" w:cs="Times New Roman"/>
                <w:snapToGrid w:val="0"/>
                <w:color w:val="auto"/>
                <w:kern w:val="21"/>
                <w:sz w:val="21"/>
                <w:szCs w:val="21"/>
                <w:u w:val="none" w:color="auto"/>
              </w:rPr>
            </w:pPr>
          </w:p>
        </w:tc>
        <w:tc>
          <w:tcPr>
            <w:tcW w:w="2084" w:type="dxa"/>
            <w:noWrap w:val="0"/>
            <w:vAlign w:val="center"/>
          </w:tcPr>
          <w:p w14:paraId="68AB0C2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废切削液过滤棉（代码900-405-06）</w:t>
            </w:r>
          </w:p>
        </w:tc>
        <w:tc>
          <w:tcPr>
            <w:tcW w:w="1515" w:type="dxa"/>
            <w:noWrap w:val="0"/>
            <w:vAlign w:val="center"/>
          </w:tcPr>
          <w:p w14:paraId="7924E64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0</w:t>
            </w:r>
          </w:p>
        </w:tc>
        <w:tc>
          <w:tcPr>
            <w:tcW w:w="1391" w:type="dxa"/>
            <w:noWrap w:val="0"/>
            <w:vAlign w:val="center"/>
          </w:tcPr>
          <w:p w14:paraId="477D022D">
            <w:pPr>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kern w:val="2"/>
                <w:sz w:val="21"/>
                <w:szCs w:val="21"/>
                <w:u w:val="none" w:color="auto"/>
                <w:lang w:val="en-US" w:eastAsia="zh-CN" w:bidi="ar-SA"/>
              </w:rPr>
              <w:t>/</w:t>
            </w:r>
          </w:p>
        </w:tc>
        <w:tc>
          <w:tcPr>
            <w:tcW w:w="1540" w:type="dxa"/>
            <w:noWrap w:val="0"/>
            <w:vAlign w:val="center"/>
          </w:tcPr>
          <w:p w14:paraId="19E73571">
            <w:pPr>
              <w:jc w:val="center"/>
              <w:rPr>
                <w:rFonts w:hint="default" w:ascii="Times New Roman" w:hAnsi="Times New Roman" w:eastAsia="宋体" w:cs="Times New Roman"/>
                <w:snapToGrid w:val="0"/>
                <w:color w:val="auto"/>
                <w:kern w:val="21"/>
                <w:sz w:val="21"/>
                <w:szCs w:val="21"/>
                <w:u w:val="none" w:color="auto"/>
                <w:lang w:val="en-US" w:eastAsia="zh-CN"/>
              </w:rPr>
            </w:pPr>
            <w:r>
              <w:rPr>
                <w:rFonts w:hint="default" w:ascii="Times New Roman" w:hAnsi="Times New Roman" w:eastAsia="宋体" w:cs="Times New Roman"/>
                <w:snapToGrid w:val="0"/>
                <w:color w:val="auto"/>
                <w:kern w:val="21"/>
                <w:sz w:val="21"/>
                <w:szCs w:val="21"/>
                <w:u w:val="none" w:color="auto"/>
                <w:lang w:val="en-US" w:eastAsia="zh-CN"/>
              </w:rPr>
              <w:t>0</w:t>
            </w:r>
          </w:p>
        </w:tc>
        <w:tc>
          <w:tcPr>
            <w:tcW w:w="1540" w:type="dxa"/>
            <w:noWrap w:val="0"/>
            <w:vAlign w:val="center"/>
          </w:tcPr>
          <w:p w14:paraId="54B085D1">
            <w:pPr>
              <w:keepNext w:val="0"/>
              <w:keepLines w:val="0"/>
              <w:widowControl/>
              <w:suppressLineNumbers w:val="0"/>
              <w:jc w:val="center"/>
              <w:textAlignment w:val="center"/>
              <w:rPr>
                <w:rFonts w:hint="default" w:ascii="Times New Roman" w:hAnsi="Times New Roman" w:eastAsia="宋体" w:cs="Times New Roman"/>
                <w:snapToGrid w:val="0"/>
                <w:color w:val="auto"/>
                <w:kern w:val="21"/>
                <w:sz w:val="21"/>
                <w:szCs w:val="21"/>
                <w:u w:val="none" w:color="auto"/>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20.4</w:t>
            </w:r>
          </w:p>
        </w:tc>
        <w:tc>
          <w:tcPr>
            <w:tcW w:w="1540" w:type="dxa"/>
            <w:noWrap w:val="0"/>
            <w:vAlign w:val="center"/>
          </w:tcPr>
          <w:p w14:paraId="44B231F5">
            <w:pPr>
              <w:jc w:val="center"/>
              <w:rPr>
                <w:rFonts w:hint="default" w:ascii="Times New Roman" w:hAnsi="Times New Roman" w:eastAsia="宋体" w:cs="Times New Roman"/>
                <w:snapToGrid w:val="0"/>
                <w:color w:val="auto"/>
                <w:kern w:val="21"/>
                <w:sz w:val="21"/>
                <w:szCs w:val="21"/>
                <w:u w:val="none" w:color="auto"/>
                <w:lang w:val="en-US" w:eastAsia="zh-CN" w:bidi="ar-SA"/>
              </w:rPr>
            </w:pPr>
            <w:r>
              <w:rPr>
                <w:rFonts w:hint="default" w:ascii="Times New Roman" w:hAnsi="Times New Roman" w:eastAsia="宋体" w:cs="Times New Roman"/>
                <w:snapToGrid w:val="0"/>
                <w:color w:val="auto"/>
                <w:kern w:val="21"/>
                <w:sz w:val="21"/>
                <w:szCs w:val="21"/>
                <w:highlight w:val="none"/>
                <w:u w:val="none" w:color="auto"/>
                <w:lang w:val="en-US" w:eastAsia="zh-CN"/>
              </w:rPr>
              <w:t>0</w:t>
            </w:r>
          </w:p>
        </w:tc>
        <w:tc>
          <w:tcPr>
            <w:tcW w:w="1540" w:type="dxa"/>
            <w:noWrap w:val="0"/>
            <w:vAlign w:val="center"/>
          </w:tcPr>
          <w:p w14:paraId="49A0CDA9">
            <w:pPr>
              <w:keepNext w:val="0"/>
              <w:keepLines w:val="0"/>
              <w:widowControl/>
              <w:suppressLineNumbers w:val="0"/>
              <w:jc w:val="center"/>
              <w:textAlignment w:val="center"/>
              <w:rPr>
                <w:rFonts w:hint="default" w:ascii="Times New Roman" w:hAnsi="Times New Roman" w:eastAsia="宋体" w:cs="Times New Roman"/>
                <w:snapToGrid w:val="0"/>
                <w:color w:val="auto"/>
                <w:kern w:val="21"/>
                <w:sz w:val="21"/>
                <w:szCs w:val="21"/>
                <w:u w:val="none" w:color="auto"/>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20.4</w:t>
            </w:r>
          </w:p>
        </w:tc>
        <w:tc>
          <w:tcPr>
            <w:tcW w:w="1543" w:type="dxa"/>
            <w:shd w:val="clear" w:color="auto" w:fill="auto"/>
            <w:noWrap w:val="0"/>
            <w:vAlign w:val="center"/>
          </w:tcPr>
          <w:p w14:paraId="4C1C2624">
            <w:pPr>
              <w:keepNext w:val="0"/>
              <w:keepLines w:val="0"/>
              <w:widowControl/>
              <w:suppressLineNumbers w:val="0"/>
              <w:jc w:val="center"/>
              <w:textAlignment w:val="center"/>
              <w:rPr>
                <w:rFonts w:hint="default" w:ascii="Times New Roman" w:hAnsi="Times New Roman" w:eastAsia="宋体" w:cs="Times New Roman"/>
                <w:snapToGrid w:val="0"/>
                <w:color w:val="auto"/>
                <w:kern w:val="21"/>
                <w:sz w:val="21"/>
                <w:szCs w:val="21"/>
                <w:u w:val="none" w:color="auto"/>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+20.4</w:t>
            </w:r>
          </w:p>
        </w:tc>
      </w:tr>
      <w:tr w14:paraId="2328311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95" w:type="dxa"/>
            <w:vMerge w:val="continue"/>
            <w:noWrap w:val="0"/>
            <w:vAlign w:val="center"/>
          </w:tcPr>
          <w:p w14:paraId="7E9AAAD2">
            <w:pPr>
              <w:pStyle w:val="42"/>
              <w:spacing w:beforeLines="0" w:afterLines="0" w:line="240" w:lineRule="auto"/>
              <w:jc w:val="center"/>
              <w:rPr>
                <w:rFonts w:hint="default" w:ascii="Times New Roman" w:hAnsi="Times New Roman" w:eastAsia="宋体" w:cs="Times New Roman"/>
                <w:snapToGrid w:val="0"/>
                <w:color w:val="auto"/>
                <w:kern w:val="21"/>
                <w:sz w:val="21"/>
                <w:szCs w:val="21"/>
                <w:u w:val="none" w:color="auto"/>
              </w:rPr>
            </w:pPr>
          </w:p>
        </w:tc>
        <w:tc>
          <w:tcPr>
            <w:tcW w:w="2084" w:type="dxa"/>
            <w:noWrap w:val="0"/>
            <w:vAlign w:val="center"/>
          </w:tcPr>
          <w:p w14:paraId="17A3693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废活性炭（代码900-039-49）</w:t>
            </w:r>
          </w:p>
        </w:tc>
        <w:tc>
          <w:tcPr>
            <w:tcW w:w="1515" w:type="dxa"/>
            <w:noWrap w:val="0"/>
            <w:vAlign w:val="center"/>
          </w:tcPr>
          <w:p w14:paraId="3087028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0</w:t>
            </w:r>
          </w:p>
        </w:tc>
        <w:tc>
          <w:tcPr>
            <w:tcW w:w="1391" w:type="dxa"/>
            <w:noWrap w:val="0"/>
            <w:vAlign w:val="center"/>
          </w:tcPr>
          <w:p w14:paraId="129B9CE7">
            <w:pPr>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kern w:val="2"/>
                <w:sz w:val="21"/>
                <w:szCs w:val="21"/>
                <w:u w:val="none" w:color="auto"/>
                <w:lang w:val="en-US" w:eastAsia="zh-CN" w:bidi="ar-SA"/>
              </w:rPr>
              <w:t>/</w:t>
            </w:r>
          </w:p>
        </w:tc>
        <w:tc>
          <w:tcPr>
            <w:tcW w:w="1540" w:type="dxa"/>
            <w:noWrap w:val="0"/>
            <w:vAlign w:val="center"/>
          </w:tcPr>
          <w:p w14:paraId="6A6C7C96">
            <w:pPr>
              <w:jc w:val="center"/>
              <w:rPr>
                <w:rFonts w:hint="default" w:ascii="Times New Roman" w:hAnsi="Times New Roman" w:eastAsia="宋体" w:cs="Times New Roman"/>
                <w:snapToGrid w:val="0"/>
                <w:color w:val="auto"/>
                <w:kern w:val="21"/>
                <w:sz w:val="21"/>
                <w:szCs w:val="21"/>
                <w:u w:val="none" w:color="auto"/>
                <w:lang w:val="en-US" w:eastAsia="zh-CN"/>
              </w:rPr>
            </w:pPr>
            <w:r>
              <w:rPr>
                <w:rFonts w:hint="default" w:ascii="Times New Roman" w:hAnsi="Times New Roman" w:eastAsia="宋体" w:cs="Times New Roman"/>
                <w:snapToGrid w:val="0"/>
                <w:color w:val="auto"/>
                <w:kern w:val="21"/>
                <w:sz w:val="21"/>
                <w:szCs w:val="21"/>
                <w:u w:val="none" w:color="auto"/>
                <w:lang w:val="en-US" w:eastAsia="zh-CN"/>
              </w:rPr>
              <w:t>0</w:t>
            </w:r>
          </w:p>
        </w:tc>
        <w:tc>
          <w:tcPr>
            <w:tcW w:w="1540" w:type="dxa"/>
            <w:noWrap w:val="0"/>
            <w:vAlign w:val="center"/>
          </w:tcPr>
          <w:p w14:paraId="4C293666">
            <w:pPr>
              <w:keepNext w:val="0"/>
              <w:keepLines w:val="0"/>
              <w:widowControl/>
              <w:suppressLineNumbers w:val="0"/>
              <w:jc w:val="center"/>
              <w:textAlignment w:val="center"/>
              <w:rPr>
                <w:rFonts w:hint="default" w:ascii="Times New Roman" w:hAnsi="Times New Roman" w:eastAsia="宋体" w:cs="Times New Roman"/>
                <w:snapToGrid w:val="0"/>
                <w:color w:val="auto"/>
                <w:kern w:val="21"/>
                <w:sz w:val="21"/>
                <w:szCs w:val="21"/>
                <w:u w:val="none" w:color="auto"/>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1.322</w:t>
            </w:r>
          </w:p>
        </w:tc>
        <w:tc>
          <w:tcPr>
            <w:tcW w:w="1540" w:type="dxa"/>
            <w:noWrap w:val="0"/>
            <w:vAlign w:val="center"/>
          </w:tcPr>
          <w:p w14:paraId="36111187">
            <w:pPr>
              <w:jc w:val="center"/>
              <w:rPr>
                <w:rFonts w:hint="default" w:ascii="Times New Roman" w:hAnsi="Times New Roman" w:eastAsia="宋体" w:cs="Times New Roman"/>
                <w:snapToGrid w:val="0"/>
                <w:color w:val="auto"/>
                <w:kern w:val="21"/>
                <w:sz w:val="21"/>
                <w:szCs w:val="21"/>
                <w:u w:val="none" w:color="auto"/>
                <w:lang w:val="en-US" w:eastAsia="zh-CN" w:bidi="ar-SA"/>
              </w:rPr>
            </w:pPr>
            <w:r>
              <w:rPr>
                <w:rFonts w:hint="default" w:ascii="Times New Roman" w:hAnsi="Times New Roman" w:eastAsia="宋体" w:cs="Times New Roman"/>
                <w:snapToGrid w:val="0"/>
                <w:color w:val="auto"/>
                <w:kern w:val="21"/>
                <w:sz w:val="21"/>
                <w:szCs w:val="21"/>
                <w:highlight w:val="none"/>
                <w:u w:val="none" w:color="auto"/>
                <w:lang w:val="en-US" w:eastAsia="zh-CN"/>
              </w:rPr>
              <w:t>0</w:t>
            </w:r>
          </w:p>
        </w:tc>
        <w:tc>
          <w:tcPr>
            <w:tcW w:w="1540" w:type="dxa"/>
            <w:noWrap w:val="0"/>
            <w:vAlign w:val="center"/>
          </w:tcPr>
          <w:p w14:paraId="5A9C80BC">
            <w:pPr>
              <w:keepNext w:val="0"/>
              <w:keepLines w:val="0"/>
              <w:widowControl/>
              <w:suppressLineNumbers w:val="0"/>
              <w:jc w:val="center"/>
              <w:textAlignment w:val="center"/>
              <w:rPr>
                <w:rFonts w:hint="default" w:ascii="Times New Roman" w:hAnsi="Times New Roman" w:eastAsia="宋体" w:cs="Times New Roman"/>
                <w:snapToGrid w:val="0"/>
                <w:color w:val="auto"/>
                <w:kern w:val="21"/>
                <w:sz w:val="21"/>
                <w:szCs w:val="21"/>
                <w:u w:val="none" w:color="auto"/>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1.322</w:t>
            </w:r>
          </w:p>
        </w:tc>
        <w:tc>
          <w:tcPr>
            <w:tcW w:w="1543" w:type="dxa"/>
            <w:shd w:val="clear" w:color="auto" w:fill="auto"/>
            <w:noWrap w:val="0"/>
            <w:vAlign w:val="center"/>
          </w:tcPr>
          <w:p w14:paraId="3FF98471">
            <w:pPr>
              <w:keepNext w:val="0"/>
              <w:keepLines w:val="0"/>
              <w:widowControl/>
              <w:suppressLineNumbers w:val="0"/>
              <w:jc w:val="center"/>
              <w:textAlignment w:val="center"/>
              <w:rPr>
                <w:rFonts w:hint="default" w:ascii="Times New Roman" w:hAnsi="Times New Roman" w:eastAsia="宋体" w:cs="Times New Roman"/>
                <w:snapToGrid w:val="0"/>
                <w:color w:val="auto"/>
                <w:kern w:val="21"/>
                <w:sz w:val="21"/>
                <w:szCs w:val="21"/>
                <w:u w:val="none" w:color="auto"/>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+1.322</w:t>
            </w:r>
          </w:p>
        </w:tc>
      </w:tr>
    </w:tbl>
    <w:p w14:paraId="057B0D26">
      <w:pPr>
        <w:pStyle w:val="42"/>
        <w:spacing w:before="192" w:beforeLines="80" w:after="24"/>
        <w:jc w:val="left"/>
        <w:rPr>
          <w:rFonts w:hint="default" w:ascii="Times New Roman" w:hAnsi="Times New Roman" w:eastAsia="宋体" w:cs="Times New Roman"/>
          <w:snapToGrid w:val="0"/>
          <w:color w:val="auto"/>
          <w:spacing w:val="-6"/>
          <w:kern w:val="21"/>
          <w:szCs w:val="21"/>
          <w:u w:val="none" w:color="auto"/>
          <w:lang w:eastAsia="zh-CN"/>
        </w:rPr>
      </w:pPr>
      <w:r>
        <w:rPr>
          <w:rFonts w:hint="default" w:ascii="Times New Roman" w:hAnsi="Times New Roman" w:eastAsia="宋体" w:cs="Times New Roman"/>
          <w:snapToGrid w:val="0"/>
          <w:color w:val="auto"/>
          <w:kern w:val="21"/>
          <w:szCs w:val="21"/>
          <w:u w:val="none" w:color="auto"/>
        </w:rPr>
        <w:t>注：</w:t>
      </w:r>
      <w:r>
        <w:rPr>
          <w:rFonts w:hint="default" w:ascii="Times New Roman" w:hAnsi="Times New Roman" w:eastAsia="宋体" w:cs="Times New Roman"/>
          <w:snapToGrid w:val="0"/>
          <w:color w:val="auto"/>
          <w:spacing w:val="-16"/>
          <w:kern w:val="21"/>
          <w:szCs w:val="21"/>
          <w:u w:val="none" w:color="auto"/>
        </w:rPr>
        <w:fldChar w:fldCharType="begin"/>
      </w:r>
      <w:r>
        <w:rPr>
          <w:rFonts w:hint="default" w:ascii="Times New Roman" w:hAnsi="Times New Roman" w:eastAsia="宋体" w:cs="Times New Roman"/>
          <w:snapToGrid w:val="0"/>
          <w:color w:val="auto"/>
          <w:spacing w:val="-16"/>
          <w:kern w:val="21"/>
          <w:szCs w:val="21"/>
          <w:u w:val="none" w:color="auto"/>
        </w:rPr>
        <w:instrText xml:space="preserve"> = 6 \* GB3 \* MERGEFORMAT </w:instrText>
      </w:r>
      <w:r>
        <w:rPr>
          <w:rFonts w:hint="default" w:ascii="Times New Roman" w:hAnsi="Times New Roman" w:eastAsia="宋体" w:cs="Times New Roman"/>
          <w:snapToGrid w:val="0"/>
          <w:color w:val="auto"/>
          <w:spacing w:val="-16"/>
          <w:kern w:val="21"/>
          <w:szCs w:val="21"/>
          <w:u w:val="none" w:color="auto"/>
        </w:rPr>
        <w:fldChar w:fldCharType="separate"/>
      </w:r>
      <w:r>
        <w:rPr>
          <w:rFonts w:hint="default" w:ascii="Times New Roman" w:hAnsi="Times New Roman" w:eastAsia="宋体" w:cs="Times New Roman"/>
          <w:color w:val="auto"/>
          <w:szCs w:val="21"/>
          <w:u w:val="none" w:color="auto"/>
        </w:rPr>
        <w:t>⑥</w:t>
      </w:r>
      <w:r>
        <w:rPr>
          <w:rFonts w:hint="default" w:ascii="Times New Roman" w:hAnsi="Times New Roman" w:eastAsia="宋体" w:cs="Times New Roman"/>
          <w:snapToGrid w:val="0"/>
          <w:color w:val="auto"/>
          <w:spacing w:val="-16"/>
          <w:kern w:val="21"/>
          <w:szCs w:val="21"/>
          <w:u w:val="none" w:color="auto"/>
        </w:rPr>
        <w:fldChar w:fldCharType="end"/>
      </w:r>
      <w:r>
        <w:rPr>
          <w:rFonts w:hint="default" w:ascii="Times New Roman" w:hAnsi="Times New Roman" w:eastAsia="宋体" w:cs="Times New Roman"/>
          <w:snapToGrid w:val="0"/>
          <w:color w:val="auto"/>
          <w:spacing w:val="-16"/>
          <w:kern w:val="21"/>
          <w:szCs w:val="21"/>
          <w:u w:val="none" w:color="auto"/>
        </w:rPr>
        <w:t>=</w:t>
      </w:r>
      <w:r>
        <w:rPr>
          <w:rFonts w:hint="default" w:ascii="Times New Roman" w:hAnsi="Times New Roman" w:eastAsia="宋体" w:cs="Times New Roman"/>
          <w:snapToGrid w:val="0"/>
          <w:color w:val="auto"/>
          <w:spacing w:val="-6"/>
          <w:kern w:val="21"/>
          <w:szCs w:val="21"/>
          <w:u w:val="none" w:color="auto"/>
        </w:rPr>
        <w:fldChar w:fldCharType="begin"/>
      </w:r>
      <w:r>
        <w:rPr>
          <w:rFonts w:hint="default" w:ascii="Times New Roman" w:hAnsi="Times New Roman" w:eastAsia="宋体" w:cs="Times New Roman"/>
          <w:snapToGrid w:val="0"/>
          <w:color w:val="auto"/>
          <w:spacing w:val="-6"/>
          <w:kern w:val="21"/>
          <w:szCs w:val="21"/>
          <w:u w:val="none" w:color="auto"/>
        </w:rPr>
        <w:instrText xml:space="preserve"> = 1 \* GB3 \* MERGEFORMAT </w:instrText>
      </w:r>
      <w:r>
        <w:rPr>
          <w:rFonts w:hint="default" w:ascii="Times New Roman" w:hAnsi="Times New Roman" w:eastAsia="宋体" w:cs="Times New Roman"/>
          <w:snapToGrid w:val="0"/>
          <w:color w:val="auto"/>
          <w:spacing w:val="-6"/>
          <w:kern w:val="21"/>
          <w:szCs w:val="21"/>
          <w:u w:val="none" w:color="auto"/>
        </w:rPr>
        <w:fldChar w:fldCharType="separate"/>
      </w:r>
      <w:r>
        <w:rPr>
          <w:rFonts w:hint="default" w:ascii="Times New Roman" w:hAnsi="Times New Roman" w:eastAsia="宋体" w:cs="Times New Roman"/>
          <w:color w:val="auto"/>
          <w:szCs w:val="21"/>
          <w:u w:val="none" w:color="auto"/>
        </w:rPr>
        <w:t>①</w:t>
      </w:r>
      <w:r>
        <w:rPr>
          <w:rFonts w:hint="default" w:ascii="Times New Roman" w:hAnsi="Times New Roman" w:eastAsia="宋体" w:cs="Times New Roman"/>
          <w:snapToGrid w:val="0"/>
          <w:color w:val="auto"/>
          <w:spacing w:val="-6"/>
          <w:kern w:val="21"/>
          <w:szCs w:val="21"/>
          <w:u w:val="none" w:color="auto"/>
        </w:rPr>
        <w:fldChar w:fldCharType="end"/>
      </w:r>
      <w:r>
        <w:rPr>
          <w:rFonts w:hint="default" w:ascii="Times New Roman" w:hAnsi="Times New Roman" w:eastAsia="宋体" w:cs="Times New Roman"/>
          <w:snapToGrid w:val="0"/>
          <w:color w:val="auto"/>
          <w:spacing w:val="-6"/>
          <w:kern w:val="21"/>
          <w:szCs w:val="21"/>
          <w:u w:val="none" w:color="auto"/>
        </w:rPr>
        <w:t>+</w:t>
      </w:r>
      <w:r>
        <w:rPr>
          <w:rFonts w:hint="default" w:ascii="Times New Roman" w:hAnsi="Times New Roman" w:eastAsia="宋体" w:cs="Times New Roman"/>
          <w:snapToGrid w:val="0"/>
          <w:color w:val="auto"/>
          <w:spacing w:val="-6"/>
          <w:kern w:val="21"/>
          <w:szCs w:val="21"/>
          <w:u w:val="none" w:color="auto"/>
        </w:rPr>
        <w:fldChar w:fldCharType="begin"/>
      </w:r>
      <w:r>
        <w:rPr>
          <w:rFonts w:hint="default" w:ascii="Times New Roman" w:hAnsi="Times New Roman" w:eastAsia="宋体" w:cs="Times New Roman"/>
          <w:snapToGrid w:val="0"/>
          <w:color w:val="auto"/>
          <w:spacing w:val="-6"/>
          <w:kern w:val="21"/>
          <w:szCs w:val="21"/>
          <w:u w:val="none" w:color="auto"/>
        </w:rPr>
        <w:instrText xml:space="preserve"> = 3 \* GB3 \* MERGEFORMAT </w:instrText>
      </w:r>
      <w:r>
        <w:rPr>
          <w:rFonts w:hint="default" w:ascii="Times New Roman" w:hAnsi="Times New Roman" w:eastAsia="宋体" w:cs="Times New Roman"/>
          <w:snapToGrid w:val="0"/>
          <w:color w:val="auto"/>
          <w:spacing w:val="-6"/>
          <w:kern w:val="21"/>
          <w:szCs w:val="21"/>
          <w:u w:val="none" w:color="auto"/>
        </w:rPr>
        <w:fldChar w:fldCharType="separate"/>
      </w:r>
      <w:r>
        <w:rPr>
          <w:rFonts w:hint="default" w:ascii="Times New Roman" w:hAnsi="Times New Roman" w:eastAsia="宋体" w:cs="Times New Roman"/>
          <w:color w:val="auto"/>
          <w:szCs w:val="21"/>
          <w:u w:val="none" w:color="auto"/>
        </w:rPr>
        <w:t>③</w:t>
      </w:r>
      <w:r>
        <w:rPr>
          <w:rFonts w:hint="default" w:ascii="Times New Roman" w:hAnsi="Times New Roman" w:eastAsia="宋体" w:cs="Times New Roman"/>
          <w:snapToGrid w:val="0"/>
          <w:color w:val="auto"/>
          <w:spacing w:val="-6"/>
          <w:kern w:val="21"/>
          <w:szCs w:val="21"/>
          <w:u w:val="none" w:color="auto"/>
        </w:rPr>
        <w:fldChar w:fldCharType="end"/>
      </w:r>
      <w:r>
        <w:rPr>
          <w:rFonts w:hint="default" w:ascii="Times New Roman" w:hAnsi="Times New Roman" w:eastAsia="宋体" w:cs="Times New Roman"/>
          <w:snapToGrid w:val="0"/>
          <w:color w:val="auto"/>
          <w:spacing w:val="-6"/>
          <w:kern w:val="21"/>
          <w:szCs w:val="21"/>
          <w:u w:val="none" w:color="auto"/>
        </w:rPr>
        <w:t>+</w:t>
      </w:r>
      <w:r>
        <w:rPr>
          <w:rFonts w:hint="default" w:ascii="Times New Roman" w:hAnsi="Times New Roman" w:eastAsia="宋体" w:cs="Times New Roman"/>
          <w:snapToGrid w:val="0"/>
          <w:color w:val="auto"/>
          <w:spacing w:val="-6"/>
          <w:kern w:val="21"/>
          <w:szCs w:val="21"/>
          <w:u w:val="none" w:color="auto"/>
        </w:rPr>
        <w:fldChar w:fldCharType="begin"/>
      </w:r>
      <w:r>
        <w:rPr>
          <w:rFonts w:hint="default" w:ascii="Times New Roman" w:hAnsi="Times New Roman" w:eastAsia="宋体" w:cs="Times New Roman"/>
          <w:snapToGrid w:val="0"/>
          <w:color w:val="auto"/>
          <w:spacing w:val="-6"/>
          <w:kern w:val="21"/>
          <w:szCs w:val="21"/>
          <w:u w:val="none" w:color="auto"/>
        </w:rPr>
        <w:instrText xml:space="preserve"> = 4 \* GB3 \* MERGEFORMAT </w:instrText>
      </w:r>
      <w:r>
        <w:rPr>
          <w:rFonts w:hint="default" w:ascii="Times New Roman" w:hAnsi="Times New Roman" w:eastAsia="宋体" w:cs="Times New Roman"/>
          <w:snapToGrid w:val="0"/>
          <w:color w:val="auto"/>
          <w:spacing w:val="-6"/>
          <w:kern w:val="21"/>
          <w:szCs w:val="21"/>
          <w:u w:val="none" w:color="auto"/>
        </w:rPr>
        <w:fldChar w:fldCharType="separate"/>
      </w:r>
      <w:r>
        <w:rPr>
          <w:rFonts w:hint="default" w:ascii="Times New Roman" w:hAnsi="Times New Roman" w:eastAsia="宋体" w:cs="Times New Roman"/>
          <w:color w:val="auto"/>
          <w:szCs w:val="21"/>
          <w:u w:val="none" w:color="auto"/>
        </w:rPr>
        <w:t>④</w:t>
      </w:r>
      <w:r>
        <w:rPr>
          <w:rFonts w:hint="default" w:ascii="Times New Roman" w:hAnsi="Times New Roman" w:eastAsia="宋体" w:cs="Times New Roman"/>
          <w:snapToGrid w:val="0"/>
          <w:color w:val="auto"/>
          <w:spacing w:val="-6"/>
          <w:kern w:val="21"/>
          <w:szCs w:val="21"/>
          <w:u w:val="none" w:color="auto"/>
        </w:rPr>
        <w:fldChar w:fldCharType="end"/>
      </w:r>
      <w:r>
        <w:rPr>
          <w:rFonts w:hint="default" w:ascii="Times New Roman" w:hAnsi="Times New Roman" w:eastAsia="宋体" w:cs="Times New Roman"/>
          <w:snapToGrid w:val="0"/>
          <w:color w:val="auto"/>
          <w:spacing w:val="-6"/>
          <w:kern w:val="21"/>
          <w:szCs w:val="21"/>
          <w:u w:val="none" w:color="auto"/>
        </w:rPr>
        <w:t>-</w:t>
      </w:r>
      <w:r>
        <w:rPr>
          <w:rFonts w:hint="default" w:ascii="Times New Roman" w:hAnsi="Times New Roman" w:eastAsia="宋体" w:cs="Times New Roman"/>
          <w:snapToGrid w:val="0"/>
          <w:color w:val="auto"/>
          <w:spacing w:val="-16"/>
          <w:kern w:val="21"/>
          <w:szCs w:val="21"/>
          <w:u w:val="none" w:color="auto"/>
        </w:rPr>
        <w:fldChar w:fldCharType="begin"/>
      </w:r>
      <w:r>
        <w:rPr>
          <w:rFonts w:hint="default" w:ascii="Times New Roman" w:hAnsi="Times New Roman" w:eastAsia="宋体" w:cs="Times New Roman"/>
          <w:snapToGrid w:val="0"/>
          <w:color w:val="auto"/>
          <w:spacing w:val="-16"/>
          <w:kern w:val="21"/>
          <w:szCs w:val="21"/>
          <w:u w:val="none" w:color="auto"/>
        </w:rPr>
        <w:instrText xml:space="preserve"> = 5 \* GB3 \* MERGEFORMAT </w:instrText>
      </w:r>
      <w:r>
        <w:rPr>
          <w:rFonts w:hint="default" w:ascii="Times New Roman" w:hAnsi="Times New Roman" w:eastAsia="宋体" w:cs="Times New Roman"/>
          <w:snapToGrid w:val="0"/>
          <w:color w:val="auto"/>
          <w:spacing w:val="-16"/>
          <w:kern w:val="21"/>
          <w:szCs w:val="21"/>
          <w:u w:val="none" w:color="auto"/>
        </w:rPr>
        <w:fldChar w:fldCharType="separate"/>
      </w:r>
      <w:r>
        <w:rPr>
          <w:rFonts w:hint="default" w:ascii="Times New Roman" w:hAnsi="Times New Roman" w:eastAsia="宋体" w:cs="Times New Roman"/>
          <w:color w:val="auto"/>
          <w:szCs w:val="21"/>
          <w:u w:val="none" w:color="auto"/>
        </w:rPr>
        <w:t>⑤</w:t>
      </w:r>
      <w:r>
        <w:rPr>
          <w:rFonts w:hint="default" w:ascii="Times New Roman" w:hAnsi="Times New Roman" w:eastAsia="宋体" w:cs="Times New Roman"/>
          <w:snapToGrid w:val="0"/>
          <w:color w:val="auto"/>
          <w:spacing w:val="-16"/>
          <w:kern w:val="21"/>
          <w:szCs w:val="21"/>
          <w:u w:val="none" w:color="auto"/>
        </w:rPr>
        <w:fldChar w:fldCharType="end"/>
      </w:r>
      <w:r>
        <w:rPr>
          <w:rFonts w:hint="default" w:ascii="Times New Roman" w:hAnsi="Times New Roman" w:eastAsia="宋体" w:cs="Times New Roman"/>
          <w:snapToGrid w:val="0"/>
          <w:color w:val="auto"/>
          <w:spacing w:val="-16"/>
          <w:kern w:val="21"/>
          <w:szCs w:val="21"/>
          <w:u w:val="none" w:color="auto"/>
        </w:rPr>
        <w:t>；</w:t>
      </w:r>
      <w:r>
        <w:rPr>
          <w:rFonts w:hint="default" w:ascii="Times New Roman" w:hAnsi="Times New Roman" w:eastAsia="宋体" w:cs="Times New Roman"/>
          <w:snapToGrid w:val="0"/>
          <w:color w:val="auto"/>
          <w:spacing w:val="-6"/>
          <w:kern w:val="21"/>
          <w:szCs w:val="21"/>
          <w:u w:val="none" w:color="auto"/>
        </w:rPr>
        <w:fldChar w:fldCharType="begin"/>
      </w:r>
      <w:r>
        <w:rPr>
          <w:rFonts w:hint="default" w:ascii="Times New Roman" w:hAnsi="Times New Roman" w:eastAsia="宋体" w:cs="Times New Roman"/>
          <w:snapToGrid w:val="0"/>
          <w:color w:val="auto"/>
          <w:spacing w:val="-6"/>
          <w:kern w:val="21"/>
          <w:szCs w:val="21"/>
          <w:u w:val="none" w:color="auto"/>
        </w:rPr>
        <w:instrText xml:space="preserve"> = 7 \* GB3 \* MERGEFORMAT </w:instrText>
      </w:r>
      <w:r>
        <w:rPr>
          <w:rFonts w:hint="default" w:ascii="Times New Roman" w:hAnsi="Times New Roman" w:eastAsia="宋体" w:cs="Times New Roman"/>
          <w:snapToGrid w:val="0"/>
          <w:color w:val="auto"/>
          <w:spacing w:val="-6"/>
          <w:kern w:val="21"/>
          <w:szCs w:val="21"/>
          <w:u w:val="none" w:color="auto"/>
        </w:rPr>
        <w:fldChar w:fldCharType="separate"/>
      </w:r>
      <w:r>
        <w:rPr>
          <w:rFonts w:hint="default" w:ascii="Times New Roman" w:hAnsi="Times New Roman" w:eastAsia="宋体" w:cs="Times New Roman"/>
          <w:color w:val="auto"/>
          <w:szCs w:val="21"/>
          <w:u w:val="none" w:color="auto"/>
        </w:rPr>
        <w:t>⑦</w:t>
      </w:r>
      <w:r>
        <w:rPr>
          <w:rFonts w:hint="default" w:ascii="Times New Roman" w:hAnsi="Times New Roman" w:eastAsia="宋体" w:cs="Times New Roman"/>
          <w:snapToGrid w:val="0"/>
          <w:color w:val="auto"/>
          <w:spacing w:val="-6"/>
          <w:kern w:val="21"/>
          <w:szCs w:val="21"/>
          <w:u w:val="none" w:color="auto"/>
        </w:rPr>
        <w:fldChar w:fldCharType="end"/>
      </w:r>
      <w:r>
        <w:rPr>
          <w:rFonts w:hint="default" w:ascii="Times New Roman" w:hAnsi="Times New Roman" w:eastAsia="宋体" w:cs="Times New Roman"/>
          <w:snapToGrid w:val="0"/>
          <w:color w:val="auto"/>
          <w:spacing w:val="-6"/>
          <w:kern w:val="21"/>
          <w:szCs w:val="21"/>
          <w:u w:val="none" w:color="auto"/>
        </w:rPr>
        <w:t>=</w:t>
      </w:r>
      <w:r>
        <w:rPr>
          <w:rFonts w:hint="default" w:ascii="Times New Roman" w:hAnsi="Times New Roman" w:eastAsia="宋体" w:cs="Times New Roman"/>
          <w:snapToGrid w:val="0"/>
          <w:color w:val="auto"/>
          <w:spacing w:val="-16"/>
          <w:kern w:val="21"/>
          <w:szCs w:val="21"/>
          <w:u w:val="none" w:color="auto"/>
        </w:rPr>
        <w:fldChar w:fldCharType="begin"/>
      </w:r>
      <w:r>
        <w:rPr>
          <w:rFonts w:hint="default" w:ascii="Times New Roman" w:hAnsi="Times New Roman" w:eastAsia="宋体" w:cs="Times New Roman"/>
          <w:snapToGrid w:val="0"/>
          <w:color w:val="auto"/>
          <w:spacing w:val="-16"/>
          <w:kern w:val="21"/>
          <w:szCs w:val="21"/>
          <w:u w:val="none" w:color="auto"/>
        </w:rPr>
        <w:instrText xml:space="preserve"> = 6 \* GB3 \* MERGEFORMAT </w:instrText>
      </w:r>
      <w:r>
        <w:rPr>
          <w:rFonts w:hint="default" w:ascii="Times New Roman" w:hAnsi="Times New Roman" w:eastAsia="宋体" w:cs="Times New Roman"/>
          <w:snapToGrid w:val="0"/>
          <w:color w:val="auto"/>
          <w:spacing w:val="-16"/>
          <w:kern w:val="21"/>
          <w:szCs w:val="21"/>
          <w:u w:val="none" w:color="auto"/>
        </w:rPr>
        <w:fldChar w:fldCharType="separate"/>
      </w:r>
      <w:r>
        <w:rPr>
          <w:rFonts w:hint="default" w:ascii="Times New Roman" w:hAnsi="Times New Roman" w:eastAsia="宋体" w:cs="Times New Roman"/>
          <w:color w:val="auto"/>
          <w:szCs w:val="21"/>
          <w:u w:val="none" w:color="auto"/>
        </w:rPr>
        <w:t>⑥</w:t>
      </w:r>
      <w:r>
        <w:rPr>
          <w:rFonts w:hint="default" w:ascii="Times New Roman" w:hAnsi="Times New Roman" w:eastAsia="宋体" w:cs="Times New Roman"/>
          <w:snapToGrid w:val="0"/>
          <w:color w:val="auto"/>
          <w:spacing w:val="-16"/>
          <w:kern w:val="21"/>
          <w:szCs w:val="21"/>
          <w:u w:val="none" w:color="auto"/>
        </w:rPr>
        <w:fldChar w:fldCharType="end"/>
      </w:r>
      <w:r>
        <w:rPr>
          <w:rFonts w:hint="default" w:ascii="Times New Roman" w:hAnsi="Times New Roman" w:eastAsia="宋体" w:cs="Times New Roman"/>
          <w:snapToGrid w:val="0"/>
          <w:color w:val="auto"/>
          <w:spacing w:val="-16"/>
          <w:kern w:val="21"/>
          <w:szCs w:val="21"/>
          <w:u w:val="none" w:color="auto"/>
        </w:rPr>
        <w:t>-</w:t>
      </w:r>
      <w:r>
        <w:rPr>
          <w:rFonts w:hint="default" w:ascii="Times New Roman" w:hAnsi="Times New Roman" w:eastAsia="宋体" w:cs="Times New Roman"/>
          <w:snapToGrid w:val="0"/>
          <w:color w:val="auto"/>
          <w:spacing w:val="-6"/>
          <w:kern w:val="21"/>
          <w:szCs w:val="21"/>
          <w:u w:val="none" w:color="auto"/>
        </w:rPr>
        <w:fldChar w:fldCharType="begin"/>
      </w:r>
      <w:r>
        <w:rPr>
          <w:rFonts w:hint="default" w:ascii="Times New Roman" w:hAnsi="Times New Roman" w:eastAsia="宋体" w:cs="Times New Roman"/>
          <w:snapToGrid w:val="0"/>
          <w:color w:val="auto"/>
          <w:spacing w:val="-6"/>
          <w:kern w:val="21"/>
          <w:szCs w:val="21"/>
          <w:u w:val="none" w:color="auto"/>
        </w:rPr>
        <w:instrText xml:space="preserve"> = 1 \* GB3 \* MERGEFORMAT </w:instrText>
      </w:r>
      <w:r>
        <w:rPr>
          <w:rFonts w:hint="default" w:ascii="Times New Roman" w:hAnsi="Times New Roman" w:eastAsia="宋体" w:cs="Times New Roman"/>
          <w:snapToGrid w:val="0"/>
          <w:color w:val="auto"/>
          <w:spacing w:val="-6"/>
          <w:kern w:val="21"/>
          <w:szCs w:val="21"/>
          <w:u w:val="none" w:color="auto"/>
        </w:rPr>
        <w:fldChar w:fldCharType="separate"/>
      </w:r>
      <w:r>
        <w:rPr>
          <w:rFonts w:hint="default" w:ascii="Times New Roman" w:hAnsi="Times New Roman" w:eastAsia="宋体" w:cs="Times New Roman"/>
          <w:color w:val="auto"/>
          <w:szCs w:val="21"/>
          <w:u w:val="none" w:color="auto"/>
        </w:rPr>
        <w:t>①</w:t>
      </w:r>
      <w:r>
        <w:rPr>
          <w:rFonts w:hint="default" w:ascii="Times New Roman" w:hAnsi="Times New Roman" w:eastAsia="宋体" w:cs="Times New Roman"/>
          <w:snapToGrid w:val="0"/>
          <w:color w:val="auto"/>
          <w:spacing w:val="-6"/>
          <w:kern w:val="21"/>
          <w:szCs w:val="21"/>
          <w:u w:val="none" w:color="auto"/>
        </w:rPr>
        <w:fldChar w:fldCharType="end"/>
      </w:r>
      <w:r>
        <w:rPr>
          <w:rFonts w:hint="default" w:ascii="Times New Roman" w:hAnsi="Times New Roman" w:eastAsia="宋体" w:cs="Times New Roman"/>
          <w:snapToGrid w:val="0"/>
          <w:color w:val="auto"/>
          <w:spacing w:val="-6"/>
          <w:kern w:val="21"/>
          <w:szCs w:val="21"/>
          <w:u w:val="none" w:color="auto"/>
          <w:lang w:eastAsia="zh-CN"/>
        </w:rPr>
        <w:t>；</w:t>
      </w:r>
    </w:p>
    <w:p w14:paraId="0E727888">
      <w:pP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由于建设镁合金项目尚未完成验收，且已停止，因此污染物排放情况计入在建项目；危险废物按类别进行合并计算，避免过于累赘。</w:t>
      </w:r>
    </w:p>
    <w:p w14:paraId="303ED0C3">
      <w:pPr>
        <w:jc w:val="center"/>
        <w:outlineLvl w:val="0"/>
        <w:rPr>
          <w:rFonts w:hint="default" w:ascii="Times New Roman" w:hAnsi="Times New Roman" w:eastAsia="宋体" w:cs="Times New Roman"/>
          <w:b/>
          <w:bCs/>
          <w:color w:val="auto"/>
          <w:sz w:val="28"/>
          <w:szCs w:val="28"/>
          <w:highlight w:val="none"/>
          <w:u w:val="none" w:color="auto"/>
          <w:lang w:val="en-US" w:eastAsia="zh-CN"/>
        </w:rPr>
      </w:pPr>
    </w:p>
    <w:sectPr>
      <w:footerReference r:id="rId9" w:type="default"/>
      <w:pgSz w:w="16838" w:h="11906"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1"/>
    <w:family w:val="roman"/>
    <w:pitch w:val="default"/>
    <w:sig w:usb0="E0002EFF" w:usb1="C000785B" w:usb2="00000009" w:usb3="00000000" w:csb0="400001FF" w:csb1="FFFF0000"/>
  </w:font>
  <w:font w:name="宋体">
    <w:panose1 w:val="02010600030101010101"/>
    <w:charset w:val="81"/>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仿宋_GB2312">
    <w:altName w:val="仿宋"/>
    <w:panose1 w:val="02010609030101010101"/>
    <w:charset w:val="86"/>
    <w:family w:val="modern"/>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新宋体-18030">
    <w:altName w:val="宋体"/>
    <w:panose1 w:val="00000000000000000000"/>
    <w:charset w:val="00"/>
    <w:family w:val="auto"/>
    <w:pitch w:val="default"/>
    <w:sig w:usb0="00000000" w:usb1="00000000" w:usb2="00000000" w:usb3="00000000" w:csb0="00040001" w:csb1="00000000"/>
  </w:font>
  <w:font w:name="楷体_GB2312">
    <w:altName w:val="楷体"/>
    <w:panose1 w:val="02010609030101010101"/>
    <w:charset w:val="86"/>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仿宋体">
    <w:altName w:val="宋体"/>
    <w:panose1 w:val="00000000000000000000"/>
    <w:charset w:val="86"/>
    <w:family w:val="roman"/>
    <w:pitch w:val="default"/>
    <w:sig w:usb0="00000000" w:usb1="00000000" w:usb2="00000010" w:usb3="00000000" w:csb0="00040000" w:csb1="00000000"/>
  </w:font>
  <w:font w:name="Wingdings 2">
    <w:panose1 w:val="05020102010507070707"/>
    <w:charset w:val="02"/>
    <w:family w:val="auto"/>
    <w:pitch w:val="default"/>
    <w:sig w:usb0="00000000" w:usb1="00000000" w:usb2="00000000" w:usb3="00000000" w:csb0="80000000" w:csb1="00000000"/>
  </w:font>
  <w:font w:name="Cambria Math">
    <w:panose1 w:val="02040503050406030204"/>
    <w:charset w:val="00"/>
    <w:family w:val="auto"/>
    <w:pitch w:val="default"/>
    <w:sig w:usb0="E00006FF" w:usb1="420024FF" w:usb2="02000000" w:usb3="00000000" w:csb0="2000019F" w:csb1="00000000"/>
  </w:font>
  <w:font w:name="Noto Sans CJK JP Regular">
    <w:altName w:val="Arial"/>
    <w:panose1 w:val="00000000000000000000"/>
    <w:charset w:val="00"/>
    <w:family w:val="swiss"/>
    <w:pitch w:val="default"/>
    <w:sig w:usb0="00000000" w:usb1="00000000" w:usb2="00000000" w:usb3="00000000" w:csb0="00040001"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9713B7F">
    <w:pPr>
      <w:pStyle w:val="21"/>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11C16FD">
    <w:pPr>
      <w:pStyle w:val="21"/>
      <w:framePr w:wrap="around" w:vAnchor="text" w:hAnchor="margin" w:xAlign="center" w:y="1"/>
      <w:rPr>
        <w:rStyle w:val="34"/>
      </w:rPr>
    </w:pPr>
    <w:r>
      <w:fldChar w:fldCharType="begin"/>
    </w:r>
    <w:r>
      <w:rPr>
        <w:rStyle w:val="34"/>
      </w:rPr>
      <w:instrText xml:space="preserve">PAGE  </w:instrText>
    </w:r>
    <w:r>
      <w:fldChar w:fldCharType="end"/>
    </w:r>
  </w:p>
  <w:p w14:paraId="611436EB">
    <w:pPr>
      <w:pStyle w:val="21"/>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01D6793">
    <w:pPr>
      <w:pStyle w:val="21"/>
      <w:ind w:right="360"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419C109">
    <w:pPr>
      <w:pStyle w:val="21"/>
      <w:ind w:right="360" w:firstLine="360"/>
      <w:jc w:val="center"/>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39" name="文本框 13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D13F831">
                          <w:pPr>
                            <w:pStyle w:val="21"/>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BkwTKYNAIAAGUEAAAOAAAAAAAAAAEAIAAAAB8BAABkcnMvZTJvRG9jLnhtbFBL&#10;BQYAAAAABgAGAFkBAADFBQAAAAA=&#10;">
              <v:fill on="f" focussize="0,0"/>
              <v:stroke on="f" weight="0.5pt"/>
              <v:imagedata o:title=""/>
              <o:lock v:ext="edit" aspectratio="f"/>
              <v:textbox inset="0mm,0mm,0mm,0mm" style="mso-fit-shape-to-text:t;">
                <w:txbxContent>
                  <w:p w14:paraId="7D13F831">
                    <w:pPr>
                      <w:pStyle w:val="21"/>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7D58DD">
    <w:pPr>
      <w:pStyle w:val="21"/>
      <w:rPr>
        <w:rFonts w:hint="eastAsia"/>
      </w:rPr>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51" name="文本框 15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2300B24">
                          <w:pPr>
                            <w:pStyle w:val="21"/>
                          </w:pPr>
                          <w:r>
                            <w:fldChar w:fldCharType="begin"/>
                          </w:r>
                          <w:r>
                            <w:instrText xml:space="preserve"> PAGE  \* MERGEFORMAT </w:instrText>
                          </w:r>
                          <w:r>
                            <w:fldChar w:fldCharType="separate"/>
                          </w:r>
                          <w:r>
                            <w:t>167</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BHoehQzAgAAZQQAAA4AAAAAAAAAAQAgAAAAHwEAAGRycy9lMm9Eb2MueG1sUEsF&#10;BgAAAAAGAAYAWQEAAMQFAAAAAA==&#10;">
              <v:fill on="f" focussize="0,0"/>
              <v:stroke on="f" weight="0.5pt"/>
              <v:imagedata o:title=""/>
              <o:lock v:ext="edit" aspectratio="f"/>
              <v:textbox inset="0mm,0mm,0mm,0mm" style="mso-fit-shape-to-text:t;">
                <w:txbxContent>
                  <w:p w14:paraId="22300B24">
                    <w:pPr>
                      <w:pStyle w:val="21"/>
                    </w:pPr>
                    <w:r>
                      <w:fldChar w:fldCharType="begin"/>
                    </w:r>
                    <w:r>
                      <w:instrText xml:space="preserve"> PAGE  \* MERGEFORMAT </w:instrText>
                    </w:r>
                    <w:r>
                      <w:fldChar w:fldCharType="separate"/>
                    </w:r>
                    <w:r>
                      <w:t>167</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261EFF1">
    <w:pPr>
      <w:pStyle w:val="21"/>
      <w:ind w:right="360" w:firstLine="360"/>
      <w:jc w:val="center"/>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61" name="文本框 16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922E13D">
                          <w:pPr>
                            <w:pStyle w:val="21"/>
                          </w:pPr>
                          <w:r>
                            <w:fldChar w:fldCharType="begin"/>
                          </w:r>
                          <w:r>
                            <w:instrText xml:space="preserve"> PAGE  \* MERGEFORMAT </w:instrText>
                          </w:r>
                          <w:r>
                            <w:fldChar w:fldCharType="separate"/>
                          </w:r>
                          <w:r>
                            <w:t>216</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5IQPoDICAABlBAAADgAAAAAAAAABACAAAAAfAQAAZHJzL2Uyb0RvYy54bWxQSwUG&#10;AAAAAAYABgBZAQAAwwUAAAAA&#10;">
              <v:fill on="f" focussize="0,0"/>
              <v:stroke on="f" weight="0.5pt"/>
              <v:imagedata o:title=""/>
              <o:lock v:ext="edit" aspectratio="f"/>
              <v:textbox inset="0mm,0mm,0mm,0mm" style="mso-fit-shape-to-text:t;">
                <w:txbxContent>
                  <w:p w14:paraId="3922E13D">
                    <w:pPr>
                      <w:pStyle w:val="21"/>
                    </w:pPr>
                    <w:r>
                      <w:fldChar w:fldCharType="begin"/>
                    </w:r>
                    <w:r>
                      <w:instrText xml:space="preserve"> PAGE  \* MERGEFORMAT </w:instrText>
                    </w:r>
                    <w:r>
                      <w:fldChar w:fldCharType="separate"/>
                    </w:r>
                    <w:r>
                      <w:t>216</w:t>
                    </w:r>
                    <w: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31CA8E">
    <w:pPr>
      <w:spacing w:line="267" w:lineRule="exact"/>
      <w:ind w:right="21"/>
      <w:jc w:val="right"/>
      <w:rPr>
        <w:rFonts w:ascii="宋体" w:hAnsi="宋体" w:cs="宋体"/>
        <w:sz w:val="19"/>
        <w:szCs w:val="19"/>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00F50FB"/>
    <w:multiLevelType w:val="multilevel"/>
    <w:tmpl w:val="800F50FB"/>
    <w:lvl w:ilvl="0" w:tentative="0">
      <w:start w:val="1"/>
      <w:numFmt w:val="decimal"/>
      <w:lvlText w:val="表4-%1"/>
      <w:lvlJc w:val="left"/>
      <w:pPr>
        <w:ind w:left="420" w:hanging="420"/>
      </w:pPr>
      <w:rPr>
        <w:rFonts w:hint="default" w:ascii="宋体" w:hAnsi="宋体" w:eastAsia="宋体" w:cs="宋体"/>
        <w:b/>
        <w:sz w:val="21"/>
        <w:szCs w:val="24"/>
      </w:rPr>
    </w:lvl>
    <w:lvl w:ilvl="1" w:tentative="0">
      <w:start w:val="1"/>
      <w:numFmt w:val="lowerLetter"/>
      <w:lvlText w:val="%2)"/>
      <w:lvlJc w:val="left"/>
      <w:pPr>
        <w:ind w:left="840" w:hanging="420"/>
      </w:pPr>
    </w:lvl>
    <w:lvl w:ilvl="2" w:tentative="0">
      <w:start w:val="1"/>
      <w:numFmt w:val="decimal"/>
      <w:lvlText w:val="表3-%3"/>
      <w:lvlJc w:val="right"/>
      <w:pPr>
        <w:ind w:left="1260" w:hanging="420"/>
      </w:pPr>
      <w:rPr>
        <w:rFonts w:hint="default" w:ascii="宋体" w:hAnsi="宋体" w:eastAsia="宋体" w:cs="宋体"/>
        <w:b/>
        <w:sz w:val="21"/>
      </w:r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
    <w:nsid w:val="8588200B"/>
    <w:multiLevelType w:val="singleLevel"/>
    <w:tmpl w:val="8588200B"/>
    <w:lvl w:ilvl="0" w:tentative="0">
      <w:start w:val="1"/>
      <w:numFmt w:val="bullet"/>
      <w:lvlText w:val=""/>
      <w:lvlJc w:val="left"/>
      <w:pPr>
        <w:ind w:left="0" w:leftChars="0" w:firstLine="0" w:firstLineChars="0"/>
      </w:pPr>
      <w:rPr>
        <w:rFonts w:hint="default" w:ascii="Wingdings" w:hAnsi="Wingdings"/>
      </w:rPr>
    </w:lvl>
  </w:abstractNum>
  <w:abstractNum w:abstractNumId="2">
    <w:nsid w:val="8F495B1E"/>
    <w:multiLevelType w:val="multilevel"/>
    <w:tmpl w:val="8F495B1E"/>
    <w:lvl w:ilvl="0" w:tentative="0">
      <w:start w:val="1"/>
      <w:numFmt w:val="decimal"/>
      <w:lvlText w:val="表3-%1"/>
      <w:lvlJc w:val="left"/>
      <w:pPr>
        <w:ind w:left="420" w:hanging="420"/>
      </w:pPr>
      <w:rPr>
        <w:rFonts w:hint="default" w:ascii="宋体" w:hAnsi="宋体" w:eastAsia="宋体" w:cs="宋体"/>
        <w:b/>
        <w:sz w:val="21"/>
        <w:szCs w:val="24"/>
      </w:rPr>
    </w:lvl>
    <w:lvl w:ilvl="1" w:tentative="0">
      <w:start w:val="1"/>
      <w:numFmt w:val="lowerLetter"/>
      <w:lvlText w:val="%2)"/>
      <w:lvlJc w:val="left"/>
      <w:pPr>
        <w:ind w:left="840" w:hanging="420"/>
      </w:pPr>
    </w:lvl>
    <w:lvl w:ilvl="2" w:tentative="0">
      <w:start w:val="1"/>
      <w:numFmt w:val="decimal"/>
      <w:lvlText w:val="表3-%3"/>
      <w:lvlJc w:val="right"/>
      <w:pPr>
        <w:ind w:left="1260" w:hanging="420"/>
      </w:pPr>
      <w:rPr>
        <w:rFonts w:hint="default" w:ascii="宋体" w:hAnsi="宋体" w:eastAsia="宋体" w:cs="宋体"/>
        <w:b/>
        <w:sz w:val="21"/>
      </w:r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986F66AC"/>
    <w:multiLevelType w:val="singleLevel"/>
    <w:tmpl w:val="986F66AC"/>
    <w:lvl w:ilvl="0" w:tentative="0">
      <w:start w:val="1"/>
      <w:numFmt w:val="decimal"/>
      <w:suff w:val="nothing"/>
      <w:lvlText w:val="（%1）"/>
      <w:lvlJc w:val="left"/>
    </w:lvl>
  </w:abstractNum>
  <w:abstractNum w:abstractNumId="4">
    <w:nsid w:val="A696C721"/>
    <w:multiLevelType w:val="multilevel"/>
    <w:tmpl w:val="A696C721"/>
    <w:lvl w:ilvl="0" w:tentative="0">
      <w:start w:val="1"/>
      <w:numFmt w:val="decimal"/>
      <w:lvlText w:val="表5-%1"/>
      <w:lvlJc w:val="left"/>
      <w:pPr>
        <w:ind w:left="420" w:hanging="420"/>
      </w:pPr>
      <w:rPr>
        <w:rFonts w:hint="default" w:ascii="宋体" w:hAnsi="宋体" w:eastAsia="宋体" w:cs="宋体"/>
        <w:b/>
        <w:sz w:val="21"/>
        <w:szCs w:val="24"/>
      </w:rPr>
    </w:lvl>
    <w:lvl w:ilvl="1" w:tentative="0">
      <w:start w:val="1"/>
      <w:numFmt w:val="lowerLetter"/>
      <w:lvlText w:val="%2)"/>
      <w:lvlJc w:val="left"/>
      <w:pPr>
        <w:ind w:left="840" w:hanging="420"/>
      </w:pPr>
    </w:lvl>
    <w:lvl w:ilvl="2" w:tentative="0">
      <w:start w:val="1"/>
      <w:numFmt w:val="decimal"/>
      <w:lvlText w:val="表3-%3"/>
      <w:lvlJc w:val="right"/>
      <w:pPr>
        <w:ind w:left="1260" w:hanging="420"/>
      </w:pPr>
      <w:rPr>
        <w:rFonts w:hint="default" w:ascii="宋体" w:hAnsi="宋体" w:eastAsia="宋体" w:cs="宋体"/>
        <w:b/>
        <w:sz w:val="21"/>
      </w:r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5">
    <w:nsid w:val="A91F77DA"/>
    <w:multiLevelType w:val="singleLevel"/>
    <w:tmpl w:val="A91F77DA"/>
    <w:lvl w:ilvl="0" w:tentative="0">
      <w:start w:val="5"/>
      <w:numFmt w:val="chineseCounting"/>
      <w:suff w:val="nothing"/>
      <w:lvlText w:val="%1、"/>
      <w:lvlJc w:val="left"/>
      <w:rPr>
        <w:rFonts w:hint="eastAsia"/>
      </w:rPr>
    </w:lvl>
  </w:abstractNum>
  <w:abstractNum w:abstractNumId="6">
    <w:nsid w:val="BF6273E3"/>
    <w:multiLevelType w:val="singleLevel"/>
    <w:tmpl w:val="BF6273E3"/>
    <w:lvl w:ilvl="0" w:tentative="0">
      <w:start w:val="1"/>
      <w:numFmt w:val="decimal"/>
      <w:suff w:val="nothing"/>
      <w:lvlText w:val="（%1）"/>
      <w:lvlJc w:val="left"/>
    </w:lvl>
  </w:abstractNum>
  <w:abstractNum w:abstractNumId="7">
    <w:nsid w:val="C5611BAF"/>
    <w:multiLevelType w:val="singleLevel"/>
    <w:tmpl w:val="C5611BAF"/>
    <w:lvl w:ilvl="0" w:tentative="0">
      <w:start w:val="1"/>
      <w:numFmt w:val="decimal"/>
      <w:suff w:val="nothing"/>
      <w:lvlText w:val="（%1）"/>
      <w:lvlJc w:val="left"/>
    </w:lvl>
  </w:abstractNum>
  <w:abstractNum w:abstractNumId="8">
    <w:nsid w:val="F1204994"/>
    <w:multiLevelType w:val="multilevel"/>
    <w:tmpl w:val="F1204994"/>
    <w:lvl w:ilvl="0" w:tentative="0">
      <w:start w:val="1"/>
      <w:numFmt w:val="decimal"/>
      <w:lvlText w:val="表1-%1"/>
      <w:lvlJc w:val="left"/>
      <w:pPr>
        <w:ind w:left="420" w:hanging="420"/>
      </w:pPr>
      <w:rPr>
        <w:rFonts w:hint="default" w:ascii="宋体" w:hAnsi="宋体" w:eastAsia="宋体" w:cs="宋体"/>
        <w:b/>
        <w:sz w:val="21"/>
        <w:szCs w:val="24"/>
      </w:rPr>
    </w:lvl>
    <w:lvl w:ilvl="1" w:tentative="0">
      <w:start w:val="1"/>
      <w:numFmt w:val="lowerLetter"/>
      <w:lvlText w:val="%2)"/>
      <w:lvlJc w:val="left"/>
      <w:pPr>
        <w:ind w:left="840" w:hanging="420"/>
      </w:pPr>
    </w:lvl>
    <w:lvl w:ilvl="2" w:tentative="0">
      <w:start w:val="1"/>
      <w:numFmt w:val="decimal"/>
      <w:lvlText w:val="表3-%3"/>
      <w:lvlJc w:val="right"/>
      <w:pPr>
        <w:ind w:left="1260" w:hanging="420"/>
      </w:pPr>
      <w:rPr>
        <w:rFonts w:hint="default" w:ascii="宋体" w:hAnsi="宋体" w:eastAsia="宋体" w:cs="宋体"/>
        <w:b/>
        <w:sz w:val="21"/>
      </w:r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9">
    <w:nsid w:val="00000006"/>
    <w:multiLevelType w:val="multilevel"/>
    <w:tmpl w:val="00000006"/>
    <w:lvl w:ilvl="0" w:tentative="0">
      <w:start w:val="1"/>
      <w:numFmt w:val="lowerLetter"/>
      <w:lvlText w:val="%1."/>
      <w:lvlJc w:val="left"/>
      <w:pPr>
        <w:tabs>
          <w:tab w:val="left" w:pos="420"/>
        </w:tabs>
        <w:ind w:left="0" w:firstLine="539"/>
      </w:pPr>
      <w:rPr>
        <w:rFonts w:hint="eastAsia"/>
      </w:rPr>
    </w:lvl>
    <w:lvl w:ilvl="1" w:tentative="0">
      <w:start w:val="1"/>
      <w:numFmt w:val="lowerLetter"/>
      <w:lvlText w:val="%2)"/>
      <w:lvlJc w:val="left"/>
      <w:pPr>
        <w:tabs>
          <w:tab w:val="left" w:pos="840"/>
        </w:tabs>
        <w:ind w:left="840" w:hanging="420"/>
      </w:pPr>
    </w:lvl>
    <w:lvl w:ilvl="2" w:tentative="0">
      <w:start w:val="1"/>
      <w:numFmt w:val="lowerRoman"/>
      <w:pStyle w:val="70"/>
      <w:lvlText w:val="%3."/>
      <w:lvlJc w:val="right"/>
      <w:pPr>
        <w:tabs>
          <w:tab w:val="left" w:pos="1260"/>
        </w:tabs>
        <w:ind w:left="1260" w:hanging="420"/>
      </w:pPr>
    </w:lvl>
    <w:lvl w:ilvl="3" w:tentative="0">
      <w:start w:val="1"/>
      <w:numFmt w:val="decimal"/>
      <w:pStyle w:val="69"/>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10">
    <w:nsid w:val="154F1863"/>
    <w:multiLevelType w:val="multilevel"/>
    <w:tmpl w:val="154F1863"/>
    <w:lvl w:ilvl="0" w:tentative="0">
      <w:start w:val="1"/>
      <w:numFmt w:val="decimal"/>
      <w:lvlText w:val="表6-%1"/>
      <w:lvlJc w:val="left"/>
      <w:pPr>
        <w:ind w:left="420" w:hanging="420"/>
      </w:pPr>
      <w:rPr>
        <w:rFonts w:hint="default" w:ascii="宋体" w:hAnsi="宋体" w:eastAsia="宋体" w:cs="宋体"/>
        <w:b/>
        <w:sz w:val="21"/>
        <w:szCs w:val="24"/>
      </w:rPr>
    </w:lvl>
    <w:lvl w:ilvl="1" w:tentative="0">
      <w:start w:val="1"/>
      <w:numFmt w:val="lowerLetter"/>
      <w:lvlText w:val="%2)"/>
      <w:lvlJc w:val="left"/>
      <w:pPr>
        <w:ind w:left="840" w:hanging="420"/>
      </w:pPr>
    </w:lvl>
    <w:lvl w:ilvl="2" w:tentative="0">
      <w:start w:val="1"/>
      <w:numFmt w:val="decimal"/>
      <w:lvlText w:val="表3-%3"/>
      <w:lvlJc w:val="right"/>
      <w:pPr>
        <w:ind w:left="1260" w:hanging="420"/>
      </w:pPr>
      <w:rPr>
        <w:rFonts w:hint="default" w:ascii="宋体" w:hAnsi="宋体" w:eastAsia="宋体" w:cs="宋体"/>
        <w:b/>
        <w:sz w:val="21"/>
      </w:r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1">
    <w:nsid w:val="19EE58DB"/>
    <w:multiLevelType w:val="multilevel"/>
    <w:tmpl w:val="19EE58DB"/>
    <w:lvl w:ilvl="0" w:tentative="0">
      <w:start w:val="1"/>
      <w:numFmt w:val="decimal"/>
      <w:lvlText w:val="表2-%1"/>
      <w:lvlJc w:val="left"/>
      <w:pPr>
        <w:ind w:left="420" w:hanging="420"/>
      </w:pPr>
      <w:rPr>
        <w:rFonts w:hint="default" w:ascii="宋体" w:hAnsi="宋体" w:eastAsia="宋体" w:cs="宋体"/>
        <w:b/>
        <w:sz w:val="21"/>
        <w:szCs w:val="24"/>
      </w:rPr>
    </w:lvl>
    <w:lvl w:ilvl="1" w:tentative="0">
      <w:start w:val="1"/>
      <w:numFmt w:val="lowerLetter"/>
      <w:lvlText w:val="%2)"/>
      <w:lvlJc w:val="left"/>
      <w:pPr>
        <w:ind w:left="840" w:hanging="420"/>
      </w:pPr>
    </w:lvl>
    <w:lvl w:ilvl="2" w:tentative="0">
      <w:start w:val="1"/>
      <w:numFmt w:val="decimal"/>
      <w:lvlText w:val="表3-%3"/>
      <w:lvlJc w:val="right"/>
      <w:pPr>
        <w:ind w:left="1260" w:hanging="420"/>
      </w:pPr>
      <w:rPr>
        <w:rFonts w:hint="default" w:ascii="宋体" w:hAnsi="宋体" w:eastAsia="宋体" w:cs="宋体"/>
        <w:b/>
        <w:sz w:val="21"/>
      </w:r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2">
    <w:nsid w:val="1B5AF47D"/>
    <w:multiLevelType w:val="singleLevel"/>
    <w:tmpl w:val="1B5AF47D"/>
    <w:lvl w:ilvl="0" w:tentative="0">
      <w:start w:val="1"/>
      <w:numFmt w:val="decimal"/>
      <w:suff w:val="nothing"/>
      <w:lvlText w:val="%1、"/>
      <w:lvlJc w:val="left"/>
      <w:pPr>
        <w:ind w:left="0" w:firstLine="0"/>
      </w:pPr>
    </w:lvl>
  </w:abstractNum>
  <w:abstractNum w:abstractNumId="13">
    <w:nsid w:val="319EC9AC"/>
    <w:multiLevelType w:val="multilevel"/>
    <w:tmpl w:val="319EC9AC"/>
    <w:lvl w:ilvl="0" w:tentative="0">
      <w:start w:val="1"/>
      <w:numFmt w:val="decimal"/>
      <w:lvlText w:val="图5-%1"/>
      <w:lvlJc w:val="left"/>
      <w:pPr>
        <w:ind w:left="420" w:hanging="420"/>
      </w:pPr>
      <w:rPr>
        <w:rFonts w:hint="default" w:ascii="宋体" w:hAnsi="宋体" w:eastAsia="宋体" w:cs="Noto Sans CJK JP Regular"/>
        <w:b/>
        <w:sz w:val="21"/>
        <w:szCs w:val="24"/>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4">
    <w:nsid w:val="38C31841"/>
    <w:multiLevelType w:val="multilevel"/>
    <w:tmpl w:val="38C31841"/>
    <w:lvl w:ilvl="0" w:tentative="0">
      <w:start w:val="1"/>
      <w:numFmt w:val="decimal"/>
      <w:pStyle w:val="102"/>
      <w:lvlText w:val="表2-%1 "/>
      <w:lvlJc w:val="left"/>
      <w:pPr>
        <w:ind w:left="420" w:hanging="420"/>
      </w:pPr>
      <w:rPr>
        <w:rFonts w:hint="default"/>
        <w:b w:val="0"/>
        <w:bCs w:val="0"/>
        <w:i w:val="0"/>
        <w:iCs w:val="0"/>
        <w:caps w:val="0"/>
        <w:smallCaps w:val="0"/>
        <w:strike w:val="0"/>
        <w:dstrike w:val="0"/>
        <w:vanish w:val="0"/>
        <w:spacing w:val="0"/>
        <w:position w:val="0"/>
        <w:u w:val="none"/>
        <w:vertAlign w:val="baseline"/>
        <w14:ligatures w14:val="none"/>
        <w14:numForm w14:val="default"/>
        <w14:numSpacing w14:val="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5">
    <w:nsid w:val="79635CF4"/>
    <w:multiLevelType w:val="singleLevel"/>
    <w:tmpl w:val="79635CF4"/>
    <w:lvl w:ilvl="0" w:tentative="0">
      <w:start w:val="1"/>
      <w:numFmt w:val="bullet"/>
      <w:pStyle w:val="12"/>
      <w:lvlText w:val=""/>
      <w:lvlJc w:val="left"/>
      <w:pPr>
        <w:tabs>
          <w:tab w:val="left" w:pos="780"/>
        </w:tabs>
        <w:ind w:left="780" w:hanging="360"/>
      </w:pPr>
      <w:rPr>
        <w:rFonts w:hint="default" w:ascii="Wingdings" w:hAnsi="Wingdings"/>
      </w:rPr>
    </w:lvl>
  </w:abstractNum>
  <w:num w:numId="1">
    <w:abstractNumId w:val="15"/>
  </w:num>
  <w:num w:numId="2">
    <w:abstractNumId w:val="9"/>
  </w:num>
  <w:num w:numId="3">
    <w:abstractNumId w:val="14"/>
  </w:num>
  <w:num w:numId="4">
    <w:abstractNumId w:val="6"/>
  </w:num>
  <w:num w:numId="5">
    <w:abstractNumId w:val="12"/>
    <w:lvlOverride w:ilvl="0">
      <w:startOverride w:val="1"/>
    </w:lvlOverride>
  </w:num>
  <w:num w:numId="6">
    <w:abstractNumId w:val="1"/>
  </w:num>
  <w:num w:numId="7">
    <w:abstractNumId w:val="3"/>
  </w:num>
  <w:num w:numId="8">
    <w:abstractNumId w:val="5"/>
  </w:num>
  <w:num w:numId="9">
    <w:abstractNumId w:val="8"/>
  </w:num>
  <w:num w:numId="10">
    <w:abstractNumId w:val="11"/>
  </w:num>
  <w:num w:numId="11">
    <w:abstractNumId w:val="2"/>
  </w:num>
  <w:num w:numId="12">
    <w:abstractNumId w:val="0"/>
  </w:num>
  <w:num w:numId="13">
    <w:abstractNumId w:val="4"/>
  </w:num>
  <w:num w:numId="14">
    <w:abstractNumId w:val="13"/>
  </w:num>
  <w:num w:numId="15">
    <w:abstractNumId w:val="7"/>
  </w:num>
  <w:num w:numId="16">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bordersDoNotSurroundHeader w:val="0"/>
  <w:bordersDoNotSurroundFooter w:val="0"/>
  <w:documentProtection w:enforcement="0"/>
  <w:defaultTabStop w:val="420"/>
  <w:hyphenationZone w:val="36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TUwOWE4NDAwMzk2ODJkMWJhOTJkMzViNDgyMmIwYjMifQ=="/>
  </w:docVars>
  <w:rsids>
    <w:rsidRoot w:val="00172A27"/>
    <w:rsid w:val="000228FB"/>
    <w:rsid w:val="000444EF"/>
    <w:rsid w:val="000D0824"/>
    <w:rsid w:val="000E3FC3"/>
    <w:rsid w:val="001745C6"/>
    <w:rsid w:val="001918D6"/>
    <w:rsid w:val="001C49F9"/>
    <w:rsid w:val="001F2E77"/>
    <w:rsid w:val="00201EDE"/>
    <w:rsid w:val="002221FB"/>
    <w:rsid w:val="0025264E"/>
    <w:rsid w:val="002762E3"/>
    <w:rsid w:val="00296DED"/>
    <w:rsid w:val="002A0771"/>
    <w:rsid w:val="002C09F1"/>
    <w:rsid w:val="002E1F6F"/>
    <w:rsid w:val="00301F3E"/>
    <w:rsid w:val="00320EC1"/>
    <w:rsid w:val="00334EDB"/>
    <w:rsid w:val="003B322A"/>
    <w:rsid w:val="00416AD5"/>
    <w:rsid w:val="0048616A"/>
    <w:rsid w:val="004C7E3C"/>
    <w:rsid w:val="004F328E"/>
    <w:rsid w:val="005A389D"/>
    <w:rsid w:val="005B18BF"/>
    <w:rsid w:val="005F6A38"/>
    <w:rsid w:val="0065322A"/>
    <w:rsid w:val="00660578"/>
    <w:rsid w:val="00673BF5"/>
    <w:rsid w:val="00681D72"/>
    <w:rsid w:val="006A65D6"/>
    <w:rsid w:val="006C43CD"/>
    <w:rsid w:val="006D4CC5"/>
    <w:rsid w:val="00776B0E"/>
    <w:rsid w:val="00820062"/>
    <w:rsid w:val="00871133"/>
    <w:rsid w:val="008C6C96"/>
    <w:rsid w:val="008F127C"/>
    <w:rsid w:val="00AC1990"/>
    <w:rsid w:val="00AE77CF"/>
    <w:rsid w:val="00B004C4"/>
    <w:rsid w:val="00B1128B"/>
    <w:rsid w:val="00B91247"/>
    <w:rsid w:val="00C02A13"/>
    <w:rsid w:val="00C37F21"/>
    <w:rsid w:val="00CB3B14"/>
    <w:rsid w:val="00CC580F"/>
    <w:rsid w:val="00CD0911"/>
    <w:rsid w:val="00CE58DF"/>
    <w:rsid w:val="00D32495"/>
    <w:rsid w:val="00DF726F"/>
    <w:rsid w:val="00F23BE2"/>
    <w:rsid w:val="00FB08DF"/>
    <w:rsid w:val="00FE5D13"/>
    <w:rsid w:val="010D19BE"/>
    <w:rsid w:val="01187DF3"/>
    <w:rsid w:val="01367B31"/>
    <w:rsid w:val="01382BF0"/>
    <w:rsid w:val="01435A71"/>
    <w:rsid w:val="0145478B"/>
    <w:rsid w:val="0146406B"/>
    <w:rsid w:val="0162681B"/>
    <w:rsid w:val="017442FA"/>
    <w:rsid w:val="0194674A"/>
    <w:rsid w:val="01954B92"/>
    <w:rsid w:val="019D2758"/>
    <w:rsid w:val="019F284D"/>
    <w:rsid w:val="01AC5842"/>
    <w:rsid w:val="01B71F37"/>
    <w:rsid w:val="01D907D5"/>
    <w:rsid w:val="01E40E40"/>
    <w:rsid w:val="01EC72D6"/>
    <w:rsid w:val="02051AB3"/>
    <w:rsid w:val="023245B3"/>
    <w:rsid w:val="02425F6A"/>
    <w:rsid w:val="02781BC8"/>
    <w:rsid w:val="02A93B2F"/>
    <w:rsid w:val="02B21887"/>
    <w:rsid w:val="02DA64AB"/>
    <w:rsid w:val="02E06B00"/>
    <w:rsid w:val="03045209"/>
    <w:rsid w:val="03143409"/>
    <w:rsid w:val="032A1114"/>
    <w:rsid w:val="03435D62"/>
    <w:rsid w:val="03A87233"/>
    <w:rsid w:val="03C40301"/>
    <w:rsid w:val="03C84833"/>
    <w:rsid w:val="03EC6283"/>
    <w:rsid w:val="03F80596"/>
    <w:rsid w:val="042C0611"/>
    <w:rsid w:val="0442423B"/>
    <w:rsid w:val="04501325"/>
    <w:rsid w:val="045329B9"/>
    <w:rsid w:val="04D117AE"/>
    <w:rsid w:val="04E2157A"/>
    <w:rsid w:val="04F6620A"/>
    <w:rsid w:val="04FF0449"/>
    <w:rsid w:val="05051657"/>
    <w:rsid w:val="052D2DD8"/>
    <w:rsid w:val="053242B0"/>
    <w:rsid w:val="053F69CD"/>
    <w:rsid w:val="05467D5B"/>
    <w:rsid w:val="054C2543"/>
    <w:rsid w:val="054C6F06"/>
    <w:rsid w:val="0556393C"/>
    <w:rsid w:val="05566C0B"/>
    <w:rsid w:val="055E6D60"/>
    <w:rsid w:val="05781EB7"/>
    <w:rsid w:val="05855B18"/>
    <w:rsid w:val="058A006F"/>
    <w:rsid w:val="0593236A"/>
    <w:rsid w:val="059A5DED"/>
    <w:rsid w:val="05A636AD"/>
    <w:rsid w:val="05A92636"/>
    <w:rsid w:val="05AA3638"/>
    <w:rsid w:val="05B642FA"/>
    <w:rsid w:val="05C658EC"/>
    <w:rsid w:val="05F23D7D"/>
    <w:rsid w:val="05F43199"/>
    <w:rsid w:val="06187C2B"/>
    <w:rsid w:val="062F02FD"/>
    <w:rsid w:val="06431B15"/>
    <w:rsid w:val="06743625"/>
    <w:rsid w:val="069F5447"/>
    <w:rsid w:val="06A51788"/>
    <w:rsid w:val="06B90F41"/>
    <w:rsid w:val="06F3211B"/>
    <w:rsid w:val="06F87DF9"/>
    <w:rsid w:val="07063CCF"/>
    <w:rsid w:val="07076E05"/>
    <w:rsid w:val="07091B6B"/>
    <w:rsid w:val="071A5A6A"/>
    <w:rsid w:val="073A1972"/>
    <w:rsid w:val="07465F73"/>
    <w:rsid w:val="076C2F4F"/>
    <w:rsid w:val="077978E7"/>
    <w:rsid w:val="07C606B9"/>
    <w:rsid w:val="07ED0962"/>
    <w:rsid w:val="080231C5"/>
    <w:rsid w:val="081E0896"/>
    <w:rsid w:val="082A51FE"/>
    <w:rsid w:val="082F109E"/>
    <w:rsid w:val="083D71F3"/>
    <w:rsid w:val="08484B64"/>
    <w:rsid w:val="0854159B"/>
    <w:rsid w:val="086E55FF"/>
    <w:rsid w:val="087E513A"/>
    <w:rsid w:val="088210AA"/>
    <w:rsid w:val="08901648"/>
    <w:rsid w:val="08B05FA4"/>
    <w:rsid w:val="08D25E0C"/>
    <w:rsid w:val="08D74930"/>
    <w:rsid w:val="08DD41BE"/>
    <w:rsid w:val="08E452C0"/>
    <w:rsid w:val="08FA2472"/>
    <w:rsid w:val="090C74F7"/>
    <w:rsid w:val="0913457C"/>
    <w:rsid w:val="09141E0D"/>
    <w:rsid w:val="091A379F"/>
    <w:rsid w:val="091D0DD3"/>
    <w:rsid w:val="09203EB9"/>
    <w:rsid w:val="09220E4B"/>
    <w:rsid w:val="09253129"/>
    <w:rsid w:val="09281C95"/>
    <w:rsid w:val="092B4153"/>
    <w:rsid w:val="092D370C"/>
    <w:rsid w:val="094440B9"/>
    <w:rsid w:val="09493691"/>
    <w:rsid w:val="094D1FAC"/>
    <w:rsid w:val="0961175F"/>
    <w:rsid w:val="09684BE2"/>
    <w:rsid w:val="09735415"/>
    <w:rsid w:val="099A3480"/>
    <w:rsid w:val="09AD65FB"/>
    <w:rsid w:val="09B230BD"/>
    <w:rsid w:val="09BF1421"/>
    <w:rsid w:val="09C215D5"/>
    <w:rsid w:val="0A2C696F"/>
    <w:rsid w:val="0A3C3B11"/>
    <w:rsid w:val="0A482188"/>
    <w:rsid w:val="0A56047D"/>
    <w:rsid w:val="0A5C5E37"/>
    <w:rsid w:val="0A6072F7"/>
    <w:rsid w:val="0A6A4243"/>
    <w:rsid w:val="0A844345"/>
    <w:rsid w:val="0AA964B2"/>
    <w:rsid w:val="0AB12ED1"/>
    <w:rsid w:val="0ACB40C6"/>
    <w:rsid w:val="0AD8682D"/>
    <w:rsid w:val="0AF04643"/>
    <w:rsid w:val="0B004A9C"/>
    <w:rsid w:val="0B0D7823"/>
    <w:rsid w:val="0B0E6E49"/>
    <w:rsid w:val="0B13014A"/>
    <w:rsid w:val="0B206FC4"/>
    <w:rsid w:val="0B260413"/>
    <w:rsid w:val="0B343D9A"/>
    <w:rsid w:val="0B3D537E"/>
    <w:rsid w:val="0B4F1238"/>
    <w:rsid w:val="0B5067F6"/>
    <w:rsid w:val="0B6710E9"/>
    <w:rsid w:val="0B6A1B8D"/>
    <w:rsid w:val="0B934351"/>
    <w:rsid w:val="0BAA68A3"/>
    <w:rsid w:val="0BB33E49"/>
    <w:rsid w:val="0BB64D0C"/>
    <w:rsid w:val="0BB828ED"/>
    <w:rsid w:val="0BE65359"/>
    <w:rsid w:val="0BE724F7"/>
    <w:rsid w:val="0C135C2D"/>
    <w:rsid w:val="0C1B382B"/>
    <w:rsid w:val="0C3E71D6"/>
    <w:rsid w:val="0C486BC5"/>
    <w:rsid w:val="0C555072"/>
    <w:rsid w:val="0C5F3BD3"/>
    <w:rsid w:val="0C621CAA"/>
    <w:rsid w:val="0C8005A6"/>
    <w:rsid w:val="0C943AA2"/>
    <w:rsid w:val="0C9477ED"/>
    <w:rsid w:val="0CA0374B"/>
    <w:rsid w:val="0CCD7732"/>
    <w:rsid w:val="0CE20074"/>
    <w:rsid w:val="0D002EE5"/>
    <w:rsid w:val="0D194373"/>
    <w:rsid w:val="0D3910A8"/>
    <w:rsid w:val="0D622B17"/>
    <w:rsid w:val="0D6A6F4E"/>
    <w:rsid w:val="0D6E6B91"/>
    <w:rsid w:val="0D814026"/>
    <w:rsid w:val="0D817721"/>
    <w:rsid w:val="0D9C7A1E"/>
    <w:rsid w:val="0D9F7EF1"/>
    <w:rsid w:val="0DB213F1"/>
    <w:rsid w:val="0DB53AE1"/>
    <w:rsid w:val="0E090EC9"/>
    <w:rsid w:val="0E0F6A81"/>
    <w:rsid w:val="0E202E63"/>
    <w:rsid w:val="0E8518F4"/>
    <w:rsid w:val="0EA526BC"/>
    <w:rsid w:val="0EB421D9"/>
    <w:rsid w:val="0EC173B7"/>
    <w:rsid w:val="0ED3730D"/>
    <w:rsid w:val="0EE27DB8"/>
    <w:rsid w:val="0F0F4304"/>
    <w:rsid w:val="0F236C0A"/>
    <w:rsid w:val="0F3809DA"/>
    <w:rsid w:val="0F39623B"/>
    <w:rsid w:val="0F3F5B37"/>
    <w:rsid w:val="0F4948EC"/>
    <w:rsid w:val="0F4A14D0"/>
    <w:rsid w:val="0F546C16"/>
    <w:rsid w:val="0F5E508B"/>
    <w:rsid w:val="0F721379"/>
    <w:rsid w:val="0F824086"/>
    <w:rsid w:val="0F836EE2"/>
    <w:rsid w:val="0F973407"/>
    <w:rsid w:val="0F9811B3"/>
    <w:rsid w:val="0F986232"/>
    <w:rsid w:val="0FBF363A"/>
    <w:rsid w:val="0FC87CEA"/>
    <w:rsid w:val="0FD13216"/>
    <w:rsid w:val="0FDD28C7"/>
    <w:rsid w:val="0FEC6EDB"/>
    <w:rsid w:val="101F1CF8"/>
    <w:rsid w:val="1020684A"/>
    <w:rsid w:val="10226C56"/>
    <w:rsid w:val="1025687D"/>
    <w:rsid w:val="10685184"/>
    <w:rsid w:val="109C45B2"/>
    <w:rsid w:val="109D5846"/>
    <w:rsid w:val="10A31488"/>
    <w:rsid w:val="10C240FD"/>
    <w:rsid w:val="10C43531"/>
    <w:rsid w:val="10E979DD"/>
    <w:rsid w:val="110548B2"/>
    <w:rsid w:val="11082369"/>
    <w:rsid w:val="112E52E5"/>
    <w:rsid w:val="115F467E"/>
    <w:rsid w:val="11684816"/>
    <w:rsid w:val="116915E5"/>
    <w:rsid w:val="117A6A7E"/>
    <w:rsid w:val="11941403"/>
    <w:rsid w:val="119860B9"/>
    <w:rsid w:val="11A27AE4"/>
    <w:rsid w:val="11B72303"/>
    <w:rsid w:val="11C42674"/>
    <w:rsid w:val="11CB798E"/>
    <w:rsid w:val="11E840AB"/>
    <w:rsid w:val="11F74564"/>
    <w:rsid w:val="12224E3E"/>
    <w:rsid w:val="122A25C8"/>
    <w:rsid w:val="12456514"/>
    <w:rsid w:val="12555002"/>
    <w:rsid w:val="126B7E45"/>
    <w:rsid w:val="126D4135"/>
    <w:rsid w:val="127C18E6"/>
    <w:rsid w:val="128C22A9"/>
    <w:rsid w:val="12AE5A97"/>
    <w:rsid w:val="12C031C9"/>
    <w:rsid w:val="12C42C39"/>
    <w:rsid w:val="12C80001"/>
    <w:rsid w:val="12C81DAF"/>
    <w:rsid w:val="131B4D29"/>
    <w:rsid w:val="132A4818"/>
    <w:rsid w:val="13374600"/>
    <w:rsid w:val="1351436B"/>
    <w:rsid w:val="13527872"/>
    <w:rsid w:val="136011C6"/>
    <w:rsid w:val="13626F5F"/>
    <w:rsid w:val="137F7DC0"/>
    <w:rsid w:val="13853429"/>
    <w:rsid w:val="13B7360E"/>
    <w:rsid w:val="13CE00F7"/>
    <w:rsid w:val="13CE2FB7"/>
    <w:rsid w:val="142358BE"/>
    <w:rsid w:val="142B52D0"/>
    <w:rsid w:val="143B26EE"/>
    <w:rsid w:val="14406BAA"/>
    <w:rsid w:val="14410B62"/>
    <w:rsid w:val="144575A3"/>
    <w:rsid w:val="145D2EA2"/>
    <w:rsid w:val="14675377"/>
    <w:rsid w:val="14747018"/>
    <w:rsid w:val="14775276"/>
    <w:rsid w:val="147D2465"/>
    <w:rsid w:val="14847F58"/>
    <w:rsid w:val="14B23388"/>
    <w:rsid w:val="14B34070"/>
    <w:rsid w:val="14D42593"/>
    <w:rsid w:val="14DA4D3C"/>
    <w:rsid w:val="151B7AE6"/>
    <w:rsid w:val="1527507F"/>
    <w:rsid w:val="15596922"/>
    <w:rsid w:val="15633573"/>
    <w:rsid w:val="156814F3"/>
    <w:rsid w:val="15AF49F5"/>
    <w:rsid w:val="15C4032F"/>
    <w:rsid w:val="15FD11D1"/>
    <w:rsid w:val="160C5F38"/>
    <w:rsid w:val="16360BC6"/>
    <w:rsid w:val="164273C0"/>
    <w:rsid w:val="16473011"/>
    <w:rsid w:val="16565924"/>
    <w:rsid w:val="16581F4E"/>
    <w:rsid w:val="166641C7"/>
    <w:rsid w:val="167474FD"/>
    <w:rsid w:val="16772F40"/>
    <w:rsid w:val="1681542B"/>
    <w:rsid w:val="1687051C"/>
    <w:rsid w:val="16C55D6C"/>
    <w:rsid w:val="1706734A"/>
    <w:rsid w:val="17216BB8"/>
    <w:rsid w:val="173419E4"/>
    <w:rsid w:val="17345C65"/>
    <w:rsid w:val="175C643C"/>
    <w:rsid w:val="177C13BA"/>
    <w:rsid w:val="178D4906"/>
    <w:rsid w:val="179613E4"/>
    <w:rsid w:val="17AA5F28"/>
    <w:rsid w:val="17AF1790"/>
    <w:rsid w:val="17B12B52"/>
    <w:rsid w:val="17B1375A"/>
    <w:rsid w:val="17EC6540"/>
    <w:rsid w:val="17ED6A1B"/>
    <w:rsid w:val="17F0737D"/>
    <w:rsid w:val="18225B16"/>
    <w:rsid w:val="18293BC4"/>
    <w:rsid w:val="182B350C"/>
    <w:rsid w:val="184445D6"/>
    <w:rsid w:val="185D34F7"/>
    <w:rsid w:val="1865672B"/>
    <w:rsid w:val="18AE7C95"/>
    <w:rsid w:val="18BA2562"/>
    <w:rsid w:val="18C94AD3"/>
    <w:rsid w:val="18CB2434"/>
    <w:rsid w:val="18F92A45"/>
    <w:rsid w:val="19136642"/>
    <w:rsid w:val="19197809"/>
    <w:rsid w:val="192E0D42"/>
    <w:rsid w:val="19390C10"/>
    <w:rsid w:val="194D2CE1"/>
    <w:rsid w:val="195C76F5"/>
    <w:rsid w:val="19630FC1"/>
    <w:rsid w:val="19994023"/>
    <w:rsid w:val="19996930"/>
    <w:rsid w:val="19A57BAB"/>
    <w:rsid w:val="19AE6FE1"/>
    <w:rsid w:val="19B47238"/>
    <w:rsid w:val="19C07C84"/>
    <w:rsid w:val="19C74F74"/>
    <w:rsid w:val="19C9603A"/>
    <w:rsid w:val="19D454DE"/>
    <w:rsid w:val="19D57177"/>
    <w:rsid w:val="19E468A5"/>
    <w:rsid w:val="19FD67E3"/>
    <w:rsid w:val="19FF612F"/>
    <w:rsid w:val="1A00289F"/>
    <w:rsid w:val="1A0C2EC9"/>
    <w:rsid w:val="1A1C3C5C"/>
    <w:rsid w:val="1A2103E7"/>
    <w:rsid w:val="1A304FC0"/>
    <w:rsid w:val="1A390616"/>
    <w:rsid w:val="1A404E2F"/>
    <w:rsid w:val="1A583A6A"/>
    <w:rsid w:val="1A706685"/>
    <w:rsid w:val="1A725422"/>
    <w:rsid w:val="1A735B84"/>
    <w:rsid w:val="1A772A39"/>
    <w:rsid w:val="1A7E513F"/>
    <w:rsid w:val="1A8473DF"/>
    <w:rsid w:val="1A895C73"/>
    <w:rsid w:val="1A967104"/>
    <w:rsid w:val="1AAE5D2F"/>
    <w:rsid w:val="1AB0041E"/>
    <w:rsid w:val="1AB61021"/>
    <w:rsid w:val="1ABE3BDE"/>
    <w:rsid w:val="1AC25865"/>
    <w:rsid w:val="1AC53931"/>
    <w:rsid w:val="1AD20835"/>
    <w:rsid w:val="1AE812EC"/>
    <w:rsid w:val="1AEB1261"/>
    <w:rsid w:val="1AEE7009"/>
    <w:rsid w:val="1B2129A5"/>
    <w:rsid w:val="1B284AEF"/>
    <w:rsid w:val="1B3425D8"/>
    <w:rsid w:val="1B3E12F9"/>
    <w:rsid w:val="1B4A6985"/>
    <w:rsid w:val="1B566077"/>
    <w:rsid w:val="1B63401A"/>
    <w:rsid w:val="1B675121"/>
    <w:rsid w:val="1B9211AC"/>
    <w:rsid w:val="1BA920B6"/>
    <w:rsid w:val="1BAA14CE"/>
    <w:rsid w:val="1BD02332"/>
    <w:rsid w:val="1BF754B3"/>
    <w:rsid w:val="1BF94D93"/>
    <w:rsid w:val="1C1C090B"/>
    <w:rsid w:val="1C244174"/>
    <w:rsid w:val="1C29608F"/>
    <w:rsid w:val="1C366EC8"/>
    <w:rsid w:val="1C3B3528"/>
    <w:rsid w:val="1C495344"/>
    <w:rsid w:val="1C4A4BC3"/>
    <w:rsid w:val="1C51463A"/>
    <w:rsid w:val="1C5446B4"/>
    <w:rsid w:val="1C574E3D"/>
    <w:rsid w:val="1C620327"/>
    <w:rsid w:val="1C7D107A"/>
    <w:rsid w:val="1CA17D2A"/>
    <w:rsid w:val="1CA65345"/>
    <w:rsid w:val="1CC93433"/>
    <w:rsid w:val="1CD6730B"/>
    <w:rsid w:val="1CD8472F"/>
    <w:rsid w:val="1CE75C51"/>
    <w:rsid w:val="1CE879D3"/>
    <w:rsid w:val="1CEF6FB4"/>
    <w:rsid w:val="1D3862C4"/>
    <w:rsid w:val="1D3D60DA"/>
    <w:rsid w:val="1D7F1058"/>
    <w:rsid w:val="1D8B729B"/>
    <w:rsid w:val="1DCB20BE"/>
    <w:rsid w:val="1DD05DBC"/>
    <w:rsid w:val="1DEE71A3"/>
    <w:rsid w:val="1DF36635"/>
    <w:rsid w:val="1DFD63D6"/>
    <w:rsid w:val="1DFD7DB0"/>
    <w:rsid w:val="1E282105"/>
    <w:rsid w:val="1E405DA8"/>
    <w:rsid w:val="1E60555C"/>
    <w:rsid w:val="1E6E0165"/>
    <w:rsid w:val="1E834988"/>
    <w:rsid w:val="1E851BB1"/>
    <w:rsid w:val="1E9732A2"/>
    <w:rsid w:val="1EB079E7"/>
    <w:rsid w:val="1EC80C0A"/>
    <w:rsid w:val="1ECD05AF"/>
    <w:rsid w:val="1F045F58"/>
    <w:rsid w:val="1F073C5F"/>
    <w:rsid w:val="1F2667DB"/>
    <w:rsid w:val="1F27633C"/>
    <w:rsid w:val="1F390704"/>
    <w:rsid w:val="1F422EEA"/>
    <w:rsid w:val="1F483F12"/>
    <w:rsid w:val="1F5411D9"/>
    <w:rsid w:val="1F6D7F66"/>
    <w:rsid w:val="1F713DDB"/>
    <w:rsid w:val="1F7A4271"/>
    <w:rsid w:val="1F7A517F"/>
    <w:rsid w:val="1F843BE8"/>
    <w:rsid w:val="1F903BA4"/>
    <w:rsid w:val="1FB1003E"/>
    <w:rsid w:val="1FE25089"/>
    <w:rsid w:val="1FED4A5D"/>
    <w:rsid w:val="1FF46C4C"/>
    <w:rsid w:val="20335DA9"/>
    <w:rsid w:val="205401B0"/>
    <w:rsid w:val="207831CC"/>
    <w:rsid w:val="207A6C8C"/>
    <w:rsid w:val="207B790E"/>
    <w:rsid w:val="207E43F5"/>
    <w:rsid w:val="20C0148F"/>
    <w:rsid w:val="20E01AE9"/>
    <w:rsid w:val="20EE4F9B"/>
    <w:rsid w:val="20F70059"/>
    <w:rsid w:val="21531BFA"/>
    <w:rsid w:val="21575DE9"/>
    <w:rsid w:val="21636D36"/>
    <w:rsid w:val="2177044B"/>
    <w:rsid w:val="217F2D9F"/>
    <w:rsid w:val="219F7871"/>
    <w:rsid w:val="21EF0F98"/>
    <w:rsid w:val="21F77FBB"/>
    <w:rsid w:val="2212449F"/>
    <w:rsid w:val="221768AF"/>
    <w:rsid w:val="222170CA"/>
    <w:rsid w:val="222A5DA9"/>
    <w:rsid w:val="222E3E55"/>
    <w:rsid w:val="22560755"/>
    <w:rsid w:val="226117DF"/>
    <w:rsid w:val="2262595B"/>
    <w:rsid w:val="22715B12"/>
    <w:rsid w:val="229B0D6C"/>
    <w:rsid w:val="22AA2659"/>
    <w:rsid w:val="22E83DA8"/>
    <w:rsid w:val="22E86682"/>
    <w:rsid w:val="22FE0F26"/>
    <w:rsid w:val="23190119"/>
    <w:rsid w:val="232A616E"/>
    <w:rsid w:val="23340416"/>
    <w:rsid w:val="233A0AA7"/>
    <w:rsid w:val="233C2FBE"/>
    <w:rsid w:val="234311E2"/>
    <w:rsid w:val="23642C91"/>
    <w:rsid w:val="238451C4"/>
    <w:rsid w:val="23963804"/>
    <w:rsid w:val="23A023B2"/>
    <w:rsid w:val="23A561C6"/>
    <w:rsid w:val="23A70549"/>
    <w:rsid w:val="23BA3996"/>
    <w:rsid w:val="23C42C7C"/>
    <w:rsid w:val="23C57A60"/>
    <w:rsid w:val="23DA25D2"/>
    <w:rsid w:val="23DE1F1F"/>
    <w:rsid w:val="23E43569"/>
    <w:rsid w:val="23EA3BB1"/>
    <w:rsid w:val="23EF1892"/>
    <w:rsid w:val="23F97631"/>
    <w:rsid w:val="24015121"/>
    <w:rsid w:val="24015ECC"/>
    <w:rsid w:val="24245187"/>
    <w:rsid w:val="242F2EAF"/>
    <w:rsid w:val="243E0123"/>
    <w:rsid w:val="244D3D7C"/>
    <w:rsid w:val="246102B6"/>
    <w:rsid w:val="246465B0"/>
    <w:rsid w:val="248024EA"/>
    <w:rsid w:val="24A15147"/>
    <w:rsid w:val="24A41A65"/>
    <w:rsid w:val="24AD567B"/>
    <w:rsid w:val="24B61888"/>
    <w:rsid w:val="24CE33AB"/>
    <w:rsid w:val="24D60C47"/>
    <w:rsid w:val="24F81AF8"/>
    <w:rsid w:val="25141546"/>
    <w:rsid w:val="25183CF2"/>
    <w:rsid w:val="2518463A"/>
    <w:rsid w:val="2561056D"/>
    <w:rsid w:val="25732160"/>
    <w:rsid w:val="25774ACE"/>
    <w:rsid w:val="25952A80"/>
    <w:rsid w:val="25AC4F9F"/>
    <w:rsid w:val="25C95AAC"/>
    <w:rsid w:val="25CD62B7"/>
    <w:rsid w:val="25D068DB"/>
    <w:rsid w:val="25DE4C6C"/>
    <w:rsid w:val="25F23FFF"/>
    <w:rsid w:val="25F95FA2"/>
    <w:rsid w:val="260158AC"/>
    <w:rsid w:val="26087B23"/>
    <w:rsid w:val="26170C2C"/>
    <w:rsid w:val="26265A77"/>
    <w:rsid w:val="262F241A"/>
    <w:rsid w:val="26486E0F"/>
    <w:rsid w:val="2654446D"/>
    <w:rsid w:val="26694CB8"/>
    <w:rsid w:val="26751DF6"/>
    <w:rsid w:val="26B223F7"/>
    <w:rsid w:val="26BE2D45"/>
    <w:rsid w:val="26CB3D49"/>
    <w:rsid w:val="26CC3A99"/>
    <w:rsid w:val="26E66498"/>
    <w:rsid w:val="26E94891"/>
    <w:rsid w:val="26EA7223"/>
    <w:rsid w:val="26F31FD3"/>
    <w:rsid w:val="26F42F7B"/>
    <w:rsid w:val="270743AB"/>
    <w:rsid w:val="271241D9"/>
    <w:rsid w:val="2728659F"/>
    <w:rsid w:val="27302D63"/>
    <w:rsid w:val="2741057C"/>
    <w:rsid w:val="276810B5"/>
    <w:rsid w:val="27685BE8"/>
    <w:rsid w:val="277F13CF"/>
    <w:rsid w:val="27826579"/>
    <w:rsid w:val="278C73F8"/>
    <w:rsid w:val="279477AB"/>
    <w:rsid w:val="27B63ADE"/>
    <w:rsid w:val="27DA63BB"/>
    <w:rsid w:val="27DE00D2"/>
    <w:rsid w:val="27E37E28"/>
    <w:rsid w:val="27F25BF9"/>
    <w:rsid w:val="27F97F06"/>
    <w:rsid w:val="281C5D9F"/>
    <w:rsid w:val="28220FAB"/>
    <w:rsid w:val="283A1534"/>
    <w:rsid w:val="284B1B0A"/>
    <w:rsid w:val="285B357B"/>
    <w:rsid w:val="288B00E3"/>
    <w:rsid w:val="288E3455"/>
    <w:rsid w:val="289F580A"/>
    <w:rsid w:val="28CA642A"/>
    <w:rsid w:val="28E60D8A"/>
    <w:rsid w:val="29034A3B"/>
    <w:rsid w:val="29152D27"/>
    <w:rsid w:val="2922078C"/>
    <w:rsid w:val="292B34AB"/>
    <w:rsid w:val="2940513F"/>
    <w:rsid w:val="29974A17"/>
    <w:rsid w:val="29A70BE5"/>
    <w:rsid w:val="29B07FD8"/>
    <w:rsid w:val="29E02B37"/>
    <w:rsid w:val="29E60B94"/>
    <w:rsid w:val="29FB1119"/>
    <w:rsid w:val="29FD7FDE"/>
    <w:rsid w:val="2A1C3AF3"/>
    <w:rsid w:val="2A285F83"/>
    <w:rsid w:val="2A311511"/>
    <w:rsid w:val="2A36373E"/>
    <w:rsid w:val="2A3B54DA"/>
    <w:rsid w:val="2A45249B"/>
    <w:rsid w:val="2A522B7B"/>
    <w:rsid w:val="2A6E5995"/>
    <w:rsid w:val="2A715731"/>
    <w:rsid w:val="2A7C4415"/>
    <w:rsid w:val="2AB303AA"/>
    <w:rsid w:val="2AB51923"/>
    <w:rsid w:val="2AB949A8"/>
    <w:rsid w:val="2AC670C5"/>
    <w:rsid w:val="2ACA6CA5"/>
    <w:rsid w:val="2ACE1AD5"/>
    <w:rsid w:val="2AD453D8"/>
    <w:rsid w:val="2AF75739"/>
    <w:rsid w:val="2AFC23F3"/>
    <w:rsid w:val="2B191416"/>
    <w:rsid w:val="2B381DE7"/>
    <w:rsid w:val="2B473DEE"/>
    <w:rsid w:val="2B4A5B8A"/>
    <w:rsid w:val="2B527D6C"/>
    <w:rsid w:val="2B6111BC"/>
    <w:rsid w:val="2B6915CB"/>
    <w:rsid w:val="2B92053B"/>
    <w:rsid w:val="2BD90A57"/>
    <w:rsid w:val="2BDB26FC"/>
    <w:rsid w:val="2BF26574"/>
    <w:rsid w:val="2C0C0F54"/>
    <w:rsid w:val="2C0D1617"/>
    <w:rsid w:val="2C0E6C56"/>
    <w:rsid w:val="2C153E60"/>
    <w:rsid w:val="2C3E7C0A"/>
    <w:rsid w:val="2C4951C1"/>
    <w:rsid w:val="2C8565F4"/>
    <w:rsid w:val="2C8E776E"/>
    <w:rsid w:val="2C9B055B"/>
    <w:rsid w:val="2CAA772D"/>
    <w:rsid w:val="2CC13E91"/>
    <w:rsid w:val="2CCA15CD"/>
    <w:rsid w:val="2CD21D51"/>
    <w:rsid w:val="2CE577A6"/>
    <w:rsid w:val="2CEA5839"/>
    <w:rsid w:val="2CEF2903"/>
    <w:rsid w:val="2D0108E0"/>
    <w:rsid w:val="2D1B02E3"/>
    <w:rsid w:val="2D46729F"/>
    <w:rsid w:val="2D570A32"/>
    <w:rsid w:val="2D5B6234"/>
    <w:rsid w:val="2D6B6FB4"/>
    <w:rsid w:val="2D6D10F4"/>
    <w:rsid w:val="2D787075"/>
    <w:rsid w:val="2D7D016D"/>
    <w:rsid w:val="2D93513A"/>
    <w:rsid w:val="2DA4795C"/>
    <w:rsid w:val="2DC773DC"/>
    <w:rsid w:val="2DCA6ECC"/>
    <w:rsid w:val="2DEE2BBA"/>
    <w:rsid w:val="2E43758B"/>
    <w:rsid w:val="2E4542F8"/>
    <w:rsid w:val="2E7F25A1"/>
    <w:rsid w:val="2E8531AD"/>
    <w:rsid w:val="2E927329"/>
    <w:rsid w:val="2EB84F76"/>
    <w:rsid w:val="2EBE61FA"/>
    <w:rsid w:val="2EDD6129"/>
    <w:rsid w:val="2EF8239F"/>
    <w:rsid w:val="2EFB640B"/>
    <w:rsid w:val="2F007FF9"/>
    <w:rsid w:val="2F0D1E87"/>
    <w:rsid w:val="2F2B701F"/>
    <w:rsid w:val="2F2E6FE6"/>
    <w:rsid w:val="2F5F6717"/>
    <w:rsid w:val="2F8530AA"/>
    <w:rsid w:val="2F9A0705"/>
    <w:rsid w:val="2FC624A4"/>
    <w:rsid w:val="2FD23E16"/>
    <w:rsid w:val="2FD53751"/>
    <w:rsid w:val="2FD84EF5"/>
    <w:rsid w:val="2FE63DAE"/>
    <w:rsid w:val="2FFE1650"/>
    <w:rsid w:val="300541EB"/>
    <w:rsid w:val="3030379E"/>
    <w:rsid w:val="3051690B"/>
    <w:rsid w:val="30655F11"/>
    <w:rsid w:val="30670A02"/>
    <w:rsid w:val="307D6477"/>
    <w:rsid w:val="30B67293"/>
    <w:rsid w:val="30C10360"/>
    <w:rsid w:val="30E610B5"/>
    <w:rsid w:val="30EC4521"/>
    <w:rsid w:val="311C17EC"/>
    <w:rsid w:val="312371B1"/>
    <w:rsid w:val="313B4368"/>
    <w:rsid w:val="31726F06"/>
    <w:rsid w:val="317A55C3"/>
    <w:rsid w:val="31847007"/>
    <w:rsid w:val="319726CF"/>
    <w:rsid w:val="319B0382"/>
    <w:rsid w:val="319C6A22"/>
    <w:rsid w:val="319D1183"/>
    <w:rsid w:val="31A12CC2"/>
    <w:rsid w:val="31A1718F"/>
    <w:rsid w:val="31A6555A"/>
    <w:rsid w:val="31A65BBC"/>
    <w:rsid w:val="31A75229"/>
    <w:rsid w:val="31B270F7"/>
    <w:rsid w:val="31C46152"/>
    <w:rsid w:val="31D16EF9"/>
    <w:rsid w:val="31D6515B"/>
    <w:rsid w:val="31EF7461"/>
    <w:rsid w:val="31F2399A"/>
    <w:rsid w:val="320258F2"/>
    <w:rsid w:val="320901FA"/>
    <w:rsid w:val="32390758"/>
    <w:rsid w:val="323D6E6B"/>
    <w:rsid w:val="32471DFD"/>
    <w:rsid w:val="326C6B2E"/>
    <w:rsid w:val="327975A7"/>
    <w:rsid w:val="3282721B"/>
    <w:rsid w:val="328303DD"/>
    <w:rsid w:val="32927B3B"/>
    <w:rsid w:val="32944C07"/>
    <w:rsid w:val="32960D07"/>
    <w:rsid w:val="32B334A9"/>
    <w:rsid w:val="32D61E6F"/>
    <w:rsid w:val="32F04866"/>
    <w:rsid w:val="330D6458"/>
    <w:rsid w:val="33141C0C"/>
    <w:rsid w:val="332C7176"/>
    <w:rsid w:val="332E6DD4"/>
    <w:rsid w:val="33515208"/>
    <w:rsid w:val="336F1EA7"/>
    <w:rsid w:val="33735110"/>
    <w:rsid w:val="33905893"/>
    <w:rsid w:val="339E43AF"/>
    <w:rsid w:val="33AF2438"/>
    <w:rsid w:val="33D65119"/>
    <w:rsid w:val="34186D98"/>
    <w:rsid w:val="341E6D68"/>
    <w:rsid w:val="34294E95"/>
    <w:rsid w:val="342E1F62"/>
    <w:rsid w:val="34421D98"/>
    <w:rsid w:val="344A041F"/>
    <w:rsid w:val="34526F6B"/>
    <w:rsid w:val="346A383E"/>
    <w:rsid w:val="347E07BD"/>
    <w:rsid w:val="347E3D1B"/>
    <w:rsid w:val="34851FF9"/>
    <w:rsid w:val="34A7777E"/>
    <w:rsid w:val="34AF257B"/>
    <w:rsid w:val="34E055FA"/>
    <w:rsid w:val="35385ECD"/>
    <w:rsid w:val="353A5002"/>
    <w:rsid w:val="35421843"/>
    <w:rsid w:val="35552472"/>
    <w:rsid w:val="35841ED2"/>
    <w:rsid w:val="35881379"/>
    <w:rsid w:val="358E62E4"/>
    <w:rsid w:val="359758E5"/>
    <w:rsid w:val="359C114E"/>
    <w:rsid w:val="35A973C7"/>
    <w:rsid w:val="35AE60CD"/>
    <w:rsid w:val="35B77D36"/>
    <w:rsid w:val="35CE7180"/>
    <w:rsid w:val="35FB2318"/>
    <w:rsid w:val="35FF4070"/>
    <w:rsid w:val="360C24AB"/>
    <w:rsid w:val="360D7D52"/>
    <w:rsid w:val="362B7377"/>
    <w:rsid w:val="36475E28"/>
    <w:rsid w:val="3649368E"/>
    <w:rsid w:val="365D7530"/>
    <w:rsid w:val="36630578"/>
    <w:rsid w:val="368A0296"/>
    <w:rsid w:val="368C0E2A"/>
    <w:rsid w:val="36A15698"/>
    <w:rsid w:val="36B71976"/>
    <w:rsid w:val="36D122B8"/>
    <w:rsid w:val="36FA5A40"/>
    <w:rsid w:val="371A77C3"/>
    <w:rsid w:val="37200E0D"/>
    <w:rsid w:val="372025E9"/>
    <w:rsid w:val="372216F7"/>
    <w:rsid w:val="37553FAF"/>
    <w:rsid w:val="37587CBC"/>
    <w:rsid w:val="375A0AF9"/>
    <w:rsid w:val="375A2979"/>
    <w:rsid w:val="37664836"/>
    <w:rsid w:val="37751692"/>
    <w:rsid w:val="377A614D"/>
    <w:rsid w:val="377E44E2"/>
    <w:rsid w:val="37805B35"/>
    <w:rsid w:val="37936DD0"/>
    <w:rsid w:val="379D2F5B"/>
    <w:rsid w:val="37AA7CB2"/>
    <w:rsid w:val="37AB38CA"/>
    <w:rsid w:val="37B66CBE"/>
    <w:rsid w:val="37C53A5F"/>
    <w:rsid w:val="37E241A8"/>
    <w:rsid w:val="37E96A67"/>
    <w:rsid w:val="37F62AB4"/>
    <w:rsid w:val="37F6457C"/>
    <w:rsid w:val="37FC376D"/>
    <w:rsid w:val="38080D60"/>
    <w:rsid w:val="380B50F5"/>
    <w:rsid w:val="382610EF"/>
    <w:rsid w:val="384548B5"/>
    <w:rsid w:val="384A4E91"/>
    <w:rsid w:val="3852521B"/>
    <w:rsid w:val="385E0219"/>
    <w:rsid w:val="38765BF6"/>
    <w:rsid w:val="387B5E35"/>
    <w:rsid w:val="389476D9"/>
    <w:rsid w:val="389918B8"/>
    <w:rsid w:val="38A906D7"/>
    <w:rsid w:val="38AF3C75"/>
    <w:rsid w:val="38CC7EAB"/>
    <w:rsid w:val="38D638DB"/>
    <w:rsid w:val="38E93EF6"/>
    <w:rsid w:val="38EB53D3"/>
    <w:rsid w:val="39007602"/>
    <w:rsid w:val="391B69B1"/>
    <w:rsid w:val="39261BC2"/>
    <w:rsid w:val="39B10E2E"/>
    <w:rsid w:val="39CE6B8A"/>
    <w:rsid w:val="3A0A51E2"/>
    <w:rsid w:val="3A1A363C"/>
    <w:rsid w:val="3A3814D1"/>
    <w:rsid w:val="3A3A5061"/>
    <w:rsid w:val="3A575643"/>
    <w:rsid w:val="3A5A71BD"/>
    <w:rsid w:val="3A5D46F7"/>
    <w:rsid w:val="3A695377"/>
    <w:rsid w:val="3A706705"/>
    <w:rsid w:val="3A72247D"/>
    <w:rsid w:val="3A9A6327"/>
    <w:rsid w:val="3A9B4D22"/>
    <w:rsid w:val="3AA572CA"/>
    <w:rsid w:val="3AD859E9"/>
    <w:rsid w:val="3AFD306C"/>
    <w:rsid w:val="3B16121D"/>
    <w:rsid w:val="3B295802"/>
    <w:rsid w:val="3B5906A3"/>
    <w:rsid w:val="3B6A626F"/>
    <w:rsid w:val="3B7662CE"/>
    <w:rsid w:val="3B88522B"/>
    <w:rsid w:val="3B933C50"/>
    <w:rsid w:val="3B97027E"/>
    <w:rsid w:val="3BA14EE2"/>
    <w:rsid w:val="3BA74112"/>
    <w:rsid w:val="3BDD7CC5"/>
    <w:rsid w:val="3BF333F3"/>
    <w:rsid w:val="3BFE66BE"/>
    <w:rsid w:val="3C1D522E"/>
    <w:rsid w:val="3C291261"/>
    <w:rsid w:val="3C42270D"/>
    <w:rsid w:val="3C756310"/>
    <w:rsid w:val="3C89390F"/>
    <w:rsid w:val="3CA565A3"/>
    <w:rsid w:val="3CB326CB"/>
    <w:rsid w:val="3CC005BE"/>
    <w:rsid w:val="3CC45B01"/>
    <w:rsid w:val="3CE67386"/>
    <w:rsid w:val="3D05582A"/>
    <w:rsid w:val="3D31661F"/>
    <w:rsid w:val="3D3747FC"/>
    <w:rsid w:val="3D3779F1"/>
    <w:rsid w:val="3D5678BB"/>
    <w:rsid w:val="3D7A4230"/>
    <w:rsid w:val="3D830197"/>
    <w:rsid w:val="3D980A24"/>
    <w:rsid w:val="3DA0069B"/>
    <w:rsid w:val="3DA4553F"/>
    <w:rsid w:val="3DC75184"/>
    <w:rsid w:val="3DD671C7"/>
    <w:rsid w:val="3DD8351D"/>
    <w:rsid w:val="3DEE2182"/>
    <w:rsid w:val="3DFD6502"/>
    <w:rsid w:val="3E0E6B7D"/>
    <w:rsid w:val="3E1877DF"/>
    <w:rsid w:val="3E1A7695"/>
    <w:rsid w:val="3E1C5B4F"/>
    <w:rsid w:val="3E2828C4"/>
    <w:rsid w:val="3E307924"/>
    <w:rsid w:val="3E381957"/>
    <w:rsid w:val="3E5C6981"/>
    <w:rsid w:val="3E657734"/>
    <w:rsid w:val="3E76169E"/>
    <w:rsid w:val="3E765F5C"/>
    <w:rsid w:val="3E7B35FE"/>
    <w:rsid w:val="3E7C20B8"/>
    <w:rsid w:val="3E935008"/>
    <w:rsid w:val="3E987338"/>
    <w:rsid w:val="3E9C429C"/>
    <w:rsid w:val="3EA3037F"/>
    <w:rsid w:val="3EDB515E"/>
    <w:rsid w:val="3EDD026E"/>
    <w:rsid w:val="3EEA3364"/>
    <w:rsid w:val="3EF26282"/>
    <w:rsid w:val="3EF5367D"/>
    <w:rsid w:val="3F06588A"/>
    <w:rsid w:val="3F070778"/>
    <w:rsid w:val="3F0A5A66"/>
    <w:rsid w:val="3F320AD0"/>
    <w:rsid w:val="3F484462"/>
    <w:rsid w:val="3F9B5FD2"/>
    <w:rsid w:val="3F9C5ECC"/>
    <w:rsid w:val="3FDB1A60"/>
    <w:rsid w:val="3FF43934"/>
    <w:rsid w:val="400C0C7E"/>
    <w:rsid w:val="40217210"/>
    <w:rsid w:val="40266613"/>
    <w:rsid w:val="404A4B48"/>
    <w:rsid w:val="406B3BF6"/>
    <w:rsid w:val="40B43C23"/>
    <w:rsid w:val="40C6671E"/>
    <w:rsid w:val="40C76ADF"/>
    <w:rsid w:val="40C9493F"/>
    <w:rsid w:val="40D20119"/>
    <w:rsid w:val="40D44CBD"/>
    <w:rsid w:val="40DF6FF4"/>
    <w:rsid w:val="40E225A0"/>
    <w:rsid w:val="40FF7A38"/>
    <w:rsid w:val="41010C1D"/>
    <w:rsid w:val="41033B9B"/>
    <w:rsid w:val="410E7F24"/>
    <w:rsid w:val="412471E6"/>
    <w:rsid w:val="412A44C4"/>
    <w:rsid w:val="412E0EE5"/>
    <w:rsid w:val="413D35A4"/>
    <w:rsid w:val="41523008"/>
    <w:rsid w:val="41565FA1"/>
    <w:rsid w:val="415A5167"/>
    <w:rsid w:val="415B63ED"/>
    <w:rsid w:val="416860FA"/>
    <w:rsid w:val="416F5968"/>
    <w:rsid w:val="417B437E"/>
    <w:rsid w:val="417C3687"/>
    <w:rsid w:val="41831CFE"/>
    <w:rsid w:val="4184399F"/>
    <w:rsid w:val="418620A9"/>
    <w:rsid w:val="41A06AA4"/>
    <w:rsid w:val="41AA074E"/>
    <w:rsid w:val="41AE5A46"/>
    <w:rsid w:val="41BB2647"/>
    <w:rsid w:val="41BE4CC7"/>
    <w:rsid w:val="41C6694C"/>
    <w:rsid w:val="41EC57E8"/>
    <w:rsid w:val="42021F56"/>
    <w:rsid w:val="420963FA"/>
    <w:rsid w:val="421753B2"/>
    <w:rsid w:val="4225280C"/>
    <w:rsid w:val="42407B97"/>
    <w:rsid w:val="42537038"/>
    <w:rsid w:val="428524AA"/>
    <w:rsid w:val="428A40E2"/>
    <w:rsid w:val="428E2070"/>
    <w:rsid w:val="42AC7E59"/>
    <w:rsid w:val="42C60C7E"/>
    <w:rsid w:val="42CD54E6"/>
    <w:rsid w:val="42D14F29"/>
    <w:rsid w:val="42E277B7"/>
    <w:rsid w:val="42E5711F"/>
    <w:rsid w:val="42F7476F"/>
    <w:rsid w:val="42FD5B23"/>
    <w:rsid w:val="4303280C"/>
    <w:rsid w:val="430B6197"/>
    <w:rsid w:val="431B5AD3"/>
    <w:rsid w:val="431B733F"/>
    <w:rsid w:val="431D3E48"/>
    <w:rsid w:val="43403F3C"/>
    <w:rsid w:val="43BD13B4"/>
    <w:rsid w:val="43C55177"/>
    <w:rsid w:val="43CB76FE"/>
    <w:rsid w:val="43FD15E9"/>
    <w:rsid w:val="44084FE1"/>
    <w:rsid w:val="443054A9"/>
    <w:rsid w:val="443A7057"/>
    <w:rsid w:val="443C3C76"/>
    <w:rsid w:val="44544D9F"/>
    <w:rsid w:val="446853DB"/>
    <w:rsid w:val="44754FED"/>
    <w:rsid w:val="447A1E78"/>
    <w:rsid w:val="44BC2914"/>
    <w:rsid w:val="44FD7CEA"/>
    <w:rsid w:val="450B514C"/>
    <w:rsid w:val="4520103B"/>
    <w:rsid w:val="453F38A4"/>
    <w:rsid w:val="4545122F"/>
    <w:rsid w:val="45647C72"/>
    <w:rsid w:val="45653305"/>
    <w:rsid w:val="458D0C30"/>
    <w:rsid w:val="45A02594"/>
    <w:rsid w:val="45B105DE"/>
    <w:rsid w:val="45BB5620"/>
    <w:rsid w:val="45C32EF4"/>
    <w:rsid w:val="45D55593"/>
    <w:rsid w:val="45DA19D8"/>
    <w:rsid w:val="45FF3A55"/>
    <w:rsid w:val="460F3276"/>
    <w:rsid w:val="460F365D"/>
    <w:rsid w:val="4632339B"/>
    <w:rsid w:val="46396333"/>
    <w:rsid w:val="463B4C13"/>
    <w:rsid w:val="4646657D"/>
    <w:rsid w:val="465E0DFE"/>
    <w:rsid w:val="46805310"/>
    <w:rsid w:val="469373C4"/>
    <w:rsid w:val="46A22DB8"/>
    <w:rsid w:val="471B4EB4"/>
    <w:rsid w:val="471C2589"/>
    <w:rsid w:val="475F7049"/>
    <w:rsid w:val="47AB7F63"/>
    <w:rsid w:val="47AD36F8"/>
    <w:rsid w:val="47BF5AC3"/>
    <w:rsid w:val="47C5722D"/>
    <w:rsid w:val="47CC0D73"/>
    <w:rsid w:val="47CC355F"/>
    <w:rsid w:val="47D00CA8"/>
    <w:rsid w:val="47D025D2"/>
    <w:rsid w:val="47FB0058"/>
    <w:rsid w:val="480C6CB2"/>
    <w:rsid w:val="4826596F"/>
    <w:rsid w:val="483E1196"/>
    <w:rsid w:val="48546085"/>
    <w:rsid w:val="4860755D"/>
    <w:rsid w:val="486B7E4E"/>
    <w:rsid w:val="487D00E6"/>
    <w:rsid w:val="488E258E"/>
    <w:rsid w:val="48A90B9B"/>
    <w:rsid w:val="48BD5FC9"/>
    <w:rsid w:val="48D35526"/>
    <w:rsid w:val="48DF43DF"/>
    <w:rsid w:val="493454F3"/>
    <w:rsid w:val="49471139"/>
    <w:rsid w:val="4948787E"/>
    <w:rsid w:val="49536956"/>
    <w:rsid w:val="495B666F"/>
    <w:rsid w:val="496166D7"/>
    <w:rsid w:val="498A2E62"/>
    <w:rsid w:val="498B2C33"/>
    <w:rsid w:val="49973BDF"/>
    <w:rsid w:val="49B6283C"/>
    <w:rsid w:val="49F9274C"/>
    <w:rsid w:val="4A0E5AFA"/>
    <w:rsid w:val="4A145156"/>
    <w:rsid w:val="4A236205"/>
    <w:rsid w:val="4A2F3EE7"/>
    <w:rsid w:val="4A3C6FC2"/>
    <w:rsid w:val="4A422B78"/>
    <w:rsid w:val="4A521339"/>
    <w:rsid w:val="4A730DF0"/>
    <w:rsid w:val="4A7D07F8"/>
    <w:rsid w:val="4A8B4988"/>
    <w:rsid w:val="4A910083"/>
    <w:rsid w:val="4AC16C37"/>
    <w:rsid w:val="4AEB42B2"/>
    <w:rsid w:val="4AFA1D28"/>
    <w:rsid w:val="4AFF428D"/>
    <w:rsid w:val="4B050E24"/>
    <w:rsid w:val="4B1F21AD"/>
    <w:rsid w:val="4B3814C1"/>
    <w:rsid w:val="4B835866"/>
    <w:rsid w:val="4B92297F"/>
    <w:rsid w:val="4B950660"/>
    <w:rsid w:val="4B9831B2"/>
    <w:rsid w:val="4BBE1713"/>
    <w:rsid w:val="4BD31B47"/>
    <w:rsid w:val="4BEA1B05"/>
    <w:rsid w:val="4BF1150D"/>
    <w:rsid w:val="4C0B3471"/>
    <w:rsid w:val="4C0F3FD0"/>
    <w:rsid w:val="4C416153"/>
    <w:rsid w:val="4C650DB6"/>
    <w:rsid w:val="4C7E2F03"/>
    <w:rsid w:val="4C827B21"/>
    <w:rsid w:val="4C880E71"/>
    <w:rsid w:val="4C8F6EBF"/>
    <w:rsid w:val="4CAB10A5"/>
    <w:rsid w:val="4CAE37E9"/>
    <w:rsid w:val="4CDD1C3D"/>
    <w:rsid w:val="4CEA746B"/>
    <w:rsid w:val="4CFE3E2D"/>
    <w:rsid w:val="4CFF6E06"/>
    <w:rsid w:val="4D125215"/>
    <w:rsid w:val="4D1675E0"/>
    <w:rsid w:val="4D3140C4"/>
    <w:rsid w:val="4D3423B7"/>
    <w:rsid w:val="4D474222"/>
    <w:rsid w:val="4D4771A5"/>
    <w:rsid w:val="4D5123C6"/>
    <w:rsid w:val="4D5B5008"/>
    <w:rsid w:val="4D7006C7"/>
    <w:rsid w:val="4D8C2572"/>
    <w:rsid w:val="4DA8088B"/>
    <w:rsid w:val="4DAA7B84"/>
    <w:rsid w:val="4DB50491"/>
    <w:rsid w:val="4DC10752"/>
    <w:rsid w:val="4DC16DD5"/>
    <w:rsid w:val="4DD279AD"/>
    <w:rsid w:val="4DD722B3"/>
    <w:rsid w:val="4DEC3954"/>
    <w:rsid w:val="4E041520"/>
    <w:rsid w:val="4E047438"/>
    <w:rsid w:val="4E1D7C13"/>
    <w:rsid w:val="4E293CCE"/>
    <w:rsid w:val="4E2D3BB4"/>
    <w:rsid w:val="4E3314C7"/>
    <w:rsid w:val="4E5A40C4"/>
    <w:rsid w:val="4E6D7288"/>
    <w:rsid w:val="4E777F7F"/>
    <w:rsid w:val="4E895B21"/>
    <w:rsid w:val="4E902A75"/>
    <w:rsid w:val="4E987896"/>
    <w:rsid w:val="4EB43934"/>
    <w:rsid w:val="4ECC35D6"/>
    <w:rsid w:val="4EF67B09"/>
    <w:rsid w:val="4F025857"/>
    <w:rsid w:val="4F202CAB"/>
    <w:rsid w:val="4F482DE7"/>
    <w:rsid w:val="4F8D182E"/>
    <w:rsid w:val="4FC40D9D"/>
    <w:rsid w:val="4FC91958"/>
    <w:rsid w:val="4FE90A9C"/>
    <w:rsid w:val="4FEA5EB5"/>
    <w:rsid w:val="4FF83D79"/>
    <w:rsid w:val="5009481B"/>
    <w:rsid w:val="50163700"/>
    <w:rsid w:val="50182504"/>
    <w:rsid w:val="501B268A"/>
    <w:rsid w:val="501C595D"/>
    <w:rsid w:val="50243EB3"/>
    <w:rsid w:val="503D1B80"/>
    <w:rsid w:val="50421125"/>
    <w:rsid w:val="5048004C"/>
    <w:rsid w:val="50805B5D"/>
    <w:rsid w:val="50821878"/>
    <w:rsid w:val="508937E5"/>
    <w:rsid w:val="50A40932"/>
    <w:rsid w:val="50BF3E83"/>
    <w:rsid w:val="50CD34F7"/>
    <w:rsid w:val="50D236C7"/>
    <w:rsid w:val="50E6564E"/>
    <w:rsid w:val="50EE68AA"/>
    <w:rsid w:val="510537DD"/>
    <w:rsid w:val="51087240"/>
    <w:rsid w:val="51187E91"/>
    <w:rsid w:val="511B2D5A"/>
    <w:rsid w:val="51296B86"/>
    <w:rsid w:val="51383D3F"/>
    <w:rsid w:val="51432D9E"/>
    <w:rsid w:val="5149105C"/>
    <w:rsid w:val="514F41A5"/>
    <w:rsid w:val="51622E36"/>
    <w:rsid w:val="51823496"/>
    <w:rsid w:val="51894824"/>
    <w:rsid w:val="51A00B46"/>
    <w:rsid w:val="51A57DF2"/>
    <w:rsid w:val="51BF264A"/>
    <w:rsid w:val="51C365E9"/>
    <w:rsid w:val="51E17045"/>
    <w:rsid w:val="520F42B6"/>
    <w:rsid w:val="522D04E0"/>
    <w:rsid w:val="5232501A"/>
    <w:rsid w:val="52452450"/>
    <w:rsid w:val="52592449"/>
    <w:rsid w:val="52595AC2"/>
    <w:rsid w:val="52601FA0"/>
    <w:rsid w:val="52746E1F"/>
    <w:rsid w:val="52780ACB"/>
    <w:rsid w:val="528B62A2"/>
    <w:rsid w:val="5291403E"/>
    <w:rsid w:val="52CA29FF"/>
    <w:rsid w:val="52CB1DE4"/>
    <w:rsid w:val="52CD24EF"/>
    <w:rsid w:val="52E85BEE"/>
    <w:rsid w:val="530370E9"/>
    <w:rsid w:val="5310251E"/>
    <w:rsid w:val="532A5405"/>
    <w:rsid w:val="533225E9"/>
    <w:rsid w:val="534C4069"/>
    <w:rsid w:val="534D63EB"/>
    <w:rsid w:val="534E7D80"/>
    <w:rsid w:val="535054C4"/>
    <w:rsid w:val="53560C74"/>
    <w:rsid w:val="5372040C"/>
    <w:rsid w:val="537B2E65"/>
    <w:rsid w:val="538662DD"/>
    <w:rsid w:val="53AC7156"/>
    <w:rsid w:val="53B2342F"/>
    <w:rsid w:val="53BB67EB"/>
    <w:rsid w:val="53C20F13"/>
    <w:rsid w:val="53CF4C12"/>
    <w:rsid w:val="53E50E28"/>
    <w:rsid w:val="53E7154E"/>
    <w:rsid w:val="54025811"/>
    <w:rsid w:val="54034B2D"/>
    <w:rsid w:val="54096628"/>
    <w:rsid w:val="5422146F"/>
    <w:rsid w:val="543547EF"/>
    <w:rsid w:val="5447757C"/>
    <w:rsid w:val="54484523"/>
    <w:rsid w:val="544862A5"/>
    <w:rsid w:val="5469121D"/>
    <w:rsid w:val="54713FA7"/>
    <w:rsid w:val="548C2E67"/>
    <w:rsid w:val="549C4376"/>
    <w:rsid w:val="549F7EBB"/>
    <w:rsid w:val="54A74532"/>
    <w:rsid w:val="54DC06EA"/>
    <w:rsid w:val="54FC2DF5"/>
    <w:rsid w:val="55173EF5"/>
    <w:rsid w:val="551D2D4F"/>
    <w:rsid w:val="551F1D4C"/>
    <w:rsid w:val="55296F88"/>
    <w:rsid w:val="55966184"/>
    <w:rsid w:val="55C173B5"/>
    <w:rsid w:val="55C335C2"/>
    <w:rsid w:val="55DC539C"/>
    <w:rsid w:val="566E5CCA"/>
    <w:rsid w:val="567F1AE1"/>
    <w:rsid w:val="56811F6E"/>
    <w:rsid w:val="56931CA9"/>
    <w:rsid w:val="56945A3C"/>
    <w:rsid w:val="56D737F9"/>
    <w:rsid w:val="56DD4AAC"/>
    <w:rsid w:val="56F333CB"/>
    <w:rsid w:val="56FC287F"/>
    <w:rsid w:val="570E0D4D"/>
    <w:rsid w:val="57273E60"/>
    <w:rsid w:val="57291488"/>
    <w:rsid w:val="57315742"/>
    <w:rsid w:val="57366879"/>
    <w:rsid w:val="57403E9E"/>
    <w:rsid w:val="574A5A7E"/>
    <w:rsid w:val="57854CF3"/>
    <w:rsid w:val="57A37CC2"/>
    <w:rsid w:val="57AC2ED0"/>
    <w:rsid w:val="57AC4DC9"/>
    <w:rsid w:val="57D9724D"/>
    <w:rsid w:val="57E83927"/>
    <w:rsid w:val="57EE4297"/>
    <w:rsid w:val="583D5ED5"/>
    <w:rsid w:val="583F4D3C"/>
    <w:rsid w:val="5841045D"/>
    <w:rsid w:val="58683983"/>
    <w:rsid w:val="58750836"/>
    <w:rsid w:val="587A68F2"/>
    <w:rsid w:val="58B56FCD"/>
    <w:rsid w:val="58C62834"/>
    <w:rsid w:val="58E00096"/>
    <w:rsid w:val="58EB5EB7"/>
    <w:rsid w:val="58FA32DF"/>
    <w:rsid w:val="59013AE2"/>
    <w:rsid w:val="590B5B7A"/>
    <w:rsid w:val="59124DE3"/>
    <w:rsid w:val="5920472F"/>
    <w:rsid w:val="594A4899"/>
    <w:rsid w:val="5954679C"/>
    <w:rsid w:val="595B5175"/>
    <w:rsid w:val="5A466365"/>
    <w:rsid w:val="5A6E0A5B"/>
    <w:rsid w:val="5A7960F4"/>
    <w:rsid w:val="5A8913F1"/>
    <w:rsid w:val="5A967172"/>
    <w:rsid w:val="5AB23258"/>
    <w:rsid w:val="5AB749B7"/>
    <w:rsid w:val="5AE563AD"/>
    <w:rsid w:val="5AFD12A8"/>
    <w:rsid w:val="5B073200"/>
    <w:rsid w:val="5B0B6C0D"/>
    <w:rsid w:val="5B0F44C1"/>
    <w:rsid w:val="5B252DE6"/>
    <w:rsid w:val="5B354C15"/>
    <w:rsid w:val="5B490B80"/>
    <w:rsid w:val="5B510FAA"/>
    <w:rsid w:val="5B5D2BD6"/>
    <w:rsid w:val="5B721E85"/>
    <w:rsid w:val="5B9B46BA"/>
    <w:rsid w:val="5BC15FA7"/>
    <w:rsid w:val="5BCA76EC"/>
    <w:rsid w:val="5BCB1FEE"/>
    <w:rsid w:val="5BD46481"/>
    <w:rsid w:val="5BEA0A56"/>
    <w:rsid w:val="5C0D01DF"/>
    <w:rsid w:val="5C1A5FD0"/>
    <w:rsid w:val="5C1E553F"/>
    <w:rsid w:val="5C58097A"/>
    <w:rsid w:val="5C6412EE"/>
    <w:rsid w:val="5C877F79"/>
    <w:rsid w:val="5C8C5B00"/>
    <w:rsid w:val="5C8E1BD7"/>
    <w:rsid w:val="5C9736AC"/>
    <w:rsid w:val="5CC219EF"/>
    <w:rsid w:val="5CC92385"/>
    <w:rsid w:val="5CD27A99"/>
    <w:rsid w:val="5D03088A"/>
    <w:rsid w:val="5D144F6C"/>
    <w:rsid w:val="5D302C5B"/>
    <w:rsid w:val="5D4810F0"/>
    <w:rsid w:val="5D4D6706"/>
    <w:rsid w:val="5D656145"/>
    <w:rsid w:val="5D6650F2"/>
    <w:rsid w:val="5D6F6B57"/>
    <w:rsid w:val="5D8B08EC"/>
    <w:rsid w:val="5D8D2635"/>
    <w:rsid w:val="5D9538CF"/>
    <w:rsid w:val="5DAF116F"/>
    <w:rsid w:val="5DCA088D"/>
    <w:rsid w:val="5DD378CA"/>
    <w:rsid w:val="5DD40BD5"/>
    <w:rsid w:val="5DD461D4"/>
    <w:rsid w:val="5DE42FBD"/>
    <w:rsid w:val="5DE9235D"/>
    <w:rsid w:val="5E000901"/>
    <w:rsid w:val="5E20232C"/>
    <w:rsid w:val="5E303AF6"/>
    <w:rsid w:val="5E377B30"/>
    <w:rsid w:val="5E3938EB"/>
    <w:rsid w:val="5E5304DA"/>
    <w:rsid w:val="5E5E0C0D"/>
    <w:rsid w:val="5E675E1B"/>
    <w:rsid w:val="5E725046"/>
    <w:rsid w:val="5E780E5B"/>
    <w:rsid w:val="5E983FFA"/>
    <w:rsid w:val="5E9D3D74"/>
    <w:rsid w:val="5ECF155E"/>
    <w:rsid w:val="5ED23972"/>
    <w:rsid w:val="5F017197"/>
    <w:rsid w:val="5F197499"/>
    <w:rsid w:val="5F1C754F"/>
    <w:rsid w:val="5F5263EA"/>
    <w:rsid w:val="5F6E5512"/>
    <w:rsid w:val="5F8C1DD9"/>
    <w:rsid w:val="5F950838"/>
    <w:rsid w:val="5F9D59F4"/>
    <w:rsid w:val="5FC14B04"/>
    <w:rsid w:val="5FC403E3"/>
    <w:rsid w:val="5FCF3645"/>
    <w:rsid w:val="5FE0295F"/>
    <w:rsid w:val="5FE5180A"/>
    <w:rsid w:val="5FEF5208"/>
    <w:rsid w:val="600B28A8"/>
    <w:rsid w:val="600E0D6D"/>
    <w:rsid w:val="60146304"/>
    <w:rsid w:val="60277D7A"/>
    <w:rsid w:val="60377F79"/>
    <w:rsid w:val="604255B0"/>
    <w:rsid w:val="6058223C"/>
    <w:rsid w:val="60704471"/>
    <w:rsid w:val="607F61F1"/>
    <w:rsid w:val="6088777A"/>
    <w:rsid w:val="60966616"/>
    <w:rsid w:val="60DA6DB3"/>
    <w:rsid w:val="60E57176"/>
    <w:rsid w:val="60E843BA"/>
    <w:rsid w:val="60F04451"/>
    <w:rsid w:val="60FA1457"/>
    <w:rsid w:val="61073840"/>
    <w:rsid w:val="61641C99"/>
    <w:rsid w:val="616B7AA3"/>
    <w:rsid w:val="6186753E"/>
    <w:rsid w:val="619749B5"/>
    <w:rsid w:val="61B91D38"/>
    <w:rsid w:val="61BD1E30"/>
    <w:rsid w:val="61C16157"/>
    <w:rsid w:val="61DF4EE3"/>
    <w:rsid w:val="61E52E20"/>
    <w:rsid w:val="621450F8"/>
    <w:rsid w:val="621E6952"/>
    <w:rsid w:val="621F21C1"/>
    <w:rsid w:val="6237302E"/>
    <w:rsid w:val="62412A06"/>
    <w:rsid w:val="624328DB"/>
    <w:rsid w:val="62434024"/>
    <w:rsid w:val="62491CD6"/>
    <w:rsid w:val="627B7073"/>
    <w:rsid w:val="628B1839"/>
    <w:rsid w:val="62A5413E"/>
    <w:rsid w:val="62FF243E"/>
    <w:rsid w:val="6307621D"/>
    <w:rsid w:val="630B6D26"/>
    <w:rsid w:val="631C6257"/>
    <w:rsid w:val="63286200"/>
    <w:rsid w:val="632B573B"/>
    <w:rsid w:val="633748A5"/>
    <w:rsid w:val="634876C8"/>
    <w:rsid w:val="63496DDB"/>
    <w:rsid w:val="63567E87"/>
    <w:rsid w:val="635F6CE0"/>
    <w:rsid w:val="6372210C"/>
    <w:rsid w:val="63AB4587"/>
    <w:rsid w:val="63BD0A4F"/>
    <w:rsid w:val="63D43B3C"/>
    <w:rsid w:val="63E900A0"/>
    <w:rsid w:val="63FD56F2"/>
    <w:rsid w:val="640B23DA"/>
    <w:rsid w:val="6417398B"/>
    <w:rsid w:val="64531F10"/>
    <w:rsid w:val="64684DFD"/>
    <w:rsid w:val="64755E59"/>
    <w:rsid w:val="647D3E01"/>
    <w:rsid w:val="648373FE"/>
    <w:rsid w:val="64854216"/>
    <w:rsid w:val="64AC0143"/>
    <w:rsid w:val="64B81A4E"/>
    <w:rsid w:val="64BE613B"/>
    <w:rsid w:val="64C75FE1"/>
    <w:rsid w:val="64CE3197"/>
    <w:rsid w:val="64CE5514"/>
    <w:rsid w:val="64D44A83"/>
    <w:rsid w:val="64DE0BE0"/>
    <w:rsid w:val="64E54D80"/>
    <w:rsid w:val="64FB1413"/>
    <w:rsid w:val="6501655F"/>
    <w:rsid w:val="650D05C8"/>
    <w:rsid w:val="65256B3E"/>
    <w:rsid w:val="65296A8A"/>
    <w:rsid w:val="653941D6"/>
    <w:rsid w:val="65495368"/>
    <w:rsid w:val="654A49DF"/>
    <w:rsid w:val="65610DF9"/>
    <w:rsid w:val="65970F2B"/>
    <w:rsid w:val="659B022A"/>
    <w:rsid w:val="65AB1385"/>
    <w:rsid w:val="65BE264A"/>
    <w:rsid w:val="65DA2A5D"/>
    <w:rsid w:val="65E95167"/>
    <w:rsid w:val="65EF325A"/>
    <w:rsid w:val="65F360A6"/>
    <w:rsid w:val="65F7228A"/>
    <w:rsid w:val="66174A0D"/>
    <w:rsid w:val="661E2517"/>
    <w:rsid w:val="66482293"/>
    <w:rsid w:val="664C7CAA"/>
    <w:rsid w:val="666920E2"/>
    <w:rsid w:val="666E7986"/>
    <w:rsid w:val="667B32C9"/>
    <w:rsid w:val="668A7A41"/>
    <w:rsid w:val="669731B2"/>
    <w:rsid w:val="66984AA8"/>
    <w:rsid w:val="669B766B"/>
    <w:rsid w:val="66BB58D6"/>
    <w:rsid w:val="66CE4A7E"/>
    <w:rsid w:val="66FA48D8"/>
    <w:rsid w:val="670E33AA"/>
    <w:rsid w:val="672C3250"/>
    <w:rsid w:val="6753224F"/>
    <w:rsid w:val="676236F6"/>
    <w:rsid w:val="67743096"/>
    <w:rsid w:val="67975A40"/>
    <w:rsid w:val="679B7640"/>
    <w:rsid w:val="67D6697E"/>
    <w:rsid w:val="67DF32A8"/>
    <w:rsid w:val="67E53E3A"/>
    <w:rsid w:val="67FA4F92"/>
    <w:rsid w:val="682048D4"/>
    <w:rsid w:val="683706DE"/>
    <w:rsid w:val="683D585C"/>
    <w:rsid w:val="6846757A"/>
    <w:rsid w:val="68573ECB"/>
    <w:rsid w:val="68795138"/>
    <w:rsid w:val="689478DF"/>
    <w:rsid w:val="68C25CBE"/>
    <w:rsid w:val="68CE7C59"/>
    <w:rsid w:val="68D81CC7"/>
    <w:rsid w:val="68E21FF0"/>
    <w:rsid w:val="68F42A57"/>
    <w:rsid w:val="68FC400C"/>
    <w:rsid w:val="6904714D"/>
    <w:rsid w:val="69182864"/>
    <w:rsid w:val="692C7B17"/>
    <w:rsid w:val="69496B6A"/>
    <w:rsid w:val="694A2693"/>
    <w:rsid w:val="695118E9"/>
    <w:rsid w:val="6962518B"/>
    <w:rsid w:val="697A1140"/>
    <w:rsid w:val="698C54BA"/>
    <w:rsid w:val="699D6AAC"/>
    <w:rsid w:val="69B16CA2"/>
    <w:rsid w:val="69B16D71"/>
    <w:rsid w:val="69B813AB"/>
    <w:rsid w:val="69E45E5C"/>
    <w:rsid w:val="69F1100D"/>
    <w:rsid w:val="69F82DEB"/>
    <w:rsid w:val="6A1A6F09"/>
    <w:rsid w:val="6A4F6E29"/>
    <w:rsid w:val="6A6C1316"/>
    <w:rsid w:val="6A8219B9"/>
    <w:rsid w:val="6A887F9F"/>
    <w:rsid w:val="6A8A53CB"/>
    <w:rsid w:val="6AA251B4"/>
    <w:rsid w:val="6AD5214D"/>
    <w:rsid w:val="6AE12C05"/>
    <w:rsid w:val="6AEC79FA"/>
    <w:rsid w:val="6AF83CD5"/>
    <w:rsid w:val="6B092166"/>
    <w:rsid w:val="6B142AF1"/>
    <w:rsid w:val="6B341A7A"/>
    <w:rsid w:val="6B37363D"/>
    <w:rsid w:val="6B44472A"/>
    <w:rsid w:val="6B803492"/>
    <w:rsid w:val="6B820C1F"/>
    <w:rsid w:val="6B8B509A"/>
    <w:rsid w:val="6B955A77"/>
    <w:rsid w:val="6BA4220D"/>
    <w:rsid w:val="6BAC6F97"/>
    <w:rsid w:val="6BB7217A"/>
    <w:rsid w:val="6BBA6316"/>
    <w:rsid w:val="6BDD16AF"/>
    <w:rsid w:val="6BEA4AE7"/>
    <w:rsid w:val="6BED6B95"/>
    <w:rsid w:val="6BEF0C80"/>
    <w:rsid w:val="6BF96C74"/>
    <w:rsid w:val="6BFB1A23"/>
    <w:rsid w:val="6C102155"/>
    <w:rsid w:val="6C155949"/>
    <w:rsid w:val="6C3B28F8"/>
    <w:rsid w:val="6C3B3BC2"/>
    <w:rsid w:val="6C4258A4"/>
    <w:rsid w:val="6C4429EA"/>
    <w:rsid w:val="6C783594"/>
    <w:rsid w:val="6C7D7B71"/>
    <w:rsid w:val="6C8E7995"/>
    <w:rsid w:val="6CA75C5A"/>
    <w:rsid w:val="6CB45E44"/>
    <w:rsid w:val="6CBD5D67"/>
    <w:rsid w:val="6CE02AFB"/>
    <w:rsid w:val="6CED1CB3"/>
    <w:rsid w:val="6CF85886"/>
    <w:rsid w:val="6D011D2A"/>
    <w:rsid w:val="6D237483"/>
    <w:rsid w:val="6D287632"/>
    <w:rsid w:val="6D323B6A"/>
    <w:rsid w:val="6D7F6FE9"/>
    <w:rsid w:val="6D850518"/>
    <w:rsid w:val="6D8D2B4F"/>
    <w:rsid w:val="6DA8247F"/>
    <w:rsid w:val="6DD62CAD"/>
    <w:rsid w:val="6DDE33AA"/>
    <w:rsid w:val="6DE2275D"/>
    <w:rsid w:val="6DE457F5"/>
    <w:rsid w:val="6DE54DB4"/>
    <w:rsid w:val="6DE76703"/>
    <w:rsid w:val="6E0E7CC6"/>
    <w:rsid w:val="6E2112D9"/>
    <w:rsid w:val="6E34753E"/>
    <w:rsid w:val="6E382024"/>
    <w:rsid w:val="6E4C4DD9"/>
    <w:rsid w:val="6E514C09"/>
    <w:rsid w:val="6E5A6ED5"/>
    <w:rsid w:val="6E645FA5"/>
    <w:rsid w:val="6E750780"/>
    <w:rsid w:val="6E7E0971"/>
    <w:rsid w:val="6E914C5F"/>
    <w:rsid w:val="6EA06C74"/>
    <w:rsid w:val="6EA66C54"/>
    <w:rsid w:val="6ED149B3"/>
    <w:rsid w:val="6EDC6807"/>
    <w:rsid w:val="6EF6546B"/>
    <w:rsid w:val="6EF905A4"/>
    <w:rsid w:val="6F0F651E"/>
    <w:rsid w:val="6F2F00EC"/>
    <w:rsid w:val="6F3747E3"/>
    <w:rsid w:val="6F435BBB"/>
    <w:rsid w:val="6F4D6A39"/>
    <w:rsid w:val="6F5D4426"/>
    <w:rsid w:val="6F606F12"/>
    <w:rsid w:val="6F6F38CF"/>
    <w:rsid w:val="6F855772"/>
    <w:rsid w:val="6F8A5598"/>
    <w:rsid w:val="6F8B1389"/>
    <w:rsid w:val="6FA05EEB"/>
    <w:rsid w:val="6FC74AE5"/>
    <w:rsid w:val="6FD359F9"/>
    <w:rsid w:val="6FE2788D"/>
    <w:rsid w:val="6FE52E63"/>
    <w:rsid w:val="6FF55997"/>
    <w:rsid w:val="701838C5"/>
    <w:rsid w:val="701C2363"/>
    <w:rsid w:val="702D578F"/>
    <w:rsid w:val="703C5E7E"/>
    <w:rsid w:val="704753BF"/>
    <w:rsid w:val="70495E87"/>
    <w:rsid w:val="70540804"/>
    <w:rsid w:val="706B16BB"/>
    <w:rsid w:val="708A2782"/>
    <w:rsid w:val="708C17E3"/>
    <w:rsid w:val="70984334"/>
    <w:rsid w:val="709C05AB"/>
    <w:rsid w:val="70CC5B06"/>
    <w:rsid w:val="70CD0268"/>
    <w:rsid w:val="70DE203F"/>
    <w:rsid w:val="70FF5A3D"/>
    <w:rsid w:val="7128639F"/>
    <w:rsid w:val="71543C80"/>
    <w:rsid w:val="716546D1"/>
    <w:rsid w:val="717661CB"/>
    <w:rsid w:val="718C4677"/>
    <w:rsid w:val="71D014FB"/>
    <w:rsid w:val="71F53401"/>
    <w:rsid w:val="723931F9"/>
    <w:rsid w:val="725D3437"/>
    <w:rsid w:val="726208AB"/>
    <w:rsid w:val="72991310"/>
    <w:rsid w:val="72DF390E"/>
    <w:rsid w:val="72E41463"/>
    <w:rsid w:val="72EC0317"/>
    <w:rsid w:val="72F72B06"/>
    <w:rsid w:val="7309353D"/>
    <w:rsid w:val="732457E2"/>
    <w:rsid w:val="732D366F"/>
    <w:rsid w:val="733411EB"/>
    <w:rsid w:val="73420127"/>
    <w:rsid w:val="734845D5"/>
    <w:rsid w:val="73871026"/>
    <w:rsid w:val="73947C19"/>
    <w:rsid w:val="73B841EA"/>
    <w:rsid w:val="73E176F6"/>
    <w:rsid w:val="73ED4E6F"/>
    <w:rsid w:val="73F82B5B"/>
    <w:rsid w:val="740A6F23"/>
    <w:rsid w:val="741050BC"/>
    <w:rsid w:val="7436518A"/>
    <w:rsid w:val="744271C4"/>
    <w:rsid w:val="74911176"/>
    <w:rsid w:val="7499227E"/>
    <w:rsid w:val="74C5575F"/>
    <w:rsid w:val="74C85A97"/>
    <w:rsid w:val="74CB53F0"/>
    <w:rsid w:val="74D76502"/>
    <w:rsid w:val="74E67714"/>
    <w:rsid w:val="750B5C4F"/>
    <w:rsid w:val="75165ADE"/>
    <w:rsid w:val="75237824"/>
    <w:rsid w:val="7528060B"/>
    <w:rsid w:val="752E264A"/>
    <w:rsid w:val="75345775"/>
    <w:rsid w:val="75706FDE"/>
    <w:rsid w:val="75C430EC"/>
    <w:rsid w:val="75C81D87"/>
    <w:rsid w:val="75CB3AB5"/>
    <w:rsid w:val="75DC0928"/>
    <w:rsid w:val="75E654F2"/>
    <w:rsid w:val="75E74A0A"/>
    <w:rsid w:val="75EA4FE2"/>
    <w:rsid w:val="75F72710"/>
    <w:rsid w:val="760E31D8"/>
    <w:rsid w:val="76375ADD"/>
    <w:rsid w:val="763C2E27"/>
    <w:rsid w:val="76533946"/>
    <w:rsid w:val="765471C2"/>
    <w:rsid w:val="767B72F1"/>
    <w:rsid w:val="76A64F4C"/>
    <w:rsid w:val="76A96C4B"/>
    <w:rsid w:val="76AA714C"/>
    <w:rsid w:val="76B10DA2"/>
    <w:rsid w:val="76CA4E14"/>
    <w:rsid w:val="76F570CE"/>
    <w:rsid w:val="770D71C3"/>
    <w:rsid w:val="77134F6C"/>
    <w:rsid w:val="773418AC"/>
    <w:rsid w:val="777368EB"/>
    <w:rsid w:val="77844FC2"/>
    <w:rsid w:val="77885411"/>
    <w:rsid w:val="779F0E3A"/>
    <w:rsid w:val="77AF1FF8"/>
    <w:rsid w:val="77B635FA"/>
    <w:rsid w:val="77BB7982"/>
    <w:rsid w:val="77DF044B"/>
    <w:rsid w:val="77F75794"/>
    <w:rsid w:val="77F867B1"/>
    <w:rsid w:val="780600CD"/>
    <w:rsid w:val="78137930"/>
    <w:rsid w:val="78211371"/>
    <w:rsid w:val="78243C1C"/>
    <w:rsid w:val="7842228F"/>
    <w:rsid w:val="78425902"/>
    <w:rsid w:val="784E4891"/>
    <w:rsid w:val="78500555"/>
    <w:rsid w:val="788C24E1"/>
    <w:rsid w:val="789523D2"/>
    <w:rsid w:val="789F30DE"/>
    <w:rsid w:val="78A56AF0"/>
    <w:rsid w:val="78B61331"/>
    <w:rsid w:val="78BA294F"/>
    <w:rsid w:val="78C25F7E"/>
    <w:rsid w:val="78D21DC7"/>
    <w:rsid w:val="78EA765F"/>
    <w:rsid w:val="78FB69A2"/>
    <w:rsid w:val="790F6B0E"/>
    <w:rsid w:val="793D18CD"/>
    <w:rsid w:val="79476A91"/>
    <w:rsid w:val="79562EB3"/>
    <w:rsid w:val="79785D1D"/>
    <w:rsid w:val="79813F2F"/>
    <w:rsid w:val="79AF1B5E"/>
    <w:rsid w:val="79B059A6"/>
    <w:rsid w:val="79B87857"/>
    <w:rsid w:val="79B910D7"/>
    <w:rsid w:val="79C124FE"/>
    <w:rsid w:val="79C7332E"/>
    <w:rsid w:val="79C7408F"/>
    <w:rsid w:val="79D96796"/>
    <w:rsid w:val="79E15332"/>
    <w:rsid w:val="7A0479F1"/>
    <w:rsid w:val="7A08419A"/>
    <w:rsid w:val="7A1B2CBF"/>
    <w:rsid w:val="7A224DAD"/>
    <w:rsid w:val="7A2652E8"/>
    <w:rsid w:val="7A463CAF"/>
    <w:rsid w:val="7A4B2342"/>
    <w:rsid w:val="7A8519BB"/>
    <w:rsid w:val="7A9171FB"/>
    <w:rsid w:val="7A943D70"/>
    <w:rsid w:val="7A963A4F"/>
    <w:rsid w:val="7A992B33"/>
    <w:rsid w:val="7A9F470C"/>
    <w:rsid w:val="7AB5615A"/>
    <w:rsid w:val="7ACD2A9F"/>
    <w:rsid w:val="7AD35001"/>
    <w:rsid w:val="7AE46E72"/>
    <w:rsid w:val="7AF46D7B"/>
    <w:rsid w:val="7AF844BA"/>
    <w:rsid w:val="7B014BDB"/>
    <w:rsid w:val="7B0D630F"/>
    <w:rsid w:val="7B252C9B"/>
    <w:rsid w:val="7B2F5245"/>
    <w:rsid w:val="7B42410B"/>
    <w:rsid w:val="7B58476C"/>
    <w:rsid w:val="7B5D30B5"/>
    <w:rsid w:val="7B6F51AB"/>
    <w:rsid w:val="7B736C05"/>
    <w:rsid w:val="7B752900"/>
    <w:rsid w:val="7B77298A"/>
    <w:rsid w:val="7B7F70D2"/>
    <w:rsid w:val="7B80101D"/>
    <w:rsid w:val="7B8365E7"/>
    <w:rsid w:val="7BD6728B"/>
    <w:rsid w:val="7BE6624C"/>
    <w:rsid w:val="7C431EE1"/>
    <w:rsid w:val="7C470B74"/>
    <w:rsid w:val="7C73664E"/>
    <w:rsid w:val="7C793B1D"/>
    <w:rsid w:val="7C8E12AA"/>
    <w:rsid w:val="7C9731CD"/>
    <w:rsid w:val="7CB35BA7"/>
    <w:rsid w:val="7CD460A4"/>
    <w:rsid w:val="7D061ADF"/>
    <w:rsid w:val="7D163D79"/>
    <w:rsid w:val="7D36644F"/>
    <w:rsid w:val="7D376633"/>
    <w:rsid w:val="7D482D43"/>
    <w:rsid w:val="7D4F23B6"/>
    <w:rsid w:val="7D52346D"/>
    <w:rsid w:val="7D5940FF"/>
    <w:rsid w:val="7D6C2B2B"/>
    <w:rsid w:val="7D8531C9"/>
    <w:rsid w:val="7DA94DE7"/>
    <w:rsid w:val="7DC05FE0"/>
    <w:rsid w:val="7DC36BBF"/>
    <w:rsid w:val="7DF37B69"/>
    <w:rsid w:val="7DF51259"/>
    <w:rsid w:val="7E225FBF"/>
    <w:rsid w:val="7E250781"/>
    <w:rsid w:val="7E2608D0"/>
    <w:rsid w:val="7E2D5DBF"/>
    <w:rsid w:val="7E2D6BB9"/>
    <w:rsid w:val="7E3C65F7"/>
    <w:rsid w:val="7E554332"/>
    <w:rsid w:val="7E5C2D2A"/>
    <w:rsid w:val="7E5D0DDF"/>
    <w:rsid w:val="7E661192"/>
    <w:rsid w:val="7E993A41"/>
    <w:rsid w:val="7E9C762D"/>
    <w:rsid w:val="7EBA6D72"/>
    <w:rsid w:val="7ECB1FAD"/>
    <w:rsid w:val="7EDB3C2A"/>
    <w:rsid w:val="7EDC7F84"/>
    <w:rsid w:val="7F0F336F"/>
    <w:rsid w:val="7F2C78B0"/>
    <w:rsid w:val="7F4D3CB3"/>
    <w:rsid w:val="7F567DB5"/>
    <w:rsid w:val="7F814C89"/>
    <w:rsid w:val="7F9E25C3"/>
    <w:rsid w:val="7FA843D9"/>
    <w:rsid w:val="7FBE596D"/>
    <w:rsid w:val="7FCB16F4"/>
    <w:rsid w:val="7FCC4C8A"/>
    <w:rsid w:val="7FF37189"/>
    <w:rsid w:val="7FF46B71"/>
    <w:rsid w:val="7FFD433A"/>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1" w:semiHidden="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nhideWhenUsed="0"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qFormat="1"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nhideWhenUsed="0" w:uiPriority="99"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nhideWhenUsed="0" w:uiPriority="99" w:semiHidden="0" w:name="Body Text Indent 2"/>
    <w:lsdException w:qFormat="1"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qFormat="1"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qFormat="1"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3">
    <w:name w:val="heading 1"/>
    <w:basedOn w:val="1"/>
    <w:next w:val="1"/>
    <w:qFormat/>
    <w:uiPriority w:val="99"/>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4">
    <w:name w:val="heading 2"/>
    <w:basedOn w:val="1"/>
    <w:next w:val="1"/>
    <w:qFormat/>
    <w:uiPriority w:val="0"/>
    <w:pPr>
      <w:keepNext/>
      <w:keepLines/>
      <w:spacing w:line="360" w:lineRule="auto"/>
      <w:outlineLvl w:val="1"/>
    </w:pPr>
    <w:rPr>
      <w:rFonts w:eastAsia="黑体"/>
      <w:bCs/>
      <w:sz w:val="28"/>
      <w:szCs w:val="32"/>
    </w:rPr>
  </w:style>
  <w:style w:type="paragraph" w:styleId="5">
    <w:name w:val="heading 3"/>
    <w:basedOn w:val="1"/>
    <w:next w:val="1"/>
    <w:link w:val="39"/>
    <w:qFormat/>
    <w:uiPriority w:val="0"/>
    <w:pPr>
      <w:keepNext/>
      <w:keepLines/>
      <w:spacing w:line="360" w:lineRule="auto"/>
      <w:outlineLvl w:val="2"/>
    </w:pPr>
    <w:rPr>
      <w:rFonts w:ascii="Calibri" w:hAnsi="Calibri"/>
      <w:b/>
      <w:kern w:val="0"/>
      <w:sz w:val="30"/>
      <w:szCs w:val="20"/>
    </w:rPr>
  </w:style>
  <w:style w:type="paragraph" w:styleId="6">
    <w:name w:val="heading 4"/>
    <w:basedOn w:val="1"/>
    <w:next w:val="1"/>
    <w:qFormat/>
    <w:uiPriority w:val="0"/>
    <w:pPr>
      <w:keepNext/>
      <w:keepLines/>
      <w:spacing w:line="360" w:lineRule="auto"/>
      <w:ind w:firstLine="643" w:firstLineChars="200"/>
      <w:outlineLvl w:val="3"/>
    </w:pPr>
    <w:rPr>
      <w:rFonts w:ascii="Times New Roman" w:hAnsi="Times New Roman" w:eastAsia="Times New Roman"/>
      <w:b/>
      <w:bCs/>
      <w:sz w:val="24"/>
      <w:szCs w:val="28"/>
    </w:rPr>
  </w:style>
  <w:style w:type="paragraph" w:styleId="7">
    <w:name w:val="heading 5"/>
    <w:basedOn w:val="1"/>
    <w:next w:val="1"/>
    <w:qFormat/>
    <w:uiPriority w:val="1"/>
    <w:pPr>
      <w:ind w:left="1221"/>
      <w:outlineLvl w:val="4"/>
    </w:pPr>
    <w:rPr>
      <w:rFonts w:ascii="宋体" w:hAnsi="宋体" w:eastAsia="宋体" w:cs="宋体"/>
      <w:b/>
      <w:bCs/>
      <w:sz w:val="24"/>
      <w:szCs w:val="24"/>
      <w:lang w:val="zh-CN" w:eastAsia="zh-CN" w:bidi="zh-CN"/>
    </w:rPr>
  </w:style>
  <w:style w:type="character" w:default="1" w:styleId="33">
    <w:name w:val="Default Paragraph Font"/>
    <w:semiHidden/>
    <w:qFormat/>
    <w:uiPriority w:val="0"/>
  </w:style>
  <w:style w:type="table" w:default="1" w:styleId="31">
    <w:name w:val="Normal Table"/>
    <w:semiHidden/>
    <w:qFormat/>
    <w:uiPriority w:val="0"/>
    <w:tblPr>
      <w:tblCellMar>
        <w:top w:w="0" w:type="dxa"/>
        <w:left w:w="108" w:type="dxa"/>
        <w:bottom w:w="0" w:type="dxa"/>
        <w:right w:w="108" w:type="dxa"/>
      </w:tblCellMar>
    </w:tblPr>
  </w:style>
  <w:style w:type="paragraph" w:styleId="2">
    <w:name w:val="Body Text"/>
    <w:basedOn w:val="1"/>
    <w:next w:val="1"/>
    <w:qFormat/>
    <w:uiPriority w:val="0"/>
    <w:pPr>
      <w:widowControl/>
      <w:snapToGrid w:val="0"/>
      <w:spacing w:before="60" w:after="160" w:line="259" w:lineRule="auto"/>
      <w:ind w:right="113"/>
    </w:pPr>
    <w:rPr>
      <w:kern w:val="0"/>
      <w:sz w:val="18"/>
      <w:szCs w:val="20"/>
    </w:rPr>
  </w:style>
  <w:style w:type="paragraph" w:styleId="8">
    <w:name w:val="E-mail Signature"/>
    <w:basedOn w:val="1"/>
    <w:next w:val="9"/>
    <w:qFormat/>
    <w:uiPriority w:val="0"/>
    <w:pPr>
      <w:spacing w:line="460" w:lineRule="exact"/>
      <w:ind w:firstLine="200"/>
    </w:pPr>
  </w:style>
  <w:style w:type="paragraph" w:customStyle="1" w:styleId="9">
    <w:name w:val="文章"/>
    <w:basedOn w:val="10"/>
    <w:next w:val="11"/>
    <w:qFormat/>
    <w:uiPriority w:val="0"/>
    <w:pPr>
      <w:widowControl/>
      <w:spacing w:line="240" w:lineRule="auto"/>
      <w:ind w:firstLine="480"/>
      <w:jc w:val="center"/>
    </w:pPr>
    <w:rPr>
      <w:sz w:val="26"/>
    </w:rPr>
  </w:style>
  <w:style w:type="paragraph" w:styleId="10">
    <w:name w:val="Body Text Indent"/>
    <w:basedOn w:val="1"/>
    <w:qFormat/>
    <w:uiPriority w:val="0"/>
    <w:pPr>
      <w:spacing w:after="120"/>
      <w:ind w:left="420" w:leftChars="200"/>
    </w:pPr>
    <w:rPr>
      <w:kern w:val="0"/>
      <w:sz w:val="24"/>
      <w:szCs w:val="20"/>
    </w:rPr>
  </w:style>
  <w:style w:type="paragraph" w:styleId="11">
    <w:name w:val="List"/>
    <w:basedOn w:val="1"/>
    <w:next w:val="12"/>
    <w:qFormat/>
    <w:uiPriority w:val="0"/>
    <w:pPr>
      <w:ind w:left="200" w:hanging="200" w:hangingChars="200"/>
      <w:contextualSpacing/>
    </w:pPr>
  </w:style>
  <w:style w:type="paragraph" w:styleId="12">
    <w:name w:val="List Bullet 2"/>
    <w:basedOn w:val="1"/>
    <w:next w:val="13"/>
    <w:qFormat/>
    <w:uiPriority w:val="0"/>
    <w:pPr>
      <w:numPr>
        <w:ilvl w:val="0"/>
        <w:numId w:val="1"/>
      </w:numPr>
    </w:pPr>
  </w:style>
  <w:style w:type="paragraph" w:customStyle="1" w:styleId="13">
    <w:name w:val="xl70"/>
    <w:basedOn w:val="1"/>
    <w:next w:val="14"/>
    <w:qFormat/>
    <w:uiPriority w:val="0"/>
    <w:pPr>
      <w:widowControl/>
      <w:spacing w:before="280" w:after="280" w:line="240" w:lineRule="auto"/>
    </w:pPr>
    <w:rPr>
      <w:rFonts w:ascii="宋体"/>
    </w:rPr>
  </w:style>
  <w:style w:type="paragraph" w:customStyle="1" w:styleId="14">
    <w:name w:val="正文缩进1"/>
    <w:basedOn w:val="1"/>
    <w:next w:val="15"/>
    <w:qFormat/>
    <w:uiPriority w:val="0"/>
    <w:pPr>
      <w:ind w:firstLine="420"/>
    </w:pPr>
    <w:rPr>
      <w:rFonts w:ascii="宋体"/>
      <w:sz w:val="28"/>
    </w:rPr>
  </w:style>
  <w:style w:type="paragraph" w:customStyle="1" w:styleId="15">
    <w:name w:val="td1"/>
    <w:basedOn w:val="1"/>
    <w:next w:val="1"/>
    <w:qFormat/>
    <w:uiPriority w:val="0"/>
    <w:pPr>
      <w:widowControl/>
      <w:spacing w:before="280" w:after="280" w:line="300" w:lineRule="atLeast"/>
      <w:ind w:firstLine="200"/>
    </w:pPr>
    <w:rPr>
      <w:color w:val="000000"/>
      <w:sz w:val="18"/>
    </w:rPr>
  </w:style>
  <w:style w:type="paragraph" w:styleId="16">
    <w:name w:val="Normal Indent"/>
    <w:basedOn w:val="1"/>
    <w:qFormat/>
    <w:uiPriority w:val="0"/>
    <w:pPr>
      <w:adjustRightInd w:val="0"/>
      <w:snapToGrid w:val="0"/>
      <w:spacing w:after="0" w:line="360" w:lineRule="auto"/>
      <w:ind w:firstLine="0" w:firstLineChars="0"/>
      <w:jc w:val="left"/>
    </w:pPr>
    <w:rPr>
      <w:rFonts w:eastAsia="黑体"/>
      <w:sz w:val="24"/>
      <w:szCs w:val="20"/>
    </w:rPr>
  </w:style>
  <w:style w:type="paragraph" w:styleId="17">
    <w:name w:val="caption"/>
    <w:basedOn w:val="1"/>
    <w:next w:val="1"/>
    <w:qFormat/>
    <w:uiPriority w:val="0"/>
    <w:pPr>
      <w:spacing w:before="152" w:beforeLines="0" w:after="160" w:afterLines="0"/>
      <w:jc w:val="center"/>
    </w:pPr>
    <w:rPr>
      <w:szCs w:val="21"/>
    </w:rPr>
  </w:style>
  <w:style w:type="paragraph" w:styleId="18">
    <w:name w:val="annotation text"/>
    <w:basedOn w:val="1"/>
    <w:link w:val="40"/>
    <w:qFormat/>
    <w:uiPriority w:val="0"/>
    <w:pPr>
      <w:jc w:val="left"/>
    </w:pPr>
  </w:style>
  <w:style w:type="paragraph" w:styleId="19">
    <w:name w:val="Plain Text"/>
    <w:basedOn w:val="1"/>
    <w:next w:val="1"/>
    <w:qFormat/>
    <w:uiPriority w:val="0"/>
    <w:rPr>
      <w:rFonts w:ascii="宋体" w:hAnsi="Courier New"/>
    </w:rPr>
  </w:style>
  <w:style w:type="paragraph" w:styleId="20">
    <w:name w:val="Body Text Indent 2"/>
    <w:basedOn w:val="1"/>
    <w:next w:val="1"/>
    <w:qFormat/>
    <w:uiPriority w:val="99"/>
    <w:pPr>
      <w:spacing w:after="120" w:line="480" w:lineRule="auto"/>
      <w:ind w:left="420" w:leftChars="200"/>
    </w:pPr>
  </w:style>
  <w:style w:type="paragraph" w:styleId="21">
    <w:name w:val="footer"/>
    <w:basedOn w:val="1"/>
    <w:qFormat/>
    <w:uiPriority w:val="99"/>
    <w:pPr>
      <w:tabs>
        <w:tab w:val="center" w:pos="4153"/>
        <w:tab w:val="right" w:pos="8306"/>
      </w:tabs>
      <w:snapToGrid w:val="0"/>
      <w:jc w:val="left"/>
    </w:pPr>
    <w:rPr>
      <w:kern w:val="0"/>
      <w:sz w:val="18"/>
      <w:szCs w:val="20"/>
    </w:rPr>
  </w:style>
  <w:style w:type="paragraph" w:styleId="22">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23">
    <w:name w:val="toc 1"/>
    <w:basedOn w:val="1"/>
    <w:next w:val="1"/>
    <w:qFormat/>
    <w:uiPriority w:val="0"/>
  </w:style>
  <w:style w:type="paragraph" w:styleId="24">
    <w:name w:val="Body Text Indent 3"/>
    <w:basedOn w:val="1"/>
    <w:qFormat/>
    <w:uiPriority w:val="0"/>
    <w:pPr>
      <w:spacing w:after="120" w:afterLines="0" w:afterAutospacing="0"/>
      <w:ind w:left="420" w:leftChars="200"/>
    </w:pPr>
    <w:rPr>
      <w:rFonts w:hint="eastAsia" w:ascii="仿宋_GB2312" w:hAnsi="Times New Roman" w:eastAsia="Arial"/>
      <w:sz w:val="16"/>
      <w:szCs w:val="16"/>
    </w:rPr>
  </w:style>
  <w:style w:type="paragraph" w:styleId="25">
    <w:name w:val="toc 2"/>
    <w:basedOn w:val="1"/>
    <w:next w:val="8"/>
    <w:qFormat/>
    <w:uiPriority w:val="0"/>
    <w:pPr>
      <w:widowControl w:val="0"/>
      <w:ind w:left="210"/>
      <w:jc w:val="left"/>
    </w:pPr>
    <w:rPr>
      <w:rFonts w:ascii="Times New Roman" w:hAnsi="Times New Roman" w:eastAsia="宋体" w:cs="Calibri"/>
      <w:smallCaps/>
      <w:kern w:val="2"/>
      <w:sz w:val="20"/>
      <w:szCs w:val="20"/>
      <w:lang w:val="en-US" w:eastAsia="zh-CN" w:bidi="ar-SA"/>
    </w:rPr>
  </w:style>
  <w:style w:type="paragraph" w:styleId="26">
    <w:name w:val="Normal (Web)"/>
    <w:basedOn w:val="1"/>
    <w:qFormat/>
    <w:uiPriority w:val="0"/>
    <w:pPr>
      <w:widowControl/>
      <w:spacing w:before="100" w:beforeAutospacing="1" w:after="100" w:afterAutospacing="1"/>
      <w:jc w:val="left"/>
    </w:pPr>
    <w:rPr>
      <w:rFonts w:ascii="宋体" w:hAnsi="宋体"/>
      <w:kern w:val="0"/>
      <w:sz w:val="24"/>
      <w:szCs w:val="20"/>
    </w:rPr>
  </w:style>
  <w:style w:type="paragraph" w:styleId="27">
    <w:name w:val="Title"/>
    <w:basedOn w:val="1"/>
    <w:next w:val="6"/>
    <w:qFormat/>
    <w:uiPriority w:val="0"/>
    <w:pPr>
      <w:spacing w:before="240" w:after="60"/>
      <w:jc w:val="left"/>
      <w:outlineLvl w:val="0"/>
    </w:pPr>
    <w:rPr>
      <w:rFonts w:ascii="Arial" w:hAnsi="Arial"/>
      <w:b/>
      <w:sz w:val="32"/>
    </w:rPr>
  </w:style>
  <w:style w:type="paragraph" w:styleId="28">
    <w:name w:val="annotation subject"/>
    <w:basedOn w:val="18"/>
    <w:next w:val="18"/>
    <w:link w:val="41"/>
    <w:qFormat/>
    <w:uiPriority w:val="0"/>
    <w:rPr>
      <w:b/>
      <w:bCs/>
    </w:rPr>
  </w:style>
  <w:style w:type="paragraph" w:styleId="29">
    <w:name w:val="Body Text First Indent"/>
    <w:basedOn w:val="1"/>
    <w:next w:val="1"/>
    <w:qFormat/>
    <w:uiPriority w:val="0"/>
    <w:pPr>
      <w:adjustRightInd w:val="0"/>
      <w:snapToGrid w:val="0"/>
      <w:spacing w:after="0" w:line="360" w:lineRule="auto"/>
      <w:ind w:firstLine="200" w:firstLineChars="200"/>
    </w:pPr>
    <w:rPr>
      <w:rFonts w:ascii="宋体" w:hAnsi="宋体"/>
      <w:sz w:val="24"/>
      <w:szCs w:val="20"/>
    </w:rPr>
  </w:style>
  <w:style w:type="paragraph" w:styleId="30">
    <w:name w:val="Body Text First Indent 2"/>
    <w:basedOn w:val="10"/>
    <w:qFormat/>
    <w:uiPriority w:val="99"/>
    <w:pPr>
      <w:ind w:firstLine="420"/>
    </w:pPr>
  </w:style>
  <w:style w:type="table" w:styleId="32">
    <w:name w:val="Table Grid"/>
    <w:basedOn w:val="31"/>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4">
    <w:name w:val="page number"/>
    <w:qFormat/>
    <w:uiPriority w:val="0"/>
  </w:style>
  <w:style w:type="character" w:styleId="35">
    <w:name w:val="Emphasis"/>
    <w:basedOn w:val="33"/>
    <w:qFormat/>
    <w:uiPriority w:val="0"/>
    <w:rPr>
      <w:i/>
    </w:rPr>
  </w:style>
  <w:style w:type="character" w:styleId="36">
    <w:name w:val="Hyperlink"/>
    <w:qFormat/>
    <w:uiPriority w:val="0"/>
    <w:rPr>
      <w:color w:val="0000FF"/>
      <w:u w:val="single"/>
    </w:rPr>
  </w:style>
  <w:style w:type="character" w:styleId="37">
    <w:name w:val="annotation reference"/>
    <w:qFormat/>
    <w:uiPriority w:val="0"/>
    <w:rPr>
      <w:sz w:val="21"/>
      <w:szCs w:val="21"/>
    </w:rPr>
  </w:style>
  <w:style w:type="paragraph" w:customStyle="1" w:styleId="38">
    <w:name w:val="xl27"/>
    <w:basedOn w:val="1"/>
    <w:qFormat/>
    <w:uiPriority w:val="0"/>
    <w:pPr>
      <w:widowControl/>
      <w:pBdr>
        <w:top w:val="single" w:color="auto" w:sz="4" w:space="0"/>
        <w:left w:val="single" w:color="auto" w:sz="8" w:space="0"/>
        <w:bottom w:val="single" w:color="auto" w:sz="4" w:space="0"/>
        <w:right w:val="single" w:color="auto" w:sz="4" w:space="0"/>
      </w:pBdr>
      <w:spacing w:before="100" w:beforeAutospacing="1" w:after="100" w:afterAutospacing="1"/>
      <w:jc w:val="center"/>
    </w:pPr>
    <w:rPr>
      <w:rFonts w:ascii="新宋体-18030" w:hAnsi="新宋体-18030" w:eastAsia="新宋体-18030" w:cs="新宋体-18030"/>
      <w:kern w:val="0"/>
    </w:rPr>
  </w:style>
  <w:style w:type="character" w:customStyle="1" w:styleId="39">
    <w:name w:val="标题 3 Char"/>
    <w:link w:val="5"/>
    <w:qFormat/>
    <w:uiPriority w:val="0"/>
    <w:rPr>
      <w:rFonts w:ascii="Calibri" w:hAnsi="Calibri" w:eastAsia="宋体"/>
      <w:b/>
      <w:sz w:val="30"/>
      <w:szCs w:val="20"/>
    </w:rPr>
  </w:style>
  <w:style w:type="character" w:customStyle="1" w:styleId="40">
    <w:name w:val="批注文字 Char"/>
    <w:link w:val="18"/>
    <w:qFormat/>
    <w:uiPriority w:val="0"/>
    <w:rPr>
      <w:kern w:val="2"/>
      <w:sz w:val="21"/>
      <w:szCs w:val="24"/>
    </w:rPr>
  </w:style>
  <w:style w:type="character" w:customStyle="1" w:styleId="41">
    <w:name w:val="批注主题 Char"/>
    <w:link w:val="28"/>
    <w:qFormat/>
    <w:uiPriority w:val="0"/>
    <w:rPr>
      <w:b/>
      <w:bCs/>
      <w:kern w:val="2"/>
      <w:sz w:val="21"/>
      <w:szCs w:val="24"/>
    </w:rPr>
  </w:style>
  <w:style w:type="paragraph" w:customStyle="1" w:styleId="42">
    <w:name w:val="表格"/>
    <w:basedOn w:val="43"/>
    <w:next w:val="1"/>
    <w:qFormat/>
    <w:uiPriority w:val="0"/>
    <w:pPr>
      <w:adjustRightInd w:val="0"/>
      <w:snapToGrid w:val="0"/>
      <w:spacing w:beforeLines="10" w:afterLines="10" w:line="259" w:lineRule="auto"/>
      <w:jc w:val="center"/>
    </w:pPr>
    <w:rPr>
      <w:rFonts w:ascii="宋体"/>
      <w:kern w:val="0"/>
      <w:szCs w:val="20"/>
    </w:rPr>
  </w:style>
  <w:style w:type="paragraph" w:customStyle="1" w:styleId="43">
    <w:name w:val="表格文字"/>
    <w:basedOn w:val="29"/>
    <w:next w:val="1"/>
    <w:qFormat/>
    <w:uiPriority w:val="0"/>
    <w:pPr>
      <w:spacing w:line="240" w:lineRule="auto"/>
      <w:ind w:firstLine="0" w:firstLineChars="0"/>
      <w:jc w:val="center"/>
    </w:pPr>
    <w:rPr>
      <w:sz w:val="21"/>
    </w:rPr>
  </w:style>
  <w:style w:type="paragraph" w:styleId="44">
    <w:name w:val="List Paragraph"/>
    <w:basedOn w:val="1"/>
    <w:qFormat/>
    <w:uiPriority w:val="1"/>
    <w:pPr>
      <w:ind w:left="1815" w:hanging="590"/>
    </w:pPr>
    <w:rPr>
      <w:rFonts w:ascii="宋体" w:hAnsi="宋体" w:eastAsia="宋体" w:cs="宋体"/>
      <w:lang w:val="zh-CN" w:eastAsia="zh-CN" w:bidi="zh-CN"/>
    </w:rPr>
  </w:style>
  <w:style w:type="paragraph" w:customStyle="1" w:styleId="45">
    <w:name w:val="表标题"/>
    <w:qFormat/>
    <w:uiPriority w:val="0"/>
    <w:pPr>
      <w:jc w:val="center"/>
    </w:pPr>
    <w:rPr>
      <w:rFonts w:ascii="Times New Roman" w:hAnsi="Times New Roman" w:eastAsia="宋体" w:cs="Times New Roman"/>
      <w:b/>
      <w:sz w:val="21"/>
      <w:lang w:val="en-US" w:eastAsia="zh-CN" w:bidi="ar-SA"/>
    </w:rPr>
  </w:style>
  <w:style w:type="paragraph" w:customStyle="1" w:styleId="46">
    <w:name w:val="表字体"/>
    <w:next w:val="1"/>
    <w:qFormat/>
    <w:uiPriority w:val="0"/>
    <w:pPr>
      <w:jc w:val="center"/>
    </w:pPr>
    <w:rPr>
      <w:rFonts w:ascii="Times New Roman" w:hAnsi="Times New Roman" w:eastAsia="宋体" w:cs="Times New Roman"/>
      <w:sz w:val="21"/>
      <w:lang w:val="en-US" w:eastAsia="zh-CN" w:bidi="ar-SA"/>
    </w:rPr>
  </w:style>
  <w:style w:type="character" w:customStyle="1" w:styleId="47">
    <w:name w:val="font11"/>
    <w:basedOn w:val="33"/>
    <w:qFormat/>
    <w:uiPriority w:val="0"/>
    <w:rPr>
      <w:rFonts w:hint="default" w:ascii="Arial" w:hAnsi="Arial" w:cs="Arial"/>
      <w:color w:val="000000"/>
      <w:sz w:val="24"/>
      <w:szCs w:val="24"/>
      <w:u w:val="none"/>
    </w:rPr>
  </w:style>
  <w:style w:type="character" w:customStyle="1" w:styleId="48">
    <w:name w:val="font21"/>
    <w:basedOn w:val="33"/>
    <w:qFormat/>
    <w:uiPriority w:val="0"/>
    <w:rPr>
      <w:rFonts w:hint="eastAsia" w:ascii="宋体" w:hAnsi="宋体" w:eastAsia="宋体" w:cs="宋体"/>
      <w:color w:val="000000"/>
      <w:sz w:val="24"/>
      <w:szCs w:val="24"/>
      <w:u w:val="none"/>
    </w:rPr>
  </w:style>
  <w:style w:type="paragraph" w:customStyle="1" w:styleId="49">
    <w:name w:val="p0"/>
    <w:basedOn w:val="1"/>
    <w:qFormat/>
    <w:uiPriority w:val="0"/>
    <w:pPr>
      <w:widowControl/>
    </w:pPr>
    <w:rPr>
      <w:kern w:val="0"/>
      <w:szCs w:val="21"/>
    </w:rPr>
  </w:style>
  <w:style w:type="character" w:customStyle="1" w:styleId="50">
    <w:name w:val="font41"/>
    <w:basedOn w:val="33"/>
    <w:qFormat/>
    <w:uiPriority w:val="0"/>
    <w:rPr>
      <w:rFonts w:hint="eastAsia" w:ascii="宋体" w:hAnsi="宋体" w:eastAsia="宋体" w:cs="宋体"/>
      <w:color w:val="000000"/>
      <w:sz w:val="24"/>
      <w:szCs w:val="24"/>
      <w:u w:val="none"/>
    </w:rPr>
  </w:style>
  <w:style w:type="character" w:customStyle="1" w:styleId="51">
    <w:name w:val="font31"/>
    <w:basedOn w:val="33"/>
    <w:qFormat/>
    <w:uiPriority w:val="0"/>
    <w:rPr>
      <w:rFonts w:hint="default" w:ascii="Arial" w:hAnsi="Arial" w:cs="Arial"/>
      <w:color w:val="000000"/>
      <w:sz w:val="24"/>
      <w:szCs w:val="24"/>
      <w:u w:val="none"/>
    </w:rPr>
  </w:style>
  <w:style w:type="character" w:customStyle="1" w:styleId="52">
    <w:name w:val="font61"/>
    <w:basedOn w:val="33"/>
    <w:qFormat/>
    <w:uiPriority w:val="0"/>
    <w:rPr>
      <w:rFonts w:hint="eastAsia" w:ascii="宋体" w:hAnsi="宋体" w:eastAsia="宋体" w:cs="宋体"/>
      <w:b/>
      <w:bCs/>
      <w:color w:val="000000"/>
      <w:sz w:val="21"/>
      <w:szCs w:val="21"/>
      <w:u w:val="none"/>
    </w:rPr>
  </w:style>
  <w:style w:type="character" w:customStyle="1" w:styleId="53">
    <w:name w:val="font71"/>
    <w:basedOn w:val="33"/>
    <w:qFormat/>
    <w:uiPriority w:val="0"/>
    <w:rPr>
      <w:rFonts w:hint="eastAsia" w:ascii="宋体" w:hAnsi="宋体" w:eastAsia="宋体" w:cs="宋体"/>
      <w:color w:val="000000"/>
      <w:sz w:val="21"/>
      <w:szCs w:val="21"/>
      <w:u w:val="none"/>
    </w:rPr>
  </w:style>
  <w:style w:type="paragraph" w:customStyle="1" w:styleId="54">
    <w:name w:val="Table Paragraph"/>
    <w:basedOn w:val="1"/>
    <w:qFormat/>
    <w:uiPriority w:val="1"/>
    <w:rPr>
      <w:rFonts w:ascii="宋体" w:hAnsi="宋体" w:eastAsia="宋体" w:cs="宋体"/>
      <w:lang w:val="zh-CN" w:eastAsia="zh-CN" w:bidi="zh-CN"/>
    </w:rPr>
  </w:style>
  <w:style w:type="paragraph" w:customStyle="1" w:styleId="55">
    <w:name w:val="正文1"/>
    <w:basedOn w:val="1"/>
    <w:qFormat/>
    <w:uiPriority w:val="0"/>
    <w:pPr>
      <w:spacing w:line="360" w:lineRule="auto"/>
      <w:ind w:firstLine="723" w:firstLineChars="200"/>
    </w:pPr>
    <w:rPr>
      <w:rFonts w:ascii="Times New Roman" w:hAnsi="Times New Roman" w:eastAsia="宋体"/>
      <w:sz w:val="24"/>
    </w:rPr>
  </w:style>
  <w:style w:type="paragraph" w:customStyle="1" w:styleId="56">
    <w:name w:val="表格内容"/>
    <w:basedOn w:val="1"/>
    <w:next w:val="1"/>
    <w:qFormat/>
    <w:uiPriority w:val="0"/>
    <w:pPr>
      <w:spacing w:line="240" w:lineRule="auto"/>
      <w:ind w:firstLine="0" w:firstLineChars="0"/>
      <w:jc w:val="center"/>
    </w:pPr>
    <w:rPr>
      <w:rFonts w:ascii="Times New Roman" w:hAnsi="Times New Roman" w:eastAsia="宋体"/>
      <w:sz w:val="21"/>
    </w:rPr>
  </w:style>
  <w:style w:type="paragraph" w:customStyle="1" w:styleId="57">
    <w:name w:val="表格表头"/>
    <w:basedOn w:val="1"/>
    <w:unhideWhenUsed/>
    <w:qFormat/>
    <w:uiPriority w:val="0"/>
    <w:pPr>
      <w:adjustRightInd w:val="0"/>
      <w:snapToGrid w:val="0"/>
      <w:spacing w:beforeLines="0" w:afterLines="0" w:line="240" w:lineRule="auto"/>
      <w:jc w:val="center"/>
    </w:pPr>
    <w:rPr>
      <w:rFonts w:hint="eastAsia"/>
      <w:b/>
      <w:sz w:val="21"/>
    </w:rPr>
  </w:style>
  <w:style w:type="paragraph" w:customStyle="1" w:styleId="58">
    <w:name w:val="环评正文Zhou Bin"/>
    <w:basedOn w:val="1"/>
    <w:qFormat/>
    <w:uiPriority w:val="0"/>
    <w:pPr>
      <w:spacing w:line="360" w:lineRule="auto"/>
      <w:ind w:firstLine="723" w:firstLineChars="200"/>
    </w:pPr>
    <w:rPr>
      <w:rFonts w:ascii="Times New Roman" w:hAnsi="Times New Roman" w:eastAsia="宋体" w:cs="Times New Roman"/>
      <w:sz w:val="24"/>
    </w:rPr>
  </w:style>
  <w:style w:type="paragraph" w:customStyle="1" w:styleId="59">
    <w:name w:val="A0正文"/>
    <w:basedOn w:val="1"/>
    <w:qFormat/>
    <w:uiPriority w:val="0"/>
    <w:pPr>
      <w:widowControl w:val="0"/>
    </w:pPr>
    <w:rPr>
      <w:rFonts w:cs="宋体"/>
      <w:szCs w:val="20"/>
      <w:lang w:val="zh-CN"/>
    </w:rPr>
  </w:style>
  <w:style w:type="paragraph" w:customStyle="1" w:styleId="60">
    <w:name w:val="样式 (符号) 宋体 小四 行距: 1.5 倍行距"/>
    <w:basedOn w:val="1"/>
    <w:qFormat/>
    <w:uiPriority w:val="0"/>
    <w:pPr>
      <w:spacing w:line="360" w:lineRule="auto"/>
      <w:ind w:firstLine="480" w:firstLineChars="200"/>
    </w:pPr>
    <w:rPr>
      <w:rFonts w:ascii="Calibri" w:hAnsi="宋体" w:cs="宋体"/>
      <w:sz w:val="24"/>
      <w:szCs w:val="21"/>
    </w:rPr>
  </w:style>
  <w:style w:type="paragraph" w:customStyle="1" w:styleId="61">
    <w:name w:val="表格题注"/>
    <w:qFormat/>
    <w:uiPriority w:val="0"/>
    <w:pPr>
      <w:jc w:val="center"/>
    </w:pPr>
    <w:rPr>
      <w:rFonts w:ascii="Calibri" w:hAnsi="Calibri" w:eastAsia="宋体" w:cs="Times New Roman"/>
      <w:b/>
      <w:sz w:val="21"/>
      <w:szCs w:val="22"/>
      <w:lang w:val="en-US" w:eastAsia="zh-CN" w:bidi="ar-SA"/>
    </w:rPr>
  </w:style>
  <w:style w:type="paragraph" w:customStyle="1" w:styleId="62">
    <w:name w:val="Default"/>
    <w:basedOn w:val="63"/>
    <w:next w:val="64"/>
    <w:qFormat/>
    <w:uiPriority w:val="0"/>
    <w:pPr>
      <w:widowControl w:val="0"/>
      <w:autoSpaceDE w:val="0"/>
      <w:autoSpaceDN w:val="0"/>
      <w:adjustRightInd w:val="0"/>
    </w:pPr>
    <w:rPr>
      <w:rFonts w:ascii="宋体" w:hAnsi="宋体" w:cs="宋体"/>
      <w:color w:val="000000"/>
      <w:kern w:val="2"/>
      <w:sz w:val="24"/>
      <w:szCs w:val="24"/>
      <w:lang w:val="en-US" w:eastAsia="zh-CN" w:bidi="ar-SA"/>
    </w:rPr>
  </w:style>
  <w:style w:type="paragraph" w:customStyle="1" w:styleId="63">
    <w:name w:val="纯文本1"/>
    <w:basedOn w:val="1"/>
    <w:next w:val="1"/>
    <w:qFormat/>
    <w:uiPriority w:val="0"/>
    <w:pPr>
      <w:adjustRightInd w:val="0"/>
      <w:textAlignment w:val="baseline"/>
    </w:pPr>
    <w:rPr>
      <w:rFonts w:ascii="宋体" w:hAnsi="Courier New"/>
    </w:rPr>
  </w:style>
  <w:style w:type="paragraph" w:customStyle="1" w:styleId="64">
    <w:name w:val="样式35"/>
    <w:basedOn w:val="65"/>
    <w:next w:val="66"/>
    <w:qFormat/>
    <w:uiPriority w:val="0"/>
    <w:pPr>
      <w:widowControl w:val="0"/>
      <w:tabs>
        <w:tab w:val="left" w:pos="0"/>
        <w:tab w:val="left" w:pos="180"/>
        <w:tab w:val="left" w:pos="360"/>
        <w:tab w:val="left" w:pos="480"/>
        <w:tab w:val="left" w:pos="540"/>
        <w:tab w:val="left" w:pos="567"/>
        <w:tab w:val="left" w:pos="720"/>
      </w:tabs>
      <w:spacing w:line="312" w:lineRule="auto"/>
      <w:ind w:firstLine="567"/>
      <w:jc w:val="both"/>
    </w:pPr>
    <w:rPr>
      <w:rFonts w:ascii="宋体" w:hAnsi="Times New Roman" w:eastAsia="宋体" w:cs="Times New Roman"/>
      <w:kern w:val="2"/>
      <w:sz w:val="21"/>
      <w:lang w:val="en-US" w:eastAsia="zh-CN" w:bidi="ar-SA"/>
    </w:rPr>
  </w:style>
  <w:style w:type="paragraph" w:customStyle="1" w:styleId="65">
    <w:name w:val="样式8"/>
    <w:basedOn w:val="24"/>
    <w:qFormat/>
    <w:uiPriority w:val="0"/>
    <w:pPr>
      <w:tabs>
        <w:tab w:val="left" w:pos="180"/>
      </w:tabs>
      <w:spacing w:line="600" w:lineRule="exact"/>
      <w:ind w:firstLine="0" w:firstLineChars="0"/>
      <w:jc w:val="center"/>
    </w:pPr>
    <w:rPr>
      <w:rFonts w:ascii="宋体" w:eastAsia="宋体"/>
      <w:b/>
      <w:color w:val="auto"/>
      <w:szCs w:val="20"/>
    </w:rPr>
  </w:style>
  <w:style w:type="paragraph" w:customStyle="1" w:styleId="66">
    <w:name w:val="font6"/>
    <w:next w:val="25"/>
    <w:qFormat/>
    <w:uiPriority w:val="0"/>
    <w:pPr>
      <w:spacing w:before="100" w:beforeAutospacing="1" w:after="100" w:afterAutospacing="1"/>
    </w:pPr>
    <w:rPr>
      <w:rFonts w:ascii="宋体" w:hAnsi="宋体" w:eastAsia="宋体" w:cs="宋体"/>
      <w:lang w:val="en-US" w:eastAsia="zh-CN" w:bidi="ar-SA"/>
    </w:rPr>
  </w:style>
  <w:style w:type="paragraph" w:customStyle="1" w:styleId="67">
    <w:name w:val="四级条标题"/>
    <w:basedOn w:val="68"/>
    <w:next w:val="72"/>
    <w:qFormat/>
    <w:uiPriority w:val="0"/>
    <w:pPr>
      <w:widowControl/>
      <w:tabs>
        <w:tab w:val="left" w:pos="1260"/>
        <w:tab w:val="left" w:pos="1680"/>
      </w:tabs>
      <w:outlineLvl w:val="5"/>
    </w:pPr>
    <w:rPr>
      <w:rFonts w:ascii="黑体" w:eastAsia="黑体"/>
      <w:kern w:val="0"/>
      <w:szCs w:val="20"/>
    </w:rPr>
  </w:style>
  <w:style w:type="paragraph" w:customStyle="1" w:styleId="68">
    <w:name w:val="三级条标题"/>
    <w:basedOn w:val="69"/>
    <w:next w:val="72"/>
    <w:qFormat/>
    <w:uiPriority w:val="0"/>
    <w:pPr>
      <w:numPr>
        <w:ilvl w:val="3"/>
        <w:numId w:val="0"/>
      </w:numPr>
      <w:tabs>
        <w:tab w:val="left" w:pos="1260"/>
        <w:tab w:val="left" w:pos="1680"/>
      </w:tabs>
      <w:outlineLvl w:val="4"/>
    </w:pPr>
  </w:style>
  <w:style w:type="paragraph" w:customStyle="1" w:styleId="69">
    <w:name w:val="二级条标题"/>
    <w:basedOn w:val="70"/>
    <w:next w:val="72"/>
    <w:qFormat/>
    <w:uiPriority w:val="0"/>
    <w:pPr>
      <w:numPr>
        <w:ilvl w:val="3"/>
        <w:numId w:val="2"/>
      </w:numPr>
      <w:tabs>
        <w:tab w:val="left" w:pos="1260"/>
      </w:tabs>
      <w:outlineLvl w:val="3"/>
    </w:pPr>
  </w:style>
  <w:style w:type="paragraph" w:customStyle="1" w:styleId="70">
    <w:name w:val="一级条标题"/>
    <w:basedOn w:val="71"/>
    <w:next w:val="72"/>
    <w:qFormat/>
    <w:uiPriority w:val="0"/>
    <w:pPr>
      <w:numPr>
        <w:ilvl w:val="2"/>
        <w:numId w:val="2"/>
      </w:numPr>
      <w:spacing w:before="0" w:beforeLines="0" w:after="0" w:afterLines="0"/>
      <w:outlineLvl w:val="2"/>
    </w:pPr>
  </w:style>
  <w:style w:type="paragraph" w:customStyle="1" w:styleId="71">
    <w:name w:val="章标题"/>
    <w:next w:val="72"/>
    <w:qFormat/>
    <w:uiPriority w:val="0"/>
    <w:pPr>
      <w:spacing w:before="156" w:beforeLines="50" w:after="156" w:afterLines="50"/>
      <w:jc w:val="both"/>
      <w:outlineLvl w:val="1"/>
    </w:pPr>
    <w:rPr>
      <w:rFonts w:ascii="黑体" w:hAnsi="Times New Roman" w:eastAsia="黑体" w:cs="Times New Roman"/>
      <w:sz w:val="21"/>
      <w:szCs w:val="22"/>
      <w:lang w:val="en-US" w:eastAsia="zh-CN" w:bidi="ar-SA"/>
    </w:rPr>
  </w:style>
  <w:style w:type="paragraph" w:customStyle="1" w:styleId="72">
    <w:name w:val="段"/>
    <w:qFormat/>
    <w:uiPriority w:val="0"/>
    <w:pPr>
      <w:autoSpaceDE w:val="0"/>
      <w:autoSpaceDN w:val="0"/>
      <w:ind w:firstLine="200" w:firstLineChars="200"/>
      <w:jc w:val="both"/>
    </w:pPr>
    <w:rPr>
      <w:rFonts w:ascii="宋体" w:hAnsi="Calibri" w:eastAsia="宋体" w:cs="Times New Roman"/>
      <w:sz w:val="21"/>
      <w:szCs w:val="22"/>
      <w:lang w:val="en-US" w:eastAsia="zh-CN" w:bidi="ar-SA"/>
    </w:rPr>
  </w:style>
  <w:style w:type="paragraph" w:customStyle="1" w:styleId="73">
    <w:name w:val="_Style 52"/>
    <w:unhideWhenUsed/>
    <w:qFormat/>
    <w:uiPriority w:val="99"/>
    <w:rPr>
      <w:rFonts w:ascii="Times New Roman" w:hAnsi="Times New Roman" w:eastAsia="宋体" w:cs="Times New Roman"/>
      <w:kern w:val="2"/>
      <w:sz w:val="21"/>
      <w:szCs w:val="24"/>
      <w:lang w:val="en-US" w:eastAsia="zh-CN" w:bidi="ar-SA"/>
    </w:rPr>
  </w:style>
  <w:style w:type="character" w:customStyle="1" w:styleId="74">
    <w:name w:val="未处理的提及"/>
    <w:unhideWhenUsed/>
    <w:qFormat/>
    <w:uiPriority w:val="99"/>
    <w:rPr>
      <w:color w:val="605E5C"/>
      <w:shd w:val="clear" w:color="auto" w:fill="E1DFDD"/>
    </w:rPr>
  </w:style>
  <w:style w:type="paragraph" w:customStyle="1" w:styleId="75">
    <w:name w:val="正文文"/>
    <w:basedOn w:val="1"/>
    <w:qFormat/>
    <w:uiPriority w:val="0"/>
    <w:pPr>
      <w:ind w:firstLine="1441"/>
      <w:jc w:val="left"/>
    </w:pPr>
  </w:style>
  <w:style w:type="paragraph" w:customStyle="1" w:styleId="76">
    <w:name w:val="表文字"/>
    <w:basedOn w:val="1"/>
    <w:qFormat/>
    <w:uiPriority w:val="0"/>
    <w:pPr>
      <w:overflowPunct w:val="0"/>
      <w:autoSpaceDE w:val="0"/>
      <w:autoSpaceDN w:val="0"/>
      <w:adjustRightInd w:val="0"/>
      <w:spacing w:line="240" w:lineRule="auto"/>
      <w:ind w:firstLine="0" w:firstLineChars="0"/>
      <w:jc w:val="center"/>
      <w:textAlignment w:val="center"/>
    </w:pPr>
    <w:rPr>
      <w:kern w:val="0"/>
      <w:sz w:val="21"/>
      <w:szCs w:val="24"/>
    </w:rPr>
  </w:style>
  <w:style w:type="character" w:customStyle="1" w:styleId="77">
    <w:name w:val="font01"/>
    <w:basedOn w:val="33"/>
    <w:qFormat/>
    <w:uiPriority w:val="0"/>
    <w:rPr>
      <w:rFonts w:hint="eastAsia" w:ascii="宋体" w:hAnsi="宋体" w:eastAsia="宋体" w:cs="宋体"/>
      <w:color w:val="000000"/>
      <w:sz w:val="21"/>
      <w:szCs w:val="21"/>
      <w:u w:val="none"/>
    </w:rPr>
  </w:style>
  <w:style w:type="paragraph" w:customStyle="1" w:styleId="78">
    <w:name w:val="正文_11"/>
    <w:qFormat/>
    <w:uiPriority w:val="0"/>
    <w:pPr>
      <w:widowControl w:val="0"/>
      <w:jc w:val="both"/>
    </w:pPr>
    <w:rPr>
      <w:rFonts w:ascii="Calibri" w:hAnsi="Calibri" w:eastAsia="宋体" w:cs="Times New Roman"/>
      <w:kern w:val="2"/>
      <w:sz w:val="21"/>
      <w:lang w:val="en-US" w:eastAsia="zh-CN" w:bidi="ar-SA"/>
    </w:rPr>
  </w:style>
  <w:style w:type="paragraph" w:customStyle="1" w:styleId="79">
    <w:name w:val="正文（用）"/>
    <w:basedOn w:val="1"/>
    <w:qFormat/>
    <w:uiPriority w:val="0"/>
    <w:pPr>
      <w:spacing w:line="360" w:lineRule="auto"/>
      <w:ind w:firstLine="480" w:firstLineChars="200"/>
      <w:jc w:val="left"/>
    </w:pPr>
    <w:rPr>
      <w:rFonts w:ascii="宋体" w:hAnsi="宋体" w:cs="宋体"/>
      <w:sz w:val="24"/>
    </w:rPr>
  </w:style>
  <w:style w:type="paragraph" w:customStyle="1" w:styleId="80">
    <w:name w:val="List Paragraph1"/>
    <w:basedOn w:val="1"/>
    <w:qFormat/>
    <w:uiPriority w:val="0"/>
    <w:pPr>
      <w:ind w:firstLine="420" w:firstLineChars="200"/>
    </w:pPr>
    <w:rPr>
      <w:sz w:val="32"/>
      <w:szCs w:val="24"/>
    </w:rPr>
  </w:style>
  <w:style w:type="paragraph" w:customStyle="1" w:styleId="81">
    <w:name w:val="表文"/>
    <w:basedOn w:val="1"/>
    <w:qFormat/>
    <w:uiPriority w:val="0"/>
    <w:pPr>
      <w:spacing w:line="240" w:lineRule="auto"/>
      <w:ind w:left="2317" w:hanging="2317" w:hangingChars="1125"/>
      <w:jc w:val="center"/>
    </w:pPr>
    <w:rPr>
      <w:spacing w:val="-2"/>
      <w:kern w:val="0"/>
      <w:sz w:val="21"/>
    </w:rPr>
  </w:style>
  <w:style w:type="character" w:customStyle="1" w:styleId="82">
    <w:name w:val="font51"/>
    <w:basedOn w:val="33"/>
    <w:qFormat/>
    <w:uiPriority w:val="0"/>
    <w:rPr>
      <w:rFonts w:hint="default" w:ascii="Times New Roman" w:hAnsi="Times New Roman" w:cs="Times New Roman"/>
      <w:color w:val="000000"/>
      <w:sz w:val="21"/>
      <w:szCs w:val="21"/>
      <w:u w:val="single"/>
    </w:rPr>
  </w:style>
  <w:style w:type="character" w:customStyle="1" w:styleId="83">
    <w:name w:val="font81"/>
    <w:basedOn w:val="33"/>
    <w:qFormat/>
    <w:uiPriority w:val="0"/>
    <w:rPr>
      <w:rFonts w:hint="default" w:ascii="Times New Roman" w:hAnsi="Times New Roman" w:cs="Times New Roman"/>
      <w:color w:val="000000"/>
      <w:sz w:val="21"/>
      <w:szCs w:val="21"/>
      <w:u w:val="none"/>
      <w:vertAlign w:val="superscript"/>
    </w:rPr>
  </w:style>
  <w:style w:type="character" w:customStyle="1" w:styleId="84">
    <w:name w:val="font91"/>
    <w:basedOn w:val="33"/>
    <w:qFormat/>
    <w:uiPriority w:val="0"/>
    <w:rPr>
      <w:rFonts w:hint="default" w:ascii="Times New Roman" w:hAnsi="Times New Roman" w:cs="Times New Roman"/>
      <w:color w:val="000000"/>
      <w:sz w:val="21"/>
      <w:szCs w:val="21"/>
      <w:u w:val="none"/>
      <w:vertAlign w:val="superscript"/>
    </w:rPr>
  </w:style>
  <w:style w:type="paragraph" w:customStyle="1" w:styleId="85">
    <w:name w:val="表格第一行"/>
    <w:next w:val="1"/>
    <w:qFormat/>
    <w:uiPriority w:val="0"/>
    <w:pPr>
      <w:adjustRightInd w:val="0"/>
      <w:snapToGrid w:val="0"/>
      <w:spacing w:line="320" w:lineRule="exact"/>
      <w:jc w:val="center"/>
      <w:textAlignment w:val="baseline"/>
    </w:pPr>
    <w:rPr>
      <w:rFonts w:ascii="Times New Roman" w:hAnsi="Times New Roman" w:eastAsia="Times New Roman" w:cs="Times New Roman"/>
      <w:b/>
      <w:sz w:val="21"/>
      <w:szCs w:val="21"/>
      <w:lang w:val="en-US" w:eastAsia="zh-CN" w:bidi="ar-SA"/>
    </w:rPr>
  </w:style>
  <w:style w:type="paragraph" w:customStyle="1" w:styleId="86">
    <w:name w:val="报告正文"/>
    <w:basedOn w:val="1"/>
    <w:qFormat/>
    <w:uiPriority w:val="0"/>
    <w:pPr>
      <w:adjustRightInd w:val="0"/>
      <w:snapToGrid w:val="0"/>
      <w:spacing w:line="360" w:lineRule="auto"/>
      <w:ind w:firstLine="200" w:firstLineChars="200"/>
    </w:pPr>
    <w:rPr>
      <w:rFonts w:ascii="宋体"/>
      <w:sz w:val="24"/>
      <w:szCs w:val="20"/>
    </w:rPr>
  </w:style>
  <w:style w:type="paragraph" w:customStyle="1" w:styleId="87">
    <w:name w:val="文章正文样式"/>
    <w:basedOn w:val="1"/>
    <w:qFormat/>
    <w:uiPriority w:val="0"/>
    <w:pPr>
      <w:spacing w:line="520" w:lineRule="exact"/>
      <w:ind w:firstLine="480" w:firstLineChars="200"/>
      <w:jc w:val="left"/>
    </w:pPr>
    <w:rPr>
      <w:rFonts w:ascii="宋体" w:hAnsi="宋体" w:cs="宋体"/>
      <w:sz w:val="24"/>
    </w:rPr>
  </w:style>
  <w:style w:type="character" w:customStyle="1" w:styleId="88">
    <w:name w:val="big"/>
    <w:basedOn w:val="33"/>
    <w:qFormat/>
    <w:uiPriority w:val="0"/>
  </w:style>
  <w:style w:type="paragraph" w:customStyle="1" w:styleId="89">
    <w:name w:val="正  文"/>
    <w:basedOn w:val="1"/>
    <w:next w:val="1"/>
    <w:qFormat/>
    <w:uiPriority w:val="0"/>
    <w:pPr>
      <w:spacing w:line="360" w:lineRule="auto"/>
      <w:ind w:firstLine="560" w:firstLineChars="200"/>
    </w:pPr>
    <w:rPr>
      <w:rFonts w:ascii="宋体" w:hAnsi="宋体" w:cs="仿宋_GB2312"/>
      <w:sz w:val="24"/>
      <w:szCs w:val="28"/>
    </w:rPr>
  </w:style>
  <w:style w:type="paragraph" w:customStyle="1" w:styleId="90">
    <w:name w:val="图表标题"/>
    <w:next w:val="1"/>
    <w:qFormat/>
    <w:uiPriority w:val="0"/>
    <w:pPr>
      <w:spacing w:line="360" w:lineRule="auto"/>
      <w:jc w:val="center"/>
    </w:pPr>
    <w:rPr>
      <w:rFonts w:ascii="Times New Roman" w:hAnsi="Times New Roman" w:eastAsia="宋体" w:cs="Times New Roman"/>
      <w:b/>
      <w:kern w:val="2"/>
      <w:sz w:val="21"/>
      <w:szCs w:val="24"/>
      <w:lang w:val="en-US" w:eastAsia="zh-CN" w:bidi="ar-SA"/>
    </w:rPr>
  </w:style>
  <w:style w:type="paragraph" w:customStyle="1" w:styleId="91">
    <w:name w:val="无间隔1"/>
    <w:qFormat/>
    <w:uiPriority w:val="0"/>
    <w:rPr>
      <w:rFonts w:ascii="Arial" w:hAnsi="Arial" w:eastAsia="宋体" w:cs="Arial"/>
      <w:lang w:val="en-US" w:eastAsia="en-US" w:bidi="en-US"/>
    </w:rPr>
  </w:style>
  <w:style w:type="paragraph" w:customStyle="1" w:styleId="92">
    <w:name w:val="表格 32"/>
    <w:basedOn w:val="1"/>
    <w:qFormat/>
    <w:uiPriority w:val="0"/>
    <w:pPr>
      <w:autoSpaceDE w:val="0"/>
      <w:autoSpaceDN w:val="0"/>
      <w:adjustRightInd w:val="0"/>
      <w:jc w:val="center"/>
    </w:pPr>
    <w:rPr>
      <w:rFonts w:eastAsia="楷体_GB2312"/>
      <w:kern w:val="0"/>
      <w:sz w:val="24"/>
      <w:szCs w:val="20"/>
    </w:rPr>
  </w:style>
  <w:style w:type="paragraph" w:customStyle="1" w:styleId="93">
    <w:name w:val="表格 23"/>
    <w:basedOn w:val="1"/>
    <w:qFormat/>
    <w:uiPriority w:val="0"/>
    <w:pPr>
      <w:autoSpaceDE w:val="0"/>
      <w:autoSpaceDN w:val="0"/>
      <w:adjustRightInd w:val="0"/>
      <w:jc w:val="center"/>
    </w:pPr>
    <w:rPr>
      <w:rFonts w:eastAsia="仿宋体"/>
      <w:kern w:val="0"/>
      <w:szCs w:val="20"/>
    </w:rPr>
  </w:style>
  <w:style w:type="paragraph" w:customStyle="1" w:styleId="94">
    <w:name w:val="表格正文"/>
    <w:basedOn w:val="1"/>
    <w:qFormat/>
    <w:uiPriority w:val="0"/>
    <w:pPr>
      <w:spacing w:line="360" w:lineRule="exact"/>
      <w:jc w:val="center"/>
    </w:pPr>
    <w:rPr>
      <w:szCs w:val="20"/>
    </w:rPr>
  </w:style>
  <w:style w:type="paragraph" w:customStyle="1" w:styleId="95">
    <w:name w:val="表头"/>
    <w:basedOn w:val="96"/>
    <w:qFormat/>
    <w:uiPriority w:val="0"/>
    <w:pPr>
      <w:spacing w:beforeLines="50" w:afterLines="50" w:line="480" w:lineRule="exact"/>
      <w:jc w:val="center"/>
    </w:pPr>
    <w:rPr>
      <w:rFonts w:eastAsia="黑体"/>
      <w:sz w:val="24"/>
    </w:rPr>
  </w:style>
  <w:style w:type="paragraph" w:customStyle="1" w:styleId="96">
    <w:name w:val="表中文字"/>
    <w:basedOn w:val="1"/>
    <w:qFormat/>
    <w:uiPriority w:val="0"/>
    <w:pPr>
      <w:adjustRightInd w:val="0"/>
      <w:snapToGrid w:val="0"/>
      <w:jc w:val="center"/>
    </w:pPr>
    <w:rPr>
      <w:bCs/>
      <w:sz w:val="18"/>
    </w:rPr>
  </w:style>
  <w:style w:type="paragraph" w:customStyle="1" w:styleId="97">
    <w:name w:val="Normal (Web)"/>
    <w:basedOn w:val="1"/>
    <w:qFormat/>
    <w:uiPriority w:val="0"/>
    <w:pPr>
      <w:adjustRightInd/>
      <w:snapToGrid/>
      <w:spacing w:before="100" w:beforeLines="0" w:beforeAutospacing="1" w:after="100" w:afterLines="0" w:afterAutospacing="1"/>
    </w:pPr>
    <w:rPr>
      <w:rFonts w:ascii="宋体" w:hAnsi="宋体" w:eastAsia="宋体" w:cs="宋体"/>
      <w:sz w:val="24"/>
      <w:szCs w:val="24"/>
    </w:rPr>
  </w:style>
  <w:style w:type="table" w:customStyle="1" w:styleId="98">
    <w:name w:val="Table Normal"/>
    <w:semiHidden/>
    <w:unhideWhenUsed/>
    <w:qFormat/>
    <w:uiPriority w:val="0"/>
    <w:tblPr>
      <w:tblCellMar>
        <w:top w:w="0" w:type="dxa"/>
        <w:left w:w="0" w:type="dxa"/>
        <w:bottom w:w="0" w:type="dxa"/>
        <w:right w:w="0" w:type="dxa"/>
      </w:tblCellMar>
    </w:tblPr>
  </w:style>
  <w:style w:type="paragraph" w:customStyle="1" w:styleId="99">
    <w:name w:val="表格内文字"/>
    <w:basedOn w:val="1"/>
    <w:qFormat/>
    <w:uiPriority w:val="0"/>
    <w:pPr>
      <w:widowControl/>
      <w:autoSpaceDE w:val="0"/>
      <w:autoSpaceDN w:val="0"/>
      <w:adjustRightInd w:val="0"/>
      <w:snapToGrid w:val="0"/>
      <w:spacing w:line="320" w:lineRule="exact"/>
      <w:contextualSpacing/>
      <w:jc w:val="center"/>
    </w:pPr>
    <w:rPr>
      <w:rFonts w:ascii="宋体" w:hAnsi="宋体" w:cs="宋体"/>
      <w:bCs/>
      <w:color w:val="000000" w:themeColor="text1"/>
      <w:szCs w:val="21"/>
      <w:lang w:eastAsia="en-US"/>
      <w14:textFill>
        <w14:solidFill>
          <w14:schemeClr w14:val="tx1"/>
        </w14:solidFill>
      </w14:textFill>
    </w:rPr>
  </w:style>
  <w:style w:type="paragraph" w:customStyle="1" w:styleId="100">
    <w:name w:val="Table Text"/>
    <w:basedOn w:val="1"/>
    <w:semiHidden/>
    <w:qFormat/>
    <w:uiPriority w:val="0"/>
    <w:rPr>
      <w:rFonts w:ascii="宋体" w:hAnsi="宋体" w:eastAsia="宋体" w:cs="宋体"/>
      <w:sz w:val="24"/>
      <w:szCs w:val="24"/>
      <w:lang w:val="en-US" w:eastAsia="en-US" w:bidi="ar-SA"/>
    </w:rPr>
  </w:style>
  <w:style w:type="paragraph" w:customStyle="1" w:styleId="101">
    <w:name w:val="lh-正文-报告表"/>
    <w:basedOn w:val="1"/>
    <w:qFormat/>
    <w:uiPriority w:val="0"/>
    <w:pPr>
      <w:spacing w:line="360" w:lineRule="auto"/>
      <w:ind w:firstLine="480" w:firstLineChars="200"/>
    </w:pPr>
    <w:rPr>
      <w:kern w:val="0"/>
      <w:sz w:val="24"/>
      <w:szCs w:val="21"/>
    </w:rPr>
  </w:style>
  <w:style w:type="paragraph" w:customStyle="1" w:styleId="102">
    <w:name w:val="lh-表题-报告表"/>
    <w:basedOn w:val="101"/>
    <w:next w:val="103"/>
    <w:qFormat/>
    <w:uiPriority w:val="0"/>
    <w:pPr>
      <w:numPr>
        <w:ilvl w:val="0"/>
        <w:numId w:val="3"/>
      </w:numPr>
      <w:spacing w:before="50" w:beforeLines="50" w:line="240" w:lineRule="auto"/>
      <w:ind w:hanging="420" w:firstLineChars="0"/>
      <w:jc w:val="center"/>
    </w:pPr>
    <w:rPr>
      <w:rFonts w:cstheme="minorBidi"/>
      <w:b/>
    </w:rPr>
  </w:style>
  <w:style w:type="paragraph" w:customStyle="1" w:styleId="103">
    <w:name w:val="lh-表格文字-报告表"/>
    <w:basedOn w:val="1"/>
    <w:qFormat/>
    <w:uiPriority w:val="0"/>
    <w:pPr>
      <w:jc w:val="center"/>
    </w:pPr>
    <w:rPr>
      <w:rFonts w:cstheme="minorBidi"/>
      <w:kern w:val="0"/>
    </w:rPr>
  </w:style>
  <w:style w:type="paragraph" w:customStyle="1" w:styleId="104">
    <w:name w:val="lh-表注"/>
    <w:qFormat/>
    <w:uiPriority w:val="0"/>
    <w:pPr>
      <w:textAlignment w:val="baseline"/>
    </w:pPr>
    <w:rPr>
      <w:rFonts w:ascii="Times New Roman" w:hAnsi="Times New Roman" w:eastAsia="宋体" w:cs="Times New Roman"/>
      <w:snapToGrid w:val="0"/>
      <w:sz w:val="21"/>
      <w:szCs w:val="21"/>
      <w:lang w:val="en-US" w:eastAsia="zh-CN" w:bidi="ar-SA"/>
    </w:rPr>
  </w:style>
  <w:style w:type="paragraph" w:customStyle="1" w:styleId="105">
    <w:name w:val="（正文）"/>
    <w:basedOn w:val="19"/>
    <w:qFormat/>
    <w:uiPriority w:val="0"/>
    <w:pPr>
      <w:adjustRightInd w:val="0"/>
      <w:snapToGrid w:val="0"/>
      <w:spacing w:line="360" w:lineRule="auto"/>
      <w:ind w:firstLine="200" w:firstLineChars="200"/>
    </w:pPr>
    <w:rPr>
      <w:rFonts w:ascii="Times New Roman" w:hAnsi="Times New Roman"/>
      <w:kern w:val="0"/>
      <w:sz w:val="24"/>
      <w:szCs w:val="24"/>
    </w:rPr>
  </w:style>
  <w:style w:type="paragraph" w:customStyle="1" w:styleId="106">
    <w:name w:val="正文文本1"/>
    <w:basedOn w:val="1"/>
    <w:qFormat/>
    <w:uiPriority w:val="0"/>
    <w:pPr>
      <w:adjustRightInd w:val="0"/>
      <w:snapToGrid w:val="0"/>
      <w:spacing w:line="360" w:lineRule="auto"/>
      <w:ind w:firstLine="720" w:firstLineChars="200"/>
      <w:jc w:val="both"/>
    </w:pPr>
    <w:rPr>
      <w:rFonts w:ascii="宋体" w:hAnsi="宋体" w:cs="宋体"/>
      <w:bCs/>
      <w:szCs w:val="21"/>
    </w:rPr>
  </w:style>
  <w:style w:type="paragraph" w:customStyle="1" w:styleId="107">
    <w:name w:val="Date1"/>
    <w:basedOn w:val="1"/>
    <w:next w:val="1"/>
    <w:qFormat/>
    <w:uiPriority w:val="0"/>
    <w:pPr>
      <w:adjustRightInd w:val="0"/>
      <w:jc w:val="left"/>
      <w:textAlignment w:val="baseline"/>
    </w:pPr>
    <w:rPr>
      <w:rFonts w:ascii="宋体" w:hAnsi="宋体"/>
      <w:sz w:val="28"/>
      <w:szCs w:val="20"/>
    </w:rPr>
  </w:style>
  <w:style w:type="paragraph" w:customStyle="1" w:styleId="108">
    <w:name w:val="表格1"/>
    <w:basedOn w:val="1"/>
    <w:qFormat/>
    <w:uiPriority w:val="0"/>
    <w:pPr>
      <w:adjustRightInd w:val="0"/>
      <w:spacing w:line="20" w:lineRule="atLeast"/>
      <w:jc w:val="center"/>
    </w:pPr>
    <w:rPr>
      <w:rFonts w:ascii="宋体"/>
      <w:kern w:val="0"/>
    </w:rPr>
  </w:style>
  <w:style w:type="paragraph" w:customStyle="1" w:styleId="109">
    <w:name w:val="新表格正文"/>
    <w:basedOn w:val="1"/>
    <w:qFormat/>
    <w:uiPriority w:val="0"/>
    <w:pPr>
      <w:widowControl/>
      <w:jc w:val="center"/>
    </w:pPr>
    <w:rPr>
      <w:kern w:val="0"/>
      <w:sz w:val="20"/>
      <w:szCs w:val="21"/>
      <w:lang w:val="zh-CN"/>
    </w:rPr>
  </w:style>
  <w:style w:type="paragraph" w:customStyle="1" w:styleId="110">
    <w:name w:val="正文报告书"/>
    <w:basedOn w:val="55"/>
    <w:next w:val="1"/>
    <w:qFormat/>
    <w:uiPriority w:val="0"/>
    <w:pPr>
      <w:spacing w:before="20" w:line="360" w:lineRule="auto"/>
      <w:ind w:firstLine="643" w:firstLineChars="200"/>
    </w:pPr>
    <w:rPr>
      <w:rFonts w:ascii="Times New Roman" w:hAnsi="Times New Roman"/>
      <w:sz w:val="24"/>
    </w:rPr>
  </w:style>
  <w:style w:type="paragraph" w:customStyle="1" w:styleId="111">
    <w:name w:val="表格报告书"/>
    <w:basedOn w:val="110"/>
    <w:next w:val="110"/>
    <w:qFormat/>
    <w:uiPriority w:val="0"/>
    <w:pPr>
      <w:spacing w:line="240" w:lineRule="auto"/>
      <w:ind w:firstLine="0" w:firstLineChars="0"/>
      <w:jc w:val="center"/>
    </w:pPr>
    <w:rPr>
      <w:rFonts w:ascii="Times New Roman" w:hAnsi="Times New Roman" w:eastAsia="宋体"/>
      <w:sz w:val="21"/>
    </w:rPr>
  </w:style>
  <w:style w:type="paragraph" w:customStyle="1" w:styleId="112">
    <w:name w:val="表格正文0524"/>
    <w:basedOn w:val="1"/>
    <w:qFormat/>
    <w:uiPriority w:val="0"/>
    <w:pPr>
      <w:widowControl/>
      <w:jc w:val="center"/>
    </w:pPr>
    <w:rPr>
      <w:rFonts w:ascii="Calibri" w:hAnsi="Calibri" w:eastAsia="宋体" w:cs="Times New Roman"/>
      <w:szCs w:val="21"/>
      <w:lang w:val="zh-CN"/>
    </w:rPr>
  </w:style>
  <w:style w:type="paragraph" w:customStyle="1" w:styleId="113">
    <w:name w:val="5文章(治)"/>
    <w:basedOn w:val="1"/>
    <w:qFormat/>
    <w:uiPriority w:val="0"/>
    <w:pPr>
      <w:spacing w:line="360" w:lineRule="auto"/>
      <w:ind w:firstLine="560" w:firstLineChars="200"/>
    </w:pPr>
    <w:rPr>
      <w:rFonts w:ascii="宋体" w:hAnsi="宋体"/>
      <w:sz w:val="24"/>
    </w:rPr>
  </w:style>
</w:styles>
</file>

<file path=word/_rels/document.xml.rels><?xml version="1.0" encoding="UTF-8" standalone="yes"?>
<Relationships xmlns="http://schemas.openxmlformats.org/package/2006/relationships"><Relationship Id="rId9" Type="http://schemas.openxmlformats.org/officeDocument/2006/relationships/footer" Target="footer6.xml"/><Relationship Id="rId8" Type="http://schemas.openxmlformats.org/officeDocument/2006/relationships/footer" Target="footer5.xml"/><Relationship Id="rId76" Type="http://schemas.openxmlformats.org/officeDocument/2006/relationships/fontTable" Target="fontTable.xml"/><Relationship Id="rId75" Type="http://schemas.openxmlformats.org/officeDocument/2006/relationships/numbering" Target="numbering.xml"/><Relationship Id="rId74" Type="http://schemas.openxmlformats.org/officeDocument/2006/relationships/customXml" Target="../customXml/item1.xml"/><Relationship Id="rId73" Type="http://schemas.openxmlformats.org/officeDocument/2006/relationships/image" Target="media/image53.png"/><Relationship Id="rId72" Type="http://schemas.openxmlformats.org/officeDocument/2006/relationships/image" Target="media/image52.wmf"/><Relationship Id="rId71" Type="http://schemas.openxmlformats.org/officeDocument/2006/relationships/image" Target="media/image51.wmf"/><Relationship Id="rId70" Type="http://schemas.openxmlformats.org/officeDocument/2006/relationships/image" Target="media/image50.wmf"/><Relationship Id="rId7" Type="http://schemas.openxmlformats.org/officeDocument/2006/relationships/header" Target="header1.xml"/><Relationship Id="rId69" Type="http://schemas.openxmlformats.org/officeDocument/2006/relationships/image" Target="media/image49.wmf"/><Relationship Id="rId68" Type="http://schemas.openxmlformats.org/officeDocument/2006/relationships/image" Target="media/image48.wmf"/><Relationship Id="rId67" Type="http://schemas.openxmlformats.org/officeDocument/2006/relationships/image" Target="media/image47.wmf"/><Relationship Id="rId66" Type="http://schemas.openxmlformats.org/officeDocument/2006/relationships/image" Target="media/image46.png"/><Relationship Id="rId65" Type="http://schemas.openxmlformats.org/officeDocument/2006/relationships/image" Target="media/image45.png"/><Relationship Id="rId64" Type="http://schemas.openxmlformats.org/officeDocument/2006/relationships/image" Target="media/image44.png"/><Relationship Id="rId63" Type="http://schemas.openxmlformats.org/officeDocument/2006/relationships/image" Target="media/image43.png"/><Relationship Id="rId62" Type="http://schemas.openxmlformats.org/officeDocument/2006/relationships/image" Target="media/image42.png"/><Relationship Id="rId61" Type="http://schemas.openxmlformats.org/officeDocument/2006/relationships/image" Target="media/image41.png"/><Relationship Id="rId60" Type="http://schemas.openxmlformats.org/officeDocument/2006/relationships/image" Target="media/image40.png"/><Relationship Id="rId6" Type="http://schemas.openxmlformats.org/officeDocument/2006/relationships/footer" Target="footer4.xml"/><Relationship Id="rId59" Type="http://schemas.openxmlformats.org/officeDocument/2006/relationships/image" Target="media/image39.png"/><Relationship Id="rId58" Type="http://schemas.openxmlformats.org/officeDocument/2006/relationships/image" Target="media/image38.png"/><Relationship Id="rId57" Type="http://schemas.openxmlformats.org/officeDocument/2006/relationships/image" Target="media/image37.png"/><Relationship Id="rId56" Type="http://schemas.openxmlformats.org/officeDocument/2006/relationships/image" Target="media/image36.png"/><Relationship Id="rId55" Type="http://schemas.openxmlformats.org/officeDocument/2006/relationships/image" Target="media/image35.png"/><Relationship Id="rId54" Type="http://schemas.openxmlformats.org/officeDocument/2006/relationships/image" Target="media/image34.png"/><Relationship Id="rId53" Type="http://schemas.openxmlformats.org/officeDocument/2006/relationships/image" Target="media/image33.png"/><Relationship Id="rId52" Type="http://schemas.openxmlformats.org/officeDocument/2006/relationships/image" Target="media/image32.jpeg"/><Relationship Id="rId51" Type="http://schemas.openxmlformats.org/officeDocument/2006/relationships/image" Target="media/image31.jpeg"/><Relationship Id="rId50" Type="http://schemas.openxmlformats.org/officeDocument/2006/relationships/image" Target="media/image30.png"/><Relationship Id="rId5" Type="http://schemas.openxmlformats.org/officeDocument/2006/relationships/footer" Target="footer3.xml"/><Relationship Id="rId49" Type="http://schemas.openxmlformats.org/officeDocument/2006/relationships/image" Target="media/image29.png"/><Relationship Id="rId48" Type="http://schemas.openxmlformats.org/officeDocument/2006/relationships/image" Target="media/image28.png"/><Relationship Id="rId47" Type="http://schemas.openxmlformats.org/officeDocument/2006/relationships/image" Target="media/image27.png"/><Relationship Id="rId46" Type="http://schemas.openxmlformats.org/officeDocument/2006/relationships/image" Target="media/image26.png"/><Relationship Id="rId45" Type="http://schemas.openxmlformats.org/officeDocument/2006/relationships/image" Target="media/image25.png"/><Relationship Id="rId44" Type="http://schemas.openxmlformats.org/officeDocument/2006/relationships/image" Target="media/image24.png"/><Relationship Id="rId43" Type="http://schemas.openxmlformats.org/officeDocument/2006/relationships/image" Target="media/image23.png"/><Relationship Id="rId42" Type="http://schemas.openxmlformats.org/officeDocument/2006/relationships/image" Target="media/image22.png"/><Relationship Id="rId41" Type="http://schemas.openxmlformats.org/officeDocument/2006/relationships/image" Target="media/image21.png"/><Relationship Id="rId40" Type="http://schemas.openxmlformats.org/officeDocument/2006/relationships/image" Target="media/image20.png"/><Relationship Id="rId4" Type="http://schemas.openxmlformats.org/officeDocument/2006/relationships/footer" Target="footer2.xml"/><Relationship Id="rId39" Type="http://schemas.openxmlformats.org/officeDocument/2006/relationships/image" Target="media/image19.emf"/><Relationship Id="rId38" Type="http://schemas.openxmlformats.org/officeDocument/2006/relationships/oleObject" Target="embeddings/oleObject10.bin"/><Relationship Id="rId37" Type="http://schemas.openxmlformats.org/officeDocument/2006/relationships/image" Target="media/image18.emf"/><Relationship Id="rId36" Type="http://schemas.openxmlformats.org/officeDocument/2006/relationships/oleObject" Target="embeddings/oleObject9.bin"/><Relationship Id="rId35" Type="http://schemas.openxmlformats.org/officeDocument/2006/relationships/image" Target="media/image17.emf"/><Relationship Id="rId34" Type="http://schemas.openxmlformats.org/officeDocument/2006/relationships/oleObject" Target="embeddings/oleObject8.bin"/><Relationship Id="rId33" Type="http://schemas.openxmlformats.org/officeDocument/2006/relationships/image" Target="media/image16.emf"/><Relationship Id="rId32" Type="http://schemas.openxmlformats.org/officeDocument/2006/relationships/oleObject" Target="embeddings/oleObject7.bin"/><Relationship Id="rId31" Type="http://schemas.openxmlformats.org/officeDocument/2006/relationships/image" Target="media/image15.emf"/><Relationship Id="rId30" Type="http://schemas.openxmlformats.org/officeDocument/2006/relationships/oleObject" Target="embeddings/oleObject6.bin"/><Relationship Id="rId3" Type="http://schemas.openxmlformats.org/officeDocument/2006/relationships/footer" Target="footer1.xml"/><Relationship Id="rId29" Type="http://schemas.openxmlformats.org/officeDocument/2006/relationships/image" Target="media/image14.emf"/><Relationship Id="rId28" Type="http://schemas.openxmlformats.org/officeDocument/2006/relationships/oleObject" Target="embeddings/oleObject5.bin"/><Relationship Id="rId27" Type="http://schemas.openxmlformats.org/officeDocument/2006/relationships/image" Target="media/image13.emf"/><Relationship Id="rId26" Type="http://schemas.openxmlformats.org/officeDocument/2006/relationships/oleObject" Target="embeddings/oleObject4.bin"/><Relationship Id="rId25" Type="http://schemas.openxmlformats.org/officeDocument/2006/relationships/image" Target="media/image12.emf"/><Relationship Id="rId24" Type="http://schemas.openxmlformats.org/officeDocument/2006/relationships/oleObject" Target="embeddings/oleObject3.bin"/><Relationship Id="rId23" Type="http://schemas.openxmlformats.org/officeDocument/2006/relationships/image" Target="media/image11.emf"/><Relationship Id="rId22" Type="http://schemas.openxmlformats.org/officeDocument/2006/relationships/oleObject" Target="embeddings/oleObject2.bin"/><Relationship Id="rId21" Type="http://schemas.openxmlformats.org/officeDocument/2006/relationships/image" Target="media/image10.emf"/><Relationship Id="rId20" Type="http://schemas.openxmlformats.org/officeDocument/2006/relationships/oleObject" Target="embeddings/oleObject1.bin"/><Relationship Id="rId2" Type="http://schemas.openxmlformats.org/officeDocument/2006/relationships/settings" Target="settings.xml"/><Relationship Id="rId19" Type="http://schemas.openxmlformats.org/officeDocument/2006/relationships/image" Target="media/image9.png"/><Relationship Id="rId18" Type="http://schemas.openxmlformats.org/officeDocument/2006/relationships/image" Target="media/image8.jpeg"/><Relationship Id="rId17" Type="http://schemas.openxmlformats.org/officeDocument/2006/relationships/image" Target="media/image7.jpeg"/><Relationship Id="rId16" Type="http://schemas.openxmlformats.org/officeDocument/2006/relationships/image" Target="media/image6.jpeg"/><Relationship Id="rId15" Type="http://schemas.openxmlformats.org/officeDocument/2006/relationships/image" Target="media/image5.jpeg"/><Relationship Id="rId14" Type="http://schemas.openxmlformats.org/officeDocument/2006/relationships/image" Target="media/image4.png"/><Relationship Id="rId13" Type="http://schemas.openxmlformats.org/officeDocument/2006/relationships/image" Target="media/image3.png"/><Relationship Id="rId12" Type="http://schemas.openxmlformats.org/officeDocument/2006/relationships/image" Target="media/image2.jpeg"/><Relationship Id="rId11" Type="http://schemas.openxmlformats.org/officeDocument/2006/relationships/image" Target="media/image1.jpeg"/><Relationship Id="rId10" Type="http://schemas.openxmlformats.org/officeDocument/2006/relationships/theme" Target="theme/theme1.xml"/><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Kingsoft</Company>
  <Pages>227</Pages>
  <Words>20801</Words>
  <Characters>22214</Characters>
  <Lines>304</Lines>
  <Paragraphs>85</Paragraphs>
  <TotalTime>17</TotalTime>
  <ScaleCrop>false</ScaleCrop>
  <LinksUpToDate>false</LinksUpToDate>
  <CharactersWithSpaces>22383</CharactersWithSpaces>
  <Application>WPS Office_12.1.0.23125_F1E327BC-269C-435d-A152-05C5408002CA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2014-10-29T12:08:00Z</dcterms:created>
  <dc:creator>八九之期七</dc:creator>
  <cp:lastModifiedBy>独一无二</cp:lastModifiedBy>
  <dcterms:modified xsi:type="dcterms:W3CDTF">2025-11-07T08:39:19Z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2052-12.1.0.23125</vt:lpwstr>
  </property>
  <property fmtid="{D5CDD505-2E9C-101B-9397-08002B2CF9AE}" pid="3" name="ICV">
    <vt:lpwstr>2A9EC45E332B4903A3E4C15292035EC3_13</vt:lpwstr>
  </property>
  <property fmtid="{D5CDD505-2E9C-101B-9397-08002B2CF9AE}" pid="4" name="KSOTemplateDocerSaveRecord">
    <vt:lpwstr>eyJoZGlkIjoiYWFiYTc1Y2E0Mzc0YjQzOGMwOTk2MTBjZjAyOWM3MDgiLCJ1c2VySWQiOiI1MjY2NzE0NTEifQ==</vt:lpwstr>
  </property>
</Properties>
</file>